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imes New Roman"/>
          <w:b/>
          <w:bCs/>
          <w:sz w:val="21"/>
          <w:lang w:val="en-US" w:eastAsia="zh-CN" w:bidi="ar-SA"/>
        </w:rPr>
        <w:id w:val="147468946"/>
        <w15:color w:val="DBDBDB"/>
        <w:docPartObj>
          <w:docPartGallery w:val="Table of Contents"/>
          <w:docPartUnique/>
        </w:docPartObj>
      </w:sdtPr>
      <w:sdtEndPr>
        <w:rPr>
          <w:rFonts w:ascii="Times New Roman" w:hAnsi="Times New Roman" w:eastAsia="宋体" w:cs="Times New Roman"/>
          <w:b/>
          <w:bCs/>
          <w:sz w:val="24"/>
          <w:lang w:val="en-US" w:eastAsia="zh-CN" w:bidi="ar-SA"/>
        </w:rPr>
      </w:sdtEndPr>
      <w:sdtContent>
        <w:p w14:paraId="74780991">
          <w:pPr>
            <w:spacing w:before="0" w:beforeLines="0" w:after="0" w:afterLines="0" w:line="240" w:lineRule="auto"/>
            <w:ind w:left="0" w:leftChars="0" w:right="0" w:rightChars="0" w:firstLine="0" w:firstLineChars="0"/>
            <w:jc w:val="center"/>
            <w:rPr>
              <w:b/>
              <w:bCs/>
              <w:sz w:val="32"/>
              <w:szCs w:val="32"/>
            </w:rP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14:paraId="4A9EB9D9">
          <w:pPr>
            <w:pStyle w:val="28"/>
            <w:tabs>
              <w:tab w:val="right" w:leader="dot" w:pos="8313"/>
              <w:tab w:val="clear" w:pos="1120"/>
              <w:tab w:val="clear" w:pos="8505"/>
            </w:tabs>
          </w:pPr>
          <w:r>
            <w:fldChar w:fldCharType="begin"/>
          </w:r>
          <w:r>
            <w:instrText xml:space="preserve">TOC \o "1-2" \h \u </w:instrText>
          </w:r>
          <w:r>
            <w:fldChar w:fldCharType="separate"/>
          </w:r>
          <w:r>
            <w:fldChar w:fldCharType="begin"/>
          </w:r>
          <w:r>
            <w:instrText xml:space="preserve"> HYPERLINK \l _Toc31984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1 章 </w:t>
          </w:r>
          <w:r>
            <w:rPr>
              <w:rFonts w:hint="eastAsia" w:ascii="Times New Roman" w:hAnsi="Times New Roman" w:cs="Times New Roman"/>
              <w:lang w:val="en-US" w:eastAsia="zh-CN"/>
            </w:rPr>
            <w:t>概述</w:t>
          </w:r>
          <w:r>
            <w:tab/>
          </w:r>
          <w:r>
            <w:fldChar w:fldCharType="begin"/>
          </w:r>
          <w:r>
            <w:instrText xml:space="preserve"> PAGEREF _Toc31984 \h </w:instrText>
          </w:r>
          <w:r>
            <w:fldChar w:fldCharType="separate"/>
          </w:r>
          <w:r>
            <w:t>1</w:t>
          </w:r>
          <w:r>
            <w:fldChar w:fldCharType="end"/>
          </w:r>
          <w:r>
            <w:fldChar w:fldCharType="end"/>
          </w:r>
        </w:p>
        <w:p w14:paraId="67FB2F7B">
          <w:pPr>
            <w:pStyle w:val="32"/>
            <w:tabs>
              <w:tab w:val="right" w:leader="dot" w:pos="8313"/>
              <w:tab w:val="clear" w:pos="560"/>
              <w:tab w:val="clear" w:pos="709"/>
              <w:tab w:val="clear" w:pos="1120"/>
              <w:tab w:val="clear" w:pos="8505"/>
            </w:tabs>
          </w:pPr>
          <w:r>
            <w:fldChar w:fldCharType="begin"/>
          </w:r>
          <w:r>
            <w:instrText xml:space="preserve"> HYPERLINK \l _Toc824 </w:instrText>
          </w:r>
          <w:r>
            <w:fldChar w:fldCharType="separate"/>
          </w:r>
          <w:r>
            <w:rPr>
              <w:rFonts w:hint="eastAsia" w:ascii="Times New Roman" w:hAnsi="Times New Roman" w:eastAsia="宋体" w:cs="Times New Roman"/>
              <w:lang w:val="en-US" w:eastAsia="zh-CN"/>
            </w:rPr>
            <w:t>1.1项目由来</w:t>
          </w:r>
          <w:r>
            <w:tab/>
          </w:r>
          <w:r>
            <w:fldChar w:fldCharType="begin"/>
          </w:r>
          <w:r>
            <w:instrText xml:space="preserve"> PAGEREF _Toc824 \h </w:instrText>
          </w:r>
          <w:r>
            <w:fldChar w:fldCharType="separate"/>
          </w:r>
          <w:r>
            <w:t>1</w:t>
          </w:r>
          <w:r>
            <w:fldChar w:fldCharType="end"/>
          </w:r>
          <w:r>
            <w:fldChar w:fldCharType="end"/>
          </w:r>
        </w:p>
        <w:p w14:paraId="72310F90">
          <w:pPr>
            <w:pStyle w:val="32"/>
            <w:tabs>
              <w:tab w:val="right" w:leader="dot" w:pos="8313"/>
              <w:tab w:val="clear" w:pos="560"/>
              <w:tab w:val="clear" w:pos="709"/>
              <w:tab w:val="clear" w:pos="1120"/>
              <w:tab w:val="clear" w:pos="8505"/>
            </w:tabs>
          </w:pPr>
          <w:r>
            <w:fldChar w:fldCharType="begin"/>
          </w:r>
          <w:r>
            <w:instrText xml:space="preserve"> HYPERLINK \l _Toc3446 </w:instrText>
          </w:r>
          <w:r>
            <w:fldChar w:fldCharType="separate"/>
          </w:r>
          <w:r>
            <w:rPr>
              <w:rFonts w:hint="eastAsia" w:ascii="Times New Roman" w:hAnsi="Times New Roman" w:eastAsia="宋体" w:cs="Times New Roman"/>
              <w:lang w:val="en-US" w:eastAsia="zh-CN"/>
            </w:rPr>
            <w:t>1.2工程和环境特点</w:t>
          </w:r>
          <w:r>
            <w:tab/>
          </w:r>
          <w:r>
            <w:fldChar w:fldCharType="begin"/>
          </w:r>
          <w:r>
            <w:instrText xml:space="preserve"> PAGEREF _Toc3446 \h </w:instrText>
          </w:r>
          <w:r>
            <w:fldChar w:fldCharType="separate"/>
          </w:r>
          <w:r>
            <w:t>2</w:t>
          </w:r>
          <w:r>
            <w:fldChar w:fldCharType="end"/>
          </w:r>
          <w:r>
            <w:fldChar w:fldCharType="end"/>
          </w:r>
        </w:p>
        <w:p w14:paraId="6B8B8252">
          <w:pPr>
            <w:pStyle w:val="32"/>
            <w:tabs>
              <w:tab w:val="right" w:leader="dot" w:pos="8313"/>
              <w:tab w:val="clear" w:pos="560"/>
              <w:tab w:val="clear" w:pos="709"/>
              <w:tab w:val="clear" w:pos="1120"/>
              <w:tab w:val="clear" w:pos="8505"/>
            </w:tabs>
          </w:pPr>
          <w:r>
            <w:fldChar w:fldCharType="begin"/>
          </w:r>
          <w:r>
            <w:instrText xml:space="preserve"> HYPERLINK \l _Toc10474 </w:instrText>
          </w:r>
          <w:r>
            <w:fldChar w:fldCharType="separate"/>
          </w:r>
          <w:r>
            <w:rPr>
              <w:rFonts w:hint="eastAsia" w:ascii="Times New Roman" w:hAnsi="Times New Roman" w:eastAsia="宋体" w:cs="Times New Roman"/>
              <w:lang w:val="en-US" w:eastAsia="zh-CN"/>
            </w:rPr>
            <w:t>1.3环境影响评价的工作过程</w:t>
          </w:r>
          <w:r>
            <w:tab/>
          </w:r>
          <w:r>
            <w:fldChar w:fldCharType="begin"/>
          </w:r>
          <w:r>
            <w:instrText xml:space="preserve"> PAGEREF _Toc10474 \h </w:instrText>
          </w:r>
          <w:r>
            <w:fldChar w:fldCharType="separate"/>
          </w:r>
          <w:r>
            <w:t>3</w:t>
          </w:r>
          <w:r>
            <w:fldChar w:fldCharType="end"/>
          </w:r>
          <w:r>
            <w:fldChar w:fldCharType="end"/>
          </w:r>
        </w:p>
        <w:p w14:paraId="73E6068E">
          <w:pPr>
            <w:pStyle w:val="32"/>
            <w:tabs>
              <w:tab w:val="right" w:leader="dot" w:pos="8313"/>
              <w:tab w:val="clear" w:pos="560"/>
              <w:tab w:val="clear" w:pos="709"/>
              <w:tab w:val="clear" w:pos="1120"/>
              <w:tab w:val="clear" w:pos="8505"/>
            </w:tabs>
          </w:pPr>
          <w:r>
            <w:fldChar w:fldCharType="begin"/>
          </w:r>
          <w:r>
            <w:instrText xml:space="preserve"> HYPERLINK \l _Toc13234 </w:instrText>
          </w:r>
          <w:r>
            <w:fldChar w:fldCharType="separate"/>
          </w:r>
          <w:r>
            <w:rPr>
              <w:rFonts w:hint="eastAsia" w:ascii="Times New Roman" w:hAnsi="Times New Roman" w:eastAsia="宋体" w:cs="Times New Roman"/>
              <w:lang w:val="en-US" w:eastAsia="zh-CN"/>
            </w:rPr>
            <w:t>1.4关注的主要环境问题及环境影响</w:t>
          </w:r>
          <w:r>
            <w:tab/>
          </w:r>
          <w:r>
            <w:fldChar w:fldCharType="begin"/>
          </w:r>
          <w:r>
            <w:instrText xml:space="preserve"> PAGEREF _Toc13234 \h </w:instrText>
          </w:r>
          <w:r>
            <w:fldChar w:fldCharType="separate"/>
          </w:r>
          <w:r>
            <w:t>4</w:t>
          </w:r>
          <w:r>
            <w:fldChar w:fldCharType="end"/>
          </w:r>
          <w:r>
            <w:fldChar w:fldCharType="end"/>
          </w:r>
        </w:p>
        <w:p w14:paraId="5118F545">
          <w:pPr>
            <w:pStyle w:val="32"/>
            <w:tabs>
              <w:tab w:val="right" w:leader="dot" w:pos="8313"/>
              <w:tab w:val="clear" w:pos="560"/>
              <w:tab w:val="clear" w:pos="709"/>
              <w:tab w:val="clear" w:pos="1120"/>
              <w:tab w:val="clear" w:pos="8505"/>
            </w:tabs>
          </w:pPr>
          <w:r>
            <w:fldChar w:fldCharType="begin"/>
          </w:r>
          <w:r>
            <w:instrText xml:space="preserve"> HYPERLINK \l _Toc6371 </w:instrText>
          </w:r>
          <w:r>
            <w:fldChar w:fldCharType="separate"/>
          </w:r>
          <w:r>
            <w:rPr>
              <w:rFonts w:hint="eastAsia" w:ascii="Times New Roman" w:hAnsi="Times New Roman" w:eastAsia="宋体" w:cs="Times New Roman"/>
              <w:lang w:val="en-US" w:eastAsia="zh-CN"/>
            </w:rPr>
            <w:t>1.5与产业政策、区域规划的相符性</w:t>
          </w:r>
          <w:r>
            <w:tab/>
          </w:r>
          <w:r>
            <w:fldChar w:fldCharType="begin"/>
          </w:r>
          <w:r>
            <w:instrText xml:space="preserve"> PAGEREF _Toc6371 \h </w:instrText>
          </w:r>
          <w:r>
            <w:fldChar w:fldCharType="separate"/>
          </w:r>
          <w:r>
            <w:t>4</w:t>
          </w:r>
          <w:r>
            <w:fldChar w:fldCharType="end"/>
          </w:r>
          <w:r>
            <w:fldChar w:fldCharType="end"/>
          </w:r>
        </w:p>
        <w:p w14:paraId="506C0FEE">
          <w:pPr>
            <w:pStyle w:val="32"/>
            <w:tabs>
              <w:tab w:val="right" w:leader="dot" w:pos="8313"/>
              <w:tab w:val="clear" w:pos="560"/>
              <w:tab w:val="clear" w:pos="709"/>
              <w:tab w:val="clear" w:pos="1120"/>
              <w:tab w:val="clear" w:pos="8505"/>
            </w:tabs>
          </w:pPr>
          <w:r>
            <w:fldChar w:fldCharType="begin"/>
          </w:r>
          <w:r>
            <w:instrText xml:space="preserve"> HYPERLINK \l _Toc16870 </w:instrText>
          </w:r>
          <w:r>
            <w:fldChar w:fldCharType="separate"/>
          </w:r>
          <w:r>
            <w:rPr>
              <w:rFonts w:hint="eastAsia" w:ascii="Times New Roman" w:hAnsi="Times New Roman" w:eastAsia="宋体" w:cs="Times New Roman"/>
              <w:lang w:val="en-US" w:eastAsia="zh-CN"/>
            </w:rPr>
            <w:t>1.6评价思路及重点</w:t>
          </w:r>
          <w:r>
            <w:tab/>
          </w:r>
          <w:r>
            <w:fldChar w:fldCharType="begin"/>
          </w:r>
          <w:r>
            <w:instrText xml:space="preserve"> PAGEREF _Toc16870 \h </w:instrText>
          </w:r>
          <w:r>
            <w:fldChar w:fldCharType="separate"/>
          </w:r>
          <w:r>
            <w:t>5</w:t>
          </w:r>
          <w:r>
            <w:fldChar w:fldCharType="end"/>
          </w:r>
          <w:r>
            <w:fldChar w:fldCharType="end"/>
          </w:r>
        </w:p>
        <w:p w14:paraId="4B6F158C">
          <w:pPr>
            <w:pStyle w:val="32"/>
            <w:tabs>
              <w:tab w:val="right" w:leader="dot" w:pos="8313"/>
              <w:tab w:val="clear" w:pos="560"/>
              <w:tab w:val="clear" w:pos="709"/>
              <w:tab w:val="clear" w:pos="1120"/>
              <w:tab w:val="clear" w:pos="8505"/>
            </w:tabs>
          </w:pPr>
          <w:r>
            <w:fldChar w:fldCharType="begin"/>
          </w:r>
          <w:r>
            <w:instrText xml:space="preserve"> HYPERLINK \l _Toc16778 </w:instrText>
          </w:r>
          <w:r>
            <w:fldChar w:fldCharType="separate"/>
          </w:r>
          <w:r>
            <w:rPr>
              <w:rFonts w:hint="eastAsia" w:ascii="Times New Roman" w:hAnsi="Times New Roman" w:eastAsia="宋体" w:cs="Times New Roman"/>
              <w:lang w:val="en-US" w:eastAsia="zh-CN"/>
            </w:rPr>
            <w:t>1.7评价工作程序</w:t>
          </w:r>
          <w:r>
            <w:tab/>
          </w:r>
          <w:r>
            <w:fldChar w:fldCharType="begin"/>
          </w:r>
          <w:r>
            <w:instrText xml:space="preserve"> PAGEREF _Toc16778 \h </w:instrText>
          </w:r>
          <w:r>
            <w:fldChar w:fldCharType="separate"/>
          </w:r>
          <w:r>
            <w:t>6</w:t>
          </w:r>
          <w:r>
            <w:fldChar w:fldCharType="end"/>
          </w:r>
          <w:r>
            <w:fldChar w:fldCharType="end"/>
          </w:r>
        </w:p>
        <w:p w14:paraId="76FE8F3E">
          <w:pPr>
            <w:pStyle w:val="32"/>
            <w:tabs>
              <w:tab w:val="right" w:leader="dot" w:pos="8313"/>
              <w:tab w:val="clear" w:pos="560"/>
              <w:tab w:val="clear" w:pos="709"/>
              <w:tab w:val="clear" w:pos="1120"/>
              <w:tab w:val="clear" w:pos="8505"/>
            </w:tabs>
          </w:pPr>
          <w:r>
            <w:fldChar w:fldCharType="begin"/>
          </w:r>
          <w:r>
            <w:instrText xml:space="preserve"> HYPERLINK \l _Toc1352 </w:instrText>
          </w:r>
          <w:r>
            <w:fldChar w:fldCharType="separate"/>
          </w:r>
          <w:r>
            <w:rPr>
              <w:rFonts w:hint="eastAsia" w:ascii="Times New Roman" w:hAnsi="Times New Roman" w:eastAsia="宋体" w:cs="Times New Roman"/>
              <w:lang w:val="en-US" w:eastAsia="zh-CN"/>
            </w:rPr>
            <w:t>1.8环境影响评价的主要结论</w:t>
          </w:r>
          <w:r>
            <w:tab/>
          </w:r>
          <w:r>
            <w:fldChar w:fldCharType="begin"/>
          </w:r>
          <w:r>
            <w:instrText xml:space="preserve"> PAGEREF _Toc1352 \h </w:instrText>
          </w:r>
          <w:r>
            <w:fldChar w:fldCharType="separate"/>
          </w:r>
          <w:r>
            <w:t>7</w:t>
          </w:r>
          <w:r>
            <w:fldChar w:fldCharType="end"/>
          </w:r>
          <w:r>
            <w:fldChar w:fldCharType="end"/>
          </w:r>
        </w:p>
        <w:p w14:paraId="6846D802">
          <w:pPr>
            <w:pStyle w:val="28"/>
            <w:tabs>
              <w:tab w:val="right" w:leader="dot" w:pos="8313"/>
              <w:tab w:val="clear" w:pos="1120"/>
              <w:tab w:val="clear" w:pos="8505"/>
            </w:tabs>
          </w:pPr>
          <w:r>
            <w:fldChar w:fldCharType="begin"/>
          </w:r>
          <w:r>
            <w:instrText xml:space="preserve"> HYPERLINK \l _Toc6658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2 章 </w:t>
          </w:r>
          <w:r>
            <w:rPr>
              <w:rFonts w:hint="eastAsia" w:ascii="Times New Roman" w:hAnsi="Times New Roman" w:cs="Times New Roman"/>
              <w:lang w:val="en-US" w:eastAsia="zh-CN"/>
            </w:rPr>
            <w:t>总则</w:t>
          </w:r>
          <w:r>
            <w:tab/>
          </w:r>
          <w:r>
            <w:fldChar w:fldCharType="begin"/>
          </w:r>
          <w:r>
            <w:instrText xml:space="preserve"> PAGEREF _Toc6658 \h </w:instrText>
          </w:r>
          <w:r>
            <w:fldChar w:fldCharType="separate"/>
          </w:r>
          <w:r>
            <w:t>9</w:t>
          </w:r>
          <w:r>
            <w:fldChar w:fldCharType="end"/>
          </w:r>
          <w:r>
            <w:fldChar w:fldCharType="end"/>
          </w:r>
        </w:p>
        <w:p w14:paraId="1D195EB7">
          <w:pPr>
            <w:pStyle w:val="32"/>
            <w:tabs>
              <w:tab w:val="right" w:leader="dot" w:pos="8313"/>
              <w:tab w:val="clear" w:pos="560"/>
              <w:tab w:val="clear" w:pos="709"/>
              <w:tab w:val="clear" w:pos="1120"/>
              <w:tab w:val="clear" w:pos="8505"/>
            </w:tabs>
          </w:pPr>
          <w:r>
            <w:fldChar w:fldCharType="begin"/>
          </w:r>
          <w:r>
            <w:instrText xml:space="preserve"> HYPERLINK \l _Toc1062 </w:instrText>
          </w:r>
          <w:r>
            <w:fldChar w:fldCharType="separate"/>
          </w:r>
          <w:r>
            <w:rPr>
              <w:rFonts w:hint="eastAsia" w:ascii="Times New Roman" w:hAnsi="Times New Roman" w:eastAsia="宋体" w:cs="Times New Roman"/>
              <w:lang w:val="en-US" w:eastAsia="zh-CN"/>
            </w:rPr>
            <w:t>2.1编制依据</w:t>
          </w:r>
          <w:r>
            <w:tab/>
          </w:r>
          <w:r>
            <w:fldChar w:fldCharType="begin"/>
          </w:r>
          <w:r>
            <w:instrText xml:space="preserve"> PAGEREF _Toc1062 \h </w:instrText>
          </w:r>
          <w:r>
            <w:fldChar w:fldCharType="separate"/>
          </w:r>
          <w:r>
            <w:t>9</w:t>
          </w:r>
          <w:r>
            <w:fldChar w:fldCharType="end"/>
          </w:r>
          <w:r>
            <w:fldChar w:fldCharType="end"/>
          </w:r>
        </w:p>
        <w:p w14:paraId="7FEDA277">
          <w:pPr>
            <w:pStyle w:val="32"/>
            <w:tabs>
              <w:tab w:val="right" w:leader="dot" w:pos="8313"/>
              <w:tab w:val="clear" w:pos="560"/>
              <w:tab w:val="clear" w:pos="709"/>
              <w:tab w:val="clear" w:pos="1120"/>
              <w:tab w:val="clear" w:pos="8505"/>
            </w:tabs>
          </w:pPr>
          <w:r>
            <w:fldChar w:fldCharType="begin"/>
          </w:r>
          <w:r>
            <w:instrText xml:space="preserve"> HYPERLINK \l _Toc13361 </w:instrText>
          </w:r>
          <w:r>
            <w:fldChar w:fldCharType="separate"/>
          </w:r>
          <w:r>
            <w:rPr>
              <w:rFonts w:hint="eastAsia" w:ascii="Times New Roman" w:hAnsi="Times New Roman" w:eastAsia="宋体" w:cs="Times New Roman"/>
              <w:lang w:val="en-US" w:eastAsia="zh-CN"/>
            </w:rPr>
            <w:t>2.2评价对象、评价目的、评价原则</w:t>
          </w:r>
          <w:r>
            <w:tab/>
          </w:r>
          <w:r>
            <w:fldChar w:fldCharType="begin"/>
          </w:r>
          <w:r>
            <w:instrText xml:space="preserve"> PAGEREF _Toc13361 \h </w:instrText>
          </w:r>
          <w:r>
            <w:fldChar w:fldCharType="separate"/>
          </w:r>
          <w:r>
            <w:t>12</w:t>
          </w:r>
          <w:r>
            <w:fldChar w:fldCharType="end"/>
          </w:r>
          <w:r>
            <w:fldChar w:fldCharType="end"/>
          </w:r>
        </w:p>
        <w:p w14:paraId="7F9B2254">
          <w:pPr>
            <w:pStyle w:val="32"/>
            <w:tabs>
              <w:tab w:val="right" w:leader="dot" w:pos="8313"/>
              <w:tab w:val="clear" w:pos="560"/>
              <w:tab w:val="clear" w:pos="709"/>
              <w:tab w:val="clear" w:pos="1120"/>
              <w:tab w:val="clear" w:pos="8505"/>
            </w:tabs>
          </w:pPr>
          <w:r>
            <w:fldChar w:fldCharType="begin"/>
          </w:r>
          <w:r>
            <w:instrText xml:space="preserve"> HYPERLINK \l _Toc25180 </w:instrText>
          </w:r>
          <w:r>
            <w:fldChar w:fldCharType="separate"/>
          </w:r>
          <w:r>
            <w:rPr>
              <w:rFonts w:hint="eastAsia" w:ascii="Times New Roman" w:hAnsi="Times New Roman" w:eastAsia="宋体" w:cs="Times New Roman"/>
              <w:lang w:val="en-US" w:eastAsia="zh-CN"/>
            </w:rPr>
            <w:t>2.3环境影响因子识别与筛选</w:t>
          </w:r>
          <w:r>
            <w:tab/>
          </w:r>
          <w:r>
            <w:fldChar w:fldCharType="begin"/>
          </w:r>
          <w:r>
            <w:instrText xml:space="preserve"> PAGEREF _Toc25180 \h </w:instrText>
          </w:r>
          <w:r>
            <w:fldChar w:fldCharType="separate"/>
          </w:r>
          <w:r>
            <w:t>13</w:t>
          </w:r>
          <w:r>
            <w:fldChar w:fldCharType="end"/>
          </w:r>
          <w:r>
            <w:fldChar w:fldCharType="end"/>
          </w:r>
        </w:p>
        <w:p w14:paraId="0FD290DE">
          <w:pPr>
            <w:pStyle w:val="32"/>
            <w:tabs>
              <w:tab w:val="right" w:leader="dot" w:pos="8313"/>
              <w:tab w:val="clear" w:pos="560"/>
              <w:tab w:val="clear" w:pos="709"/>
              <w:tab w:val="clear" w:pos="1120"/>
              <w:tab w:val="clear" w:pos="8505"/>
            </w:tabs>
          </w:pPr>
          <w:r>
            <w:fldChar w:fldCharType="begin"/>
          </w:r>
          <w:r>
            <w:instrText xml:space="preserve"> HYPERLINK \l _Toc16358 </w:instrText>
          </w:r>
          <w:r>
            <w:fldChar w:fldCharType="separate"/>
          </w:r>
          <w:r>
            <w:rPr>
              <w:rFonts w:hint="eastAsia" w:ascii="Times New Roman" w:hAnsi="Times New Roman" w:eastAsia="宋体" w:cs="Times New Roman"/>
              <w:lang w:val="en-US" w:eastAsia="zh-CN"/>
            </w:rPr>
            <w:t>2.4评价等级</w:t>
          </w:r>
          <w:r>
            <w:tab/>
          </w:r>
          <w:r>
            <w:fldChar w:fldCharType="begin"/>
          </w:r>
          <w:r>
            <w:instrText xml:space="preserve"> PAGEREF _Toc16358 \h </w:instrText>
          </w:r>
          <w:r>
            <w:fldChar w:fldCharType="separate"/>
          </w:r>
          <w:r>
            <w:t>15</w:t>
          </w:r>
          <w:r>
            <w:fldChar w:fldCharType="end"/>
          </w:r>
          <w:r>
            <w:fldChar w:fldCharType="end"/>
          </w:r>
        </w:p>
        <w:p w14:paraId="6C905033">
          <w:pPr>
            <w:pStyle w:val="32"/>
            <w:tabs>
              <w:tab w:val="right" w:leader="dot" w:pos="8313"/>
              <w:tab w:val="clear" w:pos="560"/>
              <w:tab w:val="clear" w:pos="709"/>
              <w:tab w:val="clear" w:pos="1120"/>
              <w:tab w:val="clear" w:pos="8505"/>
            </w:tabs>
          </w:pPr>
          <w:r>
            <w:fldChar w:fldCharType="begin"/>
          </w:r>
          <w:r>
            <w:instrText xml:space="preserve"> HYPERLINK \l _Toc18006 </w:instrText>
          </w:r>
          <w:r>
            <w:fldChar w:fldCharType="separate"/>
          </w:r>
          <w:r>
            <w:rPr>
              <w:rFonts w:hint="eastAsia" w:ascii="Times New Roman" w:hAnsi="Times New Roman" w:eastAsia="宋体" w:cs="Times New Roman"/>
              <w:lang w:val="en-US" w:eastAsia="zh-CN"/>
            </w:rPr>
            <w:t>2.5评价范围</w:t>
          </w:r>
          <w:r>
            <w:tab/>
          </w:r>
          <w:r>
            <w:fldChar w:fldCharType="begin"/>
          </w:r>
          <w:r>
            <w:instrText xml:space="preserve"> PAGEREF _Toc18006 \h </w:instrText>
          </w:r>
          <w:r>
            <w:fldChar w:fldCharType="separate"/>
          </w:r>
          <w:r>
            <w:t>18</w:t>
          </w:r>
          <w:r>
            <w:fldChar w:fldCharType="end"/>
          </w:r>
          <w:r>
            <w:fldChar w:fldCharType="end"/>
          </w:r>
        </w:p>
        <w:p w14:paraId="6B4EA5F0">
          <w:pPr>
            <w:pStyle w:val="32"/>
            <w:tabs>
              <w:tab w:val="right" w:leader="dot" w:pos="8313"/>
              <w:tab w:val="clear" w:pos="560"/>
              <w:tab w:val="clear" w:pos="709"/>
              <w:tab w:val="clear" w:pos="1120"/>
              <w:tab w:val="clear" w:pos="8505"/>
            </w:tabs>
          </w:pPr>
          <w:r>
            <w:fldChar w:fldCharType="begin"/>
          </w:r>
          <w:r>
            <w:instrText xml:space="preserve"> HYPERLINK \l _Toc4178 </w:instrText>
          </w:r>
          <w:r>
            <w:fldChar w:fldCharType="separate"/>
          </w:r>
          <w:r>
            <w:rPr>
              <w:rFonts w:hint="eastAsia" w:ascii="Times New Roman" w:hAnsi="Times New Roman" w:eastAsia="宋体" w:cs="Times New Roman"/>
              <w:lang w:val="en-US" w:eastAsia="zh-CN"/>
            </w:rPr>
            <w:t>2.6污染控制与环境保护目标</w:t>
          </w:r>
          <w:r>
            <w:tab/>
          </w:r>
          <w:r>
            <w:fldChar w:fldCharType="begin"/>
          </w:r>
          <w:r>
            <w:instrText xml:space="preserve"> PAGEREF _Toc4178 \h </w:instrText>
          </w:r>
          <w:r>
            <w:fldChar w:fldCharType="separate"/>
          </w:r>
          <w:r>
            <w:t>18</w:t>
          </w:r>
          <w:r>
            <w:fldChar w:fldCharType="end"/>
          </w:r>
          <w:r>
            <w:fldChar w:fldCharType="end"/>
          </w:r>
        </w:p>
        <w:p w14:paraId="7F23544E">
          <w:pPr>
            <w:pStyle w:val="32"/>
            <w:tabs>
              <w:tab w:val="right" w:leader="dot" w:pos="8313"/>
              <w:tab w:val="clear" w:pos="560"/>
              <w:tab w:val="clear" w:pos="709"/>
              <w:tab w:val="clear" w:pos="1120"/>
              <w:tab w:val="clear" w:pos="8505"/>
            </w:tabs>
          </w:pPr>
          <w:r>
            <w:fldChar w:fldCharType="begin"/>
          </w:r>
          <w:r>
            <w:instrText xml:space="preserve"> HYPERLINK \l _Toc11049 </w:instrText>
          </w:r>
          <w:r>
            <w:fldChar w:fldCharType="separate"/>
          </w:r>
          <w:r>
            <w:rPr>
              <w:rFonts w:hint="eastAsia" w:ascii="Times New Roman" w:hAnsi="Times New Roman" w:eastAsia="宋体" w:cs="Times New Roman"/>
              <w:lang w:val="en-US" w:eastAsia="zh-CN"/>
            </w:rPr>
            <w:t>2.7环境敏感点概述</w:t>
          </w:r>
          <w:r>
            <w:tab/>
          </w:r>
          <w:r>
            <w:fldChar w:fldCharType="begin"/>
          </w:r>
          <w:r>
            <w:instrText xml:space="preserve"> PAGEREF _Toc11049 \h </w:instrText>
          </w:r>
          <w:r>
            <w:fldChar w:fldCharType="separate"/>
          </w:r>
          <w:r>
            <w:t>19</w:t>
          </w:r>
          <w:r>
            <w:fldChar w:fldCharType="end"/>
          </w:r>
          <w:r>
            <w:fldChar w:fldCharType="end"/>
          </w:r>
        </w:p>
        <w:p w14:paraId="7D11572D">
          <w:pPr>
            <w:pStyle w:val="32"/>
            <w:tabs>
              <w:tab w:val="right" w:leader="dot" w:pos="8313"/>
              <w:tab w:val="clear" w:pos="560"/>
              <w:tab w:val="clear" w:pos="709"/>
              <w:tab w:val="clear" w:pos="1120"/>
              <w:tab w:val="clear" w:pos="8505"/>
            </w:tabs>
          </w:pPr>
          <w:r>
            <w:fldChar w:fldCharType="begin"/>
          </w:r>
          <w:r>
            <w:instrText xml:space="preserve"> HYPERLINK \l _Toc32307 </w:instrText>
          </w:r>
          <w:r>
            <w:fldChar w:fldCharType="separate"/>
          </w:r>
          <w:r>
            <w:rPr>
              <w:rFonts w:hint="eastAsia" w:ascii="Times New Roman" w:hAnsi="Times New Roman" w:eastAsia="宋体" w:cs="Times New Roman"/>
              <w:lang w:val="en-US" w:eastAsia="zh-CN"/>
            </w:rPr>
            <w:t>2.8评价标准</w:t>
          </w:r>
          <w:r>
            <w:tab/>
          </w:r>
          <w:r>
            <w:fldChar w:fldCharType="begin"/>
          </w:r>
          <w:r>
            <w:instrText xml:space="preserve"> PAGEREF _Toc32307 \h </w:instrText>
          </w:r>
          <w:r>
            <w:fldChar w:fldCharType="separate"/>
          </w:r>
          <w:r>
            <w:t>20</w:t>
          </w:r>
          <w:r>
            <w:fldChar w:fldCharType="end"/>
          </w:r>
          <w:r>
            <w:fldChar w:fldCharType="end"/>
          </w:r>
        </w:p>
        <w:p w14:paraId="633E11FB">
          <w:pPr>
            <w:pStyle w:val="32"/>
            <w:tabs>
              <w:tab w:val="right" w:leader="dot" w:pos="8313"/>
              <w:tab w:val="clear" w:pos="560"/>
              <w:tab w:val="clear" w:pos="709"/>
              <w:tab w:val="clear" w:pos="1120"/>
              <w:tab w:val="clear" w:pos="8505"/>
            </w:tabs>
          </w:pPr>
          <w:r>
            <w:fldChar w:fldCharType="begin"/>
          </w:r>
          <w:r>
            <w:instrText xml:space="preserve"> HYPERLINK \l _Toc12437 </w:instrText>
          </w:r>
          <w:r>
            <w:fldChar w:fldCharType="separate"/>
          </w:r>
          <w:r>
            <w:rPr>
              <w:rFonts w:hint="eastAsia" w:ascii="Times New Roman" w:hAnsi="Times New Roman" w:eastAsia="宋体" w:cs="Times New Roman"/>
              <w:lang w:val="en-US" w:eastAsia="zh-CN"/>
            </w:rPr>
            <w:t>2.9环境保护责任目标</w:t>
          </w:r>
          <w:r>
            <w:tab/>
          </w:r>
          <w:r>
            <w:fldChar w:fldCharType="begin"/>
          </w:r>
          <w:r>
            <w:instrText xml:space="preserve"> PAGEREF _Toc12437 \h </w:instrText>
          </w:r>
          <w:r>
            <w:fldChar w:fldCharType="separate"/>
          </w:r>
          <w:r>
            <w:t>25</w:t>
          </w:r>
          <w:r>
            <w:fldChar w:fldCharType="end"/>
          </w:r>
          <w:r>
            <w:fldChar w:fldCharType="end"/>
          </w:r>
        </w:p>
        <w:p w14:paraId="5F7E0C29">
          <w:pPr>
            <w:pStyle w:val="32"/>
            <w:tabs>
              <w:tab w:val="right" w:leader="dot" w:pos="8313"/>
              <w:tab w:val="clear" w:pos="560"/>
              <w:tab w:val="clear" w:pos="709"/>
              <w:tab w:val="clear" w:pos="1120"/>
              <w:tab w:val="clear" w:pos="8505"/>
            </w:tabs>
          </w:pPr>
          <w:r>
            <w:fldChar w:fldCharType="begin"/>
          </w:r>
          <w:r>
            <w:instrText xml:space="preserve"> HYPERLINK \l _Toc5214 </w:instrText>
          </w:r>
          <w:r>
            <w:fldChar w:fldCharType="separate"/>
          </w:r>
          <w:r>
            <w:rPr>
              <w:rFonts w:hint="eastAsia" w:ascii="Times New Roman" w:hAnsi="Times New Roman" w:eastAsia="宋体" w:cs="Times New Roman"/>
              <w:lang w:val="en-US" w:eastAsia="zh-CN"/>
            </w:rPr>
            <w:t>2.10规划相符性分析</w:t>
          </w:r>
          <w:r>
            <w:tab/>
          </w:r>
          <w:r>
            <w:fldChar w:fldCharType="begin"/>
          </w:r>
          <w:r>
            <w:instrText xml:space="preserve"> PAGEREF _Toc5214 \h </w:instrText>
          </w:r>
          <w:r>
            <w:fldChar w:fldCharType="separate"/>
          </w:r>
          <w:r>
            <w:t>26</w:t>
          </w:r>
          <w:r>
            <w:fldChar w:fldCharType="end"/>
          </w:r>
          <w:r>
            <w:fldChar w:fldCharType="end"/>
          </w:r>
        </w:p>
        <w:p w14:paraId="25991F6A">
          <w:pPr>
            <w:pStyle w:val="32"/>
            <w:tabs>
              <w:tab w:val="right" w:leader="dot" w:pos="8313"/>
              <w:tab w:val="clear" w:pos="560"/>
              <w:tab w:val="clear" w:pos="709"/>
              <w:tab w:val="clear" w:pos="1120"/>
              <w:tab w:val="clear" w:pos="8505"/>
            </w:tabs>
          </w:pPr>
          <w:r>
            <w:fldChar w:fldCharType="begin"/>
          </w:r>
          <w:r>
            <w:instrText xml:space="preserve"> HYPERLINK \l _Toc16360 </w:instrText>
          </w:r>
          <w:r>
            <w:fldChar w:fldCharType="separate"/>
          </w:r>
          <w:r>
            <w:rPr>
              <w:rFonts w:hint="eastAsia" w:ascii="Times New Roman" w:hAnsi="Times New Roman" w:eastAsia="宋体" w:cs="Times New Roman"/>
              <w:lang w:val="en-US" w:eastAsia="zh-CN"/>
            </w:rPr>
            <w:t>2.11政策相符性分析</w:t>
          </w:r>
          <w:r>
            <w:tab/>
          </w:r>
          <w:r>
            <w:fldChar w:fldCharType="begin"/>
          </w:r>
          <w:r>
            <w:instrText xml:space="preserve"> PAGEREF _Toc16360 \h </w:instrText>
          </w:r>
          <w:r>
            <w:fldChar w:fldCharType="separate"/>
          </w:r>
          <w:r>
            <w:t>41</w:t>
          </w:r>
          <w:r>
            <w:fldChar w:fldCharType="end"/>
          </w:r>
          <w:r>
            <w:fldChar w:fldCharType="end"/>
          </w:r>
        </w:p>
        <w:p w14:paraId="6269656B">
          <w:pPr>
            <w:pStyle w:val="28"/>
            <w:tabs>
              <w:tab w:val="right" w:leader="dot" w:pos="8313"/>
              <w:tab w:val="clear" w:pos="1120"/>
              <w:tab w:val="clear" w:pos="8505"/>
            </w:tabs>
          </w:pPr>
          <w:r>
            <w:fldChar w:fldCharType="begin"/>
          </w:r>
          <w:r>
            <w:instrText xml:space="preserve"> HYPERLINK \l _Toc8585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14:shadow w14:blurRad="0" w14:dist="0" w14:dir="0" w14:sx="0" w14:sy="0" w14:kx="0" w14:ky="0" w14:algn="none">
                <w14:srgbClr w14:val="000000"/>
              </w14:shadow>
            </w:rPr>
            <w:t xml:space="preserve">第 3 章 </w:t>
          </w:r>
          <w:r>
            <w:rPr>
              <w:rFonts w:hint="eastAsia" w:ascii="Times New Roman" w:hAnsi="Times New Roman" w:cs="Times New Roman"/>
              <w:lang w:val="en-US" w:eastAsia="zh-CN"/>
            </w:rPr>
            <w:t>建设项目</w:t>
          </w:r>
          <w:r>
            <w:rPr>
              <w:rFonts w:hint="eastAsia" w:ascii="Times New Roman" w:hAnsi="Times New Roman" w:cs="Times New Roman"/>
            </w:rPr>
            <w:t>工程分析</w:t>
          </w:r>
          <w:r>
            <w:tab/>
          </w:r>
          <w:r>
            <w:fldChar w:fldCharType="begin"/>
          </w:r>
          <w:r>
            <w:instrText xml:space="preserve"> PAGEREF _Toc8585 \h </w:instrText>
          </w:r>
          <w:r>
            <w:fldChar w:fldCharType="separate"/>
          </w:r>
          <w:r>
            <w:t>74</w:t>
          </w:r>
          <w:r>
            <w:fldChar w:fldCharType="end"/>
          </w:r>
          <w:r>
            <w:fldChar w:fldCharType="end"/>
          </w:r>
        </w:p>
        <w:p w14:paraId="69DE3DE9">
          <w:pPr>
            <w:pStyle w:val="32"/>
            <w:tabs>
              <w:tab w:val="right" w:leader="dot" w:pos="8313"/>
              <w:tab w:val="clear" w:pos="560"/>
              <w:tab w:val="clear" w:pos="709"/>
              <w:tab w:val="clear" w:pos="1120"/>
              <w:tab w:val="clear" w:pos="8505"/>
            </w:tabs>
          </w:pPr>
          <w:r>
            <w:fldChar w:fldCharType="begin"/>
          </w:r>
          <w:r>
            <w:instrText xml:space="preserve"> HYPERLINK \l _Toc21783 </w:instrText>
          </w:r>
          <w:r>
            <w:fldChar w:fldCharType="separate"/>
          </w:r>
          <w:r>
            <w:rPr>
              <w:rFonts w:hint="eastAsia" w:ascii="Times New Roman" w:hAnsi="Times New Roman" w:eastAsia="宋体" w:cs="Times New Roman"/>
              <w:lang w:val="en-US" w:eastAsia="zh-CN"/>
            </w:rPr>
            <w:t>3.1本项目工程分析</w:t>
          </w:r>
          <w:r>
            <w:tab/>
          </w:r>
          <w:r>
            <w:fldChar w:fldCharType="begin"/>
          </w:r>
          <w:r>
            <w:instrText xml:space="preserve"> PAGEREF _Toc21783 \h </w:instrText>
          </w:r>
          <w:r>
            <w:fldChar w:fldCharType="separate"/>
          </w:r>
          <w:r>
            <w:t>74</w:t>
          </w:r>
          <w:r>
            <w:fldChar w:fldCharType="end"/>
          </w:r>
          <w:r>
            <w:fldChar w:fldCharType="end"/>
          </w:r>
        </w:p>
        <w:p w14:paraId="7325C8E0">
          <w:pPr>
            <w:pStyle w:val="32"/>
            <w:tabs>
              <w:tab w:val="right" w:leader="dot" w:pos="8313"/>
              <w:tab w:val="clear" w:pos="560"/>
              <w:tab w:val="clear" w:pos="709"/>
              <w:tab w:val="clear" w:pos="1120"/>
              <w:tab w:val="clear" w:pos="8505"/>
            </w:tabs>
          </w:pPr>
          <w:r>
            <w:fldChar w:fldCharType="begin"/>
          </w:r>
          <w:r>
            <w:instrText xml:space="preserve"> HYPERLINK \l _Toc24971 </w:instrText>
          </w:r>
          <w:r>
            <w:fldChar w:fldCharType="separate"/>
          </w:r>
          <w:r>
            <w:rPr>
              <w:rFonts w:hint="eastAsia" w:ascii="Times New Roman" w:hAnsi="Times New Roman" w:eastAsia="宋体" w:cs="Times New Roman"/>
              <w:lang w:val="en-US" w:eastAsia="zh-CN"/>
            </w:rPr>
            <w:t>3.2生产工艺及产污环节</w:t>
          </w:r>
          <w:r>
            <w:tab/>
          </w:r>
          <w:r>
            <w:fldChar w:fldCharType="begin"/>
          </w:r>
          <w:r>
            <w:instrText xml:space="preserve"> PAGEREF _Toc24971 \h </w:instrText>
          </w:r>
          <w:r>
            <w:fldChar w:fldCharType="separate"/>
          </w:r>
          <w:r>
            <w:t>84</w:t>
          </w:r>
          <w:r>
            <w:fldChar w:fldCharType="end"/>
          </w:r>
          <w:r>
            <w:fldChar w:fldCharType="end"/>
          </w:r>
        </w:p>
        <w:p w14:paraId="457C34CD">
          <w:pPr>
            <w:pStyle w:val="32"/>
            <w:tabs>
              <w:tab w:val="right" w:leader="dot" w:pos="8313"/>
              <w:tab w:val="clear" w:pos="560"/>
              <w:tab w:val="clear" w:pos="709"/>
              <w:tab w:val="clear" w:pos="1120"/>
              <w:tab w:val="clear" w:pos="8505"/>
            </w:tabs>
          </w:pPr>
          <w:r>
            <w:fldChar w:fldCharType="begin"/>
          </w:r>
          <w:r>
            <w:instrText xml:space="preserve"> HYPERLINK \l _Toc30091 </w:instrText>
          </w:r>
          <w:r>
            <w:fldChar w:fldCharType="separate"/>
          </w:r>
          <w:r>
            <w:rPr>
              <w:rFonts w:hint="eastAsia" w:ascii="Times New Roman" w:hAnsi="Times New Roman" w:eastAsia="宋体" w:cs="Times New Roman"/>
              <w:lang w:val="en-US" w:eastAsia="zh-CN"/>
            </w:rPr>
            <w:t>3.3物料平衡</w:t>
          </w:r>
          <w:r>
            <w:tab/>
          </w:r>
          <w:r>
            <w:fldChar w:fldCharType="begin"/>
          </w:r>
          <w:r>
            <w:instrText xml:space="preserve"> PAGEREF _Toc30091 \h </w:instrText>
          </w:r>
          <w:r>
            <w:fldChar w:fldCharType="separate"/>
          </w:r>
          <w:r>
            <w:t>100</w:t>
          </w:r>
          <w:r>
            <w:fldChar w:fldCharType="end"/>
          </w:r>
          <w:r>
            <w:fldChar w:fldCharType="end"/>
          </w:r>
        </w:p>
        <w:p w14:paraId="296760F6">
          <w:pPr>
            <w:pStyle w:val="32"/>
            <w:tabs>
              <w:tab w:val="right" w:leader="dot" w:pos="8313"/>
              <w:tab w:val="clear" w:pos="560"/>
              <w:tab w:val="clear" w:pos="709"/>
              <w:tab w:val="clear" w:pos="1120"/>
              <w:tab w:val="clear" w:pos="8505"/>
            </w:tabs>
          </w:pPr>
          <w:r>
            <w:fldChar w:fldCharType="begin"/>
          </w:r>
          <w:r>
            <w:instrText xml:space="preserve"> HYPERLINK \l _Toc16740 </w:instrText>
          </w:r>
          <w:r>
            <w:fldChar w:fldCharType="separate"/>
          </w:r>
          <w:r>
            <w:rPr>
              <w:rFonts w:hint="eastAsia" w:ascii="Times New Roman" w:hAnsi="Times New Roman" w:eastAsia="宋体" w:cs="Times New Roman"/>
              <w:lang w:val="en-US" w:eastAsia="zh-CN"/>
            </w:rPr>
            <w:t>3.4水平衡</w:t>
          </w:r>
          <w:r>
            <w:tab/>
          </w:r>
          <w:r>
            <w:fldChar w:fldCharType="begin"/>
          </w:r>
          <w:r>
            <w:instrText xml:space="preserve"> PAGEREF _Toc16740 \h </w:instrText>
          </w:r>
          <w:r>
            <w:fldChar w:fldCharType="separate"/>
          </w:r>
          <w:r>
            <w:t>104</w:t>
          </w:r>
          <w:r>
            <w:fldChar w:fldCharType="end"/>
          </w:r>
          <w:r>
            <w:fldChar w:fldCharType="end"/>
          </w:r>
        </w:p>
        <w:p w14:paraId="7CD2B4AE">
          <w:pPr>
            <w:pStyle w:val="32"/>
            <w:tabs>
              <w:tab w:val="right" w:leader="dot" w:pos="8313"/>
              <w:tab w:val="clear" w:pos="560"/>
              <w:tab w:val="clear" w:pos="709"/>
              <w:tab w:val="clear" w:pos="1120"/>
              <w:tab w:val="clear" w:pos="8505"/>
            </w:tabs>
          </w:pPr>
          <w:r>
            <w:fldChar w:fldCharType="begin"/>
          </w:r>
          <w:r>
            <w:instrText xml:space="preserve"> HYPERLINK \l _Toc27255 </w:instrText>
          </w:r>
          <w:r>
            <w:fldChar w:fldCharType="separate"/>
          </w:r>
          <w:r>
            <w:rPr>
              <w:rFonts w:hint="eastAsia" w:ascii="Times New Roman" w:hAnsi="Times New Roman" w:eastAsia="宋体" w:cs="Times New Roman"/>
              <w:lang w:val="en-US" w:eastAsia="zh-CN"/>
            </w:rPr>
            <w:t>3..5蒸汽平衡</w:t>
          </w:r>
          <w:r>
            <w:tab/>
          </w:r>
          <w:r>
            <w:fldChar w:fldCharType="begin"/>
          </w:r>
          <w:r>
            <w:instrText xml:space="preserve"> PAGEREF _Toc27255 \h </w:instrText>
          </w:r>
          <w:r>
            <w:fldChar w:fldCharType="separate"/>
          </w:r>
          <w:r>
            <w:t>110</w:t>
          </w:r>
          <w:r>
            <w:fldChar w:fldCharType="end"/>
          </w:r>
          <w:r>
            <w:fldChar w:fldCharType="end"/>
          </w:r>
        </w:p>
        <w:p w14:paraId="55504FA2">
          <w:pPr>
            <w:pStyle w:val="32"/>
            <w:tabs>
              <w:tab w:val="right" w:leader="dot" w:pos="8313"/>
              <w:tab w:val="clear" w:pos="560"/>
              <w:tab w:val="clear" w:pos="709"/>
              <w:tab w:val="clear" w:pos="1120"/>
              <w:tab w:val="clear" w:pos="8505"/>
            </w:tabs>
          </w:pPr>
          <w:r>
            <w:fldChar w:fldCharType="begin"/>
          </w:r>
          <w:r>
            <w:instrText xml:space="preserve"> HYPERLINK \l _Toc7380 </w:instrText>
          </w:r>
          <w:r>
            <w:fldChar w:fldCharType="separate"/>
          </w:r>
          <w:r>
            <w:rPr>
              <w:rFonts w:hint="eastAsia" w:ascii="Times New Roman" w:hAnsi="Times New Roman" w:eastAsia="宋体" w:cs="Times New Roman"/>
              <w:lang w:val="en-US" w:eastAsia="zh-CN"/>
            </w:rPr>
            <w:t>3.6污染物产排情况</w:t>
          </w:r>
          <w:r>
            <w:tab/>
          </w:r>
          <w:r>
            <w:fldChar w:fldCharType="begin"/>
          </w:r>
          <w:r>
            <w:instrText xml:space="preserve"> PAGEREF _Toc7380 \h </w:instrText>
          </w:r>
          <w:r>
            <w:fldChar w:fldCharType="separate"/>
          </w:r>
          <w:r>
            <w:t>110</w:t>
          </w:r>
          <w:r>
            <w:fldChar w:fldCharType="end"/>
          </w:r>
          <w:r>
            <w:fldChar w:fldCharType="end"/>
          </w:r>
        </w:p>
        <w:p w14:paraId="0A89BB2E">
          <w:pPr>
            <w:pStyle w:val="32"/>
            <w:tabs>
              <w:tab w:val="right" w:leader="dot" w:pos="8313"/>
              <w:tab w:val="clear" w:pos="560"/>
              <w:tab w:val="clear" w:pos="709"/>
              <w:tab w:val="clear" w:pos="1120"/>
              <w:tab w:val="clear" w:pos="8505"/>
            </w:tabs>
          </w:pPr>
          <w:r>
            <w:rPr>
              <w:rFonts w:hint="eastAsia" w:ascii="Times New Roman" w:hAnsi="Times New Roman" w:eastAsia="宋体" w:cs="Times New Roman"/>
              <w:lang w:val="en-US" w:eastAsia="zh-CN"/>
            </w:rPr>
            <w:t>3.7污染物排放情况汇总</w:t>
          </w:r>
          <w:r>
            <w:fldChar w:fldCharType="begin"/>
          </w:r>
          <w:r>
            <w:instrText xml:space="preserve"> HYPERLINK \l _Toc17070 </w:instrText>
          </w:r>
          <w:r>
            <w:fldChar w:fldCharType="separate"/>
          </w:r>
          <w:r>
            <w:tab/>
          </w:r>
          <w:r>
            <w:fldChar w:fldCharType="begin"/>
          </w:r>
          <w:r>
            <w:instrText xml:space="preserve"> PAGEREF _Toc17070 \h </w:instrText>
          </w:r>
          <w:r>
            <w:fldChar w:fldCharType="separate"/>
          </w:r>
          <w:r>
            <w:t>138</w:t>
          </w:r>
          <w:r>
            <w:fldChar w:fldCharType="end"/>
          </w:r>
          <w:r>
            <w:fldChar w:fldCharType="end"/>
          </w:r>
        </w:p>
        <w:p w14:paraId="67B545A7">
          <w:pPr>
            <w:pStyle w:val="32"/>
            <w:tabs>
              <w:tab w:val="right" w:leader="dot" w:pos="8313"/>
              <w:tab w:val="clear" w:pos="560"/>
              <w:tab w:val="clear" w:pos="709"/>
              <w:tab w:val="clear" w:pos="1120"/>
              <w:tab w:val="clear" w:pos="8505"/>
            </w:tabs>
          </w:pPr>
          <w:r>
            <w:rPr>
              <w:rFonts w:hint="eastAsia" w:ascii="Times New Roman" w:hAnsi="Times New Roman" w:eastAsia="宋体" w:cs="Times New Roman"/>
              <w:lang w:val="en-US" w:eastAsia="zh-CN"/>
            </w:rPr>
            <w:t>3.8本项目清洁生产分析</w:t>
          </w:r>
          <w:r>
            <w:fldChar w:fldCharType="begin"/>
          </w:r>
          <w:r>
            <w:instrText xml:space="preserve"> HYPERLINK \l _Toc2369 </w:instrText>
          </w:r>
          <w:r>
            <w:fldChar w:fldCharType="separate"/>
          </w:r>
          <w:r>
            <w:tab/>
          </w:r>
          <w:r>
            <w:fldChar w:fldCharType="begin"/>
          </w:r>
          <w:r>
            <w:instrText xml:space="preserve"> PAGEREF _Toc2369 \h </w:instrText>
          </w:r>
          <w:r>
            <w:fldChar w:fldCharType="separate"/>
          </w:r>
          <w:r>
            <w:t>138</w:t>
          </w:r>
          <w:r>
            <w:fldChar w:fldCharType="end"/>
          </w:r>
          <w:r>
            <w:fldChar w:fldCharType="end"/>
          </w:r>
        </w:p>
        <w:p w14:paraId="02B400B0">
          <w:pPr>
            <w:pStyle w:val="28"/>
            <w:tabs>
              <w:tab w:val="right" w:leader="dot" w:pos="8313"/>
              <w:tab w:val="clear" w:pos="1120"/>
              <w:tab w:val="clear" w:pos="8505"/>
            </w:tabs>
          </w:pPr>
          <w:r>
            <w:fldChar w:fldCharType="begin"/>
          </w:r>
          <w:r>
            <w:instrText xml:space="preserve"> HYPERLINK \l _Toc79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14:shadow w14:blurRad="0" w14:dist="0" w14:dir="0" w14:sx="0" w14:sy="0" w14:kx="0" w14:ky="0" w14:algn="none">
                <w14:srgbClr w14:val="000000"/>
              </w14:shadow>
            </w:rPr>
            <w:t xml:space="preserve">第 4 章 </w:t>
          </w:r>
          <w:r>
            <w:rPr>
              <w:rFonts w:hint="eastAsia" w:ascii="Times New Roman" w:hAnsi="Times New Roman" w:cs="Times New Roman"/>
            </w:rPr>
            <w:t>自然环境概况与环境质量现状</w:t>
          </w:r>
          <w:r>
            <w:tab/>
          </w:r>
          <w:r>
            <w:fldChar w:fldCharType="begin"/>
          </w:r>
          <w:r>
            <w:instrText xml:space="preserve"> PAGEREF _Toc79 \h </w:instrText>
          </w:r>
          <w:r>
            <w:fldChar w:fldCharType="separate"/>
          </w:r>
          <w:r>
            <w:t>149</w:t>
          </w:r>
          <w:r>
            <w:fldChar w:fldCharType="end"/>
          </w:r>
          <w:r>
            <w:fldChar w:fldCharType="end"/>
          </w:r>
        </w:p>
        <w:p w14:paraId="69248415">
          <w:pPr>
            <w:pStyle w:val="32"/>
            <w:tabs>
              <w:tab w:val="right" w:leader="dot" w:pos="8313"/>
              <w:tab w:val="clear" w:pos="560"/>
              <w:tab w:val="clear" w:pos="709"/>
              <w:tab w:val="clear" w:pos="1120"/>
              <w:tab w:val="clear" w:pos="8505"/>
            </w:tabs>
          </w:pPr>
          <w:r>
            <w:fldChar w:fldCharType="begin"/>
          </w:r>
          <w:r>
            <w:instrText xml:space="preserve"> HYPERLINK \l _Toc8512 </w:instrText>
          </w:r>
          <w:r>
            <w:fldChar w:fldCharType="separate"/>
          </w:r>
          <w:r>
            <w:rPr>
              <w:rFonts w:hint="eastAsia" w:ascii="Times New Roman" w:hAnsi="Times New Roman" w:eastAsia="宋体" w:cs="Times New Roman"/>
              <w:lang w:val="en-US" w:eastAsia="zh-CN"/>
            </w:rPr>
            <w:t>4.1自然环境概况</w:t>
          </w:r>
          <w:r>
            <w:tab/>
          </w:r>
          <w:r>
            <w:fldChar w:fldCharType="begin"/>
          </w:r>
          <w:r>
            <w:instrText xml:space="preserve"> PAGEREF _Toc8512 \h </w:instrText>
          </w:r>
          <w:r>
            <w:fldChar w:fldCharType="separate"/>
          </w:r>
          <w:r>
            <w:t>149</w:t>
          </w:r>
          <w:r>
            <w:fldChar w:fldCharType="end"/>
          </w:r>
          <w:r>
            <w:fldChar w:fldCharType="end"/>
          </w:r>
        </w:p>
        <w:p w14:paraId="6C2C4AFA">
          <w:pPr>
            <w:pStyle w:val="32"/>
            <w:tabs>
              <w:tab w:val="right" w:leader="dot" w:pos="8313"/>
              <w:tab w:val="clear" w:pos="560"/>
              <w:tab w:val="clear" w:pos="709"/>
              <w:tab w:val="clear" w:pos="1120"/>
              <w:tab w:val="clear" w:pos="8505"/>
            </w:tabs>
          </w:pPr>
          <w:r>
            <w:fldChar w:fldCharType="begin"/>
          </w:r>
          <w:r>
            <w:instrText xml:space="preserve"> HYPERLINK \l _Toc14539 </w:instrText>
          </w:r>
          <w:r>
            <w:fldChar w:fldCharType="separate"/>
          </w:r>
          <w:r>
            <w:rPr>
              <w:rFonts w:hint="eastAsia" w:ascii="Times New Roman" w:hAnsi="Times New Roman" w:eastAsia="宋体" w:cs="Times New Roman"/>
              <w:lang w:val="en-US" w:eastAsia="zh-CN"/>
            </w:rPr>
            <w:t>4.2环境质量现状监测与评价</w:t>
          </w:r>
          <w:r>
            <w:tab/>
          </w:r>
          <w:r>
            <w:fldChar w:fldCharType="begin"/>
          </w:r>
          <w:r>
            <w:instrText xml:space="preserve"> PAGEREF _Toc14539 \h </w:instrText>
          </w:r>
          <w:r>
            <w:fldChar w:fldCharType="separate"/>
          </w:r>
          <w:r>
            <w:t>152</w:t>
          </w:r>
          <w:r>
            <w:fldChar w:fldCharType="end"/>
          </w:r>
          <w:r>
            <w:fldChar w:fldCharType="end"/>
          </w:r>
        </w:p>
        <w:p w14:paraId="450AB919">
          <w:pPr>
            <w:pStyle w:val="32"/>
            <w:tabs>
              <w:tab w:val="right" w:leader="dot" w:pos="8313"/>
              <w:tab w:val="clear" w:pos="560"/>
              <w:tab w:val="clear" w:pos="709"/>
              <w:tab w:val="clear" w:pos="1120"/>
              <w:tab w:val="clear" w:pos="8505"/>
            </w:tabs>
          </w:pPr>
          <w:r>
            <w:fldChar w:fldCharType="begin"/>
          </w:r>
          <w:r>
            <w:instrText xml:space="preserve"> HYPERLINK \l _Toc7427 </w:instrText>
          </w:r>
          <w:r>
            <w:fldChar w:fldCharType="separate"/>
          </w:r>
          <w:r>
            <w:rPr>
              <w:rFonts w:hint="eastAsia" w:ascii="Times New Roman" w:hAnsi="Times New Roman" w:eastAsia="宋体" w:cs="Times New Roman"/>
              <w:lang w:val="en-US" w:eastAsia="zh-CN"/>
            </w:rPr>
            <w:t>4.3区域污染源调查</w:t>
          </w:r>
          <w:r>
            <w:tab/>
          </w:r>
          <w:r>
            <w:fldChar w:fldCharType="begin"/>
          </w:r>
          <w:r>
            <w:instrText xml:space="preserve"> PAGEREF _Toc7427 \h </w:instrText>
          </w:r>
          <w:r>
            <w:fldChar w:fldCharType="separate"/>
          </w:r>
          <w:r>
            <w:t>176</w:t>
          </w:r>
          <w:r>
            <w:fldChar w:fldCharType="end"/>
          </w:r>
          <w:r>
            <w:fldChar w:fldCharType="end"/>
          </w:r>
        </w:p>
        <w:p w14:paraId="324BCB75">
          <w:pPr>
            <w:pStyle w:val="28"/>
            <w:tabs>
              <w:tab w:val="right" w:leader="dot" w:pos="8313"/>
              <w:tab w:val="clear" w:pos="1120"/>
              <w:tab w:val="clear" w:pos="8505"/>
            </w:tabs>
          </w:pPr>
          <w:r>
            <w:fldChar w:fldCharType="begin"/>
          </w:r>
          <w:r>
            <w:instrText xml:space="preserve"> HYPERLINK \l _Toc25095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14:shadow w14:blurRad="0" w14:dist="0" w14:dir="0" w14:sx="0" w14:sy="0" w14:kx="0" w14:ky="0" w14:algn="none">
                <w14:srgbClr w14:val="000000"/>
              </w14:shadow>
            </w:rPr>
            <w:t xml:space="preserve">第 5 章 </w:t>
          </w:r>
          <w:r>
            <w:rPr>
              <w:rFonts w:hint="eastAsia"/>
            </w:rPr>
            <w:t>环境影响预测与评价</w:t>
          </w:r>
          <w:r>
            <w:tab/>
          </w:r>
          <w:r>
            <w:fldChar w:fldCharType="begin"/>
          </w:r>
          <w:r>
            <w:instrText xml:space="preserve"> PAGEREF _Toc25095 \h </w:instrText>
          </w:r>
          <w:r>
            <w:fldChar w:fldCharType="separate"/>
          </w:r>
          <w:r>
            <w:t>179</w:t>
          </w:r>
          <w:r>
            <w:fldChar w:fldCharType="end"/>
          </w:r>
          <w:r>
            <w:fldChar w:fldCharType="end"/>
          </w:r>
        </w:p>
        <w:p w14:paraId="3FDA914E">
          <w:pPr>
            <w:pStyle w:val="32"/>
            <w:tabs>
              <w:tab w:val="right" w:leader="dot" w:pos="8313"/>
              <w:tab w:val="clear" w:pos="560"/>
              <w:tab w:val="clear" w:pos="709"/>
              <w:tab w:val="clear" w:pos="1120"/>
              <w:tab w:val="clear" w:pos="8505"/>
            </w:tabs>
          </w:pPr>
          <w:r>
            <w:fldChar w:fldCharType="begin"/>
          </w:r>
          <w:r>
            <w:instrText xml:space="preserve"> HYPERLINK \l _Toc10088 </w:instrText>
          </w:r>
          <w:r>
            <w:fldChar w:fldCharType="separate"/>
          </w:r>
          <w:r>
            <w:rPr>
              <w:rFonts w:hint="eastAsia"/>
              <w:lang w:val="en-US" w:eastAsia="zh-CN"/>
            </w:rPr>
            <w:t>5.1施工期环境影响分析</w:t>
          </w:r>
          <w:r>
            <w:tab/>
          </w:r>
          <w:r>
            <w:fldChar w:fldCharType="begin"/>
          </w:r>
          <w:r>
            <w:instrText xml:space="preserve"> PAGEREF _Toc10088 \h </w:instrText>
          </w:r>
          <w:r>
            <w:fldChar w:fldCharType="separate"/>
          </w:r>
          <w:r>
            <w:t>179</w:t>
          </w:r>
          <w:r>
            <w:fldChar w:fldCharType="end"/>
          </w:r>
          <w:r>
            <w:fldChar w:fldCharType="end"/>
          </w:r>
        </w:p>
        <w:p w14:paraId="0241184E">
          <w:pPr>
            <w:pStyle w:val="32"/>
            <w:tabs>
              <w:tab w:val="right" w:leader="dot" w:pos="8313"/>
              <w:tab w:val="clear" w:pos="560"/>
              <w:tab w:val="clear" w:pos="709"/>
              <w:tab w:val="clear" w:pos="1120"/>
              <w:tab w:val="clear" w:pos="8505"/>
            </w:tabs>
          </w:pPr>
          <w:r>
            <w:fldChar w:fldCharType="begin"/>
          </w:r>
          <w:r>
            <w:instrText xml:space="preserve"> HYPERLINK \l _Toc7597 </w:instrText>
          </w:r>
          <w:r>
            <w:fldChar w:fldCharType="separate"/>
          </w:r>
          <w:r>
            <w:rPr>
              <w:rFonts w:hint="eastAsia"/>
              <w:lang w:val="en-US" w:eastAsia="zh-CN"/>
            </w:rPr>
            <w:t>5.2环境空气质量影响预测与评价</w:t>
          </w:r>
          <w:r>
            <w:tab/>
          </w:r>
          <w:r>
            <w:fldChar w:fldCharType="begin"/>
          </w:r>
          <w:r>
            <w:instrText xml:space="preserve"> PAGEREF _Toc7597 \h </w:instrText>
          </w:r>
          <w:r>
            <w:fldChar w:fldCharType="separate"/>
          </w:r>
          <w:r>
            <w:t>185</w:t>
          </w:r>
          <w:r>
            <w:fldChar w:fldCharType="end"/>
          </w:r>
          <w:r>
            <w:fldChar w:fldCharType="end"/>
          </w:r>
        </w:p>
        <w:p w14:paraId="12E4B15B">
          <w:pPr>
            <w:pStyle w:val="32"/>
            <w:tabs>
              <w:tab w:val="right" w:leader="dot" w:pos="8313"/>
              <w:tab w:val="clear" w:pos="560"/>
              <w:tab w:val="clear" w:pos="709"/>
              <w:tab w:val="clear" w:pos="1120"/>
              <w:tab w:val="clear" w:pos="8505"/>
            </w:tabs>
          </w:pPr>
          <w:r>
            <w:fldChar w:fldCharType="begin"/>
          </w:r>
          <w:r>
            <w:instrText xml:space="preserve"> HYPERLINK \l _Toc7316 </w:instrText>
          </w:r>
          <w:r>
            <w:fldChar w:fldCharType="separate"/>
          </w:r>
          <w:r>
            <w:rPr>
              <w:rFonts w:hint="eastAsia"/>
              <w:lang w:val="en-US" w:eastAsia="zh-CN"/>
            </w:rPr>
            <w:t>5.3地表水环境影响评价</w:t>
          </w:r>
          <w:r>
            <w:tab/>
          </w:r>
          <w:r>
            <w:fldChar w:fldCharType="begin"/>
          </w:r>
          <w:r>
            <w:instrText xml:space="preserve"> PAGEREF _Toc7316 \h </w:instrText>
          </w:r>
          <w:r>
            <w:fldChar w:fldCharType="separate"/>
          </w:r>
          <w:r>
            <w:t>192</w:t>
          </w:r>
          <w:r>
            <w:fldChar w:fldCharType="end"/>
          </w:r>
          <w:r>
            <w:fldChar w:fldCharType="end"/>
          </w:r>
        </w:p>
        <w:p w14:paraId="3ACC530F">
          <w:pPr>
            <w:pStyle w:val="32"/>
            <w:tabs>
              <w:tab w:val="right" w:leader="dot" w:pos="8313"/>
              <w:tab w:val="clear" w:pos="560"/>
              <w:tab w:val="clear" w:pos="709"/>
              <w:tab w:val="clear" w:pos="1120"/>
              <w:tab w:val="clear" w:pos="8505"/>
            </w:tabs>
          </w:pPr>
          <w:r>
            <w:fldChar w:fldCharType="begin"/>
          </w:r>
          <w:r>
            <w:instrText xml:space="preserve"> HYPERLINK \l _Toc7146 </w:instrText>
          </w:r>
          <w:r>
            <w:fldChar w:fldCharType="separate"/>
          </w:r>
          <w:r>
            <w:rPr>
              <w:rFonts w:hint="eastAsia"/>
              <w:lang w:val="en-US" w:eastAsia="zh-CN"/>
            </w:rPr>
            <w:t>5.4声环境影响评价</w:t>
          </w:r>
          <w:r>
            <w:tab/>
          </w:r>
          <w:r>
            <w:fldChar w:fldCharType="begin"/>
          </w:r>
          <w:r>
            <w:instrText xml:space="preserve"> PAGEREF _Toc7146 \h </w:instrText>
          </w:r>
          <w:r>
            <w:fldChar w:fldCharType="separate"/>
          </w:r>
          <w:r>
            <w:t>199</w:t>
          </w:r>
          <w:r>
            <w:fldChar w:fldCharType="end"/>
          </w:r>
          <w:r>
            <w:fldChar w:fldCharType="end"/>
          </w:r>
        </w:p>
        <w:p w14:paraId="6E38CE52">
          <w:pPr>
            <w:pStyle w:val="32"/>
            <w:tabs>
              <w:tab w:val="right" w:leader="dot" w:pos="8313"/>
              <w:tab w:val="clear" w:pos="560"/>
              <w:tab w:val="clear" w:pos="709"/>
              <w:tab w:val="clear" w:pos="1120"/>
              <w:tab w:val="clear" w:pos="8505"/>
            </w:tabs>
          </w:pPr>
          <w:r>
            <w:fldChar w:fldCharType="begin"/>
          </w:r>
          <w:r>
            <w:instrText xml:space="preserve"> HYPERLINK \l _Toc1587 </w:instrText>
          </w:r>
          <w:r>
            <w:fldChar w:fldCharType="separate"/>
          </w:r>
          <w:r>
            <w:rPr>
              <w:rFonts w:hint="eastAsia"/>
              <w:lang w:val="en-US" w:eastAsia="zh-CN"/>
            </w:rPr>
            <w:t>5.5固体废物环境影响分析</w:t>
          </w:r>
          <w:r>
            <w:tab/>
          </w:r>
          <w:r>
            <w:fldChar w:fldCharType="begin"/>
          </w:r>
          <w:r>
            <w:instrText xml:space="preserve"> PAGEREF _Toc1587 \h </w:instrText>
          </w:r>
          <w:r>
            <w:fldChar w:fldCharType="separate"/>
          </w:r>
          <w:r>
            <w:t>205</w:t>
          </w:r>
          <w:r>
            <w:fldChar w:fldCharType="end"/>
          </w:r>
          <w:r>
            <w:fldChar w:fldCharType="end"/>
          </w:r>
        </w:p>
        <w:p w14:paraId="261208B9">
          <w:pPr>
            <w:pStyle w:val="32"/>
            <w:tabs>
              <w:tab w:val="right" w:leader="dot" w:pos="8313"/>
              <w:tab w:val="clear" w:pos="560"/>
              <w:tab w:val="clear" w:pos="709"/>
              <w:tab w:val="clear" w:pos="1120"/>
              <w:tab w:val="clear" w:pos="8505"/>
            </w:tabs>
          </w:pPr>
          <w:r>
            <w:fldChar w:fldCharType="begin"/>
          </w:r>
          <w:r>
            <w:instrText xml:space="preserve"> HYPERLINK \l _Toc14631 </w:instrText>
          </w:r>
          <w:r>
            <w:fldChar w:fldCharType="separate"/>
          </w:r>
          <w:r>
            <w:rPr>
              <w:rFonts w:hint="eastAsia"/>
              <w:lang w:val="en-US" w:eastAsia="zh-CN"/>
            </w:rPr>
            <w:t>5.6地下水环境影响评价</w:t>
          </w:r>
          <w:r>
            <w:tab/>
          </w:r>
          <w:r>
            <w:fldChar w:fldCharType="begin"/>
          </w:r>
          <w:r>
            <w:instrText xml:space="preserve"> PAGEREF _Toc14631 \h </w:instrText>
          </w:r>
          <w:r>
            <w:fldChar w:fldCharType="separate"/>
          </w:r>
          <w:r>
            <w:t>208</w:t>
          </w:r>
          <w:r>
            <w:fldChar w:fldCharType="end"/>
          </w:r>
          <w:r>
            <w:fldChar w:fldCharType="end"/>
          </w:r>
        </w:p>
        <w:p w14:paraId="6D714CFC">
          <w:pPr>
            <w:pStyle w:val="32"/>
            <w:tabs>
              <w:tab w:val="right" w:leader="dot" w:pos="8313"/>
              <w:tab w:val="clear" w:pos="560"/>
              <w:tab w:val="clear" w:pos="709"/>
              <w:tab w:val="clear" w:pos="1120"/>
              <w:tab w:val="clear" w:pos="8505"/>
            </w:tabs>
          </w:pPr>
          <w:r>
            <w:fldChar w:fldCharType="begin"/>
          </w:r>
          <w:r>
            <w:instrText xml:space="preserve"> HYPERLINK \l _Toc2767 </w:instrText>
          </w:r>
          <w:r>
            <w:fldChar w:fldCharType="separate"/>
          </w:r>
          <w:r>
            <w:rPr>
              <w:rFonts w:hint="eastAsia"/>
              <w:lang w:val="en-US" w:eastAsia="zh-CN"/>
            </w:rPr>
            <w:t>5.7土壤环境影响预测</w:t>
          </w:r>
          <w:r>
            <w:tab/>
          </w:r>
          <w:r>
            <w:fldChar w:fldCharType="begin"/>
          </w:r>
          <w:r>
            <w:instrText xml:space="preserve"> PAGEREF _Toc2767 \h </w:instrText>
          </w:r>
          <w:r>
            <w:fldChar w:fldCharType="separate"/>
          </w:r>
          <w:r>
            <w:t>22</w:t>
          </w:r>
          <w:r>
            <w:rPr>
              <w:rFonts w:hint="eastAsia"/>
              <w:lang w:val="en-US" w:eastAsia="zh-CN"/>
            </w:rPr>
            <w:t>5</w:t>
          </w:r>
          <w:r>
            <w:fldChar w:fldCharType="end"/>
          </w:r>
          <w:r>
            <w:fldChar w:fldCharType="end"/>
          </w:r>
        </w:p>
        <w:p w14:paraId="64C428D9">
          <w:pPr>
            <w:pStyle w:val="32"/>
            <w:tabs>
              <w:tab w:val="right" w:leader="dot" w:pos="8313"/>
              <w:tab w:val="clear" w:pos="560"/>
              <w:tab w:val="clear" w:pos="709"/>
              <w:tab w:val="clear" w:pos="1120"/>
              <w:tab w:val="clear" w:pos="8505"/>
            </w:tabs>
          </w:pPr>
          <w:r>
            <w:fldChar w:fldCharType="begin"/>
          </w:r>
          <w:r>
            <w:instrText xml:space="preserve"> HYPERLINK \l _Toc22143 </w:instrText>
          </w:r>
          <w:r>
            <w:fldChar w:fldCharType="separate"/>
          </w:r>
          <w:r>
            <w:rPr>
              <w:rFonts w:hint="eastAsia"/>
              <w:lang w:val="en-US" w:eastAsia="zh-CN"/>
            </w:rPr>
            <w:t>5.8生态环境影响分析</w:t>
          </w:r>
          <w:r>
            <w:tab/>
          </w:r>
          <w:r>
            <w:fldChar w:fldCharType="begin"/>
          </w:r>
          <w:r>
            <w:instrText xml:space="preserve"> PAGEREF _Toc22143 \h </w:instrText>
          </w:r>
          <w:r>
            <w:fldChar w:fldCharType="separate"/>
          </w:r>
          <w:r>
            <w:t>234</w:t>
          </w:r>
          <w:r>
            <w:fldChar w:fldCharType="end"/>
          </w:r>
          <w:r>
            <w:fldChar w:fldCharType="end"/>
          </w:r>
        </w:p>
        <w:p w14:paraId="6BC0255A">
          <w:pPr>
            <w:pStyle w:val="28"/>
            <w:tabs>
              <w:tab w:val="right" w:leader="dot" w:pos="8313"/>
              <w:tab w:val="clear" w:pos="1120"/>
              <w:tab w:val="clear" w:pos="8505"/>
            </w:tabs>
          </w:pPr>
          <w:r>
            <w:fldChar w:fldCharType="begin"/>
          </w:r>
          <w:r>
            <w:instrText xml:space="preserve"> HYPERLINK \l _Toc28901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6 章 </w:t>
          </w:r>
          <w:r>
            <w:rPr>
              <w:rFonts w:hint="eastAsia" w:ascii="Times New Roman" w:hAnsi="Times New Roman" w:cs="Times New Roman"/>
              <w:lang w:val="en-US" w:eastAsia="zh-CN"/>
            </w:rPr>
            <w:t>环境风险评价</w:t>
          </w:r>
          <w:r>
            <w:tab/>
          </w:r>
          <w:r>
            <w:fldChar w:fldCharType="begin"/>
          </w:r>
          <w:r>
            <w:instrText xml:space="preserve"> PAGEREF _Toc28901 \h </w:instrText>
          </w:r>
          <w:r>
            <w:fldChar w:fldCharType="separate"/>
          </w:r>
          <w:r>
            <w:t>235</w:t>
          </w:r>
          <w:r>
            <w:fldChar w:fldCharType="end"/>
          </w:r>
          <w:r>
            <w:fldChar w:fldCharType="end"/>
          </w:r>
        </w:p>
        <w:p w14:paraId="54F039FC">
          <w:pPr>
            <w:pStyle w:val="32"/>
            <w:tabs>
              <w:tab w:val="right" w:leader="dot" w:pos="8313"/>
              <w:tab w:val="clear" w:pos="560"/>
              <w:tab w:val="clear" w:pos="709"/>
              <w:tab w:val="clear" w:pos="1120"/>
              <w:tab w:val="clear" w:pos="8505"/>
            </w:tabs>
          </w:pPr>
          <w:r>
            <w:fldChar w:fldCharType="begin"/>
          </w:r>
          <w:r>
            <w:instrText xml:space="preserve"> HYPERLINK \l _Toc11013 </w:instrText>
          </w:r>
          <w:r>
            <w:fldChar w:fldCharType="separate"/>
          </w:r>
          <w:r>
            <w:rPr>
              <w:rFonts w:hint="eastAsia"/>
              <w:lang w:val="en-US" w:eastAsia="zh-CN"/>
            </w:rPr>
            <w:t>6.1风险调查</w:t>
          </w:r>
          <w:r>
            <w:tab/>
          </w:r>
          <w:r>
            <w:fldChar w:fldCharType="begin"/>
          </w:r>
          <w:r>
            <w:instrText xml:space="preserve"> PAGEREF _Toc11013 \h </w:instrText>
          </w:r>
          <w:r>
            <w:fldChar w:fldCharType="separate"/>
          </w:r>
          <w:r>
            <w:t>236</w:t>
          </w:r>
          <w:r>
            <w:fldChar w:fldCharType="end"/>
          </w:r>
          <w:r>
            <w:fldChar w:fldCharType="end"/>
          </w:r>
        </w:p>
        <w:p w14:paraId="6A079F87">
          <w:pPr>
            <w:pStyle w:val="32"/>
            <w:tabs>
              <w:tab w:val="right" w:leader="dot" w:pos="8313"/>
              <w:tab w:val="clear" w:pos="560"/>
              <w:tab w:val="clear" w:pos="709"/>
              <w:tab w:val="clear" w:pos="1120"/>
              <w:tab w:val="clear" w:pos="8505"/>
            </w:tabs>
          </w:pPr>
          <w:r>
            <w:fldChar w:fldCharType="begin"/>
          </w:r>
          <w:r>
            <w:instrText xml:space="preserve"> HYPERLINK \l _Toc7070 </w:instrText>
          </w:r>
          <w:r>
            <w:fldChar w:fldCharType="separate"/>
          </w:r>
          <w:r>
            <w:rPr>
              <w:rFonts w:hint="eastAsia"/>
              <w:lang w:val="en-US" w:eastAsia="zh-CN"/>
            </w:rPr>
            <w:t>6.2本项目环境风险潜势调查</w:t>
          </w:r>
          <w:r>
            <w:tab/>
          </w:r>
          <w:r>
            <w:fldChar w:fldCharType="begin"/>
          </w:r>
          <w:r>
            <w:instrText xml:space="preserve"> PAGEREF _Toc7070 \h </w:instrText>
          </w:r>
          <w:r>
            <w:fldChar w:fldCharType="separate"/>
          </w:r>
          <w:r>
            <w:t>240</w:t>
          </w:r>
          <w:r>
            <w:fldChar w:fldCharType="end"/>
          </w:r>
          <w:r>
            <w:fldChar w:fldCharType="end"/>
          </w:r>
        </w:p>
        <w:p w14:paraId="716BB12C">
          <w:pPr>
            <w:pStyle w:val="32"/>
            <w:tabs>
              <w:tab w:val="right" w:leader="dot" w:pos="8313"/>
              <w:tab w:val="clear" w:pos="560"/>
              <w:tab w:val="clear" w:pos="709"/>
              <w:tab w:val="clear" w:pos="1120"/>
              <w:tab w:val="clear" w:pos="8505"/>
            </w:tabs>
          </w:pPr>
          <w:r>
            <w:fldChar w:fldCharType="begin"/>
          </w:r>
          <w:r>
            <w:instrText xml:space="preserve"> HYPERLINK \l _Toc31766 </w:instrText>
          </w:r>
          <w:r>
            <w:fldChar w:fldCharType="separate"/>
          </w:r>
          <w:r>
            <w:rPr>
              <w:rFonts w:hint="eastAsia"/>
              <w:lang w:val="en-US" w:eastAsia="zh-CN"/>
            </w:rPr>
            <w:t>6.3环境风险识别</w:t>
          </w:r>
          <w:r>
            <w:tab/>
          </w:r>
          <w:r>
            <w:fldChar w:fldCharType="begin"/>
          </w:r>
          <w:r>
            <w:instrText xml:space="preserve"> PAGEREF _Toc31766 \h </w:instrText>
          </w:r>
          <w:r>
            <w:fldChar w:fldCharType="separate"/>
          </w:r>
          <w:r>
            <w:t>246</w:t>
          </w:r>
          <w:r>
            <w:fldChar w:fldCharType="end"/>
          </w:r>
          <w:r>
            <w:fldChar w:fldCharType="end"/>
          </w:r>
        </w:p>
        <w:p w14:paraId="6C14812C">
          <w:pPr>
            <w:pStyle w:val="32"/>
            <w:tabs>
              <w:tab w:val="right" w:leader="dot" w:pos="8313"/>
              <w:tab w:val="clear" w:pos="560"/>
              <w:tab w:val="clear" w:pos="709"/>
              <w:tab w:val="clear" w:pos="1120"/>
              <w:tab w:val="clear" w:pos="8505"/>
            </w:tabs>
          </w:pPr>
          <w:r>
            <w:fldChar w:fldCharType="begin"/>
          </w:r>
          <w:r>
            <w:instrText xml:space="preserve"> HYPERLINK \l _Toc22104 </w:instrText>
          </w:r>
          <w:r>
            <w:fldChar w:fldCharType="separate"/>
          </w:r>
          <w:r>
            <w:rPr>
              <w:rFonts w:hint="eastAsia"/>
              <w:lang w:val="en-US" w:eastAsia="zh-CN"/>
            </w:rPr>
            <w:t>6.4风险事故情形分析</w:t>
          </w:r>
          <w:r>
            <w:tab/>
          </w:r>
          <w:r>
            <w:fldChar w:fldCharType="begin"/>
          </w:r>
          <w:r>
            <w:instrText xml:space="preserve"> PAGEREF _Toc22104 \h </w:instrText>
          </w:r>
          <w:r>
            <w:fldChar w:fldCharType="separate"/>
          </w:r>
          <w:r>
            <w:t>253</w:t>
          </w:r>
          <w:r>
            <w:fldChar w:fldCharType="end"/>
          </w:r>
          <w:r>
            <w:fldChar w:fldCharType="end"/>
          </w:r>
        </w:p>
        <w:p w14:paraId="26978968">
          <w:pPr>
            <w:pStyle w:val="32"/>
            <w:tabs>
              <w:tab w:val="right" w:leader="dot" w:pos="8313"/>
              <w:tab w:val="clear" w:pos="560"/>
              <w:tab w:val="clear" w:pos="709"/>
              <w:tab w:val="clear" w:pos="1120"/>
              <w:tab w:val="clear" w:pos="8505"/>
            </w:tabs>
          </w:pPr>
          <w:r>
            <w:fldChar w:fldCharType="begin"/>
          </w:r>
          <w:r>
            <w:instrText xml:space="preserve"> HYPERLINK \l _Toc23875 </w:instrText>
          </w:r>
          <w:r>
            <w:fldChar w:fldCharType="separate"/>
          </w:r>
          <w:r>
            <w:rPr>
              <w:rFonts w:hint="eastAsia"/>
              <w:lang w:val="en-US" w:eastAsia="zh-CN"/>
            </w:rPr>
            <w:t>6.5风险预测与评价</w:t>
          </w:r>
          <w:r>
            <w:tab/>
          </w:r>
          <w:r>
            <w:fldChar w:fldCharType="begin"/>
          </w:r>
          <w:r>
            <w:instrText xml:space="preserve"> PAGEREF _Toc23875 \h </w:instrText>
          </w:r>
          <w:r>
            <w:fldChar w:fldCharType="separate"/>
          </w:r>
          <w:r>
            <w:t>257</w:t>
          </w:r>
          <w:r>
            <w:fldChar w:fldCharType="end"/>
          </w:r>
          <w:r>
            <w:fldChar w:fldCharType="end"/>
          </w:r>
        </w:p>
        <w:p w14:paraId="6D42162A">
          <w:pPr>
            <w:pStyle w:val="32"/>
            <w:tabs>
              <w:tab w:val="right" w:leader="dot" w:pos="8313"/>
              <w:tab w:val="clear" w:pos="560"/>
              <w:tab w:val="clear" w:pos="709"/>
              <w:tab w:val="clear" w:pos="1120"/>
              <w:tab w:val="clear" w:pos="8505"/>
            </w:tabs>
          </w:pPr>
          <w:r>
            <w:fldChar w:fldCharType="begin"/>
          </w:r>
          <w:r>
            <w:instrText xml:space="preserve"> HYPERLINK \l _Toc11615 </w:instrText>
          </w:r>
          <w:r>
            <w:fldChar w:fldCharType="separate"/>
          </w:r>
          <w:r>
            <w:rPr>
              <w:rFonts w:hint="eastAsia"/>
              <w:lang w:val="en-US" w:eastAsia="zh-CN"/>
            </w:rPr>
            <w:t>6.6环境风险管理</w:t>
          </w:r>
          <w:r>
            <w:tab/>
          </w:r>
          <w:r>
            <w:fldChar w:fldCharType="begin"/>
          </w:r>
          <w:r>
            <w:instrText xml:space="preserve"> PAGEREF _Toc11615 \h </w:instrText>
          </w:r>
          <w:r>
            <w:fldChar w:fldCharType="separate"/>
          </w:r>
          <w:r>
            <w:t>261</w:t>
          </w:r>
          <w:r>
            <w:fldChar w:fldCharType="end"/>
          </w:r>
          <w:r>
            <w:fldChar w:fldCharType="end"/>
          </w:r>
        </w:p>
        <w:p w14:paraId="02D27843">
          <w:pPr>
            <w:pStyle w:val="32"/>
            <w:tabs>
              <w:tab w:val="right" w:leader="dot" w:pos="8313"/>
              <w:tab w:val="clear" w:pos="560"/>
              <w:tab w:val="clear" w:pos="709"/>
              <w:tab w:val="clear" w:pos="1120"/>
              <w:tab w:val="clear" w:pos="8505"/>
            </w:tabs>
          </w:pPr>
          <w:r>
            <w:fldChar w:fldCharType="begin"/>
          </w:r>
          <w:r>
            <w:instrText xml:space="preserve"> HYPERLINK \l _Toc23713 </w:instrText>
          </w:r>
          <w:r>
            <w:fldChar w:fldCharType="separate"/>
          </w:r>
          <w:r>
            <w:rPr>
              <w:rFonts w:hint="eastAsia"/>
              <w:lang w:val="en-US" w:eastAsia="zh-CN"/>
            </w:rPr>
            <w:t>6.7环境风险评价结论</w:t>
          </w:r>
          <w:r>
            <w:tab/>
          </w:r>
          <w:r>
            <w:fldChar w:fldCharType="begin"/>
          </w:r>
          <w:r>
            <w:instrText xml:space="preserve"> PAGEREF _Toc23713 \h </w:instrText>
          </w:r>
          <w:r>
            <w:fldChar w:fldCharType="separate"/>
          </w:r>
          <w:r>
            <w:t>271</w:t>
          </w:r>
          <w:r>
            <w:fldChar w:fldCharType="end"/>
          </w:r>
          <w:r>
            <w:fldChar w:fldCharType="end"/>
          </w:r>
        </w:p>
        <w:p w14:paraId="20FA74D8">
          <w:pPr>
            <w:pStyle w:val="32"/>
            <w:tabs>
              <w:tab w:val="right" w:leader="dot" w:pos="8313"/>
              <w:tab w:val="clear" w:pos="560"/>
              <w:tab w:val="clear" w:pos="709"/>
              <w:tab w:val="clear" w:pos="1120"/>
              <w:tab w:val="clear" w:pos="8505"/>
            </w:tabs>
          </w:pPr>
          <w:r>
            <w:fldChar w:fldCharType="begin"/>
          </w:r>
          <w:r>
            <w:instrText xml:space="preserve"> HYPERLINK \l _Toc17800 </w:instrText>
          </w:r>
          <w:r>
            <w:fldChar w:fldCharType="separate"/>
          </w:r>
          <w:r>
            <w:rPr>
              <w:rFonts w:hint="eastAsia"/>
              <w:lang w:val="en-US" w:eastAsia="zh-CN"/>
            </w:rPr>
            <w:t>6.8环境风险自查</w:t>
          </w:r>
          <w:r>
            <w:tab/>
          </w:r>
          <w:r>
            <w:fldChar w:fldCharType="begin"/>
          </w:r>
          <w:r>
            <w:instrText xml:space="preserve"> PAGEREF _Toc17800 \h </w:instrText>
          </w:r>
          <w:r>
            <w:fldChar w:fldCharType="separate"/>
          </w:r>
          <w:r>
            <w:t>273</w:t>
          </w:r>
          <w:r>
            <w:fldChar w:fldCharType="end"/>
          </w:r>
          <w:r>
            <w:fldChar w:fldCharType="end"/>
          </w:r>
        </w:p>
        <w:p w14:paraId="5A1D2BD8">
          <w:pPr>
            <w:pStyle w:val="28"/>
            <w:tabs>
              <w:tab w:val="right" w:leader="dot" w:pos="8313"/>
              <w:tab w:val="clear" w:pos="1120"/>
              <w:tab w:val="clear" w:pos="8505"/>
            </w:tabs>
          </w:pPr>
          <w:r>
            <w:fldChar w:fldCharType="begin"/>
          </w:r>
          <w:r>
            <w:instrText xml:space="preserve"> HYPERLINK \l _Toc26237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7 章 </w:t>
          </w:r>
          <w:r>
            <w:rPr>
              <w:rFonts w:hint="eastAsia" w:ascii="Times New Roman" w:hAnsi="Times New Roman" w:cs="Times New Roman"/>
              <w:lang w:val="en-US" w:eastAsia="zh-CN"/>
            </w:rPr>
            <w:t>环境保护措施及其可行性论证</w:t>
          </w:r>
          <w:r>
            <w:tab/>
          </w:r>
          <w:r>
            <w:fldChar w:fldCharType="begin"/>
          </w:r>
          <w:r>
            <w:instrText xml:space="preserve"> PAGEREF _Toc26237 \h </w:instrText>
          </w:r>
          <w:r>
            <w:fldChar w:fldCharType="separate"/>
          </w:r>
          <w:r>
            <w:t>275</w:t>
          </w:r>
          <w:r>
            <w:fldChar w:fldCharType="end"/>
          </w:r>
          <w:r>
            <w:fldChar w:fldCharType="end"/>
          </w:r>
        </w:p>
        <w:p w14:paraId="5E8F918D">
          <w:pPr>
            <w:pStyle w:val="32"/>
            <w:tabs>
              <w:tab w:val="right" w:leader="dot" w:pos="8313"/>
              <w:tab w:val="clear" w:pos="560"/>
              <w:tab w:val="clear" w:pos="709"/>
              <w:tab w:val="clear" w:pos="1120"/>
              <w:tab w:val="clear" w:pos="8505"/>
            </w:tabs>
          </w:pPr>
          <w:r>
            <w:fldChar w:fldCharType="begin"/>
          </w:r>
          <w:r>
            <w:instrText xml:space="preserve"> HYPERLINK \l _Toc29069 </w:instrText>
          </w:r>
          <w:r>
            <w:fldChar w:fldCharType="separate"/>
          </w:r>
          <w:r>
            <w:rPr>
              <w:rFonts w:hint="eastAsia"/>
              <w:lang w:val="en-US" w:eastAsia="zh-CN"/>
            </w:rPr>
            <w:t>7.1废水污染防治措施分析</w:t>
          </w:r>
          <w:r>
            <w:tab/>
          </w:r>
          <w:r>
            <w:fldChar w:fldCharType="begin"/>
          </w:r>
          <w:r>
            <w:instrText xml:space="preserve"> PAGEREF _Toc29069 \h </w:instrText>
          </w:r>
          <w:r>
            <w:fldChar w:fldCharType="separate"/>
          </w:r>
          <w:r>
            <w:t>275</w:t>
          </w:r>
          <w:r>
            <w:fldChar w:fldCharType="end"/>
          </w:r>
          <w:r>
            <w:fldChar w:fldCharType="end"/>
          </w:r>
        </w:p>
        <w:p w14:paraId="3D66536F">
          <w:pPr>
            <w:pStyle w:val="32"/>
            <w:tabs>
              <w:tab w:val="right" w:leader="dot" w:pos="8313"/>
              <w:tab w:val="clear" w:pos="560"/>
              <w:tab w:val="clear" w:pos="709"/>
              <w:tab w:val="clear" w:pos="1120"/>
              <w:tab w:val="clear" w:pos="8505"/>
            </w:tabs>
          </w:pPr>
          <w:r>
            <w:fldChar w:fldCharType="begin"/>
          </w:r>
          <w:r>
            <w:instrText xml:space="preserve"> HYPERLINK \l _Toc17349 </w:instrText>
          </w:r>
          <w:r>
            <w:fldChar w:fldCharType="separate"/>
          </w:r>
          <w:r>
            <w:rPr>
              <w:rFonts w:hint="eastAsia"/>
              <w:lang w:val="en-US" w:eastAsia="zh-CN"/>
            </w:rPr>
            <w:t>7.2废气污染防治措施可行性分析</w:t>
          </w:r>
          <w:r>
            <w:tab/>
          </w:r>
          <w:r>
            <w:fldChar w:fldCharType="begin"/>
          </w:r>
          <w:r>
            <w:instrText xml:space="preserve"> PAGEREF _Toc17349 \h </w:instrText>
          </w:r>
          <w:r>
            <w:fldChar w:fldCharType="separate"/>
          </w:r>
          <w:r>
            <w:t>286</w:t>
          </w:r>
          <w:r>
            <w:fldChar w:fldCharType="end"/>
          </w:r>
          <w:r>
            <w:fldChar w:fldCharType="end"/>
          </w:r>
        </w:p>
        <w:p w14:paraId="2152B23A">
          <w:pPr>
            <w:pStyle w:val="32"/>
            <w:tabs>
              <w:tab w:val="right" w:leader="dot" w:pos="8313"/>
              <w:tab w:val="clear" w:pos="560"/>
              <w:tab w:val="clear" w:pos="709"/>
              <w:tab w:val="clear" w:pos="1120"/>
              <w:tab w:val="clear" w:pos="8505"/>
            </w:tabs>
          </w:pPr>
          <w:r>
            <w:fldChar w:fldCharType="begin"/>
          </w:r>
          <w:r>
            <w:instrText xml:space="preserve"> HYPERLINK \l _Toc31574 </w:instrText>
          </w:r>
          <w:r>
            <w:fldChar w:fldCharType="separate"/>
          </w:r>
          <w:r>
            <w:rPr>
              <w:rFonts w:hint="eastAsia"/>
              <w:lang w:val="en-US" w:eastAsia="zh-CN"/>
            </w:rPr>
            <w:t>7.3噪声污染防治措施可行性分析</w:t>
          </w:r>
          <w:r>
            <w:tab/>
          </w:r>
          <w:r>
            <w:fldChar w:fldCharType="begin"/>
          </w:r>
          <w:r>
            <w:instrText xml:space="preserve"> PAGEREF _Toc31574 \h </w:instrText>
          </w:r>
          <w:r>
            <w:fldChar w:fldCharType="separate"/>
          </w:r>
          <w:r>
            <w:t>289</w:t>
          </w:r>
          <w:r>
            <w:fldChar w:fldCharType="end"/>
          </w:r>
          <w:r>
            <w:fldChar w:fldCharType="end"/>
          </w:r>
        </w:p>
        <w:p w14:paraId="769B1F73">
          <w:pPr>
            <w:pStyle w:val="32"/>
            <w:tabs>
              <w:tab w:val="right" w:leader="dot" w:pos="8313"/>
              <w:tab w:val="clear" w:pos="560"/>
              <w:tab w:val="clear" w:pos="709"/>
              <w:tab w:val="clear" w:pos="1120"/>
              <w:tab w:val="clear" w:pos="8505"/>
            </w:tabs>
          </w:pPr>
          <w:r>
            <w:fldChar w:fldCharType="begin"/>
          </w:r>
          <w:r>
            <w:instrText xml:space="preserve"> HYPERLINK \l _Toc28839 </w:instrText>
          </w:r>
          <w:r>
            <w:fldChar w:fldCharType="separate"/>
          </w:r>
          <w:r>
            <w:rPr>
              <w:rFonts w:hint="eastAsia"/>
              <w:lang w:val="en-US" w:eastAsia="zh-CN"/>
            </w:rPr>
            <w:t>7.4固体废物防治措施可行性分析</w:t>
          </w:r>
          <w:r>
            <w:tab/>
          </w:r>
          <w:r>
            <w:fldChar w:fldCharType="begin"/>
          </w:r>
          <w:r>
            <w:instrText xml:space="preserve"> PAGEREF _Toc28839 \h </w:instrText>
          </w:r>
          <w:r>
            <w:fldChar w:fldCharType="separate"/>
          </w:r>
          <w:r>
            <w:t>289</w:t>
          </w:r>
          <w:r>
            <w:fldChar w:fldCharType="end"/>
          </w:r>
          <w:r>
            <w:fldChar w:fldCharType="end"/>
          </w:r>
        </w:p>
        <w:p w14:paraId="52EAE83A">
          <w:pPr>
            <w:pStyle w:val="32"/>
            <w:tabs>
              <w:tab w:val="right" w:leader="dot" w:pos="8313"/>
              <w:tab w:val="clear" w:pos="560"/>
              <w:tab w:val="clear" w:pos="709"/>
              <w:tab w:val="clear" w:pos="1120"/>
              <w:tab w:val="clear" w:pos="8505"/>
            </w:tabs>
          </w:pPr>
          <w:r>
            <w:fldChar w:fldCharType="begin"/>
          </w:r>
          <w:r>
            <w:instrText xml:space="preserve"> HYPERLINK \l _Toc2204 </w:instrText>
          </w:r>
          <w:r>
            <w:fldChar w:fldCharType="separate"/>
          </w:r>
          <w:r>
            <w:rPr>
              <w:rFonts w:hint="eastAsia"/>
              <w:lang w:val="en-US" w:eastAsia="zh-CN"/>
            </w:rPr>
            <w:t>7.5地下水污染防治措施</w:t>
          </w:r>
          <w:r>
            <w:tab/>
          </w:r>
          <w:r>
            <w:fldChar w:fldCharType="begin"/>
          </w:r>
          <w:r>
            <w:instrText xml:space="preserve"> PAGEREF _Toc2204 \h </w:instrText>
          </w:r>
          <w:r>
            <w:fldChar w:fldCharType="separate"/>
          </w:r>
          <w:r>
            <w:t>291</w:t>
          </w:r>
          <w:r>
            <w:fldChar w:fldCharType="end"/>
          </w:r>
          <w:r>
            <w:fldChar w:fldCharType="end"/>
          </w:r>
        </w:p>
        <w:p w14:paraId="0A2B6A6D">
          <w:pPr>
            <w:pStyle w:val="32"/>
            <w:tabs>
              <w:tab w:val="right" w:leader="dot" w:pos="8313"/>
              <w:tab w:val="clear" w:pos="560"/>
              <w:tab w:val="clear" w:pos="709"/>
              <w:tab w:val="clear" w:pos="1120"/>
              <w:tab w:val="clear" w:pos="8505"/>
            </w:tabs>
          </w:pPr>
          <w:r>
            <w:fldChar w:fldCharType="begin"/>
          </w:r>
          <w:r>
            <w:instrText xml:space="preserve"> HYPERLINK \l _Toc13617 </w:instrText>
          </w:r>
          <w:r>
            <w:fldChar w:fldCharType="separate"/>
          </w:r>
          <w:r>
            <w:rPr>
              <w:rFonts w:hint="eastAsia"/>
              <w:lang w:val="en-US" w:eastAsia="zh-CN"/>
            </w:rPr>
            <w:t>7.6土壤污染防治措施</w:t>
          </w:r>
          <w:r>
            <w:tab/>
          </w:r>
          <w:r>
            <w:fldChar w:fldCharType="begin"/>
          </w:r>
          <w:r>
            <w:instrText xml:space="preserve"> PAGEREF _Toc13617 \h </w:instrText>
          </w:r>
          <w:r>
            <w:fldChar w:fldCharType="separate"/>
          </w:r>
          <w:r>
            <w:t>294</w:t>
          </w:r>
          <w:r>
            <w:fldChar w:fldCharType="end"/>
          </w:r>
          <w:r>
            <w:fldChar w:fldCharType="end"/>
          </w:r>
        </w:p>
        <w:p w14:paraId="5490B056">
          <w:pPr>
            <w:pStyle w:val="32"/>
            <w:tabs>
              <w:tab w:val="right" w:leader="dot" w:pos="8313"/>
              <w:tab w:val="clear" w:pos="560"/>
              <w:tab w:val="clear" w:pos="709"/>
              <w:tab w:val="clear" w:pos="1120"/>
              <w:tab w:val="clear" w:pos="8505"/>
            </w:tabs>
          </w:pPr>
          <w:r>
            <w:fldChar w:fldCharType="begin"/>
          </w:r>
          <w:r>
            <w:instrText xml:space="preserve"> HYPERLINK \l _Toc32133 </w:instrText>
          </w:r>
          <w:r>
            <w:fldChar w:fldCharType="separate"/>
          </w:r>
          <w:r>
            <w:rPr>
              <w:rFonts w:hint="eastAsia"/>
              <w:lang w:val="en-US" w:eastAsia="zh-CN"/>
            </w:rPr>
            <w:t>7.7工程污染防治措施汇总</w:t>
          </w:r>
          <w:r>
            <w:tab/>
          </w:r>
          <w:r>
            <w:fldChar w:fldCharType="begin"/>
          </w:r>
          <w:r>
            <w:instrText xml:space="preserve"> PAGEREF _Toc32133 \h </w:instrText>
          </w:r>
          <w:r>
            <w:fldChar w:fldCharType="separate"/>
          </w:r>
          <w:r>
            <w:t>294</w:t>
          </w:r>
          <w:r>
            <w:fldChar w:fldCharType="end"/>
          </w:r>
          <w:r>
            <w:fldChar w:fldCharType="end"/>
          </w:r>
        </w:p>
        <w:p w14:paraId="3CEE90B4">
          <w:pPr>
            <w:pStyle w:val="32"/>
            <w:tabs>
              <w:tab w:val="right" w:leader="dot" w:pos="8313"/>
              <w:tab w:val="clear" w:pos="560"/>
              <w:tab w:val="clear" w:pos="709"/>
              <w:tab w:val="clear" w:pos="1120"/>
              <w:tab w:val="clear" w:pos="8505"/>
            </w:tabs>
          </w:pPr>
          <w:r>
            <w:fldChar w:fldCharType="begin"/>
          </w:r>
          <w:r>
            <w:instrText xml:space="preserve"> HYPERLINK \l _Toc30718 </w:instrText>
          </w:r>
          <w:r>
            <w:fldChar w:fldCharType="separate"/>
          </w:r>
          <w:r>
            <w:rPr>
              <w:rFonts w:hint="eastAsia"/>
              <w:lang w:val="en-US" w:eastAsia="zh-CN"/>
            </w:rPr>
            <w:t>7.8厂址选择可行性</w:t>
          </w:r>
          <w:r>
            <w:tab/>
          </w:r>
          <w:r>
            <w:fldChar w:fldCharType="begin"/>
          </w:r>
          <w:r>
            <w:instrText xml:space="preserve"> PAGEREF _Toc30718 \h </w:instrText>
          </w:r>
          <w:r>
            <w:fldChar w:fldCharType="separate"/>
          </w:r>
          <w:r>
            <w:t>298</w:t>
          </w:r>
          <w:r>
            <w:fldChar w:fldCharType="end"/>
          </w:r>
          <w:r>
            <w:fldChar w:fldCharType="end"/>
          </w:r>
        </w:p>
        <w:p w14:paraId="69DF4D43">
          <w:pPr>
            <w:pStyle w:val="32"/>
            <w:tabs>
              <w:tab w:val="right" w:leader="dot" w:pos="8313"/>
              <w:tab w:val="clear" w:pos="560"/>
              <w:tab w:val="clear" w:pos="709"/>
              <w:tab w:val="clear" w:pos="1120"/>
              <w:tab w:val="clear" w:pos="8505"/>
            </w:tabs>
          </w:pPr>
          <w:r>
            <w:fldChar w:fldCharType="begin"/>
          </w:r>
          <w:r>
            <w:instrText xml:space="preserve"> HYPERLINK \l _Toc5412 </w:instrText>
          </w:r>
          <w:r>
            <w:fldChar w:fldCharType="separate"/>
          </w:r>
          <w:r>
            <w:rPr>
              <w:rFonts w:hint="eastAsia"/>
              <w:lang w:val="en-US" w:eastAsia="zh-CN"/>
            </w:rPr>
            <w:t>7.9总量控制分析</w:t>
          </w:r>
          <w:r>
            <w:tab/>
          </w:r>
          <w:r>
            <w:fldChar w:fldCharType="begin"/>
          </w:r>
          <w:r>
            <w:instrText xml:space="preserve"> PAGEREF _Toc5412 \h </w:instrText>
          </w:r>
          <w:r>
            <w:fldChar w:fldCharType="separate"/>
          </w:r>
          <w:r>
            <w:t>300</w:t>
          </w:r>
          <w:r>
            <w:fldChar w:fldCharType="end"/>
          </w:r>
          <w:r>
            <w:fldChar w:fldCharType="end"/>
          </w:r>
        </w:p>
        <w:p w14:paraId="20C351D2">
          <w:pPr>
            <w:pStyle w:val="28"/>
            <w:tabs>
              <w:tab w:val="right" w:leader="dot" w:pos="8313"/>
              <w:tab w:val="clear" w:pos="1120"/>
              <w:tab w:val="clear" w:pos="8505"/>
            </w:tabs>
          </w:pPr>
          <w:r>
            <w:fldChar w:fldCharType="begin"/>
          </w:r>
          <w:r>
            <w:instrText xml:space="preserve"> HYPERLINK \l _Toc17199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8 章 </w:t>
          </w:r>
          <w:r>
            <w:rPr>
              <w:rFonts w:hint="eastAsia" w:ascii="Times New Roman" w:hAnsi="Times New Roman" w:cs="Times New Roman"/>
              <w:lang w:val="en-US" w:eastAsia="zh-CN"/>
            </w:rPr>
            <w:t>环境影响经济损益分析</w:t>
          </w:r>
          <w:r>
            <w:tab/>
          </w:r>
          <w:r>
            <w:fldChar w:fldCharType="begin"/>
          </w:r>
          <w:r>
            <w:instrText xml:space="preserve"> PAGEREF _Toc17199 \h </w:instrText>
          </w:r>
          <w:r>
            <w:fldChar w:fldCharType="separate"/>
          </w:r>
          <w:r>
            <w:t>302</w:t>
          </w:r>
          <w:r>
            <w:fldChar w:fldCharType="end"/>
          </w:r>
          <w:r>
            <w:fldChar w:fldCharType="end"/>
          </w:r>
        </w:p>
        <w:p w14:paraId="74877341">
          <w:pPr>
            <w:pStyle w:val="32"/>
            <w:tabs>
              <w:tab w:val="right" w:leader="dot" w:pos="8313"/>
              <w:tab w:val="clear" w:pos="560"/>
              <w:tab w:val="clear" w:pos="709"/>
              <w:tab w:val="clear" w:pos="1120"/>
              <w:tab w:val="clear" w:pos="8505"/>
            </w:tabs>
          </w:pPr>
          <w:r>
            <w:fldChar w:fldCharType="begin"/>
          </w:r>
          <w:r>
            <w:instrText xml:space="preserve"> HYPERLINK \l _Toc26377 </w:instrText>
          </w:r>
          <w:r>
            <w:fldChar w:fldCharType="separate"/>
          </w:r>
          <w:r>
            <w:rPr>
              <w:rFonts w:hint="eastAsia"/>
              <w:lang w:val="en-US" w:eastAsia="zh-CN"/>
            </w:rPr>
            <w:t>8.1社会效益分析</w:t>
          </w:r>
          <w:r>
            <w:tab/>
          </w:r>
          <w:r>
            <w:fldChar w:fldCharType="begin"/>
          </w:r>
          <w:r>
            <w:instrText xml:space="preserve"> PAGEREF _Toc26377 \h </w:instrText>
          </w:r>
          <w:r>
            <w:fldChar w:fldCharType="separate"/>
          </w:r>
          <w:r>
            <w:t>302</w:t>
          </w:r>
          <w:r>
            <w:fldChar w:fldCharType="end"/>
          </w:r>
          <w:r>
            <w:fldChar w:fldCharType="end"/>
          </w:r>
        </w:p>
        <w:p w14:paraId="0A90BDB2">
          <w:pPr>
            <w:pStyle w:val="32"/>
            <w:tabs>
              <w:tab w:val="right" w:leader="dot" w:pos="8313"/>
              <w:tab w:val="clear" w:pos="560"/>
              <w:tab w:val="clear" w:pos="709"/>
              <w:tab w:val="clear" w:pos="1120"/>
              <w:tab w:val="clear" w:pos="8505"/>
            </w:tabs>
          </w:pPr>
          <w:r>
            <w:fldChar w:fldCharType="begin"/>
          </w:r>
          <w:r>
            <w:instrText xml:space="preserve"> HYPERLINK \l _Toc30270 </w:instrText>
          </w:r>
          <w:r>
            <w:fldChar w:fldCharType="separate"/>
          </w:r>
          <w:r>
            <w:rPr>
              <w:rFonts w:hint="eastAsia"/>
              <w:lang w:val="en-US" w:eastAsia="zh-CN"/>
            </w:rPr>
            <w:t>8.2经济效益分析</w:t>
          </w:r>
          <w:r>
            <w:tab/>
          </w:r>
          <w:r>
            <w:fldChar w:fldCharType="begin"/>
          </w:r>
          <w:r>
            <w:instrText xml:space="preserve"> PAGEREF _Toc30270 \h </w:instrText>
          </w:r>
          <w:r>
            <w:fldChar w:fldCharType="separate"/>
          </w:r>
          <w:r>
            <w:t>302</w:t>
          </w:r>
          <w:r>
            <w:fldChar w:fldCharType="end"/>
          </w:r>
          <w:r>
            <w:fldChar w:fldCharType="end"/>
          </w:r>
        </w:p>
        <w:p w14:paraId="063D3449">
          <w:pPr>
            <w:pStyle w:val="32"/>
            <w:tabs>
              <w:tab w:val="right" w:leader="dot" w:pos="8313"/>
              <w:tab w:val="clear" w:pos="560"/>
              <w:tab w:val="clear" w:pos="709"/>
              <w:tab w:val="clear" w:pos="1120"/>
              <w:tab w:val="clear" w:pos="8505"/>
            </w:tabs>
          </w:pPr>
          <w:r>
            <w:fldChar w:fldCharType="begin"/>
          </w:r>
          <w:r>
            <w:instrText xml:space="preserve"> HYPERLINK \l _Toc2626 </w:instrText>
          </w:r>
          <w:r>
            <w:fldChar w:fldCharType="separate"/>
          </w:r>
          <w:r>
            <w:rPr>
              <w:rFonts w:hint="eastAsia"/>
              <w:lang w:val="en-US" w:eastAsia="zh-CN"/>
            </w:rPr>
            <w:t>8.3环境损益分析</w:t>
          </w:r>
          <w:r>
            <w:tab/>
          </w:r>
          <w:r>
            <w:fldChar w:fldCharType="begin"/>
          </w:r>
          <w:r>
            <w:instrText xml:space="preserve"> PAGEREF _Toc2626 \h </w:instrText>
          </w:r>
          <w:r>
            <w:fldChar w:fldCharType="separate"/>
          </w:r>
          <w:r>
            <w:t>303</w:t>
          </w:r>
          <w:r>
            <w:fldChar w:fldCharType="end"/>
          </w:r>
          <w:r>
            <w:fldChar w:fldCharType="end"/>
          </w:r>
        </w:p>
        <w:p w14:paraId="4CB5FDA7">
          <w:pPr>
            <w:pStyle w:val="28"/>
            <w:tabs>
              <w:tab w:val="right" w:leader="dot" w:pos="8313"/>
              <w:tab w:val="clear" w:pos="1120"/>
              <w:tab w:val="clear" w:pos="8505"/>
            </w:tabs>
          </w:pPr>
          <w:r>
            <w:fldChar w:fldCharType="begin"/>
          </w:r>
          <w:r>
            <w:instrText xml:space="preserve"> HYPERLINK \l _Toc13176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9 章 </w:t>
          </w:r>
          <w:r>
            <w:rPr>
              <w:rFonts w:hint="eastAsia" w:ascii="Times New Roman" w:hAnsi="Times New Roman" w:cs="Times New Roman"/>
              <w:lang w:val="en-US" w:eastAsia="zh-CN"/>
            </w:rPr>
            <w:t>环境管理与监测计划</w:t>
          </w:r>
          <w:r>
            <w:tab/>
          </w:r>
          <w:r>
            <w:fldChar w:fldCharType="begin"/>
          </w:r>
          <w:r>
            <w:instrText xml:space="preserve"> PAGEREF _Toc13176 \h </w:instrText>
          </w:r>
          <w:r>
            <w:fldChar w:fldCharType="separate"/>
          </w:r>
          <w:r>
            <w:t>308</w:t>
          </w:r>
          <w:r>
            <w:fldChar w:fldCharType="end"/>
          </w:r>
          <w:r>
            <w:fldChar w:fldCharType="end"/>
          </w:r>
        </w:p>
        <w:p w14:paraId="4660604D">
          <w:pPr>
            <w:pStyle w:val="32"/>
            <w:tabs>
              <w:tab w:val="right" w:leader="dot" w:pos="8313"/>
              <w:tab w:val="clear" w:pos="560"/>
              <w:tab w:val="clear" w:pos="709"/>
              <w:tab w:val="clear" w:pos="1120"/>
              <w:tab w:val="clear" w:pos="8505"/>
            </w:tabs>
          </w:pPr>
          <w:r>
            <w:fldChar w:fldCharType="begin"/>
          </w:r>
          <w:r>
            <w:instrText xml:space="preserve"> HYPERLINK \l _Toc18817 </w:instrText>
          </w:r>
          <w:r>
            <w:fldChar w:fldCharType="separate"/>
          </w:r>
          <w:r>
            <w:rPr>
              <w:rFonts w:hint="eastAsia"/>
              <w:lang w:val="en-US" w:eastAsia="zh-CN"/>
            </w:rPr>
            <w:t>9.1环境管理</w:t>
          </w:r>
          <w:r>
            <w:tab/>
          </w:r>
          <w:r>
            <w:fldChar w:fldCharType="begin"/>
          </w:r>
          <w:r>
            <w:instrText xml:space="preserve"> PAGEREF _Toc18817 \h </w:instrText>
          </w:r>
          <w:r>
            <w:fldChar w:fldCharType="separate"/>
          </w:r>
          <w:r>
            <w:t>308</w:t>
          </w:r>
          <w:r>
            <w:fldChar w:fldCharType="end"/>
          </w:r>
          <w:r>
            <w:fldChar w:fldCharType="end"/>
          </w:r>
        </w:p>
        <w:p w14:paraId="61210CBC">
          <w:pPr>
            <w:pStyle w:val="32"/>
            <w:tabs>
              <w:tab w:val="right" w:leader="dot" w:pos="8313"/>
              <w:tab w:val="clear" w:pos="560"/>
              <w:tab w:val="clear" w:pos="709"/>
              <w:tab w:val="clear" w:pos="1120"/>
              <w:tab w:val="clear" w:pos="8505"/>
            </w:tabs>
          </w:pPr>
          <w:r>
            <w:fldChar w:fldCharType="begin"/>
          </w:r>
          <w:r>
            <w:instrText xml:space="preserve"> HYPERLINK \l _Toc19990 </w:instrText>
          </w:r>
          <w:r>
            <w:fldChar w:fldCharType="separate"/>
          </w:r>
          <w:r>
            <w:rPr>
              <w:rFonts w:hint="eastAsia"/>
              <w:lang w:val="en-US" w:eastAsia="zh-CN"/>
            </w:rPr>
            <w:t>9.2污染物排放管理要求</w:t>
          </w:r>
          <w:r>
            <w:tab/>
          </w:r>
          <w:r>
            <w:fldChar w:fldCharType="begin"/>
          </w:r>
          <w:r>
            <w:instrText xml:space="preserve"> PAGEREF _Toc19990 \h </w:instrText>
          </w:r>
          <w:r>
            <w:fldChar w:fldCharType="separate"/>
          </w:r>
          <w:r>
            <w:t>310</w:t>
          </w:r>
          <w:r>
            <w:fldChar w:fldCharType="end"/>
          </w:r>
          <w:r>
            <w:fldChar w:fldCharType="end"/>
          </w:r>
        </w:p>
        <w:p w14:paraId="4F34807F">
          <w:pPr>
            <w:pStyle w:val="32"/>
            <w:tabs>
              <w:tab w:val="right" w:leader="dot" w:pos="8313"/>
              <w:tab w:val="clear" w:pos="560"/>
              <w:tab w:val="clear" w:pos="709"/>
              <w:tab w:val="clear" w:pos="1120"/>
              <w:tab w:val="clear" w:pos="8505"/>
            </w:tabs>
          </w:pPr>
          <w:r>
            <w:fldChar w:fldCharType="begin"/>
          </w:r>
          <w:r>
            <w:instrText xml:space="preserve"> HYPERLINK \l _Toc14652 </w:instrText>
          </w:r>
          <w:r>
            <w:fldChar w:fldCharType="separate"/>
          </w:r>
          <w:r>
            <w:rPr>
              <w:rFonts w:hint="eastAsia"/>
              <w:lang w:val="en-US" w:eastAsia="zh-CN"/>
            </w:rPr>
            <w:t>9.3环境监测计划</w:t>
          </w:r>
          <w:r>
            <w:tab/>
          </w:r>
          <w:r>
            <w:fldChar w:fldCharType="begin"/>
          </w:r>
          <w:r>
            <w:instrText xml:space="preserve"> PAGEREF _Toc14652 \h </w:instrText>
          </w:r>
          <w:r>
            <w:fldChar w:fldCharType="separate"/>
          </w:r>
          <w:r>
            <w:t>312</w:t>
          </w:r>
          <w:r>
            <w:fldChar w:fldCharType="end"/>
          </w:r>
          <w:r>
            <w:fldChar w:fldCharType="end"/>
          </w:r>
        </w:p>
        <w:p w14:paraId="608B3E6A">
          <w:pPr>
            <w:pStyle w:val="28"/>
            <w:tabs>
              <w:tab w:val="right" w:leader="dot" w:pos="8313"/>
              <w:tab w:val="clear" w:pos="1120"/>
              <w:tab w:val="clear" w:pos="8505"/>
            </w:tabs>
          </w:pPr>
          <w:r>
            <w:fldChar w:fldCharType="begin"/>
          </w:r>
          <w:r>
            <w:instrText xml:space="preserve"> HYPERLINK \l _Toc26189 </w:instrText>
          </w:r>
          <w:r>
            <w:fldChar w:fldCharType="separate"/>
          </w:r>
          <w:r>
            <w:rPr>
              <w:rFonts w:hint="eastAsia" w:ascii="Times New Roman" w:hAnsi="Times New Roman" w:cs="Times New Roman"/>
              <w:bCs w:val="0"/>
              <w:i w:val="0"/>
              <w:iCs w:val="0"/>
              <w:caps w:val="0"/>
              <w:smallCaps w:val="0"/>
              <w:strike w:val="0"/>
              <w:dstrike w:val="0"/>
              <w:snapToGrid w:val="0"/>
              <w:vanish w:val="0"/>
              <w:spacing w:val="0"/>
              <w:w w:val="0"/>
              <w:kern w:val="0"/>
              <w:position w:val="0"/>
              <w:szCs w:val="0"/>
              <w:vertAlign w:val="baseline"/>
              <w:lang w:val="en-US" w:eastAsia="zh-CN"/>
              <w14:shadow w14:blurRad="0" w14:dist="0" w14:dir="0" w14:sx="0" w14:sy="0" w14:kx="0" w14:ky="0" w14:algn="none">
                <w14:srgbClr w14:val="000000"/>
              </w14:shadow>
            </w:rPr>
            <w:t xml:space="preserve">第 10 章 </w:t>
          </w:r>
          <w:r>
            <w:rPr>
              <w:rFonts w:hint="eastAsia" w:ascii="Times New Roman" w:hAnsi="Times New Roman" w:cs="Times New Roman"/>
              <w:lang w:val="en-US" w:eastAsia="zh-CN"/>
            </w:rPr>
            <w:t>评价结论</w:t>
          </w:r>
          <w:r>
            <w:rPr>
              <w:rFonts w:hint="eastAsia" w:cs="Times New Roman"/>
              <w:lang w:val="en-US" w:eastAsia="zh-CN"/>
            </w:rPr>
            <w:t>与建议</w:t>
          </w:r>
          <w:r>
            <w:tab/>
          </w:r>
          <w:r>
            <w:fldChar w:fldCharType="begin"/>
          </w:r>
          <w:r>
            <w:instrText xml:space="preserve"> PAGEREF _Toc26189 \h </w:instrText>
          </w:r>
          <w:r>
            <w:fldChar w:fldCharType="separate"/>
          </w:r>
          <w:r>
            <w:t>318</w:t>
          </w:r>
          <w:r>
            <w:fldChar w:fldCharType="end"/>
          </w:r>
          <w:r>
            <w:fldChar w:fldCharType="end"/>
          </w:r>
        </w:p>
        <w:p w14:paraId="1EE0ED63">
          <w:pPr>
            <w:pStyle w:val="32"/>
            <w:tabs>
              <w:tab w:val="right" w:leader="dot" w:pos="8313"/>
              <w:tab w:val="clear" w:pos="560"/>
              <w:tab w:val="clear" w:pos="709"/>
              <w:tab w:val="clear" w:pos="1120"/>
              <w:tab w:val="clear" w:pos="8505"/>
            </w:tabs>
          </w:pPr>
          <w:r>
            <w:fldChar w:fldCharType="begin"/>
          </w:r>
          <w:r>
            <w:instrText xml:space="preserve"> HYPERLINK \l _Toc18434 </w:instrText>
          </w:r>
          <w:r>
            <w:fldChar w:fldCharType="separate"/>
          </w:r>
          <w:r>
            <w:rPr>
              <w:rFonts w:hint="eastAsia"/>
              <w:lang w:val="en-US" w:eastAsia="zh-CN"/>
            </w:rPr>
            <w:t>10.1评价结论</w:t>
          </w:r>
          <w:r>
            <w:tab/>
          </w:r>
          <w:r>
            <w:fldChar w:fldCharType="begin"/>
          </w:r>
          <w:r>
            <w:instrText xml:space="preserve"> PAGEREF _Toc18434 \h </w:instrText>
          </w:r>
          <w:r>
            <w:fldChar w:fldCharType="separate"/>
          </w:r>
          <w:r>
            <w:t>318</w:t>
          </w:r>
          <w:r>
            <w:fldChar w:fldCharType="end"/>
          </w:r>
          <w:r>
            <w:fldChar w:fldCharType="end"/>
          </w:r>
        </w:p>
        <w:p w14:paraId="7D236CD7">
          <w:pPr>
            <w:pStyle w:val="32"/>
            <w:tabs>
              <w:tab w:val="right" w:leader="dot" w:pos="8313"/>
              <w:tab w:val="clear" w:pos="560"/>
              <w:tab w:val="clear" w:pos="709"/>
              <w:tab w:val="clear" w:pos="1120"/>
              <w:tab w:val="clear" w:pos="8505"/>
            </w:tabs>
          </w:pPr>
          <w:r>
            <w:fldChar w:fldCharType="begin"/>
          </w:r>
          <w:r>
            <w:instrText xml:space="preserve"> HYPERLINK \l _Toc2777 </w:instrText>
          </w:r>
          <w:r>
            <w:fldChar w:fldCharType="separate"/>
          </w:r>
          <w:r>
            <w:rPr>
              <w:rFonts w:hint="eastAsia"/>
              <w:lang w:val="en-US" w:eastAsia="zh-CN"/>
            </w:rPr>
            <w:t>10.2建议</w:t>
          </w:r>
          <w:r>
            <w:tab/>
          </w:r>
          <w:r>
            <w:fldChar w:fldCharType="begin"/>
          </w:r>
          <w:r>
            <w:instrText xml:space="preserve"> PAGEREF _Toc2777 \h </w:instrText>
          </w:r>
          <w:r>
            <w:fldChar w:fldCharType="separate"/>
          </w:r>
          <w:r>
            <w:t>323</w:t>
          </w:r>
          <w:r>
            <w:fldChar w:fldCharType="end"/>
          </w:r>
          <w:r>
            <w:fldChar w:fldCharType="end"/>
          </w:r>
        </w:p>
        <w:p w14:paraId="044407D5">
          <w:pPr>
            <w:pStyle w:val="32"/>
            <w:tabs>
              <w:tab w:val="right" w:leader="dot" w:pos="8313"/>
              <w:tab w:val="clear" w:pos="560"/>
              <w:tab w:val="clear" w:pos="709"/>
              <w:tab w:val="clear" w:pos="1120"/>
              <w:tab w:val="clear" w:pos="8505"/>
            </w:tabs>
          </w:pPr>
          <w:r>
            <w:fldChar w:fldCharType="begin"/>
          </w:r>
          <w:r>
            <w:instrText xml:space="preserve"> HYPERLINK \l _Toc25187 </w:instrText>
          </w:r>
          <w:r>
            <w:fldChar w:fldCharType="separate"/>
          </w:r>
          <w:r>
            <w:rPr>
              <w:rFonts w:hint="eastAsia"/>
              <w:lang w:val="en-US" w:eastAsia="zh-CN"/>
            </w:rPr>
            <w:t>10.3总结论</w:t>
          </w:r>
          <w:r>
            <w:tab/>
          </w:r>
          <w:r>
            <w:fldChar w:fldCharType="begin"/>
          </w:r>
          <w:r>
            <w:instrText xml:space="preserve"> PAGEREF _Toc25187 \h </w:instrText>
          </w:r>
          <w:r>
            <w:fldChar w:fldCharType="separate"/>
          </w:r>
          <w:r>
            <w:t>323</w:t>
          </w:r>
          <w:r>
            <w:fldChar w:fldCharType="end"/>
          </w:r>
          <w:r>
            <w:fldChar w:fldCharType="end"/>
          </w:r>
        </w:p>
        <w:p w14:paraId="1A619D0E">
          <w:pPr>
            <w:rPr>
              <w:rFonts w:ascii="Times New Roman" w:hAnsi="Times New Roman" w:eastAsia="宋体" w:cs="Times New Roman"/>
              <w:sz w:val="24"/>
              <w:lang w:val="en-US" w:eastAsia="zh-CN" w:bidi="ar-SA"/>
            </w:rPr>
          </w:pPr>
          <w:r>
            <w:fldChar w:fldCharType="end"/>
          </w:r>
        </w:p>
      </w:sdtContent>
    </w:sdt>
    <w:p w14:paraId="4C8BB4BD">
      <w:pPr>
        <w:rPr>
          <w:rFonts w:ascii="Times New Roman" w:hAnsi="Times New Roman" w:eastAsia="宋体" w:cs="Times New Roman"/>
          <w:sz w:val="24"/>
          <w:lang w:val="en-US" w:eastAsia="zh-CN" w:bidi="ar-SA"/>
        </w:rPr>
      </w:pPr>
    </w:p>
    <w:p w14:paraId="42B82268"/>
    <w:p w14:paraId="36386330"/>
    <w:p w14:paraId="01B8F0F6"/>
    <w:p w14:paraId="15B45290"/>
    <w:p w14:paraId="0311DEF5">
      <w:pPr>
        <w:ind w:firstLine="482"/>
        <w:rPr>
          <w:rFonts w:hint="eastAsia"/>
          <w:b/>
        </w:rPr>
      </w:pPr>
    </w:p>
    <w:p w14:paraId="37B29039">
      <w:pPr>
        <w:ind w:firstLine="482"/>
        <w:rPr>
          <w:b/>
        </w:rPr>
      </w:pPr>
      <w:r>
        <w:rPr>
          <w:rFonts w:hint="eastAsia"/>
          <w:b/>
        </w:rPr>
        <w:t>附图：</w:t>
      </w:r>
    </w:p>
    <w:p w14:paraId="2AD4F3C3">
      <w:pPr>
        <w:ind w:firstLine="480"/>
        <w:rPr>
          <w:rFonts w:hint="eastAsia" w:ascii="宋体" w:hAnsi="宋体" w:eastAsia="宋体"/>
          <w:szCs w:val="24"/>
          <w:lang w:val="en-US" w:eastAsia="zh-CN"/>
        </w:rPr>
      </w:pPr>
      <w:r>
        <w:rPr>
          <w:rFonts w:hint="eastAsia" w:ascii="宋体" w:hAnsi="宋体"/>
          <w:szCs w:val="24"/>
        </w:rPr>
        <w:t>附图一、项目地理位置</w:t>
      </w:r>
      <w:r>
        <w:rPr>
          <w:rFonts w:hint="eastAsia" w:ascii="宋体" w:hAnsi="宋体"/>
          <w:szCs w:val="24"/>
          <w:lang w:val="en-US" w:eastAsia="zh-CN"/>
        </w:rPr>
        <w:t>图</w:t>
      </w:r>
    </w:p>
    <w:p w14:paraId="1FA7F329">
      <w:pPr>
        <w:ind w:firstLine="480"/>
        <w:rPr>
          <w:rFonts w:hint="eastAsia"/>
          <w:lang w:val="en-US" w:eastAsia="zh-CN"/>
        </w:rPr>
      </w:pPr>
      <w:r>
        <w:rPr>
          <w:rFonts w:hint="eastAsia" w:ascii="宋体" w:hAnsi="宋体"/>
          <w:szCs w:val="24"/>
        </w:rPr>
        <w:t>附图二、</w:t>
      </w:r>
      <w:r>
        <w:rPr>
          <w:rFonts w:hint="eastAsia"/>
          <w:lang w:val="en-US" w:eastAsia="zh-CN"/>
        </w:rPr>
        <w:t>本项目周围环境概况图</w:t>
      </w:r>
    </w:p>
    <w:p w14:paraId="6860A2FC">
      <w:pPr>
        <w:ind w:firstLine="480"/>
        <w:rPr>
          <w:rFonts w:hint="eastAsia"/>
        </w:rPr>
      </w:pPr>
      <w:r>
        <w:rPr>
          <w:rFonts w:hint="eastAsia"/>
        </w:rPr>
        <w:t>附图三、获嘉县产业集聚区用地布局规划图</w:t>
      </w:r>
    </w:p>
    <w:p w14:paraId="3A9A798D">
      <w:pPr>
        <w:ind w:firstLine="480"/>
        <w:rPr>
          <w:rFonts w:hint="eastAsia"/>
        </w:rPr>
      </w:pPr>
      <w:r>
        <w:rPr>
          <w:rFonts w:hint="eastAsia" w:ascii="宋体" w:hAnsi="宋体"/>
        </w:rPr>
        <w:t>附图四、</w:t>
      </w:r>
      <w:r>
        <w:rPr>
          <w:rFonts w:hint="eastAsia"/>
        </w:rPr>
        <w:t>获嘉县产业集聚区总体发展规划-北部产业空间布局</w:t>
      </w:r>
    </w:p>
    <w:p w14:paraId="46419413">
      <w:pPr>
        <w:ind w:firstLine="480"/>
        <w:rPr>
          <w:rFonts w:hint="eastAsia"/>
          <w:lang w:val="en-US" w:eastAsia="zh-CN"/>
        </w:rPr>
      </w:pPr>
      <w:r>
        <w:rPr>
          <w:rFonts w:hint="eastAsia"/>
        </w:rPr>
        <w:t>附图五、</w:t>
      </w:r>
      <w:r>
        <w:rPr>
          <w:rFonts w:hint="eastAsia"/>
          <w:lang w:val="en-US" w:eastAsia="zh-CN"/>
        </w:rPr>
        <w:t>厂房平面布置图</w:t>
      </w:r>
    </w:p>
    <w:p w14:paraId="55ACCAD0">
      <w:pPr>
        <w:ind w:firstLine="480"/>
      </w:pPr>
      <w:r>
        <w:rPr>
          <w:rFonts w:hint="eastAsia"/>
          <w:szCs w:val="22"/>
        </w:rPr>
        <w:t>附图六、</w:t>
      </w:r>
      <w:r>
        <w:rPr>
          <w:rFonts w:hint="eastAsia"/>
        </w:rPr>
        <w:t>地下水环境、环境空气质量现状监测布点图</w:t>
      </w:r>
    </w:p>
    <w:p w14:paraId="60ED7231">
      <w:pPr>
        <w:ind w:firstLine="480"/>
        <w:rPr>
          <w:szCs w:val="22"/>
        </w:rPr>
      </w:pPr>
      <w:r>
        <w:rPr>
          <w:rFonts w:hint="eastAsia"/>
          <w:szCs w:val="22"/>
        </w:rPr>
        <w:t>附图七、</w:t>
      </w:r>
      <w:r>
        <w:rPr>
          <w:rFonts w:hint="eastAsia"/>
        </w:rPr>
        <w:t>噪声、土壤环境现状监测布点图</w:t>
      </w:r>
    </w:p>
    <w:p w14:paraId="10533913">
      <w:pPr>
        <w:ind w:firstLine="480"/>
      </w:pPr>
      <w:r>
        <w:rPr>
          <w:rFonts w:hint="eastAsia"/>
          <w:szCs w:val="22"/>
        </w:rPr>
        <w:t>附图</w:t>
      </w:r>
      <w:r>
        <w:rPr>
          <w:rFonts w:hint="eastAsia"/>
          <w:szCs w:val="22"/>
          <w:lang w:val="en-US" w:eastAsia="zh-CN"/>
        </w:rPr>
        <w:t>八</w:t>
      </w:r>
      <w:r>
        <w:rPr>
          <w:rFonts w:hint="eastAsia"/>
          <w:szCs w:val="22"/>
        </w:rPr>
        <w:t>、</w:t>
      </w:r>
      <w:r>
        <w:rPr>
          <w:rFonts w:hint="eastAsia"/>
          <w:lang w:val="en-US" w:eastAsia="zh-CN"/>
        </w:rPr>
        <w:t>车间</w:t>
      </w:r>
      <w:r>
        <w:rPr>
          <w:rFonts w:hint="eastAsia"/>
        </w:rPr>
        <w:t>分区防渗图</w:t>
      </w:r>
    </w:p>
    <w:p w14:paraId="0F34E78D">
      <w:pPr>
        <w:ind w:firstLine="482"/>
        <w:rPr>
          <w:b/>
        </w:rPr>
      </w:pPr>
      <w:r>
        <w:rPr>
          <w:rFonts w:hint="eastAsia"/>
          <w:b/>
        </w:rPr>
        <w:t>附件：</w:t>
      </w:r>
    </w:p>
    <w:p w14:paraId="7BA3B6C7">
      <w:pPr>
        <w:bidi w:val="0"/>
      </w:pPr>
      <w:bookmarkStart w:id="0" w:name="_Toc2748"/>
      <w:r>
        <w:rPr>
          <w:rFonts w:hint="eastAsia"/>
        </w:rPr>
        <w:t>附件一、委托书</w:t>
      </w:r>
      <w:bookmarkEnd w:id="0"/>
    </w:p>
    <w:p w14:paraId="4416CCC3">
      <w:pPr>
        <w:bidi w:val="0"/>
        <w:rPr>
          <w:rFonts w:hint="eastAsia"/>
          <w:lang w:val="en-US" w:eastAsia="zh-CN"/>
        </w:rPr>
      </w:pPr>
      <w:r>
        <w:rPr>
          <w:rFonts w:hint="eastAsia"/>
        </w:rPr>
        <w:t>附件二、</w:t>
      </w:r>
      <w:r>
        <w:rPr>
          <w:rFonts w:hint="eastAsia"/>
          <w:lang w:val="en-US" w:eastAsia="zh-CN"/>
        </w:rPr>
        <w:t>承诺确认书</w:t>
      </w:r>
    </w:p>
    <w:p w14:paraId="300FC09C">
      <w:pPr>
        <w:bidi w:val="0"/>
        <w:rPr>
          <w:rFonts w:hint="default"/>
          <w:lang w:val="en-US" w:eastAsia="zh-CN"/>
        </w:rPr>
      </w:pPr>
      <w:r>
        <w:rPr>
          <w:rFonts w:hint="eastAsia"/>
        </w:rPr>
        <w:t>附件</w:t>
      </w:r>
      <w:r>
        <w:rPr>
          <w:rFonts w:hint="eastAsia"/>
          <w:lang w:val="en-US" w:eastAsia="zh-CN"/>
        </w:rPr>
        <w:t>三</w:t>
      </w:r>
      <w:r>
        <w:rPr>
          <w:rFonts w:hint="eastAsia"/>
        </w:rPr>
        <w:t>、备案</w:t>
      </w:r>
      <w:r>
        <w:rPr>
          <w:rFonts w:hint="eastAsia"/>
          <w:lang w:val="en-US" w:eastAsia="zh-CN"/>
        </w:rPr>
        <w:t>证明</w:t>
      </w:r>
    </w:p>
    <w:p w14:paraId="6A72EA6F">
      <w:pPr>
        <w:bidi w:val="0"/>
        <w:rPr>
          <w:rFonts w:hint="default" w:eastAsia="宋体"/>
          <w:lang w:val="en-US" w:eastAsia="zh-CN"/>
        </w:rPr>
      </w:pPr>
      <w:r>
        <w:rPr>
          <w:rFonts w:hint="eastAsia"/>
        </w:rPr>
        <w:t>附件</w:t>
      </w:r>
      <w:r>
        <w:rPr>
          <w:rFonts w:hint="eastAsia"/>
          <w:lang w:val="en-US" w:eastAsia="zh-CN"/>
        </w:rPr>
        <w:t>四</w:t>
      </w:r>
      <w:r>
        <w:rPr>
          <w:rFonts w:hint="eastAsia"/>
        </w:rPr>
        <w:t>、</w:t>
      </w:r>
      <w:bookmarkStart w:id="1" w:name="_Toc13412"/>
      <w:r>
        <w:rPr>
          <w:rFonts w:hint="eastAsia"/>
          <w:lang w:val="en-US" w:eastAsia="zh-CN"/>
        </w:rPr>
        <w:t>厂房租赁合同</w:t>
      </w:r>
    </w:p>
    <w:p w14:paraId="62ABE268">
      <w:pPr>
        <w:bidi w:val="0"/>
      </w:pPr>
      <w:r>
        <w:rPr>
          <w:rFonts w:hint="eastAsia"/>
        </w:rPr>
        <w:t>附件</w:t>
      </w:r>
      <w:r>
        <w:rPr>
          <w:rFonts w:hint="eastAsia"/>
          <w:lang w:val="en-US" w:eastAsia="zh-CN"/>
        </w:rPr>
        <w:t>五</w:t>
      </w:r>
      <w:r>
        <w:rPr>
          <w:rFonts w:hint="eastAsia"/>
        </w:rPr>
        <w:t>、</w:t>
      </w:r>
      <w:bookmarkEnd w:id="1"/>
      <w:r>
        <w:rPr>
          <w:rFonts w:hint="eastAsia"/>
        </w:rPr>
        <w:t>现状监测报告</w:t>
      </w:r>
    </w:p>
    <w:p w14:paraId="45C3F9F7">
      <w:pPr>
        <w:bidi w:val="0"/>
        <w:rPr>
          <w:rFonts w:hint="default" w:eastAsia="宋体"/>
          <w:lang w:val="en-US" w:eastAsia="zh-CN"/>
        </w:rPr>
      </w:pPr>
      <w:r>
        <w:rPr>
          <w:rFonts w:hint="eastAsia"/>
          <w:lang w:val="en-US" w:eastAsia="zh-CN"/>
        </w:rPr>
        <w:t>附件六、类比监测报告</w:t>
      </w:r>
    </w:p>
    <w:p w14:paraId="568CB5B7">
      <w:pPr>
        <w:ind w:firstLine="480"/>
        <w:rPr>
          <w:highlight w:val="yellow"/>
        </w:rPr>
      </w:pPr>
    </w:p>
    <w:p w14:paraId="2B3818CF">
      <w:pPr>
        <w:pStyle w:val="72"/>
        <w:rPr>
          <w:highlight w:val="yellow"/>
        </w:rPr>
        <w:sectPr>
          <w:headerReference r:id="rId5" w:type="default"/>
          <w:footerReference r:id="rId6" w:type="default"/>
          <w:pgSz w:w="11907" w:h="16840"/>
          <w:pgMar w:top="1440" w:right="1797" w:bottom="1440" w:left="1797" w:header="907" w:footer="907" w:gutter="0"/>
          <w:pgBorders>
            <w:top w:val="none" w:sz="0" w:space="0"/>
            <w:left w:val="none" w:sz="0" w:space="0"/>
            <w:bottom w:val="none" w:sz="0" w:space="0"/>
            <w:right w:val="none" w:sz="0" w:space="0"/>
          </w:pgBorders>
          <w:pgNumType w:fmt="decimal" w:start="4"/>
          <w:cols w:space="720" w:num="1"/>
          <w:docGrid w:linePitch="380" w:charSpace="0"/>
        </w:sectPr>
      </w:pPr>
    </w:p>
    <w:p w14:paraId="53E64A36">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2" w:name="_Toc51319834"/>
      <w:bookmarkStart w:id="3" w:name="_Toc25189"/>
      <w:r>
        <w:rPr>
          <w:rFonts w:hint="eastAsia" w:ascii="Times New Roman" w:hAnsi="Times New Roman" w:cs="Times New Roman"/>
          <w:lang w:val="en-US" w:eastAsia="zh-CN"/>
        </w:rPr>
        <w:t xml:space="preserve"> </w:t>
      </w:r>
      <w:bookmarkStart w:id="4" w:name="_Toc31984"/>
      <w:r>
        <w:rPr>
          <w:rFonts w:hint="eastAsia" w:ascii="Times New Roman" w:hAnsi="Times New Roman" w:cs="Times New Roman"/>
          <w:lang w:val="en-US" w:eastAsia="zh-CN"/>
        </w:rPr>
        <w:t>概述</w:t>
      </w:r>
      <w:bookmarkEnd w:id="2"/>
      <w:bookmarkEnd w:id="3"/>
      <w:bookmarkEnd w:id="4"/>
    </w:p>
    <w:p w14:paraId="44B9D781">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5" w:name="_Toc824"/>
      <w:bookmarkStart w:id="6" w:name="_Toc174155849"/>
      <w:bookmarkStart w:id="7" w:name="_Toc9442"/>
      <w:bookmarkStart w:id="8" w:name="_Toc428286754"/>
      <w:bookmarkStart w:id="9" w:name="_Toc428287148"/>
      <w:bookmarkStart w:id="10" w:name="_Toc51319835"/>
      <w:bookmarkStart w:id="11" w:name="_Toc429318377"/>
      <w:r>
        <w:rPr>
          <w:rFonts w:hint="eastAsia" w:ascii="Times New Roman" w:hAnsi="Times New Roman" w:eastAsia="宋体" w:cs="Times New Roman"/>
          <w:lang w:val="en-US" w:eastAsia="zh-CN"/>
        </w:rPr>
        <w:t>1.1项目由来</w:t>
      </w:r>
      <w:bookmarkEnd w:id="5"/>
      <w:bookmarkEnd w:id="6"/>
      <w:bookmarkEnd w:id="7"/>
      <w:bookmarkEnd w:id="8"/>
      <w:bookmarkEnd w:id="9"/>
      <w:bookmarkEnd w:id="10"/>
      <w:bookmarkEnd w:id="11"/>
    </w:p>
    <w:p w14:paraId="0D2F9302">
      <w:pPr>
        <w:pStyle w:val="72"/>
        <w:rPr>
          <w:rFonts w:hint="eastAsia"/>
        </w:rPr>
      </w:pPr>
      <w:r>
        <w:rPr>
          <w:rFonts w:hint="eastAsia"/>
        </w:rPr>
        <w:t>新乡市泓江润新能源有限公司位于新乡市获嘉县先进制造业开发区安王路与梧桐路交叉口西100米1号，根据市场需求以及企业自身的发展规划，新乡市润鑫新能源有限公司拟投资</w:t>
      </w:r>
      <w:r>
        <w:rPr>
          <w:rFonts w:hint="eastAsia"/>
          <w:lang w:val="en-US" w:eastAsia="zh-CN"/>
        </w:rPr>
        <w:t>6000</w:t>
      </w:r>
      <w:r>
        <w:rPr>
          <w:rFonts w:hint="eastAsia"/>
        </w:rPr>
        <w:t>万元利用</w:t>
      </w:r>
      <w:r>
        <w:rPr>
          <w:rFonts w:hint="eastAsia"/>
          <w:lang w:val="en-US" w:eastAsia="zh-CN"/>
        </w:rPr>
        <w:t>租赁</w:t>
      </w:r>
      <w:r>
        <w:rPr>
          <w:rFonts w:hint="eastAsia"/>
        </w:rPr>
        <w:t>厂房建设年产10亿只钢壳、10亿只盖帽和3600吨电池连接件项目，产品方案为电池钢壳10亿只/年、</w:t>
      </w:r>
      <w:r>
        <w:rPr>
          <w:rFonts w:hint="eastAsia"/>
          <w:lang w:val="en-US" w:eastAsia="zh-CN"/>
        </w:rPr>
        <w:t>盖帽</w:t>
      </w:r>
      <w:r>
        <w:rPr>
          <w:rFonts w:hint="eastAsia"/>
        </w:rPr>
        <w:t>10亿只/年、电池连接件</w:t>
      </w:r>
      <w:r>
        <w:rPr>
          <w:rFonts w:hint="eastAsia"/>
          <w:lang w:val="en-US" w:eastAsia="zh-CN"/>
        </w:rPr>
        <w:t>3600吨</w:t>
      </w:r>
      <w:r>
        <w:rPr>
          <w:rFonts w:hint="eastAsia"/>
        </w:rPr>
        <w:t>。</w:t>
      </w:r>
    </w:p>
    <w:p w14:paraId="75277CDB">
      <w:pPr>
        <w:pStyle w:val="72"/>
      </w:pPr>
      <w:r>
        <w:rPr>
          <w:rFonts w:hint="eastAsia"/>
        </w:rPr>
        <w:t>根据《产业结构调整指导目录（2024年本）》，该项目不属于鼓励类、限制类或淘汰类，属于允许类项目，符合国家产业政策。本项目已经</w:t>
      </w:r>
      <w:r>
        <w:rPr>
          <w:rFonts w:hint="eastAsia"/>
          <w:lang w:val="en-US" w:eastAsia="zh-CN"/>
        </w:rPr>
        <w:t>在</w:t>
      </w:r>
      <w:r>
        <w:rPr>
          <w:rFonts w:hint="eastAsia"/>
        </w:rPr>
        <w:t>获嘉县发展和改革委员会备案（项目代</w:t>
      </w:r>
      <w:r>
        <w:rPr>
          <w:rFonts w:hint="eastAsia"/>
          <w:color w:val="000000" w:themeColor="text1"/>
          <w:lang w:val="en-US" w:eastAsia="zh-CN"/>
          <w14:textFill>
            <w14:solidFill>
              <w14:schemeClr w14:val="tx1"/>
            </w14:solidFill>
          </w14:textFill>
        </w:rPr>
        <w:t>码：2503-410724-04-05-141876，详见附件三）</w:t>
      </w:r>
      <w:r>
        <w:rPr>
          <w:rFonts w:hint="eastAsia"/>
        </w:rPr>
        <w:t>。</w:t>
      </w:r>
    </w:p>
    <w:p w14:paraId="5D0F6000">
      <w:pPr>
        <w:pStyle w:val="72"/>
      </w:pPr>
      <w:r>
        <w:rPr>
          <w:rFonts w:hint="eastAsia"/>
          <w:color w:val="000000" w:themeColor="text1"/>
          <w14:textFill>
            <w14:solidFill>
              <w14:schemeClr w14:val="tx1"/>
            </w14:solidFill>
          </w14:textFill>
        </w:rPr>
        <w:t>本项目主要产品为电池钢壳、</w:t>
      </w:r>
      <w:r>
        <w:rPr>
          <w:rFonts w:hint="eastAsia"/>
          <w:color w:val="000000" w:themeColor="text1"/>
          <w:lang w:val="en-US" w:eastAsia="zh-CN"/>
          <w14:textFill>
            <w14:solidFill>
              <w14:schemeClr w14:val="tx1"/>
            </w14:solidFill>
          </w14:textFill>
        </w:rPr>
        <w:t>盖帽</w:t>
      </w:r>
      <w:r>
        <w:rPr>
          <w:rFonts w:hint="eastAsia"/>
          <w:color w:val="000000" w:themeColor="text1"/>
          <w14:textFill>
            <w14:solidFill>
              <w14:schemeClr w14:val="tx1"/>
            </w14:solidFill>
          </w14:textFill>
        </w:rPr>
        <w:t>和电池连接件，项目需配套建设</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台</w:t>
      </w:r>
      <w:r>
        <w:rPr>
          <w:rFonts w:hint="eastAsia"/>
          <w:color w:val="000000" w:themeColor="text1"/>
          <w:lang w:val="en-US" w:eastAsia="zh-CN"/>
          <w14:textFill>
            <w14:solidFill>
              <w14:schemeClr w14:val="tx1"/>
            </w14:solidFill>
          </w14:textFill>
        </w:rPr>
        <w:t>0.9</w:t>
      </w:r>
      <w:r>
        <w:rPr>
          <w:rFonts w:hint="eastAsia"/>
          <w:color w:val="000000" w:themeColor="text1"/>
          <w14:textFill>
            <w14:solidFill>
              <w14:schemeClr w14:val="tx1"/>
            </w14:solidFill>
          </w14:textFill>
        </w:rPr>
        <w:t>t/h的</w:t>
      </w:r>
      <w:r>
        <w:rPr>
          <w:rFonts w:hint="eastAsia"/>
          <w:color w:val="000000" w:themeColor="text1"/>
          <w:lang w:val="en-US" w:eastAsia="zh-CN"/>
          <w14:textFill>
            <w14:solidFill>
              <w14:schemeClr w14:val="tx1"/>
            </w14:solidFill>
          </w14:textFill>
        </w:rPr>
        <w:t>电蒸汽发生器</w:t>
      </w:r>
      <w:r>
        <w:rPr>
          <w:rFonts w:hint="eastAsia"/>
          <w:color w:val="000000" w:themeColor="text1"/>
          <w14:textFill>
            <w14:solidFill>
              <w14:schemeClr w14:val="tx1"/>
            </w14:solidFill>
          </w14:textFill>
        </w:rPr>
        <w:t>。</w:t>
      </w:r>
      <w:r>
        <w:rPr>
          <w:rFonts w:hint="eastAsia"/>
        </w:rPr>
        <w:t>电池钢壳、</w:t>
      </w:r>
      <w:r>
        <w:rPr>
          <w:rFonts w:hint="eastAsia"/>
          <w:lang w:val="en-US" w:eastAsia="zh-CN"/>
        </w:rPr>
        <w:t>盖帽</w:t>
      </w:r>
      <w:r>
        <w:rPr>
          <w:rFonts w:hint="eastAsia"/>
        </w:rPr>
        <w:t>和电池连接件属于《建设项目环境影响评价分类管理名录》（2021年版）中三十五、“电气机械和器材制造业38”：第77条“电池制造384”，名录规定：“铅蓄电池制造；太阳能电池片生产；有电镀工艺的；年用溶剂型涂料（含稀释剂）10吨及以上的”项目应编制环境影响评价报告书，“其他（仅分割、焊接、组装的除外；年用非溶剂型低VOC</w:t>
      </w:r>
      <w:r>
        <w:rPr>
          <w:rFonts w:hint="eastAsia"/>
          <w:vertAlign w:val="subscript"/>
          <w:lang w:val="en-US" w:eastAsia="zh-CN"/>
        </w:rPr>
        <w:t>S</w:t>
      </w:r>
      <w:r>
        <w:rPr>
          <w:rFonts w:hint="eastAsia"/>
        </w:rPr>
        <w:t>含量涂料10吨以下的除外）”的项目应编制环境影响评价报告表。</w:t>
      </w:r>
    </w:p>
    <w:p w14:paraId="21984A17">
      <w:pPr>
        <w:pStyle w:val="72"/>
      </w:pPr>
      <w:r>
        <w:rPr>
          <w:rFonts w:hint="eastAsia"/>
        </w:rPr>
        <w:t>本项目工艺主要为</w:t>
      </w:r>
      <w:r>
        <w:rPr>
          <w:rFonts w:hint="eastAsia"/>
          <w:color w:val="000000" w:themeColor="text1"/>
          <w14:textFill>
            <w14:solidFill>
              <w14:schemeClr w14:val="tx1"/>
            </w14:solidFill>
          </w14:textFill>
        </w:rPr>
        <w:t>冲压、除油、酸洗、活化、镀镍、漂白、钝化、中和、封闭等</w:t>
      </w:r>
      <w:r>
        <w:rPr>
          <w:rFonts w:hint="eastAsia"/>
        </w:rPr>
        <w:t>，有电镀工艺，因此本项目应编制环境影响报告书。</w:t>
      </w:r>
    </w:p>
    <w:p w14:paraId="072B7226">
      <w:pPr>
        <w:pStyle w:val="72"/>
        <w:rPr>
          <w:highlight w:val="yellow"/>
        </w:rPr>
      </w:pPr>
      <w:r>
        <w:rPr>
          <w:rFonts w:hint="eastAsia"/>
        </w:rPr>
        <w:t>受建设单位委托，</w:t>
      </w:r>
      <w:r>
        <w:rPr>
          <w:rFonts w:hint="eastAsia"/>
          <w:lang w:val="en-US" w:eastAsia="zh-CN"/>
        </w:rPr>
        <w:t>新乡市译洋环境技术有限公司</w:t>
      </w:r>
      <w:r>
        <w:rPr>
          <w:rFonts w:hint="eastAsia"/>
        </w:rPr>
        <w:t>承担了该项目环境影响评价工作。根据《中华人民共和国环境影响评价法》，在现场踏勘和收集资料的基础上，依据《环境影响评价技术导则》相关要求，按照“突出环境影响评价的源头预防作用，坚持保护和改善环境质量”的原则，编制完成了《</w:t>
      </w:r>
      <w:r>
        <w:rPr>
          <w:rFonts w:hint="eastAsia"/>
          <w:color w:val="000000" w:themeColor="text1"/>
          <w14:textFill>
            <w14:solidFill>
              <w14:schemeClr w14:val="tx1"/>
            </w14:solidFill>
          </w14:textFill>
        </w:rPr>
        <w:t>新乡市泓江润新能源有限公司年产10亿只钢壳、10亿只盖帽和3600吨电池连接件项目</w:t>
      </w:r>
      <w:r>
        <w:rPr>
          <w:rFonts w:hint="eastAsia"/>
        </w:rPr>
        <w:t>环境影响报告书》。</w:t>
      </w:r>
    </w:p>
    <w:p w14:paraId="28C6C14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2" w:name="_Toc51319836"/>
      <w:bookmarkStart w:id="13" w:name="_Toc428287158"/>
      <w:bookmarkStart w:id="14" w:name="_Toc428286764"/>
      <w:bookmarkStart w:id="15" w:name="_Toc429318380"/>
      <w:bookmarkStart w:id="16" w:name="_Toc6370"/>
      <w:bookmarkStart w:id="17" w:name="_Toc3446"/>
      <w:r>
        <w:rPr>
          <w:rFonts w:hint="eastAsia" w:ascii="Times New Roman" w:hAnsi="Times New Roman" w:eastAsia="宋体" w:cs="Times New Roman"/>
          <w:lang w:val="en-US" w:eastAsia="zh-CN"/>
        </w:rPr>
        <w:t>1.2工程和环境特点</w:t>
      </w:r>
      <w:bookmarkEnd w:id="12"/>
      <w:bookmarkEnd w:id="13"/>
      <w:bookmarkEnd w:id="14"/>
      <w:bookmarkEnd w:id="15"/>
      <w:bookmarkEnd w:id="16"/>
      <w:bookmarkEnd w:id="17"/>
    </w:p>
    <w:p w14:paraId="6BF1470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8" w:name="_Toc108122310"/>
      <w:bookmarkStart w:id="19" w:name="_Toc428287511"/>
      <w:bookmarkStart w:id="20" w:name="_Toc428287159"/>
      <w:bookmarkStart w:id="21" w:name="_Toc428286765"/>
      <w:r>
        <w:rPr>
          <w:rFonts w:hint="eastAsia" w:ascii="Times New Roman" w:hAnsi="Times New Roman" w:cs="Times New Roman"/>
          <w:lang w:val="en-US" w:eastAsia="zh-CN"/>
        </w:rPr>
        <w:t>1.2.1工程特点</w:t>
      </w:r>
      <w:bookmarkEnd w:id="18"/>
      <w:bookmarkEnd w:id="19"/>
      <w:bookmarkEnd w:id="20"/>
      <w:bookmarkEnd w:id="21"/>
    </w:p>
    <w:p w14:paraId="1BBD9874">
      <w:pPr>
        <w:ind w:firstLine="480"/>
        <w:rPr>
          <w:rFonts w:cs="宋体"/>
        </w:rPr>
      </w:pPr>
      <w:r>
        <w:rPr>
          <w:rFonts w:hint="eastAsia" w:cs="宋体"/>
        </w:rPr>
        <w:t>①项目属于《产业结构调整指导目录（2024年本）》中允许类项目，符合国家产业政策；</w:t>
      </w:r>
    </w:p>
    <w:p w14:paraId="538E4E97">
      <w:pPr>
        <w:ind w:firstLine="480"/>
        <w:rPr>
          <w:rFonts w:cs="宋体"/>
        </w:rPr>
      </w:pPr>
      <w:r>
        <w:rPr>
          <w:rFonts w:hint="eastAsia" w:cs="宋体"/>
        </w:rPr>
        <w:t>②项目厂址位于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cs="宋体"/>
        </w:rPr>
        <w:t>，</w:t>
      </w:r>
      <w:r>
        <w:rPr>
          <w:rFonts w:hint="eastAsia" w:cs="宋体"/>
          <w:lang w:val="en-US" w:eastAsia="zh-CN"/>
        </w:rPr>
        <w:t>属于获嘉县</w:t>
      </w:r>
      <w:r>
        <w:rPr>
          <w:rFonts w:hint="eastAsia" w:cs="宋体"/>
        </w:rPr>
        <w:t>产业集聚区</w:t>
      </w:r>
      <w:r>
        <w:rPr>
          <w:rFonts w:hint="eastAsia" w:cs="宋体"/>
          <w:lang w:val="en-US" w:eastAsia="zh-CN"/>
        </w:rPr>
        <w:t>范围内，</w:t>
      </w:r>
      <w:r>
        <w:rPr>
          <w:rFonts w:hint="eastAsia" w:cs="宋体"/>
        </w:rPr>
        <w:t>根据获嘉县产业集聚区总体发展规划（2016~2020）》北部</w:t>
      </w:r>
      <w:r>
        <w:rPr>
          <w:rFonts w:hint="eastAsia" w:cs="宋体"/>
          <w:lang w:val="en-US" w:eastAsia="zh-CN"/>
        </w:rPr>
        <w:t>用地布局规划图</w:t>
      </w:r>
      <w:r>
        <w:rPr>
          <w:rFonts w:hint="eastAsia" w:cs="宋体"/>
        </w:rPr>
        <w:t>，本项目用地属于二类工业用地，符合用地规划要求</w:t>
      </w:r>
      <w:r>
        <w:rPr>
          <w:rFonts w:hint="eastAsia" w:cs="宋体"/>
          <w:color w:val="000000" w:themeColor="text1"/>
          <w14:textFill>
            <w14:solidFill>
              <w14:schemeClr w14:val="tx1"/>
            </w14:solidFill>
          </w14:textFill>
        </w:rPr>
        <w:t>。根据《获嘉县产业集聚区总体发展规划（2016~2020）》北部产业空间布局图，拟</w:t>
      </w:r>
      <w:r>
        <w:rPr>
          <w:rFonts w:hint="eastAsia" w:cs="宋体"/>
        </w:rPr>
        <w:t>建项目厂址所在地块属于机械制造片区，本项目符合产业布局要求。综上所述，本项目符合新乡市获嘉县产业集聚区总体发展规划和用地规划。</w:t>
      </w:r>
    </w:p>
    <w:p w14:paraId="1569D664">
      <w:pPr>
        <w:ind w:firstLine="480"/>
        <w:rPr>
          <w:rFonts w:cs="宋体"/>
        </w:rPr>
      </w:pPr>
      <w:r>
        <w:rPr>
          <w:rFonts w:hint="eastAsia" w:cs="宋体"/>
        </w:rPr>
        <w:t>③项目供水、排水依托市政供应。</w:t>
      </w:r>
    </w:p>
    <w:p w14:paraId="426CAEF0">
      <w:pPr>
        <w:ind w:firstLine="480"/>
      </w:pPr>
      <w:r>
        <w:rPr>
          <w:rFonts w:hint="eastAsia" w:cs="宋体"/>
        </w:rPr>
        <w:t>④项目属于电气机械和器材制造业，涉及电镀工艺，生产过程中会产生一些酸性有害气体、含镍和铬的废水及固体废物，涉及到第一类水污染物。根据项目排污特点，工程具有成熟的治理技术，可以保证废气、废水、噪声达标排放，固废有效处置。工程排污应严格执行国家相关排放标准</w:t>
      </w:r>
      <w:r>
        <w:rPr>
          <w:rFonts w:hint="eastAsia"/>
        </w:rPr>
        <w:t>。</w:t>
      </w:r>
    </w:p>
    <w:p w14:paraId="5E8009C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22" w:name="_Toc428286766"/>
      <w:bookmarkStart w:id="23" w:name="_Toc108122311"/>
      <w:bookmarkStart w:id="24" w:name="_Toc428287512"/>
      <w:bookmarkStart w:id="25" w:name="_Toc428287160"/>
      <w:r>
        <w:rPr>
          <w:rFonts w:hint="eastAsia" w:ascii="Times New Roman" w:hAnsi="Times New Roman" w:cs="Times New Roman"/>
          <w:lang w:val="en-US" w:eastAsia="zh-CN"/>
        </w:rPr>
        <w:t>1.2.2环境特点</w:t>
      </w:r>
      <w:bookmarkEnd w:id="22"/>
      <w:bookmarkEnd w:id="23"/>
      <w:bookmarkEnd w:id="24"/>
      <w:bookmarkEnd w:id="25"/>
    </w:p>
    <w:p w14:paraId="6F063649">
      <w:pPr>
        <w:pStyle w:val="72"/>
        <w:rPr>
          <w:rFonts w:hint="eastAsia"/>
        </w:rPr>
      </w:pPr>
      <w:r>
        <w:rPr>
          <w:rFonts w:hint="eastAsia"/>
        </w:rPr>
        <w:t>①项目厂址位于新乡市获嘉县先进制造业开发区安王路与梧桐路交叉口西100米1号，利用</w:t>
      </w:r>
      <w:r>
        <w:rPr>
          <w:rFonts w:hint="eastAsia"/>
          <w:lang w:val="en-US" w:eastAsia="zh-CN"/>
        </w:rPr>
        <w:t>厂房</w:t>
      </w:r>
      <w:r>
        <w:rPr>
          <w:rFonts w:hint="eastAsia"/>
        </w:rPr>
        <w:t>进行生产，厂区四周环境为：西侧</w:t>
      </w:r>
      <w:r>
        <w:rPr>
          <w:rFonts w:hint="eastAsia"/>
          <w:lang w:val="en-US" w:eastAsia="zh-CN"/>
        </w:rPr>
        <w:t>隔西一路</w:t>
      </w:r>
      <w:r>
        <w:rPr>
          <w:rFonts w:hint="eastAsia"/>
        </w:rPr>
        <w:t>为河南</w:t>
      </w:r>
      <w:r>
        <w:rPr>
          <w:rFonts w:hint="eastAsia"/>
          <w:lang w:val="en-US" w:eastAsia="zh-CN"/>
        </w:rPr>
        <w:t>昊立游乐设备有限公司和河南安立特机电设备有限公司</w:t>
      </w:r>
      <w:r>
        <w:rPr>
          <w:rFonts w:hint="eastAsia"/>
        </w:rPr>
        <w:t>，东边为北京奔茨新能源汽车（河南）有限公司，南隔梧桐路为新乡市喜盈盈机械制造有限公司和新乡市嘉数科技有限公司，北侧现状为</w:t>
      </w:r>
      <w:r>
        <w:rPr>
          <w:rFonts w:hint="eastAsia"/>
          <w:lang w:val="en-US" w:eastAsia="zh-CN"/>
        </w:rPr>
        <w:t>空地</w:t>
      </w:r>
      <w:r>
        <w:rPr>
          <w:rFonts w:hint="eastAsia"/>
        </w:rPr>
        <w:t>（规划用地性质为二类工业用地）。</w:t>
      </w:r>
    </w:p>
    <w:p w14:paraId="5C5D6FA0">
      <w:pPr>
        <w:pStyle w:val="72"/>
      </w:pPr>
      <w:r>
        <w:rPr>
          <w:rFonts w:hint="eastAsia"/>
        </w:rPr>
        <w:t>②本项目含镍废水经含镍废水处理系统处理后回用于镀镍后水洗工段和</w:t>
      </w:r>
      <w:r>
        <w:rPr>
          <w:rFonts w:hint="eastAsia"/>
          <w:lang w:val="en-US" w:eastAsia="zh-CN"/>
        </w:rPr>
        <w:t>漂白及漂白后水洗工段</w:t>
      </w:r>
      <w:r>
        <w:rPr>
          <w:rFonts w:hint="eastAsia"/>
        </w:rPr>
        <w:t>；含铬废水经含铬废水处理系统处理后回用于钝化后水洗工段和中和后水洗工段；综合废水经综合废水处理系统处理后经厂区总排口排放；生活污水经化粪池处理后与纯水制备浓水</w:t>
      </w:r>
      <w:r>
        <w:rPr>
          <w:rFonts w:hint="eastAsia"/>
          <w:lang w:val="en-US" w:eastAsia="zh-CN"/>
        </w:rPr>
        <w:t>、</w:t>
      </w:r>
      <w:r>
        <w:rPr>
          <w:rFonts w:hint="eastAsia"/>
        </w:rPr>
        <w:t>冲压冷凝水及综合污水一同经厂区总排口排入新乡市获嘉县同盟污水处理厂</w:t>
      </w:r>
      <w:r>
        <w:rPr>
          <w:rFonts w:hint="eastAsia"/>
          <w:lang w:val="en-US" w:eastAsia="zh-CN"/>
        </w:rPr>
        <w:t>进一步处理</w:t>
      </w:r>
      <w:r>
        <w:rPr>
          <w:rFonts w:hint="eastAsia"/>
        </w:rPr>
        <w:t>，</w:t>
      </w:r>
      <w:r>
        <w:rPr>
          <w:rFonts w:hint="eastAsia"/>
          <w:lang w:val="en-US" w:eastAsia="zh-CN"/>
        </w:rPr>
        <w:t>最终</w:t>
      </w:r>
      <w:r>
        <w:rPr>
          <w:rFonts w:hint="eastAsia"/>
        </w:rPr>
        <w:t>排入</w:t>
      </w:r>
      <w:r>
        <w:t>共产主义渠</w:t>
      </w:r>
      <w:r>
        <w:rPr>
          <w:rFonts w:hint="eastAsia"/>
        </w:rPr>
        <w:t>。</w:t>
      </w:r>
    </w:p>
    <w:p w14:paraId="0790368E">
      <w:pPr>
        <w:pStyle w:val="72"/>
      </w:pPr>
      <w:r>
        <w:rPr>
          <w:rFonts w:hint="eastAsia"/>
        </w:rPr>
        <w:t>③工程厂址周围噪声环境质量现状较好；空气质量属于</w:t>
      </w:r>
      <w:r>
        <w:rPr>
          <w:rFonts w:hint="eastAsia"/>
          <w:lang w:val="en-US" w:eastAsia="zh-CN"/>
        </w:rPr>
        <w:t>不</w:t>
      </w:r>
      <w:r>
        <w:rPr>
          <w:rFonts w:hint="eastAsia"/>
        </w:rPr>
        <w:t>达标区；项目纳污水体共产主义渠水域规划功能为IV类，目前可以稳定满足规划要求。工程所排废水在达标排放的基础上必须满足区域总量控制规划要求。</w:t>
      </w:r>
    </w:p>
    <w:p w14:paraId="42898881">
      <w:pPr>
        <w:pStyle w:val="72"/>
      </w:pPr>
      <w:r>
        <w:rPr>
          <w:rFonts w:hint="eastAsia"/>
        </w:rPr>
        <w:t>④项目厂址不在新乡市饮用水源保护区范围内。</w:t>
      </w:r>
    </w:p>
    <w:p w14:paraId="402219CE">
      <w:pPr>
        <w:pStyle w:val="72"/>
      </w:pPr>
      <w:r>
        <w:rPr>
          <w:rFonts w:hint="eastAsia"/>
        </w:rPr>
        <w:t>⑤项目厂址1km范围内暂未发现文物保护单位。</w:t>
      </w:r>
    </w:p>
    <w:p w14:paraId="7744CE0C">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26" w:name="_Toc491"/>
      <w:bookmarkStart w:id="27" w:name="_Toc10474"/>
      <w:bookmarkStart w:id="28" w:name="_Toc51319837"/>
      <w:r>
        <w:rPr>
          <w:rFonts w:hint="eastAsia" w:ascii="Times New Roman" w:hAnsi="Times New Roman" w:eastAsia="宋体" w:cs="Times New Roman"/>
          <w:lang w:val="en-US" w:eastAsia="zh-CN"/>
        </w:rPr>
        <w:t>1.3环境影响评价的工作过程</w:t>
      </w:r>
      <w:bookmarkEnd w:id="26"/>
      <w:bookmarkEnd w:id="27"/>
      <w:bookmarkEnd w:id="28"/>
    </w:p>
    <w:p w14:paraId="5A3E7926">
      <w:pPr>
        <w:keepNext w:val="0"/>
        <w:keepLines w:val="0"/>
        <w:pageBreakBefore w:val="0"/>
        <w:widowControl/>
        <w:numPr>
          <w:ilvl w:val="0"/>
          <w:numId w:val="0"/>
        </w:numPr>
        <w:kinsoku/>
        <w:wordWrap/>
        <w:overflowPunct/>
        <w:topLinePunct/>
        <w:autoSpaceDE w:val="0"/>
        <w:autoSpaceDN/>
        <w:bidi w:val="0"/>
        <w:adjustRightInd w:val="0"/>
        <w:snapToGrid w:val="0"/>
        <w:ind w:firstLine="480" w:firstLineChars="200"/>
        <w:textAlignment w:val="auto"/>
        <w:outlineLvl w:val="9"/>
        <w:rPr>
          <w:rFonts w:hint="default" w:ascii="Times New Roman" w:hAnsi="Times New Roman" w:eastAsia="Times New Roman" w:cs="Times New Roman"/>
          <w:sz w:val="24"/>
          <w:szCs w:val="24"/>
        </w:rPr>
      </w:pPr>
      <w:bookmarkStart w:id="29" w:name="_Toc26957"/>
      <w:r>
        <w:rPr>
          <w:rFonts w:hint="default" w:ascii="Times New Roman" w:hAnsi="Times New Roman" w:eastAsia="宋体" w:cs="Times New Roman"/>
          <w:sz w:val="24"/>
          <w:szCs w:val="24"/>
        </w:rPr>
        <w:t>根据《中华人民共和国环境保护法》、《中华人民共和国环境影响评价法》及国务院令第</w:t>
      </w:r>
      <w:r>
        <w:rPr>
          <w:rFonts w:hint="default" w:ascii="Times New Roman" w:hAnsi="Times New Roman" w:eastAsia="Times New Roman" w:cs="Times New Roman"/>
          <w:sz w:val="24"/>
          <w:szCs w:val="24"/>
        </w:rPr>
        <w:t>682</w:t>
      </w:r>
      <w:r>
        <w:rPr>
          <w:rFonts w:hint="default" w:ascii="Times New Roman" w:hAnsi="Times New Roman" w:eastAsia="宋体" w:cs="Times New Roman"/>
          <w:sz w:val="24"/>
          <w:szCs w:val="24"/>
        </w:rPr>
        <w:t>号《建设项目环境保护管理条例》（</w:t>
      </w:r>
      <w:r>
        <w:rPr>
          <w:rFonts w:hint="default" w:ascii="Times New Roman" w:hAnsi="Times New Roman" w:eastAsia="Times New Roman" w:cs="Times New Roman"/>
          <w:sz w:val="24"/>
          <w:szCs w:val="24"/>
        </w:rPr>
        <w:t>2017</w:t>
      </w:r>
      <w:r>
        <w:rPr>
          <w:rFonts w:hint="default" w:ascii="Times New Roman" w:hAnsi="Times New Roman" w:eastAsia="宋体" w:cs="Times New Roman"/>
          <w:sz w:val="24"/>
          <w:szCs w:val="24"/>
        </w:rPr>
        <w:t>年修订版）中有关规定，该项目需进行环境影响评价，以便对工程投产后产生的环境影响做出系统分析和评价，论证工程实施的可行性，并提出有效的环境保护措施。</w:t>
      </w:r>
      <w:r>
        <w:rPr>
          <w:rFonts w:hint="default" w:ascii="Times New Roman" w:hAnsi="Times New Roman" w:eastAsia="宋体" w:cs="Times New Roman"/>
          <w:sz w:val="24"/>
          <w:szCs w:val="24"/>
          <w:lang w:val="en-US" w:eastAsia="zh-CN"/>
        </w:rPr>
        <w:t>受</w:t>
      </w:r>
      <w:r>
        <w:rPr>
          <w:rFonts w:hint="eastAsia"/>
        </w:rPr>
        <w:t>新乡市泓江润新能源有限公司</w:t>
      </w:r>
      <w:r>
        <w:rPr>
          <w:rFonts w:hint="default" w:ascii="Times New Roman" w:hAnsi="Times New Roman" w:eastAsia="宋体" w:cs="Times New Roman"/>
          <w:sz w:val="24"/>
          <w:szCs w:val="24"/>
        </w:rPr>
        <w:t>委托</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新乡市译洋环境技术有限公司</w:t>
      </w:r>
      <w:r>
        <w:rPr>
          <w:rFonts w:hint="default" w:ascii="Times New Roman" w:hAnsi="Times New Roman" w:eastAsia="宋体" w:cs="Times New Roman"/>
          <w:sz w:val="24"/>
          <w:szCs w:val="24"/>
        </w:rPr>
        <w:t>承担该项目的环境影响评价工作。</w:t>
      </w:r>
      <w:bookmarkEnd w:id="29"/>
    </w:p>
    <w:p w14:paraId="0AE1B018">
      <w:pPr>
        <w:keepNext w:val="0"/>
        <w:keepLines w:val="0"/>
        <w:pageBreakBefore w:val="0"/>
        <w:widowControl/>
        <w:numPr>
          <w:ilvl w:val="0"/>
          <w:numId w:val="0"/>
        </w:numPr>
        <w:kinsoku/>
        <w:wordWrap/>
        <w:overflowPunct/>
        <w:topLinePunct/>
        <w:autoSpaceDE w:val="0"/>
        <w:autoSpaceDN/>
        <w:bidi w:val="0"/>
        <w:adjustRightInd w:val="0"/>
        <w:snapToGrid w:val="0"/>
        <w:ind w:firstLine="482"/>
        <w:textAlignment w:val="auto"/>
        <w:outlineLvl w:val="9"/>
        <w:rPr>
          <w:rFonts w:hint="default" w:ascii="Times New Roman" w:hAnsi="Times New Roman" w:eastAsia="Times New Roman" w:cs="Times New Roman"/>
          <w:sz w:val="24"/>
          <w:szCs w:val="24"/>
        </w:rPr>
      </w:pPr>
      <w:bookmarkStart w:id="30" w:name="_Toc9866"/>
      <w:r>
        <w:rPr>
          <w:rFonts w:hint="default" w:ascii="Times New Roman" w:hAnsi="Times New Roman" w:eastAsia="宋体" w:cs="Times New Roman"/>
          <w:sz w:val="24"/>
          <w:szCs w:val="24"/>
        </w:rPr>
        <w:t>建设项目环境影响评价工作分为三个阶段：前期准备、调研和工作方案阶段；分析论证和预测评价阶段以及环评文件编制阶段，过程如下：</w:t>
      </w:r>
      <w:bookmarkEnd w:id="30"/>
    </w:p>
    <w:p w14:paraId="7CF9FD20">
      <w:pPr>
        <w:keepNext w:val="0"/>
        <w:keepLines w:val="0"/>
        <w:pageBreakBefore w:val="0"/>
        <w:widowControl/>
        <w:numPr>
          <w:ilvl w:val="0"/>
          <w:numId w:val="0"/>
        </w:numPr>
        <w:kinsoku/>
        <w:wordWrap/>
        <w:overflowPunct/>
        <w:topLinePunct/>
        <w:autoSpaceDE w:val="0"/>
        <w:autoSpaceDN/>
        <w:bidi w:val="0"/>
        <w:adjustRightInd w:val="0"/>
        <w:snapToGrid w:val="0"/>
        <w:ind w:firstLine="482"/>
        <w:textAlignment w:val="auto"/>
        <w:outlineLvl w:val="9"/>
        <w:rPr>
          <w:rFonts w:hint="default" w:ascii="Times New Roman" w:hAnsi="Times New Roman" w:eastAsia="Times New Roman" w:cs="Times New Roman"/>
          <w:sz w:val="24"/>
          <w:szCs w:val="24"/>
        </w:rPr>
      </w:pPr>
      <w:bookmarkStart w:id="31" w:name="_Toc5317"/>
      <w:r>
        <w:rPr>
          <w:rFonts w:hint="default" w:ascii="Times New Roman" w:hAnsi="Times New Roman" w:eastAsia="宋体" w:cs="Times New Roman"/>
          <w:sz w:val="24"/>
          <w:szCs w:val="24"/>
        </w:rPr>
        <w:t>（1）202</w:t>
      </w:r>
      <w:r>
        <w:rPr>
          <w:rFonts w:hint="eastAsia" w:ascii="Times New Roman" w:hAnsi="Times New Roman" w:eastAsia="宋体" w:cs="Times New Roman"/>
          <w:sz w:val="24"/>
          <w:szCs w:val="24"/>
          <w:lang w:val="en-US" w:eastAsia="zh-CN"/>
        </w:rPr>
        <w:t>4年12月</w:t>
      </w:r>
      <w:r>
        <w:rPr>
          <w:rFonts w:hint="default" w:ascii="Times New Roman" w:hAnsi="Times New Roman" w:eastAsia="宋体" w:cs="Times New Roman"/>
          <w:sz w:val="24"/>
          <w:szCs w:val="24"/>
        </w:rPr>
        <w:t>，受建设单位委托，启动项目环评工作。环评单位在多次实地踏勘、调研和收集分析资料的基础上，开展环境影响评价工作。根据建设单位提供的项目备案文件及相关资料，对项目选址、规模、性质和工艺路线等与国家和地方有关环境保护法律法规、标准、政策、规范、相关规划、规划环境影响评价结论及审查意见的符合性进行了分析，并与生态保护红线、环境质量底线、资源利用上线和环境准入清单进行了对照，在此基础上开始本项目环境影响评价报告书的编写工作。</w:t>
      </w:r>
      <w:bookmarkEnd w:id="31"/>
    </w:p>
    <w:p w14:paraId="00A9F7D5">
      <w:pPr>
        <w:keepNext w:val="0"/>
        <w:keepLines w:val="0"/>
        <w:pageBreakBefore w:val="0"/>
        <w:widowControl/>
        <w:numPr>
          <w:ilvl w:val="0"/>
          <w:numId w:val="0"/>
        </w:numPr>
        <w:kinsoku/>
        <w:wordWrap/>
        <w:overflowPunct/>
        <w:topLinePunct/>
        <w:autoSpaceDE w:val="0"/>
        <w:autoSpaceDN/>
        <w:bidi w:val="0"/>
        <w:adjustRightInd w:val="0"/>
        <w:snapToGrid w:val="0"/>
        <w:ind w:firstLine="482"/>
        <w:textAlignment w:val="auto"/>
        <w:outlineLvl w:val="9"/>
        <w:rPr>
          <w:rFonts w:hint="default" w:ascii="Times New Roman" w:hAnsi="Times New Roman" w:eastAsia="Times New Roman" w:cs="Times New Roman"/>
          <w:sz w:val="24"/>
          <w:szCs w:val="24"/>
        </w:rPr>
      </w:pPr>
      <w:bookmarkStart w:id="32" w:name="_Toc16298"/>
      <w:r>
        <w:rPr>
          <w:rFonts w:hint="default" w:ascii="Times New Roman" w:hAnsi="Times New Roman" w:eastAsia="宋体" w:cs="Times New Roman"/>
          <w:color w:val="000000"/>
          <w:sz w:val="24"/>
          <w:szCs w:val="24"/>
        </w:rPr>
        <w:t>（2）202</w:t>
      </w:r>
      <w:r>
        <w:rPr>
          <w:rFonts w:hint="default" w:ascii="Times New Roman" w:hAnsi="Times New Roman" w:eastAsia="Times New Roman" w:cs="Times New Roman"/>
          <w:color w:val="000000"/>
          <w:sz w:val="24"/>
          <w:szCs w:val="24"/>
          <w:lang w:val="en-US" w:eastAsia="zh-CN"/>
        </w:rPr>
        <w:t>4</w:t>
      </w:r>
      <w:r>
        <w:rPr>
          <w:rFonts w:hint="default" w:ascii="Times New Roman" w:hAnsi="Times New Roman" w:eastAsia="宋体" w:cs="Times New Roman"/>
          <w:color w:val="000000"/>
          <w:sz w:val="24"/>
          <w:szCs w:val="24"/>
        </w:rPr>
        <w:t>年</w:t>
      </w:r>
      <w:r>
        <w:rPr>
          <w:rFonts w:hint="eastAsia" w:ascii="Times New Roman" w:hAnsi="Times New Roman" w:eastAsia="宋体" w:cs="Times New Roman"/>
          <w:color w:val="000000"/>
          <w:sz w:val="24"/>
          <w:szCs w:val="24"/>
          <w:lang w:val="en-US" w:eastAsia="zh-CN"/>
        </w:rPr>
        <w:t>3</w:t>
      </w:r>
      <w:r>
        <w:rPr>
          <w:rFonts w:hint="default" w:ascii="Times New Roman" w:hAnsi="Times New Roman" w:eastAsia="宋体" w:cs="Times New Roman"/>
          <w:color w:val="000000"/>
          <w:sz w:val="24"/>
          <w:szCs w:val="24"/>
        </w:rPr>
        <w:t>月</w:t>
      </w:r>
      <w:r>
        <w:rPr>
          <w:rFonts w:hint="eastAsia" w:ascii="Times New Roman" w:hAnsi="Times New Roman" w:eastAsia="宋体" w:cs="Times New Roman"/>
          <w:color w:val="000000"/>
          <w:sz w:val="24"/>
          <w:szCs w:val="24"/>
          <w:lang w:val="en-US" w:eastAsia="zh-CN"/>
        </w:rPr>
        <w:t>28</w:t>
      </w:r>
      <w:r>
        <w:rPr>
          <w:rFonts w:hint="default" w:ascii="Times New Roman" w:hAnsi="Times New Roman" w:eastAsia="宋体" w:cs="Times New Roman"/>
          <w:color w:val="000000"/>
          <w:sz w:val="24"/>
          <w:szCs w:val="24"/>
        </w:rPr>
        <w:t>日~</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月</w:t>
      </w:r>
      <w:r>
        <w:rPr>
          <w:rFonts w:hint="eastAsia" w:ascii="Times New Roman" w:hAnsi="Times New Roman" w:cs="Times New Roman"/>
          <w:color w:val="000000"/>
          <w:sz w:val="24"/>
          <w:szCs w:val="24"/>
          <w:lang w:val="en-US" w:eastAsia="zh-CN"/>
        </w:rPr>
        <w:t>3</w:t>
      </w:r>
      <w:r>
        <w:rPr>
          <w:rFonts w:hint="default" w:ascii="Times New Roman" w:hAnsi="Times New Roman" w:eastAsia="宋体" w:cs="Times New Roman"/>
          <w:color w:val="000000"/>
          <w:sz w:val="24"/>
          <w:szCs w:val="24"/>
        </w:rPr>
        <w:t>日</w:t>
      </w:r>
      <w:r>
        <w:rPr>
          <w:rFonts w:hint="default" w:ascii="Times New Roman" w:hAnsi="Times New Roman" w:eastAsia="宋体" w:cs="Times New Roman"/>
          <w:color w:val="000000"/>
          <w:sz w:val="24"/>
          <w:szCs w:val="24"/>
          <w:lang w:eastAsia="zh-CN"/>
        </w:rPr>
        <w:t>河南碧之霄检测技术有限公司</w:t>
      </w:r>
      <w:r>
        <w:rPr>
          <w:rFonts w:hint="default" w:ascii="Times New Roman" w:hAnsi="Times New Roman" w:eastAsia="宋体" w:cs="Times New Roman"/>
          <w:color w:val="000000"/>
          <w:sz w:val="24"/>
          <w:szCs w:val="24"/>
        </w:rPr>
        <w:t>对环境质量进行了现状监测。</w:t>
      </w:r>
      <w:r>
        <w:rPr>
          <w:rFonts w:hint="default" w:ascii="Times New Roman" w:hAnsi="Times New Roman" w:eastAsia="宋体" w:cs="Times New Roman"/>
          <w:sz w:val="24"/>
          <w:szCs w:val="24"/>
        </w:rPr>
        <w:t>评价工作中对项目所在区域环境空气、</w:t>
      </w:r>
      <w:r>
        <w:rPr>
          <w:rFonts w:hint="eastAsia" w:ascii="Times New Roman" w:hAnsi="Times New Roman" w:eastAsia="宋体" w:cs="Times New Roman"/>
          <w:sz w:val="24"/>
          <w:szCs w:val="24"/>
          <w:lang w:val="en-US" w:eastAsia="zh-CN"/>
        </w:rPr>
        <w:t>地表水、</w:t>
      </w:r>
      <w:r>
        <w:rPr>
          <w:rFonts w:hint="default" w:ascii="Times New Roman" w:hAnsi="Times New Roman" w:eastAsia="宋体" w:cs="Times New Roman"/>
          <w:sz w:val="24"/>
          <w:szCs w:val="24"/>
        </w:rPr>
        <w:t>地下水、土壤及噪声环境质量现状进行了调查和监测。</w:t>
      </w:r>
      <w:bookmarkEnd w:id="32"/>
    </w:p>
    <w:p w14:paraId="5A052B82">
      <w:pPr>
        <w:keepNext w:val="0"/>
        <w:keepLines w:val="0"/>
        <w:pageBreakBefore w:val="0"/>
        <w:widowControl/>
        <w:numPr>
          <w:ilvl w:val="0"/>
          <w:numId w:val="0"/>
        </w:numPr>
        <w:kinsoku/>
        <w:wordWrap/>
        <w:overflowPunct/>
        <w:topLinePunct/>
        <w:autoSpaceDE w:val="0"/>
        <w:autoSpaceDN/>
        <w:bidi w:val="0"/>
        <w:adjustRightInd w:val="0"/>
        <w:snapToGrid w:val="0"/>
        <w:ind w:firstLine="482"/>
        <w:textAlignment w:val="auto"/>
        <w:outlineLvl w:val="9"/>
        <w:rPr>
          <w:rFonts w:hint="default" w:ascii="Times New Roman" w:hAnsi="Times New Roman" w:eastAsia="Times New Roman" w:cs="Times New Roman"/>
          <w:sz w:val="24"/>
          <w:szCs w:val="24"/>
        </w:rPr>
      </w:pPr>
      <w:bookmarkStart w:id="33" w:name="_Toc26600"/>
      <w:r>
        <w:rPr>
          <w:rFonts w:hint="default" w:ascii="Times New Roman" w:hAnsi="Times New Roman" w:eastAsia="宋体" w:cs="Times New Roman"/>
          <w:sz w:val="24"/>
          <w:szCs w:val="24"/>
        </w:rPr>
        <w:t>（3）202</w:t>
      </w:r>
      <w:r>
        <w:rPr>
          <w:rFonts w:hint="default" w:ascii="Times New Roman" w:hAnsi="Times New Roman" w:eastAsia="Times New Roman" w:cs="Times New Roman"/>
          <w:sz w:val="24"/>
          <w:szCs w:val="24"/>
          <w:lang w:val="en-US" w:eastAsia="zh-CN"/>
        </w:rPr>
        <w:t>4</w:t>
      </w:r>
      <w:r>
        <w:rPr>
          <w:rFonts w:hint="default" w:ascii="Times New Roman" w:hAnsi="Times New Roman" w:eastAsia="宋体" w:cs="Times New Roman"/>
          <w:sz w:val="24"/>
          <w:szCs w:val="24"/>
        </w:rPr>
        <w:t>年</w:t>
      </w:r>
      <w:r>
        <w:rPr>
          <w:rFonts w:hint="eastAsia" w:ascii="Times New Roman" w:hAnsi="Times New Roman" w:eastAsia="Times New Roman" w:cs="Times New Roman"/>
          <w:sz w:val="24"/>
          <w:szCs w:val="24"/>
          <w:lang w:val="en-US" w:eastAsia="zh-CN"/>
        </w:rPr>
        <w:t>4</w:t>
      </w:r>
      <w:r>
        <w:rPr>
          <w:rFonts w:hint="default" w:ascii="Times New Roman" w:hAnsi="Times New Roman" w:eastAsia="宋体" w:cs="Times New Roman"/>
          <w:sz w:val="24"/>
          <w:szCs w:val="24"/>
        </w:rPr>
        <w:t>月项目编写人员按照相关技术导则对工程污染因素、污染防治措施、环境风险等进行了分析，并对项目建设对周围环境影响进行了预测分析。</w:t>
      </w:r>
      <w:bookmarkEnd w:id="33"/>
    </w:p>
    <w:p w14:paraId="00813744">
      <w:pPr>
        <w:keepNext w:val="0"/>
        <w:keepLines w:val="0"/>
        <w:pageBreakBefore w:val="0"/>
        <w:widowControl/>
        <w:numPr>
          <w:ilvl w:val="0"/>
          <w:numId w:val="0"/>
        </w:numPr>
        <w:kinsoku/>
        <w:wordWrap/>
        <w:overflowPunct/>
        <w:topLinePunct/>
        <w:autoSpaceDE w:val="0"/>
        <w:autoSpaceDN/>
        <w:bidi w:val="0"/>
        <w:adjustRightInd w:val="0"/>
        <w:snapToGrid w:val="0"/>
        <w:ind w:firstLine="482"/>
        <w:textAlignment w:val="auto"/>
        <w:outlineLvl w:val="9"/>
        <w:rPr>
          <w:rFonts w:hint="default" w:ascii="Times New Roman" w:hAnsi="Times New Roman" w:eastAsia="Times New Roman" w:cs="Times New Roman"/>
          <w:color w:val="000000"/>
          <w:sz w:val="24"/>
          <w:szCs w:val="24"/>
        </w:rPr>
      </w:pPr>
      <w:bookmarkStart w:id="34" w:name="_Toc5980"/>
      <w:r>
        <w:rPr>
          <w:rFonts w:hint="default" w:ascii="Times New Roman" w:hAnsi="Times New Roman" w:eastAsia="宋体" w:cs="Times New Roman"/>
          <w:color w:val="000000"/>
          <w:sz w:val="24"/>
          <w:szCs w:val="24"/>
        </w:rPr>
        <w:t>（4）</w:t>
      </w:r>
      <w:r>
        <w:rPr>
          <w:rFonts w:hint="default" w:ascii="Times New Roman" w:hAnsi="Times New Roman" w:cs="Times New Roman"/>
          <w:color w:val="000000"/>
          <w:sz w:val="24"/>
          <w:szCs w:val="24"/>
          <w:lang w:val="en-US" w:eastAsia="zh-CN"/>
        </w:rPr>
        <w:t>根据</w:t>
      </w:r>
      <w:r>
        <w:rPr>
          <w:rFonts w:hint="default" w:ascii="Times New Roman" w:hAnsi="Times New Roman" w:eastAsia="宋体" w:cs="Times New Roman"/>
          <w:color w:val="000000"/>
          <w:sz w:val="24"/>
          <w:szCs w:val="24"/>
        </w:rPr>
        <w:t>《环境影响评价公众参与办法》（生态护环境部令第4号）的要求，新乡市泓江润新能源有限公司于</w:t>
      </w:r>
      <w:r>
        <w:rPr>
          <w:rFonts w:hint="eastAsia" w:ascii="Times New Roman" w:hAnsi="Times New Roman" w:eastAsia="宋体" w:cs="Times New Roman"/>
          <w:color w:val="000000"/>
          <w:sz w:val="24"/>
          <w:szCs w:val="24"/>
          <w:lang w:val="en-US" w:eastAsia="zh-CN"/>
        </w:rPr>
        <w:t>2024</w:t>
      </w:r>
      <w:r>
        <w:rPr>
          <w:rFonts w:hint="default" w:ascii="Times New Roman" w:hAnsi="Times New Roman" w:eastAsia="宋体" w:cs="Times New Roman"/>
          <w:color w:val="000000"/>
          <w:sz w:val="24"/>
          <w:szCs w:val="24"/>
        </w:rPr>
        <w:t>年</w:t>
      </w:r>
      <w:r>
        <w:rPr>
          <w:rFonts w:hint="eastAsia" w:ascii="Times New Roman" w:hAnsi="Times New Roman" w:eastAsia="宋体" w:cs="Times New Roman"/>
          <w:color w:val="000000"/>
          <w:sz w:val="24"/>
          <w:szCs w:val="24"/>
          <w:lang w:val="en-US" w:eastAsia="zh-CN"/>
        </w:rPr>
        <w:t>12</w:t>
      </w:r>
      <w:r>
        <w:rPr>
          <w:rFonts w:hint="default" w:ascii="Times New Roman" w:hAnsi="Times New Roman" w:eastAsia="宋体" w:cs="Times New Roman"/>
          <w:color w:val="000000"/>
          <w:sz w:val="24"/>
          <w:szCs w:val="24"/>
        </w:rPr>
        <w:t>月</w:t>
      </w:r>
      <w:r>
        <w:rPr>
          <w:rFonts w:hint="eastAsia" w:ascii="Times New Roman" w:hAnsi="Times New Roman" w:eastAsia="宋体" w:cs="Times New Roman"/>
          <w:color w:val="000000"/>
          <w:sz w:val="24"/>
          <w:szCs w:val="24"/>
          <w:lang w:val="en-US" w:eastAsia="zh-CN"/>
        </w:rPr>
        <w:t>25</w:t>
      </w:r>
      <w:r>
        <w:rPr>
          <w:rFonts w:hint="default" w:ascii="Times New Roman" w:hAnsi="Times New Roman" w:eastAsia="宋体" w:cs="Times New Roman"/>
          <w:color w:val="000000"/>
          <w:sz w:val="24"/>
          <w:szCs w:val="24"/>
        </w:rPr>
        <w:t>日在新乡市译洋环境技术有限公司</w:t>
      </w:r>
      <w:r>
        <w:rPr>
          <w:rFonts w:hint="eastAsia" w:ascii="Times New Roman" w:hAnsi="Times New Roman" w:eastAsia="宋体" w:cs="Times New Roman"/>
          <w:color w:val="000000"/>
          <w:sz w:val="24"/>
          <w:szCs w:val="24"/>
          <w:lang w:val="en-US" w:eastAsia="zh-CN"/>
        </w:rPr>
        <w:t>官网</w:t>
      </w:r>
      <w:r>
        <w:rPr>
          <w:rFonts w:hint="default" w:ascii="Times New Roman" w:hAnsi="Times New Roman" w:eastAsia="宋体" w:cs="Times New Roman"/>
          <w:color w:val="000000"/>
          <w:sz w:val="24"/>
          <w:szCs w:val="24"/>
        </w:rPr>
        <w:t>（</w:t>
      </w:r>
      <w:r>
        <w:fldChar w:fldCharType="begin"/>
      </w:r>
      <w:r>
        <w:instrText xml:space="preserve"> HYPERLINK "http://www.yiyanghjkx.com" </w:instrText>
      </w:r>
      <w:r>
        <w:fldChar w:fldCharType="separate"/>
      </w:r>
      <w:r>
        <w:rPr>
          <w:rFonts w:ascii="Times New Roman" w:hAnsi="Times New Roman" w:eastAsia="Times New Roman" w:cs="Times New Roman"/>
          <w:sz w:val="24"/>
          <w:szCs w:val="24"/>
        </w:rPr>
        <w:t>http</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www</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yiyanghjkx</w:t>
      </w:r>
      <w:r>
        <w:rPr>
          <w:rFonts w:ascii="Times New Roman" w:hAnsi="Times New Roman" w:eastAsia="Times New Roman" w:cs="Times New Roman"/>
          <w:spacing w:val="3"/>
          <w:sz w:val="24"/>
          <w:szCs w:val="24"/>
        </w:rPr>
        <w:t>.</w:t>
      </w:r>
      <w:r>
        <w:rPr>
          <w:rFonts w:ascii="Times New Roman" w:hAnsi="Times New Roman" w:eastAsia="Times New Roman" w:cs="Times New Roman"/>
          <w:sz w:val="24"/>
          <w:szCs w:val="24"/>
        </w:rPr>
        <w:t>com</w:t>
      </w:r>
      <w:r>
        <w:rPr>
          <w:rFonts w:ascii="Times New Roman" w:hAnsi="Times New Roman" w:eastAsia="Times New Roman" w:cs="Times New Roman"/>
          <w:sz w:val="24"/>
          <w:szCs w:val="24"/>
        </w:rPr>
        <w:fldChar w:fldCharType="end"/>
      </w:r>
      <w:r>
        <w:rPr>
          <w:rFonts w:hint="default" w:ascii="Times New Roman" w:hAnsi="Times New Roman" w:eastAsia="宋体" w:cs="Times New Roman"/>
          <w:color w:val="000000"/>
          <w:sz w:val="24"/>
          <w:szCs w:val="24"/>
        </w:rPr>
        <w:t>）上进行了第一次媒体公示；项目环评编制完成后，于</w:t>
      </w:r>
      <w:r>
        <w:rPr>
          <w:rFonts w:hint="eastAsia" w:ascii="Times New Roman" w:hAnsi="Times New Roman" w:eastAsia="宋体" w:cs="Times New Roman"/>
          <w:color w:val="000000"/>
          <w:sz w:val="24"/>
          <w:szCs w:val="24"/>
          <w:lang w:val="en-US" w:eastAsia="zh-CN"/>
        </w:rPr>
        <w:t>2025年4月27日至2025年5月13日</w:t>
      </w:r>
      <w:r>
        <w:rPr>
          <w:rFonts w:hint="default" w:ascii="Times New Roman" w:hAnsi="Times New Roman" w:eastAsia="宋体" w:cs="Times New Roman"/>
          <w:color w:val="000000"/>
          <w:sz w:val="24"/>
          <w:szCs w:val="24"/>
        </w:rPr>
        <w:t>在</w:t>
      </w:r>
      <w:r>
        <w:rPr>
          <w:rFonts w:hint="default" w:ascii="Times New Roman" w:hAnsi="Times New Roman" w:eastAsia="宋体" w:cs="Times New Roman"/>
          <w:color w:val="000000"/>
          <w:sz w:val="24"/>
          <w:szCs w:val="24"/>
          <w:lang w:val="en-US" w:eastAsia="zh-CN"/>
        </w:rPr>
        <w:t>新乡市译洋环境技术有限公司官网（http://www.yiyanghjkx.com）</w:t>
      </w:r>
      <w:r>
        <w:rPr>
          <w:rFonts w:hint="eastAsia" w:ascii="Times New Roman" w:hAnsi="Times New Roman" w:eastAsia="宋体" w:cs="Times New Roman"/>
          <w:color w:val="000000"/>
          <w:sz w:val="24"/>
          <w:szCs w:val="24"/>
          <w:lang w:val="en-US" w:eastAsia="zh-CN"/>
        </w:rPr>
        <w:t>上</w:t>
      </w:r>
      <w:r>
        <w:rPr>
          <w:rFonts w:hint="default" w:ascii="Times New Roman" w:hAnsi="Times New Roman" w:eastAsia="宋体" w:cs="Times New Roman"/>
          <w:color w:val="000000"/>
          <w:sz w:val="24"/>
          <w:szCs w:val="24"/>
        </w:rPr>
        <w:t>进行公示，网上公示期间于</w:t>
      </w:r>
      <w:r>
        <w:rPr>
          <w:rFonts w:hint="eastAsia" w:ascii="Times New Roman" w:hAnsi="Times New Roman" w:eastAsia="宋体" w:cs="Times New Roman"/>
          <w:color w:val="000000"/>
          <w:sz w:val="24"/>
          <w:szCs w:val="24"/>
          <w:lang w:val="en-US" w:eastAsia="zh-CN"/>
        </w:rPr>
        <w:t>2025</w:t>
      </w:r>
      <w:r>
        <w:rPr>
          <w:rFonts w:hint="default" w:ascii="Times New Roman" w:hAnsi="Times New Roman" w:eastAsia="宋体" w:cs="Times New Roman"/>
          <w:color w:val="000000"/>
          <w:sz w:val="24"/>
          <w:szCs w:val="24"/>
        </w:rPr>
        <w:t>年</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月</w:t>
      </w:r>
      <w:r>
        <w:rPr>
          <w:rFonts w:hint="eastAsia" w:ascii="Times New Roman" w:hAnsi="Times New Roman" w:eastAsia="宋体" w:cs="Times New Roman"/>
          <w:color w:val="000000"/>
          <w:sz w:val="24"/>
          <w:szCs w:val="24"/>
          <w:lang w:val="en-US" w:eastAsia="zh-CN"/>
        </w:rPr>
        <w:t>29</w:t>
      </w:r>
      <w:r>
        <w:rPr>
          <w:rFonts w:hint="default" w:ascii="Times New Roman" w:hAnsi="Times New Roman" w:eastAsia="宋体" w:cs="Times New Roman"/>
          <w:color w:val="000000"/>
          <w:sz w:val="24"/>
          <w:szCs w:val="24"/>
        </w:rPr>
        <w:t>日和</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月</w:t>
      </w:r>
      <w:r>
        <w:rPr>
          <w:rFonts w:hint="eastAsia" w:ascii="Times New Roman" w:hAnsi="Times New Roman" w:eastAsia="宋体" w:cs="Times New Roman"/>
          <w:color w:val="000000"/>
          <w:sz w:val="24"/>
          <w:szCs w:val="24"/>
          <w:lang w:val="en-US" w:eastAsia="zh-CN"/>
        </w:rPr>
        <w:t>30</w:t>
      </w:r>
      <w:r>
        <w:rPr>
          <w:rFonts w:hint="default" w:ascii="Times New Roman" w:hAnsi="Times New Roman" w:eastAsia="宋体" w:cs="Times New Roman"/>
          <w:color w:val="000000"/>
          <w:sz w:val="24"/>
          <w:szCs w:val="24"/>
        </w:rPr>
        <w:t>日分别在</w:t>
      </w:r>
      <w:r>
        <w:rPr>
          <w:rFonts w:hint="eastAsia" w:ascii="Times New Roman" w:hAnsi="Times New Roman" w:eastAsia="宋体" w:cs="Times New Roman"/>
          <w:color w:val="000000"/>
          <w:sz w:val="24"/>
          <w:szCs w:val="24"/>
          <w:lang w:val="en-US" w:eastAsia="zh-CN"/>
        </w:rPr>
        <w:t>河南</w:t>
      </w:r>
      <w:r>
        <w:rPr>
          <w:rFonts w:hint="default" w:ascii="Times New Roman" w:hAnsi="Times New Roman" w:eastAsia="宋体" w:cs="Times New Roman"/>
          <w:color w:val="000000"/>
          <w:sz w:val="24"/>
          <w:szCs w:val="24"/>
        </w:rPr>
        <w:t>日报进行了报纸公示。</w:t>
      </w:r>
      <w:bookmarkEnd w:id="34"/>
    </w:p>
    <w:p w14:paraId="74FB08E6">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5" w:name="_Toc20832"/>
      <w:bookmarkStart w:id="36" w:name="_Toc13234"/>
      <w:bookmarkStart w:id="37" w:name="_Toc51319838"/>
      <w:r>
        <w:rPr>
          <w:rFonts w:hint="eastAsia" w:ascii="Times New Roman" w:hAnsi="Times New Roman" w:eastAsia="宋体" w:cs="Times New Roman"/>
          <w:lang w:val="en-US" w:eastAsia="zh-CN"/>
        </w:rPr>
        <w:t>1.4关注的主要环境问题及环境影响</w:t>
      </w:r>
      <w:bookmarkEnd w:id="35"/>
      <w:bookmarkEnd w:id="36"/>
      <w:bookmarkEnd w:id="37"/>
    </w:p>
    <w:p w14:paraId="5D914648">
      <w:pPr>
        <w:pStyle w:val="72"/>
      </w:pPr>
      <w:r>
        <w:rPr>
          <w:rFonts w:hint="eastAsia"/>
        </w:rPr>
        <w:t>环境空气：重点关注项目建设对区域环境空气质量及敏感点的影响；</w:t>
      </w:r>
    </w:p>
    <w:p w14:paraId="29422A20">
      <w:pPr>
        <w:pStyle w:val="72"/>
      </w:pPr>
      <w:r>
        <w:rPr>
          <w:rFonts w:hint="eastAsia"/>
        </w:rPr>
        <w:t>地表水环境：重点关注项目废水收集、处理措施的可行性；</w:t>
      </w:r>
    </w:p>
    <w:p w14:paraId="6A56CBAA">
      <w:pPr>
        <w:pStyle w:val="72"/>
      </w:pPr>
      <w:r>
        <w:rPr>
          <w:rFonts w:hint="eastAsia"/>
        </w:rPr>
        <w:t>地下水环境：重点关注项目污水处理设施的防渗措施的可行性；</w:t>
      </w:r>
    </w:p>
    <w:p w14:paraId="1ED021E2">
      <w:pPr>
        <w:pStyle w:val="72"/>
      </w:pPr>
      <w:r>
        <w:rPr>
          <w:rFonts w:hint="eastAsia"/>
        </w:rPr>
        <w:t>声环境：重点关注项目实施后高噪声设备对区域声环境及敏感点的影响；</w:t>
      </w:r>
    </w:p>
    <w:p w14:paraId="31B0AEDF">
      <w:pPr>
        <w:pStyle w:val="72"/>
      </w:pPr>
      <w:r>
        <w:rPr>
          <w:rFonts w:hint="eastAsia"/>
        </w:rPr>
        <w:t>固体废物：重点关注项目产生的固废收集、暂存、处置措施的合理性，防止二次污染。</w:t>
      </w:r>
      <w:bookmarkStart w:id="38" w:name="_Toc428287173"/>
      <w:bookmarkStart w:id="39" w:name="_Toc428286779"/>
      <w:bookmarkStart w:id="40" w:name="_Toc429318387"/>
    </w:p>
    <w:p w14:paraId="62317DB2">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1" w:name="_Toc51319839"/>
      <w:bookmarkStart w:id="42" w:name="_Toc6371"/>
      <w:bookmarkStart w:id="43" w:name="_Toc30274"/>
      <w:r>
        <w:rPr>
          <w:rFonts w:hint="eastAsia" w:ascii="Times New Roman" w:hAnsi="Times New Roman" w:eastAsia="宋体" w:cs="Times New Roman"/>
          <w:lang w:val="en-US" w:eastAsia="zh-CN"/>
        </w:rPr>
        <w:t>1.5与产业政策、区域规划的相符性</w:t>
      </w:r>
      <w:bookmarkEnd w:id="41"/>
      <w:bookmarkEnd w:id="42"/>
      <w:bookmarkEnd w:id="43"/>
    </w:p>
    <w:p w14:paraId="203FFCD8">
      <w:pPr>
        <w:pStyle w:val="72"/>
      </w:pPr>
      <w:r>
        <w:rPr>
          <w:rFonts w:hint="eastAsia"/>
        </w:rPr>
        <w:t>（1）产业政策相符性</w:t>
      </w:r>
    </w:p>
    <w:p w14:paraId="51D39ACC">
      <w:pPr>
        <w:pStyle w:val="72"/>
      </w:pPr>
      <w:r>
        <w:rPr>
          <w:rFonts w:hint="eastAsia"/>
        </w:rPr>
        <w:t>本项目属于电气机械和器材制造业，属于《产业结构调整指导目录（2024年本）》中的允许类项目。</w:t>
      </w:r>
    </w:p>
    <w:p w14:paraId="3DE66405">
      <w:pPr>
        <w:pStyle w:val="72"/>
      </w:pPr>
      <w:r>
        <w:rPr>
          <w:rFonts w:hint="eastAsia"/>
        </w:rPr>
        <w:t>本项目建设符合《河南省电镀建设项目环境影响评价文件审查审批原则要求（修订）》、《河南省进一步加强重金属污染防控工作方案》（豫环文（2022）90号、《关于进一步加强重金属污染防控的意见》（环固体[2022]17号）、《新乡市“十四五”重金属污染防治工作方案》（新环[2022]110号）、《新乡市</w:t>
      </w:r>
      <w:r>
        <w:rPr>
          <w:rFonts w:hint="eastAsia"/>
          <w:lang w:val="en-US" w:eastAsia="zh-CN"/>
        </w:rPr>
        <w:t>2024</w:t>
      </w:r>
      <w:r>
        <w:rPr>
          <w:rFonts w:hint="eastAsia"/>
        </w:rPr>
        <w:t>年蓝天保卫战实施方案》的通知（</w:t>
      </w:r>
      <w:r>
        <w:rPr>
          <w:rFonts w:hint="eastAsia"/>
          <w:color w:val="000000" w:themeColor="text1"/>
          <w14:textFill>
            <w14:solidFill>
              <w14:schemeClr w14:val="tx1"/>
            </w14:solidFill>
          </w14:textFill>
        </w:rPr>
        <w:t>新环委办〔2024〕49号</w:t>
      </w:r>
      <w:r>
        <w:rPr>
          <w:rFonts w:hint="eastAsia"/>
        </w:rPr>
        <w:t>）、《新乡市“三线一单”生态环境准人清单》(</w:t>
      </w:r>
      <w:r>
        <w:rPr>
          <w:rFonts w:hint="eastAsia"/>
          <w:lang w:val="en-US" w:eastAsia="zh-CN"/>
        </w:rPr>
        <w:t>2023年修订</w:t>
      </w:r>
      <w:r>
        <w:rPr>
          <w:rFonts w:hint="eastAsia"/>
        </w:rPr>
        <w:t>）等相关要求。</w:t>
      </w:r>
    </w:p>
    <w:p w14:paraId="4A97DA79">
      <w:pPr>
        <w:pStyle w:val="72"/>
      </w:pPr>
      <w:r>
        <w:rPr>
          <w:rFonts w:hint="eastAsia"/>
        </w:rPr>
        <w:t>（2）区域规划相符性</w:t>
      </w:r>
    </w:p>
    <w:p w14:paraId="34BCB745">
      <w:pPr>
        <w:pStyle w:val="72"/>
      </w:pPr>
      <w:r>
        <w:rPr>
          <w:rFonts w:hint="eastAsia"/>
        </w:rPr>
        <w:t>本项目位于</w:t>
      </w:r>
      <w:r>
        <w:rPr>
          <w:rFonts w:hint="eastAsia"/>
          <w:lang w:val="en-US" w:eastAsia="zh-CN"/>
        </w:rPr>
        <w:t>新乡市获嘉县产业集聚区</w:t>
      </w:r>
      <w:r>
        <w:rPr>
          <w:rFonts w:hint="eastAsia"/>
        </w:rPr>
        <w:t>，属于电气机械和器材制造业项目。根据《获嘉县产业集聚区总体发展规划（2016~2020）》北部产业空间布局图，拟建项目厂址所在地块属于机械制造片区，本项目符合产业布局要求。根据《获嘉县产业集聚区总体发展规划（2016~2020）》北部用地布局规划图，本项目厂址为规划的二类工业用地，符合用地规划要求。</w:t>
      </w:r>
    </w:p>
    <w:p w14:paraId="46CFAD6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4" w:name="_Toc29965"/>
      <w:bookmarkStart w:id="45" w:name="_Toc16870"/>
      <w:r>
        <w:rPr>
          <w:rFonts w:hint="eastAsia" w:ascii="Times New Roman" w:hAnsi="Times New Roman" w:eastAsia="宋体" w:cs="Times New Roman"/>
          <w:lang w:val="en-US" w:eastAsia="zh-CN"/>
        </w:rPr>
        <w:t>1.6评价思路及重点</w:t>
      </w:r>
      <w:bookmarkEnd w:id="38"/>
      <w:bookmarkEnd w:id="39"/>
      <w:bookmarkEnd w:id="40"/>
      <w:bookmarkEnd w:id="44"/>
      <w:bookmarkEnd w:id="45"/>
    </w:p>
    <w:p w14:paraId="283C325E">
      <w:pPr>
        <w:pStyle w:val="72"/>
      </w:pPr>
      <w:r>
        <w:rPr>
          <w:rFonts w:hint="eastAsia"/>
        </w:rPr>
        <w:t>根据项目特点及周围地区环境特征，确定评价专题设置及工作重点如下表。</w:t>
      </w:r>
    </w:p>
    <w:p w14:paraId="286513D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w:t>
      </w:r>
      <w:r>
        <w:t>1</w:t>
      </w:r>
      <w:r>
        <w:rPr>
          <w:rFonts w:hint="eastAsia"/>
          <w:lang w:val="en-US" w:eastAsia="zh-CN"/>
        </w:rPr>
        <w:t>.6</w:t>
      </w:r>
      <w:r>
        <w:rPr>
          <w:rFonts w:hint="eastAsia"/>
        </w:rPr>
        <w:t>-1    评价专题设置及评价重点</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4452"/>
        <w:gridCol w:w="2076"/>
      </w:tblGrid>
      <w:tr w14:paraId="1EEE54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73" w:type="pct"/>
            <w:vAlign w:val="center"/>
          </w:tcPr>
          <w:p w14:paraId="48B71B30">
            <w:pPr>
              <w:pStyle w:val="81"/>
              <w:rPr>
                <w:color w:val="auto"/>
              </w:rPr>
            </w:pPr>
            <w:r>
              <w:rPr>
                <w:rFonts w:hint="eastAsia"/>
                <w:color w:val="auto"/>
              </w:rPr>
              <w:t>章节序列</w:t>
            </w:r>
          </w:p>
        </w:tc>
        <w:tc>
          <w:tcPr>
            <w:tcW w:w="2610" w:type="pct"/>
            <w:vAlign w:val="center"/>
          </w:tcPr>
          <w:p w14:paraId="339AD27C">
            <w:pPr>
              <w:pStyle w:val="81"/>
              <w:rPr>
                <w:color w:val="auto"/>
              </w:rPr>
            </w:pPr>
            <w:r>
              <w:rPr>
                <w:rFonts w:hint="eastAsia"/>
                <w:color w:val="auto"/>
              </w:rPr>
              <w:t>专题设置</w:t>
            </w:r>
          </w:p>
        </w:tc>
        <w:tc>
          <w:tcPr>
            <w:tcW w:w="1217" w:type="pct"/>
            <w:vAlign w:val="center"/>
          </w:tcPr>
          <w:p w14:paraId="5589B4EA">
            <w:pPr>
              <w:pStyle w:val="81"/>
              <w:rPr>
                <w:color w:val="auto"/>
              </w:rPr>
            </w:pPr>
            <w:r>
              <w:rPr>
                <w:rFonts w:hint="eastAsia"/>
                <w:color w:val="auto"/>
              </w:rPr>
              <w:t>评价重点</w:t>
            </w:r>
          </w:p>
        </w:tc>
      </w:tr>
      <w:tr w14:paraId="01C0F9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383F61E6">
            <w:pPr>
              <w:pStyle w:val="75"/>
            </w:pPr>
            <w:r>
              <w:rPr>
                <w:rFonts w:hint="eastAsia"/>
              </w:rPr>
              <w:t>第一章</w:t>
            </w:r>
          </w:p>
        </w:tc>
        <w:tc>
          <w:tcPr>
            <w:tcW w:w="2610" w:type="pct"/>
            <w:vAlign w:val="center"/>
          </w:tcPr>
          <w:p w14:paraId="729B9549">
            <w:pPr>
              <w:pStyle w:val="75"/>
            </w:pPr>
            <w:r>
              <w:rPr>
                <w:rFonts w:hint="eastAsia"/>
              </w:rPr>
              <w:t>概述</w:t>
            </w:r>
          </w:p>
        </w:tc>
        <w:tc>
          <w:tcPr>
            <w:tcW w:w="1217" w:type="pct"/>
            <w:vAlign w:val="center"/>
          </w:tcPr>
          <w:p w14:paraId="55BAFE77">
            <w:pPr>
              <w:pStyle w:val="75"/>
            </w:pPr>
          </w:p>
        </w:tc>
      </w:tr>
      <w:tr w14:paraId="03583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63277DF8">
            <w:pPr>
              <w:pStyle w:val="75"/>
            </w:pPr>
            <w:r>
              <w:rPr>
                <w:rFonts w:hint="eastAsia"/>
              </w:rPr>
              <w:t>第二章</w:t>
            </w:r>
          </w:p>
        </w:tc>
        <w:tc>
          <w:tcPr>
            <w:tcW w:w="2610" w:type="pct"/>
            <w:vAlign w:val="center"/>
          </w:tcPr>
          <w:p w14:paraId="7D186BE2">
            <w:pPr>
              <w:pStyle w:val="75"/>
            </w:pPr>
            <w:r>
              <w:rPr>
                <w:rFonts w:hint="eastAsia"/>
              </w:rPr>
              <w:t>总则</w:t>
            </w:r>
          </w:p>
        </w:tc>
        <w:tc>
          <w:tcPr>
            <w:tcW w:w="1217" w:type="pct"/>
            <w:vAlign w:val="center"/>
          </w:tcPr>
          <w:p w14:paraId="2CEFB750">
            <w:pPr>
              <w:pStyle w:val="75"/>
            </w:pPr>
          </w:p>
        </w:tc>
      </w:tr>
      <w:tr w14:paraId="66036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6A068DBB">
            <w:pPr>
              <w:pStyle w:val="75"/>
            </w:pPr>
            <w:r>
              <w:rPr>
                <w:rFonts w:hint="eastAsia"/>
              </w:rPr>
              <w:t>第三章</w:t>
            </w:r>
          </w:p>
        </w:tc>
        <w:tc>
          <w:tcPr>
            <w:tcW w:w="2610" w:type="pct"/>
            <w:vAlign w:val="center"/>
          </w:tcPr>
          <w:p w14:paraId="187837CC">
            <w:pPr>
              <w:pStyle w:val="75"/>
            </w:pPr>
            <w:r>
              <w:rPr>
                <w:rFonts w:hint="eastAsia"/>
              </w:rPr>
              <w:t>建设项目工程分析</w:t>
            </w:r>
          </w:p>
        </w:tc>
        <w:tc>
          <w:tcPr>
            <w:tcW w:w="1217" w:type="pct"/>
            <w:vAlign w:val="center"/>
          </w:tcPr>
          <w:p w14:paraId="5701400F">
            <w:pPr>
              <w:pStyle w:val="75"/>
            </w:pPr>
            <w:r>
              <w:rPr>
                <w:rFonts w:hint="eastAsia"/>
              </w:rPr>
              <w:t>★</w:t>
            </w:r>
          </w:p>
        </w:tc>
      </w:tr>
      <w:tr w14:paraId="561B13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2C7C1B6A">
            <w:pPr>
              <w:pStyle w:val="75"/>
            </w:pPr>
            <w:r>
              <w:rPr>
                <w:rFonts w:hint="eastAsia"/>
              </w:rPr>
              <w:t>第四章</w:t>
            </w:r>
          </w:p>
        </w:tc>
        <w:tc>
          <w:tcPr>
            <w:tcW w:w="2610" w:type="pct"/>
            <w:vAlign w:val="center"/>
          </w:tcPr>
          <w:p w14:paraId="30347D1D">
            <w:pPr>
              <w:pStyle w:val="75"/>
            </w:pPr>
            <w:r>
              <w:rPr>
                <w:rFonts w:hint="eastAsia"/>
              </w:rPr>
              <w:t>环境现状调查与评价</w:t>
            </w:r>
          </w:p>
        </w:tc>
        <w:tc>
          <w:tcPr>
            <w:tcW w:w="1217" w:type="pct"/>
            <w:vAlign w:val="center"/>
          </w:tcPr>
          <w:p w14:paraId="68B07F93">
            <w:pPr>
              <w:pStyle w:val="75"/>
            </w:pPr>
            <w:r>
              <w:rPr>
                <w:rFonts w:hint="eastAsia"/>
              </w:rPr>
              <w:t>★</w:t>
            </w:r>
          </w:p>
        </w:tc>
      </w:tr>
      <w:tr w14:paraId="0A035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67C8F5D0">
            <w:pPr>
              <w:pStyle w:val="75"/>
            </w:pPr>
            <w:r>
              <w:rPr>
                <w:rFonts w:hint="eastAsia"/>
              </w:rPr>
              <w:t>第五章</w:t>
            </w:r>
          </w:p>
        </w:tc>
        <w:tc>
          <w:tcPr>
            <w:tcW w:w="2610" w:type="pct"/>
            <w:vAlign w:val="center"/>
          </w:tcPr>
          <w:p w14:paraId="238B0940">
            <w:pPr>
              <w:pStyle w:val="75"/>
            </w:pPr>
            <w:r>
              <w:rPr>
                <w:rFonts w:hint="eastAsia"/>
              </w:rPr>
              <w:t>环境影响预测与评价</w:t>
            </w:r>
          </w:p>
        </w:tc>
        <w:tc>
          <w:tcPr>
            <w:tcW w:w="1217" w:type="pct"/>
            <w:vAlign w:val="center"/>
          </w:tcPr>
          <w:p w14:paraId="27EEAA2D">
            <w:pPr>
              <w:pStyle w:val="75"/>
            </w:pPr>
            <w:r>
              <w:rPr>
                <w:rFonts w:hint="eastAsia"/>
              </w:rPr>
              <w:t>★</w:t>
            </w:r>
          </w:p>
        </w:tc>
      </w:tr>
      <w:tr w14:paraId="4631DE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3D1DBB51">
            <w:pPr>
              <w:pStyle w:val="75"/>
            </w:pPr>
            <w:r>
              <w:rPr>
                <w:rFonts w:hint="eastAsia"/>
              </w:rPr>
              <w:t>第六章</w:t>
            </w:r>
          </w:p>
        </w:tc>
        <w:tc>
          <w:tcPr>
            <w:tcW w:w="2610" w:type="pct"/>
            <w:vAlign w:val="center"/>
          </w:tcPr>
          <w:p w14:paraId="38A7F1CF">
            <w:pPr>
              <w:pStyle w:val="75"/>
            </w:pPr>
            <w:r>
              <w:rPr>
                <w:rFonts w:hint="eastAsia"/>
              </w:rPr>
              <w:t>环境保护措施及其可行性论证</w:t>
            </w:r>
          </w:p>
        </w:tc>
        <w:tc>
          <w:tcPr>
            <w:tcW w:w="1217" w:type="pct"/>
            <w:vAlign w:val="center"/>
          </w:tcPr>
          <w:p w14:paraId="1DF474CF">
            <w:pPr>
              <w:pStyle w:val="75"/>
            </w:pPr>
            <w:r>
              <w:rPr>
                <w:rFonts w:hint="eastAsia"/>
              </w:rPr>
              <w:t>★</w:t>
            </w:r>
          </w:p>
        </w:tc>
      </w:tr>
      <w:tr w14:paraId="2783FD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022527F0">
            <w:pPr>
              <w:pStyle w:val="75"/>
            </w:pPr>
            <w:r>
              <w:rPr>
                <w:rFonts w:hint="eastAsia"/>
              </w:rPr>
              <w:t>第七章</w:t>
            </w:r>
          </w:p>
        </w:tc>
        <w:tc>
          <w:tcPr>
            <w:tcW w:w="2610" w:type="pct"/>
            <w:vAlign w:val="center"/>
          </w:tcPr>
          <w:p w14:paraId="6679CF84">
            <w:pPr>
              <w:pStyle w:val="75"/>
            </w:pPr>
            <w:r>
              <w:rPr>
                <w:rFonts w:hint="eastAsia"/>
              </w:rPr>
              <w:t>环境影响经济损益分析</w:t>
            </w:r>
          </w:p>
        </w:tc>
        <w:tc>
          <w:tcPr>
            <w:tcW w:w="1217" w:type="pct"/>
            <w:vAlign w:val="center"/>
          </w:tcPr>
          <w:p w14:paraId="6A1AF709">
            <w:pPr>
              <w:pStyle w:val="75"/>
            </w:pPr>
          </w:p>
        </w:tc>
      </w:tr>
      <w:tr w14:paraId="2AE1BF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0D99FF98">
            <w:pPr>
              <w:pStyle w:val="75"/>
            </w:pPr>
            <w:r>
              <w:rPr>
                <w:rFonts w:hint="eastAsia"/>
              </w:rPr>
              <w:t>第八章</w:t>
            </w:r>
          </w:p>
        </w:tc>
        <w:tc>
          <w:tcPr>
            <w:tcW w:w="2610" w:type="pct"/>
            <w:vAlign w:val="center"/>
          </w:tcPr>
          <w:p w14:paraId="67EF24A9">
            <w:pPr>
              <w:pStyle w:val="75"/>
            </w:pPr>
            <w:r>
              <w:rPr>
                <w:rFonts w:hint="eastAsia"/>
              </w:rPr>
              <w:t>环境管理与监测计划</w:t>
            </w:r>
          </w:p>
        </w:tc>
        <w:tc>
          <w:tcPr>
            <w:tcW w:w="1217" w:type="pct"/>
            <w:vAlign w:val="center"/>
          </w:tcPr>
          <w:p w14:paraId="5C5E5B4F">
            <w:pPr>
              <w:pStyle w:val="75"/>
            </w:pPr>
            <w:r>
              <w:rPr>
                <w:rFonts w:hint="eastAsia"/>
              </w:rPr>
              <w:t>★</w:t>
            </w:r>
          </w:p>
        </w:tc>
      </w:tr>
      <w:tr w14:paraId="16515C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pct"/>
            <w:vAlign w:val="center"/>
          </w:tcPr>
          <w:p w14:paraId="317B02EF">
            <w:pPr>
              <w:pStyle w:val="75"/>
            </w:pPr>
            <w:r>
              <w:rPr>
                <w:rFonts w:hint="eastAsia"/>
              </w:rPr>
              <w:t>第九章</w:t>
            </w:r>
          </w:p>
        </w:tc>
        <w:tc>
          <w:tcPr>
            <w:tcW w:w="2610" w:type="pct"/>
            <w:vAlign w:val="center"/>
          </w:tcPr>
          <w:p w14:paraId="572C6855">
            <w:pPr>
              <w:pStyle w:val="75"/>
            </w:pPr>
            <w:r>
              <w:rPr>
                <w:rFonts w:hint="eastAsia"/>
              </w:rPr>
              <w:t>环境影响评价结论</w:t>
            </w:r>
          </w:p>
        </w:tc>
        <w:tc>
          <w:tcPr>
            <w:tcW w:w="1217" w:type="pct"/>
            <w:vAlign w:val="center"/>
          </w:tcPr>
          <w:p w14:paraId="5DAB7917">
            <w:pPr>
              <w:pStyle w:val="75"/>
            </w:pPr>
          </w:p>
        </w:tc>
      </w:tr>
    </w:tbl>
    <w:p w14:paraId="4A695CDB">
      <w:pPr>
        <w:pStyle w:val="72"/>
      </w:pPr>
      <w:r>
        <w:rPr>
          <w:rFonts w:hint="eastAsia"/>
        </w:rPr>
        <w:t>评价遵循“清洁生产、达标排放、总量控制”的原则，进行细致、全面、科学、客观的评价。</w:t>
      </w:r>
    </w:p>
    <w:p w14:paraId="471C1C91">
      <w:pPr>
        <w:pStyle w:val="72"/>
      </w:pPr>
      <w:r>
        <w:rPr>
          <w:rFonts w:hint="eastAsia"/>
        </w:rPr>
        <w:t>（1）根据工程生产工艺及产污环节分析，在物料衡算、类比分析的基础上，确定工程排污源强。依据工程采取的污染防治措施及处理效果，对工程排放污染物进行达标分析并计算工程污染物排放量。</w:t>
      </w:r>
    </w:p>
    <w:p w14:paraId="1C80CCCE">
      <w:pPr>
        <w:pStyle w:val="72"/>
        <w:rPr>
          <w:highlight w:val="yellow"/>
        </w:rPr>
      </w:pPr>
      <w:r>
        <w:rPr>
          <w:rFonts w:hint="eastAsia"/>
        </w:rPr>
        <w:t>（2）对区域环境空气质量现状进行监测分析，确定评价区域环境空气质量现状，并分析其存在的问题及原因；根据工程废气污染源强参数，按照环评导则推荐的模式就工程对环境空气质量影响进行预测分析。</w:t>
      </w:r>
    </w:p>
    <w:p w14:paraId="143DC46B">
      <w:pPr>
        <w:pStyle w:val="72"/>
      </w:pPr>
      <w:r>
        <w:rPr>
          <w:rFonts w:hint="eastAsia"/>
        </w:rPr>
        <w:t>（3）对地表水环境质量现状资料收集整理，根据工程建成后的废水综合利用及排放情况，分析工程废水对水环境影响进行分析论证。</w:t>
      </w:r>
    </w:p>
    <w:p w14:paraId="20A4FE96">
      <w:pPr>
        <w:pStyle w:val="72"/>
      </w:pPr>
      <w:r>
        <w:rPr>
          <w:rFonts w:hint="eastAsia"/>
        </w:rPr>
        <w:t>（4）对地下水环境质量现状进行监测分析，确定评价区域地下水环境质量现状，针对工程建设提出厂区防渗措施，防止地下水污染。</w:t>
      </w:r>
    </w:p>
    <w:p w14:paraId="74C77F6E">
      <w:pPr>
        <w:pStyle w:val="72"/>
      </w:pPr>
      <w:r>
        <w:rPr>
          <w:rFonts w:hint="eastAsia"/>
        </w:rPr>
        <w:t>（5）对工程厂界噪声进行监测，根据工程设备噪声对工程建成后厂界噪声进行预测分析。</w:t>
      </w:r>
    </w:p>
    <w:p w14:paraId="24708EFB">
      <w:pPr>
        <w:pStyle w:val="72"/>
      </w:pPr>
      <w:r>
        <w:rPr>
          <w:rFonts w:hint="eastAsia"/>
        </w:rPr>
        <w:t>（6）分析本工程固废产生及处置情况，并对其综合利用和处置措施进行分析。</w:t>
      </w:r>
    </w:p>
    <w:p w14:paraId="0D29FBF1">
      <w:pPr>
        <w:pStyle w:val="72"/>
        <w:rPr>
          <w:highlight w:val="yellow"/>
        </w:rPr>
      </w:pPr>
      <w:r>
        <w:rPr>
          <w:rFonts w:hint="eastAsia"/>
        </w:rPr>
        <w:t>（7）根据清洁生产分析及本此工程采取的污染防治措施结论，在污染物达标排放的基础上，结合区域规划要求，分析本次工程污染物排放总量是否满足环保管理部门下达的总量控制指标要求。</w:t>
      </w:r>
    </w:p>
    <w:p w14:paraId="1EB30E57">
      <w:pPr>
        <w:pStyle w:val="72"/>
      </w:pPr>
      <w:r>
        <w:rPr>
          <w:rFonts w:hint="eastAsia"/>
        </w:rPr>
        <w:t>（8）根据本次工程原料、产品及生产过程特性，从风险识别、源项分析入手，找出工程原料、产品贮运及生产过程中存在的主要环境风险源，按照风险事故类型，提出风险防范措施、风险管理等相关内容。</w:t>
      </w:r>
    </w:p>
    <w:p w14:paraId="5639E583">
      <w:pPr>
        <w:pStyle w:val="72"/>
      </w:pPr>
      <w:r>
        <w:rPr>
          <w:rFonts w:hint="eastAsia"/>
        </w:rPr>
        <w:t>（9）从环保角度对工程建设及厂址选择的可行性做出明确结论；对工程采取环保措施的可行性、可靠性进行论证，并对存在的问题，提出可行的对策建议。</w:t>
      </w:r>
    </w:p>
    <w:p w14:paraId="543480AC">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6" w:name="_Toc429318388"/>
      <w:bookmarkStart w:id="47" w:name="_Toc428286780"/>
      <w:bookmarkStart w:id="48" w:name="_Toc31435"/>
      <w:bookmarkStart w:id="49" w:name="_Toc428287174"/>
      <w:bookmarkStart w:id="50" w:name="_Toc51319841"/>
      <w:bookmarkStart w:id="51" w:name="_Toc16778"/>
      <w:bookmarkStart w:id="52" w:name="_Toc51319842"/>
      <w:bookmarkStart w:id="53" w:name="_Toc17375"/>
      <w:r>
        <w:rPr>
          <w:rFonts w:hint="eastAsia" w:ascii="Times New Roman" w:hAnsi="Times New Roman" w:eastAsia="宋体" w:cs="Times New Roman"/>
          <w:lang w:val="en-US" w:eastAsia="zh-CN"/>
        </w:rPr>
        <w:t>1.7评价工作程序</w:t>
      </w:r>
      <w:bookmarkEnd w:id="46"/>
      <w:bookmarkEnd w:id="47"/>
      <w:bookmarkEnd w:id="48"/>
      <w:bookmarkEnd w:id="49"/>
      <w:bookmarkEnd w:id="50"/>
      <w:bookmarkEnd w:id="51"/>
    </w:p>
    <w:p w14:paraId="1370AE1D">
      <w:pPr>
        <w:pStyle w:val="72"/>
      </w:pPr>
      <w:r>
        <w:rPr>
          <w:rFonts w:hint="eastAsia"/>
        </w:rPr>
        <w:t>评价工作程序见下图。</w:t>
      </w:r>
    </w:p>
    <w:p w14:paraId="77823603">
      <w:pPr>
        <w:pStyle w:val="78"/>
      </w:pPr>
    </w:p>
    <w:p w14:paraId="15894E76">
      <w:pPr>
        <w:pStyle w:val="78"/>
      </w:pPr>
      <w:r>
        <w:drawing>
          <wp:inline distT="0" distB="0" distL="0" distR="0">
            <wp:extent cx="5238750" cy="6028690"/>
            <wp:effectExtent l="15875" t="15875" r="22225" b="32385"/>
            <wp:docPr id="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
                    <pic:cNvPicPr>
                      <a:picLocks noChangeAspect="1"/>
                    </pic:cNvPicPr>
                  </pic:nvPicPr>
                  <pic:blipFill>
                    <a:blip r:embed="rId13" cstate="print">
                      <a:extLst>
                        <a:ext uri="{28A0092B-C50C-407E-A947-70E740481C1C}">
                          <a14:useLocalDpi xmlns:a14="http://schemas.microsoft.com/office/drawing/2010/main" val="0"/>
                        </a:ext>
                      </a:extLst>
                    </a:blip>
                    <a:srcRect l="2779" t="5630" r="10789" b="1595"/>
                    <a:stretch>
                      <a:fillRect/>
                    </a:stretch>
                  </pic:blipFill>
                  <pic:spPr>
                    <a:xfrm>
                      <a:off x="0" y="0"/>
                      <a:ext cx="5238750" cy="6028990"/>
                    </a:xfrm>
                    <a:prstGeom prst="rect">
                      <a:avLst/>
                    </a:prstGeom>
                    <a:noFill/>
                    <a:ln w="15875" cap="flat" cmpd="sng">
                      <a:solidFill>
                        <a:srgbClr val="000000"/>
                      </a:solidFill>
                      <a:prstDash val="solid"/>
                      <a:miter/>
                      <a:headEnd type="none" w="med" len="med"/>
                      <a:tailEnd type="none" w="med" len="med"/>
                    </a:ln>
                  </pic:spPr>
                </pic:pic>
              </a:graphicData>
            </a:graphic>
          </wp:inline>
        </w:drawing>
      </w:r>
    </w:p>
    <w:p w14:paraId="27F33EA2">
      <w:pPr>
        <w:pStyle w:val="78"/>
      </w:pPr>
      <w:r>
        <w:rPr>
          <w:rFonts w:hint="eastAsia"/>
        </w:rPr>
        <w:t xml:space="preserve">图1-1  </w:t>
      </w:r>
      <w:r>
        <w:t xml:space="preserve">  </w:t>
      </w:r>
      <w:r>
        <w:rPr>
          <w:rFonts w:hint="eastAsia"/>
        </w:rPr>
        <w:t>环境影响评价工作程序</w:t>
      </w:r>
    </w:p>
    <w:p w14:paraId="3642651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54" w:name="_Toc1352"/>
      <w:r>
        <w:rPr>
          <w:rFonts w:hint="eastAsia" w:ascii="Times New Roman" w:hAnsi="Times New Roman" w:eastAsia="宋体" w:cs="Times New Roman"/>
          <w:lang w:val="en-US" w:eastAsia="zh-CN"/>
        </w:rPr>
        <w:t>1.8环境影响评价的主要结论</w:t>
      </w:r>
      <w:bookmarkEnd w:id="52"/>
      <w:bookmarkEnd w:id="53"/>
      <w:bookmarkEnd w:id="54"/>
    </w:p>
    <w:p w14:paraId="2C2CE5E5">
      <w:pPr>
        <w:pStyle w:val="72"/>
      </w:pPr>
      <w:r>
        <w:rPr>
          <w:rFonts w:hint="eastAsia"/>
        </w:rPr>
        <w:t>新乡市泓江润新能源有限公司年产10亿只钢壳、10亿只盖帽和3600吨电池连接件项目属于《产业结构调整指导目录（2024年本）》中的允许类，符合国家产业政策。项目用地为工业用地，符合园区总体发展规划要求；根据环境影响预测结果：在保证评价要求和工程设计的防治措施正常运行的条件下，本项目对周围大气环境、地表水环境、地下水环境、土壤环境以及声环境的影响可接受；工程环境风险可接受；工程完成后，各项污染防治措施可行，全厂废气、废水、噪声污染物能够做到达标排放，固废采取了有效的处置措施；本项目严格按照规定进行了公众参与。从环保角度而言，该项目建设可行</w:t>
      </w:r>
      <w:r>
        <w:t>。</w:t>
      </w:r>
    </w:p>
    <w:p w14:paraId="517C410E">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55" w:name="_Toc30632"/>
      <w:bookmarkStart w:id="56" w:name="_Toc51319843"/>
      <w:bookmarkStart w:id="57" w:name="_Toc6658"/>
      <w:bookmarkStart w:id="58" w:name="_Toc428287149"/>
      <w:bookmarkStart w:id="59" w:name="_Toc429318378"/>
      <w:bookmarkStart w:id="60" w:name="_Toc428286755"/>
      <w:bookmarkStart w:id="61" w:name="_Toc174155850"/>
      <w:r>
        <w:rPr>
          <w:rFonts w:hint="eastAsia" w:ascii="Times New Roman" w:hAnsi="Times New Roman" w:cs="Times New Roman"/>
          <w:lang w:val="en-US" w:eastAsia="zh-CN"/>
        </w:rPr>
        <w:t>总则</w:t>
      </w:r>
      <w:bookmarkEnd w:id="55"/>
      <w:bookmarkEnd w:id="56"/>
      <w:bookmarkEnd w:id="57"/>
    </w:p>
    <w:p w14:paraId="26D89F2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62" w:name="_Toc1062"/>
      <w:bookmarkStart w:id="63" w:name="_Toc5489"/>
      <w:bookmarkStart w:id="64" w:name="_Toc51319844"/>
      <w:r>
        <w:rPr>
          <w:rFonts w:hint="eastAsia" w:ascii="Times New Roman" w:hAnsi="Times New Roman" w:eastAsia="宋体" w:cs="Times New Roman"/>
          <w:lang w:val="en-US" w:eastAsia="zh-CN"/>
        </w:rPr>
        <w:t>2.1编制依据</w:t>
      </w:r>
      <w:bookmarkEnd w:id="58"/>
      <w:bookmarkEnd w:id="59"/>
      <w:bookmarkEnd w:id="60"/>
      <w:bookmarkEnd w:id="61"/>
      <w:bookmarkEnd w:id="62"/>
      <w:bookmarkEnd w:id="63"/>
      <w:bookmarkEnd w:id="64"/>
    </w:p>
    <w:p w14:paraId="5F5DCE8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65" w:name="_Toc428287502"/>
      <w:bookmarkStart w:id="66" w:name="_Toc108122320"/>
      <w:bookmarkStart w:id="67" w:name="_Toc428286756"/>
      <w:bookmarkStart w:id="68" w:name="_Toc428287150"/>
      <w:r>
        <w:rPr>
          <w:rFonts w:hint="eastAsia" w:ascii="Times New Roman" w:hAnsi="Times New Roman" w:cs="Times New Roman"/>
          <w:lang w:val="en-US" w:eastAsia="zh-CN"/>
        </w:rPr>
        <w:t>2.1.1法律法规</w:t>
      </w:r>
      <w:bookmarkEnd w:id="65"/>
      <w:bookmarkEnd w:id="66"/>
      <w:bookmarkEnd w:id="67"/>
      <w:bookmarkEnd w:id="68"/>
    </w:p>
    <w:p w14:paraId="4C115AE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bookmarkStart w:id="69" w:name="_Toc428286757"/>
      <w:bookmarkStart w:id="70" w:name="_Toc108122321"/>
      <w:bookmarkStart w:id="71" w:name="_Toc428287503"/>
      <w:bookmarkStart w:id="72" w:name="_Toc428287151"/>
      <w:r>
        <w:rPr>
          <w:rFonts w:hint="eastAsia" w:ascii="Times New Roman" w:hAnsi="Times New Roman" w:eastAsia="宋体" w:cs="宋体"/>
        </w:rPr>
        <w:t>（1）《中华人民共和国环境保护法》（2014年修订）</w:t>
      </w:r>
      <w:r>
        <w:rPr>
          <w:rFonts w:hint="eastAsia" w:ascii="Times New Roman" w:hAnsi="Times New Roman" w:eastAsia="宋体" w:cs="宋体"/>
          <w:lang w:eastAsia="zh-CN"/>
        </w:rPr>
        <w:t>；</w:t>
      </w:r>
    </w:p>
    <w:p w14:paraId="50DA1688">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（2）《中华人民共和国环境影响评价法》（2018年12月29日修订）</w:t>
      </w:r>
      <w:r>
        <w:rPr>
          <w:rFonts w:hint="eastAsia" w:ascii="Times New Roman" w:hAnsi="Times New Roman" w:eastAsia="宋体" w:cs="宋体"/>
          <w:lang w:eastAsia="zh-CN"/>
        </w:rPr>
        <w:t>；</w:t>
      </w:r>
    </w:p>
    <w:p w14:paraId="599F307A">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（3）《中华人民共和国大气污染防治法》（2018年10月26日修订）</w:t>
      </w:r>
      <w:r>
        <w:rPr>
          <w:rFonts w:hint="eastAsia" w:ascii="Times New Roman" w:hAnsi="Times New Roman" w:eastAsia="宋体" w:cs="宋体"/>
          <w:lang w:eastAsia="zh-CN"/>
        </w:rPr>
        <w:t>；</w:t>
      </w:r>
    </w:p>
    <w:p w14:paraId="4B13A6B0">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（4）《中华人民共和国水污染防治法》（2018年1月1日施行）</w:t>
      </w:r>
      <w:r>
        <w:rPr>
          <w:rFonts w:hint="eastAsia" w:ascii="Times New Roman" w:hAnsi="Times New Roman" w:eastAsia="宋体" w:cs="宋体"/>
          <w:lang w:eastAsia="zh-CN"/>
        </w:rPr>
        <w:t>；</w:t>
      </w:r>
    </w:p>
    <w:p w14:paraId="4BEE9D21">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（5）《中华人民共和国噪声污染防治法》（2022年6月5日起施行）</w:t>
      </w:r>
      <w:r>
        <w:rPr>
          <w:rFonts w:hint="eastAsia" w:ascii="Times New Roman" w:hAnsi="Times New Roman" w:eastAsia="宋体" w:cs="宋体"/>
          <w:lang w:eastAsia="zh-CN"/>
        </w:rPr>
        <w:t>；</w:t>
      </w:r>
    </w:p>
    <w:p w14:paraId="1C0EEA1C">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（6）《中华人民共和国固体废物污染环境防治法》（2020年4月29日修订）</w:t>
      </w:r>
      <w:r>
        <w:rPr>
          <w:rFonts w:hint="eastAsia" w:ascii="Times New Roman" w:hAnsi="Times New Roman" w:eastAsia="宋体" w:cs="宋体"/>
          <w:lang w:eastAsia="zh-CN"/>
        </w:rPr>
        <w:t>；</w:t>
      </w:r>
    </w:p>
    <w:p w14:paraId="0337F5F7">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（7）《中华人民共和国土壤污染防治法》（2019.1.1）</w:t>
      </w:r>
      <w:r>
        <w:rPr>
          <w:rFonts w:hint="eastAsia" w:ascii="Times New Roman" w:hAnsi="Times New Roman" w:eastAsia="宋体" w:cs="宋体"/>
          <w:lang w:eastAsia="zh-CN"/>
        </w:rPr>
        <w:t>；</w:t>
      </w:r>
    </w:p>
    <w:p w14:paraId="14E3A447">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（8）《中华人民共和国清洁生产促进法》（2012.7.1）</w:t>
      </w:r>
      <w:r>
        <w:rPr>
          <w:rFonts w:hint="eastAsia" w:ascii="Times New Roman" w:hAnsi="Times New Roman" w:eastAsia="宋体" w:cs="宋体"/>
          <w:lang w:eastAsia="zh-CN"/>
        </w:rPr>
        <w:t>；</w:t>
      </w:r>
    </w:p>
    <w:p w14:paraId="7C21FD5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（9）《建设项目环境保护管理条例》（国务院第682号，2017.10.1）</w:t>
      </w:r>
      <w:r>
        <w:rPr>
          <w:rFonts w:hint="eastAsia" w:ascii="Times New Roman" w:hAnsi="Times New Roman" w:eastAsia="宋体" w:cs="宋体"/>
          <w:lang w:eastAsia="zh-CN"/>
        </w:rPr>
        <w:t>；</w:t>
      </w:r>
    </w:p>
    <w:p w14:paraId="3F005F9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（10）《建设项目环境影响评价分类管理名录》（2021年版）</w:t>
      </w:r>
      <w:r>
        <w:rPr>
          <w:rFonts w:hint="eastAsia" w:ascii="Times New Roman" w:hAnsi="Times New Roman" w:eastAsia="宋体" w:cs="宋体"/>
          <w:lang w:eastAsia="zh-CN"/>
        </w:rPr>
        <w:t>；</w:t>
      </w:r>
    </w:p>
    <w:p w14:paraId="0C5F5F26">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（11）《电镀行业清洁生产评价指标体系》（2015年第25号）</w:t>
      </w:r>
      <w:r>
        <w:rPr>
          <w:rFonts w:hint="eastAsia" w:ascii="Times New Roman" w:hAnsi="Times New Roman" w:eastAsia="宋体" w:cs="宋体"/>
          <w:lang w:eastAsia="zh-CN"/>
        </w:rPr>
        <w:t>；</w:t>
      </w:r>
    </w:p>
    <w:p w14:paraId="41D1F8F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（12）《河南省建设项目环境保护条例》（2018年修订）</w:t>
      </w:r>
      <w:r>
        <w:rPr>
          <w:rFonts w:hint="eastAsia" w:ascii="Times New Roman" w:hAnsi="Times New Roman" w:eastAsia="宋体" w:cs="宋体"/>
          <w:lang w:eastAsia="zh-CN"/>
        </w:rPr>
        <w:t>；</w:t>
      </w:r>
    </w:p>
    <w:p w14:paraId="2F49E6F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（13）《河南省水污染防治条例》（2019.10.1）</w:t>
      </w:r>
      <w:r>
        <w:rPr>
          <w:rFonts w:hint="eastAsia" w:ascii="Times New Roman" w:hAnsi="Times New Roman" w:eastAsia="宋体" w:cs="宋体"/>
          <w:lang w:eastAsia="zh-CN"/>
        </w:rPr>
        <w:t>；</w:t>
      </w:r>
    </w:p>
    <w:p w14:paraId="412F5306">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（14）《河南省大气污染防治条例》（2021年7月30日修订）</w:t>
      </w:r>
      <w:r>
        <w:rPr>
          <w:rFonts w:hint="eastAsia" w:ascii="Times New Roman" w:hAnsi="Times New Roman" w:eastAsia="宋体" w:cs="宋体"/>
          <w:lang w:eastAsia="zh-CN"/>
        </w:rPr>
        <w:t>；</w:t>
      </w:r>
    </w:p>
    <w:p w14:paraId="4F90E23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（15）《河南省固体废物污染环境防治条例》（2018.9.30修订）</w:t>
      </w:r>
      <w:r>
        <w:rPr>
          <w:rFonts w:hint="eastAsia" w:ascii="Times New Roman" w:hAnsi="Times New Roman" w:eastAsia="宋体" w:cs="宋体"/>
          <w:lang w:eastAsia="zh-CN"/>
        </w:rPr>
        <w:t>。</w:t>
      </w:r>
    </w:p>
    <w:p w14:paraId="0DCA28F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2.1.2相关政策及规划</w:t>
      </w:r>
      <w:bookmarkEnd w:id="69"/>
      <w:bookmarkEnd w:id="70"/>
      <w:bookmarkEnd w:id="71"/>
      <w:bookmarkEnd w:id="72"/>
    </w:p>
    <w:p w14:paraId="616DD762">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（1）《产业结构调整指导目录（2024年本）》</w:t>
      </w:r>
      <w:r>
        <w:rPr>
          <w:rFonts w:hint="eastAsia" w:ascii="Times New Roman" w:hAnsi="Times New Roman" w:eastAsia="宋体" w:cs="宋体"/>
          <w:lang w:eastAsia="zh-CN"/>
        </w:rPr>
        <w:t>；</w:t>
      </w:r>
    </w:p>
    <w:p w14:paraId="4DECAB0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（2）《建设项目环境影响评价分类管理名录》（2021年版）</w:t>
      </w:r>
      <w:r>
        <w:rPr>
          <w:rFonts w:hint="eastAsia" w:ascii="Times New Roman" w:hAnsi="Times New Roman" w:eastAsia="宋体" w:cs="宋体"/>
          <w:lang w:eastAsia="zh-CN"/>
        </w:rPr>
        <w:t>；</w:t>
      </w:r>
    </w:p>
    <w:p w14:paraId="0B6A4958">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（3）《环境影响评价公众参与办法》（生态环境部令第4号）</w:t>
      </w:r>
      <w:r>
        <w:rPr>
          <w:rFonts w:hint="eastAsia" w:ascii="Times New Roman" w:hAnsi="Times New Roman" w:eastAsia="宋体" w:cs="宋体"/>
          <w:lang w:eastAsia="zh-CN"/>
        </w:rPr>
        <w:t>；</w:t>
      </w:r>
    </w:p>
    <w:p w14:paraId="5140519E">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（4）《水污染防治行动计划》（国发[2015]17号）</w:t>
      </w:r>
      <w:r>
        <w:rPr>
          <w:rFonts w:hint="eastAsia" w:ascii="Times New Roman" w:hAnsi="Times New Roman" w:eastAsia="宋体" w:cs="宋体"/>
          <w:lang w:eastAsia="zh-CN"/>
        </w:rPr>
        <w:t>；</w:t>
      </w:r>
    </w:p>
    <w:p w14:paraId="2B87EB3F">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（5）《土壤污染防治行动计划》（国发[2016]31号）</w:t>
      </w:r>
      <w:r>
        <w:rPr>
          <w:rFonts w:hint="eastAsia" w:ascii="Times New Roman" w:hAnsi="Times New Roman" w:eastAsia="宋体" w:cs="宋体"/>
          <w:lang w:eastAsia="zh-CN"/>
        </w:rPr>
        <w:t>；</w:t>
      </w:r>
    </w:p>
    <w:p w14:paraId="4760ABC6">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（6）《关于进一步加强重金属污染防控的意见》（环固体[2022]17号）</w:t>
      </w:r>
      <w:r>
        <w:rPr>
          <w:rFonts w:hint="eastAsia" w:ascii="Times New Roman" w:hAnsi="Times New Roman" w:eastAsia="宋体" w:cs="宋体"/>
          <w:lang w:eastAsia="zh-CN"/>
        </w:rPr>
        <w:t>；</w:t>
      </w:r>
    </w:p>
    <w:p w14:paraId="62AAA238">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（7）《关于加强涉重金属行业污染防控的意见》（环土壤〔2018〕22号）</w:t>
      </w:r>
      <w:r>
        <w:rPr>
          <w:rFonts w:hint="eastAsia" w:ascii="Times New Roman" w:hAnsi="Times New Roman" w:eastAsia="宋体" w:cs="宋体"/>
          <w:lang w:eastAsia="zh-CN"/>
        </w:rPr>
        <w:t>；</w:t>
      </w:r>
    </w:p>
    <w:p w14:paraId="089EA23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（8）《环境保护部关于进一步加强环境影响评价管理防范环境风险的通知》（环发〔2012〕77号）</w:t>
      </w:r>
      <w:r>
        <w:rPr>
          <w:rFonts w:hint="eastAsia" w:ascii="Times New Roman" w:hAnsi="Times New Roman" w:eastAsia="宋体" w:cs="宋体"/>
          <w:lang w:eastAsia="zh-CN"/>
        </w:rPr>
        <w:t>；</w:t>
      </w:r>
    </w:p>
    <w:p w14:paraId="48C13347">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（9）《环境保护部关于切实加强风险防范严格环境影响评价管理的通知》（环发〔2012〕98号）</w:t>
      </w:r>
      <w:r>
        <w:rPr>
          <w:rFonts w:hint="eastAsia" w:ascii="Times New Roman" w:hAnsi="Times New Roman" w:eastAsia="宋体" w:cs="宋体"/>
          <w:lang w:eastAsia="zh-CN"/>
        </w:rPr>
        <w:t>；</w:t>
      </w:r>
    </w:p>
    <w:p w14:paraId="36D8FFD6">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（10）《关于以改善环境质量为核心加强环境影响评价管理的通知》（环环评〔2016〕150号）</w:t>
      </w:r>
      <w:r>
        <w:rPr>
          <w:rFonts w:hint="eastAsia" w:ascii="Times New Roman" w:hAnsi="Times New Roman" w:eastAsia="宋体" w:cs="宋体"/>
          <w:lang w:eastAsia="zh-CN"/>
        </w:rPr>
        <w:t>；</w:t>
      </w:r>
    </w:p>
    <w:p w14:paraId="20524B3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（11）《河南省环境保护厅关于加强环评管理防范环境风险的通知》（豫环文〔2012〕159号）</w:t>
      </w:r>
      <w:r>
        <w:rPr>
          <w:rFonts w:hint="eastAsia" w:ascii="Times New Roman" w:hAnsi="Times New Roman" w:eastAsia="宋体" w:cs="宋体"/>
          <w:lang w:eastAsia="zh-CN"/>
        </w:rPr>
        <w:t>；</w:t>
      </w:r>
    </w:p>
    <w:p w14:paraId="3D2D00A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（12）《河南省重污染天气重点行业应急减排措施制定技术指南（</w:t>
      </w:r>
      <w:r>
        <w:rPr>
          <w:rFonts w:hint="eastAsia" w:ascii="Times New Roman" w:hAnsi="Times New Roman" w:eastAsia="宋体" w:cs="宋体"/>
          <w:lang w:val="en-US" w:eastAsia="zh-CN"/>
        </w:rPr>
        <w:t>2024</w:t>
      </w:r>
      <w:r>
        <w:rPr>
          <w:rFonts w:hint="eastAsia" w:ascii="Times New Roman" w:hAnsi="Times New Roman" w:eastAsia="宋体" w:cs="宋体"/>
        </w:rPr>
        <w:t>年修订）》</w:t>
      </w:r>
      <w:r>
        <w:rPr>
          <w:rFonts w:hint="eastAsia" w:ascii="Times New Roman" w:hAnsi="Times New Roman" w:eastAsia="宋体" w:cs="宋体"/>
          <w:lang w:eastAsia="zh-CN"/>
        </w:rPr>
        <w:t>；</w:t>
      </w:r>
    </w:p>
    <w:p w14:paraId="0620E8F6">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rPr>
      </w:pPr>
      <w:r>
        <w:rPr>
          <w:rFonts w:hint="eastAsia" w:ascii="Times New Roman" w:hAnsi="Times New Roman" w:eastAsia="宋体" w:cs="宋体"/>
        </w:rPr>
        <w:t>（13）《河南省涉重金属重点行业污染防治工作方案》（豫环文[2018]262号）</w:t>
      </w:r>
    </w:p>
    <w:p w14:paraId="3795E3EF">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（14）《河南省电镀建设项目环境影响评价文件审查审批原则（修订）》（豫环办[2021]89号）</w:t>
      </w:r>
      <w:r>
        <w:rPr>
          <w:rFonts w:hint="eastAsia" w:ascii="Times New Roman" w:hAnsi="Times New Roman" w:eastAsia="宋体" w:cs="宋体"/>
          <w:lang w:eastAsia="zh-CN"/>
        </w:rPr>
        <w:t>；</w:t>
      </w:r>
    </w:p>
    <w:p w14:paraId="0C561501">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（15）《河南省重金属污染防治工作指导意见》（豫环文[2017]277号）</w:t>
      </w:r>
      <w:r>
        <w:rPr>
          <w:rFonts w:hint="eastAsia" w:ascii="Times New Roman" w:hAnsi="Times New Roman" w:eastAsia="宋体" w:cs="宋体"/>
          <w:lang w:eastAsia="zh-CN"/>
        </w:rPr>
        <w:t>；</w:t>
      </w:r>
    </w:p>
    <w:p w14:paraId="3B2A089E">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（16）《关于印发河南省“十四五”水安全保障和水生态环境保护规划的通知》（豫政〔2021〕42号）</w:t>
      </w:r>
      <w:r>
        <w:rPr>
          <w:rFonts w:hint="eastAsia" w:ascii="Times New Roman" w:hAnsi="Times New Roman" w:eastAsia="宋体" w:cs="宋体"/>
          <w:lang w:eastAsia="zh-CN"/>
        </w:rPr>
        <w:t>；</w:t>
      </w:r>
    </w:p>
    <w:p w14:paraId="078C7CFB">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（17）《新乡市城市饮用水水源地保护区划分报告》（2007.5）</w:t>
      </w:r>
      <w:r>
        <w:rPr>
          <w:rFonts w:hint="eastAsia" w:ascii="Times New Roman" w:hAnsi="Times New Roman" w:eastAsia="宋体" w:cs="宋体"/>
          <w:lang w:eastAsia="zh-CN"/>
        </w:rPr>
        <w:t>；</w:t>
      </w:r>
    </w:p>
    <w:p w14:paraId="33A34BA7">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（18）新乡市环境污染防治攻坚指挥部办公室关于印发《新乡市2024年柴油货车污染治理攻坚战实施方案》的通知（新环委办〔</w:t>
      </w:r>
      <w:r>
        <w:rPr>
          <w:rFonts w:hint="eastAsia" w:cs="宋体"/>
          <w:lang w:val="en-US" w:eastAsia="zh-CN"/>
        </w:rPr>
        <w:t>2025</w:t>
      </w:r>
      <w:r>
        <w:rPr>
          <w:rFonts w:hint="eastAsia" w:ascii="Times New Roman" w:hAnsi="Times New Roman" w:eastAsia="宋体" w:cs="宋体"/>
        </w:rPr>
        <w:t>〕</w:t>
      </w:r>
      <w:r>
        <w:rPr>
          <w:rFonts w:hint="eastAsia" w:cs="宋体"/>
          <w:lang w:val="en-US" w:eastAsia="zh-CN"/>
        </w:rPr>
        <w:t>38</w:t>
      </w:r>
      <w:r>
        <w:rPr>
          <w:rFonts w:hint="eastAsia" w:ascii="Times New Roman" w:hAnsi="Times New Roman" w:eastAsia="宋体" w:cs="宋体"/>
        </w:rPr>
        <w:t>号）</w:t>
      </w:r>
      <w:r>
        <w:rPr>
          <w:rFonts w:hint="eastAsia" w:ascii="Times New Roman" w:hAnsi="Times New Roman" w:eastAsia="宋体" w:cs="宋体"/>
          <w:lang w:eastAsia="zh-CN"/>
        </w:rPr>
        <w:t>；</w:t>
      </w:r>
    </w:p>
    <w:p w14:paraId="1A9A0E6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（19）新乡市环境污染防治攻坚指挥部办公室关于印发《新乡市</w:t>
      </w:r>
      <w:r>
        <w:rPr>
          <w:rFonts w:hint="eastAsia" w:ascii="Times New Roman" w:hAnsi="Times New Roman" w:eastAsia="宋体" w:cs="宋体"/>
          <w:lang w:val="en-US" w:eastAsia="zh-CN"/>
        </w:rPr>
        <w:t>2024</w:t>
      </w:r>
      <w:r>
        <w:rPr>
          <w:rFonts w:hint="eastAsia" w:ascii="Times New Roman" w:hAnsi="Times New Roman" w:eastAsia="宋体" w:cs="宋体"/>
        </w:rPr>
        <w:t>年蓝天保卫战实施方案》的通知（新环委办〔</w:t>
      </w:r>
      <w:r>
        <w:rPr>
          <w:rFonts w:hint="eastAsia" w:cs="宋体"/>
          <w:lang w:val="en-US" w:eastAsia="zh-CN"/>
        </w:rPr>
        <w:t>2025</w:t>
      </w:r>
      <w:r>
        <w:rPr>
          <w:rFonts w:hint="eastAsia" w:ascii="Times New Roman" w:hAnsi="Times New Roman" w:eastAsia="宋体" w:cs="宋体"/>
        </w:rPr>
        <w:t>〕</w:t>
      </w:r>
      <w:r>
        <w:rPr>
          <w:rFonts w:hint="eastAsia" w:cs="宋体"/>
          <w:lang w:val="en-US" w:eastAsia="zh-CN"/>
        </w:rPr>
        <w:t>38</w:t>
      </w:r>
      <w:r>
        <w:rPr>
          <w:rFonts w:hint="eastAsia" w:ascii="Times New Roman" w:hAnsi="Times New Roman" w:eastAsia="宋体" w:cs="宋体"/>
        </w:rPr>
        <w:t>号）</w:t>
      </w:r>
      <w:r>
        <w:rPr>
          <w:rFonts w:hint="eastAsia" w:ascii="Times New Roman" w:hAnsi="Times New Roman" w:eastAsia="宋体" w:cs="宋体"/>
          <w:lang w:eastAsia="zh-CN"/>
        </w:rPr>
        <w:t>；</w:t>
      </w:r>
    </w:p>
    <w:p w14:paraId="23282D6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（20）新乡市环境污染防治攻坚指挥部办公室关于印发《新乡市</w:t>
      </w:r>
      <w:r>
        <w:rPr>
          <w:rFonts w:hint="eastAsia" w:ascii="Times New Roman" w:hAnsi="Times New Roman" w:eastAsia="宋体" w:cs="宋体"/>
          <w:lang w:val="en-US" w:eastAsia="zh-CN"/>
        </w:rPr>
        <w:t>2024</w:t>
      </w:r>
      <w:r>
        <w:rPr>
          <w:rFonts w:hint="eastAsia" w:ascii="Times New Roman" w:hAnsi="Times New Roman" w:eastAsia="宋体" w:cs="宋体"/>
        </w:rPr>
        <w:t>年碧水保卫战实施方案》的通知（新环委办〔</w:t>
      </w:r>
      <w:r>
        <w:rPr>
          <w:rFonts w:hint="eastAsia" w:cs="宋体"/>
          <w:lang w:val="en-US" w:eastAsia="zh-CN"/>
        </w:rPr>
        <w:t>2025</w:t>
      </w:r>
      <w:r>
        <w:rPr>
          <w:rFonts w:hint="eastAsia" w:ascii="Times New Roman" w:hAnsi="Times New Roman" w:eastAsia="宋体" w:cs="宋体"/>
        </w:rPr>
        <w:t>〕</w:t>
      </w:r>
      <w:r>
        <w:rPr>
          <w:rFonts w:hint="eastAsia" w:cs="宋体"/>
          <w:lang w:val="en-US" w:eastAsia="zh-CN"/>
        </w:rPr>
        <w:t>38</w:t>
      </w:r>
      <w:r>
        <w:rPr>
          <w:rFonts w:hint="eastAsia" w:ascii="Times New Roman" w:hAnsi="Times New Roman" w:eastAsia="宋体" w:cs="宋体"/>
        </w:rPr>
        <w:t>号）</w:t>
      </w:r>
      <w:r>
        <w:rPr>
          <w:rFonts w:hint="eastAsia" w:ascii="Times New Roman" w:hAnsi="Times New Roman" w:eastAsia="宋体" w:cs="宋体"/>
          <w:lang w:eastAsia="zh-CN"/>
        </w:rPr>
        <w:t>；</w:t>
      </w:r>
    </w:p>
    <w:p w14:paraId="5761F4DF">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（21）新乡市环境污染防治攻坚指挥部办公室关于印发《新乡市</w:t>
      </w:r>
      <w:r>
        <w:rPr>
          <w:rFonts w:hint="eastAsia" w:ascii="Times New Roman" w:hAnsi="Times New Roman" w:eastAsia="宋体" w:cs="宋体"/>
          <w:lang w:val="en-US" w:eastAsia="zh-CN"/>
        </w:rPr>
        <w:t>2024</w:t>
      </w:r>
      <w:r>
        <w:rPr>
          <w:rFonts w:hint="eastAsia" w:ascii="Times New Roman" w:hAnsi="Times New Roman" w:eastAsia="宋体" w:cs="宋体"/>
        </w:rPr>
        <w:t>年净土保卫战实施方案》的通知（新环委办〔</w:t>
      </w:r>
      <w:r>
        <w:rPr>
          <w:rFonts w:hint="eastAsia" w:cs="宋体"/>
          <w:lang w:val="en-US" w:eastAsia="zh-CN"/>
        </w:rPr>
        <w:t>2025</w:t>
      </w:r>
      <w:r>
        <w:rPr>
          <w:rFonts w:hint="eastAsia" w:ascii="Times New Roman" w:hAnsi="Times New Roman" w:eastAsia="宋体" w:cs="宋体"/>
        </w:rPr>
        <w:t>〕</w:t>
      </w:r>
      <w:r>
        <w:rPr>
          <w:rFonts w:hint="eastAsia" w:cs="宋体"/>
          <w:lang w:val="en-US" w:eastAsia="zh-CN"/>
        </w:rPr>
        <w:t>38</w:t>
      </w:r>
      <w:r>
        <w:rPr>
          <w:rFonts w:hint="eastAsia" w:ascii="Times New Roman" w:hAnsi="Times New Roman" w:eastAsia="宋体" w:cs="宋体"/>
        </w:rPr>
        <w:t>号）</w:t>
      </w:r>
      <w:r>
        <w:rPr>
          <w:rFonts w:hint="eastAsia" w:ascii="Times New Roman" w:hAnsi="Times New Roman" w:eastAsia="宋体" w:cs="宋体"/>
          <w:lang w:eastAsia="zh-CN"/>
        </w:rPr>
        <w:t>；</w:t>
      </w:r>
    </w:p>
    <w:p w14:paraId="54D585B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（22）《新乡市“三线一单”生态环境准人清单》（</w:t>
      </w:r>
      <w:r>
        <w:rPr>
          <w:rFonts w:hint="eastAsia" w:ascii="Times New Roman" w:hAnsi="Times New Roman" w:eastAsia="宋体" w:cs="宋体"/>
          <w:lang w:val="en-US" w:eastAsia="zh-CN"/>
        </w:rPr>
        <w:t>2023年修订</w:t>
      </w:r>
      <w:r>
        <w:rPr>
          <w:rFonts w:hint="eastAsia" w:ascii="Times New Roman" w:hAnsi="Times New Roman" w:eastAsia="宋体" w:cs="宋体"/>
        </w:rPr>
        <w:t>）</w:t>
      </w:r>
      <w:r>
        <w:rPr>
          <w:rFonts w:hint="eastAsia" w:ascii="Times New Roman" w:hAnsi="Times New Roman" w:eastAsia="宋体" w:cs="宋体"/>
          <w:lang w:eastAsia="zh-CN"/>
        </w:rPr>
        <w:t>；</w:t>
      </w:r>
    </w:p>
    <w:p w14:paraId="33039B47">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（23）《新乡市“十四五”生态环境保护和生态经济发展规划》</w:t>
      </w:r>
      <w:r>
        <w:rPr>
          <w:rFonts w:hint="eastAsia" w:ascii="Times New Roman" w:hAnsi="Times New Roman" w:eastAsia="宋体" w:cs="宋体"/>
          <w:lang w:eastAsia="zh-CN"/>
        </w:rPr>
        <w:t>；</w:t>
      </w:r>
    </w:p>
    <w:p w14:paraId="0329F5B3">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ascii="Times New Roman" w:hAnsi="Times New Roman" w:eastAsia="宋体" w:cs="宋体"/>
          <w:lang w:eastAsia="zh-CN"/>
        </w:rPr>
      </w:pPr>
      <w:r>
        <w:rPr>
          <w:rFonts w:hint="eastAsia" w:ascii="Times New Roman" w:hAnsi="Times New Roman" w:eastAsia="宋体" w:cs="宋体"/>
        </w:rPr>
        <w:t>（24）《新乡市“十四五”重金属污染防控工作方案》的通知（新环〔2022〕110号）</w:t>
      </w:r>
      <w:r>
        <w:rPr>
          <w:rFonts w:hint="eastAsia" w:ascii="Times New Roman" w:hAnsi="Times New Roman" w:eastAsia="宋体" w:cs="宋体"/>
          <w:lang w:eastAsia="zh-CN"/>
        </w:rPr>
        <w:t>。</w:t>
      </w:r>
    </w:p>
    <w:p w14:paraId="7B7CDF0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73" w:name="_Toc428287504"/>
      <w:bookmarkStart w:id="74" w:name="_Toc428287152"/>
      <w:bookmarkStart w:id="75" w:name="_Toc108122322"/>
      <w:bookmarkStart w:id="76" w:name="_Toc428286758"/>
      <w:r>
        <w:rPr>
          <w:rFonts w:hint="eastAsia" w:ascii="Times New Roman" w:hAnsi="Times New Roman" w:cs="Times New Roman"/>
          <w:lang w:val="en-US" w:eastAsia="zh-CN"/>
        </w:rPr>
        <w:t>2.1.3技术规范</w:t>
      </w:r>
      <w:bookmarkEnd w:id="73"/>
      <w:bookmarkEnd w:id="74"/>
      <w:bookmarkEnd w:id="75"/>
      <w:bookmarkEnd w:id="76"/>
    </w:p>
    <w:p w14:paraId="0627514F">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（1）《环境影响评价技术导则  总纲》（HJ2.1-2016）</w:t>
      </w:r>
      <w:r>
        <w:rPr>
          <w:rFonts w:hint="eastAsia"/>
          <w:lang w:eastAsia="zh-CN"/>
        </w:rPr>
        <w:t>；</w:t>
      </w:r>
    </w:p>
    <w:p w14:paraId="2D6708A2">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（2）《环境影响评价技术导则  大气环境》（HJ2.2-2018）</w:t>
      </w:r>
      <w:r>
        <w:rPr>
          <w:rFonts w:hint="eastAsia"/>
          <w:lang w:eastAsia="zh-CN"/>
        </w:rPr>
        <w:t>；</w:t>
      </w:r>
    </w:p>
    <w:p w14:paraId="64C30CE2">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（3）《环境影响评价技术导则  地表水环境》（HJ2.3-2018）</w:t>
      </w:r>
      <w:r>
        <w:rPr>
          <w:rFonts w:hint="eastAsia"/>
          <w:lang w:eastAsia="zh-CN"/>
        </w:rPr>
        <w:t>；</w:t>
      </w:r>
    </w:p>
    <w:p w14:paraId="29D238BB">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（4）《环境影响评价技术导则  声环境》（HJ2.4-2021）</w:t>
      </w:r>
      <w:r>
        <w:rPr>
          <w:rFonts w:hint="eastAsia"/>
          <w:lang w:eastAsia="zh-CN"/>
        </w:rPr>
        <w:t>；</w:t>
      </w:r>
    </w:p>
    <w:p w14:paraId="00D736BA">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（5）《环境影响评价技术导则  地下水环境》（HJ610-2016）</w:t>
      </w:r>
      <w:r>
        <w:rPr>
          <w:rFonts w:hint="eastAsia"/>
          <w:lang w:eastAsia="zh-CN"/>
        </w:rPr>
        <w:t>；</w:t>
      </w:r>
    </w:p>
    <w:p w14:paraId="5B5B3A6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（6）《建设项目环境风险评价技术导则》（HJ169-2018）</w:t>
      </w:r>
      <w:r>
        <w:rPr>
          <w:rFonts w:hint="eastAsia"/>
          <w:lang w:eastAsia="zh-CN"/>
        </w:rPr>
        <w:t>；</w:t>
      </w:r>
    </w:p>
    <w:p w14:paraId="55DCBADE">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（7）《环境影响评价技术导则  土壤环境（试行）》（HJ964-2018）</w:t>
      </w:r>
      <w:r>
        <w:rPr>
          <w:rFonts w:hint="eastAsia"/>
          <w:lang w:eastAsia="zh-CN"/>
        </w:rPr>
        <w:t>；</w:t>
      </w:r>
    </w:p>
    <w:p w14:paraId="0FF9AB1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（8）《国家危险废物名录》（</w:t>
      </w:r>
      <w:r>
        <w:rPr>
          <w:rFonts w:hint="eastAsia"/>
          <w:lang w:val="en-US" w:eastAsia="zh-CN"/>
        </w:rPr>
        <w:t>2025</w:t>
      </w:r>
      <w:r>
        <w:rPr>
          <w:rFonts w:hint="eastAsia"/>
        </w:rPr>
        <w:t>年版）</w:t>
      </w:r>
      <w:r>
        <w:rPr>
          <w:rFonts w:hint="eastAsia"/>
          <w:lang w:eastAsia="zh-CN"/>
        </w:rPr>
        <w:t>；</w:t>
      </w:r>
    </w:p>
    <w:p w14:paraId="78258664">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（9）《排污单位自行监测技术指南  总则》（HJ819-2017）</w:t>
      </w:r>
      <w:r>
        <w:rPr>
          <w:rFonts w:hint="eastAsia"/>
          <w:lang w:eastAsia="zh-CN"/>
        </w:rPr>
        <w:t>；</w:t>
      </w:r>
    </w:p>
    <w:p w14:paraId="52A19FE4">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（10）《固体废物鉴别标准  通则》（GB34330-2017）</w:t>
      </w:r>
      <w:r>
        <w:rPr>
          <w:rFonts w:hint="eastAsia"/>
          <w:lang w:eastAsia="zh-CN"/>
        </w:rPr>
        <w:t>；</w:t>
      </w:r>
    </w:p>
    <w:p w14:paraId="1D7FC785">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（11）《建设项目危险废物环境影响评价指南》（公告2017年第43号）</w:t>
      </w:r>
      <w:r>
        <w:rPr>
          <w:rFonts w:hint="eastAsia"/>
          <w:lang w:eastAsia="zh-CN"/>
        </w:rPr>
        <w:t>；</w:t>
      </w:r>
    </w:p>
    <w:p w14:paraId="4A15FD0D">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（12）《排污许可证申请与核发技术规范  电镀工业》（HJ855-2017）</w:t>
      </w:r>
      <w:r>
        <w:rPr>
          <w:rFonts w:hint="eastAsia"/>
          <w:lang w:eastAsia="zh-CN"/>
        </w:rPr>
        <w:t>；</w:t>
      </w:r>
    </w:p>
    <w:p w14:paraId="4899BD5B">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（13）《排污单位自行监测技术指南  电镀工业》（HJ985-2018）</w:t>
      </w:r>
      <w:r>
        <w:rPr>
          <w:rFonts w:hint="eastAsia"/>
          <w:lang w:eastAsia="zh-CN"/>
        </w:rPr>
        <w:t>；</w:t>
      </w:r>
    </w:p>
    <w:p w14:paraId="7CF3B659">
      <w:pPr>
        <w:pStyle w:val="72"/>
        <w:keepNext w:val="0"/>
        <w:keepLines w:val="0"/>
        <w:pageBreakBefore w:val="0"/>
        <w:widowControl w:val="0"/>
        <w:kinsoku/>
        <w:wordWrap/>
        <w:overflowPunct/>
        <w:topLinePunct w:val="0"/>
        <w:autoSpaceDE/>
        <w:autoSpaceDN/>
        <w:bidi w:val="0"/>
        <w:adjustRightInd w:val="0"/>
        <w:snapToGrid w:val="0"/>
        <w:ind w:firstLine="360" w:firstLineChars="150"/>
        <w:textAlignment w:val="baseline"/>
        <w:rPr>
          <w:rFonts w:hint="eastAsia" w:eastAsia="宋体"/>
          <w:lang w:eastAsia="zh-CN"/>
        </w:rPr>
      </w:pPr>
      <w:r>
        <w:rPr>
          <w:rFonts w:hint="eastAsia"/>
        </w:rPr>
        <w:t>（14）《污染源源强核算技术指南  电镀》（HJ984-2018）</w:t>
      </w:r>
      <w:r>
        <w:rPr>
          <w:rFonts w:hint="eastAsia"/>
          <w:lang w:eastAsia="zh-CN"/>
        </w:rPr>
        <w:t>。</w:t>
      </w:r>
    </w:p>
    <w:p w14:paraId="696A912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77" w:name="_Toc428286759"/>
      <w:bookmarkStart w:id="78" w:name="_Toc428287505"/>
      <w:bookmarkStart w:id="79" w:name="_Toc428287153"/>
      <w:bookmarkStart w:id="80" w:name="_Toc108122323"/>
      <w:r>
        <w:rPr>
          <w:rFonts w:hint="eastAsia" w:ascii="Times New Roman" w:hAnsi="Times New Roman" w:cs="Times New Roman"/>
          <w:lang w:val="en-US" w:eastAsia="zh-CN"/>
        </w:rPr>
        <w:t>2.1.4项目依据</w:t>
      </w:r>
      <w:bookmarkEnd w:id="77"/>
      <w:bookmarkEnd w:id="78"/>
      <w:bookmarkEnd w:id="79"/>
      <w:bookmarkEnd w:id="80"/>
    </w:p>
    <w:p w14:paraId="4553D249">
      <w:pPr>
        <w:pStyle w:val="72"/>
        <w:rPr>
          <w:color w:val="000000" w:themeColor="text1"/>
          <w14:textFill>
            <w14:solidFill>
              <w14:schemeClr w14:val="tx1"/>
            </w14:solidFill>
          </w14:textFill>
        </w:rPr>
      </w:pPr>
      <w:r>
        <w:rPr>
          <w:rFonts w:hint="eastAsia"/>
        </w:rPr>
        <w:t>（1</w:t>
      </w:r>
      <w:r>
        <w:rPr>
          <w:rFonts w:hint="eastAsia"/>
          <w:color w:val="0070C0"/>
        </w:rPr>
        <w:t>）</w:t>
      </w:r>
      <w:r>
        <w:rPr>
          <w:rFonts w:hint="eastAsia"/>
          <w:color w:val="000000" w:themeColor="text1"/>
          <w14:textFill>
            <w14:solidFill>
              <w14:schemeClr w14:val="tx1"/>
            </w14:solidFill>
          </w14:textFill>
        </w:rPr>
        <w:t>《年产10亿只钢壳、10亿只盖帽和3600吨电池连接件项目》的环境影响评价委托书；</w:t>
      </w:r>
    </w:p>
    <w:p w14:paraId="3BB715DC">
      <w:pPr>
        <w:pStyle w:val="72"/>
        <w:rPr>
          <w:color w:val="0070C0"/>
        </w:rPr>
      </w:pPr>
      <w:r>
        <w:rPr>
          <w:rFonts w:hint="eastAsia"/>
          <w:color w:val="000000" w:themeColor="text1"/>
          <w14:textFill>
            <w14:solidFill>
              <w14:schemeClr w14:val="tx1"/>
            </w14:solidFill>
          </w14:textFill>
        </w:rPr>
        <w:t>（2）《年产10亿只钢壳、10亿只盖帽和3600吨电池连接件项目》备案</w:t>
      </w:r>
      <w:r>
        <w:rPr>
          <w:rFonts w:hint="eastAsia"/>
          <w:color w:val="000000" w:themeColor="text1"/>
          <w:lang w:val="en-US" w:eastAsia="zh-CN"/>
          <w14:textFill>
            <w14:solidFill>
              <w14:schemeClr w14:val="tx1"/>
            </w14:solidFill>
          </w14:textFill>
        </w:rPr>
        <w:t>证明</w:t>
      </w:r>
      <w:r>
        <w:rPr>
          <w:rFonts w:hint="eastAsia"/>
          <w:color w:val="000000" w:themeColor="text1"/>
          <w14:textFill>
            <w14:solidFill>
              <w14:schemeClr w14:val="tx1"/>
            </w14:solidFill>
          </w14:textFill>
        </w:rPr>
        <w:t>（2503-410724-04-05-141876</w:t>
      </w:r>
      <w:r>
        <w:rPr>
          <w:rFonts w:hint="eastAsia" w:ascii="Times New Roman" w:hAnsi="Times New Roman" w:eastAsia="宋体" w:cs="宋体"/>
          <w:color w:val="000000" w:themeColor="text1"/>
          <w14:textFill>
            <w14:solidFill>
              <w14:schemeClr w14:val="tx1"/>
            </w14:solidFill>
          </w14:textFill>
        </w:rPr>
        <w:t>）；</w:t>
      </w:r>
    </w:p>
    <w:p w14:paraId="292CFFED">
      <w:pPr>
        <w:pStyle w:val="72"/>
      </w:pPr>
      <w:r>
        <w:rPr>
          <w:rFonts w:hint="eastAsia"/>
        </w:rPr>
        <w:t>（3）建设单位提供的其他技术资料。</w:t>
      </w:r>
    </w:p>
    <w:p w14:paraId="4055416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81" w:name="_Toc108122324"/>
      <w:bookmarkStart w:id="82" w:name="_Toc428287154"/>
      <w:bookmarkStart w:id="83" w:name="_Toc428287506"/>
      <w:bookmarkStart w:id="84" w:name="_Toc428286760"/>
      <w:r>
        <w:rPr>
          <w:rFonts w:hint="eastAsia" w:ascii="Times New Roman" w:hAnsi="Times New Roman" w:cs="Times New Roman"/>
          <w:lang w:val="en-US" w:eastAsia="zh-CN"/>
        </w:rPr>
        <w:t>2.1.5其他参考技术文件</w:t>
      </w:r>
      <w:bookmarkEnd w:id="81"/>
      <w:bookmarkEnd w:id="82"/>
      <w:bookmarkEnd w:id="83"/>
      <w:bookmarkEnd w:id="84"/>
    </w:p>
    <w:p w14:paraId="280E7430">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（1）《获嘉县产业集聚区总体发展规划（2016-2020）调整方案环境影响报告书》；</w:t>
      </w:r>
    </w:p>
    <w:p w14:paraId="1E305E0E">
      <w:pPr>
        <w:ind w:firstLine="480"/>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（2）《新乡市泓江润新能源有限公司环境空气、土壤、地下水、噪声检测报告》</w:t>
      </w:r>
      <w:r>
        <w:rPr>
          <w:rFonts w:hint="eastAsia"/>
          <w:color w:val="0070C0"/>
        </w:rPr>
        <w:t>（</w:t>
      </w:r>
      <w:r>
        <w:rPr>
          <w:rFonts w:hint="eastAsia"/>
          <w:color w:val="000000" w:themeColor="text1"/>
          <w:lang w:val="en-US" w:eastAsia="zh-CN"/>
          <w14:textFill>
            <w14:solidFill>
              <w14:schemeClr w14:val="tx1"/>
            </w14:solidFill>
          </w14:textFill>
        </w:rPr>
        <w:t>河南碧之霄检测技术有限公司</w:t>
      </w:r>
      <w:r>
        <w:rPr>
          <w:rFonts w:hint="eastAsia" w:ascii="Times New Roman" w:hAnsi="Times New Roman" w:eastAsia="宋体" w:cs="宋体"/>
          <w:color w:val="000000" w:themeColor="text1"/>
          <w:sz w:val="24"/>
          <w:lang w:val="en-US" w:eastAsia="zh-CN" w:bidi="ar-SA"/>
          <w14:textFill>
            <w14:solidFill>
              <w14:schemeClr w14:val="tx1"/>
            </w14:solidFill>
          </w14:textFill>
        </w:rPr>
        <w:t>，</w:t>
      </w:r>
      <w:r>
        <w:rPr>
          <w:rFonts w:hint="eastAsia" w:cs="宋体"/>
          <w:color w:val="000000" w:themeColor="text1"/>
          <w:sz w:val="24"/>
          <w:lang w:val="en-US" w:eastAsia="zh-CN" w:bidi="ar-SA"/>
          <w14:textFill>
            <w14:solidFill>
              <w14:schemeClr w14:val="tx1"/>
            </w14:solidFill>
          </w14:textFill>
        </w:rPr>
        <w:t>2025</w:t>
      </w:r>
      <w:r>
        <w:rPr>
          <w:rFonts w:hint="eastAsia" w:ascii="Times New Roman" w:hAnsi="Times New Roman" w:eastAsia="宋体" w:cs="宋体"/>
          <w:color w:val="000000" w:themeColor="text1"/>
          <w:sz w:val="24"/>
          <w:lang w:val="en-US" w:eastAsia="zh-CN" w:bidi="ar-SA"/>
          <w14:textFill>
            <w14:solidFill>
              <w14:schemeClr w14:val="tx1"/>
            </w14:solidFill>
          </w14:textFill>
        </w:rPr>
        <w:t>年</w:t>
      </w:r>
      <w:r>
        <w:rPr>
          <w:rFonts w:hint="eastAsia" w:cs="宋体"/>
          <w:color w:val="000000" w:themeColor="text1"/>
          <w:sz w:val="24"/>
          <w:lang w:val="en-US" w:eastAsia="zh-CN" w:bidi="ar-SA"/>
          <w14:textFill>
            <w14:solidFill>
              <w14:schemeClr w14:val="tx1"/>
            </w14:solidFill>
          </w14:textFill>
        </w:rPr>
        <w:t>4</w:t>
      </w:r>
      <w:r>
        <w:rPr>
          <w:rFonts w:hint="eastAsia" w:ascii="Times New Roman" w:hAnsi="Times New Roman" w:eastAsia="宋体" w:cs="宋体"/>
          <w:color w:val="000000" w:themeColor="text1"/>
          <w:sz w:val="24"/>
          <w:lang w:val="en-US" w:eastAsia="zh-CN" w:bidi="ar-SA"/>
          <w14:textFill>
            <w14:solidFill>
              <w14:schemeClr w14:val="tx1"/>
            </w14:solidFill>
          </w14:textFill>
        </w:rPr>
        <w:t>月</w:t>
      </w:r>
      <w:r>
        <w:rPr>
          <w:rFonts w:hint="eastAsia" w:cs="宋体"/>
          <w:color w:val="000000" w:themeColor="text1"/>
          <w:sz w:val="24"/>
          <w:lang w:val="en-US" w:eastAsia="zh-CN" w:bidi="ar-SA"/>
          <w14:textFill>
            <w14:solidFill>
              <w14:schemeClr w14:val="tx1"/>
            </w14:solidFill>
          </w14:textFill>
        </w:rPr>
        <w:t>14</w:t>
      </w:r>
      <w:r>
        <w:rPr>
          <w:rFonts w:hint="eastAsia" w:ascii="Times New Roman" w:hAnsi="Times New Roman" w:eastAsia="宋体" w:cs="宋体"/>
          <w:color w:val="000000" w:themeColor="text1"/>
          <w:sz w:val="24"/>
          <w:lang w:val="en-US" w:eastAsia="zh-CN" w:bidi="ar-SA"/>
          <w14:textFill>
            <w14:solidFill>
              <w14:schemeClr w14:val="tx1"/>
            </w14:solidFill>
          </w14:textFill>
        </w:rPr>
        <w:t>日</w:t>
      </w:r>
      <w:r>
        <w:rPr>
          <w:rFonts w:hint="eastAsia"/>
          <w:color w:val="000000" w:themeColor="text1"/>
          <w14:textFill>
            <w14:solidFill>
              <w14:schemeClr w14:val="tx1"/>
            </w14:solidFill>
          </w14:textFill>
        </w:rPr>
        <w:t>）。</w:t>
      </w:r>
    </w:p>
    <w:p w14:paraId="3B528DF8">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85" w:name="_Toc428286761"/>
      <w:bookmarkStart w:id="86" w:name="_Toc429318379"/>
      <w:bookmarkStart w:id="87" w:name="_Toc428287155"/>
      <w:bookmarkStart w:id="88" w:name="_Toc7706"/>
      <w:bookmarkStart w:id="89" w:name="_Toc51319845"/>
      <w:bookmarkStart w:id="90" w:name="_Toc13361"/>
      <w:bookmarkStart w:id="91" w:name="_Toc174155851"/>
      <w:r>
        <w:rPr>
          <w:rFonts w:hint="eastAsia" w:ascii="Times New Roman" w:hAnsi="Times New Roman" w:eastAsia="宋体" w:cs="Times New Roman"/>
          <w:lang w:val="en-US" w:eastAsia="zh-CN"/>
        </w:rPr>
        <w:t>2.2评价对象、评价目的</w:t>
      </w:r>
      <w:bookmarkEnd w:id="85"/>
      <w:bookmarkEnd w:id="86"/>
      <w:bookmarkEnd w:id="87"/>
      <w:r>
        <w:rPr>
          <w:rFonts w:hint="eastAsia" w:ascii="Times New Roman" w:hAnsi="Times New Roman" w:eastAsia="宋体" w:cs="Times New Roman"/>
          <w:lang w:val="en-US" w:eastAsia="zh-CN"/>
        </w:rPr>
        <w:t>、评价原则</w:t>
      </w:r>
      <w:bookmarkEnd w:id="88"/>
      <w:bookmarkEnd w:id="89"/>
      <w:bookmarkEnd w:id="90"/>
    </w:p>
    <w:p w14:paraId="691D25D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92" w:name="_Toc428286762"/>
      <w:bookmarkStart w:id="93" w:name="_Toc108122326"/>
      <w:bookmarkStart w:id="94" w:name="_Toc428287156"/>
      <w:bookmarkStart w:id="95" w:name="_Toc428287508"/>
      <w:r>
        <w:rPr>
          <w:rFonts w:hint="eastAsia" w:ascii="Times New Roman" w:hAnsi="Times New Roman" w:cs="Times New Roman"/>
          <w:lang w:val="en-US" w:eastAsia="zh-CN"/>
        </w:rPr>
        <w:t>2.2.1评价对象</w:t>
      </w:r>
      <w:bookmarkEnd w:id="92"/>
      <w:bookmarkEnd w:id="93"/>
      <w:bookmarkEnd w:id="94"/>
      <w:bookmarkEnd w:id="95"/>
    </w:p>
    <w:p w14:paraId="05C40DA7">
      <w:pPr>
        <w:pStyle w:val="72"/>
      </w:pPr>
      <w:r>
        <w:rPr>
          <w:rFonts w:hint="eastAsia"/>
        </w:rPr>
        <w:t>本次评价对象为“新乡市泓江润新能源有限公司年产10亿只钢壳、10亿只盖帽和3600吨电池连接件项目”，工程性质为</w:t>
      </w:r>
      <w:r>
        <w:rPr>
          <w:rFonts w:hint="eastAsia"/>
          <w:lang w:val="en-US" w:eastAsia="zh-CN"/>
        </w:rPr>
        <w:t>新建</w:t>
      </w:r>
      <w:r>
        <w:rPr>
          <w:rFonts w:hint="eastAsia"/>
        </w:rPr>
        <w:t>。</w:t>
      </w:r>
    </w:p>
    <w:bookmarkEnd w:id="91"/>
    <w:p w14:paraId="685F713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96" w:name="_Toc428287509"/>
      <w:bookmarkStart w:id="97" w:name="_Toc108122327"/>
      <w:bookmarkStart w:id="98" w:name="_Toc428287157"/>
      <w:bookmarkStart w:id="99" w:name="_Toc428286763"/>
      <w:bookmarkStart w:id="100" w:name="_Toc508269673"/>
      <w:bookmarkStart w:id="101" w:name="_Toc429318381"/>
      <w:bookmarkStart w:id="102" w:name="_Toc174155855"/>
      <w:bookmarkStart w:id="103" w:name="_Toc428287161"/>
      <w:bookmarkStart w:id="104" w:name="_Toc428286767"/>
      <w:r>
        <w:rPr>
          <w:rFonts w:hint="eastAsia" w:ascii="Times New Roman" w:hAnsi="Times New Roman" w:cs="Times New Roman"/>
          <w:lang w:val="en-US" w:eastAsia="zh-CN"/>
        </w:rPr>
        <w:t>2.2.2评价目的</w:t>
      </w:r>
      <w:bookmarkEnd w:id="96"/>
      <w:bookmarkEnd w:id="97"/>
      <w:bookmarkEnd w:id="98"/>
      <w:bookmarkEnd w:id="99"/>
    </w:p>
    <w:p w14:paraId="3086A5D1">
      <w:pPr>
        <w:pStyle w:val="72"/>
      </w:pPr>
      <w:r>
        <w:rPr>
          <w:rFonts w:hint="eastAsia"/>
        </w:rPr>
        <w:t>本次评价目的是通过对评价区地表水、环境空气、声环境、土壤环境的调查，查清环境质量现状。结合工程实际，分析工程对环境影响的程度和范围，从环保角度出发，对项目的可行性给出结论。在项目实施过程中做到事前预防污染，为主管部门审批决策、监督管理，为工程设计、工程建设及日后的生产管理提供科学依据和基础资料。</w:t>
      </w:r>
    </w:p>
    <w:p w14:paraId="3894192B">
      <w:pPr>
        <w:pStyle w:val="72"/>
      </w:pPr>
      <w:r>
        <w:rPr>
          <w:rFonts w:hint="eastAsia"/>
        </w:rPr>
        <w:t>根据项目的具体情况，结合项目厂址周围的环境状况，评价工作拟达到以下目的：</w:t>
      </w:r>
    </w:p>
    <w:p w14:paraId="24966316">
      <w:pPr>
        <w:pStyle w:val="72"/>
      </w:pPr>
      <w:r>
        <w:rPr>
          <w:rFonts w:hint="eastAsia"/>
        </w:rPr>
        <w:t>（1）从国家产业政策的角度出发，结合当地总体规划要求，确定项目的建设是否符合产业政策及规划要求。</w:t>
      </w:r>
    </w:p>
    <w:p w14:paraId="3863FC03">
      <w:pPr>
        <w:pStyle w:val="72"/>
      </w:pPr>
      <w:r>
        <w:rPr>
          <w:rFonts w:hint="eastAsia"/>
        </w:rPr>
        <w:t>（2）在对本工程厂址周边自然、社会、经济环境状况进行调查分析的基础上，掌握评价区域内主要环境敏感目标、保护环境目标；充分利用现有资料并进行现场踏勘和环境现状监测，查清评价区域环境现状（环境空气、地表水环境、地下水质量、声环境、土壤环境），并做出现状评价；调查并明确区域内的主要污染源及环境特征。</w:t>
      </w:r>
    </w:p>
    <w:p w14:paraId="6EC7E1B1">
      <w:pPr>
        <w:pStyle w:val="72"/>
      </w:pPr>
      <w:r>
        <w:rPr>
          <w:rFonts w:hint="eastAsia"/>
        </w:rPr>
        <w:t>（3）全面分析本工程建设内容，掌握生产设备及设施主要污染物的产生特征，根据物料衡算及类比分析计算污染物产生量和排放量，根据区域环境特征和工程污染物排放特点，预测工程建成投产后对周围环境影响的程度和范围，采用模式计算和类比调查的方式预测、分析项目投产后排放污染物的影响范围以及引起的周围环境质量变化情况，从环境保护角度分析论证建设工程的可行性。</w:t>
      </w:r>
    </w:p>
    <w:p w14:paraId="052A4501">
      <w:pPr>
        <w:pStyle w:val="72"/>
      </w:pPr>
      <w:r>
        <w:rPr>
          <w:rFonts w:hint="eastAsia"/>
        </w:rPr>
        <w:t>（4）根据国家对企业在“清洁生产、达标排放、节能减排、总量控制”等方面的要求，多方面论述建设项目产品、生产工艺与技术装备的先进性。通过对工程环保设施的技术经济合理性、达标水平的可靠性分析，进一步提出减缓污染的对策建议，为优化环境工程设计、合理施工和工程投产后的环境管理提供科学依据和措施建议，更好地达到社会经济与环境保护协调发展的目的。</w:t>
      </w:r>
    </w:p>
    <w:p w14:paraId="41A5FB0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05" w:name="_Toc108122328"/>
      <w:r>
        <w:rPr>
          <w:rFonts w:hint="eastAsia" w:ascii="Times New Roman" w:hAnsi="Times New Roman" w:cs="Times New Roman"/>
          <w:lang w:val="en-US" w:eastAsia="zh-CN"/>
        </w:rPr>
        <w:t>2.2.3评价原则</w:t>
      </w:r>
      <w:bookmarkEnd w:id="100"/>
      <w:bookmarkEnd w:id="105"/>
    </w:p>
    <w:p w14:paraId="179BEFD9">
      <w:pPr>
        <w:pStyle w:val="72"/>
      </w:pPr>
      <w:r>
        <w:rPr>
          <w:rFonts w:hint="eastAsia"/>
        </w:rPr>
        <w:t>贯彻“清洁生产”和“节约与合理利用资源、能源”的原则，分析建设项目采用生产工艺的“清洁生产”水平。对拟建工程实施全过程的污染控制，实现资源及中间产品的合理使用、实现废料的综合利用，有效地控制污染物的产生量和削减污染物的排放量。</w:t>
      </w:r>
    </w:p>
    <w:p w14:paraId="544D0311">
      <w:pPr>
        <w:pStyle w:val="72"/>
      </w:pPr>
      <w:r>
        <w:rPr>
          <w:rFonts w:hint="eastAsia"/>
        </w:rPr>
        <w:t>贯彻“达标排放”和“总量控制”原则，采取有效治理措施，使污染物排放达到国家和地方相应的排放标准；并根据当地总量控制要求，确定拟建工程总量控制方案和控制措施，提出总量控制指标建议。</w:t>
      </w:r>
    </w:p>
    <w:p w14:paraId="297B7599">
      <w:pPr>
        <w:pStyle w:val="72"/>
      </w:pPr>
      <w:r>
        <w:rPr>
          <w:rFonts w:hint="eastAsia"/>
        </w:rPr>
        <w:t>在评价工作中，全面收集评价区域已有资料，认真研究和分析自然环境、社会环境和环境质量现状资料的可靠性和时效性，充分利用其合理部分，避免不必要的重复工作，做到真实、客观、公正，结论明确。</w:t>
      </w:r>
    </w:p>
    <w:p w14:paraId="005B40EF">
      <w:pPr>
        <w:pStyle w:val="72"/>
      </w:pPr>
      <w:r>
        <w:rPr>
          <w:rFonts w:hint="eastAsia"/>
        </w:rPr>
        <w:t>从发展经济和保护环境的角度出发，提出可行的污染防治对策、措施和建议，做到环境效益、经济效益和社会效益的协调统一。</w:t>
      </w:r>
    </w:p>
    <w:p w14:paraId="47D6B5D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06" w:name="_Toc30152"/>
      <w:bookmarkStart w:id="107" w:name="_Toc51319846"/>
      <w:bookmarkStart w:id="108" w:name="_Toc25180"/>
      <w:r>
        <w:rPr>
          <w:rFonts w:hint="eastAsia" w:ascii="Times New Roman" w:hAnsi="Times New Roman" w:eastAsia="宋体" w:cs="Times New Roman"/>
          <w:lang w:val="en-US" w:eastAsia="zh-CN"/>
        </w:rPr>
        <w:t>2.3环境影响因子识别与筛选</w:t>
      </w:r>
      <w:bookmarkEnd w:id="101"/>
      <w:bookmarkEnd w:id="102"/>
      <w:bookmarkEnd w:id="103"/>
      <w:bookmarkEnd w:id="104"/>
      <w:bookmarkEnd w:id="106"/>
      <w:bookmarkEnd w:id="107"/>
      <w:bookmarkEnd w:id="108"/>
    </w:p>
    <w:p w14:paraId="130AC89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09" w:name="_Toc428287162"/>
      <w:bookmarkStart w:id="110" w:name="_Toc108122330"/>
      <w:bookmarkStart w:id="111" w:name="_Toc428287514"/>
      <w:bookmarkStart w:id="112" w:name="_Toc428286768"/>
      <w:r>
        <w:rPr>
          <w:rFonts w:hint="eastAsia" w:ascii="Times New Roman" w:hAnsi="Times New Roman" w:cs="Times New Roman"/>
          <w:lang w:val="en-US" w:eastAsia="zh-CN"/>
        </w:rPr>
        <w:t>2.3.1环境影响识别</w:t>
      </w:r>
      <w:bookmarkEnd w:id="109"/>
      <w:bookmarkEnd w:id="110"/>
      <w:bookmarkEnd w:id="111"/>
      <w:bookmarkEnd w:id="112"/>
    </w:p>
    <w:p w14:paraId="1FBEBFD2">
      <w:pPr>
        <w:pStyle w:val="72"/>
      </w:pPr>
      <w:r>
        <w:rPr>
          <w:rFonts w:hint="eastAsia"/>
        </w:rPr>
        <w:t>根据工程营运期产污情况分析以及评价区域环境质量现状，对工程环境影响因子进行识别，结果见下表。</w:t>
      </w:r>
    </w:p>
    <w:p w14:paraId="6328212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3B6AE24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6C100DF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354E2C8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2.3</w:t>
      </w:r>
      <w:r>
        <w:rPr>
          <w:rFonts w:hint="eastAsia"/>
        </w:rPr>
        <w:t>-1    环境影响因子识别表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47"/>
        <w:gridCol w:w="1177"/>
        <w:gridCol w:w="935"/>
        <w:gridCol w:w="1167"/>
        <w:gridCol w:w="1167"/>
        <w:gridCol w:w="728"/>
        <w:gridCol w:w="1363"/>
        <w:gridCol w:w="663"/>
        <w:gridCol w:w="681"/>
      </w:tblGrid>
      <w:tr w14:paraId="18224AA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70" w:type="pct"/>
            <w:gridSpan w:val="2"/>
            <w:vMerge w:val="restart"/>
            <w:tcBorders>
              <w:top w:val="single" w:color="auto" w:sz="8" w:space="0"/>
              <w:bottom w:val="single" w:color="auto" w:sz="4" w:space="0"/>
              <w:right w:val="single" w:color="auto" w:sz="4" w:space="0"/>
              <w:tl2br w:val="single" w:color="auto" w:sz="4" w:space="0"/>
            </w:tcBorders>
            <w:vAlign w:val="center"/>
          </w:tcPr>
          <w:p w14:paraId="130FAE89">
            <w:pPr>
              <w:pStyle w:val="81"/>
              <w:jc w:val="right"/>
              <w:rPr>
                <w:rFonts w:hint="eastAsia"/>
                <w:color w:val="auto"/>
              </w:rPr>
            </w:pPr>
            <w:r>
              <w:rPr>
                <w:rFonts w:hint="eastAsia"/>
                <w:color w:val="auto"/>
              </w:rPr>
              <w:t>影响因素</w:t>
            </w:r>
          </w:p>
          <w:p w14:paraId="4AD96AEA">
            <w:pPr>
              <w:pStyle w:val="81"/>
              <w:rPr>
                <w:rFonts w:hint="eastAsia"/>
                <w:color w:val="auto"/>
              </w:rPr>
            </w:pPr>
          </w:p>
          <w:p w14:paraId="5BA76FAC">
            <w:pPr>
              <w:pStyle w:val="81"/>
              <w:jc w:val="both"/>
              <w:rPr>
                <w:color w:val="auto"/>
              </w:rPr>
            </w:pPr>
            <w:r>
              <w:rPr>
                <w:rFonts w:hint="eastAsia"/>
                <w:color w:val="auto"/>
              </w:rPr>
              <w:t>类别</w:t>
            </w:r>
          </w:p>
        </w:tc>
        <w:tc>
          <w:tcPr>
            <w:tcW w:w="548" w:type="pct"/>
            <w:vMerge w:val="restart"/>
            <w:tcBorders>
              <w:top w:val="single" w:color="auto" w:sz="8" w:space="0"/>
              <w:left w:val="single" w:color="auto" w:sz="4" w:space="0"/>
              <w:bottom w:val="single" w:color="auto" w:sz="4" w:space="0"/>
              <w:right w:val="single" w:color="auto" w:sz="4" w:space="0"/>
            </w:tcBorders>
            <w:vAlign w:val="center"/>
          </w:tcPr>
          <w:p w14:paraId="4951262B">
            <w:pPr>
              <w:pStyle w:val="81"/>
              <w:rPr>
                <w:color w:val="auto"/>
              </w:rPr>
            </w:pPr>
            <w:r>
              <w:rPr>
                <w:rFonts w:hint="eastAsia"/>
                <w:color w:val="auto"/>
              </w:rPr>
              <w:t>施工期</w:t>
            </w:r>
          </w:p>
        </w:tc>
        <w:tc>
          <w:tcPr>
            <w:tcW w:w="3382" w:type="pct"/>
            <w:gridSpan w:val="6"/>
            <w:tcBorders>
              <w:top w:val="single" w:color="auto" w:sz="8" w:space="0"/>
              <w:left w:val="single" w:color="auto" w:sz="4" w:space="0"/>
              <w:bottom w:val="single" w:color="auto" w:sz="4" w:space="0"/>
            </w:tcBorders>
            <w:vAlign w:val="center"/>
          </w:tcPr>
          <w:p w14:paraId="4173F246">
            <w:pPr>
              <w:pStyle w:val="81"/>
              <w:rPr>
                <w:color w:val="auto"/>
              </w:rPr>
            </w:pPr>
            <w:r>
              <w:rPr>
                <w:rFonts w:hint="eastAsia"/>
                <w:color w:val="auto"/>
              </w:rPr>
              <w:t>运行期</w:t>
            </w:r>
          </w:p>
        </w:tc>
      </w:tr>
      <w:tr w14:paraId="0B717A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70" w:type="pct"/>
            <w:gridSpan w:val="2"/>
            <w:vMerge w:val="continue"/>
            <w:tcBorders>
              <w:top w:val="single" w:color="auto" w:sz="4" w:space="0"/>
              <w:bottom w:val="single" w:color="auto" w:sz="4" w:space="0"/>
              <w:right w:val="single" w:color="auto" w:sz="4" w:space="0"/>
            </w:tcBorders>
            <w:vAlign w:val="center"/>
          </w:tcPr>
          <w:p w14:paraId="76961592">
            <w:pPr>
              <w:pStyle w:val="81"/>
              <w:rPr>
                <w:color w:val="auto"/>
              </w:rPr>
            </w:pPr>
          </w:p>
        </w:tc>
        <w:tc>
          <w:tcPr>
            <w:tcW w:w="548" w:type="pct"/>
            <w:vMerge w:val="continue"/>
            <w:tcBorders>
              <w:top w:val="single" w:color="auto" w:sz="4" w:space="0"/>
              <w:left w:val="single" w:color="auto" w:sz="4" w:space="0"/>
              <w:bottom w:val="single" w:color="auto" w:sz="4" w:space="0"/>
              <w:right w:val="single" w:color="auto" w:sz="4" w:space="0"/>
            </w:tcBorders>
            <w:vAlign w:val="center"/>
          </w:tcPr>
          <w:p w14:paraId="76C67161">
            <w:pPr>
              <w:pStyle w:val="81"/>
              <w:rPr>
                <w:color w:val="auto"/>
              </w:rPr>
            </w:pPr>
          </w:p>
        </w:tc>
        <w:tc>
          <w:tcPr>
            <w:tcW w:w="684" w:type="pct"/>
            <w:tcBorders>
              <w:top w:val="single" w:color="auto" w:sz="4" w:space="0"/>
              <w:left w:val="single" w:color="auto" w:sz="4" w:space="0"/>
              <w:bottom w:val="single" w:color="auto" w:sz="4" w:space="0"/>
              <w:right w:val="single" w:color="auto" w:sz="4" w:space="0"/>
            </w:tcBorders>
            <w:vAlign w:val="center"/>
          </w:tcPr>
          <w:p w14:paraId="23BC81E2">
            <w:pPr>
              <w:pStyle w:val="81"/>
              <w:rPr>
                <w:color w:val="auto"/>
              </w:rPr>
            </w:pPr>
            <w:r>
              <w:rPr>
                <w:rFonts w:hint="eastAsia"/>
                <w:color w:val="auto"/>
              </w:rPr>
              <w:t>工程排水</w:t>
            </w:r>
          </w:p>
        </w:tc>
        <w:tc>
          <w:tcPr>
            <w:tcW w:w="684" w:type="pct"/>
            <w:tcBorders>
              <w:top w:val="single" w:color="auto" w:sz="4" w:space="0"/>
              <w:left w:val="single" w:color="auto" w:sz="4" w:space="0"/>
              <w:bottom w:val="single" w:color="auto" w:sz="4" w:space="0"/>
              <w:right w:val="single" w:color="auto" w:sz="4" w:space="0"/>
            </w:tcBorders>
            <w:vAlign w:val="center"/>
          </w:tcPr>
          <w:p w14:paraId="35F89372">
            <w:pPr>
              <w:pStyle w:val="81"/>
              <w:rPr>
                <w:color w:val="auto"/>
              </w:rPr>
            </w:pPr>
            <w:r>
              <w:rPr>
                <w:rFonts w:hint="eastAsia"/>
                <w:color w:val="auto"/>
              </w:rPr>
              <w:t>工程排气</w:t>
            </w:r>
          </w:p>
        </w:tc>
        <w:tc>
          <w:tcPr>
            <w:tcW w:w="427" w:type="pct"/>
            <w:tcBorders>
              <w:top w:val="single" w:color="auto" w:sz="4" w:space="0"/>
              <w:left w:val="single" w:color="auto" w:sz="4" w:space="0"/>
              <w:bottom w:val="single" w:color="auto" w:sz="4" w:space="0"/>
              <w:right w:val="single" w:color="auto" w:sz="4" w:space="0"/>
            </w:tcBorders>
            <w:vAlign w:val="center"/>
          </w:tcPr>
          <w:p w14:paraId="1C3D43F9">
            <w:pPr>
              <w:pStyle w:val="81"/>
              <w:rPr>
                <w:color w:val="auto"/>
              </w:rPr>
            </w:pPr>
            <w:r>
              <w:rPr>
                <w:rFonts w:hint="eastAsia"/>
                <w:color w:val="auto"/>
              </w:rPr>
              <w:t>固废</w:t>
            </w:r>
          </w:p>
        </w:tc>
        <w:tc>
          <w:tcPr>
            <w:tcW w:w="799" w:type="pct"/>
            <w:tcBorders>
              <w:top w:val="single" w:color="auto" w:sz="4" w:space="0"/>
              <w:left w:val="single" w:color="auto" w:sz="4" w:space="0"/>
              <w:bottom w:val="single" w:color="auto" w:sz="4" w:space="0"/>
              <w:right w:val="single" w:color="auto" w:sz="4" w:space="0"/>
            </w:tcBorders>
            <w:vAlign w:val="center"/>
          </w:tcPr>
          <w:p w14:paraId="75656CD6">
            <w:pPr>
              <w:pStyle w:val="81"/>
              <w:rPr>
                <w:color w:val="auto"/>
              </w:rPr>
            </w:pPr>
            <w:r>
              <w:rPr>
                <w:rFonts w:hint="eastAsia"/>
                <w:color w:val="auto"/>
              </w:rPr>
              <w:t>噪声及振动</w:t>
            </w:r>
          </w:p>
        </w:tc>
        <w:tc>
          <w:tcPr>
            <w:tcW w:w="389" w:type="pct"/>
            <w:tcBorders>
              <w:top w:val="single" w:color="auto" w:sz="4" w:space="0"/>
              <w:left w:val="single" w:color="auto" w:sz="4" w:space="0"/>
              <w:bottom w:val="single" w:color="auto" w:sz="4" w:space="0"/>
              <w:right w:val="single" w:color="auto" w:sz="4" w:space="0"/>
            </w:tcBorders>
            <w:vAlign w:val="center"/>
          </w:tcPr>
          <w:p w14:paraId="4F0D5596">
            <w:pPr>
              <w:pStyle w:val="81"/>
              <w:rPr>
                <w:color w:val="auto"/>
              </w:rPr>
            </w:pPr>
            <w:r>
              <w:rPr>
                <w:rFonts w:hint="eastAsia"/>
                <w:color w:val="auto"/>
              </w:rPr>
              <w:t>运输</w:t>
            </w:r>
          </w:p>
        </w:tc>
        <w:tc>
          <w:tcPr>
            <w:tcW w:w="399" w:type="pct"/>
            <w:tcBorders>
              <w:top w:val="single" w:color="auto" w:sz="4" w:space="0"/>
              <w:left w:val="single" w:color="auto" w:sz="4" w:space="0"/>
              <w:bottom w:val="single" w:color="auto" w:sz="4" w:space="0"/>
            </w:tcBorders>
            <w:vAlign w:val="center"/>
          </w:tcPr>
          <w:p w14:paraId="4D994178">
            <w:pPr>
              <w:pStyle w:val="81"/>
              <w:rPr>
                <w:color w:val="auto"/>
              </w:rPr>
            </w:pPr>
            <w:r>
              <w:rPr>
                <w:rFonts w:hint="eastAsia"/>
                <w:color w:val="auto"/>
              </w:rPr>
              <w:t>效益</w:t>
            </w:r>
          </w:p>
        </w:tc>
      </w:tr>
      <w:tr w14:paraId="5A102C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restart"/>
            <w:tcBorders>
              <w:top w:val="single" w:color="auto" w:sz="4" w:space="0"/>
              <w:bottom w:val="single" w:color="auto" w:sz="4" w:space="0"/>
              <w:right w:val="single" w:color="auto" w:sz="4" w:space="0"/>
            </w:tcBorders>
            <w:vAlign w:val="center"/>
          </w:tcPr>
          <w:p w14:paraId="1B792FE7">
            <w:pPr>
              <w:pStyle w:val="75"/>
            </w:pPr>
            <w:r>
              <w:rPr>
                <w:rFonts w:hint="eastAsia"/>
              </w:rPr>
              <w:t>自然生态环境</w:t>
            </w:r>
          </w:p>
        </w:tc>
        <w:tc>
          <w:tcPr>
            <w:tcW w:w="690" w:type="pct"/>
            <w:tcBorders>
              <w:top w:val="single" w:color="auto" w:sz="4" w:space="0"/>
              <w:left w:val="single" w:color="auto" w:sz="4" w:space="0"/>
              <w:bottom w:val="single" w:color="auto" w:sz="4" w:space="0"/>
              <w:right w:val="single" w:color="auto" w:sz="4" w:space="0"/>
            </w:tcBorders>
            <w:vAlign w:val="center"/>
          </w:tcPr>
          <w:p w14:paraId="132F6F1D">
            <w:pPr>
              <w:pStyle w:val="75"/>
              <w:rPr>
                <w:highlight w:val="yellow"/>
              </w:rPr>
            </w:pPr>
            <w:r>
              <w:rPr>
                <w:rFonts w:hint="eastAsia"/>
              </w:rPr>
              <w:t>地表水</w:t>
            </w:r>
          </w:p>
        </w:tc>
        <w:tc>
          <w:tcPr>
            <w:tcW w:w="548" w:type="pct"/>
            <w:tcBorders>
              <w:top w:val="single" w:color="auto" w:sz="4" w:space="0"/>
              <w:left w:val="single" w:color="auto" w:sz="4" w:space="0"/>
              <w:bottom w:val="single" w:color="auto" w:sz="4" w:space="0"/>
              <w:right w:val="single" w:color="auto" w:sz="4" w:space="0"/>
            </w:tcBorders>
            <w:vAlign w:val="center"/>
          </w:tcPr>
          <w:p w14:paraId="1DC655DF">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619D89B9">
            <w:pPr>
              <w:pStyle w:val="75"/>
              <w:rPr>
                <w:highlight w:val="yellow"/>
              </w:rPr>
            </w:pPr>
            <w:r>
              <w:rPr>
                <w:rFonts w:hint="eastAsia"/>
              </w:rPr>
              <w:t>-1LP</w:t>
            </w:r>
          </w:p>
        </w:tc>
        <w:tc>
          <w:tcPr>
            <w:tcW w:w="684" w:type="pct"/>
            <w:tcBorders>
              <w:top w:val="single" w:color="auto" w:sz="4" w:space="0"/>
              <w:left w:val="single" w:color="auto" w:sz="4" w:space="0"/>
              <w:bottom w:val="single" w:color="auto" w:sz="4" w:space="0"/>
              <w:right w:val="single" w:color="auto" w:sz="4" w:space="0"/>
            </w:tcBorders>
            <w:vAlign w:val="center"/>
          </w:tcPr>
          <w:p w14:paraId="5CD9178A">
            <w:pPr>
              <w:pStyle w:val="75"/>
              <w:rPr>
                <w:highlight w:val="yellow"/>
              </w:rPr>
            </w:pPr>
          </w:p>
        </w:tc>
        <w:tc>
          <w:tcPr>
            <w:tcW w:w="427" w:type="pct"/>
            <w:tcBorders>
              <w:top w:val="single" w:color="auto" w:sz="4" w:space="0"/>
              <w:left w:val="single" w:color="auto" w:sz="4" w:space="0"/>
              <w:bottom w:val="single" w:color="auto" w:sz="4" w:space="0"/>
              <w:right w:val="single" w:color="auto" w:sz="4" w:space="0"/>
            </w:tcBorders>
            <w:vAlign w:val="center"/>
          </w:tcPr>
          <w:p w14:paraId="0F68E692">
            <w:pPr>
              <w:pStyle w:val="75"/>
              <w:rPr>
                <w:highlight w:val="yellow"/>
              </w:rPr>
            </w:pPr>
          </w:p>
        </w:tc>
        <w:tc>
          <w:tcPr>
            <w:tcW w:w="799" w:type="pct"/>
            <w:tcBorders>
              <w:top w:val="single" w:color="auto" w:sz="4" w:space="0"/>
              <w:left w:val="single" w:color="auto" w:sz="4" w:space="0"/>
              <w:bottom w:val="single" w:color="auto" w:sz="4" w:space="0"/>
              <w:right w:val="single" w:color="auto" w:sz="4" w:space="0"/>
            </w:tcBorders>
            <w:vAlign w:val="center"/>
          </w:tcPr>
          <w:p w14:paraId="466235EC">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40BB7221">
            <w:pPr>
              <w:pStyle w:val="75"/>
              <w:rPr>
                <w:highlight w:val="yellow"/>
              </w:rPr>
            </w:pPr>
          </w:p>
        </w:tc>
        <w:tc>
          <w:tcPr>
            <w:tcW w:w="399" w:type="pct"/>
            <w:tcBorders>
              <w:top w:val="single" w:color="auto" w:sz="4" w:space="0"/>
              <w:left w:val="single" w:color="auto" w:sz="4" w:space="0"/>
              <w:bottom w:val="single" w:color="auto" w:sz="4" w:space="0"/>
            </w:tcBorders>
            <w:vAlign w:val="center"/>
          </w:tcPr>
          <w:p w14:paraId="72163C32">
            <w:pPr>
              <w:pStyle w:val="75"/>
              <w:rPr>
                <w:highlight w:val="yellow"/>
              </w:rPr>
            </w:pPr>
          </w:p>
        </w:tc>
      </w:tr>
      <w:tr w14:paraId="5B210E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398F7D1C">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50BF69D9">
            <w:pPr>
              <w:pStyle w:val="75"/>
            </w:pPr>
            <w:r>
              <w:rPr>
                <w:rFonts w:hint="eastAsia"/>
              </w:rPr>
              <w:t>地下水</w:t>
            </w:r>
          </w:p>
        </w:tc>
        <w:tc>
          <w:tcPr>
            <w:tcW w:w="548" w:type="pct"/>
            <w:tcBorders>
              <w:top w:val="single" w:color="auto" w:sz="4" w:space="0"/>
              <w:left w:val="single" w:color="auto" w:sz="4" w:space="0"/>
              <w:bottom w:val="single" w:color="auto" w:sz="4" w:space="0"/>
              <w:right w:val="single" w:color="auto" w:sz="4" w:space="0"/>
            </w:tcBorders>
            <w:vAlign w:val="center"/>
          </w:tcPr>
          <w:p w14:paraId="5A4C7908">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2C5BE907">
            <w:pPr>
              <w:pStyle w:val="75"/>
              <w:rPr>
                <w:highlight w:val="yellow"/>
              </w:rPr>
            </w:pPr>
            <w:r>
              <w:rPr>
                <w:rFonts w:hint="eastAsia"/>
              </w:rPr>
              <w:t>-1LP</w:t>
            </w:r>
          </w:p>
        </w:tc>
        <w:tc>
          <w:tcPr>
            <w:tcW w:w="684" w:type="pct"/>
            <w:tcBorders>
              <w:top w:val="single" w:color="auto" w:sz="4" w:space="0"/>
              <w:left w:val="single" w:color="auto" w:sz="4" w:space="0"/>
              <w:bottom w:val="single" w:color="auto" w:sz="4" w:space="0"/>
              <w:right w:val="single" w:color="auto" w:sz="4" w:space="0"/>
            </w:tcBorders>
            <w:vAlign w:val="center"/>
          </w:tcPr>
          <w:p w14:paraId="42CC0185">
            <w:pPr>
              <w:pStyle w:val="75"/>
              <w:rPr>
                <w:highlight w:val="yellow"/>
              </w:rPr>
            </w:pPr>
          </w:p>
        </w:tc>
        <w:tc>
          <w:tcPr>
            <w:tcW w:w="427" w:type="pct"/>
            <w:tcBorders>
              <w:top w:val="single" w:color="auto" w:sz="4" w:space="0"/>
              <w:left w:val="single" w:color="auto" w:sz="4" w:space="0"/>
              <w:bottom w:val="single" w:color="auto" w:sz="4" w:space="0"/>
              <w:right w:val="single" w:color="auto" w:sz="4" w:space="0"/>
            </w:tcBorders>
            <w:vAlign w:val="center"/>
          </w:tcPr>
          <w:p w14:paraId="27632E73">
            <w:pPr>
              <w:pStyle w:val="75"/>
              <w:rPr>
                <w:highlight w:val="yellow"/>
              </w:rPr>
            </w:pPr>
            <w:r>
              <w:rPr>
                <w:rFonts w:hint="eastAsia"/>
              </w:rPr>
              <w:t>-1</w:t>
            </w:r>
            <w:r>
              <w:t>LP</w:t>
            </w:r>
          </w:p>
        </w:tc>
        <w:tc>
          <w:tcPr>
            <w:tcW w:w="799" w:type="pct"/>
            <w:tcBorders>
              <w:top w:val="single" w:color="auto" w:sz="4" w:space="0"/>
              <w:left w:val="single" w:color="auto" w:sz="4" w:space="0"/>
              <w:bottom w:val="single" w:color="auto" w:sz="4" w:space="0"/>
              <w:right w:val="single" w:color="auto" w:sz="4" w:space="0"/>
            </w:tcBorders>
            <w:vAlign w:val="center"/>
          </w:tcPr>
          <w:p w14:paraId="22F9B12B">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600E8BB8">
            <w:pPr>
              <w:pStyle w:val="75"/>
              <w:rPr>
                <w:highlight w:val="yellow"/>
              </w:rPr>
            </w:pPr>
          </w:p>
        </w:tc>
        <w:tc>
          <w:tcPr>
            <w:tcW w:w="399" w:type="pct"/>
            <w:tcBorders>
              <w:top w:val="single" w:color="auto" w:sz="4" w:space="0"/>
              <w:left w:val="single" w:color="auto" w:sz="4" w:space="0"/>
              <w:bottom w:val="single" w:color="auto" w:sz="4" w:space="0"/>
            </w:tcBorders>
            <w:vAlign w:val="center"/>
          </w:tcPr>
          <w:p w14:paraId="29130E87">
            <w:pPr>
              <w:pStyle w:val="75"/>
              <w:rPr>
                <w:highlight w:val="yellow"/>
              </w:rPr>
            </w:pPr>
          </w:p>
        </w:tc>
      </w:tr>
      <w:tr w14:paraId="6849BE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1E272370">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5E873C4E">
            <w:pPr>
              <w:pStyle w:val="75"/>
            </w:pPr>
            <w:r>
              <w:rPr>
                <w:rFonts w:hint="eastAsia"/>
              </w:rPr>
              <w:t>大气环境</w:t>
            </w:r>
          </w:p>
        </w:tc>
        <w:tc>
          <w:tcPr>
            <w:tcW w:w="548" w:type="pct"/>
            <w:tcBorders>
              <w:top w:val="single" w:color="auto" w:sz="4" w:space="0"/>
              <w:left w:val="single" w:color="auto" w:sz="4" w:space="0"/>
              <w:bottom w:val="single" w:color="auto" w:sz="4" w:space="0"/>
              <w:right w:val="single" w:color="auto" w:sz="4" w:space="0"/>
            </w:tcBorders>
            <w:vAlign w:val="center"/>
          </w:tcPr>
          <w:p w14:paraId="05215428">
            <w:pPr>
              <w:pStyle w:val="75"/>
              <w:rPr>
                <w:highlight w:val="yellow"/>
              </w:rPr>
            </w:pPr>
            <w:r>
              <w:rPr>
                <w:rFonts w:hint="eastAsia"/>
              </w:rPr>
              <w:t>-1</w:t>
            </w:r>
            <w:r>
              <w:t>SP</w:t>
            </w:r>
          </w:p>
        </w:tc>
        <w:tc>
          <w:tcPr>
            <w:tcW w:w="684" w:type="pct"/>
            <w:tcBorders>
              <w:top w:val="single" w:color="auto" w:sz="4" w:space="0"/>
              <w:left w:val="single" w:color="auto" w:sz="4" w:space="0"/>
              <w:bottom w:val="single" w:color="auto" w:sz="4" w:space="0"/>
              <w:right w:val="single" w:color="auto" w:sz="4" w:space="0"/>
            </w:tcBorders>
            <w:vAlign w:val="center"/>
          </w:tcPr>
          <w:p w14:paraId="033C1A25">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6AA63182">
            <w:pPr>
              <w:pStyle w:val="75"/>
            </w:pPr>
            <w:r>
              <w:rPr>
                <w:rFonts w:hint="eastAsia"/>
              </w:rPr>
              <w:t>-1LP</w:t>
            </w:r>
          </w:p>
        </w:tc>
        <w:tc>
          <w:tcPr>
            <w:tcW w:w="427" w:type="pct"/>
            <w:tcBorders>
              <w:top w:val="single" w:color="auto" w:sz="4" w:space="0"/>
              <w:left w:val="single" w:color="auto" w:sz="4" w:space="0"/>
              <w:bottom w:val="single" w:color="auto" w:sz="4" w:space="0"/>
              <w:right w:val="single" w:color="auto" w:sz="4" w:space="0"/>
            </w:tcBorders>
            <w:vAlign w:val="center"/>
          </w:tcPr>
          <w:p w14:paraId="04C64429">
            <w:pPr>
              <w:pStyle w:val="75"/>
              <w:rPr>
                <w:highlight w:val="yellow"/>
              </w:rPr>
            </w:pPr>
          </w:p>
        </w:tc>
        <w:tc>
          <w:tcPr>
            <w:tcW w:w="799" w:type="pct"/>
            <w:tcBorders>
              <w:top w:val="single" w:color="auto" w:sz="4" w:space="0"/>
              <w:left w:val="single" w:color="auto" w:sz="4" w:space="0"/>
              <w:bottom w:val="single" w:color="auto" w:sz="4" w:space="0"/>
              <w:right w:val="single" w:color="auto" w:sz="4" w:space="0"/>
            </w:tcBorders>
            <w:vAlign w:val="center"/>
          </w:tcPr>
          <w:p w14:paraId="45319D01">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1B610D7A">
            <w:pPr>
              <w:pStyle w:val="75"/>
            </w:pPr>
            <w:r>
              <w:rPr>
                <w:rFonts w:hint="eastAsia"/>
              </w:rPr>
              <w:t>-1LP</w:t>
            </w:r>
          </w:p>
        </w:tc>
        <w:tc>
          <w:tcPr>
            <w:tcW w:w="399" w:type="pct"/>
            <w:tcBorders>
              <w:top w:val="single" w:color="auto" w:sz="4" w:space="0"/>
              <w:left w:val="single" w:color="auto" w:sz="4" w:space="0"/>
              <w:bottom w:val="single" w:color="auto" w:sz="4" w:space="0"/>
            </w:tcBorders>
            <w:vAlign w:val="center"/>
          </w:tcPr>
          <w:p w14:paraId="754EBA30">
            <w:pPr>
              <w:pStyle w:val="75"/>
              <w:rPr>
                <w:highlight w:val="yellow"/>
              </w:rPr>
            </w:pPr>
          </w:p>
        </w:tc>
      </w:tr>
      <w:tr w14:paraId="09FD6AD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701CE552">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1F9671ED">
            <w:pPr>
              <w:pStyle w:val="75"/>
            </w:pPr>
            <w:r>
              <w:rPr>
                <w:rFonts w:hint="eastAsia"/>
              </w:rPr>
              <w:t>声环境</w:t>
            </w:r>
          </w:p>
        </w:tc>
        <w:tc>
          <w:tcPr>
            <w:tcW w:w="548" w:type="pct"/>
            <w:tcBorders>
              <w:top w:val="single" w:color="auto" w:sz="4" w:space="0"/>
              <w:left w:val="single" w:color="auto" w:sz="4" w:space="0"/>
              <w:bottom w:val="single" w:color="auto" w:sz="4" w:space="0"/>
              <w:right w:val="single" w:color="auto" w:sz="4" w:space="0"/>
            </w:tcBorders>
            <w:vAlign w:val="center"/>
          </w:tcPr>
          <w:p w14:paraId="699D63BE">
            <w:pPr>
              <w:pStyle w:val="75"/>
              <w:rPr>
                <w:highlight w:val="yellow"/>
              </w:rPr>
            </w:pPr>
            <w:r>
              <w:rPr>
                <w:rFonts w:hint="eastAsia"/>
              </w:rPr>
              <w:t>-1</w:t>
            </w:r>
            <w:r>
              <w:t>SP</w:t>
            </w:r>
          </w:p>
        </w:tc>
        <w:tc>
          <w:tcPr>
            <w:tcW w:w="684" w:type="pct"/>
            <w:tcBorders>
              <w:top w:val="single" w:color="auto" w:sz="4" w:space="0"/>
              <w:left w:val="single" w:color="auto" w:sz="4" w:space="0"/>
              <w:bottom w:val="single" w:color="auto" w:sz="4" w:space="0"/>
              <w:right w:val="single" w:color="auto" w:sz="4" w:space="0"/>
            </w:tcBorders>
            <w:vAlign w:val="center"/>
          </w:tcPr>
          <w:p w14:paraId="725EDBF6">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56085746">
            <w:pPr>
              <w:pStyle w:val="75"/>
            </w:pPr>
          </w:p>
        </w:tc>
        <w:tc>
          <w:tcPr>
            <w:tcW w:w="427" w:type="pct"/>
            <w:tcBorders>
              <w:top w:val="single" w:color="auto" w:sz="4" w:space="0"/>
              <w:left w:val="single" w:color="auto" w:sz="4" w:space="0"/>
              <w:bottom w:val="single" w:color="auto" w:sz="4" w:space="0"/>
              <w:right w:val="single" w:color="auto" w:sz="4" w:space="0"/>
            </w:tcBorders>
            <w:vAlign w:val="center"/>
          </w:tcPr>
          <w:p w14:paraId="1908FDCF">
            <w:pPr>
              <w:pStyle w:val="75"/>
              <w:rPr>
                <w:highlight w:val="yellow"/>
              </w:rPr>
            </w:pPr>
          </w:p>
        </w:tc>
        <w:tc>
          <w:tcPr>
            <w:tcW w:w="799" w:type="pct"/>
            <w:tcBorders>
              <w:top w:val="single" w:color="auto" w:sz="4" w:space="0"/>
              <w:left w:val="single" w:color="auto" w:sz="4" w:space="0"/>
              <w:bottom w:val="single" w:color="auto" w:sz="4" w:space="0"/>
              <w:right w:val="single" w:color="auto" w:sz="4" w:space="0"/>
            </w:tcBorders>
            <w:vAlign w:val="center"/>
          </w:tcPr>
          <w:p w14:paraId="08FDBED3">
            <w:pPr>
              <w:pStyle w:val="75"/>
              <w:rPr>
                <w:highlight w:val="yellow"/>
              </w:rPr>
            </w:pPr>
            <w:r>
              <w:rPr>
                <w:rFonts w:hint="eastAsia"/>
              </w:rPr>
              <w:t>-1LP</w:t>
            </w:r>
          </w:p>
        </w:tc>
        <w:tc>
          <w:tcPr>
            <w:tcW w:w="389" w:type="pct"/>
            <w:tcBorders>
              <w:top w:val="single" w:color="auto" w:sz="4" w:space="0"/>
              <w:left w:val="single" w:color="auto" w:sz="4" w:space="0"/>
              <w:bottom w:val="single" w:color="auto" w:sz="4" w:space="0"/>
              <w:right w:val="single" w:color="auto" w:sz="4" w:space="0"/>
            </w:tcBorders>
            <w:vAlign w:val="center"/>
          </w:tcPr>
          <w:p w14:paraId="098E6937">
            <w:pPr>
              <w:pStyle w:val="75"/>
            </w:pPr>
            <w:r>
              <w:rPr>
                <w:rFonts w:hint="eastAsia"/>
              </w:rPr>
              <w:t>-1LP</w:t>
            </w:r>
          </w:p>
        </w:tc>
        <w:tc>
          <w:tcPr>
            <w:tcW w:w="399" w:type="pct"/>
            <w:tcBorders>
              <w:top w:val="single" w:color="auto" w:sz="4" w:space="0"/>
              <w:left w:val="single" w:color="auto" w:sz="4" w:space="0"/>
              <w:bottom w:val="single" w:color="auto" w:sz="4" w:space="0"/>
            </w:tcBorders>
            <w:vAlign w:val="center"/>
          </w:tcPr>
          <w:p w14:paraId="37671E2D">
            <w:pPr>
              <w:pStyle w:val="75"/>
              <w:rPr>
                <w:highlight w:val="yellow"/>
              </w:rPr>
            </w:pPr>
          </w:p>
        </w:tc>
      </w:tr>
      <w:tr w14:paraId="2A459EA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59F92A79">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46DF58C5">
            <w:pPr>
              <w:pStyle w:val="75"/>
            </w:pPr>
            <w:r>
              <w:rPr>
                <w:rFonts w:hint="eastAsia"/>
              </w:rPr>
              <w:t>地表</w:t>
            </w:r>
          </w:p>
        </w:tc>
        <w:tc>
          <w:tcPr>
            <w:tcW w:w="548" w:type="pct"/>
            <w:tcBorders>
              <w:top w:val="single" w:color="auto" w:sz="4" w:space="0"/>
              <w:left w:val="single" w:color="auto" w:sz="4" w:space="0"/>
              <w:bottom w:val="single" w:color="auto" w:sz="4" w:space="0"/>
              <w:right w:val="single" w:color="auto" w:sz="4" w:space="0"/>
            </w:tcBorders>
            <w:vAlign w:val="center"/>
          </w:tcPr>
          <w:p w14:paraId="015D5E3A">
            <w:pPr>
              <w:pStyle w:val="75"/>
              <w:rPr>
                <w:highlight w:val="yellow"/>
              </w:rPr>
            </w:pPr>
            <w:r>
              <w:rPr>
                <w:rFonts w:hint="eastAsia"/>
              </w:rPr>
              <w:t>-1</w:t>
            </w:r>
            <w:r>
              <w:t>SP</w:t>
            </w:r>
          </w:p>
        </w:tc>
        <w:tc>
          <w:tcPr>
            <w:tcW w:w="684" w:type="pct"/>
            <w:tcBorders>
              <w:top w:val="single" w:color="auto" w:sz="4" w:space="0"/>
              <w:left w:val="single" w:color="auto" w:sz="4" w:space="0"/>
              <w:bottom w:val="single" w:color="auto" w:sz="4" w:space="0"/>
              <w:right w:val="single" w:color="auto" w:sz="4" w:space="0"/>
            </w:tcBorders>
            <w:vAlign w:val="center"/>
          </w:tcPr>
          <w:p w14:paraId="19DE29E4">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75F496AE">
            <w:pPr>
              <w:pStyle w:val="75"/>
            </w:pPr>
          </w:p>
        </w:tc>
        <w:tc>
          <w:tcPr>
            <w:tcW w:w="427" w:type="pct"/>
            <w:tcBorders>
              <w:top w:val="single" w:color="auto" w:sz="4" w:space="0"/>
              <w:left w:val="single" w:color="auto" w:sz="4" w:space="0"/>
              <w:bottom w:val="single" w:color="auto" w:sz="4" w:space="0"/>
              <w:right w:val="single" w:color="auto" w:sz="4" w:space="0"/>
            </w:tcBorders>
            <w:vAlign w:val="center"/>
          </w:tcPr>
          <w:p w14:paraId="43459995">
            <w:pPr>
              <w:pStyle w:val="75"/>
              <w:rPr>
                <w:highlight w:val="yellow"/>
              </w:rPr>
            </w:pPr>
            <w:r>
              <w:rPr>
                <w:rFonts w:hint="eastAsia"/>
              </w:rPr>
              <w:t>-1</w:t>
            </w:r>
            <w:r>
              <w:t>LP</w:t>
            </w:r>
          </w:p>
        </w:tc>
        <w:tc>
          <w:tcPr>
            <w:tcW w:w="799" w:type="pct"/>
            <w:tcBorders>
              <w:top w:val="single" w:color="auto" w:sz="4" w:space="0"/>
              <w:left w:val="single" w:color="auto" w:sz="4" w:space="0"/>
              <w:bottom w:val="single" w:color="auto" w:sz="4" w:space="0"/>
              <w:right w:val="single" w:color="auto" w:sz="4" w:space="0"/>
            </w:tcBorders>
            <w:vAlign w:val="center"/>
          </w:tcPr>
          <w:p w14:paraId="6021BE9F">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099ABD45">
            <w:pPr>
              <w:pStyle w:val="75"/>
              <w:rPr>
                <w:highlight w:val="yellow"/>
              </w:rPr>
            </w:pPr>
          </w:p>
        </w:tc>
        <w:tc>
          <w:tcPr>
            <w:tcW w:w="399" w:type="pct"/>
            <w:tcBorders>
              <w:top w:val="single" w:color="auto" w:sz="4" w:space="0"/>
              <w:left w:val="single" w:color="auto" w:sz="4" w:space="0"/>
              <w:bottom w:val="single" w:color="auto" w:sz="4" w:space="0"/>
            </w:tcBorders>
            <w:vAlign w:val="center"/>
          </w:tcPr>
          <w:p w14:paraId="105BBBF0">
            <w:pPr>
              <w:pStyle w:val="75"/>
              <w:rPr>
                <w:highlight w:val="yellow"/>
              </w:rPr>
            </w:pPr>
          </w:p>
        </w:tc>
      </w:tr>
      <w:tr w14:paraId="3BABD0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4BE577C4">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3D306C06">
            <w:pPr>
              <w:pStyle w:val="75"/>
            </w:pPr>
            <w:r>
              <w:rPr>
                <w:rFonts w:hint="eastAsia"/>
              </w:rPr>
              <w:t>土壤</w:t>
            </w:r>
          </w:p>
        </w:tc>
        <w:tc>
          <w:tcPr>
            <w:tcW w:w="548" w:type="pct"/>
            <w:tcBorders>
              <w:top w:val="single" w:color="auto" w:sz="4" w:space="0"/>
              <w:left w:val="single" w:color="auto" w:sz="4" w:space="0"/>
              <w:bottom w:val="single" w:color="auto" w:sz="4" w:space="0"/>
              <w:right w:val="single" w:color="auto" w:sz="4" w:space="0"/>
            </w:tcBorders>
            <w:vAlign w:val="center"/>
          </w:tcPr>
          <w:p w14:paraId="05AD0982">
            <w:pPr>
              <w:pStyle w:val="75"/>
              <w:rPr>
                <w:highlight w:val="yellow"/>
              </w:rPr>
            </w:pPr>
            <w:r>
              <w:rPr>
                <w:rFonts w:hint="eastAsia"/>
              </w:rPr>
              <w:t>-1</w:t>
            </w:r>
            <w:r>
              <w:t>SP</w:t>
            </w:r>
          </w:p>
        </w:tc>
        <w:tc>
          <w:tcPr>
            <w:tcW w:w="684" w:type="pct"/>
            <w:tcBorders>
              <w:top w:val="single" w:color="auto" w:sz="4" w:space="0"/>
              <w:left w:val="single" w:color="auto" w:sz="4" w:space="0"/>
              <w:bottom w:val="single" w:color="auto" w:sz="4" w:space="0"/>
              <w:right w:val="single" w:color="auto" w:sz="4" w:space="0"/>
            </w:tcBorders>
            <w:vAlign w:val="center"/>
          </w:tcPr>
          <w:p w14:paraId="5F63C3DA">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5A528635">
            <w:pPr>
              <w:pStyle w:val="75"/>
            </w:pPr>
            <w:r>
              <w:rPr>
                <w:rFonts w:hint="eastAsia"/>
              </w:rPr>
              <w:t>-1LP</w:t>
            </w:r>
          </w:p>
        </w:tc>
        <w:tc>
          <w:tcPr>
            <w:tcW w:w="427" w:type="pct"/>
            <w:tcBorders>
              <w:top w:val="single" w:color="auto" w:sz="4" w:space="0"/>
              <w:left w:val="single" w:color="auto" w:sz="4" w:space="0"/>
              <w:bottom w:val="single" w:color="auto" w:sz="4" w:space="0"/>
              <w:right w:val="single" w:color="auto" w:sz="4" w:space="0"/>
            </w:tcBorders>
            <w:vAlign w:val="center"/>
          </w:tcPr>
          <w:p w14:paraId="2AF3921F">
            <w:pPr>
              <w:pStyle w:val="75"/>
              <w:rPr>
                <w:highlight w:val="yellow"/>
              </w:rPr>
            </w:pPr>
            <w:r>
              <w:rPr>
                <w:rFonts w:hint="eastAsia"/>
              </w:rPr>
              <w:t>-1</w:t>
            </w:r>
            <w:r>
              <w:t>LP</w:t>
            </w:r>
          </w:p>
        </w:tc>
        <w:tc>
          <w:tcPr>
            <w:tcW w:w="799" w:type="pct"/>
            <w:tcBorders>
              <w:top w:val="single" w:color="auto" w:sz="4" w:space="0"/>
              <w:left w:val="single" w:color="auto" w:sz="4" w:space="0"/>
              <w:bottom w:val="single" w:color="auto" w:sz="4" w:space="0"/>
              <w:right w:val="single" w:color="auto" w:sz="4" w:space="0"/>
            </w:tcBorders>
            <w:vAlign w:val="center"/>
          </w:tcPr>
          <w:p w14:paraId="5D397432">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002B8034">
            <w:pPr>
              <w:pStyle w:val="75"/>
              <w:rPr>
                <w:highlight w:val="yellow"/>
              </w:rPr>
            </w:pPr>
          </w:p>
        </w:tc>
        <w:tc>
          <w:tcPr>
            <w:tcW w:w="399" w:type="pct"/>
            <w:tcBorders>
              <w:top w:val="single" w:color="auto" w:sz="4" w:space="0"/>
              <w:left w:val="single" w:color="auto" w:sz="4" w:space="0"/>
              <w:bottom w:val="single" w:color="auto" w:sz="4" w:space="0"/>
            </w:tcBorders>
            <w:vAlign w:val="center"/>
          </w:tcPr>
          <w:p w14:paraId="1FE1FCCC">
            <w:pPr>
              <w:pStyle w:val="75"/>
              <w:rPr>
                <w:highlight w:val="yellow"/>
              </w:rPr>
            </w:pPr>
          </w:p>
        </w:tc>
      </w:tr>
      <w:tr w14:paraId="3D0DE5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0" w:type="pct"/>
            <w:vMerge w:val="continue"/>
            <w:tcBorders>
              <w:top w:val="single" w:color="auto" w:sz="4" w:space="0"/>
              <w:bottom w:val="single" w:color="auto" w:sz="4" w:space="0"/>
              <w:right w:val="single" w:color="auto" w:sz="4" w:space="0"/>
            </w:tcBorders>
            <w:vAlign w:val="center"/>
          </w:tcPr>
          <w:p w14:paraId="496C095C">
            <w:pPr>
              <w:pStyle w:val="75"/>
            </w:pPr>
          </w:p>
        </w:tc>
        <w:tc>
          <w:tcPr>
            <w:tcW w:w="690" w:type="pct"/>
            <w:tcBorders>
              <w:top w:val="single" w:color="auto" w:sz="4" w:space="0"/>
              <w:left w:val="single" w:color="auto" w:sz="4" w:space="0"/>
              <w:bottom w:val="single" w:color="auto" w:sz="4" w:space="0"/>
              <w:right w:val="single" w:color="auto" w:sz="4" w:space="0"/>
            </w:tcBorders>
            <w:vAlign w:val="center"/>
          </w:tcPr>
          <w:p w14:paraId="50AFF659">
            <w:pPr>
              <w:pStyle w:val="75"/>
            </w:pPr>
            <w:r>
              <w:rPr>
                <w:rFonts w:hint="eastAsia"/>
              </w:rPr>
              <w:t>植被</w:t>
            </w:r>
          </w:p>
        </w:tc>
        <w:tc>
          <w:tcPr>
            <w:tcW w:w="548" w:type="pct"/>
            <w:tcBorders>
              <w:top w:val="single" w:color="auto" w:sz="4" w:space="0"/>
              <w:left w:val="single" w:color="auto" w:sz="4" w:space="0"/>
              <w:bottom w:val="single" w:color="auto" w:sz="4" w:space="0"/>
              <w:right w:val="single" w:color="auto" w:sz="4" w:space="0"/>
            </w:tcBorders>
            <w:vAlign w:val="center"/>
          </w:tcPr>
          <w:p w14:paraId="098A8BB4">
            <w:pPr>
              <w:pStyle w:val="75"/>
              <w:rPr>
                <w:highlight w:val="yellow"/>
              </w:rPr>
            </w:pPr>
          </w:p>
        </w:tc>
        <w:tc>
          <w:tcPr>
            <w:tcW w:w="684" w:type="pct"/>
            <w:tcBorders>
              <w:top w:val="single" w:color="auto" w:sz="4" w:space="0"/>
              <w:left w:val="single" w:color="auto" w:sz="4" w:space="0"/>
              <w:bottom w:val="single" w:color="auto" w:sz="4" w:space="0"/>
              <w:right w:val="single" w:color="auto" w:sz="4" w:space="0"/>
            </w:tcBorders>
            <w:vAlign w:val="center"/>
          </w:tcPr>
          <w:p w14:paraId="4A749F55">
            <w:pPr>
              <w:pStyle w:val="75"/>
            </w:pPr>
          </w:p>
        </w:tc>
        <w:tc>
          <w:tcPr>
            <w:tcW w:w="684" w:type="pct"/>
            <w:tcBorders>
              <w:top w:val="single" w:color="auto" w:sz="4" w:space="0"/>
              <w:left w:val="single" w:color="auto" w:sz="4" w:space="0"/>
              <w:bottom w:val="single" w:color="auto" w:sz="4" w:space="0"/>
              <w:right w:val="single" w:color="auto" w:sz="4" w:space="0"/>
            </w:tcBorders>
            <w:vAlign w:val="center"/>
          </w:tcPr>
          <w:p w14:paraId="231E23ED">
            <w:pPr>
              <w:pStyle w:val="75"/>
            </w:pPr>
            <w:r>
              <w:rPr>
                <w:rFonts w:hint="eastAsia"/>
              </w:rPr>
              <w:t>-1LP</w:t>
            </w:r>
          </w:p>
        </w:tc>
        <w:tc>
          <w:tcPr>
            <w:tcW w:w="427" w:type="pct"/>
            <w:tcBorders>
              <w:top w:val="single" w:color="auto" w:sz="4" w:space="0"/>
              <w:left w:val="single" w:color="auto" w:sz="4" w:space="0"/>
              <w:bottom w:val="single" w:color="auto" w:sz="4" w:space="0"/>
              <w:right w:val="single" w:color="auto" w:sz="4" w:space="0"/>
            </w:tcBorders>
            <w:vAlign w:val="center"/>
          </w:tcPr>
          <w:p w14:paraId="56550307">
            <w:pPr>
              <w:pStyle w:val="75"/>
              <w:rPr>
                <w:highlight w:val="yellow"/>
              </w:rPr>
            </w:pPr>
          </w:p>
        </w:tc>
        <w:tc>
          <w:tcPr>
            <w:tcW w:w="799" w:type="pct"/>
            <w:tcBorders>
              <w:top w:val="single" w:color="auto" w:sz="4" w:space="0"/>
              <w:left w:val="single" w:color="auto" w:sz="4" w:space="0"/>
              <w:bottom w:val="single" w:color="auto" w:sz="4" w:space="0"/>
              <w:right w:val="single" w:color="auto" w:sz="4" w:space="0"/>
            </w:tcBorders>
            <w:vAlign w:val="center"/>
          </w:tcPr>
          <w:p w14:paraId="16620BC5">
            <w:pPr>
              <w:pStyle w:val="75"/>
              <w:rPr>
                <w:highlight w:val="yellow"/>
              </w:rPr>
            </w:pPr>
          </w:p>
        </w:tc>
        <w:tc>
          <w:tcPr>
            <w:tcW w:w="389" w:type="pct"/>
            <w:tcBorders>
              <w:top w:val="single" w:color="auto" w:sz="4" w:space="0"/>
              <w:left w:val="single" w:color="auto" w:sz="4" w:space="0"/>
              <w:bottom w:val="single" w:color="auto" w:sz="4" w:space="0"/>
              <w:right w:val="single" w:color="auto" w:sz="4" w:space="0"/>
            </w:tcBorders>
            <w:vAlign w:val="center"/>
          </w:tcPr>
          <w:p w14:paraId="4A6A5171">
            <w:pPr>
              <w:pStyle w:val="75"/>
              <w:rPr>
                <w:highlight w:val="yellow"/>
              </w:rPr>
            </w:pPr>
          </w:p>
        </w:tc>
        <w:tc>
          <w:tcPr>
            <w:tcW w:w="399" w:type="pct"/>
            <w:tcBorders>
              <w:top w:val="single" w:color="auto" w:sz="4" w:space="0"/>
              <w:left w:val="single" w:color="auto" w:sz="4" w:space="0"/>
              <w:bottom w:val="single" w:color="auto" w:sz="4" w:space="0"/>
            </w:tcBorders>
            <w:vAlign w:val="center"/>
          </w:tcPr>
          <w:p w14:paraId="6BC343D3">
            <w:pPr>
              <w:pStyle w:val="75"/>
              <w:rPr>
                <w:highlight w:val="yellow"/>
              </w:rPr>
            </w:pPr>
          </w:p>
        </w:tc>
      </w:tr>
      <w:tr w14:paraId="35E5BE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5000" w:type="pct"/>
            <w:gridSpan w:val="9"/>
            <w:tcBorders>
              <w:top w:val="single" w:color="auto" w:sz="4" w:space="0"/>
              <w:bottom w:val="single" w:color="auto" w:sz="8" w:space="0"/>
            </w:tcBorders>
            <w:vAlign w:val="center"/>
          </w:tcPr>
          <w:p w14:paraId="221A50C5">
            <w:pPr>
              <w:pStyle w:val="75"/>
              <w:jc w:val="both"/>
            </w:pPr>
            <w:r>
              <w:rPr>
                <w:rFonts w:hint="eastAsia"/>
              </w:rPr>
              <w:t>备注：影响程度：1-轻微；2-一般；3-显著         影响时段：S-短期；L-长期</w:t>
            </w:r>
          </w:p>
          <w:p w14:paraId="575D6B2F">
            <w:pPr>
              <w:pStyle w:val="75"/>
              <w:ind w:firstLine="630" w:firstLineChars="300"/>
              <w:jc w:val="both"/>
              <w:rPr>
                <w:highlight w:val="yellow"/>
              </w:rPr>
            </w:pPr>
            <w:r>
              <w:rPr>
                <w:rFonts w:hint="eastAsia"/>
              </w:rPr>
              <w:t>影响范围：P-局部；W-大范围              影响性质：+-有利；--不利</w:t>
            </w:r>
          </w:p>
        </w:tc>
      </w:tr>
    </w:tbl>
    <w:p w14:paraId="5928208D">
      <w:pPr>
        <w:pStyle w:val="72"/>
      </w:pPr>
      <w:r>
        <w:rPr>
          <w:rFonts w:hint="eastAsia"/>
        </w:rPr>
        <w:t>由上表可以看出，本工程在施工期对周围自然环境的影响是短暂、局部的；工程运行期主要是工程废气、废水对区域环境空气、地表水和土壤的不利影响。评价把废气、废水污染控制可行性及可靠性作为重点内容。</w:t>
      </w:r>
    </w:p>
    <w:p w14:paraId="7375AEC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13" w:name="_Toc428287163"/>
      <w:bookmarkStart w:id="114" w:name="_Toc428286769"/>
      <w:bookmarkStart w:id="115" w:name="_Toc428287515"/>
      <w:bookmarkStart w:id="116" w:name="_Toc108122331"/>
      <w:r>
        <w:rPr>
          <w:rFonts w:hint="eastAsia" w:ascii="Times New Roman" w:hAnsi="Times New Roman" w:cs="Times New Roman"/>
          <w:lang w:val="en-US" w:eastAsia="zh-CN"/>
        </w:rPr>
        <w:t>2.3.2环境影响因子筛选</w:t>
      </w:r>
      <w:bookmarkEnd w:id="113"/>
      <w:bookmarkEnd w:id="114"/>
      <w:bookmarkEnd w:id="115"/>
      <w:bookmarkEnd w:id="116"/>
    </w:p>
    <w:p w14:paraId="04BE847A">
      <w:pPr>
        <w:pStyle w:val="72"/>
      </w:pPr>
      <w:r>
        <w:t>根据本</w:t>
      </w:r>
      <w:r>
        <w:rPr>
          <w:rFonts w:hint="eastAsia"/>
        </w:rPr>
        <w:t>项目</w:t>
      </w:r>
      <w:r>
        <w:t>污染源分析</w:t>
      </w:r>
      <w:r>
        <w:rPr>
          <w:rFonts w:hint="eastAsia"/>
        </w:rPr>
        <w:t>及</w:t>
      </w:r>
      <w:r>
        <w:t>环境影响因子</w:t>
      </w:r>
      <w:r>
        <w:rPr>
          <w:rFonts w:hint="eastAsia"/>
        </w:rPr>
        <w:t>识别</w:t>
      </w:r>
      <w:r>
        <w:t>，依据国家有关环保标准、规定所列控制指标，并结合项目所处区域环境特征，筛选出本项目评价因子见</w:t>
      </w:r>
      <w:r>
        <w:rPr>
          <w:rFonts w:hint="eastAsia"/>
        </w:rPr>
        <w:t>下表</w:t>
      </w:r>
      <w:r>
        <w:t>。</w:t>
      </w:r>
    </w:p>
    <w:p w14:paraId="1BECE5C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2.3-2</w:t>
      </w:r>
      <w:r>
        <w:rPr>
          <w:rFonts w:hint="eastAsia"/>
        </w:rPr>
        <w:t xml:space="preserve">     评价因子一览表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4893"/>
        <w:gridCol w:w="2539"/>
      </w:tblGrid>
      <w:tr w14:paraId="2D69EE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41A7A530">
            <w:pPr>
              <w:pStyle w:val="81"/>
              <w:rPr>
                <w:color w:val="auto"/>
              </w:rPr>
            </w:pPr>
            <w:r>
              <w:rPr>
                <w:color w:val="auto"/>
              </w:rPr>
              <w:t>评价要素</w:t>
            </w:r>
          </w:p>
        </w:tc>
        <w:tc>
          <w:tcPr>
            <w:tcW w:w="2868" w:type="pct"/>
            <w:vAlign w:val="center"/>
          </w:tcPr>
          <w:p w14:paraId="5778F0A9">
            <w:pPr>
              <w:pStyle w:val="81"/>
              <w:rPr>
                <w:color w:val="auto"/>
              </w:rPr>
            </w:pPr>
            <w:r>
              <w:rPr>
                <w:color w:val="auto"/>
              </w:rPr>
              <w:t>评价因子</w:t>
            </w:r>
          </w:p>
        </w:tc>
        <w:tc>
          <w:tcPr>
            <w:tcW w:w="1488" w:type="pct"/>
            <w:vAlign w:val="center"/>
          </w:tcPr>
          <w:p w14:paraId="55B57582">
            <w:pPr>
              <w:pStyle w:val="81"/>
              <w:rPr>
                <w:color w:val="auto"/>
              </w:rPr>
            </w:pPr>
            <w:r>
              <w:rPr>
                <w:rFonts w:hint="eastAsia"/>
                <w:color w:val="auto"/>
              </w:rPr>
              <w:t>预测因子</w:t>
            </w:r>
          </w:p>
        </w:tc>
      </w:tr>
      <w:tr w14:paraId="22F003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53F2118F">
            <w:pPr>
              <w:pStyle w:val="75"/>
              <w:rPr>
                <w:highlight w:val="yellow"/>
              </w:rPr>
            </w:pPr>
            <w:r>
              <w:t>环境空气</w:t>
            </w:r>
          </w:p>
        </w:tc>
        <w:tc>
          <w:tcPr>
            <w:tcW w:w="2868" w:type="pct"/>
            <w:vAlign w:val="center"/>
          </w:tcPr>
          <w:p w14:paraId="08986F79">
            <w:pPr>
              <w:pStyle w:val="75"/>
              <w:ind w:firstLine="0" w:firstLineChars="0"/>
              <w:jc w:val="left"/>
              <w:rPr>
                <w:highlight w:val="yellow"/>
              </w:rPr>
            </w:pPr>
            <w:r>
              <w:rPr>
                <w:rFonts w:ascii="Times New Roman" w:hAnsi="Times New Roman" w:eastAsia="宋体" w:cs="Times New Roman"/>
                <w:highlight w:val="none"/>
              </w:rPr>
              <w:t>SO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、NO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、PM</w:t>
            </w:r>
            <w:r>
              <w:rPr>
                <w:rFonts w:ascii="Times New Roman" w:hAnsi="Times New Roman" w:eastAsia="宋体" w:cs="Times New Roman"/>
                <w:highlight w:val="none"/>
                <w:vertAlign w:val="subscript"/>
              </w:rPr>
              <w:t>10</w:t>
            </w:r>
            <w:r>
              <w:rPr>
                <w:rFonts w:ascii="Times New Roman" w:hAnsi="Times New Roman" w:eastAsia="宋体" w:cs="Times New Roman"/>
                <w:highlight w:val="none"/>
              </w:rPr>
              <w:t>、PM</w:t>
            </w:r>
            <w:r>
              <w:rPr>
                <w:rFonts w:hint="eastAsia" w:ascii="Times New Roman" w:hAnsi="Times New Roman" w:eastAsia="宋体" w:cs="Times New Roman"/>
                <w:highlight w:val="none"/>
                <w:vertAlign w:val="subscript"/>
              </w:rPr>
              <w:t>2.5</w:t>
            </w:r>
            <w:r>
              <w:rPr>
                <w:rFonts w:ascii="Times New Roman" w:hAnsi="Times New Roman" w:eastAsia="宋体" w:cs="Times New Roman"/>
                <w:highlight w:val="none"/>
              </w:rPr>
              <w:t>、</w:t>
            </w:r>
            <w:r>
              <w:rPr>
                <w:rFonts w:hint="eastAsia" w:ascii="Times New Roman" w:hAnsi="Times New Roman" w:eastAsia="宋体" w:cs="Times New Roman"/>
                <w:highlight w:val="none"/>
              </w:rPr>
              <w:t>CO、O</w:t>
            </w:r>
            <w:r>
              <w:rPr>
                <w:rFonts w:hint="eastAsia" w:ascii="Times New Roman" w:hAnsi="Times New Roman" w:eastAsia="宋体" w:cs="Times New Roman"/>
                <w:highlight w:val="none"/>
                <w:vertAlign w:val="subscript"/>
              </w:rPr>
              <w:t>3</w:t>
            </w:r>
            <w:r>
              <w:rPr>
                <w:rFonts w:ascii="Times New Roman" w:hAnsi="Times New Roman" w:eastAsia="宋体" w:cs="Times New Roman"/>
                <w:highlight w:val="none"/>
              </w:rPr>
              <w:t>、</w:t>
            </w:r>
            <w:r>
              <w:rPr>
                <w:rFonts w:hint="eastAsia" w:ascii="Times New Roman" w:hAnsi="Times New Roman" w:eastAsia="宋体" w:cs="Times New Roman"/>
                <w:highlight w:val="none"/>
              </w:rPr>
              <w:t>HCl、硫酸雾</w:t>
            </w:r>
            <w:r>
              <w:rPr>
                <w:rFonts w:ascii="Times New Roman" w:hAnsi="Times New Roman" w:eastAsia="宋体" w:cs="Times New Roman"/>
                <w:highlight w:val="none"/>
              </w:rPr>
              <w:t>、NO</w:t>
            </w:r>
            <w:r>
              <w:rPr>
                <w:rFonts w:hint="eastAsia" w:ascii="Times New Roman" w:hAnsi="Times New Roman" w:eastAsia="宋体" w:cs="Times New Roman"/>
                <w:highlight w:val="none"/>
                <w:vertAlign w:val="subscript"/>
                <w:lang w:val="en-US" w:eastAsia="zh-CN"/>
              </w:rPr>
              <w:t>X</w:t>
            </w:r>
            <w:r>
              <w:rPr>
                <w:rFonts w:hint="eastAsia" w:ascii="Times New Roman" w:hAnsi="Times New Roman" w:eastAsia="宋体" w:cs="Times New Roman"/>
                <w:highlight w:val="none"/>
              </w:rPr>
              <w:t>、</w:t>
            </w:r>
            <w:r>
              <w:rPr>
                <w:rFonts w:ascii="Times New Roman" w:hAnsi="Times New Roman" w:eastAsia="宋体" w:cs="Times New Roman"/>
                <w:highlight w:val="none"/>
              </w:rPr>
              <w:t>H</w:t>
            </w:r>
            <w:r>
              <w:rPr>
                <w:rFonts w:hint="eastAsia" w:ascii="Times New Roman" w:hAnsi="Times New Roman" w:eastAsia="宋体" w:cs="Times New Roman"/>
                <w:highlight w:val="none"/>
                <w:vertAlign w:val="subscript"/>
              </w:rPr>
              <w:t>2</w:t>
            </w:r>
            <w:r>
              <w:rPr>
                <w:rFonts w:ascii="Times New Roman" w:hAnsi="Times New Roman" w:eastAsia="宋体" w:cs="Times New Roman"/>
                <w:highlight w:val="none"/>
              </w:rPr>
              <w:t>S</w:t>
            </w:r>
            <w:r>
              <w:rPr>
                <w:rFonts w:hint="eastAsia" w:ascii="Times New Roman" w:hAnsi="Times New Roman" w:eastAsia="宋体" w:cs="Times New Roman"/>
                <w:highlight w:val="none"/>
              </w:rPr>
              <w:t>、N</w:t>
            </w:r>
            <w:r>
              <w:rPr>
                <w:rFonts w:ascii="Times New Roman" w:hAnsi="Times New Roman" w:eastAsia="宋体" w:cs="Times New Roman"/>
                <w:highlight w:val="none"/>
              </w:rPr>
              <w:t>H</w:t>
            </w:r>
            <w:r>
              <w:rPr>
                <w:rFonts w:ascii="Times New Roman" w:hAnsi="Times New Roman" w:eastAsia="宋体" w:cs="Times New Roman"/>
                <w:highlight w:val="none"/>
                <w:vertAlign w:val="subscript"/>
              </w:rPr>
              <w:t>3</w:t>
            </w:r>
            <w:r>
              <w:rPr>
                <w:rFonts w:hint="eastAsia" w:ascii="Times New Roman" w:hAnsi="Times New Roman" w:eastAsia="宋体" w:cs="Times New Roman"/>
                <w:highlight w:val="none"/>
              </w:rPr>
              <w:t>、</w:t>
            </w:r>
            <w:r>
              <w:rPr>
                <w:rFonts w:hint="eastAsia" w:cs="Times New Roman"/>
                <w:highlight w:val="none"/>
                <w:lang w:val="en-US" w:eastAsia="zh-CN"/>
              </w:rPr>
              <w:t>臭气浓度</w:t>
            </w:r>
          </w:p>
        </w:tc>
        <w:tc>
          <w:tcPr>
            <w:tcW w:w="1488" w:type="pct"/>
            <w:vAlign w:val="center"/>
          </w:tcPr>
          <w:p w14:paraId="5AF9243C">
            <w:pPr>
              <w:pStyle w:val="75"/>
              <w:ind w:firstLine="0" w:firstLineChars="0"/>
              <w:jc w:val="center"/>
              <w:rPr>
                <w:highlight w:val="yellow"/>
              </w:rPr>
            </w:pPr>
            <w:r>
              <w:rPr>
                <w:rFonts w:ascii="Times New Roman" w:hAnsi="Times New Roman" w:eastAsia="宋体" w:cs="Times New Roman"/>
                <w:highlight w:val="none"/>
              </w:rPr>
              <w:t>硫酸雾</w:t>
            </w:r>
            <w:r>
              <w:rPr>
                <w:rFonts w:hint="eastAsia" w:ascii="Times New Roman" w:hAnsi="Times New Roman" w:eastAsia="宋体" w:cs="Times New Roman"/>
                <w:highlight w:val="none"/>
              </w:rPr>
              <w:t>、</w:t>
            </w:r>
            <w:r>
              <w:rPr>
                <w:rFonts w:ascii="Times New Roman" w:hAnsi="Times New Roman" w:eastAsia="宋体" w:cs="Times New Roman"/>
                <w:highlight w:val="none"/>
              </w:rPr>
              <w:t>H</w:t>
            </w:r>
            <w:r>
              <w:rPr>
                <w:rFonts w:hint="eastAsia" w:ascii="Times New Roman" w:hAnsi="Times New Roman" w:eastAsia="宋体" w:cs="Times New Roman"/>
                <w:highlight w:val="none"/>
                <w:vertAlign w:val="subscript"/>
              </w:rPr>
              <w:t>2</w:t>
            </w:r>
            <w:r>
              <w:rPr>
                <w:rFonts w:ascii="Times New Roman" w:hAnsi="Times New Roman" w:eastAsia="宋体" w:cs="Times New Roman"/>
                <w:highlight w:val="none"/>
              </w:rPr>
              <w:t>S</w:t>
            </w:r>
            <w:r>
              <w:rPr>
                <w:rFonts w:hint="eastAsia" w:ascii="Times New Roman" w:hAnsi="Times New Roman" w:eastAsia="宋体" w:cs="Times New Roman"/>
                <w:highlight w:val="none"/>
              </w:rPr>
              <w:t>、N</w:t>
            </w:r>
            <w:r>
              <w:rPr>
                <w:rFonts w:ascii="Times New Roman" w:hAnsi="Times New Roman" w:eastAsia="宋体" w:cs="Times New Roman"/>
                <w:highlight w:val="none"/>
              </w:rPr>
              <w:t>H</w:t>
            </w:r>
            <w:r>
              <w:rPr>
                <w:rFonts w:ascii="Times New Roman" w:hAnsi="Times New Roman" w:eastAsia="宋体" w:cs="Times New Roman"/>
                <w:highlight w:val="none"/>
                <w:vertAlign w:val="subscript"/>
              </w:rPr>
              <w:t>3</w:t>
            </w:r>
          </w:p>
        </w:tc>
      </w:tr>
      <w:tr w14:paraId="63CB45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6CB91526">
            <w:pPr>
              <w:pStyle w:val="75"/>
            </w:pPr>
            <w:r>
              <w:t>声环境</w:t>
            </w:r>
          </w:p>
        </w:tc>
        <w:tc>
          <w:tcPr>
            <w:tcW w:w="2868" w:type="pct"/>
            <w:vAlign w:val="center"/>
          </w:tcPr>
          <w:p w14:paraId="136D326B">
            <w:pPr>
              <w:pStyle w:val="75"/>
            </w:pPr>
            <w:r>
              <w:t>等效连续A声级</w:t>
            </w:r>
          </w:p>
        </w:tc>
        <w:tc>
          <w:tcPr>
            <w:tcW w:w="1488" w:type="pct"/>
            <w:vAlign w:val="center"/>
          </w:tcPr>
          <w:p w14:paraId="5F33DDA7">
            <w:pPr>
              <w:pStyle w:val="75"/>
            </w:pPr>
            <w:r>
              <w:t>等效连续A声级</w:t>
            </w:r>
          </w:p>
        </w:tc>
      </w:tr>
      <w:tr w14:paraId="78B94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08232271">
            <w:pPr>
              <w:pStyle w:val="75"/>
            </w:pPr>
            <w:r>
              <w:t>地表水</w:t>
            </w:r>
          </w:p>
        </w:tc>
        <w:tc>
          <w:tcPr>
            <w:tcW w:w="2868" w:type="pct"/>
            <w:vAlign w:val="center"/>
          </w:tcPr>
          <w:p w14:paraId="46ECEBD1">
            <w:pPr>
              <w:pStyle w:val="75"/>
            </w:pPr>
            <w:r>
              <w:t>COD、氨氮</w:t>
            </w:r>
            <w:r>
              <w:rPr>
                <w:rFonts w:hint="eastAsia"/>
              </w:rPr>
              <w:t>、总磷、总氮</w:t>
            </w:r>
          </w:p>
        </w:tc>
        <w:tc>
          <w:tcPr>
            <w:tcW w:w="1488" w:type="pct"/>
            <w:vAlign w:val="center"/>
          </w:tcPr>
          <w:p w14:paraId="0A1F958F">
            <w:pPr>
              <w:pStyle w:val="75"/>
            </w:pPr>
            <w:r>
              <w:t>COD、氨氮</w:t>
            </w:r>
            <w:r>
              <w:rPr>
                <w:rFonts w:hint="eastAsia"/>
              </w:rPr>
              <w:t>、总磷、总氮</w:t>
            </w:r>
          </w:p>
        </w:tc>
      </w:tr>
      <w:tr w14:paraId="237E48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75E2C504">
            <w:pPr>
              <w:pStyle w:val="75"/>
              <w:rPr>
                <w:highlight w:val="yellow"/>
              </w:rPr>
            </w:pPr>
            <w:r>
              <w:t>地下水</w:t>
            </w:r>
          </w:p>
        </w:tc>
        <w:tc>
          <w:tcPr>
            <w:tcW w:w="2868" w:type="pct"/>
            <w:vAlign w:val="center"/>
          </w:tcPr>
          <w:p w14:paraId="17AD2EB4">
            <w:pPr>
              <w:pStyle w:val="75"/>
              <w:jc w:val="left"/>
            </w:pPr>
            <w:r>
              <w:rPr>
                <w:rFonts w:hint="eastAsia"/>
              </w:rPr>
              <w:t>pH、氨氮、总硬度、溶解性总固体、氰化物、耗氧量、K</w:t>
            </w:r>
            <w:r>
              <w:rPr>
                <w:rFonts w:hint="eastAsia"/>
                <w:vertAlign w:val="superscript"/>
              </w:rPr>
              <w:t>+</w:t>
            </w:r>
            <w:r>
              <w:rPr>
                <w:rFonts w:hint="eastAsia"/>
              </w:rPr>
              <w:t>、Na</w:t>
            </w:r>
            <w:r>
              <w:rPr>
                <w:rFonts w:hint="eastAsia"/>
                <w:vertAlign w:val="superscript"/>
              </w:rPr>
              <w:t>+</w:t>
            </w:r>
            <w:r>
              <w:rPr>
                <w:rFonts w:hint="eastAsia"/>
              </w:rPr>
              <w:t>、Ca</w:t>
            </w:r>
            <w:r>
              <w:rPr>
                <w:rFonts w:hint="eastAsia"/>
                <w:vertAlign w:val="superscript"/>
              </w:rPr>
              <w:t>2+</w:t>
            </w:r>
            <w:r>
              <w:rPr>
                <w:rFonts w:hint="eastAsia"/>
              </w:rPr>
              <w:t>、Mg</w:t>
            </w:r>
            <w:r>
              <w:rPr>
                <w:rFonts w:hint="eastAsia"/>
                <w:vertAlign w:val="superscript"/>
              </w:rPr>
              <w:t>2+</w:t>
            </w:r>
            <w:r>
              <w:rPr>
                <w:rFonts w:hint="eastAsia"/>
              </w:rPr>
              <w:t>、CO</w:t>
            </w:r>
            <w:r>
              <w:rPr>
                <w:rFonts w:hint="eastAsia"/>
                <w:vertAlign w:val="subscript"/>
              </w:rPr>
              <w:t>3</w:t>
            </w:r>
            <w:r>
              <w:rPr>
                <w:rFonts w:hint="eastAsia"/>
                <w:vertAlign w:val="superscript"/>
              </w:rPr>
              <w:t>2-</w:t>
            </w:r>
            <w:r>
              <w:rPr>
                <w:rFonts w:hint="eastAsia"/>
              </w:rPr>
              <w:t>、HCO</w:t>
            </w:r>
            <w:r>
              <w:rPr>
                <w:rFonts w:hint="eastAsia"/>
                <w:vertAlign w:val="superscript"/>
              </w:rPr>
              <w:t>3-</w:t>
            </w:r>
            <w:r>
              <w:rPr>
                <w:rFonts w:hint="eastAsia"/>
              </w:rPr>
              <w:t>、Cl</w:t>
            </w:r>
            <w:r>
              <w:rPr>
                <w:rFonts w:hint="eastAsia"/>
                <w:vertAlign w:val="superscript"/>
              </w:rPr>
              <w:t>-</w:t>
            </w:r>
            <w:r>
              <w:rPr>
                <w:rFonts w:hint="eastAsia"/>
              </w:rPr>
              <w:t>、SO</w:t>
            </w:r>
            <w:r>
              <w:rPr>
                <w:rFonts w:hint="eastAsia"/>
                <w:vertAlign w:val="subscript"/>
              </w:rPr>
              <w:t>4</w:t>
            </w:r>
            <w:r>
              <w:rPr>
                <w:rFonts w:hint="eastAsia"/>
                <w:vertAlign w:val="superscript"/>
              </w:rPr>
              <w:t>2-</w:t>
            </w:r>
            <w:r>
              <w:rPr>
                <w:rFonts w:hint="eastAsia"/>
              </w:rPr>
              <w:t>、氯化物、硫酸盐、亚硝酸盐、硝酸盐、挥发性酚类、砷、汞、镍、铅、铬（六价）、氟、镉、锰、铁、阴离子表面活性剂、高锰酸盐指数、总铬、总大肠菌群、细菌总数</w:t>
            </w:r>
          </w:p>
        </w:tc>
        <w:tc>
          <w:tcPr>
            <w:tcW w:w="1488" w:type="pct"/>
            <w:vAlign w:val="center"/>
          </w:tcPr>
          <w:p w14:paraId="69E579CB">
            <w:pPr>
              <w:pStyle w:val="75"/>
              <w:rPr>
                <w:highlight w:val="yellow"/>
              </w:rPr>
            </w:pPr>
            <w:r>
              <w:rPr>
                <w:rFonts w:hint="eastAsia"/>
                <w:kern w:val="2"/>
                <w:szCs w:val="28"/>
              </w:rPr>
              <w:t>总铬、</w:t>
            </w:r>
            <w:r>
              <w:rPr>
                <w:rFonts w:hint="eastAsia"/>
              </w:rPr>
              <w:t>镍</w:t>
            </w:r>
          </w:p>
        </w:tc>
      </w:tr>
      <w:tr w14:paraId="76737D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3EB9A5B9">
            <w:pPr>
              <w:pStyle w:val="75"/>
            </w:pPr>
            <w:r>
              <w:rPr>
                <w:rFonts w:hint="eastAsia"/>
              </w:rPr>
              <w:t>土壤</w:t>
            </w:r>
          </w:p>
        </w:tc>
        <w:tc>
          <w:tcPr>
            <w:tcW w:w="2868" w:type="pct"/>
            <w:vAlign w:val="center"/>
          </w:tcPr>
          <w:p w14:paraId="731777FB">
            <w:pPr>
              <w:pStyle w:val="75"/>
              <w:rPr>
                <w:kern w:val="2"/>
                <w:szCs w:val="28"/>
              </w:rPr>
            </w:pPr>
            <w:r>
              <w:rPr>
                <w:rFonts w:hint="eastAsia"/>
              </w:rPr>
              <w:t>镍、总铬、石油烃</w:t>
            </w:r>
          </w:p>
        </w:tc>
        <w:tc>
          <w:tcPr>
            <w:tcW w:w="1488" w:type="pct"/>
            <w:vAlign w:val="center"/>
          </w:tcPr>
          <w:p w14:paraId="6662C6DA">
            <w:pPr>
              <w:pStyle w:val="75"/>
            </w:pPr>
            <w:r>
              <w:rPr>
                <w:rFonts w:hint="eastAsia"/>
              </w:rPr>
              <w:t>镍、总铬</w:t>
            </w:r>
          </w:p>
        </w:tc>
      </w:tr>
      <w:tr w14:paraId="4D38AC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3" w:type="pct"/>
            <w:vAlign w:val="center"/>
          </w:tcPr>
          <w:p w14:paraId="47B49F0F">
            <w:pPr>
              <w:pStyle w:val="75"/>
            </w:pPr>
            <w:r>
              <w:t>风险</w:t>
            </w:r>
          </w:p>
        </w:tc>
        <w:tc>
          <w:tcPr>
            <w:tcW w:w="2868" w:type="pct"/>
            <w:vAlign w:val="center"/>
          </w:tcPr>
          <w:p w14:paraId="7746E7F9">
            <w:pPr>
              <w:pStyle w:val="75"/>
              <w:rPr>
                <w:kern w:val="2"/>
                <w:szCs w:val="28"/>
                <w:highlight w:val="yellow"/>
              </w:rPr>
            </w:pPr>
            <w:r>
              <w:t>硫酸</w:t>
            </w:r>
            <w:r>
              <w:rPr>
                <w:rFonts w:hint="eastAsia"/>
              </w:rPr>
              <w:t>、镍、铬、矿物油</w:t>
            </w:r>
          </w:p>
        </w:tc>
        <w:tc>
          <w:tcPr>
            <w:tcW w:w="1488" w:type="pct"/>
            <w:vAlign w:val="center"/>
          </w:tcPr>
          <w:p w14:paraId="763E4060">
            <w:pPr>
              <w:pStyle w:val="75"/>
              <w:rPr>
                <w:rFonts w:hint="eastAsia" w:eastAsia="宋体"/>
                <w:highlight w:val="yellow"/>
                <w:lang w:eastAsia="zh-CN"/>
              </w:rPr>
            </w:pPr>
            <w:r>
              <w:t>硫酸</w:t>
            </w:r>
          </w:p>
        </w:tc>
      </w:tr>
    </w:tbl>
    <w:p w14:paraId="7A5D4A1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17" w:name="_Toc4784"/>
      <w:bookmarkStart w:id="118" w:name="_Toc16358"/>
      <w:bookmarkStart w:id="119" w:name="_Toc429318383"/>
      <w:bookmarkStart w:id="120" w:name="_Toc428287165"/>
      <w:bookmarkStart w:id="121" w:name="_Toc428286771"/>
      <w:bookmarkStart w:id="122" w:name="_Toc51319847"/>
      <w:r>
        <w:rPr>
          <w:rFonts w:hint="eastAsia" w:ascii="Times New Roman" w:hAnsi="Times New Roman" w:eastAsia="宋体" w:cs="Times New Roman"/>
          <w:lang w:val="en-US" w:eastAsia="zh-CN"/>
        </w:rPr>
        <w:t>2.4评价等级</w:t>
      </w:r>
      <w:bookmarkEnd w:id="117"/>
      <w:bookmarkEnd w:id="118"/>
      <w:bookmarkEnd w:id="119"/>
      <w:bookmarkEnd w:id="120"/>
      <w:bookmarkEnd w:id="121"/>
      <w:bookmarkEnd w:id="122"/>
    </w:p>
    <w:p w14:paraId="67F0516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23" w:name="_Toc108122333"/>
      <w:bookmarkStart w:id="124" w:name="_Toc428286773"/>
      <w:bookmarkStart w:id="125" w:name="_Toc428287167"/>
      <w:bookmarkStart w:id="126" w:name="_Toc428287519"/>
      <w:r>
        <w:rPr>
          <w:rFonts w:hint="eastAsia" w:ascii="Times New Roman" w:hAnsi="Times New Roman" w:cs="Times New Roman"/>
          <w:lang w:val="en-US" w:eastAsia="zh-CN"/>
        </w:rPr>
        <w:t>2.4.1大气环境影响评价等级</w:t>
      </w:r>
      <w:bookmarkEnd w:id="123"/>
    </w:p>
    <w:p w14:paraId="4CC45789">
      <w:pPr>
        <w:pStyle w:val="16"/>
        <w:keepNext w:val="0"/>
        <w:keepLines w:val="0"/>
        <w:pageBreakBefore w:val="0"/>
        <w:widowControl w:val="0"/>
        <w:kinsoku/>
        <w:wordWrap/>
        <w:overflowPunct/>
        <w:topLinePunct w:val="0"/>
        <w:autoSpaceDE/>
        <w:autoSpaceDN/>
        <w:bidi w:val="0"/>
        <w:adjustRightInd w:val="0"/>
        <w:snapToGrid w:val="0"/>
        <w:spacing w:after="0"/>
        <w:textAlignment w:val="baseline"/>
        <w:rPr>
          <w:rFonts w:hint="default" w:ascii="Times New Roman" w:hAnsi="Times New Roman" w:eastAsia="Times New Roman" w:cs="Times New Roman"/>
          <w:sz w:val="24"/>
          <w:szCs w:val="24"/>
          <w:lang w:eastAsia="zh-CN"/>
        </w:rPr>
      </w:pPr>
      <w:r>
        <w:rPr>
          <w:rFonts w:hint="default" w:ascii="Times New Roman" w:hAnsi="Times New Roman" w:cs="Times New Roman"/>
          <w:sz w:val="24"/>
          <w:szCs w:val="24"/>
          <w:lang w:eastAsia="zh-CN"/>
        </w:rPr>
        <w:t>项目建成运行后，工艺废气包括电镀过程中产生的</w:t>
      </w:r>
      <w:r>
        <w:rPr>
          <w:rFonts w:hint="eastAsia" w:cs="Times New Roman"/>
          <w:sz w:val="24"/>
          <w:szCs w:val="24"/>
          <w:lang w:val="en-US" w:eastAsia="zh-CN"/>
        </w:rPr>
        <w:t>硫酸雾、</w:t>
      </w:r>
      <w:r>
        <w:rPr>
          <w:rFonts w:hint="default" w:ascii="Times New Roman" w:hAnsi="Times New Roman" w:cs="Times New Roman"/>
          <w:sz w:val="24"/>
          <w:szCs w:val="24"/>
          <w:lang w:eastAsia="zh-CN"/>
        </w:rPr>
        <w:t>污水处理站产生的氨、硫化氢。本次评价采用《环境影响评价技术导则大气环境》（HJ2.2-2018）推荐的估算模</w:t>
      </w:r>
      <w:r>
        <w:rPr>
          <w:rFonts w:hint="eastAsia" w:ascii="宋体" w:hAnsi="宋体" w:eastAsia="宋体" w:cs="宋体"/>
          <w:sz w:val="24"/>
          <w:szCs w:val="24"/>
          <w:lang w:eastAsia="zh-CN"/>
        </w:rPr>
        <w:t>型“</w:t>
      </w:r>
      <w:r>
        <w:rPr>
          <w:rFonts w:hint="default" w:ascii="Times New Roman" w:hAnsi="Times New Roman" w:eastAsia="Times New Roman" w:cs="Times New Roman"/>
          <w:sz w:val="24"/>
          <w:szCs w:val="24"/>
          <w:lang w:eastAsia="zh-CN"/>
        </w:rPr>
        <w:t>AERSCREEN</w:t>
      </w:r>
      <w:r>
        <w:rPr>
          <w:rFonts w:hint="eastAsia" w:ascii="宋体" w:hAnsi="宋体" w:eastAsia="宋体" w:cs="宋体"/>
          <w:sz w:val="24"/>
          <w:szCs w:val="24"/>
          <w:lang w:eastAsia="zh-CN"/>
        </w:rPr>
        <w:t>”</w:t>
      </w:r>
      <w:r>
        <w:rPr>
          <w:rFonts w:hint="default" w:ascii="Times New Roman" w:hAnsi="Times New Roman" w:cs="Times New Roman"/>
          <w:sz w:val="24"/>
          <w:szCs w:val="24"/>
          <w:lang w:eastAsia="zh-CN"/>
        </w:rPr>
        <w:t>分别计算项目点源及面源排放的主要污染物最大地面空气质量浓度占标率Pi及第i个污染物的地面浓度达标准限值10%时所对应的最远距离D10%。本项目估算模型输入参数见表</w:t>
      </w:r>
      <w:r>
        <w:rPr>
          <w:rFonts w:hint="eastAsia" w:cs="Times New Roman"/>
          <w:sz w:val="24"/>
          <w:szCs w:val="24"/>
          <w:lang w:val="en-US" w:eastAsia="zh-CN"/>
        </w:rPr>
        <w:t>2.4</w:t>
      </w:r>
      <w:r>
        <w:rPr>
          <w:rFonts w:hint="default" w:ascii="Times New Roman" w:hAnsi="Times New Roman" w:cs="Times New Roman"/>
          <w:sz w:val="24"/>
          <w:szCs w:val="24"/>
          <w:lang w:eastAsia="zh-CN"/>
        </w:rPr>
        <w:t>-1。</w:t>
      </w:r>
    </w:p>
    <w:p w14:paraId="1BF9C996">
      <w:pPr>
        <w:pStyle w:val="16"/>
        <w:keepNext w:val="0"/>
        <w:keepLines w:val="0"/>
        <w:pageBreakBefore w:val="0"/>
        <w:widowControl w:val="0"/>
        <w:kinsoku/>
        <w:wordWrap/>
        <w:overflowPunct/>
        <w:topLinePunct w:val="0"/>
        <w:autoSpaceDE/>
        <w:autoSpaceDN/>
        <w:bidi w:val="0"/>
        <w:adjustRightInd w:val="0"/>
        <w:snapToGrid w:val="0"/>
        <w:spacing w:after="0" w:line="520" w:lineRule="exact"/>
        <w:jc w:val="center"/>
        <w:textAlignment w:val="baseline"/>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表2.</w:t>
      </w:r>
      <w:r>
        <w:rPr>
          <w:rFonts w:hint="eastAsia" w:cs="Times New Roman"/>
          <w:b/>
          <w:bCs/>
          <w:sz w:val="24"/>
          <w:szCs w:val="24"/>
          <w:lang w:val="en-US" w:eastAsia="zh-CN"/>
        </w:rPr>
        <w:t>4</w:t>
      </w:r>
      <w:r>
        <w:rPr>
          <w:rFonts w:hint="default" w:ascii="Times New Roman" w:hAnsi="Times New Roman" w:cs="Times New Roman"/>
          <w:b/>
          <w:bCs/>
          <w:sz w:val="24"/>
          <w:szCs w:val="24"/>
          <w:lang w:eastAsia="zh-CN"/>
        </w:rPr>
        <w:t>-1    估算模型参数表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2196"/>
        <w:gridCol w:w="3391"/>
        <w:gridCol w:w="2781"/>
      </w:tblGrid>
      <w:tr w14:paraId="16ED0E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5587" w:type="dxa"/>
            <w:gridSpan w:val="2"/>
            <w:vAlign w:val="center"/>
          </w:tcPr>
          <w:p w14:paraId="3A5BD503">
            <w:pPr>
              <w:pStyle w:val="81"/>
              <w:rPr>
                <w:rFonts w:cs="Times New Roman"/>
                <w:color w:val="auto"/>
              </w:rPr>
            </w:pPr>
            <w:r>
              <w:rPr>
                <w:rFonts w:cs="Times New Roman"/>
                <w:color w:val="auto"/>
              </w:rPr>
              <w:t>参数</w:t>
            </w:r>
          </w:p>
        </w:tc>
        <w:tc>
          <w:tcPr>
            <w:tcW w:w="2781" w:type="dxa"/>
            <w:vAlign w:val="center"/>
          </w:tcPr>
          <w:p w14:paraId="1D0C5159">
            <w:pPr>
              <w:pStyle w:val="81"/>
              <w:rPr>
                <w:rFonts w:cs="Times New Roman"/>
                <w:color w:val="auto"/>
              </w:rPr>
            </w:pPr>
            <w:r>
              <w:rPr>
                <w:rFonts w:cs="Times New Roman"/>
                <w:color w:val="auto"/>
              </w:rPr>
              <w:t>取值</w:t>
            </w:r>
          </w:p>
        </w:tc>
      </w:tr>
      <w:tr w14:paraId="398699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3510B551">
            <w:pPr>
              <w:pStyle w:val="75"/>
            </w:pPr>
            <w:r>
              <w:t>城市/农村选项</w:t>
            </w:r>
          </w:p>
        </w:tc>
        <w:tc>
          <w:tcPr>
            <w:tcW w:w="3391" w:type="dxa"/>
            <w:vAlign w:val="center"/>
          </w:tcPr>
          <w:p w14:paraId="14794A2C">
            <w:pPr>
              <w:pStyle w:val="75"/>
            </w:pPr>
            <w:r>
              <w:t>城市/农村</w:t>
            </w:r>
          </w:p>
        </w:tc>
        <w:tc>
          <w:tcPr>
            <w:tcW w:w="2781" w:type="dxa"/>
            <w:vAlign w:val="center"/>
          </w:tcPr>
          <w:p w14:paraId="397EFAA9">
            <w:pPr>
              <w:pStyle w:val="75"/>
              <w:rPr>
                <w:spacing w:val="-4"/>
              </w:rPr>
            </w:pPr>
            <w:r>
              <w:rPr>
                <w:rFonts w:hint="eastAsia"/>
              </w:rPr>
              <w:t>农村</w:t>
            </w:r>
          </w:p>
        </w:tc>
      </w:tr>
      <w:tr w14:paraId="2B521B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5C631898">
            <w:pPr>
              <w:pStyle w:val="75"/>
            </w:pPr>
          </w:p>
        </w:tc>
        <w:tc>
          <w:tcPr>
            <w:tcW w:w="3391" w:type="dxa"/>
            <w:vAlign w:val="center"/>
          </w:tcPr>
          <w:p w14:paraId="5659B20E">
            <w:pPr>
              <w:pStyle w:val="75"/>
            </w:pPr>
            <w:r>
              <w:t>人口数（城市选项时）</w:t>
            </w:r>
          </w:p>
        </w:tc>
        <w:tc>
          <w:tcPr>
            <w:tcW w:w="2781" w:type="dxa"/>
            <w:vAlign w:val="center"/>
          </w:tcPr>
          <w:p w14:paraId="3745EB5F">
            <w:pPr>
              <w:pStyle w:val="75"/>
            </w:pPr>
            <w:r>
              <w:rPr>
                <w:rFonts w:hint="eastAsia"/>
              </w:rPr>
              <w:t>/</w:t>
            </w:r>
          </w:p>
        </w:tc>
      </w:tr>
      <w:tr w14:paraId="21283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69A6981E">
            <w:pPr>
              <w:pStyle w:val="75"/>
            </w:pPr>
            <w:r>
              <w:t>最高环境温度/℃</w:t>
            </w:r>
          </w:p>
        </w:tc>
        <w:tc>
          <w:tcPr>
            <w:tcW w:w="2781" w:type="dxa"/>
            <w:vAlign w:val="center"/>
          </w:tcPr>
          <w:p w14:paraId="3E592F79">
            <w:pPr>
              <w:pStyle w:val="75"/>
            </w:pPr>
            <w:r>
              <w:t>40.9</w:t>
            </w:r>
          </w:p>
        </w:tc>
      </w:tr>
      <w:tr w14:paraId="3E797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5B491FF2">
            <w:pPr>
              <w:pStyle w:val="75"/>
            </w:pPr>
            <w:r>
              <w:t>最低环境温度/℃</w:t>
            </w:r>
          </w:p>
        </w:tc>
        <w:tc>
          <w:tcPr>
            <w:tcW w:w="2781" w:type="dxa"/>
            <w:vAlign w:val="center"/>
          </w:tcPr>
          <w:p w14:paraId="33FE0370">
            <w:pPr>
              <w:pStyle w:val="75"/>
            </w:pPr>
            <w:r>
              <w:t>-13.1</w:t>
            </w:r>
          </w:p>
        </w:tc>
      </w:tr>
      <w:tr w14:paraId="330C37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05E5672C">
            <w:pPr>
              <w:pStyle w:val="75"/>
            </w:pPr>
            <w:r>
              <w:t>土地利用类型</w:t>
            </w:r>
          </w:p>
        </w:tc>
        <w:tc>
          <w:tcPr>
            <w:tcW w:w="2781" w:type="dxa"/>
            <w:vAlign w:val="center"/>
          </w:tcPr>
          <w:p w14:paraId="77213EDF">
            <w:pPr>
              <w:pStyle w:val="75"/>
            </w:pPr>
            <w:r>
              <w:rPr>
                <w:rFonts w:hint="eastAsia"/>
              </w:rPr>
              <w:t>农作地</w:t>
            </w:r>
          </w:p>
        </w:tc>
      </w:tr>
      <w:tr w14:paraId="18121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5E2E7AC4">
            <w:pPr>
              <w:pStyle w:val="75"/>
            </w:pPr>
            <w:r>
              <w:t>区域湿度条件</w:t>
            </w:r>
          </w:p>
        </w:tc>
        <w:tc>
          <w:tcPr>
            <w:tcW w:w="2781" w:type="dxa"/>
            <w:vAlign w:val="center"/>
          </w:tcPr>
          <w:p w14:paraId="04B66E00">
            <w:pPr>
              <w:pStyle w:val="75"/>
            </w:pPr>
            <w:r>
              <w:t>中等湿度气候</w:t>
            </w:r>
          </w:p>
        </w:tc>
      </w:tr>
      <w:tr w14:paraId="531F33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49D7C431">
            <w:pPr>
              <w:pStyle w:val="75"/>
            </w:pPr>
            <w:r>
              <w:t>是否考虑地形</w:t>
            </w:r>
          </w:p>
        </w:tc>
        <w:tc>
          <w:tcPr>
            <w:tcW w:w="3391" w:type="dxa"/>
            <w:vAlign w:val="center"/>
          </w:tcPr>
          <w:p w14:paraId="7D83E644">
            <w:pPr>
              <w:pStyle w:val="75"/>
            </w:pPr>
            <w:r>
              <w:t>考虑地形</w:t>
            </w:r>
          </w:p>
        </w:tc>
        <w:tc>
          <w:tcPr>
            <w:tcW w:w="2781" w:type="dxa"/>
            <w:vAlign w:val="center"/>
          </w:tcPr>
          <w:p w14:paraId="56B6F1F5">
            <w:pPr>
              <w:pStyle w:val="75"/>
              <w:rPr>
                <w:rFonts w:hint="eastAsia" w:eastAsia="宋体"/>
                <w:lang w:eastAsia="zh-CN"/>
              </w:rPr>
            </w:pPr>
            <w:r>
              <w:rPr>
                <w:rFonts w:hint="eastAsia"/>
                <w:lang w:val="en-US" w:eastAsia="zh-CN"/>
              </w:rPr>
              <w:t>是</w:t>
            </w:r>
          </w:p>
        </w:tc>
      </w:tr>
      <w:tr w14:paraId="487CCC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260C2339">
            <w:pPr>
              <w:pStyle w:val="75"/>
              <w:rPr>
                <w:spacing w:val="-4"/>
              </w:rPr>
            </w:pPr>
          </w:p>
        </w:tc>
        <w:tc>
          <w:tcPr>
            <w:tcW w:w="3391" w:type="dxa"/>
            <w:vAlign w:val="center"/>
          </w:tcPr>
          <w:p w14:paraId="5D5D6639">
            <w:pPr>
              <w:pStyle w:val="75"/>
            </w:pPr>
            <w:r>
              <w:t>地形数据分辨率/m</w:t>
            </w:r>
          </w:p>
        </w:tc>
        <w:tc>
          <w:tcPr>
            <w:tcW w:w="2781" w:type="dxa"/>
            <w:vAlign w:val="center"/>
          </w:tcPr>
          <w:p w14:paraId="0CEF2AF1">
            <w:pPr>
              <w:pStyle w:val="75"/>
            </w:pPr>
            <w:r>
              <w:t>90</w:t>
            </w:r>
          </w:p>
        </w:tc>
      </w:tr>
      <w:tr w14:paraId="297A5E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5CDDA2E3">
            <w:pPr>
              <w:pStyle w:val="75"/>
            </w:pPr>
            <w:r>
              <w:t>是否考虑岸线熏烟</w:t>
            </w:r>
          </w:p>
        </w:tc>
        <w:tc>
          <w:tcPr>
            <w:tcW w:w="3391" w:type="dxa"/>
            <w:vAlign w:val="center"/>
          </w:tcPr>
          <w:p w14:paraId="33485F47">
            <w:pPr>
              <w:pStyle w:val="75"/>
            </w:pPr>
            <w:r>
              <w:t>考虑岸线熏烟</w:t>
            </w:r>
          </w:p>
        </w:tc>
        <w:tc>
          <w:tcPr>
            <w:tcW w:w="2781" w:type="dxa"/>
            <w:vAlign w:val="center"/>
          </w:tcPr>
          <w:p w14:paraId="1EC9F31C">
            <w:pPr>
              <w:pStyle w:val="75"/>
            </w:pPr>
            <w:r>
              <w:t>否</w:t>
            </w:r>
          </w:p>
        </w:tc>
      </w:tr>
      <w:tr w14:paraId="150C8F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5422543B">
            <w:pPr>
              <w:pStyle w:val="75"/>
              <w:rPr>
                <w:spacing w:val="-4"/>
              </w:rPr>
            </w:pPr>
          </w:p>
        </w:tc>
        <w:tc>
          <w:tcPr>
            <w:tcW w:w="3391" w:type="dxa"/>
            <w:vAlign w:val="center"/>
          </w:tcPr>
          <w:p w14:paraId="4A60B848">
            <w:pPr>
              <w:pStyle w:val="75"/>
            </w:pPr>
            <w:r>
              <w:t>岸线距离/km</w:t>
            </w:r>
          </w:p>
        </w:tc>
        <w:tc>
          <w:tcPr>
            <w:tcW w:w="2781" w:type="dxa"/>
            <w:vAlign w:val="center"/>
          </w:tcPr>
          <w:p w14:paraId="4CC4C11A">
            <w:pPr>
              <w:pStyle w:val="75"/>
            </w:pPr>
            <w:r>
              <w:t>/</w:t>
            </w:r>
          </w:p>
        </w:tc>
      </w:tr>
      <w:tr w14:paraId="184B30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3C7EA626">
            <w:pPr>
              <w:pStyle w:val="75"/>
              <w:rPr>
                <w:spacing w:val="-4"/>
              </w:rPr>
            </w:pPr>
          </w:p>
        </w:tc>
        <w:tc>
          <w:tcPr>
            <w:tcW w:w="3391" w:type="dxa"/>
            <w:vAlign w:val="center"/>
          </w:tcPr>
          <w:p w14:paraId="0AC2B3AB">
            <w:pPr>
              <w:pStyle w:val="75"/>
            </w:pPr>
            <w:r>
              <w:t>岸线方向/º</w:t>
            </w:r>
          </w:p>
        </w:tc>
        <w:tc>
          <w:tcPr>
            <w:tcW w:w="2781" w:type="dxa"/>
            <w:vAlign w:val="center"/>
          </w:tcPr>
          <w:p w14:paraId="61723B13">
            <w:pPr>
              <w:pStyle w:val="75"/>
            </w:pPr>
            <w:r>
              <w:t>/</w:t>
            </w:r>
          </w:p>
        </w:tc>
      </w:tr>
    </w:tbl>
    <w:p w14:paraId="039DADD1">
      <w:pPr>
        <w:pStyle w:val="16"/>
        <w:keepNext w:val="0"/>
        <w:keepLines w:val="0"/>
        <w:pageBreakBefore w:val="0"/>
        <w:widowControl w:val="0"/>
        <w:kinsoku w:val="0"/>
        <w:wordWrap/>
        <w:overflowPunct w:val="0"/>
        <w:topLinePunct w:val="0"/>
        <w:autoSpaceDE/>
        <w:autoSpaceDN/>
        <w:bidi w:val="0"/>
        <w:adjustRightInd w:val="0"/>
        <w:snapToGrid w:val="0"/>
        <w:spacing w:after="0" w:line="520" w:lineRule="exact"/>
        <w:ind w:firstLine="480"/>
        <w:textAlignment w:val="baseline"/>
        <w:rPr>
          <w:rFonts w:hint="default" w:ascii="Times New Roman" w:hAnsi="Times New Roman" w:cs="Times New Roman"/>
          <w:b/>
          <w:sz w:val="24"/>
          <w:szCs w:val="24"/>
          <w:lang w:eastAsia="zh-CN"/>
        </w:rPr>
      </w:pPr>
      <w:r>
        <w:rPr>
          <w:rFonts w:hint="default" w:ascii="Times New Roman" w:hAnsi="Times New Roman" w:cs="Times New Roman"/>
          <w:sz w:val="24"/>
          <w:szCs w:val="24"/>
        </w:rPr>
        <w:t>每一种污染物的最大地面浓度占标率</w:t>
      </w:r>
      <w:r>
        <w:rPr>
          <w:rFonts w:hint="default" w:ascii="Times New Roman" w:hAnsi="Times New Roman" w:eastAsia="Times New Roman" w:cs="Times New Roman"/>
          <w:sz w:val="24"/>
          <w:szCs w:val="24"/>
        </w:rPr>
        <w:t>P</w:t>
      </w:r>
      <w:r>
        <w:rPr>
          <w:rFonts w:hint="default" w:ascii="Times New Roman" w:hAnsi="Times New Roman" w:eastAsia="Times New Roman" w:cs="Times New Roman"/>
          <w:sz w:val="15"/>
          <w:szCs w:val="24"/>
        </w:rPr>
        <w:t>i</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第</w:t>
      </w:r>
      <w:r>
        <w:rPr>
          <w:rFonts w:hint="default" w:ascii="Times New Roman" w:hAnsi="Times New Roman" w:eastAsia="Times New Roman" w:cs="Times New Roman"/>
          <w:sz w:val="24"/>
          <w:szCs w:val="24"/>
        </w:rPr>
        <w:t>i</w:t>
      </w:r>
      <w:r>
        <w:rPr>
          <w:rFonts w:hint="default" w:ascii="Times New Roman" w:hAnsi="Times New Roman" w:cs="Times New Roman"/>
          <w:sz w:val="24"/>
          <w:szCs w:val="24"/>
        </w:rPr>
        <w:t>个污染物</w:t>
      </w:r>
      <w:r>
        <w:rPr>
          <w:rFonts w:hint="default" w:ascii="Times New Roman" w:hAnsi="Times New Roman" w:cs="Times New Roman"/>
          <w:sz w:val="24"/>
          <w:szCs w:val="24"/>
          <w:lang w:eastAsia="zh-CN"/>
        </w:rPr>
        <w:t>）</w:t>
      </w:r>
      <w:r>
        <w:rPr>
          <w:rFonts w:hint="default" w:ascii="Times New Roman" w:hAnsi="Times New Roman" w:cs="Times New Roman"/>
          <w:sz w:val="24"/>
          <w:szCs w:val="24"/>
        </w:rPr>
        <w:t>，及第</w:t>
      </w:r>
      <w:r>
        <w:rPr>
          <w:rFonts w:hint="default" w:ascii="Times New Roman" w:hAnsi="Times New Roman" w:eastAsia="Times New Roman" w:cs="Times New Roman"/>
          <w:sz w:val="24"/>
          <w:szCs w:val="24"/>
        </w:rPr>
        <w:t>i</w:t>
      </w:r>
      <w:r>
        <w:rPr>
          <w:rFonts w:hint="default" w:ascii="Times New Roman" w:hAnsi="Times New Roman" w:cs="Times New Roman"/>
          <w:sz w:val="24"/>
          <w:szCs w:val="24"/>
        </w:rPr>
        <w:t>个污染物的地面浓度达标准限值</w:t>
      </w:r>
      <w:r>
        <w:rPr>
          <w:rFonts w:hint="default" w:ascii="Times New Roman" w:hAnsi="Times New Roman" w:eastAsia="Times New Roman" w:cs="Times New Roman"/>
          <w:sz w:val="24"/>
          <w:szCs w:val="24"/>
        </w:rPr>
        <w:t>10%</w:t>
      </w:r>
      <w:r>
        <w:rPr>
          <w:rFonts w:hint="default" w:ascii="Times New Roman" w:hAnsi="Times New Roman" w:cs="Times New Roman"/>
          <w:sz w:val="24"/>
          <w:szCs w:val="24"/>
        </w:rPr>
        <w:t>时所对应的最远距离</w:t>
      </w:r>
      <w:r>
        <w:rPr>
          <w:rFonts w:hint="default" w:ascii="Times New Roman" w:hAnsi="Times New Roman" w:eastAsia="Times New Roman" w:cs="Times New Roman"/>
          <w:sz w:val="24"/>
          <w:szCs w:val="24"/>
        </w:rPr>
        <w:t>D</w:t>
      </w:r>
      <w:r>
        <w:rPr>
          <w:rFonts w:hint="default" w:ascii="Times New Roman" w:hAnsi="Times New Roman" w:eastAsia="Times New Roman" w:cs="Times New Roman"/>
          <w:sz w:val="15"/>
          <w:szCs w:val="24"/>
        </w:rPr>
        <w:t>10%</w:t>
      </w:r>
      <w:r>
        <w:rPr>
          <w:rFonts w:hint="default" w:ascii="Times New Roman" w:hAnsi="Times New Roman" w:cs="Times New Roman"/>
          <w:sz w:val="24"/>
          <w:szCs w:val="24"/>
        </w:rPr>
        <w:t>，其中</w:t>
      </w:r>
      <w:r>
        <w:rPr>
          <w:rFonts w:hint="default" w:ascii="Times New Roman" w:hAnsi="Times New Roman" w:eastAsia="Times New Roman" w:cs="Times New Roman"/>
          <w:sz w:val="24"/>
          <w:szCs w:val="24"/>
        </w:rPr>
        <w:t>P</w:t>
      </w:r>
      <w:r>
        <w:rPr>
          <w:rFonts w:hint="default" w:ascii="Times New Roman" w:hAnsi="Times New Roman" w:eastAsia="Times New Roman" w:cs="Times New Roman"/>
          <w:sz w:val="15"/>
          <w:szCs w:val="24"/>
        </w:rPr>
        <w:t>i</w:t>
      </w:r>
      <w:r>
        <w:rPr>
          <w:rFonts w:hint="default" w:ascii="Times New Roman" w:hAnsi="Times New Roman" w:cs="Times New Roman"/>
          <w:sz w:val="24"/>
          <w:szCs w:val="24"/>
        </w:rPr>
        <w:t>定义为：</w:t>
      </w:r>
    </w:p>
    <w:p w14:paraId="29148CEA">
      <w:pPr>
        <w:pStyle w:val="16"/>
        <w:keepNext w:val="0"/>
        <w:keepLines w:val="0"/>
        <w:pageBreakBefore w:val="0"/>
        <w:widowControl w:val="0"/>
        <w:kinsoku w:val="0"/>
        <w:wordWrap/>
        <w:overflowPunct w:val="0"/>
        <w:topLinePunct w:val="0"/>
        <w:autoSpaceDE/>
        <w:autoSpaceDN/>
        <w:bidi w:val="0"/>
        <w:adjustRightInd w:val="0"/>
        <w:snapToGrid w:val="0"/>
        <w:spacing w:after="0"/>
        <w:textAlignment w:val="baseline"/>
        <w:rPr>
          <w:rFonts w:hint="default" w:ascii="Times New Roman" w:hAnsi="Times New Roman" w:cs="Times New Roman"/>
          <w:sz w:val="24"/>
          <w:szCs w:val="24"/>
        </w:rPr>
      </w:pPr>
      <w:r>
        <w:rPr>
          <w:rFonts w:hint="default" w:ascii="Times New Roman" w:hAnsi="Times New Roman" w:cs="Times New Roman"/>
          <w:b/>
          <w:sz w:val="24"/>
          <w:szCs w:val="24"/>
          <w:lang w:eastAsia="zh-CN"/>
        </w:rPr>
        <w:pict>
          <v:shape id="_x0000_s1030" o:spid="_x0000_s1030" o:spt="75" type="#_x0000_t75" style="position:absolute;left:0pt;margin-left:157.5pt;margin-top:12.2pt;height:33.85pt;width:78pt;z-index:251701248;mso-width-relative:page;mso-height-relative:page;" o:ole="t" filled="f" o:preferrelative="t" stroked="f" coordsize="21600,21600">
            <v:path/>
            <v:fill on="f" focussize="0,0"/>
            <v:stroke on="f"/>
            <v:imagedata r:id="rId15" o:title=""/>
            <o:lock v:ext="edit" aspectratio="t"/>
          </v:shape>
          <o:OLEObject Type="Embed" ProgID="" ShapeID="_x0000_s1030" DrawAspect="Content" ObjectID="_1468075725" r:id="rId14">
            <o:LockedField>false</o:LockedField>
          </o:OLEObject>
        </w:pict>
      </w:r>
    </w:p>
    <w:p w14:paraId="68BC8FCD">
      <w:pPr>
        <w:pStyle w:val="16"/>
        <w:keepNext w:val="0"/>
        <w:keepLines w:val="0"/>
        <w:pageBreakBefore w:val="0"/>
        <w:widowControl w:val="0"/>
        <w:kinsoku w:val="0"/>
        <w:wordWrap/>
        <w:overflowPunct w:val="0"/>
        <w:topLinePunct w:val="0"/>
        <w:autoSpaceDE/>
        <w:autoSpaceDN/>
        <w:bidi w:val="0"/>
        <w:adjustRightInd w:val="0"/>
        <w:snapToGrid w:val="0"/>
        <w:spacing w:after="0"/>
        <w:textAlignment w:val="baseline"/>
        <w:rPr>
          <w:rFonts w:hint="default" w:ascii="Times New Roman" w:hAnsi="Times New Roman" w:cs="Times New Roman"/>
          <w:sz w:val="24"/>
          <w:szCs w:val="24"/>
        </w:rPr>
      </w:pPr>
    </w:p>
    <w:p w14:paraId="779FE59D">
      <w:pPr>
        <w:pStyle w:val="16"/>
        <w:keepNext w:val="0"/>
        <w:keepLines w:val="0"/>
        <w:pageBreakBefore w:val="0"/>
        <w:widowControl w:val="0"/>
        <w:kinsoku/>
        <w:wordWrap/>
        <w:overflowPunct w:val="0"/>
        <w:topLinePunct w:val="0"/>
        <w:autoSpaceDE/>
        <w:autoSpaceDN/>
        <w:bidi w:val="0"/>
        <w:adjustRightInd w:val="0"/>
        <w:snapToGrid w:val="0"/>
        <w:spacing w:after="0"/>
        <w:textAlignment w:val="baseline"/>
        <w:rPr>
          <w:rFonts w:hint="default" w:ascii="Times New Roman" w:hAnsi="Times New Roman" w:eastAsia="Times New Roman" w:cs="Times New Roman"/>
          <w:sz w:val="24"/>
          <w:szCs w:val="24"/>
        </w:rPr>
      </w:pPr>
      <w:r>
        <w:rPr>
          <w:rFonts w:hint="default" w:ascii="Times New Roman" w:hAnsi="Times New Roman" w:cs="Times New Roman"/>
          <w:sz w:val="24"/>
          <w:szCs w:val="24"/>
        </w:rPr>
        <w:t>式中：</w:t>
      </w:r>
      <w:r>
        <w:rPr>
          <w:rFonts w:hint="default" w:ascii="Times New Roman" w:hAnsi="Times New Roman" w:eastAsia="Times New Roman" w:cs="Times New Roman"/>
          <w:sz w:val="24"/>
          <w:szCs w:val="24"/>
        </w:rPr>
        <w:t>Pi</w:t>
      </w:r>
      <w:r>
        <w:rPr>
          <w:rFonts w:hint="default" w:ascii="Times New Roman" w:hAnsi="Times New Roman" w:cs="Times New Roman"/>
          <w:sz w:val="24"/>
          <w:szCs w:val="24"/>
        </w:rPr>
        <w:t>－第</w:t>
      </w:r>
      <w:r>
        <w:rPr>
          <w:rFonts w:hint="default" w:ascii="Times New Roman" w:hAnsi="Times New Roman" w:eastAsia="Times New Roman" w:cs="Times New Roman"/>
          <w:sz w:val="24"/>
          <w:szCs w:val="24"/>
        </w:rPr>
        <w:t>i</w:t>
      </w:r>
      <w:r>
        <w:rPr>
          <w:rFonts w:hint="default" w:ascii="Times New Roman" w:hAnsi="Times New Roman" w:cs="Times New Roman"/>
          <w:sz w:val="24"/>
          <w:szCs w:val="24"/>
        </w:rPr>
        <w:t>个污染物的最大落地浓度占标率，</w:t>
      </w:r>
      <w:r>
        <w:rPr>
          <w:rFonts w:hint="default" w:ascii="Times New Roman" w:hAnsi="Times New Roman" w:eastAsia="Times New Roman" w:cs="Times New Roman"/>
          <w:sz w:val="24"/>
          <w:szCs w:val="24"/>
        </w:rPr>
        <w:t>%</w:t>
      </w:r>
      <w:r>
        <w:rPr>
          <w:rFonts w:hint="default" w:ascii="Times New Roman" w:hAnsi="Times New Roman" w:cs="Times New Roman"/>
          <w:sz w:val="24"/>
          <w:szCs w:val="24"/>
        </w:rPr>
        <w:t>；</w:t>
      </w:r>
    </w:p>
    <w:p w14:paraId="192038C8">
      <w:pPr>
        <w:pStyle w:val="16"/>
        <w:keepNext w:val="0"/>
        <w:keepLines w:val="0"/>
        <w:pageBreakBefore w:val="0"/>
        <w:widowControl w:val="0"/>
        <w:kinsoku/>
        <w:wordWrap/>
        <w:overflowPunct w:val="0"/>
        <w:topLinePunct w:val="0"/>
        <w:autoSpaceDE/>
        <w:autoSpaceDN/>
        <w:bidi w:val="0"/>
        <w:adjustRightInd w:val="0"/>
        <w:snapToGrid w:val="0"/>
        <w:spacing w:after="0"/>
        <w:jc w:val="left"/>
        <w:textAlignment w:val="baseline"/>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w:t>
      </w:r>
      <w:r>
        <w:rPr>
          <w:rFonts w:hint="default" w:ascii="Times New Roman" w:hAnsi="Times New Roman" w:eastAsia="Times New Roman" w:cs="Times New Roman"/>
          <w:sz w:val="24"/>
          <w:szCs w:val="24"/>
          <w:vertAlign w:val="subscript"/>
        </w:rPr>
        <w:t>i</w:t>
      </w:r>
      <w:r>
        <w:rPr>
          <w:rFonts w:hint="default" w:ascii="Times New Roman" w:hAnsi="Times New Roman" w:cs="Times New Roman"/>
          <w:sz w:val="24"/>
          <w:szCs w:val="24"/>
        </w:rPr>
        <w:t>－采用估算模式计算出的第</w:t>
      </w:r>
      <w:r>
        <w:rPr>
          <w:rFonts w:hint="default" w:ascii="Times New Roman" w:hAnsi="Times New Roman" w:eastAsia="Times New Roman" w:cs="Times New Roman"/>
          <w:sz w:val="24"/>
          <w:szCs w:val="24"/>
        </w:rPr>
        <w:t>i</w:t>
      </w:r>
      <w:r>
        <w:rPr>
          <w:rFonts w:hint="default" w:ascii="Times New Roman" w:hAnsi="Times New Roman" w:cs="Times New Roman"/>
          <w:sz w:val="24"/>
          <w:szCs w:val="24"/>
        </w:rPr>
        <w:t>个污染物的最大</w:t>
      </w:r>
      <w:r>
        <w:rPr>
          <w:rFonts w:hint="default" w:ascii="Times New Roman" w:hAnsi="Times New Roman" w:eastAsia="Times New Roman" w:cs="Times New Roman"/>
          <w:sz w:val="24"/>
          <w:szCs w:val="24"/>
        </w:rPr>
        <w:t>1h</w:t>
      </w:r>
      <w:r>
        <w:rPr>
          <w:rFonts w:hint="default" w:ascii="Times New Roman" w:hAnsi="Times New Roman" w:cs="Times New Roman"/>
          <w:sz w:val="24"/>
          <w:szCs w:val="24"/>
        </w:rPr>
        <w:t>地面空气质量浓度</w:t>
      </w:r>
      <w:r>
        <w:rPr>
          <w:rFonts w:hint="eastAsia" w:cs="Times New Roman"/>
          <w:sz w:val="24"/>
          <w:szCs w:val="24"/>
          <w:lang w:eastAsia="zh-CN"/>
        </w:rPr>
        <w:t>，</w:t>
      </w:r>
      <w:r>
        <w:rPr>
          <w:rFonts w:hint="default" w:ascii="Times New Roman" w:hAnsi="Times New Roman" w:eastAsia="Times New Roman" w:cs="Times New Roman"/>
          <w:sz w:val="24"/>
          <w:szCs w:val="24"/>
        </w:rPr>
        <w:t>μg/m</w:t>
      </w:r>
      <w:r>
        <w:rPr>
          <w:rFonts w:hint="default" w:ascii="Times New Roman" w:hAnsi="Times New Roman" w:eastAsia="Times New Roman" w:cs="Times New Roman"/>
          <w:sz w:val="24"/>
          <w:szCs w:val="24"/>
          <w:vertAlign w:val="superscript"/>
        </w:rPr>
        <w:t>3</w:t>
      </w:r>
      <w:r>
        <w:rPr>
          <w:rFonts w:hint="default" w:ascii="Times New Roman" w:hAnsi="Times New Roman" w:cs="Times New Roman"/>
          <w:sz w:val="24"/>
          <w:szCs w:val="24"/>
        </w:rPr>
        <w:t>；</w:t>
      </w:r>
    </w:p>
    <w:p w14:paraId="3E72ABC7">
      <w:pPr>
        <w:pStyle w:val="16"/>
        <w:keepNext w:val="0"/>
        <w:keepLines w:val="0"/>
        <w:pageBreakBefore w:val="0"/>
        <w:widowControl w:val="0"/>
        <w:kinsoku w:val="0"/>
        <w:wordWrap/>
        <w:overflowPunct w:val="0"/>
        <w:topLinePunct w:val="0"/>
        <w:autoSpaceDE/>
        <w:autoSpaceDN/>
        <w:bidi w:val="0"/>
        <w:spacing w:after="0"/>
        <w:ind w:firstLine="720"/>
        <w:jc w:val="both"/>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C</w:t>
      </w:r>
      <w:r>
        <w:rPr>
          <w:rFonts w:hint="default" w:ascii="Times New Roman" w:hAnsi="Times New Roman" w:eastAsia="Times New Roman" w:cs="Times New Roman"/>
          <w:sz w:val="24"/>
          <w:szCs w:val="24"/>
          <w:vertAlign w:val="subscript"/>
        </w:rPr>
        <w:t>0i</w:t>
      </w:r>
      <w:r>
        <w:rPr>
          <w:rFonts w:hint="default" w:ascii="Times New Roman" w:hAnsi="Times New Roman" w:cs="Times New Roman"/>
          <w:sz w:val="24"/>
          <w:szCs w:val="24"/>
        </w:rPr>
        <w:t>－第</w:t>
      </w:r>
      <w:r>
        <w:rPr>
          <w:rFonts w:hint="default" w:ascii="Times New Roman" w:hAnsi="Times New Roman" w:eastAsia="Times New Roman" w:cs="Times New Roman"/>
          <w:sz w:val="24"/>
          <w:szCs w:val="24"/>
        </w:rPr>
        <w:t>i</w:t>
      </w:r>
      <w:r>
        <w:rPr>
          <w:rFonts w:hint="default" w:ascii="Times New Roman" w:hAnsi="Times New Roman" w:cs="Times New Roman"/>
          <w:sz w:val="24"/>
          <w:szCs w:val="24"/>
        </w:rPr>
        <w:t>个污染物的环境空气质量标准，</w:t>
      </w:r>
      <w:r>
        <w:rPr>
          <w:rFonts w:hint="default" w:ascii="Times New Roman" w:hAnsi="Times New Roman" w:eastAsia="Times New Roman" w:cs="Times New Roman"/>
          <w:sz w:val="24"/>
          <w:szCs w:val="24"/>
        </w:rPr>
        <w:t>μg/m</w:t>
      </w:r>
      <w:r>
        <w:rPr>
          <w:rFonts w:hint="default" w:ascii="Times New Roman" w:hAnsi="Times New Roman" w:eastAsia="Times New Roman" w:cs="Times New Roman"/>
          <w:sz w:val="24"/>
          <w:szCs w:val="24"/>
          <w:vertAlign w:val="superscript"/>
        </w:rPr>
        <w:t>3</w:t>
      </w:r>
      <w:r>
        <w:rPr>
          <w:rFonts w:hint="default" w:ascii="Times New Roman" w:hAnsi="Times New Roman" w:cs="Times New Roman"/>
          <w:sz w:val="24"/>
          <w:szCs w:val="24"/>
        </w:rPr>
        <w:t>。一般选用</w:t>
      </w:r>
      <w:r>
        <w:rPr>
          <w:rFonts w:hint="default" w:ascii="Times New Roman" w:hAnsi="Times New Roman" w:eastAsia="Times New Roman" w:cs="Times New Roman"/>
          <w:sz w:val="24"/>
          <w:szCs w:val="24"/>
        </w:rPr>
        <w:t>GB3095</w:t>
      </w:r>
      <w:r>
        <w:rPr>
          <w:rFonts w:hint="default" w:ascii="Times New Roman" w:hAnsi="Times New Roman" w:cs="Times New Roman"/>
          <w:sz w:val="24"/>
          <w:szCs w:val="24"/>
        </w:rPr>
        <w:t>中</w:t>
      </w:r>
      <w:r>
        <w:rPr>
          <w:rFonts w:hint="default" w:ascii="Times New Roman" w:hAnsi="Times New Roman" w:eastAsia="Times New Roman" w:cs="Times New Roman"/>
          <w:sz w:val="24"/>
          <w:szCs w:val="24"/>
        </w:rPr>
        <w:t>1h</w:t>
      </w:r>
      <w:r>
        <w:rPr>
          <w:rFonts w:hint="default" w:ascii="Times New Roman" w:hAnsi="Times New Roman" w:cs="Times New Roman"/>
          <w:sz w:val="24"/>
          <w:szCs w:val="24"/>
        </w:rPr>
        <w:t>平均质量浓度的二级浓度限值，对仅有</w:t>
      </w:r>
      <w:r>
        <w:rPr>
          <w:rFonts w:hint="default" w:ascii="Times New Roman" w:hAnsi="Times New Roman" w:eastAsia="Times New Roman" w:cs="Times New Roman"/>
          <w:sz w:val="24"/>
          <w:szCs w:val="24"/>
        </w:rPr>
        <w:t>8h</w:t>
      </w:r>
      <w:r>
        <w:rPr>
          <w:rFonts w:hint="default" w:ascii="Times New Roman" w:hAnsi="Times New Roman" w:cs="Times New Roman"/>
          <w:sz w:val="24"/>
          <w:szCs w:val="24"/>
        </w:rPr>
        <w:t>平均质量浓度限值、日平均质量浓度限值或年平均质量浓度限值的，可分别按</w:t>
      </w:r>
      <w:r>
        <w:rPr>
          <w:rFonts w:hint="default" w:ascii="Times New Roman" w:hAnsi="Times New Roman" w:eastAsia="Times New Roman" w:cs="Times New Roman"/>
          <w:sz w:val="24"/>
          <w:szCs w:val="24"/>
        </w:rPr>
        <w:t>2</w:t>
      </w:r>
      <w:r>
        <w:rPr>
          <w:rFonts w:hint="default" w:ascii="Times New Roman" w:hAnsi="Times New Roman" w:cs="Times New Roman"/>
          <w:sz w:val="24"/>
          <w:szCs w:val="24"/>
        </w:rPr>
        <w:t>倍、</w:t>
      </w:r>
      <w:r>
        <w:rPr>
          <w:rFonts w:hint="default" w:ascii="Times New Roman" w:hAnsi="Times New Roman" w:eastAsia="Times New Roman" w:cs="Times New Roman"/>
          <w:sz w:val="24"/>
          <w:szCs w:val="24"/>
        </w:rPr>
        <w:t>3</w:t>
      </w:r>
      <w:r>
        <w:rPr>
          <w:rFonts w:hint="default" w:ascii="Times New Roman" w:hAnsi="Times New Roman" w:cs="Times New Roman"/>
          <w:sz w:val="24"/>
          <w:szCs w:val="24"/>
        </w:rPr>
        <w:t>倍、</w:t>
      </w:r>
      <w:r>
        <w:rPr>
          <w:rFonts w:hint="default" w:ascii="Times New Roman" w:hAnsi="Times New Roman" w:eastAsia="Times New Roman" w:cs="Times New Roman"/>
          <w:sz w:val="24"/>
          <w:szCs w:val="24"/>
        </w:rPr>
        <w:t>6</w:t>
      </w:r>
      <w:r>
        <w:rPr>
          <w:rFonts w:hint="default" w:ascii="Times New Roman" w:hAnsi="Times New Roman" w:cs="Times New Roman"/>
          <w:sz w:val="24"/>
          <w:szCs w:val="24"/>
        </w:rPr>
        <w:t>倍折算为</w:t>
      </w:r>
      <w:r>
        <w:rPr>
          <w:rFonts w:hint="default" w:ascii="Times New Roman" w:hAnsi="Times New Roman" w:eastAsia="Times New Roman" w:cs="Times New Roman"/>
          <w:sz w:val="24"/>
          <w:szCs w:val="24"/>
        </w:rPr>
        <w:t>1h</w:t>
      </w:r>
      <w:r>
        <w:rPr>
          <w:rFonts w:hint="default" w:ascii="Times New Roman" w:hAnsi="Times New Roman" w:cs="Times New Roman"/>
          <w:sz w:val="24"/>
          <w:szCs w:val="24"/>
        </w:rPr>
        <w:t>平均质量浓度限值。</w:t>
      </w:r>
    </w:p>
    <w:p w14:paraId="13E7E82D">
      <w:pPr>
        <w:pStyle w:val="72"/>
        <w:keepNext w:val="0"/>
        <w:keepLines w:val="0"/>
        <w:pageBreakBefore w:val="0"/>
        <w:widowControl w:val="0"/>
        <w:wordWrap/>
        <w:topLinePunct w:val="0"/>
        <w:autoSpaceDE/>
        <w:autoSpaceDN/>
        <w:bidi w:val="0"/>
        <w:rPr>
          <w:rFonts w:hint="eastAsia"/>
        </w:rPr>
      </w:pPr>
      <w:r>
        <w:rPr>
          <w:rFonts w:hint="eastAsia"/>
        </w:rPr>
        <w:t>评价工作等级的判定依据见表</w:t>
      </w:r>
      <w:r>
        <w:rPr>
          <w:rFonts w:hint="eastAsia"/>
          <w:lang w:val="en-US" w:eastAsia="zh-CN"/>
        </w:rPr>
        <w:t>2.4-2</w:t>
      </w:r>
      <w:r>
        <w:rPr>
          <w:rFonts w:hint="eastAsia"/>
        </w:rPr>
        <w:t>。</w:t>
      </w:r>
    </w:p>
    <w:p w14:paraId="4D13D38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eastAsia="宋体"/>
          <w:lang w:val="en-US" w:eastAsia="zh-CN"/>
        </w:rPr>
      </w:pPr>
      <w:r>
        <w:rPr>
          <w:rFonts w:hint="eastAsia"/>
        </w:rPr>
        <w:t>表</w:t>
      </w:r>
      <w:r>
        <w:rPr>
          <w:rFonts w:hint="eastAsia"/>
          <w:lang w:val="en-US" w:eastAsia="zh-CN"/>
        </w:rPr>
        <w:t>2.4-2</w:t>
      </w:r>
      <w:r>
        <w:rPr>
          <w:rFonts w:hint="eastAsia"/>
        </w:rPr>
        <w:t xml:space="preserve">   </w:t>
      </w:r>
      <w:r>
        <w:rPr>
          <w:rFonts w:hint="eastAsia"/>
          <w:lang w:val="en-US" w:eastAsia="zh-CN"/>
        </w:rPr>
        <w:t xml:space="preserve"> 评价工作等级划分依据一览表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2381"/>
        <w:gridCol w:w="5987"/>
      </w:tblGrid>
      <w:tr w14:paraId="20C661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81" w:type="dxa"/>
            <w:tcBorders>
              <w:top w:val="single" w:color="000000" w:sz="8" w:space="0"/>
              <w:left w:val="single" w:color="000000" w:sz="8" w:space="0"/>
              <w:bottom w:val="single" w:color="000000" w:sz="4" w:space="0"/>
              <w:right w:val="single" w:color="000000" w:sz="4" w:space="0"/>
              <w:tl2br w:val="nil"/>
              <w:tr2bl w:val="nil"/>
            </w:tcBorders>
            <w:noWrap w:val="0"/>
            <w:vAlign w:val="center"/>
          </w:tcPr>
          <w:p w14:paraId="6A4D978A">
            <w:pPr>
              <w:pStyle w:val="126"/>
              <w:spacing w:line="240" w:lineRule="auto"/>
              <w:ind w:firstLine="0" w:firstLineChars="0"/>
              <w:jc w:val="center"/>
              <w:rPr>
                <w:rFonts w:hint="default" w:ascii="Times New Roman" w:hAnsi="Times New Roman" w:cs="Times New Roman"/>
                <w:b/>
                <w:sz w:val="21"/>
                <w:szCs w:val="24"/>
              </w:rPr>
            </w:pPr>
            <w:r>
              <w:rPr>
                <w:rFonts w:hint="default" w:ascii="Times New Roman" w:hAnsi="Times New Roman" w:eastAsia="宋体" w:cs="Times New Roman"/>
                <w:b/>
                <w:sz w:val="21"/>
                <w:szCs w:val="24"/>
              </w:rPr>
              <w:t>评价工作等级</w:t>
            </w:r>
          </w:p>
        </w:tc>
        <w:tc>
          <w:tcPr>
            <w:tcW w:w="5985" w:type="dxa"/>
            <w:tcBorders>
              <w:top w:val="single" w:color="000000" w:sz="8" w:space="0"/>
              <w:left w:val="single" w:color="000000" w:sz="4" w:space="0"/>
              <w:bottom w:val="single" w:color="000000" w:sz="4" w:space="0"/>
              <w:right w:val="single" w:color="000000" w:sz="8" w:space="0"/>
              <w:tl2br w:val="nil"/>
              <w:tr2bl w:val="nil"/>
            </w:tcBorders>
            <w:noWrap w:val="0"/>
            <w:vAlign w:val="center"/>
          </w:tcPr>
          <w:p w14:paraId="60CB53B3">
            <w:pPr>
              <w:pStyle w:val="126"/>
              <w:spacing w:line="240" w:lineRule="auto"/>
              <w:ind w:firstLine="0" w:firstLineChars="0"/>
              <w:jc w:val="center"/>
              <w:rPr>
                <w:rFonts w:hint="default" w:ascii="Times New Roman" w:hAnsi="Times New Roman" w:cs="Times New Roman"/>
                <w:b/>
                <w:sz w:val="21"/>
                <w:szCs w:val="24"/>
              </w:rPr>
            </w:pPr>
            <w:r>
              <w:rPr>
                <w:rFonts w:hint="default" w:ascii="Times New Roman" w:hAnsi="Times New Roman" w:eastAsia="宋体" w:cs="Times New Roman"/>
                <w:b/>
                <w:sz w:val="21"/>
                <w:szCs w:val="24"/>
              </w:rPr>
              <w:t>评价工作等级判据</w:t>
            </w:r>
          </w:p>
        </w:tc>
      </w:tr>
      <w:tr w14:paraId="5212E71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81" w:type="dxa"/>
            <w:tcBorders>
              <w:top w:val="single" w:color="000000" w:sz="4" w:space="0"/>
              <w:left w:val="single" w:color="000000" w:sz="8" w:space="0"/>
              <w:bottom w:val="single" w:color="000000" w:sz="4" w:space="0"/>
              <w:right w:val="single" w:color="000000" w:sz="4" w:space="0"/>
              <w:tl2br w:val="nil"/>
              <w:tr2bl w:val="nil"/>
            </w:tcBorders>
            <w:noWrap w:val="0"/>
            <w:vAlign w:val="center"/>
          </w:tcPr>
          <w:p w14:paraId="5983E428">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eastAsia="宋体" w:cs="Times New Roman"/>
                <w:sz w:val="21"/>
                <w:szCs w:val="24"/>
              </w:rPr>
              <w:t>一级</w:t>
            </w:r>
          </w:p>
        </w:tc>
        <w:tc>
          <w:tcPr>
            <w:tcW w:w="5985" w:type="dxa"/>
            <w:tcBorders>
              <w:top w:val="single" w:color="000000" w:sz="4" w:space="0"/>
              <w:left w:val="single" w:color="000000" w:sz="4" w:space="0"/>
              <w:bottom w:val="single" w:color="000000" w:sz="4" w:space="0"/>
              <w:right w:val="single" w:color="000000" w:sz="8" w:space="0"/>
              <w:tl2br w:val="nil"/>
              <w:tr2bl w:val="nil"/>
            </w:tcBorders>
            <w:noWrap w:val="0"/>
            <w:vAlign w:val="center"/>
          </w:tcPr>
          <w:p w14:paraId="636BE037">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cs="Times New Roman"/>
                <w:sz w:val="21"/>
                <w:szCs w:val="24"/>
              </w:rPr>
              <w:t>Pmax≥10%</w:t>
            </w:r>
          </w:p>
        </w:tc>
      </w:tr>
      <w:tr w14:paraId="2C86BC4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81" w:type="dxa"/>
            <w:tcBorders>
              <w:top w:val="single" w:color="000000" w:sz="4" w:space="0"/>
              <w:left w:val="single" w:color="000000" w:sz="8" w:space="0"/>
              <w:bottom w:val="single" w:color="000000" w:sz="4" w:space="0"/>
              <w:right w:val="single" w:color="000000" w:sz="4" w:space="0"/>
              <w:tl2br w:val="nil"/>
              <w:tr2bl w:val="nil"/>
            </w:tcBorders>
            <w:noWrap w:val="0"/>
            <w:vAlign w:val="center"/>
          </w:tcPr>
          <w:p w14:paraId="255899FE">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eastAsia="宋体" w:cs="Times New Roman"/>
                <w:sz w:val="21"/>
                <w:szCs w:val="24"/>
              </w:rPr>
              <w:t>二级</w:t>
            </w:r>
          </w:p>
        </w:tc>
        <w:tc>
          <w:tcPr>
            <w:tcW w:w="5985" w:type="dxa"/>
            <w:tcBorders>
              <w:top w:val="single" w:color="000000" w:sz="4" w:space="0"/>
              <w:left w:val="single" w:color="000000" w:sz="4" w:space="0"/>
              <w:bottom w:val="single" w:color="000000" w:sz="4" w:space="0"/>
              <w:right w:val="single" w:color="000000" w:sz="8" w:space="0"/>
              <w:tl2br w:val="nil"/>
              <w:tr2bl w:val="nil"/>
            </w:tcBorders>
            <w:noWrap w:val="0"/>
            <w:vAlign w:val="center"/>
          </w:tcPr>
          <w:p w14:paraId="29DA9526">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cs="Times New Roman"/>
                <w:sz w:val="21"/>
                <w:szCs w:val="24"/>
              </w:rPr>
              <w:t>1%≤Pmax</w:t>
            </w:r>
            <w:r>
              <w:rPr>
                <w:rFonts w:hint="default" w:ascii="Times New Roman" w:hAnsi="Times New Roman" w:eastAsia="宋体" w:cs="Times New Roman"/>
                <w:sz w:val="21"/>
                <w:szCs w:val="24"/>
                <w:lang w:eastAsia="zh-CN"/>
              </w:rPr>
              <w:t>﹤</w:t>
            </w:r>
            <w:r>
              <w:rPr>
                <w:rFonts w:hint="default" w:ascii="Times New Roman" w:hAnsi="Times New Roman" w:cs="Times New Roman"/>
                <w:sz w:val="21"/>
                <w:szCs w:val="24"/>
              </w:rPr>
              <w:t>10%</w:t>
            </w:r>
          </w:p>
        </w:tc>
      </w:tr>
      <w:tr w14:paraId="49DFE1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81" w:type="dxa"/>
            <w:tcBorders>
              <w:top w:val="single" w:color="000000" w:sz="4" w:space="0"/>
              <w:left w:val="single" w:color="000000" w:sz="8" w:space="0"/>
              <w:bottom w:val="single" w:color="000000" w:sz="8" w:space="0"/>
              <w:right w:val="single" w:color="000000" w:sz="4" w:space="0"/>
              <w:tl2br w:val="nil"/>
              <w:tr2bl w:val="nil"/>
            </w:tcBorders>
            <w:noWrap w:val="0"/>
            <w:vAlign w:val="center"/>
          </w:tcPr>
          <w:p w14:paraId="3DC1991C">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eastAsia="宋体" w:cs="Times New Roman"/>
                <w:sz w:val="21"/>
                <w:szCs w:val="24"/>
              </w:rPr>
              <w:t>三级</w:t>
            </w:r>
          </w:p>
        </w:tc>
        <w:tc>
          <w:tcPr>
            <w:tcW w:w="5985" w:type="dxa"/>
            <w:tcBorders>
              <w:top w:val="single" w:color="000000" w:sz="4" w:space="0"/>
              <w:left w:val="single" w:color="000000" w:sz="4" w:space="0"/>
              <w:bottom w:val="single" w:color="000000" w:sz="8" w:space="0"/>
              <w:right w:val="single" w:color="000000" w:sz="8" w:space="0"/>
              <w:tl2br w:val="nil"/>
              <w:tr2bl w:val="nil"/>
            </w:tcBorders>
            <w:noWrap w:val="0"/>
            <w:vAlign w:val="center"/>
          </w:tcPr>
          <w:p w14:paraId="3B89A2C1">
            <w:pPr>
              <w:pStyle w:val="126"/>
              <w:spacing w:line="240" w:lineRule="auto"/>
              <w:ind w:firstLine="0" w:firstLineChars="0"/>
              <w:jc w:val="center"/>
              <w:rPr>
                <w:rFonts w:hint="default" w:ascii="Times New Roman" w:hAnsi="Times New Roman" w:cs="Times New Roman"/>
                <w:sz w:val="21"/>
                <w:szCs w:val="24"/>
              </w:rPr>
            </w:pPr>
            <w:r>
              <w:rPr>
                <w:rFonts w:hint="default" w:ascii="Times New Roman" w:hAnsi="Times New Roman" w:cs="Times New Roman"/>
                <w:sz w:val="21"/>
                <w:szCs w:val="24"/>
              </w:rPr>
              <w:t>Pmax&lt;1%</w:t>
            </w:r>
          </w:p>
        </w:tc>
      </w:tr>
    </w:tbl>
    <w:p w14:paraId="12FD9641">
      <w:pPr>
        <w:pStyle w:val="16"/>
        <w:keepNext w:val="0"/>
        <w:keepLines w:val="0"/>
        <w:pageBreakBefore w:val="0"/>
        <w:widowControl w:val="0"/>
        <w:kinsoku/>
        <w:wordWrap/>
        <w:overflowPunct/>
        <w:topLinePunct w:val="0"/>
        <w:autoSpaceDE/>
        <w:autoSpaceDN/>
        <w:bidi w:val="0"/>
        <w:adjustRightInd w:val="0"/>
        <w:snapToGrid w:val="0"/>
        <w:spacing w:after="0"/>
        <w:ind w:firstLine="720"/>
        <w:jc w:val="both"/>
        <w:textAlignment w:val="baseline"/>
        <w:rPr>
          <w:rFonts w:hint="default" w:ascii="Times New Roman" w:hAnsi="Times New Roman" w:eastAsia="Times New Roman" w:cs="Times New Roman"/>
          <w:sz w:val="24"/>
          <w:szCs w:val="24"/>
        </w:rPr>
      </w:pPr>
      <w:r>
        <w:rPr>
          <w:rFonts w:hint="default" w:ascii="Times New Roman" w:hAnsi="Times New Roman" w:cs="Times New Roman"/>
          <w:sz w:val="24"/>
          <w:szCs w:val="24"/>
        </w:rPr>
        <w:t>按照《环境影响评价技术导则大气环境》</w:t>
      </w:r>
      <w:r>
        <w:rPr>
          <w:rFonts w:hint="default" w:ascii="Times New Roman" w:hAnsi="Times New Roman" w:cs="Times New Roman"/>
          <w:sz w:val="24"/>
          <w:szCs w:val="24"/>
          <w:lang w:eastAsia="zh-CN"/>
        </w:rPr>
        <w:t>（</w:t>
      </w:r>
      <w:r>
        <w:rPr>
          <w:rFonts w:hint="default" w:ascii="Times New Roman" w:hAnsi="Times New Roman" w:eastAsia="Times New Roman" w:cs="Times New Roman"/>
          <w:sz w:val="24"/>
          <w:szCs w:val="24"/>
        </w:rPr>
        <w:t>HJ2.2-2018</w:t>
      </w:r>
      <w:r>
        <w:rPr>
          <w:rFonts w:hint="default" w:ascii="Times New Roman" w:hAnsi="Times New Roman" w:cs="Times New Roman"/>
          <w:sz w:val="24"/>
          <w:szCs w:val="24"/>
          <w:lang w:eastAsia="zh-CN"/>
        </w:rPr>
        <w:t>）</w:t>
      </w:r>
      <w:r>
        <w:rPr>
          <w:rFonts w:hint="default" w:ascii="Times New Roman" w:hAnsi="Times New Roman" w:cs="Times New Roman"/>
          <w:sz w:val="24"/>
          <w:szCs w:val="24"/>
        </w:rPr>
        <w:t>规定，评价等级按表2.</w:t>
      </w:r>
      <w:r>
        <w:rPr>
          <w:rFonts w:hint="eastAsia" w:cs="Times New Roman"/>
          <w:sz w:val="24"/>
          <w:szCs w:val="24"/>
          <w:lang w:val="en-US" w:eastAsia="zh-CN"/>
        </w:rPr>
        <w:t>4</w:t>
      </w:r>
      <w:r>
        <w:rPr>
          <w:rFonts w:hint="default" w:ascii="Times New Roman" w:hAnsi="Times New Roman" w:cs="Times New Roman"/>
          <w:sz w:val="24"/>
          <w:szCs w:val="24"/>
        </w:rPr>
        <w:t>-2的分级判据进行划分。最大地面空气质量浓度占标率Pi按上述公式计算，如污染物数i大于1，取P值中最大者Pmax判定本次大气评价的等级。</w:t>
      </w:r>
    </w:p>
    <w:p w14:paraId="63995E1A">
      <w:pPr>
        <w:pStyle w:val="16"/>
        <w:keepNext w:val="0"/>
        <w:keepLines w:val="0"/>
        <w:pageBreakBefore w:val="0"/>
        <w:widowControl w:val="0"/>
        <w:kinsoku/>
        <w:wordWrap/>
        <w:overflowPunct/>
        <w:topLinePunct w:val="0"/>
        <w:autoSpaceDE/>
        <w:autoSpaceDN/>
        <w:bidi w:val="0"/>
        <w:adjustRightInd w:val="0"/>
        <w:snapToGrid w:val="0"/>
        <w:spacing w:after="0"/>
        <w:ind w:firstLine="720"/>
        <w:jc w:val="both"/>
        <w:textAlignment w:val="baseline"/>
        <w:rPr>
          <w:rFonts w:hint="default" w:ascii="Times New Roman" w:hAnsi="Times New Roman" w:eastAsia="Times New Roman" w:cs="Times New Roman"/>
          <w:sz w:val="24"/>
          <w:szCs w:val="24"/>
        </w:rPr>
      </w:pPr>
      <w:r>
        <w:rPr>
          <w:rFonts w:hint="default" w:ascii="Times New Roman" w:hAnsi="Times New Roman" w:cs="Times New Roman"/>
          <w:sz w:val="24"/>
          <w:szCs w:val="24"/>
        </w:rPr>
        <w:t>按照推荐的估算模式，选择主要污染物计算最大地面浓度占标率P</w:t>
      </w:r>
      <w:r>
        <w:rPr>
          <w:rFonts w:hint="default" w:ascii="Times New Roman" w:hAnsi="Times New Roman" w:eastAsia="Times New Roman" w:cs="Times New Roman"/>
          <w:sz w:val="24"/>
          <w:szCs w:val="24"/>
          <w:vertAlign w:val="subscript"/>
        </w:rPr>
        <w:t>i</w:t>
      </w:r>
      <w:r>
        <w:rPr>
          <w:rFonts w:hint="default" w:ascii="Times New Roman" w:hAnsi="Times New Roman" w:cs="Times New Roman"/>
          <w:sz w:val="24"/>
          <w:szCs w:val="24"/>
        </w:rPr>
        <w:t>（第i个污染物）及第i个污染物的地面浓度达标准限值10%时所对应的最远距离D10%。计算结果如下：</w:t>
      </w:r>
    </w:p>
    <w:p w14:paraId="2A1B049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rPr>
      </w:pPr>
      <w:r>
        <w:rPr>
          <w:rFonts w:hint="eastAsia"/>
          <w:highlight w:val="none"/>
        </w:rPr>
        <w:t>表</w:t>
      </w:r>
      <w:r>
        <w:rPr>
          <w:rFonts w:hint="eastAsia"/>
          <w:highlight w:val="none"/>
          <w:lang w:val="en-US" w:eastAsia="zh-CN"/>
        </w:rPr>
        <w:t>2.4-3</w:t>
      </w:r>
      <w:r>
        <w:rPr>
          <w:rFonts w:hint="eastAsia"/>
          <w:highlight w:val="none"/>
        </w:rPr>
        <w:t xml:space="preserve">   </w:t>
      </w:r>
      <w:r>
        <w:rPr>
          <w:rFonts w:hint="eastAsia"/>
          <w:highlight w:val="none"/>
          <w:lang w:val="en-US" w:eastAsia="zh-CN"/>
        </w:rPr>
        <w:t xml:space="preserve"> </w:t>
      </w:r>
      <w:r>
        <w:rPr>
          <w:rFonts w:hint="eastAsia"/>
          <w:highlight w:val="none"/>
        </w:rPr>
        <w:t>环境空气分级判据表</w:t>
      </w:r>
    </w:p>
    <w:tbl>
      <w:tblPr>
        <w:tblStyle w:val="3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272"/>
        <w:gridCol w:w="1275"/>
        <w:gridCol w:w="1134"/>
        <w:gridCol w:w="1357"/>
        <w:gridCol w:w="1485"/>
        <w:gridCol w:w="901"/>
      </w:tblGrid>
      <w:tr w14:paraId="76FF73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75" w:type="dxa"/>
            <w:gridSpan w:val="2"/>
            <w:tcBorders>
              <w:tl2br w:val="nil"/>
              <w:tr2bl w:val="nil"/>
            </w:tcBorders>
            <w:noWrap w:val="0"/>
            <w:vAlign w:val="center"/>
          </w:tcPr>
          <w:p w14:paraId="5EF23821">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cs="Times New Roman"/>
                <w:kern w:val="21"/>
                <w:sz w:val="21"/>
                <w:szCs w:val="20"/>
                <w:highlight w:val="none"/>
              </w:rPr>
              <w:t>项 目</w:t>
            </w:r>
          </w:p>
        </w:tc>
        <w:tc>
          <w:tcPr>
            <w:tcW w:w="1275" w:type="dxa"/>
            <w:tcBorders>
              <w:tl2br w:val="nil"/>
              <w:tr2bl w:val="nil"/>
            </w:tcBorders>
            <w:noWrap w:val="0"/>
            <w:vAlign w:val="center"/>
          </w:tcPr>
          <w:p w14:paraId="09C95CA7">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eastAsia="Times New Roman" w:cs="Times New Roman"/>
                <w:kern w:val="21"/>
                <w:sz w:val="21"/>
                <w:szCs w:val="20"/>
                <w:highlight w:val="none"/>
              </w:rPr>
              <w:t>P</w:t>
            </w:r>
            <w:r>
              <w:rPr>
                <w:rFonts w:hint="default" w:ascii="Times New Roman" w:hAnsi="Times New Roman" w:eastAsia="Times New Roman" w:cs="Times New Roman"/>
                <w:kern w:val="21"/>
                <w:sz w:val="21"/>
                <w:szCs w:val="20"/>
                <w:highlight w:val="none"/>
                <w:vertAlign w:val="subscript"/>
              </w:rPr>
              <w:t>max</w:t>
            </w:r>
            <w:r>
              <w:rPr>
                <w:rFonts w:hint="default" w:ascii="Times New Roman" w:hAnsi="Times New Roman" w:cs="Times New Roman"/>
                <w:kern w:val="21"/>
                <w:sz w:val="21"/>
                <w:szCs w:val="20"/>
                <w:highlight w:val="none"/>
              </w:rPr>
              <w:t>浓度（</w:t>
            </w:r>
            <w:r>
              <w:rPr>
                <w:rFonts w:hint="default" w:ascii="Times New Roman" w:hAnsi="Times New Roman" w:cs="Times New Roman"/>
                <w:kern w:val="21"/>
                <w:sz w:val="21"/>
                <w:szCs w:val="20"/>
                <w:highlight w:val="none"/>
                <w:lang w:val="en-US" w:eastAsia="zh-CN"/>
              </w:rPr>
              <w:t>u</w:t>
            </w:r>
            <w:r>
              <w:rPr>
                <w:rFonts w:hint="default" w:ascii="Times New Roman" w:hAnsi="Times New Roman" w:cs="Times New Roman"/>
                <w:kern w:val="21"/>
                <w:sz w:val="21"/>
                <w:szCs w:val="20"/>
                <w:highlight w:val="none"/>
              </w:rPr>
              <w:t>g/m</w:t>
            </w:r>
            <w:r>
              <w:rPr>
                <w:rFonts w:hint="default" w:ascii="Times New Roman" w:hAnsi="Times New Roman" w:eastAsia="Times New Roman" w:cs="Times New Roman"/>
                <w:kern w:val="21"/>
                <w:sz w:val="21"/>
                <w:szCs w:val="20"/>
                <w:highlight w:val="none"/>
                <w:vertAlign w:val="superscript"/>
              </w:rPr>
              <w:t>3</w:t>
            </w:r>
            <w:r>
              <w:rPr>
                <w:rFonts w:hint="default" w:ascii="Times New Roman" w:hAnsi="Times New Roman" w:cs="Times New Roman"/>
                <w:kern w:val="21"/>
                <w:sz w:val="21"/>
                <w:szCs w:val="20"/>
                <w:highlight w:val="none"/>
              </w:rPr>
              <w:t>）</w:t>
            </w:r>
          </w:p>
        </w:tc>
        <w:tc>
          <w:tcPr>
            <w:tcW w:w="1134" w:type="dxa"/>
            <w:tcBorders>
              <w:tl2br w:val="nil"/>
              <w:tr2bl w:val="nil"/>
            </w:tcBorders>
            <w:noWrap w:val="0"/>
            <w:vAlign w:val="center"/>
          </w:tcPr>
          <w:p w14:paraId="348C6461">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eastAsia="Times New Roman" w:cs="Times New Roman"/>
                <w:kern w:val="21"/>
                <w:sz w:val="21"/>
                <w:szCs w:val="20"/>
                <w:highlight w:val="none"/>
              </w:rPr>
              <w:t>P</w:t>
            </w:r>
            <w:r>
              <w:rPr>
                <w:rFonts w:hint="default" w:ascii="Times New Roman" w:hAnsi="Times New Roman" w:eastAsia="Times New Roman" w:cs="Times New Roman"/>
                <w:kern w:val="21"/>
                <w:sz w:val="21"/>
                <w:szCs w:val="20"/>
                <w:highlight w:val="none"/>
                <w:vertAlign w:val="subscript"/>
              </w:rPr>
              <w:t>max</w:t>
            </w:r>
            <w:r>
              <w:rPr>
                <w:rFonts w:hint="default" w:ascii="Times New Roman" w:hAnsi="Times New Roman" w:cs="Times New Roman"/>
                <w:kern w:val="21"/>
                <w:sz w:val="21"/>
                <w:szCs w:val="20"/>
                <w:highlight w:val="none"/>
              </w:rPr>
              <w:t>占标率（%）</w:t>
            </w:r>
          </w:p>
        </w:tc>
        <w:tc>
          <w:tcPr>
            <w:tcW w:w="1357" w:type="dxa"/>
            <w:tcBorders>
              <w:tl2br w:val="nil"/>
              <w:tr2bl w:val="nil"/>
            </w:tcBorders>
            <w:noWrap w:val="0"/>
            <w:vAlign w:val="center"/>
          </w:tcPr>
          <w:p w14:paraId="1E13E4CF">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cs="Times New Roman"/>
                <w:kern w:val="21"/>
                <w:sz w:val="21"/>
                <w:szCs w:val="20"/>
                <w:highlight w:val="none"/>
              </w:rPr>
              <w:t>最大</w:t>
            </w:r>
            <w:r>
              <w:rPr>
                <w:rFonts w:hint="default" w:ascii="Times New Roman" w:hAnsi="Times New Roman" w:cs="Times New Roman"/>
                <w:kern w:val="21"/>
                <w:sz w:val="21"/>
                <w:szCs w:val="20"/>
                <w:highlight w:val="none"/>
                <w:lang w:val="en-US" w:eastAsia="zh-CN"/>
              </w:rPr>
              <w:t>浓度落地距离</w:t>
            </w:r>
            <w:r>
              <w:rPr>
                <w:rFonts w:hint="default" w:ascii="Times New Roman" w:hAnsi="Times New Roman" w:cs="Times New Roman"/>
                <w:kern w:val="21"/>
                <w:sz w:val="21"/>
                <w:szCs w:val="20"/>
                <w:highlight w:val="none"/>
              </w:rPr>
              <w:t>（m）</w:t>
            </w:r>
          </w:p>
        </w:tc>
        <w:tc>
          <w:tcPr>
            <w:tcW w:w="1485" w:type="dxa"/>
            <w:tcBorders>
              <w:tl2br w:val="nil"/>
              <w:tr2bl w:val="nil"/>
            </w:tcBorders>
            <w:noWrap w:val="0"/>
            <w:vAlign w:val="center"/>
          </w:tcPr>
          <w:p w14:paraId="358E719C">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cs="Times New Roman"/>
                <w:kern w:val="21"/>
                <w:sz w:val="21"/>
                <w:szCs w:val="20"/>
                <w:highlight w:val="none"/>
              </w:rPr>
              <w:t>分级判据</w:t>
            </w:r>
          </w:p>
        </w:tc>
        <w:tc>
          <w:tcPr>
            <w:tcW w:w="901" w:type="dxa"/>
            <w:tcBorders>
              <w:tl2br w:val="nil"/>
              <w:tr2bl w:val="nil"/>
            </w:tcBorders>
            <w:noWrap w:val="0"/>
            <w:vAlign w:val="center"/>
          </w:tcPr>
          <w:p w14:paraId="718B2E09">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cs="Times New Roman"/>
                <w:kern w:val="21"/>
                <w:sz w:val="21"/>
                <w:szCs w:val="20"/>
                <w:highlight w:val="none"/>
              </w:rPr>
              <w:t>评价</w:t>
            </w:r>
          </w:p>
          <w:p w14:paraId="2DBAD71F">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highlight w:val="none"/>
              </w:rPr>
            </w:pPr>
            <w:r>
              <w:rPr>
                <w:rFonts w:hint="default" w:ascii="Times New Roman" w:hAnsi="Times New Roman" w:cs="Times New Roman"/>
                <w:kern w:val="21"/>
                <w:sz w:val="21"/>
                <w:szCs w:val="20"/>
                <w:highlight w:val="none"/>
              </w:rPr>
              <w:t>等级</w:t>
            </w:r>
          </w:p>
        </w:tc>
      </w:tr>
      <w:tr w14:paraId="65E60B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tcBorders>
              <w:tl2br w:val="nil"/>
              <w:tr2bl w:val="nil"/>
            </w:tcBorders>
            <w:noWrap w:val="0"/>
            <w:vAlign w:val="center"/>
          </w:tcPr>
          <w:p w14:paraId="623743A4">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lang w:val="en-US" w:eastAsia="zh-CN"/>
              </w:rPr>
              <w:t>DA001</w:t>
            </w:r>
          </w:p>
        </w:tc>
        <w:tc>
          <w:tcPr>
            <w:tcW w:w="1272" w:type="dxa"/>
            <w:tcBorders>
              <w:tl2br w:val="nil"/>
              <w:tr2bl w:val="nil"/>
            </w:tcBorders>
            <w:noWrap w:val="0"/>
            <w:vAlign w:val="center"/>
          </w:tcPr>
          <w:p w14:paraId="2E6021CF">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rPr>
            </w:pPr>
            <w:r>
              <w:rPr>
                <w:rFonts w:hint="eastAsia" w:eastAsia="Times New Roman" w:cs="Times New Roman"/>
                <w:sz w:val="21"/>
                <w:szCs w:val="21"/>
                <w:highlight w:val="none"/>
                <w:lang w:val="en-US" w:eastAsia="zh-CN"/>
              </w:rPr>
              <w:t>硫酸雾</w:t>
            </w:r>
          </w:p>
        </w:tc>
        <w:tc>
          <w:tcPr>
            <w:tcW w:w="1275" w:type="dxa"/>
            <w:tcBorders>
              <w:tl2br w:val="nil"/>
              <w:tr2bl w:val="nil"/>
            </w:tcBorders>
            <w:shd w:val="clear"/>
            <w:noWrap w:val="0"/>
            <w:vAlign w:val="center"/>
          </w:tcPr>
          <w:p w14:paraId="6D69159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lang w:val="en-US" w:eastAsia="zh-CN" w:bidi="ar-SA"/>
              </w:rPr>
            </w:pPr>
            <w:r>
              <w:rPr>
                <w:rFonts w:hint="eastAsia" w:eastAsia="Times New Roman" w:cs="Times New Roman"/>
                <w:snapToGrid w:val="0"/>
                <w:kern w:val="21"/>
                <w:sz w:val="21"/>
                <w:szCs w:val="21"/>
                <w:highlight w:val="none"/>
                <w:lang w:val="en-US" w:eastAsia="zh-CN"/>
              </w:rPr>
              <w:t>2.57</w:t>
            </w:r>
          </w:p>
        </w:tc>
        <w:tc>
          <w:tcPr>
            <w:tcW w:w="1134" w:type="dxa"/>
            <w:tcBorders>
              <w:tl2br w:val="nil"/>
              <w:tr2bl w:val="nil"/>
            </w:tcBorders>
            <w:shd w:val="clear"/>
            <w:noWrap w:val="0"/>
            <w:vAlign w:val="center"/>
          </w:tcPr>
          <w:p w14:paraId="2442E8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napToGrid w:val="0"/>
                <w:kern w:val="21"/>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0.86</w:t>
            </w:r>
          </w:p>
        </w:tc>
        <w:tc>
          <w:tcPr>
            <w:tcW w:w="1357" w:type="dxa"/>
            <w:tcBorders>
              <w:tl2br w:val="nil"/>
              <w:tr2bl w:val="nil"/>
            </w:tcBorders>
            <w:shd w:val="clear"/>
            <w:noWrap w:val="0"/>
            <w:vAlign w:val="center"/>
          </w:tcPr>
          <w:p w14:paraId="7AC15E9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lang w:val="en-US" w:eastAsia="zh-CN" w:bidi="ar-SA"/>
              </w:rPr>
            </w:pPr>
            <w:r>
              <w:rPr>
                <w:rFonts w:hint="eastAsia" w:eastAsia="Times New Roman" w:cs="Times New Roman"/>
                <w:snapToGrid w:val="0"/>
                <w:kern w:val="21"/>
                <w:sz w:val="21"/>
                <w:szCs w:val="21"/>
                <w:highlight w:val="none"/>
                <w:lang w:val="en-US" w:eastAsia="zh-CN"/>
              </w:rPr>
              <w:t>127</w:t>
            </w:r>
          </w:p>
        </w:tc>
        <w:tc>
          <w:tcPr>
            <w:tcW w:w="1485" w:type="dxa"/>
            <w:tcBorders>
              <w:tl2br w:val="nil"/>
              <w:tr2bl w:val="nil"/>
            </w:tcBorders>
            <w:noWrap w:val="0"/>
            <w:vAlign w:val="center"/>
          </w:tcPr>
          <w:p w14:paraId="676EEDB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5D9FEB33">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eastAsia" w:cs="Times New Roman"/>
                <w:sz w:val="21"/>
                <w:szCs w:val="21"/>
                <w:highlight w:val="none"/>
                <w:lang w:val="en-US" w:eastAsia="zh-CN"/>
              </w:rPr>
              <w:t>三</w:t>
            </w:r>
            <w:r>
              <w:rPr>
                <w:rFonts w:hint="default" w:ascii="Times New Roman" w:hAnsi="Times New Roman" w:cs="Times New Roman"/>
                <w:sz w:val="21"/>
                <w:szCs w:val="21"/>
                <w:highlight w:val="none"/>
              </w:rPr>
              <w:t>级</w:t>
            </w:r>
          </w:p>
        </w:tc>
      </w:tr>
      <w:tr w14:paraId="56FBC1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tcBorders>
              <w:tl2br w:val="nil"/>
              <w:tr2bl w:val="nil"/>
            </w:tcBorders>
            <w:noWrap w:val="0"/>
            <w:vAlign w:val="center"/>
          </w:tcPr>
          <w:p w14:paraId="687A4166">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lang w:val="en-US" w:eastAsia="zh-CN"/>
              </w:rPr>
              <w:t>DA002</w:t>
            </w:r>
          </w:p>
        </w:tc>
        <w:tc>
          <w:tcPr>
            <w:tcW w:w="1272" w:type="dxa"/>
            <w:tcBorders>
              <w:tl2br w:val="nil"/>
              <w:tr2bl w:val="nil"/>
            </w:tcBorders>
            <w:noWrap w:val="0"/>
            <w:vAlign w:val="center"/>
          </w:tcPr>
          <w:p w14:paraId="625C62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highlight w:val="none"/>
                <w:lang w:eastAsia="zh-CN"/>
              </w:rPr>
            </w:pPr>
            <w:r>
              <w:rPr>
                <w:rFonts w:hint="eastAsia" w:eastAsia="Times New Roman" w:cs="Times New Roman"/>
                <w:sz w:val="21"/>
                <w:szCs w:val="21"/>
                <w:highlight w:val="none"/>
                <w:lang w:val="en-US" w:eastAsia="zh-CN"/>
              </w:rPr>
              <w:t>硫酸雾</w:t>
            </w:r>
          </w:p>
        </w:tc>
        <w:tc>
          <w:tcPr>
            <w:tcW w:w="1275" w:type="dxa"/>
            <w:tcBorders>
              <w:tl2br w:val="nil"/>
              <w:tr2bl w:val="nil"/>
            </w:tcBorders>
            <w:shd w:val="clear"/>
            <w:noWrap w:val="0"/>
            <w:vAlign w:val="center"/>
          </w:tcPr>
          <w:p w14:paraId="41BF601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1.27</w:t>
            </w:r>
          </w:p>
        </w:tc>
        <w:tc>
          <w:tcPr>
            <w:tcW w:w="1134" w:type="dxa"/>
            <w:tcBorders>
              <w:tl2br w:val="nil"/>
              <w:tr2bl w:val="nil"/>
            </w:tcBorders>
            <w:shd w:val="clear"/>
            <w:noWrap w:val="0"/>
            <w:vAlign w:val="center"/>
          </w:tcPr>
          <w:p w14:paraId="04E8517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0.42</w:t>
            </w:r>
          </w:p>
        </w:tc>
        <w:tc>
          <w:tcPr>
            <w:tcW w:w="1357" w:type="dxa"/>
            <w:tcBorders>
              <w:tl2br w:val="nil"/>
              <w:tr2bl w:val="nil"/>
            </w:tcBorders>
            <w:shd w:val="clear"/>
            <w:noWrap w:val="0"/>
            <w:vAlign w:val="center"/>
          </w:tcPr>
          <w:p w14:paraId="521D29D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ar-SA"/>
              </w:rPr>
            </w:pPr>
            <w:r>
              <w:rPr>
                <w:rFonts w:hint="eastAsia" w:eastAsia="宋体" w:cs="Times New Roman"/>
                <w:sz w:val="21"/>
                <w:szCs w:val="21"/>
                <w:highlight w:val="none"/>
                <w:lang w:val="en-US" w:eastAsia="zh-CN"/>
              </w:rPr>
              <w:t>127</w:t>
            </w:r>
          </w:p>
        </w:tc>
        <w:tc>
          <w:tcPr>
            <w:tcW w:w="1485" w:type="dxa"/>
            <w:tcBorders>
              <w:tl2br w:val="nil"/>
              <w:tr2bl w:val="nil"/>
            </w:tcBorders>
            <w:noWrap w:val="0"/>
            <w:vAlign w:val="center"/>
          </w:tcPr>
          <w:p w14:paraId="275C2A9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0B1E227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cs="Times New Roman"/>
                <w:sz w:val="21"/>
                <w:szCs w:val="21"/>
                <w:highlight w:val="none"/>
                <w:lang w:val="en-US" w:eastAsia="zh-CN"/>
              </w:rPr>
              <w:t>三</w:t>
            </w:r>
            <w:r>
              <w:rPr>
                <w:rFonts w:hint="default" w:ascii="Times New Roman" w:hAnsi="Times New Roman" w:cs="Times New Roman"/>
                <w:sz w:val="21"/>
                <w:szCs w:val="21"/>
                <w:highlight w:val="none"/>
              </w:rPr>
              <w:t>级</w:t>
            </w:r>
          </w:p>
        </w:tc>
      </w:tr>
      <w:tr w14:paraId="59686C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tcBorders>
              <w:tl2br w:val="nil"/>
              <w:tr2bl w:val="nil"/>
            </w:tcBorders>
            <w:noWrap w:val="0"/>
            <w:vAlign w:val="center"/>
          </w:tcPr>
          <w:p w14:paraId="536A4E2F">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lang w:val="en-US" w:eastAsia="zh-CN"/>
              </w:rPr>
              <w:t>DA003</w:t>
            </w:r>
          </w:p>
        </w:tc>
        <w:tc>
          <w:tcPr>
            <w:tcW w:w="1272" w:type="dxa"/>
            <w:tcBorders>
              <w:tl2br w:val="nil"/>
              <w:tr2bl w:val="nil"/>
            </w:tcBorders>
            <w:noWrap w:val="0"/>
            <w:vAlign w:val="center"/>
          </w:tcPr>
          <w:p w14:paraId="3173E7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highlight w:val="none"/>
                <w:lang w:val="en-US" w:eastAsia="zh-CN"/>
              </w:rPr>
            </w:pPr>
            <w:r>
              <w:rPr>
                <w:rFonts w:hint="eastAsia" w:eastAsia="Times New Roman" w:cs="Times New Roman"/>
                <w:sz w:val="21"/>
                <w:szCs w:val="21"/>
                <w:highlight w:val="none"/>
                <w:lang w:val="en-US" w:eastAsia="zh-CN"/>
              </w:rPr>
              <w:t>硫酸雾</w:t>
            </w:r>
          </w:p>
        </w:tc>
        <w:tc>
          <w:tcPr>
            <w:tcW w:w="1275" w:type="dxa"/>
            <w:tcBorders>
              <w:tl2br w:val="nil"/>
              <w:tr2bl w:val="nil"/>
            </w:tcBorders>
            <w:shd w:val="clear"/>
            <w:noWrap w:val="0"/>
            <w:vAlign w:val="center"/>
          </w:tcPr>
          <w:p w14:paraId="72CCBCAC">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kern w:val="21"/>
                <w:sz w:val="21"/>
                <w:szCs w:val="21"/>
                <w:highlight w:val="none"/>
                <w:lang w:val="en-US" w:eastAsia="zh-CN" w:bidi="ar-SA"/>
              </w:rPr>
            </w:pPr>
            <w:r>
              <w:rPr>
                <w:rFonts w:hint="eastAsia" w:cs="Times New Roman"/>
                <w:snapToGrid w:val="0"/>
                <w:kern w:val="21"/>
                <w:sz w:val="21"/>
                <w:szCs w:val="21"/>
                <w:highlight w:val="none"/>
                <w:lang w:val="en-US" w:eastAsia="zh-CN"/>
              </w:rPr>
              <w:t>2.81</w:t>
            </w:r>
          </w:p>
        </w:tc>
        <w:tc>
          <w:tcPr>
            <w:tcW w:w="1134" w:type="dxa"/>
            <w:tcBorders>
              <w:tl2br w:val="nil"/>
              <w:tr2bl w:val="nil"/>
            </w:tcBorders>
            <w:shd w:val="clear"/>
            <w:noWrap w:val="0"/>
            <w:vAlign w:val="center"/>
          </w:tcPr>
          <w:p w14:paraId="645A00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napToGrid w:val="0"/>
                <w:kern w:val="21"/>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0.94</w:t>
            </w:r>
          </w:p>
        </w:tc>
        <w:tc>
          <w:tcPr>
            <w:tcW w:w="1357" w:type="dxa"/>
            <w:tcBorders>
              <w:tl2br w:val="nil"/>
              <w:tr2bl w:val="nil"/>
            </w:tcBorders>
            <w:shd w:val="clear"/>
            <w:noWrap w:val="0"/>
            <w:vAlign w:val="center"/>
          </w:tcPr>
          <w:p w14:paraId="7224F9E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lang w:val="en-US" w:eastAsia="zh-CN" w:bidi="ar-SA"/>
              </w:rPr>
            </w:pPr>
            <w:r>
              <w:rPr>
                <w:rFonts w:hint="eastAsia" w:eastAsia="Times New Roman" w:cs="Times New Roman"/>
                <w:snapToGrid w:val="0"/>
                <w:kern w:val="21"/>
                <w:sz w:val="21"/>
                <w:szCs w:val="21"/>
                <w:highlight w:val="none"/>
                <w:lang w:val="en-US" w:eastAsia="zh-CN"/>
              </w:rPr>
              <w:t>127</w:t>
            </w:r>
          </w:p>
        </w:tc>
        <w:tc>
          <w:tcPr>
            <w:tcW w:w="1485" w:type="dxa"/>
            <w:tcBorders>
              <w:tl2br w:val="nil"/>
              <w:tr2bl w:val="nil"/>
            </w:tcBorders>
            <w:noWrap w:val="0"/>
            <w:vAlign w:val="center"/>
          </w:tcPr>
          <w:p w14:paraId="5BD28B5A">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6414FA34">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default" w:ascii="Times New Roman" w:hAnsi="Times New Roman" w:cs="Times New Roman"/>
                <w:sz w:val="21"/>
                <w:szCs w:val="21"/>
                <w:highlight w:val="none"/>
              </w:rPr>
              <w:t>三级</w:t>
            </w:r>
          </w:p>
        </w:tc>
      </w:tr>
      <w:tr w14:paraId="114D1B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vMerge w:val="restart"/>
            <w:tcBorders>
              <w:tl2br w:val="nil"/>
              <w:tr2bl w:val="nil"/>
            </w:tcBorders>
            <w:noWrap w:val="0"/>
            <w:vAlign w:val="center"/>
          </w:tcPr>
          <w:p w14:paraId="1798F6C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DA00</w:t>
            </w:r>
            <w:r>
              <w:rPr>
                <w:rFonts w:hint="eastAsia" w:cs="Times New Roman"/>
                <w:sz w:val="21"/>
                <w:szCs w:val="21"/>
                <w:highlight w:val="none"/>
                <w:lang w:val="en-US" w:eastAsia="zh-CN"/>
              </w:rPr>
              <w:t>4</w:t>
            </w:r>
          </w:p>
        </w:tc>
        <w:tc>
          <w:tcPr>
            <w:tcW w:w="1272" w:type="dxa"/>
            <w:tcBorders>
              <w:tl2br w:val="nil"/>
              <w:tr2bl w:val="nil"/>
            </w:tcBorders>
            <w:noWrap w:val="0"/>
            <w:vAlign w:val="center"/>
          </w:tcPr>
          <w:p w14:paraId="7BEA29A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highlight w:val="none"/>
                <w:lang w:val="en-US" w:eastAsia="zh-CN"/>
              </w:rPr>
            </w:pPr>
            <w:r>
              <w:rPr>
                <w:rFonts w:hint="default" w:ascii="Times New Roman" w:hAnsi="Times New Roman" w:eastAsia="宋体" w:cs="Times New Roman"/>
                <w:snapToGrid w:val="0"/>
                <w:spacing w:val="0"/>
                <w:w w:val="100"/>
                <w:kern w:val="21"/>
                <w:sz w:val="21"/>
                <w:szCs w:val="21"/>
                <w:highlight w:val="none"/>
                <w:lang w:val="en-US" w:eastAsia="zh-CN"/>
              </w:rPr>
              <w:t>H</w:t>
            </w:r>
            <w:r>
              <w:rPr>
                <w:rFonts w:hint="default" w:ascii="Times New Roman" w:hAnsi="Times New Roman" w:eastAsia="宋体" w:cs="Times New Roman"/>
                <w:snapToGrid w:val="0"/>
                <w:spacing w:val="0"/>
                <w:w w:val="100"/>
                <w:kern w:val="21"/>
                <w:sz w:val="21"/>
                <w:szCs w:val="21"/>
                <w:highlight w:val="none"/>
                <w:vertAlign w:val="subscript"/>
                <w:lang w:val="en-US" w:eastAsia="zh-CN"/>
              </w:rPr>
              <w:t>2</w:t>
            </w:r>
            <w:r>
              <w:rPr>
                <w:rFonts w:hint="default" w:ascii="Times New Roman" w:hAnsi="Times New Roman" w:eastAsia="宋体" w:cs="Times New Roman"/>
                <w:snapToGrid w:val="0"/>
                <w:spacing w:val="0"/>
                <w:w w:val="100"/>
                <w:kern w:val="21"/>
                <w:sz w:val="21"/>
                <w:szCs w:val="21"/>
                <w:highlight w:val="none"/>
                <w:lang w:val="en-US" w:eastAsia="zh-CN"/>
              </w:rPr>
              <w:t>S</w:t>
            </w:r>
          </w:p>
        </w:tc>
        <w:tc>
          <w:tcPr>
            <w:tcW w:w="1275" w:type="dxa"/>
            <w:tcBorders>
              <w:tl2br w:val="nil"/>
              <w:tr2bl w:val="nil"/>
            </w:tcBorders>
            <w:shd w:val="clear"/>
            <w:noWrap w:val="0"/>
            <w:vAlign w:val="center"/>
          </w:tcPr>
          <w:p w14:paraId="245AEE6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0.0074</w:t>
            </w:r>
          </w:p>
        </w:tc>
        <w:tc>
          <w:tcPr>
            <w:tcW w:w="1134" w:type="dxa"/>
            <w:tcBorders>
              <w:tl2br w:val="nil"/>
              <w:tr2bl w:val="nil"/>
            </w:tcBorders>
            <w:shd w:val="clear"/>
            <w:noWrap w:val="0"/>
            <w:vAlign w:val="center"/>
          </w:tcPr>
          <w:p w14:paraId="5162A3F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0.07</w:t>
            </w:r>
          </w:p>
        </w:tc>
        <w:tc>
          <w:tcPr>
            <w:tcW w:w="1357" w:type="dxa"/>
            <w:tcBorders>
              <w:tl2br w:val="nil"/>
              <w:tr2bl w:val="nil"/>
            </w:tcBorders>
            <w:shd w:val="clear"/>
            <w:noWrap w:val="0"/>
            <w:vAlign w:val="center"/>
          </w:tcPr>
          <w:p w14:paraId="10D17F02">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napToGrid w:val="0"/>
                <w:kern w:val="21"/>
                <w:sz w:val="21"/>
                <w:szCs w:val="21"/>
                <w:highlight w:val="none"/>
                <w:lang w:val="en-US" w:eastAsia="zh-CN"/>
              </w:rPr>
              <w:t>127</w:t>
            </w:r>
          </w:p>
        </w:tc>
        <w:tc>
          <w:tcPr>
            <w:tcW w:w="1485" w:type="dxa"/>
            <w:tcBorders>
              <w:tl2br w:val="nil"/>
              <w:tr2bl w:val="nil"/>
            </w:tcBorders>
            <w:shd w:val="clear" w:color="auto" w:fill="auto"/>
            <w:noWrap w:val="0"/>
            <w:vAlign w:val="center"/>
          </w:tcPr>
          <w:p w14:paraId="4888B6FC">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490756B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eastAsia" w:cs="Times New Roman"/>
                <w:sz w:val="21"/>
                <w:szCs w:val="21"/>
                <w:highlight w:val="none"/>
                <w:lang w:val="en-US" w:eastAsia="zh-CN"/>
              </w:rPr>
              <w:t>三</w:t>
            </w:r>
            <w:r>
              <w:rPr>
                <w:rFonts w:hint="default" w:ascii="Times New Roman" w:hAnsi="Times New Roman" w:cs="Times New Roman"/>
                <w:sz w:val="21"/>
                <w:szCs w:val="21"/>
                <w:highlight w:val="none"/>
              </w:rPr>
              <w:t>级</w:t>
            </w:r>
          </w:p>
        </w:tc>
      </w:tr>
      <w:tr w14:paraId="3CDC64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vMerge w:val="continue"/>
            <w:tcBorders>
              <w:tl2br w:val="nil"/>
              <w:tr2bl w:val="nil"/>
            </w:tcBorders>
            <w:noWrap w:val="0"/>
            <w:vAlign w:val="center"/>
          </w:tcPr>
          <w:p w14:paraId="216A6B7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highlight w:val="none"/>
                <w:lang w:val="en-US" w:eastAsia="zh-CN"/>
              </w:rPr>
            </w:pPr>
          </w:p>
        </w:tc>
        <w:tc>
          <w:tcPr>
            <w:tcW w:w="1272" w:type="dxa"/>
            <w:tcBorders>
              <w:tl2br w:val="nil"/>
              <w:tr2bl w:val="nil"/>
            </w:tcBorders>
            <w:noWrap w:val="0"/>
            <w:vAlign w:val="center"/>
          </w:tcPr>
          <w:p w14:paraId="560D9EE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kern w:val="21"/>
                <w:position w:val="0"/>
                <w:sz w:val="21"/>
                <w:szCs w:val="21"/>
                <w:highlight w:val="none"/>
                <w:lang w:val="en-US" w:eastAsia="zh-CN"/>
              </w:rPr>
            </w:pPr>
            <w:r>
              <w:rPr>
                <w:rFonts w:hint="default" w:ascii="Times New Roman" w:hAnsi="Times New Roman" w:eastAsia="宋体" w:cs="Times New Roman"/>
                <w:snapToGrid w:val="0"/>
                <w:spacing w:val="0"/>
                <w:w w:val="100"/>
                <w:kern w:val="21"/>
                <w:sz w:val="21"/>
                <w:szCs w:val="21"/>
                <w:highlight w:val="none"/>
                <w:lang w:val="en-US" w:eastAsia="zh-CN"/>
              </w:rPr>
              <w:t>NH</w:t>
            </w:r>
            <w:r>
              <w:rPr>
                <w:rFonts w:hint="default" w:ascii="Times New Roman" w:hAnsi="Times New Roman" w:eastAsia="宋体" w:cs="Times New Roman"/>
                <w:snapToGrid w:val="0"/>
                <w:spacing w:val="0"/>
                <w:w w:val="100"/>
                <w:kern w:val="21"/>
                <w:sz w:val="21"/>
                <w:szCs w:val="21"/>
                <w:highlight w:val="none"/>
                <w:vertAlign w:val="subscript"/>
                <w:lang w:val="en-US" w:eastAsia="zh-CN"/>
              </w:rPr>
              <w:t>3</w:t>
            </w:r>
          </w:p>
        </w:tc>
        <w:tc>
          <w:tcPr>
            <w:tcW w:w="1275" w:type="dxa"/>
            <w:tcBorders>
              <w:tl2br w:val="nil"/>
              <w:tr2bl w:val="nil"/>
            </w:tcBorders>
            <w:shd w:val="clear"/>
            <w:noWrap w:val="0"/>
            <w:vAlign w:val="center"/>
          </w:tcPr>
          <w:p w14:paraId="0B8449D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0.148</w:t>
            </w:r>
          </w:p>
        </w:tc>
        <w:tc>
          <w:tcPr>
            <w:tcW w:w="1134" w:type="dxa"/>
            <w:tcBorders>
              <w:tl2br w:val="nil"/>
              <w:tr2bl w:val="nil"/>
            </w:tcBorders>
            <w:shd w:val="clear"/>
            <w:noWrap w:val="0"/>
            <w:vAlign w:val="center"/>
          </w:tcPr>
          <w:p w14:paraId="6ABA2E96">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0.07</w:t>
            </w:r>
          </w:p>
        </w:tc>
        <w:tc>
          <w:tcPr>
            <w:tcW w:w="1357" w:type="dxa"/>
            <w:tcBorders>
              <w:tl2br w:val="nil"/>
              <w:tr2bl w:val="nil"/>
            </w:tcBorders>
            <w:shd w:val="clear"/>
            <w:noWrap w:val="0"/>
            <w:vAlign w:val="center"/>
          </w:tcPr>
          <w:p w14:paraId="20008FD9">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napToGrid w:val="0"/>
                <w:kern w:val="21"/>
                <w:sz w:val="21"/>
                <w:szCs w:val="21"/>
                <w:highlight w:val="none"/>
                <w:lang w:val="en-US" w:eastAsia="zh-CN"/>
              </w:rPr>
              <w:t>127</w:t>
            </w:r>
          </w:p>
        </w:tc>
        <w:tc>
          <w:tcPr>
            <w:tcW w:w="1485" w:type="dxa"/>
            <w:tcBorders>
              <w:tl2br w:val="nil"/>
              <w:tr2bl w:val="nil"/>
            </w:tcBorders>
            <w:noWrap w:val="0"/>
            <w:vAlign w:val="center"/>
          </w:tcPr>
          <w:p w14:paraId="4FC74F3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2F3B8FD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三</w:t>
            </w:r>
            <w:r>
              <w:rPr>
                <w:rFonts w:hint="default" w:ascii="Times New Roman" w:hAnsi="Times New Roman" w:cs="Times New Roman"/>
                <w:sz w:val="21"/>
                <w:szCs w:val="21"/>
                <w:highlight w:val="none"/>
              </w:rPr>
              <w:t>级</w:t>
            </w:r>
          </w:p>
        </w:tc>
      </w:tr>
      <w:tr w14:paraId="4E7880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vMerge w:val="restart"/>
            <w:tcBorders>
              <w:tl2br w:val="nil"/>
              <w:tr2bl w:val="nil"/>
            </w:tcBorders>
            <w:noWrap w:val="0"/>
            <w:vAlign w:val="center"/>
          </w:tcPr>
          <w:p w14:paraId="5DB1C93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生产车间</w:t>
            </w:r>
          </w:p>
        </w:tc>
        <w:tc>
          <w:tcPr>
            <w:tcW w:w="1272" w:type="dxa"/>
            <w:tcBorders>
              <w:tl2br w:val="nil"/>
              <w:tr2bl w:val="nil"/>
            </w:tcBorders>
            <w:noWrap w:val="0"/>
            <w:vAlign w:val="center"/>
          </w:tcPr>
          <w:p w14:paraId="4BAE46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spacing w:val="0"/>
                <w:w w:val="100"/>
                <w:sz w:val="21"/>
                <w:szCs w:val="21"/>
                <w:highlight w:val="none"/>
                <w:lang w:val="en-US" w:eastAsia="zh-CN"/>
              </w:rPr>
              <w:t>硫酸雾</w:t>
            </w:r>
          </w:p>
        </w:tc>
        <w:tc>
          <w:tcPr>
            <w:tcW w:w="1275" w:type="dxa"/>
            <w:tcBorders>
              <w:tl2br w:val="nil"/>
              <w:tr2bl w:val="nil"/>
            </w:tcBorders>
            <w:shd w:val="clear"/>
            <w:noWrap w:val="0"/>
            <w:vAlign w:val="center"/>
          </w:tcPr>
          <w:p w14:paraId="6E8AE6B8">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17.48</w:t>
            </w:r>
          </w:p>
        </w:tc>
        <w:tc>
          <w:tcPr>
            <w:tcW w:w="1134" w:type="dxa"/>
            <w:tcBorders>
              <w:tl2br w:val="nil"/>
              <w:tr2bl w:val="nil"/>
            </w:tcBorders>
            <w:shd w:val="clear"/>
            <w:noWrap w:val="0"/>
            <w:vAlign w:val="center"/>
          </w:tcPr>
          <w:p w14:paraId="17D1D8B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5.83</w:t>
            </w:r>
          </w:p>
        </w:tc>
        <w:tc>
          <w:tcPr>
            <w:tcW w:w="1357" w:type="dxa"/>
            <w:tcBorders>
              <w:tl2br w:val="nil"/>
              <w:tr2bl w:val="nil"/>
            </w:tcBorders>
            <w:shd w:val="clear"/>
            <w:noWrap w:val="0"/>
            <w:vAlign w:val="center"/>
          </w:tcPr>
          <w:p w14:paraId="3F14894E">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74</w:t>
            </w:r>
          </w:p>
        </w:tc>
        <w:tc>
          <w:tcPr>
            <w:tcW w:w="1485" w:type="dxa"/>
            <w:tcBorders>
              <w:tl2br w:val="nil"/>
              <w:tr2bl w:val="nil"/>
            </w:tcBorders>
            <w:noWrap w:val="0"/>
            <w:vAlign w:val="center"/>
          </w:tcPr>
          <w:p w14:paraId="5DDFA27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default" w:ascii="Times New Roman" w:hAnsi="Times New Roman" w:eastAsia="Times New Roman" w:cs="Times New Roman"/>
                <w:sz w:val="21"/>
                <w:szCs w:val="21"/>
                <w:highlight w:val="none"/>
              </w:rPr>
              <w:t>1%≤P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&lt;10%</w:t>
            </w:r>
          </w:p>
        </w:tc>
        <w:tc>
          <w:tcPr>
            <w:tcW w:w="901" w:type="dxa"/>
            <w:tcBorders>
              <w:tl2br w:val="nil"/>
              <w:tr2bl w:val="nil"/>
            </w:tcBorders>
            <w:noWrap w:val="0"/>
            <w:vAlign w:val="center"/>
          </w:tcPr>
          <w:p w14:paraId="55475716">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eastAsia" w:cs="Times New Roman"/>
                <w:sz w:val="21"/>
                <w:szCs w:val="21"/>
                <w:highlight w:val="none"/>
                <w:lang w:val="en-US" w:eastAsia="zh-CN"/>
              </w:rPr>
              <w:t>二</w:t>
            </w:r>
            <w:r>
              <w:rPr>
                <w:rFonts w:hint="default" w:ascii="Times New Roman" w:hAnsi="Times New Roman" w:cs="Times New Roman"/>
                <w:sz w:val="21"/>
                <w:szCs w:val="21"/>
                <w:highlight w:val="none"/>
              </w:rPr>
              <w:t>级</w:t>
            </w:r>
          </w:p>
        </w:tc>
      </w:tr>
      <w:tr w14:paraId="3B1B6B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vMerge w:val="continue"/>
            <w:tcBorders>
              <w:tl2br w:val="nil"/>
              <w:tr2bl w:val="nil"/>
            </w:tcBorders>
            <w:noWrap w:val="0"/>
            <w:vAlign w:val="center"/>
          </w:tcPr>
          <w:p w14:paraId="6C893A2A">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highlight w:val="none"/>
                <w:lang w:val="en-US" w:eastAsia="zh-CN"/>
              </w:rPr>
            </w:pPr>
          </w:p>
        </w:tc>
        <w:tc>
          <w:tcPr>
            <w:tcW w:w="1272" w:type="dxa"/>
            <w:tcBorders>
              <w:tl2br w:val="nil"/>
              <w:tr2bl w:val="nil"/>
            </w:tcBorders>
            <w:noWrap w:val="0"/>
            <w:vAlign w:val="center"/>
          </w:tcPr>
          <w:p w14:paraId="3701468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snapToGrid w:val="0"/>
                <w:spacing w:val="0"/>
                <w:w w:val="100"/>
                <w:kern w:val="21"/>
                <w:sz w:val="21"/>
                <w:szCs w:val="21"/>
                <w:highlight w:val="none"/>
                <w:lang w:val="en-US" w:eastAsia="zh-CN"/>
              </w:rPr>
              <w:t>H</w:t>
            </w:r>
            <w:r>
              <w:rPr>
                <w:rFonts w:hint="default" w:ascii="Times New Roman" w:hAnsi="Times New Roman" w:eastAsia="宋体" w:cs="Times New Roman"/>
                <w:snapToGrid w:val="0"/>
                <w:spacing w:val="0"/>
                <w:w w:val="100"/>
                <w:kern w:val="21"/>
                <w:sz w:val="21"/>
                <w:szCs w:val="21"/>
                <w:highlight w:val="none"/>
                <w:vertAlign w:val="subscript"/>
                <w:lang w:val="en-US" w:eastAsia="zh-CN"/>
              </w:rPr>
              <w:t>2</w:t>
            </w:r>
            <w:r>
              <w:rPr>
                <w:rFonts w:hint="default" w:ascii="Times New Roman" w:hAnsi="Times New Roman" w:eastAsia="宋体" w:cs="Times New Roman"/>
                <w:snapToGrid w:val="0"/>
                <w:spacing w:val="0"/>
                <w:w w:val="100"/>
                <w:kern w:val="21"/>
                <w:sz w:val="21"/>
                <w:szCs w:val="21"/>
                <w:highlight w:val="none"/>
                <w:lang w:val="en-US" w:eastAsia="zh-CN"/>
              </w:rPr>
              <w:t>S</w:t>
            </w:r>
          </w:p>
        </w:tc>
        <w:tc>
          <w:tcPr>
            <w:tcW w:w="1275" w:type="dxa"/>
            <w:tcBorders>
              <w:tl2br w:val="nil"/>
              <w:tr2bl w:val="nil"/>
            </w:tcBorders>
            <w:shd w:val="clear"/>
            <w:noWrap w:val="0"/>
            <w:vAlign w:val="center"/>
          </w:tcPr>
          <w:p w14:paraId="6B89764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0.84</w:t>
            </w:r>
          </w:p>
        </w:tc>
        <w:tc>
          <w:tcPr>
            <w:tcW w:w="1134" w:type="dxa"/>
            <w:tcBorders>
              <w:tl2br w:val="nil"/>
              <w:tr2bl w:val="nil"/>
            </w:tcBorders>
            <w:shd w:val="clear"/>
            <w:noWrap w:val="0"/>
            <w:vAlign w:val="center"/>
          </w:tcPr>
          <w:p w14:paraId="267FD628">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8.4</w:t>
            </w:r>
          </w:p>
        </w:tc>
        <w:tc>
          <w:tcPr>
            <w:tcW w:w="1357" w:type="dxa"/>
            <w:tcBorders>
              <w:tl2br w:val="nil"/>
              <w:tr2bl w:val="nil"/>
            </w:tcBorders>
            <w:shd w:val="clear"/>
            <w:noWrap w:val="0"/>
            <w:vAlign w:val="center"/>
          </w:tcPr>
          <w:p w14:paraId="780C3B7C">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74</w:t>
            </w:r>
          </w:p>
        </w:tc>
        <w:tc>
          <w:tcPr>
            <w:tcW w:w="1485" w:type="dxa"/>
            <w:tcBorders>
              <w:tl2br w:val="nil"/>
              <w:tr2bl w:val="nil"/>
            </w:tcBorders>
            <w:noWrap w:val="0"/>
            <w:vAlign w:val="center"/>
          </w:tcPr>
          <w:p w14:paraId="5D5093CA">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default" w:ascii="Times New Roman" w:hAnsi="Times New Roman" w:eastAsia="Times New Roman" w:cs="Times New Roman"/>
                <w:sz w:val="21"/>
                <w:szCs w:val="21"/>
                <w:highlight w:val="none"/>
              </w:rPr>
              <w:t>1%≤P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&lt;10%</w:t>
            </w:r>
          </w:p>
        </w:tc>
        <w:tc>
          <w:tcPr>
            <w:tcW w:w="901" w:type="dxa"/>
            <w:tcBorders>
              <w:tl2br w:val="nil"/>
              <w:tr2bl w:val="nil"/>
            </w:tcBorders>
            <w:noWrap w:val="0"/>
            <w:vAlign w:val="center"/>
          </w:tcPr>
          <w:p w14:paraId="5BBD481F">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none"/>
              </w:rPr>
            </w:pPr>
            <w:r>
              <w:rPr>
                <w:rFonts w:hint="eastAsia" w:cs="Times New Roman"/>
                <w:sz w:val="21"/>
                <w:szCs w:val="21"/>
                <w:highlight w:val="none"/>
                <w:lang w:val="en-US" w:eastAsia="zh-CN"/>
              </w:rPr>
              <w:t>二</w:t>
            </w:r>
            <w:r>
              <w:rPr>
                <w:rFonts w:hint="default" w:ascii="Times New Roman" w:hAnsi="Times New Roman" w:cs="Times New Roman"/>
                <w:sz w:val="21"/>
                <w:szCs w:val="21"/>
                <w:highlight w:val="none"/>
              </w:rPr>
              <w:t>级</w:t>
            </w:r>
          </w:p>
        </w:tc>
      </w:tr>
      <w:tr w14:paraId="4F8E1D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3" w:type="dxa"/>
            <w:vMerge w:val="continue"/>
            <w:tcBorders>
              <w:tl2br w:val="nil"/>
              <w:tr2bl w:val="nil"/>
            </w:tcBorders>
            <w:noWrap w:val="0"/>
            <w:vAlign w:val="center"/>
          </w:tcPr>
          <w:p w14:paraId="20B7F23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p>
        </w:tc>
        <w:tc>
          <w:tcPr>
            <w:tcW w:w="1272" w:type="dxa"/>
            <w:tcBorders>
              <w:tl2br w:val="nil"/>
              <w:tr2bl w:val="nil"/>
            </w:tcBorders>
            <w:noWrap w:val="0"/>
            <w:vAlign w:val="center"/>
          </w:tcPr>
          <w:p w14:paraId="12313FE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spacing w:val="0"/>
                <w:w w:val="100"/>
                <w:kern w:val="21"/>
                <w:sz w:val="21"/>
                <w:szCs w:val="21"/>
                <w:highlight w:val="none"/>
                <w:lang w:val="en-US" w:eastAsia="zh-CN"/>
              </w:rPr>
              <w:t>NH</w:t>
            </w:r>
            <w:r>
              <w:rPr>
                <w:rFonts w:hint="default" w:ascii="Times New Roman" w:hAnsi="Times New Roman" w:eastAsia="宋体" w:cs="Times New Roman"/>
                <w:snapToGrid w:val="0"/>
                <w:spacing w:val="0"/>
                <w:w w:val="100"/>
                <w:kern w:val="21"/>
                <w:sz w:val="21"/>
                <w:szCs w:val="21"/>
                <w:highlight w:val="none"/>
                <w:vertAlign w:val="subscript"/>
                <w:lang w:val="en-US" w:eastAsia="zh-CN"/>
              </w:rPr>
              <w:t>3</w:t>
            </w:r>
          </w:p>
        </w:tc>
        <w:tc>
          <w:tcPr>
            <w:tcW w:w="1275" w:type="dxa"/>
            <w:tcBorders>
              <w:tl2br w:val="nil"/>
              <w:tr2bl w:val="nil"/>
            </w:tcBorders>
            <w:shd w:val="clear"/>
            <w:noWrap w:val="0"/>
            <w:vAlign w:val="center"/>
          </w:tcPr>
          <w:p w14:paraId="7F9B136F">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ar-SA"/>
              </w:rPr>
            </w:pPr>
            <w:r>
              <w:rPr>
                <w:rFonts w:hint="eastAsia" w:cs="Times New Roman"/>
                <w:sz w:val="21"/>
                <w:szCs w:val="21"/>
                <w:highlight w:val="none"/>
                <w:lang w:val="en-US" w:eastAsia="zh-CN"/>
              </w:rPr>
              <w:t>0.973</w:t>
            </w:r>
          </w:p>
        </w:tc>
        <w:tc>
          <w:tcPr>
            <w:tcW w:w="1134" w:type="dxa"/>
            <w:tcBorders>
              <w:tl2br w:val="nil"/>
              <w:tr2bl w:val="nil"/>
            </w:tcBorders>
            <w:shd w:val="clear"/>
            <w:noWrap w:val="0"/>
            <w:vAlign w:val="center"/>
          </w:tcPr>
          <w:p w14:paraId="11F19E98">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highlight w:val="none"/>
                <w:lang w:val="en-US" w:eastAsia="zh-CN" w:bidi="ar-SA"/>
              </w:rPr>
            </w:pPr>
            <w:r>
              <w:rPr>
                <w:rFonts w:hint="eastAsia" w:cs="Times New Roman"/>
                <w:sz w:val="21"/>
                <w:szCs w:val="21"/>
                <w:highlight w:val="none"/>
                <w:lang w:val="en-US" w:eastAsia="zh-CN"/>
              </w:rPr>
              <w:t>0.49</w:t>
            </w:r>
          </w:p>
        </w:tc>
        <w:tc>
          <w:tcPr>
            <w:tcW w:w="1357" w:type="dxa"/>
            <w:tcBorders>
              <w:tl2br w:val="nil"/>
              <w:tr2bl w:val="nil"/>
            </w:tcBorders>
            <w:shd w:val="clear"/>
            <w:noWrap w:val="0"/>
            <w:vAlign w:val="center"/>
          </w:tcPr>
          <w:p w14:paraId="4ECC98A6">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lang w:val="en-US" w:eastAsia="zh-CN" w:bidi="ar-SA"/>
              </w:rPr>
            </w:pPr>
            <w:r>
              <w:rPr>
                <w:rFonts w:hint="eastAsia" w:eastAsia="Times New Roman" w:cs="Times New Roman"/>
                <w:sz w:val="21"/>
                <w:szCs w:val="21"/>
                <w:highlight w:val="none"/>
                <w:lang w:val="en-US" w:eastAsia="zh-CN"/>
              </w:rPr>
              <w:t>74</w:t>
            </w:r>
          </w:p>
        </w:tc>
        <w:tc>
          <w:tcPr>
            <w:tcW w:w="1485" w:type="dxa"/>
            <w:tcBorders>
              <w:tl2br w:val="nil"/>
              <w:tr2bl w:val="nil"/>
            </w:tcBorders>
            <w:noWrap w:val="0"/>
            <w:vAlign w:val="center"/>
          </w:tcPr>
          <w:p w14:paraId="6DE6AD23">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eastAsia="Times New Roman" w:cs="Times New Roman"/>
                <w:sz w:val="21"/>
                <w:szCs w:val="21"/>
                <w:highlight w:val="none"/>
              </w:rPr>
              <w:t>P</w:t>
            </w:r>
            <w:r>
              <w:rPr>
                <w:rFonts w:hint="default" w:ascii="Times New Roman" w:hAnsi="Times New Roman" w:eastAsia="Times New Roman" w:cs="Times New Roman"/>
                <w:sz w:val="21"/>
                <w:szCs w:val="21"/>
                <w:highlight w:val="none"/>
                <w:vertAlign w:val="subscript"/>
              </w:rPr>
              <w:t>max</w:t>
            </w:r>
            <w:r>
              <w:rPr>
                <w:rFonts w:hint="default" w:ascii="Times New Roman" w:hAnsi="Times New Roman" w:eastAsia="Times New Roman" w:cs="Times New Roman"/>
                <w:sz w:val="21"/>
                <w:szCs w:val="21"/>
                <w:highlight w:val="none"/>
              </w:rPr>
              <w:t>&lt;1%</w:t>
            </w:r>
          </w:p>
        </w:tc>
        <w:tc>
          <w:tcPr>
            <w:tcW w:w="901" w:type="dxa"/>
            <w:tcBorders>
              <w:tl2br w:val="nil"/>
              <w:tr2bl w:val="nil"/>
            </w:tcBorders>
            <w:noWrap w:val="0"/>
            <w:vAlign w:val="center"/>
          </w:tcPr>
          <w:p w14:paraId="4FBA0F5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none"/>
              </w:rPr>
            </w:pPr>
            <w:r>
              <w:rPr>
                <w:rFonts w:hint="default" w:ascii="Times New Roman" w:hAnsi="Times New Roman" w:cs="Times New Roman"/>
                <w:sz w:val="21"/>
                <w:szCs w:val="21"/>
                <w:highlight w:val="none"/>
                <w:lang w:val="en-US" w:eastAsia="zh-CN"/>
              </w:rPr>
              <w:t>三</w:t>
            </w:r>
            <w:r>
              <w:rPr>
                <w:rFonts w:hint="default" w:ascii="Times New Roman" w:hAnsi="Times New Roman" w:cs="Times New Roman"/>
                <w:sz w:val="21"/>
                <w:szCs w:val="21"/>
                <w:highlight w:val="none"/>
              </w:rPr>
              <w:t>级</w:t>
            </w:r>
          </w:p>
        </w:tc>
      </w:tr>
    </w:tbl>
    <w:p w14:paraId="221ECE3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27" w:name="_Toc108122334"/>
      <w:r>
        <w:rPr>
          <w:rFonts w:hint="eastAsia" w:ascii="Times New Roman" w:hAnsi="Times New Roman" w:cs="Times New Roman"/>
          <w:lang w:val="en-US" w:eastAsia="zh-CN"/>
        </w:rPr>
        <w:t>2.4.2地表水环境影响评价等级</w:t>
      </w:r>
      <w:bookmarkEnd w:id="124"/>
      <w:bookmarkEnd w:id="125"/>
      <w:bookmarkEnd w:id="126"/>
      <w:bookmarkEnd w:id="127"/>
    </w:p>
    <w:p w14:paraId="12D92FF4">
      <w:pPr>
        <w:pStyle w:val="72"/>
        <w:jc w:val="both"/>
        <w:rPr>
          <w:color w:val="000000" w:themeColor="text1"/>
          <w14:textFill>
            <w14:solidFill>
              <w14:schemeClr w14:val="tx1"/>
            </w14:solidFill>
          </w14:textFill>
        </w:rPr>
      </w:pPr>
      <w:bookmarkStart w:id="128" w:name="_Toc428286774"/>
      <w:bookmarkStart w:id="129" w:name="_Toc428287520"/>
      <w:bookmarkStart w:id="130" w:name="_Toc428287168"/>
      <w:r>
        <w:rPr>
          <w:rFonts w:hint="eastAsia"/>
          <w:color w:val="000000" w:themeColor="text1"/>
          <w14:textFill>
            <w14:solidFill>
              <w14:schemeClr w14:val="tx1"/>
            </w14:solidFill>
          </w14:textFill>
        </w:rPr>
        <w:t>根据《环境影响评价技术导则  地表水环境》（HJ2.3-2018），直接排放的建设项目评价等级分为一级、二级和三级A，间接排放的建设项目评价等级为三级B。本项目废水经厂区污水处理站处理达标后排入获嘉县同盟污水处理厂</w:t>
      </w:r>
      <w:r>
        <w:rPr>
          <w:rFonts w:hint="eastAsia"/>
          <w:color w:val="000000" w:themeColor="text1"/>
          <w:lang w:val="en-US" w:eastAsia="zh-CN"/>
          <w14:textFill>
            <w14:solidFill>
              <w14:schemeClr w14:val="tx1"/>
            </w14:solidFill>
          </w14:textFill>
        </w:rPr>
        <w:t>处理</w:t>
      </w:r>
      <w:r>
        <w:rPr>
          <w:rFonts w:hint="eastAsia"/>
          <w:color w:val="000000" w:themeColor="text1"/>
          <w14:textFill>
            <w14:solidFill>
              <w14:schemeClr w14:val="tx1"/>
            </w14:solidFill>
          </w14:textFill>
        </w:rPr>
        <w:t>，因此属于间接排放，评价等级为三级B。</w:t>
      </w:r>
    </w:p>
    <w:p w14:paraId="31116AA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31" w:name="_Toc108122335"/>
      <w:r>
        <w:rPr>
          <w:rFonts w:hint="eastAsia" w:ascii="Times New Roman" w:hAnsi="Times New Roman" w:cs="Times New Roman"/>
          <w:lang w:val="en-US" w:eastAsia="zh-CN"/>
        </w:rPr>
        <w:t>2.4.3地下水环境影响评价等级</w:t>
      </w:r>
      <w:bookmarkEnd w:id="128"/>
      <w:bookmarkEnd w:id="129"/>
      <w:bookmarkEnd w:id="130"/>
      <w:bookmarkEnd w:id="131"/>
    </w:p>
    <w:p w14:paraId="043629D2">
      <w:pPr>
        <w:pStyle w:val="72"/>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根据《环境影响评价技术导则地下水环境》（HJ610-</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）建设项目对地下水环境影响的特征及分类，本项目属于</w:t>
      </w: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 3 \* ROMAN \* MERGEFORMAT </w:instrText>
      </w:r>
      <w:r>
        <w:rPr>
          <w:rFonts w:cs="Times New Roman"/>
          <w:color w:val="000000" w:themeColor="text1"/>
          <w14:textFill>
            <w14:solidFill>
              <w14:schemeClr w14:val="tx1"/>
            </w14:solidFill>
          </w14:textFill>
        </w:rPr>
        <w:fldChar w:fldCharType="separate"/>
      </w:r>
      <w:r>
        <w:rPr>
          <w:rFonts w:cs="Times New Roman"/>
          <w:color w:val="000000" w:themeColor="text1"/>
          <w14:textFill>
            <w14:solidFill>
              <w14:schemeClr w14:val="tx1"/>
            </w14:solidFill>
          </w14:textFill>
        </w:rPr>
        <w:t>III</w:t>
      </w:r>
      <w:r>
        <w:rPr>
          <w:rFonts w:cs="Times New Roman"/>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类项目，</w:t>
      </w:r>
      <w:r>
        <w:rPr>
          <w:color w:val="000000" w:themeColor="text1"/>
          <w14:textFill>
            <w14:solidFill>
              <w14:schemeClr w14:val="tx1"/>
            </w14:solidFill>
          </w14:textFill>
        </w:rPr>
        <w:t>项目厂址属于</w:t>
      </w:r>
      <w:r>
        <w:rPr>
          <w:rFonts w:hint="eastAsia"/>
          <w:color w:val="000000" w:themeColor="text1"/>
          <w14:textFill>
            <w14:solidFill>
              <w14:schemeClr w14:val="tx1"/>
            </w14:solidFill>
          </w14:textFill>
        </w:rPr>
        <w:t>较</w:t>
      </w:r>
      <w:r>
        <w:rPr>
          <w:color w:val="000000" w:themeColor="text1"/>
          <w14:textFill>
            <w14:solidFill>
              <w14:schemeClr w14:val="tx1"/>
            </w14:solidFill>
          </w14:textFill>
        </w:rPr>
        <w:t>敏感区。</w:t>
      </w:r>
      <w:r>
        <w:rPr>
          <w:rFonts w:hint="eastAsia"/>
          <w:color w:val="000000" w:themeColor="text1"/>
          <w14:textFill>
            <w14:solidFill>
              <w14:schemeClr w14:val="tx1"/>
            </w14:solidFill>
          </w14:textFill>
        </w:rPr>
        <w:t>根据《环境影响评价技术导则地下水环境》（HJ610-</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）本项目地下水评价等级为三级，具体指标判断见下表。</w:t>
      </w:r>
    </w:p>
    <w:p w14:paraId="2CEF0EE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bookmarkStart w:id="132" w:name="_Toc428287169"/>
      <w:bookmarkStart w:id="133" w:name="_Toc428286775"/>
      <w:bookmarkStart w:id="134" w:name="_Toc428287521"/>
      <w:r>
        <w:rPr>
          <w:rFonts w:hint="eastAsia"/>
        </w:rPr>
        <w:t>表</w:t>
      </w:r>
      <w:r>
        <w:rPr>
          <w:rFonts w:hint="eastAsia"/>
          <w:lang w:val="en-US" w:eastAsia="zh-CN"/>
        </w:rPr>
        <w:t>2.4-4</w:t>
      </w:r>
      <w:r>
        <w:rPr>
          <w:rFonts w:hint="eastAsia"/>
        </w:rPr>
        <w:t xml:space="preserve">     地下水环境评价工作等级分级表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194"/>
        <w:gridCol w:w="1834"/>
        <w:gridCol w:w="1709"/>
        <w:gridCol w:w="1791"/>
      </w:tblGrid>
      <w:tr w14:paraId="2D98278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264" w:type="dxa"/>
            <w:tcBorders>
              <w:top w:val="single" w:color="auto" w:sz="8" w:space="0"/>
              <w:bottom w:val="single" w:color="auto" w:sz="4" w:space="0"/>
              <w:right w:val="single" w:color="auto" w:sz="4" w:space="0"/>
              <w:tl2br w:val="single" w:color="auto" w:sz="4" w:space="0"/>
            </w:tcBorders>
            <w:vAlign w:val="center"/>
          </w:tcPr>
          <w:p w14:paraId="6A1B241B">
            <w:pPr>
              <w:pStyle w:val="81"/>
              <w:rPr>
                <w:color w:val="auto"/>
              </w:rPr>
            </w:pPr>
            <w:r>
              <w:rPr>
                <w:rFonts w:hint="eastAsia"/>
                <w:color w:val="auto"/>
              </w:rPr>
              <w:t xml:space="preserve">              </w:t>
            </w:r>
            <w:r>
              <w:rPr>
                <w:color w:val="auto"/>
              </w:rPr>
              <w:t xml:space="preserve">   </w:t>
            </w:r>
            <w:r>
              <w:rPr>
                <w:rFonts w:hint="eastAsia"/>
                <w:color w:val="auto"/>
              </w:rPr>
              <w:t xml:space="preserve"> 项目类别</w:t>
            </w:r>
          </w:p>
          <w:p w14:paraId="2E451380">
            <w:pPr>
              <w:pStyle w:val="81"/>
              <w:jc w:val="both"/>
              <w:rPr>
                <w:color w:val="auto"/>
              </w:rPr>
            </w:pPr>
            <w:r>
              <w:rPr>
                <w:rFonts w:hint="eastAsia"/>
                <w:color w:val="auto"/>
              </w:rPr>
              <w:t>环境敏感程度</w:t>
            </w:r>
          </w:p>
        </w:tc>
        <w:tc>
          <w:tcPr>
            <w:tcW w:w="1868" w:type="dxa"/>
            <w:tcBorders>
              <w:top w:val="single" w:color="auto" w:sz="8" w:space="0"/>
              <w:left w:val="single" w:color="auto" w:sz="4" w:space="0"/>
              <w:bottom w:val="single" w:color="auto" w:sz="4" w:space="0"/>
              <w:right w:val="single" w:color="auto" w:sz="4" w:space="0"/>
            </w:tcBorders>
            <w:vAlign w:val="center"/>
          </w:tcPr>
          <w:p w14:paraId="2B09DA5C">
            <w:pPr>
              <w:pStyle w:val="81"/>
              <w:rPr>
                <w:color w:val="auto"/>
              </w:rPr>
            </w:pPr>
            <w:r>
              <w:rPr>
                <w:color w:val="auto"/>
              </w:rPr>
              <w:fldChar w:fldCharType="begin"/>
            </w:r>
            <w:r>
              <w:rPr>
                <w:color w:val="auto"/>
              </w:rPr>
              <w:instrText xml:space="preserve"> = 1 \* ROMAN \* MERGEFORMAT </w:instrText>
            </w:r>
            <w:r>
              <w:rPr>
                <w:color w:val="auto"/>
              </w:rPr>
              <w:fldChar w:fldCharType="separate"/>
            </w:r>
            <w:r>
              <w:rPr>
                <w:color w:val="auto"/>
              </w:rPr>
              <w:t>I</w:t>
            </w:r>
            <w:r>
              <w:rPr>
                <w:color w:val="auto"/>
              </w:rPr>
              <w:fldChar w:fldCharType="end"/>
            </w:r>
            <w:r>
              <w:rPr>
                <w:rFonts w:hint="eastAsia"/>
                <w:color w:val="auto"/>
              </w:rPr>
              <w:t>类</w:t>
            </w:r>
            <w:r>
              <w:rPr>
                <w:color w:val="auto"/>
              </w:rPr>
              <w:t>项目</w:t>
            </w:r>
          </w:p>
        </w:tc>
        <w:tc>
          <w:tcPr>
            <w:tcW w:w="1740" w:type="dxa"/>
            <w:tcBorders>
              <w:top w:val="single" w:color="auto" w:sz="8" w:space="0"/>
              <w:left w:val="single" w:color="auto" w:sz="4" w:space="0"/>
              <w:bottom w:val="single" w:color="auto" w:sz="4" w:space="0"/>
              <w:right w:val="single" w:color="auto" w:sz="4" w:space="0"/>
            </w:tcBorders>
            <w:vAlign w:val="center"/>
          </w:tcPr>
          <w:p w14:paraId="340AD27D">
            <w:pPr>
              <w:pStyle w:val="81"/>
              <w:rPr>
                <w:color w:val="auto"/>
              </w:rPr>
            </w:pPr>
            <w:r>
              <w:rPr>
                <w:color w:val="auto"/>
              </w:rPr>
              <w:fldChar w:fldCharType="begin"/>
            </w:r>
            <w:r>
              <w:rPr>
                <w:color w:val="auto"/>
              </w:rPr>
              <w:instrText xml:space="preserve"> = 2 \* ROMAN \* MERGEFORMAT </w:instrText>
            </w:r>
            <w:r>
              <w:rPr>
                <w:color w:val="auto"/>
              </w:rPr>
              <w:fldChar w:fldCharType="separate"/>
            </w:r>
            <w:r>
              <w:rPr>
                <w:color w:val="auto"/>
              </w:rPr>
              <w:t>II</w:t>
            </w:r>
            <w:r>
              <w:rPr>
                <w:color w:val="auto"/>
              </w:rPr>
              <w:fldChar w:fldCharType="end"/>
            </w:r>
            <w:r>
              <w:rPr>
                <w:rFonts w:hint="eastAsia"/>
                <w:color w:val="auto"/>
              </w:rPr>
              <w:t>类项目</w:t>
            </w:r>
          </w:p>
        </w:tc>
        <w:tc>
          <w:tcPr>
            <w:tcW w:w="1824" w:type="dxa"/>
            <w:tcBorders>
              <w:top w:val="single" w:color="auto" w:sz="8" w:space="0"/>
              <w:left w:val="single" w:color="auto" w:sz="4" w:space="0"/>
              <w:bottom w:val="single" w:color="auto" w:sz="4" w:space="0"/>
            </w:tcBorders>
            <w:vAlign w:val="center"/>
          </w:tcPr>
          <w:p w14:paraId="1E39E1CD">
            <w:pPr>
              <w:pStyle w:val="81"/>
              <w:rPr>
                <w:color w:val="auto"/>
              </w:rPr>
            </w:pPr>
            <w:r>
              <w:rPr>
                <w:color w:val="auto"/>
              </w:rPr>
              <w:fldChar w:fldCharType="begin"/>
            </w:r>
            <w:r>
              <w:rPr>
                <w:color w:val="auto"/>
              </w:rPr>
              <w:instrText xml:space="preserve"> = 3 \* ROMAN \* MERGEFORMAT </w:instrText>
            </w:r>
            <w:r>
              <w:rPr>
                <w:color w:val="auto"/>
              </w:rPr>
              <w:fldChar w:fldCharType="separate"/>
            </w:r>
            <w:r>
              <w:rPr>
                <w:color w:val="auto"/>
              </w:rPr>
              <w:t>III</w:t>
            </w:r>
            <w:r>
              <w:rPr>
                <w:color w:val="auto"/>
              </w:rPr>
              <w:fldChar w:fldCharType="end"/>
            </w:r>
            <w:r>
              <w:rPr>
                <w:color w:val="auto"/>
              </w:rPr>
              <w:t>类</w:t>
            </w:r>
            <w:r>
              <w:rPr>
                <w:rFonts w:hint="eastAsia"/>
                <w:color w:val="auto"/>
              </w:rPr>
              <w:t>项目</w:t>
            </w:r>
          </w:p>
        </w:tc>
      </w:tr>
      <w:tr w14:paraId="79DF5A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264" w:type="dxa"/>
            <w:tcBorders>
              <w:top w:val="single" w:color="auto" w:sz="4" w:space="0"/>
              <w:bottom w:val="single" w:color="auto" w:sz="4" w:space="0"/>
              <w:right w:val="single" w:color="auto" w:sz="4" w:space="0"/>
            </w:tcBorders>
            <w:vAlign w:val="center"/>
          </w:tcPr>
          <w:p w14:paraId="41312668">
            <w:pPr>
              <w:pStyle w:val="75"/>
            </w:pPr>
            <w:r>
              <w:rPr>
                <w:rFonts w:hint="eastAsia"/>
              </w:rPr>
              <w:t>敏感</w:t>
            </w:r>
          </w:p>
        </w:tc>
        <w:tc>
          <w:tcPr>
            <w:tcW w:w="1868" w:type="dxa"/>
            <w:tcBorders>
              <w:top w:val="single" w:color="auto" w:sz="4" w:space="0"/>
              <w:left w:val="single" w:color="auto" w:sz="4" w:space="0"/>
              <w:bottom w:val="single" w:color="auto" w:sz="4" w:space="0"/>
              <w:right w:val="single" w:color="auto" w:sz="4" w:space="0"/>
            </w:tcBorders>
            <w:vAlign w:val="center"/>
          </w:tcPr>
          <w:p w14:paraId="159B3EBF">
            <w:pPr>
              <w:pStyle w:val="75"/>
            </w:pPr>
            <w:r>
              <w:rPr>
                <w:rFonts w:hint="eastAsia"/>
              </w:rPr>
              <w:t>一</w:t>
            </w:r>
          </w:p>
        </w:tc>
        <w:tc>
          <w:tcPr>
            <w:tcW w:w="1740" w:type="dxa"/>
            <w:tcBorders>
              <w:top w:val="single" w:color="auto" w:sz="4" w:space="0"/>
              <w:left w:val="single" w:color="auto" w:sz="4" w:space="0"/>
              <w:bottom w:val="single" w:color="auto" w:sz="4" w:space="0"/>
              <w:right w:val="single" w:color="auto" w:sz="4" w:space="0"/>
            </w:tcBorders>
            <w:vAlign w:val="center"/>
          </w:tcPr>
          <w:p w14:paraId="7FC2EC7D">
            <w:pPr>
              <w:pStyle w:val="75"/>
            </w:pPr>
            <w:r>
              <w:rPr>
                <w:rFonts w:hint="eastAsia"/>
              </w:rPr>
              <w:t>一</w:t>
            </w:r>
          </w:p>
        </w:tc>
        <w:tc>
          <w:tcPr>
            <w:tcW w:w="1824" w:type="dxa"/>
            <w:tcBorders>
              <w:top w:val="single" w:color="auto" w:sz="4" w:space="0"/>
              <w:left w:val="single" w:color="auto" w:sz="4" w:space="0"/>
              <w:bottom w:val="single" w:color="auto" w:sz="4" w:space="0"/>
            </w:tcBorders>
            <w:vAlign w:val="center"/>
          </w:tcPr>
          <w:p w14:paraId="73F78612">
            <w:pPr>
              <w:pStyle w:val="75"/>
            </w:pPr>
            <w:r>
              <w:rPr>
                <w:rFonts w:hint="eastAsia"/>
              </w:rPr>
              <w:t>二</w:t>
            </w:r>
          </w:p>
        </w:tc>
      </w:tr>
      <w:tr w14:paraId="25504B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264" w:type="dxa"/>
            <w:tcBorders>
              <w:top w:val="single" w:color="auto" w:sz="4" w:space="0"/>
              <w:bottom w:val="single" w:color="auto" w:sz="4" w:space="0"/>
              <w:right w:val="single" w:color="auto" w:sz="4" w:space="0"/>
            </w:tcBorders>
            <w:vAlign w:val="center"/>
          </w:tcPr>
          <w:p w14:paraId="08A9351F">
            <w:pPr>
              <w:pStyle w:val="75"/>
            </w:pPr>
            <w:r>
              <w:rPr>
                <w:rFonts w:hint="eastAsia"/>
              </w:rPr>
              <w:t>较敏感</w:t>
            </w:r>
          </w:p>
        </w:tc>
        <w:tc>
          <w:tcPr>
            <w:tcW w:w="1868" w:type="dxa"/>
            <w:tcBorders>
              <w:top w:val="single" w:color="auto" w:sz="4" w:space="0"/>
              <w:left w:val="single" w:color="auto" w:sz="4" w:space="0"/>
              <w:bottom w:val="single" w:color="auto" w:sz="4" w:space="0"/>
              <w:right w:val="single" w:color="auto" w:sz="4" w:space="0"/>
            </w:tcBorders>
            <w:vAlign w:val="center"/>
          </w:tcPr>
          <w:p w14:paraId="5E6790BF">
            <w:pPr>
              <w:pStyle w:val="75"/>
            </w:pPr>
            <w:r>
              <w:rPr>
                <w:rFonts w:hint="eastAsia"/>
              </w:rPr>
              <w:t>一</w:t>
            </w:r>
          </w:p>
        </w:tc>
        <w:tc>
          <w:tcPr>
            <w:tcW w:w="1740" w:type="dxa"/>
            <w:tcBorders>
              <w:top w:val="single" w:color="auto" w:sz="4" w:space="0"/>
              <w:left w:val="single" w:color="auto" w:sz="4" w:space="0"/>
              <w:bottom w:val="single" w:color="auto" w:sz="4" w:space="0"/>
              <w:right w:val="single" w:color="auto" w:sz="4" w:space="0"/>
            </w:tcBorders>
            <w:vAlign w:val="center"/>
          </w:tcPr>
          <w:p w14:paraId="4628C8DA">
            <w:pPr>
              <w:pStyle w:val="75"/>
            </w:pPr>
            <w:r>
              <w:rPr>
                <w:rFonts w:hint="eastAsia"/>
              </w:rPr>
              <w:t>二</w:t>
            </w:r>
          </w:p>
        </w:tc>
        <w:tc>
          <w:tcPr>
            <w:tcW w:w="1824" w:type="dxa"/>
            <w:tcBorders>
              <w:top w:val="single" w:color="auto" w:sz="4" w:space="0"/>
              <w:left w:val="single" w:color="auto" w:sz="4" w:space="0"/>
              <w:bottom w:val="single" w:color="auto" w:sz="4" w:space="0"/>
            </w:tcBorders>
            <w:vAlign w:val="center"/>
          </w:tcPr>
          <w:p w14:paraId="25AE2864">
            <w:pPr>
              <w:pStyle w:val="75"/>
              <w:rPr>
                <w:b/>
                <w:bCs/>
              </w:rPr>
            </w:pPr>
            <w:r>
              <w:rPr>
                <w:rFonts w:hint="eastAsia"/>
                <w:b/>
                <w:bCs/>
              </w:rPr>
              <w:t>三</w:t>
            </w:r>
          </w:p>
        </w:tc>
      </w:tr>
      <w:tr w14:paraId="211334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264" w:type="dxa"/>
            <w:tcBorders>
              <w:top w:val="single" w:color="auto" w:sz="4" w:space="0"/>
              <w:bottom w:val="single" w:color="auto" w:sz="8" w:space="0"/>
              <w:right w:val="single" w:color="auto" w:sz="4" w:space="0"/>
            </w:tcBorders>
            <w:vAlign w:val="center"/>
          </w:tcPr>
          <w:p w14:paraId="147EE8B9">
            <w:pPr>
              <w:pStyle w:val="75"/>
            </w:pPr>
            <w:r>
              <w:rPr>
                <w:rFonts w:hint="eastAsia"/>
              </w:rPr>
              <w:t>不敏感</w:t>
            </w:r>
          </w:p>
        </w:tc>
        <w:tc>
          <w:tcPr>
            <w:tcW w:w="1868" w:type="dxa"/>
            <w:tcBorders>
              <w:top w:val="single" w:color="auto" w:sz="4" w:space="0"/>
              <w:left w:val="single" w:color="auto" w:sz="4" w:space="0"/>
              <w:bottom w:val="single" w:color="auto" w:sz="8" w:space="0"/>
              <w:right w:val="single" w:color="auto" w:sz="4" w:space="0"/>
            </w:tcBorders>
            <w:vAlign w:val="center"/>
          </w:tcPr>
          <w:p w14:paraId="63B2B834">
            <w:pPr>
              <w:pStyle w:val="75"/>
            </w:pPr>
            <w:r>
              <w:rPr>
                <w:rFonts w:hint="eastAsia"/>
              </w:rPr>
              <w:t>二</w:t>
            </w:r>
          </w:p>
        </w:tc>
        <w:tc>
          <w:tcPr>
            <w:tcW w:w="1740" w:type="dxa"/>
            <w:tcBorders>
              <w:top w:val="single" w:color="auto" w:sz="4" w:space="0"/>
              <w:left w:val="single" w:color="auto" w:sz="4" w:space="0"/>
              <w:bottom w:val="single" w:color="auto" w:sz="8" w:space="0"/>
              <w:right w:val="single" w:color="auto" w:sz="4" w:space="0"/>
            </w:tcBorders>
            <w:vAlign w:val="center"/>
          </w:tcPr>
          <w:p w14:paraId="5A51892B">
            <w:pPr>
              <w:pStyle w:val="75"/>
            </w:pPr>
            <w:r>
              <w:rPr>
                <w:rFonts w:hint="eastAsia"/>
              </w:rPr>
              <w:t>三</w:t>
            </w:r>
          </w:p>
        </w:tc>
        <w:tc>
          <w:tcPr>
            <w:tcW w:w="1824" w:type="dxa"/>
            <w:tcBorders>
              <w:top w:val="single" w:color="auto" w:sz="4" w:space="0"/>
              <w:left w:val="single" w:color="auto" w:sz="4" w:space="0"/>
              <w:bottom w:val="single" w:color="auto" w:sz="8" w:space="0"/>
            </w:tcBorders>
            <w:vAlign w:val="center"/>
          </w:tcPr>
          <w:p w14:paraId="05080E24">
            <w:pPr>
              <w:pStyle w:val="75"/>
            </w:pPr>
            <w:r>
              <w:rPr>
                <w:rFonts w:hint="eastAsia"/>
              </w:rPr>
              <w:t>三</w:t>
            </w:r>
          </w:p>
        </w:tc>
      </w:tr>
    </w:tbl>
    <w:p w14:paraId="78D3C4E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35" w:name="_Toc108122336"/>
      <w:r>
        <w:rPr>
          <w:rFonts w:hint="eastAsia" w:ascii="Times New Roman" w:hAnsi="Times New Roman" w:cs="Times New Roman"/>
          <w:lang w:val="en-US" w:eastAsia="zh-CN"/>
        </w:rPr>
        <w:t>2.4.4声环境影响评价等级</w:t>
      </w:r>
      <w:bookmarkEnd w:id="132"/>
      <w:bookmarkEnd w:id="133"/>
      <w:bookmarkEnd w:id="134"/>
      <w:bookmarkEnd w:id="135"/>
    </w:p>
    <w:p w14:paraId="6F36079E">
      <w:pPr>
        <w:pStyle w:val="72"/>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根据《环境影响评价技术导则  声环境》（HJ2.4-2021）有关评价等级划分原则，确定拟建工程声环境影响评价等级为三级，评价依据详见下表。</w:t>
      </w:r>
    </w:p>
    <w:p w14:paraId="06CF24A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bookmarkStart w:id="136" w:name="_Toc428286776"/>
      <w:bookmarkStart w:id="137" w:name="_Toc428287522"/>
      <w:bookmarkStart w:id="138" w:name="_Toc428287170"/>
      <w:r>
        <w:rPr>
          <w:rFonts w:hint="eastAsia"/>
        </w:rPr>
        <w:t>表2</w:t>
      </w:r>
      <w:r>
        <w:rPr>
          <w:rFonts w:hint="eastAsia"/>
          <w:lang w:val="en-US" w:eastAsia="zh-CN"/>
        </w:rPr>
        <w:t>.4</w:t>
      </w:r>
      <w:r>
        <w:rPr>
          <w:rFonts w:hint="eastAsia"/>
        </w:rPr>
        <w:t>-5    声环境影响评价等级判别表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4"/>
        <w:gridCol w:w="4264"/>
      </w:tblGrid>
      <w:tr w14:paraId="3C5AB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14:paraId="53BEA018">
            <w:pPr>
              <w:pStyle w:val="81"/>
              <w:rPr>
                <w:color w:val="000000" w:themeColor="text1"/>
                <w14:textFill>
                  <w14:solidFill>
                    <w14:schemeClr w14:val="tx1"/>
                  </w14:solidFill>
                </w14:textFill>
              </w:rPr>
            </w:pPr>
            <w:r>
              <w:rPr>
                <w:color w:val="000000" w:themeColor="text1"/>
                <w14:textFill>
                  <w14:solidFill>
                    <w14:schemeClr w14:val="tx1"/>
                  </w14:solidFill>
                </w14:textFill>
              </w:rPr>
              <w:t>项目</w:t>
            </w:r>
          </w:p>
        </w:tc>
        <w:tc>
          <w:tcPr>
            <w:tcW w:w="2500" w:type="pct"/>
            <w:vAlign w:val="center"/>
          </w:tcPr>
          <w:p w14:paraId="531088BE">
            <w:pPr>
              <w:pStyle w:val="81"/>
              <w:rPr>
                <w:color w:val="000000" w:themeColor="text1"/>
                <w14:textFill>
                  <w14:solidFill>
                    <w14:schemeClr w14:val="tx1"/>
                  </w14:solidFill>
                </w14:textFill>
              </w:rPr>
            </w:pPr>
            <w:r>
              <w:rPr>
                <w:color w:val="000000" w:themeColor="text1"/>
                <w14:textFill>
                  <w14:solidFill>
                    <w14:schemeClr w14:val="tx1"/>
                  </w14:solidFill>
                </w14:textFill>
              </w:rPr>
              <w:t>指标</w:t>
            </w:r>
          </w:p>
        </w:tc>
      </w:tr>
      <w:tr w14:paraId="38E549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14:paraId="7FB40279">
            <w:pPr>
              <w:pStyle w:val="75"/>
              <w:rPr>
                <w:color w:val="000000" w:themeColor="text1"/>
                <w14:textFill>
                  <w14:solidFill>
                    <w14:schemeClr w14:val="tx1"/>
                  </w14:solidFill>
                </w14:textFill>
              </w:rPr>
            </w:pPr>
            <w:r>
              <w:rPr>
                <w:color w:val="000000" w:themeColor="text1"/>
                <w14:textFill>
                  <w14:solidFill>
                    <w14:schemeClr w14:val="tx1"/>
                  </w14:solidFill>
                </w14:textFill>
              </w:rPr>
              <w:t>项目所处的声环境功能区</w:t>
            </w:r>
          </w:p>
        </w:tc>
        <w:tc>
          <w:tcPr>
            <w:tcW w:w="2500" w:type="pct"/>
            <w:vAlign w:val="center"/>
          </w:tcPr>
          <w:p w14:paraId="37CFC5D5">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类</w:t>
            </w:r>
          </w:p>
        </w:tc>
      </w:tr>
      <w:tr w14:paraId="104D2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14:paraId="4F354A85">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建设</w:t>
            </w:r>
            <w:r>
              <w:rPr>
                <w:color w:val="000000" w:themeColor="text1"/>
                <w14:textFill>
                  <w14:solidFill>
                    <w14:schemeClr w14:val="tx1"/>
                  </w14:solidFill>
                </w14:textFill>
              </w:rPr>
              <w:t>前后敏感目标噪声级增加量</w:t>
            </w:r>
          </w:p>
        </w:tc>
        <w:tc>
          <w:tcPr>
            <w:tcW w:w="2500" w:type="pct"/>
            <w:vAlign w:val="center"/>
          </w:tcPr>
          <w:p w14:paraId="4A789DDE">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最大增加小于3dB（A）</w:t>
            </w:r>
          </w:p>
        </w:tc>
      </w:tr>
      <w:tr w14:paraId="534358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14:paraId="7AEDD835">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建设</w:t>
            </w:r>
            <w:r>
              <w:rPr>
                <w:color w:val="000000" w:themeColor="text1"/>
                <w14:textFill>
                  <w14:solidFill>
                    <w14:schemeClr w14:val="tx1"/>
                  </w14:solidFill>
                </w14:textFill>
              </w:rPr>
              <w:t>前后受影响人口变化情况</w:t>
            </w:r>
          </w:p>
        </w:tc>
        <w:tc>
          <w:tcPr>
            <w:tcW w:w="2500" w:type="pct"/>
            <w:vAlign w:val="center"/>
          </w:tcPr>
          <w:p w14:paraId="27C39801">
            <w:pPr>
              <w:pStyle w:val="75"/>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变化不大</w:t>
            </w:r>
          </w:p>
        </w:tc>
      </w:tr>
      <w:tr w14:paraId="184DB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00" w:type="pct"/>
            <w:vAlign w:val="center"/>
          </w:tcPr>
          <w:p w14:paraId="59B3FF61">
            <w:pPr>
              <w:pStyle w:val="75"/>
              <w:rPr>
                <w:color w:val="000000" w:themeColor="text1"/>
                <w14:textFill>
                  <w14:solidFill>
                    <w14:schemeClr w14:val="tx1"/>
                  </w14:solidFill>
                </w14:textFill>
              </w:rPr>
            </w:pPr>
            <w:r>
              <w:rPr>
                <w:color w:val="000000" w:themeColor="text1"/>
                <w14:textFill>
                  <w14:solidFill>
                    <w14:schemeClr w14:val="tx1"/>
                  </w14:solidFill>
                </w14:textFill>
              </w:rPr>
              <w:t>评价等级</w:t>
            </w:r>
          </w:p>
        </w:tc>
        <w:tc>
          <w:tcPr>
            <w:tcW w:w="2500" w:type="pct"/>
            <w:vAlign w:val="center"/>
          </w:tcPr>
          <w:p w14:paraId="69590CD2">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三级</w:t>
            </w:r>
          </w:p>
        </w:tc>
      </w:tr>
    </w:tbl>
    <w:p w14:paraId="77E450B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39" w:name="_Toc108122337"/>
      <w:r>
        <w:rPr>
          <w:rFonts w:hint="eastAsia" w:ascii="Times New Roman" w:hAnsi="Times New Roman" w:cs="Times New Roman"/>
          <w:lang w:val="en-US" w:eastAsia="zh-CN"/>
        </w:rPr>
        <w:t>2.4.5环境风险影响评价等级</w:t>
      </w:r>
      <w:bookmarkEnd w:id="136"/>
      <w:bookmarkEnd w:id="137"/>
      <w:bookmarkEnd w:id="138"/>
      <w:bookmarkEnd w:id="139"/>
    </w:p>
    <w:p w14:paraId="0CFA2C3E">
      <w:pPr>
        <w:pStyle w:val="72"/>
        <w:keepNext w:val="0"/>
        <w:keepLines w:val="0"/>
        <w:pageBreakBefore w:val="0"/>
        <w:widowControl w:val="0"/>
        <w:kinsoku/>
        <w:wordWrap/>
        <w:overflowPunct/>
        <w:topLinePunct w:val="0"/>
        <w:autoSpaceDE/>
        <w:autoSpaceDN/>
        <w:bidi w:val="0"/>
        <w:rPr>
          <w:highlight w:val="yellow"/>
        </w:rPr>
      </w:pPr>
      <w:r>
        <w:rPr>
          <w:rFonts w:hint="eastAsia"/>
        </w:rPr>
        <w:t>根据《建设项目环境风险评价技术导则》（HJ169-2018）中的有关规定，本项目环境风险评价工作等级为二级，具体环境风险评价工作级别划分见下表。</w:t>
      </w:r>
    </w:p>
    <w:p w14:paraId="7480086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表2</w:t>
      </w:r>
      <w:r>
        <w:rPr>
          <w:rFonts w:hint="eastAsia"/>
          <w:lang w:val="en-US" w:eastAsia="zh-CN"/>
        </w:rPr>
        <w:t>.4</w:t>
      </w:r>
      <w:r>
        <w:rPr>
          <w:rFonts w:hint="eastAsia"/>
        </w:rPr>
        <w:t>-6     评价等级划分一览表</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2"/>
        <w:gridCol w:w="1499"/>
        <w:gridCol w:w="1984"/>
        <w:gridCol w:w="1559"/>
        <w:gridCol w:w="1498"/>
      </w:tblGrid>
      <w:tr w14:paraId="49908E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vAlign w:val="center"/>
          </w:tcPr>
          <w:p w14:paraId="6ECE8AD7">
            <w:pPr>
              <w:pStyle w:val="81"/>
              <w:rPr>
                <w:rFonts w:cs="Times New Roman"/>
                <w:color w:val="auto"/>
              </w:rPr>
            </w:pPr>
            <w:r>
              <w:rPr>
                <w:rFonts w:cs="Times New Roman"/>
                <w:color w:val="auto"/>
              </w:rPr>
              <w:t>环境风险潜势</w:t>
            </w:r>
          </w:p>
        </w:tc>
        <w:tc>
          <w:tcPr>
            <w:tcW w:w="1499" w:type="dxa"/>
            <w:vAlign w:val="center"/>
          </w:tcPr>
          <w:p w14:paraId="04B14209">
            <w:pPr>
              <w:spacing w:line="240" w:lineRule="auto"/>
              <w:ind w:firstLine="0" w:firstLineChars="0"/>
              <w:jc w:val="center"/>
              <w:rPr>
                <w:b/>
                <w:sz w:val="21"/>
                <w:szCs w:val="21"/>
              </w:rPr>
            </w:pPr>
            <w:r>
              <w:rPr>
                <w:rFonts w:hint="eastAsia"/>
                <w:b/>
                <w:sz w:val="21"/>
                <w:szCs w:val="21"/>
              </w:rPr>
              <w:t>环境敏感程度（E）</w:t>
            </w:r>
          </w:p>
        </w:tc>
        <w:tc>
          <w:tcPr>
            <w:tcW w:w="1984" w:type="dxa"/>
            <w:vAlign w:val="center"/>
          </w:tcPr>
          <w:p w14:paraId="1F3F045A">
            <w:pPr>
              <w:spacing w:line="240" w:lineRule="auto"/>
              <w:ind w:firstLine="0" w:firstLineChars="0"/>
              <w:jc w:val="center"/>
              <w:rPr>
                <w:b/>
                <w:sz w:val="21"/>
                <w:szCs w:val="21"/>
              </w:rPr>
            </w:pPr>
            <w:r>
              <w:rPr>
                <w:rFonts w:hint="eastAsia"/>
                <w:b/>
                <w:sz w:val="21"/>
                <w:szCs w:val="21"/>
              </w:rPr>
              <w:t>危险物质及工艺系统危险性（P）</w:t>
            </w:r>
          </w:p>
        </w:tc>
        <w:tc>
          <w:tcPr>
            <w:tcW w:w="1559" w:type="dxa"/>
            <w:vAlign w:val="center"/>
          </w:tcPr>
          <w:p w14:paraId="4F96A332">
            <w:pPr>
              <w:spacing w:line="240" w:lineRule="auto"/>
              <w:ind w:firstLine="0" w:firstLineChars="0"/>
              <w:jc w:val="center"/>
              <w:rPr>
                <w:b/>
                <w:sz w:val="21"/>
                <w:szCs w:val="21"/>
              </w:rPr>
            </w:pPr>
            <w:r>
              <w:rPr>
                <w:rFonts w:hint="eastAsia"/>
                <w:b/>
                <w:sz w:val="21"/>
                <w:szCs w:val="21"/>
              </w:rPr>
              <w:t>环境风险潜势</w:t>
            </w:r>
          </w:p>
        </w:tc>
        <w:tc>
          <w:tcPr>
            <w:tcW w:w="1498" w:type="dxa"/>
            <w:vAlign w:val="center"/>
          </w:tcPr>
          <w:p w14:paraId="60FF9F56">
            <w:pPr>
              <w:pStyle w:val="81"/>
              <w:rPr>
                <w:rFonts w:cs="Times New Roman"/>
                <w:color w:val="auto"/>
              </w:rPr>
            </w:pPr>
            <w:r>
              <w:rPr>
                <w:rFonts w:cs="Times New Roman"/>
                <w:color w:val="auto"/>
              </w:rPr>
              <w:t>评价工作等级</w:t>
            </w:r>
          </w:p>
        </w:tc>
      </w:tr>
      <w:tr w14:paraId="40E17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vAlign w:val="center"/>
          </w:tcPr>
          <w:p w14:paraId="49C4BDD3">
            <w:pPr>
              <w:spacing w:line="240" w:lineRule="auto"/>
              <w:ind w:firstLine="0" w:firstLineChars="0"/>
              <w:jc w:val="center"/>
              <w:rPr>
                <w:sz w:val="21"/>
                <w:szCs w:val="21"/>
              </w:rPr>
            </w:pPr>
            <w:r>
              <w:rPr>
                <w:rFonts w:hint="eastAsia"/>
                <w:sz w:val="21"/>
                <w:szCs w:val="21"/>
              </w:rPr>
              <w:t>大气环境风险</w:t>
            </w:r>
          </w:p>
        </w:tc>
        <w:tc>
          <w:tcPr>
            <w:tcW w:w="1499" w:type="dxa"/>
            <w:vAlign w:val="center"/>
          </w:tcPr>
          <w:p w14:paraId="1BB31AD3">
            <w:pPr>
              <w:pStyle w:val="75"/>
            </w:pPr>
            <w:r>
              <w:t>E1</w:t>
            </w:r>
          </w:p>
        </w:tc>
        <w:tc>
          <w:tcPr>
            <w:tcW w:w="1984" w:type="dxa"/>
            <w:vMerge w:val="restart"/>
            <w:vAlign w:val="center"/>
          </w:tcPr>
          <w:p w14:paraId="4118DBF5">
            <w:pPr>
              <w:pStyle w:val="75"/>
              <w:rPr>
                <w:rFonts w:hint="eastAsia" w:eastAsia="宋体"/>
                <w:lang w:val="en-US" w:eastAsia="zh-CN"/>
              </w:rPr>
            </w:pPr>
            <w:r>
              <w:rPr>
                <w:rFonts w:hint="eastAsia"/>
              </w:rPr>
              <w:t>P</w:t>
            </w:r>
            <w:r>
              <w:rPr>
                <w:rFonts w:hint="eastAsia"/>
                <w:lang w:val="en-US" w:eastAsia="zh-CN"/>
              </w:rPr>
              <w:t>4</w:t>
            </w:r>
          </w:p>
        </w:tc>
        <w:tc>
          <w:tcPr>
            <w:tcW w:w="1559" w:type="dxa"/>
            <w:vAlign w:val="center"/>
          </w:tcPr>
          <w:p w14:paraId="71BB0E88">
            <w:pPr>
              <w:pStyle w:val="75"/>
            </w:pPr>
            <w:r>
              <w:t>Ⅲ</w:t>
            </w:r>
          </w:p>
        </w:tc>
        <w:tc>
          <w:tcPr>
            <w:tcW w:w="1498" w:type="dxa"/>
            <w:vAlign w:val="center"/>
          </w:tcPr>
          <w:p w14:paraId="30297104">
            <w:pPr>
              <w:pStyle w:val="75"/>
            </w:pPr>
            <w:r>
              <w:t>二级</w:t>
            </w:r>
          </w:p>
        </w:tc>
      </w:tr>
      <w:tr w14:paraId="10F17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vAlign w:val="center"/>
          </w:tcPr>
          <w:p w14:paraId="24E41BDA">
            <w:pPr>
              <w:spacing w:line="240" w:lineRule="auto"/>
              <w:ind w:firstLine="0" w:firstLineChars="0"/>
              <w:jc w:val="center"/>
              <w:rPr>
                <w:sz w:val="21"/>
                <w:szCs w:val="21"/>
              </w:rPr>
            </w:pPr>
            <w:r>
              <w:rPr>
                <w:rFonts w:hint="eastAsia"/>
                <w:sz w:val="21"/>
                <w:szCs w:val="21"/>
              </w:rPr>
              <w:t>地表水环境风险</w:t>
            </w:r>
          </w:p>
        </w:tc>
        <w:tc>
          <w:tcPr>
            <w:tcW w:w="1499" w:type="dxa"/>
            <w:vAlign w:val="center"/>
          </w:tcPr>
          <w:p w14:paraId="5E0D49B1">
            <w:pPr>
              <w:pStyle w:val="75"/>
            </w:pPr>
            <w:r>
              <w:t>E3</w:t>
            </w:r>
          </w:p>
        </w:tc>
        <w:tc>
          <w:tcPr>
            <w:tcW w:w="1984" w:type="dxa"/>
            <w:vMerge w:val="continue"/>
            <w:vAlign w:val="center"/>
          </w:tcPr>
          <w:p w14:paraId="3ED100CA">
            <w:pPr>
              <w:pStyle w:val="75"/>
            </w:pPr>
          </w:p>
        </w:tc>
        <w:tc>
          <w:tcPr>
            <w:tcW w:w="1559" w:type="dxa"/>
            <w:vAlign w:val="center"/>
          </w:tcPr>
          <w:p w14:paraId="73181807">
            <w:pPr>
              <w:pStyle w:val="75"/>
            </w:pPr>
            <w:r>
              <w:rPr>
                <w:color w:val="auto"/>
              </w:rPr>
              <w:fldChar w:fldCharType="begin"/>
            </w:r>
            <w:r>
              <w:rPr>
                <w:color w:val="auto"/>
              </w:rPr>
              <w:instrText xml:space="preserve"> = 1 \* ROMAN \* MERGEFORMAT </w:instrText>
            </w:r>
            <w:r>
              <w:rPr>
                <w:color w:val="auto"/>
              </w:rPr>
              <w:fldChar w:fldCharType="separate"/>
            </w:r>
            <w:r>
              <w:rPr>
                <w:color w:val="auto"/>
              </w:rPr>
              <w:t>I</w:t>
            </w:r>
            <w:r>
              <w:rPr>
                <w:color w:val="auto"/>
              </w:rPr>
              <w:fldChar w:fldCharType="end"/>
            </w:r>
          </w:p>
        </w:tc>
        <w:tc>
          <w:tcPr>
            <w:tcW w:w="1498" w:type="dxa"/>
            <w:vAlign w:val="center"/>
          </w:tcPr>
          <w:p w14:paraId="7E5EABCA">
            <w:pPr>
              <w:pStyle w:val="75"/>
              <w:rPr>
                <w:rFonts w:hint="eastAsia" w:eastAsia="宋体"/>
                <w:lang w:val="en-US" w:eastAsia="zh-CN"/>
              </w:rPr>
            </w:pPr>
            <w:r>
              <w:rPr>
                <w:rFonts w:hint="eastAsia"/>
                <w:lang w:val="en-US" w:eastAsia="zh-CN"/>
              </w:rPr>
              <w:t>-</w:t>
            </w:r>
          </w:p>
        </w:tc>
      </w:tr>
      <w:tr w14:paraId="08191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52" w:type="dxa"/>
            <w:vAlign w:val="center"/>
          </w:tcPr>
          <w:p w14:paraId="196D0C11">
            <w:pPr>
              <w:spacing w:line="240" w:lineRule="auto"/>
              <w:ind w:firstLine="0" w:firstLineChars="0"/>
              <w:jc w:val="center"/>
              <w:rPr>
                <w:sz w:val="21"/>
                <w:szCs w:val="21"/>
              </w:rPr>
            </w:pPr>
            <w:r>
              <w:rPr>
                <w:rFonts w:hint="eastAsia"/>
                <w:sz w:val="21"/>
                <w:szCs w:val="21"/>
              </w:rPr>
              <w:t>地下水环境风险</w:t>
            </w:r>
          </w:p>
        </w:tc>
        <w:tc>
          <w:tcPr>
            <w:tcW w:w="1499" w:type="dxa"/>
            <w:vAlign w:val="center"/>
          </w:tcPr>
          <w:p w14:paraId="0774AB77">
            <w:pPr>
              <w:pStyle w:val="75"/>
            </w:pPr>
            <w:r>
              <w:t>E</w:t>
            </w:r>
            <w:r>
              <w:rPr>
                <w:rFonts w:hint="eastAsia"/>
              </w:rPr>
              <w:t>2</w:t>
            </w:r>
          </w:p>
        </w:tc>
        <w:tc>
          <w:tcPr>
            <w:tcW w:w="1984" w:type="dxa"/>
            <w:vMerge w:val="continue"/>
            <w:vAlign w:val="center"/>
          </w:tcPr>
          <w:p w14:paraId="21E2AC0E">
            <w:pPr>
              <w:pStyle w:val="75"/>
            </w:pPr>
          </w:p>
        </w:tc>
        <w:tc>
          <w:tcPr>
            <w:tcW w:w="1559" w:type="dxa"/>
            <w:vAlign w:val="center"/>
          </w:tcPr>
          <w:p w14:paraId="0FEF54EE">
            <w:pPr>
              <w:pStyle w:val="75"/>
            </w:pPr>
            <w:r>
              <w:t>Ⅲ</w:t>
            </w:r>
          </w:p>
        </w:tc>
        <w:tc>
          <w:tcPr>
            <w:tcW w:w="1498" w:type="dxa"/>
            <w:vAlign w:val="center"/>
          </w:tcPr>
          <w:p w14:paraId="6B99D8A5">
            <w:pPr>
              <w:pStyle w:val="75"/>
            </w:pPr>
            <w:r>
              <w:rPr>
                <w:rFonts w:hint="eastAsia"/>
              </w:rPr>
              <w:t>二级</w:t>
            </w:r>
          </w:p>
        </w:tc>
      </w:tr>
      <w:tr w14:paraId="3F81D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4" w:type="dxa"/>
            <w:gridSpan w:val="4"/>
            <w:vAlign w:val="center"/>
          </w:tcPr>
          <w:p w14:paraId="4569D805">
            <w:pPr>
              <w:pStyle w:val="75"/>
            </w:pPr>
            <w:r>
              <w:t>综合环境风险潜势等级：Ⅲ</w:t>
            </w:r>
          </w:p>
        </w:tc>
        <w:tc>
          <w:tcPr>
            <w:tcW w:w="1498" w:type="dxa"/>
            <w:vAlign w:val="center"/>
          </w:tcPr>
          <w:p w14:paraId="08910BE4">
            <w:pPr>
              <w:pStyle w:val="75"/>
            </w:pPr>
            <w:r>
              <w:t>二级</w:t>
            </w:r>
          </w:p>
        </w:tc>
      </w:tr>
    </w:tbl>
    <w:p w14:paraId="72EE983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40" w:name="_Toc108122338"/>
      <w:bookmarkStart w:id="141" w:name="_Toc428286777"/>
      <w:bookmarkStart w:id="142" w:name="_Toc429318384"/>
      <w:bookmarkStart w:id="143" w:name="_Toc428287171"/>
      <w:bookmarkStart w:id="144" w:name="_Toc428287164"/>
      <w:bookmarkStart w:id="145" w:name="_Toc429318382"/>
      <w:bookmarkStart w:id="146" w:name="_Toc174155856"/>
      <w:bookmarkStart w:id="147" w:name="_Toc428286770"/>
      <w:bookmarkStart w:id="148" w:name="_Toc429318385"/>
      <w:bookmarkStart w:id="149" w:name="_Toc428287172"/>
      <w:bookmarkStart w:id="150" w:name="_Toc428286778"/>
      <w:r>
        <w:rPr>
          <w:rFonts w:hint="eastAsia" w:ascii="Times New Roman" w:hAnsi="Times New Roman" w:cs="Times New Roman"/>
          <w:lang w:val="en-US" w:eastAsia="zh-CN"/>
        </w:rPr>
        <w:t>2.4.6土壤环境影响评价等级</w:t>
      </w:r>
      <w:bookmarkEnd w:id="140"/>
    </w:p>
    <w:p w14:paraId="4A631B9B">
      <w:pPr>
        <w:pStyle w:val="72"/>
        <w:rPr>
          <w:rFonts w:hint="eastAsia"/>
        </w:rPr>
      </w:pPr>
      <w:r>
        <w:rPr>
          <w:rFonts w:hint="eastAsia"/>
        </w:rPr>
        <w:t>本项目为污染影响型项目，项目占地面积约</w:t>
      </w:r>
      <w:r>
        <w:rPr>
          <w:rFonts w:hint="eastAsia"/>
          <w:lang w:val="en-US" w:eastAsia="zh-CN"/>
        </w:rPr>
        <w:t>1.72322</w:t>
      </w:r>
      <w:r>
        <w:rPr>
          <w:rFonts w:hint="eastAsia"/>
        </w:rPr>
        <w:t>hm</w:t>
      </w:r>
      <w:r>
        <w:rPr>
          <w:rFonts w:hint="eastAsia"/>
          <w:vertAlign w:val="superscript"/>
        </w:rPr>
        <w:t>2</w:t>
      </w:r>
      <w:r>
        <w:rPr>
          <w:rFonts w:hint="eastAsia"/>
        </w:rPr>
        <w:t>，</w:t>
      </w:r>
      <w:r>
        <w:rPr>
          <w:rFonts w:hint="eastAsia"/>
          <w:color w:val="000000" w:themeColor="text1"/>
          <w14:textFill>
            <w14:solidFill>
              <w14:schemeClr w14:val="tx1"/>
            </w14:solidFill>
          </w14:textFill>
        </w:rPr>
        <w:t>小于5hm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r>
        <w:rPr>
          <w:rFonts w:hint="eastAsia"/>
        </w:rPr>
        <w:t>属于小型建设项目。项目位于工业园区，规划为工业用地，根据《环境影响评价技术导则 土壤环境（试行）》（HJ 964-2018），工业园区内的项目，应重点在建设项目占地范围内开展现状调查工作，本项目占地为工业用地，现状为</w:t>
      </w:r>
      <w:r>
        <w:rPr>
          <w:rFonts w:hint="eastAsia"/>
          <w:lang w:val="en-US" w:eastAsia="zh-CN"/>
        </w:rPr>
        <w:t>空地</w:t>
      </w:r>
      <w:r>
        <w:rPr>
          <w:rFonts w:hint="eastAsia"/>
        </w:rPr>
        <w:t>，敏感程度为不敏感。因此，本项目土壤环境评价等级为二级。</w:t>
      </w:r>
    </w:p>
    <w:p w14:paraId="55A6DFA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表2</w:t>
      </w:r>
      <w:r>
        <w:rPr>
          <w:rFonts w:hint="eastAsia"/>
          <w:lang w:val="en-US" w:eastAsia="zh-CN"/>
        </w:rPr>
        <w:t>.4</w:t>
      </w:r>
      <w:r>
        <w:rPr>
          <w:rFonts w:hint="eastAsia"/>
        </w:rPr>
        <w:t>-7    污染影响型评价工作等级划分表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851"/>
        <w:gridCol w:w="704"/>
        <w:gridCol w:w="708"/>
        <w:gridCol w:w="710"/>
        <w:gridCol w:w="710"/>
        <w:gridCol w:w="712"/>
        <w:gridCol w:w="710"/>
        <w:gridCol w:w="707"/>
        <w:gridCol w:w="769"/>
      </w:tblGrid>
      <w:tr w14:paraId="7128BA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3" w:type="pct"/>
            <w:vMerge w:val="restart"/>
            <w:vAlign w:val="center"/>
          </w:tcPr>
          <w:p w14:paraId="7DDEC54F">
            <w:pPr>
              <w:pStyle w:val="75"/>
              <w:rPr>
                <w:highlight w:val="yellow"/>
              </w:rPr>
            </w:pPr>
            <w:r>
              <mc:AlternateContent>
                <mc:Choice Requires="wps">
                  <w:drawing>
                    <wp:anchor distT="0" distB="0" distL="114300" distR="114300" simplePos="0" relativeHeight="251661312" behindDoc="0" locked="0" layoutInCell="1" allowOverlap="1">
                      <wp:simplePos x="0" y="0"/>
                      <wp:positionH relativeFrom="column">
                        <wp:posOffset>-170180</wp:posOffset>
                      </wp:positionH>
                      <wp:positionV relativeFrom="paragraph">
                        <wp:posOffset>140335</wp:posOffset>
                      </wp:positionV>
                      <wp:extent cx="1036955" cy="262890"/>
                      <wp:effectExtent l="0" t="0" r="0" b="3810"/>
                      <wp:wrapNone/>
                      <wp:docPr id="43" name="文本框 7936"/>
                      <wp:cNvGraphicFramePr/>
                      <a:graphic xmlns:a="http://schemas.openxmlformats.org/drawingml/2006/main">
                        <a:graphicData uri="http://schemas.microsoft.com/office/word/2010/wordprocessingShape">
                          <wps:wsp>
                            <wps:cNvSpPr txBox="1"/>
                            <wps:spPr>
                              <a:xfrm>
                                <a:off x="0" y="0"/>
                                <a:ext cx="1036955" cy="262890"/>
                              </a:xfrm>
                              <a:prstGeom prst="rect">
                                <a:avLst/>
                              </a:prstGeom>
                              <a:noFill/>
                              <a:ln>
                                <a:noFill/>
                              </a:ln>
                            </wps:spPr>
                            <wps:txbx>
                              <w:txbxContent>
                                <w:p w14:paraId="75CBA4A8">
                                  <w:pPr>
                                    <w:pStyle w:val="81"/>
                                  </w:pPr>
                                  <w:r>
                                    <w:rPr>
                                      <w:rFonts w:hint="eastAsia"/>
                                    </w:rPr>
                                    <w:t>评价工作等级</w:t>
                                  </w:r>
                                </w:p>
                              </w:txbxContent>
                            </wps:txbx>
                            <wps:bodyPr wrap="square" upright="1"/>
                          </wps:wsp>
                        </a:graphicData>
                      </a:graphic>
                    </wp:anchor>
                  </w:drawing>
                </mc:Choice>
                <mc:Fallback>
                  <w:pict>
                    <v:shape id="文本框 7936" o:spid="_x0000_s1026" o:spt="202" type="#_x0000_t202" style="position:absolute;left:0pt;margin-left:-13.4pt;margin-top:11.05pt;height:20.7pt;width:81.65pt;z-index:251661312;mso-width-relative:page;mso-height-relative:page;" filled="f" stroked="f" coordsize="21600,21600" o:gfxdata="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1+TxrWAAAACQEAAA8AAAAAAAAAAQAgAAAAIgAAAGRycy9kb3ducmV2LnhtbFBLAQIU&#10;ABQAAAAIAIdO4kDOLUy7vAEAAGADAAAOAAAAAAAAAAEAIAAAACUBAABkcnMvZTJvRG9jLnhtbFBL&#10;BQYAAAAABgAGAFkBAABTBQAAAAA=&#10;">
                      <v:fill on="f" focussize="0,0"/>
                      <v:stroke on="f"/>
                      <v:imagedata o:title=""/>
                      <o:lock v:ext="edit" aspectratio="f"/>
                      <v:textbox>
                        <w:txbxContent>
                          <w:p w14:paraId="75CBA4A8">
                            <w:pPr>
                              <w:pStyle w:val="81"/>
                            </w:pPr>
                            <w:r>
                              <w:rPr>
                                <w:rFonts w:hint="eastAsia"/>
                              </w:rPr>
                              <w:t>评价工作等级</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-60960</wp:posOffset>
                      </wp:positionH>
                      <wp:positionV relativeFrom="paragraph">
                        <wp:posOffset>262255</wp:posOffset>
                      </wp:positionV>
                      <wp:extent cx="1236980" cy="236220"/>
                      <wp:effectExtent l="5715" t="5080" r="5080" b="6350"/>
                      <wp:wrapNone/>
                      <wp:docPr id="42" name="AutoShape 314"/>
                      <wp:cNvGraphicFramePr/>
                      <a:graphic xmlns:a="http://schemas.openxmlformats.org/drawingml/2006/main">
                        <a:graphicData uri="http://schemas.microsoft.com/office/word/2010/wordprocessingShape">
                          <wps:wsp>
                            <wps:cNvCnPr>
                              <a:cxnSpLocks noChangeShapeType="1"/>
                            </wps:cNvCnPr>
                            <wps:spPr bwMode="auto">
                              <a:xfrm>
                                <a:off x="0" y="0"/>
                                <a:ext cx="1236980" cy="236220"/>
                              </a:xfrm>
                              <a:prstGeom prst="straightConnector1">
                                <a:avLst/>
                              </a:prstGeom>
                              <a:noFill/>
                              <a:ln w="6350">
                                <a:solidFill>
                                  <a:srgbClr val="000000"/>
                                </a:solidFill>
                                <a:round/>
                              </a:ln>
                            </wps:spPr>
                            <wps:bodyPr/>
                          </wps:wsp>
                        </a:graphicData>
                      </a:graphic>
                    </wp:anchor>
                  </w:drawing>
                </mc:Choice>
                <mc:Fallback>
                  <w:pict>
                    <v:shape id="AutoShape 314" o:spid="_x0000_s1026" o:spt="32" type="#_x0000_t32" style="position:absolute;left:0pt;margin-left:-4.8pt;margin-top:20.65pt;height:18.6pt;width:97.4pt;z-index:251667456;mso-width-relative:page;mso-height-relative:page;" filled="f" stroked="t" coordsize="21600,21600" o:gfxdata="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WJJ1NgAAAAIAQAADwAA&#10;AAAAAAABACAAAAAiAAAAZHJzL2Rvd25yZXYueG1sUEsBAhQAFAAAAAgAh07iQMeImdHdAQAAugMA&#10;AA4AAAAAAAAAAQAgAAAAJwEAAGRycy9lMm9Eb2MueG1sUEsFBgAAAAAGAAYAWQEAAHYFA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323215</wp:posOffset>
                      </wp:positionH>
                      <wp:positionV relativeFrom="paragraph">
                        <wp:posOffset>-635</wp:posOffset>
                      </wp:positionV>
                      <wp:extent cx="850900" cy="499110"/>
                      <wp:effectExtent l="8890" t="8890" r="6985" b="6350"/>
                      <wp:wrapNone/>
                      <wp:docPr id="41" name="AutoShape 313"/>
                      <wp:cNvGraphicFramePr/>
                      <a:graphic xmlns:a="http://schemas.openxmlformats.org/drawingml/2006/main">
                        <a:graphicData uri="http://schemas.microsoft.com/office/word/2010/wordprocessingShape">
                          <wps:wsp>
                            <wps:cNvCnPr>
                              <a:cxnSpLocks noChangeShapeType="1"/>
                            </wps:cNvCnPr>
                            <wps:spPr bwMode="auto">
                              <a:xfrm>
                                <a:off x="0" y="0"/>
                                <a:ext cx="850900" cy="499110"/>
                              </a:xfrm>
                              <a:prstGeom prst="straightConnector1">
                                <a:avLst/>
                              </a:prstGeom>
                              <a:noFill/>
                              <a:ln w="6350">
                                <a:solidFill>
                                  <a:srgbClr val="000000"/>
                                </a:solidFill>
                                <a:round/>
                              </a:ln>
                            </wps:spPr>
                            <wps:bodyPr/>
                          </wps:wsp>
                        </a:graphicData>
                      </a:graphic>
                    </wp:anchor>
                  </w:drawing>
                </mc:Choice>
                <mc:Fallback>
                  <w:pict>
                    <v:shape id="AutoShape 313" o:spid="_x0000_s1026" o:spt="32" type="#_x0000_t32" style="position:absolute;left:0pt;margin-left:25.45pt;margin-top:-0.05pt;height:39.3pt;width:67pt;z-index:251666432;mso-width-relative:page;mso-height-relative:page;" filled="f" stroked="t" coordsize="21600,21600" o:gfxdata="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7yJM9UAAAAHAQAADwAAAAAA&#10;AAABACAAAAAiAAAAZHJzL2Rvd25yZXYueG1sUEsBAhQAFAAAAAgAh07iQIooZyndAQAAuQMAAA4A&#10;AAAAAAAAAQAgAAAAJAEAAGRycy9lMm9Eb2MueG1sUEsFBgAAAAAGAAYAWQEAAHMFAAAAAA==&#10;">
                      <v:fill on="f" focussize="0,0"/>
                      <v:stroke weight="0.5pt" color="#000000" joinstyle="round"/>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-122555</wp:posOffset>
                      </wp:positionH>
                      <wp:positionV relativeFrom="paragraph">
                        <wp:posOffset>318770</wp:posOffset>
                      </wp:positionV>
                      <wp:extent cx="775970" cy="262890"/>
                      <wp:effectExtent l="0" t="0" r="0" b="3810"/>
                      <wp:wrapNone/>
                      <wp:docPr id="40" name="文本框 7937"/>
                      <wp:cNvGraphicFramePr/>
                      <a:graphic xmlns:a="http://schemas.openxmlformats.org/drawingml/2006/main">
                        <a:graphicData uri="http://schemas.microsoft.com/office/word/2010/wordprocessingShape">
                          <wps:wsp>
                            <wps:cNvSpPr txBox="1"/>
                            <wps:spPr>
                              <a:xfrm>
                                <a:off x="0" y="0"/>
                                <a:ext cx="775970" cy="262890"/>
                              </a:xfrm>
                              <a:prstGeom prst="rect">
                                <a:avLst/>
                              </a:prstGeom>
                              <a:noFill/>
                              <a:ln>
                                <a:noFill/>
                              </a:ln>
                            </wps:spPr>
                            <wps:txbx>
                              <w:txbxContent>
                                <w:p w14:paraId="54DEBDDB">
                                  <w:pPr>
                                    <w:pStyle w:val="81"/>
                                  </w:pPr>
                                  <w:r>
                                    <w:rPr>
                                      <w:rFonts w:hint="eastAsia"/>
                                    </w:rPr>
                                    <w:t>敏感程度</w:t>
                                  </w:r>
                                </w:p>
                              </w:txbxContent>
                            </wps:txbx>
                            <wps:bodyPr wrap="square" upright="1"/>
                          </wps:wsp>
                        </a:graphicData>
                      </a:graphic>
                    </wp:anchor>
                  </w:drawing>
                </mc:Choice>
                <mc:Fallback>
                  <w:pict>
                    <v:shape id="文本框 7937" o:spid="_x0000_s1026" o:spt="202" type="#_x0000_t202" style="position:absolute;left:0pt;margin-left:-9.65pt;margin-top:25.1pt;height:20.7pt;width:61.1pt;z-index:251663360;mso-width-relative:page;mso-height-relative:page;" filled="f" stroked="f" coordsize="21600,21600" o:gfxdata="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LygDI9cAAAAJAQAADwAAAAAAAAABACAAAAAiAAAAZHJzL2Rvd25yZXYueG1sUEsBAhQA&#10;FAAAAAgAh07iQHrZjBa6AQAAXwMAAA4AAAAAAAAAAQAgAAAAJgEAAGRycy9lMm9Eb2MueG1sUEsF&#10;BgAAAAAGAAYAWQEAAFIFAAAAAA==&#10;">
                      <v:fill on="f" focussize="0,0"/>
                      <v:stroke on="f"/>
                      <v:imagedata o:title=""/>
                      <o:lock v:ext="edit" aspectratio="f"/>
                      <v:textbox>
                        <w:txbxContent>
                          <w:p w14:paraId="54DEBDDB">
                            <w:pPr>
                              <w:pStyle w:val="81"/>
                            </w:pPr>
                            <w:r>
                              <w:rPr>
                                <w:rFonts w:hint="eastAsia"/>
                              </w:rPr>
                              <w:t>敏感程度</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447040</wp:posOffset>
                      </wp:positionH>
                      <wp:positionV relativeFrom="paragraph">
                        <wp:posOffset>-635</wp:posOffset>
                      </wp:positionV>
                      <wp:extent cx="775970" cy="262890"/>
                      <wp:effectExtent l="0" t="0" r="0" b="3810"/>
                      <wp:wrapNone/>
                      <wp:docPr id="39" name="文本框 7935"/>
                      <wp:cNvGraphicFramePr/>
                      <a:graphic xmlns:a="http://schemas.openxmlformats.org/drawingml/2006/main">
                        <a:graphicData uri="http://schemas.microsoft.com/office/word/2010/wordprocessingShape">
                          <wps:wsp>
                            <wps:cNvSpPr txBox="1"/>
                            <wps:spPr>
                              <a:xfrm>
                                <a:off x="0" y="0"/>
                                <a:ext cx="775970" cy="262890"/>
                              </a:xfrm>
                              <a:prstGeom prst="rect">
                                <a:avLst/>
                              </a:prstGeom>
                              <a:noFill/>
                              <a:ln>
                                <a:noFill/>
                              </a:ln>
                            </wps:spPr>
                            <wps:txbx>
                              <w:txbxContent>
                                <w:p w14:paraId="58A348AF">
                                  <w:pPr>
                                    <w:pStyle w:val="81"/>
                                  </w:pPr>
                                  <w:r>
                                    <w:rPr>
                                      <w:rFonts w:hint="eastAsia"/>
                                    </w:rPr>
                                    <w:t>占地规模</w:t>
                                  </w:r>
                                </w:p>
                              </w:txbxContent>
                            </wps:txbx>
                            <wps:bodyPr wrap="square" upright="1"/>
                          </wps:wsp>
                        </a:graphicData>
                      </a:graphic>
                    </wp:anchor>
                  </w:drawing>
                </mc:Choice>
                <mc:Fallback>
                  <w:pict>
                    <v:shape id="文本框 7935" o:spid="_x0000_s1026" o:spt="202" type="#_x0000_t202" style="position:absolute;left:0pt;margin-left:35.2pt;margin-top:-0.05pt;height:20.7pt;width:61.1pt;z-index:251660288;mso-width-relative:page;mso-height-relative:page;" filled="f" stroked="f" coordsize="21600,21600" o:gfxdata="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Wv3u7UAAAABwEAAA8AAAAAAAAAAQAgAAAAIgAAAGRycy9kb3ducmV2LnhtbFBLAQIUABQA&#10;AAAIAIdO4kDB0AtguwEAAF8DAAAOAAAAAAAAAAEAIAAAACMBAABkcnMvZTJvRG9jLnhtbFBLBQYA&#10;AAAABgAGAFkBAABQBQAAAAA=&#10;">
                      <v:fill on="f" focussize="0,0"/>
                      <v:stroke on="f"/>
                      <v:imagedata o:title=""/>
                      <o:lock v:ext="edit" aspectratio="f"/>
                      <v:textbox>
                        <w:txbxContent>
                          <w:p w14:paraId="58A348AF">
                            <w:pPr>
                              <w:pStyle w:val="81"/>
                            </w:pPr>
                            <w:r>
                              <w:rPr>
                                <w:rFonts w:hint="eastAsia"/>
                              </w:rPr>
                              <w:t>占地规模</w:t>
                            </w:r>
                          </w:p>
                        </w:txbxContent>
                      </v:textbox>
                    </v:shape>
                  </w:pict>
                </mc:Fallback>
              </mc:AlternateContent>
            </w:r>
          </w:p>
        </w:tc>
        <w:tc>
          <w:tcPr>
            <w:tcW w:w="1327" w:type="pct"/>
            <w:gridSpan w:val="3"/>
            <w:vAlign w:val="center"/>
          </w:tcPr>
          <w:p w14:paraId="66445804">
            <w:pPr>
              <w:pStyle w:val="81"/>
              <w:rPr>
                <w:color w:val="auto"/>
              </w:rPr>
            </w:pPr>
            <w:r>
              <w:rPr>
                <w:rFonts w:hint="eastAsia"/>
                <w:color w:val="auto"/>
              </w:rPr>
              <w:t>Ⅰ类</w:t>
            </w:r>
          </w:p>
        </w:tc>
        <w:tc>
          <w:tcPr>
            <w:tcW w:w="1249" w:type="pct"/>
            <w:gridSpan w:val="3"/>
            <w:vAlign w:val="center"/>
          </w:tcPr>
          <w:p w14:paraId="66F17614">
            <w:pPr>
              <w:pStyle w:val="81"/>
              <w:rPr>
                <w:color w:val="auto"/>
              </w:rPr>
            </w:pPr>
            <w:r>
              <w:rPr>
                <w:rFonts w:hint="eastAsia"/>
                <w:color w:val="auto"/>
              </w:rPr>
              <w:t>Ⅱ类</w:t>
            </w:r>
          </w:p>
        </w:tc>
        <w:tc>
          <w:tcPr>
            <w:tcW w:w="1281" w:type="pct"/>
            <w:gridSpan w:val="3"/>
            <w:vAlign w:val="center"/>
          </w:tcPr>
          <w:p w14:paraId="584BDB4B">
            <w:pPr>
              <w:pStyle w:val="81"/>
              <w:rPr>
                <w:color w:val="auto"/>
              </w:rPr>
            </w:pPr>
            <w:r>
              <w:rPr>
                <w:rFonts w:hint="eastAsia"/>
                <w:color w:val="auto"/>
              </w:rPr>
              <w:t>Ⅲ类</w:t>
            </w:r>
          </w:p>
        </w:tc>
      </w:tr>
      <w:tr w14:paraId="186AB5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3" w:type="pct"/>
            <w:vMerge w:val="continue"/>
            <w:vAlign w:val="center"/>
          </w:tcPr>
          <w:p w14:paraId="42750943">
            <w:pPr>
              <w:pStyle w:val="75"/>
              <w:rPr>
                <w:highlight w:val="yellow"/>
              </w:rPr>
            </w:pPr>
          </w:p>
        </w:tc>
        <w:tc>
          <w:tcPr>
            <w:tcW w:w="499" w:type="pct"/>
            <w:vAlign w:val="center"/>
          </w:tcPr>
          <w:p w14:paraId="1EF13911">
            <w:pPr>
              <w:pStyle w:val="81"/>
              <w:rPr>
                <w:color w:val="auto"/>
              </w:rPr>
            </w:pPr>
            <w:r>
              <w:rPr>
                <w:rFonts w:hint="eastAsia"/>
                <w:color w:val="auto"/>
              </w:rPr>
              <w:t>大</w:t>
            </w:r>
          </w:p>
        </w:tc>
        <w:tc>
          <w:tcPr>
            <w:tcW w:w="413" w:type="pct"/>
            <w:vAlign w:val="center"/>
          </w:tcPr>
          <w:p w14:paraId="2726FFF8">
            <w:pPr>
              <w:pStyle w:val="81"/>
              <w:rPr>
                <w:color w:val="auto"/>
              </w:rPr>
            </w:pPr>
            <w:r>
              <w:rPr>
                <w:rFonts w:hint="eastAsia"/>
                <w:color w:val="auto"/>
              </w:rPr>
              <w:t>中</w:t>
            </w:r>
          </w:p>
        </w:tc>
        <w:tc>
          <w:tcPr>
            <w:tcW w:w="415" w:type="pct"/>
            <w:vAlign w:val="center"/>
          </w:tcPr>
          <w:p w14:paraId="1E3688D0">
            <w:pPr>
              <w:pStyle w:val="81"/>
              <w:rPr>
                <w:color w:val="auto"/>
              </w:rPr>
            </w:pPr>
            <w:r>
              <w:rPr>
                <w:rFonts w:hint="eastAsia"/>
                <w:color w:val="auto"/>
              </w:rPr>
              <w:t>小</w:t>
            </w:r>
          </w:p>
        </w:tc>
        <w:tc>
          <w:tcPr>
            <w:tcW w:w="416" w:type="pct"/>
            <w:vAlign w:val="center"/>
          </w:tcPr>
          <w:p w14:paraId="2D2B647D">
            <w:pPr>
              <w:pStyle w:val="81"/>
              <w:rPr>
                <w:color w:val="auto"/>
              </w:rPr>
            </w:pPr>
            <w:r>
              <w:rPr>
                <w:rFonts w:hint="eastAsia"/>
                <w:color w:val="auto"/>
              </w:rPr>
              <w:t>大</w:t>
            </w:r>
          </w:p>
        </w:tc>
        <w:tc>
          <w:tcPr>
            <w:tcW w:w="416" w:type="pct"/>
            <w:vAlign w:val="center"/>
          </w:tcPr>
          <w:p w14:paraId="74BAC97A">
            <w:pPr>
              <w:pStyle w:val="81"/>
              <w:rPr>
                <w:color w:val="auto"/>
              </w:rPr>
            </w:pPr>
            <w:r>
              <w:rPr>
                <w:rFonts w:hint="eastAsia"/>
                <w:color w:val="auto"/>
              </w:rPr>
              <w:t>中</w:t>
            </w:r>
          </w:p>
        </w:tc>
        <w:tc>
          <w:tcPr>
            <w:tcW w:w="417" w:type="pct"/>
            <w:vAlign w:val="center"/>
          </w:tcPr>
          <w:p w14:paraId="3CD044C2">
            <w:pPr>
              <w:pStyle w:val="81"/>
              <w:rPr>
                <w:color w:val="auto"/>
              </w:rPr>
            </w:pPr>
            <w:r>
              <w:rPr>
                <w:rFonts w:hint="eastAsia"/>
                <w:color w:val="auto"/>
              </w:rPr>
              <w:t>小</w:t>
            </w:r>
          </w:p>
        </w:tc>
        <w:tc>
          <w:tcPr>
            <w:tcW w:w="416" w:type="pct"/>
            <w:vAlign w:val="center"/>
          </w:tcPr>
          <w:p w14:paraId="1CEA8EA3">
            <w:pPr>
              <w:pStyle w:val="81"/>
              <w:rPr>
                <w:color w:val="auto"/>
              </w:rPr>
            </w:pPr>
            <w:r>
              <w:rPr>
                <w:rFonts w:hint="eastAsia"/>
                <w:color w:val="auto"/>
              </w:rPr>
              <w:t>大</w:t>
            </w:r>
          </w:p>
        </w:tc>
        <w:tc>
          <w:tcPr>
            <w:tcW w:w="414" w:type="pct"/>
            <w:vAlign w:val="center"/>
          </w:tcPr>
          <w:p w14:paraId="6D6EB39E">
            <w:pPr>
              <w:pStyle w:val="81"/>
              <w:rPr>
                <w:color w:val="auto"/>
              </w:rPr>
            </w:pPr>
            <w:r>
              <w:rPr>
                <w:rFonts w:hint="eastAsia"/>
                <w:color w:val="auto"/>
              </w:rPr>
              <w:t>中</w:t>
            </w:r>
          </w:p>
        </w:tc>
        <w:tc>
          <w:tcPr>
            <w:tcW w:w="451" w:type="pct"/>
            <w:vAlign w:val="center"/>
          </w:tcPr>
          <w:p w14:paraId="4AED9B46">
            <w:pPr>
              <w:pStyle w:val="81"/>
              <w:rPr>
                <w:color w:val="auto"/>
              </w:rPr>
            </w:pPr>
            <w:r>
              <w:rPr>
                <w:rFonts w:hint="eastAsia"/>
                <w:color w:val="auto"/>
              </w:rPr>
              <w:t>小</w:t>
            </w:r>
          </w:p>
        </w:tc>
      </w:tr>
      <w:tr w14:paraId="078A3F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3" w:type="pct"/>
            <w:vAlign w:val="center"/>
          </w:tcPr>
          <w:p w14:paraId="50BE1C9D">
            <w:pPr>
              <w:pStyle w:val="75"/>
            </w:pPr>
            <w:r>
              <w:rPr>
                <w:rFonts w:hint="eastAsia"/>
              </w:rPr>
              <w:t>敏感</w:t>
            </w:r>
          </w:p>
        </w:tc>
        <w:tc>
          <w:tcPr>
            <w:tcW w:w="499" w:type="pct"/>
            <w:vAlign w:val="center"/>
          </w:tcPr>
          <w:p w14:paraId="285C97F7">
            <w:pPr>
              <w:pStyle w:val="75"/>
            </w:pPr>
            <w:r>
              <w:rPr>
                <w:rFonts w:hint="eastAsia"/>
              </w:rPr>
              <w:t>一级</w:t>
            </w:r>
          </w:p>
        </w:tc>
        <w:tc>
          <w:tcPr>
            <w:tcW w:w="413" w:type="pct"/>
            <w:vAlign w:val="center"/>
          </w:tcPr>
          <w:p w14:paraId="033EABE9">
            <w:pPr>
              <w:pStyle w:val="75"/>
            </w:pPr>
            <w:r>
              <w:rPr>
                <w:rFonts w:hint="eastAsia"/>
              </w:rPr>
              <w:t>一级</w:t>
            </w:r>
          </w:p>
        </w:tc>
        <w:tc>
          <w:tcPr>
            <w:tcW w:w="415" w:type="pct"/>
            <w:vAlign w:val="center"/>
          </w:tcPr>
          <w:p w14:paraId="1655C092">
            <w:pPr>
              <w:pStyle w:val="75"/>
            </w:pPr>
            <w:r>
              <w:rPr>
                <w:rFonts w:hint="eastAsia"/>
              </w:rPr>
              <w:t>一级</w:t>
            </w:r>
          </w:p>
        </w:tc>
        <w:tc>
          <w:tcPr>
            <w:tcW w:w="416" w:type="pct"/>
            <w:vAlign w:val="center"/>
          </w:tcPr>
          <w:p w14:paraId="72C959FC">
            <w:pPr>
              <w:pStyle w:val="75"/>
            </w:pPr>
            <w:r>
              <w:rPr>
                <w:rFonts w:hint="eastAsia"/>
              </w:rPr>
              <w:t>二级</w:t>
            </w:r>
          </w:p>
        </w:tc>
        <w:tc>
          <w:tcPr>
            <w:tcW w:w="416" w:type="pct"/>
            <w:vAlign w:val="center"/>
          </w:tcPr>
          <w:p w14:paraId="318E0B30">
            <w:pPr>
              <w:pStyle w:val="75"/>
            </w:pPr>
            <w:r>
              <w:rPr>
                <w:rFonts w:hint="eastAsia"/>
              </w:rPr>
              <w:t>二级</w:t>
            </w:r>
          </w:p>
        </w:tc>
        <w:tc>
          <w:tcPr>
            <w:tcW w:w="417" w:type="pct"/>
            <w:vAlign w:val="center"/>
          </w:tcPr>
          <w:p w14:paraId="315006FB">
            <w:pPr>
              <w:pStyle w:val="75"/>
            </w:pPr>
            <w:r>
              <w:rPr>
                <w:rFonts w:hint="eastAsia"/>
              </w:rPr>
              <w:t>二级</w:t>
            </w:r>
          </w:p>
        </w:tc>
        <w:tc>
          <w:tcPr>
            <w:tcW w:w="416" w:type="pct"/>
            <w:vAlign w:val="center"/>
          </w:tcPr>
          <w:p w14:paraId="66289D27">
            <w:pPr>
              <w:pStyle w:val="75"/>
            </w:pPr>
            <w:r>
              <w:rPr>
                <w:rFonts w:hint="eastAsia"/>
              </w:rPr>
              <w:t>三级</w:t>
            </w:r>
          </w:p>
        </w:tc>
        <w:tc>
          <w:tcPr>
            <w:tcW w:w="414" w:type="pct"/>
            <w:vAlign w:val="center"/>
          </w:tcPr>
          <w:p w14:paraId="3F21D66E">
            <w:pPr>
              <w:pStyle w:val="75"/>
            </w:pPr>
            <w:r>
              <w:rPr>
                <w:rFonts w:hint="eastAsia"/>
              </w:rPr>
              <w:t>三级</w:t>
            </w:r>
          </w:p>
        </w:tc>
        <w:tc>
          <w:tcPr>
            <w:tcW w:w="451" w:type="pct"/>
            <w:vAlign w:val="center"/>
          </w:tcPr>
          <w:p w14:paraId="102C1E12">
            <w:pPr>
              <w:pStyle w:val="75"/>
            </w:pPr>
            <w:r>
              <w:rPr>
                <w:rFonts w:hint="eastAsia"/>
              </w:rPr>
              <w:t>三级</w:t>
            </w:r>
          </w:p>
        </w:tc>
      </w:tr>
      <w:tr w14:paraId="478904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3" w:type="pct"/>
            <w:vAlign w:val="center"/>
          </w:tcPr>
          <w:p w14:paraId="5DB01CDA">
            <w:pPr>
              <w:pStyle w:val="75"/>
            </w:pPr>
            <w:r>
              <w:rPr>
                <w:rFonts w:hint="eastAsia"/>
              </w:rPr>
              <w:t>较敏感</w:t>
            </w:r>
          </w:p>
        </w:tc>
        <w:tc>
          <w:tcPr>
            <w:tcW w:w="499" w:type="pct"/>
            <w:vAlign w:val="center"/>
          </w:tcPr>
          <w:p w14:paraId="484FB262">
            <w:pPr>
              <w:pStyle w:val="75"/>
            </w:pPr>
            <w:r>
              <w:rPr>
                <w:rFonts w:hint="eastAsia"/>
              </w:rPr>
              <w:t>一级</w:t>
            </w:r>
          </w:p>
        </w:tc>
        <w:tc>
          <w:tcPr>
            <w:tcW w:w="413" w:type="pct"/>
            <w:vAlign w:val="center"/>
          </w:tcPr>
          <w:p w14:paraId="347B359D">
            <w:pPr>
              <w:pStyle w:val="75"/>
            </w:pPr>
            <w:r>
              <w:rPr>
                <w:rFonts w:hint="eastAsia"/>
              </w:rPr>
              <w:t>一级</w:t>
            </w:r>
          </w:p>
        </w:tc>
        <w:tc>
          <w:tcPr>
            <w:tcW w:w="415" w:type="pct"/>
            <w:vAlign w:val="center"/>
          </w:tcPr>
          <w:p w14:paraId="75C4A3F8">
            <w:pPr>
              <w:pStyle w:val="75"/>
            </w:pPr>
            <w:r>
              <w:rPr>
                <w:rFonts w:hint="eastAsia"/>
              </w:rPr>
              <w:t>二级</w:t>
            </w:r>
          </w:p>
        </w:tc>
        <w:tc>
          <w:tcPr>
            <w:tcW w:w="416" w:type="pct"/>
            <w:vAlign w:val="center"/>
          </w:tcPr>
          <w:p w14:paraId="13D35C6E">
            <w:pPr>
              <w:pStyle w:val="75"/>
            </w:pPr>
            <w:r>
              <w:rPr>
                <w:rFonts w:hint="eastAsia"/>
              </w:rPr>
              <w:t>二级</w:t>
            </w:r>
          </w:p>
        </w:tc>
        <w:tc>
          <w:tcPr>
            <w:tcW w:w="416" w:type="pct"/>
            <w:vAlign w:val="center"/>
          </w:tcPr>
          <w:p w14:paraId="2E8D9AD7">
            <w:pPr>
              <w:pStyle w:val="75"/>
            </w:pPr>
            <w:r>
              <w:rPr>
                <w:rFonts w:hint="eastAsia"/>
              </w:rPr>
              <w:t>二级</w:t>
            </w:r>
          </w:p>
        </w:tc>
        <w:tc>
          <w:tcPr>
            <w:tcW w:w="417" w:type="pct"/>
            <w:vAlign w:val="center"/>
          </w:tcPr>
          <w:p w14:paraId="0979EA66">
            <w:pPr>
              <w:pStyle w:val="75"/>
            </w:pPr>
            <w:r>
              <w:rPr>
                <w:rFonts w:hint="eastAsia"/>
              </w:rPr>
              <w:t>三级</w:t>
            </w:r>
          </w:p>
        </w:tc>
        <w:tc>
          <w:tcPr>
            <w:tcW w:w="416" w:type="pct"/>
            <w:vAlign w:val="center"/>
          </w:tcPr>
          <w:p w14:paraId="2521F8B0">
            <w:pPr>
              <w:pStyle w:val="75"/>
            </w:pPr>
            <w:r>
              <w:rPr>
                <w:rFonts w:hint="eastAsia"/>
              </w:rPr>
              <w:t>三级</w:t>
            </w:r>
          </w:p>
        </w:tc>
        <w:tc>
          <w:tcPr>
            <w:tcW w:w="414" w:type="pct"/>
            <w:vAlign w:val="center"/>
          </w:tcPr>
          <w:p w14:paraId="234E432B">
            <w:pPr>
              <w:pStyle w:val="75"/>
            </w:pPr>
            <w:r>
              <w:rPr>
                <w:rFonts w:hint="eastAsia"/>
              </w:rPr>
              <w:t>三级</w:t>
            </w:r>
          </w:p>
        </w:tc>
        <w:tc>
          <w:tcPr>
            <w:tcW w:w="451" w:type="pct"/>
            <w:vAlign w:val="center"/>
          </w:tcPr>
          <w:p w14:paraId="0C738A30">
            <w:pPr>
              <w:pStyle w:val="75"/>
            </w:pPr>
            <w:r>
              <w:rPr>
                <w:rFonts w:hint="eastAsia"/>
              </w:rPr>
              <w:t>-</w:t>
            </w:r>
          </w:p>
        </w:tc>
      </w:tr>
      <w:tr w14:paraId="7CBDF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3" w:type="pct"/>
            <w:vAlign w:val="center"/>
          </w:tcPr>
          <w:p w14:paraId="6E7C34F2">
            <w:pPr>
              <w:pStyle w:val="75"/>
            </w:pPr>
            <w:r>
              <w:rPr>
                <w:rFonts w:hint="eastAsia"/>
              </w:rPr>
              <w:t>不敏感</w:t>
            </w:r>
          </w:p>
        </w:tc>
        <w:tc>
          <w:tcPr>
            <w:tcW w:w="499" w:type="pct"/>
            <w:vAlign w:val="center"/>
          </w:tcPr>
          <w:p w14:paraId="2E081636">
            <w:pPr>
              <w:pStyle w:val="75"/>
            </w:pPr>
            <w:r>
              <w:rPr>
                <w:rFonts w:hint="eastAsia"/>
              </w:rPr>
              <w:t>一级</w:t>
            </w:r>
          </w:p>
        </w:tc>
        <w:tc>
          <w:tcPr>
            <w:tcW w:w="413" w:type="pct"/>
            <w:vAlign w:val="center"/>
          </w:tcPr>
          <w:p w14:paraId="0748D77C">
            <w:pPr>
              <w:pStyle w:val="75"/>
            </w:pPr>
            <w:r>
              <w:rPr>
                <w:rFonts w:hint="eastAsia"/>
              </w:rPr>
              <w:t>二级</w:t>
            </w:r>
          </w:p>
        </w:tc>
        <w:tc>
          <w:tcPr>
            <w:tcW w:w="415" w:type="pct"/>
            <w:vAlign w:val="center"/>
          </w:tcPr>
          <w:p w14:paraId="107F5690">
            <w:pPr>
              <w:pStyle w:val="75"/>
              <w:rPr>
                <w:b/>
                <w:bCs/>
              </w:rPr>
            </w:pPr>
            <w:r>
              <w:rPr>
                <w:rFonts w:hint="eastAsia"/>
                <w:b/>
                <w:bCs/>
              </w:rPr>
              <w:t>二级</w:t>
            </w:r>
          </w:p>
        </w:tc>
        <w:tc>
          <w:tcPr>
            <w:tcW w:w="416" w:type="pct"/>
            <w:vAlign w:val="center"/>
          </w:tcPr>
          <w:p w14:paraId="002893BB">
            <w:pPr>
              <w:pStyle w:val="75"/>
            </w:pPr>
            <w:r>
              <w:rPr>
                <w:rFonts w:hint="eastAsia"/>
              </w:rPr>
              <w:t>二级</w:t>
            </w:r>
          </w:p>
        </w:tc>
        <w:tc>
          <w:tcPr>
            <w:tcW w:w="416" w:type="pct"/>
            <w:vAlign w:val="center"/>
          </w:tcPr>
          <w:p w14:paraId="2FB81000">
            <w:pPr>
              <w:pStyle w:val="75"/>
            </w:pPr>
            <w:r>
              <w:rPr>
                <w:rFonts w:hint="eastAsia"/>
              </w:rPr>
              <w:t>三级</w:t>
            </w:r>
          </w:p>
        </w:tc>
        <w:tc>
          <w:tcPr>
            <w:tcW w:w="417" w:type="pct"/>
            <w:vAlign w:val="center"/>
          </w:tcPr>
          <w:p w14:paraId="434AAA24">
            <w:pPr>
              <w:pStyle w:val="75"/>
            </w:pPr>
            <w:r>
              <w:rPr>
                <w:rFonts w:hint="eastAsia"/>
              </w:rPr>
              <w:t>三级</w:t>
            </w:r>
          </w:p>
        </w:tc>
        <w:tc>
          <w:tcPr>
            <w:tcW w:w="416" w:type="pct"/>
            <w:vAlign w:val="center"/>
          </w:tcPr>
          <w:p w14:paraId="226DFCA6">
            <w:pPr>
              <w:pStyle w:val="75"/>
            </w:pPr>
            <w:r>
              <w:rPr>
                <w:rFonts w:hint="eastAsia"/>
              </w:rPr>
              <w:t>三级</w:t>
            </w:r>
          </w:p>
        </w:tc>
        <w:tc>
          <w:tcPr>
            <w:tcW w:w="414" w:type="pct"/>
            <w:vAlign w:val="center"/>
          </w:tcPr>
          <w:p w14:paraId="70823069">
            <w:pPr>
              <w:pStyle w:val="75"/>
            </w:pPr>
            <w:r>
              <w:rPr>
                <w:rFonts w:hint="eastAsia"/>
              </w:rPr>
              <w:t>-</w:t>
            </w:r>
          </w:p>
        </w:tc>
        <w:tc>
          <w:tcPr>
            <w:tcW w:w="451" w:type="pct"/>
            <w:vAlign w:val="center"/>
          </w:tcPr>
          <w:p w14:paraId="4D88309E">
            <w:pPr>
              <w:pStyle w:val="75"/>
            </w:pPr>
            <w:r>
              <w:rPr>
                <w:rFonts w:hint="eastAsia"/>
              </w:rPr>
              <w:t>-</w:t>
            </w:r>
          </w:p>
        </w:tc>
      </w:tr>
      <w:tr w14:paraId="31D47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0"/>
            <w:vAlign w:val="center"/>
          </w:tcPr>
          <w:p w14:paraId="1F91A786">
            <w:pPr>
              <w:pStyle w:val="75"/>
              <w:jc w:val="left"/>
              <w:rPr>
                <w:highlight w:val="yellow"/>
              </w:rPr>
            </w:pPr>
            <w:r>
              <w:rPr>
                <w:rFonts w:hint="eastAsia"/>
              </w:rPr>
              <w:t>注：“-”表示可不开展土壤环境影响评价工作。</w:t>
            </w:r>
          </w:p>
        </w:tc>
      </w:tr>
    </w:tbl>
    <w:p w14:paraId="3FCE0622">
      <w:pPr>
        <w:pStyle w:val="72"/>
      </w:pPr>
      <w:r>
        <w:rPr>
          <w:rFonts w:hint="eastAsia"/>
        </w:rPr>
        <w:t>综上所述，本项目的评价等级为二级。</w:t>
      </w:r>
    </w:p>
    <w:p w14:paraId="5DCE18D9">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51" w:name="_Toc9549"/>
      <w:bookmarkStart w:id="152" w:name="_Toc51319848"/>
      <w:bookmarkStart w:id="153" w:name="_Toc18006"/>
      <w:r>
        <w:rPr>
          <w:rFonts w:hint="eastAsia" w:ascii="Times New Roman" w:hAnsi="Times New Roman" w:eastAsia="宋体" w:cs="Times New Roman"/>
          <w:lang w:val="en-US" w:eastAsia="zh-CN"/>
        </w:rPr>
        <w:t>2.5评价范围</w:t>
      </w:r>
      <w:bookmarkEnd w:id="141"/>
      <w:bookmarkEnd w:id="142"/>
      <w:bookmarkEnd w:id="143"/>
      <w:bookmarkEnd w:id="151"/>
      <w:bookmarkEnd w:id="152"/>
      <w:bookmarkEnd w:id="153"/>
    </w:p>
    <w:p w14:paraId="469C1625">
      <w:pPr>
        <w:pStyle w:val="72"/>
      </w:pPr>
      <w:r>
        <w:rPr>
          <w:rFonts w:hint="eastAsia"/>
        </w:rPr>
        <w:t>根据评价分级结果，结合工程特点及项目所在区域环境特征，确定各单项环境要素评价范围，具体情况见下表。</w:t>
      </w:r>
    </w:p>
    <w:p w14:paraId="6D0A770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表2</w:t>
      </w:r>
      <w:r>
        <w:rPr>
          <w:rFonts w:hint="eastAsia"/>
          <w:lang w:val="en-US" w:eastAsia="zh-CN"/>
        </w:rPr>
        <w:t>.5</w:t>
      </w:r>
      <w:r>
        <w:rPr>
          <w:rFonts w:hint="eastAsia"/>
        </w:rPr>
        <w:t>-</w:t>
      </w:r>
      <w:r>
        <w:rPr>
          <w:rFonts w:hint="eastAsia"/>
          <w:lang w:val="en-US" w:eastAsia="zh-CN"/>
        </w:rPr>
        <w:t>1</w:t>
      </w:r>
      <w:r>
        <w:rPr>
          <w:rFonts w:hint="eastAsia"/>
        </w:rPr>
        <w:t xml:space="preserve">    工程各环境要素的评价范围</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694"/>
        <w:gridCol w:w="5675"/>
      </w:tblGrid>
      <w:tr w14:paraId="6331F9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6ABDB0ED">
            <w:pPr>
              <w:pStyle w:val="81"/>
              <w:rPr>
                <w:color w:val="auto"/>
              </w:rPr>
            </w:pPr>
            <w:r>
              <w:rPr>
                <w:rFonts w:hint="eastAsia"/>
                <w:color w:val="auto"/>
              </w:rPr>
              <w:t>序号</w:t>
            </w:r>
          </w:p>
        </w:tc>
        <w:tc>
          <w:tcPr>
            <w:tcW w:w="993" w:type="pct"/>
            <w:vAlign w:val="center"/>
          </w:tcPr>
          <w:p w14:paraId="0A3969AA">
            <w:pPr>
              <w:pStyle w:val="81"/>
              <w:rPr>
                <w:color w:val="auto"/>
              </w:rPr>
            </w:pPr>
            <w:r>
              <w:rPr>
                <w:rFonts w:hint="eastAsia"/>
                <w:color w:val="auto"/>
              </w:rPr>
              <w:t>评价项目</w:t>
            </w:r>
          </w:p>
        </w:tc>
        <w:tc>
          <w:tcPr>
            <w:tcW w:w="3326" w:type="pct"/>
            <w:vAlign w:val="center"/>
          </w:tcPr>
          <w:p w14:paraId="57975202">
            <w:pPr>
              <w:pStyle w:val="81"/>
              <w:rPr>
                <w:color w:val="auto"/>
              </w:rPr>
            </w:pPr>
            <w:r>
              <w:rPr>
                <w:rFonts w:hint="eastAsia"/>
                <w:color w:val="auto"/>
              </w:rPr>
              <w:t>评 价 范 围</w:t>
            </w:r>
          </w:p>
        </w:tc>
      </w:tr>
      <w:tr w14:paraId="5C6C5D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0F4B2C51">
            <w:pPr>
              <w:pStyle w:val="75"/>
            </w:pPr>
            <w:r>
              <w:rPr>
                <w:rFonts w:hint="eastAsia"/>
              </w:rPr>
              <w:t>1</w:t>
            </w:r>
          </w:p>
        </w:tc>
        <w:tc>
          <w:tcPr>
            <w:tcW w:w="993" w:type="pct"/>
            <w:vAlign w:val="center"/>
          </w:tcPr>
          <w:p w14:paraId="51EFC62A">
            <w:pPr>
              <w:pStyle w:val="75"/>
            </w:pPr>
            <w:r>
              <w:rPr>
                <w:rFonts w:hint="eastAsia"/>
              </w:rPr>
              <w:t>地表水环境</w:t>
            </w:r>
          </w:p>
        </w:tc>
        <w:tc>
          <w:tcPr>
            <w:tcW w:w="3326" w:type="pct"/>
            <w:vAlign w:val="center"/>
          </w:tcPr>
          <w:p w14:paraId="76920F92">
            <w:pPr>
              <w:pStyle w:val="75"/>
              <w:rPr>
                <w:highlight w:val="yellow"/>
              </w:rPr>
            </w:pPr>
            <w:r>
              <w:rPr>
                <w:rFonts w:hint="eastAsia"/>
              </w:rPr>
              <w:t>主要进行废水纳管依托污水处理设施的环境可行性分析</w:t>
            </w:r>
          </w:p>
        </w:tc>
      </w:tr>
      <w:tr w14:paraId="752206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44588FB7">
            <w:pPr>
              <w:pStyle w:val="75"/>
            </w:pPr>
            <w:r>
              <w:rPr>
                <w:rFonts w:hint="eastAsia"/>
              </w:rPr>
              <w:t>2</w:t>
            </w:r>
          </w:p>
        </w:tc>
        <w:tc>
          <w:tcPr>
            <w:tcW w:w="993" w:type="pct"/>
            <w:vAlign w:val="center"/>
          </w:tcPr>
          <w:p w14:paraId="148E496F">
            <w:pPr>
              <w:pStyle w:val="75"/>
            </w:pPr>
            <w:r>
              <w:rPr>
                <w:rFonts w:hint="eastAsia"/>
              </w:rPr>
              <w:t>环境空气</w:t>
            </w:r>
          </w:p>
        </w:tc>
        <w:tc>
          <w:tcPr>
            <w:tcW w:w="3326" w:type="pct"/>
            <w:vAlign w:val="center"/>
          </w:tcPr>
          <w:p w14:paraId="31A3D4A8">
            <w:pPr>
              <w:pStyle w:val="75"/>
              <w:rPr>
                <w:highlight w:val="yellow"/>
              </w:rPr>
            </w:pPr>
            <w:r>
              <w:rPr>
                <w:rFonts w:hint="eastAsia"/>
              </w:rPr>
              <w:t>以</w:t>
            </w:r>
            <w:r>
              <w:t>本工程厂址为中心</w:t>
            </w:r>
            <w:r>
              <w:rPr>
                <w:rFonts w:hint="eastAsia"/>
              </w:rPr>
              <w:t>，边长5km的矩形</w:t>
            </w:r>
            <w:r>
              <w:t>区域</w:t>
            </w:r>
          </w:p>
        </w:tc>
      </w:tr>
      <w:tr w14:paraId="28970C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3569C5CC">
            <w:pPr>
              <w:pStyle w:val="75"/>
            </w:pPr>
            <w:r>
              <w:rPr>
                <w:rFonts w:hint="eastAsia"/>
              </w:rPr>
              <w:t>3</w:t>
            </w:r>
          </w:p>
        </w:tc>
        <w:tc>
          <w:tcPr>
            <w:tcW w:w="993" w:type="pct"/>
            <w:vAlign w:val="center"/>
          </w:tcPr>
          <w:p w14:paraId="35D5F90E">
            <w:pPr>
              <w:pStyle w:val="75"/>
            </w:pPr>
            <w:r>
              <w:rPr>
                <w:rFonts w:hint="eastAsia"/>
              </w:rPr>
              <w:t>地下水环境</w:t>
            </w:r>
          </w:p>
        </w:tc>
        <w:tc>
          <w:tcPr>
            <w:tcW w:w="3326" w:type="pct"/>
            <w:vAlign w:val="center"/>
          </w:tcPr>
          <w:p w14:paraId="6CC04EAC">
            <w:pPr>
              <w:pStyle w:val="75"/>
              <w:jc w:val="left"/>
              <w:rPr>
                <w:highlight w:val="yellow"/>
              </w:rPr>
            </w:pPr>
            <w:r>
              <w:rPr>
                <w:rFonts w:hint="eastAsia"/>
              </w:rPr>
              <w:t>项目区域浅层地下水，</w:t>
            </w:r>
            <w:r>
              <w:t>评价范围为</w:t>
            </w:r>
            <w:r>
              <w:rPr>
                <w:rFonts w:hint="eastAsia"/>
              </w:rPr>
              <w:t>6</w:t>
            </w:r>
            <w:r>
              <w:t>km</w:t>
            </w:r>
            <w:r>
              <w:rPr>
                <w:vertAlign w:val="superscript"/>
              </w:rPr>
              <w:t>2</w:t>
            </w:r>
            <w:r>
              <w:rPr>
                <w:rFonts w:hint="eastAsia"/>
              </w:rPr>
              <w:t>，上游1km，两侧各1km，下游2km</w:t>
            </w:r>
          </w:p>
        </w:tc>
      </w:tr>
      <w:tr w14:paraId="5C927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45C1B9E1">
            <w:pPr>
              <w:pStyle w:val="75"/>
            </w:pPr>
            <w:r>
              <w:rPr>
                <w:rFonts w:hint="eastAsia"/>
              </w:rPr>
              <w:t>4</w:t>
            </w:r>
          </w:p>
        </w:tc>
        <w:tc>
          <w:tcPr>
            <w:tcW w:w="993" w:type="pct"/>
            <w:vAlign w:val="center"/>
          </w:tcPr>
          <w:p w14:paraId="3404B6C5">
            <w:pPr>
              <w:pStyle w:val="75"/>
            </w:pPr>
            <w:r>
              <w:rPr>
                <w:rFonts w:hint="eastAsia"/>
              </w:rPr>
              <w:t>声环境</w:t>
            </w:r>
          </w:p>
        </w:tc>
        <w:tc>
          <w:tcPr>
            <w:tcW w:w="3326" w:type="pct"/>
            <w:vAlign w:val="center"/>
          </w:tcPr>
          <w:p w14:paraId="33E468BA">
            <w:pPr>
              <w:pStyle w:val="75"/>
              <w:rPr>
                <w:highlight w:val="yellow"/>
              </w:rPr>
            </w:pPr>
            <w:r>
              <w:rPr>
                <w:rFonts w:hint="eastAsia"/>
              </w:rPr>
              <w:t>厂界外200m范围</w:t>
            </w:r>
          </w:p>
        </w:tc>
      </w:tr>
      <w:tr w14:paraId="4A6C4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797EA1B4">
            <w:pPr>
              <w:pStyle w:val="75"/>
            </w:pPr>
            <w:r>
              <w:rPr>
                <w:rFonts w:hint="eastAsia"/>
              </w:rPr>
              <w:t>5</w:t>
            </w:r>
          </w:p>
        </w:tc>
        <w:tc>
          <w:tcPr>
            <w:tcW w:w="993" w:type="pct"/>
            <w:vAlign w:val="center"/>
          </w:tcPr>
          <w:p w14:paraId="0A0E76AC">
            <w:pPr>
              <w:pStyle w:val="75"/>
            </w:pPr>
            <w:r>
              <w:rPr>
                <w:rFonts w:hint="eastAsia"/>
              </w:rPr>
              <w:t>土壤</w:t>
            </w:r>
          </w:p>
        </w:tc>
        <w:tc>
          <w:tcPr>
            <w:tcW w:w="3326" w:type="pct"/>
            <w:vAlign w:val="center"/>
          </w:tcPr>
          <w:p w14:paraId="67EB56C2">
            <w:pPr>
              <w:pStyle w:val="75"/>
              <w:rPr>
                <w:highlight w:val="yellow"/>
              </w:rPr>
            </w:pPr>
            <w:r>
              <w:rPr>
                <w:rFonts w:hint="eastAsia"/>
              </w:rPr>
              <w:t>厂址及厂界外200m范围</w:t>
            </w:r>
          </w:p>
        </w:tc>
      </w:tr>
      <w:tr w14:paraId="1FA4D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14:paraId="37B09CC6">
            <w:pPr>
              <w:pStyle w:val="75"/>
            </w:pPr>
            <w:r>
              <w:rPr>
                <w:rFonts w:hint="eastAsia"/>
              </w:rPr>
              <w:t>6</w:t>
            </w:r>
          </w:p>
        </w:tc>
        <w:tc>
          <w:tcPr>
            <w:tcW w:w="993" w:type="pct"/>
            <w:vAlign w:val="center"/>
          </w:tcPr>
          <w:p w14:paraId="0D7B202A">
            <w:pPr>
              <w:pStyle w:val="75"/>
            </w:pPr>
            <w:r>
              <w:rPr>
                <w:rFonts w:hint="eastAsia"/>
              </w:rPr>
              <w:t>环境风险</w:t>
            </w:r>
          </w:p>
        </w:tc>
        <w:tc>
          <w:tcPr>
            <w:tcW w:w="3326" w:type="pct"/>
            <w:vAlign w:val="center"/>
          </w:tcPr>
          <w:p w14:paraId="478DA2A1">
            <w:pPr>
              <w:pStyle w:val="75"/>
            </w:pPr>
            <w:r>
              <w:rPr>
                <w:rFonts w:hint="eastAsia"/>
              </w:rPr>
              <w:t>厂界外5km范围</w:t>
            </w:r>
          </w:p>
        </w:tc>
      </w:tr>
    </w:tbl>
    <w:p w14:paraId="337A9174">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54" w:name="_Toc51319849"/>
      <w:bookmarkStart w:id="155" w:name="_Toc29159"/>
      <w:bookmarkStart w:id="156" w:name="_Toc4178"/>
      <w:r>
        <w:rPr>
          <w:rFonts w:hint="eastAsia" w:ascii="Times New Roman" w:hAnsi="Times New Roman" w:eastAsia="宋体" w:cs="Times New Roman"/>
          <w:lang w:val="en-US" w:eastAsia="zh-CN"/>
        </w:rPr>
        <w:t>2.6污染控制与环境保护目标</w:t>
      </w:r>
      <w:bookmarkEnd w:id="144"/>
      <w:bookmarkEnd w:id="145"/>
      <w:bookmarkEnd w:id="146"/>
      <w:bookmarkEnd w:id="147"/>
      <w:bookmarkEnd w:id="154"/>
      <w:bookmarkEnd w:id="155"/>
      <w:bookmarkEnd w:id="156"/>
    </w:p>
    <w:p w14:paraId="002AE47D">
      <w:pPr>
        <w:pStyle w:val="72"/>
        <w:spacing w:line="480" w:lineRule="exact"/>
      </w:pPr>
      <w:r>
        <w:rPr>
          <w:rFonts w:hint="eastAsia"/>
        </w:rPr>
        <w:t>根据本项目特点，污染控制主要依据以下原则：</w:t>
      </w:r>
    </w:p>
    <w:p w14:paraId="088C3E9E">
      <w:pPr>
        <w:pStyle w:val="72"/>
        <w:spacing w:line="480" w:lineRule="exact"/>
      </w:pPr>
      <w:r>
        <w:rPr>
          <w:rFonts w:hint="eastAsia"/>
        </w:rPr>
        <w:t>（1）以废水、固废污染控制为主；</w:t>
      </w:r>
    </w:p>
    <w:p w14:paraId="074AF783">
      <w:pPr>
        <w:pStyle w:val="72"/>
        <w:spacing w:line="480" w:lineRule="exact"/>
      </w:pPr>
      <w:r>
        <w:rPr>
          <w:rFonts w:hint="eastAsia"/>
        </w:rPr>
        <w:t>（2）满足“清洁生产、达标排放、增产减污、总量控制”的要求；</w:t>
      </w:r>
    </w:p>
    <w:p w14:paraId="620622B6">
      <w:pPr>
        <w:pStyle w:val="72"/>
        <w:spacing w:line="480" w:lineRule="exact"/>
      </w:pPr>
      <w:r>
        <w:rPr>
          <w:rFonts w:hint="eastAsia"/>
        </w:rPr>
        <w:t>（3）过程控制和末端控制相结合。</w:t>
      </w:r>
    </w:p>
    <w:p w14:paraId="206E91AA">
      <w:pPr>
        <w:pStyle w:val="72"/>
        <w:spacing w:line="480" w:lineRule="exact"/>
      </w:pPr>
      <w:r>
        <w:rPr>
          <w:rFonts w:hint="eastAsia"/>
        </w:rPr>
        <w:t>本项目污染控制内容及环境保护目标见下表。</w:t>
      </w:r>
    </w:p>
    <w:p w14:paraId="4CD6E8C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2.6-1</w:t>
      </w:r>
      <w:r>
        <w:rPr>
          <w:rFonts w:hint="eastAsia"/>
        </w:rPr>
        <w:t xml:space="preserve">    污染控制内容与环境保护目标</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810"/>
        <w:gridCol w:w="1053"/>
        <w:gridCol w:w="5398"/>
        <w:gridCol w:w="1107"/>
      </w:tblGrid>
      <w:tr w14:paraId="01591D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484" w:type="pct"/>
            <w:vAlign w:val="center"/>
          </w:tcPr>
          <w:p w14:paraId="2AFAE878">
            <w:pPr>
              <w:pStyle w:val="81"/>
              <w:rPr>
                <w:color w:val="auto"/>
              </w:rPr>
            </w:pPr>
            <w:r>
              <w:rPr>
                <w:rFonts w:hint="eastAsia"/>
                <w:color w:val="auto"/>
              </w:rPr>
              <w:t>污染物</w:t>
            </w:r>
          </w:p>
        </w:tc>
        <w:tc>
          <w:tcPr>
            <w:tcW w:w="3853" w:type="pct"/>
            <w:gridSpan w:val="2"/>
            <w:vAlign w:val="center"/>
          </w:tcPr>
          <w:p w14:paraId="76B51304">
            <w:pPr>
              <w:pStyle w:val="81"/>
              <w:rPr>
                <w:color w:val="auto"/>
              </w:rPr>
            </w:pPr>
            <w:r>
              <w:rPr>
                <w:rFonts w:hint="eastAsia"/>
                <w:color w:val="auto"/>
              </w:rPr>
              <w:t>控制内容</w:t>
            </w:r>
          </w:p>
        </w:tc>
        <w:tc>
          <w:tcPr>
            <w:tcW w:w="661" w:type="pct"/>
            <w:vAlign w:val="center"/>
          </w:tcPr>
          <w:p w14:paraId="1BA76EFA">
            <w:pPr>
              <w:pStyle w:val="81"/>
              <w:rPr>
                <w:color w:val="auto"/>
              </w:rPr>
            </w:pPr>
            <w:r>
              <w:rPr>
                <w:rFonts w:hint="eastAsia"/>
                <w:color w:val="auto"/>
              </w:rPr>
              <w:t>环境保护目标</w:t>
            </w:r>
          </w:p>
        </w:tc>
      </w:tr>
      <w:tr w14:paraId="4C9ED8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4" w:type="pct"/>
            <w:vAlign w:val="center"/>
          </w:tcPr>
          <w:p w14:paraId="52C5DA74">
            <w:pPr>
              <w:pStyle w:val="75"/>
            </w:pPr>
            <w:r>
              <w:rPr>
                <w:rFonts w:hint="eastAsia"/>
              </w:rPr>
              <w:t>废水</w:t>
            </w:r>
          </w:p>
        </w:tc>
        <w:tc>
          <w:tcPr>
            <w:tcW w:w="629" w:type="pct"/>
            <w:vAlign w:val="center"/>
          </w:tcPr>
          <w:p w14:paraId="0B5A78ED">
            <w:pPr>
              <w:pStyle w:val="75"/>
            </w:pPr>
            <w:r>
              <w:rPr>
                <w:rFonts w:hint="eastAsia"/>
              </w:rPr>
              <w:t>生产废水、生活污水</w:t>
            </w:r>
          </w:p>
        </w:tc>
        <w:tc>
          <w:tcPr>
            <w:tcW w:w="3224" w:type="pct"/>
            <w:vAlign w:val="center"/>
          </w:tcPr>
          <w:p w14:paraId="28DDC071">
            <w:pPr>
              <w:pStyle w:val="75"/>
              <w:jc w:val="left"/>
              <w:rPr>
                <w:rFonts w:hint="eastAsia"/>
              </w:rPr>
            </w:pPr>
            <w:r>
              <w:rPr>
                <w:rFonts w:hint="eastAsia"/>
              </w:rPr>
              <w:t>控制因子：COD、</w:t>
            </w:r>
            <w:r>
              <w:rPr>
                <w:rFonts w:hint="eastAsia"/>
                <w:color w:val="000000" w:themeColor="text1"/>
                <w:lang w:val="en-US" w:eastAsia="zh-CN"/>
                <w14:textFill>
                  <w14:solidFill>
                    <w14:schemeClr w14:val="tx1"/>
                  </w14:solidFill>
                </w14:textFill>
              </w:rPr>
              <w:t>SS</w:t>
            </w:r>
            <w:r>
              <w:rPr>
                <w:rFonts w:hint="eastAsia"/>
                <w:lang w:val="en-US" w:eastAsia="zh-CN"/>
              </w:rPr>
              <w:t>、</w:t>
            </w:r>
            <w:r>
              <w:rPr>
                <w:rFonts w:hint="eastAsia"/>
              </w:rPr>
              <w:t>氨氮、TP、TN、</w:t>
            </w:r>
            <w:r>
              <w:rPr>
                <w:rFonts w:hint="eastAsia"/>
                <w:lang w:val="en-US" w:eastAsia="zh-CN"/>
              </w:rPr>
              <w:t>石油类、</w:t>
            </w:r>
            <w:r>
              <w:rPr>
                <w:rFonts w:hint="eastAsia"/>
              </w:rPr>
              <w:t>镍、总铬</w:t>
            </w:r>
          </w:p>
          <w:p w14:paraId="5E2C6632">
            <w:pPr>
              <w:pStyle w:val="75"/>
              <w:jc w:val="left"/>
              <w:rPr>
                <w:highlight w:val="yellow"/>
              </w:rPr>
            </w:pPr>
            <w:r>
              <w:rPr>
                <w:rFonts w:hint="eastAsia"/>
                <w:lang w:val="en-US" w:eastAsia="zh-CN"/>
              </w:rPr>
              <w:t>控制要求：</w:t>
            </w:r>
            <w:r>
              <w:rPr>
                <w:rFonts w:hint="eastAsia"/>
                <w:color w:val="000000"/>
              </w:rPr>
              <w:t>《电镀污染物排放标准》（GB21900-2008）和</w:t>
            </w:r>
            <w:r>
              <w:rPr>
                <w:color w:val="000000"/>
              </w:rPr>
              <w:t>获嘉县同盟污水处理厂收水标准要求</w:t>
            </w:r>
          </w:p>
        </w:tc>
        <w:tc>
          <w:tcPr>
            <w:tcW w:w="661" w:type="pct"/>
            <w:vAlign w:val="center"/>
          </w:tcPr>
          <w:p w14:paraId="68598060">
            <w:pPr>
              <w:pStyle w:val="75"/>
              <w:jc w:val="left"/>
              <w:rPr>
                <w:highlight w:val="yellow"/>
              </w:rPr>
            </w:pPr>
            <w:r>
              <w:rPr>
                <w:rFonts w:hint="eastAsia"/>
              </w:rPr>
              <w:t>评价纳污河段及沿岸浅层地下水</w:t>
            </w:r>
          </w:p>
        </w:tc>
      </w:tr>
      <w:tr w14:paraId="5ECD9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4" w:type="pct"/>
            <w:vAlign w:val="center"/>
          </w:tcPr>
          <w:p w14:paraId="04E4FA2D">
            <w:pPr>
              <w:pStyle w:val="75"/>
            </w:pPr>
            <w:r>
              <w:rPr>
                <w:rFonts w:hint="eastAsia"/>
              </w:rPr>
              <w:t>废气</w:t>
            </w:r>
          </w:p>
        </w:tc>
        <w:tc>
          <w:tcPr>
            <w:tcW w:w="629" w:type="pct"/>
            <w:vAlign w:val="center"/>
          </w:tcPr>
          <w:p w14:paraId="5F5E48FE">
            <w:pPr>
              <w:pStyle w:val="75"/>
            </w:pPr>
            <w:r>
              <w:rPr>
                <w:rFonts w:hint="eastAsia"/>
                <w:bCs/>
              </w:rPr>
              <w:t>废气</w:t>
            </w:r>
          </w:p>
        </w:tc>
        <w:tc>
          <w:tcPr>
            <w:tcW w:w="3224" w:type="pct"/>
            <w:vAlign w:val="center"/>
          </w:tcPr>
          <w:p w14:paraId="41521EFF">
            <w:pPr>
              <w:pStyle w:val="75"/>
              <w:jc w:val="left"/>
            </w:pPr>
            <w:r>
              <w:rPr>
                <w:rFonts w:hint="eastAsia"/>
              </w:rPr>
              <w:t>控制因子：硫酸雾、氨、硫化氢《电镀污染物排放标准》（</w:t>
            </w:r>
            <w:r>
              <w:t>GB21900-2008</w:t>
            </w:r>
            <w:r>
              <w:rPr>
                <w:rFonts w:hint="eastAsia"/>
              </w:rPr>
              <w:t>）、《大气污染物综合排放标准》（GB16297-1996）、《恶臭污染物排放标准》（GB14554-93）</w:t>
            </w:r>
          </w:p>
        </w:tc>
        <w:tc>
          <w:tcPr>
            <w:tcW w:w="661" w:type="pct"/>
            <w:vAlign w:val="center"/>
          </w:tcPr>
          <w:p w14:paraId="067C04B7">
            <w:pPr>
              <w:pStyle w:val="75"/>
              <w:jc w:val="left"/>
              <w:rPr>
                <w:highlight w:val="yellow"/>
              </w:rPr>
            </w:pPr>
            <w:r>
              <w:rPr>
                <w:rFonts w:hint="eastAsia"/>
              </w:rPr>
              <w:t>评价范围内居民区等环境敏感点</w:t>
            </w:r>
          </w:p>
        </w:tc>
      </w:tr>
      <w:tr w14:paraId="24F9D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4" w:type="pct"/>
            <w:vAlign w:val="center"/>
          </w:tcPr>
          <w:p w14:paraId="1169BBE4">
            <w:pPr>
              <w:pStyle w:val="75"/>
            </w:pPr>
            <w:r>
              <w:rPr>
                <w:rFonts w:hint="eastAsia"/>
              </w:rPr>
              <w:t>噪声</w:t>
            </w:r>
          </w:p>
        </w:tc>
        <w:tc>
          <w:tcPr>
            <w:tcW w:w="629" w:type="pct"/>
            <w:vAlign w:val="center"/>
          </w:tcPr>
          <w:p w14:paraId="2059E283">
            <w:pPr>
              <w:pStyle w:val="75"/>
            </w:pPr>
            <w:r>
              <w:rPr>
                <w:rFonts w:hint="eastAsia"/>
              </w:rPr>
              <w:t>设备噪声</w:t>
            </w:r>
          </w:p>
        </w:tc>
        <w:tc>
          <w:tcPr>
            <w:tcW w:w="3224" w:type="pct"/>
            <w:vAlign w:val="center"/>
          </w:tcPr>
          <w:p w14:paraId="33537669">
            <w:pPr>
              <w:pStyle w:val="75"/>
              <w:jc w:val="left"/>
            </w:pPr>
            <w:r>
              <w:rPr>
                <w:rFonts w:hint="eastAsia"/>
              </w:rPr>
              <w:t>《工业企业厂界环境噪声排放标准》（GB12348-2008）3类</w:t>
            </w:r>
          </w:p>
        </w:tc>
        <w:tc>
          <w:tcPr>
            <w:tcW w:w="661" w:type="pct"/>
            <w:vAlign w:val="center"/>
          </w:tcPr>
          <w:p w14:paraId="23F2642D">
            <w:pPr>
              <w:pStyle w:val="75"/>
              <w:rPr>
                <w:highlight w:val="yellow"/>
              </w:rPr>
            </w:pPr>
            <w:r>
              <w:rPr>
                <w:rFonts w:hint="eastAsia"/>
              </w:rPr>
              <w:t>厂界</w:t>
            </w:r>
          </w:p>
        </w:tc>
      </w:tr>
      <w:tr w14:paraId="4C8EB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4" w:type="pct"/>
            <w:vAlign w:val="center"/>
          </w:tcPr>
          <w:p w14:paraId="1FCD62CE">
            <w:pPr>
              <w:pStyle w:val="75"/>
              <w:rPr>
                <w:highlight w:val="yellow"/>
              </w:rPr>
            </w:pPr>
            <w:r>
              <w:rPr>
                <w:rFonts w:hint="eastAsia"/>
              </w:rPr>
              <w:t>固废</w:t>
            </w:r>
          </w:p>
        </w:tc>
        <w:tc>
          <w:tcPr>
            <w:tcW w:w="629" w:type="pct"/>
            <w:vAlign w:val="center"/>
          </w:tcPr>
          <w:p w14:paraId="255444BE">
            <w:pPr>
              <w:pStyle w:val="75"/>
              <w:rPr>
                <w:highlight w:val="yellow"/>
              </w:rPr>
            </w:pPr>
            <w:r>
              <w:rPr>
                <w:rFonts w:hint="eastAsia"/>
              </w:rPr>
              <w:t>一般工业固体废物、危险废物</w:t>
            </w:r>
          </w:p>
        </w:tc>
        <w:tc>
          <w:tcPr>
            <w:tcW w:w="3224" w:type="pct"/>
            <w:vAlign w:val="center"/>
          </w:tcPr>
          <w:p w14:paraId="2CDDE093">
            <w:pPr>
              <w:pStyle w:val="75"/>
              <w:jc w:val="left"/>
            </w:pPr>
            <w:r>
              <w:rPr>
                <w:rFonts w:hint="eastAsia"/>
              </w:rPr>
              <w:t>按照《一般工业固体废物贮存和填埋污染控制标准》（GB18599-2020）、《危险废物贮存污染控制标准》（GB18597-2023）进行控制</w:t>
            </w:r>
          </w:p>
        </w:tc>
        <w:tc>
          <w:tcPr>
            <w:tcW w:w="661" w:type="pct"/>
            <w:vAlign w:val="center"/>
          </w:tcPr>
          <w:p w14:paraId="56FD400B">
            <w:pPr>
              <w:pStyle w:val="75"/>
              <w:jc w:val="left"/>
            </w:pPr>
            <w:r>
              <w:rPr>
                <w:rFonts w:hint="eastAsia"/>
              </w:rPr>
              <w:t>厂区及周围环境</w:t>
            </w:r>
          </w:p>
        </w:tc>
      </w:tr>
    </w:tbl>
    <w:p w14:paraId="6ECEB7D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57" w:name="_Toc11049"/>
      <w:bookmarkStart w:id="158" w:name="_Toc32121"/>
      <w:bookmarkStart w:id="159" w:name="_Toc51319850"/>
      <w:r>
        <w:rPr>
          <w:rFonts w:hint="eastAsia" w:ascii="Times New Roman" w:hAnsi="Times New Roman" w:eastAsia="宋体" w:cs="Times New Roman"/>
          <w:lang w:val="en-US" w:eastAsia="zh-CN"/>
        </w:rPr>
        <w:t>2.7环境敏感点概述</w:t>
      </w:r>
      <w:bookmarkEnd w:id="148"/>
      <w:bookmarkEnd w:id="157"/>
      <w:bookmarkEnd w:id="158"/>
      <w:bookmarkEnd w:id="159"/>
    </w:p>
    <w:p w14:paraId="6670DF4A">
      <w:pPr>
        <w:ind w:firstLine="480"/>
      </w:pPr>
      <w:bookmarkStart w:id="160" w:name="_Toc429318386"/>
      <w:r>
        <w:rPr>
          <w:rFonts w:hint="eastAsia"/>
        </w:rPr>
        <w:t>1、本项目环境空气、地表水、地下水、土壤和声环境敏感点示意图见下图。</w:t>
      </w:r>
    </w:p>
    <w:p w14:paraId="61DADEC9">
      <w:pPr>
        <w:pStyle w:val="78"/>
        <w:rPr>
          <w:rFonts w:hint="eastAsia" w:eastAsia="宋体"/>
          <w:lang w:eastAsia="zh-CN"/>
        </w:rPr>
      </w:pPr>
      <w:r>
        <w:drawing>
          <wp:inline distT="0" distB="0" distL="114300" distR="114300">
            <wp:extent cx="4674235" cy="4716145"/>
            <wp:effectExtent l="0" t="0" r="12065" b="8255"/>
            <wp:docPr id="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7"/>
                    <pic:cNvPicPr>
                      <a:picLocks noChangeAspect="1"/>
                    </pic:cNvPicPr>
                  </pic:nvPicPr>
                  <pic:blipFill>
                    <a:blip r:embed="rId16"/>
                    <a:stretch>
                      <a:fillRect/>
                    </a:stretch>
                  </pic:blipFill>
                  <pic:spPr>
                    <a:xfrm>
                      <a:off x="0" y="0"/>
                      <a:ext cx="4674235" cy="4716145"/>
                    </a:xfrm>
                    <a:prstGeom prst="rect">
                      <a:avLst/>
                    </a:prstGeom>
                    <a:noFill/>
                    <a:ln>
                      <a:noFill/>
                    </a:ln>
                  </pic:spPr>
                </pic:pic>
              </a:graphicData>
            </a:graphic>
          </wp:inline>
        </w:drawing>
      </w:r>
    </w:p>
    <w:p w14:paraId="3E636283">
      <w:pPr>
        <w:pStyle w:val="78"/>
        <w:rPr>
          <w:rFonts w:eastAsia="黑体"/>
        </w:rPr>
      </w:pPr>
      <w:r>
        <w:t>图2</w:t>
      </w:r>
      <w:r>
        <w:rPr>
          <w:rFonts w:hint="eastAsia"/>
          <w:lang w:val="en-US" w:eastAsia="zh-CN"/>
        </w:rPr>
        <w:t>.7</w:t>
      </w:r>
      <w:r>
        <w:t>-1    本项目周围环境敏感点示意图</w:t>
      </w:r>
    </w:p>
    <w:p w14:paraId="05C7229F">
      <w:pPr>
        <w:ind w:firstLine="480"/>
      </w:pPr>
      <w:r>
        <w:rPr>
          <w:rFonts w:hint="eastAsia"/>
        </w:rPr>
        <w:t>上图中各编号对应的环境敏感保护目标名称及其与厂界的距离、方位见下表。</w:t>
      </w:r>
    </w:p>
    <w:p w14:paraId="11EFBA7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2.7-1</w:t>
      </w:r>
      <w:r>
        <w:rPr>
          <w:rFonts w:hint="eastAsia"/>
        </w:rPr>
        <w:t xml:space="preserve">   </w:t>
      </w:r>
      <w:r>
        <w:rPr>
          <w:rFonts w:hint="eastAsia"/>
          <w:lang w:val="en-US" w:eastAsia="zh-CN"/>
        </w:rPr>
        <w:t xml:space="preserve">  </w:t>
      </w:r>
      <w:r>
        <w:rPr>
          <w:rFonts w:hint="eastAsia"/>
        </w:rPr>
        <w:t>评价区域敏感点情况</w:t>
      </w:r>
    </w:p>
    <w:tbl>
      <w:tblPr>
        <w:tblStyle w:val="39"/>
        <w:tblW w:w="499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6"/>
        <w:gridCol w:w="861"/>
        <w:gridCol w:w="1337"/>
        <w:gridCol w:w="765"/>
        <w:gridCol w:w="750"/>
        <w:gridCol w:w="930"/>
        <w:gridCol w:w="885"/>
        <w:gridCol w:w="811"/>
        <w:gridCol w:w="791"/>
        <w:gridCol w:w="902"/>
      </w:tblGrid>
      <w:tr w14:paraId="4A6430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85" w:type="pct"/>
            <w:vMerge w:val="restart"/>
            <w:vAlign w:val="center"/>
          </w:tcPr>
          <w:p w14:paraId="59C467E4">
            <w:pPr>
              <w:pStyle w:val="81"/>
              <w:rPr>
                <w:color w:val="auto"/>
              </w:rPr>
            </w:pPr>
            <w:r>
              <w:rPr>
                <w:rFonts w:hint="eastAsia"/>
                <w:color w:val="auto"/>
              </w:rPr>
              <w:t>编号</w:t>
            </w:r>
          </w:p>
        </w:tc>
        <w:tc>
          <w:tcPr>
            <w:tcW w:w="505" w:type="pct"/>
            <w:vMerge w:val="restart"/>
            <w:vAlign w:val="center"/>
          </w:tcPr>
          <w:p w14:paraId="1A6FB4F8">
            <w:pPr>
              <w:pStyle w:val="81"/>
              <w:rPr>
                <w:color w:val="auto"/>
              </w:rPr>
            </w:pPr>
            <w:r>
              <w:rPr>
                <w:rFonts w:hint="eastAsia"/>
                <w:color w:val="auto"/>
              </w:rPr>
              <w:t>类别</w:t>
            </w:r>
          </w:p>
        </w:tc>
        <w:tc>
          <w:tcPr>
            <w:tcW w:w="784" w:type="pct"/>
            <w:vMerge w:val="restart"/>
            <w:vAlign w:val="center"/>
          </w:tcPr>
          <w:p w14:paraId="41F678DB">
            <w:pPr>
              <w:pStyle w:val="81"/>
              <w:rPr>
                <w:color w:val="auto"/>
              </w:rPr>
            </w:pPr>
            <w:r>
              <w:rPr>
                <w:color w:val="auto"/>
              </w:rPr>
              <w:t>保护目标</w:t>
            </w:r>
          </w:p>
        </w:tc>
        <w:tc>
          <w:tcPr>
            <w:tcW w:w="889" w:type="pct"/>
            <w:gridSpan w:val="2"/>
            <w:vAlign w:val="center"/>
          </w:tcPr>
          <w:p w14:paraId="62EBF148">
            <w:pPr>
              <w:pStyle w:val="81"/>
              <w:rPr>
                <w:color w:val="auto"/>
              </w:rPr>
            </w:pPr>
            <w:r>
              <w:rPr>
                <w:rFonts w:hint="eastAsia"/>
                <w:color w:val="auto"/>
              </w:rPr>
              <w:t>相对坐标(m</w:t>
            </w:r>
            <w:r>
              <w:rPr>
                <w:color w:val="auto"/>
              </w:rPr>
              <w:t xml:space="preserve">) </w:t>
            </w:r>
          </w:p>
        </w:tc>
        <w:tc>
          <w:tcPr>
            <w:tcW w:w="545" w:type="pct"/>
            <w:vMerge w:val="restart"/>
            <w:vAlign w:val="center"/>
          </w:tcPr>
          <w:p w14:paraId="40D726E3">
            <w:pPr>
              <w:pStyle w:val="81"/>
              <w:rPr>
                <w:rFonts w:hint="eastAsia"/>
                <w:color w:val="auto"/>
              </w:rPr>
            </w:pPr>
            <w:r>
              <w:rPr>
                <w:rFonts w:hint="eastAsia"/>
                <w:color w:val="auto"/>
              </w:rPr>
              <w:t>保护</w:t>
            </w:r>
          </w:p>
          <w:p w14:paraId="10997EC8">
            <w:pPr>
              <w:pStyle w:val="81"/>
              <w:rPr>
                <w:color w:val="auto"/>
              </w:rPr>
            </w:pPr>
            <w:r>
              <w:rPr>
                <w:rFonts w:hint="eastAsia"/>
                <w:color w:val="auto"/>
              </w:rPr>
              <w:t>对象</w:t>
            </w:r>
          </w:p>
        </w:tc>
        <w:tc>
          <w:tcPr>
            <w:tcW w:w="519" w:type="pct"/>
            <w:vMerge w:val="restart"/>
            <w:vAlign w:val="center"/>
          </w:tcPr>
          <w:p w14:paraId="72DD61A0">
            <w:pPr>
              <w:pStyle w:val="81"/>
              <w:rPr>
                <w:rFonts w:hint="eastAsia"/>
                <w:color w:val="auto"/>
              </w:rPr>
            </w:pPr>
            <w:r>
              <w:rPr>
                <w:rFonts w:hint="eastAsia"/>
                <w:color w:val="auto"/>
              </w:rPr>
              <w:t>保护</w:t>
            </w:r>
          </w:p>
          <w:p w14:paraId="3820161D">
            <w:pPr>
              <w:pStyle w:val="81"/>
              <w:rPr>
                <w:color w:val="auto"/>
              </w:rPr>
            </w:pPr>
            <w:r>
              <w:rPr>
                <w:rFonts w:hint="eastAsia"/>
                <w:color w:val="auto"/>
              </w:rPr>
              <w:t>内容</w:t>
            </w:r>
          </w:p>
        </w:tc>
        <w:tc>
          <w:tcPr>
            <w:tcW w:w="476" w:type="pct"/>
            <w:vMerge w:val="restart"/>
            <w:vAlign w:val="center"/>
          </w:tcPr>
          <w:p w14:paraId="1E58CC2B">
            <w:pPr>
              <w:pStyle w:val="81"/>
              <w:rPr>
                <w:color w:val="auto"/>
              </w:rPr>
            </w:pPr>
            <w:r>
              <w:rPr>
                <w:color w:val="auto"/>
              </w:rPr>
              <w:t>相对方位</w:t>
            </w:r>
          </w:p>
        </w:tc>
        <w:tc>
          <w:tcPr>
            <w:tcW w:w="464" w:type="pct"/>
            <w:vMerge w:val="restart"/>
            <w:vAlign w:val="center"/>
          </w:tcPr>
          <w:p w14:paraId="4452BD9E">
            <w:pPr>
              <w:pStyle w:val="81"/>
              <w:rPr>
                <w:color w:val="auto"/>
              </w:rPr>
            </w:pPr>
            <w:r>
              <w:rPr>
                <w:rFonts w:hint="eastAsia"/>
                <w:color w:val="auto"/>
              </w:rPr>
              <w:t>厂界距离(</w:t>
            </w:r>
            <w:r>
              <w:rPr>
                <w:color w:val="auto"/>
              </w:rPr>
              <w:t>m)</w:t>
            </w:r>
          </w:p>
        </w:tc>
        <w:tc>
          <w:tcPr>
            <w:tcW w:w="529" w:type="pct"/>
            <w:vMerge w:val="restart"/>
            <w:vAlign w:val="center"/>
          </w:tcPr>
          <w:p w14:paraId="7F0C998E">
            <w:pPr>
              <w:pStyle w:val="81"/>
              <w:rPr>
                <w:color w:val="auto"/>
              </w:rPr>
            </w:pPr>
            <w:r>
              <w:rPr>
                <w:rFonts w:hint="eastAsia"/>
                <w:color w:val="auto"/>
              </w:rPr>
              <w:t>人口数</w:t>
            </w:r>
          </w:p>
        </w:tc>
      </w:tr>
      <w:tr w14:paraId="4BCAE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85" w:type="pct"/>
            <w:vMerge w:val="continue"/>
            <w:vAlign w:val="center"/>
          </w:tcPr>
          <w:p w14:paraId="5065CEE0">
            <w:pPr>
              <w:pStyle w:val="81"/>
              <w:rPr>
                <w:color w:val="auto"/>
              </w:rPr>
            </w:pPr>
          </w:p>
        </w:tc>
        <w:tc>
          <w:tcPr>
            <w:tcW w:w="505" w:type="pct"/>
            <w:vMerge w:val="continue"/>
            <w:vAlign w:val="center"/>
          </w:tcPr>
          <w:p w14:paraId="5A1032D0">
            <w:pPr>
              <w:pStyle w:val="81"/>
              <w:rPr>
                <w:color w:val="auto"/>
              </w:rPr>
            </w:pPr>
          </w:p>
        </w:tc>
        <w:tc>
          <w:tcPr>
            <w:tcW w:w="784" w:type="pct"/>
            <w:vMerge w:val="continue"/>
            <w:vAlign w:val="center"/>
          </w:tcPr>
          <w:p w14:paraId="03E5569D">
            <w:pPr>
              <w:pStyle w:val="81"/>
              <w:rPr>
                <w:color w:val="auto"/>
              </w:rPr>
            </w:pPr>
          </w:p>
        </w:tc>
        <w:tc>
          <w:tcPr>
            <w:tcW w:w="449" w:type="pct"/>
            <w:vAlign w:val="center"/>
          </w:tcPr>
          <w:p w14:paraId="2CEF63CB">
            <w:pPr>
              <w:pStyle w:val="81"/>
              <w:rPr>
                <w:color w:val="auto"/>
              </w:rPr>
            </w:pPr>
            <w:r>
              <w:rPr>
                <w:rFonts w:hint="eastAsia"/>
                <w:color w:val="auto"/>
              </w:rPr>
              <w:t>X</w:t>
            </w:r>
          </w:p>
        </w:tc>
        <w:tc>
          <w:tcPr>
            <w:tcW w:w="440" w:type="pct"/>
            <w:vAlign w:val="center"/>
          </w:tcPr>
          <w:p w14:paraId="6F1F5FAE">
            <w:pPr>
              <w:pStyle w:val="81"/>
              <w:rPr>
                <w:color w:val="auto"/>
              </w:rPr>
            </w:pPr>
            <w:r>
              <w:rPr>
                <w:rFonts w:hint="eastAsia"/>
                <w:color w:val="auto"/>
              </w:rPr>
              <w:t>Y</w:t>
            </w:r>
          </w:p>
        </w:tc>
        <w:tc>
          <w:tcPr>
            <w:tcW w:w="545" w:type="pct"/>
            <w:vMerge w:val="continue"/>
            <w:vAlign w:val="center"/>
          </w:tcPr>
          <w:p w14:paraId="6DD75046">
            <w:pPr>
              <w:pStyle w:val="75"/>
            </w:pPr>
          </w:p>
        </w:tc>
        <w:tc>
          <w:tcPr>
            <w:tcW w:w="519" w:type="pct"/>
            <w:vMerge w:val="continue"/>
            <w:vAlign w:val="center"/>
          </w:tcPr>
          <w:p w14:paraId="1DB9BE47">
            <w:pPr>
              <w:pStyle w:val="75"/>
            </w:pPr>
          </w:p>
        </w:tc>
        <w:tc>
          <w:tcPr>
            <w:tcW w:w="476" w:type="pct"/>
            <w:vMerge w:val="continue"/>
            <w:vAlign w:val="center"/>
          </w:tcPr>
          <w:p w14:paraId="42A1748D">
            <w:pPr>
              <w:pStyle w:val="75"/>
            </w:pPr>
          </w:p>
        </w:tc>
        <w:tc>
          <w:tcPr>
            <w:tcW w:w="464" w:type="pct"/>
            <w:vMerge w:val="continue"/>
            <w:vAlign w:val="center"/>
          </w:tcPr>
          <w:p w14:paraId="48443A86">
            <w:pPr>
              <w:pStyle w:val="75"/>
            </w:pPr>
          </w:p>
        </w:tc>
        <w:tc>
          <w:tcPr>
            <w:tcW w:w="529" w:type="pct"/>
            <w:vMerge w:val="continue"/>
            <w:vAlign w:val="center"/>
          </w:tcPr>
          <w:p w14:paraId="3A6B79E9">
            <w:pPr>
              <w:pStyle w:val="75"/>
            </w:pPr>
          </w:p>
        </w:tc>
      </w:tr>
      <w:tr w14:paraId="187FC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4EB8745B">
            <w:pPr>
              <w:pStyle w:val="75"/>
            </w:pPr>
            <w:r>
              <w:t>1</w:t>
            </w:r>
          </w:p>
        </w:tc>
        <w:tc>
          <w:tcPr>
            <w:tcW w:w="505" w:type="pct"/>
            <w:vMerge w:val="restart"/>
            <w:vAlign w:val="center"/>
          </w:tcPr>
          <w:p w14:paraId="220DA534">
            <w:pPr>
              <w:pStyle w:val="75"/>
              <w:rPr>
                <w:rFonts w:hint="eastAsia"/>
              </w:rPr>
            </w:pPr>
            <w:r>
              <w:rPr>
                <w:rFonts w:hint="eastAsia"/>
              </w:rPr>
              <w:t>环境</w:t>
            </w:r>
          </w:p>
          <w:p w14:paraId="6AA99884">
            <w:pPr>
              <w:pStyle w:val="75"/>
            </w:pPr>
            <w:r>
              <w:rPr>
                <w:rFonts w:hint="eastAsia"/>
              </w:rPr>
              <w:t>空气</w:t>
            </w:r>
          </w:p>
        </w:tc>
        <w:tc>
          <w:tcPr>
            <w:tcW w:w="784" w:type="pct"/>
            <w:vAlign w:val="center"/>
          </w:tcPr>
          <w:p w14:paraId="0E3EB88C">
            <w:pPr>
              <w:pStyle w:val="75"/>
              <w:rPr>
                <w:rFonts w:hint="eastAsia" w:eastAsia="宋体"/>
                <w:lang w:val="en-US" w:eastAsia="zh-CN"/>
              </w:rPr>
            </w:pPr>
            <w:r>
              <w:rPr>
                <w:rFonts w:hint="eastAsia"/>
                <w:lang w:val="en-US" w:eastAsia="zh-CN"/>
              </w:rPr>
              <w:t>前李村</w:t>
            </w:r>
          </w:p>
        </w:tc>
        <w:tc>
          <w:tcPr>
            <w:tcW w:w="449" w:type="pct"/>
            <w:vAlign w:val="center"/>
          </w:tcPr>
          <w:p w14:paraId="15515B18">
            <w:pPr>
              <w:pStyle w:val="75"/>
              <w:rPr>
                <w:rFonts w:hint="default" w:eastAsia="宋体"/>
                <w:lang w:val="en-US" w:eastAsia="zh-CN"/>
              </w:rPr>
            </w:pPr>
            <w:r>
              <w:rPr>
                <w:rFonts w:hint="eastAsia"/>
                <w:lang w:val="en-US" w:eastAsia="zh-CN"/>
              </w:rPr>
              <w:t>0</w:t>
            </w:r>
          </w:p>
        </w:tc>
        <w:tc>
          <w:tcPr>
            <w:tcW w:w="440" w:type="pct"/>
            <w:vAlign w:val="center"/>
          </w:tcPr>
          <w:p w14:paraId="450A0048">
            <w:pPr>
              <w:pStyle w:val="75"/>
              <w:rPr>
                <w:rFonts w:hint="default" w:eastAsia="宋体"/>
                <w:lang w:val="en-US" w:eastAsia="zh-CN"/>
              </w:rPr>
            </w:pPr>
            <w:r>
              <w:rPr>
                <w:rFonts w:hint="eastAsia"/>
                <w:lang w:val="en-US" w:eastAsia="zh-CN"/>
              </w:rPr>
              <w:t>404</w:t>
            </w:r>
          </w:p>
        </w:tc>
        <w:tc>
          <w:tcPr>
            <w:tcW w:w="545" w:type="pct"/>
            <w:vAlign w:val="center"/>
          </w:tcPr>
          <w:p w14:paraId="0CBFAAFB">
            <w:pPr>
              <w:pStyle w:val="75"/>
            </w:pPr>
            <w:r>
              <w:rPr>
                <w:rFonts w:hint="eastAsia"/>
              </w:rPr>
              <w:t>居民区</w:t>
            </w:r>
          </w:p>
        </w:tc>
        <w:tc>
          <w:tcPr>
            <w:tcW w:w="519" w:type="pct"/>
            <w:vAlign w:val="center"/>
          </w:tcPr>
          <w:p w14:paraId="3423B0EE">
            <w:pPr>
              <w:pStyle w:val="75"/>
            </w:pPr>
            <w:r>
              <w:rPr>
                <w:rFonts w:hint="eastAsia"/>
              </w:rPr>
              <w:t>居民</w:t>
            </w:r>
          </w:p>
        </w:tc>
        <w:tc>
          <w:tcPr>
            <w:tcW w:w="476" w:type="pct"/>
            <w:vAlign w:val="center"/>
          </w:tcPr>
          <w:p w14:paraId="4424309C">
            <w:pPr>
              <w:pStyle w:val="75"/>
              <w:rPr>
                <w:rFonts w:hint="eastAsia" w:eastAsia="宋体"/>
                <w:lang w:val="en-US" w:eastAsia="zh-CN"/>
              </w:rPr>
            </w:pPr>
            <w:r>
              <w:rPr>
                <w:rFonts w:hint="eastAsia"/>
                <w:lang w:val="en-US" w:eastAsia="zh-CN"/>
              </w:rPr>
              <w:t>东北</w:t>
            </w:r>
          </w:p>
        </w:tc>
        <w:tc>
          <w:tcPr>
            <w:tcW w:w="464" w:type="pct"/>
            <w:vAlign w:val="center"/>
          </w:tcPr>
          <w:p w14:paraId="1AA91D24">
            <w:pPr>
              <w:pStyle w:val="75"/>
              <w:rPr>
                <w:rFonts w:hint="default" w:eastAsia="宋体"/>
                <w:lang w:val="en-US" w:eastAsia="zh-CN"/>
              </w:rPr>
            </w:pPr>
            <w:r>
              <w:rPr>
                <w:rFonts w:hint="eastAsia"/>
                <w:lang w:val="en-US" w:eastAsia="zh-CN"/>
              </w:rPr>
              <w:t>300</w:t>
            </w:r>
          </w:p>
        </w:tc>
        <w:tc>
          <w:tcPr>
            <w:tcW w:w="529" w:type="pct"/>
            <w:vAlign w:val="center"/>
          </w:tcPr>
          <w:p w14:paraId="05DA0648">
            <w:pPr>
              <w:pStyle w:val="75"/>
              <w:rPr>
                <w:rFonts w:hint="default" w:eastAsia="宋体"/>
                <w:lang w:val="en-US" w:eastAsia="zh-CN"/>
              </w:rPr>
            </w:pPr>
            <w:r>
              <w:rPr>
                <w:rFonts w:hint="eastAsia"/>
                <w:lang w:val="en-US" w:eastAsia="zh-CN"/>
              </w:rPr>
              <w:t>940</w:t>
            </w:r>
          </w:p>
        </w:tc>
      </w:tr>
      <w:tr w14:paraId="2C054F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42D3AC44">
            <w:pPr>
              <w:pStyle w:val="75"/>
            </w:pPr>
            <w:r>
              <w:t>2</w:t>
            </w:r>
          </w:p>
        </w:tc>
        <w:tc>
          <w:tcPr>
            <w:tcW w:w="505" w:type="pct"/>
            <w:vMerge w:val="continue"/>
            <w:vAlign w:val="center"/>
          </w:tcPr>
          <w:p w14:paraId="6DE1DD58">
            <w:pPr>
              <w:pStyle w:val="75"/>
            </w:pPr>
          </w:p>
        </w:tc>
        <w:tc>
          <w:tcPr>
            <w:tcW w:w="784" w:type="pct"/>
            <w:vAlign w:val="center"/>
          </w:tcPr>
          <w:p w14:paraId="08208BED">
            <w:pPr>
              <w:pStyle w:val="75"/>
              <w:rPr>
                <w:rFonts w:hint="eastAsia" w:eastAsia="宋体"/>
                <w:lang w:val="en-US" w:eastAsia="zh-CN"/>
              </w:rPr>
            </w:pPr>
            <w:r>
              <w:rPr>
                <w:rFonts w:hint="eastAsia"/>
                <w:lang w:val="en-US" w:eastAsia="zh-CN"/>
              </w:rPr>
              <w:t>后李村</w:t>
            </w:r>
          </w:p>
        </w:tc>
        <w:tc>
          <w:tcPr>
            <w:tcW w:w="449" w:type="pct"/>
            <w:vAlign w:val="center"/>
          </w:tcPr>
          <w:p w14:paraId="5CC40B9F">
            <w:pPr>
              <w:pStyle w:val="75"/>
              <w:rPr>
                <w:rFonts w:hint="default" w:eastAsia="宋体"/>
                <w:lang w:val="en-US" w:eastAsia="zh-CN"/>
              </w:rPr>
            </w:pPr>
            <w:r>
              <w:rPr>
                <w:rFonts w:hint="eastAsia"/>
                <w:lang w:val="en-US" w:eastAsia="zh-CN"/>
              </w:rPr>
              <w:t>0</w:t>
            </w:r>
          </w:p>
        </w:tc>
        <w:tc>
          <w:tcPr>
            <w:tcW w:w="440" w:type="pct"/>
            <w:vAlign w:val="center"/>
          </w:tcPr>
          <w:p w14:paraId="6386FFAA">
            <w:pPr>
              <w:pStyle w:val="75"/>
              <w:rPr>
                <w:rFonts w:hint="default" w:eastAsia="宋体"/>
                <w:lang w:val="en-US" w:eastAsia="zh-CN"/>
              </w:rPr>
            </w:pPr>
            <w:r>
              <w:rPr>
                <w:rFonts w:hint="eastAsia"/>
                <w:lang w:val="en-US" w:eastAsia="zh-CN"/>
              </w:rPr>
              <w:t>881</w:t>
            </w:r>
          </w:p>
        </w:tc>
        <w:tc>
          <w:tcPr>
            <w:tcW w:w="545" w:type="pct"/>
            <w:vAlign w:val="center"/>
          </w:tcPr>
          <w:p w14:paraId="2319F017">
            <w:pPr>
              <w:pStyle w:val="75"/>
            </w:pPr>
            <w:r>
              <w:rPr>
                <w:rFonts w:hint="eastAsia"/>
              </w:rPr>
              <w:t>居民区</w:t>
            </w:r>
          </w:p>
        </w:tc>
        <w:tc>
          <w:tcPr>
            <w:tcW w:w="519" w:type="pct"/>
            <w:vAlign w:val="center"/>
          </w:tcPr>
          <w:p w14:paraId="074EF361">
            <w:pPr>
              <w:pStyle w:val="75"/>
            </w:pPr>
            <w:r>
              <w:rPr>
                <w:rFonts w:hint="eastAsia"/>
              </w:rPr>
              <w:t>居民</w:t>
            </w:r>
          </w:p>
        </w:tc>
        <w:tc>
          <w:tcPr>
            <w:tcW w:w="476" w:type="pct"/>
            <w:vAlign w:val="center"/>
          </w:tcPr>
          <w:p w14:paraId="46498C95">
            <w:pPr>
              <w:pStyle w:val="75"/>
            </w:pPr>
            <w:r>
              <w:rPr>
                <w:rFonts w:hint="eastAsia"/>
                <w:lang w:val="en-US" w:eastAsia="zh-CN"/>
              </w:rPr>
              <w:t>东北</w:t>
            </w:r>
          </w:p>
        </w:tc>
        <w:tc>
          <w:tcPr>
            <w:tcW w:w="464" w:type="pct"/>
            <w:vAlign w:val="center"/>
          </w:tcPr>
          <w:p w14:paraId="43EDE3D4">
            <w:pPr>
              <w:pStyle w:val="75"/>
              <w:rPr>
                <w:rFonts w:hint="default" w:eastAsia="宋体"/>
                <w:lang w:val="en-US" w:eastAsia="zh-CN"/>
              </w:rPr>
            </w:pPr>
            <w:r>
              <w:rPr>
                <w:rFonts w:hint="eastAsia"/>
                <w:lang w:val="en-US" w:eastAsia="zh-CN"/>
              </w:rPr>
              <w:t>800</w:t>
            </w:r>
          </w:p>
        </w:tc>
        <w:tc>
          <w:tcPr>
            <w:tcW w:w="529" w:type="pct"/>
            <w:vAlign w:val="center"/>
          </w:tcPr>
          <w:p w14:paraId="547D5EA2">
            <w:pPr>
              <w:pStyle w:val="75"/>
              <w:rPr>
                <w:rFonts w:hint="default" w:eastAsia="宋体"/>
                <w:lang w:val="en-US" w:eastAsia="zh-CN"/>
              </w:rPr>
            </w:pPr>
            <w:r>
              <w:rPr>
                <w:rFonts w:hint="eastAsia"/>
                <w:lang w:val="en-US" w:eastAsia="zh-CN"/>
              </w:rPr>
              <w:t>230</w:t>
            </w:r>
          </w:p>
        </w:tc>
      </w:tr>
      <w:tr w14:paraId="11BF94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766B0B7D">
            <w:pPr>
              <w:pStyle w:val="75"/>
            </w:pPr>
            <w:r>
              <w:t>3</w:t>
            </w:r>
          </w:p>
        </w:tc>
        <w:tc>
          <w:tcPr>
            <w:tcW w:w="505" w:type="pct"/>
            <w:vMerge w:val="continue"/>
            <w:vAlign w:val="center"/>
          </w:tcPr>
          <w:p w14:paraId="1651DAAD">
            <w:pPr>
              <w:pStyle w:val="75"/>
            </w:pPr>
          </w:p>
        </w:tc>
        <w:tc>
          <w:tcPr>
            <w:tcW w:w="784" w:type="pct"/>
            <w:vAlign w:val="center"/>
          </w:tcPr>
          <w:p w14:paraId="217DA798">
            <w:pPr>
              <w:pStyle w:val="75"/>
              <w:rPr>
                <w:rFonts w:hint="default" w:eastAsia="宋体"/>
                <w:lang w:val="en-US" w:eastAsia="zh-CN"/>
              </w:rPr>
            </w:pPr>
            <w:r>
              <w:rPr>
                <w:rFonts w:hint="eastAsia"/>
                <w:lang w:val="en-US" w:eastAsia="zh-CN"/>
              </w:rPr>
              <w:t>前寺庄村</w:t>
            </w:r>
          </w:p>
        </w:tc>
        <w:tc>
          <w:tcPr>
            <w:tcW w:w="449" w:type="pct"/>
            <w:vAlign w:val="center"/>
          </w:tcPr>
          <w:p w14:paraId="7EB5B0AA">
            <w:pPr>
              <w:pStyle w:val="75"/>
              <w:rPr>
                <w:rFonts w:hint="default" w:eastAsia="宋体"/>
                <w:lang w:val="en-US" w:eastAsia="zh-CN"/>
              </w:rPr>
            </w:pPr>
            <w:r>
              <w:rPr>
                <w:rFonts w:hint="eastAsia"/>
                <w:lang w:val="en-US" w:eastAsia="zh-CN"/>
              </w:rPr>
              <w:t>1356</w:t>
            </w:r>
          </w:p>
        </w:tc>
        <w:tc>
          <w:tcPr>
            <w:tcW w:w="440" w:type="pct"/>
            <w:vAlign w:val="center"/>
          </w:tcPr>
          <w:p w14:paraId="4CD75B9B">
            <w:pPr>
              <w:pStyle w:val="75"/>
              <w:rPr>
                <w:rFonts w:hint="default" w:eastAsia="宋体"/>
                <w:lang w:val="en-US" w:eastAsia="zh-CN"/>
              </w:rPr>
            </w:pPr>
            <w:r>
              <w:rPr>
                <w:rFonts w:hint="eastAsia"/>
                <w:lang w:val="en-US" w:eastAsia="zh-CN"/>
              </w:rPr>
              <w:t>1052</w:t>
            </w:r>
          </w:p>
        </w:tc>
        <w:tc>
          <w:tcPr>
            <w:tcW w:w="545" w:type="pct"/>
            <w:vAlign w:val="center"/>
          </w:tcPr>
          <w:p w14:paraId="5D2E666B">
            <w:pPr>
              <w:pStyle w:val="75"/>
            </w:pPr>
            <w:r>
              <w:rPr>
                <w:rFonts w:hint="eastAsia"/>
              </w:rPr>
              <w:t>居民区</w:t>
            </w:r>
          </w:p>
        </w:tc>
        <w:tc>
          <w:tcPr>
            <w:tcW w:w="519" w:type="pct"/>
            <w:vAlign w:val="center"/>
          </w:tcPr>
          <w:p w14:paraId="52F61DF8">
            <w:pPr>
              <w:pStyle w:val="75"/>
            </w:pPr>
            <w:r>
              <w:rPr>
                <w:rFonts w:hint="eastAsia"/>
              </w:rPr>
              <w:t>居民</w:t>
            </w:r>
          </w:p>
        </w:tc>
        <w:tc>
          <w:tcPr>
            <w:tcW w:w="476" w:type="pct"/>
            <w:vAlign w:val="center"/>
          </w:tcPr>
          <w:p w14:paraId="41ACE5ED">
            <w:pPr>
              <w:ind w:left="0" w:leftChars="0" w:firstLine="0" w:firstLineChars="0"/>
              <w:jc w:val="center"/>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东北</w:t>
            </w:r>
          </w:p>
        </w:tc>
        <w:tc>
          <w:tcPr>
            <w:tcW w:w="464" w:type="pct"/>
            <w:vAlign w:val="center"/>
          </w:tcPr>
          <w:p w14:paraId="787FE38A">
            <w:pPr>
              <w:pStyle w:val="75"/>
              <w:rPr>
                <w:rFonts w:hint="default" w:eastAsia="宋体"/>
                <w:lang w:val="en-US" w:eastAsia="zh-CN"/>
              </w:rPr>
            </w:pPr>
            <w:r>
              <w:rPr>
                <w:rFonts w:hint="eastAsia"/>
                <w:lang w:val="en-US" w:eastAsia="zh-CN"/>
              </w:rPr>
              <w:t>1640</w:t>
            </w:r>
          </w:p>
        </w:tc>
        <w:tc>
          <w:tcPr>
            <w:tcW w:w="529" w:type="pct"/>
            <w:vAlign w:val="center"/>
          </w:tcPr>
          <w:p w14:paraId="7A04CCB9">
            <w:pPr>
              <w:pStyle w:val="75"/>
              <w:rPr>
                <w:rFonts w:hint="default" w:eastAsia="宋体"/>
                <w:lang w:val="en-US" w:eastAsia="zh-CN"/>
              </w:rPr>
            </w:pPr>
            <w:r>
              <w:rPr>
                <w:rFonts w:hint="eastAsia"/>
                <w:lang w:val="en-US" w:eastAsia="zh-CN"/>
              </w:rPr>
              <w:t>1076</w:t>
            </w:r>
          </w:p>
        </w:tc>
      </w:tr>
      <w:tr w14:paraId="5838FA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61A87C9B">
            <w:pPr>
              <w:pStyle w:val="75"/>
            </w:pPr>
            <w:r>
              <w:t>4</w:t>
            </w:r>
          </w:p>
        </w:tc>
        <w:tc>
          <w:tcPr>
            <w:tcW w:w="505" w:type="pct"/>
            <w:vMerge w:val="continue"/>
            <w:vAlign w:val="center"/>
          </w:tcPr>
          <w:p w14:paraId="649EB5E8">
            <w:pPr>
              <w:pStyle w:val="75"/>
            </w:pPr>
          </w:p>
        </w:tc>
        <w:tc>
          <w:tcPr>
            <w:tcW w:w="784" w:type="pct"/>
            <w:vAlign w:val="center"/>
          </w:tcPr>
          <w:p w14:paraId="4ABB3177">
            <w:pPr>
              <w:pStyle w:val="75"/>
              <w:rPr>
                <w:rFonts w:hint="default" w:eastAsia="宋体"/>
                <w:lang w:val="en-US" w:eastAsia="zh-CN"/>
              </w:rPr>
            </w:pPr>
            <w:r>
              <w:rPr>
                <w:rFonts w:hint="eastAsia"/>
                <w:lang w:val="en-US" w:eastAsia="zh-CN"/>
              </w:rPr>
              <w:t>后寺庄村</w:t>
            </w:r>
          </w:p>
        </w:tc>
        <w:tc>
          <w:tcPr>
            <w:tcW w:w="449" w:type="pct"/>
            <w:vAlign w:val="center"/>
          </w:tcPr>
          <w:p w14:paraId="64D2426B">
            <w:pPr>
              <w:pStyle w:val="75"/>
              <w:rPr>
                <w:rFonts w:hint="default" w:eastAsia="宋体"/>
                <w:lang w:val="en-US" w:eastAsia="zh-CN"/>
              </w:rPr>
            </w:pPr>
            <w:r>
              <w:rPr>
                <w:rFonts w:hint="eastAsia"/>
                <w:lang w:val="en-US" w:eastAsia="zh-CN"/>
              </w:rPr>
              <w:t>1605</w:t>
            </w:r>
          </w:p>
        </w:tc>
        <w:tc>
          <w:tcPr>
            <w:tcW w:w="440" w:type="pct"/>
            <w:vAlign w:val="center"/>
          </w:tcPr>
          <w:p w14:paraId="411A1D01">
            <w:pPr>
              <w:pStyle w:val="75"/>
              <w:rPr>
                <w:rFonts w:hint="default" w:eastAsia="宋体"/>
                <w:lang w:val="en-US" w:eastAsia="zh-CN"/>
              </w:rPr>
            </w:pPr>
            <w:r>
              <w:rPr>
                <w:rFonts w:hint="eastAsia"/>
                <w:lang w:val="en-US" w:eastAsia="zh-CN"/>
              </w:rPr>
              <w:t>1469</w:t>
            </w:r>
          </w:p>
        </w:tc>
        <w:tc>
          <w:tcPr>
            <w:tcW w:w="545" w:type="pct"/>
            <w:vAlign w:val="center"/>
          </w:tcPr>
          <w:p w14:paraId="7AAA21F7">
            <w:pPr>
              <w:pStyle w:val="75"/>
            </w:pPr>
            <w:r>
              <w:rPr>
                <w:rFonts w:hint="eastAsia"/>
              </w:rPr>
              <w:t>居民区</w:t>
            </w:r>
          </w:p>
        </w:tc>
        <w:tc>
          <w:tcPr>
            <w:tcW w:w="519" w:type="pct"/>
            <w:vAlign w:val="center"/>
          </w:tcPr>
          <w:p w14:paraId="33DDB69F">
            <w:pPr>
              <w:pStyle w:val="75"/>
            </w:pPr>
            <w:r>
              <w:rPr>
                <w:rFonts w:hint="eastAsia"/>
              </w:rPr>
              <w:t>居民</w:t>
            </w:r>
          </w:p>
        </w:tc>
        <w:tc>
          <w:tcPr>
            <w:tcW w:w="476" w:type="pct"/>
            <w:vAlign w:val="center"/>
          </w:tcPr>
          <w:p w14:paraId="2BD52A0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东北</w:t>
            </w:r>
          </w:p>
        </w:tc>
        <w:tc>
          <w:tcPr>
            <w:tcW w:w="464" w:type="pct"/>
            <w:vAlign w:val="center"/>
          </w:tcPr>
          <w:p w14:paraId="06F4030E">
            <w:pPr>
              <w:pStyle w:val="75"/>
              <w:rPr>
                <w:rFonts w:hint="default" w:eastAsia="宋体"/>
                <w:lang w:val="en-US" w:eastAsia="zh-CN"/>
              </w:rPr>
            </w:pPr>
            <w:r>
              <w:rPr>
                <w:rFonts w:hint="eastAsia"/>
                <w:lang w:val="en-US" w:eastAsia="zh-CN"/>
              </w:rPr>
              <w:t>2344</w:t>
            </w:r>
          </w:p>
        </w:tc>
        <w:tc>
          <w:tcPr>
            <w:tcW w:w="529" w:type="pct"/>
            <w:vAlign w:val="center"/>
          </w:tcPr>
          <w:p w14:paraId="57E414C9">
            <w:pPr>
              <w:pStyle w:val="75"/>
              <w:rPr>
                <w:rFonts w:hint="default" w:eastAsia="宋体"/>
                <w:lang w:val="en-US" w:eastAsia="zh-CN"/>
              </w:rPr>
            </w:pPr>
            <w:r>
              <w:rPr>
                <w:rFonts w:hint="eastAsia"/>
                <w:lang w:val="en-US" w:eastAsia="zh-CN"/>
              </w:rPr>
              <w:t>940</w:t>
            </w:r>
          </w:p>
        </w:tc>
      </w:tr>
      <w:tr w14:paraId="74DF62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2672F1D7">
            <w:pPr>
              <w:pStyle w:val="75"/>
            </w:pPr>
            <w:r>
              <w:rPr>
                <w:rFonts w:hint="eastAsia"/>
              </w:rPr>
              <w:t>5</w:t>
            </w:r>
          </w:p>
        </w:tc>
        <w:tc>
          <w:tcPr>
            <w:tcW w:w="505" w:type="pct"/>
            <w:vMerge w:val="continue"/>
            <w:vAlign w:val="center"/>
          </w:tcPr>
          <w:p w14:paraId="0289D82E">
            <w:pPr>
              <w:pStyle w:val="75"/>
            </w:pPr>
          </w:p>
        </w:tc>
        <w:tc>
          <w:tcPr>
            <w:tcW w:w="784" w:type="pct"/>
            <w:vAlign w:val="center"/>
          </w:tcPr>
          <w:p w14:paraId="52D16514">
            <w:pPr>
              <w:pStyle w:val="75"/>
              <w:rPr>
                <w:rFonts w:hint="eastAsia" w:eastAsia="宋体"/>
                <w:lang w:val="en-US" w:eastAsia="zh-CN"/>
              </w:rPr>
            </w:pPr>
            <w:r>
              <w:rPr>
                <w:rFonts w:hint="eastAsia"/>
                <w:lang w:val="en-US" w:eastAsia="zh-CN"/>
              </w:rPr>
              <w:t>东仓村</w:t>
            </w:r>
          </w:p>
        </w:tc>
        <w:tc>
          <w:tcPr>
            <w:tcW w:w="449" w:type="pct"/>
            <w:vAlign w:val="center"/>
          </w:tcPr>
          <w:p w14:paraId="3D04A412">
            <w:pPr>
              <w:pStyle w:val="75"/>
              <w:rPr>
                <w:rFonts w:hint="default" w:eastAsia="宋体"/>
                <w:lang w:val="en-US" w:eastAsia="zh-CN"/>
              </w:rPr>
            </w:pPr>
            <w:r>
              <w:rPr>
                <w:rFonts w:hint="eastAsia"/>
                <w:lang w:val="en-US" w:eastAsia="zh-CN"/>
              </w:rPr>
              <w:t>2</w:t>
            </w:r>
          </w:p>
        </w:tc>
        <w:tc>
          <w:tcPr>
            <w:tcW w:w="440" w:type="pct"/>
            <w:vAlign w:val="center"/>
          </w:tcPr>
          <w:p w14:paraId="61A90FA9">
            <w:pPr>
              <w:pStyle w:val="75"/>
              <w:rPr>
                <w:rFonts w:hint="default" w:eastAsia="宋体"/>
                <w:lang w:val="en-US" w:eastAsia="zh-CN"/>
              </w:rPr>
            </w:pPr>
            <w:r>
              <w:rPr>
                <w:rFonts w:hint="eastAsia"/>
                <w:lang w:val="en-US" w:eastAsia="zh-CN"/>
              </w:rPr>
              <w:t>2253</w:t>
            </w:r>
          </w:p>
        </w:tc>
        <w:tc>
          <w:tcPr>
            <w:tcW w:w="545" w:type="pct"/>
            <w:vAlign w:val="center"/>
          </w:tcPr>
          <w:p w14:paraId="0B5A4757">
            <w:pPr>
              <w:pStyle w:val="75"/>
            </w:pPr>
            <w:r>
              <w:rPr>
                <w:rFonts w:hint="eastAsia"/>
              </w:rPr>
              <w:t>居民区</w:t>
            </w:r>
          </w:p>
        </w:tc>
        <w:tc>
          <w:tcPr>
            <w:tcW w:w="519" w:type="pct"/>
            <w:vAlign w:val="center"/>
          </w:tcPr>
          <w:p w14:paraId="4DBE2610">
            <w:pPr>
              <w:pStyle w:val="75"/>
            </w:pPr>
            <w:r>
              <w:rPr>
                <w:rFonts w:hint="eastAsia"/>
              </w:rPr>
              <w:t>居民</w:t>
            </w:r>
          </w:p>
        </w:tc>
        <w:tc>
          <w:tcPr>
            <w:tcW w:w="476" w:type="pct"/>
            <w:vAlign w:val="center"/>
          </w:tcPr>
          <w:p w14:paraId="4AE54AE7">
            <w:pPr>
              <w:pStyle w:val="75"/>
            </w:pPr>
            <w:r>
              <w:rPr>
                <w:rFonts w:hint="eastAsia" w:ascii="Times New Roman" w:hAnsi="Times New Roman" w:eastAsia="宋体" w:cs="Times New Roman"/>
                <w:sz w:val="21"/>
                <w:szCs w:val="21"/>
                <w:lang w:val="en-US" w:eastAsia="zh-CN" w:bidi="ar-SA"/>
              </w:rPr>
              <w:t>东北</w:t>
            </w:r>
          </w:p>
        </w:tc>
        <w:tc>
          <w:tcPr>
            <w:tcW w:w="464" w:type="pct"/>
            <w:vAlign w:val="center"/>
          </w:tcPr>
          <w:p w14:paraId="32CAD364">
            <w:pPr>
              <w:pStyle w:val="75"/>
              <w:rPr>
                <w:rFonts w:hint="default" w:eastAsia="宋体"/>
                <w:lang w:val="en-US" w:eastAsia="zh-CN"/>
              </w:rPr>
            </w:pPr>
            <w:r>
              <w:rPr>
                <w:rFonts w:hint="eastAsia"/>
                <w:lang w:val="en-US" w:eastAsia="zh-CN"/>
              </w:rPr>
              <w:t>2210</w:t>
            </w:r>
          </w:p>
        </w:tc>
        <w:tc>
          <w:tcPr>
            <w:tcW w:w="529" w:type="pct"/>
            <w:vAlign w:val="center"/>
          </w:tcPr>
          <w:p w14:paraId="44442B13">
            <w:pPr>
              <w:pStyle w:val="75"/>
              <w:rPr>
                <w:rFonts w:hint="default" w:eastAsia="宋体"/>
                <w:lang w:val="en-US" w:eastAsia="zh-CN"/>
              </w:rPr>
            </w:pPr>
            <w:r>
              <w:rPr>
                <w:rFonts w:hint="eastAsia"/>
                <w:lang w:val="en-US" w:eastAsia="zh-CN"/>
              </w:rPr>
              <w:t>1485</w:t>
            </w:r>
          </w:p>
        </w:tc>
      </w:tr>
      <w:tr w14:paraId="35F36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7D99F881">
            <w:pPr>
              <w:pStyle w:val="75"/>
            </w:pPr>
            <w:r>
              <w:rPr>
                <w:rFonts w:hint="eastAsia"/>
              </w:rPr>
              <w:t>6</w:t>
            </w:r>
          </w:p>
        </w:tc>
        <w:tc>
          <w:tcPr>
            <w:tcW w:w="505" w:type="pct"/>
            <w:vMerge w:val="continue"/>
            <w:vAlign w:val="center"/>
          </w:tcPr>
          <w:p w14:paraId="60FDC7D7">
            <w:pPr>
              <w:pStyle w:val="75"/>
            </w:pPr>
          </w:p>
        </w:tc>
        <w:tc>
          <w:tcPr>
            <w:tcW w:w="784" w:type="pct"/>
            <w:vAlign w:val="center"/>
          </w:tcPr>
          <w:p w14:paraId="061E4A30">
            <w:pPr>
              <w:pStyle w:val="75"/>
              <w:rPr>
                <w:rFonts w:hint="eastAsia" w:eastAsia="宋体"/>
                <w:lang w:val="en-US" w:eastAsia="zh-CN"/>
              </w:rPr>
            </w:pPr>
            <w:r>
              <w:rPr>
                <w:rFonts w:hint="eastAsia"/>
                <w:lang w:val="en-US" w:eastAsia="zh-CN"/>
              </w:rPr>
              <w:t>桑庄村</w:t>
            </w:r>
          </w:p>
        </w:tc>
        <w:tc>
          <w:tcPr>
            <w:tcW w:w="449" w:type="pct"/>
            <w:vAlign w:val="center"/>
          </w:tcPr>
          <w:p w14:paraId="2843AF5F">
            <w:pPr>
              <w:pStyle w:val="75"/>
              <w:rPr>
                <w:rFonts w:hint="default" w:eastAsia="宋体"/>
                <w:lang w:val="en-US" w:eastAsia="zh-CN"/>
              </w:rPr>
            </w:pPr>
            <w:r>
              <w:rPr>
                <w:rFonts w:hint="eastAsia"/>
                <w:lang w:val="en-US" w:eastAsia="zh-CN"/>
              </w:rPr>
              <w:t>-1434</w:t>
            </w:r>
          </w:p>
        </w:tc>
        <w:tc>
          <w:tcPr>
            <w:tcW w:w="440" w:type="pct"/>
            <w:vAlign w:val="center"/>
          </w:tcPr>
          <w:p w14:paraId="032C1B08">
            <w:pPr>
              <w:pStyle w:val="75"/>
              <w:rPr>
                <w:rFonts w:hint="default" w:eastAsia="宋体"/>
                <w:lang w:val="en-US" w:eastAsia="zh-CN"/>
              </w:rPr>
            </w:pPr>
            <w:r>
              <w:rPr>
                <w:rFonts w:hint="eastAsia"/>
                <w:lang w:val="en-US" w:eastAsia="zh-CN"/>
              </w:rPr>
              <w:t>1520</w:t>
            </w:r>
          </w:p>
        </w:tc>
        <w:tc>
          <w:tcPr>
            <w:tcW w:w="545" w:type="pct"/>
            <w:vAlign w:val="center"/>
          </w:tcPr>
          <w:p w14:paraId="2402E355">
            <w:pPr>
              <w:pStyle w:val="75"/>
            </w:pPr>
            <w:r>
              <w:rPr>
                <w:rFonts w:hint="eastAsia"/>
              </w:rPr>
              <w:t>居民区</w:t>
            </w:r>
          </w:p>
        </w:tc>
        <w:tc>
          <w:tcPr>
            <w:tcW w:w="519" w:type="pct"/>
            <w:vAlign w:val="center"/>
          </w:tcPr>
          <w:p w14:paraId="252FE42F">
            <w:pPr>
              <w:pStyle w:val="75"/>
            </w:pPr>
            <w:r>
              <w:rPr>
                <w:rFonts w:hint="eastAsia"/>
              </w:rPr>
              <w:t>居民</w:t>
            </w:r>
          </w:p>
        </w:tc>
        <w:tc>
          <w:tcPr>
            <w:tcW w:w="476" w:type="pct"/>
            <w:vAlign w:val="center"/>
          </w:tcPr>
          <w:p w14:paraId="332CD199">
            <w:pPr>
              <w:pStyle w:val="75"/>
              <w:rPr>
                <w:rFonts w:hint="eastAsia" w:eastAsia="宋体"/>
                <w:lang w:val="en-US" w:eastAsia="zh-CN"/>
              </w:rPr>
            </w:pPr>
            <w:r>
              <w:rPr>
                <w:rFonts w:hint="eastAsia"/>
                <w:lang w:val="en-US" w:eastAsia="zh-CN"/>
              </w:rPr>
              <w:t>西北</w:t>
            </w:r>
          </w:p>
        </w:tc>
        <w:tc>
          <w:tcPr>
            <w:tcW w:w="464" w:type="pct"/>
            <w:vAlign w:val="center"/>
          </w:tcPr>
          <w:p w14:paraId="48C15BF5">
            <w:pPr>
              <w:pStyle w:val="75"/>
              <w:rPr>
                <w:rFonts w:hint="default" w:eastAsia="宋体"/>
                <w:lang w:val="en-US" w:eastAsia="zh-CN"/>
              </w:rPr>
            </w:pPr>
            <w:r>
              <w:rPr>
                <w:rFonts w:hint="eastAsia"/>
                <w:lang w:val="en-US" w:eastAsia="zh-CN"/>
              </w:rPr>
              <w:t>2150</w:t>
            </w:r>
          </w:p>
        </w:tc>
        <w:tc>
          <w:tcPr>
            <w:tcW w:w="529" w:type="pct"/>
            <w:vAlign w:val="center"/>
          </w:tcPr>
          <w:p w14:paraId="14D97A07">
            <w:pPr>
              <w:pStyle w:val="75"/>
              <w:rPr>
                <w:rFonts w:hint="default" w:eastAsia="宋体"/>
                <w:lang w:val="en-US" w:eastAsia="zh-CN"/>
              </w:rPr>
            </w:pPr>
            <w:r>
              <w:rPr>
                <w:rFonts w:hint="eastAsia"/>
                <w:lang w:val="en-US" w:eastAsia="zh-CN"/>
              </w:rPr>
              <w:t>936</w:t>
            </w:r>
          </w:p>
        </w:tc>
      </w:tr>
      <w:tr w14:paraId="16C7C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0820CA4A">
            <w:pPr>
              <w:pStyle w:val="75"/>
            </w:pPr>
            <w:r>
              <w:rPr>
                <w:rFonts w:hint="eastAsia"/>
              </w:rPr>
              <w:t>7</w:t>
            </w:r>
          </w:p>
        </w:tc>
        <w:tc>
          <w:tcPr>
            <w:tcW w:w="505" w:type="pct"/>
            <w:vMerge w:val="continue"/>
            <w:vAlign w:val="center"/>
          </w:tcPr>
          <w:p w14:paraId="3354AC20">
            <w:pPr>
              <w:pStyle w:val="75"/>
            </w:pPr>
          </w:p>
        </w:tc>
        <w:tc>
          <w:tcPr>
            <w:tcW w:w="784" w:type="pct"/>
            <w:vAlign w:val="center"/>
          </w:tcPr>
          <w:p w14:paraId="37B1E029">
            <w:pPr>
              <w:pStyle w:val="75"/>
              <w:rPr>
                <w:rFonts w:hint="eastAsia" w:eastAsia="宋体"/>
                <w:lang w:val="en-US" w:eastAsia="zh-CN"/>
              </w:rPr>
            </w:pPr>
            <w:r>
              <w:rPr>
                <w:rFonts w:hint="eastAsia"/>
                <w:lang w:val="en-US" w:eastAsia="zh-CN"/>
              </w:rPr>
              <w:t>彦当村</w:t>
            </w:r>
          </w:p>
        </w:tc>
        <w:tc>
          <w:tcPr>
            <w:tcW w:w="449" w:type="pct"/>
            <w:vAlign w:val="center"/>
          </w:tcPr>
          <w:p w14:paraId="314BC39B">
            <w:pPr>
              <w:pStyle w:val="75"/>
              <w:ind w:firstLine="0" w:firstLineChars="0"/>
              <w:rPr>
                <w:rFonts w:hint="default" w:eastAsia="宋体"/>
                <w:lang w:val="en-US" w:eastAsia="zh-CN"/>
              </w:rPr>
            </w:pPr>
            <w:r>
              <w:rPr>
                <w:rFonts w:hint="eastAsia"/>
                <w:lang w:val="en-US" w:eastAsia="zh-CN"/>
              </w:rPr>
              <w:t>-1361</w:t>
            </w:r>
          </w:p>
        </w:tc>
        <w:tc>
          <w:tcPr>
            <w:tcW w:w="440" w:type="pct"/>
            <w:vAlign w:val="center"/>
          </w:tcPr>
          <w:p w14:paraId="70367A39">
            <w:pPr>
              <w:pStyle w:val="75"/>
              <w:ind w:firstLine="0" w:firstLineChars="0"/>
              <w:rPr>
                <w:rFonts w:hint="eastAsia" w:eastAsia="宋体"/>
                <w:lang w:val="en-US" w:eastAsia="zh-CN"/>
              </w:rPr>
            </w:pPr>
            <w:r>
              <w:rPr>
                <w:rFonts w:hint="eastAsia"/>
                <w:lang w:val="en-US" w:eastAsia="zh-CN"/>
              </w:rPr>
              <w:t>0</w:t>
            </w:r>
          </w:p>
        </w:tc>
        <w:tc>
          <w:tcPr>
            <w:tcW w:w="545" w:type="pct"/>
            <w:vAlign w:val="center"/>
          </w:tcPr>
          <w:p w14:paraId="1D3EC27D">
            <w:pPr>
              <w:pStyle w:val="75"/>
            </w:pPr>
            <w:r>
              <w:rPr>
                <w:rFonts w:hint="eastAsia"/>
              </w:rPr>
              <w:t>居民区</w:t>
            </w:r>
          </w:p>
        </w:tc>
        <w:tc>
          <w:tcPr>
            <w:tcW w:w="519" w:type="pct"/>
            <w:vAlign w:val="center"/>
          </w:tcPr>
          <w:p w14:paraId="6267BDC6">
            <w:pPr>
              <w:pStyle w:val="75"/>
            </w:pPr>
            <w:r>
              <w:rPr>
                <w:rFonts w:hint="eastAsia"/>
              </w:rPr>
              <w:t>居民</w:t>
            </w:r>
          </w:p>
        </w:tc>
        <w:tc>
          <w:tcPr>
            <w:tcW w:w="476" w:type="pct"/>
            <w:vAlign w:val="center"/>
          </w:tcPr>
          <w:p w14:paraId="591227E6">
            <w:pPr>
              <w:pStyle w:val="75"/>
              <w:rPr>
                <w:rFonts w:hint="default" w:eastAsia="宋体"/>
                <w:lang w:val="en-US" w:eastAsia="zh-CN"/>
              </w:rPr>
            </w:pPr>
            <w:r>
              <w:rPr>
                <w:rFonts w:hint="eastAsia"/>
                <w:lang w:val="en-US" w:eastAsia="zh-CN"/>
              </w:rPr>
              <w:t>西北</w:t>
            </w:r>
          </w:p>
        </w:tc>
        <w:tc>
          <w:tcPr>
            <w:tcW w:w="464" w:type="pct"/>
            <w:vAlign w:val="center"/>
          </w:tcPr>
          <w:p w14:paraId="35A1972C">
            <w:pPr>
              <w:pStyle w:val="75"/>
              <w:rPr>
                <w:rFonts w:hint="default" w:eastAsia="宋体"/>
                <w:lang w:val="en-US" w:eastAsia="zh-CN"/>
              </w:rPr>
            </w:pPr>
            <w:r>
              <w:rPr>
                <w:rFonts w:hint="eastAsia"/>
                <w:lang w:val="en-US" w:eastAsia="zh-CN"/>
              </w:rPr>
              <w:t>1326</w:t>
            </w:r>
          </w:p>
        </w:tc>
        <w:tc>
          <w:tcPr>
            <w:tcW w:w="529" w:type="pct"/>
            <w:vAlign w:val="center"/>
          </w:tcPr>
          <w:p w14:paraId="60AB4C4C">
            <w:pPr>
              <w:pStyle w:val="75"/>
              <w:rPr>
                <w:rFonts w:hint="default" w:eastAsia="宋体"/>
                <w:lang w:val="en-US" w:eastAsia="zh-CN"/>
              </w:rPr>
            </w:pPr>
            <w:r>
              <w:rPr>
                <w:rFonts w:hint="eastAsia"/>
                <w:lang w:val="en-US" w:eastAsia="zh-CN"/>
              </w:rPr>
              <w:t>2288</w:t>
            </w:r>
          </w:p>
        </w:tc>
      </w:tr>
      <w:tr w14:paraId="6D8A2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4BB9413F">
            <w:pPr>
              <w:pStyle w:val="75"/>
              <w:ind w:firstLine="0" w:firstLineChars="0"/>
              <w:rPr>
                <w:rFonts w:hint="eastAsia"/>
              </w:rPr>
            </w:pPr>
            <w:r>
              <w:rPr>
                <w:rFonts w:hint="eastAsia"/>
              </w:rPr>
              <w:t>8</w:t>
            </w:r>
          </w:p>
        </w:tc>
        <w:tc>
          <w:tcPr>
            <w:tcW w:w="505" w:type="pct"/>
            <w:vMerge w:val="continue"/>
            <w:vAlign w:val="center"/>
          </w:tcPr>
          <w:p w14:paraId="576DBEA6">
            <w:pPr>
              <w:pStyle w:val="75"/>
            </w:pPr>
          </w:p>
        </w:tc>
        <w:tc>
          <w:tcPr>
            <w:tcW w:w="784" w:type="pct"/>
            <w:vAlign w:val="center"/>
          </w:tcPr>
          <w:p w14:paraId="1C0AA011">
            <w:pPr>
              <w:pStyle w:val="75"/>
              <w:rPr>
                <w:rFonts w:hint="default"/>
                <w:lang w:val="en-US" w:eastAsia="zh-CN"/>
              </w:rPr>
            </w:pPr>
            <w:r>
              <w:rPr>
                <w:rFonts w:hint="eastAsia"/>
                <w:lang w:val="en-US" w:eastAsia="zh-CN"/>
              </w:rPr>
              <w:t>彦当小学</w:t>
            </w:r>
          </w:p>
        </w:tc>
        <w:tc>
          <w:tcPr>
            <w:tcW w:w="449" w:type="pct"/>
            <w:vAlign w:val="center"/>
          </w:tcPr>
          <w:p w14:paraId="666ABF5D">
            <w:pPr>
              <w:pStyle w:val="75"/>
              <w:rPr>
                <w:rFonts w:hint="default" w:eastAsia="宋体"/>
                <w:lang w:val="en-US" w:eastAsia="zh-CN"/>
              </w:rPr>
            </w:pPr>
            <w:r>
              <w:rPr>
                <w:rFonts w:hint="eastAsia"/>
                <w:lang w:val="en-US" w:eastAsia="zh-CN"/>
              </w:rPr>
              <w:t>-1665</w:t>
            </w:r>
          </w:p>
        </w:tc>
        <w:tc>
          <w:tcPr>
            <w:tcW w:w="440" w:type="pct"/>
            <w:vAlign w:val="center"/>
          </w:tcPr>
          <w:p w14:paraId="1640D822">
            <w:pPr>
              <w:pStyle w:val="75"/>
              <w:rPr>
                <w:rFonts w:hint="default" w:eastAsia="宋体"/>
                <w:lang w:val="en-US" w:eastAsia="zh-CN"/>
              </w:rPr>
            </w:pPr>
            <w:r>
              <w:rPr>
                <w:rFonts w:hint="eastAsia"/>
                <w:lang w:val="en-US" w:eastAsia="zh-CN"/>
              </w:rPr>
              <w:t>520</w:t>
            </w:r>
          </w:p>
        </w:tc>
        <w:tc>
          <w:tcPr>
            <w:tcW w:w="545" w:type="pct"/>
            <w:vAlign w:val="center"/>
          </w:tcPr>
          <w:p w14:paraId="7FC94D3F">
            <w:pPr>
              <w:pStyle w:val="75"/>
              <w:ind w:firstLine="0" w:firstLineChars="0"/>
            </w:pPr>
            <w:r>
              <w:t>文化</w:t>
            </w:r>
          </w:p>
          <w:p w14:paraId="5E23A979">
            <w:pPr>
              <w:pStyle w:val="75"/>
              <w:ind w:firstLine="0" w:firstLineChars="0"/>
              <w:rPr>
                <w:rFonts w:hint="eastAsia"/>
              </w:rPr>
            </w:pPr>
            <w:r>
              <w:t>教育区</w:t>
            </w:r>
          </w:p>
        </w:tc>
        <w:tc>
          <w:tcPr>
            <w:tcW w:w="519" w:type="pct"/>
            <w:vAlign w:val="center"/>
          </w:tcPr>
          <w:p w14:paraId="08DB7248">
            <w:pPr>
              <w:pStyle w:val="75"/>
              <w:ind w:firstLine="0" w:firstLineChars="0"/>
              <w:rPr>
                <w:rFonts w:hint="eastAsia"/>
              </w:rPr>
            </w:pPr>
            <w:r>
              <w:rPr>
                <w:rFonts w:hint="eastAsia"/>
              </w:rPr>
              <w:t>学生及</w:t>
            </w:r>
          </w:p>
          <w:p w14:paraId="1375D0B8">
            <w:pPr>
              <w:pStyle w:val="75"/>
              <w:ind w:firstLine="0" w:firstLineChars="0"/>
              <w:rPr>
                <w:rFonts w:hint="eastAsia"/>
              </w:rPr>
            </w:pPr>
            <w:r>
              <w:rPr>
                <w:rFonts w:hint="eastAsia"/>
              </w:rPr>
              <w:t>教职工</w:t>
            </w:r>
          </w:p>
        </w:tc>
        <w:tc>
          <w:tcPr>
            <w:tcW w:w="476" w:type="pct"/>
            <w:vAlign w:val="center"/>
          </w:tcPr>
          <w:p w14:paraId="2389EA6A">
            <w:pPr>
              <w:pStyle w:val="75"/>
              <w:rPr>
                <w:rFonts w:hint="default"/>
                <w:lang w:val="en-US" w:eastAsia="zh-CN"/>
              </w:rPr>
            </w:pPr>
            <w:r>
              <w:rPr>
                <w:rFonts w:hint="eastAsia"/>
                <w:lang w:val="en-US" w:eastAsia="zh-CN"/>
              </w:rPr>
              <w:t>西</w:t>
            </w:r>
          </w:p>
        </w:tc>
        <w:tc>
          <w:tcPr>
            <w:tcW w:w="464" w:type="pct"/>
            <w:vAlign w:val="center"/>
          </w:tcPr>
          <w:p w14:paraId="2C98DDDD">
            <w:pPr>
              <w:pStyle w:val="75"/>
              <w:rPr>
                <w:rFonts w:hint="default"/>
                <w:lang w:val="en-US" w:eastAsia="zh-CN"/>
              </w:rPr>
            </w:pPr>
            <w:r>
              <w:rPr>
                <w:rFonts w:hint="eastAsia"/>
                <w:lang w:val="en-US" w:eastAsia="zh-CN"/>
              </w:rPr>
              <w:t>1658</w:t>
            </w:r>
          </w:p>
        </w:tc>
        <w:tc>
          <w:tcPr>
            <w:tcW w:w="529" w:type="pct"/>
            <w:vAlign w:val="center"/>
          </w:tcPr>
          <w:p w14:paraId="3770FD6E">
            <w:pPr>
              <w:pStyle w:val="75"/>
              <w:rPr>
                <w:rFonts w:hint="default"/>
                <w:lang w:val="en-US" w:eastAsia="zh-CN"/>
              </w:rPr>
            </w:pPr>
            <w:r>
              <w:rPr>
                <w:rFonts w:hint="eastAsia"/>
                <w:lang w:val="en-US" w:eastAsia="zh-CN"/>
              </w:rPr>
              <w:t>220</w:t>
            </w:r>
          </w:p>
        </w:tc>
      </w:tr>
      <w:tr w14:paraId="13D1E5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51A08A65">
            <w:pPr>
              <w:pStyle w:val="75"/>
              <w:ind w:firstLine="0" w:firstLineChars="0"/>
            </w:pPr>
            <w:r>
              <w:rPr>
                <w:rFonts w:hint="eastAsia"/>
              </w:rPr>
              <w:t>9</w:t>
            </w:r>
          </w:p>
        </w:tc>
        <w:tc>
          <w:tcPr>
            <w:tcW w:w="505" w:type="pct"/>
            <w:vMerge w:val="continue"/>
            <w:vAlign w:val="center"/>
          </w:tcPr>
          <w:p w14:paraId="06B718A1">
            <w:pPr>
              <w:pStyle w:val="75"/>
            </w:pPr>
          </w:p>
        </w:tc>
        <w:tc>
          <w:tcPr>
            <w:tcW w:w="784" w:type="pct"/>
            <w:vAlign w:val="center"/>
          </w:tcPr>
          <w:p w14:paraId="1FD930EC">
            <w:pPr>
              <w:pStyle w:val="75"/>
              <w:rPr>
                <w:rFonts w:hint="default" w:eastAsia="宋体"/>
                <w:lang w:val="en-US" w:eastAsia="zh-CN"/>
              </w:rPr>
            </w:pPr>
            <w:r>
              <w:rPr>
                <w:rFonts w:hint="eastAsia"/>
                <w:lang w:val="en-US" w:eastAsia="zh-CN"/>
              </w:rPr>
              <w:t>获嘉县职业教育中心</w:t>
            </w:r>
          </w:p>
        </w:tc>
        <w:tc>
          <w:tcPr>
            <w:tcW w:w="449" w:type="pct"/>
            <w:vAlign w:val="center"/>
          </w:tcPr>
          <w:p w14:paraId="70465B8B">
            <w:pPr>
              <w:pStyle w:val="75"/>
              <w:rPr>
                <w:rFonts w:hint="default" w:eastAsia="宋体"/>
                <w:lang w:val="en-US" w:eastAsia="zh-CN"/>
              </w:rPr>
            </w:pPr>
            <w:r>
              <w:rPr>
                <w:rFonts w:hint="eastAsia"/>
                <w:lang w:val="en-US" w:eastAsia="zh-CN"/>
              </w:rPr>
              <w:t>-1681</w:t>
            </w:r>
          </w:p>
        </w:tc>
        <w:tc>
          <w:tcPr>
            <w:tcW w:w="440" w:type="pct"/>
            <w:vAlign w:val="center"/>
          </w:tcPr>
          <w:p w14:paraId="73C57C0A">
            <w:pPr>
              <w:pStyle w:val="75"/>
              <w:rPr>
                <w:rFonts w:hint="default" w:eastAsia="宋体"/>
                <w:lang w:val="en-US" w:eastAsia="zh-CN"/>
              </w:rPr>
            </w:pPr>
            <w:r>
              <w:rPr>
                <w:rFonts w:hint="eastAsia"/>
                <w:lang w:val="en-US" w:eastAsia="zh-CN"/>
              </w:rPr>
              <w:t>-200</w:t>
            </w:r>
          </w:p>
        </w:tc>
        <w:tc>
          <w:tcPr>
            <w:tcW w:w="545" w:type="pct"/>
            <w:vAlign w:val="center"/>
          </w:tcPr>
          <w:p w14:paraId="6C406904">
            <w:pPr>
              <w:pStyle w:val="75"/>
            </w:pPr>
            <w:r>
              <w:t>文化</w:t>
            </w:r>
          </w:p>
          <w:p w14:paraId="6680CE70">
            <w:pPr>
              <w:pStyle w:val="75"/>
            </w:pPr>
            <w:r>
              <w:t>教育区</w:t>
            </w:r>
          </w:p>
        </w:tc>
        <w:tc>
          <w:tcPr>
            <w:tcW w:w="519" w:type="pct"/>
            <w:vAlign w:val="center"/>
          </w:tcPr>
          <w:p w14:paraId="59E22A09">
            <w:pPr>
              <w:pStyle w:val="75"/>
              <w:rPr>
                <w:rFonts w:hint="eastAsia"/>
              </w:rPr>
            </w:pPr>
            <w:r>
              <w:rPr>
                <w:rFonts w:hint="eastAsia"/>
              </w:rPr>
              <w:t>学生及</w:t>
            </w:r>
          </w:p>
          <w:p w14:paraId="4566FA41">
            <w:pPr>
              <w:pStyle w:val="75"/>
            </w:pPr>
            <w:r>
              <w:rPr>
                <w:rFonts w:hint="eastAsia"/>
              </w:rPr>
              <w:t>教职工</w:t>
            </w:r>
          </w:p>
        </w:tc>
        <w:tc>
          <w:tcPr>
            <w:tcW w:w="476" w:type="pct"/>
            <w:vAlign w:val="center"/>
          </w:tcPr>
          <w:p w14:paraId="48AFE17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西</w:t>
            </w:r>
          </w:p>
        </w:tc>
        <w:tc>
          <w:tcPr>
            <w:tcW w:w="464" w:type="pct"/>
            <w:vAlign w:val="center"/>
          </w:tcPr>
          <w:p w14:paraId="598E5EA9">
            <w:pPr>
              <w:pStyle w:val="75"/>
              <w:rPr>
                <w:rFonts w:hint="default" w:eastAsia="宋体"/>
                <w:lang w:val="en-US" w:eastAsia="zh-CN"/>
              </w:rPr>
            </w:pPr>
            <w:r>
              <w:rPr>
                <w:rFonts w:hint="eastAsia"/>
                <w:lang w:val="en-US" w:eastAsia="zh-CN"/>
              </w:rPr>
              <w:t>1641</w:t>
            </w:r>
          </w:p>
        </w:tc>
        <w:tc>
          <w:tcPr>
            <w:tcW w:w="529" w:type="pct"/>
            <w:vAlign w:val="center"/>
          </w:tcPr>
          <w:p w14:paraId="4375E704">
            <w:pPr>
              <w:pStyle w:val="75"/>
              <w:rPr>
                <w:rFonts w:hint="default" w:eastAsia="宋体"/>
                <w:lang w:val="en-US" w:eastAsia="zh-CN"/>
              </w:rPr>
            </w:pPr>
            <w:r>
              <w:rPr>
                <w:rFonts w:hint="eastAsia"/>
                <w:lang w:val="en-US" w:eastAsia="zh-CN"/>
              </w:rPr>
              <w:t>1400</w:t>
            </w:r>
          </w:p>
        </w:tc>
      </w:tr>
      <w:tr w14:paraId="1D3A9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4C4BD10A">
            <w:pPr>
              <w:pStyle w:val="75"/>
              <w:ind w:firstLine="0" w:firstLineChars="0"/>
            </w:pPr>
            <w:r>
              <w:rPr>
                <w:rFonts w:hint="eastAsia"/>
              </w:rPr>
              <w:t>10</w:t>
            </w:r>
          </w:p>
        </w:tc>
        <w:tc>
          <w:tcPr>
            <w:tcW w:w="505" w:type="pct"/>
            <w:vMerge w:val="continue"/>
            <w:vAlign w:val="center"/>
          </w:tcPr>
          <w:p w14:paraId="1D5774D2">
            <w:pPr>
              <w:pStyle w:val="75"/>
            </w:pPr>
          </w:p>
        </w:tc>
        <w:tc>
          <w:tcPr>
            <w:tcW w:w="784" w:type="pct"/>
            <w:vAlign w:val="center"/>
          </w:tcPr>
          <w:p w14:paraId="08AD5A2D">
            <w:pPr>
              <w:pStyle w:val="75"/>
              <w:rPr>
                <w:rFonts w:hint="default" w:eastAsia="宋体"/>
                <w:lang w:val="en-US" w:eastAsia="zh-CN"/>
              </w:rPr>
            </w:pPr>
            <w:r>
              <w:rPr>
                <w:rFonts w:hint="eastAsia"/>
                <w:lang w:val="en-US" w:eastAsia="zh-CN"/>
              </w:rPr>
              <w:t>城东花园</w:t>
            </w:r>
          </w:p>
        </w:tc>
        <w:tc>
          <w:tcPr>
            <w:tcW w:w="449" w:type="pct"/>
            <w:vAlign w:val="center"/>
          </w:tcPr>
          <w:p w14:paraId="7A9FA78D">
            <w:pPr>
              <w:pStyle w:val="75"/>
              <w:rPr>
                <w:rFonts w:hint="default" w:eastAsia="宋体"/>
                <w:lang w:val="en-US" w:eastAsia="zh-CN"/>
              </w:rPr>
            </w:pPr>
            <w:r>
              <w:rPr>
                <w:rFonts w:hint="eastAsia"/>
                <w:lang w:val="en-US" w:eastAsia="zh-CN"/>
              </w:rPr>
              <w:t>-2193</w:t>
            </w:r>
          </w:p>
        </w:tc>
        <w:tc>
          <w:tcPr>
            <w:tcW w:w="440" w:type="pct"/>
            <w:vAlign w:val="center"/>
          </w:tcPr>
          <w:p w14:paraId="1E5309E6">
            <w:pPr>
              <w:pStyle w:val="75"/>
              <w:rPr>
                <w:rFonts w:hint="default" w:eastAsia="宋体"/>
                <w:lang w:val="en-US" w:eastAsia="zh-CN"/>
              </w:rPr>
            </w:pPr>
            <w:r>
              <w:rPr>
                <w:rFonts w:hint="eastAsia"/>
                <w:lang w:val="en-US" w:eastAsia="zh-CN"/>
              </w:rPr>
              <w:t>426</w:t>
            </w:r>
          </w:p>
        </w:tc>
        <w:tc>
          <w:tcPr>
            <w:tcW w:w="545" w:type="pct"/>
            <w:vAlign w:val="center"/>
          </w:tcPr>
          <w:p w14:paraId="07790F93">
            <w:pPr>
              <w:pStyle w:val="75"/>
            </w:pPr>
            <w:r>
              <w:rPr>
                <w:rFonts w:hint="eastAsia"/>
              </w:rPr>
              <w:t>居民区</w:t>
            </w:r>
          </w:p>
        </w:tc>
        <w:tc>
          <w:tcPr>
            <w:tcW w:w="519" w:type="pct"/>
            <w:vAlign w:val="center"/>
          </w:tcPr>
          <w:p w14:paraId="05C0FA5F">
            <w:pPr>
              <w:pStyle w:val="75"/>
              <w:rPr>
                <w:rFonts w:hint="eastAsia"/>
              </w:rPr>
            </w:pPr>
            <w:r>
              <w:rPr>
                <w:rFonts w:hint="eastAsia"/>
              </w:rPr>
              <w:t>居民</w:t>
            </w:r>
          </w:p>
        </w:tc>
        <w:tc>
          <w:tcPr>
            <w:tcW w:w="476" w:type="pct"/>
            <w:vAlign w:val="center"/>
          </w:tcPr>
          <w:p w14:paraId="2E895CF9">
            <w:pPr>
              <w:pStyle w:val="75"/>
              <w:rPr>
                <w:rFonts w:hint="eastAsia"/>
                <w:lang w:val="en-US" w:eastAsia="zh-CN"/>
              </w:rPr>
            </w:pPr>
            <w:r>
              <w:rPr>
                <w:rFonts w:hint="eastAsia"/>
                <w:lang w:val="en-US" w:eastAsia="zh-CN"/>
              </w:rPr>
              <w:t>西</w:t>
            </w:r>
          </w:p>
        </w:tc>
        <w:tc>
          <w:tcPr>
            <w:tcW w:w="464" w:type="pct"/>
            <w:vAlign w:val="center"/>
          </w:tcPr>
          <w:p w14:paraId="1E10F565">
            <w:pPr>
              <w:pStyle w:val="75"/>
              <w:rPr>
                <w:rFonts w:hint="default" w:eastAsia="宋体"/>
                <w:lang w:val="en-US" w:eastAsia="zh-CN"/>
              </w:rPr>
            </w:pPr>
            <w:r>
              <w:rPr>
                <w:rFonts w:hint="eastAsia"/>
                <w:lang w:val="en-US" w:eastAsia="zh-CN"/>
              </w:rPr>
              <w:t>2175</w:t>
            </w:r>
          </w:p>
        </w:tc>
        <w:tc>
          <w:tcPr>
            <w:tcW w:w="529" w:type="pct"/>
            <w:vAlign w:val="center"/>
          </w:tcPr>
          <w:p w14:paraId="395757F3">
            <w:pPr>
              <w:pStyle w:val="75"/>
              <w:rPr>
                <w:rFonts w:hint="default" w:eastAsia="宋体"/>
                <w:lang w:val="en-US" w:eastAsia="zh-CN"/>
              </w:rPr>
            </w:pPr>
            <w:r>
              <w:rPr>
                <w:rFonts w:hint="eastAsia"/>
                <w:lang w:val="en-US" w:eastAsia="zh-CN"/>
              </w:rPr>
              <w:t>2335</w:t>
            </w:r>
          </w:p>
        </w:tc>
      </w:tr>
      <w:tr w14:paraId="6E8D6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6F4B0DFC">
            <w:pPr>
              <w:pStyle w:val="75"/>
              <w:ind w:firstLine="0" w:firstLineChars="0"/>
            </w:pPr>
            <w:r>
              <w:rPr>
                <w:rFonts w:hint="eastAsia"/>
              </w:rPr>
              <w:t>1</w:t>
            </w:r>
            <w:r>
              <w:t>1</w:t>
            </w:r>
          </w:p>
        </w:tc>
        <w:tc>
          <w:tcPr>
            <w:tcW w:w="505" w:type="pct"/>
            <w:vMerge w:val="continue"/>
            <w:vAlign w:val="center"/>
          </w:tcPr>
          <w:p w14:paraId="24AF0BE5">
            <w:pPr>
              <w:pStyle w:val="75"/>
            </w:pPr>
          </w:p>
        </w:tc>
        <w:tc>
          <w:tcPr>
            <w:tcW w:w="784" w:type="pct"/>
            <w:vAlign w:val="center"/>
          </w:tcPr>
          <w:p w14:paraId="46088677">
            <w:pPr>
              <w:pStyle w:val="75"/>
              <w:rPr>
                <w:rFonts w:hint="default" w:eastAsia="宋体"/>
                <w:lang w:val="en-US" w:eastAsia="zh-CN"/>
              </w:rPr>
            </w:pPr>
            <w:r>
              <w:rPr>
                <w:rFonts w:hint="eastAsia"/>
                <w:lang w:val="en-US" w:eastAsia="zh-CN"/>
              </w:rPr>
              <w:t>福禄东苑</w:t>
            </w:r>
          </w:p>
        </w:tc>
        <w:tc>
          <w:tcPr>
            <w:tcW w:w="449" w:type="pct"/>
            <w:vAlign w:val="center"/>
          </w:tcPr>
          <w:p w14:paraId="04D61B58">
            <w:pPr>
              <w:pStyle w:val="75"/>
              <w:rPr>
                <w:rFonts w:hint="default" w:eastAsia="宋体"/>
                <w:lang w:val="en-US" w:eastAsia="zh-CN"/>
              </w:rPr>
            </w:pPr>
            <w:r>
              <w:rPr>
                <w:rFonts w:hint="eastAsia"/>
                <w:lang w:val="en-US" w:eastAsia="zh-CN"/>
              </w:rPr>
              <w:t>-2466</w:t>
            </w:r>
          </w:p>
        </w:tc>
        <w:tc>
          <w:tcPr>
            <w:tcW w:w="440" w:type="pct"/>
            <w:vAlign w:val="center"/>
          </w:tcPr>
          <w:p w14:paraId="0ADFF5BE">
            <w:pPr>
              <w:pStyle w:val="75"/>
              <w:rPr>
                <w:rFonts w:hint="default" w:eastAsia="宋体"/>
                <w:lang w:val="en-US" w:eastAsia="zh-CN"/>
              </w:rPr>
            </w:pPr>
            <w:r>
              <w:rPr>
                <w:rFonts w:hint="eastAsia"/>
                <w:lang w:val="en-US" w:eastAsia="zh-CN"/>
              </w:rPr>
              <w:t>35</w:t>
            </w:r>
          </w:p>
        </w:tc>
        <w:tc>
          <w:tcPr>
            <w:tcW w:w="545" w:type="pct"/>
            <w:vAlign w:val="center"/>
          </w:tcPr>
          <w:p w14:paraId="576E000F">
            <w:pPr>
              <w:pStyle w:val="75"/>
              <w:ind w:firstLine="0" w:firstLineChars="0"/>
            </w:pPr>
            <w:r>
              <w:rPr>
                <w:rFonts w:hint="eastAsia"/>
              </w:rPr>
              <w:t>居民区</w:t>
            </w:r>
          </w:p>
        </w:tc>
        <w:tc>
          <w:tcPr>
            <w:tcW w:w="519" w:type="pct"/>
            <w:vAlign w:val="center"/>
          </w:tcPr>
          <w:p w14:paraId="7E9FBDF9">
            <w:pPr>
              <w:pStyle w:val="75"/>
              <w:ind w:firstLine="0" w:firstLineChars="0"/>
              <w:rPr>
                <w:rFonts w:hint="eastAsia"/>
              </w:rPr>
            </w:pPr>
            <w:r>
              <w:rPr>
                <w:rFonts w:hint="eastAsia"/>
              </w:rPr>
              <w:t>居民</w:t>
            </w:r>
          </w:p>
        </w:tc>
        <w:tc>
          <w:tcPr>
            <w:tcW w:w="476" w:type="pct"/>
            <w:vAlign w:val="center"/>
          </w:tcPr>
          <w:p w14:paraId="19F84022">
            <w:pPr>
              <w:pStyle w:val="75"/>
              <w:rPr>
                <w:rFonts w:hint="eastAsia"/>
                <w:lang w:val="en-US" w:eastAsia="zh-CN"/>
              </w:rPr>
            </w:pPr>
            <w:r>
              <w:rPr>
                <w:rFonts w:hint="eastAsia"/>
                <w:lang w:val="en-US" w:eastAsia="zh-CN"/>
              </w:rPr>
              <w:t>西</w:t>
            </w:r>
          </w:p>
        </w:tc>
        <w:tc>
          <w:tcPr>
            <w:tcW w:w="464" w:type="pct"/>
            <w:vAlign w:val="center"/>
          </w:tcPr>
          <w:p w14:paraId="62ADF4A5">
            <w:pPr>
              <w:pStyle w:val="75"/>
              <w:rPr>
                <w:rFonts w:hint="default" w:eastAsia="宋体"/>
                <w:lang w:val="en-US" w:eastAsia="zh-CN"/>
              </w:rPr>
            </w:pPr>
            <w:r>
              <w:rPr>
                <w:rFonts w:hint="eastAsia"/>
                <w:lang w:val="en-US" w:eastAsia="zh-CN"/>
              </w:rPr>
              <w:t>2429</w:t>
            </w:r>
          </w:p>
        </w:tc>
        <w:tc>
          <w:tcPr>
            <w:tcW w:w="529" w:type="pct"/>
            <w:vAlign w:val="center"/>
          </w:tcPr>
          <w:p w14:paraId="2348251D">
            <w:pPr>
              <w:pStyle w:val="75"/>
              <w:rPr>
                <w:rFonts w:hint="default" w:eastAsia="宋体"/>
                <w:lang w:val="en-US" w:eastAsia="zh-CN"/>
              </w:rPr>
            </w:pPr>
            <w:r>
              <w:rPr>
                <w:rFonts w:hint="eastAsia"/>
                <w:lang w:val="en-US" w:eastAsia="zh-CN"/>
              </w:rPr>
              <w:t>3200</w:t>
            </w:r>
          </w:p>
        </w:tc>
      </w:tr>
      <w:tr w14:paraId="2C9245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1DFB06ED">
            <w:pPr>
              <w:pStyle w:val="75"/>
              <w:ind w:firstLine="0" w:firstLineChars="0"/>
            </w:pPr>
            <w:r>
              <w:rPr>
                <w:rFonts w:hint="eastAsia"/>
                <w:lang w:val="en-US" w:eastAsia="zh-CN"/>
              </w:rPr>
              <w:t>12</w:t>
            </w:r>
          </w:p>
        </w:tc>
        <w:tc>
          <w:tcPr>
            <w:tcW w:w="505" w:type="pct"/>
            <w:vMerge w:val="continue"/>
            <w:vAlign w:val="center"/>
          </w:tcPr>
          <w:p w14:paraId="560D332F">
            <w:pPr>
              <w:pStyle w:val="75"/>
            </w:pPr>
          </w:p>
        </w:tc>
        <w:tc>
          <w:tcPr>
            <w:tcW w:w="784" w:type="pct"/>
            <w:vAlign w:val="center"/>
          </w:tcPr>
          <w:p w14:paraId="12C3C1C6">
            <w:pPr>
              <w:pStyle w:val="75"/>
              <w:rPr>
                <w:rFonts w:hint="default" w:eastAsia="宋体"/>
                <w:lang w:val="en-US" w:eastAsia="zh-CN"/>
              </w:rPr>
            </w:pPr>
            <w:r>
              <w:rPr>
                <w:rFonts w:hint="eastAsia"/>
                <w:lang w:val="en-US" w:eastAsia="zh-CN"/>
              </w:rPr>
              <w:t>获嘉建业城</w:t>
            </w:r>
          </w:p>
        </w:tc>
        <w:tc>
          <w:tcPr>
            <w:tcW w:w="449" w:type="pct"/>
            <w:vAlign w:val="center"/>
          </w:tcPr>
          <w:p w14:paraId="195FFD3B">
            <w:pPr>
              <w:pStyle w:val="75"/>
              <w:rPr>
                <w:rFonts w:hint="default" w:eastAsia="宋体"/>
                <w:lang w:val="en-US" w:eastAsia="zh-CN"/>
              </w:rPr>
            </w:pPr>
            <w:r>
              <w:rPr>
                <w:rFonts w:hint="eastAsia"/>
                <w:lang w:val="en-US" w:eastAsia="zh-CN"/>
              </w:rPr>
              <w:t>-2461</w:t>
            </w:r>
          </w:p>
        </w:tc>
        <w:tc>
          <w:tcPr>
            <w:tcW w:w="440" w:type="pct"/>
            <w:vAlign w:val="center"/>
          </w:tcPr>
          <w:p w14:paraId="1BC2119D">
            <w:pPr>
              <w:pStyle w:val="75"/>
              <w:rPr>
                <w:rFonts w:hint="default" w:eastAsia="宋体"/>
                <w:lang w:val="en-US" w:eastAsia="zh-CN"/>
              </w:rPr>
            </w:pPr>
            <w:r>
              <w:rPr>
                <w:rFonts w:hint="eastAsia"/>
                <w:lang w:val="en-US" w:eastAsia="zh-CN"/>
              </w:rPr>
              <w:t>168</w:t>
            </w:r>
          </w:p>
        </w:tc>
        <w:tc>
          <w:tcPr>
            <w:tcW w:w="545" w:type="pct"/>
            <w:vAlign w:val="center"/>
          </w:tcPr>
          <w:p w14:paraId="3994CF0C">
            <w:pPr>
              <w:pStyle w:val="75"/>
            </w:pPr>
            <w:r>
              <w:rPr>
                <w:rFonts w:hint="eastAsia"/>
              </w:rPr>
              <w:t>居民区</w:t>
            </w:r>
          </w:p>
        </w:tc>
        <w:tc>
          <w:tcPr>
            <w:tcW w:w="519" w:type="pct"/>
            <w:vAlign w:val="center"/>
          </w:tcPr>
          <w:p w14:paraId="133D0487">
            <w:pPr>
              <w:pStyle w:val="75"/>
              <w:rPr>
                <w:rFonts w:hint="eastAsia"/>
              </w:rPr>
            </w:pPr>
            <w:r>
              <w:rPr>
                <w:rFonts w:hint="eastAsia"/>
              </w:rPr>
              <w:t>居民</w:t>
            </w:r>
          </w:p>
        </w:tc>
        <w:tc>
          <w:tcPr>
            <w:tcW w:w="476" w:type="pct"/>
            <w:vAlign w:val="center"/>
          </w:tcPr>
          <w:p w14:paraId="0ED89F2E">
            <w:pPr>
              <w:pStyle w:val="75"/>
              <w:rPr>
                <w:rFonts w:hint="eastAsia"/>
              </w:rPr>
            </w:pPr>
            <w:r>
              <w:rPr>
                <w:rFonts w:hint="eastAsia"/>
                <w:lang w:val="en-US" w:eastAsia="zh-CN"/>
              </w:rPr>
              <w:t>西</w:t>
            </w:r>
          </w:p>
        </w:tc>
        <w:tc>
          <w:tcPr>
            <w:tcW w:w="464" w:type="pct"/>
            <w:vAlign w:val="center"/>
          </w:tcPr>
          <w:p w14:paraId="4A06EF9E">
            <w:pPr>
              <w:pStyle w:val="75"/>
              <w:rPr>
                <w:rFonts w:hint="default" w:eastAsia="宋体"/>
                <w:lang w:val="en-US" w:eastAsia="zh-CN"/>
              </w:rPr>
            </w:pPr>
            <w:r>
              <w:rPr>
                <w:rFonts w:hint="eastAsia"/>
                <w:lang w:val="en-US" w:eastAsia="zh-CN"/>
              </w:rPr>
              <w:t>2423</w:t>
            </w:r>
          </w:p>
        </w:tc>
        <w:tc>
          <w:tcPr>
            <w:tcW w:w="529" w:type="pct"/>
            <w:vAlign w:val="center"/>
          </w:tcPr>
          <w:p w14:paraId="0BDFA998">
            <w:pPr>
              <w:pStyle w:val="75"/>
              <w:rPr>
                <w:rFonts w:hint="default" w:eastAsia="宋体"/>
                <w:lang w:val="en-US" w:eastAsia="zh-CN"/>
              </w:rPr>
            </w:pPr>
            <w:r>
              <w:rPr>
                <w:rFonts w:hint="eastAsia"/>
                <w:lang w:val="en-US" w:eastAsia="zh-CN"/>
              </w:rPr>
              <w:t>2300</w:t>
            </w:r>
          </w:p>
        </w:tc>
      </w:tr>
      <w:tr w14:paraId="70B344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018E08AF">
            <w:pPr>
              <w:pStyle w:val="75"/>
              <w:ind w:firstLine="0" w:firstLineChars="0"/>
              <w:rPr>
                <w:rFonts w:hint="default" w:eastAsia="宋体"/>
                <w:lang w:val="en-US" w:eastAsia="zh-CN"/>
              </w:rPr>
            </w:pPr>
            <w:r>
              <w:rPr>
                <w:rFonts w:hint="eastAsia"/>
                <w:lang w:val="en-US" w:eastAsia="zh-CN"/>
              </w:rPr>
              <w:t>13</w:t>
            </w:r>
          </w:p>
        </w:tc>
        <w:tc>
          <w:tcPr>
            <w:tcW w:w="505" w:type="pct"/>
            <w:vMerge w:val="continue"/>
            <w:vAlign w:val="center"/>
          </w:tcPr>
          <w:p w14:paraId="5A14A423">
            <w:pPr>
              <w:pStyle w:val="75"/>
            </w:pPr>
          </w:p>
        </w:tc>
        <w:tc>
          <w:tcPr>
            <w:tcW w:w="784" w:type="pct"/>
            <w:vAlign w:val="center"/>
          </w:tcPr>
          <w:p w14:paraId="0383DE8C">
            <w:pPr>
              <w:pStyle w:val="75"/>
              <w:rPr>
                <w:rFonts w:hint="default" w:eastAsia="宋体"/>
                <w:lang w:val="en-US" w:eastAsia="zh-CN"/>
              </w:rPr>
            </w:pPr>
            <w:r>
              <w:rPr>
                <w:rFonts w:hint="eastAsia"/>
                <w:lang w:val="en-US" w:eastAsia="zh-CN"/>
              </w:rPr>
              <w:t>陈孝村</w:t>
            </w:r>
          </w:p>
        </w:tc>
        <w:tc>
          <w:tcPr>
            <w:tcW w:w="449" w:type="pct"/>
            <w:vAlign w:val="center"/>
          </w:tcPr>
          <w:p w14:paraId="3F4DAB51">
            <w:pPr>
              <w:pStyle w:val="75"/>
              <w:rPr>
                <w:rFonts w:hint="default" w:eastAsia="宋体"/>
                <w:lang w:val="en-US" w:eastAsia="zh-CN"/>
              </w:rPr>
            </w:pPr>
            <w:r>
              <w:rPr>
                <w:rFonts w:hint="eastAsia"/>
                <w:lang w:val="en-US" w:eastAsia="zh-CN"/>
              </w:rPr>
              <w:t>-1033</w:t>
            </w:r>
          </w:p>
        </w:tc>
        <w:tc>
          <w:tcPr>
            <w:tcW w:w="440" w:type="pct"/>
            <w:vAlign w:val="center"/>
          </w:tcPr>
          <w:p w14:paraId="0AD5F96D">
            <w:pPr>
              <w:pStyle w:val="75"/>
              <w:rPr>
                <w:rFonts w:hint="default" w:eastAsia="宋体"/>
                <w:lang w:val="en-US" w:eastAsia="zh-CN"/>
              </w:rPr>
            </w:pPr>
            <w:r>
              <w:rPr>
                <w:rFonts w:hint="eastAsia"/>
                <w:lang w:val="en-US" w:eastAsia="zh-CN"/>
              </w:rPr>
              <w:t>-2331</w:t>
            </w:r>
          </w:p>
        </w:tc>
        <w:tc>
          <w:tcPr>
            <w:tcW w:w="545" w:type="pct"/>
            <w:vAlign w:val="center"/>
          </w:tcPr>
          <w:p w14:paraId="3DD01DF3">
            <w:pPr>
              <w:pStyle w:val="75"/>
              <w:ind w:firstLine="0" w:firstLineChars="0"/>
              <w:rPr>
                <w:rFonts w:hint="eastAsia"/>
              </w:rPr>
            </w:pPr>
            <w:r>
              <w:rPr>
                <w:rFonts w:hint="eastAsia"/>
              </w:rPr>
              <w:t>居民区</w:t>
            </w:r>
          </w:p>
        </w:tc>
        <w:tc>
          <w:tcPr>
            <w:tcW w:w="519" w:type="pct"/>
            <w:vAlign w:val="center"/>
          </w:tcPr>
          <w:p w14:paraId="450F7D2F">
            <w:pPr>
              <w:pStyle w:val="75"/>
              <w:ind w:firstLine="0" w:firstLineChars="0"/>
              <w:rPr>
                <w:rFonts w:hint="eastAsia"/>
              </w:rPr>
            </w:pPr>
            <w:r>
              <w:rPr>
                <w:rFonts w:hint="eastAsia"/>
              </w:rPr>
              <w:t>居民</w:t>
            </w:r>
          </w:p>
        </w:tc>
        <w:tc>
          <w:tcPr>
            <w:tcW w:w="476" w:type="pct"/>
            <w:vAlign w:val="center"/>
          </w:tcPr>
          <w:p w14:paraId="1523A518">
            <w:pPr>
              <w:pStyle w:val="75"/>
              <w:rPr>
                <w:rFonts w:hint="eastAsia" w:eastAsia="宋体"/>
                <w:lang w:val="en-US" w:eastAsia="zh-CN"/>
              </w:rPr>
            </w:pPr>
            <w:r>
              <w:rPr>
                <w:rFonts w:hint="eastAsia"/>
                <w:lang w:val="en-US" w:eastAsia="zh-CN"/>
              </w:rPr>
              <w:t>西南</w:t>
            </w:r>
          </w:p>
        </w:tc>
        <w:tc>
          <w:tcPr>
            <w:tcW w:w="464" w:type="pct"/>
            <w:vAlign w:val="center"/>
          </w:tcPr>
          <w:p w14:paraId="210D8A5E">
            <w:pPr>
              <w:pStyle w:val="75"/>
              <w:rPr>
                <w:rFonts w:hint="default" w:eastAsia="宋体"/>
                <w:lang w:val="en-US" w:eastAsia="zh-CN"/>
              </w:rPr>
            </w:pPr>
            <w:r>
              <w:rPr>
                <w:rFonts w:hint="eastAsia"/>
                <w:lang w:val="en-US" w:eastAsia="zh-CN"/>
              </w:rPr>
              <w:t>2564</w:t>
            </w:r>
          </w:p>
        </w:tc>
        <w:tc>
          <w:tcPr>
            <w:tcW w:w="529" w:type="pct"/>
            <w:vAlign w:val="center"/>
          </w:tcPr>
          <w:p w14:paraId="3F7C6412">
            <w:pPr>
              <w:pStyle w:val="75"/>
              <w:rPr>
                <w:rFonts w:hint="default" w:eastAsia="宋体"/>
                <w:lang w:val="en-US" w:eastAsia="zh-CN"/>
              </w:rPr>
            </w:pPr>
            <w:r>
              <w:rPr>
                <w:rFonts w:hint="eastAsia"/>
                <w:lang w:val="en-US" w:eastAsia="zh-CN"/>
              </w:rPr>
              <w:t>1080</w:t>
            </w:r>
          </w:p>
        </w:tc>
      </w:tr>
      <w:tr w14:paraId="04DEDF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09FBF740">
            <w:pPr>
              <w:pStyle w:val="75"/>
              <w:ind w:firstLine="0" w:firstLineChars="0"/>
              <w:rPr>
                <w:rFonts w:hint="default" w:eastAsia="宋体"/>
                <w:lang w:val="en-US" w:eastAsia="zh-CN"/>
              </w:rPr>
            </w:pPr>
            <w:r>
              <w:rPr>
                <w:rFonts w:hint="eastAsia"/>
                <w:lang w:val="en-US" w:eastAsia="zh-CN"/>
              </w:rPr>
              <w:t>14</w:t>
            </w:r>
          </w:p>
        </w:tc>
        <w:tc>
          <w:tcPr>
            <w:tcW w:w="505" w:type="pct"/>
            <w:vMerge w:val="continue"/>
            <w:vAlign w:val="center"/>
          </w:tcPr>
          <w:p w14:paraId="6DEE05AA">
            <w:pPr>
              <w:pStyle w:val="75"/>
            </w:pPr>
          </w:p>
        </w:tc>
        <w:tc>
          <w:tcPr>
            <w:tcW w:w="784" w:type="pct"/>
            <w:vAlign w:val="center"/>
          </w:tcPr>
          <w:p w14:paraId="7E1743A6">
            <w:pPr>
              <w:pStyle w:val="75"/>
              <w:rPr>
                <w:rFonts w:hint="eastAsia" w:eastAsia="宋体"/>
                <w:lang w:val="en-US" w:eastAsia="zh-CN"/>
              </w:rPr>
            </w:pPr>
            <w:r>
              <w:rPr>
                <w:rFonts w:hint="eastAsia"/>
                <w:lang w:val="en-US" w:eastAsia="zh-CN"/>
              </w:rPr>
              <w:t>孝合村</w:t>
            </w:r>
          </w:p>
        </w:tc>
        <w:tc>
          <w:tcPr>
            <w:tcW w:w="449" w:type="pct"/>
            <w:vAlign w:val="center"/>
          </w:tcPr>
          <w:p w14:paraId="03216FB7">
            <w:pPr>
              <w:pStyle w:val="75"/>
              <w:rPr>
                <w:rFonts w:hint="default" w:eastAsia="宋体"/>
                <w:lang w:val="en-US" w:eastAsia="zh-CN"/>
              </w:rPr>
            </w:pPr>
            <w:r>
              <w:rPr>
                <w:rFonts w:hint="eastAsia"/>
                <w:lang w:val="en-US" w:eastAsia="zh-CN"/>
              </w:rPr>
              <w:t>-187</w:t>
            </w:r>
          </w:p>
        </w:tc>
        <w:tc>
          <w:tcPr>
            <w:tcW w:w="440" w:type="pct"/>
            <w:vAlign w:val="center"/>
          </w:tcPr>
          <w:p w14:paraId="756E348A">
            <w:pPr>
              <w:pStyle w:val="75"/>
              <w:rPr>
                <w:rFonts w:hint="default" w:eastAsia="宋体"/>
                <w:lang w:val="en-US" w:eastAsia="zh-CN"/>
              </w:rPr>
            </w:pPr>
            <w:r>
              <w:rPr>
                <w:rFonts w:hint="eastAsia"/>
                <w:lang w:val="en-US" w:eastAsia="zh-CN"/>
              </w:rPr>
              <w:t>-2178</w:t>
            </w:r>
          </w:p>
        </w:tc>
        <w:tc>
          <w:tcPr>
            <w:tcW w:w="545" w:type="pct"/>
            <w:vAlign w:val="center"/>
          </w:tcPr>
          <w:p w14:paraId="54E9128A">
            <w:pPr>
              <w:pStyle w:val="75"/>
              <w:ind w:firstLine="0" w:firstLineChars="0"/>
              <w:rPr>
                <w:rFonts w:hint="eastAsia"/>
              </w:rPr>
            </w:pPr>
            <w:r>
              <w:rPr>
                <w:rFonts w:hint="eastAsia"/>
              </w:rPr>
              <w:t>居民区</w:t>
            </w:r>
          </w:p>
        </w:tc>
        <w:tc>
          <w:tcPr>
            <w:tcW w:w="519" w:type="pct"/>
            <w:vAlign w:val="center"/>
          </w:tcPr>
          <w:p w14:paraId="12CD3E0A">
            <w:pPr>
              <w:pStyle w:val="75"/>
              <w:ind w:firstLine="0" w:firstLineChars="0"/>
              <w:rPr>
                <w:rFonts w:hint="eastAsia"/>
              </w:rPr>
            </w:pPr>
            <w:r>
              <w:rPr>
                <w:rFonts w:hint="eastAsia"/>
              </w:rPr>
              <w:t>居民</w:t>
            </w:r>
          </w:p>
        </w:tc>
        <w:tc>
          <w:tcPr>
            <w:tcW w:w="476" w:type="pct"/>
            <w:vAlign w:val="center"/>
          </w:tcPr>
          <w:p w14:paraId="43B372F8">
            <w:pPr>
              <w:pStyle w:val="75"/>
              <w:rPr>
                <w:rFonts w:hint="eastAsia" w:eastAsia="宋体"/>
                <w:lang w:val="en-US" w:eastAsia="zh-CN"/>
              </w:rPr>
            </w:pPr>
            <w:r>
              <w:rPr>
                <w:rFonts w:hint="eastAsia"/>
                <w:lang w:val="en-US" w:eastAsia="zh-CN"/>
              </w:rPr>
              <w:t>东南</w:t>
            </w:r>
          </w:p>
        </w:tc>
        <w:tc>
          <w:tcPr>
            <w:tcW w:w="464" w:type="pct"/>
            <w:vAlign w:val="center"/>
          </w:tcPr>
          <w:p w14:paraId="164BDA4F">
            <w:pPr>
              <w:pStyle w:val="75"/>
              <w:rPr>
                <w:rFonts w:hint="default" w:eastAsia="宋体"/>
                <w:lang w:val="en-US" w:eastAsia="zh-CN"/>
              </w:rPr>
            </w:pPr>
            <w:r>
              <w:rPr>
                <w:rFonts w:hint="eastAsia"/>
                <w:lang w:val="en-US" w:eastAsia="zh-CN"/>
              </w:rPr>
              <w:t>2150</w:t>
            </w:r>
          </w:p>
        </w:tc>
        <w:tc>
          <w:tcPr>
            <w:tcW w:w="529" w:type="pct"/>
            <w:vAlign w:val="center"/>
          </w:tcPr>
          <w:p w14:paraId="206CB13A">
            <w:pPr>
              <w:pStyle w:val="75"/>
              <w:rPr>
                <w:rFonts w:hint="default" w:eastAsia="宋体"/>
                <w:lang w:val="en-US" w:eastAsia="zh-CN"/>
              </w:rPr>
            </w:pPr>
            <w:r>
              <w:rPr>
                <w:rFonts w:hint="eastAsia"/>
                <w:lang w:val="en-US" w:eastAsia="zh-CN"/>
              </w:rPr>
              <w:t>905</w:t>
            </w:r>
          </w:p>
        </w:tc>
      </w:tr>
      <w:tr w14:paraId="34A30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45405ECF">
            <w:pPr>
              <w:pStyle w:val="75"/>
            </w:pPr>
            <w:r>
              <w:rPr>
                <w:rFonts w:hint="eastAsia"/>
              </w:rPr>
              <w:t>1</w:t>
            </w:r>
            <w:r>
              <w:t>2</w:t>
            </w:r>
          </w:p>
        </w:tc>
        <w:tc>
          <w:tcPr>
            <w:tcW w:w="505" w:type="pct"/>
            <w:vAlign w:val="center"/>
          </w:tcPr>
          <w:p w14:paraId="408F4126">
            <w:pPr>
              <w:pStyle w:val="75"/>
            </w:pPr>
            <w:r>
              <w:rPr>
                <w:rFonts w:hint="eastAsia"/>
              </w:rPr>
              <w:t>地表水环境</w:t>
            </w:r>
          </w:p>
        </w:tc>
        <w:tc>
          <w:tcPr>
            <w:tcW w:w="784" w:type="pct"/>
            <w:vAlign w:val="center"/>
          </w:tcPr>
          <w:p w14:paraId="6ACF8FBF">
            <w:pPr>
              <w:pStyle w:val="75"/>
            </w:pPr>
            <w:r>
              <w:rPr>
                <w:rFonts w:hint="eastAsia"/>
              </w:rPr>
              <w:t>地表水</w:t>
            </w:r>
          </w:p>
        </w:tc>
        <w:tc>
          <w:tcPr>
            <w:tcW w:w="1435" w:type="pct"/>
            <w:gridSpan w:val="3"/>
            <w:vAlign w:val="center"/>
          </w:tcPr>
          <w:p w14:paraId="2AC508BE">
            <w:pPr>
              <w:pStyle w:val="75"/>
              <w:rPr>
                <w:rFonts w:hint="default" w:eastAsia="宋体"/>
                <w:lang w:val="en-US" w:eastAsia="zh-CN"/>
              </w:rPr>
            </w:pPr>
            <w:r>
              <w:rPr>
                <w:rFonts w:hint="eastAsia"/>
                <w:lang w:val="en-US" w:eastAsia="zh-CN"/>
              </w:rPr>
              <w:t>共产主义渠</w:t>
            </w:r>
          </w:p>
        </w:tc>
        <w:tc>
          <w:tcPr>
            <w:tcW w:w="519" w:type="pct"/>
            <w:vAlign w:val="center"/>
          </w:tcPr>
          <w:p w14:paraId="76CD8185">
            <w:pPr>
              <w:pStyle w:val="75"/>
            </w:pPr>
            <w:r>
              <w:rPr>
                <w:rFonts w:hint="eastAsia"/>
              </w:rPr>
              <w:t>/</w:t>
            </w:r>
          </w:p>
        </w:tc>
        <w:tc>
          <w:tcPr>
            <w:tcW w:w="476" w:type="pct"/>
            <w:vAlign w:val="center"/>
          </w:tcPr>
          <w:p w14:paraId="6B90A1DF">
            <w:pPr>
              <w:pStyle w:val="75"/>
              <w:rPr>
                <w:rFonts w:hint="default" w:eastAsia="宋体"/>
                <w:lang w:val="en-US" w:eastAsia="zh-CN"/>
              </w:rPr>
            </w:pPr>
            <w:r>
              <w:rPr>
                <w:rFonts w:hint="eastAsia"/>
                <w:lang w:val="en-US" w:eastAsia="zh-CN"/>
              </w:rPr>
              <w:t>西</w:t>
            </w:r>
          </w:p>
        </w:tc>
        <w:tc>
          <w:tcPr>
            <w:tcW w:w="464" w:type="pct"/>
            <w:vAlign w:val="center"/>
          </w:tcPr>
          <w:p w14:paraId="798E68F2">
            <w:pPr>
              <w:pStyle w:val="75"/>
              <w:rPr>
                <w:rFonts w:hint="default" w:eastAsia="宋体"/>
                <w:lang w:val="en-US" w:eastAsia="zh-CN"/>
              </w:rPr>
            </w:pPr>
            <w:r>
              <w:rPr>
                <w:rFonts w:hint="eastAsia"/>
                <w:lang w:val="en-US" w:eastAsia="zh-CN"/>
              </w:rPr>
              <w:t>1050</w:t>
            </w:r>
          </w:p>
        </w:tc>
        <w:tc>
          <w:tcPr>
            <w:tcW w:w="529" w:type="pct"/>
            <w:vAlign w:val="center"/>
          </w:tcPr>
          <w:p w14:paraId="23354370">
            <w:pPr>
              <w:pStyle w:val="75"/>
            </w:pPr>
            <w:r>
              <w:t>Ⅳ类</w:t>
            </w:r>
          </w:p>
          <w:p w14:paraId="42EB7D64">
            <w:pPr>
              <w:pStyle w:val="75"/>
            </w:pPr>
            <w:r>
              <w:t>水体</w:t>
            </w:r>
          </w:p>
        </w:tc>
      </w:tr>
      <w:tr w14:paraId="7A220E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51E2DE56">
            <w:pPr>
              <w:pStyle w:val="75"/>
            </w:pPr>
            <w:r>
              <w:rPr>
                <w:rFonts w:hint="eastAsia"/>
              </w:rPr>
              <w:t>13</w:t>
            </w:r>
          </w:p>
        </w:tc>
        <w:tc>
          <w:tcPr>
            <w:tcW w:w="505" w:type="pct"/>
            <w:vAlign w:val="center"/>
          </w:tcPr>
          <w:p w14:paraId="6AD2581D">
            <w:pPr>
              <w:pStyle w:val="75"/>
            </w:pPr>
            <w:r>
              <w:rPr>
                <w:rFonts w:hint="eastAsia"/>
              </w:rPr>
              <w:t>地下水环境</w:t>
            </w:r>
          </w:p>
        </w:tc>
        <w:tc>
          <w:tcPr>
            <w:tcW w:w="784" w:type="pct"/>
            <w:vAlign w:val="center"/>
          </w:tcPr>
          <w:p w14:paraId="5F5A5AC7">
            <w:pPr>
              <w:pStyle w:val="75"/>
            </w:pPr>
            <w:r>
              <w:rPr>
                <w:rFonts w:hint="eastAsia"/>
              </w:rPr>
              <w:t>地下水</w:t>
            </w:r>
          </w:p>
        </w:tc>
        <w:tc>
          <w:tcPr>
            <w:tcW w:w="1954" w:type="pct"/>
            <w:gridSpan w:val="4"/>
            <w:vAlign w:val="center"/>
          </w:tcPr>
          <w:p w14:paraId="6EB8C26B">
            <w:pPr>
              <w:pStyle w:val="75"/>
            </w:pPr>
            <w:r>
              <w:rPr>
                <w:rFonts w:hint="eastAsia"/>
              </w:rPr>
              <w:t>区域潜水层</w:t>
            </w:r>
          </w:p>
        </w:tc>
        <w:tc>
          <w:tcPr>
            <w:tcW w:w="1469" w:type="pct"/>
            <w:gridSpan w:val="3"/>
            <w:vAlign w:val="center"/>
          </w:tcPr>
          <w:p w14:paraId="519FAA60">
            <w:pPr>
              <w:pStyle w:val="75"/>
              <w:jc w:val="left"/>
            </w:pPr>
            <w:r>
              <w:rPr>
                <w:rFonts w:hint="eastAsia"/>
              </w:rPr>
              <w:t>《地下水质量标准》</w:t>
            </w:r>
            <w:r>
              <w:t>（GB/T14848-2017）Ⅲ类</w:t>
            </w:r>
          </w:p>
        </w:tc>
      </w:tr>
      <w:tr w14:paraId="38D8EF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1359A17E">
            <w:pPr>
              <w:pStyle w:val="75"/>
            </w:pPr>
            <w:r>
              <w:rPr>
                <w:rFonts w:hint="eastAsia"/>
              </w:rPr>
              <w:t>14</w:t>
            </w:r>
          </w:p>
        </w:tc>
        <w:tc>
          <w:tcPr>
            <w:tcW w:w="505" w:type="pct"/>
            <w:vAlign w:val="center"/>
          </w:tcPr>
          <w:p w14:paraId="03564DCD">
            <w:pPr>
              <w:pStyle w:val="75"/>
              <w:rPr>
                <w:rFonts w:hint="eastAsia"/>
              </w:rPr>
            </w:pPr>
            <w:r>
              <w:rPr>
                <w:rFonts w:hint="eastAsia"/>
              </w:rPr>
              <w:t>土壤</w:t>
            </w:r>
          </w:p>
          <w:p w14:paraId="7D56F849">
            <w:pPr>
              <w:pStyle w:val="75"/>
            </w:pPr>
            <w:r>
              <w:rPr>
                <w:rFonts w:hint="eastAsia"/>
              </w:rPr>
              <w:t>环境</w:t>
            </w:r>
          </w:p>
        </w:tc>
        <w:tc>
          <w:tcPr>
            <w:tcW w:w="784" w:type="pct"/>
            <w:vAlign w:val="center"/>
          </w:tcPr>
          <w:p w14:paraId="0AA6563E">
            <w:pPr>
              <w:pStyle w:val="75"/>
            </w:pPr>
            <w:r>
              <w:rPr>
                <w:rFonts w:hint="eastAsia"/>
              </w:rPr>
              <w:t>土壤</w:t>
            </w:r>
          </w:p>
        </w:tc>
        <w:tc>
          <w:tcPr>
            <w:tcW w:w="1954" w:type="pct"/>
            <w:gridSpan w:val="4"/>
            <w:vAlign w:val="center"/>
          </w:tcPr>
          <w:p w14:paraId="2E8F8582">
            <w:pPr>
              <w:pStyle w:val="75"/>
            </w:pPr>
            <w:r>
              <w:rPr>
                <w:rFonts w:hint="eastAsia"/>
              </w:rPr>
              <w:t>建设用地</w:t>
            </w:r>
          </w:p>
        </w:tc>
        <w:tc>
          <w:tcPr>
            <w:tcW w:w="1469" w:type="pct"/>
            <w:gridSpan w:val="3"/>
            <w:vAlign w:val="center"/>
          </w:tcPr>
          <w:p w14:paraId="63409367">
            <w:pPr>
              <w:pStyle w:val="75"/>
              <w:jc w:val="left"/>
            </w:pPr>
            <w:r>
              <w:rPr>
                <w:rFonts w:hint="eastAsia"/>
              </w:rPr>
              <w:t>《土壤环境质量-建设用地土壤污染风险管控标准（试行）》（GB36600</w:t>
            </w:r>
            <w:r>
              <w:rPr>
                <w:rFonts w:hint="eastAsia"/>
                <w:lang w:val="en-US" w:eastAsia="zh-CN"/>
              </w:rPr>
              <w:t xml:space="preserve"> </w:t>
            </w:r>
            <w:r>
              <w:rPr>
                <w:rFonts w:hint="eastAsia"/>
              </w:rPr>
              <w:t>-2018）第二类用地</w:t>
            </w:r>
          </w:p>
        </w:tc>
      </w:tr>
      <w:tr w14:paraId="289F68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5" w:type="pct"/>
            <w:vAlign w:val="center"/>
          </w:tcPr>
          <w:p w14:paraId="5FCC4386">
            <w:pPr>
              <w:pStyle w:val="75"/>
            </w:pPr>
            <w:r>
              <w:rPr>
                <w:rFonts w:hint="eastAsia"/>
              </w:rPr>
              <w:t>15</w:t>
            </w:r>
          </w:p>
        </w:tc>
        <w:tc>
          <w:tcPr>
            <w:tcW w:w="505" w:type="pct"/>
            <w:vAlign w:val="center"/>
          </w:tcPr>
          <w:p w14:paraId="2DD97A98">
            <w:pPr>
              <w:pStyle w:val="75"/>
            </w:pPr>
            <w:r>
              <w:rPr>
                <w:rFonts w:hint="eastAsia"/>
              </w:rPr>
              <w:t>声环境</w:t>
            </w:r>
          </w:p>
        </w:tc>
        <w:tc>
          <w:tcPr>
            <w:tcW w:w="784" w:type="pct"/>
            <w:vAlign w:val="center"/>
          </w:tcPr>
          <w:p w14:paraId="01840459">
            <w:pPr>
              <w:pStyle w:val="75"/>
            </w:pPr>
            <w:r>
              <w:rPr>
                <w:rFonts w:hint="eastAsia"/>
              </w:rPr>
              <w:t>声</w:t>
            </w:r>
          </w:p>
        </w:tc>
        <w:tc>
          <w:tcPr>
            <w:tcW w:w="1954" w:type="pct"/>
            <w:gridSpan w:val="4"/>
            <w:vAlign w:val="center"/>
          </w:tcPr>
          <w:p w14:paraId="569BFAE2">
            <w:pPr>
              <w:pStyle w:val="75"/>
              <w:jc w:val="left"/>
            </w:pPr>
            <w:r>
              <w:rPr>
                <w:rFonts w:hint="eastAsia"/>
              </w:rPr>
              <w:t>周边200</w:t>
            </w:r>
            <w:r>
              <w:t>m</w:t>
            </w:r>
            <w:r>
              <w:rPr>
                <w:rFonts w:hint="eastAsia"/>
              </w:rPr>
              <w:t>范围内无声环境保护目标</w:t>
            </w:r>
          </w:p>
        </w:tc>
        <w:tc>
          <w:tcPr>
            <w:tcW w:w="1469" w:type="pct"/>
            <w:gridSpan w:val="3"/>
            <w:vAlign w:val="center"/>
          </w:tcPr>
          <w:p w14:paraId="0008A7ED">
            <w:pPr>
              <w:pStyle w:val="75"/>
              <w:jc w:val="left"/>
            </w:pPr>
            <w:r>
              <w:rPr>
                <w:rFonts w:hint="eastAsia"/>
              </w:rPr>
              <w:t>《声环境质量标准》（GB3096-2008）3类</w:t>
            </w:r>
          </w:p>
        </w:tc>
      </w:tr>
    </w:tbl>
    <w:p w14:paraId="7580E8B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61" w:name="_Toc32307"/>
      <w:bookmarkStart w:id="162" w:name="_Toc51319851"/>
      <w:bookmarkStart w:id="163" w:name="_Toc19090"/>
      <w:r>
        <w:rPr>
          <w:rFonts w:hint="eastAsia" w:ascii="Times New Roman" w:hAnsi="Times New Roman" w:eastAsia="宋体" w:cs="Times New Roman"/>
          <w:lang w:val="en-US" w:eastAsia="zh-CN"/>
        </w:rPr>
        <w:t>2.8评价标准</w:t>
      </w:r>
      <w:bookmarkEnd w:id="149"/>
      <w:bookmarkEnd w:id="150"/>
      <w:bookmarkEnd w:id="160"/>
      <w:bookmarkEnd w:id="161"/>
      <w:bookmarkEnd w:id="162"/>
      <w:bookmarkEnd w:id="163"/>
    </w:p>
    <w:p w14:paraId="6D6C16B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64" w:name="_Toc108122343"/>
      <w:r>
        <w:rPr>
          <w:rFonts w:hint="eastAsia" w:ascii="Times New Roman" w:hAnsi="Times New Roman" w:cs="Times New Roman"/>
          <w:lang w:val="en-US" w:eastAsia="zh-CN"/>
        </w:rPr>
        <w:t>2.8.1环境质量标准</w:t>
      </w:r>
      <w:bookmarkEnd w:id="164"/>
    </w:p>
    <w:p w14:paraId="66B0FFF0">
      <w:pPr>
        <w:pStyle w:val="72"/>
        <w:pageBreakBefore w:val="0"/>
        <w:widowControl w:val="0"/>
        <w:kinsoku/>
        <w:wordWrap/>
        <w:overflowPunct/>
        <w:topLinePunct w:val="0"/>
        <w:autoSpaceDE/>
        <w:autoSpaceDN/>
        <w:bidi w:val="0"/>
      </w:pPr>
      <w:r>
        <w:rPr>
          <w:rFonts w:hint="eastAsia"/>
        </w:rPr>
        <w:t>本次评价环境质量标准执行以下标准。</w:t>
      </w:r>
    </w:p>
    <w:p w14:paraId="2F578BB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2.8-1</w:t>
      </w:r>
      <w:r>
        <w:rPr>
          <w:rFonts w:hint="eastAsia"/>
        </w:rPr>
        <w:t xml:space="preserve">    环境质量标准</w:t>
      </w:r>
    </w:p>
    <w:tbl>
      <w:tblPr>
        <w:tblStyle w:val="3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2157"/>
        <w:gridCol w:w="1935"/>
        <w:gridCol w:w="2145"/>
        <w:gridCol w:w="1203"/>
      </w:tblGrid>
      <w:tr w14:paraId="6C8419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37" w:type="pct"/>
            <w:vAlign w:val="center"/>
          </w:tcPr>
          <w:p w14:paraId="4C975959">
            <w:pPr>
              <w:pStyle w:val="81"/>
              <w:rPr>
                <w:color w:val="auto"/>
              </w:rPr>
            </w:pPr>
            <w:r>
              <w:rPr>
                <w:rFonts w:hint="eastAsia"/>
                <w:color w:val="auto"/>
              </w:rPr>
              <w:t>环境要素</w:t>
            </w:r>
          </w:p>
        </w:tc>
        <w:tc>
          <w:tcPr>
            <w:tcW w:w="1264" w:type="pct"/>
            <w:vAlign w:val="center"/>
          </w:tcPr>
          <w:p w14:paraId="654B86D1">
            <w:pPr>
              <w:pStyle w:val="81"/>
              <w:rPr>
                <w:color w:val="auto"/>
              </w:rPr>
            </w:pPr>
            <w:r>
              <w:rPr>
                <w:rFonts w:hint="eastAsia"/>
                <w:color w:val="auto"/>
              </w:rPr>
              <w:t>标准名称</w:t>
            </w:r>
          </w:p>
        </w:tc>
        <w:tc>
          <w:tcPr>
            <w:tcW w:w="1134" w:type="pct"/>
            <w:vAlign w:val="center"/>
          </w:tcPr>
          <w:p w14:paraId="1D7FF7D0">
            <w:pPr>
              <w:pStyle w:val="81"/>
              <w:rPr>
                <w:color w:val="auto"/>
              </w:rPr>
            </w:pPr>
            <w:r>
              <w:rPr>
                <w:rFonts w:hint="eastAsia"/>
                <w:color w:val="auto"/>
              </w:rPr>
              <w:t>项目</w:t>
            </w:r>
          </w:p>
        </w:tc>
        <w:tc>
          <w:tcPr>
            <w:tcW w:w="1963" w:type="pct"/>
            <w:gridSpan w:val="2"/>
            <w:vAlign w:val="center"/>
          </w:tcPr>
          <w:p w14:paraId="5152B204">
            <w:pPr>
              <w:pStyle w:val="81"/>
              <w:rPr>
                <w:color w:val="auto"/>
              </w:rPr>
            </w:pPr>
            <w:r>
              <w:rPr>
                <w:rFonts w:hint="eastAsia"/>
                <w:color w:val="auto"/>
              </w:rPr>
              <w:t>标准值</w:t>
            </w:r>
          </w:p>
        </w:tc>
      </w:tr>
      <w:tr w14:paraId="167ACB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restart"/>
            <w:vAlign w:val="center"/>
          </w:tcPr>
          <w:p w14:paraId="22E33DBD">
            <w:pPr>
              <w:pStyle w:val="75"/>
            </w:pPr>
            <w:r>
              <w:rPr>
                <w:rFonts w:hint="eastAsia"/>
              </w:rPr>
              <w:t>地表水</w:t>
            </w:r>
          </w:p>
        </w:tc>
        <w:tc>
          <w:tcPr>
            <w:tcW w:w="1264" w:type="pct"/>
            <w:vMerge w:val="restart"/>
            <w:vAlign w:val="center"/>
          </w:tcPr>
          <w:p w14:paraId="02C44EC2">
            <w:pPr>
              <w:pStyle w:val="75"/>
              <w:jc w:val="left"/>
            </w:pPr>
            <w:r>
              <w:rPr>
                <w:rFonts w:hint="eastAsia"/>
              </w:rPr>
              <w:t>《地表水环境质量标准》（GB3838-2002）</w:t>
            </w:r>
            <w:r>
              <w:t>Ⅳ</w:t>
            </w:r>
            <w:r>
              <w:rPr>
                <w:rFonts w:hint="eastAsia"/>
              </w:rPr>
              <w:t>类</w:t>
            </w:r>
          </w:p>
        </w:tc>
        <w:tc>
          <w:tcPr>
            <w:tcW w:w="1134" w:type="pct"/>
            <w:vAlign w:val="center"/>
          </w:tcPr>
          <w:p w14:paraId="400E2CD0">
            <w:pPr>
              <w:pStyle w:val="75"/>
            </w:pPr>
            <w:r>
              <w:rPr>
                <w:rFonts w:hint="eastAsia"/>
              </w:rPr>
              <w:t>pH</w:t>
            </w:r>
          </w:p>
        </w:tc>
        <w:tc>
          <w:tcPr>
            <w:tcW w:w="1963" w:type="pct"/>
            <w:gridSpan w:val="2"/>
            <w:vAlign w:val="center"/>
          </w:tcPr>
          <w:p w14:paraId="7AD9F437">
            <w:pPr>
              <w:pStyle w:val="75"/>
            </w:pPr>
            <w:r>
              <w:rPr>
                <w:rFonts w:hint="eastAsia"/>
              </w:rPr>
              <w:t>6-9</w:t>
            </w:r>
          </w:p>
        </w:tc>
      </w:tr>
      <w:tr w14:paraId="55C2D3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FEB5D5B">
            <w:pPr>
              <w:pStyle w:val="75"/>
              <w:rPr>
                <w:highlight w:val="yellow"/>
              </w:rPr>
            </w:pPr>
          </w:p>
        </w:tc>
        <w:tc>
          <w:tcPr>
            <w:tcW w:w="1264" w:type="pct"/>
            <w:vMerge w:val="continue"/>
            <w:vAlign w:val="center"/>
          </w:tcPr>
          <w:p w14:paraId="0369733C">
            <w:pPr>
              <w:pStyle w:val="75"/>
              <w:rPr>
                <w:highlight w:val="yellow"/>
              </w:rPr>
            </w:pPr>
          </w:p>
        </w:tc>
        <w:tc>
          <w:tcPr>
            <w:tcW w:w="1134" w:type="pct"/>
            <w:vAlign w:val="center"/>
          </w:tcPr>
          <w:p w14:paraId="7F766BFB">
            <w:pPr>
              <w:pStyle w:val="75"/>
            </w:pPr>
            <w:r>
              <w:rPr>
                <w:rFonts w:hint="eastAsia"/>
              </w:rPr>
              <w:t>COD</w:t>
            </w:r>
          </w:p>
        </w:tc>
        <w:tc>
          <w:tcPr>
            <w:tcW w:w="1963" w:type="pct"/>
            <w:gridSpan w:val="2"/>
            <w:vAlign w:val="center"/>
          </w:tcPr>
          <w:p w14:paraId="7D197C4F">
            <w:pPr>
              <w:pStyle w:val="75"/>
            </w:pPr>
            <w:r>
              <w:rPr>
                <w:rFonts w:hint="eastAsia"/>
              </w:rPr>
              <w:t>3</w:t>
            </w:r>
            <w:r>
              <w:t>0</w:t>
            </w:r>
            <w:r>
              <w:rPr>
                <w:rFonts w:hint="eastAsia"/>
              </w:rPr>
              <w:t>mg/L</w:t>
            </w:r>
          </w:p>
        </w:tc>
      </w:tr>
      <w:tr w14:paraId="38283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E48A388">
            <w:pPr>
              <w:pStyle w:val="75"/>
              <w:rPr>
                <w:highlight w:val="yellow"/>
              </w:rPr>
            </w:pPr>
          </w:p>
        </w:tc>
        <w:tc>
          <w:tcPr>
            <w:tcW w:w="1264" w:type="pct"/>
            <w:vMerge w:val="continue"/>
            <w:vAlign w:val="center"/>
          </w:tcPr>
          <w:p w14:paraId="33B664FC">
            <w:pPr>
              <w:pStyle w:val="75"/>
              <w:rPr>
                <w:highlight w:val="yellow"/>
              </w:rPr>
            </w:pPr>
          </w:p>
        </w:tc>
        <w:tc>
          <w:tcPr>
            <w:tcW w:w="1134" w:type="pct"/>
            <w:vAlign w:val="center"/>
          </w:tcPr>
          <w:p w14:paraId="774CE372">
            <w:pPr>
              <w:pStyle w:val="75"/>
            </w:pPr>
            <w:r>
              <w:rPr>
                <w:rFonts w:hint="eastAsia"/>
              </w:rPr>
              <w:t>NH</w:t>
            </w:r>
            <w:r>
              <w:rPr>
                <w:rFonts w:hint="eastAsia"/>
                <w:vertAlign w:val="subscript"/>
              </w:rPr>
              <w:t>3</w:t>
            </w:r>
            <w:r>
              <w:rPr>
                <w:rFonts w:hint="eastAsia"/>
              </w:rPr>
              <w:t>-N</w:t>
            </w:r>
          </w:p>
        </w:tc>
        <w:tc>
          <w:tcPr>
            <w:tcW w:w="1963" w:type="pct"/>
            <w:gridSpan w:val="2"/>
            <w:vAlign w:val="center"/>
          </w:tcPr>
          <w:p w14:paraId="5BBE8CB1">
            <w:pPr>
              <w:pStyle w:val="75"/>
            </w:pPr>
            <w:r>
              <w:rPr>
                <w:rFonts w:hint="eastAsia"/>
              </w:rPr>
              <w:t>1.5mg/L</w:t>
            </w:r>
          </w:p>
        </w:tc>
      </w:tr>
      <w:tr w14:paraId="53204D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A6A04D1">
            <w:pPr>
              <w:pStyle w:val="75"/>
              <w:rPr>
                <w:highlight w:val="yellow"/>
              </w:rPr>
            </w:pPr>
          </w:p>
        </w:tc>
        <w:tc>
          <w:tcPr>
            <w:tcW w:w="1264" w:type="pct"/>
            <w:vMerge w:val="continue"/>
            <w:vAlign w:val="center"/>
          </w:tcPr>
          <w:p w14:paraId="5047BAE3">
            <w:pPr>
              <w:pStyle w:val="75"/>
              <w:rPr>
                <w:highlight w:val="yellow"/>
              </w:rPr>
            </w:pPr>
          </w:p>
        </w:tc>
        <w:tc>
          <w:tcPr>
            <w:tcW w:w="1134" w:type="pct"/>
            <w:vAlign w:val="center"/>
          </w:tcPr>
          <w:p w14:paraId="6AD98522">
            <w:pPr>
              <w:pStyle w:val="75"/>
            </w:pPr>
            <w:r>
              <w:rPr>
                <w:rFonts w:hint="eastAsia"/>
              </w:rPr>
              <w:t>TP</w:t>
            </w:r>
          </w:p>
        </w:tc>
        <w:tc>
          <w:tcPr>
            <w:tcW w:w="1963" w:type="pct"/>
            <w:gridSpan w:val="2"/>
            <w:vAlign w:val="center"/>
          </w:tcPr>
          <w:p w14:paraId="35D54E0E">
            <w:pPr>
              <w:pStyle w:val="75"/>
            </w:pPr>
            <w:r>
              <w:t>0.</w:t>
            </w:r>
            <w:r>
              <w:rPr>
                <w:rFonts w:hint="eastAsia"/>
              </w:rPr>
              <w:t>3mg/L</w:t>
            </w:r>
          </w:p>
        </w:tc>
      </w:tr>
      <w:tr w14:paraId="5F743E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952757F">
            <w:pPr>
              <w:pStyle w:val="75"/>
              <w:rPr>
                <w:highlight w:val="yellow"/>
              </w:rPr>
            </w:pPr>
          </w:p>
        </w:tc>
        <w:tc>
          <w:tcPr>
            <w:tcW w:w="1264" w:type="pct"/>
            <w:vMerge w:val="continue"/>
            <w:vAlign w:val="center"/>
          </w:tcPr>
          <w:p w14:paraId="0B7240F6">
            <w:pPr>
              <w:pStyle w:val="75"/>
              <w:rPr>
                <w:highlight w:val="yellow"/>
              </w:rPr>
            </w:pPr>
          </w:p>
        </w:tc>
        <w:tc>
          <w:tcPr>
            <w:tcW w:w="1134" w:type="pct"/>
            <w:vAlign w:val="center"/>
          </w:tcPr>
          <w:p w14:paraId="3932DD35">
            <w:pPr>
              <w:pStyle w:val="75"/>
            </w:pPr>
            <w:r>
              <w:rPr>
                <w:rFonts w:hint="eastAsia"/>
              </w:rPr>
              <w:t>TN</w:t>
            </w:r>
          </w:p>
        </w:tc>
        <w:tc>
          <w:tcPr>
            <w:tcW w:w="1963" w:type="pct"/>
            <w:gridSpan w:val="2"/>
            <w:vAlign w:val="center"/>
          </w:tcPr>
          <w:p w14:paraId="6F5D0ACD">
            <w:pPr>
              <w:pStyle w:val="75"/>
            </w:pPr>
            <w:r>
              <w:rPr>
                <w:rFonts w:hint="eastAsia"/>
              </w:rPr>
              <w:t>1.5mg/L</w:t>
            </w:r>
          </w:p>
        </w:tc>
      </w:tr>
      <w:tr w14:paraId="4EFAF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restart"/>
            <w:vAlign w:val="center"/>
          </w:tcPr>
          <w:p w14:paraId="098BC16E">
            <w:pPr>
              <w:pStyle w:val="75"/>
            </w:pPr>
            <w:r>
              <w:rPr>
                <w:rFonts w:hint="eastAsia"/>
              </w:rPr>
              <w:t>环境空气</w:t>
            </w:r>
          </w:p>
        </w:tc>
        <w:tc>
          <w:tcPr>
            <w:tcW w:w="1264" w:type="pct"/>
            <w:vMerge w:val="restart"/>
            <w:vAlign w:val="center"/>
          </w:tcPr>
          <w:p w14:paraId="518846AB">
            <w:pPr>
              <w:pStyle w:val="75"/>
              <w:jc w:val="left"/>
            </w:pPr>
            <w:r>
              <w:rPr>
                <w:rFonts w:hint="eastAsia"/>
              </w:rPr>
              <w:t>《环境空气质量标准》（GB3095-2012）二级</w:t>
            </w:r>
          </w:p>
        </w:tc>
        <w:tc>
          <w:tcPr>
            <w:tcW w:w="1134" w:type="pct"/>
            <w:vMerge w:val="restart"/>
            <w:vAlign w:val="center"/>
          </w:tcPr>
          <w:p w14:paraId="740BE051">
            <w:pPr>
              <w:pStyle w:val="75"/>
            </w:pPr>
            <w:r>
              <w:rPr>
                <w:rFonts w:hint="eastAsia"/>
              </w:rPr>
              <w:t>PM</w:t>
            </w:r>
            <w:r>
              <w:rPr>
                <w:rFonts w:hint="eastAsia"/>
                <w:vertAlign w:val="subscript"/>
              </w:rPr>
              <w:t>2.5</w:t>
            </w:r>
          </w:p>
        </w:tc>
        <w:tc>
          <w:tcPr>
            <w:tcW w:w="1963" w:type="pct"/>
            <w:gridSpan w:val="2"/>
            <w:vAlign w:val="center"/>
          </w:tcPr>
          <w:p w14:paraId="2BEA1A2D">
            <w:pPr>
              <w:pStyle w:val="75"/>
            </w:pPr>
            <w:r>
              <w:rPr>
                <w:rFonts w:hint="eastAsia"/>
              </w:rPr>
              <w:t>24小时平均</w:t>
            </w:r>
            <w:r>
              <w:rPr>
                <w:rFonts w:hint="eastAsia"/>
                <w:lang w:val="en-US" w:eastAsia="zh-CN"/>
              </w:rPr>
              <w:t xml:space="preserve"> </w:t>
            </w:r>
            <w:r>
              <w:rPr>
                <w:rFonts w:hint="eastAsia"/>
              </w:rPr>
              <w:t>75</w:t>
            </w:r>
            <w:r>
              <w:t>μg</w:t>
            </w:r>
            <w:r>
              <w:rPr>
                <w:rFonts w:hint="eastAsia"/>
              </w:rPr>
              <w:t>/m</w:t>
            </w:r>
            <w:r>
              <w:rPr>
                <w:rFonts w:hint="eastAsia"/>
                <w:vertAlign w:val="superscript"/>
              </w:rPr>
              <w:t>3</w:t>
            </w:r>
          </w:p>
        </w:tc>
      </w:tr>
      <w:tr w14:paraId="56272F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E0AD8E6">
            <w:pPr>
              <w:pStyle w:val="75"/>
              <w:rPr>
                <w:highlight w:val="yellow"/>
              </w:rPr>
            </w:pPr>
          </w:p>
        </w:tc>
        <w:tc>
          <w:tcPr>
            <w:tcW w:w="1264" w:type="pct"/>
            <w:vMerge w:val="continue"/>
            <w:vAlign w:val="center"/>
          </w:tcPr>
          <w:p w14:paraId="512FB34A">
            <w:pPr>
              <w:pStyle w:val="75"/>
              <w:rPr>
                <w:highlight w:val="yellow"/>
              </w:rPr>
            </w:pPr>
          </w:p>
        </w:tc>
        <w:tc>
          <w:tcPr>
            <w:tcW w:w="1134" w:type="pct"/>
            <w:vMerge w:val="continue"/>
            <w:vAlign w:val="center"/>
          </w:tcPr>
          <w:p w14:paraId="2DFDFF84">
            <w:pPr>
              <w:pStyle w:val="75"/>
              <w:rPr>
                <w:highlight w:val="yellow"/>
              </w:rPr>
            </w:pPr>
          </w:p>
        </w:tc>
        <w:tc>
          <w:tcPr>
            <w:tcW w:w="1963" w:type="pct"/>
            <w:gridSpan w:val="2"/>
            <w:vAlign w:val="center"/>
          </w:tcPr>
          <w:p w14:paraId="2EC1A6C2">
            <w:pPr>
              <w:pStyle w:val="75"/>
            </w:pPr>
            <w:r>
              <w:rPr>
                <w:rFonts w:hint="eastAsia"/>
              </w:rPr>
              <w:t>年平均</w:t>
            </w:r>
            <w:r>
              <w:rPr>
                <w:rFonts w:hint="eastAsia"/>
                <w:lang w:val="en-US" w:eastAsia="zh-CN"/>
              </w:rPr>
              <w:t xml:space="preserve"> </w:t>
            </w:r>
            <w:r>
              <w:rPr>
                <w:rFonts w:hint="eastAsia"/>
              </w:rPr>
              <w:t>35</w:t>
            </w:r>
            <w:r>
              <w:t>μg</w:t>
            </w:r>
            <w:r>
              <w:rPr>
                <w:rFonts w:hint="eastAsia"/>
              </w:rPr>
              <w:t>/m</w:t>
            </w:r>
            <w:r>
              <w:rPr>
                <w:rFonts w:hint="eastAsia"/>
                <w:vertAlign w:val="superscript"/>
              </w:rPr>
              <w:t>3</w:t>
            </w:r>
          </w:p>
        </w:tc>
      </w:tr>
      <w:tr w14:paraId="0FD60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84E7A1C">
            <w:pPr>
              <w:pStyle w:val="75"/>
              <w:rPr>
                <w:highlight w:val="yellow"/>
              </w:rPr>
            </w:pPr>
          </w:p>
        </w:tc>
        <w:tc>
          <w:tcPr>
            <w:tcW w:w="1264" w:type="pct"/>
            <w:vMerge w:val="continue"/>
            <w:vAlign w:val="center"/>
          </w:tcPr>
          <w:p w14:paraId="35AF558C">
            <w:pPr>
              <w:pStyle w:val="75"/>
              <w:rPr>
                <w:highlight w:val="yellow"/>
              </w:rPr>
            </w:pPr>
          </w:p>
        </w:tc>
        <w:tc>
          <w:tcPr>
            <w:tcW w:w="1134" w:type="pct"/>
            <w:vMerge w:val="restart"/>
            <w:vAlign w:val="center"/>
          </w:tcPr>
          <w:p w14:paraId="22719961">
            <w:pPr>
              <w:pStyle w:val="75"/>
            </w:pPr>
            <w:r>
              <w:rPr>
                <w:rFonts w:hint="eastAsia"/>
              </w:rPr>
              <w:t>PM</w:t>
            </w:r>
            <w:r>
              <w:rPr>
                <w:rFonts w:hint="eastAsia"/>
                <w:vertAlign w:val="subscript"/>
              </w:rPr>
              <w:t>10</w:t>
            </w:r>
          </w:p>
        </w:tc>
        <w:tc>
          <w:tcPr>
            <w:tcW w:w="1963" w:type="pct"/>
            <w:gridSpan w:val="2"/>
            <w:vAlign w:val="center"/>
          </w:tcPr>
          <w:p w14:paraId="7B15D695">
            <w:pPr>
              <w:pStyle w:val="75"/>
            </w:pPr>
            <w:r>
              <w:rPr>
                <w:rFonts w:hint="eastAsia"/>
              </w:rPr>
              <w:t>24小时平均</w:t>
            </w:r>
            <w:r>
              <w:rPr>
                <w:rFonts w:hint="eastAsia"/>
                <w:lang w:val="en-US" w:eastAsia="zh-CN"/>
              </w:rPr>
              <w:t xml:space="preserve"> </w:t>
            </w:r>
            <w:r>
              <w:rPr>
                <w:rFonts w:hint="eastAsia"/>
              </w:rPr>
              <w:t>150</w:t>
            </w:r>
            <w:r>
              <w:t>μg</w:t>
            </w:r>
            <w:r>
              <w:rPr>
                <w:rFonts w:hint="eastAsia"/>
              </w:rPr>
              <w:t>/m</w:t>
            </w:r>
            <w:r>
              <w:rPr>
                <w:rFonts w:hint="eastAsia"/>
                <w:vertAlign w:val="superscript"/>
              </w:rPr>
              <w:t>3</w:t>
            </w:r>
          </w:p>
        </w:tc>
      </w:tr>
      <w:tr w14:paraId="30530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0343387">
            <w:pPr>
              <w:pStyle w:val="75"/>
              <w:rPr>
                <w:highlight w:val="yellow"/>
              </w:rPr>
            </w:pPr>
          </w:p>
        </w:tc>
        <w:tc>
          <w:tcPr>
            <w:tcW w:w="1264" w:type="pct"/>
            <w:vMerge w:val="continue"/>
            <w:vAlign w:val="center"/>
          </w:tcPr>
          <w:p w14:paraId="0DA9893A">
            <w:pPr>
              <w:pStyle w:val="75"/>
              <w:rPr>
                <w:highlight w:val="yellow"/>
              </w:rPr>
            </w:pPr>
          </w:p>
        </w:tc>
        <w:tc>
          <w:tcPr>
            <w:tcW w:w="1134" w:type="pct"/>
            <w:vMerge w:val="continue"/>
            <w:vAlign w:val="center"/>
          </w:tcPr>
          <w:p w14:paraId="3C023EFA">
            <w:pPr>
              <w:pStyle w:val="75"/>
            </w:pPr>
          </w:p>
        </w:tc>
        <w:tc>
          <w:tcPr>
            <w:tcW w:w="1963" w:type="pct"/>
            <w:gridSpan w:val="2"/>
            <w:vAlign w:val="center"/>
          </w:tcPr>
          <w:p w14:paraId="7A51D486">
            <w:pPr>
              <w:pStyle w:val="75"/>
            </w:pPr>
            <w:r>
              <w:rPr>
                <w:rFonts w:hint="eastAsia"/>
              </w:rPr>
              <w:t>年平均70</w:t>
            </w:r>
            <w:r>
              <w:t>μg</w:t>
            </w:r>
            <w:r>
              <w:rPr>
                <w:rFonts w:hint="eastAsia"/>
              </w:rPr>
              <w:t>/m</w:t>
            </w:r>
            <w:r>
              <w:rPr>
                <w:rFonts w:hint="eastAsia"/>
                <w:vertAlign w:val="superscript"/>
              </w:rPr>
              <w:t>3</w:t>
            </w:r>
          </w:p>
        </w:tc>
      </w:tr>
      <w:tr w14:paraId="08CF54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C0029AD">
            <w:pPr>
              <w:pStyle w:val="75"/>
              <w:rPr>
                <w:highlight w:val="yellow"/>
              </w:rPr>
            </w:pPr>
          </w:p>
        </w:tc>
        <w:tc>
          <w:tcPr>
            <w:tcW w:w="1264" w:type="pct"/>
            <w:vMerge w:val="continue"/>
            <w:vAlign w:val="center"/>
          </w:tcPr>
          <w:p w14:paraId="2D4BBA99">
            <w:pPr>
              <w:pStyle w:val="75"/>
              <w:rPr>
                <w:highlight w:val="yellow"/>
              </w:rPr>
            </w:pPr>
          </w:p>
        </w:tc>
        <w:tc>
          <w:tcPr>
            <w:tcW w:w="1134" w:type="pct"/>
            <w:vMerge w:val="restart"/>
            <w:vAlign w:val="center"/>
          </w:tcPr>
          <w:p w14:paraId="4D425706">
            <w:pPr>
              <w:pStyle w:val="75"/>
            </w:pPr>
            <w:r>
              <w:rPr>
                <w:rFonts w:hint="eastAsia"/>
              </w:rPr>
              <w:t>SO</w:t>
            </w:r>
            <w:r>
              <w:rPr>
                <w:rFonts w:hint="eastAsia"/>
                <w:vertAlign w:val="subscript"/>
              </w:rPr>
              <w:t>2</w:t>
            </w:r>
          </w:p>
        </w:tc>
        <w:tc>
          <w:tcPr>
            <w:tcW w:w="1963" w:type="pct"/>
            <w:gridSpan w:val="2"/>
            <w:vAlign w:val="center"/>
          </w:tcPr>
          <w:p w14:paraId="05B8422C">
            <w:pPr>
              <w:pStyle w:val="75"/>
            </w:pPr>
            <w:r>
              <w:rPr>
                <w:rFonts w:hint="eastAsia"/>
              </w:rPr>
              <w:t>1小时平均</w:t>
            </w:r>
            <w:r>
              <w:rPr>
                <w:rFonts w:hint="eastAsia"/>
                <w:lang w:val="en-US" w:eastAsia="zh-CN"/>
              </w:rPr>
              <w:t xml:space="preserve"> </w:t>
            </w:r>
            <w:r>
              <w:rPr>
                <w:rFonts w:hint="eastAsia"/>
              </w:rPr>
              <w:t>500</w:t>
            </w:r>
            <w:r>
              <w:t>μg</w:t>
            </w:r>
            <w:r>
              <w:rPr>
                <w:rFonts w:hint="eastAsia"/>
              </w:rPr>
              <w:t>/m</w:t>
            </w:r>
            <w:r>
              <w:rPr>
                <w:rFonts w:hint="eastAsia"/>
                <w:vertAlign w:val="superscript"/>
              </w:rPr>
              <w:t>3</w:t>
            </w:r>
          </w:p>
        </w:tc>
      </w:tr>
      <w:tr w14:paraId="1F2767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4DED811">
            <w:pPr>
              <w:pStyle w:val="75"/>
              <w:rPr>
                <w:highlight w:val="yellow"/>
              </w:rPr>
            </w:pPr>
          </w:p>
        </w:tc>
        <w:tc>
          <w:tcPr>
            <w:tcW w:w="1264" w:type="pct"/>
            <w:vMerge w:val="continue"/>
            <w:vAlign w:val="center"/>
          </w:tcPr>
          <w:p w14:paraId="4413B0FC">
            <w:pPr>
              <w:pStyle w:val="75"/>
              <w:rPr>
                <w:highlight w:val="yellow"/>
              </w:rPr>
            </w:pPr>
          </w:p>
        </w:tc>
        <w:tc>
          <w:tcPr>
            <w:tcW w:w="1134" w:type="pct"/>
            <w:vMerge w:val="continue"/>
            <w:vAlign w:val="center"/>
          </w:tcPr>
          <w:p w14:paraId="42797EDA">
            <w:pPr>
              <w:pStyle w:val="75"/>
            </w:pPr>
          </w:p>
        </w:tc>
        <w:tc>
          <w:tcPr>
            <w:tcW w:w="1963" w:type="pct"/>
            <w:gridSpan w:val="2"/>
            <w:vAlign w:val="center"/>
          </w:tcPr>
          <w:p w14:paraId="4A0439BA">
            <w:pPr>
              <w:pStyle w:val="75"/>
            </w:pPr>
            <w:r>
              <w:rPr>
                <w:rFonts w:hint="eastAsia"/>
              </w:rPr>
              <w:t>24小时平均</w:t>
            </w:r>
            <w:r>
              <w:rPr>
                <w:rFonts w:hint="eastAsia"/>
                <w:lang w:val="en-US" w:eastAsia="zh-CN"/>
              </w:rPr>
              <w:t xml:space="preserve"> </w:t>
            </w:r>
            <w:r>
              <w:rPr>
                <w:rFonts w:hint="eastAsia"/>
              </w:rPr>
              <w:t>150</w:t>
            </w:r>
            <w:r>
              <w:t>μg</w:t>
            </w:r>
            <w:r>
              <w:rPr>
                <w:rFonts w:hint="eastAsia"/>
              </w:rPr>
              <w:t>/m</w:t>
            </w:r>
            <w:r>
              <w:rPr>
                <w:rFonts w:hint="eastAsia"/>
                <w:vertAlign w:val="superscript"/>
              </w:rPr>
              <w:t>3</w:t>
            </w:r>
          </w:p>
        </w:tc>
      </w:tr>
      <w:tr w14:paraId="79CD13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5C68F32">
            <w:pPr>
              <w:pStyle w:val="75"/>
              <w:rPr>
                <w:highlight w:val="yellow"/>
              </w:rPr>
            </w:pPr>
          </w:p>
        </w:tc>
        <w:tc>
          <w:tcPr>
            <w:tcW w:w="1264" w:type="pct"/>
            <w:vMerge w:val="continue"/>
            <w:vAlign w:val="center"/>
          </w:tcPr>
          <w:p w14:paraId="6D705BEF">
            <w:pPr>
              <w:pStyle w:val="75"/>
              <w:rPr>
                <w:highlight w:val="yellow"/>
              </w:rPr>
            </w:pPr>
          </w:p>
        </w:tc>
        <w:tc>
          <w:tcPr>
            <w:tcW w:w="1134" w:type="pct"/>
            <w:vMerge w:val="continue"/>
            <w:vAlign w:val="center"/>
          </w:tcPr>
          <w:p w14:paraId="0A83D9D0">
            <w:pPr>
              <w:pStyle w:val="75"/>
            </w:pPr>
          </w:p>
        </w:tc>
        <w:tc>
          <w:tcPr>
            <w:tcW w:w="1963" w:type="pct"/>
            <w:gridSpan w:val="2"/>
            <w:vAlign w:val="center"/>
          </w:tcPr>
          <w:p w14:paraId="7B294871">
            <w:pPr>
              <w:pStyle w:val="75"/>
            </w:pPr>
            <w:r>
              <w:rPr>
                <w:rFonts w:hint="eastAsia"/>
              </w:rPr>
              <w:t>年平均</w:t>
            </w:r>
            <w:r>
              <w:rPr>
                <w:rFonts w:hint="eastAsia"/>
                <w:lang w:val="en-US" w:eastAsia="zh-CN"/>
              </w:rPr>
              <w:t xml:space="preserve"> </w:t>
            </w:r>
            <w:r>
              <w:rPr>
                <w:rFonts w:hint="eastAsia"/>
              </w:rPr>
              <w:t>60</w:t>
            </w:r>
            <w:r>
              <w:t>μg</w:t>
            </w:r>
            <w:r>
              <w:rPr>
                <w:rFonts w:hint="eastAsia"/>
              </w:rPr>
              <w:t>/m</w:t>
            </w:r>
            <w:r>
              <w:rPr>
                <w:rFonts w:hint="eastAsia"/>
                <w:vertAlign w:val="superscript"/>
              </w:rPr>
              <w:t>3</w:t>
            </w:r>
          </w:p>
        </w:tc>
      </w:tr>
      <w:tr w14:paraId="77012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B60F19A">
            <w:pPr>
              <w:pStyle w:val="75"/>
              <w:rPr>
                <w:highlight w:val="yellow"/>
              </w:rPr>
            </w:pPr>
          </w:p>
        </w:tc>
        <w:tc>
          <w:tcPr>
            <w:tcW w:w="1264" w:type="pct"/>
            <w:vMerge w:val="continue"/>
            <w:vAlign w:val="center"/>
          </w:tcPr>
          <w:p w14:paraId="612181FA">
            <w:pPr>
              <w:pStyle w:val="75"/>
              <w:rPr>
                <w:highlight w:val="yellow"/>
              </w:rPr>
            </w:pPr>
          </w:p>
        </w:tc>
        <w:tc>
          <w:tcPr>
            <w:tcW w:w="1134" w:type="pct"/>
            <w:vMerge w:val="restart"/>
            <w:vAlign w:val="center"/>
          </w:tcPr>
          <w:p w14:paraId="5D843646">
            <w:pPr>
              <w:pStyle w:val="75"/>
            </w:pPr>
            <w:r>
              <w:rPr>
                <w:rFonts w:hint="eastAsia"/>
              </w:rPr>
              <w:t>NO</w:t>
            </w:r>
            <w:r>
              <w:rPr>
                <w:rFonts w:hint="eastAsia"/>
                <w:vertAlign w:val="subscript"/>
              </w:rPr>
              <w:t>2</w:t>
            </w:r>
          </w:p>
        </w:tc>
        <w:tc>
          <w:tcPr>
            <w:tcW w:w="1963" w:type="pct"/>
            <w:gridSpan w:val="2"/>
            <w:vAlign w:val="center"/>
          </w:tcPr>
          <w:p w14:paraId="400ABCFE">
            <w:pPr>
              <w:pStyle w:val="75"/>
            </w:pPr>
            <w:r>
              <w:rPr>
                <w:rFonts w:hint="eastAsia"/>
              </w:rPr>
              <w:t>1小时平均</w:t>
            </w:r>
            <w:r>
              <w:rPr>
                <w:rFonts w:hint="eastAsia"/>
                <w:lang w:val="en-US" w:eastAsia="zh-CN"/>
              </w:rPr>
              <w:t xml:space="preserve"> </w:t>
            </w:r>
            <w:r>
              <w:rPr>
                <w:rFonts w:hint="eastAsia"/>
              </w:rPr>
              <w:t>200</w:t>
            </w:r>
            <w:r>
              <w:t>μg</w:t>
            </w:r>
            <w:r>
              <w:rPr>
                <w:rFonts w:hint="eastAsia"/>
              </w:rPr>
              <w:t>/m</w:t>
            </w:r>
            <w:r>
              <w:rPr>
                <w:rFonts w:hint="eastAsia"/>
                <w:vertAlign w:val="superscript"/>
              </w:rPr>
              <w:t>3</w:t>
            </w:r>
          </w:p>
        </w:tc>
      </w:tr>
      <w:tr w14:paraId="2E5355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37D541C">
            <w:pPr>
              <w:pStyle w:val="75"/>
              <w:rPr>
                <w:highlight w:val="yellow"/>
              </w:rPr>
            </w:pPr>
          </w:p>
        </w:tc>
        <w:tc>
          <w:tcPr>
            <w:tcW w:w="1264" w:type="pct"/>
            <w:vMerge w:val="continue"/>
            <w:vAlign w:val="center"/>
          </w:tcPr>
          <w:p w14:paraId="7A1064D9">
            <w:pPr>
              <w:pStyle w:val="75"/>
              <w:rPr>
                <w:highlight w:val="yellow"/>
              </w:rPr>
            </w:pPr>
          </w:p>
        </w:tc>
        <w:tc>
          <w:tcPr>
            <w:tcW w:w="1134" w:type="pct"/>
            <w:vMerge w:val="continue"/>
            <w:vAlign w:val="center"/>
          </w:tcPr>
          <w:p w14:paraId="61F9DF40">
            <w:pPr>
              <w:pStyle w:val="75"/>
            </w:pPr>
          </w:p>
        </w:tc>
        <w:tc>
          <w:tcPr>
            <w:tcW w:w="1963" w:type="pct"/>
            <w:gridSpan w:val="2"/>
            <w:vAlign w:val="center"/>
          </w:tcPr>
          <w:p w14:paraId="13CCAE9C">
            <w:pPr>
              <w:pStyle w:val="75"/>
            </w:pPr>
            <w:r>
              <w:rPr>
                <w:rFonts w:hint="eastAsia"/>
              </w:rPr>
              <w:t>24小时平均</w:t>
            </w:r>
            <w:r>
              <w:rPr>
                <w:rFonts w:hint="eastAsia"/>
                <w:lang w:val="en-US" w:eastAsia="zh-CN"/>
              </w:rPr>
              <w:t xml:space="preserve"> </w:t>
            </w:r>
            <w:r>
              <w:rPr>
                <w:rFonts w:hint="eastAsia"/>
              </w:rPr>
              <w:t>80</w:t>
            </w:r>
            <w:r>
              <w:t>μg</w:t>
            </w:r>
            <w:r>
              <w:rPr>
                <w:rFonts w:hint="eastAsia"/>
              </w:rPr>
              <w:t>/m</w:t>
            </w:r>
            <w:r>
              <w:rPr>
                <w:rFonts w:hint="eastAsia"/>
                <w:vertAlign w:val="superscript"/>
              </w:rPr>
              <w:t>3</w:t>
            </w:r>
          </w:p>
        </w:tc>
      </w:tr>
      <w:tr w14:paraId="4A1ABD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DFF9214">
            <w:pPr>
              <w:pStyle w:val="75"/>
              <w:rPr>
                <w:highlight w:val="yellow"/>
              </w:rPr>
            </w:pPr>
          </w:p>
        </w:tc>
        <w:tc>
          <w:tcPr>
            <w:tcW w:w="1264" w:type="pct"/>
            <w:vMerge w:val="continue"/>
            <w:vAlign w:val="center"/>
          </w:tcPr>
          <w:p w14:paraId="6093DE4F">
            <w:pPr>
              <w:pStyle w:val="75"/>
              <w:rPr>
                <w:highlight w:val="yellow"/>
              </w:rPr>
            </w:pPr>
          </w:p>
        </w:tc>
        <w:tc>
          <w:tcPr>
            <w:tcW w:w="1134" w:type="pct"/>
            <w:vMerge w:val="continue"/>
            <w:vAlign w:val="center"/>
          </w:tcPr>
          <w:p w14:paraId="23C45CC2">
            <w:pPr>
              <w:pStyle w:val="75"/>
            </w:pPr>
          </w:p>
        </w:tc>
        <w:tc>
          <w:tcPr>
            <w:tcW w:w="1963" w:type="pct"/>
            <w:gridSpan w:val="2"/>
            <w:vAlign w:val="center"/>
          </w:tcPr>
          <w:p w14:paraId="62AAB626">
            <w:pPr>
              <w:pStyle w:val="75"/>
            </w:pPr>
            <w:r>
              <w:rPr>
                <w:rFonts w:hint="eastAsia"/>
              </w:rPr>
              <w:t>年平均</w:t>
            </w:r>
            <w:r>
              <w:rPr>
                <w:rFonts w:hint="eastAsia"/>
                <w:lang w:val="en-US" w:eastAsia="zh-CN"/>
              </w:rPr>
              <w:t xml:space="preserve"> </w:t>
            </w:r>
            <w:r>
              <w:rPr>
                <w:rFonts w:hint="eastAsia"/>
              </w:rPr>
              <w:t>40</w:t>
            </w:r>
            <w:r>
              <w:t>μg</w:t>
            </w:r>
            <w:r>
              <w:rPr>
                <w:rFonts w:hint="eastAsia"/>
              </w:rPr>
              <w:t>/m</w:t>
            </w:r>
            <w:r>
              <w:rPr>
                <w:rFonts w:hint="eastAsia"/>
                <w:vertAlign w:val="superscript"/>
              </w:rPr>
              <w:t>3</w:t>
            </w:r>
          </w:p>
        </w:tc>
      </w:tr>
      <w:tr w14:paraId="35EB6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ED64EFC">
            <w:pPr>
              <w:pStyle w:val="75"/>
              <w:rPr>
                <w:highlight w:val="yellow"/>
              </w:rPr>
            </w:pPr>
          </w:p>
        </w:tc>
        <w:tc>
          <w:tcPr>
            <w:tcW w:w="1264" w:type="pct"/>
            <w:vMerge w:val="continue"/>
            <w:vAlign w:val="center"/>
          </w:tcPr>
          <w:p w14:paraId="7EA11BFE">
            <w:pPr>
              <w:pStyle w:val="75"/>
              <w:rPr>
                <w:highlight w:val="yellow"/>
              </w:rPr>
            </w:pPr>
          </w:p>
        </w:tc>
        <w:tc>
          <w:tcPr>
            <w:tcW w:w="1134" w:type="pct"/>
            <w:vMerge w:val="restart"/>
            <w:vAlign w:val="center"/>
          </w:tcPr>
          <w:p w14:paraId="05BBE89F">
            <w:pPr>
              <w:pStyle w:val="75"/>
              <w:jc w:val="center"/>
            </w:pPr>
            <w:r>
              <w:rPr>
                <w:rFonts w:hint="eastAsia"/>
              </w:rPr>
              <w:t>O</w:t>
            </w:r>
            <w:r>
              <w:rPr>
                <w:rFonts w:hint="eastAsia"/>
                <w:vertAlign w:val="subscript"/>
              </w:rPr>
              <w:t>3</w:t>
            </w:r>
          </w:p>
        </w:tc>
        <w:tc>
          <w:tcPr>
            <w:tcW w:w="1963" w:type="pct"/>
            <w:gridSpan w:val="2"/>
            <w:vAlign w:val="center"/>
          </w:tcPr>
          <w:p w14:paraId="14D7CD4B">
            <w:pPr>
              <w:pStyle w:val="75"/>
              <w:jc w:val="center"/>
            </w:pPr>
            <w:r>
              <w:rPr>
                <w:rFonts w:hint="eastAsia"/>
              </w:rPr>
              <w:t>日最大8小时平均160</w:t>
            </w:r>
            <w:r>
              <w:t>μg</w:t>
            </w:r>
            <w:r>
              <w:rPr>
                <w:rFonts w:hint="eastAsia"/>
              </w:rPr>
              <w:t>/m</w:t>
            </w:r>
            <w:r>
              <w:rPr>
                <w:rFonts w:hint="eastAsia"/>
                <w:vertAlign w:val="superscript"/>
              </w:rPr>
              <w:t>3</w:t>
            </w:r>
          </w:p>
        </w:tc>
      </w:tr>
      <w:tr w14:paraId="6C8070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3A28B9D">
            <w:pPr>
              <w:pStyle w:val="75"/>
              <w:rPr>
                <w:highlight w:val="yellow"/>
              </w:rPr>
            </w:pPr>
          </w:p>
        </w:tc>
        <w:tc>
          <w:tcPr>
            <w:tcW w:w="1264" w:type="pct"/>
            <w:vMerge w:val="continue"/>
            <w:vAlign w:val="center"/>
          </w:tcPr>
          <w:p w14:paraId="2DD2CA85">
            <w:pPr>
              <w:pStyle w:val="75"/>
              <w:rPr>
                <w:highlight w:val="yellow"/>
              </w:rPr>
            </w:pPr>
          </w:p>
        </w:tc>
        <w:tc>
          <w:tcPr>
            <w:tcW w:w="1134" w:type="pct"/>
            <w:vMerge w:val="continue"/>
            <w:vAlign w:val="center"/>
          </w:tcPr>
          <w:p w14:paraId="0AB02AE9">
            <w:pPr>
              <w:pStyle w:val="75"/>
              <w:jc w:val="center"/>
            </w:pPr>
          </w:p>
        </w:tc>
        <w:tc>
          <w:tcPr>
            <w:tcW w:w="1963" w:type="pct"/>
            <w:gridSpan w:val="2"/>
            <w:vAlign w:val="center"/>
          </w:tcPr>
          <w:p w14:paraId="53DD5130">
            <w:pPr>
              <w:pStyle w:val="75"/>
              <w:jc w:val="center"/>
            </w:pPr>
            <w:r>
              <w:rPr>
                <w:rFonts w:hint="eastAsia"/>
              </w:rPr>
              <w:t>1小时平均</w:t>
            </w:r>
            <w:r>
              <w:rPr>
                <w:rFonts w:hint="eastAsia"/>
                <w:lang w:val="en-US" w:eastAsia="zh-CN"/>
              </w:rPr>
              <w:t xml:space="preserve"> </w:t>
            </w:r>
            <w:r>
              <w:rPr>
                <w:rFonts w:hint="eastAsia"/>
              </w:rPr>
              <w:t>200</w:t>
            </w:r>
            <w:r>
              <w:t>μg</w:t>
            </w:r>
            <w:r>
              <w:rPr>
                <w:rFonts w:hint="eastAsia"/>
              </w:rPr>
              <w:t>/m</w:t>
            </w:r>
            <w:r>
              <w:rPr>
                <w:rFonts w:hint="eastAsia"/>
                <w:vertAlign w:val="superscript"/>
              </w:rPr>
              <w:t>3</w:t>
            </w:r>
          </w:p>
        </w:tc>
      </w:tr>
      <w:tr w14:paraId="5C3D6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3A2279B">
            <w:pPr>
              <w:pStyle w:val="75"/>
              <w:rPr>
                <w:highlight w:val="yellow"/>
              </w:rPr>
            </w:pPr>
          </w:p>
        </w:tc>
        <w:tc>
          <w:tcPr>
            <w:tcW w:w="1264" w:type="pct"/>
            <w:vMerge w:val="continue"/>
            <w:vAlign w:val="center"/>
          </w:tcPr>
          <w:p w14:paraId="4ED62692">
            <w:pPr>
              <w:pStyle w:val="75"/>
              <w:rPr>
                <w:highlight w:val="yellow"/>
              </w:rPr>
            </w:pPr>
          </w:p>
        </w:tc>
        <w:tc>
          <w:tcPr>
            <w:tcW w:w="1134" w:type="pct"/>
            <w:vMerge w:val="restart"/>
            <w:vAlign w:val="center"/>
          </w:tcPr>
          <w:p w14:paraId="089290E6">
            <w:pPr>
              <w:pStyle w:val="75"/>
            </w:pPr>
            <w:r>
              <w:rPr>
                <w:rFonts w:hint="eastAsia"/>
              </w:rPr>
              <w:t>CO</w:t>
            </w:r>
          </w:p>
        </w:tc>
        <w:tc>
          <w:tcPr>
            <w:tcW w:w="1963" w:type="pct"/>
            <w:gridSpan w:val="2"/>
            <w:vAlign w:val="center"/>
          </w:tcPr>
          <w:p w14:paraId="79CD8392">
            <w:pPr>
              <w:pStyle w:val="75"/>
            </w:pPr>
            <w:r>
              <w:rPr>
                <w:rFonts w:hint="eastAsia"/>
              </w:rPr>
              <w:t>1小时平均</w:t>
            </w:r>
            <w:r>
              <w:rPr>
                <w:rFonts w:hint="eastAsia"/>
                <w:lang w:val="en-US" w:eastAsia="zh-CN"/>
              </w:rPr>
              <w:t xml:space="preserve"> </w:t>
            </w:r>
            <w:r>
              <w:rPr>
                <w:rFonts w:hint="eastAsia"/>
              </w:rPr>
              <w:t>10</w:t>
            </w:r>
            <w:r>
              <w:t>mg</w:t>
            </w:r>
            <w:r>
              <w:rPr>
                <w:rFonts w:hint="eastAsia"/>
              </w:rPr>
              <w:t>/m</w:t>
            </w:r>
            <w:r>
              <w:rPr>
                <w:rFonts w:hint="eastAsia"/>
                <w:vertAlign w:val="superscript"/>
              </w:rPr>
              <w:t>3</w:t>
            </w:r>
          </w:p>
        </w:tc>
      </w:tr>
      <w:tr w14:paraId="5FB73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F42FD82">
            <w:pPr>
              <w:pStyle w:val="75"/>
              <w:rPr>
                <w:highlight w:val="yellow"/>
              </w:rPr>
            </w:pPr>
          </w:p>
        </w:tc>
        <w:tc>
          <w:tcPr>
            <w:tcW w:w="1264" w:type="pct"/>
            <w:vMerge w:val="continue"/>
            <w:vAlign w:val="center"/>
          </w:tcPr>
          <w:p w14:paraId="6804282F">
            <w:pPr>
              <w:pStyle w:val="75"/>
              <w:rPr>
                <w:highlight w:val="yellow"/>
              </w:rPr>
            </w:pPr>
          </w:p>
        </w:tc>
        <w:tc>
          <w:tcPr>
            <w:tcW w:w="1134" w:type="pct"/>
            <w:vMerge w:val="continue"/>
            <w:vAlign w:val="center"/>
          </w:tcPr>
          <w:p w14:paraId="0286899D">
            <w:pPr>
              <w:pStyle w:val="75"/>
            </w:pPr>
          </w:p>
        </w:tc>
        <w:tc>
          <w:tcPr>
            <w:tcW w:w="1963" w:type="pct"/>
            <w:gridSpan w:val="2"/>
            <w:vAlign w:val="center"/>
          </w:tcPr>
          <w:p w14:paraId="7E5A0D25">
            <w:pPr>
              <w:pStyle w:val="75"/>
            </w:pPr>
            <w:r>
              <w:rPr>
                <w:rFonts w:hint="eastAsia"/>
              </w:rPr>
              <w:t>24小时平均</w:t>
            </w:r>
            <w:r>
              <w:rPr>
                <w:rFonts w:hint="eastAsia"/>
                <w:lang w:val="en-US" w:eastAsia="zh-CN"/>
              </w:rPr>
              <w:t xml:space="preserve"> </w:t>
            </w:r>
            <w:r>
              <w:rPr>
                <w:rFonts w:hint="eastAsia"/>
              </w:rPr>
              <w:t>4</w:t>
            </w:r>
            <w:r>
              <w:t>mg</w:t>
            </w:r>
            <w:r>
              <w:rPr>
                <w:rFonts w:hint="eastAsia"/>
              </w:rPr>
              <w:t>/m</w:t>
            </w:r>
            <w:r>
              <w:rPr>
                <w:rFonts w:hint="eastAsia"/>
                <w:vertAlign w:val="superscript"/>
              </w:rPr>
              <w:t>3</w:t>
            </w:r>
          </w:p>
        </w:tc>
      </w:tr>
      <w:tr w14:paraId="421C5E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6653B0C">
            <w:pPr>
              <w:pStyle w:val="75"/>
              <w:rPr>
                <w:highlight w:val="yellow"/>
              </w:rPr>
            </w:pPr>
          </w:p>
        </w:tc>
        <w:tc>
          <w:tcPr>
            <w:tcW w:w="1264" w:type="pct"/>
            <w:vMerge w:val="continue"/>
            <w:vAlign w:val="center"/>
          </w:tcPr>
          <w:p w14:paraId="4496F92D">
            <w:pPr>
              <w:pStyle w:val="75"/>
              <w:rPr>
                <w:highlight w:val="yellow"/>
              </w:rPr>
            </w:pPr>
          </w:p>
        </w:tc>
        <w:tc>
          <w:tcPr>
            <w:tcW w:w="1134" w:type="pct"/>
            <w:vMerge w:val="restart"/>
            <w:vAlign w:val="center"/>
          </w:tcPr>
          <w:p w14:paraId="6EE20791">
            <w:pPr>
              <w:pStyle w:val="75"/>
              <w:rPr>
                <w:rFonts w:hint="eastAsia" w:eastAsia="宋体"/>
                <w:lang w:eastAsia="zh-CN"/>
              </w:rPr>
            </w:pPr>
            <w:r>
              <w:rPr>
                <w:rFonts w:hint="eastAsia"/>
              </w:rPr>
              <w:t>N</w:t>
            </w:r>
            <w:r>
              <w:t>O</w:t>
            </w:r>
            <w:r>
              <w:rPr>
                <w:rFonts w:hint="eastAsia"/>
                <w:vertAlign w:val="subscript"/>
                <w:lang w:val="en-US" w:eastAsia="zh-CN"/>
              </w:rPr>
              <w:t>X</w:t>
            </w:r>
          </w:p>
        </w:tc>
        <w:tc>
          <w:tcPr>
            <w:tcW w:w="1963" w:type="pct"/>
            <w:gridSpan w:val="2"/>
            <w:vAlign w:val="center"/>
          </w:tcPr>
          <w:p w14:paraId="413C51D6">
            <w:pPr>
              <w:pStyle w:val="75"/>
            </w:pPr>
            <w:r>
              <w:rPr>
                <w:rFonts w:hint="eastAsia"/>
              </w:rPr>
              <w:t>1小时均值</w:t>
            </w:r>
            <w:r>
              <w:rPr>
                <w:rFonts w:hint="eastAsia"/>
                <w:lang w:val="en-US" w:eastAsia="zh-CN"/>
              </w:rPr>
              <w:t xml:space="preserve"> </w:t>
            </w:r>
            <w:r>
              <w:rPr>
                <w:rFonts w:hint="eastAsia"/>
              </w:rPr>
              <w:t>250</w:t>
            </w:r>
            <w:r>
              <w:t>μg</w:t>
            </w:r>
            <w:r>
              <w:rPr>
                <w:rFonts w:hint="eastAsia"/>
              </w:rPr>
              <w:t>/m</w:t>
            </w:r>
            <w:r>
              <w:rPr>
                <w:rFonts w:hint="eastAsia"/>
                <w:vertAlign w:val="superscript"/>
              </w:rPr>
              <w:t>3</w:t>
            </w:r>
          </w:p>
        </w:tc>
      </w:tr>
      <w:tr w14:paraId="7422CA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55993F9">
            <w:pPr>
              <w:pStyle w:val="75"/>
              <w:rPr>
                <w:highlight w:val="yellow"/>
              </w:rPr>
            </w:pPr>
          </w:p>
        </w:tc>
        <w:tc>
          <w:tcPr>
            <w:tcW w:w="1264" w:type="pct"/>
            <w:vMerge w:val="continue"/>
            <w:vAlign w:val="center"/>
          </w:tcPr>
          <w:p w14:paraId="688E8A8D">
            <w:pPr>
              <w:pStyle w:val="75"/>
              <w:rPr>
                <w:highlight w:val="yellow"/>
              </w:rPr>
            </w:pPr>
          </w:p>
        </w:tc>
        <w:tc>
          <w:tcPr>
            <w:tcW w:w="1134" w:type="pct"/>
            <w:vMerge w:val="continue"/>
            <w:vAlign w:val="center"/>
          </w:tcPr>
          <w:p w14:paraId="3F662DEC">
            <w:pPr>
              <w:pStyle w:val="75"/>
              <w:rPr>
                <w:highlight w:val="yellow"/>
              </w:rPr>
            </w:pPr>
          </w:p>
        </w:tc>
        <w:tc>
          <w:tcPr>
            <w:tcW w:w="1963" w:type="pct"/>
            <w:gridSpan w:val="2"/>
            <w:vAlign w:val="center"/>
          </w:tcPr>
          <w:p w14:paraId="6B493FD5">
            <w:pPr>
              <w:pStyle w:val="75"/>
            </w:pPr>
            <w:r>
              <w:rPr>
                <w:rFonts w:hint="eastAsia"/>
              </w:rPr>
              <w:t>日平均</w:t>
            </w:r>
            <w:r>
              <w:rPr>
                <w:rFonts w:hint="eastAsia"/>
                <w:lang w:val="en-US" w:eastAsia="zh-CN"/>
              </w:rPr>
              <w:t xml:space="preserve"> </w:t>
            </w:r>
            <w:r>
              <w:rPr>
                <w:rFonts w:hint="eastAsia"/>
              </w:rPr>
              <w:t>100</w:t>
            </w:r>
            <w:r>
              <w:t>μg</w:t>
            </w:r>
            <w:r>
              <w:rPr>
                <w:rFonts w:hint="eastAsia"/>
              </w:rPr>
              <w:t>/m</w:t>
            </w:r>
            <w:r>
              <w:rPr>
                <w:rFonts w:hint="eastAsia"/>
                <w:vertAlign w:val="superscript"/>
              </w:rPr>
              <w:t>3</w:t>
            </w:r>
          </w:p>
        </w:tc>
      </w:tr>
      <w:tr w14:paraId="24B490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5C0C2DB">
            <w:pPr>
              <w:pStyle w:val="75"/>
              <w:rPr>
                <w:highlight w:val="yellow"/>
              </w:rPr>
            </w:pPr>
          </w:p>
        </w:tc>
        <w:tc>
          <w:tcPr>
            <w:tcW w:w="1264" w:type="pct"/>
            <w:vMerge w:val="restart"/>
            <w:vAlign w:val="center"/>
          </w:tcPr>
          <w:p w14:paraId="7F004AB5">
            <w:pPr>
              <w:pStyle w:val="75"/>
            </w:pPr>
            <w:r>
              <w:rPr>
                <w:rFonts w:hint="eastAsia"/>
              </w:rPr>
              <w:t>《环境影响评价技术导则  大气环境》（HJ2.2-2018）附录D</w:t>
            </w:r>
          </w:p>
        </w:tc>
        <w:tc>
          <w:tcPr>
            <w:tcW w:w="1134" w:type="pct"/>
            <w:vMerge w:val="restart"/>
            <w:vAlign w:val="center"/>
          </w:tcPr>
          <w:p w14:paraId="493F0B66">
            <w:pPr>
              <w:pStyle w:val="75"/>
              <w:ind w:firstLine="0" w:firstLineChars="0"/>
            </w:pPr>
            <w:r>
              <w:t>硫酸</w:t>
            </w:r>
          </w:p>
        </w:tc>
        <w:tc>
          <w:tcPr>
            <w:tcW w:w="1963" w:type="pct"/>
            <w:gridSpan w:val="2"/>
            <w:vAlign w:val="center"/>
          </w:tcPr>
          <w:p w14:paraId="42F6C0D2">
            <w:pPr>
              <w:pStyle w:val="75"/>
            </w:pPr>
            <w:r>
              <w:rPr>
                <w:rFonts w:hint="eastAsia"/>
              </w:rPr>
              <w:t>1小时均值</w:t>
            </w:r>
            <w:r>
              <w:rPr>
                <w:rFonts w:hint="eastAsia"/>
                <w:lang w:val="en-US" w:eastAsia="zh-CN"/>
              </w:rPr>
              <w:t xml:space="preserve"> </w:t>
            </w:r>
            <w:r>
              <w:rPr>
                <w:rFonts w:hint="eastAsia"/>
              </w:rPr>
              <w:t>300</w:t>
            </w:r>
            <w:r>
              <w:t>μg</w:t>
            </w:r>
            <w:r>
              <w:rPr>
                <w:rFonts w:hint="eastAsia"/>
              </w:rPr>
              <w:t>/m</w:t>
            </w:r>
            <w:r>
              <w:rPr>
                <w:rFonts w:hint="eastAsia"/>
                <w:vertAlign w:val="superscript"/>
              </w:rPr>
              <w:t>3</w:t>
            </w:r>
          </w:p>
        </w:tc>
      </w:tr>
      <w:tr w14:paraId="33DE4B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E24CB6A">
            <w:pPr>
              <w:pStyle w:val="75"/>
              <w:rPr>
                <w:highlight w:val="yellow"/>
              </w:rPr>
            </w:pPr>
          </w:p>
        </w:tc>
        <w:tc>
          <w:tcPr>
            <w:tcW w:w="1264" w:type="pct"/>
            <w:vMerge w:val="continue"/>
            <w:vAlign w:val="center"/>
          </w:tcPr>
          <w:p w14:paraId="249C7667">
            <w:pPr>
              <w:pStyle w:val="75"/>
              <w:rPr>
                <w:highlight w:val="yellow"/>
              </w:rPr>
            </w:pPr>
          </w:p>
        </w:tc>
        <w:tc>
          <w:tcPr>
            <w:tcW w:w="1134" w:type="pct"/>
            <w:vMerge w:val="continue"/>
            <w:vAlign w:val="center"/>
          </w:tcPr>
          <w:p w14:paraId="21771F8B">
            <w:pPr>
              <w:pStyle w:val="75"/>
              <w:ind w:firstLine="0" w:firstLineChars="0"/>
              <w:rPr>
                <w:highlight w:val="yellow"/>
              </w:rPr>
            </w:pPr>
          </w:p>
        </w:tc>
        <w:tc>
          <w:tcPr>
            <w:tcW w:w="1963" w:type="pct"/>
            <w:gridSpan w:val="2"/>
            <w:vAlign w:val="center"/>
          </w:tcPr>
          <w:p w14:paraId="59E89C36">
            <w:pPr>
              <w:pStyle w:val="75"/>
            </w:pPr>
            <w:r>
              <w:rPr>
                <w:rFonts w:hint="eastAsia"/>
              </w:rPr>
              <w:t>日平均</w:t>
            </w:r>
            <w:r>
              <w:rPr>
                <w:rFonts w:hint="eastAsia"/>
                <w:lang w:val="en-US" w:eastAsia="zh-CN"/>
              </w:rPr>
              <w:t xml:space="preserve"> </w:t>
            </w:r>
            <w:r>
              <w:rPr>
                <w:rFonts w:hint="eastAsia"/>
              </w:rPr>
              <w:t>100</w:t>
            </w:r>
            <w:r>
              <w:t>μg</w:t>
            </w:r>
            <w:r>
              <w:rPr>
                <w:rFonts w:hint="eastAsia"/>
              </w:rPr>
              <w:t>/m</w:t>
            </w:r>
            <w:r>
              <w:rPr>
                <w:rFonts w:hint="eastAsia"/>
                <w:vertAlign w:val="superscript"/>
              </w:rPr>
              <w:t>3</w:t>
            </w:r>
          </w:p>
        </w:tc>
      </w:tr>
      <w:tr w14:paraId="154FF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84C245E">
            <w:pPr>
              <w:pStyle w:val="75"/>
              <w:rPr>
                <w:highlight w:val="yellow"/>
              </w:rPr>
            </w:pPr>
          </w:p>
        </w:tc>
        <w:tc>
          <w:tcPr>
            <w:tcW w:w="1264" w:type="pct"/>
            <w:vMerge w:val="continue"/>
            <w:vAlign w:val="center"/>
          </w:tcPr>
          <w:p w14:paraId="4C1C0E07">
            <w:pPr>
              <w:pStyle w:val="75"/>
              <w:rPr>
                <w:highlight w:val="yellow"/>
              </w:rPr>
            </w:pPr>
          </w:p>
        </w:tc>
        <w:tc>
          <w:tcPr>
            <w:tcW w:w="1134" w:type="pct"/>
            <w:vAlign w:val="center"/>
          </w:tcPr>
          <w:p w14:paraId="6B530140">
            <w:pPr>
              <w:pStyle w:val="75"/>
              <w:ind w:firstLine="0" w:firstLineChars="0"/>
            </w:pPr>
            <w:r>
              <w:t>H</w:t>
            </w:r>
            <w:r>
              <w:rPr>
                <w:vertAlign w:val="subscript"/>
              </w:rPr>
              <w:t>2</w:t>
            </w:r>
            <w:r>
              <w:t>S</w:t>
            </w:r>
          </w:p>
        </w:tc>
        <w:tc>
          <w:tcPr>
            <w:tcW w:w="1963" w:type="pct"/>
            <w:gridSpan w:val="2"/>
            <w:vAlign w:val="center"/>
          </w:tcPr>
          <w:p w14:paraId="48954BD7">
            <w:pPr>
              <w:pStyle w:val="75"/>
              <w:rPr>
                <w:snapToGrid w:val="0"/>
                <w:kern w:val="21"/>
              </w:rPr>
            </w:pPr>
            <w:r>
              <w:rPr>
                <w:snapToGrid w:val="0"/>
                <w:kern w:val="21"/>
              </w:rPr>
              <w:t>1小时均值</w:t>
            </w:r>
            <w:r>
              <w:rPr>
                <w:rFonts w:hint="eastAsia"/>
                <w:snapToGrid w:val="0"/>
                <w:kern w:val="21"/>
                <w:lang w:val="en-US" w:eastAsia="zh-CN"/>
              </w:rPr>
              <w:t xml:space="preserve"> </w:t>
            </w:r>
            <w:r>
              <w:rPr>
                <w:rFonts w:hint="eastAsia"/>
              </w:rPr>
              <w:t>1</w:t>
            </w:r>
            <w:r>
              <w:t>0μg/m</w:t>
            </w:r>
            <w:r>
              <w:rPr>
                <w:vertAlign w:val="superscript"/>
              </w:rPr>
              <w:t>3</w:t>
            </w:r>
          </w:p>
        </w:tc>
      </w:tr>
      <w:tr w14:paraId="1E63E1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AC9538B">
            <w:pPr>
              <w:pStyle w:val="75"/>
              <w:rPr>
                <w:highlight w:val="yellow"/>
              </w:rPr>
            </w:pPr>
          </w:p>
        </w:tc>
        <w:tc>
          <w:tcPr>
            <w:tcW w:w="1264" w:type="pct"/>
            <w:vMerge w:val="continue"/>
            <w:vAlign w:val="center"/>
          </w:tcPr>
          <w:p w14:paraId="7896D987">
            <w:pPr>
              <w:pStyle w:val="75"/>
              <w:rPr>
                <w:highlight w:val="yellow"/>
              </w:rPr>
            </w:pPr>
          </w:p>
        </w:tc>
        <w:tc>
          <w:tcPr>
            <w:tcW w:w="1134" w:type="pct"/>
            <w:vAlign w:val="center"/>
          </w:tcPr>
          <w:p w14:paraId="4E240EAC">
            <w:pPr>
              <w:pStyle w:val="75"/>
              <w:ind w:firstLine="0" w:firstLineChars="0"/>
            </w:pPr>
            <w:r>
              <w:t>NH</w:t>
            </w:r>
            <w:r>
              <w:rPr>
                <w:vertAlign w:val="subscript"/>
              </w:rPr>
              <w:t>3</w:t>
            </w:r>
          </w:p>
        </w:tc>
        <w:tc>
          <w:tcPr>
            <w:tcW w:w="1963" w:type="pct"/>
            <w:gridSpan w:val="2"/>
            <w:vAlign w:val="center"/>
          </w:tcPr>
          <w:p w14:paraId="5E48C2F8">
            <w:pPr>
              <w:pStyle w:val="75"/>
              <w:rPr>
                <w:snapToGrid w:val="0"/>
                <w:kern w:val="21"/>
              </w:rPr>
            </w:pPr>
            <w:r>
              <w:rPr>
                <w:snapToGrid w:val="0"/>
                <w:kern w:val="21"/>
              </w:rPr>
              <w:t>1小时均值</w:t>
            </w:r>
            <w:r>
              <w:rPr>
                <w:rFonts w:hint="eastAsia"/>
                <w:snapToGrid w:val="0"/>
                <w:kern w:val="21"/>
                <w:lang w:val="en-US" w:eastAsia="zh-CN"/>
              </w:rPr>
              <w:t xml:space="preserve"> </w:t>
            </w:r>
            <w:r>
              <w:rPr>
                <w:rFonts w:hint="eastAsia"/>
              </w:rPr>
              <w:t>200</w:t>
            </w:r>
            <w:r>
              <w:t>μg/m</w:t>
            </w:r>
            <w:r>
              <w:rPr>
                <w:vertAlign w:val="superscript"/>
              </w:rPr>
              <w:t>3</w:t>
            </w:r>
          </w:p>
        </w:tc>
      </w:tr>
      <w:tr w14:paraId="706EB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restart"/>
            <w:vAlign w:val="center"/>
          </w:tcPr>
          <w:p w14:paraId="6EF156DC">
            <w:pPr>
              <w:pStyle w:val="75"/>
            </w:pPr>
            <w:r>
              <w:rPr>
                <w:rFonts w:hint="eastAsia"/>
              </w:rPr>
              <w:t>地下水</w:t>
            </w:r>
          </w:p>
        </w:tc>
        <w:tc>
          <w:tcPr>
            <w:tcW w:w="1264" w:type="pct"/>
            <w:vMerge w:val="restart"/>
            <w:vAlign w:val="center"/>
          </w:tcPr>
          <w:p w14:paraId="3B9E34ED">
            <w:pPr>
              <w:pStyle w:val="75"/>
              <w:jc w:val="left"/>
            </w:pPr>
            <w:r>
              <w:rPr>
                <w:rFonts w:hint="eastAsia"/>
              </w:rPr>
              <w:t>《地下水质量标准》（GB/T14848-2017）</w:t>
            </w:r>
            <w:r>
              <w:t>Ⅲ</w:t>
            </w:r>
            <w:r>
              <w:rPr>
                <w:rFonts w:hint="eastAsia"/>
              </w:rPr>
              <w:t>类</w:t>
            </w:r>
          </w:p>
        </w:tc>
        <w:tc>
          <w:tcPr>
            <w:tcW w:w="1134" w:type="pct"/>
            <w:vAlign w:val="center"/>
          </w:tcPr>
          <w:p w14:paraId="3F613D71">
            <w:pPr>
              <w:pStyle w:val="75"/>
            </w:pPr>
            <w:r>
              <w:rPr>
                <w:rFonts w:hint="eastAsia"/>
              </w:rPr>
              <w:t>pH</w:t>
            </w:r>
          </w:p>
        </w:tc>
        <w:tc>
          <w:tcPr>
            <w:tcW w:w="1963" w:type="pct"/>
            <w:gridSpan w:val="2"/>
            <w:vAlign w:val="center"/>
          </w:tcPr>
          <w:p w14:paraId="107EED9F">
            <w:pPr>
              <w:pStyle w:val="75"/>
              <w:rPr>
                <w:rFonts w:hint="eastAsia" w:eastAsia="宋体"/>
                <w:lang w:val="en-US" w:eastAsia="zh-CN"/>
              </w:rPr>
            </w:pPr>
            <w:r>
              <w:rPr>
                <w:rFonts w:hint="eastAsia"/>
              </w:rPr>
              <w:t>6.5-8.5</w:t>
            </w:r>
          </w:p>
        </w:tc>
      </w:tr>
      <w:tr w14:paraId="087664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41BE2B9">
            <w:pPr>
              <w:pStyle w:val="75"/>
            </w:pPr>
          </w:p>
        </w:tc>
        <w:tc>
          <w:tcPr>
            <w:tcW w:w="1264" w:type="pct"/>
            <w:vMerge w:val="continue"/>
            <w:vAlign w:val="center"/>
          </w:tcPr>
          <w:p w14:paraId="3CD58C61">
            <w:pPr>
              <w:pStyle w:val="75"/>
            </w:pPr>
          </w:p>
        </w:tc>
        <w:tc>
          <w:tcPr>
            <w:tcW w:w="1134" w:type="pct"/>
            <w:vAlign w:val="center"/>
          </w:tcPr>
          <w:p w14:paraId="67772F6A">
            <w:pPr>
              <w:pStyle w:val="75"/>
            </w:pPr>
            <w:r>
              <w:rPr>
                <w:rFonts w:hint="eastAsia"/>
              </w:rPr>
              <w:t>总硬度</w:t>
            </w:r>
          </w:p>
        </w:tc>
        <w:tc>
          <w:tcPr>
            <w:tcW w:w="1963" w:type="pct"/>
            <w:gridSpan w:val="2"/>
            <w:vAlign w:val="center"/>
          </w:tcPr>
          <w:p w14:paraId="6262EEF7">
            <w:pPr>
              <w:pStyle w:val="75"/>
            </w:pPr>
            <w:r>
              <w:rPr>
                <w:rFonts w:hint="eastAsia"/>
              </w:rPr>
              <w:t>450mg/L</w:t>
            </w:r>
          </w:p>
        </w:tc>
      </w:tr>
      <w:tr w14:paraId="60971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184391F">
            <w:pPr>
              <w:pStyle w:val="75"/>
              <w:rPr>
                <w:highlight w:val="yellow"/>
              </w:rPr>
            </w:pPr>
          </w:p>
        </w:tc>
        <w:tc>
          <w:tcPr>
            <w:tcW w:w="1264" w:type="pct"/>
            <w:vMerge w:val="continue"/>
            <w:vAlign w:val="center"/>
          </w:tcPr>
          <w:p w14:paraId="2890397F">
            <w:pPr>
              <w:pStyle w:val="75"/>
              <w:rPr>
                <w:highlight w:val="yellow"/>
              </w:rPr>
            </w:pPr>
          </w:p>
        </w:tc>
        <w:tc>
          <w:tcPr>
            <w:tcW w:w="1134" w:type="pct"/>
            <w:vAlign w:val="center"/>
          </w:tcPr>
          <w:p w14:paraId="3FFA91CE">
            <w:pPr>
              <w:pStyle w:val="75"/>
            </w:pPr>
            <w:r>
              <w:rPr>
                <w:rFonts w:hint="eastAsia"/>
              </w:rPr>
              <w:t>溶解性总固体</w:t>
            </w:r>
          </w:p>
        </w:tc>
        <w:tc>
          <w:tcPr>
            <w:tcW w:w="1963" w:type="pct"/>
            <w:gridSpan w:val="2"/>
            <w:vAlign w:val="center"/>
          </w:tcPr>
          <w:p w14:paraId="0AB86F6B">
            <w:pPr>
              <w:pStyle w:val="75"/>
            </w:pPr>
            <w:r>
              <w:rPr>
                <w:rFonts w:hint="eastAsia"/>
              </w:rPr>
              <w:t>1000mg/L</w:t>
            </w:r>
          </w:p>
        </w:tc>
      </w:tr>
      <w:tr w14:paraId="39DC1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081E07F">
            <w:pPr>
              <w:pStyle w:val="75"/>
              <w:rPr>
                <w:highlight w:val="yellow"/>
              </w:rPr>
            </w:pPr>
          </w:p>
        </w:tc>
        <w:tc>
          <w:tcPr>
            <w:tcW w:w="1264" w:type="pct"/>
            <w:vMerge w:val="continue"/>
            <w:vAlign w:val="center"/>
          </w:tcPr>
          <w:p w14:paraId="318E1A57">
            <w:pPr>
              <w:pStyle w:val="75"/>
              <w:rPr>
                <w:highlight w:val="yellow"/>
              </w:rPr>
            </w:pPr>
          </w:p>
        </w:tc>
        <w:tc>
          <w:tcPr>
            <w:tcW w:w="1134" w:type="pct"/>
            <w:vAlign w:val="center"/>
          </w:tcPr>
          <w:p w14:paraId="339549E8">
            <w:pPr>
              <w:pStyle w:val="75"/>
            </w:pPr>
            <w:r>
              <w:rPr>
                <w:rFonts w:hint="eastAsia"/>
              </w:rPr>
              <w:t>耗氧量（COD</w:t>
            </w:r>
            <w:r>
              <w:rPr>
                <w:rFonts w:hint="eastAsia"/>
                <w:vertAlign w:val="subscript"/>
              </w:rPr>
              <w:t>Mn</w:t>
            </w:r>
            <w:r>
              <w:rPr>
                <w:rFonts w:hint="eastAsia"/>
              </w:rPr>
              <w:t>法，以O</w:t>
            </w:r>
            <w:r>
              <w:rPr>
                <w:rFonts w:hint="eastAsia"/>
                <w:vertAlign w:val="subscript"/>
              </w:rPr>
              <w:t>2</w:t>
            </w:r>
            <w:r>
              <w:rPr>
                <w:rFonts w:hint="eastAsia"/>
              </w:rPr>
              <w:t>计）</w:t>
            </w:r>
          </w:p>
        </w:tc>
        <w:tc>
          <w:tcPr>
            <w:tcW w:w="1963" w:type="pct"/>
            <w:gridSpan w:val="2"/>
            <w:vAlign w:val="center"/>
          </w:tcPr>
          <w:p w14:paraId="01411C02">
            <w:pPr>
              <w:pStyle w:val="75"/>
            </w:pPr>
            <w:r>
              <w:rPr>
                <w:rFonts w:hint="eastAsia"/>
              </w:rPr>
              <w:t>3.0mg/L</w:t>
            </w:r>
          </w:p>
        </w:tc>
      </w:tr>
      <w:tr w14:paraId="76BF2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BE6B79A">
            <w:pPr>
              <w:pStyle w:val="75"/>
              <w:rPr>
                <w:highlight w:val="yellow"/>
              </w:rPr>
            </w:pPr>
          </w:p>
        </w:tc>
        <w:tc>
          <w:tcPr>
            <w:tcW w:w="1264" w:type="pct"/>
            <w:vMerge w:val="continue"/>
            <w:vAlign w:val="center"/>
          </w:tcPr>
          <w:p w14:paraId="6D1E6B68">
            <w:pPr>
              <w:pStyle w:val="75"/>
              <w:rPr>
                <w:highlight w:val="yellow"/>
              </w:rPr>
            </w:pPr>
          </w:p>
        </w:tc>
        <w:tc>
          <w:tcPr>
            <w:tcW w:w="1134" w:type="pct"/>
            <w:vAlign w:val="center"/>
          </w:tcPr>
          <w:p w14:paraId="430B542A">
            <w:pPr>
              <w:pStyle w:val="75"/>
            </w:pPr>
            <w:r>
              <w:rPr>
                <w:rFonts w:hint="eastAsia"/>
              </w:rPr>
              <w:t>氨氮</w:t>
            </w:r>
          </w:p>
        </w:tc>
        <w:tc>
          <w:tcPr>
            <w:tcW w:w="1963" w:type="pct"/>
            <w:gridSpan w:val="2"/>
            <w:vAlign w:val="center"/>
          </w:tcPr>
          <w:p w14:paraId="24A8B1F1">
            <w:pPr>
              <w:pStyle w:val="75"/>
            </w:pPr>
            <w:r>
              <w:rPr>
                <w:rFonts w:hint="eastAsia"/>
              </w:rPr>
              <w:t>0.5mg/L</w:t>
            </w:r>
          </w:p>
        </w:tc>
      </w:tr>
      <w:tr w14:paraId="4E89BE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E34959A">
            <w:pPr>
              <w:pStyle w:val="75"/>
              <w:rPr>
                <w:highlight w:val="yellow"/>
              </w:rPr>
            </w:pPr>
          </w:p>
        </w:tc>
        <w:tc>
          <w:tcPr>
            <w:tcW w:w="1264" w:type="pct"/>
            <w:vMerge w:val="continue"/>
            <w:vAlign w:val="center"/>
          </w:tcPr>
          <w:p w14:paraId="625C0917">
            <w:pPr>
              <w:pStyle w:val="75"/>
              <w:rPr>
                <w:highlight w:val="yellow"/>
              </w:rPr>
            </w:pPr>
          </w:p>
        </w:tc>
        <w:tc>
          <w:tcPr>
            <w:tcW w:w="1134" w:type="pct"/>
            <w:vAlign w:val="center"/>
          </w:tcPr>
          <w:p w14:paraId="7FD59084">
            <w:pPr>
              <w:pStyle w:val="75"/>
            </w:pPr>
            <w:r>
              <w:rPr>
                <w:rFonts w:hint="eastAsia"/>
              </w:rPr>
              <w:t>镍</w:t>
            </w:r>
          </w:p>
        </w:tc>
        <w:tc>
          <w:tcPr>
            <w:tcW w:w="1963" w:type="pct"/>
            <w:gridSpan w:val="2"/>
            <w:vAlign w:val="center"/>
          </w:tcPr>
          <w:p w14:paraId="3F161E00">
            <w:pPr>
              <w:pStyle w:val="75"/>
            </w:pPr>
            <w:r>
              <w:rPr>
                <w:rFonts w:hint="eastAsia"/>
              </w:rPr>
              <w:t>0.02mg/L</w:t>
            </w:r>
          </w:p>
        </w:tc>
      </w:tr>
      <w:tr w14:paraId="7E1CB3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5522FA0">
            <w:pPr>
              <w:pStyle w:val="75"/>
              <w:rPr>
                <w:highlight w:val="yellow"/>
              </w:rPr>
            </w:pPr>
          </w:p>
        </w:tc>
        <w:tc>
          <w:tcPr>
            <w:tcW w:w="1264" w:type="pct"/>
            <w:vMerge w:val="continue"/>
            <w:vAlign w:val="center"/>
          </w:tcPr>
          <w:p w14:paraId="0CF9CE17">
            <w:pPr>
              <w:pStyle w:val="75"/>
              <w:rPr>
                <w:highlight w:val="yellow"/>
              </w:rPr>
            </w:pPr>
          </w:p>
        </w:tc>
        <w:tc>
          <w:tcPr>
            <w:tcW w:w="1134" w:type="pct"/>
            <w:vAlign w:val="center"/>
          </w:tcPr>
          <w:p w14:paraId="66640E56">
            <w:pPr>
              <w:pStyle w:val="75"/>
            </w:pPr>
            <w:r>
              <w:rPr>
                <w:rFonts w:hint="eastAsia"/>
              </w:rPr>
              <w:t>铬（六价）</w:t>
            </w:r>
          </w:p>
        </w:tc>
        <w:tc>
          <w:tcPr>
            <w:tcW w:w="1963" w:type="pct"/>
            <w:gridSpan w:val="2"/>
            <w:vAlign w:val="center"/>
          </w:tcPr>
          <w:p w14:paraId="2786EC1C">
            <w:pPr>
              <w:pStyle w:val="75"/>
            </w:pPr>
            <w:r>
              <w:rPr>
                <w:rFonts w:hint="eastAsia"/>
              </w:rPr>
              <w:t>0.05mg/L</w:t>
            </w:r>
          </w:p>
        </w:tc>
      </w:tr>
      <w:tr w14:paraId="11C6B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E0FF0D8">
            <w:pPr>
              <w:pStyle w:val="75"/>
              <w:rPr>
                <w:highlight w:val="yellow"/>
              </w:rPr>
            </w:pPr>
          </w:p>
        </w:tc>
        <w:tc>
          <w:tcPr>
            <w:tcW w:w="1264" w:type="pct"/>
            <w:vMerge w:val="continue"/>
            <w:vAlign w:val="center"/>
          </w:tcPr>
          <w:p w14:paraId="349766CF">
            <w:pPr>
              <w:pStyle w:val="75"/>
              <w:rPr>
                <w:highlight w:val="yellow"/>
              </w:rPr>
            </w:pPr>
          </w:p>
        </w:tc>
        <w:tc>
          <w:tcPr>
            <w:tcW w:w="1134" w:type="pct"/>
            <w:vAlign w:val="center"/>
          </w:tcPr>
          <w:p w14:paraId="2F4FF2F5">
            <w:pPr>
              <w:pStyle w:val="75"/>
            </w:pPr>
            <w:r>
              <w:rPr>
                <w:rFonts w:hint="eastAsia"/>
              </w:rPr>
              <w:t>总铬</w:t>
            </w:r>
          </w:p>
        </w:tc>
        <w:tc>
          <w:tcPr>
            <w:tcW w:w="1963" w:type="pct"/>
            <w:gridSpan w:val="2"/>
            <w:vAlign w:val="center"/>
          </w:tcPr>
          <w:p w14:paraId="29288017">
            <w:pPr>
              <w:pStyle w:val="75"/>
            </w:pPr>
            <w:r>
              <w:rPr>
                <w:rFonts w:hint="eastAsia"/>
              </w:rPr>
              <w:t>/</w:t>
            </w:r>
          </w:p>
        </w:tc>
      </w:tr>
      <w:tr w14:paraId="2E7B12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FB76CD1">
            <w:pPr>
              <w:pStyle w:val="75"/>
              <w:rPr>
                <w:highlight w:val="yellow"/>
              </w:rPr>
            </w:pPr>
          </w:p>
        </w:tc>
        <w:tc>
          <w:tcPr>
            <w:tcW w:w="1264" w:type="pct"/>
            <w:vMerge w:val="continue"/>
            <w:vAlign w:val="center"/>
          </w:tcPr>
          <w:p w14:paraId="0AD65004">
            <w:pPr>
              <w:pStyle w:val="75"/>
              <w:rPr>
                <w:highlight w:val="yellow"/>
              </w:rPr>
            </w:pPr>
          </w:p>
        </w:tc>
        <w:tc>
          <w:tcPr>
            <w:tcW w:w="1134" w:type="pct"/>
            <w:vAlign w:val="center"/>
          </w:tcPr>
          <w:p w14:paraId="5AC864DF">
            <w:pPr>
              <w:pStyle w:val="75"/>
            </w:pPr>
            <w:r>
              <w:rPr>
                <w:rFonts w:hint="eastAsia"/>
              </w:rPr>
              <w:t>氯化物</w:t>
            </w:r>
          </w:p>
        </w:tc>
        <w:tc>
          <w:tcPr>
            <w:tcW w:w="1963" w:type="pct"/>
            <w:gridSpan w:val="2"/>
            <w:vAlign w:val="center"/>
          </w:tcPr>
          <w:p w14:paraId="54D29A6C">
            <w:pPr>
              <w:pStyle w:val="75"/>
            </w:pPr>
            <w:r>
              <w:rPr>
                <w:rFonts w:hint="eastAsia"/>
              </w:rPr>
              <w:t>250mg/L</w:t>
            </w:r>
          </w:p>
        </w:tc>
      </w:tr>
      <w:tr w14:paraId="5CE0E8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0CB6828">
            <w:pPr>
              <w:pStyle w:val="75"/>
              <w:rPr>
                <w:highlight w:val="yellow"/>
              </w:rPr>
            </w:pPr>
          </w:p>
        </w:tc>
        <w:tc>
          <w:tcPr>
            <w:tcW w:w="1264" w:type="pct"/>
            <w:vMerge w:val="continue"/>
            <w:vAlign w:val="center"/>
          </w:tcPr>
          <w:p w14:paraId="4667AFA8">
            <w:pPr>
              <w:pStyle w:val="75"/>
              <w:rPr>
                <w:highlight w:val="yellow"/>
              </w:rPr>
            </w:pPr>
          </w:p>
        </w:tc>
        <w:tc>
          <w:tcPr>
            <w:tcW w:w="1134" w:type="pct"/>
            <w:vAlign w:val="center"/>
          </w:tcPr>
          <w:p w14:paraId="12CA93E1">
            <w:pPr>
              <w:pStyle w:val="75"/>
            </w:pPr>
            <w:r>
              <w:t>Cl</w:t>
            </w:r>
            <w:r>
              <w:rPr>
                <w:vertAlign w:val="superscript"/>
              </w:rPr>
              <w:t>-</w:t>
            </w:r>
          </w:p>
        </w:tc>
        <w:tc>
          <w:tcPr>
            <w:tcW w:w="1963" w:type="pct"/>
            <w:gridSpan w:val="2"/>
            <w:vAlign w:val="center"/>
          </w:tcPr>
          <w:p w14:paraId="0097DC09">
            <w:pPr>
              <w:pStyle w:val="75"/>
            </w:pPr>
            <w:r>
              <w:rPr>
                <w:rFonts w:hint="eastAsia"/>
              </w:rPr>
              <w:t>2</w:t>
            </w:r>
            <w:r>
              <w:t>50</w:t>
            </w:r>
            <w:r>
              <w:rPr>
                <w:rFonts w:hint="eastAsia"/>
              </w:rPr>
              <w:t>mg/L</w:t>
            </w:r>
          </w:p>
        </w:tc>
      </w:tr>
      <w:tr w14:paraId="5938C8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58C7AF9">
            <w:pPr>
              <w:pStyle w:val="75"/>
              <w:rPr>
                <w:highlight w:val="yellow"/>
              </w:rPr>
            </w:pPr>
          </w:p>
        </w:tc>
        <w:tc>
          <w:tcPr>
            <w:tcW w:w="1264" w:type="pct"/>
            <w:vMerge w:val="continue"/>
            <w:vAlign w:val="center"/>
          </w:tcPr>
          <w:p w14:paraId="69566451">
            <w:pPr>
              <w:pStyle w:val="75"/>
              <w:rPr>
                <w:highlight w:val="yellow"/>
              </w:rPr>
            </w:pPr>
          </w:p>
        </w:tc>
        <w:tc>
          <w:tcPr>
            <w:tcW w:w="1134" w:type="pct"/>
            <w:vAlign w:val="center"/>
          </w:tcPr>
          <w:p w14:paraId="32536AAB">
            <w:pPr>
              <w:pStyle w:val="75"/>
            </w:pPr>
            <w:r>
              <w:t>Na</w:t>
            </w:r>
            <w:r>
              <w:rPr>
                <w:vertAlign w:val="superscript"/>
              </w:rPr>
              <w:t>+</w:t>
            </w:r>
          </w:p>
        </w:tc>
        <w:tc>
          <w:tcPr>
            <w:tcW w:w="1963" w:type="pct"/>
            <w:gridSpan w:val="2"/>
            <w:vAlign w:val="center"/>
          </w:tcPr>
          <w:p w14:paraId="452FE389">
            <w:pPr>
              <w:pStyle w:val="75"/>
            </w:pPr>
            <w:r>
              <w:rPr>
                <w:rFonts w:hint="eastAsia"/>
              </w:rPr>
              <w:t>/</w:t>
            </w:r>
          </w:p>
        </w:tc>
      </w:tr>
      <w:tr w14:paraId="3B498B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0B38D2E">
            <w:pPr>
              <w:pStyle w:val="75"/>
              <w:rPr>
                <w:highlight w:val="yellow"/>
              </w:rPr>
            </w:pPr>
          </w:p>
        </w:tc>
        <w:tc>
          <w:tcPr>
            <w:tcW w:w="1264" w:type="pct"/>
            <w:vMerge w:val="continue"/>
            <w:vAlign w:val="center"/>
          </w:tcPr>
          <w:p w14:paraId="733BF29A">
            <w:pPr>
              <w:pStyle w:val="75"/>
              <w:rPr>
                <w:highlight w:val="yellow"/>
              </w:rPr>
            </w:pPr>
          </w:p>
        </w:tc>
        <w:tc>
          <w:tcPr>
            <w:tcW w:w="1134" w:type="pct"/>
            <w:vAlign w:val="center"/>
          </w:tcPr>
          <w:p w14:paraId="5DD6F66E">
            <w:pPr>
              <w:pStyle w:val="75"/>
            </w:pPr>
            <w:r>
              <w:t>SO</w:t>
            </w:r>
            <w:r>
              <w:rPr>
                <w:vertAlign w:val="subscript"/>
              </w:rPr>
              <w:t>4</w:t>
            </w:r>
            <w:r>
              <w:rPr>
                <w:vertAlign w:val="superscript"/>
              </w:rPr>
              <w:t>2-</w:t>
            </w:r>
          </w:p>
        </w:tc>
        <w:tc>
          <w:tcPr>
            <w:tcW w:w="1963" w:type="pct"/>
            <w:gridSpan w:val="2"/>
            <w:vAlign w:val="center"/>
          </w:tcPr>
          <w:p w14:paraId="1AB8B6CD">
            <w:pPr>
              <w:pStyle w:val="75"/>
            </w:pPr>
            <w:r>
              <w:rPr>
                <w:rFonts w:hint="eastAsia"/>
              </w:rPr>
              <w:t>2</w:t>
            </w:r>
            <w:r>
              <w:t>50</w:t>
            </w:r>
            <w:r>
              <w:rPr>
                <w:rFonts w:hint="eastAsia"/>
              </w:rPr>
              <w:t>mg/L</w:t>
            </w:r>
          </w:p>
        </w:tc>
      </w:tr>
      <w:tr w14:paraId="028EEB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EB7CBEE">
            <w:pPr>
              <w:pStyle w:val="75"/>
              <w:rPr>
                <w:highlight w:val="yellow"/>
              </w:rPr>
            </w:pPr>
          </w:p>
        </w:tc>
        <w:tc>
          <w:tcPr>
            <w:tcW w:w="1264" w:type="pct"/>
            <w:vMerge w:val="continue"/>
            <w:vAlign w:val="center"/>
          </w:tcPr>
          <w:p w14:paraId="4C174001">
            <w:pPr>
              <w:pStyle w:val="75"/>
              <w:rPr>
                <w:highlight w:val="yellow"/>
              </w:rPr>
            </w:pPr>
          </w:p>
        </w:tc>
        <w:tc>
          <w:tcPr>
            <w:tcW w:w="1134" w:type="pct"/>
            <w:vAlign w:val="center"/>
          </w:tcPr>
          <w:p w14:paraId="32FF3856">
            <w:pPr>
              <w:pStyle w:val="75"/>
            </w:pPr>
            <w:r>
              <w:t>HCO</w:t>
            </w:r>
            <w:r>
              <w:rPr>
                <w:vertAlign w:val="superscript"/>
              </w:rPr>
              <w:t>3-</w:t>
            </w:r>
          </w:p>
        </w:tc>
        <w:tc>
          <w:tcPr>
            <w:tcW w:w="1963" w:type="pct"/>
            <w:gridSpan w:val="2"/>
            <w:vAlign w:val="center"/>
          </w:tcPr>
          <w:p w14:paraId="04210A25">
            <w:pPr>
              <w:pStyle w:val="75"/>
            </w:pPr>
            <w:r>
              <w:rPr>
                <w:rFonts w:hint="eastAsia"/>
              </w:rPr>
              <w:t>/</w:t>
            </w:r>
          </w:p>
        </w:tc>
      </w:tr>
      <w:tr w14:paraId="5F6F37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3FEC55F">
            <w:pPr>
              <w:pStyle w:val="75"/>
              <w:rPr>
                <w:highlight w:val="yellow"/>
              </w:rPr>
            </w:pPr>
          </w:p>
        </w:tc>
        <w:tc>
          <w:tcPr>
            <w:tcW w:w="1264" w:type="pct"/>
            <w:vMerge w:val="continue"/>
            <w:vAlign w:val="center"/>
          </w:tcPr>
          <w:p w14:paraId="5FE66F01">
            <w:pPr>
              <w:pStyle w:val="75"/>
              <w:rPr>
                <w:highlight w:val="yellow"/>
              </w:rPr>
            </w:pPr>
          </w:p>
        </w:tc>
        <w:tc>
          <w:tcPr>
            <w:tcW w:w="1134" w:type="pct"/>
            <w:vAlign w:val="center"/>
          </w:tcPr>
          <w:p w14:paraId="263D5A9F">
            <w:pPr>
              <w:pStyle w:val="75"/>
            </w:pPr>
            <w:r>
              <w:t>K</w:t>
            </w:r>
            <w:r>
              <w:rPr>
                <w:vertAlign w:val="superscript"/>
              </w:rPr>
              <w:t>+</w:t>
            </w:r>
          </w:p>
        </w:tc>
        <w:tc>
          <w:tcPr>
            <w:tcW w:w="1963" w:type="pct"/>
            <w:gridSpan w:val="2"/>
            <w:vAlign w:val="center"/>
          </w:tcPr>
          <w:p w14:paraId="1ACA56C3">
            <w:pPr>
              <w:pStyle w:val="75"/>
            </w:pPr>
            <w:r>
              <w:rPr>
                <w:rFonts w:hint="eastAsia"/>
              </w:rPr>
              <w:t>/</w:t>
            </w:r>
          </w:p>
        </w:tc>
      </w:tr>
      <w:tr w14:paraId="0CB6C1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92736E5">
            <w:pPr>
              <w:pStyle w:val="75"/>
              <w:rPr>
                <w:highlight w:val="yellow"/>
              </w:rPr>
            </w:pPr>
          </w:p>
        </w:tc>
        <w:tc>
          <w:tcPr>
            <w:tcW w:w="1264" w:type="pct"/>
            <w:vMerge w:val="continue"/>
            <w:vAlign w:val="center"/>
          </w:tcPr>
          <w:p w14:paraId="4071AECE">
            <w:pPr>
              <w:pStyle w:val="75"/>
              <w:rPr>
                <w:highlight w:val="yellow"/>
              </w:rPr>
            </w:pPr>
          </w:p>
        </w:tc>
        <w:tc>
          <w:tcPr>
            <w:tcW w:w="1134" w:type="pct"/>
            <w:vAlign w:val="center"/>
          </w:tcPr>
          <w:p w14:paraId="644BF6D7">
            <w:pPr>
              <w:pStyle w:val="75"/>
            </w:pPr>
            <w:r>
              <w:t>CO</w:t>
            </w:r>
            <w:r>
              <w:rPr>
                <w:vertAlign w:val="subscript"/>
              </w:rPr>
              <w:t>3</w:t>
            </w:r>
            <w:r>
              <w:rPr>
                <w:vertAlign w:val="superscript"/>
              </w:rPr>
              <w:t>2-</w:t>
            </w:r>
          </w:p>
        </w:tc>
        <w:tc>
          <w:tcPr>
            <w:tcW w:w="1963" w:type="pct"/>
            <w:gridSpan w:val="2"/>
            <w:vAlign w:val="center"/>
          </w:tcPr>
          <w:p w14:paraId="5149866C">
            <w:pPr>
              <w:pStyle w:val="75"/>
            </w:pPr>
            <w:r>
              <w:rPr>
                <w:rFonts w:hint="eastAsia"/>
              </w:rPr>
              <w:t>/</w:t>
            </w:r>
          </w:p>
        </w:tc>
      </w:tr>
      <w:tr w14:paraId="48524D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928A4B2">
            <w:pPr>
              <w:pStyle w:val="75"/>
              <w:rPr>
                <w:highlight w:val="yellow"/>
              </w:rPr>
            </w:pPr>
          </w:p>
        </w:tc>
        <w:tc>
          <w:tcPr>
            <w:tcW w:w="1264" w:type="pct"/>
            <w:vMerge w:val="continue"/>
            <w:vAlign w:val="center"/>
          </w:tcPr>
          <w:p w14:paraId="27432E10">
            <w:pPr>
              <w:pStyle w:val="75"/>
              <w:rPr>
                <w:highlight w:val="yellow"/>
              </w:rPr>
            </w:pPr>
          </w:p>
        </w:tc>
        <w:tc>
          <w:tcPr>
            <w:tcW w:w="1134" w:type="pct"/>
            <w:vAlign w:val="center"/>
          </w:tcPr>
          <w:p w14:paraId="574AD6C8">
            <w:pPr>
              <w:pStyle w:val="75"/>
            </w:pPr>
            <w:r>
              <w:t>Ca</w:t>
            </w:r>
            <w:r>
              <w:rPr>
                <w:vertAlign w:val="superscript"/>
              </w:rPr>
              <w:t>2+</w:t>
            </w:r>
          </w:p>
        </w:tc>
        <w:tc>
          <w:tcPr>
            <w:tcW w:w="1963" w:type="pct"/>
            <w:gridSpan w:val="2"/>
            <w:vAlign w:val="center"/>
          </w:tcPr>
          <w:p w14:paraId="6D1E8E9F">
            <w:pPr>
              <w:pStyle w:val="75"/>
            </w:pPr>
            <w:r>
              <w:rPr>
                <w:rFonts w:hint="eastAsia"/>
              </w:rPr>
              <w:t>/</w:t>
            </w:r>
          </w:p>
        </w:tc>
      </w:tr>
      <w:tr w14:paraId="4DE43A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0075751">
            <w:pPr>
              <w:pStyle w:val="75"/>
              <w:rPr>
                <w:highlight w:val="yellow"/>
              </w:rPr>
            </w:pPr>
          </w:p>
        </w:tc>
        <w:tc>
          <w:tcPr>
            <w:tcW w:w="1264" w:type="pct"/>
            <w:vMerge w:val="continue"/>
            <w:vAlign w:val="center"/>
          </w:tcPr>
          <w:p w14:paraId="64ADAE24">
            <w:pPr>
              <w:pStyle w:val="75"/>
              <w:rPr>
                <w:highlight w:val="yellow"/>
              </w:rPr>
            </w:pPr>
          </w:p>
        </w:tc>
        <w:tc>
          <w:tcPr>
            <w:tcW w:w="1134" w:type="pct"/>
            <w:vAlign w:val="center"/>
          </w:tcPr>
          <w:p w14:paraId="75FE94AF">
            <w:pPr>
              <w:pStyle w:val="75"/>
            </w:pPr>
            <w:r>
              <w:t>Mg</w:t>
            </w:r>
            <w:r>
              <w:rPr>
                <w:vertAlign w:val="superscript"/>
              </w:rPr>
              <w:t>2+</w:t>
            </w:r>
          </w:p>
        </w:tc>
        <w:tc>
          <w:tcPr>
            <w:tcW w:w="1963" w:type="pct"/>
            <w:gridSpan w:val="2"/>
            <w:vAlign w:val="center"/>
          </w:tcPr>
          <w:p w14:paraId="429AF635">
            <w:pPr>
              <w:pStyle w:val="75"/>
            </w:pPr>
            <w:r>
              <w:rPr>
                <w:rFonts w:hint="eastAsia"/>
              </w:rPr>
              <w:t>/</w:t>
            </w:r>
          </w:p>
        </w:tc>
      </w:tr>
      <w:tr w14:paraId="32663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B5CF370">
            <w:pPr>
              <w:pStyle w:val="75"/>
              <w:rPr>
                <w:highlight w:val="yellow"/>
              </w:rPr>
            </w:pPr>
          </w:p>
        </w:tc>
        <w:tc>
          <w:tcPr>
            <w:tcW w:w="1264" w:type="pct"/>
            <w:vMerge w:val="continue"/>
            <w:vAlign w:val="center"/>
          </w:tcPr>
          <w:p w14:paraId="77F3DBE3">
            <w:pPr>
              <w:pStyle w:val="75"/>
              <w:rPr>
                <w:highlight w:val="yellow"/>
              </w:rPr>
            </w:pPr>
          </w:p>
        </w:tc>
        <w:tc>
          <w:tcPr>
            <w:tcW w:w="1134" w:type="pct"/>
            <w:vAlign w:val="center"/>
          </w:tcPr>
          <w:p w14:paraId="61478940">
            <w:pPr>
              <w:pStyle w:val="75"/>
            </w:pPr>
            <w:r>
              <w:rPr>
                <w:rFonts w:hint="eastAsia"/>
              </w:rPr>
              <w:t>亚硝酸盐</w:t>
            </w:r>
          </w:p>
        </w:tc>
        <w:tc>
          <w:tcPr>
            <w:tcW w:w="1963" w:type="pct"/>
            <w:gridSpan w:val="2"/>
            <w:vAlign w:val="center"/>
          </w:tcPr>
          <w:p w14:paraId="10694AC6">
            <w:pPr>
              <w:pStyle w:val="75"/>
            </w:pPr>
            <w:r>
              <w:rPr>
                <w:rFonts w:hint="eastAsia"/>
              </w:rPr>
              <w:t>1.0mg/L</w:t>
            </w:r>
          </w:p>
        </w:tc>
      </w:tr>
      <w:tr w14:paraId="58B44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25E2B45">
            <w:pPr>
              <w:pStyle w:val="75"/>
              <w:rPr>
                <w:highlight w:val="yellow"/>
              </w:rPr>
            </w:pPr>
          </w:p>
        </w:tc>
        <w:tc>
          <w:tcPr>
            <w:tcW w:w="1264" w:type="pct"/>
            <w:vMerge w:val="continue"/>
            <w:vAlign w:val="center"/>
          </w:tcPr>
          <w:p w14:paraId="51AEE4E2">
            <w:pPr>
              <w:pStyle w:val="75"/>
              <w:rPr>
                <w:highlight w:val="yellow"/>
              </w:rPr>
            </w:pPr>
          </w:p>
        </w:tc>
        <w:tc>
          <w:tcPr>
            <w:tcW w:w="1134" w:type="pct"/>
            <w:vAlign w:val="center"/>
          </w:tcPr>
          <w:p w14:paraId="3D8FA4BE">
            <w:pPr>
              <w:pStyle w:val="75"/>
            </w:pPr>
            <w:r>
              <w:rPr>
                <w:rFonts w:hint="eastAsia"/>
              </w:rPr>
              <w:t>挥发性酚类</w:t>
            </w:r>
          </w:p>
        </w:tc>
        <w:tc>
          <w:tcPr>
            <w:tcW w:w="1963" w:type="pct"/>
            <w:gridSpan w:val="2"/>
            <w:vAlign w:val="center"/>
          </w:tcPr>
          <w:p w14:paraId="4AAFE36A">
            <w:pPr>
              <w:pStyle w:val="75"/>
            </w:pPr>
            <w:r>
              <w:rPr>
                <w:rFonts w:hint="eastAsia"/>
              </w:rPr>
              <w:t>0</w:t>
            </w:r>
            <w:r>
              <w:t>.002</w:t>
            </w:r>
            <w:r>
              <w:rPr>
                <w:rFonts w:hint="eastAsia"/>
              </w:rPr>
              <w:t>mg/L</w:t>
            </w:r>
          </w:p>
        </w:tc>
      </w:tr>
      <w:tr w14:paraId="48C8C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1562E73">
            <w:pPr>
              <w:pStyle w:val="75"/>
              <w:rPr>
                <w:highlight w:val="yellow"/>
              </w:rPr>
            </w:pPr>
          </w:p>
        </w:tc>
        <w:tc>
          <w:tcPr>
            <w:tcW w:w="1264" w:type="pct"/>
            <w:vMerge w:val="continue"/>
            <w:vAlign w:val="center"/>
          </w:tcPr>
          <w:p w14:paraId="5240AE78">
            <w:pPr>
              <w:pStyle w:val="75"/>
              <w:rPr>
                <w:highlight w:val="yellow"/>
              </w:rPr>
            </w:pPr>
          </w:p>
        </w:tc>
        <w:tc>
          <w:tcPr>
            <w:tcW w:w="1134" w:type="pct"/>
            <w:vAlign w:val="center"/>
          </w:tcPr>
          <w:p w14:paraId="16721062">
            <w:pPr>
              <w:pStyle w:val="75"/>
            </w:pPr>
            <w:r>
              <w:rPr>
                <w:rFonts w:hint="eastAsia"/>
              </w:rPr>
              <w:t>砷</w:t>
            </w:r>
          </w:p>
        </w:tc>
        <w:tc>
          <w:tcPr>
            <w:tcW w:w="1963" w:type="pct"/>
            <w:gridSpan w:val="2"/>
            <w:vAlign w:val="center"/>
          </w:tcPr>
          <w:p w14:paraId="30EB2A76">
            <w:pPr>
              <w:pStyle w:val="75"/>
            </w:pPr>
            <w:r>
              <w:rPr>
                <w:rFonts w:hint="eastAsia"/>
              </w:rPr>
              <w:t>0</w:t>
            </w:r>
            <w:r>
              <w:t>.01</w:t>
            </w:r>
            <w:r>
              <w:rPr>
                <w:rFonts w:hint="eastAsia"/>
              </w:rPr>
              <w:t>mg/L</w:t>
            </w:r>
          </w:p>
        </w:tc>
      </w:tr>
      <w:tr w14:paraId="0A9A7B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E70FB3E">
            <w:pPr>
              <w:pStyle w:val="75"/>
              <w:rPr>
                <w:highlight w:val="yellow"/>
              </w:rPr>
            </w:pPr>
          </w:p>
        </w:tc>
        <w:tc>
          <w:tcPr>
            <w:tcW w:w="1264" w:type="pct"/>
            <w:vMerge w:val="continue"/>
            <w:vAlign w:val="center"/>
          </w:tcPr>
          <w:p w14:paraId="6F633863">
            <w:pPr>
              <w:pStyle w:val="75"/>
              <w:rPr>
                <w:highlight w:val="yellow"/>
              </w:rPr>
            </w:pPr>
          </w:p>
        </w:tc>
        <w:tc>
          <w:tcPr>
            <w:tcW w:w="1134" w:type="pct"/>
            <w:vAlign w:val="center"/>
          </w:tcPr>
          <w:p w14:paraId="4C771704">
            <w:pPr>
              <w:pStyle w:val="75"/>
            </w:pPr>
            <w:r>
              <w:t>总大肠菌群</w:t>
            </w:r>
          </w:p>
        </w:tc>
        <w:tc>
          <w:tcPr>
            <w:tcW w:w="1963" w:type="pct"/>
            <w:gridSpan w:val="2"/>
            <w:vAlign w:val="center"/>
          </w:tcPr>
          <w:p w14:paraId="0FBAC168">
            <w:pPr>
              <w:pStyle w:val="75"/>
            </w:pPr>
            <w:r>
              <w:rPr>
                <w:rFonts w:hint="eastAsia"/>
              </w:rPr>
              <w:t>3.0</w:t>
            </w:r>
            <w:r>
              <w:t>MPN/</w:t>
            </w:r>
            <w:r>
              <w:rPr>
                <w:rFonts w:hint="eastAsia"/>
              </w:rPr>
              <w:t>100m</w:t>
            </w:r>
            <w:r>
              <w:t>L</w:t>
            </w:r>
          </w:p>
        </w:tc>
      </w:tr>
      <w:tr w14:paraId="468B03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BDC1562">
            <w:pPr>
              <w:pStyle w:val="75"/>
              <w:rPr>
                <w:highlight w:val="yellow"/>
              </w:rPr>
            </w:pPr>
          </w:p>
        </w:tc>
        <w:tc>
          <w:tcPr>
            <w:tcW w:w="1264" w:type="pct"/>
            <w:vMerge w:val="continue"/>
            <w:vAlign w:val="center"/>
          </w:tcPr>
          <w:p w14:paraId="552D22F2">
            <w:pPr>
              <w:pStyle w:val="75"/>
              <w:rPr>
                <w:highlight w:val="yellow"/>
              </w:rPr>
            </w:pPr>
          </w:p>
        </w:tc>
        <w:tc>
          <w:tcPr>
            <w:tcW w:w="1134" w:type="pct"/>
            <w:vAlign w:val="center"/>
          </w:tcPr>
          <w:p w14:paraId="3FA28FA8">
            <w:pPr>
              <w:pStyle w:val="75"/>
            </w:pPr>
            <w:r>
              <w:rPr>
                <w:rFonts w:hint="eastAsia"/>
              </w:rPr>
              <w:t>菌落总数</w:t>
            </w:r>
          </w:p>
        </w:tc>
        <w:tc>
          <w:tcPr>
            <w:tcW w:w="1963" w:type="pct"/>
            <w:gridSpan w:val="2"/>
            <w:vAlign w:val="center"/>
          </w:tcPr>
          <w:p w14:paraId="5A6DEF87">
            <w:pPr>
              <w:pStyle w:val="75"/>
            </w:pPr>
            <w:r>
              <w:rPr>
                <w:rFonts w:hint="eastAsia"/>
              </w:rPr>
              <w:t>100</w:t>
            </w:r>
            <w:r>
              <w:t>CFU/ml</w:t>
            </w:r>
          </w:p>
        </w:tc>
      </w:tr>
      <w:tr w14:paraId="651B4B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BB40301">
            <w:pPr>
              <w:pStyle w:val="75"/>
              <w:rPr>
                <w:highlight w:val="yellow"/>
              </w:rPr>
            </w:pPr>
          </w:p>
        </w:tc>
        <w:tc>
          <w:tcPr>
            <w:tcW w:w="1264" w:type="pct"/>
            <w:vMerge w:val="continue"/>
            <w:vAlign w:val="center"/>
          </w:tcPr>
          <w:p w14:paraId="03E40FCA">
            <w:pPr>
              <w:pStyle w:val="75"/>
              <w:rPr>
                <w:highlight w:val="yellow"/>
              </w:rPr>
            </w:pPr>
          </w:p>
        </w:tc>
        <w:tc>
          <w:tcPr>
            <w:tcW w:w="1134" w:type="pct"/>
            <w:vAlign w:val="center"/>
          </w:tcPr>
          <w:p w14:paraId="5F3E645D">
            <w:pPr>
              <w:pStyle w:val="75"/>
            </w:pPr>
            <w:r>
              <w:rPr>
                <w:rFonts w:hint="eastAsia"/>
              </w:rPr>
              <w:t>氰化物</w:t>
            </w:r>
          </w:p>
        </w:tc>
        <w:tc>
          <w:tcPr>
            <w:tcW w:w="1963" w:type="pct"/>
            <w:gridSpan w:val="2"/>
            <w:vAlign w:val="center"/>
          </w:tcPr>
          <w:p w14:paraId="779D3586">
            <w:pPr>
              <w:pStyle w:val="75"/>
            </w:pPr>
            <w:r>
              <w:rPr>
                <w:rFonts w:hint="eastAsia"/>
              </w:rPr>
              <w:t>0</w:t>
            </w:r>
            <w:r>
              <w:t>.05</w:t>
            </w:r>
            <w:r>
              <w:rPr>
                <w:rFonts w:hint="eastAsia"/>
              </w:rPr>
              <w:t>mg/L</w:t>
            </w:r>
          </w:p>
        </w:tc>
      </w:tr>
      <w:tr w14:paraId="7BA77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74109B6">
            <w:pPr>
              <w:pStyle w:val="75"/>
              <w:rPr>
                <w:highlight w:val="yellow"/>
              </w:rPr>
            </w:pPr>
          </w:p>
        </w:tc>
        <w:tc>
          <w:tcPr>
            <w:tcW w:w="1264" w:type="pct"/>
            <w:vMerge w:val="continue"/>
            <w:vAlign w:val="center"/>
          </w:tcPr>
          <w:p w14:paraId="651E464F">
            <w:pPr>
              <w:pStyle w:val="75"/>
              <w:rPr>
                <w:highlight w:val="yellow"/>
              </w:rPr>
            </w:pPr>
          </w:p>
        </w:tc>
        <w:tc>
          <w:tcPr>
            <w:tcW w:w="1134" w:type="pct"/>
            <w:vAlign w:val="center"/>
          </w:tcPr>
          <w:p w14:paraId="557C3192">
            <w:pPr>
              <w:pStyle w:val="75"/>
            </w:pPr>
            <w:r>
              <w:rPr>
                <w:rFonts w:hint="eastAsia"/>
              </w:rPr>
              <w:t>汞</w:t>
            </w:r>
          </w:p>
        </w:tc>
        <w:tc>
          <w:tcPr>
            <w:tcW w:w="1963" w:type="pct"/>
            <w:gridSpan w:val="2"/>
            <w:vAlign w:val="center"/>
          </w:tcPr>
          <w:p w14:paraId="188684F5">
            <w:pPr>
              <w:pStyle w:val="75"/>
            </w:pPr>
            <w:r>
              <w:rPr>
                <w:rFonts w:hint="eastAsia"/>
              </w:rPr>
              <w:t>0.001mg/L</w:t>
            </w:r>
          </w:p>
        </w:tc>
      </w:tr>
      <w:tr w14:paraId="1E6027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B0EBAB2">
            <w:pPr>
              <w:pStyle w:val="75"/>
              <w:rPr>
                <w:highlight w:val="yellow"/>
              </w:rPr>
            </w:pPr>
          </w:p>
        </w:tc>
        <w:tc>
          <w:tcPr>
            <w:tcW w:w="1264" w:type="pct"/>
            <w:vMerge w:val="continue"/>
            <w:vAlign w:val="center"/>
          </w:tcPr>
          <w:p w14:paraId="3F1D1608">
            <w:pPr>
              <w:pStyle w:val="75"/>
              <w:rPr>
                <w:highlight w:val="yellow"/>
              </w:rPr>
            </w:pPr>
          </w:p>
        </w:tc>
        <w:tc>
          <w:tcPr>
            <w:tcW w:w="1134" w:type="pct"/>
            <w:vAlign w:val="center"/>
          </w:tcPr>
          <w:p w14:paraId="59E302CD">
            <w:pPr>
              <w:pStyle w:val="75"/>
            </w:pPr>
            <w:r>
              <w:rPr>
                <w:rFonts w:hint="eastAsia"/>
              </w:rPr>
              <w:t>铅</w:t>
            </w:r>
          </w:p>
        </w:tc>
        <w:tc>
          <w:tcPr>
            <w:tcW w:w="1963" w:type="pct"/>
            <w:gridSpan w:val="2"/>
            <w:vAlign w:val="center"/>
          </w:tcPr>
          <w:p w14:paraId="74EF60C4">
            <w:pPr>
              <w:pStyle w:val="75"/>
            </w:pPr>
            <w:r>
              <w:rPr>
                <w:rFonts w:hint="eastAsia"/>
              </w:rPr>
              <w:t>0.01mg/L</w:t>
            </w:r>
          </w:p>
        </w:tc>
      </w:tr>
      <w:tr w14:paraId="5DD858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2843D98">
            <w:pPr>
              <w:pStyle w:val="75"/>
              <w:rPr>
                <w:highlight w:val="yellow"/>
              </w:rPr>
            </w:pPr>
          </w:p>
        </w:tc>
        <w:tc>
          <w:tcPr>
            <w:tcW w:w="1264" w:type="pct"/>
            <w:vMerge w:val="continue"/>
            <w:vAlign w:val="center"/>
          </w:tcPr>
          <w:p w14:paraId="163BCAE3">
            <w:pPr>
              <w:pStyle w:val="75"/>
              <w:rPr>
                <w:highlight w:val="yellow"/>
              </w:rPr>
            </w:pPr>
          </w:p>
        </w:tc>
        <w:tc>
          <w:tcPr>
            <w:tcW w:w="1134" w:type="pct"/>
            <w:vAlign w:val="center"/>
          </w:tcPr>
          <w:p w14:paraId="0EE311B4">
            <w:pPr>
              <w:pStyle w:val="75"/>
            </w:pPr>
            <w:r>
              <w:rPr>
                <w:rFonts w:hint="eastAsia"/>
              </w:rPr>
              <w:t>阴离子表面活性剂</w:t>
            </w:r>
          </w:p>
        </w:tc>
        <w:tc>
          <w:tcPr>
            <w:tcW w:w="1963" w:type="pct"/>
            <w:gridSpan w:val="2"/>
            <w:vAlign w:val="center"/>
          </w:tcPr>
          <w:p w14:paraId="382AD273">
            <w:pPr>
              <w:pStyle w:val="75"/>
            </w:pPr>
            <w:r>
              <w:rPr>
                <w:rFonts w:hint="eastAsia"/>
              </w:rPr>
              <w:t>0.3mg/L</w:t>
            </w:r>
          </w:p>
        </w:tc>
      </w:tr>
      <w:tr w14:paraId="1C24C1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367BAA0">
            <w:pPr>
              <w:pStyle w:val="75"/>
              <w:rPr>
                <w:highlight w:val="yellow"/>
              </w:rPr>
            </w:pPr>
          </w:p>
        </w:tc>
        <w:tc>
          <w:tcPr>
            <w:tcW w:w="1264" w:type="pct"/>
            <w:vMerge w:val="continue"/>
            <w:vAlign w:val="center"/>
          </w:tcPr>
          <w:p w14:paraId="3D6F4871">
            <w:pPr>
              <w:pStyle w:val="75"/>
              <w:rPr>
                <w:highlight w:val="yellow"/>
              </w:rPr>
            </w:pPr>
          </w:p>
        </w:tc>
        <w:tc>
          <w:tcPr>
            <w:tcW w:w="1134" w:type="pct"/>
            <w:vAlign w:val="center"/>
          </w:tcPr>
          <w:p w14:paraId="713AF95B">
            <w:pPr>
              <w:pStyle w:val="75"/>
            </w:pPr>
            <w:r>
              <w:rPr>
                <w:rFonts w:hint="eastAsia"/>
              </w:rPr>
              <w:t>铁</w:t>
            </w:r>
          </w:p>
        </w:tc>
        <w:tc>
          <w:tcPr>
            <w:tcW w:w="1963" w:type="pct"/>
            <w:gridSpan w:val="2"/>
            <w:vAlign w:val="center"/>
          </w:tcPr>
          <w:p w14:paraId="7E7CFDE2">
            <w:pPr>
              <w:pStyle w:val="75"/>
            </w:pPr>
            <w:r>
              <w:t>0.3</w:t>
            </w:r>
            <w:r>
              <w:rPr>
                <w:rFonts w:hint="eastAsia"/>
              </w:rPr>
              <w:t>mg/L</w:t>
            </w:r>
          </w:p>
        </w:tc>
      </w:tr>
      <w:tr w14:paraId="4AF1C2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4A8CECB">
            <w:pPr>
              <w:pStyle w:val="75"/>
              <w:rPr>
                <w:highlight w:val="yellow"/>
              </w:rPr>
            </w:pPr>
          </w:p>
        </w:tc>
        <w:tc>
          <w:tcPr>
            <w:tcW w:w="1264" w:type="pct"/>
            <w:vMerge w:val="continue"/>
            <w:vAlign w:val="center"/>
          </w:tcPr>
          <w:p w14:paraId="2B11F6F2">
            <w:pPr>
              <w:pStyle w:val="75"/>
              <w:rPr>
                <w:highlight w:val="yellow"/>
              </w:rPr>
            </w:pPr>
          </w:p>
        </w:tc>
        <w:tc>
          <w:tcPr>
            <w:tcW w:w="1134" w:type="pct"/>
            <w:vAlign w:val="center"/>
          </w:tcPr>
          <w:p w14:paraId="6B3B7A67">
            <w:pPr>
              <w:pStyle w:val="75"/>
            </w:pPr>
            <w:r>
              <w:rPr>
                <w:rFonts w:hint="eastAsia"/>
              </w:rPr>
              <w:t>锰</w:t>
            </w:r>
          </w:p>
        </w:tc>
        <w:tc>
          <w:tcPr>
            <w:tcW w:w="1963" w:type="pct"/>
            <w:gridSpan w:val="2"/>
            <w:vAlign w:val="center"/>
          </w:tcPr>
          <w:p w14:paraId="63D3AF1C">
            <w:pPr>
              <w:pStyle w:val="75"/>
            </w:pPr>
            <w:r>
              <w:rPr>
                <w:rFonts w:hint="eastAsia"/>
              </w:rPr>
              <w:t>0</w:t>
            </w:r>
            <w:r>
              <w:t>.1</w:t>
            </w:r>
            <w:r>
              <w:rPr>
                <w:rFonts w:hint="eastAsia"/>
              </w:rPr>
              <w:t>mg/L</w:t>
            </w:r>
          </w:p>
        </w:tc>
      </w:tr>
      <w:tr w14:paraId="4D0132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6A224EB">
            <w:pPr>
              <w:pStyle w:val="75"/>
              <w:rPr>
                <w:highlight w:val="yellow"/>
              </w:rPr>
            </w:pPr>
          </w:p>
        </w:tc>
        <w:tc>
          <w:tcPr>
            <w:tcW w:w="1264" w:type="pct"/>
            <w:vMerge w:val="continue"/>
            <w:vAlign w:val="center"/>
          </w:tcPr>
          <w:p w14:paraId="056F2A02">
            <w:pPr>
              <w:pStyle w:val="75"/>
              <w:rPr>
                <w:highlight w:val="yellow"/>
              </w:rPr>
            </w:pPr>
          </w:p>
        </w:tc>
        <w:tc>
          <w:tcPr>
            <w:tcW w:w="1134" w:type="pct"/>
            <w:vAlign w:val="center"/>
          </w:tcPr>
          <w:p w14:paraId="14AB5204">
            <w:pPr>
              <w:pStyle w:val="75"/>
            </w:pPr>
            <w:r>
              <w:t>硝酸盐</w:t>
            </w:r>
          </w:p>
        </w:tc>
        <w:tc>
          <w:tcPr>
            <w:tcW w:w="1963" w:type="pct"/>
            <w:gridSpan w:val="2"/>
            <w:vAlign w:val="center"/>
          </w:tcPr>
          <w:p w14:paraId="0B761B47">
            <w:pPr>
              <w:pStyle w:val="75"/>
            </w:pPr>
            <w:r>
              <w:rPr>
                <w:rFonts w:hint="eastAsia"/>
              </w:rPr>
              <w:t>20mg/L</w:t>
            </w:r>
          </w:p>
        </w:tc>
      </w:tr>
      <w:tr w14:paraId="15F83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D580786">
            <w:pPr>
              <w:pStyle w:val="75"/>
              <w:rPr>
                <w:highlight w:val="yellow"/>
              </w:rPr>
            </w:pPr>
          </w:p>
        </w:tc>
        <w:tc>
          <w:tcPr>
            <w:tcW w:w="1264" w:type="pct"/>
            <w:vMerge w:val="continue"/>
            <w:vAlign w:val="center"/>
          </w:tcPr>
          <w:p w14:paraId="552561C4">
            <w:pPr>
              <w:pStyle w:val="75"/>
              <w:rPr>
                <w:highlight w:val="yellow"/>
              </w:rPr>
            </w:pPr>
          </w:p>
        </w:tc>
        <w:tc>
          <w:tcPr>
            <w:tcW w:w="1134" w:type="pct"/>
            <w:vAlign w:val="center"/>
          </w:tcPr>
          <w:p w14:paraId="16247DFD">
            <w:pPr>
              <w:pStyle w:val="75"/>
            </w:pPr>
            <w:r>
              <w:rPr>
                <w:rFonts w:hint="eastAsia"/>
              </w:rPr>
              <w:t>硫化物</w:t>
            </w:r>
          </w:p>
        </w:tc>
        <w:tc>
          <w:tcPr>
            <w:tcW w:w="1963" w:type="pct"/>
            <w:gridSpan w:val="2"/>
            <w:vAlign w:val="center"/>
          </w:tcPr>
          <w:p w14:paraId="110207F6">
            <w:pPr>
              <w:pStyle w:val="75"/>
            </w:pPr>
            <w:r>
              <w:rPr>
                <w:rFonts w:hint="eastAsia"/>
              </w:rPr>
              <w:t>0.02mg/L</w:t>
            </w:r>
          </w:p>
        </w:tc>
      </w:tr>
      <w:tr w14:paraId="04D27C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1FC3504">
            <w:pPr>
              <w:pStyle w:val="75"/>
              <w:rPr>
                <w:highlight w:val="yellow"/>
              </w:rPr>
            </w:pPr>
          </w:p>
        </w:tc>
        <w:tc>
          <w:tcPr>
            <w:tcW w:w="1264" w:type="pct"/>
            <w:vMerge w:val="continue"/>
            <w:vAlign w:val="center"/>
          </w:tcPr>
          <w:p w14:paraId="338AA9CE">
            <w:pPr>
              <w:pStyle w:val="75"/>
              <w:rPr>
                <w:highlight w:val="yellow"/>
              </w:rPr>
            </w:pPr>
          </w:p>
        </w:tc>
        <w:tc>
          <w:tcPr>
            <w:tcW w:w="1134" w:type="pct"/>
            <w:vAlign w:val="center"/>
          </w:tcPr>
          <w:p w14:paraId="69A10505">
            <w:pPr>
              <w:pStyle w:val="75"/>
            </w:pPr>
            <w:r>
              <w:rPr>
                <w:rFonts w:hint="eastAsia"/>
              </w:rPr>
              <w:t>氟化物</w:t>
            </w:r>
          </w:p>
        </w:tc>
        <w:tc>
          <w:tcPr>
            <w:tcW w:w="1963" w:type="pct"/>
            <w:gridSpan w:val="2"/>
            <w:vAlign w:val="center"/>
          </w:tcPr>
          <w:p w14:paraId="614A9211">
            <w:pPr>
              <w:pStyle w:val="75"/>
            </w:pPr>
            <w:r>
              <w:rPr>
                <w:rFonts w:hint="eastAsia"/>
              </w:rPr>
              <w:t>1.0mg/L</w:t>
            </w:r>
          </w:p>
        </w:tc>
      </w:tr>
      <w:tr w14:paraId="6DB0FF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6A1CB76">
            <w:pPr>
              <w:pStyle w:val="75"/>
              <w:rPr>
                <w:highlight w:val="yellow"/>
              </w:rPr>
            </w:pPr>
          </w:p>
        </w:tc>
        <w:tc>
          <w:tcPr>
            <w:tcW w:w="1264" w:type="pct"/>
            <w:vMerge w:val="continue"/>
            <w:vAlign w:val="center"/>
          </w:tcPr>
          <w:p w14:paraId="38076395">
            <w:pPr>
              <w:pStyle w:val="75"/>
              <w:rPr>
                <w:highlight w:val="yellow"/>
              </w:rPr>
            </w:pPr>
          </w:p>
        </w:tc>
        <w:tc>
          <w:tcPr>
            <w:tcW w:w="1134" w:type="pct"/>
            <w:vAlign w:val="center"/>
          </w:tcPr>
          <w:p w14:paraId="0E840C65">
            <w:pPr>
              <w:pStyle w:val="75"/>
            </w:pPr>
            <w:r>
              <w:rPr>
                <w:rFonts w:hint="eastAsia"/>
              </w:rPr>
              <w:t>镉</w:t>
            </w:r>
          </w:p>
        </w:tc>
        <w:tc>
          <w:tcPr>
            <w:tcW w:w="1963" w:type="pct"/>
            <w:gridSpan w:val="2"/>
            <w:vAlign w:val="center"/>
          </w:tcPr>
          <w:p w14:paraId="7ADC3A2E">
            <w:pPr>
              <w:pStyle w:val="75"/>
            </w:pPr>
            <w:r>
              <w:rPr>
                <w:rFonts w:hint="eastAsia"/>
              </w:rPr>
              <w:t>0.005mg/L</w:t>
            </w:r>
          </w:p>
        </w:tc>
      </w:tr>
      <w:tr w14:paraId="2636B4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restart"/>
            <w:vAlign w:val="center"/>
          </w:tcPr>
          <w:p w14:paraId="09B2F808">
            <w:pPr>
              <w:pStyle w:val="75"/>
            </w:pPr>
            <w:r>
              <w:rPr>
                <w:rFonts w:hint="eastAsia"/>
              </w:rPr>
              <w:t>声环境</w:t>
            </w:r>
          </w:p>
        </w:tc>
        <w:tc>
          <w:tcPr>
            <w:tcW w:w="1264" w:type="pct"/>
            <w:vMerge w:val="restart"/>
            <w:vAlign w:val="center"/>
          </w:tcPr>
          <w:p w14:paraId="31E20A86">
            <w:pPr>
              <w:pStyle w:val="75"/>
            </w:pPr>
            <w:r>
              <w:rPr>
                <w:rFonts w:hint="eastAsia"/>
              </w:rPr>
              <w:t>《声环境质量标准》（GB3096-2008）3类</w:t>
            </w:r>
          </w:p>
        </w:tc>
        <w:tc>
          <w:tcPr>
            <w:tcW w:w="1134" w:type="pct"/>
            <w:vMerge w:val="restart"/>
            <w:vAlign w:val="center"/>
          </w:tcPr>
          <w:p w14:paraId="47BA7253">
            <w:pPr>
              <w:pStyle w:val="75"/>
            </w:pPr>
            <w:r>
              <w:t>Leq(A)</w:t>
            </w:r>
          </w:p>
        </w:tc>
        <w:tc>
          <w:tcPr>
            <w:tcW w:w="1257" w:type="pct"/>
            <w:vAlign w:val="center"/>
          </w:tcPr>
          <w:p w14:paraId="56C0A41B">
            <w:pPr>
              <w:pStyle w:val="75"/>
            </w:pPr>
            <w:r>
              <w:rPr>
                <w:rFonts w:hint="eastAsia"/>
              </w:rPr>
              <w:t>昼间</w:t>
            </w:r>
          </w:p>
        </w:tc>
        <w:tc>
          <w:tcPr>
            <w:tcW w:w="705" w:type="pct"/>
            <w:vAlign w:val="center"/>
          </w:tcPr>
          <w:p w14:paraId="3764845D">
            <w:pPr>
              <w:pStyle w:val="75"/>
            </w:pPr>
            <w:r>
              <w:rPr>
                <w:rFonts w:hint="eastAsia"/>
              </w:rPr>
              <w:t>65dB(A)</w:t>
            </w:r>
          </w:p>
        </w:tc>
      </w:tr>
      <w:tr w14:paraId="3D79FA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BB6C494">
            <w:pPr>
              <w:pStyle w:val="75"/>
              <w:rPr>
                <w:highlight w:val="yellow"/>
              </w:rPr>
            </w:pPr>
          </w:p>
        </w:tc>
        <w:tc>
          <w:tcPr>
            <w:tcW w:w="1264" w:type="pct"/>
            <w:vMerge w:val="continue"/>
            <w:vAlign w:val="center"/>
          </w:tcPr>
          <w:p w14:paraId="4DA018D6">
            <w:pPr>
              <w:pStyle w:val="75"/>
              <w:rPr>
                <w:highlight w:val="yellow"/>
              </w:rPr>
            </w:pPr>
          </w:p>
        </w:tc>
        <w:tc>
          <w:tcPr>
            <w:tcW w:w="1134" w:type="pct"/>
            <w:vMerge w:val="continue"/>
            <w:vAlign w:val="center"/>
          </w:tcPr>
          <w:p w14:paraId="11E5B6FE">
            <w:pPr>
              <w:pStyle w:val="75"/>
            </w:pPr>
          </w:p>
        </w:tc>
        <w:tc>
          <w:tcPr>
            <w:tcW w:w="1257" w:type="pct"/>
            <w:vAlign w:val="center"/>
          </w:tcPr>
          <w:p w14:paraId="34A9DB4E">
            <w:pPr>
              <w:pStyle w:val="75"/>
            </w:pPr>
            <w:r>
              <w:rPr>
                <w:rFonts w:hint="eastAsia"/>
              </w:rPr>
              <w:t>夜间</w:t>
            </w:r>
          </w:p>
        </w:tc>
        <w:tc>
          <w:tcPr>
            <w:tcW w:w="705" w:type="pct"/>
            <w:vAlign w:val="center"/>
          </w:tcPr>
          <w:p w14:paraId="734F1F8B">
            <w:pPr>
              <w:pStyle w:val="75"/>
            </w:pPr>
            <w:r>
              <w:rPr>
                <w:rFonts w:hint="eastAsia"/>
              </w:rPr>
              <w:t>55dB(A)</w:t>
            </w:r>
          </w:p>
        </w:tc>
      </w:tr>
      <w:tr w14:paraId="55FDC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restart"/>
            <w:vAlign w:val="center"/>
          </w:tcPr>
          <w:p w14:paraId="195DB2E2">
            <w:pPr>
              <w:pStyle w:val="75"/>
              <w:rPr>
                <w:highlight w:val="yellow"/>
              </w:rPr>
            </w:pPr>
            <w:r>
              <w:rPr>
                <w:rFonts w:hint="eastAsia"/>
              </w:rPr>
              <w:t>土壤环境</w:t>
            </w:r>
          </w:p>
        </w:tc>
        <w:tc>
          <w:tcPr>
            <w:tcW w:w="1264" w:type="pct"/>
            <w:vMerge w:val="restart"/>
            <w:vAlign w:val="center"/>
          </w:tcPr>
          <w:p w14:paraId="3CAB1D22">
            <w:pPr>
              <w:pStyle w:val="75"/>
              <w:rPr>
                <w:highlight w:val="yellow"/>
              </w:rPr>
            </w:pPr>
            <w:r>
              <w:rPr>
                <w:rFonts w:hint="eastAsia"/>
              </w:rPr>
              <w:t>《土壤环境质量-建设用地土壤污染风险管控标准（试行）》（GB36600-2018）</w:t>
            </w:r>
          </w:p>
        </w:tc>
        <w:tc>
          <w:tcPr>
            <w:tcW w:w="1134" w:type="pct"/>
            <w:vMerge w:val="restart"/>
            <w:vAlign w:val="center"/>
          </w:tcPr>
          <w:p w14:paraId="4DAD5EF9">
            <w:pPr>
              <w:pStyle w:val="75"/>
            </w:pPr>
            <w:r>
              <w:rPr>
                <w:rFonts w:hint="eastAsia"/>
              </w:rPr>
              <w:t>表1基本项目第二类用地筛选值</w:t>
            </w:r>
          </w:p>
        </w:tc>
        <w:tc>
          <w:tcPr>
            <w:tcW w:w="1257" w:type="pct"/>
            <w:shd w:val="clear" w:color="auto" w:fill="auto"/>
            <w:vAlign w:val="center"/>
          </w:tcPr>
          <w:p w14:paraId="0F50FFE9">
            <w:pPr>
              <w:pStyle w:val="75"/>
              <w:ind w:firstLine="0" w:firstLineChars="0"/>
              <w:rPr>
                <w:rFonts w:ascii="Times New Roman" w:hAnsi="Times New Roman" w:eastAsia="宋体" w:cs="Times New Roman"/>
                <w:sz w:val="21"/>
                <w:szCs w:val="21"/>
                <w:lang w:val="en-US" w:eastAsia="zh-CN" w:bidi="ar-SA"/>
              </w:rPr>
            </w:pPr>
            <w:r>
              <w:t>砷</w:t>
            </w:r>
          </w:p>
        </w:tc>
        <w:tc>
          <w:tcPr>
            <w:tcW w:w="705" w:type="pct"/>
            <w:shd w:val="clear" w:color="auto" w:fill="auto"/>
            <w:vAlign w:val="center"/>
          </w:tcPr>
          <w:p w14:paraId="6B5D3159">
            <w:pPr>
              <w:pStyle w:val="75"/>
              <w:ind w:firstLine="0" w:firstLineChars="0"/>
              <w:rPr>
                <w:rFonts w:ascii="Times New Roman" w:hAnsi="Times New Roman" w:eastAsia="宋体" w:cs="Times New Roman"/>
                <w:sz w:val="21"/>
                <w:szCs w:val="21"/>
                <w:lang w:val="en-US" w:eastAsia="zh-CN" w:bidi="ar-SA"/>
              </w:rPr>
            </w:pPr>
            <w:r>
              <w:t>60</w:t>
            </w:r>
            <w:r>
              <w:rPr>
                <w:rFonts w:hint="eastAsia"/>
              </w:rPr>
              <w:t>mg/kg</w:t>
            </w:r>
          </w:p>
        </w:tc>
      </w:tr>
      <w:tr w14:paraId="2AC7E2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5999EB1">
            <w:pPr>
              <w:pStyle w:val="75"/>
              <w:rPr>
                <w:highlight w:val="yellow"/>
              </w:rPr>
            </w:pPr>
          </w:p>
        </w:tc>
        <w:tc>
          <w:tcPr>
            <w:tcW w:w="1264" w:type="pct"/>
            <w:vMerge w:val="continue"/>
            <w:vAlign w:val="center"/>
          </w:tcPr>
          <w:p w14:paraId="2169E8FC">
            <w:pPr>
              <w:pStyle w:val="75"/>
              <w:rPr>
                <w:highlight w:val="yellow"/>
              </w:rPr>
            </w:pPr>
          </w:p>
        </w:tc>
        <w:tc>
          <w:tcPr>
            <w:tcW w:w="1134" w:type="pct"/>
            <w:vMerge w:val="continue"/>
            <w:vAlign w:val="center"/>
          </w:tcPr>
          <w:p w14:paraId="7FEC0A4B">
            <w:pPr>
              <w:pStyle w:val="75"/>
            </w:pPr>
          </w:p>
        </w:tc>
        <w:tc>
          <w:tcPr>
            <w:tcW w:w="1257" w:type="pct"/>
            <w:shd w:val="clear" w:color="auto" w:fill="auto"/>
            <w:vAlign w:val="center"/>
          </w:tcPr>
          <w:p w14:paraId="1D53E8BE">
            <w:pPr>
              <w:pStyle w:val="75"/>
              <w:ind w:firstLine="0" w:firstLineChars="0"/>
              <w:rPr>
                <w:rFonts w:ascii="Times New Roman" w:hAnsi="Times New Roman" w:eastAsia="宋体" w:cs="Times New Roman"/>
                <w:sz w:val="21"/>
                <w:szCs w:val="21"/>
                <w:lang w:val="en-US" w:eastAsia="zh-CN" w:bidi="ar-SA"/>
              </w:rPr>
            </w:pPr>
            <w:r>
              <w:t>镉</w:t>
            </w:r>
          </w:p>
        </w:tc>
        <w:tc>
          <w:tcPr>
            <w:tcW w:w="705" w:type="pct"/>
            <w:shd w:val="clear" w:color="auto" w:fill="auto"/>
            <w:vAlign w:val="center"/>
          </w:tcPr>
          <w:p w14:paraId="2792DF69">
            <w:pPr>
              <w:pStyle w:val="75"/>
              <w:ind w:firstLine="0" w:firstLineChars="0"/>
              <w:rPr>
                <w:rFonts w:ascii="Times New Roman" w:hAnsi="Times New Roman" w:eastAsia="宋体" w:cs="Times New Roman"/>
                <w:sz w:val="21"/>
                <w:szCs w:val="21"/>
                <w:lang w:val="en-US" w:eastAsia="zh-CN" w:bidi="ar-SA"/>
              </w:rPr>
            </w:pPr>
            <w:r>
              <w:t>65</w:t>
            </w:r>
            <w:r>
              <w:rPr>
                <w:rFonts w:hint="eastAsia"/>
              </w:rPr>
              <w:t>mg/kg</w:t>
            </w:r>
          </w:p>
        </w:tc>
      </w:tr>
      <w:tr w14:paraId="6BAFC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8920F7B">
            <w:pPr>
              <w:pStyle w:val="75"/>
              <w:rPr>
                <w:highlight w:val="yellow"/>
              </w:rPr>
            </w:pPr>
          </w:p>
        </w:tc>
        <w:tc>
          <w:tcPr>
            <w:tcW w:w="1264" w:type="pct"/>
            <w:vMerge w:val="continue"/>
            <w:vAlign w:val="center"/>
          </w:tcPr>
          <w:p w14:paraId="0668B3E2">
            <w:pPr>
              <w:pStyle w:val="75"/>
              <w:rPr>
                <w:highlight w:val="yellow"/>
              </w:rPr>
            </w:pPr>
          </w:p>
        </w:tc>
        <w:tc>
          <w:tcPr>
            <w:tcW w:w="1134" w:type="pct"/>
            <w:vMerge w:val="continue"/>
            <w:vAlign w:val="center"/>
          </w:tcPr>
          <w:p w14:paraId="476D863D">
            <w:pPr>
              <w:pStyle w:val="75"/>
            </w:pPr>
          </w:p>
        </w:tc>
        <w:tc>
          <w:tcPr>
            <w:tcW w:w="1257" w:type="pct"/>
            <w:shd w:val="clear" w:color="auto" w:fill="auto"/>
            <w:vAlign w:val="center"/>
          </w:tcPr>
          <w:p w14:paraId="4FC3A09C">
            <w:pPr>
              <w:pStyle w:val="75"/>
              <w:ind w:firstLine="0" w:firstLineChars="0"/>
              <w:rPr>
                <w:rFonts w:ascii="Times New Roman" w:hAnsi="Times New Roman" w:eastAsia="宋体" w:cs="Times New Roman"/>
                <w:sz w:val="21"/>
                <w:szCs w:val="21"/>
                <w:lang w:val="en-US" w:eastAsia="zh-CN" w:bidi="ar-SA"/>
              </w:rPr>
            </w:pPr>
            <w:r>
              <w:t>铬</w:t>
            </w:r>
            <w:r>
              <w:rPr>
                <w:rFonts w:hint="eastAsia"/>
              </w:rPr>
              <w:t>（</w:t>
            </w:r>
            <w:r>
              <w:t>六价</w:t>
            </w:r>
            <w:r>
              <w:rPr>
                <w:rFonts w:hint="eastAsia"/>
              </w:rPr>
              <w:t>）</w:t>
            </w:r>
          </w:p>
        </w:tc>
        <w:tc>
          <w:tcPr>
            <w:tcW w:w="705" w:type="pct"/>
            <w:shd w:val="clear" w:color="auto" w:fill="auto"/>
            <w:vAlign w:val="center"/>
          </w:tcPr>
          <w:p w14:paraId="24295744">
            <w:pPr>
              <w:pStyle w:val="75"/>
              <w:ind w:firstLine="0" w:firstLineChars="0"/>
              <w:rPr>
                <w:rFonts w:ascii="Times New Roman" w:hAnsi="Times New Roman" w:eastAsia="宋体" w:cs="Times New Roman"/>
                <w:sz w:val="21"/>
                <w:szCs w:val="21"/>
                <w:lang w:val="en-US" w:eastAsia="zh-CN" w:bidi="ar-SA"/>
              </w:rPr>
            </w:pPr>
            <w:r>
              <w:t>5.7</w:t>
            </w:r>
            <w:r>
              <w:rPr>
                <w:rFonts w:hint="eastAsia"/>
              </w:rPr>
              <w:t>mg/kg</w:t>
            </w:r>
          </w:p>
        </w:tc>
      </w:tr>
      <w:tr w14:paraId="2E425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6A3B97E">
            <w:pPr>
              <w:pStyle w:val="75"/>
              <w:rPr>
                <w:highlight w:val="yellow"/>
              </w:rPr>
            </w:pPr>
          </w:p>
        </w:tc>
        <w:tc>
          <w:tcPr>
            <w:tcW w:w="1264" w:type="pct"/>
            <w:vMerge w:val="continue"/>
            <w:vAlign w:val="center"/>
          </w:tcPr>
          <w:p w14:paraId="120FF8C8">
            <w:pPr>
              <w:pStyle w:val="75"/>
              <w:rPr>
                <w:highlight w:val="yellow"/>
              </w:rPr>
            </w:pPr>
          </w:p>
        </w:tc>
        <w:tc>
          <w:tcPr>
            <w:tcW w:w="1134" w:type="pct"/>
            <w:vMerge w:val="continue"/>
            <w:vAlign w:val="center"/>
          </w:tcPr>
          <w:p w14:paraId="531A773A">
            <w:pPr>
              <w:pStyle w:val="75"/>
            </w:pPr>
          </w:p>
        </w:tc>
        <w:tc>
          <w:tcPr>
            <w:tcW w:w="1257" w:type="pct"/>
            <w:shd w:val="clear" w:color="auto" w:fill="auto"/>
            <w:vAlign w:val="center"/>
          </w:tcPr>
          <w:p w14:paraId="395CBCC5">
            <w:pPr>
              <w:pStyle w:val="75"/>
              <w:ind w:firstLine="0" w:firstLineChars="0"/>
              <w:rPr>
                <w:rFonts w:ascii="Times New Roman" w:hAnsi="Times New Roman" w:eastAsia="宋体" w:cs="Times New Roman"/>
                <w:sz w:val="21"/>
                <w:szCs w:val="21"/>
                <w:lang w:val="en-US" w:eastAsia="zh-CN" w:bidi="ar-SA"/>
              </w:rPr>
            </w:pPr>
            <w:r>
              <w:t>铜</w:t>
            </w:r>
          </w:p>
        </w:tc>
        <w:tc>
          <w:tcPr>
            <w:tcW w:w="705" w:type="pct"/>
            <w:shd w:val="clear" w:color="auto" w:fill="auto"/>
            <w:vAlign w:val="center"/>
          </w:tcPr>
          <w:p w14:paraId="4D8A1348">
            <w:pPr>
              <w:pStyle w:val="75"/>
              <w:ind w:firstLine="0" w:firstLineChars="0"/>
              <w:rPr>
                <w:rFonts w:ascii="Times New Roman" w:hAnsi="Times New Roman" w:eastAsia="宋体" w:cs="Times New Roman"/>
                <w:sz w:val="21"/>
                <w:szCs w:val="21"/>
                <w:lang w:val="en-US" w:eastAsia="zh-CN" w:bidi="ar-SA"/>
              </w:rPr>
            </w:pPr>
            <w:r>
              <w:t>18000</w:t>
            </w:r>
            <w:r>
              <w:rPr>
                <w:rFonts w:hint="eastAsia"/>
              </w:rPr>
              <w:t>mg/kg</w:t>
            </w:r>
          </w:p>
        </w:tc>
      </w:tr>
      <w:tr w14:paraId="15435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6117F28">
            <w:pPr>
              <w:pStyle w:val="75"/>
              <w:rPr>
                <w:highlight w:val="yellow"/>
              </w:rPr>
            </w:pPr>
          </w:p>
        </w:tc>
        <w:tc>
          <w:tcPr>
            <w:tcW w:w="1264" w:type="pct"/>
            <w:vMerge w:val="continue"/>
            <w:vAlign w:val="center"/>
          </w:tcPr>
          <w:p w14:paraId="6847E869">
            <w:pPr>
              <w:pStyle w:val="75"/>
              <w:rPr>
                <w:highlight w:val="yellow"/>
              </w:rPr>
            </w:pPr>
          </w:p>
        </w:tc>
        <w:tc>
          <w:tcPr>
            <w:tcW w:w="1134" w:type="pct"/>
            <w:vMerge w:val="continue"/>
            <w:vAlign w:val="center"/>
          </w:tcPr>
          <w:p w14:paraId="46386720">
            <w:pPr>
              <w:pStyle w:val="75"/>
            </w:pPr>
          </w:p>
        </w:tc>
        <w:tc>
          <w:tcPr>
            <w:tcW w:w="1257" w:type="pct"/>
            <w:shd w:val="clear" w:color="auto" w:fill="auto"/>
            <w:vAlign w:val="center"/>
          </w:tcPr>
          <w:p w14:paraId="7CD91927">
            <w:pPr>
              <w:pStyle w:val="75"/>
              <w:ind w:firstLine="0" w:firstLineChars="0"/>
              <w:rPr>
                <w:rFonts w:ascii="Times New Roman" w:hAnsi="Times New Roman" w:eastAsia="宋体" w:cs="Times New Roman"/>
                <w:sz w:val="21"/>
                <w:szCs w:val="21"/>
                <w:lang w:val="en-US" w:eastAsia="zh-CN" w:bidi="ar-SA"/>
              </w:rPr>
            </w:pPr>
            <w:r>
              <w:t>铅</w:t>
            </w:r>
          </w:p>
        </w:tc>
        <w:tc>
          <w:tcPr>
            <w:tcW w:w="705" w:type="pct"/>
            <w:shd w:val="clear" w:color="auto" w:fill="auto"/>
            <w:vAlign w:val="center"/>
          </w:tcPr>
          <w:p w14:paraId="497B5BB3">
            <w:pPr>
              <w:pStyle w:val="75"/>
              <w:ind w:firstLine="0" w:firstLineChars="0"/>
              <w:rPr>
                <w:rFonts w:ascii="Times New Roman" w:hAnsi="Times New Roman" w:eastAsia="宋体" w:cs="Times New Roman"/>
                <w:sz w:val="21"/>
                <w:szCs w:val="21"/>
                <w:lang w:val="en-US" w:eastAsia="zh-CN" w:bidi="ar-SA"/>
              </w:rPr>
            </w:pPr>
            <w:r>
              <w:t>800</w:t>
            </w:r>
            <w:r>
              <w:rPr>
                <w:rFonts w:hint="eastAsia"/>
              </w:rPr>
              <w:t>mg/kg</w:t>
            </w:r>
          </w:p>
        </w:tc>
      </w:tr>
      <w:tr w14:paraId="60808A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11B50C7">
            <w:pPr>
              <w:pStyle w:val="75"/>
              <w:rPr>
                <w:highlight w:val="yellow"/>
              </w:rPr>
            </w:pPr>
          </w:p>
        </w:tc>
        <w:tc>
          <w:tcPr>
            <w:tcW w:w="1264" w:type="pct"/>
            <w:vMerge w:val="continue"/>
            <w:vAlign w:val="center"/>
          </w:tcPr>
          <w:p w14:paraId="7FF69D2F">
            <w:pPr>
              <w:pStyle w:val="75"/>
              <w:rPr>
                <w:highlight w:val="yellow"/>
              </w:rPr>
            </w:pPr>
          </w:p>
        </w:tc>
        <w:tc>
          <w:tcPr>
            <w:tcW w:w="1134" w:type="pct"/>
            <w:vMerge w:val="continue"/>
            <w:vAlign w:val="center"/>
          </w:tcPr>
          <w:p w14:paraId="32F90B70">
            <w:pPr>
              <w:pStyle w:val="75"/>
              <w:rPr>
                <w:highlight w:val="yellow"/>
              </w:rPr>
            </w:pPr>
          </w:p>
        </w:tc>
        <w:tc>
          <w:tcPr>
            <w:tcW w:w="1257" w:type="pct"/>
            <w:vAlign w:val="center"/>
          </w:tcPr>
          <w:p w14:paraId="173888CE">
            <w:pPr>
              <w:pStyle w:val="75"/>
            </w:pPr>
            <w:r>
              <w:t>汞</w:t>
            </w:r>
          </w:p>
        </w:tc>
        <w:tc>
          <w:tcPr>
            <w:tcW w:w="705" w:type="pct"/>
            <w:vAlign w:val="center"/>
          </w:tcPr>
          <w:p w14:paraId="6EE4F464">
            <w:pPr>
              <w:pStyle w:val="75"/>
            </w:pPr>
            <w:r>
              <w:t>38</w:t>
            </w:r>
            <w:r>
              <w:rPr>
                <w:rFonts w:hint="eastAsia"/>
              </w:rPr>
              <w:t>mg/kg</w:t>
            </w:r>
          </w:p>
        </w:tc>
      </w:tr>
      <w:tr w14:paraId="20CDB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E5F7866">
            <w:pPr>
              <w:pStyle w:val="75"/>
              <w:rPr>
                <w:highlight w:val="yellow"/>
              </w:rPr>
            </w:pPr>
          </w:p>
        </w:tc>
        <w:tc>
          <w:tcPr>
            <w:tcW w:w="1264" w:type="pct"/>
            <w:vMerge w:val="continue"/>
            <w:vAlign w:val="center"/>
          </w:tcPr>
          <w:p w14:paraId="6F9ABF03">
            <w:pPr>
              <w:pStyle w:val="75"/>
              <w:rPr>
                <w:highlight w:val="yellow"/>
              </w:rPr>
            </w:pPr>
          </w:p>
        </w:tc>
        <w:tc>
          <w:tcPr>
            <w:tcW w:w="1134" w:type="pct"/>
            <w:vMerge w:val="continue"/>
            <w:vAlign w:val="center"/>
          </w:tcPr>
          <w:p w14:paraId="1E9ECDC1">
            <w:pPr>
              <w:pStyle w:val="75"/>
              <w:rPr>
                <w:highlight w:val="yellow"/>
              </w:rPr>
            </w:pPr>
          </w:p>
        </w:tc>
        <w:tc>
          <w:tcPr>
            <w:tcW w:w="1257" w:type="pct"/>
            <w:vAlign w:val="center"/>
          </w:tcPr>
          <w:p w14:paraId="4D481BBC">
            <w:pPr>
              <w:pStyle w:val="75"/>
            </w:pPr>
            <w:r>
              <w:t>镍</w:t>
            </w:r>
          </w:p>
        </w:tc>
        <w:tc>
          <w:tcPr>
            <w:tcW w:w="705" w:type="pct"/>
            <w:vAlign w:val="center"/>
          </w:tcPr>
          <w:p w14:paraId="625CE518">
            <w:pPr>
              <w:pStyle w:val="75"/>
            </w:pPr>
            <w:r>
              <w:t>900</w:t>
            </w:r>
            <w:r>
              <w:rPr>
                <w:rFonts w:hint="eastAsia"/>
              </w:rPr>
              <w:t>mg/kg</w:t>
            </w:r>
          </w:p>
        </w:tc>
      </w:tr>
      <w:tr w14:paraId="31DE56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EC5D712">
            <w:pPr>
              <w:pStyle w:val="75"/>
              <w:rPr>
                <w:highlight w:val="yellow"/>
              </w:rPr>
            </w:pPr>
          </w:p>
        </w:tc>
        <w:tc>
          <w:tcPr>
            <w:tcW w:w="1264" w:type="pct"/>
            <w:vMerge w:val="continue"/>
            <w:vAlign w:val="center"/>
          </w:tcPr>
          <w:p w14:paraId="56D87879">
            <w:pPr>
              <w:pStyle w:val="75"/>
              <w:rPr>
                <w:highlight w:val="yellow"/>
              </w:rPr>
            </w:pPr>
          </w:p>
        </w:tc>
        <w:tc>
          <w:tcPr>
            <w:tcW w:w="1134" w:type="pct"/>
            <w:vMerge w:val="continue"/>
            <w:vAlign w:val="center"/>
          </w:tcPr>
          <w:p w14:paraId="499296DE">
            <w:pPr>
              <w:pStyle w:val="75"/>
              <w:rPr>
                <w:highlight w:val="yellow"/>
              </w:rPr>
            </w:pPr>
          </w:p>
        </w:tc>
        <w:tc>
          <w:tcPr>
            <w:tcW w:w="1257" w:type="pct"/>
            <w:vAlign w:val="center"/>
          </w:tcPr>
          <w:p w14:paraId="17B2A57B">
            <w:pPr>
              <w:pStyle w:val="75"/>
            </w:pPr>
            <w:r>
              <w:t>四氯化碳</w:t>
            </w:r>
          </w:p>
        </w:tc>
        <w:tc>
          <w:tcPr>
            <w:tcW w:w="705" w:type="pct"/>
            <w:vAlign w:val="center"/>
          </w:tcPr>
          <w:p w14:paraId="3B832990">
            <w:pPr>
              <w:pStyle w:val="75"/>
            </w:pPr>
            <w:r>
              <w:t>2.8</w:t>
            </w:r>
            <w:r>
              <w:rPr>
                <w:rFonts w:hint="eastAsia"/>
              </w:rPr>
              <w:t>mg/kg</w:t>
            </w:r>
          </w:p>
        </w:tc>
      </w:tr>
      <w:tr w14:paraId="5BF64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9B88A60">
            <w:pPr>
              <w:pStyle w:val="75"/>
              <w:rPr>
                <w:highlight w:val="yellow"/>
              </w:rPr>
            </w:pPr>
          </w:p>
        </w:tc>
        <w:tc>
          <w:tcPr>
            <w:tcW w:w="1264" w:type="pct"/>
            <w:vMerge w:val="continue"/>
            <w:vAlign w:val="center"/>
          </w:tcPr>
          <w:p w14:paraId="77A15006">
            <w:pPr>
              <w:pStyle w:val="75"/>
              <w:rPr>
                <w:highlight w:val="yellow"/>
              </w:rPr>
            </w:pPr>
          </w:p>
        </w:tc>
        <w:tc>
          <w:tcPr>
            <w:tcW w:w="1134" w:type="pct"/>
            <w:vMerge w:val="continue"/>
            <w:vAlign w:val="center"/>
          </w:tcPr>
          <w:p w14:paraId="0287FD81">
            <w:pPr>
              <w:pStyle w:val="75"/>
              <w:rPr>
                <w:highlight w:val="yellow"/>
              </w:rPr>
            </w:pPr>
          </w:p>
        </w:tc>
        <w:tc>
          <w:tcPr>
            <w:tcW w:w="1257" w:type="pct"/>
            <w:vAlign w:val="center"/>
          </w:tcPr>
          <w:p w14:paraId="3614F323">
            <w:pPr>
              <w:pStyle w:val="75"/>
            </w:pPr>
            <w:r>
              <w:t>氯仿</w:t>
            </w:r>
          </w:p>
        </w:tc>
        <w:tc>
          <w:tcPr>
            <w:tcW w:w="705" w:type="pct"/>
            <w:vAlign w:val="center"/>
          </w:tcPr>
          <w:p w14:paraId="5CC0652D">
            <w:pPr>
              <w:pStyle w:val="75"/>
            </w:pPr>
            <w:r>
              <w:t>0.9</w:t>
            </w:r>
            <w:r>
              <w:rPr>
                <w:rFonts w:hint="eastAsia"/>
              </w:rPr>
              <w:t>mg/kg</w:t>
            </w:r>
          </w:p>
        </w:tc>
      </w:tr>
      <w:tr w14:paraId="6FAEE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270E777">
            <w:pPr>
              <w:pStyle w:val="75"/>
              <w:rPr>
                <w:highlight w:val="yellow"/>
              </w:rPr>
            </w:pPr>
          </w:p>
        </w:tc>
        <w:tc>
          <w:tcPr>
            <w:tcW w:w="1264" w:type="pct"/>
            <w:vMerge w:val="continue"/>
            <w:vAlign w:val="center"/>
          </w:tcPr>
          <w:p w14:paraId="106C8505">
            <w:pPr>
              <w:pStyle w:val="75"/>
              <w:rPr>
                <w:highlight w:val="yellow"/>
              </w:rPr>
            </w:pPr>
          </w:p>
        </w:tc>
        <w:tc>
          <w:tcPr>
            <w:tcW w:w="1134" w:type="pct"/>
            <w:vMerge w:val="continue"/>
            <w:vAlign w:val="center"/>
          </w:tcPr>
          <w:p w14:paraId="2E37BA8E">
            <w:pPr>
              <w:pStyle w:val="75"/>
              <w:rPr>
                <w:highlight w:val="yellow"/>
              </w:rPr>
            </w:pPr>
          </w:p>
        </w:tc>
        <w:tc>
          <w:tcPr>
            <w:tcW w:w="1257" w:type="pct"/>
            <w:vAlign w:val="center"/>
          </w:tcPr>
          <w:p w14:paraId="2AFC93BB">
            <w:pPr>
              <w:pStyle w:val="75"/>
            </w:pPr>
            <w:r>
              <w:t>氯甲烷</w:t>
            </w:r>
          </w:p>
        </w:tc>
        <w:tc>
          <w:tcPr>
            <w:tcW w:w="705" w:type="pct"/>
            <w:vAlign w:val="center"/>
          </w:tcPr>
          <w:p w14:paraId="36BC44FA">
            <w:pPr>
              <w:pStyle w:val="75"/>
            </w:pPr>
            <w:r>
              <w:t>37</w:t>
            </w:r>
            <w:r>
              <w:rPr>
                <w:rFonts w:hint="eastAsia"/>
              </w:rPr>
              <w:t>mg/kg</w:t>
            </w:r>
          </w:p>
        </w:tc>
      </w:tr>
      <w:tr w14:paraId="0761B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5085EF6">
            <w:pPr>
              <w:pStyle w:val="75"/>
              <w:rPr>
                <w:highlight w:val="yellow"/>
              </w:rPr>
            </w:pPr>
          </w:p>
        </w:tc>
        <w:tc>
          <w:tcPr>
            <w:tcW w:w="1264" w:type="pct"/>
            <w:vMerge w:val="continue"/>
            <w:vAlign w:val="center"/>
          </w:tcPr>
          <w:p w14:paraId="4D2FC8AD">
            <w:pPr>
              <w:pStyle w:val="75"/>
              <w:rPr>
                <w:highlight w:val="yellow"/>
              </w:rPr>
            </w:pPr>
          </w:p>
        </w:tc>
        <w:tc>
          <w:tcPr>
            <w:tcW w:w="1134" w:type="pct"/>
            <w:vMerge w:val="continue"/>
            <w:vAlign w:val="center"/>
          </w:tcPr>
          <w:p w14:paraId="3D326F5D">
            <w:pPr>
              <w:pStyle w:val="75"/>
              <w:rPr>
                <w:highlight w:val="yellow"/>
              </w:rPr>
            </w:pPr>
          </w:p>
        </w:tc>
        <w:tc>
          <w:tcPr>
            <w:tcW w:w="1257" w:type="pct"/>
            <w:vAlign w:val="center"/>
          </w:tcPr>
          <w:p w14:paraId="52E70672">
            <w:pPr>
              <w:pStyle w:val="75"/>
            </w:pPr>
            <w:r>
              <w:t>1</w:t>
            </w:r>
            <w:r>
              <w:rPr>
                <w:rFonts w:hint="eastAsia"/>
              </w:rPr>
              <w:t>,</w:t>
            </w:r>
            <w:r>
              <w:t>1-二氯乙烷</w:t>
            </w:r>
          </w:p>
        </w:tc>
        <w:tc>
          <w:tcPr>
            <w:tcW w:w="705" w:type="pct"/>
            <w:vAlign w:val="center"/>
          </w:tcPr>
          <w:p w14:paraId="03EF1E15">
            <w:pPr>
              <w:pStyle w:val="75"/>
            </w:pPr>
            <w:r>
              <w:t>9</w:t>
            </w:r>
            <w:r>
              <w:rPr>
                <w:rFonts w:hint="eastAsia"/>
              </w:rPr>
              <w:t>mg/kg</w:t>
            </w:r>
          </w:p>
        </w:tc>
      </w:tr>
      <w:tr w14:paraId="39C11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AB10EB5">
            <w:pPr>
              <w:pStyle w:val="75"/>
              <w:rPr>
                <w:highlight w:val="yellow"/>
              </w:rPr>
            </w:pPr>
          </w:p>
        </w:tc>
        <w:tc>
          <w:tcPr>
            <w:tcW w:w="1264" w:type="pct"/>
            <w:vMerge w:val="continue"/>
            <w:vAlign w:val="center"/>
          </w:tcPr>
          <w:p w14:paraId="058E081B">
            <w:pPr>
              <w:pStyle w:val="75"/>
              <w:rPr>
                <w:highlight w:val="yellow"/>
              </w:rPr>
            </w:pPr>
          </w:p>
        </w:tc>
        <w:tc>
          <w:tcPr>
            <w:tcW w:w="1134" w:type="pct"/>
            <w:vMerge w:val="continue"/>
            <w:vAlign w:val="center"/>
          </w:tcPr>
          <w:p w14:paraId="34D998D3">
            <w:pPr>
              <w:pStyle w:val="75"/>
              <w:rPr>
                <w:highlight w:val="yellow"/>
              </w:rPr>
            </w:pPr>
          </w:p>
        </w:tc>
        <w:tc>
          <w:tcPr>
            <w:tcW w:w="1257" w:type="pct"/>
            <w:vAlign w:val="center"/>
          </w:tcPr>
          <w:p w14:paraId="1AC8A627">
            <w:pPr>
              <w:pStyle w:val="75"/>
            </w:pPr>
            <w:r>
              <w:t>1</w:t>
            </w:r>
            <w:r>
              <w:rPr>
                <w:rFonts w:hint="eastAsia"/>
              </w:rPr>
              <w:t>,</w:t>
            </w:r>
            <w:r>
              <w:t>2-二氯乙烷</w:t>
            </w:r>
          </w:p>
        </w:tc>
        <w:tc>
          <w:tcPr>
            <w:tcW w:w="705" w:type="pct"/>
            <w:vAlign w:val="center"/>
          </w:tcPr>
          <w:p w14:paraId="1E9AF54B">
            <w:pPr>
              <w:pStyle w:val="75"/>
            </w:pPr>
            <w:r>
              <w:t>5</w:t>
            </w:r>
            <w:r>
              <w:rPr>
                <w:rFonts w:hint="eastAsia"/>
              </w:rPr>
              <w:t>mg/kg</w:t>
            </w:r>
          </w:p>
        </w:tc>
      </w:tr>
      <w:tr w14:paraId="16E91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EB1E214">
            <w:pPr>
              <w:pStyle w:val="75"/>
              <w:rPr>
                <w:highlight w:val="yellow"/>
              </w:rPr>
            </w:pPr>
          </w:p>
        </w:tc>
        <w:tc>
          <w:tcPr>
            <w:tcW w:w="1264" w:type="pct"/>
            <w:vMerge w:val="continue"/>
            <w:vAlign w:val="center"/>
          </w:tcPr>
          <w:p w14:paraId="493AFEA5">
            <w:pPr>
              <w:pStyle w:val="75"/>
              <w:rPr>
                <w:highlight w:val="yellow"/>
              </w:rPr>
            </w:pPr>
          </w:p>
        </w:tc>
        <w:tc>
          <w:tcPr>
            <w:tcW w:w="1134" w:type="pct"/>
            <w:vMerge w:val="continue"/>
            <w:vAlign w:val="center"/>
          </w:tcPr>
          <w:p w14:paraId="7747D090">
            <w:pPr>
              <w:pStyle w:val="75"/>
              <w:rPr>
                <w:highlight w:val="yellow"/>
              </w:rPr>
            </w:pPr>
          </w:p>
        </w:tc>
        <w:tc>
          <w:tcPr>
            <w:tcW w:w="1257" w:type="pct"/>
            <w:vAlign w:val="center"/>
          </w:tcPr>
          <w:p w14:paraId="19190F3D">
            <w:pPr>
              <w:pStyle w:val="75"/>
            </w:pPr>
            <w:r>
              <w:t>1</w:t>
            </w:r>
            <w:r>
              <w:rPr>
                <w:rFonts w:hint="eastAsia"/>
              </w:rPr>
              <w:t>,</w:t>
            </w:r>
            <w:r>
              <w:t>1-二氯乙烯</w:t>
            </w:r>
          </w:p>
        </w:tc>
        <w:tc>
          <w:tcPr>
            <w:tcW w:w="705" w:type="pct"/>
            <w:vAlign w:val="center"/>
          </w:tcPr>
          <w:p w14:paraId="716A526D">
            <w:pPr>
              <w:pStyle w:val="75"/>
            </w:pPr>
            <w:r>
              <w:t>66</w:t>
            </w:r>
            <w:r>
              <w:rPr>
                <w:rFonts w:hint="eastAsia"/>
              </w:rPr>
              <w:t>mg/kg</w:t>
            </w:r>
          </w:p>
        </w:tc>
      </w:tr>
      <w:tr w14:paraId="705B5F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69B82A3">
            <w:pPr>
              <w:pStyle w:val="75"/>
              <w:rPr>
                <w:highlight w:val="yellow"/>
              </w:rPr>
            </w:pPr>
          </w:p>
        </w:tc>
        <w:tc>
          <w:tcPr>
            <w:tcW w:w="1264" w:type="pct"/>
            <w:vMerge w:val="continue"/>
            <w:vAlign w:val="center"/>
          </w:tcPr>
          <w:p w14:paraId="16EF5D9E">
            <w:pPr>
              <w:pStyle w:val="75"/>
              <w:rPr>
                <w:highlight w:val="yellow"/>
              </w:rPr>
            </w:pPr>
          </w:p>
        </w:tc>
        <w:tc>
          <w:tcPr>
            <w:tcW w:w="1134" w:type="pct"/>
            <w:vMerge w:val="continue"/>
            <w:vAlign w:val="center"/>
          </w:tcPr>
          <w:p w14:paraId="77E724ED">
            <w:pPr>
              <w:pStyle w:val="75"/>
              <w:rPr>
                <w:highlight w:val="yellow"/>
              </w:rPr>
            </w:pPr>
          </w:p>
        </w:tc>
        <w:tc>
          <w:tcPr>
            <w:tcW w:w="1257" w:type="pct"/>
            <w:vAlign w:val="center"/>
          </w:tcPr>
          <w:p w14:paraId="79809094">
            <w:pPr>
              <w:pStyle w:val="75"/>
            </w:pPr>
            <w:r>
              <w:t>顺1</w:t>
            </w:r>
            <w:r>
              <w:rPr>
                <w:rFonts w:hint="eastAsia"/>
              </w:rPr>
              <w:t>,</w:t>
            </w:r>
            <w:r>
              <w:t>2-二氯乙烯</w:t>
            </w:r>
          </w:p>
        </w:tc>
        <w:tc>
          <w:tcPr>
            <w:tcW w:w="705" w:type="pct"/>
            <w:vAlign w:val="center"/>
          </w:tcPr>
          <w:p w14:paraId="543780F7">
            <w:pPr>
              <w:pStyle w:val="75"/>
            </w:pPr>
            <w:r>
              <w:t>596</w:t>
            </w:r>
            <w:r>
              <w:rPr>
                <w:rFonts w:hint="eastAsia"/>
              </w:rPr>
              <w:t>mg/kg</w:t>
            </w:r>
          </w:p>
        </w:tc>
      </w:tr>
      <w:tr w14:paraId="5C72CE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C71F816">
            <w:pPr>
              <w:pStyle w:val="75"/>
              <w:rPr>
                <w:highlight w:val="yellow"/>
              </w:rPr>
            </w:pPr>
          </w:p>
        </w:tc>
        <w:tc>
          <w:tcPr>
            <w:tcW w:w="1264" w:type="pct"/>
            <w:vMerge w:val="continue"/>
            <w:vAlign w:val="center"/>
          </w:tcPr>
          <w:p w14:paraId="3B476398">
            <w:pPr>
              <w:pStyle w:val="75"/>
              <w:rPr>
                <w:highlight w:val="yellow"/>
              </w:rPr>
            </w:pPr>
          </w:p>
        </w:tc>
        <w:tc>
          <w:tcPr>
            <w:tcW w:w="1134" w:type="pct"/>
            <w:vMerge w:val="continue"/>
            <w:vAlign w:val="center"/>
          </w:tcPr>
          <w:p w14:paraId="3CC4A4F2">
            <w:pPr>
              <w:pStyle w:val="75"/>
              <w:rPr>
                <w:highlight w:val="yellow"/>
              </w:rPr>
            </w:pPr>
          </w:p>
        </w:tc>
        <w:tc>
          <w:tcPr>
            <w:tcW w:w="1257" w:type="pct"/>
            <w:vAlign w:val="center"/>
          </w:tcPr>
          <w:p w14:paraId="5EF8B2E0">
            <w:pPr>
              <w:pStyle w:val="75"/>
            </w:pPr>
            <w:r>
              <w:t>反1</w:t>
            </w:r>
            <w:r>
              <w:rPr>
                <w:rFonts w:hint="eastAsia"/>
              </w:rPr>
              <w:t>,</w:t>
            </w:r>
            <w:r>
              <w:t>2-二氯乙烯</w:t>
            </w:r>
          </w:p>
        </w:tc>
        <w:tc>
          <w:tcPr>
            <w:tcW w:w="705" w:type="pct"/>
            <w:vAlign w:val="center"/>
          </w:tcPr>
          <w:p w14:paraId="05F328D9">
            <w:pPr>
              <w:pStyle w:val="75"/>
            </w:pPr>
            <w:r>
              <w:t>54</w:t>
            </w:r>
            <w:r>
              <w:rPr>
                <w:rFonts w:hint="eastAsia"/>
              </w:rPr>
              <w:t>mg/kg</w:t>
            </w:r>
          </w:p>
        </w:tc>
      </w:tr>
      <w:tr w14:paraId="16F7DD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B732F69">
            <w:pPr>
              <w:pStyle w:val="75"/>
              <w:rPr>
                <w:highlight w:val="yellow"/>
              </w:rPr>
            </w:pPr>
          </w:p>
        </w:tc>
        <w:tc>
          <w:tcPr>
            <w:tcW w:w="1264" w:type="pct"/>
            <w:vMerge w:val="continue"/>
            <w:vAlign w:val="center"/>
          </w:tcPr>
          <w:p w14:paraId="4CEEB2CC">
            <w:pPr>
              <w:pStyle w:val="75"/>
              <w:rPr>
                <w:highlight w:val="yellow"/>
              </w:rPr>
            </w:pPr>
          </w:p>
        </w:tc>
        <w:tc>
          <w:tcPr>
            <w:tcW w:w="1134" w:type="pct"/>
            <w:vMerge w:val="continue"/>
            <w:vAlign w:val="center"/>
          </w:tcPr>
          <w:p w14:paraId="7C4E2C46">
            <w:pPr>
              <w:pStyle w:val="75"/>
              <w:rPr>
                <w:highlight w:val="yellow"/>
              </w:rPr>
            </w:pPr>
          </w:p>
        </w:tc>
        <w:tc>
          <w:tcPr>
            <w:tcW w:w="1257" w:type="pct"/>
            <w:vAlign w:val="center"/>
          </w:tcPr>
          <w:p w14:paraId="5E057669">
            <w:pPr>
              <w:pStyle w:val="75"/>
            </w:pPr>
            <w:r>
              <w:t>二氯甲烷</w:t>
            </w:r>
          </w:p>
        </w:tc>
        <w:tc>
          <w:tcPr>
            <w:tcW w:w="705" w:type="pct"/>
            <w:vAlign w:val="center"/>
          </w:tcPr>
          <w:p w14:paraId="129C7316">
            <w:pPr>
              <w:pStyle w:val="75"/>
            </w:pPr>
            <w:r>
              <w:t>616</w:t>
            </w:r>
            <w:r>
              <w:rPr>
                <w:rFonts w:hint="eastAsia"/>
              </w:rPr>
              <w:t>mg/kg</w:t>
            </w:r>
          </w:p>
        </w:tc>
      </w:tr>
      <w:tr w14:paraId="7DD45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E03B30C">
            <w:pPr>
              <w:pStyle w:val="75"/>
              <w:rPr>
                <w:highlight w:val="yellow"/>
              </w:rPr>
            </w:pPr>
          </w:p>
        </w:tc>
        <w:tc>
          <w:tcPr>
            <w:tcW w:w="1264" w:type="pct"/>
            <w:vMerge w:val="continue"/>
            <w:vAlign w:val="center"/>
          </w:tcPr>
          <w:p w14:paraId="2EF89D17">
            <w:pPr>
              <w:pStyle w:val="75"/>
              <w:rPr>
                <w:highlight w:val="yellow"/>
              </w:rPr>
            </w:pPr>
          </w:p>
        </w:tc>
        <w:tc>
          <w:tcPr>
            <w:tcW w:w="1134" w:type="pct"/>
            <w:vMerge w:val="continue"/>
            <w:vAlign w:val="center"/>
          </w:tcPr>
          <w:p w14:paraId="12AF4B02">
            <w:pPr>
              <w:pStyle w:val="75"/>
              <w:rPr>
                <w:highlight w:val="yellow"/>
              </w:rPr>
            </w:pPr>
          </w:p>
        </w:tc>
        <w:tc>
          <w:tcPr>
            <w:tcW w:w="1257" w:type="pct"/>
            <w:vAlign w:val="center"/>
          </w:tcPr>
          <w:p w14:paraId="69DD426C">
            <w:pPr>
              <w:pStyle w:val="75"/>
            </w:pPr>
            <w:r>
              <w:t>1</w:t>
            </w:r>
            <w:r>
              <w:rPr>
                <w:rFonts w:hint="eastAsia"/>
              </w:rPr>
              <w:t>,</w:t>
            </w:r>
            <w:r>
              <w:t>2-二氯丙烷</w:t>
            </w:r>
          </w:p>
        </w:tc>
        <w:tc>
          <w:tcPr>
            <w:tcW w:w="705" w:type="pct"/>
            <w:vAlign w:val="center"/>
          </w:tcPr>
          <w:p w14:paraId="684A1A00">
            <w:pPr>
              <w:pStyle w:val="75"/>
            </w:pPr>
            <w:r>
              <w:t>5</w:t>
            </w:r>
            <w:r>
              <w:rPr>
                <w:rFonts w:hint="eastAsia"/>
              </w:rPr>
              <w:t>mg/kg</w:t>
            </w:r>
          </w:p>
        </w:tc>
      </w:tr>
      <w:tr w14:paraId="12D2D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68D9055">
            <w:pPr>
              <w:pStyle w:val="75"/>
              <w:rPr>
                <w:highlight w:val="yellow"/>
              </w:rPr>
            </w:pPr>
          </w:p>
        </w:tc>
        <w:tc>
          <w:tcPr>
            <w:tcW w:w="1264" w:type="pct"/>
            <w:vMerge w:val="continue"/>
            <w:vAlign w:val="center"/>
          </w:tcPr>
          <w:p w14:paraId="0FE70119">
            <w:pPr>
              <w:pStyle w:val="75"/>
              <w:rPr>
                <w:highlight w:val="yellow"/>
              </w:rPr>
            </w:pPr>
          </w:p>
        </w:tc>
        <w:tc>
          <w:tcPr>
            <w:tcW w:w="1134" w:type="pct"/>
            <w:vMerge w:val="continue"/>
            <w:vAlign w:val="center"/>
          </w:tcPr>
          <w:p w14:paraId="2C21C4FF">
            <w:pPr>
              <w:pStyle w:val="75"/>
              <w:rPr>
                <w:highlight w:val="yellow"/>
              </w:rPr>
            </w:pPr>
          </w:p>
        </w:tc>
        <w:tc>
          <w:tcPr>
            <w:tcW w:w="1257" w:type="pct"/>
            <w:vAlign w:val="center"/>
          </w:tcPr>
          <w:p w14:paraId="268F24DC">
            <w:pPr>
              <w:pStyle w:val="75"/>
            </w:pPr>
            <w:r>
              <w:t>1,1,1,2-四氯乙烷</w:t>
            </w:r>
          </w:p>
        </w:tc>
        <w:tc>
          <w:tcPr>
            <w:tcW w:w="705" w:type="pct"/>
            <w:vAlign w:val="center"/>
          </w:tcPr>
          <w:p w14:paraId="5C85C491">
            <w:pPr>
              <w:pStyle w:val="75"/>
            </w:pPr>
            <w:r>
              <w:t>10</w:t>
            </w:r>
            <w:r>
              <w:rPr>
                <w:rFonts w:hint="eastAsia"/>
              </w:rPr>
              <w:t>mg/kg</w:t>
            </w:r>
          </w:p>
        </w:tc>
      </w:tr>
      <w:tr w14:paraId="7B35D6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D3AAC6B">
            <w:pPr>
              <w:pStyle w:val="75"/>
              <w:rPr>
                <w:highlight w:val="yellow"/>
              </w:rPr>
            </w:pPr>
          </w:p>
        </w:tc>
        <w:tc>
          <w:tcPr>
            <w:tcW w:w="1264" w:type="pct"/>
            <w:vMerge w:val="continue"/>
            <w:vAlign w:val="center"/>
          </w:tcPr>
          <w:p w14:paraId="0EF54696">
            <w:pPr>
              <w:pStyle w:val="75"/>
              <w:rPr>
                <w:highlight w:val="yellow"/>
              </w:rPr>
            </w:pPr>
          </w:p>
        </w:tc>
        <w:tc>
          <w:tcPr>
            <w:tcW w:w="1134" w:type="pct"/>
            <w:vMerge w:val="continue"/>
            <w:vAlign w:val="center"/>
          </w:tcPr>
          <w:p w14:paraId="72A1A76E">
            <w:pPr>
              <w:pStyle w:val="75"/>
              <w:rPr>
                <w:highlight w:val="yellow"/>
              </w:rPr>
            </w:pPr>
          </w:p>
        </w:tc>
        <w:tc>
          <w:tcPr>
            <w:tcW w:w="1257" w:type="pct"/>
            <w:vAlign w:val="center"/>
          </w:tcPr>
          <w:p w14:paraId="3EA116FB">
            <w:pPr>
              <w:pStyle w:val="75"/>
            </w:pPr>
            <w:r>
              <w:t>1,1,2,2-四氯乙烷</w:t>
            </w:r>
          </w:p>
        </w:tc>
        <w:tc>
          <w:tcPr>
            <w:tcW w:w="705" w:type="pct"/>
            <w:vAlign w:val="center"/>
          </w:tcPr>
          <w:p w14:paraId="44FB63F0">
            <w:pPr>
              <w:pStyle w:val="75"/>
            </w:pPr>
            <w:r>
              <w:t>6.8</w:t>
            </w:r>
            <w:r>
              <w:rPr>
                <w:rFonts w:hint="eastAsia"/>
              </w:rPr>
              <w:t>mg/kg</w:t>
            </w:r>
          </w:p>
        </w:tc>
      </w:tr>
      <w:tr w14:paraId="41587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B6C8D83">
            <w:pPr>
              <w:pStyle w:val="75"/>
              <w:rPr>
                <w:highlight w:val="yellow"/>
              </w:rPr>
            </w:pPr>
          </w:p>
        </w:tc>
        <w:tc>
          <w:tcPr>
            <w:tcW w:w="1264" w:type="pct"/>
            <w:vMerge w:val="continue"/>
            <w:vAlign w:val="center"/>
          </w:tcPr>
          <w:p w14:paraId="6E7DC68F">
            <w:pPr>
              <w:pStyle w:val="75"/>
              <w:rPr>
                <w:highlight w:val="yellow"/>
              </w:rPr>
            </w:pPr>
          </w:p>
        </w:tc>
        <w:tc>
          <w:tcPr>
            <w:tcW w:w="1134" w:type="pct"/>
            <w:vMerge w:val="continue"/>
            <w:vAlign w:val="center"/>
          </w:tcPr>
          <w:p w14:paraId="6A375255">
            <w:pPr>
              <w:pStyle w:val="75"/>
              <w:rPr>
                <w:highlight w:val="yellow"/>
              </w:rPr>
            </w:pPr>
          </w:p>
        </w:tc>
        <w:tc>
          <w:tcPr>
            <w:tcW w:w="1257" w:type="pct"/>
            <w:vAlign w:val="center"/>
          </w:tcPr>
          <w:p w14:paraId="675E86C8">
            <w:pPr>
              <w:pStyle w:val="75"/>
            </w:pPr>
            <w:r>
              <w:t>四氯乙烯</w:t>
            </w:r>
          </w:p>
        </w:tc>
        <w:tc>
          <w:tcPr>
            <w:tcW w:w="705" w:type="pct"/>
            <w:vAlign w:val="center"/>
          </w:tcPr>
          <w:p w14:paraId="306582D2">
            <w:pPr>
              <w:pStyle w:val="75"/>
            </w:pPr>
            <w:r>
              <w:t>53</w:t>
            </w:r>
            <w:r>
              <w:rPr>
                <w:rFonts w:hint="eastAsia"/>
              </w:rPr>
              <w:t>mg/kg</w:t>
            </w:r>
          </w:p>
        </w:tc>
      </w:tr>
      <w:tr w14:paraId="55A2E9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9AC0632">
            <w:pPr>
              <w:pStyle w:val="75"/>
              <w:rPr>
                <w:highlight w:val="yellow"/>
              </w:rPr>
            </w:pPr>
          </w:p>
        </w:tc>
        <w:tc>
          <w:tcPr>
            <w:tcW w:w="1264" w:type="pct"/>
            <w:vMerge w:val="continue"/>
            <w:vAlign w:val="center"/>
          </w:tcPr>
          <w:p w14:paraId="5776AC5E">
            <w:pPr>
              <w:pStyle w:val="75"/>
              <w:rPr>
                <w:highlight w:val="yellow"/>
              </w:rPr>
            </w:pPr>
          </w:p>
        </w:tc>
        <w:tc>
          <w:tcPr>
            <w:tcW w:w="1134" w:type="pct"/>
            <w:vMerge w:val="continue"/>
            <w:vAlign w:val="center"/>
          </w:tcPr>
          <w:p w14:paraId="7EBF63E4">
            <w:pPr>
              <w:pStyle w:val="75"/>
              <w:rPr>
                <w:highlight w:val="yellow"/>
              </w:rPr>
            </w:pPr>
          </w:p>
        </w:tc>
        <w:tc>
          <w:tcPr>
            <w:tcW w:w="1257" w:type="pct"/>
            <w:vAlign w:val="center"/>
          </w:tcPr>
          <w:p w14:paraId="0F68288D">
            <w:pPr>
              <w:pStyle w:val="75"/>
            </w:pPr>
            <w:r>
              <w:t>1,1,1-三氯乙烷</w:t>
            </w:r>
          </w:p>
        </w:tc>
        <w:tc>
          <w:tcPr>
            <w:tcW w:w="705" w:type="pct"/>
            <w:vAlign w:val="center"/>
          </w:tcPr>
          <w:p w14:paraId="29E8737A">
            <w:pPr>
              <w:pStyle w:val="75"/>
            </w:pPr>
            <w:r>
              <w:t>840</w:t>
            </w:r>
            <w:r>
              <w:rPr>
                <w:rFonts w:hint="eastAsia"/>
              </w:rPr>
              <w:t>mg/kg</w:t>
            </w:r>
          </w:p>
        </w:tc>
      </w:tr>
      <w:tr w14:paraId="25BE1D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5E03B2D">
            <w:pPr>
              <w:pStyle w:val="75"/>
              <w:rPr>
                <w:highlight w:val="yellow"/>
              </w:rPr>
            </w:pPr>
          </w:p>
        </w:tc>
        <w:tc>
          <w:tcPr>
            <w:tcW w:w="1264" w:type="pct"/>
            <w:vMerge w:val="continue"/>
            <w:vAlign w:val="center"/>
          </w:tcPr>
          <w:p w14:paraId="664B20BC">
            <w:pPr>
              <w:pStyle w:val="75"/>
              <w:rPr>
                <w:highlight w:val="yellow"/>
              </w:rPr>
            </w:pPr>
          </w:p>
        </w:tc>
        <w:tc>
          <w:tcPr>
            <w:tcW w:w="1134" w:type="pct"/>
            <w:vMerge w:val="continue"/>
            <w:vAlign w:val="center"/>
          </w:tcPr>
          <w:p w14:paraId="6B33C202">
            <w:pPr>
              <w:pStyle w:val="75"/>
              <w:rPr>
                <w:highlight w:val="yellow"/>
              </w:rPr>
            </w:pPr>
          </w:p>
        </w:tc>
        <w:tc>
          <w:tcPr>
            <w:tcW w:w="1257" w:type="pct"/>
            <w:vAlign w:val="center"/>
          </w:tcPr>
          <w:p w14:paraId="3BA6AE47">
            <w:pPr>
              <w:pStyle w:val="75"/>
            </w:pPr>
            <w:r>
              <w:t>1,1,2-三氯乙烷</w:t>
            </w:r>
          </w:p>
        </w:tc>
        <w:tc>
          <w:tcPr>
            <w:tcW w:w="705" w:type="pct"/>
            <w:vAlign w:val="center"/>
          </w:tcPr>
          <w:p w14:paraId="0478B4D6">
            <w:pPr>
              <w:pStyle w:val="75"/>
            </w:pPr>
            <w:r>
              <w:t>2.8</w:t>
            </w:r>
            <w:r>
              <w:rPr>
                <w:rFonts w:hint="eastAsia"/>
              </w:rPr>
              <w:t>mg/kg</w:t>
            </w:r>
          </w:p>
        </w:tc>
      </w:tr>
      <w:tr w14:paraId="6B40B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97CCF53">
            <w:pPr>
              <w:pStyle w:val="75"/>
              <w:rPr>
                <w:highlight w:val="yellow"/>
              </w:rPr>
            </w:pPr>
          </w:p>
        </w:tc>
        <w:tc>
          <w:tcPr>
            <w:tcW w:w="1264" w:type="pct"/>
            <w:vMerge w:val="continue"/>
            <w:vAlign w:val="center"/>
          </w:tcPr>
          <w:p w14:paraId="142A5103">
            <w:pPr>
              <w:pStyle w:val="75"/>
              <w:rPr>
                <w:highlight w:val="yellow"/>
              </w:rPr>
            </w:pPr>
          </w:p>
        </w:tc>
        <w:tc>
          <w:tcPr>
            <w:tcW w:w="1134" w:type="pct"/>
            <w:vMerge w:val="continue"/>
            <w:vAlign w:val="center"/>
          </w:tcPr>
          <w:p w14:paraId="367299DC">
            <w:pPr>
              <w:pStyle w:val="75"/>
              <w:rPr>
                <w:highlight w:val="yellow"/>
              </w:rPr>
            </w:pPr>
          </w:p>
        </w:tc>
        <w:tc>
          <w:tcPr>
            <w:tcW w:w="1257" w:type="pct"/>
            <w:vAlign w:val="center"/>
          </w:tcPr>
          <w:p w14:paraId="6585687B">
            <w:pPr>
              <w:pStyle w:val="75"/>
            </w:pPr>
            <w:r>
              <w:t>三氯乙烯</w:t>
            </w:r>
          </w:p>
        </w:tc>
        <w:tc>
          <w:tcPr>
            <w:tcW w:w="705" w:type="pct"/>
            <w:vAlign w:val="center"/>
          </w:tcPr>
          <w:p w14:paraId="4A063589">
            <w:pPr>
              <w:pStyle w:val="75"/>
            </w:pPr>
            <w:r>
              <w:t>2.8</w:t>
            </w:r>
            <w:r>
              <w:rPr>
                <w:rFonts w:hint="eastAsia"/>
              </w:rPr>
              <w:t>mg/kg</w:t>
            </w:r>
          </w:p>
        </w:tc>
      </w:tr>
      <w:tr w14:paraId="63696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CA4CA13">
            <w:pPr>
              <w:pStyle w:val="75"/>
              <w:rPr>
                <w:highlight w:val="yellow"/>
              </w:rPr>
            </w:pPr>
          </w:p>
        </w:tc>
        <w:tc>
          <w:tcPr>
            <w:tcW w:w="1264" w:type="pct"/>
            <w:vMerge w:val="continue"/>
            <w:vAlign w:val="center"/>
          </w:tcPr>
          <w:p w14:paraId="48E90275">
            <w:pPr>
              <w:pStyle w:val="75"/>
              <w:rPr>
                <w:highlight w:val="yellow"/>
              </w:rPr>
            </w:pPr>
          </w:p>
        </w:tc>
        <w:tc>
          <w:tcPr>
            <w:tcW w:w="1134" w:type="pct"/>
            <w:vMerge w:val="continue"/>
            <w:vAlign w:val="center"/>
          </w:tcPr>
          <w:p w14:paraId="2E102E41">
            <w:pPr>
              <w:pStyle w:val="75"/>
              <w:rPr>
                <w:highlight w:val="yellow"/>
              </w:rPr>
            </w:pPr>
          </w:p>
        </w:tc>
        <w:tc>
          <w:tcPr>
            <w:tcW w:w="1257" w:type="pct"/>
            <w:vAlign w:val="center"/>
          </w:tcPr>
          <w:p w14:paraId="3DCB2EBB">
            <w:pPr>
              <w:pStyle w:val="75"/>
            </w:pPr>
            <w:r>
              <w:t>1,2,3-三氯丙烷</w:t>
            </w:r>
          </w:p>
        </w:tc>
        <w:tc>
          <w:tcPr>
            <w:tcW w:w="705" w:type="pct"/>
            <w:vAlign w:val="center"/>
          </w:tcPr>
          <w:p w14:paraId="36CCA1D6">
            <w:pPr>
              <w:pStyle w:val="75"/>
            </w:pPr>
            <w:r>
              <w:t>0.5</w:t>
            </w:r>
            <w:r>
              <w:rPr>
                <w:rFonts w:hint="eastAsia"/>
              </w:rPr>
              <w:t>mg/kg</w:t>
            </w:r>
          </w:p>
        </w:tc>
      </w:tr>
      <w:tr w14:paraId="48CC5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E0BEBBB">
            <w:pPr>
              <w:pStyle w:val="75"/>
              <w:rPr>
                <w:highlight w:val="yellow"/>
              </w:rPr>
            </w:pPr>
          </w:p>
        </w:tc>
        <w:tc>
          <w:tcPr>
            <w:tcW w:w="1264" w:type="pct"/>
            <w:vMerge w:val="continue"/>
            <w:vAlign w:val="center"/>
          </w:tcPr>
          <w:p w14:paraId="0A5F491E">
            <w:pPr>
              <w:pStyle w:val="75"/>
              <w:rPr>
                <w:highlight w:val="yellow"/>
              </w:rPr>
            </w:pPr>
          </w:p>
        </w:tc>
        <w:tc>
          <w:tcPr>
            <w:tcW w:w="1134" w:type="pct"/>
            <w:vMerge w:val="continue"/>
            <w:vAlign w:val="center"/>
          </w:tcPr>
          <w:p w14:paraId="0484B1C2">
            <w:pPr>
              <w:pStyle w:val="75"/>
              <w:rPr>
                <w:highlight w:val="yellow"/>
              </w:rPr>
            </w:pPr>
          </w:p>
        </w:tc>
        <w:tc>
          <w:tcPr>
            <w:tcW w:w="1257" w:type="pct"/>
            <w:vAlign w:val="center"/>
          </w:tcPr>
          <w:p w14:paraId="71A4193E">
            <w:pPr>
              <w:pStyle w:val="75"/>
            </w:pPr>
            <w:r>
              <w:t>氯乙烯</w:t>
            </w:r>
          </w:p>
        </w:tc>
        <w:tc>
          <w:tcPr>
            <w:tcW w:w="705" w:type="pct"/>
            <w:vAlign w:val="center"/>
          </w:tcPr>
          <w:p w14:paraId="3F696173">
            <w:pPr>
              <w:pStyle w:val="75"/>
            </w:pPr>
            <w:r>
              <w:t>0.43</w:t>
            </w:r>
            <w:r>
              <w:rPr>
                <w:rFonts w:hint="eastAsia"/>
              </w:rPr>
              <w:t>mg/kg</w:t>
            </w:r>
          </w:p>
        </w:tc>
      </w:tr>
      <w:tr w14:paraId="6DB17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15C4B23">
            <w:pPr>
              <w:pStyle w:val="75"/>
              <w:rPr>
                <w:highlight w:val="yellow"/>
              </w:rPr>
            </w:pPr>
          </w:p>
        </w:tc>
        <w:tc>
          <w:tcPr>
            <w:tcW w:w="1264" w:type="pct"/>
            <w:vMerge w:val="continue"/>
            <w:vAlign w:val="center"/>
          </w:tcPr>
          <w:p w14:paraId="2CBB72AE">
            <w:pPr>
              <w:pStyle w:val="75"/>
              <w:rPr>
                <w:highlight w:val="yellow"/>
              </w:rPr>
            </w:pPr>
          </w:p>
        </w:tc>
        <w:tc>
          <w:tcPr>
            <w:tcW w:w="1134" w:type="pct"/>
            <w:vMerge w:val="continue"/>
            <w:vAlign w:val="center"/>
          </w:tcPr>
          <w:p w14:paraId="2E2B4571">
            <w:pPr>
              <w:pStyle w:val="75"/>
              <w:rPr>
                <w:highlight w:val="yellow"/>
              </w:rPr>
            </w:pPr>
          </w:p>
        </w:tc>
        <w:tc>
          <w:tcPr>
            <w:tcW w:w="1257" w:type="pct"/>
            <w:vAlign w:val="center"/>
          </w:tcPr>
          <w:p w14:paraId="4D13DDC9">
            <w:pPr>
              <w:pStyle w:val="75"/>
            </w:pPr>
            <w:r>
              <w:t>苯</w:t>
            </w:r>
          </w:p>
        </w:tc>
        <w:tc>
          <w:tcPr>
            <w:tcW w:w="705" w:type="pct"/>
            <w:vAlign w:val="center"/>
          </w:tcPr>
          <w:p w14:paraId="0E304AC7">
            <w:pPr>
              <w:pStyle w:val="75"/>
            </w:pPr>
            <w:r>
              <w:t>4</w:t>
            </w:r>
            <w:r>
              <w:rPr>
                <w:rFonts w:hint="eastAsia"/>
              </w:rPr>
              <w:t>mg/kg</w:t>
            </w:r>
          </w:p>
        </w:tc>
      </w:tr>
      <w:tr w14:paraId="53118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C36E799">
            <w:pPr>
              <w:pStyle w:val="75"/>
              <w:rPr>
                <w:highlight w:val="yellow"/>
              </w:rPr>
            </w:pPr>
          </w:p>
        </w:tc>
        <w:tc>
          <w:tcPr>
            <w:tcW w:w="1264" w:type="pct"/>
            <w:vMerge w:val="continue"/>
            <w:vAlign w:val="center"/>
          </w:tcPr>
          <w:p w14:paraId="715FAD06">
            <w:pPr>
              <w:pStyle w:val="75"/>
              <w:rPr>
                <w:highlight w:val="yellow"/>
              </w:rPr>
            </w:pPr>
          </w:p>
        </w:tc>
        <w:tc>
          <w:tcPr>
            <w:tcW w:w="1134" w:type="pct"/>
            <w:vMerge w:val="continue"/>
            <w:vAlign w:val="center"/>
          </w:tcPr>
          <w:p w14:paraId="7E7DB437">
            <w:pPr>
              <w:pStyle w:val="75"/>
              <w:rPr>
                <w:highlight w:val="yellow"/>
              </w:rPr>
            </w:pPr>
          </w:p>
        </w:tc>
        <w:tc>
          <w:tcPr>
            <w:tcW w:w="1257" w:type="pct"/>
            <w:vAlign w:val="center"/>
          </w:tcPr>
          <w:p w14:paraId="377797B2">
            <w:pPr>
              <w:pStyle w:val="75"/>
            </w:pPr>
            <w:r>
              <w:t>氯苯</w:t>
            </w:r>
          </w:p>
        </w:tc>
        <w:tc>
          <w:tcPr>
            <w:tcW w:w="705" w:type="pct"/>
            <w:vAlign w:val="center"/>
          </w:tcPr>
          <w:p w14:paraId="020348EE">
            <w:pPr>
              <w:pStyle w:val="75"/>
            </w:pPr>
            <w:r>
              <w:t>270</w:t>
            </w:r>
            <w:r>
              <w:rPr>
                <w:rFonts w:hint="eastAsia"/>
              </w:rPr>
              <w:t>mg/kg</w:t>
            </w:r>
          </w:p>
        </w:tc>
      </w:tr>
      <w:tr w14:paraId="3F9AB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637FAC06">
            <w:pPr>
              <w:pStyle w:val="75"/>
              <w:rPr>
                <w:highlight w:val="yellow"/>
              </w:rPr>
            </w:pPr>
          </w:p>
        </w:tc>
        <w:tc>
          <w:tcPr>
            <w:tcW w:w="1264" w:type="pct"/>
            <w:vMerge w:val="continue"/>
            <w:vAlign w:val="center"/>
          </w:tcPr>
          <w:p w14:paraId="33F73F9E">
            <w:pPr>
              <w:pStyle w:val="75"/>
              <w:rPr>
                <w:highlight w:val="yellow"/>
              </w:rPr>
            </w:pPr>
          </w:p>
        </w:tc>
        <w:tc>
          <w:tcPr>
            <w:tcW w:w="1134" w:type="pct"/>
            <w:vMerge w:val="continue"/>
            <w:vAlign w:val="center"/>
          </w:tcPr>
          <w:p w14:paraId="2F505748">
            <w:pPr>
              <w:pStyle w:val="75"/>
              <w:rPr>
                <w:highlight w:val="yellow"/>
              </w:rPr>
            </w:pPr>
          </w:p>
        </w:tc>
        <w:tc>
          <w:tcPr>
            <w:tcW w:w="1257" w:type="pct"/>
            <w:vAlign w:val="center"/>
          </w:tcPr>
          <w:p w14:paraId="3831388D">
            <w:pPr>
              <w:pStyle w:val="75"/>
            </w:pPr>
            <w:r>
              <w:t>1,2-二氯苯</w:t>
            </w:r>
          </w:p>
        </w:tc>
        <w:tc>
          <w:tcPr>
            <w:tcW w:w="705" w:type="pct"/>
            <w:vAlign w:val="center"/>
          </w:tcPr>
          <w:p w14:paraId="5353596E">
            <w:pPr>
              <w:pStyle w:val="75"/>
            </w:pPr>
            <w:r>
              <w:t>560</w:t>
            </w:r>
            <w:r>
              <w:rPr>
                <w:rFonts w:hint="eastAsia"/>
              </w:rPr>
              <w:t>mg/kg</w:t>
            </w:r>
          </w:p>
        </w:tc>
      </w:tr>
      <w:tr w14:paraId="6A9C5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2CE4BD25">
            <w:pPr>
              <w:pStyle w:val="75"/>
              <w:rPr>
                <w:highlight w:val="yellow"/>
              </w:rPr>
            </w:pPr>
          </w:p>
        </w:tc>
        <w:tc>
          <w:tcPr>
            <w:tcW w:w="1264" w:type="pct"/>
            <w:vMerge w:val="continue"/>
            <w:vAlign w:val="center"/>
          </w:tcPr>
          <w:p w14:paraId="5E38FC25">
            <w:pPr>
              <w:pStyle w:val="75"/>
              <w:rPr>
                <w:highlight w:val="yellow"/>
              </w:rPr>
            </w:pPr>
          </w:p>
        </w:tc>
        <w:tc>
          <w:tcPr>
            <w:tcW w:w="1134" w:type="pct"/>
            <w:vMerge w:val="continue"/>
            <w:vAlign w:val="center"/>
          </w:tcPr>
          <w:p w14:paraId="4B2E1120">
            <w:pPr>
              <w:pStyle w:val="75"/>
              <w:rPr>
                <w:highlight w:val="yellow"/>
              </w:rPr>
            </w:pPr>
          </w:p>
        </w:tc>
        <w:tc>
          <w:tcPr>
            <w:tcW w:w="1257" w:type="pct"/>
            <w:vAlign w:val="center"/>
          </w:tcPr>
          <w:p w14:paraId="4153D1DD">
            <w:pPr>
              <w:pStyle w:val="75"/>
            </w:pPr>
            <w:r>
              <w:t>1,4-二氯苯</w:t>
            </w:r>
          </w:p>
        </w:tc>
        <w:tc>
          <w:tcPr>
            <w:tcW w:w="705" w:type="pct"/>
            <w:vAlign w:val="center"/>
          </w:tcPr>
          <w:p w14:paraId="47A6F1F0">
            <w:pPr>
              <w:pStyle w:val="75"/>
            </w:pPr>
            <w:r>
              <w:t>20</w:t>
            </w:r>
            <w:r>
              <w:rPr>
                <w:rFonts w:hint="eastAsia"/>
              </w:rPr>
              <w:t>mg/kg</w:t>
            </w:r>
          </w:p>
        </w:tc>
      </w:tr>
      <w:tr w14:paraId="0ECE5A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AEFCE4E">
            <w:pPr>
              <w:pStyle w:val="75"/>
              <w:rPr>
                <w:highlight w:val="yellow"/>
              </w:rPr>
            </w:pPr>
          </w:p>
        </w:tc>
        <w:tc>
          <w:tcPr>
            <w:tcW w:w="1264" w:type="pct"/>
            <w:vMerge w:val="continue"/>
            <w:vAlign w:val="center"/>
          </w:tcPr>
          <w:p w14:paraId="2CCA47E6">
            <w:pPr>
              <w:pStyle w:val="75"/>
              <w:rPr>
                <w:highlight w:val="yellow"/>
              </w:rPr>
            </w:pPr>
          </w:p>
        </w:tc>
        <w:tc>
          <w:tcPr>
            <w:tcW w:w="1134" w:type="pct"/>
            <w:vMerge w:val="continue"/>
            <w:vAlign w:val="center"/>
          </w:tcPr>
          <w:p w14:paraId="673519EB">
            <w:pPr>
              <w:pStyle w:val="75"/>
              <w:rPr>
                <w:highlight w:val="yellow"/>
              </w:rPr>
            </w:pPr>
          </w:p>
        </w:tc>
        <w:tc>
          <w:tcPr>
            <w:tcW w:w="1257" w:type="pct"/>
            <w:vAlign w:val="center"/>
          </w:tcPr>
          <w:p w14:paraId="7B3044A1">
            <w:pPr>
              <w:pStyle w:val="75"/>
            </w:pPr>
            <w:r>
              <w:t>乙苯</w:t>
            </w:r>
          </w:p>
        </w:tc>
        <w:tc>
          <w:tcPr>
            <w:tcW w:w="705" w:type="pct"/>
            <w:vAlign w:val="center"/>
          </w:tcPr>
          <w:p w14:paraId="05C5C2C9">
            <w:pPr>
              <w:pStyle w:val="75"/>
            </w:pPr>
            <w:r>
              <w:t>28</w:t>
            </w:r>
            <w:r>
              <w:rPr>
                <w:rFonts w:hint="eastAsia"/>
              </w:rPr>
              <w:t>mg/kg</w:t>
            </w:r>
          </w:p>
        </w:tc>
      </w:tr>
      <w:tr w14:paraId="7DAAC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D815CFB">
            <w:pPr>
              <w:pStyle w:val="75"/>
              <w:rPr>
                <w:highlight w:val="yellow"/>
              </w:rPr>
            </w:pPr>
          </w:p>
        </w:tc>
        <w:tc>
          <w:tcPr>
            <w:tcW w:w="1264" w:type="pct"/>
            <w:vMerge w:val="continue"/>
            <w:vAlign w:val="center"/>
          </w:tcPr>
          <w:p w14:paraId="06D8CA9A">
            <w:pPr>
              <w:pStyle w:val="75"/>
              <w:rPr>
                <w:highlight w:val="yellow"/>
              </w:rPr>
            </w:pPr>
          </w:p>
        </w:tc>
        <w:tc>
          <w:tcPr>
            <w:tcW w:w="1134" w:type="pct"/>
            <w:vMerge w:val="continue"/>
            <w:vAlign w:val="center"/>
          </w:tcPr>
          <w:p w14:paraId="45E11903">
            <w:pPr>
              <w:pStyle w:val="75"/>
              <w:rPr>
                <w:highlight w:val="yellow"/>
              </w:rPr>
            </w:pPr>
          </w:p>
        </w:tc>
        <w:tc>
          <w:tcPr>
            <w:tcW w:w="1257" w:type="pct"/>
            <w:vAlign w:val="center"/>
          </w:tcPr>
          <w:p w14:paraId="6789623A">
            <w:pPr>
              <w:pStyle w:val="75"/>
            </w:pPr>
            <w:r>
              <w:t>苯乙烯</w:t>
            </w:r>
          </w:p>
        </w:tc>
        <w:tc>
          <w:tcPr>
            <w:tcW w:w="705" w:type="pct"/>
            <w:vAlign w:val="center"/>
          </w:tcPr>
          <w:p w14:paraId="1C8A389E">
            <w:pPr>
              <w:pStyle w:val="75"/>
            </w:pPr>
            <w:r>
              <w:t>1290</w:t>
            </w:r>
            <w:r>
              <w:rPr>
                <w:rFonts w:hint="eastAsia"/>
              </w:rPr>
              <w:t>mg/kg</w:t>
            </w:r>
          </w:p>
        </w:tc>
      </w:tr>
      <w:tr w14:paraId="3543C2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CB95610">
            <w:pPr>
              <w:pStyle w:val="75"/>
              <w:rPr>
                <w:highlight w:val="yellow"/>
              </w:rPr>
            </w:pPr>
          </w:p>
        </w:tc>
        <w:tc>
          <w:tcPr>
            <w:tcW w:w="1264" w:type="pct"/>
            <w:vMerge w:val="continue"/>
            <w:vAlign w:val="center"/>
          </w:tcPr>
          <w:p w14:paraId="0D27617B">
            <w:pPr>
              <w:pStyle w:val="75"/>
              <w:rPr>
                <w:highlight w:val="yellow"/>
              </w:rPr>
            </w:pPr>
          </w:p>
        </w:tc>
        <w:tc>
          <w:tcPr>
            <w:tcW w:w="1134" w:type="pct"/>
            <w:vMerge w:val="continue"/>
            <w:vAlign w:val="center"/>
          </w:tcPr>
          <w:p w14:paraId="3AD371F8">
            <w:pPr>
              <w:pStyle w:val="75"/>
              <w:rPr>
                <w:highlight w:val="yellow"/>
              </w:rPr>
            </w:pPr>
          </w:p>
        </w:tc>
        <w:tc>
          <w:tcPr>
            <w:tcW w:w="1257" w:type="pct"/>
            <w:vAlign w:val="center"/>
          </w:tcPr>
          <w:p w14:paraId="5CC7F91B">
            <w:pPr>
              <w:pStyle w:val="75"/>
            </w:pPr>
            <w:r>
              <w:t>甲苯</w:t>
            </w:r>
          </w:p>
        </w:tc>
        <w:tc>
          <w:tcPr>
            <w:tcW w:w="705" w:type="pct"/>
            <w:vAlign w:val="center"/>
          </w:tcPr>
          <w:p w14:paraId="7EAC5B9E">
            <w:pPr>
              <w:pStyle w:val="75"/>
            </w:pPr>
            <w:r>
              <w:t>1200</w:t>
            </w:r>
            <w:r>
              <w:rPr>
                <w:rFonts w:hint="eastAsia"/>
              </w:rPr>
              <w:t>mg/kg</w:t>
            </w:r>
          </w:p>
        </w:tc>
      </w:tr>
      <w:tr w14:paraId="6F3EE1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381A7DE">
            <w:pPr>
              <w:pStyle w:val="75"/>
              <w:rPr>
                <w:highlight w:val="yellow"/>
              </w:rPr>
            </w:pPr>
          </w:p>
        </w:tc>
        <w:tc>
          <w:tcPr>
            <w:tcW w:w="1264" w:type="pct"/>
            <w:vMerge w:val="continue"/>
            <w:vAlign w:val="center"/>
          </w:tcPr>
          <w:p w14:paraId="2011A35A">
            <w:pPr>
              <w:pStyle w:val="75"/>
              <w:rPr>
                <w:highlight w:val="yellow"/>
              </w:rPr>
            </w:pPr>
          </w:p>
        </w:tc>
        <w:tc>
          <w:tcPr>
            <w:tcW w:w="1134" w:type="pct"/>
            <w:vMerge w:val="continue"/>
            <w:vAlign w:val="center"/>
          </w:tcPr>
          <w:p w14:paraId="5FB473E8">
            <w:pPr>
              <w:pStyle w:val="75"/>
              <w:rPr>
                <w:highlight w:val="yellow"/>
              </w:rPr>
            </w:pPr>
          </w:p>
        </w:tc>
        <w:tc>
          <w:tcPr>
            <w:tcW w:w="1257" w:type="pct"/>
            <w:vAlign w:val="center"/>
          </w:tcPr>
          <w:p w14:paraId="28CF7EAC">
            <w:pPr>
              <w:pStyle w:val="75"/>
            </w:pPr>
            <w:r>
              <w:t>间二甲苯+对二甲苯</w:t>
            </w:r>
          </w:p>
        </w:tc>
        <w:tc>
          <w:tcPr>
            <w:tcW w:w="705" w:type="pct"/>
            <w:vAlign w:val="center"/>
          </w:tcPr>
          <w:p w14:paraId="3B3B5BD6">
            <w:pPr>
              <w:pStyle w:val="75"/>
            </w:pPr>
            <w:r>
              <w:t>570</w:t>
            </w:r>
            <w:r>
              <w:rPr>
                <w:rFonts w:hint="eastAsia"/>
              </w:rPr>
              <w:t>mg/kg</w:t>
            </w:r>
          </w:p>
        </w:tc>
      </w:tr>
      <w:tr w14:paraId="78F45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A6E4259">
            <w:pPr>
              <w:pStyle w:val="75"/>
              <w:rPr>
                <w:highlight w:val="yellow"/>
              </w:rPr>
            </w:pPr>
          </w:p>
        </w:tc>
        <w:tc>
          <w:tcPr>
            <w:tcW w:w="1264" w:type="pct"/>
            <w:vMerge w:val="continue"/>
            <w:vAlign w:val="center"/>
          </w:tcPr>
          <w:p w14:paraId="52F436E8">
            <w:pPr>
              <w:pStyle w:val="75"/>
              <w:rPr>
                <w:highlight w:val="yellow"/>
              </w:rPr>
            </w:pPr>
          </w:p>
        </w:tc>
        <w:tc>
          <w:tcPr>
            <w:tcW w:w="1134" w:type="pct"/>
            <w:vMerge w:val="continue"/>
            <w:vAlign w:val="center"/>
          </w:tcPr>
          <w:p w14:paraId="7DEB55AB">
            <w:pPr>
              <w:pStyle w:val="75"/>
              <w:rPr>
                <w:highlight w:val="yellow"/>
              </w:rPr>
            </w:pPr>
          </w:p>
        </w:tc>
        <w:tc>
          <w:tcPr>
            <w:tcW w:w="1257" w:type="pct"/>
            <w:vAlign w:val="center"/>
          </w:tcPr>
          <w:p w14:paraId="484276D5">
            <w:pPr>
              <w:pStyle w:val="75"/>
            </w:pPr>
            <w:r>
              <w:t>邻二甲苯</w:t>
            </w:r>
          </w:p>
        </w:tc>
        <w:tc>
          <w:tcPr>
            <w:tcW w:w="705" w:type="pct"/>
            <w:vAlign w:val="center"/>
          </w:tcPr>
          <w:p w14:paraId="38D5B101">
            <w:pPr>
              <w:pStyle w:val="75"/>
            </w:pPr>
            <w:r>
              <w:t>640</w:t>
            </w:r>
            <w:r>
              <w:rPr>
                <w:rFonts w:hint="eastAsia"/>
              </w:rPr>
              <w:t>mg/kg</w:t>
            </w:r>
          </w:p>
        </w:tc>
      </w:tr>
      <w:tr w14:paraId="7EBA1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07627B9">
            <w:pPr>
              <w:pStyle w:val="75"/>
              <w:rPr>
                <w:highlight w:val="yellow"/>
              </w:rPr>
            </w:pPr>
          </w:p>
        </w:tc>
        <w:tc>
          <w:tcPr>
            <w:tcW w:w="1264" w:type="pct"/>
            <w:vMerge w:val="continue"/>
            <w:vAlign w:val="center"/>
          </w:tcPr>
          <w:p w14:paraId="5FDED114">
            <w:pPr>
              <w:pStyle w:val="75"/>
              <w:rPr>
                <w:highlight w:val="yellow"/>
              </w:rPr>
            </w:pPr>
          </w:p>
        </w:tc>
        <w:tc>
          <w:tcPr>
            <w:tcW w:w="1134" w:type="pct"/>
            <w:vMerge w:val="continue"/>
            <w:vAlign w:val="center"/>
          </w:tcPr>
          <w:p w14:paraId="0207C330">
            <w:pPr>
              <w:pStyle w:val="75"/>
              <w:rPr>
                <w:highlight w:val="yellow"/>
              </w:rPr>
            </w:pPr>
          </w:p>
        </w:tc>
        <w:tc>
          <w:tcPr>
            <w:tcW w:w="1257" w:type="pct"/>
            <w:vAlign w:val="center"/>
          </w:tcPr>
          <w:p w14:paraId="7ED7B085">
            <w:pPr>
              <w:pStyle w:val="75"/>
            </w:pPr>
            <w:r>
              <w:t>硝基苯</w:t>
            </w:r>
          </w:p>
        </w:tc>
        <w:tc>
          <w:tcPr>
            <w:tcW w:w="705" w:type="pct"/>
            <w:vAlign w:val="center"/>
          </w:tcPr>
          <w:p w14:paraId="339BE557">
            <w:pPr>
              <w:pStyle w:val="75"/>
            </w:pPr>
            <w:r>
              <w:t>76</w:t>
            </w:r>
            <w:r>
              <w:rPr>
                <w:rFonts w:hint="eastAsia"/>
              </w:rPr>
              <w:t>mg/kg</w:t>
            </w:r>
          </w:p>
        </w:tc>
      </w:tr>
      <w:tr w14:paraId="026E2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43367085">
            <w:pPr>
              <w:pStyle w:val="75"/>
              <w:rPr>
                <w:highlight w:val="yellow"/>
              </w:rPr>
            </w:pPr>
          </w:p>
        </w:tc>
        <w:tc>
          <w:tcPr>
            <w:tcW w:w="1264" w:type="pct"/>
            <w:vMerge w:val="continue"/>
            <w:vAlign w:val="center"/>
          </w:tcPr>
          <w:p w14:paraId="1A8764FA">
            <w:pPr>
              <w:pStyle w:val="75"/>
              <w:rPr>
                <w:highlight w:val="yellow"/>
              </w:rPr>
            </w:pPr>
          </w:p>
        </w:tc>
        <w:tc>
          <w:tcPr>
            <w:tcW w:w="1134" w:type="pct"/>
            <w:vMerge w:val="continue"/>
            <w:vAlign w:val="center"/>
          </w:tcPr>
          <w:p w14:paraId="5739894F">
            <w:pPr>
              <w:pStyle w:val="75"/>
              <w:rPr>
                <w:highlight w:val="yellow"/>
              </w:rPr>
            </w:pPr>
          </w:p>
        </w:tc>
        <w:tc>
          <w:tcPr>
            <w:tcW w:w="1257" w:type="pct"/>
            <w:vAlign w:val="center"/>
          </w:tcPr>
          <w:p w14:paraId="55558845">
            <w:pPr>
              <w:pStyle w:val="75"/>
            </w:pPr>
            <w:r>
              <w:t>苯胺</w:t>
            </w:r>
          </w:p>
        </w:tc>
        <w:tc>
          <w:tcPr>
            <w:tcW w:w="705" w:type="pct"/>
            <w:vAlign w:val="center"/>
          </w:tcPr>
          <w:p w14:paraId="4D59A079">
            <w:pPr>
              <w:pStyle w:val="75"/>
            </w:pPr>
            <w:r>
              <w:t>260</w:t>
            </w:r>
            <w:r>
              <w:rPr>
                <w:rFonts w:hint="eastAsia"/>
              </w:rPr>
              <w:t>mg/kg</w:t>
            </w:r>
          </w:p>
        </w:tc>
      </w:tr>
      <w:tr w14:paraId="062CB7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5F0A9FC">
            <w:pPr>
              <w:pStyle w:val="75"/>
              <w:rPr>
                <w:highlight w:val="yellow"/>
              </w:rPr>
            </w:pPr>
          </w:p>
        </w:tc>
        <w:tc>
          <w:tcPr>
            <w:tcW w:w="1264" w:type="pct"/>
            <w:vMerge w:val="continue"/>
            <w:vAlign w:val="center"/>
          </w:tcPr>
          <w:p w14:paraId="0CB61C9E">
            <w:pPr>
              <w:pStyle w:val="75"/>
              <w:rPr>
                <w:highlight w:val="yellow"/>
              </w:rPr>
            </w:pPr>
          </w:p>
        </w:tc>
        <w:tc>
          <w:tcPr>
            <w:tcW w:w="1134" w:type="pct"/>
            <w:vMerge w:val="continue"/>
            <w:vAlign w:val="center"/>
          </w:tcPr>
          <w:p w14:paraId="41748B60">
            <w:pPr>
              <w:pStyle w:val="75"/>
              <w:rPr>
                <w:highlight w:val="yellow"/>
              </w:rPr>
            </w:pPr>
          </w:p>
        </w:tc>
        <w:tc>
          <w:tcPr>
            <w:tcW w:w="1257" w:type="pct"/>
            <w:vAlign w:val="center"/>
          </w:tcPr>
          <w:p w14:paraId="2F13C1A2">
            <w:pPr>
              <w:pStyle w:val="75"/>
            </w:pPr>
            <w:r>
              <w:t>2-氯酚</w:t>
            </w:r>
          </w:p>
        </w:tc>
        <w:tc>
          <w:tcPr>
            <w:tcW w:w="705" w:type="pct"/>
            <w:vAlign w:val="center"/>
          </w:tcPr>
          <w:p w14:paraId="23F842F0">
            <w:pPr>
              <w:pStyle w:val="75"/>
            </w:pPr>
            <w:r>
              <w:t>2256</w:t>
            </w:r>
            <w:r>
              <w:rPr>
                <w:rFonts w:hint="eastAsia"/>
              </w:rPr>
              <w:t>mg/kg</w:t>
            </w:r>
          </w:p>
        </w:tc>
      </w:tr>
      <w:tr w14:paraId="26B8C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C989E31">
            <w:pPr>
              <w:pStyle w:val="75"/>
              <w:rPr>
                <w:highlight w:val="yellow"/>
              </w:rPr>
            </w:pPr>
          </w:p>
        </w:tc>
        <w:tc>
          <w:tcPr>
            <w:tcW w:w="1264" w:type="pct"/>
            <w:vMerge w:val="continue"/>
            <w:vAlign w:val="center"/>
          </w:tcPr>
          <w:p w14:paraId="05F9A641">
            <w:pPr>
              <w:pStyle w:val="75"/>
              <w:rPr>
                <w:highlight w:val="yellow"/>
              </w:rPr>
            </w:pPr>
          </w:p>
        </w:tc>
        <w:tc>
          <w:tcPr>
            <w:tcW w:w="1134" w:type="pct"/>
            <w:vMerge w:val="continue"/>
            <w:vAlign w:val="center"/>
          </w:tcPr>
          <w:p w14:paraId="556BC72E">
            <w:pPr>
              <w:pStyle w:val="75"/>
              <w:rPr>
                <w:highlight w:val="yellow"/>
              </w:rPr>
            </w:pPr>
          </w:p>
        </w:tc>
        <w:tc>
          <w:tcPr>
            <w:tcW w:w="1257" w:type="pct"/>
            <w:vAlign w:val="center"/>
          </w:tcPr>
          <w:p w14:paraId="22C51910">
            <w:pPr>
              <w:pStyle w:val="75"/>
            </w:pPr>
            <w:r>
              <w:t>苯并[a]蒽</w:t>
            </w:r>
          </w:p>
        </w:tc>
        <w:tc>
          <w:tcPr>
            <w:tcW w:w="705" w:type="pct"/>
            <w:vAlign w:val="center"/>
          </w:tcPr>
          <w:p w14:paraId="7E5F3D1F">
            <w:pPr>
              <w:pStyle w:val="75"/>
            </w:pPr>
            <w:r>
              <w:t>15</w:t>
            </w:r>
            <w:r>
              <w:rPr>
                <w:rFonts w:hint="eastAsia"/>
              </w:rPr>
              <w:t>mg/kg</w:t>
            </w:r>
          </w:p>
        </w:tc>
      </w:tr>
      <w:tr w14:paraId="24278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9686D54">
            <w:pPr>
              <w:pStyle w:val="75"/>
              <w:rPr>
                <w:highlight w:val="yellow"/>
              </w:rPr>
            </w:pPr>
          </w:p>
        </w:tc>
        <w:tc>
          <w:tcPr>
            <w:tcW w:w="1264" w:type="pct"/>
            <w:vMerge w:val="continue"/>
            <w:vAlign w:val="center"/>
          </w:tcPr>
          <w:p w14:paraId="5636FB31">
            <w:pPr>
              <w:pStyle w:val="75"/>
              <w:rPr>
                <w:highlight w:val="yellow"/>
              </w:rPr>
            </w:pPr>
          </w:p>
        </w:tc>
        <w:tc>
          <w:tcPr>
            <w:tcW w:w="1134" w:type="pct"/>
            <w:vMerge w:val="continue"/>
            <w:vAlign w:val="center"/>
          </w:tcPr>
          <w:p w14:paraId="164F722D">
            <w:pPr>
              <w:pStyle w:val="75"/>
              <w:rPr>
                <w:highlight w:val="yellow"/>
              </w:rPr>
            </w:pPr>
          </w:p>
        </w:tc>
        <w:tc>
          <w:tcPr>
            <w:tcW w:w="1257" w:type="pct"/>
            <w:vAlign w:val="center"/>
          </w:tcPr>
          <w:p w14:paraId="00DBE6FE">
            <w:pPr>
              <w:pStyle w:val="75"/>
            </w:pPr>
            <w:r>
              <w:t>苯并[a]芘</w:t>
            </w:r>
          </w:p>
        </w:tc>
        <w:tc>
          <w:tcPr>
            <w:tcW w:w="705" w:type="pct"/>
            <w:vAlign w:val="center"/>
          </w:tcPr>
          <w:p w14:paraId="0F394C0F">
            <w:pPr>
              <w:pStyle w:val="75"/>
            </w:pPr>
            <w:r>
              <w:t>1.5</w:t>
            </w:r>
            <w:r>
              <w:rPr>
                <w:rFonts w:hint="eastAsia"/>
              </w:rPr>
              <w:t>mg/kg</w:t>
            </w:r>
          </w:p>
        </w:tc>
      </w:tr>
      <w:tr w14:paraId="41AB1F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1C891870">
            <w:pPr>
              <w:pStyle w:val="75"/>
              <w:rPr>
                <w:highlight w:val="yellow"/>
              </w:rPr>
            </w:pPr>
          </w:p>
        </w:tc>
        <w:tc>
          <w:tcPr>
            <w:tcW w:w="1264" w:type="pct"/>
            <w:vMerge w:val="continue"/>
            <w:vAlign w:val="center"/>
          </w:tcPr>
          <w:p w14:paraId="527B4116">
            <w:pPr>
              <w:pStyle w:val="75"/>
              <w:rPr>
                <w:highlight w:val="yellow"/>
              </w:rPr>
            </w:pPr>
          </w:p>
        </w:tc>
        <w:tc>
          <w:tcPr>
            <w:tcW w:w="1134" w:type="pct"/>
            <w:vMerge w:val="continue"/>
            <w:vAlign w:val="center"/>
          </w:tcPr>
          <w:p w14:paraId="5D7CDA9F">
            <w:pPr>
              <w:pStyle w:val="75"/>
              <w:rPr>
                <w:highlight w:val="yellow"/>
              </w:rPr>
            </w:pPr>
          </w:p>
        </w:tc>
        <w:tc>
          <w:tcPr>
            <w:tcW w:w="1257" w:type="pct"/>
            <w:vAlign w:val="center"/>
          </w:tcPr>
          <w:p w14:paraId="19DBDE08">
            <w:pPr>
              <w:pStyle w:val="75"/>
            </w:pPr>
            <w:r>
              <w:t>苯并[b]荧蒽</w:t>
            </w:r>
          </w:p>
        </w:tc>
        <w:tc>
          <w:tcPr>
            <w:tcW w:w="705" w:type="pct"/>
            <w:vAlign w:val="center"/>
          </w:tcPr>
          <w:p w14:paraId="22E18B56">
            <w:pPr>
              <w:pStyle w:val="75"/>
            </w:pPr>
            <w:r>
              <w:t>15</w:t>
            </w:r>
            <w:r>
              <w:rPr>
                <w:rFonts w:hint="eastAsia"/>
              </w:rPr>
              <w:t>mg/kg</w:t>
            </w:r>
          </w:p>
        </w:tc>
      </w:tr>
      <w:tr w14:paraId="18E77A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CD45559">
            <w:pPr>
              <w:pStyle w:val="75"/>
              <w:rPr>
                <w:highlight w:val="yellow"/>
              </w:rPr>
            </w:pPr>
          </w:p>
        </w:tc>
        <w:tc>
          <w:tcPr>
            <w:tcW w:w="1264" w:type="pct"/>
            <w:vMerge w:val="continue"/>
            <w:vAlign w:val="center"/>
          </w:tcPr>
          <w:p w14:paraId="58DB26AD">
            <w:pPr>
              <w:pStyle w:val="75"/>
              <w:rPr>
                <w:highlight w:val="yellow"/>
              </w:rPr>
            </w:pPr>
          </w:p>
        </w:tc>
        <w:tc>
          <w:tcPr>
            <w:tcW w:w="1134" w:type="pct"/>
            <w:vMerge w:val="continue"/>
            <w:vAlign w:val="center"/>
          </w:tcPr>
          <w:p w14:paraId="6A67918A">
            <w:pPr>
              <w:pStyle w:val="75"/>
              <w:rPr>
                <w:highlight w:val="yellow"/>
              </w:rPr>
            </w:pPr>
          </w:p>
        </w:tc>
        <w:tc>
          <w:tcPr>
            <w:tcW w:w="1257" w:type="pct"/>
            <w:vAlign w:val="center"/>
          </w:tcPr>
          <w:p w14:paraId="22473B0B">
            <w:pPr>
              <w:pStyle w:val="75"/>
            </w:pPr>
            <w:r>
              <w:t>苯并[k]荧蒽</w:t>
            </w:r>
          </w:p>
        </w:tc>
        <w:tc>
          <w:tcPr>
            <w:tcW w:w="705" w:type="pct"/>
            <w:vAlign w:val="center"/>
          </w:tcPr>
          <w:p w14:paraId="21B0DBA8">
            <w:pPr>
              <w:pStyle w:val="75"/>
            </w:pPr>
            <w:r>
              <w:t>151</w:t>
            </w:r>
            <w:r>
              <w:rPr>
                <w:rFonts w:hint="eastAsia"/>
              </w:rPr>
              <w:t>mg/kg</w:t>
            </w:r>
          </w:p>
        </w:tc>
      </w:tr>
      <w:tr w14:paraId="16EBD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03542CE4">
            <w:pPr>
              <w:pStyle w:val="75"/>
              <w:rPr>
                <w:highlight w:val="yellow"/>
              </w:rPr>
            </w:pPr>
          </w:p>
        </w:tc>
        <w:tc>
          <w:tcPr>
            <w:tcW w:w="1264" w:type="pct"/>
            <w:vMerge w:val="continue"/>
            <w:vAlign w:val="center"/>
          </w:tcPr>
          <w:p w14:paraId="4F4AE1DF">
            <w:pPr>
              <w:pStyle w:val="75"/>
              <w:rPr>
                <w:highlight w:val="yellow"/>
              </w:rPr>
            </w:pPr>
          </w:p>
        </w:tc>
        <w:tc>
          <w:tcPr>
            <w:tcW w:w="1134" w:type="pct"/>
            <w:vMerge w:val="continue"/>
            <w:vAlign w:val="center"/>
          </w:tcPr>
          <w:p w14:paraId="06C806F4">
            <w:pPr>
              <w:pStyle w:val="75"/>
              <w:rPr>
                <w:highlight w:val="yellow"/>
              </w:rPr>
            </w:pPr>
          </w:p>
        </w:tc>
        <w:tc>
          <w:tcPr>
            <w:tcW w:w="1257" w:type="pct"/>
            <w:vAlign w:val="center"/>
          </w:tcPr>
          <w:p w14:paraId="42BF6813">
            <w:pPr>
              <w:pStyle w:val="75"/>
            </w:pPr>
            <w:r>
              <w:t>崫</w:t>
            </w:r>
          </w:p>
        </w:tc>
        <w:tc>
          <w:tcPr>
            <w:tcW w:w="705" w:type="pct"/>
            <w:vAlign w:val="center"/>
          </w:tcPr>
          <w:p w14:paraId="44088BE6">
            <w:pPr>
              <w:pStyle w:val="75"/>
            </w:pPr>
            <w:r>
              <w:t>1293</w:t>
            </w:r>
            <w:r>
              <w:rPr>
                <w:rFonts w:hint="eastAsia"/>
              </w:rPr>
              <w:t>mg/kg</w:t>
            </w:r>
          </w:p>
        </w:tc>
      </w:tr>
      <w:tr w14:paraId="01D4E0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71D9EB03">
            <w:pPr>
              <w:pStyle w:val="75"/>
              <w:rPr>
                <w:highlight w:val="yellow"/>
              </w:rPr>
            </w:pPr>
          </w:p>
        </w:tc>
        <w:tc>
          <w:tcPr>
            <w:tcW w:w="1264" w:type="pct"/>
            <w:vMerge w:val="continue"/>
            <w:vAlign w:val="center"/>
          </w:tcPr>
          <w:p w14:paraId="5019CFBE">
            <w:pPr>
              <w:pStyle w:val="75"/>
              <w:rPr>
                <w:highlight w:val="yellow"/>
              </w:rPr>
            </w:pPr>
          </w:p>
        </w:tc>
        <w:tc>
          <w:tcPr>
            <w:tcW w:w="1134" w:type="pct"/>
            <w:vMerge w:val="continue"/>
            <w:vAlign w:val="center"/>
          </w:tcPr>
          <w:p w14:paraId="09439D65">
            <w:pPr>
              <w:pStyle w:val="75"/>
              <w:rPr>
                <w:highlight w:val="yellow"/>
              </w:rPr>
            </w:pPr>
          </w:p>
        </w:tc>
        <w:tc>
          <w:tcPr>
            <w:tcW w:w="1257" w:type="pct"/>
            <w:vAlign w:val="center"/>
          </w:tcPr>
          <w:p w14:paraId="01F9D85A">
            <w:pPr>
              <w:pStyle w:val="75"/>
            </w:pPr>
            <w:r>
              <w:t>二苯并[a,h]蒽</w:t>
            </w:r>
          </w:p>
        </w:tc>
        <w:tc>
          <w:tcPr>
            <w:tcW w:w="705" w:type="pct"/>
            <w:vAlign w:val="center"/>
          </w:tcPr>
          <w:p w14:paraId="68EDB20F">
            <w:pPr>
              <w:pStyle w:val="75"/>
            </w:pPr>
            <w:r>
              <w:t>1.5</w:t>
            </w:r>
            <w:r>
              <w:rPr>
                <w:rFonts w:hint="eastAsia"/>
              </w:rPr>
              <w:t>mg/kg</w:t>
            </w:r>
          </w:p>
        </w:tc>
      </w:tr>
      <w:tr w14:paraId="57D68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EB8C3FD">
            <w:pPr>
              <w:pStyle w:val="75"/>
              <w:rPr>
                <w:highlight w:val="yellow"/>
              </w:rPr>
            </w:pPr>
          </w:p>
        </w:tc>
        <w:tc>
          <w:tcPr>
            <w:tcW w:w="1264" w:type="pct"/>
            <w:vMerge w:val="continue"/>
            <w:vAlign w:val="center"/>
          </w:tcPr>
          <w:p w14:paraId="7143B785">
            <w:pPr>
              <w:pStyle w:val="75"/>
              <w:rPr>
                <w:highlight w:val="yellow"/>
              </w:rPr>
            </w:pPr>
          </w:p>
        </w:tc>
        <w:tc>
          <w:tcPr>
            <w:tcW w:w="1134" w:type="pct"/>
            <w:vMerge w:val="continue"/>
            <w:vAlign w:val="center"/>
          </w:tcPr>
          <w:p w14:paraId="4DE46EC3">
            <w:pPr>
              <w:pStyle w:val="75"/>
              <w:rPr>
                <w:highlight w:val="yellow"/>
              </w:rPr>
            </w:pPr>
          </w:p>
        </w:tc>
        <w:tc>
          <w:tcPr>
            <w:tcW w:w="1257" w:type="pct"/>
            <w:vAlign w:val="center"/>
          </w:tcPr>
          <w:p w14:paraId="4F7A1C02">
            <w:pPr>
              <w:pStyle w:val="75"/>
            </w:pPr>
            <w:r>
              <w:t>茚并[1,2,3-cd]芘</w:t>
            </w:r>
          </w:p>
        </w:tc>
        <w:tc>
          <w:tcPr>
            <w:tcW w:w="705" w:type="pct"/>
            <w:vAlign w:val="center"/>
          </w:tcPr>
          <w:p w14:paraId="1A916B85">
            <w:pPr>
              <w:pStyle w:val="75"/>
            </w:pPr>
            <w:r>
              <w:t>15</w:t>
            </w:r>
            <w:r>
              <w:rPr>
                <w:rFonts w:hint="eastAsia"/>
              </w:rPr>
              <w:t>mg/kg</w:t>
            </w:r>
          </w:p>
        </w:tc>
      </w:tr>
      <w:tr w14:paraId="053AA1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5CAA2B50">
            <w:pPr>
              <w:pStyle w:val="75"/>
              <w:rPr>
                <w:highlight w:val="yellow"/>
              </w:rPr>
            </w:pPr>
          </w:p>
        </w:tc>
        <w:tc>
          <w:tcPr>
            <w:tcW w:w="1264" w:type="pct"/>
            <w:vMerge w:val="continue"/>
            <w:vAlign w:val="center"/>
          </w:tcPr>
          <w:p w14:paraId="074C73F5">
            <w:pPr>
              <w:pStyle w:val="75"/>
              <w:rPr>
                <w:highlight w:val="yellow"/>
              </w:rPr>
            </w:pPr>
          </w:p>
        </w:tc>
        <w:tc>
          <w:tcPr>
            <w:tcW w:w="1134" w:type="pct"/>
            <w:vMerge w:val="continue"/>
            <w:vAlign w:val="center"/>
          </w:tcPr>
          <w:p w14:paraId="1B0933F4">
            <w:pPr>
              <w:pStyle w:val="75"/>
              <w:rPr>
                <w:highlight w:val="yellow"/>
              </w:rPr>
            </w:pPr>
          </w:p>
        </w:tc>
        <w:tc>
          <w:tcPr>
            <w:tcW w:w="1257" w:type="pct"/>
            <w:vAlign w:val="center"/>
          </w:tcPr>
          <w:p w14:paraId="4B1AE916">
            <w:pPr>
              <w:pStyle w:val="75"/>
            </w:pPr>
            <w:r>
              <w:t>萘</w:t>
            </w:r>
          </w:p>
        </w:tc>
        <w:tc>
          <w:tcPr>
            <w:tcW w:w="705" w:type="pct"/>
            <w:vAlign w:val="center"/>
          </w:tcPr>
          <w:p w14:paraId="626CDBD7">
            <w:pPr>
              <w:pStyle w:val="75"/>
            </w:pPr>
            <w:r>
              <w:t>70</w:t>
            </w:r>
            <w:r>
              <w:rPr>
                <w:rFonts w:hint="eastAsia"/>
              </w:rPr>
              <w:t>mg/kg</w:t>
            </w:r>
          </w:p>
        </w:tc>
      </w:tr>
      <w:tr w14:paraId="15DAE1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vMerge w:val="continue"/>
            <w:vAlign w:val="center"/>
          </w:tcPr>
          <w:p w14:paraId="3559F44B">
            <w:pPr>
              <w:pStyle w:val="75"/>
              <w:rPr>
                <w:highlight w:val="yellow"/>
              </w:rPr>
            </w:pPr>
          </w:p>
        </w:tc>
        <w:tc>
          <w:tcPr>
            <w:tcW w:w="1264" w:type="pct"/>
            <w:vMerge w:val="continue"/>
            <w:vAlign w:val="center"/>
          </w:tcPr>
          <w:p w14:paraId="56FDB7CA">
            <w:pPr>
              <w:pStyle w:val="75"/>
              <w:rPr>
                <w:highlight w:val="yellow"/>
              </w:rPr>
            </w:pPr>
          </w:p>
        </w:tc>
        <w:tc>
          <w:tcPr>
            <w:tcW w:w="1134" w:type="pct"/>
            <w:vAlign w:val="center"/>
          </w:tcPr>
          <w:p w14:paraId="5E80925A">
            <w:pPr>
              <w:pStyle w:val="75"/>
              <w:rPr>
                <w:highlight w:val="yellow"/>
              </w:rPr>
            </w:pPr>
            <w:r>
              <w:rPr>
                <w:rFonts w:hint="eastAsia"/>
              </w:rPr>
              <w:t>表</w:t>
            </w:r>
            <w:r>
              <w:t>2</w:t>
            </w:r>
            <w:r>
              <w:rPr>
                <w:rFonts w:hint="eastAsia"/>
              </w:rPr>
              <w:t>其他项目第二类用地筛选值</w:t>
            </w:r>
          </w:p>
        </w:tc>
        <w:tc>
          <w:tcPr>
            <w:tcW w:w="1257" w:type="pct"/>
            <w:vAlign w:val="center"/>
          </w:tcPr>
          <w:p w14:paraId="057B7BF6">
            <w:pPr>
              <w:pStyle w:val="75"/>
            </w:pPr>
            <w:r>
              <w:rPr>
                <w:rFonts w:hint="eastAsia"/>
              </w:rPr>
              <w:t>石油烃</w:t>
            </w:r>
          </w:p>
        </w:tc>
        <w:tc>
          <w:tcPr>
            <w:tcW w:w="705" w:type="pct"/>
            <w:vAlign w:val="center"/>
          </w:tcPr>
          <w:p w14:paraId="6D4F4A1B">
            <w:pPr>
              <w:pStyle w:val="75"/>
            </w:pPr>
            <w:r>
              <w:t>4500mg/kg</w:t>
            </w:r>
          </w:p>
        </w:tc>
      </w:tr>
    </w:tbl>
    <w:p w14:paraId="0906D09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65" w:name="_Toc108122344"/>
      <w:bookmarkStart w:id="166" w:name="_Toc429318393"/>
      <w:bookmarkStart w:id="167" w:name="_Toc428287191"/>
      <w:bookmarkStart w:id="168" w:name="_Toc428286797"/>
      <w:r>
        <w:rPr>
          <w:rFonts w:hint="eastAsia" w:ascii="Times New Roman" w:hAnsi="Times New Roman" w:cs="Times New Roman"/>
          <w:lang w:val="en-US" w:eastAsia="zh-CN"/>
        </w:rPr>
        <w:t>2.8.2污染物排放标准</w:t>
      </w:r>
      <w:bookmarkEnd w:id="165"/>
    </w:p>
    <w:p w14:paraId="657C0677">
      <w:pPr>
        <w:pStyle w:val="72"/>
      </w:pPr>
      <w:r>
        <w:rPr>
          <w:rFonts w:hint="eastAsia"/>
        </w:rPr>
        <w:t>本次评价污染物排放标准执行以下标准。</w:t>
      </w:r>
    </w:p>
    <w:p w14:paraId="6211017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2.8-2</w:t>
      </w:r>
      <w:r>
        <w:rPr>
          <w:rFonts w:hint="eastAsia"/>
        </w:rPr>
        <w:t xml:space="preserve">    污染物排放执行标准一览表</w:t>
      </w:r>
    </w:p>
    <w:tbl>
      <w:tblPr>
        <w:tblStyle w:val="39"/>
        <w:tblW w:w="5159"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0" w:type="dxa"/>
          <w:bottom w:w="0" w:type="dxa"/>
          <w:right w:w="0" w:type="dxa"/>
        </w:tblCellMar>
      </w:tblPr>
      <w:tblGrid>
        <w:gridCol w:w="705"/>
        <w:gridCol w:w="2387"/>
        <w:gridCol w:w="1451"/>
        <w:gridCol w:w="1618"/>
        <w:gridCol w:w="2455"/>
      </w:tblGrid>
      <w:tr w14:paraId="545FA7D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tblHeader/>
          <w:jc w:val="center"/>
        </w:trPr>
        <w:tc>
          <w:tcPr>
            <w:tcW w:w="409" w:type="pct"/>
            <w:vAlign w:val="center"/>
          </w:tcPr>
          <w:p w14:paraId="6DDEA935">
            <w:pPr>
              <w:pStyle w:val="81"/>
              <w:rPr>
                <w:color w:val="auto"/>
              </w:rPr>
            </w:pPr>
            <w:r>
              <w:rPr>
                <w:color w:val="auto"/>
              </w:rPr>
              <w:t>污染物</w:t>
            </w:r>
          </w:p>
        </w:tc>
        <w:tc>
          <w:tcPr>
            <w:tcW w:w="1385" w:type="pct"/>
            <w:vAlign w:val="center"/>
          </w:tcPr>
          <w:p w14:paraId="120E557C">
            <w:pPr>
              <w:pStyle w:val="81"/>
              <w:rPr>
                <w:color w:val="auto"/>
              </w:rPr>
            </w:pPr>
            <w:r>
              <w:rPr>
                <w:color w:val="auto"/>
              </w:rPr>
              <w:t>标准名称</w:t>
            </w:r>
          </w:p>
        </w:tc>
        <w:tc>
          <w:tcPr>
            <w:tcW w:w="842" w:type="pct"/>
            <w:vAlign w:val="center"/>
          </w:tcPr>
          <w:p w14:paraId="4AF23A02">
            <w:pPr>
              <w:pStyle w:val="81"/>
              <w:rPr>
                <w:color w:val="auto"/>
              </w:rPr>
            </w:pPr>
            <w:r>
              <w:rPr>
                <w:color w:val="auto"/>
              </w:rPr>
              <w:t>级(类)别</w:t>
            </w:r>
          </w:p>
        </w:tc>
        <w:tc>
          <w:tcPr>
            <w:tcW w:w="939" w:type="pct"/>
            <w:tcMar>
              <w:left w:w="28" w:type="dxa"/>
              <w:right w:w="28" w:type="dxa"/>
            </w:tcMar>
            <w:vAlign w:val="center"/>
          </w:tcPr>
          <w:p w14:paraId="49A82EE6">
            <w:pPr>
              <w:pStyle w:val="81"/>
              <w:rPr>
                <w:color w:val="auto"/>
              </w:rPr>
            </w:pPr>
            <w:r>
              <w:rPr>
                <w:color w:val="auto"/>
              </w:rPr>
              <w:t>污染因子</w:t>
            </w:r>
          </w:p>
        </w:tc>
        <w:tc>
          <w:tcPr>
            <w:tcW w:w="1423" w:type="pct"/>
            <w:tcMar>
              <w:left w:w="28" w:type="dxa"/>
              <w:right w:w="28" w:type="dxa"/>
            </w:tcMar>
            <w:vAlign w:val="center"/>
          </w:tcPr>
          <w:p w14:paraId="541C1508">
            <w:pPr>
              <w:pStyle w:val="81"/>
              <w:rPr>
                <w:color w:val="auto"/>
              </w:rPr>
            </w:pPr>
            <w:r>
              <w:rPr>
                <w:color w:val="auto"/>
              </w:rPr>
              <w:t>标准限值</w:t>
            </w:r>
          </w:p>
        </w:tc>
      </w:tr>
      <w:tr w14:paraId="29C2842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restart"/>
            <w:vAlign w:val="center"/>
          </w:tcPr>
          <w:p w14:paraId="74B63446">
            <w:pPr>
              <w:pStyle w:val="75"/>
            </w:pPr>
            <w:r>
              <w:rPr>
                <w:rFonts w:hint="eastAsia"/>
              </w:rPr>
              <w:t>废气</w:t>
            </w:r>
          </w:p>
        </w:tc>
        <w:tc>
          <w:tcPr>
            <w:tcW w:w="1385" w:type="pct"/>
            <w:vMerge w:val="restart"/>
            <w:vAlign w:val="center"/>
          </w:tcPr>
          <w:p w14:paraId="0D004D7B">
            <w:pPr>
              <w:pStyle w:val="75"/>
            </w:pPr>
            <w:r>
              <w:rPr>
                <w:rFonts w:hint="eastAsia"/>
              </w:rPr>
              <w:t>《电镀污染物排放标准》（GB21900-2008）</w:t>
            </w:r>
          </w:p>
        </w:tc>
        <w:tc>
          <w:tcPr>
            <w:tcW w:w="842" w:type="pct"/>
            <w:vMerge w:val="restart"/>
            <w:vAlign w:val="center"/>
          </w:tcPr>
          <w:p w14:paraId="5FA91876">
            <w:pPr>
              <w:pStyle w:val="75"/>
              <w:rPr>
                <w:highlight w:val="yellow"/>
              </w:rPr>
            </w:pPr>
            <w:r>
              <w:rPr>
                <w:rFonts w:hint="eastAsia"/>
              </w:rPr>
              <w:t>表5</w:t>
            </w:r>
          </w:p>
        </w:tc>
        <w:tc>
          <w:tcPr>
            <w:tcW w:w="939" w:type="pct"/>
            <w:tcMar>
              <w:left w:w="28" w:type="dxa"/>
              <w:right w:w="28" w:type="dxa"/>
            </w:tcMar>
            <w:vAlign w:val="center"/>
          </w:tcPr>
          <w:p w14:paraId="751C4A38">
            <w:pPr>
              <w:pStyle w:val="75"/>
              <w:ind w:firstLine="0" w:firstLineChars="0"/>
            </w:pPr>
            <w:r>
              <w:rPr>
                <w:rFonts w:hint="eastAsia"/>
              </w:rPr>
              <w:t>硫酸雾</w:t>
            </w:r>
          </w:p>
        </w:tc>
        <w:tc>
          <w:tcPr>
            <w:tcW w:w="1423" w:type="pct"/>
            <w:tcMar>
              <w:left w:w="28" w:type="dxa"/>
              <w:right w:w="28" w:type="dxa"/>
            </w:tcMar>
            <w:vAlign w:val="center"/>
          </w:tcPr>
          <w:p w14:paraId="59584100">
            <w:pPr>
              <w:pStyle w:val="75"/>
              <w:ind w:firstLine="0" w:firstLineChars="0"/>
            </w:pPr>
            <w:r>
              <w:rPr>
                <w:rFonts w:hint="eastAsia"/>
              </w:rPr>
              <w:t>30</w:t>
            </w:r>
            <w:r>
              <w:t>mg/m</w:t>
            </w:r>
            <w:r>
              <w:rPr>
                <w:vertAlign w:val="superscript"/>
              </w:rPr>
              <w:t>3</w:t>
            </w:r>
            <w:r>
              <w:rPr>
                <w:bCs/>
              </w:rPr>
              <w:t>(15m</w:t>
            </w:r>
            <w:r>
              <w:rPr>
                <w:rFonts w:hint="eastAsia"/>
                <w:bCs/>
              </w:rPr>
              <w:t>排气筒</w:t>
            </w:r>
            <w:r>
              <w:rPr>
                <w:bCs/>
              </w:rPr>
              <w:t>)</w:t>
            </w:r>
          </w:p>
        </w:tc>
      </w:tr>
      <w:tr w14:paraId="667FEEB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265590C2">
            <w:pPr>
              <w:pStyle w:val="75"/>
              <w:rPr>
                <w:highlight w:val="yellow"/>
              </w:rPr>
            </w:pPr>
          </w:p>
        </w:tc>
        <w:tc>
          <w:tcPr>
            <w:tcW w:w="1385" w:type="pct"/>
            <w:vMerge w:val="continue"/>
            <w:vAlign w:val="center"/>
          </w:tcPr>
          <w:p w14:paraId="3B9F3739">
            <w:pPr>
              <w:pStyle w:val="75"/>
              <w:rPr>
                <w:highlight w:val="yellow"/>
              </w:rPr>
            </w:pPr>
          </w:p>
        </w:tc>
        <w:tc>
          <w:tcPr>
            <w:tcW w:w="842" w:type="pct"/>
            <w:vMerge w:val="continue"/>
            <w:vAlign w:val="center"/>
          </w:tcPr>
          <w:p w14:paraId="661649E4">
            <w:pPr>
              <w:pStyle w:val="75"/>
              <w:rPr>
                <w:highlight w:val="yellow"/>
              </w:rPr>
            </w:pPr>
          </w:p>
        </w:tc>
        <w:tc>
          <w:tcPr>
            <w:tcW w:w="939" w:type="pct"/>
            <w:tcMar>
              <w:left w:w="28" w:type="dxa"/>
              <w:right w:w="28" w:type="dxa"/>
            </w:tcMar>
            <w:vAlign w:val="center"/>
          </w:tcPr>
          <w:p w14:paraId="001D94E9">
            <w:pPr>
              <w:pStyle w:val="75"/>
              <w:ind w:firstLine="0" w:firstLineChars="0"/>
            </w:pPr>
            <w:r>
              <w:rPr>
                <w:rFonts w:hint="eastAsia"/>
              </w:rPr>
              <w:t>铬酸雾</w:t>
            </w:r>
          </w:p>
        </w:tc>
        <w:tc>
          <w:tcPr>
            <w:tcW w:w="1423" w:type="pct"/>
            <w:tcMar>
              <w:left w:w="28" w:type="dxa"/>
              <w:right w:w="28" w:type="dxa"/>
            </w:tcMar>
            <w:vAlign w:val="center"/>
          </w:tcPr>
          <w:p w14:paraId="09E66366">
            <w:pPr>
              <w:pStyle w:val="75"/>
              <w:ind w:firstLine="0" w:firstLineChars="0"/>
            </w:pPr>
            <w:r>
              <w:rPr>
                <w:rFonts w:hint="eastAsia"/>
              </w:rPr>
              <w:t>0.05</w:t>
            </w:r>
            <w:r>
              <w:t>mg/m</w:t>
            </w:r>
            <w:r>
              <w:rPr>
                <w:vertAlign w:val="superscript"/>
              </w:rPr>
              <w:t>3</w:t>
            </w:r>
            <w:r>
              <w:rPr>
                <w:bCs/>
              </w:rPr>
              <w:t>(15m</w:t>
            </w:r>
            <w:r>
              <w:rPr>
                <w:rFonts w:hint="eastAsia"/>
                <w:bCs/>
              </w:rPr>
              <w:t>排气筒</w:t>
            </w:r>
            <w:r>
              <w:rPr>
                <w:bCs/>
              </w:rPr>
              <w:t>)</w:t>
            </w:r>
          </w:p>
        </w:tc>
      </w:tr>
      <w:tr w14:paraId="2499541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0BB21109">
            <w:pPr>
              <w:pStyle w:val="75"/>
              <w:rPr>
                <w:highlight w:val="yellow"/>
              </w:rPr>
            </w:pPr>
          </w:p>
        </w:tc>
        <w:tc>
          <w:tcPr>
            <w:tcW w:w="1385" w:type="pct"/>
            <w:vMerge w:val="continue"/>
            <w:vAlign w:val="center"/>
          </w:tcPr>
          <w:p w14:paraId="49442D75">
            <w:pPr>
              <w:pStyle w:val="75"/>
              <w:rPr>
                <w:highlight w:val="yellow"/>
              </w:rPr>
            </w:pPr>
          </w:p>
        </w:tc>
        <w:tc>
          <w:tcPr>
            <w:tcW w:w="842" w:type="pct"/>
            <w:vAlign w:val="center"/>
          </w:tcPr>
          <w:p w14:paraId="5790BB44">
            <w:pPr>
              <w:pStyle w:val="75"/>
              <w:rPr>
                <w:highlight w:val="yellow"/>
              </w:rPr>
            </w:pPr>
            <w:r>
              <w:rPr>
                <w:rFonts w:hint="eastAsia"/>
              </w:rPr>
              <w:t>表6其他镀种</w:t>
            </w:r>
          </w:p>
        </w:tc>
        <w:tc>
          <w:tcPr>
            <w:tcW w:w="939" w:type="pct"/>
            <w:tcMar>
              <w:left w:w="28" w:type="dxa"/>
              <w:right w:w="28" w:type="dxa"/>
            </w:tcMar>
            <w:vAlign w:val="center"/>
          </w:tcPr>
          <w:p w14:paraId="666D10C5">
            <w:pPr>
              <w:pStyle w:val="75"/>
            </w:pPr>
            <w:r>
              <w:rPr>
                <w:rFonts w:hint="eastAsia"/>
              </w:rPr>
              <w:t>镀镍</w:t>
            </w:r>
          </w:p>
        </w:tc>
        <w:tc>
          <w:tcPr>
            <w:tcW w:w="1423" w:type="pct"/>
            <w:tcMar>
              <w:left w:w="28" w:type="dxa"/>
              <w:right w:w="28" w:type="dxa"/>
            </w:tcMar>
            <w:vAlign w:val="center"/>
          </w:tcPr>
          <w:p w14:paraId="01293315">
            <w:pPr>
              <w:pStyle w:val="75"/>
              <w:jc w:val="left"/>
            </w:pPr>
            <w:r>
              <w:rPr>
                <w:rFonts w:hint="eastAsia"/>
              </w:rPr>
              <w:t>37.3m</w:t>
            </w:r>
            <w:r>
              <w:rPr>
                <w:rFonts w:hint="eastAsia"/>
                <w:vertAlign w:val="superscript"/>
              </w:rPr>
              <w:t>3</w:t>
            </w:r>
            <w:r>
              <w:rPr>
                <w:rFonts w:hint="eastAsia"/>
              </w:rPr>
              <w:t>/m</w:t>
            </w:r>
            <w:r>
              <w:rPr>
                <w:rFonts w:hint="eastAsia"/>
                <w:vertAlign w:val="superscript"/>
              </w:rPr>
              <w:t>2</w:t>
            </w:r>
            <w:r>
              <w:rPr>
                <w:bCs/>
              </w:rPr>
              <w:t>(</w:t>
            </w:r>
            <w:r>
              <w:rPr>
                <w:rFonts w:hint="eastAsia"/>
                <w:bCs/>
              </w:rPr>
              <w:t>单位产品基准排气量</w:t>
            </w:r>
            <w:r>
              <w:rPr>
                <w:bCs/>
              </w:rPr>
              <w:t>)</w:t>
            </w:r>
          </w:p>
        </w:tc>
      </w:tr>
      <w:tr w14:paraId="6AD830D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50284E37">
            <w:pPr>
              <w:pStyle w:val="75"/>
              <w:rPr>
                <w:highlight w:val="yellow"/>
              </w:rPr>
            </w:pPr>
          </w:p>
        </w:tc>
        <w:tc>
          <w:tcPr>
            <w:tcW w:w="1385" w:type="pct"/>
            <w:vAlign w:val="center"/>
          </w:tcPr>
          <w:p w14:paraId="354D75EA">
            <w:pPr>
              <w:pStyle w:val="75"/>
              <w:rPr>
                <w:highlight w:val="yellow"/>
              </w:rPr>
            </w:pPr>
            <w:r>
              <w:rPr>
                <w:rFonts w:hint="eastAsia"/>
              </w:rPr>
              <w:t>《河南省重污染天气重点行业应急减排措施制定技术指南（</w:t>
            </w:r>
            <w:r>
              <w:rPr>
                <w:rFonts w:hint="eastAsia"/>
                <w:lang w:val="en-US" w:eastAsia="zh-CN"/>
              </w:rPr>
              <w:t>2024</w:t>
            </w:r>
            <w:r>
              <w:rPr>
                <w:rFonts w:hint="eastAsia"/>
              </w:rPr>
              <w:t>年修订）》</w:t>
            </w:r>
          </w:p>
        </w:tc>
        <w:tc>
          <w:tcPr>
            <w:tcW w:w="842" w:type="pct"/>
            <w:vAlign w:val="center"/>
          </w:tcPr>
          <w:p w14:paraId="77B154FE">
            <w:pPr>
              <w:pStyle w:val="75"/>
            </w:pPr>
            <w:r>
              <w:rPr>
                <w:rFonts w:hint="eastAsia"/>
              </w:rPr>
              <w:t>金属表面处理及热处理加工</w:t>
            </w:r>
          </w:p>
        </w:tc>
        <w:tc>
          <w:tcPr>
            <w:tcW w:w="939" w:type="pct"/>
            <w:tcMar>
              <w:left w:w="28" w:type="dxa"/>
              <w:right w:w="28" w:type="dxa"/>
            </w:tcMar>
            <w:vAlign w:val="center"/>
          </w:tcPr>
          <w:p w14:paraId="69167CF2">
            <w:pPr>
              <w:pStyle w:val="75"/>
              <w:ind w:firstLine="0" w:firstLineChars="0"/>
            </w:pPr>
            <w:r>
              <w:rPr>
                <w:rFonts w:hint="eastAsia"/>
              </w:rPr>
              <w:t>硫酸雾</w:t>
            </w:r>
          </w:p>
        </w:tc>
        <w:tc>
          <w:tcPr>
            <w:tcW w:w="1423" w:type="pct"/>
            <w:tcMar>
              <w:left w:w="28" w:type="dxa"/>
              <w:right w:w="28" w:type="dxa"/>
            </w:tcMar>
            <w:vAlign w:val="center"/>
          </w:tcPr>
          <w:p w14:paraId="1EC446AE">
            <w:pPr>
              <w:pStyle w:val="75"/>
              <w:ind w:firstLine="0" w:firstLineChars="0"/>
            </w:pPr>
            <w:r>
              <w:rPr>
                <w:rFonts w:hint="eastAsia"/>
              </w:rPr>
              <w:t>10</w:t>
            </w:r>
            <w:r>
              <w:t>mg/m</w:t>
            </w:r>
            <w:r>
              <w:rPr>
                <w:vertAlign w:val="superscript"/>
              </w:rPr>
              <w:t>3</w:t>
            </w:r>
          </w:p>
        </w:tc>
      </w:tr>
      <w:tr w14:paraId="4F0AF7D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2D135F98">
            <w:pPr>
              <w:pStyle w:val="75"/>
              <w:rPr>
                <w:highlight w:val="yellow"/>
              </w:rPr>
            </w:pPr>
          </w:p>
        </w:tc>
        <w:tc>
          <w:tcPr>
            <w:tcW w:w="1385" w:type="pct"/>
            <w:vAlign w:val="center"/>
          </w:tcPr>
          <w:p w14:paraId="5B4712F9">
            <w:pPr>
              <w:pStyle w:val="75"/>
              <w:rPr>
                <w:highlight w:val="yellow"/>
              </w:rPr>
            </w:pPr>
            <w:r>
              <w:rPr>
                <w:rFonts w:hint="eastAsia"/>
              </w:rPr>
              <w:t>《大气污染物综合排放标准》（GB16297-1996）</w:t>
            </w:r>
          </w:p>
        </w:tc>
        <w:tc>
          <w:tcPr>
            <w:tcW w:w="842" w:type="pct"/>
            <w:vAlign w:val="center"/>
          </w:tcPr>
          <w:p w14:paraId="50AFC29B">
            <w:pPr>
              <w:pStyle w:val="75"/>
            </w:pPr>
            <w:r>
              <w:rPr>
                <w:rFonts w:hint="eastAsia"/>
              </w:rPr>
              <w:t>表2</w:t>
            </w:r>
          </w:p>
        </w:tc>
        <w:tc>
          <w:tcPr>
            <w:tcW w:w="939" w:type="pct"/>
            <w:tcMar>
              <w:left w:w="28" w:type="dxa"/>
              <w:right w:w="28" w:type="dxa"/>
            </w:tcMar>
            <w:vAlign w:val="center"/>
          </w:tcPr>
          <w:p w14:paraId="01C9A096">
            <w:pPr>
              <w:pStyle w:val="75"/>
              <w:ind w:firstLine="0" w:firstLineChars="0"/>
            </w:pPr>
            <w:r>
              <w:rPr>
                <w:rFonts w:hint="eastAsia"/>
              </w:rPr>
              <w:t>硫酸雾</w:t>
            </w:r>
          </w:p>
        </w:tc>
        <w:tc>
          <w:tcPr>
            <w:tcW w:w="1423" w:type="pct"/>
            <w:tcMar>
              <w:left w:w="28" w:type="dxa"/>
              <w:right w:w="28" w:type="dxa"/>
            </w:tcMar>
            <w:vAlign w:val="center"/>
          </w:tcPr>
          <w:p w14:paraId="2F2239AA">
            <w:pPr>
              <w:pStyle w:val="75"/>
              <w:ind w:firstLine="0" w:firstLineChars="0"/>
            </w:pPr>
            <w:r>
              <w:rPr>
                <w:rFonts w:hint="eastAsia"/>
              </w:rPr>
              <w:t>厂界1.2</w:t>
            </w:r>
            <w:r>
              <w:t>mg/m</w:t>
            </w:r>
            <w:r>
              <w:rPr>
                <w:vertAlign w:val="superscript"/>
              </w:rPr>
              <w:t>3</w:t>
            </w:r>
          </w:p>
        </w:tc>
      </w:tr>
      <w:tr w14:paraId="5B64D53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293CD22D">
            <w:pPr>
              <w:pStyle w:val="75"/>
              <w:rPr>
                <w:highlight w:val="yellow"/>
              </w:rPr>
            </w:pPr>
          </w:p>
        </w:tc>
        <w:tc>
          <w:tcPr>
            <w:tcW w:w="1385" w:type="pct"/>
            <w:vMerge w:val="restart"/>
            <w:vAlign w:val="center"/>
          </w:tcPr>
          <w:p w14:paraId="1D57CE12">
            <w:pPr>
              <w:pStyle w:val="75"/>
              <w:rPr>
                <w:highlight w:val="yellow"/>
              </w:rPr>
            </w:pPr>
            <w:r>
              <w:rPr>
                <w:rFonts w:hint="eastAsia"/>
              </w:rPr>
              <w:t>《恶臭污染物排放标准》（GB14554-93）</w:t>
            </w:r>
          </w:p>
        </w:tc>
        <w:tc>
          <w:tcPr>
            <w:tcW w:w="842" w:type="pct"/>
            <w:vMerge w:val="restart"/>
            <w:vAlign w:val="center"/>
          </w:tcPr>
          <w:p w14:paraId="4C894FD5">
            <w:pPr>
              <w:pStyle w:val="75"/>
            </w:pPr>
            <w:r>
              <w:rPr>
                <w:rFonts w:hint="eastAsia"/>
              </w:rPr>
              <w:t>表2</w:t>
            </w:r>
          </w:p>
        </w:tc>
        <w:tc>
          <w:tcPr>
            <w:tcW w:w="939" w:type="pct"/>
            <w:tcMar>
              <w:left w:w="28" w:type="dxa"/>
              <w:right w:w="28" w:type="dxa"/>
            </w:tcMar>
            <w:vAlign w:val="center"/>
          </w:tcPr>
          <w:p w14:paraId="4AC884EB">
            <w:pPr>
              <w:pStyle w:val="75"/>
            </w:pPr>
            <w:r>
              <w:rPr>
                <w:rFonts w:hint="eastAsia"/>
                <w:bCs/>
              </w:rPr>
              <w:t>硫化氢</w:t>
            </w:r>
          </w:p>
        </w:tc>
        <w:tc>
          <w:tcPr>
            <w:tcW w:w="1423" w:type="pct"/>
            <w:tcMar>
              <w:left w:w="28" w:type="dxa"/>
              <w:right w:w="28" w:type="dxa"/>
            </w:tcMar>
            <w:vAlign w:val="center"/>
          </w:tcPr>
          <w:p w14:paraId="44CCBFE0">
            <w:pPr>
              <w:pStyle w:val="75"/>
              <w:rPr>
                <w:bCs/>
              </w:rPr>
            </w:pPr>
            <w:r>
              <w:rPr>
                <w:rFonts w:hint="eastAsia"/>
                <w:bCs/>
              </w:rPr>
              <w:t>0.33</w:t>
            </w:r>
            <w:r>
              <w:rPr>
                <w:bCs/>
              </w:rPr>
              <w:t>kg/h(15m</w:t>
            </w:r>
            <w:r>
              <w:rPr>
                <w:rFonts w:hint="eastAsia"/>
                <w:bCs/>
              </w:rPr>
              <w:t>排气筒</w:t>
            </w:r>
            <w:r>
              <w:rPr>
                <w:bCs/>
              </w:rPr>
              <w:t>)</w:t>
            </w:r>
          </w:p>
          <w:p w14:paraId="09A00823">
            <w:pPr>
              <w:pStyle w:val="75"/>
            </w:pPr>
            <w:r>
              <w:rPr>
                <w:rFonts w:hint="eastAsia"/>
                <w:bCs/>
              </w:rPr>
              <w:t>厂界0.06</w:t>
            </w:r>
            <w:r>
              <w:t>mg/m</w:t>
            </w:r>
            <w:r>
              <w:rPr>
                <w:vertAlign w:val="superscript"/>
              </w:rPr>
              <w:t>3</w:t>
            </w:r>
          </w:p>
        </w:tc>
      </w:tr>
      <w:tr w14:paraId="360F9C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4655A402">
            <w:pPr>
              <w:pStyle w:val="75"/>
              <w:rPr>
                <w:highlight w:val="yellow"/>
              </w:rPr>
            </w:pPr>
          </w:p>
        </w:tc>
        <w:tc>
          <w:tcPr>
            <w:tcW w:w="1385" w:type="pct"/>
            <w:vMerge w:val="continue"/>
            <w:vAlign w:val="center"/>
          </w:tcPr>
          <w:p w14:paraId="5E81BD90">
            <w:pPr>
              <w:pStyle w:val="75"/>
              <w:rPr>
                <w:highlight w:val="yellow"/>
              </w:rPr>
            </w:pPr>
          </w:p>
        </w:tc>
        <w:tc>
          <w:tcPr>
            <w:tcW w:w="842" w:type="pct"/>
            <w:vMerge w:val="continue"/>
            <w:vAlign w:val="center"/>
          </w:tcPr>
          <w:p w14:paraId="3252192D">
            <w:pPr>
              <w:pStyle w:val="75"/>
            </w:pPr>
          </w:p>
        </w:tc>
        <w:tc>
          <w:tcPr>
            <w:tcW w:w="939" w:type="pct"/>
            <w:tcMar>
              <w:left w:w="28" w:type="dxa"/>
              <w:right w:w="28" w:type="dxa"/>
            </w:tcMar>
            <w:vAlign w:val="center"/>
          </w:tcPr>
          <w:p w14:paraId="129CA15A">
            <w:pPr>
              <w:pStyle w:val="75"/>
            </w:pPr>
            <w:r>
              <w:rPr>
                <w:rFonts w:hint="eastAsia"/>
                <w:bCs/>
              </w:rPr>
              <w:t>氨</w:t>
            </w:r>
          </w:p>
        </w:tc>
        <w:tc>
          <w:tcPr>
            <w:tcW w:w="1423" w:type="pct"/>
            <w:tcMar>
              <w:left w:w="28" w:type="dxa"/>
              <w:right w:w="28" w:type="dxa"/>
            </w:tcMar>
            <w:vAlign w:val="center"/>
          </w:tcPr>
          <w:p w14:paraId="2E863D94">
            <w:pPr>
              <w:pStyle w:val="75"/>
              <w:rPr>
                <w:bCs/>
              </w:rPr>
            </w:pPr>
            <w:r>
              <w:rPr>
                <w:rFonts w:hint="eastAsia"/>
                <w:bCs/>
              </w:rPr>
              <w:t>4.9</w:t>
            </w:r>
            <w:r>
              <w:rPr>
                <w:bCs/>
              </w:rPr>
              <w:t>kg/h(15m</w:t>
            </w:r>
            <w:r>
              <w:rPr>
                <w:rFonts w:hint="eastAsia"/>
                <w:bCs/>
              </w:rPr>
              <w:t>排气筒</w:t>
            </w:r>
            <w:r>
              <w:rPr>
                <w:bCs/>
              </w:rPr>
              <w:t>)</w:t>
            </w:r>
          </w:p>
          <w:p w14:paraId="1DE6B08C">
            <w:pPr>
              <w:pStyle w:val="75"/>
            </w:pPr>
            <w:r>
              <w:rPr>
                <w:rFonts w:hint="eastAsia"/>
                <w:bCs/>
              </w:rPr>
              <w:t>厂界1.5</w:t>
            </w:r>
            <w:r>
              <w:t>mg/m</w:t>
            </w:r>
            <w:r>
              <w:rPr>
                <w:vertAlign w:val="superscript"/>
              </w:rPr>
              <w:t>3</w:t>
            </w:r>
          </w:p>
        </w:tc>
      </w:tr>
      <w:tr w14:paraId="5480D3D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10009D81">
            <w:pPr>
              <w:pStyle w:val="75"/>
              <w:rPr>
                <w:highlight w:val="yellow"/>
              </w:rPr>
            </w:pPr>
          </w:p>
        </w:tc>
        <w:tc>
          <w:tcPr>
            <w:tcW w:w="1385" w:type="pct"/>
            <w:vMerge w:val="continue"/>
            <w:vAlign w:val="center"/>
          </w:tcPr>
          <w:p w14:paraId="02A71697">
            <w:pPr>
              <w:pStyle w:val="75"/>
              <w:rPr>
                <w:highlight w:val="yellow"/>
              </w:rPr>
            </w:pPr>
          </w:p>
        </w:tc>
        <w:tc>
          <w:tcPr>
            <w:tcW w:w="842" w:type="pct"/>
            <w:vMerge w:val="continue"/>
            <w:vAlign w:val="center"/>
          </w:tcPr>
          <w:p w14:paraId="5F1A3F39">
            <w:pPr>
              <w:pStyle w:val="75"/>
            </w:pPr>
          </w:p>
        </w:tc>
        <w:tc>
          <w:tcPr>
            <w:tcW w:w="939" w:type="pct"/>
            <w:tcMar>
              <w:left w:w="28" w:type="dxa"/>
              <w:right w:w="28" w:type="dxa"/>
            </w:tcMar>
            <w:vAlign w:val="center"/>
          </w:tcPr>
          <w:p w14:paraId="0CF85989">
            <w:pPr>
              <w:pStyle w:val="75"/>
            </w:pPr>
            <w:r>
              <w:rPr>
                <w:rFonts w:hint="eastAsia"/>
                <w:bCs/>
              </w:rPr>
              <w:t>臭气浓度</w:t>
            </w:r>
          </w:p>
        </w:tc>
        <w:tc>
          <w:tcPr>
            <w:tcW w:w="1423" w:type="pct"/>
            <w:tcMar>
              <w:left w:w="28" w:type="dxa"/>
              <w:right w:w="28" w:type="dxa"/>
            </w:tcMar>
            <w:vAlign w:val="center"/>
          </w:tcPr>
          <w:p w14:paraId="642F5DC0">
            <w:pPr>
              <w:pStyle w:val="75"/>
              <w:rPr>
                <w:bCs/>
              </w:rPr>
            </w:pPr>
            <w:r>
              <w:rPr>
                <w:rFonts w:hint="eastAsia"/>
                <w:bCs/>
              </w:rPr>
              <w:t>2000</w:t>
            </w:r>
            <w:r>
              <w:rPr>
                <w:bCs/>
              </w:rPr>
              <w:t>(</w:t>
            </w:r>
            <w:r>
              <w:rPr>
                <w:rFonts w:hint="eastAsia"/>
                <w:bCs/>
              </w:rPr>
              <w:t>无量纲</w:t>
            </w:r>
            <w:r>
              <w:rPr>
                <w:bCs/>
              </w:rPr>
              <w:t>)</w:t>
            </w:r>
          </w:p>
          <w:p w14:paraId="2E8F8F7F">
            <w:pPr>
              <w:pStyle w:val="75"/>
            </w:pPr>
            <w:r>
              <w:rPr>
                <w:rFonts w:hint="eastAsia"/>
                <w:bCs/>
              </w:rPr>
              <w:t>厂界10</w:t>
            </w:r>
            <w:r>
              <w:rPr>
                <w:bCs/>
              </w:rPr>
              <w:t>(</w:t>
            </w:r>
            <w:r>
              <w:rPr>
                <w:rFonts w:hint="eastAsia"/>
                <w:bCs/>
              </w:rPr>
              <w:t>无量纲</w:t>
            </w:r>
            <w:r>
              <w:rPr>
                <w:bCs/>
              </w:rPr>
              <w:t>)</w:t>
            </w:r>
          </w:p>
        </w:tc>
      </w:tr>
      <w:tr w14:paraId="67EEC7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restart"/>
            <w:vAlign w:val="center"/>
          </w:tcPr>
          <w:p w14:paraId="6D657700">
            <w:pPr>
              <w:pStyle w:val="75"/>
              <w:rPr>
                <w:highlight w:val="yellow"/>
              </w:rPr>
            </w:pPr>
            <w:r>
              <w:t>废水</w:t>
            </w:r>
          </w:p>
        </w:tc>
        <w:tc>
          <w:tcPr>
            <w:tcW w:w="1385" w:type="pct"/>
            <w:vMerge w:val="restart"/>
            <w:vAlign w:val="center"/>
          </w:tcPr>
          <w:p w14:paraId="689331D6">
            <w:pPr>
              <w:pStyle w:val="75"/>
              <w:rPr>
                <w:highlight w:val="yellow"/>
              </w:rPr>
            </w:pPr>
            <w:r>
              <w:rPr>
                <w:rFonts w:hint="eastAsia"/>
              </w:rPr>
              <w:t>《电镀污染物排放标准》（GB21900-2008）</w:t>
            </w:r>
          </w:p>
        </w:tc>
        <w:tc>
          <w:tcPr>
            <w:tcW w:w="842" w:type="pct"/>
            <w:vMerge w:val="restart"/>
            <w:vAlign w:val="center"/>
          </w:tcPr>
          <w:p w14:paraId="71EBBBE0">
            <w:pPr>
              <w:pStyle w:val="75"/>
              <w:rPr>
                <w:highlight w:val="yellow"/>
              </w:rPr>
            </w:pPr>
            <w:r>
              <w:t>表</w:t>
            </w:r>
            <w:r>
              <w:rPr>
                <w:rFonts w:hint="eastAsia"/>
              </w:rPr>
              <w:t>2</w:t>
            </w:r>
          </w:p>
        </w:tc>
        <w:tc>
          <w:tcPr>
            <w:tcW w:w="939" w:type="pct"/>
            <w:vAlign w:val="center"/>
          </w:tcPr>
          <w:p w14:paraId="7B93781B">
            <w:pPr>
              <w:pStyle w:val="75"/>
            </w:pPr>
            <w:r>
              <w:rPr>
                <w:rFonts w:hint="eastAsia"/>
              </w:rPr>
              <w:t>pH</w:t>
            </w:r>
          </w:p>
        </w:tc>
        <w:tc>
          <w:tcPr>
            <w:tcW w:w="1423" w:type="pct"/>
            <w:vAlign w:val="center"/>
          </w:tcPr>
          <w:p w14:paraId="6373AE33">
            <w:pPr>
              <w:pStyle w:val="75"/>
            </w:pPr>
            <w:r>
              <w:t>6～9</w:t>
            </w:r>
          </w:p>
        </w:tc>
      </w:tr>
      <w:tr w14:paraId="09F22C5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4E5EAB3B">
            <w:pPr>
              <w:pStyle w:val="75"/>
              <w:rPr>
                <w:highlight w:val="yellow"/>
              </w:rPr>
            </w:pPr>
          </w:p>
        </w:tc>
        <w:tc>
          <w:tcPr>
            <w:tcW w:w="1385" w:type="pct"/>
            <w:vMerge w:val="continue"/>
            <w:vAlign w:val="center"/>
          </w:tcPr>
          <w:p w14:paraId="20DBCD21">
            <w:pPr>
              <w:pStyle w:val="75"/>
              <w:rPr>
                <w:b/>
                <w:highlight w:val="yellow"/>
                <w:u w:val="single"/>
              </w:rPr>
            </w:pPr>
          </w:p>
        </w:tc>
        <w:tc>
          <w:tcPr>
            <w:tcW w:w="842" w:type="pct"/>
            <w:vMerge w:val="continue"/>
            <w:vAlign w:val="center"/>
          </w:tcPr>
          <w:p w14:paraId="2B592489">
            <w:pPr>
              <w:pStyle w:val="75"/>
              <w:rPr>
                <w:highlight w:val="yellow"/>
              </w:rPr>
            </w:pPr>
          </w:p>
        </w:tc>
        <w:tc>
          <w:tcPr>
            <w:tcW w:w="939" w:type="pct"/>
            <w:vAlign w:val="center"/>
          </w:tcPr>
          <w:p w14:paraId="15DB626E">
            <w:pPr>
              <w:pStyle w:val="75"/>
            </w:pPr>
            <w:r>
              <w:rPr>
                <w:rFonts w:hint="eastAsia"/>
              </w:rPr>
              <w:t>总镍</w:t>
            </w:r>
          </w:p>
        </w:tc>
        <w:tc>
          <w:tcPr>
            <w:tcW w:w="1423" w:type="pct"/>
            <w:vAlign w:val="center"/>
          </w:tcPr>
          <w:p w14:paraId="1C5BD474">
            <w:pPr>
              <w:pStyle w:val="75"/>
            </w:pPr>
            <w:r>
              <w:rPr>
                <w:rFonts w:hint="eastAsia"/>
              </w:rPr>
              <w:t>0.5mg/L</w:t>
            </w:r>
          </w:p>
        </w:tc>
      </w:tr>
      <w:tr w14:paraId="42A18F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2A9C33BE">
            <w:pPr>
              <w:pStyle w:val="75"/>
              <w:rPr>
                <w:highlight w:val="yellow"/>
              </w:rPr>
            </w:pPr>
          </w:p>
        </w:tc>
        <w:tc>
          <w:tcPr>
            <w:tcW w:w="1385" w:type="pct"/>
            <w:vMerge w:val="continue"/>
            <w:vAlign w:val="center"/>
          </w:tcPr>
          <w:p w14:paraId="4579B898">
            <w:pPr>
              <w:pStyle w:val="75"/>
              <w:rPr>
                <w:b/>
                <w:highlight w:val="yellow"/>
                <w:u w:val="single"/>
              </w:rPr>
            </w:pPr>
          </w:p>
        </w:tc>
        <w:tc>
          <w:tcPr>
            <w:tcW w:w="842" w:type="pct"/>
            <w:vMerge w:val="continue"/>
            <w:vAlign w:val="center"/>
          </w:tcPr>
          <w:p w14:paraId="69AB7E60">
            <w:pPr>
              <w:pStyle w:val="75"/>
              <w:rPr>
                <w:highlight w:val="yellow"/>
              </w:rPr>
            </w:pPr>
          </w:p>
        </w:tc>
        <w:tc>
          <w:tcPr>
            <w:tcW w:w="939" w:type="pct"/>
            <w:vAlign w:val="center"/>
          </w:tcPr>
          <w:p w14:paraId="731C1CF0">
            <w:pPr>
              <w:pStyle w:val="75"/>
            </w:pPr>
            <w:r>
              <w:rPr>
                <w:rFonts w:hint="eastAsia"/>
              </w:rPr>
              <w:t>总铬</w:t>
            </w:r>
          </w:p>
        </w:tc>
        <w:tc>
          <w:tcPr>
            <w:tcW w:w="1423" w:type="pct"/>
            <w:vAlign w:val="center"/>
          </w:tcPr>
          <w:p w14:paraId="188F0AE4">
            <w:pPr>
              <w:pStyle w:val="75"/>
            </w:pPr>
            <w:r>
              <w:rPr>
                <w:rFonts w:hint="eastAsia"/>
              </w:rPr>
              <w:t>1.0mg/L</w:t>
            </w:r>
          </w:p>
        </w:tc>
      </w:tr>
      <w:tr w14:paraId="568FB60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7106DE6C">
            <w:pPr>
              <w:pStyle w:val="75"/>
              <w:rPr>
                <w:highlight w:val="yellow"/>
              </w:rPr>
            </w:pPr>
          </w:p>
        </w:tc>
        <w:tc>
          <w:tcPr>
            <w:tcW w:w="1385" w:type="pct"/>
            <w:vMerge w:val="continue"/>
            <w:vAlign w:val="center"/>
          </w:tcPr>
          <w:p w14:paraId="2F8FCD0C">
            <w:pPr>
              <w:pStyle w:val="75"/>
              <w:rPr>
                <w:b/>
                <w:highlight w:val="yellow"/>
                <w:u w:val="single"/>
              </w:rPr>
            </w:pPr>
          </w:p>
        </w:tc>
        <w:tc>
          <w:tcPr>
            <w:tcW w:w="842" w:type="pct"/>
            <w:vMerge w:val="continue"/>
            <w:vAlign w:val="center"/>
          </w:tcPr>
          <w:p w14:paraId="3ABA09EB">
            <w:pPr>
              <w:pStyle w:val="75"/>
              <w:rPr>
                <w:highlight w:val="yellow"/>
              </w:rPr>
            </w:pPr>
          </w:p>
        </w:tc>
        <w:tc>
          <w:tcPr>
            <w:tcW w:w="939" w:type="pct"/>
            <w:vAlign w:val="center"/>
          </w:tcPr>
          <w:p w14:paraId="0E1B5DEE">
            <w:pPr>
              <w:pStyle w:val="75"/>
            </w:pPr>
            <w:r>
              <w:rPr>
                <w:rFonts w:hint="eastAsia"/>
              </w:rPr>
              <w:t>石油类</w:t>
            </w:r>
          </w:p>
        </w:tc>
        <w:tc>
          <w:tcPr>
            <w:tcW w:w="1423" w:type="pct"/>
            <w:vAlign w:val="center"/>
          </w:tcPr>
          <w:p w14:paraId="4AEF39F8">
            <w:pPr>
              <w:pStyle w:val="75"/>
            </w:pPr>
            <w:r>
              <w:rPr>
                <w:rFonts w:hint="eastAsia"/>
              </w:rPr>
              <w:t>3.0mg/L</w:t>
            </w:r>
          </w:p>
        </w:tc>
      </w:tr>
      <w:tr w14:paraId="2E20019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62465F8A">
            <w:pPr>
              <w:pStyle w:val="75"/>
              <w:rPr>
                <w:highlight w:val="yellow"/>
              </w:rPr>
            </w:pPr>
          </w:p>
        </w:tc>
        <w:tc>
          <w:tcPr>
            <w:tcW w:w="1385" w:type="pct"/>
            <w:vMerge w:val="continue"/>
            <w:vAlign w:val="center"/>
          </w:tcPr>
          <w:p w14:paraId="40CC11CA">
            <w:pPr>
              <w:pStyle w:val="75"/>
              <w:rPr>
                <w:b/>
                <w:highlight w:val="yellow"/>
                <w:u w:val="single"/>
              </w:rPr>
            </w:pPr>
          </w:p>
        </w:tc>
        <w:tc>
          <w:tcPr>
            <w:tcW w:w="842" w:type="pct"/>
            <w:vMerge w:val="continue"/>
            <w:vAlign w:val="center"/>
          </w:tcPr>
          <w:p w14:paraId="6FD3585C">
            <w:pPr>
              <w:pStyle w:val="75"/>
              <w:rPr>
                <w:highlight w:val="yellow"/>
              </w:rPr>
            </w:pPr>
          </w:p>
        </w:tc>
        <w:tc>
          <w:tcPr>
            <w:tcW w:w="939" w:type="pct"/>
            <w:vMerge w:val="restart"/>
            <w:vAlign w:val="center"/>
          </w:tcPr>
          <w:p w14:paraId="19F1A36E">
            <w:pPr>
              <w:pStyle w:val="75"/>
              <w:jc w:val="left"/>
            </w:pPr>
            <w:r>
              <w:rPr>
                <w:rFonts w:hint="eastAsia"/>
              </w:rPr>
              <w:t>单位产品基准排水量，L/m</w:t>
            </w:r>
            <w:r>
              <w:rPr>
                <w:rFonts w:hint="eastAsia"/>
                <w:vertAlign w:val="superscript"/>
              </w:rPr>
              <w:t>2</w:t>
            </w:r>
            <w:r>
              <w:rPr>
                <w:rFonts w:hint="eastAsia"/>
              </w:rPr>
              <w:t>（镀件镀层）</w:t>
            </w:r>
          </w:p>
        </w:tc>
        <w:tc>
          <w:tcPr>
            <w:tcW w:w="1423" w:type="pct"/>
            <w:vAlign w:val="center"/>
          </w:tcPr>
          <w:p w14:paraId="66177CEA">
            <w:pPr>
              <w:pStyle w:val="75"/>
            </w:pPr>
            <w:r>
              <w:rPr>
                <w:rFonts w:hint="eastAsia"/>
              </w:rPr>
              <w:t>单层镀200</w:t>
            </w:r>
          </w:p>
        </w:tc>
      </w:tr>
      <w:tr w14:paraId="10D6C99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1CE8C203">
            <w:pPr>
              <w:pStyle w:val="75"/>
              <w:rPr>
                <w:highlight w:val="yellow"/>
              </w:rPr>
            </w:pPr>
          </w:p>
        </w:tc>
        <w:tc>
          <w:tcPr>
            <w:tcW w:w="1385" w:type="pct"/>
            <w:vMerge w:val="continue"/>
            <w:vAlign w:val="center"/>
          </w:tcPr>
          <w:p w14:paraId="2867B89F">
            <w:pPr>
              <w:pStyle w:val="75"/>
              <w:rPr>
                <w:b/>
                <w:highlight w:val="yellow"/>
                <w:u w:val="single"/>
              </w:rPr>
            </w:pPr>
          </w:p>
        </w:tc>
        <w:tc>
          <w:tcPr>
            <w:tcW w:w="842" w:type="pct"/>
            <w:vMerge w:val="continue"/>
            <w:vAlign w:val="center"/>
          </w:tcPr>
          <w:p w14:paraId="2E2262D6">
            <w:pPr>
              <w:pStyle w:val="75"/>
              <w:rPr>
                <w:highlight w:val="yellow"/>
              </w:rPr>
            </w:pPr>
          </w:p>
        </w:tc>
        <w:tc>
          <w:tcPr>
            <w:tcW w:w="939" w:type="pct"/>
            <w:vMerge w:val="continue"/>
            <w:vAlign w:val="center"/>
          </w:tcPr>
          <w:p w14:paraId="7836729F">
            <w:pPr>
              <w:pStyle w:val="75"/>
              <w:rPr>
                <w:highlight w:val="yellow"/>
              </w:rPr>
            </w:pPr>
          </w:p>
        </w:tc>
        <w:tc>
          <w:tcPr>
            <w:tcW w:w="1423" w:type="pct"/>
            <w:vAlign w:val="center"/>
          </w:tcPr>
          <w:p w14:paraId="5BD83785">
            <w:pPr>
              <w:pStyle w:val="75"/>
              <w:rPr>
                <w:highlight w:val="yellow"/>
              </w:rPr>
            </w:pPr>
            <w:r>
              <w:rPr>
                <w:rFonts w:hint="eastAsia"/>
              </w:rPr>
              <w:t>多层镀500</w:t>
            </w:r>
          </w:p>
        </w:tc>
      </w:tr>
      <w:tr w14:paraId="6C1D246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1B00DC15">
            <w:pPr>
              <w:pStyle w:val="75"/>
              <w:rPr>
                <w:highlight w:val="yellow"/>
              </w:rPr>
            </w:pPr>
          </w:p>
        </w:tc>
        <w:tc>
          <w:tcPr>
            <w:tcW w:w="1385" w:type="pct"/>
            <w:vMerge w:val="restart"/>
            <w:vAlign w:val="center"/>
          </w:tcPr>
          <w:p w14:paraId="0B07E1E1">
            <w:pPr>
              <w:pStyle w:val="75"/>
              <w:jc w:val="left"/>
              <w:rPr>
                <w:highlight w:val="yellow"/>
              </w:rPr>
            </w:pPr>
            <w:r>
              <w:rPr>
                <w:rFonts w:hint="eastAsia"/>
              </w:rPr>
              <w:t>获嘉县同盟污水处理厂收水水质指标</w:t>
            </w:r>
          </w:p>
        </w:tc>
        <w:tc>
          <w:tcPr>
            <w:tcW w:w="842" w:type="pct"/>
            <w:vMerge w:val="restart"/>
            <w:vAlign w:val="center"/>
          </w:tcPr>
          <w:p w14:paraId="48713CD2">
            <w:pPr>
              <w:pStyle w:val="75"/>
            </w:pPr>
            <w:r>
              <w:rPr>
                <w:rFonts w:hint="eastAsia"/>
              </w:rPr>
              <w:t>/</w:t>
            </w:r>
          </w:p>
        </w:tc>
        <w:tc>
          <w:tcPr>
            <w:tcW w:w="939" w:type="pct"/>
            <w:vAlign w:val="center"/>
          </w:tcPr>
          <w:p w14:paraId="3B371417">
            <w:pPr>
              <w:pStyle w:val="75"/>
            </w:pPr>
            <w:r>
              <w:t>COD</w:t>
            </w:r>
          </w:p>
        </w:tc>
        <w:tc>
          <w:tcPr>
            <w:tcW w:w="1423" w:type="pct"/>
            <w:vAlign w:val="center"/>
          </w:tcPr>
          <w:p w14:paraId="4B0A7AFD">
            <w:pPr>
              <w:pStyle w:val="75"/>
            </w:pPr>
            <w:r>
              <w:rPr>
                <w:rFonts w:hint="eastAsia"/>
              </w:rPr>
              <w:t>350</w:t>
            </w:r>
            <w:r>
              <w:t>mg/L</w:t>
            </w:r>
          </w:p>
        </w:tc>
      </w:tr>
      <w:tr w14:paraId="723AF50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350B9F13">
            <w:pPr>
              <w:pStyle w:val="75"/>
              <w:rPr>
                <w:highlight w:val="yellow"/>
              </w:rPr>
            </w:pPr>
          </w:p>
        </w:tc>
        <w:tc>
          <w:tcPr>
            <w:tcW w:w="1385" w:type="pct"/>
            <w:vMerge w:val="continue"/>
            <w:vAlign w:val="center"/>
          </w:tcPr>
          <w:p w14:paraId="19E27359">
            <w:pPr>
              <w:pStyle w:val="75"/>
            </w:pPr>
          </w:p>
        </w:tc>
        <w:tc>
          <w:tcPr>
            <w:tcW w:w="842" w:type="pct"/>
            <w:vMerge w:val="continue"/>
            <w:vAlign w:val="center"/>
          </w:tcPr>
          <w:p w14:paraId="1F6FCFD6">
            <w:pPr>
              <w:pStyle w:val="75"/>
            </w:pPr>
          </w:p>
        </w:tc>
        <w:tc>
          <w:tcPr>
            <w:tcW w:w="939" w:type="pct"/>
            <w:vAlign w:val="center"/>
          </w:tcPr>
          <w:p w14:paraId="1F85088E">
            <w:pPr>
              <w:pStyle w:val="75"/>
            </w:pPr>
            <w:r>
              <w:rPr>
                <w:rFonts w:hint="eastAsia"/>
              </w:rPr>
              <w:t>SS</w:t>
            </w:r>
          </w:p>
        </w:tc>
        <w:tc>
          <w:tcPr>
            <w:tcW w:w="1423" w:type="pct"/>
            <w:vAlign w:val="center"/>
          </w:tcPr>
          <w:p w14:paraId="4DA5F1D2">
            <w:pPr>
              <w:pStyle w:val="75"/>
            </w:pPr>
            <w:r>
              <w:rPr>
                <w:rFonts w:hint="eastAsia"/>
                <w:lang w:val="en-US" w:eastAsia="zh-CN"/>
              </w:rPr>
              <w:t>230</w:t>
            </w:r>
            <w:r>
              <w:t>mg/L</w:t>
            </w:r>
          </w:p>
        </w:tc>
      </w:tr>
      <w:tr w14:paraId="51EF7E4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5AD620E5">
            <w:pPr>
              <w:pStyle w:val="75"/>
              <w:rPr>
                <w:highlight w:val="yellow"/>
              </w:rPr>
            </w:pPr>
          </w:p>
        </w:tc>
        <w:tc>
          <w:tcPr>
            <w:tcW w:w="1385" w:type="pct"/>
            <w:vMerge w:val="continue"/>
            <w:vAlign w:val="center"/>
          </w:tcPr>
          <w:p w14:paraId="63B8E301">
            <w:pPr>
              <w:pStyle w:val="75"/>
              <w:rPr>
                <w:highlight w:val="yellow"/>
              </w:rPr>
            </w:pPr>
          </w:p>
        </w:tc>
        <w:tc>
          <w:tcPr>
            <w:tcW w:w="842" w:type="pct"/>
            <w:vMerge w:val="continue"/>
            <w:vAlign w:val="center"/>
          </w:tcPr>
          <w:p w14:paraId="46E99A32">
            <w:pPr>
              <w:pStyle w:val="75"/>
            </w:pPr>
          </w:p>
        </w:tc>
        <w:tc>
          <w:tcPr>
            <w:tcW w:w="939" w:type="pct"/>
            <w:vAlign w:val="center"/>
          </w:tcPr>
          <w:p w14:paraId="0ACD3B2C">
            <w:pPr>
              <w:pStyle w:val="75"/>
            </w:pPr>
            <w:r>
              <w:t>NH</w:t>
            </w:r>
            <w:r>
              <w:rPr>
                <w:vertAlign w:val="subscript"/>
              </w:rPr>
              <w:t>3</w:t>
            </w:r>
            <w:r>
              <w:t>-N</w:t>
            </w:r>
          </w:p>
        </w:tc>
        <w:tc>
          <w:tcPr>
            <w:tcW w:w="1423" w:type="pct"/>
            <w:vAlign w:val="center"/>
          </w:tcPr>
          <w:p w14:paraId="7E63B3A3">
            <w:pPr>
              <w:pStyle w:val="75"/>
            </w:pPr>
            <w:r>
              <w:rPr>
                <w:rFonts w:hint="eastAsia"/>
              </w:rPr>
              <w:t>35</w:t>
            </w:r>
            <w:r>
              <w:t>mg/L</w:t>
            </w:r>
          </w:p>
        </w:tc>
      </w:tr>
      <w:tr w14:paraId="40154E6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6BCD6D8B">
            <w:pPr>
              <w:pStyle w:val="75"/>
              <w:rPr>
                <w:highlight w:val="yellow"/>
              </w:rPr>
            </w:pPr>
          </w:p>
        </w:tc>
        <w:tc>
          <w:tcPr>
            <w:tcW w:w="1385" w:type="pct"/>
            <w:vMerge w:val="continue"/>
            <w:vAlign w:val="center"/>
          </w:tcPr>
          <w:p w14:paraId="42F06D53">
            <w:pPr>
              <w:pStyle w:val="75"/>
              <w:rPr>
                <w:highlight w:val="yellow"/>
              </w:rPr>
            </w:pPr>
          </w:p>
        </w:tc>
        <w:tc>
          <w:tcPr>
            <w:tcW w:w="842" w:type="pct"/>
            <w:vMerge w:val="continue"/>
            <w:vAlign w:val="center"/>
          </w:tcPr>
          <w:p w14:paraId="1C9EDE80">
            <w:pPr>
              <w:pStyle w:val="75"/>
            </w:pPr>
          </w:p>
        </w:tc>
        <w:tc>
          <w:tcPr>
            <w:tcW w:w="939" w:type="pct"/>
            <w:vAlign w:val="center"/>
          </w:tcPr>
          <w:p w14:paraId="15CA83B5">
            <w:pPr>
              <w:pStyle w:val="75"/>
            </w:pPr>
            <w:r>
              <w:rPr>
                <w:rFonts w:hint="eastAsia"/>
              </w:rPr>
              <w:t>TP</w:t>
            </w:r>
          </w:p>
        </w:tc>
        <w:tc>
          <w:tcPr>
            <w:tcW w:w="1423" w:type="pct"/>
            <w:vAlign w:val="center"/>
          </w:tcPr>
          <w:p w14:paraId="152B7ADE">
            <w:pPr>
              <w:pStyle w:val="75"/>
            </w:pPr>
            <w:r>
              <w:rPr>
                <w:rFonts w:hint="eastAsia"/>
                <w:lang w:val="en-US" w:eastAsia="zh-CN"/>
              </w:rPr>
              <w:t>3.5</w:t>
            </w:r>
            <w:r>
              <w:t>mg/L</w:t>
            </w:r>
          </w:p>
        </w:tc>
      </w:tr>
      <w:tr w14:paraId="24600E2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0C6D57EE">
            <w:pPr>
              <w:pStyle w:val="75"/>
              <w:rPr>
                <w:highlight w:val="yellow"/>
              </w:rPr>
            </w:pPr>
          </w:p>
        </w:tc>
        <w:tc>
          <w:tcPr>
            <w:tcW w:w="1385" w:type="pct"/>
            <w:vMerge w:val="continue"/>
            <w:vAlign w:val="center"/>
          </w:tcPr>
          <w:p w14:paraId="59D2F3C4">
            <w:pPr>
              <w:pStyle w:val="75"/>
              <w:rPr>
                <w:highlight w:val="yellow"/>
              </w:rPr>
            </w:pPr>
          </w:p>
        </w:tc>
        <w:tc>
          <w:tcPr>
            <w:tcW w:w="842" w:type="pct"/>
            <w:vMerge w:val="continue"/>
            <w:vAlign w:val="center"/>
          </w:tcPr>
          <w:p w14:paraId="0CDE89C9">
            <w:pPr>
              <w:pStyle w:val="75"/>
            </w:pPr>
          </w:p>
        </w:tc>
        <w:tc>
          <w:tcPr>
            <w:tcW w:w="939" w:type="pct"/>
            <w:vAlign w:val="center"/>
          </w:tcPr>
          <w:p w14:paraId="5058A6DB">
            <w:pPr>
              <w:pStyle w:val="75"/>
              <w:rPr>
                <w:highlight w:val="yellow"/>
              </w:rPr>
            </w:pPr>
            <w:r>
              <w:rPr>
                <w:rFonts w:hint="eastAsia"/>
              </w:rPr>
              <w:t>TN</w:t>
            </w:r>
          </w:p>
        </w:tc>
        <w:tc>
          <w:tcPr>
            <w:tcW w:w="1423" w:type="pct"/>
            <w:vAlign w:val="center"/>
          </w:tcPr>
          <w:p w14:paraId="7405FA4B">
            <w:pPr>
              <w:pStyle w:val="75"/>
              <w:rPr>
                <w:highlight w:val="yellow"/>
              </w:rPr>
            </w:pPr>
            <w:r>
              <w:rPr>
                <w:rFonts w:hint="eastAsia"/>
                <w:lang w:val="en-US" w:eastAsia="zh-CN"/>
              </w:rPr>
              <w:t>50</w:t>
            </w:r>
            <w:r>
              <w:rPr>
                <w:rFonts w:hint="eastAsia"/>
              </w:rPr>
              <w:t>mg/L</w:t>
            </w:r>
          </w:p>
        </w:tc>
      </w:tr>
      <w:tr w14:paraId="0FE8AA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restart"/>
            <w:vAlign w:val="center"/>
          </w:tcPr>
          <w:p w14:paraId="783D223F">
            <w:pPr>
              <w:pStyle w:val="75"/>
            </w:pPr>
            <w:r>
              <w:t>噪声</w:t>
            </w:r>
          </w:p>
        </w:tc>
        <w:tc>
          <w:tcPr>
            <w:tcW w:w="1385" w:type="pct"/>
            <w:vMerge w:val="restart"/>
            <w:vAlign w:val="center"/>
          </w:tcPr>
          <w:p w14:paraId="5C57D13B">
            <w:pPr>
              <w:pStyle w:val="75"/>
              <w:jc w:val="left"/>
              <w:rPr>
                <w:highlight w:val="yellow"/>
              </w:rPr>
            </w:pPr>
            <w:r>
              <w:t>《工业企业厂界环境噪声排放标准》（GB12348</w:t>
            </w:r>
            <w:r>
              <w:rPr>
                <w:rFonts w:hint="eastAsia"/>
                <w:lang w:val="en-US" w:eastAsia="zh-CN"/>
              </w:rPr>
              <w:t xml:space="preserve"> </w:t>
            </w:r>
            <w:r>
              <w:t>-2008）</w:t>
            </w:r>
          </w:p>
        </w:tc>
        <w:tc>
          <w:tcPr>
            <w:tcW w:w="842" w:type="pct"/>
            <w:vMerge w:val="restart"/>
            <w:vAlign w:val="center"/>
          </w:tcPr>
          <w:p w14:paraId="3002B880">
            <w:pPr>
              <w:pStyle w:val="75"/>
              <w:rPr>
                <w:highlight w:val="yellow"/>
              </w:rPr>
            </w:pPr>
            <w:r>
              <w:rPr>
                <w:rFonts w:hint="eastAsia"/>
              </w:rPr>
              <w:t>3</w:t>
            </w:r>
            <w:r>
              <w:t>类</w:t>
            </w:r>
          </w:p>
        </w:tc>
        <w:tc>
          <w:tcPr>
            <w:tcW w:w="939" w:type="pct"/>
            <w:vMerge w:val="restart"/>
            <w:vAlign w:val="center"/>
          </w:tcPr>
          <w:p w14:paraId="736CC7D6">
            <w:pPr>
              <w:pStyle w:val="75"/>
            </w:pPr>
            <w:r>
              <w:t>噪声</w:t>
            </w:r>
          </w:p>
        </w:tc>
        <w:tc>
          <w:tcPr>
            <w:tcW w:w="1423" w:type="pct"/>
            <w:vAlign w:val="center"/>
          </w:tcPr>
          <w:p w14:paraId="2F3B4591">
            <w:pPr>
              <w:pStyle w:val="75"/>
            </w:pPr>
            <w:r>
              <w:t>昼间6</w:t>
            </w:r>
            <w:r>
              <w:rPr>
                <w:rFonts w:hint="eastAsia"/>
              </w:rPr>
              <w:t>5</w:t>
            </w:r>
            <w:r>
              <w:t>dB(A)</w:t>
            </w:r>
          </w:p>
        </w:tc>
      </w:tr>
      <w:tr w14:paraId="380A35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09" w:type="pct"/>
            <w:vMerge w:val="continue"/>
            <w:vAlign w:val="center"/>
          </w:tcPr>
          <w:p w14:paraId="6BCF02DD">
            <w:pPr>
              <w:pStyle w:val="75"/>
            </w:pPr>
          </w:p>
        </w:tc>
        <w:tc>
          <w:tcPr>
            <w:tcW w:w="1385" w:type="pct"/>
            <w:vMerge w:val="continue"/>
            <w:vAlign w:val="center"/>
          </w:tcPr>
          <w:p w14:paraId="7FADC6F3">
            <w:pPr>
              <w:pStyle w:val="75"/>
              <w:rPr>
                <w:highlight w:val="yellow"/>
              </w:rPr>
            </w:pPr>
          </w:p>
        </w:tc>
        <w:tc>
          <w:tcPr>
            <w:tcW w:w="842" w:type="pct"/>
            <w:vMerge w:val="continue"/>
            <w:vAlign w:val="center"/>
          </w:tcPr>
          <w:p w14:paraId="48B6636B">
            <w:pPr>
              <w:pStyle w:val="75"/>
              <w:rPr>
                <w:highlight w:val="yellow"/>
              </w:rPr>
            </w:pPr>
          </w:p>
        </w:tc>
        <w:tc>
          <w:tcPr>
            <w:tcW w:w="939" w:type="pct"/>
            <w:vMerge w:val="continue"/>
            <w:vAlign w:val="center"/>
          </w:tcPr>
          <w:p w14:paraId="1810E58D">
            <w:pPr>
              <w:pStyle w:val="75"/>
            </w:pPr>
          </w:p>
        </w:tc>
        <w:tc>
          <w:tcPr>
            <w:tcW w:w="1423" w:type="pct"/>
            <w:vAlign w:val="center"/>
          </w:tcPr>
          <w:p w14:paraId="5B43185B">
            <w:pPr>
              <w:pStyle w:val="75"/>
            </w:pPr>
            <w:r>
              <w:t>夜间5</w:t>
            </w:r>
            <w:r>
              <w:rPr>
                <w:rFonts w:hint="eastAsia"/>
              </w:rPr>
              <w:t>5</w:t>
            </w:r>
            <w:r>
              <w:t>dB(A)</w:t>
            </w:r>
          </w:p>
        </w:tc>
      </w:tr>
      <w:tr w14:paraId="50BBA34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09" w:type="pct"/>
            <w:vMerge w:val="restart"/>
            <w:tcMar>
              <w:top w:w="11" w:type="dxa"/>
              <w:left w:w="57" w:type="dxa"/>
              <w:bottom w:w="11" w:type="dxa"/>
              <w:right w:w="57" w:type="dxa"/>
            </w:tcMar>
            <w:vAlign w:val="center"/>
          </w:tcPr>
          <w:p w14:paraId="7AB32C30">
            <w:pPr>
              <w:pStyle w:val="75"/>
            </w:pPr>
            <w:r>
              <w:t>固体</w:t>
            </w:r>
          </w:p>
          <w:p w14:paraId="46B33296">
            <w:pPr>
              <w:pStyle w:val="75"/>
            </w:pPr>
            <w:r>
              <w:t>废物</w:t>
            </w:r>
          </w:p>
        </w:tc>
        <w:tc>
          <w:tcPr>
            <w:tcW w:w="4590" w:type="pct"/>
            <w:gridSpan w:val="4"/>
            <w:vAlign w:val="center"/>
          </w:tcPr>
          <w:p w14:paraId="63A875CA">
            <w:pPr>
              <w:pStyle w:val="75"/>
              <w:jc w:val="left"/>
            </w:pPr>
            <w:r>
              <w:rPr>
                <w:rFonts w:hint="eastAsia"/>
              </w:rPr>
              <w:t>《一般工业固体废物贮存和填埋污染控制标准》（GB18599-2020）中防渗漏、防雨淋、防扬尘等环境保护要求</w:t>
            </w:r>
          </w:p>
        </w:tc>
      </w:tr>
      <w:tr w14:paraId="4137BD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09" w:type="pct"/>
            <w:vMerge w:val="continue"/>
            <w:tcMar>
              <w:top w:w="11" w:type="dxa"/>
              <w:left w:w="57" w:type="dxa"/>
              <w:bottom w:w="11" w:type="dxa"/>
              <w:right w:w="57" w:type="dxa"/>
            </w:tcMar>
            <w:vAlign w:val="center"/>
          </w:tcPr>
          <w:p w14:paraId="49745714">
            <w:pPr>
              <w:pStyle w:val="75"/>
              <w:rPr>
                <w:highlight w:val="yellow"/>
              </w:rPr>
            </w:pPr>
          </w:p>
        </w:tc>
        <w:tc>
          <w:tcPr>
            <w:tcW w:w="4590" w:type="pct"/>
            <w:gridSpan w:val="4"/>
            <w:vAlign w:val="center"/>
          </w:tcPr>
          <w:p w14:paraId="0F3D6426">
            <w:pPr>
              <w:pStyle w:val="75"/>
            </w:pPr>
            <w:r>
              <w:t>《危险废物贮存污染控制标准》</w:t>
            </w:r>
            <w:r>
              <w:rPr>
                <w:rFonts w:hint="eastAsia"/>
              </w:rPr>
              <w:t>（</w:t>
            </w:r>
            <w:r>
              <w:t>GB18597-</w:t>
            </w:r>
            <w:r>
              <w:rPr>
                <w:rFonts w:hint="eastAsia"/>
              </w:rPr>
              <w:t>2023）</w:t>
            </w:r>
          </w:p>
        </w:tc>
      </w:tr>
      <w:bookmarkEnd w:id="166"/>
      <w:bookmarkEnd w:id="167"/>
      <w:bookmarkEnd w:id="168"/>
    </w:tbl>
    <w:p w14:paraId="5CF1686C">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69" w:name="_Toc4987294"/>
      <w:bookmarkStart w:id="170" w:name="_Toc26088936"/>
      <w:bookmarkStart w:id="171" w:name="_Toc17707128"/>
      <w:bookmarkStart w:id="172" w:name="_Toc501437866"/>
      <w:bookmarkStart w:id="173" w:name="_Toc310408257"/>
      <w:bookmarkStart w:id="174" w:name="_Toc428286802"/>
      <w:bookmarkStart w:id="175" w:name="_Toc428287196"/>
      <w:bookmarkStart w:id="176" w:name="_Toc12437"/>
      <w:bookmarkStart w:id="177" w:name="_Toc2058"/>
      <w:bookmarkStart w:id="178" w:name="_Toc426019294"/>
      <w:bookmarkStart w:id="179" w:name="_Toc429318394"/>
      <w:r>
        <w:rPr>
          <w:rFonts w:hint="eastAsia" w:ascii="Times New Roman" w:hAnsi="Times New Roman" w:eastAsia="宋体" w:cs="Times New Roman"/>
          <w:lang w:val="en-US" w:eastAsia="zh-CN"/>
        </w:rPr>
        <w:t>2.9环境保护</w:t>
      </w:r>
      <w:bookmarkEnd w:id="169"/>
      <w:bookmarkEnd w:id="170"/>
      <w:bookmarkEnd w:id="171"/>
      <w:bookmarkEnd w:id="172"/>
      <w:r>
        <w:rPr>
          <w:rFonts w:hint="eastAsia" w:ascii="Times New Roman" w:hAnsi="Times New Roman" w:eastAsia="宋体" w:cs="Times New Roman"/>
          <w:lang w:val="en-US" w:eastAsia="zh-CN"/>
        </w:rPr>
        <w:t>责任目标</w:t>
      </w:r>
      <w:bookmarkEnd w:id="173"/>
      <w:bookmarkEnd w:id="174"/>
      <w:bookmarkEnd w:id="175"/>
      <w:bookmarkEnd w:id="176"/>
      <w:bookmarkEnd w:id="177"/>
      <w:bookmarkEnd w:id="178"/>
      <w:bookmarkEnd w:id="179"/>
    </w:p>
    <w:p w14:paraId="343FF1F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80" w:name="_Toc428286803"/>
      <w:bookmarkStart w:id="181" w:name="_Toc108122346"/>
      <w:bookmarkStart w:id="182" w:name="_Toc428287197"/>
      <w:bookmarkStart w:id="183" w:name="_Toc428287549"/>
      <w:r>
        <w:rPr>
          <w:rFonts w:hint="eastAsia" w:ascii="Times New Roman" w:hAnsi="Times New Roman" w:cs="Times New Roman"/>
          <w:lang w:val="en-US" w:eastAsia="zh-CN"/>
        </w:rPr>
        <w:t>2.9.1地表水环境质量目标</w:t>
      </w:r>
      <w:bookmarkEnd w:id="180"/>
      <w:bookmarkEnd w:id="181"/>
      <w:bookmarkEnd w:id="182"/>
      <w:bookmarkEnd w:id="183"/>
    </w:p>
    <w:p w14:paraId="160CF962">
      <w:pPr>
        <w:pStyle w:val="72"/>
        <w:keepNext w:val="0"/>
        <w:keepLines w:val="0"/>
        <w:pageBreakBefore w:val="0"/>
        <w:widowControl w:val="0"/>
        <w:kinsoku/>
        <w:wordWrap/>
        <w:overflowPunct/>
        <w:topLinePunct w:val="0"/>
        <w:autoSpaceDE/>
        <w:autoSpaceDN/>
        <w:bidi w:val="0"/>
      </w:pPr>
      <w:bookmarkStart w:id="184" w:name="_Toc428286804"/>
      <w:bookmarkStart w:id="185" w:name="_Toc428287550"/>
      <w:bookmarkStart w:id="186" w:name="_Toc428287198"/>
      <w:r>
        <w:rPr>
          <w:rFonts w:hint="eastAsia"/>
        </w:rPr>
        <w:t>本项目废水排入获嘉县同盟污水处理厂处理，纳污水体为</w:t>
      </w:r>
      <w:r>
        <w:rPr>
          <w:rFonts w:hint="eastAsia"/>
          <w:lang w:val="en-US" w:eastAsia="zh-CN"/>
        </w:rPr>
        <w:t>共产主义渠</w:t>
      </w:r>
      <w:r>
        <w:rPr>
          <w:rFonts w:hint="eastAsia"/>
          <w:lang w:eastAsia="zh-CN"/>
        </w:rPr>
        <w:t>，</w:t>
      </w:r>
      <w:r>
        <w:t>距离获嘉县同盟污水处理厂排污口下游最近的断面为共</w:t>
      </w:r>
      <w:r>
        <w:rPr>
          <w:rFonts w:hint="eastAsia"/>
          <w:lang w:val="en-US" w:eastAsia="zh-CN"/>
        </w:rPr>
        <w:t>产主义</w:t>
      </w:r>
      <w:r>
        <w:t>渠西永康断面</w:t>
      </w:r>
      <w:r>
        <w:rPr>
          <w:rFonts w:hint="eastAsia"/>
          <w:lang w:eastAsia="zh-CN"/>
        </w:rPr>
        <w:t>，</w:t>
      </w:r>
      <w:r>
        <w:rPr>
          <w:rFonts w:hint="eastAsia"/>
        </w:rPr>
        <w:t>根据《新乡市生态环境局关于印发</w:t>
      </w:r>
      <w:r>
        <w:rPr>
          <w:rFonts w:hint="eastAsia"/>
          <w:lang w:val="en-US" w:eastAsia="zh-CN"/>
        </w:rPr>
        <w:t>2025</w:t>
      </w:r>
      <w:r>
        <w:rPr>
          <w:rFonts w:hint="eastAsia"/>
        </w:rPr>
        <w:t>年地表水环境质量目标的函》，共产主义渠西永康断面属于新乡市市控责任目标断面，执行IV类标准。</w:t>
      </w:r>
    </w:p>
    <w:p w14:paraId="72A8C53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2.9-1</w:t>
      </w:r>
      <w:r>
        <w:rPr>
          <w:rFonts w:hint="eastAsia"/>
        </w:rPr>
        <w:t xml:space="preserve">     断面控制目标值</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370"/>
        <w:gridCol w:w="1220"/>
        <w:gridCol w:w="1247"/>
        <w:gridCol w:w="1227"/>
        <w:gridCol w:w="2094"/>
      </w:tblGrid>
      <w:tr w14:paraId="265F6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vMerge w:val="restart"/>
            <w:vAlign w:val="center"/>
          </w:tcPr>
          <w:p w14:paraId="71432847">
            <w:pPr>
              <w:pStyle w:val="81"/>
              <w:rPr>
                <w:color w:val="auto"/>
              </w:rPr>
            </w:pPr>
            <w:r>
              <w:rPr>
                <w:color w:val="auto"/>
              </w:rPr>
              <w:t>断面名称</w:t>
            </w:r>
          </w:p>
        </w:tc>
        <w:tc>
          <w:tcPr>
            <w:tcW w:w="803" w:type="pct"/>
            <w:vMerge w:val="restart"/>
            <w:vAlign w:val="center"/>
          </w:tcPr>
          <w:p w14:paraId="386D19A3">
            <w:pPr>
              <w:pStyle w:val="81"/>
              <w:rPr>
                <w:rFonts w:hint="eastAsia" w:eastAsia="宋体"/>
                <w:color w:val="auto"/>
                <w:lang w:eastAsia="zh-CN"/>
              </w:rPr>
            </w:pPr>
            <w:r>
              <w:rPr>
                <w:color w:val="auto"/>
              </w:rPr>
              <w:t>所属</w:t>
            </w:r>
            <w:r>
              <w:rPr>
                <w:rFonts w:hint="eastAsia"/>
                <w:color w:val="auto"/>
                <w:lang w:val="en-US" w:eastAsia="zh-CN"/>
              </w:rPr>
              <w:t>水体</w:t>
            </w:r>
          </w:p>
        </w:tc>
        <w:tc>
          <w:tcPr>
            <w:tcW w:w="2165" w:type="pct"/>
            <w:gridSpan w:val="3"/>
            <w:vAlign w:val="center"/>
          </w:tcPr>
          <w:p w14:paraId="4C7D6725">
            <w:pPr>
              <w:pStyle w:val="81"/>
              <w:rPr>
                <w:color w:val="auto"/>
              </w:rPr>
            </w:pPr>
            <w:r>
              <w:rPr>
                <w:rFonts w:hint="eastAsia"/>
                <w:color w:val="auto"/>
              </w:rPr>
              <w:t>2024</w:t>
            </w:r>
            <w:r>
              <w:rPr>
                <w:color w:val="auto"/>
              </w:rPr>
              <w:t>年控制目标值（mg/L）</w:t>
            </w:r>
          </w:p>
        </w:tc>
        <w:tc>
          <w:tcPr>
            <w:tcW w:w="1227" w:type="pct"/>
            <w:vMerge w:val="restart"/>
            <w:vAlign w:val="center"/>
          </w:tcPr>
          <w:p w14:paraId="01EAC39F">
            <w:pPr>
              <w:pStyle w:val="81"/>
              <w:rPr>
                <w:color w:val="auto"/>
                <w:highlight w:val="yellow"/>
              </w:rPr>
            </w:pPr>
            <w:r>
              <w:rPr>
                <w:color w:val="auto"/>
              </w:rPr>
              <w:t>备注</w:t>
            </w:r>
          </w:p>
        </w:tc>
      </w:tr>
      <w:tr w14:paraId="20CB0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vMerge w:val="continue"/>
            <w:vAlign w:val="center"/>
          </w:tcPr>
          <w:p w14:paraId="343355E3">
            <w:pPr>
              <w:pStyle w:val="81"/>
              <w:rPr>
                <w:color w:val="auto"/>
              </w:rPr>
            </w:pPr>
          </w:p>
        </w:tc>
        <w:tc>
          <w:tcPr>
            <w:tcW w:w="803" w:type="pct"/>
            <w:vMerge w:val="continue"/>
            <w:vAlign w:val="center"/>
          </w:tcPr>
          <w:p w14:paraId="3072B1BE">
            <w:pPr>
              <w:pStyle w:val="81"/>
              <w:rPr>
                <w:color w:val="auto"/>
              </w:rPr>
            </w:pPr>
          </w:p>
        </w:tc>
        <w:tc>
          <w:tcPr>
            <w:tcW w:w="715" w:type="pct"/>
            <w:vAlign w:val="center"/>
          </w:tcPr>
          <w:p w14:paraId="3B199C6B">
            <w:pPr>
              <w:pStyle w:val="81"/>
              <w:rPr>
                <w:color w:val="auto"/>
              </w:rPr>
            </w:pPr>
            <w:r>
              <w:rPr>
                <w:color w:val="auto"/>
              </w:rPr>
              <w:t>COD</w:t>
            </w:r>
          </w:p>
        </w:tc>
        <w:tc>
          <w:tcPr>
            <w:tcW w:w="731" w:type="pct"/>
            <w:vAlign w:val="center"/>
          </w:tcPr>
          <w:p w14:paraId="609278E8">
            <w:pPr>
              <w:pStyle w:val="81"/>
              <w:rPr>
                <w:color w:val="auto"/>
              </w:rPr>
            </w:pPr>
            <w:r>
              <w:rPr>
                <w:color w:val="auto"/>
              </w:rPr>
              <w:t>氨氮</w:t>
            </w:r>
          </w:p>
        </w:tc>
        <w:tc>
          <w:tcPr>
            <w:tcW w:w="718" w:type="pct"/>
            <w:vAlign w:val="center"/>
          </w:tcPr>
          <w:p w14:paraId="6E35336C">
            <w:pPr>
              <w:pStyle w:val="81"/>
              <w:rPr>
                <w:color w:val="auto"/>
              </w:rPr>
            </w:pPr>
            <w:r>
              <w:rPr>
                <w:rFonts w:hint="eastAsia"/>
                <w:color w:val="auto"/>
              </w:rPr>
              <w:t>总磷</w:t>
            </w:r>
          </w:p>
        </w:tc>
        <w:tc>
          <w:tcPr>
            <w:tcW w:w="1227" w:type="pct"/>
            <w:vMerge w:val="continue"/>
            <w:vAlign w:val="center"/>
          </w:tcPr>
          <w:p w14:paraId="0A029998">
            <w:pPr>
              <w:pStyle w:val="81"/>
              <w:rPr>
                <w:color w:val="auto"/>
                <w:highlight w:val="yellow"/>
              </w:rPr>
            </w:pPr>
          </w:p>
        </w:tc>
      </w:tr>
      <w:tr w14:paraId="614E2C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3" w:type="pct"/>
            <w:vAlign w:val="center"/>
          </w:tcPr>
          <w:p w14:paraId="2856FAA6">
            <w:pPr>
              <w:pStyle w:val="75"/>
              <w:rPr>
                <w:rFonts w:hint="eastAsia" w:eastAsia="宋体"/>
                <w:lang w:val="en-US" w:eastAsia="zh-CN"/>
              </w:rPr>
            </w:pPr>
            <w:r>
              <w:rPr>
                <w:rFonts w:hint="eastAsia"/>
                <w:lang w:val="en-US" w:eastAsia="zh-CN"/>
              </w:rPr>
              <w:t>西永康</w:t>
            </w:r>
          </w:p>
        </w:tc>
        <w:tc>
          <w:tcPr>
            <w:tcW w:w="803" w:type="pct"/>
            <w:vAlign w:val="center"/>
          </w:tcPr>
          <w:p w14:paraId="2BDA8181">
            <w:pPr>
              <w:pStyle w:val="75"/>
              <w:rPr>
                <w:rFonts w:hint="default" w:eastAsia="宋体"/>
                <w:lang w:val="en-US" w:eastAsia="zh-CN"/>
              </w:rPr>
            </w:pPr>
            <w:r>
              <w:rPr>
                <w:rFonts w:hint="eastAsia"/>
                <w:lang w:val="en-US" w:eastAsia="zh-CN"/>
              </w:rPr>
              <w:t>共产主义渠</w:t>
            </w:r>
          </w:p>
        </w:tc>
        <w:tc>
          <w:tcPr>
            <w:tcW w:w="715" w:type="pct"/>
            <w:vAlign w:val="center"/>
          </w:tcPr>
          <w:p w14:paraId="78A70B79">
            <w:pPr>
              <w:pStyle w:val="75"/>
            </w:pPr>
            <w:r>
              <w:rPr>
                <w:rFonts w:hint="eastAsia"/>
              </w:rPr>
              <w:t>30</w:t>
            </w:r>
          </w:p>
        </w:tc>
        <w:tc>
          <w:tcPr>
            <w:tcW w:w="731" w:type="pct"/>
            <w:vAlign w:val="center"/>
          </w:tcPr>
          <w:p w14:paraId="3B702A73">
            <w:pPr>
              <w:pStyle w:val="75"/>
            </w:pPr>
            <w:r>
              <w:rPr>
                <w:rFonts w:hint="eastAsia"/>
              </w:rPr>
              <w:t>1.5</w:t>
            </w:r>
          </w:p>
        </w:tc>
        <w:tc>
          <w:tcPr>
            <w:tcW w:w="718" w:type="pct"/>
            <w:vAlign w:val="center"/>
          </w:tcPr>
          <w:p w14:paraId="5919639B">
            <w:pPr>
              <w:pStyle w:val="75"/>
            </w:pPr>
            <w:r>
              <w:rPr>
                <w:rFonts w:hint="eastAsia"/>
              </w:rPr>
              <w:t>0.3</w:t>
            </w:r>
          </w:p>
        </w:tc>
        <w:tc>
          <w:tcPr>
            <w:tcW w:w="1227" w:type="pct"/>
            <w:vAlign w:val="center"/>
          </w:tcPr>
          <w:p w14:paraId="3E0F0561">
            <w:pPr>
              <w:pStyle w:val="75"/>
            </w:pPr>
            <w:r>
              <w:t>责任目标考核断面</w:t>
            </w:r>
          </w:p>
        </w:tc>
      </w:tr>
    </w:tbl>
    <w:p w14:paraId="145C283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87" w:name="_Toc108122347"/>
      <w:r>
        <w:rPr>
          <w:rFonts w:hint="eastAsia" w:ascii="Times New Roman" w:hAnsi="Times New Roman" w:cs="Times New Roman"/>
          <w:lang w:val="en-US" w:eastAsia="zh-CN"/>
        </w:rPr>
        <w:t>2.9.2环境空气</w:t>
      </w:r>
      <w:bookmarkEnd w:id="184"/>
      <w:bookmarkEnd w:id="185"/>
      <w:bookmarkEnd w:id="186"/>
      <w:r>
        <w:rPr>
          <w:rFonts w:hint="eastAsia" w:ascii="Times New Roman" w:hAnsi="Times New Roman" w:cs="Times New Roman"/>
          <w:lang w:val="en-US" w:eastAsia="zh-CN"/>
        </w:rPr>
        <w:t>质量目标</w:t>
      </w:r>
      <w:bookmarkEnd w:id="187"/>
    </w:p>
    <w:p w14:paraId="2E7F065E">
      <w:pPr>
        <w:pStyle w:val="72"/>
      </w:pPr>
      <w:r>
        <w:rPr>
          <w:rFonts w:hint="eastAsia"/>
        </w:rPr>
        <w:t>区域环境空气质量达到国家二级标准。</w:t>
      </w:r>
    </w:p>
    <w:p w14:paraId="5A2415D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88" w:name="_Toc428287551"/>
      <w:bookmarkStart w:id="189" w:name="_Toc428287199"/>
      <w:bookmarkStart w:id="190" w:name="_Toc428286805"/>
      <w:bookmarkStart w:id="191" w:name="_Toc108122348"/>
      <w:r>
        <w:rPr>
          <w:rFonts w:hint="eastAsia" w:ascii="Times New Roman" w:hAnsi="Times New Roman" w:cs="Times New Roman"/>
          <w:lang w:val="en-US" w:eastAsia="zh-CN"/>
        </w:rPr>
        <w:t>2.9.3声环境</w:t>
      </w:r>
      <w:bookmarkEnd w:id="188"/>
      <w:bookmarkEnd w:id="189"/>
      <w:bookmarkEnd w:id="190"/>
      <w:r>
        <w:rPr>
          <w:rFonts w:hint="eastAsia" w:ascii="Times New Roman" w:hAnsi="Times New Roman" w:cs="Times New Roman"/>
          <w:lang w:val="en-US" w:eastAsia="zh-CN"/>
        </w:rPr>
        <w:t>质量目标</w:t>
      </w:r>
      <w:bookmarkEnd w:id="191"/>
    </w:p>
    <w:p w14:paraId="3565F2AE">
      <w:pPr>
        <w:ind w:firstLine="480"/>
        <w:rPr>
          <w:b/>
          <w:bCs/>
          <w:u w:val="single"/>
        </w:rPr>
      </w:pPr>
      <w:r>
        <w:t>按照区域环境功能，项目所在地</w:t>
      </w:r>
      <w:r>
        <w:rPr>
          <w:rFonts w:hint="eastAsia"/>
        </w:rPr>
        <w:t>区域声环境质量达到3类标准</w:t>
      </w:r>
      <w:r>
        <w:t>。</w:t>
      </w:r>
    </w:p>
    <w:p w14:paraId="231BCB7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192" w:name="_Toc108122349"/>
      <w:r>
        <w:rPr>
          <w:rFonts w:hint="eastAsia" w:ascii="Times New Roman" w:hAnsi="Times New Roman" w:cs="Times New Roman"/>
          <w:lang w:val="en-US" w:eastAsia="zh-CN"/>
        </w:rPr>
        <w:t>2.9.4环境质量现状</w:t>
      </w:r>
      <w:bookmarkEnd w:id="192"/>
    </w:p>
    <w:p w14:paraId="4497CEDD">
      <w:pPr>
        <w:ind w:firstLine="480"/>
        <w:rPr>
          <w:rFonts w:hint="eastAsia" w:ascii="Times New Roman" w:hAnsi="Times New Roman" w:eastAsia="宋体" w:cs="Times New Roman"/>
        </w:rPr>
      </w:pPr>
      <w:r>
        <w:rPr>
          <w:rFonts w:hint="eastAsia"/>
        </w:rPr>
        <w:t>环境空气质量：评价区基本污染物（PM</w:t>
      </w:r>
      <w:r>
        <w:rPr>
          <w:rFonts w:hint="eastAsia"/>
          <w:vertAlign w:val="subscript"/>
        </w:rPr>
        <w:t>10</w:t>
      </w:r>
      <w:r>
        <w:rPr>
          <w:rFonts w:hint="eastAsia"/>
        </w:rPr>
        <w:t>、PM</w:t>
      </w:r>
      <w:r>
        <w:rPr>
          <w:rFonts w:hint="eastAsia"/>
          <w:vertAlign w:val="subscript"/>
        </w:rPr>
        <w:t>2.5</w:t>
      </w:r>
      <w:r>
        <w:rPr>
          <w:rFonts w:hint="eastAsia"/>
        </w:rPr>
        <w:t>、O</w:t>
      </w:r>
      <w:r>
        <w:rPr>
          <w:rFonts w:hint="eastAsia"/>
          <w:vertAlign w:val="subscript"/>
        </w:rPr>
        <w:t>3</w:t>
      </w:r>
      <w:r>
        <w:rPr>
          <w:rFonts w:hint="eastAsia"/>
        </w:rPr>
        <w:t>、S</w:t>
      </w:r>
      <w:r>
        <w:t>O</w:t>
      </w:r>
      <w:r>
        <w:rPr>
          <w:rFonts w:hint="eastAsia"/>
          <w:vertAlign w:val="subscript"/>
        </w:rPr>
        <w:t>2</w:t>
      </w:r>
      <w:r>
        <w:rPr>
          <w:rFonts w:hint="eastAsia"/>
        </w:rPr>
        <w:t>、N</w:t>
      </w:r>
      <w:r>
        <w:t>O</w:t>
      </w:r>
      <w:r>
        <w:rPr>
          <w:rFonts w:hint="eastAsia"/>
          <w:vertAlign w:val="subscript"/>
        </w:rPr>
        <w:t>2</w:t>
      </w:r>
      <w:r>
        <w:rPr>
          <w:rFonts w:hint="eastAsia"/>
        </w:rPr>
        <w:t>、C</w:t>
      </w:r>
      <w:r>
        <w:t>O</w:t>
      </w:r>
      <w:r>
        <w:rPr>
          <w:rFonts w:hint="eastAsia"/>
        </w:rPr>
        <w:t>）中PM</w:t>
      </w:r>
      <w:r>
        <w:rPr>
          <w:rFonts w:hint="eastAsia"/>
          <w:vertAlign w:val="subscript"/>
        </w:rPr>
        <w:t>10</w:t>
      </w:r>
      <w:r>
        <w:rPr>
          <w:rFonts w:hint="eastAsia"/>
        </w:rPr>
        <w:t>、PM</w:t>
      </w:r>
      <w:r>
        <w:rPr>
          <w:rFonts w:hint="eastAsia"/>
          <w:vertAlign w:val="subscript"/>
        </w:rPr>
        <w:t>2.5</w:t>
      </w:r>
      <w:r>
        <w:rPr>
          <w:rFonts w:hint="eastAsia"/>
        </w:rPr>
        <w:t>、O</w:t>
      </w:r>
      <w:r>
        <w:rPr>
          <w:rFonts w:hint="eastAsia"/>
          <w:vertAlign w:val="subscript"/>
        </w:rPr>
        <w:t>3</w:t>
      </w:r>
      <w:r>
        <w:rPr>
          <w:rFonts w:hint="eastAsia"/>
        </w:rPr>
        <w:t>环境质量现状监测结果不能满足《环境空气质量标准》（GB3095-2012）二级标准要求，属于不达标区；其他污染物：</w:t>
      </w:r>
      <w:r>
        <w:rPr>
          <w:rFonts w:hint="eastAsia" w:ascii="Times New Roman" w:hAnsi="Times New Roman" w:eastAsia="宋体" w:cs="Times New Roman"/>
        </w:rPr>
        <w:t>硫酸雾、H</w:t>
      </w:r>
      <w:r>
        <w:rPr>
          <w:rFonts w:hint="eastAsia" w:ascii="Times New Roman" w:hAnsi="Times New Roman" w:eastAsia="宋体" w:cs="Times New Roman"/>
          <w:vertAlign w:val="subscript"/>
        </w:rPr>
        <w:t>2</w:t>
      </w:r>
      <w:r>
        <w:rPr>
          <w:rFonts w:hint="eastAsia" w:ascii="Times New Roman" w:hAnsi="Times New Roman" w:eastAsia="宋体" w:cs="Times New Roman"/>
        </w:rPr>
        <w:t>S和NH</w:t>
      </w:r>
      <w:r>
        <w:rPr>
          <w:rFonts w:hint="eastAsia" w:ascii="Times New Roman" w:hAnsi="Times New Roman" w:eastAsia="宋体" w:cs="Times New Roman"/>
          <w:vertAlign w:val="subscript"/>
        </w:rPr>
        <w:t>3</w:t>
      </w:r>
      <w:r>
        <w:rPr>
          <w:rFonts w:hint="eastAsia" w:ascii="Times New Roman" w:hAnsi="Times New Roman" w:eastAsia="宋体" w:cs="Times New Roman"/>
        </w:rPr>
        <w:t>环境质量现状能满足《环境影响评价技术导则  大气环境》（HJ2.2-2018）附录D的限值要求；NO</w:t>
      </w:r>
      <w:r>
        <w:rPr>
          <w:rFonts w:hint="eastAsia" w:cs="Times New Roman"/>
          <w:vertAlign w:val="subscript"/>
          <w:lang w:val="en-US" w:eastAsia="zh-CN"/>
        </w:rPr>
        <w:t>X</w:t>
      </w:r>
      <w:r>
        <w:rPr>
          <w:rFonts w:hint="eastAsia" w:ascii="Times New Roman" w:hAnsi="Times New Roman" w:eastAsia="宋体" w:cs="Times New Roman"/>
        </w:rPr>
        <w:t>环境质量现状能满足《环境空气质量标准》（GB3095-2012）二级标准要求；臭气浓度满足环境空气质量要求。</w:t>
      </w:r>
    </w:p>
    <w:p w14:paraId="2C1F40A9">
      <w:pPr>
        <w:ind w:firstLine="480"/>
        <w:rPr>
          <w:rFonts w:hint="eastAsia"/>
        </w:rPr>
      </w:pPr>
      <w:r>
        <w:rPr>
          <w:rFonts w:hint="eastAsia"/>
        </w:rPr>
        <w:t>地表水环境：经调查，获嘉县同盟污水处理厂现状纳污水体为</w:t>
      </w:r>
      <w:r>
        <w:rPr>
          <w:rFonts w:hint="eastAsia"/>
          <w:lang w:val="en-US" w:eastAsia="zh-CN"/>
        </w:rPr>
        <w:t>共产主义渠</w:t>
      </w:r>
      <w:r>
        <w:rPr>
          <w:rFonts w:hint="eastAsia"/>
        </w:rPr>
        <w:t>，距离排污口下游最近的断面为</w:t>
      </w:r>
      <w:r>
        <w:rPr>
          <w:rFonts w:hint="eastAsia"/>
          <w:lang w:val="en-US" w:eastAsia="zh-CN"/>
        </w:rPr>
        <w:t>共产主义渠西永康断面</w:t>
      </w:r>
      <w:r>
        <w:rPr>
          <w:rFonts w:hint="eastAsia"/>
        </w:rPr>
        <w:t>。根据新乡市地表水环境责任目标断面水质年报，共产主义西永康断面2024年监测数据年1~</w:t>
      </w:r>
      <w:r>
        <w:rPr>
          <w:rFonts w:hint="eastAsia"/>
          <w:lang w:val="en-US" w:eastAsia="zh-CN"/>
        </w:rPr>
        <w:t>12</w:t>
      </w:r>
      <w:r>
        <w:rPr>
          <w:rFonts w:hint="eastAsia"/>
        </w:rPr>
        <w:t>均值见下表。</w:t>
      </w:r>
    </w:p>
    <w:p w14:paraId="48A67FC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eastAsia"/>
        </w:rPr>
        <w:t>表</w:t>
      </w:r>
      <w:r>
        <w:rPr>
          <w:rFonts w:hint="eastAsia"/>
          <w:lang w:val="en-US" w:eastAsia="zh-CN"/>
        </w:rPr>
        <w:t>2.9-2</w:t>
      </w:r>
      <w:r>
        <w:rPr>
          <w:rFonts w:hint="eastAsia"/>
        </w:rPr>
        <w:t xml:space="preserve">    </w:t>
      </w:r>
      <w:r>
        <w:rPr>
          <w:rFonts w:hint="default"/>
        </w:rPr>
        <w:t>共产主义西永康断面监测数据（2024年1~</w:t>
      </w:r>
      <w:r>
        <w:rPr>
          <w:rFonts w:hint="eastAsia"/>
          <w:lang w:val="en-US" w:eastAsia="zh-CN"/>
        </w:rPr>
        <w:t>12</w:t>
      </w:r>
      <w:r>
        <w:rPr>
          <w:rFonts w:hint="default"/>
        </w:rPr>
        <w:t>月）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2279"/>
        <w:gridCol w:w="2150"/>
        <w:gridCol w:w="1989"/>
      </w:tblGrid>
      <w:tr w14:paraId="6BC36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10" w:type="dxa"/>
            <w:tcBorders>
              <w:tl2br w:val="nil"/>
              <w:tr2bl w:val="nil"/>
            </w:tcBorders>
            <w:vAlign w:val="center"/>
          </w:tcPr>
          <w:p w14:paraId="6BC36E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sz w:val="21"/>
                <w:szCs w:val="21"/>
              </w:rPr>
            </w:pPr>
            <w:r>
              <w:rPr>
                <w:b/>
                <w:sz w:val="21"/>
                <w:szCs w:val="21"/>
              </w:rPr>
              <w:t>监测因子</w:t>
            </w:r>
          </w:p>
        </w:tc>
        <w:tc>
          <w:tcPr>
            <w:tcW w:w="2279" w:type="dxa"/>
            <w:tcBorders>
              <w:tl2br w:val="nil"/>
              <w:tr2bl w:val="nil"/>
            </w:tcBorders>
            <w:vAlign w:val="center"/>
          </w:tcPr>
          <w:p w14:paraId="6BC36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sz w:val="21"/>
                <w:szCs w:val="21"/>
              </w:rPr>
            </w:pPr>
            <w:r>
              <w:rPr>
                <w:b/>
                <w:sz w:val="21"/>
                <w:szCs w:val="21"/>
              </w:rPr>
              <w:t>COD</w:t>
            </w:r>
          </w:p>
        </w:tc>
        <w:tc>
          <w:tcPr>
            <w:tcW w:w="2150" w:type="dxa"/>
            <w:tcBorders>
              <w:tl2br w:val="nil"/>
              <w:tr2bl w:val="nil"/>
            </w:tcBorders>
            <w:vAlign w:val="center"/>
          </w:tcPr>
          <w:p w14:paraId="6BC36E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sz w:val="21"/>
                <w:szCs w:val="21"/>
              </w:rPr>
            </w:pPr>
            <w:r>
              <w:rPr>
                <w:b/>
                <w:sz w:val="21"/>
                <w:szCs w:val="21"/>
              </w:rPr>
              <w:t>NH</w:t>
            </w:r>
            <w:r>
              <w:rPr>
                <w:b/>
                <w:sz w:val="21"/>
                <w:szCs w:val="21"/>
                <w:vertAlign w:val="subscript"/>
              </w:rPr>
              <w:t>3</w:t>
            </w:r>
            <w:r>
              <w:rPr>
                <w:b/>
                <w:sz w:val="21"/>
                <w:szCs w:val="21"/>
              </w:rPr>
              <w:t>-N</w:t>
            </w:r>
          </w:p>
        </w:tc>
        <w:tc>
          <w:tcPr>
            <w:tcW w:w="1989" w:type="dxa"/>
            <w:tcBorders>
              <w:tl2br w:val="nil"/>
              <w:tr2bl w:val="nil"/>
            </w:tcBorders>
            <w:vAlign w:val="center"/>
          </w:tcPr>
          <w:p w14:paraId="6BC36E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sz w:val="21"/>
                <w:szCs w:val="21"/>
              </w:rPr>
            </w:pPr>
            <w:r>
              <w:rPr>
                <w:b/>
                <w:sz w:val="21"/>
                <w:szCs w:val="21"/>
              </w:rPr>
              <w:t>TP</w:t>
            </w:r>
          </w:p>
        </w:tc>
      </w:tr>
      <w:tr w14:paraId="6BC36E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10" w:type="dxa"/>
            <w:tcBorders>
              <w:tl2br w:val="nil"/>
              <w:tr2bl w:val="nil"/>
            </w:tcBorders>
            <w:vAlign w:val="center"/>
          </w:tcPr>
          <w:p w14:paraId="6BC36E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监测数据</w:t>
            </w:r>
          </w:p>
        </w:tc>
        <w:tc>
          <w:tcPr>
            <w:tcW w:w="2279" w:type="dxa"/>
            <w:tcBorders>
              <w:tl2br w:val="nil"/>
              <w:tr2bl w:val="nil"/>
            </w:tcBorders>
            <w:vAlign w:val="center"/>
          </w:tcPr>
          <w:p w14:paraId="6BC36E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eastAsia="宋体"/>
                <w:sz w:val="21"/>
                <w:szCs w:val="21"/>
                <w:lang w:val="en-US" w:eastAsia="zh-CN"/>
              </w:rPr>
            </w:pPr>
            <w:r>
              <w:rPr>
                <w:rFonts w:hint="eastAsia"/>
                <w:sz w:val="21"/>
                <w:szCs w:val="21"/>
                <w:lang w:val="en-US" w:eastAsia="zh-CN"/>
              </w:rPr>
              <w:t>4.1</w:t>
            </w:r>
          </w:p>
        </w:tc>
        <w:tc>
          <w:tcPr>
            <w:tcW w:w="2150" w:type="dxa"/>
            <w:tcBorders>
              <w:tl2br w:val="nil"/>
              <w:tr2bl w:val="nil"/>
            </w:tcBorders>
            <w:vAlign w:val="center"/>
          </w:tcPr>
          <w:p w14:paraId="6BC36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eastAsia="宋体"/>
                <w:sz w:val="21"/>
                <w:szCs w:val="21"/>
                <w:lang w:val="en-US" w:eastAsia="zh-CN"/>
              </w:rPr>
            </w:pPr>
            <w:r>
              <w:rPr>
                <w:rFonts w:hint="eastAsia"/>
                <w:sz w:val="21"/>
                <w:szCs w:val="21"/>
                <w:lang w:val="en-US" w:eastAsia="zh-CN"/>
              </w:rPr>
              <w:t>0.6</w:t>
            </w:r>
          </w:p>
        </w:tc>
        <w:tc>
          <w:tcPr>
            <w:tcW w:w="1989" w:type="dxa"/>
            <w:tcBorders>
              <w:tl2br w:val="nil"/>
              <w:tr2bl w:val="nil"/>
            </w:tcBorders>
            <w:vAlign w:val="center"/>
          </w:tcPr>
          <w:p w14:paraId="6BC36E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eastAsia="宋体"/>
                <w:sz w:val="21"/>
                <w:szCs w:val="21"/>
                <w:lang w:val="en-US" w:eastAsia="zh-CN"/>
              </w:rPr>
            </w:pPr>
            <w:r>
              <w:rPr>
                <w:rFonts w:hint="eastAsia"/>
                <w:sz w:val="21"/>
                <w:szCs w:val="21"/>
                <w:lang w:val="en-US" w:eastAsia="zh-CN"/>
              </w:rPr>
              <w:t>0.18</w:t>
            </w:r>
          </w:p>
        </w:tc>
      </w:tr>
      <w:tr w14:paraId="6BC36E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10" w:type="dxa"/>
            <w:tcBorders>
              <w:tl2br w:val="nil"/>
              <w:tr2bl w:val="nil"/>
            </w:tcBorders>
            <w:vAlign w:val="center"/>
          </w:tcPr>
          <w:p w14:paraId="6BC36E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断面标准</w:t>
            </w:r>
          </w:p>
        </w:tc>
        <w:tc>
          <w:tcPr>
            <w:tcW w:w="2279" w:type="dxa"/>
            <w:tcBorders>
              <w:tl2br w:val="nil"/>
              <w:tr2bl w:val="nil"/>
            </w:tcBorders>
            <w:vAlign w:val="center"/>
          </w:tcPr>
          <w:p w14:paraId="6BC36E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30</w:t>
            </w:r>
          </w:p>
        </w:tc>
        <w:tc>
          <w:tcPr>
            <w:tcW w:w="2150" w:type="dxa"/>
            <w:tcBorders>
              <w:tl2br w:val="nil"/>
              <w:tr2bl w:val="nil"/>
            </w:tcBorders>
            <w:vAlign w:val="center"/>
          </w:tcPr>
          <w:p w14:paraId="6BC36E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1.5</w:t>
            </w:r>
          </w:p>
        </w:tc>
        <w:tc>
          <w:tcPr>
            <w:tcW w:w="1989" w:type="dxa"/>
            <w:tcBorders>
              <w:tl2br w:val="nil"/>
              <w:tr2bl w:val="nil"/>
            </w:tcBorders>
            <w:vAlign w:val="center"/>
          </w:tcPr>
          <w:p w14:paraId="6BC36E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0.3</w:t>
            </w:r>
          </w:p>
        </w:tc>
      </w:tr>
      <w:tr w14:paraId="6BC36E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10" w:type="dxa"/>
            <w:tcBorders>
              <w:tl2br w:val="nil"/>
              <w:tr2bl w:val="nil"/>
            </w:tcBorders>
            <w:vAlign w:val="center"/>
          </w:tcPr>
          <w:p w14:paraId="6BC36E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达标情况</w:t>
            </w:r>
          </w:p>
        </w:tc>
        <w:tc>
          <w:tcPr>
            <w:tcW w:w="2279" w:type="dxa"/>
            <w:tcBorders>
              <w:tl2br w:val="nil"/>
              <w:tr2bl w:val="nil"/>
            </w:tcBorders>
            <w:vAlign w:val="center"/>
          </w:tcPr>
          <w:p w14:paraId="6BC36E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达标</w:t>
            </w:r>
          </w:p>
        </w:tc>
        <w:tc>
          <w:tcPr>
            <w:tcW w:w="2150" w:type="dxa"/>
            <w:tcBorders>
              <w:tl2br w:val="nil"/>
              <w:tr2bl w:val="nil"/>
            </w:tcBorders>
            <w:vAlign w:val="center"/>
          </w:tcPr>
          <w:p w14:paraId="6BC36E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达标</w:t>
            </w:r>
          </w:p>
        </w:tc>
        <w:tc>
          <w:tcPr>
            <w:tcW w:w="1989" w:type="dxa"/>
            <w:tcBorders>
              <w:tl2br w:val="nil"/>
              <w:tr2bl w:val="nil"/>
            </w:tcBorders>
            <w:vAlign w:val="center"/>
          </w:tcPr>
          <w:p w14:paraId="6BC36E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达标</w:t>
            </w:r>
          </w:p>
        </w:tc>
      </w:tr>
    </w:tbl>
    <w:p w14:paraId="46354513">
      <w:pPr>
        <w:ind w:firstLine="480"/>
        <w:rPr>
          <w:rFonts w:hint="eastAsia"/>
        </w:rPr>
      </w:pPr>
      <w:r>
        <w:rPr>
          <w:rFonts w:hint="eastAsia"/>
        </w:rPr>
        <w:t>由上表可知，COD、NH</w:t>
      </w:r>
      <w:r>
        <w:rPr>
          <w:rFonts w:hint="eastAsia"/>
          <w:vertAlign w:val="subscript"/>
        </w:rPr>
        <w:t>3</w:t>
      </w:r>
      <w:r>
        <w:rPr>
          <w:rFonts w:hint="eastAsia"/>
        </w:rPr>
        <w:t>-N、TP浓度均达标。</w:t>
      </w:r>
    </w:p>
    <w:p w14:paraId="4841FE33">
      <w:pPr>
        <w:ind w:firstLine="480"/>
      </w:pPr>
      <w:r>
        <w:rPr>
          <w:rFonts w:hint="eastAsia"/>
        </w:rPr>
        <w:t>地下水环境：根据监测结果，评价区地下水pH、耗氧量、氨氮等指标均能满足《地下水质量标准》（GB/T14848-2017）</w:t>
      </w:r>
      <w:r>
        <w:t>Ⅲ</w:t>
      </w:r>
      <w:r>
        <w:rPr>
          <w:rFonts w:hint="eastAsia"/>
        </w:rPr>
        <w:t>类的标准要求。</w:t>
      </w:r>
    </w:p>
    <w:p w14:paraId="26C1C32B">
      <w:pPr>
        <w:ind w:firstLine="480"/>
      </w:pPr>
      <w:r>
        <w:rPr>
          <w:rFonts w:hint="eastAsia"/>
        </w:rPr>
        <w:t>声环境：项目周围声环境质量能达到《声环境质量标准》（GB3096-2008）3类标准。</w:t>
      </w:r>
    </w:p>
    <w:p w14:paraId="4E87E952">
      <w:pPr>
        <w:ind w:firstLine="480"/>
      </w:pPr>
      <w:r>
        <w:rPr>
          <w:rFonts w:hint="eastAsia"/>
        </w:rPr>
        <w:t>土壤环境：项目厂址区域土壤中各监测点位的各监测因子均能满足《土壤环境质量  建设用地土壤污染风险管控标准（试行）》（GB36600-2018）表1、表2第二类用地筛选值要求。</w:t>
      </w:r>
    </w:p>
    <w:p w14:paraId="5D634772">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193" w:name="_Toc17611"/>
      <w:bookmarkStart w:id="194" w:name="_Toc429318392"/>
      <w:bookmarkStart w:id="195" w:name="_Toc428286794"/>
      <w:bookmarkStart w:id="196" w:name="_Toc5214"/>
      <w:bookmarkStart w:id="197" w:name="_Toc428287188"/>
      <w:bookmarkStart w:id="198" w:name="_Toc428286806"/>
      <w:bookmarkStart w:id="199" w:name="_Toc395517229"/>
      <w:bookmarkStart w:id="200" w:name="_Toc417375756"/>
      <w:bookmarkStart w:id="201" w:name="_Toc428287200"/>
      <w:bookmarkStart w:id="202" w:name="_Toc429318395"/>
      <w:r>
        <w:rPr>
          <w:rFonts w:hint="eastAsia" w:ascii="Times New Roman" w:hAnsi="Times New Roman" w:eastAsia="宋体" w:cs="Times New Roman"/>
          <w:lang w:val="en-US" w:eastAsia="zh-CN"/>
        </w:rPr>
        <w:t>2.10规划相符性分析</w:t>
      </w:r>
      <w:bookmarkEnd w:id="193"/>
      <w:bookmarkEnd w:id="194"/>
      <w:bookmarkEnd w:id="195"/>
      <w:bookmarkEnd w:id="196"/>
      <w:bookmarkEnd w:id="197"/>
    </w:p>
    <w:p w14:paraId="44B8BAA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203" w:name="_Toc428287541"/>
      <w:bookmarkStart w:id="204" w:name="_Toc428286795"/>
      <w:bookmarkStart w:id="205" w:name="_Toc428287189"/>
      <w:bookmarkStart w:id="206" w:name="_Toc108122351"/>
      <w:r>
        <w:rPr>
          <w:rFonts w:hint="eastAsia" w:ascii="Times New Roman" w:hAnsi="Times New Roman" w:cs="Times New Roman"/>
          <w:lang w:val="en-US" w:eastAsia="zh-CN"/>
        </w:rPr>
        <w:t>2.10.1《</w:t>
      </w:r>
      <w:bookmarkEnd w:id="203"/>
      <w:bookmarkEnd w:id="204"/>
      <w:bookmarkEnd w:id="205"/>
      <w:r>
        <w:rPr>
          <w:rFonts w:hint="eastAsia" w:ascii="Times New Roman" w:hAnsi="Times New Roman" w:cs="Times New Roman"/>
          <w:lang w:val="en-US" w:eastAsia="zh-CN"/>
        </w:rPr>
        <w:t>新乡市国土空间总体规划（2021-2035年）》</w:t>
      </w:r>
      <w:bookmarkEnd w:id="206"/>
    </w:p>
    <w:p w14:paraId="2AB925BB">
      <w:pPr>
        <w:ind w:firstLine="480"/>
      </w:pPr>
      <w:r>
        <w:rPr>
          <w:rFonts w:hint="eastAsia"/>
        </w:rPr>
        <w:t>《新乡市国土空间总体规划（2021-2035年）》，本项目对《规划》中相关内容进行相符性分析。</w:t>
      </w:r>
    </w:p>
    <w:p w14:paraId="7DDC80A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2.10.1.1规划目标</w:t>
      </w:r>
    </w:p>
    <w:p w14:paraId="0F3FD85E">
      <w:pPr>
        <w:pStyle w:val="72"/>
        <w:rPr>
          <w:highlight w:val="yellow"/>
        </w:rPr>
      </w:pPr>
      <w:r>
        <w:rPr>
          <w:rFonts w:hint="eastAsia"/>
        </w:rPr>
        <w:t>《规划》立足新发展阶段、贯彻新发展理念，坚持以人民为中心的发展思想，走内涵式、集约型、绿色化的高质量发展道路，为加快新乡“两地、三区、一枢纽”建设，引领黄河流域生态保护和高质量发展谱写新时代中原更加出彩的新乡绚丽篇章提供有力支撑和空间保障。</w:t>
      </w:r>
    </w:p>
    <w:p w14:paraId="1F5C380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2.10.1.2城市性质</w:t>
      </w:r>
    </w:p>
    <w:p w14:paraId="2FDE795A">
      <w:pPr>
        <w:pStyle w:val="72"/>
      </w:pPr>
      <w:r>
        <w:rPr>
          <w:rFonts w:hint="eastAsia"/>
        </w:rPr>
        <w:t>国家创新高地、国家先进制造业基地；郑州都市圈北部门户；中原城市群山水宜居名城</w:t>
      </w:r>
      <w:r>
        <w:t>。</w:t>
      </w:r>
    </w:p>
    <w:p w14:paraId="04E2417F">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2.10.1.3人口规模</w:t>
      </w:r>
    </w:p>
    <w:p w14:paraId="23D9648F">
      <w:pPr>
        <w:pStyle w:val="72"/>
      </w:pPr>
      <w:r>
        <w:rPr>
          <w:rFonts w:hint="eastAsia"/>
        </w:rPr>
        <w:t>规划至2035年全市常住人口达到707万人，城镇人口达到530万人。</w:t>
      </w:r>
    </w:p>
    <w:p w14:paraId="0CA1931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2.10.1.4规划范围</w:t>
      </w:r>
    </w:p>
    <w:p w14:paraId="2D94C22E">
      <w:pPr>
        <w:pStyle w:val="72"/>
      </w:pPr>
      <w:r>
        <w:rPr>
          <w:rFonts w:hint="eastAsia"/>
        </w:rPr>
        <w:t>规划面积8291平方公里。</w:t>
      </w:r>
    </w:p>
    <w:p w14:paraId="3EEA3CF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2.10.1.5总体定位</w:t>
      </w:r>
    </w:p>
    <w:p w14:paraId="3B31E344">
      <w:pPr>
        <w:pStyle w:val="72"/>
      </w:pPr>
      <w:r>
        <w:rPr>
          <w:rFonts w:hint="eastAsia"/>
        </w:rPr>
        <w:t>构建“两地、三区、一枢纽”的城市总体定位。</w:t>
      </w:r>
    </w:p>
    <w:p w14:paraId="03E87422">
      <w:pPr>
        <w:pStyle w:val="72"/>
      </w:pPr>
      <w:r>
        <w:rPr>
          <w:rFonts w:hint="eastAsia"/>
        </w:rPr>
        <w:t>两地：国家创新高地、国家先进制造业基地。</w:t>
      </w:r>
    </w:p>
    <w:p w14:paraId="07BBFA52">
      <w:pPr>
        <w:pStyle w:val="72"/>
      </w:pPr>
      <w:r>
        <w:rPr>
          <w:rFonts w:hint="eastAsia"/>
        </w:rPr>
        <w:t>三区：区域一体化发展示范区、缓和流域生态保护和高质量发展引领区、幸福生活共享区。</w:t>
      </w:r>
    </w:p>
    <w:p w14:paraId="517ED795">
      <w:pPr>
        <w:pStyle w:val="72"/>
      </w:pPr>
      <w:r>
        <w:rPr>
          <w:rFonts w:hint="eastAsia"/>
        </w:rPr>
        <w:t>一枢纽：辐射豫北、连接全国的区域性综合交流物流枢纽。</w:t>
      </w:r>
    </w:p>
    <w:p w14:paraId="0A21470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2.10.1.6发展目标</w:t>
      </w:r>
    </w:p>
    <w:p w14:paraId="6FE80841">
      <w:pPr>
        <w:pStyle w:val="72"/>
      </w:pPr>
      <w:r>
        <w:rPr>
          <w:rFonts w:hint="eastAsia"/>
        </w:rPr>
        <w:t>2025年，全面融入郑州都市圈，基础设施支撑能力显著增强，郑新一体化取得实质性突破，城市经济活力、创新能力、品质特色等得到明显提升。</w:t>
      </w:r>
    </w:p>
    <w:p w14:paraId="75D531C5">
      <w:pPr>
        <w:pStyle w:val="72"/>
      </w:pPr>
      <w:r>
        <w:rPr>
          <w:rFonts w:hint="eastAsia"/>
        </w:rPr>
        <w:t>2035年，高水平建成国家创新高地、国家先进制造业基地，辐射豫北、连接全国的区域性综合交通物流枢纽和中原城市群山水宜居名城。</w:t>
      </w:r>
    </w:p>
    <w:p w14:paraId="413BC947">
      <w:pPr>
        <w:pStyle w:val="72"/>
      </w:pPr>
      <w:r>
        <w:rPr>
          <w:rFonts w:hint="eastAsia"/>
        </w:rPr>
        <w:t>2050年，全面建成经济繁荣、社会和谐、生态宜居的现代化城市样板和质量变革、效率变革、动力变革的创新典范。</w:t>
      </w:r>
    </w:p>
    <w:p w14:paraId="6146B60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2.10.2获嘉县产业集聚区总体发展规划（2016-2020）调整方案</w:t>
      </w:r>
    </w:p>
    <w:p w14:paraId="7ECCCAAD">
      <w:pPr>
        <w:ind w:firstLine="480"/>
      </w:pPr>
      <w:r>
        <w:t>《河南省获嘉县产业集聚区发展规划（2009-2020）》于2010年12月31日经河南省发展和改革委员会批复，批复文号为：豫发改工业</w:t>
      </w:r>
      <w:r>
        <w:rPr>
          <w:rFonts w:eastAsia="仿宋"/>
        </w:rPr>
        <w:t>〔2010〕</w:t>
      </w:r>
      <w:r>
        <w:t>2077号；《河南省获嘉县产业集聚区发展规划环境影响报告书》已通过河南省环保厅审查，批复文号为：豫环审</w:t>
      </w:r>
      <w:r>
        <w:rPr>
          <w:rFonts w:eastAsia="仿宋"/>
        </w:rPr>
        <w:t>〔2010〕</w:t>
      </w:r>
      <w:r>
        <w:t>283号。</w:t>
      </w:r>
    </w:p>
    <w:p w14:paraId="2BAD0425">
      <w:pPr>
        <w:ind w:firstLine="480"/>
        <w:rPr>
          <w:szCs w:val="24"/>
        </w:rPr>
      </w:pPr>
      <w:r>
        <w:t>获嘉县产业集聚区于2016年对规划进行调整，根据《河南省发展和改革委员会关于获嘉县产业集聚区总体发展规划的批复》（豫发改工业</w:t>
      </w:r>
      <w:r>
        <w:rPr>
          <w:rFonts w:eastAsia="仿宋"/>
        </w:rPr>
        <w:t>〔2016〕</w:t>
      </w:r>
      <w:r>
        <w:t>594号），同意《获嘉县产业集聚区总体发展规划（2016-2020）》组织实施，《河南省发展和改革委员会关于获嘉县产业集聚区总体发展规划（2009-2020）的批复》（豫发改工业</w:t>
      </w:r>
      <w:r>
        <w:rPr>
          <w:rFonts w:eastAsia="仿宋"/>
        </w:rPr>
        <w:t>〔2010〕</w:t>
      </w:r>
      <w:r>
        <w:t>2077号）废止；《获嘉县产业集聚区总体发展规划（2016-2020）调整方案环境影响报告书》已于2018年8月28日通过了审查小组审查，《获嘉县产业集聚区总体发展规划（2016-2020）调整方案环境影响报告书》经河南省</w:t>
      </w:r>
      <w:r>
        <w:rPr>
          <w:szCs w:val="24"/>
        </w:rPr>
        <w:t>生态环境厅批复，批复文号：豫环函[2019]53号。</w:t>
      </w:r>
    </w:p>
    <w:p w14:paraId="3DDB6A94">
      <w:pPr>
        <w:ind w:firstLine="480"/>
        <w:rPr>
          <w:rFonts w:ascii="Times New Roman" w:hAnsi="Times New Roman" w:eastAsia="宋体" w:cs="Times New Roman"/>
        </w:rPr>
      </w:pPr>
      <w:r>
        <w:rPr>
          <w:rFonts w:hint="eastAsia"/>
          <w:szCs w:val="24"/>
          <w:lang w:val="en-US" w:eastAsia="zh-CN"/>
        </w:rPr>
        <w:t>由于</w:t>
      </w:r>
      <w:r>
        <w:rPr>
          <w:szCs w:val="24"/>
        </w:rPr>
        <w:t>获嘉县产业集聚区总体发展规划（2016-2020）》</w:t>
      </w:r>
      <w:r>
        <w:rPr>
          <w:rFonts w:hint="eastAsia"/>
          <w:szCs w:val="24"/>
          <w:lang w:val="en-US" w:eastAsia="zh-CN"/>
        </w:rPr>
        <w:t>已到期，根据《河南省发</w:t>
      </w:r>
      <w:r>
        <w:rPr>
          <w:rFonts w:hint="eastAsia" w:ascii="Times New Roman" w:hAnsi="Times New Roman" w:eastAsia="宋体" w:cs="Times New Roman"/>
          <w:lang w:val="en-US" w:eastAsia="zh-CN"/>
        </w:rPr>
        <w:t>展和改革委员会关于同意新乡市开发区整合方案的函》（豫发改工业函[2022]24号文件，</w:t>
      </w:r>
      <w:r>
        <w:rPr>
          <w:rFonts w:ascii="Times New Roman" w:hAnsi="Times New Roman" w:eastAsia="宋体" w:cs="Times New Roman"/>
        </w:rPr>
        <w:t>获嘉县产业集聚区</w:t>
      </w:r>
      <w:r>
        <w:rPr>
          <w:rFonts w:hint="eastAsia" w:ascii="Times New Roman" w:hAnsi="Times New Roman" w:eastAsia="宋体" w:cs="Times New Roman"/>
          <w:lang w:val="en-US" w:eastAsia="zh-CN"/>
        </w:rPr>
        <w:t>整合为获嘉县先进制造业开发区，</w:t>
      </w:r>
      <w:r>
        <w:rPr>
          <w:rFonts w:hint="eastAsia" w:ascii="Times New Roman" w:hAnsi="Times New Roman" w:eastAsia="宋体" w:cs="Times New Roman"/>
        </w:rPr>
        <w:t>目前获嘉县先进制造业开发区发展规划（2022-2035年）已由河南慧之扬环保科技有限公司编制，但相应规划环评仍在编制，故本项目仍对照《获嘉县产业集聚区总体发展规划（2016-2020）环境影响跟踪评价报告书》相关内容进行项目符合性分析。</w:t>
      </w:r>
    </w:p>
    <w:p w14:paraId="15404440">
      <w:pPr>
        <w:ind w:firstLine="480"/>
        <w:rPr>
          <w:szCs w:val="24"/>
        </w:rPr>
      </w:pPr>
      <w:bookmarkStart w:id="207" w:name="_Toc508551565"/>
      <w:bookmarkStart w:id="208" w:name="_Toc508096629"/>
      <w:r>
        <w:rPr>
          <w:szCs w:val="24"/>
        </w:rPr>
        <w:t>（一）</w:t>
      </w:r>
      <w:bookmarkEnd w:id="207"/>
      <w:bookmarkEnd w:id="208"/>
      <w:r>
        <w:rPr>
          <w:szCs w:val="24"/>
        </w:rPr>
        <w:t>集聚区位置及用地规模</w:t>
      </w:r>
    </w:p>
    <w:p w14:paraId="585DB355">
      <w:pPr>
        <w:ind w:firstLine="480"/>
        <w:rPr>
          <w:szCs w:val="24"/>
        </w:rPr>
      </w:pPr>
      <w:r>
        <w:rPr>
          <w:szCs w:val="24"/>
        </w:rPr>
        <w:t>调整后的获嘉县产业集聚区分为两个片区：一是北区（即原获嘉县产业集聚区），位于获嘉县城东部和南部；二是南区（即原亢村工业园），位于亢村镇区南部。调整后获嘉县产业集聚区总规划面积为15.99km</w:t>
      </w:r>
      <w:r>
        <w:rPr>
          <w:szCs w:val="24"/>
          <w:vertAlign w:val="superscript"/>
        </w:rPr>
        <w:t>2</w:t>
      </w:r>
      <w:r>
        <w:rPr>
          <w:szCs w:val="24"/>
        </w:rPr>
        <w:t>（建成区7.44km</w:t>
      </w:r>
      <w:r>
        <w:rPr>
          <w:szCs w:val="24"/>
          <w:vertAlign w:val="superscript"/>
        </w:rPr>
        <w:t>2</w:t>
      </w:r>
      <w:r>
        <w:rPr>
          <w:szCs w:val="24"/>
        </w:rPr>
        <w:t>，发展区4.97km</w:t>
      </w:r>
      <w:r>
        <w:rPr>
          <w:szCs w:val="24"/>
          <w:vertAlign w:val="superscript"/>
        </w:rPr>
        <w:t>2</w:t>
      </w:r>
      <w:r>
        <w:rPr>
          <w:szCs w:val="24"/>
        </w:rPr>
        <w:t>，控制区3.58 km</w:t>
      </w:r>
      <w:r>
        <w:rPr>
          <w:szCs w:val="24"/>
          <w:vertAlign w:val="superscript"/>
        </w:rPr>
        <w:t>2</w:t>
      </w:r>
      <w:r>
        <w:rPr>
          <w:szCs w:val="24"/>
        </w:rPr>
        <w:t>）。</w:t>
      </w:r>
    </w:p>
    <w:p w14:paraId="5478C06E">
      <w:pPr>
        <w:ind w:firstLine="480"/>
      </w:pPr>
      <w:bookmarkStart w:id="209" w:name="_Toc508096630"/>
      <w:bookmarkStart w:id="210" w:name="_Toc508551566"/>
      <w:r>
        <w:rPr>
          <w:szCs w:val="24"/>
        </w:rPr>
        <w:t>（二）</w:t>
      </w:r>
      <w:bookmarkEnd w:id="209"/>
      <w:bookmarkEnd w:id="210"/>
      <w:r>
        <w:t>规划范围及规划年限</w:t>
      </w:r>
    </w:p>
    <w:p w14:paraId="78B76AA9">
      <w:pPr>
        <w:ind w:firstLine="480"/>
      </w:pPr>
      <w:r>
        <w:t>规划范围：产业集聚区北区北起新焦公路，南抵仁爱路，西临信义路，东靠东二路，用地面积为10.04km</w:t>
      </w:r>
      <w:r>
        <w:rPr>
          <w:vertAlign w:val="superscript"/>
        </w:rPr>
        <w:t>2</w:t>
      </w:r>
      <w:r>
        <w:t>（建成区2.89km</w:t>
      </w:r>
      <w:r>
        <w:rPr>
          <w:vertAlign w:val="superscript"/>
        </w:rPr>
        <w:t>2</w:t>
      </w:r>
      <w:r>
        <w:t>，</w:t>
      </w:r>
      <w:r>
        <w:rPr>
          <w:rFonts w:hint="eastAsia"/>
          <w:lang w:val="en-US" w:eastAsia="zh-CN"/>
        </w:rPr>
        <w:t>发展区</w:t>
      </w:r>
      <w:r>
        <w:t>3.57km</w:t>
      </w:r>
      <w:r>
        <w:rPr>
          <w:vertAlign w:val="superscript"/>
        </w:rPr>
        <w:t>2</w:t>
      </w:r>
      <w:r>
        <w:t>，控制区3.58 km</w:t>
      </w:r>
      <w:r>
        <w:rPr>
          <w:vertAlign w:val="superscript"/>
        </w:rPr>
        <w:t>2</w:t>
      </w:r>
      <w:r>
        <w:t>）；产业集聚区南区北起京广铁路，南抵纬九路，西临西外环，东至东外环，用地面积为5.95km</w:t>
      </w:r>
      <w:r>
        <w:rPr>
          <w:vertAlign w:val="superscript"/>
        </w:rPr>
        <w:t>2</w:t>
      </w:r>
      <w:r>
        <w:t>（建成区4.55km</w:t>
      </w:r>
      <w:r>
        <w:rPr>
          <w:vertAlign w:val="superscript"/>
        </w:rPr>
        <w:t>2</w:t>
      </w:r>
      <w:r>
        <w:t>，发展区1.40km</w:t>
      </w:r>
      <w:r>
        <w:rPr>
          <w:vertAlign w:val="superscript"/>
        </w:rPr>
        <w:t>2</w:t>
      </w:r>
      <w:r>
        <w:t>）。规划年限：2016至2020年。</w:t>
      </w:r>
    </w:p>
    <w:p w14:paraId="359D7FC4">
      <w:pPr>
        <w:ind w:firstLine="480"/>
      </w:pPr>
      <w:bookmarkStart w:id="211" w:name="_Toc508551567"/>
      <w:bookmarkStart w:id="212" w:name="_Toc508096631"/>
      <w:r>
        <w:rPr>
          <w:szCs w:val="24"/>
        </w:rPr>
        <w:t>（三）</w:t>
      </w:r>
      <w:r>
        <w:t>空间结构规划</w:t>
      </w:r>
    </w:p>
    <w:p w14:paraId="3B5EDB66">
      <w:pPr>
        <w:ind w:firstLine="480"/>
      </w:pPr>
      <w:r>
        <w:t>调整规划后的县产业集聚区分南、北两部分，以薄口公路为发展轴，北区（原获嘉县产业集聚区）以新型建材产业（目前已调整为化学工业）为主导，南区（原亢村专业园区）以现代家居家居产业为主导，形成“一轴两板块、空间一体化”的空间结构。</w:t>
      </w:r>
    </w:p>
    <w:p w14:paraId="082E857B">
      <w:pPr>
        <w:ind w:firstLine="480"/>
      </w:pPr>
      <w:r>
        <w:t>一轴：薄口公路主轴；</w:t>
      </w:r>
    </w:p>
    <w:p w14:paraId="2DA8E58E">
      <w:pPr>
        <w:ind w:firstLine="480"/>
      </w:pPr>
      <w:r>
        <w:t>两板块：获嘉县产业集聚区北部，获嘉县产业集聚区南部。</w:t>
      </w:r>
    </w:p>
    <w:p w14:paraId="6017E94D">
      <w:pPr>
        <w:ind w:firstLine="480"/>
      </w:pPr>
      <w:r>
        <w:t>1、北部空间结构：一带两段，两核两区，四横四纵。</w:t>
      </w:r>
    </w:p>
    <w:p w14:paraId="58595BD6">
      <w:pPr>
        <w:ind w:firstLine="480"/>
      </w:pPr>
      <w:r>
        <w:t>一带两段：生态人文滨河带、同盟文化体验段、滨河生活休闲段；</w:t>
      </w:r>
    </w:p>
    <w:p w14:paraId="3F6C4BC9">
      <w:pPr>
        <w:ind w:firstLine="480"/>
      </w:pPr>
      <w:r>
        <w:t>两核两区：行政商贸核、休闲商贸核、城东产城融合区、城南产城融合区；</w:t>
      </w:r>
    </w:p>
    <w:p w14:paraId="21700053">
      <w:pPr>
        <w:ind w:firstLine="480"/>
      </w:pPr>
      <w:r>
        <w:t>四横四纵：（四横）新获路绿化轴、新焦铁路绿化轴、凤凰大道绿化轴、仁爱路绿化轴；（四纵）信义路绿化轴、薄口公路绿化轴、西三路绿化轴、安王公路绿化轴。</w:t>
      </w:r>
    </w:p>
    <w:p w14:paraId="0B826579">
      <w:pPr>
        <w:ind w:firstLine="480"/>
      </w:pPr>
      <w:r>
        <w:t>2、南部空间结构：一轴、一核、一区。</w:t>
      </w:r>
    </w:p>
    <w:p w14:paraId="2E961FB9">
      <w:pPr>
        <w:ind w:firstLine="480"/>
      </w:pPr>
      <w:r>
        <w:t>一轴：薄口公路城镇发展轴；</w:t>
      </w:r>
    </w:p>
    <w:p w14:paraId="1EB96396">
      <w:pPr>
        <w:ind w:firstLine="480"/>
      </w:pPr>
      <w:r>
        <w:t>一核：南部产业服务核；</w:t>
      </w:r>
    </w:p>
    <w:p w14:paraId="7927BE78">
      <w:pPr>
        <w:ind w:firstLine="480"/>
        <w:rPr>
          <w:szCs w:val="24"/>
        </w:rPr>
      </w:pPr>
      <w:r>
        <w:t>一区：南部工业生产区</w:t>
      </w:r>
    </w:p>
    <w:bookmarkEnd w:id="211"/>
    <w:bookmarkEnd w:id="212"/>
    <w:p w14:paraId="72983358">
      <w:pPr>
        <w:pStyle w:val="79"/>
        <w:spacing w:beforeLines="0" w:afterLines="0" w:line="520" w:lineRule="atLeast"/>
        <w:ind w:firstLine="480" w:firstLineChars="200"/>
        <w:rPr>
          <w:rFonts w:hint="eastAsia" w:cs="宋体"/>
          <w:b w:val="0"/>
          <w:kern w:val="0"/>
          <w:szCs w:val="20"/>
        </w:rPr>
      </w:pPr>
      <w:r>
        <w:rPr>
          <w:rFonts w:hint="eastAsia" w:cs="宋体"/>
          <w:b w:val="0"/>
          <w:kern w:val="0"/>
          <w:szCs w:val="20"/>
        </w:rPr>
        <w:t>（四）准入条件</w:t>
      </w:r>
    </w:p>
    <w:p w14:paraId="6C95E2D7">
      <w:pPr>
        <w:pStyle w:val="79"/>
        <w:spacing w:beforeLines="0" w:afterLines="0" w:line="520" w:lineRule="atLeast"/>
        <w:ind w:firstLine="480" w:firstLineChars="200"/>
        <w:rPr>
          <w:rFonts w:hint="eastAsia" w:cs="宋体"/>
          <w:b w:val="0"/>
          <w:kern w:val="0"/>
          <w:szCs w:val="20"/>
        </w:rPr>
      </w:pPr>
      <w:r>
        <w:rPr>
          <w:rFonts w:hint="eastAsia" w:cs="宋体"/>
          <w:b w:val="0"/>
          <w:kern w:val="0"/>
          <w:szCs w:val="20"/>
        </w:rPr>
        <w:t>根据《获嘉县产业集聚区发展规划（2016-2020）调整方案》，</w:t>
      </w:r>
      <w:r>
        <w:rPr>
          <w:rFonts w:hint="eastAsia" w:cs="宋体"/>
          <w:b w:val="0"/>
          <w:color w:val="000000" w:themeColor="text1"/>
          <w:kern w:val="0"/>
          <w:szCs w:val="20"/>
          <w14:textFill>
            <w14:solidFill>
              <w14:schemeClr w14:val="tx1"/>
            </w14:solidFill>
          </w14:textFill>
        </w:rPr>
        <w:t>项目厂址</w:t>
      </w:r>
      <w:r>
        <w:rPr>
          <w:rFonts w:hint="eastAsia" w:cs="宋体"/>
          <w:b w:val="0"/>
          <w:color w:val="000000" w:themeColor="text1"/>
          <w:kern w:val="0"/>
          <w:szCs w:val="20"/>
          <w:lang w:val="en-US" w:eastAsia="zh-CN"/>
          <w14:textFill>
            <w14:solidFill>
              <w14:schemeClr w14:val="tx1"/>
            </w14:solidFill>
          </w14:textFill>
        </w:rPr>
        <w:t>位于新乡市获嘉县先进制造业开发区安王路与梧桐路交叉口西100米1号</w:t>
      </w:r>
      <w:r>
        <w:rPr>
          <w:rFonts w:hint="eastAsia" w:cs="宋体"/>
          <w:b w:val="0"/>
          <w:color w:val="000000" w:themeColor="text1"/>
          <w:kern w:val="0"/>
          <w:szCs w:val="20"/>
          <w14:textFill>
            <w14:solidFill>
              <w14:schemeClr w14:val="tx1"/>
            </w14:solidFill>
          </w14:textFill>
        </w:rPr>
        <w:t>，</w:t>
      </w:r>
      <w:r>
        <w:rPr>
          <w:rFonts w:hint="eastAsia" w:cs="宋体"/>
          <w:b w:val="0"/>
          <w:color w:val="000000" w:themeColor="text1"/>
          <w:kern w:val="0"/>
          <w:szCs w:val="20"/>
          <w:lang w:val="en-US" w:eastAsia="zh-CN"/>
          <w14:textFill>
            <w14:solidFill>
              <w14:schemeClr w14:val="tx1"/>
            </w14:solidFill>
          </w14:textFill>
        </w:rPr>
        <w:t>属于集聚区北区城东片区，</w:t>
      </w:r>
      <w:r>
        <w:rPr>
          <w:rFonts w:hint="eastAsia" w:cs="宋体"/>
          <w:b w:val="0"/>
          <w:kern w:val="0"/>
          <w:szCs w:val="20"/>
        </w:rPr>
        <w:t>本项目与获嘉县产业集聚区</w:t>
      </w:r>
      <w:r>
        <w:rPr>
          <w:rFonts w:hint="eastAsia" w:cs="宋体"/>
          <w:b w:val="0"/>
          <w:kern w:val="0"/>
          <w:szCs w:val="20"/>
          <w:lang w:val="en-US" w:eastAsia="zh-CN"/>
        </w:rPr>
        <w:t>北区</w:t>
      </w:r>
      <w:r>
        <w:rPr>
          <w:rFonts w:hint="eastAsia" w:cs="宋体"/>
          <w:b w:val="0"/>
          <w:kern w:val="0"/>
          <w:szCs w:val="20"/>
        </w:rPr>
        <w:t>准入条件对比分析如下。</w:t>
      </w:r>
    </w:p>
    <w:p w14:paraId="0B74109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t>表</w:t>
      </w:r>
      <w:r>
        <w:rPr>
          <w:rFonts w:hint="eastAsia"/>
        </w:rPr>
        <w:t>2</w:t>
      </w:r>
      <w:r>
        <w:rPr>
          <w:rFonts w:hint="eastAsia"/>
          <w:lang w:val="en-US" w:eastAsia="zh-CN"/>
        </w:rPr>
        <w:t>.10</w:t>
      </w:r>
      <w:r>
        <w:rPr>
          <w:rFonts w:hint="eastAsia"/>
        </w:rPr>
        <w:t xml:space="preserve">-1  </w:t>
      </w:r>
      <w:r>
        <w:t xml:space="preserve"> </w:t>
      </w:r>
      <w:r>
        <w:rPr>
          <w:rFonts w:hint="eastAsia"/>
        </w:rPr>
        <w:t xml:space="preserve"> 项目集聚区准入条件分析一览表</w:t>
      </w:r>
    </w:p>
    <w:tbl>
      <w:tblPr>
        <w:tblStyle w:val="39"/>
        <w:tblW w:w="852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3"/>
        <w:gridCol w:w="4108"/>
        <w:gridCol w:w="2721"/>
        <w:gridCol w:w="976"/>
      </w:tblGrid>
      <w:tr w14:paraId="01DB429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54" w:hRule="atLeast"/>
          <w:jc w:val="center"/>
        </w:trPr>
        <w:tc>
          <w:tcPr>
            <w:tcW w:w="723" w:type="dxa"/>
            <w:noWrap w:val="0"/>
            <w:vAlign w:val="center"/>
          </w:tcPr>
          <w:p w14:paraId="6A1C419B">
            <w:pPr>
              <w:pStyle w:val="81"/>
              <w:rPr>
                <w:rFonts w:cs="Times New Roman"/>
                <w:color w:val="auto"/>
              </w:rPr>
            </w:pPr>
            <w:r>
              <w:rPr>
                <w:rFonts w:cs="Times New Roman"/>
                <w:color w:val="auto"/>
              </w:rPr>
              <w:t>类别</w:t>
            </w:r>
          </w:p>
        </w:tc>
        <w:tc>
          <w:tcPr>
            <w:tcW w:w="4108" w:type="dxa"/>
            <w:noWrap w:val="0"/>
            <w:vAlign w:val="center"/>
          </w:tcPr>
          <w:p w14:paraId="010E37FE">
            <w:pPr>
              <w:pStyle w:val="81"/>
              <w:rPr>
                <w:rFonts w:cs="Times New Roman"/>
                <w:color w:val="auto"/>
              </w:rPr>
            </w:pPr>
            <w:r>
              <w:rPr>
                <w:rFonts w:cs="Times New Roman"/>
                <w:color w:val="auto"/>
              </w:rPr>
              <w:t>相关条文</w:t>
            </w:r>
          </w:p>
        </w:tc>
        <w:tc>
          <w:tcPr>
            <w:tcW w:w="2721" w:type="dxa"/>
            <w:noWrap w:val="0"/>
            <w:vAlign w:val="center"/>
          </w:tcPr>
          <w:p w14:paraId="74CD67B4">
            <w:pPr>
              <w:pStyle w:val="81"/>
              <w:rPr>
                <w:rFonts w:cs="Times New Roman"/>
                <w:color w:val="auto"/>
              </w:rPr>
            </w:pPr>
            <w:r>
              <w:rPr>
                <w:rFonts w:cs="Times New Roman"/>
                <w:color w:val="auto"/>
              </w:rPr>
              <w:t>本项目情况</w:t>
            </w:r>
          </w:p>
        </w:tc>
        <w:tc>
          <w:tcPr>
            <w:tcW w:w="976" w:type="dxa"/>
            <w:noWrap w:val="0"/>
            <w:vAlign w:val="center"/>
          </w:tcPr>
          <w:p w14:paraId="64F54049">
            <w:pPr>
              <w:pStyle w:val="81"/>
              <w:rPr>
                <w:rFonts w:cs="Times New Roman"/>
                <w:color w:val="auto"/>
              </w:rPr>
            </w:pPr>
            <w:r>
              <w:rPr>
                <w:rFonts w:cs="Times New Roman"/>
                <w:color w:val="auto"/>
              </w:rPr>
              <w:t>相符性</w:t>
            </w:r>
          </w:p>
        </w:tc>
      </w:tr>
      <w:tr w14:paraId="5929B78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3" w:type="dxa"/>
            <w:vMerge w:val="restart"/>
            <w:noWrap w:val="0"/>
            <w:vAlign w:val="center"/>
          </w:tcPr>
          <w:p w14:paraId="1CBA91BA">
            <w:pPr>
              <w:pStyle w:val="75"/>
            </w:pPr>
            <w:r>
              <w:t>环境准入条件</w:t>
            </w:r>
          </w:p>
        </w:tc>
        <w:tc>
          <w:tcPr>
            <w:tcW w:w="4108" w:type="dxa"/>
            <w:noWrap w:val="0"/>
            <w:vAlign w:val="center"/>
          </w:tcPr>
          <w:p w14:paraId="5E0045CB">
            <w:pPr>
              <w:pStyle w:val="75"/>
              <w:ind w:firstLine="105" w:firstLineChars="50"/>
              <w:jc w:val="left"/>
            </w:pPr>
            <w:r>
              <w:t>（1）鼓励产业集聚区北区城南片区发展以新材料为主要发展方向的化工项目，在原化工产业的基础上，积极发展高分子粘合剂、涂料、环保基料，以及先进陶瓷材料。</w:t>
            </w:r>
          </w:p>
          <w:p w14:paraId="56CCBAD7">
            <w:pPr>
              <w:pStyle w:val="75"/>
              <w:ind w:firstLine="420" w:firstLineChars="200"/>
              <w:jc w:val="left"/>
            </w:pPr>
            <w:r>
              <w:t>北区城东片区在原装备制造产业基础上，优先引进科技含量高、污染小、能耗低，生产工艺、设备处于先进水平的项目入区，鼓励集聚区引进以集中喷涂、集中电镀为发展驻方向的项目入驻（建议集中喷涂、集中电镀项目个数分别控制在1~2个）。</w:t>
            </w:r>
          </w:p>
          <w:p w14:paraId="16495A16">
            <w:pPr>
              <w:pStyle w:val="75"/>
              <w:ind w:firstLine="420" w:firstLineChars="200"/>
              <w:jc w:val="left"/>
            </w:pPr>
            <w:r>
              <w:t>南区以现代家居产业为主导，带动发展纺织服装产业。</w:t>
            </w:r>
          </w:p>
        </w:tc>
        <w:tc>
          <w:tcPr>
            <w:tcW w:w="2721" w:type="dxa"/>
            <w:noWrap w:val="0"/>
            <w:vAlign w:val="center"/>
          </w:tcPr>
          <w:p w14:paraId="7C9D3EDE">
            <w:pPr>
              <w:pStyle w:val="75"/>
              <w:ind w:firstLine="105" w:firstLineChars="50"/>
              <w:jc w:val="both"/>
            </w:pPr>
            <w:r>
              <w:t>本项目位于</w:t>
            </w:r>
            <w:r>
              <w:rPr>
                <w:rFonts w:hint="eastAsia"/>
                <w:lang w:val="en-US" w:eastAsia="zh-CN"/>
              </w:rPr>
              <w:t>集聚区</w:t>
            </w:r>
            <w:r>
              <w:t>北区城东片区，项目属于</w:t>
            </w:r>
            <w:r>
              <w:rPr>
                <w:rFonts w:hint="eastAsia"/>
                <w:lang w:val="en-US" w:eastAsia="zh-CN"/>
              </w:rPr>
              <w:t>电器器械及器材制造业</w:t>
            </w:r>
            <w:r>
              <w:t>，属于污染小、能耗低，生产工艺、设备先进的项目。且电镀工艺及设备较为先进，产生的污染物经治理后污染较小，能耗较低。本区域内暂无集中喷涂、集中电镀企业入驻。</w:t>
            </w:r>
            <w:r>
              <w:rPr>
                <w:rFonts w:hint="eastAsia"/>
              </w:rPr>
              <w:t>本项目与北区城东片区规划不冲突。</w:t>
            </w:r>
          </w:p>
        </w:tc>
        <w:tc>
          <w:tcPr>
            <w:tcW w:w="976" w:type="dxa"/>
            <w:noWrap w:val="0"/>
            <w:vAlign w:val="center"/>
          </w:tcPr>
          <w:p w14:paraId="60B8F99E">
            <w:pPr>
              <w:pStyle w:val="75"/>
            </w:pPr>
            <w:r>
              <w:t>相符</w:t>
            </w:r>
          </w:p>
        </w:tc>
      </w:tr>
      <w:tr w14:paraId="65F6EC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3" w:type="dxa"/>
            <w:vMerge w:val="continue"/>
            <w:noWrap w:val="0"/>
            <w:vAlign w:val="center"/>
          </w:tcPr>
          <w:p w14:paraId="62800A77">
            <w:pPr>
              <w:pStyle w:val="75"/>
            </w:pPr>
          </w:p>
        </w:tc>
        <w:tc>
          <w:tcPr>
            <w:tcW w:w="4108" w:type="dxa"/>
            <w:noWrap w:val="0"/>
            <w:vAlign w:val="center"/>
          </w:tcPr>
          <w:p w14:paraId="267E3285">
            <w:pPr>
              <w:pStyle w:val="75"/>
              <w:jc w:val="left"/>
            </w:pPr>
            <w:r>
              <w:t>（3）新、改扩建项目必须符合国家、省市产业政策及相关行业准入要求，清洁生产水平达到国内先进水平。</w:t>
            </w:r>
          </w:p>
        </w:tc>
        <w:tc>
          <w:tcPr>
            <w:tcW w:w="2721" w:type="dxa"/>
            <w:noWrap w:val="0"/>
            <w:vAlign w:val="center"/>
          </w:tcPr>
          <w:p w14:paraId="3AF9D465">
            <w:pPr>
              <w:pStyle w:val="75"/>
              <w:ind w:firstLine="105" w:firstLineChars="50"/>
              <w:jc w:val="both"/>
            </w:pPr>
            <w:r>
              <w:t>本项目为</w:t>
            </w:r>
            <w:r>
              <w:rPr>
                <w:rFonts w:hint="eastAsia"/>
              </w:rPr>
              <w:t>新建</w:t>
            </w:r>
            <w:r>
              <w:t>项目，符合国家、省市产业政策及相关行业准入要求，清洁生产水平为Ⅰ级（国际清洁生产领先水平）。</w:t>
            </w:r>
          </w:p>
        </w:tc>
        <w:tc>
          <w:tcPr>
            <w:tcW w:w="976" w:type="dxa"/>
            <w:noWrap w:val="0"/>
            <w:vAlign w:val="center"/>
          </w:tcPr>
          <w:p w14:paraId="6887323E">
            <w:pPr>
              <w:pStyle w:val="75"/>
            </w:pPr>
            <w:r>
              <w:t>相符</w:t>
            </w:r>
          </w:p>
        </w:tc>
      </w:tr>
      <w:tr w14:paraId="05D9C95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3" w:type="dxa"/>
            <w:vMerge w:val="continue"/>
            <w:noWrap w:val="0"/>
            <w:vAlign w:val="center"/>
          </w:tcPr>
          <w:p w14:paraId="70F3CE11">
            <w:pPr>
              <w:pStyle w:val="75"/>
            </w:pPr>
          </w:p>
        </w:tc>
        <w:tc>
          <w:tcPr>
            <w:tcW w:w="4108" w:type="dxa"/>
            <w:noWrap w:val="0"/>
            <w:vAlign w:val="center"/>
          </w:tcPr>
          <w:p w14:paraId="6F6863ED">
            <w:pPr>
              <w:pStyle w:val="75"/>
              <w:ind w:firstLine="105" w:firstLineChars="50"/>
              <w:jc w:val="left"/>
            </w:pPr>
            <w:r>
              <w:t>（4）鼓励发展符合集聚区功能布局和产业规划，采用先进生产工艺和设备、自动化程度高，具有可靠的污染治理技术或轻污染项目。</w:t>
            </w:r>
          </w:p>
        </w:tc>
        <w:tc>
          <w:tcPr>
            <w:tcW w:w="2721" w:type="dxa"/>
            <w:noWrap w:val="0"/>
            <w:vAlign w:val="center"/>
          </w:tcPr>
          <w:p w14:paraId="72C30843">
            <w:pPr>
              <w:pStyle w:val="75"/>
              <w:jc w:val="both"/>
            </w:pPr>
            <w:r>
              <w:t>本项目符合集聚区功能布局和产业规划，项目采用先进的生产工艺和设备、自动化程度较高，且具有可靠的污染治理技术。</w:t>
            </w:r>
          </w:p>
        </w:tc>
        <w:tc>
          <w:tcPr>
            <w:tcW w:w="976" w:type="dxa"/>
            <w:noWrap w:val="0"/>
            <w:vAlign w:val="center"/>
          </w:tcPr>
          <w:p w14:paraId="43C753B9">
            <w:pPr>
              <w:pStyle w:val="75"/>
            </w:pPr>
            <w:r>
              <w:t>相符</w:t>
            </w:r>
          </w:p>
        </w:tc>
      </w:tr>
      <w:tr w14:paraId="6990C6A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23" w:type="dxa"/>
            <w:vMerge w:val="continue"/>
            <w:noWrap w:val="0"/>
            <w:vAlign w:val="center"/>
          </w:tcPr>
          <w:p w14:paraId="7BF5E505">
            <w:pPr>
              <w:pStyle w:val="75"/>
            </w:pPr>
          </w:p>
        </w:tc>
        <w:tc>
          <w:tcPr>
            <w:tcW w:w="4108" w:type="dxa"/>
            <w:noWrap w:val="0"/>
            <w:vAlign w:val="center"/>
          </w:tcPr>
          <w:p w14:paraId="26DC7652">
            <w:pPr>
              <w:pStyle w:val="75"/>
              <w:ind w:firstLine="105" w:firstLineChars="50"/>
              <w:jc w:val="left"/>
            </w:pPr>
            <w:r>
              <w:t>（5）鼓励污水深度治理、中水回用项目、资源综合利用项目入驻。</w:t>
            </w:r>
          </w:p>
        </w:tc>
        <w:tc>
          <w:tcPr>
            <w:tcW w:w="2721" w:type="dxa"/>
            <w:noWrap w:val="0"/>
            <w:vAlign w:val="center"/>
          </w:tcPr>
          <w:p w14:paraId="4F3C85F4">
            <w:pPr>
              <w:pStyle w:val="75"/>
              <w:jc w:val="both"/>
            </w:pPr>
            <w:r>
              <w:t>本项目不属于污水深度治理、中水回用项目、资源综合利用项目。</w:t>
            </w:r>
          </w:p>
        </w:tc>
        <w:tc>
          <w:tcPr>
            <w:tcW w:w="976" w:type="dxa"/>
            <w:noWrap w:val="0"/>
            <w:vAlign w:val="center"/>
          </w:tcPr>
          <w:p w14:paraId="5F71D25E">
            <w:pPr>
              <w:pStyle w:val="75"/>
            </w:pPr>
            <w:r>
              <w:t>相符</w:t>
            </w:r>
          </w:p>
        </w:tc>
      </w:tr>
      <w:tr w14:paraId="113D94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4" w:hRule="atLeast"/>
          <w:jc w:val="center"/>
        </w:trPr>
        <w:tc>
          <w:tcPr>
            <w:tcW w:w="723" w:type="dxa"/>
            <w:vMerge w:val="continue"/>
            <w:noWrap w:val="0"/>
            <w:vAlign w:val="center"/>
          </w:tcPr>
          <w:p w14:paraId="4B13FB47">
            <w:pPr>
              <w:pStyle w:val="75"/>
            </w:pPr>
          </w:p>
        </w:tc>
        <w:tc>
          <w:tcPr>
            <w:tcW w:w="4108" w:type="dxa"/>
            <w:noWrap w:val="0"/>
            <w:vAlign w:val="center"/>
          </w:tcPr>
          <w:p w14:paraId="25E457ED">
            <w:pPr>
              <w:pStyle w:val="75"/>
              <w:ind w:firstLine="105" w:firstLineChars="50"/>
              <w:jc w:val="left"/>
            </w:pPr>
            <w:r>
              <w:t>（6）建设项目用地应满足集聚区土地利用规划要求，投资强度满足《河南省工业项目建设用地控制指标》的要求。</w:t>
            </w:r>
          </w:p>
        </w:tc>
        <w:tc>
          <w:tcPr>
            <w:tcW w:w="2721" w:type="dxa"/>
            <w:noWrap w:val="0"/>
            <w:vAlign w:val="center"/>
          </w:tcPr>
          <w:p w14:paraId="4AD6A62A">
            <w:pPr>
              <w:pStyle w:val="75"/>
              <w:ind w:firstLine="105" w:firstLineChars="50"/>
              <w:jc w:val="both"/>
            </w:pPr>
            <w:r>
              <w:t>项目厂址用地性质为二类工业用地，</w:t>
            </w:r>
            <w:r>
              <w:rPr>
                <w:bCs w:val="0"/>
              </w:rPr>
              <w:t>根据《河南省工业建设用地控制指标》规定落址在省级开发区内的工业项目用地投资强度不得低于1800万元/公顷，本项目投资强度为</w:t>
            </w:r>
            <w:r>
              <w:rPr>
                <w:rFonts w:hint="eastAsia"/>
                <w:bCs w:val="0"/>
                <w:lang w:val="en-US" w:eastAsia="zh-CN"/>
              </w:rPr>
              <w:t>3481</w:t>
            </w:r>
            <w:r>
              <w:rPr>
                <w:bCs w:val="0"/>
              </w:rPr>
              <w:t>万元/公顷，满足要求。</w:t>
            </w:r>
          </w:p>
        </w:tc>
        <w:tc>
          <w:tcPr>
            <w:tcW w:w="976" w:type="dxa"/>
            <w:noWrap w:val="0"/>
            <w:vAlign w:val="center"/>
          </w:tcPr>
          <w:p w14:paraId="32B33D88">
            <w:pPr>
              <w:pStyle w:val="75"/>
            </w:pPr>
            <w:r>
              <w:t>相符</w:t>
            </w:r>
          </w:p>
        </w:tc>
      </w:tr>
    </w:tbl>
    <w:p w14:paraId="5D12CBAF">
      <w:pPr>
        <w:spacing w:line="440" w:lineRule="exact"/>
        <w:ind w:firstLine="480"/>
      </w:pPr>
      <w:r>
        <w:t>由上表可知，项目属于</w:t>
      </w:r>
      <w:r>
        <w:rPr>
          <w:rFonts w:hint="eastAsia"/>
        </w:rPr>
        <w:t>新建</w:t>
      </w:r>
      <w:r>
        <w:t>项目，与规划不冲突</w:t>
      </w:r>
      <w:r>
        <w:rPr>
          <w:rFonts w:hint="eastAsia"/>
        </w:rPr>
        <w:t>，</w:t>
      </w:r>
      <w:r>
        <w:t>与规划环评环境准入条件相符</w:t>
      </w:r>
      <w:r>
        <w:rPr>
          <w:color w:val="000000" w:themeColor="text1"/>
          <w14:textFill>
            <w14:solidFill>
              <w14:schemeClr w14:val="tx1"/>
            </w14:solidFill>
          </w14:textFill>
        </w:rPr>
        <w:t>，符合规划，已由</w:t>
      </w:r>
      <w:r>
        <w:rPr>
          <w:rFonts w:hint="eastAsia" w:cs="宋体"/>
          <w:b w:val="0"/>
          <w:color w:val="000000" w:themeColor="text1"/>
          <w:kern w:val="0"/>
          <w:szCs w:val="20"/>
          <w:lang w:val="en-US" w:eastAsia="zh-CN"/>
          <w14:textFill>
            <w14:solidFill>
              <w14:schemeClr w14:val="tx1"/>
            </w14:solidFill>
          </w14:textFill>
        </w:rPr>
        <w:t>获嘉县发展和改革委员会</w:t>
      </w:r>
      <w:r>
        <w:rPr>
          <w:color w:val="000000" w:themeColor="text1"/>
          <w14:textFill>
            <w14:solidFill>
              <w14:schemeClr w14:val="tx1"/>
            </w14:solidFill>
          </w14:textFill>
        </w:rPr>
        <w:t>准许入驻。</w:t>
      </w:r>
    </w:p>
    <w:p w14:paraId="6BC3677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rPr>
        <w:t>2</w:t>
      </w:r>
      <w:r>
        <w:rPr>
          <w:rFonts w:hint="eastAsia"/>
          <w:lang w:val="en-US" w:eastAsia="zh-CN"/>
        </w:rPr>
        <w:t>.10-2</w:t>
      </w:r>
      <w:r>
        <w:rPr>
          <w:rFonts w:hint="eastAsia"/>
        </w:rPr>
        <w:t xml:space="preserve">  </w:t>
      </w:r>
      <w:r>
        <w:t xml:space="preserve">  与集聚区</w:t>
      </w:r>
      <w:r>
        <w:rPr>
          <w:rFonts w:hint="eastAsia"/>
        </w:rPr>
        <w:t>北区城东片区</w:t>
      </w:r>
      <w:r>
        <w:t>负面清单相符性分析一览表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635"/>
        <w:gridCol w:w="3631"/>
        <w:gridCol w:w="3509"/>
        <w:gridCol w:w="593"/>
      </w:tblGrid>
      <w:tr w14:paraId="6BC36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15" w:type="dxa"/>
            <w:tcBorders>
              <w:tl2br w:val="nil"/>
              <w:tr2bl w:val="nil"/>
            </w:tcBorders>
            <w:vAlign w:val="center"/>
          </w:tcPr>
          <w:p w14:paraId="6BC36776">
            <w:pPr>
              <w:pStyle w:val="179"/>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类型</w:t>
            </w:r>
          </w:p>
        </w:tc>
        <w:tc>
          <w:tcPr>
            <w:tcW w:w="3584" w:type="dxa"/>
            <w:tcBorders>
              <w:tl2br w:val="nil"/>
              <w:tr2bl w:val="nil"/>
            </w:tcBorders>
            <w:vAlign w:val="center"/>
          </w:tcPr>
          <w:p w14:paraId="6BC36777">
            <w:pPr>
              <w:pStyle w:val="179"/>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负面清单</w:t>
            </w:r>
          </w:p>
        </w:tc>
        <w:tc>
          <w:tcPr>
            <w:tcW w:w="3496" w:type="dxa"/>
            <w:tcBorders>
              <w:tl2br w:val="nil"/>
              <w:tr2bl w:val="nil"/>
            </w:tcBorders>
            <w:vAlign w:val="center"/>
          </w:tcPr>
          <w:p w14:paraId="6BC36778">
            <w:pPr>
              <w:pStyle w:val="179"/>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本项目情况</w:t>
            </w:r>
          </w:p>
        </w:tc>
        <w:tc>
          <w:tcPr>
            <w:tcW w:w="571" w:type="dxa"/>
            <w:tcBorders>
              <w:tl2br w:val="nil"/>
              <w:tr2bl w:val="nil"/>
            </w:tcBorders>
            <w:vAlign w:val="center"/>
          </w:tcPr>
          <w:p w14:paraId="6BC36779">
            <w:pPr>
              <w:pStyle w:val="179"/>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对比结果</w:t>
            </w:r>
          </w:p>
        </w:tc>
      </w:tr>
      <w:tr w14:paraId="6BC36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15" w:type="dxa"/>
            <w:tcBorders>
              <w:tl2br w:val="nil"/>
              <w:tr2bl w:val="nil"/>
            </w:tcBorders>
            <w:vAlign w:val="center"/>
          </w:tcPr>
          <w:p w14:paraId="6BC3677B">
            <w:pPr>
              <w:pStyle w:val="180"/>
              <w:keepNext w:val="0"/>
              <w:keepLines w:val="0"/>
              <w:pageBreakBefore w:val="0"/>
              <w:widowControl w:val="0"/>
              <w:kinsoku/>
              <w:wordWrap/>
              <w:overflowPunct/>
              <w:topLinePunct w:val="0"/>
              <w:bidi w:val="0"/>
              <w:spacing w:before="0" w:beforeAutospacing="0" w:after="0" w:afterAutospacing="0" w:line="240" w:lineRule="auto"/>
              <w:ind w:left="0" w:firstLine="0" w:firstLine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限制类</w:t>
            </w:r>
          </w:p>
        </w:tc>
        <w:tc>
          <w:tcPr>
            <w:tcW w:w="3584" w:type="dxa"/>
            <w:tcBorders>
              <w:tl2br w:val="nil"/>
              <w:tr2bl w:val="nil"/>
            </w:tcBorders>
            <w:vAlign w:val="center"/>
          </w:tcPr>
          <w:p w14:paraId="6BC3677C">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1、空间布局及土地规划：限制与集聚区土地利用规划不相符的现有企业进行扩建；</w:t>
            </w:r>
          </w:p>
          <w:p w14:paraId="6BC3677D">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2、产业政策及行业准入：限制发展原料和产品为非环境友好型的项目；</w:t>
            </w:r>
          </w:p>
          <w:p w14:paraId="6BC3677E">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3、污染物排放及资源利用：限值污染防治和资源利用技术不成熟、污染物不能达标排放的项目；</w:t>
            </w:r>
          </w:p>
          <w:p w14:paraId="6BC3677F">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4、环境风险：限制新建无可靠风险防范措施且存在重大危险源项目。</w:t>
            </w:r>
          </w:p>
        </w:tc>
        <w:tc>
          <w:tcPr>
            <w:tcW w:w="3496" w:type="dxa"/>
            <w:tcBorders>
              <w:tl2br w:val="nil"/>
              <w:tr2bl w:val="nil"/>
            </w:tcBorders>
            <w:vAlign w:val="center"/>
          </w:tcPr>
          <w:p w14:paraId="6BC36780">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1、本项目为</w:t>
            </w:r>
            <w:r>
              <w:rPr>
                <w:rFonts w:hint="eastAsia" w:ascii="Times New Roman" w:hAnsi="Times New Roman" w:eastAsia="宋体" w:cs="Times New Roman"/>
                <w:bCs w:val="0"/>
                <w:sz w:val="21"/>
                <w:szCs w:val="21"/>
                <w:lang w:val="en-US" w:eastAsia="zh-CN"/>
              </w:rPr>
              <w:t>新建</w:t>
            </w:r>
            <w:r>
              <w:rPr>
                <w:rFonts w:hint="default" w:ascii="Times New Roman" w:hAnsi="Times New Roman" w:eastAsia="宋体" w:cs="Times New Roman"/>
                <w:bCs w:val="0"/>
                <w:sz w:val="21"/>
                <w:szCs w:val="21"/>
              </w:rPr>
              <w:t>项目，选址位于新乡市获嘉县先进制造业开发区安王路与梧桐路交叉口西100米1号，</w:t>
            </w:r>
            <w:r>
              <w:rPr>
                <w:rFonts w:hint="eastAsia" w:cs="Times New Roman"/>
                <w:bCs w:val="0"/>
                <w:sz w:val="21"/>
                <w:szCs w:val="21"/>
                <w:lang w:val="en-US" w:eastAsia="zh-CN"/>
              </w:rPr>
              <w:t>属于获嘉县</w:t>
            </w:r>
            <w:r>
              <w:rPr>
                <w:rFonts w:hint="default" w:ascii="Times New Roman" w:hAnsi="Times New Roman" w:eastAsia="宋体" w:cs="Times New Roman"/>
                <w:bCs w:val="0"/>
                <w:sz w:val="21"/>
                <w:szCs w:val="21"/>
              </w:rPr>
              <w:t>产业集聚区</w:t>
            </w:r>
            <w:r>
              <w:rPr>
                <w:rFonts w:hint="eastAsia" w:cs="Times New Roman"/>
                <w:bCs w:val="0"/>
                <w:sz w:val="21"/>
                <w:szCs w:val="21"/>
                <w:lang w:val="en-US" w:eastAsia="zh-CN"/>
              </w:rPr>
              <w:t>范围内，</w:t>
            </w:r>
            <w:r>
              <w:rPr>
                <w:rFonts w:hint="default" w:ascii="Times New Roman" w:hAnsi="Times New Roman" w:eastAsia="宋体" w:cs="Times New Roman"/>
                <w:bCs w:val="0"/>
                <w:sz w:val="21"/>
                <w:szCs w:val="21"/>
              </w:rPr>
              <w:t>根据获嘉县产业集聚区总体发展规划（2016-2020）-北部用地布局规划图，项目所在区域用地属于二类工业用地，项目选址用地性质符合获嘉县产业集聚区土地利用规划；</w:t>
            </w:r>
          </w:p>
          <w:p w14:paraId="6BC36781">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2、本项目原料和产品不属于非环境友好型的项目；</w:t>
            </w:r>
          </w:p>
          <w:p w14:paraId="6BC36782">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3、本项目污染防治措施成熟，</w:t>
            </w:r>
            <w:r>
              <w:rPr>
                <w:rFonts w:hint="eastAsia" w:ascii="Times New Roman" w:hAnsi="Times New Roman" w:eastAsia="宋体" w:cs="Times New Roman"/>
                <w:bCs w:val="0"/>
                <w:sz w:val="21"/>
                <w:szCs w:val="21"/>
                <w:lang w:val="en-US" w:eastAsia="zh-CN"/>
              </w:rPr>
              <w:t>生产车间酸洗、活化产生的硫酸雾采用两级碱喷淋吸收进行处理，污水处理站废气采用生物除臭滤塔处理，含镍废水及</w:t>
            </w:r>
            <w:r>
              <w:rPr>
                <w:rFonts w:hint="eastAsia" w:cs="Times New Roman"/>
                <w:bCs w:val="0"/>
                <w:sz w:val="21"/>
                <w:szCs w:val="21"/>
                <w:lang w:val="en-US" w:eastAsia="zh-CN"/>
              </w:rPr>
              <w:t>含铬废水处理后回用于生产，综合废水经厂区污水处理站处理、生活污水经厂区化粪池处理后与纯水制备浓水、冲压冷凝水一同经厂区总排口排放至获嘉县同盟污水处理厂处理</w:t>
            </w:r>
            <w:r>
              <w:rPr>
                <w:rFonts w:hint="default" w:ascii="Times New Roman" w:hAnsi="Times New Roman" w:eastAsia="宋体" w:cs="Times New Roman"/>
                <w:bCs w:val="0"/>
                <w:sz w:val="21"/>
                <w:szCs w:val="21"/>
              </w:rPr>
              <w:t>，以上各污染物均能够达标排放；</w:t>
            </w:r>
          </w:p>
          <w:p w14:paraId="6BC36783">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4、本项目风险物质主要为</w:t>
            </w:r>
            <w:r>
              <w:rPr>
                <w:rFonts w:hint="eastAsia" w:ascii="Times New Roman" w:hAnsi="Times New Roman" w:eastAsia="宋体" w:cs="Times New Roman"/>
                <w:bCs w:val="0"/>
                <w:sz w:val="21"/>
                <w:szCs w:val="21"/>
                <w:lang w:val="en-US" w:eastAsia="zh-CN"/>
              </w:rPr>
              <w:t>硫酸镍、氯化镍、液压油等</w:t>
            </w:r>
            <w:r>
              <w:rPr>
                <w:rFonts w:hint="default" w:ascii="Times New Roman" w:hAnsi="Times New Roman" w:eastAsia="宋体" w:cs="Times New Roman"/>
                <w:bCs w:val="0"/>
                <w:sz w:val="21"/>
                <w:szCs w:val="21"/>
              </w:rPr>
              <w:t>，化学品库的地面设置防渗层，设置托盘和围堰</w:t>
            </w:r>
            <w:r>
              <w:rPr>
                <w:rFonts w:hint="eastAsia" w:ascii="Times New Roman" w:hAnsi="Times New Roman" w:eastAsia="宋体" w:cs="Times New Roman"/>
                <w:bCs w:val="0"/>
                <w:sz w:val="21"/>
                <w:szCs w:val="21"/>
                <w:lang w:val="en-US" w:eastAsia="zh-CN"/>
              </w:rPr>
              <w:t>等</w:t>
            </w:r>
            <w:r>
              <w:rPr>
                <w:rFonts w:hint="default" w:ascii="Times New Roman" w:hAnsi="Times New Roman" w:eastAsia="宋体" w:cs="Times New Roman"/>
                <w:bCs w:val="0"/>
                <w:sz w:val="21"/>
                <w:szCs w:val="21"/>
              </w:rPr>
              <w:t>风险防范措施。</w:t>
            </w:r>
          </w:p>
        </w:tc>
        <w:tc>
          <w:tcPr>
            <w:tcW w:w="571" w:type="dxa"/>
            <w:tcBorders>
              <w:tl2br w:val="nil"/>
              <w:tr2bl w:val="nil"/>
            </w:tcBorders>
            <w:vAlign w:val="center"/>
          </w:tcPr>
          <w:p w14:paraId="6BC36784">
            <w:pPr>
              <w:keepNext w:val="0"/>
              <w:keepLines w:val="0"/>
              <w:pageBreakBefore w:val="0"/>
              <w:widowControl w:val="0"/>
              <w:kinsoku/>
              <w:wordWrap/>
              <w:overflowPunct/>
              <w:topLinePunct w:val="0"/>
              <w:bidi w:val="0"/>
              <w:spacing w:beforeAutospacing="0" w:afterAutospacing="0"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不属于限制类</w:t>
            </w:r>
          </w:p>
        </w:tc>
      </w:tr>
      <w:tr w14:paraId="6BC367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15" w:type="dxa"/>
            <w:tcBorders>
              <w:tl2br w:val="nil"/>
              <w:tr2bl w:val="nil"/>
            </w:tcBorders>
            <w:vAlign w:val="center"/>
          </w:tcPr>
          <w:p w14:paraId="6BC36786">
            <w:pPr>
              <w:pStyle w:val="180"/>
              <w:keepNext w:val="0"/>
              <w:keepLines w:val="0"/>
              <w:pageBreakBefore w:val="0"/>
              <w:widowControl w:val="0"/>
              <w:kinsoku/>
              <w:wordWrap/>
              <w:overflowPunct/>
              <w:topLinePunct w:val="0"/>
              <w:bidi w:val="0"/>
              <w:spacing w:before="0" w:beforeAutospacing="0" w:after="0" w:afterAutospacing="0" w:line="240" w:lineRule="auto"/>
              <w:ind w:left="0" w:firstLine="0" w:firstLineChars="0"/>
              <w:jc w:val="center"/>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禁止类</w:t>
            </w:r>
          </w:p>
        </w:tc>
        <w:tc>
          <w:tcPr>
            <w:tcW w:w="3584" w:type="dxa"/>
            <w:tcBorders>
              <w:tl2br w:val="nil"/>
              <w:tr2bl w:val="nil"/>
            </w:tcBorders>
            <w:vAlign w:val="center"/>
          </w:tcPr>
          <w:p w14:paraId="6BC36787">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1、空间布局及土地规划：禁止入驻不符合土地利用规划的项目；禁止入住化工项目。</w:t>
            </w:r>
          </w:p>
          <w:p w14:paraId="6BC36788">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2、产业政策及行业准入：禁止新建国家《产业结构指导目录（2011年本）》（2013年修正）中限制、淘汰类的建设项目；禁止建设使用高VOC</w:t>
            </w:r>
            <w:r>
              <w:rPr>
                <w:rFonts w:hint="eastAsia" w:cs="Times New Roman"/>
                <w:bCs w:val="0"/>
                <w:sz w:val="21"/>
                <w:szCs w:val="21"/>
                <w:vertAlign w:val="subscript"/>
                <w:lang w:val="en-US" w:eastAsia="zh-CN"/>
              </w:rPr>
              <w:t>S</w:t>
            </w:r>
            <w:r>
              <w:rPr>
                <w:rFonts w:hint="default" w:ascii="Times New Roman" w:hAnsi="Times New Roman" w:eastAsia="宋体" w:cs="Times New Roman"/>
                <w:bCs w:val="0"/>
                <w:sz w:val="21"/>
                <w:szCs w:val="21"/>
              </w:rPr>
              <w:t>含量的溶剂型涂料、油墨和胶黏剂等项目；</w:t>
            </w:r>
          </w:p>
          <w:p w14:paraId="6BC36789">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3、污染物排放及资源利用：禁止新建燃煤锅炉项目；禁止引入排放《污水综合排放标准》（GB8978-1996）中表1第一类污染物的项目。</w:t>
            </w:r>
          </w:p>
          <w:p w14:paraId="6BC3678A">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4、环境风险：禁止新建与环境敏感目标间距不能满足建设项目环评文件或者行业规定的防护距离要求的项目。</w:t>
            </w:r>
          </w:p>
        </w:tc>
        <w:tc>
          <w:tcPr>
            <w:tcW w:w="3496" w:type="dxa"/>
            <w:tcBorders>
              <w:tl2br w:val="nil"/>
              <w:tr2bl w:val="nil"/>
            </w:tcBorders>
            <w:vAlign w:val="center"/>
          </w:tcPr>
          <w:p w14:paraId="6BC3678B">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1、本项目为</w:t>
            </w:r>
            <w:r>
              <w:rPr>
                <w:rFonts w:hint="eastAsia" w:cs="Times New Roman"/>
                <w:bCs w:val="0"/>
                <w:sz w:val="21"/>
                <w:szCs w:val="21"/>
                <w:lang w:val="en-US" w:eastAsia="zh-CN"/>
              </w:rPr>
              <w:t>涉及电镀工艺</w:t>
            </w:r>
            <w:r>
              <w:rPr>
                <w:rFonts w:hint="default" w:ascii="Times New Roman" w:hAnsi="Times New Roman" w:eastAsia="宋体" w:cs="Times New Roman"/>
                <w:bCs w:val="0"/>
                <w:sz w:val="21"/>
                <w:szCs w:val="21"/>
              </w:rPr>
              <w:t>，占地属于工业用地，符合土地利用规划；不属于化工项目。</w:t>
            </w:r>
          </w:p>
          <w:p w14:paraId="6BC3678C">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2、本项目属于国家《产业结构调整指导目录（2024年本）》中的允许类，不属于限制、淘汰类的建设项目；本项目不使用高VOC</w:t>
            </w:r>
            <w:r>
              <w:rPr>
                <w:rFonts w:hint="eastAsia" w:cs="Times New Roman"/>
                <w:bCs w:val="0"/>
                <w:sz w:val="21"/>
                <w:szCs w:val="21"/>
                <w:vertAlign w:val="subscript"/>
                <w:lang w:val="en-US" w:eastAsia="zh-CN"/>
              </w:rPr>
              <w:t>S</w:t>
            </w:r>
            <w:r>
              <w:rPr>
                <w:rFonts w:hint="default" w:ascii="Times New Roman" w:hAnsi="Times New Roman" w:eastAsia="宋体" w:cs="Times New Roman"/>
                <w:bCs w:val="0"/>
                <w:sz w:val="21"/>
                <w:szCs w:val="21"/>
              </w:rPr>
              <w:t>含量的溶剂型涂料、油墨和胶黏剂。</w:t>
            </w:r>
          </w:p>
          <w:p w14:paraId="6BC3678D">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lang w:val="en-US" w:eastAsia="zh-CN"/>
              </w:rPr>
            </w:pPr>
            <w:r>
              <w:rPr>
                <w:rFonts w:hint="default" w:ascii="Times New Roman" w:hAnsi="Times New Roman" w:eastAsia="宋体" w:cs="Times New Roman"/>
                <w:bCs w:val="0"/>
                <w:sz w:val="21"/>
                <w:szCs w:val="21"/>
              </w:rPr>
              <w:t>3、本项目不建设燃煤锅炉；</w:t>
            </w:r>
            <w:r>
              <w:rPr>
                <w:rFonts w:hint="eastAsia" w:ascii="Times New Roman" w:hAnsi="Times New Roman" w:eastAsia="宋体" w:cs="Times New Roman"/>
                <w:bCs w:val="0"/>
                <w:sz w:val="21"/>
                <w:szCs w:val="21"/>
                <w:lang w:val="en-US" w:eastAsia="zh-CN"/>
              </w:rPr>
              <w:t>本项目含镍废水及含铬废水处理后回用于生产不外排，不引入排放</w:t>
            </w:r>
            <w:r>
              <w:rPr>
                <w:rFonts w:hint="default" w:ascii="Times New Roman" w:hAnsi="Times New Roman" w:eastAsia="宋体" w:cs="Times New Roman"/>
                <w:bCs w:val="0"/>
                <w:sz w:val="21"/>
                <w:szCs w:val="21"/>
              </w:rPr>
              <w:t>《污水综合排放标准》（GB8978-1996）中表1</w:t>
            </w:r>
            <w:r>
              <w:rPr>
                <w:rFonts w:hint="eastAsia" w:ascii="Times New Roman" w:hAnsi="Times New Roman" w:eastAsia="宋体" w:cs="Times New Roman"/>
                <w:bCs w:val="0"/>
                <w:sz w:val="21"/>
                <w:szCs w:val="21"/>
                <w:lang w:val="en-US" w:eastAsia="zh-CN"/>
              </w:rPr>
              <w:t>一类污染物。</w:t>
            </w:r>
          </w:p>
          <w:p w14:paraId="6BC3678E">
            <w:pPr>
              <w:pStyle w:val="181"/>
              <w:keepNext w:val="0"/>
              <w:keepLines w:val="0"/>
              <w:pageBreakBefore w:val="0"/>
              <w:widowControl w:val="0"/>
              <w:kinsoku/>
              <w:wordWrap/>
              <w:overflowPunct/>
              <w:topLinePunct w:val="0"/>
              <w:bidi w:val="0"/>
              <w:spacing w:beforeAutospacing="0" w:afterAutospacing="0" w:line="240" w:lineRule="auto"/>
              <w:ind w:firstLine="0" w:firstLineChars="0"/>
              <w:rPr>
                <w:rFonts w:hint="default" w:ascii="Times New Roman" w:hAnsi="Times New Roman" w:eastAsia="宋体" w:cs="Times New Roman"/>
                <w:bCs w:val="0"/>
                <w:sz w:val="21"/>
                <w:szCs w:val="21"/>
              </w:rPr>
            </w:pPr>
            <w:r>
              <w:rPr>
                <w:rFonts w:hint="default" w:ascii="Times New Roman" w:hAnsi="Times New Roman" w:eastAsia="宋体" w:cs="Times New Roman"/>
                <w:bCs w:val="0"/>
                <w:sz w:val="21"/>
                <w:szCs w:val="21"/>
              </w:rPr>
              <w:t>4</w:t>
            </w:r>
            <w:r>
              <w:rPr>
                <w:rFonts w:hint="default" w:ascii="Times New Roman" w:hAnsi="Times New Roman" w:eastAsia="宋体" w:cs="Times New Roman"/>
                <w:bCs w:val="0"/>
                <w:color w:val="000000" w:themeColor="text1"/>
                <w:sz w:val="21"/>
                <w:szCs w:val="21"/>
                <w14:textFill>
                  <w14:solidFill>
                    <w14:schemeClr w14:val="tx1"/>
                  </w14:solidFill>
                </w14:textFill>
              </w:rPr>
              <w:t>、本项目无需设置防护距离。</w:t>
            </w:r>
          </w:p>
        </w:tc>
        <w:tc>
          <w:tcPr>
            <w:tcW w:w="571" w:type="dxa"/>
            <w:tcBorders>
              <w:tl2br w:val="nil"/>
              <w:tr2bl w:val="nil"/>
            </w:tcBorders>
            <w:vAlign w:val="center"/>
          </w:tcPr>
          <w:p w14:paraId="6BC3678F">
            <w:pPr>
              <w:keepNext w:val="0"/>
              <w:keepLines w:val="0"/>
              <w:pageBreakBefore w:val="0"/>
              <w:widowControl w:val="0"/>
              <w:kinsoku/>
              <w:wordWrap/>
              <w:overflowPunct/>
              <w:topLinePunct w:val="0"/>
              <w:bidi w:val="0"/>
              <w:spacing w:beforeAutospacing="0" w:afterAutospacing="0"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不属于禁止类</w:t>
            </w:r>
          </w:p>
        </w:tc>
      </w:tr>
    </w:tbl>
    <w:p w14:paraId="60FD1776">
      <w:pPr>
        <w:ind w:firstLine="480"/>
        <w:rPr>
          <w:szCs w:val="24"/>
        </w:rPr>
      </w:pPr>
      <w:r>
        <w:rPr>
          <w:szCs w:val="24"/>
        </w:rPr>
        <w:t>（五）市政基础设施规划</w:t>
      </w:r>
    </w:p>
    <w:p w14:paraId="2907A981">
      <w:pPr>
        <w:ind w:firstLine="480"/>
        <w:rPr>
          <w:color w:val="000000" w:themeColor="text1"/>
          <w:szCs w:val="21"/>
          <w14:textFill>
            <w14:solidFill>
              <w14:schemeClr w14:val="tx1"/>
            </w14:solidFill>
          </w14:textFill>
        </w:rPr>
      </w:pPr>
      <w:r>
        <w:rPr>
          <w:color w:val="000000" w:themeColor="text1"/>
          <w14:textFill>
            <w14:solidFill>
              <w14:schemeClr w14:val="tx1"/>
            </w14:solidFill>
          </w14:textFill>
        </w:rPr>
        <w:t>本次评价主要介绍与环保相关的给水工程、污水工程、供电工程、燃气工程、环卫工程和供热工程。</w:t>
      </w:r>
    </w:p>
    <w:p w14:paraId="0565DD94">
      <w:pPr>
        <w:ind w:firstLine="480"/>
        <w:rPr>
          <w:color w:val="000000" w:themeColor="text1"/>
          <w:szCs w:val="24"/>
          <w14:textFill>
            <w14:solidFill>
              <w14:schemeClr w14:val="tx1"/>
            </w14:solidFill>
          </w14:textFill>
        </w:rPr>
      </w:pPr>
      <w:bookmarkStart w:id="213" w:name="_Toc508551569"/>
      <w:bookmarkStart w:id="214" w:name="_Toc508096633"/>
      <w:r>
        <w:rPr>
          <w:color w:val="000000" w:themeColor="text1"/>
          <w:szCs w:val="24"/>
          <w14:textFill>
            <w14:solidFill>
              <w14:schemeClr w14:val="tx1"/>
            </w14:solidFill>
          </w14:textFill>
        </w:rPr>
        <w:t>（1）给水工程规划</w:t>
      </w:r>
      <w:bookmarkEnd w:id="213"/>
      <w:bookmarkEnd w:id="214"/>
    </w:p>
    <w:p w14:paraId="4847115B">
      <w:pPr>
        <w:pStyle w:val="16"/>
        <w:spacing w:after="0" w:line="480" w:lineRule="exact"/>
        <w:ind w:firstLine="480"/>
        <w:rPr>
          <w:bCs/>
          <w:color w:val="000000" w:themeColor="text1"/>
          <w:kern w:val="21"/>
          <w14:textFill>
            <w14:solidFill>
              <w14:schemeClr w14:val="tx1"/>
            </w14:solidFill>
          </w14:textFill>
        </w:rPr>
      </w:pPr>
      <w:r>
        <w:rPr>
          <w:bCs/>
          <w:color w:val="000000" w:themeColor="text1"/>
          <w:kern w:val="21"/>
          <w14:textFill>
            <w14:solidFill>
              <w14:schemeClr w14:val="tx1"/>
            </w14:solidFill>
          </w14:textFill>
        </w:rPr>
        <w:t>北区城南片区以地下水作为主水源，生活用水与城区对接、采用城区现状水厂供水，工业用水以引黄调蓄水为主（中新化工和金天化工），规划在城南区片外西北部建设</w:t>
      </w:r>
      <w:r>
        <w:rPr>
          <w:rFonts w:hint="eastAsia"/>
          <w:bCs/>
          <w:color w:val="000000" w:themeColor="text1"/>
          <w:kern w:val="21"/>
          <w14:textFill>
            <w14:solidFill>
              <w14:schemeClr w14:val="tx1"/>
            </w14:solidFill>
          </w14:textFill>
        </w:rPr>
        <w:t>1</w:t>
      </w:r>
      <w:r>
        <w:rPr>
          <w:bCs/>
          <w:color w:val="000000" w:themeColor="text1"/>
          <w:kern w:val="21"/>
          <w14:textFill>
            <w14:solidFill>
              <w14:schemeClr w14:val="tx1"/>
            </w14:solidFill>
          </w14:textFill>
        </w:rPr>
        <w:t>座专用工业水厂、供水规模为</w:t>
      </w:r>
      <w:r>
        <w:rPr>
          <w:rFonts w:hint="eastAsia"/>
          <w:bCs/>
          <w:color w:val="000000" w:themeColor="text1"/>
          <w:kern w:val="21"/>
          <w14:textFill>
            <w14:solidFill>
              <w14:schemeClr w14:val="tx1"/>
            </w14:solidFill>
          </w14:textFill>
        </w:rPr>
        <w:t>10</w:t>
      </w:r>
      <w:r>
        <w:rPr>
          <w:bCs/>
          <w:color w:val="000000" w:themeColor="text1"/>
          <w:kern w:val="21"/>
          <w14:textFill>
            <w14:solidFill>
              <w14:schemeClr w14:val="tx1"/>
            </w14:solidFill>
          </w14:textFill>
        </w:rPr>
        <w:t>万m</w:t>
      </w:r>
      <w:r>
        <w:rPr>
          <w:rFonts w:hint="eastAsia"/>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/d。北区城南片区除凤凰大道、行政大街和薄口公路有生活用水管网，水源来自主城区水厂，管径为150或200mm。其余大部分地区无公共供水设施及市政给水管网，其中用水量较大的企业金天化工用水量为2万m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/d、中新化工用水量</w:t>
      </w:r>
      <w:r>
        <w:rPr>
          <w:rFonts w:hint="eastAsia"/>
          <w:bCs/>
          <w:color w:val="000000" w:themeColor="text1"/>
          <w:kern w:val="21"/>
          <w14:textFill>
            <w14:solidFill>
              <w14:schemeClr w14:val="tx1"/>
            </w14:solidFill>
          </w14:textFill>
        </w:rPr>
        <w:t>3</w:t>
      </w:r>
      <w:r>
        <w:rPr>
          <w:bCs/>
          <w:color w:val="000000" w:themeColor="text1"/>
          <w:kern w:val="21"/>
          <w14:textFill>
            <w14:solidFill>
              <w14:schemeClr w14:val="tx1"/>
            </w14:solidFill>
          </w14:textFill>
        </w:rPr>
        <w:t>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/d，水源主要来自县城西部的引黄调水。</w:t>
      </w:r>
    </w:p>
    <w:p w14:paraId="20F0C0C5">
      <w:pPr>
        <w:pStyle w:val="16"/>
        <w:spacing w:after="0" w:line="480" w:lineRule="exact"/>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北区城东东片区生活区和工业水源仍采用东区水厂，规划保留现状水厂，并对水厂进行扩建。</w:t>
      </w:r>
    </w:p>
    <w:p w14:paraId="3CAAA497">
      <w:pPr>
        <w:pStyle w:val="16"/>
        <w:spacing w:after="0" w:line="480" w:lineRule="exact"/>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本项目位于城东片区，所需水源依托集聚区，由集聚区统一供给。</w:t>
      </w:r>
    </w:p>
    <w:p w14:paraId="723D1F1D">
      <w:pPr>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（2）污水工程规划</w:t>
      </w:r>
    </w:p>
    <w:p w14:paraId="0C9CAF57">
      <w:pPr>
        <w:pStyle w:val="16"/>
        <w:spacing w:after="0" w:line="480" w:lineRule="exact"/>
        <w:ind w:firstLine="480"/>
        <w:rPr>
          <w:bCs/>
          <w:color w:val="000000" w:themeColor="text1"/>
          <w:kern w:val="21"/>
          <w14:textFill>
            <w14:solidFill>
              <w14:schemeClr w14:val="tx1"/>
            </w14:solidFill>
          </w14:textFill>
        </w:rPr>
      </w:pPr>
      <w:bookmarkStart w:id="215" w:name="_Toc508551570"/>
      <w:bookmarkStart w:id="216" w:name="_Toc508096634"/>
      <w:r>
        <w:rPr>
          <w:rFonts w:hint="eastAsia"/>
          <w:bCs/>
          <w:color w:val="000000" w:themeColor="text1"/>
          <w:kern w:val="21"/>
          <w14:textFill>
            <w14:solidFill>
              <w14:schemeClr w14:val="tx1"/>
            </w14:solidFill>
          </w14:textFill>
        </w:rPr>
        <w:t>获嘉县产业集聚区排水工程规划采用雨污分流的排水体制。</w:t>
      </w:r>
    </w:p>
    <w:p w14:paraId="77FD625D">
      <w:pPr>
        <w:pStyle w:val="16"/>
        <w:spacing w:after="0" w:line="480" w:lineRule="exact"/>
        <w:ind w:firstLine="480"/>
        <w:rPr>
          <w:bCs/>
          <w:color w:val="000000" w:themeColor="text1"/>
          <w:kern w:val="21"/>
          <w14:textFill>
            <w14:solidFill>
              <w14:schemeClr w14:val="tx1"/>
            </w14:solidFill>
          </w14:textFill>
        </w:rPr>
      </w:pPr>
      <w:r>
        <w:rPr>
          <w:bCs/>
          <w:color w:val="000000" w:themeColor="text1"/>
          <w:kern w:val="21"/>
          <w14:textFill>
            <w14:solidFill>
              <w14:schemeClr w14:val="tx1"/>
            </w14:solidFill>
          </w14:textFill>
        </w:rPr>
        <w:t>城南片区废水进入现有获嘉县香山家园污水处理厂进行处理，该污水处理厂设计处理污水能力1万m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/d、目前实际处理规模约0.8万m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/d。获嘉县产业集聚区香山家园污水处理厂已于2016年</w:t>
      </w:r>
      <w:r>
        <w:rPr>
          <w:rFonts w:hint="eastAsia"/>
          <w:bCs/>
          <w:color w:val="000000" w:themeColor="text1"/>
          <w:kern w:val="21"/>
          <w14:textFill>
            <w14:solidFill>
              <w14:schemeClr w14:val="tx1"/>
            </w14:solidFill>
          </w14:textFill>
        </w:rPr>
        <w:t>1</w:t>
      </w:r>
      <w:r>
        <w:rPr>
          <w:bCs/>
          <w:color w:val="000000" w:themeColor="text1"/>
          <w:kern w:val="21"/>
          <w14:textFill>
            <w14:solidFill>
              <w14:schemeClr w14:val="tx1"/>
            </w14:solidFill>
          </w14:textFill>
        </w:rPr>
        <w:t>月</w:t>
      </w:r>
      <w:r>
        <w:rPr>
          <w:rFonts w:hint="eastAsia"/>
          <w:bCs/>
          <w:color w:val="000000" w:themeColor="text1"/>
          <w:kern w:val="21"/>
          <w14:textFill>
            <w14:solidFill>
              <w14:schemeClr w14:val="tx1"/>
            </w14:solidFill>
          </w14:textFill>
        </w:rPr>
        <w:t>1</w:t>
      </w:r>
      <w:r>
        <w:rPr>
          <w:bCs/>
          <w:color w:val="000000" w:themeColor="text1"/>
          <w:kern w:val="21"/>
          <w14:textFill>
            <w14:solidFill>
              <w14:schemeClr w14:val="tx1"/>
            </w14:solidFill>
          </w14:textFill>
        </w:rPr>
        <w:t>日正式投入运行，目前污水处理厂实际收水量为0.8万m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/d左右，目前剩余处理能力为0.2万m</w:t>
      </w:r>
      <w:r>
        <w:rPr>
          <w:bCs/>
          <w:color w:val="000000" w:themeColor="text1"/>
          <w:kern w:val="21"/>
          <w:vertAlign w:val="superscript"/>
          <w14:textFill>
            <w14:solidFill>
              <w14:schemeClr w14:val="tx1"/>
            </w14:solidFill>
          </w14:textFill>
        </w:rPr>
        <w:t>3</w:t>
      </w:r>
      <w:r>
        <w:rPr>
          <w:bCs/>
          <w:color w:val="000000" w:themeColor="text1"/>
          <w:kern w:val="21"/>
          <w14:textFill>
            <w14:solidFill>
              <w14:schemeClr w14:val="tx1"/>
            </w14:solidFill>
          </w14:textFill>
        </w:rPr>
        <w:t>/d。</w:t>
      </w:r>
    </w:p>
    <w:p w14:paraId="5B2C8AA0">
      <w:pPr>
        <w:pStyle w:val="16"/>
        <w:spacing w:after="0" w:line="480" w:lineRule="exact"/>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城东片区新获路以北有现状污水处理厂1座，既获嘉县同盟污水处理厂，处理主城区的生活污水和工业区内生活区的生活污水，污水处理能力为3万m</w:t>
      </w:r>
      <w:r>
        <w:rPr>
          <w:rFonts w:hint="eastAsia"/>
          <w:bCs/>
          <w:color w:val="000000" w:themeColor="text1"/>
          <w:kern w:val="21"/>
          <w:vertAlign w:val="superscript"/>
          <w14:textFill>
            <w14:solidFill>
              <w14:schemeClr w14:val="tx1"/>
            </w14:solidFill>
          </w14:textFill>
        </w:rPr>
        <w:t>3</w:t>
      </w:r>
      <w:r>
        <w:rPr>
          <w:rFonts w:hint="eastAsia"/>
          <w:bCs/>
          <w:color w:val="000000" w:themeColor="text1"/>
          <w:kern w:val="21"/>
          <w14:textFill>
            <w14:solidFill>
              <w14:schemeClr w14:val="tx1"/>
            </w14:solidFill>
          </w14:textFill>
        </w:rPr>
        <w:t>/d，总占地面积2.89公顷，规划远期扩建城市污水处理厂，处理能力增加到7.5万m</w:t>
      </w:r>
      <w:r>
        <w:rPr>
          <w:rFonts w:hint="eastAsia"/>
          <w:bCs/>
          <w:color w:val="000000" w:themeColor="text1"/>
          <w:kern w:val="21"/>
          <w:vertAlign w:val="superscript"/>
          <w14:textFill>
            <w14:solidFill>
              <w14:schemeClr w14:val="tx1"/>
            </w14:solidFill>
          </w14:textFill>
        </w:rPr>
        <w:t>3</w:t>
      </w:r>
      <w:r>
        <w:rPr>
          <w:rFonts w:hint="eastAsia"/>
          <w:bCs/>
          <w:color w:val="000000" w:themeColor="text1"/>
          <w:kern w:val="21"/>
          <w14:textFill>
            <w14:solidFill>
              <w14:schemeClr w14:val="tx1"/>
            </w14:solidFill>
          </w14:textFill>
        </w:rPr>
        <w:t>/d，扩建后占地10.65公顷。新获路以南新建1座集聚区污水处理厂，位于西三路以东、梧桐路以北区域，收集处理城东片区的工业废水，近期日处理污水能力1万m</w:t>
      </w:r>
      <w:r>
        <w:rPr>
          <w:rFonts w:hint="eastAsia"/>
          <w:bCs/>
          <w:color w:val="000000" w:themeColor="text1"/>
          <w:kern w:val="21"/>
          <w:vertAlign w:val="superscript"/>
          <w14:textFill>
            <w14:solidFill>
              <w14:schemeClr w14:val="tx1"/>
            </w14:solidFill>
          </w14:textFill>
        </w:rPr>
        <w:t>3</w:t>
      </w:r>
      <w:r>
        <w:rPr>
          <w:rFonts w:hint="eastAsia"/>
          <w:bCs/>
          <w:color w:val="000000" w:themeColor="text1"/>
          <w:kern w:val="21"/>
          <w14:textFill>
            <w14:solidFill>
              <w14:schemeClr w14:val="tx1"/>
            </w14:solidFill>
          </w14:textFill>
        </w:rPr>
        <w:t>/d，远期日处理能力达到1.5万m</w:t>
      </w:r>
      <w:r>
        <w:rPr>
          <w:rFonts w:hint="eastAsia"/>
          <w:bCs/>
          <w:color w:val="000000" w:themeColor="text1"/>
          <w:kern w:val="21"/>
          <w:vertAlign w:val="superscript"/>
          <w14:textFill>
            <w14:solidFill>
              <w14:schemeClr w14:val="tx1"/>
            </w14:solidFill>
          </w14:textFill>
        </w:rPr>
        <w:t>3</w:t>
      </w:r>
      <w:r>
        <w:rPr>
          <w:rFonts w:hint="eastAsia"/>
          <w:bCs/>
          <w:color w:val="000000" w:themeColor="text1"/>
          <w:kern w:val="21"/>
          <w14:textFill>
            <w14:solidFill>
              <w14:schemeClr w14:val="tx1"/>
            </w14:solidFill>
          </w14:textFill>
        </w:rPr>
        <w:t>/d，占地面积2.33公顷。</w:t>
      </w:r>
    </w:p>
    <w:p w14:paraId="2AD96870">
      <w:pPr>
        <w:pStyle w:val="16"/>
        <w:spacing w:after="0" w:line="480" w:lineRule="exact"/>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本项目废水经厂区内污水处理站处理后经管网排入获嘉县同盟污水处理厂处理，最终排入共产主义渠。</w:t>
      </w:r>
    </w:p>
    <w:p w14:paraId="37994089">
      <w:pPr>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（3）供电工程规划</w:t>
      </w:r>
      <w:bookmarkEnd w:id="215"/>
      <w:bookmarkEnd w:id="216"/>
    </w:p>
    <w:p w14:paraId="515202E5">
      <w:pPr>
        <w:pStyle w:val="16"/>
        <w:spacing w:after="0" w:line="480" w:lineRule="exact"/>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根据规划文本，规划区内用电负荷约为10.8万KW。本次规划4座变电站，其中3座为保留扩建，1座为新建变电站。开贺变、永安变和武王变为保留变电站，将武王变电站增容扩建，主变容量为1×50MVA。新建110KVA用户变电站1座，与煤化工基地热电中心配套，主变容量为3×63MVA。</w:t>
      </w:r>
    </w:p>
    <w:p w14:paraId="3730549A">
      <w:pPr>
        <w:ind w:firstLine="480"/>
        <w:rPr>
          <w:bCs/>
          <w:color w:val="000000" w:themeColor="text1"/>
          <w:kern w:val="21"/>
          <w14:textFill>
            <w14:solidFill>
              <w14:schemeClr w14:val="tx1"/>
            </w14:solidFill>
          </w14:textFill>
        </w:rPr>
      </w:pPr>
      <w:r>
        <w:rPr>
          <w:rFonts w:hint="eastAsia"/>
          <w:bCs/>
          <w:color w:val="000000" w:themeColor="text1"/>
          <w:kern w:val="21"/>
          <w14:textFill>
            <w14:solidFill>
              <w14:schemeClr w14:val="tx1"/>
            </w14:solidFill>
          </w14:textFill>
        </w:rPr>
        <w:t>本项目所需供电依托集聚区，由集聚区统一供给。</w:t>
      </w:r>
    </w:p>
    <w:p w14:paraId="09BCE8D8">
      <w:pPr>
        <w:ind w:firstLine="480"/>
        <w:rPr>
          <w:color w:val="000000" w:themeColor="text1"/>
          <w14:textFill>
            <w14:solidFill>
              <w14:schemeClr w14:val="tx1"/>
            </w14:solidFill>
          </w14:textFill>
        </w:rPr>
      </w:pPr>
      <w:r>
        <w:rPr>
          <w:color w:val="000000" w:themeColor="text1"/>
          <w14:textFill>
            <w14:solidFill>
              <w14:schemeClr w14:val="tx1"/>
            </w14:solidFill>
          </w14:textFill>
        </w:rPr>
        <w:t>（4）供热规划</w:t>
      </w:r>
    </w:p>
    <w:p w14:paraId="0866661D">
      <w:pPr>
        <w:pStyle w:val="16"/>
        <w:spacing w:after="0" w:line="480" w:lineRule="exact"/>
        <w:ind w:firstLine="480"/>
        <w:rPr>
          <w:bCs/>
          <w:color w:val="000000" w:themeColor="text1"/>
          <w:kern w:val="21"/>
          <w14:textFill>
            <w14:solidFill>
              <w14:schemeClr w14:val="tx1"/>
            </w14:solidFill>
          </w14:textFill>
        </w:rPr>
      </w:pPr>
      <w:r>
        <w:rPr>
          <w:bCs/>
          <w:color w:val="000000" w:themeColor="text1"/>
          <w:kern w:val="21"/>
          <w14:textFill>
            <w14:solidFill>
              <w14:schemeClr w14:val="tx1"/>
            </w14:solidFill>
          </w14:textFill>
        </w:rPr>
        <w:t>供热热源：根据规划，产业集聚区规划总热力负荷为25.29万kw。其中北区热力负荷15.57万kw，规划利用现有中新化工和金天化工的富裕蒸汽和工业余热（同时为产业集聚区北区以及获嘉县城供热），规划在产业集聚区北区城南片区设置</w:t>
      </w:r>
      <w:r>
        <w:rPr>
          <w:rFonts w:hint="eastAsia"/>
          <w:bCs/>
          <w:color w:val="000000" w:themeColor="text1"/>
          <w:kern w:val="21"/>
          <w14:textFill>
            <w14:solidFill>
              <w14:schemeClr w14:val="tx1"/>
            </w14:solidFill>
          </w14:textFill>
        </w:rPr>
        <w:t>5</w:t>
      </w:r>
      <w:r>
        <w:rPr>
          <w:bCs/>
          <w:color w:val="000000" w:themeColor="text1"/>
          <w:kern w:val="21"/>
          <w14:textFill>
            <w14:solidFill>
              <w14:schemeClr w14:val="tx1"/>
            </w14:solidFill>
          </w14:textFill>
        </w:rPr>
        <w:t>个热交换站、北区城东片区设置</w:t>
      </w:r>
      <w:r>
        <w:rPr>
          <w:rFonts w:hint="eastAsia"/>
          <w:bCs/>
          <w:color w:val="000000" w:themeColor="text1"/>
          <w:kern w:val="21"/>
          <w14:textFill>
            <w14:solidFill>
              <w14:schemeClr w14:val="tx1"/>
            </w14:solidFill>
          </w14:textFill>
        </w:rPr>
        <w:t>3</w:t>
      </w:r>
      <w:r>
        <w:rPr>
          <w:bCs/>
          <w:color w:val="000000" w:themeColor="text1"/>
          <w:kern w:val="21"/>
          <w14:textFill>
            <w14:solidFill>
              <w14:schemeClr w14:val="tx1"/>
            </w14:solidFill>
          </w14:textFill>
        </w:rPr>
        <w:t>个热交换站。</w:t>
      </w:r>
    </w:p>
    <w:p w14:paraId="62071910">
      <w:pPr>
        <w:pStyle w:val="16"/>
        <w:spacing w:after="0" w:line="480" w:lineRule="exact"/>
        <w:ind w:firstLine="480"/>
        <w:rPr>
          <w:bCs/>
          <w:color w:val="000000" w:themeColor="text1"/>
          <w:kern w:val="21"/>
          <w14:textFill>
            <w14:solidFill>
              <w14:schemeClr w14:val="tx1"/>
            </w14:solidFill>
          </w14:textFill>
        </w:rPr>
      </w:pPr>
      <w:r>
        <w:rPr>
          <w:bCs/>
          <w:color w:val="000000" w:themeColor="text1"/>
          <w:kern w:val="21"/>
          <w14:textFill>
            <w14:solidFill>
              <w14:schemeClr w14:val="tx1"/>
            </w14:solidFill>
          </w14:textFill>
        </w:rPr>
        <w:t>供热现状：目前除科邦化工利用中新化工锅炉富裕蒸汽供热外，中新化工工业循环水为居民供热工程正在建设，即获嘉县产业集聚区尚未实现集中供热，目前部分工业生产用热及部分企事业单位、机关、公共设施的采暖均采用分散锅炉自供，无集中供热设施；产业集聚区南区工业企业用热需求很少、尚无规模化供热设施。</w:t>
      </w:r>
    </w:p>
    <w:p w14:paraId="65360D06">
      <w:pPr>
        <w:pStyle w:val="16"/>
        <w:spacing w:after="0" w:line="480" w:lineRule="exact"/>
        <w:ind w:firstLine="482"/>
        <w:rPr>
          <w:b/>
          <w:color w:val="000000" w:themeColor="text1"/>
          <w:kern w:val="21"/>
          <w:u w:val="none"/>
          <w14:textFill>
            <w14:solidFill>
              <w14:schemeClr w14:val="tx1"/>
            </w14:solidFill>
          </w14:textFill>
        </w:rPr>
      </w:pPr>
      <w:r>
        <w:rPr>
          <w:b/>
          <w:color w:val="000000" w:themeColor="text1"/>
          <w:kern w:val="21"/>
          <w:u w:val="none"/>
          <w14:textFill>
            <w14:solidFill>
              <w14:schemeClr w14:val="tx1"/>
            </w14:solidFill>
          </w14:textFill>
        </w:rPr>
        <w:t>本项目位于城东片区，片区尚未完成集中供热，厂区采用</w:t>
      </w:r>
      <w:r>
        <w:rPr>
          <w:rFonts w:hint="eastAsia"/>
          <w:b/>
          <w:color w:val="000000" w:themeColor="text1"/>
          <w:kern w:val="21"/>
          <w:u w:val="none"/>
          <w:lang w:val="en-US" w:eastAsia="zh-CN"/>
          <w14:textFill>
            <w14:solidFill>
              <w14:schemeClr w14:val="tx1"/>
            </w14:solidFill>
          </w14:textFill>
        </w:rPr>
        <w:t>电蒸汽发生器</w:t>
      </w:r>
      <w:r>
        <w:rPr>
          <w:b/>
          <w:color w:val="000000" w:themeColor="text1"/>
          <w:kern w:val="21"/>
          <w:u w:val="none"/>
          <w14:textFill>
            <w14:solidFill>
              <w14:schemeClr w14:val="tx1"/>
            </w14:solidFill>
          </w14:textFill>
        </w:rPr>
        <w:t>供热，用于生产。</w:t>
      </w:r>
    </w:p>
    <w:p w14:paraId="4C362A7E">
      <w:pPr>
        <w:ind w:firstLine="480"/>
        <w:rPr>
          <w:color w:val="000000" w:themeColor="text1"/>
          <w14:textFill>
            <w14:solidFill>
              <w14:schemeClr w14:val="tx1"/>
            </w14:solidFill>
          </w14:textFill>
        </w:rPr>
      </w:pPr>
      <w:r>
        <w:rPr>
          <w:color w:val="000000" w:themeColor="text1"/>
          <w14:textFill>
            <w14:solidFill>
              <w14:schemeClr w14:val="tx1"/>
            </w14:solidFill>
          </w14:textFill>
        </w:rPr>
        <w:t>（5）燃气规划</w:t>
      </w:r>
    </w:p>
    <w:p w14:paraId="14CA1529">
      <w:pPr>
        <w:ind w:firstLine="480"/>
        <w:rPr>
          <w:color w:val="000000" w:themeColor="text1"/>
          <w14:textFill>
            <w14:solidFill>
              <w14:schemeClr w14:val="tx1"/>
            </w14:solidFill>
          </w14:textFill>
        </w:rPr>
      </w:pPr>
      <w:r>
        <w:rPr>
          <w:bCs/>
          <w:color w:val="000000" w:themeColor="text1"/>
          <w:kern w:val="21"/>
          <w14:textFill>
            <w14:solidFill>
              <w14:schemeClr w14:val="tx1"/>
            </w14:solidFill>
          </w14:textFill>
        </w:rPr>
        <w:t>气源：</w:t>
      </w:r>
      <w:r>
        <w:rPr>
          <w:color w:val="000000" w:themeColor="text1"/>
          <w14:textFill>
            <w14:solidFill>
              <w14:schemeClr w14:val="tx1"/>
            </w14:solidFill>
          </w14:textFill>
        </w:rPr>
        <w:t>规划确定获嘉县的气源采用西气东输一线天然气和西气东输二线天然气。</w:t>
      </w:r>
    </w:p>
    <w:p w14:paraId="2E29B0CF">
      <w:pPr>
        <w:ind w:firstLine="480"/>
        <w:rPr>
          <w:color w:val="000000" w:themeColor="text1"/>
          <w14:textFill>
            <w14:solidFill>
              <w14:schemeClr w14:val="tx1"/>
            </w14:solidFill>
          </w14:textFill>
        </w:rPr>
      </w:pPr>
      <w:r>
        <w:rPr>
          <w:color w:val="000000" w:themeColor="text1"/>
          <w14:textFill>
            <w14:solidFill>
              <w14:schemeClr w14:val="tx1"/>
            </w14:solidFill>
          </w14:textFill>
        </w:rPr>
        <w:t>燃气管网：规划南部片区燃气接入管网由城区新华街和中山路一级输气管网引入，东部片区由城区S308新获快速公路一级输气管网引入。在两个区内各自形成环状管网系统，管径DN200，再由配气管网DN150送至用户，最后经箱式调压器调至低压后送入户内管道。</w:t>
      </w:r>
    </w:p>
    <w:p w14:paraId="5FE22C18">
      <w:pPr>
        <w:ind w:firstLine="480"/>
        <w:rPr>
          <w:color w:val="000000" w:themeColor="text1"/>
          <w:szCs w:val="24"/>
          <w14:textFill>
            <w14:solidFill>
              <w14:schemeClr w14:val="tx1"/>
            </w14:solidFill>
          </w14:textFill>
        </w:rPr>
      </w:pPr>
      <w:bookmarkStart w:id="217" w:name="_Toc508551571"/>
      <w:bookmarkStart w:id="218" w:name="_Toc508096635"/>
      <w:r>
        <w:rPr>
          <w:color w:val="000000" w:themeColor="text1"/>
          <w:szCs w:val="24"/>
          <w14:textFill>
            <w14:solidFill>
              <w14:schemeClr w14:val="tx1"/>
            </w14:solidFill>
          </w14:textFill>
        </w:rPr>
        <w:t>（6）环卫规划</w:t>
      </w:r>
      <w:bookmarkEnd w:id="217"/>
      <w:bookmarkEnd w:id="218"/>
    </w:p>
    <w:p w14:paraId="44802DC5">
      <w:pPr>
        <w:ind w:firstLine="480"/>
        <w:rPr>
          <w:color w:val="000000" w:themeColor="text1"/>
          <w14:textFill>
            <w14:solidFill>
              <w14:schemeClr w14:val="tx1"/>
            </w14:solidFill>
          </w14:textFill>
        </w:rPr>
      </w:pPr>
      <w:r>
        <w:rPr>
          <w:color w:val="000000" w:themeColor="text1"/>
          <w14:textFill>
            <w14:solidFill>
              <w14:schemeClr w14:val="tx1"/>
            </w14:solidFill>
          </w14:textFill>
        </w:rPr>
        <w:t>集聚区内总共设17座垃圾中转站，其中南部片区8座，东部片区9座，服务半径1km，占地面积不小于150m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，周边不小于10m的防护带。</w:t>
      </w:r>
    </w:p>
    <w:p w14:paraId="05963083">
      <w:pPr>
        <w:ind w:firstLine="480"/>
        <w:rPr>
          <w:color w:val="000000" w:themeColor="text1"/>
          <w14:textFill>
            <w14:solidFill>
              <w14:schemeClr w14:val="tx1"/>
            </w14:solidFill>
          </w14:textFill>
        </w:rPr>
      </w:pPr>
      <w:r>
        <w:rPr>
          <w:color w:val="000000" w:themeColor="text1"/>
          <w14:textFill>
            <w14:solidFill>
              <w14:schemeClr w14:val="tx1"/>
            </w14:solidFill>
          </w14:textFill>
        </w:rPr>
        <w:t>规划区内不设垃圾处理厂，垃圾由转运车辆运至获嘉县统一安排的垃圾处理厂，进行无害化处理。固体废物垃圾采用混合收集，采用居民——垃圾箱——垃圾中转站——垃圾处理厂的方法进行收集清运。</w:t>
      </w:r>
    </w:p>
    <w:p w14:paraId="41630AC8">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六</w:t>
      </w:r>
      <w:r>
        <w:rPr>
          <w:bCs/>
          <w:color w:val="000000" w:themeColor="text1"/>
          <w14:textFill>
            <w14:solidFill>
              <w14:schemeClr w14:val="tx1"/>
            </w14:solidFill>
          </w14:textFill>
        </w:rPr>
        <w:t>）环境保护规划</w:t>
      </w:r>
    </w:p>
    <w:p w14:paraId="59669A66">
      <w:pPr>
        <w:ind w:firstLine="480"/>
        <w:rPr>
          <w:bCs/>
          <w:color w:val="000000" w:themeColor="text1"/>
          <w14:textFill>
            <w14:solidFill>
              <w14:schemeClr w14:val="tx1"/>
            </w14:solidFill>
          </w14:textFill>
        </w:rPr>
      </w:pPr>
      <w:bookmarkStart w:id="219" w:name="_Toc508096638"/>
      <w:bookmarkStart w:id="220" w:name="_Toc509935457"/>
      <w:bookmarkStart w:id="221" w:name="_Toc516492294"/>
      <w:bookmarkStart w:id="222" w:name="_Toc508551574"/>
      <w:r>
        <w:rPr>
          <w:bCs/>
          <w:color w:val="000000" w:themeColor="text1"/>
          <w14:textFill>
            <w14:solidFill>
              <w14:schemeClr w14:val="tx1"/>
            </w14:solidFill>
          </w14:textFill>
        </w:rPr>
        <w:t>1、空气环境质量指标</w:t>
      </w:r>
      <w:bookmarkEnd w:id="219"/>
      <w:bookmarkEnd w:id="220"/>
      <w:bookmarkEnd w:id="221"/>
      <w:bookmarkEnd w:id="222"/>
    </w:p>
    <w:p w14:paraId="3B3923A6">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设置常规大气监测点位监督控制环境空气质量，并参照新乡市“创建国家环境保护模范城市”的要求建议规划区大气环境质量达到《环境空气质量标准》（GB3095-2012）二级标准的天数近中期确定为292天，远期确定为300天。</w:t>
      </w:r>
    </w:p>
    <w:p w14:paraId="12AE2E4C">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产业集聚区供热以煤为燃料，经分析计算，采用脱硫工艺处理废气后SO</w:t>
      </w:r>
      <w:r>
        <w:rPr>
          <w:bCs/>
          <w:color w:val="000000" w:themeColor="text1"/>
          <w:vertAlign w:val="subscript"/>
          <w14:textFill>
            <w14:solidFill>
              <w14:schemeClr w14:val="tx1"/>
            </w14:solidFill>
          </w14:textFill>
        </w:rPr>
        <w:t>2</w:t>
      </w:r>
      <w:r>
        <w:rPr>
          <w:bCs/>
          <w:color w:val="000000" w:themeColor="text1"/>
          <w14:textFill>
            <w14:solidFill>
              <w14:schemeClr w14:val="tx1"/>
            </w14:solidFill>
          </w14:textFill>
        </w:rPr>
        <w:t>的近中期排放量为867t/a，远期排放量1012t/a。根据规划区要求，产业集聚区近期（2015年）规划工业总产值为192亿元，远期（2020年）规划工业总产值385亿元，则可计算的近中期万元工业增加值SO</w:t>
      </w:r>
      <w:r>
        <w:rPr>
          <w:bCs/>
          <w:color w:val="000000" w:themeColor="text1"/>
          <w:vertAlign w:val="subscript"/>
          <w14:textFill>
            <w14:solidFill>
              <w14:schemeClr w14:val="tx1"/>
            </w14:solidFill>
          </w14:textFill>
        </w:rPr>
        <w:t>2</w:t>
      </w:r>
      <w:r>
        <w:rPr>
          <w:bCs/>
          <w:color w:val="000000" w:themeColor="text1"/>
          <w14:textFill>
            <w14:solidFill>
              <w14:schemeClr w14:val="tx1"/>
            </w14:solidFill>
          </w14:textFill>
        </w:rPr>
        <w:t>排放量为0.45kg/万元，远期万元工业增加值为0.26kg/万元。</w:t>
      </w:r>
    </w:p>
    <w:p w14:paraId="4E716C34">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规划中的主要发展指标中的单位工业增加值S0</w:t>
      </w:r>
      <w:r>
        <w:rPr>
          <w:bCs/>
          <w:color w:val="000000" w:themeColor="text1"/>
          <w:vertAlign w:val="subscript"/>
          <w14:textFill>
            <w14:solidFill>
              <w14:schemeClr w14:val="tx1"/>
            </w14:solidFill>
          </w14:textFill>
        </w:rPr>
        <w:t>2</w:t>
      </w:r>
      <w:r>
        <w:rPr>
          <w:bCs/>
          <w:color w:val="000000" w:themeColor="text1"/>
          <w14:textFill>
            <w14:solidFill>
              <w14:schemeClr w14:val="tx1"/>
            </w14:solidFill>
          </w14:textFill>
        </w:rPr>
        <w:t>排放量为近中期≤0.45kg/万元，远期≤0.26kg/万元。</w:t>
      </w:r>
    </w:p>
    <w:p w14:paraId="0A51B61B">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集聚区内烟尘控制区覆盖率指标近、远期为100%。</w:t>
      </w:r>
    </w:p>
    <w:p w14:paraId="37B61B65">
      <w:pPr>
        <w:ind w:firstLine="436" w:firstLineChars="182"/>
        <w:rPr>
          <w:bCs/>
          <w:color w:val="000000" w:themeColor="text1"/>
          <w14:textFill>
            <w14:solidFill>
              <w14:schemeClr w14:val="tx1"/>
            </w14:solidFill>
          </w14:textFill>
        </w:rPr>
      </w:pPr>
      <w:bookmarkStart w:id="223" w:name="_Toc516492295"/>
      <w:bookmarkStart w:id="224" w:name="_Toc508551575"/>
      <w:bookmarkStart w:id="225" w:name="_Toc508096639"/>
      <w:bookmarkStart w:id="226" w:name="_Toc509935458"/>
      <w:r>
        <w:rPr>
          <w:bCs/>
          <w:color w:val="000000" w:themeColor="text1"/>
          <w14:textFill>
            <w14:solidFill>
              <w14:schemeClr w14:val="tx1"/>
            </w14:solidFill>
          </w14:textFill>
        </w:rPr>
        <w:t>2、水环境质量指标</w:t>
      </w:r>
      <w:bookmarkEnd w:id="223"/>
      <w:bookmarkEnd w:id="224"/>
      <w:bookmarkEnd w:id="225"/>
      <w:bookmarkEnd w:id="226"/>
    </w:p>
    <w:p w14:paraId="04214406">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集聚区范围内的地表水为共产主义渠，共产主义渠应执行《地表水环境质量标准》（GB3838-2002）</w:t>
      </w:r>
      <w:r>
        <w:rPr>
          <w:bCs/>
          <w:color w:val="000000" w:themeColor="text1"/>
          <w14:textFill>
            <w14:solidFill>
              <w14:schemeClr w14:val="tx1"/>
            </w14:solidFill>
          </w14:textFill>
        </w:rPr>
        <w:fldChar w:fldCharType="begin"/>
      </w:r>
      <w:r>
        <w:rPr>
          <w:bCs/>
          <w:color w:val="000000" w:themeColor="text1"/>
          <w14:textFill>
            <w14:solidFill>
              <w14:schemeClr w14:val="tx1"/>
            </w14:solidFill>
          </w14:textFill>
        </w:rPr>
        <w:instrText xml:space="preserve"> </w:instrText>
      </w:r>
      <w:r>
        <w:rPr>
          <w:rFonts w:hint="eastAsia"/>
          <w:bCs/>
          <w:color w:val="000000" w:themeColor="text1"/>
          <w14:textFill>
            <w14:solidFill>
              <w14:schemeClr w14:val="tx1"/>
            </w14:solidFill>
          </w14:textFill>
        </w:rPr>
        <w:instrText xml:space="preserve">= 4 \* ROMAN</w:instrText>
      </w:r>
      <w:r>
        <w:rPr>
          <w:bCs/>
          <w:color w:val="000000" w:themeColor="text1"/>
          <w14:textFill>
            <w14:solidFill>
              <w14:schemeClr w14:val="tx1"/>
            </w14:solidFill>
          </w14:textFill>
        </w:rPr>
        <w:instrText xml:space="preserve"> </w:instrText>
      </w:r>
      <w:r>
        <w:rPr>
          <w:bCs/>
          <w:color w:val="000000" w:themeColor="text1"/>
          <w14:textFill>
            <w14:solidFill>
              <w14:schemeClr w14:val="tx1"/>
            </w14:solidFill>
          </w14:textFill>
        </w:rPr>
        <w:fldChar w:fldCharType="separate"/>
      </w:r>
      <w:r>
        <w:rPr>
          <w:bCs/>
          <w:color w:val="000000" w:themeColor="text1"/>
          <w14:textFill>
            <w14:solidFill>
              <w14:schemeClr w14:val="tx1"/>
            </w14:solidFill>
          </w14:textFill>
        </w:rPr>
        <w:t>IV</w:t>
      </w:r>
      <w:r>
        <w:rPr>
          <w:bCs/>
          <w:color w:val="000000" w:themeColor="text1"/>
          <w14:textFill>
            <w14:solidFill>
              <w14:schemeClr w14:val="tx1"/>
            </w14:solidFill>
          </w14:textFill>
        </w:rPr>
        <w:fldChar w:fldCharType="end"/>
      </w:r>
      <w:r>
        <w:rPr>
          <w:bCs/>
          <w:color w:val="000000" w:themeColor="text1"/>
          <w14:textFill>
            <w14:solidFill>
              <w14:schemeClr w14:val="tx1"/>
            </w14:solidFill>
          </w14:textFill>
        </w:rPr>
        <w:t>类标准。</w:t>
      </w:r>
    </w:p>
    <w:p w14:paraId="4C4F4DFF">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集聚区地下水环境执行《地下水环境质量标准》（GB/T14848-93）Ⅲ类标准。</w:t>
      </w:r>
    </w:p>
    <w:p w14:paraId="04B3AE0D">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废水经东、南片区两座污水处理厂处理至一级A标准排放。在南片区污水处理厂中水回用40%后，产业集聚区近中期COD排放量为215t/a，远期419t/a。根据规划区要求，产业集聚区近期（2015年）规划工业总产值为192亿元，远期（2020年）规划工业总产值385亿元，则可计算的近中期产业集聚区单位工业增加值COD排放量为0.12kg/万元，远期为0.11kg/万元。</w:t>
      </w:r>
    </w:p>
    <w:p w14:paraId="5947EC2C">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规划集聚区单位工业增加值COD排放量指标调整为近中期≤0.12kg/万元，远期为≤0.11kg/万元。</w:t>
      </w:r>
    </w:p>
    <w:p w14:paraId="4FF0C1EE">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集聚区水功能区水质达标率指标近中期和远期均应达到100%。</w:t>
      </w:r>
    </w:p>
    <w:p w14:paraId="73DF445C">
      <w:pPr>
        <w:ind w:firstLine="480"/>
        <w:rPr>
          <w:bCs/>
          <w:color w:val="000000" w:themeColor="text1"/>
          <w14:textFill>
            <w14:solidFill>
              <w14:schemeClr w14:val="tx1"/>
            </w14:solidFill>
          </w14:textFill>
        </w:rPr>
      </w:pPr>
      <w:bookmarkStart w:id="227" w:name="_Toc508096640"/>
      <w:bookmarkStart w:id="228" w:name="_Toc509935459"/>
      <w:bookmarkStart w:id="229" w:name="_Toc508551576"/>
      <w:bookmarkStart w:id="230" w:name="_Toc516492296"/>
      <w:r>
        <w:rPr>
          <w:bCs/>
          <w:color w:val="000000" w:themeColor="text1"/>
          <w14:textFill>
            <w14:solidFill>
              <w14:schemeClr w14:val="tx1"/>
            </w14:solidFill>
          </w14:textFill>
        </w:rPr>
        <w:t>3、噪声环境指标</w:t>
      </w:r>
      <w:bookmarkEnd w:id="227"/>
      <w:bookmarkEnd w:id="228"/>
      <w:bookmarkEnd w:id="229"/>
      <w:bookmarkEnd w:id="230"/>
    </w:p>
    <w:p w14:paraId="2BEA389F">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规划将集聚区划分为三类噪声功能区：</w:t>
      </w:r>
    </w:p>
    <w:p w14:paraId="164FA594">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居住和商业办公片区为二类噪声功能区，执行《声环境噪声标准》（GB3096-2008）二类标准（昼间60dB，夜间50dB）；</w:t>
      </w:r>
    </w:p>
    <w:p w14:paraId="31E89E55">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工业和仓储片区为三类噪声功能区，执行《声环境质量标准》（GB3096-2008）三类标准（昼间65dB，夜间55dB）；</w:t>
      </w:r>
    </w:p>
    <w:p w14:paraId="5D3652A5">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 xml:space="preserve">主要交通干线两侧区域为四类噪声功能区，执行《声环境质量标准》（GB3096-2008）四类标准（昼间70dB，夜间55dB）。 </w:t>
      </w:r>
    </w:p>
    <w:p w14:paraId="75193002">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集聚区近中期和远期区域噪声控制达标率均应达到100%。</w:t>
      </w:r>
    </w:p>
    <w:p w14:paraId="4281C368">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规划实施过程中，应加强区内交通管理。要求入区企业在选择设备时首选低噪声设备，其次针对不同设备的噪声性质，分别采取相应的防治措施。特别是对机械加工企业，要严格控制噪声排放情况。采取上述措施后，环境噪声达标覆盖率是可以实现的。</w:t>
      </w:r>
    </w:p>
    <w:p w14:paraId="46191A7C">
      <w:pPr>
        <w:ind w:firstLine="436" w:firstLineChars="182"/>
        <w:rPr>
          <w:bCs/>
          <w:color w:val="000000" w:themeColor="text1"/>
          <w14:textFill>
            <w14:solidFill>
              <w14:schemeClr w14:val="tx1"/>
            </w14:solidFill>
          </w14:textFill>
        </w:rPr>
      </w:pPr>
      <w:bookmarkStart w:id="231" w:name="_Toc508096641"/>
      <w:bookmarkStart w:id="232" w:name="_Toc509935460"/>
      <w:bookmarkStart w:id="233" w:name="_Toc516492297"/>
      <w:bookmarkStart w:id="234" w:name="_Toc508551577"/>
      <w:r>
        <w:rPr>
          <w:bCs/>
          <w:color w:val="000000" w:themeColor="text1"/>
          <w14:textFill>
            <w14:solidFill>
              <w14:schemeClr w14:val="tx1"/>
            </w14:solidFill>
          </w14:textFill>
        </w:rPr>
        <w:t>4、固体废弃物指标</w:t>
      </w:r>
      <w:bookmarkEnd w:id="231"/>
      <w:bookmarkEnd w:id="232"/>
      <w:bookmarkEnd w:id="233"/>
      <w:bookmarkEnd w:id="234"/>
    </w:p>
    <w:p w14:paraId="5DC0AD23">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集聚区生活垃圾送至获嘉县生活垃圾处理厂和填埋场，保证无害化处理率应达到100%。</w:t>
      </w:r>
    </w:p>
    <w:p w14:paraId="27259117">
      <w:pPr>
        <w:ind w:firstLine="480"/>
        <w:rPr>
          <w:bCs/>
          <w:color w:val="000000" w:themeColor="text1"/>
          <w14:textFill>
            <w14:solidFill>
              <w14:schemeClr w14:val="tx1"/>
            </w14:solidFill>
          </w14:textFill>
        </w:rPr>
      </w:pPr>
      <w:r>
        <w:rPr>
          <w:bCs/>
          <w:color w:val="000000" w:themeColor="text1"/>
          <w14:textFill>
            <w14:solidFill>
              <w14:schemeClr w14:val="tx1"/>
            </w14:solidFill>
          </w14:textFill>
        </w:rPr>
        <w:t>根据获嘉县环境保</w:t>
      </w:r>
      <w:r>
        <w:rPr>
          <w:rFonts w:hint="eastAsia" w:ascii="宋体" w:hAnsi="宋体" w:eastAsia="宋体" w:cs="宋体"/>
          <w:bCs/>
          <w:color w:val="000000" w:themeColor="text1"/>
          <w14:textFill>
            <w14:solidFill>
              <w14:schemeClr w14:val="tx1"/>
            </w14:solidFill>
          </w14:textFill>
        </w:rPr>
        <w:t>护“十二五”规</w:t>
      </w:r>
      <w:r>
        <w:rPr>
          <w:bCs/>
          <w:color w:val="000000" w:themeColor="text1"/>
          <w14:textFill>
            <w14:solidFill>
              <w14:schemeClr w14:val="tx1"/>
            </w14:solidFill>
          </w14:textFill>
        </w:rPr>
        <w:t>划要求，工业固体废弃物处置率、综合利用率应达到100%，危险废弃物收集率、处置率应达到100%。</w:t>
      </w:r>
    </w:p>
    <w:p w14:paraId="387C7B9D">
      <w:pPr>
        <w:ind w:firstLine="482"/>
        <w:rPr>
          <w:b w:val="0"/>
          <w:bCs/>
          <w:color w:val="000000" w:themeColor="text1"/>
          <w:u w:val="none"/>
          <w14:textFill>
            <w14:solidFill>
              <w14:schemeClr w14:val="tx1"/>
            </w14:solidFill>
          </w14:textFill>
        </w:rPr>
      </w:pPr>
      <w:r>
        <w:rPr>
          <w:b w:val="0"/>
          <w:bCs/>
          <w:color w:val="000000" w:themeColor="text1"/>
          <w:u w:val="none"/>
          <w14:textFill>
            <w14:solidFill>
              <w14:schemeClr w14:val="tx1"/>
            </w14:solidFill>
          </w14:textFill>
        </w:rPr>
        <w:t>（</w:t>
      </w:r>
      <w:r>
        <w:rPr>
          <w:rFonts w:hint="eastAsia"/>
          <w:b w:val="0"/>
          <w:bCs/>
          <w:color w:val="000000" w:themeColor="text1"/>
          <w:u w:val="none"/>
          <w14:textFill>
            <w14:solidFill>
              <w14:schemeClr w14:val="tx1"/>
            </w14:solidFill>
          </w14:textFill>
        </w:rPr>
        <w:t>七</w:t>
      </w:r>
      <w:r>
        <w:rPr>
          <w:b w:val="0"/>
          <w:bCs/>
          <w:color w:val="000000" w:themeColor="text1"/>
          <w:u w:val="none"/>
          <w14:textFill>
            <w14:solidFill>
              <w14:schemeClr w14:val="tx1"/>
            </w14:solidFill>
          </w14:textFill>
        </w:rPr>
        <w:t>）与规划相符性分析</w:t>
      </w:r>
    </w:p>
    <w:p w14:paraId="0553E4C1">
      <w:pPr>
        <w:ind w:firstLine="482"/>
        <w:rPr>
          <w:b w:val="0"/>
          <w:bCs/>
          <w:color w:val="000000" w:themeColor="text1"/>
          <w:u w:val="none"/>
          <w14:textFill>
            <w14:solidFill>
              <w14:schemeClr w14:val="tx1"/>
            </w14:solidFill>
          </w14:textFill>
        </w:rPr>
      </w:pPr>
      <w:r>
        <w:rPr>
          <w:b w:val="0"/>
          <w:bCs/>
          <w:color w:val="000000" w:themeColor="text1"/>
          <w:u w:val="none"/>
          <w14:textFill>
            <w14:solidFill>
              <w14:schemeClr w14:val="tx1"/>
            </w14:solidFill>
          </w14:textFill>
        </w:rPr>
        <w:t>根据规划内容对照，本项目位于获嘉县产业集聚区的东部片区，属于机械装备制造区域。本项目属于产品为</w:t>
      </w:r>
      <w:r>
        <w:rPr>
          <w:rFonts w:hint="eastAsia"/>
          <w:b w:val="0"/>
          <w:bCs/>
          <w:color w:val="000000" w:themeColor="text1"/>
          <w:u w:val="none"/>
          <w:lang w:val="en-US" w:eastAsia="zh-CN"/>
          <w14:textFill>
            <w14:solidFill>
              <w14:schemeClr w14:val="tx1"/>
            </w14:solidFill>
          </w14:textFill>
        </w:rPr>
        <w:t>电池钢壳、盖帽以及电池连接件</w:t>
      </w:r>
      <w:r>
        <w:rPr>
          <w:b w:val="0"/>
          <w:bCs/>
          <w:color w:val="000000" w:themeColor="text1"/>
          <w:u w:val="none"/>
          <w14:textFill>
            <w14:solidFill>
              <w14:schemeClr w14:val="tx1"/>
            </w14:solidFill>
          </w14:textFill>
        </w:rPr>
        <w:t>，本项目属于污染小、能耗低，生产工艺、设备处于先进水平，符合获嘉县产业集聚区规划要求。</w:t>
      </w:r>
    </w:p>
    <w:p w14:paraId="715F9575">
      <w:pPr>
        <w:ind w:firstLine="482"/>
        <w:rPr>
          <w:b w:val="0"/>
          <w:bCs/>
          <w:color w:val="000000" w:themeColor="text1"/>
          <w:u w:val="none"/>
          <w14:textFill>
            <w14:solidFill>
              <w14:schemeClr w14:val="tx1"/>
            </w14:solidFill>
          </w14:textFill>
        </w:rPr>
      </w:pPr>
      <w:r>
        <w:rPr>
          <w:b w:val="0"/>
          <w:bCs/>
          <w:color w:val="000000" w:themeColor="text1"/>
          <w:u w:val="none"/>
          <w14:textFill>
            <w14:solidFill>
              <w14:schemeClr w14:val="tx1"/>
            </w14:solidFill>
          </w14:textFill>
        </w:rPr>
        <w:t>根据获嘉县产业集聚区土地利用规划图可知，项目所在区域规划用地属于二类工业用地，处于机械装备制造产业集群内，项目选址用地性质符合获嘉县产业集聚区土地利用用地规划。</w:t>
      </w:r>
    </w:p>
    <w:p w14:paraId="0A8CBF2D">
      <w:pPr>
        <w:ind w:firstLine="482"/>
        <w:jc w:val="left"/>
        <w:rPr>
          <w:b/>
          <w:color w:val="000000" w:themeColor="text1"/>
          <w:u w:val="none"/>
          <w14:textFill>
            <w14:solidFill>
              <w14:schemeClr w14:val="tx1"/>
            </w14:solidFill>
          </w14:textFill>
        </w:rPr>
      </w:pPr>
      <w:r>
        <w:rPr>
          <w:b w:val="0"/>
          <w:bCs/>
          <w:color w:val="000000" w:themeColor="text1"/>
          <w:u w:val="none"/>
          <w14:textFill>
            <w14:solidFill>
              <w14:schemeClr w14:val="tx1"/>
            </w14:solidFill>
          </w14:textFill>
        </w:rPr>
        <w:t>同时，由于本轮规划已经到期，获嘉县正着手编制新一轮产业集聚区规划，经咨询产业集聚区管委会及规划部门，新一轮规划调整内容并不限制本项目建设，因此，本项目与新一轮产业集聚区规划并不发生冲突</w:t>
      </w:r>
      <w:r>
        <w:rPr>
          <w:b/>
          <w:color w:val="000000" w:themeColor="text1"/>
          <w:u w:val="none"/>
          <w14:textFill>
            <w14:solidFill>
              <w14:schemeClr w14:val="tx1"/>
            </w14:solidFill>
          </w14:textFill>
        </w:rPr>
        <w:t>。</w:t>
      </w:r>
    </w:p>
    <w:p w14:paraId="399D33EE">
      <w:pPr>
        <w:bidi w:val="0"/>
        <w:rPr>
          <w:lang w:val="en-US" w:eastAsia="zh-CN"/>
        </w:rPr>
      </w:pPr>
      <w:r>
        <w:rPr>
          <w:rFonts w:hint="eastAsia"/>
          <w:lang w:val="en-US" w:eastAsia="zh-CN"/>
        </w:rPr>
        <w:t>项目与</w:t>
      </w:r>
      <w:r>
        <w:rPr>
          <w:lang w:val="en-US" w:eastAsia="zh-CN"/>
        </w:rPr>
        <w:t>《</w:t>
      </w:r>
      <w:r>
        <w:rPr>
          <w:rFonts w:hint="eastAsia"/>
          <w:lang w:val="en-US" w:eastAsia="zh-CN"/>
        </w:rPr>
        <w:t>获嘉县产业集聚区总体发展规划</w:t>
      </w:r>
      <w:r>
        <w:rPr>
          <w:lang w:val="en-US" w:eastAsia="zh-CN"/>
        </w:rPr>
        <w:t>（</w:t>
      </w:r>
      <w:r>
        <w:rPr>
          <w:rFonts w:hint="eastAsia"/>
          <w:lang w:val="en-US" w:eastAsia="zh-CN"/>
        </w:rPr>
        <w:t>2016-2020</w:t>
      </w:r>
      <w:r>
        <w:rPr>
          <w:lang w:val="en-US" w:eastAsia="zh-CN"/>
        </w:rPr>
        <w:t>）</w:t>
      </w:r>
      <w:r>
        <w:rPr>
          <w:rFonts w:hint="eastAsia"/>
          <w:lang w:val="en-US" w:eastAsia="zh-CN"/>
        </w:rPr>
        <w:t>调整方案环境影响报告书</w:t>
      </w:r>
      <w:r>
        <w:rPr>
          <w:lang w:val="en-US" w:eastAsia="zh-CN"/>
        </w:rPr>
        <w:t>》审查意见的相符性分析</w:t>
      </w:r>
      <w:r>
        <w:rPr>
          <w:rFonts w:hint="eastAsia"/>
          <w:lang w:val="en-US" w:eastAsia="zh-CN"/>
        </w:rPr>
        <w:t>。</w:t>
      </w:r>
    </w:p>
    <w:p w14:paraId="5EDE08C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lang w:val="pt-BR"/>
        </w:rPr>
      </w:pPr>
      <w:r>
        <w:rPr>
          <w:lang w:val="pt-BR"/>
        </w:rPr>
        <w:t>表</w:t>
      </w:r>
      <w:r>
        <w:rPr>
          <w:rFonts w:hint="eastAsia"/>
          <w:lang w:val="en-US" w:eastAsia="zh-CN"/>
        </w:rPr>
        <w:t>2.10-3</w:t>
      </w:r>
      <w:r>
        <w:rPr>
          <w:lang w:val="pt-BR"/>
        </w:rPr>
        <w:t xml:space="preserve">    </w:t>
      </w:r>
      <w:r>
        <w:rPr>
          <w:rFonts w:hint="eastAsia"/>
          <w:lang w:val="pt-BR"/>
        </w:rPr>
        <w:t xml:space="preserve"> </w:t>
      </w:r>
      <w:r>
        <w:rPr>
          <w:lang w:val="pt-BR"/>
        </w:rPr>
        <w:t>与</w:t>
      </w:r>
      <w:r>
        <w:rPr>
          <w:rFonts w:hint="eastAsia"/>
          <w:lang w:val="en-US" w:eastAsia="zh-CN"/>
        </w:rPr>
        <w:t>集聚区</w:t>
      </w:r>
      <w:r>
        <w:rPr>
          <w:lang w:val="pt-BR"/>
        </w:rPr>
        <w:t>规划环评审查意见的相符性分析</w:t>
      </w:r>
    </w:p>
    <w:tbl>
      <w:tblPr>
        <w:tblStyle w:val="39"/>
        <w:tblW w:w="7926" w:type="dxa"/>
        <w:tblInd w:w="13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48"/>
        <w:gridCol w:w="3885"/>
        <w:gridCol w:w="2811"/>
        <w:gridCol w:w="682"/>
      </w:tblGrid>
      <w:tr w14:paraId="6BC367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8" w:space="0"/>
              <w:left w:val="single" w:color="auto" w:sz="8" w:space="0"/>
              <w:bottom w:val="single" w:color="auto" w:sz="4" w:space="0"/>
              <w:right w:val="single" w:color="auto" w:sz="4" w:space="0"/>
            </w:tcBorders>
            <w:vAlign w:val="center"/>
          </w:tcPr>
          <w:p w14:paraId="6BC3679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b/>
                <w:bCs/>
                <w:sz w:val="21"/>
                <w:szCs w:val="21"/>
              </w:rPr>
            </w:pPr>
            <w:r>
              <w:rPr>
                <w:rFonts w:ascii="宋体" w:hAnsi="宋体"/>
                <w:b/>
                <w:bCs/>
                <w:sz w:val="21"/>
                <w:szCs w:val="21"/>
              </w:rPr>
              <w:t>序号</w:t>
            </w:r>
          </w:p>
        </w:tc>
        <w:tc>
          <w:tcPr>
            <w:tcW w:w="3885" w:type="dxa"/>
            <w:tcBorders>
              <w:top w:val="single" w:color="auto" w:sz="8" w:space="0"/>
              <w:left w:val="single" w:color="auto" w:sz="4" w:space="0"/>
              <w:bottom w:val="single" w:color="auto" w:sz="4" w:space="0"/>
              <w:right w:val="single" w:color="auto" w:sz="4" w:space="0"/>
            </w:tcBorders>
            <w:vAlign w:val="center"/>
          </w:tcPr>
          <w:p w14:paraId="6BC36796">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b/>
                <w:bCs/>
                <w:sz w:val="21"/>
                <w:szCs w:val="21"/>
              </w:rPr>
            </w:pPr>
            <w:r>
              <w:rPr>
                <w:rFonts w:ascii="宋体" w:hAnsi="宋体"/>
                <w:b/>
                <w:bCs/>
                <w:sz w:val="21"/>
                <w:szCs w:val="21"/>
              </w:rPr>
              <w:t>规划环评审查意见</w:t>
            </w:r>
          </w:p>
        </w:tc>
        <w:tc>
          <w:tcPr>
            <w:tcW w:w="2811" w:type="dxa"/>
            <w:tcBorders>
              <w:top w:val="single" w:color="auto" w:sz="8" w:space="0"/>
              <w:left w:val="single" w:color="auto" w:sz="4" w:space="0"/>
              <w:bottom w:val="single" w:color="auto" w:sz="4" w:space="0"/>
              <w:right w:val="single" w:color="auto" w:sz="4" w:space="0"/>
            </w:tcBorders>
            <w:vAlign w:val="center"/>
          </w:tcPr>
          <w:p w14:paraId="6BC3679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宋体" w:hAnsi="宋体"/>
                <w:b/>
                <w:bCs/>
                <w:sz w:val="21"/>
                <w:szCs w:val="21"/>
              </w:rPr>
            </w:pPr>
            <w:r>
              <w:rPr>
                <w:rFonts w:ascii="宋体" w:hAnsi="宋体"/>
                <w:b/>
                <w:bCs/>
                <w:sz w:val="21"/>
                <w:szCs w:val="21"/>
              </w:rPr>
              <w:t>本项目</w:t>
            </w:r>
            <w:r>
              <w:rPr>
                <w:rFonts w:hint="eastAsia" w:ascii="宋体" w:hAnsi="宋体"/>
                <w:b/>
                <w:bCs/>
                <w:sz w:val="21"/>
                <w:szCs w:val="21"/>
              </w:rPr>
              <w:t>情况</w:t>
            </w:r>
          </w:p>
        </w:tc>
        <w:tc>
          <w:tcPr>
            <w:tcW w:w="682" w:type="dxa"/>
            <w:tcBorders>
              <w:top w:val="single" w:color="auto" w:sz="8" w:space="0"/>
              <w:left w:val="single" w:color="auto" w:sz="4" w:space="0"/>
              <w:bottom w:val="single" w:color="auto" w:sz="4" w:space="0"/>
              <w:right w:val="single" w:color="auto" w:sz="8" w:space="0"/>
            </w:tcBorders>
            <w:vAlign w:val="center"/>
          </w:tcPr>
          <w:p w14:paraId="6BC3679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b/>
                <w:bCs/>
                <w:sz w:val="21"/>
                <w:szCs w:val="21"/>
              </w:rPr>
            </w:pPr>
            <w:r>
              <w:rPr>
                <w:rFonts w:ascii="宋体" w:hAnsi="宋体"/>
                <w:b/>
                <w:bCs/>
                <w:sz w:val="21"/>
                <w:szCs w:val="21"/>
              </w:rPr>
              <w:t>相符性</w:t>
            </w:r>
          </w:p>
        </w:tc>
      </w:tr>
      <w:tr w14:paraId="6BC3679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4" w:space="0"/>
              <w:right w:val="single" w:color="auto" w:sz="4" w:space="0"/>
            </w:tcBorders>
            <w:vAlign w:val="center"/>
          </w:tcPr>
          <w:p w14:paraId="6BC3679A">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ascii="Times New Roman" w:hAnsi="Times New Roman" w:cs="Times New Roman"/>
                <w:b w:val="0"/>
                <w:bCs w:val="0"/>
                <w:sz w:val="21"/>
                <w:szCs w:val="21"/>
              </w:rPr>
              <w:t>1</w:t>
            </w:r>
          </w:p>
        </w:tc>
        <w:tc>
          <w:tcPr>
            <w:tcW w:w="3885" w:type="dxa"/>
            <w:tcBorders>
              <w:top w:val="single" w:color="auto" w:sz="4" w:space="0"/>
              <w:left w:val="single" w:color="auto" w:sz="4" w:space="0"/>
              <w:bottom w:val="single" w:color="auto" w:sz="4" w:space="0"/>
              <w:right w:val="single" w:color="auto" w:sz="4" w:space="0"/>
            </w:tcBorders>
            <w:vAlign w:val="center"/>
          </w:tcPr>
          <w:p w14:paraId="6BC3679B">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(一)合理用地布局</w:t>
            </w:r>
          </w:p>
          <w:p w14:paraId="6BC3679C">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进一步加强与城市总体规划、土地利用规划的衔接，保持规划之间一致；优化用地布局，在开发过程中不应随意改变各用地功能区的使用功能，并注重节约集约用地；工业区、生活居住区之间设置绿化隔离带，减轻相互之间的不良影响；认真落实《报告书》提出的对现有与集聚区主导产业规划或空间规划不相符的企业调整建议；加快区内现有项目卫生防护距离内居民搬迁工作，区内新建项目的大气环境防护范围内，不得规划新建居住区、学校、医院等环境敏感目标</w:t>
            </w:r>
            <w:r>
              <w:rPr>
                <w:bCs w:val="0"/>
                <w:sz w:val="21"/>
                <w:szCs w:val="21"/>
              </w:rPr>
              <w:t>。</w:t>
            </w:r>
          </w:p>
        </w:tc>
        <w:tc>
          <w:tcPr>
            <w:tcW w:w="2811" w:type="dxa"/>
            <w:tcBorders>
              <w:top w:val="single" w:color="auto" w:sz="4" w:space="0"/>
              <w:left w:val="single" w:color="auto" w:sz="4" w:space="0"/>
              <w:bottom w:val="single" w:color="auto" w:sz="4" w:space="0"/>
              <w:right w:val="single" w:color="auto" w:sz="4" w:space="0"/>
            </w:tcBorders>
            <w:vAlign w:val="center"/>
          </w:tcPr>
          <w:p w14:paraId="6BC3679D">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bCs w:val="0"/>
                <w:sz w:val="21"/>
                <w:szCs w:val="21"/>
              </w:rPr>
              <w:t>本项目位于</w:t>
            </w:r>
            <w:r>
              <w:rPr>
                <w:rFonts w:hint="eastAsia"/>
                <w:bCs w:val="0"/>
                <w:sz w:val="21"/>
                <w:szCs w:val="21"/>
              </w:rPr>
              <w:t>新乡市获嘉县先进制造业开发区安王路与梧桐路交叉口西100米1号</w:t>
            </w:r>
            <w:r>
              <w:rPr>
                <w:bCs w:val="0"/>
                <w:sz w:val="21"/>
                <w:szCs w:val="21"/>
              </w:rPr>
              <w:t>，</w:t>
            </w:r>
            <w:r>
              <w:rPr>
                <w:rFonts w:hint="eastAsia"/>
                <w:bCs w:val="0"/>
                <w:sz w:val="21"/>
                <w:szCs w:val="21"/>
                <w:lang w:val="en-US" w:eastAsia="zh-CN"/>
              </w:rPr>
              <w:t>属于获嘉县产业集聚区范围内，</w:t>
            </w:r>
            <w:r>
              <w:rPr>
                <w:rFonts w:hint="eastAsia"/>
                <w:bCs w:val="0"/>
                <w:sz w:val="21"/>
                <w:szCs w:val="21"/>
              </w:rPr>
              <w:t>根据获嘉县产业集聚区总体发展规划（2016-2020）-北部产业空间布局图（见附图</w:t>
            </w:r>
            <w:r>
              <w:rPr>
                <w:rFonts w:hint="eastAsia"/>
                <w:bCs w:val="0"/>
                <w:sz w:val="21"/>
                <w:szCs w:val="21"/>
                <w:lang w:val="en-US" w:eastAsia="zh-CN"/>
              </w:rPr>
              <w:t>4</w:t>
            </w:r>
            <w:r>
              <w:rPr>
                <w:rFonts w:hint="eastAsia"/>
                <w:bCs w:val="0"/>
                <w:sz w:val="21"/>
                <w:szCs w:val="21"/>
              </w:rPr>
              <w:t>）可知，项目选址位于机械制造片区，</w:t>
            </w:r>
            <w:r>
              <w:rPr>
                <w:bCs w:val="0"/>
                <w:sz w:val="21"/>
                <w:szCs w:val="21"/>
              </w:rPr>
              <w:t>符合园区功能布局和产业规划</w:t>
            </w:r>
            <w:r>
              <w:rPr>
                <w:rFonts w:hint="eastAsia"/>
                <w:bCs w:val="0"/>
                <w:sz w:val="21"/>
                <w:szCs w:val="21"/>
              </w:rPr>
              <w:t>。本项目无大气环境防护范围。</w:t>
            </w:r>
          </w:p>
        </w:tc>
        <w:tc>
          <w:tcPr>
            <w:tcW w:w="682" w:type="dxa"/>
            <w:tcBorders>
              <w:top w:val="single" w:color="auto" w:sz="4" w:space="0"/>
              <w:left w:val="single" w:color="auto" w:sz="4" w:space="0"/>
              <w:bottom w:val="single" w:color="auto" w:sz="4" w:space="0"/>
              <w:right w:val="single" w:color="auto" w:sz="8" w:space="0"/>
            </w:tcBorders>
            <w:vAlign w:val="center"/>
          </w:tcPr>
          <w:p w14:paraId="6BC3679E">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sz w:val="21"/>
                <w:szCs w:val="21"/>
              </w:rPr>
            </w:pPr>
            <w:r>
              <w:rPr>
                <w:rFonts w:ascii="宋体" w:hAnsi="宋体"/>
                <w:sz w:val="21"/>
                <w:szCs w:val="21"/>
              </w:rPr>
              <w:t>符合</w:t>
            </w:r>
          </w:p>
        </w:tc>
      </w:tr>
      <w:tr w14:paraId="6BC367A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4" w:space="0"/>
              <w:right w:val="single" w:color="auto" w:sz="4" w:space="0"/>
            </w:tcBorders>
            <w:vAlign w:val="center"/>
          </w:tcPr>
          <w:p w14:paraId="6BC367A0">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ascii="Times New Roman" w:hAnsi="Times New Roman" w:cs="Times New Roman"/>
                <w:b w:val="0"/>
                <w:bCs w:val="0"/>
                <w:sz w:val="21"/>
                <w:szCs w:val="21"/>
              </w:rPr>
              <w:t>2</w:t>
            </w:r>
          </w:p>
        </w:tc>
        <w:tc>
          <w:tcPr>
            <w:tcW w:w="3885" w:type="dxa"/>
            <w:tcBorders>
              <w:top w:val="single" w:color="auto" w:sz="4" w:space="0"/>
              <w:left w:val="single" w:color="auto" w:sz="4" w:space="0"/>
              <w:bottom w:val="single" w:color="auto" w:sz="4" w:space="0"/>
              <w:right w:val="single" w:color="auto" w:sz="4" w:space="0"/>
            </w:tcBorders>
            <w:vAlign w:val="center"/>
          </w:tcPr>
          <w:p w14:paraId="6BC367A1">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(二)优化产业结构</w:t>
            </w:r>
          </w:p>
          <w:p w14:paraId="6BC367A2">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入驻项目应遵循循环经济理念，实施清洁生产，逐步优化产业结构，构筑循环经济产业链；鼓励发展主导产业，并不断完善产业链条，北区城南片区发展以新材料为主要方向的化工项目，积极发展高分子粘合剂、涂料、环保基料以及先进陶瓷材料，严格限制精细有机化工合成产业发展；现有煤化工企业维持现状、禁止扩大用地规模，立足于现有装置和产品延伸产业链、通过工艺或环保设施提升改造促进节能减排和降低环境风险，提升改造应严格落实《河南省传统煤化工行业转型发展行动方案(2018-2020年)》(豫政办〔2018〕82号)要求；禁止新建光气、氰化钠、氟乙酸甲酯等剧毒化学品以及硝酸铵、硝化棉等易制爆化学品；禁止新建农药原药、有机颜料、染料及中间体、印染助剂、橡胶助剂项目(鼓励类的产品和生产工艺除外)以及使用高VOC</w:t>
            </w:r>
            <w:r>
              <w:rPr>
                <w:rFonts w:hint="eastAsia"/>
                <w:bCs w:val="0"/>
                <w:sz w:val="21"/>
                <w:szCs w:val="21"/>
                <w:vertAlign w:val="subscript"/>
                <w:lang w:val="en-US" w:eastAsia="zh-CN"/>
              </w:rPr>
              <w:t>S</w:t>
            </w:r>
            <w:r>
              <w:rPr>
                <w:rFonts w:hint="eastAsia"/>
                <w:bCs w:val="0"/>
                <w:sz w:val="21"/>
                <w:szCs w:val="21"/>
              </w:rPr>
              <w:t>含量的溶剂型涂料、油墨和胶黏剂项目。北区城东片区禁止入驻化工项目，在原装备制造业基础上，优先引进科技含量高、污染小、能耗低项目，鼓励实施集中喷涂、集中电镀。南区禁止入驻化工项目</w:t>
            </w:r>
            <w:r>
              <w:rPr>
                <w:bCs w:val="0"/>
                <w:sz w:val="21"/>
                <w:szCs w:val="21"/>
              </w:rPr>
              <w:t>。</w:t>
            </w:r>
          </w:p>
        </w:tc>
        <w:tc>
          <w:tcPr>
            <w:tcW w:w="2811" w:type="dxa"/>
            <w:tcBorders>
              <w:top w:val="single" w:color="auto" w:sz="4" w:space="0"/>
              <w:left w:val="single" w:color="auto" w:sz="4" w:space="0"/>
              <w:bottom w:val="single" w:color="auto" w:sz="4" w:space="0"/>
              <w:right w:val="single" w:color="auto" w:sz="4" w:space="0"/>
            </w:tcBorders>
            <w:vAlign w:val="center"/>
          </w:tcPr>
          <w:p w14:paraId="6BC367A3">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bCs w:val="0"/>
                <w:sz w:val="21"/>
                <w:szCs w:val="21"/>
              </w:rPr>
              <w:t>本项目为</w:t>
            </w:r>
            <w:r>
              <w:rPr>
                <w:rFonts w:hint="eastAsia"/>
                <w:bCs w:val="0"/>
                <w:sz w:val="21"/>
                <w:szCs w:val="21"/>
                <w:lang w:val="en-US" w:eastAsia="zh-CN"/>
              </w:rPr>
              <w:t>新建</w:t>
            </w:r>
            <w:r>
              <w:rPr>
                <w:rFonts w:hint="eastAsia"/>
                <w:bCs w:val="0"/>
                <w:sz w:val="21"/>
                <w:szCs w:val="21"/>
              </w:rPr>
              <w:t>项目，</w:t>
            </w:r>
            <w:r>
              <w:rPr>
                <w:rFonts w:hint="eastAsia"/>
                <w:bCs w:val="0"/>
                <w:sz w:val="21"/>
                <w:szCs w:val="21"/>
                <w:lang w:val="en-US" w:eastAsia="zh-CN"/>
              </w:rPr>
              <w:t>涉及电镀工艺</w:t>
            </w:r>
            <w:r>
              <w:rPr>
                <w:rFonts w:hint="eastAsia"/>
                <w:bCs w:val="0"/>
                <w:sz w:val="21"/>
                <w:szCs w:val="21"/>
              </w:rPr>
              <w:t>，遵循循环经济理念，实施清洁生产，逐步优化产业结构，构筑循环经济产业链。本项目不属于新建光气、氰化钠、氟乙酸甲酯等剧毒化学品以及硝酸铵、硝化棉等项目；不属于新建农药原药、有机颜料、染料及中间体、印染助剂、橡胶助剂项目(鼓励类的产品和生产工艺除外)以及使用高VOC</w:t>
            </w:r>
            <w:r>
              <w:rPr>
                <w:rFonts w:hint="eastAsia"/>
                <w:bCs w:val="0"/>
                <w:sz w:val="21"/>
                <w:szCs w:val="21"/>
                <w:vertAlign w:val="subscript"/>
                <w:lang w:val="en-US" w:eastAsia="zh-CN"/>
              </w:rPr>
              <w:t>S</w:t>
            </w:r>
            <w:r>
              <w:rPr>
                <w:rFonts w:hint="eastAsia"/>
                <w:bCs w:val="0"/>
                <w:sz w:val="21"/>
                <w:szCs w:val="21"/>
              </w:rPr>
              <w:t>含量的溶剂型涂料、油墨和胶黏剂项目。</w:t>
            </w:r>
          </w:p>
          <w:p w14:paraId="6BC367A4">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本项目不属于化工项目。</w:t>
            </w:r>
          </w:p>
        </w:tc>
        <w:tc>
          <w:tcPr>
            <w:tcW w:w="682" w:type="dxa"/>
            <w:tcBorders>
              <w:top w:val="single" w:color="auto" w:sz="4" w:space="0"/>
              <w:left w:val="single" w:color="auto" w:sz="4" w:space="0"/>
              <w:bottom w:val="single" w:color="auto" w:sz="4" w:space="0"/>
              <w:right w:val="single" w:color="auto" w:sz="8" w:space="0"/>
            </w:tcBorders>
            <w:vAlign w:val="center"/>
          </w:tcPr>
          <w:p w14:paraId="6BC367A5">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sz w:val="21"/>
                <w:szCs w:val="21"/>
              </w:rPr>
            </w:pPr>
            <w:r>
              <w:rPr>
                <w:rFonts w:ascii="宋体" w:hAnsi="宋体"/>
                <w:sz w:val="21"/>
                <w:szCs w:val="21"/>
              </w:rPr>
              <w:t>符合</w:t>
            </w:r>
          </w:p>
        </w:tc>
      </w:tr>
      <w:tr w14:paraId="6BC367A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4" w:space="0"/>
              <w:right w:val="single" w:color="auto" w:sz="4" w:space="0"/>
            </w:tcBorders>
            <w:vAlign w:val="center"/>
          </w:tcPr>
          <w:p w14:paraId="6BC367A7">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hint="eastAsia" w:ascii="Times New Roman" w:hAnsi="Times New Roman" w:cs="Times New Roman"/>
                <w:b w:val="0"/>
                <w:bCs w:val="0"/>
                <w:sz w:val="21"/>
                <w:szCs w:val="21"/>
              </w:rPr>
              <w:t>3</w:t>
            </w:r>
          </w:p>
        </w:tc>
        <w:tc>
          <w:tcPr>
            <w:tcW w:w="3885" w:type="dxa"/>
            <w:tcBorders>
              <w:top w:val="single" w:color="auto" w:sz="4" w:space="0"/>
              <w:left w:val="single" w:color="auto" w:sz="4" w:space="0"/>
              <w:bottom w:val="single" w:color="auto" w:sz="4" w:space="0"/>
              <w:right w:val="single" w:color="auto" w:sz="4" w:space="0"/>
            </w:tcBorders>
            <w:vAlign w:val="center"/>
          </w:tcPr>
          <w:p w14:paraId="6BC367A8">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(三)尽快完善环保基础设施</w:t>
            </w:r>
          </w:p>
          <w:p w14:paraId="6BC367A9">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按照“清污分流、雨污分流、中水回用”的要求，加快建设集聚区配套的污水处理厂扩建和中水深度处理回用工程，完善配套污水管网，确保入区企业外排废水全部经管网收集后进入污水处理厂处理，入园企业均不得单独设置废水排放口，减少对纳污水体的影响。进一步优化能源结构，加快集中供热及配套管网建设，实现集中供热。</w:t>
            </w:r>
          </w:p>
          <w:p w14:paraId="6BC367AA">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按照循环经济的要求，提高固体废物的综合利用率，积极探索固废综合利用途径，提高一般工业固废综合利用率，严禁企业随意弃置；危险固废的收集、贮存应满足《危险废物贮存污染控制标准》(GB18597-2001)的要求，并送有资质的危险废物处置单位处置，危险废物的转运应执行《危险废物转移联单管理办法》的有关规定。</w:t>
            </w:r>
          </w:p>
        </w:tc>
        <w:tc>
          <w:tcPr>
            <w:tcW w:w="2811" w:type="dxa"/>
            <w:tcBorders>
              <w:top w:val="single" w:color="auto" w:sz="4" w:space="0"/>
              <w:left w:val="single" w:color="auto" w:sz="4" w:space="0"/>
              <w:bottom w:val="single" w:color="auto" w:sz="4" w:space="0"/>
              <w:right w:val="single" w:color="auto" w:sz="4" w:space="0"/>
            </w:tcBorders>
            <w:vAlign w:val="center"/>
          </w:tcPr>
          <w:p w14:paraId="680D671A">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rFonts w:hint="default"/>
                <w:bCs w:val="0"/>
                <w:sz w:val="21"/>
                <w:szCs w:val="21"/>
                <w:lang w:val="en-US" w:eastAsia="zh-CN"/>
              </w:rPr>
            </w:pPr>
            <w:r>
              <w:rPr>
                <w:rFonts w:hint="eastAsia"/>
                <w:bCs w:val="0"/>
                <w:sz w:val="21"/>
                <w:szCs w:val="21"/>
              </w:rPr>
              <w:t>本项目</w:t>
            </w:r>
            <w:r>
              <w:rPr>
                <w:rFonts w:hint="eastAsia" w:ascii="Times New Roman" w:hAnsi="Times New Roman" w:eastAsia="宋体" w:cs="Times New Roman"/>
                <w:bCs w:val="0"/>
                <w:sz w:val="21"/>
                <w:szCs w:val="21"/>
                <w:lang w:val="en-US" w:eastAsia="zh-CN"/>
              </w:rPr>
              <w:t>含镍废水及</w:t>
            </w:r>
            <w:r>
              <w:rPr>
                <w:rFonts w:hint="eastAsia" w:cs="Times New Roman"/>
                <w:bCs w:val="0"/>
                <w:sz w:val="21"/>
                <w:szCs w:val="21"/>
                <w:lang w:val="en-US" w:eastAsia="zh-CN"/>
              </w:rPr>
              <w:t>含铬废水处理后回用于生产，综合废水经厂区污水处理站处理后、生活污水经厂区化粪池处理后与纯水制备浓水、冲压冷凝水一同经厂区总排口排放至获嘉县同盟污水处理厂处理。</w:t>
            </w:r>
          </w:p>
          <w:p w14:paraId="6BC367AC">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本项目危险固废的收集、贮存应满足《危险废物贮存污染控制标准》（GB18597-2023）的要求，并送有资质的危险废物处置单位处置，危险废物的转运应执行《危险废物转移管理办法》的有关规定。</w:t>
            </w:r>
          </w:p>
        </w:tc>
        <w:tc>
          <w:tcPr>
            <w:tcW w:w="682" w:type="dxa"/>
            <w:tcBorders>
              <w:top w:val="single" w:color="auto" w:sz="4" w:space="0"/>
              <w:left w:val="single" w:color="auto" w:sz="4" w:space="0"/>
              <w:bottom w:val="single" w:color="auto" w:sz="4" w:space="0"/>
              <w:right w:val="single" w:color="auto" w:sz="8" w:space="0"/>
            </w:tcBorders>
            <w:vAlign w:val="center"/>
          </w:tcPr>
          <w:p w14:paraId="6BC367AD">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宋体" w:hAnsi="宋体"/>
                <w:sz w:val="21"/>
                <w:szCs w:val="21"/>
              </w:rPr>
            </w:pPr>
            <w:r>
              <w:rPr>
                <w:rFonts w:hint="eastAsia" w:ascii="宋体" w:hAnsi="宋体"/>
                <w:sz w:val="21"/>
                <w:szCs w:val="21"/>
              </w:rPr>
              <w:t>符合</w:t>
            </w:r>
          </w:p>
        </w:tc>
      </w:tr>
      <w:tr w14:paraId="6BC367B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4" w:space="0"/>
              <w:right w:val="single" w:color="auto" w:sz="4" w:space="0"/>
            </w:tcBorders>
            <w:vAlign w:val="center"/>
          </w:tcPr>
          <w:p w14:paraId="6BC367AF">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hint="eastAsia" w:ascii="Times New Roman" w:hAnsi="Times New Roman" w:cs="Times New Roman"/>
                <w:b w:val="0"/>
                <w:bCs w:val="0"/>
                <w:sz w:val="21"/>
                <w:szCs w:val="21"/>
              </w:rPr>
              <w:t>4</w:t>
            </w:r>
          </w:p>
        </w:tc>
        <w:tc>
          <w:tcPr>
            <w:tcW w:w="3885" w:type="dxa"/>
            <w:tcBorders>
              <w:top w:val="single" w:color="auto" w:sz="4" w:space="0"/>
              <w:left w:val="single" w:color="auto" w:sz="4" w:space="0"/>
              <w:bottom w:val="single" w:color="auto" w:sz="4" w:space="0"/>
              <w:right w:val="single" w:color="auto" w:sz="4" w:space="0"/>
            </w:tcBorders>
            <w:vAlign w:val="center"/>
          </w:tcPr>
          <w:p w14:paraId="6BC367B0">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(四)严格控制污染物排放</w:t>
            </w:r>
          </w:p>
          <w:p w14:paraId="6BC367B1">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严格执行污染物排放总量控制制度，采取调整能源结构、加强污染治理等措施，严格控制烟粉尘、二氧化硫、氮氧化物、VOC</w:t>
            </w:r>
            <w:r>
              <w:rPr>
                <w:rFonts w:hint="eastAsia"/>
                <w:bCs w:val="0"/>
                <w:sz w:val="21"/>
                <w:szCs w:val="21"/>
                <w:vertAlign w:val="subscript"/>
                <w:lang w:val="en-US" w:eastAsia="zh-CN"/>
              </w:rPr>
              <w:t>S</w:t>
            </w:r>
            <w:r>
              <w:rPr>
                <w:rFonts w:hint="eastAsia"/>
                <w:bCs w:val="0"/>
                <w:sz w:val="21"/>
                <w:szCs w:val="21"/>
              </w:rPr>
              <w:t>等大气污染物的排放。抓紧实施中水回用工程，减少废水排放量，保证污水处理设施的正常运行，确保污水处理厂出水执行《城镇污水处理厂污染物排放标准》(GB18918-2002)一级A标准，并尽快对污水处理厂进行提标改造(化学需氧量≤40毫克/升，氨氮≤2毫克/升),减少对纳入水体的影响，确保区域水环境质量达标。尽快实现集聚区集中供水，逐步关停企业自备水井定期对地下水质进行监测，发现问题，及时采取有效防治措施，避免对地下水造成污染。</w:t>
            </w:r>
          </w:p>
        </w:tc>
        <w:tc>
          <w:tcPr>
            <w:tcW w:w="2811" w:type="dxa"/>
            <w:tcBorders>
              <w:top w:val="single" w:color="auto" w:sz="4" w:space="0"/>
              <w:left w:val="single" w:color="auto" w:sz="4" w:space="0"/>
              <w:bottom w:val="single" w:color="auto" w:sz="4" w:space="0"/>
              <w:right w:val="single" w:color="auto" w:sz="4" w:space="0"/>
            </w:tcBorders>
            <w:vAlign w:val="center"/>
          </w:tcPr>
          <w:p w14:paraId="6BC367B2">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本项目严格落实污染物排放总量控制要求，</w:t>
            </w:r>
            <w:r>
              <w:rPr>
                <w:rFonts w:hint="eastAsia" w:ascii="Times New Roman" w:hAnsi="Times New Roman" w:eastAsia="宋体" w:cs="Times New Roman"/>
                <w:bCs w:val="0"/>
                <w:sz w:val="21"/>
                <w:szCs w:val="21"/>
                <w:lang w:val="en-US" w:eastAsia="zh-CN"/>
              </w:rPr>
              <w:t>生产车间酸洗、活化产生的硫酸雾采用两级碱喷淋吸收进行处理，污水处理站废气采用生物除臭滤塔处理，</w:t>
            </w:r>
            <w:r>
              <w:rPr>
                <w:rFonts w:hint="eastAsia"/>
                <w:bCs w:val="0"/>
                <w:sz w:val="21"/>
                <w:szCs w:val="21"/>
              </w:rPr>
              <w:t>各废气经处理后均能达标排放。本项目新增生活污水和生产废水，</w:t>
            </w:r>
            <w:r>
              <w:rPr>
                <w:rFonts w:hint="eastAsia" w:ascii="Times New Roman" w:hAnsi="Times New Roman" w:eastAsia="宋体" w:cs="Times New Roman"/>
                <w:bCs w:val="0"/>
                <w:sz w:val="21"/>
                <w:szCs w:val="21"/>
                <w:lang w:val="en-US" w:eastAsia="zh-CN"/>
              </w:rPr>
              <w:t>含镍废水及</w:t>
            </w:r>
            <w:r>
              <w:rPr>
                <w:rFonts w:hint="eastAsia" w:cs="Times New Roman"/>
                <w:bCs w:val="0"/>
                <w:sz w:val="21"/>
                <w:szCs w:val="21"/>
                <w:lang w:val="en-US" w:eastAsia="zh-CN"/>
              </w:rPr>
              <w:t>含铬废水处理后回用于生产，综合废水经厂区污水处理站处理、生活污水经厂区化粪池处理后与纯水制备浓水、冲压冷凝水一同经厂区总排口排放至获嘉县同盟污水处理厂处理</w:t>
            </w:r>
            <w:r>
              <w:rPr>
                <w:rFonts w:hint="default" w:ascii="Times New Roman" w:hAnsi="Times New Roman" w:eastAsia="宋体" w:cs="Times New Roman"/>
                <w:bCs w:val="0"/>
                <w:sz w:val="21"/>
                <w:szCs w:val="21"/>
              </w:rPr>
              <w:t>，以上各污染物均能够达标排放</w:t>
            </w:r>
            <w:r>
              <w:rPr>
                <w:rFonts w:hint="eastAsia" w:cs="Times New Roman"/>
                <w:bCs w:val="0"/>
                <w:sz w:val="21"/>
                <w:szCs w:val="21"/>
                <w:lang w:eastAsia="zh-CN"/>
              </w:rPr>
              <w:t>。</w:t>
            </w:r>
            <w:r>
              <w:rPr>
                <w:rFonts w:hint="eastAsia"/>
                <w:bCs w:val="0"/>
                <w:sz w:val="21"/>
                <w:szCs w:val="21"/>
              </w:rPr>
              <w:t>获嘉县同盟污水处理厂出水浓度COD、NH</w:t>
            </w:r>
            <w:r>
              <w:rPr>
                <w:rFonts w:hint="eastAsia"/>
                <w:bCs w:val="0"/>
                <w:sz w:val="21"/>
                <w:szCs w:val="21"/>
                <w:vertAlign w:val="subscript"/>
              </w:rPr>
              <w:t>3</w:t>
            </w:r>
            <w:r>
              <w:rPr>
                <w:rFonts w:hint="eastAsia"/>
                <w:bCs w:val="0"/>
                <w:sz w:val="21"/>
                <w:szCs w:val="21"/>
              </w:rPr>
              <w:t>-N、TP执行《地表水环境质量标准》(GB3838-2002)IV类水体标准，SS、TN执行《城镇污水处理厂污染物排放标准》（GB18918-2002）表1一级A的标准要求。本项目用水由园区管网提供，不使用自备井。</w:t>
            </w:r>
          </w:p>
        </w:tc>
        <w:tc>
          <w:tcPr>
            <w:tcW w:w="682" w:type="dxa"/>
            <w:tcBorders>
              <w:top w:val="single" w:color="auto" w:sz="4" w:space="0"/>
              <w:left w:val="single" w:color="auto" w:sz="4" w:space="0"/>
              <w:bottom w:val="single" w:color="auto" w:sz="4" w:space="0"/>
              <w:right w:val="single" w:color="auto" w:sz="8" w:space="0"/>
            </w:tcBorders>
            <w:vAlign w:val="center"/>
          </w:tcPr>
          <w:p w14:paraId="6BC367B3">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宋体" w:hAnsi="宋体"/>
                <w:sz w:val="21"/>
                <w:szCs w:val="21"/>
              </w:rPr>
            </w:pPr>
            <w:r>
              <w:rPr>
                <w:rFonts w:hint="eastAsia" w:ascii="宋体" w:hAnsi="宋体"/>
                <w:sz w:val="21"/>
                <w:szCs w:val="21"/>
              </w:rPr>
              <w:t>符合</w:t>
            </w:r>
          </w:p>
        </w:tc>
      </w:tr>
      <w:tr w14:paraId="6BC367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4" w:space="0"/>
              <w:right w:val="single" w:color="auto" w:sz="4" w:space="0"/>
            </w:tcBorders>
            <w:vAlign w:val="center"/>
          </w:tcPr>
          <w:p w14:paraId="6BC367B5">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hint="eastAsia" w:ascii="Times New Roman" w:hAnsi="Times New Roman" w:cs="Times New Roman"/>
                <w:b w:val="0"/>
                <w:bCs w:val="0"/>
                <w:sz w:val="21"/>
                <w:szCs w:val="21"/>
              </w:rPr>
              <w:t>5</w:t>
            </w:r>
          </w:p>
        </w:tc>
        <w:tc>
          <w:tcPr>
            <w:tcW w:w="3885" w:type="dxa"/>
            <w:tcBorders>
              <w:top w:val="single" w:color="auto" w:sz="4" w:space="0"/>
              <w:left w:val="single" w:color="auto" w:sz="4" w:space="0"/>
              <w:bottom w:val="single" w:color="auto" w:sz="4" w:space="0"/>
              <w:right w:val="single" w:color="auto" w:sz="4" w:space="0"/>
            </w:tcBorders>
            <w:vAlign w:val="center"/>
          </w:tcPr>
          <w:p w14:paraId="6BC367B6">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(五)建立事故风险防范和应急处置体系</w:t>
            </w:r>
          </w:p>
          <w:p w14:paraId="6BC367B7">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加快环境风险预警体系建设，健全环境风险单位信息库，严格危险化学品管理；健全环境风险防控工程，建立企业、产业集聚区和周边水系环境风险防控体系，防止事故排放对地表水环境造成损害；加强环境应急保障体系建设，制定园区及企业环境风险应急预案，明确环境风险防范措施。有计划地组织应急培训和演练，全面提升园区风险防控和事故应急处置能力。</w:t>
            </w:r>
          </w:p>
        </w:tc>
        <w:tc>
          <w:tcPr>
            <w:tcW w:w="2811" w:type="dxa"/>
            <w:tcBorders>
              <w:top w:val="single" w:color="auto" w:sz="4" w:space="0"/>
              <w:left w:val="single" w:color="auto" w:sz="4" w:space="0"/>
              <w:bottom w:val="single" w:color="auto" w:sz="4" w:space="0"/>
              <w:right w:val="single" w:color="auto" w:sz="4" w:space="0"/>
            </w:tcBorders>
            <w:vAlign w:val="center"/>
          </w:tcPr>
          <w:p w14:paraId="6BC367B8">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本项目建成后编制环境风险应急预案，明确环境风险防范措施。</w:t>
            </w:r>
          </w:p>
        </w:tc>
        <w:tc>
          <w:tcPr>
            <w:tcW w:w="682" w:type="dxa"/>
            <w:tcBorders>
              <w:top w:val="single" w:color="auto" w:sz="4" w:space="0"/>
              <w:left w:val="single" w:color="auto" w:sz="4" w:space="0"/>
              <w:bottom w:val="single" w:color="auto" w:sz="4" w:space="0"/>
              <w:right w:val="single" w:color="auto" w:sz="8" w:space="0"/>
            </w:tcBorders>
            <w:vAlign w:val="center"/>
          </w:tcPr>
          <w:p w14:paraId="6BC367B9">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宋体" w:hAnsi="宋体"/>
                <w:sz w:val="21"/>
                <w:szCs w:val="21"/>
              </w:rPr>
            </w:pPr>
            <w:r>
              <w:rPr>
                <w:rFonts w:hint="eastAsia" w:ascii="宋体" w:hAnsi="宋体"/>
                <w:sz w:val="21"/>
                <w:szCs w:val="21"/>
              </w:rPr>
              <w:t>符合</w:t>
            </w:r>
          </w:p>
        </w:tc>
      </w:tr>
      <w:tr w14:paraId="6BC367C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48" w:type="dxa"/>
            <w:tcBorders>
              <w:top w:val="single" w:color="auto" w:sz="4" w:space="0"/>
              <w:left w:val="single" w:color="auto" w:sz="8" w:space="0"/>
              <w:bottom w:val="single" w:color="auto" w:sz="8" w:space="0"/>
              <w:right w:val="single" w:color="auto" w:sz="4" w:space="0"/>
            </w:tcBorders>
            <w:vAlign w:val="center"/>
          </w:tcPr>
          <w:p w14:paraId="6BC367BB">
            <w:pPr>
              <w:pStyle w:val="180"/>
              <w:keepNext w:val="0"/>
              <w:keepLines w:val="0"/>
              <w:pageBreakBefore w:val="0"/>
              <w:widowControl w:val="0"/>
              <w:kinsoku/>
              <w:wordWrap/>
              <w:overflowPunct/>
              <w:topLinePunct w:val="0"/>
              <w:bidi w:val="0"/>
              <w:adjustRightInd w:val="0"/>
              <w:snapToGrid w:val="0"/>
              <w:spacing w:line="240" w:lineRule="auto"/>
              <w:ind w:left="0" w:firstLine="0" w:firstLineChars="0"/>
              <w:jc w:val="center"/>
              <w:textAlignment w:val="baseline"/>
              <w:rPr>
                <w:rFonts w:ascii="Times New Roman" w:hAnsi="Times New Roman" w:cs="Times New Roman"/>
                <w:b w:val="0"/>
                <w:bCs w:val="0"/>
                <w:sz w:val="21"/>
                <w:szCs w:val="21"/>
              </w:rPr>
            </w:pPr>
            <w:r>
              <w:rPr>
                <w:rFonts w:ascii="Times New Roman" w:hAnsi="Times New Roman" w:cs="Times New Roman"/>
                <w:b w:val="0"/>
                <w:bCs w:val="0"/>
                <w:sz w:val="21"/>
                <w:szCs w:val="21"/>
              </w:rPr>
              <w:t>6</w:t>
            </w:r>
          </w:p>
        </w:tc>
        <w:tc>
          <w:tcPr>
            <w:tcW w:w="3885" w:type="dxa"/>
            <w:tcBorders>
              <w:top w:val="single" w:color="auto" w:sz="4" w:space="0"/>
              <w:left w:val="single" w:color="auto" w:sz="4" w:space="0"/>
              <w:bottom w:val="single" w:color="auto" w:sz="8" w:space="0"/>
              <w:right w:val="single" w:color="auto" w:sz="4" w:space="0"/>
            </w:tcBorders>
            <w:vAlign w:val="center"/>
          </w:tcPr>
          <w:p w14:paraId="6BC367BC">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(六)妥善安置搬迁居民</w:t>
            </w:r>
          </w:p>
          <w:p w14:paraId="6BC367BD">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bCs w:val="0"/>
                <w:sz w:val="21"/>
                <w:szCs w:val="21"/>
              </w:rPr>
            </w:pPr>
            <w:r>
              <w:rPr>
                <w:rFonts w:hint="eastAsia"/>
                <w:bCs w:val="0"/>
                <w:sz w:val="21"/>
                <w:szCs w:val="21"/>
              </w:rPr>
              <w:t>根据规划实施的进度，制定详细的搬迁计划，对居民及时搬迁，妥善安置。当地人民政府应加强组织协调，按照《报告书》提出的建议制定详细的搬迁计划和方案，认真组织落实。加强对搬迁居民的培训，积极拓宽就业渠道，注意加强搬迁居民的就业、医疗、社会救助等保障体系建设，保证其生活基本稳定，构建和谐社会。</w:t>
            </w:r>
          </w:p>
        </w:tc>
        <w:tc>
          <w:tcPr>
            <w:tcW w:w="2811" w:type="dxa"/>
            <w:tcBorders>
              <w:top w:val="single" w:color="auto" w:sz="4" w:space="0"/>
              <w:left w:val="single" w:color="auto" w:sz="4" w:space="0"/>
              <w:bottom w:val="single" w:color="auto" w:sz="8" w:space="0"/>
              <w:right w:val="single" w:color="auto" w:sz="4" w:space="0"/>
            </w:tcBorders>
            <w:vAlign w:val="center"/>
          </w:tcPr>
          <w:p w14:paraId="6BC367BE">
            <w:pPr>
              <w:pStyle w:val="181"/>
              <w:keepNext w:val="0"/>
              <w:keepLines w:val="0"/>
              <w:pageBreakBefore w:val="0"/>
              <w:widowControl w:val="0"/>
              <w:kinsoku/>
              <w:wordWrap/>
              <w:overflowPunct/>
              <w:topLinePunct w:val="0"/>
              <w:bidi w:val="0"/>
              <w:adjustRightInd w:val="0"/>
              <w:snapToGrid w:val="0"/>
              <w:spacing w:line="240" w:lineRule="auto"/>
              <w:ind w:firstLine="0" w:firstLineChars="0"/>
              <w:textAlignment w:val="baseline"/>
              <w:rPr>
                <w:rFonts w:hint="eastAsia" w:eastAsia="宋体"/>
                <w:bCs w:val="0"/>
                <w:sz w:val="21"/>
                <w:szCs w:val="21"/>
                <w:lang w:eastAsia="zh-CN"/>
              </w:rPr>
            </w:pPr>
            <w:r>
              <w:rPr>
                <w:rFonts w:hint="eastAsia"/>
                <w:bCs w:val="0"/>
                <w:sz w:val="21"/>
                <w:szCs w:val="21"/>
              </w:rPr>
              <w:t>不涉及</w:t>
            </w:r>
            <w:r>
              <w:rPr>
                <w:rFonts w:hint="eastAsia"/>
                <w:bCs w:val="0"/>
                <w:sz w:val="21"/>
                <w:szCs w:val="21"/>
                <w:lang w:eastAsia="zh-CN"/>
              </w:rPr>
              <w:t>。</w:t>
            </w:r>
          </w:p>
        </w:tc>
        <w:tc>
          <w:tcPr>
            <w:tcW w:w="682" w:type="dxa"/>
            <w:tcBorders>
              <w:top w:val="single" w:color="auto" w:sz="4" w:space="0"/>
              <w:left w:val="single" w:color="auto" w:sz="4" w:space="0"/>
              <w:bottom w:val="single" w:color="auto" w:sz="8" w:space="0"/>
              <w:right w:val="single" w:color="auto" w:sz="8" w:space="0"/>
            </w:tcBorders>
            <w:vAlign w:val="center"/>
          </w:tcPr>
          <w:p w14:paraId="6BC367BF">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eastAsia" w:ascii="宋体" w:hAnsi="宋体"/>
                <w:sz w:val="21"/>
                <w:szCs w:val="21"/>
              </w:rPr>
            </w:pPr>
            <w:r>
              <w:rPr>
                <w:rFonts w:hint="eastAsia" w:ascii="宋体" w:hAnsi="宋体"/>
                <w:sz w:val="21"/>
                <w:szCs w:val="21"/>
              </w:rPr>
              <w:t>/</w:t>
            </w:r>
          </w:p>
        </w:tc>
      </w:tr>
    </w:tbl>
    <w:p w14:paraId="399A7224">
      <w:pPr>
        <w:ind w:firstLine="480"/>
      </w:pPr>
      <w:bookmarkStart w:id="235" w:name="_Toc108122353"/>
      <w:r>
        <w:rPr>
          <w:rFonts w:hint="eastAsia"/>
        </w:rPr>
        <w:t>综上所述，本项目与调整建议不冲突，符合环境准入条件，项目符合《获嘉县产业集聚区总体发展规划（2016-2020）调整方案环境影响报告书》审查意见的要求。</w:t>
      </w:r>
    </w:p>
    <w:p w14:paraId="5C762F1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2.10.3新乡市城市饮用水源保护规划</w:t>
      </w:r>
      <w:bookmarkEnd w:id="198"/>
      <w:bookmarkEnd w:id="199"/>
      <w:bookmarkEnd w:id="200"/>
      <w:bookmarkEnd w:id="201"/>
      <w:bookmarkEnd w:id="202"/>
      <w:bookmarkEnd w:id="235"/>
    </w:p>
    <w:p w14:paraId="729257C3">
      <w:pPr>
        <w:pStyle w:val="5"/>
        <w:tabs>
          <w:tab w:val="clear" w:pos="240"/>
          <w:tab w:val="clear" w:pos="480"/>
          <w:tab w:val="clear" w:pos="1080"/>
          <w:tab w:val="clear" w:pos="1636"/>
        </w:tabs>
        <w:ind w:right="0" w:rightChars="0"/>
      </w:pPr>
      <w:bookmarkStart w:id="236" w:name="_Toc428286807"/>
      <w:bookmarkStart w:id="237" w:name="_Toc428287553"/>
      <w:bookmarkStart w:id="238" w:name="_Toc428287201"/>
      <w:r>
        <w:rPr>
          <w:rFonts w:hint="eastAsia"/>
          <w:lang w:val="en-US" w:eastAsia="zh-CN"/>
        </w:rPr>
        <w:t>2.10.3.1</w:t>
      </w:r>
      <w:r>
        <w:t>新乡市饮用水源保护区</w:t>
      </w:r>
      <w:bookmarkEnd w:id="236"/>
      <w:bookmarkEnd w:id="237"/>
      <w:bookmarkEnd w:id="238"/>
    </w:p>
    <w:p w14:paraId="3CF85892">
      <w:pPr>
        <w:pStyle w:val="72"/>
      </w:pPr>
      <w:r>
        <w:t>《新乡市城市饮用水水源地保护区划分报告》（2007.5）已由河南省人民政府以豫政办[2007]125号文批复</w:t>
      </w:r>
      <w:r>
        <w:rPr>
          <w:rFonts w:hint="eastAsia"/>
        </w:rPr>
        <w:t>以及《七里营引黄水源地饮用水水源保护区划分技术报告》（已由河南省人民政府以豫政文[2018]102号文批复），新乡市城市饮用水水源地保护区划分结果如下表</w:t>
      </w:r>
      <w:r>
        <w:t>。</w:t>
      </w:r>
    </w:p>
    <w:p w14:paraId="1E6AB82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lang w:val="en-US" w:eastAsia="zh-CN"/>
        </w:rPr>
        <w:t>2.10-4</w:t>
      </w:r>
      <w:r>
        <w:rPr>
          <w:rFonts w:hint="eastAsia"/>
        </w:rPr>
        <w:t xml:space="preserve">     </w:t>
      </w:r>
      <w:r>
        <w:t>新乡市城市集中饮用水源地</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937"/>
        <w:gridCol w:w="3568"/>
        <w:gridCol w:w="2348"/>
      </w:tblGrid>
      <w:tr w14:paraId="00B8F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071A9D1A">
            <w:pPr>
              <w:pStyle w:val="81"/>
              <w:rPr>
                <w:color w:val="auto"/>
              </w:rPr>
            </w:pPr>
            <w:r>
              <w:rPr>
                <w:color w:val="auto"/>
              </w:rPr>
              <w:t>序号</w:t>
            </w:r>
          </w:p>
        </w:tc>
        <w:tc>
          <w:tcPr>
            <w:tcW w:w="1135" w:type="pct"/>
            <w:vAlign w:val="center"/>
          </w:tcPr>
          <w:p w14:paraId="2309B016">
            <w:pPr>
              <w:pStyle w:val="81"/>
              <w:rPr>
                <w:color w:val="auto"/>
              </w:rPr>
            </w:pPr>
            <w:r>
              <w:rPr>
                <w:color w:val="auto"/>
              </w:rPr>
              <w:t>水源地名称</w:t>
            </w:r>
          </w:p>
        </w:tc>
        <w:tc>
          <w:tcPr>
            <w:tcW w:w="2091" w:type="pct"/>
            <w:vAlign w:val="center"/>
          </w:tcPr>
          <w:p w14:paraId="45B4F3F7">
            <w:pPr>
              <w:pStyle w:val="81"/>
              <w:rPr>
                <w:color w:val="auto"/>
              </w:rPr>
            </w:pPr>
            <w:r>
              <w:rPr>
                <w:color w:val="auto"/>
              </w:rPr>
              <w:t>一级保护区</w:t>
            </w:r>
          </w:p>
        </w:tc>
        <w:tc>
          <w:tcPr>
            <w:tcW w:w="1376" w:type="pct"/>
            <w:vAlign w:val="center"/>
          </w:tcPr>
          <w:p w14:paraId="4A001881">
            <w:pPr>
              <w:pStyle w:val="81"/>
              <w:rPr>
                <w:color w:val="auto"/>
              </w:rPr>
            </w:pPr>
            <w:r>
              <w:rPr>
                <w:color w:val="auto"/>
              </w:rPr>
              <w:t>二级保护区</w:t>
            </w:r>
          </w:p>
        </w:tc>
      </w:tr>
      <w:tr w14:paraId="60FCC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5396751C">
            <w:pPr>
              <w:pStyle w:val="75"/>
            </w:pPr>
            <w:r>
              <w:t>1</w:t>
            </w:r>
          </w:p>
        </w:tc>
        <w:tc>
          <w:tcPr>
            <w:tcW w:w="1135" w:type="pct"/>
            <w:vAlign w:val="center"/>
          </w:tcPr>
          <w:p w14:paraId="4E1791CF">
            <w:pPr>
              <w:pStyle w:val="75"/>
              <w:jc w:val="left"/>
            </w:pPr>
            <w:r>
              <w:t>黄河贾太湖地表水饮用水源保护区</w:t>
            </w:r>
          </w:p>
        </w:tc>
        <w:tc>
          <w:tcPr>
            <w:tcW w:w="3467" w:type="pct"/>
            <w:gridSpan w:val="2"/>
            <w:vAlign w:val="center"/>
          </w:tcPr>
          <w:p w14:paraId="794180F2">
            <w:pPr>
              <w:pStyle w:val="75"/>
            </w:pPr>
            <w:r>
              <w:rPr>
                <w:rFonts w:hint="eastAsia"/>
              </w:rPr>
              <w:t>豫政文[2018]114号文将其取消</w:t>
            </w:r>
          </w:p>
        </w:tc>
      </w:tr>
      <w:tr w14:paraId="2627E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5B6FAB0E">
            <w:pPr>
              <w:pStyle w:val="75"/>
            </w:pPr>
            <w:r>
              <w:t>2</w:t>
            </w:r>
          </w:p>
        </w:tc>
        <w:tc>
          <w:tcPr>
            <w:tcW w:w="1135" w:type="pct"/>
            <w:vAlign w:val="center"/>
          </w:tcPr>
          <w:p w14:paraId="66022986">
            <w:pPr>
              <w:pStyle w:val="75"/>
              <w:jc w:val="left"/>
            </w:pPr>
            <w:r>
              <w:t>黄河原阳中岳地表水饮用水源保护区</w:t>
            </w:r>
          </w:p>
        </w:tc>
        <w:tc>
          <w:tcPr>
            <w:tcW w:w="3467" w:type="pct"/>
            <w:gridSpan w:val="2"/>
            <w:vAlign w:val="center"/>
          </w:tcPr>
          <w:p w14:paraId="7BFFFA07">
            <w:pPr>
              <w:pStyle w:val="75"/>
            </w:pPr>
            <w:r>
              <w:rPr>
                <w:rFonts w:hint="eastAsia"/>
              </w:rPr>
              <w:t>豫政文[2018]114号文将其取消</w:t>
            </w:r>
          </w:p>
        </w:tc>
      </w:tr>
      <w:tr w14:paraId="6F40C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63766D19">
            <w:pPr>
              <w:pStyle w:val="75"/>
            </w:pPr>
            <w:r>
              <w:t>3</w:t>
            </w:r>
          </w:p>
        </w:tc>
        <w:tc>
          <w:tcPr>
            <w:tcW w:w="1135" w:type="pct"/>
            <w:vAlign w:val="center"/>
          </w:tcPr>
          <w:p w14:paraId="51444D6B">
            <w:pPr>
              <w:pStyle w:val="75"/>
              <w:jc w:val="left"/>
            </w:pPr>
            <w:r>
              <w:t>三水厂地下水饮用水源保护区</w:t>
            </w:r>
          </w:p>
        </w:tc>
        <w:tc>
          <w:tcPr>
            <w:tcW w:w="3467" w:type="pct"/>
            <w:gridSpan w:val="2"/>
            <w:vAlign w:val="center"/>
          </w:tcPr>
          <w:p w14:paraId="445AECF2">
            <w:pPr>
              <w:pStyle w:val="75"/>
            </w:pPr>
            <w:r>
              <w:rPr>
                <w:rFonts w:hint="eastAsia"/>
              </w:rPr>
              <w:t>豫政文[2018]114号文将其取消</w:t>
            </w:r>
          </w:p>
        </w:tc>
      </w:tr>
      <w:tr w14:paraId="433257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54B5F7B5">
            <w:pPr>
              <w:pStyle w:val="75"/>
            </w:pPr>
            <w:r>
              <w:rPr>
                <w:rFonts w:hint="eastAsia"/>
              </w:rPr>
              <w:t>4</w:t>
            </w:r>
          </w:p>
        </w:tc>
        <w:tc>
          <w:tcPr>
            <w:tcW w:w="1135" w:type="pct"/>
            <w:vAlign w:val="center"/>
          </w:tcPr>
          <w:p w14:paraId="63ECBC29">
            <w:pPr>
              <w:pStyle w:val="75"/>
              <w:jc w:val="left"/>
            </w:pPr>
            <w:r>
              <w:t>四水厂地下水饮用水源保护区</w:t>
            </w:r>
          </w:p>
        </w:tc>
        <w:tc>
          <w:tcPr>
            <w:tcW w:w="3467" w:type="pct"/>
            <w:gridSpan w:val="2"/>
            <w:vAlign w:val="center"/>
          </w:tcPr>
          <w:p w14:paraId="0BFB4FD5">
            <w:pPr>
              <w:pStyle w:val="75"/>
            </w:pPr>
            <w:r>
              <w:rPr>
                <w:rFonts w:hint="eastAsia"/>
              </w:rPr>
              <w:t>豫政文[2021]72号文将其取消</w:t>
            </w:r>
          </w:p>
        </w:tc>
      </w:tr>
      <w:tr w14:paraId="70B55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236D8FA0">
            <w:pPr>
              <w:pStyle w:val="75"/>
            </w:pPr>
            <w:r>
              <w:rPr>
                <w:rFonts w:hint="eastAsia"/>
              </w:rPr>
              <w:t>5</w:t>
            </w:r>
          </w:p>
        </w:tc>
        <w:tc>
          <w:tcPr>
            <w:tcW w:w="1135" w:type="pct"/>
            <w:vAlign w:val="center"/>
          </w:tcPr>
          <w:p w14:paraId="3D2BC4DE">
            <w:pPr>
              <w:pStyle w:val="75"/>
              <w:jc w:val="left"/>
            </w:pPr>
            <w:r>
              <w:t>凤泉水厂地下水饮用水源保护区</w:t>
            </w:r>
          </w:p>
        </w:tc>
        <w:tc>
          <w:tcPr>
            <w:tcW w:w="2091" w:type="pct"/>
            <w:vAlign w:val="center"/>
          </w:tcPr>
          <w:p w14:paraId="532C4706">
            <w:pPr>
              <w:pStyle w:val="75"/>
              <w:jc w:val="both"/>
            </w:pPr>
            <w:r>
              <w:t>以水厂东、西两院的院墙为界向外10米以及输水管线两侧10米的区域。</w:t>
            </w:r>
          </w:p>
        </w:tc>
        <w:tc>
          <w:tcPr>
            <w:tcW w:w="1376" w:type="pct"/>
            <w:vAlign w:val="center"/>
          </w:tcPr>
          <w:p w14:paraId="64AD8ADE">
            <w:pPr>
              <w:pStyle w:val="75"/>
              <w:jc w:val="both"/>
            </w:pPr>
            <w:r>
              <w:t>东以团结路为界，其他三面以水厂院墙为界，向外100米的区域。</w:t>
            </w:r>
          </w:p>
        </w:tc>
      </w:tr>
      <w:tr w14:paraId="32BBE5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76E79104">
            <w:pPr>
              <w:pStyle w:val="75"/>
            </w:pPr>
            <w:r>
              <w:rPr>
                <w:rFonts w:hint="eastAsia"/>
              </w:rPr>
              <w:t>6</w:t>
            </w:r>
          </w:p>
        </w:tc>
        <w:tc>
          <w:tcPr>
            <w:tcW w:w="1135" w:type="pct"/>
            <w:vAlign w:val="center"/>
          </w:tcPr>
          <w:p w14:paraId="2CB33A5E">
            <w:pPr>
              <w:pStyle w:val="75"/>
              <w:jc w:val="left"/>
            </w:pPr>
            <w:r>
              <w:t>卫辉市塔岗水库地表水饮用水源保护区</w:t>
            </w:r>
          </w:p>
        </w:tc>
        <w:tc>
          <w:tcPr>
            <w:tcW w:w="2091" w:type="pct"/>
            <w:vAlign w:val="center"/>
          </w:tcPr>
          <w:p w14:paraId="72D301FC">
            <w:pPr>
              <w:pStyle w:val="75"/>
              <w:jc w:val="both"/>
            </w:pPr>
            <w:r>
              <w:t>取水口外围300米的水域、正常水位线取水口一侧200米的陆域及输水管道两侧10米的陆域。</w:t>
            </w:r>
          </w:p>
        </w:tc>
        <w:tc>
          <w:tcPr>
            <w:tcW w:w="1376" w:type="pct"/>
            <w:vAlign w:val="center"/>
          </w:tcPr>
          <w:p w14:paraId="24001896">
            <w:pPr>
              <w:pStyle w:val="75"/>
              <w:jc w:val="both"/>
            </w:pPr>
            <w:r>
              <w:t>一级保护区外的水域及山脊线内、入库河流上游3000米的陆域。</w:t>
            </w:r>
          </w:p>
        </w:tc>
      </w:tr>
      <w:tr w14:paraId="656F59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6D66AD48">
            <w:pPr>
              <w:pStyle w:val="75"/>
            </w:pPr>
            <w:r>
              <w:rPr>
                <w:rFonts w:hint="eastAsia"/>
              </w:rPr>
              <w:t>7</w:t>
            </w:r>
          </w:p>
        </w:tc>
        <w:tc>
          <w:tcPr>
            <w:tcW w:w="1135" w:type="pct"/>
            <w:vAlign w:val="center"/>
          </w:tcPr>
          <w:p w14:paraId="17128D08">
            <w:pPr>
              <w:pStyle w:val="75"/>
              <w:jc w:val="left"/>
            </w:pPr>
            <w:r>
              <w:t>辉县市段屯地下水饮用水源保护区</w:t>
            </w:r>
          </w:p>
        </w:tc>
        <w:tc>
          <w:tcPr>
            <w:tcW w:w="2091" w:type="pct"/>
            <w:vAlign w:val="center"/>
          </w:tcPr>
          <w:p w14:paraId="3DB938B5">
            <w:pPr>
              <w:pStyle w:val="75"/>
              <w:jc w:val="both"/>
            </w:pPr>
            <w:r>
              <w:t>井群外围线以外30米的区域及输水管道两侧10米的陆域。</w:t>
            </w:r>
          </w:p>
        </w:tc>
        <w:tc>
          <w:tcPr>
            <w:tcW w:w="1376" w:type="pct"/>
            <w:vAlign w:val="center"/>
          </w:tcPr>
          <w:p w14:paraId="05C15891">
            <w:pPr>
              <w:pStyle w:val="75"/>
              <w:jc w:val="both"/>
            </w:pPr>
            <w:r>
              <w:t>卫柿路以北，东外环路以东，井群外围线外300米以西和以南的区域。</w:t>
            </w:r>
          </w:p>
        </w:tc>
      </w:tr>
      <w:tr w14:paraId="76C7B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7BD74D0C">
            <w:pPr>
              <w:pStyle w:val="75"/>
            </w:pPr>
            <w:r>
              <w:rPr>
                <w:rFonts w:hint="eastAsia"/>
              </w:rPr>
              <w:t>8</w:t>
            </w:r>
          </w:p>
        </w:tc>
        <w:tc>
          <w:tcPr>
            <w:tcW w:w="1135" w:type="pct"/>
            <w:vAlign w:val="center"/>
          </w:tcPr>
          <w:p w14:paraId="0DB3B66E">
            <w:pPr>
              <w:pStyle w:val="75"/>
              <w:jc w:val="left"/>
            </w:pPr>
            <w:r>
              <w:rPr>
                <w:rFonts w:hint="eastAsia"/>
              </w:rPr>
              <w:t>七里营引黄水源地饮用水水源保护区</w:t>
            </w:r>
          </w:p>
        </w:tc>
        <w:tc>
          <w:tcPr>
            <w:tcW w:w="2091" w:type="pct"/>
            <w:vAlign w:val="center"/>
          </w:tcPr>
          <w:p w14:paraId="426A512F">
            <w:pPr>
              <w:pStyle w:val="75"/>
              <w:jc w:val="both"/>
            </w:pPr>
            <w:r>
              <w:rPr>
                <w:rFonts w:hint="eastAsia"/>
              </w:rPr>
              <w:t>人民胜利渠新乡市界至本源水厂东厂界的30m明渠水域及渠道两侧20m的工程管理陆域范围。</w:t>
            </w:r>
          </w:p>
        </w:tc>
        <w:tc>
          <w:tcPr>
            <w:tcW w:w="1376" w:type="pct"/>
            <w:vAlign w:val="center"/>
          </w:tcPr>
          <w:p w14:paraId="03B94CE6">
            <w:pPr>
              <w:pStyle w:val="75"/>
            </w:pPr>
            <w:r>
              <w:rPr>
                <w:rFonts w:hint="eastAsia"/>
              </w:rPr>
              <w:t>/</w:t>
            </w:r>
          </w:p>
        </w:tc>
      </w:tr>
      <w:tr w14:paraId="481811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Merge w:val="restart"/>
            <w:vAlign w:val="center"/>
          </w:tcPr>
          <w:p w14:paraId="5192DE52">
            <w:pPr>
              <w:pStyle w:val="75"/>
            </w:pPr>
            <w:r>
              <w:rPr>
                <w:rFonts w:hint="eastAsia"/>
              </w:rPr>
              <w:t>9</w:t>
            </w:r>
          </w:p>
        </w:tc>
        <w:tc>
          <w:tcPr>
            <w:tcW w:w="1135" w:type="pct"/>
            <w:vMerge w:val="restart"/>
            <w:vAlign w:val="center"/>
          </w:tcPr>
          <w:p w14:paraId="0A67DAA4">
            <w:pPr>
              <w:pStyle w:val="75"/>
              <w:jc w:val="left"/>
            </w:pPr>
            <w:r>
              <w:rPr>
                <w:rFonts w:hint="eastAsia"/>
              </w:rPr>
              <w:t>凤泉区“千吨万人”集中式饮用水水源保护范围（区）</w:t>
            </w:r>
          </w:p>
        </w:tc>
        <w:tc>
          <w:tcPr>
            <w:tcW w:w="2091" w:type="pct"/>
            <w:vAlign w:val="center"/>
          </w:tcPr>
          <w:p w14:paraId="4D3B79CD">
            <w:pPr>
              <w:pStyle w:val="75"/>
              <w:jc w:val="both"/>
            </w:pPr>
            <w:r>
              <w:rPr>
                <w:rFonts w:hint="eastAsia"/>
              </w:rPr>
              <w:t>凤泉区宝山西路街道小块村南池地下水型水源地（共2眼井）；水厂厂区所包含的区域（1号、2号取水井）</w:t>
            </w:r>
          </w:p>
        </w:tc>
        <w:tc>
          <w:tcPr>
            <w:tcW w:w="1376" w:type="pct"/>
            <w:vMerge w:val="restart"/>
            <w:vAlign w:val="center"/>
          </w:tcPr>
          <w:p w14:paraId="7DBC9E76">
            <w:pPr>
              <w:pStyle w:val="75"/>
            </w:pPr>
            <w:r>
              <w:rPr>
                <w:rFonts w:hint="eastAsia"/>
              </w:rPr>
              <w:t>/</w:t>
            </w:r>
          </w:p>
        </w:tc>
      </w:tr>
      <w:tr w14:paraId="545083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Merge w:val="continue"/>
            <w:vAlign w:val="center"/>
          </w:tcPr>
          <w:p w14:paraId="6E553F7F">
            <w:pPr>
              <w:pStyle w:val="75"/>
            </w:pPr>
          </w:p>
        </w:tc>
        <w:tc>
          <w:tcPr>
            <w:tcW w:w="1135" w:type="pct"/>
            <w:vMerge w:val="continue"/>
            <w:vAlign w:val="center"/>
          </w:tcPr>
          <w:p w14:paraId="5771D8C1">
            <w:pPr>
              <w:pStyle w:val="75"/>
            </w:pPr>
          </w:p>
        </w:tc>
        <w:tc>
          <w:tcPr>
            <w:tcW w:w="2091" w:type="pct"/>
            <w:vAlign w:val="center"/>
          </w:tcPr>
          <w:p w14:paraId="45955A6D">
            <w:pPr>
              <w:pStyle w:val="75"/>
              <w:jc w:val="both"/>
            </w:pPr>
            <w:r>
              <w:rPr>
                <w:rFonts w:hint="eastAsia"/>
              </w:rPr>
              <w:t>凤泉区宝山西路街道东张门村西地下水型水源地（共2眼井）；水厂厂区所包含的区域（1号、2号取水井）</w:t>
            </w:r>
          </w:p>
        </w:tc>
        <w:tc>
          <w:tcPr>
            <w:tcW w:w="1376" w:type="pct"/>
            <w:vMerge w:val="continue"/>
            <w:vAlign w:val="center"/>
          </w:tcPr>
          <w:p w14:paraId="0DBADA2C">
            <w:pPr>
              <w:pStyle w:val="75"/>
            </w:pPr>
          </w:p>
        </w:tc>
      </w:tr>
    </w:tbl>
    <w:p w14:paraId="10B2C80E">
      <w:pPr>
        <w:pStyle w:val="72"/>
      </w:pPr>
      <w:r>
        <w:rPr>
          <w:rFonts w:hint="eastAsia"/>
        </w:rPr>
        <w:t>辉县市段屯地下水饮用水源保护区，本项目距离其约21.1km，不在其保护区范围内，具体相对位置如下图。</w:t>
      </w:r>
    </w:p>
    <w:p w14:paraId="7C78DD58">
      <w:pPr>
        <w:pStyle w:val="72"/>
        <w:spacing w:line="240" w:lineRule="auto"/>
        <w:ind w:firstLine="0" w:firstLineChars="0"/>
        <w:jc w:val="center"/>
      </w:pPr>
      <w:r>
        <w:rPr>
          <w:sz w:val="21"/>
        </w:rPr>
        <mc:AlternateContent>
          <mc:Choice Requires="wps">
            <w:drawing>
              <wp:anchor distT="0" distB="0" distL="114300" distR="114300" simplePos="0" relativeHeight="251676672" behindDoc="0" locked="0" layoutInCell="1" allowOverlap="1">
                <wp:simplePos x="0" y="0"/>
                <wp:positionH relativeFrom="column">
                  <wp:posOffset>4627880</wp:posOffset>
                </wp:positionH>
                <wp:positionV relativeFrom="paragraph">
                  <wp:posOffset>181610</wp:posOffset>
                </wp:positionV>
                <wp:extent cx="582295" cy="608330"/>
                <wp:effectExtent l="4445" t="4445" r="22860" b="15875"/>
                <wp:wrapNone/>
                <wp:docPr id="18" name="上箭头 18"/>
                <wp:cNvGraphicFramePr/>
                <a:graphic xmlns:a="http://schemas.openxmlformats.org/drawingml/2006/main">
                  <a:graphicData uri="http://schemas.microsoft.com/office/word/2010/wordprocessingShape">
                    <wps:wsp>
                      <wps:cNvSpPr/>
                      <wps:spPr>
                        <a:xfrm>
                          <a:off x="0" y="0"/>
                          <a:ext cx="582295" cy="608330"/>
                        </a:xfrm>
                        <a:prstGeom prst="upArrow">
                          <a:avLst>
                            <a:gd name="adj1" fmla="val 50000"/>
                            <a:gd name="adj2" fmla="val 51111"/>
                          </a:avLst>
                        </a:prstGeom>
                        <a:solidFill>
                          <a:schemeClr val="bg1"/>
                        </a:solidFill>
                        <a:ln w="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588E6F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default" w:eastAsiaTheme="minorEastAsia"/>
                                <w:lang w:val="en-US" w:eastAsia="zh-CN"/>
                              </w:rPr>
                            </w:pPr>
                            <w:r>
                              <w:rPr>
                                <w:rFonts w:hint="eastAsia"/>
                                <w:lang w:val="en-US" w:eastAsia="zh-CN"/>
                              </w:rPr>
                              <w:t>b</w:t>
                            </w:r>
                            <w:r>
                              <w:rPr>
                                <w:rFonts w:hint="eastAsia"/>
                                <w:color w:val="000000" w:themeColor="text1"/>
                                <w:highlight w:val="none"/>
                                <w:lang w:val="en-US" w:eastAsia="zh-CN"/>
                                <w14:textFill>
                                  <w14:solidFill>
                                    <w14:schemeClr w14:val="tx1"/>
                                  </w14:solidFill>
                                </w14:textFill>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364.4pt;margin-top:14.3pt;height:47.9pt;width:45.85pt;z-index:251676672;v-text-anchor:middle;mso-width-relative:page;mso-height-relative:page;" fillcolor="#FFFFFF [3212]" filled="t" stroked="t" coordsize="21600,21600" o:gfxdata="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H1Yi87Z&#10;AAAACgEAAA8AAAAAAAAAAQAgAAAAIgAAAGRycy9kb3ducmV2LnhtbFBLAQIUABQAAAAIAIdO4kCm&#10;CTHukQIAADwFAAAOAAAAAAAAAAEAIAAAACgBAABkcnMvZTJvRG9jLnhtbFBLBQYAAAAABgAGAFkB&#10;AAArBgAAAAA=&#10;" adj="10567,5400">
                <v:fill on="t" focussize="0,0"/>
                <v:stroke weight="0pt" color="#000000 [3213]" joinstyle="round"/>
                <v:imagedata o:title=""/>
                <o:lock v:ext="edit" aspectratio="f"/>
                <v:textbox>
                  <w:txbxContent>
                    <w:p w14:paraId="1588E6F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rFonts w:hint="default" w:eastAsiaTheme="minorEastAsia"/>
                          <w:lang w:val="en-US" w:eastAsia="zh-CN"/>
                        </w:rPr>
                      </w:pPr>
                      <w:r>
                        <w:rPr>
                          <w:rFonts w:hint="eastAsia"/>
                          <w:lang w:val="en-US" w:eastAsia="zh-CN"/>
                        </w:rPr>
                        <w:t>b</w:t>
                      </w:r>
                      <w:r>
                        <w:rPr>
                          <w:rFonts w:hint="eastAsia"/>
                          <w:color w:val="000000" w:themeColor="text1"/>
                          <w:highlight w:val="none"/>
                          <w:lang w:val="en-US" w:eastAsia="zh-CN"/>
                          <w14:textFill>
                            <w14:solidFill>
                              <w14:schemeClr w14:val="tx1"/>
                            </w14:solidFill>
                          </w14:textFill>
                        </w:rPr>
                        <w:t>北</w:t>
                      </w:r>
                    </w:p>
                  </w:txbxContent>
                </v:textbox>
              </v:shape>
            </w:pict>
          </mc:Fallback>
        </mc:AlternateContent>
      </w:r>
      <w:r>
        <w:rPr>
          <w:sz w:val="24"/>
        </w:rPr>
        <mc:AlternateContent>
          <mc:Choice Requires="wps">
            <w:drawing>
              <wp:anchor distT="0" distB="0" distL="114300" distR="114300" simplePos="0" relativeHeight="251675648" behindDoc="0" locked="0" layoutInCell="1" allowOverlap="1">
                <wp:simplePos x="0" y="0"/>
                <wp:positionH relativeFrom="column">
                  <wp:posOffset>1645285</wp:posOffset>
                </wp:positionH>
                <wp:positionV relativeFrom="paragraph">
                  <wp:posOffset>1668780</wp:posOffset>
                </wp:positionV>
                <wp:extent cx="1000125" cy="637540"/>
                <wp:effectExtent l="0" t="0" r="9525" b="10160"/>
                <wp:wrapNone/>
                <wp:docPr id="105" name="文本框 105"/>
                <wp:cNvGraphicFramePr/>
                <a:graphic xmlns:a="http://schemas.openxmlformats.org/drawingml/2006/main">
                  <a:graphicData uri="http://schemas.microsoft.com/office/word/2010/wordprocessingShape">
                    <wps:wsp>
                      <wps:cNvSpPr txBox="1"/>
                      <wps:spPr>
                        <a:xfrm>
                          <a:off x="2405380" y="5751195"/>
                          <a:ext cx="1000125" cy="637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A97A1F">
                            <w:pPr>
                              <w:rPr>
                                <w:rFonts w:hint="default" w:eastAsia="宋体"/>
                                <w:color w:val="FF0000"/>
                                <w:sz w:val="21"/>
                                <w:szCs w:val="21"/>
                                <w:lang w:val="en-US" w:eastAsia="zh-CN"/>
                              </w:rPr>
                            </w:pPr>
                            <w:r>
                              <w:rPr>
                                <w:rFonts w:hint="eastAsia"/>
                                <w:color w:val="FF0000"/>
                                <w:sz w:val="21"/>
                                <w:szCs w:val="21"/>
                                <w:lang w:val="en-US" w:eastAsia="zh-CN"/>
                              </w:rPr>
                              <w:t>21.1km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55pt;margin-top:131.4pt;height:50.2pt;width:78.75pt;z-index:251675648;mso-width-relative:page;mso-height-relative:page;" filled="f" stroked="f" coordsize="21600,21600" o:gfxdata="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KaEaC7cAAAACwEAAA8AAAAA&#10;AAAAAQAgAAAAIgAAAGRycy9kb3ducmV2LnhtbFBLAQIUABQAAAAIAIdO4kAH14f5SQIAAHYEAAAO&#10;AAAAAAAAAAEAIAAAACsBAABkcnMvZTJvRG9jLnhtbFBLBQYAAAAABgAGAFkBAADmBQAAAAA=&#10;">
                <v:fill on="f" focussize="0,0"/>
                <v:stroke on="f" weight="0.5pt"/>
                <v:imagedata o:title=""/>
                <o:lock v:ext="edit" aspectratio="f"/>
                <v:textbox>
                  <w:txbxContent>
                    <w:p w14:paraId="75A97A1F">
                      <w:pPr>
                        <w:rPr>
                          <w:rFonts w:hint="default" w:eastAsia="宋体"/>
                          <w:color w:val="FF0000"/>
                          <w:sz w:val="21"/>
                          <w:szCs w:val="21"/>
                          <w:lang w:val="en-US" w:eastAsia="zh-CN"/>
                        </w:rPr>
                      </w:pPr>
                      <w:r>
                        <w:rPr>
                          <w:rFonts w:hint="eastAsia"/>
                          <w:color w:val="FF0000"/>
                          <w:sz w:val="21"/>
                          <w:szCs w:val="21"/>
                          <w:lang w:val="en-US" w:eastAsia="zh-CN"/>
                        </w:rPr>
                        <w:t>21.1km</w:t>
                      </w:r>
                    </w:p>
                  </w:txbxContent>
                </v:textbox>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1510665</wp:posOffset>
                </wp:positionH>
                <wp:positionV relativeFrom="paragraph">
                  <wp:posOffset>1041400</wp:posOffset>
                </wp:positionV>
                <wp:extent cx="1610995" cy="2476500"/>
                <wp:effectExtent l="0" t="0" r="8255" b="0"/>
                <wp:wrapNone/>
                <wp:docPr id="102" name="直接箭头连接符 102"/>
                <wp:cNvGraphicFramePr/>
                <a:graphic xmlns:a="http://schemas.openxmlformats.org/drawingml/2006/main">
                  <a:graphicData uri="http://schemas.microsoft.com/office/word/2010/wordprocessingShape">
                    <wps:wsp>
                      <wps:cNvCnPr/>
                      <wps:spPr>
                        <a:xfrm flipV="1">
                          <a:off x="2651760" y="5513070"/>
                          <a:ext cx="1610995" cy="2476500"/>
                        </a:xfrm>
                        <a:prstGeom prst="straightConnector1">
                          <a:avLst/>
                        </a:prstGeom>
                        <a:ln w="12700" cmpd="sng">
                          <a:solidFill>
                            <a:schemeClr val="tx1"/>
                          </a:solidFill>
                          <a:prstDash val="solid"/>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18.95pt;margin-top:82pt;height:195pt;width:126.85pt;z-index:251674624;mso-width-relative:page;mso-height-relative:page;" filled="f" stroked="t" coordsize="21600,21600" o:gfxdata="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X0dmdtwA&#10;AAALAQAADwAAAAAAAAABACAAAAAiAAAAZHJzL2Rvd25yZXYueG1sUEsBAhQAFAAAAAgAh07iQCFh&#10;xvcbAgAAAQQAAA4AAAAAAAAAAQAgAAAAKwEAAGRycy9lMm9Eb2MueG1sUEsFBgAAAAAGAAYAWQEA&#10;ALgFAAAAAA==&#10;">
                <v:fill on="f" focussize="0,0"/>
                <v:stroke weight="1pt" color="#000000 [3213]" joinstyle="round" startarrow="open" endarrow="open"/>
                <v:imagedata o:title=""/>
                <o:lock v:ext="edit" aspectratio="f"/>
              </v:shape>
            </w:pict>
          </mc:Fallback>
        </mc:AlternateContent>
      </w:r>
      <w:r>
        <w:drawing>
          <wp:inline distT="0" distB="0" distL="114300" distR="114300">
            <wp:extent cx="5270500" cy="3668395"/>
            <wp:effectExtent l="0" t="0" r="6350" b="8255"/>
            <wp:docPr id="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7"/>
                    <pic:cNvPicPr>
                      <a:picLocks noChangeAspect="1"/>
                    </pic:cNvPicPr>
                  </pic:nvPicPr>
                  <pic:blipFill>
                    <a:blip r:embed="rId17"/>
                    <a:stretch>
                      <a:fillRect/>
                    </a:stretch>
                  </pic:blipFill>
                  <pic:spPr>
                    <a:xfrm>
                      <a:off x="0" y="0"/>
                      <a:ext cx="5270500" cy="3668395"/>
                    </a:xfrm>
                    <a:prstGeom prst="rect">
                      <a:avLst/>
                    </a:prstGeom>
                    <a:noFill/>
                    <a:ln>
                      <a:noFill/>
                    </a:ln>
                  </pic:spPr>
                </pic:pic>
              </a:graphicData>
            </a:graphic>
          </wp:inline>
        </w:drawing>
      </w:r>
    </w:p>
    <w:p w14:paraId="11DF086E">
      <w:pPr>
        <w:pStyle w:val="78"/>
        <w:rPr>
          <w:rFonts w:hint="eastAsia"/>
          <w:lang w:val="en-US" w:eastAsia="zh-CN"/>
        </w:rPr>
      </w:pPr>
      <w:r>
        <w:rPr>
          <w:rFonts w:hint="eastAsia"/>
        </w:rPr>
        <w:t xml:space="preserve">图2-3   </w:t>
      </w:r>
      <w:r>
        <w:t xml:space="preserve"> </w:t>
      </w:r>
      <w:r>
        <w:rPr>
          <w:rFonts w:hint="eastAsia"/>
        </w:rPr>
        <w:t>本项目选址与</w:t>
      </w:r>
      <w:r>
        <w:rPr>
          <w:rFonts w:hint="eastAsia"/>
          <w:lang w:val="en-US" w:eastAsia="zh-CN"/>
        </w:rPr>
        <w:t>辉县市段屯地下水井群保护区相对位置图</w:t>
      </w:r>
    </w:p>
    <w:p w14:paraId="345329DF">
      <w:pPr>
        <w:pStyle w:val="72"/>
        <w:rPr>
          <w:rFonts w:hint="eastAsia"/>
        </w:rPr>
      </w:pPr>
      <w:r>
        <w:rPr>
          <w:rFonts w:hint="eastAsia"/>
        </w:rPr>
        <w:t>由上图可知，本项目不在辉县市段屯地下水饮用水源保护区范围内，不会对其产生影响。</w:t>
      </w:r>
    </w:p>
    <w:p w14:paraId="1E158E68">
      <w:pPr>
        <w:pStyle w:val="5"/>
        <w:tabs>
          <w:tab w:val="clear" w:pos="240"/>
          <w:tab w:val="clear" w:pos="480"/>
          <w:tab w:val="clear" w:pos="1080"/>
          <w:tab w:val="clear" w:pos="1636"/>
        </w:tabs>
        <w:ind w:right="0" w:rightChars="0"/>
      </w:pPr>
      <w:r>
        <w:rPr>
          <w:rFonts w:hint="eastAsia"/>
          <w:lang w:val="en-US" w:eastAsia="zh-CN"/>
        </w:rPr>
        <w:t>2.10.3.2</w:t>
      </w:r>
      <w:r>
        <w:rPr>
          <w:rFonts w:hint="eastAsia"/>
        </w:rPr>
        <w:t>获嘉县饮用水源保护区</w:t>
      </w:r>
    </w:p>
    <w:p w14:paraId="1029D0BF">
      <w:pPr>
        <w:ind w:firstLine="480"/>
        <w:rPr>
          <w:rFonts w:hint="eastAsia"/>
          <w:lang w:val="en-US" w:eastAsia="zh-CN"/>
        </w:rPr>
      </w:pPr>
      <w:r>
        <w:rPr>
          <w:rFonts w:hint="eastAsia"/>
          <w:lang w:val="en-US" w:eastAsia="zh-CN"/>
        </w:rPr>
        <w:t>根据河南省人民政府办公厅《关于印发河南省乡镇集中式饮用水水源保护区划的通知》（豫政办</w:t>
      </w:r>
      <w:r>
        <w:rPr>
          <w:rFonts w:hint="eastAsia"/>
        </w:rPr>
        <w:t>[20</w:t>
      </w:r>
      <w:r>
        <w:rPr>
          <w:rFonts w:hint="eastAsia"/>
          <w:lang w:val="en-US" w:eastAsia="zh-CN"/>
        </w:rPr>
        <w:t>16</w:t>
      </w:r>
      <w:r>
        <w:rPr>
          <w:rFonts w:hint="eastAsia"/>
        </w:rPr>
        <w:t>]</w:t>
      </w:r>
      <w:r>
        <w:rPr>
          <w:rFonts w:hint="eastAsia"/>
          <w:lang w:val="en-US" w:eastAsia="zh-CN"/>
        </w:rPr>
        <w:t>23</w:t>
      </w:r>
      <w:r>
        <w:rPr>
          <w:rFonts w:hint="eastAsia"/>
        </w:rPr>
        <w:t>号</w:t>
      </w:r>
      <w:r>
        <w:rPr>
          <w:rFonts w:hint="eastAsia"/>
          <w:lang w:val="en-US" w:eastAsia="zh-CN"/>
        </w:rPr>
        <w:t>），获嘉县境内共有11处饮用水源保护区（其中1处县级、10处乡级），各水源地保护区范围见表2.10-5。</w:t>
      </w:r>
    </w:p>
    <w:p w14:paraId="37FD855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lang w:val="en-US" w:eastAsia="zh-CN"/>
        </w:rPr>
      </w:pPr>
      <w:r>
        <w:t>表</w:t>
      </w:r>
      <w:r>
        <w:rPr>
          <w:rFonts w:hint="eastAsia"/>
        </w:rPr>
        <w:t>2.10-</w:t>
      </w:r>
      <w:r>
        <w:rPr>
          <w:rFonts w:hint="eastAsia"/>
          <w:lang w:val="en-US" w:eastAsia="zh-CN"/>
        </w:rPr>
        <w:t>5</w:t>
      </w:r>
      <w:r>
        <w:rPr>
          <w:rFonts w:hint="eastAsia"/>
        </w:rPr>
        <w:t xml:space="preserve">    </w:t>
      </w:r>
      <w:r>
        <w:rPr>
          <w:rFonts w:hint="eastAsia"/>
          <w:lang w:val="en-US" w:eastAsia="zh-CN"/>
        </w:rPr>
        <w:t>获嘉县饮用水源保护区范围</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290"/>
        <w:gridCol w:w="1050"/>
        <w:gridCol w:w="5644"/>
      </w:tblGrid>
      <w:tr w14:paraId="6C99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4" w:type="dxa"/>
            <w:gridSpan w:val="2"/>
            <w:vAlign w:val="center"/>
          </w:tcPr>
          <w:p w14:paraId="6315C840">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饮用水源地</w:t>
            </w:r>
          </w:p>
        </w:tc>
        <w:tc>
          <w:tcPr>
            <w:tcW w:w="6694" w:type="dxa"/>
            <w:gridSpan w:val="2"/>
            <w:vAlign w:val="center"/>
          </w:tcPr>
          <w:p w14:paraId="4714F3E6">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保护区范围</w:t>
            </w:r>
          </w:p>
        </w:tc>
      </w:tr>
      <w:tr w14:paraId="456E9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13DFDEF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1290" w:type="dxa"/>
            <w:vMerge w:val="restart"/>
            <w:vAlign w:val="center"/>
          </w:tcPr>
          <w:p w14:paraId="59F3172F">
            <w:pPr>
              <w:keepNext w:val="0"/>
              <w:keepLines w:val="0"/>
              <w:pageBreakBefore w:val="0"/>
              <w:widowControl/>
              <w:suppressLineNumbers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获嘉县水厂地下水井群</w:t>
            </w:r>
          </w:p>
        </w:tc>
        <w:tc>
          <w:tcPr>
            <w:tcW w:w="1050" w:type="dxa"/>
            <w:vAlign w:val="center"/>
          </w:tcPr>
          <w:p w14:paraId="3FE3C4AE">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07FFC001">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取水井外围50米的区域</w:t>
            </w:r>
          </w:p>
        </w:tc>
      </w:tr>
      <w:tr w14:paraId="2F1B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44FFF18F">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1C8C5A22">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AA9FEE4">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二级</w:t>
            </w:r>
          </w:p>
        </w:tc>
        <w:tc>
          <w:tcPr>
            <w:tcW w:w="5644" w:type="dxa"/>
            <w:vAlign w:val="center"/>
          </w:tcPr>
          <w:p w14:paraId="14F1ECED">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一级保护区外，1～13号取水井外围550米外公切线所包含的区域，14～15号取水井外围500米的区域</w:t>
            </w:r>
          </w:p>
        </w:tc>
      </w:tr>
      <w:tr w14:paraId="6E85E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53E4260C">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11AC9772">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69E6CA4">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28601E51">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史庄镇1～3号取水井、位庄乡4～15号取水井，共15眼</w:t>
            </w:r>
          </w:p>
        </w:tc>
      </w:tr>
      <w:tr w14:paraId="16236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5CBE3E2D">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1290" w:type="dxa"/>
            <w:vMerge w:val="restart"/>
            <w:vAlign w:val="center"/>
          </w:tcPr>
          <w:p w14:paraId="7E897492">
            <w:pPr>
              <w:keepNext w:val="0"/>
              <w:keepLines w:val="0"/>
              <w:pageBreakBefore w:val="0"/>
              <w:widowControl/>
              <w:suppressLineNumbers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大新庄乡水厂地下水井</w:t>
            </w:r>
          </w:p>
        </w:tc>
        <w:tc>
          <w:tcPr>
            <w:tcW w:w="1050" w:type="dxa"/>
            <w:vAlign w:val="center"/>
          </w:tcPr>
          <w:p w14:paraId="25EDB763">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52688B02">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取水井外围50米外公切线所包含的区域</w:t>
            </w:r>
          </w:p>
        </w:tc>
      </w:tr>
      <w:tr w14:paraId="5BB3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20AC9AB0">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453A841C">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BC97288">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二级</w:t>
            </w:r>
          </w:p>
        </w:tc>
        <w:tc>
          <w:tcPr>
            <w:tcW w:w="5644" w:type="dxa"/>
            <w:vAlign w:val="center"/>
          </w:tcPr>
          <w:p w14:paraId="4A20C86B">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一级保护区外围500米的区域</w:t>
            </w:r>
          </w:p>
        </w:tc>
      </w:tr>
      <w:tr w14:paraId="074E8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651AFFE2">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797C772B">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7F71E0C">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095E6A29">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共2眼井</w:t>
            </w:r>
          </w:p>
        </w:tc>
      </w:tr>
      <w:tr w14:paraId="7B9C1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15EE6078">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1290" w:type="dxa"/>
            <w:vMerge w:val="restart"/>
            <w:vAlign w:val="center"/>
          </w:tcPr>
          <w:p w14:paraId="3BC2A5D0">
            <w:pPr>
              <w:keepNext w:val="0"/>
              <w:keepLines w:val="0"/>
              <w:pageBreakBefore w:val="0"/>
              <w:widowControl/>
              <w:suppressLineNumbers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冯庄镇水厂地下水井</w:t>
            </w:r>
          </w:p>
        </w:tc>
        <w:tc>
          <w:tcPr>
            <w:tcW w:w="1050" w:type="dxa"/>
            <w:vAlign w:val="center"/>
          </w:tcPr>
          <w:p w14:paraId="0F3FE401">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7EAE6801">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取水井外围30米的区域</w:t>
            </w:r>
          </w:p>
        </w:tc>
      </w:tr>
      <w:tr w14:paraId="6506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33592EA9">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7AF550A7">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12D7F9FD">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二级</w:t>
            </w:r>
          </w:p>
        </w:tc>
        <w:tc>
          <w:tcPr>
            <w:tcW w:w="5644" w:type="dxa"/>
            <w:vAlign w:val="center"/>
          </w:tcPr>
          <w:p w14:paraId="03FB3A2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一级保护区外，取水井外围330米、南至225省道的区域</w:t>
            </w:r>
          </w:p>
        </w:tc>
      </w:tr>
      <w:tr w14:paraId="29B37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5A705BC9">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4C0A37C5">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6FDD1C54">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1B291BB9">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共1眼井</w:t>
            </w:r>
          </w:p>
        </w:tc>
      </w:tr>
      <w:tr w14:paraId="10CFB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02F8A943">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1290" w:type="dxa"/>
            <w:vMerge w:val="restart"/>
            <w:vAlign w:val="center"/>
          </w:tcPr>
          <w:p w14:paraId="1663682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中和镇水厂地下水井群</w:t>
            </w:r>
          </w:p>
        </w:tc>
        <w:tc>
          <w:tcPr>
            <w:tcW w:w="1050" w:type="dxa"/>
            <w:vAlign w:val="center"/>
          </w:tcPr>
          <w:p w14:paraId="13F5F95F">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287C452A">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取水井外围30米的区域</w:t>
            </w:r>
          </w:p>
        </w:tc>
      </w:tr>
      <w:tr w14:paraId="4B8D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4F1FCE71">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66E1ECA0">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51D7813E">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79C7299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共2眼井</w:t>
            </w:r>
          </w:p>
        </w:tc>
      </w:tr>
      <w:tr w14:paraId="7FEE2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7DD53D1E">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1290" w:type="dxa"/>
            <w:vMerge w:val="restart"/>
            <w:vAlign w:val="center"/>
          </w:tcPr>
          <w:p w14:paraId="5AA399BA">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太山乡水厂地下水井群</w:t>
            </w:r>
          </w:p>
        </w:tc>
        <w:tc>
          <w:tcPr>
            <w:tcW w:w="1050" w:type="dxa"/>
            <w:vAlign w:val="center"/>
          </w:tcPr>
          <w:p w14:paraId="12E6DA33">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75B9A484">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取水井外围50米的区域</w:t>
            </w:r>
          </w:p>
        </w:tc>
      </w:tr>
      <w:tr w14:paraId="4FE1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741F1C2C">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780957D4">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59E6D48">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513BA515">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共2眼井</w:t>
            </w:r>
          </w:p>
        </w:tc>
      </w:tr>
      <w:tr w14:paraId="5D4F6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2A1E44F2">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6</w:t>
            </w:r>
          </w:p>
        </w:tc>
        <w:tc>
          <w:tcPr>
            <w:tcW w:w="1290" w:type="dxa"/>
            <w:vMerge w:val="restart"/>
            <w:vAlign w:val="center"/>
          </w:tcPr>
          <w:p w14:paraId="4E31BE4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亢村镇水厂地下水井群</w:t>
            </w:r>
          </w:p>
        </w:tc>
        <w:tc>
          <w:tcPr>
            <w:tcW w:w="1050" w:type="dxa"/>
            <w:vAlign w:val="center"/>
          </w:tcPr>
          <w:p w14:paraId="5488D720">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3A8D0E5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取水井外围50米的区域</w:t>
            </w:r>
          </w:p>
        </w:tc>
      </w:tr>
      <w:tr w14:paraId="10F5E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4640DF22">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30B291A6">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13EF0A78">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二级</w:t>
            </w:r>
          </w:p>
        </w:tc>
        <w:tc>
          <w:tcPr>
            <w:tcW w:w="5644" w:type="dxa"/>
            <w:vAlign w:val="center"/>
          </w:tcPr>
          <w:p w14:paraId="5031714C">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一级保护区外，井群外包线外围550米至京广铁路的区域</w:t>
            </w:r>
          </w:p>
        </w:tc>
      </w:tr>
      <w:tr w14:paraId="4954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18CC5817">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329F3CFB">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550B8965">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345E5079">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共3眼井</w:t>
            </w:r>
          </w:p>
        </w:tc>
      </w:tr>
      <w:tr w14:paraId="6E350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58796D7B">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7</w:t>
            </w:r>
          </w:p>
        </w:tc>
        <w:tc>
          <w:tcPr>
            <w:tcW w:w="1290" w:type="dxa"/>
            <w:vMerge w:val="restart"/>
            <w:vAlign w:val="center"/>
          </w:tcPr>
          <w:p w14:paraId="7363C677">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徐营镇水厂地下水井群</w:t>
            </w:r>
          </w:p>
        </w:tc>
        <w:tc>
          <w:tcPr>
            <w:tcW w:w="1050" w:type="dxa"/>
            <w:vAlign w:val="center"/>
          </w:tcPr>
          <w:p w14:paraId="503AAB40">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53D83D17">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取水井外围50米的区域</w:t>
            </w:r>
          </w:p>
        </w:tc>
      </w:tr>
      <w:tr w14:paraId="548D8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45B8B119">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2B3DB8DD">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326FB18E">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4318E062">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共2眼井</w:t>
            </w:r>
          </w:p>
        </w:tc>
      </w:tr>
      <w:tr w14:paraId="30ABE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3171A116">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8</w:t>
            </w:r>
          </w:p>
        </w:tc>
        <w:tc>
          <w:tcPr>
            <w:tcW w:w="1290" w:type="dxa"/>
            <w:vMerge w:val="restart"/>
            <w:vAlign w:val="center"/>
          </w:tcPr>
          <w:p w14:paraId="525BB648">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黄堤镇水厂地下水井群</w:t>
            </w:r>
          </w:p>
        </w:tc>
        <w:tc>
          <w:tcPr>
            <w:tcW w:w="1050" w:type="dxa"/>
            <w:vAlign w:val="center"/>
          </w:tcPr>
          <w:p w14:paraId="5890AE29">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6DF2EED1">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取水井外围30米的区域</w:t>
            </w:r>
          </w:p>
        </w:tc>
      </w:tr>
      <w:tr w14:paraId="41EA1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125BFDA8">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41B61F0E">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11D0E83C">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35EF1A70">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共2眼井</w:t>
            </w:r>
          </w:p>
        </w:tc>
      </w:tr>
      <w:tr w14:paraId="1537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06611461">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9</w:t>
            </w:r>
          </w:p>
        </w:tc>
        <w:tc>
          <w:tcPr>
            <w:tcW w:w="1290" w:type="dxa"/>
            <w:vMerge w:val="restart"/>
            <w:vAlign w:val="center"/>
          </w:tcPr>
          <w:p w14:paraId="2BC41019">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位庄乡水厂地下水井群</w:t>
            </w:r>
          </w:p>
        </w:tc>
        <w:tc>
          <w:tcPr>
            <w:tcW w:w="1050" w:type="dxa"/>
            <w:vAlign w:val="center"/>
          </w:tcPr>
          <w:p w14:paraId="313459E7">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2977C70B">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取水井外围50米的区域</w:t>
            </w:r>
          </w:p>
        </w:tc>
      </w:tr>
      <w:tr w14:paraId="104F7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3E0488BC">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667CD769">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04CE6BDC">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14A9AA9F">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共3眼井</w:t>
            </w:r>
          </w:p>
        </w:tc>
      </w:tr>
      <w:tr w14:paraId="039F2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3005B592">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w:t>
            </w:r>
          </w:p>
        </w:tc>
        <w:tc>
          <w:tcPr>
            <w:tcW w:w="1290" w:type="dxa"/>
            <w:vMerge w:val="restart"/>
            <w:vAlign w:val="center"/>
          </w:tcPr>
          <w:p w14:paraId="013E0E11">
            <w:pPr>
              <w:keepNext w:val="0"/>
              <w:keepLines w:val="0"/>
              <w:pageBreakBefore w:val="0"/>
              <w:widowControl/>
              <w:suppressLineNumbers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照镜镇水厂地下水井群</w:t>
            </w:r>
          </w:p>
        </w:tc>
        <w:tc>
          <w:tcPr>
            <w:tcW w:w="1050" w:type="dxa"/>
            <w:vAlign w:val="center"/>
          </w:tcPr>
          <w:p w14:paraId="1D381442">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10EBB1E7">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取水井外围50米的区域</w:t>
            </w:r>
          </w:p>
        </w:tc>
      </w:tr>
      <w:tr w14:paraId="190DC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15275FE7">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737B44A1">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5A5F2F0D">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二级</w:t>
            </w:r>
          </w:p>
        </w:tc>
        <w:tc>
          <w:tcPr>
            <w:tcW w:w="5644" w:type="dxa"/>
            <w:vAlign w:val="center"/>
          </w:tcPr>
          <w:p w14:paraId="4ED01C0D">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一级保护区外，取水井外围550米外公切线所包含的区域</w:t>
            </w:r>
          </w:p>
        </w:tc>
      </w:tr>
      <w:tr w14:paraId="662A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2D3D08C4">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09E4C48E">
            <w:pPr>
              <w:pStyle w:val="55"/>
              <w:keepNext w:val="0"/>
              <w:keepLines w:val="0"/>
              <w:pageBreakBefore w:val="0"/>
              <w:kinsoku/>
              <w:wordWrap/>
              <w:overflowPunct/>
              <w:topLinePunct w:val="0"/>
              <w:bidi w:val="0"/>
              <w:adjustRightInd w:val="0"/>
              <w:snapToGrid/>
              <w:spacing w:line="240" w:lineRule="auto"/>
              <w:ind w:firstLine="0" w:firstLineChars="0"/>
              <w:jc w:val="left"/>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45603514">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52E92116">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共2眼井</w:t>
            </w:r>
          </w:p>
        </w:tc>
      </w:tr>
      <w:tr w14:paraId="7A2A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restart"/>
            <w:vAlign w:val="center"/>
          </w:tcPr>
          <w:p w14:paraId="3E9A5DCA">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11</w:t>
            </w:r>
          </w:p>
        </w:tc>
        <w:tc>
          <w:tcPr>
            <w:tcW w:w="1290" w:type="dxa"/>
            <w:vMerge w:val="restart"/>
            <w:vAlign w:val="center"/>
          </w:tcPr>
          <w:p w14:paraId="4005EF15">
            <w:pPr>
              <w:keepNext w:val="0"/>
              <w:keepLines w:val="0"/>
              <w:pageBreakBefore w:val="0"/>
              <w:widowControl/>
              <w:suppressLineNumbers w:val="0"/>
              <w:kinsoku/>
              <w:wordWrap/>
              <w:overflowPunct/>
              <w:topLinePunct w:val="0"/>
              <w:bidi w:val="0"/>
              <w:adjustRightInd w:val="0"/>
              <w:snapToGrid/>
              <w:spacing w:line="240" w:lineRule="auto"/>
              <w:ind w:left="0" w:leftChars="0" w:firstLine="0" w:firstLineChars="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史庄镇水厂地下水井</w:t>
            </w:r>
          </w:p>
        </w:tc>
        <w:tc>
          <w:tcPr>
            <w:tcW w:w="1050" w:type="dxa"/>
            <w:vAlign w:val="center"/>
          </w:tcPr>
          <w:p w14:paraId="6FCAF5F0">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sz w:val="21"/>
                <w:szCs w:val="21"/>
                <w:vertAlign w:val="baseline"/>
                <w:lang w:val="en-US" w:eastAsia="zh-CN"/>
              </w:rPr>
              <w:t>一级</w:t>
            </w:r>
          </w:p>
        </w:tc>
        <w:tc>
          <w:tcPr>
            <w:tcW w:w="5644" w:type="dxa"/>
            <w:vAlign w:val="center"/>
          </w:tcPr>
          <w:p w14:paraId="7282A77B">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取水井外围30米的区域</w:t>
            </w:r>
          </w:p>
        </w:tc>
      </w:tr>
      <w:tr w14:paraId="1971B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dxa"/>
            <w:vMerge w:val="continue"/>
            <w:vAlign w:val="center"/>
          </w:tcPr>
          <w:p w14:paraId="71C8B4F8">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90" w:type="dxa"/>
            <w:vMerge w:val="continue"/>
            <w:vAlign w:val="center"/>
          </w:tcPr>
          <w:p w14:paraId="0BA62824">
            <w:pPr>
              <w:pStyle w:val="55"/>
              <w:keepNext w:val="0"/>
              <w:keepLines w:val="0"/>
              <w:pageBreakBefore w:val="0"/>
              <w:kinsoku/>
              <w:wordWrap/>
              <w:overflowPunct/>
              <w:topLinePunct w:val="0"/>
              <w:bidi w:val="0"/>
              <w:adjustRightInd w:val="0"/>
              <w:snapToGrid/>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050" w:type="dxa"/>
            <w:vAlign w:val="center"/>
          </w:tcPr>
          <w:p w14:paraId="6DC94263">
            <w:pPr>
              <w:pStyle w:val="55"/>
              <w:keepNext w:val="0"/>
              <w:keepLines w:val="0"/>
              <w:pageBreakBefore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说明</w:t>
            </w:r>
          </w:p>
        </w:tc>
        <w:tc>
          <w:tcPr>
            <w:tcW w:w="5644" w:type="dxa"/>
            <w:vAlign w:val="center"/>
          </w:tcPr>
          <w:p w14:paraId="1F6D5C91">
            <w:pPr>
              <w:keepNext w:val="0"/>
              <w:keepLines w:val="0"/>
              <w:pageBreakBefore w:val="0"/>
              <w:widowControl/>
              <w:suppressLineNumbers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共1眼井</w:t>
            </w:r>
          </w:p>
        </w:tc>
      </w:tr>
    </w:tbl>
    <w:p w14:paraId="476FE7F0">
      <w:pPr>
        <w:keepNext w:val="0"/>
        <w:keepLines w:val="0"/>
        <w:widowControl/>
        <w:suppressLineNumbers w:val="0"/>
        <w:jc w:val="left"/>
      </w:pPr>
      <w:r>
        <w:rPr>
          <w:rFonts w:hint="eastAsia" w:ascii="宋体" w:hAnsi="宋体" w:eastAsia="宋体" w:cs="宋体"/>
          <w:color w:val="000000"/>
          <w:kern w:val="0"/>
          <w:sz w:val="24"/>
          <w:szCs w:val="24"/>
          <w:lang w:val="en-US" w:eastAsia="zh-CN" w:bidi="ar"/>
        </w:rPr>
        <w:t>根据其关于获嘉县乡镇饮用水源保护区的划分情况，距离本次工程较近的有照镜镇、位庄乡和史庄镇饮用水源保护区，本项目与照镜镇、位庄乡和史庄镇饮用水源保护区位置关系图见图</w:t>
      </w:r>
      <w:r>
        <w:rPr>
          <w:rFonts w:hint="eastAsia" w:cs="Times New Roman"/>
          <w:color w:val="000000"/>
          <w:kern w:val="0"/>
          <w:sz w:val="24"/>
          <w:szCs w:val="24"/>
          <w:lang w:val="en-US" w:eastAsia="zh-CN" w:bidi="ar"/>
        </w:rPr>
        <w:t>2.10-1</w:t>
      </w:r>
      <w:r>
        <w:rPr>
          <w:rFonts w:hint="eastAsia" w:ascii="宋体" w:hAnsi="宋体" w:eastAsia="宋体" w:cs="宋体"/>
          <w:color w:val="000000"/>
          <w:kern w:val="0"/>
          <w:sz w:val="24"/>
          <w:szCs w:val="24"/>
          <w:lang w:val="en-US" w:eastAsia="zh-CN" w:bidi="ar"/>
        </w:rPr>
        <w:t>。</w:t>
      </w:r>
    </w:p>
    <w:p w14:paraId="160F3C92">
      <w:pPr>
        <w:pStyle w:val="55"/>
        <w:rPr>
          <w:rFonts w:hint="eastAsia" w:eastAsia="宋体"/>
          <w:lang w:eastAsia="zh-CN"/>
        </w:rPr>
      </w:pPr>
      <w:r>
        <w:rPr>
          <w:rFonts w:hint="eastAsia" w:eastAsia="宋体"/>
          <w:lang w:eastAsia="zh-CN"/>
        </w:rPr>
        <w:drawing>
          <wp:inline distT="0" distB="0" distL="114300" distR="114300">
            <wp:extent cx="5271135" cy="3245485"/>
            <wp:effectExtent l="0" t="0" r="5715" b="12065"/>
            <wp:docPr id="4" name="图片 4" descr="图汇总修改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汇总修改_01"/>
                    <pic:cNvPicPr>
                      <a:picLocks noChangeAspect="1"/>
                    </pic:cNvPicPr>
                  </pic:nvPicPr>
                  <pic:blipFill>
                    <a:blip r:embed="rId18"/>
                    <a:stretch>
                      <a:fillRect/>
                    </a:stretch>
                  </pic:blipFill>
                  <pic:spPr>
                    <a:xfrm>
                      <a:off x="0" y="0"/>
                      <a:ext cx="5271135" cy="3245485"/>
                    </a:xfrm>
                    <a:prstGeom prst="rect">
                      <a:avLst/>
                    </a:prstGeom>
                  </pic:spPr>
                </pic:pic>
              </a:graphicData>
            </a:graphic>
          </wp:inline>
        </w:drawing>
      </w:r>
    </w:p>
    <w:p w14:paraId="25C43736">
      <w:pPr>
        <w:pStyle w:val="114"/>
        <w:spacing w:before="120"/>
      </w:pPr>
      <w:r>
        <w:t>图2</w:t>
      </w:r>
      <w:r>
        <w:rPr>
          <w:rFonts w:hint="eastAsia"/>
          <w:lang w:val="en-US" w:eastAsia="zh-CN"/>
        </w:rPr>
        <w:t>.10-1</w:t>
      </w:r>
      <w:r>
        <w:t xml:space="preserve"> </w:t>
      </w:r>
      <w:r>
        <w:rPr>
          <w:rFonts w:hint="eastAsia"/>
          <w:lang w:val="en-US" w:eastAsia="zh-CN"/>
        </w:rPr>
        <w:t xml:space="preserve">   </w:t>
      </w:r>
      <w:r>
        <w:t>本项目选址与</w:t>
      </w:r>
      <w:r>
        <w:rPr>
          <w:rFonts w:hint="eastAsia"/>
        </w:rPr>
        <w:t>获嘉县水厂</w:t>
      </w:r>
      <w:r>
        <w:rPr>
          <w:rFonts w:hint="eastAsia"/>
          <w:lang w:val="en-US" w:eastAsia="zh-CN"/>
        </w:rPr>
        <w:t>饮用水水源保护区位置关系示意</w:t>
      </w:r>
      <w:r>
        <w:t>图</w:t>
      </w:r>
    </w:p>
    <w:p w14:paraId="14DDADD2">
      <w:pPr>
        <w:keepNext w:val="0"/>
        <w:keepLines w:val="0"/>
        <w:widowControl/>
        <w:suppressLineNumbers w:val="0"/>
        <w:jc w:val="left"/>
      </w:pPr>
      <w:r>
        <w:rPr>
          <w:rFonts w:hint="eastAsia" w:ascii="宋体" w:hAnsi="宋体" w:eastAsia="宋体" w:cs="宋体"/>
          <w:color w:val="000000"/>
          <w:kern w:val="0"/>
          <w:sz w:val="24"/>
          <w:szCs w:val="24"/>
          <w:lang w:val="en-US" w:eastAsia="zh-CN" w:bidi="ar"/>
        </w:rPr>
        <w:t>《获嘉县集中式饮用水水源地保护区划分技术报告》由获嘉县人民政府委托新乡市环境保护科学设计研究院编制完成，评价参考该技术报告相关内容进行分析。获嘉县城区供水水源地位于城区西部位庄乡和史庄村，共有</w:t>
      </w:r>
      <w:r>
        <w:rPr>
          <w:rFonts w:hint="default" w:ascii="Times New Roman" w:hAnsi="Times New Roman" w:eastAsia="宋体" w:cs="Times New Roman"/>
          <w:color w:val="000000"/>
          <w:kern w:val="0"/>
          <w:sz w:val="24"/>
          <w:szCs w:val="24"/>
          <w:lang w:val="en-US" w:eastAsia="zh-CN" w:bidi="ar"/>
        </w:rPr>
        <w:t>15</w:t>
      </w:r>
      <w:r>
        <w:rPr>
          <w:rFonts w:hint="eastAsia" w:ascii="宋体" w:hAnsi="宋体" w:eastAsia="宋体" w:cs="宋体"/>
          <w:color w:val="000000"/>
          <w:kern w:val="0"/>
          <w:sz w:val="24"/>
          <w:szCs w:val="24"/>
          <w:lang w:val="en-US" w:eastAsia="zh-CN" w:bidi="ar"/>
        </w:rPr>
        <w:t>眼饮用水井，深度均为</w:t>
      </w:r>
      <w:r>
        <w:rPr>
          <w:rFonts w:hint="default" w:ascii="Times New Roman" w:hAnsi="Times New Roman" w:eastAsia="宋体" w:cs="Times New Roman"/>
          <w:color w:val="000000"/>
          <w:kern w:val="0"/>
          <w:sz w:val="24"/>
          <w:szCs w:val="24"/>
          <w:lang w:val="en-US" w:eastAsia="zh-CN" w:bidi="ar"/>
        </w:rPr>
        <w:t>240m</w:t>
      </w:r>
      <w:r>
        <w:rPr>
          <w:rFonts w:hint="eastAsia" w:ascii="宋体" w:hAnsi="宋体" w:eastAsia="宋体" w:cs="宋体"/>
          <w:color w:val="000000"/>
          <w:kern w:val="0"/>
          <w:sz w:val="24"/>
          <w:szCs w:val="24"/>
          <w:lang w:val="en-US" w:eastAsia="zh-CN" w:bidi="ar"/>
        </w:rPr>
        <w:t>，水源类型为孔隙水承压水型，介质为细沙。供水水源地设计取水量为</w:t>
      </w:r>
      <w:r>
        <w:rPr>
          <w:rFonts w:hint="default" w:ascii="Times New Roman" w:hAnsi="Times New Roman" w:eastAsia="宋体" w:cs="Times New Roman"/>
          <w:color w:val="000000"/>
          <w:kern w:val="0"/>
          <w:sz w:val="24"/>
          <w:szCs w:val="24"/>
          <w:lang w:val="en-US" w:eastAsia="zh-CN" w:bidi="ar"/>
        </w:rPr>
        <w:t>933</w:t>
      </w:r>
      <w:r>
        <w:rPr>
          <w:rFonts w:hint="eastAsia" w:ascii="宋体" w:hAnsi="宋体" w:eastAsia="宋体" w:cs="宋体"/>
          <w:color w:val="000000"/>
          <w:kern w:val="0"/>
          <w:sz w:val="24"/>
          <w:szCs w:val="24"/>
          <w:lang w:val="en-US" w:eastAsia="zh-CN" w:bidi="ar"/>
        </w:rPr>
        <w:t>万</w:t>
      </w:r>
      <w:r>
        <w:rPr>
          <w:rFonts w:hint="default" w:ascii="Times New Roman" w:hAnsi="Times New Roman" w:eastAsia="宋体" w:cs="Times New Roman"/>
          <w:color w:val="000000"/>
          <w:kern w:val="0"/>
          <w:sz w:val="24"/>
          <w:szCs w:val="24"/>
          <w:lang w:val="en-US" w:eastAsia="zh-CN" w:bidi="ar"/>
        </w:rPr>
        <w:t>t/a</w:t>
      </w:r>
      <w:r>
        <w:rPr>
          <w:rFonts w:hint="eastAsia" w:ascii="宋体" w:hAnsi="宋体" w:eastAsia="宋体" w:cs="宋体"/>
          <w:color w:val="000000"/>
          <w:kern w:val="0"/>
          <w:sz w:val="24"/>
          <w:szCs w:val="24"/>
          <w:lang w:val="en-US" w:eastAsia="zh-CN" w:bidi="ar"/>
        </w:rPr>
        <w:t>，实际取水量</w:t>
      </w:r>
      <w:r>
        <w:rPr>
          <w:rFonts w:hint="default" w:ascii="Times New Roman" w:hAnsi="Times New Roman" w:eastAsia="宋体" w:cs="Times New Roman"/>
          <w:color w:val="000000"/>
          <w:kern w:val="0"/>
          <w:sz w:val="24"/>
          <w:szCs w:val="24"/>
          <w:lang w:val="en-US" w:eastAsia="zh-CN" w:bidi="ar"/>
        </w:rPr>
        <w:t>298</w:t>
      </w:r>
      <w:r>
        <w:rPr>
          <w:rFonts w:hint="eastAsia" w:ascii="宋体" w:hAnsi="宋体" w:eastAsia="宋体" w:cs="宋体"/>
          <w:color w:val="000000"/>
          <w:kern w:val="0"/>
          <w:sz w:val="24"/>
          <w:szCs w:val="24"/>
          <w:lang w:val="en-US" w:eastAsia="zh-CN" w:bidi="ar"/>
        </w:rPr>
        <w:t>万</w:t>
      </w:r>
      <w:r>
        <w:rPr>
          <w:rFonts w:hint="default" w:ascii="Times New Roman" w:hAnsi="Times New Roman" w:eastAsia="宋体" w:cs="Times New Roman"/>
          <w:color w:val="000000"/>
          <w:kern w:val="0"/>
          <w:sz w:val="24"/>
          <w:szCs w:val="24"/>
          <w:lang w:val="en-US" w:eastAsia="zh-CN" w:bidi="ar"/>
        </w:rPr>
        <w:t>t/a</w:t>
      </w:r>
      <w:r>
        <w:rPr>
          <w:rFonts w:hint="eastAsia" w:ascii="宋体" w:hAnsi="宋体" w:eastAsia="宋体" w:cs="宋体"/>
          <w:color w:val="000000"/>
          <w:kern w:val="0"/>
          <w:sz w:val="24"/>
          <w:szCs w:val="24"/>
          <w:lang w:val="en-US" w:eastAsia="zh-CN" w:bidi="ar"/>
        </w:rPr>
        <w:t xml:space="preserve">，按照开采规模，获嘉县地下水源地属于中小型水源地。 </w:t>
      </w:r>
    </w:p>
    <w:p w14:paraId="0FBA1AEF">
      <w:pPr>
        <w:keepNext w:val="0"/>
        <w:keepLines w:val="0"/>
        <w:widowControl/>
        <w:suppressLineNumbers w:val="0"/>
        <w:jc w:val="left"/>
      </w:pPr>
      <w:r>
        <w:rPr>
          <w:rFonts w:hint="eastAsia" w:ascii="宋体" w:hAnsi="宋体" w:eastAsia="宋体" w:cs="宋体"/>
          <w:color w:val="000000"/>
          <w:kern w:val="0"/>
          <w:sz w:val="24"/>
          <w:szCs w:val="24"/>
          <w:lang w:val="en-US" w:eastAsia="zh-CN" w:bidi="ar"/>
        </w:rPr>
        <w:t>获嘉县新水水务公司为获嘉县城区水厂，该企业始建于</w:t>
      </w:r>
      <w:r>
        <w:rPr>
          <w:rFonts w:hint="default" w:ascii="Times New Roman" w:hAnsi="Times New Roman" w:eastAsia="宋体" w:cs="Times New Roman"/>
          <w:color w:val="000000"/>
          <w:kern w:val="0"/>
          <w:sz w:val="24"/>
          <w:szCs w:val="24"/>
          <w:lang w:val="en-US" w:eastAsia="zh-CN" w:bidi="ar"/>
        </w:rPr>
        <w:t>2005</w:t>
      </w:r>
      <w:r>
        <w:rPr>
          <w:rFonts w:hint="eastAsia" w:ascii="宋体" w:hAnsi="宋体" w:eastAsia="宋体" w:cs="宋体"/>
          <w:color w:val="000000"/>
          <w:kern w:val="0"/>
          <w:sz w:val="24"/>
          <w:szCs w:val="24"/>
          <w:lang w:val="en-US" w:eastAsia="zh-CN" w:bidi="ar"/>
        </w:rPr>
        <w:t>年，位于县城西部民主路南侧、振兴路西侧，占地面积</w:t>
      </w:r>
      <w:r>
        <w:rPr>
          <w:rFonts w:hint="default" w:ascii="Times New Roman" w:hAnsi="Times New Roman" w:eastAsia="宋体" w:cs="Times New Roman"/>
          <w:color w:val="000000"/>
          <w:kern w:val="0"/>
          <w:sz w:val="24"/>
          <w:szCs w:val="24"/>
          <w:lang w:val="en-US" w:eastAsia="zh-CN" w:bidi="ar"/>
        </w:rPr>
        <w:t>19963m</w:t>
      </w:r>
      <w:r>
        <w:rPr>
          <w:rFonts w:hint="default" w:ascii="Times New Roman" w:hAnsi="Times New Roman" w:eastAsia="宋体" w:cs="Times New Roman"/>
          <w:color w:val="000000"/>
          <w:kern w:val="0"/>
          <w:sz w:val="24"/>
          <w:szCs w:val="24"/>
          <w:vertAlign w:val="superscript"/>
          <w:lang w:val="en-US" w:eastAsia="zh-CN" w:bidi="ar"/>
        </w:rPr>
        <w:t>2</w:t>
      </w:r>
      <w:r>
        <w:rPr>
          <w:rFonts w:hint="eastAsia" w:ascii="宋体" w:hAnsi="宋体" w:eastAsia="宋体" w:cs="宋体"/>
          <w:color w:val="000000"/>
          <w:kern w:val="0"/>
          <w:sz w:val="24"/>
          <w:szCs w:val="24"/>
          <w:lang w:val="en-US" w:eastAsia="zh-CN" w:bidi="ar"/>
        </w:rPr>
        <w:t>，合</w:t>
      </w:r>
      <w:r>
        <w:rPr>
          <w:rFonts w:hint="default" w:ascii="Times New Roman" w:hAnsi="Times New Roman" w:eastAsia="宋体" w:cs="Times New Roman"/>
          <w:color w:val="000000"/>
          <w:kern w:val="0"/>
          <w:sz w:val="24"/>
          <w:szCs w:val="24"/>
          <w:lang w:val="en-US" w:eastAsia="zh-CN" w:bidi="ar"/>
        </w:rPr>
        <w:t>29.94</w:t>
      </w:r>
      <w:r>
        <w:rPr>
          <w:rFonts w:hint="eastAsia" w:ascii="宋体" w:hAnsi="宋体" w:eastAsia="宋体" w:cs="宋体"/>
          <w:color w:val="000000"/>
          <w:kern w:val="0"/>
          <w:sz w:val="24"/>
          <w:szCs w:val="24"/>
          <w:lang w:val="en-US" w:eastAsia="zh-CN" w:bidi="ar"/>
        </w:rPr>
        <w:t>亩。水厂内有两眼水井，其余</w:t>
      </w:r>
      <w:r>
        <w:rPr>
          <w:rFonts w:hint="default" w:ascii="Times New Roman" w:hAnsi="Times New Roman" w:eastAsia="宋体" w:cs="Times New Roman"/>
          <w:color w:val="000000"/>
          <w:kern w:val="0"/>
          <w:sz w:val="24"/>
          <w:szCs w:val="24"/>
          <w:lang w:val="en-US" w:eastAsia="zh-CN" w:bidi="ar"/>
        </w:rPr>
        <w:t>13</w:t>
      </w:r>
      <w:r>
        <w:rPr>
          <w:rFonts w:hint="eastAsia" w:ascii="宋体" w:hAnsi="宋体" w:eastAsia="宋体" w:cs="宋体"/>
          <w:color w:val="000000"/>
          <w:kern w:val="0"/>
          <w:sz w:val="24"/>
          <w:szCs w:val="24"/>
          <w:lang w:val="en-US" w:eastAsia="zh-CN" w:bidi="ar"/>
        </w:rPr>
        <w:t xml:space="preserve">眼水井分布于县城西部史庄村及位庄乡境内。所有水井均建有机井房，四周建设围墙进行保护。 </w:t>
      </w:r>
    </w:p>
    <w:p w14:paraId="4D9862E0">
      <w:pPr>
        <w:keepNext w:val="0"/>
        <w:keepLines w:val="0"/>
        <w:widowControl/>
        <w:suppressLineNumbers w:val="0"/>
        <w:jc w:val="left"/>
      </w:pPr>
      <w:r>
        <w:rPr>
          <w:rFonts w:hint="eastAsia" w:ascii="宋体" w:hAnsi="宋体" w:eastAsia="宋体" w:cs="宋体"/>
          <w:color w:val="000000"/>
          <w:kern w:val="0"/>
          <w:sz w:val="24"/>
          <w:szCs w:val="24"/>
          <w:lang w:val="en-US" w:eastAsia="zh-CN" w:bidi="ar"/>
        </w:rPr>
        <w:t>该区域地下水流向为自西南流向东北，本项目厂址距离最近的饮用水水源保护区为厂址西北侧约</w:t>
      </w:r>
      <w:r>
        <w:rPr>
          <w:rFonts w:hint="eastAsia" w:ascii="Times New Roman" w:hAnsi="Times New Roman" w:eastAsia="宋体" w:cs="Times New Roman"/>
          <w:color w:val="000000"/>
          <w:kern w:val="0"/>
          <w:sz w:val="24"/>
          <w:szCs w:val="24"/>
          <w:lang w:val="en-US" w:eastAsia="zh-CN" w:bidi="ar"/>
        </w:rPr>
        <w:t>3.7k</w:t>
      </w:r>
      <w:r>
        <w:rPr>
          <w:rFonts w:hint="default" w:ascii="Times New Roman" w:hAnsi="Times New Roman" w:eastAsia="宋体" w:cs="Times New Roman"/>
          <w:color w:val="000000"/>
          <w:kern w:val="0"/>
          <w:sz w:val="24"/>
          <w:szCs w:val="24"/>
          <w:lang w:val="en-US" w:eastAsia="zh-CN" w:bidi="ar"/>
        </w:rPr>
        <w:t>m</w:t>
      </w:r>
      <w:r>
        <w:rPr>
          <w:rFonts w:hint="eastAsia" w:ascii="宋体" w:hAnsi="宋体" w:eastAsia="宋体" w:cs="宋体"/>
          <w:color w:val="000000"/>
          <w:kern w:val="0"/>
          <w:sz w:val="24"/>
          <w:szCs w:val="24"/>
          <w:lang w:val="en-US" w:eastAsia="zh-CN" w:bidi="ar"/>
        </w:rPr>
        <w:t>处的照镜镇水厂地下水井，其一级保护范围：取水井外围</w:t>
      </w:r>
      <w:r>
        <w:rPr>
          <w:rFonts w:hint="default" w:ascii="Times New Roman" w:hAnsi="Times New Roman" w:eastAsia="宋体" w:cs="Times New Roman"/>
          <w:color w:val="000000"/>
          <w:kern w:val="0"/>
          <w:sz w:val="24"/>
          <w:szCs w:val="24"/>
          <w:lang w:val="en-US" w:eastAsia="zh-CN" w:bidi="ar"/>
        </w:rPr>
        <w:t>50</w:t>
      </w:r>
      <w:r>
        <w:rPr>
          <w:rFonts w:hint="eastAsia" w:ascii="宋体" w:hAnsi="宋体" w:eastAsia="宋体" w:cs="宋体"/>
          <w:color w:val="000000"/>
          <w:kern w:val="0"/>
          <w:sz w:val="24"/>
          <w:szCs w:val="24"/>
          <w:lang w:val="en-US" w:eastAsia="zh-CN" w:bidi="ar"/>
        </w:rPr>
        <w:t>米的区域；二级保护范围：一级保护区外，取水井外围</w:t>
      </w:r>
      <w:r>
        <w:rPr>
          <w:rFonts w:hint="default" w:ascii="Times New Roman" w:hAnsi="Times New Roman" w:eastAsia="宋体" w:cs="Times New Roman"/>
          <w:color w:val="000000"/>
          <w:kern w:val="0"/>
          <w:sz w:val="24"/>
          <w:szCs w:val="24"/>
          <w:lang w:val="en-US" w:eastAsia="zh-CN" w:bidi="ar"/>
        </w:rPr>
        <w:t>550</w:t>
      </w:r>
      <w:r>
        <w:rPr>
          <w:rFonts w:hint="eastAsia" w:ascii="宋体" w:hAnsi="宋体" w:eastAsia="宋体" w:cs="宋体"/>
          <w:color w:val="000000"/>
          <w:kern w:val="0"/>
          <w:sz w:val="24"/>
          <w:szCs w:val="24"/>
          <w:lang w:val="en-US" w:eastAsia="zh-CN" w:bidi="ar"/>
        </w:rPr>
        <w:t>米外公切线所包含的区域；未划分准保护区。本项目距离获嘉县照镜镇水厂地下水井群二级保护区约</w:t>
      </w:r>
      <w:r>
        <w:rPr>
          <w:rFonts w:hint="eastAsia" w:cs="Times New Roman"/>
          <w:color w:val="000000"/>
          <w:kern w:val="0"/>
          <w:sz w:val="24"/>
          <w:szCs w:val="24"/>
          <w:lang w:val="en-US" w:eastAsia="zh-CN" w:bidi="ar"/>
        </w:rPr>
        <w:t>3.7</w:t>
      </w:r>
      <w:r>
        <w:rPr>
          <w:rFonts w:hint="eastAsia" w:ascii="Times New Roman" w:hAnsi="Times New Roman" w:eastAsia="宋体" w:cs="Times New Roman"/>
          <w:color w:val="000000"/>
          <w:kern w:val="0"/>
          <w:sz w:val="24"/>
          <w:szCs w:val="24"/>
          <w:lang w:val="en-US" w:eastAsia="zh-CN" w:bidi="ar"/>
        </w:rPr>
        <w:t>k</w:t>
      </w:r>
      <w:r>
        <w:rPr>
          <w:rFonts w:hint="default" w:ascii="Times New Roman" w:hAnsi="Times New Roman" w:eastAsia="宋体" w:cs="Times New Roman"/>
          <w:color w:val="000000"/>
          <w:kern w:val="0"/>
          <w:sz w:val="24"/>
          <w:szCs w:val="24"/>
          <w:lang w:val="en-US" w:eastAsia="zh-CN" w:bidi="ar"/>
        </w:rPr>
        <w:t>m</w:t>
      </w:r>
      <w:r>
        <w:rPr>
          <w:rFonts w:hint="eastAsia" w:ascii="宋体" w:hAnsi="宋体" w:eastAsia="宋体" w:cs="宋体"/>
          <w:color w:val="000000"/>
          <w:kern w:val="0"/>
          <w:sz w:val="24"/>
          <w:szCs w:val="24"/>
          <w:lang w:val="en-US" w:eastAsia="zh-CN" w:bidi="ar"/>
        </w:rPr>
        <w:t>左右，不在其保护范围内。工程厂址均位于照镜镇、位庄乡和史庄镇饮用水源保护区饮用水源保护区地下水流向的下游，</w:t>
      </w:r>
      <w:r>
        <w:rPr>
          <w:rFonts w:hint="eastAsia" w:ascii="宋体" w:hAnsi="宋体" w:cs="宋体"/>
          <w:color w:val="000000"/>
          <w:kern w:val="0"/>
          <w:sz w:val="24"/>
          <w:szCs w:val="24"/>
          <w:lang w:val="en-US" w:eastAsia="zh-CN" w:bidi="ar"/>
        </w:rPr>
        <w:t>综上</w:t>
      </w:r>
      <w:r>
        <w:rPr>
          <w:rFonts w:hint="eastAsia" w:ascii="宋体" w:hAnsi="宋体" w:eastAsia="宋体" w:cs="宋体"/>
          <w:color w:val="000000"/>
          <w:kern w:val="0"/>
          <w:sz w:val="24"/>
          <w:szCs w:val="24"/>
          <w:lang w:val="en-US" w:eastAsia="zh-CN" w:bidi="ar"/>
        </w:rPr>
        <w:t>，本项目厂址不在获嘉县照镜镇、位庄乡和史庄镇集中式饮用水水源保护区范围内</w:t>
      </w:r>
    </w:p>
    <w:p w14:paraId="3524EF86">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239" w:name="_Toc16360"/>
      <w:bookmarkStart w:id="240" w:name="_Toc428287204"/>
      <w:bookmarkStart w:id="241" w:name="_Toc428286810"/>
      <w:bookmarkStart w:id="242" w:name="_Toc429318396"/>
      <w:bookmarkStart w:id="243" w:name="_Toc17594"/>
      <w:r>
        <w:rPr>
          <w:rFonts w:hint="eastAsia" w:ascii="Times New Roman" w:hAnsi="Times New Roman" w:eastAsia="宋体" w:cs="Times New Roman"/>
          <w:lang w:val="en-US" w:eastAsia="zh-CN"/>
        </w:rPr>
        <w:t>2.11政策相符性分析</w:t>
      </w:r>
      <w:bookmarkEnd w:id="239"/>
      <w:bookmarkEnd w:id="240"/>
      <w:bookmarkEnd w:id="241"/>
      <w:bookmarkEnd w:id="242"/>
      <w:bookmarkEnd w:id="243"/>
      <w:bookmarkStart w:id="244" w:name="_Toc417375758"/>
    </w:p>
    <w:p w14:paraId="6505BAE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245" w:name="_Toc428287557"/>
      <w:bookmarkStart w:id="246" w:name="_Toc108122356"/>
      <w:bookmarkStart w:id="247" w:name="_Toc428286811"/>
      <w:bookmarkStart w:id="248" w:name="_Toc428287205"/>
      <w:r>
        <w:rPr>
          <w:rFonts w:hint="eastAsia" w:ascii="Times New Roman" w:hAnsi="Times New Roman" w:cs="Times New Roman"/>
          <w:lang w:val="en-US" w:eastAsia="zh-CN"/>
        </w:rPr>
        <w:t>2.11.1产业政策及备案相符性分析</w:t>
      </w:r>
      <w:bookmarkEnd w:id="245"/>
      <w:bookmarkEnd w:id="246"/>
      <w:bookmarkEnd w:id="247"/>
      <w:bookmarkEnd w:id="248"/>
      <w:r>
        <w:rPr>
          <w:rFonts w:hint="eastAsia" w:ascii="Times New Roman" w:hAnsi="Times New Roman" w:cs="Times New Roman"/>
          <w:lang w:val="en-US" w:eastAsia="zh-CN"/>
        </w:rPr>
        <w:tab/>
      </w:r>
    </w:p>
    <w:p w14:paraId="27E0E85F">
      <w:pPr>
        <w:pStyle w:val="72"/>
      </w:pPr>
      <w:r>
        <w:rPr>
          <w:rFonts w:hint="eastAsia"/>
        </w:rPr>
        <w:t>（1）项目与产业政策的相符性分析</w:t>
      </w:r>
    </w:p>
    <w:p w14:paraId="7A3F48EB">
      <w:pPr>
        <w:pStyle w:val="72"/>
      </w:pPr>
      <w:r>
        <w:rPr>
          <w:rFonts w:hint="eastAsia"/>
        </w:rPr>
        <w:t>根据《产业结构调整指导目录》（2024</w:t>
      </w:r>
      <w:r>
        <w:t>年</w:t>
      </w:r>
      <w:r>
        <w:rPr>
          <w:rFonts w:hint="eastAsia"/>
        </w:rPr>
        <w:t>本），评价对本项目建设与产业政策的相符性进行分析，详见下表。</w:t>
      </w:r>
    </w:p>
    <w:p w14:paraId="68DD595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lang w:val="en-US" w:eastAsia="zh-CN"/>
        </w:rPr>
        <w:t>2.11-1</w:t>
      </w:r>
      <w:r>
        <w:rPr>
          <w:rFonts w:hint="eastAsia"/>
        </w:rPr>
        <w:t xml:space="preserve">    </w:t>
      </w:r>
      <w:r>
        <w:t>项目与产业政策一致性分析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119"/>
        <w:gridCol w:w="885"/>
        <w:gridCol w:w="2567"/>
        <w:gridCol w:w="2981"/>
        <w:gridCol w:w="874"/>
      </w:tblGrid>
      <w:tr w14:paraId="336765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64" w:type="pct"/>
            <w:vAlign w:val="center"/>
          </w:tcPr>
          <w:p w14:paraId="3718FD69">
            <w:pPr>
              <w:pStyle w:val="81"/>
              <w:rPr>
                <w:color w:val="auto"/>
              </w:rPr>
            </w:pPr>
            <w:r>
              <w:rPr>
                <w:color w:val="auto"/>
              </w:rPr>
              <w:t>名称</w:t>
            </w:r>
          </w:p>
        </w:tc>
        <w:tc>
          <w:tcPr>
            <w:tcW w:w="525" w:type="pct"/>
            <w:vAlign w:val="center"/>
          </w:tcPr>
          <w:p w14:paraId="54BE72B2">
            <w:pPr>
              <w:pStyle w:val="81"/>
              <w:rPr>
                <w:color w:val="auto"/>
              </w:rPr>
            </w:pPr>
            <w:r>
              <w:rPr>
                <w:rFonts w:hint="eastAsia"/>
                <w:color w:val="auto"/>
              </w:rPr>
              <w:t>条款</w:t>
            </w:r>
          </w:p>
        </w:tc>
        <w:tc>
          <w:tcPr>
            <w:tcW w:w="1523" w:type="pct"/>
            <w:vAlign w:val="center"/>
          </w:tcPr>
          <w:p w14:paraId="2942F06E">
            <w:pPr>
              <w:pStyle w:val="81"/>
              <w:rPr>
                <w:color w:val="auto"/>
              </w:rPr>
            </w:pPr>
            <w:r>
              <w:rPr>
                <w:rFonts w:hint="eastAsia"/>
                <w:color w:val="auto"/>
              </w:rPr>
              <w:t>内容</w:t>
            </w:r>
          </w:p>
        </w:tc>
        <w:tc>
          <w:tcPr>
            <w:tcW w:w="1768" w:type="pct"/>
            <w:vAlign w:val="center"/>
          </w:tcPr>
          <w:p w14:paraId="080E76AB">
            <w:pPr>
              <w:pStyle w:val="81"/>
              <w:rPr>
                <w:color w:val="auto"/>
              </w:rPr>
            </w:pPr>
            <w:r>
              <w:rPr>
                <w:rFonts w:hint="eastAsia"/>
                <w:color w:val="auto"/>
              </w:rPr>
              <w:t>本</w:t>
            </w:r>
            <w:r>
              <w:rPr>
                <w:color w:val="auto"/>
              </w:rPr>
              <w:t>项目情况</w:t>
            </w:r>
          </w:p>
        </w:tc>
        <w:tc>
          <w:tcPr>
            <w:tcW w:w="518" w:type="pct"/>
            <w:vAlign w:val="center"/>
          </w:tcPr>
          <w:p w14:paraId="2DEB3545">
            <w:pPr>
              <w:pStyle w:val="81"/>
              <w:rPr>
                <w:color w:val="auto"/>
              </w:rPr>
            </w:pPr>
            <w:r>
              <w:rPr>
                <w:color w:val="auto"/>
              </w:rPr>
              <w:t>相符性</w:t>
            </w:r>
          </w:p>
        </w:tc>
      </w:tr>
      <w:tr w14:paraId="5E098F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64" w:type="pct"/>
            <w:vAlign w:val="center"/>
          </w:tcPr>
          <w:p w14:paraId="20BDB7A6">
            <w:pPr>
              <w:pStyle w:val="75"/>
              <w:rPr>
                <w:szCs w:val="24"/>
              </w:rPr>
            </w:pPr>
            <w:r>
              <w:rPr>
                <w:rFonts w:hint="eastAsia"/>
                <w:szCs w:val="24"/>
              </w:rPr>
              <w:t>鼓励类</w:t>
            </w:r>
          </w:p>
        </w:tc>
        <w:tc>
          <w:tcPr>
            <w:tcW w:w="525" w:type="pct"/>
            <w:vAlign w:val="center"/>
          </w:tcPr>
          <w:p w14:paraId="55C1C2AF">
            <w:pPr>
              <w:pStyle w:val="75"/>
              <w:rPr>
                <w:rFonts w:hint="eastAsia"/>
                <w:szCs w:val="24"/>
              </w:rPr>
            </w:pPr>
            <w:r>
              <w:rPr>
                <w:rFonts w:hint="eastAsia"/>
                <w:szCs w:val="24"/>
              </w:rPr>
              <w:t>十四、</w:t>
            </w:r>
          </w:p>
          <w:p w14:paraId="293B1587">
            <w:pPr>
              <w:pStyle w:val="75"/>
              <w:rPr>
                <w:szCs w:val="24"/>
              </w:rPr>
            </w:pPr>
            <w:r>
              <w:rPr>
                <w:rFonts w:hint="eastAsia"/>
                <w:szCs w:val="24"/>
              </w:rPr>
              <w:t>机械</w:t>
            </w:r>
          </w:p>
        </w:tc>
        <w:tc>
          <w:tcPr>
            <w:tcW w:w="1523" w:type="pct"/>
            <w:vAlign w:val="center"/>
          </w:tcPr>
          <w:p w14:paraId="5AB594B0">
            <w:pPr>
              <w:pStyle w:val="75"/>
              <w:jc w:val="left"/>
              <w:rPr>
                <w:szCs w:val="24"/>
              </w:rPr>
            </w:pPr>
            <w:r>
              <w:rPr>
                <w:rFonts w:hint="eastAsia"/>
              </w:rPr>
              <w:t>17、60万千瓦及以上超临界参数循环流化床锅炉</w:t>
            </w:r>
          </w:p>
        </w:tc>
        <w:tc>
          <w:tcPr>
            <w:tcW w:w="1768" w:type="pct"/>
            <w:vAlign w:val="center"/>
          </w:tcPr>
          <w:p w14:paraId="03160A12">
            <w:pPr>
              <w:pStyle w:val="75"/>
              <w:jc w:val="left"/>
            </w:pPr>
            <w:r>
              <w:rPr>
                <w:rFonts w:hint="eastAsia"/>
              </w:rPr>
              <w:t>本项目新建</w:t>
            </w:r>
            <w:r>
              <w:rPr>
                <w:rFonts w:hint="eastAsia"/>
                <w:lang w:val="en-US" w:eastAsia="zh-CN"/>
              </w:rPr>
              <w:t>3台0.9</w:t>
            </w:r>
            <w:r>
              <w:t>t/h</w:t>
            </w:r>
            <w:r>
              <w:rPr>
                <w:rFonts w:hint="eastAsia"/>
              </w:rPr>
              <w:t>的</w:t>
            </w:r>
            <w:r>
              <w:rPr>
                <w:rFonts w:hint="eastAsia"/>
                <w:lang w:val="en-US" w:eastAsia="zh-CN"/>
              </w:rPr>
              <w:t>电蒸汽发生器</w:t>
            </w:r>
          </w:p>
        </w:tc>
        <w:tc>
          <w:tcPr>
            <w:tcW w:w="518" w:type="pct"/>
            <w:vAlign w:val="center"/>
          </w:tcPr>
          <w:p w14:paraId="7F8CF7C0">
            <w:pPr>
              <w:pStyle w:val="75"/>
              <w:rPr>
                <w:szCs w:val="24"/>
              </w:rPr>
            </w:pPr>
            <w:r>
              <w:rPr>
                <w:rFonts w:hint="eastAsia"/>
                <w:szCs w:val="24"/>
              </w:rPr>
              <w:t>不属于鼓励</w:t>
            </w:r>
            <w:r>
              <w:rPr>
                <w:szCs w:val="24"/>
              </w:rPr>
              <w:t>类</w:t>
            </w:r>
          </w:p>
        </w:tc>
      </w:tr>
      <w:tr w14:paraId="2E53D0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64" w:type="pct"/>
            <w:vAlign w:val="center"/>
          </w:tcPr>
          <w:p w14:paraId="2FC720BF">
            <w:pPr>
              <w:pStyle w:val="75"/>
              <w:rPr>
                <w:szCs w:val="24"/>
              </w:rPr>
            </w:pPr>
            <w:r>
              <w:rPr>
                <w:rFonts w:hint="eastAsia"/>
                <w:szCs w:val="24"/>
              </w:rPr>
              <w:t>限制类</w:t>
            </w:r>
          </w:p>
        </w:tc>
        <w:tc>
          <w:tcPr>
            <w:tcW w:w="525" w:type="pct"/>
            <w:vAlign w:val="center"/>
          </w:tcPr>
          <w:p w14:paraId="053FFFFB">
            <w:pPr>
              <w:pStyle w:val="75"/>
              <w:rPr>
                <w:szCs w:val="24"/>
              </w:rPr>
            </w:pPr>
            <w:r>
              <w:rPr>
                <w:rFonts w:hint="eastAsia"/>
                <w:szCs w:val="24"/>
              </w:rPr>
              <w:t>六、钢铁</w:t>
            </w:r>
          </w:p>
        </w:tc>
        <w:tc>
          <w:tcPr>
            <w:tcW w:w="1523" w:type="pct"/>
            <w:vAlign w:val="center"/>
          </w:tcPr>
          <w:p w14:paraId="034BE354">
            <w:pPr>
              <w:pStyle w:val="75"/>
              <w:jc w:val="left"/>
              <w:rPr>
                <w:szCs w:val="24"/>
                <w:highlight w:val="yellow"/>
              </w:rPr>
            </w:pPr>
            <w:r>
              <w:rPr>
                <w:rFonts w:hint="eastAsia"/>
                <w:szCs w:val="24"/>
              </w:rPr>
              <w:t>7、</w:t>
            </w:r>
            <w:r>
              <w:rPr>
                <w:bCs/>
                <w:szCs w:val="24"/>
              </w:rPr>
              <w:t>30万吨/年及以下热镀锌板卷项目</w:t>
            </w:r>
          </w:p>
        </w:tc>
        <w:tc>
          <w:tcPr>
            <w:tcW w:w="1768" w:type="pct"/>
            <w:vAlign w:val="center"/>
          </w:tcPr>
          <w:p w14:paraId="115CC843">
            <w:pPr>
              <w:pStyle w:val="75"/>
              <w:jc w:val="left"/>
            </w:pPr>
            <w:r>
              <w:rPr>
                <w:bCs/>
              </w:rPr>
              <w:t>本项目为电镀镍项目，不属于热镀锌卷板项目</w:t>
            </w:r>
          </w:p>
        </w:tc>
        <w:tc>
          <w:tcPr>
            <w:tcW w:w="518" w:type="pct"/>
            <w:vAlign w:val="center"/>
          </w:tcPr>
          <w:p w14:paraId="2F7B7568">
            <w:pPr>
              <w:pStyle w:val="75"/>
              <w:rPr>
                <w:szCs w:val="24"/>
              </w:rPr>
            </w:pPr>
            <w:r>
              <w:rPr>
                <w:szCs w:val="24"/>
              </w:rPr>
              <w:t>不属于限制类</w:t>
            </w:r>
          </w:p>
        </w:tc>
      </w:tr>
      <w:tr w14:paraId="4B99F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64" w:type="pct"/>
            <w:vAlign w:val="center"/>
          </w:tcPr>
          <w:p w14:paraId="607A4C86">
            <w:pPr>
              <w:pStyle w:val="75"/>
              <w:jc w:val="left"/>
              <w:rPr>
                <w:szCs w:val="24"/>
              </w:rPr>
            </w:pPr>
            <w:r>
              <w:rPr>
                <w:rFonts w:hint="eastAsia"/>
                <w:szCs w:val="24"/>
              </w:rPr>
              <w:t>淘汰类（落后生产工艺装备）</w:t>
            </w:r>
          </w:p>
        </w:tc>
        <w:tc>
          <w:tcPr>
            <w:tcW w:w="525" w:type="pct"/>
            <w:vAlign w:val="center"/>
          </w:tcPr>
          <w:p w14:paraId="57EC0A1F">
            <w:pPr>
              <w:pStyle w:val="75"/>
              <w:rPr>
                <w:rFonts w:hint="eastAsia"/>
                <w:szCs w:val="24"/>
              </w:rPr>
            </w:pPr>
            <w:r>
              <w:rPr>
                <w:rFonts w:hint="eastAsia"/>
                <w:szCs w:val="24"/>
              </w:rPr>
              <w:t>十八、</w:t>
            </w:r>
          </w:p>
          <w:p w14:paraId="4ED6A74A">
            <w:pPr>
              <w:pStyle w:val="75"/>
              <w:rPr>
                <w:szCs w:val="24"/>
              </w:rPr>
            </w:pPr>
            <w:r>
              <w:rPr>
                <w:rFonts w:hint="eastAsia"/>
                <w:szCs w:val="24"/>
              </w:rPr>
              <w:t>其他</w:t>
            </w:r>
          </w:p>
        </w:tc>
        <w:tc>
          <w:tcPr>
            <w:tcW w:w="1523" w:type="pct"/>
            <w:vAlign w:val="center"/>
          </w:tcPr>
          <w:p w14:paraId="1BDCB054">
            <w:pPr>
              <w:pStyle w:val="75"/>
              <w:jc w:val="left"/>
            </w:pPr>
            <w:r>
              <w:rPr>
                <w:rFonts w:hint="eastAsia"/>
              </w:rPr>
              <w:t>1、含有毒有害氰化物电镀工艺（电镀金、银、铜基合金及予镀铜打底工艺除外）</w:t>
            </w:r>
          </w:p>
        </w:tc>
        <w:tc>
          <w:tcPr>
            <w:tcW w:w="1768" w:type="pct"/>
            <w:vAlign w:val="center"/>
          </w:tcPr>
          <w:p w14:paraId="7C655650">
            <w:pPr>
              <w:pStyle w:val="75"/>
              <w:jc w:val="left"/>
            </w:pPr>
            <w:r>
              <w:rPr>
                <w:bCs/>
              </w:rPr>
              <w:t>本项目为电镀镍项目，主要使用硫酸镍、氯化镍、硼酸、镍板等，不涉及有害氰化物的使用</w:t>
            </w:r>
          </w:p>
        </w:tc>
        <w:tc>
          <w:tcPr>
            <w:tcW w:w="518" w:type="pct"/>
            <w:vMerge w:val="restart"/>
            <w:vAlign w:val="center"/>
          </w:tcPr>
          <w:p w14:paraId="56AD260F">
            <w:pPr>
              <w:pStyle w:val="75"/>
              <w:rPr>
                <w:szCs w:val="24"/>
              </w:rPr>
            </w:pPr>
            <w:r>
              <w:rPr>
                <w:szCs w:val="24"/>
              </w:rPr>
              <w:t>不属于</w:t>
            </w:r>
            <w:r>
              <w:rPr>
                <w:rFonts w:hint="eastAsia"/>
                <w:szCs w:val="24"/>
              </w:rPr>
              <w:t>淘汰</w:t>
            </w:r>
            <w:r>
              <w:rPr>
                <w:szCs w:val="24"/>
              </w:rPr>
              <w:t>类</w:t>
            </w:r>
          </w:p>
        </w:tc>
      </w:tr>
      <w:tr w14:paraId="7A682C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64" w:type="pct"/>
            <w:vAlign w:val="center"/>
          </w:tcPr>
          <w:p w14:paraId="6C7E3A34">
            <w:pPr>
              <w:pStyle w:val="75"/>
              <w:jc w:val="left"/>
              <w:rPr>
                <w:szCs w:val="24"/>
              </w:rPr>
            </w:pPr>
            <w:r>
              <w:rPr>
                <w:rFonts w:hint="eastAsia"/>
                <w:szCs w:val="24"/>
              </w:rPr>
              <w:t>淘汰类（落后产品）</w:t>
            </w:r>
          </w:p>
        </w:tc>
        <w:tc>
          <w:tcPr>
            <w:tcW w:w="525" w:type="pct"/>
            <w:vAlign w:val="center"/>
          </w:tcPr>
          <w:p w14:paraId="418BDA8C">
            <w:pPr>
              <w:pStyle w:val="75"/>
              <w:rPr>
                <w:szCs w:val="24"/>
              </w:rPr>
            </w:pPr>
            <w:r>
              <w:rPr>
                <w:rFonts w:hint="eastAsia"/>
                <w:szCs w:val="24"/>
              </w:rPr>
              <w:t>七、机械</w:t>
            </w:r>
          </w:p>
        </w:tc>
        <w:tc>
          <w:tcPr>
            <w:tcW w:w="1523" w:type="pct"/>
            <w:vAlign w:val="center"/>
          </w:tcPr>
          <w:p w14:paraId="2D4BF7DD">
            <w:pPr>
              <w:pStyle w:val="75"/>
              <w:jc w:val="left"/>
            </w:pPr>
            <w:r>
              <w:rPr>
                <w:rFonts w:hint="eastAsia"/>
              </w:rPr>
              <w:t>66、每小时10蒸吨及以下燃煤锅炉</w:t>
            </w:r>
          </w:p>
        </w:tc>
        <w:tc>
          <w:tcPr>
            <w:tcW w:w="1768" w:type="pct"/>
            <w:vAlign w:val="center"/>
          </w:tcPr>
          <w:p w14:paraId="5670AC4E">
            <w:pPr>
              <w:pStyle w:val="75"/>
              <w:jc w:val="left"/>
            </w:pPr>
            <w:r>
              <w:rPr>
                <w:rFonts w:hint="eastAsia"/>
              </w:rPr>
              <w:t>本项目新建</w:t>
            </w:r>
            <w:r>
              <w:rPr>
                <w:rFonts w:hint="eastAsia"/>
                <w:lang w:val="en-US" w:eastAsia="zh-CN"/>
              </w:rPr>
              <w:t>3台0.9</w:t>
            </w:r>
            <w:r>
              <w:t>t/h</w:t>
            </w:r>
            <w:r>
              <w:rPr>
                <w:rFonts w:hint="eastAsia"/>
              </w:rPr>
              <w:t>的</w:t>
            </w:r>
            <w:r>
              <w:rPr>
                <w:rFonts w:hint="eastAsia"/>
                <w:lang w:val="en-US" w:eastAsia="zh-CN"/>
              </w:rPr>
              <w:t>电蒸汽发生器</w:t>
            </w:r>
          </w:p>
        </w:tc>
        <w:tc>
          <w:tcPr>
            <w:tcW w:w="518" w:type="pct"/>
            <w:vMerge w:val="continue"/>
            <w:vAlign w:val="center"/>
          </w:tcPr>
          <w:p w14:paraId="3B8F1011">
            <w:pPr>
              <w:pStyle w:val="75"/>
              <w:rPr>
                <w:highlight w:val="yellow"/>
              </w:rPr>
            </w:pPr>
          </w:p>
        </w:tc>
      </w:tr>
    </w:tbl>
    <w:p w14:paraId="7E610D7B">
      <w:pPr>
        <w:pStyle w:val="72"/>
      </w:pPr>
      <w:r>
        <w:rPr>
          <w:rFonts w:hint="eastAsia"/>
        </w:rPr>
        <w:t>由上表可知，本项目原料、设备、工艺、规模、产品均不属于限制类或淘汰类项目，属于《产业结构调整指导目录（2024年本）》中允许类，符合国家产业政策。</w:t>
      </w:r>
    </w:p>
    <w:p w14:paraId="6C4F1C6B">
      <w:pPr>
        <w:pStyle w:val="72"/>
      </w:pPr>
      <w:r>
        <w:rPr>
          <w:rFonts w:hint="eastAsia"/>
        </w:rPr>
        <w:t>（2）项目与备案的相符性分析</w:t>
      </w:r>
    </w:p>
    <w:p w14:paraId="32023513">
      <w:pPr>
        <w:pStyle w:val="72"/>
        <w:jc w:val="left"/>
        <w:rPr>
          <w:highlight w:val="yellow"/>
        </w:rPr>
      </w:pPr>
      <w:r>
        <w:rPr>
          <w:rFonts w:hint="eastAsia"/>
        </w:rPr>
        <w:t>项目</w:t>
      </w:r>
      <w:r>
        <w:t>已经</w:t>
      </w:r>
      <w:r>
        <w:rPr>
          <w:rFonts w:hint="eastAsia"/>
        </w:rPr>
        <w:t>获嘉县发展和改革委员会备案（项目代码为：2503-410724-04-05</w:t>
      </w:r>
      <w:r>
        <w:rPr>
          <w:rFonts w:hint="eastAsia"/>
          <w:lang w:val="en-US" w:eastAsia="zh-CN"/>
        </w:rPr>
        <w:t xml:space="preserve"> </w:t>
      </w:r>
      <w:r>
        <w:rPr>
          <w:rFonts w:hint="eastAsia"/>
        </w:rPr>
        <w:t>-141876）</w:t>
      </w:r>
      <w:r>
        <w:t>，符合国家产业政策。</w:t>
      </w:r>
      <w:r>
        <w:rPr>
          <w:rFonts w:hint="eastAsia"/>
        </w:rPr>
        <w:t>详见下表。</w:t>
      </w:r>
    </w:p>
    <w:p w14:paraId="19BAEBA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w:t>
      </w:r>
      <w:r>
        <w:rPr>
          <w:rFonts w:hint="eastAsia"/>
          <w:lang w:val="en-US" w:eastAsia="zh-CN"/>
        </w:rPr>
        <w:t>2.11-2</w:t>
      </w:r>
      <w:r>
        <w:rPr>
          <w:rFonts w:hint="eastAsia"/>
        </w:rPr>
        <w:t xml:space="preserve">    本项目与备案相符性分析表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3005"/>
        <w:gridCol w:w="3438"/>
        <w:gridCol w:w="957"/>
      </w:tblGrid>
      <w:tr w14:paraId="5A482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7" w:hRule="atLeast"/>
          <w:jc w:val="center"/>
        </w:trPr>
        <w:tc>
          <w:tcPr>
            <w:tcW w:w="661" w:type="pct"/>
            <w:vAlign w:val="center"/>
          </w:tcPr>
          <w:p w14:paraId="7B08B0E8">
            <w:pPr>
              <w:pStyle w:val="81"/>
              <w:rPr>
                <w:color w:val="auto"/>
              </w:rPr>
            </w:pPr>
            <w:r>
              <w:rPr>
                <w:rFonts w:hint="eastAsia"/>
                <w:color w:val="auto"/>
              </w:rPr>
              <w:t>名称</w:t>
            </w:r>
          </w:p>
        </w:tc>
        <w:tc>
          <w:tcPr>
            <w:tcW w:w="1761" w:type="pct"/>
            <w:vAlign w:val="center"/>
          </w:tcPr>
          <w:p w14:paraId="1777B802">
            <w:pPr>
              <w:pStyle w:val="81"/>
              <w:rPr>
                <w:color w:val="auto"/>
              </w:rPr>
            </w:pPr>
            <w:r>
              <w:rPr>
                <w:rFonts w:hint="eastAsia"/>
                <w:color w:val="auto"/>
              </w:rPr>
              <w:t>项目备案</w:t>
            </w:r>
          </w:p>
        </w:tc>
        <w:tc>
          <w:tcPr>
            <w:tcW w:w="2015" w:type="pct"/>
            <w:vAlign w:val="center"/>
          </w:tcPr>
          <w:p w14:paraId="66DAE4CA">
            <w:pPr>
              <w:pStyle w:val="81"/>
              <w:rPr>
                <w:color w:val="auto"/>
              </w:rPr>
            </w:pPr>
            <w:r>
              <w:rPr>
                <w:rFonts w:hint="eastAsia"/>
                <w:color w:val="auto"/>
              </w:rPr>
              <w:t>项目实际情况</w:t>
            </w:r>
          </w:p>
        </w:tc>
        <w:tc>
          <w:tcPr>
            <w:tcW w:w="561" w:type="pct"/>
            <w:vAlign w:val="center"/>
          </w:tcPr>
          <w:p w14:paraId="7687FED5">
            <w:pPr>
              <w:pStyle w:val="81"/>
              <w:rPr>
                <w:color w:val="auto"/>
              </w:rPr>
            </w:pPr>
            <w:r>
              <w:rPr>
                <w:rFonts w:hint="eastAsia"/>
                <w:color w:val="auto"/>
              </w:rPr>
              <w:t>一致</w:t>
            </w:r>
            <w:r>
              <w:rPr>
                <w:color w:val="auto"/>
              </w:rPr>
              <w:t>性</w:t>
            </w:r>
          </w:p>
        </w:tc>
      </w:tr>
      <w:tr w14:paraId="5E8214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661" w:type="pct"/>
            <w:vAlign w:val="center"/>
          </w:tcPr>
          <w:p w14:paraId="3613AAD4">
            <w:pPr>
              <w:pStyle w:val="81"/>
              <w:rPr>
                <w:rFonts w:hint="default" w:eastAsia="宋体"/>
                <w:b w:val="0"/>
                <w:bCs/>
                <w:color w:val="auto"/>
                <w:lang w:val="en-US" w:eastAsia="zh-CN"/>
              </w:rPr>
            </w:pPr>
            <w:r>
              <w:rPr>
                <w:rFonts w:hint="eastAsia"/>
                <w:b w:val="0"/>
                <w:bCs/>
                <w:color w:val="auto"/>
                <w:lang w:val="en-US" w:eastAsia="zh-CN"/>
              </w:rPr>
              <w:t>建设单位</w:t>
            </w:r>
          </w:p>
        </w:tc>
        <w:tc>
          <w:tcPr>
            <w:tcW w:w="1761" w:type="pct"/>
            <w:vAlign w:val="center"/>
          </w:tcPr>
          <w:p w14:paraId="082C045B">
            <w:pPr>
              <w:pStyle w:val="81"/>
              <w:rPr>
                <w:rFonts w:hint="eastAsia"/>
                <w:color w:val="auto"/>
              </w:rPr>
            </w:pPr>
            <w:r>
              <w:rPr>
                <w:rFonts w:hint="eastAsia"/>
                <w:b w:val="0"/>
                <w:bCs/>
              </w:rPr>
              <w:t>新乡市泓江润新能源有限公司</w:t>
            </w:r>
          </w:p>
        </w:tc>
        <w:tc>
          <w:tcPr>
            <w:tcW w:w="2015" w:type="pct"/>
            <w:vAlign w:val="center"/>
          </w:tcPr>
          <w:p w14:paraId="03882F85">
            <w:pPr>
              <w:pStyle w:val="81"/>
              <w:rPr>
                <w:rFonts w:hint="eastAsia"/>
                <w:color w:val="auto"/>
              </w:rPr>
            </w:pPr>
            <w:r>
              <w:rPr>
                <w:rFonts w:hint="eastAsia"/>
                <w:b w:val="0"/>
                <w:bCs/>
              </w:rPr>
              <w:t>新乡市泓江润新能源有限公司</w:t>
            </w:r>
          </w:p>
        </w:tc>
        <w:tc>
          <w:tcPr>
            <w:tcW w:w="561" w:type="pct"/>
            <w:vAlign w:val="center"/>
          </w:tcPr>
          <w:p w14:paraId="2B7AD55E">
            <w:pPr>
              <w:pStyle w:val="81"/>
              <w:rPr>
                <w:rFonts w:hint="default" w:eastAsia="宋体"/>
                <w:color w:val="auto"/>
                <w:lang w:val="en-US" w:eastAsia="zh-CN"/>
              </w:rPr>
            </w:pPr>
            <w:r>
              <w:rPr>
                <w:rFonts w:hint="eastAsia"/>
                <w:b w:val="0"/>
                <w:bCs/>
                <w:color w:val="auto"/>
                <w:lang w:val="en-US" w:eastAsia="zh-CN"/>
              </w:rPr>
              <w:t>一致</w:t>
            </w:r>
          </w:p>
        </w:tc>
      </w:tr>
      <w:tr w14:paraId="098655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1E4CB6C2">
            <w:pPr>
              <w:pStyle w:val="75"/>
              <w:rPr>
                <w:b w:val="0"/>
                <w:bCs/>
              </w:rPr>
            </w:pPr>
            <w:r>
              <w:rPr>
                <w:rFonts w:hint="eastAsia"/>
                <w:b w:val="0"/>
                <w:bCs/>
                <w:lang w:val="en-US" w:eastAsia="zh-CN"/>
              </w:rPr>
              <w:t>建设</w:t>
            </w:r>
            <w:r>
              <w:rPr>
                <w:rFonts w:hint="eastAsia"/>
                <w:b w:val="0"/>
                <w:bCs/>
              </w:rPr>
              <w:t>项目</w:t>
            </w:r>
          </w:p>
        </w:tc>
        <w:tc>
          <w:tcPr>
            <w:tcW w:w="1761" w:type="pct"/>
            <w:vAlign w:val="center"/>
          </w:tcPr>
          <w:p w14:paraId="000BF304">
            <w:pPr>
              <w:pStyle w:val="75"/>
              <w:jc w:val="left"/>
            </w:pPr>
            <w:r>
              <w:rPr>
                <w:rFonts w:hint="eastAsia"/>
              </w:rPr>
              <w:t>年产10亿只钢壳、10亿只盖帽和3600吨电池连接件项目</w:t>
            </w:r>
          </w:p>
        </w:tc>
        <w:tc>
          <w:tcPr>
            <w:tcW w:w="2015" w:type="pct"/>
            <w:vAlign w:val="center"/>
          </w:tcPr>
          <w:p w14:paraId="65769F51">
            <w:pPr>
              <w:pStyle w:val="75"/>
              <w:jc w:val="left"/>
            </w:pPr>
            <w:r>
              <w:rPr>
                <w:rFonts w:hint="eastAsia"/>
              </w:rPr>
              <w:t>年产10亿只钢壳、10亿只盖帽和3600吨电池连接件项目</w:t>
            </w:r>
          </w:p>
        </w:tc>
        <w:tc>
          <w:tcPr>
            <w:tcW w:w="561" w:type="pct"/>
            <w:vAlign w:val="center"/>
          </w:tcPr>
          <w:p w14:paraId="12CACF7B">
            <w:pPr>
              <w:pStyle w:val="75"/>
            </w:pPr>
            <w:r>
              <w:rPr>
                <w:rFonts w:hint="eastAsia"/>
              </w:rPr>
              <w:t>一致</w:t>
            </w:r>
          </w:p>
        </w:tc>
      </w:tr>
      <w:tr w14:paraId="5D7973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1D305B1C">
            <w:pPr>
              <w:pStyle w:val="75"/>
              <w:rPr>
                <w:rFonts w:hint="default" w:eastAsia="宋体"/>
                <w:b w:val="0"/>
                <w:bCs/>
                <w:lang w:val="en-US" w:eastAsia="zh-CN"/>
              </w:rPr>
            </w:pPr>
            <w:r>
              <w:rPr>
                <w:rFonts w:hint="eastAsia"/>
                <w:b w:val="0"/>
                <w:bCs/>
                <w:lang w:val="en-US" w:eastAsia="zh-CN"/>
              </w:rPr>
              <w:t>建设地点</w:t>
            </w:r>
          </w:p>
        </w:tc>
        <w:tc>
          <w:tcPr>
            <w:tcW w:w="1761" w:type="pct"/>
            <w:vAlign w:val="center"/>
          </w:tcPr>
          <w:p w14:paraId="02F6C87D">
            <w:pPr>
              <w:pStyle w:val="75"/>
              <w:jc w:val="left"/>
              <w:rPr>
                <w:rFonts w:hint="eastAsia"/>
              </w:rPr>
            </w:pPr>
            <w:r>
              <w:rPr>
                <w:rFonts w:hint="eastAsia"/>
              </w:rPr>
              <w:t>新乡市获嘉县先进制造业开发区安王路与梧桐路交叉口西100米1号</w:t>
            </w:r>
          </w:p>
        </w:tc>
        <w:tc>
          <w:tcPr>
            <w:tcW w:w="2015" w:type="pct"/>
            <w:vAlign w:val="center"/>
          </w:tcPr>
          <w:p w14:paraId="0C9BE3FD">
            <w:pPr>
              <w:pStyle w:val="75"/>
              <w:jc w:val="left"/>
              <w:rPr>
                <w:rFonts w:hint="default" w:eastAsia="宋体"/>
                <w:lang w:val="en-US" w:eastAsia="zh-CN"/>
              </w:rPr>
            </w:pPr>
            <w:r>
              <w:rPr>
                <w:rFonts w:hint="eastAsia"/>
              </w:rPr>
              <w:t>新乡市获嘉县先进制造业开发区安王路与梧桐路交叉口西100米1号</w:t>
            </w:r>
          </w:p>
        </w:tc>
        <w:tc>
          <w:tcPr>
            <w:tcW w:w="561" w:type="pct"/>
            <w:vAlign w:val="center"/>
          </w:tcPr>
          <w:p w14:paraId="39A4622F">
            <w:pPr>
              <w:pStyle w:val="75"/>
              <w:jc w:val="left"/>
              <w:rPr>
                <w:rFonts w:hint="default" w:eastAsia="宋体"/>
                <w:lang w:val="en-US" w:eastAsia="zh-CN"/>
              </w:rPr>
            </w:pPr>
            <w:r>
              <w:rPr>
                <w:rFonts w:hint="eastAsia"/>
                <w:lang w:val="en-US" w:eastAsia="zh-CN"/>
              </w:rPr>
              <w:t>经现场勘查，建设地点一致</w:t>
            </w:r>
          </w:p>
        </w:tc>
      </w:tr>
      <w:tr w14:paraId="650AC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0194D689">
            <w:pPr>
              <w:pStyle w:val="75"/>
            </w:pPr>
            <w:r>
              <w:rPr>
                <w:rFonts w:hint="eastAsia"/>
              </w:rPr>
              <w:t>设备</w:t>
            </w:r>
          </w:p>
        </w:tc>
        <w:tc>
          <w:tcPr>
            <w:tcW w:w="1761" w:type="pct"/>
            <w:vAlign w:val="center"/>
          </w:tcPr>
          <w:p w14:paraId="45F6FE31">
            <w:pPr>
              <w:pStyle w:val="75"/>
              <w:jc w:val="left"/>
              <w:rPr>
                <w:highlight w:val="yellow"/>
              </w:rPr>
            </w:pPr>
            <w:r>
              <w:t>冲床</w:t>
            </w:r>
            <w:r>
              <w:rPr>
                <w:rFonts w:hint="eastAsia"/>
                <w:b/>
                <w:bCs/>
                <w:lang w:eastAsia="zh-CN"/>
              </w:rPr>
              <w:t>、</w:t>
            </w:r>
            <w:r>
              <w:rPr>
                <w:rFonts w:hint="eastAsia"/>
              </w:rPr>
              <w:t>分切机、自动化电镀生产线、</w:t>
            </w:r>
            <w:r>
              <w:rPr>
                <w:rFonts w:hint="eastAsia"/>
                <w:lang w:val="en-US" w:eastAsia="zh-CN"/>
              </w:rPr>
              <w:t>蒸汽发生器</w:t>
            </w:r>
            <w:r>
              <w:rPr>
                <w:rFonts w:hint="eastAsia"/>
              </w:rPr>
              <w:t>等</w:t>
            </w:r>
          </w:p>
        </w:tc>
        <w:tc>
          <w:tcPr>
            <w:tcW w:w="2015" w:type="pct"/>
            <w:vAlign w:val="center"/>
          </w:tcPr>
          <w:p w14:paraId="2F826F07">
            <w:pPr>
              <w:pStyle w:val="75"/>
              <w:jc w:val="left"/>
            </w:pPr>
            <w:r>
              <w:t>冲床</w:t>
            </w:r>
            <w:r>
              <w:rPr>
                <w:rFonts w:hint="eastAsia"/>
                <w:b/>
                <w:bCs/>
                <w:lang w:eastAsia="zh-CN"/>
              </w:rPr>
              <w:t>、</w:t>
            </w:r>
            <w:r>
              <w:rPr>
                <w:rFonts w:hint="eastAsia"/>
              </w:rPr>
              <w:t>分切机、自动化电镀生产线、</w:t>
            </w:r>
            <w:r>
              <w:rPr>
                <w:rFonts w:hint="eastAsia"/>
                <w:lang w:val="en-US" w:eastAsia="zh-CN"/>
              </w:rPr>
              <w:t>蒸汽发生器</w:t>
            </w:r>
            <w:r>
              <w:rPr>
                <w:rFonts w:hint="eastAsia"/>
              </w:rPr>
              <w:t>等</w:t>
            </w:r>
          </w:p>
        </w:tc>
        <w:tc>
          <w:tcPr>
            <w:tcW w:w="561" w:type="pct"/>
            <w:vAlign w:val="center"/>
          </w:tcPr>
          <w:p w14:paraId="39EA1A96">
            <w:pPr>
              <w:pStyle w:val="75"/>
            </w:pPr>
            <w:r>
              <w:rPr>
                <w:rFonts w:hint="eastAsia"/>
              </w:rPr>
              <w:t>一致</w:t>
            </w:r>
          </w:p>
        </w:tc>
      </w:tr>
      <w:tr w14:paraId="2EB09C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6A2AF3C1">
            <w:pPr>
              <w:pStyle w:val="75"/>
            </w:pPr>
            <w:r>
              <w:rPr>
                <w:rFonts w:hint="eastAsia"/>
              </w:rPr>
              <w:t>主要工艺</w:t>
            </w:r>
          </w:p>
        </w:tc>
        <w:tc>
          <w:tcPr>
            <w:tcW w:w="1761" w:type="pct"/>
            <w:vAlign w:val="center"/>
          </w:tcPr>
          <w:p w14:paraId="0CD6272E">
            <w:pPr>
              <w:pStyle w:val="77"/>
              <w:ind w:firstLine="0" w:firstLineChars="0"/>
              <w:jc w:val="left"/>
              <w:rPr>
                <w:rFonts w:hint="default" w:eastAsia="宋体"/>
                <w:highlight w:val="yellow"/>
                <w:lang w:val="en-US" w:eastAsia="zh-CN"/>
              </w:rPr>
            </w:pPr>
            <w:r>
              <w:rPr>
                <w:rFonts w:hint="eastAsia"/>
                <w:lang w:val="en-US" w:eastAsia="zh-CN"/>
              </w:rPr>
              <w:t>电池钢壳和盖帽生产工艺：外购钢带-冲压-除油-清洗-电镀-漂白-中和-钝化-中和-封闭-烘干-成品；电池连接件生产工艺：钢带-分切-除油-清洗-电镀-烘干-成品</w:t>
            </w:r>
          </w:p>
        </w:tc>
        <w:tc>
          <w:tcPr>
            <w:tcW w:w="2015" w:type="pct"/>
            <w:vAlign w:val="center"/>
          </w:tcPr>
          <w:p w14:paraId="0EA9D10D">
            <w:pPr>
              <w:pStyle w:val="77"/>
              <w:ind w:firstLine="0" w:firstLineChars="0"/>
              <w:jc w:val="left"/>
            </w:pPr>
            <w:r>
              <w:rPr>
                <w:rFonts w:hint="eastAsia"/>
              </w:rPr>
              <w:t>电池钢壳工艺：普通钢带-冲压-</w:t>
            </w:r>
            <w:bookmarkStart w:id="249" w:name="_Hlk166664344"/>
            <w:r>
              <w:rPr>
                <w:rFonts w:hint="eastAsia"/>
              </w:rPr>
              <w:t>除油-酸洗-活化-镀镍-漂白-钝化-中和-封闭-烘干</w:t>
            </w:r>
            <w:bookmarkEnd w:id="249"/>
            <w:r>
              <w:rPr>
                <w:rFonts w:hint="eastAsia"/>
              </w:rPr>
              <w:t>-成品；</w:t>
            </w:r>
          </w:p>
          <w:p w14:paraId="23C5A230">
            <w:pPr>
              <w:pStyle w:val="77"/>
              <w:ind w:firstLine="0" w:firstLineChars="0"/>
              <w:jc w:val="left"/>
            </w:pPr>
            <w:r>
              <w:rPr>
                <w:rFonts w:hint="eastAsia"/>
                <w:lang w:val="en-US" w:eastAsia="zh-CN"/>
              </w:rPr>
              <w:t>盖帽</w:t>
            </w:r>
            <w:r>
              <w:rPr>
                <w:rFonts w:hint="eastAsia"/>
              </w:rPr>
              <w:t>工艺：普通钢带-冲压-除油-酸洗-活化-暗镍-亮镍-漂白-中和-钝化-中和-封闭-烘干-成品；</w:t>
            </w:r>
          </w:p>
          <w:p w14:paraId="6FEBC355">
            <w:pPr>
              <w:pStyle w:val="77"/>
              <w:ind w:firstLine="0" w:firstLineChars="0"/>
              <w:jc w:val="left"/>
            </w:pPr>
            <w:r>
              <w:rPr>
                <w:rFonts w:hint="eastAsia"/>
              </w:rPr>
              <w:t>电池连接件生产工艺为：钢带-分切-</w:t>
            </w:r>
            <w:r>
              <w:rPr>
                <w:rFonts w:hint="eastAsia"/>
                <w:lang w:val="en-US" w:eastAsia="zh-CN"/>
              </w:rPr>
              <w:t>超声除油</w:t>
            </w:r>
            <w:r>
              <w:rPr>
                <w:rFonts w:hint="eastAsia"/>
              </w:rPr>
              <w:t>-电解除油-</w:t>
            </w:r>
            <w:r>
              <w:rPr>
                <w:rFonts w:hint="eastAsia"/>
                <w:lang w:val="en-US" w:eastAsia="zh-CN"/>
              </w:rPr>
              <w:t>酸洗活化</w:t>
            </w:r>
            <w:r>
              <w:rPr>
                <w:rFonts w:hint="eastAsia"/>
              </w:rPr>
              <w:t>-镀镍-烘干-冲压-成品</w:t>
            </w:r>
          </w:p>
        </w:tc>
        <w:tc>
          <w:tcPr>
            <w:tcW w:w="561" w:type="pct"/>
            <w:vAlign w:val="center"/>
          </w:tcPr>
          <w:p w14:paraId="42B1810D">
            <w:pPr>
              <w:pStyle w:val="75"/>
              <w:jc w:val="left"/>
            </w:pPr>
            <w:r>
              <w:rPr>
                <w:rFonts w:hint="eastAsia"/>
                <w:lang w:val="en-US" w:eastAsia="zh-CN"/>
              </w:rPr>
              <w:t>工艺细化，</w:t>
            </w:r>
            <w:r>
              <w:rPr>
                <w:rFonts w:hint="eastAsia"/>
              </w:rPr>
              <w:t>基本一致</w:t>
            </w:r>
          </w:p>
        </w:tc>
      </w:tr>
      <w:tr w14:paraId="4C342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48662201">
            <w:pPr>
              <w:pStyle w:val="75"/>
            </w:pPr>
            <w:r>
              <w:rPr>
                <w:rFonts w:hint="eastAsia"/>
              </w:rPr>
              <w:t>投资</w:t>
            </w:r>
          </w:p>
        </w:tc>
        <w:tc>
          <w:tcPr>
            <w:tcW w:w="1761" w:type="pct"/>
            <w:vAlign w:val="center"/>
          </w:tcPr>
          <w:p w14:paraId="11335E67">
            <w:pPr>
              <w:pStyle w:val="75"/>
            </w:pPr>
            <w:r>
              <w:rPr>
                <w:rFonts w:hint="eastAsia"/>
                <w:lang w:val="en-US" w:eastAsia="zh-CN"/>
              </w:rPr>
              <w:t>6000</w:t>
            </w:r>
            <w:r>
              <w:rPr>
                <w:rFonts w:hint="eastAsia"/>
              </w:rPr>
              <w:t>万元</w:t>
            </w:r>
          </w:p>
        </w:tc>
        <w:tc>
          <w:tcPr>
            <w:tcW w:w="2015" w:type="pct"/>
            <w:vAlign w:val="center"/>
          </w:tcPr>
          <w:p w14:paraId="7AB94751">
            <w:pPr>
              <w:pStyle w:val="75"/>
            </w:pPr>
            <w:r>
              <w:rPr>
                <w:rFonts w:hint="eastAsia"/>
                <w:lang w:val="en-US" w:eastAsia="zh-CN"/>
              </w:rPr>
              <w:t>6000</w:t>
            </w:r>
            <w:r>
              <w:rPr>
                <w:rFonts w:hint="eastAsia"/>
              </w:rPr>
              <w:t>万元</w:t>
            </w:r>
          </w:p>
        </w:tc>
        <w:tc>
          <w:tcPr>
            <w:tcW w:w="561" w:type="pct"/>
            <w:vAlign w:val="center"/>
          </w:tcPr>
          <w:p w14:paraId="30F1ED95">
            <w:pPr>
              <w:pStyle w:val="75"/>
            </w:pPr>
            <w:r>
              <w:rPr>
                <w:rFonts w:hint="eastAsia"/>
              </w:rPr>
              <w:t>一致</w:t>
            </w:r>
          </w:p>
        </w:tc>
      </w:tr>
      <w:tr w14:paraId="583EE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1" w:type="pct"/>
            <w:vAlign w:val="center"/>
          </w:tcPr>
          <w:p w14:paraId="083DDBB0">
            <w:pPr>
              <w:pStyle w:val="75"/>
            </w:pPr>
            <w:r>
              <w:rPr>
                <w:rFonts w:hint="eastAsia"/>
              </w:rPr>
              <w:t>生产规模</w:t>
            </w:r>
          </w:p>
        </w:tc>
        <w:tc>
          <w:tcPr>
            <w:tcW w:w="1761" w:type="pct"/>
            <w:vAlign w:val="center"/>
          </w:tcPr>
          <w:p w14:paraId="4821B3CC">
            <w:pPr>
              <w:pStyle w:val="75"/>
              <w:jc w:val="left"/>
            </w:pPr>
            <w:r>
              <w:rPr>
                <w:rFonts w:hint="eastAsia"/>
              </w:rPr>
              <w:t>年产10亿只钢壳、10亿只盖帽和3600吨电池连接件</w:t>
            </w:r>
          </w:p>
        </w:tc>
        <w:tc>
          <w:tcPr>
            <w:tcW w:w="2015" w:type="pct"/>
            <w:vAlign w:val="center"/>
          </w:tcPr>
          <w:p w14:paraId="4FFB702D">
            <w:pPr>
              <w:pStyle w:val="75"/>
              <w:jc w:val="left"/>
              <w:rPr>
                <w:u w:val="single"/>
              </w:rPr>
            </w:pPr>
            <w:r>
              <w:rPr>
                <w:rFonts w:hint="eastAsia"/>
              </w:rPr>
              <w:t>年产10亿只钢壳、10亿只盖帽和3600吨电池连接件</w:t>
            </w:r>
          </w:p>
        </w:tc>
        <w:tc>
          <w:tcPr>
            <w:tcW w:w="561" w:type="pct"/>
            <w:vAlign w:val="center"/>
          </w:tcPr>
          <w:p w14:paraId="7C0B4ABB">
            <w:pPr>
              <w:pStyle w:val="75"/>
            </w:pPr>
            <w:r>
              <w:rPr>
                <w:rFonts w:hint="eastAsia"/>
              </w:rPr>
              <w:t>一致</w:t>
            </w:r>
          </w:p>
        </w:tc>
      </w:tr>
    </w:tbl>
    <w:p w14:paraId="440EF216">
      <w:pPr>
        <w:pStyle w:val="72"/>
        <w:rPr>
          <w:rFonts w:hint="default" w:eastAsia="宋体"/>
          <w:lang w:val="en-US" w:eastAsia="zh-CN"/>
        </w:rPr>
      </w:pPr>
      <w:r>
        <w:rPr>
          <w:rFonts w:hint="eastAsia"/>
          <w:lang w:val="en-US" w:eastAsia="zh-CN"/>
        </w:rPr>
        <w:t>本项目实际建设情况与备案基本一致。</w:t>
      </w:r>
    </w:p>
    <w:p w14:paraId="165EE2B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250" w:name="_Toc108122357"/>
      <w:bookmarkStart w:id="251" w:name="_Toc484001882"/>
      <w:bookmarkStart w:id="252" w:name="_Toc428287206"/>
      <w:bookmarkStart w:id="253" w:name="_Toc405905028"/>
      <w:bookmarkStart w:id="254" w:name="_Toc428286812"/>
      <w:bookmarkStart w:id="255" w:name="_Toc428287558"/>
      <w:r>
        <w:rPr>
          <w:rFonts w:hint="eastAsia" w:ascii="Times New Roman" w:hAnsi="Times New Roman" w:cs="Times New Roman"/>
          <w:lang w:val="en-US" w:eastAsia="zh-CN"/>
        </w:rPr>
        <w:t>2.11.2与《河南省生态环境分区管控总体要求（2023年版）》</w:t>
      </w:r>
      <w:bookmarkEnd w:id="250"/>
      <w:r>
        <w:rPr>
          <w:rFonts w:hint="eastAsia" w:ascii="Times New Roman" w:hAnsi="Times New Roman" w:cs="Times New Roman"/>
          <w:lang w:val="en-US" w:eastAsia="zh-CN"/>
        </w:rPr>
        <w:t>（公告[2024]2号）相符性分析</w:t>
      </w:r>
    </w:p>
    <w:p w14:paraId="512B6250">
      <w:pPr>
        <w:ind w:firstLine="480"/>
      </w:pPr>
      <w:r>
        <w:rPr>
          <w:rFonts w:hint="eastAsia"/>
        </w:rPr>
        <w:t>根据《河南省生态环境分区管控总体要求（2023年版）》（公告[2024]2号）的内容，结合本项目的情况，该方案中本项目实际情况的对比情况见下表。</w:t>
      </w:r>
    </w:p>
    <w:p w14:paraId="26531DD3">
      <w:pPr>
        <w:pStyle w:val="115"/>
        <w:spacing w:before="240" w:beforeLines="100" w:after="120" w:afterLines="50" w:line="240" w:lineRule="auto"/>
        <w:ind w:firstLine="482"/>
        <w:jc w:val="center"/>
        <w:rPr>
          <w:rFonts w:ascii="宋体" w:hAnsi="宋体" w:eastAsia="宋体"/>
          <w:lang w:val="pt-BR"/>
        </w:rPr>
      </w:pPr>
      <w:r>
        <w:rPr>
          <w:rFonts w:hint="eastAsia" w:ascii="宋体" w:hAnsi="宋体" w:eastAsia="宋体"/>
          <w:lang w:val="pt-BR"/>
        </w:rPr>
        <w:t>表</w:t>
      </w:r>
      <w:r>
        <w:rPr>
          <w:lang w:val="pt-BR"/>
        </w:rPr>
        <w:t>2</w:t>
      </w:r>
      <w:r>
        <w:rPr>
          <w:rFonts w:hint="eastAsia" w:eastAsia="宋体"/>
          <w:lang w:val="en-US" w:eastAsia="zh-CN"/>
        </w:rPr>
        <w:t>.11-3</w:t>
      </w:r>
      <w:r>
        <w:rPr>
          <w:lang w:val="pt-BR"/>
        </w:rPr>
        <w:t xml:space="preserve">  </w:t>
      </w:r>
      <w:r>
        <w:rPr>
          <w:rFonts w:hint="eastAsia" w:ascii="宋体" w:hAnsi="宋体" w:eastAsia="宋体"/>
          <w:lang w:val="pt-BR"/>
        </w:rPr>
        <w:t xml:space="preserve"> </w:t>
      </w:r>
      <w:r>
        <w:rPr>
          <w:rFonts w:ascii="宋体" w:hAnsi="宋体" w:eastAsia="宋体"/>
          <w:lang w:val="pt-BR"/>
        </w:rPr>
        <w:t xml:space="preserve"> </w:t>
      </w:r>
      <w:r>
        <w:rPr>
          <w:rFonts w:hint="eastAsia" w:ascii="宋体" w:hAnsi="宋体" w:eastAsia="宋体"/>
          <w:lang w:val="pt-BR"/>
        </w:rPr>
        <w:t>与《河南省生态环境分区管控总体要求》对比分析一览表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941"/>
        <w:gridCol w:w="482"/>
        <w:gridCol w:w="4268"/>
        <w:gridCol w:w="1933"/>
        <w:gridCol w:w="802"/>
      </w:tblGrid>
      <w:tr w14:paraId="74FB6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5F2DA4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snapToGrid w:val="0"/>
                <w:sz w:val="21"/>
                <w:szCs w:val="21"/>
              </w:rPr>
            </w:pPr>
            <w:bookmarkStart w:id="256" w:name="_Toc18723"/>
            <w:r>
              <w:rPr>
                <w:b/>
                <w:bCs/>
                <w:sz w:val="21"/>
                <w:szCs w:val="21"/>
              </w:rPr>
              <w:t>河南省产业发展总体准入要求</w:t>
            </w:r>
            <w:bookmarkEnd w:id="256"/>
          </w:p>
        </w:tc>
      </w:tr>
      <w:tr w14:paraId="392601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5ED30B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57" w:name="_Toc9999"/>
            <w:r>
              <w:rPr>
                <w:b/>
                <w:bCs/>
                <w:sz w:val="21"/>
                <w:szCs w:val="21"/>
              </w:rPr>
              <w:t>产业</w:t>
            </w:r>
          </w:p>
          <w:p w14:paraId="6AD104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snapToGrid w:val="0"/>
                <w:sz w:val="21"/>
                <w:szCs w:val="21"/>
              </w:rPr>
            </w:pPr>
            <w:r>
              <w:rPr>
                <w:b/>
                <w:bCs/>
                <w:sz w:val="21"/>
                <w:szCs w:val="21"/>
              </w:rPr>
              <w:t>发展</w:t>
            </w:r>
            <w:bookmarkEnd w:id="257"/>
          </w:p>
        </w:tc>
        <w:tc>
          <w:tcPr>
            <w:tcW w:w="4750" w:type="dxa"/>
            <w:gridSpan w:val="2"/>
            <w:shd w:val="clear" w:color="auto" w:fill="auto"/>
            <w:vAlign w:val="center"/>
          </w:tcPr>
          <w:p w14:paraId="6FADD0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58" w:name="_Toc14564"/>
            <w:r>
              <w:rPr>
                <w:b/>
                <w:bCs/>
                <w:sz w:val="21"/>
                <w:szCs w:val="21"/>
              </w:rPr>
              <w:t>准入要求</w:t>
            </w:r>
            <w:bookmarkEnd w:id="258"/>
          </w:p>
        </w:tc>
        <w:tc>
          <w:tcPr>
            <w:tcW w:w="1933" w:type="dxa"/>
            <w:shd w:val="clear" w:color="auto" w:fill="auto"/>
            <w:vAlign w:val="center"/>
          </w:tcPr>
          <w:p w14:paraId="7A31C0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59" w:name="_Toc20744"/>
            <w:r>
              <w:rPr>
                <w:b/>
                <w:bCs/>
                <w:sz w:val="21"/>
                <w:szCs w:val="21"/>
              </w:rPr>
              <w:t>本项目情况</w:t>
            </w:r>
            <w:bookmarkEnd w:id="259"/>
          </w:p>
        </w:tc>
        <w:tc>
          <w:tcPr>
            <w:tcW w:w="802" w:type="dxa"/>
            <w:shd w:val="clear" w:color="auto" w:fill="auto"/>
            <w:vAlign w:val="center"/>
          </w:tcPr>
          <w:p w14:paraId="61B35D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60" w:name="_Toc28257"/>
            <w:r>
              <w:rPr>
                <w:rFonts w:hint="eastAsia"/>
                <w:b/>
                <w:bCs/>
                <w:sz w:val="21"/>
                <w:szCs w:val="21"/>
              </w:rPr>
              <w:t>符合性</w:t>
            </w:r>
            <w:bookmarkEnd w:id="260"/>
          </w:p>
        </w:tc>
      </w:tr>
      <w:tr w14:paraId="6D8377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020991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val="0"/>
                <w:bCs w:val="0"/>
                <w:snapToGrid w:val="0"/>
                <w:szCs w:val="21"/>
              </w:rPr>
            </w:pPr>
            <w:bookmarkStart w:id="261" w:name="_Toc14586"/>
            <w:r>
              <w:rPr>
                <w:b w:val="0"/>
                <w:bCs w:val="0"/>
                <w:sz w:val="21"/>
                <w:szCs w:val="21"/>
              </w:rPr>
              <w:t>通用</w:t>
            </w:r>
            <w:bookmarkEnd w:id="261"/>
          </w:p>
        </w:tc>
        <w:tc>
          <w:tcPr>
            <w:tcW w:w="4750" w:type="dxa"/>
            <w:gridSpan w:val="2"/>
            <w:shd w:val="clear" w:color="auto" w:fill="auto"/>
            <w:vAlign w:val="center"/>
          </w:tcPr>
          <w:p w14:paraId="442BDBE9">
            <w:pPr>
              <w:pStyle w:val="117"/>
              <w:ind w:firstLine="0" w:firstLineChars="0"/>
              <w:rPr>
                <w:b w:val="0"/>
                <w:bCs w:val="0"/>
                <w:szCs w:val="21"/>
              </w:rPr>
            </w:pPr>
            <w:r>
              <w:rPr>
                <w:b w:val="0"/>
                <w:bCs w:val="0"/>
                <w:szCs w:val="21"/>
              </w:rPr>
              <w:t>1.不断促进全省产业高质量发展。培育壮大人工智能及新能源等新兴产业；持续巩固提升装备、食品、新型材料、汽车、电子信息等五大制造业主导产业优势地位；做好产业链、创新链、供应链、价值链、制度链“五链”耦合，把新基建、新技术、新材料、新装备、新产品、新业态作为高质量发展的主攻方向。</w:t>
            </w:r>
          </w:p>
          <w:p w14:paraId="61A06372">
            <w:pPr>
              <w:pStyle w:val="117"/>
              <w:ind w:firstLine="0" w:firstLineChars="0"/>
              <w:rPr>
                <w:b w:val="0"/>
                <w:bCs w:val="0"/>
                <w:szCs w:val="21"/>
              </w:rPr>
            </w:pPr>
            <w:r>
              <w:rPr>
                <w:b w:val="0"/>
                <w:bCs w:val="0"/>
                <w:szCs w:val="21"/>
              </w:rPr>
              <w:t>2.禁止新改扩建《产业结构调整指导目录（2019年本）》明确的淘汰类项目；禁止引入《市场准入负面清单（2020年版）》禁止准入类事项。</w:t>
            </w:r>
          </w:p>
          <w:p w14:paraId="6113E92C">
            <w:pPr>
              <w:pStyle w:val="117"/>
              <w:ind w:firstLine="0" w:firstLineChars="0"/>
              <w:rPr>
                <w:b w:val="0"/>
                <w:bCs w:val="0"/>
                <w:szCs w:val="21"/>
              </w:rPr>
            </w:pPr>
            <w:r>
              <w:rPr>
                <w:b w:val="0"/>
                <w:bCs w:val="0"/>
                <w:szCs w:val="21"/>
              </w:rPr>
              <w:t>3.重点区域严禁新增钢铁、焦化、水泥熟料、平板玻璃、电解铝、氧化铝、煤化工产能，严控新增炼油产能；禁止建设生产和使用高</w:t>
            </w:r>
            <w:r>
              <w:rPr>
                <w:sz w:val="21"/>
                <w:szCs w:val="21"/>
              </w:rPr>
              <w:t>VOC</w:t>
            </w:r>
            <w:r>
              <w:rPr>
                <w:rFonts w:hint="eastAsia"/>
                <w:sz w:val="21"/>
                <w:szCs w:val="21"/>
                <w:vertAlign w:val="subscript"/>
                <w:lang w:val="en-US" w:eastAsia="zh-CN"/>
              </w:rPr>
              <w:t>S</w:t>
            </w:r>
            <w:r>
              <w:rPr>
                <w:b w:val="0"/>
                <w:bCs w:val="0"/>
                <w:szCs w:val="21"/>
              </w:rPr>
              <w:t>含量的溶剂型涂料、油墨、胶粘剂等项目；全面取缔露天和敞开式喷涂作业；重点区域原则上禁止新建露天矿山建设项目。</w:t>
            </w:r>
          </w:p>
          <w:p w14:paraId="53E5383E">
            <w:pPr>
              <w:pStyle w:val="117"/>
              <w:ind w:firstLine="0" w:firstLineChars="0"/>
              <w:rPr>
                <w:rFonts w:ascii="Times New Roman" w:hAnsi="Times New Roman"/>
                <w:b w:val="0"/>
                <w:bCs w:val="0"/>
                <w:snapToGrid w:val="0"/>
                <w:szCs w:val="21"/>
              </w:rPr>
            </w:pPr>
            <w:bookmarkStart w:id="262" w:name="_Toc13685"/>
            <w:r>
              <w:rPr>
                <w:b w:val="0"/>
                <w:bCs w:val="0"/>
                <w:szCs w:val="21"/>
              </w:rPr>
              <w:t>4.严把</w:t>
            </w:r>
            <w:r>
              <w:rPr>
                <w:rFonts w:hint="eastAsia"/>
                <w:b w:val="0"/>
                <w:bCs w:val="0"/>
                <w:szCs w:val="21"/>
              </w:rPr>
              <w:t>“</w:t>
            </w:r>
            <w:r>
              <w:rPr>
                <w:b w:val="0"/>
                <w:bCs w:val="0"/>
                <w:szCs w:val="21"/>
              </w:rPr>
              <w:t>两高</w:t>
            </w:r>
            <w:r>
              <w:rPr>
                <w:rFonts w:hint="eastAsia"/>
                <w:b w:val="0"/>
                <w:bCs w:val="0"/>
                <w:szCs w:val="21"/>
              </w:rPr>
              <w:t>”</w:t>
            </w:r>
            <w:r>
              <w:rPr>
                <w:b w:val="0"/>
                <w:bCs w:val="0"/>
                <w:szCs w:val="21"/>
              </w:rPr>
              <w:t>项目生态环境准入关，严格限制“两高”项目盲目发展。新改扩建</w:t>
            </w:r>
            <w:r>
              <w:rPr>
                <w:rFonts w:hint="eastAsia"/>
                <w:b w:val="0"/>
                <w:bCs w:val="0"/>
                <w:szCs w:val="21"/>
              </w:rPr>
              <w:t>“</w:t>
            </w:r>
            <w:r>
              <w:rPr>
                <w:b w:val="0"/>
                <w:bCs w:val="0"/>
                <w:szCs w:val="21"/>
              </w:rPr>
              <w:t>两高</w:t>
            </w:r>
            <w:r>
              <w:rPr>
                <w:rFonts w:hint="eastAsia"/>
                <w:b w:val="0"/>
                <w:bCs w:val="0"/>
                <w:szCs w:val="21"/>
              </w:rPr>
              <w:t>”</w:t>
            </w:r>
            <w:r>
              <w:rPr>
                <w:b w:val="0"/>
                <w:bCs w:val="0"/>
                <w:szCs w:val="21"/>
              </w:rPr>
              <w:t>项目须符合生态环境保护法律法规和相关法定规划，符合产业政策、国土空间规划、“三线一单”、能耗</w:t>
            </w:r>
            <w:r>
              <w:rPr>
                <w:rFonts w:hint="eastAsia"/>
                <w:b w:val="0"/>
                <w:bCs w:val="0"/>
                <w:szCs w:val="21"/>
              </w:rPr>
              <w:t>“</w:t>
            </w:r>
            <w:r>
              <w:rPr>
                <w:b w:val="0"/>
                <w:bCs w:val="0"/>
                <w:szCs w:val="21"/>
              </w:rPr>
              <w:t>双控</w:t>
            </w:r>
            <w:r>
              <w:rPr>
                <w:rFonts w:hint="eastAsia"/>
                <w:b w:val="0"/>
                <w:bCs w:val="0"/>
                <w:szCs w:val="21"/>
              </w:rPr>
              <w:t>”</w:t>
            </w:r>
            <w:r>
              <w:rPr>
                <w:b w:val="0"/>
                <w:bCs w:val="0"/>
                <w:szCs w:val="21"/>
              </w:rPr>
              <w:t>、煤炭消费减量替代、碳排放强度、污染物区域削减替代等约束性要求，按照《河南省淘汰落后产能综合标准体系（2020年本）》，严格执行能耗、环保、质量、安全、技术等法规标准。</w:t>
            </w:r>
            <w:bookmarkEnd w:id="262"/>
          </w:p>
        </w:tc>
        <w:tc>
          <w:tcPr>
            <w:tcW w:w="1933" w:type="dxa"/>
            <w:shd w:val="clear" w:color="auto" w:fill="auto"/>
            <w:vAlign w:val="center"/>
          </w:tcPr>
          <w:p w14:paraId="1BAB74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sz w:val="21"/>
                <w:szCs w:val="21"/>
                <w:lang w:val="en-US" w:eastAsia="zh-CN"/>
              </w:rPr>
            </w:pPr>
            <w:bookmarkStart w:id="263" w:name="_Toc7840"/>
            <w:r>
              <w:rPr>
                <w:sz w:val="21"/>
                <w:szCs w:val="21"/>
                <w:lang w:val="en-US" w:eastAsia="zh-CN"/>
              </w:rPr>
              <w:t>1.本项目为电池钢壳、</w:t>
            </w:r>
            <w:r>
              <w:rPr>
                <w:rFonts w:hint="eastAsia"/>
                <w:sz w:val="21"/>
                <w:szCs w:val="21"/>
                <w:lang w:val="en-US" w:eastAsia="zh-CN"/>
              </w:rPr>
              <w:t>盖帽</w:t>
            </w:r>
            <w:r>
              <w:rPr>
                <w:sz w:val="21"/>
                <w:szCs w:val="21"/>
                <w:lang w:val="en-US" w:eastAsia="zh-CN"/>
              </w:rPr>
              <w:t>和</w:t>
            </w:r>
            <w:r>
              <w:rPr>
                <w:rFonts w:hint="eastAsia"/>
                <w:sz w:val="21"/>
                <w:szCs w:val="21"/>
                <w:lang w:val="en-US" w:eastAsia="zh-CN"/>
              </w:rPr>
              <w:t>电池连接件</w:t>
            </w:r>
            <w:r>
              <w:rPr>
                <w:sz w:val="21"/>
                <w:szCs w:val="21"/>
                <w:lang w:val="en-US" w:eastAsia="zh-CN"/>
              </w:rPr>
              <w:t>的生产项目，属于电镀行业，符合要求。</w:t>
            </w:r>
            <w:bookmarkEnd w:id="263"/>
          </w:p>
          <w:p w14:paraId="1BA6BA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sz w:val="21"/>
                <w:szCs w:val="21"/>
              </w:rPr>
            </w:pPr>
            <w:bookmarkStart w:id="264" w:name="_Toc11512"/>
            <w:r>
              <w:rPr>
                <w:sz w:val="21"/>
                <w:szCs w:val="21"/>
              </w:rPr>
              <w:t>2.本项目不属于《产业结构调整指导目录（</w:t>
            </w:r>
            <w:r>
              <w:rPr>
                <w:rFonts w:hint="eastAsia"/>
                <w:sz w:val="21"/>
                <w:szCs w:val="21"/>
              </w:rPr>
              <w:t>2024</w:t>
            </w:r>
            <w:r>
              <w:rPr>
                <w:sz w:val="21"/>
                <w:szCs w:val="21"/>
              </w:rPr>
              <w:t>年本）》明确的淘汰类项目和《市场准入负面清单（2020年版）》禁止准入类事项。</w:t>
            </w:r>
            <w:bookmarkEnd w:id="264"/>
          </w:p>
          <w:p w14:paraId="66584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sz w:val="21"/>
                <w:szCs w:val="21"/>
              </w:rPr>
            </w:pPr>
            <w:bookmarkStart w:id="265" w:name="_Toc13146"/>
            <w:r>
              <w:rPr>
                <w:sz w:val="21"/>
                <w:szCs w:val="21"/>
              </w:rPr>
              <w:t>3.本项目不属于新增钢铁、焦化、水泥熟料、平板玻璃、电解铝、氧化铝、煤化工、炼油产能和生产、使用高VOC</w:t>
            </w:r>
            <w:r>
              <w:rPr>
                <w:rFonts w:hint="eastAsia"/>
                <w:sz w:val="21"/>
                <w:szCs w:val="21"/>
                <w:vertAlign w:val="subscript"/>
                <w:lang w:val="en-US" w:eastAsia="zh-CN"/>
              </w:rPr>
              <w:t>S</w:t>
            </w:r>
            <w:r>
              <w:rPr>
                <w:sz w:val="21"/>
                <w:szCs w:val="21"/>
              </w:rPr>
              <w:t>含量的溶剂型涂料、油墨、胶粘剂等项目；同时不属于露天和敞开式喷涂作业和露天矿山建设项目。</w:t>
            </w:r>
            <w:bookmarkEnd w:id="265"/>
          </w:p>
          <w:p w14:paraId="62A20C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ascii="Times New Roman" w:hAnsi="Times New Roman"/>
                <w:snapToGrid w:val="0"/>
                <w:szCs w:val="21"/>
              </w:rPr>
            </w:pPr>
            <w:bookmarkStart w:id="266" w:name="_Toc7971"/>
            <w:r>
              <w:rPr>
                <w:sz w:val="21"/>
                <w:szCs w:val="21"/>
              </w:rPr>
              <w:t>4.本项目不属</w:t>
            </w:r>
            <w:r>
              <w:rPr>
                <w:rFonts w:hint="eastAsia" w:ascii="宋体" w:hAnsi="宋体" w:eastAsia="宋体" w:cs="宋体"/>
                <w:sz w:val="21"/>
                <w:szCs w:val="21"/>
              </w:rPr>
              <w:t>于“两高”项目。</w:t>
            </w:r>
            <w:bookmarkEnd w:id="266"/>
          </w:p>
        </w:tc>
        <w:tc>
          <w:tcPr>
            <w:tcW w:w="802" w:type="dxa"/>
            <w:shd w:val="clear" w:color="auto" w:fill="auto"/>
            <w:vAlign w:val="center"/>
          </w:tcPr>
          <w:p w14:paraId="7DC79A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67" w:name="_Toc25963"/>
            <w:r>
              <w:rPr>
                <w:sz w:val="21"/>
                <w:szCs w:val="21"/>
              </w:rPr>
              <w:t>符合</w:t>
            </w:r>
            <w:bookmarkEnd w:id="267"/>
          </w:p>
        </w:tc>
      </w:tr>
      <w:tr w14:paraId="6A9660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67956D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68" w:name="_Toc8794"/>
            <w:r>
              <w:rPr>
                <w:b/>
                <w:bCs/>
                <w:sz w:val="21"/>
                <w:szCs w:val="21"/>
              </w:rPr>
              <w:t>河南省生态空间总体准入要求</w:t>
            </w:r>
            <w:bookmarkEnd w:id="268"/>
          </w:p>
        </w:tc>
      </w:tr>
      <w:tr w14:paraId="241CF5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261047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69" w:name="_Toc30250"/>
            <w:r>
              <w:rPr>
                <w:b/>
                <w:bCs/>
                <w:sz w:val="21"/>
                <w:szCs w:val="21"/>
              </w:rPr>
              <w:t>分区</w:t>
            </w:r>
            <w:bookmarkEnd w:id="269"/>
          </w:p>
        </w:tc>
        <w:tc>
          <w:tcPr>
            <w:tcW w:w="482" w:type="dxa"/>
            <w:vAlign w:val="center"/>
          </w:tcPr>
          <w:p w14:paraId="5993BB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70" w:name="_Toc27918"/>
            <w:r>
              <w:rPr>
                <w:b/>
                <w:bCs/>
                <w:sz w:val="21"/>
                <w:szCs w:val="21"/>
              </w:rPr>
              <w:t>类别</w:t>
            </w:r>
            <w:bookmarkEnd w:id="270"/>
          </w:p>
        </w:tc>
        <w:tc>
          <w:tcPr>
            <w:tcW w:w="4268" w:type="dxa"/>
            <w:vAlign w:val="center"/>
          </w:tcPr>
          <w:p w14:paraId="1381EB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71" w:name="_Toc15064"/>
            <w:r>
              <w:rPr>
                <w:b/>
                <w:bCs/>
                <w:sz w:val="21"/>
                <w:szCs w:val="21"/>
              </w:rPr>
              <w:t>准入要求</w:t>
            </w:r>
            <w:bookmarkEnd w:id="271"/>
          </w:p>
        </w:tc>
        <w:tc>
          <w:tcPr>
            <w:tcW w:w="1933" w:type="dxa"/>
            <w:shd w:val="clear" w:color="auto" w:fill="auto"/>
            <w:vAlign w:val="center"/>
          </w:tcPr>
          <w:p w14:paraId="7A4486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72" w:name="_Toc24012"/>
            <w:r>
              <w:rPr>
                <w:b/>
                <w:bCs/>
                <w:sz w:val="21"/>
                <w:szCs w:val="21"/>
              </w:rPr>
              <w:t>本项目情况</w:t>
            </w:r>
            <w:bookmarkEnd w:id="272"/>
          </w:p>
        </w:tc>
        <w:tc>
          <w:tcPr>
            <w:tcW w:w="802" w:type="dxa"/>
            <w:shd w:val="clear" w:color="auto" w:fill="auto"/>
            <w:vAlign w:val="center"/>
          </w:tcPr>
          <w:p w14:paraId="31E473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73" w:name="_Toc9454"/>
            <w:r>
              <w:rPr>
                <w:rFonts w:hint="eastAsia"/>
                <w:b/>
                <w:bCs/>
                <w:sz w:val="21"/>
                <w:szCs w:val="21"/>
              </w:rPr>
              <w:t>符合性</w:t>
            </w:r>
            <w:bookmarkEnd w:id="273"/>
          </w:p>
        </w:tc>
      </w:tr>
      <w:tr w14:paraId="401C1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05F218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74" w:name="_Toc187"/>
            <w:r>
              <w:rPr>
                <w:sz w:val="21"/>
                <w:szCs w:val="21"/>
              </w:rPr>
              <w:t>生态保护红线</w:t>
            </w:r>
            <w:bookmarkEnd w:id="274"/>
          </w:p>
        </w:tc>
        <w:tc>
          <w:tcPr>
            <w:tcW w:w="482" w:type="dxa"/>
            <w:vAlign w:val="center"/>
          </w:tcPr>
          <w:p w14:paraId="339F7D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75" w:name="_Toc22056"/>
            <w:r>
              <w:rPr>
                <w:sz w:val="21"/>
                <w:szCs w:val="21"/>
              </w:rPr>
              <w:t>总体要求</w:t>
            </w:r>
            <w:bookmarkEnd w:id="275"/>
          </w:p>
        </w:tc>
        <w:tc>
          <w:tcPr>
            <w:tcW w:w="4268" w:type="dxa"/>
            <w:shd w:val="clear" w:color="auto" w:fill="auto"/>
            <w:vAlign w:val="center"/>
          </w:tcPr>
          <w:p w14:paraId="08A97B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76" w:name="_Toc26134"/>
            <w:r>
              <w:rPr>
                <w:sz w:val="21"/>
                <w:szCs w:val="21"/>
              </w:rPr>
              <w:t>1.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bookmarkEnd w:id="276"/>
          </w:p>
        </w:tc>
        <w:tc>
          <w:tcPr>
            <w:tcW w:w="1933" w:type="dxa"/>
            <w:shd w:val="clear" w:color="auto" w:fill="auto"/>
            <w:vAlign w:val="center"/>
          </w:tcPr>
          <w:p w14:paraId="68FBB9F9">
            <w:pPr>
              <w:pStyle w:val="75"/>
              <w:jc w:val="both"/>
              <w:rPr>
                <w:rFonts w:ascii="Times New Roman" w:hAnsi="Times New Roman"/>
                <w:snapToGrid w:val="0"/>
                <w:sz w:val="21"/>
                <w:szCs w:val="21"/>
              </w:rPr>
            </w:pPr>
            <w:r>
              <w:rPr>
                <w:rFonts w:ascii="Times New Roman" w:hAnsi="Times New Roman"/>
                <w:snapToGrid w:val="0"/>
                <w:sz w:val="21"/>
                <w:szCs w:val="21"/>
              </w:rPr>
              <w:t>1.本项目位于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cs="Times New Roman"/>
                <w:lang w:val="en-US" w:eastAsia="zh-CN"/>
              </w:rPr>
              <w:t>，</w:t>
            </w:r>
            <w:r>
              <w:rPr>
                <w:rFonts w:ascii="Times New Roman" w:hAnsi="Times New Roman"/>
                <w:snapToGrid w:val="0"/>
                <w:sz w:val="21"/>
                <w:szCs w:val="21"/>
              </w:rPr>
              <w:t>不涉及生态保护红线区域。</w:t>
            </w:r>
          </w:p>
        </w:tc>
        <w:tc>
          <w:tcPr>
            <w:tcW w:w="802" w:type="dxa"/>
            <w:shd w:val="clear" w:color="auto" w:fill="auto"/>
            <w:vAlign w:val="center"/>
          </w:tcPr>
          <w:p w14:paraId="1C1A8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77" w:name="_Toc26007"/>
            <w:r>
              <w:rPr>
                <w:sz w:val="21"/>
                <w:szCs w:val="21"/>
              </w:rPr>
              <w:t>符合</w:t>
            </w:r>
            <w:bookmarkEnd w:id="277"/>
          </w:p>
        </w:tc>
      </w:tr>
      <w:tr w14:paraId="37614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113EF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78" w:name="_Toc31078"/>
            <w:r>
              <w:rPr>
                <w:b/>
                <w:bCs/>
                <w:sz w:val="21"/>
                <w:szCs w:val="21"/>
              </w:rPr>
              <w:t>河南省大气生态环境总体准入要求</w:t>
            </w:r>
            <w:bookmarkEnd w:id="278"/>
          </w:p>
        </w:tc>
      </w:tr>
      <w:tr w14:paraId="64D335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4AE751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79" w:name="_Toc26230"/>
            <w:r>
              <w:rPr>
                <w:b/>
                <w:bCs/>
                <w:sz w:val="21"/>
                <w:szCs w:val="21"/>
              </w:rPr>
              <w:t>管控</w:t>
            </w:r>
          </w:p>
          <w:p w14:paraId="2A234C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维度</w:t>
            </w:r>
            <w:bookmarkEnd w:id="279"/>
          </w:p>
        </w:tc>
        <w:tc>
          <w:tcPr>
            <w:tcW w:w="4750" w:type="dxa"/>
            <w:gridSpan w:val="2"/>
            <w:vAlign w:val="center"/>
          </w:tcPr>
          <w:p w14:paraId="272822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80" w:name="_Toc18303"/>
            <w:r>
              <w:rPr>
                <w:b/>
                <w:bCs/>
                <w:sz w:val="21"/>
                <w:szCs w:val="21"/>
              </w:rPr>
              <w:t>准入要求</w:t>
            </w:r>
            <w:bookmarkEnd w:id="280"/>
          </w:p>
        </w:tc>
        <w:tc>
          <w:tcPr>
            <w:tcW w:w="1933" w:type="dxa"/>
            <w:shd w:val="clear" w:color="auto" w:fill="auto"/>
            <w:vAlign w:val="center"/>
          </w:tcPr>
          <w:p w14:paraId="49D0A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81" w:name="_Toc1703"/>
            <w:r>
              <w:rPr>
                <w:b/>
                <w:bCs/>
                <w:sz w:val="21"/>
                <w:szCs w:val="21"/>
              </w:rPr>
              <w:t>本项目情况</w:t>
            </w:r>
            <w:bookmarkEnd w:id="281"/>
          </w:p>
        </w:tc>
        <w:tc>
          <w:tcPr>
            <w:tcW w:w="802" w:type="dxa"/>
            <w:shd w:val="clear" w:color="auto" w:fill="auto"/>
            <w:vAlign w:val="center"/>
          </w:tcPr>
          <w:p w14:paraId="63984D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82" w:name="_Toc20889"/>
            <w:r>
              <w:rPr>
                <w:b/>
                <w:bCs/>
                <w:sz w:val="21"/>
                <w:szCs w:val="21"/>
              </w:rPr>
              <w:t>符合</w:t>
            </w:r>
            <w:r>
              <w:rPr>
                <w:rFonts w:hint="eastAsia"/>
                <w:b/>
                <w:bCs/>
                <w:sz w:val="21"/>
                <w:szCs w:val="21"/>
              </w:rPr>
              <w:t>性</w:t>
            </w:r>
            <w:bookmarkEnd w:id="282"/>
          </w:p>
        </w:tc>
      </w:tr>
      <w:tr w14:paraId="3049D9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15AC62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83" w:name="_Toc2549"/>
            <w:r>
              <w:rPr>
                <w:sz w:val="21"/>
                <w:szCs w:val="21"/>
              </w:rPr>
              <w:t>空间布局约束</w:t>
            </w:r>
            <w:bookmarkEnd w:id="283"/>
          </w:p>
        </w:tc>
        <w:tc>
          <w:tcPr>
            <w:tcW w:w="4750" w:type="dxa"/>
            <w:gridSpan w:val="2"/>
            <w:vAlign w:val="center"/>
          </w:tcPr>
          <w:p w14:paraId="114FAA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284" w:name="_Toc15864"/>
            <w:r>
              <w:rPr>
                <w:sz w:val="21"/>
                <w:szCs w:val="21"/>
              </w:rPr>
              <w:t>2.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VOC</w:t>
            </w:r>
            <w:r>
              <w:rPr>
                <w:rFonts w:hint="eastAsia"/>
                <w:sz w:val="21"/>
                <w:szCs w:val="21"/>
                <w:vertAlign w:val="subscript"/>
                <w:lang w:val="en-US" w:eastAsia="zh-CN"/>
              </w:rPr>
              <w:t>S</w:t>
            </w:r>
            <w:r>
              <w:rPr>
                <w:sz w:val="21"/>
                <w:szCs w:val="21"/>
              </w:rPr>
              <w:t>排放建设项目；新建涉VOC</w:t>
            </w:r>
            <w:r>
              <w:rPr>
                <w:rFonts w:hint="eastAsia"/>
                <w:sz w:val="21"/>
                <w:szCs w:val="21"/>
                <w:vertAlign w:val="subscript"/>
                <w:lang w:val="en-US" w:eastAsia="zh-CN"/>
              </w:rPr>
              <w:t>S</w:t>
            </w:r>
            <w:r>
              <w:rPr>
                <w:sz w:val="21"/>
                <w:szCs w:val="21"/>
              </w:rPr>
              <w:t>排放的工业企业要入园区；实行区域内VOC</w:t>
            </w:r>
            <w:r>
              <w:rPr>
                <w:rFonts w:hint="eastAsia"/>
                <w:sz w:val="21"/>
                <w:szCs w:val="21"/>
                <w:vertAlign w:val="subscript"/>
                <w:lang w:val="en-US" w:eastAsia="zh-CN"/>
              </w:rPr>
              <w:t>S</w:t>
            </w:r>
            <w:r>
              <w:rPr>
                <w:sz w:val="21"/>
                <w:szCs w:val="21"/>
              </w:rPr>
              <w:t>排放等量或倍量削减替代。</w:t>
            </w:r>
            <w:bookmarkEnd w:id="284"/>
          </w:p>
        </w:tc>
        <w:tc>
          <w:tcPr>
            <w:tcW w:w="1933" w:type="dxa"/>
            <w:shd w:val="clear" w:color="auto" w:fill="auto"/>
            <w:vAlign w:val="center"/>
          </w:tcPr>
          <w:p w14:paraId="385D1F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285" w:name="_Toc20629"/>
            <w:r>
              <w:rPr>
                <w:sz w:val="21"/>
                <w:szCs w:val="21"/>
              </w:rPr>
              <w:t>2.本项目为生产电池钢壳</w:t>
            </w:r>
            <w:r>
              <w:rPr>
                <w:rFonts w:hint="eastAsia"/>
                <w:sz w:val="21"/>
                <w:szCs w:val="21"/>
              </w:rPr>
              <w:t>、</w:t>
            </w:r>
            <w:r>
              <w:rPr>
                <w:rFonts w:hint="eastAsia"/>
                <w:sz w:val="21"/>
                <w:szCs w:val="21"/>
                <w:lang w:val="en-US" w:eastAsia="zh-CN"/>
              </w:rPr>
              <w:t>盖帽</w:t>
            </w:r>
            <w:r>
              <w:rPr>
                <w:rFonts w:hint="eastAsia"/>
                <w:sz w:val="21"/>
                <w:szCs w:val="21"/>
              </w:rPr>
              <w:t>和电池连接件</w:t>
            </w:r>
            <w:r>
              <w:rPr>
                <w:sz w:val="21"/>
                <w:szCs w:val="21"/>
              </w:rPr>
              <w:t>项目，涉及电镀工艺，不属于石化、化工、包装印刷、工业涂装等高VOC</w:t>
            </w:r>
            <w:r>
              <w:rPr>
                <w:rFonts w:hint="eastAsia"/>
                <w:sz w:val="21"/>
                <w:szCs w:val="21"/>
                <w:vertAlign w:val="subscript"/>
                <w:lang w:val="en-US" w:eastAsia="zh-CN"/>
              </w:rPr>
              <w:t>S</w:t>
            </w:r>
            <w:r>
              <w:rPr>
                <w:sz w:val="21"/>
                <w:szCs w:val="21"/>
              </w:rPr>
              <w:t>排放建设项目；项目不涉及VOC</w:t>
            </w:r>
            <w:r>
              <w:rPr>
                <w:rFonts w:hint="eastAsia"/>
                <w:sz w:val="21"/>
                <w:szCs w:val="21"/>
                <w:vertAlign w:val="subscript"/>
                <w:lang w:val="en-US" w:eastAsia="zh-CN"/>
              </w:rPr>
              <w:t>S</w:t>
            </w:r>
            <w:r>
              <w:rPr>
                <w:sz w:val="21"/>
                <w:szCs w:val="21"/>
              </w:rPr>
              <w:t>排放。</w:t>
            </w:r>
            <w:bookmarkEnd w:id="285"/>
          </w:p>
        </w:tc>
        <w:tc>
          <w:tcPr>
            <w:tcW w:w="802" w:type="dxa"/>
            <w:shd w:val="clear" w:color="auto" w:fill="auto"/>
            <w:vAlign w:val="center"/>
          </w:tcPr>
          <w:p w14:paraId="677C8D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86" w:name="_Toc31485"/>
            <w:r>
              <w:rPr>
                <w:sz w:val="21"/>
                <w:szCs w:val="21"/>
              </w:rPr>
              <w:t>符合</w:t>
            </w:r>
            <w:bookmarkEnd w:id="286"/>
          </w:p>
        </w:tc>
      </w:tr>
      <w:tr w14:paraId="138FD7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1C2E98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87" w:name="_Toc19066"/>
            <w:r>
              <w:rPr>
                <w:sz w:val="21"/>
                <w:szCs w:val="21"/>
              </w:rPr>
              <w:t>污染物排放管控</w:t>
            </w:r>
            <w:bookmarkEnd w:id="287"/>
          </w:p>
        </w:tc>
        <w:tc>
          <w:tcPr>
            <w:tcW w:w="4750" w:type="dxa"/>
            <w:gridSpan w:val="2"/>
            <w:vAlign w:val="center"/>
          </w:tcPr>
          <w:p w14:paraId="42AAD935">
            <w:pPr>
              <w:pStyle w:val="117"/>
              <w:ind w:firstLine="0" w:firstLineChars="0"/>
              <w:jc w:val="left"/>
              <w:rPr>
                <w:kern w:val="0"/>
                <w:szCs w:val="21"/>
              </w:rPr>
            </w:pPr>
            <w:r>
              <w:rPr>
                <w:kern w:val="0"/>
                <w:szCs w:val="21"/>
              </w:rPr>
              <w:t>4.重点行业二氧化硫、氮氧化物、颗粒物、</w:t>
            </w:r>
            <w:r>
              <w:rPr>
                <w:sz w:val="21"/>
                <w:szCs w:val="21"/>
              </w:rPr>
              <w:t>VOC</w:t>
            </w:r>
            <w:r>
              <w:rPr>
                <w:rFonts w:hint="eastAsia"/>
                <w:sz w:val="21"/>
                <w:szCs w:val="21"/>
                <w:vertAlign w:val="subscript"/>
                <w:lang w:val="en-US" w:eastAsia="zh-CN"/>
              </w:rPr>
              <w:t>S</w:t>
            </w:r>
            <w:r>
              <w:rPr>
                <w:kern w:val="0"/>
                <w:szCs w:val="21"/>
              </w:rPr>
              <w:t>全面执行大气污染物特别排放限值；综合整治</w:t>
            </w:r>
            <w:r>
              <w:rPr>
                <w:sz w:val="21"/>
                <w:szCs w:val="21"/>
              </w:rPr>
              <w:t>VOC</w:t>
            </w:r>
            <w:r>
              <w:rPr>
                <w:rFonts w:hint="eastAsia"/>
                <w:sz w:val="21"/>
                <w:szCs w:val="21"/>
                <w:vertAlign w:val="subscript"/>
                <w:lang w:val="en-US" w:eastAsia="zh-CN"/>
              </w:rPr>
              <w:t>S</w:t>
            </w:r>
            <w:r>
              <w:rPr>
                <w:kern w:val="0"/>
                <w:szCs w:val="21"/>
              </w:rPr>
              <w:t>排放，新改扩建涉</w:t>
            </w:r>
            <w:r>
              <w:rPr>
                <w:sz w:val="21"/>
                <w:szCs w:val="21"/>
              </w:rPr>
              <w:t>VOC</w:t>
            </w:r>
            <w:r>
              <w:rPr>
                <w:rFonts w:hint="eastAsia"/>
                <w:sz w:val="21"/>
                <w:szCs w:val="21"/>
                <w:vertAlign w:val="subscript"/>
                <w:lang w:val="en-US" w:eastAsia="zh-CN"/>
              </w:rPr>
              <w:t>S</w:t>
            </w:r>
            <w:r>
              <w:rPr>
                <w:kern w:val="0"/>
                <w:szCs w:val="21"/>
              </w:rPr>
              <w:t>排放项目，应加强废气收集，安装高效治理设施；对确有必要新建或改造升级的高端铸造建设项目，原则上应使用天然气或电力等清洁能源；所有产生颗粒物或</w:t>
            </w:r>
            <w:r>
              <w:rPr>
                <w:sz w:val="21"/>
                <w:szCs w:val="21"/>
              </w:rPr>
              <w:t>VOC</w:t>
            </w:r>
            <w:r>
              <w:rPr>
                <w:rFonts w:hint="eastAsia"/>
                <w:sz w:val="21"/>
                <w:szCs w:val="21"/>
                <w:vertAlign w:val="subscript"/>
                <w:lang w:val="en-US" w:eastAsia="zh-CN"/>
              </w:rPr>
              <w:t>S</w:t>
            </w:r>
            <w:r>
              <w:rPr>
                <w:kern w:val="0"/>
                <w:szCs w:val="21"/>
              </w:rPr>
              <w:t>的工序应配备高效收集和处理装置；县级以上建成区餐饮企业全部安装油烟净化设施并符合河南省《餐饮业油烟污染物排放标准》（DB41/1604-2018）。</w:t>
            </w:r>
          </w:p>
          <w:p w14:paraId="2F5BA3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rPr>
            </w:pPr>
            <w:bookmarkStart w:id="288" w:name="_Toc20376"/>
            <w:r>
              <w:rPr>
                <w:sz w:val="21"/>
                <w:szCs w:val="21"/>
              </w:rPr>
              <w:t>5.强化项目环评及</w:t>
            </w:r>
            <w:r>
              <w:rPr>
                <w:rFonts w:hint="eastAsia"/>
                <w:sz w:val="21"/>
                <w:szCs w:val="21"/>
              </w:rPr>
              <w:t>“</w:t>
            </w:r>
            <w:r>
              <w:rPr>
                <w:sz w:val="21"/>
                <w:szCs w:val="21"/>
              </w:rPr>
              <w:t>三同时</w:t>
            </w:r>
            <w:r>
              <w:rPr>
                <w:rFonts w:hint="eastAsia"/>
                <w:sz w:val="21"/>
                <w:szCs w:val="21"/>
              </w:rPr>
              <w:t>”</w:t>
            </w:r>
            <w:r>
              <w:rPr>
                <w:sz w:val="21"/>
                <w:szCs w:val="21"/>
              </w:rPr>
              <w:t>管理，国家、省绩效分级重点行业的新改扩建项目达到B级以上要求。</w:t>
            </w:r>
            <w:bookmarkEnd w:id="288"/>
          </w:p>
        </w:tc>
        <w:tc>
          <w:tcPr>
            <w:tcW w:w="1933" w:type="dxa"/>
            <w:shd w:val="clear" w:color="auto" w:fill="auto"/>
            <w:vAlign w:val="center"/>
          </w:tcPr>
          <w:p w14:paraId="699524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289" w:name="_Toc1651"/>
            <w:r>
              <w:rPr>
                <w:sz w:val="21"/>
                <w:szCs w:val="21"/>
              </w:rPr>
              <w:t>4.本项目</w:t>
            </w:r>
            <w:r>
              <w:rPr>
                <w:rFonts w:hint="eastAsia"/>
                <w:sz w:val="21"/>
                <w:szCs w:val="21"/>
                <w:lang w:val="en-US" w:eastAsia="zh-CN"/>
              </w:rPr>
              <w:t>使用电蒸汽发生器，不涉及</w:t>
            </w:r>
            <w:r>
              <w:rPr>
                <w:rFonts w:hint="eastAsia"/>
                <w:sz w:val="21"/>
                <w:szCs w:val="21"/>
              </w:rPr>
              <w:t>二氧化硫、氮氧化物、颗粒物、</w:t>
            </w:r>
            <w:r>
              <w:rPr>
                <w:sz w:val="21"/>
                <w:szCs w:val="21"/>
              </w:rPr>
              <w:t>VOC</w:t>
            </w:r>
            <w:r>
              <w:rPr>
                <w:rFonts w:hint="eastAsia"/>
                <w:sz w:val="21"/>
                <w:szCs w:val="21"/>
                <w:vertAlign w:val="subscript"/>
                <w:lang w:val="en-US" w:eastAsia="zh-CN"/>
              </w:rPr>
              <w:t>S</w:t>
            </w:r>
            <w:r>
              <w:rPr>
                <w:rFonts w:hint="eastAsia"/>
                <w:sz w:val="21"/>
                <w:szCs w:val="21"/>
              </w:rPr>
              <w:t>大气污染物</w:t>
            </w:r>
            <w:r>
              <w:rPr>
                <w:sz w:val="21"/>
                <w:szCs w:val="21"/>
              </w:rPr>
              <w:t>；</w:t>
            </w:r>
            <w:r>
              <w:rPr>
                <w:rFonts w:hint="eastAsia"/>
                <w:sz w:val="21"/>
                <w:szCs w:val="21"/>
              </w:rPr>
              <w:t>项目</w:t>
            </w:r>
            <w:r>
              <w:rPr>
                <w:sz w:val="21"/>
                <w:szCs w:val="21"/>
              </w:rPr>
              <w:t>不属于餐饮业。</w:t>
            </w:r>
            <w:bookmarkEnd w:id="289"/>
          </w:p>
          <w:p w14:paraId="19B2C1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rPr>
            </w:pPr>
            <w:bookmarkStart w:id="290" w:name="_Toc27761"/>
            <w:r>
              <w:rPr>
                <w:sz w:val="21"/>
                <w:szCs w:val="21"/>
              </w:rPr>
              <w:t>5.本项目将严格落实环评及</w:t>
            </w:r>
            <w:r>
              <w:rPr>
                <w:rFonts w:hint="eastAsia"/>
                <w:sz w:val="21"/>
                <w:szCs w:val="21"/>
              </w:rPr>
              <w:t>“</w:t>
            </w:r>
            <w:r>
              <w:rPr>
                <w:sz w:val="21"/>
                <w:szCs w:val="21"/>
              </w:rPr>
              <w:t>三同时</w:t>
            </w:r>
            <w:r>
              <w:rPr>
                <w:rFonts w:hint="eastAsia"/>
                <w:sz w:val="21"/>
                <w:szCs w:val="21"/>
              </w:rPr>
              <w:t>”</w:t>
            </w:r>
            <w:r>
              <w:rPr>
                <w:sz w:val="21"/>
                <w:szCs w:val="21"/>
              </w:rPr>
              <w:t>管理</w:t>
            </w:r>
            <w:r>
              <w:rPr>
                <w:rFonts w:hint="eastAsia"/>
                <w:sz w:val="21"/>
                <w:szCs w:val="21"/>
              </w:rPr>
              <w:t>，</w:t>
            </w:r>
            <w:r>
              <w:rPr>
                <w:sz w:val="21"/>
                <w:szCs w:val="21"/>
              </w:rPr>
              <w:t>按照绩效分级A级要求进行建设。</w:t>
            </w:r>
            <w:bookmarkEnd w:id="290"/>
          </w:p>
        </w:tc>
        <w:tc>
          <w:tcPr>
            <w:tcW w:w="802" w:type="dxa"/>
            <w:shd w:val="clear" w:color="auto" w:fill="auto"/>
            <w:vAlign w:val="center"/>
          </w:tcPr>
          <w:p w14:paraId="79A394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91" w:name="_Toc17210"/>
            <w:r>
              <w:rPr>
                <w:sz w:val="21"/>
                <w:szCs w:val="21"/>
              </w:rPr>
              <w:t>符合</w:t>
            </w:r>
            <w:bookmarkEnd w:id="291"/>
          </w:p>
        </w:tc>
      </w:tr>
      <w:tr w14:paraId="36D33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7A4E3A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92" w:name="_Toc27464"/>
          </w:p>
          <w:p w14:paraId="78E65B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p>
          <w:p w14:paraId="103E08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河南省水生态环境总体准入要求</w:t>
            </w:r>
            <w:bookmarkEnd w:id="292"/>
          </w:p>
        </w:tc>
      </w:tr>
      <w:tr w14:paraId="5AAA2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360D9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293" w:name="_Toc22990"/>
            <w:r>
              <w:rPr>
                <w:b/>
                <w:bCs/>
                <w:sz w:val="21"/>
                <w:szCs w:val="21"/>
              </w:rPr>
              <w:t>管控</w:t>
            </w:r>
          </w:p>
          <w:p w14:paraId="5F0A9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维度</w:t>
            </w:r>
            <w:bookmarkEnd w:id="293"/>
          </w:p>
        </w:tc>
        <w:tc>
          <w:tcPr>
            <w:tcW w:w="4750" w:type="dxa"/>
            <w:gridSpan w:val="2"/>
            <w:vAlign w:val="center"/>
          </w:tcPr>
          <w:p w14:paraId="3449ED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94" w:name="_Toc22105"/>
            <w:r>
              <w:rPr>
                <w:b/>
                <w:bCs/>
                <w:sz w:val="21"/>
                <w:szCs w:val="21"/>
              </w:rPr>
              <w:t>准入要求</w:t>
            </w:r>
            <w:bookmarkEnd w:id="294"/>
          </w:p>
        </w:tc>
        <w:tc>
          <w:tcPr>
            <w:tcW w:w="1933" w:type="dxa"/>
            <w:shd w:val="clear" w:color="auto" w:fill="auto"/>
            <w:vAlign w:val="center"/>
          </w:tcPr>
          <w:p w14:paraId="131EC7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95" w:name="_Toc21460"/>
            <w:r>
              <w:rPr>
                <w:b/>
                <w:bCs/>
                <w:sz w:val="21"/>
                <w:szCs w:val="21"/>
              </w:rPr>
              <w:t>本项目情况</w:t>
            </w:r>
            <w:bookmarkEnd w:id="295"/>
          </w:p>
        </w:tc>
        <w:tc>
          <w:tcPr>
            <w:tcW w:w="802" w:type="dxa"/>
            <w:shd w:val="clear" w:color="auto" w:fill="auto"/>
            <w:vAlign w:val="center"/>
          </w:tcPr>
          <w:p w14:paraId="1EDB35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296" w:name="_Toc24512"/>
            <w:r>
              <w:rPr>
                <w:b/>
                <w:bCs/>
                <w:sz w:val="21"/>
                <w:szCs w:val="21"/>
              </w:rPr>
              <w:t>符合</w:t>
            </w:r>
            <w:r>
              <w:rPr>
                <w:rFonts w:hint="eastAsia"/>
                <w:b/>
                <w:bCs/>
                <w:sz w:val="21"/>
                <w:szCs w:val="21"/>
              </w:rPr>
              <w:t>性</w:t>
            </w:r>
            <w:bookmarkEnd w:id="296"/>
          </w:p>
        </w:tc>
      </w:tr>
      <w:tr w14:paraId="36AE0D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4CC497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97" w:name="_Toc21974"/>
            <w:r>
              <w:rPr>
                <w:sz w:val="21"/>
                <w:szCs w:val="21"/>
              </w:rPr>
              <w:t>空间布局约束</w:t>
            </w:r>
            <w:bookmarkEnd w:id="297"/>
          </w:p>
        </w:tc>
        <w:tc>
          <w:tcPr>
            <w:tcW w:w="4750" w:type="dxa"/>
            <w:gridSpan w:val="2"/>
            <w:vAlign w:val="center"/>
          </w:tcPr>
          <w:p w14:paraId="2CFB5290">
            <w:pPr>
              <w:adjustRightInd/>
              <w:snapToGrid/>
              <w:spacing w:line="240" w:lineRule="auto"/>
              <w:ind w:firstLine="0" w:firstLineChars="0"/>
              <w:textAlignment w:val="auto"/>
              <w:rPr>
                <w:snapToGrid w:val="0"/>
                <w:sz w:val="21"/>
                <w:szCs w:val="21"/>
              </w:rPr>
            </w:pPr>
            <w:r>
              <w:rPr>
                <w:snapToGrid w:val="0"/>
                <w:sz w:val="21"/>
                <w:szCs w:val="21"/>
              </w:rPr>
              <w:t>1.在属于水污染防治重点控制单元的区域内，不予审批耗水量大、废水排放量大的煤化工、化学原料药及生物发酵制药、制浆造纸、制革及毛皮鞣制、印染等行业单纯新建和单纯扩大产能的项目。</w:t>
            </w:r>
          </w:p>
        </w:tc>
        <w:tc>
          <w:tcPr>
            <w:tcW w:w="1933" w:type="dxa"/>
            <w:shd w:val="clear" w:color="auto" w:fill="auto"/>
            <w:vAlign w:val="center"/>
          </w:tcPr>
          <w:p w14:paraId="409B37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298" w:name="_Toc28984"/>
            <w:r>
              <w:rPr>
                <w:sz w:val="21"/>
                <w:szCs w:val="21"/>
              </w:rPr>
              <w:t>1.</w:t>
            </w:r>
            <w:r>
              <w:rPr>
                <w:rFonts w:hint="eastAsia"/>
                <w:sz w:val="21"/>
                <w:szCs w:val="21"/>
              </w:rPr>
              <w:t>本项目属于</w:t>
            </w:r>
            <w:r>
              <w:rPr>
                <w:rFonts w:hint="eastAsia"/>
                <w:sz w:val="21"/>
                <w:szCs w:val="21"/>
                <w:lang w:val="en-US" w:eastAsia="zh-CN"/>
              </w:rPr>
              <w:t>电池制造</w:t>
            </w:r>
            <w:r>
              <w:rPr>
                <w:rFonts w:hint="eastAsia"/>
                <w:sz w:val="21"/>
                <w:szCs w:val="21"/>
              </w:rPr>
              <w:t>，不属于</w:t>
            </w:r>
            <w:r>
              <w:rPr>
                <w:sz w:val="21"/>
                <w:szCs w:val="21"/>
              </w:rPr>
              <w:t>煤化工、化学原料药及生物发酵制药、制浆造纸、制革及毛皮鞣制、印染等行业单纯新建和单纯扩大产能的项目。</w:t>
            </w:r>
            <w:bookmarkEnd w:id="298"/>
          </w:p>
        </w:tc>
        <w:tc>
          <w:tcPr>
            <w:tcW w:w="802" w:type="dxa"/>
            <w:shd w:val="clear" w:color="auto" w:fill="auto"/>
            <w:vAlign w:val="center"/>
          </w:tcPr>
          <w:p w14:paraId="1DA0A3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299" w:name="_Toc1170"/>
            <w:r>
              <w:rPr>
                <w:sz w:val="21"/>
                <w:szCs w:val="21"/>
              </w:rPr>
              <w:t>符合</w:t>
            </w:r>
            <w:bookmarkEnd w:id="299"/>
          </w:p>
        </w:tc>
      </w:tr>
      <w:tr w14:paraId="0FB409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4E58B9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00" w:name="_Toc16050"/>
            <w:r>
              <w:rPr>
                <w:sz w:val="21"/>
                <w:szCs w:val="21"/>
              </w:rPr>
              <w:t>污染物排放管控</w:t>
            </w:r>
            <w:bookmarkEnd w:id="300"/>
          </w:p>
        </w:tc>
        <w:tc>
          <w:tcPr>
            <w:tcW w:w="4750" w:type="dxa"/>
            <w:gridSpan w:val="2"/>
            <w:vAlign w:val="center"/>
          </w:tcPr>
          <w:p w14:paraId="3CD9E7BE">
            <w:pPr>
              <w:adjustRightInd/>
              <w:snapToGrid/>
              <w:spacing w:line="240" w:lineRule="auto"/>
              <w:ind w:firstLine="0" w:firstLineChars="0"/>
              <w:textAlignment w:val="auto"/>
              <w:rPr>
                <w:snapToGrid w:val="0"/>
                <w:sz w:val="21"/>
                <w:szCs w:val="21"/>
              </w:rPr>
            </w:pPr>
            <w:r>
              <w:rPr>
                <w:snapToGrid w:val="0"/>
                <w:sz w:val="21"/>
                <w:szCs w:val="21"/>
              </w:rPr>
              <w:t>5.鼓励钢铁、纺织印染、造纸、石油石化、化工、制革等高耗水企业废水深度处理回用。</w:t>
            </w:r>
          </w:p>
        </w:tc>
        <w:tc>
          <w:tcPr>
            <w:tcW w:w="1933" w:type="dxa"/>
            <w:shd w:val="clear" w:color="auto" w:fill="auto"/>
            <w:vAlign w:val="center"/>
          </w:tcPr>
          <w:p w14:paraId="0E9C2F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01" w:name="_Toc1470"/>
            <w:r>
              <w:rPr>
                <w:sz w:val="21"/>
                <w:szCs w:val="21"/>
              </w:rPr>
              <w:t>5.本项目</w:t>
            </w:r>
            <w:r>
              <w:rPr>
                <w:rFonts w:hint="eastAsia"/>
                <w:sz w:val="21"/>
                <w:szCs w:val="21"/>
              </w:rPr>
              <w:t>电镀废水经处理后回用于生产，其他废水经处理</w:t>
            </w:r>
            <w:r>
              <w:rPr>
                <w:rFonts w:hint="eastAsia"/>
                <w:sz w:val="21"/>
                <w:szCs w:val="21"/>
                <w:lang w:val="en-US" w:eastAsia="zh-CN"/>
              </w:rPr>
              <w:t>达标</w:t>
            </w:r>
            <w:r>
              <w:rPr>
                <w:rFonts w:hint="eastAsia"/>
                <w:sz w:val="21"/>
                <w:szCs w:val="21"/>
              </w:rPr>
              <w:t>后排放。</w:t>
            </w:r>
            <w:bookmarkEnd w:id="301"/>
          </w:p>
        </w:tc>
        <w:tc>
          <w:tcPr>
            <w:tcW w:w="802" w:type="dxa"/>
            <w:shd w:val="clear" w:color="auto" w:fill="auto"/>
            <w:vAlign w:val="center"/>
          </w:tcPr>
          <w:p w14:paraId="18D072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02" w:name="_Toc6786"/>
            <w:r>
              <w:rPr>
                <w:sz w:val="21"/>
                <w:szCs w:val="21"/>
              </w:rPr>
              <w:t>符合</w:t>
            </w:r>
            <w:bookmarkEnd w:id="302"/>
          </w:p>
        </w:tc>
      </w:tr>
      <w:tr w14:paraId="357768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08E151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03" w:name="_Toc32747"/>
            <w:r>
              <w:rPr>
                <w:sz w:val="21"/>
                <w:szCs w:val="21"/>
              </w:rPr>
              <w:t>环境风险防控</w:t>
            </w:r>
            <w:bookmarkEnd w:id="303"/>
          </w:p>
        </w:tc>
        <w:tc>
          <w:tcPr>
            <w:tcW w:w="4750" w:type="dxa"/>
            <w:gridSpan w:val="2"/>
            <w:vAlign w:val="center"/>
          </w:tcPr>
          <w:p w14:paraId="470385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04" w:name="_Toc68"/>
            <w:r>
              <w:rPr>
                <w:sz w:val="21"/>
                <w:szCs w:val="21"/>
              </w:rPr>
              <w:t>9.严格限制并逐步淘汰、替代高风险化学品生产、使用（涉及高风险化学品生产、使用的行业包括石油加工、炼焦、化学原料及化学制品制造、医药制造、有色金属冶炼及压延加工、毛皮皮革、有色金属矿采选、铅蓄电池制造等）。</w:t>
            </w:r>
            <w:bookmarkEnd w:id="304"/>
          </w:p>
        </w:tc>
        <w:tc>
          <w:tcPr>
            <w:tcW w:w="1933" w:type="dxa"/>
            <w:shd w:val="clear" w:color="auto" w:fill="auto"/>
            <w:vAlign w:val="center"/>
          </w:tcPr>
          <w:p w14:paraId="6D26D2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05" w:name="_Toc23142"/>
            <w:r>
              <w:rPr>
                <w:sz w:val="21"/>
                <w:szCs w:val="21"/>
              </w:rPr>
              <w:t>9.本项目涉及化学品的使用，</w:t>
            </w:r>
            <w:r>
              <w:rPr>
                <w:rFonts w:hint="eastAsia"/>
                <w:sz w:val="21"/>
                <w:szCs w:val="21"/>
                <w:lang w:val="en-US" w:eastAsia="zh-CN"/>
              </w:rPr>
              <w:t>涉及电镀工艺</w:t>
            </w:r>
            <w:r>
              <w:rPr>
                <w:sz w:val="21"/>
                <w:szCs w:val="21"/>
              </w:rPr>
              <w:t>，不属于</w:t>
            </w:r>
            <w:r>
              <w:rPr>
                <w:rFonts w:hint="eastAsia"/>
                <w:sz w:val="21"/>
                <w:szCs w:val="21"/>
                <w:lang w:val="en-US" w:eastAsia="zh-CN"/>
              </w:rPr>
              <w:t>涉及高风险的</w:t>
            </w:r>
            <w:r>
              <w:rPr>
                <w:sz w:val="21"/>
                <w:szCs w:val="21"/>
              </w:rPr>
              <w:t>石油加工、炼焦、化学原料及化学制品制造、医药制造、有色金属冶炼及压延加工、毛皮皮革、有色金属矿采选、铅蓄电池制造等。</w:t>
            </w:r>
            <w:bookmarkEnd w:id="305"/>
          </w:p>
        </w:tc>
        <w:tc>
          <w:tcPr>
            <w:tcW w:w="802" w:type="dxa"/>
            <w:shd w:val="clear" w:color="auto" w:fill="auto"/>
            <w:vAlign w:val="center"/>
          </w:tcPr>
          <w:p w14:paraId="057004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06" w:name="_Toc13227"/>
            <w:r>
              <w:rPr>
                <w:sz w:val="21"/>
                <w:szCs w:val="21"/>
              </w:rPr>
              <w:t>符合</w:t>
            </w:r>
            <w:bookmarkEnd w:id="306"/>
          </w:p>
        </w:tc>
      </w:tr>
      <w:tr w14:paraId="1A1837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40F1D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07" w:name="_Toc17741"/>
            <w:r>
              <w:rPr>
                <w:b/>
                <w:bCs/>
                <w:sz w:val="21"/>
                <w:szCs w:val="21"/>
              </w:rPr>
              <w:t>河南省土壤生态环境总体准入要求</w:t>
            </w:r>
            <w:bookmarkEnd w:id="307"/>
          </w:p>
        </w:tc>
      </w:tr>
      <w:tr w14:paraId="34297F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46C8F1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308" w:name="_Toc31428"/>
            <w:r>
              <w:rPr>
                <w:b/>
                <w:bCs/>
                <w:sz w:val="21"/>
                <w:szCs w:val="21"/>
              </w:rPr>
              <w:t>管控</w:t>
            </w:r>
          </w:p>
          <w:p w14:paraId="2E0C4E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维度</w:t>
            </w:r>
            <w:bookmarkEnd w:id="308"/>
          </w:p>
        </w:tc>
        <w:tc>
          <w:tcPr>
            <w:tcW w:w="4750" w:type="dxa"/>
            <w:gridSpan w:val="2"/>
            <w:vAlign w:val="center"/>
          </w:tcPr>
          <w:p w14:paraId="292C13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09" w:name="_Toc4920"/>
            <w:r>
              <w:rPr>
                <w:b/>
                <w:bCs/>
                <w:sz w:val="21"/>
                <w:szCs w:val="21"/>
              </w:rPr>
              <w:t>准入要求</w:t>
            </w:r>
            <w:bookmarkEnd w:id="309"/>
          </w:p>
        </w:tc>
        <w:tc>
          <w:tcPr>
            <w:tcW w:w="1933" w:type="dxa"/>
            <w:shd w:val="clear" w:color="auto" w:fill="auto"/>
            <w:vAlign w:val="center"/>
          </w:tcPr>
          <w:p w14:paraId="1AE603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10" w:name="_Toc30596"/>
            <w:r>
              <w:rPr>
                <w:b/>
                <w:bCs/>
                <w:sz w:val="21"/>
                <w:szCs w:val="21"/>
              </w:rPr>
              <w:t>本项目情况</w:t>
            </w:r>
            <w:bookmarkEnd w:id="310"/>
          </w:p>
        </w:tc>
        <w:tc>
          <w:tcPr>
            <w:tcW w:w="802" w:type="dxa"/>
            <w:shd w:val="clear" w:color="auto" w:fill="auto"/>
            <w:vAlign w:val="center"/>
          </w:tcPr>
          <w:p w14:paraId="05128F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11" w:name="_Toc31002"/>
            <w:r>
              <w:rPr>
                <w:b/>
                <w:bCs/>
                <w:sz w:val="21"/>
                <w:szCs w:val="21"/>
              </w:rPr>
              <w:t>符合</w:t>
            </w:r>
            <w:r>
              <w:rPr>
                <w:rFonts w:hint="eastAsia"/>
                <w:b/>
                <w:bCs/>
                <w:sz w:val="21"/>
                <w:szCs w:val="21"/>
              </w:rPr>
              <w:t>性</w:t>
            </w:r>
            <w:bookmarkEnd w:id="311"/>
          </w:p>
        </w:tc>
      </w:tr>
      <w:tr w14:paraId="0B7544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vMerge w:val="restart"/>
            <w:shd w:val="clear" w:color="auto" w:fill="auto"/>
            <w:vAlign w:val="center"/>
          </w:tcPr>
          <w:p w14:paraId="638245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bookmarkStart w:id="312" w:name="_Toc663"/>
            <w:r>
              <w:rPr>
                <w:sz w:val="21"/>
                <w:szCs w:val="21"/>
              </w:rPr>
              <w:t>建设</w:t>
            </w:r>
          </w:p>
          <w:p w14:paraId="3715A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用地</w:t>
            </w:r>
            <w:bookmarkEnd w:id="312"/>
          </w:p>
        </w:tc>
        <w:tc>
          <w:tcPr>
            <w:tcW w:w="4750" w:type="dxa"/>
            <w:gridSpan w:val="2"/>
            <w:vAlign w:val="center"/>
          </w:tcPr>
          <w:p w14:paraId="55CAC97B">
            <w:pPr>
              <w:adjustRightInd/>
              <w:snapToGrid/>
              <w:spacing w:line="240" w:lineRule="auto"/>
              <w:ind w:firstLine="0" w:firstLineChars="0"/>
              <w:jc w:val="left"/>
              <w:textAlignment w:val="auto"/>
              <w:rPr>
                <w:snapToGrid w:val="0"/>
                <w:sz w:val="21"/>
                <w:szCs w:val="21"/>
              </w:rPr>
            </w:pPr>
            <w:r>
              <w:rPr>
                <w:snapToGrid w:val="0"/>
                <w:sz w:val="21"/>
                <w:szCs w:val="21"/>
              </w:rPr>
              <w:t>5.严控新增重金属污染物排放量，在重有色金属矿（含伴生矿）采选业（铜、铅锌、镍钴、锡、锑和汞矿采选业等）、重有色金属冶炼业（铜、铅锌、镍钴、锡、锑和汞冶炼等）、铅蓄电池制造业、皮革及其制品业（皮革鞣制加工等）、化学原料及化学制品制造业（电石法聚氯乙烯行业、铬盐行业等）、电镀行业等重点行业实施重点重金属减量替代。</w:t>
            </w:r>
          </w:p>
        </w:tc>
        <w:tc>
          <w:tcPr>
            <w:tcW w:w="1933" w:type="dxa"/>
            <w:shd w:val="clear" w:color="auto" w:fill="auto"/>
            <w:vAlign w:val="center"/>
          </w:tcPr>
          <w:p w14:paraId="5FA053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13" w:name="_Toc11856"/>
            <w:r>
              <w:rPr>
                <w:sz w:val="21"/>
                <w:szCs w:val="21"/>
              </w:rPr>
              <w:t>5.本项目涉及电镀工艺，含镍、含铬废水经处理后回用于生产，不外排；含镍、含铬废物委托有资质的危废处置单位处理，</w:t>
            </w:r>
            <w:r>
              <w:rPr>
                <w:rFonts w:hint="eastAsia"/>
                <w:sz w:val="21"/>
                <w:szCs w:val="21"/>
              </w:rPr>
              <w:t>经处理后能够实现重金属零排放</w:t>
            </w:r>
            <w:r>
              <w:rPr>
                <w:sz w:val="21"/>
                <w:szCs w:val="21"/>
              </w:rPr>
              <w:t>。</w:t>
            </w:r>
            <w:bookmarkEnd w:id="313"/>
          </w:p>
        </w:tc>
        <w:tc>
          <w:tcPr>
            <w:tcW w:w="802" w:type="dxa"/>
            <w:shd w:val="clear" w:color="auto" w:fill="auto"/>
            <w:vAlign w:val="center"/>
          </w:tcPr>
          <w:p w14:paraId="24B69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14" w:name="_Toc14791"/>
            <w:r>
              <w:rPr>
                <w:sz w:val="21"/>
                <w:szCs w:val="21"/>
              </w:rPr>
              <w:t>符合</w:t>
            </w:r>
            <w:bookmarkEnd w:id="314"/>
          </w:p>
        </w:tc>
      </w:tr>
      <w:tr w14:paraId="6E084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vMerge w:val="continue"/>
            <w:shd w:val="clear" w:color="auto" w:fill="auto"/>
            <w:vAlign w:val="center"/>
          </w:tcPr>
          <w:p w14:paraId="2CC31FD8">
            <w:pPr>
              <w:pStyle w:val="34"/>
              <w:spacing w:before="0" w:beforeAutospacing="0" w:after="0" w:afterAutospacing="0"/>
              <w:jc w:val="center"/>
              <w:outlineLvl w:val="9"/>
              <w:rPr>
                <w:rFonts w:ascii="Times New Roman" w:hAnsi="Times New Roman"/>
                <w:snapToGrid w:val="0"/>
                <w:sz w:val="21"/>
                <w:szCs w:val="21"/>
              </w:rPr>
            </w:pPr>
          </w:p>
        </w:tc>
        <w:tc>
          <w:tcPr>
            <w:tcW w:w="4750" w:type="dxa"/>
            <w:gridSpan w:val="2"/>
            <w:vAlign w:val="center"/>
          </w:tcPr>
          <w:p w14:paraId="54A97F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15" w:name="_Toc30193"/>
            <w:r>
              <w:rPr>
                <w:sz w:val="21"/>
                <w:szCs w:val="21"/>
              </w:rPr>
              <w:t>13.生产、使用、贮存、运输、回收、处置、排放有毒有害物质的单位和个人，应当采取有效措施，防止有毒有害物质渗漏、流失、扬散，避免土壤受到污染。</w:t>
            </w:r>
            <w:bookmarkEnd w:id="315"/>
          </w:p>
        </w:tc>
        <w:tc>
          <w:tcPr>
            <w:tcW w:w="1933" w:type="dxa"/>
            <w:shd w:val="clear" w:color="auto" w:fill="auto"/>
            <w:vAlign w:val="center"/>
          </w:tcPr>
          <w:p w14:paraId="058790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16" w:name="_Toc18035"/>
            <w:r>
              <w:rPr>
                <w:sz w:val="21"/>
                <w:szCs w:val="21"/>
              </w:rPr>
              <w:t>本项目涉及有毒有害物质的使用，使用过程中加强设备的密闭性，车间地面设置防渗措施，减少有毒有害物质的渗漏，避免土壤受到污染。</w:t>
            </w:r>
            <w:bookmarkEnd w:id="316"/>
          </w:p>
        </w:tc>
        <w:tc>
          <w:tcPr>
            <w:tcW w:w="802" w:type="dxa"/>
            <w:shd w:val="clear" w:color="auto" w:fill="auto"/>
            <w:vAlign w:val="center"/>
          </w:tcPr>
          <w:p w14:paraId="3CBB06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17" w:name="_Toc9183"/>
            <w:r>
              <w:rPr>
                <w:sz w:val="21"/>
                <w:szCs w:val="21"/>
              </w:rPr>
              <w:t>符合</w:t>
            </w:r>
            <w:bookmarkEnd w:id="317"/>
          </w:p>
        </w:tc>
      </w:tr>
      <w:tr w14:paraId="59153E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4E9C3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18" w:name="_Toc17648"/>
            <w:r>
              <w:rPr>
                <w:b/>
                <w:bCs/>
                <w:sz w:val="21"/>
                <w:szCs w:val="21"/>
              </w:rPr>
              <w:t>河南省资源利用效率总体准入要求</w:t>
            </w:r>
            <w:bookmarkEnd w:id="318"/>
          </w:p>
        </w:tc>
      </w:tr>
      <w:tr w14:paraId="3355E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17A1BF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b/>
                <w:bCs/>
                <w:sz w:val="21"/>
                <w:szCs w:val="21"/>
              </w:rPr>
            </w:pPr>
            <w:bookmarkStart w:id="319" w:name="_Toc814"/>
            <w:r>
              <w:rPr>
                <w:b/>
                <w:bCs/>
                <w:sz w:val="21"/>
                <w:szCs w:val="21"/>
              </w:rPr>
              <w:t>管控</w:t>
            </w:r>
          </w:p>
          <w:p w14:paraId="1EFEAB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维度</w:t>
            </w:r>
            <w:bookmarkEnd w:id="319"/>
          </w:p>
        </w:tc>
        <w:tc>
          <w:tcPr>
            <w:tcW w:w="4750" w:type="dxa"/>
            <w:gridSpan w:val="2"/>
            <w:vAlign w:val="center"/>
          </w:tcPr>
          <w:p w14:paraId="2AF98F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20" w:name="_Toc15311"/>
            <w:r>
              <w:rPr>
                <w:b/>
                <w:bCs/>
                <w:sz w:val="21"/>
                <w:szCs w:val="21"/>
              </w:rPr>
              <w:t>准入要求</w:t>
            </w:r>
            <w:bookmarkEnd w:id="320"/>
          </w:p>
        </w:tc>
        <w:tc>
          <w:tcPr>
            <w:tcW w:w="1933" w:type="dxa"/>
            <w:shd w:val="clear" w:color="auto" w:fill="auto"/>
            <w:vAlign w:val="center"/>
          </w:tcPr>
          <w:p w14:paraId="4307C2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21" w:name="_Toc28881"/>
            <w:r>
              <w:rPr>
                <w:b/>
                <w:bCs/>
                <w:sz w:val="21"/>
                <w:szCs w:val="21"/>
              </w:rPr>
              <w:t>本项目情况</w:t>
            </w:r>
            <w:bookmarkEnd w:id="321"/>
          </w:p>
        </w:tc>
        <w:tc>
          <w:tcPr>
            <w:tcW w:w="802" w:type="dxa"/>
            <w:shd w:val="clear" w:color="auto" w:fill="auto"/>
            <w:vAlign w:val="center"/>
          </w:tcPr>
          <w:p w14:paraId="1BB96B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22" w:name="_Toc19023"/>
            <w:r>
              <w:rPr>
                <w:b/>
                <w:bCs/>
                <w:sz w:val="21"/>
                <w:szCs w:val="21"/>
              </w:rPr>
              <w:t>符合</w:t>
            </w:r>
            <w:r>
              <w:rPr>
                <w:rFonts w:hint="eastAsia"/>
                <w:b/>
                <w:bCs/>
                <w:sz w:val="21"/>
                <w:szCs w:val="21"/>
              </w:rPr>
              <w:t>性</w:t>
            </w:r>
            <w:bookmarkEnd w:id="322"/>
          </w:p>
        </w:tc>
      </w:tr>
      <w:tr w14:paraId="69755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012AFA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23" w:name="_Toc21684"/>
            <w:r>
              <w:rPr>
                <w:sz w:val="21"/>
                <w:szCs w:val="21"/>
              </w:rPr>
              <w:t>水资源</w:t>
            </w:r>
            <w:bookmarkEnd w:id="323"/>
          </w:p>
        </w:tc>
        <w:tc>
          <w:tcPr>
            <w:tcW w:w="4750" w:type="dxa"/>
            <w:gridSpan w:val="2"/>
            <w:vAlign w:val="center"/>
          </w:tcPr>
          <w:p w14:paraId="68C7CDD7">
            <w:pPr>
              <w:spacing w:line="240" w:lineRule="auto"/>
              <w:ind w:firstLine="0" w:firstLineChars="0"/>
              <w:rPr>
                <w:snapToGrid w:val="0"/>
                <w:sz w:val="21"/>
                <w:szCs w:val="21"/>
              </w:rPr>
            </w:pPr>
            <w:r>
              <w:rPr>
                <w:snapToGrid w:val="0"/>
                <w:sz w:val="21"/>
                <w:szCs w:val="21"/>
              </w:rPr>
              <w:t>1.在生态脆弱、严重缺水和地下水超采地区，严格控制高耗水新改扩建项目。</w:t>
            </w:r>
          </w:p>
        </w:tc>
        <w:tc>
          <w:tcPr>
            <w:tcW w:w="1933" w:type="dxa"/>
            <w:shd w:val="clear" w:color="auto" w:fill="auto"/>
            <w:vAlign w:val="center"/>
          </w:tcPr>
          <w:p w14:paraId="54309A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24" w:name="_Toc12183"/>
            <w:r>
              <w:rPr>
                <w:sz w:val="21"/>
                <w:szCs w:val="21"/>
              </w:rPr>
              <w:t>1.不涉及生态脆弱、严重缺水和地下水超采地区。</w:t>
            </w:r>
            <w:bookmarkEnd w:id="324"/>
          </w:p>
        </w:tc>
        <w:tc>
          <w:tcPr>
            <w:tcW w:w="802" w:type="dxa"/>
            <w:shd w:val="clear" w:color="auto" w:fill="auto"/>
            <w:vAlign w:val="center"/>
          </w:tcPr>
          <w:p w14:paraId="679F68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25" w:name="_Toc13485"/>
            <w:r>
              <w:rPr>
                <w:sz w:val="21"/>
                <w:szCs w:val="21"/>
              </w:rPr>
              <w:t>符合</w:t>
            </w:r>
            <w:bookmarkEnd w:id="325"/>
          </w:p>
        </w:tc>
      </w:tr>
      <w:tr w14:paraId="6DD03F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6DD72E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bookmarkStart w:id="326" w:name="_Toc6236"/>
            <w:r>
              <w:rPr>
                <w:sz w:val="21"/>
                <w:szCs w:val="21"/>
              </w:rPr>
              <w:t>土地</w:t>
            </w:r>
          </w:p>
          <w:p w14:paraId="54A0D5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资源</w:t>
            </w:r>
            <w:bookmarkEnd w:id="326"/>
          </w:p>
        </w:tc>
        <w:tc>
          <w:tcPr>
            <w:tcW w:w="4750" w:type="dxa"/>
            <w:gridSpan w:val="2"/>
            <w:vAlign w:val="center"/>
          </w:tcPr>
          <w:p w14:paraId="3926594E">
            <w:pPr>
              <w:spacing w:line="240" w:lineRule="auto"/>
              <w:ind w:firstLine="0" w:firstLineChars="0"/>
              <w:rPr>
                <w:snapToGrid w:val="0"/>
                <w:sz w:val="21"/>
                <w:szCs w:val="21"/>
              </w:rPr>
            </w:pPr>
            <w:r>
              <w:rPr>
                <w:snapToGrid w:val="0"/>
                <w:sz w:val="21"/>
                <w:szCs w:val="21"/>
              </w:rPr>
              <w:t>1.禁止在国土空间规划确定的禁止开垦的范围内从事土地开发活动。</w:t>
            </w:r>
          </w:p>
        </w:tc>
        <w:tc>
          <w:tcPr>
            <w:tcW w:w="1933" w:type="dxa"/>
            <w:shd w:val="clear" w:color="auto" w:fill="auto"/>
            <w:vAlign w:val="center"/>
          </w:tcPr>
          <w:p w14:paraId="0F3CDD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27" w:name="_Toc14314"/>
            <w:r>
              <w:rPr>
                <w:sz w:val="21"/>
                <w:szCs w:val="21"/>
              </w:rPr>
              <w:t>1.不涉及国土空间规划确定的禁止开垦区域。</w:t>
            </w:r>
            <w:bookmarkEnd w:id="327"/>
          </w:p>
        </w:tc>
        <w:tc>
          <w:tcPr>
            <w:tcW w:w="802" w:type="dxa"/>
            <w:shd w:val="clear" w:color="auto" w:fill="auto"/>
            <w:vAlign w:val="center"/>
          </w:tcPr>
          <w:p w14:paraId="2CFFD6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28" w:name="_Toc20259"/>
            <w:r>
              <w:rPr>
                <w:sz w:val="21"/>
                <w:szCs w:val="21"/>
              </w:rPr>
              <w:t>符合</w:t>
            </w:r>
            <w:bookmarkEnd w:id="328"/>
          </w:p>
        </w:tc>
      </w:tr>
      <w:tr w14:paraId="169BBD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6" w:type="dxa"/>
            <w:gridSpan w:val="5"/>
            <w:shd w:val="clear" w:color="auto" w:fill="auto"/>
            <w:vAlign w:val="center"/>
          </w:tcPr>
          <w:p w14:paraId="690F9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29" w:name="_Toc26301"/>
            <w:r>
              <w:rPr>
                <w:b/>
                <w:bCs/>
                <w:sz w:val="21"/>
                <w:szCs w:val="21"/>
              </w:rPr>
              <w:t>重点区域大气生态环境管控要求</w:t>
            </w:r>
            <w:bookmarkEnd w:id="329"/>
          </w:p>
        </w:tc>
      </w:tr>
      <w:tr w14:paraId="1BC930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6FD49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30" w:name="_Toc2890"/>
            <w:r>
              <w:rPr>
                <w:b/>
                <w:bCs/>
                <w:sz w:val="21"/>
                <w:szCs w:val="21"/>
              </w:rPr>
              <w:t>区域</w:t>
            </w:r>
            <w:bookmarkEnd w:id="330"/>
          </w:p>
        </w:tc>
        <w:tc>
          <w:tcPr>
            <w:tcW w:w="4750" w:type="dxa"/>
            <w:gridSpan w:val="2"/>
            <w:vAlign w:val="center"/>
          </w:tcPr>
          <w:p w14:paraId="48EBB3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31" w:name="_Toc4611"/>
            <w:r>
              <w:rPr>
                <w:b/>
                <w:bCs/>
                <w:sz w:val="21"/>
                <w:szCs w:val="21"/>
              </w:rPr>
              <w:t>准入要求</w:t>
            </w:r>
            <w:bookmarkEnd w:id="331"/>
          </w:p>
        </w:tc>
        <w:tc>
          <w:tcPr>
            <w:tcW w:w="1933" w:type="dxa"/>
            <w:shd w:val="clear" w:color="auto" w:fill="auto"/>
            <w:vAlign w:val="center"/>
          </w:tcPr>
          <w:p w14:paraId="154E6F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32" w:name="_Toc15722"/>
            <w:r>
              <w:rPr>
                <w:b/>
                <w:bCs/>
                <w:sz w:val="21"/>
                <w:szCs w:val="21"/>
              </w:rPr>
              <w:t>本项目情况</w:t>
            </w:r>
            <w:bookmarkEnd w:id="332"/>
          </w:p>
        </w:tc>
        <w:tc>
          <w:tcPr>
            <w:tcW w:w="802" w:type="dxa"/>
            <w:shd w:val="clear" w:color="auto" w:fill="auto"/>
            <w:vAlign w:val="center"/>
          </w:tcPr>
          <w:p w14:paraId="7D1B4F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bookmarkStart w:id="333" w:name="_Toc26224"/>
            <w:r>
              <w:rPr>
                <w:b/>
                <w:bCs/>
                <w:sz w:val="21"/>
                <w:szCs w:val="21"/>
              </w:rPr>
              <w:t>符合</w:t>
            </w:r>
            <w:r>
              <w:rPr>
                <w:rFonts w:hint="eastAsia"/>
                <w:b/>
                <w:bCs/>
                <w:sz w:val="21"/>
                <w:szCs w:val="21"/>
              </w:rPr>
              <w:t>性</w:t>
            </w:r>
            <w:bookmarkEnd w:id="333"/>
          </w:p>
        </w:tc>
      </w:tr>
      <w:tr w14:paraId="2F8011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41" w:type="dxa"/>
            <w:shd w:val="clear" w:color="auto" w:fill="auto"/>
            <w:vAlign w:val="center"/>
          </w:tcPr>
          <w:p w14:paraId="106951B9">
            <w:pPr>
              <w:spacing w:line="240" w:lineRule="auto"/>
              <w:ind w:firstLine="0" w:firstLineChars="0"/>
              <w:jc w:val="center"/>
              <w:rPr>
                <w:snapToGrid w:val="0"/>
                <w:sz w:val="21"/>
                <w:szCs w:val="21"/>
              </w:rPr>
            </w:pPr>
            <w:r>
              <w:rPr>
                <w:snapToGrid w:val="0"/>
                <w:sz w:val="21"/>
                <w:szCs w:val="21"/>
              </w:rPr>
              <w:t>“2+26”城市地区（郑州、开封、安阳、鹤壁、新乡、焦作、濮阳、济源示范区）</w:t>
            </w:r>
          </w:p>
        </w:tc>
        <w:tc>
          <w:tcPr>
            <w:tcW w:w="4750" w:type="dxa"/>
            <w:gridSpan w:val="2"/>
            <w:vAlign w:val="center"/>
          </w:tcPr>
          <w:p w14:paraId="3370EAB1">
            <w:pPr>
              <w:spacing w:line="240" w:lineRule="auto"/>
              <w:ind w:firstLine="0" w:firstLineChars="0"/>
              <w:jc w:val="left"/>
              <w:rPr>
                <w:snapToGrid w:val="0"/>
                <w:sz w:val="21"/>
                <w:szCs w:val="21"/>
              </w:rPr>
            </w:pPr>
            <w:r>
              <w:rPr>
                <w:snapToGrid w:val="0"/>
                <w:sz w:val="21"/>
                <w:szCs w:val="21"/>
              </w:rPr>
              <w:t>1.关停退出治理设施工艺落后、热效率低下、规模小、无组织排放突出的工业炉窑；清理整顿燃煤锅炉。</w:t>
            </w:r>
          </w:p>
          <w:p w14:paraId="0DE862E4">
            <w:pPr>
              <w:spacing w:line="240" w:lineRule="auto"/>
              <w:ind w:firstLine="0" w:firstLineChars="0"/>
              <w:jc w:val="left"/>
              <w:rPr>
                <w:snapToGrid w:val="0"/>
                <w:sz w:val="21"/>
                <w:szCs w:val="21"/>
              </w:rPr>
            </w:pPr>
            <w:r>
              <w:rPr>
                <w:snapToGrid w:val="0"/>
                <w:sz w:val="21"/>
                <w:szCs w:val="21"/>
              </w:rPr>
              <w:t>2.禁燃区内禁止销售、燃用高污染燃料；禁止新改扩建燃用高污染燃料的设施，已建成的应当限期整改，采用清洁能源替代。</w:t>
            </w:r>
          </w:p>
          <w:p w14:paraId="27268F75">
            <w:pPr>
              <w:spacing w:line="240" w:lineRule="auto"/>
              <w:ind w:firstLine="0" w:firstLineChars="0"/>
              <w:jc w:val="left"/>
              <w:rPr>
                <w:snapToGrid w:val="0"/>
                <w:sz w:val="21"/>
                <w:szCs w:val="21"/>
              </w:rPr>
            </w:pPr>
            <w:r>
              <w:rPr>
                <w:snapToGrid w:val="0"/>
                <w:sz w:val="21"/>
                <w:szCs w:val="21"/>
              </w:rPr>
              <w:t>3.强化电力、煤炭、钢铁、化工、有色、建材等重点行业煤炭消费减量措施，淘汰落后产能；全面落实超低排放要求、无组织排放特别控制要求。</w:t>
            </w:r>
          </w:p>
          <w:p w14:paraId="0D5A520D">
            <w:pPr>
              <w:spacing w:line="240" w:lineRule="auto"/>
              <w:ind w:firstLine="0" w:firstLineChars="0"/>
              <w:jc w:val="left"/>
              <w:rPr>
                <w:snapToGrid w:val="0"/>
                <w:sz w:val="21"/>
                <w:szCs w:val="21"/>
              </w:rPr>
            </w:pPr>
            <w:r>
              <w:rPr>
                <w:snapToGrid w:val="0"/>
                <w:sz w:val="21"/>
                <w:szCs w:val="21"/>
              </w:rPr>
              <w:t>4.严格执行火电、钢铁、石化、化工、有色、水泥行业以及工业锅炉等重点行业二氧化硫、氮氧化物、颗粒物、VOC</w:t>
            </w:r>
            <w:r>
              <w:rPr>
                <w:rFonts w:hint="eastAsia"/>
                <w:snapToGrid w:val="0"/>
                <w:sz w:val="21"/>
                <w:szCs w:val="21"/>
                <w:vertAlign w:val="subscript"/>
                <w:lang w:val="en-US" w:eastAsia="zh-CN"/>
              </w:rPr>
              <w:t>S</w:t>
            </w:r>
            <w:r>
              <w:rPr>
                <w:snapToGrid w:val="0"/>
                <w:sz w:val="21"/>
                <w:szCs w:val="21"/>
              </w:rPr>
              <w:t>大气污染物特别排放限值，推进重点行业污染治理设施升级改造，强化施工扬尘污染治理。</w:t>
            </w:r>
          </w:p>
          <w:p w14:paraId="6A3887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34" w:name="_Toc27615"/>
            <w:r>
              <w:rPr>
                <w:sz w:val="21"/>
                <w:szCs w:val="21"/>
              </w:rPr>
              <w:t>5.推进燃气锅炉低氮改造，执行河南省《锅炉大气污染物排放标准》（DB41/2089-2021）；基本取缔燃煤热风炉，基本淘汰热电联产供热管网覆盖范围内的燃煤加热、烘干炉（窑）；淘汰炉膛直径3米以下燃料类煤气发生炉；集中使用煤气发生炉的工业园区，暂不具备改用天然气条件的，原则上应建设统一的清洁煤制气中心；禁止掺烧高硫石油焦。</w:t>
            </w:r>
            <w:bookmarkEnd w:id="334"/>
          </w:p>
          <w:p w14:paraId="5D0A68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35" w:name="_Toc4995"/>
            <w:r>
              <w:rPr>
                <w:sz w:val="21"/>
                <w:szCs w:val="21"/>
              </w:rPr>
              <w:t>6.控制煤炭消费总量。对标钢铁、水泥行业超低排放要求；落实</w:t>
            </w:r>
            <w:r>
              <w:rPr>
                <w:snapToGrid w:val="0"/>
                <w:sz w:val="21"/>
                <w:szCs w:val="21"/>
              </w:rPr>
              <w:t>VOC</w:t>
            </w:r>
            <w:r>
              <w:rPr>
                <w:rFonts w:hint="eastAsia"/>
                <w:snapToGrid w:val="0"/>
                <w:sz w:val="21"/>
                <w:szCs w:val="21"/>
                <w:vertAlign w:val="subscript"/>
                <w:lang w:val="en-US" w:eastAsia="zh-CN"/>
              </w:rPr>
              <w:t>S</w:t>
            </w:r>
            <w:r>
              <w:rPr>
                <w:sz w:val="21"/>
                <w:szCs w:val="21"/>
              </w:rPr>
              <w:t>无组织排放特别控制要求，实现</w:t>
            </w:r>
            <w:r>
              <w:rPr>
                <w:snapToGrid w:val="0"/>
                <w:sz w:val="21"/>
                <w:szCs w:val="21"/>
              </w:rPr>
              <w:t>VOC</w:t>
            </w:r>
            <w:r>
              <w:rPr>
                <w:rFonts w:hint="eastAsia"/>
                <w:snapToGrid w:val="0"/>
                <w:sz w:val="21"/>
                <w:szCs w:val="21"/>
                <w:vertAlign w:val="subscript"/>
                <w:lang w:val="en-US" w:eastAsia="zh-CN"/>
              </w:rPr>
              <w:t>S</w:t>
            </w:r>
            <w:r>
              <w:rPr>
                <w:sz w:val="21"/>
                <w:szCs w:val="21"/>
              </w:rPr>
              <w:t>集中高效处置；加快淘汰国三及以下重型柴油货车。</w:t>
            </w:r>
            <w:bookmarkEnd w:id="335"/>
          </w:p>
        </w:tc>
        <w:tc>
          <w:tcPr>
            <w:tcW w:w="1933" w:type="dxa"/>
            <w:shd w:val="clear" w:color="auto" w:fill="auto"/>
            <w:vAlign w:val="center"/>
          </w:tcPr>
          <w:p w14:paraId="735153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36" w:name="_Toc2163"/>
            <w:r>
              <w:rPr>
                <w:sz w:val="21"/>
                <w:szCs w:val="21"/>
              </w:rPr>
              <w:t>1.本项目</w:t>
            </w:r>
            <w:r>
              <w:rPr>
                <w:rFonts w:hint="eastAsia"/>
                <w:sz w:val="21"/>
                <w:szCs w:val="21"/>
              </w:rPr>
              <w:t>新建</w:t>
            </w:r>
            <w:r>
              <w:rPr>
                <w:rFonts w:hint="eastAsia"/>
                <w:sz w:val="21"/>
                <w:szCs w:val="21"/>
                <w:lang w:val="en-US" w:eastAsia="zh-CN"/>
              </w:rPr>
              <w:t>电蒸汽发生器</w:t>
            </w:r>
            <w:r>
              <w:rPr>
                <w:rFonts w:hint="eastAsia"/>
                <w:sz w:val="21"/>
                <w:szCs w:val="21"/>
              </w:rPr>
              <w:t>，</w:t>
            </w:r>
            <w:r>
              <w:rPr>
                <w:sz w:val="21"/>
                <w:szCs w:val="21"/>
              </w:rPr>
              <w:t>不涉及工业炉窑和燃煤锅炉。</w:t>
            </w:r>
            <w:bookmarkEnd w:id="336"/>
          </w:p>
          <w:p w14:paraId="1207DD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37" w:name="_Toc27388"/>
            <w:r>
              <w:rPr>
                <w:sz w:val="21"/>
                <w:szCs w:val="21"/>
              </w:rPr>
              <w:t>2.本项目不涉及销售、燃用高污染燃料和高污染燃料的设施。</w:t>
            </w:r>
            <w:bookmarkEnd w:id="337"/>
          </w:p>
          <w:p w14:paraId="52C55F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38" w:name="_Toc12418"/>
            <w:r>
              <w:rPr>
                <w:sz w:val="21"/>
                <w:szCs w:val="21"/>
              </w:rPr>
              <w:t>3.本项目为</w:t>
            </w:r>
            <w:r>
              <w:rPr>
                <w:rFonts w:hint="eastAsia"/>
                <w:sz w:val="21"/>
                <w:szCs w:val="21"/>
                <w:lang w:val="en-US" w:eastAsia="zh-CN"/>
              </w:rPr>
              <w:t>电池制造</w:t>
            </w:r>
            <w:r>
              <w:rPr>
                <w:sz w:val="21"/>
                <w:szCs w:val="21"/>
              </w:rPr>
              <w:t>，不属于电力、煤炭、钢铁、化工、有色、建材等重点行业。</w:t>
            </w:r>
            <w:bookmarkEnd w:id="338"/>
          </w:p>
          <w:p w14:paraId="78E617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39" w:name="_Toc17662"/>
            <w:r>
              <w:rPr>
                <w:sz w:val="21"/>
                <w:szCs w:val="21"/>
              </w:rPr>
              <w:t>4.本项目</w:t>
            </w:r>
            <w:r>
              <w:rPr>
                <w:rFonts w:hint="eastAsia"/>
                <w:sz w:val="21"/>
                <w:szCs w:val="21"/>
                <w:lang w:val="en-US" w:eastAsia="zh-CN"/>
              </w:rPr>
              <w:t>不涉及</w:t>
            </w:r>
            <w:r>
              <w:rPr>
                <w:rFonts w:hint="eastAsia"/>
                <w:sz w:val="21"/>
                <w:szCs w:val="21"/>
              </w:rPr>
              <w:t>颗粒物、S</w:t>
            </w:r>
            <w:r>
              <w:rPr>
                <w:sz w:val="21"/>
                <w:szCs w:val="21"/>
              </w:rPr>
              <w:t>O</w:t>
            </w:r>
            <w:r>
              <w:rPr>
                <w:sz w:val="21"/>
                <w:szCs w:val="21"/>
                <w:vertAlign w:val="subscript"/>
              </w:rPr>
              <w:t>2</w:t>
            </w:r>
            <w:r>
              <w:rPr>
                <w:rFonts w:hint="eastAsia"/>
                <w:sz w:val="21"/>
                <w:szCs w:val="21"/>
              </w:rPr>
              <w:t>、N</w:t>
            </w:r>
            <w:r>
              <w:rPr>
                <w:sz w:val="21"/>
                <w:szCs w:val="21"/>
              </w:rPr>
              <w:t>O</w:t>
            </w:r>
            <w:r>
              <w:rPr>
                <w:rFonts w:hint="eastAsia"/>
                <w:sz w:val="21"/>
                <w:szCs w:val="21"/>
                <w:vertAlign w:val="subscript"/>
                <w:lang w:val="en-US" w:eastAsia="zh-CN"/>
              </w:rPr>
              <w:t>X</w:t>
            </w:r>
            <w:r>
              <w:rPr>
                <w:snapToGrid w:val="0"/>
                <w:sz w:val="21"/>
                <w:szCs w:val="21"/>
              </w:rPr>
              <w:t>、VOC</w:t>
            </w:r>
            <w:r>
              <w:rPr>
                <w:rFonts w:hint="eastAsia"/>
                <w:snapToGrid w:val="0"/>
                <w:sz w:val="21"/>
                <w:szCs w:val="21"/>
                <w:vertAlign w:val="subscript"/>
                <w:lang w:val="en-US" w:eastAsia="zh-CN"/>
              </w:rPr>
              <w:t>S</w:t>
            </w:r>
            <w:r>
              <w:rPr>
                <w:snapToGrid w:val="0"/>
                <w:sz w:val="21"/>
                <w:szCs w:val="21"/>
              </w:rPr>
              <w:t>大气污染物</w:t>
            </w:r>
            <w:r>
              <w:rPr>
                <w:sz w:val="21"/>
                <w:szCs w:val="21"/>
              </w:rPr>
              <w:t>。</w:t>
            </w:r>
            <w:bookmarkEnd w:id="339"/>
          </w:p>
          <w:p w14:paraId="274C87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sz w:val="21"/>
                <w:szCs w:val="21"/>
              </w:rPr>
            </w:pPr>
            <w:bookmarkStart w:id="340" w:name="_Toc4877"/>
            <w:r>
              <w:rPr>
                <w:sz w:val="21"/>
                <w:szCs w:val="21"/>
              </w:rPr>
              <w:t>5.本项目</w:t>
            </w:r>
            <w:r>
              <w:rPr>
                <w:rFonts w:hint="eastAsia"/>
                <w:sz w:val="21"/>
                <w:szCs w:val="21"/>
                <w:lang w:val="en-US" w:eastAsia="zh-CN"/>
              </w:rPr>
              <w:t>蒸汽发生器主要能源为电</w:t>
            </w:r>
            <w:r>
              <w:rPr>
                <w:sz w:val="21"/>
                <w:szCs w:val="21"/>
              </w:rPr>
              <w:t>。</w:t>
            </w:r>
            <w:bookmarkEnd w:id="340"/>
          </w:p>
          <w:p w14:paraId="2E23D7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bookmarkStart w:id="341" w:name="_Toc5703"/>
            <w:r>
              <w:rPr>
                <w:rFonts w:hint="eastAsia"/>
                <w:sz w:val="21"/>
                <w:szCs w:val="21"/>
              </w:rPr>
              <w:t>6.</w:t>
            </w:r>
            <w:r>
              <w:rPr>
                <w:sz w:val="21"/>
                <w:szCs w:val="21"/>
              </w:rPr>
              <w:t>本项目不涉及燃煤措施和</w:t>
            </w:r>
            <w:r>
              <w:rPr>
                <w:snapToGrid w:val="0"/>
                <w:sz w:val="21"/>
                <w:szCs w:val="21"/>
              </w:rPr>
              <w:t>VOC</w:t>
            </w:r>
            <w:r>
              <w:rPr>
                <w:rFonts w:hint="eastAsia"/>
                <w:snapToGrid w:val="0"/>
                <w:sz w:val="21"/>
                <w:szCs w:val="21"/>
                <w:vertAlign w:val="subscript"/>
                <w:lang w:val="en-US" w:eastAsia="zh-CN"/>
              </w:rPr>
              <w:t>S</w:t>
            </w:r>
            <w:r>
              <w:rPr>
                <w:sz w:val="21"/>
                <w:szCs w:val="21"/>
              </w:rPr>
              <w:t>的排放。</w:t>
            </w:r>
            <w:bookmarkEnd w:id="341"/>
          </w:p>
        </w:tc>
        <w:tc>
          <w:tcPr>
            <w:tcW w:w="802" w:type="dxa"/>
            <w:shd w:val="clear" w:color="auto" w:fill="auto"/>
            <w:vAlign w:val="center"/>
          </w:tcPr>
          <w:p w14:paraId="2FFD9D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bookmarkStart w:id="342" w:name="_Toc21654"/>
            <w:r>
              <w:rPr>
                <w:sz w:val="21"/>
                <w:szCs w:val="21"/>
              </w:rPr>
              <w:t>符合</w:t>
            </w:r>
            <w:bookmarkEnd w:id="342"/>
          </w:p>
        </w:tc>
      </w:tr>
    </w:tbl>
    <w:p w14:paraId="71E2E052">
      <w:pPr>
        <w:ind w:firstLine="480"/>
      </w:pPr>
      <w:r>
        <w:rPr>
          <w:rFonts w:hint="eastAsia"/>
        </w:rPr>
        <w:t>由上表可知，本项目符合《河南省生态环境分区管控总体要求》（2023年版）的相关要求。</w:t>
      </w:r>
    </w:p>
    <w:p w14:paraId="27C48C9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3" w:name="_Toc108122452"/>
      <w:r>
        <w:rPr>
          <w:rFonts w:hint="eastAsia" w:ascii="Times New Roman" w:hAnsi="Times New Roman" w:cs="Times New Roman"/>
          <w:lang w:val="en-US" w:eastAsia="zh-CN"/>
        </w:rPr>
        <w:t>2.11.3与《新乡市“三线一单”生态环境准人清单》(2023版)相符性分析</w:t>
      </w:r>
      <w:bookmarkEnd w:id="343"/>
    </w:p>
    <w:p w14:paraId="3A5379B7">
      <w:pPr>
        <w:pStyle w:val="72"/>
      </w:pPr>
      <w:r>
        <w:rPr>
          <w:rFonts w:hint="eastAsia"/>
        </w:rPr>
        <w:t>（1）生态保护红线相符性</w:t>
      </w:r>
    </w:p>
    <w:p w14:paraId="2F714609">
      <w:pPr>
        <w:pStyle w:val="72"/>
      </w:pPr>
      <w:r>
        <w:rPr>
          <w:rFonts w:hint="eastAsia"/>
        </w:rPr>
        <w:t>本项目位于</w:t>
      </w:r>
      <w:r>
        <w:rPr>
          <w:rFonts w:hint="eastAsia"/>
          <w:lang w:val="en-US" w:eastAsia="zh-CN"/>
        </w:rPr>
        <w:t>新乡市获嘉县先进制造业开发区安王路与梧桐路交叉口西100米1号</w:t>
      </w:r>
      <w:r>
        <w:rPr>
          <w:rFonts w:hint="eastAsia"/>
        </w:rPr>
        <w:t>，不在当地饮用水源、风景区、自然保护区等生态保护区内，根据新乡市生态保护红线划定结果，本项目选址范围不涉及生态保护红线，本项目的实施与生态保护红线不冲突。</w:t>
      </w:r>
    </w:p>
    <w:p w14:paraId="279897F8">
      <w:pPr>
        <w:pStyle w:val="72"/>
      </w:pPr>
      <w:r>
        <w:rPr>
          <w:rFonts w:hint="eastAsia"/>
        </w:rPr>
        <w:t>（2）资源利用上线相符性</w:t>
      </w:r>
    </w:p>
    <w:p w14:paraId="240AD0A0">
      <w:pPr>
        <w:ind w:firstLine="480"/>
      </w:pPr>
      <w:r>
        <w:rPr>
          <w:rFonts w:hint="eastAsia"/>
        </w:rPr>
        <w:t>本项目用水购自于自来水公司；能源主要为电，电购自当地电网。项目建成运行后通过内部管理、设备选择、原辅材料的选用和管理、废物回收利用、污染治理等多方面采取合理可行的防治措施，以“节能、降耗、减污”为目标，有效地控制污染。项目的水、气等资源利用不会突破区域的资源利用上线。</w:t>
      </w:r>
    </w:p>
    <w:p w14:paraId="4DF24132">
      <w:pPr>
        <w:pStyle w:val="72"/>
      </w:pPr>
      <w:r>
        <w:rPr>
          <w:rFonts w:hint="eastAsia"/>
        </w:rPr>
        <w:t>（3）环境质量底线相符性</w:t>
      </w:r>
    </w:p>
    <w:p w14:paraId="29723404">
      <w:pPr>
        <w:keepNext w:val="0"/>
        <w:keepLines w:val="0"/>
        <w:pageBreakBefore w:val="0"/>
        <w:kinsoku/>
        <w:wordWrap/>
        <w:overflowPunct/>
        <w:topLinePunct w:val="0"/>
        <w:autoSpaceDE w:val="0"/>
        <w:autoSpaceDN w:val="0"/>
        <w:bidi w:val="0"/>
        <w:adjustRightInd w:val="0"/>
        <w:snapToGrid w:val="0"/>
        <w:spacing w:line="520" w:lineRule="exact"/>
        <w:ind w:firstLine="480" w:firstLineChars="200"/>
        <w:rPr>
          <w:rFonts w:hint="default" w:eastAsia="宋体"/>
          <w:sz w:val="24"/>
          <w:lang w:val="en-US" w:eastAsia="zh-CN"/>
        </w:rPr>
      </w:pPr>
      <w:r>
        <w:rPr>
          <w:rFonts w:hint="eastAsia"/>
          <w:color w:val="000000"/>
          <w:sz w:val="24"/>
          <w:lang w:val="en-US" w:eastAsia="zh-CN"/>
        </w:rPr>
        <w:t>本项目厂址位于</w:t>
      </w:r>
      <w:r>
        <w:rPr>
          <w:rFonts w:hint="eastAsia"/>
          <w:lang w:val="en-US" w:eastAsia="zh-CN"/>
        </w:rPr>
        <w:t>新乡市获嘉县先进制造业开发区安王路与梧桐路交叉口西100米1号</w:t>
      </w:r>
      <w:r>
        <w:rPr>
          <w:rFonts w:hint="eastAsia"/>
          <w:color w:val="000000"/>
          <w:sz w:val="24"/>
          <w:lang w:val="en-US" w:eastAsia="zh-CN"/>
        </w:rPr>
        <w:t>，区域环境空气为二类功能区，纳污水体共产主义渠的水体功能类别为</w:t>
      </w:r>
      <w:r>
        <w:rPr>
          <w:rFonts w:hint="default" w:ascii="Times New Roman" w:hAnsi="Times New Roman" w:eastAsia="宋体" w:cs="Times New Roman"/>
          <w:sz w:val="24"/>
        </w:rPr>
        <w:t>Ⅳ</w:t>
      </w:r>
      <w:r>
        <w:rPr>
          <w:rFonts w:hint="eastAsia"/>
          <w:color w:val="000000"/>
          <w:sz w:val="24"/>
          <w:lang w:val="en-US" w:eastAsia="zh-CN"/>
        </w:rPr>
        <w:t>类，噪声区划为3类声功能区。本项目建成后，废气、废水、噪声都能够实现达标排放，固废均进行了无害化处置或资源化利用。不会对区域环境质量底线造成冲击，满足环境质量底线的要求。</w:t>
      </w:r>
    </w:p>
    <w:p w14:paraId="501D5AB0">
      <w:pPr>
        <w:pStyle w:val="72"/>
        <w:rPr>
          <w:rFonts w:hint="default" w:eastAsia="宋体"/>
          <w:lang w:val="en-US" w:eastAsia="zh-CN"/>
        </w:rPr>
      </w:pPr>
      <w:r>
        <w:rPr>
          <w:rFonts w:hint="eastAsia"/>
        </w:rPr>
        <w:t>（4）</w:t>
      </w:r>
      <w:r>
        <w:rPr>
          <w:rFonts w:hint="eastAsia"/>
          <w:lang w:val="en-US" w:eastAsia="zh-CN"/>
        </w:rPr>
        <w:t>生态环境准入清单</w:t>
      </w:r>
    </w:p>
    <w:p w14:paraId="059B778B">
      <w:pPr>
        <w:pStyle w:val="72"/>
      </w:pPr>
      <w:r>
        <w:rPr>
          <w:rFonts w:hint="eastAsia"/>
        </w:rPr>
        <w:t>本项目选址位于新乡市获嘉县先进制造业开发区安王路与梧桐路交叉口西100米1号，经查阅“河南省三线一单综合信息应用平台”，</w:t>
      </w:r>
      <w:r>
        <w:t>本项目属于重点管控单元</w:t>
      </w:r>
      <w:r>
        <w:rPr>
          <w:rFonts w:hint="eastAsia"/>
        </w:rPr>
        <w:t>，详见下图。</w:t>
      </w:r>
    </w:p>
    <w:p w14:paraId="77B4A015">
      <w:pPr>
        <w:spacing w:line="240" w:lineRule="auto"/>
        <w:ind w:firstLine="0" w:firstLineChars="0"/>
        <w:jc w:val="center"/>
      </w:pPr>
      <w:r>
        <w:drawing>
          <wp:inline distT="0" distB="0" distL="114300" distR="114300">
            <wp:extent cx="5263515" cy="2662555"/>
            <wp:effectExtent l="0" t="0" r="13335" b="4445"/>
            <wp:docPr id="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7"/>
                    <pic:cNvPicPr>
                      <a:picLocks noChangeAspect="1"/>
                    </pic:cNvPicPr>
                  </pic:nvPicPr>
                  <pic:blipFill>
                    <a:blip r:embed="rId19"/>
                    <a:stretch>
                      <a:fillRect/>
                    </a:stretch>
                  </pic:blipFill>
                  <pic:spPr>
                    <a:xfrm>
                      <a:off x="0" y="0"/>
                      <a:ext cx="5263515" cy="2662555"/>
                    </a:xfrm>
                    <a:prstGeom prst="rect">
                      <a:avLst/>
                    </a:prstGeom>
                    <a:noFill/>
                    <a:ln>
                      <a:noFill/>
                    </a:ln>
                  </pic:spPr>
                </pic:pic>
              </a:graphicData>
            </a:graphic>
          </wp:inline>
        </w:drawing>
      </w:r>
    </w:p>
    <w:p w14:paraId="613CB099">
      <w:pPr>
        <w:pStyle w:val="78"/>
        <w:rPr>
          <w:rFonts w:eastAsia="黑体"/>
        </w:rPr>
      </w:pPr>
      <w:r>
        <w:t>图</w:t>
      </w:r>
      <w:r>
        <w:rPr>
          <w:rFonts w:hint="eastAsia"/>
          <w:lang w:val="en-US" w:eastAsia="zh-CN"/>
        </w:rPr>
        <w:t>2.11-1</w:t>
      </w:r>
      <w:r>
        <w:rPr>
          <w:rFonts w:hint="eastAsia"/>
        </w:rPr>
        <w:t xml:space="preserve">    </w:t>
      </w:r>
      <w:r>
        <w:t>新乡市环境管控单元图</w:t>
      </w:r>
    </w:p>
    <w:p w14:paraId="704FC368">
      <w:pPr>
        <w:ind w:firstLine="480"/>
      </w:pPr>
      <w:r>
        <w:rPr>
          <w:rFonts w:hint="eastAsia"/>
        </w:rPr>
        <w:t>本项目选址位于新乡市获嘉县先进制造业开发区安王路与梧桐路交叉口西100米1号，</w:t>
      </w:r>
      <w:r>
        <w:t>根据上图，本项目属于重点管控单元</w:t>
      </w:r>
      <w:r>
        <w:rPr>
          <w:rFonts w:hint="eastAsia"/>
        </w:rPr>
        <w:t>，与《新乡市“三线一单”生态环境准人清单》</w:t>
      </w:r>
      <w:r>
        <w:rPr>
          <w:rFonts w:hint="eastAsia"/>
          <w:lang w:eastAsia="zh-CN"/>
        </w:rPr>
        <w:t>（</w:t>
      </w:r>
      <w:r>
        <w:rPr>
          <w:rFonts w:hint="eastAsia"/>
          <w:lang w:val="en-US" w:eastAsia="zh-CN"/>
        </w:rPr>
        <w:t>2023年版</w:t>
      </w:r>
      <w:r>
        <w:rPr>
          <w:rFonts w:hint="eastAsia"/>
          <w:lang w:eastAsia="zh-CN"/>
        </w:rPr>
        <w:t>）</w:t>
      </w:r>
      <w:r>
        <w:rPr>
          <w:rFonts w:hint="eastAsia"/>
        </w:rPr>
        <w:t>中的重点管控单元的相关内容对比一致性分析见下表。</w:t>
      </w:r>
    </w:p>
    <w:p w14:paraId="3DF9A903">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lang w:val="pt-BR"/>
        </w:rPr>
      </w:pPr>
      <w:r>
        <w:rPr>
          <w:rFonts w:hint="default" w:ascii="Times New Roman" w:hAnsi="Times New Roman" w:eastAsia="宋体" w:cs="Times New Roman"/>
          <w:lang w:val="pt-BR"/>
        </w:rPr>
        <w:t>表</w:t>
      </w:r>
      <w:r>
        <w:rPr>
          <w:rFonts w:hint="eastAsia" w:eastAsia="宋体" w:cs="Times New Roman"/>
          <w:lang w:val="en-US" w:eastAsia="zh-CN"/>
        </w:rPr>
        <w:t>2.11-4</w:t>
      </w:r>
      <w:r>
        <w:rPr>
          <w:rFonts w:hint="default" w:ascii="Times New Roman" w:hAnsi="Times New Roman" w:eastAsia="宋体" w:cs="Times New Roman"/>
          <w:lang w:val="pt-BR"/>
        </w:rPr>
        <w:t xml:space="preserve">    本项目与《清单》对比分析一览表</w:t>
      </w:r>
    </w:p>
    <w:tbl>
      <w:tblPr>
        <w:tblStyle w:val="3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68"/>
        <w:gridCol w:w="634"/>
        <w:gridCol w:w="840"/>
        <w:gridCol w:w="718"/>
        <w:gridCol w:w="575"/>
        <w:gridCol w:w="1845"/>
        <w:gridCol w:w="168"/>
        <w:gridCol w:w="1727"/>
        <w:gridCol w:w="951"/>
      </w:tblGrid>
      <w:tr w14:paraId="22509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blHeader/>
        </w:trPr>
        <w:tc>
          <w:tcPr>
            <w:tcW w:w="8426" w:type="dxa"/>
            <w:gridSpan w:val="9"/>
            <w:noWrap/>
            <w:vAlign w:val="center"/>
          </w:tcPr>
          <w:p w14:paraId="17B1FD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新乡市生态环境总体准入要求</w:t>
            </w:r>
          </w:p>
        </w:tc>
      </w:tr>
      <w:tr w14:paraId="66F9F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blHeader/>
        </w:trPr>
        <w:tc>
          <w:tcPr>
            <w:tcW w:w="968" w:type="dxa"/>
            <w:noWrap/>
            <w:vAlign w:val="center"/>
          </w:tcPr>
          <w:p w14:paraId="08A1C0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维度</w:t>
            </w:r>
          </w:p>
        </w:tc>
        <w:tc>
          <w:tcPr>
            <w:tcW w:w="4612" w:type="dxa"/>
            <w:gridSpan w:val="5"/>
            <w:noWrap/>
            <w:vAlign w:val="center"/>
          </w:tcPr>
          <w:p w14:paraId="40662D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管控要求</w:t>
            </w:r>
          </w:p>
        </w:tc>
        <w:tc>
          <w:tcPr>
            <w:tcW w:w="1895" w:type="dxa"/>
            <w:gridSpan w:val="2"/>
            <w:noWrap/>
            <w:vAlign w:val="center"/>
          </w:tcPr>
          <w:p w14:paraId="2AE9C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本项目情况</w:t>
            </w:r>
          </w:p>
        </w:tc>
        <w:tc>
          <w:tcPr>
            <w:tcW w:w="951" w:type="dxa"/>
            <w:noWrap/>
            <w:vAlign w:val="center"/>
          </w:tcPr>
          <w:p w14:paraId="658CD5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是否符合建设要求</w:t>
            </w:r>
          </w:p>
        </w:tc>
      </w:tr>
      <w:tr w14:paraId="0783E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restart"/>
            <w:noWrap/>
            <w:vAlign w:val="center"/>
          </w:tcPr>
          <w:p w14:paraId="1F72EF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snapToGrid w:val="0"/>
                <w:szCs w:val="21"/>
              </w:rPr>
            </w:pPr>
            <w:r>
              <w:rPr>
                <w:sz w:val="21"/>
                <w:szCs w:val="21"/>
              </w:rPr>
              <w:t>空间布局约束</w:t>
            </w:r>
          </w:p>
        </w:tc>
        <w:tc>
          <w:tcPr>
            <w:tcW w:w="4612" w:type="dxa"/>
            <w:gridSpan w:val="5"/>
            <w:noWrap/>
            <w:vAlign w:val="center"/>
          </w:tcPr>
          <w:p w14:paraId="1762C1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1.禁止在自然保护区内进行砍伐、放牧、狩猎、捕捞、采药、开垦、烧荒、开矿、采石、挖沙等活动；但是，法律、行政法规另有规定的除外。</w:t>
            </w:r>
          </w:p>
          <w:p w14:paraId="42A0884A">
            <w:pPr>
              <w:spacing w:line="240" w:lineRule="auto"/>
              <w:ind w:firstLine="0" w:firstLineChars="0"/>
              <w:jc w:val="left"/>
              <w:rPr>
                <w:sz w:val="21"/>
                <w:szCs w:val="21"/>
              </w:rPr>
            </w:pPr>
            <w:r>
              <w:rPr>
                <w:sz w:val="21"/>
                <w:szCs w:val="21"/>
              </w:rPr>
              <w:t>禁止任何人进入自然保护区的核心区。因科学研究的需要，必须进入核心区从事科学研究观测、调查活动的，应当事先向自然保护区管理机构提交申请和活动计划，并经自然保护区管理机构批准；其中，进入国家级自然保护区核心区的，应当经省、自治区、直辖市人民政府有关自然保护区行政主管部门批准；自然保护区核心区内原有居民确有必要迁出的，由自然保护区所在地的地方人民政府予以妥善安置。</w:t>
            </w:r>
          </w:p>
          <w:p w14:paraId="23995C9F">
            <w:pPr>
              <w:spacing w:line="240" w:lineRule="auto"/>
              <w:ind w:firstLine="0" w:firstLineChars="0"/>
              <w:jc w:val="left"/>
              <w:rPr>
                <w:sz w:val="21"/>
                <w:szCs w:val="21"/>
              </w:rPr>
            </w:pPr>
            <w:r>
              <w:rPr>
                <w:sz w:val="21"/>
                <w:szCs w:val="21"/>
              </w:rPr>
              <w:t>禁止在自然保护区的缓冲区开展旅游和生产经营活动。因教学科研的目的，需要进入自然保护区的缓冲区从事非破坏性的科学研究、教学实习和标本采集活动的，应当事先向自然保护区管理机构提交申请和活动计划，经自然保护区管理机构批准。从事前款活动的单位和个人，应当将其活动成果的副本提交自然保护区管理机构。</w:t>
            </w:r>
          </w:p>
          <w:p w14:paraId="4D82FC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kern w:val="2"/>
                <w:szCs w:val="21"/>
              </w:rPr>
            </w:pPr>
            <w:r>
              <w:rPr>
                <w:sz w:val="21"/>
                <w:szCs w:val="21"/>
              </w:rPr>
              <w:t>在自然保护区的核心区和缓冲区内，不得建设任何生产设施。在自然保护区的实验区内，不得建设污染环境、破坏资源或者景观的生产设施；建设其他项目，其污染物排放不得超过国家和地方规定的污染物排放标准。</w:t>
            </w:r>
          </w:p>
        </w:tc>
        <w:tc>
          <w:tcPr>
            <w:tcW w:w="1895" w:type="dxa"/>
            <w:gridSpan w:val="2"/>
            <w:noWrap/>
            <w:vAlign w:val="center"/>
          </w:tcPr>
          <w:p w14:paraId="35104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highlight w:val="yellow"/>
              </w:rPr>
            </w:pPr>
            <w:r>
              <w:rPr>
                <w:sz w:val="21"/>
                <w:szCs w:val="21"/>
              </w:rPr>
              <w:t>本项目</w:t>
            </w:r>
            <w:r>
              <w:rPr>
                <w:rFonts w:hint="eastAsia"/>
                <w:sz w:val="21"/>
                <w:szCs w:val="21"/>
              </w:rPr>
              <w:t>位于新乡市获嘉县先进制造业开发区安王路与梧桐路交叉口西100米1号，根据获嘉县产业集聚区土地利用规划图可知，项目所在区域规划用地属于二类工业用地，</w:t>
            </w:r>
            <w:r>
              <w:rPr>
                <w:sz w:val="21"/>
                <w:szCs w:val="21"/>
              </w:rPr>
              <w:t>符合园区总体规划要求。本项目建设范围内不涉及自然保护区、风景名胜区、饮用水源保护区、南水北调保护区、生态保护红线，符合用地规划要求。</w:t>
            </w:r>
          </w:p>
        </w:tc>
        <w:tc>
          <w:tcPr>
            <w:tcW w:w="951" w:type="dxa"/>
            <w:noWrap/>
            <w:vAlign w:val="center"/>
          </w:tcPr>
          <w:p w14:paraId="4D77C9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5F4B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AFE8B68">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42370A58">
            <w:pPr>
              <w:widowControl/>
              <w:spacing w:line="240" w:lineRule="auto"/>
              <w:ind w:firstLine="0" w:firstLineChars="0"/>
              <w:jc w:val="left"/>
              <w:textAlignment w:val="center"/>
              <w:rPr>
                <w:rFonts w:hint="eastAsia" w:eastAsia="宋体"/>
                <w:sz w:val="21"/>
                <w:szCs w:val="21"/>
                <w:lang w:eastAsia="zh-CN"/>
              </w:rPr>
            </w:pPr>
            <w:r>
              <w:rPr>
                <w:sz w:val="21"/>
                <w:szCs w:val="21"/>
              </w:rPr>
              <w:t>8.</w:t>
            </w:r>
            <w:r>
              <w:rPr>
                <w:rFonts w:hint="eastAsia"/>
                <w:sz w:val="21"/>
                <w:szCs w:val="21"/>
              </w:rPr>
              <w:t xml:space="preserve">南太行旅游度假区规划区范围内；新乡市山水林田湖草一体化生态城规划区范围内；按规定划定的自然保护区、景观区、居民集中生活区的周边和重要交通干线、河流湖泊直观可视范围内；特定生态保护红线范围内禁止新建露天矿山项目。禁止建设生产和使用高挥发性有机物含量的溶剂型涂料、油墨、胶粘剂等项目。按照“可替尽替、应代尽代”的原则，开展汽车制造、工业涂装、家具制造、包装印刷、钢结构制造、工程机械等行业溶剂型涂料、油墨、胶粘剂、清洗剂使用低 </w:t>
            </w:r>
            <w:r>
              <w:rPr>
                <w:sz w:val="21"/>
                <w:szCs w:val="21"/>
              </w:rPr>
              <w:t>VOC</w:t>
            </w:r>
            <w:r>
              <w:rPr>
                <w:rFonts w:hint="eastAsia"/>
                <w:sz w:val="21"/>
                <w:szCs w:val="21"/>
                <w:vertAlign w:val="subscript"/>
                <w:lang w:val="en-US" w:eastAsia="zh-CN"/>
              </w:rPr>
              <w:t>S</w:t>
            </w:r>
            <w:r>
              <w:rPr>
                <w:rFonts w:hint="eastAsia"/>
                <w:sz w:val="21"/>
                <w:szCs w:val="21"/>
              </w:rPr>
              <w:t>含量原辅材料替代。禁止生产、销售不符合标准的机动车船、非道路移动机械用燃料；禁止向汽车和摩托车销售普通柴油以及其他非机动车用燃料；禁止向非道路移动机械销售渣油、重油和不符合规定的燃用油</w:t>
            </w:r>
            <w:r>
              <w:rPr>
                <w:rFonts w:hint="eastAsia"/>
                <w:sz w:val="21"/>
                <w:szCs w:val="21"/>
                <w:lang w:eastAsia="zh-CN"/>
              </w:rPr>
              <w:t>。</w:t>
            </w:r>
          </w:p>
        </w:tc>
        <w:tc>
          <w:tcPr>
            <w:tcW w:w="1895" w:type="dxa"/>
            <w:gridSpan w:val="2"/>
            <w:noWrap/>
            <w:vAlign w:val="center"/>
          </w:tcPr>
          <w:p w14:paraId="5494AB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highlight w:val="yellow"/>
              </w:rPr>
            </w:pPr>
            <w:r>
              <w:rPr>
                <w:sz w:val="21"/>
                <w:szCs w:val="21"/>
              </w:rPr>
              <w:t>本项目位于</w:t>
            </w:r>
            <w:r>
              <w:rPr>
                <w:rFonts w:hint="eastAsia"/>
                <w:sz w:val="21"/>
                <w:szCs w:val="21"/>
              </w:rPr>
              <w:t>新乡市获嘉县先进制造业开发区安王路与梧桐路交叉口西100米1号</w:t>
            </w:r>
            <w:r>
              <w:rPr>
                <w:sz w:val="21"/>
                <w:szCs w:val="21"/>
              </w:rPr>
              <w:t>，主要为电池钢壳、</w:t>
            </w:r>
            <w:r>
              <w:rPr>
                <w:rFonts w:hint="eastAsia"/>
                <w:sz w:val="21"/>
                <w:szCs w:val="21"/>
                <w:lang w:val="en-US" w:eastAsia="zh-CN"/>
              </w:rPr>
              <w:t>盖帽</w:t>
            </w:r>
            <w:r>
              <w:rPr>
                <w:sz w:val="21"/>
                <w:szCs w:val="21"/>
              </w:rPr>
              <w:t>和</w:t>
            </w:r>
            <w:r>
              <w:rPr>
                <w:rFonts w:hint="eastAsia"/>
                <w:sz w:val="21"/>
                <w:szCs w:val="21"/>
              </w:rPr>
              <w:t>电池连接件的</w:t>
            </w:r>
            <w:r>
              <w:rPr>
                <w:sz w:val="21"/>
                <w:szCs w:val="21"/>
              </w:rPr>
              <w:t>生产，项目不属于生产和使用高挥发性有机物含量的溶剂型涂料、油墨、胶粘剂等项目，不属于新、改、扩建排放VOC</w:t>
            </w:r>
            <w:r>
              <w:rPr>
                <w:rFonts w:hint="eastAsia"/>
                <w:sz w:val="21"/>
                <w:szCs w:val="21"/>
                <w:vertAlign w:val="subscript"/>
                <w:lang w:val="en-US" w:eastAsia="zh-CN"/>
              </w:rPr>
              <w:t>S</w:t>
            </w:r>
            <w:r>
              <w:rPr>
                <w:sz w:val="21"/>
                <w:szCs w:val="21"/>
              </w:rPr>
              <w:t>的项目。</w:t>
            </w:r>
          </w:p>
        </w:tc>
        <w:tc>
          <w:tcPr>
            <w:tcW w:w="951" w:type="dxa"/>
            <w:noWrap/>
            <w:vAlign w:val="center"/>
          </w:tcPr>
          <w:p w14:paraId="668A36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11CE3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C52AE3C">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3AF32CF5">
            <w:pPr>
              <w:widowControl/>
              <w:spacing w:line="240" w:lineRule="auto"/>
              <w:ind w:firstLine="0" w:firstLineChars="0"/>
              <w:jc w:val="left"/>
              <w:textAlignment w:val="center"/>
              <w:rPr>
                <w:sz w:val="21"/>
                <w:szCs w:val="21"/>
              </w:rPr>
            </w:pPr>
            <w:r>
              <w:rPr>
                <w:sz w:val="21"/>
                <w:szCs w:val="21"/>
              </w:rPr>
              <w:t>9.严格控制新建、扩建钢铁冶炼、水泥、有色金属冶炼、平板玻璃、化工、建筑陶瓷、耐火材料、砖瓦、矿山开采等行业的高排放、高污染项目，促进传统煤化工、水泥行业绿色转型、智能升级。城市建成区内人口密集区、环境脆弱敏感区周边的钢铁冶炼、水泥、有色金属冶炼、平板玻璃、化工、建筑陶瓷、耐火材料、砖瓦、矿山开采等行业中的高排放、高污染项目，应当限期搬迁、升级改造或者转型、退出。新建、改建、扩建“两高”项目须符合生态环境保护法律法规和相关法定规划，满足重点污染物排放总量控制、碳排放达峰目标、生态环境准入清单、相关规划环评和相应行业建设项目环境准入条件、环评文件审批原则要求。新建“两高”项目应按照《生态环境部办公厅关于加强重点行业建设项目区域削减措施监督管理的通知》（环办环评〔2020〕36号）要求，制定配套区域污染物削减方案，环境质量超标区域实行重点污染物排放倍量削减，环境质量达标区域原则上实施等量削减。新建耗煤项目还应严格按规定采取煤炭消费减量替代措施，不得使用高污染燃料作为煤炭减量替代措施。原则上禁止新增钢铁、电解铝、水泥、平板玻璃、传统煤化工（甲醇、合成氨）、焦化、铝用炭素、砖瓦窑、耐火材料、铅锌冶炼（含再生铅）等行业产能。</w:t>
            </w:r>
          </w:p>
        </w:tc>
        <w:tc>
          <w:tcPr>
            <w:tcW w:w="1895" w:type="dxa"/>
            <w:gridSpan w:val="2"/>
            <w:noWrap/>
            <w:vAlign w:val="center"/>
          </w:tcPr>
          <w:p w14:paraId="1E1081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本项目属于</w:t>
            </w:r>
            <w:r>
              <w:rPr>
                <w:rFonts w:hint="eastAsia"/>
                <w:sz w:val="21"/>
                <w:szCs w:val="21"/>
              </w:rPr>
              <w:t>电气机械和器材制造业</w:t>
            </w:r>
            <w:r>
              <w:rPr>
                <w:sz w:val="21"/>
                <w:szCs w:val="21"/>
              </w:rPr>
              <w:t>，不属于钢铁冶炼、水泥、有色金属冶炼、平板玻璃、化工、建筑陶瓷、耐火材料、砖瓦、矿山开采等行业的高排放、高污染项目和新建、改建、扩建</w:t>
            </w:r>
            <w:r>
              <w:rPr>
                <w:rFonts w:hint="eastAsia" w:ascii="宋体" w:hAnsi="宋体" w:eastAsia="宋体" w:cs="宋体"/>
                <w:sz w:val="21"/>
                <w:szCs w:val="21"/>
              </w:rPr>
              <w:t>的“两高”</w:t>
            </w:r>
            <w:r>
              <w:rPr>
                <w:sz w:val="21"/>
                <w:szCs w:val="21"/>
              </w:rPr>
              <w:t>项目，不属于新增钢铁、电解铝、水泥、平板玻璃、传统煤化工（甲醇、合成氨）、焦化、铝用炭素、砖瓦窑、耐火材料、铅锌冶炼（含再生铅）等行业产能的项目。项目位于</w:t>
            </w:r>
            <w:r>
              <w:rPr>
                <w:rFonts w:hint="eastAsia"/>
                <w:sz w:val="21"/>
                <w:szCs w:val="21"/>
                <w:lang w:val="en-US" w:eastAsia="zh-CN"/>
              </w:rPr>
              <w:t>新乡市获嘉县先进制造业开发区安王路与梧桐路交叉口西100米1号</w:t>
            </w:r>
            <w:r>
              <w:rPr>
                <w:sz w:val="21"/>
                <w:szCs w:val="21"/>
              </w:rPr>
              <w:t>，不涉及城市建成区内人口密集区、环境脆弱敏感区域。</w:t>
            </w:r>
          </w:p>
        </w:tc>
        <w:tc>
          <w:tcPr>
            <w:tcW w:w="951" w:type="dxa"/>
            <w:noWrap/>
            <w:vAlign w:val="center"/>
          </w:tcPr>
          <w:p w14:paraId="7A545F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snapToGrid w:val="0"/>
                <w:szCs w:val="21"/>
              </w:rPr>
            </w:pPr>
            <w:r>
              <w:rPr>
                <w:sz w:val="21"/>
                <w:szCs w:val="21"/>
              </w:rPr>
              <w:t>符合</w:t>
            </w:r>
          </w:p>
        </w:tc>
      </w:tr>
      <w:tr w14:paraId="28729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2F0AFE4B">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53CA3F0A">
            <w:pPr>
              <w:widowControl/>
              <w:spacing w:line="240" w:lineRule="auto"/>
              <w:ind w:firstLine="0" w:firstLineChars="0"/>
              <w:jc w:val="left"/>
              <w:textAlignment w:val="center"/>
              <w:rPr>
                <w:sz w:val="21"/>
                <w:szCs w:val="21"/>
              </w:rPr>
            </w:pPr>
            <w:r>
              <w:rPr>
                <w:sz w:val="21"/>
                <w:szCs w:val="21"/>
              </w:rPr>
              <w:t>10.按照各园区建设发展规划，培育和建设关联企业高度集中的产业基地，积极推行区域、规划环境影响评价，对搬迁升级改造石化、化工、建材、有色等项目的环境影响评价，应满足区域、规划环评要求。鼓励支持水泥等重点行业进行产能置换、装备大型改造、重组整合。</w:t>
            </w:r>
          </w:p>
        </w:tc>
        <w:tc>
          <w:tcPr>
            <w:tcW w:w="1895" w:type="dxa"/>
            <w:gridSpan w:val="2"/>
            <w:noWrap/>
            <w:vAlign w:val="center"/>
          </w:tcPr>
          <w:p w14:paraId="10E13A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本项目属于</w:t>
            </w:r>
            <w:r>
              <w:rPr>
                <w:rFonts w:hint="eastAsia"/>
                <w:sz w:val="21"/>
                <w:szCs w:val="21"/>
              </w:rPr>
              <w:t>电气机械和器材制造业</w:t>
            </w:r>
            <w:r>
              <w:rPr>
                <w:sz w:val="21"/>
                <w:szCs w:val="21"/>
              </w:rPr>
              <w:t>，不属于石化、化工、建材、有色等项目和过剩产能重点行业项目。</w:t>
            </w:r>
          </w:p>
        </w:tc>
        <w:tc>
          <w:tcPr>
            <w:tcW w:w="951" w:type="dxa"/>
            <w:noWrap/>
            <w:vAlign w:val="center"/>
          </w:tcPr>
          <w:p w14:paraId="2B8F02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3BFB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restart"/>
            <w:noWrap/>
            <w:vAlign w:val="center"/>
          </w:tcPr>
          <w:p w14:paraId="4FCCCC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污染物排放管控</w:t>
            </w:r>
          </w:p>
        </w:tc>
        <w:tc>
          <w:tcPr>
            <w:tcW w:w="4612" w:type="dxa"/>
            <w:gridSpan w:val="5"/>
            <w:noWrap/>
            <w:vAlign w:val="center"/>
          </w:tcPr>
          <w:p w14:paraId="7ED57C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1.新、改、扩建项目主要污染物排放要求满足当地总量减排要求。</w:t>
            </w:r>
          </w:p>
        </w:tc>
        <w:tc>
          <w:tcPr>
            <w:tcW w:w="1895" w:type="dxa"/>
            <w:gridSpan w:val="2"/>
            <w:noWrap/>
            <w:vAlign w:val="center"/>
          </w:tcPr>
          <w:p w14:paraId="5F2501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本项目新增污染物排放满足当地总量减排要求。</w:t>
            </w:r>
          </w:p>
        </w:tc>
        <w:tc>
          <w:tcPr>
            <w:tcW w:w="951" w:type="dxa"/>
            <w:noWrap/>
            <w:vAlign w:val="center"/>
          </w:tcPr>
          <w:p w14:paraId="29B5BC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4B31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4A598DC7">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68A0EF65">
            <w:pPr>
              <w:widowControl/>
              <w:spacing w:line="240" w:lineRule="auto"/>
              <w:ind w:firstLine="0" w:firstLineChars="0"/>
              <w:jc w:val="left"/>
              <w:textAlignment w:val="center"/>
              <w:rPr>
                <w:snapToGrid w:val="0"/>
                <w:sz w:val="21"/>
                <w:szCs w:val="21"/>
              </w:rPr>
            </w:pPr>
            <w:r>
              <w:rPr>
                <w:snapToGrid w:val="0"/>
                <w:sz w:val="21"/>
                <w:szCs w:val="21"/>
              </w:rPr>
              <w:t>4.严控新增重金属污染物排放量，在重有色金属冶炼业（铜、铅锌、镍、钴、锡、锑和汞冶炼等）、铅蓄电池制造业、皮革及其制品业（皮革鞣制加工等）、化学原料及化学制品制造业（电石法聚氯乙烯行业、铬盐行业等）、电镀行业等重点行业实施重点重金属减量替代。新、改、扩建涉重金属重点行业建设项目应遵循重点重金属污染物排放“减量替代”原则，应符合《新乡市“十四五”重金属污染防控工作方案》相关要求。</w:t>
            </w:r>
          </w:p>
        </w:tc>
        <w:tc>
          <w:tcPr>
            <w:tcW w:w="1895" w:type="dxa"/>
            <w:gridSpan w:val="2"/>
            <w:noWrap/>
            <w:vAlign w:val="center"/>
          </w:tcPr>
          <w:p w14:paraId="010CE9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w:t>
            </w:r>
            <w:r>
              <w:rPr>
                <w:rFonts w:hint="eastAsia"/>
                <w:sz w:val="21"/>
                <w:szCs w:val="21"/>
              </w:rPr>
              <w:t>电镀过程中涉及到重金属镍、铬，生产过程中含镍、含铬废水经处理后回用，不外排，能够实现重金属零排放</w:t>
            </w:r>
            <w:r>
              <w:rPr>
                <w:sz w:val="21"/>
                <w:szCs w:val="21"/>
              </w:rPr>
              <w:t>。</w:t>
            </w:r>
          </w:p>
        </w:tc>
        <w:tc>
          <w:tcPr>
            <w:tcW w:w="951" w:type="dxa"/>
            <w:noWrap/>
            <w:vAlign w:val="center"/>
          </w:tcPr>
          <w:p w14:paraId="675F3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68E7F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3D136CEF">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2D46EDB5">
            <w:pPr>
              <w:widowControl/>
              <w:spacing w:line="240" w:lineRule="auto"/>
              <w:ind w:firstLine="0" w:firstLineChars="0"/>
              <w:jc w:val="left"/>
              <w:textAlignment w:val="center"/>
              <w:rPr>
                <w:snapToGrid w:val="0"/>
                <w:sz w:val="21"/>
                <w:szCs w:val="21"/>
              </w:rPr>
            </w:pPr>
            <w:r>
              <w:rPr>
                <w:rFonts w:hint="eastAsia"/>
                <w:snapToGrid w:val="0"/>
                <w:sz w:val="21"/>
                <w:szCs w:val="21"/>
              </w:rPr>
              <w:t>5.全面推进企业清洁生产，完善省级产业集聚区污水处理设施水平。加强造纸、氮肥、农副食品加工、毛皮制革、印染、有色金属、原料药制造、电镀等水污染物排放行业重点企业强制性清洁生产审核，全面推进其清洁生产改造或清洁化改造。省级产业集聚区建成区域必须实现管网全配套，污水集中处理设施必须做到稳定达标运行，同时安装自动在线监控装置</w:t>
            </w:r>
          </w:p>
        </w:tc>
        <w:tc>
          <w:tcPr>
            <w:tcW w:w="1895" w:type="dxa"/>
            <w:gridSpan w:val="2"/>
            <w:noWrap/>
            <w:vAlign w:val="center"/>
          </w:tcPr>
          <w:p w14:paraId="151A0D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rFonts w:hint="eastAsia"/>
                <w:sz w:val="21"/>
                <w:szCs w:val="21"/>
              </w:rPr>
              <w:t>本项目为电池钢壳、</w:t>
            </w:r>
            <w:r>
              <w:rPr>
                <w:rFonts w:hint="eastAsia"/>
                <w:sz w:val="21"/>
                <w:szCs w:val="21"/>
                <w:lang w:val="en-US" w:eastAsia="zh-CN"/>
              </w:rPr>
              <w:t>盖帽</w:t>
            </w:r>
            <w:r>
              <w:rPr>
                <w:rFonts w:hint="eastAsia"/>
                <w:sz w:val="21"/>
                <w:szCs w:val="21"/>
              </w:rPr>
              <w:t>和电池连接件的生产，涉及电镀生产工艺，项目建成后将按照重点企业清洁生产进行审核。</w:t>
            </w:r>
          </w:p>
        </w:tc>
        <w:tc>
          <w:tcPr>
            <w:tcW w:w="951" w:type="dxa"/>
            <w:noWrap/>
            <w:vAlign w:val="center"/>
          </w:tcPr>
          <w:p w14:paraId="237C0C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43395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39335A79">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0222A7E1">
            <w:pPr>
              <w:widowControl/>
              <w:spacing w:line="240" w:lineRule="auto"/>
              <w:ind w:firstLine="0" w:firstLineChars="0"/>
              <w:jc w:val="left"/>
              <w:textAlignment w:val="center"/>
              <w:rPr>
                <w:snapToGrid w:val="0"/>
                <w:sz w:val="21"/>
                <w:szCs w:val="21"/>
              </w:rPr>
            </w:pPr>
            <w:r>
              <w:rPr>
                <w:snapToGrid w:val="0"/>
                <w:sz w:val="21"/>
                <w:szCs w:val="21"/>
              </w:rPr>
              <w:t>8.国家、省绩效分级重点行业以及涉及锅炉炉窑的其他行业，新建、扩建项目污染物排放限值、污染治理措施、无组织排放控制水平、运输方式等达到A级绩效水平，改建项目污染物排放限值、污染治理措施、无组织排放控制水平、运输方式等达到B级以上绩效水平。</w:t>
            </w:r>
          </w:p>
        </w:tc>
        <w:tc>
          <w:tcPr>
            <w:tcW w:w="1895" w:type="dxa"/>
            <w:gridSpan w:val="2"/>
            <w:noWrap/>
            <w:vAlign w:val="center"/>
          </w:tcPr>
          <w:p w14:paraId="068F27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本项目属于</w:t>
            </w:r>
            <w:r>
              <w:rPr>
                <w:rFonts w:hint="eastAsia"/>
                <w:sz w:val="21"/>
                <w:szCs w:val="21"/>
              </w:rPr>
              <w:t>电气机械和器材制造业</w:t>
            </w:r>
            <w:r>
              <w:rPr>
                <w:sz w:val="21"/>
                <w:szCs w:val="21"/>
              </w:rPr>
              <w:t>，为</w:t>
            </w:r>
            <w:r>
              <w:rPr>
                <w:rFonts w:hint="eastAsia"/>
                <w:sz w:val="21"/>
                <w:szCs w:val="21"/>
                <w:lang w:val="en-US" w:eastAsia="zh-CN"/>
              </w:rPr>
              <w:t>新建</w:t>
            </w:r>
            <w:r>
              <w:rPr>
                <w:sz w:val="21"/>
                <w:szCs w:val="21"/>
              </w:rPr>
              <w:t>项目，其污染物排放限值、污染治理措施、无组织排放控制水平、运输方式等应达到A级绩效水平。</w:t>
            </w:r>
          </w:p>
        </w:tc>
        <w:tc>
          <w:tcPr>
            <w:tcW w:w="951" w:type="dxa"/>
            <w:noWrap/>
            <w:vAlign w:val="center"/>
          </w:tcPr>
          <w:p w14:paraId="3CD7F0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2AD86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noWrap/>
            <w:vAlign w:val="center"/>
          </w:tcPr>
          <w:p w14:paraId="09E0EC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环境风险防控</w:t>
            </w:r>
          </w:p>
        </w:tc>
        <w:tc>
          <w:tcPr>
            <w:tcW w:w="4612" w:type="dxa"/>
            <w:gridSpan w:val="5"/>
            <w:noWrap/>
            <w:vAlign w:val="center"/>
          </w:tcPr>
          <w:p w14:paraId="14D92081">
            <w:pPr>
              <w:widowControl/>
              <w:spacing w:line="240" w:lineRule="auto"/>
              <w:ind w:firstLine="0" w:firstLineChars="0"/>
              <w:jc w:val="left"/>
              <w:textAlignment w:val="center"/>
              <w:rPr>
                <w:snapToGrid w:val="0"/>
                <w:sz w:val="21"/>
                <w:szCs w:val="21"/>
              </w:rPr>
            </w:pPr>
            <w:r>
              <w:rPr>
                <w:snapToGrid w:val="0"/>
                <w:sz w:val="21"/>
                <w:szCs w:val="21"/>
              </w:rPr>
              <w:t>1.地下水漏斗区、重金属污染区、生态严重退化区等区域：探索开展耕地轮休耕试点；实行休耕补贴，引导农民自愿将重度污染耕地退出农业生产。</w:t>
            </w:r>
          </w:p>
        </w:tc>
        <w:tc>
          <w:tcPr>
            <w:tcW w:w="1895" w:type="dxa"/>
            <w:gridSpan w:val="2"/>
            <w:noWrap/>
            <w:vAlign w:val="center"/>
          </w:tcPr>
          <w:p w14:paraId="68C0B1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本项目建设范围内</w:t>
            </w:r>
            <w:r>
              <w:rPr>
                <w:rFonts w:hint="eastAsia"/>
                <w:sz w:val="21"/>
                <w:szCs w:val="21"/>
              </w:rPr>
              <w:t>禁止农业生产</w:t>
            </w:r>
            <w:r>
              <w:rPr>
                <w:sz w:val="21"/>
                <w:szCs w:val="21"/>
              </w:rPr>
              <w:t>。</w:t>
            </w:r>
          </w:p>
        </w:tc>
        <w:tc>
          <w:tcPr>
            <w:tcW w:w="951" w:type="dxa"/>
            <w:noWrap/>
            <w:vAlign w:val="center"/>
          </w:tcPr>
          <w:p w14:paraId="436593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45A93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restart"/>
            <w:noWrap/>
            <w:vAlign w:val="center"/>
          </w:tcPr>
          <w:p w14:paraId="4B87B6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资源开发效率要求</w:t>
            </w:r>
          </w:p>
        </w:tc>
        <w:tc>
          <w:tcPr>
            <w:tcW w:w="4612" w:type="dxa"/>
            <w:gridSpan w:val="5"/>
            <w:noWrap/>
            <w:vAlign w:val="center"/>
          </w:tcPr>
          <w:p w14:paraId="305F61BE">
            <w:pPr>
              <w:widowControl/>
              <w:spacing w:line="240" w:lineRule="auto"/>
              <w:ind w:firstLine="0" w:firstLineChars="0"/>
              <w:jc w:val="left"/>
              <w:textAlignment w:val="center"/>
              <w:rPr>
                <w:snapToGrid w:val="0"/>
                <w:sz w:val="21"/>
                <w:szCs w:val="21"/>
              </w:rPr>
            </w:pPr>
            <w:r>
              <w:rPr>
                <w:snapToGrid w:val="0"/>
                <w:sz w:val="21"/>
                <w:szCs w:val="21"/>
              </w:rPr>
              <w:t>1.“十四五”期间按照政府目标控制能耗增量指标。严控新增耗煤项目，新、改、扩建项目实施煤炭减量替代，重点削减非电力用煤。鼓励使用清洁燃料，重点区域建设项目原则上不新建燃煤自备锅炉。2023年底，全面淘汰35蒸吨/小时及以下的燃煤锅炉，鼓励淘汰4蒸吨/小时以下生物质锅炉，保留现有生物质锅炉应采用专用炉具，禁止掺烧煤炭、垃圾、工业固体废物等其他物料。</w:t>
            </w:r>
          </w:p>
        </w:tc>
        <w:tc>
          <w:tcPr>
            <w:tcW w:w="1895" w:type="dxa"/>
            <w:gridSpan w:val="2"/>
            <w:noWrap/>
            <w:vAlign w:val="center"/>
          </w:tcPr>
          <w:p w14:paraId="563594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sz w:val="21"/>
                <w:szCs w:val="21"/>
              </w:rPr>
              <w:t>本项目</w:t>
            </w:r>
            <w:r>
              <w:rPr>
                <w:rFonts w:hint="eastAsia"/>
                <w:sz w:val="21"/>
                <w:szCs w:val="21"/>
              </w:rPr>
              <w:t>为电池钢壳、</w:t>
            </w:r>
            <w:r>
              <w:rPr>
                <w:rFonts w:hint="eastAsia"/>
                <w:sz w:val="21"/>
                <w:szCs w:val="21"/>
                <w:lang w:val="en-US" w:eastAsia="zh-CN"/>
              </w:rPr>
              <w:t>盖帽</w:t>
            </w:r>
            <w:r>
              <w:rPr>
                <w:rFonts w:hint="eastAsia"/>
                <w:sz w:val="21"/>
                <w:szCs w:val="21"/>
              </w:rPr>
              <w:t>和电池连接件的生产，并配套建设</w:t>
            </w:r>
            <w:r>
              <w:rPr>
                <w:rFonts w:hint="eastAsia"/>
                <w:sz w:val="21"/>
                <w:szCs w:val="21"/>
                <w:lang w:val="en-US" w:eastAsia="zh-CN"/>
              </w:rPr>
              <w:t>3台0.9</w:t>
            </w:r>
            <w:r>
              <w:rPr>
                <w:sz w:val="21"/>
                <w:szCs w:val="21"/>
              </w:rPr>
              <w:t>t/h</w:t>
            </w:r>
            <w:r>
              <w:rPr>
                <w:rFonts w:hint="eastAsia"/>
                <w:sz w:val="21"/>
                <w:szCs w:val="21"/>
              </w:rPr>
              <w:t>的</w:t>
            </w:r>
            <w:r>
              <w:rPr>
                <w:rFonts w:hint="eastAsia"/>
                <w:sz w:val="21"/>
                <w:szCs w:val="21"/>
                <w:lang w:val="en-US" w:eastAsia="zh-CN"/>
              </w:rPr>
              <w:t>电蒸汽发生器</w:t>
            </w:r>
            <w:r>
              <w:rPr>
                <w:rFonts w:hint="eastAsia"/>
                <w:sz w:val="21"/>
                <w:szCs w:val="21"/>
              </w:rPr>
              <w:t>，不属于</w:t>
            </w:r>
            <w:r>
              <w:rPr>
                <w:sz w:val="21"/>
                <w:szCs w:val="21"/>
              </w:rPr>
              <w:t>新增耗煤项目</w:t>
            </w:r>
            <w:r>
              <w:rPr>
                <w:rFonts w:hint="eastAsia"/>
                <w:sz w:val="21"/>
                <w:szCs w:val="21"/>
              </w:rPr>
              <w:t>，</w:t>
            </w:r>
            <w:r>
              <w:rPr>
                <w:sz w:val="21"/>
                <w:szCs w:val="21"/>
              </w:rPr>
              <w:t>不涉及燃煤自备锅炉。</w:t>
            </w:r>
          </w:p>
        </w:tc>
        <w:tc>
          <w:tcPr>
            <w:tcW w:w="951" w:type="dxa"/>
            <w:noWrap/>
            <w:vAlign w:val="center"/>
          </w:tcPr>
          <w:p w14:paraId="6080BB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7DB7A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08C28E7A">
            <w:pPr>
              <w:pStyle w:val="34"/>
              <w:spacing w:before="0" w:beforeAutospacing="0" w:after="0" w:afterAutospacing="0"/>
              <w:jc w:val="center"/>
              <w:rPr>
                <w:rFonts w:ascii="Times New Roman" w:hAnsi="Times New Roman"/>
                <w:snapToGrid w:val="0"/>
                <w:sz w:val="21"/>
                <w:szCs w:val="21"/>
              </w:rPr>
            </w:pPr>
          </w:p>
        </w:tc>
        <w:tc>
          <w:tcPr>
            <w:tcW w:w="4612" w:type="dxa"/>
            <w:gridSpan w:val="5"/>
            <w:noWrap/>
            <w:vAlign w:val="center"/>
          </w:tcPr>
          <w:p w14:paraId="2AE0A128">
            <w:pPr>
              <w:widowControl/>
              <w:spacing w:line="240" w:lineRule="auto"/>
              <w:ind w:firstLine="0" w:firstLineChars="0"/>
              <w:jc w:val="left"/>
              <w:textAlignment w:val="center"/>
              <w:rPr>
                <w:snapToGrid w:val="0"/>
                <w:sz w:val="21"/>
                <w:szCs w:val="21"/>
              </w:rPr>
            </w:pPr>
            <w:r>
              <w:rPr>
                <w:snapToGrid w:val="0"/>
                <w:sz w:val="21"/>
                <w:szCs w:val="21"/>
              </w:rPr>
              <w:t>3.开展高耗水工业行业节水技术改造，大力推广工业水循环利用，推进节水型企业、节水型工业园区建设。</w:t>
            </w:r>
          </w:p>
        </w:tc>
        <w:tc>
          <w:tcPr>
            <w:tcW w:w="1895" w:type="dxa"/>
            <w:gridSpan w:val="2"/>
            <w:noWrap/>
            <w:vAlign w:val="center"/>
          </w:tcPr>
          <w:p w14:paraId="069356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napToGrid w:val="0"/>
                <w:szCs w:val="21"/>
              </w:rPr>
            </w:pPr>
            <w:r>
              <w:rPr>
                <w:rFonts w:hint="eastAsia"/>
                <w:sz w:val="21"/>
                <w:szCs w:val="21"/>
              </w:rPr>
              <w:t>本项目电镀废水经处理后回用于生产，其他废水经处理后排放。</w:t>
            </w:r>
          </w:p>
        </w:tc>
        <w:tc>
          <w:tcPr>
            <w:tcW w:w="951" w:type="dxa"/>
            <w:noWrap/>
            <w:vAlign w:val="center"/>
          </w:tcPr>
          <w:p w14:paraId="5D616D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Cs/>
                <w:snapToGrid w:val="0"/>
                <w:szCs w:val="21"/>
              </w:rPr>
            </w:pPr>
            <w:r>
              <w:rPr>
                <w:sz w:val="21"/>
                <w:szCs w:val="21"/>
              </w:rPr>
              <w:t>符合</w:t>
            </w:r>
          </w:p>
        </w:tc>
      </w:tr>
      <w:tr w14:paraId="58E05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8426" w:type="dxa"/>
            <w:gridSpan w:val="9"/>
            <w:noWrap/>
            <w:vAlign w:val="center"/>
          </w:tcPr>
          <w:p w14:paraId="0AA0E0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ascii="Times New Roman" w:hAnsi="Times New Roman" w:eastAsia="宋体"/>
                <w:b/>
                <w:bCs/>
                <w:snapToGrid w:val="0"/>
                <w:szCs w:val="21"/>
                <w:lang w:eastAsia="zh-CN"/>
              </w:rPr>
            </w:pPr>
            <w:r>
              <w:rPr>
                <w:b/>
                <w:bCs/>
                <w:sz w:val="21"/>
                <w:szCs w:val="21"/>
              </w:rPr>
              <w:t>新乡市各县区分区管控单元生态环境准入清单</w:t>
            </w:r>
            <w:r>
              <w:rPr>
                <w:rFonts w:hint="eastAsia"/>
                <w:b/>
                <w:bCs/>
                <w:sz w:val="21"/>
                <w:szCs w:val="21"/>
                <w:lang w:eastAsia="zh-CN"/>
              </w:rPr>
              <w:t>（</w:t>
            </w:r>
            <w:r>
              <w:rPr>
                <w:rFonts w:hint="eastAsia"/>
                <w:b/>
                <w:bCs/>
                <w:sz w:val="21"/>
                <w:szCs w:val="21"/>
                <w:lang w:val="en-US" w:eastAsia="zh-CN"/>
              </w:rPr>
              <w:t>获嘉县先进制造业开发区</w:t>
            </w:r>
            <w:r>
              <w:rPr>
                <w:rFonts w:hint="eastAsia"/>
                <w:b/>
                <w:bCs/>
                <w:sz w:val="21"/>
                <w:szCs w:val="21"/>
                <w:lang w:eastAsia="zh-CN"/>
              </w:rPr>
              <w:t>）</w:t>
            </w:r>
          </w:p>
        </w:tc>
      </w:tr>
      <w:tr w14:paraId="0575E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noWrap/>
            <w:vAlign w:val="center"/>
          </w:tcPr>
          <w:p w14:paraId="30D0E4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环境管控单元编码</w:t>
            </w:r>
          </w:p>
        </w:tc>
        <w:tc>
          <w:tcPr>
            <w:tcW w:w="634" w:type="dxa"/>
            <w:vAlign w:val="center"/>
          </w:tcPr>
          <w:p w14:paraId="58E790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行政区划</w:t>
            </w:r>
          </w:p>
        </w:tc>
        <w:tc>
          <w:tcPr>
            <w:tcW w:w="840" w:type="dxa"/>
            <w:noWrap/>
            <w:vAlign w:val="center"/>
          </w:tcPr>
          <w:p w14:paraId="469A9A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环境管控单元名称</w:t>
            </w:r>
          </w:p>
        </w:tc>
        <w:tc>
          <w:tcPr>
            <w:tcW w:w="718" w:type="dxa"/>
            <w:noWrap/>
            <w:vAlign w:val="center"/>
          </w:tcPr>
          <w:p w14:paraId="341D62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管控单元分布</w:t>
            </w:r>
          </w:p>
        </w:tc>
        <w:tc>
          <w:tcPr>
            <w:tcW w:w="2588" w:type="dxa"/>
            <w:gridSpan w:val="3"/>
            <w:noWrap/>
            <w:vAlign w:val="center"/>
          </w:tcPr>
          <w:p w14:paraId="666201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管控要求</w:t>
            </w:r>
          </w:p>
        </w:tc>
        <w:tc>
          <w:tcPr>
            <w:tcW w:w="1727" w:type="dxa"/>
            <w:noWrap/>
            <w:vAlign w:val="center"/>
          </w:tcPr>
          <w:p w14:paraId="58EAA7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本项目情况</w:t>
            </w:r>
          </w:p>
        </w:tc>
        <w:tc>
          <w:tcPr>
            <w:tcW w:w="951" w:type="dxa"/>
            <w:noWrap/>
            <w:vAlign w:val="center"/>
          </w:tcPr>
          <w:p w14:paraId="3D3716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b/>
                <w:bCs/>
                <w:snapToGrid w:val="0"/>
                <w:szCs w:val="21"/>
              </w:rPr>
            </w:pPr>
            <w:r>
              <w:rPr>
                <w:b/>
                <w:bCs/>
                <w:sz w:val="21"/>
                <w:szCs w:val="21"/>
              </w:rPr>
              <w:t>是否符合建设要求</w:t>
            </w:r>
          </w:p>
        </w:tc>
      </w:tr>
      <w:tr w14:paraId="1DBBC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restart"/>
            <w:noWrap/>
            <w:vAlign w:val="center"/>
          </w:tcPr>
          <w:p w14:paraId="20E426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sz w:val="21"/>
                <w:szCs w:val="21"/>
              </w:rPr>
            </w:pPr>
            <w:r>
              <w:rPr>
                <w:sz w:val="21"/>
                <w:szCs w:val="21"/>
              </w:rPr>
              <w:t>ZH410</w:t>
            </w:r>
          </w:p>
          <w:p w14:paraId="464C81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snapToGrid w:val="0"/>
                <w:szCs w:val="21"/>
                <w:lang w:val="en-US" w:eastAsia="zh-CN"/>
              </w:rPr>
            </w:pPr>
            <w:r>
              <w:rPr>
                <w:sz w:val="21"/>
                <w:szCs w:val="21"/>
              </w:rPr>
              <w:t>7</w:t>
            </w:r>
            <w:r>
              <w:rPr>
                <w:rFonts w:hint="eastAsia"/>
                <w:sz w:val="21"/>
                <w:szCs w:val="21"/>
                <w:lang w:val="en-US" w:eastAsia="zh-CN"/>
              </w:rPr>
              <w:t>2420001</w:t>
            </w:r>
          </w:p>
        </w:tc>
        <w:tc>
          <w:tcPr>
            <w:tcW w:w="634" w:type="dxa"/>
            <w:vMerge w:val="restart"/>
            <w:vAlign w:val="center"/>
          </w:tcPr>
          <w:p w14:paraId="0A4524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napToGrid w:val="0"/>
                <w:szCs w:val="21"/>
                <w:lang w:val="en-US" w:eastAsia="zh-CN"/>
              </w:rPr>
            </w:pPr>
            <w:r>
              <w:rPr>
                <w:sz w:val="21"/>
                <w:szCs w:val="21"/>
              </w:rPr>
              <w:t>河南省新乡市</w:t>
            </w:r>
            <w:r>
              <w:rPr>
                <w:rFonts w:hint="eastAsia"/>
                <w:sz w:val="21"/>
                <w:szCs w:val="21"/>
                <w:lang w:val="en-US" w:eastAsia="zh-CN"/>
              </w:rPr>
              <w:t>获嘉县</w:t>
            </w:r>
          </w:p>
        </w:tc>
        <w:tc>
          <w:tcPr>
            <w:tcW w:w="840" w:type="dxa"/>
            <w:vMerge w:val="restart"/>
            <w:noWrap/>
            <w:vAlign w:val="center"/>
          </w:tcPr>
          <w:p w14:paraId="19A644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snapToGrid w:val="0"/>
                <w:szCs w:val="21"/>
                <w:lang w:val="en-US" w:eastAsia="zh-CN"/>
              </w:rPr>
            </w:pPr>
            <w:r>
              <w:rPr>
                <w:rFonts w:hint="eastAsia"/>
                <w:sz w:val="21"/>
                <w:szCs w:val="21"/>
                <w:lang w:val="en-US" w:eastAsia="zh-CN"/>
              </w:rPr>
              <w:t>获嘉县先进制造业开发区</w:t>
            </w:r>
          </w:p>
        </w:tc>
        <w:tc>
          <w:tcPr>
            <w:tcW w:w="718" w:type="dxa"/>
            <w:vMerge w:val="restart"/>
            <w:noWrap/>
            <w:vAlign w:val="center"/>
          </w:tcPr>
          <w:p w14:paraId="1A8EA5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ascii="Times New Roman" w:hAnsi="Times New Roman" w:eastAsia="宋体"/>
                <w:snapToGrid w:val="0"/>
                <w:szCs w:val="21"/>
                <w:lang w:eastAsia="zh-CN"/>
              </w:rPr>
            </w:pPr>
            <w:r>
              <w:rPr>
                <w:sz w:val="21"/>
                <w:szCs w:val="21"/>
              </w:rPr>
              <w:t>重点管控单元</w:t>
            </w:r>
            <w:r>
              <w:rPr>
                <w:rFonts w:hint="eastAsia"/>
                <w:sz w:val="21"/>
                <w:szCs w:val="21"/>
                <w:lang w:val="en-US" w:eastAsia="zh-CN"/>
              </w:rPr>
              <w:t>1</w:t>
            </w:r>
          </w:p>
        </w:tc>
        <w:tc>
          <w:tcPr>
            <w:tcW w:w="575" w:type="dxa"/>
            <w:vMerge w:val="restart"/>
            <w:noWrap/>
            <w:vAlign w:val="center"/>
          </w:tcPr>
          <w:p w14:paraId="6D5D0D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ascii="Times New Roman" w:hAnsi="Times New Roman" w:eastAsia="宋体" w:cs="Times New Roman"/>
                <w:snapToGrid w:val="0"/>
                <w:szCs w:val="21"/>
              </w:rPr>
            </w:pPr>
            <w:r>
              <w:rPr>
                <w:rFonts w:hint="eastAsia"/>
                <w:sz w:val="21"/>
                <w:szCs w:val="21"/>
              </w:rPr>
              <w:t>空间布局约束</w:t>
            </w:r>
          </w:p>
        </w:tc>
        <w:tc>
          <w:tcPr>
            <w:tcW w:w="2013" w:type="dxa"/>
            <w:gridSpan w:val="2"/>
            <w:noWrap/>
            <w:vAlign w:val="center"/>
          </w:tcPr>
          <w:p w14:paraId="25D139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napToGrid w:val="0"/>
                <w:szCs w:val="21"/>
                <w:lang w:eastAsia="zh-CN"/>
              </w:rPr>
            </w:pPr>
            <w:r>
              <w:rPr>
                <w:rFonts w:hint="eastAsia"/>
                <w:sz w:val="21"/>
                <w:szCs w:val="21"/>
              </w:rPr>
              <w:t>1</w:t>
            </w:r>
            <w:r>
              <w:rPr>
                <w:rFonts w:hint="eastAsia"/>
                <w:sz w:val="21"/>
                <w:szCs w:val="21"/>
                <w:lang w:eastAsia="zh-CN"/>
              </w:rPr>
              <w:t>.</w:t>
            </w:r>
            <w:r>
              <w:rPr>
                <w:rFonts w:hint="eastAsia"/>
                <w:sz w:val="21"/>
                <w:szCs w:val="21"/>
              </w:rPr>
              <w:t>园区规划主导产业为现代化工、装备制造、生物医药，鼓励与主导产业配套的项目入驻。</w:t>
            </w:r>
          </w:p>
        </w:tc>
        <w:tc>
          <w:tcPr>
            <w:tcW w:w="1727" w:type="dxa"/>
            <w:noWrap/>
            <w:vAlign w:val="center"/>
          </w:tcPr>
          <w:p w14:paraId="668C05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default" w:ascii="Times New Roman" w:hAnsi="Times New Roman" w:eastAsia="宋体"/>
                <w:szCs w:val="21"/>
                <w:lang w:val="en-US" w:eastAsia="zh-CN"/>
              </w:rPr>
            </w:pPr>
            <w:r>
              <w:rPr>
                <w:sz w:val="21"/>
                <w:szCs w:val="21"/>
              </w:rPr>
              <w:t>本项目</w:t>
            </w:r>
            <w:r>
              <w:rPr>
                <w:rFonts w:hint="eastAsia"/>
                <w:sz w:val="21"/>
                <w:szCs w:val="21"/>
              </w:rPr>
              <w:t>为</w:t>
            </w:r>
            <w:r>
              <w:rPr>
                <w:sz w:val="21"/>
                <w:szCs w:val="21"/>
              </w:rPr>
              <w:t>生产电池钢壳</w:t>
            </w:r>
            <w:r>
              <w:rPr>
                <w:rFonts w:hint="eastAsia"/>
                <w:sz w:val="21"/>
                <w:szCs w:val="21"/>
              </w:rPr>
              <w:t>、</w:t>
            </w:r>
            <w:r>
              <w:rPr>
                <w:sz w:val="21"/>
                <w:szCs w:val="21"/>
              </w:rPr>
              <w:t>负极底盖</w:t>
            </w:r>
            <w:r>
              <w:rPr>
                <w:rFonts w:hint="eastAsia"/>
                <w:sz w:val="21"/>
                <w:szCs w:val="21"/>
              </w:rPr>
              <w:t>和电池连接件生产，</w:t>
            </w:r>
            <w:r>
              <w:rPr>
                <w:rFonts w:hint="eastAsia"/>
                <w:sz w:val="21"/>
                <w:szCs w:val="21"/>
                <w:lang w:val="en-US" w:eastAsia="zh-CN"/>
              </w:rPr>
              <w:t>属于主导产业配套的项目。</w:t>
            </w:r>
          </w:p>
        </w:tc>
        <w:tc>
          <w:tcPr>
            <w:tcW w:w="951" w:type="dxa"/>
            <w:noWrap/>
            <w:vAlign w:val="center"/>
          </w:tcPr>
          <w:p w14:paraId="24C7BD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12910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48473127">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6E359017">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17E5A3EA">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FCE0EAA">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7F15749C">
            <w:pPr>
              <w:pStyle w:val="34"/>
              <w:spacing w:before="0" w:beforeAutospacing="0" w:after="0" w:afterAutospacing="0"/>
              <w:jc w:val="both"/>
              <w:rPr>
                <w:rFonts w:hint="eastAsia" w:ascii="Times New Roman" w:hAnsi="Times New Roman" w:eastAsia="宋体" w:cs="Times New Roman"/>
                <w:snapToGrid w:val="0"/>
                <w:sz w:val="21"/>
                <w:szCs w:val="21"/>
              </w:rPr>
            </w:pPr>
          </w:p>
        </w:tc>
        <w:tc>
          <w:tcPr>
            <w:tcW w:w="2013" w:type="dxa"/>
            <w:gridSpan w:val="2"/>
            <w:noWrap/>
            <w:vAlign w:val="center"/>
          </w:tcPr>
          <w:p w14:paraId="75277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napToGrid w:val="0"/>
                <w:szCs w:val="21"/>
                <w:lang w:eastAsia="zh-CN"/>
              </w:rPr>
            </w:pPr>
            <w:r>
              <w:rPr>
                <w:rFonts w:hint="eastAsia"/>
                <w:sz w:val="21"/>
                <w:szCs w:val="21"/>
              </w:rPr>
              <w:t>2.入驻项目应符合园区规划或规划环评的要求</w:t>
            </w:r>
            <w:r>
              <w:rPr>
                <w:rFonts w:hint="eastAsia"/>
                <w:sz w:val="21"/>
                <w:szCs w:val="21"/>
                <w:lang w:eastAsia="zh-CN"/>
              </w:rPr>
              <w:t>。</w:t>
            </w:r>
          </w:p>
        </w:tc>
        <w:tc>
          <w:tcPr>
            <w:tcW w:w="1727" w:type="dxa"/>
            <w:noWrap/>
            <w:vAlign w:val="center"/>
          </w:tcPr>
          <w:p w14:paraId="05303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rPr>
            </w:pPr>
            <w:r>
              <w:rPr>
                <w:sz w:val="21"/>
                <w:szCs w:val="21"/>
              </w:rPr>
              <w:t>本项目</w:t>
            </w:r>
            <w:r>
              <w:rPr>
                <w:rFonts w:hint="eastAsia"/>
                <w:sz w:val="21"/>
                <w:szCs w:val="21"/>
                <w:lang w:val="en-US"/>
              </w:rPr>
              <w:t>符合园区规划、规划环评的要求</w:t>
            </w:r>
            <w:r>
              <w:rPr>
                <w:rFonts w:hint="eastAsia"/>
                <w:sz w:val="21"/>
                <w:szCs w:val="21"/>
              </w:rPr>
              <w:t>。</w:t>
            </w:r>
          </w:p>
        </w:tc>
        <w:tc>
          <w:tcPr>
            <w:tcW w:w="951" w:type="dxa"/>
            <w:noWrap/>
            <w:vAlign w:val="center"/>
          </w:tcPr>
          <w:p w14:paraId="2607C1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20918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10438FD">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7A0B2676">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18CF73EE">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699F3D10">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1CF67338">
            <w:pPr>
              <w:pStyle w:val="34"/>
              <w:spacing w:before="0" w:beforeAutospacing="0" w:after="0" w:afterAutospacing="0"/>
              <w:jc w:val="center"/>
              <w:rPr>
                <w:rFonts w:ascii="Times New Roman" w:hAnsi="Times New Roman"/>
                <w:snapToGrid w:val="0"/>
                <w:sz w:val="21"/>
                <w:szCs w:val="21"/>
              </w:rPr>
            </w:pPr>
          </w:p>
        </w:tc>
        <w:tc>
          <w:tcPr>
            <w:tcW w:w="2013" w:type="dxa"/>
            <w:gridSpan w:val="2"/>
            <w:noWrap/>
            <w:vAlign w:val="center"/>
          </w:tcPr>
          <w:p w14:paraId="35AEEE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lang w:bidi="ar"/>
              </w:rPr>
            </w:pPr>
            <w:r>
              <w:rPr>
                <w:rFonts w:hint="eastAsia"/>
                <w:sz w:val="21"/>
                <w:szCs w:val="21"/>
              </w:rPr>
              <w:t>3.严格控制新、改、扩建“两高”项目。</w:t>
            </w:r>
          </w:p>
        </w:tc>
        <w:tc>
          <w:tcPr>
            <w:tcW w:w="1727" w:type="dxa"/>
            <w:noWrap/>
            <w:vAlign w:val="center"/>
          </w:tcPr>
          <w:p w14:paraId="12F155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rPr>
            </w:pPr>
            <w:r>
              <w:rPr>
                <w:rFonts w:hint="eastAsia"/>
                <w:sz w:val="21"/>
                <w:szCs w:val="21"/>
              </w:rPr>
              <w:t>本项目不属于新、改、扩建“两高”项目。</w:t>
            </w:r>
          </w:p>
        </w:tc>
        <w:tc>
          <w:tcPr>
            <w:tcW w:w="951" w:type="dxa"/>
            <w:noWrap/>
            <w:vAlign w:val="center"/>
          </w:tcPr>
          <w:p w14:paraId="4F6CEB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0FA73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4BBE3FA7">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672146DF">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173C0C78">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404B3F9">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5AE421B3">
            <w:pPr>
              <w:pStyle w:val="34"/>
              <w:spacing w:before="0" w:beforeAutospacing="0" w:after="0" w:afterAutospacing="0"/>
              <w:jc w:val="center"/>
              <w:rPr>
                <w:rFonts w:ascii="Times New Roman" w:hAnsi="Times New Roman"/>
                <w:snapToGrid w:val="0"/>
                <w:sz w:val="21"/>
                <w:szCs w:val="21"/>
              </w:rPr>
            </w:pPr>
          </w:p>
        </w:tc>
        <w:tc>
          <w:tcPr>
            <w:tcW w:w="2013" w:type="dxa"/>
            <w:gridSpan w:val="2"/>
            <w:noWrap/>
            <w:vAlign w:val="center"/>
          </w:tcPr>
          <w:p w14:paraId="5121E0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default" w:ascii="Times New Roman" w:hAnsi="Times New Roman" w:eastAsia="宋体"/>
                <w:szCs w:val="21"/>
                <w:lang w:val="en-US" w:eastAsia="zh-CN" w:bidi="ar"/>
              </w:rPr>
            </w:pPr>
            <w:r>
              <w:rPr>
                <w:rFonts w:hint="eastAsia"/>
                <w:sz w:val="21"/>
                <w:szCs w:val="21"/>
                <w:lang w:val="en-US" w:eastAsia="zh-CN"/>
              </w:rPr>
              <w:t>4.严控新增重点防控的重金属污染物排放量，新、改、扩建重点行业建设项目实施重点重金属减量替代，应符合《新乡市“十四五”重金属污染防控工作方案》相关要求。</w:t>
            </w:r>
          </w:p>
        </w:tc>
        <w:tc>
          <w:tcPr>
            <w:tcW w:w="1727" w:type="dxa"/>
            <w:noWrap/>
            <w:vAlign w:val="center"/>
          </w:tcPr>
          <w:p w14:paraId="212E9F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snapToGrid w:val="0"/>
                <w:szCs w:val="21"/>
              </w:rPr>
            </w:pPr>
            <w:r>
              <w:rPr>
                <w:sz w:val="21"/>
                <w:szCs w:val="21"/>
              </w:rPr>
              <w:t>本项目</w:t>
            </w:r>
            <w:r>
              <w:rPr>
                <w:rFonts w:hint="eastAsia"/>
                <w:sz w:val="21"/>
                <w:szCs w:val="21"/>
              </w:rPr>
              <w:t>电镀过程中涉及到重金属镍、铬，生产过程中含镍、含铬废水经处理后回用，不外排，</w:t>
            </w:r>
            <w:r>
              <w:rPr>
                <w:rFonts w:hint="eastAsia"/>
                <w:sz w:val="21"/>
                <w:szCs w:val="21"/>
                <w:lang w:val="en-US" w:eastAsia="zh-CN"/>
              </w:rPr>
              <w:t>不新增重金属污染物</w:t>
            </w:r>
            <w:r>
              <w:rPr>
                <w:rFonts w:hint="eastAsia"/>
                <w:sz w:val="21"/>
                <w:szCs w:val="21"/>
              </w:rPr>
              <w:t>排放</w:t>
            </w:r>
            <w:r>
              <w:rPr>
                <w:sz w:val="21"/>
                <w:szCs w:val="21"/>
              </w:rPr>
              <w:t>。</w:t>
            </w:r>
          </w:p>
        </w:tc>
        <w:tc>
          <w:tcPr>
            <w:tcW w:w="951" w:type="dxa"/>
            <w:noWrap/>
            <w:vAlign w:val="center"/>
          </w:tcPr>
          <w:p w14:paraId="5EBFD8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6D7C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7507B142">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373CC0ED">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75AA84BE">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1EE22A5D">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2F52DB40">
            <w:pPr>
              <w:pStyle w:val="34"/>
              <w:spacing w:before="0" w:beforeAutospacing="0" w:after="0" w:afterAutospacing="0"/>
              <w:jc w:val="center"/>
              <w:rPr>
                <w:rFonts w:ascii="Times New Roman" w:hAnsi="Times New Roman"/>
                <w:snapToGrid w:val="0"/>
                <w:sz w:val="21"/>
                <w:szCs w:val="21"/>
              </w:rPr>
            </w:pPr>
          </w:p>
        </w:tc>
        <w:tc>
          <w:tcPr>
            <w:tcW w:w="2013" w:type="dxa"/>
            <w:gridSpan w:val="2"/>
            <w:noWrap/>
            <w:vAlign w:val="center"/>
          </w:tcPr>
          <w:p w14:paraId="380315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default" w:ascii="Times New Roman" w:hAnsi="Times New Roman" w:eastAsia="宋体"/>
                <w:szCs w:val="21"/>
                <w:lang w:val="en-US" w:eastAsia="zh-CN" w:bidi="ar"/>
              </w:rPr>
            </w:pPr>
            <w:r>
              <w:rPr>
                <w:rFonts w:hint="eastAsia"/>
                <w:sz w:val="21"/>
                <w:szCs w:val="21"/>
                <w:lang w:val="en-US" w:eastAsia="zh-CN"/>
              </w:rPr>
              <w:t>5.禁止入驻《产业结构调整指导目录》限制类、淘汰类及《河南省承接化工产业转移“禁限控”目录》中的项目。</w:t>
            </w:r>
          </w:p>
        </w:tc>
        <w:tc>
          <w:tcPr>
            <w:tcW w:w="1727" w:type="dxa"/>
            <w:noWrap/>
            <w:vAlign w:val="center"/>
          </w:tcPr>
          <w:p w14:paraId="369BA0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napToGrid w:val="0"/>
                <w:szCs w:val="21"/>
                <w:lang w:val="en-US" w:eastAsia="zh-CN"/>
              </w:rPr>
            </w:pPr>
            <w:r>
              <w:rPr>
                <w:rFonts w:hint="eastAsia"/>
                <w:sz w:val="21"/>
                <w:szCs w:val="21"/>
                <w:lang w:val="en-US" w:eastAsia="zh-CN"/>
              </w:rPr>
              <w:t>本项目不属于禁止入驻《产业结构调整指导目录》限制类、淘汰类及《河南省承接化工产业转移“禁限控”目录》中的项目。</w:t>
            </w:r>
          </w:p>
        </w:tc>
        <w:tc>
          <w:tcPr>
            <w:tcW w:w="951" w:type="dxa"/>
            <w:noWrap/>
            <w:vAlign w:val="center"/>
          </w:tcPr>
          <w:p w14:paraId="1D676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3B985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483E335E">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4B4F961B">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473E6380">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3F7C003D">
            <w:pPr>
              <w:pStyle w:val="34"/>
              <w:spacing w:before="0" w:beforeAutospacing="0" w:after="0" w:afterAutospacing="0"/>
              <w:jc w:val="center"/>
              <w:rPr>
                <w:rFonts w:ascii="Times New Roman" w:hAnsi="Times New Roman"/>
                <w:snapToGrid w:val="0"/>
                <w:sz w:val="21"/>
                <w:szCs w:val="21"/>
              </w:rPr>
            </w:pPr>
          </w:p>
        </w:tc>
        <w:tc>
          <w:tcPr>
            <w:tcW w:w="575" w:type="dxa"/>
            <w:vMerge w:val="restart"/>
            <w:noWrap/>
            <w:vAlign w:val="center"/>
          </w:tcPr>
          <w:p w14:paraId="1321FCBA">
            <w:pPr>
              <w:widowControl/>
              <w:spacing w:line="240" w:lineRule="auto"/>
              <w:ind w:firstLine="0" w:firstLineChars="0"/>
              <w:jc w:val="center"/>
              <w:textAlignment w:val="center"/>
              <w:rPr>
                <w:sz w:val="21"/>
                <w:szCs w:val="21"/>
              </w:rPr>
            </w:pPr>
            <w:r>
              <w:rPr>
                <w:sz w:val="21"/>
                <w:szCs w:val="21"/>
              </w:rPr>
              <w:t>污染物排放管控</w:t>
            </w:r>
          </w:p>
        </w:tc>
        <w:tc>
          <w:tcPr>
            <w:tcW w:w="2013" w:type="dxa"/>
            <w:gridSpan w:val="2"/>
            <w:noWrap/>
            <w:vAlign w:val="center"/>
          </w:tcPr>
          <w:p w14:paraId="19E939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lang w:bidi="ar"/>
              </w:rPr>
            </w:pPr>
            <w:r>
              <w:rPr>
                <w:sz w:val="21"/>
                <w:szCs w:val="21"/>
              </w:rPr>
              <w:t>1.二氧化硫、氮氧化物、颗粒物、VOC</w:t>
            </w:r>
            <w:r>
              <w:rPr>
                <w:rFonts w:hint="eastAsia"/>
                <w:sz w:val="21"/>
                <w:szCs w:val="21"/>
                <w:vertAlign w:val="subscript"/>
                <w:lang w:val="en-US" w:eastAsia="zh-CN"/>
              </w:rPr>
              <w:t>S</w:t>
            </w:r>
            <w:r>
              <w:rPr>
                <w:sz w:val="21"/>
                <w:szCs w:val="21"/>
              </w:rPr>
              <w:t>全面执行大气污染物特别排放限值。</w:t>
            </w:r>
          </w:p>
        </w:tc>
        <w:tc>
          <w:tcPr>
            <w:tcW w:w="1727" w:type="dxa"/>
            <w:noWrap/>
            <w:vAlign w:val="center"/>
          </w:tcPr>
          <w:p w14:paraId="235DF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rPr>
            </w:pPr>
            <w:r>
              <w:rPr>
                <w:rFonts w:hint="eastAsia"/>
                <w:sz w:val="21"/>
                <w:szCs w:val="21"/>
              </w:rPr>
              <w:t>本项目</w:t>
            </w:r>
            <w:r>
              <w:rPr>
                <w:rFonts w:hint="eastAsia"/>
                <w:sz w:val="21"/>
                <w:szCs w:val="21"/>
                <w:lang w:val="en-US" w:eastAsia="zh-CN"/>
              </w:rPr>
              <w:t>不涉及</w:t>
            </w:r>
            <w:r>
              <w:rPr>
                <w:rFonts w:hint="eastAsia"/>
                <w:sz w:val="21"/>
                <w:szCs w:val="21"/>
              </w:rPr>
              <w:t>。</w:t>
            </w:r>
          </w:p>
        </w:tc>
        <w:tc>
          <w:tcPr>
            <w:tcW w:w="951" w:type="dxa"/>
            <w:noWrap/>
            <w:vAlign w:val="center"/>
          </w:tcPr>
          <w:p w14:paraId="6635DE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245FA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5F91A998">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7224139E">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6D1187B6">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4903FEF">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3CF1A68A">
            <w:pPr>
              <w:widowControl/>
              <w:spacing w:line="240" w:lineRule="auto"/>
              <w:ind w:firstLine="0" w:firstLineChars="0"/>
              <w:jc w:val="center"/>
              <w:textAlignment w:val="center"/>
              <w:rPr>
                <w:sz w:val="21"/>
                <w:szCs w:val="21"/>
              </w:rPr>
            </w:pPr>
          </w:p>
        </w:tc>
        <w:tc>
          <w:tcPr>
            <w:tcW w:w="2013" w:type="dxa"/>
            <w:gridSpan w:val="2"/>
            <w:noWrap/>
            <w:vAlign w:val="center"/>
          </w:tcPr>
          <w:p w14:paraId="1D8ED9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lang w:bidi="ar"/>
              </w:rPr>
            </w:pPr>
            <w:r>
              <w:rPr>
                <w:rFonts w:hint="eastAsia"/>
                <w:sz w:val="21"/>
                <w:szCs w:val="21"/>
              </w:rPr>
              <w:t>2.污水处理厂出水执行《城镇污水处理厂污染物排放标准》表1一级A标准及属地管理要求，确保区域水环境质量达标。</w:t>
            </w:r>
          </w:p>
        </w:tc>
        <w:tc>
          <w:tcPr>
            <w:tcW w:w="1727" w:type="dxa"/>
            <w:noWrap/>
            <w:vAlign w:val="center"/>
          </w:tcPr>
          <w:p w14:paraId="0C3A9D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val="en-US" w:eastAsia="zh-CN"/>
              </w:rPr>
            </w:pPr>
            <w:r>
              <w:rPr>
                <w:rFonts w:hint="eastAsia"/>
                <w:sz w:val="21"/>
                <w:szCs w:val="21"/>
              </w:rPr>
              <w:t>本项目</w:t>
            </w:r>
            <w:r>
              <w:rPr>
                <w:rFonts w:hint="eastAsia"/>
                <w:sz w:val="21"/>
                <w:szCs w:val="21"/>
                <w:lang w:val="en-US" w:eastAsia="zh-CN"/>
              </w:rPr>
              <w:t>含镍废水及含铬废水处理后回用于生产，综合废水经厂区污水处理站处理、生活污水经厂区化粪池处理后与纯水制备浓水、冲压冷凝水一同经厂区总排口排放至获嘉县同盟污水处理厂处理，出</w:t>
            </w:r>
            <w:r>
              <w:rPr>
                <w:rFonts w:hint="eastAsia"/>
                <w:sz w:val="21"/>
                <w:szCs w:val="21"/>
              </w:rPr>
              <w:t>水水质</w:t>
            </w:r>
            <w:r>
              <w:rPr>
                <w:rFonts w:hint="eastAsia"/>
                <w:sz w:val="21"/>
                <w:szCs w:val="21"/>
                <w:lang w:val="en-US" w:eastAsia="zh-CN"/>
              </w:rPr>
              <w:t>可</w:t>
            </w:r>
            <w:r>
              <w:rPr>
                <w:rFonts w:hint="eastAsia"/>
                <w:sz w:val="21"/>
                <w:szCs w:val="21"/>
              </w:rPr>
              <w:t>满足《城镇污水处理厂污染物排放标准》表1一级A标准</w:t>
            </w:r>
            <w:r>
              <w:rPr>
                <w:rFonts w:hint="eastAsia"/>
                <w:sz w:val="21"/>
                <w:szCs w:val="21"/>
                <w:lang w:val="en-US" w:eastAsia="zh-CN"/>
              </w:rPr>
              <w:t>要求。</w:t>
            </w:r>
          </w:p>
        </w:tc>
        <w:tc>
          <w:tcPr>
            <w:tcW w:w="951" w:type="dxa"/>
            <w:noWrap/>
            <w:vAlign w:val="center"/>
          </w:tcPr>
          <w:p w14:paraId="3FA7D3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469C0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517B0F9">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5343A532">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4FB8B46F">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711FA85C">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62D08BAB">
            <w:pPr>
              <w:widowControl/>
              <w:spacing w:line="240" w:lineRule="auto"/>
              <w:ind w:firstLine="0" w:firstLineChars="0"/>
              <w:jc w:val="center"/>
              <w:textAlignment w:val="center"/>
              <w:rPr>
                <w:sz w:val="21"/>
                <w:szCs w:val="21"/>
              </w:rPr>
            </w:pPr>
          </w:p>
        </w:tc>
        <w:tc>
          <w:tcPr>
            <w:tcW w:w="2013" w:type="dxa"/>
            <w:gridSpan w:val="2"/>
            <w:noWrap/>
            <w:vAlign w:val="center"/>
          </w:tcPr>
          <w:p w14:paraId="4C651E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zCs w:val="21"/>
                <w:lang w:bidi="ar"/>
              </w:rPr>
            </w:pPr>
            <w:r>
              <w:rPr>
                <w:rFonts w:hint="eastAsia"/>
                <w:sz w:val="21"/>
                <w:szCs w:val="21"/>
                <w:lang w:val="en-US" w:eastAsia="zh-CN"/>
              </w:rPr>
              <w:t>3.</w:t>
            </w:r>
            <w:r>
              <w:rPr>
                <w:rFonts w:hint="eastAsia"/>
                <w:sz w:val="21"/>
                <w:szCs w:val="21"/>
              </w:rPr>
              <w:t>定期对地下水质进行监测，及时采取有效防治措施，避免对地下水造成污染。</w:t>
            </w:r>
          </w:p>
        </w:tc>
        <w:tc>
          <w:tcPr>
            <w:tcW w:w="1727" w:type="dxa"/>
            <w:noWrap/>
            <w:vAlign w:val="center"/>
          </w:tcPr>
          <w:p w14:paraId="72ED7C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eastAsia="zh-CN"/>
              </w:rPr>
            </w:pPr>
            <w:r>
              <w:rPr>
                <w:rFonts w:hint="eastAsia"/>
                <w:sz w:val="21"/>
                <w:szCs w:val="21"/>
              </w:rPr>
              <w:t>定期对地下水进行监测</w:t>
            </w:r>
            <w:r>
              <w:rPr>
                <w:rFonts w:hint="eastAsia"/>
                <w:sz w:val="21"/>
                <w:szCs w:val="21"/>
                <w:lang w:eastAsia="zh-CN"/>
              </w:rPr>
              <w:t>。</w:t>
            </w:r>
          </w:p>
        </w:tc>
        <w:tc>
          <w:tcPr>
            <w:tcW w:w="951" w:type="dxa"/>
            <w:noWrap/>
            <w:vAlign w:val="center"/>
          </w:tcPr>
          <w:p w14:paraId="618930F0">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baseline"/>
              <w:rPr>
                <w:rFonts w:ascii="Times New Roman" w:hAnsi="Times New Roman"/>
                <w:snapToGrid w:val="0"/>
                <w:sz w:val="21"/>
                <w:szCs w:val="21"/>
              </w:rPr>
            </w:pPr>
            <w:r>
              <w:rPr>
                <w:rFonts w:ascii="Times New Roman" w:hAnsi="Times New Roman"/>
                <w:snapToGrid w:val="0"/>
                <w:sz w:val="21"/>
                <w:szCs w:val="21"/>
              </w:rPr>
              <w:t>符合</w:t>
            </w:r>
          </w:p>
        </w:tc>
      </w:tr>
      <w:tr w14:paraId="6C385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50423DF0">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01E8C7D0">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30F00E9D">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15A627A">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2E725C53">
            <w:pPr>
              <w:widowControl/>
              <w:spacing w:line="240" w:lineRule="auto"/>
              <w:ind w:firstLine="0" w:firstLineChars="0"/>
              <w:jc w:val="center"/>
              <w:textAlignment w:val="center"/>
              <w:rPr>
                <w:sz w:val="21"/>
                <w:szCs w:val="21"/>
              </w:rPr>
            </w:pPr>
          </w:p>
        </w:tc>
        <w:tc>
          <w:tcPr>
            <w:tcW w:w="2013" w:type="dxa"/>
            <w:gridSpan w:val="2"/>
            <w:noWrap/>
            <w:vAlign w:val="center"/>
          </w:tcPr>
          <w:p w14:paraId="674DA9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zCs w:val="21"/>
                <w:lang w:val="en-US" w:eastAsia="zh-CN" w:bidi="ar"/>
              </w:rPr>
            </w:pPr>
            <w:r>
              <w:rPr>
                <w:rFonts w:hint="eastAsia"/>
                <w:sz w:val="21"/>
                <w:szCs w:val="21"/>
                <w:lang w:val="en-US" w:eastAsia="zh-CN"/>
              </w:rPr>
              <w:t>4.</w:t>
            </w:r>
            <w:r>
              <w:rPr>
                <w:rFonts w:hint="eastAsia"/>
                <w:sz w:val="21"/>
                <w:szCs w:val="21"/>
              </w:rPr>
              <w:t>新建耗煤项目还应严格按规定采取煤炭消费减量替代措施，不得使用高污染燃料作为煤炭减量替代措施</w:t>
            </w:r>
            <w:r>
              <w:rPr>
                <w:rFonts w:hint="eastAsia"/>
                <w:sz w:val="21"/>
                <w:szCs w:val="21"/>
                <w:lang w:eastAsia="zh-CN"/>
              </w:rPr>
              <w:t>。</w:t>
            </w:r>
          </w:p>
        </w:tc>
        <w:tc>
          <w:tcPr>
            <w:tcW w:w="1727" w:type="dxa"/>
            <w:noWrap/>
            <w:vAlign w:val="center"/>
          </w:tcPr>
          <w:p w14:paraId="210A1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eastAsia="zh-CN"/>
              </w:rPr>
            </w:pPr>
            <w:r>
              <w:rPr>
                <w:rFonts w:hint="eastAsia"/>
                <w:sz w:val="21"/>
                <w:szCs w:val="21"/>
              </w:rPr>
              <w:t>本项目</w:t>
            </w:r>
            <w:r>
              <w:rPr>
                <w:rFonts w:hint="eastAsia"/>
                <w:sz w:val="21"/>
                <w:szCs w:val="21"/>
                <w:lang w:val="en-US" w:eastAsia="zh-CN"/>
              </w:rPr>
              <w:t>蒸汽发生器采用电为能源不涉及</w:t>
            </w:r>
            <w:r>
              <w:rPr>
                <w:rFonts w:hint="eastAsia"/>
                <w:sz w:val="21"/>
                <w:szCs w:val="21"/>
              </w:rPr>
              <w:t>耗煤</w:t>
            </w:r>
            <w:r>
              <w:rPr>
                <w:rFonts w:hint="eastAsia"/>
                <w:sz w:val="21"/>
                <w:szCs w:val="21"/>
                <w:lang w:eastAsia="zh-CN"/>
              </w:rPr>
              <w:t>。</w:t>
            </w:r>
          </w:p>
        </w:tc>
        <w:tc>
          <w:tcPr>
            <w:tcW w:w="951" w:type="dxa"/>
            <w:noWrap/>
            <w:vAlign w:val="center"/>
          </w:tcPr>
          <w:p w14:paraId="073E50BD">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baseline"/>
              <w:rPr>
                <w:rFonts w:ascii="Times New Roman" w:hAnsi="Times New Roman"/>
                <w:snapToGrid w:val="0"/>
                <w:sz w:val="21"/>
                <w:szCs w:val="21"/>
              </w:rPr>
            </w:pPr>
            <w:r>
              <w:rPr>
                <w:rFonts w:ascii="Times New Roman" w:hAnsi="Times New Roman"/>
                <w:snapToGrid w:val="0"/>
                <w:sz w:val="21"/>
                <w:szCs w:val="21"/>
              </w:rPr>
              <w:t>符合</w:t>
            </w:r>
          </w:p>
        </w:tc>
      </w:tr>
      <w:tr w14:paraId="33EBF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56EE3BE4">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3A303E73">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24EE5C32">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3840510">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4E643114">
            <w:pPr>
              <w:widowControl/>
              <w:spacing w:line="240" w:lineRule="auto"/>
              <w:ind w:firstLine="0" w:firstLineChars="0"/>
              <w:jc w:val="center"/>
              <w:textAlignment w:val="center"/>
              <w:rPr>
                <w:sz w:val="21"/>
                <w:szCs w:val="21"/>
              </w:rPr>
            </w:pPr>
          </w:p>
        </w:tc>
        <w:tc>
          <w:tcPr>
            <w:tcW w:w="2013" w:type="dxa"/>
            <w:gridSpan w:val="2"/>
            <w:noWrap/>
            <w:vAlign w:val="center"/>
          </w:tcPr>
          <w:p w14:paraId="0BE532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default" w:ascii="Times New Roman" w:hAnsi="Times New Roman" w:eastAsia="宋体" w:cs="Times New Roman"/>
                <w:szCs w:val="21"/>
                <w:lang w:val="en-US" w:eastAsia="zh-CN" w:bidi="ar"/>
              </w:rPr>
            </w:pPr>
            <w:r>
              <w:rPr>
                <w:rFonts w:hint="eastAsia"/>
                <w:sz w:val="21"/>
                <w:szCs w:val="21"/>
                <w:lang w:val="en-US" w:eastAsia="zh-CN"/>
              </w:rPr>
              <w:t>5.</w:t>
            </w:r>
            <w:r>
              <w:rPr>
                <w:rFonts w:hint="eastAsia"/>
                <w:sz w:val="21"/>
                <w:szCs w:val="21"/>
              </w:rPr>
              <w:t>已出台超低排放要求的行业建设项目应满足超低排放要求</w:t>
            </w:r>
          </w:p>
        </w:tc>
        <w:tc>
          <w:tcPr>
            <w:tcW w:w="1727" w:type="dxa"/>
            <w:noWrap/>
            <w:vAlign w:val="center"/>
          </w:tcPr>
          <w:p w14:paraId="2B417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eastAsia="zh-CN"/>
              </w:rPr>
            </w:pPr>
            <w:r>
              <w:rPr>
                <w:rFonts w:hint="eastAsia"/>
                <w:sz w:val="21"/>
                <w:szCs w:val="21"/>
              </w:rPr>
              <w:t>本项目不涉及超低排放行业</w:t>
            </w:r>
            <w:r>
              <w:rPr>
                <w:rFonts w:hint="eastAsia"/>
                <w:sz w:val="21"/>
                <w:szCs w:val="21"/>
                <w:lang w:eastAsia="zh-CN"/>
              </w:rPr>
              <w:t>。</w:t>
            </w:r>
          </w:p>
        </w:tc>
        <w:tc>
          <w:tcPr>
            <w:tcW w:w="951" w:type="dxa"/>
            <w:noWrap/>
            <w:vAlign w:val="center"/>
          </w:tcPr>
          <w:p w14:paraId="69F6E3D1">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baseline"/>
              <w:rPr>
                <w:rFonts w:ascii="Times New Roman" w:hAnsi="Times New Roman"/>
                <w:snapToGrid w:val="0"/>
                <w:sz w:val="21"/>
                <w:szCs w:val="21"/>
              </w:rPr>
            </w:pPr>
            <w:r>
              <w:rPr>
                <w:rFonts w:ascii="Times New Roman" w:hAnsi="Times New Roman"/>
                <w:snapToGrid w:val="0"/>
                <w:sz w:val="21"/>
                <w:szCs w:val="21"/>
              </w:rPr>
              <w:t>符合</w:t>
            </w:r>
          </w:p>
        </w:tc>
      </w:tr>
      <w:tr w14:paraId="6754B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7115F440">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5ABEA1DA">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02C398BA">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6A8B5380">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59A93089">
            <w:pPr>
              <w:widowControl/>
              <w:spacing w:line="240" w:lineRule="auto"/>
              <w:ind w:firstLine="0" w:firstLineChars="0"/>
              <w:jc w:val="center"/>
              <w:textAlignment w:val="center"/>
              <w:rPr>
                <w:sz w:val="21"/>
                <w:szCs w:val="21"/>
              </w:rPr>
            </w:pPr>
          </w:p>
        </w:tc>
        <w:tc>
          <w:tcPr>
            <w:tcW w:w="2013" w:type="dxa"/>
            <w:gridSpan w:val="2"/>
            <w:noWrap/>
            <w:vAlign w:val="center"/>
          </w:tcPr>
          <w:p w14:paraId="0681E7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zCs w:val="21"/>
                <w:lang w:val="en-US" w:eastAsia="zh-CN" w:bidi="ar"/>
              </w:rPr>
            </w:pPr>
            <w:r>
              <w:rPr>
                <w:rFonts w:hint="eastAsia"/>
                <w:sz w:val="21"/>
                <w:szCs w:val="21"/>
                <w:lang w:val="en-US" w:eastAsia="zh-CN"/>
              </w:rPr>
              <w:t>6.</w:t>
            </w:r>
            <w:r>
              <w:rPr>
                <w:rFonts w:hint="eastAsia"/>
                <w:sz w:val="21"/>
                <w:szCs w:val="21"/>
              </w:rPr>
              <w:t>严格落实《制药建设项目环境影响评价文件审批原则》、《河南省电镀建设项目环境影响评价文件审查审批原则》相关要求。</w:t>
            </w:r>
          </w:p>
        </w:tc>
        <w:tc>
          <w:tcPr>
            <w:tcW w:w="1727" w:type="dxa"/>
            <w:noWrap/>
            <w:vAlign w:val="center"/>
          </w:tcPr>
          <w:p w14:paraId="09C147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eastAsia="zh-CN"/>
              </w:rPr>
            </w:pPr>
            <w:r>
              <w:rPr>
                <w:rFonts w:hint="eastAsia"/>
                <w:sz w:val="21"/>
                <w:szCs w:val="21"/>
              </w:rPr>
              <w:t>本项目符合《河南省电镀建设项目环境影响评价文件审查审批原则》相关要求</w:t>
            </w:r>
            <w:r>
              <w:rPr>
                <w:rFonts w:hint="eastAsia"/>
                <w:sz w:val="21"/>
                <w:szCs w:val="21"/>
                <w:lang w:eastAsia="zh-CN"/>
              </w:rPr>
              <w:t>。</w:t>
            </w:r>
          </w:p>
        </w:tc>
        <w:tc>
          <w:tcPr>
            <w:tcW w:w="951" w:type="dxa"/>
            <w:noWrap/>
            <w:vAlign w:val="center"/>
          </w:tcPr>
          <w:p w14:paraId="38342FED">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baseline"/>
              <w:rPr>
                <w:rFonts w:ascii="Times New Roman" w:hAnsi="Times New Roman"/>
                <w:snapToGrid w:val="0"/>
                <w:sz w:val="21"/>
                <w:szCs w:val="21"/>
              </w:rPr>
            </w:pPr>
            <w:r>
              <w:rPr>
                <w:rFonts w:ascii="Times New Roman" w:hAnsi="Times New Roman"/>
                <w:snapToGrid w:val="0"/>
                <w:sz w:val="21"/>
                <w:szCs w:val="21"/>
              </w:rPr>
              <w:t>符合</w:t>
            </w:r>
          </w:p>
        </w:tc>
      </w:tr>
      <w:tr w14:paraId="75425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E620F3C">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26BF0B95">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57B6C5EC">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6E9064D4">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7AB4A607">
            <w:pPr>
              <w:widowControl/>
              <w:spacing w:line="240" w:lineRule="auto"/>
              <w:ind w:firstLine="0" w:firstLineChars="0"/>
              <w:jc w:val="center"/>
              <w:textAlignment w:val="center"/>
              <w:rPr>
                <w:sz w:val="21"/>
                <w:szCs w:val="21"/>
              </w:rPr>
            </w:pPr>
          </w:p>
        </w:tc>
        <w:tc>
          <w:tcPr>
            <w:tcW w:w="2013" w:type="dxa"/>
            <w:gridSpan w:val="2"/>
            <w:noWrap/>
            <w:vAlign w:val="center"/>
          </w:tcPr>
          <w:p w14:paraId="4D09EF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cs="Times New Roman"/>
                <w:szCs w:val="21"/>
                <w:lang w:val="en-US" w:eastAsia="zh-CN" w:bidi="ar"/>
              </w:rPr>
            </w:pPr>
            <w:r>
              <w:rPr>
                <w:rFonts w:hint="eastAsia"/>
                <w:sz w:val="21"/>
                <w:szCs w:val="21"/>
                <w:lang w:val="en-US" w:eastAsia="zh-CN"/>
              </w:rPr>
              <w:t>7.</w:t>
            </w:r>
            <w:r>
              <w:rPr>
                <w:rFonts w:hint="eastAsia"/>
                <w:sz w:val="21"/>
                <w:szCs w:val="21"/>
              </w:rPr>
              <w:t>严格控制生产和使用高</w:t>
            </w:r>
            <w:r>
              <w:rPr>
                <w:sz w:val="21"/>
                <w:szCs w:val="21"/>
              </w:rPr>
              <w:t>VOC</w:t>
            </w:r>
            <w:r>
              <w:rPr>
                <w:rFonts w:hint="eastAsia"/>
                <w:sz w:val="21"/>
                <w:szCs w:val="21"/>
                <w:vertAlign w:val="subscript"/>
                <w:lang w:val="en-US" w:eastAsia="zh-CN"/>
              </w:rPr>
              <w:t>S</w:t>
            </w:r>
            <w:r>
              <w:rPr>
                <w:rFonts w:hint="eastAsia"/>
                <w:sz w:val="21"/>
                <w:szCs w:val="21"/>
              </w:rPr>
              <w:t>含量溶剂型涂料、油墨、胶黏剂、清洗剂等建设项目。</w:t>
            </w:r>
          </w:p>
        </w:tc>
        <w:tc>
          <w:tcPr>
            <w:tcW w:w="1727" w:type="dxa"/>
            <w:noWrap/>
            <w:vAlign w:val="center"/>
          </w:tcPr>
          <w:p w14:paraId="598686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default" w:ascii="Times New Roman" w:hAnsi="Times New Roman" w:eastAsia="宋体"/>
                <w:szCs w:val="21"/>
                <w:lang w:val="en-US" w:eastAsia="zh-CN"/>
              </w:rPr>
            </w:pPr>
            <w:r>
              <w:rPr>
                <w:rFonts w:hint="eastAsia"/>
                <w:sz w:val="21"/>
                <w:szCs w:val="21"/>
                <w:lang w:val="en-US" w:eastAsia="zh-CN"/>
              </w:rPr>
              <w:t>本项目不属于涉及生产使用</w:t>
            </w:r>
            <w:r>
              <w:rPr>
                <w:rFonts w:hint="eastAsia"/>
                <w:sz w:val="21"/>
                <w:szCs w:val="21"/>
              </w:rPr>
              <w:t>高</w:t>
            </w:r>
            <w:r>
              <w:rPr>
                <w:sz w:val="21"/>
                <w:szCs w:val="21"/>
              </w:rPr>
              <w:t>VOC</w:t>
            </w:r>
            <w:r>
              <w:rPr>
                <w:rFonts w:hint="eastAsia"/>
                <w:sz w:val="21"/>
                <w:szCs w:val="21"/>
                <w:vertAlign w:val="subscript"/>
                <w:lang w:val="en-US" w:eastAsia="zh-CN"/>
              </w:rPr>
              <w:t>S</w:t>
            </w:r>
            <w:r>
              <w:rPr>
                <w:rFonts w:hint="eastAsia"/>
                <w:sz w:val="21"/>
                <w:szCs w:val="21"/>
              </w:rPr>
              <w:t>含量溶剂型涂料、油墨、胶黏剂、清洗剂</w:t>
            </w:r>
            <w:r>
              <w:rPr>
                <w:rFonts w:hint="eastAsia"/>
                <w:sz w:val="21"/>
                <w:szCs w:val="21"/>
                <w:lang w:val="en-US" w:eastAsia="zh-CN"/>
              </w:rPr>
              <w:t>的建设项目。</w:t>
            </w:r>
          </w:p>
        </w:tc>
        <w:tc>
          <w:tcPr>
            <w:tcW w:w="951" w:type="dxa"/>
            <w:noWrap/>
            <w:vAlign w:val="center"/>
          </w:tcPr>
          <w:p w14:paraId="7FE04006">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baseline"/>
              <w:rPr>
                <w:rFonts w:ascii="Times New Roman" w:hAnsi="Times New Roman"/>
                <w:snapToGrid w:val="0"/>
                <w:sz w:val="21"/>
                <w:szCs w:val="21"/>
              </w:rPr>
            </w:pPr>
            <w:r>
              <w:rPr>
                <w:rFonts w:ascii="Times New Roman" w:hAnsi="Times New Roman"/>
                <w:snapToGrid w:val="0"/>
                <w:sz w:val="21"/>
                <w:szCs w:val="21"/>
              </w:rPr>
              <w:t>符合</w:t>
            </w:r>
          </w:p>
        </w:tc>
      </w:tr>
      <w:tr w14:paraId="5BCD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9B52198">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76AB348C">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210BE702">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60A9ECD9">
            <w:pPr>
              <w:pStyle w:val="34"/>
              <w:spacing w:before="0" w:beforeAutospacing="0" w:after="0" w:afterAutospacing="0"/>
              <w:jc w:val="center"/>
              <w:rPr>
                <w:rFonts w:ascii="Times New Roman" w:hAnsi="Times New Roman"/>
                <w:snapToGrid w:val="0"/>
                <w:sz w:val="21"/>
                <w:szCs w:val="21"/>
              </w:rPr>
            </w:pPr>
          </w:p>
        </w:tc>
        <w:tc>
          <w:tcPr>
            <w:tcW w:w="575" w:type="dxa"/>
            <w:vMerge w:val="restart"/>
            <w:noWrap/>
            <w:vAlign w:val="center"/>
          </w:tcPr>
          <w:p w14:paraId="71F038B7">
            <w:pPr>
              <w:widowControl/>
              <w:spacing w:line="240" w:lineRule="auto"/>
              <w:ind w:firstLine="0" w:firstLineChars="0"/>
              <w:jc w:val="center"/>
              <w:textAlignment w:val="center"/>
              <w:rPr>
                <w:sz w:val="21"/>
                <w:szCs w:val="21"/>
                <w:lang w:bidi="ar"/>
              </w:rPr>
            </w:pPr>
            <w:r>
              <w:rPr>
                <w:sz w:val="21"/>
                <w:szCs w:val="21"/>
              </w:rPr>
              <w:t>环境风险防控</w:t>
            </w:r>
          </w:p>
        </w:tc>
        <w:tc>
          <w:tcPr>
            <w:tcW w:w="2013" w:type="dxa"/>
            <w:gridSpan w:val="2"/>
            <w:noWrap/>
            <w:vAlign w:val="center"/>
          </w:tcPr>
          <w:p w14:paraId="27BCB64C">
            <w:pPr>
              <w:widowControl/>
              <w:spacing w:line="240" w:lineRule="auto"/>
              <w:ind w:firstLine="0" w:firstLineChars="0"/>
              <w:jc w:val="left"/>
              <w:textAlignment w:val="center"/>
              <w:rPr>
                <w:sz w:val="21"/>
                <w:szCs w:val="21"/>
                <w:lang w:val="zh-CN" w:bidi="ar"/>
              </w:rPr>
            </w:pPr>
            <w:r>
              <w:rPr>
                <w:rFonts w:hint="eastAsia"/>
                <w:sz w:val="21"/>
                <w:szCs w:val="21"/>
                <w:lang w:val="zh-CN" w:bidi="ar"/>
              </w:rPr>
              <w:t>1.规范园区建设，对涉重行业企业加强管理，建立土壤和地下水污染隐患排查治理制度、风险防控体系和长效监管机制。</w:t>
            </w:r>
          </w:p>
        </w:tc>
        <w:tc>
          <w:tcPr>
            <w:tcW w:w="1727" w:type="dxa"/>
            <w:noWrap/>
            <w:vAlign w:val="center"/>
          </w:tcPr>
          <w:p w14:paraId="0DAA58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lang w:val="zh-CN"/>
              </w:rPr>
            </w:pPr>
            <w:r>
              <w:rPr>
                <w:rFonts w:hint="eastAsia"/>
                <w:sz w:val="21"/>
                <w:szCs w:val="21"/>
              </w:rPr>
              <w:t>根据园区管理要求，项目建成后将按要求</w:t>
            </w:r>
            <w:r>
              <w:rPr>
                <w:sz w:val="21"/>
                <w:szCs w:val="21"/>
              </w:rPr>
              <w:t>建立土壤和地下水污染隐患排查治理制度、风险防控体系和长效监管机制</w:t>
            </w:r>
            <w:r>
              <w:rPr>
                <w:rFonts w:hint="eastAsia"/>
                <w:sz w:val="21"/>
                <w:szCs w:val="21"/>
              </w:rPr>
              <w:t>等。</w:t>
            </w:r>
          </w:p>
        </w:tc>
        <w:tc>
          <w:tcPr>
            <w:tcW w:w="951" w:type="dxa"/>
            <w:noWrap/>
            <w:vAlign w:val="center"/>
          </w:tcPr>
          <w:p w14:paraId="5B04A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6A0D6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649E13EC">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1F6F385A">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08D19297">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6AF15FAD">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48F07239">
            <w:pPr>
              <w:widowControl/>
              <w:spacing w:line="240" w:lineRule="auto"/>
              <w:ind w:firstLine="0" w:firstLineChars="0"/>
              <w:jc w:val="center"/>
              <w:textAlignment w:val="center"/>
              <w:rPr>
                <w:sz w:val="21"/>
                <w:szCs w:val="21"/>
              </w:rPr>
            </w:pPr>
          </w:p>
        </w:tc>
        <w:tc>
          <w:tcPr>
            <w:tcW w:w="2013" w:type="dxa"/>
            <w:gridSpan w:val="2"/>
            <w:noWrap/>
            <w:vAlign w:val="center"/>
          </w:tcPr>
          <w:p w14:paraId="4B5AD0A5">
            <w:pPr>
              <w:widowControl/>
              <w:spacing w:line="240" w:lineRule="auto"/>
              <w:ind w:firstLine="0" w:firstLineChars="0"/>
              <w:textAlignment w:val="center"/>
              <w:rPr>
                <w:sz w:val="21"/>
                <w:szCs w:val="21"/>
                <w:lang w:val="zh-CN" w:bidi="ar"/>
              </w:rPr>
            </w:pPr>
            <w:r>
              <w:rPr>
                <w:rFonts w:hint="eastAsia"/>
                <w:snapToGrid w:val="0"/>
                <w:sz w:val="21"/>
                <w:szCs w:val="21"/>
              </w:rPr>
              <w:t>2.有色金属冶炼、铅酸蓄电池、石油加工、化工、电镀、制革和危险化学品生产、储存、使用等企业在拆除生产设施设备、污染治理设施时，要事先制定企业拆除活动污染防治方案和拆除活动环境应急预案</w:t>
            </w:r>
            <w:r>
              <w:rPr>
                <w:snapToGrid w:val="0"/>
                <w:sz w:val="21"/>
                <w:szCs w:val="21"/>
              </w:rPr>
              <w:t>。</w:t>
            </w:r>
          </w:p>
        </w:tc>
        <w:tc>
          <w:tcPr>
            <w:tcW w:w="1727" w:type="dxa"/>
            <w:noWrap/>
            <w:vAlign w:val="center"/>
          </w:tcPr>
          <w:p w14:paraId="76031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ascii="Times New Roman" w:hAnsi="Times New Roman" w:eastAsia="宋体"/>
                <w:szCs w:val="21"/>
                <w:lang w:val="en-US" w:eastAsia="zh-CN"/>
              </w:rPr>
            </w:pPr>
            <w:r>
              <w:rPr>
                <w:sz w:val="21"/>
                <w:szCs w:val="21"/>
              </w:rPr>
              <w:t>本项目</w:t>
            </w:r>
            <w:r>
              <w:rPr>
                <w:rFonts w:hint="eastAsia"/>
                <w:sz w:val="21"/>
                <w:szCs w:val="21"/>
                <w:lang w:val="en-US" w:eastAsia="zh-CN"/>
              </w:rPr>
              <w:t>不属于</w:t>
            </w:r>
            <w:r>
              <w:rPr>
                <w:rFonts w:hint="eastAsia"/>
                <w:sz w:val="21"/>
                <w:szCs w:val="21"/>
              </w:rPr>
              <w:t>有色金属冶炼、铅酸蓄电池、石油加工、化工、电镀、制革和危险化学品生产</w:t>
            </w:r>
            <w:r>
              <w:rPr>
                <w:rFonts w:hint="eastAsia"/>
                <w:sz w:val="21"/>
                <w:szCs w:val="21"/>
                <w:lang w:eastAsia="zh-CN"/>
              </w:rPr>
              <w:t>、</w:t>
            </w:r>
            <w:r>
              <w:rPr>
                <w:rFonts w:hint="eastAsia"/>
                <w:sz w:val="21"/>
                <w:szCs w:val="21"/>
                <w:lang w:val="en-US" w:eastAsia="zh-CN"/>
              </w:rPr>
              <w:t>储</w:t>
            </w:r>
            <w:r>
              <w:rPr>
                <w:rFonts w:hint="eastAsia"/>
                <w:sz w:val="21"/>
                <w:szCs w:val="21"/>
              </w:rPr>
              <w:t>存、使用等企业在拆除生产设施设备、污染治理设施</w:t>
            </w:r>
            <w:r>
              <w:rPr>
                <w:rFonts w:hint="eastAsia"/>
                <w:sz w:val="21"/>
                <w:szCs w:val="21"/>
                <w:lang w:val="en-US" w:eastAsia="zh-CN"/>
              </w:rPr>
              <w:t>活动。</w:t>
            </w:r>
          </w:p>
        </w:tc>
        <w:tc>
          <w:tcPr>
            <w:tcW w:w="951" w:type="dxa"/>
            <w:noWrap/>
            <w:vAlign w:val="center"/>
          </w:tcPr>
          <w:p w14:paraId="70C5A9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5647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3B248098">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2B743BD3">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554984A4">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73C47E37">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67131B3D">
            <w:pPr>
              <w:widowControl/>
              <w:spacing w:line="240" w:lineRule="auto"/>
              <w:ind w:firstLine="0" w:firstLineChars="0"/>
              <w:jc w:val="center"/>
              <w:textAlignment w:val="center"/>
              <w:rPr>
                <w:sz w:val="21"/>
                <w:szCs w:val="21"/>
              </w:rPr>
            </w:pPr>
          </w:p>
        </w:tc>
        <w:tc>
          <w:tcPr>
            <w:tcW w:w="2013" w:type="dxa"/>
            <w:gridSpan w:val="2"/>
            <w:noWrap/>
            <w:vAlign w:val="center"/>
          </w:tcPr>
          <w:p w14:paraId="00D77E6C">
            <w:pPr>
              <w:pStyle w:val="75"/>
              <w:jc w:val="both"/>
              <w:rPr>
                <w:rFonts w:hint="eastAsia"/>
                <w:snapToGrid w:val="0"/>
                <w:sz w:val="21"/>
                <w:szCs w:val="21"/>
              </w:rPr>
            </w:pPr>
            <w:r>
              <w:rPr>
                <w:rFonts w:hint="eastAsia"/>
              </w:rPr>
              <w:t>3</w:t>
            </w:r>
            <w:r>
              <w:rPr>
                <w:rFonts w:hint="eastAsia"/>
                <w:lang w:val="en-US" w:eastAsia="zh-CN"/>
              </w:rPr>
              <w:t>.</w:t>
            </w:r>
            <w:r>
              <w:rPr>
                <w:rFonts w:hint="eastAsia"/>
              </w:rPr>
              <w:t>规范专业园区建设，对涉重行业企业加强管理，建立土壤和地下水污染隐患排查治理制度、风险防控体系和长效监管机制。</w:t>
            </w:r>
          </w:p>
        </w:tc>
        <w:tc>
          <w:tcPr>
            <w:tcW w:w="1727" w:type="dxa"/>
            <w:noWrap/>
            <w:vAlign w:val="center"/>
          </w:tcPr>
          <w:p w14:paraId="54CDA2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napToGrid w:val="0"/>
                <w:szCs w:val="21"/>
                <w:lang w:eastAsia="zh-CN"/>
              </w:rPr>
            </w:pPr>
            <w:r>
              <w:rPr>
                <w:rFonts w:hint="eastAsia"/>
                <w:sz w:val="21"/>
                <w:szCs w:val="21"/>
              </w:rPr>
              <w:t>建立完善有效的环境风险防控设施和有效的拦截、降污、导流等措施，防止对地表水环境造成危害</w:t>
            </w:r>
            <w:r>
              <w:rPr>
                <w:rFonts w:hint="eastAsia"/>
                <w:sz w:val="21"/>
                <w:szCs w:val="21"/>
                <w:lang w:eastAsia="zh-CN"/>
              </w:rPr>
              <w:t>。</w:t>
            </w:r>
          </w:p>
        </w:tc>
        <w:tc>
          <w:tcPr>
            <w:tcW w:w="951" w:type="dxa"/>
            <w:noWrap/>
            <w:vAlign w:val="center"/>
          </w:tcPr>
          <w:p w14:paraId="276C5E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287F5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376C8866">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5F313636">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1857ADA4">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4E6D8878">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68E0C086">
            <w:pPr>
              <w:widowControl/>
              <w:spacing w:line="240" w:lineRule="auto"/>
              <w:ind w:firstLine="0" w:firstLineChars="0"/>
              <w:jc w:val="center"/>
              <w:textAlignment w:val="center"/>
              <w:rPr>
                <w:sz w:val="21"/>
                <w:szCs w:val="21"/>
              </w:rPr>
            </w:pPr>
          </w:p>
        </w:tc>
        <w:tc>
          <w:tcPr>
            <w:tcW w:w="2013" w:type="dxa"/>
            <w:gridSpan w:val="2"/>
            <w:noWrap/>
            <w:vAlign w:val="center"/>
          </w:tcPr>
          <w:p w14:paraId="4E9CA439">
            <w:pPr>
              <w:widowControl/>
              <w:spacing w:line="240" w:lineRule="auto"/>
              <w:ind w:firstLine="0" w:firstLineChars="0"/>
              <w:textAlignment w:val="center"/>
              <w:rPr>
                <w:rFonts w:hint="default" w:eastAsia="宋体"/>
                <w:snapToGrid w:val="0"/>
                <w:sz w:val="21"/>
                <w:szCs w:val="21"/>
                <w:lang w:val="en-US" w:eastAsia="zh-CN"/>
              </w:rPr>
            </w:pPr>
            <w:r>
              <w:rPr>
                <w:rFonts w:hint="eastAsia"/>
                <w:snapToGrid w:val="0"/>
                <w:sz w:val="21"/>
                <w:szCs w:val="21"/>
                <w:lang w:val="en-US" w:eastAsia="zh-CN"/>
              </w:rPr>
              <w:t>4.化工园区应根据自身规模和产业结构需要，建立完善的安全生产和生态环境的监测监控和风险预警体系，相关监测监控数据应接入地方监测预警系统</w:t>
            </w:r>
          </w:p>
        </w:tc>
        <w:tc>
          <w:tcPr>
            <w:tcW w:w="1727" w:type="dxa"/>
            <w:noWrap/>
            <w:vAlign w:val="center"/>
          </w:tcPr>
          <w:p w14:paraId="4B81B7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napToGrid w:val="0"/>
                <w:szCs w:val="21"/>
                <w:lang w:eastAsia="zh-CN"/>
              </w:rPr>
            </w:pPr>
            <w:r>
              <w:rPr>
                <w:rFonts w:hint="eastAsia"/>
                <w:sz w:val="21"/>
                <w:szCs w:val="21"/>
              </w:rPr>
              <w:t>本项目不属于化工项目</w:t>
            </w:r>
            <w:r>
              <w:rPr>
                <w:rFonts w:hint="eastAsia"/>
                <w:sz w:val="21"/>
                <w:szCs w:val="21"/>
                <w:lang w:eastAsia="zh-CN"/>
              </w:rPr>
              <w:t>，</w:t>
            </w:r>
            <w:r>
              <w:rPr>
                <w:rFonts w:hint="eastAsia"/>
                <w:sz w:val="21"/>
                <w:szCs w:val="21"/>
              </w:rPr>
              <w:t>不在化工园区园区</w:t>
            </w:r>
            <w:r>
              <w:rPr>
                <w:rFonts w:hint="eastAsia"/>
                <w:sz w:val="21"/>
                <w:szCs w:val="21"/>
                <w:lang w:eastAsia="zh-CN"/>
              </w:rPr>
              <w:t>。</w:t>
            </w:r>
          </w:p>
        </w:tc>
        <w:tc>
          <w:tcPr>
            <w:tcW w:w="951" w:type="dxa"/>
            <w:noWrap/>
            <w:vAlign w:val="center"/>
          </w:tcPr>
          <w:p w14:paraId="1DBD5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71DFC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7854DDEA">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57411440">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3052E003">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5F9BC28E">
            <w:pPr>
              <w:pStyle w:val="34"/>
              <w:spacing w:before="0" w:beforeAutospacing="0" w:after="0" w:afterAutospacing="0"/>
              <w:jc w:val="center"/>
              <w:rPr>
                <w:rFonts w:ascii="Times New Roman" w:hAnsi="Times New Roman"/>
                <w:snapToGrid w:val="0"/>
                <w:sz w:val="21"/>
                <w:szCs w:val="21"/>
              </w:rPr>
            </w:pPr>
          </w:p>
        </w:tc>
        <w:tc>
          <w:tcPr>
            <w:tcW w:w="575" w:type="dxa"/>
            <w:vMerge w:val="continue"/>
            <w:noWrap/>
            <w:vAlign w:val="center"/>
          </w:tcPr>
          <w:p w14:paraId="0BD435D5">
            <w:pPr>
              <w:widowControl/>
              <w:spacing w:line="240" w:lineRule="auto"/>
              <w:ind w:firstLine="0" w:firstLineChars="0"/>
              <w:jc w:val="center"/>
              <w:textAlignment w:val="center"/>
              <w:rPr>
                <w:sz w:val="21"/>
                <w:szCs w:val="21"/>
              </w:rPr>
            </w:pPr>
          </w:p>
        </w:tc>
        <w:tc>
          <w:tcPr>
            <w:tcW w:w="2013" w:type="dxa"/>
            <w:gridSpan w:val="2"/>
            <w:noWrap/>
            <w:vAlign w:val="center"/>
          </w:tcPr>
          <w:p w14:paraId="19B8AD6D">
            <w:pPr>
              <w:widowControl/>
              <w:spacing w:line="240" w:lineRule="auto"/>
              <w:ind w:firstLine="0" w:firstLineChars="0"/>
              <w:textAlignment w:val="center"/>
              <w:rPr>
                <w:rFonts w:hint="default" w:eastAsia="宋体"/>
                <w:snapToGrid w:val="0"/>
                <w:sz w:val="21"/>
                <w:szCs w:val="21"/>
                <w:lang w:val="en-US" w:eastAsia="zh-CN"/>
              </w:rPr>
            </w:pPr>
            <w:r>
              <w:rPr>
                <w:rFonts w:hint="eastAsia"/>
                <w:snapToGrid w:val="0"/>
                <w:sz w:val="21"/>
                <w:szCs w:val="21"/>
                <w:lang w:val="en-US" w:eastAsia="zh-CN"/>
              </w:rPr>
              <w:t>5.建立完善有效的环境风险防控设施和有效的拦截、降污、导流等措施，防止对地表水环境造成危害。</w:t>
            </w:r>
          </w:p>
        </w:tc>
        <w:tc>
          <w:tcPr>
            <w:tcW w:w="1727" w:type="dxa"/>
            <w:noWrap/>
            <w:vAlign w:val="center"/>
          </w:tcPr>
          <w:p w14:paraId="6BA43C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napToGrid w:val="0"/>
                <w:szCs w:val="21"/>
                <w:lang w:eastAsia="zh-CN"/>
              </w:rPr>
            </w:pPr>
            <w:r>
              <w:rPr>
                <w:rFonts w:hint="eastAsia"/>
                <w:sz w:val="21"/>
                <w:szCs w:val="21"/>
              </w:rPr>
              <w:t>对本项目进行风险事故应急预案，加强危险化学品管理</w:t>
            </w:r>
            <w:r>
              <w:rPr>
                <w:rFonts w:hint="eastAsia"/>
                <w:sz w:val="21"/>
                <w:szCs w:val="21"/>
                <w:lang w:eastAsia="zh-CN"/>
              </w:rPr>
              <w:t>。</w:t>
            </w:r>
          </w:p>
        </w:tc>
        <w:tc>
          <w:tcPr>
            <w:tcW w:w="951" w:type="dxa"/>
            <w:noWrap/>
            <w:vAlign w:val="center"/>
          </w:tcPr>
          <w:p w14:paraId="11EB8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r w14:paraId="197D8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968" w:type="dxa"/>
            <w:vMerge w:val="continue"/>
            <w:noWrap/>
            <w:vAlign w:val="center"/>
          </w:tcPr>
          <w:p w14:paraId="195451C1">
            <w:pPr>
              <w:pStyle w:val="34"/>
              <w:spacing w:before="0" w:beforeAutospacing="0" w:after="0" w:afterAutospacing="0"/>
              <w:jc w:val="center"/>
              <w:rPr>
                <w:rFonts w:ascii="Times New Roman" w:hAnsi="Times New Roman"/>
                <w:snapToGrid w:val="0"/>
                <w:sz w:val="21"/>
                <w:szCs w:val="21"/>
              </w:rPr>
            </w:pPr>
          </w:p>
        </w:tc>
        <w:tc>
          <w:tcPr>
            <w:tcW w:w="634" w:type="dxa"/>
            <w:vMerge w:val="continue"/>
            <w:vAlign w:val="center"/>
          </w:tcPr>
          <w:p w14:paraId="477E61E1">
            <w:pPr>
              <w:pStyle w:val="34"/>
              <w:spacing w:before="0" w:beforeAutospacing="0" w:after="0" w:afterAutospacing="0"/>
              <w:jc w:val="center"/>
              <w:rPr>
                <w:rFonts w:ascii="Times New Roman" w:hAnsi="Times New Roman"/>
                <w:snapToGrid w:val="0"/>
                <w:sz w:val="21"/>
                <w:szCs w:val="21"/>
              </w:rPr>
            </w:pPr>
          </w:p>
        </w:tc>
        <w:tc>
          <w:tcPr>
            <w:tcW w:w="840" w:type="dxa"/>
            <w:vMerge w:val="continue"/>
            <w:noWrap/>
            <w:vAlign w:val="center"/>
          </w:tcPr>
          <w:p w14:paraId="567DDA44">
            <w:pPr>
              <w:pStyle w:val="34"/>
              <w:spacing w:before="0" w:beforeAutospacing="0" w:after="0" w:afterAutospacing="0"/>
              <w:jc w:val="center"/>
              <w:rPr>
                <w:rFonts w:ascii="Times New Roman" w:hAnsi="Times New Roman"/>
                <w:snapToGrid w:val="0"/>
                <w:sz w:val="21"/>
                <w:szCs w:val="21"/>
              </w:rPr>
            </w:pPr>
          </w:p>
        </w:tc>
        <w:tc>
          <w:tcPr>
            <w:tcW w:w="718" w:type="dxa"/>
            <w:vMerge w:val="continue"/>
            <w:noWrap/>
            <w:vAlign w:val="center"/>
          </w:tcPr>
          <w:p w14:paraId="352B4143">
            <w:pPr>
              <w:pStyle w:val="34"/>
              <w:spacing w:before="0" w:beforeAutospacing="0" w:after="0" w:afterAutospacing="0"/>
              <w:jc w:val="center"/>
              <w:rPr>
                <w:rFonts w:ascii="Times New Roman" w:hAnsi="Times New Roman"/>
                <w:snapToGrid w:val="0"/>
                <w:sz w:val="21"/>
                <w:szCs w:val="21"/>
              </w:rPr>
            </w:pPr>
          </w:p>
        </w:tc>
        <w:tc>
          <w:tcPr>
            <w:tcW w:w="575" w:type="dxa"/>
            <w:noWrap/>
            <w:vAlign w:val="center"/>
          </w:tcPr>
          <w:p w14:paraId="57738A05">
            <w:pPr>
              <w:widowControl/>
              <w:spacing w:line="240" w:lineRule="auto"/>
              <w:ind w:firstLine="0" w:firstLineChars="0"/>
              <w:jc w:val="center"/>
              <w:textAlignment w:val="center"/>
              <w:rPr>
                <w:sz w:val="21"/>
                <w:szCs w:val="21"/>
                <w:lang w:bidi="ar"/>
              </w:rPr>
            </w:pPr>
            <w:r>
              <w:rPr>
                <w:sz w:val="21"/>
                <w:szCs w:val="21"/>
              </w:rPr>
              <w:t>资源利用效率要求</w:t>
            </w:r>
          </w:p>
        </w:tc>
        <w:tc>
          <w:tcPr>
            <w:tcW w:w="2013" w:type="dxa"/>
            <w:gridSpan w:val="2"/>
            <w:noWrap/>
            <w:vAlign w:val="center"/>
          </w:tcPr>
          <w:p w14:paraId="0682C4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ascii="Times New Roman" w:hAnsi="Times New Roman"/>
                <w:szCs w:val="21"/>
                <w:lang w:bidi="ar"/>
              </w:rPr>
            </w:pPr>
            <w:r>
              <w:rPr>
                <w:rFonts w:hint="eastAsia"/>
                <w:sz w:val="21"/>
                <w:szCs w:val="21"/>
              </w:rPr>
              <w:t>进一步优化能源结构，加快集中供热、供水等及配套管网建设，逐步关停企业自备水。</w:t>
            </w:r>
          </w:p>
        </w:tc>
        <w:tc>
          <w:tcPr>
            <w:tcW w:w="1727" w:type="dxa"/>
            <w:noWrap/>
            <w:vAlign w:val="center"/>
          </w:tcPr>
          <w:p w14:paraId="08C33A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sz w:val="21"/>
                <w:szCs w:val="21"/>
              </w:rPr>
            </w:pPr>
            <w:r>
              <w:rPr>
                <w:rFonts w:hint="eastAsia"/>
                <w:sz w:val="21"/>
                <w:szCs w:val="21"/>
              </w:rPr>
              <w:t>1、本项目蒸汽由</w:t>
            </w:r>
            <w:r>
              <w:rPr>
                <w:rFonts w:hint="eastAsia"/>
                <w:sz w:val="21"/>
                <w:szCs w:val="21"/>
                <w:lang w:val="en-US" w:eastAsia="zh-CN"/>
              </w:rPr>
              <w:t>蒸汽发生器</w:t>
            </w:r>
            <w:r>
              <w:rPr>
                <w:rFonts w:hint="eastAsia"/>
                <w:sz w:val="21"/>
                <w:szCs w:val="21"/>
              </w:rPr>
              <w:t>提供；</w:t>
            </w:r>
          </w:p>
          <w:p w14:paraId="61AABF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baseline"/>
              <w:rPr>
                <w:rFonts w:hint="eastAsia" w:ascii="Times New Roman" w:hAnsi="Times New Roman" w:eastAsia="宋体"/>
                <w:szCs w:val="21"/>
                <w:lang w:eastAsia="zh-CN"/>
              </w:rPr>
            </w:pPr>
            <w:r>
              <w:rPr>
                <w:rFonts w:hint="eastAsia"/>
                <w:sz w:val="21"/>
                <w:szCs w:val="21"/>
              </w:rPr>
              <w:t>2、本项目所在区域已实现集聚区集中供水。</w:t>
            </w:r>
          </w:p>
        </w:tc>
        <w:tc>
          <w:tcPr>
            <w:tcW w:w="951" w:type="dxa"/>
            <w:noWrap/>
            <w:vAlign w:val="center"/>
          </w:tcPr>
          <w:p w14:paraId="6E71A9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ascii="Times New Roman" w:hAnsi="Times New Roman"/>
                <w:snapToGrid w:val="0"/>
                <w:szCs w:val="21"/>
              </w:rPr>
            </w:pPr>
            <w:r>
              <w:rPr>
                <w:sz w:val="21"/>
                <w:szCs w:val="21"/>
              </w:rPr>
              <w:t>符合</w:t>
            </w:r>
          </w:p>
        </w:tc>
      </w:tr>
    </w:tbl>
    <w:p w14:paraId="53C0B39C">
      <w:pPr>
        <w:ind w:firstLine="480"/>
      </w:pPr>
      <w:r>
        <w:rPr>
          <w:rFonts w:hint="eastAsia"/>
        </w:rPr>
        <w:t>由上表可知，本项目建设符合《清单》的相关要求。</w:t>
      </w:r>
    </w:p>
    <w:p w14:paraId="78FDF06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4" w:name="_Toc108122483"/>
      <w:r>
        <w:rPr>
          <w:rFonts w:hint="eastAsia" w:ascii="Times New Roman" w:hAnsi="Times New Roman" w:cs="Times New Roman"/>
          <w:lang w:val="en-US" w:eastAsia="zh-CN"/>
        </w:rPr>
        <w:t>2.11.4与《河南省电镀建设项目环境影响评价文件审查审批原则(修订)》相符性分析</w:t>
      </w:r>
      <w:bookmarkEnd w:id="344"/>
    </w:p>
    <w:p w14:paraId="40FD9FE0">
      <w:pPr>
        <w:ind w:firstLine="480"/>
      </w:pPr>
      <w:r>
        <w:rPr>
          <w:rFonts w:hint="eastAsia"/>
        </w:rPr>
        <w:t>本项目与《河南省电镀建设项目环境影响评价文件审查审批原则(修订)》（以下简称《河南省电镀项目审查审批原则》）相符性分析见下表。</w:t>
      </w:r>
    </w:p>
    <w:p w14:paraId="5CEB2E36">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lang w:val="pt-BR"/>
        </w:rPr>
      </w:pPr>
      <w:r>
        <w:rPr>
          <w:rFonts w:hint="eastAsia" w:ascii="Times New Roman" w:hAnsi="Times New Roman" w:eastAsia="宋体" w:cs="Times New Roman"/>
          <w:lang w:val="pt-BR"/>
        </w:rPr>
        <w:t>表</w:t>
      </w:r>
      <w:r>
        <w:rPr>
          <w:rFonts w:hint="eastAsia" w:eastAsia="宋体" w:cs="Times New Roman"/>
          <w:lang w:val="en-US" w:eastAsia="zh-CN"/>
        </w:rPr>
        <w:t>2.11-5</w:t>
      </w:r>
      <w:r>
        <w:rPr>
          <w:rFonts w:hint="eastAsia" w:ascii="Times New Roman" w:hAnsi="Times New Roman" w:eastAsia="宋体" w:cs="Times New Roman"/>
          <w:lang w:val="pt-BR"/>
        </w:rPr>
        <w:t xml:space="preserve"> </w:t>
      </w:r>
      <w:r>
        <w:rPr>
          <w:rFonts w:hint="default" w:ascii="Times New Roman" w:hAnsi="Times New Roman" w:eastAsia="宋体" w:cs="Times New Roman"/>
          <w:lang w:val="pt-BR"/>
        </w:rPr>
        <w:t xml:space="preserve">   </w:t>
      </w:r>
      <w:r>
        <w:rPr>
          <w:rFonts w:hint="eastAsia" w:ascii="Times New Roman" w:hAnsi="Times New Roman" w:eastAsia="宋体" w:cs="Times New Roman"/>
          <w:lang w:val="pt-BR"/>
        </w:rPr>
        <w:t>项目与《河南省电镀项目审查审批原则》相符性分析</w:t>
      </w:r>
    </w:p>
    <w:tbl>
      <w:tblPr>
        <w:tblStyle w:val="4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754"/>
        <w:gridCol w:w="3068"/>
        <w:gridCol w:w="747"/>
      </w:tblGrid>
      <w:tr w14:paraId="22F5DB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62" w:type="pct"/>
            <w:vAlign w:val="center"/>
          </w:tcPr>
          <w:p w14:paraId="7505F115">
            <w:pPr>
              <w:pStyle w:val="81"/>
              <w:rPr>
                <w:color w:val="auto"/>
              </w:rPr>
            </w:pPr>
            <w:r>
              <w:rPr>
                <w:rFonts w:hint="eastAsia"/>
                <w:color w:val="auto"/>
              </w:rPr>
              <w:t>类别</w:t>
            </w:r>
          </w:p>
        </w:tc>
        <w:tc>
          <w:tcPr>
            <w:tcW w:w="2200" w:type="pct"/>
            <w:vAlign w:val="center"/>
          </w:tcPr>
          <w:p w14:paraId="7FFEB8AC">
            <w:pPr>
              <w:pStyle w:val="81"/>
              <w:rPr>
                <w:color w:val="auto"/>
              </w:rPr>
            </w:pPr>
            <w:r>
              <w:rPr>
                <w:rFonts w:hint="eastAsia"/>
                <w:color w:val="auto"/>
              </w:rPr>
              <w:t>主要要求</w:t>
            </w:r>
          </w:p>
        </w:tc>
        <w:tc>
          <w:tcPr>
            <w:tcW w:w="1798" w:type="pct"/>
            <w:vAlign w:val="center"/>
          </w:tcPr>
          <w:p w14:paraId="69FF9D09">
            <w:pPr>
              <w:pStyle w:val="81"/>
              <w:rPr>
                <w:color w:val="auto"/>
              </w:rPr>
            </w:pPr>
            <w:r>
              <w:rPr>
                <w:rFonts w:hint="eastAsia"/>
                <w:color w:val="auto"/>
              </w:rPr>
              <w:t>本项目情况</w:t>
            </w:r>
          </w:p>
        </w:tc>
        <w:tc>
          <w:tcPr>
            <w:tcW w:w="438" w:type="pct"/>
            <w:vAlign w:val="center"/>
          </w:tcPr>
          <w:p w14:paraId="0E385A88">
            <w:pPr>
              <w:pStyle w:val="81"/>
              <w:rPr>
                <w:color w:val="auto"/>
              </w:rPr>
            </w:pPr>
            <w:r>
              <w:rPr>
                <w:rFonts w:hint="eastAsia"/>
                <w:color w:val="auto"/>
              </w:rPr>
              <w:t>相符性</w:t>
            </w:r>
          </w:p>
        </w:tc>
      </w:tr>
      <w:tr w14:paraId="7D9C65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4CEC5A78">
            <w:pPr>
              <w:pStyle w:val="75"/>
              <w:jc w:val="left"/>
            </w:pPr>
            <w:r>
              <w:rPr>
                <w:rFonts w:hint="eastAsia"/>
              </w:rPr>
              <w:t>一、总体要求</w:t>
            </w:r>
          </w:p>
        </w:tc>
        <w:tc>
          <w:tcPr>
            <w:tcW w:w="2200" w:type="pct"/>
            <w:vAlign w:val="center"/>
          </w:tcPr>
          <w:p w14:paraId="22577A79">
            <w:pPr>
              <w:pStyle w:val="77"/>
              <w:ind w:firstLine="0" w:firstLineChars="0"/>
              <w:jc w:val="left"/>
            </w:pPr>
            <w:r>
              <w:rPr>
                <w:rFonts w:hint="eastAsia"/>
              </w:rPr>
              <w:t>电镀项目应严格执行《产业结构调整指导目录（2019年本）》及2021修改单和《电镀污染物排放标准》（GB21900-2008）的相关要求。</w:t>
            </w:r>
          </w:p>
        </w:tc>
        <w:tc>
          <w:tcPr>
            <w:tcW w:w="1798" w:type="pct"/>
            <w:vAlign w:val="center"/>
          </w:tcPr>
          <w:p w14:paraId="1102355F">
            <w:pPr>
              <w:pStyle w:val="77"/>
              <w:ind w:firstLine="0" w:firstLineChars="0"/>
              <w:jc w:val="left"/>
            </w:pPr>
            <w:r>
              <w:rPr>
                <w:rFonts w:hint="eastAsia"/>
              </w:rPr>
              <w:t>本项目建设将严格执行《产业结构调整指导目录（2024年本）》和《电镀污染物排放标准》（GB21900-2008）相关要求。</w:t>
            </w:r>
          </w:p>
        </w:tc>
        <w:tc>
          <w:tcPr>
            <w:tcW w:w="438" w:type="pct"/>
            <w:vAlign w:val="center"/>
          </w:tcPr>
          <w:p w14:paraId="1CC646F2">
            <w:pPr>
              <w:pStyle w:val="75"/>
            </w:pPr>
            <w:r>
              <w:rPr>
                <w:rFonts w:hint="eastAsia"/>
              </w:rPr>
              <w:t>相符</w:t>
            </w:r>
          </w:p>
        </w:tc>
      </w:tr>
      <w:tr w14:paraId="660B58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73F5FE7B">
            <w:pPr>
              <w:pStyle w:val="75"/>
              <w:jc w:val="left"/>
            </w:pPr>
            <w:r>
              <w:rPr>
                <w:rFonts w:hint="eastAsia"/>
              </w:rPr>
              <w:t>二、环境质量要求</w:t>
            </w:r>
          </w:p>
        </w:tc>
        <w:tc>
          <w:tcPr>
            <w:tcW w:w="2200" w:type="pct"/>
            <w:vAlign w:val="center"/>
          </w:tcPr>
          <w:p w14:paraId="3F30A41A">
            <w:pPr>
              <w:pStyle w:val="77"/>
              <w:ind w:firstLine="0" w:firstLineChars="0"/>
              <w:jc w:val="left"/>
            </w:pPr>
            <w:r>
              <w:rPr>
                <w:rFonts w:hint="eastAsia"/>
              </w:rPr>
              <w:t>环境质量现状满足环境功能区划和环境质量目标要求的区域，项目实施后环境质量仍满足相关要求；环境质量现状不能满足要求的区域，应通过强化项目污染防治措施，并提出有效的区域削减措施，改善区域环境质量。</w:t>
            </w:r>
          </w:p>
        </w:tc>
        <w:tc>
          <w:tcPr>
            <w:tcW w:w="1798" w:type="pct"/>
            <w:vAlign w:val="center"/>
          </w:tcPr>
          <w:p w14:paraId="4814572E">
            <w:pPr>
              <w:pStyle w:val="77"/>
              <w:ind w:firstLine="0" w:firstLineChars="0"/>
              <w:jc w:val="left"/>
            </w:pPr>
            <w:r>
              <w:rPr>
                <w:rFonts w:hint="eastAsia"/>
              </w:rPr>
              <w:t>本项目所在区域大气环境质量现状不能满足环境功能区的要求，项目建设将加强污染防治措施，减少污染物排放，减少项目建设对环境造成影响。</w:t>
            </w:r>
          </w:p>
        </w:tc>
        <w:tc>
          <w:tcPr>
            <w:tcW w:w="438" w:type="pct"/>
            <w:vAlign w:val="center"/>
          </w:tcPr>
          <w:p w14:paraId="4F616277">
            <w:pPr>
              <w:pStyle w:val="75"/>
            </w:pPr>
            <w:r>
              <w:rPr>
                <w:rFonts w:hint="eastAsia"/>
              </w:rPr>
              <w:t>相符</w:t>
            </w:r>
          </w:p>
        </w:tc>
      </w:tr>
      <w:tr w14:paraId="0606E0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5C4F2E92">
            <w:pPr>
              <w:pStyle w:val="75"/>
              <w:jc w:val="left"/>
            </w:pPr>
            <w:r>
              <w:rPr>
                <w:rFonts w:hint="eastAsia"/>
              </w:rPr>
              <w:t>三、建设布局要求</w:t>
            </w:r>
          </w:p>
        </w:tc>
        <w:tc>
          <w:tcPr>
            <w:tcW w:w="2200" w:type="pct"/>
            <w:vAlign w:val="center"/>
          </w:tcPr>
          <w:p w14:paraId="64BA6B7B">
            <w:pPr>
              <w:pStyle w:val="77"/>
              <w:ind w:firstLine="0" w:firstLineChars="0"/>
              <w:jc w:val="left"/>
            </w:pPr>
            <w:r>
              <w:rPr>
                <w:rFonts w:hint="eastAsia"/>
              </w:rPr>
              <w:t>新建（改、扩建）电镀项目应符合国家和地方的主体功能区规划、生态环境保护规划、城市总体规划、土地利用规划、“三线一单”生态环境分区管控和环境目标等相关要求，新建电镀项目应建设在污水集中处理等环保基础设施齐备的产业集聚区或专业园区，并符合园区发展规划及规划环境影响评价要求。</w:t>
            </w:r>
          </w:p>
          <w:p w14:paraId="5EBA42B8">
            <w:pPr>
              <w:pStyle w:val="77"/>
              <w:ind w:firstLine="0" w:firstLineChars="0"/>
              <w:jc w:val="left"/>
            </w:pPr>
            <w:r>
              <w:rPr>
                <w:rFonts w:hint="eastAsia"/>
              </w:rPr>
              <w:t>电镀项目应满足我省及当地重金属污染控制要求，重金属排放指标实行区域减量替代。</w:t>
            </w:r>
          </w:p>
        </w:tc>
        <w:tc>
          <w:tcPr>
            <w:tcW w:w="1798" w:type="pct"/>
            <w:vAlign w:val="center"/>
          </w:tcPr>
          <w:p w14:paraId="42914727">
            <w:pPr>
              <w:pStyle w:val="77"/>
              <w:ind w:firstLine="0" w:firstLineChars="0"/>
              <w:jc w:val="left"/>
              <w:rPr>
                <w:rFonts w:hint="eastAsia"/>
              </w:rPr>
            </w:pPr>
            <w:r>
              <w:rPr>
                <w:rFonts w:hint="eastAsia"/>
              </w:rPr>
              <w:t>本项目为新建项目，</w:t>
            </w:r>
            <w:r>
              <w:rPr>
                <w:rFonts w:hint="eastAsia"/>
                <w:lang w:val="en-US" w:eastAsia="zh-CN"/>
              </w:rPr>
              <w:t>建设地点位于</w:t>
            </w:r>
            <w:r>
              <w:rPr>
                <w:rFonts w:hint="eastAsia"/>
              </w:rPr>
              <w:t>获嘉县产业集聚区北区</w:t>
            </w:r>
            <w:r>
              <w:rPr>
                <w:rFonts w:hint="eastAsia"/>
                <w:lang w:val="en-US" w:eastAsia="zh-CN"/>
              </w:rPr>
              <w:t>范围内</w:t>
            </w:r>
            <w:r>
              <w:rPr>
                <w:rFonts w:hint="eastAsia"/>
              </w:rPr>
              <w:t>，符合主体功能区规划、生态环境保护规划、城市总体规划、土地利用规划、“三线一单”生态环境分区管控和环境目标的相关要求。该园区属于环保基础设施配套齐全的；本项目符合园区发展规划及规划环境影响评价要求。</w:t>
            </w:r>
          </w:p>
          <w:p w14:paraId="1DFDA966">
            <w:pPr>
              <w:pStyle w:val="77"/>
              <w:ind w:firstLine="0" w:firstLineChars="0"/>
              <w:jc w:val="left"/>
            </w:pPr>
            <w:r>
              <w:rPr>
                <w:rFonts w:hint="eastAsia"/>
              </w:rPr>
              <w:t>本项目属于</w:t>
            </w:r>
            <w:r>
              <w:rPr>
                <w:rFonts w:hint="eastAsia"/>
                <w:lang w:val="en-US" w:eastAsia="zh-CN"/>
              </w:rPr>
              <w:t>电池制造</w:t>
            </w:r>
            <w:r>
              <w:rPr>
                <w:rFonts w:hint="eastAsia"/>
              </w:rPr>
              <w:t>，</w:t>
            </w:r>
            <w:r>
              <w:rPr>
                <w:rFonts w:hint="eastAsia"/>
                <w:lang w:val="en-US" w:eastAsia="zh-CN"/>
              </w:rPr>
              <w:t>涉及电镀工艺，</w:t>
            </w:r>
            <w:r>
              <w:rPr>
                <w:rFonts w:hint="eastAsia"/>
              </w:rPr>
              <w:t>项目建设完成后不涉及重金属排放</w:t>
            </w:r>
            <w:r>
              <w:rPr>
                <w:rFonts w:hint="eastAsia"/>
                <w:lang w:eastAsia="zh-CN"/>
              </w:rPr>
              <w:t>，</w:t>
            </w:r>
            <w:r>
              <w:rPr>
                <w:rFonts w:hint="eastAsia"/>
                <w:lang w:val="en-US" w:eastAsia="zh-CN"/>
              </w:rPr>
              <w:t>因此</w:t>
            </w:r>
            <w:r>
              <w:rPr>
                <w:rFonts w:hint="eastAsia"/>
              </w:rPr>
              <w:t>不涉及重金属总量指标。</w:t>
            </w:r>
          </w:p>
        </w:tc>
        <w:tc>
          <w:tcPr>
            <w:tcW w:w="438" w:type="pct"/>
            <w:vAlign w:val="center"/>
          </w:tcPr>
          <w:p w14:paraId="27586AD3">
            <w:pPr>
              <w:pStyle w:val="75"/>
            </w:pPr>
            <w:r>
              <w:rPr>
                <w:rFonts w:hint="eastAsia"/>
              </w:rPr>
              <w:t>相符</w:t>
            </w:r>
          </w:p>
        </w:tc>
      </w:tr>
      <w:tr w14:paraId="7C6838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50CDD319">
            <w:pPr>
              <w:pStyle w:val="75"/>
              <w:jc w:val="left"/>
            </w:pPr>
            <w:r>
              <w:rPr>
                <w:rFonts w:hint="eastAsia"/>
              </w:rPr>
              <w:t>四、工艺装备要求</w:t>
            </w:r>
          </w:p>
        </w:tc>
        <w:tc>
          <w:tcPr>
            <w:tcW w:w="2200" w:type="pct"/>
            <w:vAlign w:val="center"/>
          </w:tcPr>
          <w:p w14:paraId="03283C67">
            <w:pPr>
              <w:pStyle w:val="77"/>
              <w:ind w:firstLine="0" w:firstLineChars="0"/>
              <w:jc w:val="left"/>
            </w:pPr>
            <w:r>
              <w:rPr>
                <w:rFonts w:hint="eastAsia"/>
              </w:rPr>
              <w:t>除在技术上不能实现自动控制的复杂结构件等有特殊要求的电镀外，电镀项目应采用自动化电镀生产线。</w:t>
            </w:r>
          </w:p>
        </w:tc>
        <w:tc>
          <w:tcPr>
            <w:tcW w:w="1798" w:type="pct"/>
            <w:vAlign w:val="center"/>
          </w:tcPr>
          <w:p w14:paraId="39A1F87C">
            <w:pPr>
              <w:pStyle w:val="77"/>
              <w:ind w:firstLine="0" w:firstLineChars="0"/>
              <w:jc w:val="left"/>
            </w:pPr>
            <w:r>
              <w:rPr>
                <w:rFonts w:hint="eastAsia"/>
              </w:rPr>
              <w:t>本项目</w:t>
            </w:r>
            <w:r>
              <w:rPr>
                <w:rFonts w:hint="eastAsia"/>
                <w:lang w:val="en-US" w:eastAsia="zh-CN"/>
              </w:rPr>
              <w:t>均</w:t>
            </w:r>
            <w:r>
              <w:rPr>
                <w:rFonts w:hint="eastAsia"/>
              </w:rPr>
              <w:t>采用自动化电镀生产线。</w:t>
            </w:r>
          </w:p>
        </w:tc>
        <w:tc>
          <w:tcPr>
            <w:tcW w:w="438" w:type="pct"/>
            <w:vAlign w:val="center"/>
          </w:tcPr>
          <w:p w14:paraId="15C68851">
            <w:pPr>
              <w:pStyle w:val="75"/>
            </w:pPr>
            <w:r>
              <w:rPr>
                <w:rFonts w:hint="eastAsia"/>
              </w:rPr>
              <w:t>相符</w:t>
            </w:r>
          </w:p>
        </w:tc>
      </w:tr>
      <w:tr w14:paraId="0A3673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45536053">
            <w:pPr>
              <w:pStyle w:val="75"/>
              <w:jc w:val="left"/>
            </w:pPr>
            <w:r>
              <w:rPr>
                <w:rFonts w:hint="eastAsia"/>
              </w:rPr>
              <w:t>五、清洁生产要求</w:t>
            </w:r>
          </w:p>
        </w:tc>
        <w:tc>
          <w:tcPr>
            <w:tcW w:w="2200" w:type="pct"/>
            <w:vAlign w:val="center"/>
          </w:tcPr>
          <w:p w14:paraId="2AA32665">
            <w:pPr>
              <w:pStyle w:val="77"/>
              <w:ind w:firstLine="0" w:firstLineChars="0"/>
              <w:jc w:val="left"/>
            </w:pPr>
            <w:r>
              <w:rPr>
                <w:rFonts w:hint="eastAsia"/>
              </w:rPr>
              <w:t>新建、扩建的电镀项目原则上应达到《电镀行业清洁生产评价指标体系》（国家发改委、环保部、工信部公告2015年第25号）综合评价指数</w:t>
            </w:r>
            <w:r>
              <w:t>Ⅰ</w:t>
            </w:r>
            <w:r>
              <w:rPr>
                <w:rFonts w:hint="eastAsia"/>
              </w:rPr>
              <w:t>级要求。</w:t>
            </w:r>
          </w:p>
        </w:tc>
        <w:tc>
          <w:tcPr>
            <w:tcW w:w="1798" w:type="pct"/>
            <w:vAlign w:val="center"/>
          </w:tcPr>
          <w:p w14:paraId="5004CD27">
            <w:pPr>
              <w:pStyle w:val="77"/>
              <w:ind w:firstLine="0" w:firstLineChars="0"/>
              <w:jc w:val="left"/>
            </w:pPr>
            <w:r>
              <w:rPr>
                <w:rFonts w:hint="eastAsia"/>
              </w:rPr>
              <w:t>本项目指标能达到《电镀行业清洁生产评价指标体系》（国家发改委、环保部、工信部公告2015年第25号）综合评价指数</w:t>
            </w:r>
            <w:r>
              <w:t>Ⅰ</w:t>
            </w:r>
            <w:r>
              <w:rPr>
                <w:rFonts w:hint="eastAsia"/>
              </w:rPr>
              <w:t>级要求。</w:t>
            </w:r>
          </w:p>
        </w:tc>
        <w:tc>
          <w:tcPr>
            <w:tcW w:w="438" w:type="pct"/>
            <w:vAlign w:val="center"/>
          </w:tcPr>
          <w:p w14:paraId="633F308D">
            <w:pPr>
              <w:pStyle w:val="75"/>
            </w:pPr>
            <w:r>
              <w:rPr>
                <w:rFonts w:hint="eastAsia"/>
              </w:rPr>
              <w:t>相符</w:t>
            </w:r>
          </w:p>
        </w:tc>
      </w:tr>
      <w:tr w14:paraId="619AED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6606675A">
            <w:pPr>
              <w:pStyle w:val="75"/>
              <w:jc w:val="left"/>
            </w:pPr>
            <w:r>
              <w:rPr>
                <w:rFonts w:hint="eastAsia"/>
              </w:rPr>
              <w:t>六、大气污染防治要求</w:t>
            </w:r>
          </w:p>
        </w:tc>
        <w:tc>
          <w:tcPr>
            <w:tcW w:w="2200" w:type="pct"/>
            <w:vAlign w:val="center"/>
          </w:tcPr>
          <w:p w14:paraId="1EB7D1A5">
            <w:pPr>
              <w:pStyle w:val="77"/>
              <w:ind w:firstLine="0" w:firstLineChars="0"/>
              <w:jc w:val="left"/>
            </w:pPr>
            <w:r>
              <w:rPr>
                <w:rFonts w:hint="eastAsia"/>
              </w:rPr>
              <w:t>电镀项目产生大气污染物的生产工艺装置应设立局部气体收集系统和净化处理装置。原则上电镀生产线应密闭设置，采用上吸式或侧吸式集气罩收集电镀废气，经处理后应满足《电镀污染物排放标准》（GB21900）中表5要求。</w:t>
            </w:r>
          </w:p>
          <w:p w14:paraId="0CF27AA4">
            <w:pPr>
              <w:pStyle w:val="77"/>
              <w:ind w:firstLine="0" w:firstLineChars="0"/>
              <w:jc w:val="left"/>
            </w:pPr>
            <w:r>
              <w:rPr>
                <w:rFonts w:hint="eastAsia"/>
              </w:rPr>
              <w:t>电镀项目供热原则上采用区域集中供热，暂不具备集中供热条件的，自备锅炉应采用天然气、电等清洁能源，锅炉废气排放应满足《锅炉大气污染物排放标准》（DB41/2089）要求及我省大气污染防治的管理要求。</w:t>
            </w:r>
          </w:p>
        </w:tc>
        <w:tc>
          <w:tcPr>
            <w:tcW w:w="1798" w:type="pct"/>
            <w:vAlign w:val="center"/>
          </w:tcPr>
          <w:p w14:paraId="4D5794EF">
            <w:pPr>
              <w:pStyle w:val="77"/>
              <w:ind w:firstLine="0" w:firstLineChars="0"/>
              <w:jc w:val="left"/>
            </w:pPr>
            <w:r>
              <w:rPr>
                <w:rFonts w:hint="eastAsia"/>
              </w:rPr>
              <w:t>本项目对电镀生产线进行密闭处理，整体密闭抽风、槽边抽风装置收集废气，废气经处理后满足《电镀污染物排放标准》（GB21900-2018）中表5要求。</w:t>
            </w:r>
          </w:p>
          <w:p w14:paraId="33F966DF">
            <w:pPr>
              <w:pStyle w:val="77"/>
              <w:ind w:firstLine="0" w:firstLineChars="0"/>
              <w:jc w:val="left"/>
            </w:pPr>
            <w:r>
              <w:rPr>
                <w:rFonts w:hint="eastAsia"/>
              </w:rPr>
              <w:t>本项目所在的园区区域暂未</w:t>
            </w:r>
            <w:r>
              <w:rPr>
                <w:rFonts w:hint="eastAsia"/>
                <w:lang w:val="en-US" w:eastAsia="zh-CN"/>
              </w:rPr>
              <w:t>实现集中供热</w:t>
            </w:r>
            <w:r>
              <w:rPr>
                <w:rFonts w:hint="eastAsia"/>
              </w:rPr>
              <w:t>，因此新建</w:t>
            </w:r>
            <w:r>
              <w:rPr>
                <w:rFonts w:hint="eastAsia"/>
                <w:lang w:val="en-US" w:eastAsia="zh-CN"/>
              </w:rPr>
              <w:t>3</w:t>
            </w:r>
            <w:r>
              <w:rPr>
                <w:rFonts w:hint="eastAsia"/>
              </w:rPr>
              <w:t>台</w:t>
            </w:r>
            <w:r>
              <w:rPr>
                <w:rFonts w:hint="eastAsia"/>
                <w:lang w:val="en-US" w:eastAsia="zh-CN"/>
              </w:rPr>
              <w:t>0.9</w:t>
            </w:r>
            <w:r>
              <w:t>t/h</w:t>
            </w:r>
            <w:r>
              <w:rPr>
                <w:rFonts w:hint="eastAsia"/>
              </w:rPr>
              <w:t>的</w:t>
            </w:r>
            <w:r>
              <w:rPr>
                <w:rFonts w:hint="eastAsia"/>
                <w:lang w:val="en-US" w:eastAsia="zh-CN"/>
              </w:rPr>
              <w:t>电蒸汽发生器</w:t>
            </w:r>
            <w:r>
              <w:rPr>
                <w:rFonts w:hint="eastAsia"/>
              </w:rPr>
              <w:t>用于生产线供热，</w:t>
            </w:r>
            <w:r>
              <w:rPr>
                <w:rFonts w:hint="eastAsia"/>
                <w:lang w:val="en-US" w:eastAsia="zh-CN"/>
              </w:rPr>
              <w:t>不产生废气污染物</w:t>
            </w:r>
            <w:r>
              <w:rPr>
                <w:rFonts w:hint="eastAsia"/>
              </w:rPr>
              <w:t>；待管网铺设完成后，</w:t>
            </w:r>
            <w:r>
              <w:rPr>
                <w:rFonts w:hint="eastAsia"/>
                <w:lang w:val="en-US" w:eastAsia="zh-CN"/>
              </w:rPr>
              <w:t>蒸汽发生器</w:t>
            </w:r>
            <w:r>
              <w:rPr>
                <w:rFonts w:hint="eastAsia"/>
              </w:rPr>
              <w:t>作为备用。</w:t>
            </w:r>
          </w:p>
        </w:tc>
        <w:tc>
          <w:tcPr>
            <w:tcW w:w="438" w:type="pct"/>
            <w:vAlign w:val="center"/>
          </w:tcPr>
          <w:p w14:paraId="01EC4EE2">
            <w:pPr>
              <w:pStyle w:val="75"/>
            </w:pPr>
            <w:r>
              <w:rPr>
                <w:rFonts w:hint="eastAsia"/>
              </w:rPr>
              <w:t>相符</w:t>
            </w:r>
          </w:p>
        </w:tc>
      </w:tr>
      <w:tr w14:paraId="04C378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0F9E9FD7">
            <w:pPr>
              <w:pStyle w:val="75"/>
              <w:jc w:val="left"/>
            </w:pPr>
            <w:r>
              <w:rPr>
                <w:rFonts w:hint="eastAsia"/>
              </w:rPr>
              <w:t>七、水污染防治要求</w:t>
            </w:r>
          </w:p>
        </w:tc>
        <w:tc>
          <w:tcPr>
            <w:tcW w:w="2200" w:type="pct"/>
            <w:vAlign w:val="center"/>
          </w:tcPr>
          <w:p w14:paraId="5366A61D">
            <w:pPr>
              <w:pStyle w:val="77"/>
              <w:ind w:firstLine="0" w:firstLineChars="0"/>
              <w:jc w:val="left"/>
            </w:pPr>
            <w:r>
              <w:rPr>
                <w:rFonts w:hint="eastAsia"/>
              </w:rPr>
              <w:t>按照“雨污分流、清污分流、污污分治、深度处理、分质回用”的原则，设计全厂排水系统及废水处理处置方案。电镀企业应推行电镀废水分类收集、分质处理，含氰废水、含铬（六价）废水、含配位化合物废水须单独收集、单独预处理后才可排入电镀混合废水处理系统进一步处理，非电镀废水不得混入电镀废水处理系统。</w:t>
            </w:r>
          </w:p>
          <w:p w14:paraId="23FF8A6B">
            <w:pPr>
              <w:pStyle w:val="77"/>
              <w:ind w:firstLine="0" w:firstLineChars="0"/>
              <w:jc w:val="left"/>
            </w:pPr>
            <w:r>
              <w:rPr>
                <w:rFonts w:hint="eastAsia"/>
              </w:rPr>
              <w:t>镀铬、镍、铅、镉的电镀工段废水（包括含铬钝化、镍封、退镀工序等）及相应清洗废水应全部回用，实施零排放；其他废水经厂内污水处理设施处理后尽可能回用，优先回用于清洗等水质要求不高的工段。外排废水原则上应纳入区域废水集中处理厂处理，现有企业改扩建且废水确不具备排入区域集中污水处理厂须排入外环境的，应满足地方流域污染物排放标准、《电镀污染物排放标准》（GB21900）排放限值要求及水环境目标要求，并规范化设置入河排污口，履行入河排污口审核程序，规模以上排污口应设置视频监控系统。</w:t>
            </w:r>
          </w:p>
        </w:tc>
        <w:tc>
          <w:tcPr>
            <w:tcW w:w="1798" w:type="pct"/>
            <w:vAlign w:val="center"/>
          </w:tcPr>
          <w:p w14:paraId="1D6DE338">
            <w:pPr>
              <w:pStyle w:val="77"/>
              <w:ind w:firstLine="0" w:firstLineChars="0"/>
              <w:jc w:val="left"/>
            </w:pPr>
            <w:r>
              <w:rPr>
                <w:rFonts w:hint="eastAsia"/>
              </w:rPr>
              <w:t>本项目排水系统及废水处理处置方案按照“雨污分流、清污分流、污污分治、深度处理、分质回用”的原则，非电镀车间废水不混入电镀废水处理系统。厂区设含镍废水处理系统、含铬废水处理系统、综合废水处理系统，对生产废水分类处理。</w:t>
            </w:r>
          </w:p>
          <w:p w14:paraId="1BB2A59A">
            <w:pPr>
              <w:pStyle w:val="77"/>
              <w:ind w:firstLine="0" w:firstLineChars="0"/>
              <w:jc w:val="left"/>
            </w:pPr>
            <w:r>
              <w:rPr>
                <w:rFonts w:hint="eastAsia"/>
              </w:rPr>
              <w:t>本项目含重点控制重金属镍、铬的电镀废水全部回用，实施零排放；其他废水经厂内污水处理设施处理后排放。外排废水</w:t>
            </w:r>
            <w:r>
              <w:rPr>
                <w:rFonts w:hint="eastAsia"/>
                <w:lang w:val="en-US" w:eastAsia="zh-CN"/>
              </w:rPr>
              <w:t>排入获嘉县同盟污水处理厂处理</w:t>
            </w:r>
            <w:r>
              <w:rPr>
                <w:rFonts w:hint="eastAsia"/>
              </w:rPr>
              <w:t>，排放满足相关流域标准及《电镀污染物排放标准》（GB21900-2008）并满足我省及当地重金属污染控制要求。</w:t>
            </w:r>
          </w:p>
        </w:tc>
        <w:tc>
          <w:tcPr>
            <w:tcW w:w="438" w:type="pct"/>
            <w:vAlign w:val="center"/>
          </w:tcPr>
          <w:p w14:paraId="2F87B8A6">
            <w:pPr>
              <w:pStyle w:val="75"/>
            </w:pPr>
            <w:r>
              <w:rPr>
                <w:rFonts w:hint="eastAsia"/>
              </w:rPr>
              <w:t>相符</w:t>
            </w:r>
          </w:p>
        </w:tc>
      </w:tr>
      <w:tr w14:paraId="67460B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59F35357">
            <w:pPr>
              <w:pStyle w:val="75"/>
              <w:jc w:val="left"/>
            </w:pPr>
            <w:r>
              <w:rPr>
                <w:rFonts w:hint="eastAsia"/>
              </w:rPr>
              <w:t>八、土壤污染防治要求</w:t>
            </w:r>
          </w:p>
        </w:tc>
        <w:tc>
          <w:tcPr>
            <w:tcW w:w="2200" w:type="pct"/>
            <w:vAlign w:val="center"/>
          </w:tcPr>
          <w:p w14:paraId="66D12651">
            <w:pPr>
              <w:pStyle w:val="77"/>
              <w:ind w:firstLine="0" w:firstLineChars="0"/>
              <w:jc w:val="left"/>
            </w:pPr>
            <w:r>
              <w:rPr>
                <w:rFonts w:hint="eastAsia"/>
              </w:rPr>
              <w:t>新建的各类槽体要按照“生产设施不落地”原则进行建设，生产线应有槽液回收、逆流漂洗及必要的喷淋装置，并使用托盘、围堰等设施，防止生产过程中废水、镀液滴落地面。从事电镀作业的生产厂房、地面、生产设施必须符合《工业建筑防腐蚀设计规范》（GB50046）的要求，车间内实行干湿区分离，湿区地面应敷设网格板，湿镀件上下挂具作业必须在湿区内进行。车间地坪自下而上至少设垫层、防水层和防腐层三层。项目工艺废水管线按可视、可控原则排布，应采取地上明渠明管或架空敷设，废水管道应满足防腐、防渗漏要求，生产装置、罐区等易污染区地面应进行防渗处理，从源头预防土壤环境污染。</w:t>
            </w:r>
          </w:p>
        </w:tc>
        <w:tc>
          <w:tcPr>
            <w:tcW w:w="1798" w:type="pct"/>
            <w:vAlign w:val="center"/>
          </w:tcPr>
          <w:p w14:paraId="00B7D8FB">
            <w:pPr>
              <w:pStyle w:val="77"/>
              <w:ind w:firstLine="0" w:firstLineChars="0"/>
              <w:jc w:val="left"/>
            </w:pPr>
            <w:r>
              <w:rPr>
                <w:rFonts w:hint="eastAsia"/>
              </w:rPr>
              <w:t>本项目电镀生产线各类槽体按照“生产设施不落地”原则进行建设，生产线有槽液回收和逆流漂洗装置，并使用托盘、围堰等设施，防止生产过程中废水、镀液滴落地面。从事电镀作业的生产厂房、地面、生产设施符合《工业建筑防腐蚀设计规范》（GB50046-2008）的要求，车间内实行干湿区分离，湿区地面敷设网格板。车间地坪自下而上含垫层、防水层和防腐层。项目工艺废水管线采取地上明渠明管或架空敷设，废水管道能够满足防腐、防渗漏要求，生产装置、污水处理站、事故池和固废间等易污染区地面进行防渗处理。</w:t>
            </w:r>
          </w:p>
        </w:tc>
        <w:tc>
          <w:tcPr>
            <w:tcW w:w="438" w:type="pct"/>
            <w:vAlign w:val="center"/>
          </w:tcPr>
          <w:p w14:paraId="280BC9B6">
            <w:pPr>
              <w:pStyle w:val="75"/>
            </w:pPr>
            <w:r>
              <w:rPr>
                <w:rFonts w:hint="eastAsia"/>
              </w:rPr>
              <w:t>相符</w:t>
            </w:r>
          </w:p>
        </w:tc>
      </w:tr>
      <w:tr w14:paraId="0A09BE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052AB48A">
            <w:pPr>
              <w:pStyle w:val="75"/>
              <w:jc w:val="left"/>
            </w:pPr>
            <w:r>
              <w:rPr>
                <w:rFonts w:hint="eastAsia"/>
              </w:rPr>
              <w:t>九、固体废物污染防治要求</w:t>
            </w:r>
          </w:p>
        </w:tc>
        <w:tc>
          <w:tcPr>
            <w:tcW w:w="2200" w:type="pct"/>
            <w:vAlign w:val="center"/>
          </w:tcPr>
          <w:p w14:paraId="525CCDED">
            <w:pPr>
              <w:pStyle w:val="77"/>
              <w:ind w:firstLine="0" w:firstLineChars="0"/>
              <w:jc w:val="left"/>
            </w:pPr>
            <w:r>
              <w:rPr>
                <w:rFonts w:hint="eastAsia"/>
              </w:rPr>
              <w:t>按照“减量化、资源化、无害化”的原则，对固体废物妥善处置。镀槽废液、废渣及废水处理站污泥等危险废物应由有资质的单位进行处置，转移处置应遵守国家和河南省相关规定。危险废物厂区内临时贮存设施应符合《危险废物贮存污染控制标准》（GB18597）要求。</w:t>
            </w:r>
          </w:p>
        </w:tc>
        <w:tc>
          <w:tcPr>
            <w:tcW w:w="1798" w:type="pct"/>
            <w:vAlign w:val="center"/>
          </w:tcPr>
          <w:p w14:paraId="4D54D4FD">
            <w:pPr>
              <w:pStyle w:val="77"/>
              <w:ind w:firstLine="0" w:firstLineChars="0"/>
              <w:jc w:val="left"/>
            </w:pPr>
            <w:r>
              <w:rPr>
                <w:rFonts w:hint="eastAsia"/>
              </w:rPr>
              <w:t>本项目按照“减量化、资源化、无害化”的原则，对固体废物妥善处置。镀槽废液、废渣及废水处理站污泥等危险废物由有资质的单位进行处置，转移处置遵守国家和河南省相关规定。危险废物厂区内临时贮存设施符合《危险废物贮存污染控制标准》（GB18597-2023）的要求。</w:t>
            </w:r>
          </w:p>
        </w:tc>
        <w:tc>
          <w:tcPr>
            <w:tcW w:w="438" w:type="pct"/>
            <w:vAlign w:val="center"/>
          </w:tcPr>
          <w:p w14:paraId="4A7BCA39">
            <w:pPr>
              <w:pStyle w:val="75"/>
            </w:pPr>
            <w:r>
              <w:rPr>
                <w:rFonts w:hint="eastAsia"/>
              </w:rPr>
              <w:t>相符</w:t>
            </w:r>
          </w:p>
        </w:tc>
      </w:tr>
      <w:tr w14:paraId="28A24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32D0C904">
            <w:pPr>
              <w:pStyle w:val="75"/>
              <w:jc w:val="left"/>
            </w:pPr>
            <w:r>
              <w:rPr>
                <w:rFonts w:hint="eastAsia"/>
              </w:rPr>
              <w:t>十、环境风险防范要求</w:t>
            </w:r>
          </w:p>
        </w:tc>
        <w:tc>
          <w:tcPr>
            <w:tcW w:w="2200" w:type="pct"/>
            <w:vAlign w:val="center"/>
          </w:tcPr>
          <w:p w14:paraId="0EBC790B">
            <w:pPr>
              <w:pStyle w:val="77"/>
              <w:ind w:firstLine="0" w:firstLineChars="0"/>
              <w:jc w:val="left"/>
            </w:pPr>
            <w:r>
              <w:rPr>
                <w:rFonts w:hint="eastAsia"/>
              </w:rPr>
              <w:t>项目应提出有效的环境风险防范和应急措施。项目含有的危险化学品应实行专库储存，危险化学品的运输、储存、使用应符合相关规定；同时加强环境风险防范，设置一定储存能力的初期雨水、事故废水收集池，初期雨水、事故废水须进行有效处置，严禁直接外排；收集池宜采取地下式并布置在厂区地势最低处。</w:t>
            </w:r>
          </w:p>
        </w:tc>
        <w:tc>
          <w:tcPr>
            <w:tcW w:w="1798" w:type="pct"/>
            <w:vAlign w:val="center"/>
          </w:tcPr>
          <w:p w14:paraId="6F7C659F">
            <w:pPr>
              <w:pStyle w:val="77"/>
              <w:ind w:firstLine="0" w:firstLineChars="0"/>
              <w:jc w:val="left"/>
            </w:pPr>
            <w:r>
              <w:rPr>
                <w:rFonts w:hint="eastAsia"/>
              </w:rPr>
              <w:t>本项目有有效的环境风险防范和应急措施。危险化学品实行专库储存，危险化学品的运输、储存、使用需遵照相关规定，同时加强环境风险防范。厂区内设置事故废水收集池，收集池采取地下式并布置在厂区地势最低处。事故废水进行了有效处置，防止废水直接外排。</w:t>
            </w:r>
          </w:p>
        </w:tc>
        <w:tc>
          <w:tcPr>
            <w:tcW w:w="438" w:type="pct"/>
            <w:vAlign w:val="center"/>
          </w:tcPr>
          <w:p w14:paraId="125381AC">
            <w:pPr>
              <w:pStyle w:val="75"/>
            </w:pPr>
            <w:r>
              <w:rPr>
                <w:rFonts w:hint="eastAsia"/>
              </w:rPr>
              <w:t>相符</w:t>
            </w:r>
          </w:p>
        </w:tc>
      </w:tr>
      <w:tr w14:paraId="49753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75C3FA7C">
            <w:pPr>
              <w:pStyle w:val="75"/>
              <w:jc w:val="left"/>
            </w:pPr>
            <w:r>
              <w:rPr>
                <w:rFonts w:hint="eastAsia"/>
              </w:rPr>
              <w:t>十一、公众参与要求</w:t>
            </w:r>
          </w:p>
        </w:tc>
        <w:tc>
          <w:tcPr>
            <w:tcW w:w="2200" w:type="pct"/>
            <w:vAlign w:val="center"/>
          </w:tcPr>
          <w:p w14:paraId="7A6D6D64">
            <w:pPr>
              <w:pStyle w:val="77"/>
              <w:ind w:firstLine="0" w:firstLineChars="0"/>
              <w:jc w:val="left"/>
            </w:pPr>
            <w:r>
              <w:rPr>
                <w:rFonts w:hint="eastAsia"/>
              </w:rPr>
              <w:t>严格按照国家和河南省相关规定开展信息公开和公众参与。</w:t>
            </w:r>
          </w:p>
        </w:tc>
        <w:tc>
          <w:tcPr>
            <w:tcW w:w="1798" w:type="pct"/>
            <w:vAlign w:val="center"/>
          </w:tcPr>
          <w:p w14:paraId="530A8964">
            <w:pPr>
              <w:pStyle w:val="77"/>
              <w:ind w:firstLine="0" w:firstLineChars="0"/>
              <w:jc w:val="left"/>
            </w:pPr>
            <w:r>
              <w:rPr>
                <w:rFonts w:hint="eastAsia"/>
              </w:rPr>
              <w:t>本项目将严格按照国家和河南省相关规定开展信息公开和公众参与。</w:t>
            </w:r>
          </w:p>
        </w:tc>
        <w:tc>
          <w:tcPr>
            <w:tcW w:w="438" w:type="pct"/>
            <w:vAlign w:val="center"/>
          </w:tcPr>
          <w:p w14:paraId="5645A91A">
            <w:pPr>
              <w:pStyle w:val="75"/>
            </w:pPr>
            <w:r>
              <w:rPr>
                <w:rFonts w:hint="eastAsia"/>
              </w:rPr>
              <w:t>相符</w:t>
            </w:r>
          </w:p>
        </w:tc>
      </w:tr>
    </w:tbl>
    <w:p w14:paraId="639DFE3F">
      <w:pPr>
        <w:ind w:firstLine="480"/>
      </w:pPr>
      <w:r>
        <w:rPr>
          <w:rFonts w:hint="eastAsia"/>
        </w:rPr>
        <w:t>由上表可知，本项目符合《河南省电镀建设项目环境影响评价文件审查审批原则(修订)》的相关要求。</w:t>
      </w:r>
    </w:p>
    <w:bookmarkEnd w:id="251"/>
    <w:p w14:paraId="25BFC53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5" w:name="_Toc108122497"/>
      <w:r>
        <w:rPr>
          <w:rFonts w:hint="eastAsia" w:ascii="Times New Roman" w:hAnsi="Times New Roman" w:cs="Times New Roman"/>
          <w:lang w:val="en-US" w:eastAsia="zh-CN"/>
        </w:rPr>
        <w:t>2.11.5新乡市环境污染防治攻坚指挥部办公室关于印发《新乡市2024年蓝天保卫战实施方案》的通知（新环委办〔</w:t>
      </w:r>
      <w:r>
        <w:rPr>
          <w:rFonts w:hint="eastAsia" w:cs="Times New Roman"/>
          <w:lang w:val="en-US" w:eastAsia="zh-CN"/>
        </w:rPr>
        <w:t>2025</w:t>
      </w:r>
      <w:r>
        <w:rPr>
          <w:rFonts w:hint="eastAsia" w:ascii="Times New Roman" w:hAnsi="Times New Roman" w:cs="Times New Roman"/>
          <w:lang w:val="en-US" w:eastAsia="zh-CN"/>
        </w:rPr>
        <w:t>〕</w:t>
      </w:r>
      <w:r>
        <w:rPr>
          <w:rFonts w:hint="eastAsia" w:cs="Times New Roman"/>
          <w:lang w:val="en-US" w:eastAsia="zh-CN"/>
        </w:rPr>
        <w:t>38</w:t>
      </w:r>
      <w:r>
        <w:rPr>
          <w:rFonts w:hint="eastAsia" w:ascii="Times New Roman" w:hAnsi="Times New Roman" w:cs="Times New Roman"/>
          <w:lang w:val="en-US" w:eastAsia="zh-CN"/>
        </w:rPr>
        <w:t>号）相符性分析</w:t>
      </w:r>
      <w:bookmarkEnd w:id="345"/>
    </w:p>
    <w:p w14:paraId="48FD2F23">
      <w:pPr>
        <w:ind w:firstLine="480"/>
      </w:pPr>
      <w:r>
        <w:rPr>
          <w:rFonts w:hint="eastAsia"/>
        </w:rPr>
        <w:t>根据《新乡市</w:t>
      </w:r>
      <w:r>
        <w:rPr>
          <w:rFonts w:hint="eastAsia"/>
          <w:lang w:val="en-US" w:eastAsia="zh-CN"/>
        </w:rPr>
        <w:t>2025</w:t>
      </w:r>
      <w:r>
        <w:rPr>
          <w:rFonts w:hint="eastAsia"/>
        </w:rPr>
        <w:t>年蓝天保卫战实施方案》（新环委办〔</w:t>
      </w:r>
      <w:r>
        <w:rPr>
          <w:rFonts w:hint="eastAsia"/>
          <w:lang w:val="en-US" w:eastAsia="zh-CN"/>
        </w:rPr>
        <w:t>2025</w:t>
      </w:r>
      <w:r>
        <w:rPr>
          <w:rFonts w:hint="eastAsia"/>
        </w:rPr>
        <w:t>〕</w:t>
      </w:r>
      <w:r>
        <w:rPr>
          <w:rFonts w:hint="eastAsia"/>
          <w:lang w:val="en-US" w:eastAsia="zh-CN"/>
        </w:rPr>
        <w:t>38</w:t>
      </w:r>
      <w:r>
        <w:rPr>
          <w:rFonts w:hint="eastAsia"/>
        </w:rPr>
        <w:t>号）的内容，结合本项目的实际情况，与方案中涉及到本项目的内容相符性分析见下表。</w:t>
      </w:r>
    </w:p>
    <w:p w14:paraId="340623FD">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lang w:val="pt-BR"/>
        </w:rPr>
      </w:pPr>
      <w:r>
        <w:rPr>
          <w:rFonts w:hint="eastAsia" w:ascii="Times New Roman" w:hAnsi="Times New Roman" w:eastAsia="宋体" w:cs="Times New Roman"/>
          <w:lang w:val="pt-BR"/>
        </w:rPr>
        <w:t>表</w:t>
      </w:r>
      <w:r>
        <w:rPr>
          <w:rFonts w:hint="eastAsia" w:eastAsia="宋体" w:cs="Times New Roman"/>
          <w:lang w:val="en-US" w:eastAsia="zh-CN"/>
        </w:rPr>
        <w:t>2.11-6</w:t>
      </w:r>
      <w:r>
        <w:rPr>
          <w:rFonts w:hint="eastAsia" w:ascii="Times New Roman" w:hAnsi="Times New Roman" w:eastAsia="宋体" w:cs="Times New Roman"/>
          <w:lang w:val="pt-BR"/>
        </w:rPr>
        <w:t xml:space="preserve">    与《新乡市</w:t>
      </w:r>
      <w:r>
        <w:rPr>
          <w:rFonts w:hint="eastAsia" w:eastAsia="宋体" w:cs="Times New Roman"/>
          <w:lang w:val="en-US" w:eastAsia="zh-CN"/>
        </w:rPr>
        <w:t>2025</w:t>
      </w:r>
      <w:r>
        <w:rPr>
          <w:rFonts w:hint="eastAsia" w:ascii="Times New Roman" w:hAnsi="Times New Roman" w:eastAsia="宋体" w:cs="Times New Roman"/>
          <w:lang w:val="pt-BR"/>
        </w:rPr>
        <w:t>年蓝天保卫战实施方案》对比分析</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4231"/>
        <w:gridCol w:w="2187"/>
        <w:gridCol w:w="953"/>
      </w:tblGrid>
      <w:tr w14:paraId="25F64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8" w:type="pct"/>
            <w:vAlign w:val="center"/>
          </w:tcPr>
          <w:p w14:paraId="12381E08">
            <w:pPr>
              <w:pStyle w:val="81"/>
              <w:rPr>
                <w:rFonts w:hint="eastAsia" w:eastAsia="宋体"/>
                <w:color w:val="auto"/>
                <w:sz w:val="21"/>
                <w:szCs w:val="21"/>
                <w:lang w:eastAsia="zh-CN"/>
              </w:rPr>
            </w:pPr>
            <w:r>
              <w:rPr>
                <w:rFonts w:hint="eastAsia"/>
                <w:color w:val="auto"/>
                <w:sz w:val="21"/>
                <w:szCs w:val="21"/>
                <w:lang w:val="en-US" w:eastAsia="zh-CN"/>
              </w:rPr>
              <w:t>名称</w:t>
            </w:r>
          </w:p>
        </w:tc>
        <w:tc>
          <w:tcPr>
            <w:tcW w:w="2480" w:type="pct"/>
            <w:vAlign w:val="center"/>
          </w:tcPr>
          <w:p w14:paraId="0DE4D96C">
            <w:pPr>
              <w:pStyle w:val="81"/>
              <w:rPr>
                <w:color w:val="auto"/>
                <w:sz w:val="21"/>
                <w:szCs w:val="21"/>
              </w:rPr>
            </w:pPr>
            <w:r>
              <w:rPr>
                <w:rFonts w:hint="eastAsia"/>
                <w:color w:val="auto"/>
                <w:sz w:val="21"/>
                <w:szCs w:val="21"/>
              </w:rPr>
              <w:t>实施方案</w:t>
            </w:r>
          </w:p>
        </w:tc>
        <w:tc>
          <w:tcPr>
            <w:tcW w:w="1282" w:type="pct"/>
            <w:vAlign w:val="center"/>
          </w:tcPr>
          <w:p w14:paraId="1F75C6C6">
            <w:pPr>
              <w:pStyle w:val="81"/>
              <w:rPr>
                <w:color w:val="auto"/>
                <w:sz w:val="21"/>
                <w:szCs w:val="21"/>
              </w:rPr>
            </w:pPr>
            <w:r>
              <w:rPr>
                <w:rFonts w:hint="eastAsia"/>
                <w:color w:val="auto"/>
                <w:sz w:val="21"/>
                <w:szCs w:val="21"/>
              </w:rPr>
              <w:t>本项目建设情况</w:t>
            </w:r>
          </w:p>
        </w:tc>
        <w:tc>
          <w:tcPr>
            <w:tcW w:w="558" w:type="pct"/>
            <w:vAlign w:val="center"/>
          </w:tcPr>
          <w:p w14:paraId="045758CC">
            <w:pPr>
              <w:pStyle w:val="81"/>
              <w:rPr>
                <w:color w:val="auto"/>
                <w:sz w:val="21"/>
                <w:szCs w:val="21"/>
              </w:rPr>
            </w:pPr>
            <w:r>
              <w:rPr>
                <w:rFonts w:hint="eastAsia"/>
                <w:color w:val="auto"/>
                <w:sz w:val="21"/>
                <w:szCs w:val="21"/>
              </w:rPr>
              <w:t>符合性</w:t>
            </w:r>
          </w:p>
        </w:tc>
      </w:tr>
      <w:tr w14:paraId="46202A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8" w:type="pct"/>
            <w:vAlign w:val="center"/>
          </w:tcPr>
          <w:p w14:paraId="134B4B41">
            <w:pPr>
              <w:pStyle w:val="75"/>
              <w:jc w:val="both"/>
              <w:rPr>
                <w:sz w:val="21"/>
                <w:szCs w:val="21"/>
              </w:rPr>
            </w:pPr>
            <w:r>
              <w:rPr>
                <w:rFonts w:hint="eastAsia"/>
                <w:sz w:val="21"/>
                <w:szCs w:val="21"/>
                <w:lang w:val="en-US" w:eastAsia="zh-CN"/>
              </w:rPr>
              <w:t>24.</w:t>
            </w:r>
            <w:r>
              <w:rPr>
                <w:sz w:val="21"/>
                <w:szCs w:val="21"/>
              </w:rPr>
              <w:t>开展环境绩效等级提升行动</w:t>
            </w:r>
          </w:p>
        </w:tc>
        <w:tc>
          <w:tcPr>
            <w:tcW w:w="2480" w:type="pct"/>
            <w:vAlign w:val="center"/>
          </w:tcPr>
          <w:p w14:paraId="4A92AF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sz w:val="21"/>
                <w:szCs w:val="21"/>
                <w:lang w:eastAsia="zh-CN"/>
              </w:rPr>
            </w:pPr>
            <w:r>
              <w:rPr>
                <w:rFonts w:hint="eastAsia"/>
                <w:sz w:val="21"/>
                <w:szCs w:val="21"/>
                <w:lang w:eastAsia="zh-CN"/>
              </w:rPr>
              <w:t>持续开展重点行业绩效分级“创A晋B减C清D”行动，分行业分类别建立绩效提升企业清单，全力帮扶重点行业企业对照行业先进水平实施生产和治理工艺装备提升改造，不断提升环境绩效等级。加强企业绩效监管，落实“有进有出”动态调整机制，对已评定A级、B级和绩效引领性企业开展“回头看”，对实际绩效水平达不到评定等级要求，或存在严重环境违法违规行为的企业，严格实施降级处理。鼓励指导企业通过设备更新、技术改造、治理升级等措施，不断提升环境绩效等级，2025年全市新增A级、B级企业及绩效引领性企业30家以上</w:t>
            </w:r>
          </w:p>
        </w:tc>
        <w:tc>
          <w:tcPr>
            <w:tcW w:w="1282" w:type="pct"/>
            <w:vAlign w:val="center"/>
          </w:tcPr>
          <w:p w14:paraId="786784DD">
            <w:pPr>
              <w:pStyle w:val="77"/>
              <w:ind w:firstLine="0" w:firstLineChars="0"/>
              <w:jc w:val="both"/>
              <w:rPr>
                <w:rFonts w:hint="eastAsia" w:eastAsia="宋体"/>
                <w:sz w:val="21"/>
                <w:szCs w:val="21"/>
                <w:lang w:eastAsia="zh-CN"/>
              </w:rPr>
            </w:pPr>
            <w:r>
              <w:rPr>
                <w:snapToGrid w:val="0"/>
                <w:sz w:val="21"/>
                <w:szCs w:val="21"/>
                <w:highlight w:val="none"/>
              </w:rPr>
              <w:t>本项目</w:t>
            </w:r>
            <w:r>
              <w:rPr>
                <w:rFonts w:hint="eastAsia"/>
                <w:snapToGrid w:val="0"/>
                <w:sz w:val="21"/>
                <w:szCs w:val="21"/>
                <w:highlight w:val="none"/>
                <w:lang w:val="en-US" w:eastAsia="zh-CN"/>
              </w:rPr>
              <w:t>属于</w:t>
            </w:r>
            <w:r>
              <w:rPr>
                <w:rFonts w:hint="eastAsia" w:ascii="Times New Roman" w:hAnsi="Times New Roman"/>
                <w:snapToGrid w:val="0"/>
                <w:sz w:val="21"/>
                <w:szCs w:val="21"/>
                <w:highlight w:val="none"/>
              </w:rPr>
              <w:t>电气机械和器材制造业</w:t>
            </w:r>
            <w:r>
              <w:rPr>
                <w:snapToGrid w:val="0"/>
                <w:sz w:val="21"/>
                <w:szCs w:val="21"/>
                <w:highlight w:val="none"/>
              </w:rPr>
              <w:t>，不属于</w:t>
            </w:r>
            <w:r>
              <w:rPr>
                <w:rFonts w:hint="eastAsia" w:ascii="宋体" w:hAnsi="宋体" w:eastAsia="宋体" w:cs="宋体"/>
                <w:snapToGrid w:val="0"/>
                <w:sz w:val="21"/>
                <w:szCs w:val="21"/>
                <w:highlight w:val="none"/>
              </w:rPr>
              <w:t>“两高”项</w:t>
            </w:r>
            <w:r>
              <w:rPr>
                <w:snapToGrid w:val="0"/>
                <w:sz w:val="21"/>
                <w:szCs w:val="21"/>
                <w:highlight w:val="none"/>
              </w:rPr>
              <w:t>目，将严格按照</w:t>
            </w:r>
            <w:r>
              <w:rPr>
                <w:rFonts w:hint="eastAsia"/>
                <w:snapToGrid w:val="0"/>
                <w:sz w:val="21"/>
                <w:szCs w:val="21"/>
                <w:highlight w:val="none"/>
              </w:rPr>
              <w:t>河南省重污染天气重点行业应急减排措施制定技术指南（2024年修订版》</w:t>
            </w:r>
            <w:r>
              <w:rPr>
                <w:snapToGrid w:val="0"/>
                <w:sz w:val="21"/>
                <w:szCs w:val="21"/>
                <w:highlight w:val="none"/>
              </w:rPr>
              <w:t>中</w:t>
            </w:r>
            <w:r>
              <w:rPr>
                <w:rFonts w:hint="eastAsia"/>
                <w:snapToGrid w:val="0"/>
                <w:sz w:val="21"/>
                <w:szCs w:val="21"/>
                <w:highlight w:val="none"/>
              </w:rPr>
              <w:t>金属表面处理及热处理加工</w:t>
            </w:r>
            <w:r>
              <w:rPr>
                <w:rFonts w:hint="eastAsia"/>
                <w:snapToGrid w:val="0"/>
                <w:sz w:val="21"/>
                <w:szCs w:val="21"/>
                <w:highlight w:val="none"/>
                <w:lang w:val="en-US" w:eastAsia="zh-CN"/>
              </w:rPr>
              <w:t>A级</w:t>
            </w:r>
            <w:r>
              <w:rPr>
                <w:rFonts w:hint="eastAsia"/>
                <w:snapToGrid w:val="0"/>
                <w:sz w:val="21"/>
                <w:szCs w:val="21"/>
                <w:highlight w:val="none"/>
              </w:rPr>
              <w:t>企业</w:t>
            </w:r>
            <w:r>
              <w:rPr>
                <w:snapToGrid w:val="0"/>
                <w:sz w:val="21"/>
                <w:szCs w:val="21"/>
                <w:highlight w:val="none"/>
              </w:rPr>
              <w:t>的相关要求进行建设。</w:t>
            </w:r>
          </w:p>
        </w:tc>
        <w:tc>
          <w:tcPr>
            <w:tcW w:w="558" w:type="pct"/>
            <w:vAlign w:val="center"/>
          </w:tcPr>
          <w:p w14:paraId="3661199B">
            <w:pPr>
              <w:pStyle w:val="75"/>
              <w:rPr>
                <w:sz w:val="21"/>
                <w:szCs w:val="21"/>
              </w:rPr>
            </w:pPr>
            <w:r>
              <w:rPr>
                <w:rFonts w:hint="eastAsia"/>
                <w:sz w:val="21"/>
                <w:szCs w:val="21"/>
              </w:rPr>
              <w:t>符合</w:t>
            </w:r>
          </w:p>
        </w:tc>
      </w:tr>
    </w:tbl>
    <w:p w14:paraId="009F0ADE">
      <w:pPr>
        <w:ind w:firstLine="480"/>
      </w:pPr>
      <w:r>
        <w:rPr>
          <w:rFonts w:hint="eastAsia"/>
        </w:rPr>
        <w:t>由上表可知，本项目符合《新乡市</w:t>
      </w:r>
      <w:r>
        <w:rPr>
          <w:rFonts w:hint="eastAsia"/>
          <w:lang w:val="en-US" w:eastAsia="zh-CN"/>
        </w:rPr>
        <w:t>2025</w:t>
      </w:r>
      <w:r>
        <w:rPr>
          <w:rFonts w:hint="eastAsia"/>
        </w:rPr>
        <w:t>年蓝天保卫战实施方案》的相关要求。</w:t>
      </w:r>
    </w:p>
    <w:p w14:paraId="6A8281B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6" w:name="_Toc108122498"/>
      <w:r>
        <w:rPr>
          <w:rFonts w:hint="eastAsia" w:ascii="Times New Roman" w:hAnsi="Times New Roman" w:cs="Times New Roman"/>
          <w:lang w:val="en-US" w:eastAsia="zh-CN"/>
        </w:rPr>
        <w:t>2.11.6新乡市环境污染防治攻坚指挥部办公室关于印发《新乡市</w:t>
      </w:r>
      <w:r>
        <w:rPr>
          <w:rFonts w:hint="eastAsia" w:cs="Times New Roman"/>
          <w:lang w:val="en-US" w:eastAsia="zh-CN"/>
        </w:rPr>
        <w:t>2025</w:t>
      </w:r>
      <w:r>
        <w:rPr>
          <w:rFonts w:hint="eastAsia" w:ascii="Times New Roman" w:hAnsi="Times New Roman" w:cs="Times New Roman"/>
          <w:lang w:val="en-US" w:eastAsia="zh-CN"/>
        </w:rPr>
        <w:t>年碧水保卫战实施方案》的通知（新环委办〔</w:t>
      </w:r>
      <w:r>
        <w:rPr>
          <w:rFonts w:hint="eastAsia" w:cs="Times New Roman"/>
          <w:lang w:val="en-US" w:eastAsia="zh-CN"/>
        </w:rPr>
        <w:t>2025</w:t>
      </w:r>
      <w:r>
        <w:rPr>
          <w:rFonts w:hint="eastAsia" w:ascii="Times New Roman" w:hAnsi="Times New Roman" w:cs="Times New Roman"/>
          <w:lang w:val="en-US" w:eastAsia="zh-CN"/>
        </w:rPr>
        <w:t>〕</w:t>
      </w:r>
      <w:r>
        <w:rPr>
          <w:rFonts w:hint="eastAsia" w:cs="Times New Roman"/>
          <w:lang w:val="en-US" w:eastAsia="zh-CN"/>
        </w:rPr>
        <w:t>38</w:t>
      </w:r>
      <w:r>
        <w:rPr>
          <w:rFonts w:hint="eastAsia" w:ascii="Times New Roman" w:hAnsi="Times New Roman" w:cs="Times New Roman"/>
          <w:lang w:val="en-US" w:eastAsia="zh-CN"/>
        </w:rPr>
        <w:t>号）相符性分析</w:t>
      </w:r>
      <w:bookmarkEnd w:id="346"/>
    </w:p>
    <w:p w14:paraId="79D3DD83">
      <w:pPr>
        <w:ind w:firstLine="480"/>
        <w:rPr>
          <w:bCs/>
        </w:rPr>
      </w:pPr>
      <w:r>
        <w:rPr>
          <w:rFonts w:hint="eastAsia"/>
          <w:bCs/>
        </w:rPr>
        <w:t>根据《新乡市</w:t>
      </w:r>
      <w:r>
        <w:rPr>
          <w:rFonts w:hint="eastAsia"/>
          <w:bCs/>
          <w:lang w:val="en-US" w:eastAsia="zh-CN"/>
        </w:rPr>
        <w:t>2025</w:t>
      </w:r>
      <w:r>
        <w:rPr>
          <w:rFonts w:hint="eastAsia"/>
          <w:bCs/>
        </w:rPr>
        <w:t>年碧水保卫战实施方案》（新环委办〔</w:t>
      </w:r>
      <w:r>
        <w:rPr>
          <w:rFonts w:hint="eastAsia"/>
          <w:bCs/>
          <w:lang w:val="en-US" w:eastAsia="zh-CN"/>
        </w:rPr>
        <w:t>2025</w:t>
      </w:r>
      <w:r>
        <w:rPr>
          <w:rFonts w:hint="eastAsia"/>
          <w:bCs/>
        </w:rPr>
        <w:t>〕</w:t>
      </w:r>
      <w:r>
        <w:rPr>
          <w:rFonts w:hint="eastAsia"/>
          <w:bCs/>
          <w:lang w:val="en-US" w:eastAsia="zh-CN"/>
        </w:rPr>
        <w:t>38</w:t>
      </w:r>
      <w:r>
        <w:rPr>
          <w:rFonts w:hint="eastAsia"/>
          <w:bCs/>
        </w:rPr>
        <w:t>号）的内容，结合本项目的实际情况，与方案中涉及到本项目的内容相符性分析见下表。</w:t>
      </w:r>
    </w:p>
    <w:p w14:paraId="002D8302">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lang w:val="pt-BR"/>
        </w:rPr>
      </w:pPr>
      <w:r>
        <w:rPr>
          <w:rFonts w:hint="eastAsia" w:ascii="Times New Roman" w:hAnsi="Times New Roman" w:eastAsia="宋体" w:cs="Times New Roman"/>
          <w:lang w:val="pt-BR"/>
        </w:rPr>
        <w:t>表</w:t>
      </w:r>
      <w:r>
        <w:rPr>
          <w:rFonts w:hint="eastAsia" w:eastAsia="宋体" w:cs="Times New Roman"/>
          <w:lang w:val="en-US" w:eastAsia="zh-CN"/>
        </w:rPr>
        <w:t>2.11-7</w:t>
      </w:r>
      <w:r>
        <w:rPr>
          <w:rFonts w:hint="eastAsia" w:ascii="Times New Roman" w:hAnsi="Times New Roman" w:eastAsia="宋体" w:cs="Times New Roman"/>
          <w:lang w:val="pt-BR"/>
        </w:rPr>
        <w:t xml:space="preserve">    与《新乡市</w:t>
      </w:r>
      <w:r>
        <w:rPr>
          <w:rFonts w:hint="eastAsia" w:eastAsia="宋体" w:cs="Times New Roman"/>
          <w:lang w:val="en-US" w:eastAsia="zh-CN"/>
        </w:rPr>
        <w:t>2025</w:t>
      </w:r>
      <w:r>
        <w:rPr>
          <w:rFonts w:hint="eastAsia" w:ascii="Times New Roman" w:hAnsi="Times New Roman" w:eastAsia="宋体" w:cs="Times New Roman"/>
          <w:lang w:val="pt-BR"/>
        </w:rPr>
        <w:t>年碧水保卫战实施方案》对比分析</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4441"/>
        <w:gridCol w:w="2262"/>
        <w:gridCol w:w="953"/>
      </w:tblGrid>
      <w:tr w14:paraId="356C8F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1" w:type="pct"/>
            <w:vAlign w:val="center"/>
          </w:tcPr>
          <w:p w14:paraId="30642D66">
            <w:pPr>
              <w:pStyle w:val="81"/>
              <w:rPr>
                <w:color w:val="auto"/>
              </w:rPr>
            </w:pPr>
            <w:r>
              <w:rPr>
                <w:rFonts w:hint="eastAsia"/>
                <w:color w:val="auto"/>
              </w:rPr>
              <w:t>项目</w:t>
            </w:r>
          </w:p>
        </w:tc>
        <w:tc>
          <w:tcPr>
            <w:tcW w:w="2603" w:type="pct"/>
            <w:vAlign w:val="center"/>
          </w:tcPr>
          <w:p w14:paraId="0E2E6438">
            <w:pPr>
              <w:pStyle w:val="81"/>
              <w:rPr>
                <w:color w:val="auto"/>
              </w:rPr>
            </w:pPr>
            <w:r>
              <w:rPr>
                <w:rFonts w:hint="eastAsia"/>
                <w:color w:val="auto"/>
              </w:rPr>
              <w:t>实施方案</w:t>
            </w:r>
          </w:p>
        </w:tc>
        <w:tc>
          <w:tcPr>
            <w:tcW w:w="1326" w:type="pct"/>
            <w:vAlign w:val="center"/>
          </w:tcPr>
          <w:p w14:paraId="24C77ABB">
            <w:pPr>
              <w:pStyle w:val="81"/>
              <w:rPr>
                <w:color w:val="auto"/>
              </w:rPr>
            </w:pPr>
            <w:r>
              <w:rPr>
                <w:rFonts w:hint="eastAsia"/>
                <w:color w:val="auto"/>
              </w:rPr>
              <w:t>本项目建设情况</w:t>
            </w:r>
          </w:p>
        </w:tc>
        <w:tc>
          <w:tcPr>
            <w:tcW w:w="558" w:type="pct"/>
            <w:vAlign w:val="center"/>
          </w:tcPr>
          <w:p w14:paraId="13BC2F3A">
            <w:pPr>
              <w:pStyle w:val="81"/>
              <w:rPr>
                <w:color w:val="auto"/>
              </w:rPr>
            </w:pPr>
            <w:r>
              <w:rPr>
                <w:rFonts w:hint="eastAsia"/>
                <w:color w:val="auto"/>
              </w:rPr>
              <w:t>符合性</w:t>
            </w:r>
          </w:p>
        </w:tc>
      </w:tr>
      <w:tr w14:paraId="4CC13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1" w:type="pct"/>
            <w:vAlign w:val="center"/>
          </w:tcPr>
          <w:p w14:paraId="20B6BF0E">
            <w:pPr>
              <w:pStyle w:val="75"/>
              <w:jc w:val="both"/>
            </w:pPr>
            <w:r>
              <w:rPr>
                <w:rFonts w:hint="eastAsia"/>
                <w:snapToGrid w:val="0"/>
                <w:sz w:val="21"/>
                <w:szCs w:val="24"/>
                <w:lang w:val="en-US" w:eastAsia="zh-CN"/>
              </w:rPr>
              <w:t>12.持续强化水资源节约集约利用</w:t>
            </w:r>
          </w:p>
        </w:tc>
        <w:tc>
          <w:tcPr>
            <w:tcW w:w="2603" w:type="pct"/>
            <w:vAlign w:val="center"/>
          </w:tcPr>
          <w:p w14:paraId="1DCC3D93">
            <w:pPr>
              <w:pStyle w:val="77"/>
              <w:ind w:firstLine="0" w:firstLineChars="0"/>
              <w:jc w:val="both"/>
              <w:rPr>
                <w:rFonts w:hint="eastAsia" w:eastAsia="宋体"/>
                <w:snapToGrid w:val="0"/>
                <w:sz w:val="21"/>
                <w:szCs w:val="24"/>
                <w:lang w:eastAsia="zh-CN"/>
              </w:rPr>
            </w:pPr>
            <w:r>
              <w:rPr>
                <w:rFonts w:hint="eastAsia"/>
                <w:snapToGrid w:val="0"/>
                <w:sz w:val="21"/>
                <w:szCs w:val="24"/>
              </w:rPr>
              <w:t>加快推进高标准农田建设和大中型灌区建设改造，打造节水控水示范区；严格用水总量与强度双控管理，分解下达区域年度用水计划；组织企业参加水效“领跑者”遴选工作和水效对标达标活动，积极申报2025 年工业废水循环利用标杆企业和园区；推动城镇生活污水处理厂再生水利用，提高再生水利用效率</w:t>
            </w:r>
            <w:r>
              <w:rPr>
                <w:rFonts w:hint="eastAsia"/>
                <w:snapToGrid w:val="0"/>
                <w:sz w:val="21"/>
                <w:szCs w:val="24"/>
                <w:lang w:eastAsia="zh-CN"/>
              </w:rPr>
              <w:t>。</w:t>
            </w:r>
          </w:p>
        </w:tc>
        <w:tc>
          <w:tcPr>
            <w:tcW w:w="1326" w:type="pct"/>
            <w:vAlign w:val="center"/>
          </w:tcPr>
          <w:p w14:paraId="3F6300CD">
            <w:pPr>
              <w:pStyle w:val="77"/>
              <w:ind w:firstLine="0" w:firstLineChars="0"/>
              <w:jc w:val="both"/>
            </w:pPr>
            <w:r>
              <w:rPr>
                <w:rFonts w:hint="eastAsia"/>
              </w:rPr>
              <w:t>本项目含镍、含铬废水经处理后回用于生产，综合废水经处理后与纯水制备浓水、冲压冷凝水、经化粪池处理后的生活污水一同经厂区总排口排入</w:t>
            </w:r>
            <w:r>
              <w:rPr>
                <w:rFonts w:hint="eastAsia"/>
                <w:lang w:val="en-US" w:eastAsia="zh-CN"/>
              </w:rPr>
              <w:t>获嘉县同盟污水处理厂处理。</w:t>
            </w:r>
          </w:p>
        </w:tc>
        <w:tc>
          <w:tcPr>
            <w:tcW w:w="558" w:type="pct"/>
            <w:vAlign w:val="center"/>
          </w:tcPr>
          <w:p w14:paraId="54228E7D">
            <w:pPr>
              <w:pStyle w:val="75"/>
            </w:pPr>
            <w:r>
              <w:rPr>
                <w:rFonts w:hint="eastAsia"/>
              </w:rPr>
              <w:t>符合</w:t>
            </w:r>
          </w:p>
        </w:tc>
      </w:tr>
      <w:tr w14:paraId="07195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1" w:type="pct"/>
            <w:vAlign w:val="center"/>
          </w:tcPr>
          <w:p w14:paraId="3041E605">
            <w:pPr>
              <w:pStyle w:val="75"/>
              <w:jc w:val="both"/>
              <w:rPr>
                <w:rFonts w:hint="default"/>
                <w:snapToGrid w:val="0"/>
                <w:sz w:val="21"/>
                <w:szCs w:val="24"/>
                <w:lang w:val="en-US" w:eastAsia="zh-CN"/>
              </w:rPr>
            </w:pPr>
            <w:r>
              <w:rPr>
                <w:rFonts w:hint="eastAsia"/>
                <w:snapToGrid w:val="0"/>
                <w:sz w:val="21"/>
                <w:szCs w:val="24"/>
                <w:lang w:val="en-US" w:eastAsia="zh-CN"/>
              </w:rPr>
              <w:t>13.推动企业绿色转型发展</w:t>
            </w:r>
          </w:p>
        </w:tc>
        <w:tc>
          <w:tcPr>
            <w:tcW w:w="2603" w:type="pct"/>
            <w:vAlign w:val="center"/>
          </w:tcPr>
          <w:p w14:paraId="0F9BC580">
            <w:pPr>
              <w:pStyle w:val="77"/>
              <w:ind w:firstLine="0" w:firstLineChars="0"/>
              <w:jc w:val="both"/>
              <w:rPr>
                <w:rFonts w:hint="eastAsia"/>
                <w:lang w:val="en-US" w:eastAsia="zh-CN"/>
              </w:rPr>
            </w:pPr>
            <w:r>
              <w:rPr>
                <w:rFonts w:hint="eastAsia"/>
                <w:lang w:val="en-US" w:eastAsia="zh-CN"/>
              </w:rPr>
              <w:t>决遏制“两高一低”项目盲目发展，严把新建项目准入关；严格落实生态环境分区管控，加快推进工业企业绿色转型发展；培育壮大节能、节水、环保和资源综合利用产业，提高能源资源利用效率；对有色金属、化工、电镀、制革、造纸、印染、农副食品加工等行业，全面推进清洁生产改造或清洁化改造。2025年全面实施27家重点行业企业强制性清洁生产审核。</w:t>
            </w:r>
          </w:p>
        </w:tc>
        <w:tc>
          <w:tcPr>
            <w:tcW w:w="1326" w:type="pct"/>
            <w:vAlign w:val="center"/>
          </w:tcPr>
          <w:p w14:paraId="53F6A02E">
            <w:pPr>
              <w:pStyle w:val="77"/>
              <w:ind w:firstLine="0" w:firstLineChars="0"/>
              <w:jc w:val="both"/>
              <w:rPr>
                <w:rFonts w:hint="eastAsia" w:eastAsia="宋体"/>
                <w:lang w:val="en-US" w:eastAsia="zh-CN"/>
              </w:rPr>
            </w:pPr>
            <w:r>
              <w:rPr>
                <w:rFonts w:hint="eastAsia"/>
                <w:snapToGrid w:val="0"/>
                <w:sz w:val="21"/>
                <w:szCs w:val="21"/>
                <w:lang w:val="en-US" w:eastAsia="zh-CN"/>
              </w:rPr>
              <w:t>本项目属于</w:t>
            </w:r>
            <w:r>
              <w:rPr>
                <w:rFonts w:hint="eastAsia" w:ascii="Times New Roman" w:hAnsi="Times New Roman"/>
                <w:snapToGrid w:val="0"/>
                <w:sz w:val="21"/>
                <w:szCs w:val="21"/>
              </w:rPr>
              <w:t>电气机械和器材制造业</w:t>
            </w:r>
            <w:r>
              <w:rPr>
                <w:rFonts w:hint="eastAsia"/>
                <w:snapToGrid w:val="0"/>
                <w:sz w:val="21"/>
                <w:szCs w:val="21"/>
                <w:lang w:eastAsia="zh-CN"/>
              </w:rPr>
              <w:t>，</w:t>
            </w:r>
            <w:r>
              <w:rPr>
                <w:rFonts w:hint="eastAsia"/>
                <w:snapToGrid w:val="0"/>
                <w:sz w:val="21"/>
                <w:szCs w:val="21"/>
                <w:lang w:val="en-US" w:eastAsia="zh-CN"/>
              </w:rPr>
              <w:t>不属于</w:t>
            </w:r>
            <w:r>
              <w:rPr>
                <w:rFonts w:hint="eastAsia"/>
                <w:lang w:val="en-US" w:eastAsia="zh-CN"/>
              </w:rPr>
              <w:t>“两高一低”项目，符合生态环境分区管控要求，</w:t>
            </w:r>
            <w:r>
              <w:rPr>
                <w:rFonts w:hint="eastAsia"/>
              </w:rPr>
              <w:t>本项目</w:t>
            </w:r>
            <w:r>
              <w:rPr>
                <w:rFonts w:hint="eastAsia"/>
                <w:lang w:val="en-US" w:eastAsia="zh-CN"/>
              </w:rPr>
              <w:t>涉及电镀工艺，</w:t>
            </w:r>
            <w:r>
              <w:rPr>
                <w:rFonts w:hint="eastAsia"/>
              </w:rPr>
              <w:t>建成后将按要求进行清洁生产审核</w:t>
            </w:r>
            <w:r>
              <w:rPr>
                <w:rFonts w:hint="eastAsia"/>
                <w:lang w:eastAsia="zh-CN"/>
              </w:rPr>
              <w:t>。</w:t>
            </w:r>
          </w:p>
        </w:tc>
        <w:tc>
          <w:tcPr>
            <w:tcW w:w="558" w:type="pct"/>
            <w:vAlign w:val="center"/>
          </w:tcPr>
          <w:p w14:paraId="2CD23749">
            <w:pPr>
              <w:pStyle w:val="75"/>
              <w:rPr>
                <w:rFonts w:hint="eastAsia"/>
              </w:rPr>
            </w:pPr>
            <w:r>
              <w:rPr>
                <w:rFonts w:hint="eastAsia"/>
              </w:rPr>
              <w:t>符合</w:t>
            </w:r>
          </w:p>
        </w:tc>
      </w:tr>
    </w:tbl>
    <w:p w14:paraId="02B0032F">
      <w:pPr>
        <w:ind w:firstLine="480"/>
        <w:rPr>
          <w:bCs/>
        </w:rPr>
      </w:pPr>
      <w:r>
        <w:rPr>
          <w:rFonts w:hint="eastAsia"/>
          <w:bCs/>
        </w:rPr>
        <w:t>由上表可知，本项目符合《新乡市</w:t>
      </w:r>
      <w:r>
        <w:rPr>
          <w:rFonts w:hint="eastAsia"/>
          <w:bCs/>
          <w:lang w:val="en-US" w:eastAsia="zh-CN"/>
        </w:rPr>
        <w:t>2025</w:t>
      </w:r>
      <w:r>
        <w:rPr>
          <w:rFonts w:hint="eastAsia"/>
          <w:bCs/>
        </w:rPr>
        <w:t>年碧水保卫战实施方案》的相关要求。</w:t>
      </w:r>
    </w:p>
    <w:p w14:paraId="1A15CB5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7" w:name="_Toc108122499"/>
      <w:r>
        <w:rPr>
          <w:rFonts w:hint="eastAsia" w:ascii="Times New Roman" w:hAnsi="Times New Roman" w:cs="Times New Roman"/>
          <w:lang w:val="en-US" w:eastAsia="zh-CN"/>
        </w:rPr>
        <w:t>2.11.7新乡市环境污染防治攻坚指挥部办公室关于印发《新乡市</w:t>
      </w:r>
      <w:r>
        <w:rPr>
          <w:rFonts w:hint="eastAsia" w:cs="Times New Roman"/>
          <w:lang w:val="en-US" w:eastAsia="zh-CN"/>
        </w:rPr>
        <w:t>2025</w:t>
      </w:r>
      <w:r>
        <w:rPr>
          <w:rFonts w:hint="eastAsia" w:ascii="Times New Roman" w:hAnsi="Times New Roman" w:cs="Times New Roman"/>
          <w:lang w:val="en-US" w:eastAsia="zh-CN"/>
        </w:rPr>
        <w:t>年净土保卫战实施方案》的通知（新环委办〔</w:t>
      </w:r>
      <w:r>
        <w:rPr>
          <w:rFonts w:hint="eastAsia" w:cs="Times New Roman"/>
          <w:lang w:val="en-US" w:eastAsia="zh-CN"/>
        </w:rPr>
        <w:t>2025</w:t>
      </w:r>
      <w:r>
        <w:rPr>
          <w:rFonts w:hint="eastAsia" w:ascii="Times New Roman" w:hAnsi="Times New Roman" w:cs="Times New Roman"/>
          <w:lang w:val="en-US" w:eastAsia="zh-CN"/>
        </w:rPr>
        <w:t>〕</w:t>
      </w:r>
      <w:r>
        <w:rPr>
          <w:rFonts w:hint="eastAsia" w:cs="Times New Roman"/>
          <w:lang w:val="en-US" w:eastAsia="zh-CN"/>
        </w:rPr>
        <w:t>38</w:t>
      </w:r>
      <w:r>
        <w:rPr>
          <w:rFonts w:hint="eastAsia" w:ascii="Times New Roman" w:hAnsi="Times New Roman" w:cs="Times New Roman"/>
          <w:lang w:val="en-US" w:eastAsia="zh-CN"/>
        </w:rPr>
        <w:t>号）相符性分析</w:t>
      </w:r>
      <w:bookmarkEnd w:id="347"/>
    </w:p>
    <w:p w14:paraId="58906C46">
      <w:pPr>
        <w:ind w:firstLine="480"/>
        <w:rPr>
          <w:bCs/>
        </w:rPr>
      </w:pPr>
      <w:r>
        <w:rPr>
          <w:rFonts w:hint="eastAsia"/>
          <w:bCs/>
        </w:rPr>
        <w:t>根据《新乡市</w:t>
      </w:r>
      <w:r>
        <w:rPr>
          <w:rFonts w:hint="eastAsia"/>
          <w:bCs/>
          <w:lang w:val="en-US" w:eastAsia="zh-CN"/>
        </w:rPr>
        <w:t>2025</w:t>
      </w:r>
      <w:r>
        <w:rPr>
          <w:rFonts w:hint="eastAsia"/>
          <w:bCs/>
        </w:rPr>
        <w:t>年净土保卫战实施方案》（新环委办〔</w:t>
      </w:r>
      <w:r>
        <w:rPr>
          <w:rFonts w:hint="eastAsia"/>
          <w:bCs/>
          <w:lang w:val="en-US" w:eastAsia="zh-CN"/>
        </w:rPr>
        <w:t>2025</w:t>
      </w:r>
      <w:r>
        <w:rPr>
          <w:rFonts w:hint="eastAsia"/>
          <w:bCs/>
        </w:rPr>
        <w:t>〕</w:t>
      </w:r>
      <w:r>
        <w:rPr>
          <w:rFonts w:hint="eastAsia"/>
          <w:bCs/>
          <w:lang w:val="en-US" w:eastAsia="zh-CN"/>
        </w:rPr>
        <w:t>38</w:t>
      </w:r>
      <w:r>
        <w:rPr>
          <w:rFonts w:hint="eastAsia"/>
          <w:bCs/>
        </w:rPr>
        <w:t>号）的内容，结合本项目的实际情况，与方案中涉及到本项目的内容相符性分析见下表。</w:t>
      </w:r>
    </w:p>
    <w:p w14:paraId="37968E2D">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lang w:val="pt-BR"/>
        </w:rPr>
      </w:pPr>
      <w:r>
        <w:rPr>
          <w:rFonts w:hint="eastAsia" w:ascii="Times New Roman" w:hAnsi="Times New Roman" w:eastAsia="宋体" w:cs="Times New Roman"/>
          <w:lang w:val="pt-BR"/>
        </w:rPr>
        <w:t>表</w:t>
      </w:r>
      <w:r>
        <w:rPr>
          <w:rFonts w:hint="eastAsia" w:eastAsia="宋体" w:cs="Times New Roman"/>
          <w:lang w:val="en-US" w:eastAsia="zh-CN"/>
        </w:rPr>
        <w:t>2.11-8</w:t>
      </w:r>
      <w:r>
        <w:rPr>
          <w:rFonts w:hint="eastAsia" w:ascii="Times New Roman" w:hAnsi="Times New Roman" w:eastAsia="宋体" w:cs="Times New Roman"/>
          <w:lang w:val="pt-BR"/>
        </w:rPr>
        <w:t xml:space="preserve">    与《新乡市</w:t>
      </w:r>
      <w:r>
        <w:rPr>
          <w:rFonts w:hint="eastAsia" w:eastAsia="宋体" w:cs="Times New Roman"/>
          <w:lang w:val="en-US" w:eastAsia="zh-CN"/>
        </w:rPr>
        <w:t>2025</w:t>
      </w:r>
      <w:r>
        <w:rPr>
          <w:rFonts w:hint="eastAsia" w:ascii="Times New Roman" w:hAnsi="Times New Roman" w:eastAsia="宋体" w:cs="Times New Roman"/>
          <w:lang w:val="pt-BR"/>
        </w:rPr>
        <w:t>年净土保卫战实施方案》对比分析</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4713"/>
        <w:gridCol w:w="2039"/>
        <w:gridCol w:w="904"/>
      </w:tblGrid>
      <w:tr w14:paraId="579BF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1" w:type="pct"/>
            <w:vAlign w:val="center"/>
          </w:tcPr>
          <w:p w14:paraId="5D0DFD16">
            <w:pPr>
              <w:pStyle w:val="81"/>
              <w:rPr>
                <w:color w:val="auto"/>
              </w:rPr>
            </w:pPr>
            <w:r>
              <w:rPr>
                <w:rFonts w:hint="eastAsia"/>
                <w:color w:val="auto"/>
              </w:rPr>
              <w:t>项目</w:t>
            </w:r>
          </w:p>
        </w:tc>
        <w:tc>
          <w:tcPr>
            <w:tcW w:w="2762" w:type="pct"/>
            <w:vAlign w:val="center"/>
          </w:tcPr>
          <w:p w14:paraId="7CB30BC1">
            <w:pPr>
              <w:pStyle w:val="81"/>
              <w:rPr>
                <w:color w:val="auto"/>
              </w:rPr>
            </w:pPr>
            <w:r>
              <w:rPr>
                <w:rFonts w:hint="eastAsia"/>
                <w:color w:val="auto"/>
              </w:rPr>
              <w:t>实施方案</w:t>
            </w:r>
          </w:p>
        </w:tc>
        <w:tc>
          <w:tcPr>
            <w:tcW w:w="1195" w:type="pct"/>
            <w:vAlign w:val="center"/>
          </w:tcPr>
          <w:p w14:paraId="7BD6F85A">
            <w:pPr>
              <w:pStyle w:val="81"/>
              <w:rPr>
                <w:color w:val="auto"/>
              </w:rPr>
            </w:pPr>
            <w:r>
              <w:rPr>
                <w:rFonts w:hint="eastAsia"/>
                <w:color w:val="auto"/>
              </w:rPr>
              <w:t>本项目建设情况</w:t>
            </w:r>
          </w:p>
        </w:tc>
        <w:tc>
          <w:tcPr>
            <w:tcW w:w="530" w:type="pct"/>
            <w:vAlign w:val="center"/>
          </w:tcPr>
          <w:p w14:paraId="01027DAD">
            <w:pPr>
              <w:pStyle w:val="81"/>
              <w:rPr>
                <w:color w:val="auto"/>
              </w:rPr>
            </w:pPr>
            <w:r>
              <w:rPr>
                <w:rFonts w:hint="eastAsia"/>
                <w:color w:val="auto"/>
              </w:rPr>
              <w:t>符合性</w:t>
            </w:r>
          </w:p>
        </w:tc>
      </w:tr>
      <w:tr w14:paraId="0723CE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1" w:type="pct"/>
            <w:vAlign w:val="center"/>
          </w:tcPr>
          <w:p w14:paraId="6126F334">
            <w:pPr>
              <w:pStyle w:val="75"/>
              <w:jc w:val="both"/>
              <w:rPr>
                <w:rFonts w:hint="default"/>
                <w:szCs w:val="21"/>
                <w:lang w:val="en-US" w:eastAsia="zh-CN"/>
              </w:rPr>
            </w:pPr>
            <w:r>
              <w:rPr>
                <w:rFonts w:hint="eastAsia"/>
                <w:szCs w:val="21"/>
                <w:lang w:val="en-US" w:eastAsia="zh-CN"/>
              </w:rPr>
              <w:t>17.认真落实环境监测任务</w:t>
            </w:r>
          </w:p>
        </w:tc>
        <w:tc>
          <w:tcPr>
            <w:tcW w:w="2762" w:type="pct"/>
            <w:vAlign w:val="center"/>
          </w:tcPr>
          <w:p w14:paraId="7FC30A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b w:val="0"/>
                <w:bCs w:val="0"/>
                <w:snapToGrid w:val="0"/>
                <w:szCs w:val="24"/>
              </w:rPr>
            </w:pPr>
            <w:r>
              <w:rPr>
                <w:rFonts w:hint="eastAsia"/>
                <w:sz w:val="21"/>
                <w:szCs w:val="21"/>
              </w:rPr>
              <w:t>根据省级年度监测任务，做好我市土壤环境质量监测工作。抓好土壤重点监管单位自行监测及周边土壤监测。做好农村生活污水处理设施日常巡查和水质监测等工作。加强对已治理黑臭水体、污染地块、污水处理设施等的抽查监管力度。</w:t>
            </w:r>
          </w:p>
        </w:tc>
        <w:tc>
          <w:tcPr>
            <w:tcW w:w="1195" w:type="pct"/>
            <w:vAlign w:val="center"/>
          </w:tcPr>
          <w:p w14:paraId="5AE051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eastAsia"/>
                <w:b w:val="0"/>
                <w:bCs w:val="0"/>
                <w:snapToGrid w:val="0"/>
                <w:szCs w:val="24"/>
                <w:lang w:val="en-US" w:eastAsia="zh-CN"/>
              </w:rPr>
            </w:pPr>
            <w:r>
              <w:rPr>
                <w:rFonts w:hint="eastAsia"/>
                <w:sz w:val="21"/>
                <w:szCs w:val="21"/>
              </w:rPr>
              <w:t>本企业将积极配合当地环保部门适时开展土壤重点监管单位自行监测及周边土壤监测。</w:t>
            </w:r>
          </w:p>
        </w:tc>
        <w:tc>
          <w:tcPr>
            <w:tcW w:w="530" w:type="pct"/>
            <w:vAlign w:val="center"/>
          </w:tcPr>
          <w:p w14:paraId="73B12DAA">
            <w:pPr>
              <w:pStyle w:val="75"/>
              <w:rPr>
                <w:rFonts w:hint="eastAsia"/>
              </w:rPr>
            </w:pPr>
            <w:r>
              <w:rPr>
                <w:rFonts w:hint="eastAsia"/>
              </w:rPr>
              <w:t>符合</w:t>
            </w:r>
          </w:p>
        </w:tc>
      </w:tr>
    </w:tbl>
    <w:p w14:paraId="70A18361">
      <w:pPr>
        <w:ind w:firstLine="480"/>
        <w:rPr>
          <w:bCs/>
        </w:rPr>
      </w:pPr>
      <w:r>
        <w:rPr>
          <w:rFonts w:hint="eastAsia"/>
          <w:bCs/>
        </w:rPr>
        <w:t>由上表可知，本项目符合《新乡市</w:t>
      </w:r>
      <w:r>
        <w:rPr>
          <w:rFonts w:hint="eastAsia"/>
          <w:bCs/>
          <w:lang w:val="en-US" w:eastAsia="zh-CN"/>
        </w:rPr>
        <w:t>2025</w:t>
      </w:r>
      <w:r>
        <w:rPr>
          <w:rFonts w:hint="eastAsia"/>
          <w:bCs/>
        </w:rPr>
        <w:t>年净土保卫战实施方案》的相关要求。</w:t>
      </w:r>
    </w:p>
    <w:p w14:paraId="1EBF0AF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8" w:name="_Toc108122500"/>
      <w:r>
        <w:rPr>
          <w:rFonts w:hint="eastAsia" w:ascii="Times New Roman" w:hAnsi="Times New Roman" w:cs="Times New Roman"/>
          <w:lang w:val="en-US" w:eastAsia="zh-CN"/>
        </w:rPr>
        <w:t>2.11.8 《河南省重污染天气重点行业应急减排措施制定技术指南（2024年修订版》相符性分析</w:t>
      </w:r>
      <w:bookmarkEnd w:id="348"/>
    </w:p>
    <w:p w14:paraId="22137461">
      <w:pPr>
        <w:ind w:firstLine="480"/>
        <w:rPr>
          <w:bCs/>
          <w:highlight w:val="none"/>
        </w:rPr>
      </w:pPr>
      <w:r>
        <w:rPr>
          <w:rFonts w:hint="eastAsia"/>
          <w:bCs/>
        </w:rPr>
        <w:t>本项目根据《河南省重污染天气重点行业应急减排措施制定技术指南（</w:t>
      </w:r>
      <w:r>
        <w:rPr>
          <w:rFonts w:hint="eastAsia"/>
          <w:bCs/>
          <w:lang w:val="en-US" w:eastAsia="zh-CN"/>
        </w:rPr>
        <w:t>2024</w:t>
      </w:r>
      <w:r>
        <w:rPr>
          <w:rFonts w:hint="eastAsia"/>
          <w:bCs/>
        </w:rPr>
        <w:t>年修订</w:t>
      </w:r>
      <w:r>
        <w:rPr>
          <w:rFonts w:hint="eastAsia"/>
          <w:bCs/>
          <w:lang w:val="en-US" w:eastAsia="zh-CN"/>
        </w:rPr>
        <w:t>版</w:t>
      </w:r>
      <w:r>
        <w:rPr>
          <w:rFonts w:hint="eastAsia"/>
          <w:bCs/>
        </w:rPr>
        <w:t>》中金属表面处理及热处理加工的要求</w:t>
      </w:r>
      <w:r>
        <w:rPr>
          <w:rFonts w:hint="eastAsia"/>
          <w:bCs/>
          <w:lang w:val="en-US" w:eastAsia="zh-CN"/>
        </w:rPr>
        <w:t>11</w:t>
      </w:r>
      <w:r>
        <w:rPr>
          <w:rFonts w:hint="eastAsia"/>
          <w:bCs/>
        </w:rPr>
        <w:t>，结合实际情况，与方案中涉及到本</w:t>
      </w:r>
      <w:r>
        <w:rPr>
          <w:rFonts w:hint="eastAsia"/>
          <w:bCs/>
          <w:highlight w:val="none"/>
        </w:rPr>
        <w:t>项目的内容相符性分析见下表。</w:t>
      </w:r>
    </w:p>
    <w:p w14:paraId="5F6462E3">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Times New Roman" w:hAnsi="Times New Roman" w:eastAsia="宋体" w:cs="Times New Roman"/>
          <w:highlight w:val="none"/>
          <w:lang w:val="pt-BR"/>
        </w:rPr>
      </w:pPr>
      <w:r>
        <w:rPr>
          <w:rFonts w:hint="eastAsia" w:ascii="Times New Roman" w:hAnsi="Times New Roman" w:eastAsia="宋体" w:cs="Times New Roman"/>
          <w:highlight w:val="none"/>
          <w:lang w:val="pt-BR"/>
        </w:rPr>
        <w:t>表</w:t>
      </w:r>
      <w:r>
        <w:rPr>
          <w:rFonts w:hint="eastAsia" w:eastAsia="宋体" w:cs="Times New Roman"/>
          <w:highlight w:val="none"/>
          <w:lang w:val="en-US" w:eastAsia="zh-CN"/>
        </w:rPr>
        <w:t>2.11-9</w:t>
      </w:r>
      <w:r>
        <w:rPr>
          <w:rFonts w:hint="eastAsia" w:ascii="Times New Roman" w:hAnsi="Times New Roman" w:eastAsia="宋体" w:cs="Times New Roman"/>
          <w:highlight w:val="none"/>
          <w:lang w:val="pt-BR"/>
        </w:rPr>
        <w:t xml:space="preserve">    与《重污染天气重点行业应急减排措施指南》对比分析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4050"/>
        <w:gridCol w:w="2864"/>
        <w:gridCol w:w="906"/>
      </w:tblGrid>
      <w:tr w14:paraId="7CBCDB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5" w:type="pct"/>
            <w:tcBorders>
              <w:tl2br w:val="nil"/>
              <w:tr2bl w:val="nil"/>
            </w:tcBorders>
            <w:shd w:val="clear" w:color="auto" w:fill="auto"/>
            <w:vAlign w:val="center"/>
          </w:tcPr>
          <w:p w14:paraId="30FAA0BC">
            <w:pPr>
              <w:pStyle w:val="81"/>
              <w:rPr>
                <w:color w:val="auto"/>
                <w:highlight w:val="none"/>
              </w:rPr>
            </w:pPr>
            <w:r>
              <w:rPr>
                <w:rFonts w:hint="eastAsia"/>
                <w:color w:val="auto"/>
                <w:highlight w:val="none"/>
              </w:rPr>
              <w:t>项目</w:t>
            </w:r>
          </w:p>
        </w:tc>
        <w:tc>
          <w:tcPr>
            <w:tcW w:w="2374" w:type="pct"/>
            <w:tcBorders>
              <w:tl2br w:val="nil"/>
              <w:tr2bl w:val="nil"/>
            </w:tcBorders>
            <w:shd w:val="clear" w:color="auto" w:fill="auto"/>
            <w:vAlign w:val="center"/>
          </w:tcPr>
          <w:p w14:paraId="19F52C95">
            <w:pPr>
              <w:pStyle w:val="81"/>
              <w:rPr>
                <w:color w:val="auto"/>
                <w:highlight w:val="none"/>
              </w:rPr>
            </w:pPr>
            <w:r>
              <w:rPr>
                <w:rFonts w:hint="eastAsia"/>
                <w:color w:val="auto"/>
                <w:highlight w:val="none"/>
              </w:rPr>
              <w:t>金属表面处理及热处理加工企业</w:t>
            </w:r>
          </w:p>
          <w:p w14:paraId="6DBC1343">
            <w:pPr>
              <w:pStyle w:val="81"/>
              <w:rPr>
                <w:color w:val="auto"/>
                <w:highlight w:val="none"/>
              </w:rPr>
            </w:pPr>
            <w:r>
              <w:rPr>
                <w:color w:val="auto"/>
                <w:highlight w:val="none"/>
              </w:rPr>
              <w:t>A</w:t>
            </w:r>
            <w:r>
              <w:rPr>
                <w:rFonts w:hint="eastAsia"/>
                <w:color w:val="auto"/>
                <w:highlight w:val="none"/>
              </w:rPr>
              <w:t>级要求</w:t>
            </w:r>
          </w:p>
        </w:tc>
        <w:tc>
          <w:tcPr>
            <w:tcW w:w="1679" w:type="pct"/>
            <w:tcBorders>
              <w:tl2br w:val="nil"/>
              <w:tr2bl w:val="nil"/>
            </w:tcBorders>
            <w:vAlign w:val="center"/>
          </w:tcPr>
          <w:p w14:paraId="633BE7F3">
            <w:pPr>
              <w:pStyle w:val="81"/>
              <w:rPr>
                <w:color w:val="auto"/>
                <w:highlight w:val="none"/>
              </w:rPr>
            </w:pPr>
            <w:r>
              <w:rPr>
                <w:rFonts w:hint="eastAsia"/>
                <w:color w:val="auto"/>
                <w:highlight w:val="none"/>
              </w:rPr>
              <w:t>本项目拟建设情况</w:t>
            </w:r>
          </w:p>
        </w:tc>
        <w:tc>
          <w:tcPr>
            <w:tcW w:w="531" w:type="pct"/>
            <w:tcBorders>
              <w:tl2br w:val="nil"/>
              <w:tr2bl w:val="nil"/>
            </w:tcBorders>
            <w:shd w:val="clear" w:color="auto" w:fill="auto"/>
            <w:vAlign w:val="center"/>
          </w:tcPr>
          <w:p w14:paraId="0C3E43CD">
            <w:pPr>
              <w:pStyle w:val="81"/>
              <w:rPr>
                <w:color w:val="auto"/>
                <w:highlight w:val="none"/>
              </w:rPr>
            </w:pPr>
            <w:r>
              <w:rPr>
                <w:rFonts w:hint="eastAsia"/>
                <w:color w:val="auto"/>
                <w:highlight w:val="none"/>
              </w:rPr>
              <w:t>对比</w:t>
            </w:r>
          </w:p>
          <w:p w14:paraId="4BBBBFE0">
            <w:pPr>
              <w:pStyle w:val="81"/>
              <w:rPr>
                <w:color w:val="auto"/>
                <w:highlight w:val="none"/>
              </w:rPr>
            </w:pPr>
            <w:r>
              <w:rPr>
                <w:rFonts w:hint="eastAsia"/>
                <w:color w:val="auto"/>
                <w:highlight w:val="none"/>
              </w:rPr>
              <w:t>结果</w:t>
            </w:r>
          </w:p>
        </w:tc>
      </w:tr>
      <w:tr w14:paraId="43C12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74340F26">
            <w:pPr>
              <w:pStyle w:val="75"/>
              <w:rPr>
                <w:szCs w:val="28"/>
                <w:highlight w:val="none"/>
              </w:rPr>
            </w:pPr>
            <w:r>
              <w:rPr>
                <w:rFonts w:hint="eastAsia"/>
                <w:szCs w:val="28"/>
                <w:highlight w:val="none"/>
              </w:rPr>
              <w:t>能源类型</w:t>
            </w:r>
          </w:p>
        </w:tc>
        <w:tc>
          <w:tcPr>
            <w:tcW w:w="2374" w:type="pct"/>
            <w:tcBorders>
              <w:tl2br w:val="nil"/>
              <w:tr2bl w:val="nil"/>
            </w:tcBorders>
            <w:shd w:val="clear" w:color="auto" w:fill="auto"/>
            <w:vAlign w:val="center"/>
          </w:tcPr>
          <w:p w14:paraId="0C360A09">
            <w:pPr>
              <w:pStyle w:val="77"/>
              <w:ind w:firstLine="0" w:firstLineChars="0"/>
              <w:jc w:val="both"/>
              <w:rPr>
                <w:highlight w:val="none"/>
              </w:rPr>
            </w:pPr>
            <w:r>
              <w:rPr>
                <w:rFonts w:hint="eastAsia"/>
                <w:highlight w:val="none"/>
              </w:rPr>
              <w:t>热处理加工采用电、天然气或其他清洁能源。</w:t>
            </w:r>
          </w:p>
        </w:tc>
        <w:tc>
          <w:tcPr>
            <w:tcW w:w="1679" w:type="pct"/>
            <w:tcBorders>
              <w:tl2br w:val="nil"/>
              <w:tr2bl w:val="nil"/>
            </w:tcBorders>
            <w:vAlign w:val="center"/>
          </w:tcPr>
          <w:p w14:paraId="102BBE09">
            <w:pPr>
              <w:pStyle w:val="77"/>
              <w:ind w:firstLine="0" w:firstLineChars="0"/>
              <w:jc w:val="both"/>
              <w:rPr>
                <w:highlight w:val="none"/>
              </w:rPr>
            </w:pPr>
            <w:r>
              <w:rPr>
                <w:rFonts w:hint="eastAsia"/>
                <w:highlight w:val="none"/>
              </w:rPr>
              <w:t>本项目生产过程中采用蒸汽加热，蒸汽来源于项目配套建设的</w:t>
            </w:r>
            <w:r>
              <w:rPr>
                <w:rFonts w:hint="eastAsia"/>
                <w:highlight w:val="none"/>
                <w:lang w:val="en-US" w:eastAsia="zh-CN"/>
              </w:rPr>
              <w:t>电蒸汽发生器产生的蒸汽</w:t>
            </w:r>
            <w:r>
              <w:rPr>
                <w:rFonts w:hint="eastAsia"/>
                <w:highlight w:val="none"/>
              </w:rPr>
              <w:t>提供。</w:t>
            </w:r>
          </w:p>
        </w:tc>
        <w:tc>
          <w:tcPr>
            <w:tcW w:w="531" w:type="pct"/>
            <w:tcBorders>
              <w:tl2br w:val="nil"/>
              <w:tr2bl w:val="nil"/>
            </w:tcBorders>
            <w:shd w:val="clear" w:color="auto" w:fill="auto"/>
            <w:vAlign w:val="center"/>
          </w:tcPr>
          <w:p w14:paraId="79260CAC">
            <w:pPr>
              <w:pStyle w:val="75"/>
              <w:rPr>
                <w:szCs w:val="28"/>
                <w:highlight w:val="none"/>
              </w:rPr>
            </w:pPr>
            <w:r>
              <w:rPr>
                <w:rFonts w:hint="eastAsia"/>
                <w:szCs w:val="28"/>
                <w:highlight w:val="none"/>
              </w:rPr>
              <w:t>满足</w:t>
            </w:r>
            <w:r>
              <w:rPr>
                <w:szCs w:val="28"/>
                <w:highlight w:val="none"/>
              </w:rPr>
              <w:t>A</w:t>
            </w:r>
            <w:r>
              <w:rPr>
                <w:rFonts w:hint="eastAsia"/>
                <w:szCs w:val="28"/>
                <w:highlight w:val="none"/>
              </w:rPr>
              <w:t>级要求</w:t>
            </w:r>
          </w:p>
        </w:tc>
      </w:tr>
      <w:tr w14:paraId="761117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63C9C6C5">
            <w:pPr>
              <w:pStyle w:val="75"/>
              <w:rPr>
                <w:bCs/>
                <w:szCs w:val="28"/>
                <w:highlight w:val="none"/>
              </w:rPr>
            </w:pPr>
            <w:r>
              <w:rPr>
                <w:rFonts w:hint="eastAsia"/>
                <w:bCs/>
                <w:szCs w:val="28"/>
                <w:highlight w:val="none"/>
              </w:rPr>
              <w:t>工艺过程</w:t>
            </w:r>
          </w:p>
        </w:tc>
        <w:tc>
          <w:tcPr>
            <w:tcW w:w="2374" w:type="pct"/>
            <w:tcBorders>
              <w:tl2br w:val="nil"/>
              <w:tr2bl w:val="nil"/>
            </w:tcBorders>
            <w:shd w:val="clear" w:color="auto" w:fill="auto"/>
            <w:vAlign w:val="center"/>
          </w:tcPr>
          <w:p w14:paraId="4EDB50C7">
            <w:pPr>
              <w:pStyle w:val="77"/>
              <w:ind w:firstLine="0" w:firstLineChars="0"/>
              <w:jc w:val="both"/>
              <w:rPr>
                <w:bCs/>
                <w:highlight w:val="none"/>
              </w:rPr>
            </w:pPr>
            <w:r>
              <w:rPr>
                <w:rFonts w:hint="eastAsia"/>
                <w:bCs/>
                <w:highlight w:val="none"/>
              </w:rPr>
              <w:t>电镀、电铸等金属表面热处理采用自动化设备。</w:t>
            </w:r>
          </w:p>
        </w:tc>
        <w:tc>
          <w:tcPr>
            <w:tcW w:w="1679" w:type="pct"/>
            <w:tcBorders>
              <w:tl2br w:val="nil"/>
              <w:tr2bl w:val="nil"/>
            </w:tcBorders>
            <w:vAlign w:val="center"/>
          </w:tcPr>
          <w:p w14:paraId="4EB6BAA2">
            <w:pPr>
              <w:pStyle w:val="77"/>
              <w:ind w:firstLine="0" w:firstLineChars="0"/>
              <w:jc w:val="both"/>
              <w:rPr>
                <w:bCs/>
                <w:highlight w:val="none"/>
              </w:rPr>
            </w:pPr>
            <w:r>
              <w:rPr>
                <w:rFonts w:hint="eastAsia"/>
                <w:bCs/>
                <w:highlight w:val="none"/>
              </w:rPr>
              <w:t>本项目不涉及电铸，电镀采用自动化工艺。</w:t>
            </w:r>
          </w:p>
        </w:tc>
        <w:tc>
          <w:tcPr>
            <w:tcW w:w="531" w:type="pct"/>
            <w:tcBorders>
              <w:tl2br w:val="nil"/>
              <w:tr2bl w:val="nil"/>
            </w:tcBorders>
            <w:shd w:val="clear" w:color="auto" w:fill="auto"/>
            <w:vAlign w:val="center"/>
          </w:tcPr>
          <w:p w14:paraId="5322B89C">
            <w:pPr>
              <w:pStyle w:val="75"/>
              <w:rPr>
                <w:bCs/>
                <w:szCs w:val="28"/>
                <w:highlight w:val="none"/>
              </w:rPr>
            </w:pPr>
            <w:r>
              <w:rPr>
                <w:rFonts w:hint="eastAsia"/>
                <w:bCs/>
                <w:szCs w:val="28"/>
                <w:highlight w:val="none"/>
              </w:rPr>
              <w:t>满足</w:t>
            </w:r>
            <w:r>
              <w:rPr>
                <w:bCs/>
                <w:szCs w:val="28"/>
                <w:highlight w:val="none"/>
              </w:rPr>
              <w:t>A</w:t>
            </w:r>
            <w:r>
              <w:rPr>
                <w:rFonts w:hint="eastAsia"/>
                <w:szCs w:val="28"/>
                <w:highlight w:val="none"/>
              </w:rPr>
              <w:t>级要求</w:t>
            </w:r>
          </w:p>
        </w:tc>
      </w:tr>
      <w:tr w14:paraId="59089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restart"/>
            <w:tcBorders>
              <w:tl2br w:val="nil"/>
              <w:tr2bl w:val="nil"/>
            </w:tcBorders>
            <w:shd w:val="clear" w:color="auto" w:fill="auto"/>
            <w:vAlign w:val="center"/>
          </w:tcPr>
          <w:p w14:paraId="08C93436">
            <w:pPr>
              <w:pStyle w:val="75"/>
              <w:jc w:val="both"/>
              <w:rPr>
                <w:szCs w:val="28"/>
              </w:rPr>
            </w:pPr>
            <w:r>
              <w:rPr>
                <w:rFonts w:hint="eastAsia"/>
                <w:szCs w:val="28"/>
              </w:rPr>
              <w:t>污染收集及治理技术</w:t>
            </w:r>
          </w:p>
        </w:tc>
        <w:tc>
          <w:tcPr>
            <w:tcW w:w="2374" w:type="pct"/>
            <w:tcBorders>
              <w:tl2br w:val="nil"/>
              <w:tr2bl w:val="nil"/>
            </w:tcBorders>
            <w:shd w:val="clear" w:color="auto" w:fill="auto"/>
            <w:vAlign w:val="center"/>
          </w:tcPr>
          <w:p w14:paraId="29E4C114">
            <w:pPr>
              <w:pStyle w:val="77"/>
              <w:ind w:firstLine="0" w:firstLineChars="0"/>
              <w:jc w:val="both"/>
            </w:pPr>
            <w:r>
              <w:rPr>
                <w:rFonts w:hint="eastAsia"/>
              </w:rPr>
              <w:t>金属表面处理：</w:t>
            </w:r>
          </w:p>
          <w:p w14:paraId="47CFDE5A">
            <w:pPr>
              <w:pStyle w:val="77"/>
              <w:ind w:firstLine="0" w:firstLineChars="0"/>
              <w:jc w:val="both"/>
            </w:pPr>
            <w:r>
              <w:rPr>
                <w:rFonts w:hint="eastAsia"/>
              </w:rPr>
              <w:t>1.酸碱废气采用两级及以上喷淋吸收处理工艺，采用pH计控制，实现自动加药，药液液位自动控制；</w:t>
            </w:r>
          </w:p>
          <w:p w14:paraId="7B9C4DF4">
            <w:pPr>
              <w:pStyle w:val="77"/>
              <w:ind w:firstLine="0" w:firstLineChars="0"/>
              <w:jc w:val="both"/>
              <w:rPr>
                <w:rFonts w:hint="eastAsia"/>
              </w:rPr>
            </w:pPr>
            <w:r>
              <w:rPr>
                <w:rFonts w:hint="eastAsia"/>
              </w:rPr>
              <w:t>2.油雾废气采用油雾多级回收+VOC</w:t>
            </w:r>
            <w:r>
              <w:rPr>
                <w:rFonts w:hint="eastAsia"/>
                <w:vertAlign w:val="subscript"/>
                <w:lang w:val="en-US" w:eastAsia="zh-CN"/>
              </w:rPr>
              <w:t>S</w:t>
            </w:r>
            <w:r>
              <w:rPr>
                <w:rFonts w:hint="eastAsia"/>
              </w:rPr>
              <w:t>治理技术；VOC</w:t>
            </w:r>
            <w:r>
              <w:rPr>
                <w:rFonts w:hint="eastAsia"/>
                <w:vertAlign w:val="subscript"/>
                <w:lang w:val="en-US" w:eastAsia="zh-CN"/>
              </w:rPr>
              <w:t>S</w:t>
            </w:r>
            <w:r>
              <w:rPr>
                <w:rFonts w:hint="eastAsia"/>
              </w:rPr>
              <w:t>废气采用燃烧工艺（包括直接燃烧、催化燃烧和蓄热燃烧）进行最终处理，或采用活性炭吸附处理（采用颗粒状活性炭的，柱状活性炭直径≤5mm、碘值≥800mg/g，且填充量与每小时处理废气量体积之比满足1:7000的要求；使用蜂窝状活性炭的，碘值≥650mg/g 、比表面积 应不低于750m²/g，且填充量与每小时处理废气量体积之比满足1:5000 的要求；活性炭吸附设施废气进口处安装有仪器仪表等装置，可实时监测显示并记录湿度、温度等数据，废气温度、颗粒物、相对湿度分别不超过 40</w:t>
            </w:r>
            <w:r>
              <w:rPr>
                <w:rFonts w:hint="default" w:ascii="Times New Roman" w:hAnsi="Times New Roman" w:cs="Times New Roman"/>
              </w:rPr>
              <w:t>℃</w:t>
            </w:r>
            <w:r>
              <w:rPr>
                <w:rFonts w:hint="eastAsia"/>
              </w:rPr>
              <w:t>、1mg/m</w:t>
            </w:r>
            <w:r>
              <w:rPr>
                <w:rFonts w:hint="eastAsia"/>
                <w:vertAlign w:val="superscript"/>
              </w:rPr>
              <w:t>3</w:t>
            </w:r>
            <w:r>
              <w:rPr>
                <w:rFonts w:hint="eastAsia"/>
              </w:rPr>
              <w:t>、50%）；废气中含有油烟或颗粒物的，应在VOC</w:t>
            </w:r>
            <w:r>
              <w:rPr>
                <w:rFonts w:hint="eastAsia"/>
                <w:vertAlign w:val="subscript"/>
                <w:lang w:val="en-US" w:eastAsia="zh-CN"/>
              </w:rPr>
              <w:t>S</w:t>
            </w:r>
            <w:r>
              <w:rPr>
                <w:rFonts w:hint="eastAsia"/>
              </w:rPr>
              <w:t xml:space="preserve"> 治理设施前端加装除尘设施或油烟净化装置；</w:t>
            </w:r>
          </w:p>
          <w:p w14:paraId="58C297BB">
            <w:pPr>
              <w:pStyle w:val="77"/>
              <w:ind w:firstLine="0" w:firstLineChars="0"/>
              <w:jc w:val="both"/>
            </w:pPr>
            <w:r>
              <w:rPr>
                <w:rFonts w:hint="eastAsia"/>
              </w:rPr>
              <w:t>3.废气收集采用侧吸式集气罩、槽边排风等高效集气技术，实现微负压收集。</w:t>
            </w:r>
          </w:p>
        </w:tc>
        <w:tc>
          <w:tcPr>
            <w:tcW w:w="1679" w:type="pct"/>
            <w:tcBorders>
              <w:tl2br w:val="nil"/>
              <w:tr2bl w:val="nil"/>
            </w:tcBorders>
            <w:vAlign w:val="center"/>
          </w:tcPr>
          <w:p w14:paraId="3C43D1DA">
            <w:pPr>
              <w:pStyle w:val="77"/>
              <w:ind w:firstLine="0" w:firstLineChars="0"/>
              <w:jc w:val="both"/>
            </w:pPr>
            <w:r>
              <w:rPr>
                <w:rFonts w:hint="eastAsia"/>
              </w:rPr>
              <w:t>1.电镀酸碱废气采用两级碱喷淋吸收塔进行处理，并采用pH计控制，实现自动加药，药液液位自动控制；</w:t>
            </w:r>
          </w:p>
          <w:p w14:paraId="10D667C6">
            <w:pPr>
              <w:pStyle w:val="77"/>
              <w:ind w:firstLine="0" w:firstLineChars="0"/>
              <w:jc w:val="both"/>
            </w:pPr>
            <w:r>
              <w:rPr>
                <w:rFonts w:hint="eastAsia"/>
              </w:rPr>
              <w:t>2.本项目不涉及油雾及VOC</w:t>
            </w:r>
            <w:r>
              <w:rPr>
                <w:rFonts w:hint="eastAsia"/>
                <w:vertAlign w:val="subscript"/>
                <w:lang w:val="en-US" w:eastAsia="zh-CN"/>
              </w:rPr>
              <w:t>S</w:t>
            </w:r>
            <w:r>
              <w:rPr>
                <w:rFonts w:hint="eastAsia"/>
              </w:rPr>
              <w:t>；</w:t>
            </w:r>
          </w:p>
          <w:p w14:paraId="0C57C6AA">
            <w:pPr>
              <w:pStyle w:val="77"/>
              <w:ind w:firstLine="0" w:firstLineChars="0"/>
              <w:jc w:val="both"/>
            </w:pPr>
            <w:r>
              <w:rPr>
                <w:rFonts w:hint="eastAsia"/>
              </w:rPr>
              <w:t>3.废气收集采用生产线封闭+密闭抽风+槽边抽风等高效集气技术。</w:t>
            </w:r>
          </w:p>
        </w:tc>
        <w:tc>
          <w:tcPr>
            <w:tcW w:w="531" w:type="pct"/>
            <w:tcBorders>
              <w:tl2br w:val="nil"/>
              <w:tr2bl w:val="nil"/>
            </w:tcBorders>
            <w:shd w:val="clear" w:color="auto" w:fill="auto"/>
            <w:vAlign w:val="center"/>
          </w:tcPr>
          <w:p w14:paraId="1E6D0FEC">
            <w:pPr>
              <w:pStyle w:val="75"/>
              <w:rPr>
                <w:szCs w:val="28"/>
              </w:rPr>
            </w:pPr>
            <w:r>
              <w:rPr>
                <w:rFonts w:hint="eastAsia"/>
                <w:szCs w:val="28"/>
              </w:rPr>
              <w:t>按</w:t>
            </w:r>
            <w:r>
              <w:rPr>
                <w:szCs w:val="28"/>
              </w:rPr>
              <w:t>A</w:t>
            </w:r>
            <w:r>
              <w:rPr>
                <w:rFonts w:hint="eastAsia"/>
                <w:szCs w:val="28"/>
              </w:rPr>
              <w:t>级要求进行建设</w:t>
            </w:r>
          </w:p>
        </w:tc>
      </w:tr>
      <w:tr w14:paraId="3D9B9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continue"/>
            <w:tcBorders>
              <w:tl2br w:val="nil"/>
              <w:tr2bl w:val="nil"/>
            </w:tcBorders>
            <w:shd w:val="clear" w:color="auto" w:fill="auto"/>
            <w:vAlign w:val="center"/>
          </w:tcPr>
          <w:p w14:paraId="38D5C57E">
            <w:pPr>
              <w:pStyle w:val="75"/>
              <w:rPr>
                <w:szCs w:val="28"/>
              </w:rPr>
            </w:pPr>
          </w:p>
        </w:tc>
        <w:tc>
          <w:tcPr>
            <w:tcW w:w="2374" w:type="pct"/>
            <w:tcBorders>
              <w:tl2br w:val="nil"/>
              <w:tr2bl w:val="nil"/>
            </w:tcBorders>
            <w:shd w:val="clear" w:color="auto" w:fill="auto"/>
            <w:vAlign w:val="center"/>
          </w:tcPr>
          <w:p w14:paraId="7C065527">
            <w:pPr>
              <w:pStyle w:val="77"/>
              <w:ind w:firstLine="0" w:firstLineChars="0"/>
              <w:jc w:val="both"/>
            </w:pPr>
            <w:r>
              <w:rPr>
                <w:rFonts w:hint="eastAsia"/>
              </w:rPr>
              <w:t>热处理加工：</w:t>
            </w:r>
          </w:p>
          <w:p w14:paraId="19FDA5F7">
            <w:pPr>
              <w:pStyle w:val="77"/>
              <w:ind w:firstLine="0" w:firstLineChars="0"/>
            </w:pPr>
            <w:r>
              <w:rPr>
                <w:rFonts w:hint="eastAsia"/>
              </w:rPr>
              <w:t>1.除尘采用高效袋式除尘或其他高效过滤式除尘设施；</w:t>
            </w:r>
          </w:p>
          <w:p w14:paraId="6E6F2F42">
            <w:pPr>
              <w:pStyle w:val="77"/>
              <w:ind w:firstLine="0" w:firstLineChars="0"/>
              <w:jc w:val="both"/>
              <w:rPr>
                <w:rFonts w:hint="eastAsia"/>
              </w:rPr>
            </w:pPr>
            <w:r>
              <w:rPr>
                <w:rFonts w:hint="eastAsia"/>
                <w:lang w:val="en-US" w:eastAsia="zh-CN"/>
              </w:rPr>
              <w:t>2.</w:t>
            </w:r>
            <w:r>
              <w:rPr>
                <w:rFonts w:hint="eastAsia"/>
              </w:rPr>
              <w:t>热处理炉与锅炉烟气采用低氮燃烧或烟气循环、SNCR/SCR 等技术；使用氨法脱硝的企业，氨的装卸、储存、输送、制备等过程全程密闭，并采取氨气泄漏检测和收集措施；采用尿素作为还原剂的配备有尿素加热水解制氨系统。</w:t>
            </w:r>
          </w:p>
          <w:p w14:paraId="780BEDF0">
            <w:pPr>
              <w:pStyle w:val="77"/>
              <w:ind w:firstLine="0" w:firstLineChars="0"/>
              <w:jc w:val="both"/>
            </w:pPr>
            <w:r>
              <w:rPr>
                <w:rFonts w:hint="eastAsia"/>
              </w:rPr>
              <w:t>废水收集及处理环节：废水储存、处理设施，在曝气池之前加盖密闭或采取其他密闭措施，并密闭排气至废气处理设备。</w:t>
            </w:r>
          </w:p>
        </w:tc>
        <w:tc>
          <w:tcPr>
            <w:tcW w:w="1679" w:type="pct"/>
            <w:tcBorders>
              <w:tl2br w:val="nil"/>
              <w:tr2bl w:val="nil"/>
            </w:tcBorders>
            <w:vAlign w:val="center"/>
          </w:tcPr>
          <w:p w14:paraId="7CB3F9AF">
            <w:pPr>
              <w:pStyle w:val="77"/>
              <w:ind w:firstLine="0" w:firstLineChars="0"/>
              <w:jc w:val="both"/>
            </w:pPr>
            <w:r>
              <w:rPr>
                <w:rFonts w:hint="eastAsia"/>
              </w:rPr>
              <w:t>热处理加工：本项目</w:t>
            </w:r>
            <w:r>
              <w:rPr>
                <w:rFonts w:hint="eastAsia"/>
                <w:lang w:val="en-US" w:eastAsia="zh-CN"/>
              </w:rPr>
              <w:t>蒸汽发生器使用电为能源</w:t>
            </w:r>
            <w:r>
              <w:rPr>
                <w:rFonts w:hint="eastAsia"/>
              </w:rPr>
              <w:t>。</w:t>
            </w:r>
          </w:p>
          <w:p w14:paraId="1F7EA530">
            <w:pPr>
              <w:pStyle w:val="77"/>
              <w:ind w:firstLine="0" w:firstLineChars="0"/>
              <w:jc w:val="both"/>
            </w:pPr>
            <w:r>
              <w:rPr>
                <w:rFonts w:hint="eastAsia"/>
              </w:rPr>
              <w:t>废水收集及处理环节：建设要求企业废水</w:t>
            </w:r>
            <w:r>
              <w:rPr>
                <w:rFonts w:hint="eastAsia"/>
                <w:lang w:val="en-US" w:eastAsia="zh-CN"/>
              </w:rPr>
              <w:t>处理设施</w:t>
            </w:r>
            <w:r>
              <w:rPr>
                <w:rFonts w:hint="eastAsia"/>
              </w:rPr>
              <w:t>加盖密闭，污水处理站废气密闭收集至生物除臭滤塔进行处理。</w:t>
            </w:r>
          </w:p>
        </w:tc>
        <w:tc>
          <w:tcPr>
            <w:tcW w:w="531" w:type="pct"/>
            <w:tcBorders>
              <w:tl2br w:val="nil"/>
              <w:tr2bl w:val="nil"/>
            </w:tcBorders>
            <w:shd w:val="clear" w:color="auto" w:fill="auto"/>
            <w:vAlign w:val="center"/>
          </w:tcPr>
          <w:p w14:paraId="5893EA98">
            <w:pPr>
              <w:pStyle w:val="75"/>
              <w:rPr>
                <w:szCs w:val="28"/>
              </w:rPr>
            </w:pPr>
            <w:r>
              <w:rPr>
                <w:rFonts w:hint="eastAsia"/>
                <w:szCs w:val="28"/>
              </w:rPr>
              <w:t>按</w:t>
            </w:r>
            <w:r>
              <w:rPr>
                <w:szCs w:val="28"/>
              </w:rPr>
              <w:t>A</w:t>
            </w:r>
            <w:r>
              <w:rPr>
                <w:rFonts w:hint="eastAsia"/>
                <w:szCs w:val="28"/>
              </w:rPr>
              <w:t>级要求进行建设</w:t>
            </w:r>
          </w:p>
        </w:tc>
      </w:tr>
      <w:tr w14:paraId="58037C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restart"/>
            <w:tcBorders>
              <w:tl2br w:val="nil"/>
              <w:tr2bl w:val="nil"/>
            </w:tcBorders>
            <w:shd w:val="clear" w:color="auto" w:fill="auto"/>
            <w:vAlign w:val="center"/>
          </w:tcPr>
          <w:p w14:paraId="16556D6D">
            <w:pPr>
              <w:pStyle w:val="75"/>
              <w:rPr>
                <w:szCs w:val="28"/>
              </w:rPr>
            </w:pPr>
            <w:r>
              <w:rPr>
                <w:rFonts w:hint="eastAsia"/>
                <w:szCs w:val="28"/>
              </w:rPr>
              <w:t>排放限值</w:t>
            </w:r>
          </w:p>
        </w:tc>
        <w:tc>
          <w:tcPr>
            <w:tcW w:w="2374" w:type="pct"/>
            <w:tcBorders>
              <w:tl2br w:val="nil"/>
              <w:tr2bl w:val="nil"/>
            </w:tcBorders>
            <w:shd w:val="clear" w:color="auto" w:fill="auto"/>
            <w:vAlign w:val="center"/>
          </w:tcPr>
          <w:p w14:paraId="6653B122">
            <w:pPr>
              <w:pStyle w:val="77"/>
              <w:ind w:firstLine="0" w:firstLineChars="0"/>
              <w:jc w:val="both"/>
            </w:pPr>
            <w:r>
              <w:rPr>
                <w:rFonts w:hint="eastAsia"/>
              </w:rPr>
              <w:t>1.PM排放限值要求：排放浓度不超过10mg/m</w:t>
            </w:r>
            <w:r>
              <w:rPr>
                <w:rFonts w:hint="eastAsia"/>
                <w:vertAlign w:val="superscript"/>
              </w:rPr>
              <w:t>3</w:t>
            </w:r>
            <w:r>
              <w:rPr>
                <w:rFonts w:hint="eastAsia"/>
              </w:rPr>
              <w:t>；</w:t>
            </w:r>
          </w:p>
          <w:p w14:paraId="33BF4A95">
            <w:pPr>
              <w:pStyle w:val="77"/>
              <w:ind w:firstLine="0" w:firstLineChars="0"/>
              <w:jc w:val="both"/>
            </w:pPr>
            <w:r>
              <w:rPr>
                <w:rFonts w:hint="eastAsia"/>
              </w:rPr>
              <w:t>2.电镀生产线氯化氢、硫酸雾排放浓度不超过10mg/m</w:t>
            </w:r>
            <w:r>
              <w:rPr>
                <w:rFonts w:hint="eastAsia"/>
                <w:vertAlign w:val="superscript"/>
              </w:rPr>
              <w:t>3</w:t>
            </w:r>
            <w:r>
              <w:rPr>
                <w:rFonts w:hint="eastAsia"/>
              </w:rPr>
              <w:t>；铬酸雾排放浓度不超过0.05mg/m</w:t>
            </w:r>
            <w:r>
              <w:rPr>
                <w:rFonts w:hint="eastAsia"/>
                <w:vertAlign w:val="superscript"/>
              </w:rPr>
              <w:t>3</w:t>
            </w:r>
            <w:r>
              <w:rPr>
                <w:rFonts w:hint="eastAsia"/>
              </w:rPr>
              <w:t>；氰化氢排放浓度不超过0.5mg/m</w:t>
            </w:r>
            <w:r>
              <w:rPr>
                <w:rFonts w:hint="eastAsia"/>
                <w:vertAlign w:val="superscript"/>
              </w:rPr>
              <w:t>3</w:t>
            </w:r>
            <w:r>
              <w:rPr>
                <w:rFonts w:hint="eastAsia"/>
              </w:rPr>
              <w:t>；氟化物排放浓度不超过5mg/m</w:t>
            </w:r>
            <w:r>
              <w:rPr>
                <w:rFonts w:hint="eastAsia"/>
                <w:vertAlign w:val="superscript"/>
              </w:rPr>
              <w:t>3</w:t>
            </w:r>
            <w:r>
              <w:rPr>
                <w:rFonts w:hint="eastAsia"/>
              </w:rPr>
              <w:t>；NO</w:t>
            </w:r>
            <w:r>
              <w:rPr>
                <w:rFonts w:hint="eastAsia"/>
                <w:vertAlign w:val="subscript"/>
                <w:lang w:val="en-US" w:eastAsia="zh-CN"/>
              </w:rPr>
              <w:t>X</w:t>
            </w:r>
            <w:r>
              <w:rPr>
                <w:rFonts w:hint="eastAsia"/>
              </w:rPr>
              <w:t>排放浓度不超过100mg/m</w:t>
            </w:r>
            <w:r>
              <w:rPr>
                <w:rFonts w:hint="eastAsia"/>
                <w:vertAlign w:val="superscript"/>
              </w:rPr>
              <w:t>3</w:t>
            </w:r>
            <w:r>
              <w:rPr>
                <w:rFonts w:hint="eastAsia"/>
              </w:rPr>
              <w:t>；</w:t>
            </w:r>
          </w:p>
          <w:p w14:paraId="4C9CF8D1">
            <w:pPr>
              <w:pStyle w:val="77"/>
              <w:ind w:firstLine="0" w:firstLineChars="0"/>
              <w:jc w:val="both"/>
            </w:pPr>
            <w:r>
              <w:rPr>
                <w:rFonts w:hint="eastAsia"/>
              </w:rPr>
              <w:t>3.燃气锅炉排放限值要求：PM、SO</w:t>
            </w:r>
            <w:r>
              <w:rPr>
                <w:rFonts w:hint="eastAsia"/>
                <w:vertAlign w:val="subscript"/>
              </w:rPr>
              <w:t>2</w:t>
            </w:r>
            <w:r>
              <w:rPr>
                <w:rFonts w:hint="eastAsia"/>
              </w:rPr>
              <w:t>、NO</w:t>
            </w:r>
            <w:r>
              <w:rPr>
                <w:rFonts w:hint="eastAsia"/>
                <w:vertAlign w:val="subscript"/>
                <w:lang w:val="en-US" w:eastAsia="zh-CN"/>
              </w:rPr>
              <w:t>X</w:t>
            </w:r>
            <w:r>
              <w:rPr>
                <w:rFonts w:hint="eastAsia"/>
              </w:rPr>
              <w:t>排放浓度分别不高于：5、10、50/30mg/m</w:t>
            </w:r>
            <w:r>
              <w:rPr>
                <w:rFonts w:hint="eastAsia"/>
                <w:vertAlign w:val="superscript"/>
              </w:rPr>
              <w:t>3</w:t>
            </w:r>
            <w:r>
              <w:rPr>
                <w:rFonts w:hint="eastAsia"/>
              </w:rPr>
              <w:t>（基准含氧量：燃气3.5%）。</w:t>
            </w:r>
          </w:p>
        </w:tc>
        <w:tc>
          <w:tcPr>
            <w:tcW w:w="1679" w:type="pct"/>
            <w:tcBorders>
              <w:tl2br w:val="nil"/>
              <w:tr2bl w:val="nil"/>
            </w:tcBorders>
            <w:vAlign w:val="center"/>
          </w:tcPr>
          <w:p w14:paraId="3D0236BA">
            <w:pPr>
              <w:pStyle w:val="77"/>
              <w:ind w:firstLine="0" w:firstLineChars="0"/>
              <w:jc w:val="both"/>
            </w:pPr>
            <w:r>
              <w:rPr>
                <w:rFonts w:hint="eastAsia"/>
              </w:rPr>
              <w:t>根据预测，本项目硫酸雾排放浓度不超过10mg/m</w:t>
            </w:r>
            <w:r>
              <w:rPr>
                <w:rFonts w:hint="eastAsia"/>
                <w:vertAlign w:val="superscript"/>
              </w:rPr>
              <w:t>3</w:t>
            </w:r>
            <w:r>
              <w:rPr>
                <w:rFonts w:hint="eastAsia"/>
              </w:rPr>
              <w:t>；铬酸雾排放浓度不超过0.05mg/m</w:t>
            </w:r>
            <w:r>
              <w:rPr>
                <w:rFonts w:hint="eastAsia"/>
                <w:vertAlign w:val="superscript"/>
              </w:rPr>
              <w:t>3</w:t>
            </w:r>
            <w:r>
              <w:rPr>
                <w:rFonts w:hint="eastAsia"/>
              </w:rPr>
              <w:t>，满足电镀生产线硫酸雾排放浓度不超过10mg/m</w:t>
            </w:r>
            <w:r>
              <w:rPr>
                <w:rFonts w:hint="eastAsia"/>
                <w:vertAlign w:val="superscript"/>
              </w:rPr>
              <w:t>3</w:t>
            </w:r>
            <w:r>
              <w:rPr>
                <w:rFonts w:hint="eastAsia"/>
              </w:rPr>
              <w:t>；铬酸雾排放浓度不超过0.05mg/m</w:t>
            </w:r>
            <w:r>
              <w:rPr>
                <w:rFonts w:hint="eastAsia"/>
                <w:vertAlign w:val="superscript"/>
              </w:rPr>
              <w:t>3</w:t>
            </w:r>
            <w:r>
              <w:t>的标准</w:t>
            </w:r>
            <w:r>
              <w:rPr>
                <w:rFonts w:hint="eastAsia"/>
              </w:rPr>
              <w:t>要求。</w:t>
            </w:r>
          </w:p>
        </w:tc>
        <w:tc>
          <w:tcPr>
            <w:tcW w:w="531" w:type="pct"/>
            <w:tcBorders>
              <w:tl2br w:val="nil"/>
              <w:tr2bl w:val="nil"/>
            </w:tcBorders>
            <w:shd w:val="clear" w:color="auto" w:fill="auto"/>
            <w:vAlign w:val="center"/>
          </w:tcPr>
          <w:p w14:paraId="18FA5E61">
            <w:pPr>
              <w:pStyle w:val="75"/>
              <w:rPr>
                <w:szCs w:val="28"/>
              </w:rPr>
            </w:pPr>
            <w:r>
              <w:rPr>
                <w:rFonts w:hint="eastAsia"/>
                <w:szCs w:val="28"/>
              </w:rPr>
              <w:t>按</w:t>
            </w:r>
            <w:r>
              <w:rPr>
                <w:szCs w:val="28"/>
              </w:rPr>
              <w:t>A</w:t>
            </w:r>
            <w:r>
              <w:rPr>
                <w:rFonts w:hint="eastAsia"/>
                <w:szCs w:val="28"/>
              </w:rPr>
              <w:t>级要求进行建设</w:t>
            </w:r>
          </w:p>
        </w:tc>
      </w:tr>
      <w:tr w14:paraId="4F61AF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continue"/>
            <w:tcBorders>
              <w:tl2br w:val="nil"/>
              <w:tr2bl w:val="nil"/>
            </w:tcBorders>
            <w:shd w:val="clear" w:color="auto" w:fill="auto"/>
            <w:vAlign w:val="center"/>
          </w:tcPr>
          <w:p w14:paraId="18D72B26">
            <w:pPr>
              <w:pStyle w:val="75"/>
              <w:rPr>
                <w:szCs w:val="28"/>
              </w:rPr>
            </w:pPr>
          </w:p>
        </w:tc>
        <w:tc>
          <w:tcPr>
            <w:tcW w:w="2374" w:type="pct"/>
            <w:tcBorders>
              <w:tl2br w:val="nil"/>
              <w:tr2bl w:val="nil"/>
            </w:tcBorders>
            <w:shd w:val="clear" w:color="auto" w:fill="auto"/>
            <w:vAlign w:val="center"/>
          </w:tcPr>
          <w:p w14:paraId="119F1B83">
            <w:pPr>
              <w:pStyle w:val="77"/>
              <w:ind w:firstLine="0" w:firstLineChars="0"/>
            </w:pPr>
            <w:r>
              <w:rPr>
                <w:rFonts w:hint="eastAsia"/>
              </w:rPr>
              <w:t>热处理炉烟气排放限值（略，不涉及）</w:t>
            </w:r>
          </w:p>
        </w:tc>
        <w:tc>
          <w:tcPr>
            <w:tcW w:w="1679" w:type="pct"/>
            <w:tcBorders>
              <w:tl2br w:val="nil"/>
              <w:tr2bl w:val="nil"/>
            </w:tcBorders>
            <w:vAlign w:val="center"/>
          </w:tcPr>
          <w:p w14:paraId="1FEF27BD">
            <w:pPr>
              <w:pStyle w:val="77"/>
              <w:ind w:firstLine="0" w:firstLineChars="0"/>
              <w:jc w:val="center"/>
            </w:pPr>
            <w:r>
              <w:rPr>
                <w:rFonts w:hint="eastAsia"/>
              </w:rPr>
              <w:t>本项目不涉及。</w:t>
            </w:r>
          </w:p>
        </w:tc>
        <w:tc>
          <w:tcPr>
            <w:tcW w:w="531" w:type="pct"/>
            <w:tcBorders>
              <w:tl2br w:val="nil"/>
              <w:tr2bl w:val="nil"/>
            </w:tcBorders>
            <w:shd w:val="clear" w:color="auto" w:fill="auto"/>
            <w:vAlign w:val="center"/>
          </w:tcPr>
          <w:p w14:paraId="34D44B83">
            <w:pPr>
              <w:pStyle w:val="75"/>
              <w:rPr>
                <w:szCs w:val="28"/>
              </w:rPr>
            </w:pPr>
            <w:r>
              <w:rPr>
                <w:rFonts w:hint="eastAsia"/>
                <w:szCs w:val="28"/>
              </w:rPr>
              <w:t>/</w:t>
            </w:r>
          </w:p>
        </w:tc>
      </w:tr>
      <w:tr w14:paraId="5067AA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71A491DD">
            <w:pPr>
              <w:pStyle w:val="75"/>
              <w:jc w:val="both"/>
              <w:rPr>
                <w:szCs w:val="28"/>
              </w:rPr>
            </w:pPr>
            <w:r>
              <w:rPr>
                <w:rFonts w:hint="eastAsia"/>
                <w:szCs w:val="28"/>
              </w:rPr>
              <w:t>无组织管控</w:t>
            </w:r>
          </w:p>
        </w:tc>
        <w:tc>
          <w:tcPr>
            <w:tcW w:w="2374" w:type="pct"/>
            <w:tcBorders>
              <w:tl2br w:val="nil"/>
              <w:tr2bl w:val="nil"/>
            </w:tcBorders>
            <w:shd w:val="clear" w:color="auto" w:fill="auto"/>
            <w:vAlign w:val="center"/>
          </w:tcPr>
          <w:p w14:paraId="517CD0A8">
            <w:pPr>
              <w:pStyle w:val="77"/>
              <w:ind w:firstLine="0" w:firstLineChars="0"/>
              <w:jc w:val="both"/>
            </w:pPr>
            <w:r>
              <w:rPr>
                <w:rFonts w:hint="eastAsia"/>
              </w:rPr>
              <w:t>1.所有物料（包括原辅料、半成品、成品）进封闭仓库分区存放，厂内无露天堆放物料；</w:t>
            </w:r>
          </w:p>
          <w:p w14:paraId="3C5DA329">
            <w:pPr>
              <w:pStyle w:val="77"/>
              <w:ind w:firstLine="0" w:firstLineChars="0"/>
              <w:jc w:val="both"/>
            </w:pPr>
            <w:r>
              <w:rPr>
                <w:rFonts w:hint="eastAsia"/>
              </w:rPr>
              <w:t>2.车间、料库四面封闭，通道口安装卷帘门、推拉门等封闭性良好且便于开关的硬质门；</w:t>
            </w:r>
          </w:p>
          <w:p w14:paraId="6F492579">
            <w:pPr>
              <w:pStyle w:val="77"/>
              <w:ind w:firstLine="0" w:firstLineChars="0"/>
              <w:jc w:val="both"/>
            </w:pPr>
            <w:r>
              <w:rPr>
                <w:rFonts w:hint="eastAsia"/>
              </w:rPr>
              <w:t>3.易挥发原辅料应采用密闭容器盛装，并采用吸附交换法等技术回收废酸液；运输应采用密闭容器或罐车进行物料转移，调配、使用等过程采用密闭设备或在封闭空间内操作，废气收集至相应处理系统；</w:t>
            </w:r>
          </w:p>
          <w:p w14:paraId="642F7B08">
            <w:pPr>
              <w:pStyle w:val="77"/>
              <w:ind w:firstLine="0" w:firstLineChars="0"/>
              <w:jc w:val="both"/>
            </w:pPr>
            <w:r>
              <w:rPr>
                <w:rFonts w:hint="eastAsia"/>
              </w:rPr>
              <w:t>4.转移和输送VOC</w:t>
            </w:r>
            <w:r>
              <w:rPr>
                <w:rFonts w:hint="eastAsia"/>
                <w:vertAlign w:val="subscript"/>
                <w:lang w:val="en-US" w:eastAsia="zh-CN"/>
              </w:rPr>
              <w:t>S</w:t>
            </w:r>
            <w:r>
              <w:rPr>
                <w:rFonts w:hint="eastAsia"/>
              </w:rPr>
              <w:t>物料以及VOC</w:t>
            </w:r>
            <w:r>
              <w:rPr>
                <w:rFonts w:hint="eastAsia"/>
                <w:vertAlign w:val="subscript"/>
                <w:lang w:val="en-US" w:eastAsia="zh-CN"/>
              </w:rPr>
              <w:t>S</w:t>
            </w:r>
            <w:r>
              <w:rPr>
                <w:rFonts w:hint="eastAsia"/>
              </w:rPr>
              <w:t>废料（渣、液）时，应采用密闭管道或密闭容器；</w:t>
            </w:r>
          </w:p>
          <w:p w14:paraId="0C8FC74A">
            <w:pPr>
              <w:pStyle w:val="77"/>
              <w:ind w:firstLine="0" w:firstLineChars="0"/>
              <w:jc w:val="both"/>
            </w:pPr>
            <w:r>
              <w:rPr>
                <w:rFonts w:hint="eastAsia"/>
              </w:rPr>
              <w:t>5.镀槽、镀件提升转运装置、电器控制装置、电源设备、过滤设备、检测仪器、加热与冷却装置、滚筒驱动装置、空气搅拌设备及线上污染控制设施等采用一体自动化成套装置；化学抛光槽、镀铬槽应加入酸雾抑制剂，有效减少废气产生；</w:t>
            </w:r>
          </w:p>
          <w:p w14:paraId="02DD0C25">
            <w:pPr>
              <w:pStyle w:val="77"/>
              <w:ind w:firstLine="0" w:firstLineChars="0"/>
              <w:jc w:val="both"/>
            </w:pPr>
            <w:r>
              <w:rPr>
                <w:rFonts w:hint="eastAsia"/>
              </w:rPr>
              <w:t>6.金属表面处理及热处理工序应在密闭车间内进行，或在封闭车间内采取二次封闭措施，并对工序产生的酸雾、油雾及VOC</w:t>
            </w:r>
            <w:r>
              <w:rPr>
                <w:rFonts w:hint="eastAsia"/>
                <w:vertAlign w:val="subscript"/>
                <w:lang w:val="en-US" w:eastAsia="zh-CN"/>
              </w:rPr>
              <w:t>S</w:t>
            </w:r>
            <w:r>
              <w:rPr>
                <w:rFonts w:hint="eastAsia"/>
              </w:rPr>
              <w:t>废气进行密闭收集处理。采用外部罩的，距集气罩开口面最远处的废气无组织排放位置，风速应不低于0.3米/秒；</w:t>
            </w:r>
          </w:p>
          <w:p w14:paraId="7527ABFF">
            <w:pPr>
              <w:pStyle w:val="77"/>
              <w:ind w:firstLine="0" w:firstLineChars="0"/>
              <w:jc w:val="both"/>
              <w:rPr>
                <w:rFonts w:hint="eastAsia"/>
              </w:rPr>
            </w:pPr>
            <w:r>
              <w:rPr>
                <w:rFonts w:hint="eastAsia"/>
              </w:rPr>
              <w:t>7.厂区地面全部绿化或硬化，无成片裸露土地。车间规范平整，无物料洒落和“跑、冒、滴、漏”现象。</w:t>
            </w:r>
          </w:p>
          <w:p w14:paraId="05C184BB">
            <w:pPr>
              <w:pStyle w:val="77"/>
              <w:ind w:firstLine="0" w:firstLineChars="0"/>
              <w:jc w:val="both"/>
              <w:rPr>
                <w:rFonts w:hint="eastAsia"/>
              </w:rPr>
            </w:pPr>
            <w:r>
              <w:rPr>
                <w:rFonts w:hint="eastAsia"/>
              </w:rPr>
              <w:t>8.贮存易产生粉尘、VOC</w:t>
            </w:r>
            <w:r>
              <w:rPr>
                <w:rFonts w:hint="eastAsia"/>
                <w:vertAlign w:val="subscript"/>
                <w:lang w:val="en-US" w:eastAsia="zh-CN"/>
              </w:rPr>
              <w:t>S</w:t>
            </w:r>
            <w:r>
              <w:rPr>
                <w:rFonts w:hint="eastAsia"/>
              </w:rPr>
              <w:t>、酸雾、有毒有害大气污染物和异味的危险废物贮存库，设有废气收集装置和处理设施，废气处理设施的排气筒高度不低于15m。</w:t>
            </w:r>
          </w:p>
        </w:tc>
        <w:tc>
          <w:tcPr>
            <w:tcW w:w="1679" w:type="pct"/>
            <w:tcBorders>
              <w:tl2br w:val="nil"/>
              <w:tr2bl w:val="nil"/>
            </w:tcBorders>
            <w:vAlign w:val="center"/>
          </w:tcPr>
          <w:p w14:paraId="0DFE5D90">
            <w:pPr>
              <w:pStyle w:val="77"/>
              <w:ind w:firstLine="0" w:firstLineChars="0"/>
              <w:jc w:val="both"/>
            </w:pPr>
            <w:r>
              <w:rPr>
                <w:rFonts w:hint="eastAsia"/>
              </w:rPr>
              <w:t>1.所有物料（包括原辅料、半成品、成品）进封闭仓库分区存放，厂内无露天堆放物料；</w:t>
            </w:r>
          </w:p>
          <w:p w14:paraId="72581488">
            <w:pPr>
              <w:pStyle w:val="77"/>
              <w:ind w:firstLine="0" w:firstLineChars="0"/>
              <w:jc w:val="both"/>
            </w:pPr>
            <w:r>
              <w:rPr>
                <w:rFonts w:hint="eastAsia"/>
              </w:rPr>
              <w:t>2.车间、料库四面封闭，通道口安装卷帘门、推拉门等封闭性良好且便于开关的硬质门；</w:t>
            </w:r>
          </w:p>
          <w:p w14:paraId="3818A097">
            <w:pPr>
              <w:pStyle w:val="77"/>
              <w:ind w:firstLine="0" w:firstLineChars="0"/>
              <w:jc w:val="both"/>
            </w:pPr>
            <w:r>
              <w:rPr>
                <w:rFonts w:hint="eastAsia"/>
              </w:rPr>
              <w:t>3.易挥发的原辅料采用密闭容器盛装，储存于密闭化学品库内，化学品库设置负压抽风装置，废气引入碱喷淋吸收塔进行处理；运输采用密闭容器或罐车进行物料转移，易挥发原料配制、使用过程中应在密闭生产线内进行，废气引入碱喷淋吸收塔进行处理；</w:t>
            </w:r>
          </w:p>
          <w:p w14:paraId="23D58C03">
            <w:pPr>
              <w:pStyle w:val="77"/>
              <w:ind w:firstLine="0" w:firstLineChars="0"/>
              <w:jc w:val="both"/>
            </w:pPr>
            <w:r>
              <w:rPr>
                <w:rFonts w:hint="eastAsia"/>
              </w:rPr>
              <w:t>4.本项目不涉及VOC</w:t>
            </w:r>
            <w:r>
              <w:rPr>
                <w:rFonts w:hint="eastAsia"/>
                <w:vertAlign w:val="subscript"/>
                <w:lang w:val="en-US" w:eastAsia="zh-CN"/>
              </w:rPr>
              <w:t>S</w:t>
            </w:r>
            <w:r>
              <w:rPr>
                <w:rFonts w:hint="eastAsia"/>
              </w:rPr>
              <w:t>物料以及VOC</w:t>
            </w:r>
            <w:r>
              <w:rPr>
                <w:rFonts w:hint="eastAsia"/>
                <w:vertAlign w:val="subscript"/>
                <w:lang w:val="en-US" w:eastAsia="zh-CN"/>
              </w:rPr>
              <w:t>S</w:t>
            </w:r>
            <w:r>
              <w:rPr>
                <w:rFonts w:hint="eastAsia"/>
              </w:rPr>
              <w:t>废料；</w:t>
            </w:r>
          </w:p>
          <w:p w14:paraId="526909AF">
            <w:pPr>
              <w:pStyle w:val="77"/>
              <w:ind w:firstLine="0" w:firstLineChars="0"/>
              <w:jc w:val="both"/>
            </w:pPr>
            <w:r>
              <w:rPr>
                <w:rFonts w:hint="eastAsia"/>
              </w:rPr>
              <w:t>5.镀槽、镀件提升转运装置、电器控制装置、电源设备、过滤设备、检测仪器、加热与冷却装置、滚筒驱动装置</w:t>
            </w:r>
            <w:r>
              <w:rPr>
                <w:rFonts w:hint="eastAsia"/>
                <w:lang w:val="en-US" w:eastAsia="zh-CN"/>
              </w:rPr>
              <w:t>及</w:t>
            </w:r>
            <w:r>
              <w:rPr>
                <w:rFonts w:hint="eastAsia"/>
              </w:rPr>
              <w:t>线上污染控制设施等采用一体自动化成套装置；</w:t>
            </w:r>
          </w:p>
          <w:p w14:paraId="22A55A10">
            <w:pPr>
              <w:pStyle w:val="77"/>
              <w:ind w:firstLine="0" w:firstLineChars="0"/>
              <w:jc w:val="both"/>
            </w:pPr>
            <w:r>
              <w:rPr>
                <w:rFonts w:hint="eastAsia"/>
              </w:rPr>
              <w:t>6.电镀线在封闭车间内采取二次密闭措施，并对工序产生的酸雾进行密闭收集处理；</w:t>
            </w:r>
          </w:p>
          <w:p w14:paraId="3C7CE956">
            <w:pPr>
              <w:pStyle w:val="77"/>
              <w:ind w:firstLine="0" w:firstLineChars="0"/>
              <w:jc w:val="both"/>
              <w:rPr>
                <w:rFonts w:hint="eastAsia"/>
              </w:rPr>
            </w:pPr>
            <w:r>
              <w:rPr>
                <w:rFonts w:hint="eastAsia"/>
              </w:rPr>
              <w:t>7.厂区地面全部绿化或硬化，无成片裸露土地。车间规范平整，无物料洒落和“跑、冒、滴、漏”现象。</w:t>
            </w:r>
          </w:p>
          <w:p w14:paraId="754B5D7C">
            <w:pPr>
              <w:pStyle w:val="77"/>
              <w:ind w:firstLine="0" w:firstLineChars="0"/>
              <w:jc w:val="both"/>
              <w:rPr>
                <w:rFonts w:hint="default" w:eastAsia="宋体"/>
                <w:lang w:val="en-US" w:eastAsia="zh-CN"/>
              </w:rPr>
            </w:pPr>
            <w:r>
              <w:rPr>
                <w:rFonts w:hint="eastAsia"/>
                <w:lang w:val="en-US" w:eastAsia="zh-CN"/>
              </w:rPr>
              <w:t>8.本项目</w:t>
            </w:r>
            <w:r>
              <w:rPr>
                <w:rFonts w:hint="eastAsia"/>
              </w:rPr>
              <w:t>废气引入碱喷淋吸收塔</w:t>
            </w:r>
            <w:r>
              <w:rPr>
                <w:rFonts w:hint="eastAsia"/>
                <w:lang w:eastAsia="zh-CN"/>
              </w:rPr>
              <w:t>（</w:t>
            </w:r>
            <w:r>
              <w:rPr>
                <w:rFonts w:hint="eastAsia"/>
                <w:lang w:val="en-US" w:eastAsia="zh-CN"/>
              </w:rPr>
              <w:t>3套</w:t>
            </w:r>
            <w:r>
              <w:rPr>
                <w:rFonts w:hint="eastAsia"/>
                <w:lang w:eastAsia="zh-CN"/>
              </w:rPr>
              <w:t>）</w:t>
            </w:r>
            <w:r>
              <w:rPr>
                <w:rFonts w:hint="eastAsia"/>
              </w:rPr>
              <w:t>进行处理</w:t>
            </w:r>
            <w:r>
              <w:rPr>
                <w:rFonts w:hint="eastAsia"/>
                <w:lang w:eastAsia="zh-CN"/>
              </w:rPr>
              <w:t>，</w:t>
            </w:r>
            <w:r>
              <w:rPr>
                <w:rFonts w:hint="eastAsia"/>
                <w:lang w:val="en-US" w:eastAsia="zh-CN"/>
              </w:rPr>
              <w:t>处理后分别经3根15m排气筒排放。</w:t>
            </w:r>
          </w:p>
        </w:tc>
        <w:tc>
          <w:tcPr>
            <w:tcW w:w="531" w:type="pct"/>
            <w:tcBorders>
              <w:tl2br w:val="nil"/>
              <w:tr2bl w:val="nil"/>
            </w:tcBorders>
            <w:shd w:val="clear" w:color="auto" w:fill="auto"/>
            <w:vAlign w:val="center"/>
          </w:tcPr>
          <w:p w14:paraId="1F1053B3">
            <w:pPr>
              <w:pStyle w:val="75"/>
              <w:rPr>
                <w:szCs w:val="28"/>
              </w:rPr>
            </w:pPr>
            <w:r>
              <w:rPr>
                <w:rFonts w:hint="eastAsia"/>
                <w:szCs w:val="28"/>
              </w:rPr>
              <w:t>按</w:t>
            </w:r>
            <w:r>
              <w:rPr>
                <w:szCs w:val="28"/>
              </w:rPr>
              <w:t>A</w:t>
            </w:r>
            <w:r>
              <w:rPr>
                <w:rFonts w:hint="eastAsia"/>
                <w:szCs w:val="28"/>
              </w:rPr>
              <w:t>级要求进行建设</w:t>
            </w:r>
          </w:p>
        </w:tc>
      </w:tr>
      <w:tr w14:paraId="0C3EDE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33F6A55B">
            <w:pPr>
              <w:pStyle w:val="75"/>
              <w:rPr>
                <w:szCs w:val="28"/>
              </w:rPr>
            </w:pPr>
            <w:r>
              <w:rPr>
                <w:rFonts w:hint="eastAsia"/>
                <w:szCs w:val="28"/>
              </w:rPr>
              <w:t>监测监控水平</w:t>
            </w:r>
          </w:p>
        </w:tc>
        <w:tc>
          <w:tcPr>
            <w:tcW w:w="2374" w:type="pct"/>
            <w:tcBorders>
              <w:tl2br w:val="nil"/>
              <w:tr2bl w:val="nil"/>
            </w:tcBorders>
            <w:shd w:val="clear" w:color="auto" w:fill="auto"/>
            <w:vAlign w:val="center"/>
          </w:tcPr>
          <w:p w14:paraId="18326715">
            <w:pPr>
              <w:pStyle w:val="77"/>
              <w:ind w:firstLine="0" w:firstLineChars="0"/>
              <w:jc w:val="both"/>
            </w:pPr>
            <w:r>
              <w:rPr>
                <w:rFonts w:hint="eastAsia"/>
              </w:rPr>
              <w:t>1.有组织排放口按排污许可、环境影响评价或环境现状评估等要求安装烟气排放自动监控设施（CEMS），并按要求与省厅联网；重点排污单位风量大于10000m</w:t>
            </w:r>
            <w:r>
              <w:rPr>
                <w:rFonts w:hint="eastAsia"/>
                <w:vertAlign w:val="superscript"/>
              </w:rPr>
              <w:t>3</w:t>
            </w:r>
            <w:r>
              <w:rPr>
                <w:rFonts w:hint="eastAsia"/>
              </w:rPr>
              <w:t>/h的主要排放口安装NMHC在线监测设施（FID 检测器）并按要求与省厅联网；其他企业NMHC初始排放速率大于2kg/h且排放口风量大于20000m</w:t>
            </w:r>
            <w:r>
              <w:rPr>
                <w:rFonts w:hint="eastAsia"/>
                <w:vertAlign w:val="superscript"/>
              </w:rPr>
              <w:t>3</w:t>
            </w:r>
            <w:r>
              <w:rPr>
                <w:rFonts w:hint="eastAsia"/>
              </w:rPr>
              <w:t>/h的废气排放口安装NMHC在线监测设施（FID 检测器），并按要求与省厅联网；在线监测数据至少保存最近12 个月的 1 分钟均值、36 个月的 1 小时均值及 60 个月的日均值和月均值。（投产或安装时间不满一年以上的企业，以现有数据为准）；</w:t>
            </w:r>
          </w:p>
          <w:p w14:paraId="7150DCF0">
            <w:pPr>
              <w:pStyle w:val="77"/>
              <w:ind w:firstLine="0" w:firstLineChars="0"/>
              <w:jc w:val="both"/>
              <w:rPr>
                <w:rFonts w:hint="eastAsia"/>
              </w:rPr>
            </w:pPr>
            <w:r>
              <w:rPr>
                <w:rFonts w:hint="eastAsia"/>
              </w:rPr>
              <w:t>2.按生态环境部门要求规范设置废气排放口标志牌、二维码标识和采样平台、采样孔；各废气排放口按照排污许可要求开展自行监测；</w:t>
            </w:r>
          </w:p>
          <w:p w14:paraId="65768EA3">
            <w:pPr>
              <w:pStyle w:val="77"/>
              <w:ind w:firstLine="0" w:firstLineChars="0"/>
              <w:jc w:val="both"/>
            </w:pPr>
            <w:r>
              <w:rPr>
                <w:rFonts w:hint="eastAsia"/>
              </w:rPr>
              <w:t>3.厂内未安装在线监控的涉气生产设施主要投料口安装高清视频监控系统，视频监控数据保存6个月以上。</w:t>
            </w:r>
          </w:p>
        </w:tc>
        <w:tc>
          <w:tcPr>
            <w:tcW w:w="1679" w:type="pct"/>
            <w:tcBorders>
              <w:tl2br w:val="nil"/>
              <w:tr2bl w:val="nil"/>
            </w:tcBorders>
            <w:vAlign w:val="center"/>
          </w:tcPr>
          <w:p w14:paraId="104B02E5">
            <w:pPr>
              <w:pStyle w:val="77"/>
              <w:ind w:firstLine="0" w:firstLineChars="0"/>
              <w:jc w:val="both"/>
            </w:pPr>
            <w:r>
              <w:rPr>
                <w:rFonts w:hint="eastAsia"/>
              </w:rPr>
              <w:t>1.本项目废气主要为硫酸雾和铬酸雾，无需安装烟气排放自动监控设施（CEMS）；</w:t>
            </w:r>
          </w:p>
          <w:p w14:paraId="7B8CEC10">
            <w:pPr>
              <w:pStyle w:val="77"/>
              <w:ind w:firstLine="0" w:firstLineChars="0"/>
              <w:jc w:val="both"/>
              <w:rPr>
                <w:rFonts w:hint="eastAsia" w:eastAsia="宋体"/>
                <w:lang w:eastAsia="zh-CN"/>
              </w:rPr>
            </w:pPr>
            <w:r>
              <w:rPr>
                <w:rFonts w:hint="eastAsia"/>
              </w:rPr>
              <w:t>2.</w:t>
            </w:r>
            <w:r>
              <w:rPr>
                <w:rFonts w:hint="eastAsia"/>
                <w:lang w:val="en-US" w:eastAsia="zh-CN"/>
              </w:rPr>
              <w:t>按照</w:t>
            </w:r>
            <w:r>
              <w:rPr>
                <w:rFonts w:hint="eastAsia"/>
              </w:rPr>
              <w:t>规范设置废气排放口标志牌、二维码标识和采样平台、采样孔；各废气排放口按照排污许可要求开展自行监测</w:t>
            </w:r>
            <w:r>
              <w:rPr>
                <w:rFonts w:hint="eastAsia"/>
                <w:lang w:eastAsia="zh-CN"/>
              </w:rPr>
              <w:t>；</w:t>
            </w:r>
          </w:p>
          <w:p w14:paraId="006AB346">
            <w:pPr>
              <w:pStyle w:val="77"/>
              <w:ind w:firstLine="0" w:firstLineChars="0"/>
              <w:jc w:val="both"/>
            </w:pPr>
            <w:r>
              <w:rPr>
                <w:rFonts w:hint="eastAsia"/>
                <w:lang w:val="en-US" w:eastAsia="zh-CN"/>
              </w:rPr>
              <w:t>3</w:t>
            </w:r>
            <w:r>
              <w:rPr>
                <w:rFonts w:hint="eastAsia"/>
              </w:rPr>
              <w:t>.本项目不涉及涉气生产设施主要投料口。</w:t>
            </w:r>
          </w:p>
        </w:tc>
        <w:tc>
          <w:tcPr>
            <w:tcW w:w="531" w:type="pct"/>
            <w:tcBorders>
              <w:tl2br w:val="nil"/>
              <w:tr2bl w:val="nil"/>
            </w:tcBorders>
            <w:shd w:val="clear" w:color="auto" w:fill="auto"/>
            <w:vAlign w:val="center"/>
          </w:tcPr>
          <w:p w14:paraId="186C4279">
            <w:pPr>
              <w:pStyle w:val="75"/>
              <w:rPr>
                <w:szCs w:val="28"/>
              </w:rPr>
            </w:pPr>
            <w:r>
              <w:rPr>
                <w:rFonts w:hint="eastAsia"/>
                <w:szCs w:val="28"/>
              </w:rPr>
              <w:t>按</w:t>
            </w:r>
            <w:r>
              <w:rPr>
                <w:szCs w:val="28"/>
              </w:rPr>
              <w:t>A</w:t>
            </w:r>
            <w:r>
              <w:rPr>
                <w:rFonts w:hint="eastAsia"/>
                <w:szCs w:val="28"/>
              </w:rPr>
              <w:t>级要求进行建设</w:t>
            </w:r>
          </w:p>
        </w:tc>
      </w:tr>
      <w:tr w14:paraId="74564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restart"/>
            <w:tcBorders>
              <w:tl2br w:val="nil"/>
              <w:tr2bl w:val="nil"/>
            </w:tcBorders>
            <w:shd w:val="clear" w:color="auto" w:fill="auto"/>
            <w:vAlign w:val="center"/>
          </w:tcPr>
          <w:p w14:paraId="62F3181D">
            <w:pPr>
              <w:pStyle w:val="75"/>
              <w:rPr>
                <w:szCs w:val="28"/>
              </w:rPr>
            </w:pPr>
            <w:r>
              <w:rPr>
                <w:rFonts w:hint="eastAsia"/>
                <w:szCs w:val="28"/>
              </w:rPr>
              <w:t>环境管理水平</w:t>
            </w:r>
          </w:p>
        </w:tc>
        <w:tc>
          <w:tcPr>
            <w:tcW w:w="2374" w:type="pct"/>
            <w:tcBorders>
              <w:tl2br w:val="nil"/>
              <w:tr2bl w:val="nil"/>
            </w:tcBorders>
            <w:shd w:val="clear" w:color="auto" w:fill="auto"/>
            <w:vAlign w:val="center"/>
          </w:tcPr>
          <w:p w14:paraId="22F0FBDF">
            <w:pPr>
              <w:pStyle w:val="77"/>
              <w:ind w:firstLine="0" w:firstLineChars="0"/>
              <w:jc w:val="both"/>
            </w:pPr>
            <w:r>
              <w:rPr>
                <w:rFonts w:hint="eastAsia"/>
              </w:rPr>
              <w:t>环保档案</w:t>
            </w:r>
          </w:p>
          <w:p w14:paraId="11FB6864">
            <w:pPr>
              <w:pStyle w:val="77"/>
              <w:ind w:firstLine="0" w:firstLineChars="0"/>
              <w:jc w:val="both"/>
            </w:pPr>
            <w:r>
              <w:rPr>
                <w:rFonts w:hint="eastAsia"/>
              </w:rPr>
              <w:t>1.环评批复文件和竣工环保验收文件或环境现状评估备案证明；</w:t>
            </w:r>
          </w:p>
          <w:p w14:paraId="74E077A7">
            <w:pPr>
              <w:pStyle w:val="77"/>
              <w:ind w:firstLine="0" w:firstLineChars="0"/>
              <w:jc w:val="both"/>
            </w:pPr>
            <w:r>
              <w:rPr>
                <w:rFonts w:hint="eastAsia"/>
              </w:rPr>
              <w:t>2.国家版排污许可证；</w:t>
            </w:r>
          </w:p>
          <w:p w14:paraId="625B2BC4">
            <w:pPr>
              <w:pStyle w:val="77"/>
              <w:ind w:firstLine="0" w:firstLineChars="0"/>
              <w:jc w:val="both"/>
            </w:pPr>
            <w:r>
              <w:rPr>
                <w:rFonts w:hint="eastAsia"/>
              </w:rPr>
              <w:t>3.环境管理制度（有组织、无组织排放长效管理机制，主要包括岗位责任制度、达标公示制度和定期巡查维护制度等）；</w:t>
            </w:r>
          </w:p>
          <w:p w14:paraId="5EAADFD5">
            <w:pPr>
              <w:pStyle w:val="77"/>
              <w:ind w:firstLine="0" w:firstLineChars="0"/>
              <w:jc w:val="both"/>
            </w:pPr>
            <w:r>
              <w:rPr>
                <w:rFonts w:hint="eastAsia"/>
              </w:rPr>
              <w:t>4.废气治理设施运行管理规程；</w:t>
            </w:r>
          </w:p>
          <w:p w14:paraId="5C59E237">
            <w:pPr>
              <w:pStyle w:val="77"/>
              <w:ind w:firstLine="0" w:firstLineChars="0"/>
              <w:jc w:val="both"/>
            </w:pPr>
            <w:r>
              <w:rPr>
                <w:rFonts w:hint="eastAsia"/>
              </w:rPr>
              <w:t>5.一年内废气监测报告（符合排污许可证监测项目及频次要求）。</w:t>
            </w:r>
          </w:p>
        </w:tc>
        <w:tc>
          <w:tcPr>
            <w:tcW w:w="1679" w:type="pct"/>
            <w:tcBorders>
              <w:tl2br w:val="nil"/>
              <w:tr2bl w:val="nil"/>
            </w:tcBorders>
            <w:vAlign w:val="center"/>
          </w:tcPr>
          <w:p w14:paraId="7F485123">
            <w:pPr>
              <w:pStyle w:val="77"/>
              <w:ind w:firstLine="0" w:firstLineChars="0"/>
              <w:jc w:val="both"/>
            </w:pPr>
            <w:r>
              <w:rPr>
                <w:rFonts w:hint="eastAsia"/>
              </w:rPr>
              <w:t>1.本项目环评批复文件和竣工环保验收文件将按要求存档备查；</w:t>
            </w:r>
          </w:p>
          <w:p w14:paraId="145DA0E8">
            <w:pPr>
              <w:pStyle w:val="77"/>
              <w:ind w:firstLine="0" w:firstLineChars="0"/>
              <w:jc w:val="both"/>
            </w:pPr>
            <w:r>
              <w:rPr>
                <w:rFonts w:hint="eastAsia"/>
              </w:rPr>
              <w:t>2.本项目将按要求按时完成国家版排污许可证；</w:t>
            </w:r>
          </w:p>
          <w:p w14:paraId="66F29B0D">
            <w:pPr>
              <w:pStyle w:val="77"/>
              <w:ind w:firstLine="0" w:firstLineChars="0"/>
              <w:jc w:val="both"/>
            </w:pPr>
            <w:r>
              <w:rPr>
                <w:rFonts w:hint="eastAsia"/>
              </w:rPr>
              <w:t>3.本项目将建立合格的环境管理制度；</w:t>
            </w:r>
          </w:p>
          <w:p w14:paraId="04333976">
            <w:pPr>
              <w:pStyle w:val="77"/>
              <w:ind w:firstLine="0" w:firstLineChars="0"/>
              <w:jc w:val="both"/>
            </w:pPr>
            <w:r>
              <w:rPr>
                <w:rFonts w:hint="eastAsia"/>
              </w:rPr>
              <w:t>4.本项目将建立合格的废气治理设施运行管理规程；</w:t>
            </w:r>
          </w:p>
          <w:p w14:paraId="3C302162">
            <w:pPr>
              <w:pStyle w:val="77"/>
              <w:ind w:firstLine="0" w:firstLineChars="0"/>
              <w:jc w:val="both"/>
            </w:pPr>
            <w:r>
              <w:rPr>
                <w:rFonts w:hint="eastAsia"/>
              </w:rPr>
              <w:t>5.本项目建成后将按要求对一年内废气监测报告（符合排污许可证监测项目及频次要求）进行存档备查。</w:t>
            </w:r>
          </w:p>
        </w:tc>
        <w:tc>
          <w:tcPr>
            <w:tcW w:w="531" w:type="pct"/>
            <w:tcBorders>
              <w:tl2br w:val="nil"/>
              <w:tr2bl w:val="nil"/>
            </w:tcBorders>
            <w:shd w:val="clear" w:color="auto" w:fill="auto"/>
            <w:vAlign w:val="center"/>
          </w:tcPr>
          <w:p w14:paraId="1D7D8B50">
            <w:pPr>
              <w:pStyle w:val="75"/>
              <w:rPr>
                <w:szCs w:val="28"/>
              </w:rPr>
            </w:pPr>
            <w:r>
              <w:rPr>
                <w:rFonts w:hint="eastAsia"/>
                <w:szCs w:val="28"/>
              </w:rPr>
              <w:t>按</w:t>
            </w:r>
            <w:r>
              <w:rPr>
                <w:szCs w:val="28"/>
              </w:rPr>
              <w:t>A</w:t>
            </w:r>
            <w:r>
              <w:rPr>
                <w:rFonts w:hint="eastAsia"/>
                <w:szCs w:val="28"/>
              </w:rPr>
              <w:t>级要求进行建设</w:t>
            </w:r>
          </w:p>
        </w:tc>
      </w:tr>
      <w:tr w14:paraId="53EFD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continue"/>
            <w:tcBorders>
              <w:tl2br w:val="nil"/>
              <w:tr2bl w:val="nil"/>
            </w:tcBorders>
            <w:shd w:val="clear" w:color="auto" w:fill="auto"/>
            <w:vAlign w:val="center"/>
          </w:tcPr>
          <w:p w14:paraId="2CD46B7E">
            <w:pPr>
              <w:pStyle w:val="75"/>
              <w:rPr>
                <w:szCs w:val="28"/>
              </w:rPr>
            </w:pPr>
          </w:p>
        </w:tc>
        <w:tc>
          <w:tcPr>
            <w:tcW w:w="2374" w:type="pct"/>
            <w:tcBorders>
              <w:tl2br w:val="nil"/>
              <w:tr2bl w:val="nil"/>
            </w:tcBorders>
            <w:shd w:val="clear" w:color="auto" w:fill="auto"/>
            <w:vAlign w:val="center"/>
          </w:tcPr>
          <w:p w14:paraId="6C2C8122">
            <w:pPr>
              <w:pStyle w:val="77"/>
              <w:ind w:firstLine="0" w:firstLineChars="0"/>
              <w:jc w:val="both"/>
            </w:pPr>
            <w:r>
              <w:rPr>
                <w:rFonts w:hint="eastAsia"/>
              </w:rPr>
              <w:t>台账记录</w:t>
            </w:r>
          </w:p>
          <w:p w14:paraId="0262F6AF">
            <w:pPr>
              <w:pStyle w:val="77"/>
              <w:ind w:firstLine="0" w:firstLineChars="0"/>
              <w:jc w:val="both"/>
            </w:pPr>
            <w:r>
              <w:rPr>
                <w:rFonts w:hint="eastAsia"/>
              </w:rPr>
              <w:t>1.生产设施运行管理信息（生产时间、运行负荷、产品产量等）；</w:t>
            </w:r>
          </w:p>
          <w:p w14:paraId="299E3878">
            <w:pPr>
              <w:pStyle w:val="77"/>
              <w:ind w:firstLine="0" w:firstLineChars="0"/>
              <w:jc w:val="both"/>
            </w:pPr>
            <w:r>
              <w:rPr>
                <w:rFonts w:hint="eastAsia"/>
              </w:rPr>
              <w:t>2.废气污染治理设施运行管理信息</w:t>
            </w:r>
            <w:r>
              <w:rPr>
                <w:rFonts w:hint="eastAsia"/>
                <w:lang w:eastAsia="zh-CN"/>
              </w:rPr>
              <w:t>（包括但不限于废气收集系统和污染治理设施的名称规格、设计参数、运行参数、巡检记录、污染治理易耗品与药剂用量（吸附剂、催化剂、脱硫剂、脱硝剂、过滤耗材等）、操作记录以及维护记录、运行要求等）</w:t>
            </w:r>
            <w:r>
              <w:rPr>
                <w:rFonts w:hint="eastAsia"/>
              </w:rPr>
              <w:t>；</w:t>
            </w:r>
          </w:p>
          <w:p w14:paraId="35E92378">
            <w:pPr>
              <w:pStyle w:val="77"/>
              <w:ind w:firstLine="0" w:firstLineChars="0"/>
              <w:jc w:val="both"/>
            </w:pPr>
            <w:r>
              <w:rPr>
                <w:rFonts w:hint="eastAsia"/>
              </w:rPr>
              <w:t>3.监测记录信息（主要污染排放口废气排放记录等）；</w:t>
            </w:r>
          </w:p>
          <w:p w14:paraId="4C029533">
            <w:pPr>
              <w:pStyle w:val="77"/>
              <w:ind w:firstLine="0" w:firstLineChars="0"/>
              <w:jc w:val="both"/>
            </w:pPr>
            <w:r>
              <w:rPr>
                <w:rFonts w:hint="eastAsia"/>
              </w:rPr>
              <w:t>4.主要原辅材料消耗记录；</w:t>
            </w:r>
          </w:p>
          <w:p w14:paraId="1A22A0DE">
            <w:pPr>
              <w:pStyle w:val="77"/>
              <w:ind w:firstLine="0" w:firstLineChars="0"/>
              <w:jc w:val="both"/>
            </w:pPr>
            <w:r>
              <w:rPr>
                <w:rFonts w:hint="eastAsia"/>
              </w:rPr>
              <w:t>5.燃料消耗记录；</w:t>
            </w:r>
          </w:p>
          <w:p w14:paraId="3D82283C">
            <w:pPr>
              <w:pStyle w:val="77"/>
              <w:ind w:firstLine="0" w:firstLineChars="0"/>
              <w:jc w:val="both"/>
            </w:pPr>
            <w:r>
              <w:rPr>
                <w:rFonts w:hint="eastAsia"/>
              </w:rPr>
              <w:t>6.固废、危废处理记录。</w:t>
            </w:r>
          </w:p>
        </w:tc>
        <w:tc>
          <w:tcPr>
            <w:tcW w:w="1679" w:type="pct"/>
            <w:tcBorders>
              <w:tl2br w:val="nil"/>
              <w:tr2bl w:val="nil"/>
            </w:tcBorders>
            <w:vAlign w:val="center"/>
          </w:tcPr>
          <w:p w14:paraId="454E597E">
            <w:pPr>
              <w:pStyle w:val="77"/>
              <w:ind w:firstLine="0" w:firstLineChars="0"/>
              <w:jc w:val="both"/>
            </w:pPr>
            <w:r>
              <w:rPr>
                <w:rFonts w:hint="eastAsia"/>
              </w:rPr>
              <w:t>本项目建成后将按要求规范进行下列台账记录：</w:t>
            </w:r>
          </w:p>
          <w:p w14:paraId="69CC0C7D">
            <w:pPr>
              <w:pStyle w:val="77"/>
              <w:ind w:firstLine="0" w:firstLineChars="0"/>
              <w:jc w:val="both"/>
            </w:pPr>
            <w:r>
              <w:rPr>
                <w:rFonts w:hint="eastAsia"/>
              </w:rPr>
              <w:t>1.生产设施运行管理信息（生产时间、运行负荷、产品产量等）；</w:t>
            </w:r>
          </w:p>
          <w:p w14:paraId="54080FD2">
            <w:pPr>
              <w:pStyle w:val="77"/>
              <w:ind w:firstLine="0" w:firstLineChars="0"/>
              <w:jc w:val="both"/>
            </w:pPr>
            <w:r>
              <w:rPr>
                <w:rFonts w:hint="eastAsia"/>
              </w:rPr>
              <w:t>2.废气污染治理设施运行管理信息；</w:t>
            </w:r>
          </w:p>
          <w:p w14:paraId="5453C128">
            <w:pPr>
              <w:pStyle w:val="77"/>
              <w:ind w:firstLine="0" w:firstLineChars="0"/>
              <w:jc w:val="both"/>
            </w:pPr>
            <w:r>
              <w:rPr>
                <w:rFonts w:hint="eastAsia"/>
              </w:rPr>
              <w:t>3.监测记录信息（主要污染排放口废气排放记录等）；</w:t>
            </w:r>
          </w:p>
          <w:p w14:paraId="2C25FB84">
            <w:pPr>
              <w:pStyle w:val="77"/>
              <w:ind w:firstLine="0" w:firstLineChars="0"/>
              <w:jc w:val="both"/>
            </w:pPr>
            <w:r>
              <w:rPr>
                <w:rFonts w:hint="eastAsia"/>
              </w:rPr>
              <w:t>4.主要原辅材料消耗记录；</w:t>
            </w:r>
          </w:p>
          <w:p w14:paraId="482EC494">
            <w:pPr>
              <w:pStyle w:val="77"/>
              <w:ind w:firstLine="0" w:firstLineChars="0"/>
              <w:jc w:val="both"/>
            </w:pPr>
            <w:r>
              <w:rPr>
                <w:rFonts w:hint="eastAsia"/>
              </w:rPr>
              <w:t>5.燃料消耗记录；</w:t>
            </w:r>
          </w:p>
          <w:p w14:paraId="45384280">
            <w:pPr>
              <w:pStyle w:val="77"/>
              <w:ind w:firstLine="0" w:firstLineChars="0"/>
              <w:jc w:val="both"/>
            </w:pPr>
            <w:r>
              <w:rPr>
                <w:rFonts w:hint="eastAsia"/>
              </w:rPr>
              <w:t>6.固废、危废处理记录。</w:t>
            </w:r>
          </w:p>
        </w:tc>
        <w:tc>
          <w:tcPr>
            <w:tcW w:w="531" w:type="pct"/>
            <w:tcBorders>
              <w:tl2br w:val="nil"/>
              <w:tr2bl w:val="nil"/>
            </w:tcBorders>
            <w:shd w:val="clear" w:color="auto" w:fill="auto"/>
            <w:vAlign w:val="center"/>
          </w:tcPr>
          <w:p w14:paraId="1A5BEF16">
            <w:pPr>
              <w:pStyle w:val="75"/>
              <w:rPr>
                <w:szCs w:val="28"/>
              </w:rPr>
            </w:pPr>
            <w:r>
              <w:rPr>
                <w:rFonts w:hint="eastAsia"/>
                <w:szCs w:val="28"/>
              </w:rPr>
              <w:t>按</w:t>
            </w:r>
            <w:r>
              <w:rPr>
                <w:szCs w:val="28"/>
              </w:rPr>
              <w:t>A</w:t>
            </w:r>
            <w:r>
              <w:rPr>
                <w:rFonts w:hint="eastAsia"/>
                <w:szCs w:val="28"/>
              </w:rPr>
              <w:t>级要求进行建设</w:t>
            </w:r>
          </w:p>
        </w:tc>
      </w:tr>
      <w:tr w14:paraId="7C19C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vMerge w:val="continue"/>
            <w:tcBorders>
              <w:tl2br w:val="nil"/>
              <w:tr2bl w:val="nil"/>
            </w:tcBorders>
            <w:shd w:val="clear" w:color="auto" w:fill="auto"/>
            <w:vAlign w:val="center"/>
          </w:tcPr>
          <w:p w14:paraId="33055048">
            <w:pPr>
              <w:pStyle w:val="75"/>
              <w:rPr>
                <w:szCs w:val="28"/>
              </w:rPr>
            </w:pPr>
          </w:p>
        </w:tc>
        <w:tc>
          <w:tcPr>
            <w:tcW w:w="2374" w:type="pct"/>
            <w:tcBorders>
              <w:tl2br w:val="nil"/>
              <w:tr2bl w:val="nil"/>
            </w:tcBorders>
            <w:shd w:val="clear" w:color="auto" w:fill="auto"/>
            <w:vAlign w:val="center"/>
          </w:tcPr>
          <w:p w14:paraId="6DE5BB30">
            <w:pPr>
              <w:pStyle w:val="77"/>
              <w:ind w:firstLine="0" w:firstLineChars="0"/>
              <w:jc w:val="both"/>
            </w:pPr>
            <w:r>
              <w:rPr>
                <w:rFonts w:hint="eastAsia"/>
              </w:rPr>
              <w:t>人员配置：配备专职环保人员，并具备相应的环境管理能力（包括但不限于学历、培训、从业经验等）。</w:t>
            </w:r>
          </w:p>
        </w:tc>
        <w:tc>
          <w:tcPr>
            <w:tcW w:w="1679" w:type="pct"/>
            <w:tcBorders>
              <w:tl2br w:val="nil"/>
              <w:tr2bl w:val="nil"/>
            </w:tcBorders>
            <w:vAlign w:val="center"/>
          </w:tcPr>
          <w:p w14:paraId="214B02E5">
            <w:pPr>
              <w:pStyle w:val="77"/>
              <w:ind w:firstLine="0" w:firstLineChars="0"/>
              <w:jc w:val="both"/>
            </w:pPr>
            <w:r>
              <w:rPr>
                <w:rFonts w:hint="eastAsia"/>
              </w:rPr>
              <w:t>本项目将配备专职环保人员，并具备相应的环境管理能力。</w:t>
            </w:r>
          </w:p>
        </w:tc>
        <w:tc>
          <w:tcPr>
            <w:tcW w:w="531" w:type="pct"/>
            <w:tcBorders>
              <w:tl2br w:val="nil"/>
              <w:tr2bl w:val="nil"/>
            </w:tcBorders>
            <w:shd w:val="clear" w:color="auto" w:fill="auto"/>
            <w:vAlign w:val="center"/>
          </w:tcPr>
          <w:p w14:paraId="55BAD8BE">
            <w:pPr>
              <w:pStyle w:val="75"/>
              <w:rPr>
                <w:szCs w:val="28"/>
              </w:rPr>
            </w:pPr>
            <w:r>
              <w:rPr>
                <w:rFonts w:hint="eastAsia"/>
                <w:szCs w:val="28"/>
              </w:rPr>
              <w:t>按</w:t>
            </w:r>
            <w:r>
              <w:rPr>
                <w:szCs w:val="28"/>
              </w:rPr>
              <w:t>A</w:t>
            </w:r>
            <w:r>
              <w:rPr>
                <w:rFonts w:hint="eastAsia"/>
                <w:szCs w:val="28"/>
              </w:rPr>
              <w:t>级要求进行建设</w:t>
            </w:r>
          </w:p>
        </w:tc>
      </w:tr>
      <w:tr w14:paraId="3CC504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04857217">
            <w:pPr>
              <w:pStyle w:val="75"/>
              <w:rPr>
                <w:szCs w:val="28"/>
              </w:rPr>
            </w:pPr>
            <w:r>
              <w:rPr>
                <w:rFonts w:hint="eastAsia"/>
                <w:szCs w:val="28"/>
              </w:rPr>
              <w:t>运输方式</w:t>
            </w:r>
          </w:p>
        </w:tc>
        <w:tc>
          <w:tcPr>
            <w:tcW w:w="2374" w:type="pct"/>
            <w:tcBorders>
              <w:tl2br w:val="nil"/>
              <w:tr2bl w:val="nil"/>
            </w:tcBorders>
            <w:shd w:val="clear" w:color="auto" w:fill="auto"/>
            <w:vAlign w:val="center"/>
          </w:tcPr>
          <w:p w14:paraId="47C269F2">
            <w:pPr>
              <w:pStyle w:val="77"/>
              <w:ind w:firstLine="0" w:firstLineChars="0"/>
              <w:rPr>
                <w:rFonts w:hint="eastAsia"/>
              </w:rPr>
            </w:pPr>
            <w:r>
              <w:rPr>
                <w:rFonts w:hint="eastAsia"/>
              </w:rPr>
              <w:t>1.物料、产品公路运输全部使用国五及以上排放标准的重型载货车辆（重型燃气车辆达到国六排放标准）或新能源车辆；</w:t>
            </w:r>
          </w:p>
          <w:p w14:paraId="599044F5">
            <w:pPr>
              <w:pStyle w:val="77"/>
              <w:ind w:firstLine="0" w:firstLineChars="0"/>
              <w:rPr>
                <w:rFonts w:hint="eastAsia"/>
              </w:rPr>
            </w:pPr>
            <w:r>
              <w:rPr>
                <w:rFonts w:hint="eastAsia"/>
              </w:rPr>
              <w:t>2.厂内车辆全部达到国五及以上排放标准（重型燃气车辆达到国六排放标准）或使用新能源车辆；</w:t>
            </w:r>
          </w:p>
          <w:p w14:paraId="3BC76AA5">
            <w:pPr>
              <w:pStyle w:val="77"/>
              <w:ind w:firstLine="0" w:firstLineChars="0"/>
            </w:pPr>
            <w:r>
              <w:rPr>
                <w:rFonts w:hint="eastAsia"/>
              </w:rPr>
              <w:t>3.厂内非道路移动机械达到国三及以上排放标准或使用新能源机械。</w:t>
            </w:r>
          </w:p>
        </w:tc>
        <w:tc>
          <w:tcPr>
            <w:tcW w:w="1679" w:type="pct"/>
            <w:tcBorders>
              <w:tl2br w:val="nil"/>
              <w:tr2bl w:val="nil"/>
            </w:tcBorders>
            <w:vAlign w:val="center"/>
          </w:tcPr>
          <w:p w14:paraId="6C531CF9">
            <w:pPr>
              <w:pStyle w:val="77"/>
              <w:ind w:firstLine="0" w:firstLineChars="0"/>
              <w:jc w:val="both"/>
            </w:pPr>
            <w:r>
              <w:rPr>
                <w:rFonts w:hint="eastAsia"/>
              </w:rPr>
              <w:t>本项目建成后将按要求进行物料、产品公路运输车辆，厂区车辆，厂内非道路移动机械的管理，使用满足要求的车辆（机械）进行运输及作业。</w:t>
            </w:r>
          </w:p>
        </w:tc>
        <w:tc>
          <w:tcPr>
            <w:tcW w:w="531" w:type="pct"/>
            <w:tcBorders>
              <w:tl2br w:val="nil"/>
              <w:tr2bl w:val="nil"/>
            </w:tcBorders>
            <w:shd w:val="clear" w:color="auto" w:fill="auto"/>
            <w:vAlign w:val="center"/>
          </w:tcPr>
          <w:p w14:paraId="4B8B5EEA">
            <w:pPr>
              <w:pStyle w:val="75"/>
              <w:rPr>
                <w:szCs w:val="28"/>
              </w:rPr>
            </w:pPr>
            <w:r>
              <w:rPr>
                <w:rFonts w:hint="eastAsia"/>
                <w:szCs w:val="28"/>
              </w:rPr>
              <w:t>按</w:t>
            </w:r>
            <w:r>
              <w:rPr>
                <w:szCs w:val="28"/>
              </w:rPr>
              <w:t>A</w:t>
            </w:r>
            <w:r>
              <w:rPr>
                <w:rFonts w:hint="eastAsia"/>
                <w:szCs w:val="28"/>
              </w:rPr>
              <w:t>级要求进行建设</w:t>
            </w:r>
          </w:p>
        </w:tc>
      </w:tr>
      <w:tr w14:paraId="716D7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 w:type="pct"/>
            <w:tcBorders>
              <w:tl2br w:val="nil"/>
              <w:tr2bl w:val="nil"/>
            </w:tcBorders>
            <w:shd w:val="clear" w:color="auto" w:fill="auto"/>
            <w:vAlign w:val="center"/>
          </w:tcPr>
          <w:p w14:paraId="6D4CBBB6">
            <w:pPr>
              <w:pStyle w:val="75"/>
              <w:rPr>
                <w:szCs w:val="28"/>
              </w:rPr>
            </w:pPr>
            <w:r>
              <w:rPr>
                <w:rFonts w:hint="eastAsia"/>
                <w:szCs w:val="28"/>
              </w:rPr>
              <w:t>运输监管</w:t>
            </w:r>
          </w:p>
        </w:tc>
        <w:tc>
          <w:tcPr>
            <w:tcW w:w="2374" w:type="pct"/>
            <w:tcBorders>
              <w:tl2br w:val="nil"/>
              <w:tr2bl w:val="nil"/>
            </w:tcBorders>
            <w:shd w:val="clear" w:color="auto" w:fill="auto"/>
            <w:vAlign w:val="center"/>
          </w:tcPr>
          <w:p w14:paraId="33CA262F">
            <w:pPr>
              <w:pStyle w:val="77"/>
              <w:ind w:firstLine="0" w:firstLineChars="0"/>
              <w:jc w:val="both"/>
            </w:pPr>
            <w:r>
              <w:rPr>
                <w:rFonts w:hint="eastAsia"/>
              </w:rPr>
              <w:t>日均进出货物 150 吨（或载货车辆日进出10辆次）及以上（货物包括原料、辅料、燃料、产品和其他与生产相关物料）的企业，参照《重污染天气重点行业移动源应急管理技术指南》建立门禁视频监控系统和电子台账；其他企业安装车辆运输视频监控（数据能保存 6 个月），并建立车辆运输手工台账。</w:t>
            </w:r>
          </w:p>
        </w:tc>
        <w:tc>
          <w:tcPr>
            <w:tcW w:w="1679" w:type="pct"/>
            <w:tcBorders>
              <w:tl2br w:val="nil"/>
              <w:tr2bl w:val="nil"/>
            </w:tcBorders>
            <w:vAlign w:val="center"/>
          </w:tcPr>
          <w:p w14:paraId="6D27B6A8">
            <w:pPr>
              <w:pStyle w:val="77"/>
              <w:ind w:firstLine="0" w:firstLineChars="0"/>
              <w:jc w:val="both"/>
            </w:pPr>
            <w:r>
              <w:rPr>
                <w:rFonts w:hint="eastAsia"/>
              </w:rPr>
              <w:t>本项目将按生态环境管理部门要求建立门禁视频监控系统和电子台账。</w:t>
            </w:r>
          </w:p>
        </w:tc>
        <w:tc>
          <w:tcPr>
            <w:tcW w:w="531" w:type="pct"/>
            <w:tcBorders>
              <w:tl2br w:val="nil"/>
              <w:tr2bl w:val="nil"/>
            </w:tcBorders>
            <w:shd w:val="clear" w:color="auto" w:fill="auto"/>
            <w:vAlign w:val="center"/>
          </w:tcPr>
          <w:p w14:paraId="27974637">
            <w:pPr>
              <w:pStyle w:val="75"/>
              <w:rPr>
                <w:szCs w:val="28"/>
              </w:rPr>
            </w:pPr>
            <w:r>
              <w:rPr>
                <w:rFonts w:hint="eastAsia"/>
                <w:szCs w:val="28"/>
              </w:rPr>
              <w:t>按</w:t>
            </w:r>
            <w:r>
              <w:rPr>
                <w:szCs w:val="28"/>
              </w:rPr>
              <w:t>A</w:t>
            </w:r>
            <w:r>
              <w:rPr>
                <w:rFonts w:hint="eastAsia"/>
                <w:szCs w:val="28"/>
              </w:rPr>
              <w:t>级要求进行建设</w:t>
            </w:r>
          </w:p>
        </w:tc>
      </w:tr>
    </w:tbl>
    <w:p w14:paraId="58972FFF">
      <w:pPr>
        <w:ind w:firstLine="480"/>
        <w:rPr>
          <w:bCs/>
        </w:rPr>
      </w:pPr>
      <w:r>
        <w:rPr>
          <w:rFonts w:hint="eastAsia"/>
          <w:bCs/>
        </w:rPr>
        <w:t>评价要求：本项目严格按照上述要求进行建设，并积极接受生态环境管理部门的监督检查。</w:t>
      </w:r>
    </w:p>
    <w:p w14:paraId="2EE0A57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49" w:name="_Toc108122501"/>
      <w:r>
        <w:rPr>
          <w:rFonts w:hint="eastAsia" w:ascii="Times New Roman" w:hAnsi="Times New Roman" w:cs="Times New Roman"/>
          <w:lang w:val="en-US" w:eastAsia="zh-CN"/>
        </w:rPr>
        <w:t>2.11.9《河南省水污染防治条例（2019）》相符性分析</w:t>
      </w:r>
      <w:bookmarkEnd w:id="349"/>
    </w:p>
    <w:p w14:paraId="7B39D598">
      <w:pPr>
        <w:ind w:firstLine="480"/>
        <w:rPr>
          <w:bCs/>
        </w:rPr>
      </w:pPr>
      <w:r>
        <w:rPr>
          <w:rFonts w:hint="eastAsia"/>
          <w:bCs/>
        </w:rPr>
        <w:t>根据《河南省水污染防治条例（2019）》的内容，结合本项目的情况，该条例中涉及到本项目的内容与本项目实际情况的对比情况如下表。</w:t>
      </w:r>
    </w:p>
    <w:p w14:paraId="74C42DF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pt-BR"/>
        </w:rPr>
      </w:pPr>
      <w:r>
        <w:rPr>
          <w:rFonts w:hint="eastAsia"/>
          <w:lang w:val="pt-BR"/>
        </w:rPr>
        <w:t>表</w:t>
      </w:r>
      <w:r>
        <w:rPr>
          <w:rFonts w:hint="eastAsia"/>
          <w:lang w:val="en-US" w:eastAsia="zh-CN"/>
        </w:rPr>
        <w:t>2.11-10</w:t>
      </w:r>
      <w:r>
        <w:rPr>
          <w:rFonts w:hint="eastAsia"/>
          <w:lang w:val="pt-BR"/>
        </w:rPr>
        <w:t xml:space="preserve">    与《河南省水污染防治条例（2019）》对比分析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53"/>
        <w:gridCol w:w="3525"/>
        <w:gridCol w:w="2698"/>
        <w:gridCol w:w="952"/>
      </w:tblGrid>
      <w:tr w14:paraId="0166EA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93" w:type="pct"/>
            <w:vAlign w:val="center"/>
          </w:tcPr>
          <w:p w14:paraId="084AEC18">
            <w:pPr>
              <w:pStyle w:val="81"/>
              <w:rPr>
                <w:rFonts w:cs="Times New Roman"/>
                <w:color w:val="auto"/>
                <w:sz w:val="21"/>
                <w:szCs w:val="21"/>
              </w:rPr>
            </w:pPr>
            <w:r>
              <w:rPr>
                <w:rFonts w:cs="Times New Roman"/>
                <w:color w:val="auto"/>
                <w:sz w:val="21"/>
                <w:szCs w:val="21"/>
              </w:rPr>
              <w:t>项目</w:t>
            </w:r>
          </w:p>
        </w:tc>
        <w:tc>
          <w:tcPr>
            <w:tcW w:w="2066" w:type="pct"/>
            <w:vAlign w:val="center"/>
          </w:tcPr>
          <w:p w14:paraId="3D500A38">
            <w:pPr>
              <w:pStyle w:val="81"/>
              <w:rPr>
                <w:rFonts w:cs="Times New Roman"/>
                <w:color w:val="auto"/>
                <w:sz w:val="21"/>
                <w:szCs w:val="21"/>
              </w:rPr>
            </w:pPr>
            <w:r>
              <w:rPr>
                <w:rFonts w:cs="Times New Roman"/>
                <w:color w:val="auto"/>
                <w:sz w:val="21"/>
                <w:szCs w:val="21"/>
              </w:rPr>
              <w:t>实施方案</w:t>
            </w:r>
          </w:p>
        </w:tc>
        <w:tc>
          <w:tcPr>
            <w:tcW w:w="1581" w:type="pct"/>
            <w:vAlign w:val="center"/>
          </w:tcPr>
          <w:p w14:paraId="42A4D458">
            <w:pPr>
              <w:pStyle w:val="81"/>
              <w:rPr>
                <w:rFonts w:cs="Times New Roman"/>
                <w:color w:val="auto"/>
                <w:sz w:val="21"/>
                <w:szCs w:val="21"/>
              </w:rPr>
            </w:pPr>
            <w:r>
              <w:rPr>
                <w:rFonts w:cs="Times New Roman"/>
                <w:color w:val="auto"/>
                <w:sz w:val="21"/>
                <w:szCs w:val="21"/>
              </w:rPr>
              <w:t>本项目建设情况</w:t>
            </w:r>
          </w:p>
        </w:tc>
        <w:tc>
          <w:tcPr>
            <w:tcW w:w="558" w:type="pct"/>
            <w:vAlign w:val="center"/>
          </w:tcPr>
          <w:p w14:paraId="4873112E">
            <w:pPr>
              <w:pStyle w:val="81"/>
              <w:rPr>
                <w:rFonts w:cs="Times New Roman"/>
                <w:color w:val="auto"/>
                <w:sz w:val="21"/>
                <w:szCs w:val="21"/>
              </w:rPr>
            </w:pPr>
            <w:r>
              <w:rPr>
                <w:rFonts w:hint="eastAsia" w:cs="Times New Roman"/>
                <w:color w:val="auto"/>
                <w:sz w:val="21"/>
                <w:szCs w:val="21"/>
              </w:rPr>
              <w:t>符合性</w:t>
            </w:r>
          </w:p>
        </w:tc>
      </w:tr>
      <w:tr w14:paraId="658DA1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Align w:val="center"/>
          </w:tcPr>
          <w:p w14:paraId="642DD47B">
            <w:pPr>
              <w:pStyle w:val="81"/>
              <w:rPr>
                <w:rFonts w:cs="Times New Roman"/>
                <w:b w:val="0"/>
                <w:color w:val="auto"/>
                <w:sz w:val="21"/>
                <w:szCs w:val="21"/>
              </w:rPr>
            </w:pPr>
            <w:r>
              <w:rPr>
                <w:rFonts w:cs="Times New Roman"/>
                <w:b w:val="0"/>
                <w:color w:val="auto"/>
                <w:sz w:val="21"/>
                <w:szCs w:val="21"/>
                <w:lang w:val="en"/>
              </w:rPr>
              <w:t>第十五条</w:t>
            </w:r>
          </w:p>
        </w:tc>
        <w:tc>
          <w:tcPr>
            <w:tcW w:w="2066" w:type="pct"/>
            <w:vAlign w:val="center"/>
          </w:tcPr>
          <w:p w14:paraId="4D3D51C5">
            <w:pPr>
              <w:pStyle w:val="77"/>
              <w:ind w:firstLine="0" w:firstLineChars="0"/>
              <w:jc w:val="both"/>
              <w:rPr>
                <w:snapToGrid/>
                <w:sz w:val="21"/>
                <w:szCs w:val="21"/>
              </w:rPr>
            </w:pPr>
            <w:r>
              <w:rPr>
                <w:snapToGrid/>
                <w:sz w:val="21"/>
                <w:szCs w:val="21"/>
              </w:rPr>
              <w:t>排放水污染物，不得超过国家或者省规定的水污染物排放标准以及重点水污染物排放总量控制指标。</w:t>
            </w:r>
          </w:p>
        </w:tc>
        <w:tc>
          <w:tcPr>
            <w:tcW w:w="1581" w:type="pct"/>
            <w:vAlign w:val="center"/>
          </w:tcPr>
          <w:p w14:paraId="4476C4C3">
            <w:pPr>
              <w:pStyle w:val="77"/>
              <w:ind w:firstLine="0" w:firstLineChars="0"/>
              <w:jc w:val="both"/>
              <w:rPr>
                <w:sz w:val="21"/>
                <w:szCs w:val="21"/>
              </w:rPr>
            </w:pPr>
            <w:r>
              <w:rPr>
                <w:sz w:val="21"/>
                <w:szCs w:val="21"/>
              </w:rPr>
              <w:t>本项目建成后严格执行</w:t>
            </w:r>
            <w:r>
              <w:rPr>
                <w:snapToGrid/>
                <w:sz w:val="21"/>
                <w:szCs w:val="21"/>
              </w:rPr>
              <w:t>国家或者省规定的水污染物排放标准以及重点水污染物排放总量控制指标执行。</w:t>
            </w:r>
          </w:p>
        </w:tc>
        <w:tc>
          <w:tcPr>
            <w:tcW w:w="558" w:type="pct"/>
            <w:vAlign w:val="center"/>
          </w:tcPr>
          <w:p w14:paraId="1B6750A6">
            <w:pPr>
              <w:pStyle w:val="75"/>
              <w:rPr>
                <w:sz w:val="21"/>
                <w:szCs w:val="21"/>
              </w:rPr>
            </w:pPr>
            <w:r>
              <w:rPr>
                <w:sz w:val="21"/>
                <w:szCs w:val="21"/>
              </w:rPr>
              <w:t>符合</w:t>
            </w:r>
          </w:p>
        </w:tc>
      </w:tr>
      <w:tr w14:paraId="14842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restart"/>
            <w:vAlign w:val="center"/>
          </w:tcPr>
          <w:p w14:paraId="058084F4">
            <w:pPr>
              <w:pStyle w:val="81"/>
              <w:rPr>
                <w:rFonts w:cs="Times New Roman"/>
                <w:b w:val="0"/>
                <w:color w:val="auto"/>
                <w:sz w:val="21"/>
                <w:szCs w:val="21"/>
              </w:rPr>
            </w:pPr>
            <w:r>
              <w:rPr>
                <w:rFonts w:cs="Times New Roman"/>
                <w:b w:val="0"/>
                <w:color w:val="auto"/>
                <w:sz w:val="21"/>
                <w:szCs w:val="21"/>
                <w:lang w:val="en"/>
              </w:rPr>
              <w:t>第十六条</w:t>
            </w:r>
          </w:p>
        </w:tc>
        <w:tc>
          <w:tcPr>
            <w:tcW w:w="2066" w:type="pct"/>
            <w:vAlign w:val="center"/>
          </w:tcPr>
          <w:p w14:paraId="2E7937F8">
            <w:pPr>
              <w:pStyle w:val="77"/>
              <w:ind w:firstLine="0" w:firstLineChars="0"/>
              <w:jc w:val="both"/>
              <w:rPr>
                <w:snapToGrid/>
                <w:sz w:val="21"/>
                <w:szCs w:val="21"/>
              </w:rPr>
            </w:pPr>
            <w:r>
              <w:rPr>
                <w:snapToGrid/>
                <w:sz w:val="21"/>
                <w:szCs w:val="21"/>
              </w:rPr>
              <w:t>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w:t>
            </w:r>
          </w:p>
        </w:tc>
        <w:tc>
          <w:tcPr>
            <w:tcW w:w="1581" w:type="pct"/>
            <w:vAlign w:val="center"/>
          </w:tcPr>
          <w:p w14:paraId="7B64E8D3">
            <w:pPr>
              <w:pStyle w:val="77"/>
              <w:ind w:firstLine="0" w:firstLineChars="0"/>
              <w:jc w:val="both"/>
              <w:rPr>
                <w:sz w:val="21"/>
                <w:szCs w:val="21"/>
              </w:rPr>
            </w:pPr>
            <w:r>
              <w:rPr>
                <w:sz w:val="21"/>
                <w:szCs w:val="21"/>
              </w:rPr>
              <w:t>本项目属于间接排放，建成后按照规定办理排污许可证。</w:t>
            </w:r>
          </w:p>
        </w:tc>
        <w:tc>
          <w:tcPr>
            <w:tcW w:w="558" w:type="pct"/>
            <w:vAlign w:val="center"/>
          </w:tcPr>
          <w:p w14:paraId="6944EEA5">
            <w:pPr>
              <w:pStyle w:val="75"/>
              <w:rPr>
                <w:sz w:val="21"/>
                <w:szCs w:val="21"/>
              </w:rPr>
            </w:pPr>
            <w:r>
              <w:rPr>
                <w:sz w:val="21"/>
                <w:szCs w:val="21"/>
              </w:rPr>
              <w:t>符合</w:t>
            </w:r>
          </w:p>
        </w:tc>
      </w:tr>
      <w:tr w14:paraId="2BBAD6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2C606253">
            <w:pPr>
              <w:pStyle w:val="81"/>
              <w:rPr>
                <w:rFonts w:cs="Times New Roman"/>
                <w:b w:val="0"/>
                <w:color w:val="auto"/>
                <w:sz w:val="21"/>
                <w:szCs w:val="21"/>
              </w:rPr>
            </w:pPr>
          </w:p>
        </w:tc>
        <w:tc>
          <w:tcPr>
            <w:tcW w:w="2066" w:type="pct"/>
            <w:vAlign w:val="center"/>
          </w:tcPr>
          <w:p w14:paraId="08A8D4DC">
            <w:pPr>
              <w:pStyle w:val="77"/>
              <w:ind w:firstLine="0" w:firstLineChars="0"/>
              <w:jc w:val="both"/>
              <w:rPr>
                <w:snapToGrid/>
                <w:sz w:val="21"/>
                <w:szCs w:val="21"/>
              </w:rPr>
            </w:pPr>
            <w:r>
              <w:rPr>
                <w:snapToGrid/>
                <w:sz w:val="21"/>
                <w:szCs w:val="21"/>
              </w:rPr>
              <w:t>禁止企业事业单位和其他生产经营者无排污许可证或者违反排污许可证的规定向水体排放前款规定的废水、污水。</w:t>
            </w:r>
          </w:p>
        </w:tc>
        <w:tc>
          <w:tcPr>
            <w:tcW w:w="1581" w:type="pct"/>
            <w:vAlign w:val="center"/>
          </w:tcPr>
          <w:p w14:paraId="4FFAB312">
            <w:pPr>
              <w:pStyle w:val="77"/>
              <w:ind w:firstLine="0" w:firstLineChars="0"/>
              <w:jc w:val="both"/>
              <w:rPr>
                <w:sz w:val="21"/>
                <w:szCs w:val="21"/>
              </w:rPr>
            </w:pPr>
            <w:r>
              <w:rPr>
                <w:sz w:val="21"/>
                <w:szCs w:val="21"/>
              </w:rPr>
              <w:t>本项目建成后按照规定办理排污许可证，未取得</w:t>
            </w:r>
            <w:r>
              <w:rPr>
                <w:snapToGrid/>
                <w:sz w:val="21"/>
                <w:szCs w:val="21"/>
              </w:rPr>
              <w:t>排污许可证之前不排放废水、污水。</w:t>
            </w:r>
          </w:p>
        </w:tc>
        <w:tc>
          <w:tcPr>
            <w:tcW w:w="558" w:type="pct"/>
            <w:vAlign w:val="center"/>
          </w:tcPr>
          <w:p w14:paraId="5FB48763">
            <w:pPr>
              <w:pStyle w:val="75"/>
              <w:rPr>
                <w:sz w:val="21"/>
                <w:szCs w:val="21"/>
              </w:rPr>
            </w:pPr>
            <w:r>
              <w:rPr>
                <w:sz w:val="21"/>
                <w:szCs w:val="21"/>
              </w:rPr>
              <w:t>符合</w:t>
            </w:r>
          </w:p>
        </w:tc>
      </w:tr>
      <w:tr w14:paraId="2CA124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Align w:val="center"/>
          </w:tcPr>
          <w:p w14:paraId="39C7B287">
            <w:pPr>
              <w:pStyle w:val="81"/>
              <w:rPr>
                <w:rFonts w:cs="Times New Roman"/>
                <w:b w:val="0"/>
                <w:color w:val="auto"/>
                <w:sz w:val="21"/>
                <w:szCs w:val="21"/>
              </w:rPr>
            </w:pPr>
            <w:r>
              <w:rPr>
                <w:rFonts w:cs="Times New Roman"/>
                <w:b w:val="0"/>
                <w:color w:val="auto"/>
                <w:sz w:val="21"/>
                <w:szCs w:val="21"/>
                <w:lang w:val="en"/>
              </w:rPr>
              <w:t>第十七条</w:t>
            </w:r>
          </w:p>
        </w:tc>
        <w:tc>
          <w:tcPr>
            <w:tcW w:w="2066" w:type="pct"/>
            <w:vAlign w:val="center"/>
          </w:tcPr>
          <w:p w14:paraId="3D18C40D">
            <w:pPr>
              <w:pStyle w:val="77"/>
              <w:ind w:firstLine="0" w:firstLineChars="0"/>
              <w:jc w:val="both"/>
              <w:rPr>
                <w:snapToGrid/>
                <w:sz w:val="21"/>
                <w:szCs w:val="21"/>
              </w:rPr>
            </w:pPr>
            <w:r>
              <w:rPr>
                <w:snapToGrid/>
                <w:sz w:val="21"/>
                <w:szCs w:val="21"/>
              </w:rPr>
              <w:t>向水体排放污染物的企业事业单位和其他生产经营者，应当依法设置排污口。</w:t>
            </w:r>
          </w:p>
        </w:tc>
        <w:tc>
          <w:tcPr>
            <w:tcW w:w="1581" w:type="pct"/>
            <w:vAlign w:val="center"/>
          </w:tcPr>
          <w:p w14:paraId="7A260CD9">
            <w:pPr>
              <w:pStyle w:val="77"/>
              <w:ind w:firstLine="0" w:firstLineChars="0"/>
              <w:jc w:val="both"/>
              <w:rPr>
                <w:sz w:val="21"/>
                <w:szCs w:val="21"/>
              </w:rPr>
            </w:pPr>
            <w:r>
              <w:rPr>
                <w:snapToGrid/>
                <w:sz w:val="21"/>
                <w:szCs w:val="21"/>
              </w:rPr>
              <w:t>本项目建成后依法设置排污口。</w:t>
            </w:r>
          </w:p>
        </w:tc>
        <w:tc>
          <w:tcPr>
            <w:tcW w:w="558" w:type="pct"/>
            <w:vAlign w:val="center"/>
          </w:tcPr>
          <w:p w14:paraId="20C7D0C7">
            <w:pPr>
              <w:pStyle w:val="75"/>
              <w:rPr>
                <w:sz w:val="21"/>
                <w:szCs w:val="21"/>
              </w:rPr>
            </w:pPr>
            <w:r>
              <w:rPr>
                <w:sz w:val="21"/>
                <w:szCs w:val="21"/>
              </w:rPr>
              <w:t>符合</w:t>
            </w:r>
          </w:p>
        </w:tc>
      </w:tr>
      <w:tr w14:paraId="1811F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Align w:val="center"/>
          </w:tcPr>
          <w:p w14:paraId="3CF4DF68">
            <w:pPr>
              <w:pStyle w:val="81"/>
              <w:rPr>
                <w:rFonts w:cs="Times New Roman"/>
                <w:b w:val="0"/>
                <w:color w:val="auto"/>
                <w:sz w:val="21"/>
                <w:szCs w:val="21"/>
              </w:rPr>
            </w:pPr>
            <w:r>
              <w:rPr>
                <w:rFonts w:cs="Times New Roman"/>
                <w:b w:val="0"/>
                <w:color w:val="auto"/>
                <w:sz w:val="21"/>
                <w:szCs w:val="21"/>
                <w:lang w:val="en"/>
              </w:rPr>
              <w:t>第十八条</w:t>
            </w:r>
          </w:p>
        </w:tc>
        <w:tc>
          <w:tcPr>
            <w:tcW w:w="2066" w:type="pct"/>
            <w:vAlign w:val="center"/>
          </w:tcPr>
          <w:p w14:paraId="192B808F">
            <w:pPr>
              <w:pStyle w:val="77"/>
              <w:ind w:firstLine="0" w:firstLineChars="0"/>
              <w:jc w:val="both"/>
              <w:rPr>
                <w:snapToGrid/>
                <w:sz w:val="21"/>
                <w:szCs w:val="21"/>
              </w:rPr>
            </w:pPr>
            <w:r>
              <w:rPr>
                <w:snapToGrid/>
                <w:sz w:val="21"/>
                <w:szCs w:val="21"/>
              </w:rPr>
              <w:t>新建、改建、扩建直接或者间接向水体排放污染物的建设项目和其他水上设施，应当依法进行环境影响评价。</w:t>
            </w:r>
          </w:p>
        </w:tc>
        <w:tc>
          <w:tcPr>
            <w:tcW w:w="1581" w:type="pct"/>
            <w:vAlign w:val="center"/>
          </w:tcPr>
          <w:p w14:paraId="34EFB761">
            <w:pPr>
              <w:pStyle w:val="77"/>
              <w:ind w:firstLine="0" w:firstLineChars="0"/>
              <w:jc w:val="both"/>
              <w:rPr>
                <w:sz w:val="21"/>
                <w:szCs w:val="21"/>
              </w:rPr>
            </w:pPr>
            <w:r>
              <w:rPr>
                <w:sz w:val="21"/>
                <w:szCs w:val="21"/>
              </w:rPr>
              <w:t>本项目属于</w:t>
            </w:r>
            <w:r>
              <w:rPr>
                <w:rFonts w:hint="eastAsia"/>
                <w:sz w:val="21"/>
                <w:szCs w:val="21"/>
                <w:lang w:val="en-US" w:eastAsia="zh-CN"/>
              </w:rPr>
              <w:t>新</w:t>
            </w:r>
            <w:r>
              <w:rPr>
                <w:rFonts w:hint="eastAsia"/>
                <w:sz w:val="21"/>
                <w:szCs w:val="21"/>
              </w:rPr>
              <w:t>建</w:t>
            </w:r>
            <w:r>
              <w:rPr>
                <w:sz w:val="21"/>
                <w:szCs w:val="21"/>
              </w:rPr>
              <w:t>项目，废水</w:t>
            </w:r>
            <w:r>
              <w:rPr>
                <w:rFonts w:hint="eastAsia"/>
                <w:sz w:val="21"/>
                <w:szCs w:val="21"/>
              </w:rPr>
              <w:t>为</w:t>
            </w:r>
            <w:r>
              <w:rPr>
                <w:sz w:val="21"/>
                <w:szCs w:val="21"/>
              </w:rPr>
              <w:t>间接排放，依法进行环境影响评价。</w:t>
            </w:r>
          </w:p>
        </w:tc>
        <w:tc>
          <w:tcPr>
            <w:tcW w:w="558" w:type="pct"/>
            <w:vAlign w:val="center"/>
          </w:tcPr>
          <w:p w14:paraId="6B5ADE60">
            <w:pPr>
              <w:pStyle w:val="75"/>
              <w:rPr>
                <w:sz w:val="21"/>
                <w:szCs w:val="21"/>
              </w:rPr>
            </w:pPr>
            <w:r>
              <w:rPr>
                <w:sz w:val="21"/>
                <w:szCs w:val="21"/>
              </w:rPr>
              <w:t>符合</w:t>
            </w:r>
          </w:p>
        </w:tc>
      </w:tr>
      <w:tr w14:paraId="461E8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restart"/>
            <w:vAlign w:val="center"/>
          </w:tcPr>
          <w:p w14:paraId="0427564B">
            <w:pPr>
              <w:pStyle w:val="81"/>
              <w:jc w:val="both"/>
              <w:rPr>
                <w:rFonts w:cs="Times New Roman"/>
                <w:b w:val="0"/>
                <w:color w:val="auto"/>
                <w:sz w:val="21"/>
                <w:szCs w:val="21"/>
              </w:rPr>
            </w:pPr>
            <w:r>
              <w:rPr>
                <w:rFonts w:cs="Times New Roman"/>
                <w:b w:val="0"/>
                <w:color w:val="auto"/>
                <w:sz w:val="21"/>
                <w:szCs w:val="21"/>
                <w:lang w:val="en"/>
              </w:rPr>
              <w:t>第十九条建设项目有下列情形之一的，生态环境主管部门应当对环境影响报告书、环境影响报告表作出不予批准的决定：</w:t>
            </w:r>
          </w:p>
        </w:tc>
        <w:tc>
          <w:tcPr>
            <w:tcW w:w="2066" w:type="pct"/>
            <w:vAlign w:val="center"/>
          </w:tcPr>
          <w:p w14:paraId="7426328A">
            <w:pPr>
              <w:pStyle w:val="77"/>
              <w:ind w:firstLine="0" w:firstLineChars="0"/>
              <w:jc w:val="both"/>
              <w:rPr>
                <w:snapToGrid/>
                <w:sz w:val="21"/>
                <w:szCs w:val="21"/>
              </w:rPr>
            </w:pPr>
            <w:r>
              <w:rPr>
                <w:snapToGrid/>
                <w:sz w:val="21"/>
                <w:szCs w:val="21"/>
              </w:rPr>
              <w:t>（一）建设项目类型及其选址、布局、规模等不符合环境保护法律法规和相关规划；</w:t>
            </w:r>
          </w:p>
        </w:tc>
        <w:tc>
          <w:tcPr>
            <w:tcW w:w="1581" w:type="pct"/>
            <w:vAlign w:val="center"/>
          </w:tcPr>
          <w:p w14:paraId="786DDA48">
            <w:pPr>
              <w:pStyle w:val="77"/>
              <w:ind w:firstLine="0" w:firstLineChars="0"/>
              <w:jc w:val="both"/>
              <w:rPr>
                <w:sz w:val="21"/>
                <w:szCs w:val="21"/>
              </w:rPr>
            </w:pPr>
            <w:r>
              <w:rPr>
                <w:sz w:val="21"/>
                <w:szCs w:val="21"/>
              </w:rPr>
              <w:t>本项目类型、选址、布局、规模符合</w:t>
            </w:r>
            <w:r>
              <w:rPr>
                <w:snapToGrid/>
                <w:sz w:val="21"/>
                <w:szCs w:val="21"/>
              </w:rPr>
              <w:t>环境保护法律法规和相关规划</w:t>
            </w:r>
            <w:r>
              <w:rPr>
                <w:rFonts w:hint="eastAsia"/>
                <w:snapToGrid/>
                <w:sz w:val="21"/>
                <w:szCs w:val="21"/>
              </w:rPr>
              <w:t>。</w:t>
            </w:r>
          </w:p>
        </w:tc>
        <w:tc>
          <w:tcPr>
            <w:tcW w:w="558" w:type="pct"/>
            <w:vAlign w:val="center"/>
          </w:tcPr>
          <w:p w14:paraId="295BE9A1">
            <w:pPr>
              <w:pStyle w:val="75"/>
              <w:rPr>
                <w:sz w:val="21"/>
                <w:szCs w:val="21"/>
              </w:rPr>
            </w:pPr>
            <w:r>
              <w:rPr>
                <w:sz w:val="21"/>
                <w:szCs w:val="21"/>
              </w:rPr>
              <w:t>符合</w:t>
            </w:r>
          </w:p>
        </w:tc>
      </w:tr>
      <w:tr w14:paraId="74C80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1C411451">
            <w:pPr>
              <w:pStyle w:val="81"/>
              <w:rPr>
                <w:rFonts w:cs="Times New Roman"/>
                <w:b w:val="0"/>
                <w:color w:val="auto"/>
                <w:sz w:val="21"/>
                <w:szCs w:val="21"/>
              </w:rPr>
            </w:pPr>
          </w:p>
        </w:tc>
        <w:tc>
          <w:tcPr>
            <w:tcW w:w="2066" w:type="pct"/>
            <w:vAlign w:val="center"/>
          </w:tcPr>
          <w:p w14:paraId="07B5209A">
            <w:pPr>
              <w:pStyle w:val="77"/>
              <w:ind w:firstLine="0" w:firstLineChars="0"/>
              <w:jc w:val="both"/>
              <w:rPr>
                <w:snapToGrid/>
                <w:sz w:val="21"/>
                <w:szCs w:val="21"/>
              </w:rPr>
            </w:pPr>
            <w:r>
              <w:rPr>
                <w:snapToGrid/>
                <w:sz w:val="21"/>
                <w:szCs w:val="21"/>
              </w:rPr>
              <w:t>（二）所在区域水环境质量未达到国家或者省环境质量标准，且建设项目拟采取的措施不能满足区域水环境质量改善目标管理要求；</w:t>
            </w:r>
          </w:p>
        </w:tc>
        <w:tc>
          <w:tcPr>
            <w:tcW w:w="1581" w:type="pct"/>
            <w:vAlign w:val="center"/>
          </w:tcPr>
          <w:p w14:paraId="4AB057C3">
            <w:pPr>
              <w:spacing w:line="240" w:lineRule="auto"/>
              <w:ind w:firstLine="0" w:firstLineChars="0"/>
              <w:rPr>
                <w:sz w:val="21"/>
                <w:szCs w:val="21"/>
              </w:rPr>
            </w:pPr>
            <w:r>
              <w:rPr>
                <w:snapToGrid w:val="0"/>
                <w:sz w:val="21"/>
                <w:szCs w:val="21"/>
              </w:rPr>
              <w:t>本项目最近水体</w:t>
            </w:r>
            <w:r>
              <w:rPr>
                <w:rFonts w:hint="eastAsia"/>
                <w:snapToGrid w:val="0"/>
                <w:sz w:val="21"/>
                <w:szCs w:val="21"/>
                <w:lang w:val="en-US" w:eastAsia="zh-CN"/>
              </w:rPr>
              <w:t>为共产主义渠</w:t>
            </w:r>
            <w:r>
              <w:rPr>
                <w:snapToGrid w:val="0"/>
                <w:sz w:val="21"/>
                <w:szCs w:val="21"/>
              </w:rPr>
              <w:t>，满足《地表水环境质量标准》（GB3838-2002）Ⅳ类标准</w:t>
            </w:r>
            <w:r>
              <w:rPr>
                <w:rFonts w:hint="eastAsia"/>
                <w:snapToGrid w:val="0"/>
                <w:sz w:val="21"/>
                <w:szCs w:val="21"/>
              </w:rPr>
              <w:t>。</w:t>
            </w:r>
          </w:p>
        </w:tc>
        <w:tc>
          <w:tcPr>
            <w:tcW w:w="558" w:type="pct"/>
            <w:vAlign w:val="center"/>
          </w:tcPr>
          <w:p w14:paraId="6A23A6EF">
            <w:pPr>
              <w:pStyle w:val="75"/>
              <w:rPr>
                <w:sz w:val="21"/>
                <w:szCs w:val="21"/>
              </w:rPr>
            </w:pPr>
            <w:r>
              <w:rPr>
                <w:sz w:val="21"/>
                <w:szCs w:val="21"/>
              </w:rPr>
              <w:t>符合</w:t>
            </w:r>
          </w:p>
        </w:tc>
      </w:tr>
      <w:tr w14:paraId="27D8E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39222655">
            <w:pPr>
              <w:pStyle w:val="81"/>
              <w:rPr>
                <w:rFonts w:cs="Times New Roman"/>
                <w:b w:val="0"/>
                <w:color w:val="auto"/>
                <w:sz w:val="21"/>
                <w:szCs w:val="21"/>
              </w:rPr>
            </w:pPr>
          </w:p>
        </w:tc>
        <w:tc>
          <w:tcPr>
            <w:tcW w:w="2066" w:type="pct"/>
            <w:vAlign w:val="center"/>
          </w:tcPr>
          <w:p w14:paraId="6E255DD2">
            <w:pPr>
              <w:pStyle w:val="77"/>
              <w:ind w:firstLine="0" w:firstLineChars="0"/>
              <w:jc w:val="both"/>
              <w:rPr>
                <w:snapToGrid/>
                <w:sz w:val="21"/>
                <w:szCs w:val="21"/>
              </w:rPr>
            </w:pPr>
            <w:r>
              <w:rPr>
                <w:snapToGrid/>
                <w:sz w:val="21"/>
                <w:szCs w:val="21"/>
              </w:rPr>
              <w:t>（三）建设项目采取的污染防治措施无法确保污染物排放达到国家和省排放标准，或者未采取必要措施预防和控制生态破坏；</w:t>
            </w:r>
          </w:p>
        </w:tc>
        <w:tc>
          <w:tcPr>
            <w:tcW w:w="1581" w:type="pct"/>
            <w:vAlign w:val="center"/>
          </w:tcPr>
          <w:p w14:paraId="2A8D446A">
            <w:pPr>
              <w:pStyle w:val="77"/>
              <w:ind w:firstLine="0" w:firstLineChars="0"/>
              <w:jc w:val="both"/>
              <w:rPr>
                <w:sz w:val="21"/>
                <w:szCs w:val="21"/>
              </w:rPr>
            </w:pPr>
            <w:r>
              <w:rPr>
                <w:sz w:val="21"/>
                <w:szCs w:val="21"/>
              </w:rPr>
              <w:t>本项目建成后污染物排放能够达到国家和省排放标准</w:t>
            </w:r>
            <w:r>
              <w:rPr>
                <w:rFonts w:hint="eastAsia"/>
                <w:sz w:val="21"/>
                <w:szCs w:val="21"/>
              </w:rPr>
              <w:t>。</w:t>
            </w:r>
          </w:p>
        </w:tc>
        <w:tc>
          <w:tcPr>
            <w:tcW w:w="558" w:type="pct"/>
            <w:vAlign w:val="center"/>
          </w:tcPr>
          <w:p w14:paraId="08866B8E">
            <w:pPr>
              <w:pStyle w:val="75"/>
              <w:rPr>
                <w:sz w:val="21"/>
                <w:szCs w:val="21"/>
              </w:rPr>
            </w:pPr>
            <w:r>
              <w:rPr>
                <w:sz w:val="21"/>
                <w:szCs w:val="21"/>
              </w:rPr>
              <w:t>符合</w:t>
            </w:r>
          </w:p>
        </w:tc>
      </w:tr>
      <w:tr w14:paraId="414C2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4620FEC0">
            <w:pPr>
              <w:pStyle w:val="81"/>
              <w:rPr>
                <w:rFonts w:cs="Times New Roman"/>
                <w:b w:val="0"/>
                <w:color w:val="auto"/>
                <w:sz w:val="21"/>
                <w:szCs w:val="21"/>
              </w:rPr>
            </w:pPr>
          </w:p>
        </w:tc>
        <w:tc>
          <w:tcPr>
            <w:tcW w:w="2066" w:type="pct"/>
            <w:vAlign w:val="center"/>
          </w:tcPr>
          <w:p w14:paraId="7AD9E85C">
            <w:pPr>
              <w:pStyle w:val="77"/>
              <w:ind w:firstLine="0" w:firstLineChars="0"/>
              <w:jc w:val="both"/>
              <w:rPr>
                <w:snapToGrid/>
                <w:sz w:val="21"/>
                <w:szCs w:val="21"/>
              </w:rPr>
            </w:pPr>
            <w:r>
              <w:rPr>
                <w:snapToGrid/>
                <w:sz w:val="21"/>
                <w:szCs w:val="21"/>
              </w:rPr>
              <w:t>（四）改建、扩建和技术改造项目，未针对项目原有水环境污染和生态破坏提出有效防治措施。</w:t>
            </w:r>
          </w:p>
        </w:tc>
        <w:tc>
          <w:tcPr>
            <w:tcW w:w="1581" w:type="pct"/>
            <w:vAlign w:val="center"/>
          </w:tcPr>
          <w:p w14:paraId="14B3FEBF">
            <w:pPr>
              <w:pStyle w:val="77"/>
              <w:ind w:firstLine="0" w:firstLineChars="0"/>
              <w:jc w:val="left"/>
              <w:rPr>
                <w:sz w:val="21"/>
                <w:szCs w:val="21"/>
              </w:rPr>
            </w:pPr>
            <w:r>
              <w:rPr>
                <w:sz w:val="21"/>
                <w:szCs w:val="21"/>
              </w:rPr>
              <w:t>本项目为</w:t>
            </w:r>
            <w:r>
              <w:rPr>
                <w:rFonts w:hint="eastAsia"/>
                <w:sz w:val="21"/>
                <w:szCs w:val="21"/>
                <w:lang w:val="en-US" w:eastAsia="zh-CN"/>
              </w:rPr>
              <w:t>新</w:t>
            </w:r>
            <w:r>
              <w:rPr>
                <w:rFonts w:hint="eastAsia"/>
                <w:sz w:val="21"/>
                <w:szCs w:val="21"/>
              </w:rPr>
              <w:t>建</w:t>
            </w:r>
            <w:r>
              <w:rPr>
                <w:sz w:val="21"/>
                <w:szCs w:val="21"/>
              </w:rPr>
              <w:t>项目。</w:t>
            </w:r>
          </w:p>
        </w:tc>
        <w:tc>
          <w:tcPr>
            <w:tcW w:w="558" w:type="pct"/>
            <w:vAlign w:val="center"/>
          </w:tcPr>
          <w:p w14:paraId="58409976">
            <w:pPr>
              <w:pStyle w:val="75"/>
              <w:rPr>
                <w:sz w:val="21"/>
                <w:szCs w:val="21"/>
              </w:rPr>
            </w:pPr>
            <w:r>
              <w:rPr>
                <w:sz w:val="21"/>
                <w:szCs w:val="21"/>
              </w:rPr>
              <w:t>符合</w:t>
            </w:r>
          </w:p>
        </w:tc>
      </w:tr>
      <w:tr w14:paraId="25CF66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restart"/>
            <w:vAlign w:val="center"/>
          </w:tcPr>
          <w:p w14:paraId="217E0A85">
            <w:pPr>
              <w:pStyle w:val="81"/>
              <w:jc w:val="both"/>
              <w:rPr>
                <w:rFonts w:cs="Times New Roman"/>
                <w:b w:val="0"/>
                <w:color w:val="auto"/>
                <w:sz w:val="21"/>
                <w:szCs w:val="21"/>
              </w:rPr>
            </w:pPr>
            <w:r>
              <w:rPr>
                <w:rFonts w:cs="Times New Roman"/>
                <w:b w:val="0"/>
                <w:color w:val="auto"/>
                <w:sz w:val="21"/>
                <w:szCs w:val="21"/>
                <w:lang w:val="en"/>
              </w:rPr>
              <w:t>第二十条 禁止任何单位和个人从事以下可能对水体产生污染的活动：</w:t>
            </w:r>
          </w:p>
        </w:tc>
        <w:tc>
          <w:tcPr>
            <w:tcW w:w="2066" w:type="pct"/>
            <w:vAlign w:val="center"/>
          </w:tcPr>
          <w:p w14:paraId="7B666189">
            <w:pPr>
              <w:pStyle w:val="77"/>
              <w:ind w:firstLine="0" w:firstLineChars="0"/>
              <w:jc w:val="both"/>
              <w:rPr>
                <w:snapToGrid/>
                <w:sz w:val="21"/>
                <w:szCs w:val="21"/>
              </w:rPr>
            </w:pPr>
            <w:r>
              <w:rPr>
                <w:snapToGrid/>
                <w:sz w:val="21"/>
                <w:szCs w:val="21"/>
              </w:rPr>
              <w:t>（一）新建不符合国家产业政策和其他严重污染水环境的生产项目；</w:t>
            </w:r>
          </w:p>
        </w:tc>
        <w:tc>
          <w:tcPr>
            <w:tcW w:w="1581" w:type="pct"/>
            <w:vAlign w:val="center"/>
          </w:tcPr>
          <w:p w14:paraId="21B8C114">
            <w:pPr>
              <w:pStyle w:val="77"/>
              <w:ind w:firstLine="0" w:firstLineChars="0"/>
              <w:jc w:val="both"/>
              <w:rPr>
                <w:sz w:val="21"/>
                <w:szCs w:val="21"/>
              </w:rPr>
            </w:pPr>
            <w:r>
              <w:rPr>
                <w:sz w:val="21"/>
                <w:szCs w:val="21"/>
              </w:rPr>
              <w:t>本项目为</w:t>
            </w:r>
            <w:r>
              <w:rPr>
                <w:rFonts w:hint="eastAsia"/>
                <w:sz w:val="21"/>
                <w:szCs w:val="21"/>
                <w:lang w:val="en-US" w:eastAsia="zh-CN"/>
              </w:rPr>
              <w:t>新</w:t>
            </w:r>
            <w:r>
              <w:rPr>
                <w:rFonts w:hint="eastAsia"/>
                <w:sz w:val="21"/>
                <w:szCs w:val="21"/>
              </w:rPr>
              <w:t>建</w:t>
            </w:r>
            <w:r>
              <w:rPr>
                <w:sz w:val="21"/>
                <w:szCs w:val="21"/>
              </w:rPr>
              <w:t>项目，</w:t>
            </w:r>
            <w:r>
              <w:rPr>
                <w:rFonts w:hint="eastAsia"/>
                <w:sz w:val="21"/>
                <w:szCs w:val="21"/>
              </w:rPr>
              <w:t>项目建设</w:t>
            </w:r>
            <w:r>
              <w:rPr>
                <w:sz w:val="21"/>
                <w:szCs w:val="21"/>
              </w:rPr>
              <w:t>符合</w:t>
            </w:r>
            <w:r>
              <w:rPr>
                <w:snapToGrid/>
                <w:sz w:val="21"/>
                <w:szCs w:val="21"/>
              </w:rPr>
              <w:t>国家产业政策</w:t>
            </w:r>
            <w:r>
              <w:rPr>
                <w:rFonts w:hint="eastAsia"/>
                <w:snapToGrid/>
                <w:sz w:val="21"/>
                <w:szCs w:val="21"/>
              </w:rPr>
              <w:t>，不属于</w:t>
            </w:r>
            <w:r>
              <w:rPr>
                <w:snapToGrid/>
                <w:sz w:val="21"/>
                <w:szCs w:val="21"/>
              </w:rPr>
              <w:t>严重污染水环境的生产项目</w:t>
            </w:r>
            <w:r>
              <w:rPr>
                <w:rFonts w:hint="eastAsia"/>
                <w:snapToGrid/>
                <w:sz w:val="21"/>
                <w:szCs w:val="21"/>
              </w:rPr>
              <w:t>。</w:t>
            </w:r>
          </w:p>
        </w:tc>
        <w:tc>
          <w:tcPr>
            <w:tcW w:w="558" w:type="pct"/>
            <w:vAlign w:val="center"/>
          </w:tcPr>
          <w:p w14:paraId="47D3DCEE">
            <w:pPr>
              <w:pStyle w:val="75"/>
              <w:rPr>
                <w:sz w:val="21"/>
                <w:szCs w:val="21"/>
              </w:rPr>
            </w:pPr>
            <w:r>
              <w:rPr>
                <w:sz w:val="21"/>
                <w:szCs w:val="21"/>
              </w:rPr>
              <w:t>符合</w:t>
            </w:r>
          </w:p>
        </w:tc>
      </w:tr>
      <w:tr w14:paraId="3C46CC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20ACBBD0">
            <w:pPr>
              <w:pStyle w:val="81"/>
              <w:rPr>
                <w:rFonts w:cs="Times New Roman"/>
                <w:b w:val="0"/>
                <w:color w:val="auto"/>
                <w:sz w:val="21"/>
                <w:szCs w:val="21"/>
              </w:rPr>
            </w:pPr>
          </w:p>
        </w:tc>
        <w:tc>
          <w:tcPr>
            <w:tcW w:w="2066" w:type="pct"/>
            <w:vAlign w:val="center"/>
          </w:tcPr>
          <w:p w14:paraId="1DADDE00">
            <w:pPr>
              <w:pStyle w:val="77"/>
              <w:ind w:firstLine="0" w:firstLineChars="0"/>
              <w:jc w:val="both"/>
              <w:rPr>
                <w:sz w:val="21"/>
                <w:szCs w:val="21"/>
              </w:rPr>
            </w:pPr>
            <w:r>
              <w:rPr>
                <w:snapToGrid/>
                <w:sz w:val="21"/>
                <w:szCs w:val="21"/>
              </w:rPr>
              <w:t>（二）使用国家和省明令淘汰的污染水环境的工艺和设备；</w:t>
            </w:r>
          </w:p>
        </w:tc>
        <w:tc>
          <w:tcPr>
            <w:tcW w:w="1581" w:type="pct"/>
            <w:vAlign w:val="center"/>
          </w:tcPr>
          <w:p w14:paraId="322A6BC2">
            <w:pPr>
              <w:pStyle w:val="77"/>
              <w:ind w:firstLine="0" w:firstLineChars="0"/>
              <w:jc w:val="both"/>
              <w:rPr>
                <w:sz w:val="21"/>
                <w:szCs w:val="21"/>
              </w:rPr>
            </w:pPr>
            <w:r>
              <w:rPr>
                <w:sz w:val="21"/>
                <w:szCs w:val="21"/>
              </w:rPr>
              <w:t>本项目建成后污水处理工艺和设备不属于国家和省明令淘汰的</w:t>
            </w:r>
            <w:r>
              <w:rPr>
                <w:rFonts w:hint="eastAsia"/>
                <w:sz w:val="21"/>
                <w:szCs w:val="21"/>
              </w:rPr>
              <w:t>设备。</w:t>
            </w:r>
          </w:p>
        </w:tc>
        <w:tc>
          <w:tcPr>
            <w:tcW w:w="558" w:type="pct"/>
            <w:vAlign w:val="center"/>
          </w:tcPr>
          <w:p w14:paraId="2074CF70">
            <w:pPr>
              <w:pStyle w:val="75"/>
              <w:rPr>
                <w:sz w:val="21"/>
                <w:szCs w:val="21"/>
              </w:rPr>
            </w:pPr>
            <w:r>
              <w:rPr>
                <w:sz w:val="21"/>
                <w:szCs w:val="21"/>
              </w:rPr>
              <w:t>符合</w:t>
            </w:r>
          </w:p>
        </w:tc>
      </w:tr>
      <w:tr w14:paraId="5E6973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0332BC76">
            <w:pPr>
              <w:pStyle w:val="81"/>
              <w:rPr>
                <w:rFonts w:cs="Times New Roman"/>
                <w:b w:val="0"/>
                <w:color w:val="auto"/>
                <w:sz w:val="21"/>
                <w:szCs w:val="21"/>
              </w:rPr>
            </w:pPr>
          </w:p>
        </w:tc>
        <w:tc>
          <w:tcPr>
            <w:tcW w:w="2066" w:type="pct"/>
            <w:vAlign w:val="center"/>
          </w:tcPr>
          <w:p w14:paraId="4C74B755">
            <w:pPr>
              <w:pStyle w:val="77"/>
              <w:ind w:firstLine="0" w:firstLineChars="0"/>
              <w:jc w:val="both"/>
              <w:rPr>
                <w:sz w:val="21"/>
                <w:szCs w:val="21"/>
              </w:rPr>
            </w:pPr>
            <w:r>
              <w:rPr>
                <w:snapToGrid/>
                <w:sz w:val="21"/>
                <w:szCs w:val="21"/>
              </w:rPr>
              <w:t>（四）向水体排放油类、酸液、碱液或者剧毒废液；</w:t>
            </w:r>
          </w:p>
        </w:tc>
        <w:tc>
          <w:tcPr>
            <w:tcW w:w="1581" w:type="pct"/>
            <w:vAlign w:val="center"/>
          </w:tcPr>
          <w:p w14:paraId="34AA2820">
            <w:pPr>
              <w:pStyle w:val="77"/>
              <w:ind w:firstLine="0" w:firstLineChars="0"/>
              <w:jc w:val="both"/>
              <w:rPr>
                <w:sz w:val="21"/>
                <w:szCs w:val="21"/>
              </w:rPr>
            </w:pPr>
            <w:r>
              <w:rPr>
                <w:sz w:val="21"/>
                <w:szCs w:val="21"/>
              </w:rPr>
              <w:t>本项目建成后不外排</w:t>
            </w:r>
            <w:r>
              <w:rPr>
                <w:snapToGrid/>
                <w:sz w:val="21"/>
                <w:szCs w:val="21"/>
              </w:rPr>
              <w:t>油类、酸液、碱液或者剧毒废液</w:t>
            </w:r>
            <w:r>
              <w:rPr>
                <w:rFonts w:hint="eastAsia"/>
                <w:snapToGrid/>
                <w:sz w:val="21"/>
                <w:szCs w:val="21"/>
              </w:rPr>
              <w:t>。</w:t>
            </w:r>
          </w:p>
        </w:tc>
        <w:tc>
          <w:tcPr>
            <w:tcW w:w="558" w:type="pct"/>
            <w:vAlign w:val="center"/>
          </w:tcPr>
          <w:p w14:paraId="7ED221D9">
            <w:pPr>
              <w:pStyle w:val="75"/>
              <w:rPr>
                <w:sz w:val="21"/>
                <w:szCs w:val="21"/>
              </w:rPr>
            </w:pPr>
            <w:r>
              <w:rPr>
                <w:sz w:val="21"/>
                <w:szCs w:val="21"/>
              </w:rPr>
              <w:t>符合</w:t>
            </w:r>
          </w:p>
        </w:tc>
      </w:tr>
      <w:tr w14:paraId="472DA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0E91FD55">
            <w:pPr>
              <w:pStyle w:val="81"/>
              <w:rPr>
                <w:rFonts w:cs="Times New Roman"/>
                <w:b w:val="0"/>
                <w:color w:val="auto"/>
                <w:sz w:val="21"/>
                <w:szCs w:val="21"/>
              </w:rPr>
            </w:pPr>
          </w:p>
        </w:tc>
        <w:tc>
          <w:tcPr>
            <w:tcW w:w="2066" w:type="pct"/>
            <w:vAlign w:val="center"/>
          </w:tcPr>
          <w:p w14:paraId="11B0675F">
            <w:pPr>
              <w:pStyle w:val="77"/>
              <w:ind w:firstLine="0" w:firstLineChars="0"/>
              <w:jc w:val="both"/>
              <w:rPr>
                <w:sz w:val="21"/>
                <w:szCs w:val="21"/>
              </w:rPr>
            </w:pPr>
            <w:r>
              <w:rPr>
                <w:snapToGrid/>
                <w:sz w:val="21"/>
                <w:szCs w:val="21"/>
              </w:rPr>
              <w:t>（五）将含有汞、镉、砷、铬、铅、氰化物、黄磷等剧毒物质的可溶性废渣向水体排放、倾倒或者直接埋入地下；</w:t>
            </w:r>
          </w:p>
        </w:tc>
        <w:tc>
          <w:tcPr>
            <w:tcW w:w="1581" w:type="pct"/>
            <w:vAlign w:val="center"/>
          </w:tcPr>
          <w:p w14:paraId="377A518C">
            <w:pPr>
              <w:pStyle w:val="77"/>
              <w:ind w:firstLine="0" w:firstLineChars="0"/>
              <w:jc w:val="both"/>
              <w:rPr>
                <w:sz w:val="21"/>
                <w:szCs w:val="21"/>
              </w:rPr>
            </w:pPr>
            <w:r>
              <w:rPr>
                <w:sz w:val="21"/>
                <w:szCs w:val="21"/>
              </w:rPr>
              <w:t>本项目不涉及</w:t>
            </w:r>
            <w:r>
              <w:rPr>
                <w:snapToGrid/>
                <w:sz w:val="21"/>
                <w:szCs w:val="21"/>
              </w:rPr>
              <w:t>汞、镉、砷、铬、铅、氰化物、黄磷等剧毒物质的可溶性废渣</w:t>
            </w:r>
            <w:r>
              <w:rPr>
                <w:rFonts w:hint="eastAsia"/>
                <w:snapToGrid/>
                <w:sz w:val="21"/>
                <w:szCs w:val="21"/>
              </w:rPr>
              <w:t>；项目</w:t>
            </w:r>
            <w:r>
              <w:rPr>
                <w:snapToGrid/>
                <w:sz w:val="21"/>
                <w:szCs w:val="21"/>
              </w:rPr>
              <w:t>含铬废水经处理后回用于生产，含铬</w:t>
            </w:r>
            <w:r>
              <w:rPr>
                <w:rFonts w:hint="eastAsia"/>
                <w:snapToGrid/>
                <w:sz w:val="21"/>
                <w:szCs w:val="21"/>
              </w:rPr>
              <w:t>、含镍</w:t>
            </w:r>
            <w:r>
              <w:rPr>
                <w:snapToGrid/>
                <w:sz w:val="21"/>
                <w:szCs w:val="21"/>
              </w:rPr>
              <w:t>污泥作为危废委托有资质的单位进行处置</w:t>
            </w:r>
            <w:r>
              <w:rPr>
                <w:rFonts w:hint="eastAsia"/>
                <w:snapToGrid/>
                <w:sz w:val="21"/>
                <w:szCs w:val="21"/>
              </w:rPr>
              <w:t>。</w:t>
            </w:r>
          </w:p>
        </w:tc>
        <w:tc>
          <w:tcPr>
            <w:tcW w:w="558" w:type="pct"/>
            <w:vAlign w:val="center"/>
          </w:tcPr>
          <w:p w14:paraId="6A973DE0">
            <w:pPr>
              <w:pStyle w:val="75"/>
              <w:rPr>
                <w:sz w:val="21"/>
                <w:szCs w:val="21"/>
              </w:rPr>
            </w:pPr>
            <w:r>
              <w:rPr>
                <w:sz w:val="21"/>
                <w:szCs w:val="21"/>
              </w:rPr>
              <w:t>符合</w:t>
            </w:r>
          </w:p>
        </w:tc>
      </w:tr>
      <w:tr w14:paraId="3AD69A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3D9E30FE">
            <w:pPr>
              <w:pStyle w:val="81"/>
              <w:rPr>
                <w:rFonts w:cs="Times New Roman"/>
                <w:b w:val="0"/>
                <w:color w:val="auto"/>
                <w:sz w:val="21"/>
                <w:szCs w:val="21"/>
              </w:rPr>
            </w:pPr>
          </w:p>
        </w:tc>
        <w:tc>
          <w:tcPr>
            <w:tcW w:w="2066" w:type="pct"/>
            <w:vAlign w:val="center"/>
          </w:tcPr>
          <w:p w14:paraId="78CA61C1">
            <w:pPr>
              <w:pStyle w:val="77"/>
              <w:ind w:firstLine="0" w:firstLineChars="0"/>
              <w:jc w:val="both"/>
              <w:rPr>
                <w:sz w:val="21"/>
                <w:szCs w:val="21"/>
              </w:rPr>
            </w:pPr>
            <w:r>
              <w:rPr>
                <w:snapToGrid/>
                <w:sz w:val="21"/>
                <w:szCs w:val="21"/>
              </w:rPr>
              <w:t>（六）向水体排放、倾倒工业废渣、垃圾和其他废弃物；</w:t>
            </w:r>
          </w:p>
        </w:tc>
        <w:tc>
          <w:tcPr>
            <w:tcW w:w="1581" w:type="pct"/>
            <w:vAlign w:val="center"/>
          </w:tcPr>
          <w:p w14:paraId="07150F05">
            <w:pPr>
              <w:pStyle w:val="77"/>
              <w:ind w:firstLine="0" w:firstLineChars="0"/>
              <w:jc w:val="both"/>
              <w:rPr>
                <w:sz w:val="21"/>
                <w:szCs w:val="21"/>
              </w:rPr>
            </w:pPr>
            <w:r>
              <w:rPr>
                <w:snapToGrid/>
                <w:sz w:val="21"/>
                <w:szCs w:val="21"/>
              </w:rPr>
              <w:t>本项目建成后，禁止向水体排放、倾倒工业废渣、垃圾和其他废弃物</w:t>
            </w:r>
            <w:r>
              <w:rPr>
                <w:rFonts w:hint="eastAsia"/>
                <w:snapToGrid/>
                <w:sz w:val="21"/>
                <w:szCs w:val="21"/>
              </w:rPr>
              <w:t>。</w:t>
            </w:r>
          </w:p>
        </w:tc>
        <w:tc>
          <w:tcPr>
            <w:tcW w:w="558" w:type="pct"/>
            <w:vAlign w:val="center"/>
          </w:tcPr>
          <w:p w14:paraId="4DEDE77E">
            <w:pPr>
              <w:pStyle w:val="75"/>
              <w:rPr>
                <w:sz w:val="21"/>
                <w:szCs w:val="21"/>
              </w:rPr>
            </w:pPr>
            <w:r>
              <w:rPr>
                <w:sz w:val="21"/>
                <w:szCs w:val="21"/>
              </w:rPr>
              <w:t>符合</w:t>
            </w:r>
          </w:p>
        </w:tc>
      </w:tr>
      <w:tr w14:paraId="2D6E78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55FF5B03">
            <w:pPr>
              <w:pStyle w:val="81"/>
              <w:rPr>
                <w:rFonts w:cs="Times New Roman"/>
                <w:b w:val="0"/>
                <w:color w:val="auto"/>
                <w:sz w:val="21"/>
                <w:szCs w:val="21"/>
              </w:rPr>
            </w:pPr>
          </w:p>
        </w:tc>
        <w:tc>
          <w:tcPr>
            <w:tcW w:w="2066" w:type="pct"/>
            <w:vAlign w:val="center"/>
          </w:tcPr>
          <w:p w14:paraId="4053564F">
            <w:pPr>
              <w:pStyle w:val="77"/>
              <w:ind w:firstLine="0" w:firstLineChars="0"/>
              <w:jc w:val="both"/>
              <w:rPr>
                <w:sz w:val="21"/>
                <w:szCs w:val="21"/>
              </w:rPr>
            </w:pPr>
            <w:r>
              <w:rPr>
                <w:snapToGrid/>
                <w:sz w:val="21"/>
                <w:szCs w:val="21"/>
              </w:rPr>
              <w:t>（七）向水体排放、倾倒放射性固体废弃物或者含有放射性物质的废水；</w:t>
            </w:r>
          </w:p>
        </w:tc>
        <w:tc>
          <w:tcPr>
            <w:tcW w:w="1581" w:type="pct"/>
            <w:vAlign w:val="center"/>
          </w:tcPr>
          <w:p w14:paraId="5822F4D5">
            <w:pPr>
              <w:pStyle w:val="77"/>
              <w:ind w:firstLine="0" w:firstLineChars="0"/>
              <w:jc w:val="both"/>
              <w:rPr>
                <w:sz w:val="21"/>
                <w:szCs w:val="21"/>
              </w:rPr>
            </w:pPr>
            <w:r>
              <w:rPr>
                <w:snapToGrid/>
                <w:sz w:val="21"/>
                <w:szCs w:val="21"/>
              </w:rPr>
              <w:t>本项目不涉及放射性固体废弃物或者含有放射性物质的废水</w:t>
            </w:r>
            <w:r>
              <w:rPr>
                <w:rFonts w:hint="eastAsia"/>
                <w:snapToGrid/>
                <w:sz w:val="21"/>
                <w:szCs w:val="21"/>
              </w:rPr>
              <w:t>。</w:t>
            </w:r>
          </w:p>
        </w:tc>
        <w:tc>
          <w:tcPr>
            <w:tcW w:w="558" w:type="pct"/>
            <w:vAlign w:val="center"/>
          </w:tcPr>
          <w:p w14:paraId="50176AF1">
            <w:pPr>
              <w:pStyle w:val="75"/>
              <w:rPr>
                <w:sz w:val="21"/>
                <w:szCs w:val="21"/>
              </w:rPr>
            </w:pPr>
            <w:r>
              <w:rPr>
                <w:sz w:val="21"/>
                <w:szCs w:val="21"/>
              </w:rPr>
              <w:t>符合</w:t>
            </w:r>
          </w:p>
        </w:tc>
      </w:tr>
      <w:tr w14:paraId="60018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Merge w:val="continue"/>
            <w:vAlign w:val="center"/>
          </w:tcPr>
          <w:p w14:paraId="02000555">
            <w:pPr>
              <w:pStyle w:val="81"/>
              <w:rPr>
                <w:rFonts w:cs="Times New Roman"/>
                <w:b w:val="0"/>
                <w:color w:val="auto"/>
                <w:sz w:val="21"/>
                <w:szCs w:val="21"/>
              </w:rPr>
            </w:pPr>
          </w:p>
        </w:tc>
        <w:tc>
          <w:tcPr>
            <w:tcW w:w="2066" w:type="pct"/>
            <w:vAlign w:val="center"/>
          </w:tcPr>
          <w:p w14:paraId="55D93E5B">
            <w:pPr>
              <w:pStyle w:val="77"/>
              <w:ind w:firstLine="0" w:firstLineChars="0"/>
              <w:jc w:val="both"/>
              <w:rPr>
                <w:sz w:val="21"/>
                <w:szCs w:val="21"/>
              </w:rPr>
            </w:pPr>
            <w:r>
              <w:rPr>
                <w:snapToGrid/>
                <w:sz w:val="21"/>
                <w:szCs w:val="21"/>
              </w:rPr>
              <w:t>（八）向水体排放、倾倒未经过消毒处理不符合排放标准的含病原体的污水。</w:t>
            </w:r>
          </w:p>
        </w:tc>
        <w:tc>
          <w:tcPr>
            <w:tcW w:w="1581" w:type="pct"/>
            <w:vAlign w:val="center"/>
          </w:tcPr>
          <w:p w14:paraId="0A3A16E9">
            <w:pPr>
              <w:pStyle w:val="77"/>
              <w:ind w:firstLine="0" w:firstLineChars="0"/>
              <w:jc w:val="both"/>
              <w:rPr>
                <w:sz w:val="21"/>
                <w:szCs w:val="21"/>
              </w:rPr>
            </w:pPr>
            <w:r>
              <w:rPr>
                <w:sz w:val="21"/>
                <w:szCs w:val="21"/>
              </w:rPr>
              <w:t>本项目不涉及</w:t>
            </w:r>
            <w:r>
              <w:rPr>
                <w:snapToGrid/>
                <w:sz w:val="21"/>
                <w:szCs w:val="21"/>
              </w:rPr>
              <w:t>含病原体的污水。</w:t>
            </w:r>
          </w:p>
        </w:tc>
        <w:tc>
          <w:tcPr>
            <w:tcW w:w="558" w:type="pct"/>
            <w:vAlign w:val="center"/>
          </w:tcPr>
          <w:p w14:paraId="718D97B2">
            <w:pPr>
              <w:pStyle w:val="75"/>
              <w:rPr>
                <w:sz w:val="21"/>
                <w:szCs w:val="21"/>
              </w:rPr>
            </w:pPr>
            <w:r>
              <w:rPr>
                <w:rFonts w:hint="eastAsia"/>
                <w:sz w:val="21"/>
                <w:szCs w:val="21"/>
              </w:rPr>
              <w:t>/</w:t>
            </w:r>
          </w:p>
        </w:tc>
      </w:tr>
      <w:tr w14:paraId="4A7405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 w:type="pct"/>
            <w:vAlign w:val="center"/>
          </w:tcPr>
          <w:p w14:paraId="362D9CBE">
            <w:pPr>
              <w:pStyle w:val="81"/>
              <w:rPr>
                <w:rFonts w:cs="Times New Roman"/>
                <w:b w:val="0"/>
                <w:color w:val="auto"/>
                <w:sz w:val="21"/>
                <w:szCs w:val="21"/>
              </w:rPr>
            </w:pPr>
            <w:r>
              <w:rPr>
                <w:rFonts w:cs="Times New Roman"/>
                <w:b w:val="0"/>
                <w:color w:val="auto"/>
                <w:sz w:val="21"/>
                <w:szCs w:val="21"/>
                <w:lang w:val="en"/>
              </w:rPr>
              <w:t>第五十一条</w:t>
            </w:r>
          </w:p>
        </w:tc>
        <w:tc>
          <w:tcPr>
            <w:tcW w:w="2066" w:type="pct"/>
            <w:vAlign w:val="center"/>
          </w:tcPr>
          <w:p w14:paraId="0EE2E41E">
            <w:pPr>
              <w:pStyle w:val="77"/>
              <w:ind w:firstLine="0" w:firstLineChars="0"/>
              <w:jc w:val="both"/>
              <w:rPr>
                <w:snapToGrid/>
                <w:sz w:val="21"/>
                <w:szCs w:val="21"/>
              </w:rPr>
            </w:pPr>
            <w:r>
              <w:rPr>
                <w:snapToGrid/>
                <w:sz w:val="21"/>
                <w:szCs w:val="21"/>
              </w:rPr>
              <w:t>在饮用水水源准保护区内禁止新建、扩建对水体污染严重的建设项目；改建建设项目，不得增加排污量。</w:t>
            </w:r>
          </w:p>
        </w:tc>
        <w:tc>
          <w:tcPr>
            <w:tcW w:w="1581" w:type="pct"/>
            <w:vAlign w:val="center"/>
          </w:tcPr>
          <w:p w14:paraId="31560421">
            <w:pPr>
              <w:pStyle w:val="77"/>
              <w:ind w:firstLine="0" w:firstLineChars="0"/>
              <w:jc w:val="both"/>
              <w:rPr>
                <w:sz w:val="21"/>
                <w:szCs w:val="21"/>
              </w:rPr>
            </w:pPr>
            <w:r>
              <w:rPr>
                <w:sz w:val="21"/>
                <w:szCs w:val="21"/>
              </w:rPr>
              <w:t>本项目选址不属于</w:t>
            </w:r>
            <w:r>
              <w:rPr>
                <w:snapToGrid/>
                <w:sz w:val="21"/>
                <w:szCs w:val="21"/>
              </w:rPr>
              <w:t>饮用水水源准保护区内。</w:t>
            </w:r>
          </w:p>
        </w:tc>
        <w:tc>
          <w:tcPr>
            <w:tcW w:w="558" w:type="pct"/>
            <w:vAlign w:val="center"/>
          </w:tcPr>
          <w:p w14:paraId="4BE9266D">
            <w:pPr>
              <w:pStyle w:val="75"/>
              <w:rPr>
                <w:sz w:val="21"/>
                <w:szCs w:val="21"/>
              </w:rPr>
            </w:pPr>
            <w:r>
              <w:rPr>
                <w:sz w:val="21"/>
                <w:szCs w:val="21"/>
              </w:rPr>
              <w:t>符合</w:t>
            </w:r>
          </w:p>
        </w:tc>
      </w:tr>
    </w:tbl>
    <w:p w14:paraId="33F1AC8C">
      <w:pPr>
        <w:ind w:firstLine="480"/>
        <w:rPr>
          <w:bCs/>
        </w:rPr>
      </w:pPr>
      <w:r>
        <w:rPr>
          <w:rFonts w:hint="eastAsia"/>
          <w:bCs/>
        </w:rPr>
        <w:t>由上表可知，本项目符合《河南省水污染防治条例（2019）》的相关要求。</w:t>
      </w:r>
    </w:p>
    <w:p w14:paraId="2A49BB8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2.11.10《河南省涉重金属重点行业污染防控工作方案》（豫环文[2018]262号）相符性分析</w:t>
      </w:r>
    </w:p>
    <w:p w14:paraId="6D267668">
      <w:pPr>
        <w:ind w:firstLine="480"/>
        <w:rPr>
          <w:bCs/>
        </w:rPr>
      </w:pPr>
      <w:r>
        <w:rPr>
          <w:rFonts w:hint="eastAsia"/>
          <w:bCs/>
        </w:rPr>
        <w:t>根据《河南省涉重金属重点行业污染防控工作方案》（豫环文[2018]262号）的内容，结合本项目的情况，该条例中涉及到本项目的内容与本项目实际情况的对比情况见下表。</w:t>
      </w:r>
    </w:p>
    <w:p w14:paraId="77995A5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bookmarkStart w:id="350" w:name="_Hlk109199894"/>
      <w:r>
        <w:rPr>
          <w:rFonts w:hint="eastAsia"/>
        </w:rPr>
        <w:t>表</w:t>
      </w:r>
      <w:r>
        <w:rPr>
          <w:rFonts w:hint="eastAsia"/>
          <w:lang w:val="en-US" w:eastAsia="zh-CN"/>
        </w:rPr>
        <w:t>2.11-11</w:t>
      </w:r>
      <w:r>
        <w:rPr>
          <w:rFonts w:hint="eastAsia"/>
        </w:rPr>
        <w:t xml:space="preserve">   与《河南省涉重金属重点行业污染防控工作方案》对比分析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3908"/>
        <w:gridCol w:w="2507"/>
        <w:gridCol w:w="952"/>
      </w:tblGrid>
      <w:tr w14:paraId="38A75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81" w:type="pct"/>
            <w:vAlign w:val="center"/>
          </w:tcPr>
          <w:p w14:paraId="592E19EA">
            <w:pPr>
              <w:pStyle w:val="81"/>
              <w:rPr>
                <w:rFonts w:cs="Times New Roman"/>
                <w:color w:val="auto"/>
              </w:rPr>
            </w:pPr>
            <w:r>
              <w:rPr>
                <w:rFonts w:cs="Times New Roman"/>
                <w:color w:val="auto"/>
              </w:rPr>
              <w:t>项目</w:t>
            </w:r>
          </w:p>
        </w:tc>
        <w:tc>
          <w:tcPr>
            <w:tcW w:w="2291" w:type="pct"/>
            <w:vAlign w:val="center"/>
          </w:tcPr>
          <w:p w14:paraId="58A4FB33">
            <w:pPr>
              <w:pStyle w:val="81"/>
              <w:rPr>
                <w:rFonts w:cs="Times New Roman"/>
                <w:color w:val="auto"/>
              </w:rPr>
            </w:pPr>
            <w:r>
              <w:rPr>
                <w:rFonts w:cs="Times New Roman"/>
                <w:color w:val="auto"/>
              </w:rPr>
              <w:t>实施方案</w:t>
            </w:r>
          </w:p>
        </w:tc>
        <w:tc>
          <w:tcPr>
            <w:tcW w:w="1470" w:type="pct"/>
            <w:vAlign w:val="center"/>
          </w:tcPr>
          <w:p w14:paraId="4C45C186">
            <w:pPr>
              <w:pStyle w:val="81"/>
              <w:rPr>
                <w:rFonts w:cs="Times New Roman"/>
                <w:color w:val="auto"/>
              </w:rPr>
            </w:pPr>
            <w:r>
              <w:rPr>
                <w:rFonts w:cs="Times New Roman"/>
                <w:color w:val="auto"/>
              </w:rPr>
              <w:t>本项目建设情况</w:t>
            </w:r>
          </w:p>
        </w:tc>
        <w:tc>
          <w:tcPr>
            <w:tcW w:w="558" w:type="pct"/>
            <w:vAlign w:val="center"/>
          </w:tcPr>
          <w:p w14:paraId="2B1DFE09">
            <w:pPr>
              <w:pStyle w:val="81"/>
              <w:rPr>
                <w:rFonts w:cs="Times New Roman"/>
                <w:color w:val="auto"/>
              </w:rPr>
            </w:pPr>
            <w:r>
              <w:rPr>
                <w:rFonts w:cs="Times New Roman"/>
                <w:color w:val="auto"/>
              </w:rPr>
              <w:t>符合</w:t>
            </w:r>
            <w:r>
              <w:rPr>
                <w:rFonts w:hint="eastAsia" w:cs="Times New Roman"/>
                <w:color w:val="auto"/>
              </w:rPr>
              <w:t>性</w:t>
            </w:r>
          </w:p>
        </w:tc>
      </w:tr>
      <w:tr w14:paraId="38A01C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06A554FC">
            <w:pPr>
              <w:pStyle w:val="75"/>
              <w:jc w:val="both"/>
              <w:rPr>
                <w:szCs w:val="28"/>
              </w:rPr>
            </w:pPr>
            <w:r>
              <w:rPr>
                <w:szCs w:val="24"/>
              </w:rPr>
              <w:t>（二）严格涉重金属行业项目环境准入，实施总量控制制度</w:t>
            </w:r>
          </w:p>
        </w:tc>
        <w:tc>
          <w:tcPr>
            <w:tcW w:w="2291" w:type="pct"/>
            <w:vAlign w:val="center"/>
          </w:tcPr>
          <w:p w14:paraId="0FB9F8B4">
            <w:pPr>
              <w:pStyle w:val="77"/>
              <w:ind w:firstLine="0" w:firstLineChars="0"/>
              <w:jc w:val="both"/>
            </w:pPr>
            <w:r>
              <w:t>2018年起，新建项目审批实施</w:t>
            </w:r>
            <w:r>
              <w:rPr>
                <w:rFonts w:hint="eastAsia"/>
              </w:rPr>
              <w:t>“</w:t>
            </w:r>
            <w:r>
              <w:t>增产不增污</w:t>
            </w:r>
            <w:r>
              <w:rPr>
                <w:rFonts w:hint="eastAsia"/>
              </w:rPr>
              <w:t>”</w:t>
            </w:r>
            <w:r>
              <w:t>或</w:t>
            </w:r>
            <w:r>
              <w:rPr>
                <w:rFonts w:hint="eastAsia"/>
              </w:rPr>
              <w:t>“</w:t>
            </w:r>
            <w:r>
              <w:t>增产减污</w:t>
            </w:r>
            <w:r>
              <w:rPr>
                <w:rFonts w:hint="eastAsia"/>
              </w:rPr>
              <w:t>”</w:t>
            </w:r>
            <w:r>
              <w:t>。全省新建、改建、扩建重点行业</w:t>
            </w:r>
            <w:r>
              <w:fldChar w:fldCharType="begin"/>
            </w:r>
            <w:r>
              <w:instrText xml:space="preserve"> HYPERLINK "https://www.eqxun.com/news/1249.html" </w:instrText>
            </w:r>
            <w:r>
              <w:fldChar w:fldCharType="separate"/>
            </w:r>
            <w:r>
              <w:t>重金属污染</w:t>
            </w:r>
            <w:r>
              <w:fldChar w:fldCharType="end"/>
            </w:r>
            <w:r>
              <w:t>物排放项目，通过</w:t>
            </w:r>
            <w:r>
              <w:rPr>
                <w:rFonts w:hint="eastAsia"/>
              </w:rPr>
              <w:t>“</w:t>
            </w:r>
            <w:r>
              <w:t>以新代老</w:t>
            </w:r>
            <w:r>
              <w:rPr>
                <w:rFonts w:hint="eastAsia"/>
              </w:rPr>
              <w:t>”</w:t>
            </w:r>
            <w:r>
              <w:t>治理、淘汰落后产能、区域替代等</w:t>
            </w:r>
            <w:r>
              <w:rPr>
                <w:rFonts w:hint="eastAsia"/>
              </w:rPr>
              <w:t>“</w:t>
            </w:r>
            <w:r>
              <w:t>等量置换</w:t>
            </w:r>
            <w:r>
              <w:rPr>
                <w:rFonts w:hint="eastAsia"/>
              </w:rPr>
              <w:t>”</w:t>
            </w:r>
            <w:r>
              <w:t>或</w:t>
            </w:r>
            <w:r>
              <w:rPr>
                <w:rFonts w:hint="eastAsia"/>
              </w:rPr>
              <w:t>“</w:t>
            </w:r>
            <w:r>
              <w:t>减量置换</w:t>
            </w:r>
            <w:r>
              <w:rPr>
                <w:rFonts w:hint="eastAsia"/>
              </w:rPr>
              <w:t>”</w:t>
            </w:r>
            <w:r>
              <w:t>措施，实现所在区域内重点</w:t>
            </w:r>
            <w:r>
              <w:fldChar w:fldCharType="begin"/>
            </w:r>
            <w:r>
              <w:instrText xml:space="preserve"> HYPERLINK "https://www.eqxun.com/news/1249.html" </w:instrText>
            </w:r>
            <w:r>
              <w:fldChar w:fldCharType="separate"/>
            </w:r>
            <w:r>
              <w:t>重金属污染</w:t>
            </w:r>
            <w:r>
              <w:fldChar w:fldCharType="end"/>
            </w:r>
            <w:r>
              <w:t>物排放总量零增长或进一步削减。对全口径清单内的企业落实减排措施和工程削减的重点</w:t>
            </w:r>
            <w:r>
              <w:fldChar w:fldCharType="begin"/>
            </w:r>
            <w:r>
              <w:instrText xml:space="preserve"> HYPERLINK "https://www.eqxun.com/news/1249.html" </w:instrText>
            </w:r>
            <w:r>
              <w:fldChar w:fldCharType="separate"/>
            </w:r>
            <w:r>
              <w:t>重金属污染</w:t>
            </w:r>
            <w:r>
              <w:fldChar w:fldCharType="end"/>
            </w:r>
            <w:r>
              <w:t>物排放量，经监测并可核实的，可作为涉重金属行业新、改、扩建企业</w:t>
            </w:r>
            <w:r>
              <w:fldChar w:fldCharType="begin"/>
            </w:r>
            <w:r>
              <w:instrText xml:space="preserve"> HYPERLINK "https://www.eqxun.com/news/1249.html" </w:instrText>
            </w:r>
            <w:r>
              <w:fldChar w:fldCharType="separate"/>
            </w:r>
            <w:r>
              <w:t>重金属污染</w:t>
            </w:r>
            <w:r>
              <w:fldChar w:fldCharType="end"/>
            </w:r>
            <w:r>
              <w:t>物排放总量等量来源。</w:t>
            </w:r>
          </w:p>
        </w:tc>
        <w:tc>
          <w:tcPr>
            <w:tcW w:w="1470" w:type="pct"/>
            <w:vAlign w:val="center"/>
          </w:tcPr>
          <w:p w14:paraId="6C86CADC">
            <w:pPr>
              <w:pStyle w:val="77"/>
              <w:ind w:firstLine="0" w:firstLineChars="0"/>
              <w:jc w:val="both"/>
            </w:pPr>
            <w:r>
              <w:t>本项目</w:t>
            </w:r>
            <w:r>
              <w:rPr>
                <w:rFonts w:hint="eastAsia"/>
                <w:lang w:val="en-US" w:eastAsia="zh-CN"/>
              </w:rPr>
              <w:t>涉及电镀工艺，</w:t>
            </w:r>
            <w:r>
              <w:t>属于重点行业，</w:t>
            </w:r>
            <w:r>
              <w:rPr>
                <w:szCs w:val="21"/>
              </w:rPr>
              <w:t>含镍、含铬废水经处理后回用于生产，不外排；含镍、含铬废物委托有资质的危废处置单位处理，不涉及重金属污染物的排放。</w:t>
            </w:r>
          </w:p>
        </w:tc>
        <w:tc>
          <w:tcPr>
            <w:tcW w:w="558" w:type="pct"/>
            <w:vAlign w:val="center"/>
          </w:tcPr>
          <w:p w14:paraId="0A213FFA">
            <w:pPr>
              <w:pStyle w:val="75"/>
            </w:pPr>
            <w:r>
              <w:t>符合</w:t>
            </w:r>
          </w:p>
        </w:tc>
      </w:tr>
      <w:tr w14:paraId="48B7C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17553E5">
            <w:pPr>
              <w:pStyle w:val="75"/>
              <w:jc w:val="both"/>
              <w:rPr>
                <w:szCs w:val="28"/>
              </w:rPr>
            </w:pPr>
            <w:r>
              <w:rPr>
                <w:szCs w:val="24"/>
              </w:rPr>
              <w:t>(三)严格执行行业政策，强化涉重金属行业监管</w:t>
            </w:r>
          </w:p>
        </w:tc>
        <w:tc>
          <w:tcPr>
            <w:tcW w:w="2291" w:type="pct"/>
            <w:vAlign w:val="center"/>
          </w:tcPr>
          <w:p w14:paraId="3D207B3E">
            <w:pPr>
              <w:pStyle w:val="77"/>
              <w:ind w:firstLine="0" w:firstLineChars="0"/>
              <w:jc w:val="both"/>
            </w:pPr>
            <w:r>
              <w:t>坚决淘汰铅锌冶炼行业的烧结</w:t>
            </w:r>
            <w:r>
              <w:rPr>
                <w:rFonts w:hint="eastAsia"/>
              </w:rPr>
              <w:t>—</w:t>
            </w:r>
            <w:r>
              <w:t>鼓风炉炼铅工艺等不符合国家产业政策的落后生产工艺装备，依法全面取缔不符合国家产业政策的制革、炼砷、炼汞、电镀、铅酸蓄电池、再生铅等生产企业和生产设施，坚决打击并取缔非法手工和小规模采金、炼金活动。对产能严重过剩的行业，各地要认真执行准入要求，鼓励涉重金属排放企业主动退出市场。</w:t>
            </w:r>
          </w:p>
        </w:tc>
        <w:tc>
          <w:tcPr>
            <w:tcW w:w="1470" w:type="pct"/>
            <w:vAlign w:val="center"/>
          </w:tcPr>
          <w:p w14:paraId="2224C787">
            <w:pPr>
              <w:pStyle w:val="77"/>
              <w:ind w:firstLine="0" w:firstLineChars="0"/>
              <w:jc w:val="both"/>
            </w:pPr>
            <w:r>
              <w:t>本项目涉及电镀工序，符合国家产业政策，不属于产能严重过剩行业。</w:t>
            </w:r>
          </w:p>
        </w:tc>
        <w:tc>
          <w:tcPr>
            <w:tcW w:w="558" w:type="pct"/>
            <w:vAlign w:val="center"/>
          </w:tcPr>
          <w:p w14:paraId="78073CE3">
            <w:pPr>
              <w:pStyle w:val="75"/>
            </w:pPr>
            <w:r>
              <w:t>符合</w:t>
            </w:r>
          </w:p>
        </w:tc>
      </w:tr>
      <w:tr w14:paraId="4AA35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4E938474">
            <w:pPr>
              <w:pStyle w:val="75"/>
              <w:jc w:val="both"/>
              <w:rPr>
                <w:szCs w:val="28"/>
              </w:rPr>
            </w:pPr>
            <w:r>
              <w:t>（四）</w:t>
            </w:r>
            <w:r>
              <w:rPr>
                <w:szCs w:val="24"/>
              </w:rPr>
              <w:t>全面提升涉重金属行业</w:t>
            </w:r>
            <w:r>
              <w:fldChar w:fldCharType="begin"/>
            </w:r>
            <w:r>
              <w:instrText xml:space="preserve">HYPERLINK "https://www.eqxun.com/news/631.html" \t "_blank"</w:instrText>
            </w:r>
            <w:r>
              <w:fldChar w:fldCharType="separate"/>
            </w:r>
            <w:r>
              <w:rPr>
                <w:szCs w:val="24"/>
              </w:rPr>
              <w:t>清洁生产</w:t>
            </w:r>
            <w:r>
              <w:rPr>
                <w:szCs w:val="24"/>
              </w:rPr>
              <w:fldChar w:fldCharType="end"/>
            </w:r>
            <w:r>
              <w:rPr>
                <w:szCs w:val="24"/>
              </w:rPr>
              <w:t>水平</w:t>
            </w:r>
          </w:p>
        </w:tc>
        <w:tc>
          <w:tcPr>
            <w:tcW w:w="2291" w:type="pct"/>
            <w:vAlign w:val="center"/>
          </w:tcPr>
          <w:p w14:paraId="0C4D3C32">
            <w:pPr>
              <w:pStyle w:val="77"/>
              <w:ind w:firstLine="0" w:firstLineChars="0"/>
              <w:jc w:val="both"/>
            </w:pPr>
            <w:r>
              <w:t>落实清洁生产审核制度，依法开展重点行业企业清洁生产审核，组织清洁生产审核评估验收。</w:t>
            </w:r>
            <w:r>
              <w:fldChar w:fldCharType="begin"/>
            </w:r>
            <w:r>
              <w:instrText xml:space="preserve">HYPERLINK "https://www.eqxun.com/news/1249.html"</w:instrText>
            </w:r>
            <w:r>
              <w:fldChar w:fldCharType="separate"/>
            </w:r>
            <w:r>
              <w:t>重金属污染</w:t>
            </w:r>
            <w:r>
              <w:fldChar w:fldCharType="end"/>
            </w:r>
            <w:r>
              <w:t>重点行业企业每五年完成一次强制性清洁生产审核，并将审核评估结果向有关部门报告。对不实施清洁生产审核，或虽经审核但未如实报告审核结果，以及结果未公示，或者未按照规定公开</w:t>
            </w:r>
            <w:r>
              <w:fldChar w:fldCharType="begin"/>
            </w:r>
            <w:r>
              <w:instrText xml:space="preserve"> HYPERLINK "https://www.eqxun.com/news/1249.html" </w:instrText>
            </w:r>
            <w:r>
              <w:fldChar w:fldCharType="separate"/>
            </w:r>
            <w:r>
              <w:t>重金属污染</w:t>
            </w:r>
            <w:r>
              <w:fldChar w:fldCharType="end"/>
            </w:r>
            <w:r>
              <w:t>物排放情况的企业，有关部门应依法进行行政处罚，确保</w:t>
            </w:r>
            <w:r>
              <w:fldChar w:fldCharType="begin"/>
            </w:r>
            <w:r>
              <w:instrText xml:space="preserve"> HYPERLINK "https://www.eqxun.com/news/1249.html" </w:instrText>
            </w:r>
            <w:r>
              <w:fldChar w:fldCharType="separate"/>
            </w:r>
            <w:r>
              <w:t>重金属污染</w:t>
            </w:r>
            <w:r>
              <w:fldChar w:fldCharType="end"/>
            </w:r>
            <w:r>
              <w:t>防控重点行业企业清洁生产审核率达到100%。</w:t>
            </w:r>
          </w:p>
        </w:tc>
        <w:tc>
          <w:tcPr>
            <w:tcW w:w="1470" w:type="pct"/>
            <w:vAlign w:val="center"/>
          </w:tcPr>
          <w:p w14:paraId="0A0B0CC7">
            <w:pPr>
              <w:pStyle w:val="77"/>
              <w:ind w:firstLine="0" w:firstLineChars="0"/>
              <w:jc w:val="both"/>
            </w:pPr>
            <w:r>
              <w:t>本项目建成严格落实清洁生产审核制度，依法开展清洁生产，组织清洁生产审核评估验收。</w:t>
            </w:r>
          </w:p>
        </w:tc>
        <w:tc>
          <w:tcPr>
            <w:tcW w:w="558" w:type="pct"/>
            <w:vAlign w:val="center"/>
          </w:tcPr>
          <w:p w14:paraId="64F5F420">
            <w:pPr>
              <w:pStyle w:val="75"/>
            </w:pPr>
            <w:r>
              <w:t>符合</w:t>
            </w:r>
          </w:p>
        </w:tc>
      </w:tr>
      <w:tr w14:paraId="4FC17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6EF98C2">
            <w:pPr>
              <w:pStyle w:val="77"/>
              <w:ind w:firstLine="0" w:firstLineChars="0"/>
              <w:jc w:val="both"/>
              <w:rPr>
                <w:snapToGrid/>
                <w:szCs w:val="28"/>
              </w:rPr>
            </w:pPr>
            <w:r>
              <w:t>(六)严格管控新增</w:t>
            </w:r>
            <w:r>
              <w:fldChar w:fldCharType="begin"/>
            </w:r>
            <w:r>
              <w:instrText xml:space="preserve">HYPERLINK "https://www.eqxun.com/news/1249.html"</w:instrText>
            </w:r>
            <w:r>
              <w:fldChar w:fldCharType="separate"/>
            </w:r>
            <w:r>
              <w:t>重金属污染</w:t>
            </w:r>
            <w:r>
              <w:fldChar w:fldCharType="end"/>
            </w:r>
            <w:r>
              <w:t>。加大结构调整力度</w:t>
            </w:r>
          </w:p>
        </w:tc>
        <w:tc>
          <w:tcPr>
            <w:tcW w:w="2291" w:type="pct"/>
            <w:vAlign w:val="center"/>
          </w:tcPr>
          <w:p w14:paraId="60C44E20">
            <w:pPr>
              <w:pStyle w:val="77"/>
              <w:ind w:firstLine="0" w:firstLineChars="0"/>
              <w:jc w:val="both"/>
            </w:pPr>
            <w:r>
              <w:t>根据国家及有关部门要求，加大</w:t>
            </w:r>
            <w:r>
              <w:fldChar w:fldCharType="begin"/>
            </w:r>
            <w:r>
              <w:instrText xml:space="preserve">HYPERLINK "https://www.eqxun.com/news/1249.html"</w:instrText>
            </w:r>
            <w:r>
              <w:fldChar w:fldCharType="separate"/>
            </w:r>
            <w:r>
              <w:t>重金属污染</w:t>
            </w:r>
            <w:r>
              <w:fldChar w:fldCharType="end"/>
            </w:r>
            <w:r>
              <w:t>重点行业产业结构调整力度，优化空间布局。积极引导、支持皮革及毛皮鞣制加工、铅酸蓄电池制造、电镀加工及其生产线等重点行业企业进入相应工业集聚区、园区，集约化、专业化集聚发展。</w:t>
            </w:r>
          </w:p>
        </w:tc>
        <w:tc>
          <w:tcPr>
            <w:tcW w:w="1470" w:type="pct"/>
            <w:vAlign w:val="center"/>
          </w:tcPr>
          <w:p w14:paraId="65F60102">
            <w:pPr>
              <w:pStyle w:val="77"/>
              <w:ind w:firstLine="0" w:firstLineChars="0"/>
              <w:jc w:val="both"/>
            </w:pPr>
            <w:r>
              <w:t>本项目涉及电镀工序，</w:t>
            </w:r>
            <w:r>
              <w:rPr>
                <w:rFonts w:hint="eastAsia"/>
                <w:lang w:val="en-US" w:eastAsia="zh-CN"/>
              </w:rPr>
              <w:t>属于</w:t>
            </w:r>
            <w:r>
              <w:rPr>
                <w:rFonts w:hint="eastAsia"/>
                <w:bCs/>
              </w:rPr>
              <w:t>新能源电池配件的生产，位于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ascii="宋体" w:hAnsi="宋体"/>
                <w:bCs/>
              </w:rPr>
              <w:t>，符合园区规划建设</w:t>
            </w:r>
            <w:r>
              <w:t>。</w:t>
            </w:r>
          </w:p>
        </w:tc>
        <w:tc>
          <w:tcPr>
            <w:tcW w:w="558" w:type="pct"/>
            <w:vAlign w:val="center"/>
          </w:tcPr>
          <w:p w14:paraId="29918C55">
            <w:pPr>
              <w:pStyle w:val="75"/>
            </w:pPr>
            <w:r>
              <w:t>符合</w:t>
            </w:r>
          </w:p>
        </w:tc>
      </w:tr>
      <w:tr w14:paraId="1CBF83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4B944BEE">
            <w:pPr>
              <w:pStyle w:val="77"/>
              <w:ind w:firstLine="0" w:firstLineChars="0"/>
              <w:jc w:val="both"/>
              <w:rPr>
                <w:snapToGrid/>
                <w:szCs w:val="28"/>
              </w:rPr>
            </w:pPr>
            <w:r>
              <w:rPr>
                <w:snapToGrid/>
                <w:szCs w:val="28"/>
              </w:rPr>
              <w:t>(七)开展涉镉等重金属行业企业排查整治</w:t>
            </w:r>
          </w:p>
        </w:tc>
        <w:tc>
          <w:tcPr>
            <w:tcW w:w="2291" w:type="pct"/>
            <w:vAlign w:val="center"/>
          </w:tcPr>
          <w:p w14:paraId="1331BD29">
            <w:pPr>
              <w:pStyle w:val="77"/>
              <w:ind w:firstLine="0" w:firstLineChars="0"/>
              <w:jc w:val="both"/>
              <w:rPr>
                <w:snapToGrid/>
                <w:szCs w:val="28"/>
              </w:rPr>
            </w:pPr>
            <w:r>
              <w:rPr>
                <w:snapToGrid/>
                <w:szCs w:val="28"/>
              </w:rPr>
              <w:t>全省涉重金属行业企业生产废水应按照</w:t>
            </w:r>
            <w:r>
              <w:rPr>
                <w:rFonts w:hint="eastAsia"/>
                <w:snapToGrid/>
                <w:szCs w:val="28"/>
              </w:rPr>
              <w:t>“</w:t>
            </w:r>
            <w:r>
              <w:rPr>
                <w:snapToGrid/>
                <w:szCs w:val="28"/>
              </w:rPr>
              <w:t>清污分流、污污分流</w:t>
            </w:r>
            <w:r>
              <w:rPr>
                <w:rFonts w:hint="eastAsia"/>
                <w:snapToGrid/>
                <w:szCs w:val="28"/>
              </w:rPr>
              <w:t>”</w:t>
            </w:r>
            <w:r>
              <w:rPr>
                <w:snapToGrid/>
                <w:szCs w:val="28"/>
              </w:rPr>
              <w:t>、</w:t>
            </w:r>
            <w:r>
              <w:rPr>
                <w:rFonts w:hint="eastAsia"/>
                <w:snapToGrid/>
                <w:szCs w:val="28"/>
              </w:rPr>
              <w:t>“</w:t>
            </w:r>
            <w:r>
              <w:rPr>
                <w:snapToGrid/>
                <w:szCs w:val="28"/>
              </w:rPr>
              <w:t>循环套用、再生利用</w:t>
            </w:r>
            <w:r>
              <w:rPr>
                <w:rFonts w:hint="eastAsia"/>
                <w:snapToGrid/>
                <w:szCs w:val="28"/>
              </w:rPr>
              <w:t>”</w:t>
            </w:r>
            <w:r>
              <w:rPr>
                <w:snapToGrid/>
                <w:szCs w:val="28"/>
              </w:rPr>
              <w:t>等原则进行达标处理及循环利用。企业废水处理设施的建设及改造应严格按照相应行业废水治理工程技术规范、污染防治技术指南及其它废水治理工程技术要求实施，厂区初期雨水经收集后应与厂区生活废水进入企业综合废水处理设施。综合废水排放口</w:t>
            </w:r>
            <w:r>
              <w:fldChar w:fldCharType="begin"/>
            </w:r>
            <w:r>
              <w:instrText xml:space="preserve"> HYPERLINK "https://www.eqxun.com/news/1249.html" </w:instrText>
            </w:r>
            <w:r>
              <w:fldChar w:fldCharType="separate"/>
            </w:r>
            <w:r>
              <w:rPr>
                <w:snapToGrid/>
                <w:szCs w:val="28"/>
              </w:rPr>
              <w:t>重金属污染</w:t>
            </w:r>
            <w:r>
              <w:rPr>
                <w:snapToGrid/>
                <w:szCs w:val="28"/>
              </w:rPr>
              <w:fldChar w:fldCharType="end"/>
            </w:r>
            <w:r>
              <w:rPr>
                <w:snapToGrid/>
                <w:szCs w:val="28"/>
              </w:rPr>
              <w:t>物应达到国家污染物排放标准限值要求。凡执行河南省特别排放标准限值及区域、流域内有地方标准的涉重金属排放行业企业，污染物排放应严格执行相应标准要求。</w:t>
            </w:r>
          </w:p>
        </w:tc>
        <w:tc>
          <w:tcPr>
            <w:tcW w:w="1470" w:type="pct"/>
            <w:vAlign w:val="center"/>
          </w:tcPr>
          <w:p w14:paraId="76327D3F">
            <w:pPr>
              <w:pStyle w:val="77"/>
              <w:ind w:firstLine="0" w:firstLineChars="0"/>
              <w:jc w:val="both"/>
              <w:rPr>
                <w:snapToGrid/>
                <w:szCs w:val="28"/>
              </w:rPr>
            </w:pPr>
            <w:r>
              <w:t>本项目建成后严格</w:t>
            </w:r>
            <w:r>
              <w:rPr>
                <w:snapToGrid/>
                <w:szCs w:val="28"/>
              </w:rPr>
              <w:t>按照</w:t>
            </w:r>
            <w:r>
              <w:rPr>
                <w:rFonts w:hint="eastAsia"/>
                <w:snapToGrid/>
                <w:szCs w:val="28"/>
              </w:rPr>
              <w:t>“</w:t>
            </w:r>
            <w:r>
              <w:rPr>
                <w:snapToGrid/>
                <w:szCs w:val="28"/>
              </w:rPr>
              <w:t>清污分流、污污分流</w:t>
            </w:r>
            <w:r>
              <w:rPr>
                <w:rFonts w:hint="eastAsia"/>
                <w:snapToGrid/>
                <w:szCs w:val="28"/>
              </w:rPr>
              <w:t>”</w:t>
            </w:r>
            <w:r>
              <w:rPr>
                <w:snapToGrid/>
                <w:szCs w:val="28"/>
              </w:rPr>
              <w:t>、</w:t>
            </w:r>
            <w:r>
              <w:rPr>
                <w:rFonts w:hint="eastAsia"/>
                <w:snapToGrid/>
                <w:szCs w:val="28"/>
              </w:rPr>
              <w:t>“</w:t>
            </w:r>
            <w:r>
              <w:rPr>
                <w:snapToGrid/>
                <w:szCs w:val="28"/>
              </w:rPr>
              <w:t>循环套用、再生利用</w:t>
            </w:r>
            <w:r>
              <w:rPr>
                <w:rFonts w:hint="eastAsia"/>
                <w:snapToGrid/>
                <w:szCs w:val="28"/>
              </w:rPr>
              <w:t>”</w:t>
            </w:r>
            <w:r>
              <w:rPr>
                <w:snapToGrid/>
                <w:szCs w:val="28"/>
              </w:rPr>
              <w:t>等原则进行达标处理及循环利用。</w:t>
            </w:r>
            <w:r>
              <w:rPr>
                <w:rFonts w:hint="eastAsia"/>
                <w:snapToGrid/>
                <w:szCs w:val="28"/>
              </w:rPr>
              <w:t>项目</w:t>
            </w:r>
            <w:r>
              <w:rPr>
                <w:rFonts w:hint="eastAsia"/>
              </w:rPr>
              <w:t>含镍、含铬废水经处理后回用于生产，综合废水经处理后</w:t>
            </w:r>
            <w:r>
              <w:rPr>
                <w:rFonts w:hint="eastAsia"/>
                <w:lang w:val="en-US" w:eastAsia="zh-CN"/>
              </w:rPr>
              <w:t>与</w:t>
            </w:r>
            <w:r>
              <w:rPr>
                <w:rFonts w:hint="eastAsia"/>
              </w:rPr>
              <w:t>纯水制备浓水、冲压冷凝水、经化粪池处理后的生活污水一同经厂区总排口</w:t>
            </w:r>
            <w:r>
              <w:rPr>
                <w:rFonts w:hint="eastAsia"/>
                <w:snapToGrid/>
                <w:szCs w:val="28"/>
              </w:rPr>
              <w:t>，外排废水各污染物均能够达到污染物排放标准要求。</w:t>
            </w:r>
          </w:p>
        </w:tc>
        <w:tc>
          <w:tcPr>
            <w:tcW w:w="558" w:type="pct"/>
            <w:vAlign w:val="center"/>
          </w:tcPr>
          <w:p w14:paraId="09FBD24D">
            <w:pPr>
              <w:pStyle w:val="75"/>
            </w:pPr>
            <w:r>
              <w:t>符合</w:t>
            </w:r>
          </w:p>
        </w:tc>
      </w:tr>
      <w:tr w14:paraId="1ECFA1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A269F2C">
            <w:pPr>
              <w:pStyle w:val="77"/>
              <w:ind w:firstLine="0" w:firstLineChars="0"/>
              <w:jc w:val="both"/>
              <w:rPr>
                <w:snapToGrid/>
                <w:szCs w:val="28"/>
              </w:rPr>
            </w:pPr>
            <w:r>
              <w:t>(八)全面实施</w:t>
            </w:r>
            <w:r>
              <w:fldChar w:fldCharType="begin"/>
            </w:r>
            <w:r>
              <w:instrText xml:space="preserve">HYPERLINK "https://www.eqxun.com/news/4337.html"</w:instrText>
            </w:r>
            <w:r>
              <w:fldChar w:fldCharType="separate"/>
            </w:r>
            <w:r>
              <w:t>环境风险</w:t>
            </w:r>
            <w:r>
              <w:fldChar w:fldCharType="end"/>
            </w:r>
            <w:r>
              <w:t>防控</w:t>
            </w:r>
          </w:p>
        </w:tc>
        <w:tc>
          <w:tcPr>
            <w:tcW w:w="2291" w:type="pct"/>
            <w:vAlign w:val="center"/>
          </w:tcPr>
          <w:p w14:paraId="36B54ADA">
            <w:pPr>
              <w:pStyle w:val="77"/>
              <w:ind w:firstLine="0" w:firstLineChars="0"/>
              <w:jc w:val="both"/>
            </w:pPr>
            <w:r>
              <w:t>新建、改建、扩建涉</w:t>
            </w:r>
            <w:r>
              <w:fldChar w:fldCharType="begin"/>
            </w:r>
            <w:r>
              <w:instrText xml:space="preserve">HYPERLINK "https://www.eqxun.com/news/1249.html"</w:instrText>
            </w:r>
            <w:r>
              <w:fldChar w:fldCharType="separate"/>
            </w:r>
            <w:r>
              <w:t>重金属污染</w:t>
            </w:r>
            <w:r>
              <w:fldChar w:fldCharType="end"/>
            </w:r>
            <w:r>
              <w:t>物排放以及可能对土壤环境造成累积性影响的建设项目，在开展</w:t>
            </w:r>
            <w:r>
              <w:fldChar w:fldCharType="begin"/>
            </w:r>
            <w:r>
              <w:instrText xml:space="preserve"> HYPERLINK "https://www.eqxun.com/news/3863.html" </w:instrText>
            </w:r>
            <w:r>
              <w:fldChar w:fldCharType="separate"/>
            </w:r>
            <w:r>
              <w:t>环境影响评价</w:t>
            </w:r>
            <w:r>
              <w:fldChar w:fldCharType="end"/>
            </w:r>
            <w:r>
              <w:t>时，建设单位应对建设用地及其周边土壤和地下</w:t>
            </w:r>
            <w:r>
              <w:fldChar w:fldCharType="begin"/>
            </w:r>
            <w:r>
              <w:instrText xml:space="preserve"> HYPERLINK "https://www.eqxun.com/news/1219.html" \t "_blank" </w:instrText>
            </w:r>
            <w:r>
              <w:fldChar w:fldCharType="separate"/>
            </w:r>
            <w:r>
              <w:t>水环境</w:t>
            </w:r>
            <w:r>
              <w:fldChar w:fldCharType="end"/>
            </w:r>
            <w:r>
              <w:t>质量状况进行调查和</w:t>
            </w:r>
            <w:r>
              <w:fldChar w:fldCharType="begin"/>
            </w:r>
            <w:r>
              <w:instrText xml:space="preserve"> HYPERLINK "https://www.eqxun.com/news/4337.html" </w:instrText>
            </w:r>
            <w:r>
              <w:fldChar w:fldCharType="separate"/>
            </w:r>
            <w:r>
              <w:t>环境风险</w:t>
            </w:r>
            <w:r>
              <w:fldChar w:fldCharType="end"/>
            </w:r>
            <w:r>
              <w:t>评估。</w:t>
            </w:r>
          </w:p>
        </w:tc>
        <w:tc>
          <w:tcPr>
            <w:tcW w:w="1470" w:type="pct"/>
            <w:vAlign w:val="center"/>
          </w:tcPr>
          <w:p w14:paraId="64056E60">
            <w:pPr>
              <w:pStyle w:val="77"/>
              <w:ind w:firstLine="0" w:firstLineChars="0"/>
              <w:jc w:val="both"/>
            </w:pPr>
            <w:r>
              <w:t>本项目属于</w:t>
            </w:r>
            <w:r>
              <w:rPr>
                <w:rFonts w:hint="eastAsia"/>
                <w:lang w:val="en-US" w:eastAsia="zh-CN"/>
              </w:rPr>
              <w:t>电池制造</w:t>
            </w:r>
            <w:r>
              <w:rPr>
                <w:rFonts w:hint="eastAsia"/>
              </w:rPr>
              <w:t>，</w:t>
            </w:r>
            <w:r>
              <w:rPr>
                <w:rFonts w:hint="eastAsia"/>
                <w:lang w:val="en-US" w:eastAsia="zh-CN"/>
              </w:rPr>
              <w:t>涉及电镀工艺，</w:t>
            </w:r>
            <w:r>
              <w:rPr>
                <w:rFonts w:hint="eastAsia"/>
              </w:rPr>
              <w:t>重金属镍、铬全部妥善处理，不涉及重金属污染物的排放，项目在</w:t>
            </w:r>
            <w:r>
              <w:t>开展</w:t>
            </w:r>
            <w:r>
              <w:fldChar w:fldCharType="begin"/>
            </w:r>
            <w:r>
              <w:instrText xml:space="preserve"> HYPERLINK "https://www.eqxun.com/news/3863.html" </w:instrText>
            </w:r>
            <w:r>
              <w:fldChar w:fldCharType="separate"/>
            </w:r>
            <w:r>
              <w:t>环境影响评价</w:t>
            </w:r>
            <w:r>
              <w:fldChar w:fldCharType="end"/>
            </w:r>
            <w:r>
              <w:t>时，已对建设用地及其周边土壤和地下</w:t>
            </w:r>
            <w:r>
              <w:fldChar w:fldCharType="begin"/>
            </w:r>
            <w:r>
              <w:instrText xml:space="preserve"> HYPERLINK "https://www.eqxun.com/news/1219.html" \t "_blank" </w:instrText>
            </w:r>
            <w:r>
              <w:fldChar w:fldCharType="separate"/>
            </w:r>
            <w:r>
              <w:t>水环境</w:t>
            </w:r>
            <w:r>
              <w:fldChar w:fldCharType="end"/>
            </w:r>
            <w:r>
              <w:t>质量状况进行调查和</w:t>
            </w:r>
            <w:r>
              <w:fldChar w:fldCharType="begin"/>
            </w:r>
            <w:r>
              <w:instrText xml:space="preserve"> HYPERLINK "https://www.eqxun.com/news/4337.html" </w:instrText>
            </w:r>
            <w:r>
              <w:fldChar w:fldCharType="separate"/>
            </w:r>
            <w:r>
              <w:t>环境风险</w:t>
            </w:r>
            <w:r>
              <w:fldChar w:fldCharType="end"/>
            </w:r>
            <w:r>
              <w:t>评估。</w:t>
            </w:r>
          </w:p>
        </w:tc>
        <w:tc>
          <w:tcPr>
            <w:tcW w:w="558" w:type="pct"/>
            <w:vAlign w:val="center"/>
          </w:tcPr>
          <w:p w14:paraId="3F684945">
            <w:pPr>
              <w:pStyle w:val="75"/>
            </w:pPr>
            <w:r>
              <w:t>符合</w:t>
            </w:r>
          </w:p>
        </w:tc>
      </w:tr>
    </w:tbl>
    <w:p w14:paraId="70194DB7">
      <w:pPr>
        <w:ind w:firstLine="480"/>
        <w:rPr>
          <w:bCs/>
        </w:rPr>
      </w:pPr>
      <w:r>
        <w:rPr>
          <w:rFonts w:hint="eastAsia"/>
          <w:bCs/>
        </w:rPr>
        <w:t>由上表可知，本项目符合《河南省涉重金属重点行业污染防控工作方案》的相关要求。</w:t>
      </w:r>
    </w:p>
    <w:bookmarkEnd w:id="350"/>
    <w:p w14:paraId="377CC1D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2.11.11河南省环境保护厅关于印发《河南省重金属污染防治工作指导意见》（豫环文[2017]277号）相符性分析</w:t>
      </w:r>
    </w:p>
    <w:p w14:paraId="339874AC">
      <w:pPr>
        <w:ind w:firstLine="480"/>
        <w:rPr>
          <w:bCs/>
        </w:rPr>
      </w:pPr>
      <w:r>
        <w:rPr>
          <w:rFonts w:hint="eastAsia"/>
          <w:bCs/>
        </w:rPr>
        <w:t>根据《河南省重金属污染防治工作指导意见》（豫环文[2017]277号）的内容，结合本项目的情况，该条例中涉及到本项目的内容与本项目实际情况的对比分析见下表。</w:t>
      </w:r>
    </w:p>
    <w:p w14:paraId="7AC0C6B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2.11-12</w:t>
      </w:r>
      <w:r>
        <w:rPr>
          <w:rFonts w:hint="eastAsia"/>
        </w:rPr>
        <w:t xml:space="preserve">    与《河南省重金属污染防治工作指导意见》对比分析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4356"/>
        <w:gridCol w:w="2568"/>
        <w:gridCol w:w="904"/>
      </w:tblGrid>
      <w:tr w14:paraId="28C9A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0" w:type="pct"/>
            <w:vAlign w:val="center"/>
          </w:tcPr>
          <w:p w14:paraId="509471AF">
            <w:pPr>
              <w:pStyle w:val="81"/>
              <w:rPr>
                <w:rFonts w:cs="Times New Roman"/>
                <w:color w:val="auto"/>
              </w:rPr>
            </w:pPr>
            <w:r>
              <w:rPr>
                <w:rFonts w:cs="Times New Roman"/>
                <w:color w:val="auto"/>
              </w:rPr>
              <w:t>项目</w:t>
            </w:r>
          </w:p>
        </w:tc>
        <w:tc>
          <w:tcPr>
            <w:tcW w:w="2553" w:type="pct"/>
            <w:vAlign w:val="center"/>
          </w:tcPr>
          <w:p w14:paraId="69DA35B1">
            <w:pPr>
              <w:pStyle w:val="81"/>
              <w:rPr>
                <w:rFonts w:cs="Times New Roman"/>
                <w:color w:val="auto"/>
              </w:rPr>
            </w:pPr>
            <w:r>
              <w:rPr>
                <w:rFonts w:cs="Times New Roman"/>
                <w:color w:val="auto"/>
              </w:rPr>
              <w:t>实施方案</w:t>
            </w:r>
          </w:p>
        </w:tc>
        <w:tc>
          <w:tcPr>
            <w:tcW w:w="1505" w:type="pct"/>
            <w:vAlign w:val="center"/>
          </w:tcPr>
          <w:p w14:paraId="734AAF73">
            <w:pPr>
              <w:pStyle w:val="81"/>
              <w:rPr>
                <w:rFonts w:cs="Times New Roman"/>
                <w:color w:val="auto"/>
              </w:rPr>
            </w:pPr>
            <w:r>
              <w:rPr>
                <w:rFonts w:cs="Times New Roman"/>
                <w:color w:val="auto"/>
              </w:rPr>
              <w:t>本项目建设情况</w:t>
            </w:r>
          </w:p>
        </w:tc>
        <w:tc>
          <w:tcPr>
            <w:tcW w:w="530" w:type="pct"/>
            <w:vAlign w:val="center"/>
          </w:tcPr>
          <w:p w14:paraId="1339BB0D">
            <w:pPr>
              <w:pStyle w:val="81"/>
              <w:rPr>
                <w:rFonts w:cs="Times New Roman"/>
                <w:color w:val="auto"/>
              </w:rPr>
            </w:pPr>
            <w:r>
              <w:rPr>
                <w:rFonts w:cs="Times New Roman"/>
                <w:color w:val="auto"/>
              </w:rPr>
              <w:t>符合</w:t>
            </w:r>
            <w:r>
              <w:rPr>
                <w:rFonts w:hint="eastAsia" w:cs="Times New Roman"/>
                <w:color w:val="auto"/>
              </w:rPr>
              <w:t>性</w:t>
            </w:r>
          </w:p>
        </w:tc>
      </w:tr>
      <w:tr w14:paraId="75E1C8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Merge w:val="restart"/>
            <w:vAlign w:val="center"/>
          </w:tcPr>
          <w:p w14:paraId="5B2537E7">
            <w:pPr>
              <w:pStyle w:val="75"/>
              <w:jc w:val="left"/>
              <w:rPr>
                <w:szCs w:val="28"/>
              </w:rPr>
            </w:pPr>
            <w:r>
              <w:rPr>
                <w:szCs w:val="28"/>
              </w:rPr>
              <w:t>严格控制新增污染物排放</w:t>
            </w:r>
          </w:p>
        </w:tc>
        <w:tc>
          <w:tcPr>
            <w:tcW w:w="2553" w:type="pct"/>
            <w:vAlign w:val="center"/>
          </w:tcPr>
          <w:p w14:paraId="3DDE7275">
            <w:pPr>
              <w:pStyle w:val="77"/>
              <w:ind w:firstLine="0" w:firstLineChars="0"/>
              <w:jc w:val="both"/>
            </w:pPr>
            <w:r>
              <w:t>严格环境准入。新建项目审批实施</w:t>
            </w:r>
            <w:r>
              <w:rPr>
                <w:rFonts w:hint="eastAsia"/>
              </w:rPr>
              <w:t>“</w:t>
            </w:r>
            <w:r>
              <w:t>增产减污</w:t>
            </w:r>
            <w:r>
              <w:rPr>
                <w:rFonts w:hint="eastAsia"/>
              </w:rPr>
              <w:t>”</w:t>
            </w:r>
            <w:r>
              <w:t>政策。自2017年起，全省新建、改建、扩建重金属污染物排放项目，要通过</w:t>
            </w:r>
            <w:r>
              <w:rPr>
                <w:rFonts w:hint="eastAsia"/>
              </w:rPr>
              <w:t>“</w:t>
            </w:r>
            <w:r>
              <w:t>以新带老</w:t>
            </w:r>
            <w:r>
              <w:rPr>
                <w:rFonts w:hint="eastAsia"/>
              </w:rPr>
              <w:t>”</w:t>
            </w:r>
            <w:r>
              <w:t>治理，淘汰落后产能及区域替代等措施达到重金属污染物</w:t>
            </w:r>
            <w:r>
              <w:rPr>
                <w:rFonts w:hint="eastAsia"/>
              </w:rPr>
              <w:t>“</w:t>
            </w:r>
            <w:r>
              <w:t>等量置换</w:t>
            </w:r>
            <w:r>
              <w:rPr>
                <w:rFonts w:hint="eastAsia"/>
              </w:rPr>
              <w:t>”</w:t>
            </w:r>
            <w:r>
              <w:t>、</w:t>
            </w:r>
            <w:r>
              <w:rPr>
                <w:rFonts w:hint="eastAsia"/>
              </w:rPr>
              <w:t>“</w:t>
            </w:r>
            <w:r>
              <w:t>减量置换</w:t>
            </w:r>
            <w:r>
              <w:rPr>
                <w:rFonts w:hint="eastAsia"/>
              </w:rPr>
              <w:t>”</w:t>
            </w:r>
            <w:r>
              <w:t>的要求，实现项目所在区域内重点重金属污染物排放总量零增长或进一步削减。</w:t>
            </w:r>
          </w:p>
        </w:tc>
        <w:tc>
          <w:tcPr>
            <w:tcW w:w="1505" w:type="pct"/>
            <w:vAlign w:val="center"/>
          </w:tcPr>
          <w:p w14:paraId="19D9CEAB">
            <w:pPr>
              <w:pStyle w:val="77"/>
              <w:ind w:firstLine="0" w:firstLineChars="0"/>
              <w:jc w:val="both"/>
            </w:pPr>
            <w:r>
              <w:t>本项目为</w:t>
            </w:r>
            <w:r>
              <w:rPr>
                <w:rFonts w:hint="eastAsia"/>
                <w:szCs w:val="21"/>
                <w:lang w:val="en-US" w:eastAsia="zh-CN"/>
              </w:rPr>
              <w:t>新</w:t>
            </w:r>
            <w:r>
              <w:rPr>
                <w:rFonts w:hint="eastAsia"/>
                <w:szCs w:val="21"/>
              </w:rPr>
              <w:t>建</w:t>
            </w:r>
            <w:r>
              <w:t>项目，含铬、含镍废水经处理后全部回用于生产，不外排；含镍、含铬废物委托有资质的危废处置单位处理，不涉及重金属污染物的排放。</w:t>
            </w:r>
          </w:p>
        </w:tc>
        <w:tc>
          <w:tcPr>
            <w:tcW w:w="530" w:type="pct"/>
            <w:vAlign w:val="center"/>
          </w:tcPr>
          <w:p w14:paraId="53DA39A1">
            <w:pPr>
              <w:pStyle w:val="75"/>
            </w:pPr>
            <w:r>
              <w:t>符合</w:t>
            </w:r>
          </w:p>
        </w:tc>
      </w:tr>
      <w:tr w14:paraId="7B55C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Merge w:val="continue"/>
            <w:vAlign w:val="center"/>
          </w:tcPr>
          <w:p w14:paraId="71D8AF9A">
            <w:pPr>
              <w:pStyle w:val="75"/>
              <w:jc w:val="left"/>
              <w:rPr>
                <w:szCs w:val="28"/>
              </w:rPr>
            </w:pPr>
          </w:p>
        </w:tc>
        <w:tc>
          <w:tcPr>
            <w:tcW w:w="2553" w:type="pct"/>
            <w:vAlign w:val="center"/>
          </w:tcPr>
          <w:p w14:paraId="20D59F0F">
            <w:pPr>
              <w:pStyle w:val="77"/>
              <w:ind w:firstLine="0" w:firstLineChars="0"/>
              <w:jc w:val="both"/>
            </w:pPr>
            <w:r>
              <w:t>积极引导、支持皮革及毛皮鞣制加工、铅酸蓄电池制造、电镀加工及其生产线等重点行业企业进入相应工业集聚区、园区，集约化、专业化集聚发展。</w:t>
            </w:r>
          </w:p>
        </w:tc>
        <w:tc>
          <w:tcPr>
            <w:tcW w:w="1505" w:type="pct"/>
            <w:vAlign w:val="center"/>
          </w:tcPr>
          <w:p w14:paraId="3E43BC85">
            <w:pPr>
              <w:pStyle w:val="77"/>
              <w:ind w:firstLine="0" w:firstLineChars="0"/>
              <w:jc w:val="both"/>
            </w:pPr>
            <w:r>
              <w:t>本项目</w:t>
            </w:r>
            <w:r>
              <w:rPr>
                <w:rFonts w:hint="eastAsia"/>
              </w:rPr>
              <w:t>为产品为电池钢壳、</w:t>
            </w:r>
            <w:r>
              <w:rPr>
                <w:rFonts w:hint="eastAsia"/>
                <w:lang w:val="en-US" w:eastAsia="zh-CN"/>
              </w:rPr>
              <w:t>盖帽</w:t>
            </w:r>
            <w:r>
              <w:rPr>
                <w:rFonts w:hint="eastAsia"/>
              </w:rPr>
              <w:t>和电池连接件，属于新能源电池配件，项目位于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rPr>
              <w:t>，</w:t>
            </w:r>
            <w:r>
              <w:rPr>
                <w:rFonts w:hint="eastAsia"/>
                <w:lang w:val="en-US" w:eastAsia="zh-CN"/>
              </w:rPr>
              <w:t>位于园区，</w:t>
            </w:r>
            <w:r>
              <w:rPr>
                <w:rFonts w:hint="eastAsia"/>
              </w:rPr>
              <w:t>符合建设要求。</w:t>
            </w:r>
          </w:p>
        </w:tc>
        <w:tc>
          <w:tcPr>
            <w:tcW w:w="530" w:type="pct"/>
            <w:vAlign w:val="center"/>
          </w:tcPr>
          <w:p w14:paraId="47A40B64">
            <w:pPr>
              <w:pStyle w:val="75"/>
            </w:pPr>
            <w:r>
              <w:t>符合</w:t>
            </w:r>
          </w:p>
        </w:tc>
      </w:tr>
      <w:tr w14:paraId="1385AE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Align w:val="center"/>
          </w:tcPr>
          <w:p w14:paraId="24338313">
            <w:pPr>
              <w:pStyle w:val="77"/>
              <w:ind w:firstLine="0" w:firstLineChars="0"/>
              <w:jc w:val="left"/>
              <w:rPr>
                <w:snapToGrid/>
                <w:szCs w:val="28"/>
              </w:rPr>
            </w:pPr>
            <w:r>
              <w:rPr>
                <w:snapToGrid/>
                <w:szCs w:val="28"/>
              </w:rPr>
              <w:t>落实淘汰和禁限政策</w:t>
            </w:r>
          </w:p>
        </w:tc>
        <w:tc>
          <w:tcPr>
            <w:tcW w:w="2553" w:type="pct"/>
            <w:vAlign w:val="center"/>
          </w:tcPr>
          <w:p w14:paraId="673838A8">
            <w:pPr>
              <w:pStyle w:val="77"/>
              <w:ind w:firstLine="0" w:firstLineChars="0"/>
              <w:jc w:val="both"/>
            </w:pPr>
            <w:r>
              <w:t>淘汰落后生产工艺和企业。全面排查生产装备水平低、环保设施简陋、污染治理效果差的重点行业小型企业，对不符合国家产业政策的，坚决淘汰，要坚决打击、取缔非法手工和小规模采金、炼金活动；对产能严重过剩的行业，环保部门要认真执行环保准入要求，鼓励涉重金属排放企业主动退出市场。</w:t>
            </w:r>
          </w:p>
        </w:tc>
        <w:tc>
          <w:tcPr>
            <w:tcW w:w="1505" w:type="pct"/>
            <w:vAlign w:val="center"/>
          </w:tcPr>
          <w:p w14:paraId="72E26D2E">
            <w:pPr>
              <w:pStyle w:val="77"/>
              <w:ind w:firstLine="0" w:firstLineChars="0"/>
              <w:jc w:val="both"/>
            </w:pPr>
            <w:r>
              <w:t>本项目建成后不属于生产装备水平低、环保设施简陋、污染治理效果差的重点行业小型企业，符合国家产业政策；不涉及非法手工和小规模采金、炼金活动，不属于产能过剩行业。</w:t>
            </w:r>
          </w:p>
        </w:tc>
        <w:tc>
          <w:tcPr>
            <w:tcW w:w="530" w:type="pct"/>
            <w:vAlign w:val="center"/>
          </w:tcPr>
          <w:p w14:paraId="738369FB">
            <w:pPr>
              <w:pStyle w:val="75"/>
            </w:pPr>
            <w:r>
              <w:t>符合</w:t>
            </w:r>
          </w:p>
        </w:tc>
      </w:tr>
      <w:tr w14:paraId="1801E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Align w:val="center"/>
          </w:tcPr>
          <w:p w14:paraId="0A7704A2">
            <w:pPr>
              <w:pStyle w:val="77"/>
              <w:ind w:firstLine="0" w:firstLineChars="0"/>
              <w:jc w:val="left"/>
              <w:rPr>
                <w:snapToGrid/>
                <w:szCs w:val="28"/>
              </w:rPr>
            </w:pPr>
            <w:r>
              <w:rPr>
                <w:snapToGrid/>
                <w:szCs w:val="28"/>
              </w:rPr>
              <w:t>全面提升清洁生产水平</w:t>
            </w:r>
          </w:p>
        </w:tc>
        <w:tc>
          <w:tcPr>
            <w:tcW w:w="2553" w:type="pct"/>
            <w:vAlign w:val="center"/>
          </w:tcPr>
          <w:p w14:paraId="12F97500">
            <w:pPr>
              <w:pStyle w:val="77"/>
              <w:ind w:firstLine="0" w:firstLineChars="0"/>
              <w:jc w:val="both"/>
              <w:rPr>
                <w:snapToGrid/>
                <w:szCs w:val="28"/>
              </w:rPr>
            </w:pPr>
            <w:r>
              <w:rPr>
                <w:snapToGrid/>
                <w:szCs w:val="28"/>
              </w:rPr>
              <w:t>落实清洁生产审核制度。依法开展重点行业企业清洁生产审核，开展清洁生产培训，组织清洁生产审核评估验收。重金属污染防控行业企业每五年完成一次强制性清洁生产审核，并将审核结果向有关部门报告。对不实施清洁生产审核，或虽经审核但不如实报告审核结果，以及不公开公示，或者未按照规定公开公示重金属污染物排放情况的企业，有关部门应依法进行行政处罚，确保重金属污染防控重点行业企业清洁生产审核率达到100%</w:t>
            </w:r>
            <w:r>
              <w:rPr>
                <w:rFonts w:hint="eastAsia"/>
                <w:snapToGrid/>
                <w:szCs w:val="28"/>
              </w:rPr>
              <w:t>。</w:t>
            </w:r>
          </w:p>
        </w:tc>
        <w:tc>
          <w:tcPr>
            <w:tcW w:w="1505" w:type="pct"/>
            <w:vAlign w:val="center"/>
          </w:tcPr>
          <w:p w14:paraId="070A32AE">
            <w:pPr>
              <w:pStyle w:val="77"/>
              <w:ind w:firstLine="0" w:firstLineChars="0"/>
              <w:jc w:val="both"/>
            </w:pPr>
            <w:r>
              <w:t>本项目建成后</w:t>
            </w:r>
            <w:r>
              <w:rPr>
                <w:snapToGrid/>
                <w:szCs w:val="28"/>
              </w:rPr>
              <w:t>依法开展重点行业企业清洁生产审核，开展清洁生产培训，组织清洁生产审核评估验收。</w:t>
            </w:r>
          </w:p>
        </w:tc>
        <w:tc>
          <w:tcPr>
            <w:tcW w:w="530" w:type="pct"/>
            <w:vAlign w:val="center"/>
          </w:tcPr>
          <w:p w14:paraId="2D470119">
            <w:pPr>
              <w:pStyle w:val="75"/>
            </w:pPr>
            <w:r>
              <w:t>符合</w:t>
            </w:r>
          </w:p>
        </w:tc>
      </w:tr>
      <w:tr w14:paraId="517FE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Merge w:val="restart"/>
            <w:vAlign w:val="center"/>
          </w:tcPr>
          <w:p w14:paraId="1BC60D1E">
            <w:pPr>
              <w:pStyle w:val="77"/>
              <w:ind w:firstLine="0" w:firstLineChars="0"/>
              <w:jc w:val="left"/>
              <w:rPr>
                <w:snapToGrid/>
                <w:szCs w:val="28"/>
              </w:rPr>
            </w:pPr>
            <w:r>
              <w:rPr>
                <w:snapToGrid/>
                <w:szCs w:val="28"/>
              </w:rPr>
              <w:t>严控环境风险源</w:t>
            </w:r>
          </w:p>
        </w:tc>
        <w:tc>
          <w:tcPr>
            <w:tcW w:w="2553" w:type="pct"/>
            <w:vAlign w:val="center"/>
          </w:tcPr>
          <w:p w14:paraId="17F20B72">
            <w:pPr>
              <w:pStyle w:val="77"/>
              <w:ind w:firstLine="0" w:firstLineChars="0"/>
              <w:jc w:val="both"/>
              <w:rPr>
                <w:snapToGrid/>
                <w:szCs w:val="28"/>
              </w:rPr>
            </w:pPr>
            <w:r>
              <w:rPr>
                <w:snapToGrid/>
                <w:szCs w:val="28"/>
              </w:rPr>
              <w:t>严禁在粮食生产核心区、饮用水水源保护区、</w:t>
            </w:r>
            <w:r>
              <w:rPr>
                <w:rFonts w:hint="eastAsia"/>
                <w:snapToGrid/>
                <w:szCs w:val="28"/>
              </w:rPr>
              <w:t>人群</w:t>
            </w:r>
            <w:r>
              <w:rPr>
                <w:snapToGrid/>
                <w:szCs w:val="28"/>
              </w:rPr>
              <w:t>集中居住区、生态环境敏感区等区域内新建涉重金属污染物排放的建设项目。在上述区域内的现有涉重金属污染物排放的企业、严重污染地块等环境风险源应积极实施搬迁、治理修复、隔离阻断等管控措施，以消除其环境风险隐患。城市建成内涉重金属污染物排放企业不得在现有厂址实施新增重金属污染物排放的新建、改建、扩建项目。重金属污染防控重点行业新建项目，原则上应在依法合规设立的工业园区内选址建设，集聚发展。</w:t>
            </w:r>
          </w:p>
        </w:tc>
        <w:tc>
          <w:tcPr>
            <w:tcW w:w="1505" w:type="pct"/>
            <w:vAlign w:val="center"/>
          </w:tcPr>
          <w:p w14:paraId="3BADDC32">
            <w:pPr>
              <w:pStyle w:val="77"/>
              <w:ind w:firstLine="0" w:firstLineChars="0"/>
              <w:jc w:val="both"/>
            </w:pPr>
            <w:r>
              <w:rPr>
                <w:snapToGrid/>
                <w:szCs w:val="28"/>
              </w:rPr>
              <w:t>本项目为</w:t>
            </w:r>
            <w:r>
              <w:rPr>
                <w:rFonts w:hint="eastAsia"/>
                <w:szCs w:val="21"/>
                <w:lang w:val="en-US" w:eastAsia="zh-CN"/>
              </w:rPr>
              <w:t>新</w:t>
            </w:r>
            <w:r>
              <w:rPr>
                <w:rFonts w:hint="eastAsia"/>
                <w:szCs w:val="21"/>
              </w:rPr>
              <w:t>建</w:t>
            </w:r>
            <w:r>
              <w:rPr>
                <w:snapToGrid/>
                <w:szCs w:val="28"/>
              </w:rPr>
              <w:t>项目，</w:t>
            </w:r>
            <w:r>
              <w:t>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t>，</w:t>
            </w:r>
            <w:r>
              <w:rPr>
                <w:snapToGrid/>
                <w:szCs w:val="28"/>
              </w:rPr>
              <w:t>选址附近无粮食生产核心区、饮用水水源保护区、人去集中居住区、生态环境敏感区。</w:t>
            </w:r>
          </w:p>
        </w:tc>
        <w:tc>
          <w:tcPr>
            <w:tcW w:w="530" w:type="pct"/>
            <w:vAlign w:val="center"/>
          </w:tcPr>
          <w:p w14:paraId="17E54475">
            <w:pPr>
              <w:pStyle w:val="75"/>
            </w:pPr>
            <w:r>
              <w:t>符合</w:t>
            </w:r>
          </w:p>
        </w:tc>
      </w:tr>
      <w:tr w14:paraId="4B78FD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0" w:type="pct"/>
            <w:vMerge w:val="continue"/>
            <w:vAlign w:val="center"/>
          </w:tcPr>
          <w:p w14:paraId="33712A01">
            <w:pPr>
              <w:pStyle w:val="77"/>
              <w:ind w:firstLine="0" w:firstLineChars="0"/>
              <w:jc w:val="center"/>
              <w:rPr>
                <w:snapToGrid/>
                <w:szCs w:val="28"/>
              </w:rPr>
            </w:pPr>
          </w:p>
        </w:tc>
        <w:tc>
          <w:tcPr>
            <w:tcW w:w="2553" w:type="pct"/>
            <w:vAlign w:val="center"/>
          </w:tcPr>
          <w:p w14:paraId="176538D7">
            <w:pPr>
              <w:pStyle w:val="77"/>
              <w:ind w:firstLine="0" w:firstLineChars="0"/>
              <w:jc w:val="both"/>
              <w:rPr>
                <w:snapToGrid/>
                <w:szCs w:val="28"/>
              </w:rPr>
            </w:pPr>
            <w:r>
              <w:rPr>
                <w:snapToGrid/>
                <w:szCs w:val="28"/>
              </w:rPr>
              <w:t>新建、改建、扩建涉重金属污染物排放标准以及可能对土壤环境造成累计性影响的建设项目，在开展环境影响评价时，应对建设用地及其周边土壤和地下水环境质量状况进行调查和环境风险评估。</w:t>
            </w:r>
          </w:p>
        </w:tc>
        <w:tc>
          <w:tcPr>
            <w:tcW w:w="1505" w:type="pct"/>
            <w:vAlign w:val="center"/>
          </w:tcPr>
          <w:p w14:paraId="214246BB">
            <w:pPr>
              <w:pStyle w:val="77"/>
              <w:ind w:firstLine="0" w:firstLineChars="0"/>
              <w:jc w:val="both"/>
            </w:pPr>
            <w:r>
              <w:t>本项目为</w:t>
            </w:r>
            <w:r>
              <w:rPr>
                <w:rFonts w:hint="eastAsia"/>
                <w:szCs w:val="21"/>
                <w:lang w:val="en-US" w:eastAsia="zh-CN"/>
              </w:rPr>
              <w:t>新</w:t>
            </w:r>
            <w:r>
              <w:rPr>
                <w:rFonts w:hint="eastAsia"/>
                <w:szCs w:val="21"/>
              </w:rPr>
              <w:t>建</w:t>
            </w:r>
            <w:r>
              <w:t>项目，含铬、含镍废水经处理后回用生产，不排放。开展</w:t>
            </w:r>
            <w:r>
              <w:rPr>
                <w:snapToGrid/>
                <w:szCs w:val="28"/>
              </w:rPr>
              <w:t>环境影响评价时，已对建设用地及其周边土壤和地下水环境质量状况进行调查和环境风险评估。</w:t>
            </w:r>
          </w:p>
        </w:tc>
        <w:tc>
          <w:tcPr>
            <w:tcW w:w="530" w:type="pct"/>
            <w:vAlign w:val="center"/>
          </w:tcPr>
          <w:p w14:paraId="06A0375F">
            <w:pPr>
              <w:pStyle w:val="75"/>
            </w:pPr>
            <w:r>
              <w:t>符合</w:t>
            </w:r>
          </w:p>
        </w:tc>
      </w:tr>
    </w:tbl>
    <w:p w14:paraId="305677EA">
      <w:pPr>
        <w:keepNext w:val="0"/>
        <w:keepLines w:val="0"/>
        <w:pageBreakBefore w:val="0"/>
        <w:widowControl w:val="0"/>
        <w:kinsoku/>
        <w:wordWrap/>
        <w:overflowPunct/>
        <w:topLinePunct w:val="0"/>
        <w:autoSpaceDE/>
        <w:autoSpaceDN/>
        <w:bidi w:val="0"/>
        <w:adjustRightInd w:val="0"/>
        <w:snapToGrid w:val="0"/>
        <w:spacing w:line="460" w:lineRule="exact"/>
        <w:ind w:firstLine="480"/>
        <w:textAlignment w:val="baseline"/>
        <w:rPr>
          <w:bCs/>
        </w:rPr>
      </w:pPr>
      <w:r>
        <w:rPr>
          <w:rFonts w:hint="eastAsia"/>
          <w:bCs/>
        </w:rPr>
        <w:t>由上表可知，本项目符合《河南省重金属污染防治工作指导意见》的相关要求。</w:t>
      </w:r>
    </w:p>
    <w:p w14:paraId="27B5878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2.11.12《关于进一步加强重金属污染防控的意见》（环固体[2022]17号）相符性分析</w:t>
      </w:r>
    </w:p>
    <w:p w14:paraId="6B0F7A2D">
      <w:pPr>
        <w:ind w:firstLine="480"/>
      </w:pPr>
      <w:r>
        <w:rPr>
          <w:rFonts w:hint="eastAsia"/>
          <w:bCs/>
        </w:rPr>
        <w:t>根据《关于进一步加强重金属污染防控的意见》（环固体[2022]17号）的内容，结合本项目的情况，该条例中涉及到本项目的内容与本项目实际情况的对比分析见下表。</w:t>
      </w:r>
    </w:p>
    <w:p w14:paraId="1959C57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2.11-13</w:t>
      </w:r>
      <w:r>
        <w:rPr>
          <w:rFonts w:hint="eastAsia"/>
        </w:rPr>
        <w:t xml:space="preserve">     与《关于进一步加强重金属污染防控的意见》对比分析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4170"/>
        <w:gridCol w:w="2713"/>
        <w:gridCol w:w="485"/>
      </w:tblGrid>
      <w:tr w14:paraId="039F9C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80" w:type="pct"/>
            <w:vAlign w:val="center"/>
          </w:tcPr>
          <w:p w14:paraId="27DCB8C5">
            <w:pPr>
              <w:pStyle w:val="81"/>
              <w:rPr>
                <w:rFonts w:cs="Times New Roman"/>
                <w:color w:val="auto"/>
              </w:rPr>
            </w:pPr>
            <w:r>
              <w:rPr>
                <w:rFonts w:cs="Times New Roman"/>
                <w:color w:val="auto"/>
              </w:rPr>
              <w:t>项目</w:t>
            </w:r>
          </w:p>
        </w:tc>
        <w:tc>
          <w:tcPr>
            <w:tcW w:w="2444" w:type="pct"/>
            <w:vAlign w:val="center"/>
          </w:tcPr>
          <w:p w14:paraId="59A91E4E">
            <w:pPr>
              <w:pStyle w:val="81"/>
              <w:rPr>
                <w:rFonts w:cs="Times New Roman"/>
                <w:color w:val="auto"/>
              </w:rPr>
            </w:pPr>
            <w:r>
              <w:rPr>
                <w:rFonts w:cs="Times New Roman"/>
                <w:color w:val="auto"/>
              </w:rPr>
              <w:t>实施方案</w:t>
            </w:r>
          </w:p>
        </w:tc>
        <w:tc>
          <w:tcPr>
            <w:tcW w:w="1590" w:type="pct"/>
            <w:vAlign w:val="center"/>
          </w:tcPr>
          <w:p w14:paraId="47FC6DC7">
            <w:pPr>
              <w:pStyle w:val="81"/>
              <w:rPr>
                <w:rFonts w:cs="Times New Roman"/>
                <w:color w:val="auto"/>
              </w:rPr>
            </w:pPr>
            <w:r>
              <w:rPr>
                <w:rFonts w:cs="Times New Roman"/>
                <w:color w:val="auto"/>
              </w:rPr>
              <w:t>本项目建设情况</w:t>
            </w:r>
          </w:p>
        </w:tc>
        <w:tc>
          <w:tcPr>
            <w:tcW w:w="284" w:type="pct"/>
            <w:vAlign w:val="center"/>
          </w:tcPr>
          <w:p w14:paraId="3A0C4429">
            <w:pPr>
              <w:pStyle w:val="81"/>
              <w:rPr>
                <w:rFonts w:cs="Times New Roman"/>
                <w:color w:val="auto"/>
              </w:rPr>
            </w:pPr>
            <w:r>
              <w:rPr>
                <w:rFonts w:cs="Times New Roman"/>
                <w:color w:val="auto"/>
              </w:rPr>
              <w:t>符合</w:t>
            </w:r>
            <w:r>
              <w:rPr>
                <w:rFonts w:hint="eastAsia" w:cs="Times New Roman"/>
                <w:color w:val="auto"/>
              </w:rPr>
              <w:t>性</w:t>
            </w:r>
          </w:p>
        </w:tc>
      </w:tr>
      <w:tr w14:paraId="11D366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vMerge w:val="restart"/>
            <w:vAlign w:val="center"/>
          </w:tcPr>
          <w:p w14:paraId="1D4B8DFE">
            <w:pPr>
              <w:pStyle w:val="75"/>
              <w:jc w:val="both"/>
              <w:rPr>
                <w:bCs/>
              </w:rPr>
            </w:pPr>
            <w:r>
              <w:rPr>
                <w:bCs/>
              </w:rPr>
              <w:t>五、严格准入，优化涉重金属产业结构和布局</w:t>
            </w:r>
          </w:p>
        </w:tc>
        <w:tc>
          <w:tcPr>
            <w:tcW w:w="2444" w:type="pct"/>
            <w:vAlign w:val="center"/>
          </w:tcPr>
          <w:p w14:paraId="769312A0">
            <w:pPr>
              <w:spacing w:line="240" w:lineRule="auto"/>
              <w:ind w:firstLine="0" w:firstLineChars="0"/>
              <w:rPr>
                <w:bCs/>
                <w:sz w:val="21"/>
                <w:szCs w:val="21"/>
              </w:rPr>
            </w:pPr>
            <w:r>
              <w:rPr>
                <w:bCs/>
                <w:sz w:val="21"/>
                <w:szCs w:val="21"/>
              </w:rPr>
              <w:t>严格重点行业企业准入管理。新、改、扩建重点行业建设项目应符合</w:t>
            </w:r>
            <w:r>
              <w:rPr>
                <w:rFonts w:hint="eastAsia"/>
                <w:bCs/>
                <w:sz w:val="21"/>
                <w:szCs w:val="21"/>
              </w:rPr>
              <w:t>“</w:t>
            </w:r>
            <w:r>
              <w:rPr>
                <w:bCs/>
                <w:sz w:val="21"/>
                <w:szCs w:val="21"/>
              </w:rPr>
              <w:t>三线一单</w:t>
            </w:r>
            <w:r>
              <w:rPr>
                <w:rFonts w:hint="eastAsia"/>
                <w:bCs/>
                <w:sz w:val="21"/>
                <w:szCs w:val="21"/>
              </w:rPr>
              <w:t>”</w:t>
            </w:r>
            <w:r>
              <w:rPr>
                <w:bCs/>
                <w:sz w:val="21"/>
                <w:szCs w:val="21"/>
              </w:rPr>
              <w:t>、产业政策、区域环评、规划环评和行业环境准入管控要求。</w:t>
            </w:r>
          </w:p>
        </w:tc>
        <w:tc>
          <w:tcPr>
            <w:tcW w:w="1590" w:type="pct"/>
            <w:vAlign w:val="center"/>
          </w:tcPr>
          <w:p w14:paraId="033E7DAA">
            <w:pPr>
              <w:pStyle w:val="77"/>
              <w:ind w:firstLine="0" w:firstLineChars="0"/>
              <w:jc w:val="both"/>
              <w:rPr>
                <w:bCs/>
                <w:szCs w:val="21"/>
              </w:rPr>
            </w:pPr>
            <w:r>
              <w:rPr>
                <w:bCs/>
                <w:szCs w:val="21"/>
              </w:rPr>
              <w:t>本项目</w:t>
            </w:r>
            <w:r>
              <w:rPr>
                <w:rFonts w:hint="eastAsia"/>
                <w:bCs/>
                <w:szCs w:val="21"/>
                <w:lang w:val="en-US" w:eastAsia="zh-CN"/>
              </w:rPr>
              <w:t>含油电镀工艺</w:t>
            </w:r>
            <w:r>
              <w:rPr>
                <w:bCs/>
                <w:szCs w:val="21"/>
              </w:rPr>
              <w:t>，属于重点行业项目，项目建设符合</w:t>
            </w:r>
            <w:r>
              <w:rPr>
                <w:rFonts w:hint="eastAsia"/>
                <w:bCs/>
                <w:szCs w:val="21"/>
              </w:rPr>
              <w:t>“</w:t>
            </w:r>
            <w:r>
              <w:rPr>
                <w:bCs/>
                <w:szCs w:val="21"/>
              </w:rPr>
              <w:t>三线一单</w:t>
            </w:r>
            <w:r>
              <w:rPr>
                <w:rFonts w:hint="eastAsia"/>
                <w:bCs/>
                <w:szCs w:val="21"/>
              </w:rPr>
              <w:t>”</w:t>
            </w:r>
            <w:r>
              <w:rPr>
                <w:bCs/>
                <w:szCs w:val="21"/>
              </w:rPr>
              <w:t>、产业政策、区域环评、规划环评和行业环境准入管控要求。</w:t>
            </w:r>
          </w:p>
        </w:tc>
        <w:tc>
          <w:tcPr>
            <w:tcW w:w="284" w:type="pct"/>
            <w:vAlign w:val="center"/>
          </w:tcPr>
          <w:p w14:paraId="0F6787DA">
            <w:pPr>
              <w:pStyle w:val="75"/>
              <w:rPr>
                <w:bCs/>
              </w:rPr>
            </w:pPr>
            <w:r>
              <w:rPr>
                <w:bCs/>
              </w:rPr>
              <w:t>符合</w:t>
            </w:r>
          </w:p>
        </w:tc>
      </w:tr>
      <w:tr w14:paraId="45C606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vMerge w:val="continue"/>
            <w:vAlign w:val="center"/>
          </w:tcPr>
          <w:p w14:paraId="760879FA">
            <w:pPr>
              <w:pStyle w:val="75"/>
              <w:jc w:val="both"/>
              <w:rPr>
                <w:bCs/>
              </w:rPr>
            </w:pPr>
          </w:p>
        </w:tc>
        <w:tc>
          <w:tcPr>
            <w:tcW w:w="2444" w:type="pct"/>
            <w:vAlign w:val="center"/>
          </w:tcPr>
          <w:p w14:paraId="3E3C5C23">
            <w:pPr>
              <w:spacing w:line="240" w:lineRule="auto"/>
              <w:ind w:firstLine="0" w:firstLineChars="0"/>
              <w:rPr>
                <w:bCs/>
                <w:sz w:val="21"/>
                <w:szCs w:val="21"/>
              </w:rPr>
            </w:pPr>
            <w:r>
              <w:rPr>
                <w:bCs/>
                <w:sz w:val="21"/>
                <w:szCs w:val="21"/>
              </w:rPr>
              <w:t>依法推动落后产能退出。根据《产业结构调整指导目录》</w:t>
            </w:r>
            <w:r>
              <w:rPr>
                <w:rFonts w:hint="eastAsia"/>
                <w:bCs/>
                <w:sz w:val="21"/>
                <w:szCs w:val="21"/>
              </w:rPr>
              <w:t>、</w:t>
            </w:r>
            <w:r>
              <w:rPr>
                <w:bCs/>
                <w:sz w:val="21"/>
                <w:szCs w:val="21"/>
              </w:rPr>
              <w:t>《限期淘汰产生严重污染环境的工业固体废物的落后生产工艺设备名录》等要求，推动依法淘汰涉重金属落后产能和化解过剩产能。</w:t>
            </w:r>
          </w:p>
        </w:tc>
        <w:tc>
          <w:tcPr>
            <w:tcW w:w="1590" w:type="pct"/>
            <w:vAlign w:val="center"/>
          </w:tcPr>
          <w:p w14:paraId="2CA78F58">
            <w:pPr>
              <w:pStyle w:val="77"/>
              <w:ind w:firstLine="0" w:firstLineChars="0"/>
              <w:jc w:val="both"/>
              <w:rPr>
                <w:bCs/>
                <w:szCs w:val="21"/>
              </w:rPr>
            </w:pPr>
            <w:r>
              <w:rPr>
                <w:bCs/>
              </w:rPr>
              <w:t>根据《产业结构调整指导目录（</w:t>
            </w:r>
            <w:r>
              <w:rPr>
                <w:rFonts w:hint="eastAsia"/>
                <w:bCs/>
              </w:rPr>
              <w:t>2024</w:t>
            </w:r>
            <w:r>
              <w:rPr>
                <w:bCs/>
              </w:rPr>
              <w:t>年本）》和</w:t>
            </w:r>
            <w:r>
              <w:rPr>
                <w:bCs/>
                <w:szCs w:val="21"/>
              </w:rPr>
              <w:t>《限期淘汰产生严重污染环境的工业固体废物的落后生产工艺设备名录》，本项目</w:t>
            </w:r>
            <w:r>
              <w:rPr>
                <w:bCs/>
              </w:rPr>
              <w:t>不属于淘汰类和限制类项目，属于允许类项目。</w:t>
            </w:r>
          </w:p>
        </w:tc>
        <w:tc>
          <w:tcPr>
            <w:tcW w:w="284" w:type="pct"/>
            <w:vAlign w:val="center"/>
          </w:tcPr>
          <w:p w14:paraId="3332FAA3">
            <w:pPr>
              <w:pStyle w:val="75"/>
              <w:rPr>
                <w:bCs/>
              </w:rPr>
            </w:pPr>
            <w:r>
              <w:rPr>
                <w:bCs/>
              </w:rPr>
              <w:t>符合</w:t>
            </w:r>
          </w:p>
        </w:tc>
      </w:tr>
      <w:tr w14:paraId="736723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vMerge w:val="continue"/>
            <w:vAlign w:val="center"/>
          </w:tcPr>
          <w:p w14:paraId="58F8DF92">
            <w:pPr>
              <w:pStyle w:val="75"/>
              <w:jc w:val="both"/>
              <w:rPr>
                <w:bCs/>
              </w:rPr>
            </w:pPr>
          </w:p>
        </w:tc>
        <w:tc>
          <w:tcPr>
            <w:tcW w:w="2444" w:type="pct"/>
            <w:vAlign w:val="center"/>
          </w:tcPr>
          <w:p w14:paraId="5EA5CDC3">
            <w:pPr>
              <w:spacing w:line="240" w:lineRule="auto"/>
              <w:ind w:firstLine="0" w:firstLineChars="0"/>
              <w:rPr>
                <w:bCs/>
                <w:sz w:val="21"/>
                <w:szCs w:val="21"/>
              </w:rPr>
            </w:pPr>
            <w:r>
              <w:rPr>
                <w:bCs/>
                <w:sz w:val="21"/>
                <w:szCs w:val="21"/>
              </w:rPr>
              <w:t>优化重点行业企业布局。新建、扩建的重有色金属冶炼、电镀、制革企业优先选择布设在依法合规设立并经规划环评的产业园区。</w:t>
            </w:r>
          </w:p>
        </w:tc>
        <w:tc>
          <w:tcPr>
            <w:tcW w:w="1590" w:type="pct"/>
            <w:vAlign w:val="center"/>
          </w:tcPr>
          <w:p w14:paraId="19D396FF">
            <w:pPr>
              <w:pStyle w:val="77"/>
              <w:ind w:firstLine="0" w:firstLineChars="0"/>
              <w:jc w:val="both"/>
              <w:rPr>
                <w:bCs/>
                <w:szCs w:val="21"/>
              </w:rPr>
            </w:pPr>
            <w:r>
              <w:rPr>
                <w:bCs/>
                <w:szCs w:val="21"/>
              </w:rPr>
              <w:t>本项目</w:t>
            </w:r>
            <w:r>
              <w:rPr>
                <w:rFonts w:hint="eastAsia"/>
                <w:bCs/>
                <w:szCs w:val="21"/>
              </w:rPr>
              <w:t>为电池钢壳、</w:t>
            </w:r>
            <w:r>
              <w:rPr>
                <w:rFonts w:hint="eastAsia"/>
                <w:bCs/>
                <w:szCs w:val="21"/>
                <w:lang w:val="en-US" w:eastAsia="zh-CN"/>
              </w:rPr>
              <w:t>盖帽</w:t>
            </w:r>
            <w:r>
              <w:rPr>
                <w:rFonts w:hint="eastAsia"/>
                <w:bCs/>
                <w:szCs w:val="21"/>
              </w:rPr>
              <w:t>和电池连接件的生产，属于新能源电池配件，项目</w:t>
            </w:r>
            <w:r>
              <w:rPr>
                <w:bCs/>
                <w:szCs w:val="21"/>
              </w:rPr>
              <w:t>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bCs/>
              </w:rPr>
              <w:t>，符合园区规划要求</w:t>
            </w:r>
            <w:r>
              <w:rPr>
                <w:bCs/>
              </w:rPr>
              <w:t>。</w:t>
            </w:r>
          </w:p>
        </w:tc>
        <w:tc>
          <w:tcPr>
            <w:tcW w:w="284" w:type="pct"/>
            <w:vAlign w:val="center"/>
          </w:tcPr>
          <w:p w14:paraId="6554705A">
            <w:pPr>
              <w:pStyle w:val="75"/>
              <w:rPr>
                <w:bCs/>
              </w:rPr>
            </w:pPr>
            <w:r>
              <w:rPr>
                <w:bCs/>
              </w:rPr>
              <w:t>符合</w:t>
            </w:r>
          </w:p>
        </w:tc>
      </w:tr>
      <w:tr w14:paraId="3EF0A4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vAlign w:val="center"/>
          </w:tcPr>
          <w:p w14:paraId="56DC349E">
            <w:pPr>
              <w:pStyle w:val="75"/>
              <w:jc w:val="both"/>
              <w:rPr>
                <w:bCs/>
              </w:rPr>
            </w:pPr>
            <w:r>
              <w:rPr>
                <w:bCs/>
              </w:rPr>
              <w:t>六、突出重点，深化重点行业重金属污染治理</w:t>
            </w:r>
          </w:p>
        </w:tc>
        <w:tc>
          <w:tcPr>
            <w:tcW w:w="2444" w:type="pct"/>
            <w:vAlign w:val="center"/>
          </w:tcPr>
          <w:p w14:paraId="58DB628B">
            <w:pPr>
              <w:pStyle w:val="75"/>
              <w:jc w:val="both"/>
              <w:rPr>
                <w:bCs/>
              </w:rPr>
            </w:pPr>
            <w:r>
              <w:rPr>
                <w:bCs/>
              </w:rPr>
              <w:t>加强涉重金属固体废物环境管理。加强重点行业企业废渣场环境管理，完善防渗漏、防流失、防扬散等措施。</w:t>
            </w:r>
          </w:p>
        </w:tc>
        <w:tc>
          <w:tcPr>
            <w:tcW w:w="1590" w:type="pct"/>
            <w:vAlign w:val="center"/>
          </w:tcPr>
          <w:p w14:paraId="736063D5">
            <w:pPr>
              <w:pStyle w:val="77"/>
              <w:ind w:firstLine="0" w:firstLineChars="0"/>
              <w:jc w:val="both"/>
              <w:rPr>
                <w:bCs/>
                <w:szCs w:val="21"/>
              </w:rPr>
            </w:pPr>
            <w:r>
              <w:rPr>
                <w:bCs/>
                <w:szCs w:val="21"/>
              </w:rPr>
              <w:t>本项目危险废物暂存满足《危险废物贮存污染控制标准》GB18597-</w:t>
            </w:r>
            <w:r>
              <w:rPr>
                <w:rFonts w:hint="eastAsia"/>
                <w:bCs/>
                <w:szCs w:val="21"/>
              </w:rPr>
              <w:t>2023</w:t>
            </w:r>
            <w:r>
              <w:rPr>
                <w:bCs/>
                <w:szCs w:val="21"/>
              </w:rPr>
              <w:t>要求，危废</w:t>
            </w:r>
            <w:r>
              <w:rPr>
                <w:rFonts w:hint="eastAsia"/>
                <w:bCs/>
                <w:szCs w:val="21"/>
              </w:rPr>
              <w:t>贮存库</w:t>
            </w:r>
            <w:r>
              <w:rPr>
                <w:bCs/>
                <w:szCs w:val="21"/>
              </w:rPr>
              <w:t>建设满足</w:t>
            </w:r>
            <w:r>
              <w:rPr>
                <w:bCs/>
              </w:rPr>
              <w:t>防渗漏、防流失、防扬散等措施</w:t>
            </w:r>
            <w:r>
              <w:rPr>
                <w:bCs/>
                <w:szCs w:val="21"/>
              </w:rPr>
              <w:t>。</w:t>
            </w:r>
          </w:p>
        </w:tc>
        <w:tc>
          <w:tcPr>
            <w:tcW w:w="284" w:type="pct"/>
            <w:vAlign w:val="center"/>
          </w:tcPr>
          <w:p w14:paraId="53E2CD73">
            <w:pPr>
              <w:pStyle w:val="75"/>
              <w:rPr>
                <w:bCs/>
              </w:rPr>
            </w:pPr>
            <w:r>
              <w:rPr>
                <w:bCs/>
              </w:rPr>
              <w:t>符合</w:t>
            </w:r>
          </w:p>
        </w:tc>
      </w:tr>
      <w:tr w14:paraId="5C07D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pct"/>
            <w:vAlign w:val="center"/>
          </w:tcPr>
          <w:p w14:paraId="30DDAF91">
            <w:pPr>
              <w:pStyle w:val="75"/>
              <w:jc w:val="both"/>
              <w:rPr>
                <w:bCs/>
              </w:rPr>
            </w:pPr>
            <w:r>
              <w:rPr>
                <w:bCs/>
              </w:rPr>
              <w:t>七、健全标准，加强重金属污染监管执法</w:t>
            </w:r>
          </w:p>
        </w:tc>
        <w:tc>
          <w:tcPr>
            <w:tcW w:w="2444" w:type="pct"/>
            <w:vAlign w:val="center"/>
          </w:tcPr>
          <w:p w14:paraId="43A52139">
            <w:pPr>
              <w:pStyle w:val="75"/>
              <w:jc w:val="both"/>
              <w:rPr>
                <w:bCs/>
              </w:rPr>
            </w:pPr>
            <w:r>
              <w:rPr>
                <w:bCs/>
              </w:rPr>
              <w:t>强化涉重金属污染应急管理。重点行业企业应依法依规完善环境风险防范和环境安全隐患排查治理措施，制定环境应急预案，储备相关应急物资，定期开展应急演练。</w:t>
            </w:r>
          </w:p>
        </w:tc>
        <w:tc>
          <w:tcPr>
            <w:tcW w:w="1590" w:type="pct"/>
            <w:vAlign w:val="center"/>
          </w:tcPr>
          <w:p w14:paraId="30F84F7D">
            <w:pPr>
              <w:pStyle w:val="75"/>
              <w:jc w:val="both"/>
              <w:rPr>
                <w:bCs/>
                <w:snapToGrid w:val="0"/>
              </w:rPr>
            </w:pPr>
            <w:r>
              <w:rPr>
                <w:bCs/>
                <w:snapToGrid w:val="0"/>
              </w:rPr>
              <w:t>本项目建设完成后，将按照环保部门要求</w:t>
            </w:r>
            <w:r>
              <w:rPr>
                <w:bCs/>
              </w:rPr>
              <w:t>完善环境风险防范措施。</w:t>
            </w:r>
          </w:p>
        </w:tc>
        <w:tc>
          <w:tcPr>
            <w:tcW w:w="284" w:type="pct"/>
            <w:vAlign w:val="center"/>
          </w:tcPr>
          <w:p w14:paraId="410E48B3">
            <w:pPr>
              <w:pStyle w:val="75"/>
              <w:rPr>
                <w:bCs/>
              </w:rPr>
            </w:pPr>
            <w:r>
              <w:rPr>
                <w:bCs/>
              </w:rPr>
              <w:t>符合</w:t>
            </w:r>
          </w:p>
        </w:tc>
      </w:tr>
    </w:tbl>
    <w:p w14:paraId="12FEDEB9">
      <w:pPr>
        <w:ind w:firstLine="480"/>
      </w:pPr>
      <w:r>
        <w:rPr>
          <w:rFonts w:hint="eastAsia"/>
          <w:bCs/>
        </w:rPr>
        <w:t>由上表可知，本项目符合《关于进一步加强重金属污染防控的意见》的相关要求。</w:t>
      </w:r>
    </w:p>
    <w:p w14:paraId="5D03794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2.11.13《关于加强涉重金属行业污染防控的意见》（环土壤[2018]22号）相符性分析</w:t>
      </w:r>
    </w:p>
    <w:p w14:paraId="5D9F7360">
      <w:pPr>
        <w:ind w:firstLine="480"/>
        <w:rPr>
          <w:bCs/>
        </w:rPr>
      </w:pPr>
      <w:bookmarkStart w:id="351" w:name="_Hlk109199878"/>
      <w:r>
        <w:rPr>
          <w:rFonts w:hint="eastAsia"/>
          <w:bCs/>
        </w:rPr>
        <w:t>根据《关于加强涉重金属行业污染防控的意见》（环土壤[2018]22号）的内容，结合本项目的情况，该条例中涉及到本项目的内容与本项目实际情况的对比分析见下表</w:t>
      </w:r>
      <w:bookmarkEnd w:id="351"/>
      <w:r>
        <w:rPr>
          <w:rFonts w:hint="eastAsia"/>
          <w:bCs/>
        </w:rPr>
        <w:t>。</w:t>
      </w:r>
    </w:p>
    <w:p w14:paraId="0C2EF82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2.11-14</w:t>
      </w:r>
      <w:r>
        <w:rPr>
          <w:rFonts w:hint="eastAsia"/>
        </w:rPr>
        <w:t xml:space="preserve">    与《关于加强涉重金属行业污染防控的意见》对比分析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4441"/>
        <w:gridCol w:w="2249"/>
        <w:gridCol w:w="952"/>
      </w:tblGrid>
      <w:tr w14:paraId="6CB09A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0" w:type="pct"/>
            <w:vAlign w:val="center"/>
          </w:tcPr>
          <w:p w14:paraId="1D7E651B">
            <w:pPr>
              <w:pStyle w:val="81"/>
              <w:rPr>
                <w:rFonts w:cs="Times New Roman"/>
                <w:color w:val="auto"/>
              </w:rPr>
            </w:pPr>
            <w:r>
              <w:rPr>
                <w:rFonts w:cs="Times New Roman"/>
                <w:color w:val="auto"/>
              </w:rPr>
              <w:t>项目</w:t>
            </w:r>
          </w:p>
        </w:tc>
        <w:tc>
          <w:tcPr>
            <w:tcW w:w="2603" w:type="pct"/>
            <w:vAlign w:val="center"/>
          </w:tcPr>
          <w:p w14:paraId="14F9723C">
            <w:pPr>
              <w:pStyle w:val="81"/>
              <w:rPr>
                <w:rFonts w:cs="Times New Roman"/>
                <w:color w:val="auto"/>
              </w:rPr>
            </w:pPr>
            <w:r>
              <w:rPr>
                <w:rFonts w:cs="Times New Roman"/>
                <w:color w:val="auto"/>
              </w:rPr>
              <w:t>实施方案</w:t>
            </w:r>
          </w:p>
        </w:tc>
        <w:tc>
          <w:tcPr>
            <w:tcW w:w="1318" w:type="pct"/>
            <w:vAlign w:val="center"/>
          </w:tcPr>
          <w:p w14:paraId="40A02ED4">
            <w:pPr>
              <w:pStyle w:val="81"/>
              <w:rPr>
                <w:rFonts w:cs="Times New Roman"/>
                <w:color w:val="auto"/>
              </w:rPr>
            </w:pPr>
            <w:r>
              <w:rPr>
                <w:rFonts w:cs="Times New Roman"/>
                <w:color w:val="auto"/>
              </w:rPr>
              <w:t>本项目建设情况</w:t>
            </w:r>
          </w:p>
        </w:tc>
        <w:tc>
          <w:tcPr>
            <w:tcW w:w="558" w:type="pct"/>
            <w:vAlign w:val="center"/>
          </w:tcPr>
          <w:p w14:paraId="5C315C59">
            <w:pPr>
              <w:pStyle w:val="81"/>
              <w:rPr>
                <w:rFonts w:cs="Times New Roman"/>
                <w:color w:val="auto"/>
              </w:rPr>
            </w:pPr>
            <w:r>
              <w:rPr>
                <w:rFonts w:cs="Times New Roman"/>
                <w:color w:val="auto"/>
              </w:rPr>
              <w:t>符合</w:t>
            </w:r>
            <w:r>
              <w:rPr>
                <w:rFonts w:hint="eastAsia" w:cs="Times New Roman"/>
                <w:color w:val="auto"/>
              </w:rPr>
              <w:t>性</w:t>
            </w:r>
          </w:p>
        </w:tc>
      </w:tr>
      <w:tr w14:paraId="72C4A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0" w:type="pct"/>
            <w:vAlign w:val="center"/>
          </w:tcPr>
          <w:p w14:paraId="4E1C38E4">
            <w:pPr>
              <w:pStyle w:val="75"/>
              <w:jc w:val="both"/>
              <w:rPr>
                <w:bCs/>
              </w:rPr>
            </w:pPr>
            <w:r>
              <w:rPr>
                <w:bCs/>
              </w:rPr>
              <w:t>四、严格环境准入</w:t>
            </w:r>
          </w:p>
        </w:tc>
        <w:tc>
          <w:tcPr>
            <w:tcW w:w="2603" w:type="pct"/>
            <w:vAlign w:val="center"/>
          </w:tcPr>
          <w:p w14:paraId="2BBF503B">
            <w:pPr>
              <w:spacing w:line="240" w:lineRule="auto"/>
              <w:ind w:firstLine="0" w:firstLineChars="0"/>
              <w:rPr>
                <w:bCs/>
                <w:sz w:val="21"/>
                <w:szCs w:val="21"/>
              </w:rPr>
            </w:pPr>
            <w:r>
              <w:rPr>
                <w:bCs/>
                <w:sz w:val="21"/>
                <w:szCs w:val="21"/>
              </w:rPr>
              <w:t>各省（区、市）环保厅（局）要对本省（区、市）的所有新、改、扩建涉重金属重点行业项目进行统筹考虑。新、改、扩建涉重金属重点行业建设项目必须遵循重点重金属污染物排放</w:t>
            </w:r>
            <w:r>
              <w:rPr>
                <w:rFonts w:hint="eastAsia"/>
                <w:bCs/>
                <w:sz w:val="21"/>
                <w:szCs w:val="21"/>
              </w:rPr>
              <w:t>“</w:t>
            </w:r>
            <w:r>
              <w:rPr>
                <w:bCs/>
                <w:sz w:val="21"/>
                <w:szCs w:val="21"/>
              </w:rPr>
              <w:t>减量置换</w:t>
            </w:r>
            <w:r>
              <w:rPr>
                <w:rFonts w:hint="eastAsia"/>
                <w:bCs/>
                <w:sz w:val="21"/>
                <w:szCs w:val="21"/>
              </w:rPr>
              <w:t>”</w:t>
            </w:r>
            <w:r>
              <w:rPr>
                <w:bCs/>
                <w:sz w:val="21"/>
                <w:szCs w:val="21"/>
              </w:rPr>
              <w:t>或</w:t>
            </w:r>
            <w:r>
              <w:rPr>
                <w:rFonts w:hint="eastAsia"/>
                <w:bCs/>
                <w:sz w:val="21"/>
                <w:szCs w:val="21"/>
              </w:rPr>
              <w:t>“</w:t>
            </w:r>
            <w:r>
              <w:rPr>
                <w:bCs/>
                <w:sz w:val="21"/>
                <w:szCs w:val="21"/>
              </w:rPr>
              <w:t>等量替换</w:t>
            </w:r>
            <w:r>
              <w:rPr>
                <w:rFonts w:hint="eastAsia"/>
                <w:bCs/>
                <w:sz w:val="21"/>
                <w:szCs w:val="21"/>
              </w:rPr>
              <w:t>”</w:t>
            </w:r>
            <w:r>
              <w:rPr>
                <w:bCs/>
                <w:sz w:val="21"/>
                <w:szCs w:val="21"/>
              </w:rPr>
              <w:t>的原则，应在本省（区、市）行政区域内有明确具体的重金属污染物排放总量来源。无明确具体总量来源的，各级环保部门不得批准相关环境影响评价文件。</w:t>
            </w:r>
          </w:p>
        </w:tc>
        <w:tc>
          <w:tcPr>
            <w:tcW w:w="1318" w:type="pct"/>
            <w:vAlign w:val="center"/>
          </w:tcPr>
          <w:p w14:paraId="6575B342">
            <w:pPr>
              <w:pStyle w:val="77"/>
              <w:ind w:firstLine="0" w:firstLineChars="0"/>
              <w:jc w:val="both"/>
              <w:rPr>
                <w:bCs/>
                <w:szCs w:val="21"/>
              </w:rPr>
            </w:pPr>
            <w:r>
              <w:rPr>
                <w:bCs/>
                <w:szCs w:val="21"/>
              </w:rPr>
              <w:t>本项目为</w:t>
            </w:r>
            <w:r>
              <w:rPr>
                <w:rFonts w:hint="eastAsia"/>
                <w:bCs/>
                <w:szCs w:val="21"/>
                <w:lang w:val="en-US" w:eastAsia="zh-CN"/>
              </w:rPr>
              <w:t>电池制造项目</w:t>
            </w:r>
            <w:r>
              <w:rPr>
                <w:bCs/>
                <w:szCs w:val="21"/>
              </w:rPr>
              <w:t>，</w:t>
            </w:r>
            <w:r>
              <w:rPr>
                <w:rFonts w:hint="eastAsia"/>
                <w:bCs/>
                <w:szCs w:val="21"/>
                <w:lang w:val="en-US" w:eastAsia="zh-CN"/>
              </w:rPr>
              <w:t>涉及电镀工艺，</w:t>
            </w:r>
            <w:r>
              <w:rPr>
                <w:bCs/>
                <w:szCs w:val="21"/>
              </w:rPr>
              <w:t>涉及镍、铬重金属，属于重金属重点行业项目；本项目重金属污染物均进行有效处理，不涉及重金属污染物的排放。</w:t>
            </w:r>
          </w:p>
        </w:tc>
        <w:tc>
          <w:tcPr>
            <w:tcW w:w="558" w:type="pct"/>
            <w:vAlign w:val="center"/>
          </w:tcPr>
          <w:p w14:paraId="6F6AE448">
            <w:pPr>
              <w:pStyle w:val="75"/>
              <w:rPr>
                <w:bCs/>
              </w:rPr>
            </w:pPr>
            <w:r>
              <w:rPr>
                <w:bCs/>
              </w:rPr>
              <w:t>符合</w:t>
            </w:r>
          </w:p>
        </w:tc>
      </w:tr>
      <w:tr w14:paraId="069EBA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0" w:type="pct"/>
            <w:vAlign w:val="center"/>
          </w:tcPr>
          <w:p w14:paraId="7C6C1C32">
            <w:pPr>
              <w:pStyle w:val="75"/>
              <w:jc w:val="both"/>
              <w:rPr>
                <w:bCs/>
              </w:rPr>
            </w:pPr>
            <w:r>
              <w:rPr>
                <w:bCs/>
              </w:rPr>
              <w:t>五、开展重金属污染整治</w:t>
            </w:r>
          </w:p>
        </w:tc>
        <w:tc>
          <w:tcPr>
            <w:tcW w:w="2603" w:type="pct"/>
            <w:vAlign w:val="center"/>
          </w:tcPr>
          <w:p w14:paraId="5A82B0A9">
            <w:pPr>
              <w:spacing w:line="240" w:lineRule="auto"/>
              <w:ind w:firstLine="0" w:firstLineChars="0"/>
              <w:rPr>
                <w:bCs/>
                <w:sz w:val="21"/>
                <w:szCs w:val="21"/>
              </w:rPr>
            </w:pPr>
            <w:r>
              <w:rPr>
                <w:bCs/>
                <w:sz w:val="21"/>
                <w:szCs w:val="21"/>
              </w:rPr>
              <w:t>督促涉重金属企业按照排污单位自行监测技术指南总则和分行业指南，开展自行监测，包括对所属涉重金属尾矿库排污口和周边环境进行监测，依法向社会公开重金属污染物排放数据，并对数据真实性负责。</w:t>
            </w:r>
          </w:p>
        </w:tc>
        <w:tc>
          <w:tcPr>
            <w:tcW w:w="1318" w:type="pct"/>
            <w:vAlign w:val="center"/>
          </w:tcPr>
          <w:p w14:paraId="62C01F08">
            <w:pPr>
              <w:pStyle w:val="77"/>
              <w:ind w:firstLine="0" w:firstLineChars="0"/>
              <w:jc w:val="both"/>
              <w:rPr>
                <w:bCs/>
                <w:szCs w:val="21"/>
              </w:rPr>
            </w:pPr>
            <w:r>
              <w:rPr>
                <w:bCs/>
                <w:szCs w:val="21"/>
              </w:rPr>
              <w:t>本项目属于涉重金属重点行业项目，项目建设完成后，按照排污单位自行监测指南，积极开展自行监测计划。</w:t>
            </w:r>
          </w:p>
        </w:tc>
        <w:tc>
          <w:tcPr>
            <w:tcW w:w="558" w:type="pct"/>
            <w:vAlign w:val="center"/>
          </w:tcPr>
          <w:p w14:paraId="7F73555D">
            <w:pPr>
              <w:pStyle w:val="75"/>
              <w:rPr>
                <w:bCs/>
              </w:rPr>
            </w:pPr>
            <w:r>
              <w:rPr>
                <w:bCs/>
              </w:rPr>
              <w:t>符合</w:t>
            </w:r>
          </w:p>
        </w:tc>
      </w:tr>
    </w:tbl>
    <w:p w14:paraId="5B708B15">
      <w:pPr>
        <w:ind w:firstLine="480"/>
      </w:pPr>
      <w:r>
        <w:rPr>
          <w:rFonts w:hint="eastAsia"/>
          <w:bCs/>
        </w:rPr>
        <w:t>由上表可知，本项目符合《关于加强涉重金属行业污染防控的意见》的相关要求。</w:t>
      </w:r>
    </w:p>
    <w:p w14:paraId="67E6E63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2.11.14《关于印发河南省“十四五”水安全保障和水生态环境保护规划的通知》（豫政[2021]42号）相符性分析</w:t>
      </w:r>
    </w:p>
    <w:p w14:paraId="0376A705">
      <w:pPr>
        <w:ind w:firstLine="480"/>
        <w:rPr>
          <w:bCs/>
        </w:rPr>
      </w:pPr>
      <w:r>
        <w:rPr>
          <w:rFonts w:hint="eastAsia"/>
          <w:bCs/>
        </w:rPr>
        <w:t>根据河南省人民政府《关于印发河南省“十四五”水安全保障和水生态环境保护规划的通知》（豫政[2021]42号）（以下简称《“十四五”保护规划》）的内容，结合本项目的情况，该条例中涉及到本项目的内容与本项目实际情况的对比分析见下表。</w:t>
      </w:r>
    </w:p>
    <w:p w14:paraId="47BA543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2.11-15</w:t>
      </w:r>
      <w:r>
        <w:rPr>
          <w:rFonts w:hint="eastAsia"/>
        </w:rPr>
        <w:t xml:space="preserve">    与《“十四五”保护规划》对比分析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4226"/>
        <w:gridCol w:w="2564"/>
        <w:gridCol w:w="876"/>
      </w:tblGrid>
      <w:tr w14:paraId="4BBC1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05" w:type="pct"/>
            <w:vAlign w:val="center"/>
          </w:tcPr>
          <w:p w14:paraId="6E225EBB">
            <w:pPr>
              <w:pStyle w:val="81"/>
              <w:rPr>
                <w:rFonts w:cs="Times New Roman"/>
                <w:color w:val="auto"/>
              </w:rPr>
            </w:pPr>
            <w:r>
              <w:rPr>
                <w:rFonts w:cs="Times New Roman"/>
                <w:color w:val="auto"/>
              </w:rPr>
              <w:t>项目</w:t>
            </w:r>
          </w:p>
        </w:tc>
        <w:tc>
          <w:tcPr>
            <w:tcW w:w="2477" w:type="pct"/>
            <w:vAlign w:val="center"/>
          </w:tcPr>
          <w:p w14:paraId="37992DA3">
            <w:pPr>
              <w:pStyle w:val="81"/>
              <w:rPr>
                <w:rFonts w:cs="Times New Roman"/>
                <w:color w:val="auto"/>
              </w:rPr>
            </w:pPr>
            <w:r>
              <w:rPr>
                <w:rFonts w:cs="Times New Roman"/>
                <w:color w:val="auto"/>
              </w:rPr>
              <w:t>实施方案</w:t>
            </w:r>
          </w:p>
        </w:tc>
        <w:tc>
          <w:tcPr>
            <w:tcW w:w="1503" w:type="pct"/>
            <w:vAlign w:val="center"/>
          </w:tcPr>
          <w:p w14:paraId="0A7889E1">
            <w:pPr>
              <w:pStyle w:val="81"/>
              <w:rPr>
                <w:rFonts w:cs="Times New Roman"/>
                <w:color w:val="auto"/>
              </w:rPr>
            </w:pPr>
            <w:r>
              <w:rPr>
                <w:rFonts w:cs="Times New Roman"/>
                <w:color w:val="auto"/>
              </w:rPr>
              <w:t>本项目建设情况</w:t>
            </w:r>
          </w:p>
        </w:tc>
        <w:tc>
          <w:tcPr>
            <w:tcW w:w="513" w:type="pct"/>
            <w:vAlign w:val="center"/>
          </w:tcPr>
          <w:p w14:paraId="4D4E310A">
            <w:pPr>
              <w:pStyle w:val="81"/>
              <w:rPr>
                <w:rFonts w:cs="Times New Roman"/>
                <w:color w:val="auto"/>
              </w:rPr>
            </w:pPr>
            <w:r>
              <w:rPr>
                <w:rFonts w:cs="Times New Roman"/>
                <w:color w:val="auto"/>
              </w:rPr>
              <w:t>符合</w:t>
            </w:r>
            <w:r>
              <w:rPr>
                <w:rFonts w:hint="eastAsia" w:cs="Times New Roman"/>
                <w:color w:val="auto"/>
              </w:rPr>
              <w:t>性</w:t>
            </w:r>
          </w:p>
        </w:tc>
      </w:tr>
      <w:tr w14:paraId="6A19AF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vAlign w:val="center"/>
          </w:tcPr>
          <w:p w14:paraId="0AE08FDC">
            <w:pPr>
              <w:pStyle w:val="75"/>
              <w:jc w:val="left"/>
              <w:rPr>
                <w:bCs/>
              </w:rPr>
            </w:pPr>
            <w:r>
              <w:rPr>
                <w:bCs/>
              </w:rPr>
              <w:t>持续推进工业污染防治</w:t>
            </w:r>
          </w:p>
        </w:tc>
        <w:tc>
          <w:tcPr>
            <w:tcW w:w="2477" w:type="pct"/>
            <w:vAlign w:val="center"/>
          </w:tcPr>
          <w:p w14:paraId="63FB96E7">
            <w:pPr>
              <w:spacing w:line="240" w:lineRule="auto"/>
              <w:ind w:firstLine="0" w:firstLineChars="0"/>
              <w:rPr>
                <w:bCs/>
                <w:sz w:val="21"/>
                <w:szCs w:val="21"/>
              </w:rPr>
            </w:pPr>
            <w:r>
              <w:rPr>
                <w:bCs/>
                <w:sz w:val="21"/>
                <w:szCs w:val="21"/>
              </w:rPr>
              <w:t>推进工业企业绿色升级。培育壮大节能、节水、环保和资源综合利用产业，提高能源资源利用效率；对焦化、有色金属、化工、电镀、制革、石油开采、造纸、印染、农副食品加工等行业，全面推进清洁生产改造或清洁化改造；全面推行清洁生产，依法对重点行业企业实施强制性清洁生产审核。</w:t>
            </w:r>
          </w:p>
        </w:tc>
        <w:tc>
          <w:tcPr>
            <w:tcW w:w="1503" w:type="pct"/>
            <w:vAlign w:val="center"/>
          </w:tcPr>
          <w:p w14:paraId="45D90DA9">
            <w:pPr>
              <w:pStyle w:val="77"/>
              <w:ind w:firstLine="0" w:firstLineChars="0"/>
              <w:jc w:val="both"/>
              <w:rPr>
                <w:bCs/>
                <w:szCs w:val="21"/>
              </w:rPr>
            </w:pPr>
            <w:r>
              <w:rPr>
                <w:bCs/>
                <w:szCs w:val="21"/>
              </w:rPr>
              <w:t>本项目涉及电镀工艺，根据《电镀行业清洁生产评价指标体系》，项目符合综合评价指数Ⅰ级要求，即国际清洁生产领先水</w:t>
            </w:r>
            <w:r>
              <w:rPr>
                <w:rFonts w:hint="eastAsia"/>
                <w:bCs/>
                <w:szCs w:val="21"/>
              </w:rPr>
              <w:t>平</w:t>
            </w:r>
            <w:r>
              <w:rPr>
                <w:bCs/>
                <w:szCs w:val="21"/>
              </w:rPr>
              <w:t>。项目建成后将积极按照要求进行清洁生产审核。</w:t>
            </w:r>
          </w:p>
        </w:tc>
        <w:tc>
          <w:tcPr>
            <w:tcW w:w="513" w:type="pct"/>
            <w:vAlign w:val="center"/>
          </w:tcPr>
          <w:p w14:paraId="32EDDBE5">
            <w:pPr>
              <w:pStyle w:val="75"/>
              <w:rPr>
                <w:bCs/>
              </w:rPr>
            </w:pPr>
            <w:r>
              <w:rPr>
                <w:bCs/>
              </w:rPr>
              <w:t>符合</w:t>
            </w:r>
          </w:p>
        </w:tc>
      </w:tr>
      <w:tr w14:paraId="60AB62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vMerge w:val="restart"/>
            <w:vAlign w:val="center"/>
          </w:tcPr>
          <w:p w14:paraId="76678912">
            <w:pPr>
              <w:pStyle w:val="75"/>
              <w:jc w:val="left"/>
              <w:rPr>
                <w:bCs/>
              </w:rPr>
            </w:pPr>
            <w:r>
              <w:rPr>
                <w:bCs/>
              </w:rPr>
              <w:t>二、优化产业结构布局</w:t>
            </w:r>
          </w:p>
        </w:tc>
        <w:tc>
          <w:tcPr>
            <w:tcW w:w="2477" w:type="pct"/>
            <w:vAlign w:val="center"/>
          </w:tcPr>
          <w:p w14:paraId="7D025EC9">
            <w:pPr>
              <w:spacing w:line="240" w:lineRule="auto"/>
              <w:ind w:firstLine="0" w:firstLineChars="0"/>
              <w:rPr>
                <w:bCs/>
                <w:sz w:val="21"/>
                <w:szCs w:val="21"/>
              </w:rPr>
            </w:pPr>
            <w:r>
              <w:rPr>
                <w:bCs/>
                <w:sz w:val="21"/>
                <w:szCs w:val="21"/>
              </w:rPr>
              <w:t>强化</w:t>
            </w:r>
            <w:r>
              <w:rPr>
                <w:rFonts w:hint="eastAsia"/>
                <w:bCs/>
                <w:sz w:val="21"/>
                <w:szCs w:val="21"/>
              </w:rPr>
              <w:t>“</w:t>
            </w:r>
            <w:r>
              <w:rPr>
                <w:bCs/>
                <w:sz w:val="21"/>
                <w:szCs w:val="21"/>
              </w:rPr>
              <w:t>三线一单</w:t>
            </w:r>
            <w:r>
              <w:rPr>
                <w:rFonts w:hint="eastAsia"/>
                <w:bCs/>
                <w:sz w:val="21"/>
                <w:szCs w:val="21"/>
              </w:rPr>
              <w:t>”</w:t>
            </w:r>
            <w:r>
              <w:rPr>
                <w:bCs/>
                <w:sz w:val="21"/>
                <w:szCs w:val="21"/>
              </w:rPr>
              <w:t>落实。严格</w:t>
            </w:r>
            <w:r>
              <w:rPr>
                <w:rFonts w:hint="eastAsia"/>
                <w:bCs/>
                <w:sz w:val="21"/>
                <w:szCs w:val="21"/>
              </w:rPr>
              <w:t>“</w:t>
            </w:r>
            <w:r>
              <w:rPr>
                <w:bCs/>
                <w:sz w:val="21"/>
                <w:szCs w:val="21"/>
              </w:rPr>
              <w:t>三线一单</w:t>
            </w:r>
            <w:r>
              <w:rPr>
                <w:rFonts w:hint="eastAsia"/>
                <w:bCs/>
                <w:sz w:val="21"/>
                <w:szCs w:val="21"/>
              </w:rPr>
              <w:t>”</w:t>
            </w:r>
            <w:r>
              <w:rPr>
                <w:bCs/>
                <w:sz w:val="21"/>
                <w:szCs w:val="21"/>
              </w:rPr>
              <w:t>管控，严守生态保护红线、环境质量底线、资源利用上线，落实生态环境准入清单；建立</w:t>
            </w:r>
            <w:r>
              <w:rPr>
                <w:rFonts w:hint="eastAsia"/>
                <w:bCs/>
                <w:sz w:val="21"/>
                <w:szCs w:val="21"/>
              </w:rPr>
              <w:t>“</w:t>
            </w:r>
            <w:r>
              <w:rPr>
                <w:bCs/>
                <w:sz w:val="21"/>
                <w:szCs w:val="21"/>
              </w:rPr>
              <w:t>三线一单</w:t>
            </w:r>
            <w:r>
              <w:rPr>
                <w:rFonts w:hint="eastAsia"/>
                <w:bCs/>
                <w:sz w:val="21"/>
                <w:szCs w:val="21"/>
              </w:rPr>
              <w:t>”</w:t>
            </w:r>
            <w:r>
              <w:rPr>
                <w:bCs/>
                <w:sz w:val="21"/>
                <w:szCs w:val="21"/>
              </w:rPr>
              <w:t>动态更新和调整机制，各地根据流域保护目标要求，进一步科学评估水资源、水环境承载能力，细化功能分区，提出差别化生态环境准入清单，强化准入管理和底线约束。</w:t>
            </w:r>
          </w:p>
        </w:tc>
        <w:tc>
          <w:tcPr>
            <w:tcW w:w="1503" w:type="pct"/>
            <w:vAlign w:val="center"/>
          </w:tcPr>
          <w:p w14:paraId="5EFB50E9">
            <w:pPr>
              <w:pStyle w:val="77"/>
              <w:ind w:firstLine="0" w:firstLineChars="0"/>
              <w:jc w:val="both"/>
              <w:rPr>
                <w:bCs/>
                <w:szCs w:val="21"/>
              </w:rPr>
            </w:pPr>
            <w:r>
              <w:rPr>
                <w:bCs/>
                <w:szCs w:val="21"/>
              </w:rPr>
              <w:t>本项目建设符合</w:t>
            </w:r>
            <w:r>
              <w:rPr>
                <w:rFonts w:hint="eastAsia"/>
                <w:bCs/>
                <w:szCs w:val="21"/>
              </w:rPr>
              <w:t>“</w:t>
            </w:r>
            <w:r>
              <w:rPr>
                <w:bCs/>
                <w:szCs w:val="21"/>
              </w:rPr>
              <w:t>三线一单</w:t>
            </w:r>
            <w:r>
              <w:rPr>
                <w:rFonts w:hint="eastAsia"/>
                <w:bCs/>
                <w:szCs w:val="21"/>
              </w:rPr>
              <w:t>”</w:t>
            </w:r>
            <w:r>
              <w:rPr>
                <w:bCs/>
                <w:szCs w:val="21"/>
              </w:rPr>
              <w:t>管控要求，严格按照生态保护红线、环境质量底线、资源利用上线、生态环境准入清单进行建设。</w:t>
            </w:r>
          </w:p>
        </w:tc>
        <w:tc>
          <w:tcPr>
            <w:tcW w:w="513" w:type="pct"/>
            <w:vAlign w:val="center"/>
          </w:tcPr>
          <w:p w14:paraId="6A5BD947">
            <w:pPr>
              <w:pStyle w:val="75"/>
              <w:rPr>
                <w:bCs/>
              </w:rPr>
            </w:pPr>
            <w:r>
              <w:rPr>
                <w:bCs/>
              </w:rPr>
              <w:t>符合</w:t>
            </w:r>
          </w:p>
        </w:tc>
      </w:tr>
      <w:tr w14:paraId="250E7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vMerge w:val="continue"/>
            <w:vAlign w:val="center"/>
          </w:tcPr>
          <w:p w14:paraId="29EC673D">
            <w:pPr>
              <w:pStyle w:val="75"/>
              <w:rPr>
                <w:bCs/>
              </w:rPr>
            </w:pPr>
          </w:p>
        </w:tc>
        <w:tc>
          <w:tcPr>
            <w:tcW w:w="2477" w:type="pct"/>
            <w:vAlign w:val="center"/>
          </w:tcPr>
          <w:p w14:paraId="6D414EFF">
            <w:pPr>
              <w:spacing w:line="240" w:lineRule="auto"/>
              <w:ind w:firstLine="0" w:firstLineChars="0"/>
              <w:rPr>
                <w:bCs/>
                <w:sz w:val="21"/>
                <w:szCs w:val="21"/>
              </w:rPr>
            </w:pPr>
            <w:r>
              <w:rPr>
                <w:bCs/>
                <w:sz w:val="21"/>
                <w:szCs w:val="21"/>
              </w:rPr>
              <w:t>合理确定发展布局、结构和规模。坚持以水定城、以水定地、以水定人、以水定产，严格控制缺水地区、水污染严重地区和敏感区域高污染行业发展，提高化工、有色金属、印染、制革、电镀、冶金等行业园区集聚水平。</w:t>
            </w:r>
          </w:p>
        </w:tc>
        <w:tc>
          <w:tcPr>
            <w:tcW w:w="1503" w:type="pct"/>
            <w:vAlign w:val="center"/>
          </w:tcPr>
          <w:p w14:paraId="7D80838B">
            <w:pPr>
              <w:pStyle w:val="77"/>
              <w:ind w:firstLine="0" w:firstLineChars="0"/>
              <w:jc w:val="both"/>
              <w:rPr>
                <w:bCs/>
                <w:szCs w:val="21"/>
              </w:rPr>
            </w:pPr>
            <w:r>
              <w:rPr>
                <w:bCs/>
                <w:szCs w:val="21"/>
              </w:rPr>
              <w:t>本项目涉及电镀工艺</w:t>
            </w:r>
            <w:r>
              <w:rPr>
                <w:rFonts w:hint="eastAsia"/>
                <w:bCs/>
                <w:szCs w:val="21"/>
              </w:rPr>
              <w:t>，属于新能源电池配件的生产</w:t>
            </w:r>
            <w:r>
              <w:rPr>
                <w:bCs/>
                <w:szCs w:val="21"/>
              </w:rPr>
              <w:t>，</w:t>
            </w:r>
            <w:r>
              <w:rPr>
                <w:rFonts w:hint="eastAsia"/>
                <w:bCs/>
              </w:rPr>
              <w:t>符合园区规划要求</w:t>
            </w:r>
            <w:r>
              <w:rPr>
                <w:bCs/>
                <w:szCs w:val="21"/>
              </w:rPr>
              <w:t>。</w:t>
            </w:r>
          </w:p>
        </w:tc>
        <w:tc>
          <w:tcPr>
            <w:tcW w:w="513" w:type="pct"/>
            <w:vAlign w:val="center"/>
          </w:tcPr>
          <w:p w14:paraId="464375E3">
            <w:pPr>
              <w:pStyle w:val="75"/>
              <w:rPr>
                <w:bCs/>
              </w:rPr>
            </w:pPr>
            <w:r>
              <w:rPr>
                <w:bCs/>
              </w:rPr>
              <w:t>符合</w:t>
            </w:r>
          </w:p>
        </w:tc>
      </w:tr>
      <w:tr w14:paraId="13555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vMerge w:val="continue"/>
            <w:vAlign w:val="center"/>
          </w:tcPr>
          <w:p w14:paraId="363F646B">
            <w:pPr>
              <w:pStyle w:val="75"/>
              <w:rPr>
                <w:bCs/>
              </w:rPr>
            </w:pPr>
          </w:p>
        </w:tc>
        <w:tc>
          <w:tcPr>
            <w:tcW w:w="2477" w:type="pct"/>
            <w:vAlign w:val="center"/>
          </w:tcPr>
          <w:p w14:paraId="38FC3390">
            <w:pPr>
              <w:spacing w:line="240" w:lineRule="auto"/>
              <w:ind w:firstLine="0" w:firstLineChars="0"/>
              <w:rPr>
                <w:bCs/>
                <w:sz w:val="21"/>
                <w:szCs w:val="21"/>
              </w:rPr>
            </w:pPr>
            <w:r>
              <w:rPr>
                <w:bCs/>
                <w:sz w:val="21"/>
                <w:szCs w:val="21"/>
              </w:rPr>
              <w:t>依法淘汰落后产能。全面落实国家产业结构调整指导目录中的淘汰和限制措施。</w:t>
            </w:r>
          </w:p>
        </w:tc>
        <w:tc>
          <w:tcPr>
            <w:tcW w:w="1503" w:type="pct"/>
            <w:vAlign w:val="center"/>
          </w:tcPr>
          <w:p w14:paraId="3E52FB39">
            <w:pPr>
              <w:pStyle w:val="77"/>
              <w:ind w:firstLine="0" w:firstLineChars="0"/>
              <w:jc w:val="both"/>
              <w:rPr>
                <w:bCs/>
                <w:szCs w:val="21"/>
              </w:rPr>
            </w:pPr>
            <w:r>
              <w:rPr>
                <w:bCs/>
                <w:szCs w:val="21"/>
              </w:rPr>
              <w:t>根据《产业结构调整指导目录（</w:t>
            </w:r>
            <w:r>
              <w:rPr>
                <w:rFonts w:hint="eastAsia"/>
                <w:bCs/>
                <w:szCs w:val="21"/>
              </w:rPr>
              <w:t>2024</w:t>
            </w:r>
            <w:r>
              <w:rPr>
                <w:bCs/>
                <w:szCs w:val="21"/>
              </w:rPr>
              <w:t>年本）》，本项目属于允许类项目，不属于淘汰和限制类项目。</w:t>
            </w:r>
          </w:p>
        </w:tc>
        <w:tc>
          <w:tcPr>
            <w:tcW w:w="513" w:type="pct"/>
            <w:vAlign w:val="center"/>
          </w:tcPr>
          <w:p w14:paraId="107C805E">
            <w:pPr>
              <w:pStyle w:val="75"/>
              <w:rPr>
                <w:bCs/>
              </w:rPr>
            </w:pPr>
            <w:r>
              <w:rPr>
                <w:bCs/>
              </w:rPr>
              <w:t>符合</w:t>
            </w:r>
          </w:p>
        </w:tc>
      </w:tr>
      <w:tr w14:paraId="48094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5" w:type="pct"/>
            <w:vAlign w:val="center"/>
          </w:tcPr>
          <w:p w14:paraId="4B9CDDC9">
            <w:pPr>
              <w:pStyle w:val="75"/>
              <w:jc w:val="left"/>
              <w:rPr>
                <w:bCs/>
              </w:rPr>
            </w:pPr>
            <w:r>
              <w:rPr>
                <w:bCs/>
              </w:rPr>
              <w:t>水环境风险防控</w:t>
            </w:r>
          </w:p>
        </w:tc>
        <w:tc>
          <w:tcPr>
            <w:tcW w:w="2477" w:type="pct"/>
            <w:vAlign w:val="center"/>
          </w:tcPr>
          <w:p w14:paraId="5BF5496D">
            <w:pPr>
              <w:spacing w:line="240" w:lineRule="auto"/>
              <w:ind w:firstLine="0" w:firstLineChars="0"/>
              <w:rPr>
                <w:bCs/>
                <w:sz w:val="21"/>
                <w:szCs w:val="21"/>
              </w:rPr>
            </w:pPr>
            <w:r>
              <w:rPr>
                <w:bCs/>
                <w:sz w:val="21"/>
                <w:szCs w:val="21"/>
              </w:rPr>
              <w:t>（一）加强风险设施建设</w:t>
            </w:r>
          </w:p>
          <w:p w14:paraId="6C0EB988">
            <w:pPr>
              <w:spacing w:line="240" w:lineRule="auto"/>
              <w:ind w:firstLine="0" w:firstLineChars="0"/>
              <w:rPr>
                <w:bCs/>
                <w:sz w:val="21"/>
                <w:szCs w:val="21"/>
              </w:rPr>
            </w:pPr>
            <w:r>
              <w:rPr>
                <w:bCs/>
                <w:sz w:val="21"/>
                <w:szCs w:val="21"/>
              </w:rPr>
              <w:t>落实工业企业环境风险防范主体责任。以石油、化工、制药、印染、医药、电子电镀等涉危涉重企业为重点，强化企业应急设施建设。排放有毒有害水污染物名录中所列有毒有害水污染物的企事业单位和其他生产经营者，应当对排污口和周边环境进行监测，评估环境风险，排查环境安全隐患，并公开有毒有害水污染物信息，采取有效措施防范环境风险。鼓励有条件的地方先行先试，开展河湖底泥重金属监测和累积性风险治理。</w:t>
            </w:r>
          </w:p>
        </w:tc>
        <w:tc>
          <w:tcPr>
            <w:tcW w:w="1503" w:type="pct"/>
            <w:vAlign w:val="center"/>
          </w:tcPr>
          <w:p w14:paraId="0BF07592">
            <w:pPr>
              <w:pStyle w:val="77"/>
              <w:ind w:firstLine="0" w:firstLineChars="0"/>
              <w:jc w:val="both"/>
              <w:rPr>
                <w:bCs/>
                <w:szCs w:val="21"/>
              </w:rPr>
            </w:pPr>
            <w:r>
              <w:rPr>
                <w:bCs/>
                <w:szCs w:val="21"/>
              </w:rPr>
              <w:t>本项目涉及电镀工艺，属于涉重金属重点企业项目，项目建设将加强风险设施和应急设施的建设，涉重金属污染物将得到有限治理，项目不涉及重金属污染物的排放。</w:t>
            </w:r>
          </w:p>
        </w:tc>
        <w:tc>
          <w:tcPr>
            <w:tcW w:w="513" w:type="pct"/>
            <w:vAlign w:val="center"/>
          </w:tcPr>
          <w:p w14:paraId="22DB0987">
            <w:pPr>
              <w:pStyle w:val="75"/>
              <w:rPr>
                <w:bCs/>
              </w:rPr>
            </w:pPr>
            <w:r>
              <w:rPr>
                <w:bCs/>
              </w:rPr>
              <w:t>符合</w:t>
            </w:r>
          </w:p>
        </w:tc>
      </w:tr>
    </w:tbl>
    <w:p w14:paraId="28E5186D">
      <w:pPr>
        <w:ind w:firstLine="480"/>
      </w:pPr>
      <w:r>
        <w:rPr>
          <w:rFonts w:hint="eastAsia"/>
          <w:bCs/>
        </w:rPr>
        <w:t>由上表可知，本项目符合《关于印发河南省“十四五”水安全保障和水生态环境保护规划的通知》的相关要求。</w:t>
      </w:r>
    </w:p>
    <w:p w14:paraId="6C9D8FA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2.11.15《新乡市“十四五”重金属污染防治工作方案》（新环[2022]110号）相符性分析</w:t>
      </w:r>
    </w:p>
    <w:p w14:paraId="71A10A52">
      <w:pPr>
        <w:ind w:firstLine="480"/>
        <w:rPr>
          <w:bCs/>
        </w:rPr>
      </w:pPr>
      <w:r>
        <w:rPr>
          <w:rFonts w:hint="eastAsia"/>
          <w:bCs/>
        </w:rPr>
        <w:t>根据《新乡市“十四五”重金属污染防治工作方案》（新环[2022]110号）的内容，结合本项目的情况，该条例中涉及到本项目的内容与本项目实际情况的对比分析见下表。</w:t>
      </w:r>
    </w:p>
    <w:p w14:paraId="3941001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68DE9FC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237396C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2.11-16</w:t>
      </w:r>
      <w:r>
        <w:rPr>
          <w:rFonts w:hint="eastAsia"/>
        </w:rPr>
        <w:t xml:space="preserve">  与《新乡市“十四五”重金属污染防治工作方案》对比分析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4451"/>
        <w:gridCol w:w="2039"/>
        <w:gridCol w:w="876"/>
      </w:tblGrid>
      <w:tr w14:paraId="55BAC4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81" w:type="pct"/>
            <w:vAlign w:val="center"/>
          </w:tcPr>
          <w:p w14:paraId="421C2813">
            <w:pPr>
              <w:pStyle w:val="81"/>
              <w:rPr>
                <w:rFonts w:cs="Times New Roman"/>
                <w:color w:val="auto"/>
              </w:rPr>
            </w:pPr>
            <w:r>
              <w:rPr>
                <w:rFonts w:cs="Times New Roman"/>
                <w:color w:val="auto"/>
              </w:rPr>
              <w:t>项目</w:t>
            </w:r>
          </w:p>
        </w:tc>
        <w:tc>
          <w:tcPr>
            <w:tcW w:w="2609" w:type="pct"/>
            <w:vAlign w:val="center"/>
          </w:tcPr>
          <w:p w14:paraId="4D3A35F2">
            <w:pPr>
              <w:pStyle w:val="81"/>
              <w:rPr>
                <w:rFonts w:cs="Times New Roman"/>
                <w:color w:val="auto"/>
              </w:rPr>
            </w:pPr>
            <w:r>
              <w:rPr>
                <w:rFonts w:cs="Times New Roman"/>
                <w:color w:val="auto"/>
              </w:rPr>
              <w:t>实施方案</w:t>
            </w:r>
          </w:p>
        </w:tc>
        <w:tc>
          <w:tcPr>
            <w:tcW w:w="1195" w:type="pct"/>
            <w:vAlign w:val="center"/>
          </w:tcPr>
          <w:p w14:paraId="4D3464F9">
            <w:pPr>
              <w:pStyle w:val="81"/>
              <w:rPr>
                <w:rFonts w:cs="Times New Roman"/>
                <w:color w:val="auto"/>
              </w:rPr>
            </w:pPr>
            <w:r>
              <w:rPr>
                <w:rFonts w:cs="Times New Roman"/>
                <w:color w:val="auto"/>
              </w:rPr>
              <w:t>本项目建设情况</w:t>
            </w:r>
          </w:p>
        </w:tc>
        <w:tc>
          <w:tcPr>
            <w:tcW w:w="513" w:type="pct"/>
            <w:vAlign w:val="center"/>
          </w:tcPr>
          <w:p w14:paraId="6E12790C">
            <w:pPr>
              <w:pStyle w:val="81"/>
              <w:rPr>
                <w:rFonts w:cs="Times New Roman"/>
                <w:color w:val="auto"/>
              </w:rPr>
            </w:pPr>
            <w:r>
              <w:rPr>
                <w:rFonts w:cs="Times New Roman"/>
                <w:color w:val="auto"/>
              </w:rPr>
              <w:t>符合</w:t>
            </w:r>
            <w:r>
              <w:rPr>
                <w:rFonts w:hint="eastAsia" w:cs="Times New Roman"/>
                <w:color w:val="auto"/>
              </w:rPr>
              <w:t>性</w:t>
            </w:r>
          </w:p>
        </w:tc>
      </w:tr>
      <w:tr w14:paraId="549B6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90ADE32">
            <w:pPr>
              <w:pStyle w:val="75"/>
            </w:pPr>
            <w:r>
              <w:rPr>
                <w:rFonts w:hint="eastAsia"/>
              </w:rPr>
              <w:t>（</w:t>
            </w:r>
            <w:r>
              <w:t>二</w:t>
            </w:r>
            <w:r>
              <w:rPr>
                <w:rFonts w:hint="eastAsia"/>
              </w:rPr>
              <w:t>）</w:t>
            </w:r>
            <w:r>
              <w:t>加强重金属污染物减排分类管理</w:t>
            </w:r>
          </w:p>
        </w:tc>
        <w:tc>
          <w:tcPr>
            <w:tcW w:w="2609" w:type="pct"/>
            <w:vAlign w:val="center"/>
          </w:tcPr>
          <w:p w14:paraId="30FB24E4">
            <w:pPr>
              <w:spacing w:line="240" w:lineRule="auto"/>
              <w:ind w:firstLine="0" w:firstLineChars="0"/>
              <w:rPr>
                <w:sz w:val="21"/>
                <w:szCs w:val="21"/>
              </w:rPr>
            </w:pPr>
            <w:r>
              <w:rPr>
                <w:sz w:val="21"/>
                <w:szCs w:val="21"/>
              </w:rPr>
              <w:t>根据重金属污染物排放量基数和减排潜力，确定减排目标</w:t>
            </w:r>
            <w:r>
              <w:rPr>
                <w:rFonts w:hint="eastAsia"/>
                <w:sz w:val="21"/>
                <w:szCs w:val="21"/>
              </w:rPr>
              <w:t>；</w:t>
            </w:r>
            <w:r>
              <w:rPr>
                <w:sz w:val="21"/>
                <w:szCs w:val="21"/>
              </w:rPr>
              <w:t>按重点区域、重点行业以及重点重金属，实施差别化减排政策。以结构调整、升级改造和深度治理为主要手段，将减排任务目标落实到具体企业，推动实施一批重金属减排工程，持续减少重金属污染物排放。</w:t>
            </w:r>
          </w:p>
        </w:tc>
        <w:tc>
          <w:tcPr>
            <w:tcW w:w="1195" w:type="pct"/>
            <w:vAlign w:val="center"/>
          </w:tcPr>
          <w:p w14:paraId="2DC31B11">
            <w:pPr>
              <w:pStyle w:val="77"/>
              <w:ind w:firstLine="0" w:firstLineChars="0"/>
              <w:jc w:val="both"/>
              <w:rPr>
                <w:szCs w:val="21"/>
              </w:rPr>
            </w:pPr>
            <w:r>
              <w:rPr>
                <w:rFonts w:hint="eastAsia"/>
              </w:rPr>
              <w:t>本项目</w:t>
            </w:r>
            <w:r>
              <w:rPr>
                <w:rFonts w:hint="eastAsia"/>
                <w:lang w:val="en-US" w:eastAsia="zh-CN"/>
              </w:rPr>
              <w:t>涉及电镀工艺</w:t>
            </w:r>
            <w:r>
              <w:rPr>
                <w:rFonts w:hint="eastAsia"/>
              </w:rPr>
              <w:t>，属于重金属重点行业项目，本项目建成后能够实现重金属零排放，项目不涉及重金属污染物的排放。</w:t>
            </w:r>
          </w:p>
        </w:tc>
        <w:tc>
          <w:tcPr>
            <w:tcW w:w="513" w:type="pct"/>
            <w:vAlign w:val="center"/>
          </w:tcPr>
          <w:p w14:paraId="30F225A8">
            <w:pPr>
              <w:pStyle w:val="75"/>
            </w:pPr>
            <w:r>
              <w:t>符合</w:t>
            </w:r>
          </w:p>
        </w:tc>
      </w:tr>
      <w:tr w14:paraId="269D4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68BD556D">
            <w:pPr>
              <w:pStyle w:val="75"/>
            </w:pPr>
            <w:r>
              <w:rPr>
                <w:rFonts w:hint="eastAsia"/>
              </w:rPr>
              <w:t>（</w:t>
            </w:r>
            <w:r>
              <w:t>三</w:t>
            </w:r>
            <w:r>
              <w:rPr>
                <w:rFonts w:hint="eastAsia"/>
              </w:rPr>
              <w:t>）</w:t>
            </w:r>
            <w:r>
              <w:t>严格涉重金属重点行业项目环境准入管理</w:t>
            </w:r>
          </w:p>
        </w:tc>
        <w:tc>
          <w:tcPr>
            <w:tcW w:w="2609" w:type="pct"/>
            <w:vAlign w:val="center"/>
          </w:tcPr>
          <w:p w14:paraId="42832B1C">
            <w:pPr>
              <w:spacing w:line="240" w:lineRule="auto"/>
              <w:ind w:firstLine="0" w:firstLineChars="0"/>
              <w:rPr>
                <w:sz w:val="21"/>
                <w:szCs w:val="21"/>
              </w:rPr>
            </w:pPr>
            <w:r>
              <w:rPr>
                <w:sz w:val="21"/>
                <w:szCs w:val="21"/>
              </w:rPr>
              <w:t>新、改、扩建涉重金属重点行业建设项目应符合</w:t>
            </w:r>
            <w:r>
              <w:rPr>
                <w:rFonts w:hint="eastAsia"/>
                <w:sz w:val="21"/>
                <w:szCs w:val="21"/>
              </w:rPr>
              <w:t>“</w:t>
            </w:r>
            <w:r>
              <w:rPr>
                <w:sz w:val="21"/>
                <w:szCs w:val="21"/>
              </w:rPr>
              <w:t>三线一单</w:t>
            </w:r>
            <w:r>
              <w:rPr>
                <w:rFonts w:hint="eastAsia"/>
                <w:sz w:val="21"/>
                <w:szCs w:val="21"/>
              </w:rPr>
              <w:t>”</w:t>
            </w:r>
            <w:r>
              <w:rPr>
                <w:sz w:val="21"/>
                <w:szCs w:val="21"/>
              </w:rPr>
              <w:t>、产业政策、区域环评、规划环评和行业环境准入管控要求。新、改、扩建涉重金属重点行业建设项目应遵循重点重金属污染物排放</w:t>
            </w:r>
            <w:r>
              <w:rPr>
                <w:rFonts w:hint="eastAsia"/>
                <w:sz w:val="21"/>
                <w:szCs w:val="21"/>
              </w:rPr>
              <w:t>“</w:t>
            </w:r>
            <w:r>
              <w:rPr>
                <w:sz w:val="21"/>
                <w:szCs w:val="21"/>
              </w:rPr>
              <w:t>减量替代</w:t>
            </w:r>
            <w:r>
              <w:rPr>
                <w:rFonts w:hint="eastAsia"/>
                <w:sz w:val="21"/>
                <w:szCs w:val="21"/>
              </w:rPr>
              <w:t>”</w:t>
            </w:r>
            <w:r>
              <w:rPr>
                <w:sz w:val="21"/>
                <w:szCs w:val="21"/>
              </w:rPr>
              <w:t>原则，省重金属污染防控重点区域</w:t>
            </w:r>
            <w:r>
              <w:rPr>
                <w:rFonts w:hint="eastAsia"/>
                <w:sz w:val="21"/>
                <w:szCs w:val="21"/>
              </w:rPr>
              <w:t>（</w:t>
            </w:r>
            <w:r>
              <w:rPr>
                <w:sz w:val="21"/>
                <w:szCs w:val="21"/>
              </w:rPr>
              <w:t>获嘉县、凤泉区</w:t>
            </w:r>
            <w:r>
              <w:rPr>
                <w:rFonts w:hint="eastAsia"/>
                <w:sz w:val="21"/>
                <w:szCs w:val="21"/>
              </w:rPr>
              <w:t>）</w:t>
            </w:r>
            <w:r>
              <w:rPr>
                <w:sz w:val="21"/>
                <w:szCs w:val="21"/>
              </w:rPr>
              <w:t>的减量替代比例不低于</w:t>
            </w:r>
            <w:r>
              <w:rPr>
                <w:rFonts w:hint="eastAsia"/>
                <w:sz w:val="21"/>
                <w:szCs w:val="21"/>
              </w:rPr>
              <w:t>1.2:1，</w:t>
            </w:r>
            <w:r>
              <w:rPr>
                <w:sz w:val="21"/>
                <w:szCs w:val="21"/>
              </w:rPr>
              <w:t>其他区域的减量替代比例不低于</w:t>
            </w:r>
            <w:r>
              <w:rPr>
                <w:rFonts w:hint="eastAsia"/>
                <w:sz w:val="21"/>
                <w:szCs w:val="21"/>
              </w:rPr>
              <w:t>1.1:1</w:t>
            </w:r>
            <w:r>
              <w:rPr>
                <w:sz w:val="21"/>
                <w:szCs w:val="21"/>
              </w:rPr>
              <w:t>。</w:t>
            </w:r>
          </w:p>
          <w:p w14:paraId="3D19BC52">
            <w:pPr>
              <w:spacing w:line="240" w:lineRule="auto"/>
              <w:ind w:firstLine="0" w:firstLineChars="0"/>
              <w:rPr>
                <w:sz w:val="21"/>
                <w:szCs w:val="21"/>
              </w:rPr>
            </w:pPr>
            <w:r>
              <w:rPr>
                <w:sz w:val="21"/>
                <w:szCs w:val="21"/>
              </w:rPr>
              <w:t>建设单位在提交环境影响评价文件时应明确重点重金属污染物排放总量及来源。无明确具体总量来源的，各级生态环境部门不得批准相关环境影响评价文件</w:t>
            </w:r>
            <w:r>
              <w:rPr>
                <w:rFonts w:hint="eastAsia"/>
                <w:sz w:val="21"/>
                <w:szCs w:val="21"/>
              </w:rPr>
              <w:t>。</w:t>
            </w:r>
            <w:r>
              <w:rPr>
                <w:sz w:val="21"/>
                <w:szCs w:val="21"/>
              </w:rPr>
              <w:t>总量来源原则上应是本市内，同一重点行业内企业削减的重点重金属污染物排放量，当同一重点行业内企业刚减量无法满足时可从其他重点行业调剂。严格</w:t>
            </w:r>
            <w:r>
              <w:rPr>
                <w:rFonts w:hint="eastAsia"/>
                <w:sz w:val="21"/>
                <w:szCs w:val="21"/>
              </w:rPr>
              <w:t>涉</w:t>
            </w:r>
            <w:r>
              <w:rPr>
                <w:sz w:val="21"/>
                <w:szCs w:val="21"/>
              </w:rPr>
              <w:t>重金属重点行业建设项目环境影响评价审批，审慎下放审批权限，不得以改革试点为名降低审批要求。建立环评审批与重金属总量管理部门的会商机制。</w:t>
            </w:r>
          </w:p>
        </w:tc>
        <w:tc>
          <w:tcPr>
            <w:tcW w:w="1195" w:type="pct"/>
            <w:vAlign w:val="center"/>
          </w:tcPr>
          <w:p w14:paraId="1F5A65E4">
            <w:pPr>
              <w:pStyle w:val="77"/>
              <w:ind w:firstLine="0" w:firstLineChars="0"/>
              <w:jc w:val="both"/>
              <w:rPr>
                <w:szCs w:val="21"/>
              </w:rPr>
            </w:pPr>
            <w:r>
              <w:t>本项目</w:t>
            </w:r>
            <w:r>
              <w:rPr>
                <w:szCs w:val="21"/>
              </w:rPr>
              <w:t>涉及</w:t>
            </w:r>
            <w:r>
              <w:rPr>
                <w:rFonts w:hint="eastAsia"/>
                <w:szCs w:val="21"/>
              </w:rPr>
              <w:t>镍</w:t>
            </w:r>
            <w:r>
              <w:rPr>
                <w:szCs w:val="21"/>
              </w:rPr>
              <w:t>、铬重金属，属于重金属重点行业项目，符合</w:t>
            </w:r>
            <w:r>
              <w:rPr>
                <w:rFonts w:hint="eastAsia"/>
                <w:szCs w:val="21"/>
              </w:rPr>
              <w:t>“</w:t>
            </w:r>
            <w:r>
              <w:t>三线一单</w:t>
            </w:r>
            <w:r>
              <w:rPr>
                <w:rFonts w:hint="eastAsia"/>
                <w:szCs w:val="21"/>
              </w:rPr>
              <w:t>”</w:t>
            </w:r>
            <w:r>
              <w:t>、产业政策、区域环评、规划环评和行业环境准入管控要求；本项目建成后不涉及</w:t>
            </w:r>
            <w:r>
              <w:rPr>
                <w:rFonts w:hint="eastAsia"/>
              </w:rPr>
              <w:t>重金属</w:t>
            </w:r>
            <w:r>
              <w:t>污染物排放。</w:t>
            </w:r>
          </w:p>
        </w:tc>
        <w:tc>
          <w:tcPr>
            <w:tcW w:w="513" w:type="pct"/>
            <w:vAlign w:val="center"/>
          </w:tcPr>
          <w:p w14:paraId="6A0395F8">
            <w:pPr>
              <w:pStyle w:val="75"/>
            </w:pPr>
            <w:r>
              <w:t>符合</w:t>
            </w:r>
          </w:p>
        </w:tc>
      </w:tr>
      <w:tr w14:paraId="3E9E9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B197762">
            <w:pPr>
              <w:pStyle w:val="75"/>
            </w:pPr>
            <w:r>
              <w:rPr>
                <w:rFonts w:hint="eastAsia"/>
              </w:rPr>
              <w:t>（</w:t>
            </w:r>
            <w:r>
              <w:t>四</w:t>
            </w:r>
            <w:r>
              <w:rPr>
                <w:rFonts w:hint="eastAsia"/>
              </w:rPr>
              <w:t>）</w:t>
            </w:r>
            <w:r>
              <w:t>推行企业重金属污染物排放总量控制制度</w:t>
            </w:r>
          </w:p>
        </w:tc>
        <w:tc>
          <w:tcPr>
            <w:tcW w:w="2609" w:type="pct"/>
            <w:vAlign w:val="center"/>
          </w:tcPr>
          <w:p w14:paraId="1B05DA2C">
            <w:pPr>
              <w:spacing w:line="240" w:lineRule="auto"/>
              <w:ind w:firstLine="0" w:firstLineChars="0"/>
              <w:rPr>
                <w:sz w:val="21"/>
                <w:szCs w:val="21"/>
              </w:rPr>
            </w:pPr>
            <w:r>
              <w:rPr>
                <w:sz w:val="21"/>
                <w:szCs w:val="21"/>
              </w:rPr>
              <w:t>依法将涉重金属重点行业企业纳入排污许可管理。对于实施排污许可重点管理的企业，排污许可证应当明确重金属污染物排放种类、许可排放浓度、许可排放量等。对于重点行业减排企业，生态环境部门应将重金属污染物排放总量要求落实到排污许可证，减排企业在执行国家和地方污染物排放标准的同时，应当遵守分解落实到本单位的重金属排放总量控制要求。重点行业企业适用的污染物排放标准、重点污染物总量控制要求发生变化，需要对排污许可证进行变更的，审批部门应依法对排污许可证相应事项进行变更，并载明削减措施、减排量，作为总量替代来源的还应载明出让量和出让去向。到2025年，企业排污许可证环境管理台账、自行监测和执行报告数据基本实现完整、可信，有效支撑重点行业企业排放量管理。</w:t>
            </w:r>
          </w:p>
        </w:tc>
        <w:tc>
          <w:tcPr>
            <w:tcW w:w="1195" w:type="pct"/>
            <w:vAlign w:val="center"/>
          </w:tcPr>
          <w:p w14:paraId="4A8F8F4B">
            <w:pPr>
              <w:pStyle w:val="77"/>
              <w:ind w:firstLine="0" w:firstLineChars="0"/>
              <w:jc w:val="both"/>
              <w:rPr>
                <w:szCs w:val="21"/>
              </w:rPr>
            </w:pPr>
            <w:r>
              <w:rPr>
                <w:rFonts w:hint="eastAsia"/>
              </w:rPr>
              <w:t>本项目建成后严格按照环保要求进行排污许可管理，并明确污染物的</w:t>
            </w:r>
            <w:r>
              <w:rPr>
                <w:szCs w:val="21"/>
              </w:rPr>
              <w:t>排放种类、许可排放浓度、许可排放量等。</w:t>
            </w:r>
            <w:r>
              <w:t>本项目建成后不涉及重金属污染物</w:t>
            </w:r>
            <w:r>
              <w:rPr>
                <w:rFonts w:hint="eastAsia"/>
              </w:rPr>
              <w:t>的</w:t>
            </w:r>
            <w:r>
              <w:t>排放。</w:t>
            </w:r>
          </w:p>
        </w:tc>
        <w:tc>
          <w:tcPr>
            <w:tcW w:w="513" w:type="pct"/>
            <w:vAlign w:val="center"/>
          </w:tcPr>
          <w:p w14:paraId="00790AC4">
            <w:pPr>
              <w:pStyle w:val="75"/>
            </w:pPr>
            <w:r>
              <w:t>符合</w:t>
            </w:r>
          </w:p>
        </w:tc>
      </w:tr>
      <w:tr w14:paraId="26B4BD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681" w:type="pct"/>
            <w:vMerge w:val="restart"/>
            <w:vAlign w:val="center"/>
          </w:tcPr>
          <w:p w14:paraId="66336F2A">
            <w:pPr>
              <w:pStyle w:val="75"/>
            </w:pPr>
            <w:r>
              <w:rPr>
                <w:rFonts w:hint="eastAsia"/>
              </w:rPr>
              <w:t>（</w:t>
            </w:r>
            <w:r>
              <w:t>五</w:t>
            </w:r>
            <w:r>
              <w:rPr>
                <w:rFonts w:hint="eastAsia"/>
              </w:rPr>
              <w:t>）</w:t>
            </w:r>
            <w:r>
              <w:t>优化涉重金属行业结构和布局</w:t>
            </w:r>
          </w:p>
        </w:tc>
        <w:tc>
          <w:tcPr>
            <w:tcW w:w="2609" w:type="pct"/>
            <w:vAlign w:val="center"/>
          </w:tcPr>
          <w:p w14:paraId="5153C331">
            <w:pPr>
              <w:pStyle w:val="75"/>
              <w:jc w:val="both"/>
            </w:pPr>
            <w:r>
              <w:t>根据《产业结构调整指导目录》</w:t>
            </w:r>
            <w:r>
              <w:rPr>
                <w:rFonts w:hint="eastAsia"/>
              </w:rPr>
              <w:t>、</w:t>
            </w:r>
            <w:r>
              <w:t>《限期淘达产生严重污染环境的工业固体废物的落后生产工艺设备名录》等要求，依法淘汰涉重金属落后产能和化解过剩产能。严格执行生态环境保护等相关法规标准，推动经整改仍达不到要求的产能依法依规关闭退出，推动涉重金属产业集中优化发展，禁止低端落后产能向我市转移。</w:t>
            </w:r>
          </w:p>
        </w:tc>
        <w:tc>
          <w:tcPr>
            <w:tcW w:w="1195" w:type="pct"/>
            <w:vAlign w:val="center"/>
          </w:tcPr>
          <w:p w14:paraId="219B94CF">
            <w:pPr>
              <w:pStyle w:val="77"/>
              <w:ind w:firstLine="0" w:firstLineChars="0"/>
              <w:jc w:val="both"/>
            </w:pPr>
            <w:r>
              <w:t>本项目不属于淘汰涉重金属落后产能和化解过剩产能</w:t>
            </w:r>
            <w:r>
              <w:rPr>
                <w:rFonts w:hint="eastAsia"/>
              </w:rPr>
              <w:t>项目。</w:t>
            </w:r>
          </w:p>
        </w:tc>
        <w:tc>
          <w:tcPr>
            <w:tcW w:w="513" w:type="pct"/>
            <w:vMerge w:val="restart"/>
            <w:vAlign w:val="center"/>
          </w:tcPr>
          <w:p w14:paraId="68A896F9">
            <w:pPr>
              <w:pStyle w:val="75"/>
            </w:pPr>
            <w:r>
              <w:t>符合</w:t>
            </w:r>
          </w:p>
        </w:tc>
      </w:tr>
      <w:tr w14:paraId="73DE75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681" w:type="pct"/>
            <w:vMerge w:val="continue"/>
            <w:vAlign w:val="center"/>
          </w:tcPr>
          <w:p w14:paraId="0E8C1C53">
            <w:pPr>
              <w:pStyle w:val="75"/>
            </w:pPr>
          </w:p>
        </w:tc>
        <w:tc>
          <w:tcPr>
            <w:tcW w:w="2609" w:type="pct"/>
            <w:vAlign w:val="center"/>
          </w:tcPr>
          <w:p w14:paraId="302762BC">
            <w:pPr>
              <w:pStyle w:val="75"/>
              <w:jc w:val="both"/>
            </w:pPr>
            <w:r>
              <w:t>禁止新建用汞的电石法</w:t>
            </w:r>
            <w:r>
              <w:rPr>
                <w:rFonts w:hint="eastAsia"/>
              </w:rPr>
              <w:t>（</w:t>
            </w:r>
            <w:r>
              <w:t>聚</w:t>
            </w:r>
            <w:r>
              <w:rPr>
                <w:rFonts w:hint="eastAsia"/>
              </w:rPr>
              <w:t>）氯</w:t>
            </w:r>
            <w:r>
              <w:t>乙烯生产工艺。新建、扩建的重有色金属冶炼、电镀、制革企业选择布设在依法合规设立并经规划环评的产业园区。</w:t>
            </w:r>
          </w:p>
        </w:tc>
        <w:tc>
          <w:tcPr>
            <w:tcW w:w="1195" w:type="pct"/>
            <w:vAlign w:val="center"/>
          </w:tcPr>
          <w:p w14:paraId="7203A42E">
            <w:pPr>
              <w:pStyle w:val="77"/>
              <w:ind w:firstLine="0" w:firstLineChars="0"/>
              <w:jc w:val="both"/>
            </w:pPr>
            <w:r>
              <w:t>本项目</w:t>
            </w:r>
            <w:r>
              <w:rPr>
                <w:rFonts w:hint="eastAsia"/>
              </w:rPr>
              <w:t>为</w:t>
            </w:r>
            <w:r>
              <w:rPr>
                <w:rFonts w:hint="eastAsia"/>
                <w:lang w:val="en-US" w:eastAsia="zh-CN"/>
              </w:rPr>
              <w:t>电池制造</w:t>
            </w:r>
            <w:r>
              <w:rPr>
                <w:rFonts w:hint="eastAsia"/>
              </w:rPr>
              <w:t>，</w:t>
            </w:r>
            <w:r>
              <w:t>不涉及用汞的电石法(聚)</w:t>
            </w:r>
            <w:r>
              <w:rPr>
                <w:rFonts w:hint="eastAsia"/>
              </w:rPr>
              <w:t>氯</w:t>
            </w:r>
            <w:r>
              <w:t>乙烯生产工艺</w:t>
            </w:r>
          </w:p>
        </w:tc>
        <w:tc>
          <w:tcPr>
            <w:tcW w:w="513" w:type="pct"/>
            <w:vMerge w:val="continue"/>
            <w:vAlign w:val="center"/>
          </w:tcPr>
          <w:p w14:paraId="10BE6968">
            <w:pPr>
              <w:pStyle w:val="75"/>
            </w:pPr>
          </w:p>
        </w:tc>
      </w:tr>
      <w:tr w14:paraId="1B2EA5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7EC85953">
            <w:pPr>
              <w:pStyle w:val="75"/>
            </w:pPr>
            <w:r>
              <w:rPr>
                <w:rFonts w:hint="eastAsia"/>
              </w:rPr>
              <w:t>（</w:t>
            </w:r>
            <w:r>
              <w:t>六</w:t>
            </w:r>
            <w:r>
              <w:rPr>
                <w:rFonts w:hint="eastAsia"/>
              </w:rPr>
              <w:t>）</w:t>
            </w:r>
            <w:r>
              <w:t>加强涉重金属重点行业企业清洁生产改造</w:t>
            </w:r>
          </w:p>
        </w:tc>
        <w:tc>
          <w:tcPr>
            <w:tcW w:w="2609" w:type="pct"/>
            <w:vAlign w:val="center"/>
          </w:tcPr>
          <w:p w14:paraId="6717CA26">
            <w:pPr>
              <w:pStyle w:val="75"/>
              <w:jc w:val="both"/>
            </w:pPr>
            <w:r>
              <w:t>加强涉重金属重点行业清洁生产工艺的开发和应用，涉重金属重点行业企业</w:t>
            </w:r>
            <w:r>
              <w:rPr>
                <w:rFonts w:hint="eastAsia"/>
              </w:rPr>
              <w:t>“</w:t>
            </w:r>
            <w:r>
              <w:t>十四五</w:t>
            </w:r>
            <w:r>
              <w:rPr>
                <w:rFonts w:hint="eastAsia"/>
              </w:rPr>
              <w:t>”</w:t>
            </w:r>
            <w:r>
              <w:t>期间依法至少开展一轮强制性清洁生产审核。到2025年底，涉重金属重点行业企业基本达到国内清洁生产先进水平</w:t>
            </w:r>
            <w:r>
              <w:rPr>
                <w:rFonts w:hint="eastAsia"/>
              </w:rPr>
              <w:t>。</w:t>
            </w:r>
            <w:r>
              <w:t>加大重有色金属冶炼行业企业生产工艺设备清洁生产改造力度，积极推动铜冶炼转炉吹炼工艺提升改造。</w:t>
            </w:r>
          </w:p>
        </w:tc>
        <w:tc>
          <w:tcPr>
            <w:tcW w:w="1195" w:type="pct"/>
            <w:vAlign w:val="center"/>
          </w:tcPr>
          <w:p w14:paraId="16B2FD88">
            <w:pPr>
              <w:pStyle w:val="77"/>
              <w:ind w:firstLine="0" w:firstLineChars="0"/>
              <w:jc w:val="both"/>
              <w:rPr>
                <w:szCs w:val="21"/>
              </w:rPr>
            </w:pPr>
            <w:r>
              <w:t>本项目建成</w:t>
            </w:r>
            <w:r>
              <w:rPr>
                <w:rFonts w:hint="eastAsia"/>
              </w:rPr>
              <w:t>后将</w:t>
            </w:r>
            <w:r>
              <w:t>严格落实清洁生产审核制度，依法开展清洁生产，组织清洁生产审核评估验收。</w:t>
            </w:r>
          </w:p>
        </w:tc>
        <w:tc>
          <w:tcPr>
            <w:tcW w:w="513" w:type="pct"/>
            <w:vAlign w:val="center"/>
          </w:tcPr>
          <w:p w14:paraId="6BB50932">
            <w:pPr>
              <w:pStyle w:val="75"/>
            </w:pPr>
            <w:r>
              <w:t>符合</w:t>
            </w:r>
          </w:p>
        </w:tc>
      </w:tr>
      <w:tr w14:paraId="5D0FA2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678632E2">
            <w:pPr>
              <w:pStyle w:val="75"/>
              <w:jc w:val="left"/>
            </w:pPr>
            <w:r>
              <w:rPr>
                <w:rFonts w:hint="eastAsia"/>
              </w:rPr>
              <w:t>（</w:t>
            </w:r>
            <w:r>
              <w:t>七</w:t>
            </w:r>
            <w:r>
              <w:rPr>
                <w:rFonts w:hint="eastAsia"/>
              </w:rPr>
              <w:t>）</w:t>
            </w:r>
            <w:r>
              <w:t>推动重金属污染深度治理</w:t>
            </w:r>
          </w:p>
        </w:tc>
        <w:tc>
          <w:tcPr>
            <w:tcW w:w="2609" w:type="pct"/>
            <w:vAlign w:val="center"/>
          </w:tcPr>
          <w:p w14:paraId="225AEF81">
            <w:pPr>
              <w:pStyle w:val="75"/>
              <w:jc w:val="both"/>
            </w:pPr>
            <w:r>
              <w:t>按照大气污染防治要求，现有及新</w:t>
            </w:r>
            <w:r>
              <w:rPr>
                <w:rFonts w:hint="eastAsia"/>
              </w:rPr>
              <w:t>（</w:t>
            </w:r>
            <w:r>
              <w:t>改、扩</w:t>
            </w:r>
            <w:r>
              <w:rPr>
                <w:rFonts w:hint="eastAsia"/>
              </w:rPr>
              <w:t>）</w:t>
            </w:r>
            <w:r>
              <w:t>建铅锌冶炼和铜冶炼建设项目污染物全面执行国家大气污染物特别排放限制。重有色金属冶炼企业应加强生产车间低空逸散烟气收集处理，有放减少无组织排放。开展电镀行业重金属污染综合整治，推进专业电银企业重金属污染深度治理，排查取编非法电镀企业，提高电镀企业入园率，推动园区外专业电镀企业纳管排污。聚焦铅、镉等重金属污染物，研究推进重金属全生命周期环境管理，深入推进重点河流湖库、饮用水水源地、农田等环境敏感区城周边涉重金属企业污染综合治理。</w:t>
            </w:r>
          </w:p>
        </w:tc>
        <w:tc>
          <w:tcPr>
            <w:tcW w:w="1195" w:type="pct"/>
            <w:vAlign w:val="center"/>
          </w:tcPr>
          <w:p w14:paraId="15A2F4D1">
            <w:pPr>
              <w:pStyle w:val="77"/>
              <w:ind w:firstLine="0" w:firstLineChars="0"/>
              <w:jc w:val="both"/>
              <w:rPr>
                <w:szCs w:val="21"/>
              </w:rPr>
            </w:pPr>
            <w:r>
              <w:t>本项目属于</w:t>
            </w:r>
            <w:r>
              <w:rPr>
                <w:rFonts w:hint="eastAsia"/>
                <w:lang w:val="en-US" w:eastAsia="zh-CN"/>
              </w:rPr>
              <w:t>电池制造项目</w:t>
            </w:r>
            <w:r>
              <w:t>，不</w:t>
            </w:r>
            <w:r>
              <w:rPr>
                <w:rFonts w:hint="eastAsia"/>
              </w:rPr>
              <w:t>属于</w:t>
            </w:r>
            <w:r>
              <w:t>铅铸冶炼和铜冶炼建设项目</w:t>
            </w:r>
            <w:r>
              <w:rPr>
                <w:rFonts w:hint="eastAsia"/>
              </w:rPr>
              <w:t>，不属于</w:t>
            </w:r>
            <w:r>
              <w:t>重有色金属矿采选企业。</w:t>
            </w:r>
            <w:r>
              <w:rPr>
                <w:rFonts w:hint="eastAsia"/>
              </w:rPr>
              <w:t>项目涉重金属镍、铬，涉重金属废水经处理后全部回用，涉重金属危废全部委托有资质的危废处置单位处置，本项目不涉及重金属污染物的排放。</w:t>
            </w:r>
          </w:p>
        </w:tc>
        <w:tc>
          <w:tcPr>
            <w:tcW w:w="513" w:type="pct"/>
            <w:vAlign w:val="center"/>
          </w:tcPr>
          <w:p w14:paraId="2796BE4F">
            <w:pPr>
              <w:pStyle w:val="75"/>
            </w:pPr>
            <w:r>
              <w:t>符合</w:t>
            </w:r>
          </w:p>
        </w:tc>
      </w:tr>
      <w:tr w14:paraId="2D4DA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3BC7013E">
            <w:pPr>
              <w:pStyle w:val="75"/>
            </w:pPr>
            <w:r>
              <w:rPr>
                <w:rFonts w:hint="eastAsia"/>
              </w:rPr>
              <w:t>（</w:t>
            </w:r>
            <w:r>
              <w:t>八</w:t>
            </w:r>
            <w:r>
              <w:rPr>
                <w:rFonts w:hint="eastAsia"/>
              </w:rPr>
              <w:t>）</w:t>
            </w:r>
            <w:r>
              <w:t>开展涉重金属行业企业排查整治</w:t>
            </w:r>
          </w:p>
        </w:tc>
        <w:tc>
          <w:tcPr>
            <w:tcW w:w="2609" w:type="pct"/>
            <w:vAlign w:val="center"/>
          </w:tcPr>
          <w:p w14:paraId="5C876B2F">
            <w:pPr>
              <w:pStyle w:val="75"/>
              <w:jc w:val="both"/>
            </w:pPr>
            <w:r>
              <w:t>持续开展涉重金属行业企业排查整治。开展农用地土壤镉等重金属污染源头防治行动，持续推进耕地周边涉镉等重金属行业企业排查整治。以农用地土壤污染状况详查、重点行业企业用地土壤污染状况调查显示镉等重金属超标的区域或地块为重点，结合第二次全国污染源普查、建设项目环境影响评价、排污许可、粮食质量安全风险监测等最新数据，持续更新重点区域和污染源整治清单，需要开展综合整治的，编制整治方案，对完成整治的进行逐一验收。</w:t>
            </w:r>
          </w:p>
        </w:tc>
        <w:tc>
          <w:tcPr>
            <w:tcW w:w="1195" w:type="pct"/>
            <w:vAlign w:val="center"/>
          </w:tcPr>
          <w:p w14:paraId="5227C4BD">
            <w:pPr>
              <w:pStyle w:val="77"/>
              <w:ind w:firstLine="0" w:firstLineChars="0"/>
              <w:jc w:val="both"/>
              <w:rPr>
                <w:szCs w:val="21"/>
              </w:rPr>
            </w:pPr>
            <w:r>
              <w:rPr>
                <w:szCs w:val="21"/>
              </w:rPr>
              <w:t>本项目建成后按要求开展排查工作。</w:t>
            </w:r>
          </w:p>
        </w:tc>
        <w:tc>
          <w:tcPr>
            <w:tcW w:w="513" w:type="pct"/>
            <w:vAlign w:val="center"/>
          </w:tcPr>
          <w:p w14:paraId="5AB35841">
            <w:pPr>
              <w:pStyle w:val="75"/>
            </w:pPr>
            <w:r>
              <w:t>符合</w:t>
            </w:r>
          </w:p>
        </w:tc>
      </w:tr>
      <w:tr w14:paraId="0554E3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18285167">
            <w:pPr>
              <w:pStyle w:val="75"/>
            </w:pPr>
            <w:r>
              <w:rPr>
                <w:rFonts w:hint="eastAsia"/>
              </w:rPr>
              <w:t>（</w:t>
            </w:r>
            <w:r>
              <w:t>九</w:t>
            </w:r>
            <w:r>
              <w:rPr>
                <w:rFonts w:hint="eastAsia"/>
              </w:rPr>
              <w:t>）</w:t>
            </w:r>
            <w:r>
              <w:t>加强涉重金属固体废物环境管理</w:t>
            </w:r>
          </w:p>
        </w:tc>
        <w:tc>
          <w:tcPr>
            <w:tcW w:w="2609" w:type="pct"/>
            <w:vAlign w:val="center"/>
          </w:tcPr>
          <w:p w14:paraId="5DC7A7CB">
            <w:pPr>
              <w:pStyle w:val="75"/>
              <w:jc w:val="both"/>
            </w:pPr>
            <w:r>
              <w:t>加强重点行业企业废渣场环境管理，完善防渗漏、防流失、防扬散等措施。严格废铅蓄电池、冶炼灰渣等含重金属固体废物收集、贮存、转移、利用处置过程的环境管理，防止二次污染。</w:t>
            </w:r>
          </w:p>
        </w:tc>
        <w:tc>
          <w:tcPr>
            <w:tcW w:w="1195" w:type="pct"/>
            <w:vAlign w:val="center"/>
          </w:tcPr>
          <w:p w14:paraId="4F7D0C9C">
            <w:pPr>
              <w:pStyle w:val="77"/>
              <w:ind w:firstLine="0" w:firstLineChars="0"/>
              <w:jc w:val="both"/>
              <w:rPr>
                <w:szCs w:val="21"/>
              </w:rPr>
            </w:pPr>
            <w:r>
              <w:t>本项目含</w:t>
            </w:r>
            <w:r>
              <w:rPr>
                <w:rFonts w:hint="eastAsia"/>
              </w:rPr>
              <w:t>镍、含铬</w:t>
            </w:r>
            <w:r>
              <w:t>固体废物均收集贮存在密闭危废</w:t>
            </w:r>
            <w:r>
              <w:rPr>
                <w:rFonts w:hint="eastAsia"/>
              </w:rPr>
              <w:t>贮存间内，</w:t>
            </w:r>
            <w:r>
              <w:t>危废</w:t>
            </w:r>
            <w:r>
              <w:rPr>
                <w:rFonts w:hint="eastAsia"/>
              </w:rPr>
              <w:t>贮存间内按照</w:t>
            </w:r>
            <w:r>
              <w:t>防渗漏、防流失、防扬散等措施</w:t>
            </w:r>
            <w:r>
              <w:rPr>
                <w:rFonts w:hint="eastAsia"/>
              </w:rPr>
              <w:t>进行建设</w:t>
            </w:r>
            <w:r>
              <w:t>，避免二次污染</w:t>
            </w:r>
            <w:r>
              <w:rPr>
                <w:rFonts w:hint="eastAsia"/>
              </w:rPr>
              <w:t>。</w:t>
            </w:r>
          </w:p>
        </w:tc>
        <w:tc>
          <w:tcPr>
            <w:tcW w:w="513" w:type="pct"/>
            <w:vAlign w:val="center"/>
          </w:tcPr>
          <w:p w14:paraId="0B598BCD">
            <w:pPr>
              <w:pStyle w:val="75"/>
            </w:pPr>
            <w:r>
              <w:rPr>
                <w:snapToGrid w:val="0"/>
                <w:szCs w:val="24"/>
              </w:rPr>
              <w:t>符合</w:t>
            </w:r>
          </w:p>
        </w:tc>
      </w:tr>
      <w:tr w14:paraId="6754D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24B24A5E">
            <w:pPr>
              <w:pStyle w:val="75"/>
              <w:jc w:val="left"/>
            </w:pPr>
            <w:r>
              <w:rPr>
                <w:rFonts w:hint="eastAsia"/>
              </w:rPr>
              <w:t>（</w:t>
            </w:r>
            <w:r>
              <w:t>十</w:t>
            </w:r>
            <w:r>
              <w:rPr>
                <w:rFonts w:hint="eastAsia"/>
              </w:rPr>
              <w:t>）</w:t>
            </w:r>
            <w:r>
              <w:t>强化重金属污染监控预警</w:t>
            </w:r>
          </w:p>
        </w:tc>
        <w:tc>
          <w:tcPr>
            <w:tcW w:w="2609" w:type="pct"/>
            <w:vAlign w:val="center"/>
          </w:tcPr>
          <w:p w14:paraId="66DBB729">
            <w:pPr>
              <w:pStyle w:val="75"/>
              <w:jc w:val="both"/>
            </w:pPr>
            <w:r>
              <w:t>建立健全重金属污染监控预警体系，提升信息化监管水平。纳入大气、水污染物重点排污单位名录的涉镉等重金属的企业，应安装大气、水污染物排放自动监测设备，与生态环境部门监控设备联网，以监测数据核算颗粒物和重金属排放量。排放镉等重金属的企业，应依法对周边大气镉等重金属沉降及耕地土壤重金属进行定期监测，评估大气重金属沉降造成耕地土壤中镉等重金属累计的风险，并采取防控措施。逐步推进重点流域内有重金属污染风险的一、二级支流入干流前安装自动监测设备，实时对地表水水质进行监测。鼓励重点行业企业在重点部门和关键节点应用重金属污染物自动监测、视频监控和用电</w:t>
            </w:r>
            <w:r>
              <w:rPr>
                <w:rFonts w:hint="eastAsia"/>
              </w:rPr>
              <w:t>（</w:t>
            </w:r>
            <w:r>
              <w:t>能</w:t>
            </w:r>
            <w:r>
              <w:rPr>
                <w:rFonts w:hint="eastAsia"/>
              </w:rPr>
              <w:t>）</w:t>
            </w:r>
            <w:r>
              <w:t>监控等智能监控手段。</w:t>
            </w:r>
          </w:p>
        </w:tc>
        <w:tc>
          <w:tcPr>
            <w:tcW w:w="1195" w:type="pct"/>
            <w:vAlign w:val="center"/>
          </w:tcPr>
          <w:p w14:paraId="160E96E2">
            <w:pPr>
              <w:pStyle w:val="77"/>
              <w:ind w:firstLine="0" w:firstLineChars="0"/>
              <w:jc w:val="both"/>
              <w:rPr>
                <w:szCs w:val="21"/>
              </w:rPr>
            </w:pPr>
            <w:r>
              <w:t>本项目建成后按照环保要求建立重金属污染监控预警体系，提升信息化监管水平。</w:t>
            </w:r>
          </w:p>
        </w:tc>
        <w:tc>
          <w:tcPr>
            <w:tcW w:w="513" w:type="pct"/>
            <w:vAlign w:val="center"/>
          </w:tcPr>
          <w:p w14:paraId="48BF20A9">
            <w:pPr>
              <w:pStyle w:val="75"/>
            </w:pPr>
            <w:r>
              <w:t>符合</w:t>
            </w:r>
          </w:p>
        </w:tc>
      </w:tr>
      <w:tr w14:paraId="2982F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3C7A5B26">
            <w:pPr>
              <w:pStyle w:val="75"/>
              <w:jc w:val="left"/>
            </w:pPr>
            <w:r>
              <w:rPr>
                <w:rFonts w:hint="eastAsia"/>
              </w:rPr>
              <w:t>（</w:t>
            </w:r>
            <w:r>
              <w:t>十一</w:t>
            </w:r>
            <w:r>
              <w:rPr>
                <w:rFonts w:hint="eastAsia"/>
              </w:rPr>
              <w:t>）</w:t>
            </w:r>
            <w:r>
              <w:t>强化涉重金属执法监督力度</w:t>
            </w:r>
          </w:p>
        </w:tc>
        <w:tc>
          <w:tcPr>
            <w:tcW w:w="2609" w:type="pct"/>
            <w:vAlign w:val="center"/>
          </w:tcPr>
          <w:p w14:paraId="3D0797B9">
            <w:pPr>
              <w:pStyle w:val="75"/>
              <w:jc w:val="both"/>
            </w:pPr>
            <w:r>
              <w:t>将涉重金属重点行业企业及相关堆场等设施纳入</w:t>
            </w:r>
            <w:r>
              <w:rPr>
                <w:rFonts w:hint="eastAsia"/>
              </w:rPr>
              <w:t>“</w:t>
            </w:r>
            <w:r>
              <w:t>双随机、一公开</w:t>
            </w:r>
            <w:r>
              <w:rPr>
                <w:rFonts w:hint="eastAsia"/>
              </w:rPr>
              <w:t>”</w:t>
            </w:r>
            <w:r>
              <w:t>抽查检查对象范围，进行重点监管。加大排污许可证后监管力度，对重金属污染物实际排放量超出许可证排放量的企业依法依规处理。依法严厉打击超标排放、不正常运行污染治理设施、非法排放、倾例、收集、贮存、转移、利用、处置含重金属危险废物等违法违规行为，涉嫌犯罪的，依法移送公安机关依法追究刑事责任。</w:t>
            </w:r>
          </w:p>
        </w:tc>
        <w:tc>
          <w:tcPr>
            <w:tcW w:w="1195" w:type="pct"/>
            <w:vAlign w:val="center"/>
          </w:tcPr>
          <w:p w14:paraId="675462A8">
            <w:pPr>
              <w:pStyle w:val="77"/>
              <w:ind w:firstLine="0" w:firstLineChars="0"/>
              <w:jc w:val="both"/>
              <w:rPr>
                <w:szCs w:val="21"/>
              </w:rPr>
            </w:pPr>
            <w:r>
              <w:t>本项目</w:t>
            </w:r>
            <w:r>
              <w:rPr>
                <w:rFonts w:hint="eastAsia"/>
              </w:rPr>
              <w:t>将</w:t>
            </w:r>
            <w:r>
              <w:t>严格按照要求</w:t>
            </w:r>
            <w:r>
              <w:rPr>
                <w:rFonts w:hint="eastAsia"/>
              </w:rPr>
              <w:t>进行</w:t>
            </w:r>
            <w:r>
              <w:t>建设。</w:t>
            </w:r>
          </w:p>
        </w:tc>
        <w:tc>
          <w:tcPr>
            <w:tcW w:w="513" w:type="pct"/>
            <w:vAlign w:val="center"/>
          </w:tcPr>
          <w:p w14:paraId="2B59A7B1">
            <w:pPr>
              <w:pStyle w:val="75"/>
            </w:pPr>
            <w:r>
              <w:rPr>
                <w:snapToGrid w:val="0"/>
                <w:szCs w:val="24"/>
              </w:rPr>
              <w:t>符合</w:t>
            </w:r>
          </w:p>
        </w:tc>
      </w:tr>
      <w:tr w14:paraId="4289FB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pct"/>
            <w:vAlign w:val="center"/>
          </w:tcPr>
          <w:p w14:paraId="1F612304">
            <w:pPr>
              <w:pStyle w:val="75"/>
              <w:jc w:val="left"/>
            </w:pPr>
            <w:r>
              <w:rPr>
                <w:rFonts w:hint="eastAsia"/>
              </w:rPr>
              <w:t>（</w:t>
            </w:r>
            <w:r>
              <w:t>十二</w:t>
            </w:r>
            <w:r>
              <w:rPr>
                <w:rFonts w:hint="eastAsia"/>
              </w:rPr>
              <w:t>）</w:t>
            </w:r>
            <w:r>
              <w:t>强化涉重金属污染应急管理</w:t>
            </w:r>
          </w:p>
        </w:tc>
        <w:tc>
          <w:tcPr>
            <w:tcW w:w="2609" w:type="pct"/>
            <w:vAlign w:val="center"/>
          </w:tcPr>
          <w:p w14:paraId="6C891A68">
            <w:pPr>
              <w:pStyle w:val="75"/>
              <w:jc w:val="both"/>
            </w:pPr>
            <w:r>
              <w:t>重点行业企业应依法依规完善环境风险防范和环境安全隐患排查治理措施，制定环境应急预案，储备相关应急物资，定期开展应急演练。各县</w:t>
            </w:r>
            <w:r>
              <w:rPr>
                <w:rFonts w:hint="eastAsia"/>
              </w:rPr>
              <w:t>（</w:t>
            </w:r>
            <w:r>
              <w:t>市、区</w:t>
            </w:r>
            <w:r>
              <w:rPr>
                <w:rFonts w:hint="eastAsia"/>
              </w:rPr>
              <w:t>）</w:t>
            </w:r>
            <w:r>
              <w:t>生态环境部门结合</w:t>
            </w:r>
            <w:r>
              <w:rPr>
                <w:rFonts w:hint="eastAsia"/>
              </w:rPr>
              <w:t>“</w:t>
            </w:r>
            <w:r>
              <w:t>一河一策一图</w:t>
            </w:r>
            <w:r>
              <w:rPr>
                <w:rFonts w:hint="eastAsia"/>
              </w:rPr>
              <w:t>”</w:t>
            </w:r>
            <w:r>
              <w:t>，将涉重金属污染应急处置预案纳入本地突发环境应急预案，加强应急物资储备，定期开展应急演练，不断提升环境应急处置能力。加强涉危险废物涉重金属企业环境风险调查评估，实施分类分级风险管控。</w:t>
            </w:r>
          </w:p>
        </w:tc>
        <w:tc>
          <w:tcPr>
            <w:tcW w:w="1195" w:type="pct"/>
            <w:vAlign w:val="center"/>
          </w:tcPr>
          <w:p w14:paraId="62C6EC55">
            <w:pPr>
              <w:pStyle w:val="75"/>
              <w:jc w:val="both"/>
              <w:rPr>
                <w:snapToGrid w:val="0"/>
              </w:rPr>
            </w:pPr>
            <w:r>
              <w:t>本项目属于重点行业，建成后按要求开展环境风险防范和环境安全隐患排查治理工作，</w:t>
            </w:r>
            <w:r>
              <w:rPr>
                <w:rFonts w:hint="eastAsia"/>
              </w:rPr>
              <w:t>并</w:t>
            </w:r>
            <w:r>
              <w:t>制定环境应急预案并定期开展应急演练。</w:t>
            </w:r>
          </w:p>
        </w:tc>
        <w:tc>
          <w:tcPr>
            <w:tcW w:w="513" w:type="pct"/>
            <w:vAlign w:val="center"/>
          </w:tcPr>
          <w:p w14:paraId="04657018">
            <w:pPr>
              <w:pStyle w:val="75"/>
            </w:pPr>
            <w:r>
              <w:rPr>
                <w:snapToGrid w:val="0"/>
                <w:szCs w:val="24"/>
              </w:rPr>
              <w:t>符合</w:t>
            </w:r>
          </w:p>
        </w:tc>
      </w:tr>
    </w:tbl>
    <w:p w14:paraId="1B106845">
      <w:pPr>
        <w:ind w:firstLine="480"/>
        <w:rPr>
          <w:bCs/>
        </w:rPr>
      </w:pPr>
      <w:r>
        <w:rPr>
          <w:rFonts w:hint="eastAsia"/>
          <w:bCs/>
        </w:rPr>
        <w:t>由上表可知，本项目符合《新乡市“十四五”重金属污染防治工作方案》的相关要求。</w:t>
      </w:r>
    </w:p>
    <w:p w14:paraId="252C9B4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2.11.16《河南省进一步加强重金属污染污染防控工作方案》（豫环文（2022）90号相符性分析</w:t>
      </w:r>
    </w:p>
    <w:p w14:paraId="37515222">
      <w:pPr>
        <w:ind w:firstLine="480"/>
        <w:rPr>
          <w:bCs/>
        </w:rPr>
      </w:pPr>
      <w:r>
        <w:rPr>
          <w:rFonts w:hint="eastAsia"/>
          <w:bCs/>
        </w:rPr>
        <w:t>根据《河南省进一步加强重金属污染污染防控工作方案》（豫环文（2022）90号的内容，结合本项目的情况，该条例中涉及到本项目的内容与本项目实际情况的对比分析见下表。</w:t>
      </w:r>
    </w:p>
    <w:p w14:paraId="0765421C">
      <w:pPr>
        <w:pStyle w:val="38"/>
        <w:spacing w:before="240" w:after="120"/>
        <w:ind w:left="0" w:leftChars="0" w:firstLine="0" w:firstLineChars="0"/>
        <w:jc w:val="center"/>
        <w:rPr>
          <w:rFonts w:hint="eastAsia"/>
        </w:rPr>
      </w:pPr>
    </w:p>
    <w:p w14:paraId="0EC300D3">
      <w:pPr>
        <w:pStyle w:val="38"/>
        <w:spacing w:before="240" w:after="120"/>
        <w:ind w:left="0" w:leftChars="0" w:firstLine="0" w:firstLineChars="0"/>
        <w:jc w:val="center"/>
      </w:pPr>
      <w:r>
        <w:rPr>
          <w:rFonts w:hint="eastAsia"/>
        </w:rPr>
        <w:t>表</w:t>
      </w:r>
      <w:r>
        <w:rPr>
          <w:rFonts w:hint="eastAsia"/>
          <w:lang w:val="en-US" w:eastAsia="zh-CN"/>
        </w:rPr>
        <w:t xml:space="preserve">2.11-17 </w:t>
      </w:r>
      <w:r>
        <w:rPr>
          <w:rFonts w:hint="eastAsia"/>
        </w:rPr>
        <w:t xml:space="preserve"> </w:t>
      </w:r>
      <w:r>
        <w:rPr>
          <w:rFonts w:hint="eastAsia"/>
          <w:lang w:val="en-US" w:eastAsia="zh-CN"/>
        </w:rPr>
        <w:t xml:space="preserve">  </w:t>
      </w:r>
      <w:r>
        <w:rPr>
          <w:rFonts w:hint="eastAsia"/>
        </w:rPr>
        <w:t>与《</w:t>
      </w:r>
      <w:r>
        <w:rPr>
          <w:rFonts w:hint="eastAsia"/>
          <w:bCs/>
        </w:rPr>
        <w:t>河南省进一步加强重金属污染污染防控工作方案</w:t>
      </w:r>
      <w:r>
        <w:rPr>
          <w:rFonts w:hint="eastAsia"/>
        </w:rPr>
        <w:t>》对比分析</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5086"/>
        <w:gridCol w:w="1694"/>
        <w:gridCol w:w="861"/>
      </w:tblGrid>
      <w:tr w14:paraId="2093A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20" w:type="pct"/>
            <w:vAlign w:val="center"/>
          </w:tcPr>
          <w:p w14:paraId="45B295FF">
            <w:pPr>
              <w:pStyle w:val="81"/>
              <w:rPr>
                <w:color w:val="auto"/>
              </w:rPr>
            </w:pPr>
            <w:r>
              <w:rPr>
                <w:rFonts w:hint="eastAsia"/>
                <w:color w:val="auto"/>
              </w:rPr>
              <w:t>项目</w:t>
            </w:r>
          </w:p>
        </w:tc>
        <w:tc>
          <w:tcPr>
            <w:tcW w:w="2981" w:type="pct"/>
            <w:vAlign w:val="center"/>
          </w:tcPr>
          <w:p w14:paraId="6F312CC1">
            <w:pPr>
              <w:pStyle w:val="81"/>
              <w:rPr>
                <w:color w:val="auto"/>
              </w:rPr>
            </w:pPr>
            <w:r>
              <w:rPr>
                <w:rFonts w:hint="eastAsia"/>
                <w:color w:val="auto"/>
              </w:rPr>
              <w:t>实施方案</w:t>
            </w:r>
          </w:p>
        </w:tc>
        <w:tc>
          <w:tcPr>
            <w:tcW w:w="993" w:type="pct"/>
            <w:vAlign w:val="center"/>
          </w:tcPr>
          <w:p w14:paraId="4C8ECF24">
            <w:pPr>
              <w:pStyle w:val="81"/>
              <w:rPr>
                <w:color w:val="auto"/>
              </w:rPr>
            </w:pPr>
            <w:r>
              <w:rPr>
                <w:rFonts w:hint="eastAsia"/>
                <w:color w:val="auto"/>
              </w:rPr>
              <w:t>本项目建设情况</w:t>
            </w:r>
          </w:p>
        </w:tc>
        <w:tc>
          <w:tcPr>
            <w:tcW w:w="504" w:type="pct"/>
            <w:vAlign w:val="center"/>
          </w:tcPr>
          <w:p w14:paraId="1DAD68A1">
            <w:pPr>
              <w:pStyle w:val="81"/>
              <w:rPr>
                <w:color w:val="auto"/>
              </w:rPr>
            </w:pPr>
            <w:r>
              <w:rPr>
                <w:rFonts w:hint="eastAsia"/>
                <w:color w:val="auto"/>
              </w:rPr>
              <w:t>符合性</w:t>
            </w:r>
          </w:p>
        </w:tc>
      </w:tr>
      <w:tr w14:paraId="535C05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5B5732F1">
            <w:pPr>
              <w:pStyle w:val="75"/>
              <w:rPr>
                <w:bCs/>
                <w:snapToGrid w:val="0"/>
                <w:szCs w:val="24"/>
              </w:rPr>
            </w:pPr>
            <w:r>
              <w:rPr>
                <w:rFonts w:hint="eastAsia"/>
                <w:bCs/>
                <w:snapToGrid w:val="0"/>
                <w:szCs w:val="24"/>
              </w:rPr>
              <w:t>（一）完善全口径清单动态调整机制</w:t>
            </w:r>
          </w:p>
        </w:tc>
        <w:tc>
          <w:tcPr>
            <w:tcW w:w="2981" w:type="pct"/>
            <w:vAlign w:val="center"/>
          </w:tcPr>
          <w:p w14:paraId="3B4A340C">
            <w:pPr>
              <w:pStyle w:val="77"/>
              <w:ind w:firstLine="0" w:firstLineChars="0"/>
              <w:jc w:val="both"/>
              <w:rPr>
                <w:bCs/>
              </w:rPr>
            </w:pPr>
            <w:r>
              <w:rPr>
                <w:bCs/>
              </w:rPr>
              <w:t>全省各地生态环境部门全面排查本辖区内以工业固体废物为原料的</w:t>
            </w:r>
            <w:r>
              <w:rPr>
                <w:rFonts w:hint="eastAsia"/>
                <w:bCs/>
              </w:rPr>
              <w:t>锌</w:t>
            </w:r>
            <w:r>
              <w:rPr>
                <w:bCs/>
              </w:rPr>
              <w:t>无机化合物工业企业信息，将其纳入当地全口径涉重金属重点行业企业清单</w:t>
            </w:r>
            <w:r>
              <w:rPr>
                <w:rFonts w:hint="eastAsia"/>
                <w:bCs/>
              </w:rPr>
              <w:t>（</w:t>
            </w:r>
            <w:r>
              <w:rPr>
                <w:bCs/>
              </w:rPr>
              <w:t>以下简称全口径清单</w:t>
            </w:r>
            <w:r>
              <w:rPr>
                <w:rFonts w:hint="eastAsia"/>
                <w:bCs/>
              </w:rPr>
              <w:t>）；</w:t>
            </w:r>
            <w:r>
              <w:rPr>
                <w:bCs/>
              </w:rPr>
              <w:t>梳理排查以涉重金属重点行业企业为主的工业园区，建立涉重金属工业园区清单</w:t>
            </w:r>
            <w:r>
              <w:rPr>
                <w:rFonts w:hint="eastAsia"/>
                <w:bCs/>
              </w:rPr>
              <w:t>；</w:t>
            </w:r>
            <w:r>
              <w:rPr>
                <w:bCs/>
              </w:rPr>
              <w:t>及时增补新、改、扩建企业信息和漏报企业信息，动态更新全口径清单，并在市级生态环境局网站上公布，依法将涉重金属重点行业企业纳入重点排污单位名录。</w:t>
            </w:r>
          </w:p>
        </w:tc>
        <w:tc>
          <w:tcPr>
            <w:tcW w:w="993" w:type="pct"/>
            <w:vAlign w:val="center"/>
          </w:tcPr>
          <w:p w14:paraId="28BB8ACD">
            <w:pPr>
              <w:pStyle w:val="77"/>
              <w:ind w:firstLine="0" w:firstLineChars="0"/>
              <w:jc w:val="both"/>
              <w:rPr>
                <w:bCs/>
              </w:rPr>
            </w:pPr>
            <w:r>
              <w:rPr>
                <w:bCs/>
              </w:rPr>
              <w:t>本项目</w:t>
            </w:r>
            <w:r>
              <w:rPr>
                <w:rFonts w:hint="eastAsia"/>
                <w:bCs/>
              </w:rPr>
              <w:t>为</w:t>
            </w:r>
            <w:r>
              <w:rPr>
                <w:rFonts w:hint="eastAsia"/>
                <w:bCs/>
                <w:lang w:val="en-US" w:eastAsia="zh-CN"/>
              </w:rPr>
              <w:t>新</w:t>
            </w:r>
            <w:r>
              <w:rPr>
                <w:rFonts w:hint="eastAsia"/>
                <w:szCs w:val="21"/>
              </w:rPr>
              <w:t>建</w:t>
            </w:r>
            <w:r>
              <w:rPr>
                <w:rFonts w:hint="eastAsia"/>
                <w:bCs/>
              </w:rPr>
              <w:t>项目，属于涉重金属重点企业，不属于</w:t>
            </w:r>
            <w:r>
              <w:rPr>
                <w:bCs/>
              </w:rPr>
              <w:t>以工业固体废物为原料的</w:t>
            </w:r>
            <w:r>
              <w:rPr>
                <w:rFonts w:hint="eastAsia"/>
                <w:bCs/>
              </w:rPr>
              <w:t>锌</w:t>
            </w:r>
            <w:r>
              <w:rPr>
                <w:bCs/>
              </w:rPr>
              <w:t>无机化合物工业企业</w:t>
            </w:r>
            <w:r>
              <w:rPr>
                <w:rFonts w:hint="eastAsia"/>
                <w:bCs/>
              </w:rPr>
              <w:t>；项目建成后按要求办理排污许可证。</w:t>
            </w:r>
          </w:p>
        </w:tc>
        <w:tc>
          <w:tcPr>
            <w:tcW w:w="504" w:type="pct"/>
            <w:vAlign w:val="center"/>
          </w:tcPr>
          <w:p w14:paraId="3DC8972A">
            <w:pPr>
              <w:pStyle w:val="75"/>
              <w:rPr>
                <w:bCs/>
                <w:snapToGrid w:val="0"/>
                <w:szCs w:val="24"/>
              </w:rPr>
            </w:pPr>
            <w:r>
              <w:rPr>
                <w:rFonts w:hint="eastAsia"/>
                <w:bCs/>
                <w:snapToGrid w:val="0"/>
                <w:szCs w:val="24"/>
              </w:rPr>
              <w:t>符合</w:t>
            </w:r>
          </w:p>
        </w:tc>
      </w:tr>
      <w:tr w14:paraId="2DF5A8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0C3A4839">
            <w:pPr>
              <w:pStyle w:val="75"/>
              <w:jc w:val="left"/>
              <w:rPr>
                <w:bCs/>
                <w:snapToGrid w:val="0"/>
                <w:szCs w:val="24"/>
              </w:rPr>
            </w:pPr>
            <w:r>
              <w:rPr>
                <w:rFonts w:hint="eastAsia"/>
                <w:bCs/>
                <w:snapToGrid w:val="0"/>
                <w:szCs w:val="24"/>
              </w:rPr>
              <w:t>（二）加强重金属污染物减排分类管理</w:t>
            </w:r>
          </w:p>
        </w:tc>
        <w:tc>
          <w:tcPr>
            <w:tcW w:w="2981" w:type="pct"/>
            <w:vAlign w:val="center"/>
          </w:tcPr>
          <w:p w14:paraId="32F1624A">
            <w:pPr>
              <w:pStyle w:val="77"/>
              <w:ind w:firstLine="0" w:firstLineChars="0"/>
              <w:jc w:val="both"/>
              <w:rPr>
                <w:bCs/>
              </w:rPr>
            </w:pPr>
            <w:r>
              <w:rPr>
                <w:bCs/>
              </w:rPr>
              <w:t>根据重金属污染物排放量基数和减排潜力，确定减排目标</w:t>
            </w:r>
            <w:r>
              <w:rPr>
                <w:rFonts w:hint="eastAsia"/>
                <w:bCs/>
              </w:rPr>
              <w:t>；</w:t>
            </w:r>
            <w:r>
              <w:rPr>
                <w:bCs/>
              </w:rPr>
              <w:t>按重点区域、重点行业以及重点重金属，实施差别化减排政策</w:t>
            </w:r>
            <w:r>
              <w:rPr>
                <w:rFonts w:hint="eastAsia"/>
                <w:bCs/>
              </w:rPr>
              <w:t>。</w:t>
            </w:r>
            <w:r>
              <w:rPr>
                <w:bCs/>
              </w:rPr>
              <w:t>各地生态环境部门进一步摸排企业情况，挖掘减排潜力，以结构调整、升级改造和深度治理为主要手段，将减排任务目标落实到具体企业，推动实施一批重金属减排工程，持续减少重金属污染物排放</w:t>
            </w:r>
            <w:r>
              <w:rPr>
                <w:rFonts w:hint="eastAsia"/>
                <w:bCs/>
              </w:rPr>
              <w:t>。</w:t>
            </w:r>
          </w:p>
        </w:tc>
        <w:tc>
          <w:tcPr>
            <w:tcW w:w="993" w:type="pct"/>
            <w:vAlign w:val="center"/>
          </w:tcPr>
          <w:p w14:paraId="71547178">
            <w:pPr>
              <w:pStyle w:val="77"/>
              <w:ind w:firstLine="0" w:firstLineChars="0"/>
              <w:jc w:val="both"/>
              <w:rPr>
                <w:bCs/>
              </w:rPr>
            </w:pPr>
            <w:r>
              <w:rPr>
                <w:bCs/>
              </w:rPr>
              <w:t>本项目</w:t>
            </w:r>
            <w:r>
              <w:rPr>
                <w:rFonts w:hint="eastAsia"/>
                <w:bCs/>
              </w:rPr>
              <w:t>污染物经处理后能够实现重金属镍、铬零排放。</w:t>
            </w:r>
          </w:p>
        </w:tc>
        <w:tc>
          <w:tcPr>
            <w:tcW w:w="504" w:type="pct"/>
            <w:vAlign w:val="center"/>
          </w:tcPr>
          <w:p w14:paraId="4F91F876">
            <w:pPr>
              <w:pStyle w:val="75"/>
              <w:rPr>
                <w:bCs/>
                <w:snapToGrid w:val="0"/>
                <w:szCs w:val="24"/>
              </w:rPr>
            </w:pPr>
            <w:r>
              <w:rPr>
                <w:rFonts w:hint="eastAsia"/>
                <w:bCs/>
                <w:snapToGrid w:val="0"/>
                <w:szCs w:val="24"/>
              </w:rPr>
              <w:t>符合</w:t>
            </w:r>
          </w:p>
        </w:tc>
      </w:tr>
      <w:tr w14:paraId="135D5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443CC4C0">
            <w:pPr>
              <w:pStyle w:val="75"/>
              <w:jc w:val="left"/>
              <w:rPr>
                <w:bCs/>
                <w:snapToGrid w:val="0"/>
                <w:szCs w:val="24"/>
              </w:rPr>
            </w:pPr>
            <w:r>
              <w:rPr>
                <w:rFonts w:hint="eastAsia"/>
                <w:bCs/>
                <w:snapToGrid w:val="0"/>
                <w:szCs w:val="24"/>
              </w:rPr>
              <w:t>（三）严格涉重金属重点行业项目环境准入管理</w:t>
            </w:r>
          </w:p>
        </w:tc>
        <w:tc>
          <w:tcPr>
            <w:tcW w:w="2981" w:type="pct"/>
            <w:vAlign w:val="center"/>
          </w:tcPr>
          <w:p w14:paraId="6A54E545">
            <w:pPr>
              <w:pStyle w:val="77"/>
              <w:ind w:firstLine="0" w:firstLineChars="0"/>
              <w:jc w:val="both"/>
              <w:rPr>
                <w:bCs/>
              </w:rPr>
            </w:pPr>
            <w:r>
              <w:rPr>
                <w:bCs/>
              </w:rPr>
              <w:t>新、改、扩建涉重金属重点行业建设项目应符合</w:t>
            </w:r>
            <w:r>
              <w:rPr>
                <w:rFonts w:hint="eastAsia"/>
                <w:bCs/>
              </w:rPr>
              <w:t>“</w:t>
            </w:r>
            <w:r>
              <w:rPr>
                <w:bCs/>
              </w:rPr>
              <w:t>三线一单</w:t>
            </w:r>
            <w:r>
              <w:rPr>
                <w:rFonts w:hint="eastAsia"/>
                <w:bCs/>
              </w:rPr>
              <w:t>”</w:t>
            </w:r>
            <w:r>
              <w:rPr>
                <w:bCs/>
              </w:rPr>
              <w:t>、产业政策、区域环评、规划环评和行业环境准入管控要求。新、改、扩建涉重金属重点行业建设项目应遵循重点重金属污染物排放</w:t>
            </w:r>
            <w:r>
              <w:rPr>
                <w:rFonts w:hint="eastAsia"/>
                <w:bCs/>
              </w:rPr>
              <w:t>“</w:t>
            </w:r>
            <w:r>
              <w:rPr>
                <w:bCs/>
              </w:rPr>
              <w:t>减量替代</w:t>
            </w:r>
            <w:r>
              <w:rPr>
                <w:rFonts w:hint="eastAsia"/>
                <w:bCs/>
              </w:rPr>
              <w:t>”</w:t>
            </w:r>
            <w:r>
              <w:rPr>
                <w:bCs/>
              </w:rPr>
              <w:t>原则，国家重点区域的减量替代比例不低于1.5:1</w:t>
            </w:r>
            <w:r>
              <w:rPr>
                <w:rFonts w:hint="eastAsia"/>
                <w:bCs/>
              </w:rPr>
              <w:t>，</w:t>
            </w:r>
            <w:r>
              <w:rPr>
                <w:bCs/>
              </w:rPr>
              <w:t>省级重点区域的减量替代比例不低于1.2:1，其他区域的减量替代比例不低于1.1:1</w:t>
            </w:r>
          </w:p>
          <w:p w14:paraId="55EC7B01">
            <w:pPr>
              <w:pStyle w:val="77"/>
              <w:ind w:firstLine="0" w:firstLineChars="0"/>
              <w:jc w:val="both"/>
              <w:rPr>
                <w:bCs/>
              </w:rPr>
            </w:pPr>
            <w:r>
              <w:rPr>
                <w:bCs/>
              </w:rPr>
              <w:t>建设单位在提交环境影响评价文件时应明确重点重金属污染物排放总量及来源。无明确具体总量来源的，各级生态环境部门不得批准相关环境影响评价文件。总量来源原则上应是本省辖市内、同一重点行业内企业削减的重点重金属污染物排放量，当同一重点行业内企业削减量无法满足时可从其他重点行业调剂。严格涉重金属重点行业建设项目环境影响评价审批，审慎下放审批权限，不得以改革试点为名降低审批要求。建立环评审批与重金属总量管理部门的会商</w:t>
            </w:r>
            <w:r>
              <w:rPr>
                <w:rFonts w:hint="eastAsia"/>
                <w:bCs/>
              </w:rPr>
              <w:t>机制。</w:t>
            </w:r>
          </w:p>
        </w:tc>
        <w:tc>
          <w:tcPr>
            <w:tcW w:w="993" w:type="pct"/>
            <w:vAlign w:val="center"/>
          </w:tcPr>
          <w:p w14:paraId="6C37C7A0">
            <w:pPr>
              <w:pStyle w:val="77"/>
              <w:ind w:firstLine="0" w:firstLineChars="0"/>
              <w:jc w:val="both"/>
              <w:rPr>
                <w:bCs/>
              </w:rPr>
            </w:pPr>
            <w:r>
              <w:rPr>
                <w:bCs/>
              </w:rPr>
              <w:t>本项目</w:t>
            </w:r>
            <w:r>
              <w:rPr>
                <w:rFonts w:hint="eastAsia"/>
                <w:bCs/>
                <w:szCs w:val="21"/>
              </w:rPr>
              <w:t>涉及镍、铬重金属，属于重金属重点行业项目，符合“</w:t>
            </w:r>
            <w:r>
              <w:rPr>
                <w:bCs/>
              </w:rPr>
              <w:t>三线一单</w:t>
            </w:r>
            <w:r>
              <w:rPr>
                <w:rFonts w:hint="eastAsia"/>
                <w:bCs/>
                <w:szCs w:val="21"/>
              </w:rPr>
              <w:t>”</w:t>
            </w:r>
            <w:r>
              <w:rPr>
                <w:bCs/>
              </w:rPr>
              <w:t>、产业政策、区域环评、规划环评和行业环境准入管控要求</w:t>
            </w:r>
            <w:r>
              <w:rPr>
                <w:rFonts w:hint="eastAsia"/>
                <w:bCs/>
              </w:rPr>
              <w:t>；本项目建成后不涉及重金属污染物的排放。</w:t>
            </w:r>
          </w:p>
        </w:tc>
        <w:tc>
          <w:tcPr>
            <w:tcW w:w="504" w:type="pct"/>
            <w:vAlign w:val="center"/>
          </w:tcPr>
          <w:p w14:paraId="32F24567">
            <w:pPr>
              <w:pStyle w:val="75"/>
              <w:rPr>
                <w:bCs/>
                <w:snapToGrid w:val="0"/>
                <w:szCs w:val="24"/>
              </w:rPr>
            </w:pPr>
            <w:r>
              <w:rPr>
                <w:rFonts w:hint="eastAsia"/>
                <w:bCs/>
                <w:snapToGrid w:val="0"/>
                <w:szCs w:val="24"/>
              </w:rPr>
              <w:t>符合</w:t>
            </w:r>
          </w:p>
        </w:tc>
      </w:tr>
      <w:tr w14:paraId="5BCF37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7F2E69B7">
            <w:pPr>
              <w:pStyle w:val="75"/>
              <w:jc w:val="left"/>
              <w:rPr>
                <w:bCs/>
                <w:snapToGrid w:val="0"/>
                <w:szCs w:val="24"/>
              </w:rPr>
            </w:pPr>
            <w:r>
              <w:rPr>
                <w:rFonts w:hint="eastAsia"/>
                <w:bCs/>
                <w:snapToGrid w:val="0"/>
                <w:szCs w:val="24"/>
              </w:rPr>
              <w:t>（四）探索重金属污染物排放总量替代管理豁免</w:t>
            </w:r>
          </w:p>
        </w:tc>
        <w:tc>
          <w:tcPr>
            <w:tcW w:w="2981" w:type="pct"/>
            <w:vAlign w:val="center"/>
          </w:tcPr>
          <w:p w14:paraId="329A8672">
            <w:pPr>
              <w:pStyle w:val="77"/>
              <w:ind w:firstLine="0" w:firstLineChars="0"/>
              <w:jc w:val="both"/>
              <w:rPr>
                <w:bCs/>
              </w:rPr>
            </w:pPr>
            <w:r>
              <w:rPr>
                <w:bCs/>
              </w:rPr>
              <w:t>按照国家关于重金属污染物排放总量替代管理豁免要求，在统筹区域环境质量改善目标和重金属环境风险防控水平、高标准落实重金属污染治理要求并严格审批前提下，对实施国家重大发展战略直接相关的重点项目，可在环评审批程序实行重金属污染物排放总量替代管理豁免。对利用涉重金属固体废物的重点行业建设项目，特别是以历史遗留涉重金属固体废物为原料的，在满足利用固体废物种类、原料来源、建设地点、工艺设备和污染治理水平等必要条件并严格审批前提下，经省生态环境部门审核同意后，可在环评审批程序实行重金属污染物排放总量替代管理豁免</w:t>
            </w:r>
            <w:r>
              <w:rPr>
                <w:rFonts w:hint="eastAsia"/>
                <w:bCs/>
              </w:rPr>
              <w:t>。</w:t>
            </w:r>
          </w:p>
        </w:tc>
        <w:tc>
          <w:tcPr>
            <w:tcW w:w="993" w:type="pct"/>
            <w:vAlign w:val="center"/>
          </w:tcPr>
          <w:p w14:paraId="6D248BB8">
            <w:pPr>
              <w:pStyle w:val="77"/>
              <w:ind w:firstLine="0" w:firstLineChars="0"/>
              <w:jc w:val="both"/>
              <w:rPr>
                <w:bCs/>
              </w:rPr>
            </w:pPr>
            <w:r>
              <w:rPr>
                <w:bCs/>
              </w:rPr>
              <w:t>本项目</w:t>
            </w:r>
            <w:r>
              <w:rPr>
                <w:rFonts w:hint="eastAsia"/>
                <w:bCs/>
              </w:rPr>
              <w:t>经处理后能够实现重金属镍、铬零排放。</w:t>
            </w:r>
          </w:p>
        </w:tc>
        <w:tc>
          <w:tcPr>
            <w:tcW w:w="504" w:type="pct"/>
            <w:vAlign w:val="center"/>
          </w:tcPr>
          <w:p w14:paraId="2E10F68C">
            <w:pPr>
              <w:pStyle w:val="75"/>
              <w:rPr>
                <w:bCs/>
                <w:snapToGrid w:val="0"/>
                <w:szCs w:val="24"/>
              </w:rPr>
            </w:pPr>
            <w:r>
              <w:rPr>
                <w:rFonts w:hint="eastAsia"/>
                <w:bCs/>
                <w:snapToGrid w:val="0"/>
                <w:szCs w:val="24"/>
              </w:rPr>
              <w:t>符合</w:t>
            </w:r>
          </w:p>
        </w:tc>
      </w:tr>
      <w:tr w14:paraId="07A412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3790C66C">
            <w:pPr>
              <w:pStyle w:val="75"/>
              <w:jc w:val="left"/>
              <w:rPr>
                <w:bCs/>
                <w:snapToGrid w:val="0"/>
                <w:szCs w:val="24"/>
              </w:rPr>
            </w:pPr>
            <w:r>
              <w:rPr>
                <w:rFonts w:hint="eastAsia"/>
                <w:bCs/>
                <w:snapToGrid w:val="0"/>
                <w:szCs w:val="24"/>
              </w:rPr>
              <w:t>（五）推行企业重金属污染物排放总量控制制度</w:t>
            </w:r>
          </w:p>
        </w:tc>
        <w:tc>
          <w:tcPr>
            <w:tcW w:w="2981" w:type="pct"/>
            <w:vAlign w:val="center"/>
          </w:tcPr>
          <w:p w14:paraId="4818FB6B">
            <w:pPr>
              <w:pStyle w:val="77"/>
              <w:ind w:firstLine="0" w:firstLineChars="0"/>
              <w:jc w:val="both"/>
              <w:rPr>
                <w:bCs/>
              </w:rPr>
            </w:pPr>
            <w:r>
              <w:rPr>
                <w:bCs/>
              </w:rPr>
              <w:t>依法将涉重金属重点行业企业纳入排污许可管理。对于实施排污许可重点管理的企业，排污许可证应当明确重金属污染物排放种类、许可排放浓度、许可排放量等。各地生态环境部门应将重点行业减排企业重金属污染物排放总量要求落实到排污许可证，减排企业在执行国家和地方污染物排放标准的同时，应当遵守分解落实到本单位的重金属排放总量控制要求。重点行业企业适用的污染物排放标准、重点污染物总量控制要求发生变化，需要对排污许可证进行变更的，审批部门应依法对排污许可证相应事项进行变更，并载明削减措施、减排量，作为总量替代来源的还应载明出让量和出让去向。到2025年，企业排污许可证环境管理台账、自行监测和执行报告数据基本实现完整、可信，有效支撑重点行业企业排放量管理</w:t>
            </w:r>
            <w:r>
              <w:rPr>
                <w:rFonts w:hint="eastAsia"/>
                <w:bCs/>
              </w:rPr>
              <w:t>。</w:t>
            </w:r>
          </w:p>
        </w:tc>
        <w:tc>
          <w:tcPr>
            <w:tcW w:w="993" w:type="pct"/>
            <w:vAlign w:val="center"/>
          </w:tcPr>
          <w:p w14:paraId="01721E14">
            <w:pPr>
              <w:pStyle w:val="77"/>
              <w:ind w:firstLine="0" w:firstLineChars="0"/>
              <w:jc w:val="both"/>
              <w:rPr>
                <w:bCs/>
              </w:rPr>
            </w:pPr>
            <w:r>
              <w:rPr>
                <w:rFonts w:hint="eastAsia"/>
                <w:bCs/>
              </w:rPr>
              <w:t>本项目不涉及重金属污染物排放；项目建成后按要求办理排污许可证。</w:t>
            </w:r>
          </w:p>
        </w:tc>
        <w:tc>
          <w:tcPr>
            <w:tcW w:w="504" w:type="pct"/>
            <w:vAlign w:val="center"/>
          </w:tcPr>
          <w:p w14:paraId="11F88F74">
            <w:pPr>
              <w:pStyle w:val="75"/>
              <w:rPr>
                <w:bCs/>
                <w:snapToGrid w:val="0"/>
                <w:szCs w:val="24"/>
              </w:rPr>
            </w:pPr>
            <w:r>
              <w:rPr>
                <w:rFonts w:hint="eastAsia"/>
                <w:bCs/>
                <w:snapToGrid w:val="0"/>
                <w:szCs w:val="24"/>
              </w:rPr>
              <w:t>符合</w:t>
            </w:r>
          </w:p>
        </w:tc>
      </w:tr>
      <w:tr w14:paraId="502B2D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3C6F811D">
            <w:pPr>
              <w:pStyle w:val="75"/>
              <w:jc w:val="left"/>
              <w:rPr>
                <w:bCs/>
                <w:snapToGrid w:val="0"/>
                <w:szCs w:val="24"/>
              </w:rPr>
            </w:pPr>
            <w:r>
              <w:rPr>
                <w:rFonts w:hint="eastAsia"/>
                <w:bCs/>
                <w:snapToGrid w:val="0"/>
                <w:szCs w:val="24"/>
              </w:rPr>
              <w:t>（六）优化涉重金属行业结构和布局</w:t>
            </w:r>
          </w:p>
        </w:tc>
        <w:tc>
          <w:tcPr>
            <w:tcW w:w="2981" w:type="pct"/>
            <w:vAlign w:val="center"/>
          </w:tcPr>
          <w:p w14:paraId="1CB90A52">
            <w:pPr>
              <w:pStyle w:val="77"/>
              <w:ind w:firstLine="0" w:firstLineChars="0"/>
              <w:jc w:val="both"/>
              <w:rPr>
                <w:bCs/>
              </w:rPr>
            </w:pPr>
            <w:r>
              <w:rPr>
                <w:bCs/>
              </w:rPr>
              <w:t>根据《产业结构调整指导目录</w:t>
            </w:r>
            <w:r>
              <w:rPr>
                <w:rFonts w:hint="eastAsia"/>
                <w:bCs/>
              </w:rPr>
              <w:t>》、《</w:t>
            </w:r>
            <w:r>
              <w:rPr>
                <w:bCs/>
              </w:rPr>
              <w:t>限期淘汰产生严重污染环境的工业固体废物的落后生产工艺设备名录》等要求，依法淘汰涉重金属落后产能和化解过剩产能。严格执行生态环境保护等相关法规标准，推动经整改仍达不到要求的产能依法依规关问退出。推动涉重金属产业集中优化发展，禁止低端落后产能向我省转移。禁止新建用</w:t>
            </w:r>
            <w:r>
              <w:rPr>
                <w:rFonts w:hint="eastAsia"/>
                <w:bCs/>
              </w:rPr>
              <w:t>汞</w:t>
            </w:r>
            <w:r>
              <w:rPr>
                <w:bCs/>
              </w:rPr>
              <w:t>的电石法</w:t>
            </w:r>
            <w:r>
              <w:rPr>
                <w:rFonts w:hint="eastAsia"/>
                <w:bCs/>
              </w:rPr>
              <w:t>（</w:t>
            </w:r>
            <w:r>
              <w:rPr>
                <w:bCs/>
              </w:rPr>
              <w:t>聚</w:t>
            </w:r>
            <w:r>
              <w:rPr>
                <w:rFonts w:hint="eastAsia"/>
                <w:bCs/>
              </w:rPr>
              <w:t>）</w:t>
            </w:r>
            <w:r>
              <w:rPr>
                <w:bCs/>
              </w:rPr>
              <w:t>氯乙烯生产工艺。新建、扩建的重有色金属冶炼、电镀、制革企业应选择布设在依法合规设立并经规划环评的产业园区</w:t>
            </w:r>
            <w:r>
              <w:rPr>
                <w:rFonts w:hint="eastAsia"/>
                <w:bCs/>
              </w:rPr>
              <w:t>。</w:t>
            </w:r>
          </w:p>
        </w:tc>
        <w:tc>
          <w:tcPr>
            <w:tcW w:w="993" w:type="pct"/>
            <w:vAlign w:val="center"/>
          </w:tcPr>
          <w:p w14:paraId="01CDA03E">
            <w:pPr>
              <w:pStyle w:val="77"/>
              <w:ind w:firstLine="0" w:firstLineChars="0"/>
              <w:jc w:val="both"/>
              <w:rPr>
                <w:rFonts w:ascii="宋体" w:hAnsi="宋体"/>
                <w:bCs/>
              </w:rPr>
            </w:pPr>
            <w:r>
              <w:rPr>
                <w:rFonts w:hint="eastAsia" w:ascii="宋体" w:hAnsi="宋体"/>
                <w:bCs/>
              </w:rPr>
              <w:t>本项目为新能源电池配件的生产，属于</w:t>
            </w:r>
            <w:r>
              <w:rPr>
                <w:rFonts w:hint="eastAsia" w:ascii="宋体" w:hAnsi="宋体"/>
                <w:bCs/>
                <w:lang w:val="en-US" w:eastAsia="zh-CN"/>
              </w:rPr>
              <w:t>电池制造项目</w:t>
            </w:r>
            <w:r>
              <w:rPr>
                <w:rFonts w:hint="eastAsia" w:ascii="宋体" w:hAnsi="宋体"/>
                <w:bCs/>
              </w:rPr>
              <w:t>，项目位于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ascii="宋体" w:hAnsi="宋体"/>
                <w:bCs/>
              </w:rPr>
              <w:t>，符合园区规划建设；项目不属于</w:t>
            </w:r>
            <w:r>
              <w:rPr>
                <w:rFonts w:ascii="宋体" w:hAnsi="宋体"/>
                <w:bCs/>
              </w:rPr>
              <w:t>涉重金属落后产能和化解过剩产能</w:t>
            </w:r>
            <w:r>
              <w:rPr>
                <w:rFonts w:hint="eastAsia" w:ascii="宋体" w:hAnsi="宋体"/>
                <w:bCs/>
              </w:rPr>
              <w:t>项目；建成后严格执行</w:t>
            </w:r>
            <w:r>
              <w:rPr>
                <w:rFonts w:ascii="宋体" w:hAnsi="宋体"/>
                <w:bCs/>
              </w:rPr>
              <w:t>态环境保护等相关法规标准</w:t>
            </w:r>
            <w:r>
              <w:rPr>
                <w:rFonts w:hint="eastAsia" w:ascii="宋体" w:hAnsi="宋体"/>
                <w:bCs/>
              </w:rPr>
              <w:t>；本项目不涉及</w:t>
            </w:r>
            <w:r>
              <w:rPr>
                <w:rFonts w:ascii="宋体" w:hAnsi="宋体"/>
                <w:bCs/>
              </w:rPr>
              <w:t>用</w:t>
            </w:r>
            <w:r>
              <w:rPr>
                <w:rFonts w:hint="eastAsia" w:ascii="宋体" w:hAnsi="宋体"/>
                <w:bCs/>
              </w:rPr>
              <w:t>汞</w:t>
            </w:r>
            <w:r>
              <w:rPr>
                <w:rFonts w:ascii="宋体" w:hAnsi="宋体"/>
                <w:bCs/>
              </w:rPr>
              <w:t>的电石法</w:t>
            </w:r>
            <w:r>
              <w:rPr>
                <w:rFonts w:hint="eastAsia" w:ascii="宋体" w:hAnsi="宋体"/>
                <w:bCs/>
              </w:rPr>
              <w:t>（</w:t>
            </w:r>
            <w:r>
              <w:rPr>
                <w:rFonts w:ascii="宋体" w:hAnsi="宋体"/>
                <w:bCs/>
              </w:rPr>
              <w:t>聚</w:t>
            </w:r>
            <w:r>
              <w:rPr>
                <w:rFonts w:hint="eastAsia" w:ascii="宋体" w:hAnsi="宋体"/>
                <w:bCs/>
              </w:rPr>
              <w:t>）</w:t>
            </w:r>
            <w:r>
              <w:rPr>
                <w:rFonts w:ascii="宋体" w:hAnsi="宋体"/>
                <w:bCs/>
              </w:rPr>
              <w:t>氯乙烯生产工艺</w:t>
            </w:r>
            <w:r>
              <w:rPr>
                <w:rFonts w:hint="eastAsia" w:ascii="宋体" w:hAnsi="宋体"/>
                <w:bCs/>
              </w:rPr>
              <w:t>。</w:t>
            </w:r>
          </w:p>
        </w:tc>
        <w:tc>
          <w:tcPr>
            <w:tcW w:w="504" w:type="pct"/>
            <w:vAlign w:val="center"/>
          </w:tcPr>
          <w:p w14:paraId="488923B2">
            <w:pPr>
              <w:pStyle w:val="75"/>
              <w:rPr>
                <w:bCs/>
                <w:snapToGrid w:val="0"/>
                <w:szCs w:val="24"/>
              </w:rPr>
            </w:pPr>
            <w:r>
              <w:rPr>
                <w:rFonts w:hint="eastAsia"/>
                <w:bCs/>
                <w:snapToGrid w:val="0"/>
                <w:szCs w:val="24"/>
              </w:rPr>
              <w:t>符合</w:t>
            </w:r>
          </w:p>
        </w:tc>
      </w:tr>
      <w:tr w14:paraId="3CA24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238AA192">
            <w:pPr>
              <w:pStyle w:val="75"/>
              <w:jc w:val="left"/>
              <w:rPr>
                <w:bCs/>
                <w:snapToGrid w:val="0"/>
                <w:szCs w:val="24"/>
              </w:rPr>
            </w:pPr>
            <w:r>
              <w:rPr>
                <w:rFonts w:hint="eastAsia"/>
                <w:bCs/>
                <w:snapToGrid w:val="0"/>
                <w:szCs w:val="24"/>
              </w:rPr>
              <w:t>（七）加强涉重金属重点行业企业清洁生产改造</w:t>
            </w:r>
          </w:p>
        </w:tc>
        <w:tc>
          <w:tcPr>
            <w:tcW w:w="2981" w:type="pct"/>
            <w:vAlign w:val="center"/>
          </w:tcPr>
          <w:p w14:paraId="1865194F">
            <w:pPr>
              <w:pStyle w:val="75"/>
              <w:jc w:val="both"/>
              <w:rPr>
                <w:bCs/>
                <w:snapToGrid w:val="0"/>
                <w:szCs w:val="24"/>
              </w:rPr>
            </w:pPr>
            <w:r>
              <w:rPr>
                <w:bCs/>
              </w:rPr>
              <w:t>加强涉重金属重点行业清洁生产工艺的开发和应用。涉重金属重点行业企业</w:t>
            </w:r>
            <w:r>
              <w:rPr>
                <w:rFonts w:hint="eastAsia"/>
                <w:bCs/>
              </w:rPr>
              <w:t>“</w:t>
            </w:r>
            <w:r>
              <w:rPr>
                <w:bCs/>
              </w:rPr>
              <w:t>十四五</w:t>
            </w:r>
            <w:r>
              <w:rPr>
                <w:rFonts w:hint="eastAsia"/>
                <w:bCs/>
              </w:rPr>
              <w:t>”</w:t>
            </w:r>
            <w:r>
              <w:rPr>
                <w:bCs/>
              </w:rPr>
              <w:t>期间依法至少开展一轮强制性清洁生产审核。到2025年底，涉重金属重点行业企业基本达到国内清洁生产先进水平。加强重金属污染源头防控，减少使用高俑、高石中或高位的矿石原料。力口大重有色金属冶炼行业企业生产工艺设备清洁生产改造力度，积极推动竖罐炼特设备替代改造和铜冶炼转炉吹炼工艺提升改造。电石法</w:t>
            </w:r>
            <w:r>
              <w:rPr>
                <w:rFonts w:hint="eastAsia"/>
                <w:bCs/>
              </w:rPr>
              <w:t>（</w:t>
            </w:r>
            <w:r>
              <w:rPr>
                <w:bCs/>
              </w:rPr>
              <w:t>聚</w:t>
            </w:r>
            <w:r>
              <w:rPr>
                <w:rFonts w:hint="eastAsia"/>
                <w:bCs/>
              </w:rPr>
              <w:t>）</w:t>
            </w:r>
            <w:r>
              <w:rPr>
                <w:bCs/>
              </w:rPr>
              <w:t>氯乙烯生产企业生产每吨聚氯乙烯用求量不得超过49.14克，并确保持续稳中有降</w:t>
            </w:r>
            <w:r>
              <w:rPr>
                <w:rFonts w:hint="eastAsia"/>
                <w:bCs/>
              </w:rPr>
              <w:t>。</w:t>
            </w:r>
          </w:p>
        </w:tc>
        <w:tc>
          <w:tcPr>
            <w:tcW w:w="993" w:type="pct"/>
            <w:vAlign w:val="center"/>
          </w:tcPr>
          <w:p w14:paraId="7988B92C">
            <w:pPr>
              <w:pStyle w:val="77"/>
              <w:ind w:firstLine="0" w:firstLineChars="0"/>
              <w:jc w:val="both"/>
              <w:rPr>
                <w:rFonts w:ascii="宋体" w:hAnsi="宋体"/>
                <w:bCs/>
              </w:rPr>
            </w:pPr>
            <w:r>
              <w:rPr>
                <w:rFonts w:ascii="宋体" w:hAnsi="宋体"/>
                <w:bCs/>
              </w:rPr>
              <w:t>本项目建成</w:t>
            </w:r>
            <w:r>
              <w:rPr>
                <w:rFonts w:hint="eastAsia" w:ascii="宋体" w:hAnsi="宋体"/>
                <w:bCs/>
              </w:rPr>
              <w:t>后</w:t>
            </w:r>
            <w:r>
              <w:rPr>
                <w:rFonts w:ascii="宋体" w:hAnsi="宋体"/>
                <w:bCs/>
              </w:rPr>
              <w:t>严格落实清洁生产审核制度，依法开展清洁生产，组织清洁生产审核评估验收。</w:t>
            </w:r>
          </w:p>
        </w:tc>
        <w:tc>
          <w:tcPr>
            <w:tcW w:w="504" w:type="pct"/>
            <w:vAlign w:val="center"/>
          </w:tcPr>
          <w:p w14:paraId="0D34C626">
            <w:pPr>
              <w:pStyle w:val="75"/>
              <w:rPr>
                <w:bCs/>
                <w:snapToGrid w:val="0"/>
                <w:szCs w:val="24"/>
              </w:rPr>
            </w:pPr>
            <w:r>
              <w:rPr>
                <w:rFonts w:hint="eastAsia"/>
                <w:bCs/>
                <w:snapToGrid w:val="0"/>
                <w:szCs w:val="24"/>
              </w:rPr>
              <w:t>符合</w:t>
            </w:r>
          </w:p>
        </w:tc>
      </w:tr>
      <w:tr w14:paraId="4D6F8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38BE15B6">
            <w:pPr>
              <w:pStyle w:val="75"/>
              <w:jc w:val="left"/>
              <w:rPr>
                <w:bCs/>
                <w:snapToGrid w:val="0"/>
                <w:szCs w:val="24"/>
              </w:rPr>
            </w:pPr>
            <w:r>
              <w:rPr>
                <w:rFonts w:hint="eastAsia"/>
                <w:bCs/>
              </w:rPr>
              <w:t>（</w:t>
            </w:r>
            <w:r>
              <w:rPr>
                <w:bCs/>
              </w:rPr>
              <w:t>八</w:t>
            </w:r>
            <w:r>
              <w:rPr>
                <w:rFonts w:hint="eastAsia"/>
                <w:bCs/>
              </w:rPr>
              <w:t>）</w:t>
            </w:r>
            <w:r>
              <w:rPr>
                <w:bCs/>
              </w:rPr>
              <w:t>推动重金属污染深度治理</w:t>
            </w:r>
          </w:p>
        </w:tc>
        <w:tc>
          <w:tcPr>
            <w:tcW w:w="2981" w:type="pct"/>
            <w:vAlign w:val="center"/>
          </w:tcPr>
          <w:p w14:paraId="6F53B45E">
            <w:pPr>
              <w:pStyle w:val="75"/>
              <w:jc w:val="both"/>
              <w:rPr>
                <w:bCs/>
                <w:snapToGrid w:val="0"/>
                <w:szCs w:val="24"/>
              </w:rPr>
            </w:pPr>
            <w:r>
              <w:rPr>
                <w:bCs/>
              </w:rPr>
              <w:t>按照大气污染防治要求，现有及新</w:t>
            </w:r>
            <w:r>
              <w:rPr>
                <w:rFonts w:hint="eastAsia"/>
                <w:bCs/>
              </w:rPr>
              <w:t>（</w:t>
            </w:r>
            <w:r>
              <w:rPr>
                <w:bCs/>
              </w:rPr>
              <w:t>改、扩</w:t>
            </w:r>
            <w:r>
              <w:rPr>
                <w:rFonts w:hint="eastAsia"/>
                <w:bCs/>
              </w:rPr>
              <w:t>）</w:t>
            </w:r>
            <w:r>
              <w:rPr>
                <w:bCs/>
              </w:rPr>
              <w:t>建铅铸冶炼和铜冶炼建设项目污染物全面执行国家大气污染物特别排放限值。同时，加快制定河南省铅钟冶炼和铜冶炼等涉重金属排放建设项目地方大气污染物排放标准。重有色金属冶炼企业应加强生产车间低空逸散烟气收集处理，有效减少无组织排放。重有色金属矿采选企业要按照规定完善废石堆场、排土场周边雨污分流设施，建设酸性废水收集与处理设施，处理达标后，确需向外环境排放的，应按照入河排污口设置审批要求，取得批准文件。同时应建立自动监测监控设施，建设满足事故处置要求的应急池，保障水环境安全。采用洒水、旋风等简易除尘治理工艺的重有色金属矿采选企业，应加强废气收集，实施过滤除尘等颗粒物治理升级改造工程。开展电镀行业重金属污染综合整治，推进专业电镀园区、专业电镀企业重金属污染深度治理，排查取缔非法电镀企业，提高电镀企业入园率，推动园区外专业电镀企业纳管排污。排放录及采化合物的企业应当采用最佳可行技术和最佳环境实践，控制并减少录及求化合物的排放和释放。聚焦铅、录、铺等重金属污染物，研究推进重金属全生命周期环境管理，深入推进重点河流湖库、饮用水水源地、农田等环境敏感区域周边涉重金属企业污染综合治理</w:t>
            </w:r>
            <w:r>
              <w:rPr>
                <w:rFonts w:hint="eastAsia"/>
                <w:bCs/>
              </w:rPr>
              <w:t>。</w:t>
            </w:r>
          </w:p>
        </w:tc>
        <w:tc>
          <w:tcPr>
            <w:tcW w:w="993" w:type="pct"/>
            <w:vAlign w:val="center"/>
          </w:tcPr>
          <w:p w14:paraId="793B5E66">
            <w:pPr>
              <w:pStyle w:val="77"/>
              <w:ind w:firstLine="0" w:firstLineChars="0"/>
              <w:jc w:val="both"/>
              <w:rPr>
                <w:bCs/>
              </w:rPr>
            </w:pPr>
            <w:r>
              <w:rPr>
                <w:rFonts w:hint="eastAsia"/>
                <w:bCs/>
              </w:rPr>
              <w:t>本项目属于</w:t>
            </w:r>
            <w:r>
              <w:rPr>
                <w:rFonts w:hint="eastAsia"/>
                <w:bCs/>
                <w:lang w:val="en-US" w:eastAsia="zh-CN"/>
              </w:rPr>
              <w:t>电池制造项目</w:t>
            </w:r>
            <w:r>
              <w:rPr>
                <w:rFonts w:hint="eastAsia"/>
                <w:bCs/>
              </w:rPr>
              <w:t>，不属于</w:t>
            </w:r>
            <w:r>
              <w:rPr>
                <w:bCs/>
              </w:rPr>
              <w:t>铅铸冶炼和铜冶炼建设项目</w:t>
            </w:r>
            <w:r>
              <w:rPr>
                <w:rFonts w:hint="eastAsia"/>
                <w:bCs/>
              </w:rPr>
              <w:t>和</w:t>
            </w:r>
            <w:r>
              <w:rPr>
                <w:bCs/>
              </w:rPr>
              <w:t>重有色金属矿采选企业</w:t>
            </w:r>
            <w:r>
              <w:rPr>
                <w:rFonts w:hint="eastAsia"/>
                <w:bCs/>
              </w:rPr>
              <w:t>。项目为新能源电池配件的生产，位于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ascii="宋体" w:hAnsi="宋体"/>
                <w:bCs/>
              </w:rPr>
              <w:t>，符合园区规划建设。</w:t>
            </w:r>
          </w:p>
        </w:tc>
        <w:tc>
          <w:tcPr>
            <w:tcW w:w="504" w:type="pct"/>
            <w:vAlign w:val="center"/>
          </w:tcPr>
          <w:p w14:paraId="75A170C1">
            <w:pPr>
              <w:pStyle w:val="75"/>
              <w:rPr>
                <w:bCs/>
                <w:snapToGrid w:val="0"/>
                <w:szCs w:val="24"/>
              </w:rPr>
            </w:pPr>
            <w:r>
              <w:rPr>
                <w:rFonts w:hint="eastAsia"/>
                <w:bCs/>
                <w:snapToGrid w:val="0"/>
                <w:szCs w:val="24"/>
              </w:rPr>
              <w:t>符合</w:t>
            </w:r>
          </w:p>
        </w:tc>
      </w:tr>
      <w:tr w14:paraId="24ECA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4A79C774">
            <w:pPr>
              <w:pStyle w:val="75"/>
              <w:jc w:val="left"/>
              <w:rPr>
                <w:bCs/>
                <w:snapToGrid w:val="0"/>
                <w:szCs w:val="24"/>
              </w:rPr>
            </w:pPr>
            <w:r>
              <w:rPr>
                <w:rFonts w:hint="eastAsia"/>
                <w:bCs/>
              </w:rPr>
              <w:t>（</w:t>
            </w:r>
            <w:r>
              <w:rPr>
                <w:bCs/>
              </w:rPr>
              <w:t>九</w:t>
            </w:r>
            <w:r>
              <w:rPr>
                <w:rFonts w:hint="eastAsia"/>
                <w:bCs/>
              </w:rPr>
              <w:t>）</w:t>
            </w:r>
            <w:r>
              <w:rPr>
                <w:bCs/>
              </w:rPr>
              <w:t>开展涉重金属行业企业排查整治</w:t>
            </w:r>
          </w:p>
        </w:tc>
        <w:tc>
          <w:tcPr>
            <w:tcW w:w="2981" w:type="pct"/>
            <w:vAlign w:val="center"/>
          </w:tcPr>
          <w:p w14:paraId="3CE585B5">
            <w:pPr>
              <w:pStyle w:val="75"/>
              <w:jc w:val="both"/>
              <w:rPr>
                <w:bCs/>
                <w:snapToGrid w:val="0"/>
                <w:szCs w:val="24"/>
              </w:rPr>
            </w:pPr>
            <w:r>
              <w:rPr>
                <w:bCs/>
              </w:rPr>
              <w:t>持续开展涉重金属行业企业排查整治。全面排查涉</w:t>
            </w:r>
            <w:r>
              <w:rPr>
                <w:rFonts w:hint="eastAsia"/>
                <w:bCs/>
              </w:rPr>
              <w:t>铊</w:t>
            </w:r>
            <w:r>
              <w:rPr>
                <w:bCs/>
              </w:rPr>
              <w:t>企业，指导督促涉位企业建立</w:t>
            </w:r>
            <w:r>
              <w:rPr>
                <w:rFonts w:hint="eastAsia"/>
                <w:bCs/>
              </w:rPr>
              <w:t>铊</w:t>
            </w:r>
            <w:r>
              <w:rPr>
                <w:bCs/>
              </w:rPr>
              <w:t>污染风险问题台账并制定问题整改方案。开展重有色金属冶炼、钢铁等典型涉</w:t>
            </w:r>
            <w:r>
              <w:rPr>
                <w:rFonts w:hint="eastAsia"/>
                <w:bCs/>
              </w:rPr>
              <w:t>铊</w:t>
            </w:r>
            <w:r>
              <w:rPr>
                <w:bCs/>
              </w:rPr>
              <w:t>企业废水治理设施除位升级改造，严格执行车间或生产设施废水排放口达标要求。各地生态环境部门构建涉</w:t>
            </w:r>
            <w:r>
              <w:rPr>
                <w:rFonts w:hint="eastAsia"/>
                <w:bCs/>
              </w:rPr>
              <w:t>铊</w:t>
            </w:r>
            <w:r>
              <w:rPr>
                <w:bCs/>
              </w:rPr>
              <w:t>企业全链条</w:t>
            </w:r>
            <w:r>
              <w:rPr>
                <w:rFonts w:hint="eastAsia"/>
                <w:bCs/>
              </w:rPr>
              <w:t>闭</w:t>
            </w:r>
            <w:r>
              <w:rPr>
                <w:bCs/>
              </w:rPr>
              <w:t>环管理体系，督促企业对矿石原料、主副产品和生产废物中位成分进行检测分析，实现</w:t>
            </w:r>
            <w:r>
              <w:rPr>
                <w:rFonts w:hint="eastAsia"/>
                <w:bCs/>
              </w:rPr>
              <w:t>铊</w:t>
            </w:r>
            <w:r>
              <w:rPr>
                <w:bCs/>
              </w:rPr>
              <w:t>元素可核算可追踪。开展农用地土壤</w:t>
            </w:r>
            <w:r>
              <w:rPr>
                <w:rFonts w:hint="eastAsia"/>
                <w:bCs/>
              </w:rPr>
              <w:t>镉</w:t>
            </w:r>
            <w:r>
              <w:rPr>
                <w:bCs/>
              </w:rPr>
              <w:t>等重金属污染源头防治行动</w:t>
            </w:r>
            <w:r>
              <w:rPr>
                <w:rFonts w:hint="eastAsia"/>
                <w:bCs/>
              </w:rPr>
              <w:t>，</w:t>
            </w:r>
            <w:r>
              <w:rPr>
                <w:bCs/>
              </w:rPr>
              <w:t>持续推进耕地周边涉铺等重金属行业企业排查整治。以农用地土壤污染状况详查、重点行业企业用地土壤污染状况调查显示</w:t>
            </w:r>
            <w:r>
              <w:rPr>
                <w:rFonts w:hint="eastAsia"/>
                <w:bCs/>
              </w:rPr>
              <w:t>镉</w:t>
            </w:r>
            <w:r>
              <w:rPr>
                <w:bCs/>
              </w:rPr>
              <w:t>等重金属超标的区域或地块为重点，结合第二次全国污染源普查、建设项目环境影响评价、排污许可、粮食质量安全风险监测等最新数据，持续更新重点区域和污染源整治清单，需要开展综合整治的，编制整治方案，对完成整治的进行逐一验收。以洛阳市、安阳市、三门峡市、济源示范区等治理任务较重的地区为重点，开展污染源头防控成效评估工作。</w:t>
            </w:r>
          </w:p>
        </w:tc>
        <w:tc>
          <w:tcPr>
            <w:tcW w:w="993" w:type="pct"/>
            <w:vAlign w:val="center"/>
          </w:tcPr>
          <w:p w14:paraId="4C473F0E">
            <w:pPr>
              <w:pStyle w:val="77"/>
              <w:ind w:firstLine="0" w:firstLineChars="0"/>
              <w:jc w:val="both"/>
              <w:rPr>
                <w:bCs/>
              </w:rPr>
            </w:pPr>
            <w:r>
              <w:rPr>
                <w:rFonts w:hint="eastAsia"/>
                <w:bCs/>
              </w:rPr>
              <w:t>本项目不属于</w:t>
            </w:r>
            <w:r>
              <w:rPr>
                <w:bCs/>
              </w:rPr>
              <w:t>涉</w:t>
            </w:r>
            <w:r>
              <w:rPr>
                <w:rFonts w:hint="eastAsia"/>
                <w:bCs/>
              </w:rPr>
              <w:t>铊</w:t>
            </w:r>
            <w:r>
              <w:rPr>
                <w:bCs/>
              </w:rPr>
              <w:t>企业</w:t>
            </w:r>
            <w:r>
              <w:rPr>
                <w:rFonts w:hint="eastAsia"/>
                <w:bCs/>
              </w:rPr>
              <w:t>和</w:t>
            </w:r>
            <w:r>
              <w:rPr>
                <w:bCs/>
              </w:rPr>
              <w:t>重有色金属冶炼、钢铁等典型涉</w:t>
            </w:r>
            <w:r>
              <w:rPr>
                <w:rFonts w:hint="eastAsia"/>
                <w:bCs/>
              </w:rPr>
              <w:t>铊</w:t>
            </w:r>
            <w:r>
              <w:rPr>
                <w:bCs/>
              </w:rPr>
              <w:t>企业</w:t>
            </w:r>
            <w:r>
              <w:rPr>
                <w:rFonts w:hint="eastAsia"/>
                <w:bCs/>
              </w:rPr>
              <w:t>。</w:t>
            </w:r>
          </w:p>
        </w:tc>
        <w:tc>
          <w:tcPr>
            <w:tcW w:w="504" w:type="pct"/>
            <w:vAlign w:val="center"/>
          </w:tcPr>
          <w:p w14:paraId="644ACECE">
            <w:pPr>
              <w:pStyle w:val="75"/>
              <w:rPr>
                <w:bCs/>
                <w:snapToGrid w:val="0"/>
                <w:szCs w:val="24"/>
              </w:rPr>
            </w:pPr>
            <w:r>
              <w:rPr>
                <w:rFonts w:hint="eastAsia"/>
                <w:bCs/>
                <w:snapToGrid w:val="0"/>
                <w:szCs w:val="24"/>
              </w:rPr>
              <w:t>符合</w:t>
            </w:r>
          </w:p>
        </w:tc>
      </w:tr>
      <w:tr w14:paraId="18602D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25383158">
            <w:pPr>
              <w:pStyle w:val="75"/>
              <w:jc w:val="left"/>
              <w:rPr>
                <w:bCs/>
                <w:snapToGrid w:val="0"/>
                <w:szCs w:val="24"/>
              </w:rPr>
            </w:pPr>
            <w:r>
              <w:rPr>
                <w:rFonts w:hint="eastAsia"/>
                <w:bCs/>
              </w:rPr>
              <w:t>（</w:t>
            </w:r>
            <w:r>
              <w:rPr>
                <w:bCs/>
              </w:rPr>
              <w:t>十</w:t>
            </w:r>
            <w:r>
              <w:rPr>
                <w:rFonts w:hint="eastAsia"/>
                <w:bCs/>
              </w:rPr>
              <w:t>）</w:t>
            </w:r>
            <w:r>
              <w:rPr>
                <w:bCs/>
              </w:rPr>
              <w:t>加强涉重金属固体废物环境管理</w:t>
            </w:r>
          </w:p>
        </w:tc>
        <w:tc>
          <w:tcPr>
            <w:tcW w:w="2981" w:type="pct"/>
            <w:vAlign w:val="center"/>
          </w:tcPr>
          <w:p w14:paraId="77C9CDF7">
            <w:pPr>
              <w:pStyle w:val="75"/>
              <w:jc w:val="both"/>
              <w:rPr>
                <w:bCs/>
                <w:snapToGrid w:val="0"/>
                <w:szCs w:val="24"/>
              </w:rPr>
            </w:pPr>
            <w:r>
              <w:rPr>
                <w:bCs/>
              </w:rPr>
              <w:t>加强重点行业企业废渣场环境管理，完善防渗漏、防流失、防扬散等措施。加强尾矿污染防控，以黄河流域、丹江口库区及上游为重点，全面开展尾矿库污染治理。推动辞湿法冶炼工艺按有关规定配套建设浸出渣无害化处理系统及硫渣处理设施。严格废铅蓄电池、冶炼灰渣、钢厂烟灰等含重金属固体废物收集、贮存、转移、利用处置过程的环境管理，防止二次污染</w:t>
            </w:r>
            <w:r>
              <w:rPr>
                <w:rFonts w:hint="eastAsia"/>
                <w:bCs/>
              </w:rPr>
              <w:t>。</w:t>
            </w:r>
          </w:p>
        </w:tc>
        <w:tc>
          <w:tcPr>
            <w:tcW w:w="993" w:type="pct"/>
            <w:vAlign w:val="center"/>
          </w:tcPr>
          <w:p w14:paraId="13EF6422">
            <w:pPr>
              <w:pStyle w:val="77"/>
              <w:ind w:firstLine="0" w:firstLineChars="0"/>
              <w:jc w:val="both"/>
              <w:rPr>
                <w:bCs/>
              </w:rPr>
            </w:pPr>
            <w:r>
              <w:t>本项目含</w:t>
            </w:r>
            <w:r>
              <w:rPr>
                <w:rFonts w:hint="eastAsia"/>
              </w:rPr>
              <w:t>镍、含铬</w:t>
            </w:r>
            <w:r>
              <w:t>固体废物均收集贮存在密闭危废</w:t>
            </w:r>
            <w:r>
              <w:rPr>
                <w:rFonts w:hint="eastAsia"/>
              </w:rPr>
              <w:t>贮存间内，</w:t>
            </w:r>
            <w:r>
              <w:t>危废</w:t>
            </w:r>
            <w:r>
              <w:rPr>
                <w:rFonts w:hint="eastAsia"/>
              </w:rPr>
              <w:t>贮存间内按照</w:t>
            </w:r>
            <w:r>
              <w:t>防渗漏、防流失、防扬散等措施</w:t>
            </w:r>
            <w:r>
              <w:rPr>
                <w:rFonts w:hint="eastAsia"/>
              </w:rPr>
              <w:t>进行建设</w:t>
            </w:r>
            <w:r>
              <w:t>，避免二次污染</w:t>
            </w:r>
            <w:r>
              <w:rPr>
                <w:rFonts w:hint="eastAsia"/>
              </w:rPr>
              <w:t>。</w:t>
            </w:r>
          </w:p>
        </w:tc>
        <w:tc>
          <w:tcPr>
            <w:tcW w:w="504" w:type="pct"/>
            <w:vAlign w:val="center"/>
          </w:tcPr>
          <w:p w14:paraId="61E1394D">
            <w:pPr>
              <w:pStyle w:val="75"/>
              <w:rPr>
                <w:bCs/>
                <w:snapToGrid w:val="0"/>
                <w:szCs w:val="24"/>
              </w:rPr>
            </w:pPr>
            <w:r>
              <w:rPr>
                <w:rFonts w:hint="eastAsia"/>
                <w:bCs/>
                <w:snapToGrid w:val="0"/>
                <w:szCs w:val="24"/>
              </w:rPr>
              <w:t>符合</w:t>
            </w:r>
          </w:p>
        </w:tc>
      </w:tr>
      <w:tr w14:paraId="155E98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3CC6B127">
            <w:pPr>
              <w:pStyle w:val="75"/>
              <w:jc w:val="left"/>
              <w:rPr>
                <w:bCs/>
                <w:snapToGrid w:val="0"/>
                <w:szCs w:val="24"/>
              </w:rPr>
            </w:pPr>
            <w:r>
              <w:rPr>
                <w:rFonts w:hint="eastAsia"/>
                <w:bCs/>
              </w:rPr>
              <w:t>（</w:t>
            </w:r>
            <w:r>
              <w:rPr>
                <w:bCs/>
              </w:rPr>
              <w:t>十一</w:t>
            </w:r>
            <w:r>
              <w:rPr>
                <w:rFonts w:hint="eastAsia"/>
                <w:bCs/>
              </w:rPr>
              <w:t>）</w:t>
            </w:r>
            <w:r>
              <w:rPr>
                <w:bCs/>
              </w:rPr>
              <w:t>推进涉重金属历史遗留问题治理</w:t>
            </w:r>
          </w:p>
        </w:tc>
        <w:tc>
          <w:tcPr>
            <w:tcW w:w="2981" w:type="pct"/>
            <w:vAlign w:val="center"/>
          </w:tcPr>
          <w:p w14:paraId="2D86FFAF">
            <w:pPr>
              <w:pStyle w:val="75"/>
              <w:jc w:val="both"/>
              <w:rPr>
                <w:bCs/>
                <w:snapToGrid w:val="0"/>
                <w:szCs w:val="24"/>
              </w:rPr>
            </w:pPr>
            <w:r>
              <w:rPr>
                <w:bCs/>
              </w:rPr>
              <w:t>强力推进丹江口库区及上游等地区历史遗留矿山污染排查整治，因地制宜、</w:t>
            </w:r>
            <w:r>
              <w:rPr>
                <w:rFonts w:hint="eastAsia"/>
                <w:bCs/>
              </w:rPr>
              <w:t>“</w:t>
            </w:r>
            <w:r>
              <w:rPr>
                <w:bCs/>
              </w:rPr>
              <w:t>一矿一策</w:t>
            </w:r>
            <w:r>
              <w:rPr>
                <w:rFonts w:hint="eastAsia"/>
                <w:bCs/>
              </w:rPr>
              <w:t>”</w:t>
            </w:r>
            <w:r>
              <w:rPr>
                <w:bCs/>
              </w:rPr>
              <w:t>，有效防控历史遗留矿山重金属污染风险。以洛阳、三门峡等矿产资源开发活动集中地区为重点，聚焦重有色金属等矿区以及安全利用类和严格管控类耕地集中区域周边矿区，全面排查矿区无序堆存的历史遗留固体废物。根据排查结果及污染风险制定整治方案</w:t>
            </w:r>
            <w:r>
              <w:rPr>
                <w:rFonts w:hint="eastAsia"/>
                <w:bCs/>
              </w:rPr>
              <w:t>，</w:t>
            </w:r>
            <w:r>
              <w:rPr>
                <w:bCs/>
              </w:rPr>
              <w:t>分阶段、分步骤实施治理。优先对历史遗留涉重金属固体废物周边及下游耕地土壤重金属污染较重地区采取风险管控措施，切断污染物进入农田途径，降低矿区污染灌溉用水或随洪水进入农田的环境风险。实施重点河流水环境综合治理，以黄河流域三门峡、洛阳、焦作、济源为重点，对历史遗留涉重金属企业排放的河流严格管控并持续整治涉重金属企业，深入开展含重金属尾矿废渣、河道污染底泥等环境调查、风险评估工作，对环境风险较大、影响河流水质、确需治理的河流河段制定河道治理和生态修复方案</w:t>
            </w:r>
            <w:r>
              <w:rPr>
                <w:rFonts w:hint="eastAsia"/>
                <w:bCs/>
              </w:rPr>
              <w:t>。</w:t>
            </w:r>
          </w:p>
        </w:tc>
        <w:tc>
          <w:tcPr>
            <w:tcW w:w="993" w:type="pct"/>
            <w:vAlign w:val="center"/>
          </w:tcPr>
          <w:p w14:paraId="2F0BA03C">
            <w:pPr>
              <w:pStyle w:val="77"/>
              <w:ind w:firstLine="0" w:firstLineChars="0"/>
              <w:jc w:val="both"/>
              <w:rPr>
                <w:bCs/>
              </w:rPr>
            </w:pPr>
            <w:r>
              <w:rPr>
                <w:rFonts w:hint="eastAsia"/>
                <w:bCs/>
              </w:rPr>
              <w:t>本项目不属于遗留矿山重金属污染项目。</w:t>
            </w:r>
          </w:p>
        </w:tc>
        <w:tc>
          <w:tcPr>
            <w:tcW w:w="504" w:type="pct"/>
            <w:vAlign w:val="center"/>
          </w:tcPr>
          <w:p w14:paraId="6C0EF875">
            <w:pPr>
              <w:pStyle w:val="75"/>
              <w:rPr>
                <w:bCs/>
                <w:snapToGrid w:val="0"/>
                <w:szCs w:val="24"/>
              </w:rPr>
            </w:pPr>
            <w:r>
              <w:rPr>
                <w:rFonts w:hint="eastAsia"/>
                <w:bCs/>
                <w:snapToGrid w:val="0"/>
                <w:szCs w:val="24"/>
              </w:rPr>
              <w:t>符合</w:t>
            </w:r>
          </w:p>
        </w:tc>
      </w:tr>
      <w:tr w14:paraId="3EB1C0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690BDFB9">
            <w:pPr>
              <w:pStyle w:val="75"/>
              <w:jc w:val="left"/>
              <w:rPr>
                <w:bCs/>
                <w:snapToGrid w:val="0"/>
                <w:szCs w:val="24"/>
              </w:rPr>
            </w:pPr>
            <w:r>
              <w:rPr>
                <w:rFonts w:hint="eastAsia"/>
                <w:bCs/>
              </w:rPr>
              <w:t>（</w:t>
            </w:r>
            <w:r>
              <w:rPr>
                <w:bCs/>
              </w:rPr>
              <w:t>十二</w:t>
            </w:r>
            <w:r>
              <w:rPr>
                <w:rFonts w:hint="eastAsia"/>
                <w:bCs/>
              </w:rPr>
              <w:t>）</w:t>
            </w:r>
            <w:r>
              <w:rPr>
                <w:bCs/>
              </w:rPr>
              <w:t>强化重金属污染监控预警</w:t>
            </w:r>
          </w:p>
        </w:tc>
        <w:tc>
          <w:tcPr>
            <w:tcW w:w="2981" w:type="pct"/>
            <w:vAlign w:val="center"/>
          </w:tcPr>
          <w:p w14:paraId="0792BBE3">
            <w:pPr>
              <w:pStyle w:val="75"/>
              <w:jc w:val="both"/>
              <w:rPr>
                <w:bCs/>
                <w:snapToGrid w:val="0"/>
                <w:szCs w:val="24"/>
              </w:rPr>
            </w:pPr>
            <w:r>
              <w:rPr>
                <w:bCs/>
              </w:rPr>
              <w:t>加快研究制定</w:t>
            </w:r>
            <w:r>
              <w:rPr>
                <w:rFonts w:hint="eastAsia"/>
                <w:bCs/>
              </w:rPr>
              <w:t>锑</w:t>
            </w:r>
            <w:r>
              <w:rPr>
                <w:bCs/>
              </w:rPr>
              <w:t>、</w:t>
            </w:r>
            <w:r>
              <w:rPr>
                <w:rFonts w:hint="eastAsia"/>
                <w:bCs/>
              </w:rPr>
              <w:t>钼</w:t>
            </w:r>
            <w:r>
              <w:rPr>
                <w:bCs/>
              </w:rPr>
              <w:t>等重金属地方排放标准，推动解决我省涉</w:t>
            </w:r>
            <w:r>
              <w:rPr>
                <w:rFonts w:hint="eastAsia"/>
                <w:bCs/>
              </w:rPr>
              <w:t>锑</w:t>
            </w:r>
            <w:r>
              <w:rPr>
                <w:bCs/>
              </w:rPr>
              <w:t>、涉</w:t>
            </w:r>
            <w:r>
              <w:rPr>
                <w:rFonts w:hint="eastAsia"/>
                <w:bCs/>
              </w:rPr>
              <w:t>钼</w:t>
            </w:r>
            <w:r>
              <w:rPr>
                <w:bCs/>
              </w:rPr>
              <w:t>等行业污染问题。建立健全重金属污染监控预警体系，提升信息化监管水平。各地生态环境部门在涉</w:t>
            </w:r>
            <w:r>
              <w:rPr>
                <w:rFonts w:hint="eastAsia"/>
                <w:bCs/>
              </w:rPr>
              <w:t>铊</w:t>
            </w:r>
            <w:r>
              <w:rPr>
                <w:bCs/>
              </w:rPr>
              <w:t>、涉</w:t>
            </w:r>
            <w:r>
              <w:rPr>
                <w:rFonts w:hint="eastAsia"/>
                <w:bCs/>
              </w:rPr>
              <w:t>锑</w:t>
            </w:r>
            <w:r>
              <w:rPr>
                <w:bCs/>
              </w:rPr>
              <w:t>行业企业分布密集区域下游，依托水质自动监测</w:t>
            </w:r>
            <w:r>
              <w:rPr>
                <w:rFonts w:hint="eastAsia"/>
                <w:bCs/>
              </w:rPr>
              <w:t>站加</w:t>
            </w:r>
            <w:r>
              <w:rPr>
                <w:bCs/>
              </w:rPr>
              <w:t>装</w:t>
            </w:r>
            <w:r>
              <w:rPr>
                <w:rFonts w:hint="eastAsia"/>
                <w:bCs/>
              </w:rPr>
              <w:t>铊</w:t>
            </w:r>
            <w:r>
              <w:rPr>
                <w:bCs/>
              </w:rPr>
              <w:t>、</w:t>
            </w:r>
            <w:r>
              <w:rPr>
                <w:rFonts w:hint="eastAsia"/>
                <w:bCs/>
              </w:rPr>
              <w:t>锑</w:t>
            </w:r>
            <w:r>
              <w:rPr>
                <w:bCs/>
              </w:rPr>
              <w:t>等特征重金属污染物自动监测系统。纳入大气、水污染物重点排污单位名录的涉</w:t>
            </w:r>
            <w:r>
              <w:rPr>
                <w:rFonts w:hint="eastAsia"/>
                <w:bCs/>
              </w:rPr>
              <w:t>镉</w:t>
            </w:r>
            <w:r>
              <w:rPr>
                <w:bCs/>
              </w:rPr>
              <w:t>等重金属的企业，应安装大气、水污染物排放自动监测设备，与生态环境部门监控设备联网，以监测数据核算颗粒物和重金属排放量。排放</w:t>
            </w:r>
            <w:r>
              <w:rPr>
                <w:rFonts w:hint="eastAsia"/>
                <w:bCs/>
              </w:rPr>
              <w:t>镉</w:t>
            </w:r>
            <w:r>
              <w:rPr>
                <w:bCs/>
              </w:rPr>
              <w:t>等重金属的企业，应依法对周边大气</w:t>
            </w:r>
            <w:r>
              <w:rPr>
                <w:rFonts w:hint="eastAsia"/>
                <w:bCs/>
              </w:rPr>
              <w:t>镉</w:t>
            </w:r>
            <w:r>
              <w:rPr>
                <w:bCs/>
              </w:rPr>
              <w:t>等重金属沉降及耕地土壤重金属进行定期监测，评估大气重金属沉造成耕地土壤中</w:t>
            </w:r>
            <w:r>
              <w:rPr>
                <w:rFonts w:hint="eastAsia"/>
                <w:bCs/>
              </w:rPr>
              <w:t>镉</w:t>
            </w:r>
            <w:r>
              <w:rPr>
                <w:bCs/>
              </w:rPr>
              <w:t>等重金属累积的风险，并采取防控措施。逐步推进重点流域内有重金属污染风险的一、二级支流入干流前安装自动监测设备，实时对地表水水质进行监测。重点提升对老灌河等丹江口水库主要支流重金属的监测监控能力。鼓励重点行业企业在重点部位和关键节点应用重金属污染物自动动监测、视频监控和用电</w:t>
            </w:r>
            <w:r>
              <w:rPr>
                <w:rFonts w:hint="eastAsia"/>
                <w:bCs/>
              </w:rPr>
              <w:t>（</w:t>
            </w:r>
            <w:r>
              <w:rPr>
                <w:bCs/>
              </w:rPr>
              <w:t>能</w:t>
            </w:r>
            <w:r>
              <w:rPr>
                <w:rFonts w:hint="eastAsia"/>
                <w:bCs/>
              </w:rPr>
              <w:t>）</w:t>
            </w:r>
            <w:r>
              <w:rPr>
                <w:bCs/>
              </w:rPr>
              <w:t>监控等智能监控手段</w:t>
            </w:r>
            <w:r>
              <w:rPr>
                <w:rFonts w:hint="eastAsia"/>
                <w:bCs/>
              </w:rPr>
              <w:t>。</w:t>
            </w:r>
          </w:p>
        </w:tc>
        <w:tc>
          <w:tcPr>
            <w:tcW w:w="993" w:type="pct"/>
            <w:vAlign w:val="center"/>
          </w:tcPr>
          <w:p w14:paraId="233EBAB9">
            <w:pPr>
              <w:pStyle w:val="77"/>
              <w:ind w:firstLine="0" w:firstLineChars="0"/>
              <w:jc w:val="both"/>
              <w:rPr>
                <w:bCs/>
              </w:rPr>
            </w:pPr>
            <w:r>
              <w:rPr>
                <w:rFonts w:hint="eastAsia"/>
                <w:bCs/>
              </w:rPr>
              <w:t>本项目不涉及铊、锑</w:t>
            </w:r>
            <w:r>
              <w:rPr>
                <w:bCs/>
              </w:rPr>
              <w:t>、</w:t>
            </w:r>
            <w:r>
              <w:rPr>
                <w:rFonts w:hint="eastAsia"/>
                <w:bCs/>
              </w:rPr>
              <w:t>钼、镉等重金属排放。</w:t>
            </w:r>
          </w:p>
        </w:tc>
        <w:tc>
          <w:tcPr>
            <w:tcW w:w="504" w:type="pct"/>
            <w:vAlign w:val="center"/>
          </w:tcPr>
          <w:p w14:paraId="388E1B15">
            <w:pPr>
              <w:pStyle w:val="75"/>
              <w:rPr>
                <w:bCs/>
                <w:snapToGrid w:val="0"/>
                <w:szCs w:val="24"/>
              </w:rPr>
            </w:pPr>
            <w:r>
              <w:rPr>
                <w:rFonts w:hint="eastAsia"/>
                <w:bCs/>
                <w:snapToGrid w:val="0"/>
                <w:szCs w:val="24"/>
              </w:rPr>
              <w:t>符合</w:t>
            </w:r>
          </w:p>
        </w:tc>
      </w:tr>
      <w:tr w14:paraId="0D4291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44287BD6">
            <w:pPr>
              <w:pStyle w:val="75"/>
              <w:jc w:val="left"/>
              <w:rPr>
                <w:snapToGrid w:val="0"/>
                <w:szCs w:val="24"/>
              </w:rPr>
            </w:pPr>
            <w:r>
              <w:rPr>
                <w:rFonts w:hint="eastAsia"/>
              </w:rPr>
              <w:t>（</w:t>
            </w:r>
            <w:r>
              <w:t>十</w:t>
            </w:r>
            <w:r>
              <w:rPr>
                <w:rFonts w:hint="eastAsia"/>
              </w:rPr>
              <w:t>三）</w:t>
            </w:r>
            <w:r>
              <w:t>强化涉重金属执法监督力度</w:t>
            </w:r>
          </w:p>
        </w:tc>
        <w:tc>
          <w:tcPr>
            <w:tcW w:w="2981" w:type="pct"/>
            <w:vAlign w:val="center"/>
          </w:tcPr>
          <w:p w14:paraId="6023A9DD">
            <w:pPr>
              <w:pStyle w:val="75"/>
              <w:jc w:val="both"/>
              <w:rPr>
                <w:snapToGrid w:val="0"/>
                <w:szCs w:val="24"/>
              </w:rPr>
            </w:pPr>
            <w:r>
              <w:t>将涉重金属重点行业企业及相关堆场、尾矿库等设施纳入</w:t>
            </w:r>
            <w:r>
              <w:rPr>
                <w:rFonts w:hint="eastAsia"/>
              </w:rPr>
              <w:t>“</w:t>
            </w:r>
            <w:r>
              <w:t>双随机、一公开</w:t>
            </w:r>
            <w:r>
              <w:rPr>
                <w:rFonts w:hint="eastAsia"/>
              </w:rPr>
              <w:t>”</w:t>
            </w:r>
            <w:r>
              <w:t>抽查检查对象范围，进行重点监管。加大排污许可证后监管力度，对重金属污染物实际排放量超出许可排放量的企业依法依规处理。将对涉重金属行业专项执法检查纳入污染防治攻坚战监督检查考核工作，依法严厉打击超标排放、不正常运行污染治理设施、非法排放、倾倒、收集、贮存、转移、利用、处置含重金属危险废物等违法违规行为，涉嫌犯罪的，依法移送公安机关依法追究刑事责任</w:t>
            </w:r>
            <w:r>
              <w:rPr>
                <w:rFonts w:hint="eastAsia"/>
              </w:rPr>
              <w:t>。</w:t>
            </w:r>
          </w:p>
        </w:tc>
        <w:tc>
          <w:tcPr>
            <w:tcW w:w="993" w:type="pct"/>
            <w:vAlign w:val="center"/>
          </w:tcPr>
          <w:p w14:paraId="53387D6B">
            <w:pPr>
              <w:pStyle w:val="77"/>
              <w:ind w:firstLine="0" w:firstLineChars="0"/>
              <w:jc w:val="both"/>
            </w:pPr>
            <w:r>
              <w:rPr>
                <w:rFonts w:hint="eastAsia"/>
              </w:rPr>
              <w:t>本项目将严格按照要求进行建设。</w:t>
            </w:r>
          </w:p>
        </w:tc>
        <w:tc>
          <w:tcPr>
            <w:tcW w:w="504" w:type="pct"/>
            <w:vAlign w:val="center"/>
          </w:tcPr>
          <w:p w14:paraId="39304E8F">
            <w:pPr>
              <w:pStyle w:val="75"/>
              <w:rPr>
                <w:snapToGrid w:val="0"/>
                <w:szCs w:val="24"/>
              </w:rPr>
            </w:pPr>
            <w:r>
              <w:rPr>
                <w:rFonts w:hint="eastAsia"/>
                <w:snapToGrid w:val="0"/>
                <w:szCs w:val="24"/>
              </w:rPr>
              <w:t>符合</w:t>
            </w:r>
          </w:p>
        </w:tc>
      </w:tr>
      <w:tr w14:paraId="21B0D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0" w:type="pct"/>
            <w:vAlign w:val="center"/>
          </w:tcPr>
          <w:p w14:paraId="4DE3149E">
            <w:pPr>
              <w:pStyle w:val="75"/>
              <w:jc w:val="left"/>
              <w:rPr>
                <w:snapToGrid w:val="0"/>
                <w:szCs w:val="24"/>
              </w:rPr>
            </w:pPr>
            <w:r>
              <w:rPr>
                <w:rFonts w:hint="eastAsia"/>
              </w:rPr>
              <w:t>（</w:t>
            </w:r>
            <w:r>
              <w:t>十四</w:t>
            </w:r>
            <w:r>
              <w:rPr>
                <w:rFonts w:hint="eastAsia"/>
              </w:rPr>
              <w:t>）</w:t>
            </w:r>
            <w:r>
              <w:t>强化涉重金属污染应急管理</w:t>
            </w:r>
          </w:p>
        </w:tc>
        <w:tc>
          <w:tcPr>
            <w:tcW w:w="2981" w:type="pct"/>
            <w:vAlign w:val="center"/>
          </w:tcPr>
          <w:p w14:paraId="1B9ACDDD">
            <w:pPr>
              <w:pStyle w:val="75"/>
              <w:jc w:val="both"/>
              <w:rPr>
                <w:snapToGrid w:val="0"/>
                <w:szCs w:val="24"/>
              </w:rPr>
            </w:pPr>
            <w:r>
              <w:t>重点行业企业应依法依规完善环境风险防范和环境安全隐患排查治理措施，制定环境应急预案，储备相关应急物资，定期开展应急演练。各地生态环境部门结合</w:t>
            </w:r>
            <w:r>
              <w:rPr>
                <w:rFonts w:hint="eastAsia"/>
              </w:rPr>
              <w:t>“</w:t>
            </w:r>
            <w:r>
              <w:t>一河一策一图</w:t>
            </w:r>
            <w:r>
              <w:rPr>
                <w:rFonts w:hint="eastAsia"/>
              </w:rPr>
              <w:t>”</w:t>
            </w:r>
            <w:r>
              <w:t>，将涉重金属污染应急处置预案纳入本地突发环境应急预案，加强应急物资储备，定期开展应急演练，不断提升环境应急处置能力。加强涉危险废物涉重金属企业环境风险调查评估，实施分类分级风险管控。</w:t>
            </w:r>
          </w:p>
        </w:tc>
        <w:tc>
          <w:tcPr>
            <w:tcW w:w="993" w:type="pct"/>
            <w:vAlign w:val="center"/>
          </w:tcPr>
          <w:p w14:paraId="1CD8504F">
            <w:pPr>
              <w:pStyle w:val="77"/>
              <w:ind w:firstLine="0" w:firstLineChars="0"/>
              <w:jc w:val="both"/>
            </w:pPr>
            <w:r>
              <w:rPr>
                <w:rFonts w:hint="eastAsia"/>
              </w:rPr>
              <w:t>本项目属于涉重金属重点行业，建成后按要求开展</w:t>
            </w:r>
            <w:r>
              <w:t>环境风险防范和环境安全隐患排查治理</w:t>
            </w:r>
            <w:r>
              <w:rPr>
                <w:rFonts w:hint="eastAsia"/>
              </w:rPr>
              <w:t>工作，并制定环境应急预案并定期开展应急演练。</w:t>
            </w:r>
          </w:p>
        </w:tc>
        <w:tc>
          <w:tcPr>
            <w:tcW w:w="504" w:type="pct"/>
            <w:vAlign w:val="center"/>
          </w:tcPr>
          <w:p w14:paraId="318DA2F1">
            <w:pPr>
              <w:pStyle w:val="75"/>
              <w:rPr>
                <w:snapToGrid w:val="0"/>
                <w:szCs w:val="24"/>
              </w:rPr>
            </w:pPr>
            <w:r>
              <w:rPr>
                <w:rFonts w:hint="eastAsia"/>
                <w:snapToGrid w:val="0"/>
                <w:szCs w:val="24"/>
              </w:rPr>
              <w:t>符合</w:t>
            </w:r>
          </w:p>
        </w:tc>
      </w:tr>
    </w:tbl>
    <w:p w14:paraId="00299D5B">
      <w:pPr>
        <w:ind w:firstLine="480"/>
        <w:rPr>
          <w:bCs/>
        </w:rPr>
      </w:pPr>
      <w:r>
        <w:rPr>
          <w:rFonts w:hint="eastAsia"/>
          <w:bCs/>
        </w:rPr>
        <w:t>由上表可知，本项目符合</w:t>
      </w:r>
      <w:r>
        <w:rPr>
          <w:rFonts w:hint="eastAsia"/>
        </w:rPr>
        <w:t>《河南省进一步加强重金属污染污染防控工作方案》</w:t>
      </w:r>
      <w:r>
        <w:rPr>
          <w:rFonts w:hint="eastAsia"/>
          <w:bCs/>
        </w:rPr>
        <w:t>的相关要求。</w:t>
      </w:r>
    </w:p>
    <w:bookmarkEnd w:id="244"/>
    <w:bookmarkEnd w:id="252"/>
    <w:bookmarkEnd w:id="253"/>
    <w:bookmarkEnd w:id="254"/>
    <w:bookmarkEnd w:id="255"/>
    <w:p w14:paraId="4FE5E600">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rPr>
      </w:pPr>
      <w:bookmarkStart w:id="352" w:name="_Toc51319855"/>
      <w:bookmarkStart w:id="353" w:name="_Toc324839551"/>
      <w:bookmarkStart w:id="354" w:name="_Toc8585"/>
      <w:bookmarkStart w:id="355" w:name="_Toc324839254"/>
      <w:bookmarkStart w:id="356" w:name="_Toc311812636"/>
      <w:bookmarkStart w:id="357" w:name="_Toc5897"/>
      <w:bookmarkStart w:id="358" w:name="_Toc453042543"/>
      <w:r>
        <w:rPr>
          <w:rFonts w:hint="eastAsia" w:ascii="Times New Roman" w:hAnsi="Times New Roman" w:cs="Times New Roman"/>
          <w:lang w:val="en-US" w:eastAsia="zh-CN"/>
        </w:rPr>
        <w:t>建设项目</w:t>
      </w:r>
      <w:r>
        <w:rPr>
          <w:rFonts w:hint="eastAsia" w:ascii="Times New Roman" w:hAnsi="Times New Roman" w:cs="Times New Roman"/>
        </w:rPr>
        <w:t>工程分析</w:t>
      </w:r>
      <w:bookmarkEnd w:id="352"/>
      <w:bookmarkEnd w:id="353"/>
      <w:bookmarkEnd w:id="354"/>
      <w:bookmarkEnd w:id="355"/>
      <w:bookmarkEnd w:id="356"/>
      <w:bookmarkEnd w:id="357"/>
    </w:p>
    <w:bookmarkEnd w:id="358"/>
    <w:p w14:paraId="41B55EB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59" w:name="_Toc21783"/>
      <w:bookmarkStart w:id="360" w:name="_Toc30510152"/>
      <w:bookmarkStart w:id="361" w:name="_Toc51319861"/>
      <w:bookmarkStart w:id="362" w:name="_Toc1112"/>
      <w:bookmarkStart w:id="363" w:name="_Toc311812641"/>
      <w:r>
        <w:rPr>
          <w:rFonts w:hint="eastAsia" w:ascii="Times New Roman" w:hAnsi="Times New Roman" w:eastAsia="宋体" w:cs="Times New Roman"/>
          <w:lang w:val="en-US" w:eastAsia="zh-CN"/>
        </w:rPr>
        <w:t>3.1本项目工程分析</w:t>
      </w:r>
      <w:bookmarkEnd w:id="359"/>
      <w:bookmarkEnd w:id="360"/>
      <w:bookmarkEnd w:id="361"/>
      <w:bookmarkEnd w:id="362"/>
    </w:p>
    <w:p w14:paraId="65FEC48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64" w:name="_Toc108122504"/>
      <w:bookmarkStart w:id="365" w:name="_Toc428286816"/>
      <w:bookmarkStart w:id="366" w:name="_Toc428287210"/>
      <w:bookmarkStart w:id="367" w:name="_Toc428287562"/>
      <w:r>
        <w:rPr>
          <w:rFonts w:hint="eastAsia" w:ascii="Times New Roman" w:hAnsi="Times New Roman" w:cs="Times New Roman"/>
          <w:lang w:val="en-US" w:eastAsia="zh-CN"/>
        </w:rPr>
        <w:t>3.1.1项目基本情况</w:t>
      </w:r>
      <w:bookmarkEnd w:id="364"/>
      <w:bookmarkEnd w:id="365"/>
      <w:bookmarkEnd w:id="366"/>
      <w:bookmarkEnd w:id="367"/>
    </w:p>
    <w:p w14:paraId="79C75905">
      <w:pPr>
        <w:pStyle w:val="72"/>
        <w:rPr>
          <w:rFonts w:hint="eastAsia"/>
        </w:rPr>
      </w:pPr>
      <w:r>
        <w:rPr>
          <w:rFonts w:hint="eastAsia"/>
        </w:rPr>
        <w:t>根据市场需求以及企业自身的发展规划，新乡市泓江润新能源有限公司拟投资</w:t>
      </w:r>
      <w:r>
        <w:rPr>
          <w:rFonts w:hint="eastAsia"/>
          <w:lang w:val="en-US" w:eastAsia="zh-CN"/>
        </w:rPr>
        <w:t>6000</w:t>
      </w:r>
      <w:r>
        <w:rPr>
          <w:rFonts w:hint="eastAsia"/>
        </w:rPr>
        <w:t>万元利用</w:t>
      </w:r>
      <w:r>
        <w:rPr>
          <w:rFonts w:hint="eastAsia"/>
          <w:lang w:val="en-US" w:eastAsia="zh-CN"/>
        </w:rPr>
        <w:t>租赁厂房</w:t>
      </w:r>
      <w:r>
        <w:rPr>
          <w:rFonts w:hint="eastAsia"/>
        </w:rPr>
        <w:t>建设年产</w:t>
      </w:r>
      <w:r>
        <w:rPr>
          <w:rFonts w:hint="eastAsia"/>
          <w:lang w:val="en-US" w:eastAsia="zh-CN"/>
        </w:rPr>
        <w:t>10亿只钢壳、10</w:t>
      </w:r>
      <w:r>
        <w:rPr>
          <w:rFonts w:hint="eastAsia"/>
        </w:rPr>
        <w:t>亿只</w:t>
      </w:r>
      <w:r>
        <w:rPr>
          <w:rFonts w:hint="eastAsia"/>
          <w:lang w:val="en-US" w:eastAsia="zh-CN"/>
        </w:rPr>
        <w:t>盖帽</w:t>
      </w:r>
      <w:r>
        <w:rPr>
          <w:rFonts w:hint="eastAsia"/>
        </w:rPr>
        <w:t>和</w:t>
      </w:r>
      <w:r>
        <w:rPr>
          <w:rFonts w:hint="eastAsia"/>
          <w:lang w:val="en-US" w:eastAsia="zh-CN"/>
        </w:rPr>
        <w:t>3600</w:t>
      </w:r>
      <w:r>
        <w:rPr>
          <w:rFonts w:hint="eastAsia"/>
        </w:rPr>
        <w:t>吨</w:t>
      </w:r>
      <w:r>
        <w:rPr>
          <w:rFonts w:hint="eastAsia"/>
          <w:lang w:val="en-US" w:eastAsia="zh-CN"/>
        </w:rPr>
        <w:t>电池连接件</w:t>
      </w:r>
      <w:r>
        <w:rPr>
          <w:rFonts w:hint="eastAsia"/>
        </w:rPr>
        <w:t>项目。本项目基本情况见下表。</w:t>
      </w:r>
    </w:p>
    <w:p w14:paraId="6FAF020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lang w:val="pt-BR"/>
        </w:rPr>
        <w:t>3</w:t>
      </w:r>
      <w:r>
        <w:rPr>
          <w:rFonts w:hint="eastAsia"/>
          <w:lang w:val="en-US" w:eastAsia="zh-CN"/>
        </w:rPr>
        <w:t>.1</w:t>
      </w:r>
      <w:r>
        <w:rPr>
          <w:rFonts w:hint="eastAsia"/>
          <w:lang w:val="pt-BR"/>
        </w:rPr>
        <w:t>-</w:t>
      </w:r>
      <w:r>
        <w:rPr>
          <w:rFonts w:hint="eastAsia"/>
          <w:lang w:val="en-US" w:eastAsia="zh-CN"/>
        </w:rPr>
        <w:t>1</w:t>
      </w:r>
      <w:r>
        <w:rPr>
          <w:rFonts w:hint="eastAsia"/>
        </w:rPr>
        <w:t xml:space="preserve">    项目</w:t>
      </w:r>
      <w:r>
        <w:t>基本情况</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177"/>
        <w:gridCol w:w="6520"/>
      </w:tblGrid>
      <w:tr w14:paraId="483A1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blHeader/>
          <w:jc w:val="center"/>
        </w:trPr>
        <w:tc>
          <w:tcPr>
            <w:tcW w:w="487" w:type="pct"/>
            <w:vAlign w:val="center"/>
          </w:tcPr>
          <w:p w14:paraId="3FF16F05">
            <w:pPr>
              <w:pStyle w:val="81"/>
              <w:rPr>
                <w:color w:val="auto"/>
              </w:rPr>
            </w:pPr>
            <w:r>
              <w:rPr>
                <w:color w:val="auto"/>
              </w:rPr>
              <w:t>序号</w:t>
            </w:r>
          </w:p>
        </w:tc>
        <w:tc>
          <w:tcPr>
            <w:tcW w:w="690" w:type="pct"/>
            <w:vAlign w:val="center"/>
          </w:tcPr>
          <w:p w14:paraId="2C3CEB29">
            <w:pPr>
              <w:pStyle w:val="81"/>
              <w:rPr>
                <w:color w:val="auto"/>
              </w:rPr>
            </w:pPr>
            <w:r>
              <w:rPr>
                <w:color w:val="auto"/>
              </w:rPr>
              <w:t>项目</w:t>
            </w:r>
          </w:p>
        </w:tc>
        <w:tc>
          <w:tcPr>
            <w:tcW w:w="3822" w:type="pct"/>
            <w:vAlign w:val="center"/>
          </w:tcPr>
          <w:p w14:paraId="38163D4A">
            <w:pPr>
              <w:pStyle w:val="81"/>
              <w:rPr>
                <w:color w:val="auto"/>
              </w:rPr>
            </w:pPr>
            <w:r>
              <w:rPr>
                <w:color w:val="auto"/>
              </w:rPr>
              <w:t>内容</w:t>
            </w:r>
          </w:p>
        </w:tc>
      </w:tr>
      <w:tr w14:paraId="33BA8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487" w:type="pct"/>
            <w:vAlign w:val="center"/>
          </w:tcPr>
          <w:p w14:paraId="78C2D6D3">
            <w:pPr>
              <w:pStyle w:val="75"/>
            </w:pPr>
            <w:r>
              <w:t>1</w:t>
            </w:r>
          </w:p>
        </w:tc>
        <w:tc>
          <w:tcPr>
            <w:tcW w:w="690" w:type="pct"/>
            <w:vAlign w:val="center"/>
          </w:tcPr>
          <w:p w14:paraId="65B84879">
            <w:pPr>
              <w:pStyle w:val="75"/>
            </w:pPr>
            <w:r>
              <w:t>项目名称</w:t>
            </w:r>
          </w:p>
        </w:tc>
        <w:tc>
          <w:tcPr>
            <w:tcW w:w="3822" w:type="pct"/>
            <w:vAlign w:val="center"/>
          </w:tcPr>
          <w:p w14:paraId="69C1327B">
            <w:pPr>
              <w:pStyle w:val="75"/>
            </w:pPr>
            <w:r>
              <w:rPr>
                <w:rFonts w:hint="eastAsia"/>
              </w:rPr>
              <w:t>年产</w:t>
            </w:r>
            <w:r>
              <w:rPr>
                <w:rFonts w:hint="eastAsia"/>
                <w:lang w:val="en-US" w:eastAsia="zh-CN"/>
              </w:rPr>
              <w:t>10亿只钢壳、10</w:t>
            </w:r>
            <w:r>
              <w:rPr>
                <w:rFonts w:hint="eastAsia"/>
              </w:rPr>
              <w:t>亿只</w:t>
            </w:r>
            <w:r>
              <w:rPr>
                <w:rFonts w:hint="eastAsia"/>
                <w:lang w:val="en-US" w:eastAsia="zh-CN"/>
              </w:rPr>
              <w:t>盖帽</w:t>
            </w:r>
            <w:r>
              <w:rPr>
                <w:rFonts w:hint="eastAsia"/>
              </w:rPr>
              <w:t>和</w:t>
            </w:r>
            <w:r>
              <w:rPr>
                <w:rFonts w:hint="eastAsia"/>
                <w:lang w:val="en-US" w:eastAsia="zh-CN"/>
              </w:rPr>
              <w:t>3600</w:t>
            </w:r>
            <w:r>
              <w:rPr>
                <w:rFonts w:hint="eastAsia"/>
              </w:rPr>
              <w:t>吨</w:t>
            </w:r>
            <w:r>
              <w:rPr>
                <w:rFonts w:hint="eastAsia"/>
                <w:lang w:val="en-US" w:eastAsia="zh-CN"/>
              </w:rPr>
              <w:t>电池连接件</w:t>
            </w:r>
            <w:r>
              <w:rPr>
                <w:rFonts w:hint="eastAsia"/>
              </w:rPr>
              <w:t>项目</w:t>
            </w:r>
          </w:p>
        </w:tc>
      </w:tr>
      <w:tr w14:paraId="2A6722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1504569E">
            <w:pPr>
              <w:pStyle w:val="75"/>
            </w:pPr>
            <w:r>
              <w:t>2</w:t>
            </w:r>
          </w:p>
        </w:tc>
        <w:tc>
          <w:tcPr>
            <w:tcW w:w="690" w:type="pct"/>
            <w:vAlign w:val="center"/>
          </w:tcPr>
          <w:p w14:paraId="627BB653">
            <w:pPr>
              <w:pStyle w:val="75"/>
            </w:pPr>
            <w:r>
              <w:t>建设单位</w:t>
            </w:r>
          </w:p>
        </w:tc>
        <w:tc>
          <w:tcPr>
            <w:tcW w:w="3822" w:type="pct"/>
            <w:vAlign w:val="center"/>
          </w:tcPr>
          <w:p w14:paraId="3F0E8091">
            <w:pPr>
              <w:pStyle w:val="75"/>
            </w:pPr>
            <w:r>
              <w:rPr>
                <w:rFonts w:hint="eastAsia"/>
              </w:rPr>
              <w:t>新乡市泓江润新能源有限公司</w:t>
            </w:r>
          </w:p>
        </w:tc>
      </w:tr>
      <w:tr w14:paraId="41BA7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51A46571">
            <w:pPr>
              <w:pStyle w:val="75"/>
            </w:pPr>
            <w:r>
              <w:t>3</w:t>
            </w:r>
          </w:p>
        </w:tc>
        <w:tc>
          <w:tcPr>
            <w:tcW w:w="690" w:type="pct"/>
            <w:vAlign w:val="center"/>
          </w:tcPr>
          <w:p w14:paraId="2AD47612">
            <w:pPr>
              <w:pStyle w:val="75"/>
            </w:pPr>
            <w:r>
              <w:t>建设地点</w:t>
            </w:r>
          </w:p>
        </w:tc>
        <w:tc>
          <w:tcPr>
            <w:tcW w:w="3822" w:type="pct"/>
            <w:vAlign w:val="center"/>
          </w:tcPr>
          <w:p w14:paraId="33C25819">
            <w:pPr>
              <w:pStyle w:val="75"/>
              <w:rPr>
                <w:rFonts w:hint="default" w:ascii="Times New Roman" w:hAnsi="Times New Roman" w:eastAsia="宋体" w:cs="Times New Roman"/>
              </w:rPr>
            </w:pPr>
            <w:r>
              <w:rPr>
                <w:rFonts w:hint="eastAsia"/>
              </w:rPr>
              <w:t>新乡市获嘉县先进制造业开发区安王路与梧桐路交叉口西100米1号</w:t>
            </w:r>
            <w:r>
              <w:rPr>
                <w:rFonts w:hint="default" w:ascii="Times New Roman" w:hAnsi="Times New Roman" w:eastAsia="宋体" w:cs="Times New Roman"/>
              </w:rPr>
              <w:t>（中心地理位置坐标</w:t>
            </w:r>
            <w:r>
              <w:rPr>
                <w:rFonts w:hint="eastAsia" w:cs="Times New Roman"/>
                <w:lang w:eastAsia="zh-CN"/>
              </w:rPr>
              <w:t>：</w:t>
            </w:r>
            <w:r>
              <w:rPr>
                <w:rFonts w:hint="default" w:ascii="Times New Roman" w:hAnsi="Times New Roman" w:eastAsia="宋体" w:cs="Times New Roman"/>
              </w:rPr>
              <w:t>东经113°4</w:t>
            </w:r>
            <w:r>
              <w:rPr>
                <w:rFonts w:hint="eastAsia" w:cs="Times New Roman"/>
                <w:lang w:val="en-US" w:eastAsia="zh-CN"/>
              </w:rPr>
              <w:t>2</w:t>
            </w:r>
            <w:r>
              <w:rPr>
                <w:rFonts w:hint="default" w:ascii="Times New Roman" w:hAnsi="Times New Roman" w:eastAsia="宋体" w:cs="Times New Roman"/>
              </w:rPr>
              <w:t>´</w:t>
            </w:r>
            <w:r>
              <w:rPr>
                <w:rFonts w:hint="eastAsia" w:cs="Times New Roman"/>
                <w:lang w:val="en-US" w:eastAsia="zh-CN"/>
              </w:rPr>
              <w:t>30</w:t>
            </w:r>
            <w:r>
              <w:rPr>
                <w:rFonts w:hint="default" w:ascii="Times New Roman" w:hAnsi="Times New Roman" w:eastAsia="宋体" w:cs="Times New Roman"/>
              </w:rPr>
              <w:t>.</w:t>
            </w:r>
            <w:r>
              <w:rPr>
                <w:rFonts w:hint="eastAsia" w:cs="Times New Roman"/>
                <w:lang w:val="en-US" w:eastAsia="zh-CN"/>
              </w:rPr>
              <w:t>74</w:t>
            </w:r>
            <w:r>
              <w:rPr>
                <w:rFonts w:hint="default" w:ascii="Times New Roman" w:hAnsi="Times New Roman" w:eastAsia="宋体" w:cs="Times New Roman"/>
              </w:rPr>
              <w:t>˝</w:t>
            </w:r>
            <w:r>
              <w:rPr>
                <w:rFonts w:hint="eastAsia" w:cs="Times New Roman"/>
                <w:lang w:eastAsia="zh-CN"/>
              </w:rPr>
              <w:t>，</w:t>
            </w:r>
            <w:r>
              <w:rPr>
                <w:rFonts w:hint="default" w:ascii="Times New Roman" w:hAnsi="Times New Roman" w:eastAsia="宋体" w:cs="Times New Roman"/>
              </w:rPr>
              <w:t>北纬35°</w:t>
            </w:r>
            <w:r>
              <w:rPr>
                <w:rFonts w:hint="eastAsia" w:cs="Times New Roman"/>
                <w:lang w:val="en-US" w:eastAsia="zh-CN"/>
              </w:rPr>
              <w:t>16</w:t>
            </w:r>
            <w:r>
              <w:rPr>
                <w:rFonts w:hint="default" w:ascii="Times New Roman" w:hAnsi="Times New Roman" w:eastAsia="宋体" w:cs="Times New Roman"/>
              </w:rPr>
              <w:t>´</w:t>
            </w:r>
            <w:r>
              <w:rPr>
                <w:rFonts w:hint="eastAsia" w:cs="Times New Roman"/>
                <w:lang w:val="en-US" w:eastAsia="zh-CN"/>
              </w:rPr>
              <w:t>1</w:t>
            </w:r>
            <w:r>
              <w:rPr>
                <w:rFonts w:hint="default" w:ascii="Times New Roman" w:hAnsi="Times New Roman" w:eastAsia="宋体" w:cs="Times New Roman"/>
              </w:rPr>
              <w:t>.</w:t>
            </w:r>
            <w:r>
              <w:rPr>
                <w:rFonts w:hint="eastAsia" w:cs="Times New Roman"/>
                <w:lang w:val="en-US" w:eastAsia="zh-CN"/>
              </w:rPr>
              <w:t>23</w:t>
            </w:r>
            <w:r>
              <w:rPr>
                <w:rFonts w:hint="default" w:ascii="Times New Roman" w:hAnsi="Times New Roman" w:eastAsia="宋体" w:cs="Times New Roman"/>
              </w:rPr>
              <w:t>˝）</w:t>
            </w:r>
          </w:p>
        </w:tc>
      </w:tr>
      <w:tr w14:paraId="7BEDE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2A45C2B7">
            <w:pPr>
              <w:pStyle w:val="75"/>
            </w:pPr>
            <w:r>
              <w:rPr>
                <w:rFonts w:hint="eastAsia"/>
              </w:rPr>
              <w:t>4</w:t>
            </w:r>
          </w:p>
        </w:tc>
        <w:tc>
          <w:tcPr>
            <w:tcW w:w="690" w:type="pct"/>
            <w:vAlign w:val="center"/>
          </w:tcPr>
          <w:p w14:paraId="514BA605">
            <w:pPr>
              <w:pStyle w:val="75"/>
            </w:pPr>
            <w:r>
              <w:t>投资</w:t>
            </w:r>
          </w:p>
        </w:tc>
        <w:tc>
          <w:tcPr>
            <w:tcW w:w="3822" w:type="pct"/>
            <w:vAlign w:val="center"/>
          </w:tcPr>
          <w:p w14:paraId="7DA81DE4">
            <w:pPr>
              <w:pStyle w:val="75"/>
              <w:rPr>
                <w:rFonts w:hint="default" w:ascii="Times New Roman" w:hAnsi="Times New Roman" w:eastAsia="宋体" w:cs="Times New Roman"/>
              </w:rPr>
            </w:pPr>
            <w:r>
              <w:rPr>
                <w:rFonts w:hint="eastAsia" w:cs="Times New Roman"/>
                <w:lang w:val="en-US" w:eastAsia="zh-CN"/>
              </w:rPr>
              <w:t>6000</w:t>
            </w:r>
            <w:r>
              <w:rPr>
                <w:rFonts w:hint="default" w:ascii="Times New Roman" w:hAnsi="Times New Roman" w:eastAsia="宋体" w:cs="Times New Roman"/>
              </w:rPr>
              <w:t>万元</w:t>
            </w:r>
          </w:p>
        </w:tc>
      </w:tr>
      <w:tr w14:paraId="17EB43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70DC1607">
            <w:pPr>
              <w:pStyle w:val="75"/>
            </w:pPr>
            <w:r>
              <w:t>5</w:t>
            </w:r>
          </w:p>
        </w:tc>
        <w:tc>
          <w:tcPr>
            <w:tcW w:w="690" w:type="pct"/>
            <w:vAlign w:val="center"/>
          </w:tcPr>
          <w:p w14:paraId="46460533">
            <w:pPr>
              <w:pStyle w:val="75"/>
            </w:pPr>
            <w:r>
              <w:rPr>
                <w:rFonts w:hint="eastAsia"/>
              </w:rPr>
              <w:t>产品方案</w:t>
            </w:r>
          </w:p>
        </w:tc>
        <w:tc>
          <w:tcPr>
            <w:tcW w:w="3822" w:type="pct"/>
            <w:vAlign w:val="center"/>
          </w:tcPr>
          <w:p w14:paraId="07425CB5">
            <w:pPr>
              <w:pStyle w:val="75"/>
            </w:pPr>
            <w:r>
              <w:rPr>
                <w:rFonts w:hint="eastAsia"/>
              </w:rPr>
              <w:t>年产</w:t>
            </w:r>
            <w:r>
              <w:rPr>
                <w:rFonts w:hint="eastAsia"/>
                <w:lang w:val="en-US" w:eastAsia="zh-CN"/>
              </w:rPr>
              <w:t>10亿只钢壳、10</w:t>
            </w:r>
            <w:r>
              <w:rPr>
                <w:rFonts w:hint="eastAsia"/>
              </w:rPr>
              <w:t>亿只</w:t>
            </w:r>
            <w:r>
              <w:rPr>
                <w:rFonts w:hint="eastAsia"/>
                <w:lang w:val="en-US" w:eastAsia="zh-CN"/>
              </w:rPr>
              <w:t>盖帽</w:t>
            </w:r>
            <w:r>
              <w:rPr>
                <w:rFonts w:hint="eastAsia"/>
              </w:rPr>
              <w:t>和</w:t>
            </w:r>
            <w:r>
              <w:rPr>
                <w:rFonts w:hint="eastAsia"/>
                <w:lang w:val="en-US" w:eastAsia="zh-CN"/>
              </w:rPr>
              <w:t>3600</w:t>
            </w:r>
            <w:r>
              <w:rPr>
                <w:rFonts w:hint="eastAsia"/>
              </w:rPr>
              <w:t>吨</w:t>
            </w:r>
            <w:r>
              <w:rPr>
                <w:rFonts w:hint="eastAsia"/>
                <w:lang w:val="en-US" w:eastAsia="zh-CN"/>
              </w:rPr>
              <w:t>电池连接件</w:t>
            </w:r>
            <w:r>
              <w:rPr>
                <w:rFonts w:hint="eastAsia"/>
              </w:rPr>
              <w:t>项目</w:t>
            </w:r>
          </w:p>
        </w:tc>
      </w:tr>
      <w:tr w14:paraId="6F06F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3794E438">
            <w:pPr>
              <w:pStyle w:val="75"/>
            </w:pPr>
            <w:r>
              <w:t>6</w:t>
            </w:r>
          </w:p>
        </w:tc>
        <w:tc>
          <w:tcPr>
            <w:tcW w:w="690" w:type="pct"/>
            <w:vAlign w:val="center"/>
          </w:tcPr>
          <w:p w14:paraId="6603FC87">
            <w:pPr>
              <w:pStyle w:val="75"/>
            </w:pPr>
            <w:r>
              <w:rPr>
                <w:rFonts w:hint="eastAsia"/>
              </w:rPr>
              <w:t>法人代表姓名</w:t>
            </w:r>
          </w:p>
        </w:tc>
        <w:tc>
          <w:tcPr>
            <w:tcW w:w="3822" w:type="pct"/>
            <w:vAlign w:val="center"/>
          </w:tcPr>
          <w:p w14:paraId="41FBAC1F">
            <w:pPr>
              <w:pStyle w:val="75"/>
              <w:rPr>
                <w:rFonts w:hint="default" w:eastAsia="宋体"/>
                <w:highlight w:val="yellow"/>
                <w:lang w:val="en-US" w:eastAsia="zh-CN"/>
              </w:rPr>
            </w:pPr>
            <w:r>
              <w:rPr>
                <w:rFonts w:hint="eastAsia"/>
                <w:color w:val="000000" w:themeColor="text1"/>
                <w:highlight w:val="none"/>
                <w:lang w:val="en-US" w:eastAsia="zh-CN"/>
                <w14:textFill>
                  <w14:solidFill>
                    <w14:schemeClr w14:val="tx1"/>
                  </w14:solidFill>
                </w14:textFill>
              </w:rPr>
              <w:t>秦小京</w:t>
            </w:r>
          </w:p>
        </w:tc>
      </w:tr>
      <w:tr w14:paraId="78FCE5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7" w:type="pct"/>
            <w:vAlign w:val="center"/>
          </w:tcPr>
          <w:p w14:paraId="4D42AF94">
            <w:pPr>
              <w:pStyle w:val="75"/>
              <w:rPr>
                <w:rFonts w:hint="eastAsia" w:eastAsia="宋体"/>
                <w:lang w:val="en-US" w:eastAsia="zh-CN"/>
              </w:rPr>
            </w:pPr>
            <w:r>
              <w:rPr>
                <w:rFonts w:hint="eastAsia"/>
                <w:lang w:val="en-US" w:eastAsia="zh-CN"/>
              </w:rPr>
              <w:t>7</w:t>
            </w:r>
          </w:p>
        </w:tc>
        <w:tc>
          <w:tcPr>
            <w:tcW w:w="690" w:type="pct"/>
            <w:vAlign w:val="center"/>
          </w:tcPr>
          <w:p w14:paraId="125697FC">
            <w:pPr>
              <w:pStyle w:val="75"/>
            </w:pPr>
            <w:r>
              <w:t>职工人数</w:t>
            </w:r>
          </w:p>
        </w:tc>
        <w:tc>
          <w:tcPr>
            <w:tcW w:w="3822" w:type="pct"/>
            <w:vAlign w:val="center"/>
          </w:tcPr>
          <w:p w14:paraId="1F116282">
            <w:pPr>
              <w:pStyle w:val="75"/>
            </w:pPr>
            <w:r>
              <w:rPr>
                <w:rFonts w:hint="eastAsia"/>
              </w:rPr>
              <w:t>员工</w:t>
            </w:r>
            <w:r>
              <w:rPr>
                <w:rFonts w:hint="eastAsia"/>
                <w:lang w:val="en-US" w:eastAsia="zh-CN"/>
              </w:rPr>
              <w:t>22</w:t>
            </w:r>
            <w:r>
              <w:rPr>
                <w:rFonts w:hint="eastAsia"/>
              </w:rPr>
              <w:t>人</w:t>
            </w:r>
          </w:p>
        </w:tc>
      </w:tr>
      <w:tr w14:paraId="44DD3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1" w:type="dxa"/>
            <w:vAlign w:val="center"/>
          </w:tcPr>
          <w:p w14:paraId="18F96189">
            <w:pPr>
              <w:pStyle w:val="75"/>
              <w:ind w:firstLine="0" w:firstLineChars="0"/>
            </w:pPr>
            <w:r>
              <w:t>8</w:t>
            </w:r>
          </w:p>
        </w:tc>
        <w:tc>
          <w:tcPr>
            <w:tcW w:w="690" w:type="pct"/>
            <w:vAlign w:val="center"/>
          </w:tcPr>
          <w:p w14:paraId="321F7267">
            <w:pPr>
              <w:pStyle w:val="75"/>
            </w:pPr>
            <w:r>
              <w:t>生产制度</w:t>
            </w:r>
          </w:p>
        </w:tc>
        <w:tc>
          <w:tcPr>
            <w:tcW w:w="3822" w:type="pct"/>
            <w:vAlign w:val="center"/>
          </w:tcPr>
          <w:p w14:paraId="7B74A4A5">
            <w:pPr>
              <w:pStyle w:val="75"/>
            </w:pPr>
            <w:r>
              <w:rPr>
                <w:rFonts w:hint="eastAsia"/>
              </w:rPr>
              <w:t>年工作300天，三班制（每班8h），年生产7200h</w:t>
            </w:r>
          </w:p>
        </w:tc>
      </w:tr>
      <w:tr w14:paraId="52537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1" w:type="dxa"/>
            <w:vAlign w:val="center"/>
          </w:tcPr>
          <w:p w14:paraId="75685D16">
            <w:pPr>
              <w:pStyle w:val="75"/>
              <w:ind w:firstLine="0" w:firstLineChars="0"/>
            </w:pPr>
            <w:r>
              <w:rPr>
                <w:rFonts w:hint="eastAsia"/>
              </w:rPr>
              <w:t>9</w:t>
            </w:r>
          </w:p>
        </w:tc>
        <w:tc>
          <w:tcPr>
            <w:tcW w:w="690" w:type="pct"/>
            <w:vAlign w:val="center"/>
          </w:tcPr>
          <w:p w14:paraId="3FC81439">
            <w:pPr>
              <w:pStyle w:val="75"/>
            </w:pPr>
            <w:r>
              <w:rPr>
                <w:rFonts w:hint="eastAsia"/>
              </w:rPr>
              <w:t>排水去向</w:t>
            </w:r>
          </w:p>
        </w:tc>
        <w:tc>
          <w:tcPr>
            <w:tcW w:w="3822" w:type="pct"/>
            <w:vAlign w:val="center"/>
          </w:tcPr>
          <w:p w14:paraId="79BC92AA">
            <w:pPr>
              <w:pStyle w:val="75"/>
              <w:jc w:val="left"/>
            </w:pPr>
            <w:r>
              <w:rPr>
                <w:rFonts w:hint="eastAsia"/>
              </w:rPr>
              <w:t>含铬和含镍生产废水经废水处理系统处理后回用于生产，不外排；综合废水经处理后与纯水制备浓水、冲压冷凝水、经化粪池处理后的生活污水一同经厂区总排口排入</w:t>
            </w:r>
            <w:r>
              <w:rPr>
                <w:rFonts w:hint="eastAsia"/>
                <w:lang w:val="en-US" w:eastAsia="zh-CN"/>
              </w:rPr>
              <w:t>获嘉县同盟污水处理厂处理，出</w:t>
            </w:r>
            <w:r>
              <w:rPr>
                <w:rFonts w:hint="eastAsia"/>
              </w:rPr>
              <w:t>水最终汇入共产主义渠</w:t>
            </w:r>
          </w:p>
        </w:tc>
      </w:tr>
    </w:tbl>
    <w:p w14:paraId="37BA801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68" w:name="_Toc108122505"/>
      <w:r>
        <w:rPr>
          <w:rFonts w:hint="eastAsia" w:ascii="Times New Roman" w:hAnsi="Times New Roman" w:cs="Times New Roman"/>
          <w:lang w:val="en-US" w:eastAsia="zh-CN"/>
        </w:rPr>
        <w:t>3.1.2项目组成</w:t>
      </w:r>
      <w:bookmarkEnd w:id="368"/>
    </w:p>
    <w:p w14:paraId="0A3EEB2C">
      <w:pPr>
        <w:numPr>
          <w:ilvl w:val="0"/>
          <w:numId w:val="4"/>
        </w:numPr>
        <w:ind w:firstLine="480"/>
        <w:rPr>
          <w:rFonts w:hint="eastAsia"/>
        </w:rPr>
      </w:pPr>
      <w:r>
        <w:rPr>
          <w:rFonts w:hint="eastAsia"/>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建设1座生产车间，建筑面积约8400平方米</w:t>
      </w:r>
      <w:r>
        <w:rPr>
          <w:rFonts w:hint="eastAsia"/>
          <w:lang w:val="en-US" w:eastAsia="zh-CN"/>
        </w:rPr>
        <w:t>，内部空间划分为各个功能区，项目</w:t>
      </w:r>
      <w:r>
        <w:rPr>
          <w:rFonts w:hint="eastAsia"/>
        </w:rPr>
        <w:t>组成见下表。</w:t>
      </w:r>
    </w:p>
    <w:p w14:paraId="2169045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bookmarkStart w:id="369" w:name="_Toc428286818"/>
      <w:bookmarkStart w:id="370" w:name="_Toc428287212"/>
      <w:bookmarkStart w:id="371" w:name="_Toc428287564"/>
      <w:r>
        <w:t>表</w:t>
      </w:r>
      <w:r>
        <w:rPr>
          <w:rFonts w:hint="eastAsia"/>
          <w:lang w:val="en-US" w:eastAsia="zh-CN"/>
        </w:rPr>
        <w:t>3.1-2</w:t>
      </w:r>
      <w:r>
        <w:rPr>
          <w:rFonts w:hint="eastAsia"/>
        </w:rPr>
        <w:t xml:space="preserve">     项目</w:t>
      </w:r>
      <w:r>
        <w:t>主要</w:t>
      </w:r>
      <w:r>
        <w:rPr>
          <w:rFonts w:hint="eastAsia"/>
        </w:rPr>
        <w:t>组成</w:t>
      </w:r>
      <w:r>
        <w:t>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125"/>
        <w:gridCol w:w="1768"/>
        <w:gridCol w:w="3495"/>
        <w:gridCol w:w="1492"/>
      </w:tblGrid>
      <w:tr w14:paraId="23D2B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80" w:type="pct"/>
            <w:vAlign w:val="center"/>
          </w:tcPr>
          <w:p w14:paraId="7D4BD039">
            <w:pPr>
              <w:pStyle w:val="81"/>
              <w:rPr>
                <w:rFonts w:cs="Times New Roman"/>
                <w:color w:val="auto"/>
                <w:szCs w:val="21"/>
              </w:rPr>
            </w:pPr>
            <w:r>
              <w:rPr>
                <w:rFonts w:cs="Times New Roman"/>
                <w:color w:val="auto"/>
                <w:szCs w:val="21"/>
              </w:rPr>
              <w:t>序号</w:t>
            </w:r>
          </w:p>
        </w:tc>
        <w:tc>
          <w:tcPr>
            <w:tcW w:w="659" w:type="pct"/>
            <w:vAlign w:val="center"/>
          </w:tcPr>
          <w:p w14:paraId="608003C1">
            <w:pPr>
              <w:pStyle w:val="81"/>
              <w:rPr>
                <w:rFonts w:cs="Times New Roman"/>
                <w:color w:val="auto"/>
                <w:szCs w:val="21"/>
              </w:rPr>
            </w:pPr>
            <w:r>
              <w:rPr>
                <w:rFonts w:cs="Times New Roman"/>
                <w:color w:val="auto"/>
                <w:szCs w:val="21"/>
              </w:rPr>
              <w:t>工程类别</w:t>
            </w:r>
          </w:p>
        </w:tc>
        <w:tc>
          <w:tcPr>
            <w:tcW w:w="1036" w:type="pct"/>
            <w:vAlign w:val="center"/>
          </w:tcPr>
          <w:p w14:paraId="2A1CF66E">
            <w:pPr>
              <w:pStyle w:val="81"/>
              <w:rPr>
                <w:rFonts w:cs="Times New Roman"/>
                <w:color w:val="auto"/>
                <w:szCs w:val="21"/>
              </w:rPr>
            </w:pPr>
            <w:r>
              <w:rPr>
                <w:rFonts w:cs="Times New Roman"/>
                <w:color w:val="auto"/>
                <w:szCs w:val="21"/>
              </w:rPr>
              <w:t>工程名称</w:t>
            </w:r>
          </w:p>
        </w:tc>
        <w:tc>
          <w:tcPr>
            <w:tcW w:w="2048" w:type="pct"/>
            <w:vAlign w:val="center"/>
          </w:tcPr>
          <w:p w14:paraId="3426A258">
            <w:pPr>
              <w:pStyle w:val="81"/>
              <w:rPr>
                <w:rFonts w:cs="Times New Roman"/>
                <w:color w:val="auto"/>
                <w:szCs w:val="21"/>
              </w:rPr>
            </w:pPr>
            <w:r>
              <w:rPr>
                <w:rFonts w:cs="Times New Roman"/>
                <w:color w:val="auto"/>
                <w:szCs w:val="21"/>
              </w:rPr>
              <w:t>内容</w:t>
            </w:r>
          </w:p>
        </w:tc>
        <w:tc>
          <w:tcPr>
            <w:tcW w:w="874" w:type="pct"/>
            <w:vAlign w:val="center"/>
          </w:tcPr>
          <w:p w14:paraId="492ECF47">
            <w:pPr>
              <w:pStyle w:val="81"/>
              <w:rPr>
                <w:rFonts w:cs="Times New Roman"/>
                <w:color w:val="auto"/>
                <w:szCs w:val="21"/>
              </w:rPr>
            </w:pPr>
            <w:r>
              <w:rPr>
                <w:rFonts w:cs="Times New Roman"/>
                <w:color w:val="auto"/>
                <w:szCs w:val="21"/>
              </w:rPr>
              <w:t>备注</w:t>
            </w:r>
          </w:p>
        </w:tc>
      </w:tr>
      <w:tr w14:paraId="0ACEA9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restart"/>
            <w:vAlign w:val="center"/>
          </w:tcPr>
          <w:p w14:paraId="64E8E75C">
            <w:pPr>
              <w:pStyle w:val="75"/>
            </w:pPr>
            <w:r>
              <w:t>1</w:t>
            </w:r>
          </w:p>
        </w:tc>
        <w:tc>
          <w:tcPr>
            <w:tcW w:w="659" w:type="pct"/>
            <w:vMerge w:val="restart"/>
            <w:vAlign w:val="center"/>
          </w:tcPr>
          <w:p w14:paraId="56008F16">
            <w:pPr>
              <w:pStyle w:val="75"/>
            </w:pPr>
            <w:r>
              <w:t>主体工程</w:t>
            </w:r>
          </w:p>
        </w:tc>
        <w:tc>
          <w:tcPr>
            <w:tcW w:w="1036" w:type="pct"/>
            <w:vAlign w:val="center"/>
          </w:tcPr>
          <w:p w14:paraId="6E7E1096">
            <w:pPr>
              <w:pStyle w:val="75"/>
              <w:jc w:val="center"/>
              <w:rPr>
                <w:color w:val="000000" w:themeColor="text1"/>
                <w14:textFill>
                  <w14:solidFill>
                    <w14:schemeClr w14:val="tx1"/>
                  </w14:solidFill>
                </w14:textFill>
              </w:rPr>
            </w:pPr>
            <w:r>
              <w:rPr>
                <w:color w:val="000000" w:themeColor="text1"/>
                <w14:textFill>
                  <w14:solidFill>
                    <w14:schemeClr w14:val="tx1"/>
                  </w14:solidFill>
                </w14:textFill>
              </w:rPr>
              <w:t>生产车间</w:t>
            </w:r>
          </w:p>
          <w:p w14:paraId="15B3598D">
            <w:pPr>
              <w:pStyle w:val="75"/>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电镀生产线</w:t>
            </w:r>
            <w:r>
              <w:rPr>
                <w:rFonts w:hint="eastAsia"/>
                <w:color w:val="000000" w:themeColor="text1"/>
                <w:lang w:eastAsia="zh-CN"/>
                <w14:textFill>
                  <w14:solidFill>
                    <w14:schemeClr w14:val="tx1"/>
                  </w14:solidFill>
                </w14:textFill>
              </w:rPr>
              <w:t>）</w:t>
            </w:r>
          </w:p>
        </w:tc>
        <w:tc>
          <w:tcPr>
            <w:tcW w:w="2048" w:type="pct"/>
            <w:vAlign w:val="center"/>
          </w:tcPr>
          <w:p w14:paraId="754F4346">
            <w:pPr>
              <w:pStyle w:val="75"/>
              <w:rPr>
                <w:rFonts w:hint="default" w:eastAsia="宋体"/>
                <w:color w:val="000000" w:themeColor="text1"/>
                <w:vertAlign w:val="superscript"/>
                <w:lang w:val="en-US" w:eastAsia="zh-CN"/>
                <w14:textFill>
                  <w14:solidFill>
                    <w14:schemeClr w14:val="tx1"/>
                  </w14:solidFill>
                </w14:textFill>
              </w:rPr>
            </w:pPr>
            <w:r>
              <w:rPr>
                <w:color w:val="000000" w:themeColor="text1"/>
                <w14:textFill>
                  <w14:solidFill>
                    <w14:schemeClr w14:val="tx1"/>
                  </w14:solidFill>
                </w14:textFill>
              </w:rPr>
              <w:t>1栋，</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F，建筑面积</w:t>
            </w:r>
            <w:r>
              <w:rPr>
                <w:rFonts w:hint="eastAsia"/>
                <w:color w:val="000000" w:themeColor="text1"/>
                <w:lang w:val="en-US" w:eastAsia="zh-CN"/>
                <w14:textFill>
                  <w14:solidFill>
                    <w14:schemeClr w14:val="tx1"/>
                  </w14:solidFill>
                </w14:textFill>
              </w:rPr>
              <w:t>4200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c>
          <w:tcPr>
            <w:tcW w:w="874" w:type="pct"/>
            <w:vAlign w:val="center"/>
          </w:tcPr>
          <w:p w14:paraId="7CD4CD23">
            <w:pPr>
              <w:pStyle w:val="75"/>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位于生产车间</w:t>
            </w:r>
          </w:p>
        </w:tc>
      </w:tr>
      <w:tr w14:paraId="0C8A2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246D1A4C">
            <w:pPr>
              <w:pStyle w:val="75"/>
            </w:pPr>
          </w:p>
        </w:tc>
        <w:tc>
          <w:tcPr>
            <w:tcW w:w="659" w:type="pct"/>
            <w:vMerge w:val="continue"/>
            <w:vAlign w:val="center"/>
          </w:tcPr>
          <w:p w14:paraId="5E71EF81">
            <w:pPr>
              <w:pStyle w:val="75"/>
            </w:pPr>
          </w:p>
        </w:tc>
        <w:tc>
          <w:tcPr>
            <w:tcW w:w="1036" w:type="pct"/>
            <w:vAlign w:val="center"/>
          </w:tcPr>
          <w:p w14:paraId="557303AB">
            <w:pPr>
              <w:pStyle w:val="75"/>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机加工区</w:t>
            </w:r>
          </w:p>
        </w:tc>
        <w:tc>
          <w:tcPr>
            <w:tcW w:w="2048" w:type="pct"/>
            <w:vAlign w:val="center"/>
          </w:tcPr>
          <w:p w14:paraId="66A8320B">
            <w:pPr>
              <w:pStyle w:val="75"/>
              <w:rPr>
                <w:color w:val="000000" w:themeColor="text1"/>
                <w14:textFill>
                  <w14:solidFill>
                    <w14:schemeClr w14:val="tx1"/>
                  </w14:solidFill>
                </w14:textFill>
              </w:rPr>
            </w:pPr>
            <w:r>
              <w:rPr>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1200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c>
          <w:tcPr>
            <w:tcW w:w="874" w:type="pct"/>
            <w:shd w:val="clear" w:color="auto" w:fill="auto"/>
            <w:vAlign w:val="center"/>
          </w:tcPr>
          <w:p w14:paraId="0713D88B">
            <w:pPr>
              <w:pStyle w:val="75"/>
              <w:ind w:firstLine="0" w:firstLineChars="0"/>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位于生产车间</w:t>
            </w:r>
          </w:p>
        </w:tc>
      </w:tr>
      <w:tr w14:paraId="7373A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restart"/>
            <w:vAlign w:val="center"/>
          </w:tcPr>
          <w:p w14:paraId="41E865F0">
            <w:pPr>
              <w:pStyle w:val="75"/>
            </w:pPr>
            <w:r>
              <w:t>2</w:t>
            </w:r>
          </w:p>
        </w:tc>
        <w:tc>
          <w:tcPr>
            <w:tcW w:w="659" w:type="pct"/>
            <w:vMerge w:val="restart"/>
            <w:vAlign w:val="center"/>
          </w:tcPr>
          <w:p w14:paraId="0B9B760B">
            <w:pPr>
              <w:pStyle w:val="75"/>
            </w:pPr>
            <w:r>
              <w:t>辅助工程</w:t>
            </w:r>
          </w:p>
        </w:tc>
        <w:tc>
          <w:tcPr>
            <w:tcW w:w="1036" w:type="pct"/>
            <w:vAlign w:val="center"/>
          </w:tcPr>
          <w:p w14:paraId="660C2CE8">
            <w:pPr>
              <w:pStyle w:val="75"/>
              <w:rPr>
                <w:color w:val="000000" w:themeColor="text1"/>
                <w14:textFill>
                  <w14:solidFill>
                    <w14:schemeClr w14:val="tx1"/>
                  </w14:solidFill>
                </w14:textFill>
              </w:rPr>
            </w:pPr>
            <w:r>
              <w:rPr>
                <w:color w:val="000000" w:themeColor="text1"/>
                <w14:textFill>
                  <w14:solidFill>
                    <w14:schemeClr w14:val="tx1"/>
                  </w14:solidFill>
                </w14:textFill>
              </w:rPr>
              <w:t>原料库</w:t>
            </w:r>
          </w:p>
        </w:tc>
        <w:tc>
          <w:tcPr>
            <w:tcW w:w="2048" w:type="pct"/>
            <w:vAlign w:val="center"/>
          </w:tcPr>
          <w:p w14:paraId="7C23A0DC">
            <w:pPr>
              <w:pStyle w:val="75"/>
              <w:rPr>
                <w:color w:val="000000" w:themeColor="text1"/>
                <w14:textFill>
                  <w14:solidFill>
                    <w14:schemeClr w14:val="tx1"/>
                  </w14:solidFill>
                </w14:textFill>
              </w:rPr>
            </w:pPr>
            <w:r>
              <w:rPr>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200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c>
          <w:tcPr>
            <w:tcW w:w="874" w:type="pct"/>
            <w:vAlign w:val="center"/>
          </w:tcPr>
          <w:p w14:paraId="7DDF1D4A">
            <w:pPr>
              <w:pStyle w:val="75"/>
              <w:rPr>
                <w:color w:val="000000" w:themeColor="text1"/>
                <w14:textFill>
                  <w14:solidFill>
                    <w14:schemeClr w14:val="tx1"/>
                  </w14:solidFill>
                </w14:textFill>
              </w:rPr>
            </w:pPr>
            <w:r>
              <w:rPr>
                <w:color w:val="000000" w:themeColor="text1"/>
                <w14:textFill>
                  <w14:solidFill>
                    <w14:schemeClr w14:val="tx1"/>
                  </w14:solidFill>
                </w14:textFill>
              </w:rPr>
              <w:t>位于生产车间</w:t>
            </w:r>
          </w:p>
        </w:tc>
      </w:tr>
      <w:tr w14:paraId="3FF29D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37A8A888">
            <w:pPr>
              <w:pStyle w:val="75"/>
            </w:pPr>
          </w:p>
        </w:tc>
        <w:tc>
          <w:tcPr>
            <w:tcW w:w="659" w:type="pct"/>
            <w:vMerge w:val="continue"/>
            <w:vAlign w:val="center"/>
          </w:tcPr>
          <w:p w14:paraId="5C563229">
            <w:pPr>
              <w:pStyle w:val="75"/>
            </w:pPr>
          </w:p>
        </w:tc>
        <w:tc>
          <w:tcPr>
            <w:tcW w:w="1036" w:type="pct"/>
            <w:vAlign w:val="center"/>
          </w:tcPr>
          <w:p w14:paraId="71CF370B">
            <w:pPr>
              <w:pStyle w:val="75"/>
              <w:rPr>
                <w:color w:val="000000" w:themeColor="text1"/>
                <w14:textFill>
                  <w14:solidFill>
                    <w14:schemeClr w14:val="tx1"/>
                  </w14:solidFill>
                </w14:textFill>
              </w:rPr>
            </w:pPr>
            <w:r>
              <w:rPr>
                <w:color w:val="000000" w:themeColor="text1"/>
                <w14:textFill>
                  <w14:solidFill>
                    <w14:schemeClr w14:val="tx1"/>
                  </w14:solidFill>
                </w14:textFill>
              </w:rPr>
              <w:t>产品库</w:t>
            </w:r>
          </w:p>
        </w:tc>
        <w:tc>
          <w:tcPr>
            <w:tcW w:w="2048" w:type="pct"/>
            <w:vAlign w:val="center"/>
          </w:tcPr>
          <w:p w14:paraId="357F8D45">
            <w:pPr>
              <w:pStyle w:val="75"/>
              <w:rPr>
                <w:color w:val="000000" w:themeColor="text1"/>
                <w14:textFill>
                  <w14:solidFill>
                    <w14:schemeClr w14:val="tx1"/>
                  </w14:solidFill>
                </w14:textFill>
              </w:rPr>
            </w:pPr>
            <w:r>
              <w:rPr>
                <w:color w:val="000000" w:themeColor="text1"/>
                <w14:textFill>
                  <w14:solidFill>
                    <w14:schemeClr w14:val="tx1"/>
                  </w14:solidFill>
                </w14:textFill>
              </w:rPr>
              <w:t>建筑面积500m</w:t>
            </w:r>
            <w:r>
              <w:rPr>
                <w:color w:val="000000" w:themeColor="text1"/>
                <w:vertAlign w:val="superscript"/>
                <w14:textFill>
                  <w14:solidFill>
                    <w14:schemeClr w14:val="tx1"/>
                  </w14:solidFill>
                </w14:textFill>
              </w:rPr>
              <w:t>2</w:t>
            </w:r>
          </w:p>
        </w:tc>
        <w:tc>
          <w:tcPr>
            <w:tcW w:w="874" w:type="pct"/>
            <w:vAlign w:val="center"/>
          </w:tcPr>
          <w:p w14:paraId="795B55AC">
            <w:pPr>
              <w:pStyle w:val="75"/>
              <w:rPr>
                <w:color w:val="000000" w:themeColor="text1"/>
                <w14:textFill>
                  <w14:solidFill>
                    <w14:schemeClr w14:val="tx1"/>
                  </w14:solidFill>
                </w14:textFill>
              </w:rPr>
            </w:pPr>
            <w:r>
              <w:rPr>
                <w:color w:val="000000" w:themeColor="text1"/>
                <w14:textFill>
                  <w14:solidFill>
                    <w14:schemeClr w14:val="tx1"/>
                  </w14:solidFill>
                </w14:textFill>
              </w:rPr>
              <w:t>位于生产车间</w:t>
            </w:r>
          </w:p>
        </w:tc>
      </w:tr>
      <w:tr w14:paraId="759614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599F4D8D">
            <w:pPr>
              <w:pStyle w:val="75"/>
            </w:pPr>
          </w:p>
        </w:tc>
        <w:tc>
          <w:tcPr>
            <w:tcW w:w="659" w:type="pct"/>
            <w:vMerge w:val="continue"/>
            <w:vAlign w:val="center"/>
          </w:tcPr>
          <w:p w14:paraId="4F6EF662">
            <w:pPr>
              <w:pStyle w:val="75"/>
            </w:pPr>
          </w:p>
        </w:tc>
        <w:tc>
          <w:tcPr>
            <w:tcW w:w="1036" w:type="pct"/>
            <w:vAlign w:val="center"/>
          </w:tcPr>
          <w:p w14:paraId="6EEEF779">
            <w:pPr>
              <w:pStyle w:val="75"/>
              <w:rPr>
                <w:color w:val="000000" w:themeColor="text1"/>
                <w14:textFill>
                  <w14:solidFill>
                    <w14:schemeClr w14:val="tx1"/>
                  </w14:solidFill>
                </w14:textFill>
              </w:rPr>
            </w:pPr>
            <w:r>
              <w:rPr>
                <w:color w:val="000000" w:themeColor="text1"/>
                <w14:textFill>
                  <w14:solidFill>
                    <w14:schemeClr w14:val="tx1"/>
                  </w14:solidFill>
                </w14:textFill>
              </w:rPr>
              <w:t>化学品库</w:t>
            </w:r>
          </w:p>
        </w:tc>
        <w:tc>
          <w:tcPr>
            <w:tcW w:w="2048" w:type="pct"/>
            <w:vAlign w:val="center"/>
          </w:tcPr>
          <w:p w14:paraId="6098D00C">
            <w:pPr>
              <w:pStyle w:val="75"/>
              <w:rPr>
                <w:color w:val="000000" w:themeColor="text1"/>
                <w14:textFill>
                  <w14:solidFill>
                    <w14:schemeClr w14:val="tx1"/>
                  </w14:solidFill>
                </w14:textFill>
              </w:rPr>
            </w:pPr>
            <w:r>
              <w:rPr>
                <w:color w:val="000000" w:themeColor="text1"/>
                <w14:textFill>
                  <w14:solidFill>
                    <w14:schemeClr w14:val="tx1"/>
                  </w14:solidFill>
                </w14:textFill>
              </w:rPr>
              <w:t>建筑面积</w:t>
            </w:r>
            <w:r>
              <w:rPr>
                <w:rFonts w:hint="eastAsia"/>
                <w:color w:val="000000" w:themeColor="text1"/>
                <w:lang w:val="en-US" w:eastAsia="zh-CN"/>
                <w14:textFill>
                  <w14:solidFill>
                    <w14:schemeClr w14:val="tx1"/>
                  </w14:solidFill>
                </w14:textFill>
              </w:rPr>
              <w:t>100</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2</w:t>
            </w:r>
          </w:p>
        </w:tc>
        <w:tc>
          <w:tcPr>
            <w:tcW w:w="874" w:type="pct"/>
            <w:vAlign w:val="center"/>
          </w:tcPr>
          <w:p w14:paraId="61723632">
            <w:pPr>
              <w:pStyle w:val="75"/>
              <w:rPr>
                <w:color w:val="000000" w:themeColor="text1"/>
                <w14:textFill>
                  <w14:solidFill>
                    <w14:schemeClr w14:val="tx1"/>
                  </w14:solidFill>
                </w14:textFill>
              </w:rPr>
            </w:pPr>
            <w:r>
              <w:rPr>
                <w:color w:val="000000" w:themeColor="text1"/>
                <w14:textFill>
                  <w14:solidFill>
                    <w14:schemeClr w14:val="tx1"/>
                  </w14:solidFill>
                </w14:textFill>
              </w:rPr>
              <w:t>位于生产车间</w:t>
            </w:r>
          </w:p>
        </w:tc>
      </w:tr>
      <w:tr w14:paraId="2AE91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restart"/>
            <w:vAlign w:val="center"/>
          </w:tcPr>
          <w:p w14:paraId="435BB84C">
            <w:pPr>
              <w:pStyle w:val="75"/>
            </w:pPr>
            <w:r>
              <w:rPr>
                <w:rFonts w:hint="eastAsia"/>
              </w:rPr>
              <w:t>3</w:t>
            </w:r>
          </w:p>
        </w:tc>
        <w:tc>
          <w:tcPr>
            <w:tcW w:w="659" w:type="pct"/>
            <w:vMerge w:val="restart"/>
            <w:vAlign w:val="center"/>
          </w:tcPr>
          <w:p w14:paraId="30BA0D5B">
            <w:pPr>
              <w:pStyle w:val="75"/>
            </w:pPr>
            <w:r>
              <w:t>公用工程</w:t>
            </w:r>
          </w:p>
        </w:tc>
        <w:tc>
          <w:tcPr>
            <w:tcW w:w="1036" w:type="pct"/>
            <w:vAlign w:val="center"/>
          </w:tcPr>
          <w:p w14:paraId="6C9F3C6A">
            <w:pPr>
              <w:pStyle w:val="75"/>
            </w:pPr>
            <w:r>
              <w:t>供水</w:t>
            </w:r>
          </w:p>
        </w:tc>
        <w:tc>
          <w:tcPr>
            <w:tcW w:w="2048" w:type="pct"/>
            <w:vAlign w:val="center"/>
          </w:tcPr>
          <w:p w14:paraId="33DD9EFA">
            <w:pPr>
              <w:pStyle w:val="75"/>
            </w:pPr>
            <w:r>
              <w:t>园区统一供</w:t>
            </w:r>
            <w:r>
              <w:rPr>
                <w:rFonts w:hint="eastAsia"/>
              </w:rPr>
              <w:t>水</w:t>
            </w:r>
          </w:p>
        </w:tc>
        <w:tc>
          <w:tcPr>
            <w:tcW w:w="874" w:type="pct"/>
            <w:vAlign w:val="center"/>
          </w:tcPr>
          <w:p w14:paraId="5828A905">
            <w:pPr>
              <w:pStyle w:val="75"/>
            </w:pPr>
            <w:r>
              <w:t>/</w:t>
            </w:r>
          </w:p>
        </w:tc>
      </w:tr>
      <w:tr w14:paraId="1C46CA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4BAE7477">
            <w:pPr>
              <w:pStyle w:val="75"/>
            </w:pPr>
          </w:p>
        </w:tc>
        <w:tc>
          <w:tcPr>
            <w:tcW w:w="659" w:type="pct"/>
            <w:vMerge w:val="continue"/>
            <w:vAlign w:val="center"/>
          </w:tcPr>
          <w:p w14:paraId="7EB6CFFE">
            <w:pPr>
              <w:pStyle w:val="75"/>
            </w:pPr>
          </w:p>
        </w:tc>
        <w:tc>
          <w:tcPr>
            <w:tcW w:w="1036" w:type="pct"/>
            <w:vAlign w:val="center"/>
          </w:tcPr>
          <w:p w14:paraId="46565083">
            <w:pPr>
              <w:pStyle w:val="75"/>
            </w:pPr>
            <w:r>
              <w:t>供电</w:t>
            </w:r>
          </w:p>
        </w:tc>
        <w:tc>
          <w:tcPr>
            <w:tcW w:w="2048" w:type="pct"/>
            <w:vAlign w:val="center"/>
          </w:tcPr>
          <w:p w14:paraId="785B9A90">
            <w:pPr>
              <w:pStyle w:val="75"/>
            </w:pPr>
            <w:r>
              <w:t>园区统一供电</w:t>
            </w:r>
          </w:p>
        </w:tc>
        <w:tc>
          <w:tcPr>
            <w:tcW w:w="874" w:type="pct"/>
            <w:vAlign w:val="center"/>
          </w:tcPr>
          <w:p w14:paraId="6D457282">
            <w:pPr>
              <w:pStyle w:val="75"/>
            </w:pPr>
            <w:r>
              <w:t>/</w:t>
            </w:r>
          </w:p>
        </w:tc>
      </w:tr>
      <w:tr w14:paraId="2A33DA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62C62DC8">
            <w:pPr>
              <w:pStyle w:val="75"/>
            </w:pPr>
          </w:p>
        </w:tc>
        <w:tc>
          <w:tcPr>
            <w:tcW w:w="659" w:type="pct"/>
            <w:vMerge w:val="continue"/>
            <w:vAlign w:val="center"/>
          </w:tcPr>
          <w:p w14:paraId="67D735E8">
            <w:pPr>
              <w:pStyle w:val="75"/>
            </w:pPr>
          </w:p>
        </w:tc>
        <w:tc>
          <w:tcPr>
            <w:tcW w:w="1036" w:type="pct"/>
            <w:vAlign w:val="center"/>
          </w:tcPr>
          <w:p w14:paraId="463C06D5">
            <w:pPr>
              <w:pStyle w:val="75"/>
            </w:pPr>
            <w:r>
              <w:rPr>
                <w:rFonts w:hint="eastAsia"/>
              </w:rPr>
              <w:t>供气</w:t>
            </w:r>
          </w:p>
        </w:tc>
        <w:tc>
          <w:tcPr>
            <w:tcW w:w="2048" w:type="pct"/>
            <w:vAlign w:val="center"/>
          </w:tcPr>
          <w:p w14:paraId="07DEF565">
            <w:pPr>
              <w:pStyle w:val="75"/>
            </w:pPr>
            <w:r>
              <w:t>园区统一供</w:t>
            </w:r>
            <w:r>
              <w:rPr>
                <w:rFonts w:hint="eastAsia"/>
              </w:rPr>
              <w:t>气</w:t>
            </w:r>
          </w:p>
        </w:tc>
        <w:tc>
          <w:tcPr>
            <w:tcW w:w="874" w:type="pct"/>
            <w:vAlign w:val="center"/>
          </w:tcPr>
          <w:p w14:paraId="0F78D945">
            <w:pPr>
              <w:pStyle w:val="75"/>
            </w:pPr>
            <w:r>
              <w:rPr>
                <w:rFonts w:hint="eastAsia"/>
              </w:rPr>
              <w:t>/</w:t>
            </w:r>
          </w:p>
        </w:tc>
      </w:tr>
      <w:tr w14:paraId="177702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2258D194">
            <w:pPr>
              <w:pStyle w:val="75"/>
            </w:pPr>
          </w:p>
        </w:tc>
        <w:tc>
          <w:tcPr>
            <w:tcW w:w="659" w:type="pct"/>
            <w:vMerge w:val="continue"/>
            <w:vAlign w:val="center"/>
          </w:tcPr>
          <w:p w14:paraId="446CCD1E">
            <w:pPr>
              <w:pStyle w:val="75"/>
            </w:pPr>
          </w:p>
        </w:tc>
        <w:tc>
          <w:tcPr>
            <w:tcW w:w="1036" w:type="pct"/>
            <w:vAlign w:val="center"/>
          </w:tcPr>
          <w:p w14:paraId="1D05D423">
            <w:pPr>
              <w:pStyle w:val="75"/>
            </w:pPr>
            <w:r>
              <w:rPr>
                <w:rFonts w:hint="eastAsia"/>
              </w:rPr>
              <w:t>供汽</w:t>
            </w:r>
          </w:p>
        </w:tc>
        <w:tc>
          <w:tcPr>
            <w:tcW w:w="2048" w:type="pct"/>
            <w:vAlign w:val="center"/>
          </w:tcPr>
          <w:p w14:paraId="03A80D33">
            <w:pPr>
              <w:pStyle w:val="75"/>
            </w:pPr>
            <w:r>
              <w:rPr>
                <w:rFonts w:hint="eastAsia"/>
                <w:lang w:val="en-US" w:eastAsia="zh-CN"/>
              </w:rPr>
              <w:t>电蒸汽发生器</w:t>
            </w:r>
            <w:r>
              <w:rPr>
                <w:rFonts w:hint="eastAsia"/>
              </w:rPr>
              <w:t>供汽</w:t>
            </w:r>
          </w:p>
        </w:tc>
        <w:tc>
          <w:tcPr>
            <w:tcW w:w="874" w:type="pct"/>
            <w:vAlign w:val="center"/>
          </w:tcPr>
          <w:p w14:paraId="610EFFC5">
            <w:pPr>
              <w:pStyle w:val="75"/>
            </w:pPr>
            <w:r>
              <w:rPr>
                <w:rFonts w:hint="eastAsia"/>
              </w:rPr>
              <w:t>/</w:t>
            </w:r>
          </w:p>
        </w:tc>
      </w:tr>
      <w:tr w14:paraId="6CF813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restart"/>
            <w:vAlign w:val="center"/>
          </w:tcPr>
          <w:p w14:paraId="4BB280CE">
            <w:pPr>
              <w:pStyle w:val="75"/>
            </w:pPr>
            <w:r>
              <w:rPr>
                <w:rFonts w:hint="eastAsia"/>
              </w:rPr>
              <w:t>4</w:t>
            </w:r>
          </w:p>
        </w:tc>
        <w:tc>
          <w:tcPr>
            <w:tcW w:w="659" w:type="pct"/>
            <w:vMerge w:val="restart"/>
            <w:vAlign w:val="center"/>
          </w:tcPr>
          <w:p w14:paraId="1A0449FC">
            <w:pPr>
              <w:pStyle w:val="75"/>
            </w:pPr>
            <w:r>
              <w:t>环保工程</w:t>
            </w:r>
          </w:p>
        </w:tc>
        <w:tc>
          <w:tcPr>
            <w:tcW w:w="1036" w:type="pct"/>
            <w:vAlign w:val="center"/>
          </w:tcPr>
          <w:p w14:paraId="319718A5">
            <w:pPr>
              <w:pStyle w:val="75"/>
              <w:rPr>
                <w:highlight w:val="none"/>
              </w:rPr>
            </w:pPr>
            <w:r>
              <w:rPr>
                <w:highlight w:val="none"/>
              </w:rPr>
              <w:t>废水处理设施</w:t>
            </w:r>
          </w:p>
        </w:tc>
        <w:tc>
          <w:tcPr>
            <w:tcW w:w="2048" w:type="pct"/>
            <w:vAlign w:val="center"/>
          </w:tcPr>
          <w:p w14:paraId="0C995274">
            <w:pPr>
              <w:pStyle w:val="75"/>
              <w:jc w:val="both"/>
              <w:rPr>
                <w:highlight w:val="none"/>
              </w:rPr>
            </w:pPr>
            <w:r>
              <w:rPr>
                <w:highlight w:val="none"/>
              </w:rPr>
              <w:t>1.含镍废水处理系统1座</w:t>
            </w:r>
            <w:r>
              <w:rPr>
                <w:rFonts w:hint="eastAsia"/>
                <w:highlight w:val="none"/>
                <w:lang w:val="en-US" w:eastAsia="zh-CN"/>
              </w:rPr>
              <w:t>（150t</w:t>
            </w:r>
            <w:r>
              <w:rPr>
                <w:highlight w:val="none"/>
              </w:rPr>
              <w:t>/d），处理工艺：调节+混凝沉淀+碳滤+超滤+反渗透+蒸发</w:t>
            </w:r>
          </w:p>
          <w:p w14:paraId="70FCDDD1">
            <w:pPr>
              <w:pStyle w:val="75"/>
              <w:jc w:val="both"/>
              <w:rPr>
                <w:highlight w:val="none"/>
              </w:rPr>
            </w:pPr>
            <w:r>
              <w:rPr>
                <w:highlight w:val="none"/>
              </w:rPr>
              <w:t>2.含铬废水处理系统1座（</w:t>
            </w:r>
            <w:r>
              <w:rPr>
                <w:rFonts w:hint="eastAsia"/>
                <w:highlight w:val="none"/>
                <w:lang w:val="en-US" w:eastAsia="zh-CN"/>
              </w:rPr>
              <w:t>90</w:t>
            </w:r>
            <w:r>
              <w:rPr>
                <w:highlight w:val="none"/>
              </w:rPr>
              <w:t>t/d），处理工艺：</w:t>
            </w:r>
            <w:r>
              <w:rPr>
                <w:rFonts w:hint="eastAsia"/>
                <w:highlight w:val="none"/>
              </w:rPr>
              <w:t>调节+</w:t>
            </w:r>
            <w:r>
              <w:rPr>
                <w:highlight w:val="none"/>
              </w:rPr>
              <w:t>混凝沉淀+碳滤+超滤+反渗透+蒸发</w:t>
            </w:r>
          </w:p>
          <w:p w14:paraId="2FD6852D">
            <w:pPr>
              <w:pStyle w:val="75"/>
              <w:jc w:val="both"/>
              <w:rPr>
                <w:highlight w:val="none"/>
              </w:rPr>
            </w:pPr>
            <w:r>
              <w:rPr>
                <w:highlight w:val="none"/>
              </w:rPr>
              <w:t>3.综合废水处理系统1座（</w:t>
            </w:r>
            <w:r>
              <w:rPr>
                <w:rFonts w:hint="eastAsia"/>
                <w:highlight w:val="none"/>
                <w:lang w:val="en-US" w:eastAsia="zh-CN"/>
              </w:rPr>
              <w:t>120</w:t>
            </w:r>
            <w:r>
              <w:rPr>
                <w:highlight w:val="none"/>
              </w:rPr>
              <w:t>t/d），处理工艺：</w:t>
            </w:r>
            <w:r>
              <w:rPr>
                <w:rFonts w:hint="eastAsia"/>
                <w:highlight w:val="none"/>
              </w:rPr>
              <w:t>破乳+气浮+调节+</w:t>
            </w:r>
            <w:r>
              <w:rPr>
                <w:highlight w:val="none"/>
              </w:rPr>
              <w:t>混凝沉淀+</w:t>
            </w:r>
            <w:r>
              <w:rPr>
                <w:bCs/>
                <w:highlight w:val="none"/>
              </w:rPr>
              <w:t>水解酸化+接触氧化</w:t>
            </w:r>
            <w:r>
              <w:rPr>
                <w:highlight w:val="none"/>
              </w:rPr>
              <w:t>+二沉池</w:t>
            </w:r>
          </w:p>
          <w:p w14:paraId="53BFD8B4">
            <w:pPr>
              <w:pStyle w:val="75"/>
              <w:jc w:val="both"/>
              <w:rPr>
                <w:highlight w:val="none"/>
              </w:rPr>
            </w:pPr>
            <w:r>
              <w:rPr>
                <w:rFonts w:hint="eastAsia"/>
                <w:highlight w:val="none"/>
                <w:lang w:val="en-US" w:eastAsia="zh-CN"/>
              </w:rPr>
              <w:t>4</w:t>
            </w:r>
            <w:r>
              <w:rPr>
                <w:highlight w:val="none"/>
              </w:rPr>
              <w:t>.员工生活污水，化粪池1座</w:t>
            </w:r>
          </w:p>
        </w:tc>
        <w:tc>
          <w:tcPr>
            <w:tcW w:w="874" w:type="pct"/>
            <w:vAlign w:val="center"/>
          </w:tcPr>
          <w:p w14:paraId="01E94491">
            <w:pPr>
              <w:pStyle w:val="75"/>
              <w:rPr>
                <w:highlight w:val="yellow"/>
              </w:rPr>
            </w:pPr>
            <w:r>
              <w:t>新建</w:t>
            </w:r>
          </w:p>
        </w:tc>
      </w:tr>
      <w:tr w14:paraId="1DCC0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04155CEF">
            <w:pPr>
              <w:pStyle w:val="75"/>
              <w:rPr>
                <w:highlight w:val="yellow"/>
              </w:rPr>
            </w:pPr>
          </w:p>
        </w:tc>
        <w:tc>
          <w:tcPr>
            <w:tcW w:w="659" w:type="pct"/>
            <w:vMerge w:val="continue"/>
            <w:vAlign w:val="center"/>
          </w:tcPr>
          <w:p w14:paraId="429B00C9">
            <w:pPr>
              <w:pStyle w:val="75"/>
              <w:rPr>
                <w:highlight w:val="yellow"/>
              </w:rPr>
            </w:pPr>
          </w:p>
        </w:tc>
        <w:tc>
          <w:tcPr>
            <w:tcW w:w="1036" w:type="pct"/>
            <w:vAlign w:val="center"/>
          </w:tcPr>
          <w:p w14:paraId="4F79EF31">
            <w:pPr>
              <w:pStyle w:val="75"/>
              <w:rPr>
                <w:highlight w:val="none"/>
              </w:rPr>
            </w:pPr>
            <w:r>
              <w:rPr>
                <w:highlight w:val="none"/>
              </w:rPr>
              <w:t>废气处理设施</w:t>
            </w:r>
          </w:p>
        </w:tc>
        <w:tc>
          <w:tcPr>
            <w:tcW w:w="2048" w:type="pct"/>
            <w:vAlign w:val="center"/>
          </w:tcPr>
          <w:p w14:paraId="13DA1248">
            <w:pPr>
              <w:pStyle w:val="75"/>
              <w:jc w:val="both"/>
              <w:rPr>
                <w:highlight w:val="none"/>
              </w:rPr>
            </w:pPr>
            <w:r>
              <w:rPr>
                <w:highlight w:val="none"/>
              </w:rPr>
              <w:t>1.电池钢壳生产线：两级碱喷淋吸收塔</w:t>
            </w:r>
            <w:r>
              <w:rPr>
                <w:rFonts w:hint="eastAsia"/>
                <w:highlight w:val="none"/>
              </w:rPr>
              <w:t>（</w:t>
            </w:r>
            <w:r>
              <w:rPr>
                <w:rFonts w:hint="eastAsia"/>
                <w:highlight w:val="none"/>
                <w:lang w:val="en-US" w:eastAsia="zh-CN"/>
              </w:rPr>
              <w:t>TA001</w:t>
            </w:r>
            <w:r>
              <w:rPr>
                <w:rFonts w:hint="eastAsia"/>
                <w:highlight w:val="none"/>
              </w:rPr>
              <w:t>）</w:t>
            </w:r>
            <w:r>
              <w:rPr>
                <w:highlight w:val="none"/>
              </w:rPr>
              <w:t>+15m高排气筒DA001</w:t>
            </w:r>
          </w:p>
          <w:p w14:paraId="2FFC01B7">
            <w:pPr>
              <w:pStyle w:val="75"/>
              <w:jc w:val="both"/>
              <w:rPr>
                <w:highlight w:val="none"/>
              </w:rPr>
            </w:pPr>
            <w:r>
              <w:rPr>
                <w:highlight w:val="none"/>
              </w:rPr>
              <w:t>2.</w:t>
            </w:r>
            <w:r>
              <w:rPr>
                <w:rFonts w:hint="eastAsia"/>
                <w:highlight w:val="none"/>
                <w:lang w:val="en-US" w:eastAsia="zh-CN"/>
              </w:rPr>
              <w:t>盖帽</w:t>
            </w:r>
            <w:r>
              <w:rPr>
                <w:highlight w:val="none"/>
              </w:rPr>
              <w:t>生产线：两级碱喷淋吸收塔（</w:t>
            </w:r>
            <w:r>
              <w:rPr>
                <w:rFonts w:hint="eastAsia"/>
                <w:highlight w:val="none"/>
                <w:lang w:val="en-US" w:eastAsia="zh-CN"/>
              </w:rPr>
              <w:t>TA002</w:t>
            </w:r>
            <w:r>
              <w:rPr>
                <w:highlight w:val="none"/>
              </w:rPr>
              <w:t>）+</w:t>
            </w:r>
            <w:r>
              <w:rPr>
                <w:rFonts w:hint="eastAsia"/>
                <w:highlight w:val="none"/>
              </w:rPr>
              <w:t>15</w:t>
            </w:r>
            <w:r>
              <w:rPr>
                <w:highlight w:val="none"/>
              </w:rPr>
              <w:t>m高排气筒DA002；</w:t>
            </w:r>
          </w:p>
          <w:p w14:paraId="71DA8DBD">
            <w:pPr>
              <w:pStyle w:val="75"/>
              <w:jc w:val="both"/>
              <w:rPr>
                <w:highlight w:val="none"/>
              </w:rPr>
            </w:pPr>
            <w:r>
              <w:rPr>
                <w:highlight w:val="none"/>
              </w:rPr>
              <w:t>3.</w:t>
            </w:r>
            <w:r>
              <w:rPr>
                <w:rFonts w:hint="eastAsia"/>
                <w:highlight w:val="none"/>
                <w:lang w:val="en-US" w:eastAsia="zh-CN"/>
              </w:rPr>
              <w:t>电池连接件</w:t>
            </w:r>
            <w:r>
              <w:rPr>
                <w:highlight w:val="none"/>
              </w:rPr>
              <w:t>生产线：两级碱喷淋吸收塔（</w:t>
            </w:r>
            <w:r>
              <w:rPr>
                <w:rFonts w:hint="eastAsia"/>
                <w:highlight w:val="none"/>
                <w:lang w:val="en-US" w:eastAsia="zh-CN"/>
              </w:rPr>
              <w:t>TA003</w:t>
            </w:r>
            <w:r>
              <w:rPr>
                <w:highlight w:val="none"/>
              </w:rPr>
              <w:t>）+15m高排气筒DA003</w:t>
            </w:r>
          </w:p>
          <w:p w14:paraId="687C77B4">
            <w:pPr>
              <w:pStyle w:val="75"/>
              <w:jc w:val="both"/>
              <w:rPr>
                <w:rFonts w:hint="eastAsia" w:eastAsia="宋体"/>
                <w:highlight w:val="none"/>
                <w:lang w:eastAsia="zh-CN"/>
              </w:rPr>
            </w:pPr>
            <w:r>
              <w:rPr>
                <w:rFonts w:hint="eastAsia"/>
                <w:highlight w:val="none"/>
              </w:rPr>
              <w:t>4.污水处理站：生物除臭滤塔</w:t>
            </w:r>
            <w:r>
              <w:rPr>
                <w:rFonts w:hint="eastAsia"/>
                <w:highlight w:val="none"/>
                <w:lang w:eastAsia="zh-CN"/>
              </w:rPr>
              <w:t>（</w:t>
            </w:r>
            <w:r>
              <w:rPr>
                <w:rFonts w:hint="eastAsia"/>
                <w:highlight w:val="none"/>
                <w:lang w:val="en-US" w:eastAsia="zh-CN"/>
              </w:rPr>
              <w:t>TA004</w:t>
            </w:r>
            <w:r>
              <w:rPr>
                <w:rFonts w:hint="eastAsia"/>
                <w:highlight w:val="none"/>
                <w:lang w:eastAsia="zh-CN"/>
              </w:rPr>
              <w:t>）</w:t>
            </w:r>
            <w:r>
              <w:rPr>
                <w:rFonts w:hint="eastAsia"/>
                <w:highlight w:val="none"/>
              </w:rPr>
              <w:t>+</w:t>
            </w:r>
            <w:r>
              <w:rPr>
                <w:highlight w:val="none"/>
              </w:rPr>
              <w:t>15m高排气筒DA00</w:t>
            </w:r>
            <w:r>
              <w:rPr>
                <w:rFonts w:hint="eastAsia"/>
                <w:highlight w:val="none"/>
                <w:lang w:val="en-US" w:eastAsia="zh-CN"/>
              </w:rPr>
              <w:t>4</w:t>
            </w:r>
          </w:p>
        </w:tc>
        <w:tc>
          <w:tcPr>
            <w:tcW w:w="874" w:type="pct"/>
            <w:vAlign w:val="center"/>
          </w:tcPr>
          <w:p w14:paraId="0A0931E6">
            <w:pPr>
              <w:pStyle w:val="75"/>
              <w:rPr>
                <w:highlight w:val="yellow"/>
              </w:rPr>
            </w:pPr>
            <w:r>
              <w:t>新建</w:t>
            </w:r>
          </w:p>
        </w:tc>
      </w:tr>
      <w:tr w14:paraId="19B81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36642C28">
            <w:pPr>
              <w:pStyle w:val="75"/>
              <w:rPr>
                <w:highlight w:val="yellow"/>
              </w:rPr>
            </w:pPr>
          </w:p>
        </w:tc>
        <w:tc>
          <w:tcPr>
            <w:tcW w:w="659" w:type="pct"/>
            <w:vMerge w:val="continue"/>
            <w:vAlign w:val="center"/>
          </w:tcPr>
          <w:p w14:paraId="3BFEBB45">
            <w:pPr>
              <w:pStyle w:val="75"/>
              <w:rPr>
                <w:highlight w:val="yellow"/>
              </w:rPr>
            </w:pPr>
          </w:p>
        </w:tc>
        <w:tc>
          <w:tcPr>
            <w:tcW w:w="1036" w:type="pct"/>
            <w:vMerge w:val="restart"/>
            <w:vAlign w:val="center"/>
          </w:tcPr>
          <w:p w14:paraId="36631D82">
            <w:pPr>
              <w:pStyle w:val="75"/>
            </w:pPr>
            <w:r>
              <w:t>固废处置设施</w:t>
            </w:r>
          </w:p>
        </w:tc>
        <w:tc>
          <w:tcPr>
            <w:tcW w:w="2048" w:type="pct"/>
            <w:vAlign w:val="center"/>
          </w:tcPr>
          <w:p w14:paraId="136FDD18">
            <w:pPr>
              <w:pStyle w:val="75"/>
              <w:rPr>
                <w:highlight w:val="yellow"/>
              </w:rPr>
            </w:pPr>
            <w:r>
              <w:t>危险废物</w:t>
            </w:r>
            <w:r>
              <w:rPr>
                <w:rFonts w:hint="eastAsia"/>
              </w:rPr>
              <w:t>贮存库</w:t>
            </w:r>
            <w:r>
              <w:t>1间（</w:t>
            </w:r>
            <w:r>
              <w:rPr>
                <w:rFonts w:hint="eastAsia"/>
              </w:rPr>
              <w:t>50</w:t>
            </w:r>
            <w:r>
              <w:t>m</w:t>
            </w:r>
            <w:r>
              <w:rPr>
                <w:vertAlign w:val="superscript"/>
              </w:rPr>
              <w:t>2</w:t>
            </w:r>
            <w:r>
              <w:t>）</w:t>
            </w:r>
          </w:p>
        </w:tc>
        <w:tc>
          <w:tcPr>
            <w:tcW w:w="874" w:type="pct"/>
            <w:vAlign w:val="center"/>
          </w:tcPr>
          <w:p w14:paraId="4581A587">
            <w:pPr>
              <w:pStyle w:val="75"/>
              <w:rPr>
                <w:highlight w:val="yellow"/>
              </w:rPr>
            </w:pPr>
            <w:r>
              <w:t>新建</w:t>
            </w:r>
          </w:p>
        </w:tc>
      </w:tr>
      <w:tr w14:paraId="10F519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45FCC74C">
            <w:pPr>
              <w:pStyle w:val="75"/>
              <w:rPr>
                <w:highlight w:val="yellow"/>
              </w:rPr>
            </w:pPr>
          </w:p>
        </w:tc>
        <w:tc>
          <w:tcPr>
            <w:tcW w:w="659" w:type="pct"/>
            <w:vMerge w:val="continue"/>
            <w:vAlign w:val="center"/>
          </w:tcPr>
          <w:p w14:paraId="0D7681C8">
            <w:pPr>
              <w:pStyle w:val="75"/>
              <w:rPr>
                <w:highlight w:val="yellow"/>
              </w:rPr>
            </w:pPr>
          </w:p>
        </w:tc>
        <w:tc>
          <w:tcPr>
            <w:tcW w:w="1036" w:type="pct"/>
            <w:vMerge w:val="continue"/>
            <w:vAlign w:val="center"/>
          </w:tcPr>
          <w:p w14:paraId="165DA0F6">
            <w:pPr>
              <w:pStyle w:val="75"/>
              <w:rPr>
                <w:highlight w:val="yellow"/>
              </w:rPr>
            </w:pPr>
          </w:p>
        </w:tc>
        <w:tc>
          <w:tcPr>
            <w:tcW w:w="2048" w:type="pct"/>
            <w:vAlign w:val="center"/>
          </w:tcPr>
          <w:p w14:paraId="20F4C5E6">
            <w:pPr>
              <w:pStyle w:val="75"/>
              <w:rPr>
                <w:highlight w:val="yellow"/>
              </w:rPr>
            </w:pPr>
            <w:r>
              <w:t>一般固废暂存间1间（</w:t>
            </w:r>
            <w:r>
              <w:rPr>
                <w:rFonts w:hint="eastAsia"/>
              </w:rPr>
              <w:t>50</w:t>
            </w:r>
            <w:r>
              <w:t>m</w:t>
            </w:r>
            <w:r>
              <w:rPr>
                <w:vertAlign w:val="superscript"/>
              </w:rPr>
              <w:t>2</w:t>
            </w:r>
            <w:r>
              <w:t>）</w:t>
            </w:r>
          </w:p>
        </w:tc>
        <w:tc>
          <w:tcPr>
            <w:tcW w:w="874" w:type="pct"/>
            <w:vAlign w:val="center"/>
          </w:tcPr>
          <w:p w14:paraId="6958DBCC">
            <w:pPr>
              <w:pStyle w:val="75"/>
              <w:rPr>
                <w:highlight w:val="yellow"/>
              </w:rPr>
            </w:pPr>
            <w:r>
              <w:t>新建</w:t>
            </w:r>
          </w:p>
        </w:tc>
      </w:tr>
      <w:tr w14:paraId="7E347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0" w:type="pct"/>
            <w:vMerge w:val="continue"/>
            <w:vAlign w:val="center"/>
          </w:tcPr>
          <w:p w14:paraId="25E978CC">
            <w:pPr>
              <w:pStyle w:val="75"/>
              <w:rPr>
                <w:highlight w:val="yellow"/>
              </w:rPr>
            </w:pPr>
          </w:p>
        </w:tc>
        <w:tc>
          <w:tcPr>
            <w:tcW w:w="659" w:type="pct"/>
            <w:vMerge w:val="continue"/>
            <w:vAlign w:val="center"/>
          </w:tcPr>
          <w:p w14:paraId="08CBFDBC">
            <w:pPr>
              <w:pStyle w:val="75"/>
              <w:rPr>
                <w:highlight w:val="yellow"/>
              </w:rPr>
            </w:pPr>
          </w:p>
        </w:tc>
        <w:tc>
          <w:tcPr>
            <w:tcW w:w="1036" w:type="pct"/>
            <w:vAlign w:val="center"/>
          </w:tcPr>
          <w:p w14:paraId="14D1BDB0">
            <w:pPr>
              <w:pStyle w:val="75"/>
              <w:rPr>
                <w:highlight w:val="yellow"/>
              </w:rPr>
            </w:pPr>
            <w:r>
              <w:t>风险防范措施</w:t>
            </w:r>
          </w:p>
        </w:tc>
        <w:tc>
          <w:tcPr>
            <w:tcW w:w="2048" w:type="pct"/>
            <w:vAlign w:val="center"/>
          </w:tcPr>
          <w:p w14:paraId="4D66B8BE">
            <w:pPr>
              <w:pStyle w:val="75"/>
            </w:pPr>
            <w:r>
              <w:t>事故水池1座（</w:t>
            </w:r>
            <w:r>
              <w:rPr>
                <w:rFonts w:hint="eastAsia"/>
                <w:lang w:val="en-US" w:eastAsia="zh-CN"/>
              </w:rPr>
              <w:t>300</w:t>
            </w:r>
            <w:r>
              <w:t>m</w:t>
            </w:r>
            <w:r>
              <w:rPr>
                <w:vertAlign w:val="superscript"/>
              </w:rPr>
              <w:t>3</w:t>
            </w:r>
            <w:r>
              <w:t>）</w:t>
            </w:r>
          </w:p>
        </w:tc>
        <w:tc>
          <w:tcPr>
            <w:tcW w:w="874" w:type="pct"/>
            <w:vAlign w:val="center"/>
          </w:tcPr>
          <w:p w14:paraId="78CA2683">
            <w:pPr>
              <w:pStyle w:val="75"/>
            </w:pPr>
            <w:r>
              <w:t>新建</w:t>
            </w:r>
          </w:p>
        </w:tc>
      </w:tr>
      <w:bookmarkEnd w:id="369"/>
      <w:bookmarkEnd w:id="370"/>
      <w:bookmarkEnd w:id="371"/>
    </w:tbl>
    <w:p w14:paraId="4960D4AD">
      <w:pPr>
        <w:ind w:firstLine="480"/>
      </w:pPr>
      <w:bookmarkStart w:id="372" w:name="_Toc428287213"/>
      <w:bookmarkStart w:id="373" w:name="_Toc428286819"/>
      <w:bookmarkStart w:id="374" w:name="_Toc428287565"/>
      <w:r>
        <w:rPr>
          <w:rFonts w:hint="eastAsia"/>
        </w:rPr>
        <w:t>（2）厂房</w:t>
      </w:r>
      <w:r>
        <w:rPr>
          <w:rFonts w:hint="eastAsia"/>
          <w:lang w:val="en-US" w:eastAsia="zh-CN"/>
        </w:rPr>
        <w:t>平面布置</w:t>
      </w:r>
      <w:r>
        <w:rPr>
          <w:rFonts w:hint="eastAsia"/>
        </w:rPr>
        <w:t>合理性分析</w:t>
      </w:r>
    </w:p>
    <w:p w14:paraId="61B2A837">
      <w:pPr>
        <w:ind w:firstLine="480"/>
        <w:rPr>
          <w:rFonts w:hint="eastAsia" w:ascii="Times New Roman" w:hAnsi="Times New Roman" w:eastAsia="宋体" w:cs="Times New Roman"/>
          <w:b w:val="0"/>
          <w:color w:val="000000" w:themeColor="text1"/>
          <w:kern w:val="0"/>
          <w:sz w:val="24"/>
          <w:szCs w:val="20"/>
          <w:lang w:val="en-US" w:eastAsia="zh-CN" w:bidi="ar-SA"/>
          <w14:textFill>
            <w14:solidFill>
              <w14:schemeClr w14:val="tx1"/>
            </w14:solidFill>
          </w14:textFill>
        </w:rPr>
      </w:pPr>
      <w:r>
        <w:rPr>
          <w:rFonts w:hint="eastAsia"/>
          <w:bCs/>
          <w:color w:val="000000" w:themeColor="text1"/>
          <w:szCs w:val="24"/>
          <w14:textFill>
            <w14:solidFill>
              <w14:schemeClr w14:val="tx1"/>
            </w14:solidFill>
          </w14:textFill>
        </w:rPr>
        <w:t>本</w:t>
      </w:r>
      <w:r>
        <w:rPr>
          <w:rFonts w:hint="eastAsia" w:ascii="Times New Roman" w:hAnsi="Times New Roman" w:eastAsia="宋体" w:cs="Times New Roman"/>
          <w:b w:val="0"/>
          <w:color w:val="000000" w:themeColor="text1"/>
          <w:kern w:val="0"/>
          <w:sz w:val="24"/>
          <w:szCs w:val="20"/>
          <w:lang w:val="en-US" w:eastAsia="zh-CN" w:bidi="ar-SA"/>
          <w14:textFill>
            <w14:solidFill>
              <w14:schemeClr w14:val="tx1"/>
            </w14:solidFill>
          </w14:textFill>
        </w:rPr>
        <w:t>生产区有1栋厂房组成，生产车间为1层建筑物，主要为电镀生产区</w:t>
      </w:r>
      <w:r>
        <w:rPr>
          <w:rFonts w:hint="eastAsia" w:cs="Times New Roman"/>
          <w:b w:val="0"/>
          <w:color w:val="000000" w:themeColor="text1"/>
          <w:kern w:val="0"/>
          <w:sz w:val="24"/>
          <w:szCs w:val="20"/>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0"/>
          <w:sz w:val="24"/>
          <w:szCs w:val="20"/>
          <w:lang w:val="en-US" w:eastAsia="zh-CN" w:bidi="ar-SA"/>
          <w14:textFill>
            <w14:solidFill>
              <w14:schemeClr w14:val="tx1"/>
            </w14:solidFill>
          </w14:textFill>
        </w:rPr>
        <w:t>机加工区、原料库、产品库、化学品库和锅炉房等。生产设备不相互混合，不同设备分区摆放，机加工区、电镀生产线区分区明确；电镀生产线摆放合理，污水处理系统位于厂区</w:t>
      </w:r>
      <w:r>
        <w:rPr>
          <w:rFonts w:hint="eastAsia" w:cs="Times New Roman"/>
          <w:b w:val="0"/>
          <w:color w:val="000000" w:themeColor="text1"/>
          <w:kern w:val="0"/>
          <w:sz w:val="24"/>
          <w:szCs w:val="20"/>
          <w:lang w:val="en-US" w:eastAsia="zh-CN" w:bidi="ar-SA"/>
          <w14:textFill>
            <w14:solidFill>
              <w14:schemeClr w14:val="tx1"/>
            </w14:solidFill>
          </w14:textFill>
        </w:rPr>
        <w:t>南侧</w:t>
      </w:r>
      <w:r>
        <w:rPr>
          <w:rFonts w:hint="eastAsia" w:ascii="Times New Roman" w:hAnsi="Times New Roman" w:eastAsia="宋体" w:cs="Times New Roman"/>
          <w:b w:val="0"/>
          <w:color w:val="000000" w:themeColor="text1"/>
          <w:kern w:val="0"/>
          <w:sz w:val="24"/>
          <w:szCs w:val="20"/>
          <w:lang w:val="en-US" w:eastAsia="zh-CN" w:bidi="ar-SA"/>
          <w14:textFill>
            <w14:solidFill>
              <w14:schemeClr w14:val="tx1"/>
            </w14:solidFill>
          </w14:textFill>
        </w:rPr>
        <w:t>；固废间设置合理。总体上生产区、成品库、化学品库和污水处理措施等功能分区明确、布局合理。</w:t>
      </w:r>
    </w:p>
    <w:p w14:paraId="4093FE1F">
      <w:pPr>
        <w:ind w:firstLine="480"/>
        <w:rPr>
          <w:rFonts w:hint="eastAsia" w:ascii="Times New Roman" w:hAnsi="Times New Roman" w:eastAsia="宋体" w:cs="Times New Roman"/>
          <w:b w:val="0"/>
          <w:kern w:val="0"/>
          <w:sz w:val="24"/>
          <w:szCs w:val="20"/>
          <w:lang w:val="en-US" w:eastAsia="zh-CN" w:bidi="ar-SA"/>
        </w:rPr>
      </w:pPr>
      <w:r>
        <w:rPr>
          <w:rFonts w:hint="eastAsia" w:ascii="Times New Roman" w:hAnsi="Times New Roman" w:eastAsia="宋体" w:cs="Times New Roman"/>
          <w:b w:val="0"/>
          <w:kern w:val="0"/>
          <w:sz w:val="24"/>
          <w:szCs w:val="20"/>
          <w:lang w:val="en-US" w:eastAsia="zh-CN" w:bidi="ar-SA"/>
        </w:rPr>
        <w:t>厂区布置力求做到管线走向短捷，道路明确，交通物流组织合理。总体上生产区、办公区等功能分区明确、布局合理。</w:t>
      </w:r>
    </w:p>
    <w:p w14:paraId="0EE9E1B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75" w:name="_Toc108122506"/>
      <w:r>
        <w:rPr>
          <w:rFonts w:hint="eastAsia" w:ascii="Times New Roman" w:hAnsi="Times New Roman" w:cs="Times New Roman"/>
          <w:lang w:val="en-US" w:eastAsia="zh-CN"/>
        </w:rPr>
        <w:t>3.1.3产品方案</w:t>
      </w:r>
      <w:bookmarkEnd w:id="375"/>
    </w:p>
    <w:p w14:paraId="42702A64">
      <w:pPr>
        <w:pStyle w:val="38"/>
        <w:spacing w:before="0" w:beforeLines="0" w:after="0" w:afterLines="0" w:line="520" w:lineRule="exact"/>
        <w:ind w:firstLine="480"/>
      </w:pPr>
      <w:r>
        <w:rPr>
          <w:rFonts w:hint="eastAsia" w:eastAsia="宋体" w:cs="Times New Roman"/>
          <w:b w:val="0"/>
          <w:kern w:val="0"/>
          <w:szCs w:val="20"/>
        </w:rPr>
        <w:t>（1）本项目产品为电池钢壳、</w:t>
      </w:r>
      <w:r>
        <w:rPr>
          <w:rFonts w:hint="eastAsia" w:eastAsia="宋体" w:cs="Times New Roman"/>
          <w:b w:val="0"/>
          <w:kern w:val="0"/>
          <w:szCs w:val="20"/>
          <w:lang w:val="en-US" w:eastAsia="zh-CN"/>
        </w:rPr>
        <w:t>盖帽</w:t>
      </w:r>
      <w:r>
        <w:rPr>
          <w:rFonts w:hint="eastAsia" w:eastAsia="宋体" w:cs="Times New Roman"/>
          <w:b w:val="0"/>
          <w:kern w:val="0"/>
          <w:szCs w:val="20"/>
        </w:rPr>
        <w:t>、电池连接件，具体产品方案见下表。</w:t>
      </w:r>
    </w:p>
    <w:p w14:paraId="608077C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206A66F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表3</w:t>
      </w:r>
      <w:r>
        <w:rPr>
          <w:rFonts w:hint="eastAsia"/>
          <w:lang w:val="en-US" w:eastAsia="zh-CN"/>
        </w:rPr>
        <w:t>.1</w:t>
      </w:r>
      <w:r>
        <w:rPr>
          <w:rFonts w:hint="eastAsia"/>
        </w:rPr>
        <w:t>-</w:t>
      </w:r>
      <w:r>
        <w:rPr>
          <w:rFonts w:hint="eastAsia"/>
          <w:lang w:val="en-US" w:eastAsia="zh-CN"/>
        </w:rPr>
        <w:t>3</w:t>
      </w:r>
      <w:r>
        <w:t xml:space="preserve">    </w:t>
      </w:r>
      <w:r>
        <w:rPr>
          <w:rFonts w:hint="eastAsia"/>
        </w:rPr>
        <w:t>本项目产品方案一览表</w:t>
      </w:r>
    </w:p>
    <w:tbl>
      <w:tblPr>
        <w:tblStyle w:val="39"/>
        <w:tblW w:w="4654"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1585"/>
        <w:gridCol w:w="3082"/>
        <w:gridCol w:w="3271"/>
      </w:tblGrid>
      <w:tr w14:paraId="249C002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998" w:type="pct"/>
            <w:vAlign w:val="center"/>
          </w:tcPr>
          <w:p w14:paraId="184BE522">
            <w:pPr>
              <w:pStyle w:val="81"/>
              <w:rPr>
                <w:color w:val="auto"/>
              </w:rPr>
            </w:pPr>
            <w:r>
              <w:rPr>
                <w:rFonts w:hint="eastAsia"/>
                <w:color w:val="auto"/>
              </w:rPr>
              <w:t>序号</w:t>
            </w:r>
          </w:p>
        </w:tc>
        <w:tc>
          <w:tcPr>
            <w:tcW w:w="1941" w:type="pct"/>
            <w:vAlign w:val="center"/>
          </w:tcPr>
          <w:p w14:paraId="32A1FD5A">
            <w:pPr>
              <w:pStyle w:val="81"/>
              <w:rPr>
                <w:rFonts w:hint="eastAsia" w:eastAsia="宋体"/>
                <w:color w:val="auto"/>
                <w:lang w:val="en-US" w:eastAsia="zh-CN"/>
              </w:rPr>
            </w:pPr>
            <w:r>
              <w:rPr>
                <w:rFonts w:hint="eastAsia"/>
                <w:color w:val="auto"/>
                <w:lang w:val="en-US" w:eastAsia="zh-CN"/>
              </w:rPr>
              <w:t>产品</w:t>
            </w:r>
          </w:p>
        </w:tc>
        <w:tc>
          <w:tcPr>
            <w:tcW w:w="2060" w:type="pct"/>
            <w:vAlign w:val="center"/>
          </w:tcPr>
          <w:p w14:paraId="00469760">
            <w:pPr>
              <w:pStyle w:val="81"/>
              <w:rPr>
                <w:color w:val="auto"/>
              </w:rPr>
            </w:pPr>
            <w:r>
              <w:rPr>
                <w:rFonts w:hint="eastAsia"/>
                <w:color w:val="auto"/>
              </w:rPr>
              <w:t>产能</w:t>
            </w:r>
          </w:p>
        </w:tc>
      </w:tr>
      <w:tr w14:paraId="2FB9391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998" w:type="pct"/>
            <w:vAlign w:val="center"/>
          </w:tcPr>
          <w:p w14:paraId="26D65DC0">
            <w:pPr>
              <w:pStyle w:val="81"/>
              <w:rPr>
                <w:b w:val="0"/>
                <w:bCs/>
                <w:color w:val="auto"/>
              </w:rPr>
            </w:pPr>
            <w:r>
              <w:rPr>
                <w:rFonts w:hint="eastAsia"/>
                <w:b w:val="0"/>
                <w:bCs/>
                <w:color w:val="auto"/>
              </w:rPr>
              <w:t>1</w:t>
            </w:r>
          </w:p>
        </w:tc>
        <w:tc>
          <w:tcPr>
            <w:tcW w:w="1941" w:type="pct"/>
            <w:vAlign w:val="center"/>
          </w:tcPr>
          <w:p w14:paraId="08D7564F">
            <w:pPr>
              <w:pStyle w:val="81"/>
              <w:rPr>
                <w:b w:val="0"/>
                <w:bCs/>
                <w:color w:val="auto"/>
              </w:rPr>
            </w:pPr>
            <w:r>
              <w:rPr>
                <w:rFonts w:hint="eastAsia"/>
                <w:b w:val="0"/>
                <w:bCs/>
                <w:color w:val="auto"/>
              </w:rPr>
              <w:t>电池钢壳</w:t>
            </w:r>
          </w:p>
        </w:tc>
        <w:tc>
          <w:tcPr>
            <w:tcW w:w="2060" w:type="pct"/>
            <w:vAlign w:val="center"/>
          </w:tcPr>
          <w:p w14:paraId="70D6D746">
            <w:pPr>
              <w:pStyle w:val="81"/>
              <w:ind w:firstLine="0" w:firstLineChars="0"/>
              <w:rPr>
                <w:b w:val="0"/>
                <w:bCs/>
                <w:color w:val="auto"/>
              </w:rPr>
            </w:pPr>
            <w:r>
              <w:rPr>
                <w:rFonts w:hint="eastAsia"/>
                <w:b w:val="0"/>
                <w:color w:val="auto"/>
                <w:lang w:val="en-US" w:eastAsia="zh-CN"/>
              </w:rPr>
              <w:t>10</w:t>
            </w:r>
            <w:r>
              <w:rPr>
                <w:rFonts w:hint="eastAsia"/>
                <w:b w:val="0"/>
                <w:color w:val="auto"/>
              </w:rPr>
              <w:t>亿只/年</w:t>
            </w:r>
          </w:p>
        </w:tc>
      </w:tr>
      <w:tr w14:paraId="1B0D4F3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998" w:type="pct"/>
            <w:vAlign w:val="center"/>
          </w:tcPr>
          <w:p w14:paraId="34E55B27">
            <w:pPr>
              <w:pStyle w:val="81"/>
              <w:rPr>
                <w:b w:val="0"/>
                <w:bCs/>
                <w:color w:val="auto"/>
              </w:rPr>
            </w:pPr>
            <w:r>
              <w:rPr>
                <w:rFonts w:hint="eastAsia"/>
                <w:b w:val="0"/>
                <w:bCs/>
                <w:color w:val="auto"/>
              </w:rPr>
              <w:t>2</w:t>
            </w:r>
          </w:p>
        </w:tc>
        <w:tc>
          <w:tcPr>
            <w:tcW w:w="1941" w:type="pct"/>
            <w:vAlign w:val="center"/>
          </w:tcPr>
          <w:p w14:paraId="5DE6A881">
            <w:pPr>
              <w:pStyle w:val="81"/>
              <w:rPr>
                <w:rFonts w:hint="eastAsia" w:eastAsia="宋体"/>
                <w:b w:val="0"/>
                <w:bCs/>
                <w:color w:val="auto"/>
                <w:lang w:eastAsia="zh-CN"/>
              </w:rPr>
            </w:pPr>
            <w:r>
              <w:rPr>
                <w:rFonts w:hint="eastAsia"/>
                <w:b w:val="0"/>
                <w:bCs/>
                <w:color w:val="auto"/>
                <w:lang w:val="en-US" w:eastAsia="zh-CN"/>
              </w:rPr>
              <w:t>盖帽</w:t>
            </w:r>
          </w:p>
        </w:tc>
        <w:tc>
          <w:tcPr>
            <w:tcW w:w="2060" w:type="pct"/>
            <w:vAlign w:val="center"/>
          </w:tcPr>
          <w:p w14:paraId="25F5A972">
            <w:pPr>
              <w:pStyle w:val="81"/>
              <w:ind w:firstLine="0" w:firstLineChars="0"/>
              <w:rPr>
                <w:rFonts w:hint="default" w:eastAsia="宋体"/>
                <w:b w:val="0"/>
                <w:bCs/>
                <w:color w:val="auto"/>
                <w:lang w:val="en-US" w:eastAsia="zh-CN"/>
              </w:rPr>
            </w:pPr>
            <w:r>
              <w:rPr>
                <w:rFonts w:hint="eastAsia"/>
                <w:b w:val="0"/>
                <w:color w:val="auto"/>
                <w:lang w:val="en-US" w:eastAsia="zh-CN"/>
              </w:rPr>
              <w:t>10</w:t>
            </w:r>
            <w:r>
              <w:rPr>
                <w:rFonts w:hint="eastAsia"/>
                <w:b w:val="0"/>
                <w:color w:val="auto"/>
              </w:rPr>
              <w:t>亿只/年</w:t>
            </w:r>
          </w:p>
        </w:tc>
      </w:tr>
      <w:tr w14:paraId="64E18CE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998" w:type="pct"/>
            <w:vAlign w:val="center"/>
          </w:tcPr>
          <w:p w14:paraId="386BD753">
            <w:pPr>
              <w:pStyle w:val="81"/>
              <w:rPr>
                <w:b w:val="0"/>
                <w:bCs/>
                <w:color w:val="auto"/>
              </w:rPr>
            </w:pPr>
            <w:r>
              <w:rPr>
                <w:rFonts w:hint="eastAsia"/>
                <w:b w:val="0"/>
                <w:bCs/>
                <w:color w:val="auto"/>
              </w:rPr>
              <w:t>3</w:t>
            </w:r>
          </w:p>
        </w:tc>
        <w:tc>
          <w:tcPr>
            <w:tcW w:w="1941" w:type="pct"/>
            <w:vAlign w:val="center"/>
          </w:tcPr>
          <w:p w14:paraId="1C305004">
            <w:pPr>
              <w:pStyle w:val="81"/>
              <w:rPr>
                <w:rFonts w:hint="eastAsia" w:eastAsia="宋体"/>
                <w:b w:val="0"/>
                <w:bCs/>
                <w:color w:val="auto"/>
                <w:lang w:eastAsia="zh-CN"/>
              </w:rPr>
            </w:pPr>
            <w:r>
              <w:rPr>
                <w:rFonts w:hint="eastAsia"/>
                <w:b w:val="0"/>
                <w:bCs/>
                <w:lang w:val="en-US" w:eastAsia="zh-CN"/>
              </w:rPr>
              <w:t>电池连接件</w:t>
            </w:r>
          </w:p>
        </w:tc>
        <w:tc>
          <w:tcPr>
            <w:tcW w:w="2060" w:type="pct"/>
            <w:vAlign w:val="center"/>
          </w:tcPr>
          <w:p w14:paraId="5BCEC006">
            <w:pPr>
              <w:pStyle w:val="81"/>
              <w:ind w:firstLine="0" w:firstLineChars="0"/>
              <w:rPr>
                <w:rFonts w:hint="default" w:eastAsia="宋体"/>
                <w:b w:val="0"/>
                <w:bCs/>
                <w:color w:val="auto"/>
                <w:lang w:val="en-US" w:eastAsia="zh-CN"/>
              </w:rPr>
            </w:pPr>
            <w:r>
              <w:rPr>
                <w:rFonts w:hint="eastAsia"/>
                <w:b w:val="0"/>
                <w:bCs/>
                <w:color w:val="auto"/>
                <w:lang w:val="en-US" w:eastAsia="zh-CN"/>
              </w:rPr>
              <w:t>3600吨/年</w:t>
            </w:r>
          </w:p>
        </w:tc>
      </w:tr>
    </w:tbl>
    <w:p w14:paraId="6803298E">
      <w:pPr>
        <w:pStyle w:val="54"/>
        <w:ind w:firstLine="480"/>
        <w:rPr>
          <w:b w:val="0"/>
          <w:bCs/>
        </w:rPr>
      </w:pPr>
      <w:r>
        <w:rPr>
          <w:rFonts w:hint="eastAsia"/>
          <w:b w:val="0"/>
          <w:bCs/>
        </w:rPr>
        <w:t>（2）本项目电池钢壳、</w:t>
      </w:r>
      <w:r>
        <w:rPr>
          <w:rFonts w:hint="eastAsia"/>
          <w:b w:val="0"/>
          <w:bCs/>
          <w:lang w:val="en-US" w:eastAsia="zh-CN"/>
        </w:rPr>
        <w:t>盖帽</w:t>
      </w:r>
      <w:r>
        <w:rPr>
          <w:rFonts w:hint="eastAsia"/>
          <w:b w:val="0"/>
          <w:bCs/>
        </w:rPr>
        <w:t>和电池连接件的产品规格较多，本次不再详细列出，故统一采用均值表示。具体产品规格见表3</w:t>
      </w:r>
      <w:r>
        <w:rPr>
          <w:rFonts w:hint="eastAsia"/>
          <w:b w:val="0"/>
          <w:bCs/>
          <w:lang w:val="en-US" w:eastAsia="zh-CN"/>
        </w:rPr>
        <w:t>.1</w:t>
      </w:r>
      <w:r>
        <w:rPr>
          <w:rFonts w:hint="eastAsia"/>
          <w:b w:val="0"/>
          <w:bCs/>
        </w:rPr>
        <w:t>-</w:t>
      </w:r>
      <w:r>
        <w:rPr>
          <w:rFonts w:hint="eastAsia"/>
          <w:b w:val="0"/>
          <w:bCs/>
          <w:lang w:val="en-US" w:eastAsia="zh-CN"/>
        </w:rPr>
        <w:t>4</w:t>
      </w:r>
      <w:r>
        <w:rPr>
          <w:rFonts w:hint="eastAsia"/>
          <w:b w:val="0"/>
          <w:bCs/>
        </w:rPr>
        <w:t>~表3</w:t>
      </w:r>
      <w:r>
        <w:rPr>
          <w:rFonts w:hint="eastAsia"/>
          <w:b w:val="0"/>
          <w:bCs/>
          <w:lang w:val="en-US" w:eastAsia="zh-CN"/>
        </w:rPr>
        <w:t>.1</w:t>
      </w:r>
      <w:r>
        <w:rPr>
          <w:rFonts w:hint="eastAsia"/>
          <w:b w:val="0"/>
          <w:bCs/>
        </w:rPr>
        <w:t>-</w:t>
      </w:r>
      <w:r>
        <w:rPr>
          <w:rFonts w:hint="eastAsia"/>
          <w:b w:val="0"/>
          <w:bCs/>
          <w:lang w:val="en-US" w:eastAsia="zh-CN"/>
        </w:rPr>
        <w:t>6</w:t>
      </w:r>
      <w:r>
        <w:rPr>
          <w:rFonts w:hint="eastAsia"/>
          <w:b w:val="0"/>
          <w:bCs/>
        </w:rPr>
        <w:t>。</w:t>
      </w:r>
    </w:p>
    <w:p w14:paraId="187AFE6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4</w:t>
      </w:r>
      <w:r>
        <w:rPr>
          <w:rFonts w:hint="eastAsia"/>
        </w:rPr>
        <w:t xml:space="preserve">     本项目电池钢壳规格一览表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28" w:type="dxa"/>
          <w:bottom w:w="0" w:type="dxa"/>
          <w:right w:w="28" w:type="dxa"/>
        </w:tblCellMar>
      </w:tblPr>
      <w:tblGrid>
        <w:gridCol w:w="992"/>
        <w:gridCol w:w="1429"/>
        <w:gridCol w:w="1717"/>
        <w:gridCol w:w="1573"/>
        <w:gridCol w:w="1329"/>
        <w:gridCol w:w="1328"/>
      </w:tblGrid>
      <w:tr w14:paraId="1586BCD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3" w:type="pct"/>
            <w:vMerge w:val="restart"/>
            <w:vAlign w:val="center"/>
          </w:tcPr>
          <w:p w14:paraId="687B605F">
            <w:pPr>
              <w:pStyle w:val="81"/>
              <w:rPr>
                <w:color w:val="auto"/>
              </w:rPr>
            </w:pPr>
            <w:r>
              <w:rPr>
                <w:rFonts w:hint="eastAsia"/>
                <w:color w:val="auto"/>
              </w:rPr>
              <w:t>序号</w:t>
            </w:r>
          </w:p>
        </w:tc>
        <w:tc>
          <w:tcPr>
            <w:tcW w:w="854" w:type="pct"/>
            <w:vMerge w:val="restart"/>
            <w:vAlign w:val="center"/>
          </w:tcPr>
          <w:p w14:paraId="602CFBF8">
            <w:pPr>
              <w:pStyle w:val="81"/>
              <w:rPr>
                <w:color w:val="auto"/>
              </w:rPr>
            </w:pPr>
            <w:r>
              <w:rPr>
                <w:rFonts w:hint="eastAsia"/>
                <w:color w:val="auto"/>
              </w:rPr>
              <w:t>产品</w:t>
            </w:r>
          </w:p>
        </w:tc>
        <w:tc>
          <w:tcPr>
            <w:tcW w:w="1966" w:type="pct"/>
            <w:gridSpan w:val="2"/>
            <w:vAlign w:val="center"/>
          </w:tcPr>
          <w:p w14:paraId="38CB42AB">
            <w:pPr>
              <w:pStyle w:val="81"/>
              <w:rPr>
                <w:color w:val="auto"/>
              </w:rPr>
            </w:pPr>
            <w:r>
              <w:rPr>
                <w:rFonts w:hint="eastAsia"/>
                <w:color w:val="auto"/>
              </w:rPr>
              <w:t>规格/mm</w:t>
            </w:r>
          </w:p>
        </w:tc>
        <w:tc>
          <w:tcPr>
            <w:tcW w:w="794" w:type="pct"/>
            <w:vMerge w:val="restart"/>
            <w:vAlign w:val="center"/>
          </w:tcPr>
          <w:p w14:paraId="080DB2F9">
            <w:pPr>
              <w:pStyle w:val="81"/>
              <w:rPr>
                <w:color w:val="auto"/>
              </w:rPr>
            </w:pPr>
            <w:r>
              <w:rPr>
                <w:rFonts w:hint="eastAsia"/>
                <w:color w:val="auto"/>
              </w:rPr>
              <w:t>平均</w:t>
            </w:r>
            <w:r>
              <w:rPr>
                <w:color w:val="auto"/>
              </w:rPr>
              <w:t>重量</w:t>
            </w:r>
          </w:p>
          <w:p w14:paraId="04AEFB3F">
            <w:pPr>
              <w:pStyle w:val="81"/>
              <w:rPr>
                <w:color w:val="auto"/>
              </w:rPr>
            </w:pPr>
            <w:r>
              <w:rPr>
                <w:rFonts w:hint="eastAsia"/>
                <w:color w:val="auto"/>
              </w:rPr>
              <w:t>(g/只</w:t>
            </w:r>
            <w:r>
              <w:rPr>
                <w:color w:val="auto"/>
              </w:rPr>
              <w:t>)</w:t>
            </w:r>
          </w:p>
        </w:tc>
        <w:tc>
          <w:tcPr>
            <w:tcW w:w="793" w:type="pct"/>
            <w:vMerge w:val="restart"/>
            <w:vAlign w:val="center"/>
          </w:tcPr>
          <w:p w14:paraId="130DDA92">
            <w:pPr>
              <w:pStyle w:val="81"/>
              <w:rPr>
                <w:color w:val="auto"/>
              </w:rPr>
            </w:pPr>
            <w:r>
              <w:rPr>
                <w:rFonts w:hint="eastAsia"/>
                <w:color w:val="auto"/>
              </w:rPr>
              <w:t>单只平均</w:t>
            </w:r>
            <w:r>
              <w:rPr>
                <w:rFonts w:hint="eastAsia"/>
                <w:color w:val="auto"/>
                <w:lang w:val="en-US" w:eastAsia="zh-CN"/>
              </w:rPr>
              <w:t>电镀</w:t>
            </w:r>
            <w:r>
              <w:rPr>
                <w:rFonts w:hint="eastAsia"/>
                <w:color w:val="auto"/>
              </w:rPr>
              <w:t>面积(m</w:t>
            </w:r>
            <w:r>
              <w:rPr>
                <w:color w:val="auto"/>
                <w:vertAlign w:val="superscript"/>
              </w:rPr>
              <w:t>2</w:t>
            </w:r>
            <w:r>
              <w:rPr>
                <w:rFonts w:hint="eastAsia"/>
                <w:color w:val="auto"/>
              </w:rPr>
              <w:t>/只</w:t>
            </w:r>
            <w:r>
              <w:rPr>
                <w:color w:val="auto"/>
              </w:rPr>
              <w:t>)</w:t>
            </w:r>
          </w:p>
        </w:tc>
      </w:tr>
      <w:tr w14:paraId="1466D73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3" w:type="pct"/>
            <w:vMerge w:val="continue"/>
            <w:vAlign w:val="center"/>
          </w:tcPr>
          <w:p w14:paraId="6D07B84E">
            <w:pPr>
              <w:pStyle w:val="81"/>
              <w:rPr>
                <w:color w:val="auto"/>
              </w:rPr>
            </w:pPr>
          </w:p>
        </w:tc>
        <w:tc>
          <w:tcPr>
            <w:tcW w:w="854" w:type="pct"/>
            <w:vMerge w:val="continue"/>
            <w:vAlign w:val="center"/>
          </w:tcPr>
          <w:p w14:paraId="5C36829E">
            <w:pPr>
              <w:pStyle w:val="81"/>
              <w:rPr>
                <w:color w:val="auto"/>
              </w:rPr>
            </w:pPr>
          </w:p>
        </w:tc>
        <w:tc>
          <w:tcPr>
            <w:tcW w:w="1026" w:type="pct"/>
            <w:vAlign w:val="center"/>
          </w:tcPr>
          <w:p w14:paraId="323DD206">
            <w:pPr>
              <w:pStyle w:val="81"/>
              <w:rPr>
                <w:color w:val="auto"/>
              </w:rPr>
            </w:pPr>
            <w:r>
              <w:rPr>
                <w:rFonts w:hint="eastAsia"/>
                <w:color w:val="auto"/>
              </w:rPr>
              <w:t>直径</w:t>
            </w:r>
          </w:p>
        </w:tc>
        <w:tc>
          <w:tcPr>
            <w:tcW w:w="940" w:type="pct"/>
            <w:vAlign w:val="center"/>
          </w:tcPr>
          <w:p w14:paraId="08AEF5DE">
            <w:pPr>
              <w:pStyle w:val="81"/>
              <w:rPr>
                <w:color w:val="auto"/>
              </w:rPr>
            </w:pPr>
            <w:r>
              <w:rPr>
                <w:rFonts w:hint="eastAsia"/>
                <w:color w:val="auto"/>
              </w:rPr>
              <w:t>高度</w:t>
            </w:r>
          </w:p>
        </w:tc>
        <w:tc>
          <w:tcPr>
            <w:tcW w:w="794" w:type="pct"/>
            <w:vMerge w:val="continue"/>
            <w:vAlign w:val="center"/>
          </w:tcPr>
          <w:p w14:paraId="5E085E18">
            <w:pPr>
              <w:pStyle w:val="81"/>
              <w:rPr>
                <w:b w:val="0"/>
                <w:bCs/>
                <w:color w:val="auto"/>
              </w:rPr>
            </w:pPr>
          </w:p>
        </w:tc>
        <w:tc>
          <w:tcPr>
            <w:tcW w:w="793" w:type="pct"/>
            <w:vMerge w:val="continue"/>
            <w:vAlign w:val="center"/>
          </w:tcPr>
          <w:p w14:paraId="3B1AF647">
            <w:pPr>
              <w:pStyle w:val="81"/>
              <w:rPr>
                <w:b w:val="0"/>
                <w:bCs/>
                <w:color w:val="auto"/>
              </w:rPr>
            </w:pPr>
          </w:p>
        </w:tc>
      </w:tr>
      <w:tr w14:paraId="11B3D1F5">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3" w:type="pct"/>
            <w:vMerge w:val="restart"/>
            <w:vAlign w:val="center"/>
          </w:tcPr>
          <w:p w14:paraId="485B0F27">
            <w:pPr>
              <w:pStyle w:val="75"/>
              <w:rPr>
                <w:bCs/>
              </w:rPr>
            </w:pPr>
            <w:r>
              <w:rPr>
                <w:rFonts w:hint="eastAsia"/>
                <w:bCs/>
              </w:rPr>
              <w:t>1</w:t>
            </w:r>
          </w:p>
        </w:tc>
        <w:tc>
          <w:tcPr>
            <w:tcW w:w="854" w:type="pct"/>
            <w:vMerge w:val="restart"/>
            <w:vAlign w:val="center"/>
          </w:tcPr>
          <w:p w14:paraId="68613185">
            <w:pPr>
              <w:pStyle w:val="75"/>
              <w:rPr>
                <w:bCs/>
              </w:rPr>
            </w:pPr>
            <w:r>
              <w:rPr>
                <w:bCs/>
              </w:rPr>
              <w:t>电池钢壳</w:t>
            </w:r>
          </w:p>
        </w:tc>
        <w:tc>
          <w:tcPr>
            <w:tcW w:w="1026" w:type="pct"/>
            <w:vAlign w:val="center"/>
          </w:tcPr>
          <w:p w14:paraId="73B599CC">
            <w:pPr>
              <w:pStyle w:val="75"/>
              <w:rPr>
                <w:bCs/>
              </w:rPr>
            </w:pPr>
            <w:r>
              <w:rPr>
                <w:rFonts w:hint="eastAsia"/>
                <w:bCs/>
              </w:rPr>
              <w:t>9.6-42</w:t>
            </w:r>
          </w:p>
        </w:tc>
        <w:tc>
          <w:tcPr>
            <w:tcW w:w="940" w:type="pct"/>
            <w:vAlign w:val="center"/>
          </w:tcPr>
          <w:p w14:paraId="18DA2930">
            <w:pPr>
              <w:pStyle w:val="75"/>
              <w:rPr>
                <w:bCs/>
              </w:rPr>
            </w:pPr>
            <w:r>
              <w:rPr>
                <w:rFonts w:hint="eastAsia"/>
                <w:bCs/>
              </w:rPr>
              <w:t>3.4-200</w:t>
            </w:r>
          </w:p>
        </w:tc>
        <w:tc>
          <w:tcPr>
            <w:tcW w:w="794" w:type="pct"/>
            <w:vMerge w:val="restart"/>
            <w:vAlign w:val="center"/>
          </w:tcPr>
          <w:p w14:paraId="1FD17594">
            <w:pPr>
              <w:pStyle w:val="75"/>
              <w:rPr>
                <w:bCs/>
              </w:rPr>
            </w:pPr>
            <w:r>
              <w:rPr>
                <w:rFonts w:hint="eastAsia"/>
                <w:bCs/>
              </w:rPr>
              <w:t>55</w:t>
            </w:r>
          </w:p>
        </w:tc>
        <w:tc>
          <w:tcPr>
            <w:tcW w:w="793" w:type="pct"/>
            <w:vMerge w:val="restart"/>
            <w:vAlign w:val="center"/>
          </w:tcPr>
          <w:p w14:paraId="046AD681">
            <w:pPr>
              <w:pStyle w:val="75"/>
              <w:rPr>
                <w:bCs/>
              </w:rPr>
            </w:pPr>
            <w:r>
              <w:rPr>
                <w:rFonts w:hint="eastAsia"/>
                <w:bCs/>
              </w:rPr>
              <w:t>0.01752</w:t>
            </w:r>
          </w:p>
        </w:tc>
      </w:tr>
      <w:tr w14:paraId="3CA04A8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93" w:type="pct"/>
            <w:vMerge w:val="continue"/>
            <w:vAlign w:val="center"/>
          </w:tcPr>
          <w:p w14:paraId="00971CC9">
            <w:pPr>
              <w:pStyle w:val="75"/>
              <w:rPr>
                <w:bCs/>
              </w:rPr>
            </w:pPr>
          </w:p>
        </w:tc>
        <w:tc>
          <w:tcPr>
            <w:tcW w:w="854" w:type="pct"/>
            <w:vMerge w:val="continue"/>
            <w:vAlign w:val="center"/>
          </w:tcPr>
          <w:p w14:paraId="4038096F">
            <w:pPr>
              <w:pStyle w:val="75"/>
              <w:rPr>
                <w:bCs/>
              </w:rPr>
            </w:pPr>
          </w:p>
        </w:tc>
        <w:tc>
          <w:tcPr>
            <w:tcW w:w="1026" w:type="pct"/>
            <w:vAlign w:val="center"/>
          </w:tcPr>
          <w:p w14:paraId="40CECCEE">
            <w:pPr>
              <w:pStyle w:val="75"/>
              <w:rPr>
                <w:bCs/>
              </w:rPr>
            </w:pPr>
            <w:r>
              <w:rPr>
                <w:rFonts w:hint="eastAsia"/>
                <w:bCs/>
              </w:rPr>
              <w:t>25.8</w:t>
            </w:r>
          </w:p>
        </w:tc>
        <w:tc>
          <w:tcPr>
            <w:tcW w:w="940" w:type="pct"/>
            <w:vAlign w:val="center"/>
          </w:tcPr>
          <w:p w14:paraId="58989117">
            <w:pPr>
              <w:pStyle w:val="75"/>
              <w:rPr>
                <w:bCs/>
              </w:rPr>
            </w:pPr>
            <w:r>
              <w:rPr>
                <w:rFonts w:hint="eastAsia"/>
                <w:bCs/>
              </w:rPr>
              <w:t>101.7</w:t>
            </w:r>
          </w:p>
        </w:tc>
        <w:tc>
          <w:tcPr>
            <w:tcW w:w="794" w:type="pct"/>
            <w:vMerge w:val="continue"/>
            <w:vAlign w:val="center"/>
          </w:tcPr>
          <w:p w14:paraId="33BDFC26">
            <w:pPr>
              <w:pStyle w:val="75"/>
              <w:rPr>
                <w:bCs/>
              </w:rPr>
            </w:pPr>
          </w:p>
        </w:tc>
        <w:tc>
          <w:tcPr>
            <w:tcW w:w="793" w:type="pct"/>
            <w:vMerge w:val="continue"/>
            <w:vAlign w:val="center"/>
          </w:tcPr>
          <w:p w14:paraId="7002F5E5">
            <w:pPr>
              <w:pStyle w:val="75"/>
              <w:rPr>
                <w:bCs/>
              </w:rPr>
            </w:pPr>
          </w:p>
        </w:tc>
      </w:tr>
    </w:tbl>
    <w:p w14:paraId="11663BE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5</w:t>
      </w:r>
      <w:r>
        <w:rPr>
          <w:rFonts w:hint="eastAsia"/>
        </w:rPr>
        <w:t xml:space="preserve">    本项目</w:t>
      </w:r>
      <w:r>
        <w:rPr>
          <w:rFonts w:hint="eastAsia"/>
          <w:lang w:val="en-US" w:eastAsia="zh-CN"/>
        </w:rPr>
        <w:t>盖帽</w:t>
      </w:r>
      <w:r>
        <w:rPr>
          <w:rFonts w:hint="eastAsia"/>
        </w:rPr>
        <w:t>规格一览表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28" w:type="dxa"/>
          <w:bottom w:w="0" w:type="dxa"/>
          <w:right w:w="28" w:type="dxa"/>
        </w:tblCellMar>
      </w:tblPr>
      <w:tblGrid>
        <w:gridCol w:w="848"/>
        <w:gridCol w:w="1145"/>
        <w:gridCol w:w="1431"/>
        <w:gridCol w:w="1431"/>
        <w:gridCol w:w="1145"/>
        <w:gridCol w:w="1143"/>
        <w:gridCol w:w="1225"/>
      </w:tblGrid>
      <w:tr w14:paraId="35DD09F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07" w:type="pct"/>
            <w:vMerge w:val="restart"/>
            <w:vAlign w:val="center"/>
          </w:tcPr>
          <w:p w14:paraId="1A1420A6">
            <w:pPr>
              <w:pStyle w:val="81"/>
              <w:rPr>
                <w:color w:val="auto"/>
              </w:rPr>
            </w:pPr>
            <w:r>
              <w:rPr>
                <w:rFonts w:hint="eastAsia"/>
                <w:color w:val="auto"/>
              </w:rPr>
              <w:t>序号</w:t>
            </w:r>
          </w:p>
        </w:tc>
        <w:tc>
          <w:tcPr>
            <w:tcW w:w="684" w:type="pct"/>
            <w:vMerge w:val="restart"/>
            <w:vAlign w:val="center"/>
          </w:tcPr>
          <w:p w14:paraId="11354817">
            <w:pPr>
              <w:pStyle w:val="81"/>
              <w:rPr>
                <w:color w:val="auto"/>
              </w:rPr>
            </w:pPr>
            <w:r>
              <w:rPr>
                <w:rFonts w:hint="eastAsia"/>
                <w:color w:val="auto"/>
              </w:rPr>
              <w:t>产品</w:t>
            </w:r>
          </w:p>
        </w:tc>
        <w:tc>
          <w:tcPr>
            <w:tcW w:w="2394" w:type="pct"/>
            <w:gridSpan w:val="3"/>
            <w:vAlign w:val="center"/>
          </w:tcPr>
          <w:p w14:paraId="441B4E48">
            <w:pPr>
              <w:pStyle w:val="81"/>
              <w:rPr>
                <w:color w:val="auto"/>
              </w:rPr>
            </w:pPr>
            <w:r>
              <w:rPr>
                <w:rFonts w:hint="eastAsia"/>
                <w:color w:val="auto"/>
              </w:rPr>
              <w:t>规格/mm</w:t>
            </w:r>
          </w:p>
        </w:tc>
        <w:tc>
          <w:tcPr>
            <w:tcW w:w="683" w:type="pct"/>
            <w:vMerge w:val="restart"/>
            <w:vAlign w:val="center"/>
          </w:tcPr>
          <w:p w14:paraId="3F3925D2">
            <w:pPr>
              <w:pStyle w:val="81"/>
              <w:rPr>
                <w:color w:val="auto"/>
              </w:rPr>
            </w:pPr>
            <w:r>
              <w:rPr>
                <w:rFonts w:hint="eastAsia"/>
                <w:color w:val="auto"/>
              </w:rPr>
              <w:t>平均</w:t>
            </w:r>
            <w:r>
              <w:rPr>
                <w:color w:val="auto"/>
              </w:rPr>
              <w:t>重量</w:t>
            </w:r>
          </w:p>
          <w:p w14:paraId="20CF9BA2">
            <w:pPr>
              <w:pStyle w:val="81"/>
              <w:rPr>
                <w:color w:val="auto"/>
              </w:rPr>
            </w:pPr>
            <w:r>
              <w:rPr>
                <w:rFonts w:hint="eastAsia"/>
                <w:color w:val="auto"/>
              </w:rPr>
              <w:t>(g/</w:t>
            </w:r>
            <w:r>
              <w:rPr>
                <w:color w:val="auto"/>
              </w:rPr>
              <w:t>个)</w:t>
            </w:r>
          </w:p>
        </w:tc>
        <w:tc>
          <w:tcPr>
            <w:tcW w:w="732" w:type="pct"/>
            <w:vMerge w:val="restart"/>
            <w:vAlign w:val="center"/>
          </w:tcPr>
          <w:p w14:paraId="484C6575">
            <w:pPr>
              <w:pStyle w:val="81"/>
              <w:rPr>
                <w:color w:val="auto"/>
              </w:rPr>
            </w:pPr>
            <w:r>
              <w:rPr>
                <w:rFonts w:hint="eastAsia"/>
                <w:color w:val="auto"/>
              </w:rPr>
              <w:t>单只平均面积(m</w:t>
            </w:r>
            <w:r>
              <w:rPr>
                <w:color w:val="auto"/>
                <w:vertAlign w:val="superscript"/>
              </w:rPr>
              <w:t>2</w:t>
            </w:r>
            <w:r>
              <w:rPr>
                <w:rFonts w:hint="eastAsia"/>
                <w:color w:val="auto"/>
              </w:rPr>
              <w:t>/只</w:t>
            </w:r>
            <w:r>
              <w:rPr>
                <w:color w:val="auto"/>
              </w:rPr>
              <w:t>)</w:t>
            </w:r>
          </w:p>
        </w:tc>
      </w:tr>
      <w:tr w14:paraId="1B637C3D">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07" w:type="pct"/>
            <w:vMerge w:val="continue"/>
            <w:vAlign w:val="center"/>
          </w:tcPr>
          <w:p w14:paraId="7BD498CE">
            <w:pPr>
              <w:pStyle w:val="81"/>
              <w:rPr>
                <w:color w:val="auto"/>
              </w:rPr>
            </w:pPr>
          </w:p>
        </w:tc>
        <w:tc>
          <w:tcPr>
            <w:tcW w:w="684" w:type="pct"/>
            <w:vMerge w:val="continue"/>
            <w:vAlign w:val="center"/>
          </w:tcPr>
          <w:p w14:paraId="25F700A3">
            <w:pPr>
              <w:pStyle w:val="81"/>
              <w:rPr>
                <w:color w:val="auto"/>
              </w:rPr>
            </w:pPr>
          </w:p>
        </w:tc>
        <w:tc>
          <w:tcPr>
            <w:tcW w:w="855" w:type="pct"/>
            <w:vAlign w:val="center"/>
          </w:tcPr>
          <w:p w14:paraId="0FE032FA">
            <w:pPr>
              <w:pStyle w:val="81"/>
              <w:rPr>
                <w:color w:val="auto"/>
              </w:rPr>
            </w:pPr>
            <w:r>
              <w:rPr>
                <w:rFonts w:hint="eastAsia"/>
                <w:color w:val="auto"/>
              </w:rPr>
              <w:t>边高</w:t>
            </w:r>
          </w:p>
        </w:tc>
        <w:tc>
          <w:tcPr>
            <w:tcW w:w="855" w:type="pct"/>
            <w:vAlign w:val="center"/>
          </w:tcPr>
          <w:p w14:paraId="2710586B">
            <w:pPr>
              <w:pStyle w:val="81"/>
              <w:rPr>
                <w:color w:val="auto"/>
              </w:rPr>
            </w:pPr>
            <w:r>
              <w:rPr>
                <w:rFonts w:hint="eastAsia"/>
                <w:color w:val="auto"/>
              </w:rPr>
              <w:t>外径</w:t>
            </w:r>
          </w:p>
        </w:tc>
        <w:tc>
          <w:tcPr>
            <w:tcW w:w="684" w:type="pct"/>
            <w:vAlign w:val="center"/>
          </w:tcPr>
          <w:p w14:paraId="391CD22B">
            <w:pPr>
              <w:pStyle w:val="81"/>
              <w:rPr>
                <w:color w:val="auto"/>
              </w:rPr>
            </w:pPr>
            <w:r>
              <w:rPr>
                <w:rFonts w:hint="eastAsia"/>
                <w:color w:val="auto"/>
              </w:rPr>
              <w:t>内径</w:t>
            </w:r>
          </w:p>
        </w:tc>
        <w:tc>
          <w:tcPr>
            <w:tcW w:w="683" w:type="pct"/>
            <w:vMerge w:val="continue"/>
            <w:vAlign w:val="center"/>
          </w:tcPr>
          <w:p w14:paraId="746C939D">
            <w:pPr>
              <w:pStyle w:val="81"/>
              <w:rPr>
                <w:b w:val="0"/>
                <w:bCs/>
                <w:color w:val="auto"/>
              </w:rPr>
            </w:pPr>
          </w:p>
        </w:tc>
        <w:tc>
          <w:tcPr>
            <w:tcW w:w="732" w:type="pct"/>
            <w:vMerge w:val="continue"/>
            <w:vAlign w:val="center"/>
          </w:tcPr>
          <w:p w14:paraId="21B79889">
            <w:pPr>
              <w:pStyle w:val="81"/>
              <w:rPr>
                <w:b w:val="0"/>
                <w:bCs/>
                <w:color w:val="auto"/>
              </w:rPr>
            </w:pPr>
          </w:p>
        </w:tc>
      </w:tr>
      <w:tr w14:paraId="2F82215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07" w:type="pct"/>
            <w:vMerge w:val="restart"/>
            <w:vAlign w:val="center"/>
          </w:tcPr>
          <w:p w14:paraId="52A1FA0A">
            <w:pPr>
              <w:pStyle w:val="75"/>
              <w:rPr>
                <w:bCs/>
              </w:rPr>
            </w:pPr>
            <w:r>
              <w:rPr>
                <w:bCs/>
              </w:rPr>
              <w:t>1</w:t>
            </w:r>
          </w:p>
        </w:tc>
        <w:tc>
          <w:tcPr>
            <w:tcW w:w="684" w:type="pct"/>
            <w:vMerge w:val="restart"/>
            <w:vAlign w:val="center"/>
          </w:tcPr>
          <w:p w14:paraId="2B022F38">
            <w:pPr>
              <w:pStyle w:val="75"/>
              <w:rPr>
                <w:rFonts w:hint="eastAsia" w:eastAsia="宋体"/>
                <w:bCs/>
                <w:lang w:eastAsia="zh-CN"/>
              </w:rPr>
            </w:pPr>
            <w:r>
              <w:rPr>
                <w:rFonts w:hint="eastAsia"/>
                <w:bCs/>
                <w:lang w:val="en-US" w:eastAsia="zh-CN"/>
              </w:rPr>
              <w:t>盖帽</w:t>
            </w:r>
          </w:p>
        </w:tc>
        <w:tc>
          <w:tcPr>
            <w:tcW w:w="855" w:type="pct"/>
            <w:vAlign w:val="center"/>
          </w:tcPr>
          <w:p w14:paraId="0DDA4C2A">
            <w:pPr>
              <w:pStyle w:val="75"/>
              <w:rPr>
                <w:bCs/>
              </w:rPr>
            </w:pPr>
            <w:r>
              <w:rPr>
                <w:rFonts w:hint="eastAsia"/>
                <w:bCs/>
              </w:rPr>
              <w:t>0.6-1.2</w:t>
            </w:r>
          </w:p>
        </w:tc>
        <w:tc>
          <w:tcPr>
            <w:tcW w:w="855" w:type="pct"/>
            <w:vAlign w:val="center"/>
          </w:tcPr>
          <w:p w14:paraId="0AA8B26A">
            <w:pPr>
              <w:pStyle w:val="75"/>
              <w:rPr>
                <w:bCs/>
              </w:rPr>
            </w:pPr>
            <w:r>
              <w:rPr>
                <w:rFonts w:hint="eastAsia"/>
                <w:bCs/>
              </w:rPr>
              <w:t>34.6-51</w:t>
            </w:r>
          </w:p>
        </w:tc>
        <w:tc>
          <w:tcPr>
            <w:tcW w:w="684" w:type="pct"/>
            <w:vAlign w:val="center"/>
          </w:tcPr>
          <w:p w14:paraId="04D1471B">
            <w:pPr>
              <w:pStyle w:val="75"/>
              <w:rPr>
                <w:bCs/>
              </w:rPr>
            </w:pPr>
            <w:r>
              <w:rPr>
                <w:rFonts w:hint="eastAsia"/>
                <w:bCs/>
              </w:rPr>
              <w:t>13-37</w:t>
            </w:r>
          </w:p>
        </w:tc>
        <w:tc>
          <w:tcPr>
            <w:tcW w:w="683" w:type="pct"/>
            <w:vMerge w:val="restart"/>
            <w:vAlign w:val="center"/>
          </w:tcPr>
          <w:p w14:paraId="283C5006">
            <w:pPr>
              <w:pStyle w:val="75"/>
              <w:rPr>
                <w:bCs/>
              </w:rPr>
            </w:pPr>
            <w:r>
              <w:rPr>
                <w:rFonts w:hint="eastAsia"/>
                <w:bCs/>
              </w:rPr>
              <w:t>9</w:t>
            </w:r>
          </w:p>
        </w:tc>
        <w:tc>
          <w:tcPr>
            <w:tcW w:w="732" w:type="pct"/>
            <w:vMerge w:val="restart"/>
            <w:vAlign w:val="center"/>
          </w:tcPr>
          <w:p w14:paraId="6BA18BEE">
            <w:pPr>
              <w:pStyle w:val="75"/>
              <w:rPr>
                <w:bCs/>
              </w:rPr>
            </w:pPr>
            <w:r>
              <w:rPr>
                <w:rFonts w:hint="eastAsia"/>
                <w:bCs/>
              </w:rPr>
              <w:t>0.00288</w:t>
            </w:r>
          </w:p>
        </w:tc>
      </w:tr>
      <w:tr w14:paraId="3A883CD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07" w:type="pct"/>
            <w:vMerge w:val="continue"/>
            <w:vAlign w:val="center"/>
          </w:tcPr>
          <w:p w14:paraId="33885D4C">
            <w:pPr>
              <w:pStyle w:val="75"/>
              <w:rPr>
                <w:bCs/>
              </w:rPr>
            </w:pPr>
          </w:p>
        </w:tc>
        <w:tc>
          <w:tcPr>
            <w:tcW w:w="684" w:type="pct"/>
            <w:vMerge w:val="continue"/>
            <w:vAlign w:val="center"/>
          </w:tcPr>
          <w:p w14:paraId="116FF480">
            <w:pPr>
              <w:pStyle w:val="75"/>
              <w:rPr>
                <w:bCs/>
              </w:rPr>
            </w:pPr>
          </w:p>
        </w:tc>
        <w:tc>
          <w:tcPr>
            <w:tcW w:w="855" w:type="pct"/>
            <w:vAlign w:val="center"/>
          </w:tcPr>
          <w:p w14:paraId="0F039C6C">
            <w:pPr>
              <w:pStyle w:val="75"/>
              <w:rPr>
                <w:bCs/>
              </w:rPr>
            </w:pPr>
            <w:r>
              <w:rPr>
                <w:rFonts w:hint="eastAsia"/>
                <w:bCs/>
              </w:rPr>
              <w:t>0.9</w:t>
            </w:r>
          </w:p>
        </w:tc>
        <w:tc>
          <w:tcPr>
            <w:tcW w:w="855" w:type="pct"/>
            <w:vAlign w:val="center"/>
          </w:tcPr>
          <w:p w14:paraId="189482C3">
            <w:pPr>
              <w:pStyle w:val="75"/>
              <w:rPr>
                <w:bCs/>
              </w:rPr>
            </w:pPr>
            <w:r>
              <w:rPr>
                <w:rFonts w:hint="eastAsia"/>
                <w:bCs/>
              </w:rPr>
              <w:t>41.8</w:t>
            </w:r>
          </w:p>
        </w:tc>
        <w:tc>
          <w:tcPr>
            <w:tcW w:w="684" w:type="pct"/>
            <w:vAlign w:val="center"/>
          </w:tcPr>
          <w:p w14:paraId="1469326B">
            <w:pPr>
              <w:pStyle w:val="75"/>
              <w:rPr>
                <w:bCs/>
              </w:rPr>
            </w:pPr>
            <w:r>
              <w:rPr>
                <w:rFonts w:hint="eastAsia"/>
                <w:bCs/>
              </w:rPr>
              <w:t>25</w:t>
            </w:r>
          </w:p>
        </w:tc>
        <w:tc>
          <w:tcPr>
            <w:tcW w:w="683" w:type="pct"/>
            <w:vMerge w:val="continue"/>
            <w:vAlign w:val="center"/>
          </w:tcPr>
          <w:p w14:paraId="41D00448">
            <w:pPr>
              <w:pStyle w:val="75"/>
              <w:rPr>
                <w:bCs/>
              </w:rPr>
            </w:pPr>
          </w:p>
        </w:tc>
        <w:tc>
          <w:tcPr>
            <w:tcW w:w="732" w:type="pct"/>
            <w:vMerge w:val="continue"/>
            <w:vAlign w:val="center"/>
          </w:tcPr>
          <w:p w14:paraId="22BFFE37">
            <w:pPr>
              <w:pStyle w:val="75"/>
              <w:rPr>
                <w:bCs/>
              </w:rPr>
            </w:pPr>
          </w:p>
        </w:tc>
      </w:tr>
    </w:tbl>
    <w:p w14:paraId="2E461EC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6</w:t>
      </w:r>
      <w:r>
        <w:rPr>
          <w:rFonts w:hint="eastAsia"/>
        </w:rPr>
        <w:t xml:space="preserve">    本项目电池连接件规格一览表</w:t>
      </w:r>
    </w:p>
    <w:tbl>
      <w:tblPr>
        <w:tblStyle w:val="39"/>
        <w:tblW w:w="4977"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28" w:type="dxa"/>
          <w:bottom w:w="0" w:type="dxa"/>
          <w:right w:w="28" w:type="dxa"/>
        </w:tblCellMar>
      </w:tblPr>
      <w:tblGrid>
        <w:gridCol w:w="811"/>
        <w:gridCol w:w="1287"/>
        <w:gridCol w:w="1429"/>
        <w:gridCol w:w="1434"/>
        <w:gridCol w:w="1000"/>
        <w:gridCol w:w="1164"/>
        <w:gridCol w:w="1205"/>
      </w:tblGrid>
      <w:tr w14:paraId="06AA5CC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7" w:type="pct"/>
            <w:vMerge w:val="restart"/>
            <w:vAlign w:val="center"/>
          </w:tcPr>
          <w:p w14:paraId="5317DB7C">
            <w:pPr>
              <w:pStyle w:val="81"/>
              <w:rPr>
                <w:color w:val="auto"/>
              </w:rPr>
            </w:pPr>
            <w:r>
              <w:rPr>
                <w:rFonts w:hint="eastAsia"/>
                <w:color w:val="auto"/>
              </w:rPr>
              <w:t>序号</w:t>
            </w:r>
          </w:p>
        </w:tc>
        <w:tc>
          <w:tcPr>
            <w:tcW w:w="772" w:type="pct"/>
            <w:vMerge w:val="restart"/>
            <w:vAlign w:val="center"/>
          </w:tcPr>
          <w:p w14:paraId="554C156A">
            <w:pPr>
              <w:pStyle w:val="81"/>
              <w:rPr>
                <w:color w:val="auto"/>
              </w:rPr>
            </w:pPr>
            <w:r>
              <w:rPr>
                <w:rFonts w:hint="eastAsia"/>
                <w:color w:val="auto"/>
              </w:rPr>
              <w:t>产品</w:t>
            </w:r>
          </w:p>
        </w:tc>
        <w:tc>
          <w:tcPr>
            <w:tcW w:w="1717" w:type="pct"/>
            <w:gridSpan w:val="2"/>
            <w:vAlign w:val="center"/>
          </w:tcPr>
          <w:p w14:paraId="116C00E9">
            <w:pPr>
              <w:pStyle w:val="81"/>
              <w:rPr>
                <w:b w:val="0"/>
                <w:bCs/>
                <w:color w:val="auto"/>
              </w:rPr>
            </w:pPr>
            <w:r>
              <w:rPr>
                <w:rFonts w:hint="eastAsia"/>
                <w:color w:val="auto"/>
              </w:rPr>
              <w:t>规格/mm</w:t>
            </w:r>
          </w:p>
        </w:tc>
        <w:tc>
          <w:tcPr>
            <w:tcW w:w="600" w:type="pct"/>
            <w:vMerge w:val="restart"/>
            <w:vAlign w:val="center"/>
          </w:tcPr>
          <w:p w14:paraId="34897F26">
            <w:pPr>
              <w:pStyle w:val="81"/>
              <w:rPr>
                <w:color w:val="auto"/>
              </w:rPr>
            </w:pPr>
            <w:r>
              <w:rPr>
                <w:rFonts w:hint="eastAsia"/>
                <w:color w:val="auto"/>
              </w:rPr>
              <w:t>数量</w:t>
            </w:r>
          </w:p>
          <w:p w14:paraId="069A0B5D">
            <w:pPr>
              <w:pStyle w:val="81"/>
              <w:rPr>
                <w:color w:val="auto"/>
              </w:rPr>
            </w:pPr>
            <w:r>
              <w:rPr>
                <w:rFonts w:hint="eastAsia"/>
                <w:color w:val="auto"/>
              </w:rPr>
              <w:t>(个</w:t>
            </w:r>
            <w:r>
              <w:rPr>
                <w:color w:val="auto"/>
              </w:rPr>
              <w:t>)</w:t>
            </w:r>
          </w:p>
        </w:tc>
        <w:tc>
          <w:tcPr>
            <w:tcW w:w="698" w:type="pct"/>
            <w:vMerge w:val="restart"/>
            <w:vAlign w:val="center"/>
          </w:tcPr>
          <w:p w14:paraId="03F8EC0E">
            <w:pPr>
              <w:pStyle w:val="81"/>
              <w:rPr>
                <w:color w:val="auto"/>
              </w:rPr>
            </w:pPr>
            <w:r>
              <w:rPr>
                <w:rFonts w:hint="eastAsia"/>
                <w:color w:val="auto"/>
              </w:rPr>
              <w:t>平均</w:t>
            </w:r>
            <w:r>
              <w:rPr>
                <w:color w:val="auto"/>
              </w:rPr>
              <w:t>重量</w:t>
            </w:r>
          </w:p>
          <w:p w14:paraId="3211CDC1">
            <w:pPr>
              <w:pStyle w:val="81"/>
              <w:rPr>
                <w:b w:val="0"/>
                <w:bCs/>
                <w:color w:val="auto"/>
              </w:rPr>
            </w:pPr>
            <w:r>
              <w:rPr>
                <w:rFonts w:hint="eastAsia"/>
                <w:color w:val="auto"/>
              </w:rPr>
              <w:t>(g/</w:t>
            </w:r>
            <w:r>
              <w:rPr>
                <w:color w:val="auto"/>
              </w:rPr>
              <w:t>个)</w:t>
            </w:r>
          </w:p>
        </w:tc>
        <w:tc>
          <w:tcPr>
            <w:tcW w:w="723" w:type="pct"/>
            <w:vMerge w:val="restart"/>
            <w:vAlign w:val="center"/>
          </w:tcPr>
          <w:p w14:paraId="62DE5687">
            <w:pPr>
              <w:pStyle w:val="81"/>
              <w:rPr>
                <w:b w:val="0"/>
                <w:bCs/>
                <w:color w:val="auto"/>
              </w:rPr>
            </w:pPr>
            <w:r>
              <w:rPr>
                <w:rFonts w:hint="eastAsia"/>
                <w:color w:val="auto"/>
              </w:rPr>
              <w:t>单只平均面积(m</w:t>
            </w:r>
            <w:r>
              <w:rPr>
                <w:color w:val="auto"/>
                <w:vertAlign w:val="superscript"/>
              </w:rPr>
              <w:t>2</w:t>
            </w:r>
            <w:r>
              <w:rPr>
                <w:rFonts w:hint="eastAsia"/>
                <w:color w:val="auto"/>
              </w:rPr>
              <w:t>/个</w:t>
            </w:r>
            <w:r>
              <w:rPr>
                <w:color w:val="auto"/>
              </w:rPr>
              <w:t>)</w:t>
            </w:r>
          </w:p>
        </w:tc>
      </w:tr>
      <w:tr w14:paraId="53E9D4B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7" w:type="pct"/>
            <w:vMerge w:val="continue"/>
            <w:vAlign w:val="center"/>
          </w:tcPr>
          <w:p w14:paraId="50B5E8B4">
            <w:pPr>
              <w:pStyle w:val="81"/>
              <w:rPr>
                <w:color w:val="auto"/>
              </w:rPr>
            </w:pPr>
          </w:p>
        </w:tc>
        <w:tc>
          <w:tcPr>
            <w:tcW w:w="772" w:type="pct"/>
            <w:vMerge w:val="continue"/>
            <w:vAlign w:val="center"/>
          </w:tcPr>
          <w:p w14:paraId="6DAD13E2">
            <w:pPr>
              <w:pStyle w:val="81"/>
              <w:rPr>
                <w:color w:val="auto"/>
              </w:rPr>
            </w:pPr>
          </w:p>
        </w:tc>
        <w:tc>
          <w:tcPr>
            <w:tcW w:w="857" w:type="pct"/>
            <w:vAlign w:val="center"/>
          </w:tcPr>
          <w:p w14:paraId="4FF3040A">
            <w:pPr>
              <w:pStyle w:val="81"/>
              <w:rPr>
                <w:color w:val="auto"/>
              </w:rPr>
            </w:pPr>
            <w:r>
              <w:rPr>
                <w:rFonts w:hint="eastAsia"/>
                <w:color w:val="auto"/>
              </w:rPr>
              <w:t>边宽</w:t>
            </w:r>
          </w:p>
        </w:tc>
        <w:tc>
          <w:tcPr>
            <w:tcW w:w="860" w:type="pct"/>
            <w:vAlign w:val="center"/>
          </w:tcPr>
          <w:p w14:paraId="2D41DCE8">
            <w:pPr>
              <w:pStyle w:val="81"/>
              <w:rPr>
                <w:color w:val="auto"/>
              </w:rPr>
            </w:pPr>
            <w:r>
              <w:rPr>
                <w:rFonts w:hint="eastAsia"/>
                <w:color w:val="auto"/>
              </w:rPr>
              <w:t>边长</w:t>
            </w:r>
          </w:p>
        </w:tc>
        <w:tc>
          <w:tcPr>
            <w:tcW w:w="600" w:type="pct"/>
            <w:vMerge w:val="continue"/>
            <w:vAlign w:val="center"/>
          </w:tcPr>
          <w:p w14:paraId="00E9F3EB">
            <w:pPr>
              <w:pStyle w:val="81"/>
              <w:jc w:val="both"/>
              <w:rPr>
                <w:color w:val="auto"/>
              </w:rPr>
            </w:pPr>
          </w:p>
        </w:tc>
        <w:tc>
          <w:tcPr>
            <w:tcW w:w="698" w:type="pct"/>
            <w:vMerge w:val="continue"/>
            <w:vAlign w:val="center"/>
          </w:tcPr>
          <w:p w14:paraId="046C5BE3">
            <w:pPr>
              <w:pStyle w:val="81"/>
              <w:rPr>
                <w:color w:val="auto"/>
                <w:highlight w:val="yellow"/>
              </w:rPr>
            </w:pPr>
          </w:p>
        </w:tc>
        <w:tc>
          <w:tcPr>
            <w:tcW w:w="723" w:type="pct"/>
            <w:vMerge w:val="continue"/>
            <w:vAlign w:val="center"/>
          </w:tcPr>
          <w:p w14:paraId="2A3F27E2">
            <w:pPr>
              <w:pStyle w:val="81"/>
              <w:rPr>
                <w:color w:val="auto"/>
                <w:highlight w:val="yellow"/>
              </w:rPr>
            </w:pPr>
          </w:p>
        </w:tc>
      </w:tr>
      <w:tr w14:paraId="46A1154D">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7" w:type="pct"/>
            <w:vMerge w:val="restart"/>
            <w:vAlign w:val="center"/>
          </w:tcPr>
          <w:p w14:paraId="4ACC236E">
            <w:pPr>
              <w:pStyle w:val="75"/>
            </w:pPr>
            <w:r>
              <w:rPr>
                <w:rFonts w:hint="eastAsia"/>
                <w:bCs/>
              </w:rPr>
              <w:t>1</w:t>
            </w:r>
          </w:p>
        </w:tc>
        <w:tc>
          <w:tcPr>
            <w:tcW w:w="772" w:type="pct"/>
            <w:vMerge w:val="restart"/>
            <w:vAlign w:val="center"/>
          </w:tcPr>
          <w:p w14:paraId="14780B28">
            <w:pPr>
              <w:pStyle w:val="75"/>
              <w:rPr>
                <w:rFonts w:hint="default" w:eastAsia="宋体"/>
                <w:lang w:val="en-US" w:eastAsia="zh-CN"/>
              </w:rPr>
            </w:pPr>
            <w:r>
              <w:rPr>
                <w:rFonts w:hint="eastAsia"/>
                <w:bCs/>
                <w:lang w:val="en-US" w:eastAsia="zh-CN"/>
              </w:rPr>
              <w:t>电池连接件</w:t>
            </w:r>
          </w:p>
        </w:tc>
        <w:tc>
          <w:tcPr>
            <w:tcW w:w="857" w:type="pct"/>
            <w:vAlign w:val="center"/>
          </w:tcPr>
          <w:p w14:paraId="1D6FD93D">
            <w:pPr>
              <w:pStyle w:val="81"/>
              <w:rPr>
                <w:b w:val="0"/>
                <w:bCs/>
                <w:color w:val="auto"/>
              </w:rPr>
            </w:pPr>
            <w:r>
              <w:rPr>
                <w:rFonts w:hint="eastAsia"/>
                <w:b w:val="0"/>
                <w:bCs/>
                <w:color w:val="auto"/>
              </w:rPr>
              <w:t>8-16</w:t>
            </w:r>
          </w:p>
        </w:tc>
        <w:tc>
          <w:tcPr>
            <w:tcW w:w="860" w:type="pct"/>
            <w:vAlign w:val="center"/>
          </w:tcPr>
          <w:p w14:paraId="49CABAF1">
            <w:pPr>
              <w:pStyle w:val="75"/>
              <w:rPr>
                <w:highlight w:val="yellow"/>
              </w:rPr>
            </w:pPr>
            <w:r>
              <w:rPr>
                <w:rFonts w:hint="eastAsia"/>
              </w:rPr>
              <w:t>15-38</w:t>
            </w:r>
          </w:p>
        </w:tc>
        <w:tc>
          <w:tcPr>
            <w:tcW w:w="600" w:type="pct"/>
            <w:vMerge w:val="restart"/>
            <w:vAlign w:val="center"/>
          </w:tcPr>
          <w:p w14:paraId="01729ADA">
            <w:pPr>
              <w:pStyle w:val="75"/>
            </w:pPr>
            <w:r>
              <w:rPr>
                <w:rFonts w:hint="eastAsia"/>
                <w:bCs/>
                <w:lang w:val="en-US" w:eastAsia="zh-CN"/>
              </w:rPr>
              <w:t>18</w:t>
            </w:r>
            <w:r>
              <w:rPr>
                <w:rFonts w:hint="eastAsia"/>
                <w:bCs/>
              </w:rPr>
              <w:t>亿</w:t>
            </w:r>
          </w:p>
        </w:tc>
        <w:tc>
          <w:tcPr>
            <w:tcW w:w="698" w:type="pct"/>
            <w:vMerge w:val="restart"/>
            <w:vAlign w:val="center"/>
          </w:tcPr>
          <w:p w14:paraId="24AB54DE">
            <w:pPr>
              <w:pStyle w:val="75"/>
              <w:rPr>
                <w:highlight w:val="yellow"/>
              </w:rPr>
            </w:pPr>
            <w:r>
              <w:rPr>
                <w:rFonts w:hint="eastAsia"/>
                <w:bCs/>
              </w:rPr>
              <w:t>2</w:t>
            </w:r>
          </w:p>
        </w:tc>
        <w:tc>
          <w:tcPr>
            <w:tcW w:w="723" w:type="pct"/>
            <w:vMerge w:val="restart"/>
            <w:vAlign w:val="center"/>
          </w:tcPr>
          <w:p w14:paraId="5BE3A0EA">
            <w:pPr>
              <w:pStyle w:val="75"/>
              <w:rPr>
                <w:highlight w:val="yellow"/>
              </w:rPr>
            </w:pPr>
            <w:r>
              <w:rPr>
                <w:rFonts w:hint="eastAsia"/>
                <w:bCs/>
              </w:rPr>
              <w:t>0.000636</w:t>
            </w:r>
          </w:p>
        </w:tc>
      </w:tr>
      <w:tr w14:paraId="65DD16E3">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7" w:type="pct"/>
            <w:vMerge w:val="continue"/>
            <w:vAlign w:val="center"/>
          </w:tcPr>
          <w:p w14:paraId="4C91ED4C">
            <w:pPr>
              <w:pStyle w:val="75"/>
              <w:rPr>
                <w:bCs/>
              </w:rPr>
            </w:pPr>
          </w:p>
        </w:tc>
        <w:tc>
          <w:tcPr>
            <w:tcW w:w="772" w:type="pct"/>
            <w:vMerge w:val="continue"/>
            <w:vAlign w:val="center"/>
          </w:tcPr>
          <w:p w14:paraId="15494DFC">
            <w:pPr>
              <w:pStyle w:val="75"/>
              <w:rPr>
                <w:bCs/>
              </w:rPr>
            </w:pPr>
          </w:p>
        </w:tc>
        <w:tc>
          <w:tcPr>
            <w:tcW w:w="857" w:type="pct"/>
            <w:vAlign w:val="center"/>
          </w:tcPr>
          <w:p w14:paraId="16DAB3A2">
            <w:pPr>
              <w:pStyle w:val="75"/>
              <w:rPr>
                <w:bCs/>
              </w:rPr>
            </w:pPr>
            <w:r>
              <w:rPr>
                <w:rFonts w:hint="eastAsia"/>
                <w:bCs/>
              </w:rPr>
              <w:t>12</w:t>
            </w:r>
          </w:p>
        </w:tc>
        <w:tc>
          <w:tcPr>
            <w:tcW w:w="860" w:type="pct"/>
            <w:vAlign w:val="center"/>
          </w:tcPr>
          <w:p w14:paraId="620F2960">
            <w:pPr>
              <w:pStyle w:val="75"/>
              <w:rPr>
                <w:bCs/>
              </w:rPr>
            </w:pPr>
            <w:r>
              <w:rPr>
                <w:rFonts w:hint="eastAsia"/>
                <w:bCs/>
              </w:rPr>
              <w:t>26.5</w:t>
            </w:r>
          </w:p>
        </w:tc>
        <w:tc>
          <w:tcPr>
            <w:tcW w:w="600" w:type="pct"/>
            <w:vMerge w:val="continue"/>
            <w:vAlign w:val="center"/>
          </w:tcPr>
          <w:p w14:paraId="42F49686">
            <w:pPr>
              <w:pStyle w:val="75"/>
              <w:rPr>
                <w:bCs/>
              </w:rPr>
            </w:pPr>
          </w:p>
        </w:tc>
        <w:tc>
          <w:tcPr>
            <w:tcW w:w="698" w:type="pct"/>
            <w:vMerge w:val="continue"/>
            <w:vAlign w:val="center"/>
          </w:tcPr>
          <w:p w14:paraId="48B832FD">
            <w:pPr>
              <w:pStyle w:val="75"/>
              <w:rPr>
                <w:bCs/>
                <w:highlight w:val="yellow"/>
              </w:rPr>
            </w:pPr>
          </w:p>
        </w:tc>
        <w:tc>
          <w:tcPr>
            <w:tcW w:w="723" w:type="pct"/>
            <w:vMerge w:val="continue"/>
            <w:vAlign w:val="center"/>
          </w:tcPr>
          <w:p w14:paraId="3C3F5CEF">
            <w:pPr>
              <w:pStyle w:val="75"/>
              <w:rPr>
                <w:bCs/>
              </w:rPr>
            </w:pPr>
          </w:p>
        </w:tc>
      </w:tr>
    </w:tbl>
    <w:p w14:paraId="08A0A4B9">
      <w:pPr>
        <w:ind w:firstLine="480"/>
        <w:rPr>
          <w:rFonts w:hint="eastAsia" w:cs="宋体" w:eastAsiaTheme="minorEastAsia"/>
          <w:bCs/>
          <w:kern w:val="2"/>
          <w:szCs w:val="24"/>
        </w:rPr>
      </w:pPr>
      <w:r>
        <w:rPr>
          <w:rFonts w:hint="eastAsia" w:cs="宋体" w:eastAsiaTheme="minorEastAsia"/>
          <w:bCs/>
          <w:kern w:val="2"/>
          <w:szCs w:val="24"/>
        </w:rPr>
        <w:t>（3）本项目电池连接件是由原料钢带电镀后进行冲压所得，因此电镀面积按照原料钢带面积进行核算。</w:t>
      </w:r>
    </w:p>
    <w:p w14:paraId="183E6A1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7</w:t>
      </w:r>
      <w:r>
        <w:rPr>
          <w:rFonts w:hint="eastAsia"/>
        </w:rPr>
        <w:t xml:space="preserve">    本项目钢带规格一览表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28" w:type="dxa"/>
          <w:bottom w:w="0" w:type="dxa"/>
          <w:right w:w="28" w:type="dxa"/>
        </w:tblCellMar>
      </w:tblPr>
      <w:tblGrid>
        <w:gridCol w:w="920"/>
        <w:gridCol w:w="1073"/>
        <w:gridCol w:w="1073"/>
        <w:gridCol w:w="1073"/>
        <w:gridCol w:w="1073"/>
        <w:gridCol w:w="1356"/>
        <w:gridCol w:w="1800"/>
      </w:tblGrid>
      <w:tr w14:paraId="79306CF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50" w:type="pct"/>
            <w:vMerge w:val="restart"/>
            <w:vAlign w:val="center"/>
          </w:tcPr>
          <w:p w14:paraId="25452015">
            <w:pPr>
              <w:pStyle w:val="81"/>
              <w:rPr>
                <w:color w:val="auto"/>
              </w:rPr>
            </w:pPr>
            <w:r>
              <w:rPr>
                <w:rFonts w:hint="eastAsia"/>
                <w:color w:val="auto"/>
              </w:rPr>
              <w:t>原料</w:t>
            </w:r>
          </w:p>
        </w:tc>
        <w:tc>
          <w:tcPr>
            <w:tcW w:w="4449" w:type="pct"/>
            <w:gridSpan w:val="6"/>
            <w:vAlign w:val="center"/>
          </w:tcPr>
          <w:p w14:paraId="67EC8ED5">
            <w:pPr>
              <w:pStyle w:val="81"/>
              <w:rPr>
                <w:b w:val="0"/>
                <w:bCs/>
                <w:color w:val="auto"/>
              </w:rPr>
            </w:pPr>
            <w:r>
              <w:rPr>
                <w:rFonts w:hint="eastAsia"/>
                <w:color w:val="auto"/>
              </w:rPr>
              <w:t>规格</w:t>
            </w:r>
          </w:p>
        </w:tc>
      </w:tr>
      <w:tr w14:paraId="2525007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50" w:type="pct"/>
            <w:vMerge w:val="continue"/>
            <w:vAlign w:val="center"/>
          </w:tcPr>
          <w:p w14:paraId="6E1C8C01">
            <w:pPr>
              <w:pStyle w:val="81"/>
              <w:rPr>
                <w:color w:val="auto"/>
              </w:rPr>
            </w:pPr>
          </w:p>
        </w:tc>
        <w:tc>
          <w:tcPr>
            <w:tcW w:w="641" w:type="pct"/>
            <w:vAlign w:val="center"/>
          </w:tcPr>
          <w:p w14:paraId="236A4F96">
            <w:pPr>
              <w:pStyle w:val="81"/>
              <w:rPr>
                <w:color w:val="auto"/>
              </w:rPr>
            </w:pPr>
            <w:r>
              <w:rPr>
                <w:rFonts w:hint="eastAsia"/>
                <w:color w:val="auto"/>
              </w:rPr>
              <w:t>总质量（</w:t>
            </w:r>
            <w:r>
              <w:rPr>
                <w:color w:val="auto"/>
              </w:rPr>
              <w:t>t</w:t>
            </w:r>
            <w:r>
              <w:rPr>
                <w:rFonts w:hint="eastAsia"/>
                <w:color w:val="auto"/>
              </w:rPr>
              <w:t>）</w:t>
            </w:r>
          </w:p>
        </w:tc>
        <w:tc>
          <w:tcPr>
            <w:tcW w:w="641" w:type="pct"/>
            <w:vAlign w:val="center"/>
          </w:tcPr>
          <w:p w14:paraId="0DF17C33">
            <w:pPr>
              <w:pStyle w:val="81"/>
              <w:rPr>
                <w:color w:val="auto"/>
              </w:rPr>
            </w:pPr>
            <w:r>
              <w:rPr>
                <w:rFonts w:hint="eastAsia"/>
                <w:color w:val="auto"/>
              </w:rPr>
              <w:t>质量比重（g/cm</w:t>
            </w:r>
            <w:r>
              <w:rPr>
                <w:rFonts w:hint="eastAsia"/>
                <w:color w:val="auto"/>
                <w:vertAlign w:val="superscript"/>
              </w:rPr>
              <w:t>3</w:t>
            </w:r>
            <w:r>
              <w:rPr>
                <w:rFonts w:hint="eastAsia"/>
                <w:color w:val="auto"/>
              </w:rPr>
              <w:t>）</w:t>
            </w:r>
          </w:p>
        </w:tc>
        <w:tc>
          <w:tcPr>
            <w:tcW w:w="641" w:type="pct"/>
            <w:vAlign w:val="center"/>
          </w:tcPr>
          <w:p w14:paraId="5833E39E">
            <w:pPr>
              <w:pStyle w:val="81"/>
              <w:rPr>
                <w:color w:val="auto"/>
              </w:rPr>
            </w:pPr>
            <w:r>
              <w:rPr>
                <w:rFonts w:hint="eastAsia"/>
                <w:color w:val="auto"/>
              </w:rPr>
              <w:t>厚度（mm）</w:t>
            </w:r>
          </w:p>
        </w:tc>
        <w:tc>
          <w:tcPr>
            <w:tcW w:w="641" w:type="pct"/>
            <w:vAlign w:val="center"/>
          </w:tcPr>
          <w:p w14:paraId="59B01BE8">
            <w:pPr>
              <w:pStyle w:val="81"/>
              <w:rPr>
                <w:color w:val="auto"/>
              </w:rPr>
            </w:pPr>
            <w:r>
              <w:rPr>
                <w:rFonts w:hint="eastAsia"/>
                <w:color w:val="auto"/>
              </w:rPr>
              <w:t>边宽（mm）</w:t>
            </w:r>
          </w:p>
        </w:tc>
        <w:tc>
          <w:tcPr>
            <w:tcW w:w="810" w:type="pct"/>
            <w:vAlign w:val="center"/>
          </w:tcPr>
          <w:p w14:paraId="1EB35237">
            <w:pPr>
              <w:pStyle w:val="81"/>
              <w:rPr>
                <w:color w:val="auto"/>
              </w:rPr>
            </w:pPr>
            <w:r>
              <w:rPr>
                <w:rFonts w:hint="eastAsia"/>
                <w:color w:val="auto"/>
              </w:rPr>
              <w:t>总长度（m）</w:t>
            </w:r>
          </w:p>
        </w:tc>
        <w:tc>
          <w:tcPr>
            <w:tcW w:w="1073" w:type="pct"/>
            <w:vAlign w:val="center"/>
          </w:tcPr>
          <w:p w14:paraId="7AC65C5D">
            <w:pPr>
              <w:pStyle w:val="81"/>
              <w:rPr>
                <w:color w:val="000000" w:themeColor="text1"/>
                <w14:textFill>
                  <w14:solidFill>
                    <w14:schemeClr w14:val="tx1"/>
                  </w14:solidFill>
                </w14:textFill>
              </w:rPr>
            </w:pPr>
            <w:r>
              <w:rPr>
                <w:rFonts w:hint="eastAsia"/>
                <w:color w:val="000000" w:themeColor="text1"/>
                <w14:textFill>
                  <w14:solidFill>
                    <w14:schemeClr w14:val="tx1"/>
                  </w14:solidFill>
                </w14:textFill>
              </w:rPr>
              <w:t>面积</w:t>
            </w:r>
          </w:p>
          <w:p w14:paraId="542B889E">
            <w:pPr>
              <w:pStyle w:val="81"/>
              <w:rPr>
                <w:color w:val="auto"/>
              </w:rPr>
            </w:pPr>
            <w:r>
              <w:rPr>
                <w:rFonts w:hint="eastAsia"/>
                <w:color w:val="000000" w:themeColor="text1"/>
                <w14:textFill>
                  <w14:solidFill>
                    <w14:schemeClr w14:val="tx1"/>
                  </w14:solidFill>
                </w14:textFill>
              </w:rPr>
              <w:t>（万平方米/年）</w:t>
            </w:r>
          </w:p>
        </w:tc>
      </w:tr>
      <w:tr w14:paraId="4A28789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50" w:type="pct"/>
            <w:vAlign w:val="center"/>
          </w:tcPr>
          <w:p w14:paraId="073A8FA0">
            <w:pPr>
              <w:pStyle w:val="75"/>
              <w:rPr>
                <w:bCs/>
              </w:rPr>
            </w:pPr>
            <w:r>
              <w:rPr>
                <w:rFonts w:hint="eastAsia"/>
                <w:bCs/>
              </w:rPr>
              <w:t>钢带</w:t>
            </w:r>
          </w:p>
        </w:tc>
        <w:tc>
          <w:tcPr>
            <w:tcW w:w="641" w:type="pct"/>
            <w:vAlign w:val="center"/>
          </w:tcPr>
          <w:p w14:paraId="71A46880">
            <w:pPr>
              <w:pStyle w:val="75"/>
              <w:rPr>
                <w:rFonts w:hint="default" w:eastAsia="宋体"/>
                <w:bCs/>
                <w:lang w:val="en-US" w:eastAsia="zh-CN"/>
              </w:rPr>
            </w:pPr>
            <w:r>
              <w:rPr>
                <w:rFonts w:hint="eastAsia"/>
                <w:bCs/>
                <w:lang w:val="en-US" w:eastAsia="zh-CN"/>
              </w:rPr>
              <w:t>4000</w:t>
            </w:r>
          </w:p>
        </w:tc>
        <w:tc>
          <w:tcPr>
            <w:tcW w:w="641" w:type="pct"/>
            <w:vAlign w:val="center"/>
          </w:tcPr>
          <w:p w14:paraId="2D2D2E8A">
            <w:pPr>
              <w:pStyle w:val="75"/>
              <w:rPr>
                <w:bCs/>
              </w:rPr>
            </w:pPr>
            <w:r>
              <w:rPr>
                <w:rFonts w:hint="eastAsia"/>
                <w:bCs/>
              </w:rPr>
              <w:t>7.85</w:t>
            </w:r>
          </w:p>
        </w:tc>
        <w:tc>
          <w:tcPr>
            <w:tcW w:w="641" w:type="pct"/>
            <w:vAlign w:val="center"/>
          </w:tcPr>
          <w:p w14:paraId="6CA49E6D">
            <w:pPr>
              <w:pStyle w:val="75"/>
              <w:rPr>
                <w:rFonts w:hint="default" w:eastAsia="宋体"/>
                <w:bCs/>
                <w:lang w:val="en-US" w:eastAsia="zh-CN"/>
              </w:rPr>
            </w:pPr>
            <w:r>
              <w:rPr>
                <w:rFonts w:hint="eastAsia"/>
                <w:bCs/>
                <w:lang w:val="en-US" w:eastAsia="zh-CN"/>
              </w:rPr>
              <w:t>0.8</w:t>
            </w:r>
          </w:p>
        </w:tc>
        <w:tc>
          <w:tcPr>
            <w:tcW w:w="641" w:type="pct"/>
            <w:vAlign w:val="center"/>
          </w:tcPr>
          <w:p w14:paraId="025EA95F">
            <w:pPr>
              <w:pStyle w:val="75"/>
              <w:rPr>
                <w:rFonts w:hint="default" w:eastAsia="宋体"/>
                <w:bCs/>
                <w:lang w:val="en-US" w:eastAsia="zh-CN"/>
              </w:rPr>
            </w:pPr>
            <w:r>
              <w:rPr>
                <w:rFonts w:hint="eastAsia"/>
                <w:bCs/>
                <w:lang w:val="en-US" w:eastAsia="zh-CN"/>
              </w:rPr>
              <w:t>12</w:t>
            </w:r>
          </w:p>
        </w:tc>
        <w:tc>
          <w:tcPr>
            <w:tcW w:w="810" w:type="pct"/>
            <w:vAlign w:val="center"/>
          </w:tcPr>
          <w:p w14:paraId="2B1FA7C8">
            <w:pPr>
              <w:pStyle w:val="75"/>
              <w:rPr>
                <w:rFonts w:hint="default" w:eastAsia="宋体"/>
                <w:bCs/>
                <w:lang w:val="en-US" w:eastAsia="zh-CN"/>
              </w:rPr>
            </w:pPr>
            <w:r>
              <w:rPr>
                <w:rFonts w:hint="eastAsia"/>
                <w:bCs/>
                <w:lang w:val="en-US" w:eastAsia="zh-CN"/>
              </w:rPr>
              <w:t>53078556.26</w:t>
            </w:r>
          </w:p>
        </w:tc>
        <w:tc>
          <w:tcPr>
            <w:tcW w:w="1073" w:type="pct"/>
            <w:vAlign w:val="center"/>
          </w:tcPr>
          <w:p w14:paraId="0494590A">
            <w:pPr>
              <w:pStyle w:val="75"/>
              <w:rPr>
                <w:rFonts w:hint="default" w:eastAsia="宋体"/>
                <w:bCs/>
                <w:lang w:val="en-US" w:eastAsia="zh-CN"/>
              </w:rPr>
            </w:pPr>
            <w:r>
              <w:rPr>
                <w:rFonts w:hint="eastAsia"/>
                <w:bCs/>
                <w:lang w:val="en-US" w:eastAsia="zh-CN"/>
              </w:rPr>
              <w:t>127.4</w:t>
            </w:r>
          </w:p>
        </w:tc>
      </w:tr>
    </w:tbl>
    <w:p w14:paraId="0F5C7B2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480"/>
        <w:textAlignment w:val="auto"/>
        <w:rPr>
          <w:rFonts w:eastAsia="宋体" w:cs="Times New Roman"/>
          <w:b w:val="0"/>
          <w:bCs/>
        </w:rPr>
      </w:pPr>
      <w:r>
        <w:rPr>
          <w:rFonts w:hint="eastAsia" w:eastAsia="宋体" w:cs="Times New Roman"/>
          <w:b w:val="0"/>
          <w:bCs/>
        </w:rPr>
        <w:t>（4）本项目产品电镀规格见下表。</w:t>
      </w:r>
    </w:p>
    <w:p w14:paraId="6DEEAE1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7743523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8</w:t>
      </w:r>
      <w:r>
        <w:rPr>
          <w:rFonts w:hint="eastAsia"/>
        </w:rPr>
        <w:t xml:space="preserve">    本项目产品电镀规格一览表</w:t>
      </w:r>
    </w:p>
    <w:tbl>
      <w:tblPr>
        <w:tblStyle w:val="39"/>
        <w:tblW w:w="4912"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792"/>
        <w:gridCol w:w="1454"/>
        <w:gridCol w:w="1604"/>
        <w:gridCol w:w="1453"/>
        <w:gridCol w:w="1686"/>
        <w:gridCol w:w="1389"/>
      </w:tblGrid>
      <w:tr w14:paraId="3A10E44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749" w:hRule="atLeast"/>
          <w:jc w:val="center"/>
        </w:trPr>
        <w:tc>
          <w:tcPr>
            <w:tcW w:w="473" w:type="pct"/>
            <w:vAlign w:val="center"/>
          </w:tcPr>
          <w:p w14:paraId="6CB53E06">
            <w:pPr>
              <w:pStyle w:val="81"/>
              <w:rPr>
                <w:color w:val="auto"/>
              </w:rPr>
            </w:pPr>
            <w:r>
              <w:rPr>
                <w:rFonts w:hint="eastAsia"/>
                <w:color w:val="auto"/>
              </w:rPr>
              <w:t>序号</w:t>
            </w:r>
          </w:p>
        </w:tc>
        <w:tc>
          <w:tcPr>
            <w:tcW w:w="867" w:type="pct"/>
            <w:vAlign w:val="center"/>
          </w:tcPr>
          <w:p w14:paraId="001961BF">
            <w:pPr>
              <w:pStyle w:val="81"/>
              <w:rPr>
                <w:color w:val="auto"/>
              </w:rPr>
            </w:pPr>
            <w:r>
              <w:rPr>
                <w:rFonts w:hint="eastAsia"/>
                <w:color w:val="auto"/>
              </w:rPr>
              <w:t>产品</w:t>
            </w:r>
          </w:p>
        </w:tc>
        <w:tc>
          <w:tcPr>
            <w:tcW w:w="957" w:type="pct"/>
            <w:vAlign w:val="center"/>
          </w:tcPr>
          <w:p w14:paraId="24D2FCFB">
            <w:pPr>
              <w:pStyle w:val="81"/>
              <w:rPr>
                <w:color w:val="auto"/>
              </w:rPr>
            </w:pPr>
            <w:r>
              <w:rPr>
                <w:rFonts w:hint="eastAsia"/>
                <w:color w:val="auto"/>
              </w:rPr>
              <w:t>产能</w:t>
            </w:r>
          </w:p>
        </w:tc>
        <w:tc>
          <w:tcPr>
            <w:tcW w:w="867" w:type="pct"/>
            <w:vAlign w:val="center"/>
          </w:tcPr>
          <w:p w14:paraId="2D6733CF">
            <w:pPr>
              <w:pStyle w:val="81"/>
              <w:rPr>
                <w:color w:val="auto"/>
              </w:rPr>
            </w:pPr>
            <w:r>
              <w:rPr>
                <w:rFonts w:hint="eastAsia"/>
                <w:color w:val="auto"/>
              </w:rPr>
              <w:t>单只平均面积(m</w:t>
            </w:r>
            <w:r>
              <w:rPr>
                <w:rFonts w:hint="eastAsia"/>
                <w:color w:val="auto"/>
                <w:vertAlign w:val="superscript"/>
              </w:rPr>
              <w:t>2</w:t>
            </w:r>
            <w:r>
              <w:rPr>
                <w:rFonts w:hint="eastAsia"/>
                <w:color w:val="auto"/>
              </w:rPr>
              <w:t>/只</w:t>
            </w:r>
            <w:r>
              <w:rPr>
                <w:color w:val="auto"/>
              </w:rPr>
              <w:t>)</w:t>
            </w:r>
          </w:p>
        </w:tc>
        <w:tc>
          <w:tcPr>
            <w:tcW w:w="1006" w:type="pct"/>
            <w:vAlign w:val="center"/>
          </w:tcPr>
          <w:p w14:paraId="5608DEE9">
            <w:pPr>
              <w:pStyle w:val="81"/>
              <w:rPr>
                <w:color w:val="auto"/>
              </w:rPr>
            </w:pPr>
            <w:r>
              <w:rPr>
                <w:rFonts w:hint="eastAsia"/>
                <w:color w:val="auto"/>
              </w:rPr>
              <w:t>电镀面积</w:t>
            </w:r>
          </w:p>
          <w:p w14:paraId="68C78FB6">
            <w:pPr>
              <w:pStyle w:val="81"/>
              <w:rPr>
                <w:color w:val="auto"/>
              </w:rPr>
            </w:pPr>
            <w:r>
              <w:rPr>
                <w:rFonts w:hint="eastAsia"/>
                <w:color w:val="auto"/>
              </w:rPr>
              <w:t>(万平方米/年</w:t>
            </w:r>
            <w:r>
              <w:rPr>
                <w:color w:val="auto"/>
              </w:rPr>
              <w:t>)</w:t>
            </w:r>
          </w:p>
        </w:tc>
        <w:tc>
          <w:tcPr>
            <w:tcW w:w="827" w:type="pct"/>
            <w:vAlign w:val="center"/>
          </w:tcPr>
          <w:p w14:paraId="28CEB51D">
            <w:pPr>
              <w:pStyle w:val="81"/>
              <w:rPr>
                <w:color w:val="auto"/>
              </w:rPr>
            </w:pPr>
            <w:r>
              <w:rPr>
                <w:rFonts w:hint="eastAsia"/>
                <w:color w:val="auto"/>
              </w:rPr>
              <w:t>电镀厚度</w:t>
            </w:r>
          </w:p>
          <w:p w14:paraId="4AE12337">
            <w:pPr>
              <w:pStyle w:val="81"/>
              <w:rPr>
                <w:color w:val="auto"/>
              </w:rPr>
            </w:pPr>
            <w:r>
              <w:rPr>
                <w:rFonts w:hint="eastAsia"/>
                <w:color w:val="auto"/>
              </w:rPr>
              <w:t>(微米</w:t>
            </w:r>
            <w:r>
              <w:rPr>
                <w:color w:val="auto"/>
              </w:rPr>
              <w:t>)</w:t>
            </w:r>
          </w:p>
        </w:tc>
      </w:tr>
      <w:tr w14:paraId="3DCE246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3" w:type="pct"/>
            <w:vAlign w:val="center"/>
          </w:tcPr>
          <w:p w14:paraId="35113AFA">
            <w:pPr>
              <w:pStyle w:val="81"/>
              <w:rPr>
                <w:b w:val="0"/>
                <w:color w:val="auto"/>
              </w:rPr>
            </w:pPr>
            <w:r>
              <w:rPr>
                <w:rFonts w:hint="eastAsia"/>
                <w:b w:val="0"/>
                <w:color w:val="auto"/>
              </w:rPr>
              <w:t>1</w:t>
            </w:r>
          </w:p>
        </w:tc>
        <w:tc>
          <w:tcPr>
            <w:tcW w:w="867" w:type="pct"/>
            <w:vAlign w:val="center"/>
          </w:tcPr>
          <w:p w14:paraId="7110467C">
            <w:pPr>
              <w:pStyle w:val="75"/>
            </w:pPr>
            <w:r>
              <w:t>电池钢壳</w:t>
            </w:r>
          </w:p>
        </w:tc>
        <w:tc>
          <w:tcPr>
            <w:tcW w:w="957" w:type="pct"/>
            <w:vAlign w:val="center"/>
          </w:tcPr>
          <w:p w14:paraId="1B28584C">
            <w:pPr>
              <w:pStyle w:val="81"/>
              <w:rPr>
                <w:b w:val="0"/>
                <w:color w:val="auto"/>
              </w:rPr>
            </w:pPr>
            <w:r>
              <w:rPr>
                <w:rFonts w:hint="eastAsia"/>
                <w:b w:val="0"/>
                <w:color w:val="auto"/>
              </w:rPr>
              <w:t>10亿只</w:t>
            </w:r>
          </w:p>
        </w:tc>
        <w:tc>
          <w:tcPr>
            <w:tcW w:w="867" w:type="pct"/>
            <w:vAlign w:val="center"/>
          </w:tcPr>
          <w:p w14:paraId="6EEF8C80">
            <w:pPr>
              <w:pStyle w:val="81"/>
              <w:rPr>
                <w:b w:val="0"/>
                <w:color w:val="auto"/>
              </w:rPr>
            </w:pPr>
            <w:r>
              <w:rPr>
                <w:rFonts w:hint="eastAsia"/>
                <w:b w:val="0"/>
                <w:color w:val="auto"/>
              </w:rPr>
              <w:t>0.01752</w:t>
            </w:r>
          </w:p>
        </w:tc>
        <w:tc>
          <w:tcPr>
            <w:tcW w:w="1006" w:type="pct"/>
            <w:vAlign w:val="center"/>
          </w:tcPr>
          <w:p w14:paraId="186CEFB2">
            <w:pPr>
              <w:pStyle w:val="81"/>
              <w:rPr>
                <w:b w:val="0"/>
                <w:color w:val="auto"/>
              </w:rPr>
            </w:pPr>
            <w:r>
              <w:rPr>
                <w:rFonts w:hint="eastAsia"/>
                <w:b w:val="0"/>
                <w:color w:val="auto"/>
              </w:rPr>
              <w:t>1752</w:t>
            </w:r>
          </w:p>
        </w:tc>
        <w:tc>
          <w:tcPr>
            <w:tcW w:w="827" w:type="pct"/>
            <w:vAlign w:val="center"/>
          </w:tcPr>
          <w:p w14:paraId="263441D4">
            <w:pPr>
              <w:pStyle w:val="75"/>
            </w:pPr>
            <w:r>
              <w:rPr>
                <w:rFonts w:hint="eastAsia"/>
              </w:rPr>
              <w:t>2</w:t>
            </w:r>
          </w:p>
        </w:tc>
      </w:tr>
      <w:tr w14:paraId="4E1065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3" w:type="pct"/>
            <w:vAlign w:val="center"/>
          </w:tcPr>
          <w:p w14:paraId="28575AB6">
            <w:pPr>
              <w:pStyle w:val="81"/>
              <w:rPr>
                <w:b w:val="0"/>
                <w:color w:val="auto"/>
              </w:rPr>
            </w:pPr>
            <w:r>
              <w:rPr>
                <w:rFonts w:hint="eastAsia"/>
                <w:b w:val="0"/>
                <w:color w:val="auto"/>
              </w:rPr>
              <w:t>2</w:t>
            </w:r>
          </w:p>
        </w:tc>
        <w:tc>
          <w:tcPr>
            <w:tcW w:w="867" w:type="pct"/>
            <w:vAlign w:val="center"/>
          </w:tcPr>
          <w:p w14:paraId="3A3FC30C">
            <w:pPr>
              <w:pStyle w:val="75"/>
              <w:rPr>
                <w:rFonts w:hint="eastAsia" w:eastAsia="宋体"/>
                <w:lang w:eastAsia="zh-CN"/>
              </w:rPr>
            </w:pPr>
            <w:r>
              <w:rPr>
                <w:rFonts w:hint="eastAsia"/>
                <w:lang w:val="en-US" w:eastAsia="zh-CN"/>
              </w:rPr>
              <w:t>盖帽</w:t>
            </w:r>
          </w:p>
        </w:tc>
        <w:tc>
          <w:tcPr>
            <w:tcW w:w="957" w:type="pct"/>
            <w:vAlign w:val="center"/>
          </w:tcPr>
          <w:p w14:paraId="49A5361E">
            <w:pPr>
              <w:pStyle w:val="81"/>
              <w:rPr>
                <w:b w:val="0"/>
                <w:color w:val="auto"/>
              </w:rPr>
            </w:pPr>
            <w:r>
              <w:rPr>
                <w:rFonts w:hint="eastAsia"/>
                <w:b w:val="0"/>
                <w:color w:val="auto"/>
              </w:rPr>
              <w:t>10亿只</w:t>
            </w:r>
          </w:p>
        </w:tc>
        <w:tc>
          <w:tcPr>
            <w:tcW w:w="867" w:type="pct"/>
            <w:vAlign w:val="center"/>
          </w:tcPr>
          <w:p w14:paraId="77DE9826">
            <w:pPr>
              <w:pStyle w:val="81"/>
              <w:rPr>
                <w:b w:val="0"/>
                <w:color w:val="auto"/>
              </w:rPr>
            </w:pPr>
            <w:r>
              <w:rPr>
                <w:rFonts w:hint="eastAsia"/>
                <w:b w:val="0"/>
                <w:color w:val="auto"/>
              </w:rPr>
              <w:t>0.00288</w:t>
            </w:r>
          </w:p>
        </w:tc>
        <w:tc>
          <w:tcPr>
            <w:tcW w:w="1006" w:type="pct"/>
            <w:vAlign w:val="center"/>
          </w:tcPr>
          <w:p w14:paraId="3B2A6F6A">
            <w:pPr>
              <w:pStyle w:val="81"/>
              <w:rPr>
                <w:b w:val="0"/>
                <w:color w:val="auto"/>
              </w:rPr>
            </w:pPr>
            <w:r>
              <w:rPr>
                <w:rFonts w:hint="eastAsia"/>
                <w:b w:val="0"/>
                <w:color w:val="auto"/>
              </w:rPr>
              <w:t>288</w:t>
            </w:r>
          </w:p>
        </w:tc>
        <w:tc>
          <w:tcPr>
            <w:tcW w:w="827" w:type="pct"/>
            <w:vAlign w:val="center"/>
          </w:tcPr>
          <w:p w14:paraId="6600F6FE">
            <w:pPr>
              <w:pStyle w:val="75"/>
            </w:pPr>
            <w:r>
              <w:rPr>
                <w:rFonts w:hint="eastAsia"/>
              </w:rPr>
              <w:t>5</w:t>
            </w:r>
          </w:p>
        </w:tc>
      </w:tr>
      <w:tr w14:paraId="224AE5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3" w:type="pct"/>
            <w:vAlign w:val="center"/>
          </w:tcPr>
          <w:p w14:paraId="6600E049">
            <w:pPr>
              <w:pStyle w:val="81"/>
              <w:rPr>
                <w:b w:val="0"/>
                <w:color w:val="auto"/>
              </w:rPr>
            </w:pPr>
            <w:r>
              <w:rPr>
                <w:rFonts w:hint="eastAsia"/>
                <w:b w:val="0"/>
                <w:color w:val="auto"/>
              </w:rPr>
              <w:t>3</w:t>
            </w:r>
          </w:p>
        </w:tc>
        <w:tc>
          <w:tcPr>
            <w:tcW w:w="867" w:type="pct"/>
            <w:vAlign w:val="center"/>
          </w:tcPr>
          <w:p w14:paraId="4AA93E70">
            <w:pPr>
              <w:pStyle w:val="75"/>
            </w:pPr>
            <w:r>
              <w:rPr>
                <w:rFonts w:hint="eastAsia"/>
                <w:bCs/>
              </w:rPr>
              <w:t>电池连接件</w:t>
            </w:r>
          </w:p>
        </w:tc>
        <w:tc>
          <w:tcPr>
            <w:tcW w:w="957" w:type="pct"/>
            <w:vAlign w:val="center"/>
          </w:tcPr>
          <w:p w14:paraId="5E25BFE1">
            <w:pPr>
              <w:pStyle w:val="81"/>
              <w:rPr>
                <w:b w:val="0"/>
                <w:color w:val="auto"/>
              </w:rPr>
            </w:pPr>
            <w:r>
              <w:rPr>
                <w:rFonts w:hint="eastAsia"/>
                <w:b w:val="0"/>
                <w:color w:val="auto"/>
                <w:lang w:val="en-US" w:eastAsia="zh-CN"/>
              </w:rPr>
              <w:t>18</w:t>
            </w:r>
            <w:r>
              <w:rPr>
                <w:rFonts w:hint="eastAsia"/>
                <w:b w:val="0"/>
                <w:color w:val="auto"/>
              </w:rPr>
              <w:t>亿个</w:t>
            </w:r>
          </w:p>
        </w:tc>
        <w:tc>
          <w:tcPr>
            <w:tcW w:w="867" w:type="pct"/>
            <w:vAlign w:val="center"/>
          </w:tcPr>
          <w:p w14:paraId="5432CB0B">
            <w:pPr>
              <w:pStyle w:val="81"/>
              <w:rPr>
                <w:b w:val="0"/>
                <w:color w:val="auto"/>
              </w:rPr>
            </w:pPr>
            <w:r>
              <w:rPr>
                <w:rFonts w:hint="eastAsia"/>
                <w:b w:val="0"/>
                <w:color w:val="auto"/>
              </w:rPr>
              <w:t>0.000636</w:t>
            </w:r>
          </w:p>
        </w:tc>
        <w:tc>
          <w:tcPr>
            <w:tcW w:w="1006" w:type="pct"/>
            <w:vAlign w:val="center"/>
          </w:tcPr>
          <w:p w14:paraId="59CD3A6F">
            <w:pPr>
              <w:pStyle w:val="81"/>
              <w:rPr>
                <w:rFonts w:hint="default"/>
                <w:b w:val="0"/>
                <w:color w:val="000000" w:themeColor="text1"/>
                <w:lang w:val="en-US"/>
                <w14:textFill>
                  <w14:solidFill>
                    <w14:schemeClr w14:val="tx1"/>
                  </w14:solidFill>
                </w14:textFill>
              </w:rPr>
            </w:pPr>
            <w:r>
              <w:rPr>
                <w:rFonts w:hint="eastAsia"/>
                <w:b w:val="0"/>
                <w:color w:val="000000" w:themeColor="text1"/>
                <w:lang w:val="en-US" w:eastAsia="zh-CN"/>
                <w14:textFill>
                  <w14:solidFill>
                    <w14:schemeClr w14:val="tx1"/>
                  </w14:solidFill>
                </w14:textFill>
              </w:rPr>
              <w:t>114.5</w:t>
            </w:r>
          </w:p>
        </w:tc>
        <w:tc>
          <w:tcPr>
            <w:tcW w:w="827" w:type="pct"/>
            <w:vAlign w:val="center"/>
          </w:tcPr>
          <w:p w14:paraId="314795CF">
            <w:pPr>
              <w:pStyle w:val="75"/>
              <w:rPr>
                <w:rFonts w:hint="default" w:eastAsia="宋体"/>
                <w:lang w:val="en-US" w:eastAsia="zh-CN"/>
              </w:rPr>
            </w:pPr>
            <w:r>
              <w:rPr>
                <w:rFonts w:hint="eastAsia"/>
                <w:lang w:val="en-US" w:eastAsia="zh-CN"/>
              </w:rPr>
              <w:t>2</w:t>
            </w:r>
          </w:p>
        </w:tc>
      </w:tr>
      <w:tr w14:paraId="42FBB25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41" w:type="pct"/>
            <w:gridSpan w:val="2"/>
            <w:vAlign w:val="center"/>
          </w:tcPr>
          <w:p w14:paraId="2022C7FE">
            <w:pPr>
              <w:pStyle w:val="75"/>
              <w:rPr>
                <w:bCs/>
              </w:rPr>
            </w:pPr>
            <w:r>
              <w:rPr>
                <w:rFonts w:hint="eastAsia"/>
                <w:bCs/>
              </w:rPr>
              <w:t>合计</w:t>
            </w:r>
          </w:p>
        </w:tc>
        <w:tc>
          <w:tcPr>
            <w:tcW w:w="957" w:type="pct"/>
            <w:vAlign w:val="center"/>
          </w:tcPr>
          <w:p w14:paraId="715F139E">
            <w:pPr>
              <w:pStyle w:val="81"/>
              <w:rPr>
                <w:b w:val="0"/>
                <w:color w:val="auto"/>
              </w:rPr>
            </w:pPr>
            <w:r>
              <w:rPr>
                <w:rFonts w:hint="eastAsia"/>
                <w:b w:val="0"/>
                <w:color w:val="auto"/>
              </w:rPr>
              <w:t>/</w:t>
            </w:r>
          </w:p>
        </w:tc>
        <w:tc>
          <w:tcPr>
            <w:tcW w:w="867" w:type="pct"/>
            <w:vAlign w:val="center"/>
          </w:tcPr>
          <w:p w14:paraId="67808503">
            <w:pPr>
              <w:pStyle w:val="81"/>
              <w:rPr>
                <w:b w:val="0"/>
                <w:color w:val="auto"/>
              </w:rPr>
            </w:pPr>
            <w:r>
              <w:rPr>
                <w:rFonts w:hint="eastAsia"/>
                <w:b w:val="0"/>
                <w:color w:val="auto"/>
              </w:rPr>
              <w:t>/</w:t>
            </w:r>
          </w:p>
        </w:tc>
        <w:tc>
          <w:tcPr>
            <w:tcW w:w="1006" w:type="pct"/>
            <w:vAlign w:val="center"/>
          </w:tcPr>
          <w:p w14:paraId="487BC497">
            <w:pPr>
              <w:pStyle w:val="81"/>
              <w:rPr>
                <w:rFonts w:hint="default"/>
                <w:b w:val="0"/>
                <w:color w:val="000000" w:themeColor="text1"/>
                <w:lang w:val="en-US" w:eastAsia="zh-CN"/>
                <w14:textFill>
                  <w14:solidFill>
                    <w14:schemeClr w14:val="tx1"/>
                  </w14:solidFill>
                </w14:textFill>
              </w:rPr>
            </w:pPr>
            <w:r>
              <w:rPr>
                <w:rFonts w:hint="eastAsia"/>
                <w:b w:val="0"/>
                <w:color w:val="000000" w:themeColor="text1"/>
                <w:lang w:val="en-US" w:eastAsia="zh-CN"/>
                <w14:textFill>
                  <w14:solidFill>
                    <w14:schemeClr w14:val="tx1"/>
                  </w14:solidFill>
                </w14:textFill>
              </w:rPr>
              <w:t>2154.5</w:t>
            </w:r>
          </w:p>
        </w:tc>
        <w:tc>
          <w:tcPr>
            <w:tcW w:w="827" w:type="pct"/>
            <w:vAlign w:val="center"/>
          </w:tcPr>
          <w:p w14:paraId="4F31C266">
            <w:pPr>
              <w:pStyle w:val="81"/>
              <w:rPr>
                <w:rFonts w:hint="eastAsia"/>
                <w:b w:val="0"/>
                <w:color w:val="0000FF"/>
                <w:lang w:val="en-US" w:eastAsia="zh-CN"/>
              </w:rPr>
            </w:pPr>
            <w:r>
              <w:rPr>
                <w:rFonts w:hint="eastAsia"/>
                <w:b w:val="0"/>
                <w:color w:val="000000" w:themeColor="text1"/>
                <w:lang w:val="en-US" w:eastAsia="zh-CN"/>
                <w14:textFill>
                  <w14:solidFill>
                    <w14:schemeClr w14:val="tx1"/>
                  </w14:solidFill>
                </w14:textFill>
              </w:rPr>
              <w:t>/</w:t>
            </w:r>
          </w:p>
        </w:tc>
      </w:tr>
      <w:tr w14:paraId="2ECC558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00" w:type="pct"/>
            <w:gridSpan w:val="6"/>
            <w:vAlign w:val="center"/>
          </w:tcPr>
          <w:p w14:paraId="738ACC4B">
            <w:pPr>
              <w:pStyle w:val="75"/>
              <w:jc w:val="left"/>
              <w:rPr>
                <w:rFonts w:hint="eastAsia" w:eastAsia="宋体"/>
                <w:lang w:val="en-US" w:eastAsia="zh-CN"/>
              </w:rPr>
            </w:pPr>
            <w:r>
              <w:rPr>
                <w:rFonts w:hint="eastAsia"/>
              </w:rPr>
              <w:t>注：*电镀面积按照原料钢带面积进行核算</w:t>
            </w:r>
            <w:r>
              <w:rPr>
                <w:rFonts w:hint="eastAsia"/>
                <w:lang w:eastAsia="zh-CN"/>
              </w:rPr>
              <w:t>。</w:t>
            </w:r>
          </w:p>
        </w:tc>
      </w:tr>
    </w:tbl>
    <w:p w14:paraId="679279C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480"/>
        <w:textAlignment w:val="auto"/>
        <w:rPr>
          <w:rFonts w:eastAsia="宋体" w:cs="Times New Roman"/>
          <w:b w:val="0"/>
          <w:bCs/>
        </w:rPr>
      </w:pPr>
      <w:r>
        <w:rPr>
          <w:rFonts w:hint="eastAsia" w:eastAsia="宋体" w:cs="Times New Roman"/>
          <w:b w:val="0"/>
          <w:bCs/>
        </w:rPr>
        <w:t>（5）本项目产能核算见下表。</w:t>
      </w:r>
    </w:p>
    <w:p w14:paraId="77CA3B6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9</w:t>
      </w:r>
      <w:r>
        <w:rPr>
          <w:rFonts w:hint="eastAsia"/>
        </w:rPr>
        <w:t xml:space="preserve">    本项目产能核算一览表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28" w:type="dxa"/>
          <w:bottom w:w="0" w:type="dxa"/>
          <w:right w:w="28" w:type="dxa"/>
        </w:tblCellMar>
      </w:tblPr>
      <w:tblGrid>
        <w:gridCol w:w="511"/>
        <w:gridCol w:w="1329"/>
        <w:gridCol w:w="1008"/>
        <w:gridCol w:w="859"/>
        <w:gridCol w:w="859"/>
        <w:gridCol w:w="1003"/>
        <w:gridCol w:w="1001"/>
        <w:gridCol w:w="884"/>
        <w:gridCol w:w="914"/>
      </w:tblGrid>
      <w:tr w14:paraId="06F5819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2455F626">
            <w:pPr>
              <w:pStyle w:val="81"/>
              <w:rPr>
                <w:color w:val="auto"/>
              </w:rPr>
            </w:pPr>
            <w:r>
              <w:rPr>
                <w:rFonts w:hint="eastAsia"/>
                <w:color w:val="auto"/>
              </w:rPr>
              <w:t>序号</w:t>
            </w:r>
          </w:p>
        </w:tc>
        <w:tc>
          <w:tcPr>
            <w:tcW w:w="794" w:type="pct"/>
            <w:vAlign w:val="center"/>
          </w:tcPr>
          <w:p w14:paraId="4724D36C">
            <w:pPr>
              <w:pStyle w:val="81"/>
              <w:rPr>
                <w:color w:val="auto"/>
              </w:rPr>
            </w:pPr>
            <w:r>
              <w:rPr>
                <w:rFonts w:hint="eastAsia"/>
                <w:color w:val="auto"/>
              </w:rPr>
              <w:t>生产线</w:t>
            </w:r>
          </w:p>
        </w:tc>
        <w:tc>
          <w:tcPr>
            <w:tcW w:w="602" w:type="pct"/>
            <w:vAlign w:val="center"/>
          </w:tcPr>
          <w:p w14:paraId="10D0E2E7">
            <w:pPr>
              <w:pStyle w:val="81"/>
              <w:rPr>
                <w:color w:val="auto"/>
              </w:rPr>
            </w:pPr>
            <w:r>
              <w:rPr>
                <w:rFonts w:hint="eastAsia"/>
                <w:color w:val="auto"/>
              </w:rPr>
              <w:t>设备数量(台</w:t>
            </w:r>
            <w:r>
              <w:rPr>
                <w:color w:val="auto"/>
              </w:rPr>
              <w:t>)</w:t>
            </w:r>
          </w:p>
        </w:tc>
        <w:tc>
          <w:tcPr>
            <w:tcW w:w="1026" w:type="pct"/>
            <w:gridSpan w:val="2"/>
            <w:vAlign w:val="center"/>
          </w:tcPr>
          <w:p w14:paraId="15549BC5">
            <w:pPr>
              <w:pStyle w:val="81"/>
              <w:rPr>
                <w:color w:val="auto"/>
              </w:rPr>
            </w:pPr>
            <w:r>
              <w:rPr>
                <w:rFonts w:hint="eastAsia"/>
                <w:color w:val="auto"/>
              </w:rPr>
              <w:t>单台设备产能</w:t>
            </w:r>
          </w:p>
          <w:p w14:paraId="4E0C1934">
            <w:pPr>
              <w:pStyle w:val="81"/>
              <w:rPr>
                <w:color w:val="auto"/>
              </w:rPr>
            </w:pPr>
            <w:r>
              <w:rPr>
                <w:rFonts w:hint="eastAsia"/>
                <w:color w:val="auto"/>
              </w:rPr>
              <w:t>(个/min</w:t>
            </w:r>
            <w:r>
              <w:rPr>
                <w:color w:val="auto"/>
              </w:rPr>
              <w:t>)</w:t>
            </w:r>
          </w:p>
        </w:tc>
        <w:tc>
          <w:tcPr>
            <w:tcW w:w="1197" w:type="pct"/>
            <w:gridSpan w:val="2"/>
            <w:vAlign w:val="center"/>
          </w:tcPr>
          <w:p w14:paraId="1B0DC4C5">
            <w:pPr>
              <w:pStyle w:val="81"/>
              <w:rPr>
                <w:color w:val="auto"/>
              </w:rPr>
            </w:pPr>
            <w:r>
              <w:rPr>
                <w:rFonts w:hint="eastAsia"/>
                <w:color w:val="auto"/>
              </w:rPr>
              <w:t>工作时间</w:t>
            </w:r>
          </w:p>
          <w:p w14:paraId="389D7C41">
            <w:pPr>
              <w:pStyle w:val="81"/>
              <w:rPr>
                <w:color w:val="auto"/>
              </w:rPr>
            </w:pPr>
            <w:r>
              <w:rPr>
                <w:rFonts w:hint="eastAsia"/>
                <w:color w:val="auto"/>
              </w:rPr>
              <w:t>(</w:t>
            </w:r>
            <w:r>
              <w:rPr>
                <w:color w:val="auto"/>
              </w:rPr>
              <w:t>h/a)</w:t>
            </w:r>
          </w:p>
        </w:tc>
        <w:tc>
          <w:tcPr>
            <w:tcW w:w="528" w:type="pct"/>
            <w:vAlign w:val="center"/>
          </w:tcPr>
          <w:p w14:paraId="517F847D">
            <w:pPr>
              <w:pStyle w:val="81"/>
              <w:rPr>
                <w:color w:val="auto"/>
              </w:rPr>
            </w:pPr>
            <w:r>
              <w:rPr>
                <w:rFonts w:hint="eastAsia"/>
                <w:color w:val="auto"/>
              </w:rPr>
              <w:t>最大产能(亿只</w:t>
            </w:r>
            <w:r>
              <w:rPr>
                <w:color w:val="auto"/>
              </w:rPr>
              <w:t>)</w:t>
            </w:r>
          </w:p>
        </w:tc>
        <w:tc>
          <w:tcPr>
            <w:tcW w:w="546" w:type="pct"/>
            <w:vAlign w:val="center"/>
          </w:tcPr>
          <w:p w14:paraId="0CB49645">
            <w:pPr>
              <w:pStyle w:val="81"/>
              <w:rPr>
                <w:color w:val="auto"/>
              </w:rPr>
            </w:pPr>
            <w:r>
              <w:rPr>
                <w:rFonts w:hint="eastAsia"/>
                <w:color w:val="auto"/>
              </w:rPr>
              <w:t>核定产能(亿只</w:t>
            </w:r>
            <w:r>
              <w:rPr>
                <w:color w:val="auto"/>
              </w:rPr>
              <w:t>)</w:t>
            </w:r>
          </w:p>
        </w:tc>
      </w:tr>
      <w:tr w14:paraId="6B4523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Merge w:val="restart"/>
            <w:vAlign w:val="center"/>
          </w:tcPr>
          <w:p w14:paraId="1378BA33">
            <w:pPr>
              <w:pStyle w:val="81"/>
              <w:rPr>
                <w:b w:val="0"/>
                <w:color w:val="auto"/>
              </w:rPr>
            </w:pPr>
            <w:r>
              <w:rPr>
                <w:rFonts w:hint="eastAsia"/>
                <w:b w:val="0"/>
                <w:color w:val="auto"/>
              </w:rPr>
              <w:t>1</w:t>
            </w:r>
          </w:p>
        </w:tc>
        <w:tc>
          <w:tcPr>
            <w:tcW w:w="794" w:type="pct"/>
            <w:vMerge w:val="restart"/>
            <w:vAlign w:val="center"/>
          </w:tcPr>
          <w:p w14:paraId="7A1900E4">
            <w:pPr>
              <w:pStyle w:val="75"/>
            </w:pPr>
            <w:r>
              <w:rPr>
                <w:rFonts w:hint="eastAsia"/>
              </w:rPr>
              <w:t>电池钢壳冲床</w:t>
            </w:r>
          </w:p>
        </w:tc>
        <w:tc>
          <w:tcPr>
            <w:tcW w:w="602" w:type="pct"/>
            <w:vAlign w:val="center"/>
          </w:tcPr>
          <w:p w14:paraId="198BE92E">
            <w:pPr>
              <w:pStyle w:val="75"/>
              <w:rPr>
                <w:rFonts w:hint="default" w:eastAsia="宋体"/>
                <w:lang w:val="en-US" w:eastAsia="zh-CN"/>
              </w:rPr>
            </w:pPr>
            <w:r>
              <w:rPr>
                <w:rFonts w:hint="eastAsia"/>
                <w:lang w:val="en-US" w:eastAsia="zh-CN"/>
              </w:rPr>
              <w:t>11</w:t>
            </w:r>
          </w:p>
        </w:tc>
        <w:tc>
          <w:tcPr>
            <w:tcW w:w="1026" w:type="pct"/>
            <w:gridSpan w:val="2"/>
            <w:vAlign w:val="center"/>
          </w:tcPr>
          <w:p w14:paraId="5610F80A">
            <w:pPr>
              <w:pStyle w:val="81"/>
              <w:rPr>
                <w:rFonts w:hint="default" w:eastAsia="宋体"/>
                <w:b w:val="0"/>
                <w:color w:val="auto"/>
                <w:lang w:val="en-US" w:eastAsia="zh-CN"/>
              </w:rPr>
            </w:pPr>
            <w:r>
              <w:rPr>
                <w:rFonts w:hint="eastAsia"/>
                <w:b w:val="0"/>
                <w:color w:val="auto"/>
                <w:lang w:val="en-US" w:eastAsia="zh-CN"/>
              </w:rPr>
              <w:t>45</w:t>
            </w:r>
          </w:p>
        </w:tc>
        <w:tc>
          <w:tcPr>
            <w:tcW w:w="1197" w:type="pct"/>
            <w:gridSpan w:val="2"/>
            <w:vAlign w:val="center"/>
          </w:tcPr>
          <w:p w14:paraId="277D5B76">
            <w:pPr>
              <w:pStyle w:val="81"/>
              <w:rPr>
                <w:rFonts w:hint="default" w:eastAsia="宋体"/>
                <w:b w:val="0"/>
                <w:color w:val="auto"/>
                <w:lang w:val="en-US" w:eastAsia="zh-CN"/>
              </w:rPr>
            </w:pPr>
            <w:r>
              <w:rPr>
                <w:rFonts w:hint="eastAsia"/>
                <w:b w:val="0"/>
                <w:color w:val="auto"/>
                <w:lang w:val="en-US" w:eastAsia="zh-CN"/>
              </w:rPr>
              <w:t>7200</w:t>
            </w:r>
          </w:p>
        </w:tc>
        <w:tc>
          <w:tcPr>
            <w:tcW w:w="528" w:type="pct"/>
            <w:vMerge w:val="restart"/>
            <w:vAlign w:val="center"/>
          </w:tcPr>
          <w:p w14:paraId="1C88DFB7">
            <w:pPr>
              <w:pStyle w:val="75"/>
            </w:pPr>
            <w:r>
              <w:rPr>
                <w:rFonts w:hint="eastAsia"/>
              </w:rPr>
              <w:t>10.78</w:t>
            </w:r>
          </w:p>
        </w:tc>
        <w:tc>
          <w:tcPr>
            <w:tcW w:w="546" w:type="pct"/>
            <w:vMerge w:val="restart"/>
            <w:vAlign w:val="center"/>
          </w:tcPr>
          <w:p w14:paraId="0F2A77DD">
            <w:pPr>
              <w:pStyle w:val="75"/>
            </w:pPr>
            <w:r>
              <w:rPr>
                <w:rFonts w:hint="eastAsia"/>
              </w:rPr>
              <w:t>10</w:t>
            </w:r>
          </w:p>
        </w:tc>
      </w:tr>
      <w:tr w14:paraId="3E3624D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Merge w:val="continue"/>
            <w:vAlign w:val="center"/>
          </w:tcPr>
          <w:p w14:paraId="203B93A8">
            <w:pPr>
              <w:pStyle w:val="81"/>
              <w:rPr>
                <w:b w:val="0"/>
                <w:color w:val="auto"/>
              </w:rPr>
            </w:pPr>
          </w:p>
        </w:tc>
        <w:tc>
          <w:tcPr>
            <w:tcW w:w="794" w:type="pct"/>
            <w:vMerge w:val="continue"/>
            <w:vAlign w:val="center"/>
          </w:tcPr>
          <w:p w14:paraId="289C47F5">
            <w:pPr>
              <w:pStyle w:val="75"/>
            </w:pPr>
          </w:p>
        </w:tc>
        <w:tc>
          <w:tcPr>
            <w:tcW w:w="602" w:type="pct"/>
            <w:vAlign w:val="center"/>
          </w:tcPr>
          <w:p w14:paraId="0E815720">
            <w:pPr>
              <w:pStyle w:val="75"/>
              <w:rPr>
                <w:rFonts w:hint="default" w:eastAsia="宋体"/>
                <w:lang w:val="en-US" w:eastAsia="zh-CN"/>
              </w:rPr>
            </w:pPr>
            <w:r>
              <w:rPr>
                <w:rFonts w:hint="eastAsia"/>
                <w:lang w:val="en-US" w:eastAsia="zh-CN"/>
              </w:rPr>
              <w:t>10</w:t>
            </w:r>
          </w:p>
        </w:tc>
        <w:tc>
          <w:tcPr>
            <w:tcW w:w="1026" w:type="pct"/>
            <w:gridSpan w:val="2"/>
            <w:vAlign w:val="center"/>
          </w:tcPr>
          <w:p w14:paraId="12F8274B">
            <w:pPr>
              <w:pStyle w:val="81"/>
              <w:rPr>
                <w:rFonts w:hint="default" w:eastAsia="宋体"/>
                <w:b w:val="0"/>
                <w:color w:val="auto"/>
                <w:lang w:val="en-US" w:eastAsia="zh-CN"/>
              </w:rPr>
            </w:pPr>
            <w:r>
              <w:rPr>
                <w:rFonts w:hint="eastAsia"/>
                <w:b w:val="0"/>
                <w:color w:val="auto"/>
                <w:lang w:val="en-US" w:eastAsia="zh-CN"/>
              </w:rPr>
              <w:t>200</w:t>
            </w:r>
          </w:p>
        </w:tc>
        <w:tc>
          <w:tcPr>
            <w:tcW w:w="1197" w:type="pct"/>
            <w:gridSpan w:val="2"/>
            <w:vAlign w:val="center"/>
          </w:tcPr>
          <w:p w14:paraId="5508125B">
            <w:pPr>
              <w:pStyle w:val="81"/>
              <w:rPr>
                <w:rFonts w:hint="default" w:eastAsia="宋体"/>
                <w:b w:val="0"/>
                <w:color w:val="auto"/>
                <w:lang w:val="en-US" w:eastAsia="zh-CN"/>
              </w:rPr>
            </w:pPr>
            <w:r>
              <w:rPr>
                <w:rFonts w:hint="eastAsia"/>
                <w:b w:val="0"/>
                <w:color w:val="auto"/>
                <w:lang w:val="en-US" w:eastAsia="zh-CN"/>
              </w:rPr>
              <w:t>7200</w:t>
            </w:r>
          </w:p>
        </w:tc>
        <w:tc>
          <w:tcPr>
            <w:tcW w:w="528" w:type="pct"/>
            <w:vMerge w:val="continue"/>
            <w:vAlign w:val="center"/>
          </w:tcPr>
          <w:p w14:paraId="31B50A0C">
            <w:pPr>
              <w:pStyle w:val="75"/>
            </w:pPr>
          </w:p>
        </w:tc>
        <w:tc>
          <w:tcPr>
            <w:tcW w:w="546" w:type="pct"/>
            <w:vMerge w:val="continue"/>
            <w:vAlign w:val="center"/>
          </w:tcPr>
          <w:p w14:paraId="094F31CC">
            <w:pPr>
              <w:pStyle w:val="75"/>
            </w:pPr>
          </w:p>
        </w:tc>
      </w:tr>
      <w:tr w14:paraId="5E947B2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7F07FA73">
            <w:pPr>
              <w:pStyle w:val="81"/>
              <w:rPr>
                <w:b w:val="0"/>
                <w:color w:val="auto"/>
              </w:rPr>
            </w:pPr>
            <w:r>
              <w:rPr>
                <w:rFonts w:hint="eastAsia"/>
                <w:b w:val="0"/>
                <w:color w:val="auto"/>
              </w:rPr>
              <w:t>2</w:t>
            </w:r>
          </w:p>
        </w:tc>
        <w:tc>
          <w:tcPr>
            <w:tcW w:w="794" w:type="pct"/>
            <w:vAlign w:val="center"/>
          </w:tcPr>
          <w:p w14:paraId="7020135F">
            <w:pPr>
              <w:pStyle w:val="75"/>
            </w:pPr>
            <w:r>
              <w:rPr>
                <w:rFonts w:hint="eastAsia"/>
                <w:lang w:val="en-US" w:eastAsia="zh-CN"/>
              </w:rPr>
              <w:t>盖帽</w:t>
            </w:r>
            <w:r>
              <w:rPr>
                <w:rFonts w:hint="eastAsia"/>
              </w:rPr>
              <w:t>底盖冲床</w:t>
            </w:r>
          </w:p>
        </w:tc>
        <w:tc>
          <w:tcPr>
            <w:tcW w:w="602" w:type="pct"/>
            <w:vAlign w:val="center"/>
          </w:tcPr>
          <w:p w14:paraId="19941E9F">
            <w:pPr>
              <w:pStyle w:val="75"/>
              <w:rPr>
                <w:rFonts w:hint="eastAsia" w:eastAsia="宋体"/>
                <w:lang w:eastAsia="zh-CN"/>
              </w:rPr>
            </w:pPr>
            <w:r>
              <w:rPr>
                <w:rFonts w:hint="eastAsia"/>
                <w:lang w:val="en-US" w:eastAsia="zh-CN"/>
              </w:rPr>
              <w:t>4</w:t>
            </w:r>
          </w:p>
        </w:tc>
        <w:tc>
          <w:tcPr>
            <w:tcW w:w="1026" w:type="pct"/>
            <w:gridSpan w:val="2"/>
            <w:vAlign w:val="center"/>
          </w:tcPr>
          <w:p w14:paraId="62677E05">
            <w:pPr>
              <w:pStyle w:val="81"/>
              <w:rPr>
                <w:b w:val="0"/>
                <w:color w:val="auto"/>
              </w:rPr>
            </w:pPr>
            <w:r>
              <w:rPr>
                <w:rFonts w:hint="eastAsia"/>
                <w:b w:val="0"/>
                <w:color w:val="auto"/>
              </w:rPr>
              <w:t>600</w:t>
            </w:r>
          </w:p>
        </w:tc>
        <w:tc>
          <w:tcPr>
            <w:tcW w:w="1197" w:type="pct"/>
            <w:gridSpan w:val="2"/>
            <w:vAlign w:val="center"/>
          </w:tcPr>
          <w:p w14:paraId="375A71DD">
            <w:pPr>
              <w:pStyle w:val="81"/>
              <w:rPr>
                <w:rFonts w:hint="default" w:eastAsia="宋体"/>
                <w:b w:val="0"/>
                <w:color w:val="auto"/>
                <w:lang w:val="en-US" w:eastAsia="zh-CN"/>
              </w:rPr>
            </w:pPr>
            <w:r>
              <w:rPr>
                <w:rFonts w:hint="eastAsia"/>
                <w:b w:val="0"/>
                <w:color w:val="auto"/>
                <w:lang w:val="en-US" w:eastAsia="zh-CN"/>
              </w:rPr>
              <w:t>7200</w:t>
            </w:r>
          </w:p>
        </w:tc>
        <w:tc>
          <w:tcPr>
            <w:tcW w:w="528" w:type="pct"/>
            <w:vAlign w:val="center"/>
          </w:tcPr>
          <w:p w14:paraId="23CF0247">
            <w:pPr>
              <w:pStyle w:val="75"/>
              <w:rPr>
                <w:rFonts w:hint="default" w:eastAsia="宋体"/>
                <w:lang w:val="en-US" w:eastAsia="zh-CN"/>
              </w:rPr>
            </w:pPr>
            <w:r>
              <w:rPr>
                <w:rFonts w:hint="eastAsia"/>
                <w:lang w:val="en-US" w:eastAsia="zh-CN"/>
              </w:rPr>
              <w:t>10.37</w:t>
            </w:r>
          </w:p>
        </w:tc>
        <w:tc>
          <w:tcPr>
            <w:tcW w:w="546" w:type="pct"/>
            <w:vAlign w:val="center"/>
          </w:tcPr>
          <w:p w14:paraId="57973336">
            <w:pPr>
              <w:pStyle w:val="75"/>
              <w:rPr>
                <w:rFonts w:hint="default" w:eastAsia="宋体"/>
                <w:lang w:val="en-US" w:eastAsia="zh-CN"/>
              </w:rPr>
            </w:pPr>
            <w:r>
              <w:rPr>
                <w:rFonts w:hint="eastAsia"/>
                <w:lang w:val="en-US" w:eastAsia="zh-CN"/>
              </w:rPr>
              <w:t>10</w:t>
            </w:r>
          </w:p>
        </w:tc>
      </w:tr>
      <w:tr w14:paraId="79B271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7A7249F1">
            <w:pPr>
              <w:pStyle w:val="81"/>
              <w:rPr>
                <w:b w:val="0"/>
                <w:color w:val="auto"/>
              </w:rPr>
            </w:pPr>
            <w:r>
              <w:rPr>
                <w:rFonts w:hint="eastAsia"/>
                <w:b w:val="0"/>
                <w:color w:val="auto"/>
              </w:rPr>
              <w:t>3</w:t>
            </w:r>
          </w:p>
        </w:tc>
        <w:tc>
          <w:tcPr>
            <w:tcW w:w="794" w:type="pct"/>
            <w:vAlign w:val="center"/>
          </w:tcPr>
          <w:p w14:paraId="0D8BA0F5">
            <w:pPr>
              <w:pStyle w:val="75"/>
              <w:jc w:val="left"/>
            </w:pPr>
            <w:r>
              <w:rPr>
                <w:rFonts w:hint="eastAsia"/>
                <w:bCs/>
              </w:rPr>
              <w:t>电池连接件冲床</w:t>
            </w:r>
          </w:p>
        </w:tc>
        <w:tc>
          <w:tcPr>
            <w:tcW w:w="602" w:type="pct"/>
            <w:vAlign w:val="center"/>
          </w:tcPr>
          <w:p w14:paraId="40AA9AF7">
            <w:pPr>
              <w:pStyle w:val="75"/>
              <w:rPr>
                <w:rFonts w:hint="eastAsia" w:eastAsia="宋体"/>
                <w:lang w:eastAsia="zh-CN"/>
              </w:rPr>
            </w:pPr>
            <w:r>
              <w:rPr>
                <w:rFonts w:hint="eastAsia"/>
                <w:lang w:val="en-US" w:eastAsia="zh-CN"/>
              </w:rPr>
              <w:t>5</w:t>
            </w:r>
          </w:p>
        </w:tc>
        <w:tc>
          <w:tcPr>
            <w:tcW w:w="1026" w:type="pct"/>
            <w:gridSpan w:val="2"/>
            <w:vAlign w:val="center"/>
          </w:tcPr>
          <w:p w14:paraId="6C07C5E7">
            <w:pPr>
              <w:pStyle w:val="81"/>
              <w:rPr>
                <w:b w:val="0"/>
                <w:color w:val="auto"/>
              </w:rPr>
            </w:pPr>
            <w:r>
              <w:rPr>
                <w:rFonts w:hint="eastAsia"/>
                <w:b w:val="0"/>
                <w:color w:val="auto"/>
              </w:rPr>
              <w:t>1100</w:t>
            </w:r>
          </w:p>
        </w:tc>
        <w:tc>
          <w:tcPr>
            <w:tcW w:w="1197" w:type="pct"/>
            <w:gridSpan w:val="2"/>
            <w:vAlign w:val="center"/>
          </w:tcPr>
          <w:p w14:paraId="01401666">
            <w:pPr>
              <w:pStyle w:val="81"/>
              <w:rPr>
                <w:rFonts w:hint="default" w:eastAsia="宋体"/>
                <w:b w:val="0"/>
                <w:color w:val="auto"/>
                <w:lang w:val="en-US" w:eastAsia="zh-CN"/>
              </w:rPr>
            </w:pPr>
            <w:r>
              <w:rPr>
                <w:rFonts w:hint="eastAsia"/>
                <w:b w:val="0"/>
                <w:color w:val="auto"/>
                <w:lang w:val="en-US" w:eastAsia="zh-CN"/>
              </w:rPr>
              <w:t>7200</w:t>
            </w:r>
          </w:p>
        </w:tc>
        <w:tc>
          <w:tcPr>
            <w:tcW w:w="528" w:type="pct"/>
            <w:vAlign w:val="center"/>
          </w:tcPr>
          <w:p w14:paraId="12A7F4B0">
            <w:pPr>
              <w:pStyle w:val="75"/>
              <w:rPr>
                <w:rFonts w:hint="default" w:eastAsia="宋体"/>
                <w:lang w:val="en-US" w:eastAsia="zh-CN"/>
              </w:rPr>
            </w:pPr>
            <w:r>
              <w:rPr>
                <w:rFonts w:hint="eastAsia"/>
                <w:lang w:val="en-US" w:eastAsia="zh-CN"/>
              </w:rPr>
              <w:t>23.76</w:t>
            </w:r>
          </w:p>
        </w:tc>
        <w:tc>
          <w:tcPr>
            <w:tcW w:w="546" w:type="pct"/>
            <w:vAlign w:val="center"/>
          </w:tcPr>
          <w:p w14:paraId="5062CF2A">
            <w:pPr>
              <w:pStyle w:val="75"/>
              <w:rPr>
                <w:rFonts w:hint="default" w:eastAsia="宋体"/>
                <w:lang w:val="en-US" w:eastAsia="zh-CN"/>
              </w:rPr>
            </w:pPr>
            <w:r>
              <w:rPr>
                <w:rFonts w:hint="eastAsia"/>
                <w:lang w:val="en-US" w:eastAsia="zh-CN"/>
              </w:rPr>
              <w:t>18</w:t>
            </w:r>
          </w:p>
        </w:tc>
      </w:tr>
      <w:tr w14:paraId="34A253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1DEB4630">
            <w:pPr>
              <w:pStyle w:val="81"/>
              <w:rPr>
                <w:b w:val="0"/>
                <w:color w:val="auto"/>
              </w:rPr>
            </w:pPr>
            <w:r>
              <w:rPr>
                <w:rFonts w:hint="eastAsia"/>
                <w:color w:val="auto"/>
              </w:rPr>
              <w:t>序号</w:t>
            </w:r>
          </w:p>
        </w:tc>
        <w:tc>
          <w:tcPr>
            <w:tcW w:w="794" w:type="pct"/>
            <w:vAlign w:val="center"/>
          </w:tcPr>
          <w:p w14:paraId="65F05B9A">
            <w:pPr>
              <w:pStyle w:val="75"/>
              <w:rPr>
                <w:b/>
                <w:bCs/>
              </w:rPr>
            </w:pPr>
            <w:r>
              <w:rPr>
                <w:rFonts w:hint="eastAsia"/>
                <w:b/>
                <w:bCs/>
              </w:rPr>
              <w:t>生产线</w:t>
            </w:r>
          </w:p>
        </w:tc>
        <w:tc>
          <w:tcPr>
            <w:tcW w:w="602" w:type="pct"/>
            <w:vAlign w:val="center"/>
          </w:tcPr>
          <w:p w14:paraId="50F71DAD">
            <w:pPr>
              <w:pStyle w:val="75"/>
              <w:rPr>
                <w:b/>
                <w:bCs/>
              </w:rPr>
            </w:pPr>
            <w:r>
              <w:rPr>
                <w:rFonts w:hint="eastAsia"/>
                <w:b/>
                <w:bCs/>
              </w:rPr>
              <w:t>单个滚筒容量(只</w:t>
            </w:r>
            <w:r>
              <w:rPr>
                <w:b/>
                <w:bCs/>
              </w:rPr>
              <w:t>)</w:t>
            </w:r>
          </w:p>
        </w:tc>
        <w:tc>
          <w:tcPr>
            <w:tcW w:w="513" w:type="pct"/>
            <w:vAlign w:val="center"/>
          </w:tcPr>
          <w:p w14:paraId="76A4EF28">
            <w:pPr>
              <w:pStyle w:val="81"/>
              <w:rPr>
                <w:bCs/>
                <w:color w:val="auto"/>
              </w:rPr>
            </w:pPr>
            <w:r>
              <w:rPr>
                <w:rFonts w:hint="eastAsia"/>
                <w:bCs/>
                <w:color w:val="auto"/>
              </w:rPr>
              <w:t>电镀槽数(个</w:t>
            </w:r>
            <w:r>
              <w:rPr>
                <w:bCs/>
                <w:color w:val="auto"/>
              </w:rPr>
              <w:t>)</w:t>
            </w:r>
          </w:p>
        </w:tc>
        <w:tc>
          <w:tcPr>
            <w:tcW w:w="513" w:type="pct"/>
            <w:vAlign w:val="center"/>
          </w:tcPr>
          <w:p w14:paraId="333A63EB">
            <w:pPr>
              <w:pStyle w:val="81"/>
              <w:rPr>
                <w:bCs/>
                <w:color w:val="auto"/>
              </w:rPr>
            </w:pPr>
            <w:r>
              <w:rPr>
                <w:rFonts w:hint="eastAsia"/>
                <w:bCs/>
                <w:color w:val="auto"/>
              </w:rPr>
              <w:t>生产线个数(个</w:t>
            </w:r>
            <w:r>
              <w:rPr>
                <w:bCs/>
                <w:color w:val="auto"/>
              </w:rPr>
              <w:t>)</w:t>
            </w:r>
          </w:p>
        </w:tc>
        <w:tc>
          <w:tcPr>
            <w:tcW w:w="599" w:type="pct"/>
            <w:vAlign w:val="center"/>
          </w:tcPr>
          <w:p w14:paraId="5A4DCB14">
            <w:pPr>
              <w:pStyle w:val="81"/>
              <w:rPr>
                <w:bCs/>
                <w:color w:val="auto"/>
              </w:rPr>
            </w:pPr>
            <w:r>
              <w:rPr>
                <w:rFonts w:hint="eastAsia"/>
                <w:bCs/>
                <w:color w:val="auto"/>
              </w:rPr>
              <w:t>工作时间(</w:t>
            </w:r>
            <w:r>
              <w:rPr>
                <w:bCs/>
                <w:color w:val="auto"/>
              </w:rPr>
              <w:t>h/a)</w:t>
            </w:r>
          </w:p>
        </w:tc>
        <w:tc>
          <w:tcPr>
            <w:tcW w:w="598" w:type="pct"/>
            <w:vAlign w:val="center"/>
          </w:tcPr>
          <w:p w14:paraId="621801B1">
            <w:pPr>
              <w:pStyle w:val="81"/>
              <w:rPr>
                <w:bCs/>
                <w:color w:val="auto"/>
              </w:rPr>
            </w:pPr>
            <w:r>
              <w:rPr>
                <w:rFonts w:hint="eastAsia"/>
                <w:bCs/>
                <w:color w:val="auto"/>
              </w:rPr>
              <w:t>电镀时间(</w:t>
            </w:r>
            <w:r>
              <w:rPr>
                <w:bCs/>
                <w:color w:val="auto"/>
              </w:rPr>
              <w:t>min)</w:t>
            </w:r>
          </w:p>
        </w:tc>
        <w:tc>
          <w:tcPr>
            <w:tcW w:w="528" w:type="pct"/>
            <w:vAlign w:val="center"/>
          </w:tcPr>
          <w:p w14:paraId="4E05BC8A">
            <w:pPr>
              <w:pStyle w:val="75"/>
              <w:rPr>
                <w:b/>
                <w:bCs/>
              </w:rPr>
            </w:pPr>
            <w:r>
              <w:rPr>
                <w:rFonts w:hint="eastAsia"/>
                <w:b/>
                <w:bCs/>
              </w:rPr>
              <w:t>最大产能(亿只</w:t>
            </w:r>
            <w:r>
              <w:rPr>
                <w:b/>
                <w:bCs/>
              </w:rPr>
              <w:t>)</w:t>
            </w:r>
          </w:p>
        </w:tc>
        <w:tc>
          <w:tcPr>
            <w:tcW w:w="546" w:type="pct"/>
            <w:vAlign w:val="center"/>
          </w:tcPr>
          <w:p w14:paraId="4D1EE0C9">
            <w:pPr>
              <w:pStyle w:val="75"/>
              <w:rPr>
                <w:b/>
                <w:bCs/>
              </w:rPr>
            </w:pPr>
            <w:r>
              <w:rPr>
                <w:rFonts w:hint="eastAsia"/>
                <w:b/>
                <w:bCs/>
              </w:rPr>
              <w:t>核定产能(亿只</w:t>
            </w:r>
            <w:r>
              <w:rPr>
                <w:b/>
                <w:bCs/>
              </w:rPr>
              <w:t>)</w:t>
            </w:r>
          </w:p>
        </w:tc>
      </w:tr>
      <w:tr w14:paraId="0C610BC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0878A4C6">
            <w:pPr>
              <w:pStyle w:val="81"/>
              <w:rPr>
                <w:color w:val="auto"/>
              </w:rPr>
            </w:pPr>
            <w:r>
              <w:rPr>
                <w:rFonts w:hint="eastAsia"/>
                <w:b w:val="0"/>
                <w:color w:val="auto"/>
              </w:rPr>
              <w:t>1</w:t>
            </w:r>
          </w:p>
        </w:tc>
        <w:tc>
          <w:tcPr>
            <w:tcW w:w="794" w:type="pct"/>
            <w:vAlign w:val="center"/>
          </w:tcPr>
          <w:p w14:paraId="17560218">
            <w:pPr>
              <w:pStyle w:val="75"/>
              <w:jc w:val="left"/>
              <w:rPr>
                <w:b/>
                <w:bCs/>
              </w:rPr>
            </w:pPr>
            <w:r>
              <w:rPr>
                <w:rFonts w:hint="eastAsia"/>
              </w:rPr>
              <w:t>电池钢壳电镀线</w:t>
            </w:r>
          </w:p>
        </w:tc>
        <w:tc>
          <w:tcPr>
            <w:tcW w:w="602" w:type="pct"/>
            <w:vAlign w:val="center"/>
          </w:tcPr>
          <w:p w14:paraId="599B151B">
            <w:pPr>
              <w:pStyle w:val="75"/>
              <w:rPr>
                <w:rFonts w:hint="default" w:eastAsia="宋体"/>
                <w:lang w:val="en-US" w:eastAsia="zh-CN"/>
              </w:rPr>
            </w:pPr>
            <w:r>
              <w:rPr>
                <w:rFonts w:hint="eastAsia"/>
                <w:lang w:val="en-US" w:eastAsia="zh-CN"/>
              </w:rPr>
              <w:t>3000</w:t>
            </w:r>
          </w:p>
        </w:tc>
        <w:tc>
          <w:tcPr>
            <w:tcW w:w="513" w:type="pct"/>
            <w:vAlign w:val="center"/>
          </w:tcPr>
          <w:p w14:paraId="160FB421">
            <w:pPr>
              <w:pStyle w:val="81"/>
              <w:rPr>
                <w:rFonts w:hint="default" w:eastAsia="宋体"/>
                <w:b w:val="0"/>
                <w:color w:val="auto"/>
                <w:lang w:val="en-US" w:eastAsia="zh-CN"/>
              </w:rPr>
            </w:pPr>
            <w:r>
              <w:rPr>
                <w:rFonts w:hint="eastAsia"/>
                <w:b w:val="0"/>
                <w:color w:val="auto"/>
                <w:lang w:val="en-US" w:eastAsia="zh-CN"/>
              </w:rPr>
              <w:t>36</w:t>
            </w:r>
          </w:p>
        </w:tc>
        <w:tc>
          <w:tcPr>
            <w:tcW w:w="513" w:type="pct"/>
            <w:vAlign w:val="center"/>
          </w:tcPr>
          <w:p w14:paraId="2D85841A">
            <w:pPr>
              <w:pStyle w:val="81"/>
              <w:rPr>
                <w:rFonts w:hint="eastAsia" w:eastAsia="宋体"/>
                <w:b w:val="0"/>
                <w:color w:val="auto"/>
                <w:lang w:eastAsia="zh-CN"/>
              </w:rPr>
            </w:pPr>
            <w:r>
              <w:rPr>
                <w:rFonts w:hint="eastAsia"/>
                <w:b w:val="0"/>
                <w:color w:val="auto"/>
                <w:lang w:val="en-US" w:eastAsia="zh-CN"/>
              </w:rPr>
              <w:t>3</w:t>
            </w:r>
          </w:p>
        </w:tc>
        <w:tc>
          <w:tcPr>
            <w:tcW w:w="599" w:type="pct"/>
            <w:vAlign w:val="center"/>
          </w:tcPr>
          <w:p w14:paraId="7629A45F">
            <w:pPr>
              <w:pStyle w:val="81"/>
              <w:rPr>
                <w:rFonts w:hint="default" w:eastAsia="宋体"/>
                <w:b w:val="0"/>
                <w:color w:val="auto"/>
                <w:lang w:val="en-US" w:eastAsia="zh-CN"/>
              </w:rPr>
            </w:pPr>
            <w:r>
              <w:rPr>
                <w:rFonts w:hint="eastAsia"/>
                <w:b w:val="0"/>
                <w:color w:val="auto"/>
                <w:lang w:val="en-US" w:eastAsia="zh-CN"/>
              </w:rPr>
              <w:t>7200</w:t>
            </w:r>
          </w:p>
        </w:tc>
        <w:tc>
          <w:tcPr>
            <w:tcW w:w="598" w:type="pct"/>
            <w:vAlign w:val="center"/>
          </w:tcPr>
          <w:p w14:paraId="3693C2EE">
            <w:pPr>
              <w:pStyle w:val="81"/>
              <w:rPr>
                <w:b w:val="0"/>
                <w:color w:val="auto"/>
              </w:rPr>
            </w:pPr>
            <w:r>
              <w:rPr>
                <w:b w:val="0"/>
                <w:color w:val="auto"/>
              </w:rPr>
              <w:t>120</w:t>
            </w:r>
          </w:p>
        </w:tc>
        <w:tc>
          <w:tcPr>
            <w:tcW w:w="528" w:type="pct"/>
            <w:vAlign w:val="center"/>
          </w:tcPr>
          <w:p w14:paraId="5DA9E606">
            <w:pPr>
              <w:pStyle w:val="75"/>
              <w:rPr>
                <w:rFonts w:hint="default" w:eastAsia="宋体"/>
                <w:lang w:val="en-US" w:eastAsia="zh-CN"/>
              </w:rPr>
            </w:pPr>
            <w:r>
              <w:rPr>
                <w:rFonts w:hint="eastAsia"/>
                <w:lang w:val="en-US" w:eastAsia="zh-CN"/>
              </w:rPr>
              <w:t>11.66</w:t>
            </w:r>
          </w:p>
        </w:tc>
        <w:tc>
          <w:tcPr>
            <w:tcW w:w="546" w:type="pct"/>
            <w:vAlign w:val="center"/>
          </w:tcPr>
          <w:p w14:paraId="59EA4B8B">
            <w:pPr>
              <w:pStyle w:val="75"/>
            </w:pPr>
            <w:r>
              <w:rPr>
                <w:rFonts w:hint="eastAsia"/>
              </w:rPr>
              <w:t>10</w:t>
            </w:r>
          </w:p>
        </w:tc>
      </w:tr>
      <w:tr w14:paraId="1169E4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2D54A0BF">
            <w:pPr>
              <w:pStyle w:val="81"/>
              <w:rPr>
                <w:color w:val="auto"/>
              </w:rPr>
            </w:pPr>
            <w:r>
              <w:rPr>
                <w:rFonts w:hint="eastAsia"/>
                <w:b w:val="0"/>
                <w:color w:val="auto"/>
              </w:rPr>
              <w:t>2</w:t>
            </w:r>
          </w:p>
        </w:tc>
        <w:tc>
          <w:tcPr>
            <w:tcW w:w="794" w:type="pct"/>
            <w:vAlign w:val="center"/>
          </w:tcPr>
          <w:p w14:paraId="22A77D6F">
            <w:pPr>
              <w:pStyle w:val="75"/>
              <w:rPr>
                <w:b/>
                <w:bCs/>
              </w:rPr>
            </w:pPr>
            <w:r>
              <w:rPr>
                <w:rFonts w:hint="eastAsia"/>
                <w:lang w:val="en-US" w:eastAsia="zh-CN"/>
              </w:rPr>
              <w:t>盖帽</w:t>
            </w:r>
            <w:r>
              <w:rPr>
                <w:rFonts w:hint="eastAsia"/>
              </w:rPr>
              <w:t>电镀线</w:t>
            </w:r>
          </w:p>
        </w:tc>
        <w:tc>
          <w:tcPr>
            <w:tcW w:w="602" w:type="pct"/>
            <w:vAlign w:val="center"/>
          </w:tcPr>
          <w:p w14:paraId="0E83BEBA">
            <w:pPr>
              <w:pStyle w:val="75"/>
              <w:rPr>
                <w:rFonts w:hint="default" w:eastAsia="宋体"/>
                <w:lang w:val="en-US" w:eastAsia="zh-CN"/>
              </w:rPr>
            </w:pPr>
            <w:r>
              <w:rPr>
                <w:rFonts w:hint="eastAsia"/>
                <w:lang w:val="en-US" w:eastAsia="zh-CN"/>
              </w:rPr>
              <w:t>16000</w:t>
            </w:r>
          </w:p>
        </w:tc>
        <w:tc>
          <w:tcPr>
            <w:tcW w:w="513" w:type="pct"/>
            <w:vAlign w:val="center"/>
          </w:tcPr>
          <w:p w14:paraId="34A3F086">
            <w:pPr>
              <w:pStyle w:val="81"/>
              <w:rPr>
                <w:rFonts w:hint="eastAsia" w:eastAsia="宋体"/>
                <w:b w:val="0"/>
                <w:color w:val="auto"/>
                <w:lang w:eastAsia="zh-CN"/>
              </w:rPr>
            </w:pPr>
            <w:r>
              <w:rPr>
                <w:rFonts w:hint="eastAsia"/>
                <w:b w:val="0"/>
                <w:color w:val="auto"/>
                <w:lang w:val="en-US" w:eastAsia="zh-CN"/>
              </w:rPr>
              <w:t>9</w:t>
            </w:r>
          </w:p>
        </w:tc>
        <w:tc>
          <w:tcPr>
            <w:tcW w:w="513" w:type="pct"/>
            <w:vAlign w:val="center"/>
          </w:tcPr>
          <w:p w14:paraId="6F38B045">
            <w:pPr>
              <w:pStyle w:val="81"/>
              <w:rPr>
                <w:b w:val="0"/>
                <w:color w:val="auto"/>
              </w:rPr>
            </w:pPr>
            <w:r>
              <w:rPr>
                <w:rFonts w:hint="eastAsia"/>
                <w:b w:val="0"/>
                <w:color w:val="auto"/>
              </w:rPr>
              <w:t>2</w:t>
            </w:r>
          </w:p>
        </w:tc>
        <w:tc>
          <w:tcPr>
            <w:tcW w:w="599" w:type="pct"/>
            <w:vAlign w:val="center"/>
          </w:tcPr>
          <w:p w14:paraId="6CCF4AF0">
            <w:pPr>
              <w:pStyle w:val="81"/>
              <w:rPr>
                <w:rFonts w:hint="default" w:eastAsia="宋体"/>
                <w:b w:val="0"/>
                <w:color w:val="auto"/>
                <w:lang w:val="en-US" w:eastAsia="zh-CN"/>
              </w:rPr>
            </w:pPr>
            <w:r>
              <w:rPr>
                <w:rFonts w:hint="eastAsia"/>
                <w:b w:val="0"/>
                <w:color w:val="auto"/>
                <w:lang w:val="en-US" w:eastAsia="zh-CN"/>
              </w:rPr>
              <w:t>7200</w:t>
            </w:r>
          </w:p>
        </w:tc>
        <w:tc>
          <w:tcPr>
            <w:tcW w:w="598" w:type="pct"/>
            <w:vAlign w:val="center"/>
          </w:tcPr>
          <w:p w14:paraId="677ACD66">
            <w:pPr>
              <w:pStyle w:val="81"/>
              <w:rPr>
                <w:b w:val="0"/>
                <w:color w:val="auto"/>
              </w:rPr>
            </w:pPr>
            <w:r>
              <w:rPr>
                <w:b w:val="0"/>
                <w:color w:val="auto"/>
              </w:rPr>
              <w:t>120</w:t>
            </w:r>
          </w:p>
        </w:tc>
        <w:tc>
          <w:tcPr>
            <w:tcW w:w="528" w:type="pct"/>
            <w:vAlign w:val="center"/>
          </w:tcPr>
          <w:p w14:paraId="6D26B7C4">
            <w:pPr>
              <w:pStyle w:val="75"/>
              <w:rPr>
                <w:rFonts w:hint="default" w:eastAsia="宋体"/>
                <w:lang w:val="en-US" w:eastAsia="zh-CN"/>
              </w:rPr>
            </w:pPr>
            <w:r>
              <w:rPr>
                <w:rFonts w:hint="eastAsia"/>
                <w:lang w:val="en-US" w:eastAsia="zh-CN"/>
              </w:rPr>
              <w:t>10.37</w:t>
            </w:r>
          </w:p>
        </w:tc>
        <w:tc>
          <w:tcPr>
            <w:tcW w:w="546" w:type="pct"/>
            <w:vAlign w:val="center"/>
          </w:tcPr>
          <w:p w14:paraId="0164C1C2">
            <w:pPr>
              <w:pStyle w:val="75"/>
            </w:pPr>
            <w:r>
              <w:rPr>
                <w:rFonts w:hint="eastAsia"/>
              </w:rPr>
              <w:t>10</w:t>
            </w:r>
          </w:p>
        </w:tc>
      </w:tr>
      <w:tr w14:paraId="05A43C5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4A38C1BA">
            <w:pPr>
              <w:pStyle w:val="81"/>
              <w:rPr>
                <w:b w:val="0"/>
                <w:color w:val="auto"/>
              </w:rPr>
            </w:pPr>
            <w:r>
              <w:rPr>
                <w:rFonts w:hint="eastAsia"/>
                <w:color w:val="auto"/>
              </w:rPr>
              <w:t>序号</w:t>
            </w:r>
          </w:p>
        </w:tc>
        <w:tc>
          <w:tcPr>
            <w:tcW w:w="794" w:type="pct"/>
            <w:vAlign w:val="center"/>
          </w:tcPr>
          <w:p w14:paraId="00266153">
            <w:pPr>
              <w:pStyle w:val="75"/>
            </w:pPr>
            <w:r>
              <w:rPr>
                <w:rFonts w:hint="eastAsia"/>
                <w:b/>
                <w:bCs/>
              </w:rPr>
              <w:t>生产线</w:t>
            </w:r>
          </w:p>
        </w:tc>
        <w:tc>
          <w:tcPr>
            <w:tcW w:w="602" w:type="pct"/>
            <w:vAlign w:val="center"/>
          </w:tcPr>
          <w:p w14:paraId="32A931F4">
            <w:pPr>
              <w:pStyle w:val="75"/>
              <w:rPr>
                <w:b/>
              </w:rPr>
            </w:pPr>
            <w:r>
              <w:rPr>
                <w:rFonts w:hint="eastAsia"/>
                <w:b/>
              </w:rPr>
              <w:t>电镀槽数(个</w:t>
            </w:r>
            <w:r>
              <w:rPr>
                <w:b/>
              </w:rPr>
              <w:t>)</w:t>
            </w:r>
          </w:p>
        </w:tc>
        <w:tc>
          <w:tcPr>
            <w:tcW w:w="513" w:type="pct"/>
            <w:vAlign w:val="center"/>
          </w:tcPr>
          <w:p w14:paraId="1FEE249A">
            <w:pPr>
              <w:pStyle w:val="81"/>
              <w:rPr>
                <w:b w:val="0"/>
                <w:color w:val="auto"/>
              </w:rPr>
            </w:pPr>
            <w:r>
              <w:rPr>
                <w:rFonts w:hint="eastAsia"/>
                <w:bCs/>
                <w:color w:val="auto"/>
              </w:rPr>
              <w:t>生产线个数(个</w:t>
            </w:r>
            <w:r>
              <w:rPr>
                <w:bCs/>
                <w:color w:val="auto"/>
              </w:rPr>
              <w:t>)</w:t>
            </w:r>
          </w:p>
        </w:tc>
        <w:tc>
          <w:tcPr>
            <w:tcW w:w="513" w:type="pct"/>
            <w:vAlign w:val="center"/>
          </w:tcPr>
          <w:p w14:paraId="0DFEDBF3">
            <w:pPr>
              <w:pStyle w:val="81"/>
              <w:rPr>
                <w:b w:val="0"/>
                <w:color w:val="auto"/>
              </w:rPr>
            </w:pPr>
            <w:r>
              <w:rPr>
                <w:rFonts w:hint="eastAsia"/>
                <w:bCs/>
                <w:color w:val="auto"/>
              </w:rPr>
              <w:t>工作时间(</w:t>
            </w:r>
            <w:r>
              <w:rPr>
                <w:bCs/>
                <w:color w:val="auto"/>
              </w:rPr>
              <w:t>h/a)</w:t>
            </w:r>
          </w:p>
        </w:tc>
        <w:tc>
          <w:tcPr>
            <w:tcW w:w="599" w:type="pct"/>
            <w:vAlign w:val="center"/>
          </w:tcPr>
          <w:p w14:paraId="0548AF01">
            <w:pPr>
              <w:pStyle w:val="81"/>
              <w:rPr>
                <w:b w:val="0"/>
                <w:color w:val="auto"/>
              </w:rPr>
            </w:pPr>
            <w:r>
              <w:rPr>
                <w:rFonts w:hint="eastAsia"/>
                <w:bCs/>
                <w:color w:val="auto"/>
              </w:rPr>
              <w:t>电镀时间(m</w:t>
            </w:r>
            <w:r>
              <w:rPr>
                <w:bCs/>
                <w:color w:val="auto"/>
              </w:rPr>
              <w:t>/min)</w:t>
            </w:r>
          </w:p>
        </w:tc>
        <w:tc>
          <w:tcPr>
            <w:tcW w:w="598" w:type="pct"/>
            <w:vAlign w:val="center"/>
          </w:tcPr>
          <w:p w14:paraId="506E75E8">
            <w:pPr>
              <w:pStyle w:val="81"/>
              <w:rPr>
                <w:b w:val="0"/>
                <w:color w:val="auto"/>
              </w:rPr>
            </w:pPr>
            <w:r>
              <w:rPr>
                <w:rFonts w:hint="eastAsia"/>
                <w:color w:val="auto"/>
              </w:rPr>
              <w:t>质量比重(g/cm</w:t>
            </w:r>
            <w:r>
              <w:rPr>
                <w:rFonts w:hint="eastAsia"/>
                <w:color w:val="auto"/>
                <w:vertAlign w:val="superscript"/>
              </w:rPr>
              <w:t>3</w:t>
            </w:r>
            <w:r>
              <w:rPr>
                <w:color w:val="auto"/>
              </w:rPr>
              <w:t>)</w:t>
            </w:r>
            <w:r>
              <w:rPr>
                <w:rFonts w:hint="eastAsia"/>
                <w:b w:val="0"/>
                <w:color w:val="auto"/>
              </w:rPr>
              <w:t xml:space="preserve"> </w:t>
            </w:r>
          </w:p>
        </w:tc>
        <w:tc>
          <w:tcPr>
            <w:tcW w:w="528" w:type="pct"/>
            <w:vAlign w:val="center"/>
          </w:tcPr>
          <w:p w14:paraId="38AE1621">
            <w:pPr>
              <w:pStyle w:val="75"/>
            </w:pPr>
            <w:r>
              <w:rPr>
                <w:rFonts w:hint="eastAsia"/>
                <w:b/>
                <w:bCs/>
              </w:rPr>
              <w:t>最大产能(亿个</w:t>
            </w:r>
            <w:r>
              <w:rPr>
                <w:b/>
                <w:bCs/>
              </w:rPr>
              <w:t>)</w:t>
            </w:r>
          </w:p>
        </w:tc>
        <w:tc>
          <w:tcPr>
            <w:tcW w:w="546" w:type="pct"/>
            <w:vAlign w:val="center"/>
          </w:tcPr>
          <w:p w14:paraId="0993C975">
            <w:pPr>
              <w:pStyle w:val="75"/>
            </w:pPr>
            <w:r>
              <w:rPr>
                <w:rFonts w:hint="eastAsia"/>
                <w:b/>
                <w:bCs/>
              </w:rPr>
              <w:t>核定产能(亿个</w:t>
            </w:r>
            <w:r>
              <w:rPr>
                <w:b/>
                <w:bCs/>
              </w:rPr>
              <w:t>)</w:t>
            </w:r>
          </w:p>
        </w:tc>
      </w:tr>
      <w:tr w14:paraId="680F6FA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05" w:type="pct"/>
            <w:vAlign w:val="center"/>
          </w:tcPr>
          <w:p w14:paraId="1A48BB69">
            <w:pPr>
              <w:pStyle w:val="81"/>
              <w:rPr>
                <w:b w:val="0"/>
                <w:color w:val="auto"/>
              </w:rPr>
            </w:pPr>
            <w:r>
              <w:rPr>
                <w:rFonts w:hint="eastAsia"/>
                <w:b w:val="0"/>
                <w:color w:val="auto"/>
              </w:rPr>
              <w:t>1</w:t>
            </w:r>
          </w:p>
        </w:tc>
        <w:tc>
          <w:tcPr>
            <w:tcW w:w="794" w:type="pct"/>
            <w:vAlign w:val="center"/>
          </w:tcPr>
          <w:p w14:paraId="4276C7D5">
            <w:pPr>
              <w:pStyle w:val="75"/>
              <w:jc w:val="left"/>
            </w:pPr>
            <w:r>
              <w:rPr>
                <w:rFonts w:hint="eastAsia"/>
                <w:bCs/>
              </w:rPr>
              <w:t>电池连接件</w:t>
            </w:r>
            <w:r>
              <w:rPr>
                <w:rFonts w:hint="eastAsia"/>
              </w:rPr>
              <w:t>电镀线</w:t>
            </w:r>
          </w:p>
        </w:tc>
        <w:tc>
          <w:tcPr>
            <w:tcW w:w="602" w:type="pct"/>
            <w:vAlign w:val="center"/>
          </w:tcPr>
          <w:p w14:paraId="099AEEBA">
            <w:pPr>
              <w:pStyle w:val="75"/>
              <w:rPr>
                <w:rFonts w:hint="eastAsia" w:eastAsia="宋体"/>
                <w:bCs/>
                <w:lang w:eastAsia="zh-CN"/>
              </w:rPr>
            </w:pPr>
            <w:r>
              <w:rPr>
                <w:rFonts w:hint="eastAsia"/>
                <w:bCs/>
                <w:lang w:val="en-US" w:eastAsia="zh-CN"/>
              </w:rPr>
              <w:t>8</w:t>
            </w:r>
          </w:p>
        </w:tc>
        <w:tc>
          <w:tcPr>
            <w:tcW w:w="513" w:type="pct"/>
            <w:vAlign w:val="center"/>
          </w:tcPr>
          <w:p w14:paraId="17C50E72">
            <w:pPr>
              <w:pStyle w:val="81"/>
              <w:rPr>
                <w:rFonts w:hint="eastAsia" w:eastAsia="宋体"/>
                <w:b w:val="0"/>
                <w:color w:val="auto"/>
                <w:lang w:eastAsia="zh-CN"/>
              </w:rPr>
            </w:pPr>
            <w:r>
              <w:rPr>
                <w:rFonts w:hint="eastAsia"/>
                <w:b w:val="0"/>
                <w:color w:val="auto"/>
                <w:lang w:val="en-US" w:eastAsia="zh-CN"/>
              </w:rPr>
              <w:t>6</w:t>
            </w:r>
          </w:p>
        </w:tc>
        <w:tc>
          <w:tcPr>
            <w:tcW w:w="513" w:type="pct"/>
            <w:vAlign w:val="center"/>
          </w:tcPr>
          <w:p w14:paraId="7DC7D9B7">
            <w:pPr>
              <w:pStyle w:val="81"/>
              <w:rPr>
                <w:rFonts w:hint="default" w:eastAsia="宋体"/>
                <w:b w:val="0"/>
                <w:color w:val="auto"/>
                <w:lang w:val="en-US" w:eastAsia="zh-CN"/>
              </w:rPr>
            </w:pPr>
            <w:r>
              <w:rPr>
                <w:rFonts w:hint="eastAsia"/>
                <w:b w:val="0"/>
                <w:color w:val="auto"/>
                <w:lang w:val="en-US" w:eastAsia="zh-CN"/>
              </w:rPr>
              <w:t>7200</w:t>
            </w:r>
          </w:p>
        </w:tc>
        <w:tc>
          <w:tcPr>
            <w:tcW w:w="599" w:type="pct"/>
            <w:vAlign w:val="center"/>
          </w:tcPr>
          <w:p w14:paraId="76F84B6C">
            <w:pPr>
              <w:pStyle w:val="81"/>
              <w:rPr>
                <w:rFonts w:hint="eastAsia" w:eastAsia="宋体"/>
                <w:b w:val="0"/>
                <w:color w:val="auto"/>
                <w:lang w:eastAsia="zh-CN"/>
              </w:rPr>
            </w:pPr>
            <w:r>
              <w:rPr>
                <w:rFonts w:hint="eastAsia"/>
                <w:b w:val="0"/>
                <w:color w:val="auto"/>
                <w:lang w:val="en-US" w:eastAsia="zh-CN"/>
              </w:rPr>
              <w:t>3</w:t>
            </w:r>
          </w:p>
        </w:tc>
        <w:tc>
          <w:tcPr>
            <w:tcW w:w="598" w:type="pct"/>
            <w:vAlign w:val="center"/>
          </w:tcPr>
          <w:p w14:paraId="2E725783">
            <w:pPr>
              <w:pStyle w:val="81"/>
              <w:rPr>
                <w:b w:val="0"/>
                <w:color w:val="auto"/>
              </w:rPr>
            </w:pPr>
            <w:r>
              <w:rPr>
                <w:rFonts w:hint="eastAsia"/>
                <w:b w:val="0"/>
                <w:color w:val="auto"/>
              </w:rPr>
              <w:t>7.85</w:t>
            </w:r>
          </w:p>
        </w:tc>
        <w:tc>
          <w:tcPr>
            <w:tcW w:w="528" w:type="pct"/>
            <w:vAlign w:val="center"/>
          </w:tcPr>
          <w:p w14:paraId="7393F801">
            <w:pPr>
              <w:pStyle w:val="75"/>
              <w:rPr>
                <w:rFonts w:hint="default" w:eastAsia="宋体"/>
                <w:lang w:val="en-US" w:eastAsia="zh-CN"/>
              </w:rPr>
            </w:pPr>
            <w:r>
              <w:rPr>
                <w:rFonts w:hint="eastAsia"/>
                <w:lang w:val="en-US" w:eastAsia="zh-CN"/>
              </w:rPr>
              <w:t>20.84</w:t>
            </w:r>
          </w:p>
        </w:tc>
        <w:tc>
          <w:tcPr>
            <w:tcW w:w="546" w:type="pct"/>
            <w:vAlign w:val="center"/>
          </w:tcPr>
          <w:p w14:paraId="0E9E4024">
            <w:pPr>
              <w:pStyle w:val="75"/>
              <w:rPr>
                <w:rFonts w:hint="default" w:eastAsia="宋体"/>
                <w:lang w:val="en-US" w:eastAsia="zh-CN"/>
              </w:rPr>
            </w:pPr>
            <w:r>
              <w:rPr>
                <w:rFonts w:hint="eastAsia"/>
                <w:lang w:val="en-US" w:eastAsia="zh-CN"/>
              </w:rPr>
              <w:t>18</w:t>
            </w:r>
          </w:p>
        </w:tc>
      </w:tr>
    </w:tbl>
    <w:p w14:paraId="1637EAE0">
      <w:pPr>
        <w:pStyle w:val="38"/>
        <w:spacing w:before="0" w:beforeLines="0" w:after="0" w:afterLines="0" w:line="520" w:lineRule="exact"/>
        <w:ind w:firstLine="480"/>
        <w:rPr>
          <w:rFonts w:hint="eastAsia" w:eastAsia="宋体"/>
          <w:b w:val="0"/>
          <w:kern w:val="0"/>
          <w:szCs w:val="20"/>
        </w:rPr>
      </w:pPr>
      <w:r>
        <w:rPr>
          <w:rFonts w:hint="eastAsia" w:eastAsia="宋体"/>
          <w:b w:val="0"/>
          <w:kern w:val="0"/>
          <w:szCs w:val="20"/>
        </w:rPr>
        <w:t>由上表可知，本项目机加工工序产能：钢壳</w:t>
      </w:r>
      <w:r>
        <w:rPr>
          <w:rFonts w:hint="eastAsia"/>
          <w:b w:val="0"/>
          <w:kern w:val="0"/>
          <w:szCs w:val="20"/>
          <w:lang w:val="en-US" w:eastAsia="zh-CN"/>
        </w:rPr>
        <w:t>10.78</w:t>
      </w:r>
      <w:r>
        <w:rPr>
          <w:rFonts w:hint="eastAsia" w:eastAsia="宋体"/>
          <w:b w:val="0"/>
          <w:kern w:val="0"/>
          <w:szCs w:val="20"/>
        </w:rPr>
        <w:t>亿只/年、</w:t>
      </w:r>
      <w:r>
        <w:rPr>
          <w:rFonts w:hint="eastAsia" w:eastAsia="宋体"/>
          <w:b w:val="0"/>
          <w:kern w:val="0"/>
          <w:szCs w:val="20"/>
          <w:lang w:val="en-US" w:eastAsia="zh-CN"/>
        </w:rPr>
        <w:t>盖帽10.37</w:t>
      </w:r>
      <w:r>
        <w:rPr>
          <w:rFonts w:hint="eastAsia" w:eastAsia="宋体"/>
          <w:b w:val="0"/>
          <w:kern w:val="0"/>
          <w:szCs w:val="20"/>
        </w:rPr>
        <w:t>亿只/年、电池连接件</w:t>
      </w:r>
      <w:r>
        <w:rPr>
          <w:rFonts w:hint="eastAsia" w:eastAsia="宋体"/>
          <w:b w:val="0"/>
          <w:kern w:val="0"/>
          <w:szCs w:val="20"/>
          <w:lang w:val="en-US" w:eastAsia="zh-CN"/>
        </w:rPr>
        <w:t>23.76</w:t>
      </w:r>
      <w:r>
        <w:rPr>
          <w:rFonts w:hint="eastAsia" w:eastAsia="宋体"/>
          <w:b w:val="0"/>
          <w:kern w:val="0"/>
          <w:szCs w:val="20"/>
        </w:rPr>
        <w:t>亿个/年，电镀生产线产能：钢壳</w:t>
      </w:r>
      <w:r>
        <w:rPr>
          <w:rFonts w:hint="eastAsia"/>
          <w:b w:val="0"/>
          <w:kern w:val="0"/>
          <w:szCs w:val="20"/>
          <w:lang w:val="en-US" w:eastAsia="zh-CN"/>
        </w:rPr>
        <w:t>11.66</w:t>
      </w:r>
      <w:r>
        <w:rPr>
          <w:rFonts w:hint="eastAsia" w:eastAsia="宋体"/>
          <w:b w:val="0"/>
          <w:kern w:val="0"/>
          <w:szCs w:val="20"/>
        </w:rPr>
        <w:t>亿只/年、</w:t>
      </w:r>
      <w:r>
        <w:rPr>
          <w:rFonts w:hint="eastAsia" w:eastAsia="宋体"/>
          <w:b w:val="0"/>
          <w:kern w:val="0"/>
          <w:szCs w:val="20"/>
          <w:lang w:val="en-US" w:eastAsia="zh-CN"/>
        </w:rPr>
        <w:t>盖帽10.37</w:t>
      </w:r>
      <w:r>
        <w:rPr>
          <w:rFonts w:hint="eastAsia" w:eastAsia="宋体"/>
          <w:b w:val="0"/>
          <w:kern w:val="0"/>
          <w:szCs w:val="20"/>
        </w:rPr>
        <w:t>亿只/年、电池连接件</w:t>
      </w:r>
      <w:r>
        <w:rPr>
          <w:rFonts w:hint="eastAsia" w:eastAsia="宋体"/>
          <w:b w:val="0"/>
          <w:kern w:val="0"/>
          <w:szCs w:val="20"/>
          <w:lang w:val="en-US" w:eastAsia="zh-CN"/>
        </w:rPr>
        <w:t>20.84</w:t>
      </w:r>
      <w:r>
        <w:rPr>
          <w:rFonts w:hint="eastAsia" w:eastAsia="宋体"/>
          <w:b w:val="0"/>
          <w:kern w:val="0"/>
          <w:szCs w:val="20"/>
        </w:rPr>
        <w:t>亿个/年，均能够满足本项目电池钢壳10亿只/年、</w:t>
      </w:r>
      <w:r>
        <w:rPr>
          <w:rFonts w:hint="eastAsia" w:eastAsia="宋体"/>
          <w:b w:val="0"/>
          <w:kern w:val="0"/>
          <w:szCs w:val="20"/>
          <w:lang w:val="en-US" w:eastAsia="zh-CN"/>
        </w:rPr>
        <w:t>盖帽</w:t>
      </w:r>
      <w:r>
        <w:rPr>
          <w:rFonts w:hint="eastAsia" w:eastAsia="宋体"/>
          <w:b w:val="0"/>
          <w:kern w:val="0"/>
          <w:szCs w:val="20"/>
        </w:rPr>
        <w:t>10亿只/年、电池连接件</w:t>
      </w:r>
      <w:r>
        <w:rPr>
          <w:rFonts w:hint="eastAsia"/>
          <w:b w:val="0"/>
          <w:kern w:val="0"/>
          <w:szCs w:val="20"/>
          <w:lang w:val="en-US" w:eastAsia="zh-CN"/>
        </w:rPr>
        <w:t>18</w:t>
      </w:r>
      <w:r>
        <w:rPr>
          <w:rFonts w:hint="eastAsia" w:eastAsia="宋体"/>
          <w:b w:val="0"/>
          <w:kern w:val="0"/>
          <w:szCs w:val="20"/>
        </w:rPr>
        <w:t>亿个/年的产能需求。</w:t>
      </w:r>
    </w:p>
    <w:p w14:paraId="49B5AD8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76" w:name="_Toc108122507"/>
      <w:r>
        <w:rPr>
          <w:rFonts w:hint="eastAsia" w:ascii="Times New Roman" w:hAnsi="Times New Roman" w:cs="Times New Roman"/>
          <w:lang w:val="en-US" w:eastAsia="zh-CN"/>
        </w:rPr>
        <w:t>3.1.4主要原辅材料消耗</w:t>
      </w:r>
      <w:bookmarkEnd w:id="372"/>
      <w:bookmarkEnd w:id="373"/>
      <w:bookmarkEnd w:id="374"/>
      <w:bookmarkEnd w:id="376"/>
    </w:p>
    <w:p w14:paraId="5CFEC0D9">
      <w:pPr>
        <w:pStyle w:val="72"/>
      </w:pPr>
      <w:r>
        <w:rPr>
          <w:rFonts w:hint="eastAsia"/>
        </w:rPr>
        <w:t>本工程主要原辅材料消耗见下表。</w:t>
      </w:r>
    </w:p>
    <w:p w14:paraId="4684B1F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bookmarkStart w:id="377" w:name="_Toc428286821"/>
    </w:p>
    <w:p w14:paraId="7CEF0BEC">
      <w:pPr>
        <w:rPr>
          <w:rFonts w:hint="eastAsia"/>
        </w:rPr>
      </w:pPr>
    </w:p>
    <w:p w14:paraId="3C8C222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-1</w:t>
      </w:r>
      <w:r>
        <w:rPr>
          <w:rFonts w:hint="eastAsia"/>
          <w:lang w:val="en-US" w:eastAsia="zh-CN"/>
        </w:rPr>
        <w:t>0</w:t>
      </w:r>
      <w:r>
        <w:rPr>
          <w:rFonts w:hint="eastAsia"/>
        </w:rPr>
        <w:t xml:space="preserve">     本工程主要原辅材料和能源消耗一览表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5"/>
        <w:gridCol w:w="643"/>
        <w:gridCol w:w="1290"/>
        <w:gridCol w:w="2445"/>
        <w:gridCol w:w="945"/>
        <w:gridCol w:w="836"/>
        <w:gridCol w:w="1087"/>
        <w:gridCol w:w="627"/>
      </w:tblGrid>
      <w:tr w14:paraId="5347ED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14:paraId="62F5EA97">
            <w:pPr>
              <w:pStyle w:val="75"/>
              <w:rPr>
                <w:b/>
                <w:highlight w:val="none"/>
              </w:rPr>
            </w:pPr>
            <w:r>
              <w:rPr>
                <w:rFonts w:hint="eastAsia"/>
                <w:b/>
                <w:highlight w:val="none"/>
              </w:rPr>
              <w:t>电池钢壳生产线</w:t>
            </w:r>
          </w:p>
        </w:tc>
      </w:tr>
      <w:tr w14:paraId="013322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7" w:type="pct"/>
            <w:gridSpan w:val="3"/>
            <w:shd w:val="clear" w:color="auto" w:fill="auto"/>
            <w:vAlign w:val="center"/>
          </w:tcPr>
          <w:p w14:paraId="2F5E9793">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原料名称</w:t>
            </w:r>
          </w:p>
        </w:tc>
        <w:tc>
          <w:tcPr>
            <w:tcW w:w="1433" w:type="pct"/>
            <w:shd w:val="clear" w:color="auto" w:fill="auto"/>
            <w:vAlign w:val="center"/>
          </w:tcPr>
          <w:p w14:paraId="64562174">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规格</w:t>
            </w:r>
          </w:p>
        </w:tc>
        <w:tc>
          <w:tcPr>
            <w:tcW w:w="554" w:type="pct"/>
            <w:shd w:val="clear" w:color="auto" w:fill="auto"/>
            <w:vAlign w:val="center"/>
          </w:tcPr>
          <w:p w14:paraId="150F8BBD">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用量（</w:t>
            </w:r>
            <w:r>
              <w:rPr>
                <w:color w:val="auto"/>
                <w:szCs w:val="21"/>
              </w:rPr>
              <w:t>t/a</w:t>
            </w:r>
            <w:r>
              <w:rPr>
                <w:rFonts w:hint="eastAsia"/>
                <w:color w:val="auto"/>
                <w:szCs w:val="21"/>
              </w:rPr>
              <w:t>）</w:t>
            </w:r>
          </w:p>
        </w:tc>
        <w:tc>
          <w:tcPr>
            <w:tcW w:w="490" w:type="pct"/>
            <w:shd w:val="clear" w:color="auto" w:fill="auto"/>
            <w:vAlign w:val="center"/>
          </w:tcPr>
          <w:p w14:paraId="55F8B4CB">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贮存量（</w:t>
            </w:r>
            <w:r>
              <w:rPr>
                <w:color w:val="auto"/>
                <w:szCs w:val="21"/>
              </w:rPr>
              <w:t>t</w:t>
            </w:r>
            <w:r>
              <w:rPr>
                <w:rFonts w:hint="eastAsia"/>
                <w:color w:val="auto"/>
                <w:szCs w:val="21"/>
              </w:rPr>
              <w:t>）</w:t>
            </w:r>
          </w:p>
        </w:tc>
        <w:tc>
          <w:tcPr>
            <w:tcW w:w="637" w:type="pct"/>
            <w:shd w:val="clear" w:color="auto" w:fill="auto"/>
            <w:vAlign w:val="center"/>
          </w:tcPr>
          <w:p w14:paraId="6ECED8B8">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包装</w:t>
            </w:r>
          </w:p>
        </w:tc>
        <w:tc>
          <w:tcPr>
            <w:tcW w:w="367" w:type="pct"/>
            <w:shd w:val="clear" w:color="auto" w:fill="auto"/>
            <w:vAlign w:val="center"/>
          </w:tcPr>
          <w:p w14:paraId="64ACC8B9">
            <w:pPr>
              <w:pStyle w:val="81"/>
              <w:ind w:firstLine="0" w:firstLineChars="0"/>
              <w:rPr>
                <w:rFonts w:hint="eastAsia" w:ascii="Times New Roman" w:hAnsi="Times New Roman" w:eastAsia="宋体" w:cs="宋体"/>
                <w:b/>
                <w:color w:val="auto"/>
                <w:kern w:val="2"/>
                <w:sz w:val="21"/>
                <w:szCs w:val="21"/>
                <w:lang w:val="en-US" w:eastAsia="zh-CN" w:bidi="ar-SA"/>
              </w:rPr>
            </w:pPr>
            <w:r>
              <w:rPr>
                <w:rFonts w:hint="eastAsia"/>
                <w:color w:val="auto"/>
                <w:szCs w:val="21"/>
              </w:rPr>
              <w:t>储存方式</w:t>
            </w:r>
          </w:p>
        </w:tc>
      </w:tr>
      <w:tr w14:paraId="35BC1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vAlign w:val="center"/>
          </w:tcPr>
          <w:p w14:paraId="783CD434">
            <w:pPr>
              <w:pStyle w:val="75"/>
              <w:rPr>
                <w:bCs/>
                <w:kern w:val="2"/>
                <w:highlight w:val="none"/>
              </w:rPr>
            </w:pPr>
            <w:r>
              <w:rPr>
                <w:rFonts w:hint="eastAsia"/>
                <w:bCs/>
                <w:kern w:val="2"/>
                <w:highlight w:val="none"/>
              </w:rPr>
              <w:t>电镀镍自动线（</w:t>
            </w:r>
            <w:r>
              <w:rPr>
                <w:rFonts w:hint="eastAsia"/>
                <w:bCs/>
                <w:kern w:val="2"/>
                <w:highlight w:val="none"/>
                <w:lang w:val="en-US" w:eastAsia="zh-CN"/>
              </w:rPr>
              <w:t>3</w:t>
            </w:r>
            <w:r>
              <w:rPr>
                <w:rFonts w:hint="eastAsia"/>
                <w:bCs/>
                <w:kern w:val="2"/>
                <w:highlight w:val="none"/>
              </w:rPr>
              <w:t>条）</w:t>
            </w:r>
          </w:p>
        </w:tc>
        <w:tc>
          <w:tcPr>
            <w:tcW w:w="1133" w:type="pct"/>
            <w:gridSpan w:val="2"/>
            <w:vAlign w:val="center"/>
          </w:tcPr>
          <w:p w14:paraId="391B645C">
            <w:pPr>
              <w:pStyle w:val="75"/>
              <w:rPr>
                <w:bCs/>
                <w:kern w:val="2"/>
                <w:highlight w:val="none"/>
              </w:rPr>
            </w:pPr>
            <w:r>
              <w:rPr>
                <w:rFonts w:hint="eastAsia"/>
                <w:kern w:val="2"/>
                <w:highlight w:val="none"/>
              </w:rPr>
              <w:t>普通钢带</w:t>
            </w:r>
          </w:p>
        </w:tc>
        <w:tc>
          <w:tcPr>
            <w:tcW w:w="1433" w:type="pct"/>
            <w:vAlign w:val="center"/>
          </w:tcPr>
          <w:p w14:paraId="2FD5708F">
            <w:pPr>
              <w:pStyle w:val="75"/>
              <w:rPr>
                <w:bCs/>
                <w:kern w:val="2"/>
                <w:highlight w:val="none"/>
              </w:rPr>
            </w:pPr>
            <w:r>
              <w:rPr>
                <w:rFonts w:hint="eastAsia"/>
                <w:kern w:val="2"/>
                <w:highlight w:val="none"/>
              </w:rPr>
              <w:t>宽2</w:t>
            </w:r>
            <w:r>
              <w:rPr>
                <w:kern w:val="2"/>
                <w:highlight w:val="none"/>
              </w:rPr>
              <w:t>00mm</w:t>
            </w:r>
            <w:r>
              <w:rPr>
                <w:rFonts w:hint="eastAsia"/>
                <w:kern w:val="2"/>
                <w:highlight w:val="none"/>
              </w:rPr>
              <w:t>、厚0.8</w:t>
            </w:r>
            <w:r>
              <w:rPr>
                <w:kern w:val="2"/>
                <w:highlight w:val="none"/>
              </w:rPr>
              <w:t>mm</w:t>
            </w:r>
          </w:p>
        </w:tc>
        <w:tc>
          <w:tcPr>
            <w:tcW w:w="554" w:type="pct"/>
            <w:vAlign w:val="center"/>
          </w:tcPr>
          <w:p w14:paraId="7262FB5E">
            <w:pPr>
              <w:pStyle w:val="75"/>
              <w:rPr>
                <w:bCs/>
                <w:kern w:val="2"/>
                <w:highlight w:val="none"/>
              </w:rPr>
            </w:pPr>
            <w:r>
              <w:rPr>
                <w:rFonts w:hint="eastAsia"/>
                <w:bCs/>
                <w:kern w:val="2"/>
                <w:highlight w:val="none"/>
              </w:rPr>
              <w:t>45361</w:t>
            </w:r>
          </w:p>
        </w:tc>
        <w:tc>
          <w:tcPr>
            <w:tcW w:w="490" w:type="pct"/>
            <w:vAlign w:val="center"/>
          </w:tcPr>
          <w:p w14:paraId="57D27EAF">
            <w:pPr>
              <w:pStyle w:val="75"/>
              <w:rPr>
                <w:kern w:val="2"/>
                <w:highlight w:val="none"/>
              </w:rPr>
            </w:pPr>
            <w:r>
              <w:rPr>
                <w:rFonts w:hint="eastAsia"/>
                <w:kern w:val="2"/>
                <w:highlight w:val="none"/>
              </w:rPr>
              <w:t>1000</w:t>
            </w:r>
          </w:p>
        </w:tc>
        <w:tc>
          <w:tcPr>
            <w:tcW w:w="637" w:type="pct"/>
            <w:vAlign w:val="center"/>
          </w:tcPr>
          <w:p w14:paraId="02571362">
            <w:pPr>
              <w:pStyle w:val="75"/>
              <w:rPr>
                <w:bCs/>
                <w:kern w:val="2"/>
                <w:highlight w:val="none"/>
              </w:rPr>
            </w:pPr>
            <w:r>
              <w:rPr>
                <w:rFonts w:hint="eastAsia"/>
                <w:kern w:val="2"/>
                <w:highlight w:val="none"/>
              </w:rPr>
              <w:t>100kg/卷</w:t>
            </w:r>
          </w:p>
        </w:tc>
        <w:tc>
          <w:tcPr>
            <w:tcW w:w="367" w:type="pct"/>
            <w:vMerge w:val="restart"/>
            <w:vAlign w:val="center"/>
          </w:tcPr>
          <w:p w14:paraId="1C6AD871">
            <w:pPr>
              <w:pStyle w:val="75"/>
              <w:rPr>
                <w:bCs/>
                <w:kern w:val="2"/>
                <w:highlight w:val="none"/>
              </w:rPr>
            </w:pPr>
            <w:r>
              <w:rPr>
                <w:rFonts w:hint="eastAsia"/>
                <w:bCs/>
                <w:kern w:val="2"/>
                <w:highlight w:val="none"/>
              </w:rPr>
              <w:t>原料库</w:t>
            </w:r>
          </w:p>
        </w:tc>
      </w:tr>
      <w:tr w14:paraId="3C47D7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57647E2">
            <w:pPr>
              <w:pStyle w:val="75"/>
              <w:rPr>
                <w:bCs/>
                <w:kern w:val="2"/>
                <w:highlight w:val="none"/>
              </w:rPr>
            </w:pPr>
          </w:p>
        </w:tc>
        <w:tc>
          <w:tcPr>
            <w:tcW w:w="1133" w:type="pct"/>
            <w:gridSpan w:val="2"/>
            <w:vAlign w:val="center"/>
          </w:tcPr>
          <w:p w14:paraId="5B71649B">
            <w:pPr>
              <w:pStyle w:val="75"/>
              <w:rPr>
                <w:bCs/>
                <w:kern w:val="2"/>
                <w:highlight w:val="none"/>
              </w:rPr>
            </w:pPr>
            <w:r>
              <w:rPr>
                <w:rFonts w:hint="eastAsia"/>
                <w:kern w:val="2"/>
                <w:highlight w:val="none"/>
              </w:rPr>
              <w:t>液压油</w:t>
            </w:r>
          </w:p>
        </w:tc>
        <w:tc>
          <w:tcPr>
            <w:tcW w:w="1433" w:type="pct"/>
            <w:vAlign w:val="center"/>
          </w:tcPr>
          <w:p w14:paraId="718B415D">
            <w:pPr>
              <w:pStyle w:val="75"/>
              <w:rPr>
                <w:bCs/>
                <w:highlight w:val="none"/>
              </w:rPr>
            </w:pPr>
            <w:r>
              <w:rPr>
                <w:rFonts w:hint="eastAsia"/>
                <w:kern w:val="2"/>
                <w:highlight w:val="none"/>
              </w:rPr>
              <w:t>/</w:t>
            </w:r>
          </w:p>
        </w:tc>
        <w:tc>
          <w:tcPr>
            <w:tcW w:w="554" w:type="pct"/>
            <w:vAlign w:val="center"/>
          </w:tcPr>
          <w:p w14:paraId="7AFCAA9E">
            <w:pPr>
              <w:pStyle w:val="75"/>
              <w:rPr>
                <w:bCs/>
                <w:kern w:val="2"/>
                <w:highlight w:val="none"/>
              </w:rPr>
            </w:pPr>
            <w:r>
              <w:rPr>
                <w:rFonts w:hint="eastAsia"/>
                <w:kern w:val="2"/>
                <w:highlight w:val="none"/>
              </w:rPr>
              <w:t>2.0</w:t>
            </w:r>
          </w:p>
        </w:tc>
        <w:tc>
          <w:tcPr>
            <w:tcW w:w="490" w:type="pct"/>
            <w:vAlign w:val="center"/>
          </w:tcPr>
          <w:p w14:paraId="0F947575">
            <w:pPr>
              <w:pStyle w:val="75"/>
              <w:rPr>
                <w:rFonts w:hint="default" w:eastAsia="宋体"/>
                <w:kern w:val="2"/>
                <w:highlight w:val="none"/>
                <w:lang w:val="en-US" w:eastAsia="zh-CN"/>
              </w:rPr>
            </w:pPr>
            <w:r>
              <w:rPr>
                <w:rFonts w:hint="eastAsia"/>
                <w:kern w:val="2"/>
                <w:highlight w:val="none"/>
                <w:lang w:val="en-US" w:eastAsia="zh-CN"/>
              </w:rPr>
              <w:t>0.2</w:t>
            </w:r>
          </w:p>
        </w:tc>
        <w:tc>
          <w:tcPr>
            <w:tcW w:w="637" w:type="pct"/>
            <w:vAlign w:val="center"/>
          </w:tcPr>
          <w:p w14:paraId="09D72E81">
            <w:pPr>
              <w:pStyle w:val="75"/>
              <w:rPr>
                <w:bCs/>
                <w:kern w:val="2"/>
                <w:highlight w:val="none"/>
              </w:rPr>
            </w:pPr>
            <w:r>
              <w:rPr>
                <w:kern w:val="2"/>
                <w:highlight w:val="none"/>
              </w:rPr>
              <w:t>1</w:t>
            </w:r>
            <w:r>
              <w:rPr>
                <w:rFonts w:hint="eastAsia"/>
                <w:kern w:val="2"/>
                <w:highlight w:val="none"/>
              </w:rPr>
              <w:t>0</w:t>
            </w:r>
            <w:r>
              <w:rPr>
                <w:kern w:val="2"/>
                <w:highlight w:val="none"/>
              </w:rPr>
              <w:t>0kg/桶</w:t>
            </w:r>
          </w:p>
        </w:tc>
        <w:tc>
          <w:tcPr>
            <w:tcW w:w="367" w:type="pct"/>
            <w:vMerge w:val="continue"/>
            <w:vAlign w:val="center"/>
          </w:tcPr>
          <w:p w14:paraId="7CDAC223">
            <w:pPr>
              <w:pStyle w:val="75"/>
              <w:rPr>
                <w:bCs/>
                <w:kern w:val="2"/>
                <w:highlight w:val="none"/>
              </w:rPr>
            </w:pPr>
          </w:p>
        </w:tc>
      </w:tr>
      <w:tr w14:paraId="7EDD29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5C6B1721">
            <w:pPr>
              <w:pStyle w:val="75"/>
              <w:rPr>
                <w:bCs/>
                <w:kern w:val="2"/>
                <w:highlight w:val="none"/>
              </w:rPr>
            </w:pPr>
          </w:p>
        </w:tc>
        <w:tc>
          <w:tcPr>
            <w:tcW w:w="376" w:type="pct"/>
            <w:vAlign w:val="center"/>
          </w:tcPr>
          <w:p w14:paraId="663FB527">
            <w:pPr>
              <w:pStyle w:val="75"/>
              <w:rPr>
                <w:bCs/>
                <w:kern w:val="2"/>
                <w:highlight w:val="none"/>
              </w:rPr>
            </w:pPr>
            <w:r>
              <w:rPr>
                <w:rFonts w:hint="eastAsia"/>
                <w:bCs/>
                <w:kern w:val="2"/>
                <w:highlight w:val="none"/>
              </w:rPr>
              <w:t>除油</w:t>
            </w:r>
          </w:p>
        </w:tc>
        <w:tc>
          <w:tcPr>
            <w:tcW w:w="756" w:type="pct"/>
            <w:vAlign w:val="center"/>
          </w:tcPr>
          <w:p w14:paraId="6F5A8E5A">
            <w:pPr>
              <w:pStyle w:val="75"/>
              <w:rPr>
                <w:bCs/>
                <w:kern w:val="2"/>
                <w:highlight w:val="none"/>
              </w:rPr>
            </w:pPr>
            <w:r>
              <w:rPr>
                <w:rFonts w:hint="eastAsia"/>
                <w:bCs/>
                <w:kern w:val="2"/>
                <w:highlight w:val="none"/>
              </w:rPr>
              <w:t>碱性脱脂剂</w:t>
            </w:r>
          </w:p>
        </w:tc>
        <w:tc>
          <w:tcPr>
            <w:tcW w:w="1433" w:type="pct"/>
            <w:vAlign w:val="center"/>
          </w:tcPr>
          <w:p w14:paraId="55D086EC">
            <w:pPr>
              <w:pStyle w:val="75"/>
              <w:jc w:val="left"/>
              <w:rPr>
                <w:bCs/>
                <w:kern w:val="2"/>
                <w:highlight w:val="none"/>
              </w:rPr>
            </w:pPr>
            <w:r>
              <w:rPr>
                <w:rFonts w:hint="eastAsia"/>
                <w:bCs/>
                <w:kern w:val="2"/>
                <w:highlight w:val="none"/>
              </w:rPr>
              <w:t>主要成分：氢氧化钠或硅酸钠或碳酸钠</w:t>
            </w:r>
          </w:p>
        </w:tc>
        <w:tc>
          <w:tcPr>
            <w:tcW w:w="554" w:type="pct"/>
            <w:vAlign w:val="center"/>
          </w:tcPr>
          <w:p w14:paraId="33F60E27">
            <w:pPr>
              <w:pStyle w:val="75"/>
              <w:rPr>
                <w:bCs/>
                <w:kern w:val="2"/>
                <w:highlight w:val="none"/>
              </w:rPr>
            </w:pPr>
            <w:r>
              <w:rPr>
                <w:rFonts w:hint="eastAsia"/>
                <w:bCs/>
                <w:kern w:val="2"/>
                <w:highlight w:val="none"/>
              </w:rPr>
              <w:t>7.6</w:t>
            </w:r>
          </w:p>
        </w:tc>
        <w:tc>
          <w:tcPr>
            <w:tcW w:w="490" w:type="pct"/>
            <w:vAlign w:val="center"/>
          </w:tcPr>
          <w:p w14:paraId="79FB99DF">
            <w:pPr>
              <w:pStyle w:val="75"/>
              <w:rPr>
                <w:bCs/>
                <w:kern w:val="2"/>
                <w:highlight w:val="none"/>
              </w:rPr>
            </w:pPr>
            <w:r>
              <w:rPr>
                <w:rFonts w:hint="eastAsia"/>
                <w:bCs/>
                <w:kern w:val="2"/>
                <w:highlight w:val="none"/>
              </w:rPr>
              <w:t>0.2</w:t>
            </w:r>
          </w:p>
        </w:tc>
        <w:tc>
          <w:tcPr>
            <w:tcW w:w="637" w:type="pct"/>
            <w:vAlign w:val="center"/>
          </w:tcPr>
          <w:p w14:paraId="0919CE0F">
            <w:pPr>
              <w:pStyle w:val="75"/>
              <w:rPr>
                <w:bCs/>
                <w:kern w:val="2"/>
                <w:highlight w:val="none"/>
              </w:rPr>
            </w:pPr>
            <w:r>
              <w:rPr>
                <w:bCs/>
                <w:kern w:val="2"/>
                <w:highlight w:val="none"/>
              </w:rPr>
              <w:t>25kg/袋</w:t>
            </w:r>
          </w:p>
        </w:tc>
        <w:tc>
          <w:tcPr>
            <w:tcW w:w="367" w:type="pct"/>
            <w:vMerge w:val="restart"/>
            <w:vAlign w:val="center"/>
          </w:tcPr>
          <w:p w14:paraId="263DB10D">
            <w:pPr>
              <w:pStyle w:val="75"/>
              <w:rPr>
                <w:bCs/>
                <w:kern w:val="2"/>
                <w:highlight w:val="none"/>
              </w:rPr>
            </w:pPr>
            <w:r>
              <w:rPr>
                <w:rFonts w:hint="eastAsia"/>
                <w:bCs/>
                <w:kern w:val="2"/>
                <w:highlight w:val="none"/>
              </w:rPr>
              <w:t>化学品库</w:t>
            </w:r>
          </w:p>
        </w:tc>
      </w:tr>
      <w:tr w14:paraId="7E2E92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EED6A19">
            <w:pPr>
              <w:widowControl/>
              <w:spacing w:line="240" w:lineRule="auto"/>
              <w:ind w:firstLine="0" w:firstLineChars="0"/>
              <w:jc w:val="center"/>
              <w:rPr>
                <w:bCs/>
                <w:kern w:val="2"/>
                <w:sz w:val="21"/>
                <w:szCs w:val="21"/>
                <w:highlight w:val="none"/>
              </w:rPr>
            </w:pPr>
          </w:p>
        </w:tc>
        <w:tc>
          <w:tcPr>
            <w:tcW w:w="376" w:type="pct"/>
            <w:vAlign w:val="center"/>
          </w:tcPr>
          <w:p w14:paraId="36EE7B64">
            <w:pPr>
              <w:pStyle w:val="75"/>
              <w:rPr>
                <w:bCs/>
                <w:kern w:val="2"/>
                <w:highlight w:val="none"/>
              </w:rPr>
            </w:pPr>
            <w:r>
              <w:rPr>
                <w:rFonts w:hint="eastAsia"/>
                <w:bCs/>
                <w:kern w:val="2"/>
                <w:highlight w:val="none"/>
              </w:rPr>
              <w:t>酸洗活化</w:t>
            </w:r>
          </w:p>
        </w:tc>
        <w:tc>
          <w:tcPr>
            <w:tcW w:w="756" w:type="pct"/>
            <w:vAlign w:val="center"/>
          </w:tcPr>
          <w:p w14:paraId="245748FD">
            <w:pPr>
              <w:pStyle w:val="75"/>
              <w:ind w:firstLine="0" w:firstLineChars="0"/>
              <w:rPr>
                <w:bCs/>
                <w:kern w:val="2"/>
                <w:highlight w:val="none"/>
              </w:rPr>
            </w:pPr>
            <w:r>
              <w:rPr>
                <w:rFonts w:hint="eastAsia"/>
                <w:bCs/>
                <w:kern w:val="2"/>
                <w:highlight w:val="none"/>
              </w:rPr>
              <w:t>硫酸</w:t>
            </w:r>
          </w:p>
        </w:tc>
        <w:tc>
          <w:tcPr>
            <w:tcW w:w="1433" w:type="pct"/>
            <w:vAlign w:val="center"/>
          </w:tcPr>
          <w:p w14:paraId="7FC22A3B">
            <w:pPr>
              <w:pStyle w:val="75"/>
              <w:ind w:firstLine="0" w:firstLineChars="0"/>
              <w:rPr>
                <w:bCs/>
                <w:kern w:val="2"/>
                <w:highlight w:val="none"/>
              </w:rPr>
            </w:pPr>
            <w:r>
              <w:rPr>
                <w:rFonts w:hint="eastAsia"/>
                <w:bCs/>
                <w:kern w:val="2"/>
                <w:highlight w:val="none"/>
              </w:rPr>
              <w:t>98%</w:t>
            </w:r>
          </w:p>
        </w:tc>
        <w:tc>
          <w:tcPr>
            <w:tcW w:w="554" w:type="pct"/>
            <w:vAlign w:val="center"/>
          </w:tcPr>
          <w:p w14:paraId="18B0D4FB">
            <w:pPr>
              <w:pStyle w:val="75"/>
              <w:ind w:firstLine="0" w:firstLineChars="0"/>
              <w:rPr>
                <w:rFonts w:hint="default" w:eastAsia="宋体"/>
                <w:bCs/>
                <w:kern w:val="2"/>
                <w:highlight w:val="none"/>
                <w:lang w:val="en-US" w:eastAsia="zh-CN"/>
              </w:rPr>
            </w:pPr>
            <w:r>
              <w:rPr>
                <w:rFonts w:hint="eastAsia"/>
                <w:bCs/>
                <w:kern w:val="2"/>
                <w:highlight w:val="none"/>
                <w:lang w:val="en-US" w:eastAsia="zh-CN"/>
              </w:rPr>
              <w:t>16.9</w:t>
            </w:r>
          </w:p>
        </w:tc>
        <w:tc>
          <w:tcPr>
            <w:tcW w:w="490" w:type="pct"/>
            <w:vAlign w:val="center"/>
          </w:tcPr>
          <w:p w14:paraId="0AFED1AF">
            <w:pPr>
              <w:pStyle w:val="75"/>
              <w:ind w:firstLine="0" w:firstLineChars="0"/>
              <w:rPr>
                <w:rFonts w:hint="eastAsia" w:eastAsia="宋体"/>
                <w:bCs/>
                <w:kern w:val="2"/>
                <w:highlight w:val="none"/>
                <w:lang w:eastAsia="zh-CN"/>
              </w:rPr>
            </w:pPr>
            <w:r>
              <w:rPr>
                <w:rFonts w:hint="eastAsia"/>
                <w:bCs/>
                <w:kern w:val="2"/>
                <w:highlight w:val="none"/>
                <w:lang w:val="en-US" w:eastAsia="zh-CN"/>
              </w:rPr>
              <w:t>4</w:t>
            </w:r>
          </w:p>
        </w:tc>
        <w:tc>
          <w:tcPr>
            <w:tcW w:w="637" w:type="pct"/>
            <w:vAlign w:val="center"/>
          </w:tcPr>
          <w:p w14:paraId="096E4C6D">
            <w:pPr>
              <w:pStyle w:val="75"/>
              <w:rPr>
                <w:bCs/>
                <w:kern w:val="2"/>
                <w:highlight w:val="none"/>
              </w:rPr>
            </w:pPr>
            <w:r>
              <w:rPr>
                <w:rFonts w:hint="eastAsia"/>
                <w:bCs/>
                <w:kern w:val="2"/>
                <w:highlight w:val="none"/>
              </w:rPr>
              <w:t>4</w:t>
            </w:r>
            <w:r>
              <w:rPr>
                <w:bCs/>
                <w:kern w:val="2"/>
                <w:highlight w:val="none"/>
              </w:rPr>
              <w:t>t</w:t>
            </w:r>
            <w:r>
              <w:rPr>
                <w:rFonts w:hint="eastAsia"/>
                <w:bCs/>
                <w:kern w:val="2"/>
                <w:highlight w:val="none"/>
              </w:rPr>
              <w:t>/储罐</w:t>
            </w:r>
          </w:p>
          <w:p w14:paraId="096CA0EB">
            <w:pPr>
              <w:pStyle w:val="75"/>
              <w:ind w:firstLine="0" w:firstLineChars="0"/>
              <w:rPr>
                <w:bCs/>
                <w:kern w:val="2"/>
                <w:highlight w:val="none"/>
              </w:rPr>
            </w:pPr>
            <w:r>
              <w:rPr>
                <w:rFonts w:hint="eastAsia"/>
                <w:bCs/>
                <w:kern w:val="2"/>
                <w:highlight w:val="none"/>
              </w:rPr>
              <w:t>(共用</w:t>
            </w:r>
            <w:r>
              <w:rPr>
                <w:bCs/>
                <w:kern w:val="2"/>
                <w:highlight w:val="none"/>
              </w:rPr>
              <w:t>)</w:t>
            </w:r>
          </w:p>
        </w:tc>
        <w:tc>
          <w:tcPr>
            <w:tcW w:w="367" w:type="pct"/>
            <w:vMerge w:val="continue"/>
            <w:vAlign w:val="center"/>
          </w:tcPr>
          <w:p w14:paraId="2CB388E4">
            <w:pPr>
              <w:pStyle w:val="75"/>
              <w:rPr>
                <w:bCs/>
                <w:kern w:val="2"/>
                <w:highlight w:val="none"/>
              </w:rPr>
            </w:pPr>
          </w:p>
        </w:tc>
      </w:tr>
      <w:tr w14:paraId="6B6BD2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5B7C7073">
            <w:pPr>
              <w:widowControl/>
              <w:spacing w:line="240" w:lineRule="auto"/>
              <w:ind w:firstLine="0" w:firstLineChars="0"/>
              <w:jc w:val="center"/>
              <w:rPr>
                <w:bCs/>
                <w:kern w:val="2"/>
                <w:sz w:val="21"/>
                <w:szCs w:val="21"/>
                <w:highlight w:val="none"/>
              </w:rPr>
            </w:pPr>
          </w:p>
        </w:tc>
        <w:tc>
          <w:tcPr>
            <w:tcW w:w="376" w:type="pct"/>
            <w:vMerge w:val="restart"/>
            <w:vAlign w:val="center"/>
          </w:tcPr>
          <w:p w14:paraId="39D25768">
            <w:pPr>
              <w:widowControl/>
              <w:spacing w:line="240" w:lineRule="auto"/>
              <w:ind w:firstLine="0" w:firstLineChars="0"/>
              <w:jc w:val="center"/>
              <w:rPr>
                <w:bCs/>
                <w:kern w:val="2"/>
                <w:sz w:val="21"/>
                <w:szCs w:val="21"/>
                <w:highlight w:val="none"/>
              </w:rPr>
            </w:pPr>
            <w:r>
              <w:rPr>
                <w:rFonts w:hint="eastAsia"/>
                <w:bCs/>
                <w:kern w:val="2"/>
                <w:sz w:val="21"/>
                <w:szCs w:val="21"/>
                <w:highlight w:val="none"/>
              </w:rPr>
              <w:t>镀镍</w:t>
            </w:r>
          </w:p>
        </w:tc>
        <w:tc>
          <w:tcPr>
            <w:tcW w:w="756" w:type="pct"/>
            <w:vAlign w:val="center"/>
          </w:tcPr>
          <w:p w14:paraId="2D6B8BEC">
            <w:pPr>
              <w:pStyle w:val="75"/>
              <w:rPr>
                <w:bCs/>
                <w:kern w:val="2"/>
                <w:highlight w:val="none"/>
              </w:rPr>
            </w:pPr>
            <w:r>
              <w:rPr>
                <w:rFonts w:hint="eastAsia"/>
                <w:bCs/>
                <w:kern w:val="2"/>
                <w:highlight w:val="none"/>
              </w:rPr>
              <w:t>镍板</w:t>
            </w:r>
          </w:p>
        </w:tc>
        <w:tc>
          <w:tcPr>
            <w:tcW w:w="1433" w:type="pct"/>
            <w:vAlign w:val="center"/>
          </w:tcPr>
          <w:p w14:paraId="35A355CF">
            <w:pPr>
              <w:pStyle w:val="75"/>
              <w:rPr>
                <w:bCs/>
                <w:kern w:val="2"/>
                <w:highlight w:val="none"/>
              </w:rPr>
            </w:pPr>
            <w:r>
              <w:rPr>
                <w:rFonts w:hint="eastAsia"/>
                <w:bCs/>
                <w:kern w:val="2"/>
                <w:highlight w:val="none"/>
              </w:rPr>
              <w:t>99.9%</w:t>
            </w:r>
          </w:p>
        </w:tc>
        <w:tc>
          <w:tcPr>
            <w:tcW w:w="554" w:type="pct"/>
            <w:vAlign w:val="center"/>
          </w:tcPr>
          <w:p w14:paraId="2914A9EB">
            <w:pPr>
              <w:pStyle w:val="75"/>
              <w:rPr>
                <w:rFonts w:hint="default" w:eastAsia="宋体"/>
                <w:bCs/>
                <w:kern w:val="2"/>
                <w:highlight w:val="none"/>
                <w:lang w:val="en-US" w:eastAsia="zh-CN"/>
              </w:rPr>
            </w:pPr>
            <w:r>
              <w:rPr>
                <w:rFonts w:hint="eastAsia"/>
                <w:bCs/>
                <w:kern w:val="2"/>
                <w:highlight w:val="none"/>
                <w:lang w:val="en-US" w:eastAsia="zh-CN"/>
              </w:rPr>
              <w:t>302</w:t>
            </w:r>
          </w:p>
        </w:tc>
        <w:tc>
          <w:tcPr>
            <w:tcW w:w="490" w:type="pct"/>
            <w:vAlign w:val="center"/>
          </w:tcPr>
          <w:p w14:paraId="14101B1F">
            <w:pPr>
              <w:pStyle w:val="75"/>
              <w:rPr>
                <w:bCs/>
                <w:kern w:val="2"/>
                <w:highlight w:val="none"/>
              </w:rPr>
            </w:pPr>
            <w:r>
              <w:rPr>
                <w:rFonts w:hint="eastAsia"/>
                <w:bCs/>
                <w:kern w:val="2"/>
                <w:highlight w:val="none"/>
              </w:rPr>
              <w:t>7</w:t>
            </w:r>
          </w:p>
        </w:tc>
        <w:tc>
          <w:tcPr>
            <w:tcW w:w="637" w:type="pct"/>
            <w:vAlign w:val="center"/>
          </w:tcPr>
          <w:p w14:paraId="7BC59764">
            <w:pPr>
              <w:pStyle w:val="75"/>
              <w:rPr>
                <w:bCs/>
                <w:kern w:val="2"/>
                <w:highlight w:val="none"/>
              </w:rPr>
            </w:pPr>
            <w:r>
              <w:rPr>
                <w:rFonts w:hint="eastAsia"/>
                <w:bCs/>
                <w:kern w:val="2"/>
                <w:highlight w:val="none"/>
              </w:rPr>
              <w:t>5kg/块</w:t>
            </w:r>
          </w:p>
        </w:tc>
        <w:tc>
          <w:tcPr>
            <w:tcW w:w="367" w:type="pct"/>
            <w:vMerge w:val="continue"/>
            <w:vAlign w:val="center"/>
          </w:tcPr>
          <w:p w14:paraId="2DF26F14">
            <w:pPr>
              <w:pStyle w:val="75"/>
              <w:rPr>
                <w:bCs/>
                <w:kern w:val="2"/>
                <w:highlight w:val="none"/>
              </w:rPr>
            </w:pPr>
          </w:p>
        </w:tc>
      </w:tr>
      <w:tr w14:paraId="775284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4D324A9">
            <w:pPr>
              <w:widowControl/>
              <w:spacing w:line="240" w:lineRule="auto"/>
              <w:ind w:firstLine="0" w:firstLineChars="0"/>
              <w:jc w:val="center"/>
              <w:rPr>
                <w:bCs/>
                <w:kern w:val="2"/>
                <w:sz w:val="21"/>
                <w:szCs w:val="21"/>
                <w:highlight w:val="none"/>
              </w:rPr>
            </w:pPr>
          </w:p>
        </w:tc>
        <w:tc>
          <w:tcPr>
            <w:tcW w:w="376" w:type="pct"/>
            <w:vMerge w:val="continue"/>
            <w:vAlign w:val="center"/>
          </w:tcPr>
          <w:p w14:paraId="4E1C9F4D">
            <w:pPr>
              <w:widowControl/>
              <w:spacing w:line="240" w:lineRule="auto"/>
              <w:ind w:firstLine="0" w:firstLineChars="0"/>
              <w:jc w:val="center"/>
              <w:rPr>
                <w:bCs/>
                <w:kern w:val="2"/>
                <w:sz w:val="21"/>
                <w:szCs w:val="21"/>
                <w:highlight w:val="none"/>
              </w:rPr>
            </w:pPr>
          </w:p>
        </w:tc>
        <w:tc>
          <w:tcPr>
            <w:tcW w:w="756" w:type="pct"/>
            <w:vAlign w:val="center"/>
          </w:tcPr>
          <w:p w14:paraId="7995F0CA">
            <w:pPr>
              <w:pStyle w:val="75"/>
              <w:rPr>
                <w:bCs/>
                <w:kern w:val="2"/>
                <w:highlight w:val="none"/>
              </w:rPr>
            </w:pPr>
            <w:r>
              <w:rPr>
                <w:rFonts w:hint="eastAsia"/>
                <w:bCs/>
                <w:kern w:val="2"/>
                <w:highlight w:val="none"/>
              </w:rPr>
              <w:t>六水硫酸镍</w:t>
            </w:r>
          </w:p>
        </w:tc>
        <w:tc>
          <w:tcPr>
            <w:tcW w:w="1433" w:type="pct"/>
            <w:vAlign w:val="center"/>
          </w:tcPr>
          <w:p w14:paraId="5D019061">
            <w:pPr>
              <w:pStyle w:val="75"/>
              <w:rPr>
                <w:bCs/>
                <w:kern w:val="2"/>
                <w:highlight w:val="none"/>
              </w:rPr>
            </w:pPr>
            <w:r>
              <w:rPr>
                <w:bCs/>
                <w:kern w:val="2"/>
                <w:highlight w:val="none"/>
              </w:rPr>
              <w:t>95%</w:t>
            </w:r>
          </w:p>
        </w:tc>
        <w:tc>
          <w:tcPr>
            <w:tcW w:w="554" w:type="pct"/>
            <w:vAlign w:val="center"/>
          </w:tcPr>
          <w:p w14:paraId="752FAAD4">
            <w:pPr>
              <w:pStyle w:val="75"/>
              <w:rPr>
                <w:rFonts w:hint="default"/>
                <w:bCs/>
                <w:kern w:val="2"/>
                <w:highlight w:val="none"/>
                <w:lang w:val="en-US" w:eastAsia="zh-CN"/>
              </w:rPr>
            </w:pPr>
            <w:r>
              <w:rPr>
                <w:rFonts w:hint="eastAsia"/>
                <w:bCs/>
                <w:kern w:val="2"/>
                <w:highlight w:val="none"/>
                <w:lang w:val="en-US" w:eastAsia="zh-CN"/>
              </w:rPr>
              <w:t>64.5</w:t>
            </w:r>
          </w:p>
        </w:tc>
        <w:tc>
          <w:tcPr>
            <w:tcW w:w="490" w:type="pct"/>
            <w:vAlign w:val="center"/>
          </w:tcPr>
          <w:p w14:paraId="4030EFB6">
            <w:pPr>
              <w:pStyle w:val="75"/>
              <w:rPr>
                <w:rFonts w:hint="default" w:eastAsia="宋体"/>
                <w:bCs/>
                <w:kern w:val="2"/>
                <w:highlight w:val="none"/>
                <w:lang w:val="en-US" w:eastAsia="zh-CN"/>
              </w:rPr>
            </w:pPr>
            <w:r>
              <w:rPr>
                <w:rFonts w:hint="eastAsia"/>
                <w:bCs/>
                <w:kern w:val="2"/>
                <w:highlight w:val="none"/>
                <w:lang w:val="en-US" w:eastAsia="zh-CN"/>
              </w:rPr>
              <w:t>3.5</w:t>
            </w:r>
          </w:p>
        </w:tc>
        <w:tc>
          <w:tcPr>
            <w:tcW w:w="637" w:type="pct"/>
            <w:vAlign w:val="center"/>
          </w:tcPr>
          <w:p w14:paraId="433C9894">
            <w:pPr>
              <w:pStyle w:val="75"/>
              <w:rPr>
                <w:bCs/>
                <w:kern w:val="2"/>
                <w:highlight w:val="none"/>
              </w:rPr>
            </w:pPr>
            <w:r>
              <w:rPr>
                <w:bCs/>
                <w:kern w:val="2"/>
                <w:highlight w:val="none"/>
              </w:rPr>
              <w:t>25kg/袋</w:t>
            </w:r>
          </w:p>
        </w:tc>
        <w:tc>
          <w:tcPr>
            <w:tcW w:w="367" w:type="pct"/>
            <w:vMerge w:val="continue"/>
            <w:vAlign w:val="center"/>
          </w:tcPr>
          <w:p w14:paraId="58390DA1">
            <w:pPr>
              <w:pStyle w:val="75"/>
              <w:rPr>
                <w:bCs/>
                <w:kern w:val="2"/>
                <w:highlight w:val="none"/>
              </w:rPr>
            </w:pPr>
          </w:p>
        </w:tc>
      </w:tr>
      <w:tr w14:paraId="632035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6E479460">
            <w:pPr>
              <w:widowControl/>
              <w:spacing w:line="240" w:lineRule="auto"/>
              <w:ind w:firstLine="0" w:firstLineChars="0"/>
              <w:jc w:val="center"/>
              <w:rPr>
                <w:bCs/>
                <w:kern w:val="2"/>
                <w:sz w:val="21"/>
                <w:szCs w:val="21"/>
                <w:highlight w:val="none"/>
              </w:rPr>
            </w:pPr>
          </w:p>
        </w:tc>
        <w:tc>
          <w:tcPr>
            <w:tcW w:w="376" w:type="pct"/>
            <w:vMerge w:val="continue"/>
            <w:vAlign w:val="center"/>
          </w:tcPr>
          <w:p w14:paraId="32C80501">
            <w:pPr>
              <w:widowControl/>
              <w:spacing w:line="240" w:lineRule="auto"/>
              <w:ind w:firstLine="0" w:firstLineChars="0"/>
              <w:jc w:val="center"/>
              <w:rPr>
                <w:bCs/>
                <w:kern w:val="2"/>
                <w:sz w:val="21"/>
                <w:szCs w:val="21"/>
                <w:highlight w:val="none"/>
              </w:rPr>
            </w:pPr>
          </w:p>
        </w:tc>
        <w:tc>
          <w:tcPr>
            <w:tcW w:w="756" w:type="pct"/>
            <w:vAlign w:val="center"/>
          </w:tcPr>
          <w:p w14:paraId="3E4AC42D">
            <w:pPr>
              <w:pStyle w:val="75"/>
              <w:rPr>
                <w:bCs/>
                <w:kern w:val="2"/>
                <w:highlight w:val="none"/>
              </w:rPr>
            </w:pPr>
            <w:r>
              <w:rPr>
                <w:rFonts w:hint="eastAsia"/>
                <w:bCs/>
                <w:kern w:val="2"/>
                <w:highlight w:val="none"/>
              </w:rPr>
              <w:t>六水氯化镍</w:t>
            </w:r>
          </w:p>
        </w:tc>
        <w:tc>
          <w:tcPr>
            <w:tcW w:w="1433" w:type="pct"/>
            <w:vAlign w:val="center"/>
          </w:tcPr>
          <w:p w14:paraId="1E1E65AA">
            <w:pPr>
              <w:pStyle w:val="75"/>
              <w:rPr>
                <w:bCs/>
                <w:kern w:val="2"/>
                <w:highlight w:val="none"/>
              </w:rPr>
            </w:pPr>
            <w:r>
              <w:rPr>
                <w:bCs/>
                <w:kern w:val="2"/>
                <w:highlight w:val="none"/>
              </w:rPr>
              <w:t>95%</w:t>
            </w:r>
          </w:p>
        </w:tc>
        <w:tc>
          <w:tcPr>
            <w:tcW w:w="554" w:type="pct"/>
            <w:vAlign w:val="center"/>
          </w:tcPr>
          <w:p w14:paraId="648B56E9">
            <w:pPr>
              <w:pStyle w:val="75"/>
              <w:rPr>
                <w:rFonts w:hint="default"/>
                <w:bCs/>
                <w:kern w:val="2"/>
                <w:highlight w:val="none"/>
                <w:lang w:val="en-US" w:eastAsia="zh-CN"/>
              </w:rPr>
            </w:pPr>
            <w:r>
              <w:rPr>
                <w:rFonts w:hint="eastAsia"/>
                <w:bCs/>
                <w:kern w:val="2"/>
                <w:highlight w:val="none"/>
                <w:lang w:val="en-US" w:eastAsia="zh-CN"/>
              </w:rPr>
              <w:t>13.9</w:t>
            </w:r>
          </w:p>
        </w:tc>
        <w:tc>
          <w:tcPr>
            <w:tcW w:w="490" w:type="pct"/>
            <w:vAlign w:val="center"/>
          </w:tcPr>
          <w:p w14:paraId="381CD577">
            <w:pPr>
              <w:pStyle w:val="75"/>
              <w:rPr>
                <w:bCs/>
                <w:kern w:val="2"/>
                <w:highlight w:val="none"/>
              </w:rPr>
            </w:pPr>
            <w:r>
              <w:rPr>
                <w:rFonts w:hint="eastAsia"/>
                <w:bCs/>
                <w:kern w:val="2"/>
                <w:highlight w:val="none"/>
              </w:rPr>
              <w:t>0.7</w:t>
            </w:r>
          </w:p>
        </w:tc>
        <w:tc>
          <w:tcPr>
            <w:tcW w:w="637" w:type="pct"/>
            <w:vAlign w:val="center"/>
          </w:tcPr>
          <w:p w14:paraId="373E01D1">
            <w:pPr>
              <w:pStyle w:val="75"/>
              <w:rPr>
                <w:bCs/>
                <w:kern w:val="2"/>
                <w:highlight w:val="none"/>
              </w:rPr>
            </w:pPr>
            <w:r>
              <w:rPr>
                <w:bCs/>
                <w:kern w:val="2"/>
                <w:highlight w:val="none"/>
              </w:rPr>
              <w:t>25kg/袋</w:t>
            </w:r>
          </w:p>
        </w:tc>
        <w:tc>
          <w:tcPr>
            <w:tcW w:w="367" w:type="pct"/>
            <w:vMerge w:val="continue"/>
            <w:vAlign w:val="center"/>
          </w:tcPr>
          <w:p w14:paraId="1AB132D4">
            <w:pPr>
              <w:pStyle w:val="75"/>
              <w:rPr>
                <w:bCs/>
                <w:kern w:val="2"/>
                <w:highlight w:val="none"/>
              </w:rPr>
            </w:pPr>
          </w:p>
        </w:tc>
      </w:tr>
      <w:tr w14:paraId="3EB657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6A92CBEE">
            <w:pPr>
              <w:widowControl/>
              <w:spacing w:line="240" w:lineRule="auto"/>
              <w:ind w:firstLine="0" w:firstLineChars="0"/>
              <w:jc w:val="center"/>
              <w:rPr>
                <w:bCs/>
                <w:kern w:val="2"/>
                <w:sz w:val="21"/>
                <w:szCs w:val="21"/>
                <w:highlight w:val="none"/>
              </w:rPr>
            </w:pPr>
          </w:p>
        </w:tc>
        <w:tc>
          <w:tcPr>
            <w:tcW w:w="376" w:type="pct"/>
            <w:vMerge w:val="continue"/>
            <w:vAlign w:val="center"/>
          </w:tcPr>
          <w:p w14:paraId="4C161032">
            <w:pPr>
              <w:widowControl/>
              <w:spacing w:line="240" w:lineRule="auto"/>
              <w:ind w:firstLine="0" w:firstLineChars="0"/>
              <w:jc w:val="center"/>
              <w:rPr>
                <w:bCs/>
                <w:kern w:val="2"/>
                <w:sz w:val="21"/>
                <w:szCs w:val="21"/>
                <w:highlight w:val="none"/>
              </w:rPr>
            </w:pPr>
          </w:p>
        </w:tc>
        <w:tc>
          <w:tcPr>
            <w:tcW w:w="756" w:type="pct"/>
            <w:vAlign w:val="center"/>
          </w:tcPr>
          <w:p w14:paraId="500B4602">
            <w:pPr>
              <w:pStyle w:val="75"/>
              <w:rPr>
                <w:bCs/>
                <w:kern w:val="2"/>
                <w:highlight w:val="none"/>
              </w:rPr>
            </w:pPr>
            <w:r>
              <w:rPr>
                <w:rFonts w:hint="eastAsia"/>
                <w:bCs/>
                <w:kern w:val="2"/>
                <w:highlight w:val="none"/>
              </w:rPr>
              <w:t>硼酸</w:t>
            </w:r>
          </w:p>
        </w:tc>
        <w:tc>
          <w:tcPr>
            <w:tcW w:w="1433" w:type="pct"/>
            <w:vAlign w:val="center"/>
          </w:tcPr>
          <w:p w14:paraId="1B8BF75F">
            <w:pPr>
              <w:pStyle w:val="75"/>
              <w:rPr>
                <w:bCs/>
                <w:kern w:val="2"/>
                <w:highlight w:val="none"/>
              </w:rPr>
            </w:pPr>
            <w:r>
              <w:rPr>
                <w:bCs/>
                <w:kern w:val="2"/>
                <w:highlight w:val="none"/>
              </w:rPr>
              <w:t>99%</w:t>
            </w:r>
          </w:p>
        </w:tc>
        <w:tc>
          <w:tcPr>
            <w:tcW w:w="554" w:type="pct"/>
            <w:vAlign w:val="center"/>
          </w:tcPr>
          <w:p w14:paraId="1226ED2E">
            <w:pPr>
              <w:pStyle w:val="75"/>
              <w:rPr>
                <w:rFonts w:hint="default" w:eastAsia="宋体"/>
                <w:bCs/>
                <w:kern w:val="2"/>
                <w:highlight w:val="none"/>
                <w:lang w:val="en-US" w:eastAsia="zh-CN"/>
              </w:rPr>
            </w:pPr>
            <w:r>
              <w:rPr>
                <w:rFonts w:hint="eastAsia"/>
                <w:bCs/>
                <w:kern w:val="2"/>
                <w:highlight w:val="none"/>
                <w:lang w:val="en-US" w:eastAsia="zh-CN"/>
              </w:rPr>
              <w:t>12.5</w:t>
            </w:r>
          </w:p>
        </w:tc>
        <w:tc>
          <w:tcPr>
            <w:tcW w:w="490" w:type="pct"/>
            <w:vAlign w:val="center"/>
          </w:tcPr>
          <w:p w14:paraId="4A098595">
            <w:pPr>
              <w:pStyle w:val="75"/>
              <w:rPr>
                <w:bCs/>
                <w:kern w:val="2"/>
                <w:highlight w:val="none"/>
              </w:rPr>
            </w:pPr>
            <w:r>
              <w:rPr>
                <w:rFonts w:hint="eastAsia"/>
                <w:bCs/>
                <w:kern w:val="2"/>
                <w:highlight w:val="none"/>
              </w:rPr>
              <w:t>0.4</w:t>
            </w:r>
          </w:p>
        </w:tc>
        <w:tc>
          <w:tcPr>
            <w:tcW w:w="637" w:type="pct"/>
            <w:vAlign w:val="center"/>
          </w:tcPr>
          <w:p w14:paraId="4C6EC400">
            <w:pPr>
              <w:pStyle w:val="75"/>
              <w:rPr>
                <w:bCs/>
                <w:kern w:val="2"/>
                <w:highlight w:val="none"/>
              </w:rPr>
            </w:pPr>
            <w:r>
              <w:rPr>
                <w:bCs/>
                <w:kern w:val="2"/>
                <w:highlight w:val="none"/>
              </w:rPr>
              <w:t>25kg/袋</w:t>
            </w:r>
          </w:p>
        </w:tc>
        <w:tc>
          <w:tcPr>
            <w:tcW w:w="367" w:type="pct"/>
            <w:vMerge w:val="continue"/>
            <w:vAlign w:val="center"/>
          </w:tcPr>
          <w:p w14:paraId="0042F81C">
            <w:pPr>
              <w:pStyle w:val="75"/>
              <w:rPr>
                <w:bCs/>
                <w:kern w:val="2"/>
                <w:highlight w:val="none"/>
              </w:rPr>
            </w:pPr>
          </w:p>
        </w:tc>
      </w:tr>
      <w:tr w14:paraId="044A3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1BA8D787">
            <w:pPr>
              <w:widowControl/>
              <w:spacing w:line="240" w:lineRule="auto"/>
              <w:ind w:firstLine="0" w:firstLineChars="0"/>
              <w:jc w:val="center"/>
              <w:rPr>
                <w:bCs/>
                <w:kern w:val="2"/>
                <w:sz w:val="21"/>
                <w:szCs w:val="21"/>
                <w:highlight w:val="none"/>
              </w:rPr>
            </w:pPr>
          </w:p>
        </w:tc>
        <w:tc>
          <w:tcPr>
            <w:tcW w:w="376" w:type="pct"/>
            <w:vMerge w:val="continue"/>
            <w:vAlign w:val="center"/>
          </w:tcPr>
          <w:p w14:paraId="631733E7">
            <w:pPr>
              <w:widowControl/>
              <w:spacing w:line="240" w:lineRule="auto"/>
              <w:ind w:firstLine="0" w:firstLineChars="0"/>
              <w:jc w:val="center"/>
              <w:rPr>
                <w:bCs/>
                <w:kern w:val="2"/>
                <w:sz w:val="21"/>
                <w:szCs w:val="21"/>
                <w:highlight w:val="none"/>
              </w:rPr>
            </w:pPr>
          </w:p>
        </w:tc>
        <w:tc>
          <w:tcPr>
            <w:tcW w:w="756" w:type="pct"/>
            <w:vAlign w:val="center"/>
          </w:tcPr>
          <w:p w14:paraId="41C9A3AB">
            <w:pPr>
              <w:pStyle w:val="75"/>
              <w:rPr>
                <w:bCs/>
                <w:kern w:val="2"/>
                <w:highlight w:val="none"/>
              </w:rPr>
            </w:pPr>
            <w:r>
              <w:rPr>
                <w:rFonts w:hint="eastAsia"/>
                <w:bCs/>
                <w:kern w:val="2"/>
                <w:highlight w:val="none"/>
              </w:rPr>
              <w:t>光亮剂</w:t>
            </w:r>
          </w:p>
        </w:tc>
        <w:tc>
          <w:tcPr>
            <w:tcW w:w="1433" w:type="pct"/>
            <w:vAlign w:val="center"/>
          </w:tcPr>
          <w:p w14:paraId="57F0B372">
            <w:pPr>
              <w:pStyle w:val="75"/>
              <w:jc w:val="left"/>
              <w:rPr>
                <w:bCs/>
                <w:kern w:val="2"/>
                <w:highlight w:val="none"/>
              </w:rPr>
            </w:pPr>
            <w:r>
              <w:rPr>
                <w:rFonts w:hint="eastAsia"/>
                <w:bCs/>
                <w:kern w:val="2"/>
                <w:highlight w:val="none"/>
              </w:rPr>
              <w:t>主要成分：丁炔二醇，糖精，丙烷磺酸吡啶嗡盐</w:t>
            </w:r>
          </w:p>
        </w:tc>
        <w:tc>
          <w:tcPr>
            <w:tcW w:w="554" w:type="pct"/>
            <w:vAlign w:val="center"/>
          </w:tcPr>
          <w:p w14:paraId="5E1246BC">
            <w:pPr>
              <w:pStyle w:val="75"/>
              <w:rPr>
                <w:bCs/>
                <w:kern w:val="2"/>
                <w:highlight w:val="none"/>
              </w:rPr>
            </w:pPr>
            <w:r>
              <w:rPr>
                <w:rFonts w:hint="eastAsia"/>
                <w:bCs/>
                <w:kern w:val="2"/>
                <w:highlight w:val="none"/>
              </w:rPr>
              <w:t>0.14</w:t>
            </w:r>
          </w:p>
        </w:tc>
        <w:tc>
          <w:tcPr>
            <w:tcW w:w="490" w:type="pct"/>
            <w:vAlign w:val="center"/>
          </w:tcPr>
          <w:p w14:paraId="7F1C5532">
            <w:pPr>
              <w:pStyle w:val="75"/>
              <w:rPr>
                <w:bCs/>
                <w:kern w:val="2"/>
                <w:highlight w:val="none"/>
              </w:rPr>
            </w:pPr>
            <w:r>
              <w:rPr>
                <w:rFonts w:hint="eastAsia"/>
                <w:kern w:val="2"/>
                <w:highlight w:val="none"/>
              </w:rPr>
              <w:t>0.07</w:t>
            </w:r>
          </w:p>
        </w:tc>
        <w:tc>
          <w:tcPr>
            <w:tcW w:w="637" w:type="pct"/>
            <w:vAlign w:val="center"/>
          </w:tcPr>
          <w:p w14:paraId="4BBC262D">
            <w:pPr>
              <w:pStyle w:val="75"/>
              <w:rPr>
                <w:bCs/>
                <w:kern w:val="2"/>
                <w:highlight w:val="none"/>
              </w:rPr>
            </w:pPr>
            <w:r>
              <w:rPr>
                <w:bCs/>
                <w:kern w:val="2"/>
                <w:highlight w:val="none"/>
              </w:rPr>
              <w:t>25kg/桶</w:t>
            </w:r>
          </w:p>
        </w:tc>
        <w:tc>
          <w:tcPr>
            <w:tcW w:w="367" w:type="pct"/>
            <w:vMerge w:val="continue"/>
            <w:vAlign w:val="center"/>
          </w:tcPr>
          <w:p w14:paraId="6AE917FD">
            <w:pPr>
              <w:pStyle w:val="75"/>
              <w:rPr>
                <w:bCs/>
                <w:kern w:val="2"/>
                <w:highlight w:val="none"/>
              </w:rPr>
            </w:pPr>
          </w:p>
        </w:tc>
      </w:tr>
      <w:tr w14:paraId="490F61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63A09A39">
            <w:pPr>
              <w:widowControl/>
              <w:spacing w:line="240" w:lineRule="auto"/>
              <w:ind w:firstLine="0" w:firstLineChars="0"/>
              <w:jc w:val="center"/>
              <w:rPr>
                <w:bCs/>
                <w:kern w:val="2"/>
                <w:sz w:val="21"/>
                <w:szCs w:val="21"/>
                <w:highlight w:val="none"/>
              </w:rPr>
            </w:pPr>
          </w:p>
        </w:tc>
        <w:tc>
          <w:tcPr>
            <w:tcW w:w="376" w:type="pct"/>
            <w:vMerge w:val="continue"/>
            <w:vAlign w:val="center"/>
          </w:tcPr>
          <w:p w14:paraId="126CFE3F">
            <w:pPr>
              <w:widowControl/>
              <w:spacing w:line="240" w:lineRule="auto"/>
              <w:ind w:firstLine="0" w:firstLineChars="0"/>
              <w:jc w:val="center"/>
              <w:rPr>
                <w:bCs/>
                <w:kern w:val="2"/>
                <w:sz w:val="21"/>
                <w:szCs w:val="21"/>
                <w:highlight w:val="none"/>
              </w:rPr>
            </w:pPr>
          </w:p>
        </w:tc>
        <w:tc>
          <w:tcPr>
            <w:tcW w:w="756" w:type="pct"/>
            <w:vAlign w:val="center"/>
          </w:tcPr>
          <w:p w14:paraId="35101B0C">
            <w:pPr>
              <w:pStyle w:val="75"/>
              <w:rPr>
                <w:bCs/>
                <w:kern w:val="2"/>
                <w:highlight w:val="none"/>
              </w:rPr>
            </w:pPr>
            <w:r>
              <w:rPr>
                <w:rFonts w:hint="eastAsia"/>
                <w:bCs/>
                <w:kern w:val="2"/>
                <w:highlight w:val="none"/>
              </w:rPr>
              <w:t>柔软剂</w:t>
            </w:r>
          </w:p>
        </w:tc>
        <w:tc>
          <w:tcPr>
            <w:tcW w:w="1433" w:type="pct"/>
            <w:vAlign w:val="center"/>
          </w:tcPr>
          <w:p w14:paraId="1C2008E6">
            <w:pPr>
              <w:pStyle w:val="75"/>
              <w:rPr>
                <w:bCs/>
                <w:kern w:val="2"/>
                <w:highlight w:val="none"/>
              </w:rPr>
            </w:pPr>
            <w:r>
              <w:rPr>
                <w:rFonts w:hint="eastAsia"/>
                <w:bCs/>
                <w:kern w:val="2"/>
                <w:highlight w:val="none"/>
              </w:rPr>
              <w:t>主要成分：糖精钠</w:t>
            </w:r>
          </w:p>
        </w:tc>
        <w:tc>
          <w:tcPr>
            <w:tcW w:w="554" w:type="pct"/>
            <w:vAlign w:val="center"/>
          </w:tcPr>
          <w:p w14:paraId="19D88825">
            <w:pPr>
              <w:pStyle w:val="75"/>
              <w:rPr>
                <w:bCs/>
                <w:kern w:val="2"/>
                <w:highlight w:val="none"/>
              </w:rPr>
            </w:pPr>
            <w:r>
              <w:rPr>
                <w:rFonts w:hint="eastAsia"/>
                <w:kern w:val="2"/>
                <w:highlight w:val="none"/>
              </w:rPr>
              <w:t>2.4</w:t>
            </w:r>
            <w:r>
              <w:rPr>
                <w:kern w:val="2"/>
                <w:highlight w:val="none"/>
              </w:rPr>
              <w:t>kg/a</w:t>
            </w:r>
          </w:p>
        </w:tc>
        <w:tc>
          <w:tcPr>
            <w:tcW w:w="490" w:type="pct"/>
            <w:vAlign w:val="center"/>
          </w:tcPr>
          <w:p w14:paraId="75111CD8">
            <w:pPr>
              <w:pStyle w:val="75"/>
              <w:rPr>
                <w:bCs/>
                <w:kern w:val="2"/>
                <w:highlight w:val="none"/>
              </w:rPr>
            </w:pPr>
            <w:r>
              <w:rPr>
                <w:rFonts w:hint="eastAsia"/>
                <w:bCs/>
                <w:kern w:val="2"/>
                <w:highlight w:val="none"/>
              </w:rPr>
              <w:t>1.2</w:t>
            </w:r>
            <w:r>
              <w:rPr>
                <w:kern w:val="2"/>
                <w:highlight w:val="none"/>
              </w:rPr>
              <w:t>kg</w:t>
            </w:r>
          </w:p>
        </w:tc>
        <w:tc>
          <w:tcPr>
            <w:tcW w:w="637" w:type="pct"/>
            <w:vAlign w:val="center"/>
          </w:tcPr>
          <w:p w14:paraId="083054A9">
            <w:pPr>
              <w:pStyle w:val="75"/>
              <w:rPr>
                <w:bCs/>
                <w:kern w:val="2"/>
                <w:highlight w:val="none"/>
              </w:rPr>
            </w:pPr>
            <w:r>
              <w:rPr>
                <w:rFonts w:hint="eastAsia"/>
                <w:bCs/>
                <w:kern w:val="2"/>
                <w:highlight w:val="none"/>
              </w:rPr>
              <w:t>100</w:t>
            </w:r>
            <w:r>
              <w:rPr>
                <w:bCs/>
                <w:kern w:val="2"/>
                <w:highlight w:val="none"/>
              </w:rPr>
              <w:t>g/</w:t>
            </w:r>
            <w:r>
              <w:rPr>
                <w:rFonts w:hint="eastAsia"/>
                <w:bCs/>
                <w:kern w:val="2"/>
                <w:highlight w:val="none"/>
              </w:rPr>
              <w:t>袋</w:t>
            </w:r>
          </w:p>
        </w:tc>
        <w:tc>
          <w:tcPr>
            <w:tcW w:w="367" w:type="pct"/>
            <w:vMerge w:val="continue"/>
            <w:vAlign w:val="center"/>
          </w:tcPr>
          <w:p w14:paraId="047F22BE">
            <w:pPr>
              <w:pStyle w:val="75"/>
              <w:rPr>
                <w:bCs/>
                <w:kern w:val="2"/>
                <w:highlight w:val="none"/>
              </w:rPr>
            </w:pPr>
          </w:p>
        </w:tc>
      </w:tr>
      <w:tr w14:paraId="651EC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1BFFF91D">
            <w:pPr>
              <w:widowControl/>
              <w:spacing w:line="240" w:lineRule="auto"/>
              <w:ind w:firstLine="0" w:firstLineChars="0"/>
              <w:jc w:val="center"/>
              <w:rPr>
                <w:bCs/>
                <w:kern w:val="2"/>
                <w:sz w:val="21"/>
                <w:szCs w:val="21"/>
                <w:highlight w:val="none"/>
              </w:rPr>
            </w:pPr>
          </w:p>
        </w:tc>
        <w:tc>
          <w:tcPr>
            <w:tcW w:w="376" w:type="pct"/>
            <w:vMerge w:val="restart"/>
            <w:vAlign w:val="center"/>
          </w:tcPr>
          <w:p w14:paraId="23289CE9">
            <w:pPr>
              <w:pStyle w:val="75"/>
              <w:rPr>
                <w:bCs/>
                <w:kern w:val="2"/>
                <w:highlight w:val="none"/>
              </w:rPr>
            </w:pPr>
            <w:r>
              <w:rPr>
                <w:rFonts w:hint="eastAsia"/>
                <w:bCs/>
                <w:kern w:val="2"/>
                <w:highlight w:val="none"/>
              </w:rPr>
              <w:t>漂白</w:t>
            </w:r>
          </w:p>
        </w:tc>
        <w:tc>
          <w:tcPr>
            <w:tcW w:w="756" w:type="pct"/>
            <w:vAlign w:val="center"/>
          </w:tcPr>
          <w:p w14:paraId="08054E83">
            <w:pPr>
              <w:pStyle w:val="75"/>
              <w:rPr>
                <w:bCs/>
                <w:kern w:val="2"/>
                <w:highlight w:val="none"/>
              </w:rPr>
            </w:pPr>
            <w:r>
              <w:rPr>
                <w:rFonts w:hint="eastAsia"/>
                <w:bCs/>
                <w:kern w:val="2"/>
                <w:highlight w:val="none"/>
              </w:rPr>
              <w:t>一水柠檬酸</w:t>
            </w:r>
          </w:p>
        </w:tc>
        <w:tc>
          <w:tcPr>
            <w:tcW w:w="1433" w:type="pct"/>
            <w:vAlign w:val="center"/>
          </w:tcPr>
          <w:p w14:paraId="579870BB">
            <w:pPr>
              <w:pStyle w:val="75"/>
              <w:rPr>
                <w:bCs/>
                <w:kern w:val="2"/>
                <w:highlight w:val="none"/>
              </w:rPr>
            </w:pPr>
            <w:r>
              <w:rPr>
                <w:rFonts w:hint="eastAsia"/>
                <w:bCs/>
                <w:kern w:val="2"/>
                <w:highlight w:val="none"/>
              </w:rPr>
              <w:t>/</w:t>
            </w:r>
          </w:p>
        </w:tc>
        <w:tc>
          <w:tcPr>
            <w:tcW w:w="554" w:type="pct"/>
            <w:vAlign w:val="center"/>
          </w:tcPr>
          <w:p w14:paraId="2AD528FD">
            <w:pPr>
              <w:pStyle w:val="75"/>
              <w:rPr>
                <w:rFonts w:hint="default" w:eastAsia="宋体"/>
                <w:bCs/>
                <w:kern w:val="2"/>
                <w:highlight w:val="none"/>
                <w:lang w:val="en-US" w:eastAsia="zh-CN"/>
              </w:rPr>
            </w:pPr>
            <w:r>
              <w:rPr>
                <w:rFonts w:hint="eastAsia"/>
                <w:bCs/>
                <w:kern w:val="2"/>
                <w:highlight w:val="none"/>
                <w:lang w:val="en-US" w:eastAsia="zh-CN"/>
              </w:rPr>
              <w:t>3.9</w:t>
            </w:r>
          </w:p>
        </w:tc>
        <w:tc>
          <w:tcPr>
            <w:tcW w:w="490" w:type="pct"/>
            <w:vAlign w:val="center"/>
          </w:tcPr>
          <w:p w14:paraId="08E468AF">
            <w:pPr>
              <w:pStyle w:val="75"/>
              <w:rPr>
                <w:bCs/>
                <w:kern w:val="2"/>
                <w:highlight w:val="none"/>
              </w:rPr>
            </w:pPr>
            <w:r>
              <w:rPr>
                <w:rFonts w:hint="eastAsia"/>
                <w:bCs/>
                <w:kern w:val="2"/>
                <w:highlight w:val="none"/>
              </w:rPr>
              <w:t>0.3</w:t>
            </w:r>
          </w:p>
        </w:tc>
        <w:tc>
          <w:tcPr>
            <w:tcW w:w="637" w:type="pct"/>
            <w:vAlign w:val="center"/>
          </w:tcPr>
          <w:p w14:paraId="3653D6F5">
            <w:pPr>
              <w:pStyle w:val="75"/>
              <w:rPr>
                <w:bCs/>
                <w:kern w:val="2"/>
                <w:highlight w:val="none"/>
              </w:rPr>
            </w:pPr>
            <w:r>
              <w:rPr>
                <w:bCs/>
                <w:kern w:val="2"/>
                <w:highlight w:val="none"/>
              </w:rPr>
              <w:t>25kg/袋</w:t>
            </w:r>
          </w:p>
        </w:tc>
        <w:tc>
          <w:tcPr>
            <w:tcW w:w="367" w:type="pct"/>
            <w:vMerge w:val="continue"/>
            <w:vAlign w:val="center"/>
          </w:tcPr>
          <w:p w14:paraId="65B67EB6">
            <w:pPr>
              <w:pStyle w:val="75"/>
              <w:rPr>
                <w:bCs/>
                <w:kern w:val="2"/>
                <w:highlight w:val="none"/>
              </w:rPr>
            </w:pPr>
          </w:p>
        </w:tc>
      </w:tr>
      <w:tr w14:paraId="416FE4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7121C05B">
            <w:pPr>
              <w:widowControl/>
              <w:spacing w:line="240" w:lineRule="auto"/>
              <w:ind w:firstLine="0" w:firstLineChars="0"/>
              <w:jc w:val="center"/>
              <w:rPr>
                <w:bCs/>
                <w:kern w:val="2"/>
                <w:sz w:val="21"/>
                <w:szCs w:val="21"/>
                <w:highlight w:val="none"/>
              </w:rPr>
            </w:pPr>
          </w:p>
        </w:tc>
        <w:tc>
          <w:tcPr>
            <w:tcW w:w="376" w:type="pct"/>
            <w:vMerge w:val="continue"/>
            <w:vAlign w:val="center"/>
          </w:tcPr>
          <w:p w14:paraId="401BD6FF">
            <w:pPr>
              <w:pStyle w:val="75"/>
              <w:rPr>
                <w:bCs/>
                <w:kern w:val="2"/>
                <w:highlight w:val="none"/>
              </w:rPr>
            </w:pPr>
          </w:p>
        </w:tc>
        <w:tc>
          <w:tcPr>
            <w:tcW w:w="756" w:type="pct"/>
            <w:vAlign w:val="center"/>
          </w:tcPr>
          <w:p w14:paraId="3A2D722D">
            <w:pPr>
              <w:pStyle w:val="75"/>
              <w:rPr>
                <w:bCs/>
                <w:kern w:val="2"/>
                <w:highlight w:val="none"/>
              </w:rPr>
            </w:pPr>
            <w:r>
              <w:rPr>
                <w:rFonts w:hint="eastAsia"/>
                <w:bCs/>
                <w:kern w:val="2"/>
                <w:highlight w:val="none"/>
              </w:rPr>
              <w:t>酒石酸</w:t>
            </w:r>
          </w:p>
        </w:tc>
        <w:tc>
          <w:tcPr>
            <w:tcW w:w="1433" w:type="pct"/>
            <w:vAlign w:val="center"/>
          </w:tcPr>
          <w:p w14:paraId="690B84C8">
            <w:pPr>
              <w:pStyle w:val="75"/>
              <w:rPr>
                <w:bCs/>
                <w:kern w:val="2"/>
                <w:highlight w:val="none"/>
              </w:rPr>
            </w:pPr>
            <w:r>
              <w:rPr>
                <w:rFonts w:hint="eastAsia"/>
                <w:bCs/>
                <w:kern w:val="2"/>
                <w:highlight w:val="none"/>
              </w:rPr>
              <w:t>/</w:t>
            </w:r>
          </w:p>
        </w:tc>
        <w:tc>
          <w:tcPr>
            <w:tcW w:w="554" w:type="pct"/>
            <w:vAlign w:val="center"/>
          </w:tcPr>
          <w:p w14:paraId="321ABE29">
            <w:pPr>
              <w:pStyle w:val="75"/>
              <w:rPr>
                <w:rFonts w:hint="default" w:eastAsia="宋体"/>
                <w:bCs/>
                <w:kern w:val="2"/>
                <w:highlight w:val="none"/>
                <w:lang w:val="en-US" w:eastAsia="zh-CN"/>
              </w:rPr>
            </w:pPr>
            <w:r>
              <w:rPr>
                <w:rFonts w:hint="eastAsia"/>
                <w:bCs/>
                <w:kern w:val="2"/>
                <w:highlight w:val="none"/>
                <w:lang w:val="en-US" w:eastAsia="zh-CN"/>
              </w:rPr>
              <w:t>2.2</w:t>
            </w:r>
          </w:p>
        </w:tc>
        <w:tc>
          <w:tcPr>
            <w:tcW w:w="490" w:type="pct"/>
            <w:vAlign w:val="center"/>
          </w:tcPr>
          <w:p w14:paraId="099D418F">
            <w:pPr>
              <w:pStyle w:val="75"/>
              <w:rPr>
                <w:bCs/>
                <w:kern w:val="2"/>
                <w:highlight w:val="none"/>
              </w:rPr>
            </w:pPr>
            <w:r>
              <w:rPr>
                <w:rFonts w:hint="eastAsia"/>
                <w:bCs/>
                <w:kern w:val="2"/>
                <w:highlight w:val="none"/>
              </w:rPr>
              <w:t>0.2</w:t>
            </w:r>
          </w:p>
        </w:tc>
        <w:tc>
          <w:tcPr>
            <w:tcW w:w="637" w:type="pct"/>
            <w:vAlign w:val="center"/>
          </w:tcPr>
          <w:p w14:paraId="7A7A0683">
            <w:pPr>
              <w:pStyle w:val="75"/>
              <w:rPr>
                <w:bCs/>
                <w:kern w:val="2"/>
                <w:highlight w:val="none"/>
              </w:rPr>
            </w:pPr>
            <w:r>
              <w:rPr>
                <w:bCs/>
                <w:kern w:val="2"/>
                <w:highlight w:val="none"/>
              </w:rPr>
              <w:t>25kg/袋</w:t>
            </w:r>
          </w:p>
        </w:tc>
        <w:tc>
          <w:tcPr>
            <w:tcW w:w="367" w:type="pct"/>
            <w:vMerge w:val="continue"/>
            <w:vAlign w:val="center"/>
          </w:tcPr>
          <w:p w14:paraId="1F04500E">
            <w:pPr>
              <w:pStyle w:val="75"/>
              <w:rPr>
                <w:bCs/>
                <w:kern w:val="2"/>
                <w:highlight w:val="none"/>
              </w:rPr>
            </w:pPr>
          </w:p>
        </w:tc>
      </w:tr>
      <w:tr w14:paraId="48DF7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68B99365">
            <w:pPr>
              <w:widowControl/>
              <w:spacing w:line="240" w:lineRule="auto"/>
              <w:ind w:firstLine="0" w:firstLineChars="0"/>
              <w:jc w:val="center"/>
              <w:rPr>
                <w:bCs/>
                <w:kern w:val="2"/>
                <w:sz w:val="21"/>
                <w:szCs w:val="21"/>
                <w:highlight w:val="none"/>
              </w:rPr>
            </w:pPr>
          </w:p>
        </w:tc>
        <w:tc>
          <w:tcPr>
            <w:tcW w:w="376" w:type="pct"/>
            <w:vAlign w:val="center"/>
          </w:tcPr>
          <w:p w14:paraId="295C1FFD">
            <w:pPr>
              <w:pStyle w:val="75"/>
              <w:rPr>
                <w:bCs/>
                <w:kern w:val="2"/>
                <w:highlight w:val="none"/>
              </w:rPr>
            </w:pPr>
            <w:r>
              <w:rPr>
                <w:rFonts w:hint="eastAsia"/>
                <w:bCs/>
                <w:kern w:val="2"/>
                <w:highlight w:val="none"/>
              </w:rPr>
              <w:t>钝化</w:t>
            </w:r>
          </w:p>
        </w:tc>
        <w:tc>
          <w:tcPr>
            <w:tcW w:w="756" w:type="pct"/>
            <w:vAlign w:val="center"/>
          </w:tcPr>
          <w:p w14:paraId="23B58838">
            <w:pPr>
              <w:pStyle w:val="75"/>
              <w:rPr>
                <w:bCs/>
                <w:kern w:val="2"/>
                <w:highlight w:val="none"/>
              </w:rPr>
            </w:pPr>
            <w:r>
              <w:rPr>
                <w:rFonts w:hint="eastAsia"/>
                <w:bCs/>
                <w:kern w:val="2"/>
                <w:highlight w:val="none"/>
              </w:rPr>
              <w:t>九水硝酸铬</w:t>
            </w:r>
          </w:p>
        </w:tc>
        <w:tc>
          <w:tcPr>
            <w:tcW w:w="1433" w:type="pct"/>
            <w:vAlign w:val="center"/>
          </w:tcPr>
          <w:p w14:paraId="30787619">
            <w:pPr>
              <w:pStyle w:val="75"/>
              <w:rPr>
                <w:bCs/>
                <w:kern w:val="2"/>
                <w:highlight w:val="none"/>
              </w:rPr>
            </w:pPr>
            <w:r>
              <w:rPr>
                <w:bCs/>
                <w:kern w:val="2"/>
                <w:highlight w:val="none"/>
              </w:rPr>
              <w:t>≥99.8%</w:t>
            </w:r>
          </w:p>
        </w:tc>
        <w:tc>
          <w:tcPr>
            <w:tcW w:w="554" w:type="pct"/>
            <w:vAlign w:val="center"/>
          </w:tcPr>
          <w:p w14:paraId="21DB500E">
            <w:pPr>
              <w:pStyle w:val="75"/>
              <w:rPr>
                <w:rFonts w:hint="default" w:eastAsia="宋体"/>
                <w:bCs/>
                <w:kern w:val="2"/>
                <w:highlight w:val="none"/>
                <w:lang w:val="en-US" w:eastAsia="zh-CN"/>
              </w:rPr>
            </w:pPr>
            <w:r>
              <w:rPr>
                <w:rFonts w:hint="eastAsia"/>
                <w:bCs/>
                <w:kern w:val="2"/>
                <w:highlight w:val="none"/>
                <w:lang w:val="en-US" w:eastAsia="zh-CN"/>
              </w:rPr>
              <w:t>22.13</w:t>
            </w:r>
          </w:p>
        </w:tc>
        <w:tc>
          <w:tcPr>
            <w:tcW w:w="490" w:type="pct"/>
            <w:vAlign w:val="center"/>
          </w:tcPr>
          <w:p w14:paraId="68EE7287">
            <w:pPr>
              <w:pStyle w:val="75"/>
              <w:rPr>
                <w:bCs/>
                <w:kern w:val="2"/>
                <w:highlight w:val="none"/>
              </w:rPr>
            </w:pPr>
            <w:r>
              <w:rPr>
                <w:rFonts w:hint="eastAsia"/>
                <w:bCs/>
                <w:kern w:val="2"/>
                <w:highlight w:val="none"/>
              </w:rPr>
              <w:t>1</w:t>
            </w:r>
          </w:p>
        </w:tc>
        <w:tc>
          <w:tcPr>
            <w:tcW w:w="637" w:type="pct"/>
            <w:vAlign w:val="center"/>
          </w:tcPr>
          <w:p w14:paraId="3E22785E">
            <w:pPr>
              <w:pStyle w:val="75"/>
              <w:rPr>
                <w:bCs/>
                <w:kern w:val="2"/>
                <w:highlight w:val="none"/>
              </w:rPr>
            </w:pPr>
            <w:r>
              <w:rPr>
                <w:bCs/>
                <w:kern w:val="2"/>
                <w:highlight w:val="none"/>
              </w:rPr>
              <w:t>50kg/</w:t>
            </w:r>
            <w:r>
              <w:rPr>
                <w:rFonts w:hint="eastAsia"/>
                <w:bCs/>
                <w:kern w:val="2"/>
                <w:highlight w:val="none"/>
              </w:rPr>
              <w:t>袋</w:t>
            </w:r>
          </w:p>
        </w:tc>
        <w:tc>
          <w:tcPr>
            <w:tcW w:w="367" w:type="pct"/>
            <w:vMerge w:val="continue"/>
            <w:vAlign w:val="center"/>
          </w:tcPr>
          <w:p w14:paraId="41C1E0C0">
            <w:pPr>
              <w:pStyle w:val="75"/>
              <w:rPr>
                <w:bCs/>
                <w:kern w:val="2"/>
                <w:highlight w:val="none"/>
              </w:rPr>
            </w:pPr>
          </w:p>
        </w:tc>
      </w:tr>
      <w:tr w14:paraId="2252DA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3CC2FF4">
            <w:pPr>
              <w:widowControl/>
              <w:spacing w:line="240" w:lineRule="auto"/>
              <w:ind w:firstLine="0" w:firstLineChars="0"/>
              <w:jc w:val="center"/>
              <w:rPr>
                <w:bCs/>
                <w:kern w:val="2"/>
                <w:sz w:val="21"/>
                <w:szCs w:val="21"/>
                <w:highlight w:val="none"/>
              </w:rPr>
            </w:pPr>
          </w:p>
        </w:tc>
        <w:tc>
          <w:tcPr>
            <w:tcW w:w="376" w:type="pct"/>
            <w:vAlign w:val="center"/>
          </w:tcPr>
          <w:p w14:paraId="3B90D4C5">
            <w:pPr>
              <w:pStyle w:val="75"/>
              <w:rPr>
                <w:bCs/>
                <w:kern w:val="2"/>
                <w:highlight w:val="none"/>
              </w:rPr>
            </w:pPr>
            <w:r>
              <w:rPr>
                <w:rFonts w:hint="eastAsia"/>
                <w:bCs/>
                <w:kern w:val="2"/>
                <w:highlight w:val="none"/>
              </w:rPr>
              <w:t>中和</w:t>
            </w:r>
          </w:p>
        </w:tc>
        <w:tc>
          <w:tcPr>
            <w:tcW w:w="756" w:type="pct"/>
            <w:vAlign w:val="center"/>
          </w:tcPr>
          <w:p w14:paraId="690AE1CA">
            <w:pPr>
              <w:pStyle w:val="75"/>
              <w:rPr>
                <w:bCs/>
                <w:kern w:val="2"/>
                <w:highlight w:val="none"/>
              </w:rPr>
            </w:pPr>
            <w:r>
              <w:rPr>
                <w:rFonts w:hint="eastAsia"/>
                <w:bCs/>
                <w:kern w:val="2"/>
                <w:highlight w:val="none"/>
              </w:rPr>
              <w:t>氢氧化钠</w:t>
            </w:r>
          </w:p>
        </w:tc>
        <w:tc>
          <w:tcPr>
            <w:tcW w:w="1433" w:type="pct"/>
            <w:vAlign w:val="center"/>
          </w:tcPr>
          <w:p w14:paraId="0BF5B2FB">
            <w:pPr>
              <w:pStyle w:val="75"/>
              <w:rPr>
                <w:bCs/>
                <w:kern w:val="2"/>
                <w:highlight w:val="none"/>
              </w:rPr>
            </w:pPr>
            <w:r>
              <w:rPr>
                <w:bCs/>
                <w:kern w:val="2"/>
                <w:highlight w:val="none"/>
              </w:rPr>
              <w:t>/</w:t>
            </w:r>
          </w:p>
        </w:tc>
        <w:tc>
          <w:tcPr>
            <w:tcW w:w="554" w:type="pct"/>
            <w:vAlign w:val="center"/>
          </w:tcPr>
          <w:p w14:paraId="0C687935">
            <w:pPr>
              <w:pStyle w:val="75"/>
              <w:rPr>
                <w:rFonts w:hint="default" w:eastAsia="宋体"/>
                <w:bCs/>
                <w:kern w:val="2"/>
                <w:highlight w:val="none"/>
                <w:lang w:val="en-US" w:eastAsia="zh-CN"/>
              </w:rPr>
            </w:pPr>
            <w:r>
              <w:rPr>
                <w:rFonts w:hint="eastAsia"/>
                <w:bCs/>
                <w:kern w:val="2"/>
                <w:highlight w:val="none"/>
                <w:lang w:val="en-US" w:eastAsia="zh-CN"/>
              </w:rPr>
              <w:t>13.1</w:t>
            </w:r>
          </w:p>
        </w:tc>
        <w:tc>
          <w:tcPr>
            <w:tcW w:w="490" w:type="pct"/>
            <w:vAlign w:val="center"/>
          </w:tcPr>
          <w:p w14:paraId="0DB712A5">
            <w:pPr>
              <w:pStyle w:val="75"/>
              <w:rPr>
                <w:bCs/>
                <w:kern w:val="2"/>
                <w:highlight w:val="none"/>
              </w:rPr>
            </w:pPr>
            <w:r>
              <w:rPr>
                <w:rFonts w:hint="eastAsia"/>
                <w:bCs/>
                <w:kern w:val="2"/>
                <w:highlight w:val="none"/>
              </w:rPr>
              <w:t>0.3</w:t>
            </w:r>
          </w:p>
        </w:tc>
        <w:tc>
          <w:tcPr>
            <w:tcW w:w="637" w:type="pct"/>
            <w:vAlign w:val="center"/>
          </w:tcPr>
          <w:p w14:paraId="4B72F54D">
            <w:pPr>
              <w:pStyle w:val="75"/>
              <w:rPr>
                <w:bCs/>
                <w:kern w:val="2"/>
                <w:highlight w:val="none"/>
              </w:rPr>
            </w:pPr>
            <w:r>
              <w:rPr>
                <w:bCs/>
                <w:kern w:val="2"/>
                <w:highlight w:val="none"/>
              </w:rPr>
              <w:t>25kg/袋</w:t>
            </w:r>
          </w:p>
        </w:tc>
        <w:tc>
          <w:tcPr>
            <w:tcW w:w="367" w:type="pct"/>
            <w:vMerge w:val="continue"/>
            <w:vAlign w:val="center"/>
          </w:tcPr>
          <w:p w14:paraId="20EB9633">
            <w:pPr>
              <w:pStyle w:val="75"/>
              <w:rPr>
                <w:bCs/>
                <w:kern w:val="2"/>
                <w:highlight w:val="none"/>
              </w:rPr>
            </w:pPr>
          </w:p>
        </w:tc>
      </w:tr>
      <w:tr w14:paraId="4C0FC9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11528BE8">
            <w:pPr>
              <w:widowControl/>
              <w:spacing w:line="240" w:lineRule="auto"/>
              <w:ind w:firstLine="0" w:firstLineChars="0"/>
              <w:jc w:val="center"/>
              <w:rPr>
                <w:bCs/>
                <w:kern w:val="2"/>
                <w:sz w:val="21"/>
                <w:szCs w:val="21"/>
                <w:highlight w:val="none"/>
              </w:rPr>
            </w:pPr>
          </w:p>
        </w:tc>
        <w:tc>
          <w:tcPr>
            <w:tcW w:w="376" w:type="pct"/>
            <w:vAlign w:val="center"/>
          </w:tcPr>
          <w:p w14:paraId="4B8F3194">
            <w:pPr>
              <w:pStyle w:val="75"/>
              <w:rPr>
                <w:bCs/>
                <w:kern w:val="2"/>
                <w:highlight w:val="none"/>
              </w:rPr>
            </w:pPr>
            <w:r>
              <w:rPr>
                <w:rFonts w:hint="eastAsia"/>
                <w:bCs/>
                <w:kern w:val="2"/>
                <w:highlight w:val="none"/>
              </w:rPr>
              <w:t>封闭</w:t>
            </w:r>
          </w:p>
        </w:tc>
        <w:tc>
          <w:tcPr>
            <w:tcW w:w="756" w:type="pct"/>
            <w:vAlign w:val="center"/>
          </w:tcPr>
          <w:p w14:paraId="52E9EE44">
            <w:pPr>
              <w:pStyle w:val="75"/>
              <w:rPr>
                <w:bCs/>
                <w:kern w:val="2"/>
                <w:highlight w:val="none"/>
              </w:rPr>
            </w:pPr>
            <w:r>
              <w:rPr>
                <w:rFonts w:hint="eastAsia"/>
                <w:bCs/>
                <w:kern w:val="21"/>
                <w:highlight w:val="none"/>
              </w:rPr>
              <w:t>封闭剂</w:t>
            </w:r>
          </w:p>
        </w:tc>
        <w:tc>
          <w:tcPr>
            <w:tcW w:w="1433" w:type="pct"/>
            <w:vAlign w:val="center"/>
          </w:tcPr>
          <w:p w14:paraId="6F05FA66">
            <w:pPr>
              <w:pStyle w:val="75"/>
              <w:rPr>
                <w:bCs/>
                <w:kern w:val="2"/>
                <w:highlight w:val="none"/>
              </w:rPr>
            </w:pPr>
            <w:r>
              <w:rPr>
                <w:bCs/>
                <w:kern w:val="2"/>
                <w:highlight w:val="none"/>
              </w:rPr>
              <w:t>主要成分</w:t>
            </w:r>
            <w:r>
              <w:rPr>
                <w:rFonts w:hint="eastAsia"/>
                <w:bCs/>
                <w:kern w:val="2"/>
                <w:highlight w:val="none"/>
              </w:rPr>
              <w:t>：</w:t>
            </w:r>
            <w:r>
              <w:rPr>
                <w:rFonts w:hint="eastAsia"/>
                <w:bCs/>
                <w:kern w:val="21"/>
                <w:highlight w:val="none"/>
              </w:rPr>
              <w:t>AES和甘油</w:t>
            </w:r>
          </w:p>
        </w:tc>
        <w:tc>
          <w:tcPr>
            <w:tcW w:w="554" w:type="pct"/>
            <w:vAlign w:val="center"/>
          </w:tcPr>
          <w:p w14:paraId="6B541EC1">
            <w:pPr>
              <w:pStyle w:val="75"/>
              <w:rPr>
                <w:bCs/>
                <w:kern w:val="2"/>
                <w:highlight w:val="none"/>
              </w:rPr>
            </w:pPr>
            <w:r>
              <w:rPr>
                <w:rFonts w:hint="eastAsia"/>
                <w:bCs/>
                <w:kern w:val="2"/>
                <w:highlight w:val="none"/>
              </w:rPr>
              <w:t>3.1</w:t>
            </w:r>
          </w:p>
        </w:tc>
        <w:tc>
          <w:tcPr>
            <w:tcW w:w="490" w:type="pct"/>
            <w:vAlign w:val="center"/>
          </w:tcPr>
          <w:p w14:paraId="324AB3A5">
            <w:pPr>
              <w:pStyle w:val="75"/>
              <w:rPr>
                <w:bCs/>
                <w:kern w:val="2"/>
                <w:highlight w:val="none"/>
              </w:rPr>
            </w:pPr>
            <w:r>
              <w:rPr>
                <w:rFonts w:hint="eastAsia"/>
                <w:bCs/>
                <w:kern w:val="2"/>
                <w:highlight w:val="none"/>
              </w:rPr>
              <w:t>0.1</w:t>
            </w:r>
          </w:p>
        </w:tc>
        <w:tc>
          <w:tcPr>
            <w:tcW w:w="637" w:type="pct"/>
            <w:vAlign w:val="center"/>
          </w:tcPr>
          <w:p w14:paraId="1D02150C">
            <w:pPr>
              <w:pStyle w:val="75"/>
              <w:rPr>
                <w:bCs/>
                <w:kern w:val="2"/>
                <w:highlight w:val="none"/>
              </w:rPr>
            </w:pPr>
            <w:r>
              <w:rPr>
                <w:bCs/>
                <w:kern w:val="2"/>
                <w:highlight w:val="none"/>
              </w:rPr>
              <w:t>2</w:t>
            </w:r>
            <w:r>
              <w:rPr>
                <w:rFonts w:hint="eastAsia"/>
                <w:bCs/>
                <w:kern w:val="2"/>
                <w:highlight w:val="none"/>
              </w:rPr>
              <w:t>5</w:t>
            </w:r>
            <w:r>
              <w:rPr>
                <w:bCs/>
                <w:kern w:val="2"/>
                <w:highlight w:val="none"/>
              </w:rPr>
              <w:t>kg/桶</w:t>
            </w:r>
          </w:p>
        </w:tc>
        <w:tc>
          <w:tcPr>
            <w:tcW w:w="367" w:type="pct"/>
            <w:vMerge w:val="continue"/>
            <w:vAlign w:val="center"/>
          </w:tcPr>
          <w:p w14:paraId="08DBA185">
            <w:pPr>
              <w:pStyle w:val="75"/>
              <w:rPr>
                <w:bCs/>
                <w:kern w:val="2"/>
                <w:highlight w:val="none"/>
              </w:rPr>
            </w:pPr>
          </w:p>
        </w:tc>
      </w:tr>
      <w:tr w14:paraId="12B37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14:paraId="4855E7F8">
            <w:pPr>
              <w:pStyle w:val="75"/>
              <w:rPr>
                <w:b/>
                <w:kern w:val="2"/>
              </w:rPr>
            </w:pPr>
            <w:r>
              <w:rPr>
                <w:rFonts w:hint="eastAsia"/>
                <w:b/>
                <w:kern w:val="2"/>
                <w:lang w:val="en-US" w:eastAsia="zh-CN"/>
              </w:rPr>
              <w:t>盖帽</w:t>
            </w:r>
            <w:r>
              <w:rPr>
                <w:rFonts w:hint="eastAsia"/>
                <w:b/>
                <w:kern w:val="2"/>
              </w:rPr>
              <w:t>生产线</w:t>
            </w:r>
          </w:p>
        </w:tc>
      </w:tr>
      <w:tr w14:paraId="3416B9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17" w:type="pct"/>
            <w:gridSpan w:val="3"/>
            <w:vAlign w:val="center"/>
          </w:tcPr>
          <w:p w14:paraId="316664CC">
            <w:pPr>
              <w:pStyle w:val="81"/>
              <w:ind w:firstLine="0" w:firstLineChars="0"/>
              <w:rPr>
                <w:rFonts w:hint="eastAsia"/>
                <w:kern w:val="2"/>
                <w:highlight w:val="none"/>
              </w:rPr>
            </w:pPr>
            <w:r>
              <w:rPr>
                <w:rFonts w:hint="eastAsia"/>
                <w:color w:val="auto"/>
                <w:szCs w:val="21"/>
              </w:rPr>
              <w:t>原料名称</w:t>
            </w:r>
          </w:p>
        </w:tc>
        <w:tc>
          <w:tcPr>
            <w:tcW w:w="1433" w:type="pct"/>
            <w:vAlign w:val="center"/>
          </w:tcPr>
          <w:p w14:paraId="5571B13B">
            <w:pPr>
              <w:pStyle w:val="81"/>
              <w:ind w:firstLine="0" w:firstLineChars="0"/>
              <w:rPr>
                <w:rFonts w:hint="eastAsia"/>
                <w:kern w:val="2"/>
                <w:highlight w:val="none"/>
              </w:rPr>
            </w:pPr>
            <w:r>
              <w:rPr>
                <w:rFonts w:hint="eastAsia"/>
                <w:color w:val="auto"/>
                <w:szCs w:val="21"/>
              </w:rPr>
              <w:t>规格</w:t>
            </w:r>
          </w:p>
        </w:tc>
        <w:tc>
          <w:tcPr>
            <w:tcW w:w="554" w:type="pct"/>
            <w:vAlign w:val="center"/>
          </w:tcPr>
          <w:p w14:paraId="7ECFEEB9">
            <w:pPr>
              <w:pStyle w:val="81"/>
              <w:ind w:firstLine="0" w:firstLineChars="0"/>
              <w:rPr>
                <w:rFonts w:hint="eastAsia"/>
                <w:kern w:val="2"/>
                <w:highlight w:val="none"/>
              </w:rPr>
            </w:pPr>
            <w:r>
              <w:rPr>
                <w:rFonts w:hint="eastAsia"/>
                <w:color w:val="auto"/>
                <w:szCs w:val="21"/>
              </w:rPr>
              <w:t>用量（</w:t>
            </w:r>
            <w:r>
              <w:rPr>
                <w:color w:val="auto"/>
                <w:szCs w:val="21"/>
              </w:rPr>
              <w:t>t/a</w:t>
            </w:r>
            <w:r>
              <w:rPr>
                <w:rFonts w:hint="eastAsia"/>
                <w:color w:val="auto"/>
                <w:szCs w:val="21"/>
              </w:rPr>
              <w:t>）</w:t>
            </w:r>
          </w:p>
        </w:tc>
        <w:tc>
          <w:tcPr>
            <w:tcW w:w="490" w:type="pct"/>
            <w:vAlign w:val="center"/>
          </w:tcPr>
          <w:p w14:paraId="4A4E70AA">
            <w:pPr>
              <w:pStyle w:val="81"/>
              <w:ind w:firstLine="0" w:firstLineChars="0"/>
              <w:rPr>
                <w:rFonts w:hint="eastAsia"/>
                <w:kern w:val="2"/>
                <w:highlight w:val="none"/>
              </w:rPr>
            </w:pPr>
            <w:r>
              <w:rPr>
                <w:rFonts w:hint="eastAsia"/>
                <w:color w:val="auto"/>
                <w:szCs w:val="21"/>
              </w:rPr>
              <w:t>贮存量（</w:t>
            </w:r>
            <w:r>
              <w:rPr>
                <w:color w:val="auto"/>
                <w:szCs w:val="21"/>
              </w:rPr>
              <w:t>t</w:t>
            </w:r>
            <w:r>
              <w:rPr>
                <w:rFonts w:hint="eastAsia"/>
                <w:color w:val="auto"/>
                <w:szCs w:val="21"/>
              </w:rPr>
              <w:t>）</w:t>
            </w:r>
          </w:p>
        </w:tc>
        <w:tc>
          <w:tcPr>
            <w:tcW w:w="637" w:type="pct"/>
            <w:vAlign w:val="center"/>
          </w:tcPr>
          <w:p w14:paraId="7A42F207">
            <w:pPr>
              <w:pStyle w:val="81"/>
              <w:ind w:firstLine="0" w:firstLineChars="0"/>
              <w:rPr>
                <w:rFonts w:hint="eastAsia"/>
                <w:kern w:val="2"/>
                <w:highlight w:val="none"/>
              </w:rPr>
            </w:pPr>
            <w:r>
              <w:rPr>
                <w:rFonts w:hint="eastAsia"/>
                <w:color w:val="auto"/>
                <w:szCs w:val="21"/>
              </w:rPr>
              <w:t>包装</w:t>
            </w:r>
          </w:p>
        </w:tc>
        <w:tc>
          <w:tcPr>
            <w:tcW w:w="367" w:type="pct"/>
            <w:vAlign w:val="center"/>
          </w:tcPr>
          <w:p w14:paraId="647C4C4B">
            <w:pPr>
              <w:pStyle w:val="81"/>
              <w:ind w:firstLine="0" w:firstLineChars="0"/>
              <w:rPr>
                <w:rFonts w:hint="eastAsia"/>
                <w:kern w:val="2"/>
                <w:highlight w:val="none"/>
              </w:rPr>
            </w:pPr>
            <w:r>
              <w:rPr>
                <w:rFonts w:hint="eastAsia"/>
                <w:color w:val="auto"/>
                <w:szCs w:val="21"/>
              </w:rPr>
              <w:t>储存方式</w:t>
            </w:r>
          </w:p>
        </w:tc>
      </w:tr>
      <w:tr w14:paraId="05E4EC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vAlign w:val="center"/>
          </w:tcPr>
          <w:p w14:paraId="26085F14">
            <w:pPr>
              <w:widowControl/>
              <w:spacing w:line="240" w:lineRule="auto"/>
              <w:ind w:firstLine="0" w:firstLineChars="0"/>
              <w:jc w:val="center"/>
              <w:rPr>
                <w:bCs/>
                <w:kern w:val="2"/>
                <w:sz w:val="21"/>
                <w:szCs w:val="21"/>
                <w:highlight w:val="none"/>
              </w:rPr>
            </w:pPr>
            <w:r>
              <w:rPr>
                <w:rFonts w:hint="eastAsia"/>
                <w:bCs/>
                <w:kern w:val="2"/>
                <w:sz w:val="21"/>
                <w:szCs w:val="21"/>
                <w:highlight w:val="none"/>
              </w:rPr>
              <w:t>电镀镍自动线（2条）</w:t>
            </w:r>
          </w:p>
        </w:tc>
        <w:tc>
          <w:tcPr>
            <w:tcW w:w="1133" w:type="pct"/>
            <w:gridSpan w:val="2"/>
            <w:vAlign w:val="center"/>
          </w:tcPr>
          <w:p w14:paraId="7BCB4931">
            <w:pPr>
              <w:pStyle w:val="75"/>
              <w:rPr>
                <w:bCs/>
                <w:kern w:val="21"/>
                <w:highlight w:val="none"/>
              </w:rPr>
            </w:pPr>
            <w:r>
              <w:rPr>
                <w:rFonts w:hint="eastAsia"/>
                <w:kern w:val="2"/>
                <w:highlight w:val="none"/>
              </w:rPr>
              <w:t>普通钢带</w:t>
            </w:r>
          </w:p>
        </w:tc>
        <w:tc>
          <w:tcPr>
            <w:tcW w:w="1433" w:type="pct"/>
            <w:vAlign w:val="center"/>
          </w:tcPr>
          <w:p w14:paraId="1CAB8991">
            <w:pPr>
              <w:pStyle w:val="75"/>
              <w:rPr>
                <w:bCs/>
                <w:kern w:val="2"/>
                <w:highlight w:val="none"/>
              </w:rPr>
            </w:pPr>
            <w:r>
              <w:rPr>
                <w:rFonts w:hint="eastAsia"/>
                <w:kern w:val="2"/>
                <w:highlight w:val="none"/>
              </w:rPr>
              <w:t>宽2</w:t>
            </w:r>
            <w:r>
              <w:rPr>
                <w:kern w:val="2"/>
                <w:highlight w:val="none"/>
              </w:rPr>
              <w:t>00mm</w:t>
            </w:r>
            <w:r>
              <w:rPr>
                <w:rFonts w:hint="eastAsia"/>
                <w:kern w:val="2"/>
                <w:highlight w:val="none"/>
              </w:rPr>
              <w:t>、厚0.8</w:t>
            </w:r>
            <w:r>
              <w:rPr>
                <w:kern w:val="2"/>
                <w:highlight w:val="none"/>
              </w:rPr>
              <w:t>mm</w:t>
            </w:r>
          </w:p>
        </w:tc>
        <w:tc>
          <w:tcPr>
            <w:tcW w:w="554" w:type="pct"/>
            <w:vAlign w:val="center"/>
          </w:tcPr>
          <w:p w14:paraId="04505968">
            <w:pPr>
              <w:pStyle w:val="75"/>
              <w:rPr>
                <w:bCs/>
                <w:kern w:val="2"/>
                <w:highlight w:val="none"/>
              </w:rPr>
            </w:pPr>
            <w:r>
              <w:rPr>
                <w:rFonts w:hint="eastAsia"/>
                <w:kern w:val="2"/>
                <w:highlight w:val="none"/>
              </w:rPr>
              <w:t>9278</w:t>
            </w:r>
          </w:p>
        </w:tc>
        <w:tc>
          <w:tcPr>
            <w:tcW w:w="490" w:type="pct"/>
            <w:vAlign w:val="center"/>
          </w:tcPr>
          <w:p w14:paraId="5FBFD629">
            <w:pPr>
              <w:pStyle w:val="75"/>
              <w:rPr>
                <w:kern w:val="2"/>
                <w:highlight w:val="none"/>
              </w:rPr>
            </w:pPr>
            <w:r>
              <w:rPr>
                <w:rFonts w:hint="eastAsia"/>
                <w:kern w:val="2"/>
                <w:highlight w:val="none"/>
              </w:rPr>
              <w:t>200</w:t>
            </w:r>
          </w:p>
        </w:tc>
        <w:tc>
          <w:tcPr>
            <w:tcW w:w="637" w:type="pct"/>
            <w:vAlign w:val="center"/>
          </w:tcPr>
          <w:p w14:paraId="22CC33F1">
            <w:pPr>
              <w:pStyle w:val="75"/>
              <w:rPr>
                <w:bCs/>
                <w:kern w:val="2"/>
                <w:highlight w:val="none"/>
              </w:rPr>
            </w:pPr>
            <w:r>
              <w:rPr>
                <w:rFonts w:hint="eastAsia"/>
                <w:kern w:val="2"/>
                <w:highlight w:val="none"/>
              </w:rPr>
              <w:t>100kg/卷</w:t>
            </w:r>
          </w:p>
        </w:tc>
        <w:tc>
          <w:tcPr>
            <w:tcW w:w="367" w:type="pct"/>
            <w:vMerge w:val="restart"/>
            <w:vAlign w:val="center"/>
          </w:tcPr>
          <w:p w14:paraId="3763154F">
            <w:pPr>
              <w:pStyle w:val="75"/>
              <w:rPr>
                <w:bCs/>
                <w:kern w:val="2"/>
                <w:highlight w:val="none"/>
              </w:rPr>
            </w:pPr>
            <w:r>
              <w:rPr>
                <w:rFonts w:hint="eastAsia"/>
                <w:kern w:val="2"/>
                <w:highlight w:val="none"/>
              </w:rPr>
              <w:t>原料库</w:t>
            </w:r>
          </w:p>
        </w:tc>
      </w:tr>
      <w:tr w14:paraId="7B902D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8CFE02D">
            <w:pPr>
              <w:widowControl/>
              <w:spacing w:line="240" w:lineRule="auto"/>
              <w:ind w:firstLine="0" w:firstLineChars="0"/>
              <w:jc w:val="center"/>
              <w:rPr>
                <w:bCs/>
                <w:kern w:val="2"/>
                <w:sz w:val="21"/>
                <w:szCs w:val="21"/>
                <w:highlight w:val="none"/>
              </w:rPr>
            </w:pPr>
          </w:p>
        </w:tc>
        <w:tc>
          <w:tcPr>
            <w:tcW w:w="1133" w:type="pct"/>
            <w:gridSpan w:val="2"/>
            <w:vAlign w:val="center"/>
          </w:tcPr>
          <w:p w14:paraId="6AEA1035">
            <w:pPr>
              <w:pStyle w:val="75"/>
              <w:rPr>
                <w:bCs/>
                <w:kern w:val="21"/>
                <w:highlight w:val="none"/>
              </w:rPr>
            </w:pPr>
            <w:r>
              <w:rPr>
                <w:rFonts w:hint="eastAsia"/>
                <w:kern w:val="2"/>
                <w:highlight w:val="none"/>
              </w:rPr>
              <w:t>液压油</w:t>
            </w:r>
          </w:p>
        </w:tc>
        <w:tc>
          <w:tcPr>
            <w:tcW w:w="1433" w:type="pct"/>
            <w:vAlign w:val="center"/>
          </w:tcPr>
          <w:p w14:paraId="38A342A9">
            <w:pPr>
              <w:pStyle w:val="75"/>
              <w:rPr>
                <w:bCs/>
                <w:highlight w:val="none"/>
              </w:rPr>
            </w:pPr>
            <w:r>
              <w:rPr>
                <w:rFonts w:hint="eastAsia"/>
                <w:kern w:val="2"/>
                <w:highlight w:val="none"/>
              </w:rPr>
              <w:t>/</w:t>
            </w:r>
          </w:p>
        </w:tc>
        <w:tc>
          <w:tcPr>
            <w:tcW w:w="554" w:type="pct"/>
            <w:vAlign w:val="center"/>
          </w:tcPr>
          <w:p w14:paraId="095F2472">
            <w:pPr>
              <w:pStyle w:val="75"/>
              <w:rPr>
                <w:bCs/>
                <w:kern w:val="2"/>
                <w:highlight w:val="none"/>
              </w:rPr>
            </w:pPr>
            <w:r>
              <w:rPr>
                <w:rFonts w:hint="eastAsia"/>
                <w:kern w:val="2"/>
                <w:highlight w:val="none"/>
              </w:rPr>
              <w:t>1.5</w:t>
            </w:r>
          </w:p>
        </w:tc>
        <w:tc>
          <w:tcPr>
            <w:tcW w:w="490" w:type="pct"/>
            <w:vAlign w:val="center"/>
          </w:tcPr>
          <w:p w14:paraId="4B4B6C9B">
            <w:pPr>
              <w:pStyle w:val="75"/>
              <w:rPr>
                <w:kern w:val="2"/>
                <w:highlight w:val="none"/>
              </w:rPr>
            </w:pPr>
            <w:r>
              <w:rPr>
                <w:rFonts w:hint="eastAsia"/>
                <w:kern w:val="2"/>
                <w:highlight w:val="none"/>
              </w:rPr>
              <w:t>0.1</w:t>
            </w:r>
          </w:p>
        </w:tc>
        <w:tc>
          <w:tcPr>
            <w:tcW w:w="637" w:type="pct"/>
            <w:vAlign w:val="center"/>
          </w:tcPr>
          <w:p w14:paraId="3DB375A9">
            <w:pPr>
              <w:pStyle w:val="75"/>
              <w:rPr>
                <w:bCs/>
                <w:kern w:val="2"/>
                <w:highlight w:val="none"/>
              </w:rPr>
            </w:pPr>
            <w:r>
              <w:rPr>
                <w:kern w:val="2"/>
                <w:highlight w:val="none"/>
              </w:rPr>
              <w:t>1</w:t>
            </w:r>
            <w:r>
              <w:rPr>
                <w:rFonts w:hint="eastAsia"/>
                <w:kern w:val="2"/>
                <w:highlight w:val="none"/>
              </w:rPr>
              <w:t>0</w:t>
            </w:r>
            <w:r>
              <w:rPr>
                <w:kern w:val="2"/>
                <w:highlight w:val="none"/>
              </w:rPr>
              <w:t>0kg/桶</w:t>
            </w:r>
          </w:p>
        </w:tc>
        <w:tc>
          <w:tcPr>
            <w:tcW w:w="367" w:type="pct"/>
            <w:vMerge w:val="continue"/>
            <w:vAlign w:val="center"/>
          </w:tcPr>
          <w:p w14:paraId="6888FAAD">
            <w:pPr>
              <w:pStyle w:val="75"/>
              <w:rPr>
                <w:bCs/>
                <w:kern w:val="2"/>
                <w:highlight w:val="none"/>
              </w:rPr>
            </w:pPr>
          </w:p>
        </w:tc>
      </w:tr>
      <w:tr w14:paraId="4BF4F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384" w:type="pct"/>
            <w:vMerge w:val="continue"/>
            <w:vAlign w:val="center"/>
          </w:tcPr>
          <w:p w14:paraId="167739F5">
            <w:pPr>
              <w:widowControl/>
              <w:spacing w:line="240" w:lineRule="auto"/>
              <w:ind w:firstLine="0" w:firstLineChars="0"/>
              <w:jc w:val="center"/>
              <w:rPr>
                <w:bCs/>
                <w:kern w:val="2"/>
                <w:sz w:val="21"/>
                <w:szCs w:val="21"/>
                <w:highlight w:val="none"/>
              </w:rPr>
            </w:pPr>
          </w:p>
        </w:tc>
        <w:tc>
          <w:tcPr>
            <w:tcW w:w="376" w:type="pct"/>
            <w:vAlign w:val="center"/>
          </w:tcPr>
          <w:p w14:paraId="1E35AD5C">
            <w:pPr>
              <w:pStyle w:val="75"/>
              <w:rPr>
                <w:bCs/>
                <w:kern w:val="2"/>
                <w:highlight w:val="none"/>
              </w:rPr>
            </w:pPr>
            <w:r>
              <w:rPr>
                <w:rFonts w:hint="eastAsia"/>
                <w:bCs/>
                <w:kern w:val="2"/>
                <w:highlight w:val="none"/>
              </w:rPr>
              <w:t>除油</w:t>
            </w:r>
          </w:p>
        </w:tc>
        <w:tc>
          <w:tcPr>
            <w:tcW w:w="756" w:type="pct"/>
            <w:vAlign w:val="center"/>
          </w:tcPr>
          <w:p w14:paraId="2EAC9FED">
            <w:pPr>
              <w:pStyle w:val="75"/>
              <w:rPr>
                <w:bCs/>
                <w:kern w:val="21"/>
                <w:highlight w:val="none"/>
              </w:rPr>
            </w:pPr>
            <w:r>
              <w:rPr>
                <w:rFonts w:hint="eastAsia"/>
                <w:bCs/>
                <w:kern w:val="2"/>
                <w:highlight w:val="none"/>
              </w:rPr>
              <w:t>碱性脱脂剂</w:t>
            </w:r>
          </w:p>
        </w:tc>
        <w:tc>
          <w:tcPr>
            <w:tcW w:w="1433" w:type="pct"/>
            <w:vAlign w:val="center"/>
          </w:tcPr>
          <w:p w14:paraId="247C0CB8">
            <w:pPr>
              <w:pStyle w:val="75"/>
              <w:jc w:val="left"/>
              <w:rPr>
                <w:bCs/>
                <w:kern w:val="2"/>
                <w:highlight w:val="none"/>
              </w:rPr>
            </w:pPr>
            <w:r>
              <w:rPr>
                <w:rFonts w:hint="eastAsia"/>
                <w:bCs/>
                <w:kern w:val="2"/>
                <w:highlight w:val="none"/>
              </w:rPr>
              <w:t>主要成分：氢氧化钠或硅酸钠或碳酸钠</w:t>
            </w:r>
          </w:p>
        </w:tc>
        <w:tc>
          <w:tcPr>
            <w:tcW w:w="554" w:type="pct"/>
            <w:vAlign w:val="center"/>
          </w:tcPr>
          <w:p w14:paraId="76EBFEA9">
            <w:pPr>
              <w:pStyle w:val="75"/>
              <w:rPr>
                <w:bCs/>
                <w:kern w:val="2"/>
                <w:highlight w:val="none"/>
              </w:rPr>
            </w:pPr>
            <w:r>
              <w:rPr>
                <w:rFonts w:hint="eastAsia"/>
                <w:bCs/>
                <w:kern w:val="2"/>
                <w:highlight w:val="none"/>
              </w:rPr>
              <w:t>1.6</w:t>
            </w:r>
          </w:p>
        </w:tc>
        <w:tc>
          <w:tcPr>
            <w:tcW w:w="490" w:type="pct"/>
            <w:vAlign w:val="center"/>
          </w:tcPr>
          <w:p w14:paraId="3D92AD52">
            <w:pPr>
              <w:pStyle w:val="75"/>
              <w:rPr>
                <w:bCs/>
                <w:kern w:val="2"/>
                <w:highlight w:val="none"/>
              </w:rPr>
            </w:pPr>
            <w:r>
              <w:rPr>
                <w:rFonts w:hint="eastAsia"/>
                <w:bCs/>
                <w:kern w:val="2"/>
                <w:highlight w:val="none"/>
              </w:rPr>
              <w:t>0.1</w:t>
            </w:r>
          </w:p>
        </w:tc>
        <w:tc>
          <w:tcPr>
            <w:tcW w:w="637" w:type="pct"/>
            <w:vAlign w:val="center"/>
          </w:tcPr>
          <w:p w14:paraId="312ECEFE">
            <w:pPr>
              <w:pStyle w:val="75"/>
              <w:rPr>
                <w:bCs/>
                <w:kern w:val="2"/>
                <w:highlight w:val="none"/>
              </w:rPr>
            </w:pPr>
            <w:r>
              <w:rPr>
                <w:bCs/>
                <w:kern w:val="2"/>
                <w:highlight w:val="none"/>
              </w:rPr>
              <w:t>25kg/袋</w:t>
            </w:r>
          </w:p>
        </w:tc>
        <w:tc>
          <w:tcPr>
            <w:tcW w:w="367" w:type="pct"/>
            <w:vMerge w:val="restart"/>
            <w:vAlign w:val="center"/>
          </w:tcPr>
          <w:p w14:paraId="25242D4E">
            <w:pPr>
              <w:pStyle w:val="75"/>
              <w:rPr>
                <w:bCs/>
                <w:kern w:val="2"/>
                <w:highlight w:val="none"/>
              </w:rPr>
            </w:pPr>
            <w:r>
              <w:rPr>
                <w:rFonts w:hint="eastAsia"/>
                <w:bCs/>
                <w:kern w:val="2"/>
                <w:highlight w:val="none"/>
              </w:rPr>
              <w:t>化学品库</w:t>
            </w:r>
          </w:p>
        </w:tc>
      </w:tr>
      <w:tr w14:paraId="5371E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E453480">
            <w:pPr>
              <w:widowControl/>
              <w:spacing w:line="240" w:lineRule="auto"/>
              <w:ind w:firstLine="0" w:firstLineChars="0"/>
              <w:jc w:val="center"/>
              <w:rPr>
                <w:bCs/>
                <w:kern w:val="2"/>
                <w:sz w:val="21"/>
                <w:szCs w:val="21"/>
                <w:highlight w:val="none"/>
              </w:rPr>
            </w:pPr>
          </w:p>
        </w:tc>
        <w:tc>
          <w:tcPr>
            <w:tcW w:w="376" w:type="pct"/>
            <w:vAlign w:val="center"/>
          </w:tcPr>
          <w:p w14:paraId="591BF252">
            <w:pPr>
              <w:pStyle w:val="75"/>
              <w:rPr>
                <w:bCs/>
                <w:kern w:val="2"/>
                <w:highlight w:val="none"/>
              </w:rPr>
            </w:pPr>
            <w:r>
              <w:rPr>
                <w:rFonts w:hint="eastAsia"/>
                <w:bCs/>
                <w:kern w:val="2"/>
                <w:highlight w:val="none"/>
              </w:rPr>
              <w:t>酸洗活化</w:t>
            </w:r>
          </w:p>
        </w:tc>
        <w:tc>
          <w:tcPr>
            <w:tcW w:w="756" w:type="pct"/>
            <w:vAlign w:val="center"/>
          </w:tcPr>
          <w:p w14:paraId="4C02EE13">
            <w:pPr>
              <w:pStyle w:val="75"/>
              <w:ind w:firstLine="0" w:firstLineChars="0"/>
              <w:rPr>
                <w:bCs/>
                <w:kern w:val="21"/>
                <w:highlight w:val="none"/>
              </w:rPr>
            </w:pPr>
            <w:r>
              <w:rPr>
                <w:bCs/>
                <w:kern w:val="2"/>
                <w:highlight w:val="none"/>
              </w:rPr>
              <w:t>硫酸</w:t>
            </w:r>
          </w:p>
        </w:tc>
        <w:tc>
          <w:tcPr>
            <w:tcW w:w="1433" w:type="pct"/>
            <w:vAlign w:val="center"/>
          </w:tcPr>
          <w:p w14:paraId="6476FB7F">
            <w:pPr>
              <w:pStyle w:val="75"/>
              <w:ind w:firstLine="0" w:firstLineChars="0"/>
              <w:rPr>
                <w:bCs/>
                <w:kern w:val="2"/>
                <w:highlight w:val="none"/>
              </w:rPr>
            </w:pPr>
            <w:r>
              <w:rPr>
                <w:rFonts w:hint="eastAsia"/>
                <w:bCs/>
                <w:kern w:val="2"/>
                <w:highlight w:val="none"/>
              </w:rPr>
              <w:t>98%</w:t>
            </w:r>
          </w:p>
        </w:tc>
        <w:tc>
          <w:tcPr>
            <w:tcW w:w="554" w:type="pct"/>
            <w:vAlign w:val="center"/>
          </w:tcPr>
          <w:p w14:paraId="7CA6AB13">
            <w:pPr>
              <w:pStyle w:val="75"/>
              <w:ind w:firstLine="0" w:firstLineChars="0"/>
              <w:rPr>
                <w:bCs/>
                <w:kern w:val="2"/>
                <w:highlight w:val="none"/>
              </w:rPr>
            </w:pPr>
            <w:r>
              <w:rPr>
                <w:rFonts w:hint="eastAsia"/>
                <w:bCs/>
                <w:kern w:val="2"/>
                <w:highlight w:val="none"/>
              </w:rPr>
              <w:t>4.8</w:t>
            </w:r>
          </w:p>
        </w:tc>
        <w:tc>
          <w:tcPr>
            <w:tcW w:w="490" w:type="pct"/>
            <w:vAlign w:val="center"/>
          </w:tcPr>
          <w:p w14:paraId="30A29759">
            <w:pPr>
              <w:pStyle w:val="75"/>
              <w:ind w:firstLine="0" w:firstLineChars="0"/>
              <w:rPr>
                <w:rFonts w:hint="eastAsia" w:eastAsia="宋体"/>
                <w:bCs/>
                <w:kern w:val="2"/>
                <w:highlight w:val="none"/>
                <w:lang w:eastAsia="zh-CN"/>
              </w:rPr>
            </w:pPr>
            <w:r>
              <w:rPr>
                <w:rFonts w:hint="eastAsia"/>
                <w:bCs/>
                <w:kern w:val="2"/>
                <w:highlight w:val="none"/>
                <w:lang w:val="en-US" w:eastAsia="zh-CN"/>
              </w:rPr>
              <w:t>4</w:t>
            </w:r>
          </w:p>
        </w:tc>
        <w:tc>
          <w:tcPr>
            <w:tcW w:w="637" w:type="pct"/>
            <w:vAlign w:val="center"/>
          </w:tcPr>
          <w:p w14:paraId="24F704F5">
            <w:pPr>
              <w:pStyle w:val="75"/>
              <w:rPr>
                <w:bCs/>
                <w:kern w:val="2"/>
                <w:highlight w:val="none"/>
              </w:rPr>
            </w:pPr>
            <w:r>
              <w:rPr>
                <w:rFonts w:hint="eastAsia"/>
                <w:bCs/>
                <w:kern w:val="2"/>
                <w:highlight w:val="none"/>
              </w:rPr>
              <w:t>4</w:t>
            </w:r>
            <w:r>
              <w:rPr>
                <w:bCs/>
                <w:kern w:val="2"/>
                <w:highlight w:val="none"/>
              </w:rPr>
              <w:t>t</w:t>
            </w:r>
            <w:r>
              <w:rPr>
                <w:rFonts w:hint="eastAsia"/>
                <w:bCs/>
                <w:kern w:val="2"/>
                <w:highlight w:val="none"/>
              </w:rPr>
              <w:t>/储罐</w:t>
            </w:r>
          </w:p>
          <w:p w14:paraId="10AE30FF">
            <w:pPr>
              <w:pStyle w:val="75"/>
              <w:ind w:firstLine="0" w:firstLineChars="0"/>
              <w:rPr>
                <w:bCs/>
                <w:kern w:val="2"/>
                <w:highlight w:val="none"/>
              </w:rPr>
            </w:pPr>
            <w:r>
              <w:rPr>
                <w:rFonts w:hint="eastAsia"/>
                <w:bCs/>
                <w:kern w:val="2"/>
                <w:highlight w:val="none"/>
              </w:rPr>
              <w:t>(共用</w:t>
            </w:r>
            <w:r>
              <w:rPr>
                <w:bCs/>
                <w:kern w:val="2"/>
                <w:highlight w:val="none"/>
              </w:rPr>
              <w:t>)</w:t>
            </w:r>
          </w:p>
        </w:tc>
        <w:tc>
          <w:tcPr>
            <w:tcW w:w="367" w:type="pct"/>
            <w:vMerge w:val="continue"/>
            <w:vAlign w:val="center"/>
          </w:tcPr>
          <w:p w14:paraId="2821625F">
            <w:pPr>
              <w:pStyle w:val="75"/>
              <w:rPr>
                <w:bCs/>
                <w:kern w:val="2"/>
                <w:highlight w:val="none"/>
              </w:rPr>
            </w:pPr>
          </w:p>
        </w:tc>
      </w:tr>
      <w:tr w14:paraId="4E3B3B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72590E5">
            <w:pPr>
              <w:widowControl/>
              <w:spacing w:line="240" w:lineRule="auto"/>
              <w:ind w:firstLine="0" w:firstLineChars="0"/>
              <w:jc w:val="center"/>
              <w:rPr>
                <w:bCs/>
                <w:kern w:val="2"/>
                <w:sz w:val="21"/>
                <w:szCs w:val="21"/>
                <w:highlight w:val="none"/>
              </w:rPr>
            </w:pPr>
          </w:p>
        </w:tc>
        <w:tc>
          <w:tcPr>
            <w:tcW w:w="376" w:type="pct"/>
            <w:vMerge w:val="restart"/>
            <w:vAlign w:val="center"/>
          </w:tcPr>
          <w:p w14:paraId="1C91833E">
            <w:pPr>
              <w:pStyle w:val="75"/>
              <w:rPr>
                <w:bCs/>
                <w:kern w:val="2"/>
                <w:highlight w:val="none"/>
              </w:rPr>
            </w:pPr>
            <w:r>
              <w:rPr>
                <w:rFonts w:hint="eastAsia"/>
                <w:bCs/>
                <w:kern w:val="2"/>
                <w:highlight w:val="none"/>
              </w:rPr>
              <w:t>暗镍</w:t>
            </w:r>
          </w:p>
        </w:tc>
        <w:tc>
          <w:tcPr>
            <w:tcW w:w="756" w:type="pct"/>
            <w:vAlign w:val="center"/>
          </w:tcPr>
          <w:p w14:paraId="46C7DADE">
            <w:pPr>
              <w:pStyle w:val="75"/>
              <w:rPr>
                <w:bCs/>
                <w:kern w:val="2"/>
                <w:highlight w:val="none"/>
              </w:rPr>
            </w:pPr>
            <w:r>
              <w:rPr>
                <w:rFonts w:hint="eastAsia"/>
                <w:bCs/>
                <w:kern w:val="2"/>
                <w:highlight w:val="none"/>
              </w:rPr>
              <w:t>镍板</w:t>
            </w:r>
          </w:p>
        </w:tc>
        <w:tc>
          <w:tcPr>
            <w:tcW w:w="1433" w:type="pct"/>
            <w:vAlign w:val="center"/>
          </w:tcPr>
          <w:p w14:paraId="08C0BE4D">
            <w:pPr>
              <w:pStyle w:val="75"/>
              <w:rPr>
                <w:bCs/>
                <w:kern w:val="2"/>
                <w:highlight w:val="none"/>
              </w:rPr>
            </w:pPr>
            <w:r>
              <w:rPr>
                <w:rFonts w:hint="eastAsia"/>
                <w:bCs/>
                <w:kern w:val="2"/>
                <w:highlight w:val="none"/>
              </w:rPr>
              <w:t>99.9%</w:t>
            </w:r>
          </w:p>
        </w:tc>
        <w:tc>
          <w:tcPr>
            <w:tcW w:w="554" w:type="pct"/>
            <w:vAlign w:val="center"/>
          </w:tcPr>
          <w:p w14:paraId="7E713E18">
            <w:pPr>
              <w:pStyle w:val="75"/>
              <w:rPr>
                <w:rFonts w:hint="default" w:eastAsia="宋体"/>
                <w:bCs/>
                <w:kern w:val="2"/>
                <w:highlight w:val="none"/>
                <w:lang w:val="en-US" w:eastAsia="zh-CN"/>
              </w:rPr>
            </w:pPr>
            <w:r>
              <w:rPr>
                <w:rFonts w:hint="eastAsia"/>
                <w:bCs/>
                <w:kern w:val="2"/>
                <w:highlight w:val="none"/>
                <w:lang w:val="en-US" w:eastAsia="zh-CN"/>
              </w:rPr>
              <w:t>127.5</w:t>
            </w:r>
          </w:p>
        </w:tc>
        <w:tc>
          <w:tcPr>
            <w:tcW w:w="490" w:type="pct"/>
            <w:vAlign w:val="center"/>
          </w:tcPr>
          <w:p w14:paraId="432D8D7E">
            <w:pPr>
              <w:pStyle w:val="75"/>
              <w:rPr>
                <w:bCs/>
                <w:kern w:val="2"/>
                <w:highlight w:val="none"/>
              </w:rPr>
            </w:pPr>
            <w:r>
              <w:rPr>
                <w:rFonts w:hint="eastAsia"/>
                <w:bCs/>
                <w:kern w:val="2"/>
                <w:highlight w:val="none"/>
              </w:rPr>
              <w:t>2</w:t>
            </w:r>
          </w:p>
        </w:tc>
        <w:tc>
          <w:tcPr>
            <w:tcW w:w="637" w:type="pct"/>
            <w:vAlign w:val="center"/>
          </w:tcPr>
          <w:p w14:paraId="7D2AE7AF">
            <w:pPr>
              <w:pStyle w:val="75"/>
              <w:rPr>
                <w:bCs/>
                <w:kern w:val="2"/>
                <w:highlight w:val="none"/>
              </w:rPr>
            </w:pPr>
            <w:r>
              <w:rPr>
                <w:rFonts w:hint="eastAsia"/>
                <w:bCs/>
                <w:kern w:val="2"/>
                <w:highlight w:val="none"/>
              </w:rPr>
              <w:t>5kg/块</w:t>
            </w:r>
          </w:p>
        </w:tc>
        <w:tc>
          <w:tcPr>
            <w:tcW w:w="367" w:type="pct"/>
            <w:vMerge w:val="continue"/>
            <w:vAlign w:val="center"/>
          </w:tcPr>
          <w:p w14:paraId="79AFCB29">
            <w:pPr>
              <w:pStyle w:val="75"/>
              <w:rPr>
                <w:bCs/>
                <w:kern w:val="2"/>
                <w:highlight w:val="none"/>
              </w:rPr>
            </w:pPr>
          </w:p>
        </w:tc>
      </w:tr>
      <w:tr w14:paraId="229028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24BE3AC0">
            <w:pPr>
              <w:widowControl/>
              <w:spacing w:line="240" w:lineRule="auto"/>
              <w:ind w:firstLine="0" w:firstLineChars="0"/>
              <w:jc w:val="center"/>
              <w:rPr>
                <w:bCs/>
                <w:kern w:val="2"/>
                <w:sz w:val="21"/>
                <w:szCs w:val="21"/>
                <w:highlight w:val="none"/>
              </w:rPr>
            </w:pPr>
          </w:p>
        </w:tc>
        <w:tc>
          <w:tcPr>
            <w:tcW w:w="376" w:type="pct"/>
            <w:vMerge w:val="continue"/>
            <w:vAlign w:val="center"/>
          </w:tcPr>
          <w:p w14:paraId="557816D0">
            <w:pPr>
              <w:pStyle w:val="75"/>
              <w:rPr>
                <w:bCs/>
                <w:kern w:val="2"/>
                <w:highlight w:val="none"/>
              </w:rPr>
            </w:pPr>
          </w:p>
        </w:tc>
        <w:tc>
          <w:tcPr>
            <w:tcW w:w="756" w:type="pct"/>
            <w:vAlign w:val="center"/>
          </w:tcPr>
          <w:p w14:paraId="7818BA96">
            <w:pPr>
              <w:pStyle w:val="75"/>
              <w:rPr>
                <w:bCs/>
                <w:kern w:val="2"/>
                <w:highlight w:val="none"/>
              </w:rPr>
            </w:pPr>
            <w:r>
              <w:rPr>
                <w:rFonts w:hint="eastAsia"/>
                <w:bCs/>
                <w:kern w:val="2"/>
                <w:highlight w:val="none"/>
              </w:rPr>
              <w:t>六水硫酸镍</w:t>
            </w:r>
          </w:p>
        </w:tc>
        <w:tc>
          <w:tcPr>
            <w:tcW w:w="1433" w:type="pct"/>
            <w:vAlign w:val="center"/>
          </w:tcPr>
          <w:p w14:paraId="3578B8C2">
            <w:pPr>
              <w:pStyle w:val="75"/>
              <w:rPr>
                <w:bCs/>
                <w:kern w:val="2"/>
                <w:highlight w:val="none"/>
              </w:rPr>
            </w:pPr>
            <w:r>
              <w:rPr>
                <w:bCs/>
                <w:kern w:val="2"/>
                <w:highlight w:val="none"/>
              </w:rPr>
              <w:t>95%</w:t>
            </w:r>
          </w:p>
        </w:tc>
        <w:tc>
          <w:tcPr>
            <w:tcW w:w="554" w:type="pct"/>
            <w:vAlign w:val="center"/>
          </w:tcPr>
          <w:p w14:paraId="5E620B6B">
            <w:pPr>
              <w:pStyle w:val="75"/>
              <w:rPr>
                <w:rFonts w:hint="default" w:eastAsia="宋体"/>
                <w:bCs/>
                <w:kern w:val="2"/>
                <w:highlight w:val="none"/>
                <w:lang w:val="en-US" w:eastAsia="zh-CN"/>
              </w:rPr>
            </w:pPr>
            <w:r>
              <w:rPr>
                <w:rFonts w:hint="eastAsia"/>
                <w:bCs/>
                <w:kern w:val="2"/>
                <w:highlight w:val="none"/>
                <w:lang w:val="en-US" w:eastAsia="zh-CN"/>
              </w:rPr>
              <w:t>20.2</w:t>
            </w:r>
          </w:p>
        </w:tc>
        <w:tc>
          <w:tcPr>
            <w:tcW w:w="490" w:type="pct"/>
            <w:vAlign w:val="center"/>
          </w:tcPr>
          <w:p w14:paraId="42C2A046">
            <w:pPr>
              <w:pStyle w:val="75"/>
              <w:rPr>
                <w:bCs/>
                <w:kern w:val="2"/>
                <w:highlight w:val="none"/>
              </w:rPr>
            </w:pPr>
            <w:r>
              <w:rPr>
                <w:rFonts w:hint="eastAsia"/>
                <w:bCs/>
                <w:kern w:val="2"/>
                <w:highlight w:val="none"/>
              </w:rPr>
              <w:t>1.5</w:t>
            </w:r>
          </w:p>
        </w:tc>
        <w:tc>
          <w:tcPr>
            <w:tcW w:w="637" w:type="pct"/>
            <w:vAlign w:val="center"/>
          </w:tcPr>
          <w:p w14:paraId="5F60B9BE">
            <w:pPr>
              <w:pStyle w:val="75"/>
              <w:rPr>
                <w:bCs/>
                <w:kern w:val="2"/>
                <w:highlight w:val="none"/>
              </w:rPr>
            </w:pPr>
            <w:r>
              <w:rPr>
                <w:bCs/>
                <w:kern w:val="2"/>
                <w:highlight w:val="none"/>
              </w:rPr>
              <w:t>25kg/袋</w:t>
            </w:r>
          </w:p>
        </w:tc>
        <w:tc>
          <w:tcPr>
            <w:tcW w:w="367" w:type="pct"/>
            <w:vMerge w:val="continue"/>
            <w:vAlign w:val="center"/>
          </w:tcPr>
          <w:p w14:paraId="0675861D">
            <w:pPr>
              <w:pStyle w:val="75"/>
              <w:rPr>
                <w:bCs/>
                <w:kern w:val="2"/>
                <w:highlight w:val="none"/>
              </w:rPr>
            </w:pPr>
          </w:p>
        </w:tc>
      </w:tr>
      <w:tr w14:paraId="449A4A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9900F9F">
            <w:pPr>
              <w:widowControl/>
              <w:spacing w:line="240" w:lineRule="auto"/>
              <w:ind w:firstLine="0" w:firstLineChars="0"/>
              <w:jc w:val="center"/>
              <w:rPr>
                <w:bCs/>
                <w:kern w:val="2"/>
                <w:sz w:val="21"/>
                <w:szCs w:val="21"/>
                <w:highlight w:val="none"/>
              </w:rPr>
            </w:pPr>
          </w:p>
        </w:tc>
        <w:tc>
          <w:tcPr>
            <w:tcW w:w="376" w:type="pct"/>
            <w:vMerge w:val="continue"/>
            <w:vAlign w:val="center"/>
          </w:tcPr>
          <w:p w14:paraId="111A9FDE">
            <w:pPr>
              <w:pStyle w:val="75"/>
              <w:rPr>
                <w:bCs/>
                <w:kern w:val="2"/>
                <w:highlight w:val="none"/>
              </w:rPr>
            </w:pPr>
          </w:p>
        </w:tc>
        <w:tc>
          <w:tcPr>
            <w:tcW w:w="756" w:type="pct"/>
            <w:vAlign w:val="center"/>
          </w:tcPr>
          <w:p w14:paraId="12FACDE8">
            <w:pPr>
              <w:pStyle w:val="75"/>
              <w:rPr>
                <w:bCs/>
                <w:kern w:val="2"/>
                <w:highlight w:val="none"/>
              </w:rPr>
            </w:pPr>
            <w:r>
              <w:rPr>
                <w:rFonts w:hint="eastAsia"/>
                <w:bCs/>
                <w:kern w:val="2"/>
                <w:highlight w:val="none"/>
              </w:rPr>
              <w:t>六水氯化镍</w:t>
            </w:r>
          </w:p>
        </w:tc>
        <w:tc>
          <w:tcPr>
            <w:tcW w:w="1433" w:type="pct"/>
            <w:vAlign w:val="center"/>
          </w:tcPr>
          <w:p w14:paraId="4F6B97D2">
            <w:pPr>
              <w:pStyle w:val="75"/>
              <w:rPr>
                <w:bCs/>
                <w:kern w:val="2"/>
                <w:highlight w:val="none"/>
              </w:rPr>
            </w:pPr>
            <w:r>
              <w:rPr>
                <w:bCs/>
                <w:kern w:val="2"/>
                <w:highlight w:val="none"/>
              </w:rPr>
              <w:t>95%</w:t>
            </w:r>
          </w:p>
        </w:tc>
        <w:tc>
          <w:tcPr>
            <w:tcW w:w="554" w:type="pct"/>
            <w:vAlign w:val="center"/>
          </w:tcPr>
          <w:p w14:paraId="271DE4EB">
            <w:pPr>
              <w:pStyle w:val="75"/>
              <w:rPr>
                <w:rFonts w:hint="default" w:eastAsia="宋体"/>
                <w:bCs/>
                <w:kern w:val="2"/>
                <w:highlight w:val="none"/>
                <w:lang w:val="en-US" w:eastAsia="zh-CN"/>
              </w:rPr>
            </w:pPr>
            <w:r>
              <w:rPr>
                <w:rFonts w:hint="eastAsia"/>
                <w:bCs/>
                <w:kern w:val="2"/>
                <w:highlight w:val="none"/>
                <w:lang w:val="en-US" w:eastAsia="zh-CN"/>
              </w:rPr>
              <w:t>6.7</w:t>
            </w:r>
          </w:p>
        </w:tc>
        <w:tc>
          <w:tcPr>
            <w:tcW w:w="490" w:type="pct"/>
            <w:vAlign w:val="center"/>
          </w:tcPr>
          <w:p w14:paraId="473E2529">
            <w:pPr>
              <w:pStyle w:val="75"/>
              <w:rPr>
                <w:bCs/>
                <w:kern w:val="2"/>
                <w:highlight w:val="none"/>
              </w:rPr>
            </w:pPr>
            <w:r>
              <w:rPr>
                <w:rFonts w:hint="eastAsia"/>
                <w:bCs/>
                <w:kern w:val="2"/>
                <w:highlight w:val="none"/>
              </w:rPr>
              <w:t>0.4</w:t>
            </w:r>
          </w:p>
        </w:tc>
        <w:tc>
          <w:tcPr>
            <w:tcW w:w="637" w:type="pct"/>
            <w:vAlign w:val="center"/>
          </w:tcPr>
          <w:p w14:paraId="13387275">
            <w:pPr>
              <w:pStyle w:val="75"/>
              <w:rPr>
                <w:bCs/>
                <w:kern w:val="2"/>
                <w:highlight w:val="none"/>
              </w:rPr>
            </w:pPr>
            <w:r>
              <w:rPr>
                <w:bCs/>
                <w:kern w:val="2"/>
                <w:highlight w:val="none"/>
              </w:rPr>
              <w:t>25kg/袋</w:t>
            </w:r>
          </w:p>
        </w:tc>
        <w:tc>
          <w:tcPr>
            <w:tcW w:w="367" w:type="pct"/>
            <w:vMerge w:val="continue"/>
            <w:vAlign w:val="center"/>
          </w:tcPr>
          <w:p w14:paraId="48C6EB68">
            <w:pPr>
              <w:pStyle w:val="75"/>
              <w:rPr>
                <w:bCs/>
                <w:kern w:val="2"/>
                <w:highlight w:val="none"/>
              </w:rPr>
            </w:pPr>
          </w:p>
        </w:tc>
      </w:tr>
      <w:tr w14:paraId="4B6A04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6A08A4B">
            <w:pPr>
              <w:widowControl/>
              <w:spacing w:line="240" w:lineRule="auto"/>
              <w:ind w:firstLine="0" w:firstLineChars="0"/>
              <w:jc w:val="center"/>
              <w:rPr>
                <w:bCs/>
                <w:kern w:val="2"/>
                <w:sz w:val="21"/>
                <w:szCs w:val="21"/>
                <w:highlight w:val="none"/>
              </w:rPr>
            </w:pPr>
          </w:p>
        </w:tc>
        <w:tc>
          <w:tcPr>
            <w:tcW w:w="376" w:type="pct"/>
            <w:vMerge w:val="continue"/>
            <w:vAlign w:val="center"/>
          </w:tcPr>
          <w:p w14:paraId="5ED867AB">
            <w:pPr>
              <w:pStyle w:val="75"/>
              <w:rPr>
                <w:bCs/>
                <w:kern w:val="2"/>
                <w:highlight w:val="none"/>
              </w:rPr>
            </w:pPr>
          </w:p>
        </w:tc>
        <w:tc>
          <w:tcPr>
            <w:tcW w:w="756" w:type="pct"/>
            <w:vAlign w:val="center"/>
          </w:tcPr>
          <w:p w14:paraId="53BD3442">
            <w:pPr>
              <w:pStyle w:val="75"/>
              <w:rPr>
                <w:bCs/>
                <w:kern w:val="2"/>
                <w:highlight w:val="none"/>
              </w:rPr>
            </w:pPr>
            <w:r>
              <w:rPr>
                <w:rFonts w:hint="eastAsia"/>
                <w:bCs/>
                <w:kern w:val="2"/>
                <w:highlight w:val="none"/>
              </w:rPr>
              <w:t>硼酸</w:t>
            </w:r>
          </w:p>
        </w:tc>
        <w:tc>
          <w:tcPr>
            <w:tcW w:w="1433" w:type="pct"/>
            <w:vAlign w:val="center"/>
          </w:tcPr>
          <w:p w14:paraId="39B3FE7F">
            <w:pPr>
              <w:pStyle w:val="75"/>
              <w:rPr>
                <w:bCs/>
                <w:kern w:val="2"/>
                <w:highlight w:val="none"/>
              </w:rPr>
            </w:pPr>
            <w:r>
              <w:rPr>
                <w:bCs/>
                <w:kern w:val="2"/>
                <w:highlight w:val="none"/>
              </w:rPr>
              <w:t>99%</w:t>
            </w:r>
          </w:p>
        </w:tc>
        <w:tc>
          <w:tcPr>
            <w:tcW w:w="554" w:type="pct"/>
            <w:vAlign w:val="center"/>
          </w:tcPr>
          <w:p w14:paraId="05A90477">
            <w:pPr>
              <w:pStyle w:val="75"/>
              <w:rPr>
                <w:bCs/>
                <w:kern w:val="2"/>
                <w:highlight w:val="none"/>
              </w:rPr>
            </w:pPr>
            <w:r>
              <w:rPr>
                <w:rFonts w:hint="eastAsia"/>
                <w:bCs/>
                <w:kern w:val="2"/>
                <w:highlight w:val="none"/>
              </w:rPr>
              <w:t>4</w:t>
            </w:r>
          </w:p>
        </w:tc>
        <w:tc>
          <w:tcPr>
            <w:tcW w:w="490" w:type="pct"/>
            <w:vAlign w:val="center"/>
          </w:tcPr>
          <w:p w14:paraId="79713348">
            <w:pPr>
              <w:pStyle w:val="75"/>
              <w:rPr>
                <w:bCs/>
                <w:kern w:val="2"/>
                <w:highlight w:val="none"/>
              </w:rPr>
            </w:pPr>
            <w:r>
              <w:rPr>
                <w:rFonts w:hint="eastAsia"/>
                <w:bCs/>
                <w:kern w:val="2"/>
                <w:highlight w:val="none"/>
              </w:rPr>
              <w:t>0.1</w:t>
            </w:r>
          </w:p>
        </w:tc>
        <w:tc>
          <w:tcPr>
            <w:tcW w:w="637" w:type="pct"/>
            <w:vAlign w:val="center"/>
          </w:tcPr>
          <w:p w14:paraId="71785C62">
            <w:pPr>
              <w:pStyle w:val="75"/>
              <w:rPr>
                <w:bCs/>
                <w:kern w:val="2"/>
                <w:highlight w:val="none"/>
              </w:rPr>
            </w:pPr>
            <w:r>
              <w:rPr>
                <w:bCs/>
                <w:kern w:val="2"/>
                <w:highlight w:val="none"/>
              </w:rPr>
              <w:t>25kg/袋</w:t>
            </w:r>
          </w:p>
        </w:tc>
        <w:tc>
          <w:tcPr>
            <w:tcW w:w="367" w:type="pct"/>
            <w:vMerge w:val="continue"/>
            <w:vAlign w:val="center"/>
          </w:tcPr>
          <w:p w14:paraId="46749351">
            <w:pPr>
              <w:pStyle w:val="75"/>
              <w:rPr>
                <w:bCs/>
                <w:kern w:val="2"/>
                <w:highlight w:val="none"/>
              </w:rPr>
            </w:pPr>
          </w:p>
        </w:tc>
      </w:tr>
      <w:tr w14:paraId="7D1042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986179A">
            <w:pPr>
              <w:widowControl/>
              <w:spacing w:line="240" w:lineRule="auto"/>
              <w:ind w:firstLine="0" w:firstLineChars="0"/>
              <w:jc w:val="center"/>
              <w:rPr>
                <w:bCs/>
                <w:kern w:val="2"/>
                <w:sz w:val="21"/>
                <w:szCs w:val="21"/>
                <w:highlight w:val="none"/>
              </w:rPr>
            </w:pPr>
          </w:p>
        </w:tc>
        <w:tc>
          <w:tcPr>
            <w:tcW w:w="376" w:type="pct"/>
            <w:vMerge w:val="restart"/>
            <w:vAlign w:val="center"/>
          </w:tcPr>
          <w:p w14:paraId="623EEAB7">
            <w:pPr>
              <w:pStyle w:val="75"/>
              <w:rPr>
                <w:bCs/>
                <w:kern w:val="2"/>
                <w:highlight w:val="none"/>
              </w:rPr>
            </w:pPr>
            <w:r>
              <w:rPr>
                <w:rFonts w:hint="eastAsia"/>
                <w:bCs/>
                <w:kern w:val="2"/>
                <w:highlight w:val="none"/>
              </w:rPr>
              <w:t>亮镍</w:t>
            </w:r>
          </w:p>
        </w:tc>
        <w:tc>
          <w:tcPr>
            <w:tcW w:w="756" w:type="pct"/>
            <w:vAlign w:val="center"/>
          </w:tcPr>
          <w:p w14:paraId="6027E3B1">
            <w:pPr>
              <w:pStyle w:val="75"/>
              <w:rPr>
                <w:bCs/>
                <w:kern w:val="21"/>
                <w:highlight w:val="none"/>
              </w:rPr>
            </w:pPr>
            <w:r>
              <w:rPr>
                <w:rFonts w:hint="eastAsia"/>
                <w:bCs/>
                <w:kern w:val="2"/>
                <w:highlight w:val="none"/>
              </w:rPr>
              <w:t>镍板</w:t>
            </w:r>
          </w:p>
        </w:tc>
        <w:tc>
          <w:tcPr>
            <w:tcW w:w="1433" w:type="pct"/>
            <w:vAlign w:val="center"/>
          </w:tcPr>
          <w:p w14:paraId="0BC174F6">
            <w:pPr>
              <w:pStyle w:val="75"/>
              <w:rPr>
                <w:bCs/>
                <w:kern w:val="2"/>
                <w:highlight w:val="none"/>
              </w:rPr>
            </w:pPr>
            <w:r>
              <w:rPr>
                <w:rFonts w:hint="eastAsia"/>
                <w:bCs/>
                <w:kern w:val="2"/>
                <w:highlight w:val="none"/>
              </w:rPr>
              <w:t>99.9%</w:t>
            </w:r>
          </w:p>
        </w:tc>
        <w:tc>
          <w:tcPr>
            <w:tcW w:w="554" w:type="pct"/>
            <w:vAlign w:val="center"/>
          </w:tcPr>
          <w:p w14:paraId="202C1387">
            <w:pPr>
              <w:pStyle w:val="75"/>
              <w:rPr>
                <w:bCs/>
                <w:kern w:val="2"/>
                <w:highlight w:val="none"/>
              </w:rPr>
            </w:pPr>
            <w:r>
              <w:rPr>
                <w:rFonts w:hint="eastAsia"/>
                <w:bCs/>
                <w:kern w:val="2"/>
                <w:highlight w:val="none"/>
              </w:rPr>
              <w:t>42.5</w:t>
            </w:r>
          </w:p>
        </w:tc>
        <w:tc>
          <w:tcPr>
            <w:tcW w:w="490" w:type="pct"/>
            <w:vAlign w:val="center"/>
          </w:tcPr>
          <w:p w14:paraId="47834F82">
            <w:pPr>
              <w:pStyle w:val="75"/>
              <w:rPr>
                <w:bCs/>
                <w:kern w:val="2"/>
                <w:highlight w:val="none"/>
              </w:rPr>
            </w:pPr>
            <w:r>
              <w:rPr>
                <w:rFonts w:hint="eastAsia"/>
                <w:bCs/>
                <w:kern w:val="2"/>
                <w:highlight w:val="none"/>
              </w:rPr>
              <w:t>1</w:t>
            </w:r>
          </w:p>
        </w:tc>
        <w:tc>
          <w:tcPr>
            <w:tcW w:w="637" w:type="pct"/>
            <w:vAlign w:val="center"/>
          </w:tcPr>
          <w:p w14:paraId="4B59067A">
            <w:pPr>
              <w:pStyle w:val="75"/>
              <w:rPr>
                <w:bCs/>
                <w:kern w:val="2"/>
                <w:highlight w:val="none"/>
              </w:rPr>
            </w:pPr>
            <w:r>
              <w:rPr>
                <w:rFonts w:hint="eastAsia"/>
                <w:bCs/>
                <w:kern w:val="2"/>
                <w:highlight w:val="none"/>
              </w:rPr>
              <w:t>5kg/块</w:t>
            </w:r>
          </w:p>
        </w:tc>
        <w:tc>
          <w:tcPr>
            <w:tcW w:w="367" w:type="pct"/>
            <w:vMerge w:val="continue"/>
            <w:vAlign w:val="center"/>
          </w:tcPr>
          <w:p w14:paraId="25241F4F">
            <w:pPr>
              <w:pStyle w:val="75"/>
              <w:rPr>
                <w:bCs/>
                <w:kern w:val="2"/>
                <w:highlight w:val="none"/>
              </w:rPr>
            </w:pPr>
          </w:p>
        </w:tc>
      </w:tr>
      <w:tr w14:paraId="3ABB10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6DC25306">
            <w:pPr>
              <w:widowControl/>
              <w:spacing w:line="240" w:lineRule="auto"/>
              <w:ind w:firstLine="0" w:firstLineChars="0"/>
              <w:jc w:val="center"/>
              <w:rPr>
                <w:bCs/>
                <w:kern w:val="2"/>
                <w:sz w:val="21"/>
                <w:szCs w:val="21"/>
                <w:highlight w:val="none"/>
              </w:rPr>
            </w:pPr>
          </w:p>
        </w:tc>
        <w:tc>
          <w:tcPr>
            <w:tcW w:w="376" w:type="pct"/>
            <w:vMerge w:val="continue"/>
            <w:vAlign w:val="center"/>
          </w:tcPr>
          <w:p w14:paraId="33F0D88A">
            <w:pPr>
              <w:pStyle w:val="75"/>
              <w:rPr>
                <w:bCs/>
                <w:kern w:val="2"/>
                <w:highlight w:val="none"/>
              </w:rPr>
            </w:pPr>
          </w:p>
        </w:tc>
        <w:tc>
          <w:tcPr>
            <w:tcW w:w="756" w:type="pct"/>
            <w:vAlign w:val="center"/>
          </w:tcPr>
          <w:p w14:paraId="0960F936">
            <w:pPr>
              <w:pStyle w:val="75"/>
              <w:rPr>
                <w:bCs/>
                <w:kern w:val="21"/>
                <w:highlight w:val="none"/>
              </w:rPr>
            </w:pPr>
            <w:r>
              <w:rPr>
                <w:rFonts w:hint="eastAsia"/>
                <w:bCs/>
                <w:kern w:val="2"/>
                <w:highlight w:val="none"/>
              </w:rPr>
              <w:t>六水硫酸镍</w:t>
            </w:r>
          </w:p>
        </w:tc>
        <w:tc>
          <w:tcPr>
            <w:tcW w:w="1433" w:type="pct"/>
            <w:vAlign w:val="center"/>
          </w:tcPr>
          <w:p w14:paraId="3B572522">
            <w:pPr>
              <w:pStyle w:val="75"/>
              <w:rPr>
                <w:bCs/>
                <w:kern w:val="2"/>
                <w:highlight w:val="none"/>
              </w:rPr>
            </w:pPr>
            <w:r>
              <w:rPr>
                <w:bCs/>
                <w:kern w:val="2"/>
                <w:highlight w:val="none"/>
              </w:rPr>
              <w:t>95%</w:t>
            </w:r>
          </w:p>
        </w:tc>
        <w:tc>
          <w:tcPr>
            <w:tcW w:w="554" w:type="pct"/>
            <w:vAlign w:val="center"/>
          </w:tcPr>
          <w:p w14:paraId="13F74711">
            <w:pPr>
              <w:pStyle w:val="75"/>
              <w:rPr>
                <w:bCs/>
                <w:kern w:val="2"/>
                <w:highlight w:val="none"/>
              </w:rPr>
            </w:pPr>
            <w:r>
              <w:rPr>
                <w:rFonts w:hint="eastAsia"/>
                <w:bCs/>
                <w:kern w:val="2"/>
                <w:highlight w:val="none"/>
              </w:rPr>
              <w:t>6.7</w:t>
            </w:r>
          </w:p>
        </w:tc>
        <w:tc>
          <w:tcPr>
            <w:tcW w:w="490" w:type="pct"/>
            <w:vAlign w:val="center"/>
          </w:tcPr>
          <w:p w14:paraId="6D44E393">
            <w:pPr>
              <w:pStyle w:val="75"/>
              <w:rPr>
                <w:bCs/>
                <w:kern w:val="2"/>
                <w:highlight w:val="none"/>
              </w:rPr>
            </w:pPr>
            <w:r>
              <w:rPr>
                <w:rFonts w:hint="eastAsia"/>
                <w:bCs/>
                <w:kern w:val="2"/>
                <w:highlight w:val="none"/>
              </w:rPr>
              <w:t>1</w:t>
            </w:r>
          </w:p>
        </w:tc>
        <w:tc>
          <w:tcPr>
            <w:tcW w:w="637" w:type="pct"/>
            <w:vAlign w:val="center"/>
          </w:tcPr>
          <w:p w14:paraId="23AE1671">
            <w:pPr>
              <w:pStyle w:val="75"/>
              <w:rPr>
                <w:bCs/>
                <w:kern w:val="2"/>
                <w:highlight w:val="none"/>
              </w:rPr>
            </w:pPr>
            <w:r>
              <w:rPr>
                <w:bCs/>
                <w:kern w:val="2"/>
                <w:highlight w:val="none"/>
              </w:rPr>
              <w:t>25kg/袋</w:t>
            </w:r>
          </w:p>
        </w:tc>
        <w:tc>
          <w:tcPr>
            <w:tcW w:w="367" w:type="pct"/>
            <w:vMerge w:val="continue"/>
            <w:vAlign w:val="center"/>
          </w:tcPr>
          <w:p w14:paraId="172A3AE3">
            <w:pPr>
              <w:pStyle w:val="75"/>
              <w:rPr>
                <w:bCs/>
                <w:kern w:val="2"/>
                <w:highlight w:val="none"/>
              </w:rPr>
            </w:pPr>
          </w:p>
        </w:tc>
      </w:tr>
      <w:tr w14:paraId="7CF6A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1E99E636">
            <w:pPr>
              <w:widowControl/>
              <w:spacing w:line="240" w:lineRule="auto"/>
              <w:ind w:firstLine="0" w:firstLineChars="0"/>
              <w:jc w:val="center"/>
              <w:rPr>
                <w:bCs/>
                <w:kern w:val="2"/>
                <w:sz w:val="21"/>
                <w:szCs w:val="21"/>
                <w:highlight w:val="none"/>
              </w:rPr>
            </w:pPr>
          </w:p>
        </w:tc>
        <w:tc>
          <w:tcPr>
            <w:tcW w:w="376" w:type="pct"/>
            <w:vMerge w:val="continue"/>
            <w:vAlign w:val="center"/>
          </w:tcPr>
          <w:p w14:paraId="1EE4F7DD">
            <w:pPr>
              <w:pStyle w:val="75"/>
              <w:rPr>
                <w:bCs/>
                <w:kern w:val="2"/>
                <w:highlight w:val="none"/>
              </w:rPr>
            </w:pPr>
          </w:p>
        </w:tc>
        <w:tc>
          <w:tcPr>
            <w:tcW w:w="756" w:type="pct"/>
            <w:vAlign w:val="center"/>
          </w:tcPr>
          <w:p w14:paraId="71B55E69">
            <w:pPr>
              <w:pStyle w:val="75"/>
              <w:rPr>
                <w:bCs/>
                <w:kern w:val="21"/>
                <w:highlight w:val="none"/>
              </w:rPr>
            </w:pPr>
            <w:r>
              <w:rPr>
                <w:rFonts w:hint="eastAsia"/>
                <w:bCs/>
                <w:kern w:val="2"/>
                <w:highlight w:val="none"/>
              </w:rPr>
              <w:t>六水氯化镍</w:t>
            </w:r>
          </w:p>
        </w:tc>
        <w:tc>
          <w:tcPr>
            <w:tcW w:w="1433" w:type="pct"/>
            <w:vAlign w:val="center"/>
          </w:tcPr>
          <w:p w14:paraId="4F8E6B16">
            <w:pPr>
              <w:pStyle w:val="75"/>
              <w:rPr>
                <w:bCs/>
                <w:kern w:val="2"/>
                <w:highlight w:val="none"/>
              </w:rPr>
            </w:pPr>
            <w:r>
              <w:rPr>
                <w:bCs/>
                <w:kern w:val="2"/>
                <w:highlight w:val="none"/>
              </w:rPr>
              <w:t>95%</w:t>
            </w:r>
          </w:p>
        </w:tc>
        <w:tc>
          <w:tcPr>
            <w:tcW w:w="554" w:type="pct"/>
            <w:vAlign w:val="center"/>
          </w:tcPr>
          <w:p w14:paraId="4ECEE3D6">
            <w:pPr>
              <w:pStyle w:val="75"/>
              <w:rPr>
                <w:bCs/>
                <w:kern w:val="2"/>
                <w:highlight w:val="none"/>
              </w:rPr>
            </w:pPr>
            <w:r>
              <w:rPr>
                <w:rFonts w:hint="eastAsia"/>
                <w:bCs/>
                <w:kern w:val="2"/>
                <w:highlight w:val="none"/>
              </w:rPr>
              <w:t>2.2</w:t>
            </w:r>
          </w:p>
        </w:tc>
        <w:tc>
          <w:tcPr>
            <w:tcW w:w="490" w:type="pct"/>
            <w:vAlign w:val="center"/>
          </w:tcPr>
          <w:p w14:paraId="603BCA2F">
            <w:pPr>
              <w:pStyle w:val="75"/>
              <w:rPr>
                <w:bCs/>
                <w:kern w:val="2"/>
                <w:highlight w:val="none"/>
              </w:rPr>
            </w:pPr>
            <w:r>
              <w:rPr>
                <w:rFonts w:hint="eastAsia"/>
                <w:bCs/>
                <w:kern w:val="2"/>
                <w:highlight w:val="none"/>
              </w:rPr>
              <w:t>0.3</w:t>
            </w:r>
          </w:p>
        </w:tc>
        <w:tc>
          <w:tcPr>
            <w:tcW w:w="637" w:type="pct"/>
            <w:vAlign w:val="center"/>
          </w:tcPr>
          <w:p w14:paraId="1D89B559">
            <w:pPr>
              <w:pStyle w:val="75"/>
              <w:rPr>
                <w:bCs/>
                <w:kern w:val="2"/>
                <w:highlight w:val="none"/>
              </w:rPr>
            </w:pPr>
            <w:r>
              <w:rPr>
                <w:bCs/>
                <w:kern w:val="2"/>
                <w:highlight w:val="none"/>
              </w:rPr>
              <w:t>25kg/袋</w:t>
            </w:r>
          </w:p>
        </w:tc>
        <w:tc>
          <w:tcPr>
            <w:tcW w:w="367" w:type="pct"/>
            <w:vMerge w:val="continue"/>
            <w:vAlign w:val="center"/>
          </w:tcPr>
          <w:p w14:paraId="4C5F9872">
            <w:pPr>
              <w:pStyle w:val="75"/>
              <w:rPr>
                <w:bCs/>
                <w:kern w:val="2"/>
                <w:highlight w:val="none"/>
              </w:rPr>
            </w:pPr>
          </w:p>
        </w:tc>
      </w:tr>
      <w:tr w14:paraId="06670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2AE4FA1B">
            <w:pPr>
              <w:widowControl/>
              <w:spacing w:line="240" w:lineRule="auto"/>
              <w:ind w:firstLine="0" w:firstLineChars="0"/>
              <w:jc w:val="center"/>
              <w:rPr>
                <w:bCs/>
                <w:kern w:val="2"/>
                <w:sz w:val="21"/>
                <w:szCs w:val="21"/>
                <w:highlight w:val="none"/>
              </w:rPr>
            </w:pPr>
          </w:p>
        </w:tc>
        <w:tc>
          <w:tcPr>
            <w:tcW w:w="376" w:type="pct"/>
            <w:vMerge w:val="continue"/>
            <w:vAlign w:val="center"/>
          </w:tcPr>
          <w:p w14:paraId="3E94BFA1">
            <w:pPr>
              <w:pStyle w:val="75"/>
              <w:rPr>
                <w:bCs/>
                <w:kern w:val="2"/>
                <w:highlight w:val="none"/>
              </w:rPr>
            </w:pPr>
          </w:p>
        </w:tc>
        <w:tc>
          <w:tcPr>
            <w:tcW w:w="756" w:type="pct"/>
            <w:vAlign w:val="center"/>
          </w:tcPr>
          <w:p w14:paraId="26D6F368">
            <w:pPr>
              <w:pStyle w:val="75"/>
              <w:rPr>
                <w:bCs/>
                <w:kern w:val="21"/>
                <w:highlight w:val="none"/>
              </w:rPr>
            </w:pPr>
            <w:r>
              <w:rPr>
                <w:rFonts w:hint="eastAsia"/>
                <w:bCs/>
                <w:kern w:val="2"/>
                <w:highlight w:val="none"/>
              </w:rPr>
              <w:t>硼酸</w:t>
            </w:r>
          </w:p>
        </w:tc>
        <w:tc>
          <w:tcPr>
            <w:tcW w:w="1433" w:type="pct"/>
            <w:vAlign w:val="center"/>
          </w:tcPr>
          <w:p w14:paraId="0DD3018E">
            <w:pPr>
              <w:pStyle w:val="75"/>
              <w:rPr>
                <w:bCs/>
                <w:kern w:val="2"/>
                <w:highlight w:val="none"/>
              </w:rPr>
            </w:pPr>
            <w:r>
              <w:rPr>
                <w:bCs/>
                <w:kern w:val="2"/>
                <w:highlight w:val="none"/>
              </w:rPr>
              <w:t>99%</w:t>
            </w:r>
          </w:p>
        </w:tc>
        <w:tc>
          <w:tcPr>
            <w:tcW w:w="554" w:type="pct"/>
            <w:vAlign w:val="center"/>
          </w:tcPr>
          <w:p w14:paraId="7906949C">
            <w:pPr>
              <w:pStyle w:val="75"/>
              <w:rPr>
                <w:bCs/>
                <w:kern w:val="2"/>
                <w:highlight w:val="none"/>
              </w:rPr>
            </w:pPr>
            <w:r>
              <w:rPr>
                <w:rFonts w:hint="eastAsia"/>
                <w:bCs/>
                <w:kern w:val="2"/>
                <w:highlight w:val="none"/>
              </w:rPr>
              <w:t>1.4</w:t>
            </w:r>
          </w:p>
        </w:tc>
        <w:tc>
          <w:tcPr>
            <w:tcW w:w="490" w:type="pct"/>
            <w:vAlign w:val="center"/>
          </w:tcPr>
          <w:p w14:paraId="6E01D567">
            <w:pPr>
              <w:pStyle w:val="75"/>
              <w:rPr>
                <w:bCs/>
                <w:kern w:val="2"/>
                <w:highlight w:val="none"/>
              </w:rPr>
            </w:pPr>
            <w:r>
              <w:rPr>
                <w:rFonts w:hint="eastAsia"/>
                <w:bCs/>
                <w:kern w:val="2"/>
                <w:highlight w:val="none"/>
              </w:rPr>
              <w:t>0.1</w:t>
            </w:r>
          </w:p>
        </w:tc>
        <w:tc>
          <w:tcPr>
            <w:tcW w:w="637" w:type="pct"/>
            <w:vAlign w:val="center"/>
          </w:tcPr>
          <w:p w14:paraId="5A087DAA">
            <w:pPr>
              <w:pStyle w:val="75"/>
              <w:rPr>
                <w:bCs/>
                <w:kern w:val="2"/>
                <w:highlight w:val="none"/>
              </w:rPr>
            </w:pPr>
            <w:r>
              <w:rPr>
                <w:bCs/>
                <w:kern w:val="2"/>
                <w:highlight w:val="none"/>
              </w:rPr>
              <w:t>25kg/袋</w:t>
            </w:r>
          </w:p>
        </w:tc>
        <w:tc>
          <w:tcPr>
            <w:tcW w:w="367" w:type="pct"/>
            <w:vMerge w:val="continue"/>
            <w:vAlign w:val="center"/>
          </w:tcPr>
          <w:p w14:paraId="0F71645F">
            <w:pPr>
              <w:pStyle w:val="75"/>
              <w:rPr>
                <w:bCs/>
                <w:kern w:val="2"/>
                <w:highlight w:val="none"/>
              </w:rPr>
            </w:pPr>
          </w:p>
        </w:tc>
      </w:tr>
      <w:tr w14:paraId="54B5F1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AD81530">
            <w:pPr>
              <w:widowControl/>
              <w:spacing w:line="240" w:lineRule="auto"/>
              <w:ind w:firstLine="0" w:firstLineChars="0"/>
              <w:jc w:val="center"/>
              <w:rPr>
                <w:bCs/>
                <w:kern w:val="2"/>
                <w:sz w:val="21"/>
                <w:szCs w:val="21"/>
                <w:highlight w:val="none"/>
              </w:rPr>
            </w:pPr>
          </w:p>
        </w:tc>
        <w:tc>
          <w:tcPr>
            <w:tcW w:w="376" w:type="pct"/>
            <w:vMerge w:val="continue"/>
            <w:vAlign w:val="center"/>
          </w:tcPr>
          <w:p w14:paraId="73AB0270">
            <w:pPr>
              <w:pStyle w:val="75"/>
              <w:rPr>
                <w:bCs/>
                <w:kern w:val="2"/>
                <w:highlight w:val="none"/>
              </w:rPr>
            </w:pPr>
          </w:p>
        </w:tc>
        <w:tc>
          <w:tcPr>
            <w:tcW w:w="756" w:type="pct"/>
            <w:vAlign w:val="center"/>
          </w:tcPr>
          <w:p w14:paraId="48BD4EE3">
            <w:pPr>
              <w:pStyle w:val="75"/>
              <w:rPr>
                <w:bCs/>
                <w:kern w:val="21"/>
                <w:highlight w:val="none"/>
              </w:rPr>
            </w:pPr>
            <w:r>
              <w:rPr>
                <w:rFonts w:hint="eastAsia"/>
                <w:bCs/>
                <w:kern w:val="2"/>
                <w:highlight w:val="none"/>
              </w:rPr>
              <w:t>光亮剂</w:t>
            </w:r>
          </w:p>
        </w:tc>
        <w:tc>
          <w:tcPr>
            <w:tcW w:w="1433" w:type="pct"/>
            <w:vAlign w:val="center"/>
          </w:tcPr>
          <w:p w14:paraId="12350CAF">
            <w:pPr>
              <w:pStyle w:val="75"/>
              <w:jc w:val="left"/>
              <w:rPr>
                <w:bCs/>
                <w:kern w:val="2"/>
                <w:highlight w:val="none"/>
              </w:rPr>
            </w:pPr>
            <w:r>
              <w:rPr>
                <w:rFonts w:hint="eastAsia"/>
                <w:bCs/>
                <w:kern w:val="2"/>
                <w:highlight w:val="none"/>
              </w:rPr>
              <w:t>主要成分：丁炔二醇，糖精，丙烷磺酸吡啶嗡盐</w:t>
            </w:r>
          </w:p>
        </w:tc>
        <w:tc>
          <w:tcPr>
            <w:tcW w:w="554" w:type="pct"/>
            <w:vAlign w:val="center"/>
          </w:tcPr>
          <w:p w14:paraId="07652942">
            <w:pPr>
              <w:pStyle w:val="75"/>
              <w:rPr>
                <w:bCs/>
                <w:kern w:val="2"/>
                <w:highlight w:val="none"/>
              </w:rPr>
            </w:pPr>
            <w:r>
              <w:rPr>
                <w:rFonts w:hint="eastAsia"/>
                <w:kern w:val="2"/>
                <w:highlight w:val="none"/>
              </w:rPr>
              <w:t>11.2</w:t>
            </w:r>
            <w:r>
              <w:rPr>
                <w:kern w:val="2"/>
                <w:highlight w:val="none"/>
              </w:rPr>
              <w:t>kg/a</w:t>
            </w:r>
          </w:p>
        </w:tc>
        <w:tc>
          <w:tcPr>
            <w:tcW w:w="490" w:type="pct"/>
            <w:vAlign w:val="center"/>
          </w:tcPr>
          <w:p w14:paraId="11343638">
            <w:pPr>
              <w:pStyle w:val="75"/>
              <w:rPr>
                <w:bCs/>
                <w:kern w:val="2"/>
                <w:highlight w:val="none"/>
              </w:rPr>
            </w:pPr>
            <w:r>
              <w:rPr>
                <w:rFonts w:hint="eastAsia"/>
                <w:bCs/>
                <w:kern w:val="2"/>
                <w:highlight w:val="none"/>
              </w:rPr>
              <w:t>5.1</w:t>
            </w:r>
            <w:r>
              <w:rPr>
                <w:kern w:val="2"/>
                <w:highlight w:val="none"/>
              </w:rPr>
              <w:t>kg</w:t>
            </w:r>
          </w:p>
        </w:tc>
        <w:tc>
          <w:tcPr>
            <w:tcW w:w="637" w:type="pct"/>
            <w:vAlign w:val="center"/>
          </w:tcPr>
          <w:p w14:paraId="6F1708DF">
            <w:pPr>
              <w:pStyle w:val="75"/>
              <w:rPr>
                <w:bCs/>
                <w:kern w:val="2"/>
                <w:highlight w:val="none"/>
              </w:rPr>
            </w:pPr>
            <w:r>
              <w:rPr>
                <w:rFonts w:hint="eastAsia"/>
                <w:bCs/>
                <w:kern w:val="2"/>
                <w:highlight w:val="none"/>
              </w:rPr>
              <w:t>1</w:t>
            </w:r>
            <w:r>
              <w:rPr>
                <w:bCs/>
                <w:kern w:val="2"/>
                <w:highlight w:val="none"/>
              </w:rPr>
              <w:t>kg/</w:t>
            </w:r>
            <w:r>
              <w:rPr>
                <w:rFonts w:hint="eastAsia"/>
                <w:bCs/>
                <w:kern w:val="2"/>
                <w:highlight w:val="none"/>
              </w:rPr>
              <w:t>袋</w:t>
            </w:r>
          </w:p>
        </w:tc>
        <w:tc>
          <w:tcPr>
            <w:tcW w:w="367" w:type="pct"/>
            <w:vMerge w:val="continue"/>
            <w:vAlign w:val="center"/>
          </w:tcPr>
          <w:p w14:paraId="7F0E366F">
            <w:pPr>
              <w:pStyle w:val="75"/>
              <w:rPr>
                <w:bCs/>
                <w:kern w:val="2"/>
                <w:highlight w:val="none"/>
              </w:rPr>
            </w:pPr>
          </w:p>
        </w:tc>
      </w:tr>
      <w:tr w14:paraId="774D57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2782623D">
            <w:pPr>
              <w:widowControl/>
              <w:spacing w:line="240" w:lineRule="auto"/>
              <w:ind w:firstLine="0" w:firstLineChars="0"/>
              <w:jc w:val="center"/>
              <w:rPr>
                <w:bCs/>
                <w:kern w:val="2"/>
                <w:sz w:val="21"/>
                <w:szCs w:val="21"/>
                <w:highlight w:val="none"/>
              </w:rPr>
            </w:pPr>
          </w:p>
        </w:tc>
        <w:tc>
          <w:tcPr>
            <w:tcW w:w="376" w:type="pct"/>
            <w:vMerge w:val="continue"/>
            <w:vAlign w:val="center"/>
          </w:tcPr>
          <w:p w14:paraId="49077FCA">
            <w:pPr>
              <w:pStyle w:val="75"/>
              <w:rPr>
                <w:bCs/>
                <w:kern w:val="2"/>
                <w:highlight w:val="none"/>
              </w:rPr>
            </w:pPr>
          </w:p>
        </w:tc>
        <w:tc>
          <w:tcPr>
            <w:tcW w:w="756" w:type="pct"/>
            <w:vAlign w:val="center"/>
          </w:tcPr>
          <w:p w14:paraId="3D654512">
            <w:pPr>
              <w:pStyle w:val="75"/>
              <w:rPr>
                <w:bCs/>
                <w:kern w:val="21"/>
                <w:highlight w:val="none"/>
              </w:rPr>
            </w:pPr>
            <w:r>
              <w:rPr>
                <w:rFonts w:hint="eastAsia"/>
                <w:bCs/>
                <w:kern w:val="2"/>
                <w:highlight w:val="none"/>
              </w:rPr>
              <w:t>柔软剂</w:t>
            </w:r>
          </w:p>
        </w:tc>
        <w:tc>
          <w:tcPr>
            <w:tcW w:w="1433" w:type="pct"/>
            <w:vAlign w:val="center"/>
          </w:tcPr>
          <w:p w14:paraId="536137F4">
            <w:pPr>
              <w:pStyle w:val="75"/>
              <w:rPr>
                <w:bCs/>
                <w:kern w:val="2"/>
                <w:highlight w:val="none"/>
              </w:rPr>
            </w:pPr>
            <w:r>
              <w:rPr>
                <w:rFonts w:hint="eastAsia"/>
                <w:bCs/>
                <w:kern w:val="2"/>
                <w:highlight w:val="none"/>
              </w:rPr>
              <w:t>主要成分：糖精钠</w:t>
            </w:r>
          </w:p>
        </w:tc>
        <w:tc>
          <w:tcPr>
            <w:tcW w:w="554" w:type="pct"/>
            <w:vAlign w:val="center"/>
          </w:tcPr>
          <w:p w14:paraId="5F13149B">
            <w:pPr>
              <w:pStyle w:val="75"/>
              <w:rPr>
                <w:bCs/>
                <w:kern w:val="2"/>
                <w:highlight w:val="none"/>
              </w:rPr>
            </w:pPr>
            <w:r>
              <w:rPr>
                <w:rFonts w:hint="eastAsia"/>
                <w:kern w:val="2"/>
                <w:highlight w:val="none"/>
              </w:rPr>
              <w:t>200</w:t>
            </w:r>
            <w:r>
              <w:rPr>
                <w:kern w:val="2"/>
                <w:highlight w:val="none"/>
              </w:rPr>
              <w:t>g/a</w:t>
            </w:r>
          </w:p>
        </w:tc>
        <w:tc>
          <w:tcPr>
            <w:tcW w:w="490" w:type="pct"/>
            <w:vAlign w:val="center"/>
          </w:tcPr>
          <w:p w14:paraId="757078BD">
            <w:pPr>
              <w:pStyle w:val="75"/>
              <w:rPr>
                <w:bCs/>
                <w:kern w:val="2"/>
                <w:highlight w:val="none"/>
              </w:rPr>
            </w:pPr>
            <w:r>
              <w:rPr>
                <w:rFonts w:hint="eastAsia"/>
                <w:bCs/>
                <w:kern w:val="2"/>
                <w:highlight w:val="none"/>
              </w:rPr>
              <w:t>100</w:t>
            </w:r>
            <w:r>
              <w:rPr>
                <w:bCs/>
                <w:kern w:val="2"/>
                <w:highlight w:val="none"/>
              </w:rPr>
              <w:t>g</w:t>
            </w:r>
          </w:p>
        </w:tc>
        <w:tc>
          <w:tcPr>
            <w:tcW w:w="637" w:type="pct"/>
            <w:vAlign w:val="center"/>
          </w:tcPr>
          <w:p w14:paraId="6744C19E">
            <w:pPr>
              <w:pStyle w:val="75"/>
              <w:rPr>
                <w:bCs/>
                <w:kern w:val="2"/>
                <w:highlight w:val="none"/>
              </w:rPr>
            </w:pPr>
            <w:r>
              <w:rPr>
                <w:rFonts w:hint="eastAsia"/>
                <w:bCs/>
                <w:kern w:val="2"/>
                <w:highlight w:val="none"/>
              </w:rPr>
              <w:t>20</w:t>
            </w:r>
            <w:r>
              <w:rPr>
                <w:bCs/>
                <w:kern w:val="2"/>
                <w:highlight w:val="none"/>
              </w:rPr>
              <w:t>g/</w:t>
            </w:r>
            <w:r>
              <w:rPr>
                <w:rFonts w:hint="eastAsia"/>
                <w:bCs/>
                <w:kern w:val="2"/>
                <w:highlight w:val="none"/>
              </w:rPr>
              <w:t>袋</w:t>
            </w:r>
          </w:p>
        </w:tc>
        <w:tc>
          <w:tcPr>
            <w:tcW w:w="367" w:type="pct"/>
            <w:vMerge w:val="continue"/>
            <w:vAlign w:val="center"/>
          </w:tcPr>
          <w:p w14:paraId="0E12FC2C">
            <w:pPr>
              <w:pStyle w:val="75"/>
              <w:rPr>
                <w:bCs/>
                <w:kern w:val="2"/>
                <w:highlight w:val="none"/>
              </w:rPr>
            </w:pPr>
          </w:p>
        </w:tc>
      </w:tr>
      <w:tr w14:paraId="537C5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8860C89">
            <w:pPr>
              <w:widowControl/>
              <w:spacing w:line="240" w:lineRule="auto"/>
              <w:ind w:firstLine="0" w:firstLineChars="0"/>
              <w:jc w:val="center"/>
              <w:rPr>
                <w:bCs/>
                <w:kern w:val="2"/>
                <w:sz w:val="21"/>
                <w:szCs w:val="21"/>
                <w:highlight w:val="none"/>
              </w:rPr>
            </w:pPr>
          </w:p>
        </w:tc>
        <w:tc>
          <w:tcPr>
            <w:tcW w:w="376" w:type="pct"/>
            <w:vMerge w:val="restart"/>
            <w:vAlign w:val="center"/>
          </w:tcPr>
          <w:p w14:paraId="2154A59D">
            <w:pPr>
              <w:pStyle w:val="75"/>
              <w:rPr>
                <w:bCs/>
                <w:kern w:val="2"/>
                <w:highlight w:val="none"/>
              </w:rPr>
            </w:pPr>
            <w:r>
              <w:rPr>
                <w:rFonts w:hint="eastAsia"/>
                <w:bCs/>
                <w:kern w:val="2"/>
                <w:highlight w:val="none"/>
              </w:rPr>
              <w:t>漂白</w:t>
            </w:r>
          </w:p>
        </w:tc>
        <w:tc>
          <w:tcPr>
            <w:tcW w:w="756" w:type="pct"/>
            <w:vAlign w:val="center"/>
          </w:tcPr>
          <w:p w14:paraId="1146A4AE">
            <w:pPr>
              <w:pStyle w:val="75"/>
              <w:rPr>
                <w:bCs/>
                <w:kern w:val="21"/>
                <w:highlight w:val="none"/>
              </w:rPr>
            </w:pPr>
            <w:r>
              <w:rPr>
                <w:rFonts w:hint="eastAsia"/>
                <w:bCs/>
                <w:kern w:val="2"/>
                <w:highlight w:val="none"/>
              </w:rPr>
              <w:t>一水柠檬酸</w:t>
            </w:r>
          </w:p>
        </w:tc>
        <w:tc>
          <w:tcPr>
            <w:tcW w:w="1433" w:type="pct"/>
            <w:vAlign w:val="center"/>
          </w:tcPr>
          <w:p w14:paraId="1E589FEB">
            <w:pPr>
              <w:pStyle w:val="75"/>
              <w:rPr>
                <w:bCs/>
                <w:kern w:val="2"/>
                <w:highlight w:val="none"/>
              </w:rPr>
            </w:pPr>
            <w:r>
              <w:rPr>
                <w:rFonts w:hint="eastAsia"/>
                <w:bCs/>
                <w:kern w:val="2"/>
                <w:highlight w:val="none"/>
              </w:rPr>
              <w:t>/</w:t>
            </w:r>
          </w:p>
        </w:tc>
        <w:tc>
          <w:tcPr>
            <w:tcW w:w="554" w:type="pct"/>
            <w:vAlign w:val="center"/>
          </w:tcPr>
          <w:p w14:paraId="204135DD">
            <w:pPr>
              <w:pStyle w:val="75"/>
              <w:rPr>
                <w:rFonts w:hint="default" w:eastAsia="宋体"/>
                <w:bCs/>
                <w:kern w:val="2"/>
                <w:highlight w:val="none"/>
                <w:lang w:val="en-US" w:eastAsia="zh-CN"/>
              </w:rPr>
            </w:pPr>
            <w:r>
              <w:rPr>
                <w:rFonts w:hint="eastAsia"/>
                <w:bCs/>
                <w:kern w:val="2"/>
                <w:highlight w:val="none"/>
                <w:lang w:val="en-US" w:eastAsia="zh-CN"/>
              </w:rPr>
              <w:t>2.3</w:t>
            </w:r>
          </w:p>
        </w:tc>
        <w:tc>
          <w:tcPr>
            <w:tcW w:w="490" w:type="pct"/>
            <w:vAlign w:val="center"/>
          </w:tcPr>
          <w:p w14:paraId="7D782620">
            <w:pPr>
              <w:pStyle w:val="75"/>
              <w:rPr>
                <w:bCs/>
                <w:kern w:val="2"/>
                <w:highlight w:val="none"/>
              </w:rPr>
            </w:pPr>
            <w:r>
              <w:rPr>
                <w:rFonts w:hint="eastAsia"/>
                <w:bCs/>
                <w:kern w:val="2"/>
                <w:highlight w:val="none"/>
              </w:rPr>
              <w:t>0.1</w:t>
            </w:r>
          </w:p>
        </w:tc>
        <w:tc>
          <w:tcPr>
            <w:tcW w:w="637" w:type="pct"/>
            <w:vAlign w:val="center"/>
          </w:tcPr>
          <w:p w14:paraId="4C286F4F">
            <w:pPr>
              <w:pStyle w:val="75"/>
              <w:rPr>
                <w:bCs/>
                <w:kern w:val="2"/>
                <w:highlight w:val="none"/>
              </w:rPr>
            </w:pPr>
            <w:r>
              <w:rPr>
                <w:bCs/>
                <w:kern w:val="2"/>
                <w:highlight w:val="none"/>
              </w:rPr>
              <w:t>25kg/袋</w:t>
            </w:r>
          </w:p>
        </w:tc>
        <w:tc>
          <w:tcPr>
            <w:tcW w:w="367" w:type="pct"/>
            <w:vMerge w:val="continue"/>
            <w:vAlign w:val="center"/>
          </w:tcPr>
          <w:p w14:paraId="6BF70599">
            <w:pPr>
              <w:pStyle w:val="75"/>
              <w:rPr>
                <w:bCs/>
                <w:kern w:val="2"/>
                <w:highlight w:val="none"/>
              </w:rPr>
            </w:pPr>
          </w:p>
        </w:tc>
      </w:tr>
      <w:tr w14:paraId="55C19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2F7A856">
            <w:pPr>
              <w:widowControl/>
              <w:spacing w:line="240" w:lineRule="auto"/>
              <w:ind w:firstLine="0" w:firstLineChars="0"/>
              <w:jc w:val="center"/>
              <w:rPr>
                <w:bCs/>
                <w:kern w:val="2"/>
                <w:sz w:val="21"/>
                <w:szCs w:val="21"/>
                <w:highlight w:val="none"/>
              </w:rPr>
            </w:pPr>
          </w:p>
        </w:tc>
        <w:tc>
          <w:tcPr>
            <w:tcW w:w="376" w:type="pct"/>
            <w:vMerge w:val="continue"/>
            <w:vAlign w:val="center"/>
          </w:tcPr>
          <w:p w14:paraId="5D9B3F50">
            <w:pPr>
              <w:pStyle w:val="75"/>
              <w:rPr>
                <w:bCs/>
                <w:kern w:val="2"/>
                <w:highlight w:val="none"/>
              </w:rPr>
            </w:pPr>
          </w:p>
        </w:tc>
        <w:tc>
          <w:tcPr>
            <w:tcW w:w="756" w:type="pct"/>
            <w:vAlign w:val="center"/>
          </w:tcPr>
          <w:p w14:paraId="5C6C9D71">
            <w:pPr>
              <w:pStyle w:val="75"/>
              <w:rPr>
                <w:bCs/>
                <w:kern w:val="21"/>
                <w:highlight w:val="none"/>
              </w:rPr>
            </w:pPr>
            <w:r>
              <w:rPr>
                <w:rFonts w:hint="eastAsia"/>
                <w:bCs/>
                <w:kern w:val="2"/>
                <w:highlight w:val="none"/>
              </w:rPr>
              <w:t>酒石酸</w:t>
            </w:r>
          </w:p>
        </w:tc>
        <w:tc>
          <w:tcPr>
            <w:tcW w:w="1433" w:type="pct"/>
            <w:vAlign w:val="center"/>
          </w:tcPr>
          <w:p w14:paraId="2A04BB8D">
            <w:pPr>
              <w:pStyle w:val="75"/>
              <w:rPr>
                <w:bCs/>
                <w:kern w:val="2"/>
                <w:highlight w:val="none"/>
              </w:rPr>
            </w:pPr>
            <w:r>
              <w:rPr>
                <w:rFonts w:hint="eastAsia"/>
                <w:bCs/>
                <w:kern w:val="2"/>
                <w:highlight w:val="none"/>
              </w:rPr>
              <w:t>/</w:t>
            </w:r>
          </w:p>
        </w:tc>
        <w:tc>
          <w:tcPr>
            <w:tcW w:w="554" w:type="pct"/>
            <w:vAlign w:val="center"/>
          </w:tcPr>
          <w:p w14:paraId="2AAE2A22">
            <w:pPr>
              <w:pStyle w:val="75"/>
              <w:rPr>
                <w:rFonts w:hint="default" w:eastAsia="宋体"/>
                <w:bCs/>
                <w:kern w:val="2"/>
                <w:highlight w:val="none"/>
                <w:lang w:val="en-US" w:eastAsia="zh-CN"/>
              </w:rPr>
            </w:pPr>
            <w:r>
              <w:rPr>
                <w:rFonts w:hint="eastAsia"/>
                <w:bCs/>
                <w:kern w:val="2"/>
                <w:highlight w:val="none"/>
                <w:lang w:val="en-US" w:eastAsia="zh-CN"/>
              </w:rPr>
              <w:t>1.2</w:t>
            </w:r>
          </w:p>
        </w:tc>
        <w:tc>
          <w:tcPr>
            <w:tcW w:w="490" w:type="pct"/>
            <w:vAlign w:val="center"/>
          </w:tcPr>
          <w:p w14:paraId="4B19F98F">
            <w:pPr>
              <w:pStyle w:val="75"/>
              <w:rPr>
                <w:bCs/>
                <w:kern w:val="2"/>
                <w:highlight w:val="none"/>
              </w:rPr>
            </w:pPr>
            <w:r>
              <w:rPr>
                <w:rFonts w:hint="eastAsia"/>
                <w:bCs/>
                <w:kern w:val="2"/>
                <w:highlight w:val="none"/>
              </w:rPr>
              <w:t>0.1</w:t>
            </w:r>
          </w:p>
        </w:tc>
        <w:tc>
          <w:tcPr>
            <w:tcW w:w="637" w:type="pct"/>
            <w:vAlign w:val="center"/>
          </w:tcPr>
          <w:p w14:paraId="622E445E">
            <w:pPr>
              <w:pStyle w:val="75"/>
              <w:rPr>
                <w:bCs/>
                <w:kern w:val="2"/>
                <w:highlight w:val="none"/>
              </w:rPr>
            </w:pPr>
            <w:r>
              <w:rPr>
                <w:bCs/>
                <w:kern w:val="2"/>
                <w:highlight w:val="none"/>
              </w:rPr>
              <w:t>25kg/袋</w:t>
            </w:r>
          </w:p>
        </w:tc>
        <w:tc>
          <w:tcPr>
            <w:tcW w:w="367" w:type="pct"/>
            <w:vMerge w:val="continue"/>
            <w:vAlign w:val="center"/>
          </w:tcPr>
          <w:p w14:paraId="754B5ADB">
            <w:pPr>
              <w:pStyle w:val="75"/>
              <w:rPr>
                <w:bCs/>
                <w:kern w:val="2"/>
                <w:highlight w:val="none"/>
              </w:rPr>
            </w:pPr>
          </w:p>
        </w:tc>
      </w:tr>
      <w:tr w14:paraId="5C9C54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7EF4B279">
            <w:pPr>
              <w:widowControl/>
              <w:spacing w:line="240" w:lineRule="auto"/>
              <w:ind w:firstLine="0" w:firstLineChars="0"/>
              <w:jc w:val="center"/>
              <w:rPr>
                <w:bCs/>
                <w:kern w:val="2"/>
                <w:sz w:val="21"/>
                <w:szCs w:val="21"/>
                <w:highlight w:val="none"/>
              </w:rPr>
            </w:pPr>
          </w:p>
        </w:tc>
        <w:tc>
          <w:tcPr>
            <w:tcW w:w="376" w:type="pct"/>
            <w:vAlign w:val="center"/>
          </w:tcPr>
          <w:p w14:paraId="711E17E4">
            <w:pPr>
              <w:pStyle w:val="75"/>
              <w:rPr>
                <w:bCs/>
                <w:kern w:val="2"/>
                <w:highlight w:val="none"/>
              </w:rPr>
            </w:pPr>
            <w:r>
              <w:rPr>
                <w:rFonts w:hint="eastAsia"/>
                <w:bCs/>
                <w:kern w:val="2"/>
                <w:highlight w:val="none"/>
              </w:rPr>
              <w:t>钝化</w:t>
            </w:r>
          </w:p>
        </w:tc>
        <w:tc>
          <w:tcPr>
            <w:tcW w:w="756" w:type="pct"/>
            <w:vAlign w:val="center"/>
          </w:tcPr>
          <w:p w14:paraId="718C0266">
            <w:pPr>
              <w:pStyle w:val="75"/>
              <w:rPr>
                <w:bCs/>
                <w:kern w:val="21"/>
                <w:highlight w:val="none"/>
              </w:rPr>
            </w:pPr>
            <w:r>
              <w:rPr>
                <w:rFonts w:hint="eastAsia"/>
                <w:bCs/>
                <w:kern w:val="2"/>
                <w:highlight w:val="none"/>
              </w:rPr>
              <w:t>九水硝酸铬</w:t>
            </w:r>
          </w:p>
        </w:tc>
        <w:tc>
          <w:tcPr>
            <w:tcW w:w="1433" w:type="pct"/>
            <w:vAlign w:val="center"/>
          </w:tcPr>
          <w:p w14:paraId="17CAD391">
            <w:pPr>
              <w:pStyle w:val="75"/>
              <w:rPr>
                <w:bCs/>
                <w:kern w:val="2"/>
                <w:highlight w:val="none"/>
              </w:rPr>
            </w:pPr>
            <w:r>
              <w:rPr>
                <w:bCs/>
                <w:kern w:val="2"/>
                <w:highlight w:val="none"/>
              </w:rPr>
              <w:t>≥99.8%</w:t>
            </w:r>
          </w:p>
        </w:tc>
        <w:tc>
          <w:tcPr>
            <w:tcW w:w="554" w:type="pct"/>
            <w:vAlign w:val="center"/>
          </w:tcPr>
          <w:p w14:paraId="0454F554">
            <w:pPr>
              <w:pStyle w:val="75"/>
              <w:rPr>
                <w:rFonts w:hint="default" w:eastAsia="宋体"/>
                <w:bCs/>
                <w:kern w:val="2"/>
                <w:highlight w:val="none"/>
                <w:lang w:val="en-US" w:eastAsia="zh-CN"/>
              </w:rPr>
            </w:pPr>
            <w:r>
              <w:rPr>
                <w:rFonts w:hint="eastAsia"/>
                <w:bCs/>
                <w:kern w:val="2"/>
                <w:highlight w:val="none"/>
                <w:lang w:val="en-US" w:eastAsia="zh-CN"/>
              </w:rPr>
              <w:t>9.10</w:t>
            </w:r>
          </w:p>
        </w:tc>
        <w:tc>
          <w:tcPr>
            <w:tcW w:w="490" w:type="pct"/>
            <w:vAlign w:val="center"/>
          </w:tcPr>
          <w:p w14:paraId="7A13C74D">
            <w:pPr>
              <w:pStyle w:val="75"/>
              <w:rPr>
                <w:bCs/>
                <w:kern w:val="2"/>
                <w:highlight w:val="none"/>
              </w:rPr>
            </w:pPr>
            <w:r>
              <w:rPr>
                <w:rFonts w:hint="eastAsia"/>
                <w:bCs/>
                <w:kern w:val="2"/>
                <w:highlight w:val="none"/>
              </w:rPr>
              <w:t>1</w:t>
            </w:r>
          </w:p>
        </w:tc>
        <w:tc>
          <w:tcPr>
            <w:tcW w:w="637" w:type="pct"/>
            <w:vAlign w:val="center"/>
          </w:tcPr>
          <w:p w14:paraId="5A749612">
            <w:pPr>
              <w:pStyle w:val="75"/>
              <w:rPr>
                <w:bCs/>
                <w:kern w:val="2"/>
                <w:highlight w:val="none"/>
              </w:rPr>
            </w:pPr>
            <w:r>
              <w:rPr>
                <w:bCs/>
                <w:kern w:val="2"/>
                <w:highlight w:val="none"/>
              </w:rPr>
              <w:t>50kg/袋</w:t>
            </w:r>
          </w:p>
        </w:tc>
        <w:tc>
          <w:tcPr>
            <w:tcW w:w="367" w:type="pct"/>
            <w:vMerge w:val="continue"/>
            <w:vAlign w:val="center"/>
          </w:tcPr>
          <w:p w14:paraId="23BE66C8">
            <w:pPr>
              <w:pStyle w:val="75"/>
              <w:rPr>
                <w:bCs/>
                <w:kern w:val="2"/>
                <w:highlight w:val="none"/>
              </w:rPr>
            </w:pPr>
          </w:p>
        </w:tc>
      </w:tr>
      <w:tr w14:paraId="51896F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B252868">
            <w:pPr>
              <w:widowControl/>
              <w:spacing w:line="240" w:lineRule="auto"/>
              <w:ind w:firstLine="0" w:firstLineChars="0"/>
              <w:jc w:val="center"/>
              <w:rPr>
                <w:bCs/>
                <w:kern w:val="2"/>
                <w:sz w:val="21"/>
                <w:szCs w:val="21"/>
                <w:highlight w:val="none"/>
              </w:rPr>
            </w:pPr>
          </w:p>
        </w:tc>
        <w:tc>
          <w:tcPr>
            <w:tcW w:w="376" w:type="pct"/>
            <w:vAlign w:val="center"/>
          </w:tcPr>
          <w:p w14:paraId="599B0DA6">
            <w:pPr>
              <w:pStyle w:val="75"/>
              <w:rPr>
                <w:bCs/>
                <w:kern w:val="2"/>
                <w:highlight w:val="none"/>
              </w:rPr>
            </w:pPr>
            <w:r>
              <w:rPr>
                <w:rFonts w:hint="eastAsia"/>
                <w:bCs/>
                <w:kern w:val="2"/>
                <w:highlight w:val="none"/>
              </w:rPr>
              <w:t>中和</w:t>
            </w:r>
          </w:p>
        </w:tc>
        <w:tc>
          <w:tcPr>
            <w:tcW w:w="756" w:type="pct"/>
            <w:vAlign w:val="center"/>
          </w:tcPr>
          <w:p w14:paraId="39010D5E">
            <w:pPr>
              <w:pStyle w:val="75"/>
              <w:rPr>
                <w:bCs/>
                <w:kern w:val="21"/>
                <w:highlight w:val="none"/>
              </w:rPr>
            </w:pPr>
            <w:r>
              <w:rPr>
                <w:rFonts w:hint="eastAsia"/>
                <w:bCs/>
                <w:kern w:val="2"/>
                <w:highlight w:val="none"/>
              </w:rPr>
              <w:t>氢氧化钠</w:t>
            </w:r>
          </w:p>
        </w:tc>
        <w:tc>
          <w:tcPr>
            <w:tcW w:w="1433" w:type="pct"/>
            <w:vAlign w:val="center"/>
          </w:tcPr>
          <w:p w14:paraId="661AD8F4">
            <w:pPr>
              <w:pStyle w:val="75"/>
              <w:rPr>
                <w:bCs/>
                <w:kern w:val="2"/>
                <w:highlight w:val="none"/>
              </w:rPr>
            </w:pPr>
            <w:r>
              <w:rPr>
                <w:bCs/>
                <w:kern w:val="2"/>
                <w:highlight w:val="none"/>
              </w:rPr>
              <w:t>/</w:t>
            </w:r>
          </w:p>
        </w:tc>
        <w:tc>
          <w:tcPr>
            <w:tcW w:w="554" w:type="pct"/>
            <w:vAlign w:val="center"/>
          </w:tcPr>
          <w:p w14:paraId="4622026D">
            <w:pPr>
              <w:pStyle w:val="75"/>
              <w:rPr>
                <w:rFonts w:hint="default" w:eastAsia="宋体"/>
                <w:bCs/>
                <w:kern w:val="2"/>
                <w:highlight w:val="none"/>
                <w:lang w:val="en-US" w:eastAsia="zh-CN"/>
              </w:rPr>
            </w:pPr>
            <w:r>
              <w:rPr>
                <w:rFonts w:hint="eastAsia"/>
                <w:bCs/>
                <w:kern w:val="2"/>
                <w:highlight w:val="none"/>
                <w:lang w:val="en-US" w:eastAsia="zh-CN"/>
              </w:rPr>
              <w:t>7.1</w:t>
            </w:r>
          </w:p>
        </w:tc>
        <w:tc>
          <w:tcPr>
            <w:tcW w:w="490" w:type="pct"/>
            <w:vAlign w:val="center"/>
          </w:tcPr>
          <w:p w14:paraId="5926E864">
            <w:pPr>
              <w:pStyle w:val="75"/>
              <w:rPr>
                <w:bCs/>
                <w:kern w:val="2"/>
                <w:highlight w:val="none"/>
              </w:rPr>
            </w:pPr>
            <w:r>
              <w:rPr>
                <w:rFonts w:hint="eastAsia"/>
                <w:bCs/>
                <w:kern w:val="2"/>
                <w:highlight w:val="none"/>
              </w:rPr>
              <w:t>0.2</w:t>
            </w:r>
          </w:p>
        </w:tc>
        <w:tc>
          <w:tcPr>
            <w:tcW w:w="637" w:type="pct"/>
            <w:vAlign w:val="center"/>
          </w:tcPr>
          <w:p w14:paraId="508B4808">
            <w:pPr>
              <w:pStyle w:val="75"/>
              <w:rPr>
                <w:bCs/>
                <w:kern w:val="2"/>
                <w:highlight w:val="none"/>
              </w:rPr>
            </w:pPr>
            <w:r>
              <w:rPr>
                <w:bCs/>
                <w:kern w:val="2"/>
                <w:highlight w:val="none"/>
              </w:rPr>
              <w:t>25kg/袋</w:t>
            </w:r>
          </w:p>
        </w:tc>
        <w:tc>
          <w:tcPr>
            <w:tcW w:w="367" w:type="pct"/>
            <w:vMerge w:val="continue"/>
            <w:vAlign w:val="center"/>
          </w:tcPr>
          <w:p w14:paraId="071F47E1">
            <w:pPr>
              <w:pStyle w:val="75"/>
              <w:rPr>
                <w:bCs/>
                <w:kern w:val="2"/>
                <w:highlight w:val="none"/>
              </w:rPr>
            </w:pPr>
          </w:p>
        </w:tc>
      </w:tr>
      <w:tr w14:paraId="1FF170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75CA89A8">
            <w:pPr>
              <w:widowControl/>
              <w:spacing w:line="240" w:lineRule="auto"/>
              <w:ind w:firstLine="0" w:firstLineChars="0"/>
              <w:jc w:val="center"/>
              <w:rPr>
                <w:bCs/>
                <w:kern w:val="2"/>
                <w:sz w:val="21"/>
                <w:szCs w:val="21"/>
                <w:highlight w:val="none"/>
              </w:rPr>
            </w:pPr>
          </w:p>
        </w:tc>
        <w:tc>
          <w:tcPr>
            <w:tcW w:w="376" w:type="pct"/>
            <w:vAlign w:val="center"/>
          </w:tcPr>
          <w:p w14:paraId="51082586">
            <w:pPr>
              <w:pStyle w:val="75"/>
              <w:rPr>
                <w:bCs/>
                <w:kern w:val="2"/>
                <w:highlight w:val="none"/>
              </w:rPr>
            </w:pPr>
            <w:r>
              <w:rPr>
                <w:rFonts w:hint="eastAsia"/>
                <w:bCs/>
                <w:kern w:val="2"/>
                <w:highlight w:val="none"/>
              </w:rPr>
              <w:t>封闭</w:t>
            </w:r>
          </w:p>
        </w:tc>
        <w:tc>
          <w:tcPr>
            <w:tcW w:w="756" w:type="pct"/>
            <w:vAlign w:val="center"/>
          </w:tcPr>
          <w:p w14:paraId="4E71E39A">
            <w:pPr>
              <w:pStyle w:val="75"/>
              <w:rPr>
                <w:bCs/>
                <w:kern w:val="21"/>
                <w:highlight w:val="none"/>
              </w:rPr>
            </w:pPr>
            <w:r>
              <w:rPr>
                <w:rFonts w:hint="eastAsia"/>
                <w:bCs/>
                <w:kern w:val="21"/>
                <w:highlight w:val="none"/>
              </w:rPr>
              <w:t>封闭剂</w:t>
            </w:r>
          </w:p>
        </w:tc>
        <w:tc>
          <w:tcPr>
            <w:tcW w:w="1433" w:type="pct"/>
            <w:vAlign w:val="center"/>
          </w:tcPr>
          <w:p w14:paraId="568BDF98">
            <w:pPr>
              <w:pStyle w:val="75"/>
              <w:rPr>
                <w:bCs/>
                <w:kern w:val="2"/>
                <w:highlight w:val="none"/>
              </w:rPr>
            </w:pPr>
            <w:r>
              <w:rPr>
                <w:bCs/>
                <w:kern w:val="2"/>
                <w:highlight w:val="none"/>
              </w:rPr>
              <w:t>主要成分</w:t>
            </w:r>
            <w:r>
              <w:rPr>
                <w:rFonts w:hint="eastAsia"/>
                <w:bCs/>
                <w:kern w:val="2"/>
                <w:highlight w:val="none"/>
              </w:rPr>
              <w:t>：</w:t>
            </w:r>
            <w:r>
              <w:rPr>
                <w:rFonts w:hint="eastAsia"/>
                <w:bCs/>
                <w:kern w:val="21"/>
                <w:highlight w:val="none"/>
              </w:rPr>
              <w:t>AES和甘油</w:t>
            </w:r>
          </w:p>
        </w:tc>
        <w:tc>
          <w:tcPr>
            <w:tcW w:w="554" w:type="pct"/>
            <w:vAlign w:val="center"/>
          </w:tcPr>
          <w:p w14:paraId="4557D4D9">
            <w:pPr>
              <w:pStyle w:val="75"/>
              <w:rPr>
                <w:rFonts w:hint="default" w:eastAsia="宋体"/>
                <w:bCs/>
                <w:kern w:val="2"/>
                <w:highlight w:val="none"/>
                <w:lang w:val="en-US" w:eastAsia="zh-CN"/>
              </w:rPr>
            </w:pPr>
            <w:r>
              <w:rPr>
                <w:rFonts w:hint="eastAsia"/>
                <w:bCs/>
                <w:kern w:val="2"/>
                <w:highlight w:val="none"/>
                <w:lang w:val="en-US" w:eastAsia="zh-CN"/>
              </w:rPr>
              <w:t>1.1</w:t>
            </w:r>
          </w:p>
        </w:tc>
        <w:tc>
          <w:tcPr>
            <w:tcW w:w="490" w:type="pct"/>
            <w:vAlign w:val="center"/>
          </w:tcPr>
          <w:p w14:paraId="0A118E04">
            <w:pPr>
              <w:pStyle w:val="75"/>
              <w:rPr>
                <w:bCs/>
                <w:kern w:val="2"/>
                <w:highlight w:val="none"/>
              </w:rPr>
            </w:pPr>
            <w:r>
              <w:rPr>
                <w:rFonts w:hint="eastAsia"/>
                <w:bCs/>
                <w:kern w:val="2"/>
                <w:highlight w:val="none"/>
              </w:rPr>
              <w:t>0.1</w:t>
            </w:r>
          </w:p>
        </w:tc>
        <w:tc>
          <w:tcPr>
            <w:tcW w:w="637" w:type="pct"/>
            <w:vAlign w:val="center"/>
          </w:tcPr>
          <w:p w14:paraId="4FA98BFA">
            <w:pPr>
              <w:pStyle w:val="75"/>
              <w:rPr>
                <w:bCs/>
                <w:kern w:val="2"/>
                <w:highlight w:val="none"/>
              </w:rPr>
            </w:pPr>
            <w:r>
              <w:rPr>
                <w:bCs/>
                <w:kern w:val="2"/>
                <w:highlight w:val="none"/>
              </w:rPr>
              <w:t>2</w:t>
            </w:r>
            <w:r>
              <w:rPr>
                <w:rFonts w:hint="eastAsia"/>
                <w:bCs/>
                <w:kern w:val="2"/>
                <w:highlight w:val="none"/>
              </w:rPr>
              <w:t>5</w:t>
            </w:r>
            <w:r>
              <w:rPr>
                <w:bCs/>
                <w:kern w:val="2"/>
                <w:highlight w:val="none"/>
              </w:rPr>
              <w:t>kg/桶</w:t>
            </w:r>
          </w:p>
        </w:tc>
        <w:tc>
          <w:tcPr>
            <w:tcW w:w="367" w:type="pct"/>
            <w:vMerge w:val="continue"/>
            <w:vAlign w:val="center"/>
          </w:tcPr>
          <w:p w14:paraId="1FF29CD5">
            <w:pPr>
              <w:pStyle w:val="75"/>
              <w:rPr>
                <w:bCs/>
                <w:kern w:val="2"/>
                <w:highlight w:val="none"/>
              </w:rPr>
            </w:pPr>
          </w:p>
        </w:tc>
      </w:tr>
      <w:tr w14:paraId="0DA65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14:paraId="570A9660">
            <w:pPr>
              <w:pStyle w:val="75"/>
              <w:rPr>
                <w:b/>
                <w:kern w:val="2"/>
                <w:highlight w:val="none"/>
              </w:rPr>
            </w:pPr>
            <w:r>
              <w:rPr>
                <w:rFonts w:hint="eastAsia"/>
                <w:b/>
                <w:bCs/>
                <w:highlight w:val="none"/>
                <w:lang w:val="en-US" w:eastAsia="zh-CN"/>
              </w:rPr>
              <w:t>电池连接件</w:t>
            </w:r>
            <w:r>
              <w:rPr>
                <w:rFonts w:hint="eastAsia"/>
                <w:b/>
                <w:kern w:val="2"/>
                <w:highlight w:val="none"/>
              </w:rPr>
              <w:t>生产线</w:t>
            </w:r>
          </w:p>
        </w:tc>
      </w:tr>
      <w:tr w14:paraId="3769D6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88" w:type="dxa"/>
            <w:gridSpan w:val="3"/>
            <w:vAlign w:val="center"/>
          </w:tcPr>
          <w:p w14:paraId="64613CB1">
            <w:pPr>
              <w:pStyle w:val="81"/>
              <w:ind w:firstLine="0" w:firstLineChars="0"/>
              <w:rPr>
                <w:rFonts w:hint="eastAsia"/>
                <w:kern w:val="2"/>
                <w:highlight w:val="none"/>
              </w:rPr>
            </w:pPr>
            <w:r>
              <w:rPr>
                <w:rFonts w:hint="eastAsia"/>
                <w:color w:val="auto"/>
                <w:szCs w:val="21"/>
                <w:highlight w:val="none"/>
              </w:rPr>
              <w:t>原料名称</w:t>
            </w:r>
          </w:p>
        </w:tc>
        <w:tc>
          <w:tcPr>
            <w:tcW w:w="2445" w:type="dxa"/>
            <w:vAlign w:val="center"/>
          </w:tcPr>
          <w:p w14:paraId="6AD1A8A9">
            <w:pPr>
              <w:pStyle w:val="81"/>
              <w:ind w:firstLine="0" w:firstLineChars="0"/>
              <w:rPr>
                <w:rFonts w:hint="eastAsia"/>
                <w:kern w:val="2"/>
                <w:highlight w:val="none"/>
              </w:rPr>
            </w:pPr>
            <w:r>
              <w:rPr>
                <w:rFonts w:hint="eastAsia"/>
                <w:color w:val="auto"/>
                <w:szCs w:val="21"/>
                <w:highlight w:val="none"/>
              </w:rPr>
              <w:t>规格</w:t>
            </w:r>
          </w:p>
        </w:tc>
        <w:tc>
          <w:tcPr>
            <w:tcW w:w="945" w:type="dxa"/>
            <w:vAlign w:val="center"/>
          </w:tcPr>
          <w:p w14:paraId="3C0A5D69">
            <w:pPr>
              <w:pStyle w:val="81"/>
              <w:ind w:firstLine="0" w:firstLineChars="0"/>
              <w:rPr>
                <w:rFonts w:hint="eastAsia"/>
                <w:kern w:val="2"/>
                <w:highlight w:val="none"/>
                <w:lang w:val="en-US" w:eastAsia="zh-CN"/>
              </w:rPr>
            </w:pPr>
            <w:r>
              <w:rPr>
                <w:rFonts w:hint="eastAsia"/>
                <w:color w:val="auto"/>
                <w:szCs w:val="21"/>
                <w:highlight w:val="none"/>
              </w:rPr>
              <w:t>用量（</w:t>
            </w:r>
            <w:r>
              <w:rPr>
                <w:color w:val="auto"/>
                <w:szCs w:val="21"/>
                <w:highlight w:val="none"/>
              </w:rPr>
              <w:t>t/a</w:t>
            </w:r>
            <w:r>
              <w:rPr>
                <w:rFonts w:hint="eastAsia"/>
                <w:color w:val="auto"/>
                <w:szCs w:val="21"/>
                <w:highlight w:val="none"/>
              </w:rPr>
              <w:t>）</w:t>
            </w:r>
          </w:p>
        </w:tc>
        <w:tc>
          <w:tcPr>
            <w:tcW w:w="836" w:type="dxa"/>
            <w:vAlign w:val="center"/>
          </w:tcPr>
          <w:p w14:paraId="51CFC8A2">
            <w:pPr>
              <w:pStyle w:val="81"/>
              <w:ind w:firstLine="0" w:firstLineChars="0"/>
              <w:rPr>
                <w:rFonts w:hint="eastAsia"/>
                <w:kern w:val="2"/>
                <w:highlight w:val="none"/>
              </w:rPr>
            </w:pPr>
            <w:r>
              <w:rPr>
                <w:rFonts w:hint="eastAsia"/>
                <w:color w:val="auto"/>
                <w:szCs w:val="21"/>
                <w:highlight w:val="none"/>
              </w:rPr>
              <w:t>贮存量（</w:t>
            </w:r>
            <w:r>
              <w:rPr>
                <w:color w:val="auto"/>
                <w:szCs w:val="21"/>
                <w:highlight w:val="none"/>
              </w:rPr>
              <w:t>t</w:t>
            </w:r>
            <w:r>
              <w:rPr>
                <w:rFonts w:hint="eastAsia"/>
                <w:color w:val="auto"/>
                <w:szCs w:val="21"/>
                <w:highlight w:val="none"/>
              </w:rPr>
              <w:t>）</w:t>
            </w:r>
          </w:p>
        </w:tc>
        <w:tc>
          <w:tcPr>
            <w:tcW w:w="1087" w:type="dxa"/>
            <w:vAlign w:val="center"/>
          </w:tcPr>
          <w:p w14:paraId="3911C714">
            <w:pPr>
              <w:pStyle w:val="81"/>
              <w:ind w:firstLine="0" w:firstLineChars="0"/>
              <w:rPr>
                <w:rFonts w:hint="eastAsia"/>
                <w:kern w:val="2"/>
                <w:highlight w:val="none"/>
              </w:rPr>
            </w:pPr>
            <w:r>
              <w:rPr>
                <w:rFonts w:hint="eastAsia"/>
                <w:color w:val="auto"/>
                <w:szCs w:val="21"/>
                <w:highlight w:val="none"/>
              </w:rPr>
              <w:t>包装</w:t>
            </w:r>
          </w:p>
        </w:tc>
        <w:tc>
          <w:tcPr>
            <w:tcW w:w="627" w:type="dxa"/>
            <w:vAlign w:val="center"/>
          </w:tcPr>
          <w:p w14:paraId="48ED755C">
            <w:pPr>
              <w:pStyle w:val="81"/>
              <w:ind w:firstLine="0" w:firstLineChars="0"/>
              <w:rPr>
                <w:rFonts w:hint="eastAsia"/>
                <w:bCs/>
                <w:kern w:val="2"/>
                <w:highlight w:val="none"/>
              </w:rPr>
            </w:pPr>
            <w:r>
              <w:rPr>
                <w:rFonts w:hint="eastAsia"/>
                <w:color w:val="auto"/>
                <w:szCs w:val="21"/>
                <w:highlight w:val="none"/>
              </w:rPr>
              <w:t>储存方式</w:t>
            </w:r>
          </w:p>
        </w:tc>
      </w:tr>
      <w:tr w14:paraId="6E611E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vAlign w:val="center"/>
          </w:tcPr>
          <w:p w14:paraId="18EBFF36">
            <w:pPr>
              <w:widowControl/>
              <w:spacing w:line="240" w:lineRule="auto"/>
              <w:ind w:firstLine="0" w:firstLineChars="0"/>
              <w:jc w:val="center"/>
              <w:rPr>
                <w:bCs/>
                <w:kern w:val="2"/>
                <w:sz w:val="21"/>
                <w:szCs w:val="21"/>
                <w:highlight w:val="none"/>
              </w:rPr>
            </w:pPr>
            <w:r>
              <w:rPr>
                <w:rFonts w:hint="eastAsia"/>
                <w:bCs/>
                <w:kern w:val="2"/>
                <w:sz w:val="21"/>
                <w:szCs w:val="21"/>
                <w:highlight w:val="none"/>
                <w:lang w:val="en-US" w:eastAsia="zh-CN"/>
              </w:rPr>
              <w:t>电池连接件</w:t>
            </w:r>
            <w:r>
              <w:rPr>
                <w:rFonts w:hint="eastAsia"/>
                <w:bCs/>
                <w:kern w:val="2"/>
                <w:sz w:val="21"/>
                <w:szCs w:val="21"/>
                <w:highlight w:val="none"/>
              </w:rPr>
              <w:t>（</w:t>
            </w:r>
            <w:r>
              <w:rPr>
                <w:rFonts w:hint="eastAsia"/>
                <w:bCs/>
                <w:kern w:val="2"/>
                <w:sz w:val="21"/>
                <w:szCs w:val="21"/>
                <w:highlight w:val="none"/>
                <w:lang w:val="en-US" w:eastAsia="zh-CN"/>
              </w:rPr>
              <w:t>6</w:t>
            </w:r>
            <w:r>
              <w:rPr>
                <w:rFonts w:hint="eastAsia"/>
                <w:bCs/>
                <w:kern w:val="2"/>
                <w:sz w:val="21"/>
                <w:szCs w:val="21"/>
                <w:highlight w:val="none"/>
              </w:rPr>
              <w:t>条）</w:t>
            </w:r>
          </w:p>
        </w:tc>
        <w:tc>
          <w:tcPr>
            <w:tcW w:w="1133" w:type="pct"/>
            <w:gridSpan w:val="2"/>
            <w:vAlign w:val="center"/>
          </w:tcPr>
          <w:p w14:paraId="305FD2BE">
            <w:pPr>
              <w:pStyle w:val="75"/>
              <w:rPr>
                <w:bCs/>
                <w:kern w:val="21"/>
                <w:highlight w:val="none"/>
              </w:rPr>
            </w:pPr>
            <w:r>
              <w:rPr>
                <w:rFonts w:hint="eastAsia"/>
                <w:kern w:val="2"/>
                <w:highlight w:val="none"/>
              </w:rPr>
              <w:t>普通钢带</w:t>
            </w:r>
          </w:p>
        </w:tc>
        <w:tc>
          <w:tcPr>
            <w:tcW w:w="1433" w:type="pct"/>
            <w:vAlign w:val="center"/>
          </w:tcPr>
          <w:p w14:paraId="78ADBF1C">
            <w:pPr>
              <w:pStyle w:val="75"/>
              <w:rPr>
                <w:bCs/>
                <w:kern w:val="2"/>
                <w:highlight w:val="none"/>
              </w:rPr>
            </w:pPr>
            <w:r>
              <w:rPr>
                <w:rFonts w:hint="eastAsia"/>
                <w:kern w:val="2"/>
                <w:highlight w:val="none"/>
              </w:rPr>
              <w:t>宽2</w:t>
            </w:r>
            <w:r>
              <w:rPr>
                <w:kern w:val="2"/>
                <w:highlight w:val="none"/>
              </w:rPr>
              <w:t>00mm</w:t>
            </w:r>
            <w:r>
              <w:rPr>
                <w:rFonts w:hint="eastAsia"/>
                <w:kern w:val="2"/>
                <w:highlight w:val="none"/>
              </w:rPr>
              <w:t>、厚0.8</w:t>
            </w:r>
            <w:r>
              <w:rPr>
                <w:kern w:val="2"/>
                <w:highlight w:val="none"/>
              </w:rPr>
              <w:t>mm</w:t>
            </w:r>
          </w:p>
        </w:tc>
        <w:tc>
          <w:tcPr>
            <w:tcW w:w="554" w:type="pct"/>
            <w:vAlign w:val="center"/>
          </w:tcPr>
          <w:p w14:paraId="72BE2862">
            <w:pPr>
              <w:pStyle w:val="75"/>
              <w:rPr>
                <w:rFonts w:hint="default" w:eastAsia="宋体"/>
                <w:bCs/>
                <w:kern w:val="2"/>
                <w:highlight w:val="none"/>
                <w:lang w:val="en-US" w:eastAsia="zh-CN"/>
              </w:rPr>
            </w:pPr>
            <w:r>
              <w:rPr>
                <w:rFonts w:hint="eastAsia"/>
                <w:kern w:val="2"/>
                <w:highlight w:val="none"/>
                <w:lang w:val="en-US" w:eastAsia="zh-CN"/>
              </w:rPr>
              <w:t>4000</w:t>
            </w:r>
          </w:p>
        </w:tc>
        <w:tc>
          <w:tcPr>
            <w:tcW w:w="490" w:type="pct"/>
            <w:vAlign w:val="center"/>
          </w:tcPr>
          <w:p w14:paraId="753EF4B1">
            <w:pPr>
              <w:pStyle w:val="75"/>
              <w:rPr>
                <w:kern w:val="2"/>
                <w:highlight w:val="none"/>
              </w:rPr>
            </w:pPr>
            <w:r>
              <w:rPr>
                <w:rFonts w:hint="eastAsia"/>
                <w:kern w:val="2"/>
                <w:highlight w:val="none"/>
              </w:rPr>
              <w:t>100</w:t>
            </w:r>
          </w:p>
        </w:tc>
        <w:tc>
          <w:tcPr>
            <w:tcW w:w="637" w:type="pct"/>
            <w:vAlign w:val="center"/>
          </w:tcPr>
          <w:p w14:paraId="4AFEE88B">
            <w:pPr>
              <w:pStyle w:val="75"/>
              <w:rPr>
                <w:bCs/>
                <w:kern w:val="2"/>
                <w:highlight w:val="none"/>
              </w:rPr>
            </w:pPr>
            <w:r>
              <w:rPr>
                <w:rFonts w:hint="eastAsia"/>
                <w:kern w:val="2"/>
                <w:highlight w:val="none"/>
              </w:rPr>
              <w:t>100kg/卷</w:t>
            </w:r>
          </w:p>
        </w:tc>
        <w:tc>
          <w:tcPr>
            <w:tcW w:w="367" w:type="pct"/>
            <w:vMerge w:val="restart"/>
            <w:vAlign w:val="center"/>
          </w:tcPr>
          <w:p w14:paraId="27554ECE">
            <w:pPr>
              <w:pStyle w:val="75"/>
              <w:rPr>
                <w:bCs/>
                <w:kern w:val="2"/>
                <w:highlight w:val="none"/>
              </w:rPr>
            </w:pPr>
            <w:r>
              <w:rPr>
                <w:rFonts w:hint="eastAsia"/>
                <w:bCs/>
                <w:kern w:val="2"/>
                <w:highlight w:val="none"/>
              </w:rPr>
              <w:t>原料库</w:t>
            </w:r>
          </w:p>
        </w:tc>
      </w:tr>
      <w:tr w14:paraId="57AC8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747B023F">
            <w:pPr>
              <w:widowControl/>
              <w:spacing w:line="240" w:lineRule="auto"/>
              <w:ind w:firstLine="0" w:firstLineChars="0"/>
              <w:jc w:val="center"/>
              <w:rPr>
                <w:bCs/>
                <w:kern w:val="2"/>
                <w:sz w:val="21"/>
                <w:szCs w:val="21"/>
                <w:highlight w:val="none"/>
              </w:rPr>
            </w:pPr>
          </w:p>
        </w:tc>
        <w:tc>
          <w:tcPr>
            <w:tcW w:w="1133" w:type="pct"/>
            <w:gridSpan w:val="2"/>
            <w:vAlign w:val="center"/>
          </w:tcPr>
          <w:p w14:paraId="103BAAAA">
            <w:pPr>
              <w:pStyle w:val="75"/>
              <w:rPr>
                <w:bCs/>
                <w:kern w:val="21"/>
                <w:highlight w:val="none"/>
              </w:rPr>
            </w:pPr>
            <w:r>
              <w:rPr>
                <w:rFonts w:hint="eastAsia"/>
                <w:kern w:val="2"/>
                <w:highlight w:val="none"/>
              </w:rPr>
              <w:t>液压油</w:t>
            </w:r>
          </w:p>
        </w:tc>
        <w:tc>
          <w:tcPr>
            <w:tcW w:w="1433" w:type="pct"/>
            <w:vAlign w:val="center"/>
          </w:tcPr>
          <w:p w14:paraId="16C56EA0">
            <w:pPr>
              <w:pStyle w:val="75"/>
              <w:rPr>
                <w:bCs/>
                <w:kern w:val="2"/>
                <w:highlight w:val="none"/>
              </w:rPr>
            </w:pPr>
            <w:r>
              <w:rPr>
                <w:rFonts w:hint="eastAsia"/>
                <w:kern w:val="2"/>
                <w:highlight w:val="none"/>
              </w:rPr>
              <w:t>/</w:t>
            </w:r>
          </w:p>
        </w:tc>
        <w:tc>
          <w:tcPr>
            <w:tcW w:w="554" w:type="pct"/>
            <w:vAlign w:val="center"/>
          </w:tcPr>
          <w:p w14:paraId="0FCEC75A">
            <w:pPr>
              <w:pStyle w:val="75"/>
              <w:rPr>
                <w:rFonts w:hint="default" w:eastAsia="宋体"/>
                <w:bCs/>
                <w:kern w:val="2"/>
                <w:highlight w:val="none"/>
                <w:lang w:val="en-US" w:eastAsia="zh-CN"/>
              </w:rPr>
            </w:pPr>
            <w:r>
              <w:rPr>
                <w:rFonts w:hint="eastAsia"/>
                <w:kern w:val="2"/>
                <w:highlight w:val="none"/>
                <w:lang w:val="en-US" w:eastAsia="zh-CN"/>
              </w:rPr>
              <w:t>1.5</w:t>
            </w:r>
          </w:p>
        </w:tc>
        <w:tc>
          <w:tcPr>
            <w:tcW w:w="490" w:type="pct"/>
            <w:vAlign w:val="center"/>
          </w:tcPr>
          <w:p w14:paraId="7262F840">
            <w:pPr>
              <w:pStyle w:val="75"/>
              <w:rPr>
                <w:kern w:val="2"/>
                <w:highlight w:val="none"/>
              </w:rPr>
            </w:pPr>
            <w:r>
              <w:rPr>
                <w:rFonts w:hint="eastAsia"/>
                <w:kern w:val="2"/>
                <w:highlight w:val="none"/>
              </w:rPr>
              <w:t>0.1</w:t>
            </w:r>
          </w:p>
        </w:tc>
        <w:tc>
          <w:tcPr>
            <w:tcW w:w="637" w:type="pct"/>
            <w:vAlign w:val="center"/>
          </w:tcPr>
          <w:p w14:paraId="121A332B">
            <w:pPr>
              <w:pStyle w:val="75"/>
              <w:rPr>
                <w:bCs/>
                <w:kern w:val="2"/>
                <w:highlight w:val="none"/>
              </w:rPr>
            </w:pPr>
            <w:r>
              <w:rPr>
                <w:kern w:val="2"/>
                <w:highlight w:val="none"/>
              </w:rPr>
              <w:t>1</w:t>
            </w:r>
            <w:r>
              <w:rPr>
                <w:rFonts w:hint="eastAsia"/>
                <w:kern w:val="2"/>
                <w:highlight w:val="none"/>
              </w:rPr>
              <w:t>0</w:t>
            </w:r>
            <w:r>
              <w:rPr>
                <w:kern w:val="2"/>
                <w:highlight w:val="none"/>
              </w:rPr>
              <w:t>0kg/桶</w:t>
            </w:r>
          </w:p>
        </w:tc>
        <w:tc>
          <w:tcPr>
            <w:tcW w:w="367" w:type="pct"/>
            <w:vMerge w:val="continue"/>
            <w:vAlign w:val="center"/>
          </w:tcPr>
          <w:p w14:paraId="5C36E085">
            <w:pPr>
              <w:pStyle w:val="75"/>
              <w:rPr>
                <w:bCs/>
                <w:kern w:val="2"/>
                <w:highlight w:val="none"/>
              </w:rPr>
            </w:pPr>
          </w:p>
        </w:tc>
      </w:tr>
      <w:tr w14:paraId="36BA8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FFDF159">
            <w:pPr>
              <w:widowControl/>
              <w:spacing w:line="240" w:lineRule="auto"/>
              <w:ind w:firstLine="0" w:firstLineChars="0"/>
              <w:jc w:val="center"/>
              <w:rPr>
                <w:bCs/>
                <w:kern w:val="2"/>
                <w:sz w:val="21"/>
                <w:szCs w:val="21"/>
                <w:highlight w:val="none"/>
              </w:rPr>
            </w:pPr>
          </w:p>
        </w:tc>
        <w:tc>
          <w:tcPr>
            <w:tcW w:w="376" w:type="pct"/>
            <w:vAlign w:val="center"/>
          </w:tcPr>
          <w:p w14:paraId="64C45EA7">
            <w:pPr>
              <w:pStyle w:val="75"/>
              <w:rPr>
                <w:bCs/>
                <w:kern w:val="2"/>
                <w:highlight w:val="none"/>
              </w:rPr>
            </w:pPr>
            <w:r>
              <w:rPr>
                <w:rFonts w:hint="eastAsia"/>
                <w:kern w:val="2"/>
                <w:highlight w:val="none"/>
              </w:rPr>
              <w:t>化学除油</w:t>
            </w:r>
          </w:p>
        </w:tc>
        <w:tc>
          <w:tcPr>
            <w:tcW w:w="756" w:type="pct"/>
            <w:vAlign w:val="center"/>
          </w:tcPr>
          <w:p w14:paraId="67D3E729">
            <w:pPr>
              <w:pStyle w:val="75"/>
              <w:rPr>
                <w:bCs/>
                <w:kern w:val="21"/>
                <w:highlight w:val="none"/>
              </w:rPr>
            </w:pPr>
            <w:r>
              <w:rPr>
                <w:rFonts w:hint="eastAsia"/>
                <w:bCs/>
                <w:kern w:val="21"/>
                <w:highlight w:val="none"/>
              </w:rPr>
              <w:t>除油液</w:t>
            </w:r>
          </w:p>
        </w:tc>
        <w:tc>
          <w:tcPr>
            <w:tcW w:w="1433" w:type="pct"/>
            <w:vAlign w:val="center"/>
          </w:tcPr>
          <w:p w14:paraId="343FC33B">
            <w:pPr>
              <w:pStyle w:val="75"/>
              <w:jc w:val="left"/>
              <w:rPr>
                <w:bCs/>
                <w:kern w:val="2"/>
                <w:highlight w:val="none"/>
              </w:rPr>
            </w:pPr>
            <w:r>
              <w:rPr>
                <w:rFonts w:hint="eastAsia"/>
                <w:kern w:val="2"/>
                <w:highlight w:val="none"/>
              </w:rPr>
              <w:t>主要成分：OP乳化剂和硫酸</w:t>
            </w:r>
          </w:p>
        </w:tc>
        <w:tc>
          <w:tcPr>
            <w:tcW w:w="554" w:type="pct"/>
            <w:vAlign w:val="center"/>
          </w:tcPr>
          <w:p w14:paraId="689C1EE5">
            <w:pPr>
              <w:pStyle w:val="75"/>
              <w:rPr>
                <w:rFonts w:hint="default" w:eastAsia="宋体"/>
                <w:bCs/>
                <w:kern w:val="2"/>
                <w:highlight w:val="none"/>
                <w:lang w:val="en-US" w:eastAsia="zh-CN"/>
              </w:rPr>
            </w:pPr>
            <w:r>
              <w:rPr>
                <w:rFonts w:hint="eastAsia"/>
                <w:kern w:val="2"/>
                <w:highlight w:val="none"/>
                <w:lang w:val="en-US" w:eastAsia="zh-CN"/>
              </w:rPr>
              <w:t>0.7</w:t>
            </w:r>
          </w:p>
        </w:tc>
        <w:tc>
          <w:tcPr>
            <w:tcW w:w="490" w:type="pct"/>
            <w:vAlign w:val="center"/>
          </w:tcPr>
          <w:p w14:paraId="3F13E8AB">
            <w:pPr>
              <w:pStyle w:val="75"/>
              <w:rPr>
                <w:bCs/>
                <w:kern w:val="2"/>
                <w:highlight w:val="none"/>
              </w:rPr>
            </w:pPr>
            <w:r>
              <w:rPr>
                <w:rFonts w:hint="eastAsia"/>
                <w:bCs/>
                <w:kern w:val="2"/>
                <w:highlight w:val="none"/>
              </w:rPr>
              <w:t>0.1</w:t>
            </w:r>
          </w:p>
        </w:tc>
        <w:tc>
          <w:tcPr>
            <w:tcW w:w="637" w:type="pct"/>
            <w:vAlign w:val="center"/>
          </w:tcPr>
          <w:p w14:paraId="76432DEA">
            <w:pPr>
              <w:pStyle w:val="75"/>
              <w:rPr>
                <w:bCs/>
                <w:kern w:val="2"/>
                <w:highlight w:val="none"/>
              </w:rPr>
            </w:pPr>
            <w:r>
              <w:rPr>
                <w:bCs/>
                <w:kern w:val="2"/>
                <w:highlight w:val="none"/>
              </w:rPr>
              <w:t>25kg/袋</w:t>
            </w:r>
          </w:p>
        </w:tc>
        <w:tc>
          <w:tcPr>
            <w:tcW w:w="367" w:type="pct"/>
            <w:vMerge w:val="restart"/>
            <w:vAlign w:val="center"/>
          </w:tcPr>
          <w:p w14:paraId="28573450">
            <w:pPr>
              <w:pStyle w:val="75"/>
              <w:rPr>
                <w:bCs/>
                <w:kern w:val="2"/>
                <w:highlight w:val="none"/>
              </w:rPr>
            </w:pPr>
            <w:r>
              <w:rPr>
                <w:rFonts w:hint="eastAsia"/>
                <w:bCs/>
                <w:kern w:val="2"/>
                <w:highlight w:val="none"/>
              </w:rPr>
              <w:t>化学品库</w:t>
            </w:r>
          </w:p>
        </w:tc>
      </w:tr>
      <w:tr w14:paraId="1C137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558D9B7D">
            <w:pPr>
              <w:widowControl/>
              <w:spacing w:line="240" w:lineRule="auto"/>
              <w:ind w:firstLine="0" w:firstLineChars="0"/>
              <w:jc w:val="center"/>
              <w:rPr>
                <w:bCs/>
                <w:kern w:val="2"/>
                <w:sz w:val="21"/>
                <w:szCs w:val="21"/>
                <w:highlight w:val="none"/>
              </w:rPr>
            </w:pPr>
          </w:p>
        </w:tc>
        <w:tc>
          <w:tcPr>
            <w:tcW w:w="376" w:type="pct"/>
            <w:vAlign w:val="center"/>
          </w:tcPr>
          <w:p w14:paraId="50572150">
            <w:pPr>
              <w:pStyle w:val="75"/>
              <w:rPr>
                <w:bCs/>
                <w:kern w:val="2"/>
                <w:highlight w:val="none"/>
              </w:rPr>
            </w:pPr>
            <w:r>
              <w:rPr>
                <w:rFonts w:hint="eastAsia"/>
                <w:kern w:val="2"/>
                <w:highlight w:val="none"/>
              </w:rPr>
              <w:t>电解除油</w:t>
            </w:r>
          </w:p>
        </w:tc>
        <w:tc>
          <w:tcPr>
            <w:tcW w:w="756" w:type="pct"/>
            <w:vAlign w:val="center"/>
          </w:tcPr>
          <w:p w14:paraId="56ACF1FD">
            <w:pPr>
              <w:pStyle w:val="75"/>
              <w:rPr>
                <w:bCs/>
                <w:kern w:val="21"/>
                <w:highlight w:val="none"/>
              </w:rPr>
            </w:pPr>
            <w:r>
              <w:rPr>
                <w:rFonts w:hint="eastAsia"/>
                <w:kern w:val="2"/>
                <w:highlight w:val="none"/>
              </w:rPr>
              <w:t>碱性脱脂剂</w:t>
            </w:r>
          </w:p>
        </w:tc>
        <w:tc>
          <w:tcPr>
            <w:tcW w:w="1433" w:type="pct"/>
            <w:vAlign w:val="center"/>
          </w:tcPr>
          <w:p w14:paraId="4C8F10CB">
            <w:pPr>
              <w:pStyle w:val="75"/>
              <w:jc w:val="left"/>
              <w:rPr>
                <w:bCs/>
                <w:kern w:val="2"/>
                <w:highlight w:val="none"/>
              </w:rPr>
            </w:pPr>
            <w:r>
              <w:rPr>
                <w:rFonts w:hint="eastAsia"/>
                <w:kern w:val="2"/>
                <w:highlight w:val="none"/>
              </w:rPr>
              <w:t>主要成分：氢氧化钠或硅酸钠或碳酸钠</w:t>
            </w:r>
          </w:p>
        </w:tc>
        <w:tc>
          <w:tcPr>
            <w:tcW w:w="554" w:type="pct"/>
            <w:vAlign w:val="center"/>
          </w:tcPr>
          <w:p w14:paraId="2D9F7312">
            <w:pPr>
              <w:pStyle w:val="75"/>
              <w:rPr>
                <w:rFonts w:hint="default" w:eastAsia="宋体"/>
                <w:bCs/>
                <w:kern w:val="2"/>
                <w:highlight w:val="none"/>
                <w:lang w:val="en-US" w:eastAsia="zh-CN"/>
              </w:rPr>
            </w:pPr>
            <w:r>
              <w:rPr>
                <w:rFonts w:hint="eastAsia"/>
                <w:kern w:val="2"/>
                <w:highlight w:val="none"/>
                <w:lang w:val="en-US" w:eastAsia="zh-CN"/>
              </w:rPr>
              <w:t>0.8</w:t>
            </w:r>
          </w:p>
        </w:tc>
        <w:tc>
          <w:tcPr>
            <w:tcW w:w="490" w:type="pct"/>
            <w:vAlign w:val="center"/>
          </w:tcPr>
          <w:p w14:paraId="5532C653">
            <w:pPr>
              <w:pStyle w:val="75"/>
              <w:rPr>
                <w:bCs/>
                <w:kern w:val="2"/>
                <w:highlight w:val="none"/>
              </w:rPr>
            </w:pPr>
            <w:r>
              <w:rPr>
                <w:rFonts w:hint="eastAsia"/>
                <w:bCs/>
                <w:kern w:val="2"/>
                <w:highlight w:val="none"/>
              </w:rPr>
              <w:t>0.1</w:t>
            </w:r>
          </w:p>
        </w:tc>
        <w:tc>
          <w:tcPr>
            <w:tcW w:w="637" w:type="pct"/>
            <w:vAlign w:val="center"/>
          </w:tcPr>
          <w:p w14:paraId="7D06FC55">
            <w:pPr>
              <w:pStyle w:val="75"/>
              <w:rPr>
                <w:bCs/>
                <w:kern w:val="2"/>
                <w:highlight w:val="none"/>
              </w:rPr>
            </w:pPr>
            <w:r>
              <w:rPr>
                <w:bCs/>
                <w:kern w:val="2"/>
                <w:highlight w:val="none"/>
              </w:rPr>
              <w:t>25kg/袋</w:t>
            </w:r>
          </w:p>
        </w:tc>
        <w:tc>
          <w:tcPr>
            <w:tcW w:w="367" w:type="pct"/>
            <w:vMerge w:val="continue"/>
            <w:vAlign w:val="center"/>
          </w:tcPr>
          <w:p w14:paraId="1B5719E5">
            <w:pPr>
              <w:pStyle w:val="75"/>
              <w:rPr>
                <w:bCs/>
                <w:kern w:val="2"/>
                <w:highlight w:val="none"/>
              </w:rPr>
            </w:pPr>
          </w:p>
        </w:tc>
      </w:tr>
      <w:tr w14:paraId="53DD3F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D0B35C7">
            <w:pPr>
              <w:widowControl/>
              <w:spacing w:line="240" w:lineRule="auto"/>
              <w:ind w:firstLine="0" w:firstLineChars="0"/>
              <w:jc w:val="center"/>
              <w:rPr>
                <w:bCs/>
                <w:kern w:val="2"/>
                <w:sz w:val="21"/>
                <w:szCs w:val="21"/>
                <w:highlight w:val="none"/>
              </w:rPr>
            </w:pPr>
          </w:p>
        </w:tc>
        <w:tc>
          <w:tcPr>
            <w:tcW w:w="376" w:type="pct"/>
            <w:vAlign w:val="center"/>
          </w:tcPr>
          <w:p w14:paraId="78760A0E">
            <w:pPr>
              <w:pStyle w:val="75"/>
              <w:rPr>
                <w:bCs/>
                <w:kern w:val="2"/>
                <w:highlight w:val="none"/>
              </w:rPr>
            </w:pPr>
            <w:r>
              <w:rPr>
                <w:rFonts w:hint="eastAsia"/>
                <w:kern w:val="2"/>
                <w:highlight w:val="none"/>
              </w:rPr>
              <w:t>活化</w:t>
            </w:r>
          </w:p>
        </w:tc>
        <w:tc>
          <w:tcPr>
            <w:tcW w:w="756" w:type="pct"/>
            <w:vAlign w:val="center"/>
          </w:tcPr>
          <w:p w14:paraId="3A9C1B31">
            <w:pPr>
              <w:pStyle w:val="75"/>
              <w:rPr>
                <w:bCs/>
                <w:kern w:val="21"/>
                <w:highlight w:val="none"/>
              </w:rPr>
            </w:pPr>
            <w:r>
              <w:rPr>
                <w:kern w:val="2"/>
                <w:highlight w:val="none"/>
              </w:rPr>
              <w:t>硫酸</w:t>
            </w:r>
          </w:p>
        </w:tc>
        <w:tc>
          <w:tcPr>
            <w:tcW w:w="1433" w:type="pct"/>
            <w:vAlign w:val="center"/>
          </w:tcPr>
          <w:p w14:paraId="228284B2">
            <w:pPr>
              <w:pStyle w:val="75"/>
              <w:rPr>
                <w:bCs/>
                <w:kern w:val="2"/>
                <w:highlight w:val="none"/>
              </w:rPr>
            </w:pPr>
            <w:r>
              <w:rPr>
                <w:rFonts w:hint="eastAsia"/>
                <w:kern w:val="2"/>
                <w:highlight w:val="none"/>
              </w:rPr>
              <w:t>98%</w:t>
            </w:r>
          </w:p>
        </w:tc>
        <w:tc>
          <w:tcPr>
            <w:tcW w:w="554" w:type="pct"/>
            <w:vAlign w:val="center"/>
          </w:tcPr>
          <w:p w14:paraId="61CC27AF">
            <w:pPr>
              <w:pStyle w:val="75"/>
              <w:rPr>
                <w:rFonts w:hint="default" w:eastAsia="宋体"/>
                <w:bCs/>
                <w:kern w:val="2"/>
                <w:highlight w:val="none"/>
                <w:lang w:val="en-US" w:eastAsia="zh-CN"/>
              </w:rPr>
            </w:pPr>
            <w:r>
              <w:rPr>
                <w:rFonts w:hint="eastAsia"/>
                <w:kern w:val="2"/>
                <w:highlight w:val="none"/>
                <w:lang w:val="en-US" w:eastAsia="zh-CN"/>
              </w:rPr>
              <w:t>1.9</w:t>
            </w:r>
          </w:p>
        </w:tc>
        <w:tc>
          <w:tcPr>
            <w:tcW w:w="490" w:type="pct"/>
            <w:vAlign w:val="center"/>
          </w:tcPr>
          <w:p w14:paraId="3C607D30">
            <w:pPr>
              <w:pStyle w:val="75"/>
              <w:rPr>
                <w:rFonts w:hint="eastAsia" w:eastAsia="宋体"/>
                <w:bCs/>
                <w:kern w:val="2"/>
                <w:highlight w:val="none"/>
                <w:lang w:eastAsia="zh-CN"/>
              </w:rPr>
            </w:pPr>
            <w:r>
              <w:rPr>
                <w:rFonts w:hint="eastAsia"/>
                <w:bCs/>
                <w:kern w:val="2"/>
                <w:highlight w:val="none"/>
                <w:lang w:val="en-US" w:eastAsia="zh-CN"/>
              </w:rPr>
              <w:t>4</w:t>
            </w:r>
          </w:p>
        </w:tc>
        <w:tc>
          <w:tcPr>
            <w:tcW w:w="637" w:type="pct"/>
            <w:vAlign w:val="center"/>
          </w:tcPr>
          <w:p w14:paraId="567D8C89">
            <w:pPr>
              <w:pStyle w:val="75"/>
              <w:rPr>
                <w:bCs/>
                <w:kern w:val="2"/>
                <w:highlight w:val="none"/>
              </w:rPr>
            </w:pPr>
            <w:r>
              <w:rPr>
                <w:rFonts w:hint="eastAsia"/>
                <w:bCs/>
                <w:kern w:val="2"/>
                <w:highlight w:val="none"/>
              </w:rPr>
              <w:t>4</w:t>
            </w:r>
            <w:r>
              <w:rPr>
                <w:bCs/>
                <w:kern w:val="2"/>
                <w:highlight w:val="none"/>
              </w:rPr>
              <w:t>t</w:t>
            </w:r>
            <w:r>
              <w:rPr>
                <w:rFonts w:hint="eastAsia"/>
                <w:bCs/>
                <w:kern w:val="2"/>
                <w:highlight w:val="none"/>
              </w:rPr>
              <w:t>/储罐</w:t>
            </w:r>
          </w:p>
          <w:p w14:paraId="78BDE64F">
            <w:pPr>
              <w:pStyle w:val="75"/>
              <w:rPr>
                <w:bCs/>
                <w:kern w:val="2"/>
                <w:highlight w:val="none"/>
              </w:rPr>
            </w:pPr>
            <w:r>
              <w:rPr>
                <w:rFonts w:hint="eastAsia"/>
                <w:bCs/>
                <w:kern w:val="2"/>
                <w:highlight w:val="none"/>
              </w:rPr>
              <w:t>(共用</w:t>
            </w:r>
            <w:r>
              <w:rPr>
                <w:bCs/>
                <w:kern w:val="2"/>
                <w:highlight w:val="none"/>
              </w:rPr>
              <w:t>)</w:t>
            </w:r>
          </w:p>
        </w:tc>
        <w:tc>
          <w:tcPr>
            <w:tcW w:w="367" w:type="pct"/>
            <w:vMerge w:val="continue"/>
            <w:vAlign w:val="center"/>
          </w:tcPr>
          <w:p w14:paraId="1693CCD6">
            <w:pPr>
              <w:pStyle w:val="75"/>
              <w:rPr>
                <w:bCs/>
                <w:kern w:val="2"/>
                <w:highlight w:val="none"/>
              </w:rPr>
            </w:pPr>
          </w:p>
        </w:tc>
      </w:tr>
      <w:tr w14:paraId="7A5DF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4" w:type="pct"/>
            <w:vMerge w:val="continue"/>
            <w:vAlign w:val="center"/>
          </w:tcPr>
          <w:p w14:paraId="56ADD488">
            <w:pPr>
              <w:widowControl/>
              <w:spacing w:line="240" w:lineRule="auto"/>
              <w:ind w:firstLine="0" w:firstLineChars="0"/>
              <w:jc w:val="center"/>
              <w:rPr>
                <w:bCs/>
                <w:kern w:val="2"/>
                <w:sz w:val="21"/>
                <w:szCs w:val="21"/>
                <w:highlight w:val="none"/>
              </w:rPr>
            </w:pPr>
          </w:p>
        </w:tc>
        <w:tc>
          <w:tcPr>
            <w:tcW w:w="376" w:type="pct"/>
            <w:vMerge w:val="restart"/>
            <w:vAlign w:val="center"/>
          </w:tcPr>
          <w:p w14:paraId="7368DCC7">
            <w:pPr>
              <w:pStyle w:val="75"/>
              <w:rPr>
                <w:bCs/>
                <w:kern w:val="2"/>
                <w:highlight w:val="none"/>
              </w:rPr>
            </w:pPr>
            <w:r>
              <w:rPr>
                <w:rFonts w:hint="eastAsia"/>
                <w:bCs/>
                <w:kern w:val="2"/>
                <w:highlight w:val="none"/>
              </w:rPr>
              <w:t>镀镍</w:t>
            </w:r>
          </w:p>
        </w:tc>
        <w:tc>
          <w:tcPr>
            <w:tcW w:w="756" w:type="pct"/>
            <w:vAlign w:val="center"/>
          </w:tcPr>
          <w:p w14:paraId="620B3D4C">
            <w:pPr>
              <w:pStyle w:val="75"/>
              <w:rPr>
                <w:bCs/>
                <w:kern w:val="21"/>
                <w:highlight w:val="none"/>
              </w:rPr>
            </w:pPr>
            <w:r>
              <w:rPr>
                <w:rFonts w:hint="eastAsia"/>
                <w:bCs/>
                <w:kern w:val="2"/>
                <w:highlight w:val="none"/>
              </w:rPr>
              <w:t>镍板</w:t>
            </w:r>
          </w:p>
        </w:tc>
        <w:tc>
          <w:tcPr>
            <w:tcW w:w="1433" w:type="pct"/>
            <w:vAlign w:val="center"/>
          </w:tcPr>
          <w:p w14:paraId="10B0F26A">
            <w:pPr>
              <w:pStyle w:val="75"/>
              <w:rPr>
                <w:bCs/>
                <w:kern w:val="2"/>
                <w:highlight w:val="none"/>
              </w:rPr>
            </w:pPr>
            <w:r>
              <w:rPr>
                <w:rFonts w:hint="eastAsia"/>
                <w:bCs/>
                <w:kern w:val="2"/>
                <w:highlight w:val="none"/>
              </w:rPr>
              <w:t>99.9%</w:t>
            </w:r>
          </w:p>
        </w:tc>
        <w:tc>
          <w:tcPr>
            <w:tcW w:w="554" w:type="pct"/>
            <w:vAlign w:val="center"/>
          </w:tcPr>
          <w:p w14:paraId="265F23D6">
            <w:pPr>
              <w:pStyle w:val="75"/>
              <w:rPr>
                <w:rFonts w:hint="default" w:eastAsia="宋体"/>
                <w:bCs/>
                <w:kern w:val="2"/>
                <w:highlight w:val="none"/>
                <w:lang w:val="en-US" w:eastAsia="zh-CN"/>
              </w:rPr>
            </w:pPr>
            <w:r>
              <w:rPr>
                <w:rFonts w:hint="eastAsia"/>
                <w:bCs/>
                <w:kern w:val="2"/>
                <w:highlight w:val="none"/>
                <w:lang w:val="en-US" w:eastAsia="zh-CN"/>
              </w:rPr>
              <w:t>23</w:t>
            </w:r>
          </w:p>
        </w:tc>
        <w:tc>
          <w:tcPr>
            <w:tcW w:w="490" w:type="pct"/>
            <w:vAlign w:val="center"/>
          </w:tcPr>
          <w:p w14:paraId="2E25E3A6">
            <w:pPr>
              <w:pStyle w:val="75"/>
              <w:rPr>
                <w:bCs/>
                <w:kern w:val="2"/>
                <w:highlight w:val="none"/>
              </w:rPr>
            </w:pPr>
            <w:r>
              <w:rPr>
                <w:rFonts w:hint="eastAsia"/>
                <w:bCs/>
                <w:kern w:val="2"/>
                <w:highlight w:val="none"/>
              </w:rPr>
              <w:t>1</w:t>
            </w:r>
          </w:p>
        </w:tc>
        <w:tc>
          <w:tcPr>
            <w:tcW w:w="637" w:type="pct"/>
            <w:vAlign w:val="center"/>
          </w:tcPr>
          <w:p w14:paraId="1D4CC22B">
            <w:pPr>
              <w:pStyle w:val="75"/>
              <w:rPr>
                <w:bCs/>
                <w:kern w:val="2"/>
                <w:highlight w:val="none"/>
              </w:rPr>
            </w:pPr>
            <w:r>
              <w:rPr>
                <w:rFonts w:hint="eastAsia"/>
                <w:bCs/>
                <w:kern w:val="2"/>
                <w:highlight w:val="none"/>
              </w:rPr>
              <w:t>5kg/块</w:t>
            </w:r>
          </w:p>
        </w:tc>
        <w:tc>
          <w:tcPr>
            <w:tcW w:w="367" w:type="pct"/>
            <w:vMerge w:val="continue"/>
            <w:vAlign w:val="center"/>
          </w:tcPr>
          <w:p w14:paraId="2B49DB48">
            <w:pPr>
              <w:pStyle w:val="75"/>
              <w:rPr>
                <w:bCs/>
                <w:kern w:val="2"/>
                <w:highlight w:val="none"/>
              </w:rPr>
            </w:pPr>
          </w:p>
        </w:tc>
      </w:tr>
      <w:tr w14:paraId="627F9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E572808">
            <w:pPr>
              <w:widowControl/>
              <w:spacing w:line="240" w:lineRule="auto"/>
              <w:ind w:firstLine="0" w:firstLineChars="0"/>
              <w:jc w:val="center"/>
              <w:rPr>
                <w:bCs/>
                <w:kern w:val="2"/>
                <w:sz w:val="21"/>
                <w:szCs w:val="21"/>
                <w:highlight w:val="none"/>
              </w:rPr>
            </w:pPr>
          </w:p>
        </w:tc>
        <w:tc>
          <w:tcPr>
            <w:tcW w:w="376" w:type="pct"/>
            <w:vMerge w:val="continue"/>
            <w:vAlign w:val="center"/>
          </w:tcPr>
          <w:p w14:paraId="473A5B3A">
            <w:pPr>
              <w:pStyle w:val="75"/>
              <w:rPr>
                <w:bCs/>
                <w:kern w:val="2"/>
                <w:highlight w:val="none"/>
              </w:rPr>
            </w:pPr>
          </w:p>
        </w:tc>
        <w:tc>
          <w:tcPr>
            <w:tcW w:w="756" w:type="pct"/>
            <w:vAlign w:val="center"/>
          </w:tcPr>
          <w:p w14:paraId="07A28587">
            <w:pPr>
              <w:pStyle w:val="75"/>
              <w:rPr>
                <w:bCs/>
                <w:kern w:val="21"/>
                <w:highlight w:val="none"/>
              </w:rPr>
            </w:pPr>
            <w:r>
              <w:rPr>
                <w:rFonts w:hint="eastAsia"/>
                <w:bCs/>
                <w:kern w:val="2"/>
                <w:highlight w:val="none"/>
              </w:rPr>
              <w:t>六水硫酸镍</w:t>
            </w:r>
          </w:p>
        </w:tc>
        <w:tc>
          <w:tcPr>
            <w:tcW w:w="1433" w:type="pct"/>
            <w:vAlign w:val="center"/>
          </w:tcPr>
          <w:p w14:paraId="2B7F0807">
            <w:pPr>
              <w:pStyle w:val="75"/>
              <w:rPr>
                <w:bCs/>
                <w:kern w:val="2"/>
                <w:highlight w:val="none"/>
              </w:rPr>
            </w:pPr>
            <w:r>
              <w:rPr>
                <w:bCs/>
                <w:kern w:val="2"/>
                <w:highlight w:val="none"/>
              </w:rPr>
              <w:t>95%</w:t>
            </w:r>
          </w:p>
        </w:tc>
        <w:tc>
          <w:tcPr>
            <w:tcW w:w="554" w:type="pct"/>
            <w:vAlign w:val="center"/>
          </w:tcPr>
          <w:p w14:paraId="00E82B85">
            <w:pPr>
              <w:pStyle w:val="75"/>
              <w:rPr>
                <w:rFonts w:hint="default" w:eastAsia="宋体"/>
                <w:bCs/>
                <w:kern w:val="2"/>
                <w:highlight w:val="none"/>
                <w:lang w:val="en-US" w:eastAsia="zh-CN"/>
              </w:rPr>
            </w:pPr>
            <w:r>
              <w:rPr>
                <w:rFonts w:hint="eastAsia"/>
                <w:bCs/>
                <w:kern w:val="2"/>
                <w:highlight w:val="none"/>
                <w:lang w:val="en-US" w:eastAsia="zh-CN"/>
              </w:rPr>
              <w:t>2.7</w:t>
            </w:r>
          </w:p>
        </w:tc>
        <w:tc>
          <w:tcPr>
            <w:tcW w:w="490" w:type="pct"/>
            <w:vAlign w:val="center"/>
          </w:tcPr>
          <w:p w14:paraId="5A54815B">
            <w:pPr>
              <w:pStyle w:val="75"/>
              <w:rPr>
                <w:rFonts w:hint="default" w:eastAsia="宋体"/>
                <w:bCs/>
                <w:kern w:val="2"/>
                <w:highlight w:val="none"/>
                <w:lang w:val="en-US" w:eastAsia="zh-CN"/>
              </w:rPr>
            </w:pPr>
            <w:r>
              <w:rPr>
                <w:rFonts w:hint="eastAsia"/>
                <w:bCs/>
                <w:kern w:val="2"/>
                <w:highlight w:val="none"/>
                <w:lang w:val="en-US" w:eastAsia="zh-CN"/>
              </w:rPr>
              <w:t>0.4</w:t>
            </w:r>
          </w:p>
        </w:tc>
        <w:tc>
          <w:tcPr>
            <w:tcW w:w="637" w:type="pct"/>
            <w:vAlign w:val="center"/>
          </w:tcPr>
          <w:p w14:paraId="60763E4C">
            <w:pPr>
              <w:pStyle w:val="75"/>
              <w:rPr>
                <w:bCs/>
                <w:kern w:val="2"/>
                <w:highlight w:val="none"/>
              </w:rPr>
            </w:pPr>
            <w:r>
              <w:rPr>
                <w:bCs/>
                <w:kern w:val="2"/>
                <w:highlight w:val="none"/>
              </w:rPr>
              <w:t>25kg/袋</w:t>
            </w:r>
          </w:p>
        </w:tc>
        <w:tc>
          <w:tcPr>
            <w:tcW w:w="367" w:type="pct"/>
            <w:vMerge w:val="continue"/>
            <w:vAlign w:val="center"/>
          </w:tcPr>
          <w:p w14:paraId="2A499488">
            <w:pPr>
              <w:pStyle w:val="75"/>
              <w:rPr>
                <w:bCs/>
                <w:kern w:val="2"/>
                <w:highlight w:val="none"/>
              </w:rPr>
            </w:pPr>
          </w:p>
        </w:tc>
      </w:tr>
      <w:tr w14:paraId="771FE7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ABF6F56">
            <w:pPr>
              <w:widowControl/>
              <w:spacing w:line="240" w:lineRule="auto"/>
              <w:ind w:firstLine="0" w:firstLineChars="0"/>
              <w:jc w:val="center"/>
              <w:rPr>
                <w:bCs/>
                <w:kern w:val="2"/>
                <w:sz w:val="21"/>
                <w:szCs w:val="21"/>
                <w:highlight w:val="none"/>
              </w:rPr>
            </w:pPr>
          </w:p>
        </w:tc>
        <w:tc>
          <w:tcPr>
            <w:tcW w:w="376" w:type="pct"/>
            <w:vMerge w:val="continue"/>
            <w:vAlign w:val="center"/>
          </w:tcPr>
          <w:p w14:paraId="18462723">
            <w:pPr>
              <w:pStyle w:val="75"/>
              <w:rPr>
                <w:bCs/>
                <w:kern w:val="2"/>
                <w:highlight w:val="none"/>
              </w:rPr>
            </w:pPr>
          </w:p>
        </w:tc>
        <w:tc>
          <w:tcPr>
            <w:tcW w:w="756" w:type="pct"/>
            <w:vAlign w:val="center"/>
          </w:tcPr>
          <w:p w14:paraId="1CA7CAF0">
            <w:pPr>
              <w:pStyle w:val="75"/>
              <w:rPr>
                <w:bCs/>
                <w:kern w:val="21"/>
                <w:highlight w:val="none"/>
              </w:rPr>
            </w:pPr>
            <w:r>
              <w:rPr>
                <w:rFonts w:hint="eastAsia"/>
                <w:bCs/>
                <w:kern w:val="2"/>
                <w:highlight w:val="none"/>
              </w:rPr>
              <w:t>六水氯化镍</w:t>
            </w:r>
          </w:p>
        </w:tc>
        <w:tc>
          <w:tcPr>
            <w:tcW w:w="1433" w:type="pct"/>
            <w:vAlign w:val="center"/>
          </w:tcPr>
          <w:p w14:paraId="49CB3595">
            <w:pPr>
              <w:pStyle w:val="75"/>
              <w:rPr>
                <w:bCs/>
                <w:kern w:val="2"/>
                <w:highlight w:val="none"/>
              </w:rPr>
            </w:pPr>
            <w:r>
              <w:rPr>
                <w:bCs/>
                <w:kern w:val="2"/>
                <w:highlight w:val="none"/>
              </w:rPr>
              <w:t>95%</w:t>
            </w:r>
          </w:p>
        </w:tc>
        <w:tc>
          <w:tcPr>
            <w:tcW w:w="554" w:type="pct"/>
            <w:vAlign w:val="center"/>
          </w:tcPr>
          <w:p w14:paraId="44FE5B13">
            <w:pPr>
              <w:pStyle w:val="75"/>
              <w:rPr>
                <w:rFonts w:hint="default" w:eastAsia="宋体"/>
                <w:bCs/>
                <w:kern w:val="2"/>
                <w:highlight w:val="none"/>
                <w:lang w:val="en-US" w:eastAsia="zh-CN"/>
              </w:rPr>
            </w:pPr>
            <w:r>
              <w:rPr>
                <w:rFonts w:hint="eastAsia"/>
                <w:bCs/>
                <w:kern w:val="2"/>
                <w:highlight w:val="none"/>
                <w:lang w:val="en-US" w:eastAsia="zh-CN"/>
              </w:rPr>
              <w:t>0.6</w:t>
            </w:r>
          </w:p>
        </w:tc>
        <w:tc>
          <w:tcPr>
            <w:tcW w:w="490" w:type="pct"/>
            <w:vAlign w:val="center"/>
          </w:tcPr>
          <w:p w14:paraId="68CC859F">
            <w:pPr>
              <w:pStyle w:val="75"/>
              <w:rPr>
                <w:rFonts w:hint="default" w:eastAsia="宋体"/>
                <w:bCs/>
                <w:kern w:val="2"/>
                <w:highlight w:val="none"/>
                <w:lang w:val="en-US" w:eastAsia="zh-CN"/>
              </w:rPr>
            </w:pPr>
            <w:r>
              <w:rPr>
                <w:rFonts w:hint="eastAsia"/>
                <w:bCs/>
                <w:kern w:val="2"/>
                <w:highlight w:val="none"/>
                <w:lang w:val="en-US" w:eastAsia="zh-CN"/>
              </w:rPr>
              <w:t>0.1</w:t>
            </w:r>
          </w:p>
        </w:tc>
        <w:tc>
          <w:tcPr>
            <w:tcW w:w="637" w:type="pct"/>
            <w:vAlign w:val="center"/>
          </w:tcPr>
          <w:p w14:paraId="59247A71">
            <w:pPr>
              <w:pStyle w:val="75"/>
              <w:rPr>
                <w:bCs/>
                <w:kern w:val="2"/>
                <w:highlight w:val="none"/>
              </w:rPr>
            </w:pPr>
            <w:r>
              <w:rPr>
                <w:bCs/>
                <w:kern w:val="2"/>
                <w:highlight w:val="none"/>
              </w:rPr>
              <w:t>25kg/袋</w:t>
            </w:r>
          </w:p>
        </w:tc>
        <w:tc>
          <w:tcPr>
            <w:tcW w:w="367" w:type="pct"/>
            <w:vMerge w:val="continue"/>
            <w:vAlign w:val="center"/>
          </w:tcPr>
          <w:p w14:paraId="5EBD7938">
            <w:pPr>
              <w:pStyle w:val="75"/>
              <w:rPr>
                <w:bCs/>
                <w:kern w:val="2"/>
                <w:highlight w:val="none"/>
              </w:rPr>
            </w:pPr>
          </w:p>
        </w:tc>
      </w:tr>
      <w:tr w14:paraId="0C473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41D42830">
            <w:pPr>
              <w:widowControl/>
              <w:spacing w:line="240" w:lineRule="auto"/>
              <w:ind w:firstLine="0" w:firstLineChars="0"/>
              <w:jc w:val="center"/>
              <w:rPr>
                <w:bCs/>
                <w:kern w:val="2"/>
                <w:sz w:val="21"/>
                <w:szCs w:val="21"/>
                <w:highlight w:val="none"/>
              </w:rPr>
            </w:pPr>
          </w:p>
        </w:tc>
        <w:tc>
          <w:tcPr>
            <w:tcW w:w="376" w:type="pct"/>
            <w:vMerge w:val="continue"/>
            <w:vAlign w:val="center"/>
          </w:tcPr>
          <w:p w14:paraId="3E594D46">
            <w:pPr>
              <w:pStyle w:val="75"/>
              <w:rPr>
                <w:bCs/>
                <w:kern w:val="2"/>
                <w:highlight w:val="none"/>
              </w:rPr>
            </w:pPr>
          </w:p>
        </w:tc>
        <w:tc>
          <w:tcPr>
            <w:tcW w:w="756" w:type="pct"/>
            <w:vAlign w:val="center"/>
          </w:tcPr>
          <w:p w14:paraId="6C3E5474">
            <w:pPr>
              <w:pStyle w:val="75"/>
              <w:rPr>
                <w:bCs/>
                <w:kern w:val="21"/>
                <w:highlight w:val="none"/>
              </w:rPr>
            </w:pPr>
            <w:r>
              <w:rPr>
                <w:rFonts w:hint="eastAsia"/>
                <w:bCs/>
                <w:kern w:val="2"/>
                <w:highlight w:val="none"/>
              </w:rPr>
              <w:t>硼酸</w:t>
            </w:r>
          </w:p>
        </w:tc>
        <w:tc>
          <w:tcPr>
            <w:tcW w:w="1433" w:type="pct"/>
            <w:vAlign w:val="center"/>
          </w:tcPr>
          <w:p w14:paraId="5E4531FB">
            <w:pPr>
              <w:pStyle w:val="75"/>
              <w:rPr>
                <w:bCs/>
                <w:kern w:val="2"/>
                <w:highlight w:val="none"/>
              </w:rPr>
            </w:pPr>
            <w:r>
              <w:rPr>
                <w:bCs/>
                <w:kern w:val="2"/>
                <w:highlight w:val="none"/>
              </w:rPr>
              <w:t>99%</w:t>
            </w:r>
          </w:p>
        </w:tc>
        <w:tc>
          <w:tcPr>
            <w:tcW w:w="554" w:type="pct"/>
            <w:vAlign w:val="center"/>
          </w:tcPr>
          <w:p w14:paraId="2037409B">
            <w:pPr>
              <w:pStyle w:val="75"/>
              <w:rPr>
                <w:rFonts w:hint="default" w:eastAsia="宋体"/>
                <w:bCs/>
                <w:kern w:val="2"/>
                <w:highlight w:val="none"/>
                <w:lang w:val="en-US" w:eastAsia="zh-CN"/>
              </w:rPr>
            </w:pPr>
            <w:r>
              <w:rPr>
                <w:rFonts w:hint="eastAsia"/>
                <w:bCs/>
                <w:kern w:val="2"/>
                <w:highlight w:val="none"/>
                <w:lang w:val="en-US" w:eastAsia="zh-CN"/>
              </w:rPr>
              <w:t>0.5</w:t>
            </w:r>
          </w:p>
        </w:tc>
        <w:tc>
          <w:tcPr>
            <w:tcW w:w="490" w:type="pct"/>
            <w:vAlign w:val="center"/>
          </w:tcPr>
          <w:p w14:paraId="64843FA6">
            <w:pPr>
              <w:pStyle w:val="75"/>
              <w:rPr>
                <w:bCs/>
                <w:kern w:val="2"/>
                <w:highlight w:val="none"/>
              </w:rPr>
            </w:pPr>
            <w:r>
              <w:rPr>
                <w:rFonts w:hint="eastAsia"/>
                <w:bCs/>
                <w:kern w:val="2"/>
                <w:highlight w:val="none"/>
              </w:rPr>
              <w:t>0.1</w:t>
            </w:r>
          </w:p>
        </w:tc>
        <w:tc>
          <w:tcPr>
            <w:tcW w:w="637" w:type="pct"/>
            <w:vAlign w:val="center"/>
          </w:tcPr>
          <w:p w14:paraId="358C71F3">
            <w:pPr>
              <w:pStyle w:val="75"/>
              <w:rPr>
                <w:bCs/>
                <w:kern w:val="2"/>
                <w:highlight w:val="none"/>
              </w:rPr>
            </w:pPr>
            <w:r>
              <w:rPr>
                <w:bCs/>
                <w:kern w:val="2"/>
                <w:highlight w:val="none"/>
              </w:rPr>
              <w:t>25kg/袋</w:t>
            </w:r>
          </w:p>
        </w:tc>
        <w:tc>
          <w:tcPr>
            <w:tcW w:w="367" w:type="pct"/>
            <w:vMerge w:val="continue"/>
            <w:vAlign w:val="center"/>
          </w:tcPr>
          <w:p w14:paraId="39C02157">
            <w:pPr>
              <w:pStyle w:val="75"/>
              <w:rPr>
                <w:bCs/>
                <w:kern w:val="2"/>
                <w:highlight w:val="none"/>
              </w:rPr>
            </w:pPr>
          </w:p>
        </w:tc>
      </w:tr>
      <w:tr w14:paraId="28C20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2BBC3EDA">
            <w:pPr>
              <w:widowControl/>
              <w:spacing w:line="240" w:lineRule="auto"/>
              <w:ind w:firstLine="0" w:firstLineChars="0"/>
              <w:jc w:val="center"/>
              <w:rPr>
                <w:bCs/>
                <w:kern w:val="2"/>
                <w:sz w:val="21"/>
                <w:szCs w:val="21"/>
                <w:highlight w:val="none"/>
              </w:rPr>
            </w:pPr>
          </w:p>
        </w:tc>
        <w:tc>
          <w:tcPr>
            <w:tcW w:w="376" w:type="pct"/>
            <w:vAlign w:val="center"/>
          </w:tcPr>
          <w:p w14:paraId="6E8BDA85">
            <w:pPr>
              <w:pStyle w:val="75"/>
              <w:rPr>
                <w:bCs/>
                <w:kern w:val="2"/>
                <w:highlight w:val="none"/>
              </w:rPr>
            </w:pPr>
            <w:r>
              <w:rPr>
                <w:rFonts w:hint="eastAsia"/>
                <w:kern w:val="2"/>
                <w:highlight w:val="none"/>
              </w:rPr>
              <w:t>中和</w:t>
            </w:r>
          </w:p>
        </w:tc>
        <w:tc>
          <w:tcPr>
            <w:tcW w:w="756" w:type="pct"/>
            <w:vAlign w:val="center"/>
          </w:tcPr>
          <w:p w14:paraId="4F374452">
            <w:pPr>
              <w:pStyle w:val="75"/>
              <w:rPr>
                <w:bCs/>
                <w:kern w:val="21"/>
                <w:highlight w:val="none"/>
              </w:rPr>
            </w:pPr>
            <w:r>
              <w:rPr>
                <w:rFonts w:hint="eastAsia"/>
                <w:kern w:val="2"/>
                <w:highlight w:val="none"/>
              </w:rPr>
              <w:t>氢氧化钠</w:t>
            </w:r>
          </w:p>
        </w:tc>
        <w:tc>
          <w:tcPr>
            <w:tcW w:w="1433" w:type="pct"/>
            <w:vAlign w:val="center"/>
          </w:tcPr>
          <w:p w14:paraId="42FF6F81">
            <w:pPr>
              <w:pStyle w:val="75"/>
              <w:rPr>
                <w:bCs/>
                <w:kern w:val="2"/>
                <w:highlight w:val="none"/>
              </w:rPr>
            </w:pPr>
            <w:r>
              <w:rPr>
                <w:kern w:val="2"/>
                <w:highlight w:val="none"/>
              </w:rPr>
              <w:t>/</w:t>
            </w:r>
          </w:p>
        </w:tc>
        <w:tc>
          <w:tcPr>
            <w:tcW w:w="554" w:type="pct"/>
            <w:vAlign w:val="center"/>
          </w:tcPr>
          <w:p w14:paraId="015512C1">
            <w:pPr>
              <w:pStyle w:val="75"/>
              <w:rPr>
                <w:rFonts w:hint="default" w:eastAsia="宋体"/>
                <w:bCs/>
                <w:kern w:val="2"/>
                <w:highlight w:val="none"/>
                <w:lang w:val="en-US" w:eastAsia="zh-CN"/>
              </w:rPr>
            </w:pPr>
            <w:r>
              <w:rPr>
                <w:rFonts w:hint="eastAsia"/>
                <w:kern w:val="2"/>
                <w:highlight w:val="none"/>
                <w:lang w:val="en-US" w:eastAsia="zh-CN"/>
              </w:rPr>
              <w:t>1.6</w:t>
            </w:r>
          </w:p>
        </w:tc>
        <w:tc>
          <w:tcPr>
            <w:tcW w:w="490" w:type="pct"/>
            <w:vAlign w:val="center"/>
          </w:tcPr>
          <w:p w14:paraId="6E30C481">
            <w:pPr>
              <w:pStyle w:val="75"/>
              <w:rPr>
                <w:bCs/>
                <w:kern w:val="2"/>
                <w:highlight w:val="none"/>
              </w:rPr>
            </w:pPr>
            <w:r>
              <w:rPr>
                <w:rFonts w:hint="eastAsia"/>
                <w:bCs/>
                <w:kern w:val="2"/>
                <w:highlight w:val="none"/>
              </w:rPr>
              <w:t>0.1</w:t>
            </w:r>
          </w:p>
        </w:tc>
        <w:tc>
          <w:tcPr>
            <w:tcW w:w="637" w:type="pct"/>
            <w:vAlign w:val="center"/>
          </w:tcPr>
          <w:p w14:paraId="2960CF5A">
            <w:pPr>
              <w:pStyle w:val="75"/>
              <w:rPr>
                <w:bCs/>
                <w:kern w:val="2"/>
                <w:highlight w:val="none"/>
              </w:rPr>
            </w:pPr>
            <w:r>
              <w:rPr>
                <w:bCs/>
                <w:kern w:val="2"/>
                <w:highlight w:val="none"/>
              </w:rPr>
              <w:t>25kg/袋</w:t>
            </w:r>
          </w:p>
        </w:tc>
        <w:tc>
          <w:tcPr>
            <w:tcW w:w="367" w:type="pct"/>
            <w:vMerge w:val="continue"/>
            <w:vAlign w:val="center"/>
          </w:tcPr>
          <w:p w14:paraId="1E91C2A7">
            <w:pPr>
              <w:pStyle w:val="75"/>
              <w:rPr>
                <w:bCs/>
                <w:kern w:val="2"/>
                <w:highlight w:val="none"/>
              </w:rPr>
            </w:pPr>
          </w:p>
        </w:tc>
      </w:tr>
      <w:tr w14:paraId="29964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14:paraId="67E10AFD">
            <w:pPr>
              <w:pStyle w:val="75"/>
              <w:rPr>
                <w:b/>
                <w:kern w:val="2"/>
              </w:rPr>
            </w:pPr>
            <w:r>
              <w:rPr>
                <w:rFonts w:hint="eastAsia"/>
                <w:b/>
                <w:kern w:val="2"/>
              </w:rPr>
              <w:t>污水处理措施</w:t>
            </w:r>
          </w:p>
        </w:tc>
      </w:tr>
      <w:tr w14:paraId="7CE0F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restart"/>
            <w:vAlign w:val="center"/>
          </w:tcPr>
          <w:p w14:paraId="519F120A">
            <w:pPr>
              <w:widowControl/>
              <w:spacing w:line="240" w:lineRule="auto"/>
              <w:ind w:firstLine="0" w:firstLineChars="0"/>
              <w:jc w:val="center"/>
              <w:rPr>
                <w:rFonts w:hint="eastAsia"/>
                <w:bCs/>
                <w:kern w:val="2"/>
                <w:sz w:val="21"/>
                <w:szCs w:val="21"/>
                <w:highlight w:val="none"/>
              </w:rPr>
            </w:pPr>
            <w:r>
              <w:rPr>
                <w:rFonts w:hint="eastAsia"/>
                <w:bCs/>
                <w:kern w:val="2"/>
                <w:sz w:val="21"/>
                <w:szCs w:val="21"/>
                <w:highlight w:val="none"/>
              </w:rPr>
              <w:t>污水处理自动加药装置</w:t>
            </w:r>
          </w:p>
        </w:tc>
        <w:tc>
          <w:tcPr>
            <w:tcW w:w="1133" w:type="pct"/>
            <w:gridSpan w:val="2"/>
            <w:vAlign w:val="center"/>
          </w:tcPr>
          <w:p w14:paraId="75C037CC">
            <w:pPr>
              <w:pStyle w:val="75"/>
              <w:rPr>
                <w:bCs/>
                <w:kern w:val="21"/>
                <w:highlight w:val="none"/>
              </w:rPr>
            </w:pPr>
            <w:r>
              <w:rPr>
                <w:rFonts w:hint="eastAsia"/>
                <w:bCs/>
                <w:kern w:val="21"/>
                <w:highlight w:val="none"/>
              </w:rPr>
              <w:t>氢氧化钠</w:t>
            </w:r>
          </w:p>
        </w:tc>
        <w:tc>
          <w:tcPr>
            <w:tcW w:w="1433" w:type="pct"/>
            <w:vAlign w:val="center"/>
          </w:tcPr>
          <w:p w14:paraId="65A16435">
            <w:pPr>
              <w:pStyle w:val="75"/>
              <w:rPr>
                <w:bCs/>
                <w:kern w:val="2"/>
                <w:highlight w:val="none"/>
              </w:rPr>
            </w:pPr>
            <w:r>
              <w:rPr>
                <w:rFonts w:hint="eastAsia"/>
                <w:bCs/>
                <w:kern w:val="2"/>
                <w:highlight w:val="none"/>
              </w:rPr>
              <w:t>99%</w:t>
            </w:r>
          </w:p>
        </w:tc>
        <w:tc>
          <w:tcPr>
            <w:tcW w:w="554" w:type="pct"/>
            <w:vAlign w:val="center"/>
          </w:tcPr>
          <w:p w14:paraId="72AFF06F">
            <w:pPr>
              <w:pStyle w:val="75"/>
              <w:rPr>
                <w:bCs/>
                <w:kern w:val="2"/>
                <w:highlight w:val="none"/>
              </w:rPr>
            </w:pPr>
            <w:r>
              <w:rPr>
                <w:rFonts w:hint="eastAsia"/>
                <w:bCs/>
                <w:kern w:val="2"/>
                <w:highlight w:val="none"/>
              </w:rPr>
              <w:t>220</w:t>
            </w:r>
          </w:p>
        </w:tc>
        <w:tc>
          <w:tcPr>
            <w:tcW w:w="490" w:type="pct"/>
            <w:vAlign w:val="center"/>
          </w:tcPr>
          <w:p w14:paraId="1A703431">
            <w:pPr>
              <w:pStyle w:val="75"/>
              <w:rPr>
                <w:bCs/>
                <w:kern w:val="2"/>
                <w:highlight w:val="none"/>
              </w:rPr>
            </w:pPr>
            <w:r>
              <w:rPr>
                <w:rFonts w:hint="eastAsia"/>
                <w:bCs/>
                <w:kern w:val="2"/>
                <w:highlight w:val="none"/>
              </w:rPr>
              <w:t>5</w:t>
            </w:r>
          </w:p>
        </w:tc>
        <w:tc>
          <w:tcPr>
            <w:tcW w:w="637" w:type="pct"/>
            <w:vAlign w:val="center"/>
          </w:tcPr>
          <w:p w14:paraId="2096E253">
            <w:pPr>
              <w:pStyle w:val="75"/>
              <w:rPr>
                <w:bCs/>
                <w:kern w:val="2"/>
                <w:highlight w:val="none"/>
              </w:rPr>
            </w:pPr>
            <w:r>
              <w:rPr>
                <w:bCs/>
                <w:kern w:val="2"/>
                <w:highlight w:val="none"/>
              </w:rPr>
              <w:t>25kg/袋</w:t>
            </w:r>
          </w:p>
        </w:tc>
        <w:tc>
          <w:tcPr>
            <w:tcW w:w="367" w:type="pct"/>
            <w:vMerge w:val="restart"/>
            <w:vAlign w:val="center"/>
          </w:tcPr>
          <w:p w14:paraId="44B76191">
            <w:pPr>
              <w:pStyle w:val="75"/>
              <w:rPr>
                <w:bCs/>
                <w:kern w:val="2"/>
                <w:highlight w:val="none"/>
              </w:rPr>
            </w:pPr>
            <w:r>
              <w:rPr>
                <w:rFonts w:hint="eastAsia"/>
                <w:bCs/>
                <w:kern w:val="2"/>
                <w:highlight w:val="none"/>
              </w:rPr>
              <w:t>化学品库</w:t>
            </w:r>
          </w:p>
        </w:tc>
      </w:tr>
      <w:tr w14:paraId="4A6615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8F8F38E">
            <w:pPr>
              <w:widowControl/>
              <w:spacing w:line="240" w:lineRule="auto"/>
              <w:ind w:firstLine="0" w:firstLineChars="0"/>
              <w:jc w:val="center"/>
              <w:rPr>
                <w:bCs/>
                <w:kern w:val="2"/>
                <w:sz w:val="21"/>
                <w:szCs w:val="21"/>
                <w:highlight w:val="none"/>
              </w:rPr>
            </w:pPr>
          </w:p>
        </w:tc>
        <w:tc>
          <w:tcPr>
            <w:tcW w:w="1133" w:type="pct"/>
            <w:gridSpan w:val="2"/>
            <w:vAlign w:val="center"/>
          </w:tcPr>
          <w:p w14:paraId="0F232E5F">
            <w:pPr>
              <w:pStyle w:val="75"/>
              <w:rPr>
                <w:bCs/>
                <w:kern w:val="21"/>
                <w:highlight w:val="none"/>
              </w:rPr>
            </w:pPr>
            <w:r>
              <w:rPr>
                <w:rFonts w:hint="eastAsia"/>
                <w:bCs/>
                <w:kern w:val="21"/>
                <w:highlight w:val="none"/>
              </w:rPr>
              <w:t>亚硫酸铁</w:t>
            </w:r>
          </w:p>
        </w:tc>
        <w:tc>
          <w:tcPr>
            <w:tcW w:w="1433" w:type="pct"/>
            <w:vAlign w:val="center"/>
          </w:tcPr>
          <w:p w14:paraId="1CC050B6">
            <w:pPr>
              <w:pStyle w:val="75"/>
              <w:rPr>
                <w:bCs/>
                <w:kern w:val="2"/>
                <w:highlight w:val="none"/>
              </w:rPr>
            </w:pPr>
            <w:r>
              <w:rPr>
                <w:rFonts w:hint="eastAsia"/>
                <w:bCs/>
                <w:kern w:val="2"/>
                <w:highlight w:val="none"/>
              </w:rPr>
              <w:t>50%</w:t>
            </w:r>
          </w:p>
        </w:tc>
        <w:tc>
          <w:tcPr>
            <w:tcW w:w="554" w:type="pct"/>
            <w:vAlign w:val="center"/>
          </w:tcPr>
          <w:p w14:paraId="5CBD6DAE">
            <w:pPr>
              <w:pStyle w:val="75"/>
              <w:rPr>
                <w:bCs/>
                <w:kern w:val="2"/>
                <w:highlight w:val="none"/>
              </w:rPr>
            </w:pPr>
            <w:r>
              <w:rPr>
                <w:rFonts w:hint="eastAsia"/>
                <w:bCs/>
                <w:kern w:val="2"/>
                <w:highlight w:val="none"/>
              </w:rPr>
              <w:t>160</w:t>
            </w:r>
          </w:p>
        </w:tc>
        <w:tc>
          <w:tcPr>
            <w:tcW w:w="490" w:type="pct"/>
            <w:vAlign w:val="center"/>
          </w:tcPr>
          <w:p w14:paraId="64128BBE">
            <w:pPr>
              <w:pStyle w:val="75"/>
              <w:rPr>
                <w:bCs/>
                <w:kern w:val="2"/>
                <w:highlight w:val="none"/>
              </w:rPr>
            </w:pPr>
            <w:r>
              <w:rPr>
                <w:rFonts w:hint="eastAsia"/>
                <w:bCs/>
                <w:kern w:val="2"/>
                <w:highlight w:val="none"/>
              </w:rPr>
              <w:t>4</w:t>
            </w:r>
          </w:p>
        </w:tc>
        <w:tc>
          <w:tcPr>
            <w:tcW w:w="637" w:type="pct"/>
            <w:vAlign w:val="center"/>
          </w:tcPr>
          <w:p w14:paraId="25AE224B">
            <w:pPr>
              <w:pStyle w:val="75"/>
              <w:rPr>
                <w:bCs/>
                <w:kern w:val="2"/>
                <w:highlight w:val="none"/>
              </w:rPr>
            </w:pPr>
            <w:r>
              <w:rPr>
                <w:bCs/>
                <w:kern w:val="2"/>
                <w:highlight w:val="none"/>
              </w:rPr>
              <w:t>25kg/袋</w:t>
            </w:r>
          </w:p>
        </w:tc>
        <w:tc>
          <w:tcPr>
            <w:tcW w:w="367" w:type="pct"/>
            <w:vMerge w:val="continue"/>
            <w:vAlign w:val="center"/>
          </w:tcPr>
          <w:p w14:paraId="009C0121">
            <w:pPr>
              <w:pStyle w:val="75"/>
              <w:rPr>
                <w:bCs/>
                <w:kern w:val="2"/>
                <w:highlight w:val="none"/>
              </w:rPr>
            </w:pPr>
          </w:p>
        </w:tc>
      </w:tr>
      <w:tr w14:paraId="2BB507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08143A4">
            <w:pPr>
              <w:widowControl/>
              <w:spacing w:line="240" w:lineRule="auto"/>
              <w:ind w:firstLine="0" w:firstLineChars="0"/>
              <w:jc w:val="center"/>
              <w:rPr>
                <w:bCs/>
                <w:kern w:val="2"/>
                <w:sz w:val="21"/>
                <w:szCs w:val="21"/>
                <w:highlight w:val="none"/>
              </w:rPr>
            </w:pPr>
          </w:p>
        </w:tc>
        <w:tc>
          <w:tcPr>
            <w:tcW w:w="1133" w:type="pct"/>
            <w:gridSpan w:val="2"/>
            <w:vAlign w:val="center"/>
          </w:tcPr>
          <w:p w14:paraId="13036BD7">
            <w:pPr>
              <w:pStyle w:val="75"/>
              <w:rPr>
                <w:bCs/>
                <w:kern w:val="21"/>
                <w:highlight w:val="none"/>
              </w:rPr>
            </w:pPr>
            <w:r>
              <w:rPr>
                <w:rFonts w:hint="eastAsia"/>
                <w:bCs/>
                <w:kern w:val="21"/>
                <w:highlight w:val="none"/>
              </w:rPr>
              <w:t>双氧水</w:t>
            </w:r>
          </w:p>
        </w:tc>
        <w:tc>
          <w:tcPr>
            <w:tcW w:w="1433" w:type="pct"/>
            <w:vAlign w:val="center"/>
          </w:tcPr>
          <w:p w14:paraId="757E367F">
            <w:pPr>
              <w:pStyle w:val="75"/>
              <w:rPr>
                <w:bCs/>
                <w:kern w:val="2"/>
                <w:highlight w:val="none"/>
              </w:rPr>
            </w:pPr>
            <w:r>
              <w:rPr>
                <w:rFonts w:hint="eastAsia"/>
                <w:bCs/>
                <w:kern w:val="2"/>
                <w:highlight w:val="none"/>
              </w:rPr>
              <w:t>30%</w:t>
            </w:r>
          </w:p>
        </w:tc>
        <w:tc>
          <w:tcPr>
            <w:tcW w:w="554" w:type="pct"/>
            <w:vAlign w:val="center"/>
          </w:tcPr>
          <w:p w14:paraId="5D18C0D2">
            <w:pPr>
              <w:pStyle w:val="75"/>
              <w:rPr>
                <w:bCs/>
                <w:kern w:val="2"/>
                <w:highlight w:val="none"/>
              </w:rPr>
            </w:pPr>
            <w:r>
              <w:rPr>
                <w:rFonts w:hint="eastAsia"/>
                <w:bCs/>
                <w:kern w:val="2"/>
                <w:highlight w:val="none"/>
              </w:rPr>
              <w:t>100</w:t>
            </w:r>
          </w:p>
        </w:tc>
        <w:tc>
          <w:tcPr>
            <w:tcW w:w="490" w:type="pct"/>
            <w:vAlign w:val="center"/>
          </w:tcPr>
          <w:p w14:paraId="719175DD">
            <w:pPr>
              <w:pStyle w:val="75"/>
              <w:rPr>
                <w:bCs/>
                <w:kern w:val="2"/>
                <w:highlight w:val="none"/>
              </w:rPr>
            </w:pPr>
            <w:r>
              <w:rPr>
                <w:rFonts w:hint="eastAsia"/>
                <w:bCs/>
                <w:kern w:val="2"/>
                <w:highlight w:val="none"/>
              </w:rPr>
              <w:t>2</w:t>
            </w:r>
          </w:p>
        </w:tc>
        <w:tc>
          <w:tcPr>
            <w:tcW w:w="637" w:type="pct"/>
            <w:vAlign w:val="center"/>
          </w:tcPr>
          <w:p w14:paraId="4F46E689">
            <w:pPr>
              <w:pStyle w:val="75"/>
              <w:rPr>
                <w:bCs/>
                <w:kern w:val="2"/>
                <w:highlight w:val="none"/>
              </w:rPr>
            </w:pPr>
            <w:r>
              <w:rPr>
                <w:bCs/>
                <w:kern w:val="2"/>
                <w:highlight w:val="none"/>
              </w:rPr>
              <w:t>2</w:t>
            </w:r>
            <w:r>
              <w:rPr>
                <w:rFonts w:hint="eastAsia"/>
                <w:bCs/>
                <w:kern w:val="2"/>
                <w:highlight w:val="none"/>
              </w:rPr>
              <w:t>5</w:t>
            </w:r>
            <w:r>
              <w:rPr>
                <w:bCs/>
                <w:kern w:val="2"/>
                <w:highlight w:val="none"/>
              </w:rPr>
              <w:t>kg/桶</w:t>
            </w:r>
          </w:p>
        </w:tc>
        <w:tc>
          <w:tcPr>
            <w:tcW w:w="367" w:type="pct"/>
            <w:vMerge w:val="continue"/>
            <w:vAlign w:val="center"/>
          </w:tcPr>
          <w:p w14:paraId="611BC5F3">
            <w:pPr>
              <w:pStyle w:val="75"/>
              <w:rPr>
                <w:bCs/>
                <w:kern w:val="2"/>
                <w:highlight w:val="none"/>
              </w:rPr>
            </w:pPr>
          </w:p>
        </w:tc>
      </w:tr>
      <w:tr w14:paraId="05A4D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2E7CD85D">
            <w:pPr>
              <w:widowControl/>
              <w:spacing w:line="240" w:lineRule="auto"/>
              <w:ind w:firstLine="0" w:firstLineChars="0"/>
              <w:jc w:val="center"/>
              <w:rPr>
                <w:bCs/>
                <w:kern w:val="2"/>
                <w:sz w:val="21"/>
                <w:szCs w:val="21"/>
                <w:highlight w:val="none"/>
              </w:rPr>
            </w:pPr>
          </w:p>
        </w:tc>
        <w:tc>
          <w:tcPr>
            <w:tcW w:w="1133" w:type="pct"/>
            <w:gridSpan w:val="2"/>
            <w:vAlign w:val="center"/>
          </w:tcPr>
          <w:p w14:paraId="206C4C4A">
            <w:pPr>
              <w:pStyle w:val="75"/>
              <w:rPr>
                <w:bCs/>
                <w:kern w:val="21"/>
                <w:highlight w:val="none"/>
              </w:rPr>
            </w:pPr>
            <w:r>
              <w:rPr>
                <w:bCs/>
                <w:kern w:val="21"/>
                <w:highlight w:val="none"/>
              </w:rPr>
              <w:t>PAC</w:t>
            </w:r>
            <w:r>
              <w:rPr>
                <w:rFonts w:hint="eastAsia"/>
                <w:bCs/>
                <w:kern w:val="21"/>
                <w:highlight w:val="none"/>
              </w:rPr>
              <w:t>（混凝剂）</w:t>
            </w:r>
          </w:p>
        </w:tc>
        <w:tc>
          <w:tcPr>
            <w:tcW w:w="1433" w:type="pct"/>
            <w:vAlign w:val="center"/>
          </w:tcPr>
          <w:p w14:paraId="1FDD6EBA">
            <w:pPr>
              <w:pStyle w:val="75"/>
              <w:rPr>
                <w:bCs/>
                <w:kern w:val="2"/>
                <w:highlight w:val="none"/>
              </w:rPr>
            </w:pPr>
            <w:r>
              <w:rPr>
                <w:rFonts w:hint="eastAsia"/>
                <w:bCs/>
                <w:kern w:val="2"/>
                <w:highlight w:val="none"/>
              </w:rPr>
              <w:t>99%</w:t>
            </w:r>
          </w:p>
        </w:tc>
        <w:tc>
          <w:tcPr>
            <w:tcW w:w="554" w:type="pct"/>
            <w:vAlign w:val="center"/>
          </w:tcPr>
          <w:p w14:paraId="16A0A852">
            <w:pPr>
              <w:pStyle w:val="75"/>
              <w:rPr>
                <w:bCs/>
                <w:kern w:val="2"/>
                <w:highlight w:val="none"/>
              </w:rPr>
            </w:pPr>
            <w:r>
              <w:rPr>
                <w:rFonts w:hint="eastAsia"/>
                <w:bCs/>
                <w:kern w:val="2"/>
                <w:highlight w:val="none"/>
              </w:rPr>
              <w:t>145</w:t>
            </w:r>
          </w:p>
        </w:tc>
        <w:tc>
          <w:tcPr>
            <w:tcW w:w="490" w:type="pct"/>
            <w:vAlign w:val="center"/>
          </w:tcPr>
          <w:p w14:paraId="419DE2E4">
            <w:pPr>
              <w:pStyle w:val="75"/>
              <w:rPr>
                <w:bCs/>
                <w:kern w:val="2"/>
                <w:highlight w:val="none"/>
              </w:rPr>
            </w:pPr>
            <w:r>
              <w:rPr>
                <w:rFonts w:hint="eastAsia"/>
                <w:bCs/>
                <w:kern w:val="2"/>
                <w:highlight w:val="none"/>
              </w:rPr>
              <w:t>4</w:t>
            </w:r>
          </w:p>
        </w:tc>
        <w:tc>
          <w:tcPr>
            <w:tcW w:w="637" w:type="pct"/>
            <w:vAlign w:val="center"/>
          </w:tcPr>
          <w:p w14:paraId="35E25C33">
            <w:pPr>
              <w:pStyle w:val="75"/>
              <w:rPr>
                <w:bCs/>
                <w:kern w:val="2"/>
                <w:highlight w:val="none"/>
              </w:rPr>
            </w:pPr>
            <w:r>
              <w:rPr>
                <w:bCs/>
                <w:kern w:val="2"/>
                <w:highlight w:val="none"/>
              </w:rPr>
              <w:t>25kg/袋</w:t>
            </w:r>
          </w:p>
        </w:tc>
        <w:tc>
          <w:tcPr>
            <w:tcW w:w="367" w:type="pct"/>
            <w:vMerge w:val="continue"/>
            <w:vAlign w:val="center"/>
          </w:tcPr>
          <w:p w14:paraId="471A229B">
            <w:pPr>
              <w:pStyle w:val="75"/>
              <w:rPr>
                <w:bCs/>
                <w:kern w:val="2"/>
                <w:highlight w:val="none"/>
              </w:rPr>
            </w:pPr>
          </w:p>
        </w:tc>
      </w:tr>
      <w:tr w14:paraId="59677C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7A27EF97">
            <w:pPr>
              <w:widowControl/>
              <w:spacing w:line="240" w:lineRule="auto"/>
              <w:ind w:firstLine="0" w:firstLineChars="0"/>
              <w:jc w:val="center"/>
              <w:rPr>
                <w:bCs/>
                <w:kern w:val="2"/>
                <w:sz w:val="21"/>
                <w:szCs w:val="21"/>
                <w:highlight w:val="none"/>
              </w:rPr>
            </w:pPr>
          </w:p>
        </w:tc>
        <w:tc>
          <w:tcPr>
            <w:tcW w:w="1133" w:type="pct"/>
            <w:gridSpan w:val="2"/>
            <w:vAlign w:val="center"/>
          </w:tcPr>
          <w:p w14:paraId="415EBCA6">
            <w:pPr>
              <w:pStyle w:val="75"/>
              <w:rPr>
                <w:bCs/>
                <w:kern w:val="21"/>
                <w:highlight w:val="none"/>
              </w:rPr>
            </w:pPr>
            <w:r>
              <w:rPr>
                <w:rFonts w:hint="eastAsia"/>
                <w:bCs/>
                <w:kern w:val="21"/>
                <w:highlight w:val="none"/>
              </w:rPr>
              <w:t>P</w:t>
            </w:r>
            <w:r>
              <w:rPr>
                <w:bCs/>
                <w:kern w:val="21"/>
                <w:highlight w:val="none"/>
              </w:rPr>
              <w:t>AM</w:t>
            </w:r>
            <w:r>
              <w:rPr>
                <w:rFonts w:hint="eastAsia"/>
                <w:bCs/>
                <w:kern w:val="21"/>
                <w:highlight w:val="none"/>
              </w:rPr>
              <w:t>（混凝剂）</w:t>
            </w:r>
          </w:p>
        </w:tc>
        <w:tc>
          <w:tcPr>
            <w:tcW w:w="1433" w:type="pct"/>
            <w:vAlign w:val="center"/>
          </w:tcPr>
          <w:p w14:paraId="5CAADE00">
            <w:pPr>
              <w:pStyle w:val="75"/>
              <w:rPr>
                <w:bCs/>
                <w:kern w:val="2"/>
                <w:highlight w:val="none"/>
              </w:rPr>
            </w:pPr>
            <w:r>
              <w:rPr>
                <w:rFonts w:hint="eastAsia"/>
                <w:bCs/>
                <w:kern w:val="2"/>
                <w:highlight w:val="none"/>
              </w:rPr>
              <w:t>99%</w:t>
            </w:r>
          </w:p>
        </w:tc>
        <w:tc>
          <w:tcPr>
            <w:tcW w:w="554" w:type="pct"/>
            <w:vAlign w:val="center"/>
          </w:tcPr>
          <w:p w14:paraId="0939A032">
            <w:pPr>
              <w:pStyle w:val="75"/>
              <w:rPr>
                <w:bCs/>
                <w:kern w:val="2"/>
                <w:highlight w:val="none"/>
              </w:rPr>
            </w:pPr>
            <w:r>
              <w:rPr>
                <w:rFonts w:hint="eastAsia"/>
                <w:bCs/>
                <w:kern w:val="2"/>
                <w:highlight w:val="none"/>
              </w:rPr>
              <w:t>6</w:t>
            </w:r>
          </w:p>
        </w:tc>
        <w:tc>
          <w:tcPr>
            <w:tcW w:w="490" w:type="pct"/>
            <w:vAlign w:val="center"/>
          </w:tcPr>
          <w:p w14:paraId="54EB38E5">
            <w:pPr>
              <w:pStyle w:val="75"/>
              <w:rPr>
                <w:bCs/>
                <w:kern w:val="2"/>
                <w:highlight w:val="none"/>
              </w:rPr>
            </w:pPr>
            <w:r>
              <w:rPr>
                <w:rFonts w:hint="eastAsia"/>
                <w:bCs/>
                <w:kern w:val="2"/>
                <w:highlight w:val="none"/>
              </w:rPr>
              <w:t>0.1</w:t>
            </w:r>
          </w:p>
        </w:tc>
        <w:tc>
          <w:tcPr>
            <w:tcW w:w="637" w:type="pct"/>
            <w:vAlign w:val="center"/>
          </w:tcPr>
          <w:p w14:paraId="76DB31D1">
            <w:pPr>
              <w:pStyle w:val="75"/>
              <w:rPr>
                <w:bCs/>
                <w:kern w:val="2"/>
                <w:highlight w:val="none"/>
              </w:rPr>
            </w:pPr>
            <w:r>
              <w:rPr>
                <w:bCs/>
                <w:kern w:val="2"/>
                <w:highlight w:val="none"/>
              </w:rPr>
              <w:t>25kg/袋</w:t>
            </w:r>
          </w:p>
        </w:tc>
        <w:tc>
          <w:tcPr>
            <w:tcW w:w="367" w:type="pct"/>
            <w:vMerge w:val="continue"/>
            <w:vAlign w:val="center"/>
          </w:tcPr>
          <w:p w14:paraId="70C49585">
            <w:pPr>
              <w:pStyle w:val="75"/>
              <w:rPr>
                <w:bCs/>
                <w:kern w:val="2"/>
                <w:highlight w:val="none"/>
              </w:rPr>
            </w:pPr>
          </w:p>
        </w:tc>
      </w:tr>
      <w:tr w14:paraId="556A6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3015451A">
            <w:pPr>
              <w:widowControl/>
              <w:spacing w:line="240" w:lineRule="auto"/>
              <w:ind w:firstLine="0" w:firstLineChars="0"/>
              <w:jc w:val="center"/>
              <w:rPr>
                <w:bCs/>
                <w:kern w:val="2"/>
                <w:sz w:val="21"/>
                <w:szCs w:val="21"/>
                <w:highlight w:val="none"/>
              </w:rPr>
            </w:pPr>
          </w:p>
        </w:tc>
        <w:tc>
          <w:tcPr>
            <w:tcW w:w="1133" w:type="pct"/>
            <w:gridSpan w:val="2"/>
            <w:vAlign w:val="center"/>
          </w:tcPr>
          <w:p w14:paraId="4776BB32">
            <w:pPr>
              <w:pStyle w:val="75"/>
              <w:rPr>
                <w:bCs/>
                <w:kern w:val="21"/>
                <w:highlight w:val="none"/>
              </w:rPr>
            </w:pPr>
            <w:r>
              <w:rPr>
                <w:rFonts w:hint="eastAsia"/>
                <w:bCs/>
                <w:kern w:val="21"/>
                <w:highlight w:val="none"/>
              </w:rPr>
              <w:t>重捕剂</w:t>
            </w:r>
          </w:p>
        </w:tc>
        <w:tc>
          <w:tcPr>
            <w:tcW w:w="1433" w:type="pct"/>
            <w:vAlign w:val="center"/>
          </w:tcPr>
          <w:p w14:paraId="0C5CFAEB">
            <w:pPr>
              <w:pStyle w:val="75"/>
              <w:rPr>
                <w:bCs/>
                <w:kern w:val="2"/>
                <w:highlight w:val="none"/>
              </w:rPr>
            </w:pPr>
            <w:r>
              <w:rPr>
                <w:rFonts w:hint="eastAsia"/>
                <w:bCs/>
                <w:kern w:val="2"/>
                <w:highlight w:val="none"/>
              </w:rPr>
              <w:t>99%</w:t>
            </w:r>
          </w:p>
        </w:tc>
        <w:tc>
          <w:tcPr>
            <w:tcW w:w="554" w:type="pct"/>
            <w:vAlign w:val="center"/>
          </w:tcPr>
          <w:p w14:paraId="5FCA6EBD">
            <w:pPr>
              <w:pStyle w:val="75"/>
              <w:rPr>
                <w:bCs/>
                <w:kern w:val="2"/>
                <w:highlight w:val="none"/>
              </w:rPr>
            </w:pPr>
            <w:r>
              <w:rPr>
                <w:rFonts w:hint="eastAsia"/>
                <w:bCs/>
                <w:kern w:val="2"/>
                <w:highlight w:val="none"/>
              </w:rPr>
              <w:t>60</w:t>
            </w:r>
          </w:p>
        </w:tc>
        <w:tc>
          <w:tcPr>
            <w:tcW w:w="490" w:type="pct"/>
            <w:vAlign w:val="center"/>
          </w:tcPr>
          <w:p w14:paraId="45AFFC55">
            <w:pPr>
              <w:pStyle w:val="75"/>
              <w:rPr>
                <w:bCs/>
                <w:kern w:val="2"/>
                <w:highlight w:val="none"/>
              </w:rPr>
            </w:pPr>
            <w:r>
              <w:rPr>
                <w:rFonts w:hint="eastAsia"/>
                <w:bCs/>
                <w:kern w:val="2"/>
                <w:highlight w:val="none"/>
              </w:rPr>
              <w:t>2</w:t>
            </w:r>
          </w:p>
        </w:tc>
        <w:tc>
          <w:tcPr>
            <w:tcW w:w="637" w:type="pct"/>
            <w:vAlign w:val="center"/>
          </w:tcPr>
          <w:p w14:paraId="6CA571F9">
            <w:pPr>
              <w:pStyle w:val="75"/>
              <w:rPr>
                <w:bCs/>
                <w:kern w:val="2"/>
                <w:highlight w:val="none"/>
              </w:rPr>
            </w:pPr>
            <w:r>
              <w:rPr>
                <w:rFonts w:hint="eastAsia"/>
                <w:bCs/>
                <w:kern w:val="2"/>
                <w:highlight w:val="none"/>
              </w:rPr>
              <w:t>5</w:t>
            </w:r>
            <w:r>
              <w:rPr>
                <w:bCs/>
                <w:kern w:val="2"/>
                <w:highlight w:val="none"/>
              </w:rPr>
              <w:t>kg/袋</w:t>
            </w:r>
          </w:p>
        </w:tc>
        <w:tc>
          <w:tcPr>
            <w:tcW w:w="367" w:type="pct"/>
            <w:vMerge w:val="continue"/>
            <w:vAlign w:val="center"/>
          </w:tcPr>
          <w:p w14:paraId="1235A820">
            <w:pPr>
              <w:pStyle w:val="75"/>
              <w:rPr>
                <w:bCs/>
                <w:kern w:val="2"/>
                <w:highlight w:val="none"/>
              </w:rPr>
            </w:pPr>
          </w:p>
        </w:tc>
      </w:tr>
      <w:tr w14:paraId="63546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4" w:type="pct"/>
            <w:vMerge w:val="continue"/>
            <w:vAlign w:val="center"/>
          </w:tcPr>
          <w:p w14:paraId="01490D44">
            <w:pPr>
              <w:widowControl/>
              <w:spacing w:line="240" w:lineRule="auto"/>
              <w:ind w:firstLine="0" w:firstLineChars="0"/>
              <w:jc w:val="center"/>
              <w:rPr>
                <w:bCs/>
                <w:kern w:val="2"/>
                <w:sz w:val="21"/>
                <w:szCs w:val="21"/>
                <w:highlight w:val="none"/>
              </w:rPr>
            </w:pPr>
          </w:p>
        </w:tc>
        <w:tc>
          <w:tcPr>
            <w:tcW w:w="1133" w:type="pct"/>
            <w:gridSpan w:val="2"/>
            <w:vAlign w:val="center"/>
          </w:tcPr>
          <w:p w14:paraId="49914468">
            <w:pPr>
              <w:pStyle w:val="75"/>
              <w:rPr>
                <w:rFonts w:hint="eastAsia"/>
                <w:bCs/>
                <w:kern w:val="21"/>
                <w:highlight w:val="none"/>
              </w:rPr>
            </w:pPr>
            <w:r>
              <w:rPr>
                <w:rFonts w:hint="eastAsia"/>
                <w:bCs/>
                <w:kern w:val="21"/>
                <w:highlight w:val="none"/>
              </w:rPr>
              <w:t>破乳剂</w:t>
            </w:r>
          </w:p>
        </w:tc>
        <w:tc>
          <w:tcPr>
            <w:tcW w:w="1433" w:type="pct"/>
            <w:vAlign w:val="center"/>
          </w:tcPr>
          <w:p w14:paraId="502E00DA">
            <w:pPr>
              <w:pStyle w:val="75"/>
              <w:rPr>
                <w:bCs/>
                <w:kern w:val="2"/>
                <w:highlight w:val="none"/>
              </w:rPr>
            </w:pPr>
            <w:r>
              <w:rPr>
                <w:rFonts w:hint="eastAsia"/>
                <w:bCs/>
                <w:kern w:val="2"/>
                <w:highlight w:val="none"/>
              </w:rPr>
              <w:t>99%</w:t>
            </w:r>
          </w:p>
        </w:tc>
        <w:tc>
          <w:tcPr>
            <w:tcW w:w="554" w:type="pct"/>
            <w:vAlign w:val="center"/>
          </w:tcPr>
          <w:p w14:paraId="0428A9DD">
            <w:pPr>
              <w:pStyle w:val="75"/>
              <w:rPr>
                <w:bCs/>
                <w:kern w:val="2"/>
                <w:highlight w:val="none"/>
              </w:rPr>
            </w:pPr>
            <w:r>
              <w:rPr>
                <w:rFonts w:hint="eastAsia"/>
                <w:bCs/>
                <w:kern w:val="2"/>
                <w:highlight w:val="none"/>
              </w:rPr>
              <w:t>40</w:t>
            </w:r>
          </w:p>
        </w:tc>
        <w:tc>
          <w:tcPr>
            <w:tcW w:w="490" w:type="pct"/>
            <w:vAlign w:val="center"/>
          </w:tcPr>
          <w:p w14:paraId="4EB3CAE5">
            <w:pPr>
              <w:pStyle w:val="75"/>
              <w:rPr>
                <w:bCs/>
                <w:kern w:val="2"/>
                <w:highlight w:val="none"/>
              </w:rPr>
            </w:pPr>
            <w:r>
              <w:rPr>
                <w:rFonts w:hint="eastAsia"/>
                <w:bCs/>
                <w:kern w:val="2"/>
                <w:highlight w:val="none"/>
              </w:rPr>
              <w:t>1</w:t>
            </w:r>
          </w:p>
        </w:tc>
        <w:tc>
          <w:tcPr>
            <w:tcW w:w="637" w:type="pct"/>
            <w:vAlign w:val="center"/>
          </w:tcPr>
          <w:p w14:paraId="57E408CE">
            <w:pPr>
              <w:pStyle w:val="75"/>
              <w:rPr>
                <w:bCs/>
                <w:kern w:val="2"/>
                <w:highlight w:val="none"/>
              </w:rPr>
            </w:pPr>
            <w:r>
              <w:rPr>
                <w:bCs/>
                <w:kern w:val="2"/>
                <w:highlight w:val="none"/>
              </w:rPr>
              <w:t>2</w:t>
            </w:r>
            <w:r>
              <w:rPr>
                <w:rFonts w:hint="eastAsia"/>
                <w:bCs/>
                <w:kern w:val="2"/>
                <w:highlight w:val="none"/>
              </w:rPr>
              <w:t>5</w:t>
            </w:r>
            <w:r>
              <w:rPr>
                <w:bCs/>
                <w:kern w:val="2"/>
                <w:highlight w:val="none"/>
              </w:rPr>
              <w:t>kg/桶</w:t>
            </w:r>
          </w:p>
        </w:tc>
        <w:tc>
          <w:tcPr>
            <w:tcW w:w="367" w:type="pct"/>
            <w:vMerge w:val="continue"/>
            <w:vAlign w:val="center"/>
          </w:tcPr>
          <w:p w14:paraId="2489565D">
            <w:pPr>
              <w:pStyle w:val="75"/>
              <w:rPr>
                <w:bCs/>
                <w:kern w:val="2"/>
                <w:highlight w:val="none"/>
              </w:rPr>
            </w:pPr>
          </w:p>
        </w:tc>
      </w:tr>
      <w:tr w14:paraId="639FE0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14:paraId="136E0CA0">
            <w:pPr>
              <w:pStyle w:val="75"/>
              <w:rPr>
                <w:b/>
                <w:kern w:val="2"/>
              </w:rPr>
            </w:pPr>
            <w:r>
              <w:rPr>
                <w:rFonts w:hint="eastAsia"/>
                <w:b/>
                <w:kern w:val="2"/>
              </w:rPr>
              <w:t>公用资源能源</w:t>
            </w:r>
          </w:p>
        </w:tc>
      </w:tr>
      <w:tr w14:paraId="52E64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gridSpan w:val="2"/>
            <w:vMerge w:val="restart"/>
            <w:vAlign w:val="center"/>
          </w:tcPr>
          <w:p w14:paraId="1D96B136">
            <w:pPr>
              <w:pStyle w:val="75"/>
              <w:rPr>
                <w:bCs/>
                <w:kern w:val="2"/>
              </w:rPr>
            </w:pPr>
            <w:r>
              <w:rPr>
                <w:rFonts w:hint="eastAsia"/>
                <w:bCs/>
                <w:kern w:val="2"/>
              </w:rPr>
              <w:t>资源能源</w:t>
            </w:r>
          </w:p>
        </w:tc>
        <w:tc>
          <w:tcPr>
            <w:tcW w:w="756" w:type="pct"/>
            <w:vAlign w:val="center"/>
          </w:tcPr>
          <w:p w14:paraId="49C0D069">
            <w:pPr>
              <w:pStyle w:val="75"/>
              <w:rPr>
                <w:bCs/>
                <w:kern w:val="2"/>
                <w:highlight w:val="none"/>
              </w:rPr>
            </w:pPr>
            <w:r>
              <w:rPr>
                <w:rFonts w:hint="eastAsia"/>
                <w:bCs/>
                <w:kern w:val="2"/>
                <w:highlight w:val="none"/>
              </w:rPr>
              <w:t>水</w:t>
            </w:r>
          </w:p>
        </w:tc>
        <w:tc>
          <w:tcPr>
            <w:tcW w:w="1987" w:type="pct"/>
            <w:gridSpan w:val="2"/>
            <w:vAlign w:val="center"/>
          </w:tcPr>
          <w:p w14:paraId="6CD647A9">
            <w:pPr>
              <w:pStyle w:val="75"/>
              <w:rPr>
                <w:color w:val="0000FF"/>
                <w:highlight w:val="none"/>
              </w:rPr>
            </w:pPr>
            <w:r>
              <w:rPr>
                <w:rFonts w:hint="eastAsia"/>
                <w:b w:val="0"/>
                <w:bCs/>
                <w:color w:val="000000" w:themeColor="text1"/>
                <w:kern w:val="2"/>
                <w:highlight w:val="none"/>
                <w:lang w:val="en-US" w:eastAsia="zh-CN"/>
                <w14:textFill>
                  <w14:solidFill>
                    <w14:schemeClr w14:val="tx1"/>
                  </w14:solidFill>
                </w14:textFill>
              </w:rPr>
              <w:t>83038.2</w:t>
            </w:r>
            <w:r>
              <w:rPr>
                <w:rFonts w:hint="eastAsia"/>
                <w:b w:val="0"/>
                <w:bCs/>
                <w:color w:val="000000" w:themeColor="text1"/>
                <w:kern w:val="2"/>
                <w:highlight w:val="none"/>
                <w14:textFill>
                  <w14:solidFill>
                    <w14:schemeClr w14:val="tx1"/>
                  </w14:solidFill>
                </w14:textFill>
              </w:rPr>
              <w:t>m</w:t>
            </w:r>
            <w:r>
              <w:rPr>
                <w:rFonts w:hint="eastAsia"/>
                <w:b w:val="0"/>
                <w:bCs/>
                <w:color w:val="000000" w:themeColor="text1"/>
                <w:kern w:val="2"/>
                <w:highlight w:val="none"/>
                <w:vertAlign w:val="superscript"/>
                <w14:textFill>
                  <w14:solidFill>
                    <w14:schemeClr w14:val="tx1"/>
                  </w14:solidFill>
                </w14:textFill>
              </w:rPr>
              <w:t>3</w:t>
            </w:r>
            <w:r>
              <w:rPr>
                <w:rFonts w:hint="eastAsia"/>
                <w:b w:val="0"/>
                <w:bCs/>
                <w:color w:val="000000" w:themeColor="text1"/>
                <w:kern w:val="2"/>
                <w:highlight w:val="none"/>
                <w14:textFill>
                  <w14:solidFill>
                    <w14:schemeClr w14:val="tx1"/>
                  </w14:solidFill>
                </w14:textFill>
              </w:rPr>
              <w:t>/a</w:t>
            </w:r>
          </w:p>
        </w:tc>
        <w:tc>
          <w:tcPr>
            <w:tcW w:w="1495" w:type="pct"/>
            <w:gridSpan w:val="3"/>
            <w:vAlign w:val="center"/>
          </w:tcPr>
          <w:p w14:paraId="42E28ADF">
            <w:pPr>
              <w:pStyle w:val="75"/>
              <w:rPr>
                <w:bCs/>
                <w:kern w:val="2"/>
                <w:highlight w:val="none"/>
              </w:rPr>
            </w:pPr>
            <w:r>
              <w:rPr>
                <w:highlight w:val="none"/>
              </w:rPr>
              <w:t>园区统一供</w:t>
            </w:r>
            <w:r>
              <w:rPr>
                <w:rFonts w:hint="eastAsia"/>
                <w:highlight w:val="none"/>
              </w:rPr>
              <w:t>水</w:t>
            </w:r>
          </w:p>
        </w:tc>
      </w:tr>
      <w:tr w14:paraId="6866CD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gridSpan w:val="2"/>
            <w:vMerge w:val="continue"/>
            <w:vAlign w:val="center"/>
          </w:tcPr>
          <w:p w14:paraId="09BE39FA">
            <w:pPr>
              <w:widowControl/>
              <w:spacing w:line="240" w:lineRule="auto"/>
              <w:ind w:firstLine="0" w:firstLineChars="0"/>
              <w:jc w:val="center"/>
              <w:rPr>
                <w:bCs/>
                <w:kern w:val="2"/>
                <w:sz w:val="21"/>
                <w:szCs w:val="21"/>
              </w:rPr>
            </w:pPr>
          </w:p>
        </w:tc>
        <w:tc>
          <w:tcPr>
            <w:tcW w:w="756" w:type="pct"/>
            <w:vAlign w:val="center"/>
          </w:tcPr>
          <w:p w14:paraId="5C09F8FA">
            <w:pPr>
              <w:pStyle w:val="75"/>
              <w:rPr>
                <w:bCs/>
                <w:kern w:val="2"/>
                <w:highlight w:val="none"/>
              </w:rPr>
            </w:pPr>
            <w:r>
              <w:rPr>
                <w:rFonts w:hint="eastAsia"/>
                <w:bCs/>
                <w:kern w:val="2"/>
                <w:highlight w:val="none"/>
              </w:rPr>
              <w:t>电</w:t>
            </w:r>
          </w:p>
        </w:tc>
        <w:tc>
          <w:tcPr>
            <w:tcW w:w="1987" w:type="pct"/>
            <w:gridSpan w:val="2"/>
            <w:vAlign w:val="center"/>
          </w:tcPr>
          <w:p w14:paraId="6872E340">
            <w:pPr>
              <w:pStyle w:val="75"/>
              <w:rPr>
                <w:color w:val="0000FF"/>
                <w:highlight w:val="none"/>
              </w:rPr>
            </w:pPr>
            <w:r>
              <w:rPr>
                <w:rFonts w:hint="eastAsia"/>
                <w:bCs/>
                <w:color w:val="000000" w:themeColor="text1"/>
                <w:kern w:val="2"/>
                <w:highlight w:val="none"/>
                <w14:textFill>
                  <w14:solidFill>
                    <w14:schemeClr w14:val="tx1"/>
                  </w14:solidFill>
                </w14:textFill>
              </w:rPr>
              <w:t>1000</w:t>
            </w:r>
            <w:r>
              <w:rPr>
                <w:bCs/>
                <w:color w:val="000000" w:themeColor="text1"/>
                <w:highlight w:val="none"/>
                <w14:textFill>
                  <w14:solidFill>
                    <w14:schemeClr w14:val="tx1"/>
                  </w14:solidFill>
                </w14:textFill>
              </w:rPr>
              <w:t>万kW·h</w:t>
            </w:r>
            <w:r>
              <w:rPr>
                <w:rFonts w:hint="eastAsia"/>
                <w:bCs/>
                <w:color w:val="000000" w:themeColor="text1"/>
                <w:highlight w:val="none"/>
                <w14:textFill>
                  <w14:solidFill>
                    <w14:schemeClr w14:val="tx1"/>
                  </w14:solidFill>
                </w14:textFill>
              </w:rPr>
              <w:t>/a</w:t>
            </w:r>
          </w:p>
        </w:tc>
        <w:tc>
          <w:tcPr>
            <w:tcW w:w="1495" w:type="pct"/>
            <w:gridSpan w:val="3"/>
            <w:vAlign w:val="center"/>
          </w:tcPr>
          <w:p w14:paraId="10E0313E">
            <w:pPr>
              <w:pStyle w:val="75"/>
              <w:rPr>
                <w:bCs/>
                <w:kern w:val="2"/>
                <w:highlight w:val="none"/>
              </w:rPr>
            </w:pPr>
            <w:r>
              <w:rPr>
                <w:highlight w:val="none"/>
              </w:rPr>
              <w:t>园区统一供电</w:t>
            </w:r>
          </w:p>
        </w:tc>
      </w:tr>
      <w:tr w14:paraId="4854C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1" w:type="pct"/>
            <w:gridSpan w:val="2"/>
            <w:vMerge w:val="continue"/>
            <w:vAlign w:val="center"/>
          </w:tcPr>
          <w:p w14:paraId="4D68EE3C">
            <w:pPr>
              <w:widowControl/>
              <w:spacing w:line="240" w:lineRule="auto"/>
              <w:ind w:firstLine="0" w:firstLineChars="0"/>
              <w:jc w:val="center"/>
              <w:rPr>
                <w:bCs/>
                <w:kern w:val="2"/>
                <w:sz w:val="21"/>
                <w:szCs w:val="21"/>
              </w:rPr>
            </w:pPr>
          </w:p>
        </w:tc>
        <w:tc>
          <w:tcPr>
            <w:tcW w:w="756" w:type="pct"/>
            <w:vAlign w:val="center"/>
          </w:tcPr>
          <w:p w14:paraId="010AD950">
            <w:pPr>
              <w:pStyle w:val="75"/>
              <w:rPr>
                <w:bCs/>
                <w:kern w:val="2"/>
                <w:highlight w:val="none"/>
              </w:rPr>
            </w:pPr>
            <w:r>
              <w:rPr>
                <w:rFonts w:hint="eastAsia"/>
                <w:bCs/>
                <w:kern w:val="2"/>
                <w:highlight w:val="none"/>
              </w:rPr>
              <w:t>蒸汽</w:t>
            </w:r>
          </w:p>
        </w:tc>
        <w:tc>
          <w:tcPr>
            <w:tcW w:w="1987" w:type="pct"/>
            <w:gridSpan w:val="2"/>
            <w:vAlign w:val="center"/>
          </w:tcPr>
          <w:p w14:paraId="78B3472B">
            <w:pPr>
              <w:pStyle w:val="75"/>
              <w:rPr>
                <w:highlight w:val="none"/>
              </w:rPr>
            </w:pPr>
            <w:r>
              <w:rPr>
                <w:rFonts w:hint="eastAsia"/>
                <w:bCs/>
                <w:kern w:val="2"/>
                <w:highlight w:val="none"/>
                <w:lang w:val="en-US" w:eastAsia="zh-CN"/>
              </w:rPr>
              <w:t>19400</w:t>
            </w:r>
            <w:r>
              <w:rPr>
                <w:rFonts w:hint="eastAsia"/>
                <w:bCs/>
                <w:kern w:val="2"/>
                <w:highlight w:val="none"/>
              </w:rPr>
              <w:t>m</w:t>
            </w:r>
            <w:r>
              <w:rPr>
                <w:rFonts w:hint="eastAsia"/>
                <w:bCs/>
                <w:kern w:val="2"/>
                <w:highlight w:val="none"/>
                <w:vertAlign w:val="superscript"/>
              </w:rPr>
              <w:t>3</w:t>
            </w:r>
            <w:r>
              <w:rPr>
                <w:rFonts w:hint="eastAsia"/>
                <w:bCs/>
                <w:kern w:val="2"/>
                <w:highlight w:val="none"/>
              </w:rPr>
              <w:t>/a</w:t>
            </w:r>
          </w:p>
        </w:tc>
        <w:tc>
          <w:tcPr>
            <w:tcW w:w="1495" w:type="pct"/>
            <w:gridSpan w:val="3"/>
            <w:vAlign w:val="center"/>
          </w:tcPr>
          <w:p w14:paraId="6090CB16">
            <w:pPr>
              <w:pStyle w:val="75"/>
              <w:jc w:val="left"/>
              <w:rPr>
                <w:highlight w:val="none"/>
              </w:rPr>
            </w:pPr>
            <w:r>
              <w:rPr>
                <w:rFonts w:hint="eastAsia"/>
                <w:highlight w:val="none"/>
              </w:rPr>
              <w:t>厂区自备</w:t>
            </w:r>
            <w:r>
              <w:rPr>
                <w:rFonts w:hint="eastAsia"/>
                <w:highlight w:val="none"/>
                <w:lang w:val="en-US" w:eastAsia="zh-CN"/>
              </w:rPr>
              <w:t>电蒸汽发生器</w:t>
            </w:r>
            <w:r>
              <w:rPr>
                <w:rFonts w:hint="eastAsia"/>
                <w:highlight w:val="none"/>
              </w:rPr>
              <w:t>提供</w:t>
            </w:r>
          </w:p>
        </w:tc>
      </w:tr>
      <w:tr w14:paraId="0B80E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1" w:type="pct"/>
            <w:gridSpan w:val="2"/>
            <w:vMerge w:val="continue"/>
            <w:vAlign w:val="center"/>
          </w:tcPr>
          <w:p w14:paraId="7D72BAEB">
            <w:pPr>
              <w:widowControl/>
              <w:spacing w:line="240" w:lineRule="auto"/>
              <w:ind w:firstLine="0" w:firstLineChars="0"/>
              <w:jc w:val="center"/>
              <w:rPr>
                <w:bCs/>
                <w:kern w:val="2"/>
                <w:sz w:val="21"/>
                <w:szCs w:val="21"/>
              </w:rPr>
            </w:pPr>
          </w:p>
        </w:tc>
        <w:tc>
          <w:tcPr>
            <w:tcW w:w="756" w:type="pct"/>
            <w:vAlign w:val="center"/>
          </w:tcPr>
          <w:p w14:paraId="7827ED66">
            <w:pPr>
              <w:pStyle w:val="75"/>
              <w:rPr>
                <w:bCs/>
                <w:kern w:val="2"/>
                <w:highlight w:val="none"/>
              </w:rPr>
            </w:pPr>
            <w:r>
              <w:rPr>
                <w:rFonts w:hint="eastAsia"/>
                <w:bCs/>
                <w:kern w:val="2"/>
                <w:highlight w:val="none"/>
              </w:rPr>
              <w:t>纯水</w:t>
            </w:r>
          </w:p>
        </w:tc>
        <w:tc>
          <w:tcPr>
            <w:tcW w:w="1987" w:type="pct"/>
            <w:gridSpan w:val="2"/>
            <w:vAlign w:val="center"/>
          </w:tcPr>
          <w:p w14:paraId="644496DA">
            <w:pPr>
              <w:pStyle w:val="75"/>
              <w:rPr>
                <w:bCs/>
                <w:highlight w:val="none"/>
              </w:rPr>
            </w:pPr>
            <w:r>
              <w:rPr>
                <w:rFonts w:hint="eastAsia"/>
                <w:bCs/>
                <w:color w:val="000000" w:themeColor="text1"/>
                <w:kern w:val="2"/>
                <w:highlight w:val="none"/>
                <w:lang w:val="en-US" w:eastAsia="zh-CN"/>
                <w14:textFill>
                  <w14:solidFill>
                    <w14:schemeClr w14:val="tx1"/>
                  </w14:solidFill>
                </w14:textFill>
              </w:rPr>
              <w:t>57895.8</w:t>
            </w:r>
            <w:r>
              <w:rPr>
                <w:rFonts w:hint="eastAsia"/>
                <w:bCs/>
                <w:color w:val="000000" w:themeColor="text1"/>
                <w:kern w:val="2"/>
                <w:highlight w:val="none"/>
                <w14:textFill>
                  <w14:solidFill>
                    <w14:schemeClr w14:val="tx1"/>
                  </w14:solidFill>
                </w14:textFill>
              </w:rPr>
              <w:t>m</w:t>
            </w:r>
            <w:r>
              <w:rPr>
                <w:rFonts w:hint="eastAsia"/>
                <w:bCs/>
                <w:color w:val="000000" w:themeColor="text1"/>
                <w:kern w:val="2"/>
                <w:highlight w:val="none"/>
                <w:vertAlign w:val="superscript"/>
                <w14:textFill>
                  <w14:solidFill>
                    <w14:schemeClr w14:val="tx1"/>
                  </w14:solidFill>
                </w14:textFill>
              </w:rPr>
              <w:t>3</w:t>
            </w:r>
            <w:r>
              <w:rPr>
                <w:rFonts w:hint="eastAsia"/>
                <w:bCs/>
                <w:color w:val="000000" w:themeColor="text1"/>
                <w:kern w:val="2"/>
                <w:highlight w:val="none"/>
                <w14:textFill>
                  <w14:solidFill>
                    <w14:schemeClr w14:val="tx1"/>
                  </w14:solidFill>
                </w14:textFill>
              </w:rPr>
              <w:t>/a</w:t>
            </w:r>
          </w:p>
        </w:tc>
        <w:tc>
          <w:tcPr>
            <w:tcW w:w="1495" w:type="pct"/>
            <w:gridSpan w:val="3"/>
            <w:vAlign w:val="center"/>
          </w:tcPr>
          <w:p w14:paraId="0EEE29F6">
            <w:pPr>
              <w:pStyle w:val="75"/>
              <w:rPr>
                <w:bCs/>
                <w:highlight w:val="none"/>
              </w:rPr>
            </w:pPr>
            <w:r>
              <w:rPr>
                <w:rFonts w:hint="eastAsia"/>
                <w:bCs/>
                <w:highlight w:val="none"/>
              </w:rPr>
              <w:t>纯水制备设备提供</w:t>
            </w:r>
          </w:p>
        </w:tc>
      </w:tr>
    </w:tbl>
    <w:p w14:paraId="74FA34BB">
      <w:pPr>
        <w:pStyle w:val="72"/>
        <w:spacing w:line="240" w:lineRule="auto"/>
        <w:ind w:firstLine="42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注：本项目使用的硫酸镍和氯化镍均为六水合物，硝酸铬为九水合物。</w:t>
      </w:r>
    </w:p>
    <w:p w14:paraId="6BAB5678">
      <w:pPr>
        <w:pStyle w:val="72"/>
      </w:pPr>
      <w:r>
        <w:rPr>
          <w:rFonts w:hint="eastAsia"/>
        </w:rPr>
        <w:t>本项目主要物料理化性质见下表。</w:t>
      </w:r>
    </w:p>
    <w:p w14:paraId="2721238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 xml:space="preserve">11 </w:t>
      </w:r>
      <w:r>
        <w:rPr>
          <w:rFonts w:hint="eastAsia"/>
        </w:rPr>
        <w:t xml:space="preserve">    项目所用原辅材料主要物化毒理性质一览表</w:t>
      </w:r>
    </w:p>
    <w:tbl>
      <w:tblPr>
        <w:tblStyle w:val="39"/>
        <w:tblW w:w="853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5115"/>
        <w:gridCol w:w="2316"/>
      </w:tblGrid>
      <w:tr w14:paraId="063456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099" w:type="dxa"/>
            <w:vAlign w:val="center"/>
          </w:tcPr>
          <w:p w14:paraId="3D5D5F57">
            <w:pPr>
              <w:pStyle w:val="81"/>
              <w:jc w:val="center"/>
              <w:rPr>
                <w:rFonts w:cs="Times New Roman"/>
                <w:color w:val="auto"/>
              </w:rPr>
            </w:pPr>
            <w:r>
              <w:rPr>
                <w:rFonts w:cs="Times New Roman"/>
                <w:color w:val="auto"/>
              </w:rPr>
              <w:t>原料名称</w:t>
            </w:r>
          </w:p>
        </w:tc>
        <w:tc>
          <w:tcPr>
            <w:tcW w:w="5115" w:type="dxa"/>
            <w:vAlign w:val="center"/>
          </w:tcPr>
          <w:p w14:paraId="421F7043">
            <w:pPr>
              <w:pStyle w:val="81"/>
              <w:rPr>
                <w:rFonts w:cs="Times New Roman"/>
                <w:color w:val="auto"/>
              </w:rPr>
            </w:pPr>
            <w:r>
              <w:rPr>
                <w:rFonts w:cs="Times New Roman"/>
                <w:color w:val="auto"/>
              </w:rPr>
              <w:t>物化性质</w:t>
            </w:r>
          </w:p>
        </w:tc>
        <w:tc>
          <w:tcPr>
            <w:tcW w:w="2316" w:type="dxa"/>
            <w:vAlign w:val="center"/>
          </w:tcPr>
          <w:p w14:paraId="4B228425">
            <w:pPr>
              <w:pStyle w:val="81"/>
              <w:rPr>
                <w:rFonts w:cs="Times New Roman"/>
                <w:color w:val="auto"/>
              </w:rPr>
            </w:pPr>
            <w:r>
              <w:rPr>
                <w:rFonts w:cs="Times New Roman"/>
                <w:color w:val="auto"/>
              </w:rPr>
              <w:t>毒理性质</w:t>
            </w:r>
          </w:p>
        </w:tc>
      </w:tr>
      <w:tr w14:paraId="30F8F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20D65664">
            <w:pPr>
              <w:pStyle w:val="75"/>
            </w:pPr>
            <w:r>
              <w:t>硫酸</w:t>
            </w:r>
          </w:p>
        </w:tc>
        <w:tc>
          <w:tcPr>
            <w:tcW w:w="5115" w:type="dxa"/>
            <w:vAlign w:val="center"/>
          </w:tcPr>
          <w:p w14:paraId="59BD051B">
            <w:pPr>
              <w:pStyle w:val="75"/>
              <w:jc w:val="both"/>
            </w:pPr>
            <w:r>
              <w:t>硫酸是一种最活泼的二元无机强酸，能和许多金属发生反应。高浓度的硫酸有强烈吸水性，可用作脱水剂。无色粘稠状液体，有强腐蚀性，有刺激性气味，易溶于水，生成稀硫酸。密度1.8305g/cm</w:t>
            </w:r>
            <w:r>
              <w:rPr>
                <w:vertAlign w:val="superscript"/>
              </w:rPr>
              <w:t>3</w:t>
            </w:r>
            <w:r>
              <w:t>，熔点10.371℃，沸点337℃，分子量98.078，能与水以任意比例互溶</w:t>
            </w:r>
            <w:r>
              <w:rPr>
                <w:rFonts w:hint="eastAsia"/>
              </w:rPr>
              <w:t>。</w:t>
            </w:r>
          </w:p>
        </w:tc>
        <w:tc>
          <w:tcPr>
            <w:tcW w:w="2316" w:type="dxa"/>
            <w:vAlign w:val="center"/>
          </w:tcPr>
          <w:p w14:paraId="4379C14A">
            <w:pPr>
              <w:pStyle w:val="75"/>
              <w:jc w:val="both"/>
            </w:pPr>
            <w:r>
              <w:t>属中等毒性。急性毒性：LD</w:t>
            </w:r>
            <w:r>
              <w:rPr>
                <w:vertAlign w:val="subscript"/>
              </w:rPr>
              <w:t>50</w:t>
            </w:r>
            <w:r>
              <w:t>：2140mg/kg(大鼠经口)；LC</w:t>
            </w:r>
            <w:r>
              <w:rPr>
                <w:vertAlign w:val="subscript"/>
              </w:rPr>
              <w:t>50</w:t>
            </w:r>
            <w:r>
              <w:t>：510mg/m</w:t>
            </w:r>
            <w:r>
              <w:rPr>
                <w:vertAlign w:val="superscript"/>
              </w:rPr>
              <w:t>3</w:t>
            </w:r>
            <w:r>
              <w:t>，2小时</w:t>
            </w:r>
            <w:r>
              <w:rPr>
                <w:rFonts w:hint="eastAsia"/>
              </w:rPr>
              <w:t>(</w:t>
            </w:r>
            <w:r>
              <w:t>大鼠吸入)；320mg/m</w:t>
            </w:r>
            <w:r>
              <w:rPr>
                <w:vertAlign w:val="superscript"/>
              </w:rPr>
              <w:t>3</w:t>
            </w:r>
            <w:r>
              <w:t>，2小时</w:t>
            </w:r>
            <w:r>
              <w:rPr>
                <w:rFonts w:hint="eastAsia"/>
              </w:rPr>
              <w:t>(</w:t>
            </w:r>
            <w:r>
              <w:t>小鼠吸入)</w:t>
            </w:r>
          </w:p>
        </w:tc>
      </w:tr>
      <w:tr w14:paraId="148C7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18DD5464">
            <w:pPr>
              <w:pStyle w:val="75"/>
            </w:pPr>
            <w:r>
              <w:t>NaOH</w:t>
            </w:r>
          </w:p>
        </w:tc>
        <w:tc>
          <w:tcPr>
            <w:tcW w:w="5115" w:type="dxa"/>
            <w:vAlign w:val="center"/>
          </w:tcPr>
          <w:p w14:paraId="7DFB4E1A">
            <w:pPr>
              <w:pStyle w:val="75"/>
              <w:jc w:val="both"/>
              <w:rPr>
                <w:spacing w:val="-6"/>
              </w:rPr>
            </w:pPr>
            <w:r>
              <w:rPr>
                <w:spacing w:val="-6"/>
              </w:rPr>
              <w:t>无色透明的晶体，易潮解，腐蚀性极强，极易溶于水（在水中溶解度1070g/L）、乙醇、甘油，不溶于丙酮。熔点318.4</w:t>
            </w:r>
            <w:r>
              <w:rPr>
                <w:szCs w:val="20"/>
              </w:rPr>
              <w:t>℃</w:t>
            </w:r>
            <w:r>
              <w:rPr>
                <w:spacing w:val="-6"/>
              </w:rPr>
              <w:t>，沸点1390</w:t>
            </w:r>
            <w:r>
              <w:rPr>
                <w:szCs w:val="20"/>
              </w:rPr>
              <w:t>℃</w:t>
            </w:r>
            <w:r>
              <w:rPr>
                <w:spacing w:val="-6"/>
              </w:rPr>
              <w:t>。属强碱，具有强烈的腐蚀性，常温下30%的烧碱为液体。与酸接触能发生剧烈反应，放出大量的热，能腐蚀金属，浸蚀某些塑料、橡胶、和涂料</w:t>
            </w:r>
            <w:r>
              <w:rPr>
                <w:rFonts w:hint="eastAsia"/>
                <w:spacing w:val="-6"/>
              </w:rPr>
              <w:t>。</w:t>
            </w:r>
          </w:p>
        </w:tc>
        <w:tc>
          <w:tcPr>
            <w:tcW w:w="2316" w:type="dxa"/>
            <w:vAlign w:val="center"/>
          </w:tcPr>
          <w:p w14:paraId="2CF02A1E">
            <w:pPr>
              <w:pStyle w:val="75"/>
              <w:jc w:val="both"/>
            </w:pPr>
            <w:r>
              <w:t>本品不会燃烧，遇水和水蒸气大量放热，形成腐蚀性溶液</w:t>
            </w:r>
            <w:r>
              <w:rPr>
                <w:rFonts w:hint="eastAsia"/>
              </w:rPr>
              <w:t>，</w:t>
            </w:r>
            <w:r>
              <w:t>与酸发生中和反应并放热</w:t>
            </w:r>
            <w:r>
              <w:rPr>
                <w:rFonts w:hint="eastAsia"/>
              </w:rPr>
              <w:t>，</w:t>
            </w:r>
            <w:r>
              <w:t>具有强腐蚀性。</w:t>
            </w:r>
          </w:p>
        </w:tc>
      </w:tr>
      <w:tr w14:paraId="6D8FA4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6CFD05AA">
            <w:pPr>
              <w:pStyle w:val="75"/>
              <w:rPr>
                <w:spacing w:val="8"/>
              </w:rPr>
            </w:pPr>
            <w:r>
              <w:rPr>
                <w:spacing w:val="8"/>
              </w:rPr>
              <w:t>光亮剂</w:t>
            </w:r>
          </w:p>
        </w:tc>
        <w:tc>
          <w:tcPr>
            <w:tcW w:w="5115" w:type="dxa"/>
            <w:vAlign w:val="center"/>
          </w:tcPr>
          <w:p w14:paraId="41CF3049">
            <w:pPr>
              <w:pStyle w:val="75"/>
              <w:jc w:val="both"/>
              <w:rPr>
                <w:spacing w:val="8"/>
                <w:highlight w:val="yellow"/>
              </w:rPr>
            </w:pPr>
            <w:r>
              <w:rPr>
                <w:szCs w:val="20"/>
              </w:rPr>
              <w:t>主要成分：丁炔二醇，糖精，丙烷磺酸吡啶嗡盐。其中，丁炔二醇为白色斜方结晶(吸潮后为淡黄色)熔点58℃，沸点238℃，145℃(2kPa)，闪点152℃。</w:t>
            </w:r>
          </w:p>
        </w:tc>
        <w:tc>
          <w:tcPr>
            <w:tcW w:w="2316" w:type="dxa"/>
            <w:vAlign w:val="center"/>
          </w:tcPr>
          <w:p w14:paraId="447C3F27">
            <w:pPr>
              <w:pStyle w:val="75"/>
              <w:jc w:val="both"/>
            </w:pPr>
            <w:r>
              <w:t>大鼠经口LD</w:t>
            </w:r>
            <w:r>
              <w:rPr>
                <w:vertAlign w:val="subscript"/>
              </w:rPr>
              <w:t>50</w:t>
            </w:r>
            <w:r>
              <w:t>：104mg/kg，小鼠经口LD</w:t>
            </w:r>
            <w:r>
              <w:rPr>
                <w:vertAlign w:val="subscript"/>
              </w:rPr>
              <w:t>50</w:t>
            </w:r>
            <w:r>
              <w:t>：105mg/kg</w:t>
            </w:r>
          </w:p>
        </w:tc>
      </w:tr>
      <w:tr w14:paraId="0D98B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3AB2C41C">
            <w:pPr>
              <w:pStyle w:val="75"/>
              <w:rPr>
                <w:highlight w:val="yellow"/>
              </w:rPr>
            </w:pPr>
            <w:r>
              <w:t>氯化镍</w:t>
            </w:r>
          </w:p>
        </w:tc>
        <w:tc>
          <w:tcPr>
            <w:tcW w:w="5115" w:type="dxa"/>
            <w:vAlign w:val="center"/>
          </w:tcPr>
          <w:p w14:paraId="771A4C72">
            <w:pPr>
              <w:pStyle w:val="75"/>
              <w:jc w:val="both"/>
              <w:rPr>
                <w:spacing w:val="8"/>
                <w:highlight w:val="yellow"/>
              </w:rPr>
            </w:pPr>
            <w:r>
              <w:rPr>
                <w:rFonts w:hint="eastAsia"/>
              </w:rPr>
              <w:t>六水合氯化镍，</w:t>
            </w:r>
            <w:r>
              <w:t>分子式Cl</w:t>
            </w:r>
            <w:r>
              <w:rPr>
                <w:vertAlign w:val="subscript"/>
              </w:rPr>
              <w:t>2</w:t>
            </w:r>
            <w:r>
              <w:rPr>
                <w:rFonts w:hint="eastAsia"/>
              </w:rPr>
              <w:t>H</w:t>
            </w:r>
            <w:r>
              <w:rPr>
                <w:vertAlign w:val="subscript"/>
              </w:rPr>
              <w:t>12</w:t>
            </w:r>
            <w:r>
              <w:t>NiO</w:t>
            </w:r>
            <w:r>
              <w:rPr>
                <w:vertAlign w:val="subscript"/>
              </w:rPr>
              <w:t>6</w:t>
            </w:r>
            <w:r>
              <w:t>，</w:t>
            </w:r>
            <w:r>
              <w:rPr>
                <w:spacing w:val="8"/>
              </w:rPr>
              <w:t>分子量237.7，密度1.921</w:t>
            </w:r>
            <w:r>
              <w:t>g/cm</w:t>
            </w:r>
            <w:r>
              <w:rPr>
                <w:vertAlign w:val="superscript"/>
              </w:rPr>
              <w:t>3</w:t>
            </w:r>
            <w:r>
              <w:rPr>
                <w:spacing w:val="8"/>
              </w:rPr>
              <w:t>，绿色或草绿色单斜棱柱状结晶。沸点100ºC(760mmHg)，易溶于水、乙醇，其水溶液呈微酸性。在干燥空气中易风化，在潮湿空气中易潮解。加热至140℃以上时完全失去结晶水而呈黄棕色粉末。</w:t>
            </w:r>
          </w:p>
        </w:tc>
        <w:tc>
          <w:tcPr>
            <w:tcW w:w="2316" w:type="dxa"/>
            <w:vAlign w:val="center"/>
          </w:tcPr>
          <w:p w14:paraId="46F3AF4B">
            <w:pPr>
              <w:pStyle w:val="75"/>
              <w:jc w:val="both"/>
              <w:rPr>
                <w:spacing w:val="8"/>
              </w:rPr>
            </w:pPr>
            <w:r>
              <w:rPr>
                <w:spacing w:val="8"/>
              </w:rPr>
              <w:t>急性毒性：LD</w:t>
            </w:r>
            <w:r>
              <w:rPr>
                <w:spacing w:val="8"/>
                <w:vertAlign w:val="subscript"/>
              </w:rPr>
              <w:t>50</w:t>
            </w:r>
            <w:r>
              <w:rPr>
                <w:spacing w:val="8"/>
              </w:rPr>
              <w:t>：175mg/kg(大鼠经口)；186mg/kg(兔经口)</w:t>
            </w:r>
          </w:p>
        </w:tc>
      </w:tr>
      <w:tr w14:paraId="166952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35A7D552">
            <w:pPr>
              <w:pStyle w:val="75"/>
            </w:pPr>
            <w:r>
              <w:t>硫酸镍</w:t>
            </w:r>
          </w:p>
        </w:tc>
        <w:tc>
          <w:tcPr>
            <w:tcW w:w="5115" w:type="dxa"/>
            <w:vAlign w:val="center"/>
          </w:tcPr>
          <w:p w14:paraId="02AF6D68">
            <w:pPr>
              <w:pStyle w:val="75"/>
              <w:jc w:val="both"/>
              <w:rPr>
                <w:spacing w:val="8"/>
              </w:rPr>
            </w:pPr>
            <w:r>
              <w:rPr>
                <w:rFonts w:hint="eastAsia"/>
                <w:spacing w:val="8"/>
              </w:rPr>
              <w:t>六水合硫酸镍，</w:t>
            </w:r>
            <w:r>
              <w:rPr>
                <w:spacing w:val="8"/>
              </w:rPr>
              <w:t>分子式</w:t>
            </w:r>
            <w:r>
              <w:rPr>
                <w:rFonts w:hint="eastAsia"/>
                <w:spacing w:val="8"/>
              </w:rPr>
              <w:t>H</w:t>
            </w:r>
            <w:r>
              <w:rPr>
                <w:rFonts w:hint="eastAsia"/>
                <w:spacing w:val="8"/>
                <w:vertAlign w:val="subscript"/>
              </w:rPr>
              <w:t>12</w:t>
            </w:r>
            <w:r>
              <w:rPr>
                <w:spacing w:val="8"/>
              </w:rPr>
              <w:t>NiO</w:t>
            </w:r>
            <w:r>
              <w:rPr>
                <w:rFonts w:hint="eastAsia"/>
                <w:spacing w:val="8"/>
                <w:vertAlign w:val="subscript"/>
              </w:rPr>
              <w:t>10</w:t>
            </w:r>
            <w:r>
              <w:rPr>
                <w:spacing w:val="8"/>
              </w:rPr>
              <w:t>S，分子量</w:t>
            </w:r>
            <w:r>
              <w:rPr>
                <w:rFonts w:hint="eastAsia"/>
                <w:spacing w:val="8"/>
              </w:rPr>
              <w:t>262.85</w:t>
            </w:r>
            <w:r>
              <w:rPr>
                <w:spacing w:val="8"/>
              </w:rPr>
              <w:t>，熔点1453ºC，沸点2732ºC，密度2.07</w:t>
            </w:r>
            <w:r>
              <w:t>g/cm</w:t>
            </w:r>
            <w:r>
              <w:rPr>
                <w:vertAlign w:val="superscript"/>
              </w:rPr>
              <w:t>3</w:t>
            </w:r>
            <w:r>
              <w:rPr>
                <w:spacing w:val="8"/>
              </w:rPr>
              <w:t>，绿色易溶于水的晶体，在280℃时失去结晶水生成黄绿色无水物，当温度更高开始分解，释放出三氧化硫，变成氧化镍。</w:t>
            </w:r>
          </w:p>
        </w:tc>
        <w:tc>
          <w:tcPr>
            <w:tcW w:w="2316" w:type="dxa"/>
            <w:vAlign w:val="center"/>
          </w:tcPr>
          <w:p w14:paraId="1F04CE41">
            <w:pPr>
              <w:pStyle w:val="75"/>
              <w:rPr>
                <w:spacing w:val="8"/>
              </w:rPr>
            </w:pPr>
            <w:r>
              <w:rPr>
                <w:spacing w:val="8"/>
              </w:rPr>
              <w:t>275mg/kg(大鼠经口)</w:t>
            </w:r>
          </w:p>
        </w:tc>
      </w:tr>
      <w:tr w14:paraId="27C24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618292E3">
            <w:pPr>
              <w:pStyle w:val="75"/>
            </w:pPr>
            <w:r>
              <w:t>硼酸</w:t>
            </w:r>
          </w:p>
        </w:tc>
        <w:tc>
          <w:tcPr>
            <w:tcW w:w="5115" w:type="dxa"/>
            <w:vAlign w:val="center"/>
          </w:tcPr>
          <w:p w14:paraId="694A090C">
            <w:pPr>
              <w:pStyle w:val="75"/>
              <w:jc w:val="both"/>
              <w:rPr>
                <w:spacing w:val="8"/>
              </w:rPr>
            </w:pPr>
            <w:r>
              <w:rPr>
                <w:spacing w:val="8"/>
              </w:rPr>
              <w:t>分子式H</w:t>
            </w:r>
            <w:r>
              <w:rPr>
                <w:spacing w:val="8"/>
                <w:vertAlign w:val="subscript"/>
              </w:rPr>
              <w:t>3</w:t>
            </w:r>
            <w:r>
              <w:rPr>
                <w:spacing w:val="8"/>
              </w:rPr>
              <w:t>BO</w:t>
            </w:r>
            <w:r>
              <w:rPr>
                <w:spacing w:val="8"/>
                <w:vertAlign w:val="subscript"/>
              </w:rPr>
              <w:t>3</w:t>
            </w:r>
            <w:r>
              <w:rPr>
                <w:spacing w:val="8"/>
              </w:rPr>
              <w:t>，</w:t>
            </w:r>
            <w:r>
              <w:rPr>
                <w:rFonts w:hint="eastAsia"/>
                <w:spacing w:val="8"/>
              </w:rPr>
              <w:t>无机物，</w:t>
            </w:r>
            <w:r>
              <w:rPr>
                <w:spacing w:val="8"/>
              </w:rPr>
              <w:t>分子量61.83，熔点169℃，沸点300℃，密度1.43g/cm</w:t>
            </w:r>
            <w:r>
              <w:rPr>
                <w:spacing w:val="8"/>
                <w:vertAlign w:val="superscript"/>
              </w:rPr>
              <w:t>3</w:t>
            </w:r>
            <w:r>
              <w:rPr>
                <w:spacing w:val="8"/>
              </w:rPr>
              <w:t>。白色粉末状结晶或三斜轴面鳞片状光泽结晶，有滑腻手感，无臭味。溶于水、酒精、甘油、醚类及香精油中，水溶液呈弱酸性</w:t>
            </w:r>
            <w:r>
              <w:rPr>
                <w:rFonts w:hint="eastAsia"/>
                <w:spacing w:val="8"/>
              </w:rPr>
              <w:t>，不属于挥发性有机物</w:t>
            </w:r>
            <w:r>
              <w:rPr>
                <w:spacing w:val="8"/>
              </w:rPr>
              <w:t>。</w:t>
            </w:r>
          </w:p>
        </w:tc>
        <w:tc>
          <w:tcPr>
            <w:tcW w:w="2316" w:type="dxa"/>
            <w:vAlign w:val="center"/>
          </w:tcPr>
          <w:p w14:paraId="5849F17E">
            <w:pPr>
              <w:pStyle w:val="75"/>
              <w:jc w:val="both"/>
              <w:rPr>
                <w:spacing w:val="8"/>
              </w:rPr>
            </w:pPr>
            <w:r>
              <w:rPr>
                <w:spacing w:val="8"/>
              </w:rPr>
              <w:t>半数致死量(大鼠，经口)5.14g/kg。有刺激性。有毒，内服严重时导致死亡，致死最低量：成人口服640mg/kg，皮肤8.6g/kg。</w:t>
            </w:r>
          </w:p>
        </w:tc>
      </w:tr>
      <w:tr w14:paraId="73BC1B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63AA9DBB">
            <w:pPr>
              <w:pStyle w:val="75"/>
            </w:pPr>
            <w:r>
              <w:t>柔软剂</w:t>
            </w:r>
          </w:p>
        </w:tc>
        <w:tc>
          <w:tcPr>
            <w:tcW w:w="5115" w:type="dxa"/>
            <w:vAlign w:val="center"/>
          </w:tcPr>
          <w:p w14:paraId="2371FCA1">
            <w:pPr>
              <w:pStyle w:val="75"/>
              <w:jc w:val="both"/>
              <w:rPr>
                <w:spacing w:val="8"/>
              </w:rPr>
            </w:pPr>
            <w:r>
              <w:rPr>
                <w:szCs w:val="20"/>
              </w:rPr>
              <w:t>主要成分：糖精钠，分子式：C</w:t>
            </w:r>
            <w:r>
              <w:rPr>
                <w:szCs w:val="20"/>
                <w:vertAlign w:val="subscript"/>
              </w:rPr>
              <w:t>7</w:t>
            </w:r>
            <w:r>
              <w:rPr>
                <w:szCs w:val="20"/>
              </w:rPr>
              <w:t>H</w:t>
            </w:r>
            <w:r>
              <w:rPr>
                <w:szCs w:val="20"/>
                <w:vertAlign w:val="subscript"/>
              </w:rPr>
              <w:t>4</w:t>
            </w:r>
            <w:r>
              <w:rPr>
                <w:szCs w:val="20"/>
              </w:rPr>
              <w:t>NO</w:t>
            </w:r>
            <w:r>
              <w:rPr>
                <w:szCs w:val="20"/>
                <w:vertAlign w:val="subscript"/>
              </w:rPr>
              <w:t>3</w:t>
            </w:r>
            <w:r>
              <w:rPr>
                <w:szCs w:val="20"/>
              </w:rPr>
              <w:t>S，分子量205.166。物化性质：无色单斜晶体，在真空下升华为针状晶体。熔点229℃(分解)，闪点219.3℃，相对密度0.828。溶解性：溶于乙醇、丙酮，微溶于氯仿和乙醚。</w:t>
            </w:r>
          </w:p>
        </w:tc>
        <w:tc>
          <w:tcPr>
            <w:tcW w:w="2316" w:type="dxa"/>
            <w:vAlign w:val="center"/>
          </w:tcPr>
          <w:p w14:paraId="66F58354">
            <w:pPr>
              <w:pStyle w:val="75"/>
              <w:rPr>
                <w:spacing w:val="8"/>
              </w:rPr>
            </w:pPr>
            <w:r>
              <w:rPr>
                <w:spacing w:val="8"/>
              </w:rPr>
              <w:t>LD</w:t>
            </w:r>
            <w:r>
              <w:rPr>
                <w:spacing w:val="8"/>
                <w:vertAlign w:val="subscript"/>
              </w:rPr>
              <w:t>50</w:t>
            </w:r>
            <w:r>
              <w:rPr>
                <w:spacing w:val="8"/>
              </w:rPr>
              <w:t>14200mg/kg(兔经口)</w:t>
            </w:r>
          </w:p>
        </w:tc>
      </w:tr>
      <w:tr w14:paraId="3CB2F6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12727D34">
            <w:pPr>
              <w:pStyle w:val="75"/>
              <w:jc w:val="left"/>
            </w:pPr>
            <w:r>
              <w:t>一水柠檬酸</w:t>
            </w:r>
          </w:p>
        </w:tc>
        <w:tc>
          <w:tcPr>
            <w:tcW w:w="5115" w:type="dxa"/>
            <w:vAlign w:val="center"/>
          </w:tcPr>
          <w:p w14:paraId="4D39F334">
            <w:pPr>
              <w:pStyle w:val="75"/>
              <w:jc w:val="both"/>
              <w:rPr>
                <w:spacing w:val="8"/>
              </w:rPr>
            </w:pPr>
            <w:r>
              <w:rPr>
                <w:spacing w:val="8"/>
              </w:rPr>
              <w:t>分子式C</w:t>
            </w:r>
            <w:r>
              <w:rPr>
                <w:spacing w:val="8"/>
                <w:vertAlign w:val="subscript"/>
              </w:rPr>
              <w:t>6</w:t>
            </w:r>
            <w:r>
              <w:rPr>
                <w:spacing w:val="8"/>
              </w:rPr>
              <w:t>H</w:t>
            </w:r>
            <w:r>
              <w:rPr>
                <w:spacing w:val="8"/>
                <w:vertAlign w:val="subscript"/>
              </w:rPr>
              <w:t>8</w:t>
            </w:r>
            <w:r>
              <w:rPr>
                <w:spacing w:val="8"/>
              </w:rPr>
              <w:t>O</w:t>
            </w:r>
            <w:r>
              <w:rPr>
                <w:spacing w:val="8"/>
                <w:vertAlign w:val="subscript"/>
              </w:rPr>
              <w:t>7</w:t>
            </w:r>
            <w:r>
              <w:rPr>
                <w:spacing w:val="8"/>
              </w:rPr>
              <w:t>·H</w:t>
            </w:r>
            <w:r>
              <w:rPr>
                <w:spacing w:val="8"/>
                <w:vertAlign w:val="subscript"/>
              </w:rPr>
              <w:t>2</w:t>
            </w:r>
            <w:r>
              <w:rPr>
                <w:spacing w:val="8"/>
              </w:rPr>
              <w:t>O，分子量210.14，白色结晶粉末，无臭，溶于水、乙醇、乙醚，不溶于苯，微溶于氯仿。闪点100℃，引燃温度</w:t>
            </w:r>
            <w:r>
              <w:rPr>
                <w:rFonts w:hint="eastAsia"/>
                <w:spacing w:val="8"/>
              </w:rPr>
              <w:t>(</w:t>
            </w:r>
            <w:r>
              <w:rPr>
                <w:spacing w:val="8"/>
              </w:rPr>
              <w:t>粉末)1010℃。爆炸上限%(V/V)：8.0(65℃)。相对密度(水=1)：1.6650。熔点135-152℃，闪点173.9℃，水溶性1630g/L(20℃)</w:t>
            </w:r>
            <w:r>
              <w:rPr>
                <w:rFonts w:hint="eastAsia"/>
                <w:spacing w:val="8"/>
              </w:rPr>
              <w:t>，不属于挥发性有机物</w:t>
            </w:r>
            <w:r>
              <w:rPr>
                <w:spacing w:val="8"/>
              </w:rPr>
              <w:t>。</w:t>
            </w:r>
          </w:p>
        </w:tc>
        <w:tc>
          <w:tcPr>
            <w:tcW w:w="2316" w:type="dxa"/>
            <w:vAlign w:val="center"/>
          </w:tcPr>
          <w:p w14:paraId="4333FE63">
            <w:pPr>
              <w:pStyle w:val="75"/>
              <w:jc w:val="both"/>
              <w:rPr>
                <w:spacing w:val="8"/>
              </w:rPr>
            </w:pPr>
            <w:r>
              <w:rPr>
                <w:spacing w:val="8"/>
              </w:rPr>
              <w:t>急性毒性：LD</w:t>
            </w:r>
            <w:r>
              <w:rPr>
                <w:spacing w:val="8"/>
                <w:vertAlign w:val="subscript"/>
              </w:rPr>
              <w:t>50</w:t>
            </w:r>
            <w:r>
              <w:rPr>
                <w:spacing w:val="8"/>
              </w:rPr>
              <w:t xml:space="preserve"> 6730mg/kg(大鼠经口)</w:t>
            </w:r>
          </w:p>
        </w:tc>
      </w:tr>
      <w:tr w14:paraId="551B98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38A3B079">
            <w:pPr>
              <w:pStyle w:val="75"/>
            </w:pPr>
            <w:r>
              <w:t>酒石酸</w:t>
            </w:r>
          </w:p>
        </w:tc>
        <w:tc>
          <w:tcPr>
            <w:tcW w:w="5115" w:type="dxa"/>
            <w:vAlign w:val="center"/>
          </w:tcPr>
          <w:p w14:paraId="7AB5F0BD">
            <w:pPr>
              <w:pStyle w:val="75"/>
              <w:jc w:val="both"/>
              <w:rPr>
                <w:spacing w:val="8"/>
              </w:rPr>
            </w:pPr>
            <w:r>
              <w:rPr>
                <w:spacing w:val="8"/>
              </w:rPr>
              <w:t>化学式为C</w:t>
            </w:r>
            <w:r>
              <w:rPr>
                <w:spacing w:val="8"/>
                <w:vertAlign w:val="subscript"/>
              </w:rPr>
              <w:t>4</w:t>
            </w:r>
            <w:r>
              <w:rPr>
                <w:spacing w:val="8"/>
              </w:rPr>
              <w:t>H</w:t>
            </w:r>
            <w:r>
              <w:rPr>
                <w:spacing w:val="8"/>
                <w:vertAlign w:val="subscript"/>
              </w:rPr>
              <w:t>6</w:t>
            </w:r>
            <w:r>
              <w:rPr>
                <w:spacing w:val="8"/>
              </w:rPr>
              <w:t>O</w:t>
            </w:r>
            <w:r>
              <w:rPr>
                <w:spacing w:val="8"/>
                <w:vertAlign w:val="subscript"/>
              </w:rPr>
              <w:t>6</w:t>
            </w:r>
            <w:r>
              <w:rPr>
                <w:rFonts w:hint="eastAsia"/>
                <w:spacing w:val="8"/>
              </w:rPr>
              <w:t>，</w:t>
            </w:r>
            <w:r>
              <w:rPr>
                <w:spacing w:val="8"/>
              </w:rPr>
              <w:t>分子量</w:t>
            </w:r>
            <w:r>
              <w:rPr>
                <w:rFonts w:hint="eastAsia"/>
                <w:spacing w:val="8"/>
              </w:rPr>
              <w:t>150.09，</w:t>
            </w:r>
            <w:r>
              <w:rPr>
                <w:spacing w:val="8"/>
              </w:rPr>
              <w:t>白色结晶粉末</w:t>
            </w:r>
            <w:r>
              <w:rPr>
                <w:rFonts w:hint="eastAsia"/>
                <w:spacing w:val="8"/>
              </w:rPr>
              <w:t>，</w:t>
            </w:r>
            <w:r>
              <w:rPr>
                <w:spacing w:val="8"/>
              </w:rPr>
              <w:t>溶于水和乙醇，微溶于乙醚</w:t>
            </w:r>
            <w:r>
              <w:rPr>
                <w:rFonts w:hint="eastAsia"/>
                <w:spacing w:val="8"/>
              </w:rPr>
              <w:t>。闪电210</w:t>
            </w:r>
            <w:r>
              <w:rPr>
                <w:spacing w:val="8"/>
              </w:rPr>
              <w:t>℃</w:t>
            </w:r>
            <w:r>
              <w:rPr>
                <w:rFonts w:hint="eastAsia"/>
                <w:spacing w:val="8"/>
              </w:rPr>
              <w:t>，</w:t>
            </w:r>
            <w:r>
              <w:rPr>
                <w:spacing w:val="8"/>
              </w:rPr>
              <w:t>熔点</w:t>
            </w:r>
            <w:r>
              <w:rPr>
                <w:rFonts w:hint="eastAsia"/>
                <w:spacing w:val="8"/>
              </w:rPr>
              <w:t>200-206</w:t>
            </w:r>
            <w:r>
              <w:rPr>
                <w:spacing w:val="8"/>
              </w:rPr>
              <w:t>℃，密度</w:t>
            </w:r>
            <w:r>
              <w:rPr>
                <w:rFonts w:hint="eastAsia"/>
                <w:spacing w:val="8"/>
              </w:rPr>
              <w:t>1.886g/cm</w:t>
            </w:r>
            <w:r>
              <w:rPr>
                <w:rFonts w:hint="eastAsia"/>
                <w:spacing w:val="8"/>
                <w:vertAlign w:val="superscript"/>
              </w:rPr>
              <w:t>3</w:t>
            </w:r>
            <w:r>
              <w:rPr>
                <w:rFonts w:hint="eastAsia"/>
                <w:spacing w:val="8"/>
              </w:rPr>
              <w:t>，</w:t>
            </w:r>
            <w:r>
              <w:rPr>
                <w:spacing w:val="8"/>
              </w:rPr>
              <w:t>沸点</w:t>
            </w:r>
            <w:r>
              <w:rPr>
                <w:rFonts w:hint="eastAsia"/>
                <w:spacing w:val="8"/>
              </w:rPr>
              <w:t>399.3</w:t>
            </w:r>
            <w:r>
              <w:rPr>
                <w:spacing w:val="8"/>
              </w:rPr>
              <w:t>℃</w:t>
            </w:r>
            <w:r>
              <w:rPr>
                <w:rFonts w:hint="eastAsia"/>
                <w:spacing w:val="8"/>
              </w:rPr>
              <w:t>，不属于挥发性有机物。</w:t>
            </w:r>
          </w:p>
        </w:tc>
        <w:tc>
          <w:tcPr>
            <w:tcW w:w="2316" w:type="dxa"/>
            <w:vAlign w:val="center"/>
          </w:tcPr>
          <w:p w14:paraId="30E17A3F">
            <w:pPr>
              <w:pStyle w:val="75"/>
              <w:jc w:val="both"/>
              <w:rPr>
                <w:spacing w:val="8"/>
              </w:rPr>
            </w:pPr>
            <w:r>
              <w:rPr>
                <w:spacing w:val="8"/>
              </w:rPr>
              <w:t>吸入</w:t>
            </w:r>
            <w:r>
              <w:rPr>
                <w:rFonts w:hint="eastAsia"/>
                <w:spacing w:val="8"/>
              </w:rPr>
              <w:t>：</w:t>
            </w:r>
            <w:r>
              <w:rPr>
                <w:spacing w:val="8"/>
              </w:rPr>
              <w:t>高暴露剂量时</w:t>
            </w:r>
            <w:r>
              <w:rPr>
                <w:rFonts w:hint="eastAsia"/>
                <w:spacing w:val="8"/>
              </w:rPr>
              <w:t>，</w:t>
            </w:r>
            <w:r>
              <w:rPr>
                <w:spacing w:val="8"/>
              </w:rPr>
              <w:t>轻微之刺激症状</w:t>
            </w:r>
            <w:r>
              <w:rPr>
                <w:rFonts w:hint="eastAsia"/>
                <w:spacing w:val="8"/>
              </w:rPr>
              <w:t>；</w:t>
            </w:r>
            <w:r>
              <w:rPr>
                <w:spacing w:val="8"/>
              </w:rPr>
              <w:t>眼睛接触</w:t>
            </w:r>
            <w:r>
              <w:rPr>
                <w:rFonts w:hint="eastAsia"/>
                <w:spacing w:val="8"/>
              </w:rPr>
              <w:t>：</w:t>
            </w:r>
            <w:r>
              <w:rPr>
                <w:spacing w:val="8"/>
              </w:rPr>
              <w:t>刺激性</w:t>
            </w:r>
            <w:r>
              <w:rPr>
                <w:rFonts w:hint="eastAsia"/>
                <w:spacing w:val="8"/>
              </w:rPr>
              <w:t>；皮肤接触：刺激性</w:t>
            </w:r>
          </w:p>
        </w:tc>
      </w:tr>
      <w:tr w14:paraId="438259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dxa"/>
            <w:vAlign w:val="center"/>
          </w:tcPr>
          <w:p w14:paraId="1EC2E3F8">
            <w:pPr>
              <w:pStyle w:val="75"/>
            </w:pPr>
            <w:bookmarkStart w:id="378" w:name="_Toc428287215"/>
            <w:bookmarkStart w:id="379" w:name="_Toc428287567"/>
            <w:bookmarkStart w:id="380" w:name="_Toc428286831"/>
            <w:bookmarkStart w:id="381" w:name="_Toc428286832"/>
            <w:bookmarkStart w:id="382" w:name="_Toc428287216"/>
            <w:bookmarkStart w:id="383" w:name="_Toc428287568"/>
            <w:r>
              <w:rPr>
                <w:rFonts w:hint="eastAsia"/>
                <w:bCs/>
                <w:kern w:val="2"/>
              </w:rPr>
              <w:t>硝酸铬</w:t>
            </w:r>
          </w:p>
        </w:tc>
        <w:tc>
          <w:tcPr>
            <w:tcW w:w="5115" w:type="dxa"/>
            <w:vAlign w:val="center"/>
          </w:tcPr>
          <w:p w14:paraId="35B06A99">
            <w:pPr>
              <w:pStyle w:val="75"/>
              <w:jc w:val="both"/>
              <w:rPr>
                <w:spacing w:val="8"/>
              </w:rPr>
            </w:pPr>
            <w:r>
              <w:rPr>
                <w:rFonts w:hint="eastAsia"/>
                <w:spacing w:val="8"/>
              </w:rPr>
              <w:t>九水合</w:t>
            </w:r>
            <w:r>
              <w:rPr>
                <w:spacing w:val="8"/>
              </w:rPr>
              <w:t>硝酸铬，分子式：</w:t>
            </w:r>
            <w:r>
              <w:rPr>
                <w:bCs/>
                <w:kern w:val="21"/>
              </w:rPr>
              <w:t>Cr(NO</w:t>
            </w:r>
            <w:r>
              <w:rPr>
                <w:bCs/>
                <w:kern w:val="21"/>
                <w:vertAlign w:val="subscript"/>
              </w:rPr>
              <w:t>3</w:t>
            </w:r>
            <w:r>
              <w:rPr>
                <w:bCs/>
                <w:kern w:val="21"/>
              </w:rPr>
              <w:t>)</w:t>
            </w:r>
            <w:r>
              <w:rPr>
                <w:bCs/>
                <w:kern w:val="21"/>
                <w:vertAlign w:val="subscript"/>
              </w:rPr>
              <w:t>3</w:t>
            </w:r>
            <w:r>
              <w:rPr>
                <w:bCs/>
                <w:kern w:val="21"/>
              </w:rPr>
              <w:t>9H</w:t>
            </w:r>
            <w:r>
              <w:rPr>
                <w:bCs/>
                <w:kern w:val="21"/>
                <w:vertAlign w:val="subscript"/>
              </w:rPr>
              <w:t>2</w:t>
            </w:r>
            <w:r>
              <w:rPr>
                <w:bCs/>
                <w:kern w:val="21"/>
              </w:rPr>
              <w:t>O</w:t>
            </w:r>
            <w:r>
              <w:rPr>
                <w:spacing w:val="8"/>
              </w:rPr>
              <w:t>，分子量400.15，熔点60℃，不同温度时每100毫升水中的溶解克数：108g/0℃：124g/10℃：130g/20℃：152g/30℃。</w:t>
            </w:r>
            <w:r>
              <w:t>硝酸铬是一种红紫色单斜潮解结晶，易溶于水，溶于酸、碱、乙醇和丙酮。加热至100°C则分解。其水溶液加热时呈绿色，冷却后又迅速变为红紫色</w:t>
            </w:r>
            <w:r>
              <w:rPr>
                <w:spacing w:val="8"/>
              </w:rPr>
              <w:t>。</w:t>
            </w:r>
          </w:p>
        </w:tc>
        <w:tc>
          <w:tcPr>
            <w:tcW w:w="2316" w:type="dxa"/>
            <w:vAlign w:val="center"/>
          </w:tcPr>
          <w:p w14:paraId="4BF650B0">
            <w:pPr>
              <w:pStyle w:val="75"/>
              <w:jc w:val="both"/>
              <w:rPr>
                <w:spacing w:val="8"/>
              </w:rPr>
            </w:pPr>
            <w:r>
              <w:rPr>
                <w:rFonts w:hint="eastAsia"/>
              </w:rPr>
              <w:t>氧化剂，与还原剂、硫、磷等混合受热、撞击、摩擦可爆；</w:t>
            </w:r>
            <w:r>
              <w:rPr>
                <w:bCs/>
                <w:kern w:val="21"/>
              </w:rPr>
              <w:t>口服-大鼠LD</w:t>
            </w:r>
            <w:r>
              <w:rPr>
                <w:bCs/>
                <w:kern w:val="21"/>
                <w:vertAlign w:val="subscript"/>
              </w:rPr>
              <w:t>50</w:t>
            </w:r>
            <w:r>
              <w:rPr>
                <w:rFonts w:hint="eastAsia"/>
                <w:bCs/>
                <w:kern w:val="21"/>
              </w:rPr>
              <w:t>：</w:t>
            </w:r>
            <w:r>
              <w:rPr>
                <w:bCs/>
                <w:kern w:val="21"/>
              </w:rPr>
              <w:t xml:space="preserve">3250 </w:t>
            </w:r>
            <w:r>
              <w:rPr>
                <w:rFonts w:eastAsia="TimesNewRomanPSMT"/>
                <w:kern w:val="21"/>
              </w:rPr>
              <w:t>mg/kg</w:t>
            </w:r>
            <w:r>
              <w:rPr>
                <w:rFonts w:hint="eastAsia"/>
                <w:bCs/>
                <w:kern w:val="21"/>
              </w:rPr>
              <w:t>；</w:t>
            </w:r>
            <w:r>
              <w:rPr>
                <w:bCs/>
                <w:kern w:val="21"/>
              </w:rPr>
              <w:t>口服-小鼠LD</w:t>
            </w:r>
            <w:r>
              <w:rPr>
                <w:bCs/>
                <w:kern w:val="21"/>
                <w:vertAlign w:val="subscript"/>
              </w:rPr>
              <w:t>50</w:t>
            </w:r>
            <w:r>
              <w:rPr>
                <w:rFonts w:hint="eastAsia"/>
                <w:bCs/>
                <w:kern w:val="21"/>
              </w:rPr>
              <w:t>：</w:t>
            </w:r>
            <w:r>
              <w:rPr>
                <w:bCs/>
                <w:kern w:val="21"/>
              </w:rPr>
              <w:t>2976</w:t>
            </w:r>
            <w:r>
              <w:rPr>
                <w:rFonts w:eastAsia="TimesNewRomanPSMT"/>
                <w:kern w:val="21"/>
              </w:rPr>
              <w:t>mg/kg</w:t>
            </w:r>
          </w:p>
        </w:tc>
      </w:tr>
      <w:bookmarkEnd w:id="377"/>
    </w:tbl>
    <w:p w14:paraId="7AAB0E1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384" w:name="_Toc108122508"/>
      <w:r>
        <w:rPr>
          <w:rFonts w:hint="eastAsia" w:ascii="Times New Roman" w:hAnsi="Times New Roman" w:cs="Times New Roman"/>
          <w:lang w:val="en-US" w:eastAsia="zh-CN"/>
        </w:rPr>
        <w:t>3.1.5生产设备</w:t>
      </w:r>
      <w:bookmarkEnd w:id="378"/>
      <w:bookmarkEnd w:id="379"/>
      <w:bookmarkEnd w:id="380"/>
      <w:bookmarkEnd w:id="384"/>
    </w:p>
    <w:p w14:paraId="040F01A7">
      <w:pPr>
        <w:pStyle w:val="72"/>
      </w:pPr>
      <w:r>
        <w:rPr>
          <w:rFonts w:hint="eastAsia"/>
        </w:rPr>
        <w:t>根据</w:t>
      </w:r>
      <w:r>
        <w:rPr>
          <w:rFonts w:hint="eastAsia"/>
          <w:bCs/>
        </w:rPr>
        <w:t>《河南省电镀建设项目环评文件审查审批原则要求》，本项目电镀作业厂房、地面、生产设施符合《工业建筑防腐蚀设计规范》（GB50046-2008）的要求，车间内实行干湿区分离，湿区地面敷设网格板，湿镀件上下挂具作业在湿区内进行。车间地坪自下而上含垫层、防水层和防腐层。项目工艺废水管线采取地上明管，废水管道满足防腐、防渗漏要求，生产装置、罐区等易污染区地面进行了防渗处理</w:t>
      </w:r>
      <w:r>
        <w:rPr>
          <w:rFonts w:hint="eastAsia"/>
        </w:rPr>
        <w:t>。</w:t>
      </w:r>
    </w:p>
    <w:p w14:paraId="42624EBD">
      <w:pPr>
        <w:pStyle w:val="72"/>
        <w:rPr>
          <w:highlight w:val="yellow"/>
        </w:rPr>
      </w:pPr>
      <w:r>
        <w:rPr>
          <w:rFonts w:hint="eastAsia"/>
        </w:rPr>
        <w:t>本项目主要生产设备见下表。</w:t>
      </w:r>
    </w:p>
    <w:p w14:paraId="507377C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表3</w:t>
      </w:r>
      <w:r>
        <w:rPr>
          <w:rFonts w:hint="eastAsia"/>
          <w:lang w:val="en-US" w:eastAsia="zh-CN"/>
        </w:rPr>
        <w:t>.1</w:t>
      </w:r>
      <w:r>
        <w:rPr>
          <w:rFonts w:hint="eastAsia"/>
        </w:rPr>
        <w:t>-</w:t>
      </w:r>
      <w:r>
        <w:rPr>
          <w:rFonts w:hint="eastAsia"/>
          <w:lang w:val="en-US" w:eastAsia="zh-CN"/>
        </w:rPr>
        <w:t>12</w:t>
      </w:r>
      <w:r>
        <w:rPr>
          <w:rFonts w:hint="eastAsia"/>
        </w:rPr>
        <w:t xml:space="preserve">     项目主要设备一览表</w:t>
      </w:r>
    </w:p>
    <w:tbl>
      <w:tblPr>
        <w:tblStyle w:val="39"/>
        <w:tblW w:w="86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266"/>
        <w:gridCol w:w="1701"/>
        <w:gridCol w:w="1985"/>
        <w:gridCol w:w="1064"/>
        <w:gridCol w:w="889"/>
        <w:gridCol w:w="1710"/>
      </w:tblGrid>
      <w:tr w14:paraId="04EBE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615" w:type="dxa"/>
            <w:gridSpan w:val="6"/>
            <w:noWrap/>
            <w:vAlign w:val="center"/>
          </w:tcPr>
          <w:p w14:paraId="65A23D3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电池钢壳生产线</w:t>
            </w:r>
          </w:p>
        </w:tc>
      </w:tr>
      <w:tr w14:paraId="7259B6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shd w:val="clear" w:color="auto" w:fill="auto"/>
            <w:noWrap/>
            <w:vAlign w:val="center"/>
          </w:tcPr>
          <w:p w14:paraId="40C103B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工程内容</w:t>
            </w:r>
          </w:p>
        </w:tc>
        <w:tc>
          <w:tcPr>
            <w:tcW w:w="1701" w:type="dxa"/>
            <w:shd w:val="clear" w:color="auto" w:fill="auto"/>
            <w:noWrap/>
            <w:vAlign w:val="center"/>
          </w:tcPr>
          <w:p w14:paraId="4E71CD04">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主要设备</w:t>
            </w:r>
          </w:p>
        </w:tc>
        <w:tc>
          <w:tcPr>
            <w:tcW w:w="1985" w:type="dxa"/>
            <w:shd w:val="clear" w:color="auto" w:fill="auto"/>
            <w:noWrap/>
            <w:vAlign w:val="center"/>
          </w:tcPr>
          <w:p w14:paraId="3B926AC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型号/规格</w:t>
            </w:r>
          </w:p>
          <w:p w14:paraId="1E69264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（mm）</w:t>
            </w:r>
          </w:p>
        </w:tc>
        <w:tc>
          <w:tcPr>
            <w:tcW w:w="1064" w:type="dxa"/>
            <w:shd w:val="clear" w:color="auto" w:fill="auto"/>
            <w:noWrap/>
            <w:vAlign w:val="center"/>
          </w:tcPr>
          <w:p w14:paraId="7511DBF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eastAsia" w:ascii="Times New Roman" w:hAnsi="Times New Roman" w:eastAsia="宋体" w:cs="宋体"/>
                <w:b/>
                <w:kern w:val="2"/>
                <w:sz w:val="21"/>
                <w:szCs w:val="21"/>
                <w:lang w:val="en-US" w:eastAsia="zh-CN" w:bidi="ar-SA"/>
              </w:rPr>
              <w:t>单条</w:t>
            </w:r>
            <w:r>
              <w:rPr>
                <w:rFonts w:hint="default" w:ascii="Times New Roman" w:hAnsi="Times New Roman" w:eastAsia="宋体" w:cs="Times New Roman"/>
                <w:b/>
                <w:color w:val="auto"/>
                <w:kern w:val="2"/>
                <w:sz w:val="21"/>
                <w:szCs w:val="21"/>
                <w:lang w:val="en-US" w:eastAsia="zh-CN" w:bidi="ar-SA"/>
              </w:rPr>
              <w:t>数量</w:t>
            </w:r>
          </w:p>
          <w:p w14:paraId="7FBAB83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(台/套)</w:t>
            </w:r>
          </w:p>
        </w:tc>
        <w:tc>
          <w:tcPr>
            <w:tcW w:w="889" w:type="dxa"/>
            <w:shd w:val="clear" w:color="auto" w:fill="auto"/>
            <w:vAlign w:val="center"/>
          </w:tcPr>
          <w:p w14:paraId="5813521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eastAsia" w:cs="Times New Roman"/>
                <w:b/>
                <w:color w:val="auto"/>
                <w:kern w:val="2"/>
                <w:sz w:val="21"/>
                <w:szCs w:val="21"/>
                <w:lang w:val="en-US" w:eastAsia="zh-CN" w:bidi="ar-SA"/>
              </w:rPr>
            </w:pPr>
            <w:r>
              <w:rPr>
                <w:rFonts w:hint="eastAsia" w:cs="Times New Roman"/>
                <w:b/>
                <w:color w:val="auto"/>
                <w:kern w:val="2"/>
                <w:sz w:val="21"/>
                <w:szCs w:val="21"/>
                <w:lang w:val="en-US" w:eastAsia="zh-CN" w:bidi="ar-SA"/>
              </w:rPr>
              <w:t>总数量</w:t>
            </w:r>
          </w:p>
          <w:p w14:paraId="7C82DCC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(台/套)</w:t>
            </w:r>
          </w:p>
        </w:tc>
        <w:tc>
          <w:tcPr>
            <w:tcW w:w="1710" w:type="dxa"/>
            <w:shd w:val="clear" w:color="auto" w:fill="auto"/>
            <w:vAlign w:val="center"/>
          </w:tcPr>
          <w:p w14:paraId="3A71A09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备注</w:t>
            </w:r>
          </w:p>
        </w:tc>
      </w:tr>
      <w:tr w14:paraId="6A58C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0877F87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机加工工段</w:t>
            </w:r>
          </w:p>
        </w:tc>
        <w:tc>
          <w:tcPr>
            <w:tcW w:w="1701" w:type="dxa"/>
            <w:noWrap/>
            <w:vAlign w:val="center"/>
          </w:tcPr>
          <w:p w14:paraId="47E6CDF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冲床</w:t>
            </w:r>
          </w:p>
        </w:tc>
        <w:tc>
          <w:tcPr>
            <w:tcW w:w="1985" w:type="dxa"/>
            <w:noWrap/>
            <w:vAlign w:val="center"/>
          </w:tcPr>
          <w:p w14:paraId="30737E6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20t</w:t>
            </w:r>
          </w:p>
        </w:tc>
        <w:tc>
          <w:tcPr>
            <w:tcW w:w="1064" w:type="dxa"/>
            <w:noWrap/>
            <w:vAlign w:val="center"/>
          </w:tcPr>
          <w:p w14:paraId="3402DF0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宋体"/>
                <w:b w:val="0"/>
                <w:bCs/>
                <w:color w:val="auto"/>
                <w:kern w:val="2"/>
                <w:sz w:val="21"/>
                <w:szCs w:val="21"/>
                <w:lang w:val="en-US" w:eastAsia="zh-CN" w:bidi="ar-SA"/>
              </w:rPr>
              <w:t>/</w:t>
            </w:r>
          </w:p>
        </w:tc>
        <w:tc>
          <w:tcPr>
            <w:tcW w:w="889" w:type="dxa"/>
            <w:vAlign w:val="center"/>
          </w:tcPr>
          <w:p w14:paraId="495F9E7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i w:val="0"/>
                <w:iCs w:val="0"/>
                <w:color w:val="000000"/>
                <w:kern w:val="0"/>
                <w:sz w:val="22"/>
                <w:szCs w:val="22"/>
                <w:u w:val="none"/>
                <w:lang w:val="en-US" w:eastAsia="zh-CN" w:bidi="ar"/>
              </w:rPr>
              <w:t>11</w:t>
            </w:r>
          </w:p>
        </w:tc>
        <w:tc>
          <w:tcPr>
            <w:tcW w:w="1710" w:type="dxa"/>
            <w:vAlign w:val="center"/>
          </w:tcPr>
          <w:p w14:paraId="7B0FB5B6">
            <w:pPr>
              <w:keepNext w:val="0"/>
              <w:keepLines w:val="0"/>
              <w:widowControl w:val="0"/>
              <w:suppressLineNumbers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单台产能：45个/min(一出1，45次/min)</w:t>
            </w:r>
          </w:p>
        </w:tc>
      </w:tr>
      <w:tr w14:paraId="3E3EB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36A773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1631F2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冲床</w:t>
            </w:r>
          </w:p>
        </w:tc>
        <w:tc>
          <w:tcPr>
            <w:tcW w:w="1985" w:type="dxa"/>
            <w:noWrap/>
            <w:vAlign w:val="center"/>
          </w:tcPr>
          <w:p w14:paraId="3C006D1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80t</w:t>
            </w:r>
          </w:p>
        </w:tc>
        <w:tc>
          <w:tcPr>
            <w:tcW w:w="1064" w:type="dxa"/>
            <w:noWrap/>
            <w:vAlign w:val="center"/>
          </w:tcPr>
          <w:p w14:paraId="7B847A7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宋体"/>
                <w:b w:val="0"/>
                <w:bCs/>
                <w:color w:val="auto"/>
                <w:kern w:val="2"/>
                <w:sz w:val="21"/>
                <w:szCs w:val="21"/>
                <w:lang w:val="en-US" w:eastAsia="zh-CN" w:bidi="ar-SA"/>
              </w:rPr>
              <w:t>/</w:t>
            </w:r>
          </w:p>
        </w:tc>
        <w:tc>
          <w:tcPr>
            <w:tcW w:w="889" w:type="dxa"/>
            <w:vAlign w:val="center"/>
          </w:tcPr>
          <w:p w14:paraId="590D022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i w:val="0"/>
                <w:iCs w:val="0"/>
                <w:color w:val="000000"/>
                <w:kern w:val="0"/>
                <w:sz w:val="22"/>
                <w:szCs w:val="22"/>
                <w:u w:val="none"/>
                <w:lang w:val="en-US" w:eastAsia="zh-CN" w:bidi="ar"/>
              </w:rPr>
              <w:t>10</w:t>
            </w:r>
          </w:p>
        </w:tc>
        <w:tc>
          <w:tcPr>
            <w:tcW w:w="1710" w:type="dxa"/>
            <w:vAlign w:val="center"/>
          </w:tcPr>
          <w:p w14:paraId="5C0D22B2">
            <w:pPr>
              <w:keepNext w:val="0"/>
              <w:keepLines w:val="0"/>
              <w:widowControl w:val="0"/>
              <w:suppressLineNumbers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单台产能：</w:t>
            </w:r>
            <w:r>
              <w:rPr>
                <w:rFonts w:hint="eastAsia" w:ascii="Times New Roman" w:hAnsi="Times New Roman" w:eastAsia="宋体" w:cs="Times New Roman"/>
                <w:b w:val="0"/>
                <w:bCs/>
                <w:color w:val="auto"/>
                <w:kern w:val="2"/>
                <w:sz w:val="21"/>
                <w:szCs w:val="21"/>
                <w:lang w:val="en-US" w:eastAsia="zh-CN" w:bidi="ar-SA"/>
              </w:rPr>
              <w:t>200</w:t>
            </w:r>
            <w:r>
              <w:rPr>
                <w:rFonts w:hint="default" w:ascii="Times New Roman" w:hAnsi="Times New Roman" w:eastAsia="宋体" w:cs="Times New Roman"/>
                <w:b w:val="0"/>
                <w:bCs/>
                <w:color w:val="auto"/>
                <w:kern w:val="2"/>
                <w:sz w:val="21"/>
                <w:szCs w:val="21"/>
                <w:lang w:val="en-US" w:eastAsia="zh-CN" w:bidi="ar-SA"/>
              </w:rPr>
              <w:t>个/min(一出1，200次/min)</w:t>
            </w:r>
          </w:p>
        </w:tc>
      </w:tr>
      <w:tr w14:paraId="6CFF18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7A3FBC9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val="0"/>
                <w:color w:val="auto"/>
                <w:sz w:val="21"/>
                <w:szCs w:val="21"/>
              </w:rPr>
              <w:t>电池钢壳</w:t>
            </w:r>
            <w:r>
              <w:rPr>
                <w:rFonts w:hint="default" w:ascii="Times New Roman" w:hAnsi="Times New Roman" w:eastAsia="宋体" w:cs="Times New Roman"/>
                <w:b w:val="0"/>
                <w:bCs w:val="0"/>
                <w:color w:val="auto"/>
                <w:sz w:val="21"/>
                <w:szCs w:val="21"/>
                <w:lang w:val="en-US" w:eastAsia="zh-CN"/>
              </w:rPr>
              <w:t>生产线</w:t>
            </w:r>
            <w:r>
              <w:rPr>
                <w:rFonts w:hint="eastAsia"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lang w:val="en-US" w:eastAsia="zh-CN"/>
              </w:rPr>
              <w:t>条</w:t>
            </w:r>
          </w:p>
        </w:tc>
        <w:tc>
          <w:tcPr>
            <w:tcW w:w="1701" w:type="dxa"/>
            <w:noWrap/>
            <w:vAlign w:val="center"/>
          </w:tcPr>
          <w:p w14:paraId="3A683ED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龙门单钩行车</w:t>
            </w:r>
          </w:p>
        </w:tc>
        <w:tc>
          <w:tcPr>
            <w:tcW w:w="1985" w:type="dxa"/>
            <w:noWrap/>
            <w:vAlign w:val="center"/>
          </w:tcPr>
          <w:p w14:paraId="6028DDD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w:t>
            </w:r>
          </w:p>
        </w:tc>
        <w:tc>
          <w:tcPr>
            <w:tcW w:w="1064" w:type="dxa"/>
            <w:noWrap/>
            <w:vAlign w:val="center"/>
          </w:tcPr>
          <w:p w14:paraId="32A11E2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7</w:t>
            </w:r>
          </w:p>
        </w:tc>
        <w:tc>
          <w:tcPr>
            <w:tcW w:w="889" w:type="dxa"/>
            <w:vAlign w:val="center"/>
          </w:tcPr>
          <w:p w14:paraId="7914871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1710" w:type="dxa"/>
            <w:vAlign w:val="center"/>
          </w:tcPr>
          <w:p w14:paraId="02E9785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w:t>
            </w:r>
          </w:p>
        </w:tc>
      </w:tr>
      <w:tr w14:paraId="5900A3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DF0C97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AAFA36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除油槽</w:t>
            </w:r>
          </w:p>
        </w:tc>
        <w:tc>
          <w:tcPr>
            <w:tcW w:w="1985" w:type="dxa"/>
            <w:noWrap/>
            <w:vAlign w:val="center"/>
          </w:tcPr>
          <w:p w14:paraId="1AC42C4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L2000*W900*H1100</w:t>
            </w:r>
          </w:p>
        </w:tc>
        <w:tc>
          <w:tcPr>
            <w:tcW w:w="1064" w:type="dxa"/>
            <w:noWrap/>
            <w:vAlign w:val="center"/>
          </w:tcPr>
          <w:p w14:paraId="02F85E3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16</w:t>
            </w:r>
          </w:p>
        </w:tc>
        <w:tc>
          <w:tcPr>
            <w:tcW w:w="889" w:type="dxa"/>
            <w:vAlign w:val="center"/>
          </w:tcPr>
          <w:p w14:paraId="52A6B4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710" w:type="dxa"/>
            <w:vAlign w:val="center"/>
          </w:tcPr>
          <w:p w14:paraId="39EC9D4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w:t>
            </w:r>
          </w:p>
        </w:tc>
      </w:tr>
      <w:tr w14:paraId="7298D1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D7664D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98B190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51F3DA7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47DA244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8</w:t>
            </w:r>
          </w:p>
        </w:tc>
        <w:tc>
          <w:tcPr>
            <w:tcW w:w="889" w:type="dxa"/>
            <w:vAlign w:val="center"/>
          </w:tcPr>
          <w:p w14:paraId="1B3C39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710" w:type="dxa"/>
            <w:vAlign w:val="center"/>
          </w:tcPr>
          <w:p w14:paraId="2A7CC87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kern w:val="2"/>
                <w:sz w:val="21"/>
                <w:szCs w:val="21"/>
                <w:lang w:val="en-US" w:eastAsia="zh-CN" w:bidi="ar-SA"/>
              </w:rPr>
            </w:pPr>
            <w:r>
              <w:rPr>
                <w:rFonts w:hint="eastAsia" w:cs="Times New Roman"/>
                <w:b w:val="0"/>
                <w:bCs/>
                <w:color w:val="auto"/>
                <w:kern w:val="2"/>
                <w:sz w:val="21"/>
                <w:szCs w:val="21"/>
                <w:lang w:val="en-US" w:eastAsia="zh-CN" w:bidi="ar-SA"/>
              </w:rPr>
              <w:t>除油后水洗</w:t>
            </w:r>
          </w:p>
        </w:tc>
      </w:tr>
      <w:tr w14:paraId="3D9D4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67F9A0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3FF4732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热水洗槽</w:t>
            </w:r>
          </w:p>
        </w:tc>
        <w:tc>
          <w:tcPr>
            <w:tcW w:w="1985" w:type="dxa"/>
            <w:noWrap/>
            <w:vAlign w:val="center"/>
          </w:tcPr>
          <w:p w14:paraId="4178FE1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42A979B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vAlign w:val="center"/>
          </w:tcPr>
          <w:p w14:paraId="7707807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10" w:type="dxa"/>
            <w:vAlign w:val="center"/>
          </w:tcPr>
          <w:p w14:paraId="33B36A6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除油后热水洗</w:t>
            </w:r>
          </w:p>
        </w:tc>
      </w:tr>
      <w:tr w14:paraId="5C1998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5E9620C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662DF6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清水洗槽</w:t>
            </w:r>
          </w:p>
        </w:tc>
        <w:tc>
          <w:tcPr>
            <w:tcW w:w="1985" w:type="dxa"/>
            <w:noWrap/>
            <w:vAlign w:val="center"/>
          </w:tcPr>
          <w:p w14:paraId="12F2A6D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bookmarkStart w:id="385" w:name="OLE_LINK1"/>
            <w:r>
              <w:rPr>
                <w:rFonts w:hint="default" w:ascii="Times New Roman" w:hAnsi="Times New Roman" w:eastAsia="宋体" w:cs="Times New Roman"/>
                <w:b w:val="0"/>
                <w:bCs/>
                <w:color w:val="auto"/>
                <w:kern w:val="2"/>
                <w:sz w:val="21"/>
                <w:szCs w:val="21"/>
                <w:lang w:val="en-US" w:eastAsia="zh-CN" w:bidi="ar-SA"/>
              </w:rPr>
              <w:t>L2000*W700*H1100</w:t>
            </w:r>
            <w:bookmarkEnd w:id="385"/>
          </w:p>
        </w:tc>
        <w:tc>
          <w:tcPr>
            <w:tcW w:w="1064" w:type="dxa"/>
            <w:noWrap/>
            <w:vAlign w:val="center"/>
          </w:tcPr>
          <w:p w14:paraId="2770DC1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vAlign w:val="center"/>
          </w:tcPr>
          <w:p w14:paraId="3503BF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10" w:type="dxa"/>
            <w:vAlign w:val="center"/>
          </w:tcPr>
          <w:p w14:paraId="72F7902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除油后水洗</w:t>
            </w:r>
          </w:p>
        </w:tc>
      </w:tr>
      <w:tr w14:paraId="6DC30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6DCF21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968206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酸洗槽</w:t>
            </w:r>
          </w:p>
        </w:tc>
        <w:tc>
          <w:tcPr>
            <w:tcW w:w="1985" w:type="dxa"/>
            <w:noWrap/>
            <w:vAlign w:val="center"/>
          </w:tcPr>
          <w:p w14:paraId="478F967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2584B6A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1CD2D4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76D5DE2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酸洗</w:t>
            </w:r>
          </w:p>
        </w:tc>
      </w:tr>
      <w:tr w14:paraId="68B5D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8F3BCD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shd w:val="clear" w:color="auto" w:fill="auto"/>
            <w:noWrap/>
            <w:vAlign w:val="center"/>
          </w:tcPr>
          <w:p w14:paraId="31652F0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清水洗槽</w:t>
            </w:r>
          </w:p>
        </w:tc>
        <w:tc>
          <w:tcPr>
            <w:tcW w:w="1985" w:type="dxa"/>
            <w:shd w:val="clear" w:color="auto" w:fill="auto"/>
            <w:noWrap/>
            <w:vAlign w:val="center"/>
          </w:tcPr>
          <w:p w14:paraId="78652B2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shd w:val="clear" w:color="auto" w:fill="auto"/>
            <w:noWrap/>
            <w:vAlign w:val="center"/>
          </w:tcPr>
          <w:p w14:paraId="4232F04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shd w:val="clear" w:color="auto" w:fill="auto"/>
            <w:vAlign w:val="center"/>
          </w:tcPr>
          <w:p w14:paraId="7DFC58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shd w:val="clear" w:color="auto" w:fill="auto"/>
            <w:vAlign w:val="center"/>
          </w:tcPr>
          <w:p w14:paraId="441537E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酸洗后水洗</w:t>
            </w:r>
          </w:p>
        </w:tc>
      </w:tr>
      <w:tr w14:paraId="5AFE20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0BA536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shd w:val="clear" w:color="auto" w:fill="auto"/>
            <w:noWrap/>
            <w:vAlign w:val="center"/>
          </w:tcPr>
          <w:p w14:paraId="59ACE8A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交换槽</w:t>
            </w:r>
          </w:p>
        </w:tc>
        <w:tc>
          <w:tcPr>
            <w:tcW w:w="1985" w:type="dxa"/>
            <w:shd w:val="clear" w:color="auto" w:fill="auto"/>
            <w:noWrap/>
            <w:vAlign w:val="center"/>
          </w:tcPr>
          <w:p w14:paraId="6B969E1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shd w:val="clear" w:color="auto" w:fill="auto"/>
            <w:noWrap/>
            <w:vAlign w:val="center"/>
          </w:tcPr>
          <w:p w14:paraId="63EF4C3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shd w:val="clear" w:color="auto" w:fill="auto"/>
            <w:vAlign w:val="center"/>
          </w:tcPr>
          <w:p w14:paraId="6DA715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10" w:type="dxa"/>
            <w:shd w:val="clear" w:color="auto" w:fill="auto"/>
            <w:vAlign w:val="center"/>
          </w:tcPr>
          <w:p w14:paraId="2EC7849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功能：更换滚筒</w:t>
            </w:r>
          </w:p>
        </w:tc>
      </w:tr>
      <w:tr w14:paraId="442920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266" w:type="dxa"/>
            <w:vMerge w:val="continue"/>
            <w:noWrap/>
            <w:vAlign w:val="center"/>
          </w:tcPr>
          <w:p w14:paraId="3425E91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864E33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镀镍槽</w:t>
            </w:r>
          </w:p>
        </w:tc>
        <w:tc>
          <w:tcPr>
            <w:tcW w:w="1985" w:type="dxa"/>
            <w:noWrap/>
            <w:vAlign w:val="center"/>
          </w:tcPr>
          <w:p w14:paraId="3132EBD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L2000*W950*H1100</w:t>
            </w:r>
          </w:p>
        </w:tc>
        <w:tc>
          <w:tcPr>
            <w:tcW w:w="1064" w:type="dxa"/>
            <w:noWrap/>
            <w:vAlign w:val="center"/>
          </w:tcPr>
          <w:p w14:paraId="49BD45E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36</w:t>
            </w:r>
          </w:p>
        </w:tc>
        <w:tc>
          <w:tcPr>
            <w:tcW w:w="889" w:type="dxa"/>
            <w:vAlign w:val="center"/>
          </w:tcPr>
          <w:p w14:paraId="6459FA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108</w:t>
            </w:r>
          </w:p>
        </w:tc>
        <w:tc>
          <w:tcPr>
            <w:tcW w:w="1710" w:type="dxa"/>
            <w:vAlign w:val="center"/>
          </w:tcPr>
          <w:p w14:paraId="137DA86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镀镍</w:t>
            </w:r>
          </w:p>
        </w:tc>
      </w:tr>
      <w:tr w14:paraId="10E95F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85B680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CBEF25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镀液回收槽</w:t>
            </w:r>
          </w:p>
        </w:tc>
        <w:tc>
          <w:tcPr>
            <w:tcW w:w="1985" w:type="dxa"/>
            <w:noWrap/>
            <w:vAlign w:val="center"/>
          </w:tcPr>
          <w:p w14:paraId="6670EC9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L2000*W950*H1100</w:t>
            </w:r>
          </w:p>
        </w:tc>
        <w:tc>
          <w:tcPr>
            <w:tcW w:w="1064" w:type="dxa"/>
            <w:noWrap/>
            <w:vAlign w:val="center"/>
          </w:tcPr>
          <w:p w14:paraId="2C080BE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3</w:t>
            </w:r>
          </w:p>
        </w:tc>
        <w:tc>
          <w:tcPr>
            <w:tcW w:w="889" w:type="dxa"/>
            <w:vAlign w:val="center"/>
          </w:tcPr>
          <w:p w14:paraId="6003C53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710" w:type="dxa"/>
            <w:vAlign w:val="center"/>
          </w:tcPr>
          <w:p w14:paraId="577DD5E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镀镍后回收</w:t>
            </w:r>
          </w:p>
        </w:tc>
      </w:tr>
      <w:tr w14:paraId="1A1F2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7A4A6F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195B99A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03FA10B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77A8B30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65B372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722CD7D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镀镍后水洗</w:t>
            </w:r>
          </w:p>
        </w:tc>
      </w:tr>
      <w:tr w14:paraId="3A7D94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CDAE9A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1FF5009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漂白槽</w:t>
            </w:r>
          </w:p>
        </w:tc>
        <w:tc>
          <w:tcPr>
            <w:tcW w:w="1985" w:type="dxa"/>
            <w:noWrap/>
            <w:vAlign w:val="center"/>
          </w:tcPr>
          <w:p w14:paraId="55D80DD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403D1E9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35479F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5FF9DCD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漂白</w:t>
            </w:r>
          </w:p>
        </w:tc>
      </w:tr>
      <w:tr w14:paraId="25272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B6D17E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3155AF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5B9F5A7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6E3B724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6B0A3D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25BFD45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漂白后水洗</w:t>
            </w:r>
          </w:p>
        </w:tc>
      </w:tr>
      <w:tr w14:paraId="6F4643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8D9BDA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1996BE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中和槽</w:t>
            </w:r>
          </w:p>
        </w:tc>
        <w:tc>
          <w:tcPr>
            <w:tcW w:w="1985" w:type="dxa"/>
            <w:noWrap/>
            <w:vAlign w:val="center"/>
          </w:tcPr>
          <w:p w14:paraId="096F785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5F1F18D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03CBCA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06AFBFD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中和</w:t>
            </w:r>
          </w:p>
        </w:tc>
      </w:tr>
      <w:tr w14:paraId="03BD99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FCB8FD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0AA163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中和后水洗槽</w:t>
            </w:r>
          </w:p>
        </w:tc>
        <w:tc>
          <w:tcPr>
            <w:tcW w:w="1985" w:type="dxa"/>
            <w:noWrap/>
            <w:vAlign w:val="center"/>
          </w:tcPr>
          <w:p w14:paraId="3B6C48F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53B5D2B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3ADF77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2B0D2D8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w:t>
            </w:r>
            <w:r>
              <w:rPr>
                <w:rFonts w:hint="eastAsia" w:cs="Times New Roman"/>
                <w:b w:val="0"/>
                <w:bCs/>
                <w:color w:val="auto"/>
                <w:kern w:val="2"/>
                <w:sz w:val="21"/>
                <w:szCs w:val="21"/>
                <w:lang w:val="en-US" w:eastAsia="zh-CN" w:bidi="ar-SA"/>
              </w:rPr>
              <w:t>水洗</w:t>
            </w:r>
          </w:p>
        </w:tc>
      </w:tr>
      <w:tr w14:paraId="34E42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5D55199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B5525C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钝化槽</w:t>
            </w:r>
          </w:p>
        </w:tc>
        <w:tc>
          <w:tcPr>
            <w:tcW w:w="1985" w:type="dxa"/>
            <w:noWrap/>
            <w:vAlign w:val="center"/>
          </w:tcPr>
          <w:p w14:paraId="0F34B26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3CFEB61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02F11B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3A16DB9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钝化</w:t>
            </w:r>
          </w:p>
        </w:tc>
      </w:tr>
      <w:tr w14:paraId="5F1E42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3CCA1E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3CC1B2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钝化后水洗槽</w:t>
            </w:r>
          </w:p>
        </w:tc>
        <w:tc>
          <w:tcPr>
            <w:tcW w:w="1985" w:type="dxa"/>
            <w:noWrap/>
            <w:vAlign w:val="center"/>
          </w:tcPr>
          <w:p w14:paraId="3FDFCB5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5F3724E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3</w:t>
            </w:r>
          </w:p>
        </w:tc>
        <w:tc>
          <w:tcPr>
            <w:tcW w:w="889" w:type="dxa"/>
            <w:vAlign w:val="center"/>
          </w:tcPr>
          <w:p w14:paraId="5AEAD4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710" w:type="dxa"/>
            <w:vAlign w:val="center"/>
          </w:tcPr>
          <w:p w14:paraId="5DEAC55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钝化后水洗</w:t>
            </w:r>
          </w:p>
        </w:tc>
      </w:tr>
      <w:tr w14:paraId="09A72A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44A7AB2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3758785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中和槽</w:t>
            </w:r>
          </w:p>
        </w:tc>
        <w:tc>
          <w:tcPr>
            <w:tcW w:w="1985" w:type="dxa"/>
            <w:noWrap/>
            <w:vAlign w:val="center"/>
          </w:tcPr>
          <w:p w14:paraId="37957C1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1AC5B9C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1DE566F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0A08976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中和</w:t>
            </w:r>
          </w:p>
        </w:tc>
      </w:tr>
      <w:tr w14:paraId="74A068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D0555D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7272F34">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中和后水洗槽</w:t>
            </w:r>
          </w:p>
        </w:tc>
        <w:tc>
          <w:tcPr>
            <w:tcW w:w="1985" w:type="dxa"/>
            <w:noWrap/>
            <w:vAlign w:val="center"/>
          </w:tcPr>
          <w:p w14:paraId="3121D69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599158B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vAlign w:val="center"/>
          </w:tcPr>
          <w:p w14:paraId="7EA581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10" w:type="dxa"/>
            <w:vAlign w:val="center"/>
          </w:tcPr>
          <w:p w14:paraId="5980176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中和后水洗</w:t>
            </w:r>
          </w:p>
        </w:tc>
      </w:tr>
      <w:tr w14:paraId="3504F8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94631D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7D76575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交换槽</w:t>
            </w:r>
          </w:p>
        </w:tc>
        <w:tc>
          <w:tcPr>
            <w:tcW w:w="1985" w:type="dxa"/>
            <w:noWrap/>
            <w:vAlign w:val="center"/>
          </w:tcPr>
          <w:p w14:paraId="0EB9AE7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222092D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vAlign w:val="center"/>
          </w:tcPr>
          <w:p w14:paraId="7F9343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10" w:type="dxa"/>
            <w:vAlign w:val="center"/>
          </w:tcPr>
          <w:p w14:paraId="2142677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功能：更换滚筒</w:t>
            </w:r>
          </w:p>
        </w:tc>
      </w:tr>
      <w:tr w14:paraId="4FDBDF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1890E7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4684AB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交换后水洗槽</w:t>
            </w:r>
          </w:p>
        </w:tc>
        <w:tc>
          <w:tcPr>
            <w:tcW w:w="1985" w:type="dxa"/>
            <w:noWrap/>
            <w:vAlign w:val="center"/>
          </w:tcPr>
          <w:p w14:paraId="2A1375F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7BCCD30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7E12FC6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2261E82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水洗</w:t>
            </w:r>
          </w:p>
        </w:tc>
      </w:tr>
      <w:tr w14:paraId="7814F1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D041DA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605D38B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封闭保护槽</w:t>
            </w:r>
          </w:p>
        </w:tc>
        <w:tc>
          <w:tcPr>
            <w:tcW w:w="1985" w:type="dxa"/>
            <w:noWrap/>
            <w:vAlign w:val="center"/>
          </w:tcPr>
          <w:p w14:paraId="4F2FEAD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3E3EDBA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3</w:t>
            </w:r>
          </w:p>
        </w:tc>
        <w:tc>
          <w:tcPr>
            <w:tcW w:w="889" w:type="dxa"/>
            <w:vAlign w:val="center"/>
          </w:tcPr>
          <w:p w14:paraId="13DCBBE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710" w:type="dxa"/>
            <w:vAlign w:val="center"/>
          </w:tcPr>
          <w:p w14:paraId="6F045B8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封闭</w:t>
            </w:r>
          </w:p>
        </w:tc>
      </w:tr>
      <w:tr w14:paraId="62C66A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B0041A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61497DA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封闭后水洗槽</w:t>
            </w:r>
          </w:p>
        </w:tc>
        <w:tc>
          <w:tcPr>
            <w:tcW w:w="1985" w:type="dxa"/>
            <w:noWrap/>
            <w:vAlign w:val="center"/>
          </w:tcPr>
          <w:p w14:paraId="4BCE6AD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399FC28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41F41E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6</w:t>
            </w:r>
          </w:p>
        </w:tc>
        <w:tc>
          <w:tcPr>
            <w:tcW w:w="1710" w:type="dxa"/>
            <w:vAlign w:val="center"/>
          </w:tcPr>
          <w:p w14:paraId="413A18D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封闭后水洗</w:t>
            </w:r>
          </w:p>
        </w:tc>
      </w:tr>
      <w:tr w14:paraId="79A91E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4F0B40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1DC1EA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沥干槽</w:t>
            </w:r>
          </w:p>
        </w:tc>
        <w:tc>
          <w:tcPr>
            <w:tcW w:w="1985" w:type="dxa"/>
            <w:noWrap/>
            <w:vAlign w:val="center"/>
          </w:tcPr>
          <w:p w14:paraId="71B3C62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09E8CBF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2</w:t>
            </w:r>
          </w:p>
        </w:tc>
        <w:tc>
          <w:tcPr>
            <w:tcW w:w="889" w:type="dxa"/>
            <w:vAlign w:val="center"/>
          </w:tcPr>
          <w:p w14:paraId="57B7DB2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6</w:t>
            </w:r>
          </w:p>
        </w:tc>
        <w:tc>
          <w:tcPr>
            <w:tcW w:w="1710" w:type="dxa"/>
            <w:vAlign w:val="center"/>
          </w:tcPr>
          <w:p w14:paraId="7269CC5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沥干</w:t>
            </w:r>
          </w:p>
        </w:tc>
      </w:tr>
      <w:tr w14:paraId="1913DC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00D91B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C06C0E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烘干槽</w:t>
            </w:r>
          </w:p>
        </w:tc>
        <w:tc>
          <w:tcPr>
            <w:tcW w:w="1985" w:type="dxa"/>
            <w:noWrap/>
            <w:vAlign w:val="center"/>
          </w:tcPr>
          <w:p w14:paraId="38993BE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L800*W2500*H1000</w:t>
            </w:r>
          </w:p>
        </w:tc>
        <w:tc>
          <w:tcPr>
            <w:tcW w:w="1064" w:type="dxa"/>
            <w:noWrap/>
            <w:vAlign w:val="center"/>
          </w:tcPr>
          <w:p w14:paraId="206B4DA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4</w:t>
            </w:r>
          </w:p>
        </w:tc>
        <w:tc>
          <w:tcPr>
            <w:tcW w:w="889" w:type="dxa"/>
            <w:vAlign w:val="center"/>
          </w:tcPr>
          <w:p w14:paraId="05D4DE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12</w:t>
            </w:r>
          </w:p>
        </w:tc>
        <w:tc>
          <w:tcPr>
            <w:tcW w:w="1710" w:type="dxa"/>
            <w:vAlign w:val="center"/>
          </w:tcPr>
          <w:p w14:paraId="647F0E8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烘干</w:t>
            </w:r>
          </w:p>
        </w:tc>
      </w:tr>
      <w:tr w14:paraId="0FCA0C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251D5C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0B444DD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晾干槽</w:t>
            </w:r>
          </w:p>
        </w:tc>
        <w:tc>
          <w:tcPr>
            <w:tcW w:w="1985" w:type="dxa"/>
            <w:noWrap/>
            <w:vAlign w:val="center"/>
          </w:tcPr>
          <w:p w14:paraId="233A3EE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L2000*W700*H1100</w:t>
            </w:r>
          </w:p>
        </w:tc>
        <w:tc>
          <w:tcPr>
            <w:tcW w:w="1064" w:type="dxa"/>
            <w:noWrap/>
            <w:vAlign w:val="center"/>
          </w:tcPr>
          <w:p w14:paraId="2252572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宋体"/>
                <w:b w:val="0"/>
                <w:bCs/>
                <w:color w:val="auto"/>
                <w:kern w:val="2"/>
                <w:sz w:val="21"/>
                <w:szCs w:val="21"/>
                <w:lang w:val="en-US" w:eastAsia="zh-CN" w:bidi="ar-SA"/>
              </w:rPr>
              <w:t>1</w:t>
            </w:r>
          </w:p>
        </w:tc>
        <w:tc>
          <w:tcPr>
            <w:tcW w:w="889" w:type="dxa"/>
            <w:vAlign w:val="center"/>
          </w:tcPr>
          <w:p w14:paraId="5A436E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3</w:t>
            </w:r>
          </w:p>
        </w:tc>
        <w:tc>
          <w:tcPr>
            <w:tcW w:w="1710" w:type="dxa"/>
            <w:vAlign w:val="center"/>
          </w:tcPr>
          <w:p w14:paraId="21A11F0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晾干</w:t>
            </w:r>
          </w:p>
        </w:tc>
      </w:tr>
      <w:tr w14:paraId="1BD24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615" w:type="dxa"/>
            <w:gridSpan w:val="6"/>
            <w:noWrap/>
            <w:vAlign w:val="center"/>
          </w:tcPr>
          <w:p w14:paraId="0339E7F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盖帽</w:t>
            </w:r>
            <w:r>
              <w:rPr>
                <w:rFonts w:hint="default" w:ascii="Times New Roman" w:hAnsi="Times New Roman" w:eastAsia="宋体" w:cs="Times New Roman"/>
                <w:b/>
                <w:bCs/>
                <w:color w:val="auto"/>
                <w:sz w:val="21"/>
                <w:szCs w:val="21"/>
              </w:rPr>
              <w:t>生产线</w:t>
            </w:r>
          </w:p>
        </w:tc>
      </w:tr>
      <w:tr w14:paraId="377765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shd w:val="clear" w:color="auto" w:fill="auto"/>
            <w:noWrap/>
            <w:vAlign w:val="center"/>
          </w:tcPr>
          <w:p w14:paraId="2634F31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工程内容</w:t>
            </w:r>
          </w:p>
        </w:tc>
        <w:tc>
          <w:tcPr>
            <w:tcW w:w="1701" w:type="dxa"/>
            <w:shd w:val="clear" w:color="auto" w:fill="auto"/>
            <w:noWrap/>
            <w:vAlign w:val="center"/>
          </w:tcPr>
          <w:p w14:paraId="4919853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主要设备</w:t>
            </w:r>
          </w:p>
        </w:tc>
        <w:tc>
          <w:tcPr>
            <w:tcW w:w="1985" w:type="dxa"/>
            <w:shd w:val="clear" w:color="auto" w:fill="auto"/>
            <w:noWrap/>
            <w:vAlign w:val="center"/>
          </w:tcPr>
          <w:p w14:paraId="165C0DE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型号/规格</w:t>
            </w:r>
          </w:p>
          <w:p w14:paraId="3D925EE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（mm）</w:t>
            </w:r>
          </w:p>
        </w:tc>
        <w:tc>
          <w:tcPr>
            <w:tcW w:w="1064" w:type="dxa"/>
            <w:shd w:val="clear" w:color="auto" w:fill="auto"/>
            <w:noWrap/>
            <w:vAlign w:val="center"/>
          </w:tcPr>
          <w:p w14:paraId="62A42AF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eastAsia" w:ascii="Times New Roman" w:hAnsi="Times New Roman" w:eastAsia="宋体" w:cs="宋体"/>
                <w:b/>
                <w:kern w:val="2"/>
                <w:sz w:val="21"/>
                <w:szCs w:val="21"/>
                <w:lang w:val="en-US" w:eastAsia="zh-CN" w:bidi="ar-SA"/>
              </w:rPr>
              <w:t>单条</w:t>
            </w:r>
            <w:r>
              <w:rPr>
                <w:rFonts w:hint="default" w:ascii="Times New Roman" w:hAnsi="Times New Roman" w:eastAsia="宋体" w:cs="Times New Roman"/>
                <w:b/>
                <w:color w:val="auto"/>
                <w:kern w:val="2"/>
                <w:sz w:val="21"/>
                <w:szCs w:val="21"/>
                <w:lang w:val="en-US" w:eastAsia="zh-CN" w:bidi="ar-SA"/>
              </w:rPr>
              <w:t>数量</w:t>
            </w:r>
          </w:p>
          <w:p w14:paraId="508976E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(台/套)</w:t>
            </w:r>
          </w:p>
        </w:tc>
        <w:tc>
          <w:tcPr>
            <w:tcW w:w="889" w:type="dxa"/>
            <w:shd w:val="clear" w:color="auto" w:fill="auto"/>
            <w:vAlign w:val="center"/>
          </w:tcPr>
          <w:p w14:paraId="094A44E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eastAsia" w:cs="Times New Roman"/>
                <w:b/>
                <w:color w:val="auto"/>
                <w:kern w:val="2"/>
                <w:sz w:val="21"/>
                <w:szCs w:val="21"/>
                <w:lang w:val="en-US" w:eastAsia="zh-CN" w:bidi="ar-SA"/>
              </w:rPr>
            </w:pPr>
            <w:r>
              <w:rPr>
                <w:rFonts w:hint="eastAsia" w:cs="Times New Roman"/>
                <w:b/>
                <w:color w:val="auto"/>
                <w:kern w:val="2"/>
                <w:sz w:val="21"/>
                <w:szCs w:val="21"/>
                <w:lang w:val="en-US" w:eastAsia="zh-CN" w:bidi="ar-SA"/>
              </w:rPr>
              <w:t>总数量</w:t>
            </w:r>
          </w:p>
          <w:p w14:paraId="38A1DC8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(台/套)</w:t>
            </w:r>
          </w:p>
        </w:tc>
        <w:tc>
          <w:tcPr>
            <w:tcW w:w="1710" w:type="dxa"/>
            <w:shd w:val="clear" w:color="auto" w:fill="auto"/>
            <w:vAlign w:val="center"/>
          </w:tcPr>
          <w:p w14:paraId="148F42E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备注</w:t>
            </w:r>
          </w:p>
        </w:tc>
      </w:tr>
      <w:tr w14:paraId="58CE19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noWrap/>
            <w:vAlign w:val="center"/>
          </w:tcPr>
          <w:p w14:paraId="76D4C48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机加工生产线</w:t>
            </w:r>
          </w:p>
        </w:tc>
        <w:tc>
          <w:tcPr>
            <w:tcW w:w="1701" w:type="dxa"/>
            <w:noWrap/>
            <w:vAlign w:val="center"/>
          </w:tcPr>
          <w:p w14:paraId="580393F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冲床</w:t>
            </w:r>
          </w:p>
        </w:tc>
        <w:tc>
          <w:tcPr>
            <w:tcW w:w="1985" w:type="dxa"/>
            <w:noWrap/>
            <w:vAlign w:val="center"/>
          </w:tcPr>
          <w:p w14:paraId="12F07F7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40t</w:t>
            </w:r>
          </w:p>
        </w:tc>
        <w:tc>
          <w:tcPr>
            <w:tcW w:w="1064" w:type="dxa"/>
            <w:noWrap/>
            <w:vAlign w:val="center"/>
          </w:tcPr>
          <w:p w14:paraId="035840A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w:t>
            </w:r>
          </w:p>
        </w:tc>
        <w:tc>
          <w:tcPr>
            <w:tcW w:w="889" w:type="dxa"/>
            <w:vAlign w:val="center"/>
          </w:tcPr>
          <w:p w14:paraId="203EBD9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4</w:t>
            </w:r>
          </w:p>
        </w:tc>
        <w:tc>
          <w:tcPr>
            <w:tcW w:w="1710" w:type="dxa"/>
            <w:vAlign w:val="center"/>
          </w:tcPr>
          <w:p w14:paraId="6F3DC6C5">
            <w:pPr>
              <w:keepNext w:val="0"/>
              <w:keepLines w:val="0"/>
              <w:widowControl w:val="0"/>
              <w:suppressLineNumbers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单台产能：600个/min(一出3，200次/min)</w:t>
            </w:r>
          </w:p>
        </w:tc>
      </w:tr>
      <w:tr w14:paraId="40A649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4FD55EC6">
            <w:pPr>
              <w:keepNext w:val="0"/>
              <w:keepLines w:val="0"/>
              <w:widowControl w:val="0"/>
              <w:suppressLineNumbers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盖帽</w:t>
            </w:r>
            <w:r>
              <w:rPr>
                <w:rFonts w:hint="default" w:ascii="Times New Roman" w:hAnsi="Times New Roman" w:eastAsia="宋体" w:cs="Times New Roman"/>
                <w:b w:val="0"/>
                <w:bCs w:val="0"/>
                <w:color w:val="auto"/>
                <w:sz w:val="21"/>
                <w:szCs w:val="21"/>
              </w:rPr>
              <w:t>生产线</w:t>
            </w:r>
            <w:r>
              <w:rPr>
                <w:rFonts w:hint="default" w:ascii="Times New Roman" w:hAnsi="Times New Roman" w:eastAsia="宋体" w:cs="Times New Roman"/>
                <w:b w:val="0"/>
                <w:bCs w:val="0"/>
                <w:color w:val="auto"/>
                <w:sz w:val="21"/>
                <w:szCs w:val="21"/>
                <w:lang w:val="en-US" w:eastAsia="zh-CN"/>
              </w:rPr>
              <w:t>2条</w:t>
            </w:r>
          </w:p>
        </w:tc>
        <w:tc>
          <w:tcPr>
            <w:tcW w:w="1701" w:type="dxa"/>
            <w:noWrap/>
            <w:vAlign w:val="center"/>
          </w:tcPr>
          <w:p w14:paraId="251FBB6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龙门单钩行车</w:t>
            </w:r>
          </w:p>
        </w:tc>
        <w:tc>
          <w:tcPr>
            <w:tcW w:w="1985" w:type="dxa"/>
            <w:noWrap/>
            <w:vAlign w:val="center"/>
          </w:tcPr>
          <w:p w14:paraId="495A0D6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w:t>
            </w:r>
          </w:p>
        </w:tc>
        <w:tc>
          <w:tcPr>
            <w:tcW w:w="1064" w:type="dxa"/>
            <w:noWrap/>
            <w:vAlign w:val="center"/>
          </w:tcPr>
          <w:p w14:paraId="20C751C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5</w:t>
            </w:r>
          </w:p>
        </w:tc>
        <w:tc>
          <w:tcPr>
            <w:tcW w:w="889" w:type="dxa"/>
            <w:vAlign w:val="center"/>
          </w:tcPr>
          <w:p w14:paraId="0736DE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710" w:type="dxa"/>
            <w:vAlign w:val="center"/>
          </w:tcPr>
          <w:p w14:paraId="6A9F1D3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w:t>
            </w:r>
          </w:p>
        </w:tc>
      </w:tr>
      <w:tr w14:paraId="158E96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8CA666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4BDBA4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除油槽</w:t>
            </w:r>
          </w:p>
        </w:tc>
        <w:tc>
          <w:tcPr>
            <w:tcW w:w="1985" w:type="dxa"/>
            <w:noWrap/>
            <w:vAlign w:val="center"/>
          </w:tcPr>
          <w:p w14:paraId="3C1E737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L1600*W800*H800</w:t>
            </w:r>
          </w:p>
        </w:tc>
        <w:tc>
          <w:tcPr>
            <w:tcW w:w="1064" w:type="dxa"/>
            <w:noWrap/>
            <w:vAlign w:val="center"/>
          </w:tcPr>
          <w:p w14:paraId="55E65B0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18</w:t>
            </w:r>
          </w:p>
        </w:tc>
        <w:tc>
          <w:tcPr>
            <w:tcW w:w="889" w:type="dxa"/>
            <w:vAlign w:val="center"/>
          </w:tcPr>
          <w:p w14:paraId="08BB0E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1710" w:type="dxa"/>
            <w:vAlign w:val="center"/>
          </w:tcPr>
          <w:p w14:paraId="39121FA5">
            <w:pPr>
              <w:keepNext w:val="0"/>
              <w:keepLines w:val="0"/>
              <w:widowControl w:val="0"/>
              <w:suppressLineNumbers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容积约1m</w:t>
            </w:r>
            <w:r>
              <w:rPr>
                <w:rFonts w:hint="default" w:ascii="Times New Roman" w:hAnsi="Times New Roman" w:eastAsia="宋体" w:cs="Times New Roman"/>
                <w:b w:val="0"/>
                <w:bCs/>
                <w:color w:val="auto"/>
                <w:kern w:val="2"/>
                <w:sz w:val="21"/>
                <w:szCs w:val="21"/>
                <w:vertAlign w:val="superscript"/>
                <w:lang w:val="en-US" w:eastAsia="zh-CN" w:bidi="ar-SA"/>
              </w:rPr>
              <w:t>3</w:t>
            </w:r>
            <w:r>
              <w:rPr>
                <w:rFonts w:hint="default" w:ascii="Times New Roman" w:hAnsi="Times New Roman" w:eastAsia="宋体" w:cs="Times New Roman"/>
                <w:b w:val="0"/>
                <w:bCs/>
                <w:color w:val="auto"/>
                <w:kern w:val="2"/>
                <w:sz w:val="21"/>
                <w:szCs w:val="21"/>
                <w:lang w:val="en-US" w:eastAsia="zh-CN" w:bidi="ar-SA"/>
              </w:rPr>
              <w:t>，注液量约0.7m</w:t>
            </w:r>
            <w:r>
              <w:rPr>
                <w:rFonts w:hint="default" w:ascii="Times New Roman" w:hAnsi="Times New Roman" w:eastAsia="宋体" w:cs="Times New Roman"/>
                <w:b w:val="0"/>
                <w:bCs/>
                <w:color w:val="auto"/>
                <w:kern w:val="2"/>
                <w:sz w:val="21"/>
                <w:szCs w:val="21"/>
                <w:vertAlign w:val="superscript"/>
                <w:lang w:val="en-US" w:eastAsia="zh-CN" w:bidi="ar-SA"/>
              </w:rPr>
              <w:t>3</w:t>
            </w:r>
            <w:r>
              <w:rPr>
                <w:rFonts w:hint="default" w:ascii="Times New Roman" w:hAnsi="Times New Roman" w:eastAsia="宋体" w:cs="Times New Roman"/>
                <w:b w:val="0"/>
                <w:bCs/>
                <w:color w:val="auto"/>
                <w:kern w:val="2"/>
                <w:sz w:val="21"/>
                <w:szCs w:val="21"/>
                <w:lang w:val="en-US" w:eastAsia="zh-CN" w:bidi="ar-SA"/>
              </w:rPr>
              <w:t>。</w:t>
            </w:r>
          </w:p>
        </w:tc>
      </w:tr>
      <w:tr w14:paraId="14267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0CB3D4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1C7DD3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44FBB73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74B1082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24E8EF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0D6FB43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除油后水洗</w:t>
            </w:r>
          </w:p>
        </w:tc>
      </w:tr>
      <w:tr w14:paraId="4F861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BA20D4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E147C6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热水洗槽</w:t>
            </w:r>
          </w:p>
        </w:tc>
        <w:tc>
          <w:tcPr>
            <w:tcW w:w="1985" w:type="dxa"/>
            <w:noWrap/>
            <w:vAlign w:val="center"/>
          </w:tcPr>
          <w:p w14:paraId="2FC40DC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48C1060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1</w:t>
            </w:r>
          </w:p>
        </w:tc>
        <w:tc>
          <w:tcPr>
            <w:tcW w:w="889" w:type="dxa"/>
            <w:vAlign w:val="center"/>
          </w:tcPr>
          <w:p w14:paraId="4A3A15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710" w:type="dxa"/>
            <w:vAlign w:val="center"/>
          </w:tcPr>
          <w:p w14:paraId="088D65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除油后热水洗</w:t>
            </w:r>
          </w:p>
        </w:tc>
      </w:tr>
      <w:tr w14:paraId="7D08A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D4610C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87256A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2EB6C97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7B247D9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7928242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3F6A91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除油后水洗</w:t>
            </w:r>
          </w:p>
        </w:tc>
      </w:tr>
      <w:tr w14:paraId="6B9F6A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35C784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7CB5EED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酸洗槽</w:t>
            </w:r>
          </w:p>
        </w:tc>
        <w:tc>
          <w:tcPr>
            <w:tcW w:w="1985" w:type="dxa"/>
            <w:noWrap/>
            <w:vAlign w:val="center"/>
          </w:tcPr>
          <w:p w14:paraId="4414CB8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29512E6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2FEE433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31E02C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酸洗</w:t>
            </w:r>
          </w:p>
        </w:tc>
      </w:tr>
      <w:tr w14:paraId="0DFDB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5B0B2B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036338F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3A0D445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574D8DF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5BDFF3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1394EA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酸洗后水洗</w:t>
            </w:r>
          </w:p>
        </w:tc>
      </w:tr>
      <w:tr w14:paraId="4C6521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54" w:hRule="atLeast"/>
          <w:jc w:val="center"/>
        </w:trPr>
        <w:tc>
          <w:tcPr>
            <w:tcW w:w="1266" w:type="dxa"/>
            <w:vMerge w:val="continue"/>
            <w:noWrap/>
            <w:vAlign w:val="center"/>
          </w:tcPr>
          <w:p w14:paraId="039E262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EA122C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交换槽</w:t>
            </w:r>
          </w:p>
        </w:tc>
        <w:tc>
          <w:tcPr>
            <w:tcW w:w="1985" w:type="dxa"/>
            <w:noWrap/>
            <w:vAlign w:val="center"/>
          </w:tcPr>
          <w:p w14:paraId="32DCBAA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3A20C06B">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1</w:t>
            </w:r>
          </w:p>
        </w:tc>
        <w:tc>
          <w:tcPr>
            <w:tcW w:w="889" w:type="dxa"/>
            <w:vAlign w:val="center"/>
          </w:tcPr>
          <w:p w14:paraId="155C2E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710" w:type="dxa"/>
            <w:vAlign w:val="center"/>
          </w:tcPr>
          <w:p w14:paraId="6513A0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交换滚筒</w:t>
            </w:r>
          </w:p>
        </w:tc>
      </w:tr>
      <w:tr w14:paraId="3C5D70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07F78C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04645BA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暗镍槽</w:t>
            </w:r>
          </w:p>
        </w:tc>
        <w:tc>
          <w:tcPr>
            <w:tcW w:w="1985" w:type="dxa"/>
            <w:noWrap/>
            <w:vAlign w:val="center"/>
          </w:tcPr>
          <w:p w14:paraId="5C5670D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L1600*W850*H800</w:t>
            </w:r>
          </w:p>
        </w:tc>
        <w:tc>
          <w:tcPr>
            <w:tcW w:w="1064" w:type="dxa"/>
            <w:noWrap/>
            <w:vAlign w:val="center"/>
          </w:tcPr>
          <w:p w14:paraId="571EAFE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27</w:t>
            </w:r>
          </w:p>
        </w:tc>
        <w:tc>
          <w:tcPr>
            <w:tcW w:w="889" w:type="dxa"/>
            <w:vAlign w:val="center"/>
          </w:tcPr>
          <w:p w14:paraId="054923C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54</w:t>
            </w:r>
          </w:p>
        </w:tc>
        <w:tc>
          <w:tcPr>
            <w:tcW w:w="1710" w:type="dxa"/>
            <w:vAlign w:val="center"/>
          </w:tcPr>
          <w:p w14:paraId="16AA42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暗镍</w:t>
            </w:r>
          </w:p>
        </w:tc>
      </w:tr>
      <w:tr w14:paraId="47C945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436E7E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7B6F1E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回收槽</w:t>
            </w:r>
          </w:p>
        </w:tc>
        <w:tc>
          <w:tcPr>
            <w:tcW w:w="1985" w:type="dxa"/>
            <w:noWrap/>
            <w:vAlign w:val="center"/>
          </w:tcPr>
          <w:p w14:paraId="750DC5A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436F868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3</w:t>
            </w:r>
          </w:p>
        </w:tc>
        <w:tc>
          <w:tcPr>
            <w:tcW w:w="889" w:type="dxa"/>
            <w:vAlign w:val="center"/>
          </w:tcPr>
          <w:p w14:paraId="43D91F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63295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暗镍后回收</w:t>
            </w:r>
          </w:p>
        </w:tc>
      </w:tr>
      <w:tr w14:paraId="4FDBCF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7D780DF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68DD38E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亮镍槽</w:t>
            </w:r>
          </w:p>
        </w:tc>
        <w:tc>
          <w:tcPr>
            <w:tcW w:w="1985" w:type="dxa"/>
            <w:noWrap/>
            <w:vAlign w:val="center"/>
          </w:tcPr>
          <w:p w14:paraId="4A796E2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L1600*W850*H800</w:t>
            </w:r>
          </w:p>
        </w:tc>
        <w:tc>
          <w:tcPr>
            <w:tcW w:w="1064" w:type="dxa"/>
            <w:noWrap/>
            <w:vAlign w:val="center"/>
          </w:tcPr>
          <w:p w14:paraId="267F0F8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9</w:t>
            </w:r>
          </w:p>
        </w:tc>
        <w:tc>
          <w:tcPr>
            <w:tcW w:w="889" w:type="dxa"/>
            <w:vAlign w:val="center"/>
          </w:tcPr>
          <w:p w14:paraId="08BBB9B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710" w:type="dxa"/>
            <w:vAlign w:val="center"/>
          </w:tcPr>
          <w:p w14:paraId="681531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亮镍</w:t>
            </w:r>
          </w:p>
        </w:tc>
      </w:tr>
      <w:tr w14:paraId="43C959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43EA0C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6A34339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回收槽</w:t>
            </w:r>
          </w:p>
        </w:tc>
        <w:tc>
          <w:tcPr>
            <w:tcW w:w="1985" w:type="dxa"/>
            <w:noWrap/>
            <w:vAlign w:val="center"/>
          </w:tcPr>
          <w:p w14:paraId="3098DDC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178240E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3</w:t>
            </w:r>
          </w:p>
        </w:tc>
        <w:tc>
          <w:tcPr>
            <w:tcW w:w="889" w:type="dxa"/>
            <w:vAlign w:val="center"/>
          </w:tcPr>
          <w:p w14:paraId="6ACA32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5C2340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亮镍后回收</w:t>
            </w:r>
          </w:p>
        </w:tc>
      </w:tr>
      <w:tr w14:paraId="36CDA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B1B307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7878929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7BD52E5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0F6FF82B">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161FF4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714231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镀镍后水洗</w:t>
            </w:r>
          </w:p>
        </w:tc>
      </w:tr>
      <w:tr w14:paraId="08D67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5F7DD0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AA5808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漂白槽</w:t>
            </w:r>
          </w:p>
        </w:tc>
        <w:tc>
          <w:tcPr>
            <w:tcW w:w="1985" w:type="dxa"/>
            <w:noWrap/>
            <w:vAlign w:val="center"/>
          </w:tcPr>
          <w:p w14:paraId="1C3734F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7B158C6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3E3524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5EC189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漂白</w:t>
            </w:r>
          </w:p>
        </w:tc>
      </w:tr>
      <w:tr w14:paraId="525711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F673B1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76989B2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水洗槽</w:t>
            </w:r>
          </w:p>
        </w:tc>
        <w:tc>
          <w:tcPr>
            <w:tcW w:w="1985" w:type="dxa"/>
            <w:noWrap/>
            <w:vAlign w:val="center"/>
          </w:tcPr>
          <w:p w14:paraId="7491E17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4D4AFA9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4C83498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607E2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漂白后水洗</w:t>
            </w:r>
          </w:p>
        </w:tc>
      </w:tr>
      <w:tr w14:paraId="688877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270F74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1694BE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漂白后中和槽</w:t>
            </w:r>
          </w:p>
        </w:tc>
        <w:tc>
          <w:tcPr>
            <w:tcW w:w="1985" w:type="dxa"/>
            <w:noWrap/>
            <w:vAlign w:val="center"/>
          </w:tcPr>
          <w:p w14:paraId="6806E3B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3DDD996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7C96FF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61989C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中和</w:t>
            </w:r>
          </w:p>
        </w:tc>
      </w:tr>
      <w:tr w14:paraId="5CFA6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DD9C7F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4D69A3F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中和后水洗槽</w:t>
            </w:r>
          </w:p>
        </w:tc>
        <w:tc>
          <w:tcPr>
            <w:tcW w:w="1985" w:type="dxa"/>
            <w:noWrap/>
            <w:vAlign w:val="center"/>
          </w:tcPr>
          <w:p w14:paraId="538930B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5761CA74">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0464573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14B6EC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w:t>
            </w:r>
          </w:p>
        </w:tc>
      </w:tr>
      <w:tr w14:paraId="6F5C7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744F4D7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F34871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钝化槽</w:t>
            </w:r>
          </w:p>
        </w:tc>
        <w:tc>
          <w:tcPr>
            <w:tcW w:w="1985" w:type="dxa"/>
            <w:noWrap/>
            <w:vAlign w:val="center"/>
          </w:tcPr>
          <w:p w14:paraId="6224731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62D784B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6A08A2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22CC0A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钝化</w:t>
            </w:r>
          </w:p>
        </w:tc>
      </w:tr>
      <w:tr w14:paraId="79720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5B88C11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1377FB9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钝化后水洗槽</w:t>
            </w:r>
          </w:p>
        </w:tc>
        <w:tc>
          <w:tcPr>
            <w:tcW w:w="1985" w:type="dxa"/>
            <w:noWrap/>
            <w:vAlign w:val="center"/>
          </w:tcPr>
          <w:p w14:paraId="634E944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3AED6C4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3</w:t>
            </w:r>
          </w:p>
        </w:tc>
        <w:tc>
          <w:tcPr>
            <w:tcW w:w="889" w:type="dxa"/>
            <w:vAlign w:val="center"/>
          </w:tcPr>
          <w:p w14:paraId="30D66B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2A909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钝化后水洗</w:t>
            </w:r>
          </w:p>
        </w:tc>
      </w:tr>
      <w:tr w14:paraId="3F93AD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745C342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6401201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中和槽</w:t>
            </w:r>
          </w:p>
        </w:tc>
        <w:tc>
          <w:tcPr>
            <w:tcW w:w="1985" w:type="dxa"/>
            <w:noWrap/>
            <w:vAlign w:val="center"/>
          </w:tcPr>
          <w:p w14:paraId="422B608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6A9391C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661E51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31587E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中和</w:t>
            </w:r>
          </w:p>
        </w:tc>
      </w:tr>
      <w:tr w14:paraId="76CA8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56FBCC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5183B07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中和后水洗槽</w:t>
            </w:r>
          </w:p>
        </w:tc>
        <w:tc>
          <w:tcPr>
            <w:tcW w:w="1985" w:type="dxa"/>
            <w:noWrap/>
            <w:vAlign w:val="center"/>
          </w:tcPr>
          <w:p w14:paraId="3B4DDE4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3EA49C0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4</w:t>
            </w:r>
          </w:p>
        </w:tc>
        <w:tc>
          <w:tcPr>
            <w:tcW w:w="889" w:type="dxa"/>
            <w:vAlign w:val="center"/>
          </w:tcPr>
          <w:p w14:paraId="6B906A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1710" w:type="dxa"/>
            <w:vAlign w:val="center"/>
          </w:tcPr>
          <w:p w14:paraId="63F59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中和后水洗</w:t>
            </w:r>
          </w:p>
        </w:tc>
      </w:tr>
      <w:tr w14:paraId="4AC7C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42" w:hRule="atLeast"/>
          <w:jc w:val="center"/>
        </w:trPr>
        <w:tc>
          <w:tcPr>
            <w:tcW w:w="1266" w:type="dxa"/>
            <w:vMerge w:val="continue"/>
            <w:noWrap/>
            <w:vAlign w:val="center"/>
          </w:tcPr>
          <w:p w14:paraId="0BF1F97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20959FE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封闭槽</w:t>
            </w:r>
          </w:p>
        </w:tc>
        <w:tc>
          <w:tcPr>
            <w:tcW w:w="1985" w:type="dxa"/>
            <w:noWrap/>
            <w:vAlign w:val="center"/>
          </w:tcPr>
          <w:p w14:paraId="59B26CE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561A887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1CE9BB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3A2CAE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封闭</w:t>
            </w:r>
          </w:p>
        </w:tc>
      </w:tr>
      <w:tr w14:paraId="1E4AF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458F5FC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16C50F2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封闭后纯水洗槽</w:t>
            </w:r>
          </w:p>
        </w:tc>
        <w:tc>
          <w:tcPr>
            <w:tcW w:w="1985" w:type="dxa"/>
            <w:noWrap/>
            <w:vAlign w:val="center"/>
          </w:tcPr>
          <w:p w14:paraId="34950CF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1699391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6CC3A5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09E9DE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封闭后水洗</w:t>
            </w:r>
          </w:p>
        </w:tc>
      </w:tr>
      <w:tr w14:paraId="5397F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F93B50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3ED487B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沥干槽</w:t>
            </w:r>
          </w:p>
        </w:tc>
        <w:tc>
          <w:tcPr>
            <w:tcW w:w="1985" w:type="dxa"/>
            <w:noWrap/>
            <w:vAlign w:val="center"/>
          </w:tcPr>
          <w:p w14:paraId="66E5683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26C5B7F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2</w:t>
            </w:r>
          </w:p>
        </w:tc>
        <w:tc>
          <w:tcPr>
            <w:tcW w:w="889" w:type="dxa"/>
            <w:vAlign w:val="center"/>
          </w:tcPr>
          <w:p w14:paraId="534695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6C6144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w:t>
            </w:r>
          </w:p>
        </w:tc>
      </w:tr>
      <w:tr w14:paraId="231F1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4C68F14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0683F47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烘干槽</w:t>
            </w:r>
          </w:p>
        </w:tc>
        <w:tc>
          <w:tcPr>
            <w:tcW w:w="1985" w:type="dxa"/>
            <w:noWrap/>
            <w:vAlign w:val="center"/>
          </w:tcPr>
          <w:p w14:paraId="6255392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65F5D27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6</w:t>
            </w:r>
          </w:p>
        </w:tc>
        <w:tc>
          <w:tcPr>
            <w:tcW w:w="889" w:type="dxa"/>
            <w:vAlign w:val="center"/>
          </w:tcPr>
          <w:p w14:paraId="58A997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710" w:type="dxa"/>
            <w:vAlign w:val="center"/>
          </w:tcPr>
          <w:p w14:paraId="6075B5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w:t>
            </w:r>
          </w:p>
        </w:tc>
      </w:tr>
      <w:tr w14:paraId="5BEB9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266" w:type="dxa"/>
            <w:vMerge w:val="continue"/>
            <w:noWrap/>
            <w:vAlign w:val="center"/>
          </w:tcPr>
          <w:p w14:paraId="72FC7BB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p>
        </w:tc>
        <w:tc>
          <w:tcPr>
            <w:tcW w:w="1701" w:type="dxa"/>
            <w:noWrap/>
            <w:vAlign w:val="center"/>
          </w:tcPr>
          <w:p w14:paraId="0838D0E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风冷槽</w:t>
            </w:r>
          </w:p>
        </w:tc>
        <w:tc>
          <w:tcPr>
            <w:tcW w:w="1985" w:type="dxa"/>
            <w:noWrap/>
            <w:vAlign w:val="center"/>
          </w:tcPr>
          <w:p w14:paraId="54C0291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L1600*W650*H800</w:t>
            </w:r>
          </w:p>
        </w:tc>
        <w:tc>
          <w:tcPr>
            <w:tcW w:w="1064" w:type="dxa"/>
            <w:noWrap/>
            <w:vAlign w:val="center"/>
          </w:tcPr>
          <w:p w14:paraId="19B3731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1</w:t>
            </w:r>
          </w:p>
        </w:tc>
        <w:tc>
          <w:tcPr>
            <w:tcW w:w="889" w:type="dxa"/>
            <w:vAlign w:val="center"/>
          </w:tcPr>
          <w:p w14:paraId="56ED2F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710" w:type="dxa"/>
            <w:vAlign w:val="center"/>
          </w:tcPr>
          <w:p w14:paraId="6F8765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w:t>
            </w:r>
          </w:p>
        </w:tc>
      </w:tr>
      <w:tr w14:paraId="3DC67F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8615" w:type="dxa"/>
            <w:gridSpan w:val="6"/>
            <w:noWrap/>
            <w:vAlign w:val="center"/>
          </w:tcPr>
          <w:p w14:paraId="16EA5E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kern w:val="0"/>
                <w:sz w:val="21"/>
                <w:szCs w:val="21"/>
                <w:lang w:val="en-US" w:eastAsia="zh-CN"/>
              </w:rPr>
            </w:pPr>
            <w:r>
              <w:rPr>
                <w:rFonts w:hint="eastAsia" w:cs="Times New Roman"/>
                <w:b/>
                <w:bCs/>
                <w:kern w:val="0"/>
                <w:sz w:val="21"/>
                <w:szCs w:val="21"/>
                <w:lang w:val="en-US" w:eastAsia="zh-CN"/>
              </w:rPr>
              <w:t>电池连接件</w:t>
            </w:r>
            <w:r>
              <w:rPr>
                <w:rFonts w:hint="default" w:ascii="Times New Roman" w:hAnsi="Times New Roman" w:eastAsia="宋体" w:cs="Times New Roman"/>
                <w:b/>
                <w:bCs/>
                <w:kern w:val="0"/>
                <w:sz w:val="21"/>
                <w:szCs w:val="21"/>
                <w:lang w:val="en-US" w:eastAsia="zh-CN"/>
              </w:rPr>
              <w:t>镀镍生产线</w:t>
            </w:r>
          </w:p>
        </w:tc>
      </w:tr>
      <w:tr w14:paraId="533351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noWrap/>
            <w:vAlign w:val="center"/>
          </w:tcPr>
          <w:p w14:paraId="66EBFDD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lang w:val="en-US" w:eastAsia="zh-CN" w:bidi="ar-SA"/>
              </w:rPr>
              <w:t>工程内容</w:t>
            </w:r>
          </w:p>
        </w:tc>
        <w:tc>
          <w:tcPr>
            <w:tcW w:w="1701" w:type="dxa"/>
            <w:noWrap/>
            <w:vAlign w:val="center"/>
          </w:tcPr>
          <w:p w14:paraId="48EDB4B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lang w:val="en-US" w:eastAsia="zh-CN" w:bidi="ar-SA"/>
              </w:rPr>
              <w:t>主要设备</w:t>
            </w:r>
          </w:p>
        </w:tc>
        <w:tc>
          <w:tcPr>
            <w:tcW w:w="1985" w:type="dxa"/>
            <w:noWrap/>
            <w:vAlign w:val="center"/>
          </w:tcPr>
          <w:p w14:paraId="25B419E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b/>
                <w:color w:val="auto"/>
                <w:kern w:val="2"/>
                <w:sz w:val="21"/>
                <w:szCs w:val="21"/>
                <w:lang w:val="en-US" w:eastAsia="zh-CN" w:bidi="ar-SA"/>
              </w:rPr>
              <w:t>型号/规格</w:t>
            </w:r>
          </w:p>
          <w:p w14:paraId="1FB8BE8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lang w:val="en-US" w:eastAsia="zh-CN" w:bidi="ar-SA"/>
              </w:rPr>
              <w:t>（mm）</w:t>
            </w:r>
          </w:p>
        </w:tc>
        <w:tc>
          <w:tcPr>
            <w:tcW w:w="1064" w:type="dxa"/>
            <w:noWrap/>
            <w:vAlign w:val="center"/>
          </w:tcPr>
          <w:p w14:paraId="45C108B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lang w:val="en-US" w:eastAsia="zh-CN" w:bidi="ar-SA"/>
              </w:rPr>
            </w:pPr>
            <w:r>
              <w:rPr>
                <w:rFonts w:hint="eastAsia" w:ascii="Times New Roman" w:hAnsi="Times New Roman" w:eastAsia="宋体" w:cs="宋体"/>
                <w:b/>
                <w:kern w:val="2"/>
                <w:sz w:val="21"/>
                <w:szCs w:val="21"/>
                <w:lang w:val="en-US" w:eastAsia="zh-CN" w:bidi="ar-SA"/>
              </w:rPr>
              <w:t>单条</w:t>
            </w:r>
            <w:r>
              <w:rPr>
                <w:rFonts w:hint="default" w:ascii="Times New Roman" w:hAnsi="Times New Roman" w:eastAsia="宋体" w:cs="Times New Roman"/>
                <w:b/>
                <w:color w:val="auto"/>
                <w:kern w:val="2"/>
                <w:sz w:val="21"/>
                <w:szCs w:val="21"/>
                <w:lang w:val="en-US" w:eastAsia="zh-CN" w:bidi="ar-SA"/>
              </w:rPr>
              <w:t>数量</w:t>
            </w:r>
          </w:p>
          <w:p w14:paraId="68B3B81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b w:val="0"/>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lang w:val="en-US" w:eastAsia="zh-CN" w:bidi="ar-SA"/>
              </w:rPr>
              <w:t>(台/套)</w:t>
            </w:r>
          </w:p>
        </w:tc>
        <w:tc>
          <w:tcPr>
            <w:tcW w:w="889" w:type="dxa"/>
            <w:vAlign w:val="center"/>
          </w:tcPr>
          <w:p w14:paraId="511CC07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eastAsia" w:cs="Times New Roman"/>
                <w:b/>
                <w:color w:val="auto"/>
                <w:kern w:val="2"/>
                <w:sz w:val="21"/>
                <w:szCs w:val="21"/>
                <w:lang w:val="en-US" w:eastAsia="zh-CN" w:bidi="ar-SA"/>
              </w:rPr>
            </w:pPr>
            <w:r>
              <w:rPr>
                <w:rFonts w:hint="eastAsia" w:cs="Times New Roman"/>
                <w:b/>
                <w:color w:val="auto"/>
                <w:kern w:val="2"/>
                <w:sz w:val="21"/>
                <w:szCs w:val="21"/>
                <w:lang w:val="en-US" w:eastAsia="zh-CN" w:bidi="ar-SA"/>
              </w:rPr>
              <w:t>总数量</w:t>
            </w:r>
          </w:p>
          <w:p w14:paraId="296F513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i w:val="0"/>
                <w:iCs w:val="0"/>
                <w:color w:val="000000"/>
                <w:kern w:val="0"/>
                <w:sz w:val="21"/>
                <w:szCs w:val="21"/>
                <w:u w:val="none"/>
                <w:lang w:val="en-US" w:eastAsia="zh-CN" w:bidi="ar"/>
              </w:rPr>
            </w:pPr>
            <w:r>
              <w:rPr>
                <w:rFonts w:hint="default" w:ascii="Times New Roman" w:hAnsi="Times New Roman" w:eastAsia="宋体" w:cs="Times New Roman"/>
                <w:b/>
                <w:color w:val="auto"/>
                <w:kern w:val="2"/>
                <w:sz w:val="21"/>
                <w:szCs w:val="21"/>
                <w:lang w:val="en-US" w:eastAsia="zh-CN" w:bidi="ar-SA"/>
              </w:rPr>
              <w:t>(台/套)</w:t>
            </w:r>
          </w:p>
        </w:tc>
        <w:tc>
          <w:tcPr>
            <w:tcW w:w="1710" w:type="dxa"/>
            <w:vAlign w:val="center"/>
          </w:tcPr>
          <w:p w14:paraId="47E7D298">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lang w:val="en-US" w:eastAsia="zh-CN" w:bidi="ar-SA"/>
              </w:rPr>
              <w:t>备注</w:t>
            </w:r>
          </w:p>
        </w:tc>
      </w:tr>
      <w:tr w14:paraId="67764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2A1BACA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机加工生产线</w:t>
            </w:r>
          </w:p>
        </w:tc>
        <w:tc>
          <w:tcPr>
            <w:tcW w:w="1701" w:type="dxa"/>
            <w:noWrap/>
            <w:vAlign w:val="center"/>
          </w:tcPr>
          <w:p w14:paraId="01486B5B">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冲床</w:t>
            </w:r>
          </w:p>
        </w:tc>
        <w:tc>
          <w:tcPr>
            <w:tcW w:w="1985" w:type="dxa"/>
            <w:noWrap/>
            <w:vAlign w:val="center"/>
          </w:tcPr>
          <w:p w14:paraId="145194A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20t</w:t>
            </w:r>
          </w:p>
        </w:tc>
        <w:tc>
          <w:tcPr>
            <w:tcW w:w="1064" w:type="dxa"/>
            <w:noWrap/>
            <w:vAlign w:val="center"/>
          </w:tcPr>
          <w:p w14:paraId="1732D47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889" w:type="dxa"/>
            <w:vAlign w:val="center"/>
          </w:tcPr>
          <w:p w14:paraId="779E31D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i w:val="0"/>
                <w:iCs w:val="0"/>
                <w:color w:val="000000"/>
                <w:kern w:val="0"/>
                <w:sz w:val="21"/>
                <w:szCs w:val="21"/>
                <w:u w:val="none"/>
                <w:lang w:val="en-US" w:eastAsia="zh-CN" w:bidi="ar"/>
              </w:rPr>
              <w:t>5</w:t>
            </w:r>
          </w:p>
        </w:tc>
        <w:tc>
          <w:tcPr>
            <w:tcW w:w="1710" w:type="dxa"/>
            <w:vAlign w:val="center"/>
          </w:tcPr>
          <w:p w14:paraId="562D69D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单台产能：1100个/min(一出5，220次/min)</w:t>
            </w:r>
          </w:p>
        </w:tc>
      </w:tr>
      <w:tr w14:paraId="1770B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BCC56D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478090B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分切机</w:t>
            </w:r>
          </w:p>
        </w:tc>
        <w:tc>
          <w:tcPr>
            <w:tcW w:w="1985" w:type="dxa"/>
            <w:noWrap/>
            <w:vAlign w:val="center"/>
          </w:tcPr>
          <w:p w14:paraId="787F5EB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w:t>
            </w:r>
          </w:p>
        </w:tc>
        <w:tc>
          <w:tcPr>
            <w:tcW w:w="1064" w:type="dxa"/>
            <w:noWrap/>
            <w:vAlign w:val="center"/>
          </w:tcPr>
          <w:p w14:paraId="4AD14DD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w:t>
            </w:r>
          </w:p>
        </w:tc>
        <w:tc>
          <w:tcPr>
            <w:tcW w:w="889" w:type="dxa"/>
            <w:vAlign w:val="center"/>
          </w:tcPr>
          <w:p w14:paraId="73C7348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10" w:type="dxa"/>
            <w:vAlign w:val="center"/>
          </w:tcPr>
          <w:p w14:paraId="7DDD2F9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w:t>
            </w:r>
          </w:p>
        </w:tc>
      </w:tr>
      <w:tr w14:paraId="31B36F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792E6B4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val="0"/>
                <w:color w:val="auto"/>
                <w:sz w:val="21"/>
                <w:szCs w:val="21"/>
                <w:lang w:val="en-US" w:eastAsia="zh-CN"/>
              </w:rPr>
              <w:t>电池连接件</w:t>
            </w:r>
            <w:r>
              <w:rPr>
                <w:rFonts w:hint="default" w:ascii="Times New Roman" w:hAnsi="Times New Roman" w:eastAsia="宋体" w:cs="Times New Roman"/>
                <w:b w:val="0"/>
                <w:bCs w:val="0"/>
                <w:color w:val="auto"/>
                <w:sz w:val="21"/>
                <w:szCs w:val="21"/>
              </w:rPr>
              <w:t>生产线</w:t>
            </w:r>
            <w:r>
              <w:rPr>
                <w:rFonts w:hint="eastAsia"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lang w:val="en-US" w:eastAsia="zh-CN"/>
              </w:rPr>
              <w:t>条</w:t>
            </w:r>
          </w:p>
        </w:tc>
        <w:tc>
          <w:tcPr>
            <w:tcW w:w="1701" w:type="dxa"/>
            <w:noWrap/>
            <w:vAlign w:val="center"/>
          </w:tcPr>
          <w:p w14:paraId="471400F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超声波除油槽</w:t>
            </w:r>
          </w:p>
        </w:tc>
        <w:tc>
          <w:tcPr>
            <w:tcW w:w="1985" w:type="dxa"/>
            <w:noWrap/>
            <w:vAlign w:val="center"/>
          </w:tcPr>
          <w:p w14:paraId="1B91210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1400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601516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1</w:t>
            </w:r>
          </w:p>
        </w:tc>
        <w:tc>
          <w:tcPr>
            <w:tcW w:w="889" w:type="dxa"/>
            <w:vAlign w:val="center"/>
          </w:tcPr>
          <w:p w14:paraId="28100F5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3D38E6F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除油</w:t>
            </w:r>
          </w:p>
        </w:tc>
      </w:tr>
      <w:tr w14:paraId="505F65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A27887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eastAsia" w:cs="Times New Roman"/>
                <w:b w:val="0"/>
                <w:bCs/>
                <w:color w:val="auto"/>
                <w:kern w:val="2"/>
                <w:sz w:val="21"/>
                <w:szCs w:val="21"/>
                <w:highlight w:val="none"/>
                <w:lang w:val="en-US" w:eastAsia="zh-CN" w:bidi="ar-SA"/>
              </w:rPr>
            </w:pPr>
          </w:p>
        </w:tc>
        <w:tc>
          <w:tcPr>
            <w:tcW w:w="1701" w:type="dxa"/>
            <w:noWrap/>
            <w:vAlign w:val="center"/>
          </w:tcPr>
          <w:p w14:paraId="0C670B34">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电解除油槽</w:t>
            </w:r>
          </w:p>
        </w:tc>
        <w:tc>
          <w:tcPr>
            <w:tcW w:w="1985" w:type="dxa"/>
            <w:noWrap/>
            <w:vAlign w:val="center"/>
          </w:tcPr>
          <w:p w14:paraId="233756C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1400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ADF168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3</w:t>
            </w:r>
          </w:p>
        </w:tc>
        <w:tc>
          <w:tcPr>
            <w:tcW w:w="889" w:type="dxa"/>
            <w:vAlign w:val="center"/>
          </w:tcPr>
          <w:p w14:paraId="512E7D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710" w:type="dxa"/>
            <w:vAlign w:val="center"/>
          </w:tcPr>
          <w:p w14:paraId="652E2D2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除油</w:t>
            </w:r>
          </w:p>
        </w:tc>
      </w:tr>
      <w:tr w14:paraId="0A422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CC6347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7B7FA52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浸</w:t>
            </w:r>
            <w:r>
              <w:rPr>
                <w:rFonts w:hint="default" w:ascii="Times New Roman" w:hAnsi="Times New Roman" w:eastAsia="宋体" w:cs="Times New Roman"/>
                <w:b w:val="0"/>
                <w:bCs/>
                <w:color w:val="auto"/>
                <w:kern w:val="2"/>
                <w:sz w:val="21"/>
                <w:szCs w:val="21"/>
                <w:highlight w:val="none"/>
                <w:lang w:val="en-US" w:eastAsia="zh-CN" w:bidi="ar-SA"/>
              </w:rPr>
              <w:t>水洗槽</w:t>
            </w:r>
          </w:p>
        </w:tc>
        <w:tc>
          <w:tcPr>
            <w:tcW w:w="1985" w:type="dxa"/>
            <w:noWrap/>
            <w:vAlign w:val="center"/>
          </w:tcPr>
          <w:p w14:paraId="2D599A5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1200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DC4D2B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1</w:t>
            </w:r>
          </w:p>
        </w:tc>
        <w:tc>
          <w:tcPr>
            <w:tcW w:w="889" w:type="dxa"/>
            <w:vAlign w:val="center"/>
          </w:tcPr>
          <w:p w14:paraId="76A8D8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005F94F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浸水洗</w:t>
            </w:r>
          </w:p>
        </w:tc>
      </w:tr>
      <w:tr w14:paraId="3BC165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D1D0C5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72A297C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水洗</w:t>
            </w:r>
            <w:r>
              <w:rPr>
                <w:rFonts w:hint="default" w:ascii="Times New Roman" w:hAnsi="Times New Roman" w:eastAsia="宋体" w:cs="Times New Roman"/>
                <w:b w:val="0"/>
                <w:bCs/>
                <w:color w:val="auto"/>
                <w:kern w:val="2"/>
                <w:sz w:val="21"/>
                <w:szCs w:val="21"/>
                <w:highlight w:val="none"/>
                <w:lang w:val="en-US" w:eastAsia="zh-CN" w:bidi="ar-SA"/>
              </w:rPr>
              <w:t>槽</w:t>
            </w:r>
          </w:p>
        </w:tc>
        <w:tc>
          <w:tcPr>
            <w:tcW w:w="1985" w:type="dxa"/>
            <w:noWrap/>
            <w:vAlign w:val="center"/>
          </w:tcPr>
          <w:p w14:paraId="19E423F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1F17157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4</w:t>
            </w:r>
          </w:p>
        </w:tc>
        <w:tc>
          <w:tcPr>
            <w:tcW w:w="889" w:type="dxa"/>
            <w:vAlign w:val="center"/>
          </w:tcPr>
          <w:p w14:paraId="0D1662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710" w:type="dxa"/>
            <w:vAlign w:val="center"/>
          </w:tcPr>
          <w:p w14:paraId="7493AAB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喷淋水洗</w:t>
            </w:r>
          </w:p>
        </w:tc>
      </w:tr>
      <w:tr w14:paraId="60D71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DD7663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1CF9F74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酸</w:t>
            </w:r>
            <w:r>
              <w:rPr>
                <w:rFonts w:hint="default" w:ascii="Times New Roman" w:hAnsi="Times New Roman" w:eastAsia="宋体" w:cs="Times New Roman"/>
                <w:b w:val="0"/>
                <w:bCs/>
                <w:color w:val="auto"/>
                <w:kern w:val="2"/>
                <w:sz w:val="21"/>
                <w:szCs w:val="21"/>
                <w:highlight w:val="none"/>
                <w:lang w:val="en-US" w:eastAsia="zh-CN" w:bidi="ar-SA"/>
              </w:rPr>
              <w:t>活化槽</w:t>
            </w:r>
          </w:p>
        </w:tc>
        <w:tc>
          <w:tcPr>
            <w:tcW w:w="1985" w:type="dxa"/>
            <w:noWrap/>
            <w:vAlign w:val="center"/>
          </w:tcPr>
          <w:p w14:paraId="5ED9CBD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1400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C579BE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w:t>
            </w:r>
          </w:p>
        </w:tc>
        <w:tc>
          <w:tcPr>
            <w:tcW w:w="889" w:type="dxa"/>
            <w:vAlign w:val="center"/>
          </w:tcPr>
          <w:p w14:paraId="5DD25D1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67878F70">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硫酸</w:t>
            </w:r>
          </w:p>
        </w:tc>
      </w:tr>
      <w:tr w14:paraId="45D607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9AE3CA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6A6A2B3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水洗槽</w:t>
            </w:r>
          </w:p>
        </w:tc>
        <w:tc>
          <w:tcPr>
            <w:tcW w:w="1985" w:type="dxa"/>
            <w:noWrap/>
            <w:vAlign w:val="center"/>
          </w:tcPr>
          <w:p w14:paraId="6A0CAE1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5746A9D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2</w:t>
            </w:r>
          </w:p>
        </w:tc>
        <w:tc>
          <w:tcPr>
            <w:tcW w:w="889" w:type="dxa"/>
            <w:vAlign w:val="center"/>
          </w:tcPr>
          <w:p w14:paraId="12192F1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710" w:type="dxa"/>
            <w:vAlign w:val="center"/>
          </w:tcPr>
          <w:p w14:paraId="5A66C10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水洗</w:t>
            </w:r>
          </w:p>
        </w:tc>
      </w:tr>
      <w:tr w14:paraId="03E68E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3CFFCF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6BA968E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酸</w:t>
            </w:r>
            <w:r>
              <w:rPr>
                <w:rFonts w:hint="default" w:ascii="Times New Roman" w:hAnsi="Times New Roman" w:eastAsia="宋体" w:cs="Times New Roman"/>
                <w:b w:val="0"/>
                <w:bCs/>
                <w:color w:val="auto"/>
                <w:kern w:val="2"/>
                <w:sz w:val="21"/>
                <w:szCs w:val="21"/>
                <w:highlight w:val="none"/>
                <w:lang w:val="en-US" w:eastAsia="zh-CN" w:bidi="ar-SA"/>
              </w:rPr>
              <w:t>活化槽</w:t>
            </w:r>
          </w:p>
        </w:tc>
        <w:tc>
          <w:tcPr>
            <w:tcW w:w="1985" w:type="dxa"/>
            <w:noWrap/>
            <w:vAlign w:val="center"/>
          </w:tcPr>
          <w:p w14:paraId="0A4742E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w:t>
            </w:r>
            <w:r>
              <w:rPr>
                <w:rFonts w:hint="eastAsia" w:cs="Times New Roman"/>
                <w:b w:val="0"/>
                <w:bCs/>
                <w:color w:val="auto"/>
                <w:kern w:val="2"/>
                <w:sz w:val="21"/>
                <w:szCs w:val="21"/>
                <w:highlight w:val="none"/>
                <w:lang w:val="en-US" w:eastAsia="zh-CN" w:bidi="ar-SA"/>
              </w:rPr>
              <w:t>2</w:t>
            </w:r>
            <w:r>
              <w:rPr>
                <w:rFonts w:hint="eastAsia" w:ascii="Times New Roman" w:hAnsi="Times New Roman" w:eastAsia="宋体" w:cs="Times New Roman"/>
                <w:b w:val="0"/>
                <w:bCs/>
                <w:color w:val="auto"/>
                <w:kern w:val="2"/>
                <w:sz w:val="21"/>
                <w:szCs w:val="21"/>
                <w:highlight w:val="none"/>
                <w:lang w:val="en-US" w:eastAsia="zh-CN" w:bidi="ar-SA"/>
              </w:rPr>
              <w:t>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0B8B80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w:t>
            </w:r>
          </w:p>
        </w:tc>
        <w:tc>
          <w:tcPr>
            <w:tcW w:w="889" w:type="dxa"/>
            <w:vAlign w:val="center"/>
          </w:tcPr>
          <w:p w14:paraId="2AFA3A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63E2A9B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硫酸</w:t>
            </w:r>
          </w:p>
        </w:tc>
      </w:tr>
      <w:tr w14:paraId="04B4C9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559E98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shd w:val="clear" w:color="auto" w:fill="auto"/>
            <w:noWrap/>
            <w:vAlign w:val="center"/>
          </w:tcPr>
          <w:p w14:paraId="4867975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水洗槽</w:t>
            </w:r>
          </w:p>
        </w:tc>
        <w:tc>
          <w:tcPr>
            <w:tcW w:w="1985" w:type="dxa"/>
            <w:shd w:val="clear" w:color="auto" w:fill="auto"/>
            <w:noWrap/>
            <w:vAlign w:val="center"/>
          </w:tcPr>
          <w:p w14:paraId="153A05C7">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3962CDD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2</w:t>
            </w:r>
          </w:p>
        </w:tc>
        <w:tc>
          <w:tcPr>
            <w:tcW w:w="889" w:type="dxa"/>
            <w:vAlign w:val="center"/>
          </w:tcPr>
          <w:p w14:paraId="67F0F2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710" w:type="dxa"/>
            <w:vAlign w:val="center"/>
          </w:tcPr>
          <w:p w14:paraId="5A4FD7F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水洗</w:t>
            </w:r>
          </w:p>
        </w:tc>
      </w:tr>
      <w:tr w14:paraId="31D563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3E572B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719FD23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镀镍槽</w:t>
            </w:r>
          </w:p>
        </w:tc>
        <w:tc>
          <w:tcPr>
            <w:tcW w:w="1985" w:type="dxa"/>
            <w:noWrap/>
            <w:vAlign w:val="center"/>
          </w:tcPr>
          <w:p w14:paraId="0CF7173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1400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4D69EB2F">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w:t>
            </w:r>
          </w:p>
        </w:tc>
        <w:tc>
          <w:tcPr>
            <w:tcW w:w="889" w:type="dxa"/>
            <w:vAlign w:val="center"/>
          </w:tcPr>
          <w:p w14:paraId="4684BDA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710" w:type="dxa"/>
            <w:vAlign w:val="center"/>
          </w:tcPr>
          <w:p w14:paraId="10E48DD2">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w:t>
            </w:r>
          </w:p>
        </w:tc>
      </w:tr>
      <w:tr w14:paraId="29EED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425633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5399945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回收冲洗槽</w:t>
            </w:r>
          </w:p>
        </w:tc>
        <w:tc>
          <w:tcPr>
            <w:tcW w:w="1985" w:type="dxa"/>
            <w:noWrap/>
            <w:vAlign w:val="center"/>
          </w:tcPr>
          <w:p w14:paraId="3EE847E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B55D4F5">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3</w:t>
            </w:r>
          </w:p>
        </w:tc>
        <w:tc>
          <w:tcPr>
            <w:tcW w:w="889" w:type="dxa"/>
            <w:vAlign w:val="center"/>
          </w:tcPr>
          <w:p w14:paraId="105104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710" w:type="dxa"/>
            <w:vAlign w:val="center"/>
          </w:tcPr>
          <w:p w14:paraId="152FD5F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r>
      <w:tr w14:paraId="56638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76E0CC5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36B2C58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镀镍槽</w:t>
            </w:r>
          </w:p>
        </w:tc>
        <w:tc>
          <w:tcPr>
            <w:tcW w:w="1985" w:type="dxa"/>
            <w:noWrap/>
            <w:vAlign w:val="center"/>
          </w:tcPr>
          <w:p w14:paraId="6093E1F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ascii="Times New Roman" w:hAnsi="Times New Roman" w:eastAsia="宋体" w:cs="Times New Roman"/>
                <w:b w:val="0"/>
                <w:bCs/>
                <w:color w:val="auto"/>
                <w:kern w:val="2"/>
                <w:sz w:val="21"/>
                <w:szCs w:val="21"/>
                <w:highlight w:val="none"/>
                <w:lang w:val="en-US" w:eastAsia="zh-CN" w:bidi="ar-SA"/>
              </w:rPr>
              <w:t>1400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5DF58409">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8</w:t>
            </w:r>
          </w:p>
        </w:tc>
        <w:tc>
          <w:tcPr>
            <w:tcW w:w="889" w:type="dxa"/>
            <w:vAlign w:val="center"/>
          </w:tcPr>
          <w:p w14:paraId="5AC066D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710" w:type="dxa"/>
            <w:vAlign w:val="center"/>
          </w:tcPr>
          <w:p w14:paraId="235A340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w:t>
            </w:r>
          </w:p>
        </w:tc>
      </w:tr>
      <w:tr w14:paraId="48901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44" w:hRule="atLeast"/>
          <w:jc w:val="center"/>
        </w:trPr>
        <w:tc>
          <w:tcPr>
            <w:tcW w:w="1266" w:type="dxa"/>
            <w:vMerge w:val="continue"/>
            <w:noWrap/>
            <w:vAlign w:val="center"/>
          </w:tcPr>
          <w:p w14:paraId="7C0102D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5A683B0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回收冲洗槽</w:t>
            </w:r>
          </w:p>
        </w:tc>
        <w:tc>
          <w:tcPr>
            <w:tcW w:w="1985" w:type="dxa"/>
            <w:noWrap/>
            <w:vAlign w:val="center"/>
          </w:tcPr>
          <w:p w14:paraId="1F1C10E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5910C69D">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3</w:t>
            </w:r>
          </w:p>
        </w:tc>
        <w:tc>
          <w:tcPr>
            <w:tcW w:w="889" w:type="dxa"/>
            <w:vAlign w:val="center"/>
          </w:tcPr>
          <w:p w14:paraId="67FFD90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710" w:type="dxa"/>
            <w:vAlign w:val="center"/>
          </w:tcPr>
          <w:p w14:paraId="5ECF2AD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镀镍后回收</w:t>
            </w:r>
          </w:p>
        </w:tc>
      </w:tr>
      <w:tr w14:paraId="4AB966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44" w:hRule="atLeast"/>
          <w:jc w:val="center"/>
        </w:trPr>
        <w:tc>
          <w:tcPr>
            <w:tcW w:w="1266" w:type="dxa"/>
            <w:vMerge w:val="continue"/>
            <w:noWrap/>
            <w:vAlign w:val="center"/>
          </w:tcPr>
          <w:p w14:paraId="01C8B791">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0256A1A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纯水冲洗</w:t>
            </w:r>
            <w:r>
              <w:rPr>
                <w:rFonts w:hint="default" w:ascii="Times New Roman" w:hAnsi="Times New Roman" w:eastAsia="宋体" w:cs="Times New Roman"/>
                <w:b w:val="0"/>
                <w:bCs/>
                <w:color w:val="auto"/>
                <w:kern w:val="2"/>
                <w:sz w:val="21"/>
                <w:szCs w:val="21"/>
                <w:highlight w:val="none"/>
                <w:lang w:val="en-US" w:eastAsia="zh-CN" w:bidi="ar-SA"/>
              </w:rPr>
              <w:t>槽</w:t>
            </w:r>
          </w:p>
        </w:tc>
        <w:tc>
          <w:tcPr>
            <w:tcW w:w="1985" w:type="dxa"/>
            <w:noWrap/>
            <w:vAlign w:val="center"/>
          </w:tcPr>
          <w:p w14:paraId="6324639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450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20E184A6">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3</w:t>
            </w:r>
          </w:p>
        </w:tc>
        <w:tc>
          <w:tcPr>
            <w:tcW w:w="889" w:type="dxa"/>
            <w:vAlign w:val="center"/>
          </w:tcPr>
          <w:p w14:paraId="6F16093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710" w:type="dxa"/>
            <w:vAlign w:val="center"/>
          </w:tcPr>
          <w:p w14:paraId="3CA0962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镀镍后水洗</w:t>
            </w:r>
          </w:p>
        </w:tc>
      </w:tr>
      <w:tr w14:paraId="74C770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1266" w:type="dxa"/>
            <w:vMerge w:val="continue"/>
            <w:noWrap/>
            <w:vAlign w:val="center"/>
          </w:tcPr>
          <w:p w14:paraId="315A64B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340CDFB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纯水</w:t>
            </w:r>
            <w:r>
              <w:rPr>
                <w:rFonts w:hint="eastAsia" w:cs="Times New Roman"/>
                <w:b w:val="0"/>
                <w:bCs/>
                <w:color w:val="auto"/>
                <w:kern w:val="2"/>
                <w:sz w:val="21"/>
                <w:szCs w:val="21"/>
                <w:highlight w:val="none"/>
                <w:lang w:val="en-US" w:eastAsia="zh-CN" w:bidi="ar-SA"/>
              </w:rPr>
              <w:t>浸洗槽</w:t>
            </w:r>
          </w:p>
        </w:tc>
        <w:tc>
          <w:tcPr>
            <w:tcW w:w="1985" w:type="dxa"/>
            <w:noWrap/>
            <w:vAlign w:val="center"/>
          </w:tcPr>
          <w:p w14:paraId="2A9EB15A">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12</w:t>
            </w:r>
            <w:r>
              <w:rPr>
                <w:rFonts w:hint="eastAsia" w:ascii="Times New Roman" w:hAnsi="Times New Roman" w:eastAsia="宋体" w:cs="Times New Roman"/>
                <w:b w:val="0"/>
                <w:bCs/>
                <w:color w:val="auto"/>
                <w:kern w:val="2"/>
                <w:sz w:val="21"/>
                <w:szCs w:val="21"/>
                <w:highlight w:val="none"/>
                <w:lang w:val="en-US" w:eastAsia="zh-CN" w:bidi="ar-SA"/>
              </w:rPr>
              <w:t>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72209463">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1</w:t>
            </w:r>
          </w:p>
        </w:tc>
        <w:tc>
          <w:tcPr>
            <w:tcW w:w="889" w:type="dxa"/>
            <w:vAlign w:val="center"/>
          </w:tcPr>
          <w:p w14:paraId="098CC1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6</w:t>
            </w:r>
          </w:p>
        </w:tc>
        <w:tc>
          <w:tcPr>
            <w:tcW w:w="1710" w:type="dxa"/>
            <w:vAlign w:val="center"/>
          </w:tcPr>
          <w:p w14:paraId="65829EE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镀镍后水洗</w:t>
            </w:r>
          </w:p>
        </w:tc>
      </w:tr>
      <w:tr w14:paraId="5EFE4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1266" w:type="dxa"/>
            <w:vMerge w:val="continue"/>
            <w:noWrap/>
            <w:vAlign w:val="center"/>
          </w:tcPr>
          <w:p w14:paraId="14AA8CDF">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1492C820">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纯水热浸洗槽</w:t>
            </w:r>
          </w:p>
        </w:tc>
        <w:tc>
          <w:tcPr>
            <w:tcW w:w="1985" w:type="dxa"/>
            <w:noWrap/>
            <w:vAlign w:val="center"/>
          </w:tcPr>
          <w:p w14:paraId="5B541BB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12</w:t>
            </w:r>
            <w:r>
              <w:rPr>
                <w:rFonts w:hint="eastAsia" w:ascii="Times New Roman" w:hAnsi="Times New Roman" w:eastAsia="宋体" w:cs="Times New Roman"/>
                <w:b w:val="0"/>
                <w:bCs/>
                <w:color w:val="auto"/>
                <w:kern w:val="2"/>
                <w:sz w:val="21"/>
                <w:szCs w:val="21"/>
                <w:highlight w:val="none"/>
                <w:lang w:val="en-US" w:eastAsia="zh-CN" w:bidi="ar-SA"/>
              </w:rPr>
              <w:t>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54035EEE">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1</w:t>
            </w:r>
          </w:p>
        </w:tc>
        <w:tc>
          <w:tcPr>
            <w:tcW w:w="889" w:type="dxa"/>
            <w:vAlign w:val="center"/>
          </w:tcPr>
          <w:p w14:paraId="4E2FF68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6</w:t>
            </w:r>
          </w:p>
        </w:tc>
        <w:tc>
          <w:tcPr>
            <w:tcW w:w="1710" w:type="dxa"/>
            <w:vAlign w:val="center"/>
          </w:tcPr>
          <w:p w14:paraId="15F2638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镀镍后热水洗</w:t>
            </w:r>
          </w:p>
        </w:tc>
      </w:tr>
      <w:tr w14:paraId="19695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0C37FE64">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4FA24D5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吹风槽</w:t>
            </w:r>
          </w:p>
        </w:tc>
        <w:tc>
          <w:tcPr>
            <w:tcW w:w="1985" w:type="dxa"/>
            <w:noWrap/>
            <w:vAlign w:val="center"/>
          </w:tcPr>
          <w:p w14:paraId="2430965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900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3A32472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1</w:t>
            </w:r>
          </w:p>
        </w:tc>
        <w:tc>
          <w:tcPr>
            <w:tcW w:w="889" w:type="dxa"/>
            <w:vAlign w:val="center"/>
          </w:tcPr>
          <w:p w14:paraId="2245AF9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6</w:t>
            </w:r>
          </w:p>
        </w:tc>
        <w:tc>
          <w:tcPr>
            <w:tcW w:w="1710" w:type="dxa"/>
            <w:vAlign w:val="center"/>
          </w:tcPr>
          <w:p w14:paraId="0BB9780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风干</w:t>
            </w:r>
          </w:p>
        </w:tc>
      </w:tr>
      <w:tr w14:paraId="691427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47EBECB">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32F0BCC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烘干</w:t>
            </w:r>
            <w:r>
              <w:rPr>
                <w:rFonts w:hint="default" w:ascii="Times New Roman" w:hAnsi="Times New Roman" w:eastAsia="宋体" w:cs="Times New Roman"/>
                <w:b w:val="0"/>
                <w:bCs/>
                <w:color w:val="auto"/>
                <w:kern w:val="2"/>
                <w:sz w:val="21"/>
                <w:szCs w:val="21"/>
                <w:highlight w:val="none"/>
                <w:lang w:val="en-US" w:eastAsia="zh-CN" w:bidi="ar-SA"/>
              </w:rPr>
              <w:t>槽</w:t>
            </w:r>
          </w:p>
        </w:tc>
        <w:tc>
          <w:tcPr>
            <w:tcW w:w="1985" w:type="dxa"/>
            <w:noWrap/>
            <w:vAlign w:val="center"/>
          </w:tcPr>
          <w:p w14:paraId="7035A03C">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L</w:t>
            </w:r>
            <w:r>
              <w:rPr>
                <w:rFonts w:hint="eastAsia" w:cs="Times New Roman"/>
                <w:b w:val="0"/>
                <w:bCs/>
                <w:color w:val="auto"/>
                <w:kern w:val="2"/>
                <w:sz w:val="21"/>
                <w:szCs w:val="21"/>
                <w:highlight w:val="none"/>
                <w:lang w:val="en-US" w:eastAsia="zh-CN" w:bidi="ar-SA"/>
              </w:rPr>
              <w:t>2000</w:t>
            </w:r>
            <w:r>
              <w:rPr>
                <w:rFonts w:hint="default" w:ascii="Times New Roman" w:hAnsi="Times New Roman" w:eastAsia="宋体" w:cs="Times New Roman"/>
                <w:b w:val="0"/>
                <w:bCs/>
                <w:color w:val="auto"/>
                <w:kern w:val="2"/>
                <w:sz w:val="21"/>
                <w:szCs w:val="21"/>
                <w:highlight w:val="none"/>
                <w:lang w:val="en-US" w:eastAsia="zh-CN" w:bidi="ar-SA"/>
              </w:rPr>
              <w:t>*W</w:t>
            </w:r>
            <w:r>
              <w:rPr>
                <w:rFonts w:hint="eastAsia" w:ascii="Times New Roman" w:hAnsi="Times New Roman" w:eastAsia="宋体" w:cs="Times New Roman"/>
                <w:b w:val="0"/>
                <w:bCs/>
                <w:color w:val="auto"/>
                <w:kern w:val="2"/>
                <w:sz w:val="21"/>
                <w:szCs w:val="21"/>
                <w:highlight w:val="none"/>
                <w:lang w:val="en-US" w:eastAsia="zh-CN" w:bidi="ar-SA"/>
              </w:rPr>
              <w:t>550</w:t>
            </w:r>
            <w:r>
              <w:rPr>
                <w:rFonts w:hint="default" w:ascii="Times New Roman" w:hAnsi="Times New Roman" w:eastAsia="宋体" w:cs="Times New Roman"/>
                <w:b w:val="0"/>
                <w:bCs/>
                <w:color w:val="auto"/>
                <w:kern w:val="2"/>
                <w:sz w:val="21"/>
                <w:szCs w:val="21"/>
                <w:highlight w:val="none"/>
                <w:lang w:val="en-US" w:eastAsia="zh-CN" w:bidi="ar-SA"/>
              </w:rPr>
              <w:t>*H</w:t>
            </w:r>
            <w:r>
              <w:rPr>
                <w:rFonts w:hint="eastAsia" w:ascii="Times New Roman" w:hAnsi="Times New Roman" w:eastAsia="宋体" w:cs="Times New Roman"/>
                <w:b w:val="0"/>
                <w:bCs/>
                <w:color w:val="auto"/>
                <w:kern w:val="2"/>
                <w:sz w:val="21"/>
                <w:szCs w:val="21"/>
                <w:highlight w:val="none"/>
                <w:lang w:val="en-US" w:eastAsia="zh-CN" w:bidi="ar-SA"/>
              </w:rPr>
              <w:t>450</w:t>
            </w:r>
          </w:p>
        </w:tc>
        <w:tc>
          <w:tcPr>
            <w:tcW w:w="1064" w:type="dxa"/>
            <w:noWrap/>
            <w:vAlign w:val="center"/>
          </w:tcPr>
          <w:p w14:paraId="430EEE91">
            <w:pPr>
              <w:keepNext w:val="0"/>
              <w:keepLines w:val="0"/>
              <w:widowControl w:val="0"/>
              <w:suppressLineNumbers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w:t>
            </w:r>
          </w:p>
        </w:tc>
        <w:tc>
          <w:tcPr>
            <w:tcW w:w="889" w:type="dxa"/>
            <w:vAlign w:val="center"/>
          </w:tcPr>
          <w:p w14:paraId="65E3E9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6</w:t>
            </w:r>
          </w:p>
        </w:tc>
        <w:tc>
          <w:tcPr>
            <w:tcW w:w="1710" w:type="dxa"/>
            <w:vAlign w:val="center"/>
          </w:tcPr>
          <w:p w14:paraId="5EC00E1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烘干</w:t>
            </w:r>
          </w:p>
        </w:tc>
      </w:tr>
      <w:tr w14:paraId="42015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615" w:type="dxa"/>
            <w:gridSpan w:val="6"/>
            <w:noWrap/>
            <w:vAlign w:val="center"/>
          </w:tcPr>
          <w:p w14:paraId="5CF38FA9">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公用设备</w:t>
            </w:r>
          </w:p>
        </w:tc>
      </w:tr>
      <w:tr w14:paraId="5ED3BA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restart"/>
            <w:noWrap/>
            <w:vAlign w:val="center"/>
          </w:tcPr>
          <w:p w14:paraId="1DBF8356">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公用设备</w:t>
            </w:r>
          </w:p>
        </w:tc>
        <w:tc>
          <w:tcPr>
            <w:tcW w:w="1701" w:type="dxa"/>
            <w:noWrap/>
            <w:vAlign w:val="center"/>
          </w:tcPr>
          <w:p w14:paraId="3F081DFF">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配液槽</w:t>
            </w:r>
          </w:p>
        </w:tc>
        <w:tc>
          <w:tcPr>
            <w:tcW w:w="1985" w:type="dxa"/>
            <w:noWrap/>
            <w:vAlign w:val="center"/>
          </w:tcPr>
          <w:p w14:paraId="3EC893BB">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Cs/>
                <w:sz w:val="21"/>
                <w:szCs w:val="21"/>
                <w:highlight w:val="none"/>
                <w:lang w:val="en-US" w:eastAsia="zh-CN" w:bidi="ar-SA"/>
              </w:rPr>
              <w:t>/</w:t>
            </w:r>
          </w:p>
        </w:tc>
        <w:tc>
          <w:tcPr>
            <w:tcW w:w="1064" w:type="dxa"/>
            <w:noWrap/>
            <w:vAlign w:val="center"/>
          </w:tcPr>
          <w:p w14:paraId="21E87981">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0000FF"/>
                <w:kern w:val="2"/>
                <w:sz w:val="21"/>
                <w:szCs w:val="21"/>
                <w:highlight w:val="none"/>
                <w:lang w:val="en-US" w:eastAsia="zh-CN" w:bidi="ar-SA"/>
              </w:rPr>
            </w:pPr>
            <w:r>
              <w:rPr>
                <w:rFonts w:hint="eastAsia" w:cs="Times New Roman"/>
                <w:color w:val="000000" w:themeColor="text1"/>
                <w:sz w:val="21"/>
                <w:szCs w:val="21"/>
                <w:highlight w:val="none"/>
                <w:lang w:val="en-US" w:eastAsia="zh-CN" w:bidi="ar-SA"/>
                <w14:textFill>
                  <w14:solidFill>
                    <w14:schemeClr w14:val="tx1"/>
                  </w14:solidFill>
                </w14:textFill>
              </w:rPr>
              <w:t>3</w:t>
            </w:r>
          </w:p>
        </w:tc>
        <w:tc>
          <w:tcPr>
            <w:tcW w:w="889" w:type="dxa"/>
            <w:vAlign w:val="center"/>
          </w:tcPr>
          <w:p w14:paraId="799D23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77987688">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溶液配制</w:t>
            </w:r>
          </w:p>
        </w:tc>
      </w:tr>
      <w:tr w14:paraId="38F56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7FE520EA">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7BC1A61D">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纯水制备设备</w:t>
            </w:r>
          </w:p>
        </w:tc>
        <w:tc>
          <w:tcPr>
            <w:tcW w:w="1985" w:type="dxa"/>
            <w:noWrap/>
            <w:vAlign w:val="center"/>
          </w:tcPr>
          <w:p w14:paraId="1F1BF2A7">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sz w:val="21"/>
                <w:szCs w:val="21"/>
                <w:highlight w:val="none"/>
                <w:lang w:val="en-US" w:eastAsia="zh-CN" w:bidi="ar-SA"/>
              </w:rPr>
              <w:t>10</w:t>
            </w:r>
            <w:r>
              <w:rPr>
                <w:rFonts w:hint="default" w:ascii="Times New Roman" w:hAnsi="Times New Roman" w:eastAsia="宋体" w:cs="Times New Roman"/>
                <w:sz w:val="21"/>
                <w:szCs w:val="21"/>
                <w:highlight w:val="none"/>
                <w:lang w:val="en-US" w:eastAsia="zh-CN" w:bidi="ar-SA"/>
              </w:rPr>
              <w:t>t/h</w:t>
            </w:r>
          </w:p>
        </w:tc>
        <w:tc>
          <w:tcPr>
            <w:tcW w:w="1064" w:type="dxa"/>
            <w:noWrap/>
            <w:vAlign w:val="center"/>
          </w:tcPr>
          <w:p w14:paraId="34B200A2">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0000FF"/>
                <w:kern w:val="2"/>
                <w:sz w:val="21"/>
                <w:szCs w:val="21"/>
                <w:highlight w:val="none"/>
                <w:lang w:val="en-US" w:eastAsia="zh-CN" w:bidi="ar-SA"/>
              </w:rPr>
            </w:pPr>
            <w:r>
              <w:rPr>
                <w:rFonts w:hint="eastAsia" w:cs="Times New Roman"/>
                <w:color w:val="000000" w:themeColor="text1"/>
                <w:sz w:val="21"/>
                <w:szCs w:val="21"/>
                <w:highlight w:val="none"/>
                <w:lang w:val="en-US" w:eastAsia="zh-CN" w:bidi="ar-SA"/>
                <w14:textFill>
                  <w14:solidFill>
                    <w14:schemeClr w14:val="tx1"/>
                  </w14:solidFill>
                </w14:textFill>
              </w:rPr>
              <w:t>1</w:t>
            </w:r>
          </w:p>
        </w:tc>
        <w:tc>
          <w:tcPr>
            <w:tcW w:w="889" w:type="dxa"/>
            <w:vAlign w:val="center"/>
          </w:tcPr>
          <w:p w14:paraId="523188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661B420F">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反渗透</w:t>
            </w:r>
          </w:p>
        </w:tc>
      </w:tr>
      <w:tr w14:paraId="7567FE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60F4859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43EC1AD2">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包装机</w:t>
            </w:r>
          </w:p>
        </w:tc>
        <w:tc>
          <w:tcPr>
            <w:tcW w:w="1985" w:type="dxa"/>
            <w:noWrap/>
            <w:vAlign w:val="center"/>
          </w:tcPr>
          <w:p w14:paraId="15466D0D">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064" w:type="dxa"/>
            <w:noWrap/>
            <w:vAlign w:val="center"/>
          </w:tcPr>
          <w:p w14:paraId="4084CFF3">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10</w:t>
            </w:r>
          </w:p>
        </w:tc>
        <w:tc>
          <w:tcPr>
            <w:tcW w:w="889" w:type="dxa"/>
            <w:vAlign w:val="center"/>
          </w:tcPr>
          <w:p w14:paraId="31B031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212A2768">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全自动</w:t>
            </w:r>
          </w:p>
        </w:tc>
      </w:tr>
      <w:tr w14:paraId="3B1344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4B21B96E">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59BF172C">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空压机</w:t>
            </w:r>
          </w:p>
        </w:tc>
        <w:tc>
          <w:tcPr>
            <w:tcW w:w="1985" w:type="dxa"/>
            <w:noWrap/>
            <w:vAlign w:val="center"/>
          </w:tcPr>
          <w:p w14:paraId="1D17ED49">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064" w:type="dxa"/>
            <w:noWrap/>
            <w:vAlign w:val="center"/>
          </w:tcPr>
          <w:p w14:paraId="4BD39D7C">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2</w:t>
            </w:r>
          </w:p>
        </w:tc>
        <w:tc>
          <w:tcPr>
            <w:tcW w:w="889" w:type="dxa"/>
            <w:vAlign w:val="center"/>
          </w:tcPr>
          <w:p w14:paraId="40084E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30ED45A4">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r>
      <w:tr w14:paraId="0BFAE0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31E557F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650DA490">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风机</w:t>
            </w:r>
          </w:p>
        </w:tc>
        <w:tc>
          <w:tcPr>
            <w:tcW w:w="1985" w:type="dxa"/>
            <w:noWrap/>
            <w:vAlign w:val="center"/>
          </w:tcPr>
          <w:p w14:paraId="785C75A0">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064" w:type="dxa"/>
            <w:noWrap/>
            <w:vAlign w:val="center"/>
          </w:tcPr>
          <w:p w14:paraId="1362A342">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8</w:t>
            </w:r>
          </w:p>
        </w:tc>
        <w:tc>
          <w:tcPr>
            <w:tcW w:w="889" w:type="dxa"/>
            <w:vAlign w:val="center"/>
          </w:tcPr>
          <w:p w14:paraId="2989DC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0A5A57A1">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r>
      <w:tr w14:paraId="2546D4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1DE9F37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59881C01">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过滤机</w:t>
            </w:r>
          </w:p>
        </w:tc>
        <w:tc>
          <w:tcPr>
            <w:tcW w:w="1985" w:type="dxa"/>
            <w:noWrap/>
            <w:vAlign w:val="center"/>
          </w:tcPr>
          <w:p w14:paraId="45D8800A">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064" w:type="dxa"/>
            <w:noWrap/>
            <w:vAlign w:val="center"/>
          </w:tcPr>
          <w:p w14:paraId="48F90613">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33</w:t>
            </w:r>
          </w:p>
        </w:tc>
        <w:tc>
          <w:tcPr>
            <w:tcW w:w="889" w:type="dxa"/>
            <w:vAlign w:val="center"/>
          </w:tcPr>
          <w:p w14:paraId="22347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33F8EFF5">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电镀槽过滤</w:t>
            </w:r>
          </w:p>
        </w:tc>
      </w:tr>
      <w:tr w14:paraId="67E86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266" w:type="dxa"/>
            <w:vMerge w:val="continue"/>
            <w:noWrap/>
            <w:vAlign w:val="center"/>
          </w:tcPr>
          <w:p w14:paraId="21CAECED">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1701" w:type="dxa"/>
            <w:noWrap/>
            <w:vAlign w:val="center"/>
          </w:tcPr>
          <w:p w14:paraId="7304BD7D">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蒸汽发生器</w:t>
            </w:r>
          </w:p>
        </w:tc>
        <w:tc>
          <w:tcPr>
            <w:tcW w:w="1985" w:type="dxa"/>
            <w:noWrap/>
            <w:vAlign w:val="center"/>
          </w:tcPr>
          <w:p w14:paraId="61B4BDB5">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0.9t/h</w:t>
            </w:r>
          </w:p>
        </w:tc>
        <w:tc>
          <w:tcPr>
            <w:tcW w:w="1064" w:type="dxa"/>
            <w:noWrap/>
            <w:vAlign w:val="center"/>
          </w:tcPr>
          <w:p w14:paraId="31CD5DFE">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cs="Times New Roman"/>
                <w:color w:val="000000" w:themeColor="text1"/>
                <w:sz w:val="21"/>
                <w:szCs w:val="21"/>
                <w:highlight w:val="none"/>
                <w:lang w:val="en-US" w:eastAsia="zh-CN" w:bidi="ar-SA"/>
                <w14:textFill>
                  <w14:solidFill>
                    <w14:schemeClr w14:val="tx1"/>
                  </w14:solidFill>
                </w14:textFill>
              </w:rPr>
            </w:pPr>
            <w:r>
              <w:rPr>
                <w:rFonts w:hint="default" w:cs="Times New Roman"/>
                <w:color w:val="000000" w:themeColor="text1"/>
                <w:sz w:val="21"/>
                <w:szCs w:val="21"/>
                <w:highlight w:val="none"/>
                <w:lang w:val="en-US" w:eastAsia="zh-CN" w:bidi="ar-SA"/>
                <w14:textFill>
                  <w14:solidFill>
                    <w14:schemeClr w14:val="tx1"/>
                  </w14:solidFill>
                </w14:textFill>
              </w:rPr>
              <w:t>3</w:t>
            </w:r>
          </w:p>
        </w:tc>
        <w:tc>
          <w:tcPr>
            <w:tcW w:w="889" w:type="dxa"/>
            <w:vAlign w:val="center"/>
          </w:tcPr>
          <w:p w14:paraId="534C39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sz w:val="21"/>
                <w:szCs w:val="21"/>
                <w:highlight w:val="none"/>
                <w:lang w:val="en-US" w:eastAsia="zh-CN" w:bidi="ar-SA"/>
              </w:rPr>
            </w:pPr>
            <w:r>
              <w:rPr>
                <w:rFonts w:hint="default" w:ascii="Times New Roman" w:hAnsi="Times New Roman" w:eastAsia="宋体" w:cs="Times New Roman"/>
                <w:sz w:val="21"/>
                <w:szCs w:val="21"/>
                <w:highlight w:val="none"/>
                <w:lang w:val="en-US" w:eastAsia="zh-CN" w:bidi="ar-SA"/>
              </w:rPr>
              <w:t>/</w:t>
            </w:r>
          </w:p>
        </w:tc>
        <w:tc>
          <w:tcPr>
            <w:tcW w:w="1710" w:type="dxa"/>
            <w:vAlign w:val="center"/>
          </w:tcPr>
          <w:p w14:paraId="61D4107E">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sz w:val="21"/>
                <w:szCs w:val="21"/>
                <w:highlight w:val="none"/>
                <w:lang w:val="en-US" w:eastAsia="zh-CN" w:bidi="ar-SA"/>
              </w:rPr>
              <w:t>电蒸汽发生器</w:t>
            </w:r>
          </w:p>
        </w:tc>
      </w:tr>
      <w:tr w14:paraId="499A5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615" w:type="dxa"/>
            <w:gridSpan w:val="6"/>
            <w:noWrap/>
            <w:vAlign w:val="center"/>
          </w:tcPr>
          <w:p w14:paraId="470BC91C">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both"/>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备注：本项目电池钢壳及盖帽生线采用滚镀方式进行电镀，</w:t>
            </w:r>
            <w:r>
              <w:rPr>
                <w:rFonts w:hint="eastAsia" w:cs="Times New Roman"/>
                <w:sz w:val="21"/>
                <w:szCs w:val="21"/>
                <w:lang w:val="en-US" w:eastAsia="zh-CN" w:bidi="ar-SA"/>
              </w:rPr>
              <w:t>电池连接件</w:t>
            </w:r>
            <w:r>
              <w:rPr>
                <w:rFonts w:hint="eastAsia" w:ascii="Times New Roman" w:hAnsi="Times New Roman" w:eastAsia="宋体" w:cs="Times New Roman"/>
                <w:sz w:val="21"/>
                <w:szCs w:val="21"/>
                <w:lang w:val="en-US" w:eastAsia="zh-CN" w:bidi="ar-SA"/>
              </w:rPr>
              <w:t>采用的是</w:t>
            </w:r>
            <w:r>
              <w:rPr>
                <w:rFonts w:hint="eastAsia" w:cs="Times New Roman"/>
                <w:sz w:val="21"/>
                <w:szCs w:val="21"/>
                <w:lang w:val="en-US" w:eastAsia="zh-CN" w:bidi="ar-SA"/>
              </w:rPr>
              <w:t>连续镀。</w:t>
            </w:r>
          </w:p>
        </w:tc>
      </w:tr>
    </w:tbl>
    <w:p w14:paraId="154B8F3F">
      <w:pPr>
        <w:ind w:firstLine="480"/>
      </w:pPr>
      <w:r>
        <w:rPr>
          <w:rFonts w:hint="eastAsia"/>
        </w:rPr>
        <w:t>本项目电镀生产线中镀槽、镀件提升转运装置、电器控制装置、电源设备、过滤设备、检测仪器、加热与冷却装置、滚筒驱动装置、空气搅拌设备及线上污染控制设施等采用一体自动化成套装置，全部为数控自动化生产线。</w:t>
      </w:r>
    </w:p>
    <w:p w14:paraId="0EC3191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86" w:name="_Toc108122509"/>
      <w:bookmarkStart w:id="387" w:name="_Toc24971"/>
      <w:r>
        <w:rPr>
          <w:rFonts w:hint="eastAsia" w:ascii="Times New Roman" w:hAnsi="Times New Roman" w:eastAsia="宋体" w:cs="Times New Roman"/>
          <w:lang w:val="en-US" w:eastAsia="zh-CN"/>
        </w:rPr>
        <w:t>3.2生产工艺</w:t>
      </w:r>
      <w:bookmarkEnd w:id="381"/>
      <w:bookmarkEnd w:id="382"/>
      <w:bookmarkEnd w:id="383"/>
      <w:r>
        <w:rPr>
          <w:rFonts w:hint="eastAsia" w:ascii="Times New Roman" w:hAnsi="Times New Roman" w:eastAsia="宋体" w:cs="Times New Roman"/>
          <w:lang w:val="en-US" w:eastAsia="zh-CN"/>
        </w:rPr>
        <w:t>及产污环节</w:t>
      </w:r>
      <w:bookmarkEnd w:id="386"/>
      <w:bookmarkEnd w:id="387"/>
    </w:p>
    <w:p w14:paraId="6DA6397B">
      <w:pPr>
        <w:ind w:firstLine="480"/>
        <w:rPr>
          <w:rFonts w:hint="eastAsia"/>
        </w:rPr>
      </w:pPr>
      <w:r>
        <w:rPr>
          <w:rFonts w:hint="eastAsia"/>
        </w:rPr>
        <w:t>本项目生产线包括电池钢壳生产线、</w:t>
      </w:r>
      <w:r>
        <w:rPr>
          <w:rFonts w:hint="eastAsia"/>
          <w:lang w:val="en-US" w:eastAsia="zh-CN"/>
        </w:rPr>
        <w:t>盖帽</w:t>
      </w:r>
      <w:r>
        <w:rPr>
          <w:rFonts w:hint="eastAsia"/>
        </w:rPr>
        <w:t>生产线和</w:t>
      </w:r>
      <w:r>
        <w:rPr>
          <w:rFonts w:hint="eastAsia"/>
          <w:lang w:val="en-US" w:eastAsia="zh-CN"/>
        </w:rPr>
        <w:t>电池连接件生产线</w:t>
      </w:r>
      <w:r>
        <w:rPr>
          <w:rFonts w:hint="eastAsia"/>
        </w:rPr>
        <w:t>，具体生产工艺及产排污环节如下。</w:t>
      </w:r>
    </w:p>
    <w:p w14:paraId="791BC010">
      <w:pPr>
        <w:ind w:firstLine="480"/>
        <w:rPr>
          <w:rFonts w:hint="eastAsia"/>
        </w:rPr>
      </w:pPr>
    </w:p>
    <w:p w14:paraId="4D1CA8AD">
      <w:pPr>
        <w:ind w:firstLine="480"/>
        <w:rPr>
          <w:rFonts w:hint="eastAsia"/>
        </w:rPr>
      </w:pPr>
    </w:p>
    <w:p w14:paraId="718D9DB8">
      <w:pPr>
        <w:ind w:firstLine="480"/>
        <w:rPr>
          <w:rFonts w:hint="eastAsia"/>
        </w:rPr>
      </w:pPr>
    </w:p>
    <w:p w14:paraId="04AAD784">
      <w:pPr>
        <w:ind w:firstLine="480"/>
        <w:rPr>
          <w:rFonts w:hint="eastAsia"/>
        </w:rPr>
      </w:pPr>
    </w:p>
    <w:p w14:paraId="0E1B6055">
      <w:pPr>
        <w:ind w:firstLine="480"/>
        <w:rPr>
          <w:rFonts w:hint="eastAsia"/>
        </w:rPr>
      </w:pPr>
    </w:p>
    <w:p w14:paraId="634F5824">
      <w:pPr>
        <w:ind w:firstLine="480"/>
        <w:rPr>
          <w:rFonts w:hint="eastAsia"/>
        </w:rPr>
      </w:pPr>
    </w:p>
    <w:p w14:paraId="193C1699">
      <w:pPr>
        <w:ind w:firstLine="480"/>
        <w:rPr>
          <w:rFonts w:hint="eastAsia"/>
        </w:rPr>
      </w:pPr>
    </w:p>
    <w:p w14:paraId="1CF81162">
      <w:pPr>
        <w:ind w:firstLine="482"/>
        <w:rPr>
          <w:b/>
        </w:rPr>
      </w:pPr>
      <w:r>
        <w:rPr>
          <w:rFonts w:hint="eastAsia"/>
          <w:b/>
        </w:rPr>
        <w:t>一、电池钢壳生产线</w:t>
      </w:r>
    </w:p>
    <w:p w14:paraId="39E2814D">
      <w:pPr>
        <w:rPr>
          <w:b/>
        </w:rPr>
      </w:pPr>
      <w:r>
        <w:rPr>
          <w:rFonts w:ascii="Times New Roman" w:hAnsi="Times New Roman" w:eastAsia="宋体" w:cs="Times New Roman"/>
          <w:kern w:val="0"/>
          <w:sz w:val="24"/>
          <w:szCs w:val="20"/>
        </w:rPr>
        <w:pict>
          <v:shape id="_x0000_s1026" o:spid="_x0000_s1026" o:spt="75" type="#_x0000_t75" style="position:absolute;left:0pt;margin-left:-27.55pt;margin-top:2.2pt;height:471.95pt;width:467.1pt;z-index:251671552;mso-width-relative:page;mso-height-relative:page;" o:ole="t" filled="f" o:preferrelative="t" stroked="f" coordsize="21600,21600">
            <v:path/>
            <v:fill on="f" focussize="0,0"/>
            <v:stroke on="f"/>
            <v:imagedata r:id="rId21" o:title=""/>
            <o:lock v:ext="edit" aspectratio="t"/>
          </v:shape>
          <o:OLEObject Type="Embed" ProgID="Visio.Drawing.11" ShapeID="_x0000_s1026" DrawAspect="Content" ObjectID="_1468075726" r:id="rId20">
            <o:LockedField>false</o:LockedField>
          </o:OLEObject>
        </w:pict>
      </w:r>
    </w:p>
    <w:p w14:paraId="071E9F44">
      <w:pPr>
        <w:pStyle w:val="55"/>
        <w:rPr>
          <w:b/>
        </w:rPr>
      </w:pPr>
    </w:p>
    <w:p w14:paraId="1C77C5E3">
      <w:pPr>
        <w:pStyle w:val="55"/>
        <w:rPr>
          <w:b/>
        </w:rPr>
      </w:pPr>
    </w:p>
    <w:p w14:paraId="77DA4F27">
      <w:pPr>
        <w:pStyle w:val="55"/>
        <w:rPr>
          <w:b/>
        </w:rPr>
      </w:pPr>
    </w:p>
    <w:p w14:paraId="1AD391B6">
      <w:pPr>
        <w:pStyle w:val="55"/>
        <w:rPr>
          <w:b/>
        </w:rPr>
      </w:pPr>
    </w:p>
    <w:p w14:paraId="6A57D709">
      <w:pPr>
        <w:pStyle w:val="55"/>
        <w:rPr>
          <w:b/>
        </w:rPr>
      </w:pPr>
    </w:p>
    <w:p w14:paraId="2446745D">
      <w:pPr>
        <w:pStyle w:val="55"/>
        <w:rPr>
          <w:b/>
        </w:rPr>
      </w:pPr>
    </w:p>
    <w:p w14:paraId="46A7642B">
      <w:pPr>
        <w:pStyle w:val="55"/>
        <w:rPr>
          <w:b/>
        </w:rPr>
      </w:pPr>
    </w:p>
    <w:p w14:paraId="3AA0CA35">
      <w:pPr>
        <w:pStyle w:val="55"/>
        <w:rPr>
          <w:b/>
        </w:rPr>
      </w:pPr>
    </w:p>
    <w:p w14:paraId="4A8492F3">
      <w:pPr>
        <w:pStyle w:val="55"/>
        <w:rPr>
          <w:b/>
        </w:rPr>
      </w:pPr>
    </w:p>
    <w:p w14:paraId="4582EC6C">
      <w:pPr>
        <w:pStyle w:val="55"/>
        <w:rPr>
          <w:b/>
        </w:rPr>
      </w:pPr>
    </w:p>
    <w:p w14:paraId="17D110AB">
      <w:pPr>
        <w:pStyle w:val="55"/>
        <w:rPr>
          <w:b/>
        </w:rPr>
      </w:pPr>
    </w:p>
    <w:p w14:paraId="25D72347">
      <w:pPr>
        <w:pStyle w:val="55"/>
        <w:rPr>
          <w:b/>
        </w:rPr>
      </w:pPr>
    </w:p>
    <w:p w14:paraId="34D2D9F7">
      <w:pPr>
        <w:pStyle w:val="55"/>
        <w:rPr>
          <w:b/>
        </w:rPr>
      </w:pPr>
    </w:p>
    <w:p w14:paraId="7C656829">
      <w:pPr>
        <w:pStyle w:val="55"/>
        <w:rPr>
          <w:b/>
        </w:rPr>
      </w:pPr>
    </w:p>
    <w:p w14:paraId="10726598">
      <w:pPr>
        <w:pStyle w:val="55"/>
        <w:rPr>
          <w:b/>
        </w:rPr>
      </w:pPr>
    </w:p>
    <w:p w14:paraId="0757FF2B">
      <w:pPr>
        <w:pStyle w:val="55"/>
        <w:rPr>
          <w:b/>
        </w:rPr>
      </w:pPr>
    </w:p>
    <w:p w14:paraId="0D801B71">
      <w:pPr>
        <w:pStyle w:val="55"/>
        <w:rPr>
          <w:b/>
        </w:rPr>
      </w:pPr>
    </w:p>
    <w:p w14:paraId="0E712A7B">
      <w:pPr>
        <w:pStyle w:val="55"/>
        <w:rPr>
          <w:b/>
        </w:rPr>
      </w:pPr>
    </w:p>
    <w:p w14:paraId="49ED2462">
      <w:pPr>
        <w:ind w:firstLine="482"/>
        <w:rPr>
          <w:b/>
        </w:rPr>
      </w:pPr>
    </w:p>
    <w:p w14:paraId="06DD76D8">
      <w:pPr>
        <w:ind w:firstLine="482"/>
        <w:rPr>
          <w:b/>
        </w:rPr>
      </w:pPr>
    </w:p>
    <w:p w14:paraId="1AD6546A">
      <w:pPr>
        <w:ind w:firstLine="482"/>
        <w:rPr>
          <w:b/>
        </w:rPr>
      </w:pPr>
    </w:p>
    <w:p w14:paraId="35EB06DC">
      <w:pPr>
        <w:ind w:firstLine="482"/>
        <w:rPr>
          <w:b/>
        </w:rPr>
      </w:pPr>
    </w:p>
    <w:p w14:paraId="239E86BE">
      <w:pPr>
        <w:ind w:firstLine="482"/>
        <w:rPr>
          <w:b/>
        </w:rPr>
      </w:pPr>
    </w:p>
    <w:p w14:paraId="3B02E2B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textAlignment w:val="baseline"/>
        <w:rPr>
          <w:b/>
        </w:rPr>
      </w:pPr>
      <w:r>
        <w:rPr>
          <w:rFonts w:hint="eastAsia"/>
          <w:b/>
          <w:sz w:val="21"/>
          <w:szCs w:val="21"/>
        </w:rPr>
        <w:t>注：G：废气；W：废水；N：噪声；S：固废</w:t>
      </w:r>
    </w:p>
    <w:p w14:paraId="78BFF5C5">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b/>
        </w:rPr>
      </w:pPr>
      <w:r>
        <w:rPr>
          <w:rFonts w:hint="eastAsia"/>
          <w:b/>
        </w:rPr>
        <w:t>图</w:t>
      </w:r>
      <w:r>
        <w:rPr>
          <w:rFonts w:hint="eastAsia"/>
          <w:b/>
          <w:lang w:val="en-US" w:eastAsia="zh-CN"/>
        </w:rPr>
        <w:t>3.2-1</w:t>
      </w:r>
      <w:r>
        <w:rPr>
          <w:rFonts w:hint="eastAsia"/>
          <w:b/>
        </w:rPr>
        <w:t xml:space="preserve">    电池钢壳工艺流程及产污环节图</w:t>
      </w:r>
    </w:p>
    <w:p w14:paraId="7744735C">
      <w:pPr>
        <w:keepNext w:val="0"/>
        <w:keepLines w:val="0"/>
        <w:pageBreakBefore w:val="0"/>
        <w:widowControl w:val="0"/>
        <w:kinsoku/>
        <w:wordWrap/>
        <w:overflowPunct/>
        <w:topLinePunct w:val="0"/>
        <w:autoSpaceDE/>
        <w:autoSpaceDN/>
        <w:bidi w:val="0"/>
        <w:adjustRightInd w:val="0"/>
        <w:snapToGrid w:val="0"/>
        <w:spacing w:line="520" w:lineRule="exact"/>
        <w:ind w:firstLine="482"/>
        <w:textAlignment w:val="baseline"/>
        <w:rPr>
          <w:b/>
        </w:rPr>
      </w:pPr>
      <w:r>
        <w:rPr>
          <w:rFonts w:hint="eastAsia"/>
          <w:b/>
        </w:rPr>
        <w:t>电池钢壳生产工艺流程简述：</w:t>
      </w:r>
    </w:p>
    <w:p w14:paraId="445A5BA2">
      <w:pPr>
        <w:keepNext w:val="0"/>
        <w:keepLines w:val="0"/>
        <w:pageBreakBefore w:val="0"/>
        <w:widowControl w:val="0"/>
        <w:kinsoku/>
        <w:wordWrap/>
        <w:overflowPunct/>
        <w:topLinePunct w:val="0"/>
        <w:autoSpaceDE/>
        <w:autoSpaceDN/>
        <w:bidi w:val="0"/>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1、冲压：</w:t>
      </w:r>
      <w:r>
        <w:rPr>
          <w:rFonts w:hint="eastAsia" w:ascii="Times New Roman" w:hAnsi="Times New Roman" w:eastAsia="宋体" w:cs="Times New Roman"/>
          <w:kern w:val="0"/>
          <w:sz w:val="24"/>
          <w:szCs w:val="24"/>
        </w:rPr>
        <w:t>将外购的卷状普通钢带经叉车转运至冲床自带的卷筒上，经人工牵引置于冲床上进行冲压，根据产品型号要求冲压形成电池钢壳。冲压过程中采用循环冷却水降温，冲压时机械产生的温度不高，该过程中不会产生废气，冲压冷凝水定期排放。此过程会产生废液压油和废边角料，设备运行会产生噪声。</w:t>
      </w:r>
    </w:p>
    <w:p w14:paraId="2B91D5FE">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2、除油：</w:t>
      </w:r>
      <w:r>
        <w:rPr>
          <w:rFonts w:hint="eastAsia" w:ascii="Times New Roman" w:hAnsi="Times New Roman" w:eastAsia="宋体" w:cs="Times New Roman"/>
          <w:kern w:val="0"/>
          <w:sz w:val="24"/>
          <w:szCs w:val="24"/>
        </w:rPr>
        <w:t>将机加工的钢壳放置于滚筒内，具体是将装有钢壳的小车转运至电镀生产线前，利用行车将小车吊运至滚筒上，人工将钢壳倒入滚筒内，盖上滚筒盖；之后由行车将滚筒置于除油槽内。除油槽内溶液为20-30g/L的碱性脱脂剂，除油槽温度控制在60-65</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rPr>
        <w:t>（采用蒸汽加热），除油时间为3-10min。除油槽液定期更换，更换周期为3个月，除油废槽液通过独立管道送至破乳、气浮池预处理后送往综合废水处理设施进行处理。</w:t>
      </w:r>
    </w:p>
    <w:p w14:paraId="0DBB08D9">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为了保证清洗效果，除油后进行水洗和热水洗，水洗槽和热水洗槽的水每1个月更换一次；热水洗后再进行水洗，为保证槽液水质，水洗槽的水每3个月全部更换一次。废水通过独立管道输送至破乳、气浮池预处理后送往综合废水处理设施进行处理。</w:t>
      </w:r>
    </w:p>
    <w:p w14:paraId="6ECE851A">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3、酸洗活化：</w:t>
      </w:r>
      <w:r>
        <w:rPr>
          <w:rFonts w:hint="eastAsia" w:ascii="Times New Roman" w:hAnsi="Times New Roman" w:eastAsia="宋体" w:cs="Times New Roman"/>
          <w:kern w:val="0"/>
          <w:sz w:val="24"/>
          <w:szCs w:val="24"/>
        </w:rPr>
        <w:t>除油水洗后的钢壳送至酸洗槽进行酸洗，去除工件表面的氧化皮等杂质。酸洗液为</w:t>
      </w:r>
      <w:r>
        <w:rPr>
          <w:rFonts w:hint="eastAsia" w:ascii="Times New Roman" w:hAnsi="Times New Roman" w:eastAsia="宋体" w:cs="Times New Roman"/>
          <w:kern w:val="0"/>
          <w:sz w:val="24"/>
          <w:szCs w:val="24"/>
          <w:lang w:val="en-US" w:eastAsia="zh-CN"/>
        </w:rPr>
        <w:t>10</w:t>
      </w:r>
      <w:r>
        <w:rPr>
          <w:rFonts w:hint="eastAsia" w:ascii="Times New Roman" w:hAnsi="Times New Roman" w:eastAsia="宋体" w:cs="Times New Roman"/>
          <w:kern w:val="0"/>
          <w:sz w:val="24"/>
          <w:szCs w:val="24"/>
        </w:rPr>
        <w:t>%的</w:t>
      </w:r>
      <w:r>
        <w:rPr>
          <w:rFonts w:hint="eastAsia" w:ascii="Times New Roman" w:hAnsi="Times New Roman" w:eastAsia="宋体" w:cs="Times New Roman"/>
          <w:kern w:val="0"/>
          <w:sz w:val="24"/>
          <w:szCs w:val="24"/>
          <w:lang w:val="en-US" w:eastAsia="zh-CN"/>
        </w:rPr>
        <w:t>硫酸</w:t>
      </w:r>
      <w:r>
        <w:rPr>
          <w:rFonts w:hint="eastAsia" w:ascii="Times New Roman" w:hAnsi="Times New Roman" w:eastAsia="宋体" w:cs="Times New Roman"/>
          <w:kern w:val="0"/>
          <w:sz w:val="24"/>
          <w:szCs w:val="24"/>
        </w:rPr>
        <w:t>，温度</w:t>
      </w:r>
      <w:r>
        <w:rPr>
          <w:rFonts w:ascii="Times New Roman" w:hAnsi="Times New Roman" w:eastAsia="宋体" w:cs="Times New Roman"/>
          <w:kern w:val="0"/>
          <w:sz w:val="24"/>
          <w:szCs w:val="24"/>
        </w:rPr>
        <w:t>为25℃，</w:t>
      </w:r>
      <w:r>
        <w:rPr>
          <w:rFonts w:hint="eastAsia" w:ascii="Times New Roman" w:hAnsi="Times New Roman" w:eastAsia="宋体" w:cs="Times New Roman"/>
          <w:kern w:val="0"/>
          <w:sz w:val="24"/>
          <w:szCs w:val="24"/>
        </w:rPr>
        <w:t>酸洗时间为1-3min。酸洗槽每8天更换一次，更换的废槽液通过独立管道送往综合废水处理设施进行处理。酸洗后进行水洗</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两级，</w:t>
      </w:r>
      <w:r>
        <w:rPr>
          <w:rFonts w:hint="eastAsia" w:ascii="Times New Roman" w:hAnsi="Times New Roman" w:eastAsia="宋体" w:cs="Times New Roman"/>
          <w:kern w:val="0"/>
          <w:sz w:val="24"/>
          <w:szCs w:val="24"/>
        </w:rPr>
        <w:t>由两</w:t>
      </w:r>
      <w:r>
        <w:rPr>
          <w:rFonts w:hint="eastAsia" w:ascii="Times New Roman" w:hAnsi="Times New Roman" w:eastAsia="宋体" w:cs="Times New Roman"/>
          <w:kern w:val="0"/>
          <w:sz w:val="24"/>
          <w:szCs w:val="24"/>
          <w:lang w:val="en-US" w:eastAsia="zh-CN"/>
        </w:rPr>
        <w:t>个</w:t>
      </w:r>
      <w:r>
        <w:rPr>
          <w:rFonts w:hint="eastAsia" w:ascii="Times New Roman" w:hAnsi="Times New Roman" w:eastAsia="宋体" w:cs="Times New Roman"/>
          <w:kern w:val="0"/>
          <w:sz w:val="24"/>
          <w:szCs w:val="24"/>
        </w:rPr>
        <w:t>清洗</w:t>
      </w:r>
      <w:r>
        <w:rPr>
          <w:rFonts w:hint="eastAsia" w:ascii="Times New Roman" w:hAnsi="Times New Roman" w:eastAsia="宋体" w:cs="Times New Roman"/>
          <w:kern w:val="0"/>
          <w:sz w:val="24"/>
          <w:szCs w:val="24"/>
          <w:lang w:val="en-US" w:eastAsia="zh-CN"/>
        </w:rPr>
        <w:t>水</w:t>
      </w:r>
      <w:r>
        <w:rPr>
          <w:rFonts w:hint="eastAsia" w:ascii="Times New Roman" w:hAnsi="Times New Roman" w:eastAsia="宋体" w:cs="Times New Roman"/>
          <w:kern w:val="0"/>
          <w:sz w:val="24"/>
          <w:szCs w:val="24"/>
        </w:rPr>
        <w:t>槽串联组成，在二级槽内进水，从一级槽内排水，其水流方向与镀件清洗方向相反</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rPr>
        <w:t>废水从</w:t>
      </w:r>
      <w:r>
        <w:rPr>
          <w:rFonts w:hint="eastAsia" w:ascii="Times New Roman" w:hAnsi="Times New Roman" w:eastAsia="宋体" w:cs="Times New Roman"/>
          <w:kern w:val="0"/>
          <w:sz w:val="24"/>
          <w:szCs w:val="24"/>
          <w:lang w:val="en-US" w:eastAsia="zh-CN"/>
        </w:rPr>
        <w:t>一级</w:t>
      </w:r>
      <w:r>
        <w:rPr>
          <w:rFonts w:hint="eastAsia" w:ascii="Times New Roman" w:hAnsi="Times New Roman" w:eastAsia="宋体" w:cs="Times New Roman"/>
          <w:kern w:val="0"/>
          <w:sz w:val="24"/>
          <w:szCs w:val="24"/>
        </w:rPr>
        <w:t>水洗槽槽头连续溢流排放，经独立管道送往综合废水处理设施进行处理；为保证槽液水质，水洗槽的水每3个月</w:t>
      </w:r>
      <w:r>
        <w:rPr>
          <w:rFonts w:hint="eastAsia" w:ascii="Times New Roman" w:hAnsi="Times New Roman" w:eastAsia="宋体" w:cs="Times New Roman"/>
          <w:kern w:val="0"/>
          <w:sz w:val="24"/>
          <w:szCs w:val="24"/>
          <w:lang w:val="en-US" w:eastAsia="zh-CN"/>
        </w:rPr>
        <w:t>彻底</w:t>
      </w:r>
      <w:r>
        <w:rPr>
          <w:rFonts w:hint="eastAsia" w:ascii="Times New Roman" w:hAnsi="Times New Roman" w:eastAsia="宋体" w:cs="Times New Roman"/>
          <w:kern w:val="0"/>
          <w:sz w:val="24"/>
          <w:szCs w:val="24"/>
        </w:rPr>
        <w:t>更换一次，废水经独立管道送往综合废水处理设施进行处理。</w:t>
      </w:r>
    </w:p>
    <w:p w14:paraId="37EBB67F">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酸洗</w:t>
      </w:r>
      <w:r>
        <w:rPr>
          <w:rFonts w:hint="eastAsia" w:ascii="Times New Roman" w:hAnsi="Times New Roman" w:eastAsia="宋体" w:cs="Times New Roman"/>
          <w:kern w:val="0"/>
          <w:sz w:val="24"/>
          <w:szCs w:val="24"/>
        </w:rPr>
        <w:t>活化槽液中主要为硫酸溶液，活化过程中会产生少量酸性气体（硫酸雾），废气采用生产线整体封闭抽风、槽边抽风装置进行收集，收集后引入两级碱喷淋吸收塔进行处理，尾气经15m高排气筒排放。</w:t>
      </w:r>
    </w:p>
    <w:p w14:paraId="4D344C40">
      <w:pPr>
        <w:adjustRightInd w:val="0"/>
        <w:snapToGrid w:val="0"/>
        <w:spacing w:line="520" w:lineRule="exact"/>
        <w:ind w:firstLine="480" w:firstLineChars="200"/>
        <w:textAlignment w:val="baseline"/>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交换滚筒：</w:t>
      </w:r>
      <w:r>
        <w:rPr>
          <w:rFonts w:hint="eastAsia" w:ascii="Times New Roman" w:hAnsi="Times New Roman" w:eastAsia="宋体" w:cs="Times New Roman"/>
          <w:kern w:val="0"/>
          <w:sz w:val="24"/>
          <w:szCs w:val="24"/>
        </w:rPr>
        <w:t>水洗后将盛有工件的滚筒打开，利用行车自动将电池钢壳倒入电镀专用滚筒内，避免后续电镀过程中由于滚筒上附带重金属，进而污染电镀前各工序的槽液；电镀前和电镀后的滚筒独立使用，因而不存在电镀前工序含有重金属污染物。转换桶过程在生产线上方进行，下方为水洗槽，转换过程中工件滴落废水经下方槽收集后与水洗废水一块送往综合废水处理设施进行处理。</w:t>
      </w:r>
    </w:p>
    <w:p w14:paraId="7939F4F2">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5、镀镍：</w:t>
      </w:r>
      <w:r>
        <w:rPr>
          <w:rFonts w:hint="eastAsia" w:ascii="Times New Roman" w:hAnsi="Times New Roman" w:eastAsia="宋体" w:cs="Times New Roman"/>
          <w:kern w:val="0"/>
          <w:sz w:val="24"/>
          <w:szCs w:val="24"/>
        </w:rPr>
        <w:t>酸洗后的钢壳进入电镀槽进行镀镍，本项目采用滚镀方式进行镀镍。</w:t>
      </w:r>
    </w:p>
    <w:p w14:paraId="6BFAB435">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电镀槽液组分包括：硫酸镍（200-250g/L）、氯化镍（45-50g/L）、硼酸（45-50g/L）、光亮剂（0.3-0.5g/L）、柔软剂（6-8mg/L）。其中，光亮剂中含有的丁炔二醇为有机物（其含量为1-6mg/L），有少量的挥发，但光亮剂年用量仅0.1t/a，槽液中浓度较低，且多数物料均与工件发生作用，通过挥发进入大气的量很小，可忽略。柔软剂主要成分为糖精钠，不含挥发性物质。硫酸镍、氯化镍、硼酸需定时添加，具体需要分析滴定后按比例添加，电镀镍的温度为5</w:t>
      </w:r>
      <w:r>
        <w:rPr>
          <w:rFonts w:ascii="Times New Roman" w:hAnsi="Times New Roman" w:eastAsia="宋体" w:cs="Times New Roman"/>
          <w:kern w:val="0"/>
          <w:sz w:val="24"/>
          <w:szCs w:val="24"/>
        </w:rPr>
        <w:t>0-55℃（</w:t>
      </w:r>
      <w:r>
        <w:rPr>
          <w:rFonts w:hint="eastAsia" w:ascii="Times New Roman" w:hAnsi="Times New Roman" w:eastAsia="宋体" w:cs="Times New Roman"/>
          <w:kern w:val="0"/>
          <w:sz w:val="24"/>
          <w:szCs w:val="24"/>
        </w:rPr>
        <w:t>采用蒸汽加热）、镀镍槽pH值为4.8-5.2。</w:t>
      </w:r>
    </w:p>
    <w:p w14:paraId="1445260E">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钢壳电镀时电流密度为2-9A/dm</w:t>
      </w:r>
      <w:r>
        <w:rPr>
          <w:rFonts w:hint="eastAsia" w:ascii="Times New Roman" w:hAnsi="Times New Roman" w:eastAsia="宋体" w:cs="Times New Roman"/>
          <w:kern w:val="0"/>
          <w:sz w:val="24"/>
          <w:szCs w:val="24"/>
          <w:vertAlign w:val="superscript"/>
        </w:rPr>
        <w:t>2</w:t>
      </w:r>
      <w:r>
        <w:rPr>
          <w:rFonts w:hint="eastAsia" w:ascii="Times New Roman" w:hAnsi="Times New Roman" w:eastAsia="宋体" w:cs="Times New Roman"/>
          <w:kern w:val="0"/>
          <w:sz w:val="24"/>
          <w:szCs w:val="24"/>
        </w:rPr>
        <w:t>，电镀时间为</w:t>
      </w:r>
      <w:r>
        <w:rPr>
          <w:rFonts w:ascii="Times New Roman" w:hAnsi="Times New Roman" w:eastAsia="宋体" w:cs="Times New Roman"/>
          <w:kern w:val="0"/>
          <w:sz w:val="24"/>
          <w:szCs w:val="24"/>
        </w:rPr>
        <w:t>110-120min</w:t>
      </w:r>
      <w:r>
        <w:rPr>
          <w:rFonts w:hint="eastAsia" w:ascii="Times New Roman" w:hAnsi="Times New Roman" w:eastAsia="宋体" w:cs="Times New Roman"/>
          <w:kern w:val="0"/>
          <w:sz w:val="24"/>
          <w:szCs w:val="24"/>
        </w:rPr>
        <w:t>，钢壳镀层厚度约为2微米。在电镀过程中以硫酸镍作为主盐，氯化镍作为阳极活化剂，硼酸作为缓冲剂。在电镀过程中以镍板为阳极，钢壳为阴极，含镍溶液为交换介质，反应原理如下：</w:t>
      </w:r>
    </w:p>
    <w:p w14:paraId="6CB4CA02">
      <w:pPr>
        <w:adjustRightInd w:val="0"/>
        <w:snapToGrid w:val="0"/>
        <w:spacing w:line="520" w:lineRule="exact"/>
        <w:ind w:firstLine="0" w:firstLineChars="0"/>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阴极：Ni</w:t>
      </w:r>
      <w:r>
        <w:rPr>
          <w:rFonts w:hint="eastAsia" w:ascii="Times New Roman" w:hAnsi="Times New Roman" w:eastAsia="宋体" w:cs="Times New Roman"/>
          <w:kern w:val="0"/>
          <w:sz w:val="24"/>
          <w:szCs w:val="24"/>
          <w:vertAlign w:val="superscript"/>
        </w:rPr>
        <w:t>2+</w:t>
      </w:r>
      <w:r>
        <w:rPr>
          <w:rFonts w:hint="eastAsia" w:ascii="Times New Roman" w:hAnsi="Times New Roman" w:eastAsia="宋体" w:cs="Times New Roman"/>
          <w:kern w:val="0"/>
          <w:sz w:val="24"/>
          <w:szCs w:val="24"/>
        </w:rPr>
        <w:t xml:space="preserve"> + 2e = Ni</w:t>
      </w:r>
    </w:p>
    <w:p w14:paraId="3ED328CC">
      <w:pPr>
        <w:adjustRightInd w:val="0"/>
        <w:snapToGrid w:val="0"/>
        <w:spacing w:line="520" w:lineRule="exact"/>
        <w:ind w:firstLine="0" w:firstLineChars="0"/>
        <w:jc w:val="center"/>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阳极：Ni - 2e = Ni</w:t>
      </w:r>
      <w:r>
        <w:rPr>
          <w:rFonts w:hint="eastAsia" w:ascii="Times New Roman" w:hAnsi="Times New Roman" w:eastAsia="宋体" w:cs="Times New Roman"/>
          <w:kern w:val="0"/>
          <w:sz w:val="24"/>
          <w:szCs w:val="24"/>
          <w:vertAlign w:val="superscript"/>
        </w:rPr>
        <w:t>2+</w:t>
      </w:r>
    </w:p>
    <w:p w14:paraId="2CD76E53">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电镀槽配套有镀液过滤设备，镀槽槽头溢流出的镀液经管道送入槽液过滤设备，经过滤、沉淀除杂后再通过槽尾返回至镀槽内，以此循环往复，此过程会产生镀槽残渣、废滤芯和废活性炭，属于危险废物。</w:t>
      </w:r>
    </w:p>
    <w:p w14:paraId="6CB04499">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镀镍后</w:t>
      </w:r>
      <w:r>
        <w:rPr>
          <w:rFonts w:hint="eastAsia" w:ascii="Times New Roman" w:hAnsi="Times New Roman" w:eastAsia="宋体" w:cs="Times New Roman"/>
          <w:kern w:val="0"/>
          <w:sz w:val="24"/>
          <w:szCs w:val="20"/>
        </w:rPr>
        <w:t>设置回收槽对</w:t>
      </w:r>
      <w:r>
        <w:rPr>
          <w:rFonts w:hint="eastAsia" w:ascii="Times New Roman" w:hAnsi="Times New Roman" w:eastAsia="宋体" w:cs="Times New Roman"/>
          <w:kern w:val="0"/>
          <w:sz w:val="24"/>
          <w:szCs w:val="24"/>
        </w:rPr>
        <w:t>钢壳</w:t>
      </w:r>
      <w:r>
        <w:rPr>
          <w:rFonts w:hint="eastAsia" w:ascii="Times New Roman" w:hAnsi="Times New Roman" w:eastAsia="宋体" w:cs="Times New Roman"/>
          <w:kern w:val="0"/>
          <w:sz w:val="24"/>
          <w:szCs w:val="20"/>
        </w:rPr>
        <w:t>带出的电镀液进行回收</w:t>
      </w:r>
      <w:r>
        <w:rPr>
          <w:rFonts w:hint="eastAsia" w:ascii="Times New Roman" w:hAnsi="Times New Roman" w:eastAsia="宋体" w:cs="Times New Roman"/>
          <w:kern w:val="0"/>
          <w:sz w:val="24"/>
          <w:szCs w:val="24"/>
        </w:rPr>
        <w:t>，以去除钢壳表面残留的镀液，</w:t>
      </w:r>
      <w:r>
        <w:rPr>
          <w:rFonts w:hint="eastAsia" w:ascii="Times New Roman" w:hAnsi="Times New Roman" w:eastAsia="宋体" w:cs="Times New Roman"/>
          <w:kern w:val="0"/>
          <w:sz w:val="24"/>
          <w:szCs w:val="20"/>
        </w:rPr>
        <w:t>回收槽液长时间使用浓度较高时</w:t>
      </w:r>
      <w:r>
        <w:rPr>
          <w:rFonts w:hint="eastAsia" w:ascii="Times New Roman" w:hAnsi="Times New Roman" w:eastAsia="宋体" w:cs="Times New Roman"/>
          <w:kern w:val="0"/>
          <w:sz w:val="24"/>
          <w:szCs w:val="24"/>
        </w:rPr>
        <w:t>回流至电镀槽补充其蒸发消耗。镀槽槽液不更换，定期补充槽液物质及水。</w:t>
      </w:r>
    </w:p>
    <w:p w14:paraId="1E77AB6F">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镀镍回收后的钢壳</w:t>
      </w:r>
      <w:r>
        <w:rPr>
          <w:rFonts w:hint="eastAsia" w:ascii="Times New Roman" w:hAnsi="Times New Roman" w:eastAsia="宋体" w:cs="Times New Roman"/>
          <w:kern w:val="0"/>
          <w:sz w:val="24"/>
          <w:szCs w:val="24"/>
          <w:lang w:val="en-US" w:eastAsia="zh-CN"/>
        </w:rPr>
        <w:t>进入水洗槽，</w:t>
      </w:r>
      <w:r>
        <w:rPr>
          <w:rFonts w:hint="eastAsia" w:ascii="Times New Roman" w:hAnsi="Times New Roman" w:eastAsia="宋体" w:cs="Times New Roman"/>
          <w:kern w:val="0"/>
          <w:sz w:val="24"/>
          <w:szCs w:val="24"/>
        </w:rPr>
        <w:t>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水洗，废水从水洗槽槽头连续溢流排放，废水通过独立管道送至含镍废水处理设施；为保证槽液水质，水洗槽的水每3个月全部更换一次，废水经独立管道送往含镍废水处理设施进行处理。</w:t>
      </w:r>
    </w:p>
    <w:p w14:paraId="768949E9">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6、漂白：</w:t>
      </w:r>
      <w:r>
        <w:rPr>
          <w:rFonts w:hint="eastAsia" w:ascii="Times New Roman" w:hAnsi="Times New Roman" w:eastAsia="宋体" w:cs="Times New Roman"/>
          <w:kern w:val="0"/>
          <w:sz w:val="24"/>
          <w:szCs w:val="24"/>
        </w:rPr>
        <w:t>镀镍后的钢壳经水洗后因氧化导致表面微微发黄，这时需进行漂白，保证产品外观质量。漂白槽液为一水柠檬酸（15g/L）和酒石酸（8g/L），温度控</w:t>
      </w:r>
      <w:r>
        <w:rPr>
          <w:rFonts w:ascii="Times New Roman" w:hAnsi="Times New Roman" w:eastAsia="宋体" w:cs="Times New Roman"/>
          <w:kern w:val="0"/>
          <w:sz w:val="24"/>
          <w:szCs w:val="24"/>
        </w:rPr>
        <w:t>制25℃，时间为</w:t>
      </w:r>
      <w:r>
        <w:rPr>
          <w:rFonts w:hint="eastAsia" w:ascii="Times New Roman" w:hAnsi="Times New Roman" w:eastAsia="宋体" w:cs="Times New Roman"/>
          <w:kern w:val="0"/>
          <w:sz w:val="24"/>
          <w:szCs w:val="24"/>
        </w:rPr>
        <w:t>2-5min。漂白槽液每天更换1/5，漂白废水经独立管道送往综合废水处理设施进行处理。漂白后进行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水洗，废水从水洗槽槽头连续溢流排放，经独立管道送往综合废水处理设施进行处理；为保证槽液水质，水洗槽的水每3个月更换一次，废水经独立管道送往综合废水处理设施进行处理。</w:t>
      </w:r>
    </w:p>
    <w:p w14:paraId="489B2304">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lang w:val="en-US" w:eastAsia="zh-CN"/>
        </w:rPr>
        <w:t>7、钝化前中和：</w:t>
      </w:r>
      <w:r>
        <w:rPr>
          <w:rFonts w:hint="eastAsia" w:ascii="Times New Roman" w:hAnsi="Times New Roman" w:eastAsia="宋体" w:cs="Times New Roman"/>
          <w:kern w:val="0"/>
          <w:sz w:val="24"/>
          <w:szCs w:val="24"/>
          <w:lang w:val="en-US" w:eastAsia="zh-CN"/>
        </w:rPr>
        <w:t>为防止漂泊槽液进入后续钝化槽</w:t>
      </w:r>
      <w:r>
        <w:rPr>
          <w:rFonts w:hint="eastAsia" w:ascii="Times New Roman" w:hAnsi="Times New Roman" w:eastAsia="宋体" w:cs="Times New Roman"/>
          <w:kern w:val="0"/>
          <w:sz w:val="24"/>
          <w:szCs w:val="24"/>
        </w:rPr>
        <w:t>，这时需进行中和去除。中和槽液为20-30g/L氢氧化钠，呈碱性，时间为</w:t>
      </w:r>
      <w:r>
        <w:rPr>
          <w:rFonts w:hint="eastAsia" w:ascii="Times New Roman" w:hAnsi="Times New Roman" w:eastAsia="宋体" w:cs="Times New Roman"/>
          <w:kern w:val="0"/>
          <w:sz w:val="24"/>
          <w:szCs w:val="24"/>
          <w:lang w:val="en-US" w:eastAsia="zh-CN"/>
        </w:rPr>
        <w:t>1</w:t>
      </w:r>
      <w:r>
        <w:rPr>
          <w:rFonts w:hint="eastAsia" w:ascii="Times New Roman" w:hAnsi="Times New Roman" w:eastAsia="宋体" w:cs="Times New Roman"/>
          <w:kern w:val="0"/>
          <w:sz w:val="24"/>
          <w:szCs w:val="24"/>
        </w:rPr>
        <w:t>-</w:t>
      </w:r>
      <w:r>
        <w:rPr>
          <w:rFonts w:hint="eastAsia" w:ascii="Times New Roman" w:hAnsi="Times New Roman" w:eastAsia="宋体" w:cs="Times New Roman"/>
          <w:kern w:val="0"/>
          <w:sz w:val="24"/>
          <w:szCs w:val="24"/>
          <w:lang w:val="en-US" w:eastAsia="zh-CN"/>
        </w:rPr>
        <w:t>2</w:t>
      </w:r>
      <w:r>
        <w:rPr>
          <w:rFonts w:hint="eastAsia" w:ascii="Times New Roman" w:hAnsi="Times New Roman" w:eastAsia="宋体" w:cs="Times New Roman"/>
          <w:kern w:val="0"/>
          <w:sz w:val="24"/>
          <w:szCs w:val="24"/>
        </w:rPr>
        <w:t>min，温</w:t>
      </w:r>
      <w:r>
        <w:rPr>
          <w:rFonts w:ascii="Times New Roman" w:hAnsi="Times New Roman" w:eastAsia="宋体" w:cs="Times New Roman"/>
          <w:kern w:val="0"/>
          <w:sz w:val="24"/>
          <w:szCs w:val="24"/>
        </w:rPr>
        <w:t>度为25℃</w:t>
      </w:r>
      <w:r>
        <w:rPr>
          <w:rFonts w:hint="eastAsia" w:ascii="Times New Roman" w:hAnsi="Times New Roman" w:eastAsia="宋体" w:cs="Times New Roman"/>
          <w:kern w:val="0"/>
          <w:sz w:val="24"/>
          <w:szCs w:val="24"/>
        </w:rPr>
        <w:t>。槽液每天更换1/5，废水经独立管道送往综合废水处理设施进行处理。</w:t>
      </w:r>
    </w:p>
    <w:p w14:paraId="70F3CA52">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中和后进行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水洗，废水从水洗槽槽头连续溢流排放，经独立管道送至综合废水处理设施；为保证槽液的水质，水洗槽的水每3个月全部更换一次，废水经独立管道送至综合废水处理设施进行处理。</w:t>
      </w:r>
    </w:p>
    <w:p w14:paraId="49181BCF">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7、钝化：</w:t>
      </w:r>
      <w:r>
        <w:rPr>
          <w:rFonts w:hint="eastAsia" w:ascii="Times New Roman" w:hAnsi="Times New Roman" w:eastAsia="宋体" w:cs="Times New Roman"/>
          <w:kern w:val="0"/>
          <w:sz w:val="24"/>
          <w:szCs w:val="24"/>
        </w:rPr>
        <w:t>为提高钢壳的防护能力和外观装饰，镀镍后的钢壳需再进入钝化槽中进行钝化。本项目钝化剂主要为硝酸铬溶液，钝化时间为2-5min，温度</w:t>
      </w:r>
      <w:r>
        <w:rPr>
          <w:rFonts w:ascii="Times New Roman" w:hAnsi="Times New Roman" w:eastAsia="宋体" w:cs="Times New Roman"/>
          <w:kern w:val="0"/>
          <w:sz w:val="24"/>
          <w:szCs w:val="24"/>
        </w:rPr>
        <w:t>为25℃</w:t>
      </w:r>
      <w:r>
        <w:rPr>
          <w:rFonts w:hint="eastAsia" w:ascii="Times New Roman" w:hAnsi="Times New Roman" w:eastAsia="宋体" w:cs="Times New Roman"/>
          <w:kern w:val="0"/>
          <w:sz w:val="24"/>
          <w:szCs w:val="24"/>
        </w:rPr>
        <w:t>。钝化槽液每1个月更换一次，废水经独立管道送至含铬废水处理设施进行处理。</w:t>
      </w:r>
    </w:p>
    <w:p w14:paraId="62D6117F">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钝化后工件进行</w:t>
      </w:r>
      <w:r>
        <w:rPr>
          <w:rFonts w:hint="eastAsia" w:ascii="Times New Roman" w:hAnsi="Times New Roman" w:eastAsia="宋体" w:cs="Times New Roman"/>
          <w:kern w:val="0"/>
          <w:sz w:val="24"/>
          <w:szCs w:val="24"/>
          <w:lang w:val="en-US" w:eastAsia="zh-CN"/>
        </w:rPr>
        <w:t>三级逆流</w:t>
      </w:r>
      <w:r>
        <w:rPr>
          <w:rFonts w:hint="eastAsia" w:ascii="Times New Roman" w:hAnsi="Times New Roman" w:eastAsia="宋体" w:cs="Times New Roman"/>
          <w:kern w:val="0"/>
          <w:sz w:val="24"/>
          <w:szCs w:val="24"/>
        </w:rPr>
        <w:t>水洗，是由三级清洗槽串联组成，在</w:t>
      </w:r>
      <w:r>
        <w:rPr>
          <w:rFonts w:hint="eastAsia" w:ascii="Times New Roman" w:hAnsi="Times New Roman" w:eastAsia="宋体" w:cs="Times New Roman"/>
          <w:kern w:val="0"/>
          <w:sz w:val="24"/>
          <w:szCs w:val="24"/>
          <w:lang w:val="en-US" w:eastAsia="zh-CN"/>
        </w:rPr>
        <w:t>第</w:t>
      </w:r>
      <w:r>
        <w:rPr>
          <w:rFonts w:hint="eastAsia" w:ascii="Times New Roman" w:hAnsi="Times New Roman" w:eastAsia="宋体" w:cs="Times New Roman"/>
          <w:kern w:val="0"/>
          <w:sz w:val="24"/>
          <w:szCs w:val="24"/>
        </w:rPr>
        <w:t>三级槽内进水，从</w:t>
      </w:r>
      <w:r>
        <w:rPr>
          <w:rFonts w:hint="eastAsia" w:ascii="Times New Roman" w:hAnsi="Times New Roman" w:eastAsia="宋体" w:cs="Times New Roman"/>
          <w:kern w:val="0"/>
          <w:sz w:val="24"/>
          <w:szCs w:val="24"/>
          <w:lang w:val="en-US" w:eastAsia="zh-CN"/>
        </w:rPr>
        <w:t>第</w:t>
      </w:r>
      <w:r>
        <w:rPr>
          <w:rFonts w:hint="eastAsia" w:ascii="Times New Roman" w:hAnsi="Times New Roman" w:eastAsia="宋体" w:cs="Times New Roman"/>
          <w:kern w:val="0"/>
          <w:sz w:val="24"/>
          <w:szCs w:val="24"/>
        </w:rPr>
        <w:t>一级槽内排水，其水流方向与镀件清洗方向相反。废水从槽头连续溢流排放，经独立管道送至含铬废水处理设施；为保证槽液的水质，水洗槽的水每3个月更换一次，废水经独立管道送至含铬废水处理设施进行处理。</w:t>
      </w:r>
    </w:p>
    <w:p w14:paraId="16ACF5E4">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 xml:space="preserve">根据《污染源源强核算技术指南 </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电镀》（HJ984-2018），常温下低铬酸及其盐溶液中钝化溶液产生的铬酸雾可忽略，本项目钝化液为硝酸铬溶液，属于三价铬钝化，且在常温下进行生产，因此本项目钝化产生的铬酸雾可忽略。为了进一步减少废气影响，本项目钝化产生的铬酸雾经过生产线整体密闭、槽边抽风装置收集，收集后引入两级碱喷淋吸收塔进行处理，尾气经15m高排气筒排放。</w:t>
      </w:r>
    </w:p>
    <w:p w14:paraId="42095485">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8、中和：</w:t>
      </w:r>
      <w:bookmarkStart w:id="388" w:name="OLE_LINK3"/>
      <w:r>
        <w:rPr>
          <w:rFonts w:hint="eastAsia" w:ascii="Times New Roman" w:hAnsi="Times New Roman" w:eastAsia="宋体" w:cs="Times New Roman"/>
          <w:kern w:val="0"/>
          <w:sz w:val="24"/>
          <w:szCs w:val="24"/>
        </w:rPr>
        <w:t>钢壳经过钝化后，内孔会残余酸性液体，这时需进行中和去除。中和槽液为20-30g/L氢氧化钠，呈碱性，时间为2-3min，温</w:t>
      </w:r>
      <w:r>
        <w:rPr>
          <w:rFonts w:ascii="Times New Roman" w:hAnsi="Times New Roman" w:eastAsia="宋体" w:cs="Times New Roman"/>
          <w:kern w:val="0"/>
          <w:sz w:val="24"/>
          <w:szCs w:val="24"/>
        </w:rPr>
        <w:t>度为25℃</w:t>
      </w:r>
      <w:r>
        <w:rPr>
          <w:rFonts w:hint="eastAsia" w:ascii="Times New Roman" w:hAnsi="Times New Roman" w:eastAsia="宋体" w:cs="Times New Roman"/>
          <w:kern w:val="0"/>
          <w:sz w:val="24"/>
          <w:szCs w:val="24"/>
        </w:rPr>
        <w:t>。槽液每天更换1/5，废水经独立管道送往综合废水处理设施进行处理。</w:t>
      </w:r>
    </w:p>
    <w:p w14:paraId="2A1F9299">
      <w:pPr>
        <w:adjustRightInd w:val="0"/>
        <w:snapToGrid w:val="0"/>
        <w:spacing w:line="520" w:lineRule="exact"/>
        <w:ind w:firstLine="480" w:firstLineChars="200"/>
        <w:textAlignment w:val="baseline"/>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中和后进行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水洗，废水从水洗槽槽头连续溢流排放，经独立管道送至综合废水处理设施；为保证槽液的水质，水洗槽的水每3个月全部更换一次，废水经独立管道送至综合废水处理设施进行处理。</w:t>
      </w:r>
    </w:p>
    <w:p w14:paraId="1842EC7A">
      <w:pPr>
        <w:adjustRightInd w:val="0"/>
        <w:snapToGrid w:val="0"/>
        <w:spacing w:line="520" w:lineRule="exact"/>
        <w:ind w:firstLine="480" w:firstLineChars="200"/>
        <w:textAlignment w:val="baseline"/>
        <w:rPr>
          <w:rFonts w:hint="eastAsia" w:ascii="Times New Roman" w:hAnsi="Times New Roman" w:eastAsia="宋体" w:cs="Times New Roman"/>
          <w:kern w:val="0"/>
          <w:sz w:val="24"/>
          <w:szCs w:val="24"/>
          <w:highlight w:val="yellow"/>
        </w:rPr>
      </w:pPr>
      <w:r>
        <w:rPr>
          <w:rFonts w:hint="eastAsia" w:ascii="Times New Roman" w:hAnsi="Times New Roman" w:eastAsia="宋体" w:cs="Times New Roman"/>
          <w:kern w:val="0"/>
          <w:sz w:val="24"/>
          <w:szCs w:val="24"/>
          <w:lang w:val="en-US" w:eastAsia="zh-CN"/>
        </w:rPr>
        <w:t>交换滚筒：</w:t>
      </w:r>
      <w:r>
        <w:rPr>
          <w:rFonts w:hint="eastAsia" w:ascii="Times New Roman" w:hAnsi="Times New Roman" w:eastAsia="宋体" w:cs="Times New Roman"/>
          <w:kern w:val="0"/>
          <w:sz w:val="24"/>
          <w:szCs w:val="24"/>
        </w:rPr>
        <w:t>水洗后将盛有工件的滚筒打开，利用行车自动将电池钢壳倒入电镀专用滚筒内，避免后续过程中由于滚筒上附带重金属，进而污染前</w:t>
      </w:r>
      <w:r>
        <w:rPr>
          <w:rFonts w:hint="eastAsia" w:ascii="Times New Roman" w:hAnsi="Times New Roman" w:eastAsia="宋体" w:cs="Times New Roman"/>
          <w:kern w:val="0"/>
          <w:sz w:val="24"/>
          <w:szCs w:val="24"/>
          <w:lang w:val="en-US" w:eastAsia="zh-CN"/>
        </w:rPr>
        <w:t>面</w:t>
      </w:r>
      <w:r>
        <w:rPr>
          <w:rFonts w:hint="eastAsia" w:ascii="Times New Roman" w:hAnsi="Times New Roman" w:eastAsia="宋体" w:cs="Times New Roman"/>
          <w:kern w:val="0"/>
          <w:sz w:val="24"/>
          <w:szCs w:val="24"/>
        </w:rPr>
        <w:t>工序的槽液；转换桶过程在生产线上方进行，下方为水洗槽，转换过程中工件滴落废水经下方槽收集后与水洗废水一块送往综合废水处理设施进行处理。</w:t>
      </w:r>
      <w:r>
        <w:rPr>
          <w:rFonts w:hint="eastAsia" w:ascii="Times New Roman" w:hAnsi="Times New Roman" w:eastAsia="宋体" w:cs="Times New Roman"/>
          <w:kern w:val="0"/>
          <w:sz w:val="24"/>
          <w:szCs w:val="24"/>
          <w:lang w:val="en-US" w:eastAsia="zh-CN"/>
        </w:rPr>
        <w:t>交换滚筒</w:t>
      </w:r>
      <w:r>
        <w:rPr>
          <w:rFonts w:hint="eastAsia" w:ascii="Times New Roman" w:hAnsi="Times New Roman" w:eastAsia="宋体" w:cs="Times New Roman"/>
          <w:kern w:val="0"/>
          <w:sz w:val="24"/>
          <w:szCs w:val="24"/>
        </w:rPr>
        <w:t>后</w:t>
      </w:r>
      <w:r>
        <w:rPr>
          <w:rFonts w:hint="eastAsia" w:ascii="Times New Roman" w:hAnsi="Times New Roman" w:eastAsia="宋体" w:cs="Times New Roman"/>
          <w:kern w:val="0"/>
          <w:sz w:val="24"/>
          <w:szCs w:val="24"/>
          <w:lang w:val="en-US" w:eastAsia="zh-CN"/>
        </w:rPr>
        <w:t>再</w:t>
      </w:r>
      <w:r>
        <w:rPr>
          <w:rFonts w:hint="eastAsia" w:ascii="Times New Roman" w:hAnsi="Times New Roman" w:eastAsia="宋体" w:cs="Times New Roman"/>
          <w:kern w:val="0"/>
          <w:sz w:val="24"/>
          <w:szCs w:val="24"/>
        </w:rPr>
        <w:t>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水洗，废水从水洗槽槽头连续溢流排放，经独立管道送至综合废水处理设施；为保证槽液的水质，水洗槽的水每3个月全部更换一次，废水经独立管道送至综合废水处理设施进行处理。</w:t>
      </w:r>
    </w:p>
    <w:bookmarkEnd w:id="388"/>
    <w:p w14:paraId="69789659">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9、封闭：</w:t>
      </w:r>
      <w:r>
        <w:rPr>
          <w:rFonts w:hint="eastAsia" w:ascii="Times New Roman" w:hAnsi="Times New Roman" w:eastAsia="宋体" w:cs="Times New Roman"/>
          <w:kern w:val="0"/>
          <w:sz w:val="24"/>
          <w:szCs w:val="24"/>
        </w:rPr>
        <w:t>中和后的钢壳进行封闭处理，封闭目的防止产品生锈，增加其防锈抗盐雾能力。向槽液中加入2%-5%的封闭剂使工件表面形成一层防锈膜，温度控制在4</w:t>
      </w:r>
      <w:r>
        <w:rPr>
          <w:rFonts w:ascii="Times New Roman" w:hAnsi="Times New Roman" w:eastAsia="宋体" w:cs="Times New Roman"/>
          <w:kern w:val="0"/>
          <w:sz w:val="24"/>
          <w:szCs w:val="24"/>
        </w:rPr>
        <w:t>0-50℃</w:t>
      </w:r>
      <w:r>
        <w:rPr>
          <w:rFonts w:hint="eastAsia" w:ascii="Times New Roman" w:hAnsi="Times New Roman" w:eastAsia="宋体" w:cs="Times New Roman"/>
          <w:kern w:val="0"/>
          <w:sz w:val="24"/>
          <w:szCs w:val="24"/>
        </w:rPr>
        <w:t>（采用蒸汽加热），时间为2-5min。封闭槽液每1个月更换一次，废水经独立管道送至综合废水处理设施进行处理。</w:t>
      </w:r>
    </w:p>
    <w:p w14:paraId="5472043F">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封闭后进行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水洗，废水从槽头连续溢流排放，经独立管道送至综合污水处理站；为保证槽液水质，水洗槽的水每3个月更换一次，废水经独立管道送至综合废水处理设施进行处理。</w:t>
      </w:r>
    </w:p>
    <w:p w14:paraId="7A46824A">
      <w:pPr>
        <w:adjustRightInd w:val="0"/>
        <w:snapToGrid w:val="0"/>
        <w:spacing w:line="520" w:lineRule="exact"/>
        <w:ind w:firstLine="482" w:firstLineChars="200"/>
        <w:textAlignment w:val="baseline"/>
        <w:rPr>
          <w:rFonts w:hint="eastAsia" w:ascii="Times New Roman" w:hAnsi="Times New Roman" w:eastAsia="宋体" w:cs="Times New Roman"/>
          <w:kern w:val="0"/>
          <w:sz w:val="24"/>
          <w:szCs w:val="24"/>
          <w:highlight w:val="yellow"/>
        </w:rPr>
      </w:pPr>
      <w:r>
        <w:rPr>
          <w:rFonts w:hint="eastAsia" w:ascii="Times New Roman" w:hAnsi="Times New Roman" w:eastAsia="宋体" w:cs="Times New Roman"/>
          <w:b/>
          <w:bCs/>
          <w:kern w:val="0"/>
          <w:sz w:val="24"/>
          <w:szCs w:val="24"/>
        </w:rPr>
        <w:t>10、</w:t>
      </w:r>
      <w:r>
        <w:rPr>
          <w:rFonts w:hint="eastAsia" w:ascii="Times New Roman" w:hAnsi="Times New Roman" w:eastAsia="宋体" w:cs="Times New Roman"/>
          <w:b/>
          <w:bCs/>
          <w:kern w:val="0"/>
          <w:sz w:val="24"/>
          <w:szCs w:val="24"/>
          <w:lang w:val="en-US" w:eastAsia="zh-CN"/>
        </w:rPr>
        <w:t>沥干：</w:t>
      </w:r>
      <w:r>
        <w:rPr>
          <w:rFonts w:hint="eastAsia" w:ascii="Times New Roman" w:hAnsi="Times New Roman" w:eastAsia="宋体" w:cs="Times New Roman"/>
          <w:kern w:val="0"/>
          <w:sz w:val="24"/>
          <w:szCs w:val="24"/>
        </w:rPr>
        <w:t>封闭水洗后的钢壳</w:t>
      </w:r>
      <w:r>
        <w:rPr>
          <w:rFonts w:hint="eastAsia" w:ascii="Times New Roman" w:hAnsi="Times New Roman" w:eastAsia="宋体" w:cs="Times New Roman"/>
          <w:kern w:val="0"/>
          <w:sz w:val="24"/>
          <w:szCs w:val="24"/>
          <w:lang w:val="en-US" w:eastAsia="zh-CN"/>
        </w:rPr>
        <w:t>进入沥干槽上方，停留</w:t>
      </w:r>
      <w:r>
        <w:rPr>
          <w:rFonts w:hint="eastAsia" w:ascii="Times New Roman" w:hAnsi="Times New Roman" w:eastAsia="宋体" w:cs="Times New Roman"/>
          <w:kern w:val="0"/>
          <w:sz w:val="24"/>
          <w:szCs w:val="24"/>
        </w:rPr>
        <w:t>时间为2-</w:t>
      </w:r>
      <w:r>
        <w:rPr>
          <w:rFonts w:hint="eastAsia" w:ascii="Times New Roman" w:hAnsi="Times New Roman" w:eastAsia="宋体" w:cs="Times New Roman"/>
          <w:kern w:val="0"/>
          <w:sz w:val="24"/>
          <w:szCs w:val="24"/>
          <w:lang w:val="en-US" w:eastAsia="zh-CN"/>
        </w:rPr>
        <w:t>3</w:t>
      </w:r>
      <w:r>
        <w:rPr>
          <w:rFonts w:hint="eastAsia" w:ascii="Times New Roman" w:hAnsi="Times New Roman" w:eastAsia="宋体" w:cs="Times New Roman"/>
          <w:kern w:val="0"/>
          <w:sz w:val="24"/>
          <w:szCs w:val="24"/>
        </w:rPr>
        <w:t>min。</w:t>
      </w:r>
      <w:r>
        <w:rPr>
          <w:rFonts w:hint="eastAsia" w:ascii="Times New Roman" w:hAnsi="Times New Roman" w:eastAsia="宋体" w:cs="Times New Roman"/>
          <w:kern w:val="0"/>
          <w:sz w:val="24"/>
          <w:szCs w:val="24"/>
          <w:lang w:val="en-US" w:eastAsia="zh-CN"/>
        </w:rPr>
        <w:t>沥水后进行烘干。沥出的</w:t>
      </w:r>
      <w:r>
        <w:rPr>
          <w:rFonts w:hint="eastAsia" w:ascii="Times New Roman" w:hAnsi="Times New Roman" w:eastAsia="宋体" w:cs="Times New Roman"/>
          <w:kern w:val="0"/>
          <w:sz w:val="24"/>
          <w:szCs w:val="24"/>
        </w:rPr>
        <w:t>废水经独立管道送至综合废水处理设施进行处理。</w:t>
      </w:r>
    </w:p>
    <w:p w14:paraId="3D6F909C">
      <w:pPr>
        <w:adjustRightInd w:val="0"/>
        <w:snapToGrid w:val="0"/>
        <w:spacing w:line="520" w:lineRule="exact"/>
        <w:ind w:firstLine="482"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lang w:val="en-US" w:eastAsia="zh-CN"/>
        </w:rPr>
        <w:t>11、</w:t>
      </w:r>
      <w:r>
        <w:rPr>
          <w:rFonts w:hint="eastAsia" w:ascii="Times New Roman" w:hAnsi="Times New Roman" w:eastAsia="宋体" w:cs="Times New Roman"/>
          <w:b/>
          <w:bCs/>
          <w:kern w:val="0"/>
          <w:sz w:val="24"/>
          <w:szCs w:val="24"/>
        </w:rPr>
        <w:t>烘干：</w:t>
      </w:r>
      <w:r>
        <w:rPr>
          <w:rFonts w:hint="eastAsia" w:ascii="Times New Roman" w:hAnsi="Times New Roman" w:eastAsia="宋体" w:cs="Times New Roman"/>
          <w:kern w:val="0"/>
          <w:sz w:val="24"/>
          <w:szCs w:val="24"/>
        </w:rPr>
        <w:t>封闭水洗后的钢壳送至烘箱内进行烘干，烘箱为电烘干箱，烘干温度为120-160</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rPr>
        <w:t>，烘干时间为20-40min，烘干后下挂至晾干槽内自然冷却后即为成品。</w:t>
      </w:r>
    </w:p>
    <w:p w14:paraId="70E9FBE3">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各槽溶液配置采用专门的密闭调配间进行配置，采用自动加药装置向槽体中自动补充槽液。密闭调配间设置密闭抽风装置对溶液配制废气进行收集，收集后引入两级碱喷淋吸收塔进行处理，尾气经15m高排气筒排放。</w:t>
      </w:r>
    </w:p>
    <w:p w14:paraId="7D896C60">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根据上述工艺流程可知，本工程生产过程中的工艺参数见下表。</w:t>
      </w:r>
    </w:p>
    <w:p w14:paraId="53E2ED0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3.2-1</w:t>
      </w:r>
      <w:r>
        <w:rPr>
          <w:rFonts w:hint="eastAsia"/>
        </w:rPr>
        <w:t xml:space="preserve">     本项目工艺参数一览表</w:t>
      </w:r>
    </w:p>
    <w:tbl>
      <w:tblPr>
        <w:tblStyle w:val="39"/>
        <w:tblW w:w="829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4232"/>
        <w:gridCol w:w="2536"/>
      </w:tblGrid>
      <w:tr w14:paraId="57CDF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524" w:type="dxa"/>
            <w:vAlign w:val="center"/>
          </w:tcPr>
          <w:p w14:paraId="3C963293">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eastAsia" w:ascii="Times New Roman" w:hAnsi="Times New Roman" w:eastAsia="宋体" w:cs="宋体"/>
                <w:b/>
                <w:color w:val="auto"/>
                <w:kern w:val="2"/>
                <w:sz w:val="21"/>
                <w:szCs w:val="20"/>
                <w:lang w:val="en-US" w:eastAsia="zh-CN" w:bidi="ar-SA"/>
              </w:rPr>
              <w:t>工段</w:t>
            </w:r>
          </w:p>
        </w:tc>
        <w:tc>
          <w:tcPr>
            <w:tcW w:w="4232" w:type="dxa"/>
            <w:vAlign w:val="center"/>
          </w:tcPr>
          <w:p w14:paraId="23883388">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default" w:ascii="Times New Roman" w:hAnsi="Times New Roman" w:eastAsia="宋体" w:cs="宋体"/>
                <w:b/>
                <w:color w:val="auto"/>
                <w:kern w:val="2"/>
                <w:sz w:val="21"/>
                <w:szCs w:val="20"/>
                <w:lang w:val="en-US" w:eastAsia="zh-CN" w:bidi="ar-SA"/>
              </w:rPr>
              <w:t>槽液</w:t>
            </w:r>
            <w:r>
              <w:rPr>
                <w:rFonts w:hint="eastAsia" w:ascii="Times New Roman" w:hAnsi="Times New Roman" w:eastAsia="宋体" w:cs="宋体"/>
                <w:b/>
                <w:color w:val="auto"/>
                <w:kern w:val="2"/>
                <w:sz w:val="21"/>
                <w:szCs w:val="20"/>
                <w:lang w:val="en-US" w:eastAsia="zh-CN" w:bidi="ar-SA"/>
              </w:rPr>
              <w:t>成分及浓度</w:t>
            </w:r>
          </w:p>
        </w:tc>
        <w:tc>
          <w:tcPr>
            <w:tcW w:w="2536" w:type="dxa"/>
            <w:vAlign w:val="center"/>
          </w:tcPr>
          <w:p w14:paraId="68DD1B62">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eastAsia" w:ascii="Times New Roman" w:hAnsi="Times New Roman" w:eastAsia="宋体" w:cs="宋体"/>
                <w:b/>
                <w:color w:val="auto"/>
                <w:kern w:val="2"/>
                <w:sz w:val="21"/>
                <w:szCs w:val="20"/>
                <w:lang w:val="en-US" w:eastAsia="zh-CN" w:bidi="ar-SA"/>
              </w:rPr>
              <w:t>运行参数</w:t>
            </w:r>
          </w:p>
        </w:tc>
      </w:tr>
      <w:tr w14:paraId="391B4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30855519">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除油</w:t>
            </w:r>
          </w:p>
        </w:tc>
        <w:tc>
          <w:tcPr>
            <w:tcW w:w="4232" w:type="dxa"/>
            <w:vAlign w:val="center"/>
          </w:tcPr>
          <w:p w14:paraId="0A3DED68">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20-30g/L碱性</w:t>
            </w:r>
            <w:r>
              <w:rPr>
                <w:rFonts w:hint="eastAsia" w:ascii="Times New Roman" w:hAnsi="Times New Roman" w:eastAsia="宋体" w:cs="Times New Roman"/>
                <w:sz w:val="21"/>
                <w:szCs w:val="21"/>
                <w:lang w:val="en-US" w:eastAsia="zh-CN" w:bidi="ar-SA"/>
              </w:rPr>
              <w:t>脱脂剂</w:t>
            </w:r>
          </w:p>
        </w:tc>
        <w:tc>
          <w:tcPr>
            <w:tcW w:w="2536" w:type="dxa"/>
            <w:vAlign w:val="center"/>
          </w:tcPr>
          <w:p w14:paraId="5E7C9139">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60</w:t>
            </w:r>
            <w:r>
              <w:rPr>
                <w:rFonts w:hint="eastAsia" w:ascii="Times New Roman" w:hAnsi="Times New Roman" w:eastAsia="宋体" w:cs="Times New Roman"/>
                <w:sz w:val="21"/>
                <w:szCs w:val="21"/>
                <w:lang w:val="en-US" w:eastAsia="zh-CN" w:bidi="ar-SA"/>
              </w:rPr>
              <w:t>-65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3-10</w:t>
            </w:r>
            <w:r>
              <w:rPr>
                <w:rFonts w:hint="eastAsia" w:ascii="Times New Roman" w:hAnsi="Times New Roman" w:eastAsia="宋体" w:cs="Times New Roman"/>
                <w:sz w:val="21"/>
                <w:szCs w:val="21"/>
                <w:lang w:val="en-US" w:eastAsia="zh-CN" w:bidi="ar-SA"/>
              </w:rPr>
              <w:t>min</w:t>
            </w:r>
          </w:p>
        </w:tc>
      </w:tr>
      <w:tr w14:paraId="35F53E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35678E16">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酸洗活化</w:t>
            </w:r>
          </w:p>
        </w:tc>
        <w:tc>
          <w:tcPr>
            <w:tcW w:w="4232" w:type="dxa"/>
            <w:vAlign w:val="center"/>
          </w:tcPr>
          <w:p w14:paraId="173A7A0F">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240</w:t>
            </w:r>
            <w:r>
              <w:rPr>
                <w:rFonts w:hint="default" w:ascii="Times New Roman" w:hAnsi="Times New Roman" w:eastAsia="宋体" w:cs="Times New Roman"/>
                <w:sz w:val="21"/>
                <w:szCs w:val="21"/>
                <w:lang w:val="en-US" w:eastAsia="zh-CN" w:bidi="ar-SA"/>
              </w:rPr>
              <w:t>ml/L(</w:t>
            </w:r>
            <w:r>
              <w:rPr>
                <w:rFonts w:hint="eastAsia" w:ascii="Times New Roman" w:hAnsi="Times New Roman" w:eastAsia="宋体" w:cs="Times New Roman"/>
                <w:sz w:val="21"/>
                <w:szCs w:val="21"/>
                <w:lang w:val="en-US" w:eastAsia="zh-CN" w:bidi="ar-SA"/>
              </w:rPr>
              <w:t>10%</w:t>
            </w:r>
            <w:r>
              <w:rPr>
                <w:rFonts w:hint="default" w:ascii="Times New Roman" w:hAnsi="Times New Roman" w:eastAsia="宋体" w:cs="Times New Roman"/>
                <w:sz w:val="21"/>
                <w:szCs w:val="21"/>
                <w:lang w:val="en-US" w:eastAsia="zh-CN" w:bidi="ar-SA"/>
              </w:rPr>
              <w:t>)硫酸</w:t>
            </w:r>
          </w:p>
        </w:tc>
        <w:tc>
          <w:tcPr>
            <w:tcW w:w="2536" w:type="dxa"/>
            <w:vAlign w:val="center"/>
          </w:tcPr>
          <w:p w14:paraId="522E4E44">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25℃，3-5min</w:t>
            </w:r>
          </w:p>
        </w:tc>
      </w:tr>
      <w:tr w14:paraId="2DA098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524" w:type="dxa"/>
            <w:vAlign w:val="center"/>
          </w:tcPr>
          <w:p w14:paraId="2BB7A6C1">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镀镍</w:t>
            </w:r>
          </w:p>
        </w:tc>
        <w:tc>
          <w:tcPr>
            <w:tcW w:w="4232" w:type="dxa"/>
            <w:vAlign w:val="center"/>
          </w:tcPr>
          <w:p w14:paraId="0646B0CD">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w:t>
            </w:r>
            <w:r>
              <w:rPr>
                <w:rFonts w:hint="eastAsia" w:ascii="Times New Roman" w:hAnsi="Times New Roman" w:eastAsia="宋体" w:cs="Times New Roman"/>
                <w:sz w:val="21"/>
                <w:szCs w:val="21"/>
                <w:lang w:val="en-US" w:eastAsia="zh-CN" w:bidi="ar-SA"/>
              </w:rPr>
              <w:t>00-</w:t>
            </w:r>
            <w:r>
              <w:rPr>
                <w:rFonts w:hint="default" w:ascii="Times New Roman" w:hAnsi="Times New Roman" w:eastAsia="宋体" w:cs="Times New Roman"/>
                <w:sz w:val="21"/>
                <w:szCs w:val="21"/>
                <w:lang w:val="en-US" w:eastAsia="zh-CN" w:bidi="ar-SA"/>
              </w:rPr>
              <w:t>2</w:t>
            </w:r>
            <w:r>
              <w:rPr>
                <w:rFonts w:hint="eastAsia" w:ascii="Times New Roman" w:hAnsi="Times New Roman" w:eastAsia="宋体" w:cs="Times New Roman"/>
                <w:sz w:val="21"/>
                <w:szCs w:val="21"/>
                <w:lang w:val="en-US" w:eastAsia="zh-CN" w:bidi="ar-SA"/>
              </w:rPr>
              <w:t>5</w:t>
            </w:r>
            <w:r>
              <w:rPr>
                <w:rFonts w:hint="default" w:ascii="Times New Roman" w:hAnsi="Times New Roman" w:eastAsia="宋体" w:cs="Times New Roman"/>
                <w:sz w:val="21"/>
                <w:szCs w:val="21"/>
                <w:lang w:val="en-US" w:eastAsia="zh-CN" w:bidi="ar-SA"/>
              </w:rPr>
              <w:t>0g/L硫酸镍、</w:t>
            </w:r>
            <w:r>
              <w:rPr>
                <w:rFonts w:hint="eastAsia" w:ascii="Times New Roman" w:hAnsi="Times New Roman" w:eastAsia="宋体" w:cs="Times New Roman"/>
                <w:sz w:val="21"/>
                <w:szCs w:val="21"/>
                <w:lang w:val="en-US" w:eastAsia="zh-CN" w:bidi="ar-SA"/>
              </w:rPr>
              <w:t>4</w:t>
            </w:r>
            <w:r>
              <w:rPr>
                <w:rFonts w:hint="default" w:ascii="Times New Roman" w:hAnsi="Times New Roman" w:eastAsia="宋体" w:cs="Times New Roman"/>
                <w:sz w:val="21"/>
                <w:szCs w:val="21"/>
                <w:lang w:val="en-US" w:eastAsia="zh-CN" w:bidi="ar-SA"/>
              </w:rPr>
              <w:t>5</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5</w:t>
            </w:r>
            <w:r>
              <w:rPr>
                <w:rFonts w:hint="eastAsia" w:ascii="Times New Roman" w:hAnsi="Times New Roman" w:eastAsia="宋体" w:cs="Times New Roman"/>
                <w:sz w:val="21"/>
                <w:szCs w:val="21"/>
                <w:lang w:val="en-US" w:eastAsia="zh-CN" w:bidi="ar-SA"/>
              </w:rPr>
              <w:t>0</w:t>
            </w:r>
            <w:r>
              <w:rPr>
                <w:rFonts w:hint="default" w:ascii="Times New Roman" w:hAnsi="Times New Roman" w:eastAsia="宋体" w:cs="Times New Roman"/>
                <w:sz w:val="21"/>
                <w:szCs w:val="21"/>
                <w:lang w:val="en-US" w:eastAsia="zh-CN" w:bidi="ar-SA"/>
              </w:rPr>
              <w:t>g/L氯化镍、</w:t>
            </w:r>
            <w:r>
              <w:rPr>
                <w:rFonts w:hint="eastAsia" w:ascii="Times New Roman" w:hAnsi="Times New Roman" w:eastAsia="宋体" w:cs="Times New Roman"/>
                <w:sz w:val="21"/>
                <w:szCs w:val="21"/>
                <w:lang w:val="en-US" w:eastAsia="zh-CN" w:bidi="ar-SA"/>
              </w:rPr>
              <w:t>45-</w:t>
            </w:r>
            <w:r>
              <w:rPr>
                <w:rFonts w:hint="default" w:ascii="Times New Roman" w:hAnsi="Times New Roman" w:eastAsia="宋体" w:cs="Times New Roman"/>
                <w:sz w:val="21"/>
                <w:szCs w:val="21"/>
                <w:lang w:val="en-US" w:eastAsia="zh-CN" w:bidi="ar-SA"/>
              </w:rPr>
              <w:t>50g/L硼酸、0.</w:t>
            </w:r>
            <w:r>
              <w:rPr>
                <w:rFonts w:hint="eastAsia" w:ascii="Times New Roman" w:hAnsi="Times New Roman" w:eastAsia="宋体" w:cs="Times New Roman"/>
                <w:sz w:val="21"/>
                <w:szCs w:val="21"/>
                <w:lang w:val="en-US" w:eastAsia="zh-CN" w:bidi="ar-SA"/>
              </w:rPr>
              <w:t>3</w:t>
            </w:r>
            <w:r>
              <w:rPr>
                <w:rFonts w:hint="default" w:ascii="Times New Roman" w:hAnsi="Times New Roman" w:eastAsia="宋体" w:cs="Times New Roman"/>
                <w:sz w:val="21"/>
                <w:szCs w:val="21"/>
                <w:lang w:val="en-US" w:eastAsia="zh-CN" w:bidi="ar-SA"/>
              </w:rPr>
              <w:t>-0.5g/L光亮剂、6-8mg/L柔软剂</w:t>
            </w:r>
          </w:p>
        </w:tc>
        <w:tc>
          <w:tcPr>
            <w:tcW w:w="2536" w:type="dxa"/>
            <w:vAlign w:val="center"/>
          </w:tcPr>
          <w:p w14:paraId="04704B04">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 xml:space="preserve">pH </w:t>
            </w:r>
            <w:r>
              <w:rPr>
                <w:rFonts w:hint="eastAsia" w:ascii="Times New Roman" w:hAnsi="Times New Roman" w:eastAsia="宋体" w:cs="Times New Roman"/>
                <w:sz w:val="21"/>
                <w:szCs w:val="21"/>
                <w:lang w:val="en-US" w:eastAsia="zh-CN" w:bidi="ar-SA"/>
              </w:rPr>
              <w:t>4.8-5.2、</w:t>
            </w:r>
            <w:r>
              <w:rPr>
                <w:rFonts w:hint="default" w:ascii="Times New Roman" w:hAnsi="Times New Roman" w:eastAsia="宋体" w:cs="Times New Roman"/>
                <w:sz w:val="21"/>
                <w:szCs w:val="21"/>
                <w:lang w:val="en-US" w:eastAsia="zh-CN" w:bidi="ar-SA"/>
              </w:rPr>
              <w:t>5</w:t>
            </w:r>
            <w:r>
              <w:rPr>
                <w:rFonts w:hint="eastAsia" w:ascii="Times New Roman" w:hAnsi="Times New Roman" w:eastAsia="宋体" w:cs="Times New Roman"/>
                <w:sz w:val="21"/>
                <w:szCs w:val="21"/>
                <w:lang w:val="en-US" w:eastAsia="zh-CN" w:bidi="ar-SA"/>
              </w:rPr>
              <w:t>0-55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110</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120min</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2-9A/dm</w:t>
            </w:r>
            <w:r>
              <w:rPr>
                <w:rFonts w:hint="default" w:ascii="Times New Roman" w:hAnsi="Times New Roman" w:eastAsia="宋体" w:cs="Times New Roman"/>
                <w:sz w:val="21"/>
                <w:szCs w:val="21"/>
                <w:vertAlign w:val="superscript"/>
                <w:lang w:val="en-US" w:eastAsia="zh-CN" w:bidi="ar-SA"/>
              </w:rPr>
              <w:t>2</w:t>
            </w:r>
          </w:p>
        </w:tc>
      </w:tr>
      <w:tr w14:paraId="358FF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269B9A25">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漂白</w:t>
            </w:r>
          </w:p>
        </w:tc>
        <w:tc>
          <w:tcPr>
            <w:tcW w:w="4232" w:type="dxa"/>
            <w:vAlign w:val="center"/>
          </w:tcPr>
          <w:p w14:paraId="0DB57F2B">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15g/L一水柠檬酸</w:t>
            </w:r>
            <w:r>
              <w:rPr>
                <w:rFonts w:hint="eastAsia" w:ascii="Times New Roman" w:hAnsi="Times New Roman" w:eastAsia="宋体" w:cs="Times New Roman"/>
                <w:sz w:val="21"/>
                <w:szCs w:val="21"/>
                <w:lang w:val="en-US" w:eastAsia="zh-CN" w:bidi="ar-SA"/>
              </w:rPr>
              <w:t>、8</w:t>
            </w:r>
            <w:r>
              <w:rPr>
                <w:rFonts w:hint="default" w:ascii="Times New Roman" w:hAnsi="Times New Roman" w:eastAsia="宋体" w:cs="Times New Roman"/>
                <w:sz w:val="21"/>
                <w:szCs w:val="21"/>
                <w:lang w:val="en-US" w:eastAsia="zh-CN" w:bidi="ar-SA"/>
              </w:rPr>
              <w:t>g/L</w:t>
            </w:r>
            <w:r>
              <w:rPr>
                <w:rFonts w:hint="eastAsia" w:ascii="Times New Roman" w:hAnsi="Times New Roman" w:eastAsia="宋体" w:cs="Times New Roman"/>
                <w:sz w:val="21"/>
                <w:szCs w:val="21"/>
                <w:lang w:val="en-US" w:eastAsia="zh-CN" w:bidi="ar-SA"/>
              </w:rPr>
              <w:t>酒石酸</w:t>
            </w:r>
          </w:p>
        </w:tc>
        <w:tc>
          <w:tcPr>
            <w:tcW w:w="2536" w:type="dxa"/>
            <w:vAlign w:val="center"/>
          </w:tcPr>
          <w:p w14:paraId="63C8465B">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，2-5min</w:t>
            </w:r>
          </w:p>
        </w:tc>
      </w:tr>
      <w:tr w14:paraId="15D4B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06D1B902">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钝化前中和</w:t>
            </w:r>
          </w:p>
        </w:tc>
        <w:tc>
          <w:tcPr>
            <w:tcW w:w="4232" w:type="dxa"/>
            <w:vAlign w:val="center"/>
          </w:tcPr>
          <w:p w14:paraId="6FE228EF">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Cs/>
                <w:sz w:val="21"/>
                <w:szCs w:val="21"/>
                <w:lang w:val="en-US" w:eastAsia="zh-CN" w:bidi="ar-SA"/>
              </w:rPr>
              <w:t>20</w:t>
            </w:r>
            <w:r>
              <w:rPr>
                <w:rFonts w:hint="eastAsia" w:ascii="Times New Roman" w:hAnsi="Times New Roman" w:eastAsia="宋体" w:cs="Times New Roman"/>
                <w:bCs/>
                <w:sz w:val="21"/>
                <w:szCs w:val="21"/>
                <w:lang w:val="en-US" w:eastAsia="zh-CN" w:bidi="ar-SA"/>
              </w:rPr>
              <w:t>-30</w:t>
            </w:r>
            <w:r>
              <w:rPr>
                <w:rFonts w:hint="default" w:ascii="Times New Roman" w:hAnsi="Times New Roman" w:eastAsia="宋体" w:cs="Times New Roman"/>
                <w:sz w:val="21"/>
                <w:szCs w:val="21"/>
                <w:lang w:val="en-US" w:eastAsia="zh-CN" w:bidi="ar-SA"/>
              </w:rPr>
              <w:t>g/L氢氧化钠</w:t>
            </w:r>
          </w:p>
        </w:tc>
        <w:tc>
          <w:tcPr>
            <w:tcW w:w="2536" w:type="dxa"/>
            <w:vAlign w:val="center"/>
          </w:tcPr>
          <w:p w14:paraId="7FDE45E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1-2</w:t>
            </w:r>
            <w:r>
              <w:rPr>
                <w:rFonts w:hint="default" w:ascii="Times New Roman" w:hAnsi="Times New Roman" w:eastAsia="宋体" w:cs="Times New Roman"/>
                <w:sz w:val="21"/>
                <w:szCs w:val="21"/>
                <w:lang w:val="en-US" w:eastAsia="zh-CN" w:bidi="ar-SA"/>
              </w:rPr>
              <w:t>min</w:t>
            </w:r>
          </w:p>
        </w:tc>
      </w:tr>
      <w:tr w14:paraId="7D799B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2D830076">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钝化</w:t>
            </w:r>
          </w:p>
        </w:tc>
        <w:tc>
          <w:tcPr>
            <w:tcW w:w="4232" w:type="dxa"/>
            <w:vAlign w:val="center"/>
          </w:tcPr>
          <w:p w14:paraId="759E198E">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530</w:t>
            </w:r>
            <w:r>
              <w:rPr>
                <w:rFonts w:hint="default" w:ascii="Times New Roman" w:hAnsi="Times New Roman" w:eastAsia="宋体" w:cs="Times New Roman"/>
                <w:sz w:val="21"/>
                <w:szCs w:val="21"/>
                <w:lang w:val="en-US" w:eastAsia="zh-CN" w:bidi="ar-SA"/>
              </w:rPr>
              <w:t>g/L</w:t>
            </w:r>
            <w:r>
              <w:rPr>
                <w:rFonts w:hint="eastAsia" w:ascii="Times New Roman" w:hAnsi="Times New Roman" w:eastAsia="宋体" w:cs="Times New Roman"/>
                <w:sz w:val="21"/>
                <w:szCs w:val="21"/>
                <w:lang w:val="en-US" w:eastAsia="zh-CN" w:bidi="ar-SA"/>
              </w:rPr>
              <w:t>硝酸铬</w:t>
            </w:r>
            <w:r>
              <w:rPr>
                <w:rFonts w:hint="default" w:ascii="Times New Roman" w:hAnsi="Times New Roman" w:eastAsia="宋体" w:cs="Times New Roman"/>
                <w:sz w:val="21"/>
                <w:szCs w:val="21"/>
                <w:lang w:val="en-US" w:eastAsia="zh-CN" w:bidi="ar-SA"/>
              </w:rPr>
              <w:t>溶液</w:t>
            </w:r>
          </w:p>
        </w:tc>
        <w:tc>
          <w:tcPr>
            <w:tcW w:w="2536" w:type="dxa"/>
            <w:vAlign w:val="center"/>
          </w:tcPr>
          <w:p w14:paraId="0CC2D44B">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min</w:t>
            </w:r>
          </w:p>
        </w:tc>
      </w:tr>
      <w:tr w14:paraId="4D4644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79777D65">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钝化后中和</w:t>
            </w:r>
          </w:p>
        </w:tc>
        <w:tc>
          <w:tcPr>
            <w:tcW w:w="4232" w:type="dxa"/>
            <w:vAlign w:val="center"/>
          </w:tcPr>
          <w:p w14:paraId="31E43421">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Cs/>
                <w:sz w:val="21"/>
                <w:szCs w:val="21"/>
                <w:lang w:val="en-US" w:eastAsia="zh-CN" w:bidi="ar-SA"/>
              </w:rPr>
              <w:t>20</w:t>
            </w:r>
            <w:r>
              <w:rPr>
                <w:rFonts w:hint="eastAsia" w:ascii="Times New Roman" w:hAnsi="Times New Roman" w:eastAsia="宋体" w:cs="Times New Roman"/>
                <w:bCs/>
                <w:sz w:val="21"/>
                <w:szCs w:val="21"/>
                <w:lang w:val="en-US" w:eastAsia="zh-CN" w:bidi="ar-SA"/>
              </w:rPr>
              <w:t>-30</w:t>
            </w:r>
            <w:r>
              <w:rPr>
                <w:rFonts w:hint="default" w:ascii="Times New Roman" w:hAnsi="Times New Roman" w:eastAsia="宋体" w:cs="Times New Roman"/>
                <w:sz w:val="21"/>
                <w:szCs w:val="21"/>
                <w:lang w:val="en-US" w:eastAsia="zh-CN" w:bidi="ar-SA"/>
              </w:rPr>
              <w:t>g/L氢氧化钠</w:t>
            </w:r>
          </w:p>
        </w:tc>
        <w:tc>
          <w:tcPr>
            <w:tcW w:w="2536" w:type="dxa"/>
            <w:vAlign w:val="center"/>
          </w:tcPr>
          <w:p w14:paraId="6F2F90D6">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2-</w:t>
            </w:r>
            <w:r>
              <w:rPr>
                <w:rFonts w:hint="default" w:ascii="Times New Roman" w:hAnsi="Times New Roman" w:eastAsia="宋体" w:cs="Times New Roman"/>
                <w:sz w:val="21"/>
                <w:szCs w:val="21"/>
                <w:lang w:val="en-US" w:eastAsia="zh-CN" w:bidi="ar-SA"/>
              </w:rPr>
              <w:t>3min</w:t>
            </w:r>
          </w:p>
        </w:tc>
      </w:tr>
      <w:tr w14:paraId="16C766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24" w:type="dxa"/>
            <w:vAlign w:val="center"/>
          </w:tcPr>
          <w:p w14:paraId="4EB947B4">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封闭</w:t>
            </w:r>
          </w:p>
        </w:tc>
        <w:tc>
          <w:tcPr>
            <w:tcW w:w="4232" w:type="dxa"/>
            <w:vAlign w:val="center"/>
          </w:tcPr>
          <w:p w14:paraId="082F7974">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bCs/>
                <w:sz w:val="21"/>
                <w:szCs w:val="21"/>
                <w:lang w:val="en-US" w:eastAsia="zh-CN" w:bidi="ar-SA"/>
              </w:rPr>
              <w:t>2%~5%封闭</w:t>
            </w:r>
            <w:r>
              <w:rPr>
                <w:rFonts w:hint="default" w:ascii="Times New Roman" w:hAnsi="Times New Roman" w:eastAsia="宋体" w:cs="Times New Roman"/>
                <w:bCs/>
                <w:sz w:val="21"/>
                <w:szCs w:val="21"/>
                <w:lang w:val="en-US" w:eastAsia="zh-CN" w:bidi="ar-SA"/>
              </w:rPr>
              <w:t>剂</w:t>
            </w:r>
          </w:p>
        </w:tc>
        <w:tc>
          <w:tcPr>
            <w:tcW w:w="2536" w:type="dxa"/>
            <w:vAlign w:val="center"/>
          </w:tcPr>
          <w:p w14:paraId="0965ABF5">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40-50</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bCs/>
                <w:sz w:val="21"/>
                <w:szCs w:val="21"/>
                <w:lang w:val="en-US" w:eastAsia="zh-CN" w:bidi="ar-SA"/>
              </w:rPr>
              <w:t>，2-5min</w:t>
            </w:r>
          </w:p>
        </w:tc>
      </w:tr>
    </w:tbl>
    <w:p w14:paraId="66DFACF1">
      <w:pPr>
        <w:ind w:firstLine="482"/>
        <w:rPr>
          <w:b/>
        </w:rPr>
      </w:pPr>
      <w:r>
        <w:rPr>
          <w:b/>
        </w:rPr>
        <w:t>二、</w:t>
      </w:r>
      <w:r>
        <w:rPr>
          <w:rFonts w:hint="eastAsia"/>
          <w:b/>
          <w:lang w:val="en-US" w:eastAsia="zh-CN"/>
        </w:rPr>
        <w:t>盖帽</w:t>
      </w:r>
      <w:r>
        <w:rPr>
          <w:b/>
        </w:rPr>
        <w:t>生产线</w:t>
      </w:r>
    </w:p>
    <w:p w14:paraId="5F22BD22">
      <w:pPr>
        <w:ind w:firstLineChars="0"/>
        <w:rPr>
          <w:b/>
          <w:bCs/>
        </w:rPr>
      </w:pPr>
      <w:r>
        <w:rPr>
          <w:rFonts w:ascii="Times New Roman" w:hAnsi="Times New Roman" w:eastAsia="宋体" w:cs="Times New Roman"/>
          <w:kern w:val="0"/>
          <w:sz w:val="24"/>
          <w:szCs w:val="20"/>
        </w:rPr>
        <w:pict>
          <v:shape id="_x0000_s1027" o:spid="_x0000_s1027" o:spt="75" type="#_x0000_t75" style="position:absolute;left:0pt;margin-left:-26.2pt;margin-top:4.8pt;height:384.65pt;width:460.55pt;z-index:251672576;mso-width-relative:page;mso-height-relative:page;" o:ole="t" filled="f" o:preferrelative="t" stroked="f" coordsize="21600,21600">
            <v:path/>
            <v:fill on="f" focussize="0,0"/>
            <v:stroke on="f"/>
            <v:imagedata r:id="rId23" o:title=""/>
            <o:lock v:ext="edit" aspectratio="t"/>
          </v:shape>
          <o:OLEObject Type="Embed" ProgID="Visio.Drawing.11" ShapeID="_x0000_s1027" DrawAspect="Content" ObjectID="_1468075727" r:id="rId22">
            <o:LockedField>false</o:LockedField>
          </o:OLEObject>
        </w:pict>
      </w:r>
    </w:p>
    <w:p w14:paraId="15D0E88E">
      <w:pPr>
        <w:ind w:firstLineChars="0"/>
        <w:rPr>
          <w:b/>
          <w:bCs/>
        </w:rPr>
      </w:pPr>
    </w:p>
    <w:p w14:paraId="45016D7B">
      <w:pPr>
        <w:ind w:firstLineChars="0"/>
        <w:rPr>
          <w:b/>
          <w:bCs/>
        </w:rPr>
      </w:pPr>
    </w:p>
    <w:p w14:paraId="1084048E">
      <w:pPr>
        <w:ind w:firstLineChars="0"/>
        <w:rPr>
          <w:b/>
          <w:bCs/>
        </w:rPr>
      </w:pPr>
    </w:p>
    <w:p w14:paraId="1CAC755C">
      <w:pPr>
        <w:ind w:firstLineChars="0"/>
        <w:rPr>
          <w:b/>
          <w:bCs/>
        </w:rPr>
      </w:pPr>
    </w:p>
    <w:p w14:paraId="5EEA9F23">
      <w:pPr>
        <w:ind w:firstLineChars="0"/>
        <w:rPr>
          <w:b/>
          <w:bCs/>
        </w:rPr>
      </w:pPr>
    </w:p>
    <w:p w14:paraId="325FBFCE">
      <w:pPr>
        <w:ind w:firstLineChars="0"/>
        <w:rPr>
          <w:b/>
          <w:bCs/>
        </w:rPr>
      </w:pPr>
    </w:p>
    <w:p w14:paraId="5E61B840">
      <w:pPr>
        <w:ind w:firstLineChars="0"/>
        <w:rPr>
          <w:b/>
          <w:bCs/>
        </w:rPr>
      </w:pPr>
    </w:p>
    <w:p w14:paraId="68156C68">
      <w:pPr>
        <w:ind w:firstLineChars="0"/>
        <w:rPr>
          <w:b/>
          <w:bCs/>
        </w:rPr>
      </w:pPr>
    </w:p>
    <w:p w14:paraId="5504685E">
      <w:pPr>
        <w:ind w:firstLineChars="0"/>
        <w:rPr>
          <w:b/>
          <w:bCs/>
        </w:rPr>
      </w:pPr>
    </w:p>
    <w:p w14:paraId="3E9E34C2">
      <w:pPr>
        <w:ind w:firstLineChars="0"/>
        <w:rPr>
          <w:b/>
          <w:bCs/>
        </w:rPr>
      </w:pPr>
    </w:p>
    <w:p w14:paraId="3CE3ED9E">
      <w:pPr>
        <w:ind w:firstLineChars="0"/>
        <w:rPr>
          <w:b/>
          <w:bCs/>
        </w:rPr>
      </w:pPr>
    </w:p>
    <w:p w14:paraId="4D559EAF">
      <w:pPr>
        <w:ind w:firstLineChars="0"/>
        <w:rPr>
          <w:b/>
          <w:bCs/>
        </w:rPr>
      </w:pPr>
    </w:p>
    <w:p w14:paraId="139E1917">
      <w:pPr>
        <w:ind w:firstLineChars="0"/>
        <w:rPr>
          <w:b/>
          <w:bCs/>
        </w:rPr>
      </w:pPr>
    </w:p>
    <w:p w14:paraId="1D46E1BC">
      <w:pPr>
        <w:ind w:firstLineChars="0"/>
        <w:rPr>
          <w:b/>
          <w:bCs/>
        </w:rPr>
      </w:pPr>
    </w:p>
    <w:p w14:paraId="11098FFF">
      <w:pPr>
        <w:pStyle w:val="78"/>
        <w:jc w:val="left"/>
      </w:pPr>
      <w:r>
        <w:rPr>
          <w:sz w:val="21"/>
          <w:szCs w:val="21"/>
        </w:rPr>
        <w:t>注：G：废气；W：废水；N：噪声；S：固废</w:t>
      </w:r>
    </w:p>
    <w:p w14:paraId="618E4133">
      <w:pPr>
        <w:pStyle w:val="78"/>
      </w:pPr>
    </w:p>
    <w:p w14:paraId="36E5F012">
      <w:pPr>
        <w:pStyle w:val="78"/>
      </w:pPr>
      <w:r>
        <w:rPr>
          <w:rFonts w:hint="eastAsia"/>
        </w:rPr>
        <w:t>图3</w:t>
      </w:r>
      <w:r>
        <w:rPr>
          <w:rFonts w:hint="eastAsia"/>
          <w:lang w:val="en-US" w:eastAsia="zh-CN"/>
        </w:rPr>
        <w:t>.2-2</w:t>
      </w:r>
      <w:r>
        <w:rPr>
          <w:rFonts w:hint="eastAsia"/>
        </w:rPr>
        <w:t xml:space="preserve">    </w:t>
      </w:r>
      <w:r>
        <w:rPr>
          <w:rFonts w:hint="eastAsia"/>
          <w:lang w:val="en-US" w:eastAsia="zh-CN"/>
        </w:rPr>
        <w:t>盖帽</w:t>
      </w:r>
      <w:r>
        <w:rPr>
          <w:rFonts w:hint="eastAsia"/>
        </w:rPr>
        <w:t>工艺流程及产污环节图</w:t>
      </w:r>
    </w:p>
    <w:p w14:paraId="2BF6ADF6">
      <w:pPr>
        <w:adjustRightInd w:val="0"/>
        <w:snapToGrid w:val="0"/>
        <w:spacing w:line="520" w:lineRule="exact"/>
        <w:ind w:firstLine="482" w:firstLineChars="200"/>
        <w:textAlignment w:val="baseline"/>
        <w:rPr>
          <w:rFonts w:ascii="Times New Roman" w:hAnsi="Times New Roman" w:eastAsia="宋体" w:cs="Times New Roman"/>
          <w:b/>
          <w:bCs/>
          <w:kern w:val="0"/>
          <w:sz w:val="24"/>
          <w:szCs w:val="20"/>
        </w:rPr>
      </w:pPr>
      <w:r>
        <w:rPr>
          <w:rFonts w:hint="eastAsia" w:cs="Times New Roman"/>
          <w:b/>
          <w:bCs/>
          <w:kern w:val="0"/>
          <w:sz w:val="24"/>
          <w:szCs w:val="20"/>
          <w:lang w:val="en-US" w:eastAsia="zh-CN"/>
        </w:rPr>
        <w:t>盖帽</w:t>
      </w:r>
      <w:r>
        <w:rPr>
          <w:rFonts w:hint="eastAsia" w:ascii="Times New Roman" w:hAnsi="Times New Roman" w:eastAsia="宋体" w:cs="Times New Roman"/>
          <w:b/>
          <w:bCs/>
          <w:kern w:val="0"/>
          <w:sz w:val="24"/>
          <w:szCs w:val="20"/>
        </w:rPr>
        <w:t>工艺流程简述：</w:t>
      </w:r>
    </w:p>
    <w:p w14:paraId="27F3EAD0">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1、冲压：</w:t>
      </w:r>
      <w:r>
        <w:rPr>
          <w:rFonts w:hint="eastAsia" w:ascii="Times New Roman" w:hAnsi="Times New Roman" w:eastAsia="宋体" w:cs="Times New Roman"/>
          <w:bCs/>
          <w:kern w:val="0"/>
          <w:sz w:val="24"/>
          <w:szCs w:val="24"/>
        </w:rPr>
        <w:t>将外购的卷状普通钢带经叉车转运至冲床自带的卷筒上，经人工牵引置于冲床上进行冲压，根据产品型号要求冲压形成</w:t>
      </w:r>
      <w:r>
        <w:rPr>
          <w:rFonts w:hint="eastAsia" w:cs="Times New Roman"/>
          <w:bCs/>
          <w:kern w:val="0"/>
          <w:sz w:val="24"/>
          <w:szCs w:val="24"/>
          <w:lang w:val="en-US" w:eastAsia="zh-CN"/>
        </w:rPr>
        <w:t>盖帽</w:t>
      </w:r>
      <w:r>
        <w:rPr>
          <w:rFonts w:hint="eastAsia" w:ascii="Times New Roman" w:hAnsi="Times New Roman" w:eastAsia="宋体" w:cs="Times New Roman"/>
          <w:bCs/>
          <w:kern w:val="0"/>
          <w:sz w:val="24"/>
          <w:szCs w:val="24"/>
        </w:rPr>
        <w:t>。</w:t>
      </w:r>
      <w:r>
        <w:rPr>
          <w:rFonts w:hint="eastAsia" w:ascii="Times New Roman" w:hAnsi="Times New Roman" w:eastAsia="宋体" w:cs="Times New Roman"/>
          <w:kern w:val="0"/>
          <w:sz w:val="24"/>
          <w:szCs w:val="24"/>
        </w:rPr>
        <w:t>冲压过程中采用循环冷却水降温，冲压时机械产生的温度不高，该过程中不会产生废气，冲压冷凝水定期排放。</w:t>
      </w:r>
      <w:r>
        <w:rPr>
          <w:rFonts w:hint="eastAsia" w:ascii="Times New Roman" w:hAnsi="Times New Roman" w:eastAsia="宋体" w:cs="Times New Roman"/>
          <w:bCs/>
          <w:kern w:val="0"/>
          <w:sz w:val="24"/>
          <w:szCs w:val="24"/>
        </w:rPr>
        <w:t>此过程会产生废液压油和废边角料，设备运行会产生噪声。</w:t>
      </w:r>
    </w:p>
    <w:p w14:paraId="1AB47DF5">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2、除油：</w:t>
      </w:r>
      <w:r>
        <w:rPr>
          <w:rFonts w:hint="eastAsia" w:ascii="Times New Roman" w:hAnsi="Times New Roman" w:eastAsia="宋体" w:cs="Times New Roman"/>
          <w:bCs/>
          <w:kern w:val="0"/>
          <w:sz w:val="24"/>
          <w:szCs w:val="24"/>
        </w:rPr>
        <w:t>将机加工的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放置于滚筒内，具体是将装有</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的小车转运至电镀生产线前，利用行车将小车吊运至滚筒上，人工将</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倒入滚筒内，盖上滚筒盖；之后由行车将滚筒置于除油槽内。除油槽内溶液为20-30g/L的碱性脱脂剂，除油槽温度控制在60-6</w:t>
      </w:r>
      <w:r>
        <w:rPr>
          <w:rFonts w:ascii="Times New Roman" w:hAnsi="Times New Roman" w:eastAsia="宋体" w:cs="Times New Roman"/>
          <w:bCs/>
          <w:kern w:val="0"/>
          <w:sz w:val="24"/>
          <w:szCs w:val="24"/>
        </w:rPr>
        <w:t>5℃（</w:t>
      </w:r>
      <w:r>
        <w:rPr>
          <w:rFonts w:hint="eastAsia" w:ascii="Times New Roman" w:hAnsi="Times New Roman" w:eastAsia="宋体" w:cs="Times New Roman"/>
          <w:bCs/>
          <w:kern w:val="0"/>
          <w:sz w:val="24"/>
          <w:szCs w:val="24"/>
        </w:rPr>
        <w:t>采用蒸汽加热），除油时间为3-10min。除油槽液定期更换，更换周期为3个月，除油废槽液通过独立管道送至破乳、气浮池预处理后送往综合废水处理设施进行处理。</w:t>
      </w:r>
    </w:p>
    <w:p w14:paraId="728554BB">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为了保证清洗效果，除油后进行水洗和热水洗，水洗槽和热水洗槽的水每1个月更换一次；热水洗后再进行</w:t>
      </w:r>
      <w:r>
        <w:rPr>
          <w:rFonts w:hint="eastAsia" w:ascii="Times New Roman" w:hAnsi="Times New Roman" w:eastAsia="宋体" w:cs="Times New Roman"/>
          <w:kern w:val="0"/>
          <w:sz w:val="24"/>
          <w:szCs w:val="24"/>
          <w:lang w:val="en-US" w:eastAsia="zh-CN"/>
        </w:rPr>
        <w:t>两级逆流</w:t>
      </w:r>
      <w:r>
        <w:rPr>
          <w:rFonts w:hint="eastAsia" w:ascii="Times New Roman" w:hAnsi="Times New Roman" w:eastAsia="宋体" w:cs="Times New Roman"/>
          <w:kern w:val="0"/>
          <w:sz w:val="24"/>
          <w:szCs w:val="24"/>
        </w:rPr>
        <w:t>水洗，为保证槽液水质，水洗槽的水每3个月全部更换一次。废水通过独立管道输送至破乳、气浮池预处理后送往综合废水处理设施进行处理。</w:t>
      </w:r>
    </w:p>
    <w:p w14:paraId="4EC7D043">
      <w:pPr>
        <w:numPr>
          <w:ilvl w:val="0"/>
          <w:numId w:val="5"/>
        </w:num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酸洗活化：</w:t>
      </w:r>
      <w:r>
        <w:rPr>
          <w:rFonts w:hint="eastAsia" w:cs="Times New Roman"/>
          <w:b w:val="0"/>
          <w:bCs/>
          <w:kern w:val="0"/>
          <w:sz w:val="24"/>
          <w:szCs w:val="24"/>
          <w:lang w:val="en-US" w:eastAsia="zh-CN"/>
        </w:rPr>
        <w:t>在酸洗前设置交换槽可更好控制酸洗过程中的酸液浓度和温度，提高酸洗质量和效率，</w:t>
      </w:r>
      <w:r>
        <w:rPr>
          <w:rFonts w:hint="eastAsia" w:ascii="Times New Roman" w:hAnsi="Times New Roman" w:eastAsia="宋体" w:cs="Times New Roman"/>
          <w:bCs/>
          <w:kern w:val="0"/>
          <w:sz w:val="24"/>
          <w:szCs w:val="24"/>
        </w:rPr>
        <w:t>酸洗水洗后</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进入活化槽进行活化处理，目的为了去除</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表面的氧化皮等杂质。活化液为10%的硫酸，温度为</w:t>
      </w:r>
      <w:r>
        <w:rPr>
          <w:rFonts w:ascii="Times New Roman" w:hAnsi="Times New Roman" w:eastAsia="宋体" w:cs="Times New Roman"/>
          <w:bCs/>
          <w:kern w:val="0"/>
          <w:sz w:val="24"/>
          <w:szCs w:val="24"/>
        </w:rPr>
        <w:t>25℃，</w:t>
      </w:r>
      <w:r>
        <w:rPr>
          <w:rFonts w:hint="eastAsia" w:ascii="Times New Roman" w:hAnsi="Times New Roman" w:eastAsia="宋体" w:cs="Times New Roman"/>
          <w:bCs/>
          <w:kern w:val="0"/>
          <w:sz w:val="24"/>
          <w:szCs w:val="24"/>
        </w:rPr>
        <w:t>活化时间为3-5min。活化槽液每天更换1/8，更换的废槽液通过独立管道送往综合废水处理设施进行处理。活化后进行</w:t>
      </w:r>
      <w:r>
        <w:rPr>
          <w:rFonts w:hint="eastAsia" w:ascii="Times New Roman" w:hAnsi="Times New Roman" w:eastAsia="宋体" w:cs="Times New Roman"/>
          <w:kern w:val="0"/>
          <w:sz w:val="24"/>
          <w:szCs w:val="24"/>
        </w:rPr>
        <w:t>进行双联水洗，废水从水洗槽槽头连续溢流排放</w:t>
      </w:r>
      <w:r>
        <w:rPr>
          <w:rFonts w:hint="eastAsia" w:ascii="Times New Roman" w:hAnsi="Times New Roman" w:eastAsia="宋体" w:cs="Times New Roman"/>
          <w:bCs/>
          <w:kern w:val="0"/>
          <w:sz w:val="24"/>
          <w:szCs w:val="24"/>
        </w:rPr>
        <w:t>，经独立管道送往综合废水处理设施进行处理；为保证槽液水质，水洗槽的水每3个月更换一次，废水经独立管道送往综合废水处理设施进行处理。</w:t>
      </w:r>
    </w:p>
    <w:p w14:paraId="556EF4BC">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活化槽液中主要为硫酸溶液，活化过程中会产生少量酸性气体（硫酸雾），废气采用生产线整体封闭抽风、槽边抽风装置进行收集，收集后引入两级碱喷淋吸收塔进行处理，尾气经15m高排气筒排放。</w:t>
      </w:r>
    </w:p>
    <w:p w14:paraId="1EE2F37D">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交换滚筒：</w:t>
      </w:r>
      <w:r>
        <w:rPr>
          <w:rFonts w:hint="eastAsia" w:ascii="Times New Roman" w:hAnsi="Times New Roman" w:eastAsia="宋体" w:cs="Times New Roman"/>
          <w:kern w:val="0"/>
          <w:sz w:val="24"/>
          <w:szCs w:val="24"/>
        </w:rPr>
        <w:t>活化水洗后将盛有工件的滚筒打开，利用行车自动将</w:t>
      </w:r>
      <w:r>
        <w:rPr>
          <w:rFonts w:hint="eastAsia" w:cs="Times New Roman"/>
          <w:kern w:val="0"/>
          <w:sz w:val="24"/>
          <w:szCs w:val="24"/>
          <w:lang w:val="en-US" w:eastAsia="zh-CN"/>
        </w:rPr>
        <w:t>盖帽</w:t>
      </w:r>
      <w:r>
        <w:rPr>
          <w:rFonts w:hint="eastAsia" w:ascii="Times New Roman" w:hAnsi="Times New Roman" w:eastAsia="宋体" w:cs="Times New Roman"/>
          <w:kern w:val="0"/>
          <w:sz w:val="24"/>
          <w:szCs w:val="24"/>
        </w:rPr>
        <w:t>倒入电镀专用滚筒内，避免后续电镀过程中由于滚筒上附带重金属，进而污染电镀前各工序的槽液；电镀前和电镀后的滚筒独立使用，因而不存在电镀前工序含有重金属污染物。转换桶过程在生产线上方进行，下方为水洗槽，转换过程中工件滴落废水经下方槽收集后与水洗废水一块送往综合废水处理设施进行处理。</w:t>
      </w:r>
    </w:p>
    <w:p w14:paraId="1A0EA0B8">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cs="Times New Roman"/>
          <w:b/>
          <w:kern w:val="0"/>
          <w:sz w:val="24"/>
          <w:szCs w:val="24"/>
          <w:lang w:val="en-US" w:eastAsia="zh-CN"/>
        </w:rPr>
        <w:t>4</w:t>
      </w:r>
      <w:r>
        <w:rPr>
          <w:rFonts w:hint="eastAsia" w:ascii="Times New Roman" w:hAnsi="Times New Roman" w:eastAsia="宋体" w:cs="Times New Roman"/>
          <w:b/>
          <w:kern w:val="0"/>
          <w:sz w:val="24"/>
          <w:szCs w:val="24"/>
        </w:rPr>
        <w:t>、镀镍：</w:t>
      </w:r>
      <w:r>
        <w:rPr>
          <w:rFonts w:hint="eastAsia" w:ascii="Times New Roman" w:hAnsi="Times New Roman" w:eastAsia="宋体" w:cs="Times New Roman"/>
          <w:bCs/>
          <w:kern w:val="0"/>
          <w:sz w:val="24"/>
          <w:szCs w:val="24"/>
        </w:rPr>
        <w:t>酸洗后的</w:t>
      </w:r>
      <w:r>
        <w:rPr>
          <w:rFonts w:hint="eastAsia" w:cs="Times New Roman"/>
          <w:bCs/>
          <w:kern w:val="0"/>
          <w:sz w:val="24"/>
          <w:szCs w:val="24"/>
          <w:lang w:val="en-US" w:eastAsia="zh-CN"/>
        </w:rPr>
        <w:t>盖帽</w:t>
      </w:r>
      <w:r>
        <w:rPr>
          <w:rFonts w:hint="eastAsia" w:ascii="Times New Roman" w:hAnsi="Times New Roman" w:eastAsia="宋体" w:cs="Times New Roman"/>
          <w:bCs/>
          <w:kern w:val="0"/>
          <w:sz w:val="24"/>
          <w:szCs w:val="24"/>
        </w:rPr>
        <w:t>进入电镀槽进行镀镍，本项目采用滚镀方式进行镀镍，</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需进行暗镍和亮镍两次电镀。</w:t>
      </w:r>
    </w:p>
    <w:p w14:paraId="50F4EBF3">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电镀槽液组分包括：硫酸镍（200-250g/L）、氯化镍（45-50g/L）、硼酸（45-50g/L）、光亮剂（0.3-0.5g/L）、柔软剂（6-8mg/L）。其中，暗镍时不添加光亮剂和柔软剂，光亮剂中含有的丁炔二醇为有机物（其含量为1-6mg/L），生产过程中会有少量的挥发，但光亮剂年用量仅9kg/a，槽液中浓度较低，且多数物料均与工件发生作用，通过挥发进入大气的量很小，可忽略。柔软剂主要成分为糖精钠，不含挥发性物质。硫酸镍、氯化镍、硼酸需定时添加，具体需要分析滴定后按比例添加，电镀镍的温度</w:t>
      </w:r>
      <w:r>
        <w:rPr>
          <w:rFonts w:ascii="Times New Roman" w:hAnsi="Times New Roman" w:eastAsia="宋体" w:cs="Times New Roman"/>
          <w:bCs/>
          <w:kern w:val="0"/>
          <w:sz w:val="24"/>
          <w:szCs w:val="24"/>
        </w:rPr>
        <w:t>为50-55℃（</w:t>
      </w:r>
      <w:r>
        <w:rPr>
          <w:rFonts w:hint="eastAsia" w:ascii="Times New Roman" w:hAnsi="Times New Roman" w:eastAsia="宋体" w:cs="Times New Roman"/>
          <w:bCs/>
          <w:kern w:val="0"/>
          <w:sz w:val="24"/>
          <w:szCs w:val="24"/>
        </w:rPr>
        <w:t>采用蒸汽加热）、暗镍槽pH值为3.8-4.2、亮镍槽pH值为4.4-4.8。</w:t>
      </w:r>
    </w:p>
    <w:p w14:paraId="1AB321C4">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cs="Times New Roman"/>
          <w:bCs/>
          <w:kern w:val="0"/>
          <w:sz w:val="24"/>
          <w:szCs w:val="24"/>
          <w:lang w:val="en-US" w:eastAsia="zh-CN"/>
        </w:rPr>
        <w:t>盖帽</w:t>
      </w:r>
      <w:r>
        <w:rPr>
          <w:rFonts w:hint="eastAsia" w:ascii="Times New Roman" w:hAnsi="Times New Roman" w:eastAsia="宋体" w:cs="Times New Roman"/>
          <w:bCs/>
          <w:kern w:val="0"/>
          <w:sz w:val="24"/>
          <w:szCs w:val="24"/>
        </w:rPr>
        <w:t>需进行暗镍和亮镍两次电镀，电流密度：暗镍3-8A/dm</w:t>
      </w:r>
      <w:r>
        <w:rPr>
          <w:rFonts w:hint="eastAsia" w:ascii="Times New Roman" w:hAnsi="Times New Roman" w:eastAsia="宋体" w:cs="Times New Roman"/>
          <w:bCs/>
          <w:kern w:val="0"/>
          <w:sz w:val="24"/>
          <w:szCs w:val="24"/>
          <w:vertAlign w:val="superscript"/>
        </w:rPr>
        <w:t>2</w:t>
      </w:r>
      <w:r>
        <w:rPr>
          <w:rFonts w:hint="eastAsia" w:ascii="Times New Roman" w:hAnsi="Times New Roman" w:eastAsia="宋体" w:cs="Times New Roman"/>
          <w:bCs/>
          <w:kern w:val="0"/>
          <w:sz w:val="24"/>
          <w:szCs w:val="24"/>
        </w:rPr>
        <w:t>、亮镍2-9A/dm</w:t>
      </w:r>
      <w:r>
        <w:rPr>
          <w:rFonts w:hint="eastAsia" w:ascii="Times New Roman" w:hAnsi="Times New Roman" w:eastAsia="宋体" w:cs="Times New Roman"/>
          <w:bCs/>
          <w:kern w:val="0"/>
          <w:sz w:val="24"/>
          <w:szCs w:val="24"/>
          <w:vertAlign w:val="superscript"/>
        </w:rPr>
        <w:t>2</w:t>
      </w:r>
      <w:r>
        <w:rPr>
          <w:rFonts w:hint="eastAsia" w:ascii="Times New Roman" w:hAnsi="Times New Roman" w:eastAsia="宋体" w:cs="Times New Roman"/>
          <w:bCs/>
          <w:kern w:val="0"/>
          <w:sz w:val="24"/>
          <w:szCs w:val="24"/>
        </w:rPr>
        <w:t>，电镀时间：暗镍</w:t>
      </w:r>
      <w:r>
        <w:rPr>
          <w:rFonts w:ascii="Times New Roman" w:hAnsi="Times New Roman" w:eastAsia="宋体" w:cs="Times New Roman"/>
          <w:bCs/>
          <w:kern w:val="0"/>
          <w:sz w:val="24"/>
          <w:szCs w:val="24"/>
        </w:rPr>
        <w:t>90-100</w:t>
      </w:r>
      <w:r>
        <w:rPr>
          <w:rFonts w:hint="eastAsia" w:ascii="Times New Roman" w:hAnsi="Times New Roman" w:eastAsia="宋体" w:cs="Times New Roman"/>
          <w:bCs/>
          <w:kern w:val="0"/>
          <w:sz w:val="24"/>
          <w:szCs w:val="24"/>
        </w:rPr>
        <w:t>min，亮镍</w:t>
      </w:r>
      <w:r>
        <w:rPr>
          <w:rFonts w:ascii="Times New Roman" w:hAnsi="Times New Roman" w:eastAsia="宋体" w:cs="Times New Roman"/>
          <w:bCs/>
          <w:kern w:val="0"/>
          <w:sz w:val="24"/>
          <w:szCs w:val="24"/>
        </w:rPr>
        <w:t>110-120min</w:t>
      </w:r>
      <w:r>
        <w:rPr>
          <w:rFonts w:hint="eastAsia" w:ascii="Times New Roman" w:hAnsi="Times New Roman" w:eastAsia="宋体" w:cs="Times New Roman"/>
          <w:bCs/>
          <w:kern w:val="0"/>
          <w:sz w:val="24"/>
          <w:szCs w:val="24"/>
        </w:rPr>
        <w:t>，</w:t>
      </w:r>
      <w:r>
        <w:rPr>
          <w:rFonts w:hint="eastAsia" w:cs="Times New Roman"/>
          <w:bCs/>
          <w:kern w:val="0"/>
          <w:sz w:val="24"/>
          <w:szCs w:val="24"/>
          <w:lang w:val="en-US" w:eastAsia="zh-CN"/>
        </w:rPr>
        <w:t>盖帽</w:t>
      </w:r>
      <w:r>
        <w:rPr>
          <w:rFonts w:hint="eastAsia" w:ascii="Times New Roman" w:hAnsi="Times New Roman" w:eastAsia="宋体" w:cs="Times New Roman"/>
          <w:bCs/>
          <w:kern w:val="0"/>
          <w:sz w:val="24"/>
          <w:szCs w:val="24"/>
        </w:rPr>
        <w:t>镀层厚度约为5微米。在电镀过程中以硫酸镍作为主盐，氯化镍作为阳极活化剂，硼酸作为缓冲剂。在电镀过程中以镍板为阳极，钢壳为阴极，含镍溶液为交换介质，反应原理如下：</w:t>
      </w:r>
    </w:p>
    <w:p w14:paraId="0FDB9A31">
      <w:pPr>
        <w:adjustRightInd w:val="0"/>
        <w:snapToGrid w:val="0"/>
        <w:spacing w:line="520" w:lineRule="exact"/>
        <w:ind w:firstLine="0" w:firstLineChars="0"/>
        <w:jc w:val="center"/>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阴极：Ni</w:t>
      </w:r>
      <w:r>
        <w:rPr>
          <w:rFonts w:hint="eastAsia" w:ascii="Times New Roman" w:hAnsi="Times New Roman" w:eastAsia="宋体" w:cs="Times New Roman"/>
          <w:bCs/>
          <w:kern w:val="0"/>
          <w:sz w:val="24"/>
          <w:szCs w:val="24"/>
          <w:vertAlign w:val="superscript"/>
        </w:rPr>
        <w:t>2+</w:t>
      </w:r>
      <w:r>
        <w:rPr>
          <w:rFonts w:hint="eastAsia" w:ascii="Times New Roman" w:hAnsi="Times New Roman" w:eastAsia="宋体" w:cs="Times New Roman"/>
          <w:bCs/>
          <w:kern w:val="0"/>
          <w:sz w:val="24"/>
          <w:szCs w:val="24"/>
        </w:rPr>
        <w:t xml:space="preserve"> + 2e = Ni</w:t>
      </w:r>
    </w:p>
    <w:p w14:paraId="18DE1659">
      <w:pPr>
        <w:adjustRightInd w:val="0"/>
        <w:snapToGrid w:val="0"/>
        <w:spacing w:line="520" w:lineRule="exact"/>
        <w:ind w:firstLine="0" w:firstLineChars="0"/>
        <w:jc w:val="center"/>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阳极：Ni - 2e = Ni</w:t>
      </w:r>
      <w:r>
        <w:rPr>
          <w:rFonts w:hint="eastAsia" w:ascii="Times New Roman" w:hAnsi="Times New Roman" w:eastAsia="宋体" w:cs="Times New Roman"/>
          <w:bCs/>
          <w:kern w:val="0"/>
          <w:sz w:val="24"/>
          <w:szCs w:val="24"/>
          <w:vertAlign w:val="superscript"/>
        </w:rPr>
        <w:t>2+</w:t>
      </w:r>
    </w:p>
    <w:p w14:paraId="3F035156">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电镀槽配套有镀液过滤设备，镀槽槽头溢流出的镀液经管道送入槽液过滤设备，经过滤、沉淀除杂后再通过槽尾返回至镀槽内，以此循环往复，此过程会产生镀槽残渣、废滤芯和废活性炭，属于危险废物。</w:t>
      </w:r>
    </w:p>
    <w:p w14:paraId="3ED0AA40">
      <w:pPr>
        <w:adjustRightInd w:val="0"/>
        <w:snapToGrid w:val="0"/>
        <w:spacing w:line="520" w:lineRule="exact"/>
        <w:ind w:firstLine="480" w:firstLineChars="200"/>
        <w:textAlignment w:val="baseline"/>
        <w:rPr>
          <w:rFonts w:ascii="Times New Roman" w:hAnsi="Times New Roman" w:eastAsia="宋体" w:cs="Times New Roman"/>
          <w:kern w:val="0"/>
          <w:sz w:val="24"/>
          <w:szCs w:val="24"/>
        </w:rPr>
      </w:pPr>
      <w:r>
        <w:rPr>
          <w:rFonts w:hint="eastAsia" w:ascii="Times New Roman" w:hAnsi="Times New Roman" w:eastAsia="宋体" w:cs="Times New Roman"/>
          <w:bCs/>
          <w:kern w:val="0"/>
          <w:sz w:val="24"/>
          <w:szCs w:val="24"/>
        </w:rPr>
        <w:t>暗镍</w:t>
      </w:r>
      <w:r>
        <w:rPr>
          <w:rFonts w:hint="eastAsia" w:ascii="Times New Roman" w:hAnsi="Times New Roman" w:eastAsia="宋体" w:cs="Times New Roman"/>
          <w:kern w:val="0"/>
          <w:sz w:val="24"/>
          <w:szCs w:val="24"/>
        </w:rPr>
        <w:t>后</w:t>
      </w:r>
      <w:r>
        <w:rPr>
          <w:rFonts w:hint="eastAsia" w:ascii="Times New Roman" w:hAnsi="Times New Roman" w:eastAsia="宋体" w:cs="Times New Roman"/>
          <w:kern w:val="0"/>
          <w:sz w:val="24"/>
          <w:szCs w:val="20"/>
        </w:rPr>
        <w:t>设置回收槽对</w:t>
      </w:r>
      <w:r>
        <w:rPr>
          <w:rFonts w:hint="eastAsia" w:cs="Times New Roman"/>
          <w:bCs/>
          <w:kern w:val="0"/>
          <w:sz w:val="24"/>
          <w:szCs w:val="24"/>
          <w:lang w:val="en-US" w:eastAsia="zh-CN"/>
        </w:rPr>
        <w:t>盖帽</w:t>
      </w:r>
      <w:r>
        <w:rPr>
          <w:rFonts w:hint="eastAsia" w:ascii="Times New Roman" w:hAnsi="Times New Roman" w:eastAsia="宋体" w:cs="Times New Roman"/>
          <w:kern w:val="0"/>
          <w:sz w:val="24"/>
          <w:szCs w:val="20"/>
        </w:rPr>
        <w:t>带出的电镀液进行回收</w:t>
      </w:r>
      <w:r>
        <w:rPr>
          <w:rFonts w:hint="eastAsia" w:ascii="Times New Roman" w:hAnsi="Times New Roman" w:eastAsia="宋体" w:cs="Times New Roman"/>
          <w:kern w:val="0"/>
          <w:sz w:val="24"/>
          <w:szCs w:val="24"/>
        </w:rPr>
        <w:t>，以去除</w:t>
      </w:r>
      <w:r>
        <w:rPr>
          <w:rFonts w:hint="eastAsia" w:cs="Times New Roman"/>
          <w:bCs/>
          <w:kern w:val="0"/>
          <w:sz w:val="24"/>
          <w:szCs w:val="24"/>
          <w:lang w:eastAsia="zh-CN"/>
        </w:rPr>
        <w:t>盖帽</w:t>
      </w:r>
      <w:r>
        <w:rPr>
          <w:rFonts w:hint="eastAsia" w:ascii="Times New Roman" w:hAnsi="Times New Roman" w:eastAsia="宋体" w:cs="Times New Roman"/>
          <w:kern w:val="0"/>
          <w:sz w:val="24"/>
          <w:szCs w:val="24"/>
        </w:rPr>
        <w:t>表面残留的镀液，</w:t>
      </w:r>
      <w:r>
        <w:rPr>
          <w:rFonts w:hint="eastAsia" w:ascii="Times New Roman" w:hAnsi="Times New Roman" w:eastAsia="宋体" w:cs="Times New Roman"/>
          <w:kern w:val="0"/>
          <w:sz w:val="24"/>
          <w:szCs w:val="20"/>
        </w:rPr>
        <w:t>回收槽液长时间使用浓度较高时</w:t>
      </w:r>
      <w:r>
        <w:rPr>
          <w:rFonts w:hint="eastAsia" w:ascii="Times New Roman" w:hAnsi="Times New Roman" w:eastAsia="宋体" w:cs="Times New Roman"/>
          <w:kern w:val="0"/>
          <w:sz w:val="24"/>
          <w:szCs w:val="24"/>
        </w:rPr>
        <w:t>回流至电镀槽补充其蒸发消耗。镀槽槽液不更换，定期补充槽液物质及水。</w:t>
      </w:r>
    </w:p>
    <w:p w14:paraId="0F6BA555">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对暗镍后的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进行亮镍处理，亮镍后</w:t>
      </w:r>
      <w:r>
        <w:rPr>
          <w:rFonts w:hint="eastAsia" w:ascii="Times New Roman" w:hAnsi="Times New Roman" w:eastAsia="宋体" w:cs="Times New Roman"/>
          <w:kern w:val="0"/>
          <w:sz w:val="24"/>
          <w:szCs w:val="20"/>
        </w:rPr>
        <w:t>设置纯水回收槽对</w:t>
      </w:r>
      <w:r>
        <w:rPr>
          <w:rFonts w:hint="eastAsia" w:cs="Times New Roman"/>
          <w:bCs/>
          <w:kern w:val="0"/>
          <w:sz w:val="24"/>
          <w:szCs w:val="24"/>
          <w:lang w:eastAsia="zh-CN"/>
        </w:rPr>
        <w:t>盖帽</w:t>
      </w:r>
      <w:r>
        <w:rPr>
          <w:rFonts w:hint="eastAsia" w:ascii="Times New Roman" w:hAnsi="Times New Roman" w:eastAsia="宋体" w:cs="Times New Roman"/>
          <w:kern w:val="0"/>
          <w:sz w:val="24"/>
          <w:szCs w:val="20"/>
        </w:rPr>
        <w:t>带出的电镀液进行回收</w:t>
      </w:r>
      <w:r>
        <w:rPr>
          <w:rFonts w:hint="eastAsia" w:ascii="Times New Roman" w:hAnsi="Times New Roman" w:eastAsia="宋体" w:cs="Times New Roman"/>
          <w:kern w:val="0"/>
          <w:sz w:val="24"/>
          <w:szCs w:val="24"/>
        </w:rPr>
        <w:t>，以去除</w:t>
      </w:r>
      <w:r>
        <w:rPr>
          <w:rFonts w:hint="eastAsia" w:cs="Times New Roman"/>
          <w:bCs/>
          <w:kern w:val="0"/>
          <w:sz w:val="24"/>
          <w:szCs w:val="24"/>
          <w:lang w:eastAsia="zh-CN"/>
        </w:rPr>
        <w:t>盖帽</w:t>
      </w:r>
      <w:r>
        <w:rPr>
          <w:rFonts w:hint="eastAsia" w:ascii="Times New Roman" w:hAnsi="Times New Roman" w:eastAsia="宋体" w:cs="Times New Roman"/>
          <w:kern w:val="0"/>
          <w:sz w:val="24"/>
          <w:szCs w:val="24"/>
        </w:rPr>
        <w:t>表面残留的镀液，</w:t>
      </w:r>
      <w:r>
        <w:rPr>
          <w:rFonts w:hint="eastAsia" w:ascii="Times New Roman" w:hAnsi="Times New Roman" w:eastAsia="宋体" w:cs="Times New Roman"/>
          <w:kern w:val="0"/>
          <w:sz w:val="24"/>
          <w:szCs w:val="20"/>
        </w:rPr>
        <w:t>回收槽液长时间使用浓度较高时</w:t>
      </w:r>
      <w:r>
        <w:rPr>
          <w:rFonts w:hint="eastAsia" w:ascii="Times New Roman" w:hAnsi="Times New Roman" w:eastAsia="宋体" w:cs="Times New Roman"/>
          <w:kern w:val="0"/>
          <w:sz w:val="24"/>
          <w:szCs w:val="24"/>
        </w:rPr>
        <w:t>回流至电镀槽补充其蒸发消耗。镀槽槽液不更换，定期补充槽液物质及水。</w:t>
      </w:r>
    </w:p>
    <w:p w14:paraId="58DC839A">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镀镍后的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进行</w:t>
      </w:r>
      <w:r>
        <w:rPr>
          <w:rFonts w:hint="eastAsia" w:ascii="Times New Roman" w:hAnsi="Times New Roman" w:eastAsia="宋体" w:cs="Times New Roman"/>
          <w:bCs/>
          <w:color w:val="000000" w:themeColor="text1"/>
          <w:kern w:val="0"/>
          <w:sz w:val="24"/>
          <w:szCs w:val="24"/>
          <w:lang w:val="en-US" w:eastAsia="zh-CN"/>
          <w14:textFill>
            <w14:solidFill>
              <w14:schemeClr w14:val="tx1"/>
            </w14:solidFill>
          </w14:textFill>
        </w:rPr>
        <w:t>两级逆流</w:t>
      </w:r>
      <w:r>
        <w:rPr>
          <w:rFonts w:hint="eastAsia" w:ascii="Times New Roman" w:hAnsi="Times New Roman" w:eastAsia="宋体" w:cs="Times New Roman"/>
          <w:bCs/>
          <w:color w:val="000000" w:themeColor="text1"/>
          <w:kern w:val="0"/>
          <w:sz w:val="24"/>
          <w:szCs w:val="24"/>
          <w14:textFill>
            <w14:solidFill>
              <w14:schemeClr w14:val="tx1"/>
            </w14:solidFill>
          </w14:textFill>
        </w:rPr>
        <w:t>水洗</w:t>
      </w:r>
      <w:r>
        <w:rPr>
          <w:rFonts w:hint="eastAsia" w:ascii="Times New Roman" w:hAnsi="Times New Roman" w:eastAsia="宋体" w:cs="Times New Roman"/>
          <w:bCs/>
          <w:kern w:val="0"/>
          <w:sz w:val="24"/>
          <w:szCs w:val="24"/>
        </w:rPr>
        <w:t>，双联水洗是由二级的清洗槽串联组成，在二级槽内进水，从一级槽内排水，其水流方向与镀件清洗方向相反。废水从水洗槽槽头连续溢流排放，废水通过独立管道送至含镍废水处理设施；为保证槽液水质，水洗槽的水每3个月全部更换一次，废水经独立管道送往含镍废水处理设施进行处理。</w:t>
      </w:r>
    </w:p>
    <w:p w14:paraId="6EF75178">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6、漂白：</w:t>
      </w:r>
      <w:r>
        <w:rPr>
          <w:rFonts w:hint="eastAsia" w:ascii="Times New Roman" w:hAnsi="Times New Roman" w:eastAsia="宋体" w:cs="Times New Roman"/>
          <w:bCs/>
          <w:kern w:val="0"/>
          <w:sz w:val="24"/>
          <w:szCs w:val="24"/>
        </w:rPr>
        <w:t>镀镍后的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经水洗后因氧化导致表面微微发黄，这时需进行漂白，保证产品外观质量。漂白槽液为一水柠檬酸（15g/L）和酒石酸（8g/L），温度控制</w:t>
      </w:r>
      <w:r>
        <w:rPr>
          <w:rFonts w:ascii="Times New Roman" w:hAnsi="Times New Roman" w:eastAsia="宋体" w:cs="Times New Roman"/>
          <w:bCs/>
          <w:kern w:val="0"/>
          <w:sz w:val="24"/>
          <w:szCs w:val="24"/>
        </w:rPr>
        <w:t>25℃</w:t>
      </w:r>
      <w:r>
        <w:rPr>
          <w:rFonts w:hint="eastAsia" w:ascii="Times New Roman" w:hAnsi="Times New Roman" w:eastAsia="宋体" w:cs="Times New Roman"/>
          <w:bCs/>
          <w:kern w:val="0"/>
          <w:sz w:val="24"/>
          <w:szCs w:val="24"/>
        </w:rPr>
        <w:t>，时间为2-5min。漂白槽液每天更换1/5，漂白废水经独立管道送往综合废水处理设施进行处理。漂白后进行双联水洗，废水从水洗槽槽头连续溢流排放，经独立管道送往综合废水处理设施进行处理；为保证槽液水质，水洗槽的水每3个月更换一次，废水经独立管道送往综合废水处理设施进行处理。</w:t>
      </w:r>
    </w:p>
    <w:p w14:paraId="29248D99">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7、中和：</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经过漂白后，内孔会残余酸性液体，这时需进行中和去除。中和槽液为20-30g/L氢氧化钠，呈碱性，时间为2-3min，温度控</w:t>
      </w:r>
      <w:r>
        <w:rPr>
          <w:rFonts w:ascii="Times New Roman" w:hAnsi="Times New Roman" w:eastAsia="宋体" w:cs="Times New Roman"/>
          <w:bCs/>
          <w:kern w:val="0"/>
          <w:sz w:val="24"/>
          <w:szCs w:val="24"/>
        </w:rPr>
        <w:t>制25℃</w:t>
      </w:r>
      <w:r>
        <w:rPr>
          <w:rFonts w:hint="eastAsia" w:ascii="Times New Roman" w:hAnsi="Times New Roman" w:eastAsia="宋体" w:cs="Times New Roman"/>
          <w:bCs/>
          <w:kern w:val="0"/>
          <w:sz w:val="24"/>
          <w:szCs w:val="24"/>
        </w:rPr>
        <w:t>。槽液每天更换1/5，废水经独立管道送往综合废水处理设施进行处理。中和后进行后进行</w:t>
      </w:r>
      <w:r>
        <w:rPr>
          <w:rFonts w:hint="eastAsia" w:ascii="Times New Roman" w:hAnsi="Times New Roman" w:eastAsia="宋体" w:cs="Times New Roman"/>
          <w:bCs/>
          <w:kern w:val="0"/>
          <w:sz w:val="24"/>
          <w:szCs w:val="24"/>
          <w:lang w:val="en-US" w:eastAsia="zh-CN"/>
        </w:rPr>
        <w:t>两级逆流</w:t>
      </w:r>
      <w:r>
        <w:rPr>
          <w:rFonts w:hint="eastAsia" w:ascii="Times New Roman" w:hAnsi="Times New Roman" w:eastAsia="宋体" w:cs="Times New Roman"/>
          <w:bCs/>
          <w:kern w:val="0"/>
          <w:sz w:val="24"/>
          <w:szCs w:val="24"/>
        </w:rPr>
        <w:t>水洗，废水从水洗槽槽头连续溢流排放，经独立管道送至综合废水处理设施；为保证槽液的水质，水洗槽的水每3个月全部更换一次，废水经独立管道送至综合废水处理设施进行处理。</w:t>
      </w:r>
    </w:p>
    <w:p w14:paraId="7BB4DEB0">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8、钝化：</w:t>
      </w:r>
      <w:r>
        <w:rPr>
          <w:rFonts w:hint="eastAsia" w:ascii="Times New Roman" w:hAnsi="Times New Roman" w:eastAsia="宋体" w:cs="Times New Roman"/>
          <w:bCs/>
          <w:kern w:val="0"/>
          <w:sz w:val="24"/>
          <w:szCs w:val="24"/>
        </w:rPr>
        <w:t>为提高</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的防护能力和外观装饰，镀镍后的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需再进入钝化槽中进行钝化。本项目钝化剂主要为硝酸铬溶液，钝化时间为2-5min，温度为</w:t>
      </w:r>
      <w:r>
        <w:rPr>
          <w:rFonts w:ascii="Times New Roman" w:hAnsi="Times New Roman" w:eastAsia="宋体" w:cs="Times New Roman"/>
          <w:bCs/>
          <w:kern w:val="0"/>
          <w:sz w:val="24"/>
          <w:szCs w:val="24"/>
        </w:rPr>
        <w:t>25℃</w:t>
      </w:r>
      <w:r>
        <w:rPr>
          <w:rFonts w:hint="eastAsia" w:ascii="Times New Roman" w:hAnsi="Times New Roman" w:eastAsia="宋体" w:cs="Times New Roman"/>
          <w:bCs/>
          <w:kern w:val="0"/>
          <w:sz w:val="24"/>
          <w:szCs w:val="24"/>
        </w:rPr>
        <w:t>。钝化槽液每1个月更换一次，废水经独立管道送至含铬废水处理设施进行处理。</w:t>
      </w:r>
    </w:p>
    <w:p w14:paraId="7B27FC7C">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钝化后工件进行</w:t>
      </w:r>
      <w:r>
        <w:rPr>
          <w:rFonts w:hint="eastAsia" w:ascii="Times New Roman" w:hAnsi="Times New Roman" w:eastAsia="宋体" w:cs="Times New Roman"/>
          <w:bCs/>
          <w:kern w:val="0"/>
          <w:sz w:val="24"/>
          <w:szCs w:val="24"/>
          <w:lang w:val="en-US" w:eastAsia="zh-CN"/>
        </w:rPr>
        <w:t>三级逆流</w:t>
      </w:r>
      <w:r>
        <w:rPr>
          <w:rFonts w:hint="eastAsia" w:ascii="Times New Roman" w:hAnsi="Times New Roman" w:eastAsia="宋体" w:cs="Times New Roman"/>
          <w:bCs/>
          <w:kern w:val="0"/>
          <w:sz w:val="24"/>
          <w:szCs w:val="24"/>
        </w:rPr>
        <w:t>水洗，是由</w:t>
      </w:r>
      <w:r>
        <w:rPr>
          <w:rFonts w:hint="eastAsia" w:ascii="Times New Roman" w:hAnsi="Times New Roman" w:eastAsia="宋体" w:cs="Times New Roman"/>
          <w:bCs/>
          <w:kern w:val="0"/>
          <w:sz w:val="24"/>
          <w:szCs w:val="24"/>
          <w:lang w:val="en-US" w:eastAsia="zh-CN"/>
        </w:rPr>
        <w:t>三</w:t>
      </w:r>
      <w:r>
        <w:rPr>
          <w:rFonts w:hint="eastAsia" w:ascii="Times New Roman" w:hAnsi="Times New Roman" w:eastAsia="宋体" w:cs="Times New Roman"/>
          <w:bCs/>
          <w:kern w:val="0"/>
          <w:sz w:val="24"/>
          <w:szCs w:val="24"/>
        </w:rPr>
        <w:t>级清洗槽串联组成，在</w:t>
      </w:r>
      <w:r>
        <w:rPr>
          <w:rFonts w:hint="eastAsia" w:ascii="Times New Roman" w:hAnsi="Times New Roman" w:eastAsia="宋体" w:cs="Times New Roman"/>
          <w:bCs/>
          <w:kern w:val="0"/>
          <w:sz w:val="24"/>
          <w:szCs w:val="24"/>
          <w:lang w:val="en-US" w:eastAsia="zh-CN"/>
        </w:rPr>
        <w:t>第三</w:t>
      </w:r>
      <w:r>
        <w:rPr>
          <w:rFonts w:hint="eastAsia" w:ascii="Times New Roman" w:hAnsi="Times New Roman" w:eastAsia="宋体" w:cs="Times New Roman"/>
          <w:bCs/>
          <w:kern w:val="0"/>
          <w:sz w:val="24"/>
          <w:szCs w:val="24"/>
        </w:rPr>
        <w:t>级槽内进水，从</w:t>
      </w:r>
      <w:r>
        <w:rPr>
          <w:rFonts w:hint="eastAsia" w:ascii="Times New Roman" w:hAnsi="Times New Roman" w:eastAsia="宋体" w:cs="Times New Roman"/>
          <w:bCs/>
          <w:kern w:val="0"/>
          <w:sz w:val="24"/>
          <w:szCs w:val="24"/>
          <w:lang w:val="en-US" w:eastAsia="zh-CN"/>
        </w:rPr>
        <w:t>第</w:t>
      </w:r>
      <w:r>
        <w:rPr>
          <w:rFonts w:hint="eastAsia" w:ascii="Times New Roman" w:hAnsi="Times New Roman" w:eastAsia="宋体" w:cs="Times New Roman"/>
          <w:bCs/>
          <w:kern w:val="0"/>
          <w:sz w:val="24"/>
          <w:szCs w:val="24"/>
        </w:rPr>
        <w:t>一级槽内排水，其水流方向与镀件清洗方向相反。废水从槽头连续溢流排放，经独立管道送至含铬废水处理设施；为保证槽液的水质，水洗槽的水每3个月更换一次，废水经独立管道送至含铬废水处理设施进行处理。</w:t>
      </w:r>
    </w:p>
    <w:p w14:paraId="19858D00">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 xml:space="preserve">根据《污染源源强核算技术指南 </w:t>
      </w:r>
      <w:r>
        <w:rPr>
          <w:rFonts w:ascii="Times New Roman" w:hAnsi="Times New Roman" w:eastAsia="宋体" w:cs="Times New Roman"/>
          <w:bCs/>
          <w:kern w:val="0"/>
          <w:sz w:val="24"/>
          <w:szCs w:val="24"/>
        </w:rPr>
        <w:t xml:space="preserve"> </w:t>
      </w:r>
      <w:r>
        <w:rPr>
          <w:rFonts w:hint="eastAsia" w:ascii="Times New Roman" w:hAnsi="Times New Roman" w:eastAsia="宋体" w:cs="Times New Roman"/>
          <w:bCs/>
          <w:kern w:val="0"/>
          <w:sz w:val="24"/>
          <w:szCs w:val="24"/>
        </w:rPr>
        <w:t>电镀》（HJ984-2018），常温下低铬酸及其盐溶液中钝化溶液产生的铬酸雾可忽略，本项目钝化液为硝酸铬溶液</w:t>
      </w:r>
      <w:r>
        <w:rPr>
          <w:rFonts w:hint="eastAsia" w:ascii="Times New Roman" w:hAnsi="Times New Roman" w:eastAsia="宋体" w:cs="Times New Roman"/>
          <w:kern w:val="0"/>
          <w:sz w:val="24"/>
          <w:szCs w:val="24"/>
        </w:rPr>
        <w:t>，属于三价铬钝化，且在常温下进行生产</w:t>
      </w:r>
      <w:r>
        <w:rPr>
          <w:rFonts w:hint="eastAsia" w:ascii="Times New Roman" w:hAnsi="Times New Roman" w:eastAsia="宋体" w:cs="Times New Roman"/>
          <w:bCs/>
          <w:kern w:val="0"/>
          <w:sz w:val="24"/>
          <w:szCs w:val="24"/>
        </w:rPr>
        <w:t>，因此本项目钝化产生的铬酸雾可忽略。为了进一步减少废气影响，本项目钝化产生的铬酸雾经过生产线整体密闭、槽边抽风装置收集，收集后引入两级碱喷淋吸收塔进行处理，尾气经15m高排气筒排放。</w:t>
      </w:r>
    </w:p>
    <w:p w14:paraId="28F4579E">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9、</w:t>
      </w:r>
      <w:r>
        <w:rPr>
          <w:rFonts w:hint="eastAsia" w:ascii="Times New Roman" w:hAnsi="Times New Roman" w:eastAsia="宋体" w:cs="Times New Roman"/>
          <w:b/>
          <w:kern w:val="0"/>
          <w:sz w:val="24"/>
          <w:szCs w:val="24"/>
          <w:lang w:val="en-US" w:eastAsia="zh-CN"/>
        </w:rPr>
        <w:t>钝化后</w:t>
      </w:r>
      <w:r>
        <w:rPr>
          <w:rFonts w:hint="eastAsia" w:ascii="Times New Roman" w:hAnsi="Times New Roman" w:eastAsia="宋体" w:cs="Times New Roman"/>
          <w:b/>
          <w:kern w:val="0"/>
          <w:sz w:val="24"/>
          <w:szCs w:val="24"/>
        </w:rPr>
        <w:t>中和：</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经过钝化后，内孔会残余酸性液体，这时需进行中和去除。中和槽液为20-30g/L氢氧化钠，呈碱性，时间为2-3min，温度</w:t>
      </w:r>
      <w:r>
        <w:rPr>
          <w:rFonts w:ascii="Times New Roman" w:hAnsi="Times New Roman" w:eastAsia="宋体" w:cs="Times New Roman"/>
          <w:bCs/>
          <w:kern w:val="0"/>
          <w:sz w:val="24"/>
          <w:szCs w:val="24"/>
        </w:rPr>
        <w:t>为25℃</w:t>
      </w:r>
      <w:r>
        <w:rPr>
          <w:rFonts w:hint="eastAsia" w:ascii="Times New Roman" w:hAnsi="Times New Roman" w:eastAsia="宋体" w:cs="Times New Roman"/>
          <w:bCs/>
          <w:kern w:val="0"/>
          <w:sz w:val="24"/>
          <w:szCs w:val="24"/>
        </w:rPr>
        <w:t>。槽液每天更换1/5，废水经独立管道送往综合废水处理设施进行处理。中和后进行后进行</w:t>
      </w:r>
      <w:r>
        <w:rPr>
          <w:rFonts w:hint="eastAsia" w:ascii="Times New Roman" w:hAnsi="Times New Roman" w:eastAsia="宋体" w:cs="Times New Roman"/>
          <w:bCs/>
          <w:color w:val="000000" w:themeColor="text1"/>
          <w:kern w:val="0"/>
          <w:sz w:val="24"/>
          <w:szCs w:val="24"/>
          <w:lang w:val="en-US" w:eastAsia="zh-CN"/>
          <w14:textFill>
            <w14:solidFill>
              <w14:schemeClr w14:val="tx1"/>
            </w14:solidFill>
          </w14:textFill>
        </w:rPr>
        <w:t>四级逆流</w:t>
      </w:r>
      <w:r>
        <w:rPr>
          <w:rFonts w:hint="eastAsia" w:ascii="Times New Roman" w:hAnsi="Times New Roman" w:eastAsia="宋体" w:cs="Times New Roman"/>
          <w:bCs/>
          <w:color w:val="000000" w:themeColor="text1"/>
          <w:kern w:val="0"/>
          <w:sz w:val="24"/>
          <w:szCs w:val="24"/>
          <w14:textFill>
            <w14:solidFill>
              <w14:schemeClr w14:val="tx1"/>
            </w14:solidFill>
          </w14:textFill>
        </w:rPr>
        <w:t>水洗</w:t>
      </w:r>
      <w:r>
        <w:rPr>
          <w:rFonts w:hint="eastAsia" w:ascii="Times New Roman" w:hAnsi="Times New Roman" w:eastAsia="宋体" w:cs="Times New Roman"/>
          <w:bCs/>
          <w:kern w:val="0"/>
          <w:sz w:val="24"/>
          <w:szCs w:val="24"/>
        </w:rPr>
        <w:t>，废水从水洗槽槽头连续溢流排放，经独立管道送至综合废水处理设施；为保证槽液的水质，水洗槽的水每3个月全部更换一次，废水经独立管道送至综合废水处理设施进行处理。</w:t>
      </w:r>
    </w:p>
    <w:p w14:paraId="0490F978">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10、封闭：</w:t>
      </w:r>
      <w:r>
        <w:rPr>
          <w:rFonts w:hint="eastAsia" w:ascii="Times New Roman" w:hAnsi="Times New Roman" w:eastAsia="宋体" w:cs="Times New Roman"/>
          <w:bCs/>
          <w:kern w:val="0"/>
          <w:sz w:val="24"/>
          <w:szCs w:val="24"/>
        </w:rPr>
        <w:t>中和后的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进行封闭处理，封闭目的防止产品生锈，增加其防锈抗盐雾能力。向槽液中加入2%-5%的封闭剂使工件表面形成一层防锈膜，温度控制在40-</w:t>
      </w:r>
      <w:r>
        <w:rPr>
          <w:rFonts w:ascii="Times New Roman" w:hAnsi="Times New Roman" w:eastAsia="宋体" w:cs="Times New Roman"/>
          <w:bCs/>
          <w:kern w:val="0"/>
          <w:sz w:val="24"/>
          <w:szCs w:val="24"/>
        </w:rPr>
        <w:t>50℃</w:t>
      </w:r>
      <w:r>
        <w:rPr>
          <w:rFonts w:hint="eastAsia" w:ascii="Times New Roman" w:hAnsi="Times New Roman" w:eastAsia="宋体" w:cs="Times New Roman"/>
          <w:bCs/>
          <w:kern w:val="0"/>
          <w:sz w:val="24"/>
          <w:szCs w:val="24"/>
        </w:rPr>
        <w:t>（采用蒸汽加热），时间为2-5min。封闭槽液每1个月更换一次，废水经独立管道送至综合废水处理设施进行处理。封闭后进行</w:t>
      </w:r>
      <w:r>
        <w:rPr>
          <w:rFonts w:hint="eastAsia" w:ascii="Times New Roman" w:hAnsi="Times New Roman" w:eastAsia="宋体" w:cs="Times New Roman"/>
          <w:bCs/>
          <w:kern w:val="0"/>
          <w:sz w:val="24"/>
          <w:szCs w:val="24"/>
          <w:lang w:val="en-US" w:eastAsia="zh-CN"/>
        </w:rPr>
        <w:t>两级逆流</w:t>
      </w:r>
      <w:r>
        <w:rPr>
          <w:rFonts w:hint="eastAsia" w:ascii="Times New Roman" w:hAnsi="Times New Roman" w:eastAsia="宋体" w:cs="Times New Roman"/>
          <w:bCs/>
          <w:kern w:val="0"/>
          <w:sz w:val="24"/>
          <w:szCs w:val="24"/>
        </w:rPr>
        <w:t>水洗，废水从槽头连续溢流排放，经独立管道送至综合污水处理站；为保证槽液水质，水洗槽的水每3个月更换一次，废水经独立管道送至综合废水处理设施进行处理。</w:t>
      </w:r>
    </w:p>
    <w:p w14:paraId="7CCB0CED">
      <w:pPr>
        <w:adjustRightInd w:val="0"/>
        <w:snapToGrid w:val="0"/>
        <w:spacing w:line="520" w:lineRule="exact"/>
        <w:ind w:firstLine="482" w:firstLineChars="200"/>
        <w:textAlignment w:val="baseline"/>
        <w:rPr>
          <w:rFonts w:hint="eastAsia" w:ascii="Times New Roman" w:hAnsi="Times New Roman" w:eastAsia="宋体" w:cs="Times New Roman"/>
          <w:kern w:val="0"/>
          <w:sz w:val="24"/>
          <w:szCs w:val="24"/>
        </w:rPr>
      </w:pPr>
      <w:r>
        <w:rPr>
          <w:rFonts w:hint="eastAsia" w:ascii="Times New Roman" w:hAnsi="Times New Roman" w:eastAsia="宋体" w:cs="Times New Roman"/>
          <w:b/>
          <w:bCs/>
          <w:kern w:val="0"/>
          <w:sz w:val="24"/>
          <w:szCs w:val="24"/>
        </w:rPr>
        <w:t>10、</w:t>
      </w:r>
      <w:r>
        <w:rPr>
          <w:rFonts w:hint="eastAsia" w:ascii="Times New Roman" w:hAnsi="Times New Roman" w:eastAsia="宋体" w:cs="Times New Roman"/>
          <w:b/>
          <w:bCs/>
          <w:kern w:val="0"/>
          <w:sz w:val="24"/>
          <w:szCs w:val="24"/>
          <w:lang w:val="en-US" w:eastAsia="zh-CN"/>
        </w:rPr>
        <w:t>沥干：</w:t>
      </w:r>
      <w:r>
        <w:rPr>
          <w:rFonts w:hint="eastAsia" w:ascii="Times New Roman" w:hAnsi="Times New Roman" w:eastAsia="宋体" w:cs="Times New Roman"/>
          <w:kern w:val="0"/>
          <w:sz w:val="24"/>
          <w:szCs w:val="24"/>
        </w:rPr>
        <w:t>封闭水洗后的钢壳</w:t>
      </w:r>
      <w:r>
        <w:rPr>
          <w:rFonts w:hint="eastAsia" w:ascii="Times New Roman" w:hAnsi="Times New Roman" w:eastAsia="宋体" w:cs="Times New Roman"/>
          <w:kern w:val="0"/>
          <w:sz w:val="24"/>
          <w:szCs w:val="24"/>
          <w:lang w:val="en-US" w:eastAsia="zh-CN"/>
        </w:rPr>
        <w:t>进入沥干槽上方，停留</w:t>
      </w:r>
      <w:r>
        <w:rPr>
          <w:rFonts w:hint="eastAsia" w:ascii="Times New Roman" w:hAnsi="Times New Roman" w:eastAsia="宋体" w:cs="Times New Roman"/>
          <w:kern w:val="0"/>
          <w:sz w:val="24"/>
          <w:szCs w:val="24"/>
        </w:rPr>
        <w:t>时间为2-</w:t>
      </w:r>
      <w:r>
        <w:rPr>
          <w:rFonts w:hint="eastAsia" w:ascii="Times New Roman" w:hAnsi="Times New Roman" w:eastAsia="宋体" w:cs="Times New Roman"/>
          <w:kern w:val="0"/>
          <w:sz w:val="24"/>
          <w:szCs w:val="24"/>
          <w:lang w:val="en-US" w:eastAsia="zh-CN"/>
        </w:rPr>
        <w:t>3</w:t>
      </w:r>
      <w:r>
        <w:rPr>
          <w:rFonts w:hint="eastAsia" w:ascii="Times New Roman" w:hAnsi="Times New Roman" w:eastAsia="宋体" w:cs="Times New Roman"/>
          <w:kern w:val="0"/>
          <w:sz w:val="24"/>
          <w:szCs w:val="24"/>
        </w:rPr>
        <w:t>min。</w:t>
      </w:r>
      <w:r>
        <w:rPr>
          <w:rFonts w:hint="eastAsia" w:ascii="Times New Roman" w:hAnsi="Times New Roman" w:eastAsia="宋体" w:cs="Times New Roman"/>
          <w:kern w:val="0"/>
          <w:sz w:val="24"/>
          <w:szCs w:val="24"/>
          <w:lang w:val="en-US" w:eastAsia="zh-CN"/>
        </w:rPr>
        <w:t>沥水后进行烘干。沥出的</w:t>
      </w:r>
      <w:r>
        <w:rPr>
          <w:rFonts w:hint="eastAsia" w:ascii="Times New Roman" w:hAnsi="Times New Roman" w:eastAsia="宋体" w:cs="Times New Roman"/>
          <w:kern w:val="0"/>
          <w:sz w:val="24"/>
          <w:szCs w:val="24"/>
        </w:rPr>
        <w:t>废水经独立管道送至综合废水处理设施进行处理。</w:t>
      </w:r>
    </w:p>
    <w:p w14:paraId="0C04E7E8">
      <w:pPr>
        <w:adjustRightInd w:val="0"/>
        <w:snapToGrid w:val="0"/>
        <w:spacing w:line="520" w:lineRule="exact"/>
        <w:ind w:firstLine="482"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
          <w:kern w:val="0"/>
          <w:sz w:val="24"/>
          <w:szCs w:val="24"/>
        </w:rPr>
        <w:t>11、烘干：</w:t>
      </w:r>
      <w:r>
        <w:rPr>
          <w:rFonts w:hint="eastAsia" w:ascii="Times New Roman" w:hAnsi="Times New Roman" w:eastAsia="宋体" w:cs="Times New Roman"/>
          <w:bCs/>
          <w:kern w:val="0"/>
          <w:sz w:val="24"/>
          <w:szCs w:val="24"/>
        </w:rPr>
        <w:t>封闭水洗后的</w:t>
      </w:r>
      <w:r>
        <w:rPr>
          <w:rFonts w:hint="eastAsia" w:cs="Times New Roman"/>
          <w:bCs/>
          <w:kern w:val="0"/>
          <w:sz w:val="24"/>
          <w:szCs w:val="24"/>
          <w:lang w:eastAsia="zh-CN"/>
        </w:rPr>
        <w:t>盖帽</w:t>
      </w:r>
      <w:r>
        <w:rPr>
          <w:rFonts w:hint="eastAsia" w:ascii="Times New Roman" w:hAnsi="Times New Roman" w:eastAsia="宋体" w:cs="Times New Roman"/>
          <w:bCs/>
          <w:kern w:val="0"/>
          <w:sz w:val="24"/>
          <w:szCs w:val="24"/>
        </w:rPr>
        <w:t>送至烘箱内进行烘干，烘箱为电烘干箱，烘干温度为120</w:t>
      </w:r>
      <w:r>
        <w:rPr>
          <w:rFonts w:ascii="Times New Roman" w:hAnsi="Times New Roman" w:eastAsia="宋体" w:cs="Times New Roman"/>
          <w:bCs/>
          <w:kern w:val="0"/>
          <w:sz w:val="24"/>
          <w:szCs w:val="24"/>
        </w:rPr>
        <w:t>-160℃</w:t>
      </w:r>
      <w:r>
        <w:rPr>
          <w:rFonts w:hint="eastAsia" w:ascii="Times New Roman" w:hAnsi="Times New Roman" w:eastAsia="宋体" w:cs="Times New Roman"/>
          <w:bCs/>
          <w:kern w:val="0"/>
          <w:sz w:val="24"/>
          <w:szCs w:val="24"/>
        </w:rPr>
        <w:t>，烘干时间为20-40min，烘干后下挂至晾干槽内自然冷却后即为成品。</w:t>
      </w:r>
    </w:p>
    <w:p w14:paraId="4461BE51">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各槽溶液配置采用专门的密闭调配间进行配置，采用自动加药装置向槽体中自动补充槽液。密闭调配间设置密闭抽风装置对溶液配制废气进行收集，收集后引入两级碱喷淋吸收塔进行处理，尾气经15m高排气筒排放。</w:t>
      </w:r>
    </w:p>
    <w:p w14:paraId="666690C3">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根据上述工艺流程可知，本工程生产过程中的工艺参数见下表。</w:t>
      </w:r>
    </w:p>
    <w:p w14:paraId="14A5FC9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表3.2-2    本项目工艺参数一览表</w:t>
      </w:r>
    </w:p>
    <w:tbl>
      <w:tblPr>
        <w:tblStyle w:val="39"/>
        <w:tblW w:w="829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4600"/>
        <w:gridCol w:w="2348"/>
      </w:tblGrid>
      <w:tr w14:paraId="54BEA6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344" w:type="dxa"/>
            <w:vAlign w:val="center"/>
          </w:tcPr>
          <w:p w14:paraId="6951D7EC">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eastAsia" w:ascii="Times New Roman" w:hAnsi="Times New Roman" w:eastAsia="宋体" w:cs="宋体"/>
                <w:b/>
                <w:color w:val="auto"/>
                <w:kern w:val="2"/>
                <w:sz w:val="21"/>
                <w:szCs w:val="20"/>
                <w:lang w:val="en-US" w:eastAsia="zh-CN" w:bidi="ar-SA"/>
              </w:rPr>
              <w:t>工段</w:t>
            </w:r>
          </w:p>
        </w:tc>
        <w:tc>
          <w:tcPr>
            <w:tcW w:w="4600" w:type="dxa"/>
            <w:vAlign w:val="center"/>
          </w:tcPr>
          <w:p w14:paraId="66DB64C5">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default" w:ascii="Times New Roman" w:hAnsi="Times New Roman" w:eastAsia="宋体" w:cs="宋体"/>
                <w:b/>
                <w:color w:val="auto"/>
                <w:kern w:val="2"/>
                <w:sz w:val="21"/>
                <w:szCs w:val="20"/>
                <w:lang w:val="en-US" w:eastAsia="zh-CN" w:bidi="ar-SA"/>
              </w:rPr>
              <w:t>槽液</w:t>
            </w:r>
            <w:r>
              <w:rPr>
                <w:rFonts w:hint="eastAsia" w:ascii="Times New Roman" w:hAnsi="Times New Roman" w:eastAsia="宋体" w:cs="宋体"/>
                <w:b/>
                <w:color w:val="auto"/>
                <w:kern w:val="2"/>
                <w:sz w:val="21"/>
                <w:szCs w:val="20"/>
                <w:lang w:val="en-US" w:eastAsia="zh-CN" w:bidi="ar-SA"/>
              </w:rPr>
              <w:t>成份及浓度</w:t>
            </w:r>
          </w:p>
        </w:tc>
        <w:tc>
          <w:tcPr>
            <w:tcW w:w="2348" w:type="dxa"/>
            <w:vAlign w:val="center"/>
          </w:tcPr>
          <w:p w14:paraId="11BE9C77">
            <w:pPr>
              <w:keepNext w:val="0"/>
              <w:keepLines w:val="0"/>
              <w:widowControl w:val="0"/>
              <w:suppressLineNumbers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color w:val="auto"/>
                <w:kern w:val="2"/>
                <w:sz w:val="21"/>
                <w:szCs w:val="20"/>
                <w:lang w:val="en-US" w:eastAsia="zh-CN" w:bidi="ar-SA"/>
              </w:rPr>
            </w:pPr>
            <w:r>
              <w:rPr>
                <w:rFonts w:hint="eastAsia" w:ascii="Times New Roman" w:hAnsi="Times New Roman" w:eastAsia="宋体" w:cs="宋体"/>
                <w:b/>
                <w:color w:val="auto"/>
                <w:kern w:val="2"/>
                <w:sz w:val="21"/>
                <w:szCs w:val="20"/>
                <w:lang w:val="en-US" w:eastAsia="zh-CN" w:bidi="ar-SA"/>
              </w:rPr>
              <w:t>运行参数</w:t>
            </w:r>
          </w:p>
        </w:tc>
      </w:tr>
      <w:tr w14:paraId="74E6A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732C6B5B">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除油</w:t>
            </w:r>
          </w:p>
        </w:tc>
        <w:tc>
          <w:tcPr>
            <w:tcW w:w="4600" w:type="dxa"/>
            <w:vAlign w:val="center"/>
          </w:tcPr>
          <w:p w14:paraId="3788603E">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20-30g/L碱性</w:t>
            </w:r>
            <w:r>
              <w:rPr>
                <w:rFonts w:hint="eastAsia" w:ascii="Times New Roman" w:hAnsi="Times New Roman" w:eastAsia="宋体" w:cs="Times New Roman"/>
                <w:sz w:val="21"/>
                <w:szCs w:val="21"/>
                <w:lang w:val="en-US" w:eastAsia="zh-CN" w:bidi="ar-SA"/>
              </w:rPr>
              <w:t>脱脂剂</w:t>
            </w:r>
          </w:p>
        </w:tc>
        <w:tc>
          <w:tcPr>
            <w:tcW w:w="2348" w:type="dxa"/>
            <w:vAlign w:val="center"/>
          </w:tcPr>
          <w:p w14:paraId="272DC5F3">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60</w:t>
            </w:r>
            <w:r>
              <w:rPr>
                <w:rFonts w:hint="eastAsia" w:ascii="Times New Roman" w:hAnsi="Times New Roman" w:eastAsia="宋体" w:cs="Times New Roman"/>
                <w:sz w:val="21"/>
                <w:szCs w:val="21"/>
                <w:lang w:val="en-US" w:eastAsia="zh-CN" w:bidi="ar-SA"/>
              </w:rPr>
              <w:t>-65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3-10min</w:t>
            </w:r>
          </w:p>
        </w:tc>
      </w:tr>
      <w:tr w14:paraId="14AA8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0C24986D">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酸洗活化</w:t>
            </w:r>
          </w:p>
        </w:tc>
        <w:tc>
          <w:tcPr>
            <w:tcW w:w="4600" w:type="dxa"/>
            <w:vAlign w:val="center"/>
          </w:tcPr>
          <w:p w14:paraId="2A79193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240ml/L（10%）硫酸</w:t>
            </w:r>
          </w:p>
        </w:tc>
        <w:tc>
          <w:tcPr>
            <w:tcW w:w="2348" w:type="dxa"/>
            <w:vAlign w:val="center"/>
          </w:tcPr>
          <w:p w14:paraId="6F3B3F1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25℃，3-5min</w:t>
            </w:r>
          </w:p>
        </w:tc>
      </w:tr>
      <w:tr w14:paraId="53223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6331FF63">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暗镍</w:t>
            </w:r>
          </w:p>
        </w:tc>
        <w:tc>
          <w:tcPr>
            <w:tcW w:w="4600" w:type="dxa"/>
            <w:vAlign w:val="center"/>
          </w:tcPr>
          <w:p w14:paraId="6481A842">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200-250g/L硫酸镍、45-50g/L氯化镍、45-50g/L硼酸</w:t>
            </w:r>
          </w:p>
        </w:tc>
        <w:tc>
          <w:tcPr>
            <w:tcW w:w="2348" w:type="dxa"/>
            <w:vAlign w:val="center"/>
          </w:tcPr>
          <w:p w14:paraId="177B0558">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pH 3.8-4.2、50-55℃，90-100min，3-8A/dm</w:t>
            </w:r>
            <w:r>
              <w:rPr>
                <w:rFonts w:hint="default" w:ascii="Times New Roman" w:hAnsi="Times New Roman" w:eastAsia="宋体" w:cs="Times New Roman"/>
                <w:sz w:val="21"/>
                <w:szCs w:val="21"/>
                <w:vertAlign w:val="superscript"/>
                <w:lang w:val="en-US" w:eastAsia="zh-CN" w:bidi="ar-SA"/>
              </w:rPr>
              <w:t>2</w:t>
            </w:r>
          </w:p>
        </w:tc>
      </w:tr>
      <w:tr w14:paraId="49141F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17DF4E37">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镀镍</w:t>
            </w:r>
          </w:p>
        </w:tc>
        <w:tc>
          <w:tcPr>
            <w:tcW w:w="4600" w:type="dxa"/>
            <w:vAlign w:val="center"/>
          </w:tcPr>
          <w:p w14:paraId="4F3D1AF1">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200-250g/L硫酸镍、45-50g/L氯化镍、45-50g/L硼酸、0.3-0.5g/L光亮剂、6-8mg/L柔软剂</w:t>
            </w:r>
          </w:p>
        </w:tc>
        <w:tc>
          <w:tcPr>
            <w:tcW w:w="2348" w:type="dxa"/>
            <w:vAlign w:val="center"/>
          </w:tcPr>
          <w:p w14:paraId="0A71F9F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 xml:space="preserve">pH </w:t>
            </w:r>
            <w:r>
              <w:rPr>
                <w:rFonts w:hint="eastAsia" w:ascii="Times New Roman" w:hAnsi="Times New Roman" w:eastAsia="宋体" w:cs="Times New Roman"/>
                <w:sz w:val="21"/>
                <w:szCs w:val="21"/>
                <w:lang w:val="en-US" w:eastAsia="zh-CN" w:bidi="ar-SA"/>
              </w:rPr>
              <w:t>4.8-5.2、</w:t>
            </w:r>
            <w:r>
              <w:rPr>
                <w:rFonts w:hint="default" w:ascii="Times New Roman" w:hAnsi="Times New Roman" w:eastAsia="宋体" w:cs="Times New Roman"/>
                <w:sz w:val="21"/>
                <w:szCs w:val="21"/>
                <w:lang w:val="en-US" w:eastAsia="zh-CN" w:bidi="ar-SA"/>
              </w:rPr>
              <w:t>5</w:t>
            </w:r>
            <w:r>
              <w:rPr>
                <w:rFonts w:hint="eastAsia" w:ascii="Times New Roman" w:hAnsi="Times New Roman" w:eastAsia="宋体" w:cs="Times New Roman"/>
                <w:sz w:val="21"/>
                <w:szCs w:val="21"/>
                <w:lang w:val="en-US" w:eastAsia="zh-CN" w:bidi="ar-SA"/>
              </w:rPr>
              <w:t>0-55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110-120min</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2-9A/dm</w:t>
            </w:r>
            <w:r>
              <w:rPr>
                <w:rFonts w:hint="default" w:ascii="Times New Roman" w:hAnsi="Times New Roman" w:eastAsia="宋体" w:cs="Times New Roman"/>
                <w:sz w:val="21"/>
                <w:szCs w:val="21"/>
                <w:vertAlign w:val="superscript"/>
                <w:lang w:val="en-US" w:eastAsia="zh-CN" w:bidi="ar-SA"/>
              </w:rPr>
              <w:t>2</w:t>
            </w:r>
          </w:p>
        </w:tc>
      </w:tr>
      <w:tr w14:paraId="34EBF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098AFA9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漂白</w:t>
            </w:r>
          </w:p>
        </w:tc>
        <w:tc>
          <w:tcPr>
            <w:tcW w:w="4600" w:type="dxa"/>
            <w:vAlign w:val="center"/>
          </w:tcPr>
          <w:p w14:paraId="31C10B53">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15g/L一水柠檬酸</w:t>
            </w:r>
            <w:r>
              <w:rPr>
                <w:rFonts w:hint="eastAsia" w:ascii="Times New Roman" w:hAnsi="Times New Roman" w:eastAsia="宋体" w:cs="Times New Roman"/>
                <w:sz w:val="21"/>
                <w:szCs w:val="21"/>
                <w:lang w:val="en-US" w:eastAsia="zh-CN" w:bidi="ar-SA"/>
              </w:rPr>
              <w:t>、8</w:t>
            </w:r>
            <w:r>
              <w:rPr>
                <w:rFonts w:hint="default" w:ascii="Times New Roman" w:hAnsi="Times New Roman" w:eastAsia="宋体" w:cs="Times New Roman"/>
                <w:sz w:val="21"/>
                <w:szCs w:val="21"/>
                <w:lang w:val="en-US" w:eastAsia="zh-CN" w:bidi="ar-SA"/>
              </w:rPr>
              <w:t>g/L</w:t>
            </w:r>
            <w:r>
              <w:rPr>
                <w:rFonts w:hint="eastAsia" w:ascii="Times New Roman" w:hAnsi="Times New Roman" w:eastAsia="宋体" w:cs="Times New Roman"/>
                <w:sz w:val="21"/>
                <w:szCs w:val="21"/>
                <w:lang w:val="en-US" w:eastAsia="zh-CN" w:bidi="ar-SA"/>
              </w:rPr>
              <w:t>酒石酸</w:t>
            </w:r>
          </w:p>
        </w:tc>
        <w:tc>
          <w:tcPr>
            <w:tcW w:w="2348" w:type="dxa"/>
            <w:vAlign w:val="center"/>
          </w:tcPr>
          <w:p w14:paraId="79AB332C">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，2</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5min</w:t>
            </w:r>
          </w:p>
        </w:tc>
      </w:tr>
      <w:tr w14:paraId="349824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23AD0EEB">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中和</w:t>
            </w:r>
          </w:p>
        </w:tc>
        <w:tc>
          <w:tcPr>
            <w:tcW w:w="4600" w:type="dxa"/>
            <w:vAlign w:val="center"/>
          </w:tcPr>
          <w:p w14:paraId="64DB09E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Cs/>
                <w:sz w:val="21"/>
                <w:szCs w:val="21"/>
                <w:lang w:val="en-US" w:eastAsia="zh-CN" w:bidi="ar-SA"/>
              </w:rPr>
              <w:t>20</w:t>
            </w:r>
            <w:r>
              <w:rPr>
                <w:rFonts w:hint="eastAsia" w:ascii="Times New Roman" w:hAnsi="Times New Roman" w:eastAsia="宋体" w:cs="Times New Roman"/>
                <w:bCs/>
                <w:sz w:val="21"/>
                <w:szCs w:val="21"/>
                <w:lang w:val="en-US" w:eastAsia="zh-CN" w:bidi="ar-SA"/>
              </w:rPr>
              <w:t>-30</w:t>
            </w:r>
            <w:r>
              <w:rPr>
                <w:rFonts w:hint="default" w:ascii="Times New Roman" w:hAnsi="Times New Roman" w:eastAsia="宋体" w:cs="Times New Roman"/>
                <w:sz w:val="21"/>
                <w:szCs w:val="21"/>
                <w:lang w:val="en-US" w:eastAsia="zh-CN" w:bidi="ar-SA"/>
              </w:rPr>
              <w:t>g/L氢氧化钠</w:t>
            </w:r>
          </w:p>
        </w:tc>
        <w:tc>
          <w:tcPr>
            <w:tcW w:w="2348" w:type="dxa"/>
            <w:vAlign w:val="center"/>
          </w:tcPr>
          <w:p w14:paraId="0B1FC770">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2-3min</w:t>
            </w:r>
          </w:p>
        </w:tc>
      </w:tr>
      <w:tr w14:paraId="3F30C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590E08D7">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钝化</w:t>
            </w:r>
          </w:p>
        </w:tc>
        <w:tc>
          <w:tcPr>
            <w:tcW w:w="4600" w:type="dxa"/>
            <w:vAlign w:val="center"/>
          </w:tcPr>
          <w:p w14:paraId="407421CA">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340</w:t>
            </w:r>
            <w:r>
              <w:rPr>
                <w:rFonts w:hint="default" w:ascii="Times New Roman" w:hAnsi="Times New Roman" w:eastAsia="宋体" w:cs="Times New Roman"/>
                <w:sz w:val="21"/>
                <w:szCs w:val="21"/>
                <w:lang w:val="en-US" w:eastAsia="zh-CN" w:bidi="ar-SA"/>
              </w:rPr>
              <w:t>g/L</w:t>
            </w:r>
            <w:r>
              <w:rPr>
                <w:rFonts w:hint="eastAsia" w:ascii="Times New Roman" w:hAnsi="Times New Roman" w:eastAsia="宋体" w:cs="Times New Roman"/>
                <w:sz w:val="21"/>
                <w:szCs w:val="21"/>
                <w:lang w:val="en-US" w:eastAsia="zh-CN" w:bidi="ar-SA"/>
              </w:rPr>
              <w:t>硝酸铬</w:t>
            </w:r>
            <w:r>
              <w:rPr>
                <w:rFonts w:hint="default" w:ascii="Times New Roman" w:hAnsi="Times New Roman" w:eastAsia="宋体" w:cs="Times New Roman"/>
                <w:sz w:val="21"/>
                <w:szCs w:val="21"/>
                <w:lang w:val="en-US" w:eastAsia="zh-CN" w:bidi="ar-SA"/>
              </w:rPr>
              <w:t>溶液</w:t>
            </w:r>
          </w:p>
        </w:tc>
        <w:tc>
          <w:tcPr>
            <w:tcW w:w="2348" w:type="dxa"/>
            <w:vAlign w:val="center"/>
          </w:tcPr>
          <w:p w14:paraId="650CF50C">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℃，2-5min</w:t>
            </w:r>
          </w:p>
        </w:tc>
      </w:tr>
      <w:tr w14:paraId="020289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6CB7F51B">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中和</w:t>
            </w:r>
          </w:p>
        </w:tc>
        <w:tc>
          <w:tcPr>
            <w:tcW w:w="4600" w:type="dxa"/>
            <w:vAlign w:val="center"/>
          </w:tcPr>
          <w:p w14:paraId="57F4E876">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bCs/>
                <w:sz w:val="21"/>
                <w:szCs w:val="21"/>
                <w:lang w:val="en-US" w:eastAsia="zh-CN" w:bidi="ar-SA"/>
              </w:rPr>
              <w:t>20</w:t>
            </w:r>
            <w:r>
              <w:rPr>
                <w:rFonts w:hint="eastAsia" w:ascii="Times New Roman" w:hAnsi="Times New Roman" w:eastAsia="宋体" w:cs="Times New Roman"/>
                <w:bCs/>
                <w:sz w:val="21"/>
                <w:szCs w:val="21"/>
                <w:lang w:val="en-US" w:eastAsia="zh-CN" w:bidi="ar-SA"/>
              </w:rPr>
              <w:t>-30</w:t>
            </w:r>
            <w:r>
              <w:rPr>
                <w:rFonts w:hint="default" w:ascii="Times New Roman" w:hAnsi="Times New Roman" w:eastAsia="宋体" w:cs="Times New Roman"/>
                <w:sz w:val="21"/>
                <w:szCs w:val="21"/>
                <w:lang w:val="en-US" w:eastAsia="zh-CN" w:bidi="ar-SA"/>
              </w:rPr>
              <w:t>g/L氢氧化钠</w:t>
            </w:r>
          </w:p>
        </w:tc>
        <w:tc>
          <w:tcPr>
            <w:tcW w:w="2348" w:type="dxa"/>
            <w:vAlign w:val="center"/>
          </w:tcPr>
          <w:p w14:paraId="4D999045">
            <w:pPr>
              <w:keepNext w:val="0"/>
              <w:keepLines w:val="0"/>
              <w:widowControl w:val="0"/>
              <w:suppressLineNumbers w:val="0"/>
              <w:adjustRightInd/>
              <w:snapToGrid/>
              <w:spacing w:before="0" w:beforeAutospacing="0" w:after="0" w:afterAutospacing="0" w:line="240" w:lineRule="auto"/>
              <w:ind w:left="0" w:leftChars="0" w:right="0" w:rightChars="0" w:firstLine="0" w:firstLineChars="0"/>
              <w:contextualSpacing/>
              <w:jc w:val="center"/>
              <w:textAlignment w:val="baseline"/>
              <w:rPr>
                <w:rFonts w:hint="eastAsia"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25</w:t>
            </w:r>
            <w:r>
              <w:rPr>
                <w:rFonts w:hint="default"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bidi="ar-SA"/>
              </w:rPr>
              <w:t>，</w:t>
            </w:r>
            <w:r>
              <w:rPr>
                <w:rFonts w:hint="default" w:ascii="Times New Roman" w:hAnsi="Times New Roman" w:eastAsia="宋体" w:cs="Times New Roman"/>
                <w:sz w:val="21"/>
                <w:szCs w:val="21"/>
                <w:lang w:val="en-US" w:eastAsia="zh-CN" w:bidi="ar-SA"/>
              </w:rPr>
              <w:t>2-3min</w:t>
            </w:r>
          </w:p>
        </w:tc>
      </w:tr>
      <w:tr w14:paraId="142B65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4" w:type="dxa"/>
            <w:vAlign w:val="center"/>
          </w:tcPr>
          <w:p w14:paraId="4F925B8E">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封闭</w:t>
            </w:r>
          </w:p>
        </w:tc>
        <w:tc>
          <w:tcPr>
            <w:tcW w:w="4600" w:type="dxa"/>
            <w:vAlign w:val="center"/>
          </w:tcPr>
          <w:p w14:paraId="1716FD20">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bCs/>
                <w:sz w:val="21"/>
                <w:szCs w:val="21"/>
                <w:lang w:val="en-US" w:eastAsia="zh-CN" w:bidi="ar-SA"/>
              </w:rPr>
              <w:t>2%-5%封闭剂</w:t>
            </w:r>
          </w:p>
        </w:tc>
        <w:tc>
          <w:tcPr>
            <w:tcW w:w="2348" w:type="dxa"/>
            <w:vAlign w:val="center"/>
          </w:tcPr>
          <w:p w14:paraId="5312EFAC">
            <w:pPr>
              <w:keepNext w:val="0"/>
              <w:keepLines w:val="0"/>
              <w:widowControl w:val="0"/>
              <w:suppressLineNumbers w:val="0"/>
              <w:adjustRightInd/>
              <w:snapToGrid/>
              <w:spacing w:before="0" w:beforeAutospacing="0" w:after="0" w:afterAutospacing="0" w:line="240" w:lineRule="auto"/>
              <w:ind w:left="0" w:right="0" w:firstLine="0" w:firstLineChars="0"/>
              <w:contextualSpacing/>
              <w:jc w:val="center"/>
              <w:textAlignment w:val="baseline"/>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bCs/>
                <w:sz w:val="21"/>
                <w:szCs w:val="21"/>
                <w:lang w:val="en-US" w:eastAsia="zh-CN" w:bidi="ar-SA"/>
              </w:rPr>
              <w:t>40-</w:t>
            </w:r>
            <w:r>
              <w:rPr>
                <w:rFonts w:hint="default" w:ascii="Times New Roman" w:hAnsi="Times New Roman" w:eastAsia="宋体" w:cs="Times New Roman"/>
                <w:bCs/>
                <w:sz w:val="21"/>
                <w:szCs w:val="21"/>
                <w:lang w:val="en-US" w:eastAsia="zh-CN" w:bidi="ar-SA"/>
              </w:rPr>
              <w:t>50℃，2-5min</w:t>
            </w:r>
          </w:p>
        </w:tc>
      </w:tr>
    </w:tbl>
    <w:p w14:paraId="70E3CE07">
      <w:pPr>
        <w:ind w:left="0" w:leftChars="0" w:firstLine="0" w:firstLineChars="0"/>
        <w:rPr>
          <w:rFonts w:hint="default" w:eastAsia="宋体"/>
          <w:b/>
          <w:lang w:val="en-US" w:eastAsia="zh-CN"/>
        </w:rPr>
      </w:pPr>
      <w:r>
        <w:rPr>
          <w:rFonts w:hint="eastAsia"/>
          <w:b/>
        </w:rPr>
        <w:t>三</w:t>
      </w:r>
      <w:r>
        <w:rPr>
          <w:b/>
        </w:rPr>
        <w:t>、</w:t>
      </w:r>
      <w:r>
        <w:rPr>
          <w:rFonts w:hint="eastAsia"/>
          <w:b/>
          <w:lang w:val="en-US" w:eastAsia="zh-CN"/>
        </w:rPr>
        <w:t>电池连接件生产工艺流程</w:t>
      </w:r>
    </w:p>
    <w:p w14:paraId="57FDF095">
      <w:pPr>
        <w:pStyle w:val="78"/>
        <w:jc w:val="center"/>
        <w:rPr>
          <w:rFonts w:ascii="Times New Roman" w:hAnsi="Times New Roman" w:eastAsia="宋体" w:cs="宋体"/>
          <w:b/>
          <w:kern w:val="2"/>
          <w:sz w:val="24"/>
          <w:szCs w:val="24"/>
          <w:lang w:val="en-US" w:eastAsia="zh-CN" w:bidi="ar-SA"/>
        </w:rPr>
      </w:pPr>
      <w:bookmarkStart w:id="389" w:name="_Toc428287569"/>
      <w:bookmarkStart w:id="390" w:name="_Toc428286833"/>
      <w:bookmarkStart w:id="391" w:name="_Toc428287217"/>
      <w:r>
        <w:rPr>
          <w:rFonts w:ascii="Times New Roman" w:hAnsi="Times New Roman" w:eastAsia="宋体" w:cs="宋体"/>
          <w:b/>
          <w:kern w:val="2"/>
          <w:sz w:val="24"/>
          <w:szCs w:val="24"/>
          <w:lang w:val="en-US" w:eastAsia="zh-CN" w:bidi="ar-SA"/>
        </w:rPr>
        <w:object>
          <v:shape id="_x0000_i1025" o:spt="75" type="#_x0000_t75" style="height:326.15pt;width:439.35pt;" o:ole="t" filled="f" o:preferrelative="t" stroked="f" coordsize="21600,21600">
            <v:path/>
            <v:fill on="f" focussize="0,0"/>
            <v:stroke on="f"/>
            <v:imagedata r:id="rId25" o:title=""/>
            <o:lock v:ext="edit" aspectratio="t"/>
            <w10:wrap type="none"/>
            <w10:anchorlock/>
          </v:shape>
          <o:OLEObject Type="Embed" ProgID="Visio.Drawing.11" ShapeID="_x0000_i1025" DrawAspect="Content" ObjectID="_1468075728" r:id="rId24">
            <o:LockedField>false</o:LockedField>
          </o:OLEObject>
        </w:object>
      </w:r>
    </w:p>
    <w:p w14:paraId="0990E84C">
      <w:pPr>
        <w:pStyle w:val="78"/>
        <w:jc w:val="left"/>
      </w:pPr>
      <w:r>
        <w:rPr>
          <w:sz w:val="21"/>
          <w:szCs w:val="21"/>
        </w:rPr>
        <w:t>注：G：废气；W：废水；N：噪声；S：固废</w:t>
      </w:r>
    </w:p>
    <w:p w14:paraId="25638337">
      <w:pPr>
        <w:pStyle w:val="78"/>
      </w:pPr>
    </w:p>
    <w:p w14:paraId="172C5187">
      <w:pPr>
        <w:pStyle w:val="78"/>
      </w:pPr>
      <w:r>
        <w:rPr>
          <w:rFonts w:hint="eastAsia"/>
        </w:rPr>
        <w:t>图</w:t>
      </w:r>
      <w:r>
        <w:rPr>
          <w:rFonts w:hint="eastAsia"/>
          <w:lang w:val="en-US" w:eastAsia="zh-CN"/>
        </w:rPr>
        <w:t>3.2-3</w:t>
      </w:r>
      <w:r>
        <w:rPr>
          <w:rFonts w:hint="eastAsia"/>
        </w:rPr>
        <w:t xml:space="preserve">    </w:t>
      </w:r>
      <w:r>
        <w:rPr>
          <w:rFonts w:hint="eastAsia"/>
          <w:lang w:val="en-US" w:eastAsia="zh-CN"/>
        </w:rPr>
        <w:t>电池连接件</w:t>
      </w:r>
      <w:r>
        <w:rPr>
          <w:rFonts w:hint="eastAsia"/>
        </w:rPr>
        <w:t>工艺流程及产污环节图</w:t>
      </w:r>
    </w:p>
    <w:p w14:paraId="1A405813">
      <w:pPr>
        <w:ind w:firstLine="482"/>
        <w:rPr>
          <w:b/>
          <w:bCs/>
        </w:rPr>
      </w:pPr>
      <w:r>
        <w:rPr>
          <w:rFonts w:hint="eastAsia"/>
          <w:b/>
          <w:bCs/>
          <w:lang w:val="en-US" w:eastAsia="zh-CN"/>
        </w:rPr>
        <w:t>钢带</w:t>
      </w:r>
      <w:r>
        <w:rPr>
          <w:rFonts w:hint="eastAsia"/>
          <w:b/>
          <w:bCs/>
        </w:rPr>
        <w:t>工艺流程简述：</w:t>
      </w:r>
    </w:p>
    <w:p w14:paraId="3BCB5D45">
      <w:pPr>
        <w:ind w:firstLine="482"/>
        <w:rPr>
          <w:bCs/>
          <w:szCs w:val="24"/>
        </w:rPr>
      </w:pPr>
      <w:r>
        <w:rPr>
          <w:rFonts w:hint="eastAsia"/>
          <w:b/>
          <w:szCs w:val="24"/>
        </w:rPr>
        <w:t>1、分切：</w:t>
      </w:r>
      <w:r>
        <w:rPr>
          <w:rFonts w:hint="eastAsia"/>
          <w:bCs/>
          <w:szCs w:val="24"/>
        </w:rPr>
        <w:t>将外购的卷状普通钢带经叉车转运至分切机上，根据产品的尺寸大小进行分切成较窄的钢带。此过程会产生废边角料，设备运行会产生噪声。</w:t>
      </w:r>
    </w:p>
    <w:p w14:paraId="68B60072">
      <w:pPr>
        <w:ind w:firstLine="482"/>
        <w:jc w:val="both"/>
        <w:rPr>
          <w:rFonts w:hint="default" w:eastAsia="宋体"/>
          <w:b w:val="0"/>
          <w:bCs/>
          <w:color w:val="000000" w:themeColor="text1"/>
          <w:szCs w:val="24"/>
          <w:lang w:val="en-US" w:eastAsia="zh-CN"/>
          <w14:textFill>
            <w14:solidFill>
              <w14:schemeClr w14:val="tx1"/>
            </w14:solidFill>
          </w14:textFill>
        </w:rPr>
      </w:pPr>
      <w:r>
        <w:rPr>
          <w:rFonts w:hint="eastAsia"/>
          <w:b/>
          <w:szCs w:val="24"/>
        </w:rPr>
        <w:t>2、除油：</w:t>
      </w:r>
      <w:r>
        <w:rPr>
          <w:rFonts w:hint="eastAsia"/>
          <w:b w:val="0"/>
          <w:bCs/>
          <w:color w:val="000000" w:themeColor="text1"/>
          <w:szCs w:val="24"/>
          <w:lang w:val="en-US" w:eastAsia="zh-CN"/>
          <w14:textFill>
            <w14:solidFill>
              <w14:schemeClr w14:val="tx1"/>
            </w14:solidFill>
          </w14:textFill>
        </w:rPr>
        <w:t>钢带除油工序主要包含超声除油以及电解除油，具体如下：</w:t>
      </w:r>
    </w:p>
    <w:p w14:paraId="03C601B4">
      <w:pPr>
        <w:ind w:firstLine="482"/>
        <w:jc w:val="both"/>
        <w:rPr>
          <w:bCs/>
          <w:szCs w:val="24"/>
        </w:rPr>
      </w:pPr>
      <w:r>
        <w:rPr>
          <w:rFonts w:hint="eastAsia"/>
          <w:bCs/>
          <w:szCs w:val="24"/>
          <w:lang w:val="en-US" w:eastAsia="zh-CN"/>
        </w:rPr>
        <w:t>超声除油：</w:t>
      </w:r>
      <w:r>
        <w:rPr>
          <w:rFonts w:hint="eastAsia"/>
          <w:bCs/>
          <w:szCs w:val="24"/>
        </w:rPr>
        <w:t>将钢带放置于放料架上，</w:t>
      </w:r>
      <w:r>
        <w:rPr>
          <w:rFonts w:hint="eastAsia"/>
          <w:bCs/>
          <w:szCs w:val="24"/>
          <w:lang w:val="en-US" w:eastAsia="zh-CN"/>
        </w:rPr>
        <w:t>自动</w:t>
      </w:r>
      <w:r>
        <w:rPr>
          <w:rFonts w:hint="eastAsia"/>
          <w:bCs/>
          <w:szCs w:val="24"/>
        </w:rPr>
        <w:t>牵引置于</w:t>
      </w:r>
      <w:r>
        <w:rPr>
          <w:rFonts w:hint="eastAsia"/>
          <w:bCs/>
          <w:szCs w:val="24"/>
          <w:lang w:val="en-US" w:eastAsia="zh-CN"/>
        </w:rPr>
        <w:t>超声</w:t>
      </w:r>
      <w:r>
        <w:rPr>
          <w:rFonts w:hint="eastAsia"/>
          <w:bCs/>
          <w:szCs w:val="24"/>
        </w:rPr>
        <w:t>除油槽内</w:t>
      </w:r>
      <w:r>
        <w:rPr>
          <w:rFonts w:hint="eastAsia"/>
          <w:bCs/>
          <w:szCs w:val="24"/>
          <w:lang w:eastAsia="zh-CN"/>
        </w:rPr>
        <w:t>，</w:t>
      </w:r>
      <w:r>
        <w:rPr>
          <w:rFonts w:hint="eastAsia"/>
          <w:bCs/>
          <w:szCs w:val="24"/>
          <w:lang w:val="en-US" w:eastAsia="zh-CN"/>
        </w:rPr>
        <w:t>利用超声波的产生的“空化”效应，强化除油过程。</w:t>
      </w:r>
      <w:r>
        <w:rPr>
          <w:rFonts w:hint="eastAsia"/>
          <w:bCs/>
          <w:szCs w:val="24"/>
        </w:rPr>
        <w:t>除油槽内溶液为</w:t>
      </w:r>
      <w:r>
        <w:rPr>
          <w:rFonts w:hint="eastAsia"/>
          <w:bCs/>
          <w:color w:val="000000" w:themeColor="text1"/>
          <w:szCs w:val="24"/>
          <w14:textFill>
            <w14:solidFill>
              <w14:schemeClr w14:val="tx1"/>
            </w14:solidFill>
          </w14:textFill>
        </w:rPr>
        <w:t>20-30g/L氢氧化钠、纯碱等碱性脱脂剂</w:t>
      </w:r>
      <w:r>
        <w:rPr>
          <w:rFonts w:hint="eastAsia"/>
          <w:bCs/>
          <w:szCs w:val="24"/>
        </w:rPr>
        <w:t>，除油槽操控温度控制在5</w:t>
      </w:r>
      <w:r>
        <w:rPr>
          <w:bCs/>
          <w:szCs w:val="24"/>
        </w:rPr>
        <w:t>0-55℃（采</w:t>
      </w:r>
      <w:r>
        <w:rPr>
          <w:rFonts w:hint="eastAsia"/>
          <w:bCs/>
          <w:szCs w:val="24"/>
        </w:rPr>
        <w:t>用蒸汽加热），除油时间为</w:t>
      </w:r>
      <w:r>
        <w:rPr>
          <w:rFonts w:hint="eastAsia"/>
          <w:bCs/>
          <w:szCs w:val="24"/>
          <w:lang w:val="en-US" w:eastAsia="zh-CN"/>
        </w:rPr>
        <w:t>约10s</w:t>
      </w:r>
      <w:r>
        <w:rPr>
          <w:rFonts w:hint="eastAsia"/>
          <w:bCs/>
          <w:szCs w:val="24"/>
        </w:rPr>
        <w:t>。</w:t>
      </w:r>
      <w:r>
        <w:rPr>
          <w:rFonts w:hint="eastAsia"/>
          <w:bCs/>
          <w:szCs w:val="24"/>
          <w:lang w:val="en-US" w:eastAsia="zh-CN"/>
        </w:rPr>
        <w:t>母槽内液体用泵打入子槽内，</w:t>
      </w:r>
      <w:r>
        <w:rPr>
          <w:rFonts w:hint="eastAsia"/>
          <w:bCs/>
          <w:szCs w:val="24"/>
        </w:rPr>
        <w:t>钢带</w:t>
      </w:r>
      <w:r>
        <w:rPr>
          <w:rFonts w:hint="eastAsia"/>
          <w:bCs/>
          <w:szCs w:val="24"/>
          <w:lang w:val="en-US" w:eastAsia="zh-CN"/>
        </w:rPr>
        <w:t>从子槽两侧的缝隙中穿过，泵入子槽的溶液也从缝隙中流出而流入母槽，由于流入流出的速度有差异，就可以保持一定的液位。</w:t>
      </w:r>
      <w:r>
        <w:rPr>
          <w:rFonts w:hint="eastAsia"/>
          <w:bCs/>
          <w:szCs w:val="24"/>
        </w:rPr>
        <w:t>除油槽液需定期更换，更换周期为3个月，除油废槽液通过独立管道送至破乳、气浮池预处理后送往综合废水处理设施进行处理。</w:t>
      </w:r>
    </w:p>
    <w:p w14:paraId="4580F238">
      <w:pPr>
        <w:ind w:firstLine="482"/>
        <w:rPr>
          <w:rFonts w:hint="eastAsia" w:ascii="Times New Roman" w:hAnsi="Times New Roman" w:eastAsia="宋体" w:cs="Times New Roman"/>
          <w:bCs/>
          <w:szCs w:val="24"/>
          <w:lang w:val="en-US" w:eastAsia="zh-CN"/>
        </w:rPr>
      </w:pPr>
      <w:r>
        <w:rPr>
          <w:rFonts w:hint="eastAsia" w:ascii="Times New Roman" w:hAnsi="Times New Roman" w:eastAsia="宋体" w:cs="Times New Roman"/>
          <w:bCs/>
          <w:szCs w:val="24"/>
        </w:rPr>
        <w:t>电解除油：化学除油后的钢带牵引置于电解除油槽内。除油</w:t>
      </w:r>
      <w:r>
        <w:rPr>
          <w:rFonts w:hint="eastAsia" w:ascii="Times New Roman" w:hAnsi="Times New Roman" w:eastAsia="宋体" w:cs="Times New Roman"/>
          <w:bCs/>
          <w:szCs w:val="24"/>
          <w:lang w:val="en-US" w:eastAsia="zh-CN"/>
        </w:rPr>
        <w:t>母</w:t>
      </w:r>
      <w:r>
        <w:rPr>
          <w:rFonts w:hint="eastAsia" w:ascii="Times New Roman" w:hAnsi="Times New Roman" w:eastAsia="宋体" w:cs="Times New Roman"/>
          <w:bCs/>
          <w:szCs w:val="24"/>
        </w:rPr>
        <w:t>槽内溶液为20-30g/L氢氧化钠、纯碱等碱性脱脂剂，除油槽温度控制在45-50℃（采用蒸汽加热），除油时间</w:t>
      </w:r>
      <w:r>
        <w:rPr>
          <w:rFonts w:hint="eastAsia" w:ascii="Times New Roman" w:hAnsi="Times New Roman" w:eastAsia="宋体" w:cs="Times New Roman"/>
          <w:bCs/>
          <w:szCs w:val="24"/>
          <w:lang w:val="en-US" w:eastAsia="zh-CN"/>
        </w:rPr>
        <w:t>约</w:t>
      </w:r>
      <w:r>
        <w:rPr>
          <w:rFonts w:hint="eastAsia" w:ascii="Times New Roman" w:hAnsi="Times New Roman" w:eastAsia="宋体" w:cs="Times New Roman"/>
          <w:bCs/>
          <w:szCs w:val="24"/>
        </w:rPr>
        <w:t>为</w:t>
      </w:r>
      <w:r>
        <w:rPr>
          <w:rFonts w:hint="eastAsia" w:ascii="Times New Roman" w:hAnsi="Times New Roman" w:eastAsia="宋体" w:cs="Times New Roman"/>
          <w:bCs/>
          <w:szCs w:val="24"/>
          <w:lang w:val="en-US" w:eastAsia="zh-CN"/>
        </w:rPr>
        <w:t>20s</w:t>
      </w:r>
      <w:r>
        <w:rPr>
          <w:rFonts w:hint="eastAsia" w:ascii="Times New Roman" w:hAnsi="Times New Roman" w:eastAsia="宋体" w:cs="Times New Roman"/>
          <w:bCs/>
          <w:szCs w:val="24"/>
          <w:lang w:eastAsia="zh-CN"/>
        </w:rPr>
        <w:t>，</w:t>
      </w:r>
      <w:r>
        <w:rPr>
          <w:rFonts w:hint="eastAsia" w:ascii="Times New Roman" w:hAnsi="Times New Roman" w:eastAsia="宋体" w:cs="Times New Roman"/>
          <w:bCs/>
          <w:szCs w:val="24"/>
          <w:lang w:val="en-US" w:eastAsia="zh-CN"/>
        </w:rPr>
        <w:t>母槽内液体用泵泵入子槽内，</w:t>
      </w:r>
      <w:r>
        <w:rPr>
          <w:rFonts w:hint="eastAsia" w:ascii="Times New Roman" w:hAnsi="Times New Roman" w:eastAsia="宋体" w:cs="Times New Roman"/>
          <w:bCs/>
          <w:szCs w:val="24"/>
        </w:rPr>
        <w:t>钢带</w:t>
      </w:r>
      <w:r>
        <w:rPr>
          <w:rFonts w:hint="eastAsia" w:ascii="Times New Roman" w:hAnsi="Times New Roman" w:eastAsia="宋体" w:cs="Times New Roman"/>
          <w:bCs/>
          <w:szCs w:val="24"/>
          <w:lang w:val="en-US" w:eastAsia="zh-CN"/>
        </w:rPr>
        <w:t>从子槽两侧的缝隙中穿过，泵入子槽的溶液也从缝隙中流出而流入母槽，由于流入流出的速度有差异，就可以保持一定的液位。</w:t>
      </w:r>
      <w:r>
        <w:rPr>
          <w:rFonts w:hint="eastAsia" w:ascii="Times New Roman" w:hAnsi="Times New Roman" w:eastAsia="宋体" w:cs="Times New Roman"/>
          <w:bCs/>
          <w:szCs w:val="24"/>
        </w:rPr>
        <w:t>除油槽液需定期更换，更换周期为3个月，除油废槽液通过独立管道送至破乳、气浮池预处理后送往综合废水处理设施进行处理。</w:t>
      </w:r>
    </w:p>
    <w:p w14:paraId="761E8C2E">
      <w:pPr>
        <w:adjustRightInd w:val="0"/>
        <w:snapToGrid w:val="0"/>
        <w:spacing w:line="520" w:lineRule="exact"/>
        <w:ind w:firstLine="480" w:firstLineChars="200"/>
        <w:textAlignment w:val="baseline"/>
        <w:rPr>
          <w:bCs/>
          <w:szCs w:val="24"/>
        </w:rPr>
      </w:pPr>
      <w:r>
        <w:rPr>
          <w:rFonts w:hint="eastAsia" w:ascii="Times New Roman" w:hAnsi="Times New Roman" w:eastAsia="宋体" w:cs="Times New Roman"/>
          <w:kern w:val="0"/>
          <w:sz w:val="24"/>
          <w:szCs w:val="24"/>
        </w:rPr>
        <w:t>为了保证清洗效果，除油后进行</w:t>
      </w:r>
      <w:r>
        <w:rPr>
          <w:rFonts w:hint="eastAsia" w:cs="Times New Roman"/>
          <w:kern w:val="0"/>
          <w:sz w:val="24"/>
          <w:szCs w:val="24"/>
          <w:lang w:val="en-US" w:eastAsia="zh-CN"/>
        </w:rPr>
        <w:t>浸水水洗以及喷淋水洗</w:t>
      </w:r>
      <w:r>
        <w:rPr>
          <w:rFonts w:hint="eastAsia" w:ascii="Times New Roman" w:hAnsi="Times New Roman" w:eastAsia="宋体" w:cs="Times New Roman"/>
          <w:kern w:val="0"/>
          <w:sz w:val="24"/>
          <w:szCs w:val="24"/>
        </w:rPr>
        <w:t>，</w:t>
      </w:r>
      <w:r>
        <w:rPr>
          <w:rFonts w:hint="eastAsia" w:cs="Times New Roman"/>
          <w:kern w:val="0"/>
          <w:sz w:val="24"/>
          <w:szCs w:val="24"/>
          <w:lang w:val="en-US" w:eastAsia="zh-CN"/>
        </w:rPr>
        <w:t>钢带传送至清洗子槽时，母槽内纯水由泵泵入子槽，实现对工件清洗的目的。</w:t>
      </w:r>
      <w:r>
        <w:rPr>
          <w:rFonts w:hint="eastAsia" w:ascii="Times New Roman" w:hAnsi="Times New Roman" w:eastAsia="宋体" w:cs="Times New Roman"/>
          <w:kern w:val="0"/>
          <w:sz w:val="24"/>
          <w:szCs w:val="24"/>
        </w:rPr>
        <w:t>为保证槽液水质</w:t>
      </w:r>
      <w:r>
        <w:rPr>
          <w:rFonts w:hint="eastAsia" w:ascii="Times New Roman" w:hAnsi="Times New Roman" w:eastAsia="宋体" w:cs="Times New Roman"/>
          <w:kern w:val="0"/>
          <w:sz w:val="24"/>
          <w:szCs w:val="24"/>
          <w:lang w:eastAsia="zh-CN"/>
        </w:rPr>
        <w:t>，</w:t>
      </w:r>
      <w:r>
        <w:rPr>
          <w:rFonts w:hint="eastAsia" w:cs="Times New Roman"/>
          <w:kern w:val="0"/>
          <w:sz w:val="24"/>
          <w:szCs w:val="24"/>
          <w:lang w:val="en-US" w:eastAsia="zh-CN"/>
        </w:rPr>
        <w:t>浸水洗废水从水洗槽槽头连续溢流排放，水洗槽</w:t>
      </w:r>
      <w:r>
        <w:rPr>
          <w:rFonts w:hint="eastAsia" w:ascii="Times New Roman" w:hAnsi="Times New Roman" w:eastAsia="宋体" w:cs="Times New Roman"/>
          <w:kern w:val="0"/>
          <w:sz w:val="24"/>
          <w:szCs w:val="24"/>
        </w:rPr>
        <w:t>的水每</w:t>
      </w:r>
      <w:r>
        <w:rPr>
          <w:rFonts w:hint="eastAsia" w:cs="Times New Roman"/>
          <w:kern w:val="0"/>
          <w:sz w:val="24"/>
          <w:szCs w:val="24"/>
          <w:lang w:val="en-US" w:eastAsia="zh-CN"/>
        </w:rPr>
        <w:t>天</w:t>
      </w:r>
      <w:r>
        <w:rPr>
          <w:rFonts w:hint="eastAsia" w:ascii="Times New Roman" w:hAnsi="Times New Roman" w:eastAsia="宋体" w:cs="Times New Roman"/>
          <w:kern w:val="0"/>
          <w:sz w:val="24"/>
          <w:szCs w:val="24"/>
        </w:rPr>
        <w:t>更换一次。废水通过独立管道输送至破乳、气浮池预处理后送往综合废水处理设施进行处理</w:t>
      </w:r>
      <w:r>
        <w:rPr>
          <w:rFonts w:hint="eastAsia"/>
          <w:bCs/>
          <w:szCs w:val="24"/>
        </w:rPr>
        <w:t>。</w:t>
      </w:r>
    </w:p>
    <w:p w14:paraId="1B2B001E">
      <w:pPr>
        <w:ind w:firstLine="482"/>
        <w:rPr>
          <w:rFonts w:hint="eastAsia" w:ascii="Times New Roman" w:hAnsi="Times New Roman" w:eastAsia="宋体" w:cs="Times New Roman"/>
          <w:bCs/>
          <w:szCs w:val="24"/>
        </w:rPr>
      </w:pPr>
      <w:r>
        <w:rPr>
          <w:rFonts w:hint="eastAsia" w:ascii="Times New Roman" w:hAnsi="Times New Roman" w:eastAsia="宋体" w:cs="Times New Roman"/>
          <w:bCs/>
          <w:szCs w:val="24"/>
        </w:rPr>
        <w:t>电解除油原理：在电解条件下，电极的极化作用降级了油与溶液的界面张力，溶液对零件表面的湿润性增加，使油膜与金属的粘附力降低，使油污易于剥离并分散到溶液种乳化而除去。</w:t>
      </w:r>
    </w:p>
    <w:p w14:paraId="5BB04541">
      <w:pPr>
        <w:ind w:firstLine="480"/>
        <w:rPr>
          <w:bCs/>
          <w:szCs w:val="24"/>
        </w:rPr>
      </w:pPr>
      <w:r>
        <w:rPr>
          <w:rFonts w:hint="eastAsia"/>
          <w:bCs/>
          <w:szCs w:val="24"/>
        </w:rPr>
        <w:t>电解除油过程方程式如下：</w:t>
      </w:r>
    </w:p>
    <w:p w14:paraId="145DBDF6">
      <w:pPr>
        <w:ind w:firstLine="0" w:firstLineChars="0"/>
        <w:jc w:val="center"/>
        <w:rPr>
          <w:bCs/>
          <w:szCs w:val="24"/>
        </w:rPr>
      </w:pPr>
      <w:r>
        <w:rPr>
          <w:rFonts w:hint="eastAsia"/>
          <w:bCs/>
          <w:szCs w:val="24"/>
        </w:rPr>
        <w:t>4H</w:t>
      </w:r>
      <w:r>
        <w:rPr>
          <w:rFonts w:hint="eastAsia"/>
          <w:bCs/>
          <w:szCs w:val="24"/>
          <w:vertAlign w:val="subscript"/>
        </w:rPr>
        <w:t>2</w:t>
      </w:r>
      <w:r>
        <w:rPr>
          <w:rFonts w:hint="eastAsia"/>
          <w:bCs/>
          <w:szCs w:val="24"/>
        </w:rPr>
        <w:t>O</w:t>
      </w:r>
      <w:r>
        <w:rPr>
          <w:bCs/>
          <w:szCs w:val="24"/>
        </w:rPr>
        <w:t xml:space="preserve"> </w:t>
      </w:r>
      <w:r>
        <w:rPr>
          <w:rFonts w:hint="eastAsia"/>
          <w:bCs/>
          <w:szCs w:val="24"/>
        </w:rPr>
        <w:t>+</w:t>
      </w:r>
      <w:r>
        <w:rPr>
          <w:bCs/>
          <w:szCs w:val="24"/>
        </w:rPr>
        <w:t xml:space="preserve"> </w:t>
      </w:r>
      <w:r>
        <w:rPr>
          <w:rFonts w:hint="eastAsia"/>
          <w:bCs/>
          <w:szCs w:val="24"/>
        </w:rPr>
        <w:t>4e</w:t>
      </w:r>
      <w:r>
        <w:rPr>
          <w:bCs/>
          <w:szCs w:val="24"/>
        </w:rPr>
        <w:t xml:space="preserve"> </w:t>
      </w:r>
      <w:r>
        <w:rPr>
          <w:rFonts w:hint="eastAsia"/>
          <w:bCs/>
          <w:szCs w:val="24"/>
        </w:rPr>
        <w:t>=</w:t>
      </w:r>
      <w:r>
        <w:rPr>
          <w:bCs/>
          <w:szCs w:val="24"/>
        </w:rPr>
        <w:t xml:space="preserve"> </w:t>
      </w:r>
      <w:r>
        <w:rPr>
          <w:rFonts w:hint="eastAsia"/>
          <w:bCs/>
          <w:szCs w:val="24"/>
        </w:rPr>
        <w:t>2H</w:t>
      </w:r>
      <w:r>
        <w:rPr>
          <w:rFonts w:hint="eastAsia"/>
          <w:bCs/>
          <w:szCs w:val="24"/>
          <w:vertAlign w:val="subscript"/>
        </w:rPr>
        <w:t>2</w:t>
      </w:r>
      <w:r>
        <w:rPr>
          <w:rFonts w:hint="eastAsia"/>
          <w:bCs/>
          <w:szCs w:val="24"/>
        </w:rPr>
        <w:t>↑+ 4OH</w:t>
      </w:r>
      <w:r>
        <w:rPr>
          <w:rFonts w:hint="eastAsia"/>
          <w:bCs/>
          <w:szCs w:val="24"/>
          <w:vertAlign w:val="superscript"/>
        </w:rPr>
        <w:t>-</w:t>
      </w:r>
    </w:p>
    <w:p w14:paraId="6B4D36B2">
      <w:pPr>
        <w:ind w:firstLine="480"/>
        <w:rPr>
          <w:bCs/>
          <w:szCs w:val="24"/>
        </w:rPr>
      </w:pPr>
      <w:r>
        <w:rPr>
          <w:rFonts w:hint="eastAsia"/>
          <w:bCs/>
          <w:szCs w:val="24"/>
        </w:rPr>
        <w:t>电解过程中表面上大量气体析出，对油膜会产生强大的冲击和乳化作用。当把粘附有油膜的工件浸入碱性电解液时，由于油与碱液面张力减少，油膜产生了裂纹。与此同时，电极由于通电而极化，电极极化虽然对非离子型油类没有多大作用，但是它却使金属与碱液间的界面张力大大降低，因此很快地加大了二者的接触面积，从而排挤附着在金属表面上的油污，使油膜进一步破裂成小油珠。由于电流的作用下，再电极上生成了小气泡（氢气），这些气泡很易滞留在油珠上，新的气体不断产生，气泡就逐渐变大，在气泡升力的影响下，油珠离开金属表面的趋势增大，当气泡的升力足够大时，它就带着油珠脱离金属表面跑到液面上来了，同时对溶液起到搅拌作用，加速了零件表面油污的脱除速度</w:t>
      </w:r>
    </w:p>
    <w:p w14:paraId="6EEF20C6">
      <w:pPr>
        <w:numPr>
          <w:ilvl w:val="0"/>
          <w:numId w:val="5"/>
        </w:numPr>
        <w:ind w:left="0" w:leftChars="0" w:firstLine="482" w:firstLineChars="200"/>
        <w:rPr>
          <w:bCs/>
          <w:szCs w:val="24"/>
        </w:rPr>
      </w:pPr>
      <w:r>
        <w:rPr>
          <w:rFonts w:hint="eastAsia"/>
          <w:b/>
          <w:szCs w:val="24"/>
          <w:lang w:val="en-US" w:eastAsia="zh-CN"/>
        </w:rPr>
        <w:t>酸洗活化：</w:t>
      </w:r>
      <w:r>
        <w:rPr>
          <w:rFonts w:hint="eastAsia"/>
          <w:szCs w:val="24"/>
        </w:rPr>
        <w:t>除油水洗后的钢壳</w:t>
      </w:r>
      <w:r>
        <w:rPr>
          <w:rFonts w:hint="eastAsia"/>
          <w:szCs w:val="24"/>
          <w:lang w:val="en-US" w:eastAsia="zh-CN"/>
        </w:rPr>
        <w:t>牵引至</w:t>
      </w:r>
      <w:r>
        <w:rPr>
          <w:rFonts w:hint="eastAsia"/>
          <w:szCs w:val="24"/>
        </w:rPr>
        <w:t>酸洗槽进行酸洗，去除工件表面的氧化皮等杂质。</w:t>
      </w:r>
      <w:r>
        <w:rPr>
          <w:rFonts w:hint="eastAsia"/>
          <w:bCs/>
          <w:color w:val="000000" w:themeColor="text1"/>
          <w:szCs w:val="24"/>
          <w:highlight w:val="none"/>
          <w:lang w:val="en-US" w:eastAsia="zh-CN"/>
          <w14:textFill>
            <w14:solidFill>
              <w14:schemeClr w14:val="tx1"/>
            </w14:solidFill>
          </w14:textFill>
        </w:rPr>
        <w:t>母槽</w:t>
      </w:r>
      <w:r>
        <w:rPr>
          <w:rFonts w:hint="eastAsia"/>
          <w:bCs/>
          <w:szCs w:val="24"/>
          <w:lang w:val="en-US" w:eastAsia="zh-CN"/>
        </w:rPr>
        <w:t>内液体由泵泵入子槽内，</w:t>
      </w:r>
      <w:r>
        <w:rPr>
          <w:rFonts w:hint="eastAsia"/>
          <w:bCs/>
          <w:szCs w:val="24"/>
        </w:rPr>
        <w:t>钢带</w:t>
      </w:r>
      <w:r>
        <w:rPr>
          <w:rFonts w:hint="eastAsia"/>
          <w:bCs/>
          <w:szCs w:val="24"/>
          <w:lang w:val="en-US" w:eastAsia="zh-CN"/>
        </w:rPr>
        <w:t>从子槽两侧的缝隙中穿过，泵入子槽的溶液也从缝隙中流出而流入母槽，</w:t>
      </w:r>
      <w:r>
        <w:rPr>
          <w:rFonts w:hint="eastAsia"/>
          <w:color w:val="000000" w:themeColor="text1"/>
          <w:szCs w:val="24"/>
          <w14:textFill>
            <w14:solidFill>
              <w14:schemeClr w14:val="tx1"/>
            </w14:solidFill>
          </w14:textFill>
        </w:rPr>
        <w:t>酸洗液为8%的</w:t>
      </w:r>
      <w:r>
        <w:rPr>
          <w:rFonts w:hint="eastAsia"/>
          <w:color w:val="000000" w:themeColor="text1"/>
          <w:szCs w:val="24"/>
          <w:lang w:val="en-US" w:eastAsia="zh-CN"/>
          <w14:textFill>
            <w14:solidFill>
              <w14:schemeClr w14:val="tx1"/>
            </w14:solidFill>
          </w14:textFill>
        </w:rPr>
        <w:t>硫酸</w:t>
      </w:r>
      <w:r>
        <w:rPr>
          <w:rFonts w:hint="eastAsia"/>
          <w:color w:val="000000" w:themeColor="text1"/>
          <w:szCs w:val="24"/>
          <w14:textFill>
            <w14:solidFill>
              <w14:schemeClr w14:val="tx1"/>
            </w14:solidFill>
          </w14:textFill>
        </w:rPr>
        <w:t>，温度</w:t>
      </w:r>
      <w:r>
        <w:rPr>
          <w:color w:val="000000" w:themeColor="text1"/>
          <w:szCs w:val="24"/>
          <w14:textFill>
            <w14:solidFill>
              <w14:schemeClr w14:val="tx1"/>
            </w14:solidFill>
          </w14:textFill>
        </w:rPr>
        <w:t>为25℃，</w:t>
      </w:r>
      <w:r>
        <w:rPr>
          <w:rFonts w:hint="eastAsia"/>
          <w:color w:val="000000" w:themeColor="text1"/>
          <w:szCs w:val="24"/>
          <w14:textFill>
            <w14:solidFill>
              <w14:schemeClr w14:val="tx1"/>
            </w14:solidFill>
          </w14:textFill>
        </w:rPr>
        <w:t>酸洗时间</w:t>
      </w:r>
      <w:r>
        <w:rPr>
          <w:rFonts w:hint="eastAsia"/>
          <w:color w:val="000000" w:themeColor="text1"/>
          <w:szCs w:val="24"/>
          <w:lang w:val="en-US" w:eastAsia="zh-CN"/>
          <w14:textFill>
            <w14:solidFill>
              <w14:schemeClr w14:val="tx1"/>
            </w14:solidFill>
          </w14:textFill>
        </w:rPr>
        <w:t>约</w:t>
      </w:r>
      <w:r>
        <w:rPr>
          <w:rFonts w:hint="eastAsia"/>
          <w:color w:val="000000" w:themeColor="text1"/>
          <w:szCs w:val="24"/>
          <w14:textFill>
            <w14:solidFill>
              <w14:schemeClr w14:val="tx1"/>
            </w14:solidFill>
          </w14:textFill>
        </w:rPr>
        <w:t>为</w:t>
      </w:r>
      <w:r>
        <w:rPr>
          <w:rFonts w:hint="eastAsia"/>
          <w:color w:val="000000" w:themeColor="text1"/>
          <w:szCs w:val="24"/>
          <w:lang w:val="en-US" w:eastAsia="zh-CN"/>
          <w14:textFill>
            <w14:solidFill>
              <w14:schemeClr w14:val="tx1"/>
            </w14:solidFill>
          </w14:textFill>
        </w:rPr>
        <w:t>10s</w:t>
      </w:r>
      <w:r>
        <w:rPr>
          <w:rFonts w:hint="eastAsia"/>
          <w:color w:val="000000" w:themeColor="text1"/>
          <w:szCs w:val="24"/>
          <w14:textFill>
            <w14:solidFill>
              <w14:schemeClr w14:val="tx1"/>
            </w14:solidFill>
          </w14:textFill>
        </w:rPr>
        <w:t>。酸</w:t>
      </w:r>
      <w:r>
        <w:rPr>
          <w:rFonts w:hint="eastAsia"/>
          <w:szCs w:val="24"/>
        </w:rPr>
        <w:t>洗槽每8天更换一次，更换的废槽液通过独立管道送往综合废水处理设施进行处理。</w:t>
      </w:r>
    </w:p>
    <w:p w14:paraId="5F60F059">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eastAsia" w:ascii="Times New Roman" w:hAnsi="Times New Roman" w:eastAsia="宋体" w:cs="Times New Roman"/>
          <w:szCs w:val="24"/>
        </w:rPr>
      </w:pPr>
      <w:r>
        <w:rPr>
          <w:rFonts w:hint="eastAsia" w:ascii="Times New Roman" w:hAnsi="Times New Roman" w:eastAsia="宋体" w:cs="Times New Roman"/>
          <w:szCs w:val="24"/>
        </w:rPr>
        <w:t>酸洗后进行</w:t>
      </w:r>
      <w:r>
        <w:rPr>
          <w:rFonts w:hint="eastAsia" w:ascii="Times New Roman" w:hAnsi="Times New Roman" w:eastAsia="宋体" w:cs="Times New Roman"/>
          <w:szCs w:val="24"/>
          <w:lang w:val="en-US" w:eastAsia="zh-CN"/>
        </w:rPr>
        <w:t>喷淋</w:t>
      </w:r>
      <w:r>
        <w:rPr>
          <w:rFonts w:hint="eastAsia" w:ascii="Times New Roman" w:hAnsi="Times New Roman" w:eastAsia="宋体" w:cs="Times New Roman"/>
          <w:szCs w:val="24"/>
        </w:rPr>
        <w:t>水洗，为保证槽液水质，水洗槽的水每</w:t>
      </w:r>
      <w:r>
        <w:rPr>
          <w:rFonts w:hint="eastAsia" w:cs="Times New Roman"/>
          <w:szCs w:val="24"/>
          <w:lang w:val="en-US" w:eastAsia="zh-CN"/>
        </w:rPr>
        <w:t>天</w:t>
      </w:r>
      <w:r>
        <w:rPr>
          <w:rFonts w:hint="eastAsia" w:ascii="Times New Roman" w:hAnsi="Times New Roman" w:eastAsia="宋体" w:cs="Times New Roman"/>
          <w:szCs w:val="24"/>
        </w:rPr>
        <w:t>更换一次，废水经独立管道送往综合废水处理设施进行处理</w:t>
      </w:r>
      <w:r>
        <w:rPr>
          <w:rFonts w:hint="eastAsia" w:ascii="Times New Roman" w:hAnsi="Times New Roman" w:eastAsia="宋体" w:cs="Times New Roman"/>
          <w:szCs w:val="24"/>
          <w:lang w:eastAsia="zh-CN"/>
        </w:rPr>
        <w:t>。</w:t>
      </w:r>
    </w:p>
    <w:p w14:paraId="61C6100F">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eastAsia"/>
          <w:bCs/>
          <w:szCs w:val="24"/>
        </w:rPr>
      </w:pPr>
      <w:r>
        <w:rPr>
          <w:rFonts w:hint="eastAsia" w:ascii="Times New Roman" w:hAnsi="Times New Roman" w:eastAsia="宋体" w:cs="Times New Roman"/>
          <w:szCs w:val="24"/>
        </w:rPr>
        <w:t>酸洗槽溶液配置采用专门的密闭调配间进行配置，采用自动加药装置向槽体中自动补充槽液</w:t>
      </w:r>
      <w:r>
        <w:rPr>
          <w:rFonts w:hint="eastAsia" w:ascii="Times New Roman" w:hAnsi="Times New Roman" w:eastAsia="宋体" w:cs="Times New Roman"/>
          <w:szCs w:val="24"/>
          <w:lang w:eastAsia="zh-CN"/>
        </w:rPr>
        <w:t>，</w:t>
      </w:r>
      <w:r>
        <w:rPr>
          <w:rFonts w:hint="eastAsia" w:ascii="Times New Roman" w:hAnsi="Times New Roman" w:eastAsia="宋体" w:cs="Times New Roman"/>
          <w:szCs w:val="24"/>
        </w:rPr>
        <w:t>活化槽液中主要为硫酸溶液，活化过程中会存在少量酸性气体（硫酸雾）的挥发，废气采用生产线整体封闭抽风、槽边抽风装置进行收集，收集后通入两级</w:t>
      </w:r>
      <w:r>
        <w:rPr>
          <w:rFonts w:hint="eastAsia"/>
          <w:bCs/>
          <w:szCs w:val="24"/>
        </w:rPr>
        <w:t>碱喷淋吸收塔进行处理，尾气经15m高排气筒排放。</w:t>
      </w:r>
    </w:p>
    <w:p w14:paraId="0662F44E">
      <w:pPr>
        <w:numPr>
          <w:ilvl w:val="0"/>
          <w:numId w:val="5"/>
        </w:numPr>
        <w:ind w:left="0" w:leftChars="0" w:firstLine="482" w:firstLineChars="200"/>
        <w:rPr>
          <w:bCs/>
          <w:szCs w:val="24"/>
        </w:rPr>
      </w:pPr>
      <w:r>
        <w:rPr>
          <w:rFonts w:hint="eastAsia"/>
          <w:b/>
          <w:szCs w:val="24"/>
          <w:highlight w:val="none"/>
        </w:rPr>
        <w:t>镀镍：</w:t>
      </w:r>
      <w:r>
        <w:rPr>
          <w:rFonts w:hint="eastAsia"/>
          <w:bCs/>
          <w:szCs w:val="24"/>
          <w:highlight w:val="none"/>
        </w:rPr>
        <w:t>活化</w:t>
      </w:r>
      <w:r>
        <w:rPr>
          <w:rFonts w:hint="eastAsia"/>
          <w:bCs/>
          <w:szCs w:val="24"/>
        </w:rPr>
        <w:t>后的钢带进入电镀槽进行</w:t>
      </w:r>
      <w:r>
        <w:rPr>
          <w:rFonts w:hint="eastAsia"/>
          <w:bCs/>
          <w:szCs w:val="24"/>
          <w:lang w:val="en-US" w:eastAsia="zh-CN"/>
        </w:rPr>
        <w:t>镀镍，</w:t>
      </w:r>
      <w:r>
        <w:rPr>
          <w:rFonts w:hint="eastAsia"/>
          <w:bCs/>
          <w:szCs w:val="24"/>
        </w:rPr>
        <w:t>本项目采用连续镀方式进行镀镍，钢带</w:t>
      </w:r>
      <w:r>
        <w:rPr>
          <w:rFonts w:hint="eastAsia"/>
          <w:bCs/>
          <w:szCs w:val="24"/>
          <w:lang w:val="en-US" w:eastAsia="zh-CN"/>
        </w:rPr>
        <w:t>需进行镀镍</w:t>
      </w:r>
      <w:r>
        <w:rPr>
          <w:rFonts w:hint="eastAsia"/>
          <w:bCs/>
          <w:szCs w:val="24"/>
        </w:rPr>
        <w:t>。</w:t>
      </w:r>
    </w:p>
    <w:p w14:paraId="44C883C3">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电镀槽液组分包括：硫酸镍（200-250g/L）、氯化镍（45-50g/L）、硼酸（45-50g/L）硫酸镍、氯化镍、硼酸需定时添加，具体需要分析滴定后按比例添加，电镀镍的温度</w:t>
      </w:r>
      <w:r>
        <w:rPr>
          <w:rFonts w:ascii="Times New Roman" w:hAnsi="Times New Roman" w:eastAsia="宋体" w:cs="Times New Roman"/>
          <w:bCs/>
          <w:kern w:val="0"/>
          <w:sz w:val="24"/>
          <w:szCs w:val="24"/>
        </w:rPr>
        <w:t>为50-55℃（</w:t>
      </w:r>
      <w:r>
        <w:rPr>
          <w:rFonts w:hint="eastAsia" w:ascii="Times New Roman" w:hAnsi="Times New Roman" w:eastAsia="宋体" w:cs="Times New Roman"/>
          <w:bCs/>
          <w:kern w:val="0"/>
          <w:sz w:val="24"/>
          <w:szCs w:val="24"/>
        </w:rPr>
        <w:t>采用蒸汽加热）、</w:t>
      </w:r>
      <w:r>
        <w:rPr>
          <w:rFonts w:hint="eastAsia" w:cs="Times New Roman"/>
          <w:bCs/>
          <w:kern w:val="0"/>
          <w:sz w:val="24"/>
          <w:szCs w:val="24"/>
          <w:lang w:val="en-US" w:eastAsia="zh-CN"/>
        </w:rPr>
        <w:t>镀</w:t>
      </w:r>
      <w:r>
        <w:rPr>
          <w:rFonts w:hint="eastAsia" w:ascii="Times New Roman" w:hAnsi="Times New Roman" w:eastAsia="宋体" w:cs="Times New Roman"/>
          <w:bCs/>
          <w:kern w:val="0"/>
          <w:sz w:val="24"/>
          <w:szCs w:val="24"/>
        </w:rPr>
        <w:t>镍槽pH值为4.4-4.8。</w:t>
      </w:r>
    </w:p>
    <w:p w14:paraId="092C225F">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lang w:val="en-US" w:eastAsia="zh-CN"/>
        </w:rPr>
        <w:t>钢带</w:t>
      </w:r>
      <w:r>
        <w:rPr>
          <w:rFonts w:hint="eastAsia" w:ascii="Times New Roman" w:hAnsi="Times New Roman" w:eastAsia="宋体" w:cs="Times New Roman"/>
          <w:bCs/>
          <w:kern w:val="0"/>
          <w:sz w:val="24"/>
          <w:szCs w:val="24"/>
        </w:rPr>
        <w:t>需进行暗镍和亮镍两次电镀，电流密度：</w:t>
      </w:r>
      <w:r>
        <w:rPr>
          <w:rFonts w:hint="eastAsia" w:cs="Times New Roman"/>
          <w:bCs/>
          <w:kern w:val="0"/>
          <w:sz w:val="24"/>
          <w:szCs w:val="24"/>
          <w:lang w:val="en-US" w:eastAsia="zh-CN"/>
        </w:rPr>
        <w:t>镀</w:t>
      </w:r>
      <w:r>
        <w:rPr>
          <w:rFonts w:hint="eastAsia" w:ascii="Times New Roman" w:hAnsi="Times New Roman" w:eastAsia="宋体" w:cs="Times New Roman"/>
          <w:bCs/>
          <w:kern w:val="0"/>
          <w:sz w:val="24"/>
          <w:szCs w:val="24"/>
        </w:rPr>
        <w:t>镍2-9A/dm</w:t>
      </w:r>
      <w:r>
        <w:rPr>
          <w:rFonts w:hint="eastAsia" w:ascii="Times New Roman" w:hAnsi="Times New Roman" w:eastAsia="宋体" w:cs="Times New Roman"/>
          <w:bCs/>
          <w:kern w:val="0"/>
          <w:sz w:val="24"/>
          <w:szCs w:val="24"/>
          <w:vertAlign w:val="superscript"/>
        </w:rPr>
        <w:t>2</w:t>
      </w:r>
      <w:r>
        <w:rPr>
          <w:rFonts w:hint="eastAsia" w:ascii="Times New Roman" w:hAnsi="Times New Roman" w:eastAsia="宋体" w:cs="Times New Roman"/>
          <w:bCs/>
          <w:kern w:val="0"/>
          <w:sz w:val="24"/>
          <w:szCs w:val="24"/>
        </w:rPr>
        <w:t>，电镀时间：</w:t>
      </w:r>
      <w:r>
        <w:rPr>
          <w:rFonts w:hint="eastAsia" w:cs="Times New Roman"/>
          <w:bCs/>
          <w:kern w:val="0"/>
          <w:sz w:val="24"/>
          <w:szCs w:val="24"/>
          <w:lang w:val="en-US" w:eastAsia="zh-CN"/>
        </w:rPr>
        <w:t>镀镍</w:t>
      </w:r>
      <w:r>
        <w:rPr>
          <w:rFonts w:hint="eastAsia" w:ascii="Times New Roman" w:hAnsi="Times New Roman" w:eastAsia="宋体" w:cs="Times New Roman"/>
          <w:bCs/>
          <w:kern w:val="0"/>
          <w:sz w:val="24"/>
          <w:szCs w:val="24"/>
          <w:lang w:val="en-US" w:eastAsia="zh-CN"/>
        </w:rPr>
        <w:t>50s</w:t>
      </w:r>
      <w:r>
        <w:rPr>
          <w:rFonts w:hint="eastAsia" w:ascii="Times New Roman" w:hAnsi="Times New Roman" w:eastAsia="宋体" w:cs="Times New Roman"/>
          <w:bCs/>
          <w:kern w:val="0"/>
          <w:sz w:val="24"/>
          <w:szCs w:val="24"/>
        </w:rPr>
        <w:t>，镀层厚度约为</w:t>
      </w:r>
      <w:r>
        <w:rPr>
          <w:rFonts w:hint="eastAsia" w:cs="Times New Roman"/>
          <w:bCs/>
          <w:kern w:val="0"/>
          <w:sz w:val="24"/>
          <w:szCs w:val="24"/>
          <w:lang w:val="en-US" w:eastAsia="zh-CN"/>
        </w:rPr>
        <w:t>2</w:t>
      </w:r>
      <w:r>
        <w:rPr>
          <w:rFonts w:hint="eastAsia" w:ascii="Times New Roman" w:hAnsi="Times New Roman" w:eastAsia="宋体" w:cs="Times New Roman"/>
          <w:bCs/>
          <w:kern w:val="0"/>
          <w:sz w:val="24"/>
          <w:szCs w:val="24"/>
        </w:rPr>
        <w:t>微米。在电镀过程中以硫酸镍作为主盐，氯化镍作为阳极活化剂，硼酸作为缓冲剂。在电镀过程中以镍板为阳极，钢壳为阴极，含镍溶液为交换介质，反应原理如下：</w:t>
      </w:r>
    </w:p>
    <w:p w14:paraId="137A76E0">
      <w:pPr>
        <w:adjustRightInd w:val="0"/>
        <w:snapToGrid w:val="0"/>
        <w:spacing w:line="520" w:lineRule="exact"/>
        <w:ind w:firstLine="0" w:firstLineChars="0"/>
        <w:jc w:val="center"/>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阴极：Ni</w:t>
      </w:r>
      <w:r>
        <w:rPr>
          <w:rFonts w:hint="eastAsia" w:ascii="Times New Roman" w:hAnsi="Times New Roman" w:eastAsia="宋体" w:cs="Times New Roman"/>
          <w:bCs/>
          <w:kern w:val="0"/>
          <w:sz w:val="24"/>
          <w:szCs w:val="24"/>
          <w:vertAlign w:val="superscript"/>
        </w:rPr>
        <w:t>2+</w:t>
      </w:r>
      <w:r>
        <w:rPr>
          <w:rFonts w:hint="eastAsia" w:ascii="Times New Roman" w:hAnsi="Times New Roman" w:eastAsia="宋体" w:cs="Times New Roman"/>
          <w:bCs/>
          <w:kern w:val="0"/>
          <w:sz w:val="24"/>
          <w:szCs w:val="24"/>
        </w:rPr>
        <w:t xml:space="preserve"> + 2e = Ni</w:t>
      </w:r>
    </w:p>
    <w:p w14:paraId="2ABB9CC0">
      <w:pPr>
        <w:adjustRightInd w:val="0"/>
        <w:snapToGrid w:val="0"/>
        <w:spacing w:line="520" w:lineRule="exact"/>
        <w:ind w:firstLine="0" w:firstLineChars="0"/>
        <w:jc w:val="center"/>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阳极：Ni - 2e = Ni</w:t>
      </w:r>
      <w:r>
        <w:rPr>
          <w:rFonts w:hint="eastAsia" w:ascii="Times New Roman" w:hAnsi="Times New Roman" w:eastAsia="宋体" w:cs="Times New Roman"/>
          <w:bCs/>
          <w:kern w:val="0"/>
          <w:sz w:val="24"/>
          <w:szCs w:val="24"/>
          <w:vertAlign w:val="superscript"/>
        </w:rPr>
        <w:t>2+</w:t>
      </w:r>
    </w:p>
    <w:p w14:paraId="77C3C372">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cs="Times New Roman"/>
          <w:bCs/>
          <w:kern w:val="0"/>
          <w:sz w:val="24"/>
          <w:szCs w:val="24"/>
          <w:lang w:val="en-US" w:eastAsia="zh-CN"/>
        </w:rPr>
        <w:t>镀</w:t>
      </w:r>
      <w:r>
        <w:rPr>
          <w:rFonts w:hint="eastAsia" w:ascii="Times New Roman" w:hAnsi="Times New Roman" w:eastAsia="宋体" w:cs="Times New Roman"/>
          <w:bCs/>
          <w:kern w:val="0"/>
          <w:sz w:val="24"/>
          <w:szCs w:val="24"/>
        </w:rPr>
        <w:t>镍</w:t>
      </w:r>
      <w:r>
        <w:rPr>
          <w:rFonts w:hint="eastAsia" w:ascii="Times New Roman" w:hAnsi="Times New Roman" w:eastAsia="宋体" w:cs="Times New Roman"/>
          <w:kern w:val="0"/>
          <w:sz w:val="24"/>
          <w:szCs w:val="24"/>
        </w:rPr>
        <w:t>后</w:t>
      </w:r>
      <w:r>
        <w:rPr>
          <w:rFonts w:hint="eastAsia" w:ascii="Times New Roman" w:hAnsi="Times New Roman" w:eastAsia="宋体" w:cs="Times New Roman"/>
          <w:kern w:val="0"/>
          <w:sz w:val="24"/>
          <w:szCs w:val="20"/>
        </w:rPr>
        <w:t>设置回收槽对</w:t>
      </w:r>
      <w:r>
        <w:rPr>
          <w:rFonts w:hint="eastAsia" w:ascii="Times New Roman" w:hAnsi="Times New Roman" w:eastAsia="宋体" w:cs="Times New Roman"/>
          <w:bCs/>
          <w:kern w:val="0"/>
          <w:sz w:val="24"/>
          <w:szCs w:val="24"/>
          <w:lang w:val="en-US" w:eastAsia="zh-CN"/>
        </w:rPr>
        <w:t>工件</w:t>
      </w:r>
      <w:r>
        <w:rPr>
          <w:rFonts w:hint="eastAsia" w:ascii="Times New Roman" w:hAnsi="Times New Roman" w:eastAsia="宋体" w:cs="Times New Roman"/>
          <w:kern w:val="0"/>
          <w:sz w:val="24"/>
          <w:szCs w:val="20"/>
        </w:rPr>
        <w:t>带出的电镀液进行回收</w:t>
      </w:r>
      <w:r>
        <w:rPr>
          <w:rFonts w:hint="eastAsia" w:ascii="Times New Roman" w:hAnsi="Times New Roman" w:eastAsia="宋体" w:cs="Times New Roman"/>
          <w:kern w:val="0"/>
          <w:sz w:val="24"/>
          <w:szCs w:val="24"/>
        </w:rPr>
        <w:t>，以去除</w:t>
      </w:r>
      <w:r>
        <w:rPr>
          <w:rFonts w:hint="eastAsia" w:ascii="Times New Roman" w:hAnsi="Times New Roman" w:eastAsia="宋体" w:cs="Times New Roman"/>
          <w:kern w:val="0"/>
          <w:sz w:val="24"/>
          <w:szCs w:val="24"/>
          <w:lang w:val="en-US" w:eastAsia="zh-CN"/>
        </w:rPr>
        <w:t>工件</w:t>
      </w:r>
      <w:r>
        <w:rPr>
          <w:rFonts w:hint="eastAsia" w:ascii="Times New Roman" w:hAnsi="Times New Roman" w:eastAsia="宋体" w:cs="Times New Roman"/>
          <w:kern w:val="0"/>
          <w:sz w:val="24"/>
          <w:szCs w:val="24"/>
        </w:rPr>
        <w:t>表面残留的镀液，</w:t>
      </w:r>
      <w:r>
        <w:rPr>
          <w:rFonts w:hint="eastAsia" w:ascii="Times New Roman" w:hAnsi="Times New Roman" w:eastAsia="宋体" w:cs="Times New Roman"/>
          <w:kern w:val="0"/>
          <w:sz w:val="24"/>
          <w:szCs w:val="24"/>
          <w:lang w:val="en-US" w:eastAsia="zh-CN"/>
        </w:rPr>
        <w:t>采用喷淋水洗进行回收，</w:t>
      </w:r>
      <w:r>
        <w:rPr>
          <w:rFonts w:hint="eastAsia" w:ascii="Times New Roman" w:hAnsi="Times New Roman" w:eastAsia="宋体" w:cs="Times New Roman"/>
          <w:kern w:val="0"/>
          <w:sz w:val="24"/>
          <w:szCs w:val="24"/>
        </w:rPr>
        <w:t>回流至电镀槽补充其蒸发消耗。镀槽槽液不更换，定期补充槽液物质及水。</w:t>
      </w:r>
    </w:p>
    <w:p w14:paraId="3174B1FE">
      <w:pPr>
        <w:adjustRightInd w:val="0"/>
        <w:snapToGrid w:val="0"/>
        <w:spacing w:line="520" w:lineRule="exact"/>
        <w:ind w:firstLine="480" w:firstLineChars="200"/>
        <w:textAlignment w:val="baseline"/>
        <w:rPr>
          <w:rFonts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rPr>
        <w:t>镀镍后的</w:t>
      </w:r>
      <w:r>
        <w:rPr>
          <w:rFonts w:hint="eastAsia" w:ascii="Times New Roman" w:hAnsi="Times New Roman" w:eastAsia="宋体" w:cs="Times New Roman"/>
          <w:bCs/>
          <w:kern w:val="0"/>
          <w:sz w:val="24"/>
          <w:szCs w:val="24"/>
          <w:lang w:val="en-US" w:eastAsia="zh-CN"/>
        </w:rPr>
        <w:t>工件进行</w:t>
      </w:r>
      <w:r>
        <w:rPr>
          <w:rFonts w:hint="eastAsia" w:cs="Times New Roman"/>
          <w:bCs/>
          <w:kern w:val="0"/>
          <w:sz w:val="24"/>
          <w:szCs w:val="24"/>
          <w:lang w:val="en-US" w:eastAsia="zh-CN"/>
        </w:rPr>
        <w:t>纯水冲洗、纯水浸洗以及纯水热浸洗</w:t>
      </w:r>
      <w:r>
        <w:rPr>
          <w:rFonts w:hint="eastAsia" w:ascii="Times New Roman" w:hAnsi="Times New Roman" w:eastAsia="宋体" w:cs="Times New Roman"/>
          <w:bCs/>
          <w:kern w:val="0"/>
          <w:sz w:val="24"/>
          <w:szCs w:val="24"/>
        </w:rPr>
        <w:t>，</w:t>
      </w:r>
      <w:r>
        <w:rPr>
          <w:rFonts w:hint="eastAsia" w:cs="Times New Roman"/>
          <w:bCs/>
          <w:kern w:val="0"/>
          <w:sz w:val="24"/>
          <w:szCs w:val="24"/>
          <w:lang w:val="en-US" w:eastAsia="zh-CN"/>
        </w:rPr>
        <w:t>浸洗过程溢流排放，</w:t>
      </w:r>
      <w:r>
        <w:rPr>
          <w:rFonts w:hint="eastAsia" w:ascii="Times New Roman" w:hAnsi="Times New Roman" w:eastAsia="宋体" w:cs="Times New Roman"/>
          <w:bCs/>
          <w:kern w:val="0"/>
          <w:sz w:val="24"/>
          <w:szCs w:val="24"/>
        </w:rPr>
        <w:t>为保证槽液水质，水洗槽的水每</w:t>
      </w:r>
      <w:r>
        <w:rPr>
          <w:rFonts w:hint="eastAsia" w:cs="Times New Roman"/>
          <w:bCs/>
          <w:kern w:val="0"/>
          <w:sz w:val="24"/>
          <w:szCs w:val="24"/>
          <w:lang w:val="en-US" w:eastAsia="zh-CN"/>
        </w:rPr>
        <w:t>天</w:t>
      </w:r>
      <w:r>
        <w:rPr>
          <w:rFonts w:hint="eastAsia" w:ascii="Times New Roman" w:hAnsi="Times New Roman" w:eastAsia="宋体" w:cs="Times New Roman"/>
          <w:bCs/>
          <w:kern w:val="0"/>
          <w:sz w:val="24"/>
          <w:szCs w:val="24"/>
        </w:rPr>
        <w:t>全部更换一次，废水经独立管道送往含镍废水处理设施进行处理。</w:t>
      </w:r>
    </w:p>
    <w:p w14:paraId="6B70137F">
      <w:pPr>
        <w:adjustRightInd w:val="0"/>
        <w:snapToGrid w:val="0"/>
        <w:spacing w:line="520" w:lineRule="exact"/>
        <w:ind w:firstLine="482" w:firstLineChars="200"/>
        <w:textAlignment w:val="baseline"/>
        <w:rPr>
          <w:rFonts w:hint="eastAsia" w:ascii="Times New Roman" w:hAnsi="Times New Roman" w:eastAsia="宋体" w:cs="Times New Roman"/>
          <w:kern w:val="0"/>
          <w:sz w:val="24"/>
          <w:szCs w:val="24"/>
          <w:highlight w:val="yellow"/>
        </w:rPr>
      </w:pPr>
      <w:r>
        <w:rPr>
          <w:rFonts w:hint="eastAsia"/>
          <w:b/>
          <w:szCs w:val="24"/>
          <w:highlight w:val="none"/>
          <w:lang w:val="en-US" w:eastAsia="zh-CN"/>
        </w:rPr>
        <w:t>6、</w:t>
      </w:r>
      <w:r>
        <w:rPr>
          <w:rFonts w:hint="eastAsia"/>
          <w:b/>
          <w:szCs w:val="24"/>
          <w:highlight w:val="none"/>
        </w:rPr>
        <w:t>烘干：</w:t>
      </w:r>
      <w:r>
        <w:rPr>
          <w:rFonts w:hint="eastAsia" w:ascii="Times New Roman" w:hAnsi="Times New Roman" w:eastAsia="宋体" w:cs="Times New Roman"/>
          <w:kern w:val="0"/>
          <w:sz w:val="24"/>
          <w:szCs w:val="24"/>
        </w:rPr>
        <w:t>封闭水洗后的钢壳</w:t>
      </w:r>
      <w:r>
        <w:rPr>
          <w:rFonts w:hint="eastAsia" w:ascii="Times New Roman" w:hAnsi="Times New Roman" w:eastAsia="宋体" w:cs="Times New Roman"/>
          <w:kern w:val="0"/>
          <w:sz w:val="24"/>
          <w:szCs w:val="24"/>
          <w:lang w:val="en-US" w:eastAsia="zh-CN"/>
        </w:rPr>
        <w:t>进入沥干槽上方，停留</w:t>
      </w:r>
      <w:r>
        <w:rPr>
          <w:rFonts w:hint="eastAsia" w:ascii="Times New Roman" w:hAnsi="Times New Roman" w:eastAsia="宋体" w:cs="Times New Roman"/>
          <w:kern w:val="0"/>
          <w:sz w:val="24"/>
          <w:szCs w:val="24"/>
        </w:rPr>
        <w:t>时间为</w:t>
      </w:r>
      <w:r>
        <w:rPr>
          <w:rFonts w:hint="eastAsia" w:cs="Times New Roman"/>
          <w:kern w:val="0"/>
          <w:sz w:val="24"/>
          <w:szCs w:val="24"/>
          <w:lang w:val="en-US" w:eastAsia="zh-CN"/>
        </w:rPr>
        <w:t>1</w:t>
      </w:r>
      <w:r>
        <w:rPr>
          <w:rFonts w:hint="eastAsia" w:ascii="Times New Roman" w:hAnsi="Times New Roman" w:eastAsia="宋体" w:cs="Times New Roman"/>
          <w:kern w:val="0"/>
          <w:sz w:val="24"/>
          <w:szCs w:val="24"/>
        </w:rPr>
        <w:t>min。</w:t>
      </w:r>
      <w:r>
        <w:rPr>
          <w:rFonts w:hint="eastAsia" w:ascii="Times New Roman" w:hAnsi="Times New Roman" w:eastAsia="宋体" w:cs="Times New Roman"/>
          <w:kern w:val="0"/>
          <w:sz w:val="24"/>
          <w:szCs w:val="24"/>
          <w:lang w:val="en-US" w:eastAsia="zh-CN"/>
        </w:rPr>
        <w:t>沥水后进行烘干。沥出的</w:t>
      </w:r>
      <w:r>
        <w:rPr>
          <w:rFonts w:hint="eastAsia" w:ascii="Times New Roman" w:hAnsi="Times New Roman" w:eastAsia="宋体" w:cs="Times New Roman"/>
          <w:kern w:val="0"/>
          <w:sz w:val="24"/>
          <w:szCs w:val="24"/>
        </w:rPr>
        <w:t>废水经独立管道送至综合废水处理设施进行处理。</w:t>
      </w:r>
    </w:p>
    <w:p w14:paraId="09B0C65E">
      <w:pPr>
        <w:ind w:firstLine="482"/>
        <w:rPr>
          <w:bCs/>
          <w:szCs w:val="24"/>
        </w:rPr>
      </w:pPr>
      <w:r>
        <w:rPr>
          <w:rFonts w:hint="eastAsia"/>
          <w:b/>
          <w:szCs w:val="24"/>
          <w:lang w:val="en-US" w:eastAsia="zh-CN"/>
        </w:rPr>
        <w:t>7</w:t>
      </w:r>
      <w:r>
        <w:rPr>
          <w:rFonts w:hint="eastAsia"/>
          <w:b/>
          <w:szCs w:val="24"/>
        </w:rPr>
        <w:t>、冲压：</w:t>
      </w:r>
      <w:r>
        <w:rPr>
          <w:rFonts w:hint="eastAsia"/>
          <w:bCs/>
          <w:szCs w:val="24"/>
        </w:rPr>
        <w:t>将烘干后的钢带传送至冲压机上，根据产品的大小尺寸，冲压成所需的形状，冲压后即为电池连接件产品。</w:t>
      </w:r>
      <w:r>
        <w:rPr>
          <w:rFonts w:hint="eastAsia"/>
          <w:szCs w:val="24"/>
        </w:rPr>
        <w:t>冲压过程中采用循环冷却水降温，冲压时机械产生的温度不高，该过程中不会产生废气，冲压冷凝水定期排放。</w:t>
      </w:r>
      <w:r>
        <w:rPr>
          <w:rFonts w:hint="eastAsia"/>
          <w:bCs/>
          <w:szCs w:val="24"/>
        </w:rPr>
        <w:t>此过程会产生废液压油和废边角料，设备运行会产生噪声。</w:t>
      </w:r>
    </w:p>
    <w:p w14:paraId="44BAB5ED">
      <w:pPr>
        <w:ind w:firstLine="480"/>
        <w:rPr>
          <w:bCs/>
          <w:szCs w:val="24"/>
        </w:rPr>
      </w:pPr>
      <w:r>
        <w:rPr>
          <w:rFonts w:hint="eastAsia"/>
          <w:bCs/>
          <w:szCs w:val="24"/>
        </w:rPr>
        <w:t>各槽溶液配置采用专门的密闭调配间进行配置，采用自动加药装置向槽体中自动补充槽液。密闭调配间设置密闭抽风装置对溶液配制废气进行收集，收集后引入两级碱喷淋吸收塔进行处理，尾气经15m高排气筒排放。</w:t>
      </w:r>
    </w:p>
    <w:p w14:paraId="456ABD49">
      <w:pPr>
        <w:ind w:firstLine="480"/>
        <w:rPr>
          <w:bCs/>
          <w:szCs w:val="24"/>
        </w:rPr>
      </w:pPr>
      <w:r>
        <w:rPr>
          <w:rFonts w:hint="eastAsia"/>
          <w:bCs/>
          <w:szCs w:val="24"/>
        </w:rPr>
        <w:t>根据上述工艺流程可知，本工程生产过程中的工艺参数见下表。</w:t>
      </w:r>
    </w:p>
    <w:p w14:paraId="2A2F958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表3.2-3    本项目工艺参数一览表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26"/>
        <w:gridCol w:w="4487"/>
        <w:gridCol w:w="2415"/>
      </w:tblGrid>
      <w:tr w14:paraId="25C57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953" w:type="pct"/>
            <w:vAlign w:val="center"/>
          </w:tcPr>
          <w:p w14:paraId="0C819793">
            <w:pPr>
              <w:pStyle w:val="81"/>
              <w:rPr>
                <w:color w:val="auto"/>
              </w:rPr>
            </w:pPr>
            <w:r>
              <w:rPr>
                <w:rFonts w:hint="eastAsia"/>
                <w:color w:val="auto"/>
              </w:rPr>
              <w:t>工段</w:t>
            </w:r>
          </w:p>
        </w:tc>
        <w:tc>
          <w:tcPr>
            <w:tcW w:w="2630" w:type="pct"/>
            <w:vAlign w:val="center"/>
          </w:tcPr>
          <w:p w14:paraId="62A0A097">
            <w:pPr>
              <w:pStyle w:val="81"/>
              <w:rPr>
                <w:color w:val="auto"/>
              </w:rPr>
            </w:pPr>
            <w:r>
              <w:rPr>
                <w:color w:val="auto"/>
              </w:rPr>
              <w:t>槽液</w:t>
            </w:r>
            <w:r>
              <w:rPr>
                <w:rFonts w:hint="eastAsia"/>
                <w:color w:val="auto"/>
              </w:rPr>
              <w:t>成份及浓度</w:t>
            </w:r>
          </w:p>
        </w:tc>
        <w:tc>
          <w:tcPr>
            <w:tcW w:w="1415" w:type="pct"/>
            <w:vAlign w:val="center"/>
          </w:tcPr>
          <w:p w14:paraId="473DB7EB">
            <w:pPr>
              <w:pStyle w:val="81"/>
              <w:rPr>
                <w:color w:val="auto"/>
              </w:rPr>
            </w:pPr>
            <w:r>
              <w:rPr>
                <w:rFonts w:hint="eastAsia"/>
                <w:color w:val="auto"/>
              </w:rPr>
              <w:t>运行参数</w:t>
            </w:r>
          </w:p>
        </w:tc>
      </w:tr>
      <w:tr w14:paraId="488C2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14:paraId="40B938C6">
            <w:pPr>
              <w:pStyle w:val="75"/>
              <w:ind w:firstLine="0" w:firstLineChars="0"/>
              <w:rPr>
                <w:rFonts w:hint="eastAsia"/>
                <w:lang w:val="en-US" w:eastAsia="zh-CN"/>
              </w:rPr>
            </w:pPr>
            <w:r>
              <w:rPr>
                <w:rFonts w:hint="eastAsia"/>
                <w:lang w:val="en-US" w:eastAsia="zh-CN"/>
              </w:rPr>
              <w:t>超声波除油</w:t>
            </w:r>
          </w:p>
        </w:tc>
        <w:tc>
          <w:tcPr>
            <w:tcW w:w="2630" w:type="pct"/>
            <w:vAlign w:val="center"/>
          </w:tcPr>
          <w:p w14:paraId="774B7AD2">
            <w:pPr>
              <w:pStyle w:val="75"/>
              <w:ind w:firstLine="0" w:firstLineChars="0"/>
            </w:pPr>
            <w:r>
              <w:t>20-30g/L碱性</w:t>
            </w:r>
            <w:r>
              <w:rPr>
                <w:rFonts w:hint="eastAsia"/>
              </w:rPr>
              <w:t>脱脂剂</w:t>
            </w:r>
          </w:p>
        </w:tc>
        <w:tc>
          <w:tcPr>
            <w:tcW w:w="1415" w:type="pct"/>
            <w:vAlign w:val="center"/>
          </w:tcPr>
          <w:p w14:paraId="720572B1">
            <w:pPr>
              <w:pStyle w:val="75"/>
              <w:ind w:firstLine="0" w:firstLineChars="0"/>
              <w:rPr>
                <w:rFonts w:hint="default" w:eastAsia="宋体"/>
                <w:lang w:val="en-US" w:eastAsia="zh-CN"/>
              </w:rPr>
            </w:pPr>
            <w:r>
              <w:rPr>
                <w:rFonts w:hint="eastAsia"/>
                <w:bCs/>
                <w:szCs w:val="24"/>
              </w:rPr>
              <w:t>5</w:t>
            </w:r>
            <w:r>
              <w:rPr>
                <w:bCs/>
                <w:szCs w:val="24"/>
              </w:rPr>
              <w:t>0-55℃</w:t>
            </w:r>
            <w:r>
              <w:rPr>
                <w:rFonts w:hint="eastAsia"/>
                <w:bCs/>
                <w:szCs w:val="24"/>
                <w:lang w:eastAsia="zh-CN"/>
              </w:rPr>
              <w:t>，</w:t>
            </w:r>
            <w:r>
              <w:rPr>
                <w:rFonts w:hint="eastAsia"/>
                <w:bCs/>
                <w:szCs w:val="24"/>
                <w:lang w:val="en-US" w:eastAsia="zh-CN"/>
              </w:rPr>
              <w:t>10s</w:t>
            </w:r>
          </w:p>
        </w:tc>
      </w:tr>
      <w:tr w14:paraId="31C4D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14:paraId="247BBDFE">
            <w:pPr>
              <w:pStyle w:val="75"/>
              <w:ind w:firstLine="0" w:firstLineChars="0"/>
            </w:pPr>
            <w:r>
              <w:rPr>
                <w:rFonts w:hint="eastAsia"/>
              </w:rPr>
              <w:t>电解除油</w:t>
            </w:r>
          </w:p>
        </w:tc>
        <w:tc>
          <w:tcPr>
            <w:tcW w:w="2630" w:type="pct"/>
            <w:vAlign w:val="center"/>
          </w:tcPr>
          <w:p w14:paraId="3A348028">
            <w:pPr>
              <w:pStyle w:val="75"/>
              <w:ind w:firstLine="0" w:firstLineChars="0"/>
            </w:pPr>
            <w:r>
              <w:t>20-30g/L碱性</w:t>
            </w:r>
            <w:r>
              <w:rPr>
                <w:rFonts w:hint="eastAsia"/>
              </w:rPr>
              <w:t>脱脂剂</w:t>
            </w:r>
          </w:p>
        </w:tc>
        <w:tc>
          <w:tcPr>
            <w:tcW w:w="1415" w:type="pct"/>
            <w:vAlign w:val="center"/>
          </w:tcPr>
          <w:p w14:paraId="0B2551EE">
            <w:pPr>
              <w:pStyle w:val="75"/>
              <w:ind w:firstLine="0" w:firstLineChars="0"/>
              <w:rPr>
                <w:rFonts w:hint="default" w:eastAsia="宋体"/>
                <w:lang w:val="en-US" w:eastAsia="zh-CN"/>
              </w:rPr>
            </w:pPr>
            <w:r>
              <w:rPr>
                <w:rFonts w:hint="eastAsia"/>
              </w:rPr>
              <w:t>45-50</w:t>
            </w:r>
            <w:r>
              <w:t>℃</w:t>
            </w:r>
            <w:r>
              <w:rPr>
                <w:rFonts w:hint="eastAsia"/>
              </w:rPr>
              <w:t>，</w:t>
            </w:r>
            <w:r>
              <w:rPr>
                <w:rFonts w:hint="eastAsia"/>
                <w:lang w:val="en-US" w:eastAsia="zh-CN"/>
              </w:rPr>
              <w:t>20s</w:t>
            </w:r>
          </w:p>
        </w:tc>
      </w:tr>
      <w:tr w14:paraId="790C0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14:paraId="669E7FDD">
            <w:pPr>
              <w:pStyle w:val="75"/>
              <w:ind w:firstLine="0" w:firstLineChars="0"/>
            </w:pPr>
            <w:r>
              <w:rPr>
                <w:rFonts w:hint="eastAsia"/>
                <w:lang w:val="en-US" w:eastAsia="zh-CN"/>
              </w:rPr>
              <w:t>酸洗</w:t>
            </w:r>
            <w:r>
              <w:rPr>
                <w:rFonts w:hint="eastAsia"/>
              </w:rPr>
              <w:t>活化</w:t>
            </w:r>
          </w:p>
        </w:tc>
        <w:tc>
          <w:tcPr>
            <w:tcW w:w="2630" w:type="pct"/>
            <w:vAlign w:val="center"/>
          </w:tcPr>
          <w:p w14:paraId="699C3C04">
            <w:pPr>
              <w:pStyle w:val="75"/>
              <w:ind w:firstLine="0" w:firstLineChars="0"/>
            </w:pPr>
            <w:r>
              <w:rPr>
                <w:rFonts w:hint="eastAsia"/>
              </w:rPr>
              <w:t>240ml/L（10%）硫酸</w:t>
            </w:r>
          </w:p>
        </w:tc>
        <w:tc>
          <w:tcPr>
            <w:tcW w:w="1415" w:type="pct"/>
            <w:vAlign w:val="center"/>
          </w:tcPr>
          <w:p w14:paraId="29B75386">
            <w:pPr>
              <w:pStyle w:val="75"/>
              <w:ind w:firstLine="0" w:firstLineChars="0"/>
              <w:rPr>
                <w:rFonts w:hint="default" w:eastAsia="宋体"/>
                <w:lang w:val="en-US" w:eastAsia="zh-CN"/>
              </w:rPr>
            </w:pPr>
            <w:r>
              <w:rPr>
                <w:rFonts w:hint="eastAsia"/>
              </w:rPr>
              <w:t>25</w:t>
            </w:r>
            <w:r>
              <w:t>℃</w:t>
            </w:r>
            <w:r>
              <w:rPr>
                <w:rFonts w:hint="eastAsia"/>
              </w:rPr>
              <w:t>，</w:t>
            </w:r>
            <w:r>
              <w:rPr>
                <w:rFonts w:hint="eastAsia"/>
                <w:lang w:val="en-US" w:eastAsia="zh-CN"/>
              </w:rPr>
              <w:t>10s</w:t>
            </w:r>
          </w:p>
        </w:tc>
      </w:tr>
      <w:tr w14:paraId="5F4CAA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14:paraId="255C7DA8">
            <w:pPr>
              <w:pStyle w:val="75"/>
              <w:ind w:firstLine="0" w:firstLineChars="0"/>
              <w:rPr>
                <w:rFonts w:hint="default"/>
                <w:lang w:val="en-US" w:eastAsia="zh-CN"/>
              </w:rPr>
            </w:pPr>
            <w:r>
              <w:rPr>
                <w:rFonts w:hint="eastAsia"/>
                <w:lang w:val="en-US" w:eastAsia="zh-CN"/>
              </w:rPr>
              <w:t>镀镍</w:t>
            </w:r>
          </w:p>
        </w:tc>
        <w:tc>
          <w:tcPr>
            <w:tcW w:w="2630" w:type="pct"/>
            <w:vAlign w:val="center"/>
          </w:tcPr>
          <w:p w14:paraId="283B51DA">
            <w:pPr>
              <w:pStyle w:val="75"/>
              <w:ind w:firstLine="0" w:firstLineChars="0"/>
              <w:jc w:val="left"/>
              <w:rPr>
                <w:rFonts w:hint="eastAsia"/>
              </w:rPr>
            </w:pPr>
            <w:r>
              <w:t>200-250g/L硫酸镍、45-50g/L氯化镍、45-50g/L硼酸</w:t>
            </w:r>
          </w:p>
        </w:tc>
        <w:tc>
          <w:tcPr>
            <w:tcW w:w="1415" w:type="pct"/>
            <w:vAlign w:val="center"/>
          </w:tcPr>
          <w:p w14:paraId="5C5D4D6F">
            <w:pPr>
              <w:pStyle w:val="75"/>
              <w:ind w:firstLine="0" w:firstLineChars="0"/>
              <w:jc w:val="left"/>
              <w:rPr>
                <w:rFonts w:hint="eastAsia"/>
                <w:lang w:eastAsia="zh-CN"/>
              </w:rPr>
            </w:pPr>
            <w:r>
              <w:t>pH</w:t>
            </w:r>
            <w:r>
              <w:rPr>
                <w:rFonts w:hint="eastAsia"/>
                <w:lang w:val="en-US" w:eastAsia="zh-CN"/>
              </w:rPr>
              <w:t>4.4~4.8</w:t>
            </w:r>
            <w:r>
              <w:rPr>
                <w:rFonts w:hint="eastAsia"/>
              </w:rPr>
              <w:t>、</w:t>
            </w:r>
            <w:r>
              <w:t>5</w:t>
            </w:r>
            <w:r>
              <w:rPr>
                <w:rFonts w:hint="eastAsia"/>
              </w:rPr>
              <w:t>0</w:t>
            </w:r>
            <w:r>
              <w:rPr>
                <w:rFonts w:hint="eastAsia"/>
                <w:lang w:val="en-US" w:eastAsia="zh-CN"/>
              </w:rPr>
              <w:t>~</w:t>
            </w:r>
            <w:r>
              <w:rPr>
                <w:rFonts w:hint="eastAsia"/>
              </w:rPr>
              <w:t>55</w:t>
            </w:r>
            <w:r>
              <w:t>℃</w:t>
            </w:r>
            <w:r>
              <w:rPr>
                <w:rFonts w:hint="eastAsia"/>
                <w:lang w:eastAsia="zh-CN"/>
              </w:rPr>
              <w:t>，</w:t>
            </w:r>
          </w:p>
          <w:p w14:paraId="793DB14A">
            <w:pPr>
              <w:pStyle w:val="75"/>
              <w:ind w:firstLine="0" w:firstLineChars="0"/>
              <w:jc w:val="left"/>
              <w:rPr>
                <w:rFonts w:hint="default"/>
                <w:lang w:val="en-US" w:eastAsia="zh-CN"/>
              </w:rPr>
            </w:pPr>
            <w:r>
              <w:rPr>
                <w:rFonts w:hint="eastAsia"/>
                <w:lang w:val="en-US" w:eastAsia="zh-CN"/>
              </w:rPr>
              <w:t>56s，2~9A/dm</w:t>
            </w:r>
            <w:r>
              <w:rPr>
                <w:rFonts w:hint="eastAsia"/>
                <w:vertAlign w:val="superscript"/>
                <w:lang w:val="en-US" w:eastAsia="zh-CN"/>
              </w:rPr>
              <w:t>2</w:t>
            </w:r>
          </w:p>
        </w:tc>
      </w:tr>
    </w:tbl>
    <w:p w14:paraId="1EEE10F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bookmarkStart w:id="392" w:name="_Toc108122510"/>
      <w:r>
        <w:rPr>
          <w:rFonts w:hint="eastAsia" w:ascii="Times New Roman" w:hAnsi="Times New Roman" w:cs="Times New Roman"/>
          <w:lang w:val="en-US" w:eastAsia="zh-CN"/>
        </w:rPr>
        <w:t>3.2.1产污环节及治理措施</w:t>
      </w:r>
      <w:bookmarkEnd w:id="392"/>
    </w:p>
    <w:p w14:paraId="2E0D4652">
      <w:pPr>
        <w:keepNext w:val="0"/>
        <w:keepLines w:val="0"/>
        <w:pageBreakBefore w:val="0"/>
        <w:widowControl w:val="0"/>
        <w:kinsoku/>
        <w:wordWrap/>
        <w:overflowPunct/>
        <w:topLinePunct w:val="0"/>
        <w:autoSpaceDE/>
        <w:autoSpaceDN/>
        <w:bidi w:val="0"/>
        <w:ind w:firstLine="480" w:firstLineChars="200"/>
      </w:pPr>
      <w:r>
        <w:rPr>
          <w:rFonts w:hint="eastAsia"/>
        </w:rPr>
        <w:t>根据上述工艺流程可知，本工程生产过程中产生的污染因素有废水、废气、噪声和固废，其产排污环节见下表。</w:t>
      </w:r>
    </w:p>
    <w:p w14:paraId="4E4F7DE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表3.2-4    本项目产污环节一览表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694"/>
        <w:gridCol w:w="2423"/>
        <w:gridCol w:w="1577"/>
        <w:gridCol w:w="1283"/>
        <w:gridCol w:w="817"/>
      </w:tblGrid>
      <w:tr w14:paraId="2F9A01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0" w:type="pct"/>
            <w:vAlign w:val="center"/>
          </w:tcPr>
          <w:p w14:paraId="71E736D9">
            <w:pPr>
              <w:pStyle w:val="81"/>
              <w:rPr>
                <w:color w:val="auto"/>
              </w:rPr>
            </w:pPr>
            <w:r>
              <w:rPr>
                <w:rFonts w:hint="eastAsia"/>
                <w:color w:val="auto"/>
              </w:rPr>
              <w:t>项目</w:t>
            </w:r>
          </w:p>
        </w:tc>
        <w:tc>
          <w:tcPr>
            <w:tcW w:w="993" w:type="pct"/>
            <w:vAlign w:val="center"/>
          </w:tcPr>
          <w:p w14:paraId="4E3027AE">
            <w:pPr>
              <w:pStyle w:val="81"/>
              <w:rPr>
                <w:color w:val="auto"/>
              </w:rPr>
            </w:pPr>
            <w:r>
              <w:rPr>
                <w:rFonts w:hint="eastAsia"/>
                <w:color w:val="auto"/>
              </w:rPr>
              <w:t>产污环节</w:t>
            </w:r>
          </w:p>
        </w:tc>
        <w:tc>
          <w:tcPr>
            <w:tcW w:w="1420" w:type="pct"/>
            <w:vAlign w:val="center"/>
          </w:tcPr>
          <w:p w14:paraId="286F1A00">
            <w:pPr>
              <w:pStyle w:val="81"/>
              <w:rPr>
                <w:color w:val="auto"/>
              </w:rPr>
            </w:pPr>
            <w:r>
              <w:rPr>
                <w:rFonts w:hint="eastAsia"/>
                <w:color w:val="auto"/>
              </w:rPr>
              <w:t>主要污染因子</w:t>
            </w:r>
          </w:p>
        </w:tc>
        <w:tc>
          <w:tcPr>
            <w:tcW w:w="2155" w:type="pct"/>
            <w:gridSpan w:val="3"/>
            <w:vAlign w:val="center"/>
          </w:tcPr>
          <w:p w14:paraId="49453908">
            <w:pPr>
              <w:pStyle w:val="81"/>
              <w:rPr>
                <w:color w:val="auto"/>
              </w:rPr>
            </w:pPr>
            <w:r>
              <w:rPr>
                <w:rFonts w:hint="eastAsia"/>
                <w:color w:val="auto"/>
              </w:rPr>
              <w:t>治理措施</w:t>
            </w:r>
          </w:p>
        </w:tc>
      </w:tr>
      <w:tr w14:paraId="0F131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restart"/>
            <w:vAlign w:val="center"/>
          </w:tcPr>
          <w:p w14:paraId="422A0C0E">
            <w:pPr>
              <w:pStyle w:val="75"/>
              <w:rPr>
                <w:kern w:val="2"/>
              </w:rPr>
            </w:pPr>
            <w:r>
              <w:rPr>
                <w:rFonts w:hint="eastAsia"/>
                <w:kern w:val="2"/>
              </w:rPr>
              <w:t>废气</w:t>
            </w:r>
          </w:p>
        </w:tc>
        <w:tc>
          <w:tcPr>
            <w:tcW w:w="993" w:type="pct"/>
            <w:vAlign w:val="center"/>
          </w:tcPr>
          <w:p w14:paraId="621D5059">
            <w:pPr>
              <w:pStyle w:val="75"/>
              <w:ind w:firstLine="0" w:firstLineChars="0"/>
            </w:pPr>
            <w:r>
              <w:t>酸洗</w:t>
            </w:r>
            <w:r>
              <w:rPr>
                <w:rFonts w:hint="eastAsia"/>
              </w:rPr>
              <w:t>活化</w:t>
            </w:r>
          </w:p>
        </w:tc>
        <w:tc>
          <w:tcPr>
            <w:tcW w:w="1420" w:type="pct"/>
            <w:vAlign w:val="center"/>
          </w:tcPr>
          <w:p w14:paraId="19A04951">
            <w:pPr>
              <w:pStyle w:val="75"/>
              <w:ind w:firstLine="0" w:firstLineChars="0"/>
            </w:pPr>
            <w:r>
              <w:rPr>
                <w:rFonts w:hint="eastAsia"/>
              </w:rPr>
              <w:t>硫酸雾</w:t>
            </w:r>
          </w:p>
        </w:tc>
        <w:tc>
          <w:tcPr>
            <w:tcW w:w="924" w:type="pct"/>
            <w:vMerge w:val="restart"/>
            <w:vAlign w:val="center"/>
          </w:tcPr>
          <w:p w14:paraId="45304311">
            <w:pPr>
              <w:pStyle w:val="75"/>
              <w:jc w:val="left"/>
            </w:pPr>
            <w:r>
              <w:rPr>
                <w:rFonts w:hint="eastAsia"/>
                <w:kern w:val="2"/>
              </w:rPr>
              <w:t>封闭生产线</w:t>
            </w:r>
            <w:r>
              <w:rPr>
                <w:kern w:val="2"/>
              </w:rPr>
              <w:t>+</w:t>
            </w:r>
            <w:r>
              <w:rPr>
                <w:rFonts w:hint="eastAsia"/>
                <w:kern w:val="2"/>
              </w:rPr>
              <w:t>整体密闭抽风+槽边抽风收集</w:t>
            </w:r>
          </w:p>
        </w:tc>
        <w:tc>
          <w:tcPr>
            <w:tcW w:w="1231" w:type="pct"/>
            <w:gridSpan w:val="2"/>
            <w:vMerge w:val="restart"/>
            <w:vAlign w:val="center"/>
          </w:tcPr>
          <w:p w14:paraId="352959E1">
            <w:pPr>
              <w:pStyle w:val="75"/>
              <w:jc w:val="left"/>
            </w:pPr>
            <w:r>
              <w:rPr>
                <w:rFonts w:hint="eastAsia"/>
                <w:kern w:val="2"/>
              </w:rPr>
              <w:t>两级碱喷淋吸收塔</w:t>
            </w:r>
            <w:r>
              <w:rPr>
                <w:kern w:val="2"/>
              </w:rPr>
              <w:t>+</w:t>
            </w:r>
            <w:r>
              <w:rPr>
                <w:rFonts w:hint="eastAsia"/>
              </w:rPr>
              <w:t>15m高</w:t>
            </w:r>
            <w:r>
              <w:rPr>
                <w:rFonts w:hint="eastAsia"/>
                <w:kern w:val="2"/>
              </w:rPr>
              <w:t>排气筒（共3套）</w:t>
            </w:r>
          </w:p>
        </w:tc>
      </w:tr>
      <w:tr w14:paraId="1D20FB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0" w:type="pct"/>
            <w:vMerge w:val="continue"/>
            <w:vAlign w:val="center"/>
          </w:tcPr>
          <w:p w14:paraId="6A2109A3">
            <w:pPr>
              <w:pStyle w:val="75"/>
              <w:rPr>
                <w:kern w:val="2"/>
              </w:rPr>
            </w:pPr>
          </w:p>
        </w:tc>
        <w:tc>
          <w:tcPr>
            <w:tcW w:w="993" w:type="pct"/>
            <w:vAlign w:val="center"/>
          </w:tcPr>
          <w:p w14:paraId="107B9054">
            <w:pPr>
              <w:pStyle w:val="75"/>
              <w:ind w:firstLine="0" w:firstLineChars="0"/>
            </w:pPr>
            <w:r>
              <w:rPr>
                <w:rFonts w:hint="eastAsia"/>
                <w:bCs/>
              </w:rPr>
              <w:t>钝化</w:t>
            </w:r>
          </w:p>
        </w:tc>
        <w:tc>
          <w:tcPr>
            <w:tcW w:w="1420" w:type="pct"/>
            <w:vAlign w:val="center"/>
          </w:tcPr>
          <w:p w14:paraId="6F5C9F62">
            <w:pPr>
              <w:pStyle w:val="75"/>
              <w:ind w:firstLine="0" w:firstLineChars="0"/>
            </w:pPr>
            <w:r>
              <w:rPr>
                <w:rFonts w:hint="eastAsia"/>
                <w:bCs/>
              </w:rPr>
              <w:t>铬酸雾</w:t>
            </w:r>
          </w:p>
        </w:tc>
        <w:tc>
          <w:tcPr>
            <w:tcW w:w="924" w:type="pct"/>
            <w:vMerge w:val="continue"/>
            <w:vAlign w:val="center"/>
          </w:tcPr>
          <w:p w14:paraId="1DA1E0E0">
            <w:pPr>
              <w:pStyle w:val="75"/>
              <w:rPr>
                <w:kern w:val="2"/>
              </w:rPr>
            </w:pPr>
          </w:p>
        </w:tc>
        <w:tc>
          <w:tcPr>
            <w:tcW w:w="1231" w:type="pct"/>
            <w:gridSpan w:val="2"/>
            <w:vMerge w:val="continue"/>
            <w:vAlign w:val="center"/>
          </w:tcPr>
          <w:p w14:paraId="4F5B6DA2">
            <w:pPr>
              <w:pStyle w:val="75"/>
              <w:rPr>
                <w:kern w:val="2"/>
              </w:rPr>
            </w:pPr>
          </w:p>
        </w:tc>
      </w:tr>
      <w:tr w14:paraId="40907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186447D5">
            <w:pPr>
              <w:pStyle w:val="75"/>
              <w:rPr>
                <w:kern w:val="2"/>
              </w:rPr>
            </w:pPr>
          </w:p>
        </w:tc>
        <w:tc>
          <w:tcPr>
            <w:tcW w:w="993" w:type="pct"/>
            <w:vAlign w:val="center"/>
          </w:tcPr>
          <w:p w14:paraId="5A248474">
            <w:pPr>
              <w:pStyle w:val="75"/>
              <w:rPr>
                <w:bCs/>
              </w:rPr>
            </w:pPr>
            <w:r>
              <w:rPr>
                <w:rFonts w:hint="eastAsia"/>
              </w:rPr>
              <w:t>槽液调配间</w:t>
            </w:r>
          </w:p>
        </w:tc>
        <w:tc>
          <w:tcPr>
            <w:tcW w:w="1420" w:type="pct"/>
            <w:vAlign w:val="center"/>
          </w:tcPr>
          <w:p w14:paraId="45FA3A52">
            <w:pPr>
              <w:pStyle w:val="75"/>
              <w:rPr>
                <w:bCs/>
              </w:rPr>
            </w:pPr>
            <w:r>
              <w:rPr>
                <w:rFonts w:hint="eastAsia"/>
              </w:rPr>
              <w:t>硫酸雾</w:t>
            </w:r>
          </w:p>
        </w:tc>
        <w:tc>
          <w:tcPr>
            <w:tcW w:w="924" w:type="pct"/>
            <w:vAlign w:val="center"/>
          </w:tcPr>
          <w:p w14:paraId="4CE6B8BD">
            <w:pPr>
              <w:pStyle w:val="75"/>
              <w:rPr>
                <w:kern w:val="2"/>
              </w:rPr>
            </w:pPr>
            <w:r>
              <w:rPr>
                <w:rFonts w:hint="eastAsia"/>
                <w:kern w:val="2"/>
              </w:rPr>
              <w:t>密闭负压收集</w:t>
            </w:r>
          </w:p>
        </w:tc>
        <w:tc>
          <w:tcPr>
            <w:tcW w:w="1231" w:type="pct"/>
            <w:gridSpan w:val="2"/>
            <w:vMerge w:val="continue"/>
            <w:vAlign w:val="center"/>
          </w:tcPr>
          <w:p w14:paraId="2B9C3003">
            <w:pPr>
              <w:pStyle w:val="75"/>
              <w:rPr>
                <w:kern w:val="2"/>
              </w:rPr>
            </w:pPr>
          </w:p>
        </w:tc>
      </w:tr>
      <w:tr w14:paraId="4E837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63EB2C4E">
            <w:pPr>
              <w:pStyle w:val="75"/>
              <w:rPr>
                <w:kern w:val="2"/>
              </w:rPr>
            </w:pPr>
          </w:p>
        </w:tc>
        <w:tc>
          <w:tcPr>
            <w:tcW w:w="993" w:type="pct"/>
            <w:vAlign w:val="center"/>
          </w:tcPr>
          <w:p w14:paraId="500F8BF2">
            <w:pPr>
              <w:pStyle w:val="75"/>
            </w:pPr>
            <w:r>
              <w:rPr>
                <w:rFonts w:hint="eastAsia"/>
              </w:rPr>
              <w:t>危废贮存库</w:t>
            </w:r>
          </w:p>
        </w:tc>
        <w:tc>
          <w:tcPr>
            <w:tcW w:w="1420" w:type="pct"/>
            <w:vAlign w:val="center"/>
          </w:tcPr>
          <w:p w14:paraId="7F78940F">
            <w:pPr>
              <w:pStyle w:val="75"/>
            </w:pPr>
            <w:r>
              <w:rPr>
                <w:rFonts w:hint="eastAsia"/>
              </w:rPr>
              <w:t>硫酸雾</w:t>
            </w:r>
          </w:p>
        </w:tc>
        <w:tc>
          <w:tcPr>
            <w:tcW w:w="924" w:type="pct"/>
            <w:vAlign w:val="center"/>
          </w:tcPr>
          <w:p w14:paraId="4FD4F8C9">
            <w:pPr>
              <w:pStyle w:val="75"/>
              <w:rPr>
                <w:kern w:val="2"/>
              </w:rPr>
            </w:pPr>
            <w:r>
              <w:rPr>
                <w:rFonts w:hint="eastAsia"/>
                <w:kern w:val="2"/>
              </w:rPr>
              <w:t>密闭负压收集</w:t>
            </w:r>
          </w:p>
        </w:tc>
        <w:tc>
          <w:tcPr>
            <w:tcW w:w="1231" w:type="pct"/>
            <w:gridSpan w:val="2"/>
            <w:vMerge w:val="continue"/>
            <w:vAlign w:val="center"/>
          </w:tcPr>
          <w:p w14:paraId="3859223E">
            <w:pPr>
              <w:pStyle w:val="75"/>
              <w:rPr>
                <w:kern w:val="2"/>
              </w:rPr>
            </w:pPr>
          </w:p>
        </w:tc>
      </w:tr>
      <w:tr w14:paraId="67BB00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0277908B">
            <w:pPr>
              <w:pStyle w:val="75"/>
              <w:rPr>
                <w:kern w:val="2"/>
              </w:rPr>
            </w:pPr>
          </w:p>
        </w:tc>
        <w:tc>
          <w:tcPr>
            <w:tcW w:w="993" w:type="pct"/>
            <w:vAlign w:val="center"/>
          </w:tcPr>
          <w:p w14:paraId="3FF0C577">
            <w:pPr>
              <w:pStyle w:val="75"/>
            </w:pPr>
            <w:r>
              <w:rPr>
                <w:rFonts w:hint="eastAsia"/>
              </w:rPr>
              <w:t>污水处理站</w:t>
            </w:r>
          </w:p>
        </w:tc>
        <w:tc>
          <w:tcPr>
            <w:tcW w:w="1420" w:type="pct"/>
            <w:vAlign w:val="center"/>
          </w:tcPr>
          <w:p w14:paraId="12D43D14">
            <w:pPr>
              <w:pStyle w:val="75"/>
            </w:pPr>
            <w:r>
              <w:rPr>
                <w:rFonts w:hint="eastAsia"/>
                <w:bCs/>
              </w:rPr>
              <w:t>臭气浓度、H</w:t>
            </w:r>
            <w:r>
              <w:rPr>
                <w:rFonts w:hint="eastAsia"/>
                <w:bCs/>
                <w:vertAlign w:val="subscript"/>
              </w:rPr>
              <w:t>2</w:t>
            </w:r>
            <w:r>
              <w:rPr>
                <w:rFonts w:hint="eastAsia"/>
                <w:bCs/>
              </w:rPr>
              <w:t>S、NH</w:t>
            </w:r>
            <w:r>
              <w:rPr>
                <w:rFonts w:hint="eastAsia"/>
                <w:bCs/>
                <w:vertAlign w:val="subscript"/>
              </w:rPr>
              <w:t>3</w:t>
            </w:r>
          </w:p>
        </w:tc>
        <w:tc>
          <w:tcPr>
            <w:tcW w:w="924" w:type="pct"/>
            <w:vAlign w:val="center"/>
          </w:tcPr>
          <w:p w14:paraId="136DBB49">
            <w:pPr>
              <w:pStyle w:val="75"/>
              <w:rPr>
                <w:kern w:val="2"/>
              </w:rPr>
            </w:pPr>
            <w:r>
              <w:rPr>
                <w:rFonts w:hint="eastAsia"/>
                <w:kern w:val="2"/>
              </w:rPr>
              <w:t>加盖密闭收集</w:t>
            </w:r>
          </w:p>
        </w:tc>
        <w:tc>
          <w:tcPr>
            <w:tcW w:w="1231" w:type="pct"/>
            <w:gridSpan w:val="2"/>
            <w:vAlign w:val="center"/>
          </w:tcPr>
          <w:p w14:paraId="7337E062">
            <w:pPr>
              <w:pStyle w:val="75"/>
              <w:rPr>
                <w:kern w:val="2"/>
              </w:rPr>
            </w:pPr>
            <w:r>
              <w:rPr>
                <w:rFonts w:hint="eastAsia"/>
              </w:rPr>
              <w:t>生物除臭滤塔</w:t>
            </w:r>
            <w:r>
              <w:rPr>
                <w:kern w:val="2"/>
              </w:rPr>
              <w:t>+</w:t>
            </w:r>
            <w:r>
              <w:rPr>
                <w:rFonts w:hint="eastAsia"/>
              </w:rPr>
              <w:t>15m高</w:t>
            </w:r>
            <w:r>
              <w:rPr>
                <w:rFonts w:hint="eastAsia"/>
                <w:kern w:val="2"/>
              </w:rPr>
              <w:t>排气筒（1套）</w:t>
            </w:r>
          </w:p>
        </w:tc>
      </w:tr>
      <w:tr w14:paraId="666C17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restart"/>
            <w:vAlign w:val="center"/>
          </w:tcPr>
          <w:p w14:paraId="57C2F5EC">
            <w:pPr>
              <w:pStyle w:val="75"/>
            </w:pPr>
            <w:r>
              <w:t>废水</w:t>
            </w:r>
          </w:p>
        </w:tc>
        <w:tc>
          <w:tcPr>
            <w:tcW w:w="993" w:type="pct"/>
            <w:vAlign w:val="center"/>
          </w:tcPr>
          <w:p w14:paraId="6D615425">
            <w:pPr>
              <w:pStyle w:val="75"/>
            </w:pPr>
            <w:r>
              <w:rPr>
                <w:rFonts w:hint="eastAsia"/>
              </w:rPr>
              <w:t>除油</w:t>
            </w:r>
            <w:r>
              <w:t>废槽液</w:t>
            </w:r>
          </w:p>
        </w:tc>
        <w:tc>
          <w:tcPr>
            <w:tcW w:w="1420" w:type="pct"/>
            <w:vMerge w:val="restart"/>
            <w:vAlign w:val="center"/>
          </w:tcPr>
          <w:p w14:paraId="49E6017B">
            <w:pPr>
              <w:pStyle w:val="75"/>
              <w:jc w:val="left"/>
            </w:pPr>
            <w:r>
              <w:t>pH、COD、</w:t>
            </w:r>
            <w:r>
              <w:rPr>
                <w:rFonts w:hint="eastAsia"/>
              </w:rPr>
              <w:t>NH</w:t>
            </w:r>
            <w:r>
              <w:rPr>
                <w:rFonts w:hint="eastAsia"/>
                <w:vertAlign w:val="subscript"/>
              </w:rPr>
              <w:t>3</w:t>
            </w:r>
            <w:r>
              <w:rPr>
                <w:rFonts w:hint="eastAsia"/>
              </w:rPr>
              <w:t>-N、TP、TN</w:t>
            </w:r>
            <w:r>
              <w:t>、石油类</w:t>
            </w:r>
          </w:p>
        </w:tc>
        <w:tc>
          <w:tcPr>
            <w:tcW w:w="924" w:type="pct"/>
            <w:vMerge w:val="restart"/>
            <w:vAlign w:val="center"/>
          </w:tcPr>
          <w:p w14:paraId="17D3B735">
            <w:pPr>
              <w:pStyle w:val="75"/>
            </w:pPr>
            <w:r>
              <w:rPr>
                <w:rFonts w:hint="eastAsia"/>
              </w:rPr>
              <w:t>破乳+气浮池</w:t>
            </w:r>
          </w:p>
        </w:tc>
        <w:tc>
          <w:tcPr>
            <w:tcW w:w="752" w:type="pct"/>
            <w:vMerge w:val="restart"/>
            <w:vAlign w:val="center"/>
          </w:tcPr>
          <w:p w14:paraId="4D4F5B84">
            <w:pPr>
              <w:pStyle w:val="75"/>
            </w:pPr>
            <w:r>
              <w:rPr>
                <w:rFonts w:hint="eastAsia"/>
              </w:rPr>
              <w:t>综合废水处理系统（调节+混凝沉淀+</w:t>
            </w:r>
            <w:r>
              <w:rPr>
                <w:rFonts w:hint="eastAsia"/>
                <w:bCs/>
              </w:rPr>
              <w:t>水解酸化+接触氧化</w:t>
            </w:r>
            <w:r>
              <w:rPr>
                <w:rFonts w:hint="eastAsia"/>
              </w:rPr>
              <w:t>+二沉池）</w:t>
            </w:r>
          </w:p>
        </w:tc>
        <w:tc>
          <w:tcPr>
            <w:tcW w:w="479" w:type="pct"/>
            <w:vMerge w:val="restart"/>
            <w:vAlign w:val="center"/>
          </w:tcPr>
          <w:p w14:paraId="302838D5">
            <w:pPr>
              <w:pStyle w:val="75"/>
              <w:jc w:val="left"/>
            </w:pPr>
            <w:r>
              <w:rPr>
                <w:rFonts w:hint="eastAsia"/>
              </w:rPr>
              <w:t>厂区总排口排放</w:t>
            </w:r>
          </w:p>
        </w:tc>
      </w:tr>
      <w:tr w14:paraId="3D766E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5BBDE62E">
            <w:pPr>
              <w:pStyle w:val="75"/>
            </w:pPr>
          </w:p>
        </w:tc>
        <w:tc>
          <w:tcPr>
            <w:tcW w:w="993" w:type="pct"/>
            <w:vAlign w:val="center"/>
          </w:tcPr>
          <w:p w14:paraId="1F3447FB">
            <w:pPr>
              <w:pStyle w:val="75"/>
            </w:pPr>
            <w:r>
              <w:rPr>
                <w:rFonts w:hint="eastAsia"/>
              </w:rPr>
              <w:t>除油</w:t>
            </w:r>
            <w:r>
              <w:t>后</w:t>
            </w:r>
            <w:r>
              <w:rPr>
                <w:rFonts w:hint="eastAsia"/>
              </w:rPr>
              <w:t>水</w:t>
            </w:r>
            <w:r>
              <w:t>洗废水</w:t>
            </w:r>
          </w:p>
        </w:tc>
        <w:tc>
          <w:tcPr>
            <w:tcW w:w="1420" w:type="pct"/>
            <w:vMerge w:val="continue"/>
            <w:vAlign w:val="center"/>
          </w:tcPr>
          <w:p w14:paraId="33BA36C9">
            <w:pPr>
              <w:pStyle w:val="75"/>
              <w:jc w:val="left"/>
            </w:pPr>
          </w:p>
        </w:tc>
        <w:tc>
          <w:tcPr>
            <w:tcW w:w="924" w:type="pct"/>
            <w:vMerge w:val="continue"/>
            <w:vAlign w:val="center"/>
          </w:tcPr>
          <w:p w14:paraId="09D48541">
            <w:pPr>
              <w:pStyle w:val="75"/>
            </w:pPr>
          </w:p>
        </w:tc>
        <w:tc>
          <w:tcPr>
            <w:tcW w:w="752" w:type="pct"/>
            <w:vMerge w:val="continue"/>
            <w:vAlign w:val="center"/>
          </w:tcPr>
          <w:p w14:paraId="1A100C53">
            <w:pPr>
              <w:pStyle w:val="75"/>
            </w:pPr>
          </w:p>
        </w:tc>
        <w:tc>
          <w:tcPr>
            <w:tcW w:w="479" w:type="pct"/>
            <w:vMerge w:val="continue"/>
            <w:vAlign w:val="center"/>
          </w:tcPr>
          <w:p w14:paraId="3908C5FC">
            <w:pPr>
              <w:pStyle w:val="75"/>
            </w:pPr>
          </w:p>
        </w:tc>
      </w:tr>
      <w:tr w14:paraId="0A854A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03704899">
            <w:pPr>
              <w:pStyle w:val="75"/>
            </w:pPr>
          </w:p>
        </w:tc>
        <w:tc>
          <w:tcPr>
            <w:tcW w:w="993" w:type="pct"/>
            <w:vAlign w:val="center"/>
          </w:tcPr>
          <w:p w14:paraId="059DC3AB">
            <w:pPr>
              <w:pStyle w:val="75"/>
            </w:pPr>
            <w:r>
              <w:rPr>
                <w:rFonts w:hint="eastAsia"/>
              </w:rPr>
              <w:t>酸洗废槽液</w:t>
            </w:r>
          </w:p>
        </w:tc>
        <w:tc>
          <w:tcPr>
            <w:tcW w:w="1420" w:type="pct"/>
            <w:vMerge w:val="restart"/>
            <w:vAlign w:val="center"/>
          </w:tcPr>
          <w:p w14:paraId="10681F70">
            <w:pPr>
              <w:pStyle w:val="75"/>
              <w:jc w:val="left"/>
            </w:pPr>
            <w:r>
              <w:t>pH、COD、</w:t>
            </w:r>
            <w:r>
              <w:rPr>
                <w:rFonts w:hint="eastAsia"/>
              </w:rPr>
              <w:t>S</w:t>
            </w:r>
            <w:r>
              <w:t>S</w:t>
            </w:r>
            <w:r>
              <w:rPr>
                <w:rFonts w:hint="eastAsia"/>
              </w:rPr>
              <w:t>、NH</w:t>
            </w:r>
            <w:r>
              <w:rPr>
                <w:rFonts w:hint="eastAsia"/>
                <w:vertAlign w:val="subscript"/>
              </w:rPr>
              <w:t>3</w:t>
            </w:r>
            <w:r>
              <w:rPr>
                <w:rFonts w:hint="eastAsia"/>
              </w:rPr>
              <w:t>-N、TP、TN、石油类</w:t>
            </w:r>
          </w:p>
        </w:tc>
        <w:tc>
          <w:tcPr>
            <w:tcW w:w="924" w:type="pct"/>
            <w:vMerge w:val="restart"/>
            <w:vAlign w:val="center"/>
          </w:tcPr>
          <w:p w14:paraId="058AB487">
            <w:pPr>
              <w:pStyle w:val="75"/>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752" w:type="pct"/>
            <w:vMerge w:val="continue"/>
            <w:vAlign w:val="center"/>
          </w:tcPr>
          <w:p w14:paraId="795CA32B">
            <w:pPr>
              <w:pStyle w:val="75"/>
            </w:pPr>
          </w:p>
        </w:tc>
        <w:tc>
          <w:tcPr>
            <w:tcW w:w="479" w:type="pct"/>
            <w:vMerge w:val="continue"/>
            <w:vAlign w:val="center"/>
          </w:tcPr>
          <w:p w14:paraId="353C524B">
            <w:pPr>
              <w:pStyle w:val="75"/>
            </w:pPr>
          </w:p>
        </w:tc>
      </w:tr>
      <w:tr w14:paraId="7B0205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368CCF97">
            <w:pPr>
              <w:pStyle w:val="75"/>
            </w:pPr>
          </w:p>
        </w:tc>
        <w:tc>
          <w:tcPr>
            <w:tcW w:w="993" w:type="pct"/>
            <w:vAlign w:val="center"/>
          </w:tcPr>
          <w:p w14:paraId="5304AA2C">
            <w:pPr>
              <w:pStyle w:val="75"/>
            </w:pPr>
            <w:r>
              <w:rPr>
                <w:rFonts w:hint="eastAsia"/>
              </w:rPr>
              <w:t>酸洗后水</w:t>
            </w:r>
            <w:r>
              <w:t>洗废水</w:t>
            </w:r>
          </w:p>
        </w:tc>
        <w:tc>
          <w:tcPr>
            <w:tcW w:w="1420" w:type="pct"/>
            <w:vMerge w:val="continue"/>
            <w:vAlign w:val="center"/>
          </w:tcPr>
          <w:p w14:paraId="75013D69">
            <w:pPr>
              <w:pStyle w:val="75"/>
              <w:jc w:val="left"/>
            </w:pPr>
          </w:p>
        </w:tc>
        <w:tc>
          <w:tcPr>
            <w:tcW w:w="924" w:type="pct"/>
            <w:vMerge w:val="continue"/>
            <w:vAlign w:val="center"/>
          </w:tcPr>
          <w:p w14:paraId="4B9DE6C5">
            <w:pPr>
              <w:pStyle w:val="75"/>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p>
        </w:tc>
        <w:tc>
          <w:tcPr>
            <w:tcW w:w="752" w:type="pct"/>
            <w:vMerge w:val="continue"/>
            <w:vAlign w:val="center"/>
          </w:tcPr>
          <w:p w14:paraId="633EB0C1">
            <w:pPr>
              <w:pStyle w:val="75"/>
            </w:pPr>
          </w:p>
        </w:tc>
        <w:tc>
          <w:tcPr>
            <w:tcW w:w="479" w:type="pct"/>
            <w:vMerge w:val="continue"/>
            <w:vAlign w:val="center"/>
          </w:tcPr>
          <w:p w14:paraId="03AAF6B3">
            <w:pPr>
              <w:pStyle w:val="75"/>
            </w:pPr>
          </w:p>
        </w:tc>
      </w:tr>
      <w:tr w14:paraId="6B2DE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21B546C0">
            <w:pPr>
              <w:pStyle w:val="75"/>
            </w:pPr>
          </w:p>
        </w:tc>
        <w:tc>
          <w:tcPr>
            <w:tcW w:w="993" w:type="pct"/>
            <w:vAlign w:val="center"/>
          </w:tcPr>
          <w:p w14:paraId="038992B4">
            <w:pPr>
              <w:pStyle w:val="75"/>
              <w:rPr>
                <w:rFonts w:hint="default" w:eastAsia="宋体"/>
                <w:lang w:val="en-US" w:eastAsia="zh-CN"/>
              </w:rPr>
            </w:pPr>
            <w:r>
              <w:rPr>
                <w:rFonts w:hint="eastAsia"/>
                <w:lang w:val="en-US" w:eastAsia="zh-CN"/>
              </w:rPr>
              <w:t>封闭废槽液</w:t>
            </w:r>
          </w:p>
        </w:tc>
        <w:tc>
          <w:tcPr>
            <w:tcW w:w="1420" w:type="pct"/>
            <w:vAlign w:val="center"/>
          </w:tcPr>
          <w:p w14:paraId="78384A2C">
            <w:pPr>
              <w:pStyle w:val="75"/>
              <w:jc w:val="left"/>
            </w:pPr>
            <w:r>
              <w:t>pH、COD、</w:t>
            </w:r>
            <w:r>
              <w:rPr>
                <w:rFonts w:hint="eastAsia"/>
              </w:rPr>
              <w:t>S</w:t>
            </w:r>
            <w:r>
              <w:t>S</w:t>
            </w:r>
            <w:r>
              <w:rPr>
                <w:rFonts w:hint="eastAsia"/>
              </w:rPr>
              <w:t>、NH</w:t>
            </w:r>
            <w:r>
              <w:rPr>
                <w:rFonts w:hint="eastAsia"/>
                <w:vertAlign w:val="subscript"/>
              </w:rPr>
              <w:t>3</w:t>
            </w:r>
            <w:r>
              <w:rPr>
                <w:rFonts w:hint="eastAsia"/>
              </w:rPr>
              <w:t>-N、TP、TN</w:t>
            </w:r>
          </w:p>
        </w:tc>
        <w:tc>
          <w:tcPr>
            <w:tcW w:w="924" w:type="pct"/>
            <w:vAlign w:val="center"/>
          </w:tcPr>
          <w:p w14:paraId="696831DF">
            <w:pPr>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752" w:type="pct"/>
            <w:vMerge w:val="continue"/>
            <w:vAlign w:val="center"/>
          </w:tcPr>
          <w:p w14:paraId="185CA5A3">
            <w:pPr>
              <w:pStyle w:val="75"/>
            </w:pPr>
          </w:p>
        </w:tc>
        <w:tc>
          <w:tcPr>
            <w:tcW w:w="479" w:type="pct"/>
            <w:vMerge w:val="continue"/>
            <w:vAlign w:val="center"/>
          </w:tcPr>
          <w:p w14:paraId="61A3A28E">
            <w:pPr>
              <w:pStyle w:val="75"/>
            </w:pPr>
          </w:p>
        </w:tc>
      </w:tr>
      <w:tr w14:paraId="4508C1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3DF918FA">
            <w:pPr>
              <w:pStyle w:val="75"/>
            </w:pPr>
          </w:p>
        </w:tc>
        <w:tc>
          <w:tcPr>
            <w:tcW w:w="993" w:type="pct"/>
            <w:vAlign w:val="center"/>
          </w:tcPr>
          <w:p w14:paraId="2DFA568C">
            <w:pPr>
              <w:pStyle w:val="75"/>
              <w:rPr>
                <w:rFonts w:hint="eastAsia"/>
                <w:lang w:val="en-US" w:eastAsia="zh-CN"/>
              </w:rPr>
            </w:pPr>
            <w:r>
              <w:rPr>
                <w:rFonts w:hint="eastAsia"/>
                <w:lang w:val="en-US" w:eastAsia="zh-CN"/>
              </w:rPr>
              <w:t>封闭</w:t>
            </w:r>
            <w:r>
              <w:rPr>
                <w:rFonts w:hint="eastAsia"/>
              </w:rPr>
              <w:t>后水</w:t>
            </w:r>
            <w:r>
              <w:t>洗废水</w:t>
            </w:r>
          </w:p>
        </w:tc>
        <w:tc>
          <w:tcPr>
            <w:tcW w:w="1420" w:type="pct"/>
            <w:vAlign w:val="center"/>
          </w:tcPr>
          <w:p w14:paraId="6C5A4B4F">
            <w:pPr>
              <w:pStyle w:val="75"/>
              <w:jc w:val="left"/>
            </w:pPr>
            <w:r>
              <w:t>pH、COD、</w:t>
            </w:r>
            <w:r>
              <w:rPr>
                <w:rFonts w:hint="eastAsia"/>
              </w:rPr>
              <w:t>S</w:t>
            </w:r>
            <w:r>
              <w:t>S</w:t>
            </w:r>
            <w:r>
              <w:rPr>
                <w:rFonts w:hint="eastAsia"/>
              </w:rPr>
              <w:t>、NH</w:t>
            </w:r>
            <w:r>
              <w:rPr>
                <w:rFonts w:hint="eastAsia"/>
                <w:vertAlign w:val="subscript"/>
              </w:rPr>
              <w:t>3</w:t>
            </w:r>
            <w:r>
              <w:rPr>
                <w:rFonts w:hint="eastAsia"/>
              </w:rPr>
              <w:t>-N、TP、TN</w:t>
            </w:r>
          </w:p>
        </w:tc>
        <w:tc>
          <w:tcPr>
            <w:tcW w:w="924" w:type="pct"/>
            <w:vAlign w:val="center"/>
          </w:tcPr>
          <w:p w14:paraId="6CEA1258">
            <w:pPr>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752" w:type="pct"/>
            <w:vMerge w:val="continue"/>
            <w:vAlign w:val="center"/>
          </w:tcPr>
          <w:p w14:paraId="1FCAA300">
            <w:pPr>
              <w:pStyle w:val="75"/>
            </w:pPr>
          </w:p>
        </w:tc>
        <w:tc>
          <w:tcPr>
            <w:tcW w:w="479" w:type="pct"/>
            <w:vMerge w:val="continue"/>
            <w:vAlign w:val="center"/>
          </w:tcPr>
          <w:p w14:paraId="6D8B510D">
            <w:pPr>
              <w:pStyle w:val="75"/>
            </w:pPr>
          </w:p>
        </w:tc>
      </w:tr>
      <w:tr w14:paraId="61A94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27D6EEA8">
            <w:pPr>
              <w:pStyle w:val="75"/>
            </w:pPr>
          </w:p>
        </w:tc>
        <w:tc>
          <w:tcPr>
            <w:tcW w:w="993" w:type="pct"/>
            <w:vAlign w:val="center"/>
          </w:tcPr>
          <w:p w14:paraId="5EB56D61">
            <w:pPr>
              <w:pStyle w:val="75"/>
            </w:pPr>
            <w:r>
              <w:rPr>
                <w:rFonts w:hint="eastAsia"/>
              </w:rPr>
              <w:t>生活污水</w:t>
            </w:r>
          </w:p>
        </w:tc>
        <w:tc>
          <w:tcPr>
            <w:tcW w:w="1420" w:type="pct"/>
            <w:vAlign w:val="center"/>
          </w:tcPr>
          <w:p w14:paraId="71321C85">
            <w:pPr>
              <w:pStyle w:val="75"/>
              <w:jc w:val="left"/>
            </w:pPr>
            <w:r>
              <w:t>COD</w:t>
            </w:r>
            <w:r>
              <w:rPr>
                <w:rFonts w:hint="eastAsia"/>
              </w:rPr>
              <w:t>、</w:t>
            </w:r>
            <w:r>
              <w:rPr>
                <w:spacing w:val="-8"/>
              </w:rPr>
              <w:t>SS</w:t>
            </w:r>
            <w:r>
              <w:t>、</w:t>
            </w:r>
            <w:r>
              <w:rPr>
                <w:rFonts w:hint="eastAsia"/>
              </w:rPr>
              <w:t>NH</w:t>
            </w:r>
            <w:r>
              <w:rPr>
                <w:rFonts w:hint="eastAsia"/>
                <w:vertAlign w:val="subscript"/>
              </w:rPr>
              <w:t>3</w:t>
            </w:r>
            <w:r>
              <w:rPr>
                <w:rFonts w:hint="eastAsia"/>
              </w:rPr>
              <w:t>-N、TP、TN</w:t>
            </w:r>
          </w:p>
        </w:tc>
        <w:tc>
          <w:tcPr>
            <w:tcW w:w="1676" w:type="pct"/>
            <w:gridSpan w:val="2"/>
            <w:vAlign w:val="center"/>
          </w:tcPr>
          <w:p w14:paraId="5213C58A">
            <w:pPr>
              <w:pStyle w:val="75"/>
            </w:pPr>
            <w:r>
              <w:rPr>
                <w:rFonts w:hint="eastAsia"/>
              </w:rPr>
              <w:t>化粪池</w:t>
            </w:r>
          </w:p>
        </w:tc>
        <w:tc>
          <w:tcPr>
            <w:tcW w:w="479" w:type="pct"/>
            <w:vMerge w:val="continue"/>
            <w:vAlign w:val="center"/>
          </w:tcPr>
          <w:p w14:paraId="19335750">
            <w:pPr>
              <w:pStyle w:val="75"/>
            </w:pPr>
          </w:p>
        </w:tc>
      </w:tr>
      <w:tr w14:paraId="292C2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5BCFE6DB">
            <w:pPr>
              <w:pStyle w:val="75"/>
            </w:pPr>
          </w:p>
        </w:tc>
        <w:tc>
          <w:tcPr>
            <w:tcW w:w="993" w:type="pct"/>
            <w:vAlign w:val="center"/>
          </w:tcPr>
          <w:p w14:paraId="51D85425">
            <w:pPr>
              <w:pStyle w:val="75"/>
            </w:pPr>
            <w:r>
              <w:rPr>
                <w:rFonts w:hint="eastAsia"/>
              </w:rPr>
              <w:t>纯水制备浓水</w:t>
            </w:r>
          </w:p>
        </w:tc>
        <w:tc>
          <w:tcPr>
            <w:tcW w:w="1420" w:type="pct"/>
            <w:vAlign w:val="center"/>
          </w:tcPr>
          <w:p w14:paraId="7321018E">
            <w:pPr>
              <w:pStyle w:val="75"/>
            </w:pPr>
            <w:r>
              <w:t>COD</w:t>
            </w:r>
            <w:r>
              <w:rPr>
                <w:rFonts w:hint="eastAsia"/>
              </w:rPr>
              <w:t>、</w:t>
            </w:r>
            <w:r>
              <w:rPr>
                <w:spacing w:val="-8"/>
              </w:rPr>
              <w:t>SS</w:t>
            </w:r>
          </w:p>
        </w:tc>
        <w:tc>
          <w:tcPr>
            <w:tcW w:w="1676" w:type="pct"/>
            <w:gridSpan w:val="2"/>
            <w:vAlign w:val="center"/>
          </w:tcPr>
          <w:p w14:paraId="4DDBF8FF">
            <w:pPr>
              <w:pStyle w:val="75"/>
            </w:pPr>
            <w:r>
              <w:rPr>
                <w:rFonts w:hint="eastAsia"/>
              </w:rPr>
              <w:t>/</w:t>
            </w:r>
          </w:p>
        </w:tc>
        <w:tc>
          <w:tcPr>
            <w:tcW w:w="479" w:type="pct"/>
            <w:vMerge w:val="continue"/>
            <w:vAlign w:val="center"/>
          </w:tcPr>
          <w:p w14:paraId="0CBBE322">
            <w:pPr>
              <w:pStyle w:val="75"/>
            </w:pPr>
          </w:p>
        </w:tc>
      </w:tr>
      <w:tr w14:paraId="11388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7C46CAA4">
            <w:pPr>
              <w:pStyle w:val="75"/>
            </w:pPr>
          </w:p>
        </w:tc>
        <w:tc>
          <w:tcPr>
            <w:tcW w:w="993" w:type="pct"/>
            <w:vAlign w:val="center"/>
          </w:tcPr>
          <w:p w14:paraId="42D8FEFF">
            <w:pPr>
              <w:pStyle w:val="75"/>
            </w:pPr>
            <w:r>
              <w:rPr>
                <w:rFonts w:hint="eastAsia"/>
              </w:rPr>
              <w:t>冲压冷凝水</w:t>
            </w:r>
          </w:p>
        </w:tc>
        <w:tc>
          <w:tcPr>
            <w:tcW w:w="1420" w:type="pct"/>
            <w:vAlign w:val="center"/>
          </w:tcPr>
          <w:p w14:paraId="19BB5B93">
            <w:pPr>
              <w:pStyle w:val="75"/>
            </w:pPr>
            <w:r>
              <w:t>COD</w:t>
            </w:r>
            <w:r>
              <w:rPr>
                <w:rFonts w:hint="eastAsia"/>
              </w:rPr>
              <w:t>、</w:t>
            </w:r>
            <w:r>
              <w:rPr>
                <w:spacing w:val="-8"/>
              </w:rPr>
              <w:t>SS</w:t>
            </w:r>
          </w:p>
        </w:tc>
        <w:tc>
          <w:tcPr>
            <w:tcW w:w="924" w:type="pct"/>
            <w:vAlign w:val="center"/>
          </w:tcPr>
          <w:p w14:paraId="43B4CF33">
            <w:pPr>
              <w:pStyle w:val="75"/>
            </w:pPr>
            <w:r>
              <w:rPr>
                <w:rFonts w:hint="eastAsia"/>
              </w:rPr>
              <w:t>/</w:t>
            </w:r>
          </w:p>
        </w:tc>
        <w:tc>
          <w:tcPr>
            <w:tcW w:w="1231" w:type="pct"/>
            <w:gridSpan w:val="2"/>
            <w:vAlign w:val="center"/>
          </w:tcPr>
          <w:p w14:paraId="0A7DA53B">
            <w:pPr>
              <w:pStyle w:val="75"/>
            </w:pPr>
          </w:p>
        </w:tc>
      </w:tr>
      <w:tr w14:paraId="7396B8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322A821">
            <w:pPr>
              <w:pStyle w:val="75"/>
            </w:pPr>
          </w:p>
        </w:tc>
        <w:tc>
          <w:tcPr>
            <w:tcW w:w="993" w:type="pct"/>
            <w:vAlign w:val="center"/>
          </w:tcPr>
          <w:p w14:paraId="2398E536">
            <w:pPr>
              <w:pStyle w:val="75"/>
            </w:pPr>
            <w:r>
              <w:rPr>
                <w:rFonts w:hint="eastAsia"/>
              </w:rPr>
              <w:t>镀镍后水洗废水</w:t>
            </w:r>
          </w:p>
        </w:tc>
        <w:tc>
          <w:tcPr>
            <w:tcW w:w="1420" w:type="pct"/>
            <w:vMerge w:val="restart"/>
            <w:vAlign w:val="center"/>
          </w:tcPr>
          <w:p w14:paraId="3B9E1FAF">
            <w:pPr>
              <w:pStyle w:val="75"/>
            </w:pPr>
            <w:r>
              <w:t>pH、COD、</w:t>
            </w:r>
            <w:r>
              <w:rPr>
                <w:rFonts w:hint="eastAsia"/>
              </w:rPr>
              <w:t>总镍</w:t>
            </w:r>
          </w:p>
        </w:tc>
        <w:tc>
          <w:tcPr>
            <w:tcW w:w="2155" w:type="pct"/>
            <w:gridSpan w:val="3"/>
            <w:vMerge w:val="restart"/>
            <w:vAlign w:val="center"/>
          </w:tcPr>
          <w:p w14:paraId="3C3258F6">
            <w:pPr>
              <w:pStyle w:val="75"/>
              <w:jc w:val="left"/>
              <w:rPr>
                <w:rFonts w:hint="default" w:eastAsia="宋体"/>
                <w:lang w:val="en-US" w:eastAsia="zh-CN"/>
              </w:rPr>
            </w:pPr>
            <w:r>
              <w:rPr>
                <w:rFonts w:hint="eastAsia"/>
              </w:rPr>
              <w:t>含镍废水处理系统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调节</w:t>
            </w:r>
            <w:r>
              <w:rPr>
                <w:rFonts w:hint="eastAsia"/>
                <w:color w:val="000000" w:themeColor="text1"/>
                <w14:textFill>
                  <w14:solidFill>
                    <w14:schemeClr w14:val="tx1"/>
                  </w14:solidFill>
                </w14:textFill>
              </w:rPr>
              <w:t>+混凝沉淀+</w:t>
            </w:r>
            <w:r>
              <w:rPr>
                <w:rFonts w:hint="eastAsia"/>
                <w:bCs/>
                <w:color w:val="000000" w:themeColor="text1"/>
                <w14:textFill>
                  <w14:solidFill>
                    <w14:schemeClr w14:val="tx1"/>
                  </w14:solidFill>
                </w14:textFill>
              </w:rPr>
              <w:t>碳滤</w:t>
            </w:r>
            <w:r>
              <w:rPr>
                <w:rFonts w:hint="eastAsia"/>
                <w:color w:val="000000" w:themeColor="text1"/>
                <w14:textFill>
                  <w14:solidFill>
                    <w14:schemeClr w14:val="tx1"/>
                  </w14:solidFill>
                </w14:textFill>
              </w:rPr>
              <w:t>+超滤+反渗透+蒸发）</w:t>
            </w:r>
            <w:r>
              <w:rPr>
                <w:rFonts w:hint="eastAsia"/>
              </w:rPr>
              <w:t>处理后回用于镀后水洗</w:t>
            </w:r>
            <w:r>
              <w:rPr>
                <w:rFonts w:hint="eastAsia"/>
                <w:lang w:eastAsia="zh-CN"/>
              </w:rPr>
              <w:t>、</w:t>
            </w:r>
            <w:r>
              <w:rPr>
                <w:rFonts w:hint="eastAsia"/>
                <w:lang w:val="en-US" w:eastAsia="zh-CN"/>
              </w:rPr>
              <w:t>漂白后水洗及中和后水洗工段</w:t>
            </w:r>
          </w:p>
        </w:tc>
      </w:tr>
      <w:tr w14:paraId="09C8A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7EAEA5ED">
            <w:pPr>
              <w:pStyle w:val="75"/>
            </w:pPr>
          </w:p>
        </w:tc>
        <w:tc>
          <w:tcPr>
            <w:tcW w:w="993" w:type="pct"/>
            <w:vAlign w:val="center"/>
          </w:tcPr>
          <w:p w14:paraId="7E2D9C4E">
            <w:pPr>
              <w:pStyle w:val="75"/>
              <w:rPr>
                <w:rFonts w:hint="default" w:eastAsia="宋体"/>
                <w:lang w:val="en-US" w:eastAsia="zh-CN"/>
              </w:rPr>
            </w:pPr>
            <w:r>
              <w:rPr>
                <w:rFonts w:hint="eastAsia"/>
                <w:lang w:val="en-US" w:eastAsia="zh-CN"/>
              </w:rPr>
              <w:t>漂白槽液</w:t>
            </w:r>
          </w:p>
        </w:tc>
        <w:tc>
          <w:tcPr>
            <w:tcW w:w="1420" w:type="pct"/>
            <w:vMerge w:val="continue"/>
            <w:vAlign w:val="center"/>
          </w:tcPr>
          <w:p w14:paraId="679FDE75">
            <w:pPr>
              <w:pStyle w:val="75"/>
            </w:pPr>
          </w:p>
        </w:tc>
        <w:tc>
          <w:tcPr>
            <w:tcW w:w="2155" w:type="pct"/>
            <w:gridSpan w:val="3"/>
            <w:vMerge w:val="continue"/>
            <w:vAlign w:val="center"/>
          </w:tcPr>
          <w:p w14:paraId="4846B5F5">
            <w:pPr>
              <w:pStyle w:val="75"/>
              <w:jc w:val="left"/>
              <w:rPr>
                <w:rFonts w:hint="eastAsia"/>
              </w:rPr>
            </w:pPr>
          </w:p>
        </w:tc>
      </w:tr>
      <w:tr w14:paraId="24C57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3629A185">
            <w:pPr>
              <w:pStyle w:val="75"/>
            </w:pPr>
          </w:p>
        </w:tc>
        <w:tc>
          <w:tcPr>
            <w:tcW w:w="993" w:type="pct"/>
            <w:vAlign w:val="center"/>
          </w:tcPr>
          <w:p w14:paraId="10F76BF3">
            <w:pPr>
              <w:pStyle w:val="75"/>
              <w:rPr>
                <w:rFonts w:hint="default"/>
                <w:lang w:val="en-US" w:eastAsia="zh-CN"/>
              </w:rPr>
            </w:pPr>
            <w:r>
              <w:rPr>
                <w:rFonts w:hint="eastAsia"/>
                <w:lang w:val="en-US" w:eastAsia="zh-CN"/>
              </w:rPr>
              <w:t>漂白后水洗废水</w:t>
            </w:r>
          </w:p>
        </w:tc>
        <w:tc>
          <w:tcPr>
            <w:tcW w:w="1420" w:type="pct"/>
            <w:vMerge w:val="continue"/>
            <w:vAlign w:val="center"/>
          </w:tcPr>
          <w:p w14:paraId="09CAF921">
            <w:pPr>
              <w:pStyle w:val="75"/>
            </w:pPr>
          </w:p>
        </w:tc>
        <w:tc>
          <w:tcPr>
            <w:tcW w:w="2155" w:type="pct"/>
            <w:gridSpan w:val="3"/>
            <w:vMerge w:val="continue"/>
            <w:vAlign w:val="center"/>
          </w:tcPr>
          <w:p w14:paraId="706FD544">
            <w:pPr>
              <w:pStyle w:val="75"/>
              <w:jc w:val="left"/>
              <w:rPr>
                <w:rFonts w:hint="eastAsia"/>
              </w:rPr>
            </w:pPr>
          </w:p>
        </w:tc>
      </w:tr>
      <w:tr w14:paraId="511495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765AC567">
            <w:pPr>
              <w:pStyle w:val="75"/>
            </w:pPr>
          </w:p>
        </w:tc>
        <w:tc>
          <w:tcPr>
            <w:tcW w:w="993" w:type="pct"/>
            <w:vAlign w:val="center"/>
          </w:tcPr>
          <w:p w14:paraId="419AC87B">
            <w:pPr>
              <w:pStyle w:val="75"/>
            </w:pPr>
            <w:r>
              <w:rPr>
                <w:rFonts w:hint="eastAsia"/>
              </w:rPr>
              <w:t>中和废槽液</w:t>
            </w:r>
          </w:p>
        </w:tc>
        <w:tc>
          <w:tcPr>
            <w:tcW w:w="1420" w:type="pct"/>
            <w:vMerge w:val="continue"/>
            <w:vAlign w:val="center"/>
          </w:tcPr>
          <w:p w14:paraId="6A09EA3A">
            <w:pPr>
              <w:pStyle w:val="75"/>
            </w:pPr>
          </w:p>
        </w:tc>
        <w:tc>
          <w:tcPr>
            <w:tcW w:w="2155" w:type="pct"/>
            <w:gridSpan w:val="3"/>
            <w:vMerge w:val="continue"/>
            <w:vAlign w:val="center"/>
          </w:tcPr>
          <w:p w14:paraId="196BA138">
            <w:pPr>
              <w:pStyle w:val="75"/>
              <w:jc w:val="left"/>
            </w:pPr>
          </w:p>
        </w:tc>
      </w:tr>
      <w:tr w14:paraId="34D566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57340254">
            <w:pPr>
              <w:pStyle w:val="75"/>
            </w:pPr>
          </w:p>
        </w:tc>
        <w:tc>
          <w:tcPr>
            <w:tcW w:w="993" w:type="pct"/>
            <w:vAlign w:val="center"/>
          </w:tcPr>
          <w:p w14:paraId="014A25DD">
            <w:pPr>
              <w:pStyle w:val="75"/>
            </w:pPr>
            <w:r>
              <w:rPr>
                <w:rFonts w:hint="eastAsia"/>
              </w:rPr>
              <w:t>中和后水洗废水</w:t>
            </w:r>
          </w:p>
        </w:tc>
        <w:tc>
          <w:tcPr>
            <w:tcW w:w="1420" w:type="pct"/>
            <w:vMerge w:val="continue"/>
            <w:vAlign w:val="center"/>
          </w:tcPr>
          <w:p w14:paraId="149B3E7E">
            <w:pPr>
              <w:pStyle w:val="75"/>
            </w:pPr>
          </w:p>
        </w:tc>
        <w:tc>
          <w:tcPr>
            <w:tcW w:w="2155" w:type="pct"/>
            <w:gridSpan w:val="3"/>
            <w:vMerge w:val="continue"/>
            <w:vAlign w:val="center"/>
          </w:tcPr>
          <w:p w14:paraId="22B92BE3">
            <w:pPr>
              <w:pStyle w:val="75"/>
              <w:jc w:val="left"/>
            </w:pPr>
          </w:p>
        </w:tc>
      </w:tr>
      <w:tr w14:paraId="32207C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782C62A3">
            <w:pPr>
              <w:pStyle w:val="75"/>
            </w:pPr>
          </w:p>
        </w:tc>
        <w:tc>
          <w:tcPr>
            <w:tcW w:w="993" w:type="pct"/>
            <w:vAlign w:val="center"/>
          </w:tcPr>
          <w:p w14:paraId="59D0FBBA">
            <w:pPr>
              <w:pStyle w:val="75"/>
            </w:pPr>
            <w:r>
              <w:rPr>
                <w:rFonts w:hint="eastAsia"/>
              </w:rPr>
              <w:t>钝化废槽液</w:t>
            </w:r>
          </w:p>
        </w:tc>
        <w:tc>
          <w:tcPr>
            <w:tcW w:w="1420" w:type="pct"/>
            <w:vMerge w:val="restart"/>
            <w:vAlign w:val="center"/>
          </w:tcPr>
          <w:p w14:paraId="4155F9CB">
            <w:pPr>
              <w:pStyle w:val="75"/>
            </w:pPr>
            <w:r>
              <w:t>pH、</w:t>
            </w:r>
            <w:r>
              <w:rPr>
                <w:rFonts w:hint="eastAsia"/>
              </w:rPr>
              <w:t>总铬</w:t>
            </w:r>
          </w:p>
        </w:tc>
        <w:tc>
          <w:tcPr>
            <w:tcW w:w="2155" w:type="pct"/>
            <w:gridSpan w:val="3"/>
            <w:vMerge w:val="restart"/>
            <w:vAlign w:val="center"/>
          </w:tcPr>
          <w:p w14:paraId="1A5CB7D1">
            <w:pPr>
              <w:pStyle w:val="75"/>
              <w:jc w:val="left"/>
            </w:pPr>
            <w:r>
              <w:rPr>
                <w:rFonts w:hint="eastAsia"/>
              </w:rPr>
              <w:t>含铬废水处理系统（调节+混凝沉淀+碳滤+超滤+反渗透+蒸发）处理后回用于钝化后水洗和中和后水洗工段</w:t>
            </w:r>
          </w:p>
        </w:tc>
      </w:tr>
      <w:tr w14:paraId="42837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235C7908">
            <w:pPr>
              <w:pStyle w:val="75"/>
            </w:pPr>
          </w:p>
        </w:tc>
        <w:tc>
          <w:tcPr>
            <w:tcW w:w="993" w:type="pct"/>
            <w:vAlign w:val="center"/>
          </w:tcPr>
          <w:p w14:paraId="2D9BDC82">
            <w:pPr>
              <w:pStyle w:val="75"/>
            </w:pPr>
            <w:r>
              <w:rPr>
                <w:rFonts w:hint="eastAsia"/>
              </w:rPr>
              <w:t>钝化后水洗废水</w:t>
            </w:r>
          </w:p>
        </w:tc>
        <w:tc>
          <w:tcPr>
            <w:tcW w:w="1420" w:type="pct"/>
            <w:vMerge w:val="continue"/>
            <w:vAlign w:val="center"/>
          </w:tcPr>
          <w:p w14:paraId="4F672E55">
            <w:pPr>
              <w:pStyle w:val="75"/>
            </w:pPr>
          </w:p>
        </w:tc>
        <w:tc>
          <w:tcPr>
            <w:tcW w:w="2155" w:type="pct"/>
            <w:gridSpan w:val="3"/>
            <w:vMerge w:val="continue"/>
            <w:vAlign w:val="center"/>
          </w:tcPr>
          <w:p w14:paraId="44695B2E">
            <w:pPr>
              <w:pStyle w:val="75"/>
            </w:pPr>
          </w:p>
        </w:tc>
      </w:tr>
      <w:tr w14:paraId="02DFD3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29BBFA3F">
            <w:pPr>
              <w:pStyle w:val="75"/>
            </w:pPr>
          </w:p>
        </w:tc>
        <w:tc>
          <w:tcPr>
            <w:tcW w:w="993" w:type="pct"/>
            <w:vAlign w:val="center"/>
          </w:tcPr>
          <w:p w14:paraId="2B7C13D0">
            <w:pPr>
              <w:pStyle w:val="75"/>
            </w:pPr>
            <w:r>
              <w:rPr>
                <w:rFonts w:hint="eastAsia"/>
              </w:rPr>
              <w:t>中和废槽液</w:t>
            </w:r>
          </w:p>
        </w:tc>
        <w:tc>
          <w:tcPr>
            <w:tcW w:w="1420" w:type="pct"/>
            <w:vMerge w:val="continue"/>
            <w:vAlign w:val="center"/>
          </w:tcPr>
          <w:p w14:paraId="5210CCA2">
            <w:pPr>
              <w:pStyle w:val="75"/>
            </w:pPr>
          </w:p>
        </w:tc>
        <w:tc>
          <w:tcPr>
            <w:tcW w:w="2155" w:type="pct"/>
            <w:gridSpan w:val="3"/>
            <w:vMerge w:val="continue"/>
            <w:vAlign w:val="center"/>
          </w:tcPr>
          <w:p w14:paraId="698733EC">
            <w:pPr>
              <w:pStyle w:val="75"/>
            </w:pPr>
          </w:p>
        </w:tc>
      </w:tr>
      <w:tr w14:paraId="6421C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2E0B7C32">
            <w:pPr>
              <w:pStyle w:val="75"/>
            </w:pPr>
          </w:p>
        </w:tc>
        <w:tc>
          <w:tcPr>
            <w:tcW w:w="993" w:type="pct"/>
            <w:vAlign w:val="center"/>
          </w:tcPr>
          <w:p w14:paraId="09A84BCE">
            <w:pPr>
              <w:pStyle w:val="75"/>
            </w:pPr>
            <w:r>
              <w:rPr>
                <w:rFonts w:hint="eastAsia"/>
              </w:rPr>
              <w:t>中和后水洗废水</w:t>
            </w:r>
          </w:p>
        </w:tc>
        <w:tc>
          <w:tcPr>
            <w:tcW w:w="1420" w:type="pct"/>
            <w:vMerge w:val="continue"/>
            <w:vAlign w:val="center"/>
          </w:tcPr>
          <w:p w14:paraId="1870D5CF">
            <w:pPr>
              <w:pStyle w:val="75"/>
            </w:pPr>
          </w:p>
        </w:tc>
        <w:tc>
          <w:tcPr>
            <w:tcW w:w="2155" w:type="pct"/>
            <w:gridSpan w:val="3"/>
            <w:vMerge w:val="continue"/>
            <w:vAlign w:val="center"/>
          </w:tcPr>
          <w:p w14:paraId="3BC733FA">
            <w:pPr>
              <w:pStyle w:val="75"/>
            </w:pPr>
          </w:p>
        </w:tc>
      </w:tr>
      <w:tr w14:paraId="1F064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85BF254">
            <w:pPr>
              <w:pStyle w:val="75"/>
            </w:pPr>
          </w:p>
        </w:tc>
        <w:tc>
          <w:tcPr>
            <w:tcW w:w="993" w:type="pct"/>
            <w:vAlign w:val="center"/>
          </w:tcPr>
          <w:p w14:paraId="0A6C5723">
            <w:pPr>
              <w:pStyle w:val="75"/>
            </w:pPr>
            <w:r>
              <w:rPr>
                <w:rFonts w:hint="eastAsia"/>
              </w:rPr>
              <w:t>吸收塔更换废水</w:t>
            </w:r>
          </w:p>
        </w:tc>
        <w:tc>
          <w:tcPr>
            <w:tcW w:w="1420" w:type="pct"/>
            <w:vMerge w:val="continue"/>
            <w:vAlign w:val="center"/>
          </w:tcPr>
          <w:p w14:paraId="79578C4A">
            <w:pPr>
              <w:pStyle w:val="75"/>
            </w:pPr>
          </w:p>
        </w:tc>
        <w:tc>
          <w:tcPr>
            <w:tcW w:w="2155" w:type="pct"/>
            <w:gridSpan w:val="3"/>
            <w:vMerge w:val="continue"/>
            <w:vAlign w:val="center"/>
          </w:tcPr>
          <w:p w14:paraId="2EADE407">
            <w:pPr>
              <w:pStyle w:val="75"/>
            </w:pPr>
          </w:p>
        </w:tc>
      </w:tr>
      <w:tr w14:paraId="306021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E40060E">
            <w:pPr>
              <w:pStyle w:val="75"/>
            </w:pPr>
          </w:p>
        </w:tc>
        <w:tc>
          <w:tcPr>
            <w:tcW w:w="993" w:type="pct"/>
            <w:vAlign w:val="center"/>
          </w:tcPr>
          <w:p w14:paraId="093524E6">
            <w:pPr>
              <w:pStyle w:val="75"/>
            </w:pPr>
            <w:r>
              <w:rPr>
                <w:rFonts w:hint="eastAsia"/>
              </w:rPr>
              <w:t>车间地面清洗水</w:t>
            </w:r>
          </w:p>
        </w:tc>
        <w:tc>
          <w:tcPr>
            <w:tcW w:w="1420" w:type="pct"/>
            <w:vMerge w:val="continue"/>
            <w:vAlign w:val="center"/>
          </w:tcPr>
          <w:p w14:paraId="56D54EEA">
            <w:pPr>
              <w:pStyle w:val="75"/>
            </w:pPr>
          </w:p>
        </w:tc>
        <w:tc>
          <w:tcPr>
            <w:tcW w:w="2155" w:type="pct"/>
            <w:gridSpan w:val="3"/>
            <w:vMerge w:val="continue"/>
            <w:vAlign w:val="center"/>
          </w:tcPr>
          <w:p w14:paraId="50414C29">
            <w:pPr>
              <w:pStyle w:val="75"/>
            </w:pPr>
          </w:p>
        </w:tc>
      </w:tr>
      <w:tr w14:paraId="3176EE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restart"/>
            <w:vAlign w:val="center"/>
          </w:tcPr>
          <w:p w14:paraId="39BBB08C">
            <w:pPr>
              <w:pStyle w:val="75"/>
            </w:pPr>
            <w:r>
              <w:t>固废</w:t>
            </w:r>
          </w:p>
        </w:tc>
        <w:tc>
          <w:tcPr>
            <w:tcW w:w="993" w:type="pct"/>
            <w:vAlign w:val="center"/>
          </w:tcPr>
          <w:p w14:paraId="7070C286">
            <w:pPr>
              <w:pStyle w:val="75"/>
            </w:pPr>
            <w:r>
              <w:rPr>
                <w:rFonts w:hint="eastAsia"/>
              </w:rPr>
              <w:t>原料拆包</w:t>
            </w:r>
          </w:p>
        </w:tc>
        <w:tc>
          <w:tcPr>
            <w:tcW w:w="1420" w:type="pct"/>
            <w:vAlign w:val="center"/>
          </w:tcPr>
          <w:p w14:paraId="30E37C73">
            <w:pPr>
              <w:pStyle w:val="75"/>
            </w:pPr>
            <w:r>
              <w:rPr>
                <w:rFonts w:hint="eastAsia"/>
              </w:rPr>
              <w:t>废包装物</w:t>
            </w:r>
          </w:p>
        </w:tc>
        <w:tc>
          <w:tcPr>
            <w:tcW w:w="2155" w:type="pct"/>
            <w:gridSpan w:val="3"/>
            <w:vMerge w:val="restart"/>
            <w:vAlign w:val="center"/>
          </w:tcPr>
          <w:p w14:paraId="222A25AA">
            <w:pPr>
              <w:pStyle w:val="75"/>
              <w:jc w:val="left"/>
            </w:pPr>
            <w:r>
              <w:t>专用容器收集，在</w:t>
            </w:r>
            <w:r>
              <w:rPr>
                <w:rFonts w:hint="eastAsia"/>
              </w:rPr>
              <w:t>危废贮存库</w:t>
            </w:r>
            <w:r>
              <w:t>分类暂存</w:t>
            </w:r>
            <w:r>
              <w:rPr>
                <w:rFonts w:hint="eastAsia"/>
              </w:rPr>
              <w:t>，</w:t>
            </w:r>
            <w:r>
              <w:t>定期送有</w:t>
            </w:r>
            <w:r>
              <w:rPr>
                <w:rFonts w:hint="eastAsia"/>
              </w:rPr>
              <w:t>相应</w:t>
            </w:r>
            <w:r>
              <w:t>危废</w:t>
            </w:r>
            <w:r>
              <w:rPr>
                <w:rFonts w:hint="eastAsia"/>
              </w:rPr>
              <w:t>处置</w:t>
            </w:r>
            <w:r>
              <w:t>资质的单位</w:t>
            </w:r>
            <w:r>
              <w:rPr>
                <w:rFonts w:hint="eastAsia"/>
              </w:rPr>
              <w:t>处置</w:t>
            </w:r>
          </w:p>
        </w:tc>
      </w:tr>
      <w:tr w14:paraId="15C63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38322722">
            <w:pPr>
              <w:pStyle w:val="75"/>
            </w:pPr>
          </w:p>
        </w:tc>
        <w:tc>
          <w:tcPr>
            <w:tcW w:w="993" w:type="pct"/>
            <w:vAlign w:val="center"/>
          </w:tcPr>
          <w:p w14:paraId="77140510">
            <w:pPr>
              <w:pStyle w:val="75"/>
            </w:pPr>
            <w:r>
              <w:rPr>
                <w:rFonts w:hint="eastAsia"/>
              </w:rPr>
              <w:t>镀液槽过滤设备</w:t>
            </w:r>
          </w:p>
        </w:tc>
        <w:tc>
          <w:tcPr>
            <w:tcW w:w="1420" w:type="pct"/>
            <w:vAlign w:val="center"/>
          </w:tcPr>
          <w:p w14:paraId="56131C1D">
            <w:pPr>
              <w:pStyle w:val="75"/>
            </w:pPr>
            <w:r>
              <w:rPr>
                <w:rFonts w:hint="eastAsia"/>
              </w:rPr>
              <w:t>废滤芯和废活性炭</w:t>
            </w:r>
          </w:p>
        </w:tc>
        <w:tc>
          <w:tcPr>
            <w:tcW w:w="2155" w:type="pct"/>
            <w:gridSpan w:val="3"/>
            <w:vMerge w:val="continue"/>
            <w:vAlign w:val="center"/>
          </w:tcPr>
          <w:p w14:paraId="362A748E">
            <w:pPr>
              <w:pStyle w:val="75"/>
            </w:pPr>
          </w:p>
        </w:tc>
      </w:tr>
      <w:tr w14:paraId="609BBD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BB99077">
            <w:pPr>
              <w:pStyle w:val="75"/>
            </w:pPr>
          </w:p>
        </w:tc>
        <w:tc>
          <w:tcPr>
            <w:tcW w:w="993" w:type="pct"/>
            <w:vAlign w:val="center"/>
          </w:tcPr>
          <w:p w14:paraId="28E80750">
            <w:pPr>
              <w:pStyle w:val="75"/>
            </w:pPr>
            <w:r>
              <w:rPr>
                <w:rFonts w:hint="eastAsia"/>
              </w:rPr>
              <w:t>镀槽</w:t>
            </w:r>
          </w:p>
        </w:tc>
        <w:tc>
          <w:tcPr>
            <w:tcW w:w="1420" w:type="pct"/>
            <w:vAlign w:val="center"/>
          </w:tcPr>
          <w:p w14:paraId="686D58FC">
            <w:pPr>
              <w:pStyle w:val="75"/>
            </w:pPr>
            <w:r>
              <w:rPr>
                <w:rFonts w:hint="eastAsia"/>
              </w:rPr>
              <w:t>废槽渣</w:t>
            </w:r>
          </w:p>
        </w:tc>
        <w:tc>
          <w:tcPr>
            <w:tcW w:w="2155" w:type="pct"/>
            <w:gridSpan w:val="3"/>
            <w:vMerge w:val="continue"/>
            <w:vAlign w:val="center"/>
          </w:tcPr>
          <w:p w14:paraId="45FB9BFB">
            <w:pPr>
              <w:pStyle w:val="75"/>
            </w:pPr>
          </w:p>
        </w:tc>
      </w:tr>
      <w:tr w14:paraId="76E0D5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15C0B312">
            <w:pPr>
              <w:pStyle w:val="75"/>
            </w:pPr>
          </w:p>
        </w:tc>
        <w:tc>
          <w:tcPr>
            <w:tcW w:w="993" w:type="pct"/>
            <w:vAlign w:val="center"/>
          </w:tcPr>
          <w:p w14:paraId="1CA28226">
            <w:pPr>
              <w:pStyle w:val="75"/>
            </w:pPr>
            <w:r>
              <w:t>气浮</w:t>
            </w:r>
            <w:r>
              <w:rPr>
                <w:rFonts w:hint="eastAsia"/>
              </w:rPr>
              <w:t>池</w:t>
            </w:r>
          </w:p>
        </w:tc>
        <w:tc>
          <w:tcPr>
            <w:tcW w:w="1420" w:type="pct"/>
            <w:vAlign w:val="center"/>
          </w:tcPr>
          <w:p w14:paraId="21679FA8">
            <w:pPr>
              <w:pStyle w:val="75"/>
            </w:pPr>
            <w:r>
              <w:rPr>
                <w:rFonts w:hint="eastAsia"/>
              </w:rPr>
              <w:t>废油渣</w:t>
            </w:r>
          </w:p>
        </w:tc>
        <w:tc>
          <w:tcPr>
            <w:tcW w:w="2155" w:type="pct"/>
            <w:gridSpan w:val="3"/>
            <w:vMerge w:val="continue"/>
            <w:vAlign w:val="center"/>
          </w:tcPr>
          <w:p w14:paraId="1F64BE2F">
            <w:pPr>
              <w:pStyle w:val="75"/>
            </w:pPr>
          </w:p>
        </w:tc>
      </w:tr>
      <w:tr w14:paraId="6C6DB1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3A963EA3">
            <w:pPr>
              <w:pStyle w:val="75"/>
            </w:pPr>
          </w:p>
        </w:tc>
        <w:tc>
          <w:tcPr>
            <w:tcW w:w="993" w:type="pct"/>
            <w:vMerge w:val="restart"/>
            <w:vAlign w:val="center"/>
          </w:tcPr>
          <w:p w14:paraId="30EDC09E">
            <w:pPr>
              <w:pStyle w:val="75"/>
              <w:jc w:val="left"/>
            </w:pPr>
            <w:r>
              <w:t>含</w:t>
            </w:r>
            <w:r>
              <w:rPr>
                <w:rFonts w:hint="eastAsia"/>
              </w:rPr>
              <w:t>镍</w:t>
            </w:r>
            <w:r>
              <w:t>废水处理设施</w:t>
            </w:r>
          </w:p>
        </w:tc>
        <w:tc>
          <w:tcPr>
            <w:tcW w:w="1420" w:type="pct"/>
            <w:vAlign w:val="center"/>
          </w:tcPr>
          <w:p w14:paraId="2C03393A">
            <w:pPr>
              <w:pStyle w:val="75"/>
            </w:pPr>
            <w:r>
              <w:rPr>
                <w:rFonts w:hint="eastAsia"/>
              </w:rPr>
              <w:t>含镍污泥</w:t>
            </w:r>
          </w:p>
        </w:tc>
        <w:tc>
          <w:tcPr>
            <w:tcW w:w="2155" w:type="pct"/>
            <w:gridSpan w:val="3"/>
            <w:vMerge w:val="continue"/>
            <w:vAlign w:val="center"/>
          </w:tcPr>
          <w:p w14:paraId="12B73905">
            <w:pPr>
              <w:pStyle w:val="75"/>
            </w:pPr>
          </w:p>
        </w:tc>
      </w:tr>
      <w:tr w14:paraId="7ED4F8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74DB07F">
            <w:pPr>
              <w:pStyle w:val="75"/>
            </w:pPr>
          </w:p>
        </w:tc>
        <w:tc>
          <w:tcPr>
            <w:tcW w:w="993" w:type="pct"/>
            <w:vMerge w:val="continue"/>
            <w:vAlign w:val="center"/>
          </w:tcPr>
          <w:p w14:paraId="0A78D4FA">
            <w:pPr>
              <w:pStyle w:val="75"/>
              <w:jc w:val="left"/>
            </w:pPr>
          </w:p>
        </w:tc>
        <w:tc>
          <w:tcPr>
            <w:tcW w:w="1420" w:type="pct"/>
            <w:vAlign w:val="center"/>
          </w:tcPr>
          <w:p w14:paraId="588F3051">
            <w:pPr>
              <w:pStyle w:val="75"/>
            </w:pPr>
            <w:r>
              <w:rPr>
                <w:rFonts w:hint="eastAsia"/>
              </w:rPr>
              <w:t>含镍</w:t>
            </w:r>
            <w:r>
              <w:t>废</w:t>
            </w:r>
            <w:r>
              <w:rPr>
                <w:rFonts w:hint="eastAsia"/>
              </w:rPr>
              <w:t>过滤膜</w:t>
            </w:r>
          </w:p>
        </w:tc>
        <w:tc>
          <w:tcPr>
            <w:tcW w:w="2155" w:type="pct"/>
            <w:gridSpan w:val="3"/>
            <w:vMerge w:val="continue"/>
            <w:vAlign w:val="center"/>
          </w:tcPr>
          <w:p w14:paraId="083D87CB">
            <w:pPr>
              <w:pStyle w:val="75"/>
              <w:rPr>
                <w:spacing w:val="-8"/>
              </w:rPr>
            </w:pPr>
          </w:p>
        </w:tc>
      </w:tr>
      <w:tr w14:paraId="67394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B5065B5">
            <w:pPr>
              <w:pStyle w:val="75"/>
            </w:pPr>
          </w:p>
        </w:tc>
        <w:tc>
          <w:tcPr>
            <w:tcW w:w="993" w:type="pct"/>
            <w:vMerge w:val="continue"/>
            <w:vAlign w:val="center"/>
          </w:tcPr>
          <w:p w14:paraId="665AAFFC">
            <w:pPr>
              <w:pStyle w:val="75"/>
              <w:jc w:val="left"/>
            </w:pPr>
          </w:p>
        </w:tc>
        <w:tc>
          <w:tcPr>
            <w:tcW w:w="1420" w:type="pct"/>
            <w:vAlign w:val="center"/>
          </w:tcPr>
          <w:p w14:paraId="401E5194">
            <w:pPr>
              <w:pStyle w:val="75"/>
            </w:pPr>
            <w:r>
              <w:rPr>
                <w:rFonts w:hint="eastAsia"/>
              </w:rPr>
              <w:t>含镍废活性炭</w:t>
            </w:r>
          </w:p>
        </w:tc>
        <w:tc>
          <w:tcPr>
            <w:tcW w:w="2155" w:type="pct"/>
            <w:gridSpan w:val="3"/>
            <w:vMerge w:val="continue"/>
            <w:vAlign w:val="center"/>
          </w:tcPr>
          <w:p w14:paraId="662C7E58">
            <w:pPr>
              <w:pStyle w:val="75"/>
              <w:rPr>
                <w:spacing w:val="-8"/>
              </w:rPr>
            </w:pPr>
          </w:p>
        </w:tc>
      </w:tr>
      <w:tr w14:paraId="60757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1CA654FD">
            <w:pPr>
              <w:pStyle w:val="75"/>
            </w:pPr>
          </w:p>
        </w:tc>
        <w:tc>
          <w:tcPr>
            <w:tcW w:w="993" w:type="pct"/>
            <w:vMerge w:val="restart"/>
            <w:vAlign w:val="center"/>
          </w:tcPr>
          <w:p w14:paraId="34173C36">
            <w:pPr>
              <w:pStyle w:val="75"/>
              <w:jc w:val="left"/>
            </w:pPr>
            <w:r>
              <w:t>含</w:t>
            </w:r>
            <w:r>
              <w:rPr>
                <w:rFonts w:hint="eastAsia"/>
              </w:rPr>
              <w:t>铬</w:t>
            </w:r>
            <w:r>
              <w:t>废水处理设施</w:t>
            </w:r>
          </w:p>
        </w:tc>
        <w:tc>
          <w:tcPr>
            <w:tcW w:w="1420" w:type="pct"/>
            <w:vAlign w:val="center"/>
          </w:tcPr>
          <w:p w14:paraId="7A6DB656">
            <w:pPr>
              <w:pStyle w:val="75"/>
            </w:pPr>
            <w:r>
              <w:rPr>
                <w:rFonts w:hint="eastAsia"/>
              </w:rPr>
              <w:t>含铬污泥</w:t>
            </w:r>
          </w:p>
        </w:tc>
        <w:tc>
          <w:tcPr>
            <w:tcW w:w="2155" w:type="pct"/>
            <w:gridSpan w:val="3"/>
            <w:vMerge w:val="continue"/>
            <w:vAlign w:val="center"/>
          </w:tcPr>
          <w:p w14:paraId="5DF8EF76">
            <w:pPr>
              <w:pStyle w:val="75"/>
              <w:rPr>
                <w:spacing w:val="-8"/>
              </w:rPr>
            </w:pPr>
          </w:p>
        </w:tc>
      </w:tr>
      <w:tr w14:paraId="51BD84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14DC8C0E">
            <w:pPr>
              <w:pStyle w:val="75"/>
            </w:pPr>
          </w:p>
        </w:tc>
        <w:tc>
          <w:tcPr>
            <w:tcW w:w="993" w:type="pct"/>
            <w:vMerge w:val="continue"/>
            <w:vAlign w:val="center"/>
          </w:tcPr>
          <w:p w14:paraId="6BF5C269">
            <w:pPr>
              <w:pStyle w:val="75"/>
            </w:pPr>
          </w:p>
        </w:tc>
        <w:tc>
          <w:tcPr>
            <w:tcW w:w="1420" w:type="pct"/>
            <w:vAlign w:val="center"/>
          </w:tcPr>
          <w:p w14:paraId="4E30215E">
            <w:pPr>
              <w:pStyle w:val="75"/>
            </w:pPr>
            <w:r>
              <w:rPr>
                <w:rFonts w:hint="eastAsia"/>
              </w:rPr>
              <w:t>含铬</w:t>
            </w:r>
            <w:r>
              <w:t>废</w:t>
            </w:r>
            <w:r>
              <w:rPr>
                <w:rFonts w:hint="eastAsia"/>
              </w:rPr>
              <w:t>过滤膜</w:t>
            </w:r>
          </w:p>
        </w:tc>
        <w:tc>
          <w:tcPr>
            <w:tcW w:w="2155" w:type="pct"/>
            <w:gridSpan w:val="3"/>
            <w:vMerge w:val="continue"/>
            <w:vAlign w:val="center"/>
          </w:tcPr>
          <w:p w14:paraId="277CEA4B">
            <w:pPr>
              <w:pStyle w:val="75"/>
              <w:rPr>
                <w:spacing w:val="-8"/>
              </w:rPr>
            </w:pPr>
          </w:p>
        </w:tc>
      </w:tr>
      <w:tr w14:paraId="0DDC39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6E8F3D50">
            <w:pPr>
              <w:pStyle w:val="75"/>
            </w:pPr>
          </w:p>
        </w:tc>
        <w:tc>
          <w:tcPr>
            <w:tcW w:w="993" w:type="pct"/>
            <w:vMerge w:val="continue"/>
            <w:vAlign w:val="center"/>
          </w:tcPr>
          <w:p w14:paraId="08302AD7">
            <w:pPr>
              <w:pStyle w:val="75"/>
            </w:pPr>
          </w:p>
        </w:tc>
        <w:tc>
          <w:tcPr>
            <w:tcW w:w="1420" w:type="pct"/>
            <w:vAlign w:val="center"/>
          </w:tcPr>
          <w:p w14:paraId="3AE8287D">
            <w:pPr>
              <w:pStyle w:val="75"/>
            </w:pPr>
            <w:r>
              <w:rPr>
                <w:rFonts w:hint="eastAsia"/>
              </w:rPr>
              <w:t>含铬废活性炭</w:t>
            </w:r>
          </w:p>
        </w:tc>
        <w:tc>
          <w:tcPr>
            <w:tcW w:w="2155" w:type="pct"/>
            <w:gridSpan w:val="3"/>
            <w:vMerge w:val="continue"/>
            <w:vAlign w:val="center"/>
          </w:tcPr>
          <w:p w14:paraId="77660798">
            <w:pPr>
              <w:pStyle w:val="75"/>
              <w:rPr>
                <w:spacing w:val="-8"/>
              </w:rPr>
            </w:pPr>
          </w:p>
        </w:tc>
      </w:tr>
      <w:tr w14:paraId="6FF35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54A2231F">
            <w:pPr>
              <w:pStyle w:val="75"/>
            </w:pPr>
          </w:p>
        </w:tc>
        <w:tc>
          <w:tcPr>
            <w:tcW w:w="993" w:type="pct"/>
            <w:vAlign w:val="center"/>
          </w:tcPr>
          <w:p w14:paraId="6B2A3832">
            <w:pPr>
              <w:pStyle w:val="75"/>
            </w:pPr>
            <w:r>
              <w:rPr>
                <w:rFonts w:hint="eastAsia"/>
              </w:rPr>
              <w:t>蒸发器</w:t>
            </w:r>
          </w:p>
        </w:tc>
        <w:tc>
          <w:tcPr>
            <w:tcW w:w="1420" w:type="pct"/>
            <w:vAlign w:val="center"/>
          </w:tcPr>
          <w:p w14:paraId="4DBAD17F">
            <w:pPr>
              <w:pStyle w:val="75"/>
            </w:pPr>
            <w:r>
              <w:rPr>
                <w:rFonts w:hint="eastAsia"/>
              </w:rPr>
              <w:t>蒸发浓液</w:t>
            </w:r>
          </w:p>
        </w:tc>
        <w:tc>
          <w:tcPr>
            <w:tcW w:w="2155" w:type="pct"/>
            <w:gridSpan w:val="3"/>
            <w:vMerge w:val="continue"/>
            <w:vAlign w:val="center"/>
          </w:tcPr>
          <w:p w14:paraId="1303CE61">
            <w:pPr>
              <w:pStyle w:val="75"/>
            </w:pPr>
          </w:p>
        </w:tc>
      </w:tr>
      <w:tr w14:paraId="24B2DB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69A86EC6">
            <w:pPr>
              <w:pStyle w:val="75"/>
            </w:pPr>
          </w:p>
        </w:tc>
        <w:tc>
          <w:tcPr>
            <w:tcW w:w="993" w:type="pct"/>
            <w:vMerge w:val="restart"/>
            <w:vAlign w:val="center"/>
          </w:tcPr>
          <w:p w14:paraId="7DAE85F5">
            <w:pPr>
              <w:pStyle w:val="75"/>
            </w:pPr>
            <w:r>
              <w:rPr>
                <w:rFonts w:hint="eastAsia"/>
              </w:rPr>
              <w:t>冲压</w:t>
            </w:r>
          </w:p>
        </w:tc>
        <w:tc>
          <w:tcPr>
            <w:tcW w:w="1420" w:type="pct"/>
            <w:vAlign w:val="center"/>
          </w:tcPr>
          <w:p w14:paraId="2B55F4A7">
            <w:pPr>
              <w:pStyle w:val="75"/>
            </w:pPr>
            <w:r>
              <w:rPr>
                <w:rFonts w:hint="eastAsia"/>
              </w:rPr>
              <w:t>废液压油</w:t>
            </w:r>
          </w:p>
        </w:tc>
        <w:tc>
          <w:tcPr>
            <w:tcW w:w="2155" w:type="pct"/>
            <w:gridSpan w:val="3"/>
            <w:vMerge w:val="continue"/>
            <w:vAlign w:val="center"/>
          </w:tcPr>
          <w:p w14:paraId="1B976CD5">
            <w:pPr>
              <w:pStyle w:val="75"/>
            </w:pPr>
          </w:p>
        </w:tc>
      </w:tr>
      <w:tr w14:paraId="003F51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697FB93C">
            <w:pPr>
              <w:pStyle w:val="75"/>
            </w:pPr>
          </w:p>
        </w:tc>
        <w:tc>
          <w:tcPr>
            <w:tcW w:w="993" w:type="pct"/>
            <w:vMerge w:val="continue"/>
            <w:vAlign w:val="center"/>
          </w:tcPr>
          <w:p w14:paraId="63F21A45">
            <w:pPr>
              <w:pStyle w:val="75"/>
            </w:pPr>
          </w:p>
        </w:tc>
        <w:tc>
          <w:tcPr>
            <w:tcW w:w="1420" w:type="pct"/>
            <w:vAlign w:val="center"/>
          </w:tcPr>
          <w:p w14:paraId="59E6C359">
            <w:pPr>
              <w:pStyle w:val="75"/>
            </w:pPr>
            <w:r>
              <w:rPr>
                <w:rFonts w:hint="eastAsia"/>
              </w:rPr>
              <w:t>废边角料</w:t>
            </w:r>
          </w:p>
        </w:tc>
        <w:tc>
          <w:tcPr>
            <w:tcW w:w="2155" w:type="pct"/>
            <w:gridSpan w:val="3"/>
            <w:vAlign w:val="center"/>
          </w:tcPr>
          <w:p w14:paraId="04E117F5">
            <w:pPr>
              <w:pStyle w:val="75"/>
            </w:pPr>
            <w:r>
              <w:rPr>
                <w:rFonts w:hint="eastAsia"/>
              </w:rPr>
              <w:t>外售</w:t>
            </w:r>
          </w:p>
        </w:tc>
      </w:tr>
      <w:tr w14:paraId="23773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4B5A85D7">
            <w:pPr>
              <w:pStyle w:val="75"/>
            </w:pPr>
          </w:p>
        </w:tc>
        <w:tc>
          <w:tcPr>
            <w:tcW w:w="993" w:type="pct"/>
            <w:vAlign w:val="center"/>
          </w:tcPr>
          <w:p w14:paraId="6ACD5681">
            <w:pPr>
              <w:pStyle w:val="75"/>
            </w:pPr>
            <w:r>
              <w:rPr>
                <w:rFonts w:hint="eastAsia"/>
              </w:rPr>
              <w:t>检验</w:t>
            </w:r>
          </w:p>
        </w:tc>
        <w:tc>
          <w:tcPr>
            <w:tcW w:w="1420" w:type="pct"/>
            <w:vAlign w:val="center"/>
          </w:tcPr>
          <w:p w14:paraId="627C850D">
            <w:pPr>
              <w:pStyle w:val="75"/>
            </w:pPr>
            <w:r>
              <w:rPr>
                <w:rFonts w:hint="eastAsia"/>
              </w:rPr>
              <w:t>不合格残次品</w:t>
            </w:r>
          </w:p>
        </w:tc>
        <w:tc>
          <w:tcPr>
            <w:tcW w:w="2155" w:type="pct"/>
            <w:gridSpan w:val="3"/>
            <w:vAlign w:val="center"/>
          </w:tcPr>
          <w:p w14:paraId="5E093D08">
            <w:pPr>
              <w:pStyle w:val="75"/>
            </w:pPr>
            <w:r>
              <w:rPr>
                <w:rFonts w:hint="eastAsia"/>
              </w:rPr>
              <w:t>外售</w:t>
            </w:r>
          </w:p>
        </w:tc>
      </w:tr>
      <w:tr w14:paraId="735ABC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64ACC814">
            <w:pPr>
              <w:pStyle w:val="75"/>
            </w:pPr>
          </w:p>
        </w:tc>
        <w:tc>
          <w:tcPr>
            <w:tcW w:w="993" w:type="pct"/>
            <w:vAlign w:val="center"/>
          </w:tcPr>
          <w:p w14:paraId="5384A5AB">
            <w:pPr>
              <w:pStyle w:val="75"/>
              <w:jc w:val="left"/>
            </w:pPr>
            <w:r>
              <w:rPr>
                <w:rFonts w:hint="eastAsia"/>
              </w:rPr>
              <w:t>综合污水处理系统</w:t>
            </w:r>
          </w:p>
        </w:tc>
        <w:tc>
          <w:tcPr>
            <w:tcW w:w="1420" w:type="pct"/>
            <w:vAlign w:val="center"/>
          </w:tcPr>
          <w:p w14:paraId="22D47B5F">
            <w:pPr>
              <w:pStyle w:val="75"/>
            </w:pPr>
            <w:r>
              <w:rPr>
                <w:rFonts w:hint="eastAsia"/>
              </w:rPr>
              <w:t>污泥</w:t>
            </w:r>
          </w:p>
        </w:tc>
        <w:tc>
          <w:tcPr>
            <w:tcW w:w="2155" w:type="pct"/>
            <w:gridSpan w:val="3"/>
            <w:vAlign w:val="center"/>
          </w:tcPr>
          <w:p w14:paraId="4C8DB4B7">
            <w:pPr>
              <w:pStyle w:val="75"/>
            </w:pPr>
            <w:r>
              <w:rPr>
                <w:rFonts w:hint="eastAsia"/>
              </w:rPr>
              <w:t>外售</w:t>
            </w:r>
          </w:p>
        </w:tc>
      </w:tr>
      <w:tr w14:paraId="599B8C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Merge w:val="continue"/>
            <w:vAlign w:val="center"/>
          </w:tcPr>
          <w:p w14:paraId="1836ECE2">
            <w:pPr>
              <w:pStyle w:val="75"/>
            </w:pPr>
          </w:p>
        </w:tc>
        <w:tc>
          <w:tcPr>
            <w:tcW w:w="993" w:type="pct"/>
            <w:vAlign w:val="center"/>
          </w:tcPr>
          <w:p w14:paraId="0E2A5048">
            <w:pPr>
              <w:pStyle w:val="75"/>
            </w:pPr>
            <w:r>
              <w:rPr>
                <w:rFonts w:hint="eastAsia"/>
              </w:rPr>
              <w:t>纯水制备设备</w:t>
            </w:r>
          </w:p>
        </w:tc>
        <w:tc>
          <w:tcPr>
            <w:tcW w:w="1420" w:type="pct"/>
            <w:vAlign w:val="center"/>
          </w:tcPr>
          <w:p w14:paraId="08568227">
            <w:pPr>
              <w:pStyle w:val="75"/>
            </w:pPr>
            <w:r>
              <w:rPr>
                <w:rFonts w:hint="eastAsia"/>
              </w:rPr>
              <w:t>废反渗透膜</w:t>
            </w:r>
          </w:p>
        </w:tc>
        <w:tc>
          <w:tcPr>
            <w:tcW w:w="2155" w:type="pct"/>
            <w:gridSpan w:val="3"/>
            <w:vAlign w:val="center"/>
          </w:tcPr>
          <w:p w14:paraId="79CBCD57">
            <w:pPr>
              <w:pStyle w:val="75"/>
              <w:rPr>
                <w:bCs/>
              </w:rPr>
            </w:pPr>
            <w:r>
              <w:rPr>
                <w:rFonts w:hint="eastAsia"/>
                <w:bCs/>
              </w:rPr>
              <w:t>厂家回收</w:t>
            </w:r>
          </w:p>
        </w:tc>
      </w:tr>
      <w:tr w14:paraId="487855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0" w:type="pct"/>
            <w:vAlign w:val="center"/>
          </w:tcPr>
          <w:p w14:paraId="3F74C87F">
            <w:pPr>
              <w:pStyle w:val="75"/>
            </w:pPr>
            <w:r>
              <w:t>噪声</w:t>
            </w:r>
          </w:p>
        </w:tc>
        <w:tc>
          <w:tcPr>
            <w:tcW w:w="993" w:type="pct"/>
            <w:vAlign w:val="center"/>
          </w:tcPr>
          <w:p w14:paraId="7E3C82EE">
            <w:pPr>
              <w:pStyle w:val="75"/>
            </w:pPr>
            <w:r>
              <w:t>冲床</w:t>
            </w:r>
            <w:r>
              <w:rPr>
                <w:rFonts w:hint="eastAsia"/>
              </w:rPr>
              <w:t>、包装机、空压机</w:t>
            </w:r>
            <w:r>
              <w:t>等</w:t>
            </w:r>
          </w:p>
        </w:tc>
        <w:tc>
          <w:tcPr>
            <w:tcW w:w="1420" w:type="pct"/>
            <w:vAlign w:val="center"/>
          </w:tcPr>
          <w:p w14:paraId="7277D9A5">
            <w:pPr>
              <w:pStyle w:val="75"/>
            </w:pPr>
            <w:r>
              <w:t>机械噪声</w:t>
            </w:r>
          </w:p>
        </w:tc>
        <w:tc>
          <w:tcPr>
            <w:tcW w:w="2155" w:type="pct"/>
            <w:gridSpan w:val="3"/>
            <w:vAlign w:val="center"/>
          </w:tcPr>
          <w:p w14:paraId="7AE59270">
            <w:pPr>
              <w:pStyle w:val="75"/>
            </w:pPr>
            <w:r>
              <w:t>减振、隔声</w:t>
            </w:r>
          </w:p>
        </w:tc>
      </w:tr>
    </w:tbl>
    <w:p w14:paraId="7F6DF012">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93" w:name="_Toc30091"/>
      <w:bookmarkStart w:id="394" w:name="_Toc108122511"/>
      <w:r>
        <w:rPr>
          <w:rFonts w:hint="eastAsia" w:ascii="Times New Roman" w:hAnsi="Times New Roman" w:eastAsia="宋体" w:cs="Times New Roman"/>
          <w:lang w:val="en-US" w:eastAsia="zh-CN"/>
        </w:rPr>
        <w:t>3.3物料平衡</w:t>
      </w:r>
      <w:bookmarkEnd w:id="389"/>
      <w:bookmarkEnd w:id="390"/>
      <w:bookmarkEnd w:id="391"/>
      <w:bookmarkEnd w:id="393"/>
      <w:bookmarkEnd w:id="394"/>
    </w:p>
    <w:p w14:paraId="1F539542">
      <w:pPr>
        <w:ind w:firstLine="480"/>
        <w:rPr>
          <w:rFonts w:hAnsi="宋体"/>
          <w:color w:val="auto"/>
        </w:rPr>
      </w:pPr>
      <w:r>
        <w:rPr>
          <w:rFonts w:hint="eastAsia" w:hAnsi="宋体"/>
          <w:color w:val="auto"/>
        </w:rPr>
        <w:t>本项目电池钢壳电镀面积为1752万平方米，</w:t>
      </w:r>
      <w:r>
        <w:rPr>
          <w:rFonts w:hint="eastAsia" w:hAnsi="宋体"/>
          <w:color w:val="auto"/>
          <w:lang w:val="en-US" w:eastAsia="zh-CN"/>
        </w:rPr>
        <w:t>盖帽</w:t>
      </w:r>
      <w:r>
        <w:rPr>
          <w:rFonts w:hint="eastAsia" w:hAnsi="宋体"/>
          <w:color w:val="auto"/>
        </w:rPr>
        <w:t>电镀面积为288万平方米，电池连接件电镀面积为</w:t>
      </w:r>
      <w:r>
        <w:rPr>
          <w:rFonts w:hint="eastAsia" w:hAnsi="宋体"/>
          <w:color w:val="auto"/>
          <w:lang w:val="en-US" w:eastAsia="zh-CN"/>
        </w:rPr>
        <w:t>114.5</w:t>
      </w:r>
      <w:r>
        <w:rPr>
          <w:rFonts w:hint="eastAsia" w:hAnsi="宋体"/>
          <w:color w:val="auto"/>
        </w:rPr>
        <w:t>万平方米。进入产品中的各重金属量计算公式如下：</w:t>
      </w:r>
    </w:p>
    <w:p w14:paraId="6491CA49">
      <w:pPr>
        <w:ind w:firstLine="0" w:firstLineChars="0"/>
        <w:jc w:val="center"/>
        <w:rPr>
          <w:rFonts w:hAnsi="宋体"/>
          <w:color w:val="auto"/>
        </w:rPr>
      </w:pPr>
      <w:r>
        <w:rPr>
          <w:rFonts w:hAnsi="宋体"/>
          <w:color w:val="auto"/>
        </w:rPr>
        <w:t>W=</w:t>
      </w:r>
      <w:r>
        <w:rPr>
          <w:rFonts w:hint="default" w:ascii="Times New Roman" w:hAnsi="Times New Roman" w:cs="Times New Roman"/>
          <w:color w:val="auto"/>
        </w:rPr>
        <w:t>ρ</w:t>
      </w:r>
      <w:r>
        <w:rPr>
          <w:rFonts w:hAnsi="宋体"/>
          <w:color w:val="auto"/>
        </w:rPr>
        <w:t>×S×h</w:t>
      </w:r>
    </w:p>
    <w:p w14:paraId="480A2D08">
      <w:pPr>
        <w:ind w:firstLine="480"/>
        <w:rPr>
          <w:rFonts w:hAnsi="宋体"/>
          <w:color w:val="auto"/>
        </w:rPr>
      </w:pPr>
      <w:r>
        <w:rPr>
          <w:rFonts w:hint="eastAsia" w:hAnsi="宋体"/>
          <w:color w:val="auto"/>
        </w:rPr>
        <w:t>式中：W——进入产品的重金属量，t/a；</w:t>
      </w:r>
    </w:p>
    <w:p w14:paraId="496E75EE">
      <w:pPr>
        <w:ind w:firstLine="1200" w:firstLineChars="500"/>
        <w:rPr>
          <w:rFonts w:hAnsi="宋体"/>
          <w:color w:val="auto"/>
        </w:rPr>
      </w:pPr>
      <w:r>
        <w:rPr>
          <w:rFonts w:hint="default" w:ascii="Times New Roman" w:hAnsi="Times New Roman" w:cs="Times New Roman"/>
          <w:color w:val="auto"/>
        </w:rPr>
        <w:t>ρ</w:t>
      </w:r>
      <w:r>
        <w:rPr>
          <w:rFonts w:hint="eastAsia" w:hAnsi="宋体"/>
          <w:color w:val="auto"/>
        </w:rPr>
        <w:t>——重金属密度，t/m</w:t>
      </w:r>
      <w:r>
        <w:rPr>
          <w:rFonts w:hint="eastAsia" w:hAnsi="宋体"/>
          <w:color w:val="auto"/>
          <w:vertAlign w:val="superscript"/>
        </w:rPr>
        <w:t>3</w:t>
      </w:r>
      <w:r>
        <w:rPr>
          <w:rFonts w:hint="eastAsia" w:hAnsi="宋体"/>
          <w:color w:val="auto"/>
        </w:rPr>
        <w:t>；</w:t>
      </w:r>
    </w:p>
    <w:p w14:paraId="2DAF0620">
      <w:pPr>
        <w:ind w:firstLine="1200" w:firstLineChars="500"/>
        <w:rPr>
          <w:rFonts w:hAnsi="宋体"/>
          <w:color w:val="auto"/>
        </w:rPr>
      </w:pPr>
      <w:r>
        <w:rPr>
          <w:rFonts w:hint="eastAsia" w:hAnsi="宋体"/>
          <w:color w:val="auto"/>
        </w:rPr>
        <w:t>S——年处理镀件表面面积，m</w:t>
      </w:r>
      <w:r>
        <w:rPr>
          <w:rFonts w:hint="eastAsia" w:hAnsi="宋体"/>
          <w:color w:val="auto"/>
          <w:vertAlign w:val="superscript"/>
        </w:rPr>
        <w:t>2</w:t>
      </w:r>
      <w:r>
        <w:rPr>
          <w:rFonts w:hint="eastAsia" w:hAnsi="宋体"/>
          <w:color w:val="auto"/>
        </w:rPr>
        <w:t>/a；</w:t>
      </w:r>
    </w:p>
    <w:p w14:paraId="2E8ACB39">
      <w:pPr>
        <w:ind w:firstLine="1200" w:firstLineChars="500"/>
        <w:rPr>
          <w:rFonts w:hAnsi="宋体"/>
          <w:color w:val="auto"/>
        </w:rPr>
      </w:pPr>
      <w:r>
        <w:rPr>
          <w:rFonts w:hint="eastAsia" w:hAnsi="宋体"/>
          <w:color w:val="auto"/>
        </w:rPr>
        <w:t>h——对应重金属的镀层厚度，m。</w:t>
      </w:r>
    </w:p>
    <w:p w14:paraId="1BDAA222">
      <w:pPr>
        <w:keepNext w:val="0"/>
        <w:keepLines w:val="0"/>
        <w:pageBreakBefore w:val="0"/>
        <w:widowControl w:val="0"/>
        <w:kinsoku/>
        <w:wordWrap/>
        <w:overflowPunct/>
        <w:topLinePunct w:val="0"/>
        <w:autoSpaceDE/>
        <w:autoSpaceDN/>
        <w:bidi w:val="0"/>
        <w:ind w:firstLine="480" w:firstLineChars="200"/>
        <w:rPr>
          <w:rFonts w:hAnsi="宋体"/>
          <w:color w:val="auto"/>
        </w:rPr>
      </w:pPr>
      <w:r>
        <w:rPr>
          <w:rFonts w:hint="eastAsia" w:hAnsi="宋体"/>
          <w:color w:val="auto"/>
        </w:rPr>
        <w:t>根据以上公式计算进入产品中的各重金属元素的量具体见下表。</w:t>
      </w:r>
    </w:p>
    <w:p w14:paraId="6C1CA48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表3.3-1    本项目进入产品中重金属量一览表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29"/>
        <w:gridCol w:w="1852"/>
        <w:gridCol w:w="1368"/>
        <w:gridCol w:w="1400"/>
        <w:gridCol w:w="1247"/>
        <w:gridCol w:w="1336"/>
      </w:tblGrid>
      <w:tr w14:paraId="6DF03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Align w:val="center"/>
          </w:tcPr>
          <w:p w14:paraId="01B3323D">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重金属</w:t>
            </w:r>
          </w:p>
        </w:tc>
        <w:tc>
          <w:tcPr>
            <w:tcW w:w="1843" w:type="dxa"/>
            <w:vAlign w:val="center"/>
          </w:tcPr>
          <w:p w14:paraId="529B074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电镀生产线</w:t>
            </w:r>
          </w:p>
        </w:tc>
        <w:tc>
          <w:tcPr>
            <w:tcW w:w="1361" w:type="dxa"/>
            <w:vAlign w:val="center"/>
          </w:tcPr>
          <w:p w14:paraId="57FC49A8">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密度(</w:t>
            </w:r>
            <w:r>
              <w:rPr>
                <w:rFonts w:hint="eastAsia"/>
                <w:b/>
                <w:color w:val="auto"/>
              </w:rPr>
              <w:t>g/cm</w:t>
            </w:r>
            <w:r>
              <w:rPr>
                <w:rFonts w:hint="eastAsia"/>
                <w:b/>
                <w:color w:val="auto"/>
                <w:vertAlign w:val="superscript"/>
              </w:rPr>
              <w:t>3</w:t>
            </w:r>
            <w:r>
              <w:rPr>
                <w:rFonts w:eastAsia="宋体" w:cs="Times New Roman"/>
                <w:b/>
                <w:bCs/>
                <w:color w:val="auto"/>
                <w:kern w:val="21"/>
                <w:sz w:val="21"/>
                <w:szCs w:val="21"/>
              </w:rPr>
              <w:t>)</w:t>
            </w:r>
          </w:p>
        </w:tc>
        <w:tc>
          <w:tcPr>
            <w:tcW w:w="1393" w:type="dxa"/>
            <w:vAlign w:val="center"/>
          </w:tcPr>
          <w:p w14:paraId="04A2934B">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面积(</w:t>
            </w:r>
            <w:r>
              <w:rPr>
                <w:rFonts w:hint="eastAsia"/>
                <w:b/>
                <w:color w:val="auto"/>
              </w:rPr>
              <w:t>m</w:t>
            </w:r>
            <w:r>
              <w:rPr>
                <w:rFonts w:hint="eastAsia"/>
                <w:b/>
                <w:color w:val="auto"/>
                <w:vertAlign w:val="superscript"/>
              </w:rPr>
              <w:t>2</w:t>
            </w:r>
            <w:r>
              <w:rPr>
                <w:rFonts w:hint="eastAsia"/>
                <w:b/>
                <w:color w:val="auto"/>
              </w:rPr>
              <w:t>/a</w:t>
            </w:r>
            <w:r>
              <w:rPr>
                <w:rFonts w:eastAsia="宋体" w:cs="Times New Roman"/>
                <w:b/>
                <w:bCs/>
                <w:color w:val="auto"/>
                <w:kern w:val="21"/>
                <w:sz w:val="21"/>
                <w:szCs w:val="21"/>
              </w:rPr>
              <w:t>)</w:t>
            </w:r>
          </w:p>
        </w:tc>
        <w:tc>
          <w:tcPr>
            <w:tcW w:w="1241" w:type="dxa"/>
            <w:vAlign w:val="center"/>
          </w:tcPr>
          <w:p w14:paraId="6BF94EE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厚度(</w:t>
            </w:r>
            <w:r>
              <w:rPr>
                <w:rFonts w:hint="eastAsia"/>
                <w:b/>
                <w:color w:val="auto"/>
              </w:rPr>
              <w:t>um</w:t>
            </w:r>
            <w:r>
              <w:rPr>
                <w:rFonts w:eastAsia="宋体" w:cs="Times New Roman"/>
                <w:b/>
                <w:bCs/>
                <w:color w:val="auto"/>
                <w:kern w:val="21"/>
                <w:sz w:val="21"/>
                <w:szCs w:val="21"/>
              </w:rPr>
              <w:t>)</w:t>
            </w:r>
          </w:p>
        </w:tc>
        <w:tc>
          <w:tcPr>
            <w:tcW w:w="1330" w:type="dxa"/>
            <w:vAlign w:val="center"/>
          </w:tcPr>
          <w:p w14:paraId="5653F523">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rPr>
            </w:pPr>
            <w:r>
              <w:rPr>
                <w:rFonts w:hint="eastAsia" w:eastAsia="宋体" w:cs="Times New Roman"/>
                <w:b/>
                <w:bCs/>
                <w:color w:val="auto"/>
                <w:kern w:val="21"/>
                <w:sz w:val="21"/>
                <w:szCs w:val="21"/>
              </w:rPr>
              <w:t>重量(</w:t>
            </w:r>
            <w:r>
              <w:rPr>
                <w:rFonts w:hint="eastAsia"/>
                <w:b/>
                <w:color w:val="auto"/>
              </w:rPr>
              <w:t>t/a</w:t>
            </w:r>
            <w:r>
              <w:rPr>
                <w:rFonts w:eastAsia="宋体" w:cs="Times New Roman"/>
                <w:b/>
                <w:bCs/>
                <w:color w:val="auto"/>
                <w:kern w:val="21"/>
                <w:sz w:val="21"/>
                <w:szCs w:val="21"/>
              </w:rPr>
              <w:t>)</w:t>
            </w:r>
          </w:p>
        </w:tc>
      </w:tr>
      <w:tr w14:paraId="0D835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Merge w:val="restart"/>
            <w:vAlign w:val="center"/>
          </w:tcPr>
          <w:p w14:paraId="32E2824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镍</w:t>
            </w:r>
          </w:p>
        </w:tc>
        <w:tc>
          <w:tcPr>
            <w:tcW w:w="1843" w:type="dxa"/>
            <w:vAlign w:val="center"/>
          </w:tcPr>
          <w:p w14:paraId="36AD165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电池钢壳生产线</w:t>
            </w:r>
          </w:p>
        </w:tc>
        <w:tc>
          <w:tcPr>
            <w:tcW w:w="1361" w:type="dxa"/>
            <w:vMerge w:val="restart"/>
            <w:vAlign w:val="center"/>
          </w:tcPr>
          <w:p w14:paraId="6E8C2ADD">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8.902</w:t>
            </w:r>
          </w:p>
        </w:tc>
        <w:tc>
          <w:tcPr>
            <w:tcW w:w="1393" w:type="dxa"/>
            <w:vAlign w:val="center"/>
          </w:tcPr>
          <w:p w14:paraId="1255621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1752万</w:t>
            </w:r>
          </w:p>
        </w:tc>
        <w:tc>
          <w:tcPr>
            <w:tcW w:w="1241" w:type="dxa"/>
            <w:vAlign w:val="center"/>
          </w:tcPr>
          <w:p w14:paraId="709FCA5D">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2</w:t>
            </w:r>
          </w:p>
        </w:tc>
        <w:tc>
          <w:tcPr>
            <w:tcW w:w="1330" w:type="dxa"/>
            <w:vAlign w:val="center"/>
          </w:tcPr>
          <w:p w14:paraId="3D2347B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311.9261</w:t>
            </w:r>
          </w:p>
        </w:tc>
      </w:tr>
      <w:tr w14:paraId="4CA63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Merge w:val="continue"/>
            <w:vAlign w:val="center"/>
          </w:tcPr>
          <w:p w14:paraId="0331CA3E">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p>
        </w:tc>
        <w:tc>
          <w:tcPr>
            <w:tcW w:w="1843" w:type="dxa"/>
            <w:vAlign w:val="center"/>
          </w:tcPr>
          <w:p w14:paraId="2828658C">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lang w:val="en-US" w:eastAsia="zh-CN"/>
              </w:rPr>
              <w:t>盖帽</w:t>
            </w:r>
            <w:r>
              <w:rPr>
                <w:rFonts w:hint="eastAsia" w:eastAsia="宋体" w:cs="Times New Roman"/>
                <w:color w:val="auto"/>
                <w:kern w:val="21"/>
                <w:sz w:val="21"/>
                <w:szCs w:val="21"/>
              </w:rPr>
              <w:t>生产线</w:t>
            </w:r>
          </w:p>
        </w:tc>
        <w:tc>
          <w:tcPr>
            <w:tcW w:w="1361" w:type="dxa"/>
            <w:vMerge w:val="continue"/>
            <w:vAlign w:val="center"/>
          </w:tcPr>
          <w:p w14:paraId="2CC29FC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p>
        </w:tc>
        <w:tc>
          <w:tcPr>
            <w:tcW w:w="1393" w:type="dxa"/>
            <w:vAlign w:val="center"/>
          </w:tcPr>
          <w:p w14:paraId="4178C2E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288万</w:t>
            </w:r>
          </w:p>
        </w:tc>
        <w:tc>
          <w:tcPr>
            <w:tcW w:w="1241" w:type="dxa"/>
            <w:vAlign w:val="center"/>
          </w:tcPr>
          <w:p w14:paraId="50D9EC7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5</w:t>
            </w:r>
          </w:p>
        </w:tc>
        <w:tc>
          <w:tcPr>
            <w:tcW w:w="1330" w:type="dxa"/>
            <w:vAlign w:val="center"/>
          </w:tcPr>
          <w:p w14:paraId="53505A5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128.1888</w:t>
            </w:r>
          </w:p>
        </w:tc>
      </w:tr>
      <w:tr w14:paraId="4074E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Merge w:val="continue"/>
            <w:vAlign w:val="center"/>
          </w:tcPr>
          <w:p w14:paraId="200A45FF">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p>
        </w:tc>
        <w:tc>
          <w:tcPr>
            <w:tcW w:w="1843" w:type="dxa"/>
            <w:vAlign w:val="center"/>
          </w:tcPr>
          <w:p w14:paraId="452C00E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lang w:val="en-US" w:eastAsia="zh-CN"/>
              </w:rPr>
              <w:t>电池连接件</w:t>
            </w:r>
            <w:r>
              <w:rPr>
                <w:rFonts w:hint="eastAsia" w:eastAsia="宋体" w:cs="Times New Roman"/>
                <w:color w:val="auto"/>
                <w:kern w:val="21"/>
                <w:sz w:val="21"/>
                <w:szCs w:val="21"/>
              </w:rPr>
              <w:t>生产线</w:t>
            </w:r>
          </w:p>
        </w:tc>
        <w:tc>
          <w:tcPr>
            <w:tcW w:w="1361" w:type="dxa"/>
            <w:vMerge w:val="continue"/>
            <w:vAlign w:val="center"/>
          </w:tcPr>
          <w:p w14:paraId="3491F93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p>
        </w:tc>
        <w:tc>
          <w:tcPr>
            <w:tcW w:w="1393" w:type="dxa"/>
            <w:vAlign w:val="center"/>
          </w:tcPr>
          <w:p w14:paraId="5F12EAC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000000" w:themeColor="text1"/>
                <w:kern w:val="21"/>
                <w:sz w:val="21"/>
                <w:szCs w:val="21"/>
                <w:lang w:val="en-US" w:eastAsia="zh-CN"/>
                <w14:textFill>
                  <w14:solidFill>
                    <w14:schemeClr w14:val="tx1"/>
                  </w14:solidFill>
                </w14:textFill>
              </w:rPr>
              <w:t>114.5</w:t>
            </w:r>
            <w:r>
              <w:rPr>
                <w:rFonts w:hint="eastAsia" w:eastAsia="宋体" w:cs="Times New Roman"/>
                <w:color w:val="000000" w:themeColor="text1"/>
                <w:kern w:val="21"/>
                <w:sz w:val="21"/>
                <w:szCs w:val="21"/>
                <w14:textFill>
                  <w14:solidFill>
                    <w14:schemeClr w14:val="tx1"/>
                  </w14:solidFill>
                </w14:textFill>
              </w:rPr>
              <w:t>万</w:t>
            </w:r>
          </w:p>
        </w:tc>
        <w:tc>
          <w:tcPr>
            <w:tcW w:w="1241" w:type="dxa"/>
            <w:vAlign w:val="center"/>
          </w:tcPr>
          <w:p w14:paraId="73C5C3C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2</w:t>
            </w:r>
          </w:p>
        </w:tc>
        <w:tc>
          <w:tcPr>
            <w:tcW w:w="1330" w:type="dxa"/>
            <w:vAlign w:val="center"/>
          </w:tcPr>
          <w:p w14:paraId="04F4DAA7">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lang w:val="en-US" w:eastAsia="zh-CN"/>
              </w:rPr>
            </w:pPr>
            <w:r>
              <w:rPr>
                <w:rFonts w:hint="eastAsia" w:eastAsia="宋体" w:cs="Times New Roman"/>
                <w:color w:val="auto"/>
                <w:kern w:val="21"/>
                <w:sz w:val="21"/>
                <w:szCs w:val="21"/>
                <w:lang w:val="en-US" w:eastAsia="zh-CN"/>
              </w:rPr>
              <w:t>20.3856</w:t>
            </w:r>
          </w:p>
        </w:tc>
      </w:tr>
      <w:tr w14:paraId="77D04E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Align w:val="center"/>
          </w:tcPr>
          <w:p w14:paraId="32ACF05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合计</w:t>
            </w:r>
          </w:p>
        </w:tc>
        <w:tc>
          <w:tcPr>
            <w:tcW w:w="1843" w:type="dxa"/>
            <w:vAlign w:val="center"/>
          </w:tcPr>
          <w:p w14:paraId="2F8C461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w:t>
            </w:r>
          </w:p>
        </w:tc>
        <w:tc>
          <w:tcPr>
            <w:tcW w:w="1361" w:type="dxa"/>
            <w:vAlign w:val="center"/>
          </w:tcPr>
          <w:p w14:paraId="3368D09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w:t>
            </w:r>
          </w:p>
        </w:tc>
        <w:tc>
          <w:tcPr>
            <w:tcW w:w="1393" w:type="dxa"/>
            <w:vAlign w:val="center"/>
          </w:tcPr>
          <w:p w14:paraId="5716351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lang w:val="en-US" w:eastAsia="zh-CN"/>
              </w:rPr>
              <w:t>2154.5</w:t>
            </w:r>
            <w:r>
              <w:rPr>
                <w:rFonts w:hint="eastAsia" w:eastAsia="宋体" w:cs="Times New Roman"/>
                <w:color w:val="auto"/>
                <w:kern w:val="21"/>
                <w:sz w:val="21"/>
                <w:szCs w:val="21"/>
              </w:rPr>
              <w:t>万</w:t>
            </w:r>
          </w:p>
        </w:tc>
        <w:tc>
          <w:tcPr>
            <w:tcW w:w="1241" w:type="dxa"/>
            <w:vAlign w:val="center"/>
          </w:tcPr>
          <w:p w14:paraId="09FEF10C">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w:t>
            </w:r>
          </w:p>
        </w:tc>
        <w:tc>
          <w:tcPr>
            <w:tcW w:w="1330" w:type="dxa"/>
            <w:vAlign w:val="center"/>
          </w:tcPr>
          <w:p w14:paraId="1472165B">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lang w:val="en-US" w:eastAsia="zh-CN"/>
              </w:rPr>
            </w:pPr>
          </w:p>
        </w:tc>
      </w:tr>
      <w:tr w14:paraId="0BD2AD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Merge w:val="restart"/>
            <w:vAlign w:val="center"/>
          </w:tcPr>
          <w:p w14:paraId="60439CBC">
            <w:pPr>
              <w:spacing w:line="240" w:lineRule="auto"/>
              <w:ind w:firstLine="0" w:firstLineChars="0"/>
              <w:jc w:val="center"/>
              <w:textAlignment w:val="auto"/>
              <w:rPr>
                <w:color w:val="auto"/>
                <w:kern w:val="21"/>
                <w:sz w:val="21"/>
                <w:szCs w:val="21"/>
              </w:rPr>
            </w:pPr>
            <w:r>
              <w:rPr>
                <w:rFonts w:hint="eastAsia"/>
                <w:color w:val="auto"/>
                <w:kern w:val="21"/>
                <w:sz w:val="21"/>
                <w:szCs w:val="21"/>
              </w:rPr>
              <w:t>铬</w:t>
            </w:r>
          </w:p>
        </w:tc>
        <w:tc>
          <w:tcPr>
            <w:tcW w:w="1843" w:type="dxa"/>
            <w:vAlign w:val="center"/>
          </w:tcPr>
          <w:p w14:paraId="1CE0B1FD">
            <w:pPr>
              <w:spacing w:line="240" w:lineRule="auto"/>
              <w:ind w:firstLine="0" w:firstLineChars="0"/>
              <w:jc w:val="center"/>
              <w:textAlignment w:val="auto"/>
              <w:rPr>
                <w:color w:val="auto"/>
                <w:kern w:val="21"/>
                <w:sz w:val="21"/>
                <w:szCs w:val="21"/>
              </w:rPr>
            </w:pPr>
            <w:r>
              <w:rPr>
                <w:rFonts w:hint="eastAsia"/>
                <w:color w:val="auto"/>
                <w:kern w:val="21"/>
                <w:sz w:val="21"/>
                <w:szCs w:val="21"/>
              </w:rPr>
              <w:t>电池钢壳生产线</w:t>
            </w:r>
          </w:p>
        </w:tc>
        <w:tc>
          <w:tcPr>
            <w:tcW w:w="1361" w:type="dxa"/>
            <w:vMerge w:val="restart"/>
            <w:vAlign w:val="center"/>
          </w:tcPr>
          <w:p w14:paraId="20546D93">
            <w:pPr>
              <w:spacing w:line="240" w:lineRule="auto"/>
              <w:ind w:firstLine="0" w:firstLineChars="0"/>
              <w:jc w:val="center"/>
              <w:textAlignment w:val="auto"/>
              <w:rPr>
                <w:color w:val="auto"/>
                <w:kern w:val="21"/>
                <w:sz w:val="21"/>
                <w:szCs w:val="21"/>
              </w:rPr>
            </w:pPr>
            <w:r>
              <w:rPr>
                <w:rFonts w:hint="eastAsia"/>
                <w:color w:val="auto"/>
                <w:kern w:val="21"/>
                <w:sz w:val="21"/>
                <w:szCs w:val="21"/>
              </w:rPr>
              <w:t>7.19</w:t>
            </w:r>
          </w:p>
        </w:tc>
        <w:tc>
          <w:tcPr>
            <w:tcW w:w="1393" w:type="dxa"/>
            <w:vAlign w:val="center"/>
          </w:tcPr>
          <w:p w14:paraId="61FC6DF4">
            <w:pPr>
              <w:spacing w:line="240" w:lineRule="auto"/>
              <w:ind w:firstLine="0" w:firstLineChars="0"/>
              <w:jc w:val="center"/>
              <w:textAlignment w:val="auto"/>
              <w:rPr>
                <w:color w:val="auto"/>
                <w:kern w:val="21"/>
                <w:sz w:val="21"/>
                <w:szCs w:val="21"/>
              </w:rPr>
            </w:pPr>
            <w:r>
              <w:rPr>
                <w:rFonts w:hint="eastAsia"/>
                <w:color w:val="auto"/>
                <w:kern w:val="21"/>
                <w:sz w:val="21"/>
                <w:szCs w:val="21"/>
              </w:rPr>
              <w:t>1752万</w:t>
            </w:r>
          </w:p>
        </w:tc>
        <w:tc>
          <w:tcPr>
            <w:tcW w:w="1241" w:type="dxa"/>
            <w:vAlign w:val="center"/>
          </w:tcPr>
          <w:p w14:paraId="2C13036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0.02</w:t>
            </w:r>
          </w:p>
        </w:tc>
        <w:tc>
          <w:tcPr>
            <w:tcW w:w="1330" w:type="dxa"/>
            <w:vAlign w:val="center"/>
          </w:tcPr>
          <w:p w14:paraId="7076777B">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2.5194</w:t>
            </w:r>
          </w:p>
        </w:tc>
      </w:tr>
      <w:tr w14:paraId="2299C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Merge w:val="continue"/>
            <w:vAlign w:val="center"/>
          </w:tcPr>
          <w:p w14:paraId="160E06CD">
            <w:pPr>
              <w:spacing w:line="240" w:lineRule="auto"/>
              <w:ind w:firstLine="0" w:firstLineChars="0"/>
              <w:jc w:val="center"/>
              <w:textAlignment w:val="auto"/>
              <w:rPr>
                <w:color w:val="auto"/>
                <w:kern w:val="21"/>
                <w:sz w:val="21"/>
                <w:szCs w:val="21"/>
              </w:rPr>
            </w:pPr>
          </w:p>
        </w:tc>
        <w:tc>
          <w:tcPr>
            <w:tcW w:w="1843" w:type="dxa"/>
            <w:vAlign w:val="center"/>
          </w:tcPr>
          <w:p w14:paraId="33279FA5">
            <w:pPr>
              <w:spacing w:line="240" w:lineRule="auto"/>
              <w:ind w:firstLine="0" w:firstLineChars="0"/>
              <w:jc w:val="center"/>
              <w:textAlignment w:val="auto"/>
              <w:rPr>
                <w:color w:val="auto"/>
                <w:kern w:val="21"/>
                <w:sz w:val="21"/>
                <w:szCs w:val="21"/>
              </w:rPr>
            </w:pPr>
            <w:r>
              <w:rPr>
                <w:rFonts w:hint="eastAsia"/>
                <w:color w:val="auto"/>
                <w:kern w:val="21"/>
                <w:sz w:val="21"/>
                <w:szCs w:val="21"/>
                <w:lang w:val="en-US" w:eastAsia="zh-CN"/>
              </w:rPr>
              <w:t>盖帽</w:t>
            </w:r>
            <w:r>
              <w:rPr>
                <w:rFonts w:hint="eastAsia"/>
                <w:color w:val="auto"/>
                <w:kern w:val="21"/>
                <w:sz w:val="21"/>
                <w:szCs w:val="21"/>
              </w:rPr>
              <w:t>生产线</w:t>
            </w:r>
          </w:p>
        </w:tc>
        <w:tc>
          <w:tcPr>
            <w:tcW w:w="1361" w:type="dxa"/>
            <w:vMerge w:val="continue"/>
            <w:vAlign w:val="center"/>
          </w:tcPr>
          <w:p w14:paraId="12244720">
            <w:pPr>
              <w:spacing w:line="240" w:lineRule="auto"/>
              <w:ind w:firstLine="0" w:firstLineChars="0"/>
              <w:jc w:val="center"/>
              <w:textAlignment w:val="auto"/>
              <w:rPr>
                <w:color w:val="auto"/>
                <w:kern w:val="21"/>
                <w:sz w:val="21"/>
                <w:szCs w:val="21"/>
              </w:rPr>
            </w:pPr>
          </w:p>
        </w:tc>
        <w:tc>
          <w:tcPr>
            <w:tcW w:w="1393" w:type="dxa"/>
            <w:vAlign w:val="center"/>
          </w:tcPr>
          <w:p w14:paraId="14C9435C">
            <w:pPr>
              <w:spacing w:line="240" w:lineRule="auto"/>
              <w:ind w:firstLine="0" w:firstLineChars="0"/>
              <w:jc w:val="center"/>
              <w:textAlignment w:val="auto"/>
              <w:rPr>
                <w:color w:val="auto"/>
                <w:kern w:val="21"/>
                <w:sz w:val="21"/>
                <w:szCs w:val="21"/>
              </w:rPr>
            </w:pPr>
            <w:r>
              <w:rPr>
                <w:rFonts w:hint="eastAsia"/>
                <w:color w:val="auto"/>
                <w:kern w:val="21"/>
                <w:sz w:val="21"/>
                <w:szCs w:val="21"/>
              </w:rPr>
              <w:t>288万</w:t>
            </w:r>
          </w:p>
        </w:tc>
        <w:tc>
          <w:tcPr>
            <w:tcW w:w="1241" w:type="dxa"/>
            <w:vAlign w:val="center"/>
          </w:tcPr>
          <w:p w14:paraId="0829E4C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0.05</w:t>
            </w:r>
          </w:p>
        </w:tc>
        <w:tc>
          <w:tcPr>
            <w:tcW w:w="1330" w:type="dxa"/>
            <w:vAlign w:val="center"/>
          </w:tcPr>
          <w:p w14:paraId="4A39B32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1.0353</w:t>
            </w:r>
          </w:p>
        </w:tc>
      </w:tr>
      <w:tr w14:paraId="6C0C0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24" w:type="dxa"/>
            <w:vAlign w:val="center"/>
          </w:tcPr>
          <w:p w14:paraId="0BF0289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合计</w:t>
            </w:r>
          </w:p>
        </w:tc>
        <w:tc>
          <w:tcPr>
            <w:tcW w:w="1843" w:type="dxa"/>
            <w:vAlign w:val="center"/>
          </w:tcPr>
          <w:p w14:paraId="175239FF">
            <w:pPr>
              <w:spacing w:line="240" w:lineRule="auto"/>
              <w:ind w:firstLine="0" w:firstLineChars="0"/>
              <w:jc w:val="center"/>
              <w:textAlignment w:val="auto"/>
              <w:rPr>
                <w:color w:val="auto"/>
                <w:kern w:val="21"/>
                <w:sz w:val="21"/>
                <w:szCs w:val="21"/>
              </w:rPr>
            </w:pPr>
            <w:r>
              <w:rPr>
                <w:rFonts w:hint="eastAsia"/>
                <w:color w:val="auto"/>
                <w:kern w:val="21"/>
                <w:sz w:val="21"/>
                <w:szCs w:val="21"/>
              </w:rPr>
              <w:t>/</w:t>
            </w:r>
          </w:p>
        </w:tc>
        <w:tc>
          <w:tcPr>
            <w:tcW w:w="1361" w:type="dxa"/>
            <w:vAlign w:val="center"/>
          </w:tcPr>
          <w:p w14:paraId="488798E5">
            <w:pPr>
              <w:spacing w:line="240" w:lineRule="auto"/>
              <w:ind w:firstLine="0" w:firstLineChars="0"/>
              <w:jc w:val="center"/>
              <w:textAlignment w:val="auto"/>
              <w:rPr>
                <w:color w:val="auto"/>
                <w:kern w:val="21"/>
                <w:sz w:val="21"/>
                <w:szCs w:val="21"/>
              </w:rPr>
            </w:pPr>
            <w:r>
              <w:rPr>
                <w:rFonts w:hint="eastAsia"/>
                <w:color w:val="auto"/>
                <w:kern w:val="21"/>
                <w:sz w:val="21"/>
                <w:szCs w:val="21"/>
              </w:rPr>
              <w:t>/</w:t>
            </w:r>
          </w:p>
        </w:tc>
        <w:tc>
          <w:tcPr>
            <w:tcW w:w="1393" w:type="dxa"/>
            <w:vAlign w:val="center"/>
          </w:tcPr>
          <w:p w14:paraId="150157F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2040万</w:t>
            </w:r>
          </w:p>
        </w:tc>
        <w:tc>
          <w:tcPr>
            <w:tcW w:w="1241" w:type="dxa"/>
            <w:vAlign w:val="center"/>
          </w:tcPr>
          <w:p w14:paraId="6F978EB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w:t>
            </w:r>
          </w:p>
        </w:tc>
        <w:tc>
          <w:tcPr>
            <w:tcW w:w="1330" w:type="dxa"/>
            <w:vAlign w:val="center"/>
          </w:tcPr>
          <w:p w14:paraId="244AFE5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rPr>
            </w:pPr>
            <w:r>
              <w:rPr>
                <w:rFonts w:hint="eastAsia" w:eastAsia="宋体" w:cs="Times New Roman"/>
                <w:color w:val="auto"/>
                <w:kern w:val="21"/>
                <w:sz w:val="21"/>
                <w:szCs w:val="21"/>
              </w:rPr>
              <w:t>3.5547</w:t>
            </w:r>
          </w:p>
        </w:tc>
      </w:tr>
    </w:tbl>
    <w:p w14:paraId="0B1DEC89">
      <w:pPr>
        <w:ind w:firstLine="482"/>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一、镍元素平衡：</w:t>
      </w:r>
    </w:p>
    <w:p w14:paraId="1607E87D">
      <w:pPr>
        <w:pStyle w:val="78"/>
        <w:numPr>
          <w:ilvl w:val="0"/>
          <w:numId w:val="3"/>
        </w:numPr>
        <w:spacing w:line="520" w:lineRule="exact"/>
        <w:ind w:left="-2" w:leftChars="0" w:firstLine="482" w:firstLineChars="0"/>
        <w:jc w:val="left"/>
        <w:rPr>
          <w:color w:val="auto"/>
        </w:rPr>
      </w:pPr>
      <w:r>
        <w:rPr>
          <w:rFonts w:hint="eastAsia"/>
          <w:color w:val="auto"/>
        </w:rPr>
        <w:t>电池钢壳生产线</w:t>
      </w:r>
    </w:p>
    <w:p w14:paraId="44655CBD">
      <w:pPr>
        <w:pStyle w:val="141"/>
        <w:keepNext w:val="0"/>
        <w:keepLines w:val="0"/>
        <w:pageBreakBefore w:val="0"/>
        <w:widowControl w:val="0"/>
        <w:numPr>
          <w:ilvl w:val="0"/>
          <w:numId w:val="0"/>
        </w:numPr>
        <w:kinsoku/>
        <w:wordWrap/>
        <w:overflowPunct/>
        <w:topLinePunct w:val="0"/>
        <w:autoSpaceDE/>
        <w:autoSpaceDN/>
        <w:bidi w:val="0"/>
        <w:ind w:firstLine="480" w:firstLineChars="200"/>
        <w:jc w:val="both"/>
        <w:rPr>
          <w:b w:val="0"/>
          <w:bCs/>
          <w:color w:val="auto"/>
        </w:rPr>
      </w:pPr>
      <w:r>
        <w:rPr>
          <w:rFonts w:hint="eastAsia"/>
          <w:b w:val="0"/>
          <w:bCs/>
          <w:color w:val="auto"/>
        </w:rPr>
        <w:t>电池钢壳生产线</w:t>
      </w:r>
      <w:r>
        <w:rPr>
          <w:b w:val="0"/>
          <w:bCs/>
          <w:color w:val="auto"/>
        </w:rPr>
        <w:t>镀镍涉及到镍的原料主要为镍板、硫酸镍和氯化镍，电镀后镍主要去向为产品</w:t>
      </w:r>
      <w:r>
        <w:rPr>
          <w:rFonts w:hint="eastAsia"/>
          <w:b w:val="0"/>
          <w:bCs/>
          <w:color w:val="auto"/>
        </w:rPr>
        <w:t>消耗</w:t>
      </w:r>
      <w:r>
        <w:rPr>
          <w:b w:val="0"/>
          <w:bCs/>
          <w:color w:val="auto"/>
        </w:rPr>
        <w:t>、废槽渣</w:t>
      </w:r>
      <w:r>
        <w:rPr>
          <w:rFonts w:hint="eastAsia"/>
          <w:b w:val="0"/>
          <w:bCs/>
          <w:color w:val="auto"/>
          <w:lang w:val="en-US" w:eastAsia="zh-CN"/>
        </w:rPr>
        <w:t>、</w:t>
      </w:r>
      <w:r>
        <w:rPr>
          <w:rFonts w:hint="eastAsia"/>
          <w:b w:val="0"/>
          <w:bCs/>
          <w:color w:val="auto"/>
        </w:rPr>
        <w:t>含镍污泥</w:t>
      </w:r>
      <w:r>
        <w:rPr>
          <w:b w:val="0"/>
          <w:bCs/>
          <w:color w:val="auto"/>
        </w:rPr>
        <w:t>、蒸发浓液。</w:t>
      </w:r>
    </w:p>
    <w:p w14:paraId="14DC148A">
      <w:pPr>
        <w:pStyle w:val="141"/>
        <w:keepNext w:val="0"/>
        <w:keepLines w:val="0"/>
        <w:pageBreakBefore w:val="0"/>
        <w:widowControl w:val="0"/>
        <w:numPr>
          <w:ilvl w:val="0"/>
          <w:numId w:val="0"/>
        </w:numPr>
        <w:kinsoku/>
        <w:wordWrap/>
        <w:overflowPunct/>
        <w:topLinePunct w:val="0"/>
        <w:autoSpaceDE/>
        <w:autoSpaceDN/>
        <w:bidi w:val="0"/>
        <w:ind w:firstLine="480" w:firstLineChars="200"/>
        <w:jc w:val="both"/>
        <w:rPr>
          <w:b w:val="0"/>
          <w:bCs/>
          <w:color w:val="auto"/>
        </w:rPr>
      </w:pPr>
      <w:r>
        <w:rPr>
          <w:b w:val="0"/>
          <w:bCs/>
          <w:color w:val="auto"/>
        </w:rPr>
        <w:t>本项目</w:t>
      </w:r>
      <w:r>
        <w:rPr>
          <w:rFonts w:hint="eastAsia"/>
          <w:b w:val="0"/>
          <w:bCs/>
          <w:color w:val="auto"/>
        </w:rPr>
        <w:t>电池钢壳生产线</w:t>
      </w:r>
      <w:r>
        <w:rPr>
          <w:b w:val="0"/>
          <w:bCs/>
          <w:color w:val="auto"/>
        </w:rPr>
        <w:t>镍元素平衡见</w:t>
      </w:r>
      <w:r>
        <w:rPr>
          <w:rFonts w:hint="eastAsia"/>
          <w:b w:val="0"/>
          <w:bCs/>
          <w:color w:val="auto"/>
        </w:rPr>
        <w:t>下表及图</w:t>
      </w:r>
      <w:r>
        <w:rPr>
          <w:b w:val="0"/>
          <w:bCs/>
          <w:color w:val="auto"/>
        </w:rPr>
        <w:t>。</w:t>
      </w:r>
    </w:p>
    <w:p w14:paraId="113CA3B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lang w:val="en-US" w:eastAsia="zh-CN"/>
        </w:rPr>
      </w:pPr>
      <w:r>
        <w:rPr>
          <w:rFonts w:hint="eastAsia"/>
          <w:highlight w:val="none"/>
          <w:lang w:val="en-US" w:eastAsia="zh-CN"/>
        </w:rPr>
        <w:t>表3.3-2    本项目电池钢壳生产线镍元素物料平衡表</w:t>
      </w:r>
    </w:p>
    <w:tbl>
      <w:tblPr>
        <w:tblStyle w:val="40"/>
        <w:tblW w:w="502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68"/>
        <w:gridCol w:w="1428"/>
        <w:gridCol w:w="715"/>
        <w:gridCol w:w="1000"/>
        <w:gridCol w:w="1286"/>
        <w:gridCol w:w="1146"/>
        <w:gridCol w:w="1228"/>
      </w:tblGrid>
      <w:tr w14:paraId="3E11B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983" w:type="dxa"/>
            <w:gridSpan w:val="5"/>
            <w:vAlign w:val="center"/>
          </w:tcPr>
          <w:p w14:paraId="337EF4BB">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投入</w:t>
            </w:r>
          </w:p>
        </w:tc>
        <w:tc>
          <w:tcPr>
            <w:tcW w:w="2368" w:type="dxa"/>
            <w:gridSpan w:val="2"/>
            <w:vAlign w:val="center"/>
          </w:tcPr>
          <w:p w14:paraId="287F7E0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产出</w:t>
            </w:r>
          </w:p>
        </w:tc>
      </w:tr>
      <w:tr w14:paraId="78D10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49C857C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物料名称</w:t>
            </w:r>
          </w:p>
        </w:tc>
        <w:tc>
          <w:tcPr>
            <w:tcW w:w="1425" w:type="dxa"/>
            <w:vAlign w:val="center"/>
          </w:tcPr>
          <w:p w14:paraId="25DB5EDB">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投入量（t/a）</w:t>
            </w:r>
          </w:p>
        </w:tc>
        <w:tc>
          <w:tcPr>
            <w:tcW w:w="713" w:type="dxa"/>
            <w:vAlign w:val="center"/>
          </w:tcPr>
          <w:p w14:paraId="6BD2C5EE">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纯度</w:t>
            </w:r>
          </w:p>
        </w:tc>
        <w:tc>
          <w:tcPr>
            <w:tcW w:w="998" w:type="dxa"/>
            <w:vAlign w:val="center"/>
          </w:tcPr>
          <w:p w14:paraId="10003B84">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镍含量</w:t>
            </w:r>
          </w:p>
        </w:tc>
        <w:tc>
          <w:tcPr>
            <w:tcW w:w="1283" w:type="dxa"/>
            <w:vAlign w:val="center"/>
          </w:tcPr>
          <w:p w14:paraId="73F7FAC3">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镍量（t/a）</w:t>
            </w:r>
          </w:p>
        </w:tc>
        <w:tc>
          <w:tcPr>
            <w:tcW w:w="1143" w:type="dxa"/>
            <w:vAlign w:val="center"/>
          </w:tcPr>
          <w:p w14:paraId="0B5BF37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名称</w:t>
            </w:r>
          </w:p>
        </w:tc>
        <w:tc>
          <w:tcPr>
            <w:tcW w:w="1225" w:type="dxa"/>
            <w:vAlign w:val="center"/>
          </w:tcPr>
          <w:p w14:paraId="6196FF67">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auto"/>
                <w:kern w:val="21"/>
                <w:sz w:val="21"/>
                <w:szCs w:val="21"/>
                <w:highlight w:val="none"/>
              </w:rPr>
            </w:pPr>
            <w:r>
              <w:rPr>
                <w:rFonts w:eastAsia="宋体" w:cs="Times New Roman"/>
                <w:b/>
                <w:bCs/>
                <w:color w:val="auto"/>
                <w:kern w:val="21"/>
                <w:sz w:val="21"/>
                <w:szCs w:val="21"/>
                <w:highlight w:val="none"/>
              </w:rPr>
              <w:t>镍量（t/a）</w:t>
            </w:r>
          </w:p>
        </w:tc>
      </w:tr>
      <w:tr w14:paraId="0E4D7E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06C45AF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镍板</w:t>
            </w:r>
          </w:p>
        </w:tc>
        <w:tc>
          <w:tcPr>
            <w:tcW w:w="1425" w:type="dxa"/>
            <w:vAlign w:val="center"/>
          </w:tcPr>
          <w:p w14:paraId="35E1BE85">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302</w:t>
            </w:r>
          </w:p>
        </w:tc>
        <w:tc>
          <w:tcPr>
            <w:tcW w:w="713" w:type="dxa"/>
            <w:vAlign w:val="center"/>
          </w:tcPr>
          <w:p w14:paraId="3056CE8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99.9%</w:t>
            </w:r>
          </w:p>
        </w:tc>
        <w:tc>
          <w:tcPr>
            <w:tcW w:w="998" w:type="dxa"/>
            <w:vAlign w:val="center"/>
          </w:tcPr>
          <w:p w14:paraId="0D3E058F">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100%</w:t>
            </w:r>
          </w:p>
        </w:tc>
        <w:tc>
          <w:tcPr>
            <w:tcW w:w="1283" w:type="dxa"/>
            <w:vAlign w:val="center"/>
          </w:tcPr>
          <w:p w14:paraId="1F6803BC">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301.698</w:t>
            </w:r>
          </w:p>
        </w:tc>
        <w:tc>
          <w:tcPr>
            <w:tcW w:w="1143" w:type="dxa"/>
            <w:vAlign w:val="center"/>
          </w:tcPr>
          <w:p w14:paraId="7464136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产品</w:t>
            </w:r>
            <w:r>
              <w:rPr>
                <w:rFonts w:hint="eastAsia" w:eastAsia="宋体" w:cs="Times New Roman"/>
                <w:color w:val="auto"/>
                <w:kern w:val="21"/>
                <w:sz w:val="21"/>
                <w:szCs w:val="21"/>
                <w:highlight w:val="none"/>
              </w:rPr>
              <w:t>消耗</w:t>
            </w:r>
          </w:p>
        </w:tc>
        <w:tc>
          <w:tcPr>
            <w:tcW w:w="1225" w:type="dxa"/>
            <w:vAlign w:val="center"/>
          </w:tcPr>
          <w:p w14:paraId="3E48EA3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311.9261</w:t>
            </w:r>
          </w:p>
        </w:tc>
      </w:tr>
      <w:tr w14:paraId="0B104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4DFD6AEC">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硫酸镍</w:t>
            </w:r>
            <w:r>
              <w:rPr>
                <w:rFonts w:eastAsia="Times New Roman" w:cs="Times New Roman"/>
                <w:color w:val="auto"/>
                <w:kern w:val="21"/>
                <w:sz w:val="21"/>
                <w:highlight w:val="none"/>
              </w:rPr>
              <w:t>NiSO</w:t>
            </w:r>
            <w:r>
              <w:rPr>
                <w:rFonts w:eastAsia="Times New Roman" w:cs="Times New Roman"/>
                <w:color w:val="auto"/>
                <w:kern w:val="21"/>
                <w:sz w:val="14"/>
                <w:highlight w:val="none"/>
              </w:rPr>
              <w:t>4</w:t>
            </w:r>
            <w:r>
              <w:rPr>
                <w:rFonts w:eastAsia="Times New Roman" w:cs="Times New Roman"/>
                <w:color w:val="auto"/>
                <w:kern w:val="21"/>
                <w:sz w:val="21"/>
                <w:highlight w:val="none"/>
              </w:rPr>
              <w:t>·6H</w:t>
            </w:r>
            <w:r>
              <w:rPr>
                <w:rFonts w:eastAsia="Times New Roman" w:cs="Times New Roman"/>
                <w:color w:val="auto"/>
                <w:kern w:val="21"/>
                <w:sz w:val="14"/>
                <w:highlight w:val="none"/>
              </w:rPr>
              <w:t>2</w:t>
            </w:r>
            <w:r>
              <w:rPr>
                <w:rFonts w:eastAsia="Times New Roman" w:cs="Times New Roman"/>
                <w:color w:val="auto"/>
                <w:kern w:val="21"/>
                <w:sz w:val="21"/>
                <w:highlight w:val="none"/>
              </w:rPr>
              <w:t>O</w:t>
            </w:r>
          </w:p>
        </w:tc>
        <w:tc>
          <w:tcPr>
            <w:tcW w:w="1425" w:type="dxa"/>
            <w:vAlign w:val="center"/>
          </w:tcPr>
          <w:p w14:paraId="0DFBCF4E">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64.5</w:t>
            </w:r>
          </w:p>
        </w:tc>
        <w:tc>
          <w:tcPr>
            <w:tcW w:w="713" w:type="dxa"/>
            <w:vAlign w:val="center"/>
          </w:tcPr>
          <w:p w14:paraId="104CA89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95%</w:t>
            </w:r>
          </w:p>
        </w:tc>
        <w:tc>
          <w:tcPr>
            <w:tcW w:w="998" w:type="dxa"/>
            <w:vAlign w:val="center"/>
          </w:tcPr>
          <w:p w14:paraId="67EBBC95">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22.33%</w:t>
            </w:r>
          </w:p>
        </w:tc>
        <w:tc>
          <w:tcPr>
            <w:tcW w:w="1283" w:type="dxa"/>
            <w:vAlign w:val="center"/>
          </w:tcPr>
          <w:p w14:paraId="59AE8E46">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13.683</w:t>
            </w:r>
          </w:p>
        </w:tc>
        <w:tc>
          <w:tcPr>
            <w:tcW w:w="1143" w:type="dxa"/>
            <w:vAlign w:val="center"/>
          </w:tcPr>
          <w:p w14:paraId="1894EDB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废槽渣</w:t>
            </w:r>
          </w:p>
        </w:tc>
        <w:tc>
          <w:tcPr>
            <w:tcW w:w="1225" w:type="dxa"/>
            <w:vAlign w:val="center"/>
          </w:tcPr>
          <w:p w14:paraId="247080F7">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4.7732</w:t>
            </w:r>
          </w:p>
        </w:tc>
      </w:tr>
      <w:tr w14:paraId="716981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0A1CA72B">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氯化镍</w:t>
            </w:r>
            <w:r>
              <w:rPr>
                <w:rFonts w:eastAsia="Times New Roman" w:cs="Times New Roman"/>
                <w:color w:val="auto"/>
                <w:kern w:val="21"/>
                <w:sz w:val="21"/>
                <w:highlight w:val="none"/>
              </w:rPr>
              <w:t>NiCl</w:t>
            </w:r>
            <w:r>
              <w:rPr>
                <w:rFonts w:eastAsia="Times New Roman" w:cs="Times New Roman"/>
                <w:color w:val="auto"/>
                <w:kern w:val="21"/>
                <w:sz w:val="14"/>
                <w:highlight w:val="none"/>
              </w:rPr>
              <w:t>2</w:t>
            </w:r>
            <w:r>
              <w:rPr>
                <w:rFonts w:eastAsia="Times New Roman" w:cs="Times New Roman"/>
                <w:color w:val="auto"/>
                <w:kern w:val="21"/>
                <w:sz w:val="21"/>
                <w:highlight w:val="none"/>
              </w:rPr>
              <w:t>·6H</w:t>
            </w:r>
            <w:r>
              <w:rPr>
                <w:rFonts w:eastAsia="Times New Roman" w:cs="Times New Roman"/>
                <w:color w:val="auto"/>
                <w:kern w:val="21"/>
                <w:sz w:val="14"/>
                <w:highlight w:val="none"/>
              </w:rPr>
              <w:t>2</w:t>
            </w:r>
            <w:r>
              <w:rPr>
                <w:rFonts w:eastAsia="Times New Roman" w:cs="Times New Roman"/>
                <w:color w:val="auto"/>
                <w:kern w:val="21"/>
                <w:sz w:val="21"/>
                <w:highlight w:val="none"/>
              </w:rPr>
              <w:t>O</w:t>
            </w:r>
          </w:p>
        </w:tc>
        <w:tc>
          <w:tcPr>
            <w:tcW w:w="1425" w:type="dxa"/>
            <w:vAlign w:val="center"/>
          </w:tcPr>
          <w:p w14:paraId="0845D33F">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13.9</w:t>
            </w:r>
          </w:p>
        </w:tc>
        <w:tc>
          <w:tcPr>
            <w:tcW w:w="713" w:type="dxa"/>
            <w:vAlign w:val="center"/>
          </w:tcPr>
          <w:p w14:paraId="79C5DB5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95%</w:t>
            </w:r>
          </w:p>
        </w:tc>
        <w:tc>
          <w:tcPr>
            <w:tcW w:w="998" w:type="dxa"/>
            <w:vAlign w:val="center"/>
          </w:tcPr>
          <w:p w14:paraId="367BC4E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rPr>
              <w:t>24.69%</w:t>
            </w:r>
          </w:p>
        </w:tc>
        <w:tc>
          <w:tcPr>
            <w:tcW w:w="1283" w:type="dxa"/>
            <w:vAlign w:val="center"/>
          </w:tcPr>
          <w:p w14:paraId="453DFCAE">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3.26</w:t>
            </w:r>
          </w:p>
        </w:tc>
        <w:tc>
          <w:tcPr>
            <w:tcW w:w="1143" w:type="dxa"/>
            <w:vAlign w:val="center"/>
          </w:tcPr>
          <w:p w14:paraId="7613777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含镍污泥</w:t>
            </w:r>
          </w:p>
        </w:tc>
        <w:tc>
          <w:tcPr>
            <w:tcW w:w="1225" w:type="dxa"/>
            <w:vAlign w:val="center"/>
          </w:tcPr>
          <w:p w14:paraId="63DB5C1C">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1.5541</w:t>
            </w:r>
          </w:p>
        </w:tc>
      </w:tr>
      <w:tr w14:paraId="1ACC2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77980C77">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1425" w:type="dxa"/>
            <w:vAlign w:val="center"/>
          </w:tcPr>
          <w:p w14:paraId="1F231C75">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713" w:type="dxa"/>
            <w:vAlign w:val="center"/>
          </w:tcPr>
          <w:p w14:paraId="21076549">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998" w:type="dxa"/>
            <w:vAlign w:val="center"/>
          </w:tcPr>
          <w:p w14:paraId="33C55E83">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1283" w:type="dxa"/>
            <w:vAlign w:val="center"/>
          </w:tcPr>
          <w:p w14:paraId="35C79BE3">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1143" w:type="dxa"/>
            <w:vAlign w:val="center"/>
          </w:tcPr>
          <w:p w14:paraId="45B4143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蒸发浓液</w:t>
            </w:r>
          </w:p>
        </w:tc>
        <w:tc>
          <w:tcPr>
            <w:tcW w:w="1225" w:type="dxa"/>
            <w:vAlign w:val="center"/>
          </w:tcPr>
          <w:p w14:paraId="2877E655">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0.3876</w:t>
            </w:r>
          </w:p>
        </w:tc>
      </w:tr>
      <w:tr w14:paraId="5191C5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4" w:type="dxa"/>
            <w:vAlign w:val="center"/>
          </w:tcPr>
          <w:p w14:paraId="24F6E17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合计</w:t>
            </w:r>
          </w:p>
        </w:tc>
        <w:tc>
          <w:tcPr>
            <w:tcW w:w="1425" w:type="dxa"/>
            <w:vAlign w:val="center"/>
          </w:tcPr>
          <w:p w14:paraId="2E345478">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713" w:type="dxa"/>
            <w:vAlign w:val="center"/>
          </w:tcPr>
          <w:p w14:paraId="289948F3">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998" w:type="dxa"/>
            <w:vAlign w:val="center"/>
          </w:tcPr>
          <w:p w14:paraId="1B906573">
            <w:pPr>
              <w:spacing w:line="240" w:lineRule="auto"/>
              <w:ind w:firstLine="0" w:firstLineChars="0"/>
              <w:jc w:val="center"/>
              <w:textAlignment w:val="auto"/>
              <w:rPr>
                <w:color w:val="auto"/>
                <w:kern w:val="21"/>
                <w:sz w:val="21"/>
                <w:szCs w:val="21"/>
                <w:highlight w:val="none"/>
              </w:rPr>
            </w:pPr>
            <w:r>
              <w:rPr>
                <w:color w:val="auto"/>
                <w:kern w:val="21"/>
                <w:sz w:val="21"/>
                <w:szCs w:val="21"/>
                <w:highlight w:val="none"/>
              </w:rPr>
              <w:t>/</w:t>
            </w:r>
          </w:p>
        </w:tc>
        <w:tc>
          <w:tcPr>
            <w:tcW w:w="1283" w:type="dxa"/>
            <w:vAlign w:val="center"/>
          </w:tcPr>
          <w:p w14:paraId="0D90B815">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auto"/>
                <w:kern w:val="21"/>
                <w:sz w:val="21"/>
                <w:szCs w:val="21"/>
                <w:highlight w:val="none"/>
                <w:lang w:val="en-US" w:eastAsia="zh-CN"/>
              </w:rPr>
            </w:pPr>
            <w:r>
              <w:rPr>
                <w:rFonts w:hint="eastAsia" w:eastAsia="宋体" w:cs="Times New Roman"/>
                <w:color w:val="auto"/>
                <w:kern w:val="21"/>
                <w:sz w:val="21"/>
                <w:szCs w:val="21"/>
                <w:highlight w:val="none"/>
                <w:lang w:val="en-US" w:eastAsia="zh-CN"/>
              </w:rPr>
              <w:t>318.641</w:t>
            </w:r>
          </w:p>
        </w:tc>
        <w:tc>
          <w:tcPr>
            <w:tcW w:w="1143" w:type="dxa"/>
            <w:vAlign w:val="center"/>
          </w:tcPr>
          <w:p w14:paraId="03F2C62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eastAsia="宋体" w:cs="Times New Roman"/>
                <w:color w:val="auto"/>
                <w:kern w:val="21"/>
                <w:sz w:val="21"/>
                <w:szCs w:val="21"/>
                <w:highlight w:val="none"/>
              </w:rPr>
              <w:t>/</w:t>
            </w:r>
          </w:p>
        </w:tc>
        <w:tc>
          <w:tcPr>
            <w:tcW w:w="1225" w:type="dxa"/>
            <w:vAlign w:val="center"/>
          </w:tcPr>
          <w:p w14:paraId="13A8E625">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auto"/>
                <w:kern w:val="21"/>
                <w:sz w:val="21"/>
                <w:szCs w:val="21"/>
                <w:highlight w:val="none"/>
              </w:rPr>
            </w:pPr>
            <w:r>
              <w:rPr>
                <w:rFonts w:hint="eastAsia" w:eastAsia="宋体" w:cs="Times New Roman"/>
                <w:color w:val="auto"/>
                <w:kern w:val="21"/>
                <w:sz w:val="21"/>
                <w:szCs w:val="21"/>
                <w:highlight w:val="none"/>
                <w:lang w:val="en-US" w:eastAsia="zh-CN"/>
              </w:rPr>
              <w:t>318.641</w:t>
            </w:r>
          </w:p>
        </w:tc>
      </w:tr>
    </w:tbl>
    <w:p w14:paraId="41CED8AD">
      <w:pPr>
        <w:pStyle w:val="78"/>
        <w:rPr>
          <w:color w:val="FF0000"/>
        </w:rPr>
      </w:pPr>
      <w:r>
        <w:rPr>
          <w:rFonts w:ascii="Calibri" w:hAnsi="Calibri"/>
          <w:kern w:val="2"/>
          <w:sz w:val="21"/>
          <w:szCs w:val="24"/>
        </w:rPr>
        <mc:AlternateContent>
          <mc:Choice Requires="wpg">
            <w:drawing>
              <wp:anchor distT="0" distB="0" distL="114300" distR="114300" simplePos="0" relativeHeight="251702272" behindDoc="0" locked="0" layoutInCell="1" allowOverlap="1">
                <wp:simplePos x="0" y="0"/>
                <wp:positionH relativeFrom="column">
                  <wp:posOffset>695325</wp:posOffset>
                </wp:positionH>
                <wp:positionV relativeFrom="paragraph">
                  <wp:posOffset>126365</wp:posOffset>
                </wp:positionV>
                <wp:extent cx="3951605" cy="1677035"/>
                <wp:effectExtent l="0" t="0" r="0" b="18415"/>
                <wp:wrapNone/>
                <wp:docPr id="25" name="组合 25"/>
                <wp:cNvGraphicFramePr/>
                <a:graphic xmlns:a="http://schemas.openxmlformats.org/drawingml/2006/main">
                  <a:graphicData uri="http://schemas.microsoft.com/office/word/2010/wordprocessingGroup">
                    <wpg:wgp>
                      <wpg:cNvGrpSpPr/>
                      <wpg:grpSpPr>
                        <a:xfrm>
                          <a:off x="752475" y="638175"/>
                          <a:ext cx="3951605" cy="1677035"/>
                          <a:chOff x="1468" y="18409"/>
                          <a:chExt cx="6223" cy="2641"/>
                        </a:xfrm>
                      </wpg:grpSpPr>
                      <wps:wsp>
                        <wps:cNvPr id="180" name="矩形 42"/>
                        <wps:cNvSpPr/>
                        <wps:spPr>
                          <a:xfrm>
                            <a:off x="2051" y="19369"/>
                            <a:ext cx="103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17728B0C">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318.641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3" name="矩形 42"/>
                        <wps:cNvSpPr/>
                        <wps:spPr>
                          <a:xfrm>
                            <a:off x="1468" y="19414"/>
                            <a:ext cx="795" cy="840"/>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1365269E">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6" name="矩形 4"/>
                        <wps:cNvSpPr/>
                        <wps:spPr>
                          <a:xfrm>
                            <a:off x="4459" y="19291"/>
                            <a:ext cx="1230" cy="979"/>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1578F2C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7" name="直接箭头连接符 5"/>
                        <wps:cNvCnPr/>
                        <wps:spPr>
                          <a:xfrm>
                            <a:off x="2089" y="19870"/>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188" name="矩形 4"/>
                        <wps:cNvSpPr/>
                        <wps:spPr>
                          <a:xfrm>
                            <a:off x="2987" y="18586"/>
                            <a:ext cx="556" cy="2433"/>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B2BD72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8" name="矩形 42"/>
                        <wps:cNvSpPr/>
                        <wps:spPr>
                          <a:xfrm>
                            <a:off x="3487" y="18409"/>
                            <a:ext cx="1124"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8CE84E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311.9261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1" name="直接箭头连接符 5"/>
                        <wps:cNvCnPr/>
                        <wps:spPr>
                          <a:xfrm>
                            <a:off x="3552" y="18835"/>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44" name="矩形 42"/>
                        <wps:cNvSpPr/>
                        <wps:spPr>
                          <a:xfrm>
                            <a:off x="3501" y="19407"/>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AB8017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1.9417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5" name="直接箭头连接符 5"/>
                        <wps:cNvCnPr/>
                        <wps:spPr>
                          <a:xfrm>
                            <a:off x="3552" y="19833"/>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47" name="矩形 42"/>
                        <wps:cNvSpPr/>
                        <wps:spPr>
                          <a:xfrm>
                            <a:off x="3501" y="2040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ED956F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4.7732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8" name="直接箭头连接符 5"/>
                        <wps:cNvCnPr/>
                        <wps:spPr>
                          <a:xfrm>
                            <a:off x="3552" y="2083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50" name="矩形 42"/>
                        <wps:cNvSpPr/>
                        <wps:spPr>
                          <a:xfrm>
                            <a:off x="5646" y="1968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9CB491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0.3876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1" name="直接箭头连接符 5"/>
                        <wps:cNvCnPr/>
                        <wps:spPr>
                          <a:xfrm>
                            <a:off x="5697" y="2011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53" name="矩形 42"/>
                        <wps:cNvSpPr/>
                        <wps:spPr>
                          <a:xfrm>
                            <a:off x="5646" y="19092"/>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207B2B6">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1.5541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4" name="直接箭头连接符 5"/>
                        <wps:cNvCnPr/>
                        <wps:spPr>
                          <a:xfrm>
                            <a:off x="5697" y="19518"/>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55" name="矩形 42"/>
                        <wps:cNvSpPr/>
                        <wps:spPr>
                          <a:xfrm>
                            <a:off x="4361" y="18529"/>
                            <a:ext cx="1229"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7DCAD88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6" name="矩形 42"/>
                        <wps:cNvSpPr/>
                        <wps:spPr>
                          <a:xfrm>
                            <a:off x="4406" y="20509"/>
                            <a:ext cx="100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286B1E1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7" name="矩形 42"/>
                        <wps:cNvSpPr/>
                        <wps:spPr>
                          <a:xfrm>
                            <a:off x="6462" y="19234"/>
                            <a:ext cx="90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EB1AB5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8" name="矩形 42"/>
                        <wps:cNvSpPr/>
                        <wps:spPr>
                          <a:xfrm>
                            <a:off x="6476" y="19849"/>
                            <a:ext cx="121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4509D0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4.75pt;margin-top:9.95pt;height:132.05pt;width:311.15pt;z-index:251702272;mso-width-relative:page;mso-height-relative:page;" coordorigin="1468,18409" coordsize="6223,2641" o:gfxdata="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">
                <o:lock v:ext="edit" aspectratio="f"/>
                <v:rect id="矩形 42" o:spid="_x0000_s1026" o:spt="1" style="position:absolute;left:2051;top:19369;height:541;width:1035;v-text-anchor:middle;" filled="f" stroked="f" coordsize="21600,21600" o:gfxdata="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XVZB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17728B0C">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318.641</w:t>
                        </w:r>
                      </w:p>
                    </w:txbxContent>
                  </v:textbox>
                </v:rect>
                <v:rect id="矩形 42" o:spid="_x0000_s1026" o:spt="1" style="position:absolute;left:1468;top:19414;height:840;width:795;v-text-anchor:middle;" filled="f" stroked="f" coordsize="21600,21600" o:gfxdata="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j8g2ugAAANwA&#10;AAAPAAAAAAAAAAEAIAAAACIAAABkcnMvZG93bnJldi54bWxQSwECFAAUAAAACACHTuJAMy8FnjsA&#10;AAA5AAAAEAAAAAAAAAABACAAAAAJAQAAZHJzL3NoYXBleG1sLnhtbFBLBQYAAAAABgAGAFsBAACz&#10;AwAAAAA=&#10;">
                  <v:fill on="f" focussize="0,0"/>
                  <v:stroke on="f" weight="1pt" miterlimit="8" joinstyle="miter"/>
                  <v:imagedata o:title=""/>
                  <o:lock v:ext="edit" aspectratio="f"/>
                  <v:textbox>
                    <w:txbxContent>
                      <w:p w14:paraId="1365269E">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v:textbox>
                </v:rect>
                <v:rect id="矩形 4" o:spid="_x0000_s1026" o:spt="1" style="position:absolute;left:4459;top:19291;height:979;width:1230;v-text-anchor:middle;" filled="f" stroked="t" coordsize="21600,21600" o:gfxdata="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NitArsAAADc&#10;AAAADwAAAAAAAAABACAAAAAiAAAAZHJzL2Rvd25yZXYueG1sUEsBAhQAFAAAAAgAh07iQDMvBZ47&#10;AAAAOQAAABAAAAAAAAAAAQAgAAAACgEAAGRycy9zaGFwZXhtbC54bWxQSwUGAAAAAAYABgBbAQAA&#10;tAMAAAAA&#10;">
                  <v:fill on="f" focussize="0,0"/>
                  <v:stroke weight="1pt" color="#000000 [2404]" miterlimit="8" joinstyle="miter"/>
                  <v:imagedata o:title=""/>
                  <o:lock v:ext="edit" aspectratio="f"/>
                  <v:textbox>
                    <w:txbxContent>
                      <w:p w14:paraId="1578F2C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v:textbox>
                </v:rect>
                <v:shape id="直接箭头连接符 5" o:spid="_x0000_s1026" o:spt="32" type="#_x0000_t32" style="position:absolute;left:2089;top:19870;height:1;width:907;" filled="f" stroked="t" coordsize="21600,21600" o:gfxdata="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73gpLsAAADc&#10;AAAADwAAAAAAAAABACAAAAAiAAAAZHJzL2Rvd25yZXYueG1sUEsBAhQAFAAAAAgAh07iQDMvBZ47&#10;AAAAOQAAABAAAAAAAAAAAQAgAAAACgEAAGRycy9zaGFwZXhtbC54bWxQSwUGAAAAAAYABgBbAQAA&#10;tAMAAAAA&#10;">
                  <v:fill on="f" focussize="0,0"/>
                  <v:stroke weight="1pt" color="#000000 [3204]" miterlimit="8" joinstyle="miter" endarrow="block"/>
                  <v:imagedata o:title=""/>
                  <o:lock v:ext="edit" aspectratio="f"/>
                </v:shape>
                <v:rect id="矩形 4" o:spid="_x0000_s1026" o:spt="1" style="position:absolute;left:2987;top:18586;height:2433;width:556;v-text-anchor:middle;" filled="f" stroked="t" coordsize="21600,21600" o:gfxdata="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ILnOu/&#10;AAAA3AAAAA8AAAAAAAAAAQAgAAAAIgAAAGRycy9kb3ducmV2LnhtbFBLAQIUABQAAAAIAIdO4kAz&#10;LwWeOwAAADkAAAAQAAAAAAAAAAEAIAAAAA4BAABkcnMvc2hhcGV4bWwueG1sUEsFBgAAAAAGAAYA&#10;WwEAALgDAAAAAA==&#10;">
                  <v:fill on="f" focussize="0,0"/>
                  <v:stroke weight="1pt" color="#000000 [2404]" miterlimit="8" joinstyle="miter"/>
                  <v:imagedata o:title=""/>
                  <o:lock v:ext="edit" aspectratio="f"/>
                  <v:textbox>
                    <w:txbxContent>
                      <w:p w14:paraId="5B2BD72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v:textbox>
                </v:rect>
                <v:rect id="矩形 42" o:spid="_x0000_s1026" o:spt="1" style="position:absolute;left:3487;top:18409;height:541;width:1124;v-text-anchor:middle;" filled="f" stroked="f" coordsize="21600,21600" o:gfxdata="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8sya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08CE84E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311.9261</w:t>
                        </w:r>
                      </w:p>
                    </w:txbxContent>
                  </v:textbox>
                </v:rect>
                <v:shape id="直接箭头连接符 5" o:spid="_x0000_s1026" o:spt="32" type="#_x0000_t32" style="position:absolute;left:3552;top:18835;height:1;width:907;" filled="f" stroked="t" coordsize="21600,21600" o:gfxdata="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Bq2/&#10;AAAA3A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2" o:spid="_x0000_s1026" o:spt="1" style="position:absolute;left:3501;top:19407;height:541;width:990;v-text-anchor:middle;" filled="f" stroked="f" coordsize="21600,21600" o:gfxdata="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ouk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6AB8017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1.9417</w:t>
                        </w:r>
                      </w:p>
                    </w:txbxContent>
                  </v:textbox>
                </v:rect>
                <v:shape id="直接箭头连接符 5" o:spid="_x0000_s1026" o:spt="32" type="#_x0000_t32" style="position:absolute;left:3552;top:19833;height:1;width:907;" filled="f" stroked="t" coordsize="21600,21600" o:gfxdata="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8Arr4A&#10;AADc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3501;top:20405;height:541;width:990;v-text-anchor:middle;" filled="f" stroked="f" coordsize="21600,21600" o:gfxdata="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KBXT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6ED956F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4.7732</w:t>
                        </w:r>
                      </w:p>
                    </w:txbxContent>
                  </v:textbox>
                </v:rect>
                <v:shape id="直接箭头连接符 5" o:spid="_x0000_s1026" o:spt="32" type="#_x0000_t32" style="position:absolute;left:3552;top:20831;height:1;width:907;" filled="f" stroked="t" coordsize="21600,21600" o:gfxdata="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r6vMLsAAADc&#10;AAAADwAAAAAAAAABACAAAAAiAAAAZHJzL2Rvd25yZXYueG1sUEsBAhQAFAAAAAgAh07iQDMvBZ47&#10;AAAAOQAAABAAAAAAAAAAAQAgAAAACgEAAGRycy9zaGFwZXhtbC54bWxQSwUGAAAAAAYABgBbAQAA&#10;tAMAAAAA&#10;">
                  <v:fill on="f" focussize="0,0"/>
                  <v:stroke weight="1pt" color="#000000 [3204]" miterlimit="8" joinstyle="miter" endarrow="block"/>
                  <v:imagedata o:title=""/>
                  <o:lock v:ext="edit" aspectratio="f"/>
                </v:shape>
                <v:rect id="矩形 42" o:spid="_x0000_s1026" o:spt="1" style="position:absolute;left:5646;top:19685;height:541;width:990;v-text-anchor:middle;" filled="f" stroked="f" coordsize="21600,21600" o:gfxdata="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GBt6ugAAANwA&#10;AAAPAAAAAAAAAAEAIAAAACIAAABkcnMvZG93bnJldi54bWxQSwECFAAUAAAACACHTuJAMy8FnjsA&#10;AAA5AAAAEAAAAAAAAAABACAAAAAJAQAAZHJzL3NoYXBleG1sLnhtbFBLBQYAAAAABgAGAFsBAACz&#10;AwAAAAA=&#10;">
                  <v:fill on="f" focussize="0,0"/>
                  <v:stroke on="f" weight="1pt" miterlimit="8" joinstyle="miter"/>
                  <v:imagedata o:title=""/>
                  <o:lock v:ext="edit" aspectratio="f"/>
                  <v:textbox>
                    <w:txbxContent>
                      <w:p w14:paraId="69CB491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0.3876</w:t>
                        </w:r>
                      </w:p>
                    </w:txbxContent>
                  </v:textbox>
                </v:rect>
                <v:shape id="直接箭头连接符 5" o:spid="_x0000_s1026" o:spt="32" type="#_x0000_t32" style="position:absolute;left:5697;top:20111;height:1;width:907;" filled="f" stroked="t" coordsize="21600,21600" o:gfxdata="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dkHC/&#10;AAAA3A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2" o:spid="_x0000_s1026" o:spt="1" style="position:absolute;left:5646;top:19092;height:541;width:990;v-text-anchor:middle;" filled="f" stroked="f" coordsize="21600,21600" o:gfxdata="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yoUN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5207B2B6">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1.5541</w:t>
                        </w:r>
                      </w:p>
                    </w:txbxContent>
                  </v:textbox>
                </v:rect>
                <v:shape id="直接箭头连接符 5" o:spid="_x0000_s1026" o:spt="32" type="#_x0000_t32" style="position:absolute;left:5697;top:19518;height:1;width:907;" filled="f" stroked="t" coordsize="21600,21600" o:gfxdata="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oz6L4A&#10;AADc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4361;top:18529;height:541;width:1229;v-text-anchor:middle;" filled="f" stroked="f" coordsize="21600,21600" o:gfxdata="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b7ji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7DCAD88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v:textbox>
                </v:rect>
                <v:rect id="矩形 42" o:spid="_x0000_s1026" o:spt="1" style="position:absolute;left:4406;top:20509;height:541;width:1005;v-text-anchor:middle;" filled="f" stroked="f" coordsize="21600,21600" o:gfxdata="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9JpW8AAAA&#10;3A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286B1E1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v:textbox>
                </v:rect>
                <v:rect id="矩形 42" o:spid="_x0000_s1026" o:spt="1" style="position:absolute;left:6462;top:19234;height:541;width:900;v-text-anchor:middle;" filled="f" stroked="f" coordsize="21600,21600" o:gfxdata="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8YMO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3EB1AB5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v:textbox>
                </v:rect>
                <v:rect id="矩形 42" o:spid="_x0000_s1026" o:spt="1" style="position:absolute;left:6476;top:19849;height:541;width:1215;v-text-anchor:middle;" filled="f" stroked="f" coordsize="21600,21600" o:gfxdata="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bhd8ugAAANwA&#10;AAAPAAAAAAAAAAEAIAAAACIAAABkcnMvZG93bnJldi54bWxQSwECFAAUAAAACACHTuJAMy8FnjsA&#10;AAA5AAAAEAAAAAAAAAABACAAAAAJAQAAZHJzL3NoYXBleG1sLnhtbFBLBQYAAAAABgAGAFsBAACz&#10;AwAAAAA=&#10;">
                  <v:fill on="f" focussize="0,0"/>
                  <v:stroke on="f" weight="1pt" miterlimit="8" joinstyle="miter"/>
                  <v:imagedata o:title=""/>
                  <o:lock v:ext="edit" aspectratio="f"/>
                  <v:textbox>
                    <w:txbxContent>
                      <w:p w14:paraId="04509D04">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v:textbox>
                </v:rect>
              </v:group>
            </w:pict>
          </mc:Fallback>
        </mc:AlternateContent>
      </w:r>
    </w:p>
    <w:p w14:paraId="42BD14E5">
      <w:pPr>
        <w:pStyle w:val="78"/>
        <w:rPr>
          <w:color w:val="FF0000"/>
        </w:rPr>
      </w:pPr>
    </w:p>
    <w:p w14:paraId="6635549B">
      <w:pPr>
        <w:pStyle w:val="78"/>
        <w:rPr>
          <w:color w:val="FF0000"/>
        </w:rPr>
      </w:pPr>
    </w:p>
    <w:p w14:paraId="4F918EEC">
      <w:pPr>
        <w:pStyle w:val="78"/>
        <w:rPr>
          <w:color w:val="FF0000"/>
        </w:rPr>
      </w:pPr>
    </w:p>
    <w:p w14:paraId="50DAEF52">
      <w:pPr>
        <w:pStyle w:val="78"/>
        <w:rPr>
          <w:color w:val="FF0000"/>
        </w:rPr>
      </w:pPr>
    </w:p>
    <w:p w14:paraId="398CB556">
      <w:pPr>
        <w:pStyle w:val="78"/>
        <w:rPr>
          <w:color w:val="FF0000"/>
        </w:rPr>
      </w:pPr>
    </w:p>
    <w:p w14:paraId="44B76DB2">
      <w:pPr>
        <w:pStyle w:val="78"/>
        <w:rPr>
          <w:color w:val="FF0000"/>
        </w:rPr>
      </w:pPr>
    </w:p>
    <w:p w14:paraId="57C8304A">
      <w:pPr>
        <w:pStyle w:val="78"/>
        <w:rPr>
          <w:color w:val="FF0000"/>
        </w:rPr>
      </w:pPr>
    </w:p>
    <w:p w14:paraId="3CDD5026">
      <w:pPr>
        <w:pStyle w:val="78"/>
        <w:rPr>
          <w:color w:val="FF0000"/>
        </w:rPr>
      </w:pPr>
    </w:p>
    <w:p w14:paraId="69743E79">
      <w:pPr>
        <w:pStyle w:val="78"/>
        <w:rPr>
          <w:color w:val="FF0000"/>
        </w:rPr>
      </w:pPr>
    </w:p>
    <w:p w14:paraId="3A34008A">
      <w:pPr>
        <w:pStyle w:val="78"/>
        <w:rPr>
          <w:color w:val="FF0000"/>
        </w:rPr>
      </w:pPr>
    </w:p>
    <w:p w14:paraId="66748A42">
      <w:pPr>
        <w:pStyle w:val="78"/>
        <w:rPr>
          <w:rFonts w:hint="eastAsia" w:ascii="Times New Roman" w:hAnsi="Times New Roman" w:eastAsia="宋体" w:cs="Times New Roman"/>
          <w:b/>
          <w:bCs w:val="0"/>
          <w:color w:val="000000" w:themeColor="text1"/>
          <w14:textFill>
            <w14:solidFill>
              <w14:schemeClr w14:val="tx1"/>
            </w14:solidFill>
          </w14:textFill>
        </w:rPr>
      </w:pPr>
      <w:r>
        <w:rPr>
          <w:rFonts w:hint="eastAsia" w:ascii="Times New Roman" w:hAnsi="Times New Roman" w:eastAsia="宋体" w:cs="Times New Roman"/>
          <w:b/>
          <w:bCs w:val="0"/>
          <w:color w:val="000000" w:themeColor="text1"/>
          <w14:textFill>
            <w14:solidFill>
              <w14:schemeClr w14:val="tx1"/>
            </w14:solidFill>
          </w14:textFill>
        </w:rPr>
        <w:t>图</w:t>
      </w:r>
      <w:r>
        <w:rPr>
          <w:rFonts w:hint="eastAsia" w:cs="Times New Roman"/>
          <w:b/>
          <w:bCs w:val="0"/>
          <w:color w:val="000000" w:themeColor="text1"/>
          <w:lang w:val="en-US" w:eastAsia="zh-CN"/>
          <w14:textFill>
            <w14:solidFill>
              <w14:schemeClr w14:val="tx1"/>
            </w14:solidFill>
          </w14:textFill>
        </w:rPr>
        <w:t>3.3-1</w:t>
      </w:r>
      <w:r>
        <w:rPr>
          <w:rFonts w:hint="eastAsia" w:ascii="Times New Roman" w:hAnsi="Times New Roman" w:eastAsia="宋体" w:cs="Times New Roman"/>
          <w:b/>
          <w:bCs w:val="0"/>
          <w:color w:val="000000" w:themeColor="text1"/>
          <w14:textFill>
            <w14:solidFill>
              <w14:schemeClr w14:val="tx1"/>
            </w14:solidFill>
          </w14:textFill>
        </w:rPr>
        <w:t xml:space="preserve">           电池钢壳镍平衡图          单位：t/a</w:t>
      </w:r>
    </w:p>
    <w:p w14:paraId="28A01CC9">
      <w:pPr>
        <w:pStyle w:val="78"/>
        <w:numPr>
          <w:ilvl w:val="0"/>
          <w:numId w:val="3"/>
        </w:numPr>
        <w:ind w:left="-2" w:leftChars="0" w:firstLine="482" w:firstLineChars="0"/>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盖帽</w:t>
      </w:r>
      <w:r>
        <w:rPr>
          <w:rFonts w:hint="eastAsia"/>
          <w:color w:val="000000" w:themeColor="text1"/>
          <w14:textFill>
            <w14:solidFill>
              <w14:schemeClr w14:val="tx1"/>
            </w14:solidFill>
          </w14:textFill>
        </w:rPr>
        <w:t>生产线</w:t>
      </w:r>
    </w:p>
    <w:p w14:paraId="3A5228CB">
      <w:pPr>
        <w:pStyle w:val="141"/>
        <w:numPr>
          <w:ilvl w:val="0"/>
          <w:numId w:val="0"/>
        </w:numPr>
        <w:ind w:firstLine="480" w:firstLineChars="200"/>
        <w:jc w:val="both"/>
        <w:rPr>
          <w:b w:val="0"/>
          <w:bCs/>
          <w:color w:val="000000" w:themeColor="text1"/>
          <w:highlight w:val="none"/>
          <w14:textFill>
            <w14:solidFill>
              <w14:schemeClr w14:val="tx1"/>
            </w14:solidFill>
          </w14:textFill>
        </w:rPr>
      </w:pPr>
      <w:r>
        <w:rPr>
          <w:rFonts w:hint="eastAsia"/>
          <w:b w:val="0"/>
          <w:bCs/>
          <w:color w:val="000000" w:themeColor="text1"/>
          <w:highlight w:val="none"/>
          <w:lang w:val="en-US" w:eastAsia="zh-CN"/>
          <w14:textFill>
            <w14:solidFill>
              <w14:schemeClr w14:val="tx1"/>
            </w14:solidFill>
          </w14:textFill>
        </w:rPr>
        <w:t>盖帽</w:t>
      </w:r>
      <w:r>
        <w:rPr>
          <w:rFonts w:hint="eastAsia"/>
          <w:b w:val="0"/>
          <w:bCs/>
          <w:color w:val="000000" w:themeColor="text1"/>
          <w:highlight w:val="none"/>
          <w14:textFill>
            <w14:solidFill>
              <w14:schemeClr w14:val="tx1"/>
            </w14:solidFill>
          </w14:textFill>
        </w:rPr>
        <w:t>生产线</w:t>
      </w:r>
      <w:r>
        <w:rPr>
          <w:b w:val="0"/>
          <w:bCs/>
          <w:color w:val="000000" w:themeColor="text1"/>
          <w:highlight w:val="none"/>
          <w14:textFill>
            <w14:solidFill>
              <w14:schemeClr w14:val="tx1"/>
            </w14:solidFill>
          </w14:textFill>
        </w:rPr>
        <w:t>镀镍涉及到镍的原料主要为镍板、硫酸镍和氯化镍，电镀后镍主要去向为产品</w:t>
      </w:r>
      <w:r>
        <w:rPr>
          <w:rFonts w:hint="eastAsia"/>
          <w:b w:val="0"/>
          <w:bCs/>
          <w:color w:val="000000" w:themeColor="text1"/>
          <w:highlight w:val="none"/>
          <w14:textFill>
            <w14:solidFill>
              <w14:schemeClr w14:val="tx1"/>
            </w14:solidFill>
          </w14:textFill>
        </w:rPr>
        <w:t>消耗</w:t>
      </w:r>
      <w:r>
        <w:rPr>
          <w:b w:val="0"/>
          <w:bCs/>
          <w:color w:val="000000" w:themeColor="text1"/>
          <w:highlight w:val="none"/>
          <w14:textFill>
            <w14:solidFill>
              <w14:schemeClr w14:val="tx1"/>
            </w14:solidFill>
          </w14:textFill>
        </w:rPr>
        <w:t>、废槽渣、</w:t>
      </w:r>
      <w:r>
        <w:rPr>
          <w:rFonts w:hint="eastAsia"/>
          <w:b w:val="0"/>
          <w:bCs/>
          <w:color w:val="000000" w:themeColor="text1"/>
          <w:highlight w:val="none"/>
          <w14:textFill>
            <w14:solidFill>
              <w14:schemeClr w14:val="tx1"/>
            </w14:solidFill>
          </w14:textFill>
        </w:rPr>
        <w:t>含镍污泥</w:t>
      </w:r>
      <w:r>
        <w:rPr>
          <w:b w:val="0"/>
          <w:bCs/>
          <w:color w:val="000000" w:themeColor="text1"/>
          <w:highlight w:val="none"/>
          <w14:textFill>
            <w14:solidFill>
              <w14:schemeClr w14:val="tx1"/>
            </w14:solidFill>
          </w14:textFill>
        </w:rPr>
        <w:t>、蒸发浓液。</w:t>
      </w:r>
    </w:p>
    <w:p w14:paraId="7CF3D453">
      <w:pPr>
        <w:pStyle w:val="141"/>
        <w:numPr>
          <w:ilvl w:val="0"/>
          <w:numId w:val="0"/>
        </w:numPr>
        <w:ind w:firstLine="480" w:firstLineChars="200"/>
        <w:jc w:val="both"/>
        <w:rPr>
          <w:b w:val="0"/>
          <w:bCs/>
          <w:color w:val="000000" w:themeColor="text1"/>
          <w:highlight w:val="none"/>
          <w14:textFill>
            <w14:solidFill>
              <w14:schemeClr w14:val="tx1"/>
            </w14:solidFill>
          </w14:textFill>
        </w:rPr>
      </w:pPr>
      <w:r>
        <w:rPr>
          <w:b w:val="0"/>
          <w:bCs/>
          <w:color w:val="000000" w:themeColor="text1"/>
          <w:highlight w:val="none"/>
          <w14:textFill>
            <w14:solidFill>
              <w14:schemeClr w14:val="tx1"/>
            </w14:solidFill>
          </w14:textFill>
        </w:rPr>
        <w:t>本项目</w:t>
      </w:r>
      <w:r>
        <w:rPr>
          <w:rFonts w:hint="eastAsia"/>
          <w:b w:val="0"/>
          <w:bCs/>
          <w:color w:val="000000" w:themeColor="text1"/>
          <w:highlight w:val="none"/>
          <w:lang w:val="en-US" w:eastAsia="zh-CN"/>
          <w14:textFill>
            <w14:solidFill>
              <w14:schemeClr w14:val="tx1"/>
            </w14:solidFill>
          </w14:textFill>
        </w:rPr>
        <w:t>盖帽</w:t>
      </w:r>
      <w:r>
        <w:rPr>
          <w:rFonts w:hint="eastAsia"/>
          <w:b w:val="0"/>
          <w:bCs/>
          <w:color w:val="000000" w:themeColor="text1"/>
          <w:highlight w:val="none"/>
          <w14:textFill>
            <w14:solidFill>
              <w14:schemeClr w14:val="tx1"/>
            </w14:solidFill>
          </w14:textFill>
        </w:rPr>
        <w:t>生产线</w:t>
      </w:r>
      <w:r>
        <w:rPr>
          <w:b w:val="0"/>
          <w:bCs/>
          <w:color w:val="000000" w:themeColor="text1"/>
          <w:highlight w:val="none"/>
          <w14:textFill>
            <w14:solidFill>
              <w14:schemeClr w14:val="tx1"/>
            </w14:solidFill>
          </w14:textFill>
        </w:rPr>
        <w:t>镍元素平衡见</w:t>
      </w:r>
      <w:r>
        <w:rPr>
          <w:rFonts w:hint="eastAsia"/>
          <w:b w:val="0"/>
          <w:bCs/>
          <w:color w:val="000000" w:themeColor="text1"/>
          <w:highlight w:val="none"/>
          <w14:textFill>
            <w14:solidFill>
              <w14:schemeClr w14:val="tx1"/>
            </w14:solidFill>
          </w14:textFill>
        </w:rPr>
        <w:t>下表及图</w:t>
      </w:r>
      <w:r>
        <w:rPr>
          <w:b w:val="0"/>
          <w:bCs/>
          <w:color w:val="000000" w:themeColor="text1"/>
          <w:highlight w:val="none"/>
          <w14:textFill>
            <w14:solidFill>
              <w14:schemeClr w14:val="tx1"/>
            </w14:solidFill>
          </w14:textFill>
        </w:rPr>
        <w:t>。</w:t>
      </w:r>
    </w:p>
    <w:p w14:paraId="3125798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lang w:val="en-US" w:eastAsia="zh-CN"/>
        </w:rPr>
      </w:pPr>
      <w:r>
        <w:rPr>
          <w:rFonts w:hint="eastAsia"/>
          <w:highlight w:val="none"/>
          <w:lang w:val="en-US" w:eastAsia="zh-CN"/>
        </w:rPr>
        <w:t>表3.3-3    本项目盖帽生产线镍元素物料平衡表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60"/>
        <w:gridCol w:w="1422"/>
        <w:gridCol w:w="711"/>
        <w:gridCol w:w="996"/>
        <w:gridCol w:w="1280"/>
        <w:gridCol w:w="1140"/>
        <w:gridCol w:w="1222"/>
      </w:tblGrid>
      <w:tr w14:paraId="1D623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5941" w:type="dxa"/>
            <w:gridSpan w:val="5"/>
            <w:vAlign w:val="center"/>
          </w:tcPr>
          <w:p w14:paraId="05B3EFD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w:t>
            </w:r>
          </w:p>
        </w:tc>
        <w:tc>
          <w:tcPr>
            <w:tcW w:w="2351" w:type="dxa"/>
            <w:gridSpan w:val="2"/>
            <w:vAlign w:val="center"/>
          </w:tcPr>
          <w:p w14:paraId="6303A1C7">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产出</w:t>
            </w:r>
          </w:p>
        </w:tc>
      </w:tr>
      <w:tr w14:paraId="3B42C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5BF2F673">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物料名称</w:t>
            </w:r>
          </w:p>
        </w:tc>
        <w:tc>
          <w:tcPr>
            <w:tcW w:w="1415" w:type="dxa"/>
            <w:vAlign w:val="center"/>
          </w:tcPr>
          <w:p w14:paraId="12E589CC">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投入量（t/a）</w:t>
            </w:r>
          </w:p>
        </w:tc>
        <w:tc>
          <w:tcPr>
            <w:tcW w:w="708" w:type="dxa"/>
            <w:vAlign w:val="center"/>
          </w:tcPr>
          <w:p w14:paraId="0AE41FCB">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纯度</w:t>
            </w:r>
          </w:p>
        </w:tc>
        <w:tc>
          <w:tcPr>
            <w:tcW w:w="991" w:type="dxa"/>
            <w:vAlign w:val="center"/>
          </w:tcPr>
          <w:p w14:paraId="6CA4699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镍含量</w:t>
            </w:r>
          </w:p>
        </w:tc>
        <w:tc>
          <w:tcPr>
            <w:tcW w:w="1274" w:type="dxa"/>
            <w:vAlign w:val="center"/>
          </w:tcPr>
          <w:p w14:paraId="7A72A9B4">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镍量（t/a）</w:t>
            </w:r>
          </w:p>
        </w:tc>
        <w:tc>
          <w:tcPr>
            <w:tcW w:w="1135" w:type="dxa"/>
            <w:vAlign w:val="center"/>
          </w:tcPr>
          <w:p w14:paraId="1BE549EA">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名称</w:t>
            </w:r>
          </w:p>
        </w:tc>
        <w:tc>
          <w:tcPr>
            <w:tcW w:w="1216" w:type="dxa"/>
            <w:vAlign w:val="center"/>
          </w:tcPr>
          <w:p w14:paraId="465162A9">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镍量（t/a）</w:t>
            </w:r>
          </w:p>
        </w:tc>
      </w:tr>
      <w:tr w14:paraId="432E5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0AD6C68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镍板</w:t>
            </w:r>
          </w:p>
        </w:tc>
        <w:tc>
          <w:tcPr>
            <w:tcW w:w="1415" w:type="dxa"/>
            <w:vAlign w:val="center"/>
          </w:tcPr>
          <w:p w14:paraId="6C89CF26">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127.5</w:t>
            </w:r>
          </w:p>
        </w:tc>
        <w:tc>
          <w:tcPr>
            <w:tcW w:w="708" w:type="dxa"/>
            <w:vAlign w:val="center"/>
          </w:tcPr>
          <w:p w14:paraId="7DDCDCE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99.9%</w:t>
            </w:r>
          </w:p>
        </w:tc>
        <w:tc>
          <w:tcPr>
            <w:tcW w:w="991" w:type="dxa"/>
            <w:vAlign w:val="center"/>
          </w:tcPr>
          <w:p w14:paraId="1D13DD7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100%</w:t>
            </w:r>
          </w:p>
        </w:tc>
        <w:tc>
          <w:tcPr>
            <w:tcW w:w="1274" w:type="dxa"/>
            <w:vAlign w:val="center"/>
          </w:tcPr>
          <w:p w14:paraId="1E23093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127.3725</w:t>
            </w:r>
          </w:p>
        </w:tc>
        <w:tc>
          <w:tcPr>
            <w:tcW w:w="1135" w:type="dxa"/>
            <w:vAlign w:val="center"/>
          </w:tcPr>
          <w:p w14:paraId="4124B88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产品</w:t>
            </w:r>
            <w:r>
              <w:rPr>
                <w:rFonts w:hint="eastAsia" w:eastAsia="宋体" w:cs="Times New Roman"/>
                <w:color w:val="000000" w:themeColor="text1"/>
                <w:kern w:val="21"/>
                <w:sz w:val="21"/>
                <w:szCs w:val="21"/>
                <w:highlight w:val="none"/>
                <w14:textFill>
                  <w14:solidFill>
                    <w14:schemeClr w14:val="tx1"/>
                  </w14:solidFill>
                </w14:textFill>
              </w:rPr>
              <w:t>消耗</w:t>
            </w:r>
          </w:p>
        </w:tc>
        <w:tc>
          <w:tcPr>
            <w:tcW w:w="1216" w:type="dxa"/>
            <w:vAlign w:val="center"/>
          </w:tcPr>
          <w:p w14:paraId="38C6F19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auto"/>
                <w:kern w:val="21"/>
                <w:sz w:val="21"/>
                <w:szCs w:val="21"/>
                <w:highlight w:val="none"/>
              </w:rPr>
              <w:t>128.1888</w:t>
            </w:r>
          </w:p>
        </w:tc>
      </w:tr>
      <w:tr w14:paraId="77E43C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64C70F0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硫酸镍</w:t>
            </w:r>
            <w:r>
              <w:rPr>
                <w:rFonts w:eastAsia="Times New Roman" w:cs="Times New Roman"/>
                <w:color w:val="000000" w:themeColor="text1"/>
                <w:kern w:val="21"/>
                <w:sz w:val="21"/>
                <w:highlight w:val="none"/>
                <w14:textFill>
                  <w14:solidFill>
                    <w14:schemeClr w14:val="tx1"/>
                  </w14:solidFill>
                </w14:textFill>
              </w:rPr>
              <w:t>NiSO</w:t>
            </w:r>
            <w:r>
              <w:rPr>
                <w:rFonts w:eastAsia="Times New Roman" w:cs="Times New Roman"/>
                <w:color w:val="000000" w:themeColor="text1"/>
                <w:kern w:val="21"/>
                <w:sz w:val="14"/>
                <w:highlight w:val="none"/>
                <w14:textFill>
                  <w14:solidFill>
                    <w14:schemeClr w14:val="tx1"/>
                  </w14:solidFill>
                </w14:textFill>
              </w:rPr>
              <w:t>4</w:t>
            </w:r>
            <w:r>
              <w:rPr>
                <w:rFonts w:eastAsia="Times New Roman" w:cs="Times New Roman"/>
                <w:color w:val="000000" w:themeColor="text1"/>
                <w:kern w:val="21"/>
                <w:sz w:val="21"/>
                <w:highlight w:val="none"/>
                <w14:textFill>
                  <w14:solidFill>
                    <w14:schemeClr w14:val="tx1"/>
                  </w14:solidFill>
                </w14:textFill>
              </w:rPr>
              <w:t>·6H</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O</w:t>
            </w:r>
          </w:p>
        </w:tc>
        <w:tc>
          <w:tcPr>
            <w:tcW w:w="1415" w:type="dxa"/>
            <w:vAlign w:val="center"/>
          </w:tcPr>
          <w:p w14:paraId="4398A3F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20.2</w:t>
            </w:r>
          </w:p>
        </w:tc>
        <w:tc>
          <w:tcPr>
            <w:tcW w:w="708" w:type="dxa"/>
            <w:vAlign w:val="center"/>
          </w:tcPr>
          <w:p w14:paraId="51D5F59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95%</w:t>
            </w:r>
          </w:p>
        </w:tc>
        <w:tc>
          <w:tcPr>
            <w:tcW w:w="991" w:type="dxa"/>
            <w:vAlign w:val="center"/>
          </w:tcPr>
          <w:p w14:paraId="183BA60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22.33%</w:t>
            </w:r>
          </w:p>
        </w:tc>
        <w:tc>
          <w:tcPr>
            <w:tcW w:w="1274" w:type="dxa"/>
            <w:vAlign w:val="center"/>
          </w:tcPr>
          <w:p w14:paraId="435D444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4.2851</w:t>
            </w:r>
          </w:p>
        </w:tc>
        <w:tc>
          <w:tcPr>
            <w:tcW w:w="1135" w:type="dxa"/>
            <w:vAlign w:val="center"/>
          </w:tcPr>
          <w:p w14:paraId="6C10C9DB">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废槽渣</w:t>
            </w:r>
          </w:p>
        </w:tc>
        <w:tc>
          <w:tcPr>
            <w:tcW w:w="1216" w:type="dxa"/>
            <w:vAlign w:val="center"/>
          </w:tcPr>
          <w:p w14:paraId="5B1CB8A3">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1.8168</w:t>
            </w:r>
          </w:p>
        </w:tc>
      </w:tr>
      <w:tr w14:paraId="4B90A8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09F4BACF">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氯化镍</w:t>
            </w:r>
            <w:r>
              <w:rPr>
                <w:rFonts w:eastAsia="Times New Roman" w:cs="Times New Roman"/>
                <w:color w:val="000000" w:themeColor="text1"/>
                <w:kern w:val="21"/>
                <w:sz w:val="21"/>
                <w:highlight w:val="none"/>
                <w14:textFill>
                  <w14:solidFill>
                    <w14:schemeClr w14:val="tx1"/>
                  </w14:solidFill>
                </w14:textFill>
              </w:rPr>
              <w:t>NiCl</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·6H</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O</w:t>
            </w:r>
          </w:p>
        </w:tc>
        <w:tc>
          <w:tcPr>
            <w:tcW w:w="1415" w:type="dxa"/>
            <w:vAlign w:val="center"/>
          </w:tcPr>
          <w:p w14:paraId="0CAF3DC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6.7</w:t>
            </w:r>
          </w:p>
        </w:tc>
        <w:tc>
          <w:tcPr>
            <w:tcW w:w="708" w:type="dxa"/>
            <w:vAlign w:val="center"/>
          </w:tcPr>
          <w:p w14:paraId="39E236C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95%</w:t>
            </w:r>
          </w:p>
        </w:tc>
        <w:tc>
          <w:tcPr>
            <w:tcW w:w="991" w:type="dxa"/>
            <w:vAlign w:val="center"/>
          </w:tcPr>
          <w:p w14:paraId="365BC28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24.69%</w:t>
            </w:r>
          </w:p>
        </w:tc>
        <w:tc>
          <w:tcPr>
            <w:tcW w:w="1274" w:type="dxa"/>
            <w:vAlign w:val="center"/>
          </w:tcPr>
          <w:p w14:paraId="7941F61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1.5715</w:t>
            </w:r>
          </w:p>
        </w:tc>
        <w:tc>
          <w:tcPr>
            <w:tcW w:w="1135" w:type="dxa"/>
            <w:vAlign w:val="center"/>
          </w:tcPr>
          <w:p w14:paraId="728B2D7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含镍污泥</w:t>
            </w:r>
          </w:p>
        </w:tc>
        <w:tc>
          <w:tcPr>
            <w:tcW w:w="1216" w:type="dxa"/>
            <w:vAlign w:val="center"/>
          </w:tcPr>
          <w:p w14:paraId="605C2F55">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2.5918</w:t>
            </w:r>
          </w:p>
        </w:tc>
      </w:tr>
      <w:tr w14:paraId="22EF38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079DCB97">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415" w:type="dxa"/>
            <w:vAlign w:val="center"/>
          </w:tcPr>
          <w:p w14:paraId="4B980817">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08" w:type="dxa"/>
            <w:vAlign w:val="center"/>
          </w:tcPr>
          <w:p w14:paraId="227B48F4">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1" w:type="dxa"/>
            <w:vAlign w:val="center"/>
          </w:tcPr>
          <w:p w14:paraId="6EAA7003">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74" w:type="dxa"/>
            <w:vAlign w:val="center"/>
          </w:tcPr>
          <w:p w14:paraId="1B9805D9">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135" w:type="dxa"/>
            <w:vAlign w:val="center"/>
          </w:tcPr>
          <w:p w14:paraId="322518E5">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蒸发浓液</w:t>
            </w:r>
          </w:p>
        </w:tc>
        <w:tc>
          <w:tcPr>
            <w:tcW w:w="1216" w:type="dxa"/>
            <w:vAlign w:val="center"/>
          </w:tcPr>
          <w:p w14:paraId="5438D278">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0.6317</w:t>
            </w:r>
          </w:p>
        </w:tc>
      </w:tr>
      <w:tr w14:paraId="6F4A6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3" w:type="dxa"/>
            <w:vAlign w:val="center"/>
          </w:tcPr>
          <w:p w14:paraId="4E4A4C5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合计</w:t>
            </w:r>
          </w:p>
        </w:tc>
        <w:tc>
          <w:tcPr>
            <w:tcW w:w="1415" w:type="dxa"/>
            <w:vAlign w:val="center"/>
          </w:tcPr>
          <w:p w14:paraId="135EADF3">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08" w:type="dxa"/>
            <w:vAlign w:val="center"/>
          </w:tcPr>
          <w:p w14:paraId="3243F3AF">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1" w:type="dxa"/>
            <w:vAlign w:val="center"/>
          </w:tcPr>
          <w:p w14:paraId="73E84116">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74" w:type="dxa"/>
            <w:vAlign w:val="center"/>
          </w:tcPr>
          <w:p w14:paraId="3015D1E5">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133.2291</w:t>
            </w:r>
          </w:p>
        </w:tc>
        <w:tc>
          <w:tcPr>
            <w:tcW w:w="1135" w:type="dxa"/>
            <w:vAlign w:val="center"/>
          </w:tcPr>
          <w:p w14:paraId="5021FD0E">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216" w:type="dxa"/>
            <w:vAlign w:val="center"/>
          </w:tcPr>
          <w:p w14:paraId="42F5EB2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133.2291</w:t>
            </w:r>
          </w:p>
        </w:tc>
      </w:tr>
    </w:tbl>
    <w:p w14:paraId="6CEC3F13">
      <w:pPr>
        <w:spacing w:line="240" w:lineRule="auto"/>
        <w:ind w:firstLine="0" w:firstLineChars="0"/>
        <w:jc w:val="center"/>
        <w:rPr>
          <w:color w:val="FF0000"/>
        </w:rPr>
      </w:pPr>
      <w:r>
        <w:rPr>
          <w:rFonts w:ascii="Calibri" w:hAnsi="Calibri"/>
          <w:kern w:val="2"/>
          <w:sz w:val="21"/>
          <w:szCs w:val="24"/>
        </w:rPr>
        <mc:AlternateContent>
          <mc:Choice Requires="wpg">
            <w:drawing>
              <wp:anchor distT="0" distB="0" distL="114300" distR="114300" simplePos="0" relativeHeight="251703296" behindDoc="0" locked="0" layoutInCell="1" allowOverlap="1">
                <wp:simplePos x="0" y="0"/>
                <wp:positionH relativeFrom="column">
                  <wp:posOffset>704850</wp:posOffset>
                </wp:positionH>
                <wp:positionV relativeFrom="paragraph">
                  <wp:posOffset>91440</wp:posOffset>
                </wp:positionV>
                <wp:extent cx="3951605" cy="1677035"/>
                <wp:effectExtent l="0" t="0" r="0" b="18415"/>
                <wp:wrapNone/>
                <wp:docPr id="29" name="组合 29"/>
                <wp:cNvGraphicFramePr/>
                <a:graphic xmlns:a="http://schemas.openxmlformats.org/drawingml/2006/main">
                  <a:graphicData uri="http://schemas.microsoft.com/office/word/2010/wordprocessingGroup">
                    <wpg:wgp>
                      <wpg:cNvGrpSpPr/>
                      <wpg:grpSpPr>
                        <a:xfrm>
                          <a:off x="752475" y="638175"/>
                          <a:ext cx="3951605" cy="1677035"/>
                          <a:chOff x="1468" y="18409"/>
                          <a:chExt cx="6223" cy="2641"/>
                        </a:xfrm>
                      </wpg:grpSpPr>
                      <wps:wsp>
                        <wps:cNvPr id="32" name="矩形 42"/>
                        <wps:cNvSpPr/>
                        <wps:spPr>
                          <a:xfrm>
                            <a:off x="1961" y="19369"/>
                            <a:ext cx="112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852A44D">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133.2291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 name="矩形 42"/>
                        <wps:cNvSpPr/>
                        <wps:spPr>
                          <a:xfrm>
                            <a:off x="1468" y="19414"/>
                            <a:ext cx="795" cy="840"/>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4F7175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 name="矩形 4"/>
                        <wps:cNvSpPr/>
                        <wps:spPr>
                          <a:xfrm>
                            <a:off x="4459" y="19291"/>
                            <a:ext cx="1230" cy="979"/>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2880C54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 name="直接箭头连接符 5"/>
                        <wps:cNvCnPr/>
                        <wps:spPr>
                          <a:xfrm>
                            <a:off x="2089" y="19870"/>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44" name="矩形 4"/>
                        <wps:cNvSpPr/>
                        <wps:spPr>
                          <a:xfrm>
                            <a:off x="2987" y="18586"/>
                            <a:ext cx="556" cy="2433"/>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1D0A9D4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 name="矩形 42"/>
                        <wps:cNvSpPr/>
                        <wps:spPr>
                          <a:xfrm>
                            <a:off x="3487" y="18409"/>
                            <a:ext cx="1124"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7EA0129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128.1888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 name="直接箭头连接符 5"/>
                        <wps:cNvCnPr/>
                        <wps:spPr>
                          <a:xfrm>
                            <a:off x="3552" y="18835"/>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50" name="矩形 42"/>
                        <wps:cNvSpPr/>
                        <wps:spPr>
                          <a:xfrm>
                            <a:off x="3501" y="19407"/>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2C13B2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3.2235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直接箭头连接符 5"/>
                        <wps:cNvCnPr/>
                        <wps:spPr>
                          <a:xfrm>
                            <a:off x="3552" y="19833"/>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52" name="矩形 42"/>
                        <wps:cNvSpPr/>
                        <wps:spPr>
                          <a:xfrm>
                            <a:off x="3501" y="2040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D1D72C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1.8168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4" name="直接箭头连接符 5"/>
                        <wps:cNvCnPr/>
                        <wps:spPr>
                          <a:xfrm>
                            <a:off x="3552" y="2083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55" name="矩形 42"/>
                        <wps:cNvSpPr/>
                        <wps:spPr>
                          <a:xfrm>
                            <a:off x="5646" y="1968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D93F6F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0.6317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直接箭头连接符 5"/>
                        <wps:cNvCnPr/>
                        <wps:spPr>
                          <a:xfrm>
                            <a:off x="5697" y="2011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57" name="矩形 42"/>
                        <wps:cNvSpPr/>
                        <wps:spPr>
                          <a:xfrm>
                            <a:off x="5646" y="19092"/>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AEF5E25">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2.5918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直接箭头连接符 5"/>
                        <wps:cNvCnPr/>
                        <wps:spPr>
                          <a:xfrm>
                            <a:off x="5697" y="19518"/>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63" name="矩形 42"/>
                        <wps:cNvSpPr/>
                        <wps:spPr>
                          <a:xfrm>
                            <a:off x="4361" y="18529"/>
                            <a:ext cx="1229"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B09C6F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4" name="矩形 42"/>
                        <wps:cNvSpPr/>
                        <wps:spPr>
                          <a:xfrm>
                            <a:off x="4406" y="20509"/>
                            <a:ext cx="100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35635D7">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5" name="矩形 42"/>
                        <wps:cNvSpPr/>
                        <wps:spPr>
                          <a:xfrm>
                            <a:off x="6462" y="19234"/>
                            <a:ext cx="90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2458214B">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矩形 42"/>
                        <wps:cNvSpPr/>
                        <wps:spPr>
                          <a:xfrm>
                            <a:off x="6476" y="19849"/>
                            <a:ext cx="121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4586DA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5.5pt;margin-top:7.2pt;height:132.05pt;width:311.15pt;z-index:251703296;mso-width-relative:page;mso-height-relative:page;" coordorigin="1468,18409" coordsize="6223,2641" o:gfxdata="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IQGPlHaAAAACgEAAA8AAAAAAAAAAQAgAAAAIgAAAGRycy9kb3du&#10;cmV2LnhtbFBLAQIUABQAAAAIAIdO4kDK/9LujQUAAEo1AAAOAAAAAAAAAAEAIAAAACkBAABkcnMv&#10;ZTJvRG9jLnhtbFBLBQYAAAAABgAGAFkBAAAoCQAAAAA=&#10;">
                <o:lock v:ext="edit" aspectratio="f"/>
                <v:rect id="矩形 42" o:spid="_x0000_s1026" o:spt="1" style="position:absolute;left:1961;top:19369;height:541;width:1125;v-text-anchor:middle;" filled="f" stroked="f" coordsize="21600,21600" o:gfxdata="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MIOu8AAAA&#10;2w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0852A44D">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133.2291</w:t>
                        </w:r>
                      </w:p>
                    </w:txbxContent>
                  </v:textbox>
                </v:rect>
                <v:rect id="矩形 42" o:spid="_x0000_s1026" o:spt="1" style="position:absolute;left:1468;top:19414;height:840;width:795;v-text-anchor:middle;" filled="f" stroked="f" coordsize="21600,21600" o:gfxdata="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W4n7sAAADb&#10;AAAADwAAAAAAAAABACAAAAAiAAAAZHJzL2Rvd25yZXYueG1sUEsBAhQAFAAAAAgAh07iQDMvBZ47&#10;AAAAOQAAABAAAAAAAAAAAQAgAAAACgEAAGRycy9zaGFwZXhtbC54bWxQSwUGAAAAAAYABgBbAQAA&#10;tAMAAAAA&#10;">
                  <v:fill on="f" focussize="0,0"/>
                  <v:stroke on="f" weight="1pt" miterlimit="8" joinstyle="miter"/>
                  <v:imagedata o:title=""/>
                  <o:lock v:ext="edit" aspectratio="f"/>
                  <v:textbox>
                    <w:txbxContent>
                      <w:p w14:paraId="34F7175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v:textbox>
                </v:rect>
                <v:rect id="矩形 4" o:spid="_x0000_s1026" o:spt="1" style="position:absolute;left:4459;top:19291;height:979;width:1230;v-text-anchor:middle;" filled="f" stroked="t" coordsize="21600,21600" o:gfxdata="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LRaCb4A&#10;AADbAAAADwAAAAAAAAABACAAAAAiAAAAZHJzL2Rvd25yZXYueG1sUEsBAhQAFAAAAAgAh07iQDMv&#10;BZ47AAAAOQAAABAAAAAAAAAAAQAgAAAADQEAAGRycy9zaGFwZXhtbC54bWxQSwUGAAAAAAYABgBb&#10;AQAAtwMAAAAA&#10;">
                  <v:fill on="f" focussize="0,0"/>
                  <v:stroke weight="1pt" color="#000000 [2404]" miterlimit="8" joinstyle="miter"/>
                  <v:imagedata o:title=""/>
                  <o:lock v:ext="edit" aspectratio="f"/>
                  <v:textbox>
                    <w:txbxContent>
                      <w:p w14:paraId="2880C54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v:textbox>
                </v:rect>
                <v:shape id="直接箭头连接符 5" o:spid="_x0000_s1026" o:spt="32" type="#_x0000_t32" style="position:absolute;left:2089;top:19870;height:1;width:907;" filled="f" stroked="t" coordsize="21600,21600" o:gfxdata="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ByS7sAAADb&#10;AAAADwAAAAAAAAABACAAAAAiAAAAZHJzL2Rvd25yZXYueG1sUEsBAhQAFAAAAAgAh07iQDMvBZ47&#10;AAAAOQAAABAAAAAAAAAAAQAgAAAACgEAAGRycy9zaGFwZXhtbC54bWxQSwUGAAAAAAYABgBbAQAA&#10;tAMAAAAA&#10;">
                  <v:fill on="f" focussize="0,0"/>
                  <v:stroke weight="1pt" color="#000000 [3204]" miterlimit="8" joinstyle="miter" endarrow="block"/>
                  <v:imagedata o:title=""/>
                  <o:lock v:ext="edit" aspectratio="f"/>
                </v:shape>
                <v:rect id="矩形 4" o:spid="_x0000_s1026" o:spt="1" style="position:absolute;left:2987;top:18586;height:2433;width:556;v-text-anchor:middle;" filled="f" stroked="t" coordsize="21600,21600" o:gfxdata="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YLcDvQAA&#10;ANsAAAAPAAAAAAAAAAEAIAAAACIAAABkcnMvZG93bnJldi54bWxQSwECFAAUAAAACACHTuJAMy8F&#10;njsAAAA5AAAAEAAAAAAAAAABACAAAAAMAQAAZHJzL3NoYXBleG1sLnhtbFBLBQYAAAAABgAGAFsB&#10;AAC2AwAAAAA=&#10;">
                  <v:fill on="f" focussize="0,0"/>
                  <v:stroke weight="1pt" color="#000000 [2404]" miterlimit="8" joinstyle="miter"/>
                  <v:imagedata o:title=""/>
                  <o:lock v:ext="edit" aspectratio="f"/>
                  <v:textbox>
                    <w:txbxContent>
                      <w:p w14:paraId="1D0A9D4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v:textbox>
                </v:rect>
                <v:rect id="矩形 42" o:spid="_x0000_s1026" o:spt="1" style="position:absolute;left:3487;top:18409;height:541;width:1124;v-text-anchor:middle;" filled="f" stroked="f" coordsize="21600,21600" o:gfxdata="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8VWVvQAA&#10;ANs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7EA0129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128.1888</w:t>
                        </w:r>
                      </w:p>
                    </w:txbxContent>
                  </v:textbox>
                </v:rect>
                <v:shape id="直接箭头连接符 5" o:spid="_x0000_s1026" o:spt="32" type="#_x0000_t32" style="position:absolute;left:3552;top:18835;height:1;width:907;" filled="f" stroked="t" coordsize="21600,21600" o:gfxdata="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EplUS/&#10;AAAA2w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2" o:spid="_x0000_s1026" o:spt="1" style="position:absolute;left:3501;top:19407;height:541;width:990;v-text-anchor:middle;" filled="f" stroked="f" coordsize="21600,21600" o:gfxdata="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WN/qe5AAAA2wAA&#10;AA8AAAAAAAAAAQAgAAAAIgAAAGRycy9kb3ducmV2LnhtbFBLAQIUABQAAAAIAIdO4kAzLwWeOwAA&#10;ADkAAAAQAAAAAAAAAAEAIAAAAAgBAABkcnMvc2hhcGV4bWwueG1sUEsFBgAAAAAGAAYAWwEAALID&#10;AAAAAA==&#10;">
                  <v:fill on="f" focussize="0,0"/>
                  <v:stroke on="f" weight="1pt" miterlimit="8" joinstyle="miter"/>
                  <v:imagedata o:title=""/>
                  <o:lock v:ext="edit" aspectratio="f"/>
                  <v:textbox>
                    <w:txbxContent>
                      <w:p w14:paraId="02C13B2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3.2235</w:t>
                        </w:r>
                      </w:p>
                    </w:txbxContent>
                  </v:textbox>
                </v:rect>
                <v:shape id="直接箭头连接符 5" o:spid="_x0000_s1026" o:spt="32" type="#_x0000_t32" style="position:absolute;left:3552;top:19833;height:1;width:907;" filled="f" stroked="t" coordsize="21600,21600" o:gfxdata="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VT52vQAA&#10;ANsAAAAPAAAAAAAAAAEAIAAAACIAAABkcnMvZG93bnJldi54bWxQSwECFAAUAAAACACHTuJAMy8F&#10;njsAAAA5AAAAEAAAAAAAAAABACAAAAAMAQAAZHJzL3NoYXBleG1sLnhtbFBLBQYAAAAABgAGAFsB&#10;AAC2AwAAAAA=&#10;">
                  <v:fill on="f" focussize="0,0"/>
                  <v:stroke weight="1pt" color="#000000 [3204]" miterlimit="8" joinstyle="miter" endarrow="block"/>
                  <v:imagedata o:title=""/>
                  <o:lock v:ext="edit" aspectratio="f"/>
                </v:shape>
                <v:rect id="矩形 42" o:spid="_x0000_s1026" o:spt="1" style="position:absolute;left:3501;top:20405;height:541;width:990;v-text-anchor:middle;" filled="f" stroked="f" coordsize="21600,21600" o:gfxdata="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oTxUu8AAAA&#10;2w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5D1D72C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1.8168</w:t>
                        </w:r>
                      </w:p>
                    </w:txbxContent>
                  </v:textbox>
                </v:rect>
                <v:shape id="直接箭头连接符 5" o:spid="_x0000_s1026" o:spt="32" type="#_x0000_t32" style="position:absolute;left:3552;top:20831;height:1;width:907;" filled="f" stroked="t" coordsize="21600,21600" o:gfxdata="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Ip3uvQAA&#10;ANsAAAAPAAAAAAAAAAEAIAAAACIAAABkcnMvZG93bnJldi54bWxQSwECFAAUAAAACACHTuJAMy8F&#10;njsAAAA5AAAAEAAAAAAAAAABACAAAAAMAQAAZHJzL3NoYXBleG1sLnhtbFBLBQYAAAAABgAGAFsB&#10;AAC2AwAAAAA=&#10;">
                  <v:fill on="f" focussize="0,0"/>
                  <v:stroke weight="1pt" color="#000000 [3204]" miterlimit="8" joinstyle="miter" endarrow="block"/>
                  <v:imagedata o:title=""/>
                  <o:lock v:ext="edit" aspectratio="f"/>
                </v:shape>
                <v:rect id="矩形 42" o:spid="_x0000_s1026" o:spt="1" style="position:absolute;left:5646;top:19685;height:541;width:990;v-text-anchor:middle;" filled="f" stroked="f" coordsize="21600,21600" o:gfxdata="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l0/vQAA&#10;ANs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4D93F6F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0.6317</w:t>
                        </w:r>
                      </w:p>
                    </w:txbxContent>
                  </v:textbox>
                </v:rect>
                <v:shape id="直接箭头连接符 5" o:spid="_x0000_s1026" o:spt="32" type="#_x0000_t32" style="position:absolute;left:5697;top:20111;height:1;width:907;" filled="f" stroked="t" coordsize="21600,21600" o:gfxdata="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7ymAr4A&#10;AADb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5646;top:19092;height:541;width:990;v-text-anchor:middle;" filled="f" stroked="f" coordsize="21600,21600" o:gfxdata="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mRm07sAAADb&#10;AAAADwAAAAAAAAABACAAAAAiAAAAZHJzL2Rvd25yZXYueG1sUEsBAhQAFAAAAAgAh07iQDMvBZ47&#10;AAAAOQAAABAAAAAAAAAAAQAgAAAACgEAAGRycy9zaGFwZXhtbC54bWxQSwUGAAAAAAYABgBbAQAA&#10;tAMAAAAA&#10;">
                  <v:fill on="f" focussize="0,0"/>
                  <v:stroke on="f" weight="1pt" miterlimit="8" joinstyle="miter"/>
                  <v:imagedata o:title=""/>
                  <o:lock v:ext="edit" aspectratio="f"/>
                  <v:textbox>
                    <w:txbxContent>
                      <w:p w14:paraId="4AEF5E25">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2.5918</w:t>
                        </w:r>
                      </w:p>
                    </w:txbxContent>
                  </v:textbox>
                </v:rect>
                <v:shape id="直接箭头连接符 5" o:spid="_x0000_s1026" o:spt="32" type="#_x0000_t32" style="position:absolute;left:5697;top:19518;height:1;width:907;" filled="f" stroked="t" coordsize="21600,21600" o:gfxdata="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OfTLvQAA&#10;ANsAAAAPAAAAAAAAAAEAIAAAACIAAABkcnMvZG93bnJldi54bWxQSwECFAAUAAAACACHTuJAMy8F&#10;njsAAAA5AAAAEAAAAAAAAAABACAAAAAMAQAAZHJzL3NoYXBleG1sLnhtbFBLBQYAAAAABgAGAFsB&#10;AAC2AwAAAAA=&#10;">
                  <v:fill on="f" focussize="0,0"/>
                  <v:stroke weight="1pt" color="#000000 [3204]" miterlimit="8" joinstyle="miter" endarrow="block"/>
                  <v:imagedata o:title=""/>
                  <o:lock v:ext="edit" aspectratio="f"/>
                </v:shape>
                <v:rect id="矩形 42" o:spid="_x0000_s1026" o:spt="1" style="position:absolute;left:4361;top:18529;height:541;width:1229;v-text-anchor:middle;" filled="f" stroked="f" coordsize="21600,21600" o:gfxdata="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M6ptvQAA&#10;ANs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0B09C6F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v:textbox>
                </v:rect>
                <v:rect id="矩形 42" o:spid="_x0000_s1026" o:spt="1" style="position:absolute;left:4406;top:20509;height:541;width:1005;v-text-anchor:middle;" filled="f" stroked="f" coordsize="21600,21600" o:gfxdata="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2jIZvQAA&#10;ANs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335635D7">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v:textbox>
                </v:rect>
                <v:rect id="矩形 42" o:spid="_x0000_s1026" o:spt="1" style="position:absolute;left:6462;top:19234;height:541;width:900;v-text-anchor:middle;" filled="f" stroked="f" coordsize="21600,21600" o:gfxdata="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lpeCvQAA&#10;ANs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2458214B">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v:textbox>
                </v:rect>
                <v:rect id="矩形 42" o:spid="_x0000_s1026" o:spt="1" style="position:absolute;left:6476;top:19849;height:541;width:1215;v-text-anchor:middle;" filled="f" stroked="f" coordsize="21600,21600" o:gfxdata="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0QJ9bsAAADb&#10;AAAADwAAAAAAAAABACAAAAAiAAAAZHJzL2Rvd25yZXYueG1sUEsBAhQAFAAAAAgAh07iQDMvBZ47&#10;AAAAOQAAABAAAAAAAAAAAQAgAAAACgEAAGRycy9zaGFwZXhtbC54bWxQSwUGAAAAAAYABgBbAQAA&#10;tAMAAAAA&#10;">
                  <v:fill on="f" focussize="0,0"/>
                  <v:stroke on="f" weight="1pt" miterlimit="8" joinstyle="miter"/>
                  <v:imagedata o:title=""/>
                  <o:lock v:ext="edit" aspectratio="f"/>
                  <v:textbox>
                    <w:txbxContent>
                      <w:p w14:paraId="54586DA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v:textbox>
                </v:rect>
              </v:group>
            </w:pict>
          </mc:Fallback>
        </mc:AlternateContent>
      </w:r>
    </w:p>
    <w:p w14:paraId="2C582466">
      <w:pPr>
        <w:spacing w:line="240" w:lineRule="auto"/>
        <w:ind w:firstLine="0" w:firstLineChars="0"/>
        <w:jc w:val="center"/>
        <w:rPr>
          <w:color w:val="FF0000"/>
        </w:rPr>
      </w:pPr>
    </w:p>
    <w:p w14:paraId="78B76D00">
      <w:pPr>
        <w:spacing w:line="240" w:lineRule="auto"/>
        <w:ind w:firstLine="0" w:firstLineChars="0"/>
        <w:jc w:val="center"/>
        <w:rPr>
          <w:color w:val="FF0000"/>
        </w:rPr>
      </w:pPr>
    </w:p>
    <w:p w14:paraId="127CFA20">
      <w:pPr>
        <w:spacing w:line="240" w:lineRule="auto"/>
        <w:ind w:firstLine="0" w:firstLineChars="0"/>
        <w:jc w:val="center"/>
        <w:rPr>
          <w:color w:val="FF0000"/>
        </w:rPr>
      </w:pPr>
    </w:p>
    <w:p w14:paraId="37BB559F">
      <w:pPr>
        <w:spacing w:line="240" w:lineRule="auto"/>
        <w:ind w:firstLine="0" w:firstLineChars="0"/>
        <w:jc w:val="center"/>
        <w:rPr>
          <w:color w:val="FF0000"/>
        </w:rPr>
      </w:pPr>
    </w:p>
    <w:p w14:paraId="6E95CF15">
      <w:pPr>
        <w:spacing w:line="240" w:lineRule="auto"/>
        <w:ind w:firstLine="0" w:firstLineChars="0"/>
        <w:jc w:val="center"/>
        <w:rPr>
          <w:color w:val="FF0000"/>
        </w:rPr>
      </w:pPr>
    </w:p>
    <w:p w14:paraId="30210836">
      <w:pPr>
        <w:spacing w:line="240" w:lineRule="auto"/>
        <w:ind w:firstLine="0" w:firstLineChars="0"/>
        <w:jc w:val="center"/>
        <w:rPr>
          <w:color w:val="FF0000"/>
        </w:rPr>
      </w:pPr>
    </w:p>
    <w:p w14:paraId="0BD4F1CC">
      <w:pPr>
        <w:spacing w:line="240" w:lineRule="auto"/>
        <w:ind w:firstLine="0" w:firstLineChars="0"/>
        <w:jc w:val="center"/>
        <w:rPr>
          <w:color w:val="FF0000"/>
        </w:rPr>
      </w:pPr>
    </w:p>
    <w:p w14:paraId="7D78DB86">
      <w:pPr>
        <w:spacing w:line="240" w:lineRule="auto"/>
        <w:ind w:firstLine="0" w:firstLineChars="0"/>
        <w:jc w:val="center"/>
        <w:rPr>
          <w:color w:val="FF0000"/>
        </w:rPr>
      </w:pPr>
    </w:p>
    <w:p w14:paraId="5507BF4C">
      <w:pPr>
        <w:spacing w:line="240" w:lineRule="auto"/>
        <w:ind w:firstLine="0" w:firstLineChars="0"/>
        <w:jc w:val="center"/>
        <w:rPr>
          <w:color w:val="FF0000"/>
        </w:rPr>
      </w:pPr>
    </w:p>
    <w:p w14:paraId="198D83EA">
      <w:pPr>
        <w:pStyle w:val="78"/>
        <w:keepNext w:val="0"/>
        <w:keepLines w:val="0"/>
        <w:pageBreakBefore w:val="0"/>
        <w:widowControl w:val="0"/>
        <w:kinsoku/>
        <w:wordWrap/>
        <w:overflowPunct/>
        <w:topLinePunct w:val="0"/>
        <w:autoSpaceDE/>
        <w:autoSpaceDN/>
        <w:bidi w:val="0"/>
        <w:spacing w:line="520" w:lineRule="exact"/>
        <w:rPr>
          <w:b/>
          <w:bCs w:val="0"/>
          <w:color w:val="000000" w:themeColor="text1"/>
          <w14:textFill>
            <w14:solidFill>
              <w14:schemeClr w14:val="tx1"/>
            </w14:solidFill>
          </w14:textFill>
        </w:rPr>
      </w:pPr>
      <w:r>
        <w:rPr>
          <w:rFonts w:hint="eastAsia"/>
          <w:b/>
          <w:bCs w:val="0"/>
          <w:color w:val="000000" w:themeColor="text1"/>
          <w14:textFill>
            <w14:solidFill>
              <w14:schemeClr w14:val="tx1"/>
            </w14:solidFill>
          </w14:textFill>
        </w:rPr>
        <w:t>图</w:t>
      </w:r>
      <w:r>
        <w:rPr>
          <w:rFonts w:hint="eastAsia"/>
          <w:b/>
          <w:bCs w:val="0"/>
          <w:color w:val="000000" w:themeColor="text1"/>
          <w:lang w:val="en-US" w:eastAsia="zh-CN"/>
          <w14:textFill>
            <w14:solidFill>
              <w14:schemeClr w14:val="tx1"/>
            </w14:solidFill>
          </w14:textFill>
        </w:rPr>
        <w:t>3.3-2</w:t>
      </w:r>
      <w:r>
        <w:rPr>
          <w:rFonts w:hint="eastAsia"/>
          <w:b/>
          <w:bCs w:val="0"/>
          <w:color w:val="000000" w:themeColor="text1"/>
          <w14:textFill>
            <w14:solidFill>
              <w14:schemeClr w14:val="tx1"/>
            </w14:solidFill>
          </w14:textFill>
        </w:rPr>
        <w:t xml:space="preserve">     </w:t>
      </w:r>
      <w:r>
        <w:rPr>
          <w:rFonts w:hint="eastAsia"/>
          <w:b/>
          <w:bCs w:val="0"/>
          <w:color w:val="000000" w:themeColor="text1"/>
          <w:lang w:val="en-US" w:eastAsia="zh-CN"/>
          <w14:textFill>
            <w14:solidFill>
              <w14:schemeClr w14:val="tx1"/>
            </w14:solidFill>
          </w14:textFill>
        </w:rPr>
        <w:t>盖帽</w:t>
      </w:r>
      <w:r>
        <w:rPr>
          <w:rFonts w:hint="eastAsia"/>
          <w:b/>
          <w:bCs w:val="0"/>
          <w:color w:val="000000" w:themeColor="text1"/>
          <w14:textFill>
            <w14:solidFill>
              <w14:schemeClr w14:val="tx1"/>
            </w14:solidFill>
          </w14:textFill>
        </w:rPr>
        <w:t>镍平衡图          单位：t/a</w:t>
      </w:r>
    </w:p>
    <w:p w14:paraId="66E71F73">
      <w:pPr>
        <w:pStyle w:val="78"/>
        <w:keepNext w:val="0"/>
        <w:keepLines w:val="0"/>
        <w:pageBreakBefore w:val="0"/>
        <w:widowControl w:val="0"/>
        <w:numPr>
          <w:ilvl w:val="0"/>
          <w:numId w:val="3"/>
        </w:numPr>
        <w:kinsoku/>
        <w:wordWrap/>
        <w:overflowPunct/>
        <w:topLinePunct w:val="0"/>
        <w:autoSpaceDE/>
        <w:autoSpaceDN/>
        <w:bidi w:val="0"/>
        <w:spacing w:line="520" w:lineRule="exact"/>
        <w:ind w:left="-2" w:leftChars="0" w:firstLine="482" w:firstLineChars="0"/>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电池连接件</w:t>
      </w:r>
    </w:p>
    <w:p w14:paraId="5757428F">
      <w:pPr>
        <w:pStyle w:val="141"/>
        <w:keepNext w:val="0"/>
        <w:keepLines w:val="0"/>
        <w:pageBreakBefore w:val="0"/>
        <w:widowControl w:val="0"/>
        <w:numPr>
          <w:ilvl w:val="0"/>
          <w:numId w:val="0"/>
        </w:numPr>
        <w:kinsoku/>
        <w:wordWrap/>
        <w:overflowPunct/>
        <w:topLinePunct w:val="0"/>
        <w:autoSpaceDE/>
        <w:autoSpaceDN/>
        <w:bidi w:val="0"/>
        <w:spacing w:line="520" w:lineRule="exact"/>
        <w:ind w:firstLine="480" w:firstLineChars="200"/>
        <w:jc w:val="both"/>
        <w:rPr>
          <w:b w:val="0"/>
          <w:bCs/>
          <w:color w:val="000000" w:themeColor="text1"/>
          <w:highlight w:val="none"/>
          <w14:textFill>
            <w14:solidFill>
              <w14:schemeClr w14:val="tx1"/>
            </w14:solidFill>
          </w14:textFill>
        </w:rPr>
      </w:pPr>
      <w:r>
        <w:rPr>
          <w:rFonts w:hint="eastAsia"/>
          <w:b w:val="0"/>
          <w:bCs/>
          <w:color w:val="000000" w:themeColor="text1"/>
          <w:highlight w:val="none"/>
          <w:lang w:val="en-US" w:eastAsia="zh-CN"/>
          <w14:textFill>
            <w14:solidFill>
              <w14:schemeClr w14:val="tx1"/>
            </w14:solidFill>
          </w14:textFill>
        </w:rPr>
        <w:t>电池连接件</w:t>
      </w:r>
      <w:r>
        <w:rPr>
          <w:rFonts w:hint="eastAsia"/>
          <w:b w:val="0"/>
          <w:bCs/>
          <w:color w:val="000000" w:themeColor="text1"/>
          <w:highlight w:val="none"/>
          <w14:textFill>
            <w14:solidFill>
              <w14:schemeClr w14:val="tx1"/>
            </w14:solidFill>
          </w14:textFill>
        </w:rPr>
        <w:t>生产线</w:t>
      </w:r>
      <w:r>
        <w:rPr>
          <w:b w:val="0"/>
          <w:bCs/>
          <w:color w:val="000000" w:themeColor="text1"/>
          <w:highlight w:val="none"/>
          <w14:textFill>
            <w14:solidFill>
              <w14:schemeClr w14:val="tx1"/>
            </w14:solidFill>
          </w14:textFill>
        </w:rPr>
        <w:t>镀镍涉及到镍的原料主要为镍板、硫酸镍和氯化镍，电镀后镍主要去向为产品</w:t>
      </w:r>
      <w:r>
        <w:rPr>
          <w:rFonts w:hint="eastAsia"/>
          <w:b w:val="0"/>
          <w:bCs/>
          <w:color w:val="000000" w:themeColor="text1"/>
          <w:highlight w:val="none"/>
          <w14:textFill>
            <w14:solidFill>
              <w14:schemeClr w14:val="tx1"/>
            </w14:solidFill>
          </w14:textFill>
        </w:rPr>
        <w:t>消耗</w:t>
      </w:r>
      <w:r>
        <w:rPr>
          <w:b w:val="0"/>
          <w:bCs/>
          <w:color w:val="000000" w:themeColor="text1"/>
          <w:highlight w:val="none"/>
          <w14:textFill>
            <w14:solidFill>
              <w14:schemeClr w14:val="tx1"/>
            </w14:solidFill>
          </w14:textFill>
        </w:rPr>
        <w:t>、废槽渣、</w:t>
      </w:r>
      <w:r>
        <w:rPr>
          <w:rFonts w:hint="eastAsia"/>
          <w:b w:val="0"/>
          <w:bCs/>
          <w:color w:val="000000" w:themeColor="text1"/>
          <w:highlight w:val="none"/>
          <w14:textFill>
            <w14:solidFill>
              <w14:schemeClr w14:val="tx1"/>
            </w14:solidFill>
          </w14:textFill>
        </w:rPr>
        <w:t>含镍污泥</w:t>
      </w:r>
      <w:r>
        <w:rPr>
          <w:b w:val="0"/>
          <w:bCs/>
          <w:color w:val="000000" w:themeColor="text1"/>
          <w:highlight w:val="none"/>
          <w14:textFill>
            <w14:solidFill>
              <w14:schemeClr w14:val="tx1"/>
            </w14:solidFill>
          </w14:textFill>
        </w:rPr>
        <w:t>、蒸发浓液。</w:t>
      </w:r>
    </w:p>
    <w:p w14:paraId="49A13BA5">
      <w:pPr>
        <w:pStyle w:val="141"/>
        <w:numPr>
          <w:ilvl w:val="0"/>
          <w:numId w:val="0"/>
        </w:numPr>
        <w:ind w:firstLine="480" w:firstLineChars="200"/>
        <w:jc w:val="both"/>
        <w:rPr>
          <w:b w:val="0"/>
          <w:bCs/>
          <w:color w:val="000000" w:themeColor="text1"/>
          <w:highlight w:val="none"/>
          <w14:textFill>
            <w14:solidFill>
              <w14:schemeClr w14:val="tx1"/>
            </w14:solidFill>
          </w14:textFill>
        </w:rPr>
      </w:pPr>
      <w:r>
        <w:rPr>
          <w:b w:val="0"/>
          <w:bCs/>
          <w:color w:val="000000" w:themeColor="text1"/>
          <w:highlight w:val="none"/>
          <w14:textFill>
            <w14:solidFill>
              <w14:schemeClr w14:val="tx1"/>
            </w14:solidFill>
          </w14:textFill>
        </w:rPr>
        <w:t>本项目</w:t>
      </w:r>
      <w:r>
        <w:rPr>
          <w:rFonts w:hint="eastAsia"/>
          <w:b w:val="0"/>
          <w:bCs/>
          <w:color w:val="000000" w:themeColor="text1"/>
          <w:highlight w:val="none"/>
          <w:lang w:val="en-US" w:eastAsia="zh-CN"/>
          <w14:textFill>
            <w14:solidFill>
              <w14:schemeClr w14:val="tx1"/>
            </w14:solidFill>
          </w14:textFill>
        </w:rPr>
        <w:t>钢带</w:t>
      </w:r>
      <w:r>
        <w:rPr>
          <w:rFonts w:hint="eastAsia"/>
          <w:b w:val="0"/>
          <w:bCs/>
          <w:color w:val="000000" w:themeColor="text1"/>
          <w:highlight w:val="none"/>
          <w14:textFill>
            <w14:solidFill>
              <w14:schemeClr w14:val="tx1"/>
            </w14:solidFill>
          </w14:textFill>
        </w:rPr>
        <w:t>生产线</w:t>
      </w:r>
      <w:r>
        <w:rPr>
          <w:b w:val="0"/>
          <w:bCs/>
          <w:color w:val="000000" w:themeColor="text1"/>
          <w:highlight w:val="none"/>
          <w14:textFill>
            <w14:solidFill>
              <w14:schemeClr w14:val="tx1"/>
            </w14:solidFill>
          </w14:textFill>
        </w:rPr>
        <w:t>镍元素平衡见</w:t>
      </w:r>
      <w:r>
        <w:rPr>
          <w:rFonts w:hint="eastAsia"/>
          <w:b w:val="0"/>
          <w:bCs/>
          <w:color w:val="000000" w:themeColor="text1"/>
          <w:highlight w:val="none"/>
          <w14:textFill>
            <w14:solidFill>
              <w14:schemeClr w14:val="tx1"/>
            </w14:solidFill>
          </w14:textFill>
        </w:rPr>
        <w:t>下表及图</w:t>
      </w:r>
      <w:r>
        <w:rPr>
          <w:b w:val="0"/>
          <w:bCs/>
          <w:color w:val="000000" w:themeColor="text1"/>
          <w:highlight w:val="none"/>
          <w14:textFill>
            <w14:solidFill>
              <w14:schemeClr w14:val="tx1"/>
            </w14:solidFill>
          </w14:textFill>
        </w:rPr>
        <w:t>。</w:t>
      </w:r>
    </w:p>
    <w:p w14:paraId="4979FEA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lang w:val="en-US" w:eastAsia="zh-CN"/>
        </w:rPr>
      </w:pPr>
      <w:r>
        <w:rPr>
          <w:rFonts w:hint="eastAsia"/>
          <w:highlight w:val="none"/>
          <w:lang w:val="en-US" w:eastAsia="zh-CN"/>
        </w:rPr>
        <w:t>表3.3-4    本项目电池连接件生产线镍元素物料平衡表</w:t>
      </w:r>
    </w:p>
    <w:tbl>
      <w:tblPr>
        <w:tblStyle w:val="40"/>
        <w:tblW w:w="501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64"/>
        <w:gridCol w:w="1425"/>
        <w:gridCol w:w="713"/>
        <w:gridCol w:w="998"/>
        <w:gridCol w:w="1283"/>
        <w:gridCol w:w="1143"/>
        <w:gridCol w:w="1225"/>
      </w:tblGrid>
      <w:tr w14:paraId="0D2E4E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5969" w:type="dxa"/>
            <w:gridSpan w:val="5"/>
            <w:vAlign w:val="center"/>
          </w:tcPr>
          <w:p w14:paraId="682B6B7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w:t>
            </w:r>
          </w:p>
        </w:tc>
        <w:tc>
          <w:tcPr>
            <w:tcW w:w="2362" w:type="dxa"/>
            <w:gridSpan w:val="2"/>
            <w:vAlign w:val="center"/>
          </w:tcPr>
          <w:p w14:paraId="64C5A3EB">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产出</w:t>
            </w:r>
          </w:p>
        </w:tc>
      </w:tr>
      <w:tr w14:paraId="379B5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4480C6AF">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物料名称</w:t>
            </w:r>
          </w:p>
        </w:tc>
        <w:tc>
          <w:tcPr>
            <w:tcW w:w="1422" w:type="dxa"/>
            <w:vAlign w:val="center"/>
          </w:tcPr>
          <w:p w14:paraId="1B53084F">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投入量（t/a）</w:t>
            </w:r>
          </w:p>
        </w:tc>
        <w:tc>
          <w:tcPr>
            <w:tcW w:w="711" w:type="dxa"/>
            <w:vAlign w:val="center"/>
          </w:tcPr>
          <w:p w14:paraId="5B728548">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纯度</w:t>
            </w:r>
          </w:p>
        </w:tc>
        <w:tc>
          <w:tcPr>
            <w:tcW w:w="996" w:type="dxa"/>
            <w:vAlign w:val="center"/>
          </w:tcPr>
          <w:p w14:paraId="536FF90A">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镍含量</w:t>
            </w:r>
          </w:p>
        </w:tc>
        <w:tc>
          <w:tcPr>
            <w:tcW w:w="1280" w:type="dxa"/>
            <w:vAlign w:val="center"/>
          </w:tcPr>
          <w:p w14:paraId="09B1E554">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镍量（t/a）</w:t>
            </w:r>
          </w:p>
        </w:tc>
        <w:tc>
          <w:tcPr>
            <w:tcW w:w="1140" w:type="dxa"/>
            <w:vAlign w:val="center"/>
          </w:tcPr>
          <w:p w14:paraId="08B7823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名称</w:t>
            </w:r>
          </w:p>
        </w:tc>
        <w:tc>
          <w:tcPr>
            <w:tcW w:w="1222" w:type="dxa"/>
            <w:vAlign w:val="center"/>
          </w:tcPr>
          <w:p w14:paraId="030A2789">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镍量（t/a）</w:t>
            </w:r>
          </w:p>
        </w:tc>
      </w:tr>
      <w:tr w14:paraId="7F9D6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5DD1260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镍板</w:t>
            </w:r>
          </w:p>
        </w:tc>
        <w:tc>
          <w:tcPr>
            <w:tcW w:w="1422" w:type="dxa"/>
            <w:vAlign w:val="center"/>
          </w:tcPr>
          <w:p w14:paraId="3BACC47E">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23</w:t>
            </w:r>
          </w:p>
        </w:tc>
        <w:tc>
          <w:tcPr>
            <w:tcW w:w="711" w:type="dxa"/>
            <w:vAlign w:val="center"/>
          </w:tcPr>
          <w:p w14:paraId="6DFAE977">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99.9%</w:t>
            </w:r>
          </w:p>
        </w:tc>
        <w:tc>
          <w:tcPr>
            <w:tcW w:w="996" w:type="dxa"/>
            <w:vAlign w:val="center"/>
          </w:tcPr>
          <w:p w14:paraId="4DDB765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100%</w:t>
            </w:r>
          </w:p>
        </w:tc>
        <w:tc>
          <w:tcPr>
            <w:tcW w:w="1280" w:type="dxa"/>
            <w:vAlign w:val="center"/>
          </w:tcPr>
          <w:p w14:paraId="7756AD1B">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22.977</w:t>
            </w:r>
          </w:p>
        </w:tc>
        <w:tc>
          <w:tcPr>
            <w:tcW w:w="1140" w:type="dxa"/>
            <w:vAlign w:val="center"/>
          </w:tcPr>
          <w:p w14:paraId="533BE10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产品</w:t>
            </w:r>
            <w:r>
              <w:rPr>
                <w:rFonts w:hint="eastAsia" w:eastAsia="宋体" w:cs="Times New Roman"/>
                <w:color w:val="000000" w:themeColor="text1"/>
                <w:kern w:val="21"/>
                <w:sz w:val="21"/>
                <w:szCs w:val="21"/>
                <w:highlight w:val="none"/>
                <w14:textFill>
                  <w14:solidFill>
                    <w14:schemeClr w14:val="tx1"/>
                  </w14:solidFill>
                </w14:textFill>
              </w:rPr>
              <w:t>消耗</w:t>
            </w:r>
          </w:p>
        </w:tc>
        <w:tc>
          <w:tcPr>
            <w:tcW w:w="1222" w:type="dxa"/>
            <w:vAlign w:val="center"/>
          </w:tcPr>
          <w:p w14:paraId="3B351CC4">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14:textFill>
                  <w14:solidFill>
                    <w14:schemeClr w14:val="tx1"/>
                  </w14:solidFill>
                </w14:textFill>
              </w:rPr>
            </w:pPr>
            <w:r>
              <w:rPr>
                <w:rFonts w:hint="eastAsia" w:eastAsia="宋体" w:cs="Times New Roman"/>
                <w:color w:val="auto"/>
                <w:kern w:val="21"/>
                <w:sz w:val="21"/>
                <w:szCs w:val="21"/>
                <w:highlight w:val="none"/>
                <w:lang w:val="en-US" w:eastAsia="zh-CN"/>
              </w:rPr>
              <w:t>20.3856</w:t>
            </w:r>
          </w:p>
        </w:tc>
      </w:tr>
      <w:tr w14:paraId="1E88FD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547C45B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硫酸镍</w:t>
            </w:r>
            <w:r>
              <w:rPr>
                <w:rFonts w:eastAsia="Times New Roman" w:cs="Times New Roman"/>
                <w:color w:val="000000" w:themeColor="text1"/>
                <w:kern w:val="21"/>
                <w:sz w:val="21"/>
                <w:highlight w:val="none"/>
                <w14:textFill>
                  <w14:solidFill>
                    <w14:schemeClr w14:val="tx1"/>
                  </w14:solidFill>
                </w14:textFill>
              </w:rPr>
              <w:t>NiSO</w:t>
            </w:r>
            <w:r>
              <w:rPr>
                <w:rFonts w:eastAsia="Times New Roman" w:cs="Times New Roman"/>
                <w:color w:val="000000" w:themeColor="text1"/>
                <w:kern w:val="21"/>
                <w:sz w:val="14"/>
                <w:highlight w:val="none"/>
                <w14:textFill>
                  <w14:solidFill>
                    <w14:schemeClr w14:val="tx1"/>
                  </w14:solidFill>
                </w14:textFill>
              </w:rPr>
              <w:t>4</w:t>
            </w:r>
            <w:r>
              <w:rPr>
                <w:rFonts w:eastAsia="Times New Roman" w:cs="Times New Roman"/>
                <w:color w:val="000000" w:themeColor="text1"/>
                <w:kern w:val="21"/>
                <w:sz w:val="21"/>
                <w:highlight w:val="none"/>
                <w14:textFill>
                  <w14:solidFill>
                    <w14:schemeClr w14:val="tx1"/>
                  </w14:solidFill>
                </w14:textFill>
              </w:rPr>
              <w:t>·6H</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O</w:t>
            </w:r>
          </w:p>
        </w:tc>
        <w:tc>
          <w:tcPr>
            <w:tcW w:w="1422" w:type="dxa"/>
            <w:vAlign w:val="center"/>
          </w:tcPr>
          <w:p w14:paraId="3E8A8512">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2.7</w:t>
            </w:r>
          </w:p>
        </w:tc>
        <w:tc>
          <w:tcPr>
            <w:tcW w:w="711" w:type="dxa"/>
            <w:vAlign w:val="center"/>
          </w:tcPr>
          <w:p w14:paraId="631FE159">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95%</w:t>
            </w:r>
          </w:p>
        </w:tc>
        <w:tc>
          <w:tcPr>
            <w:tcW w:w="996" w:type="dxa"/>
            <w:vAlign w:val="center"/>
          </w:tcPr>
          <w:p w14:paraId="5914FD0E">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22.33%</w:t>
            </w:r>
          </w:p>
        </w:tc>
        <w:tc>
          <w:tcPr>
            <w:tcW w:w="1280" w:type="dxa"/>
            <w:vAlign w:val="center"/>
          </w:tcPr>
          <w:p w14:paraId="153CE73E">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0.5728</w:t>
            </w:r>
          </w:p>
        </w:tc>
        <w:tc>
          <w:tcPr>
            <w:tcW w:w="1140" w:type="dxa"/>
            <w:vAlign w:val="center"/>
          </w:tcPr>
          <w:p w14:paraId="5C7FF13D">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废槽渣</w:t>
            </w:r>
          </w:p>
        </w:tc>
        <w:tc>
          <w:tcPr>
            <w:tcW w:w="1222" w:type="dxa"/>
            <w:vAlign w:val="center"/>
          </w:tcPr>
          <w:p w14:paraId="3356A872">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0.1618</w:t>
            </w:r>
          </w:p>
        </w:tc>
      </w:tr>
      <w:tr w14:paraId="67551A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087F3EE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氯化镍</w:t>
            </w:r>
            <w:r>
              <w:rPr>
                <w:rFonts w:eastAsia="Times New Roman" w:cs="Times New Roman"/>
                <w:color w:val="000000" w:themeColor="text1"/>
                <w:kern w:val="21"/>
                <w:sz w:val="21"/>
                <w:highlight w:val="none"/>
                <w14:textFill>
                  <w14:solidFill>
                    <w14:schemeClr w14:val="tx1"/>
                  </w14:solidFill>
                </w14:textFill>
              </w:rPr>
              <w:t>NiCl</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·6H</w:t>
            </w:r>
            <w:r>
              <w:rPr>
                <w:rFonts w:eastAsia="Times New Roman" w:cs="Times New Roman"/>
                <w:color w:val="000000" w:themeColor="text1"/>
                <w:kern w:val="21"/>
                <w:sz w:val="14"/>
                <w:highlight w:val="none"/>
                <w14:textFill>
                  <w14:solidFill>
                    <w14:schemeClr w14:val="tx1"/>
                  </w14:solidFill>
                </w14:textFill>
              </w:rPr>
              <w:t>2</w:t>
            </w:r>
            <w:r>
              <w:rPr>
                <w:rFonts w:eastAsia="Times New Roman" w:cs="Times New Roman"/>
                <w:color w:val="000000" w:themeColor="text1"/>
                <w:kern w:val="21"/>
                <w:sz w:val="21"/>
                <w:highlight w:val="none"/>
                <w14:textFill>
                  <w14:solidFill>
                    <w14:schemeClr w14:val="tx1"/>
                  </w14:solidFill>
                </w14:textFill>
              </w:rPr>
              <w:t>O</w:t>
            </w:r>
          </w:p>
        </w:tc>
        <w:tc>
          <w:tcPr>
            <w:tcW w:w="1422" w:type="dxa"/>
            <w:vAlign w:val="center"/>
          </w:tcPr>
          <w:p w14:paraId="149D124A">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0.6</w:t>
            </w:r>
          </w:p>
        </w:tc>
        <w:tc>
          <w:tcPr>
            <w:tcW w:w="711" w:type="dxa"/>
            <w:vAlign w:val="center"/>
          </w:tcPr>
          <w:p w14:paraId="68D369B6">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95%</w:t>
            </w:r>
          </w:p>
        </w:tc>
        <w:tc>
          <w:tcPr>
            <w:tcW w:w="996" w:type="dxa"/>
            <w:vAlign w:val="center"/>
          </w:tcPr>
          <w:p w14:paraId="118B5A3D">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24.69%</w:t>
            </w:r>
          </w:p>
        </w:tc>
        <w:tc>
          <w:tcPr>
            <w:tcW w:w="1280" w:type="dxa"/>
            <w:vAlign w:val="center"/>
          </w:tcPr>
          <w:p w14:paraId="2A1197F3">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0.1407</w:t>
            </w:r>
          </w:p>
        </w:tc>
        <w:tc>
          <w:tcPr>
            <w:tcW w:w="1140" w:type="dxa"/>
            <w:vAlign w:val="center"/>
          </w:tcPr>
          <w:p w14:paraId="7FFF0B2F">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含镍污泥</w:t>
            </w:r>
          </w:p>
        </w:tc>
        <w:tc>
          <w:tcPr>
            <w:tcW w:w="1222" w:type="dxa"/>
            <w:vAlign w:val="center"/>
          </w:tcPr>
          <w:p w14:paraId="765CF5F8">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2.5007</w:t>
            </w:r>
          </w:p>
        </w:tc>
      </w:tr>
      <w:tr w14:paraId="025B79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46E6F153">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422" w:type="dxa"/>
            <w:vAlign w:val="center"/>
          </w:tcPr>
          <w:p w14:paraId="24C4DFE9">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11" w:type="dxa"/>
            <w:vAlign w:val="center"/>
          </w:tcPr>
          <w:p w14:paraId="2FCEB08F">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6" w:type="dxa"/>
            <w:vAlign w:val="center"/>
          </w:tcPr>
          <w:p w14:paraId="2758194B">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80" w:type="dxa"/>
            <w:vAlign w:val="center"/>
          </w:tcPr>
          <w:p w14:paraId="79CF26B0">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140" w:type="dxa"/>
            <w:vAlign w:val="center"/>
          </w:tcPr>
          <w:p w14:paraId="1B0C22F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蒸发浓液</w:t>
            </w:r>
          </w:p>
        </w:tc>
        <w:tc>
          <w:tcPr>
            <w:tcW w:w="1222" w:type="dxa"/>
            <w:vAlign w:val="center"/>
          </w:tcPr>
          <w:p w14:paraId="3BA6A02C">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0.6424</w:t>
            </w:r>
          </w:p>
        </w:tc>
      </w:tr>
      <w:tr w14:paraId="30FE00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0" w:type="dxa"/>
            <w:vAlign w:val="center"/>
          </w:tcPr>
          <w:p w14:paraId="0A4467E0">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合计</w:t>
            </w:r>
          </w:p>
        </w:tc>
        <w:tc>
          <w:tcPr>
            <w:tcW w:w="1422" w:type="dxa"/>
            <w:vAlign w:val="center"/>
          </w:tcPr>
          <w:p w14:paraId="7D51BC83">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11" w:type="dxa"/>
            <w:vAlign w:val="center"/>
          </w:tcPr>
          <w:p w14:paraId="43B9F101">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6" w:type="dxa"/>
            <w:vAlign w:val="center"/>
          </w:tcPr>
          <w:p w14:paraId="4F5F94FF">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80" w:type="dxa"/>
            <w:vAlign w:val="center"/>
          </w:tcPr>
          <w:p w14:paraId="20E3C81D">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23.6905</w:t>
            </w:r>
          </w:p>
        </w:tc>
        <w:tc>
          <w:tcPr>
            <w:tcW w:w="1140" w:type="dxa"/>
            <w:vAlign w:val="center"/>
          </w:tcPr>
          <w:p w14:paraId="5D80D35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222" w:type="dxa"/>
            <w:vAlign w:val="center"/>
          </w:tcPr>
          <w:p w14:paraId="323832B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23.6905</w:t>
            </w:r>
          </w:p>
        </w:tc>
      </w:tr>
    </w:tbl>
    <w:p w14:paraId="6F2D0C25">
      <w:pPr>
        <w:pStyle w:val="78"/>
        <w:rPr>
          <w:color w:val="FF0000"/>
        </w:rPr>
      </w:pPr>
    </w:p>
    <w:p w14:paraId="61E473CC">
      <w:pPr>
        <w:pStyle w:val="78"/>
        <w:rPr>
          <w:color w:val="FF0000"/>
        </w:rPr>
      </w:pPr>
    </w:p>
    <w:p w14:paraId="0EE34644">
      <w:pPr>
        <w:pStyle w:val="78"/>
        <w:rPr>
          <w:color w:val="FF0000"/>
        </w:rPr>
      </w:pPr>
    </w:p>
    <w:p w14:paraId="07EEE125">
      <w:pPr>
        <w:pStyle w:val="78"/>
        <w:rPr>
          <w:color w:val="FF0000"/>
        </w:rPr>
      </w:pPr>
    </w:p>
    <w:p w14:paraId="1ADEA009">
      <w:pPr>
        <w:pStyle w:val="78"/>
        <w:rPr>
          <w:color w:val="FF0000"/>
        </w:rPr>
      </w:pPr>
      <w:r>
        <w:rPr>
          <w:rFonts w:ascii="Calibri" w:hAnsi="Calibri"/>
          <w:kern w:val="2"/>
          <w:sz w:val="21"/>
          <w:szCs w:val="24"/>
        </w:rPr>
        <mc:AlternateContent>
          <mc:Choice Requires="wpg">
            <w:drawing>
              <wp:anchor distT="0" distB="0" distL="114300" distR="114300" simplePos="0" relativeHeight="251704320" behindDoc="0" locked="0" layoutInCell="1" allowOverlap="1">
                <wp:simplePos x="0" y="0"/>
                <wp:positionH relativeFrom="column">
                  <wp:posOffset>628650</wp:posOffset>
                </wp:positionH>
                <wp:positionV relativeFrom="paragraph">
                  <wp:posOffset>41275</wp:posOffset>
                </wp:positionV>
                <wp:extent cx="3951605" cy="1677035"/>
                <wp:effectExtent l="0" t="0" r="0" b="18415"/>
                <wp:wrapNone/>
                <wp:docPr id="279" name="组合 279"/>
                <wp:cNvGraphicFramePr/>
                <a:graphic xmlns:a="http://schemas.openxmlformats.org/drawingml/2006/main">
                  <a:graphicData uri="http://schemas.microsoft.com/office/word/2010/wordprocessingGroup">
                    <wpg:wgp>
                      <wpg:cNvGrpSpPr/>
                      <wpg:grpSpPr>
                        <a:xfrm>
                          <a:off x="1314450" y="4448175"/>
                          <a:ext cx="3951605" cy="1677035"/>
                          <a:chOff x="1468" y="18409"/>
                          <a:chExt cx="6223" cy="2641"/>
                        </a:xfrm>
                      </wpg:grpSpPr>
                      <wps:wsp>
                        <wps:cNvPr id="280" name="矩形 42"/>
                        <wps:cNvSpPr/>
                        <wps:spPr>
                          <a:xfrm>
                            <a:off x="1961" y="19369"/>
                            <a:ext cx="112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83FED41">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23.6905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1" name="矩形 42"/>
                        <wps:cNvSpPr/>
                        <wps:spPr>
                          <a:xfrm>
                            <a:off x="1468" y="19414"/>
                            <a:ext cx="795" cy="840"/>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AE648F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2" name="矩形 4"/>
                        <wps:cNvSpPr/>
                        <wps:spPr>
                          <a:xfrm>
                            <a:off x="4459" y="19291"/>
                            <a:ext cx="1230" cy="979"/>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10C1388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3" name="直接箭头连接符 5"/>
                        <wps:cNvCnPr/>
                        <wps:spPr>
                          <a:xfrm>
                            <a:off x="2089" y="19870"/>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84" name="矩形 4"/>
                        <wps:cNvSpPr/>
                        <wps:spPr>
                          <a:xfrm>
                            <a:off x="2987" y="18586"/>
                            <a:ext cx="556" cy="2433"/>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B7CDF1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5" name="矩形 42"/>
                        <wps:cNvSpPr/>
                        <wps:spPr>
                          <a:xfrm>
                            <a:off x="3487" y="18409"/>
                            <a:ext cx="1124"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BBA387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20.3856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6" name="直接箭头连接符 5"/>
                        <wps:cNvCnPr/>
                        <wps:spPr>
                          <a:xfrm>
                            <a:off x="3552" y="18835"/>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87" name="矩形 42"/>
                        <wps:cNvSpPr/>
                        <wps:spPr>
                          <a:xfrm>
                            <a:off x="3501" y="19407"/>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972E1A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3.1431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8" name="直接箭头连接符 5"/>
                        <wps:cNvCnPr/>
                        <wps:spPr>
                          <a:xfrm>
                            <a:off x="3552" y="19833"/>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89" name="矩形 42"/>
                        <wps:cNvSpPr/>
                        <wps:spPr>
                          <a:xfrm>
                            <a:off x="3501" y="2040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EF0FDE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0.1618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0" name="直接箭头连接符 5"/>
                        <wps:cNvCnPr/>
                        <wps:spPr>
                          <a:xfrm>
                            <a:off x="3552" y="2083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91" name="矩形 42"/>
                        <wps:cNvSpPr/>
                        <wps:spPr>
                          <a:xfrm>
                            <a:off x="5646" y="19685"/>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7E95E696">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0.6424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2" name="直接箭头连接符 5"/>
                        <wps:cNvCnPr/>
                        <wps:spPr>
                          <a:xfrm>
                            <a:off x="5697" y="20111"/>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93" name="矩形 42"/>
                        <wps:cNvSpPr/>
                        <wps:spPr>
                          <a:xfrm>
                            <a:off x="5646" y="19092"/>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8870C3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2.5007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4" name="直接箭头连接符 5"/>
                        <wps:cNvCnPr/>
                        <wps:spPr>
                          <a:xfrm>
                            <a:off x="5697" y="19518"/>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295" name="矩形 42"/>
                        <wps:cNvSpPr/>
                        <wps:spPr>
                          <a:xfrm>
                            <a:off x="4361" y="18529"/>
                            <a:ext cx="1229"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B0C2D0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6" name="矩形 42"/>
                        <wps:cNvSpPr/>
                        <wps:spPr>
                          <a:xfrm>
                            <a:off x="4406" y="20509"/>
                            <a:ext cx="100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38CD16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7" name="矩形 42"/>
                        <wps:cNvSpPr/>
                        <wps:spPr>
                          <a:xfrm>
                            <a:off x="6462" y="19234"/>
                            <a:ext cx="90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2107489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8" name="矩形 42"/>
                        <wps:cNvSpPr/>
                        <wps:spPr>
                          <a:xfrm>
                            <a:off x="6476" y="19849"/>
                            <a:ext cx="121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BAB896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9.5pt;margin-top:3.25pt;height:132.05pt;width:311.15pt;z-index:251704320;mso-width-relative:page;mso-height-relative:page;" coordorigin="1468,18409" coordsize="6223,2641" o:gfxdata="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">
                <o:lock v:ext="edit" aspectratio="f"/>
                <v:rect id="矩形 42" o:spid="_x0000_s1026" o:spt="1" style="position:absolute;left:1961;top:19369;height:541;width:1125;v-text-anchor:middle;" filled="f" stroked="f" coordsize="21600,21600" o:gfxdata="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eDc9ugAAANwA&#10;AAAPAAAAAAAAAAEAIAAAACIAAABkcnMvZG93bnJldi54bWxQSwECFAAUAAAACACHTuJAMy8FnjsA&#10;AAA5AAAAEAAAAAAAAAABACAAAAAJAQAAZHJzL3NoYXBleG1sLnhtbFBLBQYAAAAABgAGAFsBAACz&#10;AwAAAAA=&#10;">
                  <v:fill on="f" focussize="0,0"/>
                  <v:stroke on="f" weight="1pt" miterlimit="8" joinstyle="miter"/>
                  <v:imagedata o:title=""/>
                  <o:lock v:ext="edit" aspectratio="f"/>
                  <v:textbox>
                    <w:txbxContent>
                      <w:p w14:paraId="583FED41">
                        <w:pPr>
                          <w:adjustRightInd/>
                          <w:snapToGrid/>
                          <w:spacing w:line="240" w:lineRule="auto"/>
                          <w:ind w:firstLine="0" w:firstLineChars="0"/>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23.6905</w:t>
                        </w:r>
                      </w:p>
                    </w:txbxContent>
                  </v:textbox>
                </v:rect>
                <v:rect id="矩形 42" o:spid="_x0000_s1026" o:spt="1" style="position:absolute;left:1468;top:19414;height:840;width:795;v-text-anchor:middle;" filled="f" stroked="f" coordsize="21600,21600" o:gfxdata="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0kqa8AAAA&#10;3A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4AE648F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原料含镍</w:t>
                        </w:r>
                      </w:p>
                    </w:txbxContent>
                  </v:textbox>
                </v:rect>
                <v:rect id="矩形 4" o:spid="_x0000_s1026" o:spt="1" style="position:absolute;left:4459;top:19291;height:979;width:1230;v-text-anchor:middle;" filled="f" stroked="t" coordsize="21600,21600" o:gfxdata="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bKfb4A&#10;AADcAAAADwAAAAAAAAABACAAAAAiAAAAZHJzL2Rvd25yZXYueG1sUEsBAhQAFAAAAAgAh07iQDMv&#10;BZ47AAAAOQAAABAAAAAAAAAAAQAgAAAADQEAAGRycy9zaGFwZXhtbC54bWxQSwUGAAAAAAYABgBb&#10;AQAAtwMAAAAA&#10;">
                  <v:fill on="f" focussize="0,0"/>
                  <v:stroke weight="1pt" color="#000000 [2404]" miterlimit="8" joinstyle="miter"/>
                  <v:imagedata o:title=""/>
                  <o:lock v:ext="edit" aspectratio="f"/>
                  <v:textbox>
                    <w:txbxContent>
                      <w:p w14:paraId="10C1388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含镍废水处理系统</w:t>
                        </w:r>
                      </w:p>
                    </w:txbxContent>
                  </v:textbox>
                </v:rect>
                <v:shape id="直接箭头连接符 5" o:spid="_x0000_s1026" o:spt="32" type="#_x0000_t32" style="position:absolute;left:2089;top:19870;height:1;width:907;" filled="f" stroked="t" coordsize="21600,21600" o:gfxdata="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o4fbvQAA&#10;ANwAAAAPAAAAAAAAAAEAIAAAACIAAABkcnMvZG93bnJldi54bWxQSwECFAAUAAAACACHTuJAMy8F&#10;njsAAAA5AAAAEAAAAAAAAAABACAAAAAMAQAAZHJzL3NoYXBleG1sLnhtbFBLBQYAAAAABgAGAFsB&#10;AAC2AwAAAAA=&#10;">
                  <v:fill on="f" focussize="0,0"/>
                  <v:stroke weight="1pt" color="#000000 [3204]" miterlimit="8" joinstyle="miter" endarrow="block"/>
                  <v:imagedata o:title=""/>
                  <o:lock v:ext="edit" aspectratio="f"/>
                </v:shape>
                <v:rect id="矩形 4" o:spid="_x0000_s1026" o:spt="1" style="position:absolute;left:2987;top:18586;height:2433;width:556;v-text-anchor:middle;" filled="f" stroked="t" coordsize="21600,21600" o:gfxdata="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GP3kr4A&#10;AADcAAAADwAAAAAAAAABACAAAAAiAAAAZHJzL2Rvd25yZXYueG1sUEsBAhQAFAAAAAgAh07iQDMv&#10;BZ47AAAAOQAAABAAAAAAAAAAAQAgAAAADQEAAGRycy9zaGFwZXhtbC54bWxQSwUGAAAAAAYABgBb&#10;AQAAtwMAAAAA&#10;">
                  <v:fill on="f" focussize="0,0"/>
                  <v:stroke weight="1pt" color="#000000 [2404]" miterlimit="8" joinstyle="miter"/>
                  <v:imagedata o:title=""/>
                  <o:lock v:ext="edit" aspectratio="f"/>
                  <v:textbox>
                    <w:txbxContent>
                      <w:p w14:paraId="6B7CDF1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镀镍工序</w:t>
                        </w:r>
                      </w:p>
                    </w:txbxContent>
                  </v:textbox>
                </v:rect>
                <v:rect id="矩形 42" o:spid="_x0000_s1026" o:spt="1" style="position:absolute;left:3487;top:18409;height:541;width:1124;v-text-anchor:middle;" filled="f" stroked="f" coordsize="21600,21600" o:gfxdata="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D5Sl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6BBA387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20.3856</w:t>
                        </w:r>
                      </w:p>
                    </w:txbxContent>
                  </v:textbox>
                </v:rect>
                <v:shape id="直接箭头连接符 5" o:spid="_x0000_s1026" o:spt="32" type="#_x0000_t32" style="position:absolute;left:3552;top:18835;height:1;width:907;" filled="f" stroked="t" coordsize="21600,21600" o:gfxdata="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9QkQ74A&#10;AADc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3501;top:19407;height:541;width:990;v-text-anchor:middle;" filled="f" stroked="f" coordsize="21600,21600" o:gfxdata="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ka9J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5972E1A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3.1431</w:t>
                        </w:r>
                      </w:p>
                    </w:txbxContent>
                  </v:textbox>
                </v:rect>
                <v:shape id="直接箭头连接符 5" o:spid="_x0000_s1026" o:spt="32" type="#_x0000_t32" style="position:absolute;left:3552;top:19833;height:1;width:907;" filled="f" stroked="t" coordsize="21600,21600" o:gfxdata="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HFaq8AAAA&#10;3AAAAA8AAAAAAAAAAQAgAAAAIgAAAGRycy9kb3ducmV2LnhtbFBLAQIUABQAAAAIAIdO4kAzLwWe&#10;OwAAADkAAAAQAAAAAAAAAAEAIAAAAAsBAABkcnMvc2hhcGV4bWwueG1sUEsFBgAAAAAGAAYAWwEA&#10;ALUDAAAAAA==&#10;">
                  <v:fill on="f" focussize="0,0"/>
                  <v:stroke weight="1pt" color="#000000 [3204]" miterlimit="8" joinstyle="miter" endarrow="block"/>
                  <v:imagedata o:title=""/>
                  <o:lock v:ext="edit" aspectratio="f"/>
                </v:shape>
                <v:rect id="矩形 42" o:spid="_x0000_s1026" o:spt="1" style="position:absolute;left:3501;top:20405;height:541;width:990;v-text-anchor:middle;" filled="f" stroked="f" coordsize="21600,21600" o:gfxdata="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CnqC8AAAA&#10;3A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4EF0FDE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0.1618</w:t>
                        </w:r>
                      </w:p>
                    </w:txbxContent>
                  </v:textbox>
                </v:rect>
                <v:shape id="直接箭头连接符 5" o:spid="_x0000_s1026" o:spt="32" type="#_x0000_t32" style="position:absolute;left:3552;top:20831;height:1;width:907;" filled="f" stroked="t" coordsize="21600,21600" o:gfxdata="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qiPcbsAAADc&#10;AAAADwAAAAAAAAABACAAAAAiAAAAZHJzL2Rvd25yZXYueG1sUEsBAhQAFAAAAAgAh07iQDMvBZ47&#10;AAAAOQAAABAAAAAAAAAAAQAgAAAACgEAAGRycy9zaGFwZXhtbC54bWxQSwUGAAAAAAYABgBbAQAA&#10;tAMAAAAA&#10;">
                  <v:fill on="f" focussize="0,0"/>
                  <v:stroke weight="1pt" color="#000000 [3204]" miterlimit="8" joinstyle="miter" endarrow="block"/>
                  <v:imagedata o:title=""/>
                  <o:lock v:ext="edit" aspectratio="f"/>
                </v:shape>
                <v:rect id="矩形 42" o:spid="_x0000_s1026" o:spt="1" style="position:absolute;left:5646;top:19685;height:541;width:990;v-text-anchor:middle;" filled="f" stroked="f" coordsize="21600,21600" o:gfxdata="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7QR7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7E95E696">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0.6424</w:t>
                        </w:r>
                      </w:p>
                    </w:txbxContent>
                  </v:textbox>
                </v:rect>
                <v:shape id="直接箭头连接符 5" o:spid="_x0000_s1026" o:spt="32" type="#_x0000_t32" style="position:absolute;left:5697;top:20111;height:1;width:907;" filled="f" stroked="t" coordsize="21600,21600" o:gfxdata="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E2tJ2/&#10;AAAA3A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2" o:spid="_x0000_s1026" o:spt="1" style="position:absolute;left:5646;top:19092;height:541;width:990;v-text-anchor:middle;" filled="f" stroked="f" coordsize="21600,21600" o:gfxdata="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cz+X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08870C3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2.5007</w:t>
                        </w:r>
                      </w:p>
                    </w:txbxContent>
                  </v:textbox>
                </v:rect>
                <v:shape id="直接箭头连接符 5" o:spid="_x0000_s1026" o:spt="32" type="#_x0000_t32" style="position:absolute;left:5697;top:19518;height:1;width:907;" filled="f" stroked="t" coordsize="21600,21600" o:gfxdata="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TiXK/&#10;AAAA3A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2" o:spid="_x0000_s1026" o:spt="1" style="position:absolute;left:4361;top:18529;height:541;width:1229;v-text-anchor:middle;" filled="f" stroked="f" coordsize="21600,21600" o:gfxdata="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1gJ4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6B0C2D0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v:textbox>
                </v:rect>
                <v:rect id="矩形 42" o:spid="_x0000_s1026" o:spt="1" style="position:absolute;left:4406;top:20509;height:541;width:1005;v-text-anchor:middle;" filled="f" stroked="f" coordsize="21600,21600" o:gfxdata="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ScD74A&#10;AADcAAAADwAAAAAAAAABACAAAAAiAAAAZHJzL2Rvd25yZXYueG1sUEsBAhQAFAAAAAgAh07iQDMv&#10;BZ47AAAAOQAAABAAAAAAAAAAAQAgAAAADQEAAGRycy9zaGFwZXhtbC54bWxQSwUGAAAAAAYABgBb&#10;AQAAtwMAAAAA&#10;">
                  <v:fill on="f" focussize="0,0"/>
                  <v:stroke on="f" weight="1pt" miterlimit="8" joinstyle="miter"/>
                  <v:imagedata o:title=""/>
                  <o:lock v:ext="edit" aspectratio="f"/>
                  <v:textbox>
                    <w:txbxContent>
                      <w:p w14:paraId="338CD16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废槽渣</w:t>
                        </w:r>
                      </w:p>
                    </w:txbxContent>
                  </v:textbox>
                </v:rect>
                <v:rect id="矩形 42" o:spid="_x0000_s1026" o:spt="1" style="position:absolute;left:6462;top:19234;height:541;width:900;v-text-anchor:middle;" filled="f" stroked="f" coordsize="21600,21600" o:gfxdata="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SDmU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2107489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v:textbox>
                </v:rect>
                <v:rect id="矩形 42" o:spid="_x0000_s1026" o:spt="1" style="position:absolute;left:6476;top:19849;height:541;width:1215;v-text-anchor:middle;" filled="f" stroked="f" coordsize="21600,21600" o:gfxdata="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163mugAAANwA&#10;AAAPAAAAAAAAAAEAIAAAACIAAABkcnMvZG93bnJldi54bWxQSwECFAAUAAAACACHTuJAMy8FnjsA&#10;AAA5AAAAEAAAAAAAAAABACAAAAAJAQAAZHJzL3NoYXBleG1sLnhtbFBLBQYAAAAABgAGAFsBAACz&#10;AwAAAAA=&#10;">
                  <v:fill on="f" focussize="0,0"/>
                  <v:stroke on="f" weight="1pt" miterlimit="8" joinstyle="miter"/>
                  <v:imagedata o:title=""/>
                  <o:lock v:ext="edit" aspectratio="f"/>
                  <v:textbox>
                    <w:txbxContent>
                      <w:p w14:paraId="6BAB896D">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v:textbox>
                </v:rect>
              </v:group>
            </w:pict>
          </mc:Fallback>
        </mc:AlternateContent>
      </w:r>
    </w:p>
    <w:p w14:paraId="732A5420">
      <w:pPr>
        <w:pStyle w:val="78"/>
        <w:rPr>
          <w:color w:val="FF0000"/>
        </w:rPr>
      </w:pPr>
    </w:p>
    <w:p w14:paraId="4BAC94CF">
      <w:pPr>
        <w:pStyle w:val="78"/>
        <w:rPr>
          <w:color w:val="FF0000"/>
        </w:rPr>
      </w:pPr>
    </w:p>
    <w:p w14:paraId="6E827DB1">
      <w:pPr>
        <w:pStyle w:val="78"/>
        <w:rPr>
          <w:color w:val="FF0000"/>
        </w:rPr>
      </w:pPr>
    </w:p>
    <w:p w14:paraId="79832A53">
      <w:pPr>
        <w:pStyle w:val="78"/>
        <w:rPr>
          <w:color w:val="FF0000"/>
        </w:rPr>
      </w:pPr>
    </w:p>
    <w:p w14:paraId="091744A1">
      <w:pPr>
        <w:pStyle w:val="78"/>
        <w:rPr>
          <w:color w:val="FF0000"/>
        </w:rPr>
      </w:pPr>
    </w:p>
    <w:p w14:paraId="1B4E7858">
      <w:pPr>
        <w:pStyle w:val="78"/>
        <w:rPr>
          <w:color w:val="FF0000"/>
        </w:rPr>
      </w:pPr>
    </w:p>
    <w:p w14:paraId="306C58B7">
      <w:pPr>
        <w:pStyle w:val="78"/>
        <w:rPr>
          <w:color w:val="FF0000"/>
        </w:rPr>
      </w:pPr>
    </w:p>
    <w:p w14:paraId="4D789A08">
      <w:pPr>
        <w:pStyle w:val="78"/>
        <w:rPr>
          <w:color w:val="FF0000"/>
        </w:rPr>
      </w:pPr>
    </w:p>
    <w:p w14:paraId="6D05F149">
      <w:pPr>
        <w:pStyle w:val="78"/>
        <w:rPr>
          <w:color w:val="FF0000"/>
        </w:rPr>
      </w:pPr>
    </w:p>
    <w:p w14:paraId="15B42E86">
      <w:pPr>
        <w:pStyle w:val="78"/>
        <w:rPr>
          <w:b/>
          <w:bCs w:val="0"/>
          <w:color w:val="000000" w:themeColor="text1"/>
          <w14:textFill>
            <w14:solidFill>
              <w14:schemeClr w14:val="tx1"/>
            </w14:solidFill>
          </w14:textFill>
        </w:rPr>
      </w:pPr>
      <w:r>
        <w:rPr>
          <w:rFonts w:hint="eastAsia"/>
          <w:b/>
          <w:bCs w:val="0"/>
          <w:color w:val="000000" w:themeColor="text1"/>
          <w14:textFill>
            <w14:solidFill>
              <w14:schemeClr w14:val="tx1"/>
            </w14:solidFill>
          </w14:textFill>
        </w:rPr>
        <w:t>图</w:t>
      </w:r>
      <w:r>
        <w:rPr>
          <w:rFonts w:hint="eastAsia"/>
          <w:b/>
          <w:bCs w:val="0"/>
          <w:color w:val="000000" w:themeColor="text1"/>
          <w:lang w:val="en-US" w:eastAsia="zh-CN"/>
          <w14:textFill>
            <w14:solidFill>
              <w14:schemeClr w14:val="tx1"/>
            </w14:solidFill>
          </w14:textFill>
        </w:rPr>
        <w:t>3.3-3</w:t>
      </w:r>
      <w:r>
        <w:rPr>
          <w:rFonts w:hint="eastAsia"/>
          <w:b/>
          <w:bCs w:val="0"/>
          <w:color w:val="000000" w:themeColor="text1"/>
          <w14:textFill>
            <w14:solidFill>
              <w14:schemeClr w14:val="tx1"/>
            </w14:solidFill>
          </w14:textFill>
        </w:rPr>
        <w:t xml:space="preserve">     电池连接件镍平衡图          单位：t/a</w:t>
      </w:r>
    </w:p>
    <w:p w14:paraId="38CE5709">
      <w:pPr>
        <w:pStyle w:val="78"/>
        <w:ind w:firstLine="482" w:firstLineChars="2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二、铬元素平衡：</w:t>
      </w:r>
    </w:p>
    <w:p w14:paraId="38E7936E">
      <w:pPr>
        <w:pStyle w:val="141"/>
        <w:keepNext w:val="0"/>
        <w:keepLines w:val="0"/>
        <w:pageBreakBefore w:val="0"/>
        <w:widowControl w:val="0"/>
        <w:numPr>
          <w:ilvl w:val="0"/>
          <w:numId w:val="0"/>
        </w:numPr>
        <w:kinsoku/>
        <w:wordWrap/>
        <w:overflowPunct/>
        <w:topLinePunct w:val="0"/>
        <w:autoSpaceDE/>
        <w:autoSpaceDN/>
        <w:bidi w:val="0"/>
        <w:ind w:firstLine="480" w:firstLineChars="200"/>
        <w:jc w:val="both"/>
        <w:rPr>
          <w:b w:val="0"/>
          <w:bCs/>
          <w:color w:val="000000" w:themeColor="text1"/>
          <w:highlight w:val="none"/>
          <w14:textFill>
            <w14:solidFill>
              <w14:schemeClr w14:val="tx1"/>
            </w14:solidFill>
          </w14:textFill>
        </w:rPr>
      </w:pPr>
      <w:r>
        <w:rPr>
          <w:rFonts w:hint="eastAsia"/>
          <w:b w:val="0"/>
          <w:bCs/>
          <w:color w:val="000000" w:themeColor="text1"/>
          <w:highlight w:val="none"/>
          <w14:textFill>
            <w14:solidFill>
              <w14:schemeClr w14:val="tx1"/>
            </w14:solidFill>
          </w14:textFill>
        </w:rPr>
        <w:t>电镀生产线钝化工序</w:t>
      </w:r>
      <w:r>
        <w:rPr>
          <w:b w:val="0"/>
          <w:bCs/>
          <w:color w:val="000000" w:themeColor="text1"/>
          <w:highlight w:val="none"/>
          <w14:textFill>
            <w14:solidFill>
              <w14:schemeClr w14:val="tx1"/>
            </w14:solidFill>
          </w14:textFill>
        </w:rPr>
        <w:t>涉及到</w:t>
      </w:r>
      <w:r>
        <w:rPr>
          <w:rFonts w:hint="eastAsia"/>
          <w:b w:val="0"/>
          <w:bCs/>
          <w:color w:val="000000" w:themeColor="text1"/>
          <w:highlight w:val="none"/>
          <w14:textFill>
            <w14:solidFill>
              <w14:schemeClr w14:val="tx1"/>
            </w14:solidFill>
          </w14:textFill>
        </w:rPr>
        <w:t>铬</w:t>
      </w:r>
      <w:r>
        <w:rPr>
          <w:b w:val="0"/>
          <w:bCs/>
          <w:color w:val="000000" w:themeColor="text1"/>
          <w:highlight w:val="none"/>
          <w14:textFill>
            <w14:solidFill>
              <w14:schemeClr w14:val="tx1"/>
            </w14:solidFill>
          </w14:textFill>
        </w:rPr>
        <w:t>的原料主要为</w:t>
      </w:r>
      <w:r>
        <w:rPr>
          <w:rFonts w:hint="eastAsia"/>
          <w:b w:val="0"/>
          <w:bCs/>
          <w:color w:val="000000" w:themeColor="text1"/>
          <w:highlight w:val="none"/>
          <w14:textFill>
            <w14:solidFill>
              <w14:schemeClr w14:val="tx1"/>
            </w14:solidFill>
          </w14:textFill>
        </w:rPr>
        <w:t>硝酸铬</w:t>
      </w:r>
      <w:r>
        <w:rPr>
          <w:b w:val="0"/>
          <w:bCs/>
          <w:color w:val="000000" w:themeColor="text1"/>
          <w:highlight w:val="none"/>
          <w14:textFill>
            <w14:solidFill>
              <w14:schemeClr w14:val="tx1"/>
            </w14:solidFill>
          </w14:textFill>
        </w:rPr>
        <w:t>，</w:t>
      </w:r>
      <w:r>
        <w:rPr>
          <w:rFonts w:hint="eastAsia"/>
          <w:b w:val="0"/>
          <w:bCs/>
          <w:color w:val="000000" w:themeColor="text1"/>
          <w:highlight w:val="none"/>
          <w14:textFill>
            <w14:solidFill>
              <w14:schemeClr w14:val="tx1"/>
            </w14:solidFill>
          </w14:textFill>
        </w:rPr>
        <w:t>钝化</w:t>
      </w:r>
      <w:r>
        <w:rPr>
          <w:b w:val="0"/>
          <w:bCs/>
          <w:color w:val="000000" w:themeColor="text1"/>
          <w:highlight w:val="none"/>
          <w14:textFill>
            <w14:solidFill>
              <w14:schemeClr w14:val="tx1"/>
            </w14:solidFill>
          </w14:textFill>
        </w:rPr>
        <w:t>后</w:t>
      </w:r>
      <w:r>
        <w:rPr>
          <w:rFonts w:hint="eastAsia"/>
          <w:b w:val="0"/>
          <w:bCs/>
          <w:color w:val="000000" w:themeColor="text1"/>
          <w:highlight w:val="none"/>
          <w14:textFill>
            <w14:solidFill>
              <w14:schemeClr w14:val="tx1"/>
            </w14:solidFill>
          </w14:textFill>
        </w:rPr>
        <w:t>铬</w:t>
      </w:r>
      <w:r>
        <w:rPr>
          <w:b w:val="0"/>
          <w:bCs/>
          <w:color w:val="000000" w:themeColor="text1"/>
          <w:highlight w:val="none"/>
          <w14:textFill>
            <w14:solidFill>
              <w14:schemeClr w14:val="tx1"/>
            </w14:solidFill>
          </w14:textFill>
        </w:rPr>
        <w:t>主要去向为产品</w:t>
      </w:r>
      <w:r>
        <w:rPr>
          <w:rFonts w:hint="eastAsia"/>
          <w:b w:val="0"/>
          <w:bCs/>
          <w:color w:val="000000" w:themeColor="text1"/>
          <w:highlight w:val="none"/>
          <w14:textFill>
            <w14:solidFill>
              <w14:schemeClr w14:val="tx1"/>
            </w14:solidFill>
          </w14:textFill>
        </w:rPr>
        <w:t>消耗</w:t>
      </w:r>
      <w:r>
        <w:rPr>
          <w:b w:val="0"/>
          <w:bCs/>
          <w:color w:val="000000" w:themeColor="text1"/>
          <w:highlight w:val="none"/>
          <w14:textFill>
            <w14:solidFill>
              <w14:schemeClr w14:val="tx1"/>
            </w14:solidFill>
          </w14:textFill>
        </w:rPr>
        <w:t>、</w:t>
      </w:r>
      <w:r>
        <w:rPr>
          <w:rFonts w:hint="eastAsia"/>
          <w:b w:val="0"/>
          <w:bCs/>
          <w:color w:val="000000" w:themeColor="text1"/>
          <w:highlight w:val="none"/>
          <w14:textFill>
            <w14:solidFill>
              <w14:schemeClr w14:val="tx1"/>
            </w14:solidFill>
          </w14:textFill>
        </w:rPr>
        <w:t>含铬污泥</w:t>
      </w:r>
      <w:r>
        <w:rPr>
          <w:b w:val="0"/>
          <w:bCs/>
          <w:color w:val="000000" w:themeColor="text1"/>
          <w:highlight w:val="none"/>
          <w14:textFill>
            <w14:solidFill>
              <w14:schemeClr w14:val="tx1"/>
            </w14:solidFill>
          </w14:textFill>
        </w:rPr>
        <w:t>、蒸发浓液。</w:t>
      </w:r>
    </w:p>
    <w:p w14:paraId="270FBAC7">
      <w:pPr>
        <w:pStyle w:val="141"/>
        <w:keepNext w:val="0"/>
        <w:keepLines w:val="0"/>
        <w:pageBreakBefore w:val="0"/>
        <w:widowControl w:val="0"/>
        <w:numPr>
          <w:ilvl w:val="0"/>
          <w:numId w:val="0"/>
        </w:numPr>
        <w:kinsoku/>
        <w:wordWrap/>
        <w:overflowPunct/>
        <w:topLinePunct w:val="0"/>
        <w:autoSpaceDE/>
        <w:autoSpaceDN/>
        <w:bidi w:val="0"/>
        <w:ind w:firstLine="480" w:firstLineChars="200"/>
        <w:jc w:val="both"/>
        <w:rPr>
          <w:b w:val="0"/>
          <w:bCs/>
          <w:color w:val="000000" w:themeColor="text1"/>
          <w:highlight w:val="none"/>
          <w14:textFill>
            <w14:solidFill>
              <w14:schemeClr w14:val="tx1"/>
            </w14:solidFill>
          </w14:textFill>
        </w:rPr>
      </w:pPr>
      <w:r>
        <w:rPr>
          <w:b w:val="0"/>
          <w:bCs/>
          <w:color w:val="000000" w:themeColor="text1"/>
          <w:highlight w:val="none"/>
          <w14:textFill>
            <w14:solidFill>
              <w14:schemeClr w14:val="tx1"/>
            </w14:solidFill>
          </w14:textFill>
        </w:rPr>
        <w:t>本项目</w:t>
      </w:r>
      <w:r>
        <w:rPr>
          <w:rFonts w:hint="eastAsia"/>
          <w:b w:val="0"/>
          <w:bCs/>
          <w:color w:val="000000" w:themeColor="text1"/>
          <w:highlight w:val="none"/>
          <w14:textFill>
            <w14:solidFill>
              <w14:schemeClr w14:val="tx1"/>
            </w14:solidFill>
          </w14:textFill>
        </w:rPr>
        <w:t>电镀生产线铬</w:t>
      </w:r>
      <w:r>
        <w:rPr>
          <w:b w:val="0"/>
          <w:bCs/>
          <w:color w:val="000000" w:themeColor="text1"/>
          <w:highlight w:val="none"/>
          <w14:textFill>
            <w14:solidFill>
              <w14:schemeClr w14:val="tx1"/>
            </w14:solidFill>
          </w14:textFill>
        </w:rPr>
        <w:t>元素平衡见</w:t>
      </w:r>
      <w:r>
        <w:rPr>
          <w:rFonts w:hint="eastAsia"/>
          <w:b w:val="0"/>
          <w:bCs/>
          <w:color w:val="000000" w:themeColor="text1"/>
          <w:highlight w:val="none"/>
          <w14:textFill>
            <w14:solidFill>
              <w14:schemeClr w14:val="tx1"/>
            </w14:solidFill>
          </w14:textFill>
        </w:rPr>
        <w:t>下表及图</w:t>
      </w:r>
      <w:r>
        <w:rPr>
          <w:b w:val="0"/>
          <w:bCs/>
          <w:color w:val="000000" w:themeColor="text1"/>
          <w:highlight w:val="none"/>
          <w14:textFill>
            <w14:solidFill>
              <w14:schemeClr w14:val="tx1"/>
            </w14:solidFill>
          </w14:textFill>
        </w:rPr>
        <w:t>。</w:t>
      </w:r>
    </w:p>
    <w:p w14:paraId="217D39A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lang w:val="en-US" w:eastAsia="zh-CN"/>
        </w:rPr>
      </w:pPr>
      <w:r>
        <w:rPr>
          <w:rFonts w:hint="eastAsia"/>
          <w:highlight w:val="none"/>
          <w:lang w:val="en-US" w:eastAsia="zh-CN"/>
        </w:rPr>
        <w:t>表3.3-5    本项目电镀生产线铬元素物料平衡表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560"/>
        <w:gridCol w:w="1422"/>
        <w:gridCol w:w="711"/>
        <w:gridCol w:w="996"/>
        <w:gridCol w:w="1280"/>
        <w:gridCol w:w="1140"/>
        <w:gridCol w:w="1222"/>
      </w:tblGrid>
      <w:tr w14:paraId="5E4D36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949" w:type="dxa"/>
            <w:gridSpan w:val="5"/>
            <w:vAlign w:val="center"/>
          </w:tcPr>
          <w:p w14:paraId="5C18F7C8">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w:t>
            </w:r>
          </w:p>
        </w:tc>
        <w:tc>
          <w:tcPr>
            <w:tcW w:w="2353" w:type="dxa"/>
            <w:gridSpan w:val="2"/>
            <w:vAlign w:val="center"/>
          </w:tcPr>
          <w:p w14:paraId="44E69E2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产出</w:t>
            </w:r>
          </w:p>
        </w:tc>
      </w:tr>
      <w:tr w14:paraId="4A0525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5" w:type="dxa"/>
            <w:vAlign w:val="center"/>
          </w:tcPr>
          <w:p w14:paraId="53213C51">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物料名称</w:t>
            </w:r>
          </w:p>
        </w:tc>
        <w:tc>
          <w:tcPr>
            <w:tcW w:w="1417" w:type="dxa"/>
            <w:vAlign w:val="center"/>
          </w:tcPr>
          <w:p w14:paraId="3D13C418">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投入量（t/a）</w:t>
            </w:r>
          </w:p>
        </w:tc>
        <w:tc>
          <w:tcPr>
            <w:tcW w:w="709" w:type="dxa"/>
            <w:vAlign w:val="center"/>
          </w:tcPr>
          <w:p w14:paraId="3A56B04D">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纯度</w:t>
            </w:r>
          </w:p>
        </w:tc>
        <w:tc>
          <w:tcPr>
            <w:tcW w:w="992" w:type="dxa"/>
            <w:vAlign w:val="center"/>
          </w:tcPr>
          <w:p w14:paraId="2AB63CCF">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hint="eastAsia" w:eastAsia="宋体" w:cs="Times New Roman"/>
                <w:b/>
                <w:bCs/>
                <w:color w:val="000000" w:themeColor="text1"/>
                <w:kern w:val="21"/>
                <w:sz w:val="21"/>
                <w:szCs w:val="21"/>
                <w:highlight w:val="none"/>
                <w14:textFill>
                  <w14:solidFill>
                    <w14:schemeClr w14:val="tx1"/>
                  </w14:solidFill>
                </w14:textFill>
              </w:rPr>
              <w:t>铬</w:t>
            </w:r>
            <w:r>
              <w:rPr>
                <w:rFonts w:eastAsia="宋体" w:cs="Times New Roman"/>
                <w:b/>
                <w:bCs/>
                <w:color w:val="000000" w:themeColor="text1"/>
                <w:kern w:val="21"/>
                <w:sz w:val="21"/>
                <w:szCs w:val="21"/>
                <w:highlight w:val="none"/>
                <w14:textFill>
                  <w14:solidFill>
                    <w14:schemeClr w14:val="tx1"/>
                  </w14:solidFill>
                </w14:textFill>
              </w:rPr>
              <w:t>含量</w:t>
            </w:r>
          </w:p>
        </w:tc>
        <w:tc>
          <w:tcPr>
            <w:tcW w:w="1276" w:type="dxa"/>
            <w:vAlign w:val="center"/>
          </w:tcPr>
          <w:p w14:paraId="2C47ABF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hint="eastAsia" w:eastAsia="宋体" w:cs="Times New Roman"/>
                <w:b/>
                <w:bCs/>
                <w:color w:val="000000" w:themeColor="text1"/>
                <w:kern w:val="21"/>
                <w:sz w:val="21"/>
                <w:szCs w:val="21"/>
                <w:highlight w:val="none"/>
                <w14:textFill>
                  <w14:solidFill>
                    <w14:schemeClr w14:val="tx1"/>
                  </w14:solidFill>
                </w14:textFill>
              </w:rPr>
              <w:t>铬</w:t>
            </w:r>
            <w:r>
              <w:rPr>
                <w:rFonts w:eastAsia="宋体" w:cs="Times New Roman"/>
                <w:b/>
                <w:bCs/>
                <w:color w:val="000000" w:themeColor="text1"/>
                <w:kern w:val="21"/>
                <w:sz w:val="21"/>
                <w:szCs w:val="21"/>
                <w:highlight w:val="none"/>
                <w14:textFill>
                  <w14:solidFill>
                    <w14:schemeClr w14:val="tx1"/>
                  </w14:solidFill>
                </w14:textFill>
              </w:rPr>
              <w:t>量（t/a）</w:t>
            </w:r>
          </w:p>
        </w:tc>
        <w:tc>
          <w:tcPr>
            <w:tcW w:w="1136" w:type="dxa"/>
            <w:vAlign w:val="center"/>
          </w:tcPr>
          <w:p w14:paraId="549BEEC0">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eastAsia="宋体" w:cs="Times New Roman"/>
                <w:b/>
                <w:bCs/>
                <w:color w:val="000000" w:themeColor="text1"/>
                <w:kern w:val="21"/>
                <w:sz w:val="21"/>
                <w:szCs w:val="21"/>
                <w:highlight w:val="none"/>
                <w14:textFill>
                  <w14:solidFill>
                    <w14:schemeClr w14:val="tx1"/>
                  </w14:solidFill>
                </w14:textFill>
              </w:rPr>
              <w:t>名称</w:t>
            </w:r>
          </w:p>
        </w:tc>
        <w:tc>
          <w:tcPr>
            <w:tcW w:w="1217" w:type="dxa"/>
            <w:vAlign w:val="center"/>
          </w:tcPr>
          <w:p w14:paraId="7D233069">
            <w:pPr>
              <w:pStyle w:val="172"/>
              <w:keepNext w:val="0"/>
              <w:keepLines w:val="0"/>
              <w:spacing w:before="0" w:beforeLines="0" w:after="0" w:afterLines="0" w:line="240" w:lineRule="auto"/>
              <w:ind w:firstLine="0" w:firstLineChars="0"/>
              <w:jc w:val="center"/>
              <w:textAlignment w:val="auto"/>
              <w:outlineLvl w:val="9"/>
              <w:rPr>
                <w:rFonts w:eastAsia="宋体" w:cs="Times New Roman"/>
                <w:b/>
                <w:bCs/>
                <w:color w:val="000000" w:themeColor="text1"/>
                <w:kern w:val="21"/>
                <w:sz w:val="21"/>
                <w:szCs w:val="21"/>
                <w:highlight w:val="none"/>
                <w14:textFill>
                  <w14:solidFill>
                    <w14:schemeClr w14:val="tx1"/>
                  </w14:solidFill>
                </w14:textFill>
              </w:rPr>
            </w:pPr>
            <w:r>
              <w:rPr>
                <w:rFonts w:hint="eastAsia" w:eastAsia="宋体" w:cs="Times New Roman"/>
                <w:b/>
                <w:bCs/>
                <w:color w:val="000000" w:themeColor="text1"/>
                <w:kern w:val="21"/>
                <w:sz w:val="21"/>
                <w:szCs w:val="21"/>
                <w:highlight w:val="none"/>
                <w14:textFill>
                  <w14:solidFill>
                    <w14:schemeClr w14:val="tx1"/>
                  </w14:solidFill>
                </w14:textFill>
              </w:rPr>
              <w:t>铬</w:t>
            </w:r>
            <w:r>
              <w:rPr>
                <w:rFonts w:eastAsia="宋体" w:cs="Times New Roman"/>
                <w:b/>
                <w:bCs/>
                <w:color w:val="000000" w:themeColor="text1"/>
                <w:kern w:val="21"/>
                <w:sz w:val="21"/>
                <w:szCs w:val="21"/>
                <w:highlight w:val="none"/>
                <w14:textFill>
                  <w14:solidFill>
                    <w14:schemeClr w14:val="tx1"/>
                  </w14:solidFill>
                </w14:textFill>
              </w:rPr>
              <w:t>量（t/a）</w:t>
            </w:r>
          </w:p>
        </w:tc>
      </w:tr>
      <w:tr w14:paraId="002E79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5" w:type="dxa"/>
            <w:vAlign w:val="center"/>
          </w:tcPr>
          <w:p w14:paraId="450E517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硝酸铬</w:t>
            </w:r>
          </w:p>
          <w:p w14:paraId="4272104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bCs/>
                <w:color w:val="000000" w:themeColor="text1"/>
                <w:kern w:val="21"/>
                <w:sz w:val="21"/>
                <w:szCs w:val="21"/>
                <w:highlight w:val="none"/>
                <w14:textFill>
                  <w14:solidFill>
                    <w14:schemeClr w14:val="tx1"/>
                  </w14:solidFill>
                </w14:textFill>
              </w:rPr>
              <w:t>Cr(NO</w:t>
            </w:r>
            <w:r>
              <w:rPr>
                <w:bCs/>
                <w:color w:val="000000" w:themeColor="text1"/>
                <w:kern w:val="21"/>
                <w:sz w:val="21"/>
                <w:szCs w:val="21"/>
                <w:highlight w:val="none"/>
                <w:vertAlign w:val="subscript"/>
                <w14:textFill>
                  <w14:solidFill>
                    <w14:schemeClr w14:val="tx1"/>
                  </w14:solidFill>
                </w14:textFill>
              </w:rPr>
              <w:t>3</w:t>
            </w:r>
            <w:r>
              <w:rPr>
                <w:bCs/>
                <w:color w:val="000000" w:themeColor="text1"/>
                <w:kern w:val="21"/>
                <w:sz w:val="21"/>
                <w:szCs w:val="21"/>
                <w:highlight w:val="none"/>
                <w14:textFill>
                  <w14:solidFill>
                    <w14:schemeClr w14:val="tx1"/>
                  </w14:solidFill>
                </w14:textFill>
              </w:rPr>
              <w:t>)</w:t>
            </w:r>
            <w:r>
              <w:rPr>
                <w:bCs/>
                <w:color w:val="000000" w:themeColor="text1"/>
                <w:kern w:val="21"/>
                <w:sz w:val="21"/>
                <w:szCs w:val="21"/>
                <w:highlight w:val="none"/>
                <w:vertAlign w:val="subscript"/>
                <w14:textFill>
                  <w14:solidFill>
                    <w14:schemeClr w14:val="tx1"/>
                  </w14:solidFill>
                </w14:textFill>
              </w:rPr>
              <w:t>3</w:t>
            </w:r>
            <w:r>
              <w:rPr>
                <w:bCs/>
                <w:color w:val="000000" w:themeColor="text1"/>
                <w:kern w:val="21"/>
                <w:sz w:val="21"/>
                <w:szCs w:val="21"/>
                <w:highlight w:val="none"/>
                <w14:textFill>
                  <w14:solidFill>
                    <w14:schemeClr w14:val="tx1"/>
                  </w14:solidFill>
                </w14:textFill>
              </w:rPr>
              <w:t>9H</w:t>
            </w:r>
            <w:r>
              <w:rPr>
                <w:bCs/>
                <w:color w:val="000000" w:themeColor="text1"/>
                <w:kern w:val="21"/>
                <w:sz w:val="21"/>
                <w:szCs w:val="21"/>
                <w:highlight w:val="none"/>
                <w:vertAlign w:val="subscript"/>
                <w14:textFill>
                  <w14:solidFill>
                    <w14:schemeClr w14:val="tx1"/>
                  </w14:solidFill>
                </w14:textFill>
              </w:rPr>
              <w:t>2</w:t>
            </w:r>
            <w:r>
              <w:rPr>
                <w:bCs/>
                <w:color w:val="000000" w:themeColor="text1"/>
                <w:kern w:val="21"/>
                <w:sz w:val="21"/>
                <w:szCs w:val="21"/>
                <w:highlight w:val="none"/>
                <w14:textFill>
                  <w14:solidFill>
                    <w14:schemeClr w14:val="tx1"/>
                  </w14:solidFill>
                </w14:textFill>
              </w:rPr>
              <w:t>O</w:t>
            </w:r>
          </w:p>
        </w:tc>
        <w:tc>
          <w:tcPr>
            <w:tcW w:w="1417" w:type="dxa"/>
            <w:vAlign w:val="center"/>
          </w:tcPr>
          <w:p w14:paraId="2CE7C824">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31.23</w:t>
            </w:r>
          </w:p>
        </w:tc>
        <w:tc>
          <w:tcPr>
            <w:tcW w:w="709" w:type="dxa"/>
            <w:vAlign w:val="center"/>
          </w:tcPr>
          <w:p w14:paraId="52F5DE1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9</w:t>
            </w:r>
            <w:r>
              <w:rPr>
                <w:rFonts w:eastAsia="宋体" w:cs="Times New Roman"/>
                <w:color w:val="000000" w:themeColor="text1"/>
                <w:kern w:val="21"/>
                <w:sz w:val="21"/>
                <w:szCs w:val="21"/>
                <w:highlight w:val="none"/>
                <w14:textFill>
                  <w14:solidFill>
                    <w14:schemeClr w14:val="tx1"/>
                  </w14:solidFill>
                </w14:textFill>
              </w:rPr>
              <w:t>9.8%</w:t>
            </w:r>
          </w:p>
        </w:tc>
        <w:tc>
          <w:tcPr>
            <w:tcW w:w="992" w:type="dxa"/>
            <w:vAlign w:val="center"/>
          </w:tcPr>
          <w:p w14:paraId="3D55664E">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1</w:t>
            </w:r>
            <w:r>
              <w:rPr>
                <w:rFonts w:eastAsia="宋体" w:cs="Times New Roman"/>
                <w:color w:val="000000" w:themeColor="text1"/>
                <w:kern w:val="21"/>
                <w:sz w:val="21"/>
                <w:szCs w:val="21"/>
                <w:highlight w:val="none"/>
                <w14:textFill>
                  <w14:solidFill>
                    <w14:schemeClr w14:val="tx1"/>
                  </w14:solidFill>
                </w14:textFill>
              </w:rPr>
              <w:t>2.99%</w:t>
            </w:r>
          </w:p>
        </w:tc>
        <w:tc>
          <w:tcPr>
            <w:tcW w:w="1276" w:type="dxa"/>
            <w:vAlign w:val="center"/>
          </w:tcPr>
          <w:p w14:paraId="10428B4A">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4.0489</w:t>
            </w:r>
          </w:p>
        </w:tc>
        <w:tc>
          <w:tcPr>
            <w:tcW w:w="1136" w:type="dxa"/>
            <w:vAlign w:val="center"/>
          </w:tcPr>
          <w:p w14:paraId="63E65E43">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产品</w:t>
            </w:r>
            <w:r>
              <w:rPr>
                <w:rFonts w:hint="eastAsia" w:eastAsia="宋体" w:cs="Times New Roman"/>
                <w:color w:val="000000" w:themeColor="text1"/>
                <w:kern w:val="21"/>
                <w:sz w:val="21"/>
                <w:szCs w:val="21"/>
                <w:highlight w:val="none"/>
                <w14:textFill>
                  <w14:solidFill>
                    <w14:schemeClr w14:val="tx1"/>
                  </w14:solidFill>
                </w14:textFill>
              </w:rPr>
              <w:t>消耗</w:t>
            </w:r>
          </w:p>
        </w:tc>
        <w:tc>
          <w:tcPr>
            <w:tcW w:w="1217" w:type="dxa"/>
            <w:vAlign w:val="center"/>
          </w:tcPr>
          <w:p w14:paraId="17BB1C0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3.5547</w:t>
            </w:r>
          </w:p>
        </w:tc>
      </w:tr>
      <w:tr w14:paraId="72A22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5" w:type="dxa"/>
            <w:vAlign w:val="center"/>
          </w:tcPr>
          <w:p w14:paraId="3D796DA1">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417" w:type="dxa"/>
            <w:vAlign w:val="center"/>
          </w:tcPr>
          <w:p w14:paraId="766F911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709" w:type="dxa"/>
            <w:vAlign w:val="center"/>
          </w:tcPr>
          <w:p w14:paraId="311D9312">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992" w:type="dxa"/>
            <w:vAlign w:val="center"/>
          </w:tcPr>
          <w:p w14:paraId="569FD51B">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276" w:type="dxa"/>
            <w:vAlign w:val="center"/>
          </w:tcPr>
          <w:p w14:paraId="4CBF562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136" w:type="dxa"/>
            <w:vAlign w:val="center"/>
          </w:tcPr>
          <w:p w14:paraId="63592534">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hint="eastAsia" w:eastAsia="宋体" w:cs="Times New Roman"/>
                <w:color w:val="000000" w:themeColor="text1"/>
                <w:kern w:val="21"/>
                <w:sz w:val="21"/>
                <w:szCs w:val="21"/>
                <w:highlight w:val="none"/>
                <w14:textFill>
                  <w14:solidFill>
                    <w14:schemeClr w14:val="tx1"/>
                  </w14:solidFill>
                </w14:textFill>
              </w:rPr>
              <w:t>含铬污泥</w:t>
            </w:r>
          </w:p>
        </w:tc>
        <w:tc>
          <w:tcPr>
            <w:tcW w:w="1217" w:type="dxa"/>
            <w:vAlign w:val="center"/>
          </w:tcPr>
          <w:p w14:paraId="6DF53293">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0.3952</w:t>
            </w:r>
          </w:p>
        </w:tc>
      </w:tr>
      <w:tr w14:paraId="3FA8DA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5" w:type="dxa"/>
            <w:vAlign w:val="center"/>
          </w:tcPr>
          <w:p w14:paraId="2AA9CE75">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417" w:type="dxa"/>
            <w:vAlign w:val="center"/>
          </w:tcPr>
          <w:p w14:paraId="4F62235D">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09" w:type="dxa"/>
            <w:vAlign w:val="center"/>
          </w:tcPr>
          <w:p w14:paraId="02F37DDB">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2" w:type="dxa"/>
            <w:vAlign w:val="center"/>
          </w:tcPr>
          <w:p w14:paraId="522FF095">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76" w:type="dxa"/>
            <w:vAlign w:val="center"/>
          </w:tcPr>
          <w:p w14:paraId="142D5C8D">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136" w:type="dxa"/>
            <w:vAlign w:val="center"/>
          </w:tcPr>
          <w:p w14:paraId="2B443E3A">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蒸发浓液</w:t>
            </w:r>
          </w:p>
        </w:tc>
        <w:tc>
          <w:tcPr>
            <w:tcW w:w="1217" w:type="dxa"/>
            <w:vAlign w:val="center"/>
          </w:tcPr>
          <w:p w14:paraId="741408F7">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0.099</w:t>
            </w:r>
          </w:p>
        </w:tc>
      </w:tr>
      <w:tr w14:paraId="36B544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55" w:type="dxa"/>
            <w:vAlign w:val="center"/>
          </w:tcPr>
          <w:p w14:paraId="4BC10068">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合计</w:t>
            </w:r>
          </w:p>
        </w:tc>
        <w:tc>
          <w:tcPr>
            <w:tcW w:w="1417" w:type="dxa"/>
            <w:vAlign w:val="center"/>
          </w:tcPr>
          <w:p w14:paraId="463962A8">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709" w:type="dxa"/>
            <w:vAlign w:val="center"/>
          </w:tcPr>
          <w:p w14:paraId="228AAECF">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992" w:type="dxa"/>
            <w:vAlign w:val="center"/>
          </w:tcPr>
          <w:p w14:paraId="3D6104A1">
            <w:pPr>
              <w:spacing w:line="240" w:lineRule="auto"/>
              <w:ind w:firstLine="0" w:firstLineChars="0"/>
              <w:jc w:val="center"/>
              <w:textAlignment w:val="auto"/>
              <w:rPr>
                <w:color w:val="000000" w:themeColor="text1"/>
                <w:kern w:val="21"/>
                <w:sz w:val="21"/>
                <w:szCs w:val="21"/>
                <w:highlight w:val="none"/>
                <w14:textFill>
                  <w14:solidFill>
                    <w14:schemeClr w14:val="tx1"/>
                  </w14:solidFill>
                </w14:textFill>
              </w:rPr>
            </w:pPr>
            <w:r>
              <w:rPr>
                <w:color w:val="000000" w:themeColor="text1"/>
                <w:kern w:val="21"/>
                <w:sz w:val="21"/>
                <w:szCs w:val="21"/>
                <w:highlight w:val="none"/>
                <w14:textFill>
                  <w14:solidFill>
                    <w14:schemeClr w14:val="tx1"/>
                  </w14:solidFill>
                </w14:textFill>
              </w:rPr>
              <w:t>/</w:t>
            </w:r>
          </w:p>
        </w:tc>
        <w:tc>
          <w:tcPr>
            <w:tcW w:w="1276" w:type="dxa"/>
            <w:vAlign w:val="center"/>
          </w:tcPr>
          <w:p w14:paraId="4DFB6EA0">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4.0489</w:t>
            </w:r>
          </w:p>
        </w:tc>
        <w:tc>
          <w:tcPr>
            <w:tcW w:w="1136" w:type="dxa"/>
            <w:vAlign w:val="center"/>
          </w:tcPr>
          <w:p w14:paraId="41CFDDAC">
            <w:pPr>
              <w:pStyle w:val="172"/>
              <w:keepNext w:val="0"/>
              <w:keepLines w:val="0"/>
              <w:spacing w:before="0" w:beforeLines="0" w:after="0" w:afterLines="0" w:line="240" w:lineRule="auto"/>
              <w:ind w:firstLine="0" w:firstLineChars="0"/>
              <w:jc w:val="center"/>
              <w:textAlignment w:val="auto"/>
              <w:outlineLvl w:val="9"/>
              <w:rPr>
                <w:rFonts w:eastAsia="宋体" w:cs="Times New Roman"/>
                <w:color w:val="000000" w:themeColor="text1"/>
                <w:kern w:val="21"/>
                <w:sz w:val="21"/>
                <w:szCs w:val="21"/>
                <w:highlight w:val="none"/>
                <w14:textFill>
                  <w14:solidFill>
                    <w14:schemeClr w14:val="tx1"/>
                  </w14:solidFill>
                </w14:textFill>
              </w:rPr>
            </w:pPr>
            <w:r>
              <w:rPr>
                <w:rFonts w:eastAsia="宋体" w:cs="Times New Roman"/>
                <w:color w:val="000000" w:themeColor="text1"/>
                <w:kern w:val="21"/>
                <w:sz w:val="21"/>
                <w:szCs w:val="21"/>
                <w:highlight w:val="none"/>
                <w14:textFill>
                  <w14:solidFill>
                    <w14:schemeClr w14:val="tx1"/>
                  </w14:solidFill>
                </w14:textFill>
              </w:rPr>
              <w:t>/</w:t>
            </w:r>
          </w:p>
        </w:tc>
        <w:tc>
          <w:tcPr>
            <w:tcW w:w="1217" w:type="dxa"/>
            <w:vAlign w:val="center"/>
          </w:tcPr>
          <w:p w14:paraId="5E77D863">
            <w:pPr>
              <w:pStyle w:val="172"/>
              <w:keepNext w:val="0"/>
              <w:keepLines w:val="0"/>
              <w:spacing w:before="0" w:beforeLines="0" w:after="0" w:afterLines="0" w:line="240" w:lineRule="auto"/>
              <w:ind w:firstLine="0" w:firstLineChars="0"/>
              <w:jc w:val="center"/>
              <w:textAlignment w:val="auto"/>
              <w:outlineLvl w:val="9"/>
              <w:rPr>
                <w:rFonts w:hint="default" w:eastAsia="宋体" w:cs="Times New Roman"/>
                <w:color w:val="000000" w:themeColor="text1"/>
                <w:kern w:val="21"/>
                <w:sz w:val="21"/>
                <w:szCs w:val="21"/>
                <w:highlight w:val="none"/>
                <w:lang w:val="en-US" w:eastAsia="zh-CN"/>
                <w14:textFill>
                  <w14:solidFill>
                    <w14:schemeClr w14:val="tx1"/>
                  </w14:solidFill>
                </w14:textFill>
              </w:rPr>
            </w:pPr>
            <w:r>
              <w:rPr>
                <w:rFonts w:hint="eastAsia" w:eastAsia="宋体" w:cs="Times New Roman"/>
                <w:color w:val="000000" w:themeColor="text1"/>
                <w:kern w:val="21"/>
                <w:sz w:val="21"/>
                <w:szCs w:val="21"/>
                <w:highlight w:val="none"/>
                <w:lang w:val="en-US" w:eastAsia="zh-CN"/>
                <w14:textFill>
                  <w14:solidFill>
                    <w14:schemeClr w14:val="tx1"/>
                  </w14:solidFill>
                </w14:textFill>
              </w:rPr>
              <w:t>4.0489</w:t>
            </w:r>
          </w:p>
        </w:tc>
      </w:tr>
    </w:tbl>
    <w:p w14:paraId="4CE10CCB">
      <w:pPr>
        <w:pStyle w:val="78"/>
      </w:pPr>
    </w:p>
    <w:p w14:paraId="22D13835">
      <w:pPr>
        <w:pStyle w:val="78"/>
      </w:pPr>
      <w:r>
        <w:rPr>
          <w:rFonts w:ascii="Calibri" w:hAnsi="Calibri"/>
          <w:kern w:val="2"/>
          <w:sz w:val="21"/>
          <w:szCs w:val="24"/>
        </w:rPr>
        <mc:AlternateContent>
          <mc:Choice Requires="wpg">
            <w:drawing>
              <wp:anchor distT="0" distB="0" distL="114300" distR="114300" simplePos="0" relativeHeight="251705344" behindDoc="0" locked="0" layoutInCell="1" allowOverlap="1">
                <wp:simplePos x="0" y="0"/>
                <wp:positionH relativeFrom="column">
                  <wp:posOffset>666750</wp:posOffset>
                </wp:positionH>
                <wp:positionV relativeFrom="paragraph">
                  <wp:posOffset>41275</wp:posOffset>
                </wp:positionV>
                <wp:extent cx="3950970" cy="1257300"/>
                <wp:effectExtent l="0" t="0" r="0" b="0"/>
                <wp:wrapNone/>
                <wp:docPr id="67" name="组合 67"/>
                <wp:cNvGraphicFramePr/>
                <a:graphic xmlns:a="http://schemas.openxmlformats.org/drawingml/2006/main">
                  <a:graphicData uri="http://schemas.microsoft.com/office/word/2010/wordprocessingGroup">
                    <wpg:wgp>
                      <wpg:cNvGrpSpPr/>
                      <wpg:grpSpPr>
                        <a:xfrm rot="0">
                          <a:off x="2705100" y="3810000"/>
                          <a:ext cx="3950970" cy="1257300"/>
                          <a:chOff x="2593" y="28024"/>
                          <a:chExt cx="6222" cy="1980"/>
                        </a:xfrm>
                      </wpg:grpSpPr>
                      <wps:wsp>
                        <wps:cNvPr id="300" name="矩形 42"/>
                        <wps:cNvSpPr/>
                        <wps:spPr>
                          <a:xfrm>
                            <a:off x="3086" y="28519"/>
                            <a:ext cx="112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73D0E83">
                              <w:pPr>
                                <w:adjustRightInd/>
                                <w:snapToGrid/>
                                <w:spacing w:line="240" w:lineRule="auto"/>
                                <w:ind w:firstLine="0" w:firstLineChars="0"/>
                                <w:jc w:val="center"/>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4.0489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1" name="矩形 42"/>
                        <wps:cNvSpPr/>
                        <wps:spPr>
                          <a:xfrm>
                            <a:off x="2593" y="28564"/>
                            <a:ext cx="795" cy="840"/>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CB67F4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原料含铬</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2" name="矩形 4"/>
                        <wps:cNvSpPr/>
                        <wps:spPr>
                          <a:xfrm>
                            <a:off x="5584" y="28906"/>
                            <a:ext cx="1230" cy="979"/>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D4C986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含铬废水处理系统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3" name="直接箭头连接符 5"/>
                        <wps:cNvCnPr/>
                        <wps:spPr>
                          <a:xfrm>
                            <a:off x="3214" y="29020"/>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304" name="矩形 4"/>
                        <wps:cNvSpPr/>
                        <wps:spPr>
                          <a:xfrm>
                            <a:off x="4112" y="28201"/>
                            <a:ext cx="556" cy="1593"/>
                          </a:xfrm>
                          <a:prstGeom prst="rect">
                            <a:avLst/>
                          </a:prstGeom>
                          <a:noFill/>
                          <a:ln w="12700" cap="flat" cmpd="sng" algn="ctr">
                            <a:solidFill>
                              <a:srgbClr val="000000"/>
                            </a:solid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6F5A285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钝化工序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5" name="矩形 42"/>
                        <wps:cNvSpPr/>
                        <wps:spPr>
                          <a:xfrm>
                            <a:off x="4612" y="28024"/>
                            <a:ext cx="1124"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439226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3.5547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6" name="直接箭头连接符 5"/>
                        <wps:cNvCnPr/>
                        <wps:spPr>
                          <a:xfrm>
                            <a:off x="4677" y="28450"/>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307" name="矩形 42"/>
                        <wps:cNvSpPr/>
                        <wps:spPr>
                          <a:xfrm>
                            <a:off x="4626" y="29022"/>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F99145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0.4942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8" name="直接箭头连接符 5"/>
                        <wps:cNvCnPr/>
                        <wps:spPr>
                          <a:xfrm>
                            <a:off x="4677" y="29448"/>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311" name="矩形 42"/>
                        <wps:cNvSpPr/>
                        <wps:spPr>
                          <a:xfrm>
                            <a:off x="6771" y="29300"/>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40887F8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0.099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直接箭头连接符 5"/>
                        <wps:cNvCnPr/>
                        <wps:spPr>
                          <a:xfrm>
                            <a:off x="6822" y="29726"/>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313" name="矩形 42"/>
                        <wps:cNvSpPr/>
                        <wps:spPr>
                          <a:xfrm>
                            <a:off x="6771" y="28707"/>
                            <a:ext cx="99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3AD501C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0.3952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直接箭头连接符 5"/>
                        <wps:cNvCnPr/>
                        <wps:spPr>
                          <a:xfrm>
                            <a:off x="6822" y="29133"/>
                            <a:ext cx="907" cy="1"/>
                          </a:xfrm>
                          <a:prstGeom prst="straightConnector1">
                            <a:avLst/>
                          </a:prstGeom>
                          <a:noFill/>
                          <a:ln w="12700" cap="flat" cmpd="sng" algn="ctr">
                            <a:solidFill>
                              <a:srgbClr val="000000"/>
                            </a:solidFill>
                            <a:prstDash val="solid"/>
                            <a:miter lim="800000"/>
                            <a:tailEnd type="triangle"/>
                          </a:ln>
                          <a:effectLst/>
                        </wps:spPr>
                        <wps:style>
                          <a:lnRef idx="2">
                            <a:schemeClr val="accent1"/>
                          </a:lnRef>
                          <a:fillRef idx="0">
                            <a:srgbClr val="FFFFFF"/>
                          </a:fillRef>
                          <a:effectRef idx="0">
                            <a:srgbClr val="FFFFFF"/>
                          </a:effectRef>
                          <a:fontRef idx="minor">
                            <a:schemeClr val="tx1"/>
                          </a:fontRef>
                        </wps:style>
                        <wps:bodyPr/>
                      </wps:wsp>
                      <wps:wsp>
                        <wps:cNvPr id="315" name="矩形 42"/>
                        <wps:cNvSpPr/>
                        <wps:spPr>
                          <a:xfrm>
                            <a:off x="5486" y="28144"/>
                            <a:ext cx="1229"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59636A0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7" name="矩形 42"/>
                        <wps:cNvSpPr/>
                        <wps:spPr>
                          <a:xfrm>
                            <a:off x="7587" y="28849"/>
                            <a:ext cx="900"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089735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8" name="矩形 42"/>
                        <wps:cNvSpPr/>
                        <wps:spPr>
                          <a:xfrm>
                            <a:off x="7601" y="29464"/>
                            <a:ext cx="1215" cy="541"/>
                          </a:xfrm>
                          <a:prstGeom prst="rect">
                            <a:avLst/>
                          </a:prstGeom>
                          <a:no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txbx>
                          <w:txbxContent>
                            <w:p w14:paraId="2C29EA0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5pt;margin-top:3.25pt;height:99pt;width:311.1pt;z-index:251705344;mso-width-relative:page;mso-height-relative:page;" coordorigin="2593,28024" coordsize="6222,1980" o:gfxdata="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">
                <o:lock v:ext="edit" aspectratio="f"/>
                <v:rect id="矩形 42" o:spid="_x0000_s1026" o:spt="1" style="position:absolute;left:3086;top:28519;height:541;width:1125;v-text-anchor:middle;" filled="f" stroked="f" coordsize="21600,21600" o:gfxdata="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NKO/q5AAAA3AAA&#10;AA8AAAAAAAAAAQAgAAAAIgAAAGRycy9kb3ducmV2LnhtbFBLAQIUABQAAAAIAIdO4kAzLwWeOwAA&#10;ADkAAAAQAAAAAAAAAAEAIAAAAAgBAABkcnMvc2hhcGV4bWwueG1sUEsFBgAAAAAGAAYAWwEAALID&#10;AAAAAA==&#10;">
                  <v:fill on="f" focussize="0,0"/>
                  <v:stroke on="f" weight="1pt" miterlimit="8" joinstyle="miter"/>
                  <v:imagedata o:title=""/>
                  <o:lock v:ext="edit" aspectratio="f"/>
                  <v:textbox>
                    <w:txbxContent>
                      <w:p w14:paraId="073D0E83">
                        <w:pPr>
                          <w:adjustRightInd/>
                          <w:snapToGrid/>
                          <w:spacing w:line="240" w:lineRule="auto"/>
                          <w:ind w:firstLine="0" w:firstLineChars="0"/>
                          <w:jc w:val="center"/>
                          <w:textAlignment w:val="auto"/>
                          <w:rPr>
                            <w:rFonts w:hint="default" w:ascii="Times New Roman" w:hAnsi="Times New Roman"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4.0489</w:t>
                        </w:r>
                      </w:p>
                    </w:txbxContent>
                  </v:textbox>
                </v:rect>
                <v:rect id="矩形 42" o:spid="_x0000_s1026" o:spt="1" style="position:absolute;left:2593;top:28564;height:840;width:795;v-text-anchor:middle;" filled="f" stroked="f" coordsize="21600,21600" o:gfxdata="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GnmG8AAAA&#10;3A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3CB67F48">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原料含铬</w:t>
                        </w:r>
                      </w:p>
                    </w:txbxContent>
                  </v:textbox>
                </v:rect>
                <v:rect id="矩形 4" o:spid="_x0000_s1026" o:spt="1" style="position:absolute;left:5584;top:28906;height:979;width:1230;v-text-anchor:middle;" filled="f" stroked="t" coordsize="21600,21600" o:gfxdata="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TGur4A&#10;AADcAAAADwAAAAAAAAABACAAAAAiAAAAZHJzL2Rvd25yZXYueG1sUEsBAhQAFAAAAAgAh07iQDMv&#10;BZ47AAAAOQAAABAAAAAAAAAAAQAgAAAADQEAAGRycy9zaGFwZXhtbC54bWxQSwUGAAAAAAYABgBb&#10;AQAAtwMAAAAA&#10;">
                  <v:fill on="f" focussize="0,0"/>
                  <v:stroke weight="1pt" color="#000000 [2404]" miterlimit="8" joinstyle="miter"/>
                  <v:imagedata o:title=""/>
                  <o:lock v:ext="edit" aspectratio="f"/>
                  <v:textbox>
                    <w:txbxContent>
                      <w:p w14:paraId="0D4C986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含铬废水处理系统</w:t>
                        </w:r>
                      </w:p>
                    </w:txbxContent>
                  </v:textbox>
                </v:rect>
                <v:shape id="直接箭头连接符 5" o:spid="_x0000_s1026" o:spt="32" type="#_x0000_t32" style="position:absolute;left:3214;top:29020;height:1;width:907;" filled="f" stroked="t" coordsize="21600,21600" o:gfxdata="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CRixy/&#10;AAAA3AAAAA8AAAAAAAAAAQAgAAAAIgAAAGRycy9kb3ducmV2LnhtbFBLAQIUABQAAAAIAIdO4kAz&#10;LwWeOwAAADkAAAAQAAAAAAAAAAEAIAAAAA4BAABkcnMvc2hhcGV4bWwueG1sUEsFBgAAAAAGAAYA&#10;WwEAALgDAAAAAA==&#10;">
                  <v:fill on="f" focussize="0,0"/>
                  <v:stroke weight="1pt" color="#000000 [3204]" miterlimit="8" joinstyle="miter" endarrow="block"/>
                  <v:imagedata o:title=""/>
                  <o:lock v:ext="edit" aspectratio="f"/>
                </v:shape>
                <v:rect id="矩形 4" o:spid="_x0000_s1026" o:spt="1" style="position:absolute;left:4112;top:28201;height:1593;width:556;v-text-anchor:middle;" filled="f" stroked="t" coordsize="21600,21600" o:gfxdata="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H7Vb4A&#10;AADcAAAADwAAAAAAAAABACAAAAAiAAAAZHJzL2Rvd25yZXYueG1sUEsBAhQAFAAAAAgAh07iQDMv&#10;BZ47AAAAOQAAABAAAAAAAAAAAQAgAAAADQEAAGRycy9zaGFwZXhtbC54bWxQSwUGAAAAAAYABgBb&#10;AQAAtwMAAAAA&#10;">
                  <v:fill on="f" focussize="0,0"/>
                  <v:stroke weight="1pt" color="#000000 [2404]" miterlimit="8" joinstyle="miter"/>
                  <v:imagedata o:title=""/>
                  <o:lock v:ext="edit" aspectratio="f"/>
                  <v:textbox>
                    <w:txbxContent>
                      <w:p w14:paraId="6F5A2852">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钝化工序</w:t>
                        </w:r>
                      </w:p>
                    </w:txbxContent>
                  </v:textbox>
                </v:rect>
                <v:rect id="矩形 42" o:spid="_x0000_s1026" o:spt="1" style="position:absolute;left:4612;top:28024;height:541;width:1124;v-text-anchor:middle;" filled="f" stroked="f" coordsize="21600,21600" o:gfxdata="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Zhi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54392263">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3.5547</w:t>
                        </w:r>
                      </w:p>
                    </w:txbxContent>
                  </v:textbox>
                </v:rect>
                <v:shape id="直接箭头连接符 5" o:spid="_x0000_s1026" o:spt="32" type="#_x0000_t32" style="position:absolute;left:4677;top:28450;height:1;width:907;" filled="f" stroked="t" coordsize="21600,21600" o:gfxdata="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OYohL4A&#10;AADc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4626;top:29022;height:541;width:990;v-text-anchor:middle;" filled="f" stroked="f" coordsize="21600,21600" o:gfxdata="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o6OO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4F99145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0.4942</w:t>
                        </w:r>
                      </w:p>
                    </w:txbxContent>
                  </v:textbox>
                </v:rect>
                <v:shape id="直接箭头连接符 5" o:spid="_x0000_s1026" o:spt="32" type="#_x0000_t32" style="position:absolute;left:4677;top:29448;height:1;width:907;" filled="f" stroked="t" coordsize="21600,21600" o:gfxdata="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41GW28AAAA&#10;3AAAAA8AAAAAAAAAAQAgAAAAIgAAAGRycy9kb3ducmV2LnhtbFBLAQIUABQAAAAIAIdO4kAzLwWe&#10;OwAAADkAAAAQAAAAAAAAAAEAIAAAAAsBAABkcnMvc2hhcGV4bWwueG1sUEsFBgAAAAAGAAYAWwEA&#10;ALUDAAAAAA==&#10;">
                  <v:fill on="f" focussize="0,0"/>
                  <v:stroke weight="1pt" color="#000000 [3204]" miterlimit="8" joinstyle="miter" endarrow="block"/>
                  <v:imagedata o:title=""/>
                  <o:lock v:ext="edit" aspectratio="f"/>
                </v:shape>
                <v:rect id="矩形 42" o:spid="_x0000_s1026" o:spt="1" style="position:absolute;left:6771;top:29300;height:541;width:990;v-text-anchor:middle;" filled="f" stroked="f" coordsize="21600,21600" o:gfxdata="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nfCLy8AAAA&#10;3AAAAA8AAAAAAAAAAQAgAAAAIgAAAGRycy9kb3ducmV2LnhtbFBLAQIUABQAAAAIAIdO4kAzLwWe&#10;OwAAADkAAAAQAAAAAAAAAAEAIAAAAAsBAABkcnMvc2hhcGV4bWwueG1sUEsFBgAAAAAGAAYAWwEA&#10;ALUDAAAAAA==&#10;">
                  <v:fill on="f" focussize="0,0"/>
                  <v:stroke on="f" weight="1pt" miterlimit="8" joinstyle="miter"/>
                  <v:imagedata o:title=""/>
                  <o:lock v:ext="edit" aspectratio="f"/>
                  <v:textbox>
                    <w:txbxContent>
                      <w:p w14:paraId="40887F8C">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0.099</w:t>
                        </w:r>
                      </w:p>
                    </w:txbxContent>
                  </v:textbox>
                </v:rect>
                <v:shape id="直接箭头连接符 5" o:spid="_x0000_s1026" o:spt="32" type="#_x0000_t32" style="position:absolute;left:6822;top:29726;height:1;width:907;" filled="f" stroked="t" coordsize="21600,21600" o:gfxdata="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BLhavQAA&#10;ANwAAAAPAAAAAAAAAAEAIAAAACIAAABkcnMvZG93bnJldi54bWxQSwECFAAUAAAACACHTuJAMy8F&#10;njsAAAA5AAAAEAAAAAAAAAABACAAAAAMAQAAZHJzL3NoYXBleG1sLnhtbFBLBQYAAAAABgAGAFsB&#10;AAC2AwAAAAA=&#10;">
                  <v:fill on="f" focussize="0,0"/>
                  <v:stroke weight="1pt" color="#000000 [3204]" miterlimit="8" joinstyle="miter" endarrow="block"/>
                  <v:imagedata o:title=""/>
                  <o:lock v:ext="edit" aspectratio="f"/>
                </v:shape>
                <v:rect id="矩形 42" o:spid="_x0000_s1026" o:spt="1" style="position:absolute;left:6771;top:28707;height:541;width:990;v-text-anchor:middle;" filled="f" stroked="f" coordsize="21600,21600" o:gfxdata="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QTNQ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3AD501C1">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0.3952</w:t>
                        </w:r>
                      </w:p>
                    </w:txbxContent>
                  </v:textbox>
                </v:rect>
                <v:shape id="直接箭头连接符 5" o:spid="_x0000_s1026" o:spt="32" type="#_x0000_t32" style="position:absolute;left:6822;top:29133;height:1;width:907;" filled="f" stroked="t" coordsize="21600,21600" o:gfxdata="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qGFtb4A&#10;AADcAAAADwAAAAAAAAABACAAAAAiAAAAZHJzL2Rvd25yZXYueG1sUEsBAhQAFAAAAAgAh07iQDMv&#10;BZ47AAAAOQAAABAAAAAAAAAAAQAgAAAADQEAAGRycy9zaGFwZXhtbC54bWxQSwUGAAAAAAYABgBb&#10;AQAAtwMAAAAA&#10;">
                  <v:fill on="f" focussize="0,0"/>
                  <v:stroke weight="1pt" color="#000000 [3204]" miterlimit="8" joinstyle="miter" endarrow="block"/>
                  <v:imagedata o:title=""/>
                  <o:lock v:ext="edit" aspectratio="f"/>
                </v:shape>
                <v:rect id="矩形 42" o:spid="_x0000_s1026" o:spt="1" style="position:absolute;left:5486;top:28144;height:541;width:1229;v-text-anchor:middle;" filled="f" stroked="f" coordsize="21600,21600" o:gfxdata="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5A6/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59636A0F">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产品消耗</w:t>
                        </w:r>
                      </w:p>
                    </w:txbxContent>
                  </v:textbox>
                </v:rect>
                <v:rect id="矩形 42" o:spid="_x0000_s1026" o:spt="1" style="position:absolute;left:7587;top:28849;height:541;width:900;v-text-anchor:middle;" filled="f" stroked="f" coordsize="21600,21600" o:gfxdata="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ejVTvQAA&#10;ANwAAAAPAAAAAAAAAAEAIAAAACIAAABkcnMvZG93bnJldi54bWxQSwECFAAUAAAACACHTuJAMy8F&#10;njsAAAA5AAAAEAAAAAAAAAABACAAAAAMAQAAZHJzL3NoYXBleG1sLnhtbFBLBQYAAAAABgAGAFsB&#10;AAC2AwAAAAA=&#10;">
                  <v:fill on="f" focussize="0,0"/>
                  <v:stroke on="f" weight="1pt" miterlimit="8" joinstyle="miter"/>
                  <v:imagedata o:title=""/>
                  <o:lock v:ext="edit" aspectratio="f"/>
                  <v:textbox>
                    <w:txbxContent>
                      <w:p w14:paraId="089735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污泥</w:t>
                        </w:r>
                      </w:p>
                    </w:txbxContent>
                  </v:textbox>
                </v:rect>
                <v:rect id="矩形 42" o:spid="_x0000_s1026" o:spt="1" style="position:absolute;left:7601;top:29464;height:541;width:1215;v-text-anchor:middle;" filled="f" stroked="f" coordsize="21600,21600" o:gfxdata="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jloSG5AAAA3AAA&#10;AA8AAAAAAAAAAQAgAAAAIgAAAGRycy9kb3ducmV2LnhtbFBLAQIUABQAAAAIAIdO4kAzLwWeOwAA&#10;ADkAAAAQAAAAAAAAAAEAIAAAAAgBAABkcnMvc2hhcGV4bWwueG1sUEsFBgAAAAAGAAYAWwEAALID&#10;AAAAAA==&#10;">
                  <v:fill on="f" focussize="0,0"/>
                  <v:stroke on="f" weight="1pt" miterlimit="8" joinstyle="miter"/>
                  <v:imagedata o:title=""/>
                  <o:lock v:ext="edit" aspectratio="f"/>
                  <v:textbox>
                    <w:txbxContent>
                      <w:p w14:paraId="2C29EA00">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color w:val="000000"/>
                            <w:kern w:val="2"/>
                            <w:sz w:val="21"/>
                            <w:szCs w:val="21"/>
                            <w:lang w:val="en-US" w:eastAsia="zh-CN"/>
                          </w:rPr>
                          <w:t>蒸发浓液</w:t>
                        </w:r>
                      </w:p>
                    </w:txbxContent>
                  </v:textbox>
                </v:rect>
              </v:group>
            </w:pict>
          </mc:Fallback>
        </mc:AlternateContent>
      </w:r>
    </w:p>
    <w:p w14:paraId="0A8D8B7D">
      <w:pPr>
        <w:pStyle w:val="78"/>
      </w:pPr>
    </w:p>
    <w:p w14:paraId="112EC3AF">
      <w:pPr>
        <w:pStyle w:val="78"/>
      </w:pPr>
    </w:p>
    <w:p w14:paraId="30D196DF">
      <w:pPr>
        <w:pStyle w:val="78"/>
      </w:pPr>
    </w:p>
    <w:p w14:paraId="736F5559">
      <w:pPr>
        <w:pStyle w:val="78"/>
      </w:pPr>
    </w:p>
    <w:p w14:paraId="57FDFD12">
      <w:pPr>
        <w:pStyle w:val="78"/>
      </w:pPr>
    </w:p>
    <w:p w14:paraId="280F3DFF">
      <w:pPr>
        <w:pStyle w:val="78"/>
      </w:pPr>
    </w:p>
    <w:p w14:paraId="61FAD166">
      <w:pPr>
        <w:pStyle w:val="78"/>
      </w:pPr>
    </w:p>
    <w:p w14:paraId="43871C68">
      <w:pPr>
        <w:pStyle w:val="78"/>
        <w:rPr>
          <w:rFonts w:hint="eastAsia"/>
        </w:rPr>
        <w:sectPr>
          <w:headerReference r:id="rId7" w:type="default"/>
          <w:footerReference r:id="rId8" w:type="default"/>
          <w:pgSz w:w="11906" w:h="16838"/>
          <w:pgMar w:top="1440" w:right="1797" w:bottom="1440" w:left="1797" w:header="851" w:footer="992" w:gutter="0"/>
          <w:pgBorders>
            <w:top w:val="none" w:sz="0" w:space="0"/>
            <w:left w:val="none" w:sz="0" w:space="0"/>
            <w:bottom w:val="none" w:sz="0" w:space="0"/>
            <w:right w:val="none" w:sz="0" w:space="0"/>
          </w:pgBorders>
          <w:pgNumType w:fmt="decimal" w:start="1"/>
          <w:cols w:space="720" w:num="1"/>
          <w:docGrid w:linePitch="312" w:charSpace="0"/>
        </w:sectPr>
      </w:pPr>
      <w:r>
        <w:rPr>
          <w:rFonts w:hint="eastAsia"/>
        </w:rPr>
        <w:t>图</w:t>
      </w:r>
      <w:r>
        <w:rPr>
          <w:rFonts w:hint="eastAsia"/>
          <w:lang w:val="en-US" w:eastAsia="zh-CN"/>
        </w:rPr>
        <w:t>3.3-4</w:t>
      </w:r>
      <w:r>
        <w:rPr>
          <w:rFonts w:hint="eastAsia"/>
        </w:rPr>
        <w:t xml:space="preserve">   </w:t>
      </w:r>
      <w:r>
        <w:t xml:space="preserve"> </w:t>
      </w:r>
      <w:r>
        <w:rPr>
          <w:rFonts w:hint="eastAsia"/>
        </w:rPr>
        <w:t xml:space="preserve">  </w:t>
      </w:r>
      <w:r>
        <w:t xml:space="preserve"> </w:t>
      </w:r>
      <w:r>
        <w:rPr>
          <w:rFonts w:hint="eastAsia"/>
        </w:rPr>
        <w:t xml:space="preserve">     铬平衡图    </w:t>
      </w:r>
      <w:r>
        <w:t xml:space="preserve"> </w:t>
      </w:r>
      <w:r>
        <w:rPr>
          <w:rFonts w:hint="eastAsia"/>
        </w:rPr>
        <w:t xml:space="preserve">     单位：t/a</w:t>
      </w:r>
    </w:p>
    <w:p w14:paraId="53A9C001">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95" w:name="_Toc16740"/>
      <w:bookmarkStart w:id="396" w:name="_Toc108122512"/>
      <w:r>
        <w:rPr>
          <w:rFonts w:hint="eastAsia" w:ascii="Times New Roman" w:hAnsi="Times New Roman" w:eastAsia="宋体" w:cs="Times New Roman"/>
          <w:lang w:val="en-US" w:eastAsia="zh-CN"/>
        </w:rPr>
        <w:t>3.4水平衡</w:t>
      </w:r>
      <w:bookmarkEnd w:id="395"/>
      <w:bookmarkEnd w:id="396"/>
    </w:p>
    <w:p w14:paraId="569DE312">
      <w:pPr>
        <w:pStyle w:val="38"/>
        <w:spacing w:before="0" w:beforeLines="0" w:after="0" w:afterLines="0" w:line="520" w:lineRule="exact"/>
        <w:ind w:firstLine="480"/>
        <w:rPr>
          <w:rFonts w:hAnsi="宋体" w:eastAsia="宋体" w:cs="Times New Roman"/>
          <w:b w:val="0"/>
          <w:kern w:val="0"/>
          <w:szCs w:val="20"/>
        </w:rPr>
      </w:pPr>
      <w:r>
        <w:rPr>
          <w:rFonts w:hint="eastAsia" w:hAnsi="宋体" w:eastAsia="宋体" w:cs="Times New Roman"/>
          <w:b w:val="0"/>
          <w:kern w:val="0"/>
          <w:szCs w:val="20"/>
        </w:rPr>
        <w:t>本项目用、排水主要有电镀生产线生产用水及排水、车间地面清洗用水及排水、碱喷淋吸收塔用水及排水、员工生活用水及排水等，各生产线各工序用水、排水量见下表。</w:t>
      </w:r>
    </w:p>
    <w:p w14:paraId="4CCEA90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3.4-1</w:t>
      </w:r>
      <w:r>
        <w:rPr>
          <w:rFonts w:hint="eastAsia"/>
          <w:color w:val="000000" w:themeColor="text1"/>
          <w14:textFill>
            <w14:solidFill>
              <w14:schemeClr w14:val="tx1"/>
            </w14:solidFill>
          </w14:textFill>
        </w:rPr>
        <w:t xml:space="preserve">    本项目各生产线各工序用、排水量统计表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01"/>
        <w:gridCol w:w="1695"/>
        <w:gridCol w:w="855"/>
        <w:gridCol w:w="2085"/>
        <w:gridCol w:w="780"/>
        <w:gridCol w:w="816"/>
        <w:gridCol w:w="654"/>
        <w:gridCol w:w="1200"/>
        <w:gridCol w:w="825"/>
        <w:gridCol w:w="1005"/>
        <w:gridCol w:w="945"/>
        <w:gridCol w:w="1095"/>
        <w:gridCol w:w="1518"/>
      </w:tblGrid>
      <w:tr w14:paraId="06EC96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tcBorders>
              <w:tl2br w:val="nil"/>
              <w:tr2bl w:val="nil"/>
            </w:tcBorders>
            <w:shd w:val="clear" w:color="auto" w:fill="auto"/>
            <w:vAlign w:val="center"/>
          </w:tcPr>
          <w:p w14:paraId="229A3A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产生</w:t>
            </w:r>
          </w:p>
          <w:p w14:paraId="3D591C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工序</w:t>
            </w:r>
          </w:p>
        </w:tc>
        <w:tc>
          <w:tcPr>
            <w:tcW w:w="1695" w:type="dxa"/>
            <w:tcBorders>
              <w:tl2br w:val="nil"/>
              <w:tr2bl w:val="nil"/>
            </w:tcBorders>
            <w:shd w:val="clear" w:color="auto" w:fill="auto"/>
            <w:vAlign w:val="center"/>
          </w:tcPr>
          <w:p w14:paraId="01F90F2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产生位置</w:t>
            </w:r>
          </w:p>
        </w:tc>
        <w:tc>
          <w:tcPr>
            <w:tcW w:w="855" w:type="dxa"/>
            <w:tcBorders>
              <w:tl2br w:val="nil"/>
              <w:tr2bl w:val="nil"/>
            </w:tcBorders>
            <w:shd w:val="clear" w:color="auto" w:fill="auto"/>
            <w:vAlign w:val="center"/>
          </w:tcPr>
          <w:p w14:paraId="4BA71D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单条槽体数量（个）</w:t>
            </w:r>
          </w:p>
        </w:tc>
        <w:tc>
          <w:tcPr>
            <w:tcW w:w="2085" w:type="dxa"/>
            <w:tcBorders>
              <w:tl2br w:val="nil"/>
              <w:tr2bl w:val="nil"/>
            </w:tcBorders>
            <w:shd w:val="clear" w:color="auto" w:fill="auto"/>
            <w:vAlign w:val="center"/>
          </w:tcPr>
          <w:p w14:paraId="490F20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尺寸</w:t>
            </w:r>
            <w:r>
              <w:rPr>
                <w:rFonts w:hint="default" w:ascii="Times New Roman" w:hAnsi="Times New Roman" w:eastAsia="宋体" w:cs="Times New Roman"/>
                <w:b/>
                <w:bCs/>
                <w:i w:val="0"/>
                <w:iCs w:val="0"/>
                <w:color w:val="000000"/>
                <w:kern w:val="0"/>
                <w:sz w:val="21"/>
                <w:szCs w:val="21"/>
                <w:u w:val="none"/>
                <w:lang w:val="en-US" w:eastAsia="zh-CN" w:bidi="ar"/>
              </w:rPr>
              <w:t>(mm)</w:t>
            </w:r>
          </w:p>
        </w:tc>
        <w:tc>
          <w:tcPr>
            <w:tcW w:w="780" w:type="dxa"/>
            <w:tcBorders>
              <w:tl2br w:val="nil"/>
              <w:tr2bl w:val="nil"/>
            </w:tcBorders>
            <w:shd w:val="clear" w:color="auto" w:fill="auto"/>
            <w:vAlign w:val="center"/>
          </w:tcPr>
          <w:p w14:paraId="25B04D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总数量</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宋体" w:hAnsi="宋体" w:eastAsia="宋体" w:cs="宋体"/>
                <w:b/>
                <w:bCs/>
                <w:i w:val="0"/>
                <w:iCs w:val="0"/>
                <w:color w:val="000000"/>
                <w:kern w:val="0"/>
                <w:sz w:val="21"/>
                <w:szCs w:val="21"/>
                <w:u w:val="none"/>
                <w:lang w:val="en-US" w:eastAsia="zh-CN" w:bidi="ar"/>
              </w:rPr>
              <w:t>个</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816" w:type="dxa"/>
            <w:tcBorders>
              <w:tl2br w:val="nil"/>
              <w:tr2bl w:val="nil"/>
            </w:tcBorders>
            <w:shd w:val="clear" w:color="auto" w:fill="auto"/>
            <w:vAlign w:val="center"/>
          </w:tcPr>
          <w:p w14:paraId="0786EB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总有效容积</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654" w:type="dxa"/>
            <w:tcBorders>
              <w:tl2br w:val="nil"/>
              <w:tr2bl w:val="nil"/>
            </w:tcBorders>
            <w:shd w:val="clear" w:color="auto" w:fill="auto"/>
            <w:vAlign w:val="center"/>
          </w:tcPr>
          <w:p w14:paraId="5FDB1F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工作时间</w:t>
            </w:r>
            <w:r>
              <w:rPr>
                <w:rFonts w:hint="default" w:ascii="Times New Roman" w:hAnsi="Times New Roman" w:eastAsia="宋体" w:cs="Times New Roman"/>
                <w:b/>
                <w:bCs/>
                <w:i w:val="0"/>
                <w:iCs w:val="0"/>
                <w:color w:val="000000"/>
                <w:kern w:val="0"/>
                <w:sz w:val="21"/>
                <w:szCs w:val="21"/>
                <w:u w:val="none"/>
                <w:lang w:val="en-US" w:eastAsia="zh-CN" w:bidi="ar"/>
              </w:rPr>
              <w:t>h/d</w:t>
            </w:r>
          </w:p>
        </w:tc>
        <w:tc>
          <w:tcPr>
            <w:tcW w:w="1200" w:type="dxa"/>
            <w:tcBorders>
              <w:tl2br w:val="nil"/>
              <w:tr2bl w:val="nil"/>
            </w:tcBorders>
            <w:shd w:val="clear" w:color="auto" w:fill="auto"/>
            <w:vAlign w:val="center"/>
          </w:tcPr>
          <w:p w14:paraId="06AD5A8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排放方式</w:t>
            </w:r>
          </w:p>
        </w:tc>
        <w:tc>
          <w:tcPr>
            <w:tcW w:w="825" w:type="dxa"/>
            <w:tcBorders>
              <w:tl2br w:val="nil"/>
              <w:tr2bl w:val="nil"/>
            </w:tcBorders>
            <w:shd w:val="clear" w:color="auto" w:fill="auto"/>
            <w:vAlign w:val="center"/>
          </w:tcPr>
          <w:p w14:paraId="2786B1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溢流速度</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/h)</w:t>
            </w:r>
          </w:p>
        </w:tc>
        <w:tc>
          <w:tcPr>
            <w:tcW w:w="1005" w:type="dxa"/>
            <w:tcBorders>
              <w:tl2br w:val="nil"/>
              <w:tr2bl w:val="nil"/>
            </w:tcBorders>
            <w:shd w:val="clear" w:color="auto" w:fill="auto"/>
            <w:vAlign w:val="center"/>
          </w:tcPr>
          <w:p w14:paraId="251A9D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用水量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945" w:type="dxa"/>
            <w:tcBorders>
              <w:tl2br w:val="nil"/>
              <w:tr2bl w:val="nil"/>
            </w:tcBorders>
            <w:shd w:val="clear" w:color="auto" w:fill="auto"/>
            <w:vAlign w:val="center"/>
          </w:tcPr>
          <w:p w14:paraId="578797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废水量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1095" w:type="dxa"/>
            <w:tcBorders>
              <w:tl2br w:val="nil"/>
              <w:tr2bl w:val="nil"/>
            </w:tcBorders>
            <w:shd w:val="clear" w:color="auto" w:fill="auto"/>
            <w:vAlign w:val="center"/>
          </w:tcPr>
          <w:p w14:paraId="1243CD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类型</w:t>
            </w:r>
          </w:p>
        </w:tc>
        <w:tc>
          <w:tcPr>
            <w:tcW w:w="1518" w:type="dxa"/>
            <w:tcBorders>
              <w:tl2br w:val="nil"/>
              <w:tr2bl w:val="nil"/>
            </w:tcBorders>
            <w:shd w:val="clear" w:color="auto" w:fill="auto"/>
            <w:vAlign w:val="center"/>
          </w:tcPr>
          <w:p w14:paraId="1BC6E11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槽液更换频次</w:t>
            </w:r>
          </w:p>
        </w:tc>
      </w:tr>
      <w:tr w14:paraId="51F2AB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restart"/>
            <w:tcBorders>
              <w:tl2br w:val="nil"/>
              <w:tr2bl w:val="nil"/>
            </w:tcBorders>
            <w:shd w:val="clear" w:color="auto" w:fill="auto"/>
            <w:vAlign w:val="center"/>
          </w:tcPr>
          <w:p w14:paraId="15DA8D8C">
            <w:pPr>
              <w:keepNext w:val="0"/>
              <w:keepLines w:val="0"/>
              <w:pageBreakBefore w:val="0"/>
              <w:widowControl/>
              <w:suppressLineNumbers w:val="0"/>
              <w:kinsoku/>
              <w:wordWrap/>
              <w:overflowPunct/>
              <w:topLinePunct w:val="0"/>
              <w:autoSpaceDE/>
              <w:autoSpaceDN/>
              <w:bidi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钢壳生产线（</w:t>
            </w:r>
            <w:r>
              <w:rPr>
                <w:rFonts w:hint="eastAsia" w:cs="Times New Roman"/>
                <w:i w:val="0"/>
                <w:iCs w:val="0"/>
                <w:color w:val="000000"/>
                <w:kern w:val="0"/>
                <w:sz w:val="21"/>
                <w:szCs w:val="21"/>
                <w:u w:val="none"/>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条）</w:t>
            </w:r>
          </w:p>
        </w:tc>
        <w:tc>
          <w:tcPr>
            <w:tcW w:w="1695" w:type="dxa"/>
            <w:tcBorders>
              <w:tl2br w:val="nil"/>
              <w:tr2bl w:val="nil"/>
            </w:tcBorders>
            <w:shd w:val="clear" w:color="auto" w:fill="auto"/>
            <w:vAlign w:val="center"/>
          </w:tcPr>
          <w:p w14:paraId="007F418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除油</w:t>
            </w:r>
          </w:p>
        </w:tc>
        <w:tc>
          <w:tcPr>
            <w:tcW w:w="855" w:type="dxa"/>
            <w:tcBorders>
              <w:tl2br w:val="nil"/>
              <w:tr2bl w:val="nil"/>
            </w:tcBorders>
            <w:shd w:val="clear" w:color="auto" w:fill="auto"/>
            <w:vAlign w:val="center"/>
          </w:tcPr>
          <w:p w14:paraId="279120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2085" w:type="dxa"/>
            <w:tcBorders>
              <w:tl2br w:val="nil"/>
              <w:tr2bl w:val="nil"/>
            </w:tcBorders>
            <w:shd w:val="clear" w:color="auto" w:fill="auto"/>
            <w:vAlign w:val="center"/>
          </w:tcPr>
          <w:p w14:paraId="1F2D23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L2000*W900*H1100</w:t>
            </w:r>
          </w:p>
        </w:tc>
        <w:tc>
          <w:tcPr>
            <w:tcW w:w="780" w:type="dxa"/>
            <w:tcBorders>
              <w:tl2br w:val="nil"/>
              <w:tr2bl w:val="nil"/>
            </w:tcBorders>
            <w:shd w:val="clear" w:color="auto" w:fill="auto"/>
            <w:vAlign w:val="center"/>
          </w:tcPr>
          <w:p w14:paraId="20CBCF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816" w:type="dxa"/>
            <w:tcBorders>
              <w:tl2br w:val="nil"/>
              <w:tr2bl w:val="nil"/>
            </w:tcBorders>
            <w:shd w:val="clear" w:color="auto" w:fill="auto"/>
            <w:vAlign w:val="center"/>
          </w:tcPr>
          <w:p w14:paraId="684BDE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95.04</w:t>
            </w:r>
          </w:p>
        </w:tc>
        <w:tc>
          <w:tcPr>
            <w:tcW w:w="654" w:type="dxa"/>
            <w:tcBorders>
              <w:tl2br w:val="nil"/>
              <w:tr2bl w:val="nil"/>
            </w:tcBorders>
            <w:shd w:val="clear" w:color="auto" w:fill="auto"/>
            <w:vAlign w:val="center"/>
          </w:tcPr>
          <w:p w14:paraId="5FB771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13B6EF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15824F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2B245C5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1.109</w:t>
            </w:r>
          </w:p>
        </w:tc>
        <w:tc>
          <w:tcPr>
            <w:tcW w:w="945" w:type="dxa"/>
            <w:tcBorders>
              <w:tl2br w:val="nil"/>
              <w:tr2bl w:val="nil"/>
            </w:tcBorders>
            <w:shd w:val="clear" w:color="auto" w:fill="auto"/>
            <w:vAlign w:val="center"/>
          </w:tcPr>
          <w:p w14:paraId="0C8031D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0.887</w:t>
            </w:r>
          </w:p>
        </w:tc>
        <w:tc>
          <w:tcPr>
            <w:tcW w:w="1095" w:type="dxa"/>
            <w:tcBorders>
              <w:tl2br w:val="nil"/>
              <w:tr2bl w:val="nil"/>
            </w:tcBorders>
            <w:shd w:val="clear" w:color="auto" w:fill="auto"/>
            <w:vAlign w:val="center"/>
          </w:tcPr>
          <w:p w14:paraId="56419CC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0DC99B6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54F94C0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EEA0C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94F58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除油后水洗槽</w:t>
            </w:r>
          </w:p>
        </w:tc>
        <w:tc>
          <w:tcPr>
            <w:tcW w:w="855" w:type="dxa"/>
            <w:tcBorders>
              <w:tl2br w:val="nil"/>
              <w:tr2bl w:val="nil"/>
            </w:tcBorders>
            <w:shd w:val="clear" w:color="auto" w:fill="auto"/>
            <w:vAlign w:val="center"/>
          </w:tcPr>
          <w:p w14:paraId="575A0B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2085" w:type="dxa"/>
            <w:tcBorders>
              <w:tl2br w:val="nil"/>
              <w:tr2bl w:val="nil"/>
            </w:tcBorders>
            <w:shd w:val="clear" w:color="auto" w:fill="auto"/>
            <w:vAlign w:val="center"/>
          </w:tcPr>
          <w:p w14:paraId="0F6EF7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0D2EEF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816" w:type="dxa"/>
            <w:tcBorders>
              <w:tl2br w:val="nil"/>
              <w:tr2bl w:val="nil"/>
            </w:tcBorders>
            <w:shd w:val="clear" w:color="auto" w:fill="auto"/>
            <w:vAlign w:val="center"/>
          </w:tcPr>
          <w:p w14:paraId="19B9208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36.96</w:t>
            </w:r>
          </w:p>
        </w:tc>
        <w:tc>
          <w:tcPr>
            <w:tcW w:w="654" w:type="dxa"/>
            <w:tcBorders>
              <w:tl2br w:val="nil"/>
              <w:tr2bl w:val="nil"/>
            </w:tcBorders>
            <w:shd w:val="clear" w:color="auto" w:fill="auto"/>
            <w:vAlign w:val="center"/>
          </w:tcPr>
          <w:p w14:paraId="5FFDB2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D2FA5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506E7EB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707645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1.295</w:t>
            </w:r>
          </w:p>
        </w:tc>
        <w:tc>
          <w:tcPr>
            <w:tcW w:w="945" w:type="dxa"/>
            <w:tcBorders>
              <w:tl2br w:val="nil"/>
              <w:tr2bl w:val="nil"/>
            </w:tcBorders>
            <w:shd w:val="clear" w:color="auto" w:fill="auto"/>
            <w:vAlign w:val="center"/>
          </w:tcPr>
          <w:p w14:paraId="2914E5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1.035</w:t>
            </w:r>
          </w:p>
        </w:tc>
        <w:tc>
          <w:tcPr>
            <w:tcW w:w="1095" w:type="dxa"/>
            <w:tcBorders>
              <w:tl2br w:val="nil"/>
              <w:tr2bl w:val="nil"/>
            </w:tcBorders>
            <w:shd w:val="clear" w:color="auto" w:fill="auto"/>
            <w:vAlign w:val="center"/>
          </w:tcPr>
          <w:p w14:paraId="39BFE9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48F182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72C7963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64472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FDCDA5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除油后热水洗槽</w:t>
            </w:r>
          </w:p>
        </w:tc>
        <w:tc>
          <w:tcPr>
            <w:tcW w:w="855" w:type="dxa"/>
            <w:tcBorders>
              <w:tl2br w:val="nil"/>
              <w:tr2bl w:val="nil"/>
            </w:tcBorders>
            <w:shd w:val="clear" w:color="auto" w:fill="auto"/>
            <w:vAlign w:val="center"/>
          </w:tcPr>
          <w:p w14:paraId="22655C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0D4814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4BFC86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816" w:type="dxa"/>
            <w:tcBorders>
              <w:tl2br w:val="nil"/>
              <w:tr2bl w:val="nil"/>
            </w:tcBorders>
            <w:shd w:val="clear" w:color="auto" w:fill="auto"/>
            <w:vAlign w:val="center"/>
          </w:tcPr>
          <w:p w14:paraId="49AFC22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4.62</w:t>
            </w:r>
          </w:p>
        </w:tc>
        <w:tc>
          <w:tcPr>
            <w:tcW w:w="654" w:type="dxa"/>
            <w:tcBorders>
              <w:tl2br w:val="nil"/>
              <w:tr2bl w:val="nil"/>
            </w:tcBorders>
            <w:shd w:val="clear" w:color="auto" w:fill="auto"/>
            <w:vAlign w:val="center"/>
          </w:tcPr>
          <w:p w14:paraId="1BCF6A6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0660F6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43C684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058579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0.162</w:t>
            </w:r>
          </w:p>
        </w:tc>
        <w:tc>
          <w:tcPr>
            <w:tcW w:w="945" w:type="dxa"/>
            <w:tcBorders>
              <w:tl2br w:val="nil"/>
              <w:tr2bl w:val="nil"/>
            </w:tcBorders>
            <w:shd w:val="clear" w:color="auto" w:fill="auto"/>
            <w:vAlign w:val="center"/>
          </w:tcPr>
          <w:p w14:paraId="5E25FC9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0.129</w:t>
            </w:r>
          </w:p>
        </w:tc>
        <w:tc>
          <w:tcPr>
            <w:tcW w:w="1095" w:type="dxa"/>
            <w:tcBorders>
              <w:tl2br w:val="nil"/>
              <w:tr2bl w:val="nil"/>
            </w:tcBorders>
            <w:shd w:val="clear" w:color="auto" w:fill="auto"/>
            <w:vAlign w:val="center"/>
          </w:tcPr>
          <w:p w14:paraId="22AA4D3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75ACD8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59EF2C1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5BE50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2F4AC4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除油后水洗槽</w:t>
            </w:r>
          </w:p>
        </w:tc>
        <w:tc>
          <w:tcPr>
            <w:tcW w:w="855" w:type="dxa"/>
            <w:tcBorders>
              <w:tl2br w:val="nil"/>
              <w:tr2bl w:val="nil"/>
            </w:tcBorders>
            <w:shd w:val="clear" w:color="auto" w:fill="auto"/>
            <w:vAlign w:val="center"/>
          </w:tcPr>
          <w:p w14:paraId="3D4F3B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7F6416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3787D4B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816" w:type="dxa"/>
            <w:tcBorders>
              <w:tl2br w:val="nil"/>
              <w:tr2bl w:val="nil"/>
            </w:tcBorders>
            <w:shd w:val="clear" w:color="auto" w:fill="auto"/>
            <w:vAlign w:val="center"/>
          </w:tcPr>
          <w:p w14:paraId="3610408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4.62</w:t>
            </w:r>
          </w:p>
        </w:tc>
        <w:tc>
          <w:tcPr>
            <w:tcW w:w="654" w:type="dxa"/>
            <w:tcBorders>
              <w:tl2br w:val="nil"/>
              <w:tr2bl w:val="nil"/>
            </w:tcBorders>
            <w:shd w:val="clear" w:color="auto" w:fill="auto"/>
            <w:vAlign w:val="center"/>
          </w:tcPr>
          <w:p w14:paraId="1E219E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0C0171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1435CD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264FDCD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0.054</w:t>
            </w:r>
          </w:p>
        </w:tc>
        <w:tc>
          <w:tcPr>
            <w:tcW w:w="945" w:type="dxa"/>
            <w:tcBorders>
              <w:tl2br w:val="nil"/>
              <w:tr2bl w:val="nil"/>
            </w:tcBorders>
            <w:shd w:val="clear" w:color="auto" w:fill="auto"/>
            <w:vAlign w:val="center"/>
          </w:tcPr>
          <w:p w14:paraId="2CF9E5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0.044</w:t>
            </w:r>
          </w:p>
        </w:tc>
        <w:tc>
          <w:tcPr>
            <w:tcW w:w="1095" w:type="dxa"/>
            <w:tcBorders>
              <w:tl2br w:val="nil"/>
              <w:tr2bl w:val="nil"/>
            </w:tcBorders>
            <w:shd w:val="clear" w:color="auto" w:fill="auto"/>
            <w:vAlign w:val="center"/>
          </w:tcPr>
          <w:p w14:paraId="03749B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193AE8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5F7F840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1A348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338C36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酸洗槽</w:t>
            </w:r>
          </w:p>
        </w:tc>
        <w:tc>
          <w:tcPr>
            <w:tcW w:w="855" w:type="dxa"/>
            <w:tcBorders>
              <w:tl2br w:val="nil"/>
              <w:tr2bl w:val="nil"/>
            </w:tcBorders>
            <w:shd w:val="clear" w:color="auto" w:fill="auto"/>
            <w:vAlign w:val="center"/>
          </w:tcPr>
          <w:p w14:paraId="15DEE83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7AF8542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5EF4882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649377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9.24</w:t>
            </w:r>
          </w:p>
        </w:tc>
        <w:tc>
          <w:tcPr>
            <w:tcW w:w="654" w:type="dxa"/>
            <w:tcBorders>
              <w:tl2br w:val="nil"/>
              <w:tr2bl w:val="nil"/>
            </w:tcBorders>
            <w:shd w:val="clear" w:color="auto" w:fill="auto"/>
            <w:vAlign w:val="center"/>
          </w:tcPr>
          <w:p w14:paraId="7DECF4C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31FBB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53FEA78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1097ADA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1.011</w:t>
            </w:r>
          </w:p>
        </w:tc>
        <w:tc>
          <w:tcPr>
            <w:tcW w:w="945" w:type="dxa"/>
            <w:tcBorders>
              <w:tl2br w:val="nil"/>
              <w:tr2bl w:val="nil"/>
            </w:tcBorders>
            <w:shd w:val="clear" w:color="auto" w:fill="auto"/>
            <w:vAlign w:val="center"/>
          </w:tcPr>
          <w:p w14:paraId="790591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0.809</w:t>
            </w:r>
          </w:p>
        </w:tc>
        <w:tc>
          <w:tcPr>
            <w:tcW w:w="1095" w:type="dxa"/>
            <w:tcBorders>
              <w:tl2br w:val="nil"/>
              <w:tr2bl w:val="nil"/>
            </w:tcBorders>
            <w:shd w:val="clear" w:color="auto" w:fill="auto"/>
            <w:vAlign w:val="center"/>
          </w:tcPr>
          <w:p w14:paraId="16AFD2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7CDBD57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72B85E2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2DEE2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149DE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酸洗后水洗槽</w:t>
            </w:r>
          </w:p>
        </w:tc>
        <w:tc>
          <w:tcPr>
            <w:tcW w:w="855" w:type="dxa"/>
            <w:tcBorders>
              <w:tl2br w:val="nil"/>
              <w:tr2bl w:val="nil"/>
            </w:tcBorders>
            <w:shd w:val="clear" w:color="auto" w:fill="auto"/>
            <w:vAlign w:val="center"/>
          </w:tcPr>
          <w:p w14:paraId="0F9DEF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10CB87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3B15F95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75D93A8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9.24</w:t>
            </w:r>
          </w:p>
        </w:tc>
        <w:tc>
          <w:tcPr>
            <w:tcW w:w="654" w:type="dxa"/>
            <w:tcBorders>
              <w:tl2br w:val="nil"/>
              <w:tr2bl w:val="nil"/>
            </w:tcBorders>
            <w:shd w:val="clear" w:color="auto" w:fill="auto"/>
            <w:vAlign w:val="center"/>
          </w:tcPr>
          <w:p w14:paraId="1799AD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7C273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连续溢流</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5EDB7C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0.2</w:t>
            </w:r>
          </w:p>
        </w:tc>
        <w:tc>
          <w:tcPr>
            <w:tcW w:w="1005" w:type="dxa"/>
            <w:tcBorders>
              <w:tl2br w:val="nil"/>
              <w:tr2bl w:val="nil"/>
            </w:tcBorders>
            <w:shd w:val="clear" w:color="auto" w:fill="auto"/>
            <w:vAlign w:val="center"/>
          </w:tcPr>
          <w:p w14:paraId="4AD058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18.101</w:t>
            </w:r>
          </w:p>
        </w:tc>
        <w:tc>
          <w:tcPr>
            <w:tcW w:w="945" w:type="dxa"/>
            <w:tcBorders>
              <w:tl2br w:val="nil"/>
              <w:tr2bl w:val="nil"/>
            </w:tcBorders>
            <w:shd w:val="clear" w:color="auto" w:fill="auto"/>
            <w:vAlign w:val="center"/>
          </w:tcPr>
          <w:p w14:paraId="27E8443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14.486</w:t>
            </w:r>
          </w:p>
        </w:tc>
        <w:tc>
          <w:tcPr>
            <w:tcW w:w="1095" w:type="dxa"/>
            <w:tcBorders>
              <w:tl2br w:val="nil"/>
              <w:tr2bl w:val="nil"/>
            </w:tcBorders>
            <w:shd w:val="clear" w:color="auto" w:fill="auto"/>
            <w:vAlign w:val="center"/>
          </w:tcPr>
          <w:p w14:paraId="06B4491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0B4050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连续排放</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洗槽水</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08B4B7E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15448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E0FCA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镀镍槽</w:t>
            </w:r>
          </w:p>
        </w:tc>
        <w:tc>
          <w:tcPr>
            <w:tcW w:w="855" w:type="dxa"/>
            <w:tcBorders>
              <w:tl2br w:val="nil"/>
              <w:tr2bl w:val="nil"/>
            </w:tcBorders>
            <w:shd w:val="clear" w:color="auto" w:fill="auto"/>
            <w:vAlign w:val="center"/>
          </w:tcPr>
          <w:p w14:paraId="750DEC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2085" w:type="dxa"/>
            <w:tcBorders>
              <w:tl2br w:val="nil"/>
              <w:tr2bl w:val="nil"/>
            </w:tcBorders>
            <w:shd w:val="clear" w:color="auto" w:fill="auto"/>
            <w:vAlign w:val="center"/>
          </w:tcPr>
          <w:p w14:paraId="5EF887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L2000*W950*H1100</w:t>
            </w:r>
          </w:p>
        </w:tc>
        <w:tc>
          <w:tcPr>
            <w:tcW w:w="780" w:type="dxa"/>
            <w:tcBorders>
              <w:tl2br w:val="nil"/>
              <w:tr2bl w:val="nil"/>
            </w:tcBorders>
            <w:shd w:val="clear" w:color="auto" w:fill="auto"/>
            <w:vAlign w:val="center"/>
          </w:tcPr>
          <w:p w14:paraId="6FC428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w:t>
            </w:r>
          </w:p>
        </w:tc>
        <w:tc>
          <w:tcPr>
            <w:tcW w:w="816" w:type="dxa"/>
            <w:tcBorders>
              <w:tl2br w:val="nil"/>
              <w:tr2bl w:val="nil"/>
            </w:tcBorders>
            <w:shd w:val="clear" w:color="auto" w:fill="auto"/>
            <w:vAlign w:val="center"/>
          </w:tcPr>
          <w:p w14:paraId="255340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225.72</w:t>
            </w:r>
          </w:p>
        </w:tc>
        <w:tc>
          <w:tcPr>
            <w:tcW w:w="654" w:type="dxa"/>
            <w:tcBorders>
              <w:tl2br w:val="nil"/>
              <w:tr2bl w:val="nil"/>
            </w:tcBorders>
            <w:shd w:val="clear" w:color="auto" w:fill="auto"/>
            <w:vAlign w:val="center"/>
          </w:tcPr>
          <w:p w14:paraId="644FB5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28052E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循环过滤</w:t>
            </w:r>
          </w:p>
        </w:tc>
        <w:tc>
          <w:tcPr>
            <w:tcW w:w="825" w:type="dxa"/>
            <w:tcBorders>
              <w:tl2br w:val="nil"/>
              <w:tr2bl w:val="nil"/>
            </w:tcBorders>
            <w:shd w:val="clear" w:color="auto" w:fill="auto"/>
            <w:vAlign w:val="center"/>
          </w:tcPr>
          <w:p w14:paraId="013C0DA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3917709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15.795</w:t>
            </w:r>
          </w:p>
        </w:tc>
        <w:tc>
          <w:tcPr>
            <w:tcW w:w="945" w:type="dxa"/>
            <w:tcBorders>
              <w:tl2br w:val="nil"/>
              <w:tr2bl w:val="nil"/>
            </w:tcBorders>
            <w:shd w:val="clear" w:color="auto" w:fill="auto"/>
            <w:vAlign w:val="center"/>
          </w:tcPr>
          <w:p w14:paraId="6539FF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7C651D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296270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长期使用</w:t>
            </w:r>
          </w:p>
        </w:tc>
      </w:tr>
      <w:tr w14:paraId="7BFAB5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64637B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9F99C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镀镍后回收槽</w:t>
            </w:r>
          </w:p>
        </w:tc>
        <w:tc>
          <w:tcPr>
            <w:tcW w:w="855" w:type="dxa"/>
            <w:tcBorders>
              <w:tl2br w:val="nil"/>
              <w:tr2bl w:val="nil"/>
            </w:tcBorders>
            <w:shd w:val="clear" w:color="auto" w:fill="auto"/>
            <w:vAlign w:val="center"/>
          </w:tcPr>
          <w:p w14:paraId="7300C7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2085" w:type="dxa"/>
            <w:tcBorders>
              <w:tl2br w:val="nil"/>
              <w:tr2bl w:val="nil"/>
            </w:tcBorders>
            <w:shd w:val="clear" w:color="auto" w:fill="auto"/>
            <w:vAlign w:val="center"/>
          </w:tcPr>
          <w:p w14:paraId="27C0B3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L2000*W950*H1100</w:t>
            </w:r>
          </w:p>
        </w:tc>
        <w:tc>
          <w:tcPr>
            <w:tcW w:w="780" w:type="dxa"/>
            <w:tcBorders>
              <w:tl2br w:val="nil"/>
              <w:tr2bl w:val="nil"/>
            </w:tcBorders>
            <w:shd w:val="clear" w:color="auto" w:fill="auto"/>
            <w:vAlign w:val="center"/>
          </w:tcPr>
          <w:p w14:paraId="7EFB672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816" w:type="dxa"/>
            <w:tcBorders>
              <w:tl2br w:val="nil"/>
              <w:tr2bl w:val="nil"/>
            </w:tcBorders>
            <w:shd w:val="clear" w:color="auto" w:fill="auto"/>
            <w:vAlign w:val="center"/>
          </w:tcPr>
          <w:p w14:paraId="2BAD26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18.81</w:t>
            </w:r>
          </w:p>
        </w:tc>
        <w:tc>
          <w:tcPr>
            <w:tcW w:w="654" w:type="dxa"/>
            <w:tcBorders>
              <w:tl2br w:val="nil"/>
              <w:tr2bl w:val="nil"/>
            </w:tcBorders>
            <w:shd w:val="clear" w:color="auto" w:fill="auto"/>
            <w:vAlign w:val="center"/>
          </w:tcPr>
          <w:p w14:paraId="2576756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11261A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定期补水</w:t>
            </w:r>
          </w:p>
        </w:tc>
        <w:tc>
          <w:tcPr>
            <w:tcW w:w="825" w:type="dxa"/>
            <w:tcBorders>
              <w:tl2br w:val="nil"/>
              <w:tr2bl w:val="nil"/>
            </w:tcBorders>
            <w:shd w:val="clear" w:color="auto" w:fill="auto"/>
            <w:vAlign w:val="center"/>
          </w:tcPr>
          <w:p w14:paraId="6BBD08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1A3B4A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1.317</w:t>
            </w:r>
          </w:p>
        </w:tc>
        <w:tc>
          <w:tcPr>
            <w:tcW w:w="945" w:type="dxa"/>
            <w:tcBorders>
              <w:tl2br w:val="nil"/>
              <w:tr2bl w:val="nil"/>
            </w:tcBorders>
            <w:shd w:val="clear" w:color="auto" w:fill="auto"/>
            <w:vAlign w:val="center"/>
          </w:tcPr>
          <w:p w14:paraId="06AD6F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95" w:type="dxa"/>
            <w:tcBorders>
              <w:tl2br w:val="nil"/>
              <w:tr2bl w:val="nil"/>
            </w:tcBorders>
            <w:shd w:val="clear" w:color="auto" w:fill="auto"/>
            <w:vAlign w:val="center"/>
          </w:tcPr>
          <w:p w14:paraId="6E64BA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518" w:type="dxa"/>
            <w:tcBorders>
              <w:tl2br w:val="nil"/>
              <w:tr2bl w:val="nil"/>
            </w:tcBorders>
            <w:shd w:val="clear" w:color="auto" w:fill="auto"/>
            <w:vAlign w:val="center"/>
          </w:tcPr>
          <w:p w14:paraId="149ACB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不排放</w:t>
            </w:r>
          </w:p>
        </w:tc>
      </w:tr>
      <w:tr w14:paraId="4012976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4438F1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7D012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镀镍后水洗槽</w:t>
            </w:r>
          </w:p>
        </w:tc>
        <w:tc>
          <w:tcPr>
            <w:tcW w:w="855" w:type="dxa"/>
            <w:tcBorders>
              <w:tl2br w:val="nil"/>
              <w:tr2bl w:val="nil"/>
            </w:tcBorders>
            <w:shd w:val="clear" w:color="auto" w:fill="auto"/>
            <w:vAlign w:val="center"/>
          </w:tcPr>
          <w:p w14:paraId="5884E8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1C8A97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10C189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5F87163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03F9857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7234A3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3CD71A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23A2983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18.101</w:t>
            </w:r>
            <w:r>
              <w:rPr>
                <w:rFonts w:hint="default" w:ascii="Times New Roman" w:hAnsi="Times New Roman" w:eastAsia="宋体" w:cs="Times New Roman"/>
                <w:i w:val="0"/>
                <w:iCs w:val="0"/>
                <w:color w:val="000000"/>
                <w:kern w:val="0"/>
                <w:sz w:val="21"/>
                <w:szCs w:val="21"/>
                <w:highlight w:val="none"/>
                <w:u w:val="none"/>
                <w:lang w:val="en-US" w:eastAsia="zh-CN" w:bidi="ar"/>
              </w:rPr>
              <w:t xml:space="preserve"> </w:t>
            </w:r>
          </w:p>
        </w:tc>
        <w:tc>
          <w:tcPr>
            <w:tcW w:w="945" w:type="dxa"/>
            <w:tcBorders>
              <w:tl2br w:val="nil"/>
              <w:tr2bl w:val="nil"/>
            </w:tcBorders>
            <w:shd w:val="clear" w:color="auto" w:fill="auto"/>
            <w:vAlign w:val="center"/>
          </w:tcPr>
          <w:p w14:paraId="58D80E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14.486</w:t>
            </w:r>
          </w:p>
        </w:tc>
        <w:tc>
          <w:tcPr>
            <w:tcW w:w="1095" w:type="dxa"/>
            <w:tcBorders>
              <w:tl2br w:val="nil"/>
              <w:tr2bl w:val="nil"/>
            </w:tcBorders>
            <w:shd w:val="clear" w:color="auto" w:fill="auto"/>
            <w:vAlign w:val="center"/>
          </w:tcPr>
          <w:p w14:paraId="773E694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7640A20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205D99E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D82A9A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91F4A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漂白槽</w:t>
            </w:r>
          </w:p>
        </w:tc>
        <w:tc>
          <w:tcPr>
            <w:tcW w:w="855" w:type="dxa"/>
            <w:tcBorders>
              <w:tl2br w:val="nil"/>
              <w:tr2bl w:val="nil"/>
            </w:tcBorders>
            <w:shd w:val="clear" w:color="auto" w:fill="auto"/>
            <w:vAlign w:val="center"/>
          </w:tcPr>
          <w:p w14:paraId="7F1DA94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6206C4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03F67A3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3E0561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7D433F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8EE84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7767831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2E2B25A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1.617</w:t>
            </w:r>
          </w:p>
        </w:tc>
        <w:tc>
          <w:tcPr>
            <w:tcW w:w="945" w:type="dxa"/>
            <w:tcBorders>
              <w:tl2br w:val="nil"/>
              <w:tr2bl w:val="nil"/>
            </w:tcBorders>
            <w:shd w:val="clear" w:color="auto" w:fill="auto"/>
            <w:vAlign w:val="center"/>
          </w:tcPr>
          <w:p w14:paraId="57A45A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1.293</w:t>
            </w:r>
          </w:p>
        </w:tc>
        <w:tc>
          <w:tcPr>
            <w:tcW w:w="1095" w:type="dxa"/>
            <w:tcBorders>
              <w:tl2br w:val="nil"/>
              <w:tr2bl w:val="nil"/>
            </w:tcBorders>
            <w:shd w:val="clear" w:color="auto" w:fill="auto"/>
            <w:vAlign w:val="center"/>
          </w:tcPr>
          <w:p w14:paraId="18AEA4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55DD433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249ED0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5C95813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9216A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漂白后水洗槽</w:t>
            </w:r>
          </w:p>
        </w:tc>
        <w:tc>
          <w:tcPr>
            <w:tcW w:w="855" w:type="dxa"/>
            <w:tcBorders>
              <w:tl2br w:val="nil"/>
              <w:tr2bl w:val="nil"/>
            </w:tcBorders>
            <w:shd w:val="clear" w:color="auto" w:fill="auto"/>
            <w:vAlign w:val="center"/>
          </w:tcPr>
          <w:p w14:paraId="088B38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15E7F7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458B60B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6FDE32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578E0C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6B74AB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4A6991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27FE83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18.101</w:t>
            </w:r>
          </w:p>
        </w:tc>
        <w:tc>
          <w:tcPr>
            <w:tcW w:w="945" w:type="dxa"/>
            <w:tcBorders>
              <w:tl2br w:val="nil"/>
              <w:tr2bl w:val="nil"/>
            </w:tcBorders>
            <w:shd w:val="clear" w:color="auto" w:fill="auto"/>
            <w:vAlign w:val="center"/>
          </w:tcPr>
          <w:p w14:paraId="17A9889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14.486</w:t>
            </w:r>
          </w:p>
        </w:tc>
        <w:tc>
          <w:tcPr>
            <w:tcW w:w="1095" w:type="dxa"/>
            <w:tcBorders>
              <w:tl2br w:val="nil"/>
              <w:tr2bl w:val="nil"/>
            </w:tcBorders>
            <w:shd w:val="clear" w:color="auto" w:fill="auto"/>
            <w:vAlign w:val="center"/>
          </w:tcPr>
          <w:p w14:paraId="36DAAA4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348281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33194ED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E5AEF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B404A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中和槽</w:t>
            </w:r>
          </w:p>
        </w:tc>
        <w:tc>
          <w:tcPr>
            <w:tcW w:w="855" w:type="dxa"/>
            <w:tcBorders>
              <w:tl2br w:val="nil"/>
              <w:tr2bl w:val="nil"/>
            </w:tcBorders>
            <w:shd w:val="clear" w:color="auto" w:fill="auto"/>
            <w:vAlign w:val="center"/>
          </w:tcPr>
          <w:p w14:paraId="118BD44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45F614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3E68EF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70A4F4C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40FF97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77D5F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082606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7F7765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1.617</w:t>
            </w:r>
          </w:p>
        </w:tc>
        <w:tc>
          <w:tcPr>
            <w:tcW w:w="945" w:type="dxa"/>
            <w:tcBorders>
              <w:tl2br w:val="nil"/>
              <w:tr2bl w:val="nil"/>
            </w:tcBorders>
            <w:shd w:val="clear" w:color="auto" w:fill="auto"/>
            <w:vAlign w:val="center"/>
          </w:tcPr>
          <w:p w14:paraId="0DD0EA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sz w:val="21"/>
                <w:szCs w:val="21"/>
                <w:highlight w:val="none"/>
                <w:u w:val="none"/>
                <w:lang w:val="en-US" w:eastAsia="zh-CN"/>
              </w:rPr>
              <w:t>1.293</w:t>
            </w:r>
          </w:p>
        </w:tc>
        <w:tc>
          <w:tcPr>
            <w:tcW w:w="1095" w:type="dxa"/>
            <w:tcBorders>
              <w:tl2br w:val="nil"/>
              <w:tr2bl w:val="nil"/>
            </w:tcBorders>
            <w:shd w:val="clear" w:color="auto" w:fill="auto"/>
            <w:vAlign w:val="center"/>
          </w:tcPr>
          <w:p w14:paraId="22FA73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5233B0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0194857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EBFA13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7F193D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中和后水洗槽</w:t>
            </w:r>
          </w:p>
        </w:tc>
        <w:tc>
          <w:tcPr>
            <w:tcW w:w="855" w:type="dxa"/>
            <w:tcBorders>
              <w:tl2br w:val="nil"/>
              <w:tr2bl w:val="nil"/>
            </w:tcBorders>
            <w:shd w:val="clear" w:color="auto" w:fill="auto"/>
            <w:vAlign w:val="center"/>
          </w:tcPr>
          <w:p w14:paraId="04A0963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355850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204F59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6205E26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3CBDC5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64675AB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连续溢流</w:t>
            </w:r>
          </w:p>
        </w:tc>
        <w:tc>
          <w:tcPr>
            <w:tcW w:w="825" w:type="dxa"/>
            <w:tcBorders>
              <w:tl2br w:val="nil"/>
              <w:tr2bl w:val="nil"/>
            </w:tcBorders>
            <w:shd w:val="clear" w:color="auto" w:fill="auto"/>
            <w:vAlign w:val="center"/>
          </w:tcPr>
          <w:p w14:paraId="2AA5FA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3BED9F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18.101</w:t>
            </w:r>
          </w:p>
        </w:tc>
        <w:tc>
          <w:tcPr>
            <w:tcW w:w="945" w:type="dxa"/>
            <w:tcBorders>
              <w:tl2br w:val="nil"/>
              <w:tr2bl w:val="nil"/>
            </w:tcBorders>
            <w:shd w:val="clear" w:color="auto" w:fill="auto"/>
            <w:vAlign w:val="center"/>
          </w:tcPr>
          <w:p w14:paraId="282EC53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14.486</w:t>
            </w:r>
          </w:p>
        </w:tc>
        <w:tc>
          <w:tcPr>
            <w:tcW w:w="1095" w:type="dxa"/>
            <w:tcBorders>
              <w:tl2br w:val="nil"/>
              <w:tr2bl w:val="nil"/>
            </w:tcBorders>
            <w:shd w:val="clear" w:color="auto" w:fill="auto"/>
            <w:vAlign w:val="center"/>
          </w:tcPr>
          <w:p w14:paraId="33F07F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22F3B9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26E6B25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F8D02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FA9DB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钝化</w:t>
            </w:r>
          </w:p>
        </w:tc>
        <w:tc>
          <w:tcPr>
            <w:tcW w:w="855" w:type="dxa"/>
            <w:tcBorders>
              <w:tl2br w:val="nil"/>
              <w:tr2bl w:val="nil"/>
            </w:tcBorders>
            <w:shd w:val="clear" w:color="auto" w:fill="auto"/>
            <w:vAlign w:val="center"/>
          </w:tcPr>
          <w:p w14:paraId="77EB5C2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43C124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7F222C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27578A0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71A74D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1FA2E2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625D04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0001AE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0.323</w:t>
            </w:r>
          </w:p>
        </w:tc>
        <w:tc>
          <w:tcPr>
            <w:tcW w:w="945" w:type="dxa"/>
            <w:tcBorders>
              <w:tl2br w:val="nil"/>
              <w:tr2bl w:val="nil"/>
            </w:tcBorders>
            <w:shd w:val="clear" w:color="auto" w:fill="auto"/>
            <w:vAlign w:val="center"/>
          </w:tcPr>
          <w:p w14:paraId="6DD64A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0.258</w:t>
            </w:r>
          </w:p>
        </w:tc>
        <w:tc>
          <w:tcPr>
            <w:tcW w:w="1095" w:type="dxa"/>
            <w:tcBorders>
              <w:tl2br w:val="nil"/>
              <w:tr2bl w:val="nil"/>
            </w:tcBorders>
            <w:shd w:val="clear" w:color="auto" w:fill="auto"/>
            <w:vAlign w:val="center"/>
          </w:tcPr>
          <w:p w14:paraId="6D55BF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607196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075D536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6A07E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A9BE3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钝化活后水洗槽</w:t>
            </w:r>
          </w:p>
        </w:tc>
        <w:tc>
          <w:tcPr>
            <w:tcW w:w="855" w:type="dxa"/>
            <w:tcBorders>
              <w:tl2br w:val="nil"/>
              <w:tr2bl w:val="nil"/>
            </w:tcBorders>
            <w:shd w:val="clear" w:color="auto" w:fill="auto"/>
            <w:vAlign w:val="center"/>
          </w:tcPr>
          <w:p w14:paraId="5AFE05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2085" w:type="dxa"/>
            <w:tcBorders>
              <w:tl2br w:val="nil"/>
              <w:tr2bl w:val="nil"/>
            </w:tcBorders>
            <w:shd w:val="clear" w:color="auto" w:fill="auto"/>
            <w:vAlign w:val="center"/>
          </w:tcPr>
          <w:p w14:paraId="1F257F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725917D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816" w:type="dxa"/>
            <w:tcBorders>
              <w:tl2br w:val="nil"/>
              <w:tr2bl w:val="nil"/>
            </w:tcBorders>
            <w:shd w:val="clear" w:color="auto" w:fill="auto"/>
            <w:vAlign w:val="center"/>
          </w:tcPr>
          <w:p w14:paraId="3AB972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13.86</w:t>
            </w:r>
          </w:p>
        </w:tc>
        <w:tc>
          <w:tcPr>
            <w:tcW w:w="654" w:type="dxa"/>
            <w:tcBorders>
              <w:tl2br w:val="nil"/>
              <w:tr2bl w:val="nil"/>
            </w:tcBorders>
            <w:shd w:val="clear" w:color="auto" w:fill="auto"/>
            <w:vAlign w:val="center"/>
          </w:tcPr>
          <w:p w14:paraId="41ECC4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CC977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71CE59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03385F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18.161</w:t>
            </w:r>
            <w:r>
              <w:rPr>
                <w:rFonts w:hint="default" w:ascii="Times New Roman" w:hAnsi="Times New Roman" w:eastAsia="宋体" w:cs="Times New Roman"/>
                <w:i w:val="0"/>
                <w:iCs w:val="0"/>
                <w:color w:val="000000"/>
                <w:kern w:val="0"/>
                <w:sz w:val="21"/>
                <w:szCs w:val="21"/>
                <w:highlight w:val="none"/>
                <w:u w:val="none"/>
                <w:lang w:val="en-US" w:eastAsia="zh-CN" w:bidi="ar"/>
              </w:rPr>
              <w:t xml:space="preserve"> </w:t>
            </w:r>
          </w:p>
        </w:tc>
        <w:tc>
          <w:tcPr>
            <w:tcW w:w="945" w:type="dxa"/>
            <w:tcBorders>
              <w:tl2br w:val="nil"/>
              <w:tr2bl w:val="nil"/>
            </w:tcBorders>
            <w:shd w:val="clear" w:color="auto" w:fill="auto"/>
            <w:vAlign w:val="center"/>
          </w:tcPr>
          <w:p w14:paraId="04CC29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14.529</w:t>
            </w:r>
          </w:p>
        </w:tc>
        <w:tc>
          <w:tcPr>
            <w:tcW w:w="1095" w:type="dxa"/>
            <w:tcBorders>
              <w:tl2br w:val="nil"/>
              <w:tr2bl w:val="nil"/>
            </w:tcBorders>
            <w:shd w:val="clear" w:color="auto" w:fill="auto"/>
            <w:vAlign w:val="center"/>
          </w:tcPr>
          <w:p w14:paraId="76DD3A2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72F87D1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1A51AC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5DFBE2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F875F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中和槽</w:t>
            </w:r>
          </w:p>
        </w:tc>
        <w:tc>
          <w:tcPr>
            <w:tcW w:w="855" w:type="dxa"/>
            <w:tcBorders>
              <w:tl2br w:val="nil"/>
              <w:tr2bl w:val="nil"/>
            </w:tcBorders>
            <w:shd w:val="clear" w:color="auto" w:fill="auto"/>
            <w:vAlign w:val="center"/>
          </w:tcPr>
          <w:p w14:paraId="40DC4C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4765A6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366E621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75678B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625EBD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1575070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76A0AE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57C764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1.617</w:t>
            </w:r>
          </w:p>
        </w:tc>
        <w:tc>
          <w:tcPr>
            <w:tcW w:w="945" w:type="dxa"/>
            <w:tcBorders>
              <w:tl2br w:val="nil"/>
              <w:tr2bl w:val="nil"/>
            </w:tcBorders>
            <w:shd w:val="clear" w:color="auto" w:fill="auto"/>
            <w:vAlign w:val="center"/>
          </w:tcPr>
          <w:p w14:paraId="6158F5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bidi="ar-SA"/>
              </w:rPr>
            </w:pPr>
            <w:r>
              <w:rPr>
                <w:rFonts w:hint="eastAsia" w:cs="Times New Roman"/>
                <w:i w:val="0"/>
                <w:iCs w:val="0"/>
                <w:color w:val="000000"/>
                <w:sz w:val="21"/>
                <w:szCs w:val="21"/>
                <w:highlight w:val="none"/>
                <w:u w:val="none"/>
                <w:lang w:val="en-US" w:eastAsia="zh-CN"/>
              </w:rPr>
              <w:t>1.293</w:t>
            </w:r>
          </w:p>
        </w:tc>
        <w:tc>
          <w:tcPr>
            <w:tcW w:w="1095" w:type="dxa"/>
            <w:tcBorders>
              <w:tl2br w:val="nil"/>
              <w:tr2bl w:val="nil"/>
            </w:tcBorders>
            <w:shd w:val="clear" w:color="auto" w:fill="auto"/>
            <w:vAlign w:val="center"/>
          </w:tcPr>
          <w:p w14:paraId="4D6F84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3097C7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p>
        </w:tc>
      </w:tr>
      <w:tr w14:paraId="18ACC1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918D3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2525D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中和后水洗</w:t>
            </w:r>
          </w:p>
        </w:tc>
        <w:tc>
          <w:tcPr>
            <w:tcW w:w="855" w:type="dxa"/>
            <w:tcBorders>
              <w:tl2br w:val="nil"/>
              <w:tr2bl w:val="nil"/>
            </w:tcBorders>
            <w:shd w:val="clear" w:color="auto" w:fill="auto"/>
            <w:vAlign w:val="center"/>
          </w:tcPr>
          <w:p w14:paraId="09CA9C0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w:t>
            </w:r>
          </w:p>
        </w:tc>
        <w:tc>
          <w:tcPr>
            <w:tcW w:w="2085" w:type="dxa"/>
            <w:tcBorders>
              <w:tl2br w:val="nil"/>
              <w:tr2bl w:val="nil"/>
            </w:tcBorders>
            <w:shd w:val="clear" w:color="auto" w:fill="auto"/>
            <w:vAlign w:val="center"/>
          </w:tcPr>
          <w:p w14:paraId="0C23175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宋体"/>
                <w:b w:val="0"/>
                <w:bCs/>
                <w:color w:val="auto"/>
                <w:kern w:val="2"/>
                <w:sz w:val="21"/>
                <w:szCs w:val="21"/>
                <w:highlight w:val="none"/>
                <w:lang w:val="en-US" w:eastAsia="zh-CN" w:bidi="ar-SA"/>
              </w:rPr>
              <w:t>L</w:t>
            </w:r>
            <w:r>
              <w:rPr>
                <w:rFonts w:hint="eastAsia" w:ascii="Times New Roman" w:hAnsi="Times New Roman" w:eastAsia="宋体" w:cs="宋体"/>
                <w:b w:val="0"/>
                <w:bCs/>
                <w:color w:val="auto"/>
                <w:kern w:val="2"/>
                <w:sz w:val="21"/>
                <w:szCs w:val="21"/>
                <w:highlight w:val="none"/>
                <w:lang w:val="en-US" w:eastAsia="zh-CN" w:bidi="ar-SA"/>
              </w:rPr>
              <w:t>2000</w:t>
            </w:r>
            <w:r>
              <w:rPr>
                <w:rFonts w:hint="default" w:ascii="Times New Roman" w:hAnsi="Times New Roman" w:eastAsia="宋体" w:cs="宋体"/>
                <w:b w:val="0"/>
                <w:bCs/>
                <w:color w:val="auto"/>
                <w:kern w:val="2"/>
                <w:sz w:val="21"/>
                <w:szCs w:val="21"/>
                <w:highlight w:val="none"/>
                <w:lang w:val="en-US" w:eastAsia="zh-CN" w:bidi="ar-SA"/>
              </w:rPr>
              <w:t>*W</w:t>
            </w:r>
            <w:r>
              <w:rPr>
                <w:rFonts w:hint="eastAsia" w:ascii="Times New Roman" w:hAnsi="Times New Roman" w:eastAsia="宋体" w:cs="宋体"/>
                <w:b w:val="0"/>
                <w:bCs/>
                <w:color w:val="auto"/>
                <w:kern w:val="2"/>
                <w:sz w:val="21"/>
                <w:szCs w:val="21"/>
                <w:highlight w:val="none"/>
                <w:lang w:val="en-US" w:eastAsia="zh-CN" w:bidi="ar-SA"/>
              </w:rPr>
              <w:t>700</w:t>
            </w:r>
            <w:r>
              <w:rPr>
                <w:rFonts w:hint="default" w:ascii="Times New Roman" w:hAnsi="Times New Roman" w:eastAsia="宋体" w:cs="宋体"/>
                <w:b w:val="0"/>
                <w:bCs/>
                <w:color w:val="auto"/>
                <w:kern w:val="2"/>
                <w:sz w:val="21"/>
                <w:szCs w:val="21"/>
                <w:highlight w:val="none"/>
                <w:lang w:val="en-US" w:eastAsia="zh-CN" w:bidi="ar-SA"/>
              </w:rPr>
              <w:t>*H1</w:t>
            </w:r>
            <w:r>
              <w:rPr>
                <w:rFonts w:hint="eastAsia" w:ascii="Times New Roman" w:hAnsi="Times New Roman" w:eastAsia="宋体" w:cs="宋体"/>
                <w:b w:val="0"/>
                <w:bCs/>
                <w:color w:val="auto"/>
                <w:kern w:val="2"/>
                <w:sz w:val="21"/>
                <w:szCs w:val="21"/>
                <w:highlight w:val="none"/>
                <w:lang w:val="en-US" w:eastAsia="zh-CN" w:bidi="ar-SA"/>
              </w:rPr>
              <w:t>1</w:t>
            </w:r>
            <w:r>
              <w:rPr>
                <w:rFonts w:hint="default" w:ascii="Times New Roman" w:hAnsi="Times New Roman" w:eastAsia="宋体" w:cs="宋体"/>
                <w:b w:val="0"/>
                <w:bCs/>
                <w:color w:val="auto"/>
                <w:kern w:val="2"/>
                <w:sz w:val="21"/>
                <w:szCs w:val="21"/>
                <w:highlight w:val="none"/>
                <w:lang w:val="en-US" w:eastAsia="zh-CN" w:bidi="ar-SA"/>
              </w:rPr>
              <w:t>00</w:t>
            </w:r>
          </w:p>
        </w:tc>
        <w:tc>
          <w:tcPr>
            <w:tcW w:w="780" w:type="dxa"/>
            <w:tcBorders>
              <w:tl2br w:val="nil"/>
              <w:tr2bl w:val="nil"/>
            </w:tcBorders>
            <w:shd w:val="clear" w:color="auto" w:fill="auto"/>
            <w:vAlign w:val="center"/>
          </w:tcPr>
          <w:p w14:paraId="1F79C3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816" w:type="dxa"/>
            <w:tcBorders>
              <w:tl2br w:val="nil"/>
              <w:tr2bl w:val="nil"/>
            </w:tcBorders>
            <w:shd w:val="clear" w:color="auto" w:fill="auto"/>
            <w:vAlign w:val="center"/>
          </w:tcPr>
          <w:p w14:paraId="39B9EA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4.62</w:t>
            </w:r>
          </w:p>
        </w:tc>
        <w:tc>
          <w:tcPr>
            <w:tcW w:w="654" w:type="dxa"/>
            <w:tcBorders>
              <w:tl2br w:val="nil"/>
              <w:tr2bl w:val="nil"/>
            </w:tcBorders>
            <w:shd w:val="clear" w:color="auto" w:fill="auto"/>
            <w:vAlign w:val="center"/>
          </w:tcPr>
          <w:p w14:paraId="57169E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64F2E6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1ACEB8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406ED7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bidi="ar-SA"/>
              </w:rPr>
            </w:pPr>
            <w:r>
              <w:rPr>
                <w:rFonts w:hint="eastAsia" w:cs="Times New Roman"/>
                <w:i w:val="0"/>
                <w:iCs w:val="0"/>
                <w:color w:val="000000"/>
                <w:sz w:val="21"/>
                <w:szCs w:val="21"/>
                <w:highlight w:val="none"/>
                <w:u w:val="none"/>
                <w:lang w:val="en-US" w:eastAsia="zh-CN" w:bidi="ar-SA"/>
              </w:rPr>
              <w:t>0.054</w:t>
            </w:r>
          </w:p>
        </w:tc>
        <w:tc>
          <w:tcPr>
            <w:tcW w:w="945" w:type="dxa"/>
            <w:tcBorders>
              <w:tl2br w:val="nil"/>
              <w:tr2bl w:val="nil"/>
            </w:tcBorders>
            <w:shd w:val="clear" w:color="auto" w:fill="auto"/>
            <w:vAlign w:val="center"/>
          </w:tcPr>
          <w:p w14:paraId="56E0A7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bidi="ar-SA"/>
              </w:rPr>
            </w:pPr>
            <w:r>
              <w:rPr>
                <w:rFonts w:hint="eastAsia" w:cs="Times New Roman"/>
                <w:i w:val="0"/>
                <w:iCs w:val="0"/>
                <w:color w:val="000000"/>
                <w:sz w:val="21"/>
                <w:szCs w:val="21"/>
                <w:highlight w:val="none"/>
                <w:u w:val="none"/>
                <w:lang w:val="en-US" w:eastAsia="zh-CN" w:bidi="ar-SA"/>
              </w:rPr>
              <w:t>0.044</w:t>
            </w:r>
          </w:p>
        </w:tc>
        <w:tc>
          <w:tcPr>
            <w:tcW w:w="1095" w:type="dxa"/>
            <w:tcBorders>
              <w:tl2br w:val="nil"/>
              <w:tr2bl w:val="nil"/>
            </w:tcBorders>
            <w:shd w:val="clear" w:color="auto" w:fill="auto"/>
            <w:vAlign w:val="center"/>
          </w:tcPr>
          <w:p w14:paraId="057404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74BA54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67FB428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21040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7F477A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交换后水洗</w:t>
            </w:r>
          </w:p>
        </w:tc>
        <w:tc>
          <w:tcPr>
            <w:tcW w:w="855" w:type="dxa"/>
            <w:tcBorders>
              <w:tl2br w:val="nil"/>
              <w:tr2bl w:val="nil"/>
            </w:tcBorders>
            <w:shd w:val="clear" w:color="auto" w:fill="auto"/>
            <w:vAlign w:val="center"/>
          </w:tcPr>
          <w:p w14:paraId="2902F9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5ABD55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L2000*W700*H1100</w:t>
            </w:r>
          </w:p>
        </w:tc>
        <w:tc>
          <w:tcPr>
            <w:tcW w:w="780" w:type="dxa"/>
            <w:tcBorders>
              <w:tl2br w:val="nil"/>
              <w:tr2bl w:val="nil"/>
            </w:tcBorders>
            <w:shd w:val="clear" w:color="auto" w:fill="auto"/>
            <w:vAlign w:val="center"/>
          </w:tcPr>
          <w:p w14:paraId="67804C0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6E22226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9.24</w:t>
            </w:r>
          </w:p>
        </w:tc>
        <w:tc>
          <w:tcPr>
            <w:tcW w:w="654" w:type="dxa"/>
            <w:tcBorders>
              <w:tl2br w:val="nil"/>
              <w:tr2bl w:val="nil"/>
            </w:tcBorders>
            <w:shd w:val="clear" w:color="auto" w:fill="auto"/>
            <w:vAlign w:val="center"/>
          </w:tcPr>
          <w:p w14:paraId="049C3D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7D3C59E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5DF353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76076A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18.101</w:t>
            </w:r>
          </w:p>
        </w:tc>
        <w:tc>
          <w:tcPr>
            <w:tcW w:w="945" w:type="dxa"/>
            <w:tcBorders>
              <w:tl2br w:val="nil"/>
              <w:tr2bl w:val="nil"/>
            </w:tcBorders>
            <w:shd w:val="clear" w:color="auto" w:fill="auto"/>
            <w:vAlign w:val="center"/>
          </w:tcPr>
          <w:p w14:paraId="63C4BF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14.486</w:t>
            </w:r>
          </w:p>
        </w:tc>
        <w:tc>
          <w:tcPr>
            <w:tcW w:w="1095" w:type="dxa"/>
            <w:tcBorders>
              <w:tl2br w:val="nil"/>
              <w:tr2bl w:val="nil"/>
            </w:tcBorders>
            <w:shd w:val="clear" w:color="auto" w:fill="auto"/>
            <w:vAlign w:val="center"/>
          </w:tcPr>
          <w:p w14:paraId="42B6AEA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62FFD7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5721FC4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6249B2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C8F3A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封闭保护槽</w:t>
            </w:r>
          </w:p>
        </w:tc>
        <w:tc>
          <w:tcPr>
            <w:tcW w:w="855" w:type="dxa"/>
            <w:tcBorders>
              <w:tl2br w:val="nil"/>
              <w:tr2bl w:val="nil"/>
            </w:tcBorders>
            <w:shd w:val="clear" w:color="auto" w:fill="auto"/>
            <w:vAlign w:val="center"/>
          </w:tcPr>
          <w:p w14:paraId="678E26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62BA9F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449F005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816" w:type="dxa"/>
            <w:tcBorders>
              <w:tl2br w:val="nil"/>
              <w:tr2bl w:val="nil"/>
            </w:tcBorders>
            <w:shd w:val="clear" w:color="auto" w:fill="auto"/>
            <w:vAlign w:val="center"/>
          </w:tcPr>
          <w:p w14:paraId="15F8C8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13.86</w:t>
            </w:r>
          </w:p>
        </w:tc>
        <w:tc>
          <w:tcPr>
            <w:tcW w:w="654" w:type="dxa"/>
            <w:tcBorders>
              <w:tl2br w:val="nil"/>
              <w:tr2bl w:val="nil"/>
            </w:tcBorders>
            <w:shd w:val="clear" w:color="auto" w:fill="auto"/>
            <w:vAlign w:val="center"/>
          </w:tcPr>
          <w:p w14:paraId="517087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7DBAEF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43A9184A">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w:t>
            </w:r>
          </w:p>
        </w:tc>
        <w:tc>
          <w:tcPr>
            <w:tcW w:w="1005" w:type="dxa"/>
            <w:tcBorders>
              <w:tl2br w:val="nil"/>
              <w:tr2bl w:val="nil"/>
            </w:tcBorders>
            <w:shd w:val="clear" w:color="auto" w:fill="auto"/>
            <w:vAlign w:val="center"/>
          </w:tcPr>
          <w:p w14:paraId="482C46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0.486</w:t>
            </w:r>
          </w:p>
        </w:tc>
        <w:tc>
          <w:tcPr>
            <w:tcW w:w="945" w:type="dxa"/>
            <w:tcBorders>
              <w:tl2br w:val="nil"/>
              <w:tr2bl w:val="nil"/>
            </w:tcBorders>
            <w:shd w:val="clear" w:color="auto" w:fill="auto"/>
            <w:vAlign w:val="center"/>
          </w:tcPr>
          <w:p w14:paraId="4D749EA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0.389</w:t>
            </w:r>
          </w:p>
        </w:tc>
        <w:tc>
          <w:tcPr>
            <w:tcW w:w="1095" w:type="dxa"/>
            <w:tcBorders>
              <w:tl2br w:val="nil"/>
              <w:tr2bl w:val="nil"/>
            </w:tcBorders>
            <w:shd w:val="clear" w:color="auto" w:fill="auto"/>
            <w:vAlign w:val="center"/>
          </w:tcPr>
          <w:p w14:paraId="03AD08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综合废水</w:t>
            </w:r>
          </w:p>
        </w:tc>
        <w:tc>
          <w:tcPr>
            <w:tcW w:w="1518" w:type="dxa"/>
            <w:tcBorders>
              <w:tl2br w:val="nil"/>
              <w:tr2bl w:val="nil"/>
            </w:tcBorders>
            <w:shd w:val="clear" w:color="auto" w:fill="auto"/>
            <w:vAlign w:val="center"/>
          </w:tcPr>
          <w:p w14:paraId="7CDC7E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36059AB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7B445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1E262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封闭后水洗槽</w:t>
            </w:r>
          </w:p>
        </w:tc>
        <w:tc>
          <w:tcPr>
            <w:tcW w:w="855" w:type="dxa"/>
            <w:tcBorders>
              <w:tl2br w:val="nil"/>
              <w:tr2bl w:val="nil"/>
            </w:tcBorders>
            <w:shd w:val="clear" w:color="auto" w:fill="auto"/>
            <w:vAlign w:val="center"/>
          </w:tcPr>
          <w:p w14:paraId="592706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7C92FA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L2000*W700*H1100</w:t>
            </w:r>
          </w:p>
        </w:tc>
        <w:tc>
          <w:tcPr>
            <w:tcW w:w="780" w:type="dxa"/>
            <w:tcBorders>
              <w:tl2br w:val="nil"/>
              <w:tr2bl w:val="nil"/>
            </w:tcBorders>
            <w:shd w:val="clear" w:color="auto" w:fill="auto"/>
            <w:vAlign w:val="center"/>
          </w:tcPr>
          <w:p w14:paraId="1A7D139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0CBFE0F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9.24</w:t>
            </w:r>
          </w:p>
        </w:tc>
        <w:tc>
          <w:tcPr>
            <w:tcW w:w="654" w:type="dxa"/>
            <w:tcBorders>
              <w:tl2br w:val="nil"/>
              <w:tr2bl w:val="nil"/>
            </w:tcBorders>
            <w:shd w:val="clear" w:color="auto" w:fill="auto"/>
            <w:vAlign w:val="center"/>
          </w:tcPr>
          <w:p w14:paraId="7E995C0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398106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连续溢流</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2A1305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0.2</w:t>
            </w:r>
          </w:p>
        </w:tc>
        <w:tc>
          <w:tcPr>
            <w:tcW w:w="1005" w:type="dxa"/>
            <w:tcBorders>
              <w:tl2br w:val="nil"/>
              <w:tr2bl w:val="nil"/>
            </w:tcBorders>
            <w:shd w:val="clear" w:color="auto" w:fill="auto"/>
            <w:vAlign w:val="center"/>
          </w:tcPr>
          <w:p w14:paraId="1F16EA0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18.101</w:t>
            </w:r>
          </w:p>
        </w:tc>
        <w:tc>
          <w:tcPr>
            <w:tcW w:w="945" w:type="dxa"/>
            <w:tcBorders>
              <w:tl2br w:val="nil"/>
              <w:tr2bl w:val="nil"/>
            </w:tcBorders>
            <w:shd w:val="clear" w:color="auto" w:fill="auto"/>
            <w:vAlign w:val="center"/>
          </w:tcPr>
          <w:p w14:paraId="53B367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14.486</w:t>
            </w:r>
          </w:p>
        </w:tc>
        <w:tc>
          <w:tcPr>
            <w:tcW w:w="1095" w:type="dxa"/>
            <w:tcBorders>
              <w:tl2br w:val="nil"/>
              <w:tr2bl w:val="nil"/>
            </w:tcBorders>
            <w:shd w:val="clear" w:color="auto" w:fill="auto"/>
            <w:vAlign w:val="center"/>
          </w:tcPr>
          <w:p w14:paraId="409A25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综合废水</w:t>
            </w:r>
          </w:p>
        </w:tc>
        <w:tc>
          <w:tcPr>
            <w:tcW w:w="1518" w:type="dxa"/>
            <w:tcBorders>
              <w:tl2br w:val="nil"/>
              <w:tr2bl w:val="nil"/>
            </w:tcBorders>
            <w:shd w:val="clear" w:color="auto" w:fill="auto"/>
            <w:vAlign w:val="center"/>
          </w:tcPr>
          <w:p w14:paraId="068F3C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连续排放</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洗槽水</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70E764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F3CC2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8D4089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855" w:type="dxa"/>
            <w:tcBorders>
              <w:tl2br w:val="nil"/>
              <w:tr2bl w:val="nil"/>
            </w:tcBorders>
            <w:shd w:val="clear" w:color="auto" w:fill="auto"/>
            <w:vAlign w:val="center"/>
          </w:tcPr>
          <w:p w14:paraId="68490856">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2085" w:type="dxa"/>
            <w:tcBorders>
              <w:tl2br w:val="nil"/>
              <w:tr2bl w:val="nil"/>
            </w:tcBorders>
            <w:shd w:val="clear" w:color="auto" w:fill="auto"/>
            <w:vAlign w:val="center"/>
          </w:tcPr>
          <w:p w14:paraId="12C52F4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780" w:type="dxa"/>
            <w:tcBorders>
              <w:tl2br w:val="nil"/>
              <w:tr2bl w:val="nil"/>
            </w:tcBorders>
            <w:shd w:val="clear" w:color="auto" w:fill="auto"/>
            <w:vAlign w:val="center"/>
          </w:tcPr>
          <w:p w14:paraId="169A5B4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816" w:type="dxa"/>
            <w:tcBorders>
              <w:tl2br w:val="nil"/>
              <w:tr2bl w:val="nil"/>
            </w:tcBorders>
            <w:shd w:val="clear" w:color="auto" w:fill="auto"/>
            <w:vAlign w:val="center"/>
          </w:tcPr>
          <w:p w14:paraId="664EFD7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654" w:type="dxa"/>
            <w:tcBorders>
              <w:tl2br w:val="nil"/>
              <w:tr2bl w:val="nil"/>
            </w:tcBorders>
            <w:shd w:val="clear" w:color="auto" w:fill="auto"/>
            <w:vAlign w:val="center"/>
          </w:tcPr>
          <w:p w14:paraId="5F55995C">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1200" w:type="dxa"/>
            <w:tcBorders>
              <w:tl2br w:val="nil"/>
              <w:tr2bl w:val="nil"/>
            </w:tcBorders>
            <w:shd w:val="clear" w:color="auto" w:fill="auto"/>
            <w:vAlign w:val="center"/>
          </w:tcPr>
          <w:p w14:paraId="21C223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5" w:type="dxa"/>
            <w:tcBorders>
              <w:tl2br w:val="nil"/>
              <w:tr2bl w:val="nil"/>
            </w:tcBorders>
            <w:shd w:val="clear" w:color="auto" w:fill="auto"/>
            <w:vAlign w:val="center"/>
          </w:tcPr>
          <w:p w14:paraId="089D3A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2B41DA3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153.224</w:t>
            </w:r>
          </w:p>
        </w:tc>
        <w:tc>
          <w:tcPr>
            <w:tcW w:w="945" w:type="dxa"/>
            <w:tcBorders>
              <w:tl2br w:val="nil"/>
              <w:tr2bl w:val="nil"/>
            </w:tcBorders>
            <w:shd w:val="clear" w:color="auto" w:fill="auto"/>
            <w:vAlign w:val="center"/>
          </w:tcPr>
          <w:p w14:paraId="54E2DC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108.919</w:t>
            </w:r>
          </w:p>
        </w:tc>
        <w:tc>
          <w:tcPr>
            <w:tcW w:w="1095" w:type="dxa"/>
            <w:tcBorders>
              <w:tl2br w:val="nil"/>
              <w:tr2bl w:val="nil"/>
            </w:tcBorders>
            <w:shd w:val="clear" w:color="auto" w:fill="auto"/>
            <w:vAlign w:val="center"/>
          </w:tcPr>
          <w:p w14:paraId="464243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4BE40E9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3A6A454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restart"/>
            <w:tcBorders>
              <w:tl2br w:val="nil"/>
              <w:tr2bl w:val="nil"/>
            </w:tcBorders>
            <w:shd w:val="clear" w:color="auto" w:fill="auto"/>
            <w:vAlign w:val="center"/>
          </w:tcPr>
          <w:p w14:paraId="6D92E3A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eastAsia="宋体" w:cs="Times New Roman"/>
                <w:b w:val="0"/>
                <w:bCs w:val="0"/>
                <w:i w:val="0"/>
                <w:iCs w:val="0"/>
                <w:color w:val="000000"/>
                <w:kern w:val="0"/>
                <w:sz w:val="21"/>
                <w:szCs w:val="21"/>
                <w:u w:val="none"/>
                <w:lang w:val="en-US" w:eastAsia="zh-CN" w:bidi="ar"/>
              </w:rPr>
              <w:t>盖帽生产线（2条）</w:t>
            </w:r>
          </w:p>
        </w:tc>
        <w:tc>
          <w:tcPr>
            <w:tcW w:w="1695" w:type="dxa"/>
            <w:tcBorders>
              <w:tl2br w:val="nil"/>
              <w:tr2bl w:val="nil"/>
            </w:tcBorders>
            <w:shd w:val="clear" w:color="auto" w:fill="auto"/>
            <w:vAlign w:val="center"/>
          </w:tcPr>
          <w:p w14:paraId="298B81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产生位置</w:t>
            </w:r>
          </w:p>
        </w:tc>
        <w:tc>
          <w:tcPr>
            <w:tcW w:w="855" w:type="dxa"/>
            <w:tcBorders>
              <w:tl2br w:val="nil"/>
              <w:tr2bl w:val="nil"/>
            </w:tcBorders>
            <w:shd w:val="clear" w:color="auto" w:fill="auto"/>
            <w:vAlign w:val="center"/>
          </w:tcPr>
          <w:p w14:paraId="7D38195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单条槽体数量（个）</w:t>
            </w:r>
          </w:p>
        </w:tc>
        <w:tc>
          <w:tcPr>
            <w:tcW w:w="2085" w:type="dxa"/>
            <w:tcBorders>
              <w:tl2br w:val="nil"/>
              <w:tr2bl w:val="nil"/>
            </w:tcBorders>
            <w:shd w:val="clear" w:color="auto" w:fill="auto"/>
            <w:vAlign w:val="center"/>
          </w:tcPr>
          <w:p w14:paraId="653CFA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尺寸</w:t>
            </w:r>
            <w:r>
              <w:rPr>
                <w:rFonts w:hint="default" w:ascii="Times New Roman" w:hAnsi="Times New Roman" w:eastAsia="宋体" w:cs="Times New Roman"/>
                <w:b/>
                <w:bCs/>
                <w:i w:val="0"/>
                <w:iCs w:val="0"/>
                <w:color w:val="000000"/>
                <w:kern w:val="0"/>
                <w:sz w:val="21"/>
                <w:szCs w:val="21"/>
                <w:u w:val="none"/>
                <w:lang w:val="en-US" w:eastAsia="zh-CN" w:bidi="ar"/>
              </w:rPr>
              <w:t>(mm)</w:t>
            </w:r>
          </w:p>
        </w:tc>
        <w:tc>
          <w:tcPr>
            <w:tcW w:w="780" w:type="dxa"/>
            <w:tcBorders>
              <w:tl2br w:val="nil"/>
              <w:tr2bl w:val="nil"/>
            </w:tcBorders>
            <w:shd w:val="clear" w:color="auto" w:fill="auto"/>
            <w:vAlign w:val="center"/>
          </w:tcPr>
          <w:p w14:paraId="050B6FB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总数量</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宋体" w:hAnsi="宋体" w:eastAsia="宋体" w:cs="宋体"/>
                <w:b/>
                <w:bCs/>
                <w:i w:val="0"/>
                <w:iCs w:val="0"/>
                <w:color w:val="000000"/>
                <w:kern w:val="0"/>
                <w:sz w:val="21"/>
                <w:szCs w:val="21"/>
                <w:u w:val="none"/>
                <w:lang w:val="en-US" w:eastAsia="zh-CN" w:bidi="ar"/>
              </w:rPr>
              <w:t>个</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816" w:type="dxa"/>
            <w:tcBorders>
              <w:tl2br w:val="nil"/>
              <w:tr2bl w:val="nil"/>
            </w:tcBorders>
            <w:shd w:val="clear" w:color="auto" w:fill="auto"/>
            <w:vAlign w:val="center"/>
          </w:tcPr>
          <w:p w14:paraId="0FCAD3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总有效容积</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654" w:type="dxa"/>
            <w:tcBorders>
              <w:tl2br w:val="nil"/>
              <w:tr2bl w:val="nil"/>
            </w:tcBorders>
            <w:shd w:val="clear" w:color="auto" w:fill="auto"/>
            <w:vAlign w:val="center"/>
          </w:tcPr>
          <w:p w14:paraId="1936A5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工作时间</w:t>
            </w:r>
            <w:r>
              <w:rPr>
                <w:rFonts w:hint="default" w:ascii="Times New Roman" w:hAnsi="Times New Roman" w:eastAsia="宋体" w:cs="Times New Roman"/>
                <w:b/>
                <w:bCs/>
                <w:i w:val="0"/>
                <w:iCs w:val="0"/>
                <w:color w:val="000000"/>
                <w:kern w:val="0"/>
                <w:sz w:val="21"/>
                <w:szCs w:val="21"/>
                <w:u w:val="none"/>
                <w:lang w:val="en-US" w:eastAsia="zh-CN" w:bidi="ar"/>
              </w:rPr>
              <w:t>h/d</w:t>
            </w:r>
          </w:p>
        </w:tc>
        <w:tc>
          <w:tcPr>
            <w:tcW w:w="1200" w:type="dxa"/>
            <w:tcBorders>
              <w:tl2br w:val="nil"/>
              <w:tr2bl w:val="nil"/>
            </w:tcBorders>
            <w:shd w:val="clear" w:color="auto" w:fill="auto"/>
            <w:vAlign w:val="center"/>
          </w:tcPr>
          <w:p w14:paraId="76B5C4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排放方式</w:t>
            </w:r>
          </w:p>
        </w:tc>
        <w:tc>
          <w:tcPr>
            <w:tcW w:w="825" w:type="dxa"/>
            <w:tcBorders>
              <w:tl2br w:val="nil"/>
              <w:tr2bl w:val="nil"/>
            </w:tcBorders>
            <w:shd w:val="clear" w:color="auto" w:fill="auto"/>
            <w:vAlign w:val="center"/>
          </w:tcPr>
          <w:p w14:paraId="3751E1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溢流速度</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/h)</w:t>
            </w:r>
          </w:p>
        </w:tc>
        <w:tc>
          <w:tcPr>
            <w:tcW w:w="1005" w:type="dxa"/>
            <w:tcBorders>
              <w:tl2br w:val="nil"/>
              <w:tr2bl w:val="nil"/>
            </w:tcBorders>
            <w:shd w:val="clear" w:color="auto" w:fill="auto"/>
            <w:vAlign w:val="center"/>
          </w:tcPr>
          <w:p w14:paraId="4BD9C6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用水量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945" w:type="dxa"/>
            <w:tcBorders>
              <w:tl2br w:val="nil"/>
              <w:tr2bl w:val="nil"/>
            </w:tcBorders>
            <w:shd w:val="clear" w:color="auto" w:fill="auto"/>
            <w:vAlign w:val="center"/>
          </w:tcPr>
          <w:p w14:paraId="5102F5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废水量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1095" w:type="dxa"/>
            <w:tcBorders>
              <w:tl2br w:val="nil"/>
              <w:tr2bl w:val="nil"/>
            </w:tcBorders>
            <w:shd w:val="clear" w:color="auto" w:fill="auto"/>
            <w:vAlign w:val="center"/>
          </w:tcPr>
          <w:p w14:paraId="426491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类型</w:t>
            </w:r>
          </w:p>
        </w:tc>
        <w:tc>
          <w:tcPr>
            <w:tcW w:w="1518" w:type="dxa"/>
            <w:tcBorders>
              <w:tl2br w:val="nil"/>
              <w:tr2bl w:val="nil"/>
            </w:tcBorders>
            <w:shd w:val="clear" w:color="auto" w:fill="auto"/>
            <w:vAlign w:val="center"/>
          </w:tcPr>
          <w:p w14:paraId="452D40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槽液更换频次</w:t>
            </w:r>
          </w:p>
        </w:tc>
      </w:tr>
      <w:tr w14:paraId="30F0AA5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8D95A5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1A9AC5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除油</w:t>
            </w:r>
          </w:p>
        </w:tc>
        <w:tc>
          <w:tcPr>
            <w:tcW w:w="855" w:type="dxa"/>
            <w:tcBorders>
              <w:tl2br w:val="nil"/>
              <w:tr2bl w:val="nil"/>
            </w:tcBorders>
            <w:shd w:val="clear" w:color="auto" w:fill="auto"/>
            <w:vAlign w:val="center"/>
          </w:tcPr>
          <w:p w14:paraId="69681F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2085" w:type="dxa"/>
            <w:tcBorders>
              <w:tl2br w:val="nil"/>
              <w:tr2bl w:val="nil"/>
            </w:tcBorders>
            <w:shd w:val="clear" w:color="auto" w:fill="auto"/>
            <w:vAlign w:val="center"/>
          </w:tcPr>
          <w:p w14:paraId="66D324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L1600*W800*H800</w:t>
            </w:r>
          </w:p>
        </w:tc>
        <w:tc>
          <w:tcPr>
            <w:tcW w:w="780" w:type="dxa"/>
            <w:tcBorders>
              <w:tl2br w:val="nil"/>
              <w:tr2bl w:val="nil"/>
            </w:tcBorders>
            <w:shd w:val="clear" w:color="auto" w:fill="auto"/>
            <w:vAlign w:val="center"/>
          </w:tcPr>
          <w:p w14:paraId="433EAD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816" w:type="dxa"/>
            <w:tcBorders>
              <w:tl2br w:val="nil"/>
              <w:tr2bl w:val="nil"/>
            </w:tcBorders>
            <w:shd w:val="clear" w:color="auto" w:fill="auto"/>
            <w:vAlign w:val="center"/>
          </w:tcPr>
          <w:p w14:paraId="5D64DB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36.864</w:t>
            </w:r>
          </w:p>
        </w:tc>
        <w:tc>
          <w:tcPr>
            <w:tcW w:w="654" w:type="dxa"/>
            <w:tcBorders>
              <w:tl2br w:val="nil"/>
              <w:tr2bl w:val="nil"/>
            </w:tcBorders>
            <w:shd w:val="clear" w:color="auto" w:fill="auto"/>
            <w:vAlign w:val="center"/>
          </w:tcPr>
          <w:p w14:paraId="3A3CEF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576B3B6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3CE8FC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4D95BB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0.430 </w:t>
            </w:r>
          </w:p>
        </w:tc>
        <w:tc>
          <w:tcPr>
            <w:tcW w:w="945" w:type="dxa"/>
            <w:tcBorders>
              <w:tl2br w:val="nil"/>
              <w:tr2bl w:val="nil"/>
            </w:tcBorders>
            <w:shd w:val="clear" w:color="auto" w:fill="auto"/>
            <w:vAlign w:val="center"/>
          </w:tcPr>
          <w:p w14:paraId="0E7D26B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0.344</w:t>
            </w:r>
          </w:p>
        </w:tc>
        <w:tc>
          <w:tcPr>
            <w:tcW w:w="1095" w:type="dxa"/>
            <w:tcBorders>
              <w:tl2br w:val="nil"/>
              <w:tr2bl w:val="nil"/>
            </w:tcBorders>
            <w:shd w:val="clear" w:color="auto" w:fill="auto"/>
            <w:vAlign w:val="center"/>
          </w:tcPr>
          <w:p w14:paraId="0E7421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含油废水</w:t>
            </w:r>
          </w:p>
        </w:tc>
        <w:tc>
          <w:tcPr>
            <w:tcW w:w="1518" w:type="dxa"/>
            <w:tcBorders>
              <w:tl2br w:val="nil"/>
              <w:tr2bl w:val="nil"/>
            </w:tcBorders>
            <w:shd w:val="clear" w:color="auto" w:fill="auto"/>
            <w:vAlign w:val="center"/>
          </w:tcPr>
          <w:p w14:paraId="688E46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77FB63E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68AA41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014EA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除油后水洗槽</w:t>
            </w:r>
          </w:p>
        </w:tc>
        <w:tc>
          <w:tcPr>
            <w:tcW w:w="855" w:type="dxa"/>
            <w:tcBorders>
              <w:tl2br w:val="nil"/>
              <w:tr2bl w:val="nil"/>
            </w:tcBorders>
            <w:shd w:val="clear" w:color="auto" w:fill="auto"/>
            <w:vAlign w:val="center"/>
          </w:tcPr>
          <w:p w14:paraId="373C77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0ED3BD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20F72F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4F25CE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70B479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1CA5B7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4FCDE7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22191E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0.116 </w:t>
            </w:r>
          </w:p>
        </w:tc>
        <w:tc>
          <w:tcPr>
            <w:tcW w:w="945" w:type="dxa"/>
            <w:tcBorders>
              <w:tl2br w:val="nil"/>
              <w:tr2bl w:val="nil"/>
            </w:tcBorders>
            <w:shd w:val="clear" w:color="auto" w:fill="auto"/>
            <w:vAlign w:val="center"/>
          </w:tcPr>
          <w:p w14:paraId="5D456D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0.093</w:t>
            </w:r>
          </w:p>
        </w:tc>
        <w:tc>
          <w:tcPr>
            <w:tcW w:w="1095" w:type="dxa"/>
            <w:tcBorders>
              <w:tl2br w:val="nil"/>
              <w:tr2bl w:val="nil"/>
            </w:tcBorders>
            <w:shd w:val="clear" w:color="auto" w:fill="auto"/>
            <w:vAlign w:val="center"/>
          </w:tcPr>
          <w:p w14:paraId="356EC99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含油废水</w:t>
            </w:r>
          </w:p>
        </w:tc>
        <w:tc>
          <w:tcPr>
            <w:tcW w:w="1518" w:type="dxa"/>
            <w:tcBorders>
              <w:tl2br w:val="nil"/>
              <w:tr2bl w:val="nil"/>
            </w:tcBorders>
            <w:shd w:val="clear" w:color="auto" w:fill="auto"/>
            <w:vAlign w:val="center"/>
          </w:tcPr>
          <w:p w14:paraId="5BC653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4B7D224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C0820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7F559C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除油后热水洗槽</w:t>
            </w:r>
          </w:p>
        </w:tc>
        <w:tc>
          <w:tcPr>
            <w:tcW w:w="855" w:type="dxa"/>
            <w:tcBorders>
              <w:tl2br w:val="nil"/>
              <w:tr2bl w:val="nil"/>
            </w:tcBorders>
            <w:shd w:val="clear" w:color="auto" w:fill="auto"/>
            <w:vAlign w:val="center"/>
          </w:tcPr>
          <w:p w14:paraId="40189D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085" w:type="dxa"/>
            <w:tcBorders>
              <w:tl2br w:val="nil"/>
              <w:tr2bl w:val="nil"/>
            </w:tcBorders>
            <w:shd w:val="clear" w:color="auto" w:fill="auto"/>
            <w:vAlign w:val="center"/>
          </w:tcPr>
          <w:p w14:paraId="5324979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594B61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816" w:type="dxa"/>
            <w:tcBorders>
              <w:tl2br w:val="nil"/>
              <w:tr2bl w:val="nil"/>
            </w:tcBorders>
            <w:shd w:val="clear" w:color="auto" w:fill="auto"/>
            <w:vAlign w:val="center"/>
          </w:tcPr>
          <w:p w14:paraId="1D61AB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1.664</w:t>
            </w:r>
          </w:p>
        </w:tc>
        <w:tc>
          <w:tcPr>
            <w:tcW w:w="654" w:type="dxa"/>
            <w:tcBorders>
              <w:tl2br w:val="nil"/>
              <w:tr2bl w:val="nil"/>
            </w:tcBorders>
            <w:shd w:val="clear" w:color="auto" w:fill="auto"/>
            <w:vAlign w:val="center"/>
          </w:tcPr>
          <w:p w14:paraId="1DDF28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A4DD2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48DE91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368D99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0.059 </w:t>
            </w:r>
          </w:p>
        </w:tc>
        <w:tc>
          <w:tcPr>
            <w:tcW w:w="945" w:type="dxa"/>
            <w:tcBorders>
              <w:tl2br w:val="nil"/>
              <w:tr2bl w:val="nil"/>
            </w:tcBorders>
            <w:shd w:val="clear" w:color="auto" w:fill="auto"/>
            <w:vAlign w:val="center"/>
          </w:tcPr>
          <w:p w14:paraId="7673C6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0.047</w:t>
            </w:r>
          </w:p>
        </w:tc>
        <w:tc>
          <w:tcPr>
            <w:tcW w:w="1095" w:type="dxa"/>
            <w:tcBorders>
              <w:tl2br w:val="nil"/>
              <w:tr2bl w:val="nil"/>
            </w:tcBorders>
            <w:shd w:val="clear" w:color="auto" w:fill="auto"/>
            <w:vAlign w:val="center"/>
          </w:tcPr>
          <w:p w14:paraId="2D3AA2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含油废水</w:t>
            </w:r>
          </w:p>
        </w:tc>
        <w:tc>
          <w:tcPr>
            <w:tcW w:w="1518" w:type="dxa"/>
            <w:tcBorders>
              <w:tl2br w:val="nil"/>
              <w:tr2bl w:val="nil"/>
            </w:tcBorders>
            <w:shd w:val="clear" w:color="auto" w:fill="auto"/>
            <w:vAlign w:val="center"/>
          </w:tcPr>
          <w:p w14:paraId="5B78E7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4EE94C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2F03B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4B61C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除油后水洗槽</w:t>
            </w:r>
          </w:p>
        </w:tc>
        <w:tc>
          <w:tcPr>
            <w:tcW w:w="855" w:type="dxa"/>
            <w:tcBorders>
              <w:tl2br w:val="nil"/>
              <w:tr2bl w:val="nil"/>
            </w:tcBorders>
            <w:shd w:val="clear" w:color="auto" w:fill="auto"/>
            <w:vAlign w:val="center"/>
          </w:tcPr>
          <w:p w14:paraId="0E14856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02F956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45EF76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655882C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13C4EF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D671D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4DE4A0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767271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12.039</w:t>
            </w:r>
          </w:p>
        </w:tc>
        <w:tc>
          <w:tcPr>
            <w:tcW w:w="945" w:type="dxa"/>
            <w:tcBorders>
              <w:tl2br w:val="nil"/>
              <w:tr2bl w:val="nil"/>
            </w:tcBorders>
            <w:shd w:val="clear" w:color="auto" w:fill="auto"/>
            <w:vAlign w:val="center"/>
          </w:tcPr>
          <w:p w14:paraId="246E678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9.631</w:t>
            </w:r>
          </w:p>
        </w:tc>
        <w:tc>
          <w:tcPr>
            <w:tcW w:w="1095" w:type="dxa"/>
            <w:tcBorders>
              <w:tl2br w:val="nil"/>
              <w:tr2bl w:val="nil"/>
            </w:tcBorders>
            <w:shd w:val="clear" w:color="auto" w:fill="auto"/>
            <w:vAlign w:val="center"/>
          </w:tcPr>
          <w:p w14:paraId="06E805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含油废水</w:t>
            </w:r>
          </w:p>
        </w:tc>
        <w:tc>
          <w:tcPr>
            <w:tcW w:w="1518" w:type="dxa"/>
            <w:tcBorders>
              <w:tl2br w:val="nil"/>
              <w:tr2bl w:val="nil"/>
            </w:tcBorders>
            <w:shd w:val="clear" w:color="auto" w:fill="auto"/>
            <w:vAlign w:val="center"/>
          </w:tcPr>
          <w:p w14:paraId="46BACF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7E67097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9D6F9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0265B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酸洗槽</w:t>
            </w:r>
          </w:p>
        </w:tc>
        <w:tc>
          <w:tcPr>
            <w:tcW w:w="855" w:type="dxa"/>
            <w:tcBorders>
              <w:tl2br w:val="nil"/>
              <w:tr2bl w:val="nil"/>
            </w:tcBorders>
            <w:shd w:val="clear" w:color="auto" w:fill="auto"/>
            <w:vAlign w:val="center"/>
          </w:tcPr>
          <w:p w14:paraId="2CB0C69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475D34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535AE23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816" w:type="dxa"/>
            <w:tcBorders>
              <w:tl2br w:val="nil"/>
              <w:tr2bl w:val="nil"/>
            </w:tcBorders>
            <w:shd w:val="clear" w:color="auto" w:fill="auto"/>
            <w:vAlign w:val="center"/>
          </w:tcPr>
          <w:p w14:paraId="005A452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3.328</w:t>
            </w:r>
          </w:p>
        </w:tc>
        <w:tc>
          <w:tcPr>
            <w:tcW w:w="654" w:type="dxa"/>
            <w:tcBorders>
              <w:tl2br w:val="nil"/>
              <w:tr2bl w:val="nil"/>
            </w:tcBorders>
            <w:shd w:val="clear" w:color="auto" w:fill="auto"/>
            <w:vAlign w:val="center"/>
          </w:tcPr>
          <w:p w14:paraId="2B2D09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48A3BC0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6B0378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4365FC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0.364 </w:t>
            </w:r>
          </w:p>
        </w:tc>
        <w:tc>
          <w:tcPr>
            <w:tcW w:w="945" w:type="dxa"/>
            <w:tcBorders>
              <w:tl2br w:val="nil"/>
              <w:tr2bl w:val="nil"/>
            </w:tcBorders>
            <w:shd w:val="clear" w:color="auto" w:fill="auto"/>
            <w:vAlign w:val="center"/>
          </w:tcPr>
          <w:p w14:paraId="2204C0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0.291</w:t>
            </w:r>
          </w:p>
        </w:tc>
        <w:tc>
          <w:tcPr>
            <w:tcW w:w="1095" w:type="dxa"/>
            <w:tcBorders>
              <w:tl2br w:val="nil"/>
              <w:tr2bl w:val="nil"/>
            </w:tcBorders>
            <w:shd w:val="clear" w:color="auto" w:fill="auto"/>
            <w:vAlign w:val="center"/>
          </w:tcPr>
          <w:p w14:paraId="4953C5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6D05439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37D3C60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DC7C5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5F17A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酸洗后</w:t>
            </w:r>
            <w:r>
              <w:rPr>
                <w:rFonts w:hint="eastAsia" w:ascii="宋体" w:hAnsi="宋体" w:eastAsia="宋体" w:cs="宋体"/>
                <w:i w:val="0"/>
                <w:iCs w:val="0"/>
                <w:color w:val="000000"/>
                <w:kern w:val="0"/>
                <w:sz w:val="21"/>
                <w:szCs w:val="21"/>
                <w:u w:val="none"/>
                <w:lang w:val="en-US" w:eastAsia="zh-CN" w:bidi="ar"/>
              </w:rPr>
              <w:t>水洗槽</w:t>
            </w:r>
          </w:p>
        </w:tc>
        <w:tc>
          <w:tcPr>
            <w:tcW w:w="855" w:type="dxa"/>
            <w:tcBorders>
              <w:tl2br w:val="nil"/>
              <w:tr2bl w:val="nil"/>
            </w:tcBorders>
            <w:shd w:val="clear" w:color="auto" w:fill="auto"/>
            <w:vAlign w:val="center"/>
          </w:tcPr>
          <w:p w14:paraId="352381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12A247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747B253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816" w:type="dxa"/>
            <w:tcBorders>
              <w:tl2br w:val="nil"/>
              <w:tr2bl w:val="nil"/>
            </w:tcBorders>
            <w:shd w:val="clear" w:color="auto" w:fill="auto"/>
            <w:vAlign w:val="center"/>
          </w:tcPr>
          <w:p w14:paraId="5DFAF0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3.328</w:t>
            </w:r>
          </w:p>
        </w:tc>
        <w:tc>
          <w:tcPr>
            <w:tcW w:w="654" w:type="dxa"/>
            <w:tcBorders>
              <w:tl2br w:val="nil"/>
              <w:tr2bl w:val="nil"/>
            </w:tcBorders>
            <w:shd w:val="clear" w:color="auto" w:fill="auto"/>
            <w:vAlign w:val="center"/>
          </w:tcPr>
          <w:p w14:paraId="6A4D82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429A1B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连续溢流</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3C2D500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0.2</w:t>
            </w:r>
          </w:p>
        </w:tc>
        <w:tc>
          <w:tcPr>
            <w:tcW w:w="1005" w:type="dxa"/>
            <w:tcBorders>
              <w:tl2br w:val="nil"/>
              <w:tr2bl w:val="nil"/>
            </w:tcBorders>
            <w:shd w:val="clear" w:color="auto" w:fill="auto"/>
            <w:vAlign w:val="center"/>
          </w:tcPr>
          <w:p w14:paraId="349822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12.039</w:t>
            </w:r>
          </w:p>
        </w:tc>
        <w:tc>
          <w:tcPr>
            <w:tcW w:w="945" w:type="dxa"/>
            <w:tcBorders>
              <w:tl2br w:val="nil"/>
              <w:tr2bl w:val="nil"/>
            </w:tcBorders>
            <w:shd w:val="clear" w:color="auto" w:fill="auto"/>
            <w:vAlign w:val="center"/>
          </w:tcPr>
          <w:p w14:paraId="6C4462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9.631</w:t>
            </w:r>
          </w:p>
        </w:tc>
        <w:tc>
          <w:tcPr>
            <w:tcW w:w="1095" w:type="dxa"/>
            <w:tcBorders>
              <w:tl2br w:val="nil"/>
              <w:tr2bl w:val="nil"/>
            </w:tcBorders>
            <w:shd w:val="clear" w:color="auto" w:fill="auto"/>
            <w:vAlign w:val="center"/>
          </w:tcPr>
          <w:p w14:paraId="22129F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183C37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连续排放</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洗槽水</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265460F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49A2E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F5834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暗镍槽</w:t>
            </w:r>
          </w:p>
        </w:tc>
        <w:tc>
          <w:tcPr>
            <w:tcW w:w="855" w:type="dxa"/>
            <w:tcBorders>
              <w:tl2br w:val="nil"/>
              <w:tr2bl w:val="nil"/>
            </w:tcBorders>
            <w:shd w:val="clear" w:color="auto" w:fill="auto"/>
            <w:vAlign w:val="center"/>
          </w:tcPr>
          <w:p w14:paraId="270D7B8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2085" w:type="dxa"/>
            <w:tcBorders>
              <w:tl2br w:val="nil"/>
              <w:tr2bl w:val="nil"/>
            </w:tcBorders>
            <w:shd w:val="clear" w:color="auto" w:fill="auto"/>
            <w:vAlign w:val="center"/>
          </w:tcPr>
          <w:p w14:paraId="0B19D7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L1600*W850*H800</w:t>
            </w:r>
          </w:p>
        </w:tc>
        <w:tc>
          <w:tcPr>
            <w:tcW w:w="780" w:type="dxa"/>
            <w:tcBorders>
              <w:tl2br w:val="nil"/>
              <w:tr2bl w:val="nil"/>
            </w:tcBorders>
            <w:shd w:val="clear" w:color="auto" w:fill="auto"/>
            <w:vAlign w:val="center"/>
          </w:tcPr>
          <w:p w14:paraId="221287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w:t>
            </w:r>
          </w:p>
        </w:tc>
        <w:tc>
          <w:tcPr>
            <w:tcW w:w="816" w:type="dxa"/>
            <w:tcBorders>
              <w:tl2br w:val="nil"/>
              <w:tr2bl w:val="nil"/>
            </w:tcBorders>
            <w:shd w:val="clear" w:color="auto" w:fill="auto"/>
            <w:vAlign w:val="center"/>
          </w:tcPr>
          <w:p w14:paraId="312F0C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58.752</w:t>
            </w:r>
          </w:p>
        </w:tc>
        <w:tc>
          <w:tcPr>
            <w:tcW w:w="654" w:type="dxa"/>
            <w:tcBorders>
              <w:tl2br w:val="nil"/>
              <w:tr2bl w:val="nil"/>
            </w:tcBorders>
            <w:shd w:val="clear" w:color="auto" w:fill="auto"/>
            <w:vAlign w:val="center"/>
          </w:tcPr>
          <w:p w14:paraId="69B650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580CA8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循环过滤</w:t>
            </w:r>
          </w:p>
        </w:tc>
        <w:tc>
          <w:tcPr>
            <w:tcW w:w="825" w:type="dxa"/>
            <w:tcBorders>
              <w:tl2br w:val="nil"/>
              <w:tr2bl w:val="nil"/>
            </w:tcBorders>
            <w:shd w:val="clear" w:color="auto" w:fill="auto"/>
            <w:vAlign w:val="center"/>
          </w:tcPr>
          <w:p w14:paraId="2446E7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3A57D0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5.875 </w:t>
            </w:r>
          </w:p>
        </w:tc>
        <w:tc>
          <w:tcPr>
            <w:tcW w:w="945" w:type="dxa"/>
            <w:tcBorders>
              <w:tl2br w:val="nil"/>
              <w:tr2bl w:val="nil"/>
            </w:tcBorders>
            <w:shd w:val="clear" w:color="auto" w:fill="auto"/>
            <w:vAlign w:val="center"/>
          </w:tcPr>
          <w:p w14:paraId="0FFEA0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7C11BC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6D2343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长期使用</w:t>
            </w:r>
          </w:p>
        </w:tc>
      </w:tr>
      <w:tr w14:paraId="2988F78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04563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C366B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回收槽</w:t>
            </w:r>
          </w:p>
        </w:tc>
        <w:tc>
          <w:tcPr>
            <w:tcW w:w="855" w:type="dxa"/>
            <w:tcBorders>
              <w:tl2br w:val="nil"/>
              <w:tr2bl w:val="nil"/>
            </w:tcBorders>
            <w:shd w:val="clear" w:color="auto" w:fill="auto"/>
            <w:vAlign w:val="center"/>
          </w:tcPr>
          <w:p w14:paraId="0F263E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3C3D22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2E4BF0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13A880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4.992</w:t>
            </w:r>
          </w:p>
        </w:tc>
        <w:tc>
          <w:tcPr>
            <w:tcW w:w="654" w:type="dxa"/>
            <w:tcBorders>
              <w:tl2br w:val="nil"/>
              <w:tr2bl w:val="nil"/>
            </w:tcBorders>
            <w:shd w:val="clear" w:color="auto" w:fill="auto"/>
            <w:vAlign w:val="center"/>
          </w:tcPr>
          <w:p w14:paraId="376A00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55ACC2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定期补水</w:t>
            </w:r>
          </w:p>
        </w:tc>
        <w:tc>
          <w:tcPr>
            <w:tcW w:w="825" w:type="dxa"/>
            <w:tcBorders>
              <w:tl2br w:val="nil"/>
              <w:tr2bl w:val="nil"/>
            </w:tcBorders>
            <w:shd w:val="clear" w:color="auto" w:fill="auto"/>
            <w:vAlign w:val="center"/>
          </w:tcPr>
          <w:p w14:paraId="7634B0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2CF2C30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0.499 </w:t>
            </w:r>
          </w:p>
        </w:tc>
        <w:tc>
          <w:tcPr>
            <w:tcW w:w="945" w:type="dxa"/>
            <w:tcBorders>
              <w:tl2br w:val="nil"/>
              <w:tr2bl w:val="nil"/>
            </w:tcBorders>
            <w:shd w:val="clear" w:color="auto" w:fill="auto"/>
            <w:vAlign w:val="center"/>
          </w:tcPr>
          <w:p w14:paraId="5C0DA32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2DB8AC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含镍废水</w:t>
            </w:r>
          </w:p>
        </w:tc>
        <w:tc>
          <w:tcPr>
            <w:tcW w:w="1518" w:type="dxa"/>
            <w:tcBorders>
              <w:tl2br w:val="nil"/>
              <w:tr2bl w:val="nil"/>
            </w:tcBorders>
            <w:shd w:val="clear" w:color="auto" w:fill="auto"/>
            <w:vAlign w:val="center"/>
          </w:tcPr>
          <w:p w14:paraId="59CCD3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不排放</w:t>
            </w:r>
          </w:p>
        </w:tc>
      </w:tr>
      <w:tr w14:paraId="06DE86E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CBCA4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F8DC3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亮镍槽</w:t>
            </w:r>
          </w:p>
        </w:tc>
        <w:tc>
          <w:tcPr>
            <w:tcW w:w="855" w:type="dxa"/>
            <w:tcBorders>
              <w:tl2br w:val="nil"/>
              <w:tr2bl w:val="nil"/>
            </w:tcBorders>
            <w:shd w:val="clear" w:color="auto" w:fill="auto"/>
            <w:vAlign w:val="center"/>
          </w:tcPr>
          <w:p w14:paraId="5558998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2085" w:type="dxa"/>
            <w:tcBorders>
              <w:tl2br w:val="nil"/>
              <w:tr2bl w:val="nil"/>
            </w:tcBorders>
            <w:shd w:val="clear" w:color="auto" w:fill="auto"/>
            <w:vAlign w:val="center"/>
          </w:tcPr>
          <w:p w14:paraId="60C655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L1600*W850*H800</w:t>
            </w:r>
          </w:p>
        </w:tc>
        <w:tc>
          <w:tcPr>
            <w:tcW w:w="780" w:type="dxa"/>
            <w:tcBorders>
              <w:tl2br w:val="nil"/>
              <w:tr2bl w:val="nil"/>
            </w:tcBorders>
            <w:shd w:val="clear" w:color="auto" w:fill="auto"/>
            <w:vAlign w:val="center"/>
          </w:tcPr>
          <w:p w14:paraId="214FA0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816" w:type="dxa"/>
            <w:tcBorders>
              <w:tl2br w:val="nil"/>
              <w:tr2bl w:val="nil"/>
            </w:tcBorders>
            <w:shd w:val="clear" w:color="auto" w:fill="auto"/>
            <w:vAlign w:val="center"/>
          </w:tcPr>
          <w:p w14:paraId="0BE95D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19.584</w:t>
            </w:r>
          </w:p>
        </w:tc>
        <w:tc>
          <w:tcPr>
            <w:tcW w:w="654" w:type="dxa"/>
            <w:tcBorders>
              <w:tl2br w:val="nil"/>
              <w:tr2bl w:val="nil"/>
            </w:tcBorders>
            <w:shd w:val="clear" w:color="auto" w:fill="auto"/>
            <w:vAlign w:val="center"/>
          </w:tcPr>
          <w:p w14:paraId="5DA4DC2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B1397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循环过滤</w:t>
            </w:r>
          </w:p>
        </w:tc>
        <w:tc>
          <w:tcPr>
            <w:tcW w:w="825" w:type="dxa"/>
            <w:tcBorders>
              <w:tl2br w:val="nil"/>
              <w:tr2bl w:val="nil"/>
            </w:tcBorders>
            <w:shd w:val="clear" w:color="auto" w:fill="auto"/>
            <w:vAlign w:val="center"/>
          </w:tcPr>
          <w:p w14:paraId="6D1C685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3FDF9B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1.958 </w:t>
            </w:r>
          </w:p>
        </w:tc>
        <w:tc>
          <w:tcPr>
            <w:tcW w:w="945" w:type="dxa"/>
            <w:tcBorders>
              <w:tl2br w:val="nil"/>
              <w:tr2bl w:val="nil"/>
            </w:tcBorders>
            <w:shd w:val="clear" w:color="auto" w:fill="auto"/>
            <w:vAlign w:val="center"/>
          </w:tcPr>
          <w:p w14:paraId="3C8F03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0F0EC5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7A1918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长期使用</w:t>
            </w:r>
          </w:p>
        </w:tc>
      </w:tr>
      <w:tr w14:paraId="0BCDDC4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456E1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2085E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回收槽</w:t>
            </w:r>
          </w:p>
        </w:tc>
        <w:tc>
          <w:tcPr>
            <w:tcW w:w="855" w:type="dxa"/>
            <w:tcBorders>
              <w:tl2br w:val="nil"/>
              <w:tr2bl w:val="nil"/>
            </w:tcBorders>
            <w:shd w:val="clear" w:color="auto" w:fill="auto"/>
            <w:vAlign w:val="center"/>
          </w:tcPr>
          <w:p w14:paraId="1234B6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729E7A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0A31E4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055341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4.992</w:t>
            </w:r>
          </w:p>
        </w:tc>
        <w:tc>
          <w:tcPr>
            <w:tcW w:w="654" w:type="dxa"/>
            <w:tcBorders>
              <w:tl2br w:val="nil"/>
              <w:tr2bl w:val="nil"/>
            </w:tcBorders>
            <w:shd w:val="clear" w:color="auto" w:fill="auto"/>
            <w:vAlign w:val="center"/>
          </w:tcPr>
          <w:p w14:paraId="405BBC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45DBCA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6D5869C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1498BF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0.499 </w:t>
            </w:r>
          </w:p>
        </w:tc>
        <w:tc>
          <w:tcPr>
            <w:tcW w:w="945" w:type="dxa"/>
            <w:tcBorders>
              <w:tl2br w:val="nil"/>
              <w:tr2bl w:val="nil"/>
            </w:tcBorders>
            <w:shd w:val="clear" w:color="auto" w:fill="auto"/>
            <w:vAlign w:val="center"/>
          </w:tcPr>
          <w:p w14:paraId="5DCB91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41621D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40DD78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不排放</w:t>
            </w:r>
          </w:p>
        </w:tc>
      </w:tr>
      <w:tr w14:paraId="06C5D13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1D318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A4290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cs="宋体"/>
                <w:i w:val="0"/>
                <w:iCs w:val="0"/>
                <w:color w:val="000000"/>
                <w:kern w:val="0"/>
                <w:sz w:val="21"/>
                <w:szCs w:val="21"/>
                <w:highlight w:val="none"/>
                <w:u w:val="none"/>
                <w:lang w:val="en-US" w:eastAsia="zh-CN" w:bidi="ar"/>
              </w:rPr>
              <w:t>镀镍后</w:t>
            </w:r>
            <w:r>
              <w:rPr>
                <w:rFonts w:hint="eastAsia" w:ascii="宋体" w:hAnsi="宋体" w:eastAsia="宋体" w:cs="宋体"/>
                <w:i w:val="0"/>
                <w:iCs w:val="0"/>
                <w:color w:val="000000"/>
                <w:kern w:val="0"/>
                <w:sz w:val="21"/>
                <w:szCs w:val="21"/>
                <w:highlight w:val="none"/>
                <w:u w:val="none"/>
                <w:lang w:val="en-US" w:eastAsia="zh-CN" w:bidi="ar"/>
              </w:rPr>
              <w:t>水洗槽</w:t>
            </w:r>
          </w:p>
        </w:tc>
        <w:tc>
          <w:tcPr>
            <w:tcW w:w="855" w:type="dxa"/>
            <w:tcBorders>
              <w:tl2br w:val="nil"/>
              <w:tr2bl w:val="nil"/>
            </w:tcBorders>
            <w:shd w:val="clear" w:color="auto" w:fill="auto"/>
            <w:vAlign w:val="center"/>
          </w:tcPr>
          <w:p w14:paraId="4CD28B0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5C3A60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46B97B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69478F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3349ED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86D308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2014F87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0ED7F3A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12.039</w:t>
            </w:r>
          </w:p>
        </w:tc>
        <w:tc>
          <w:tcPr>
            <w:tcW w:w="945" w:type="dxa"/>
            <w:tcBorders>
              <w:tl2br w:val="nil"/>
              <w:tr2bl w:val="nil"/>
            </w:tcBorders>
            <w:shd w:val="clear" w:color="auto" w:fill="auto"/>
            <w:vAlign w:val="center"/>
          </w:tcPr>
          <w:p w14:paraId="75F7B6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9.631</w:t>
            </w:r>
          </w:p>
        </w:tc>
        <w:tc>
          <w:tcPr>
            <w:tcW w:w="1095" w:type="dxa"/>
            <w:tcBorders>
              <w:tl2br w:val="nil"/>
              <w:tr2bl w:val="nil"/>
            </w:tcBorders>
            <w:shd w:val="clear" w:color="auto" w:fill="auto"/>
            <w:vAlign w:val="center"/>
          </w:tcPr>
          <w:p w14:paraId="7AD0DB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2714B11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7628BA8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B0C42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4DC8D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漂白槽</w:t>
            </w:r>
          </w:p>
        </w:tc>
        <w:tc>
          <w:tcPr>
            <w:tcW w:w="855" w:type="dxa"/>
            <w:tcBorders>
              <w:tl2br w:val="nil"/>
              <w:tr2bl w:val="nil"/>
            </w:tcBorders>
            <w:shd w:val="clear" w:color="auto" w:fill="auto"/>
            <w:vAlign w:val="center"/>
          </w:tcPr>
          <w:p w14:paraId="118693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18B2D8A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2EC625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7E5DFF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77CE0C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7D3A18C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002EE5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0744E4E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0.583 </w:t>
            </w:r>
          </w:p>
        </w:tc>
        <w:tc>
          <w:tcPr>
            <w:tcW w:w="945" w:type="dxa"/>
            <w:tcBorders>
              <w:tl2br w:val="nil"/>
              <w:tr2bl w:val="nil"/>
            </w:tcBorders>
            <w:shd w:val="clear" w:color="auto" w:fill="auto"/>
            <w:vAlign w:val="center"/>
          </w:tcPr>
          <w:p w14:paraId="22F86A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0.466</w:t>
            </w:r>
          </w:p>
        </w:tc>
        <w:tc>
          <w:tcPr>
            <w:tcW w:w="1095" w:type="dxa"/>
            <w:tcBorders>
              <w:tl2br w:val="nil"/>
              <w:tr2bl w:val="nil"/>
            </w:tcBorders>
            <w:shd w:val="clear" w:color="auto" w:fill="auto"/>
            <w:vAlign w:val="center"/>
          </w:tcPr>
          <w:p w14:paraId="38F9E4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09E43B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4B61C3B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BB574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28C942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水洗槽</w:t>
            </w:r>
          </w:p>
        </w:tc>
        <w:tc>
          <w:tcPr>
            <w:tcW w:w="855" w:type="dxa"/>
            <w:tcBorders>
              <w:tl2br w:val="nil"/>
              <w:tr2bl w:val="nil"/>
            </w:tcBorders>
            <w:shd w:val="clear" w:color="auto" w:fill="auto"/>
            <w:vAlign w:val="center"/>
          </w:tcPr>
          <w:p w14:paraId="4C3BE9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3CC8E5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6058CB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3748BE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142DE4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50F35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1D85873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7697A2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12.039</w:t>
            </w:r>
          </w:p>
        </w:tc>
        <w:tc>
          <w:tcPr>
            <w:tcW w:w="945" w:type="dxa"/>
            <w:tcBorders>
              <w:tl2br w:val="nil"/>
              <w:tr2bl w:val="nil"/>
            </w:tcBorders>
            <w:shd w:val="clear" w:color="auto" w:fill="auto"/>
            <w:vAlign w:val="center"/>
          </w:tcPr>
          <w:p w14:paraId="41C34E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9.631</w:t>
            </w:r>
          </w:p>
        </w:tc>
        <w:tc>
          <w:tcPr>
            <w:tcW w:w="1095" w:type="dxa"/>
            <w:tcBorders>
              <w:tl2br w:val="nil"/>
              <w:tr2bl w:val="nil"/>
            </w:tcBorders>
            <w:shd w:val="clear" w:color="auto" w:fill="auto"/>
            <w:vAlign w:val="center"/>
          </w:tcPr>
          <w:p w14:paraId="43510D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3A7D96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37F1657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FF616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36B8CA5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漂白后中和槽</w:t>
            </w:r>
          </w:p>
        </w:tc>
        <w:tc>
          <w:tcPr>
            <w:tcW w:w="855" w:type="dxa"/>
            <w:tcBorders>
              <w:tl2br w:val="nil"/>
              <w:tr2bl w:val="nil"/>
            </w:tcBorders>
            <w:shd w:val="clear" w:color="auto" w:fill="auto"/>
            <w:vAlign w:val="center"/>
          </w:tcPr>
          <w:p w14:paraId="248C50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03C50F5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3EE0C6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35B2956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068F22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55AE6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6A6BC0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1BCA327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0.583 </w:t>
            </w:r>
          </w:p>
        </w:tc>
        <w:tc>
          <w:tcPr>
            <w:tcW w:w="945" w:type="dxa"/>
            <w:tcBorders>
              <w:tl2br w:val="nil"/>
              <w:tr2bl w:val="nil"/>
            </w:tcBorders>
            <w:shd w:val="clear" w:color="auto" w:fill="auto"/>
            <w:vAlign w:val="center"/>
          </w:tcPr>
          <w:p w14:paraId="55B8F5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0.466</w:t>
            </w:r>
          </w:p>
        </w:tc>
        <w:tc>
          <w:tcPr>
            <w:tcW w:w="1095" w:type="dxa"/>
            <w:tcBorders>
              <w:tl2br w:val="nil"/>
              <w:tr2bl w:val="nil"/>
            </w:tcBorders>
            <w:shd w:val="clear" w:color="auto" w:fill="auto"/>
            <w:vAlign w:val="center"/>
          </w:tcPr>
          <w:p w14:paraId="1C876F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5810FA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07C5F85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2DE82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622F3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中和后水洗槽</w:t>
            </w:r>
          </w:p>
        </w:tc>
        <w:tc>
          <w:tcPr>
            <w:tcW w:w="855" w:type="dxa"/>
            <w:tcBorders>
              <w:tl2br w:val="nil"/>
              <w:tr2bl w:val="nil"/>
            </w:tcBorders>
            <w:shd w:val="clear" w:color="auto" w:fill="auto"/>
            <w:vAlign w:val="center"/>
          </w:tcPr>
          <w:p w14:paraId="2A29196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666E31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673343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4E0378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3BBF9A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086AC3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4F27FD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1CAF2B5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12.039</w:t>
            </w:r>
          </w:p>
        </w:tc>
        <w:tc>
          <w:tcPr>
            <w:tcW w:w="945" w:type="dxa"/>
            <w:tcBorders>
              <w:tl2br w:val="nil"/>
              <w:tr2bl w:val="nil"/>
            </w:tcBorders>
            <w:shd w:val="clear" w:color="auto" w:fill="auto"/>
            <w:vAlign w:val="center"/>
          </w:tcPr>
          <w:p w14:paraId="5B61EB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9.631</w:t>
            </w:r>
          </w:p>
        </w:tc>
        <w:tc>
          <w:tcPr>
            <w:tcW w:w="1095" w:type="dxa"/>
            <w:tcBorders>
              <w:tl2br w:val="nil"/>
              <w:tr2bl w:val="nil"/>
            </w:tcBorders>
            <w:shd w:val="clear" w:color="auto" w:fill="auto"/>
            <w:vAlign w:val="center"/>
          </w:tcPr>
          <w:p w14:paraId="14F294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74F73D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7B8E24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56D05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22BC48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钝化槽</w:t>
            </w:r>
          </w:p>
        </w:tc>
        <w:tc>
          <w:tcPr>
            <w:tcW w:w="855" w:type="dxa"/>
            <w:tcBorders>
              <w:tl2br w:val="nil"/>
              <w:tr2bl w:val="nil"/>
            </w:tcBorders>
            <w:shd w:val="clear" w:color="auto" w:fill="auto"/>
            <w:vAlign w:val="center"/>
          </w:tcPr>
          <w:p w14:paraId="7079BDA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750C82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6D2838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58C5D0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243655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C357B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2D4775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199F41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0.116 </w:t>
            </w:r>
          </w:p>
        </w:tc>
        <w:tc>
          <w:tcPr>
            <w:tcW w:w="945" w:type="dxa"/>
            <w:tcBorders>
              <w:tl2br w:val="nil"/>
              <w:tr2bl w:val="nil"/>
            </w:tcBorders>
            <w:shd w:val="clear" w:color="auto" w:fill="auto"/>
            <w:vAlign w:val="center"/>
          </w:tcPr>
          <w:p w14:paraId="4D9541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0.093</w:t>
            </w:r>
          </w:p>
        </w:tc>
        <w:tc>
          <w:tcPr>
            <w:tcW w:w="1095" w:type="dxa"/>
            <w:tcBorders>
              <w:tl2br w:val="nil"/>
              <w:tr2bl w:val="nil"/>
            </w:tcBorders>
            <w:shd w:val="clear" w:color="auto" w:fill="auto"/>
            <w:vAlign w:val="center"/>
          </w:tcPr>
          <w:p w14:paraId="269CCB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7B1028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3B69E6D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19E82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93A6F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钝化后水洗槽</w:t>
            </w:r>
          </w:p>
        </w:tc>
        <w:tc>
          <w:tcPr>
            <w:tcW w:w="855" w:type="dxa"/>
            <w:tcBorders>
              <w:tl2br w:val="nil"/>
              <w:tr2bl w:val="nil"/>
            </w:tcBorders>
            <w:shd w:val="clear" w:color="auto" w:fill="auto"/>
            <w:vAlign w:val="center"/>
          </w:tcPr>
          <w:p w14:paraId="242FAF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2085" w:type="dxa"/>
            <w:tcBorders>
              <w:tl2br w:val="nil"/>
              <w:tr2bl w:val="nil"/>
            </w:tcBorders>
            <w:shd w:val="clear" w:color="auto" w:fill="auto"/>
            <w:vAlign w:val="center"/>
          </w:tcPr>
          <w:p w14:paraId="6D9D4D5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3BB522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57DDAF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4.992</w:t>
            </w:r>
          </w:p>
        </w:tc>
        <w:tc>
          <w:tcPr>
            <w:tcW w:w="654" w:type="dxa"/>
            <w:tcBorders>
              <w:tl2br w:val="nil"/>
              <w:tr2bl w:val="nil"/>
            </w:tcBorders>
            <w:shd w:val="clear" w:color="auto" w:fill="auto"/>
            <w:vAlign w:val="center"/>
          </w:tcPr>
          <w:p w14:paraId="3A3FCD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73C42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619DE2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6757F7B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12.058</w:t>
            </w:r>
          </w:p>
        </w:tc>
        <w:tc>
          <w:tcPr>
            <w:tcW w:w="945" w:type="dxa"/>
            <w:tcBorders>
              <w:tl2br w:val="nil"/>
              <w:tr2bl w:val="nil"/>
            </w:tcBorders>
            <w:shd w:val="clear" w:color="auto" w:fill="auto"/>
            <w:vAlign w:val="center"/>
          </w:tcPr>
          <w:p w14:paraId="0013D67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9.647</w:t>
            </w:r>
          </w:p>
        </w:tc>
        <w:tc>
          <w:tcPr>
            <w:tcW w:w="1095" w:type="dxa"/>
            <w:tcBorders>
              <w:tl2br w:val="nil"/>
              <w:tr2bl w:val="nil"/>
            </w:tcBorders>
            <w:shd w:val="clear" w:color="auto" w:fill="auto"/>
            <w:vAlign w:val="center"/>
          </w:tcPr>
          <w:p w14:paraId="4BC385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775A37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4B64783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AB4E9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2F40D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中和槽</w:t>
            </w:r>
          </w:p>
        </w:tc>
        <w:tc>
          <w:tcPr>
            <w:tcW w:w="855" w:type="dxa"/>
            <w:tcBorders>
              <w:tl2br w:val="nil"/>
              <w:tr2bl w:val="nil"/>
            </w:tcBorders>
            <w:shd w:val="clear" w:color="auto" w:fill="auto"/>
            <w:vAlign w:val="center"/>
          </w:tcPr>
          <w:p w14:paraId="7A41D7F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085" w:type="dxa"/>
            <w:tcBorders>
              <w:tl2br w:val="nil"/>
              <w:tr2bl w:val="nil"/>
            </w:tcBorders>
            <w:shd w:val="clear" w:color="auto" w:fill="auto"/>
            <w:vAlign w:val="center"/>
          </w:tcPr>
          <w:p w14:paraId="7519F7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50C9EC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16" w:type="dxa"/>
            <w:tcBorders>
              <w:tl2br w:val="nil"/>
              <w:tr2bl w:val="nil"/>
            </w:tcBorders>
            <w:shd w:val="clear" w:color="auto" w:fill="auto"/>
            <w:vAlign w:val="center"/>
          </w:tcPr>
          <w:p w14:paraId="22CB36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3.328</w:t>
            </w:r>
          </w:p>
        </w:tc>
        <w:tc>
          <w:tcPr>
            <w:tcW w:w="654" w:type="dxa"/>
            <w:tcBorders>
              <w:tl2br w:val="nil"/>
              <w:tr2bl w:val="nil"/>
            </w:tcBorders>
            <w:shd w:val="clear" w:color="auto" w:fill="auto"/>
            <w:vAlign w:val="center"/>
          </w:tcPr>
          <w:p w14:paraId="780376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2BB5D5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5FC6C2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63914C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0.583 </w:t>
            </w:r>
          </w:p>
        </w:tc>
        <w:tc>
          <w:tcPr>
            <w:tcW w:w="945" w:type="dxa"/>
            <w:tcBorders>
              <w:tl2br w:val="nil"/>
              <w:tr2bl w:val="nil"/>
            </w:tcBorders>
            <w:shd w:val="clear" w:color="auto" w:fill="auto"/>
            <w:vAlign w:val="center"/>
          </w:tcPr>
          <w:p w14:paraId="7DF875A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0.466</w:t>
            </w:r>
          </w:p>
        </w:tc>
        <w:tc>
          <w:tcPr>
            <w:tcW w:w="1095" w:type="dxa"/>
            <w:tcBorders>
              <w:tl2br w:val="nil"/>
              <w:tr2bl w:val="nil"/>
            </w:tcBorders>
            <w:shd w:val="clear" w:color="auto" w:fill="auto"/>
            <w:vAlign w:val="center"/>
          </w:tcPr>
          <w:p w14:paraId="6EADA4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400D2C5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r>
              <w:rPr>
                <w:rFonts w:hint="eastAsia" w:ascii="宋体" w:hAnsi="宋体" w:eastAsia="宋体" w:cs="宋体"/>
                <w:i w:val="0"/>
                <w:iCs w:val="0"/>
                <w:color w:val="000000"/>
                <w:kern w:val="0"/>
                <w:sz w:val="21"/>
                <w:szCs w:val="21"/>
                <w:highlight w:val="none"/>
                <w:u w:val="none"/>
                <w:lang w:val="en-US" w:eastAsia="zh-CN" w:bidi="ar"/>
              </w:rPr>
              <w:t>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14C23A8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69C2F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FE724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中和后水洗槽</w:t>
            </w:r>
          </w:p>
        </w:tc>
        <w:tc>
          <w:tcPr>
            <w:tcW w:w="855" w:type="dxa"/>
            <w:tcBorders>
              <w:tl2br w:val="nil"/>
              <w:tr2bl w:val="nil"/>
            </w:tcBorders>
            <w:shd w:val="clear" w:color="auto" w:fill="auto"/>
            <w:vAlign w:val="center"/>
          </w:tcPr>
          <w:p w14:paraId="7C1D58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085" w:type="dxa"/>
            <w:tcBorders>
              <w:tl2br w:val="nil"/>
              <w:tr2bl w:val="nil"/>
            </w:tcBorders>
            <w:shd w:val="clear" w:color="auto" w:fill="auto"/>
            <w:vAlign w:val="center"/>
          </w:tcPr>
          <w:p w14:paraId="6DC218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L1600*W650*H800</w:t>
            </w:r>
          </w:p>
        </w:tc>
        <w:tc>
          <w:tcPr>
            <w:tcW w:w="780" w:type="dxa"/>
            <w:tcBorders>
              <w:tl2br w:val="nil"/>
              <w:tr2bl w:val="nil"/>
            </w:tcBorders>
            <w:shd w:val="clear" w:color="auto" w:fill="auto"/>
            <w:vAlign w:val="center"/>
          </w:tcPr>
          <w:p w14:paraId="3A1ABC8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816" w:type="dxa"/>
            <w:tcBorders>
              <w:tl2br w:val="nil"/>
              <w:tr2bl w:val="nil"/>
            </w:tcBorders>
            <w:shd w:val="clear" w:color="auto" w:fill="auto"/>
            <w:vAlign w:val="center"/>
          </w:tcPr>
          <w:p w14:paraId="7741787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6.656</w:t>
            </w:r>
          </w:p>
        </w:tc>
        <w:tc>
          <w:tcPr>
            <w:tcW w:w="654" w:type="dxa"/>
            <w:tcBorders>
              <w:tl2br w:val="nil"/>
              <w:tr2bl w:val="nil"/>
            </w:tcBorders>
            <w:shd w:val="clear" w:color="auto" w:fill="auto"/>
            <w:vAlign w:val="center"/>
          </w:tcPr>
          <w:p w14:paraId="0FA6E8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700D0E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57BFD95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2FBF5C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12.078</w:t>
            </w:r>
          </w:p>
        </w:tc>
        <w:tc>
          <w:tcPr>
            <w:tcW w:w="945" w:type="dxa"/>
            <w:tcBorders>
              <w:tl2br w:val="nil"/>
              <w:tr2bl w:val="nil"/>
            </w:tcBorders>
            <w:shd w:val="clear" w:color="auto" w:fill="auto"/>
            <w:vAlign w:val="center"/>
          </w:tcPr>
          <w:p w14:paraId="5DBC9A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eastAsia" w:cs="Times New Roman"/>
                <w:i w:val="0"/>
                <w:iCs w:val="0"/>
                <w:color w:val="000000"/>
                <w:sz w:val="21"/>
                <w:szCs w:val="21"/>
                <w:highlight w:val="none"/>
                <w:u w:val="none"/>
                <w:lang w:val="en-US" w:eastAsia="zh-CN"/>
              </w:rPr>
              <w:t>9.662</w:t>
            </w:r>
          </w:p>
        </w:tc>
        <w:tc>
          <w:tcPr>
            <w:tcW w:w="1095" w:type="dxa"/>
            <w:tcBorders>
              <w:tl2br w:val="nil"/>
              <w:tr2bl w:val="nil"/>
            </w:tcBorders>
            <w:shd w:val="clear" w:color="auto" w:fill="auto"/>
            <w:vAlign w:val="center"/>
          </w:tcPr>
          <w:p w14:paraId="68DD964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含铬废水</w:t>
            </w:r>
          </w:p>
        </w:tc>
        <w:tc>
          <w:tcPr>
            <w:tcW w:w="1518" w:type="dxa"/>
            <w:tcBorders>
              <w:tl2br w:val="nil"/>
              <w:tr2bl w:val="nil"/>
            </w:tcBorders>
            <w:shd w:val="clear" w:color="auto" w:fill="auto"/>
            <w:vAlign w:val="center"/>
          </w:tcPr>
          <w:p w14:paraId="5C0E82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w:t>
            </w:r>
            <w:r>
              <w:rPr>
                <w:rFonts w:hint="default" w:ascii="Times New Roman" w:hAnsi="Times New Roman" w:eastAsia="宋体" w:cs="Times New Roman"/>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个月</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541202A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51E1B6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13E8F4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封闭槽</w:t>
            </w:r>
          </w:p>
        </w:tc>
        <w:tc>
          <w:tcPr>
            <w:tcW w:w="855" w:type="dxa"/>
            <w:tcBorders>
              <w:tl2br w:val="nil"/>
              <w:tr2bl w:val="nil"/>
            </w:tcBorders>
            <w:shd w:val="clear" w:color="auto" w:fill="auto"/>
            <w:vAlign w:val="center"/>
          </w:tcPr>
          <w:p w14:paraId="377BAA2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3B202E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1D9533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816" w:type="dxa"/>
            <w:tcBorders>
              <w:tl2br w:val="nil"/>
              <w:tr2bl w:val="nil"/>
            </w:tcBorders>
            <w:shd w:val="clear" w:color="auto" w:fill="auto"/>
            <w:vAlign w:val="center"/>
          </w:tcPr>
          <w:p w14:paraId="55C214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3.328</w:t>
            </w:r>
          </w:p>
        </w:tc>
        <w:tc>
          <w:tcPr>
            <w:tcW w:w="654" w:type="dxa"/>
            <w:tcBorders>
              <w:tl2br w:val="nil"/>
              <w:tr2bl w:val="nil"/>
            </w:tcBorders>
            <w:shd w:val="clear" w:color="auto" w:fill="auto"/>
            <w:vAlign w:val="center"/>
          </w:tcPr>
          <w:p w14:paraId="02F571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7F509B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0B7777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642CA65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0.116 </w:t>
            </w:r>
          </w:p>
        </w:tc>
        <w:tc>
          <w:tcPr>
            <w:tcW w:w="945" w:type="dxa"/>
            <w:tcBorders>
              <w:tl2br w:val="nil"/>
              <w:tr2bl w:val="nil"/>
            </w:tcBorders>
            <w:shd w:val="clear" w:color="auto" w:fill="auto"/>
            <w:vAlign w:val="center"/>
          </w:tcPr>
          <w:p w14:paraId="01978B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0.093</w:t>
            </w:r>
          </w:p>
        </w:tc>
        <w:tc>
          <w:tcPr>
            <w:tcW w:w="1095" w:type="dxa"/>
            <w:tcBorders>
              <w:tl2br w:val="nil"/>
              <w:tr2bl w:val="nil"/>
            </w:tcBorders>
            <w:shd w:val="clear" w:color="auto" w:fill="auto"/>
            <w:vAlign w:val="center"/>
          </w:tcPr>
          <w:p w14:paraId="127DE6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综合废水</w:t>
            </w:r>
          </w:p>
        </w:tc>
        <w:tc>
          <w:tcPr>
            <w:tcW w:w="1518" w:type="dxa"/>
            <w:tcBorders>
              <w:tl2br w:val="nil"/>
              <w:tr2bl w:val="nil"/>
            </w:tcBorders>
            <w:shd w:val="clear" w:color="auto" w:fill="auto"/>
            <w:vAlign w:val="center"/>
          </w:tcPr>
          <w:p w14:paraId="05C9AF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0B6FB5B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39F16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F0622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封闭后纯水洗槽</w:t>
            </w:r>
          </w:p>
        </w:tc>
        <w:tc>
          <w:tcPr>
            <w:tcW w:w="855" w:type="dxa"/>
            <w:tcBorders>
              <w:tl2br w:val="nil"/>
              <w:tr2bl w:val="nil"/>
            </w:tcBorders>
            <w:shd w:val="clear" w:color="auto" w:fill="auto"/>
            <w:vAlign w:val="center"/>
          </w:tcPr>
          <w:p w14:paraId="32776A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0C801D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L1600*W650*H800</w:t>
            </w:r>
          </w:p>
        </w:tc>
        <w:tc>
          <w:tcPr>
            <w:tcW w:w="780" w:type="dxa"/>
            <w:tcBorders>
              <w:tl2br w:val="nil"/>
              <w:tr2bl w:val="nil"/>
            </w:tcBorders>
            <w:shd w:val="clear" w:color="auto" w:fill="auto"/>
            <w:vAlign w:val="center"/>
          </w:tcPr>
          <w:p w14:paraId="2BECEF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816" w:type="dxa"/>
            <w:tcBorders>
              <w:tl2br w:val="nil"/>
              <w:tr2bl w:val="nil"/>
            </w:tcBorders>
            <w:shd w:val="clear" w:color="auto" w:fill="auto"/>
            <w:vAlign w:val="center"/>
          </w:tcPr>
          <w:p w14:paraId="5969F7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3.328</w:t>
            </w:r>
          </w:p>
        </w:tc>
        <w:tc>
          <w:tcPr>
            <w:tcW w:w="654" w:type="dxa"/>
            <w:tcBorders>
              <w:tl2br w:val="nil"/>
              <w:tr2bl w:val="nil"/>
            </w:tcBorders>
            <w:shd w:val="clear" w:color="auto" w:fill="auto"/>
            <w:vAlign w:val="center"/>
          </w:tcPr>
          <w:p w14:paraId="04032B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3B46B3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连续溢流</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21ED52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0.2</w:t>
            </w:r>
          </w:p>
        </w:tc>
        <w:tc>
          <w:tcPr>
            <w:tcW w:w="1005" w:type="dxa"/>
            <w:tcBorders>
              <w:tl2br w:val="nil"/>
              <w:tr2bl w:val="nil"/>
            </w:tcBorders>
            <w:shd w:val="clear" w:color="auto" w:fill="auto"/>
            <w:vAlign w:val="center"/>
          </w:tcPr>
          <w:p w14:paraId="2C6426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12.039</w:t>
            </w:r>
          </w:p>
        </w:tc>
        <w:tc>
          <w:tcPr>
            <w:tcW w:w="945" w:type="dxa"/>
            <w:tcBorders>
              <w:tl2br w:val="nil"/>
              <w:tr2bl w:val="nil"/>
            </w:tcBorders>
            <w:shd w:val="clear" w:color="auto" w:fill="auto"/>
            <w:vAlign w:val="center"/>
          </w:tcPr>
          <w:p w14:paraId="332E71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9.631</w:t>
            </w:r>
          </w:p>
        </w:tc>
        <w:tc>
          <w:tcPr>
            <w:tcW w:w="1095" w:type="dxa"/>
            <w:tcBorders>
              <w:tl2br w:val="nil"/>
              <w:tr2bl w:val="nil"/>
            </w:tcBorders>
            <w:shd w:val="clear" w:color="auto" w:fill="auto"/>
            <w:vAlign w:val="center"/>
          </w:tcPr>
          <w:p w14:paraId="37794D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综合废水</w:t>
            </w:r>
          </w:p>
        </w:tc>
        <w:tc>
          <w:tcPr>
            <w:tcW w:w="1518" w:type="dxa"/>
            <w:tcBorders>
              <w:tl2br w:val="nil"/>
              <w:tr2bl w:val="nil"/>
            </w:tcBorders>
            <w:shd w:val="clear" w:color="auto" w:fill="auto"/>
            <w:vAlign w:val="center"/>
          </w:tcPr>
          <w:p w14:paraId="13D7F9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连续排放</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洗槽水</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00053AF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77A307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7A1A8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855" w:type="dxa"/>
            <w:tcBorders>
              <w:tl2br w:val="nil"/>
              <w:tr2bl w:val="nil"/>
            </w:tcBorders>
            <w:shd w:val="clear" w:color="auto" w:fill="auto"/>
            <w:vAlign w:val="center"/>
          </w:tcPr>
          <w:p w14:paraId="1E232763">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2085" w:type="dxa"/>
            <w:tcBorders>
              <w:tl2br w:val="nil"/>
              <w:tr2bl w:val="nil"/>
            </w:tcBorders>
            <w:shd w:val="clear" w:color="auto" w:fill="auto"/>
            <w:vAlign w:val="center"/>
          </w:tcPr>
          <w:p w14:paraId="7361743C">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780" w:type="dxa"/>
            <w:tcBorders>
              <w:tl2br w:val="nil"/>
              <w:tr2bl w:val="nil"/>
            </w:tcBorders>
            <w:shd w:val="clear" w:color="auto" w:fill="auto"/>
            <w:vAlign w:val="center"/>
          </w:tcPr>
          <w:p w14:paraId="1CFC097D">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816" w:type="dxa"/>
            <w:tcBorders>
              <w:tl2br w:val="nil"/>
              <w:tr2bl w:val="nil"/>
            </w:tcBorders>
            <w:shd w:val="clear" w:color="auto" w:fill="auto"/>
            <w:vAlign w:val="center"/>
          </w:tcPr>
          <w:p w14:paraId="1A554B14">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654" w:type="dxa"/>
            <w:tcBorders>
              <w:tl2br w:val="nil"/>
              <w:tr2bl w:val="nil"/>
            </w:tcBorders>
            <w:shd w:val="clear" w:color="auto" w:fill="auto"/>
            <w:vAlign w:val="center"/>
          </w:tcPr>
          <w:p w14:paraId="4B6700F9">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1200" w:type="dxa"/>
            <w:tcBorders>
              <w:tl2br w:val="nil"/>
              <w:tr2bl w:val="nil"/>
            </w:tcBorders>
            <w:shd w:val="clear" w:color="auto" w:fill="auto"/>
            <w:vAlign w:val="center"/>
          </w:tcPr>
          <w:p w14:paraId="5E2B58B6">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825" w:type="dxa"/>
            <w:tcBorders>
              <w:tl2br w:val="nil"/>
              <w:tr2bl w:val="nil"/>
            </w:tcBorders>
            <w:shd w:val="clear" w:color="auto" w:fill="auto"/>
            <w:vAlign w:val="center"/>
          </w:tcPr>
          <w:p w14:paraId="55C9A0DC">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1005" w:type="dxa"/>
            <w:tcBorders>
              <w:tl2br w:val="nil"/>
              <w:tr2bl w:val="nil"/>
            </w:tcBorders>
            <w:shd w:val="clear" w:color="auto" w:fill="auto"/>
            <w:vAlign w:val="center"/>
          </w:tcPr>
          <w:p w14:paraId="2425E9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i w:val="0"/>
                <w:iCs w:val="0"/>
                <w:color w:val="000000"/>
                <w:sz w:val="21"/>
                <w:szCs w:val="21"/>
                <w:u w:val="none"/>
                <w:lang w:val="en-US" w:eastAsia="zh-CN"/>
              </w:rPr>
            </w:pPr>
            <w:r>
              <w:rPr>
                <w:rFonts w:hint="eastAsia" w:cs="Times New Roman"/>
                <w:b w:val="0"/>
                <w:bCs w:val="0"/>
                <w:i w:val="0"/>
                <w:iCs w:val="0"/>
                <w:color w:val="000000"/>
                <w:sz w:val="21"/>
                <w:szCs w:val="21"/>
                <w:u w:val="none"/>
                <w:lang w:val="en-US" w:eastAsia="zh-CN"/>
              </w:rPr>
              <w:t>108.151</w:t>
            </w:r>
          </w:p>
        </w:tc>
        <w:tc>
          <w:tcPr>
            <w:tcW w:w="945" w:type="dxa"/>
            <w:tcBorders>
              <w:tl2br w:val="nil"/>
              <w:tr2bl w:val="nil"/>
            </w:tcBorders>
            <w:shd w:val="clear" w:color="auto" w:fill="auto"/>
            <w:vAlign w:val="center"/>
          </w:tcPr>
          <w:p w14:paraId="25B51DD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i w:val="0"/>
                <w:iCs w:val="0"/>
                <w:color w:val="000000"/>
                <w:sz w:val="21"/>
                <w:szCs w:val="21"/>
                <w:u w:val="none"/>
                <w:lang w:val="en-US" w:eastAsia="zh-CN"/>
              </w:rPr>
            </w:pPr>
            <w:r>
              <w:rPr>
                <w:rFonts w:hint="eastAsia" w:cs="Times New Roman"/>
                <w:b w:val="0"/>
                <w:bCs w:val="0"/>
                <w:i w:val="0"/>
                <w:iCs w:val="0"/>
                <w:color w:val="000000"/>
                <w:sz w:val="21"/>
                <w:szCs w:val="21"/>
                <w:u w:val="none"/>
                <w:lang w:val="en-US" w:eastAsia="zh-CN"/>
              </w:rPr>
              <w:t>79.454</w:t>
            </w:r>
          </w:p>
        </w:tc>
        <w:tc>
          <w:tcPr>
            <w:tcW w:w="1095" w:type="dxa"/>
            <w:tcBorders>
              <w:tl2br w:val="nil"/>
              <w:tr2bl w:val="nil"/>
            </w:tcBorders>
            <w:shd w:val="clear" w:color="auto" w:fill="auto"/>
            <w:vAlign w:val="center"/>
          </w:tcPr>
          <w:p w14:paraId="259D83E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tc>
        <w:tc>
          <w:tcPr>
            <w:tcW w:w="1518" w:type="dxa"/>
            <w:tcBorders>
              <w:tl2br w:val="nil"/>
              <w:tr2bl w:val="nil"/>
            </w:tcBorders>
            <w:shd w:val="clear" w:color="auto" w:fill="auto"/>
            <w:vAlign w:val="center"/>
          </w:tcPr>
          <w:p w14:paraId="5F0D172A">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p>
          <w:p w14:paraId="6D7D0B8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p>
          <w:p w14:paraId="5C0A709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w:t>
            </w:r>
          </w:p>
          <w:p w14:paraId="06D8967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b w:val="0"/>
                <w:bCs w:val="0"/>
                <w:i w:val="0"/>
                <w:iCs w:val="0"/>
                <w:color w:val="000000"/>
                <w:sz w:val="21"/>
                <w:szCs w:val="21"/>
                <w:u w:val="none"/>
                <w:lang w:val="en-US" w:eastAsia="zh-CN"/>
              </w:rPr>
            </w:pPr>
          </w:p>
        </w:tc>
      </w:tr>
      <w:tr w14:paraId="2EC1335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tcBorders>
              <w:tl2br w:val="nil"/>
              <w:tr2bl w:val="nil"/>
            </w:tcBorders>
            <w:shd w:val="clear" w:color="auto" w:fill="auto"/>
            <w:vAlign w:val="center"/>
          </w:tcPr>
          <w:p w14:paraId="73DC84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产生工序</w:t>
            </w:r>
          </w:p>
        </w:tc>
        <w:tc>
          <w:tcPr>
            <w:tcW w:w="1695" w:type="dxa"/>
            <w:tcBorders>
              <w:tl2br w:val="nil"/>
              <w:tr2bl w:val="nil"/>
            </w:tcBorders>
            <w:shd w:val="clear" w:color="auto" w:fill="auto"/>
            <w:vAlign w:val="center"/>
          </w:tcPr>
          <w:p w14:paraId="1E8096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产生位置</w:t>
            </w:r>
          </w:p>
        </w:tc>
        <w:tc>
          <w:tcPr>
            <w:tcW w:w="855" w:type="dxa"/>
            <w:tcBorders>
              <w:tl2br w:val="nil"/>
              <w:tr2bl w:val="nil"/>
            </w:tcBorders>
            <w:shd w:val="clear" w:color="auto" w:fill="auto"/>
            <w:vAlign w:val="center"/>
          </w:tcPr>
          <w:p w14:paraId="428FF1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单条槽体数量（个）</w:t>
            </w:r>
          </w:p>
        </w:tc>
        <w:tc>
          <w:tcPr>
            <w:tcW w:w="2085" w:type="dxa"/>
            <w:tcBorders>
              <w:tl2br w:val="nil"/>
              <w:tr2bl w:val="nil"/>
            </w:tcBorders>
            <w:shd w:val="clear" w:color="auto" w:fill="auto"/>
            <w:vAlign w:val="center"/>
          </w:tcPr>
          <w:p w14:paraId="489257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尺寸</w:t>
            </w:r>
            <w:r>
              <w:rPr>
                <w:rFonts w:hint="default" w:ascii="Times New Roman" w:hAnsi="Times New Roman" w:eastAsia="宋体" w:cs="Times New Roman"/>
                <w:b/>
                <w:bCs/>
                <w:i w:val="0"/>
                <w:iCs w:val="0"/>
                <w:color w:val="000000"/>
                <w:kern w:val="0"/>
                <w:sz w:val="21"/>
                <w:szCs w:val="21"/>
                <w:u w:val="none"/>
                <w:lang w:val="en-US" w:eastAsia="zh-CN" w:bidi="ar"/>
              </w:rPr>
              <w:t>(mm)</w:t>
            </w:r>
          </w:p>
        </w:tc>
        <w:tc>
          <w:tcPr>
            <w:tcW w:w="780" w:type="dxa"/>
            <w:tcBorders>
              <w:tl2br w:val="nil"/>
              <w:tr2bl w:val="nil"/>
            </w:tcBorders>
            <w:shd w:val="clear" w:color="auto" w:fill="auto"/>
            <w:vAlign w:val="center"/>
          </w:tcPr>
          <w:p w14:paraId="79086A5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总数量</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宋体" w:hAnsi="宋体" w:eastAsia="宋体" w:cs="宋体"/>
                <w:b/>
                <w:bCs/>
                <w:i w:val="0"/>
                <w:iCs w:val="0"/>
                <w:color w:val="000000"/>
                <w:kern w:val="0"/>
                <w:sz w:val="21"/>
                <w:szCs w:val="21"/>
                <w:u w:val="none"/>
                <w:lang w:val="en-US" w:eastAsia="zh-CN" w:bidi="ar"/>
              </w:rPr>
              <w:t>个</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816" w:type="dxa"/>
            <w:tcBorders>
              <w:tl2br w:val="nil"/>
              <w:tr2bl w:val="nil"/>
            </w:tcBorders>
            <w:shd w:val="clear" w:color="auto" w:fill="auto"/>
            <w:vAlign w:val="center"/>
          </w:tcPr>
          <w:p w14:paraId="413AFF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总有效容积</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654" w:type="dxa"/>
            <w:tcBorders>
              <w:tl2br w:val="nil"/>
              <w:tr2bl w:val="nil"/>
            </w:tcBorders>
            <w:shd w:val="clear" w:color="auto" w:fill="auto"/>
            <w:vAlign w:val="center"/>
          </w:tcPr>
          <w:p w14:paraId="107A15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工作时间</w:t>
            </w:r>
            <w:r>
              <w:rPr>
                <w:rFonts w:hint="default" w:ascii="Times New Roman" w:hAnsi="Times New Roman" w:eastAsia="宋体" w:cs="Times New Roman"/>
                <w:b/>
                <w:bCs/>
                <w:i w:val="0"/>
                <w:iCs w:val="0"/>
                <w:color w:val="000000"/>
                <w:kern w:val="0"/>
                <w:sz w:val="21"/>
                <w:szCs w:val="21"/>
                <w:u w:val="none"/>
                <w:lang w:val="en-US" w:eastAsia="zh-CN" w:bidi="ar"/>
              </w:rPr>
              <w:t>h/d</w:t>
            </w:r>
          </w:p>
        </w:tc>
        <w:tc>
          <w:tcPr>
            <w:tcW w:w="1200" w:type="dxa"/>
            <w:tcBorders>
              <w:tl2br w:val="nil"/>
              <w:tr2bl w:val="nil"/>
            </w:tcBorders>
            <w:shd w:val="clear" w:color="auto" w:fill="auto"/>
            <w:vAlign w:val="center"/>
          </w:tcPr>
          <w:p w14:paraId="3B6049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排放方式</w:t>
            </w:r>
          </w:p>
        </w:tc>
        <w:tc>
          <w:tcPr>
            <w:tcW w:w="825" w:type="dxa"/>
            <w:tcBorders>
              <w:tl2br w:val="nil"/>
              <w:tr2bl w:val="nil"/>
            </w:tcBorders>
            <w:shd w:val="clear" w:color="auto" w:fill="auto"/>
            <w:vAlign w:val="center"/>
          </w:tcPr>
          <w:p w14:paraId="6443CE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溢流速度</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/h)</w:t>
            </w:r>
          </w:p>
        </w:tc>
        <w:tc>
          <w:tcPr>
            <w:tcW w:w="1005" w:type="dxa"/>
            <w:tcBorders>
              <w:tl2br w:val="nil"/>
              <w:tr2bl w:val="nil"/>
            </w:tcBorders>
            <w:shd w:val="clear" w:color="auto" w:fill="auto"/>
            <w:vAlign w:val="center"/>
          </w:tcPr>
          <w:p w14:paraId="50D9B3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用水量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945" w:type="dxa"/>
            <w:tcBorders>
              <w:tl2br w:val="nil"/>
              <w:tr2bl w:val="nil"/>
            </w:tcBorders>
            <w:shd w:val="clear" w:color="auto" w:fill="auto"/>
            <w:vAlign w:val="center"/>
          </w:tcPr>
          <w:p w14:paraId="2D1A5DA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废水量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/d)</w:t>
            </w:r>
          </w:p>
        </w:tc>
        <w:tc>
          <w:tcPr>
            <w:tcW w:w="1095" w:type="dxa"/>
            <w:tcBorders>
              <w:tl2br w:val="nil"/>
              <w:tr2bl w:val="nil"/>
            </w:tcBorders>
            <w:shd w:val="clear" w:color="auto" w:fill="auto"/>
            <w:vAlign w:val="center"/>
          </w:tcPr>
          <w:p w14:paraId="094097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类型</w:t>
            </w:r>
          </w:p>
        </w:tc>
        <w:tc>
          <w:tcPr>
            <w:tcW w:w="1518" w:type="dxa"/>
            <w:tcBorders>
              <w:tl2br w:val="nil"/>
              <w:tr2bl w:val="nil"/>
            </w:tcBorders>
            <w:shd w:val="clear" w:color="auto" w:fill="auto"/>
            <w:vAlign w:val="center"/>
          </w:tcPr>
          <w:p w14:paraId="0AB8C1C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槽液更换频次</w:t>
            </w:r>
          </w:p>
        </w:tc>
      </w:tr>
      <w:tr w14:paraId="06B00E3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restart"/>
            <w:tcBorders>
              <w:tl2br w:val="nil"/>
              <w:tr2bl w:val="nil"/>
            </w:tcBorders>
            <w:shd w:val="clear" w:color="auto" w:fill="auto"/>
            <w:vAlign w:val="center"/>
          </w:tcPr>
          <w:p w14:paraId="251A6109">
            <w:pPr>
              <w:keepNext w:val="0"/>
              <w:keepLines w:val="0"/>
              <w:pageBreakBefore w:val="0"/>
              <w:widowControl/>
              <w:suppressLineNumbers w:val="0"/>
              <w:kinsoku/>
              <w:wordWrap/>
              <w:overflowPunct/>
              <w:topLinePunct w:val="0"/>
              <w:autoSpaceDE/>
              <w:autoSpaceDN/>
              <w:bidi w:val="0"/>
              <w:spacing w:line="240" w:lineRule="auto"/>
              <w:ind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电池连接件</w:t>
            </w:r>
            <w:r>
              <w:rPr>
                <w:rFonts w:hint="default" w:ascii="Times New Roman" w:hAnsi="Times New Roman" w:eastAsia="宋体" w:cs="Times New Roman"/>
                <w:i w:val="0"/>
                <w:iCs w:val="0"/>
                <w:color w:val="000000"/>
                <w:kern w:val="0"/>
                <w:sz w:val="21"/>
                <w:szCs w:val="21"/>
                <w:u w:val="none"/>
                <w:lang w:val="en-US" w:eastAsia="zh-CN" w:bidi="ar"/>
              </w:rPr>
              <w:t>生产线（</w:t>
            </w:r>
            <w:r>
              <w:rPr>
                <w:rFonts w:hint="eastAsia" w:cs="Times New Roman"/>
                <w:i w:val="0"/>
                <w:iCs w:val="0"/>
                <w:color w:val="000000"/>
                <w:kern w:val="0"/>
                <w:sz w:val="21"/>
                <w:szCs w:val="21"/>
                <w:u w:val="none"/>
                <w:lang w:val="en-US" w:eastAsia="zh-CN" w:bidi="ar"/>
              </w:rPr>
              <w:t>6</w:t>
            </w:r>
            <w:r>
              <w:rPr>
                <w:rFonts w:hint="default" w:ascii="Times New Roman" w:hAnsi="Times New Roman" w:eastAsia="宋体" w:cs="Times New Roman"/>
                <w:i w:val="0"/>
                <w:iCs w:val="0"/>
                <w:color w:val="000000"/>
                <w:kern w:val="0"/>
                <w:sz w:val="21"/>
                <w:szCs w:val="21"/>
                <w:u w:val="none"/>
                <w:lang w:val="en-US" w:eastAsia="zh-CN" w:bidi="ar"/>
              </w:rPr>
              <w:t>条</w:t>
            </w:r>
            <w:r>
              <w:rPr>
                <w:rFonts w:hint="eastAsia" w:ascii="宋体" w:hAnsi="宋体" w:eastAsia="宋体" w:cs="宋体"/>
                <w:i w:val="0"/>
                <w:iCs w:val="0"/>
                <w:color w:val="000000"/>
                <w:kern w:val="0"/>
                <w:sz w:val="21"/>
                <w:szCs w:val="21"/>
                <w:u w:val="none"/>
                <w:lang w:val="en-US" w:eastAsia="zh-CN" w:bidi="ar"/>
              </w:rPr>
              <w:t>）</w:t>
            </w:r>
          </w:p>
        </w:tc>
        <w:tc>
          <w:tcPr>
            <w:tcW w:w="1695" w:type="dxa"/>
            <w:tcBorders>
              <w:tl2br w:val="nil"/>
              <w:tr2bl w:val="nil"/>
            </w:tcBorders>
            <w:shd w:val="clear" w:color="auto" w:fill="auto"/>
            <w:vAlign w:val="center"/>
          </w:tcPr>
          <w:p w14:paraId="3F5D64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超声除油</w:t>
            </w:r>
          </w:p>
        </w:tc>
        <w:tc>
          <w:tcPr>
            <w:tcW w:w="855" w:type="dxa"/>
            <w:tcBorders>
              <w:tl2br w:val="nil"/>
              <w:tr2bl w:val="nil"/>
            </w:tcBorders>
            <w:shd w:val="clear" w:color="auto" w:fill="auto"/>
            <w:vAlign w:val="center"/>
          </w:tcPr>
          <w:p w14:paraId="7FCD14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535D07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3BC791A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44520C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2.079</w:t>
            </w:r>
          </w:p>
        </w:tc>
        <w:tc>
          <w:tcPr>
            <w:tcW w:w="654" w:type="dxa"/>
            <w:tcBorders>
              <w:tl2br w:val="nil"/>
              <w:tr2bl w:val="nil"/>
            </w:tcBorders>
            <w:shd w:val="clear" w:color="auto" w:fill="auto"/>
            <w:vAlign w:val="center"/>
          </w:tcPr>
          <w:p w14:paraId="3CED7D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74B8710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55CB24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3BB057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0.021</w:t>
            </w:r>
          </w:p>
        </w:tc>
        <w:tc>
          <w:tcPr>
            <w:tcW w:w="945" w:type="dxa"/>
            <w:tcBorders>
              <w:tl2br w:val="nil"/>
              <w:tr2bl w:val="nil"/>
            </w:tcBorders>
            <w:shd w:val="clear" w:color="auto" w:fill="auto"/>
            <w:vAlign w:val="center"/>
          </w:tcPr>
          <w:p w14:paraId="23EA1F8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0.018</w:t>
            </w:r>
          </w:p>
        </w:tc>
        <w:tc>
          <w:tcPr>
            <w:tcW w:w="1095" w:type="dxa"/>
            <w:tcBorders>
              <w:tl2br w:val="nil"/>
              <w:tr2bl w:val="nil"/>
            </w:tcBorders>
            <w:shd w:val="clear" w:color="auto" w:fill="auto"/>
            <w:vAlign w:val="center"/>
          </w:tcPr>
          <w:p w14:paraId="43AF6B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69C7061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4CD65E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052581D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49594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电解除油槽</w:t>
            </w:r>
          </w:p>
        </w:tc>
        <w:tc>
          <w:tcPr>
            <w:tcW w:w="855" w:type="dxa"/>
            <w:tcBorders>
              <w:tl2br w:val="nil"/>
              <w:tr2bl w:val="nil"/>
            </w:tcBorders>
            <w:shd w:val="clear" w:color="auto" w:fill="auto"/>
            <w:vAlign w:val="center"/>
          </w:tcPr>
          <w:p w14:paraId="2AAA58E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64B657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02B1FB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816" w:type="dxa"/>
            <w:tcBorders>
              <w:tl2br w:val="nil"/>
              <w:tr2bl w:val="nil"/>
            </w:tcBorders>
            <w:shd w:val="clear" w:color="auto" w:fill="auto"/>
            <w:vAlign w:val="center"/>
          </w:tcPr>
          <w:p w14:paraId="76ADB4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6.237</w:t>
            </w:r>
          </w:p>
        </w:tc>
        <w:tc>
          <w:tcPr>
            <w:tcW w:w="654" w:type="dxa"/>
            <w:tcBorders>
              <w:tl2br w:val="nil"/>
              <w:tr2bl w:val="nil"/>
            </w:tcBorders>
            <w:shd w:val="clear" w:color="auto" w:fill="auto"/>
            <w:vAlign w:val="center"/>
          </w:tcPr>
          <w:p w14:paraId="72EE13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2E277E4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0A6444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5645116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0.072</w:t>
            </w:r>
          </w:p>
        </w:tc>
        <w:tc>
          <w:tcPr>
            <w:tcW w:w="945" w:type="dxa"/>
            <w:tcBorders>
              <w:tl2br w:val="nil"/>
              <w:tr2bl w:val="nil"/>
            </w:tcBorders>
            <w:shd w:val="clear" w:color="auto" w:fill="auto"/>
            <w:vAlign w:val="center"/>
          </w:tcPr>
          <w:p w14:paraId="41B3F8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0.057</w:t>
            </w:r>
          </w:p>
        </w:tc>
        <w:tc>
          <w:tcPr>
            <w:tcW w:w="1095" w:type="dxa"/>
            <w:tcBorders>
              <w:tl2br w:val="nil"/>
              <w:tr2bl w:val="nil"/>
            </w:tcBorders>
            <w:shd w:val="clear" w:color="auto" w:fill="auto"/>
            <w:vAlign w:val="center"/>
          </w:tcPr>
          <w:p w14:paraId="1814AED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4B879D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个月</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07DEA7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2F2C17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5CB8C8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除油浸水洗</w:t>
            </w:r>
          </w:p>
        </w:tc>
        <w:tc>
          <w:tcPr>
            <w:tcW w:w="855" w:type="dxa"/>
            <w:tcBorders>
              <w:tl2br w:val="nil"/>
              <w:tr2bl w:val="nil"/>
            </w:tcBorders>
            <w:shd w:val="clear" w:color="auto" w:fill="auto"/>
            <w:vAlign w:val="center"/>
          </w:tcPr>
          <w:p w14:paraId="6426BB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32DE97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L1200*W550*H450</w:t>
            </w:r>
          </w:p>
        </w:tc>
        <w:tc>
          <w:tcPr>
            <w:tcW w:w="780" w:type="dxa"/>
            <w:tcBorders>
              <w:tl2br w:val="nil"/>
              <w:tr2bl w:val="nil"/>
            </w:tcBorders>
            <w:shd w:val="clear" w:color="auto" w:fill="auto"/>
            <w:vAlign w:val="center"/>
          </w:tcPr>
          <w:p w14:paraId="52F600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3FAD1B3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1.782</w:t>
            </w:r>
          </w:p>
        </w:tc>
        <w:tc>
          <w:tcPr>
            <w:tcW w:w="654" w:type="dxa"/>
            <w:tcBorders>
              <w:tl2br w:val="nil"/>
              <w:tr2bl w:val="nil"/>
            </w:tcBorders>
            <w:shd w:val="clear" w:color="auto" w:fill="auto"/>
            <w:vAlign w:val="center"/>
          </w:tcPr>
          <w:p w14:paraId="5EF5985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2D112E9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连续溢流</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53C5B9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eastAsia" w:cs="Times New Roman"/>
                <w:i w:val="0"/>
                <w:iCs w:val="0"/>
                <w:color w:val="000000"/>
                <w:kern w:val="0"/>
                <w:sz w:val="21"/>
                <w:szCs w:val="21"/>
                <w:u w:val="none"/>
                <w:lang w:val="en-US" w:eastAsia="zh-CN" w:bidi="ar"/>
              </w:rPr>
              <w:t>0.2</w:t>
            </w:r>
          </w:p>
        </w:tc>
        <w:tc>
          <w:tcPr>
            <w:tcW w:w="1005" w:type="dxa"/>
            <w:tcBorders>
              <w:tl2br w:val="nil"/>
              <w:tr2bl w:val="nil"/>
            </w:tcBorders>
            <w:shd w:val="clear" w:color="auto" w:fill="auto"/>
            <w:vAlign w:val="center"/>
          </w:tcPr>
          <w:p w14:paraId="5433ED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36.520</w:t>
            </w:r>
          </w:p>
        </w:tc>
        <w:tc>
          <w:tcPr>
            <w:tcW w:w="945" w:type="dxa"/>
            <w:tcBorders>
              <w:tl2br w:val="nil"/>
              <w:tr2bl w:val="nil"/>
            </w:tcBorders>
            <w:shd w:val="clear" w:color="auto" w:fill="auto"/>
            <w:vAlign w:val="center"/>
          </w:tcPr>
          <w:p w14:paraId="75A8A1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29.216</w:t>
            </w:r>
          </w:p>
        </w:tc>
        <w:tc>
          <w:tcPr>
            <w:tcW w:w="1095" w:type="dxa"/>
            <w:tcBorders>
              <w:tl2br w:val="nil"/>
              <w:tr2bl w:val="nil"/>
            </w:tcBorders>
            <w:shd w:val="clear" w:color="auto" w:fill="auto"/>
            <w:vAlign w:val="center"/>
          </w:tcPr>
          <w:p w14:paraId="22A3F44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07CD37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连续排放</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洗槽水每天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3D5253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0EE1D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23ADF1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水洗槽</w:t>
            </w:r>
          </w:p>
        </w:tc>
        <w:tc>
          <w:tcPr>
            <w:tcW w:w="855" w:type="dxa"/>
            <w:tcBorders>
              <w:tl2br w:val="nil"/>
              <w:tr2bl w:val="nil"/>
            </w:tcBorders>
            <w:shd w:val="clear" w:color="auto" w:fill="auto"/>
            <w:vAlign w:val="center"/>
          </w:tcPr>
          <w:p w14:paraId="7AE5F38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2085" w:type="dxa"/>
            <w:tcBorders>
              <w:tl2br w:val="nil"/>
              <w:tr2bl w:val="nil"/>
            </w:tcBorders>
            <w:shd w:val="clear" w:color="auto" w:fill="auto"/>
            <w:vAlign w:val="center"/>
          </w:tcPr>
          <w:p w14:paraId="309776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L450*W550*H450</w:t>
            </w:r>
          </w:p>
        </w:tc>
        <w:tc>
          <w:tcPr>
            <w:tcW w:w="780" w:type="dxa"/>
            <w:tcBorders>
              <w:tl2br w:val="nil"/>
              <w:tr2bl w:val="nil"/>
            </w:tcBorders>
            <w:shd w:val="clear" w:color="auto" w:fill="auto"/>
            <w:vAlign w:val="center"/>
          </w:tcPr>
          <w:p w14:paraId="33AAE5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816" w:type="dxa"/>
            <w:tcBorders>
              <w:tl2br w:val="nil"/>
              <w:tr2bl w:val="nil"/>
            </w:tcBorders>
            <w:shd w:val="clear" w:color="auto" w:fill="auto"/>
            <w:vAlign w:val="center"/>
          </w:tcPr>
          <w:p w14:paraId="60DE6A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2.673</w:t>
            </w:r>
          </w:p>
        </w:tc>
        <w:tc>
          <w:tcPr>
            <w:tcW w:w="654" w:type="dxa"/>
            <w:tcBorders>
              <w:tl2br w:val="nil"/>
              <w:tr2bl w:val="nil"/>
            </w:tcBorders>
            <w:shd w:val="clear" w:color="auto" w:fill="auto"/>
            <w:vAlign w:val="center"/>
          </w:tcPr>
          <w:p w14:paraId="2A7EE7A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17856E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4A402C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62744AB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FF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w:t>
            </w:r>
          </w:p>
        </w:tc>
        <w:tc>
          <w:tcPr>
            <w:tcW w:w="945" w:type="dxa"/>
            <w:tcBorders>
              <w:tl2br w:val="nil"/>
              <w:tr2bl w:val="nil"/>
            </w:tcBorders>
            <w:shd w:val="clear" w:color="auto" w:fill="auto"/>
            <w:vAlign w:val="center"/>
          </w:tcPr>
          <w:p w14:paraId="166D4E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1.872</w:t>
            </w:r>
          </w:p>
        </w:tc>
        <w:tc>
          <w:tcPr>
            <w:tcW w:w="1095" w:type="dxa"/>
            <w:tcBorders>
              <w:tl2br w:val="nil"/>
              <w:tr2bl w:val="nil"/>
            </w:tcBorders>
            <w:shd w:val="clear" w:color="auto" w:fill="auto"/>
            <w:vAlign w:val="center"/>
          </w:tcPr>
          <w:p w14:paraId="2130C83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含油废水</w:t>
            </w:r>
          </w:p>
        </w:tc>
        <w:tc>
          <w:tcPr>
            <w:tcW w:w="1518" w:type="dxa"/>
            <w:tcBorders>
              <w:tl2br w:val="nil"/>
              <w:tr2bl w:val="nil"/>
            </w:tcBorders>
            <w:shd w:val="clear" w:color="auto" w:fill="auto"/>
            <w:vAlign w:val="center"/>
          </w:tcPr>
          <w:p w14:paraId="3A1E9A1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375C80D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C097A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3CD3E1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酸洗槽</w:t>
            </w:r>
          </w:p>
        </w:tc>
        <w:tc>
          <w:tcPr>
            <w:tcW w:w="855" w:type="dxa"/>
            <w:tcBorders>
              <w:tl2br w:val="nil"/>
              <w:tr2bl w:val="nil"/>
            </w:tcBorders>
            <w:shd w:val="clear" w:color="auto" w:fill="auto"/>
            <w:vAlign w:val="center"/>
          </w:tcPr>
          <w:p w14:paraId="7ACCA1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78CC7F8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0BD32F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7BCC64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2.079</w:t>
            </w:r>
          </w:p>
        </w:tc>
        <w:tc>
          <w:tcPr>
            <w:tcW w:w="654" w:type="dxa"/>
            <w:tcBorders>
              <w:tl2br w:val="nil"/>
              <w:tr2bl w:val="nil"/>
            </w:tcBorders>
            <w:shd w:val="clear" w:color="auto" w:fill="auto"/>
            <w:vAlign w:val="center"/>
          </w:tcPr>
          <w:p w14:paraId="0302710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492934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056C833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3B9770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0.228</w:t>
            </w:r>
          </w:p>
        </w:tc>
        <w:tc>
          <w:tcPr>
            <w:tcW w:w="945" w:type="dxa"/>
            <w:tcBorders>
              <w:tl2br w:val="nil"/>
              <w:tr2bl w:val="nil"/>
            </w:tcBorders>
            <w:shd w:val="clear" w:color="auto" w:fill="auto"/>
            <w:vAlign w:val="center"/>
          </w:tcPr>
          <w:p w14:paraId="3E7CB6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1095" w:type="dxa"/>
            <w:tcBorders>
              <w:tl2br w:val="nil"/>
              <w:tr2bl w:val="nil"/>
            </w:tcBorders>
            <w:shd w:val="clear" w:color="auto" w:fill="auto"/>
            <w:vAlign w:val="center"/>
          </w:tcPr>
          <w:p w14:paraId="73F17E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353A104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3DB407E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E3709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A9A5F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酸洗后水洗槽</w:t>
            </w:r>
          </w:p>
        </w:tc>
        <w:tc>
          <w:tcPr>
            <w:tcW w:w="855" w:type="dxa"/>
            <w:tcBorders>
              <w:tl2br w:val="nil"/>
              <w:tr2bl w:val="nil"/>
            </w:tcBorders>
            <w:shd w:val="clear" w:color="auto" w:fill="auto"/>
            <w:vAlign w:val="center"/>
          </w:tcPr>
          <w:p w14:paraId="016629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42AB65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L450*W550*H450</w:t>
            </w:r>
          </w:p>
        </w:tc>
        <w:tc>
          <w:tcPr>
            <w:tcW w:w="780" w:type="dxa"/>
            <w:tcBorders>
              <w:tl2br w:val="nil"/>
              <w:tr2bl w:val="nil"/>
            </w:tcBorders>
            <w:shd w:val="clear" w:color="auto" w:fill="auto"/>
            <w:vAlign w:val="center"/>
          </w:tcPr>
          <w:p w14:paraId="19E09C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816" w:type="dxa"/>
            <w:tcBorders>
              <w:tl2br w:val="nil"/>
              <w:tr2bl w:val="nil"/>
            </w:tcBorders>
            <w:shd w:val="clear" w:color="auto" w:fill="auto"/>
            <w:vAlign w:val="center"/>
          </w:tcPr>
          <w:p w14:paraId="19E1C06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1.338</w:t>
            </w:r>
          </w:p>
        </w:tc>
        <w:tc>
          <w:tcPr>
            <w:tcW w:w="654" w:type="dxa"/>
            <w:tcBorders>
              <w:tl2br w:val="nil"/>
              <w:tr2bl w:val="nil"/>
            </w:tcBorders>
            <w:shd w:val="clear" w:color="auto" w:fill="auto"/>
            <w:vAlign w:val="center"/>
          </w:tcPr>
          <w:p w14:paraId="7E648B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35A84E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72CEFC4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21D6FF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1.17</w:t>
            </w:r>
          </w:p>
        </w:tc>
        <w:tc>
          <w:tcPr>
            <w:tcW w:w="945" w:type="dxa"/>
            <w:tcBorders>
              <w:tl2br w:val="nil"/>
              <w:tr2bl w:val="nil"/>
            </w:tcBorders>
            <w:shd w:val="clear" w:color="auto" w:fill="auto"/>
            <w:vAlign w:val="center"/>
          </w:tcPr>
          <w:p w14:paraId="2DBB65A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0.936</w:t>
            </w:r>
          </w:p>
        </w:tc>
        <w:tc>
          <w:tcPr>
            <w:tcW w:w="1095" w:type="dxa"/>
            <w:tcBorders>
              <w:tl2br w:val="nil"/>
              <w:tr2bl w:val="nil"/>
            </w:tcBorders>
            <w:shd w:val="clear" w:color="auto" w:fill="auto"/>
            <w:vAlign w:val="center"/>
          </w:tcPr>
          <w:p w14:paraId="3F918F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4D2EFB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73565B6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C31FE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342F6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酸洗槽</w:t>
            </w:r>
          </w:p>
        </w:tc>
        <w:tc>
          <w:tcPr>
            <w:tcW w:w="855" w:type="dxa"/>
            <w:tcBorders>
              <w:tl2br w:val="nil"/>
              <w:tr2bl w:val="nil"/>
            </w:tcBorders>
            <w:shd w:val="clear" w:color="auto" w:fill="auto"/>
            <w:vAlign w:val="center"/>
          </w:tcPr>
          <w:p w14:paraId="279F34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55775D2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27A2BE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0994D3B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2.079</w:t>
            </w:r>
          </w:p>
        </w:tc>
        <w:tc>
          <w:tcPr>
            <w:tcW w:w="654" w:type="dxa"/>
            <w:tcBorders>
              <w:tl2br w:val="nil"/>
              <w:tr2bl w:val="nil"/>
            </w:tcBorders>
            <w:shd w:val="clear" w:color="auto" w:fill="auto"/>
            <w:vAlign w:val="center"/>
          </w:tcPr>
          <w:p w14:paraId="5D4054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23C9FB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7AA4C7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5DC83D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0.228</w:t>
            </w:r>
          </w:p>
        </w:tc>
        <w:tc>
          <w:tcPr>
            <w:tcW w:w="945" w:type="dxa"/>
            <w:tcBorders>
              <w:tl2br w:val="nil"/>
              <w:tr2bl w:val="nil"/>
            </w:tcBorders>
            <w:shd w:val="clear" w:color="auto" w:fill="auto"/>
            <w:vAlign w:val="center"/>
          </w:tcPr>
          <w:p w14:paraId="4EFE8C8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0.183</w:t>
            </w:r>
          </w:p>
        </w:tc>
        <w:tc>
          <w:tcPr>
            <w:tcW w:w="1095" w:type="dxa"/>
            <w:tcBorders>
              <w:tl2br w:val="nil"/>
              <w:tr2bl w:val="nil"/>
            </w:tcBorders>
            <w:shd w:val="clear" w:color="auto" w:fill="auto"/>
            <w:vAlign w:val="center"/>
          </w:tcPr>
          <w:p w14:paraId="11F849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109BA5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r>
              <w:rPr>
                <w:rFonts w:hint="eastAsia" w:ascii="宋体" w:hAnsi="宋体" w:eastAsia="宋体" w:cs="宋体"/>
                <w:i w:val="0"/>
                <w:iCs w:val="0"/>
                <w:color w:val="000000"/>
                <w:kern w:val="0"/>
                <w:sz w:val="21"/>
                <w:szCs w:val="21"/>
                <w:u w:val="none"/>
                <w:lang w:val="en-US" w:eastAsia="zh-CN" w:bidi="ar"/>
              </w:rPr>
              <w:t>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5A4D223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72C89F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7BCD8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酸洗后水洗槽</w:t>
            </w:r>
          </w:p>
        </w:tc>
        <w:tc>
          <w:tcPr>
            <w:tcW w:w="855" w:type="dxa"/>
            <w:tcBorders>
              <w:tl2br w:val="nil"/>
              <w:tr2bl w:val="nil"/>
            </w:tcBorders>
            <w:shd w:val="clear" w:color="auto" w:fill="auto"/>
            <w:vAlign w:val="center"/>
          </w:tcPr>
          <w:p w14:paraId="2F5996E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085" w:type="dxa"/>
            <w:tcBorders>
              <w:tl2br w:val="nil"/>
              <w:tr2bl w:val="nil"/>
            </w:tcBorders>
            <w:shd w:val="clear" w:color="auto" w:fill="auto"/>
            <w:vAlign w:val="center"/>
          </w:tcPr>
          <w:p w14:paraId="4C36CB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L450*W550*H450</w:t>
            </w:r>
          </w:p>
        </w:tc>
        <w:tc>
          <w:tcPr>
            <w:tcW w:w="780" w:type="dxa"/>
            <w:tcBorders>
              <w:tl2br w:val="nil"/>
              <w:tr2bl w:val="nil"/>
            </w:tcBorders>
            <w:shd w:val="clear" w:color="auto" w:fill="auto"/>
            <w:vAlign w:val="center"/>
          </w:tcPr>
          <w:p w14:paraId="00E4F9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816" w:type="dxa"/>
            <w:tcBorders>
              <w:tl2br w:val="nil"/>
              <w:tr2bl w:val="nil"/>
            </w:tcBorders>
            <w:shd w:val="clear" w:color="auto" w:fill="auto"/>
            <w:vAlign w:val="center"/>
          </w:tcPr>
          <w:p w14:paraId="036FA2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1.338</w:t>
            </w:r>
          </w:p>
        </w:tc>
        <w:tc>
          <w:tcPr>
            <w:tcW w:w="654" w:type="dxa"/>
            <w:tcBorders>
              <w:tl2br w:val="nil"/>
              <w:tr2bl w:val="nil"/>
            </w:tcBorders>
            <w:shd w:val="clear" w:color="auto" w:fill="auto"/>
            <w:vAlign w:val="center"/>
          </w:tcPr>
          <w:p w14:paraId="6A1A7A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340187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vAlign w:val="center"/>
          </w:tcPr>
          <w:p w14:paraId="7A192A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6F6710D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1.17</w:t>
            </w:r>
          </w:p>
        </w:tc>
        <w:tc>
          <w:tcPr>
            <w:tcW w:w="945" w:type="dxa"/>
            <w:tcBorders>
              <w:tl2br w:val="nil"/>
              <w:tr2bl w:val="nil"/>
            </w:tcBorders>
            <w:shd w:val="clear" w:color="auto" w:fill="auto"/>
            <w:vAlign w:val="center"/>
          </w:tcPr>
          <w:p w14:paraId="0EF49A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0.936</w:t>
            </w:r>
          </w:p>
        </w:tc>
        <w:tc>
          <w:tcPr>
            <w:tcW w:w="1095" w:type="dxa"/>
            <w:tcBorders>
              <w:tl2br w:val="nil"/>
              <w:tr2bl w:val="nil"/>
            </w:tcBorders>
            <w:shd w:val="clear" w:color="auto" w:fill="auto"/>
            <w:vAlign w:val="center"/>
          </w:tcPr>
          <w:p w14:paraId="2A4945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酸性废水</w:t>
            </w:r>
          </w:p>
        </w:tc>
        <w:tc>
          <w:tcPr>
            <w:tcW w:w="1518" w:type="dxa"/>
            <w:tcBorders>
              <w:tl2br w:val="nil"/>
              <w:tr2bl w:val="nil"/>
            </w:tcBorders>
            <w:shd w:val="clear" w:color="auto" w:fill="auto"/>
            <w:vAlign w:val="center"/>
          </w:tcPr>
          <w:p w14:paraId="2B096A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每天</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次</w:t>
            </w:r>
          </w:p>
        </w:tc>
      </w:tr>
      <w:tr w14:paraId="2068D1C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5BD072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681530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镀镍槽</w:t>
            </w:r>
          </w:p>
        </w:tc>
        <w:tc>
          <w:tcPr>
            <w:tcW w:w="855" w:type="dxa"/>
            <w:tcBorders>
              <w:tl2br w:val="nil"/>
              <w:tr2bl w:val="nil"/>
            </w:tcBorders>
            <w:shd w:val="clear" w:color="auto" w:fill="auto"/>
            <w:vAlign w:val="center"/>
          </w:tcPr>
          <w:p w14:paraId="3839EA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85" w:type="dxa"/>
            <w:tcBorders>
              <w:tl2br w:val="nil"/>
              <w:tr2bl w:val="nil"/>
            </w:tcBorders>
            <w:shd w:val="clear" w:color="auto" w:fill="auto"/>
            <w:vAlign w:val="center"/>
          </w:tcPr>
          <w:p w14:paraId="40BB95B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2154A03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816" w:type="dxa"/>
            <w:tcBorders>
              <w:tl2br w:val="nil"/>
              <w:tr2bl w:val="nil"/>
            </w:tcBorders>
            <w:shd w:val="clear" w:color="auto" w:fill="auto"/>
            <w:vAlign w:val="center"/>
          </w:tcPr>
          <w:p w14:paraId="02D981F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2.079</w:t>
            </w:r>
          </w:p>
        </w:tc>
        <w:tc>
          <w:tcPr>
            <w:tcW w:w="654" w:type="dxa"/>
            <w:tcBorders>
              <w:tl2br w:val="nil"/>
              <w:tr2bl w:val="nil"/>
            </w:tcBorders>
            <w:shd w:val="clear" w:color="auto" w:fill="auto"/>
            <w:vAlign w:val="center"/>
          </w:tcPr>
          <w:p w14:paraId="77A9FA6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5E6AA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循环过滤</w:t>
            </w:r>
          </w:p>
        </w:tc>
        <w:tc>
          <w:tcPr>
            <w:tcW w:w="825" w:type="dxa"/>
            <w:tcBorders>
              <w:tl2br w:val="nil"/>
              <w:tr2bl w:val="nil"/>
            </w:tcBorders>
            <w:shd w:val="clear" w:color="auto" w:fill="auto"/>
            <w:vAlign w:val="center"/>
          </w:tcPr>
          <w:p w14:paraId="0FF28D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5163DA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0.207</w:t>
            </w:r>
          </w:p>
        </w:tc>
        <w:tc>
          <w:tcPr>
            <w:tcW w:w="945" w:type="dxa"/>
            <w:tcBorders>
              <w:tl2br w:val="nil"/>
              <w:tr2bl w:val="nil"/>
            </w:tcBorders>
            <w:shd w:val="clear" w:color="auto" w:fill="auto"/>
            <w:vAlign w:val="center"/>
          </w:tcPr>
          <w:p w14:paraId="610D3B0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5C9D4F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518" w:type="dxa"/>
            <w:tcBorders>
              <w:tl2br w:val="nil"/>
              <w:tr2bl w:val="nil"/>
            </w:tcBorders>
            <w:shd w:val="clear" w:color="auto" w:fill="auto"/>
            <w:vAlign w:val="center"/>
          </w:tcPr>
          <w:p w14:paraId="34CA6B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长期使用</w:t>
            </w:r>
          </w:p>
        </w:tc>
      </w:tr>
      <w:tr w14:paraId="3C51B4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4273B9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E96B7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镀镍后回收槽</w:t>
            </w:r>
          </w:p>
        </w:tc>
        <w:tc>
          <w:tcPr>
            <w:tcW w:w="855" w:type="dxa"/>
            <w:tcBorders>
              <w:tl2br w:val="nil"/>
              <w:tr2bl w:val="nil"/>
            </w:tcBorders>
            <w:shd w:val="clear" w:color="auto" w:fill="auto"/>
            <w:vAlign w:val="center"/>
          </w:tcPr>
          <w:p w14:paraId="2B1BFD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236A87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L450*W550*H450</w:t>
            </w:r>
          </w:p>
        </w:tc>
        <w:tc>
          <w:tcPr>
            <w:tcW w:w="780" w:type="dxa"/>
            <w:tcBorders>
              <w:tl2br w:val="nil"/>
              <w:tr2bl w:val="nil"/>
            </w:tcBorders>
            <w:shd w:val="clear" w:color="auto" w:fill="auto"/>
            <w:vAlign w:val="center"/>
          </w:tcPr>
          <w:p w14:paraId="648B8C6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816" w:type="dxa"/>
            <w:tcBorders>
              <w:tl2br w:val="nil"/>
              <w:tr2bl w:val="nil"/>
            </w:tcBorders>
            <w:shd w:val="clear" w:color="auto" w:fill="auto"/>
            <w:vAlign w:val="center"/>
          </w:tcPr>
          <w:p w14:paraId="3A8C809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2.004</w:t>
            </w:r>
          </w:p>
        </w:tc>
        <w:tc>
          <w:tcPr>
            <w:tcW w:w="654" w:type="dxa"/>
            <w:tcBorders>
              <w:tl2br w:val="nil"/>
              <w:tr2bl w:val="nil"/>
            </w:tcBorders>
            <w:shd w:val="clear" w:color="auto" w:fill="auto"/>
            <w:vAlign w:val="center"/>
          </w:tcPr>
          <w:p w14:paraId="53FAD9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6459B3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定期补充</w:t>
            </w:r>
          </w:p>
        </w:tc>
        <w:tc>
          <w:tcPr>
            <w:tcW w:w="825" w:type="dxa"/>
            <w:tcBorders>
              <w:tl2br w:val="nil"/>
              <w:tr2bl w:val="nil"/>
            </w:tcBorders>
            <w:shd w:val="clear" w:color="auto" w:fill="auto"/>
            <w:vAlign w:val="center"/>
          </w:tcPr>
          <w:p w14:paraId="5E5639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169643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0.201</w:t>
            </w:r>
          </w:p>
        </w:tc>
        <w:tc>
          <w:tcPr>
            <w:tcW w:w="945" w:type="dxa"/>
            <w:tcBorders>
              <w:tl2br w:val="nil"/>
              <w:tr2bl w:val="nil"/>
            </w:tcBorders>
            <w:shd w:val="clear" w:color="auto" w:fill="auto"/>
            <w:vAlign w:val="center"/>
          </w:tcPr>
          <w:p w14:paraId="56E4296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130B3BA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含镍废水</w:t>
            </w:r>
          </w:p>
        </w:tc>
        <w:tc>
          <w:tcPr>
            <w:tcW w:w="1518" w:type="dxa"/>
            <w:tcBorders>
              <w:tl2br w:val="nil"/>
              <w:tr2bl w:val="nil"/>
            </w:tcBorders>
            <w:shd w:val="clear" w:color="auto" w:fill="auto"/>
            <w:vAlign w:val="center"/>
          </w:tcPr>
          <w:p w14:paraId="7FAB73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不排放</w:t>
            </w:r>
          </w:p>
        </w:tc>
      </w:tr>
      <w:tr w14:paraId="750C3ED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66B026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0767B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镍槽</w:t>
            </w:r>
          </w:p>
        </w:tc>
        <w:tc>
          <w:tcPr>
            <w:tcW w:w="855" w:type="dxa"/>
            <w:tcBorders>
              <w:tl2br w:val="nil"/>
              <w:tr2bl w:val="nil"/>
            </w:tcBorders>
            <w:shd w:val="clear" w:color="auto" w:fill="auto"/>
            <w:vAlign w:val="center"/>
          </w:tcPr>
          <w:p w14:paraId="419AE8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2085" w:type="dxa"/>
            <w:tcBorders>
              <w:tl2br w:val="nil"/>
              <w:tr2bl w:val="nil"/>
            </w:tcBorders>
            <w:shd w:val="clear" w:color="auto" w:fill="auto"/>
            <w:vAlign w:val="center"/>
          </w:tcPr>
          <w:p w14:paraId="2C4EF3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L1400*W550*H450</w:t>
            </w:r>
          </w:p>
        </w:tc>
        <w:tc>
          <w:tcPr>
            <w:tcW w:w="780" w:type="dxa"/>
            <w:tcBorders>
              <w:tl2br w:val="nil"/>
              <w:tr2bl w:val="nil"/>
            </w:tcBorders>
            <w:shd w:val="clear" w:color="auto" w:fill="auto"/>
            <w:vAlign w:val="center"/>
          </w:tcPr>
          <w:p w14:paraId="498A81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816" w:type="dxa"/>
            <w:tcBorders>
              <w:tl2br w:val="nil"/>
              <w:tr2bl w:val="nil"/>
            </w:tcBorders>
            <w:shd w:val="clear" w:color="auto" w:fill="auto"/>
            <w:vAlign w:val="center"/>
          </w:tcPr>
          <w:p w14:paraId="464BE03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16.662</w:t>
            </w:r>
          </w:p>
        </w:tc>
        <w:tc>
          <w:tcPr>
            <w:tcW w:w="654" w:type="dxa"/>
            <w:tcBorders>
              <w:tl2br w:val="nil"/>
              <w:tr2bl w:val="nil"/>
            </w:tcBorders>
            <w:shd w:val="clear" w:color="auto" w:fill="auto"/>
            <w:vAlign w:val="center"/>
          </w:tcPr>
          <w:p w14:paraId="1F7B0C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26DD0D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循环过滤</w:t>
            </w:r>
          </w:p>
        </w:tc>
        <w:tc>
          <w:tcPr>
            <w:tcW w:w="825" w:type="dxa"/>
            <w:tcBorders>
              <w:tl2br w:val="nil"/>
              <w:tr2bl w:val="nil"/>
            </w:tcBorders>
            <w:shd w:val="clear" w:color="auto" w:fill="auto"/>
            <w:vAlign w:val="center"/>
          </w:tcPr>
          <w:p w14:paraId="216674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7D5C85E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1.668</w:t>
            </w:r>
          </w:p>
        </w:tc>
        <w:tc>
          <w:tcPr>
            <w:tcW w:w="945" w:type="dxa"/>
            <w:tcBorders>
              <w:tl2br w:val="nil"/>
              <w:tr2bl w:val="nil"/>
            </w:tcBorders>
            <w:shd w:val="clear" w:color="auto" w:fill="auto"/>
            <w:vAlign w:val="center"/>
          </w:tcPr>
          <w:p w14:paraId="32CC135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1A2F300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宋体" w:cs="Times New Roman"/>
                <w:i w:val="0"/>
                <w:iCs w:val="0"/>
                <w:color w:val="000000"/>
                <w:sz w:val="21"/>
                <w:szCs w:val="21"/>
                <w:u w:val="none"/>
                <w:lang w:val="en-US" w:eastAsia="zh-CN"/>
              </w:rPr>
              <w:t>/</w:t>
            </w:r>
          </w:p>
        </w:tc>
        <w:tc>
          <w:tcPr>
            <w:tcW w:w="1518" w:type="dxa"/>
            <w:tcBorders>
              <w:tl2br w:val="nil"/>
              <w:tr2bl w:val="nil"/>
            </w:tcBorders>
            <w:shd w:val="clear" w:color="auto" w:fill="auto"/>
            <w:vAlign w:val="center"/>
          </w:tcPr>
          <w:p w14:paraId="7B23920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长期使用</w:t>
            </w:r>
          </w:p>
        </w:tc>
      </w:tr>
      <w:tr w14:paraId="23E42B1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164AE6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43F47F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镀镍后回收槽</w:t>
            </w:r>
          </w:p>
        </w:tc>
        <w:tc>
          <w:tcPr>
            <w:tcW w:w="855" w:type="dxa"/>
            <w:tcBorders>
              <w:tl2br w:val="nil"/>
              <w:tr2bl w:val="nil"/>
            </w:tcBorders>
            <w:shd w:val="clear" w:color="auto" w:fill="auto"/>
            <w:vAlign w:val="center"/>
          </w:tcPr>
          <w:p w14:paraId="6E58C7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085" w:type="dxa"/>
            <w:tcBorders>
              <w:tl2br w:val="nil"/>
              <w:tr2bl w:val="nil"/>
            </w:tcBorders>
            <w:shd w:val="clear" w:color="auto" w:fill="auto"/>
            <w:vAlign w:val="center"/>
          </w:tcPr>
          <w:p w14:paraId="133E3E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L450*W550*H450</w:t>
            </w:r>
          </w:p>
        </w:tc>
        <w:tc>
          <w:tcPr>
            <w:tcW w:w="780" w:type="dxa"/>
            <w:tcBorders>
              <w:tl2br w:val="nil"/>
              <w:tr2bl w:val="nil"/>
            </w:tcBorders>
            <w:shd w:val="clear" w:color="auto" w:fill="auto"/>
            <w:vAlign w:val="center"/>
          </w:tcPr>
          <w:p w14:paraId="524408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816" w:type="dxa"/>
            <w:tcBorders>
              <w:tl2br w:val="nil"/>
              <w:tr2bl w:val="nil"/>
            </w:tcBorders>
            <w:shd w:val="clear" w:color="auto" w:fill="auto"/>
            <w:vAlign w:val="center"/>
          </w:tcPr>
          <w:p w14:paraId="1F00BCC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2.004</w:t>
            </w:r>
          </w:p>
        </w:tc>
        <w:tc>
          <w:tcPr>
            <w:tcW w:w="654" w:type="dxa"/>
            <w:tcBorders>
              <w:tl2br w:val="nil"/>
              <w:tr2bl w:val="nil"/>
            </w:tcBorders>
            <w:shd w:val="clear" w:color="auto" w:fill="auto"/>
            <w:vAlign w:val="center"/>
          </w:tcPr>
          <w:p w14:paraId="04D9B7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00" w:type="dxa"/>
            <w:tcBorders>
              <w:tl2br w:val="nil"/>
              <w:tr2bl w:val="nil"/>
            </w:tcBorders>
            <w:shd w:val="clear" w:color="auto" w:fill="auto"/>
            <w:vAlign w:val="center"/>
          </w:tcPr>
          <w:p w14:paraId="56EB4D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定期补充</w:t>
            </w:r>
          </w:p>
        </w:tc>
        <w:tc>
          <w:tcPr>
            <w:tcW w:w="825" w:type="dxa"/>
            <w:tcBorders>
              <w:tl2br w:val="nil"/>
              <w:tr2bl w:val="nil"/>
            </w:tcBorders>
            <w:shd w:val="clear" w:color="auto" w:fill="auto"/>
            <w:vAlign w:val="center"/>
          </w:tcPr>
          <w:p w14:paraId="3CF195F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005" w:type="dxa"/>
            <w:tcBorders>
              <w:tl2br w:val="nil"/>
              <w:tr2bl w:val="nil"/>
            </w:tcBorders>
            <w:shd w:val="clear" w:color="auto" w:fill="auto"/>
            <w:vAlign w:val="center"/>
          </w:tcPr>
          <w:p w14:paraId="680856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0.201</w:t>
            </w:r>
          </w:p>
        </w:tc>
        <w:tc>
          <w:tcPr>
            <w:tcW w:w="945" w:type="dxa"/>
            <w:tcBorders>
              <w:tl2br w:val="nil"/>
              <w:tr2bl w:val="nil"/>
            </w:tcBorders>
            <w:shd w:val="clear" w:color="auto" w:fill="auto"/>
            <w:vAlign w:val="center"/>
          </w:tcPr>
          <w:p w14:paraId="07D7DE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1095" w:type="dxa"/>
            <w:tcBorders>
              <w:tl2br w:val="nil"/>
              <w:tr2bl w:val="nil"/>
            </w:tcBorders>
            <w:shd w:val="clear" w:color="auto" w:fill="auto"/>
            <w:vAlign w:val="center"/>
          </w:tcPr>
          <w:p w14:paraId="0DCAED3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含镍废水</w:t>
            </w:r>
          </w:p>
        </w:tc>
        <w:tc>
          <w:tcPr>
            <w:tcW w:w="1518" w:type="dxa"/>
            <w:tcBorders>
              <w:tl2br w:val="nil"/>
              <w:tr2bl w:val="nil"/>
            </w:tcBorders>
            <w:shd w:val="clear" w:color="auto" w:fill="auto"/>
            <w:vAlign w:val="center"/>
          </w:tcPr>
          <w:p w14:paraId="5FB8AA1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不排放</w:t>
            </w:r>
          </w:p>
        </w:tc>
      </w:tr>
      <w:tr w14:paraId="6AE33E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38507E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0AC18F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水洗槽</w:t>
            </w:r>
          </w:p>
        </w:tc>
        <w:tc>
          <w:tcPr>
            <w:tcW w:w="855" w:type="dxa"/>
            <w:tcBorders>
              <w:tl2br w:val="nil"/>
              <w:tr2bl w:val="nil"/>
            </w:tcBorders>
            <w:shd w:val="clear" w:color="auto" w:fill="auto"/>
            <w:vAlign w:val="center"/>
          </w:tcPr>
          <w:p w14:paraId="70ECC1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085" w:type="dxa"/>
            <w:tcBorders>
              <w:tl2br w:val="nil"/>
              <w:tr2bl w:val="nil"/>
            </w:tcBorders>
            <w:shd w:val="clear" w:color="auto" w:fill="auto"/>
            <w:vAlign w:val="center"/>
          </w:tcPr>
          <w:p w14:paraId="30DA33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L450*W550*H450</w:t>
            </w:r>
          </w:p>
        </w:tc>
        <w:tc>
          <w:tcPr>
            <w:tcW w:w="780" w:type="dxa"/>
            <w:tcBorders>
              <w:tl2br w:val="nil"/>
              <w:tr2bl w:val="nil"/>
            </w:tcBorders>
            <w:shd w:val="clear" w:color="auto" w:fill="auto"/>
            <w:vAlign w:val="center"/>
          </w:tcPr>
          <w:p w14:paraId="226A68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816" w:type="dxa"/>
            <w:tcBorders>
              <w:tl2br w:val="nil"/>
              <w:tr2bl w:val="nil"/>
            </w:tcBorders>
            <w:shd w:val="clear" w:color="auto" w:fill="auto"/>
            <w:vAlign w:val="center"/>
          </w:tcPr>
          <w:p w14:paraId="4127BB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2.673</w:t>
            </w:r>
          </w:p>
        </w:tc>
        <w:tc>
          <w:tcPr>
            <w:tcW w:w="654" w:type="dxa"/>
            <w:tcBorders>
              <w:tl2br w:val="nil"/>
              <w:tr2bl w:val="nil"/>
            </w:tcBorders>
            <w:shd w:val="clear" w:color="auto" w:fill="auto"/>
            <w:vAlign w:val="center"/>
          </w:tcPr>
          <w:p w14:paraId="3114EF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00A26E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3CD84B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w:t>
            </w:r>
          </w:p>
        </w:tc>
        <w:tc>
          <w:tcPr>
            <w:tcW w:w="1005" w:type="dxa"/>
            <w:tcBorders>
              <w:tl2br w:val="nil"/>
              <w:tr2bl w:val="nil"/>
            </w:tcBorders>
            <w:shd w:val="clear" w:color="auto" w:fill="auto"/>
            <w:vAlign w:val="center"/>
          </w:tcPr>
          <w:p w14:paraId="63EFF6A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2.34</w:t>
            </w:r>
          </w:p>
        </w:tc>
        <w:tc>
          <w:tcPr>
            <w:tcW w:w="945" w:type="dxa"/>
            <w:tcBorders>
              <w:tl2br w:val="nil"/>
              <w:tr2bl w:val="nil"/>
            </w:tcBorders>
            <w:shd w:val="clear" w:color="auto" w:fill="auto"/>
            <w:vAlign w:val="center"/>
          </w:tcPr>
          <w:p w14:paraId="278DF7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1.872</w:t>
            </w:r>
          </w:p>
        </w:tc>
        <w:tc>
          <w:tcPr>
            <w:tcW w:w="1095" w:type="dxa"/>
            <w:tcBorders>
              <w:tl2br w:val="nil"/>
              <w:tr2bl w:val="nil"/>
            </w:tcBorders>
            <w:shd w:val="clear" w:color="auto" w:fill="auto"/>
            <w:vAlign w:val="center"/>
          </w:tcPr>
          <w:p w14:paraId="76660A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686D3E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每天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5777F57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78CA98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553553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纯水浸洗槽</w:t>
            </w:r>
          </w:p>
        </w:tc>
        <w:tc>
          <w:tcPr>
            <w:tcW w:w="855" w:type="dxa"/>
            <w:tcBorders>
              <w:tl2br w:val="nil"/>
              <w:tr2bl w:val="nil"/>
            </w:tcBorders>
            <w:shd w:val="clear" w:color="auto" w:fill="auto"/>
            <w:vAlign w:val="center"/>
          </w:tcPr>
          <w:p w14:paraId="06612AC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085" w:type="dxa"/>
            <w:tcBorders>
              <w:tl2br w:val="nil"/>
              <w:tr2bl w:val="nil"/>
            </w:tcBorders>
            <w:shd w:val="clear" w:color="auto" w:fill="auto"/>
            <w:vAlign w:val="center"/>
          </w:tcPr>
          <w:p w14:paraId="7624E76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L1200*W550*H450</w:t>
            </w:r>
          </w:p>
        </w:tc>
        <w:tc>
          <w:tcPr>
            <w:tcW w:w="780" w:type="dxa"/>
            <w:tcBorders>
              <w:tl2br w:val="nil"/>
              <w:tr2bl w:val="nil"/>
            </w:tcBorders>
            <w:shd w:val="clear" w:color="auto" w:fill="auto"/>
            <w:vAlign w:val="center"/>
          </w:tcPr>
          <w:p w14:paraId="26EFABC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04F263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ascii="Times New Roman" w:hAnsi="Times New Roman" w:cs="Times New Roman"/>
                <w:i w:val="0"/>
                <w:iCs w:val="0"/>
                <w:color w:val="000000"/>
                <w:kern w:val="0"/>
                <w:sz w:val="21"/>
                <w:szCs w:val="21"/>
                <w:highlight w:val="none"/>
                <w:u w:val="none"/>
                <w:lang w:val="en-US" w:eastAsia="zh-CN" w:bidi="ar"/>
              </w:rPr>
              <w:t>1.782</w:t>
            </w:r>
          </w:p>
        </w:tc>
        <w:tc>
          <w:tcPr>
            <w:tcW w:w="654" w:type="dxa"/>
            <w:tcBorders>
              <w:tl2br w:val="nil"/>
              <w:tr2bl w:val="nil"/>
            </w:tcBorders>
            <w:shd w:val="clear" w:color="auto" w:fill="auto"/>
            <w:vAlign w:val="center"/>
          </w:tcPr>
          <w:p w14:paraId="6AECEE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41D7FD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37E734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513B103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36.260</w:t>
            </w:r>
          </w:p>
        </w:tc>
        <w:tc>
          <w:tcPr>
            <w:tcW w:w="945" w:type="dxa"/>
            <w:tcBorders>
              <w:tl2br w:val="nil"/>
              <w:tr2bl w:val="nil"/>
            </w:tcBorders>
            <w:shd w:val="clear" w:color="auto" w:fill="auto"/>
            <w:vAlign w:val="center"/>
          </w:tcPr>
          <w:p w14:paraId="2BB365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29.008</w:t>
            </w:r>
          </w:p>
        </w:tc>
        <w:tc>
          <w:tcPr>
            <w:tcW w:w="1095" w:type="dxa"/>
            <w:tcBorders>
              <w:tl2br w:val="nil"/>
              <w:tr2bl w:val="nil"/>
            </w:tcBorders>
            <w:shd w:val="clear" w:color="auto" w:fill="auto"/>
            <w:vAlign w:val="center"/>
          </w:tcPr>
          <w:p w14:paraId="199715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7362D5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洗槽水每天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2A98D5B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vAlign w:val="center"/>
          </w:tcPr>
          <w:p w14:paraId="2E54AC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95" w:type="dxa"/>
            <w:tcBorders>
              <w:tl2br w:val="nil"/>
              <w:tr2bl w:val="nil"/>
            </w:tcBorders>
            <w:shd w:val="clear" w:color="auto" w:fill="auto"/>
            <w:vAlign w:val="center"/>
          </w:tcPr>
          <w:p w14:paraId="1CAFBF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纯水热浸洗槽</w:t>
            </w:r>
          </w:p>
        </w:tc>
        <w:tc>
          <w:tcPr>
            <w:tcW w:w="855" w:type="dxa"/>
            <w:tcBorders>
              <w:tl2br w:val="nil"/>
              <w:tr2bl w:val="nil"/>
            </w:tcBorders>
            <w:shd w:val="clear" w:color="auto" w:fill="auto"/>
            <w:vAlign w:val="center"/>
          </w:tcPr>
          <w:p w14:paraId="3AFE89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085" w:type="dxa"/>
            <w:tcBorders>
              <w:tl2br w:val="nil"/>
              <w:tr2bl w:val="nil"/>
            </w:tcBorders>
            <w:shd w:val="clear" w:color="auto" w:fill="auto"/>
            <w:vAlign w:val="center"/>
          </w:tcPr>
          <w:p w14:paraId="651BF4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L1200*W550*H450</w:t>
            </w:r>
          </w:p>
        </w:tc>
        <w:tc>
          <w:tcPr>
            <w:tcW w:w="780" w:type="dxa"/>
            <w:tcBorders>
              <w:tl2br w:val="nil"/>
              <w:tr2bl w:val="nil"/>
            </w:tcBorders>
            <w:shd w:val="clear" w:color="auto" w:fill="auto"/>
            <w:vAlign w:val="center"/>
          </w:tcPr>
          <w:p w14:paraId="35FB063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16" w:type="dxa"/>
            <w:tcBorders>
              <w:tl2br w:val="nil"/>
              <w:tr2bl w:val="nil"/>
            </w:tcBorders>
            <w:shd w:val="clear" w:color="auto" w:fill="auto"/>
            <w:vAlign w:val="center"/>
          </w:tcPr>
          <w:p w14:paraId="3675EC5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ascii="Times New Roman" w:hAnsi="Times New Roman" w:cs="Times New Roman"/>
                <w:i w:val="0"/>
                <w:iCs w:val="0"/>
                <w:color w:val="000000"/>
                <w:kern w:val="0"/>
                <w:sz w:val="21"/>
                <w:szCs w:val="21"/>
                <w:highlight w:val="none"/>
                <w:u w:val="none"/>
                <w:lang w:val="en-US" w:eastAsia="zh-CN" w:bidi="ar"/>
              </w:rPr>
              <w:t>1.782</w:t>
            </w:r>
          </w:p>
        </w:tc>
        <w:tc>
          <w:tcPr>
            <w:tcW w:w="654" w:type="dxa"/>
            <w:tcBorders>
              <w:tl2br w:val="nil"/>
              <w:tr2bl w:val="nil"/>
            </w:tcBorders>
            <w:shd w:val="clear" w:color="auto" w:fill="auto"/>
            <w:vAlign w:val="center"/>
          </w:tcPr>
          <w:p w14:paraId="6BF961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200" w:type="dxa"/>
            <w:tcBorders>
              <w:tl2br w:val="nil"/>
              <w:tr2bl w:val="nil"/>
            </w:tcBorders>
            <w:shd w:val="clear" w:color="auto" w:fill="auto"/>
            <w:vAlign w:val="center"/>
          </w:tcPr>
          <w:p w14:paraId="3E16606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连续溢流</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定期更换</w:t>
            </w:r>
          </w:p>
        </w:tc>
        <w:tc>
          <w:tcPr>
            <w:tcW w:w="825" w:type="dxa"/>
            <w:tcBorders>
              <w:tl2br w:val="nil"/>
              <w:tr2bl w:val="nil"/>
            </w:tcBorders>
            <w:shd w:val="clear" w:color="auto" w:fill="auto"/>
            <w:vAlign w:val="center"/>
          </w:tcPr>
          <w:p w14:paraId="10B9A5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eastAsia" w:cs="Times New Roman"/>
                <w:i w:val="0"/>
                <w:iCs w:val="0"/>
                <w:color w:val="000000"/>
                <w:kern w:val="0"/>
                <w:sz w:val="21"/>
                <w:szCs w:val="21"/>
                <w:highlight w:val="none"/>
                <w:u w:val="none"/>
                <w:lang w:val="en-US" w:eastAsia="zh-CN" w:bidi="ar"/>
              </w:rPr>
              <w:t>0.2</w:t>
            </w:r>
          </w:p>
        </w:tc>
        <w:tc>
          <w:tcPr>
            <w:tcW w:w="1005" w:type="dxa"/>
            <w:tcBorders>
              <w:tl2br w:val="nil"/>
              <w:tr2bl w:val="nil"/>
            </w:tcBorders>
            <w:shd w:val="clear" w:color="auto" w:fill="auto"/>
            <w:vAlign w:val="center"/>
          </w:tcPr>
          <w:p w14:paraId="47A944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36.260</w:t>
            </w:r>
          </w:p>
        </w:tc>
        <w:tc>
          <w:tcPr>
            <w:tcW w:w="945" w:type="dxa"/>
            <w:tcBorders>
              <w:tl2br w:val="nil"/>
              <w:tr2bl w:val="nil"/>
            </w:tcBorders>
            <w:shd w:val="clear" w:color="auto" w:fill="auto"/>
            <w:vAlign w:val="center"/>
          </w:tcPr>
          <w:p w14:paraId="07D52C2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highlight w:val="none"/>
                <w:u w:val="none"/>
              </w:rPr>
            </w:pPr>
            <w:r>
              <w:rPr>
                <w:rFonts w:hint="eastAsia" w:cs="Times New Roman"/>
                <w:i w:val="0"/>
                <w:iCs w:val="0"/>
                <w:color w:val="000000"/>
                <w:kern w:val="0"/>
                <w:sz w:val="21"/>
                <w:szCs w:val="21"/>
                <w:highlight w:val="none"/>
                <w:u w:val="none"/>
                <w:lang w:val="en-US" w:eastAsia="zh-CN" w:bidi="ar"/>
              </w:rPr>
              <w:t>29.008</w:t>
            </w:r>
          </w:p>
        </w:tc>
        <w:tc>
          <w:tcPr>
            <w:tcW w:w="1095" w:type="dxa"/>
            <w:tcBorders>
              <w:tl2br w:val="nil"/>
              <w:tr2bl w:val="nil"/>
            </w:tcBorders>
            <w:shd w:val="clear" w:color="auto" w:fill="auto"/>
            <w:vAlign w:val="center"/>
          </w:tcPr>
          <w:p w14:paraId="5A1777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含镍废水</w:t>
            </w:r>
          </w:p>
        </w:tc>
        <w:tc>
          <w:tcPr>
            <w:tcW w:w="1518" w:type="dxa"/>
            <w:tcBorders>
              <w:tl2br w:val="nil"/>
              <w:tr2bl w:val="nil"/>
            </w:tcBorders>
            <w:shd w:val="clear" w:color="auto" w:fill="auto"/>
            <w:vAlign w:val="center"/>
          </w:tcPr>
          <w:p w14:paraId="28F38F5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连续排放</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洗槽水每天</w:t>
            </w:r>
            <w:r>
              <w:rPr>
                <w:rFonts w:hint="default" w:ascii="Times New Roman" w:hAnsi="Times New Roman" w:eastAsia="宋体" w:cs="Times New Roman"/>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1"/>
                <w:szCs w:val="21"/>
                <w:highlight w:val="none"/>
                <w:u w:val="none"/>
                <w:lang w:val="en-US" w:eastAsia="zh-CN" w:bidi="ar"/>
              </w:rPr>
              <w:t>次</w:t>
            </w:r>
          </w:p>
        </w:tc>
      </w:tr>
      <w:tr w14:paraId="653637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1" w:type="dxa"/>
            <w:vMerge w:val="continue"/>
            <w:tcBorders>
              <w:tl2br w:val="nil"/>
              <w:tr2bl w:val="nil"/>
            </w:tcBorders>
            <w:shd w:val="clear" w:color="auto" w:fill="auto"/>
            <w:noWrap/>
            <w:vAlign w:val="center"/>
          </w:tcPr>
          <w:p w14:paraId="22092FA6">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rPr>
            </w:pPr>
          </w:p>
        </w:tc>
        <w:tc>
          <w:tcPr>
            <w:tcW w:w="1695" w:type="dxa"/>
            <w:tcBorders>
              <w:tl2br w:val="nil"/>
              <w:tr2bl w:val="nil"/>
            </w:tcBorders>
            <w:shd w:val="clear" w:color="auto" w:fill="auto"/>
            <w:noWrap/>
            <w:vAlign w:val="center"/>
          </w:tcPr>
          <w:p w14:paraId="13883EF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1"/>
                <w:szCs w:val="21"/>
                <w:u w:val="none"/>
                <w:lang w:val="en-US" w:eastAsia="zh-CN" w:bidi="ar"/>
              </w:rPr>
              <w:t>合计</w:t>
            </w:r>
          </w:p>
        </w:tc>
        <w:tc>
          <w:tcPr>
            <w:tcW w:w="855" w:type="dxa"/>
            <w:tcBorders>
              <w:tl2br w:val="nil"/>
              <w:tr2bl w:val="nil"/>
            </w:tcBorders>
            <w:shd w:val="clear" w:color="auto" w:fill="auto"/>
            <w:noWrap/>
            <w:vAlign w:val="center"/>
          </w:tcPr>
          <w:p w14:paraId="454E519F">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2085" w:type="dxa"/>
            <w:tcBorders>
              <w:tl2br w:val="nil"/>
              <w:tr2bl w:val="nil"/>
            </w:tcBorders>
            <w:shd w:val="clear" w:color="auto" w:fill="auto"/>
            <w:noWrap/>
            <w:vAlign w:val="center"/>
          </w:tcPr>
          <w:p w14:paraId="0A24669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780" w:type="dxa"/>
            <w:tcBorders>
              <w:tl2br w:val="nil"/>
              <w:tr2bl w:val="nil"/>
            </w:tcBorders>
            <w:shd w:val="clear" w:color="auto" w:fill="auto"/>
            <w:noWrap/>
            <w:vAlign w:val="center"/>
          </w:tcPr>
          <w:p w14:paraId="6B8B0F96">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816" w:type="dxa"/>
            <w:tcBorders>
              <w:tl2br w:val="nil"/>
              <w:tr2bl w:val="nil"/>
            </w:tcBorders>
            <w:shd w:val="clear" w:color="auto" w:fill="auto"/>
            <w:noWrap/>
            <w:vAlign w:val="center"/>
          </w:tcPr>
          <w:p w14:paraId="7647991E">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654" w:type="dxa"/>
            <w:tcBorders>
              <w:tl2br w:val="nil"/>
              <w:tr2bl w:val="nil"/>
            </w:tcBorders>
            <w:shd w:val="clear" w:color="auto" w:fill="auto"/>
            <w:noWrap/>
            <w:vAlign w:val="center"/>
          </w:tcPr>
          <w:p w14:paraId="0C1C880A">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highlight w:val="none"/>
                <w:u w:val="none"/>
                <w:lang w:val="en-US" w:eastAsia="zh-CN"/>
              </w:rPr>
              <w:t>/</w:t>
            </w:r>
          </w:p>
        </w:tc>
        <w:tc>
          <w:tcPr>
            <w:tcW w:w="1200" w:type="dxa"/>
            <w:tcBorders>
              <w:tl2br w:val="nil"/>
              <w:tr2bl w:val="nil"/>
            </w:tcBorders>
            <w:shd w:val="clear" w:color="auto" w:fill="auto"/>
            <w:noWrap/>
            <w:vAlign w:val="center"/>
          </w:tcPr>
          <w:p w14:paraId="1548EBF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825" w:type="dxa"/>
            <w:tcBorders>
              <w:tl2br w:val="nil"/>
              <w:tr2bl w:val="nil"/>
            </w:tcBorders>
            <w:shd w:val="clear" w:color="auto" w:fill="auto"/>
            <w:noWrap/>
            <w:vAlign w:val="center"/>
          </w:tcPr>
          <w:p w14:paraId="18AFD5B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w:t>
            </w:r>
          </w:p>
        </w:tc>
        <w:tc>
          <w:tcPr>
            <w:tcW w:w="1005" w:type="dxa"/>
            <w:tcBorders>
              <w:tl2br w:val="nil"/>
              <w:tr2bl w:val="nil"/>
            </w:tcBorders>
            <w:shd w:val="clear" w:color="auto" w:fill="auto"/>
            <w:noWrap/>
            <w:vAlign w:val="center"/>
          </w:tcPr>
          <w:p w14:paraId="75DCC9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118.886</w:t>
            </w:r>
          </w:p>
        </w:tc>
        <w:tc>
          <w:tcPr>
            <w:tcW w:w="945" w:type="dxa"/>
            <w:tcBorders>
              <w:tl2br w:val="nil"/>
              <w:tr2bl w:val="nil"/>
            </w:tcBorders>
            <w:shd w:val="clear" w:color="auto" w:fill="auto"/>
            <w:noWrap/>
            <w:vAlign w:val="center"/>
          </w:tcPr>
          <w:p w14:paraId="38217C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93.289</w:t>
            </w:r>
          </w:p>
        </w:tc>
        <w:tc>
          <w:tcPr>
            <w:tcW w:w="1095" w:type="dxa"/>
            <w:tcBorders>
              <w:tl2br w:val="nil"/>
              <w:tr2bl w:val="nil"/>
            </w:tcBorders>
            <w:shd w:val="clear" w:color="auto" w:fill="auto"/>
            <w:noWrap/>
            <w:vAlign w:val="center"/>
          </w:tcPr>
          <w:p w14:paraId="25CAA4DC">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highlight w:val="none"/>
                <w:u w:val="none"/>
                <w:lang w:val="en-US" w:eastAsia="zh-CN"/>
              </w:rPr>
            </w:pPr>
            <w:r>
              <w:rPr>
                <w:rFonts w:hint="eastAsia" w:ascii="宋体" w:hAnsi="宋体" w:eastAsia="宋体" w:cs="宋体"/>
                <w:i w:val="0"/>
                <w:iCs w:val="0"/>
                <w:color w:val="000000"/>
                <w:sz w:val="22"/>
                <w:szCs w:val="22"/>
                <w:highlight w:val="none"/>
                <w:u w:val="none"/>
                <w:lang w:val="en-US" w:eastAsia="zh-CN"/>
              </w:rPr>
              <w:t>/</w:t>
            </w:r>
          </w:p>
        </w:tc>
        <w:tc>
          <w:tcPr>
            <w:tcW w:w="1518" w:type="dxa"/>
            <w:tcBorders>
              <w:tl2br w:val="nil"/>
              <w:tr2bl w:val="nil"/>
            </w:tcBorders>
            <w:shd w:val="clear" w:color="auto" w:fill="auto"/>
            <w:noWrap/>
            <w:vAlign w:val="center"/>
          </w:tcPr>
          <w:p w14:paraId="78E5D34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r>
      <w:tr w14:paraId="26595F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586" w:type="dxa"/>
            <w:gridSpan w:val="7"/>
            <w:tcBorders>
              <w:tl2br w:val="nil"/>
              <w:tr2bl w:val="nil"/>
            </w:tcBorders>
            <w:shd w:val="clear" w:color="auto" w:fill="auto"/>
            <w:noWrap/>
            <w:vAlign w:val="center"/>
          </w:tcPr>
          <w:p w14:paraId="79ACAE8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碱喷淋吸收塔</w:t>
            </w:r>
          </w:p>
        </w:tc>
        <w:tc>
          <w:tcPr>
            <w:tcW w:w="1200" w:type="dxa"/>
            <w:tcBorders>
              <w:tl2br w:val="nil"/>
              <w:tr2bl w:val="nil"/>
            </w:tcBorders>
            <w:shd w:val="clear" w:color="auto" w:fill="auto"/>
            <w:noWrap/>
            <w:vAlign w:val="center"/>
          </w:tcPr>
          <w:p w14:paraId="7F6C7BB9">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noWrap/>
            <w:vAlign w:val="center"/>
          </w:tcPr>
          <w:p w14:paraId="19DCE37C">
            <w:pPr>
              <w:keepNext w:val="0"/>
              <w:keepLines w:val="0"/>
              <w:pageBreakBefore w:val="0"/>
              <w:widowControl/>
              <w:kinsoku/>
              <w:wordWrap/>
              <w:overflowPunct/>
              <w:topLinePunct w:val="0"/>
              <w:autoSpaceDE/>
              <w:autoSpaceDN/>
              <w:bidi w:val="0"/>
              <w:adjustRightInd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highlight w:val="none"/>
                <w:u w:val="none"/>
                <w:lang w:val="en-US" w:eastAsia="zh-CN"/>
              </w:rPr>
              <w:t>/</w:t>
            </w:r>
          </w:p>
        </w:tc>
        <w:tc>
          <w:tcPr>
            <w:tcW w:w="1005" w:type="dxa"/>
            <w:tcBorders>
              <w:tl2br w:val="nil"/>
              <w:tr2bl w:val="nil"/>
            </w:tcBorders>
            <w:shd w:val="clear" w:color="auto" w:fill="auto"/>
            <w:noWrap/>
            <w:vAlign w:val="center"/>
          </w:tcPr>
          <w:p w14:paraId="13FAF501">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0.2</w:t>
            </w:r>
          </w:p>
        </w:tc>
        <w:tc>
          <w:tcPr>
            <w:tcW w:w="945" w:type="dxa"/>
            <w:tcBorders>
              <w:tl2br w:val="nil"/>
              <w:tr2bl w:val="nil"/>
            </w:tcBorders>
            <w:shd w:val="clear" w:color="auto" w:fill="auto"/>
            <w:noWrap/>
            <w:vAlign w:val="center"/>
          </w:tcPr>
          <w:p w14:paraId="79946153">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每天</w:t>
            </w:r>
          </w:p>
          <w:p w14:paraId="24D5AB36">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一次</w:t>
            </w:r>
          </w:p>
        </w:tc>
        <w:tc>
          <w:tcPr>
            <w:tcW w:w="1095" w:type="dxa"/>
            <w:tcBorders>
              <w:tl2br w:val="nil"/>
              <w:tr2bl w:val="nil"/>
            </w:tcBorders>
            <w:shd w:val="clear" w:color="auto" w:fill="auto"/>
            <w:noWrap/>
            <w:vAlign w:val="center"/>
          </w:tcPr>
          <w:p w14:paraId="2B1848B9">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0.14</w:t>
            </w:r>
          </w:p>
        </w:tc>
        <w:tc>
          <w:tcPr>
            <w:tcW w:w="1518" w:type="dxa"/>
            <w:tcBorders>
              <w:tl2br w:val="nil"/>
              <w:tr2bl w:val="nil"/>
            </w:tcBorders>
            <w:shd w:val="clear" w:color="auto" w:fill="auto"/>
            <w:noWrap/>
            <w:vAlign w:val="center"/>
          </w:tcPr>
          <w:p w14:paraId="2E547542">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r>
      <w:tr w14:paraId="4D66FF3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586" w:type="dxa"/>
            <w:gridSpan w:val="7"/>
            <w:tcBorders>
              <w:tl2br w:val="nil"/>
              <w:tr2bl w:val="nil"/>
            </w:tcBorders>
            <w:shd w:val="clear" w:color="auto" w:fill="auto"/>
            <w:noWrap/>
            <w:vAlign w:val="center"/>
          </w:tcPr>
          <w:p w14:paraId="35FCB904">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车间地面清洗</w:t>
            </w:r>
          </w:p>
        </w:tc>
        <w:tc>
          <w:tcPr>
            <w:tcW w:w="1200" w:type="dxa"/>
            <w:tcBorders>
              <w:tl2br w:val="nil"/>
              <w:tr2bl w:val="nil"/>
            </w:tcBorders>
            <w:shd w:val="clear" w:color="auto" w:fill="auto"/>
            <w:noWrap/>
            <w:vAlign w:val="center"/>
          </w:tcPr>
          <w:p w14:paraId="62DD33C4">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25" w:type="dxa"/>
            <w:tcBorders>
              <w:tl2br w:val="nil"/>
              <w:tr2bl w:val="nil"/>
            </w:tcBorders>
            <w:shd w:val="clear" w:color="auto" w:fill="auto"/>
            <w:noWrap/>
            <w:vAlign w:val="center"/>
          </w:tcPr>
          <w:p w14:paraId="3C90D5DD">
            <w:pPr>
              <w:keepNext w:val="0"/>
              <w:keepLines w:val="0"/>
              <w:pageBreakBefore w:val="0"/>
              <w:widowControl/>
              <w:kinsoku/>
              <w:wordWrap/>
              <w:overflowPunct/>
              <w:topLinePunct w:val="0"/>
              <w:autoSpaceDE/>
              <w:autoSpaceDN/>
              <w:bidi w:val="0"/>
              <w:adjustRightInd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highlight w:val="none"/>
                <w:u w:val="none"/>
                <w:lang w:val="en-US" w:eastAsia="zh-CN"/>
              </w:rPr>
              <w:t>/</w:t>
            </w:r>
          </w:p>
        </w:tc>
        <w:tc>
          <w:tcPr>
            <w:tcW w:w="1005" w:type="dxa"/>
            <w:tcBorders>
              <w:tl2br w:val="nil"/>
              <w:tr2bl w:val="nil"/>
            </w:tcBorders>
            <w:shd w:val="clear" w:color="auto" w:fill="auto"/>
            <w:noWrap/>
            <w:vAlign w:val="center"/>
          </w:tcPr>
          <w:p w14:paraId="24CB52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2.5</w:t>
            </w:r>
          </w:p>
        </w:tc>
        <w:tc>
          <w:tcPr>
            <w:tcW w:w="945" w:type="dxa"/>
            <w:tcBorders>
              <w:tl2br w:val="nil"/>
              <w:tr2bl w:val="nil"/>
            </w:tcBorders>
            <w:shd w:val="clear" w:color="auto" w:fill="auto"/>
            <w:noWrap/>
            <w:vAlign w:val="center"/>
          </w:tcPr>
          <w:p w14:paraId="513485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每天</w:t>
            </w:r>
          </w:p>
          <w:p w14:paraId="0CD0F60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一次</w:t>
            </w:r>
          </w:p>
        </w:tc>
        <w:tc>
          <w:tcPr>
            <w:tcW w:w="1095" w:type="dxa"/>
            <w:tcBorders>
              <w:tl2br w:val="nil"/>
              <w:tr2bl w:val="nil"/>
            </w:tcBorders>
            <w:shd w:val="clear" w:color="auto" w:fill="auto"/>
            <w:noWrap/>
            <w:vAlign w:val="center"/>
          </w:tcPr>
          <w:p w14:paraId="1E5D80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w:t>
            </w:r>
          </w:p>
        </w:tc>
        <w:tc>
          <w:tcPr>
            <w:tcW w:w="1518" w:type="dxa"/>
            <w:tcBorders>
              <w:tl2br w:val="nil"/>
              <w:tr2bl w:val="nil"/>
            </w:tcBorders>
            <w:shd w:val="clear" w:color="auto" w:fill="auto"/>
            <w:noWrap/>
            <w:vAlign w:val="center"/>
          </w:tcPr>
          <w:p w14:paraId="3F4B9E8F">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r>
      <w:tr w14:paraId="2EAC076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586" w:type="dxa"/>
            <w:gridSpan w:val="7"/>
            <w:tcBorders>
              <w:tl2br w:val="nil"/>
              <w:tr2bl w:val="nil"/>
            </w:tcBorders>
            <w:shd w:val="clear" w:color="auto" w:fill="auto"/>
            <w:noWrap/>
            <w:vAlign w:val="center"/>
          </w:tcPr>
          <w:p w14:paraId="578B25BC">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冲压冷凝水</w:t>
            </w:r>
          </w:p>
        </w:tc>
        <w:tc>
          <w:tcPr>
            <w:tcW w:w="1200" w:type="dxa"/>
            <w:tcBorders>
              <w:tl2br w:val="nil"/>
              <w:tr2bl w:val="nil"/>
            </w:tcBorders>
            <w:shd w:val="clear" w:color="auto" w:fill="auto"/>
            <w:noWrap/>
            <w:vAlign w:val="center"/>
          </w:tcPr>
          <w:p w14:paraId="0EA966F9">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定期更换</w:t>
            </w:r>
          </w:p>
        </w:tc>
        <w:tc>
          <w:tcPr>
            <w:tcW w:w="825" w:type="dxa"/>
            <w:tcBorders>
              <w:tl2br w:val="nil"/>
              <w:tr2bl w:val="nil"/>
            </w:tcBorders>
            <w:shd w:val="clear" w:color="auto" w:fill="auto"/>
            <w:noWrap/>
            <w:vAlign w:val="center"/>
          </w:tcPr>
          <w:p w14:paraId="669CB009">
            <w:pPr>
              <w:keepNext w:val="0"/>
              <w:keepLines w:val="0"/>
              <w:pageBreakBefore w:val="0"/>
              <w:widowControl/>
              <w:kinsoku/>
              <w:wordWrap/>
              <w:overflowPunct/>
              <w:topLinePunct w:val="0"/>
              <w:autoSpaceDE/>
              <w:autoSpaceDN/>
              <w:bidi w:val="0"/>
              <w:adjustRightInd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highlight w:val="none"/>
                <w:u w:val="none"/>
                <w:lang w:val="en-US" w:eastAsia="zh-CN"/>
              </w:rPr>
              <w:t>/</w:t>
            </w:r>
          </w:p>
        </w:tc>
        <w:tc>
          <w:tcPr>
            <w:tcW w:w="1005" w:type="dxa"/>
            <w:tcBorders>
              <w:tl2br w:val="nil"/>
              <w:tr2bl w:val="nil"/>
            </w:tcBorders>
            <w:shd w:val="clear" w:color="auto" w:fill="auto"/>
            <w:noWrap/>
            <w:vAlign w:val="center"/>
          </w:tcPr>
          <w:p w14:paraId="107EA3F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w:t>
            </w:r>
          </w:p>
        </w:tc>
        <w:tc>
          <w:tcPr>
            <w:tcW w:w="945" w:type="dxa"/>
            <w:tcBorders>
              <w:tl2br w:val="nil"/>
              <w:tr2bl w:val="nil"/>
            </w:tcBorders>
            <w:shd w:val="clear" w:color="auto" w:fill="auto"/>
            <w:noWrap/>
            <w:vAlign w:val="center"/>
          </w:tcPr>
          <w:p w14:paraId="61A1C8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1095" w:type="dxa"/>
            <w:tcBorders>
              <w:tl2br w:val="nil"/>
              <w:tr2bl w:val="nil"/>
            </w:tcBorders>
            <w:shd w:val="clear" w:color="auto" w:fill="auto"/>
            <w:noWrap/>
            <w:vAlign w:val="center"/>
          </w:tcPr>
          <w:p w14:paraId="01AD1F4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w:t>
            </w:r>
          </w:p>
        </w:tc>
        <w:tc>
          <w:tcPr>
            <w:tcW w:w="1518" w:type="dxa"/>
            <w:tcBorders>
              <w:tl2br w:val="nil"/>
              <w:tr2bl w:val="nil"/>
            </w:tcBorders>
            <w:shd w:val="clear" w:color="auto" w:fill="auto"/>
            <w:noWrap/>
            <w:vAlign w:val="center"/>
          </w:tcPr>
          <w:p w14:paraId="6866E30F">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r>
      <w:tr w14:paraId="2AE538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586" w:type="dxa"/>
            <w:gridSpan w:val="7"/>
            <w:tcBorders>
              <w:tl2br w:val="nil"/>
              <w:tr2bl w:val="nil"/>
            </w:tcBorders>
            <w:shd w:val="clear" w:color="auto" w:fill="auto"/>
            <w:noWrap/>
            <w:vAlign w:val="center"/>
          </w:tcPr>
          <w:p w14:paraId="00124AA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生活污水</w:t>
            </w:r>
          </w:p>
        </w:tc>
        <w:tc>
          <w:tcPr>
            <w:tcW w:w="1200" w:type="dxa"/>
            <w:tcBorders>
              <w:tl2br w:val="nil"/>
              <w:tr2bl w:val="nil"/>
            </w:tcBorders>
            <w:shd w:val="clear" w:color="auto" w:fill="auto"/>
            <w:noWrap/>
            <w:vAlign w:val="center"/>
          </w:tcPr>
          <w:p w14:paraId="397DC1DD">
            <w:pPr>
              <w:keepNext w:val="0"/>
              <w:keepLines w:val="0"/>
              <w:pageBreakBefore w:val="0"/>
              <w:widowControl/>
              <w:kinsoku/>
              <w:wordWrap/>
              <w:overflowPunct/>
              <w:topLinePunct w:val="0"/>
              <w:autoSpaceDE/>
              <w:autoSpaceDN/>
              <w:bidi w:val="0"/>
              <w:snapToGrid/>
              <w:spacing w:line="240" w:lineRule="auto"/>
              <w:ind w:firstLine="0" w:firstLineChars="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25" w:type="dxa"/>
            <w:tcBorders>
              <w:tl2br w:val="nil"/>
              <w:tr2bl w:val="nil"/>
            </w:tcBorders>
            <w:shd w:val="clear" w:color="auto" w:fill="auto"/>
            <w:noWrap/>
            <w:vAlign w:val="center"/>
          </w:tcPr>
          <w:p w14:paraId="728BED12">
            <w:pPr>
              <w:keepNext w:val="0"/>
              <w:keepLines w:val="0"/>
              <w:pageBreakBefore w:val="0"/>
              <w:widowControl/>
              <w:kinsoku/>
              <w:wordWrap/>
              <w:overflowPunct/>
              <w:topLinePunct w:val="0"/>
              <w:autoSpaceDE/>
              <w:autoSpaceDN/>
              <w:bidi w:val="0"/>
              <w:adjustRightInd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highlight w:val="none"/>
                <w:u w:val="none"/>
                <w:lang w:val="en-US" w:eastAsia="zh-CN"/>
              </w:rPr>
              <w:t>/</w:t>
            </w:r>
          </w:p>
        </w:tc>
        <w:tc>
          <w:tcPr>
            <w:tcW w:w="1005" w:type="dxa"/>
            <w:tcBorders>
              <w:tl2br w:val="nil"/>
              <w:tr2bl w:val="nil"/>
            </w:tcBorders>
            <w:shd w:val="clear" w:color="auto" w:fill="auto"/>
            <w:noWrap/>
            <w:vAlign w:val="center"/>
          </w:tcPr>
          <w:p w14:paraId="43E656F5">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1.1</w:t>
            </w:r>
          </w:p>
        </w:tc>
        <w:tc>
          <w:tcPr>
            <w:tcW w:w="945" w:type="dxa"/>
            <w:tcBorders>
              <w:tl2br w:val="nil"/>
              <w:tr2bl w:val="nil"/>
            </w:tcBorders>
            <w:shd w:val="clear" w:color="auto" w:fill="auto"/>
            <w:noWrap/>
            <w:vAlign w:val="center"/>
          </w:tcPr>
          <w:p w14:paraId="44CC4428">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w:t>
            </w:r>
          </w:p>
        </w:tc>
        <w:tc>
          <w:tcPr>
            <w:tcW w:w="1095" w:type="dxa"/>
            <w:tcBorders>
              <w:tl2br w:val="nil"/>
              <w:tr2bl w:val="nil"/>
            </w:tcBorders>
            <w:shd w:val="clear" w:color="auto" w:fill="auto"/>
            <w:noWrap/>
            <w:vAlign w:val="center"/>
          </w:tcPr>
          <w:p w14:paraId="5ED9D8FB">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0.88</w:t>
            </w:r>
          </w:p>
        </w:tc>
        <w:tc>
          <w:tcPr>
            <w:tcW w:w="1518" w:type="dxa"/>
            <w:tcBorders>
              <w:tl2br w:val="nil"/>
              <w:tr2bl w:val="nil"/>
            </w:tcBorders>
            <w:shd w:val="clear" w:color="auto" w:fill="auto"/>
            <w:noWrap/>
            <w:vAlign w:val="center"/>
          </w:tcPr>
          <w:p w14:paraId="23446D5C">
            <w:pPr>
              <w:keepNext w:val="0"/>
              <w:keepLines w:val="0"/>
              <w:pageBreakBefore w:val="0"/>
              <w:widowControl/>
              <w:kinsoku/>
              <w:wordWrap/>
              <w:overflowPunct/>
              <w:topLinePunct w:val="0"/>
              <w:autoSpaceDE/>
              <w:autoSpaceDN/>
              <w:bidi w:val="0"/>
              <w:snapToGrid/>
              <w:spacing w:line="240" w:lineRule="auto"/>
              <w:ind w:firstLine="0" w:firstLineChars="0"/>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r>
    </w:tbl>
    <w:p w14:paraId="659991B9">
      <w:pPr>
        <w:pStyle w:val="13"/>
        <w:spacing w:line="240" w:lineRule="auto"/>
        <w:ind w:left="0" w:leftChars="0" w:firstLine="0" w:firstLineChars="0"/>
        <w:rPr>
          <w:rFonts w:hint="default" w:ascii="Times New Roman" w:hAnsi="Times New Roman" w:eastAsia="宋体" w:cs="Times New Roman"/>
          <w:b/>
          <w:bCs w:val="0"/>
        </w:rPr>
      </w:pPr>
      <w:r>
        <w:rPr>
          <w:rFonts w:hint="default" w:ascii="Times New Roman" w:hAnsi="Times New Roman" w:eastAsia="宋体" w:cs="Times New Roman"/>
          <w:b/>
          <w:bCs w:val="0"/>
        </w:rPr>
        <w:t>注：企业年工作</w:t>
      </w:r>
      <w:r>
        <w:rPr>
          <w:rFonts w:hint="eastAsia" w:cs="Times New Roman"/>
          <w:b/>
          <w:bCs w:val="0"/>
          <w:lang w:val="en-US" w:eastAsia="zh-CN"/>
        </w:rPr>
        <w:t>300</w:t>
      </w:r>
      <w:r>
        <w:rPr>
          <w:rFonts w:hint="default" w:ascii="Times New Roman" w:hAnsi="Times New Roman" w:eastAsia="宋体" w:cs="Times New Roman"/>
          <w:b/>
          <w:bCs w:val="0"/>
        </w:rPr>
        <w:t>天，月工作</w:t>
      </w:r>
      <w:r>
        <w:rPr>
          <w:rFonts w:hint="eastAsia" w:cs="Times New Roman"/>
          <w:b/>
          <w:bCs w:val="0"/>
          <w:lang w:val="en-US" w:eastAsia="zh-CN"/>
        </w:rPr>
        <w:t>25</w:t>
      </w:r>
      <w:r>
        <w:rPr>
          <w:rFonts w:hint="default" w:ascii="Times New Roman" w:hAnsi="Times New Roman" w:eastAsia="宋体" w:cs="Times New Roman"/>
          <w:b/>
          <w:bCs w:val="0"/>
        </w:rPr>
        <w:t>天，日工作24h，槽液按槽体积的</w:t>
      </w:r>
      <w:r>
        <w:rPr>
          <w:rFonts w:hint="eastAsia" w:cs="Times New Roman"/>
          <w:b/>
          <w:bCs w:val="0"/>
          <w:lang w:val="en-US" w:eastAsia="zh-CN"/>
        </w:rPr>
        <w:t>70</w:t>
      </w:r>
      <w:r>
        <w:rPr>
          <w:rFonts w:hint="default" w:ascii="Times New Roman" w:hAnsi="Times New Roman" w:eastAsia="宋体" w:cs="Times New Roman"/>
          <w:b/>
          <w:bCs w:val="0"/>
        </w:rPr>
        <w:t>%核算。</w:t>
      </w:r>
    </w:p>
    <w:p w14:paraId="0EAFFD75">
      <w:pPr>
        <w:spacing w:line="240" w:lineRule="auto"/>
        <w:ind w:firstLine="0" w:firstLineChars="0"/>
        <w:jc w:val="cente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pPr>
    </w:p>
    <w:p w14:paraId="61F309C2">
      <w:pPr>
        <w:spacing w:line="240" w:lineRule="auto"/>
        <w:ind w:firstLine="0" w:firstLineChars="0"/>
        <w:jc w:val="center"/>
        <w:rPr>
          <w:rFonts w:hint="eastAsia" w:eastAsia="宋体"/>
          <w:lang w:eastAsia="zh-CN"/>
        </w:rPr>
      </w:pPr>
      <w:r>
        <w:rPr>
          <w:sz w:val="24"/>
        </w:rPr>
        <mc:AlternateContent>
          <mc:Choice Requires="wpg">
            <w:drawing>
              <wp:anchor distT="0" distB="0" distL="114300" distR="114300" simplePos="0" relativeHeight="251706368" behindDoc="0" locked="0" layoutInCell="1" allowOverlap="1">
                <wp:simplePos x="0" y="0"/>
                <wp:positionH relativeFrom="column">
                  <wp:posOffset>-285115</wp:posOffset>
                </wp:positionH>
                <wp:positionV relativeFrom="paragraph">
                  <wp:posOffset>142875</wp:posOffset>
                </wp:positionV>
                <wp:extent cx="5881370" cy="8208010"/>
                <wp:effectExtent l="0" t="0" r="5080" b="2540"/>
                <wp:wrapNone/>
                <wp:docPr id="68" name="组合 68"/>
                <wp:cNvGraphicFramePr/>
                <a:graphic xmlns:a="http://schemas.openxmlformats.org/drawingml/2006/main">
                  <a:graphicData uri="http://schemas.microsoft.com/office/word/2010/wordprocessingGroup">
                    <wpg:wgp>
                      <wpg:cNvGrpSpPr/>
                      <wpg:grpSpPr>
                        <a:xfrm>
                          <a:off x="0" y="0"/>
                          <a:ext cx="5881370" cy="8208010"/>
                          <a:chOff x="3570" y="1894848"/>
                          <a:chExt cx="9262" cy="12926"/>
                        </a:xfrm>
                      </wpg:grpSpPr>
                      <pic:pic xmlns:pic="http://schemas.openxmlformats.org/drawingml/2006/picture">
                        <pic:nvPicPr>
                          <pic:cNvPr id="21" name="图片 21" descr="6c2eebd9-95cc-4ecc-b752-cde7a3a055a9"/>
                          <pic:cNvPicPr>
                            <a:picLocks noChangeAspect="1"/>
                          </pic:cNvPicPr>
                        </pic:nvPicPr>
                        <pic:blipFill>
                          <a:blip r:embed="rId26"/>
                          <a:stretch>
                            <a:fillRect/>
                          </a:stretch>
                        </pic:blipFill>
                        <pic:spPr>
                          <a:xfrm>
                            <a:off x="3570" y="1894848"/>
                            <a:ext cx="9262" cy="12926"/>
                          </a:xfrm>
                          <a:prstGeom prst="rect">
                            <a:avLst/>
                          </a:prstGeom>
                        </pic:spPr>
                      </pic:pic>
                      <wps:wsp>
                        <wps:cNvPr id="19" name="矩形 43"/>
                        <wps:cNvSpPr/>
                        <wps:spPr>
                          <a:xfrm>
                            <a:off x="8160" y="1905892"/>
                            <a:ext cx="974" cy="392"/>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C5FD69C">
                              <w:pPr>
                                <w:keepNext w:val="0"/>
                                <w:keepLines w:val="0"/>
                                <w:pageBreakBefore w:val="0"/>
                                <w:widowControl w:val="0"/>
                                <w:kinsoku/>
                                <w:wordWrap/>
                                <w:overflowPunct/>
                                <w:topLinePunct w:val="0"/>
                                <w:bidi w:val="0"/>
                                <w:adjustRightInd/>
                                <w:snapToGrid/>
                                <w:spacing w:line="200" w:lineRule="exact"/>
                                <w:ind w:left="0" w:leftChars="0" w:firstLine="0" w:firstLineChars="0"/>
                                <w:jc w:val="both"/>
                                <w:textAlignment w:val="auto"/>
                                <w:rPr>
                                  <w:rFonts w:hint="default" w:ascii="Times New Roman" w:hAnsi="Times New Roman" w:cs="Times New Roman" w:eastAsiaTheme="minorEastAsia"/>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135.757</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2.45pt;margin-top:11.25pt;height:646.3pt;width:463.1pt;z-index:251706368;mso-width-relative:page;mso-height-relative:page;" coordorigin="3570,1894848" coordsize="9262,12926" o:gfxdata="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">
                <o:lock v:ext="edit" aspectratio="f"/>
                <v:shape id="_x0000_s1026" o:spid="_x0000_s1026" o:spt="75" alt="6c2eebd9-95cc-4ecc-b752-cde7a3a055a9" type="#_x0000_t75" style="position:absolute;left:3570;top:1894848;height:12926;width:9262;" filled="f" o:preferrelative="t" stroked="f" coordsize="21600,21600" o:gfxdata="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Wr3eLsAAADb&#10;AAAADwAAAAAAAAABACAAAAAiAAAAZHJzL2Rvd25yZXYueG1sUEsBAhQAFAAAAAgAh07iQDMvBZ47&#10;AAAAOQAAABAAAAAAAAAAAQAgAAAACgEAAGRycy9zaGFwZXhtbC54bWxQSwUGAAAAAAYABgBbAQAA&#10;tAMAAAAA&#10;">
                  <v:fill on="f" focussize="0,0"/>
                  <v:stroke on="f"/>
                  <v:imagedata r:id="rId26" o:title=""/>
                  <o:lock v:ext="edit" aspectratio="t"/>
                </v:shape>
                <v:rect id="矩形 43" o:spid="_x0000_s1026" o:spt="1" style="position:absolute;left:8160;top:1905892;height:392;width:974;v-text-anchor:middle;" filled="f" stroked="f" coordsize="21600,21600" o:gfxdata="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0cg4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14:paraId="6C5FD69C">
                        <w:pPr>
                          <w:keepNext w:val="0"/>
                          <w:keepLines w:val="0"/>
                          <w:pageBreakBefore w:val="0"/>
                          <w:widowControl w:val="0"/>
                          <w:kinsoku/>
                          <w:wordWrap/>
                          <w:overflowPunct/>
                          <w:topLinePunct w:val="0"/>
                          <w:bidi w:val="0"/>
                          <w:adjustRightInd/>
                          <w:snapToGrid/>
                          <w:spacing w:line="200" w:lineRule="exact"/>
                          <w:ind w:left="0" w:leftChars="0" w:firstLine="0" w:firstLineChars="0"/>
                          <w:jc w:val="both"/>
                          <w:textAlignment w:val="auto"/>
                          <w:rPr>
                            <w:rFonts w:hint="default" w:ascii="Times New Roman" w:hAnsi="Times New Roman" w:cs="Times New Roman" w:eastAsiaTheme="minorEastAsia"/>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135.757</w:t>
                        </w:r>
                      </w:p>
                    </w:txbxContent>
                  </v:textbox>
                </v:rect>
              </v:group>
            </w:pict>
          </mc:Fallback>
        </mc:AlternateContent>
      </w:r>
    </w:p>
    <w:p w14:paraId="17637384">
      <w:pPr>
        <w:pStyle w:val="78"/>
        <w:rPr>
          <w:rFonts w:hint="eastAsia"/>
          <w:b/>
          <w:bCs w:val="0"/>
          <w:color w:val="000000" w:themeColor="text1"/>
          <w:highlight w:val="yellow"/>
          <w14:textFill>
            <w14:solidFill>
              <w14:schemeClr w14:val="tx1"/>
            </w14:solidFill>
          </w14:textFill>
        </w:rPr>
      </w:pPr>
    </w:p>
    <w:p w14:paraId="5692F736">
      <w:pPr>
        <w:pStyle w:val="78"/>
        <w:rPr>
          <w:rFonts w:hint="eastAsia"/>
          <w:b/>
          <w:bCs w:val="0"/>
          <w:color w:val="000000" w:themeColor="text1"/>
          <w:highlight w:val="yellow"/>
          <w14:textFill>
            <w14:solidFill>
              <w14:schemeClr w14:val="tx1"/>
            </w14:solidFill>
          </w14:textFill>
        </w:rPr>
      </w:pPr>
    </w:p>
    <w:p w14:paraId="7076A617">
      <w:pPr>
        <w:pStyle w:val="78"/>
        <w:rPr>
          <w:rFonts w:hint="eastAsia"/>
          <w:b/>
          <w:bCs w:val="0"/>
          <w:color w:val="000000" w:themeColor="text1"/>
          <w:highlight w:val="yellow"/>
          <w14:textFill>
            <w14:solidFill>
              <w14:schemeClr w14:val="tx1"/>
            </w14:solidFill>
          </w14:textFill>
        </w:rPr>
      </w:pPr>
    </w:p>
    <w:p w14:paraId="5ABB1129">
      <w:pPr>
        <w:pStyle w:val="78"/>
        <w:rPr>
          <w:rFonts w:hint="eastAsia"/>
          <w:b/>
          <w:bCs w:val="0"/>
          <w:color w:val="000000" w:themeColor="text1"/>
          <w:highlight w:val="yellow"/>
          <w14:textFill>
            <w14:solidFill>
              <w14:schemeClr w14:val="tx1"/>
            </w14:solidFill>
          </w14:textFill>
        </w:rPr>
      </w:pPr>
    </w:p>
    <w:p w14:paraId="4947A8C0">
      <w:pPr>
        <w:pStyle w:val="78"/>
        <w:rPr>
          <w:rFonts w:hint="eastAsia"/>
          <w:b/>
          <w:bCs w:val="0"/>
          <w:color w:val="000000" w:themeColor="text1"/>
          <w:highlight w:val="yellow"/>
          <w14:textFill>
            <w14:solidFill>
              <w14:schemeClr w14:val="tx1"/>
            </w14:solidFill>
          </w14:textFill>
        </w:rPr>
      </w:pPr>
    </w:p>
    <w:p w14:paraId="5A0775A5">
      <w:pPr>
        <w:pStyle w:val="78"/>
        <w:rPr>
          <w:rFonts w:hint="eastAsia"/>
          <w:b/>
          <w:bCs w:val="0"/>
          <w:color w:val="000000" w:themeColor="text1"/>
          <w:highlight w:val="yellow"/>
          <w14:textFill>
            <w14:solidFill>
              <w14:schemeClr w14:val="tx1"/>
            </w14:solidFill>
          </w14:textFill>
        </w:rPr>
      </w:pPr>
    </w:p>
    <w:p w14:paraId="71741D91">
      <w:pPr>
        <w:pStyle w:val="78"/>
        <w:rPr>
          <w:rFonts w:hint="eastAsia"/>
          <w:b/>
          <w:bCs w:val="0"/>
          <w:color w:val="000000" w:themeColor="text1"/>
          <w:highlight w:val="yellow"/>
          <w14:textFill>
            <w14:solidFill>
              <w14:schemeClr w14:val="tx1"/>
            </w14:solidFill>
          </w14:textFill>
        </w:rPr>
      </w:pPr>
    </w:p>
    <w:p w14:paraId="497B1943">
      <w:pPr>
        <w:pStyle w:val="78"/>
        <w:rPr>
          <w:rFonts w:hint="eastAsia"/>
          <w:b/>
          <w:bCs w:val="0"/>
          <w:color w:val="000000" w:themeColor="text1"/>
          <w:highlight w:val="yellow"/>
          <w14:textFill>
            <w14:solidFill>
              <w14:schemeClr w14:val="tx1"/>
            </w14:solidFill>
          </w14:textFill>
        </w:rPr>
      </w:pPr>
    </w:p>
    <w:p w14:paraId="15541C18">
      <w:pPr>
        <w:pStyle w:val="78"/>
        <w:rPr>
          <w:rFonts w:hint="eastAsia"/>
          <w:b/>
          <w:bCs w:val="0"/>
          <w:color w:val="000000" w:themeColor="text1"/>
          <w:highlight w:val="yellow"/>
          <w14:textFill>
            <w14:solidFill>
              <w14:schemeClr w14:val="tx1"/>
            </w14:solidFill>
          </w14:textFill>
        </w:rPr>
      </w:pPr>
    </w:p>
    <w:p w14:paraId="28CD3E89">
      <w:pPr>
        <w:pStyle w:val="78"/>
        <w:rPr>
          <w:rFonts w:hint="eastAsia"/>
          <w:b/>
          <w:bCs w:val="0"/>
          <w:color w:val="000000" w:themeColor="text1"/>
          <w:highlight w:val="yellow"/>
          <w14:textFill>
            <w14:solidFill>
              <w14:schemeClr w14:val="tx1"/>
            </w14:solidFill>
          </w14:textFill>
        </w:rPr>
      </w:pPr>
    </w:p>
    <w:p w14:paraId="2CF226AC">
      <w:pPr>
        <w:pStyle w:val="78"/>
        <w:rPr>
          <w:rFonts w:hint="eastAsia"/>
          <w:b/>
          <w:bCs w:val="0"/>
          <w:color w:val="000000" w:themeColor="text1"/>
          <w:highlight w:val="yellow"/>
          <w14:textFill>
            <w14:solidFill>
              <w14:schemeClr w14:val="tx1"/>
            </w14:solidFill>
          </w14:textFill>
        </w:rPr>
      </w:pPr>
    </w:p>
    <w:p w14:paraId="73EC0016">
      <w:pPr>
        <w:pStyle w:val="78"/>
        <w:rPr>
          <w:rFonts w:hint="eastAsia"/>
          <w:b/>
          <w:bCs w:val="0"/>
          <w:color w:val="000000" w:themeColor="text1"/>
          <w:highlight w:val="yellow"/>
          <w14:textFill>
            <w14:solidFill>
              <w14:schemeClr w14:val="tx1"/>
            </w14:solidFill>
          </w14:textFill>
        </w:rPr>
      </w:pPr>
    </w:p>
    <w:p w14:paraId="034E4CE0">
      <w:pPr>
        <w:pStyle w:val="78"/>
        <w:rPr>
          <w:rFonts w:hint="eastAsia"/>
          <w:b/>
          <w:bCs w:val="0"/>
          <w:color w:val="000000" w:themeColor="text1"/>
          <w:highlight w:val="yellow"/>
          <w14:textFill>
            <w14:solidFill>
              <w14:schemeClr w14:val="tx1"/>
            </w14:solidFill>
          </w14:textFill>
        </w:rPr>
      </w:pPr>
    </w:p>
    <w:p w14:paraId="6A951205">
      <w:pPr>
        <w:pStyle w:val="78"/>
        <w:rPr>
          <w:rFonts w:hint="eastAsia"/>
          <w:b/>
          <w:bCs w:val="0"/>
          <w:color w:val="000000" w:themeColor="text1"/>
          <w:highlight w:val="yellow"/>
          <w14:textFill>
            <w14:solidFill>
              <w14:schemeClr w14:val="tx1"/>
            </w14:solidFill>
          </w14:textFill>
        </w:rPr>
      </w:pPr>
    </w:p>
    <w:p w14:paraId="6E7B8F89">
      <w:pPr>
        <w:pStyle w:val="78"/>
        <w:rPr>
          <w:rFonts w:hint="eastAsia"/>
          <w:b/>
          <w:bCs w:val="0"/>
          <w:color w:val="000000" w:themeColor="text1"/>
          <w:highlight w:val="yellow"/>
          <w14:textFill>
            <w14:solidFill>
              <w14:schemeClr w14:val="tx1"/>
            </w14:solidFill>
          </w14:textFill>
        </w:rPr>
      </w:pPr>
    </w:p>
    <w:p w14:paraId="5BC21F3D">
      <w:pPr>
        <w:pStyle w:val="78"/>
        <w:rPr>
          <w:rFonts w:hint="eastAsia"/>
          <w:b/>
          <w:bCs w:val="0"/>
          <w:color w:val="000000" w:themeColor="text1"/>
          <w:highlight w:val="yellow"/>
          <w14:textFill>
            <w14:solidFill>
              <w14:schemeClr w14:val="tx1"/>
            </w14:solidFill>
          </w14:textFill>
        </w:rPr>
      </w:pPr>
    </w:p>
    <w:p w14:paraId="71EB2252">
      <w:pPr>
        <w:pStyle w:val="78"/>
        <w:rPr>
          <w:rFonts w:hint="eastAsia"/>
          <w:b/>
          <w:bCs w:val="0"/>
          <w:color w:val="000000" w:themeColor="text1"/>
          <w:highlight w:val="yellow"/>
          <w14:textFill>
            <w14:solidFill>
              <w14:schemeClr w14:val="tx1"/>
            </w14:solidFill>
          </w14:textFill>
        </w:rPr>
      </w:pPr>
    </w:p>
    <w:p w14:paraId="6A40F522">
      <w:pPr>
        <w:pStyle w:val="78"/>
        <w:rPr>
          <w:rFonts w:hint="eastAsia"/>
          <w:b/>
          <w:bCs w:val="0"/>
          <w:color w:val="000000" w:themeColor="text1"/>
          <w:highlight w:val="yellow"/>
          <w14:textFill>
            <w14:solidFill>
              <w14:schemeClr w14:val="tx1"/>
            </w14:solidFill>
          </w14:textFill>
        </w:rPr>
      </w:pPr>
    </w:p>
    <w:p w14:paraId="7DF3D442">
      <w:pPr>
        <w:pStyle w:val="78"/>
        <w:rPr>
          <w:rFonts w:hint="eastAsia"/>
          <w:b/>
          <w:bCs w:val="0"/>
          <w:color w:val="000000" w:themeColor="text1"/>
          <w:highlight w:val="yellow"/>
          <w14:textFill>
            <w14:solidFill>
              <w14:schemeClr w14:val="tx1"/>
            </w14:solidFill>
          </w14:textFill>
        </w:rPr>
      </w:pPr>
    </w:p>
    <w:p w14:paraId="5794022D">
      <w:pPr>
        <w:pStyle w:val="78"/>
        <w:rPr>
          <w:rFonts w:hint="eastAsia"/>
          <w:b/>
          <w:bCs w:val="0"/>
          <w:color w:val="000000" w:themeColor="text1"/>
          <w:highlight w:val="yellow"/>
          <w14:textFill>
            <w14:solidFill>
              <w14:schemeClr w14:val="tx1"/>
            </w14:solidFill>
          </w14:textFill>
        </w:rPr>
      </w:pPr>
    </w:p>
    <w:p w14:paraId="7C853B1C">
      <w:pPr>
        <w:pStyle w:val="78"/>
        <w:rPr>
          <w:rFonts w:hint="eastAsia"/>
          <w:b/>
          <w:bCs w:val="0"/>
          <w:color w:val="000000" w:themeColor="text1"/>
          <w:highlight w:val="yellow"/>
          <w14:textFill>
            <w14:solidFill>
              <w14:schemeClr w14:val="tx1"/>
            </w14:solidFill>
          </w14:textFill>
        </w:rPr>
      </w:pPr>
    </w:p>
    <w:p w14:paraId="5D6A8F48">
      <w:pPr>
        <w:pStyle w:val="78"/>
        <w:rPr>
          <w:rFonts w:hint="eastAsia"/>
          <w:b/>
          <w:bCs w:val="0"/>
          <w:color w:val="000000" w:themeColor="text1"/>
          <w:highlight w:val="yellow"/>
          <w14:textFill>
            <w14:solidFill>
              <w14:schemeClr w14:val="tx1"/>
            </w14:solidFill>
          </w14:textFill>
        </w:rPr>
      </w:pPr>
    </w:p>
    <w:p w14:paraId="7577C1A4">
      <w:pPr>
        <w:pStyle w:val="78"/>
        <w:rPr>
          <w:rFonts w:hint="eastAsia"/>
          <w:b/>
          <w:bCs w:val="0"/>
          <w:color w:val="000000" w:themeColor="text1"/>
          <w:highlight w:val="yellow"/>
          <w14:textFill>
            <w14:solidFill>
              <w14:schemeClr w14:val="tx1"/>
            </w14:solidFill>
          </w14:textFill>
        </w:rPr>
      </w:pPr>
    </w:p>
    <w:p w14:paraId="36FC8AD5">
      <w:pPr>
        <w:pStyle w:val="78"/>
        <w:rPr>
          <w:rFonts w:hint="eastAsia"/>
          <w:b/>
          <w:bCs w:val="0"/>
          <w:color w:val="000000" w:themeColor="text1"/>
          <w:highlight w:val="yellow"/>
          <w14:textFill>
            <w14:solidFill>
              <w14:schemeClr w14:val="tx1"/>
            </w14:solidFill>
          </w14:textFill>
        </w:rPr>
      </w:pPr>
    </w:p>
    <w:p w14:paraId="041BB863">
      <w:pPr>
        <w:pStyle w:val="78"/>
        <w:rPr>
          <w:rFonts w:hint="eastAsia"/>
          <w:b/>
          <w:bCs w:val="0"/>
          <w:color w:val="000000" w:themeColor="text1"/>
          <w:highlight w:val="yellow"/>
          <w14:textFill>
            <w14:solidFill>
              <w14:schemeClr w14:val="tx1"/>
            </w14:solidFill>
          </w14:textFill>
        </w:rPr>
      </w:pPr>
    </w:p>
    <w:p w14:paraId="26FF82B0">
      <w:pPr>
        <w:pStyle w:val="78"/>
        <w:rPr>
          <w:rFonts w:hint="eastAsia"/>
          <w:b/>
          <w:bCs w:val="0"/>
          <w:color w:val="000000" w:themeColor="text1"/>
          <w:highlight w:val="yellow"/>
          <w14:textFill>
            <w14:solidFill>
              <w14:schemeClr w14:val="tx1"/>
            </w14:solidFill>
          </w14:textFill>
        </w:rPr>
      </w:pPr>
    </w:p>
    <w:p w14:paraId="59C9DD47">
      <w:pPr>
        <w:pStyle w:val="78"/>
        <w:rPr>
          <w:rFonts w:hint="eastAsia"/>
          <w:b/>
          <w:bCs w:val="0"/>
          <w:color w:val="000000" w:themeColor="text1"/>
          <w:highlight w:val="yellow"/>
          <w14:textFill>
            <w14:solidFill>
              <w14:schemeClr w14:val="tx1"/>
            </w14:solidFill>
          </w14:textFill>
        </w:rPr>
      </w:pPr>
    </w:p>
    <w:p w14:paraId="0F960784">
      <w:pPr>
        <w:pStyle w:val="78"/>
        <w:rPr>
          <w:rFonts w:hint="eastAsia"/>
          <w:b/>
          <w:bCs w:val="0"/>
          <w:color w:val="000000" w:themeColor="text1"/>
          <w:highlight w:val="yellow"/>
          <w14:textFill>
            <w14:solidFill>
              <w14:schemeClr w14:val="tx1"/>
            </w14:solidFill>
          </w14:textFill>
        </w:rPr>
      </w:pPr>
    </w:p>
    <w:p w14:paraId="3BC92644">
      <w:pPr>
        <w:pStyle w:val="78"/>
        <w:rPr>
          <w:rFonts w:hint="eastAsia"/>
          <w:b/>
          <w:bCs w:val="0"/>
          <w:color w:val="000000" w:themeColor="text1"/>
          <w:highlight w:val="yellow"/>
          <w14:textFill>
            <w14:solidFill>
              <w14:schemeClr w14:val="tx1"/>
            </w14:solidFill>
          </w14:textFill>
        </w:rPr>
      </w:pPr>
    </w:p>
    <w:p w14:paraId="58B25339">
      <w:pPr>
        <w:pStyle w:val="78"/>
        <w:rPr>
          <w:rFonts w:hint="eastAsia"/>
          <w:b/>
          <w:bCs w:val="0"/>
          <w:color w:val="000000" w:themeColor="text1"/>
          <w:highlight w:val="yellow"/>
          <w14:textFill>
            <w14:solidFill>
              <w14:schemeClr w14:val="tx1"/>
            </w14:solidFill>
          </w14:textFill>
        </w:rPr>
      </w:pPr>
    </w:p>
    <w:p w14:paraId="56C4D058">
      <w:pPr>
        <w:pStyle w:val="78"/>
        <w:rPr>
          <w:rFonts w:hint="eastAsia"/>
          <w:b/>
          <w:bCs w:val="0"/>
          <w:color w:val="000000" w:themeColor="text1"/>
          <w:highlight w:val="yellow"/>
          <w14:textFill>
            <w14:solidFill>
              <w14:schemeClr w14:val="tx1"/>
            </w14:solidFill>
          </w14:textFill>
        </w:rPr>
      </w:pPr>
    </w:p>
    <w:p w14:paraId="0AB47E9F">
      <w:pPr>
        <w:pStyle w:val="78"/>
        <w:rPr>
          <w:rFonts w:hint="eastAsia"/>
          <w:b/>
          <w:bCs w:val="0"/>
          <w:color w:val="000000" w:themeColor="text1"/>
          <w:highlight w:val="yellow"/>
          <w14:textFill>
            <w14:solidFill>
              <w14:schemeClr w14:val="tx1"/>
            </w14:solidFill>
          </w14:textFill>
        </w:rPr>
      </w:pPr>
    </w:p>
    <w:p w14:paraId="6BC6E164">
      <w:pPr>
        <w:pStyle w:val="78"/>
        <w:rPr>
          <w:rFonts w:hint="eastAsia"/>
          <w:b/>
          <w:bCs w:val="0"/>
          <w:color w:val="000000" w:themeColor="text1"/>
          <w:highlight w:val="yellow"/>
          <w14:textFill>
            <w14:solidFill>
              <w14:schemeClr w14:val="tx1"/>
            </w14:solidFill>
          </w14:textFill>
        </w:rPr>
      </w:pPr>
    </w:p>
    <w:p w14:paraId="222CE918">
      <w:pPr>
        <w:pStyle w:val="78"/>
        <w:rPr>
          <w:rFonts w:hint="eastAsia"/>
          <w:b/>
          <w:bCs w:val="0"/>
          <w:color w:val="000000" w:themeColor="text1"/>
          <w:highlight w:val="yellow"/>
          <w14:textFill>
            <w14:solidFill>
              <w14:schemeClr w14:val="tx1"/>
            </w14:solidFill>
          </w14:textFill>
        </w:rPr>
      </w:pPr>
    </w:p>
    <w:p w14:paraId="68F4E029">
      <w:pPr>
        <w:pStyle w:val="78"/>
        <w:rPr>
          <w:rFonts w:hint="eastAsia"/>
          <w:b/>
          <w:bCs w:val="0"/>
          <w:color w:val="000000" w:themeColor="text1"/>
          <w:highlight w:val="yellow"/>
          <w14:textFill>
            <w14:solidFill>
              <w14:schemeClr w14:val="tx1"/>
            </w14:solidFill>
          </w14:textFill>
        </w:rPr>
      </w:pPr>
    </w:p>
    <w:p w14:paraId="2B1AAACF">
      <w:pPr>
        <w:pStyle w:val="78"/>
        <w:rPr>
          <w:rFonts w:hint="eastAsia"/>
          <w:b/>
          <w:bCs w:val="0"/>
          <w:color w:val="000000" w:themeColor="text1"/>
          <w:highlight w:val="yellow"/>
          <w14:textFill>
            <w14:solidFill>
              <w14:schemeClr w14:val="tx1"/>
            </w14:solidFill>
          </w14:textFill>
        </w:rPr>
      </w:pPr>
    </w:p>
    <w:p w14:paraId="41FF71C5">
      <w:pPr>
        <w:pStyle w:val="78"/>
        <w:rPr>
          <w:rFonts w:hint="eastAsia"/>
          <w:b/>
          <w:bCs w:val="0"/>
          <w:color w:val="000000" w:themeColor="text1"/>
          <w:highlight w:val="yellow"/>
          <w14:textFill>
            <w14:solidFill>
              <w14:schemeClr w14:val="tx1"/>
            </w14:solidFill>
          </w14:textFill>
        </w:rPr>
      </w:pPr>
    </w:p>
    <w:p w14:paraId="2A5F884F">
      <w:pPr>
        <w:pStyle w:val="78"/>
        <w:rPr>
          <w:rFonts w:hint="eastAsia"/>
          <w:b/>
          <w:bCs w:val="0"/>
          <w:color w:val="000000" w:themeColor="text1"/>
          <w:highlight w:val="yellow"/>
          <w14:textFill>
            <w14:solidFill>
              <w14:schemeClr w14:val="tx1"/>
            </w14:solidFill>
          </w14:textFill>
        </w:rPr>
      </w:pPr>
    </w:p>
    <w:p w14:paraId="0E4BBE8A">
      <w:pPr>
        <w:pStyle w:val="78"/>
        <w:rPr>
          <w:rFonts w:hint="eastAsia"/>
          <w:b/>
          <w:bCs w:val="0"/>
          <w:color w:val="000000" w:themeColor="text1"/>
          <w:highlight w:val="yellow"/>
          <w14:textFill>
            <w14:solidFill>
              <w14:schemeClr w14:val="tx1"/>
            </w14:solidFill>
          </w14:textFill>
        </w:rPr>
      </w:pPr>
    </w:p>
    <w:p w14:paraId="232C8853">
      <w:pPr>
        <w:pStyle w:val="78"/>
        <w:rPr>
          <w:rFonts w:hint="eastAsia"/>
          <w:b/>
          <w:bCs w:val="0"/>
          <w:color w:val="000000" w:themeColor="text1"/>
          <w:highlight w:val="yellow"/>
          <w14:textFill>
            <w14:solidFill>
              <w14:schemeClr w14:val="tx1"/>
            </w14:solidFill>
          </w14:textFill>
        </w:rPr>
      </w:pPr>
    </w:p>
    <w:p w14:paraId="3D1E8E1A">
      <w:pPr>
        <w:pStyle w:val="78"/>
        <w:rPr>
          <w:rFonts w:hint="eastAsia"/>
          <w:b/>
          <w:bCs w:val="0"/>
          <w:color w:val="000000" w:themeColor="text1"/>
          <w:highlight w:val="yellow"/>
          <w14:textFill>
            <w14:solidFill>
              <w14:schemeClr w14:val="tx1"/>
            </w14:solidFill>
          </w14:textFill>
        </w:rPr>
      </w:pPr>
    </w:p>
    <w:p w14:paraId="70A1FA95">
      <w:pPr>
        <w:pStyle w:val="78"/>
        <w:rPr>
          <w:rFonts w:hint="eastAsia"/>
          <w:b/>
          <w:bCs w:val="0"/>
          <w:color w:val="000000" w:themeColor="text1"/>
          <w:highlight w:val="yellow"/>
          <w14:textFill>
            <w14:solidFill>
              <w14:schemeClr w14:val="tx1"/>
            </w14:solidFill>
          </w14:textFill>
        </w:rPr>
      </w:pPr>
    </w:p>
    <w:p w14:paraId="6C547872">
      <w:pPr>
        <w:pStyle w:val="78"/>
        <w:rPr>
          <w:rFonts w:hint="eastAsia"/>
          <w:b/>
          <w:bCs w:val="0"/>
          <w:color w:val="000000" w:themeColor="text1"/>
          <w:highlight w:val="yellow"/>
          <w14:textFill>
            <w14:solidFill>
              <w14:schemeClr w14:val="tx1"/>
            </w14:solidFill>
          </w14:textFill>
        </w:rPr>
      </w:pPr>
    </w:p>
    <w:p w14:paraId="3F16A466">
      <w:pPr>
        <w:pStyle w:val="78"/>
        <w:rPr>
          <w:rFonts w:hint="eastAsia"/>
          <w:b/>
          <w:bCs w:val="0"/>
          <w:color w:val="000000" w:themeColor="text1"/>
          <w:highlight w:val="yellow"/>
          <w14:textFill>
            <w14:solidFill>
              <w14:schemeClr w14:val="tx1"/>
            </w14:solidFill>
          </w14:textFill>
        </w:rPr>
      </w:pPr>
    </w:p>
    <w:p w14:paraId="2912A40D">
      <w:pPr>
        <w:pStyle w:val="78"/>
        <w:rPr>
          <w:rFonts w:hint="eastAsia"/>
          <w:b/>
          <w:bCs w:val="0"/>
          <w:color w:val="000000" w:themeColor="text1"/>
          <w:highlight w:val="yellow"/>
          <w14:textFill>
            <w14:solidFill>
              <w14:schemeClr w14:val="tx1"/>
            </w14:solidFill>
          </w14:textFill>
        </w:rPr>
      </w:pPr>
    </w:p>
    <w:p w14:paraId="355550FB">
      <w:pPr>
        <w:pStyle w:val="78"/>
        <w:rPr>
          <w:rFonts w:hint="eastAsia"/>
          <w:b/>
          <w:bCs w:val="0"/>
          <w:color w:val="000000" w:themeColor="text1"/>
          <w:highlight w:val="yellow"/>
          <w14:textFill>
            <w14:solidFill>
              <w14:schemeClr w14:val="tx1"/>
            </w14:solidFill>
          </w14:textFill>
        </w:rPr>
      </w:pPr>
    </w:p>
    <w:p w14:paraId="18EB327A">
      <w:pPr>
        <w:pStyle w:val="78"/>
        <w:rPr>
          <w:rFonts w:hint="eastAsia"/>
          <w:b/>
          <w:bCs w:val="0"/>
          <w:color w:val="000000" w:themeColor="text1"/>
          <w:highlight w:val="yellow"/>
          <w14:textFill>
            <w14:solidFill>
              <w14:schemeClr w14:val="tx1"/>
            </w14:solidFill>
          </w14:textFill>
        </w:rPr>
      </w:pPr>
    </w:p>
    <w:p w14:paraId="78BA1E25">
      <w:pPr>
        <w:pStyle w:val="78"/>
        <w:rPr>
          <w:rFonts w:hint="eastAsia"/>
          <w:b/>
          <w:bCs w:val="0"/>
          <w:color w:val="000000" w:themeColor="text1"/>
          <w:highlight w:val="yellow"/>
          <w14:textFill>
            <w14:solidFill>
              <w14:schemeClr w14:val="tx1"/>
            </w14:solidFill>
          </w14:textFill>
        </w:rPr>
      </w:pPr>
    </w:p>
    <w:p w14:paraId="5F09E08E">
      <w:pPr>
        <w:pStyle w:val="78"/>
        <w:rPr>
          <w:b/>
          <w:bCs w:val="0"/>
          <w:color w:val="000000" w:themeColor="text1"/>
          <w:highlight w:val="none"/>
          <w14:textFill>
            <w14:solidFill>
              <w14:schemeClr w14:val="tx1"/>
            </w14:solidFill>
          </w14:textFill>
        </w:rPr>
      </w:pPr>
      <w:r>
        <w:rPr>
          <w:rFonts w:hint="eastAsia"/>
          <w:b/>
          <w:bCs w:val="0"/>
          <w:color w:val="000000" w:themeColor="text1"/>
          <w:highlight w:val="none"/>
          <w14:textFill>
            <w14:solidFill>
              <w14:schemeClr w14:val="tx1"/>
            </w14:solidFill>
          </w14:textFill>
        </w:rPr>
        <w:t>图3</w:t>
      </w:r>
      <w:r>
        <w:rPr>
          <w:rFonts w:hint="eastAsia"/>
          <w:b/>
          <w:bCs w:val="0"/>
          <w:color w:val="000000" w:themeColor="text1"/>
          <w:highlight w:val="none"/>
          <w:lang w:val="en-US" w:eastAsia="zh-CN"/>
          <w14:textFill>
            <w14:solidFill>
              <w14:schemeClr w14:val="tx1"/>
            </w14:solidFill>
          </w14:textFill>
        </w:rPr>
        <w:t>.4-1</w:t>
      </w:r>
      <w:r>
        <w:rPr>
          <w:rFonts w:hint="eastAsia"/>
          <w:b/>
          <w:bCs w:val="0"/>
          <w:color w:val="000000" w:themeColor="text1"/>
          <w:highlight w:val="none"/>
          <w14:textFill>
            <w14:solidFill>
              <w14:schemeClr w14:val="tx1"/>
            </w14:solidFill>
          </w14:textFill>
        </w:rPr>
        <w:t xml:space="preserve">    本项目水平衡图       单位：m</w:t>
      </w:r>
      <w:r>
        <w:rPr>
          <w:rFonts w:hint="eastAsia"/>
          <w:b/>
          <w:bCs w:val="0"/>
          <w:color w:val="000000" w:themeColor="text1"/>
          <w:highlight w:val="none"/>
          <w:vertAlign w:val="superscript"/>
          <w14:textFill>
            <w14:solidFill>
              <w14:schemeClr w14:val="tx1"/>
            </w14:solidFill>
          </w14:textFill>
        </w:rPr>
        <w:t>3</w:t>
      </w:r>
      <w:r>
        <w:rPr>
          <w:rFonts w:hint="eastAsia"/>
          <w:b/>
          <w:bCs w:val="0"/>
          <w:color w:val="000000" w:themeColor="text1"/>
          <w:highlight w:val="none"/>
          <w14:textFill>
            <w14:solidFill>
              <w14:schemeClr w14:val="tx1"/>
            </w14:solidFill>
          </w14:textFill>
        </w:rPr>
        <w:t>/d</w:t>
      </w:r>
    </w:p>
    <w:p w14:paraId="70409451">
      <w:pPr>
        <w:pStyle w:val="4"/>
        <w:spacing w:before="240" w:after="120"/>
        <w:rPr>
          <w:b/>
          <w:bCs w:val="0"/>
          <w:color w:val="000000" w:themeColor="text1"/>
          <w14:textFill>
            <w14:solidFill>
              <w14:schemeClr w14:val="tx1"/>
            </w14:solidFill>
          </w14:textFill>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bookmarkStart w:id="397" w:name="_Toc108122513"/>
    </w:p>
    <w:p w14:paraId="5DEEB01B">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98" w:name="_Toc27255"/>
      <w:r>
        <w:rPr>
          <w:rFonts w:hint="eastAsia" w:ascii="Times New Roman" w:hAnsi="Times New Roman" w:eastAsia="宋体" w:cs="Times New Roman"/>
          <w:lang w:val="en-US" w:eastAsia="zh-CN"/>
        </w:rPr>
        <w:t>3..5蒸汽平衡</w:t>
      </w:r>
      <w:bookmarkEnd w:id="397"/>
      <w:bookmarkEnd w:id="398"/>
    </w:p>
    <w:p w14:paraId="011E333D">
      <w:pPr>
        <w:ind w:firstLine="480"/>
      </w:pPr>
      <w:r>
        <w:rPr>
          <w:rFonts w:hint="eastAsia"/>
        </w:rPr>
        <w:t>本项目电镀生产线槽体加热和蒸发器热源均采用蒸汽作为能源，蒸汽来源于本项目自</w:t>
      </w:r>
      <w:r>
        <w:rPr>
          <w:rFonts w:hint="eastAsia"/>
          <w:color w:val="000000" w:themeColor="text1"/>
          <w14:textFill>
            <w14:solidFill>
              <w14:schemeClr w14:val="tx1"/>
            </w14:solidFill>
          </w14:textFill>
        </w:rPr>
        <w:t>建的</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台</w:t>
      </w:r>
      <w:r>
        <w:rPr>
          <w:rFonts w:hint="eastAsia"/>
          <w:color w:val="000000" w:themeColor="text1"/>
          <w:lang w:val="en-US" w:eastAsia="zh-CN"/>
          <w14:textFill>
            <w14:solidFill>
              <w14:schemeClr w14:val="tx1"/>
            </w14:solidFill>
          </w14:textFill>
        </w:rPr>
        <w:t>0.9</w:t>
      </w:r>
      <w:r>
        <w:rPr>
          <w:rFonts w:hint="eastAsia"/>
          <w:color w:val="000000" w:themeColor="text1"/>
          <w14:textFill>
            <w14:solidFill>
              <w14:schemeClr w14:val="tx1"/>
            </w14:solidFill>
          </w14:textFill>
        </w:rPr>
        <w:t>t/h的</w:t>
      </w:r>
      <w:r>
        <w:rPr>
          <w:rFonts w:hint="eastAsia"/>
          <w:color w:val="000000" w:themeColor="text1"/>
          <w:lang w:val="en-US" w:eastAsia="zh-CN"/>
          <w14:textFill>
            <w14:solidFill>
              <w14:schemeClr w14:val="tx1"/>
            </w14:solidFill>
          </w14:textFill>
        </w:rPr>
        <w:t>电蒸汽发生器</w:t>
      </w:r>
      <w:r>
        <w:rPr>
          <w:rFonts w:hint="eastAsia"/>
        </w:rPr>
        <w:t>。经企业提供的资料和设备厂家提供的设备参数，多效蒸发器蒸发每吨水消耗0.3-0.55t蒸汽，本项目蒸发每吨水以0.55t蒸汽计。根</w:t>
      </w:r>
      <w:r>
        <w:rPr>
          <w:rFonts w:hint="eastAsia"/>
          <w:color w:val="000000" w:themeColor="text1"/>
          <w14:textFill>
            <w14:solidFill>
              <w14:schemeClr w14:val="tx1"/>
            </w14:solidFill>
          </w14:textFill>
        </w:rPr>
        <w:t>据水平衡可知，蒸发器蒸发出水量为</w:t>
      </w:r>
      <w:r>
        <w:rPr>
          <w:rFonts w:hint="eastAsia"/>
          <w:color w:val="000000" w:themeColor="text1"/>
          <w:lang w:val="en-US" w:eastAsia="zh-CN"/>
          <w14:textFill>
            <w14:solidFill>
              <w14:schemeClr w14:val="tx1"/>
            </w14:solidFill>
          </w14:textFill>
        </w:rPr>
        <w:t>65.902</w:t>
      </w:r>
      <w:r>
        <w:rPr>
          <w:rFonts w:hint="eastAsia"/>
          <w:color w:val="000000" w:themeColor="text1"/>
          <w14:textFill>
            <w14:solidFill>
              <w14:schemeClr w14:val="tx1"/>
            </w14:solidFill>
          </w14:textFill>
        </w:rPr>
        <w:t>t/d（</w:t>
      </w:r>
      <w:r>
        <w:rPr>
          <w:rFonts w:hint="eastAsia"/>
          <w:color w:val="000000" w:themeColor="text1"/>
          <w:lang w:val="en-US" w:eastAsia="zh-CN"/>
          <w14:textFill>
            <w14:solidFill>
              <w14:schemeClr w14:val="tx1"/>
            </w14:solidFill>
          </w14:textFill>
        </w:rPr>
        <w:t>2.74</w:t>
      </w:r>
      <w:r>
        <w:rPr>
          <w:rFonts w:hint="eastAsia"/>
          <w:color w:val="000000" w:themeColor="text1"/>
          <w14:textFill>
            <w14:solidFill>
              <w14:schemeClr w14:val="tx1"/>
            </w14:solidFill>
          </w14:textFill>
        </w:rPr>
        <w:t>t/h），则</w:t>
      </w:r>
      <w:r>
        <w:rPr>
          <w:rFonts w:hint="eastAsia"/>
        </w:rPr>
        <w:t>蒸发器使用蒸汽量为</w:t>
      </w:r>
      <w:r>
        <w:rPr>
          <w:rFonts w:hint="eastAsia"/>
          <w:lang w:val="en-US" w:eastAsia="zh-CN"/>
        </w:rPr>
        <w:t>1.5</w:t>
      </w:r>
      <w:r>
        <w:rPr>
          <w:rFonts w:hint="eastAsia"/>
        </w:rPr>
        <w:t>t/h；本项目电镀生产线加热均采用蒸汽间接加热，电镀生产线加热的温度不高，因此电镀生产线使用蒸汽量较少</w:t>
      </w:r>
      <w:r>
        <w:rPr>
          <w:rFonts w:hint="eastAsia"/>
          <w:lang w:eastAsia="zh-CN"/>
        </w:rPr>
        <w:t>，</w:t>
      </w:r>
      <w:r>
        <w:rPr>
          <w:rFonts w:hint="eastAsia"/>
        </w:rPr>
        <w:t>根据企业提供的资料，电镀生产线使用蒸汽量约为</w:t>
      </w:r>
      <w:r>
        <w:rPr>
          <w:rFonts w:hint="eastAsia"/>
          <w:lang w:val="en-US" w:eastAsia="zh-CN"/>
        </w:rPr>
        <w:t>1.1</w:t>
      </w:r>
      <w:r>
        <w:rPr>
          <w:rFonts w:hint="eastAsia"/>
        </w:rPr>
        <w:t>t/h；考虑到蒸汽使用过程中管道及设备会有少量的损耗，故本项目所需蒸汽总量为</w:t>
      </w:r>
      <w:r>
        <w:rPr>
          <w:rFonts w:hint="eastAsia"/>
          <w:lang w:val="en-US" w:eastAsia="zh-CN"/>
        </w:rPr>
        <w:t>2.7</w:t>
      </w:r>
      <w:r>
        <w:rPr>
          <w:rFonts w:hint="eastAsia"/>
        </w:rPr>
        <w:t>t/h。因此本次自建的</w:t>
      </w:r>
      <w:r>
        <w:rPr>
          <w:rFonts w:hint="eastAsia"/>
          <w:lang w:val="en-US" w:eastAsia="zh-CN"/>
        </w:rPr>
        <w:t>3</w:t>
      </w:r>
      <w:r>
        <w:rPr>
          <w:rFonts w:hint="eastAsia"/>
        </w:rPr>
        <w:t>台</w:t>
      </w:r>
      <w:r>
        <w:rPr>
          <w:rFonts w:hint="eastAsia"/>
          <w:lang w:val="en-US" w:eastAsia="zh-CN"/>
        </w:rPr>
        <w:t>0.9</w:t>
      </w:r>
      <w:r>
        <w:rPr>
          <w:rFonts w:hint="eastAsia"/>
        </w:rPr>
        <w:t>t/h的</w:t>
      </w:r>
      <w:r>
        <w:rPr>
          <w:rFonts w:hint="eastAsia"/>
          <w:lang w:val="en-US" w:eastAsia="zh-CN"/>
        </w:rPr>
        <w:t>蒸汽发生器</w:t>
      </w:r>
      <w:r>
        <w:rPr>
          <w:rFonts w:hint="eastAsia"/>
        </w:rPr>
        <w:t>能够满足本项目生产所需，且供热全部采用蒸汽间接加热，蒸汽冷凝水回用于</w:t>
      </w:r>
      <w:r>
        <w:rPr>
          <w:rFonts w:hint="eastAsia"/>
          <w:lang w:val="en-US" w:eastAsia="zh-CN"/>
        </w:rPr>
        <w:t>蒸汽发生器</w:t>
      </w:r>
      <w:r>
        <w:rPr>
          <w:rFonts w:hint="eastAsia"/>
        </w:rPr>
        <w:t>，不外排。</w:t>
      </w:r>
    </w:p>
    <w:p w14:paraId="08D01022">
      <w:pPr>
        <w:spacing w:line="240" w:lineRule="auto"/>
        <w:ind w:firstLine="0" w:firstLineChars="0"/>
        <w:jc w:val="center"/>
      </w:pPr>
      <w:r>
        <w:drawing>
          <wp:inline distT="0" distB="0" distL="114300" distR="114300">
            <wp:extent cx="3571875" cy="2600325"/>
            <wp:effectExtent l="0" t="0" r="9525" b="9525"/>
            <wp:docPr id="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8"/>
                    <pic:cNvPicPr>
                      <a:picLocks noChangeAspect="1"/>
                    </pic:cNvPicPr>
                  </pic:nvPicPr>
                  <pic:blipFill>
                    <a:blip r:embed="rId27"/>
                    <a:stretch>
                      <a:fillRect/>
                    </a:stretch>
                  </pic:blipFill>
                  <pic:spPr>
                    <a:xfrm>
                      <a:off x="0" y="0"/>
                      <a:ext cx="3571875" cy="2600325"/>
                    </a:xfrm>
                    <a:prstGeom prst="rect">
                      <a:avLst/>
                    </a:prstGeom>
                    <a:noFill/>
                    <a:ln>
                      <a:noFill/>
                    </a:ln>
                  </pic:spPr>
                </pic:pic>
              </a:graphicData>
            </a:graphic>
          </wp:inline>
        </w:drawing>
      </w:r>
    </w:p>
    <w:p w14:paraId="089F3F2E">
      <w:pPr>
        <w:pStyle w:val="78"/>
      </w:pPr>
      <w:r>
        <w:rPr>
          <w:rFonts w:hint="eastAsia"/>
        </w:rPr>
        <w:t>图</w:t>
      </w:r>
      <w:r>
        <w:rPr>
          <w:rFonts w:hint="eastAsia"/>
          <w:lang w:val="en-US" w:eastAsia="zh-CN"/>
        </w:rPr>
        <w:t>3.5-1</w:t>
      </w:r>
      <w:r>
        <w:rPr>
          <w:rFonts w:hint="eastAsia"/>
        </w:rPr>
        <w:t xml:space="preserve">    本项目蒸汽平衡图       单位：</w:t>
      </w:r>
      <w:r>
        <w:t>t</w:t>
      </w:r>
      <w:r>
        <w:rPr>
          <w:rFonts w:hint="eastAsia"/>
        </w:rPr>
        <w:t>/</w:t>
      </w:r>
      <w:r>
        <w:t>h</w:t>
      </w:r>
    </w:p>
    <w:p w14:paraId="06322A49">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399" w:name="_Toc108122515"/>
      <w:bookmarkStart w:id="400" w:name="_Toc429318401"/>
      <w:bookmarkStart w:id="401" w:name="_Toc428287218"/>
      <w:bookmarkStart w:id="402" w:name="_Toc7380"/>
      <w:bookmarkStart w:id="403" w:name="_Toc428286839"/>
      <w:r>
        <w:rPr>
          <w:rFonts w:hint="eastAsia" w:ascii="Times New Roman" w:hAnsi="Times New Roman" w:eastAsia="宋体" w:cs="Times New Roman"/>
          <w:lang w:val="en-US" w:eastAsia="zh-CN"/>
        </w:rPr>
        <w:t>3.6污染物产排情况</w:t>
      </w:r>
      <w:bookmarkEnd w:id="399"/>
      <w:bookmarkEnd w:id="400"/>
      <w:bookmarkEnd w:id="401"/>
      <w:bookmarkEnd w:id="402"/>
      <w:bookmarkEnd w:id="403"/>
    </w:p>
    <w:p w14:paraId="5C9EA363">
      <w:pPr>
        <w:adjustRightInd w:val="0"/>
        <w:snapToGrid w:val="0"/>
        <w:spacing w:line="500" w:lineRule="exact"/>
        <w:ind w:firstLine="480" w:firstLineChars="200"/>
        <w:textAlignment w:val="auto"/>
        <w:rPr>
          <w:rFonts w:hint="default" w:ascii="Times New Roman" w:hAnsi="Times New Roman" w:eastAsia="宋体" w:cs="Times New Roman"/>
          <w:bCs/>
          <w:color w:val="000000" w:themeColor="text1"/>
          <w:kern w:val="2"/>
          <w:sz w:val="24"/>
          <w:szCs w:val="24"/>
          <w14:textFill>
            <w14:solidFill>
              <w14:schemeClr w14:val="tx1"/>
            </w14:solidFill>
          </w14:textFill>
        </w:rPr>
      </w:pPr>
      <w:r>
        <w:rPr>
          <w:rFonts w:hint="default" w:ascii="Times New Roman" w:hAnsi="Times New Roman" w:eastAsia="宋体" w:cs="Times New Roman"/>
          <w:bCs/>
          <w:color w:val="000000" w:themeColor="text1"/>
          <w:kern w:val="2"/>
          <w:sz w:val="24"/>
          <w:szCs w:val="24"/>
          <w14:textFill>
            <w14:solidFill>
              <w14:schemeClr w14:val="tx1"/>
            </w14:solidFill>
          </w14:textFill>
        </w:rPr>
        <w:t>据现场勘察，本项目拟建位置目前为待建空地，尚未开始建设，本项目施工期主要工艺流程为土地平整、基础开挖、主体项目建设、设备安装等，主要工艺流程及产污环节见下图所示。</w:t>
      </w:r>
    </w:p>
    <w:p w14:paraId="48790236">
      <w:pPr>
        <w:adjustRightInd w:val="0"/>
        <w:snapToGrid w:val="0"/>
        <w:spacing w:line="500" w:lineRule="exact"/>
        <w:ind w:firstLine="480" w:firstLineChars="200"/>
        <w:textAlignment w:val="auto"/>
        <w:rPr>
          <w:rFonts w:hint="default" w:ascii="Times New Roman" w:hAnsi="Times New Roman" w:eastAsia="宋体" w:cs="Times New Roman"/>
          <w:bCs/>
          <w:color w:val="000000" w:themeColor="text1"/>
          <w:kern w:val="2"/>
          <w:sz w:val="24"/>
          <w:szCs w:val="24"/>
          <w14:textFill>
            <w14:solidFill>
              <w14:schemeClr w14:val="tx1"/>
            </w14:solidFill>
          </w14:textFill>
        </w:rPr>
      </w:pPr>
    </w:p>
    <w:p w14:paraId="2AF8BD51">
      <w:pPr>
        <w:adjustRightInd w:val="0"/>
        <w:snapToGrid w:val="0"/>
        <w:spacing w:line="500" w:lineRule="exact"/>
        <w:ind w:firstLine="480" w:firstLineChars="200"/>
        <w:textAlignment w:val="auto"/>
        <w:rPr>
          <w:rFonts w:hint="default" w:ascii="Times New Roman" w:hAnsi="Times New Roman" w:eastAsia="宋体" w:cs="Times New Roman"/>
          <w:bCs/>
          <w:color w:val="000000"/>
          <w:kern w:val="2"/>
          <w:sz w:val="24"/>
          <w:szCs w:val="24"/>
        </w:rPr>
      </w:pPr>
    </w:p>
    <w:p w14:paraId="6890E5EF">
      <w:pPr>
        <w:adjustRightInd w:val="0"/>
        <w:snapToGrid w:val="0"/>
        <w:spacing w:line="500" w:lineRule="exact"/>
        <w:ind w:firstLine="480" w:firstLineChars="200"/>
        <w:textAlignment w:val="auto"/>
        <w:rPr>
          <w:rFonts w:hint="default" w:ascii="Times New Roman" w:hAnsi="Times New Roman" w:eastAsia="宋体" w:cs="Times New Roman"/>
          <w:bCs/>
          <w:color w:val="000000"/>
          <w:kern w:val="2"/>
          <w:sz w:val="24"/>
          <w:szCs w:val="24"/>
        </w:rPr>
      </w:pPr>
    </w:p>
    <w:p w14:paraId="618A638A">
      <w:pPr>
        <w:adjustRightInd w:val="0"/>
        <w:snapToGrid w:val="0"/>
        <w:spacing w:line="500" w:lineRule="exact"/>
        <w:ind w:firstLine="480" w:firstLineChars="200"/>
        <w:textAlignment w:val="auto"/>
        <w:rPr>
          <w:rFonts w:hint="eastAsia"/>
        </w:rPr>
      </w:pPr>
      <w:r>
        <w:rPr>
          <w:rFonts w:hint="default" w:ascii="Times New Roman" w:hAnsi="Times New Roman" w:eastAsia="宋体" w:cs="Times New Roman"/>
        </w:rPr>
        <w:drawing>
          <wp:anchor distT="0" distB="0" distL="114300" distR="114300" simplePos="0" relativeHeight="251673600" behindDoc="0" locked="0" layoutInCell="1" allowOverlap="1">
            <wp:simplePos x="0" y="0"/>
            <wp:positionH relativeFrom="column">
              <wp:posOffset>176530</wp:posOffset>
            </wp:positionH>
            <wp:positionV relativeFrom="paragraph">
              <wp:posOffset>186690</wp:posOffset>
            </wp:positionV>
            <wp:extent cx="4723130" cy="1233805"/>
            <wp:effectExtent l="19050" t="19050" r="20320" b="23495"/>
            <wp:wrapNone/>
            <wp:docPr id="98" name="图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497"/>
                    <pic:cNvPicPr>
                      <a:picLocks noChangeAspect="1"/>
                    </pic:cNvPicPr>
                  </pic:nvPicPr>
                  <pic:blipFill>
                    <a:blip r:embed="rId28"/>
                    <a:stretch>
                      <a:fillRect/>
                    </a:stretch>
                  </pic:blipFill>
                  <pic:spPr>
                    <a:xfrm>
                      <a:off x="0" y="0"/>
                      <a:ext cx="4723130" cy="1233805"/>
                    </a:xfrm>
                    <a:prstGeom prst="rect">
                      <a:avLst/>
                    </a:prstGeom>
                    <a:noFill/>
                    <a:ln w="19050" cap="flat" cmpd="sng">
                      <a:solidFill>
                        <a:srgbClr val="000000"/>
                      </a:solidFill>
                      <a:prstDash val="solid"/>
                      <a:miter/>
                      <a:headEnd type="none" w="med" len="med"/>
                      <a:tailEnd type="none" w="med" len="med"/>
                    </a:ln>
                  </pic:spPr>
                </pic:pic>
              </a:graphicData>
            </a:graphic>
          </wp:anchor>
        </w:drawing>
      </w:r>
    </w:p>
    <w:p w14:paraId="120E23A2">
      <w:pPr>
        <w:bidi w:val="0"/>
        <w:rPr>
          <w:rFonts w:hint="eastAsia"/>
        </w:rPr>
      </w:pPr>
    </w:p>
    <w:p w14:paraId="40667D61">
      <w:pPr>
        <w:bidi w:val="0"/>
        <w:rPr>
          <w:rFonts w:hint="eastAsia"/>
        </w:rPr>
      </w:pPr>
    </w:p>
    <w:p w14:paraId="0C11F96B">
      <w:pPr>
        <w:bidi w:val="0"/>
        <w:rPr>
          <w:rFonts w:hint="eastAsia"/>
        </w:rPr>
      </w:pPr>
    </w:p>
    <w:p w14:paraId="517A32FD">
      <w:pPr>
        <w:spacing w:line="460" w:lineRule="exact"/>
        <w:ind w:firstLine="480"/>
        <w:rPr>
          <w:rFonts w:hint="eastAsia"/>
          <w:color w:val="FF0000"/>
        </w:rPr>
      </w:pPr>
    </w:p>
    <w:p w14:paraId="6CDADCB0">
      <w:pPr>
        <w:pStyle w:val="78"/>
        <w:rPr>
          <w:rFonts w:hint="eastAsia"/>
        </w:rPr>
      </w:pPr>
      <w:r>
        <w:rPr>
          <w:rFonts w:hint="eastAsia"/>
        </w:rPr>
        <w:t>图</w:t>
      </w:r>
      <w:r>
        <w:rPr>
          <w:rFonts w:hint="eastAsia"/>
          <w:lang w:val="en-US" w:eastAsia="zh-CN"/>
        </w:rPr>
        <w:t xml:space="preserve">3.6-1  </w:t>
      </w:r>
      <w:r>
        <w:rPr>
          <w:rFonts w:hint="eastAsia"/>
        </w:rPr>
        <w:t xml:space="preserve">  施工期生产工艺流程及产污环节图</w:t>
      </w:r>
    </w:p>
    <w:p w14:paraId="0EB50825">
      <w:pPr>
        <w:pStyle w:val="72"/>
        <w:rPr>
          <w:rFonts w:hint="eastAsia"/>
        </w:rPr>
      </w:pPr>
      <w:r>
        <w:rPr>
          <w:rFonts w:hint="eastAsia"/>
        </w:rPr>
        <w:t>本项目营运期污染因素主要有废气、废水、噪声、固废，具体内容详见以下分析。</w:t>
      </w:r>
    </w:p>
    <w:p w14:paraId="3992AD3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3.6.1废气</w:t>
      </w:r>
    </w:p>
    <w:p w14:paraId="388ABDC1">
      <w:pPr>
        <w:pStyle w:val="72"/>
      </w:pPr>
      <w:r>
        <w:rPr>
          <w:rFonts w:hint="eastAsia"/>
        </w:rPr>
        <w:t>本项目废气主要为电镀生产线中酸洗活化槽产生的硫酸雾，钝化槽产生的铬酸雾，槽液调配间产生的硫酸雾，污水处理站产生的H</w:t>
      </w:r>
      <w:r>
        <w:rPr>
          <w:vertAlign w:val="subscript"/>
        </w:rPr>
        <w:t>2</w:t>
      </w:r>
      <w:r>
        <w:t>S</w:t>
      </w:r>
      <w:r>
        <w:rPr>
          <w:rFonts w:hint="eastAsia"/>
        </w:rPr>
        <w:t>、N</w:t>
      </w:r>
      <w:r>
        <w:t>H</w:t>
      </w:r>
      <w:r>
        <w:rPr>
          <w:vertAlign w:val="subscript"/>
        </w:rPr>
        <w:t>3</w:t>
      </w:r>
      <w:r>
        <w:rPr>
          <w:rFonts w:hint="eastAsia"/>
        </w:rPr>
        <w:t>、臭气浓度。</w:t>
      </w:r>
    </w:p>
    <w:p w14:paraId="5AA496C4">
      <w:pPr>
        <w:pStyle w:val="72"/>
      </w:pPr>
      <w:r>
        <w:rPr>
          <w:rFonts w:hint="eastAsia"/>
        </w:rPr>
        <w:t xml:space="preserve">根据《污染源源强核算技术指南 </w:t>
      </w:r>
      <w:r>
        <w:t xml:space="preserve"> </w:t>
      </w:r>
      <w:r>
        <w:rPr>
          <w:rFonts w:hint="eastAsia"/>
        </w:rPr>
        <w:t>电镀》（HJ984-2018），本项目废气产生量通过下式进行计算：</w:t>
      </w:r>
    </w:p>
    <w:p w14:paraId="7738D589">
      <w:pPr>
        <w:pStyle w:val="83"/>
        <w:spacing w:before="120" w:after="120"/>
        <w:ind w:firstLine="360"/>
        <w:rPr>
          <w:vertAlign w:val="superscript"/>
        </w:rPr>
      </w:pPr>
      <w:r>
        <w:t>D=G</w:t>
      </w:r>
      <w:r>
        <w:rPr>
          <w:vertAlign w:val="subscript"/>
        </w:rPr>
        <w:t>S</w:t>
      </w:r>
      <w:r>
        <w:t>×A×t×10</w:t>
      </w:r>
      <w:r>
        <w:rPr>
          <w:vertAlign w:val="superscript"/>
        </w:rPr>
        <w:t>-6</w:t>
      </w:r>
    </w:p>
    <w:p w14:paraId="5A64DE08">
      <w:pPr>
        <w:ind w:firstLine="480"/>
        <w:rPr>
          <w:rFonts w:ascii="宋体" w:hAnsi="宋体"/>
        </w:rPr>
      </w:pPr>
      <w:r>
        <w:rPr>
          <w:rFonts w:hint="eastAsia" w:ascii="宋体" w:hAnsi="宋体"/>
        </w:rPr>
        <w:t>式中：</w:t>
      </w:r>
      <w:r>
        <w:rPr>
          <w:rFonts w:hint="eastAsia"/>
        </w:rPr>
        <w:t>D</w:t>
      </w:r>
      <w:r>
        <w:t>—</w:t>
      </w:r>
      <w:r>
        <w:rPr>
          <w:rFonts w:hint="eastAsia"/>
        </w:rPr>
        <w:t>核算时段内污染物产生量，t；</w:t>
      </w:r>
    </w:p>
    <w:p w14:paraId="6AA6BD15">
      <w:pPr>
        <w:ind w:firstLine="1200" w:firstLineChars="500"/>
      </w:pPr>
      <w:r>
        <w:t>G</w:t>
      </w:r>
      <w:r>
        <w:rPr>
          <w:rFonts w:hint="eastAsia"/>
          <w:vertAlign w:val="subscript"/>
        </w:rPr>
        <w:t>S</w:t>
      </w:r>
      <w:r>
        <w:t>—</w:t>
      </w:r>
      <w:r>
        <w:rPr>
          <w:rFonts w:hint="eastAsia" w:hAnsi="宋体"/>
        </w:rPr>
        <w:t>单位镀槽液面面积单位时间废气污染物产生量，g/(m</w:t>
      </w:r>
      <w:r>
        <w:rPr>
          <w:rFonts w:hint="eastAsia" w:hAnsi="宋体"/>
          <w:vertAlign w:val="superscript"/>
        </w:rPr>
        <w:t>2</w:t>
      </w:r>
      <w:r>
        <w:rPr>
          <w:rFonts w:hint="eastAsia"/>
        </w:rPr>
        <w:t>·</w:t>
      </w:r>
      <w:r>
        <w:rPr>
          <w:rFonts w:hint="eastAsia" w:hAnsi="宋体"/>
        </w:rPr>
        <w:t>h)；</w:t>
      </w:r>
    </w:p>
    <w:p w14:paraId="19B0C937">
      <w:pPr>
        <w:ind w:firstLine="1200" w:firstLineChars="500"/>
      </w:pPr>
      <w:r>
        <w:rPr>
          <w:rFonts w:hint="eastAsia"/>
        </w:rPr>
        <w:t>A</w:t>
      </w:r>
      <w:r>
        <w:t>—</w:t>
      </w:r>
      <w:r>
        <w:rPr>
          <w:rFonts w:hint="eastAsia"/>
        </w:rPr>
        <w:t>镀槽液面面积，m</w:t>
      </w:r>
      <w:r>
        <w:rPr>
          <w:rFonts w:hint="eastAsia"/>
          <w:vertAlign w:val="superscript"/>
        </w:rPr>
        <w:t>2</w:t>
      </w:r>
      <w:r>
        <w:rPr>
          <w:rFonts w:hint="eastAsia"/>
        </w:rPr>
        <w:t>；</w:t>
      </w:r>
    </w:p>
    <w:p w14:paraId="2E23FCC0">
      <w:pPr>
        <w:pStyle w:val="72"/>
        <w:ind w:firstLine="1200" w:firstLineChars="500"/>
      </w:pPr>
      <w:r>
        <w:rPr>
          <w:rFonts w:hint="eastAsia"/>
        </w:rPr>
        <w:t>t</w:t>
      </w:r>
      <w:r>
        <w:t>—</w:t>
      </w:r>
      <w:r>
        <w:rPr>
          <w:rFonts w:hint="eastAsia"/>
        </w:rPr>
        <w:t>核算时段内污染物产生时间，h。</w:t>
      </w:r>
    </w:p>
    <w:p w14:paraId="35A42D50">
      <w:pPr>
        <w:widowControl/>
        <w:kinsoku w:val="0"/>
        <w:autoSpaceDE w:val="0"/>
        <w:autoSpaceDN w:val="0"/>
        <w:ind w:firstLine="480"/>
        <w:rPr>
          <w:rFonts w:cs="宋体"/>
        </w:rPr>
      </w:pPr>
      <w:r>
        <w:rPr>
          <w:rFonts w:cs="宋体"/>
        </w:rPr>
        <w:t>其中Gs可根据《污染源源强核算技术指南  电镀》（HJ984-2018）附录 B表B.1单位镀槽液面面积单位时间废气污染物产污系数来确定。本工序涉及到的单位镀槽液面面积单位时间酸雾污染产污指数见下表。</w:t>
      </w:r>
    </w:p>
    <w:p w14:paraId="766B2E8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w:t>
      </w:r>
      <w:r>
        <w:rPr>
          <w:rFonts w:hint="eastAsia"/>
          <w:lang w:val="en-US" w:eastAsia="zh-CN"/>
        </w:rPr>
        <w:t>3.6-1</w:t>
      </w:r>
      <w:r>
        <w:t xml:space="preserve">    </w:t>
      </w:r>
      <w:r>
        <w:rPr>
          <w:rFonts w:hint="eastAsia"/>
        </w:rPr>
        <w:t>单位镀槽液面面积单位时间酸雾污染产污指数（摘录）</w:t>
      </w:r>
    </w:p>
    <w:p w14:paraId="08E5C4EC">
      <w:pPr>
        <w:widowControl/>
        <w:kinsoku w:val="0"/>
        <w:autoSpaceDE w:val="0"/>
        <w:autoSpaceDN w:val="0"/>
        <w:spacing w:line="46" w:lineRule="exact"/>
        <w:ind w:firstLine="422"/>
        <w:jc w:val="left"/>
        <w:rPr>
          <w:rFonts w:ascii="Arial" w:hAnsi="Arial" w:cs="Arial"/>
          <w:b/>
          <w:bCs/>
          <w:sz w:val="21"/>
          <w:szCs w:val="21"/>
          <w:u w:val="single"/>
        </w:rPr>
      </w:pPr>
    </w:p>
    <w:tbl>
      <w:tblPr>
        <w:tblStyle w:val="39"/>
        <w:tblW w:w="500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03"/>
        <w:gridCol w:w="1141"/>
        <w:gridCol w:w="1284"/>
        <w:gridCol w:w="5216"/>
      </w:tblGrid>
      <w:tr w14:paraId="5233A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78" w:type="dxa"/>
            <w:shd w:val="clear" w:color="auto" w:fill="auto"/>
            <w:vAlign w:val="center"/>
          </w:tcPr>
          <w:p w14:paraId="71C04236">
            <w:pPr>
              <w:pStyle w:val="75"/>
              <w:adjustRightInd w:val="0"/>
              <w:snapToGrid w:val="0"/>
              <w:rPr>
                <w:b/>
                <w:bCs/>
              </w:rPr>
            </w:pPr>
            <w:r>
              <w:rPr>
                <w:rFonts w:hint="eastAsia"/>
                <w:b/>
                <w:bCs/>
              </w:rPr>
              <w:t>序号</w:t>
            </w:r>
          </w:p>
        </w:tc>
        <w:tc>
          <w:tcPr>
            <w:tcW w:w="1911" w:type="dxa"/>
            <w:shd w:val="clear" w:color="auto" w:fill="auto"/>
            <w:vAlign w:val="center"/>
          </w:tcPr>
          <w:p w14:paraId="77B8FF76">
            <w:pPr>
              <w:pStyle w:val="75"/>
              <w:adjustRightInd w:val="0"/>
              <w:snapToGrid w:val="0"/>
              <w:rPr>
                <w:b/>
                <w:bCs/>
              </w:rPr>
            </w:pPr>
            <w:r>
              <w:rPr>
                <w:rFonts w:hint="eastAsia"/>
                <w:b/>
                <w:bCs/>
              </w:rPr>
              <w:t>污染物</w:t>
            </w:r>
          </w:p>
          <w:p w14:paraId="0F2D36CD">
            <w:pPr>
              <w:pStyle w:val="75"/>
              <w:adjustRightInd w:val="0"/>
              <w:snapToGrid w:val="0"/>
              <w:rPr>
                <w:b/>
                <w:bCs/>
              </w:rPr>
            </w:pPr>
            <w:r>
              <w:rPr>
                <w:rFonts w:hint="eastAsia"/>
                <w:b/>
                <w:bCs/>
              </w:rPr>
              <w:t>名称</w:t>
            </w:r>
          </w:p>
        </w:tc>
        <w:tc>
          <w:tcPr>
            <w:tcW w:w="2151" w:type="dxa"/>
            <w:shd w:val="clear" w:color="auto" w:fill="auto"/>
            <w:vAlign w:val="center"/>
          </w:tcPr>
          <w:p w14:paraId="549BFD5C">
            <w:pPr>
              <w:pStyle w:val="75"/>
              <w:adjustRightInd w:val="0"/>
              <w:snapToGrid w:val="0"/>
              <w:rPr>
                <w:b/>
                <w:bCs/>
              </w:rPr>
            </w:pPr>
            <w:r>
              <w:rPr>
                <w:rFonts w:hint="eastAsia"/>
                <w:b/>
                <w:bCs/>
              </w:rPr>
              <w:t>产生量</w:t>
            </w:r>
          </w:p>
          <w:p w14:paraId="7F5396AC">
            <w:pPr>
              <w:pStyle w:val="75"/>
              <w:adjustRightInd w:val="0"/>
              <w:snapToGrid w:val="0"/>
              <w:rPr>
                <w:b/>
                <w:bCs/>
              </w:rPr>
            </w:pPr>
            <w:r>
              <w:rPr>
                <w:b/>
                <w:bCs/>
              </w:rPr>
              <w:t>g/</w:t>
            </w:r>
            <w:r>
              <w:rPr>
                <w:rFonts w:hint="eastAsia"/>
                <w:b/>
                <w:bCs/>
              </w:rPr>
              <w:t>（</w:t>
            </w:r>
            <w:r>
              <w:rPr>
                <w:b/>
                <w:bCs/>
              </w:rPr>
              <w:t>m</w:t>
            </w:r>
            <w:r>
              <w:rPr>
                <w:b/>
                <w:bCs/>
                <w:vertAlign w:val="superscript"/>
              </w:rPr>
              <w:t>2</w:t>
            </w:r>
            <w:r>
              <w:rPr>
                <w:b/>
                <w:bCs/>
              </w:rPr>
              <w:t>·h</w:t>
            </w:r>
            <w:r>
              <w:rPr>
                <w:rFonts w:hint="eastAsia"/>
                <w:b/>
                <w:bCs/>
              </w:rPr>
              <w:t>）</w:t>
            </w:r>
          </w:p>
        </w:tc>
        <w:tc>
          <w:tcPr>
            <w:tcW w:w="8738" w:type="dxa"/>
            <w:shd w:val="clear" w:color="auto" w:fill="auto"/>
            <w:vAlign w:val="center"/>
          </w:tcPr>
          <w:p w14:paraId="44C84609">
            <w:pPr>
              <w:pStyle w:val="75"/>
              <w:adjustRightInd w:val="0"/>
              <w:snapToGrid w:val="0"/>
              <w:rPr>
                <w:b/>
                <w:bCs/>
              </w:rPr>
            </w:pPr>
            <w:r>
              <w:rPr>
                <w:rFonts w:hint="eastAsia"/>
                <w:b/>
                <w:bCs/>
              </w:rPr>
              <w:t>适用范围</w:t>
            </w:r>
          </w:p>
        </w:tc>
      </w:tr>
      <w:tr w14:paraId="15BF08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78" w:type="dxa"/>
            <w:vMerge w:val="restart"/>
            <w:shd w:val="clear" w:color="auto" w:fill="auto"/>
            <w:vAlign w:val="center"/>
          </w:tcPr>
          <w:p w14:paraId="220EBCF7">
            <w:pPr>
              <w:pStyle w:val="75"/>
              <w:adjustRightInd w:val="0"/>
              <w:snapToGrid w:val="0"/>
            </w:pPr>
            <w:r>
              <w:t>1</w:t>
            </w:r>
          </w:p>
        </w:tc>
        <w:tc>
          <w:tcPr>
            <w:tcW w:w="1911" w:type="dxa"/>
            <w:vMerge w:val="restart"/>
            <w:shd w:val="clear" w:color="auto" w:fill="auto"/>
            <w:vAlign w:val="center"/>
          </w:tcPr>
          <w:p w14:paraId="2A742094">
            <w:pPr>
              <w:pStyle w:val="75"/>
              <w:adjustRightInd w:val="0"/>
              <w:snapToGrid w:val="0"/>
              <w:ind w:firstLine="0" w:firstLineChars="0"/>
            </w:pPr>
            <w:r>
              <w:rPr>
                <w:rFonts w:hint="eastAsia"/>
              </w:rPr>
              <w:t>硫酸雾</w:t>
            </w:r>
          </w:p>
        </w:tc>
        <w:tc>
          <w:tcPr>
            <w:tcW w:w="2151" w:type="dxa"/>
            <w:shd w:val="clear" w:color="auto" w:fill="auto"/>
            <w:vAlign w:val="center"/>
          </w:tcPr>
          <w:p w14:paraId="4412A73B">
            <w:pPr>
              <w:pStyle w:val="75"/>
              <w:adjustRightInd w:val="0"/>
              <w:snapToGrid w:val="0"/>
              <w:ind w:firstLine="0" w:firstLineChars="0"/>
            </w:pPr>
            <w:r>
              <w:t>25.2</w:t>
            </w:r>
          </w:p>
        </w:tc>
        <w:tc>
          <w:tcPr>
            <w:tcW w:w="8738" w:type="dxa"/>
            <w:shd w:val="clear" w:color="auto" w:fill="auto"/>
            <w:vAlign w:val="center"/>
          </w:tcPr>
          <w:p w14:paraId="7A7C831E">
            <w:pPr>
              <w:pStyle w:val="75"/>
              <w:adjustRightInd w:val="0"/>
              <w:snapToGrid w:val="0"/>
              <w:ind w:firstLine="0" w:firstLineChars="0"/>
              <w:jc w:val="both"/>
            </w:pPr>
            <w:r>
              <w:rPr>
                <w:rFonts w:hint="eastAsia"/>
              </w:rPr>
              <w:t>在质量浓度大于</w:t>
            </w:r>
            <w:r>
              <w:t>100g/L</w:t>
            </w:r>
            <w:r>
              <w:rPr>
                <w:rFonts w:hint="eastAsia"/>
              </w:rPr>
              <w:t>的硫酸中浸蚀、抛光，硫酸阳极氧化，在稀而热的硫酸中浸蚀、抛光，在浓硫酸中退镍、退铜、退银等</w:t>
            </w:r>
          </w:p>
        </w:tc>
      </w:tr>
      <w:tr w14:paraId="11E72F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78" w:type="dxa"/>
            <w:vMerge w:val="continue"/>
            <w:shd w:val="clear" w:color="auto" w:fill="auto"/>
            <w:vAlign w:val="center"/>
          </w:tcPr>
          <w:p w14:paraId="5CBA4C78">
            <w:pPr>
              <w:pStyle w:val="75"/>
              <w:adjustRightInd w:val="0"/>
              <w:snapToGrid w:val="0"/>
            </w:pPr>
          </w:p>
        </w:tc>
        <w:tc>
          <w:tcPr>
            <w:tcW w:w="1911" w:type="dxa"/>
            <w:vMerge w:val="continue"/>
            <w:shd w:val="clear" w:color="auto" w:fill="auto"/>
            <w:vAlign w:val="center"/>
          </w:tcPr>
          <w:p w14:paraId="721484D6">
            <w:pPr>
              <w:pStyle w:val="75"/>
              <w:adjustRightInd w:val="0"/>
              <w:snapToGrid w:val="0"/>
              <w:ind w:firstLine="0" w:firstLineChars="0"/>
            </w:pPr>
          </w:p>
        </w:tc>
        <w:tc>
          <w:tcPr>
            <w:tcW w:w="2151" w:type="dxa"/>
            <w:shd w:val="clear" w:color="auto" w:fill="auto"/>
            <w:vAlign w:val="center"/>
          </w:tcPr>
          <w:p w14:paraId="1838FF81">
            <w:pPr>
              <w:pStyle w:val="75"/>
              <w:adjustRightInd w:val="0"/>
              <w:snapToGrid w:val="0"/>
              <w:ind w:firstLine="0" w:firstLineChars="0"/>
            </w:pPr>
            <w:r>
              <w:rPr>
                <w:rFonts w:hint="eastAsia"/>
              </w:rPr>
              <w:t>可忽略</w:t>
            </w:r>
          </w:p>
        </w:tc>
        <w:tc>
          <w:tcPr>
            <w:tcW w:w="8738" w:type="dxa"/>
            <w:shd w:val="clear" w:color="auto" w:fill="auto"/>
            <w:vAlign w:val="center"/>
          </w:tcPr>
          <w:p w14:paraId="5DAEB1C8">
            <w:pPr>
              <w:pStyle w:val="75"/>
              <w:adjustRightInd w:val="0"/>
              <w:snapToGrid w:val="0"/>
              <w:ind w:firstLine="0" w:firstLineChars="0"/>
              <w:jc w:val="both"/>
            </w:pPr>
            <w:r>
              <w:rPr>
                <w:rFonts w:hint="eastAsia"/>
              </w:rPr>
              <w:t>室温下含硫酸的溶液中镀铜、镀锡、镀锌、镀镉，弱硫酸酸洗</w:t>
            </w:r>
          </w:p>
        </w:tc>
      </w:tr>
      <w:tr w14:paraId="36085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178" w:type="dxa"/>
            <w:shd w:val="clear" w:color="auto" w:fill="auto"/>
            <w:vAlign w:val="center"/>
          </w:tcPr>
          <w:p w14:paraId="4D2F2C7B">
            <w:pPr>
              <w:pStyle w:val="75"/>
              <w:adjustRightInd w:val="0"/>
              <w:snapToGrid w:val="0"/>
              <w:rPr>
                <w:rFonts w:hint="eastAsia" w:eastAsia="宋体"/>
                <w:lang w:eastAsia="zh-CN"/>
              </w:rPr>
            </w:pPr>
            <w:r>
              <w:rPr>
                <w:rFonts w:hint="eastAsia"/>
                <w:lang w:val="en-US" w:eastAsia="zh-CN"/>
              </w:rPr>
              <w:t>2</w:t>
            </w:r>
          </w:p>
        </w:tc>
        <w:tc>
          <w:tcPr>
            <w:tcW w:w="1911" w:type="dxa"/>
            <w:shd w:val="clear" w:color="auto" w:fill="auto"/>
            <w:vAlign w:val="center"/>
          </w:tcPr>
          <w:p w14:paraId="25CA4F50">
            <w:pPr>
              <w:pStyle w:val="75"/>
              <w:adjustRightInd w:val="0"/>
              <w:snapToGrid w:val="0"/>
            </w:pPr>
            <w:r>
              <w:rPr>
                <w:rFonts w:hint="eastAsia"/>
              </w:rPr>
              <w:t>铬酸雾</w:t>
            </w:r>
          </w:p>
        </w:tc>
        <w:tc>
          <w:tcPr>
            <w:tcW w:w="2151" w:type="dxa"/>
            <w:shd w:val="clear" w:color="auto" w:fill="auto"/>
            <w:vAlign w:val="center"/>
          </w:tcPr>
          <w:p w14:paraId="5D5187BA">
            <w:pPr>
              <w:pStyle w:val="75"/>
              <w:adjustRightInd w:val="0"/>
              <w:snapToGrid w:val="0"/>
            </w:pPr>
            <w:r>
              <w:t>可忽略</w:t>
            </w:r>
          </w:p>
        </w:tc>
        <w:tc>
          <w:tcPr>
            <w:tcW w:w="8738" w:type="dxa"/>
            <w:shd w:val="clear" w:color="auto" w:fill="auto"/>
            <w:vAlign w:val="center"/>
          </w:tcPr>
          <w:p w14:paraId="1BD0D858">
            <w:pPr>
              <w:pStyle w:val="75"/>
              <w:adjustRightInd w:val="0"/>
              <w:snapToGrid w:val="0"/>
              <w:jc w:val="both"/>
            </w:pPr>
            <w:r>
              <w:t>常温下低铬酸及其盐溶液中钝化溶液</w:t>
            </w:r>
          </w:p>
        </w:tc>
      </w:tr>
    </w:tbl>
    <w:p w14:paraId="4B0AF67C">
      <w:pPr>
        <w:pStyle w:val="72"/>
      </w:pPr>
      <w:r>
        <w:rPr>
          <w:rFonts w:hint="eastAsia"/>
        </w:rPr>
        <w:t xml:space="preserve">经查阅《排污许可证申请与核发技术规范  电镀工业》（HJ855-2017），其中无本项目相关污染物核算规范，因此本项目按照《污染源源强核算技术指南  电镀》（HJ984-2018）进行污染物排放总量核算。根据《污染源源强核算技术指南 </w:t>
      </w:r>
      <w:r>
        <w:t xml:space="preserve"> </w:t>
      </w:r>
      <w:r>
        <w:rPr>
          <w:rFonts w:hint="eastAsia"/>
        </w:rPr>
        <w:t>电镀》（HJ984-2018），常温下低铬酸及其盐溶液中钝化溶液产生的铬酸雾可忽略；</w:t>
      </w:r>
      <w:r>
        <w:rPr>
          <w:rFonts w:cs="Times New Roman"/>
        </w:rPr>
        <w:t>本项目钝化为常温钝化，钝化液</w:t>
      </w:r>
      <w:r>
        <w:rPr>
          <w:rFonts w:hint="eastAsia" w:cs="Times New Roman"/>
        </w:rPr>
        <w:t>为硝酸铬</w:t>
      </w:r>
      <w:r>
        <w:rPr>
          <w:rFonts w:cs="Times New Roman"/>
        </w:rPr>
        <w:t>溶液，</w:t>
      </w:r>
      <w:r>
        <w:rPr>
          <w:rFonts w:hint="eastAsia" w:cs="Times New Roman"/>
        </w:rPr>
        <w:t>属于三价铬钝化，</w:t>
      </w:r>
      <w:r>
        <w:rPr>
          <w:rFonts w:hint="eastAsia"/>
        </w:rPr>
        <w:t>且弄浓度较低，</w:t>
      </w:r>
      <w:r>
        <w:rPr>
          <w:rFonts w:cs="Times New Roman"/>
        </w:rPr>
        <w:t>因</w:t>
      </w:r>
      <w:r>
        <w:rPr>
          <w:rFonts w:hint="eastAsia"/>
        </w:rPr>
        <w:t>此本项目钝化产生的铬酸雾可忽略。为了进一步减少废气影响，本项目铬酸雾废气采用生产线整体封闭抽风、槽边抽风装置进行收集，收集后引入两级碱喷淋吸收塔进行处理，尾气经15m高排气筒排放。</w:t>
      </w:r>
    </w:p>
    <w:p w14:paraId="7E9ECA09">
      <w:pPr>
        <w:pStyle w:val="72"/>
        <w:rPr>
          <w:rFonts w:hint="eastAsia" w:eastAsia="宋体"/>
          <w:lang w:val="en-US" w:eastAsia="zh-CN"/>
        </w:rPr>
      </w:pPr>
      <w:r>
        <w:rPr>
          <w:rFonts w:hint="eastAsia"/>
        </w:rPr>
        <w:t>综上所述，本项目生产废气产生环节主要为酸洗活化工段产生的硫酸雾。本项目共建设</w:t>
      </w:r>
      <w:r>
        <w:rPr>
          <w:rFonts w:hint="eastAsia"/>
          <w:lang w:val="en-US" w:eastAsia="zh-CN"/>
        </w:rPr>
        <w:t>3</w:t>
      </w:r>
      <w:r>
        <w:rPr>
          <w:rFonts w:hint="eastAsia"/>
        </w:rPr>
        <w:t>条钢壳生产线、2条</w:t>
      </w:r>
      <w:r>
        <w:rPr>
          <w:rFonts w:hint="eastAsia"/>
          <w:lang w:val="en-US" w:eastAsia="zh-CN"/>
        </w:rPr>
        <w:t>盖帽</w:t>
      </w:r>
      <w:r>
        <w:rPr>
          <w:rFonts w:hint="eastAsia"/>
        </w:rPr>
        <w:t>生产线和</w:t>
      </w:r>
      <w:r>
        <w:rPr>
          <w:rFonts w:hint="eastAsia"/>
          <w:lang w:val="en-US" w:eastAsia="zh-CN"/>
        </w:rPr>
        <w:t>6</w:t>
      </w:r>
      <w:r>
        <w:rPr>
          <w:rFonts w:hint="eastAsia"/>
        </w:rPr>
        <w:t>条</w:t>
      </w:r>
      <w:r>
        <w:rPr>
          <w:rFonts w:hint="eastAsia"/>
          <w:lang w:val="en-US" w:eastAsia="zh-CN"/>
        </w:rPr>
        <w:t>电池连接件</w:t>
      </w:r>
      <w:r>
        <w:rPr>
          <w:rFonts w:hint="eastAsia"/>
        </w:rPr>
        <w:t>生产线，生产线废气采用两级碱喷淋吸收塔</w:t>
      </w:r>
      <w:r>
        <w:rPr>
          <w:rFonts w:hint="eastAsia"/>
          <w:lang w:eastAsia="zh-CN"/>
        </w:rPr>
        <w:t>（</w:t>
      </w:r>
      <w:r>
        <w:rPr>
          <w:rFonts w:hint="eastAsia"/>
          <w:lang w:val="en-US" w:eastAsia="zh-CN"/>
        </w:rPr>
        <w:t>3套，TA001~TA003</w:t>
      </w:r>
      <w:r>
        <w:rPr>
          <w:rFonts w:hint="eastAsia"/>
          <w:lang w:eastAsia="zh-CN"/>
        </w:rPr>
        <w:t>）</w:t>
      </w:r>
      <w:r>
        <w:rPr>
          <w:rFonts w:hint="eastAsia"/>
        </w:rPr>
        <w:t>进行处理，尾气经15m排气筒</w:t>
      </w:r>
      <w:r>
        <w:rPr>
          <w:rFonts w:hint="eastAsia"/>
          <w:lang w:eastAsia="zh-CN"/>
        </w:rPr>
        <w:t>（</w:t>
      </w:r>
      <w:r>
        <w:rPr>
          <w:rFonts w:hint="eastAsia"/>
        </w:rPr>
        <w:t>DA001</w:t>
      </w:r>
      <w:r>
        <w:rPr>
          <w:rFonts w:hint="eastAsia"/>
          <w:lang w:val="en-US" w:eastAsia="zh-CN"/>
        </w:rPr>
        <w:t>~</w:t>
      </w:r>
      <w:r>
        <w:rPr>
          <w:rFonts w:hint="eastAsia"/>
        </w:rPr>
        <w:t>DA00</w:t>
      </w:r>
      <w:r>
        <w:rPr>
          <w:rFonts w:hint="eastAsia"/>
          <w:lang w:val="en-US" w:eastAsia="zh-CN"/>
        </w:rPr>
        <w:t>3</w:t>
      </w:r>
      <w:r>
        <w:rPr>
          <w:rFonts w:hint="eastAsia"/>
          <w:lang w:eastAsia="zh-CN"/>
        </w:rPr>
        <w:t>）</w:t>
      </w:r>
      <w:r>
        <w:rPr>
          <w:rFonts w:hint="eastAsia"/>
        </w:rPr>
        <w:t>排放</w:t>
      </w:r>
      <w:r>
        <w:rPr>
          <w:rFonts w:hint="eastAsia"/>
          <w:lang w:eastAsia="zh-CN"/>
        </w:rPr>
        <w:t>。</w:t>
      </w:r>
    </w:p>
    <w:p w14:paraId="342BB99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3.6.1.1电池钢壳生产线废气</w:t>
      </w:r>
    </w:p>
    <w:p w14:paraId="1A0B30B9">
      <w:pPr>
        <w:pStyle w:val="72"/>
        <w:rPr>
          <w:rFonts w:hint="eastAsia"/>
        </w:rPr>
      </w:pPr>
      <w:r>
        <w:rPr>
          <w:rFonts w:hint="eastAsia"/>
          <w:color w:val="auto"/>
        </w:rPr>
        <w:t>本项目建设</w:t>
      </w:r>
      <w:r>
        <w:rPr>
          <w:rFonts w:hint="eastAsia"/>
          <w:color w:val="auto"/>
          <w:lang w:val="en-US" w:eastAsia="zh-CN"/>
        </w:rPr>
        <w:t>3</w:t>
      </w:r>
      <w:r>
        <w:rPr>
          <w:rFonts w:hint="eastAsia"/>
          <w:color w:val="auto"/>
        </w:rPr>
        <w:t>条</w:t>
      </w:r>
      <w:r>
        <w:rPr>
          <w:rFonts w:hint="eastAsia"/>
        </w:rPr>
        <w:t>电池钢壳生产线，</w:t>
      </w:r>
      <w:r>
        <w:rPr>
          <w:rFonts w:hint="eastAsia"/>
          <w:lang w:val="en-US" w:eastAsia="zh-CN"/>
        </w:rPr>
        <w:t>3</w:t>
      </w:r>
      <w:r>
        <w:rPr>
          <w:rFonts w:hint="eastAsia"/>
        </w:rPr>
        <w:t>条生产线的生产工艺、生产设备和原辅料均相同，生产线</w:t>
      </w:r>
      <w:r>
        <w:rPr>
          <w:rFonts w:hint="eastAsia"/>
          <w:lang w:val="en-US" w:eastAsia="zh-CN"/>
        </w:rPr>
        <w:t>酸洗</w:t>
      </w:r>
      <w:r>
        <w:rPr>
          <w:rFonts w:hint="eastAsia"/>
        </w:rPr>
        <w:t>活化工序产生的废气经收集后采用两级碱喷淋吸收塔（</w:t>
      </w:r>
      <w:r>
        <w:rPr>
          <w:rFonts w:hint="eastAsia"/>
          <w:lang w:val="en-US" w:eastAsia="zh-CN"/>
        </w:rPr>
        <w:t>TA001</w:t>
      </w:r>
      <w:r>
        <w:rPr>
          <w:rFonts w:hint="eastAsia"/>
        </w:rPr>
        <w:t>）进行处理，尾气经15m高排气筒DA001排放，其产排情况分析如下：</w:t>
      </w:r>
    </w:p>
    <w:p w14:paraId="1895F6E4">
      <w:pPr>
        <w:pStyle w:val="72"/>
        <w:rPr>
          <w:rFonts w:hint="eastAsia"/>
        </w:rPr>
      </w:pPr>
      <w:r>
        <w:rPr>
          <w:rFonts w:hint="eastAsia"/>
        </w:rPr>
        <w:t>根据《污染源源强核算技术指南  电镀》（HJ984-2018）附录B，本项目生产线实际情况及查到的硫酸雾产生量情况见表</w:t>
      </w:r>
      <w:r>
        <w:rPr>
          <w:rFonts w:hint="eastAsia"/>
          <w:lang w:val="en-US" w:eastAsia="zh-CN"/>
        </w:rPr>
        <w:t>3.6-2</w:t>
      </w:r>
      <w:r>
        <w:rPr>
          <w:rFonts w:hint="eastAsia"/>
        </w:rPr>
        <w:t>。</w:t>
      </w:r>
    </w:p>
    <w:p w14:paraId="11B46B6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3.6-2</w:t>
      </w:r>
      <w:r>
        <w:rPr>
          <w:rFonts w:hint="eastAsia"/>
        </w:rPr>
        <w:t xml:space="preserve">    本项目电池钢壳单条生产线硫酸雾参数确定表</w:t>
      </w:r>
    </w:p>
    <w:tbl>
      <w:tblPr>
        <w:tblStyle w:val="39"/>
        <w:tblW w:w="484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1127"/>
        <w:gridCol w:w="1273"/>
        <w:gridCol w:w="1235"/>
        <w:gridCol w:w="1836"/>
        <w:gridCol w:w="1400"/>
      </w:tblGrid>
      <w:tr w14:paraId="7F1208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42" w:type="pct"/>
            <w:gridSpan w:val="4"/>
            <w:vAlign w:val="center"/>
          </w:tcPr>
          <w:p w14:paraId="5189062A">
            <w:pPr>
              <w:pStyle w:val="81"/>
              <w:rPr>
                <w:rFonts w:cs="Times New Roman"/>
                <w:color w:val="auto"/>
              </w:rPr>
            </w:pPr>
            <w:r>
              <w:rPr>
                <w:rFonts w:cs="Times New Roman"/>
                <w:color w:val="auto"/>
              </w:rPr>
              <w:t>项目情况</w:t>
            </w:r>
          </w:p>
        </w:tc>
        <w:tc>
          <w:tcPr>
            <w:tcW w:w="1111" w:type="pct"/>
            <w:vMerge w:val="restart"/>
            <w:vAlign w:val="center"/>
          </w:tcPr>
          <w:p w14:paraId="10BE587F">
            <w:pPr>
              <w:pStyle w:val="81"/>
              <w:rPr>
                <w:rFonts w:cs="Times New Roman"/>
                <w:color w:val="auto"/>
              </w:rPr>
            </w:pPr>
            <w:r>
              <w:rPr>
                <w:rFonts w:cs="Times New Roman"/>
                <w:color w:val="auto"/>
              </w:rPr>
              <w:t>附录B硫酸雾产生量（g/m</w:t>
            </w:r>
            <w:r>
              <w:rPr>
                <w:rFonts w:cs="Times New Roman"/>
                <w:color w:val="auto"/>
                <w:vertAlign w:val="superscript"/>
              </w:rPr>
              <w:t>2</w:t>
            </w:r>
            <w:r>
              <w:rPr>
                <w:rFonts w:cs="Times New Roman"/>
                <w:color w:val="auto"/>
              </w:rPr>
              <w:t>·h）</w:t>
            </w:r>
          </w:p>
        </w:tc>
        <w:tc>
          <w:tcPr>
            <w:tcW w:w="846" w:type="pct"/>
            <w:vMerge w:val="restart"/>
            <w:vAlign w:val="center"/>
          </w:tcPr>
          <w:p w14:paraId="7155AE71">
            <w:pPr>
              <w:pStyle w:val="81"/>
              <w:rPr>
                <w:rFonts w:cs="Times New Roman"/>
                <w:color w:val="auto"/>
              </w:rPr>
            </w:pPr>
            <w:r>
              <w:rPr>
                <w:rFonts w:cs="Times New Roman"/>
                <w:color w:val="auto"/>
              </w:rPr>
              <w:t>硫酸雾产生量计算结果（kg/h）</w:t>
            </w:r>
          </w:p>
        </w:tc>
      </w:tr>
      <w:tr w14:paraId="32241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3" w:type="pct"/>
            <w:vAlign w:val="center"/>
          </w:tcPr>
          <w:p w14:paraId="71E1F1C3">
            <w:pPr>
              <w:pStyle w:val="75"/>
              <w:rPr>
                <w:b/>
              </w:rPr>
            </w:pPr>
            <w:r>
              <w:rPr>
                <w:b/>
              </w:rPr>
              <w:t>工序</w:t>
            </w:r>
          </w:p>
        </w:tc>
        <w:tc>
          <w:tcPr>
            <w:tcW w:w="682" w:type="pct"/>
            <w:vAlign w:val="center"/>
          </w:tcPr>
          <w:p w14:paraId="0404A7A0">
            <w:pPr>
              <w:pStyle w:val="75"/>
              <w:rPr>
                <w:b/>
              </w:rPr>
            </w:pPr>
            <w:r>
              <w:rPr>
                <w:b/>
              </w:rPr>
              <w:t>温度（℃）</w:t>
            </w:r>
          </w:p>
        </w:tc>
        <w:tc>
          <w:tcPr>
            <w:tcW w:w="770" w:type="pct"/>
            <w:vAlign w:val="center"/>
          </w:tcPr>
          <w:p w14:paraId="419F5A40">
            <w:pPr>
              <w:pStyle w:val="75"/>
              <w:rPr>
                <w:b/>
              </w:rPr>
            </w:pPr>
            <w:r>
              <w:rPr>
                <w:b/>
              </w:rPr>
              <w:t>浓度（g/L）</w:t>
            </w:r>
          </w:p>
        </w:tc>
        <w:tc>
          <w:tcPr>
            <w:tcW w:w="746" w:type="pct"/>
            <w:vAlign w:val="center"/>
          </w:tcPr>
          <w:p w14:paraId="19561AC6">
            <w:pPr>
              <w:pStyle w:val="75"/>
              <w:rPr>
                <w:b/>
              </w:rPr>
            </w:pPr>
            <w:r>
              <w:rPr>
                <w:b/>
              </w:rPr>
              <w:t>表面积（m</w:t>
            </w:r>
            <w:r>
              <w:rPr>
                <w:b/>
                <w:vertAlign w:val="superscript"/>
              </w:rPr>
              <w:t>2</w:t>
            </w:r>
            <w:r>
              <w:rPr>
                <w:b/>
              </w:rPr>
              <w:t>）</w:t>
            </w:r>
          </w:p>
        </w:tc>
        <w:tc>
          <w:tcPr>
            <w:tcW w:w="1111" w:type="pct"/>
            <w:vMerge w:val="continue"/>
            <w:vAlign w:val="center"/>
          </w:tcPr>
          <w:p w14:paraId="174DE963">
            <w:pPr>
              <w:widowControl/>
              <w:adjustRightInd/>
              <w:snapToGrid/>
              <w:spacing w:line="240" w:lineRule="auto"/>
              <w:ind w:firstLine="0" w:firstLineChars="0"/>
              <w:jc w:val="left"/>
              <w:rPr>
                <w:b/>
                <w:kern w:val="2"/>
                <w:sz w:val="21"/>
              </w:rPr>
            </w:pPr>
          </w:p>
        </w:tc>
        <w:tc>
          <w:tcPr>
            <w:tcW w:w="846" w:type="pct"/>
            <w:vMerge w:val="continue"/>
            <w:vAlign w:val="center"/>
          </w:tcPr>
          <w:p w14:paraId="22FF2B12">
            <w:pPr>
              <w:widowControl/>
              <w:adjustRightInd/>
              <w:snapToGrid/>
              <w:spacing w:line="240" w:lineRule="auto"/>
              <w:ind w:firstLine="0" w:firstLineChars="0"/>
              <w:jc w:val="left"/>
              <w:rPr>
                <w:b/>
                <w:kern w:val="2"/>
                <w:sz w:val="21"/>
              </w:rPr>
            </w:pPr>
          </w:p>
        </w:tc>
      </w:tr>
      <w:tr w14:paraId="4BAAEC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3" w:type="pct"/>
            <w:vAlign w:val="center"/>
          </w:tcPr>
          <w:p w14:paraId="2E67D385">
            <w:pPr>
              <w:pStyle w:val="75"/>
              <w:rPr>
                <w:rFonts w:hint="eastAsia" w:eastAsia="宋体"/>
                <w:lang w:val="en-US" w:eastAsia="zh-CN"/>
              </w:rPr>
            </w:pPr>
            <w:r>
              <w:rPr>
                <w:rFonts w:hint="eastAsia"/>
                <w:lang w:val="en-US" w:eastAsia="zh-CN"/>
              </w:rPr>
              <w:t>酸洗活化</w:t>
            </w:r>
          </w:p>
        </w:tc>
        <w:tc>
          <w:tcPr>
            <w:tcW w:w="682" w:type="pct"/>
            <w:vAlign w:val="center"/>
          </w:tcPr>
          <w:p w14:paraId="602A52AE">
            <w:pPr>
              <w:pStyle w:val="75"/>
            </w:pPr>
            <w:r>
              <w:t>常温</w:t>
            </w:r>
          </w:p>
        </w:tc>
        <w:tc>
          <w:tcPr>
            <w:tcW w:w="770" w:type="pct"/>
            <w:vAlign w:val="center"/>
          </w:tcPr>
          <w:p w14:paraId="52B2D459">
            <w:pPr>
              <w:pStyle w:val="75"/>
              <w:rPr>
                <w:rFonts w:hint="default" w:eastAsia="宋体"/>
                <w:lang w:val="en-US" w:eastAsia="zh-CN"/>
              </w:rPr>
            </w:pPr>
            <w:r>
              <w:rPr>
                <w:rFonts w:hint="eastAsia"/>
                <w:lang w:val="en-US" w:eastAsia="zh-CN"/>
              </w:rPr>
              <w:t>183.05</w:t>
            </w:r>
          </w:p>
        </w:tc>
        <w:tc>
          <w:tcPr>
            <w:tcW w:w="746" w:type="pct"/>
            <w:vAlign w:val="center"/>
          </w:tcPr>
          <w:p w14:paraId="31892CD4">
            <w:pPr>
              <w:pStyle w:val="75"/>
              <w:rPr>
                <w:rFonts w:hint="default" w:eastAsia="宋体"/>
                <w:lang w:val="en-US" w:eastAsia="zh-CN"/>
              </w:rPr>
            </w:pPr>
            <w:r>
              <w:rPr>
                <w:rFonts w:hint="eastAsia"/>
                <w:lang w:val="en-US" w:eastAsia="zh-CN"/>
              </w:rPr>
              <w:t>2.8</w:t>
            </w:r>
          </w:p>
        </w:tc>
        <w:tc>
          <w:tcPr>
            <w:tcW w:w="1111" w:type="pct"/>
            <w:vAlign w:val="center"/>
          </w:tcPr>
          <w:p w14:paraId="76899A54">
            <w:pPr>
              <w:pStyle w:val="75"/>
            </w:pPr>
            <w:r>
              <w:t>25.2</w:t>
            </w:r>
          </w:p>
        </w:tc>
        <w:tc>
          <w:tcPr>
            <w:tcW w:w="846" w:type="pct"/>
            <w:vAlign w:val="center"/>
          </w:tcPr>
          <w:p w14:paraId="17F27623">
            <w:pPr>
              <w:pStyle w:val="75"/>
              <w:rPr>
                <w:rFonts w:hint="default" w:eastAsia="宋体"/>
                <w:lang w:val="en-US" w:eastAsia="zh-CN"/>
              </w:rPr>
            </w:pPr>
            <w:r>
              <w:rPr>
                <w:rFonts w:hint="eastAsia"/>
                <w:lang w:val="en-US" w:eastAsia="zh-CN"/>
              </w:rPr>
              <w:t>0.0706</w:t>
            </w:r>
          </w:p>
        </w:tc>
      </w:tr>
      <w:tr w14:paraId="54BA5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6"/>
            <w:vAlign w:val="center"/>
          </w:tcPr>
          <w:p w14:paraId="77460853">
            <w:pPr>
              <w:pStyle w:val="75"/>
              <w:jc w:val="both"/>
              <w:rPr>
                <w:bCs/>
              </w:rPr>
            </w:pPr>
            <w:r>
              <w:rPr>
                <w:bCs/>
              </w:rPr>
              <w:t>注：*本项目</w:t>
            </w:r>
            <w:r>
              <w:rPr>
                <w:rFonts w:hint="eastAsia"/>
                <w:bCs/>
                <w:lang w:val="en-US" w:eastAsia="zh-CN"/>
              </w:rPr>
              <w:t>酸洗</w:t>
            </w:r>
            <w:r>
              <w:rPr>
                <w:bCs/>
              </w:rPr>
              <w:t>活化使用硫酸，但其质量浓度大于100g/L，正常温度为常温，加酸时不超过45℃，因此取较大值25.2g/m</w:t>
            </w:r>
            <w:r>
              <w:rPr>
                <w:bCs/>
                <w:vertAlign w:val="superscript"/>
              </w:rPr>
              <w:t>2</w:t>
            </w:r>
            <w:r>
              <w:rPr>
                <w:bCs/>
              </w:rPr>
              <w:t>·h。</w:t>
            </w:r>
          </w:p>
        </w:tc>
      </w:tr>
    </w:tbl>
    <w:p w14:paraId="45E41B4B">
      <w:pPr>
        <w:ind w:firstLine="480"/>
        <w:rPr>
          <w:rFonts w:hint="default" w:eastAsia="宋体"/>
          <w:lang w:val="en-US" w:eastAsia="zh-CN"/>
        </w:rPr>
      </w:pPr>
      <w:r>
        <w:rPr>
          <w:rFonts w:hint="eastAsia"/>
        </w:rPr>
        <w:t>将上表中确定的附录B中硫酸雾产生量及各工序表面积参数值代入废气产生量计算公式，可以得出本项目</w:t>
      </w:r>
      <w:r>
        <w:rPr>
          <w:rFonts w:hint="eastAsia"/>
          <w:lang w:val="en-US" w:eastAsia="zh-CN"/>
        </w:rPr>
        <w:t>单条</w:t>
      </w:r>
      <w:r>
        <w:rPr>
          <w:rFonts w:hint="eastAsia"/>
        </w:rPr>
        <w:t>钢壳生产线的硫酸雾产生量为</w:t>
      </w:r>
      <w:r>
        <w:rPr>
          <w:rFonts w:hint="eastAsia"/>
          <w:lang w:val="en-US" w:eastAsia="zh-CN"/>
        </w:rPr>
        <w:t>0.0706</w:t>
      </w:r>
      <w:r>
        <w:rPr>
          <w:rFonts w:hint="eastAsia"/>
        </w:rPr>
        <w:t>kg/h。3条生产线硫酸雾产生量为</w:t>
      </w:r>
      <w:r>
        <w:rPr>
          <w:rFonts w:hint="eastAsia"/>
          <w:lang w:val="en-US" w:eastAsia="zh-CN"/>
        </w:rPr>
        <w:t>1.5250t/a。</w:t>
      </w:r>
    </w:p>
    <w:p w14:paraId="73032064">
      <w:pPr>
        <w:ind w:firstLine="480"/>
      </w:pPr>
      <w:r>
        <w:rPr>
          <w:rFonts w:hint="eastAsia"/>
        </w:rPr>
        <w:t>评价提出，本项目对钢壳整条生产线进行整体密闭抽风、槽边抽风装置，设计集气效率为98%。单条生产线密闭区域体积设计为</w:t>
      </w:r>
      <w:r>
        <w:rPr>
          <w:rFonts w:hint="eastAsia"/>
          <w:lang w:val="en-US" w:eastAsia="zh-CN"/>
        </w:rPr>
        <w:t>700</w:t>
      </w:r>
      <w:r>
        <w:rPr>
          <w:rFonts w:hint="eastAsia"/>
        </w:rPr>
        <w:t>m</w:t>
      </w:r>
      <w:r>
        <w:rPr>
          <w:rFonts w:hint="eastAsia"/>
          <w:vertAlign w:val="superscript"/>
        </w:rPr>
        <w:t>3</w:t>
      </w:r>
      <w:r>
        <w:rPr>
          <w:rFonts w:hint="eastAsia"/>
        </w:rPr>
        <w:t>（长</w:t>
      </w:r>
      <w:r>
        <w:rPr>
          <w:rFonts w:hint="eastAsia"/>
          <w:lang w:val="en-US" w:eastAsia="zh-CN"/>
        </w:rPr>
        <w:t>50</w:t>
      </w:r>
      <w:r>
        <w:rPr>
          <w:rFonts w:hint="eastAsia"/>
        </w:rPr>
        <w:t>m×宽</w:t>
      </w:r>
      <w:r>
        <w:rPr>
          <w:rFonts w:hint="eastAsia"/>
          <w:lang w:val="en-US" w:eastAsia="zh-CN"/>
        </w:rPr>
        <w:t>4</w:t>
      </w:r>
      <w:r>
        <w:rPr>
          <w:rFonts w:hint="eastAsia"/>
        </w:rPr>
        <w:t>m×高</w:t>
      </w:r>
      <w:r>
        <w:rPr>
          <w:rFonts w:hint="eastAsia"/>
          <w:lang w:val="en-US" w:eastAsia="zh-CN"/>
        </w:rPr>
        <w:t>3.5</w:t>
      </w:r>
      <w:r>
        <w:rPr>
          <w:rFonts w:hint="eastAsia"/>
        </w:rPr>
        <w:t>m），参照《工业通风换气次数的有关规定及其在评价中的应用》，设计换气次数为10次/h，则单条生产线整体密闭抽风装置设计风量为</w:t>
      </w:r>
      <w:r>
        <w:rPr>
          <w:rFonts w:hint="eastAsia"/>
          <w:lang w:val="en-US" w:eastAsia="zh-CN"/>
        </w:rPr>
        <w:t>7000</w:t>
      </w:r>
      <w:r>
        <w:rPr>
          <w:rFonts w:hint="eastAsia"/>
        </w:rPr>
        <w:t>m</w:t>
      </w:r>
      <w:r>
        <w:rPr>
          <w:rFonts w:hint="eastAsia"/>
          <w:vertAlign w:val="superscript"/>
        </w:rPr>
        <w:t>3</w:t>
      </w:r>
      <w:r>
        <w:rPr>
          <w:rFonts w:hint="eastAsia"/>
        </w:rPr>
        <w:t>/h；单条生产线酸洗</w:t>
      </w:r>
      <w:r>
        <w:rPr>
          <w:rFonts w:hint="eastAsia"/>
          <w:lang w:val="en-US" w:eastAsia="zh-CN"/>
        </w:rPr>
        <w:t>活化</w:t>
      </w:r>
      <w:r>
        <w:rPr>
          <w:rFonts w:hint="eastAsia"/>
        </w:rPr>
        <w:t>工序设置槽边抽风装置，设计尺寸为</w:t>
      </w:r>
      <w:r>
        <w:rPr>
          <w:rFonts w:hint="eastAsia"/>
          <w:lang w:val="en-US" w:eastAsia="zh-CN"/>
        </w:rPr>
        <w:t>2</w:t>
      </w:r>
      <w:r>
        <w:rPr>
          <w:rFonts w:hint="eastAsia"/>
        </w:rPr>
        <w:t>m</w:t>
      </w:r>
      <w:r>
        <w:rPr>
          <w:rFonts w:hint="eastAsia"/>
          <w:vertAlign w:val="superscript"/>
        </w:rPr>
        <w:t>2</w:t>
      </w:r>
      <w:r>
        <w:rPr>
          <w:rFonts w:hint="eastAsia"/>
        </w:rPr>
        <w:t>（</w:t>
      </w:r>
      <w:r>
        <w:t>长</w:t>
      </w:r>
      <w:r>
        <w:rPr>
          <w:rFonts w:hint="eastAsia"/>
          <w:lang w:val="en-US" w:eastAsia="zh-CN"/>
        </w:rPr>
        <w:t>4</w:t>
      </w:r>
      <w:r>
        <w:t>m×宽</w:t>
      </w:r>
      <w:r>
        <w:rPr>
          <w:rFonts w:hint="eastAsia"/>
        </w:rPr>
        <w:t>0.5</w:t>
      </w:r>
      <w:r>
        <w:t>m），</w:t>
      </w:r>
      <w:r>
        <w:rPr>
          <w:rFonts w:hint="eastAsia"/>
        </w:rPr>
        <w:t>参照《简明通风设计手册》中表5-3，设计风速为0.3m/s，则单条生产线槽边抽风装置设计风量为</w:t>
      </w:r>
      <w:r>
        <w:rPr>
          <w:rFonts w:hint="eastAsia"/>
          <w:lang w:val="en-US" w:eastAsia="zh-CN"/>
        </w:rPr>
        <w:t>2160</w:t>
      </w:r>
      <w:r>
        <w:rPr>
          <w:rFonts w:hint="eastAsia"/>
        </w:rPr>
        <w:t>m</w:t>
      </w:r>
      <w:r>
        <w:rPr>
          <w:rFonts w:hint="eastAsia"/>
          <w:vertAlign w:val="superscript"/>
        </w:rPr>
        <w:t>3</w:t>
      </w:r>
      <w:r>
        <w:rPr>
          <w:rFonts w:hint="eastAsia"/>
        </w:rPr>
        <w:t>/h。综上，电池钢壳</w:t>
      </w:r>
      <w:r>
        <w:rPr>
          <w:rFonts w:hint="eastAsia"/>
          <w:lang w:val="en-US" w:eastAsia="zh-CN"/>
        </w:rPr>
        <w:t>3</w:t>
      </w:r>
      <w:r>
        <w:rPr>
          <w:rFonts w:hint="eastAsia"/>
        </w:rPr>
        <w:t>条生产线总风机风量为</w:t>
      </w:r>
      <w:r>
        <w:rPr>
          <w:rFonts w:hint="eastAsia"/>
          <w:lang w:val="en-US" w:eastAsia="zh-CN"/>
        </w:rPr>
        <w:t>27480</w:t>
      </w:r>
      <w:r>
        <w:rPr>
          <w:rFonts w:hint="eastAsia"/>
        </w:rPr>
        <w:t>m</w:t>
      </w:r>
      <w:r>
        <w:rPr>
          <w:rFonts w:hint="eastAsia"/>
          <w:vertAlign w:val="superscript"/>
        </w:rPr>
        <w:t>3</w:t>
      </w:r>
      <w:r>
        <w:rPr>
          <w:rFonts w:hint="eastAsia"/>
        </w:rPr>
        <w:t>/h</w:t>
      </w:r>
      <w:r>
        <w:rPr>
          <w:rFonts w:hint="eastAsia"/>
          <w:lang w:eastAsia="zh-CN"/>
        </w:rPr>
        <w:t>，</w:t>
      </w:r>
      <w:r>
        <w:t>根据《污染源源强核算技术指南  电镀》（HJ984-2018）附录F，喷淋塔中和法对硫酸雾的去除率≥90%（本次评价以90%计）。</w:t>
      </w:r>
    </w:p>
    <w:p w14:paraId="4C8C5690">
      <w:pPr>
        <w:ind w:firstLine="480"/>
      </w:pPr>
      <w:r>
        <w:rPr>
          <w:rFonts w:hint="eastAsia"/>
        </w:rPr>
        <w:t>经核算电池钢壳</w:t>
      </w:r>
      <w:r>
        <w:rPr>
          <w:rFonts w:hint="eastAsia"/>
          <w:lang w:val="en-US" w:eastAsia="zh-CN"/>
        </w:rPr>
        <w:t>3</w:t>
      </w:r>
      <w:r>
        <w:rPr>
          <w:rFonts w:hint="eastAsia"/>
        </w:rPr>
        <w:t>条生产线</w:t>
      </w:r>
      <w:r>
        <w:rPr>
          <w:rFonts w:hint="eastAsia"/>
          <w:lang w:val="en-US" w:eastAsia="zh-CN"/>
        </w:rPr>
        <w:t>硫酸雾有组织产生量 1.4945t/a，产生速率 0.2076</w:t>
      </w:r>
      <w:r>
        <w:rPr>
          <w:rFonts w:hint="eastAsia"/>
        </w:rPr>
        <w:t>kg/h</w:t>
      </w:r>
      <w:r>
        <w:rPr>
          <w:rFonts w:hint="eastAsia"/>
          <w:lang w:val="en-US" w:eastAsia="zh-CN"/>
        </w:rPr>
        <w:t>，产生浓度 7.55</w:t>
      </w:r>
      <w:r>
        <w:rPr>
          <w:rFonts w:hint="eastAsia"/>
        </w:rPr>
        <w:t>mg/m</w:t>
      </w:r>
      <w:r>
        <w:rPr>
          <w:rFonts w:hint="eastAsia"/>
          <w:vertAlign w:val="superscript"/>
        </w:rPr>
        <w:t>3</w:t>
      </w:r>
      <w:r>
        <w:rPr>
          <w:rFonts w:hint="eastAsia"/>
          <w:lang w:val="en-US" w:eastAsia="zh-CN"/>
        </w:rPr>
        <w:t>，有组织排放量 0.1495t/a，排放速率 0.0208</w:t>
      </w:r>
      <w:r>
        <w:rPr>
          <w:rFonts w:hint="eastAsia"/>
        </w:rPr>
        <w:t>kg/h</w:t>
      </w:r>
      <w:r>
        <w:rPr>
          <w:rFonts w:hint="eastAsia"/>
          <w:lang w:val="en-US" w:eastAsia="zh-CN"/>
        </w:rPr>
        <w:t>，排放浓度 0.76</w:t>
      </w:r>
      <w:r>
        <w:rPr>
          <w:rFonts w:hint="eastAsia"/>
        </w:rPr>
        <w:t>mg/m</w:t>
      </w:r>
      <w:r>
        <w:rPr>
          <w:rFonts w:hint="eastAsia"/>
          <w:vertAlign w:val="superscript"/>
        </w:rPr>
        <w:t>3</w:t>
      </w:r>
      <w:r>
        <w:t>。</w:t>
      </w:r>
    </w:p>
    <w:p w14:paraId="3EE1B21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3.6.1.2盖帽生产线废气</w:t>
      </w:r>
    </w:p>
    <w:p w14:paraId="73793B9F">
      <w:pPr>
        <w:pStyle w:val="72"/>
      </w:pPr>
      <w:r>
        <w:rPr>
          <w:rFonts w:hint="eastAsia"/>
        </w:rPr>
        <w:t>本项目建设2条</w:t>
      </w:r>
      <w:r>
        <w:rPr>
          <w:rFonts w:hint="eastAsia"/>
          <w:lang w:val="en-US" w:eastAsia="zh-CN"/>
        </w:rPr>
        <w:t>盖帽</w:t>
      </w:r>
      <w:r>
        <w:rPr>
          <w:rFonts w:hint="eastAsia"/>
        </w:rPr>
        <w:t>生产线，2条生产线的生产工艺、生产设备和原辅料相同，生产线酸洗</w:t>
      </w:r>
      <w:r>
        <w:rPr>
          <w:rFonts w:hint="eastAsia"/>
          <w:lang w:val="en-US" w:eastAsia="zh-CN"/>
        </w:rPr>
        <w:t>活化工</w:t>
      </w:r>
      <w:r>
        <w:rPr>
          <w:rFonts w:hint="eastAsia"/>
        </w:rPr>
        <w:t>序产生的废气经收集后采用两级碱喷淋吸收塔（</w:t>
      </w:r>
      <w:r>
        <w:rPr>
          <w:rFonts w:hint="eastAsia"/>
          <w:lang w:val="en-US" w:eastAsia="zh-CN"/>
        </w:rPr>
        <w:t>TA002</w:t>
      </w:r>
      <w:r>
        <w:rPr>
          <w:rFonts w:hint="eastAsia"/>
        </w:rPr>
        <w:t>）进行处理，尾气经15m高排气筒DA002排放，其产排情况分析如下：</w:t>
      </w:r>
    </w:p>
    <w:p w14:paraId="0CF12FDC">
      <w:pPr>
        <w:pStyle w:val="72"/>
        <w:rPr>
          <w:highlight w:val="yellow"/>
        </w:rPr>
      </w:pPr>
      <w:r>
        <w:rPr>
          <w:rFonts w:hint="eastAsia"/>
        </w:rPr>
        <w:t>根据</w:t>
      </w:r>
      <w:r>
        <w:rPr>
          <w:rFonts w:hint="eastAsia" w:ascii="宋体" w:hAnsi="宋体"/>
        </w:rPr>
        <w:t>《污染源源强核算技术指南  电镀</w:t>
      </w:r>
      <w:r>
        <w:rPr>
          <w:rFonts w:hint="eastAsia"/>
        </w:rPr>
        <w:t>》（</w:t>
      </w:r>
      <w:r>
        <w:t>HJ984-2018</w:t>
      </w:r>
      <w:r>
        <w:rPr>
          <w:rFonts w:hint="eastAsia"/>
        </w:rPr>
        <w:t>）附录</w:t>
      </w:r>
      <w:r>
        <w:t>B</w:t>
      </w:r>
      <w:r>
        <w:rPr>
          <w:rFonts w:hint="eastAsia"/>
        </w:rPr>
        <w:t>，本项目每条线实际情况及查到的硫酸雾产生量情况见表</w:t>
      </w:r>
      <w:r>
        <w:rPr>
          <w:rFonts w:hint="eastAsia"/>
          <w:lang w:val="en-US" w:eastAsia="zh-CN"/>
        </w:rPr>
        <w:t>3.6-3</w:t>
      </w:r>
      <w:r>
        <w:rPr>
          <w:rFonts w:hint="eastAsia"/>
        </w:rPr>
        <w:t>。</w:t>
      </w:r>
    </w:p>
    <w:p w14:paraId="1EA851B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3.6-3</w:t>
      </w:r>
      <w:r>
        <w:rPr>
          <w:rFonts w:hint="eastAsia"/>
        </w:rPr>
        <w:t xml:space="preserve">    本项目</w:t>
      </w:r>
      <w:r>
        <w:rPr>
          <w:rFonts w:hint="eastAsia"/>
          <w:lang w:val="en-US" w:eastAsia="zh-CN"/>
        </w:rPr>
        <w:t>盖帽</w:t>
      </w:r>
      <w:r>
        <w:rPr>
          <w:rFonts w:hint="eastAsia"/>
        </w:rPr>
        <w:t>生产线硫酸雾参数确定表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133"/>
        <w:gridCol w:w="1277"/>
        <w:gridCol w:w="1416"/>
        <w:gridCol w:w="1632"/>
        <w:gridCol w:w="1544"/>
      </w:tblGrid>
      <w:tr w14:paraId="71F8C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138" w:type="pct"/>
            <w:gridSpan w:val="4"/>
            <w:vAlign w:val="center"/>
          </w:tcPr>
          <w:p w14:paraId="3A5498AD">
            <w:pPr>
              <w:pStyle w:val="81"/>
              <w:rPr>
                <w:rFonts w:cs="Times New Roman"/>
                <w:color w:val="auto"/>
              </w:rPr>
            </w:pPr>
            <w:r>
              <w:rPr>
                <w:rFonts w:cs="Times New Roman"/>
                <w:color w:val="auto"/>
              </w:rPr>
              <w:t>项目情况</w:t>
            </w:r>
          </w:p>
        </w:tc>
        <w:tc>
          <w:tcPr>
            <w:tcW w:w="957" w:type="pct"/>
            <w:vMerge w:val="restart"/>
            <w:vAlign w:val="center"/>
          </w:tcPr>
          <w:p w14:paraId="5A71F698">
            <w:pPr>
              <w:pStyle w:val="81"/>
              <w:rPr>
                <w:rFonts w:cs="Times New Roman"/>
                <w:color w:val="auto"/>
              </w:rPr>
            </w:pPr>
            <w:r>
              <w:rPr>
                <w:rFonts w:cs="Times New Roman"/>
                <w:color w:val="auto"/>
              </w:rPr>
              <w:t>附录B硫酸雾产生量（g/m</w:t>
            </w:r>
            <w:r>
              <w:rPr>
                <w:rFonts w:cs="Times New Roman"/>
                <w:color w:val="auto"/>
                <w:vertAlign w:val="superscript"/>
              </w:rPr>
              <w:t>2</w:t>
            </w:r>
            <w:r>
              <w:rPr>
                <w:rFonts w:cs="Times New Roman"/>
                <w:color w:val="auto"/>
              </w:rPr>
              <w:t>·h）</w:t>
            </w:r>
          </w:p>
        </w:tc>
        <w:tc>
          <w:tcPr>
            <w:tcW w:w="905" w:type="pct"/>
            <w:vMerge w:val="restart"/>
            <w:vAlign w:val="center"/>
          </w:tcPr>
          <w:p w14:paraId="610E0593">
            <w:pPr>
              <w:pStyle w:val="81"/>
              <w:rPr>
                <w:rFonts w:cs="Times New Roman"/>
                <w:color w:val="auto"/>
              </w:rPr>
            </w:pPr>
            <w:r>
              <w:rPr>
                <w:rFonts w:cs="Times New Roman"/>
                <w:color w:val="auto"/>
              </w:rPr>
              <w:t>硫酸雾产生量计算结果（kg/h）</w:t>
            </w:r>
          </w:p>
        </w:tc>
      </w:tr>
      <w:tr w14:paraId="1276C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5" w:type="pct"/>
            <w:vAlign w:val="center"/>
          </w:tcPr>
          <w:p w14:paraId="703EDF23">
            <w:pPr>
              <w:pStyle w:val="75"/>
              <w:rPr>
                <w:b/>
              </w:rPr>
            </w:pPr>
            <w:r>
              <w:rPr>
                <w:b/>
              </w:rPr>
              <w:t>工序</w:t>
            </w:r>
          </w:p>
        </w:tc>
        <w:tc>
          <w:tcPr>
            <w:tcW w:w="664" w:type="pct"/>
            <w:vAlign w:val="center"/>
          </w:tcPr>
          <w:p w14:paraId="37033089">
            <w:pPr>
              <w:pStyle w:val="75"/>
              <w:rPr>
                <w:b/>
              </w:rPr>
            </w:pPr>
            <w:r>
              <w:rPr>
                <w:b/>
              </w:rPr>
              <w:t>温度（℃）</w:t>
            </w:r>
          </w:p>
        </w:tc>
        <w:tc>
          <w:tcPr>
            <w:tcW w:w="749" w:type="pct"/>
            <w:vAlign w:val="center"/>
          </w:tcPr>
          <w:p w14:paraId="1069C420">
            <w:pPr>
              <w:pStyle w:val="75"/>
              <w:rPr>
                <w:b/>
              </w:rPr>
            </w:pPr>
            <w:r>
              <w:rPr>
                <w:b/>
              </w:rPr>
              <w:t>浓度（g/L）</w:t>
            </w:r>
          </w:p>
        </w:tc>
        <w:tc>
          <w:tcPr>
            <w:tcW w:w="830" w:type="pct"/>
            <w:vAlign w:val="center"/>
          </w:tcPr>
          <w:p w14:paraId="4495B69F">
            <w:pPr>
              <w:pStyle w:val="75"/>
              <w:rPr>
                <w:b/>
              </w:rPr>
            </w:pPr>
            <w:r>
              <w:rPr>
                <w:b/>
              </w:rPr>
              <w:t>表面积（m</w:t>
            </w:r>
            <w:r>
              <w:rPr>
                <w:b/>
                <w:vertAlign w:val="superscript"/>
              </w:rPr>
              <w:t>2</w:t>
            </w:r>
            <w:r>
              <w:rPr>
                <w:b/>
              </w:rPr>
              <w:t>）</w:t>
            </w:r>
          </w:p>
        </w:tc>
        <w:tc>
          <w:tcPr>
            <w:tcW w:w="0" w:type="auto"/>
            <w:vMerge w:val="continue"/>
            <w:vAlign w:val="center"/>
          </w:tcPr>
          <w:p w14:paraId="3E8BD80A">
            <w:pPr>
              <w:widowControl/>
              <w:adjustRightInd/>
              <w:snapToGrid/>
              <w:spacing w:line="240" w:lineRule="auto"/>
              <w:ind w:firstLine="0" w:firstLineChars="0"/>
              <w:jc w:val="left"/>
              <w:rPr>
                <w:b/>
                <w:kern w:val="2"/>
                <w:sz w:val="21"/>
              </w:rPr>
            </w:pPr>
          </w:p>
        </w:tc>
        <w:tc>
          <w:tcPr>
            <w:tcW w:w="0" w:type="auto"/>
            <w:vMerge w:val="continue"/>
            <w:vAlign w:val="center"/>
          </w:tcPr>
          <w:p w14:paraId="15EBCF27">
            <w:pPr>
              <w:widowControl/>
              <w:adjustRightInd/>
              <w:snapToGrid/>
              <w:spacing w:line="240" w:lineRule="auto"/>
              <w:ind w:firstLine="0" w:firstLineChars="0"/>
              <w:jc w:val="left"/>
              <w:rPr>
                <w:b/>
                <w:kern w:val="2"/>
                <w:sz w:val="21"/>
              </w:rPr>
            </w:pPr>
          </w:p>
        </w:tc>
      </w:tr>
      <w:tr w14:paraId="40D5E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5" w:type="pct"/>
            <w:vAlign w:val="center"/>
          </w:tcPr>
          <w:p w14:paraId="71628744">
            <w:pPr>
              <w:pStyle w:val="75"/>
            </w:pPr>
            <w:r>
              <w:rPr>
                <w:rFonts w:hint="eastAsia"/>
                <w:lang w:val="en-US" w:eastAsia="zh-CN"/>
              </w:rPr>
              <w:t>酸洗</w:t>
            </w:r>
            <w:r>
              <w:rPr>
                <w:rFonts w:hint="eastAsia"/>
              </w:rPr>
              <w:t>活化</w:t>
            </w:r>
          </w:p>
        </w:tc>
        <w:tc>
          <w:tcPr>
            <w:tcW w:w="664" w:type="pct"/>
            <w:vAlign w:val="center"/>
          </w:tcPr>
          <w:p w14:paraId="6BEC24AD">
            <w:pPr>
              <w:pStyle w:val="75"/>
            </w:pPr>
            <w:r>
              <w:t>常温</w:t>
            </w:r>
          </w:p>
        </w:tc>
        <w:tc>
          <w:tcPr>
            <w:tcW w:w="749" w:type="pct"/>
            <w:vAlign w:val="center"/>
          </w:tcPr>
          <w:p w14:paraId="5D47ED1E">
            <w:pPr>
              <w:pStyle w:val="75"/>
            </w:pPr>
            <w:r>
              <w:rPr>
                <w:rFonts w:hint="eastAsia"/>
              </w:rPr>
              <w:t>183.05</w:t>
            </w:r>
          </w:p>
        </w:tc>
        <w:tc>
          <w:tcPr>
            <w:tcW w:w="830" w:type="pct"/>
            <w:vAlign w:val="center"/>
          </w:tcPr>
          <w:p w14:paraId="2B6083DF">
            <w:pPr>
              <w:pStyle w:val="75"/>
              <w:rPr>
                <w:rFonts w:hint="default" w:eastAsia="宋体"/>
                <w:lang w:val="en-US" w:eastAsia="zh-CN"/>
              </w:rPr>
            </w:pPr>
            <w:r>
              <w:rPr>
                <w:rFonts w:hint="eastAsia"/>
                <w:lang w:val="en-US" w:eastAsia="zh-CN"/>
              </w:rPr>
              <w:t>2.08</w:t>
            </w:r>
          </w:p>
        </w:tc>
        <w:tc>
          <w:tcPr>
            <w:tcW w:w="957" w:type="pct"/>
            <w:vAlign w:val="center"/>
          </w:tcPr>
          <w:p w14:paraId="30AFD209">
            <w:pPr>
              <w:pStyle w:val="75"/>
            </w:pPr>
            <w:r>
              <w:t>25.2</w:t>
            </w:r>
          </w:p>
        </w:tc>
        <w:tc>
          <w:tcPr>
            <w:tcW w:w="905" w:type="pct"/>
            <w:vAlign w:val="center"/>
          </w:tcPr>
          <w:p w14:paraId="64197CCF">
            <w:pPr>
              <w:pStyle w:val="75"/>
              <w:rPr>
                <w:rFonts w:hint="default" w:eastAsia="宋体"/>
                <w:lang w:val="en-US" w:eastAsia="zh-CN"/>
              </w:rPr>
            </w:pPr>
            <w:r>
              <w:rPr>
                <w:rFonts w:hint="eastAsia"/>
                <w:lang w:val="en-US" w:eastAsia="zh-CN"/>
              </w:rPr>
              <w:t>0.0524</w:t>
            </w:r>
          </w:p>
        </w:tc>
      </w:tr>
      <w:tr w14:paraId="154D4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6"/>
            <w:vAlign w:val="center"/>
          </w:tcPr>
          <w:p w14:paraId="69FFCC4B">
            <w:pPr>
              <w:pStyle w:val="75"/>
              <w:jc w:val="both"/>
              <w:rPr>
                <w:bCs/>
              </w:rPr>
            </w:pPr>
            <w:r>
              <w:rPr>
                <w:bCs/>
              </w:rPr>
              <w:t>注：*本项目</w:t>
            </w:r>
            <w:r>
              <w:rPr>
                <w:rFonts w:hint="eastAsia"/>
                <w:bCs/>
                <w:lang w:val="en-US" w:eastAsia="zh-CN"/>
              </w:rPr>
              <w:t>酸洗</w:t>
            </w:r>
            <w:r>
              <w:rPr>
                <w:bCs/>
              </w:rPr>
              <w:t>活化使用硫酸，但其质量浓度大于100g/L，正常温度为常温，加酸时不超过45℃，因此取较大值25.2g/m</w:t>
            </w:r>
            <w:r>
              <w:rPr>
                <w:bCs/>
                <w:vertAlign w:val="superscript"/>
              </w:rPr>
              <w:t>2</w:t>
            </w:r>
            <w:r>
              <w:rPr>
                <w:bCs/>
              </w:rPr>
              <w:t>·h。</w:t>
            </w:r>
          </w:p>
        </w:tc>
      </w:tr>
    </w:tbl>
    <w:p w14:paraId="5D5E9EF2">
      <w:pPr>
        <w:ind w:firstLine="480"/>
        <w:rPr>
          <w:rFonts w:hint="default" w:eastAsia="宋体"/>
          <w:lang w:val="en-US" w:eastAsia="zh-CN"/>
        </w:rPr>
      </w:pPr>
      <w:r>
        <w:rPr>
          <w:rFonts w:hint="eastAsia"/>
        </w:rPr>
        <w:t>将上表中确定的附录B中硫酸雾产生量及各工序表面积参数值代入废气产生量计算公式，可以得出本项目单条</w:t>
      </w:r>
      <w:r>
        <w:rPr>
          <w:rFonts w:hint="eastAsia"/>
          <w:lang w:val="en-US" w:eastAsia="zh-CN"/>
        </w:rPr>
        <w:t>盖帽</w:t>
      </w:r>
      <w:r>
        <w:rPr>
          <w:rFonts w:hint="eastAsia"/>
        </w:rPr>
        <w:t>生产线的硫酸雾产生量为</w:t>
      </w:r>
      <w:r>
        <w:rPr>
          <w:rFonts w:hint="eastAsia"/>
          <w:lang w:val="en-US" w:eastAsia="zh-CN"/>
        </w:rPr>
        <w:t>0.0524</w:t>
      </w:r>
      <w:r>
        <w:rPr>
          <w:rFonts w:hint="eastAsia"/>
        </w:rPr>
        <w:t>kg/h。</w:t>
      </w:r>
      <w:r>
        <w:rPr>
          <w:rFonts w:hint="eastAsia"/>
          <w:lang w:val="en-US" w:eastAsia="zh-CN"/>
        </w:rPr>
        <w:t>2</w:t>
      </w:r>
      <w:r>
        <w:rPr>
          <w:rFonts w:hint="eastAsia"/>
        </w:rPr>
        <w:t>条生产线硫酸雾产生量为</w:t>
      </w:r>
      <w:r>
        <w:rPr>
          <w:rFonts w:hint="eastAsia"/>
          <w:lang w:val="en-US" w:eastAsia="zh-CN"/>
        </w:rPr>
        <w:t>0.7546t/a。</w:t>
      </w:r>
    </w:p>
    <w:p w14:paraId="12D54CB2">
      <w:pPr>
        <w:ind w:firstLine="480"/>
      </w:pPr>
      <w:r>
        <w:rPr>
          <w:rFonts w:hint="eastAsia"/>
        </w:rPr>
        <w:t>评价提出，本项目对</w:t>
      </w:r>
      <w:r>
        <w:rPr>
          <w:rFonts w:hint="eastAsia"/>
          <w:lang w:val="en-US" w:eastAsia="zh-CN"/>
        </w:rPr>
        <w:t>盖帽</w:t>
      </w:r>
      <w:r>
        <w:rPr>
          <w:rFonts w:hint="eastAsia"/>
        </w:rPr>
        <w:t>整条生产线进行整体密闭抽风、槽边抽风装置，设计集气效率为98%。单条生产线密闭区域体积设计为</w:t>
      </w:r>
      <w:r>
        <w:rPr>
          <w:rFonts w:hint="eastAsia"/>
          <w:lang w:val="en-US" w:eastAsia="zh-CN"/>
        </w:rPr>
        <w:t>297.5</w:t>
      </w:r>
      <w:r>
        <w:rPr>
          <w:rFonts w:hint="eastAsia"/>
        </w:rPr>
        <w:t>m</w:t>
      </w:r>
      <w:r>
        <w:rPr>
          <w:rFonts w:hint="eastAsia"/>
          <w:vertAlign w:val="superscript"/>
        </w:rPr>
        <w:t>3</w:t>
      </w:r>
      <w:r>
        <w:rPr>
          <w:rFonts w:hint="eastAsia"/>
        </w:rPr>
        <w:t>（</w:t>
      </w:r>
      <w:r>
        <w:t>长</w:t>
      </w:r>
      <w:r>
        <w:rPr>
          <w:rFonts w:hint="eastAsia"/>
          <w:lang w:val="en-US" w:eastAsia="zh-CN"/>
        </w:rPr>
        <w:t>50</w:t>
      </w:r>
      <w:r>
        <w:t>m×宽</w:t>
      </w:r>
      <w:r>
        <w:rPr>
          <w:rFonts w:hint="eastAsia"/>
          <w:lang w:val="en-US" w:eastAsia="zh-CN"/>
        </w:rPr>
        <w:t>1.7</w:t>
      </w:r>
      <w:r>
        <w:t>m×高</w:t>
      </w:r>
      <w:r>
        <w:rPr>
          <w:rFonts w:hint="eastAsia"/>
          <w:lang w:val="en-US" w:eastAsia="zh-CN"/>
        </w:rPr>
        <w:t>3.5</w:t>
      </w:r>
      <w:r>
        <w:t>m），</w:t>
      </w:r>
      <w:r>
        <w:rPr>
          <w:rFonts w:hint="eastAsia"/>
        </w:rPr>
        <w:t>参照《工业通风换气次数的有关规定及其在评价中的应用》，设计换气次数为10次/h，则单条生产线整体密闭抽风装置设计风量为</w:t>
      </w:r>
      <w:r>
        <w:rPr>
          <w:rFonts w:hint="eastAsia"/>
          <w:lang w:val="en-US" w:eastAsia="zh-CN"/>
        </w:rPr>
        <w:t>2975</w:t>
      </w:r>
      <w:r>
        <w:rPr>
          <w:rFonts w:hint="eastAsia"/>
        </w:rPr>
        <w:t>m</w:t>
      </w:r>
      <w:r>
        <w:rPr>
          <w:rFonts w:hint="eastAsia"/>
          <w:vertAlign w:val="superscript"/>
        </w:rPr>
        <w:t>3</w:t>
      </w:r>
      <w:r>
        <w:rPr>
          <w:rFonts w:hint="eastAsia"/>
        </w:rPr>
        <w:t>/h；单条生产线酸洗活化工序设置槽边抽风装置，设计尺寸为</w:t>
      </w:r>
      <w:r>
        <w:rPr>
          <w:rFonts w:hint="eastAsia"/>
          <w:lang w:val="en-US" w:eastAsia="zh-CN"/>
        </w:rPr>
        <w:t>1.6</w:t>
      </w:r>
      <w:r>
        <w:rPr>
          <w:rFonts w:hint="eastAsia"/>
        </w:rPr>
        <w:t>m</w:t>
      </w:r>
      <w:r>
        <w:rPr>
          <w:rFonts w:hint="eastAsia"/>
          <w:vertAlign w:val="superscript"/>
        </w:rPr>
        <w:t>2</w:t>
      </w:r>
      <w:r>
        <w:rPr>
          <w:rFonts w:hint="eastAsia"/>
        </w:rPr>
        <w:t>（</w:t>
      </w:r>
      <w:r>
        <w:t>长</w:t>
      </w:r>
      <w:r>
        <w:rPr>
          <w:rFonts w:hint="eastAsia"/>
          <w:lang w:val="en-US" w:eastAsia="zh-CN"/>
        </w:rPr>
        <w:t>3.2</w:t>
      </w:r>
      <w:r>
        <w:t>m×宽</w:t>
      </w:r>
      <w:r>
        <w:rPr>
          <w:rFonts w:hint="eastAsia"/>
        </w:rPr>
        <w:t>0.5</w:t>
      </w:r>
      <w:r>
        <w:t>m），</w:t>
      </w:r>
      <w:r>
        <w:rPr>
          <w:rFonts w:hint="eastAsia"/>
        </w:rPr>
        <w:t>参照《简明通风设计手册》中表5-3，设计风速为0.3m/s，则单条生产线槽边抽风装置设计风量为</w:t>
      </w:r>
      <w:r>
        <w:rPr>
          <w:rFonts w:hint="eastAsia"/>
          <w:lang w:val="en-US" w:eastAsia="zh-CN"/>
        </w:rPr>
        <w:t>1728</w:t>
      </w:r>
      <w:r>
        <w:rPr>
          <w:rFonts w:hint="eastAsia"/>
        </w:rPr>
        <w:t>m</w:t>
      </w:r>
      <w:r>
        <w:rPr>
          <w:rFonts w:hint="eastAsia"/>
          <w:vertAlign w:val="superscript"/>
        </w:rPr>
        <w:t>3</w:t>
      </w:r>
      <w:r>
        <w:rPr>
          <w:rFonts w:hint="eastAsia"/>
        </w:rPr>
        <w:t>/h。综上，</w:t>
      </w:r>
      <w:r>
        <w:rPr>
          <w:rFonts w:hint="eastAsia"/>
          <w:lang w:eastAsia="zh-CN"/>
        </w:rPr>
        <w:t>盖帽</w:t>
      </w:r>
      <w:r>
        <w:rPr>
          <w:rFonts w:hint="eastAsia"/>
        </w:rPr>
        <w:t>2条生产线总风机风量为</w:t>
      </w:r>
      <w:r>
        <w:rPr>
          <w:rFonts w:hint="eastAsia"/>
          <w:lang w:val="en-US" w:eastAsia="zh-CN"/>
        </w:rPr>
        <w:t>9406</w:t>
      </w:r>
      <w:r>
        <w:rPr>
          <w:rFonts w:hint="eastAsia"/>
        </w:rPr>
        <w:t>m</w:t>
      </w:r>
      <w:r>
        <w:rPr>
          <w:rFonts w:hint="eastAsia"/>
          <w:vertAlign w:val="superscript"/>
        </w:rPr>
        <w:t>3</w:t>
      </w:r>
      <w:r>
        <w:rPr>
          <w:rFonts w:hint="eastAsia"/>
        </w:rPr>
        <w:t>/h</w:t>
      </w:r>
      <w:r>
        <w:rPr>
          <w:rFonts w:hint="eastAsia"/>
          <w:lang w:eastAsia="zh-CN"/>
        </w:rPr>
        <w:t>，</w:t>
      </w:r>
      <w:r>
        <w:t>根据《污染源源强核算技术指南  电镀》（HJ984-2018）附录F，喷淋塔中和法对硫酸雾的去除率≥90%（本次评价以90%计）。</w:t>
      </w:r>
    </w:p>
    <w:p w14:paraId="57D5ED3E">
      <w:pPr>
        <w:ind w:firstLine="480"/>
        <w:rPr>
          <w:b/>
          <w:bCs/>
          <w:u w:val="single"/>
        </w:rPr>
      </w:pPr>
      <w:r>
        <w:rPr>
          <w:rFonts w:hint="eastAsia"/>
        </w:rPr>
        <w:t>经核算</w:t>
      </w:r>
      <w:r>
        <w:rPr>
          <w:rFonts w:hint="eastAsia"/>
          <w:lang w:eastAsia="zh-CN"/>
        </w:rPr>
        <w:t>盖帽</w:t>
      </w:r>
      <w:r>
        <w:rPr>
          <w:rFonts w:hint="eastAsia"/>
          <w:lang w:val="en-US" w:eastAsia="zh-CN"/>
        </w:rPr>
        <w:t>2</w:t>
      </w:r>
      <w:r>
        <w:rPr>
          <w:rFonts w:hint="eastAsia"/>
        </w:rPr>
        <w:t>条生产线</w:t>
      </w:r>
      <w:r>
        <w:rPr>
          <w:rFonts w:hint="eastAsia"/>
          <w:lang w:val="en-US" w:eastAsia="zh-CN"/>
        </w:rPr>
        <w:t>硫酸雾有组织产生量 0.7395t/a，产生速率 0.1027</w:t>
      </w:r>
      <w:r>
        <w:rPr>
          <w:rFonts w:hint="eastAsia"/>
        </w:rPr>
        <w:t>kg/h</w:t>
      </w:r>
      <w:r>
        <w:rPr>
          <w:rFonts w:hint="eastAsia"/>
          <w:lang w:val="en-US" w:eastAsia="zh-CN"/>
        </w:rPr>
        <w:t>，产生浓度 10.92</w:t>
      </w:r>
      <w:r>
        <w:rPr>
          <w:rFonts w:hint="eastAsia"/>
        </w:rPr>
        <w:t>mg/m</w:t>
      </w:r>
      <w:r>
        <w:rPr>
          <w:rFonts w:hint="eastAsia"/>
          <w:vertAlign w:val="superscript"/>
        </w:rPr>
        <w:t>3</w:t>
      </w:r>
      <w:r>
        <w:rPr>
          <w:rFonts w:hint="eastAsia"/>
          <w:lang w:val="en-US" w:eastAsia="zh-CN"/>
        </w:rPr>
        <w:t>，有组织排放量 0.0740t/a，排放速率 0.0103</w:t>
      </w:r>
      <w:r>
        <w:rPr>
          <w:rFonts w:hint="eastAsia"/>
        </w:rPr>
        <w:t>kg/h</w:t>
      </w:r>
      <w:r>
        <w:rPr>
          <w:rFonts w:hint="eastAsia"/>
          <w:lang w:val="en-US" w:eastAsia="zh-CN"/>
        </w:rPr>
        <w:t>，排放浓度 1.09</w:t>
      </w:r>
      <w:r>
        <w:rPr>
          <w:rFonts w:hint="eastAsia"/>
        </w:rPr>
        <w:t>mg/m</w:t>
      </w:r>
      <w:r>
        <w:rPr>
          <w:rFonts w:hint="eastAsia"/>
          <w:vertAlign w:val="superscript"/>
        </w:rPr>
        <w:t>3</w:t>
      </w:r>
      <w:r>
        <w:t>。</w:t>
      </w:r>
    </w:p>
    <w:p w14:paraId="55D01D2F">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3.6.1.3电池连接件生产线废气</w:t>
      </w:r>
    </w:p>
    <w:p w14:paraId="4C1B3952">
      <w:pPr>
        <w:ind w:firstLine="480"/>
      </w:pPr>
      <w:r>
        <w:rPr>
          <w:rFonts w:hint="eastAsia"/>
        </w:rPr>
        <w:t>本项目建设</w:t>
      </w:r>
      <w:r>
        <w:rPr>
          <w:rFonts w:hint="eastAsia"/>
          <w:lang w:val="en-US" w:eastAsia="zh-CN"/>
        </w:rPr>
        <w:t>6</w:t>
      </w:r>
      <w:r>
        <w:rPr>
          <w:rFonts w:hint="eastAsia"/>
        </w:rPr>
        <w:t>条</w:t>
      </w:r>
      <w:r>
        <w:rPr>
          <w:rFonts w:hint="eastAsia"/>
          <w:lang w:val="en-US" w:eastAsia="zh-CN"/>
        </w:rPr>
        <w:t>电池连接件生产线</w:t>
      </w:r>
      <w:r>
        <w:rPr>
          <w:rFonts w:hint="eastAsia"/>
        </w:rPr>
        <w:t>，</w:t>
      </w:r>
      <w:r>
        <w:rPr>
          <w:rFonts w:hint="eastAsia"/>
          <w:lang w:val="en-US" w:eastAsia="zh-CN"/>
        </w:rPr>
        <w:t>6</w:t>
      </w:r>
      <w:r>
        <w:rPr>
          <w:rFonts w:hint="eastAsia"/>
        </w:rPr>
        <w:t>条生产线的生产工艺、生产设备和原辅料相同，生产线</w:t>
      </w:r>
      <w:r>
        <w:rPr>
          <w:rFonts w:hint="eastAsia"/>
          <w:lang w:val="en-US" w:eastAsia="zh-CN"/>
        </w:rPr>
        <w:t>酸洗</w:t>
      </w:r>
      <w:r>
        <w:rPr>
          <w:rFonts w:hint="eastAsia"/>
        </w:rPr>
        <w:t>活化工序产生的废气经收集后采用两级碱喷淋吸收塔（</w:t>
      </w:r>
      <w:r>
        <w:rPr>
          <w:rFonts w:hint="eastAsia"/>
          <w:lang w:val="en-US" w:eastAsia="zh-CN"/>
        </w:rPr>
        <w:t>TA003</w:t>
      </w:r>
      <w:r>
        <w:rPr>
          <w:rFonts w:hint="eastAsia"/>
        </w:rPr>
        <w:t>）进行处理，尾气经15m高排气筒DA003排放，其产排情况分析如下：</w:t>
      </w:r>
    </w:p>
    <w:p w14:paraId="01545695">
      <w:pPr>
        <w:ind w:firstLine="480"/>
      </w:pPr>
      <w:r>
        <w:rPr>
          <w:rFonts w:hint="eastAsia"/>
        </w:rPr>
        <w:t>根据《污染源源强核算技术指南  电镀》（HJ984-2018）附录B，本项目每条线实际情况及查到的硫酸雾产生量情况见下表。</w:t>
      </w:r>
    </w:p>
    <w:p w14:paraId="5788032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3.6-4</w:t>
      </w:r>
      <w:r>
        <w:rPr>
          <w:rFonts w:hint="eastAsia"/>
        </w:rPr>
        <w:t xml:space="preserve">    本项目</w:t>
      </w:r>
      <w:r>
        <w:rPr>
          <w:rFonts w:hint="eastAsia"/>
          <w:lang w:val="en-US" w:eastAsia="zh-CN"/>
        </w:rPr>
        <w:t>电池连接件</w:t>
      </w:r>
      <w:r>
        <w:rPr>
          <w:rFonts w:hint="eastAsia"/>
        </w:rPr>
        <w:t>单条生产线硫酸雾参数确定表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133"/>
        <w:gridCol w:w="1277"/>
        <w:gridCol w:w="1416"/>
        <w:gridCol w:w="1632"/>
        <w:gridCol w:w="1544"/>
      </w:tblGrid>
      <w:tr w14:paraId="28A2C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138" w:type="pct"/>
            <w:gridSpan w:val="4"/>
            <w:vAlign w:val="center"/>
          </w:tcPr>
          <w:p w14:paraId="4362DECC">
            <w:pPr>
              <w:pStyle w:val="81"/>
              <w:rPr>
                <w:rFonts w:cs="Times New Roman"/>
                <w:color w:val="auto"/>
              </w:rPr>
            </w:pPr>
            <w:r>
              <w:rPr>
                <w:rFonts w:cs="Times New Roman"/>
                <w:color w:val="auto"/>
              </w:rPr>
              <w:t>项目情况</w:t>
            </w:r>
          </w:p>
        </w:tc>
        <w:tc>
          <w:tcPr>
            <w:tcW w:w="957" w:type="pct"/>
            <w:vMerge w:val="restart"/>
            <w:vAlign w:val="center"/>
          </w:tcPr>
          <w:p w14:paraId="6C78EB3B">
            <w:pPr>
              <w:pStyle w:val="81"/>
              <w:rPr>
                <w:rFonts w:cs="Times New Roman"/>
                <w:color w:val="auto"/>
              </w:rPr>
            </w:pPr>
            <w:r>
              <w:rPr>
                <w:rFonts w:cs="Times New Roman"/>
                <w:color w:val="auto"/>
              </w:rPr>
              <w:t>附录B硫酸雾产生量（g/m</w:t>
            </w:r>
            <w:r>
              <w:rPr>
                <w:rFonts w:cs="Times New Roman"/>
                <w:color w:val="auto"/>
                <w:vertAlign w:val="superscript"/>
              </w:rPr>
              <w:t>2</w:t>
            </w:r>
            <w:r>
              <w:rPr>
                <w:rFonts w:cs="Times New Roman"/>
                <w:color w:val="auto"/>
              </w:rPr>
              <w:t>·h）</w:t>
            </w:r>
          </w:p>
        </w:tc>
        <w:tc>
          <w:tcPr>
            <w:tcW w:w="905" w:type="pct"/>
            <w:vMerge w:val="restart"/>
            <w:vAlign w:val="center"/>
          </w:tcPr>
          <w:p w14:paraId="29DD7239">
            <w:pPr>
              <w:pStyle w:val="81"/>
              <w:rPr>
                <w:rFonts w:cs="Times New Roman"/>
                <w:color w:val="auto"/>
              </w:rPr>
            </w:pPr>
            <w:r>
              <w:rPr>
                <w:rFonts w:cs="Times New Roman"/>
                <w:color w:val="auto"/>
              </w:rPr>
              <w:t>硫酸雾产生量计算结果（kg/h）</w:t>
            </w:r>
          </w:p>
        </w:tc>
      </w:tr>
      <w:tr w14:paraId="526FD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5" w:type="pct"/>
            <w:vAlign w:val="center"/>
          </w:tcPr>
          <w:p w14:paraId="5AB7C7CF">
            <w:pPr>
              <w:pStyle w:val="75"/>
              <w:rPr>
                <w:b/>
              </w:rPr>
            </w:pPr>
            <w:r>
              <w:rPr>
                <w:b/>
              </w:rPr>
              <w:t>工序</w:t>
            </w:r>
          </w:p>
        </w:tc>
        <w:tc>
          <w:tcPr>
            <w:tcW w:w="664" w:type="pct"/>
            <w:vAlign w:val="center"/>
          </w:tcPr>
          <w:p w14:paraId="0C3DD006">
            <w:pPr>
              <w:pStyle w:val="75"/>
              <w:rPr>
                <w:b/>
              </w:rPr>
            </w:pPr>
            <w:r>
              <w:rPr>
                <w:b/>
              </w:rPr>
              <w:t>温度（℃）</w:t>
            </w:r>
          </w:p>
        </w:tc>
        <w:tc>
          <w:tcPr>
            <w:tcW w:w="749" w:type="pct"/>
            <w:vAlign w:val="center"/>
          </w:tcPr>
          <w:p w14:paraId="27B7D136">
            <w:pPr>
              <w:pStyle w:val="75"/>
              <w:rPr>
                <w:b/>
              </w:rPr>
            </w:pPr>
            <w:r>
              <w:rPr>
                <w:b/>
              </w:rPr>
              <w:t>浓度（g/L）</w:t>
            </w:r>
          </w:p>
        </w:tc>
        <w:tc>
          <w:tcPr>
            <w:tcW w:w="830" w:type="pct"/>
            <w:vAlign w:val="center"/>
          </w:tcPr>
          <w:p w14:paraId="38924A09">
            <w:pPr>
              <w:pStyle w:val="75"/>
              <w:rPr>
                <w:b/>
              </w:rPr>
            </w:pPr>
            <w:r>
              <w:rPr>
                <w:b/>
              </w:rPr>
              <w:t>表面积（m</w:t>
            </w:r>
            <w:r>
              <w:rPr>
                <w:b/>
                <w:vertAlign w:val="superscript"/>
              </w:rPr>
              <w:t>2</w:t>
            </w:r>
            <w:r>
              <w:rPr>
                <w:b/>
              </w:rPr>
              <w:t>）</w:t>
            </w:r>
          </w:p>
        </w:tc>
        <w:tc>
          <w:tcPr>
            <w:tcW w:w="0" w:type="auto"/>
            <w:vMerge w:val="continue"/>
            <w:vAlign w:val="center"/>
          </w:tcPr>
          <w:p w14:paraId="3D3FA15C">
            <w:pPr>
              <w:widowControl/>
              <w:adjustRightInd/>
              <w:snapToGrid/>
              <w:spacing w:line="240" w:lineRule="auto"/>
              <w:ind w:firstLine="0" w:firstLineChars="0"/>
              <w:jc w:val="left"/>
              <w:rPr>
                <w:b/>
                <w:kern w:val="2"/>
                <w:sz w:val="21"/>
              </w:rPr>
            </w:pPr>
          </w:p>
        </w:tc>
        <w:tc>
          <w:tcPr>
            <w:tcW w:w="0" w:type="auto"/>
            <w:vMerge w:val="continue"/>
            <w:vAlign w:val="center"/>
          </w:tcPr>
          <w:p w14:paraId="56018788">
            <w:pPr>
              <w:widowControl/>
              <w:adjustRightInd/>
              <w:snapToGrid/>
              <w:spacing w:line="240" w:lineRule="auto"/>
              <w:ind w:firstLine="0" w:firstLineChars="0"/>
              <w:jc w:val="left"/>
              <w:rPr>
                <w:b/>
                <w:kern w:val="2"/>
                <w:sz w:val="21"/>
              </w:rPr>
            </w:pPr>
          </w:p>
        </w:tc>
      </w:tr>
      <w:tr w14:paraId="5CF13C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5" w:type="pct"/>
            <w:vAlign w:val="center"/>
          </w:tcPr>
          <w:p w14:paraId="463D224C">
            <w:pPr>
              <w:pStyle w:val="75"/>
            </w:pPr>
            <w:r>
              <w:rPr>
                <w:rFonts w:hint="eastAsia"/>
              </w:rPr>
              <w:t>活化</w:t>
            </w:r>
          </w:p>
        </w:tc>
        <w:tc>
          <w:tcPr>
            <w:tcW w:w="664" w:type="pct"/>
            <w:vAlign w:val="center"/>
          </w:tcPr>
          <w:p w14:paraId="0B8B0599">
            <w:pPr>
              <w:pStyle w:val="75"/>
            </w:pPr>
            <w:r>
              <w:t>常温</w:t>
            </w:r>
          </w:p>
        </w:tc>
        <w:tc>
          <w:tcPr>
            <w:tcW w:w="749" w:type="pct"/>
            <w:vAlign w:val="center"/>
          </w:tcPr>
          <w:p w14:paraId="1579F225">
            <w:pPr>
              <w:pStyle w:val="75"/>
            </w:pPr>
            <w:r>
              <w:rPr>
                <w:rFonts w:hint="eastAsia"/>
              </w:rPr>
              <w:t>183.05</w:t>
            </w:r>
          </w:p>
        </w:tc>
        <w:tc>
          <w:tcPr>
            <w:tcW w:w="830" w:type="pct"/>
            <w:vAlign w:val="center"/>
          </w:tcPr>
          <w:p w14:paraId="5F6FD8A3">
            <w:pPr>
              <w:pStyle w:val="75"/>
              <w:rPr>
                <w:rFonts w:hint="default" w:eastAsia="宋体"/>
                <w:lang w:val="en-US" w:eastAsia="zh-CN"/>
              </w:rPr>
            </w:pPr>
            <w:r>
              <w:rPr>
                <w:rFonts w:hint="eastAsia"/>
                <w:lang w:val="en-US" w:eastAsia="zh-CN"/>
              </w:rPr>
              <w:t>1.54</w:t>
            </w:r>
          </w:p>
        </w:tc>
        <w:tc>
          <w:tcPr>
            <w:tcW w:w="957" w:type="pct"/>
            <w:vAlign w:val="center"/>
          </w:tcPr>
          <w:p w14:paraId="438FE783">
            <w:pPr>
              <w:pStyle w:val="75"/>
            </w:pPr>
            <w:r>
              <w:t>25.2</w:t>
            </w:r>
          </w:p>
        </w:tc>
        <w:tc>
          <w:tcPr>
            <w:tcW w:w="905" w:type="pct"/>
            <w:vAlign w:val="center"/>
          </w:tcPr>
          <w:p w14:paraId="01C91961">
            <w:pPr>
              <w:pStyle w:val="75"/>
              <w:rPr>
                <w:rFonts w:hint="default" w:eastAsia="宋体"/>
                <w:lang w:val="en-US" w:eastAsia="zh-CN"/>
              </w:rPr>
            </w:pPr>
            <w:r>
              <w:rPr>
                <w:rFonts w:hint="eastAsia"/>
                <w:lang w:val="en-US" w:eastAsia="zh-CN"/>
              </w:rPr>
              <w:t>0.0388</w:t>
            </w:r>
          </w:p>
        </w:tc>
      </w:tr>
      <w:tr w14:paraId="676223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6"/>
            <w:vAlign w:val="center"/>
          </w:tcPr>
          <w:p w14:paraId="518C697B">
            <w:pPr>
              <w:pStyle w:val="75"/>
              <w:jc w:val="both"/>
              <w:rPr>
                <w:bCs/>
              </w:rPr>
            </w:pPr>
            <w:r>
              <w:rPr>
                <w:bCs/>
              </w:rPr>
              <w:t>注：*本项目活化使用硫酸，但其质量浓度大于100g/L，正常温度为常温，加酸时不超过45℃，因此取较大值25.2g/m</w:t>
            </w:r>
            <w:r>
              <w:rPr>
                <w:bCs/>
                <w:vertAlign w:val="superscript"/>
              </w:rPr>
              <w:t>2</w:t>
            </w:r>
            <w:r>
              <w:rPr>
                <w:bCs/>
              </w:rPr>
              <w:t>·h。</w:t>
            </w:r>
          </w:p>
        </w:tc>
      </w:tr>
    </w:tbl>
    <w:p w14:paraId="147BF08B">
      <w:pPr>
        <w:ind w:firstLine="480"/>
      </w:pPr>
      <w:r>
        <w:rPr>
          <w:rFonts w:hint="eastAsia"/>
        </w:rPr>
        <w:t>将上表中确定的附录B中硫酸雾产生量及各工序表面积参数值代入废气产生量计算公式，可以得出本项目单条</w:t>
      </w:r>
      <w:r>
        <w:rPr>
          <w:rFonts w:hint="eastAsia"/>
          <w:lang w:val="en-US" w:eastAsia="zh-CN"/>
        </w:rPr>
        <w:t>电池连接件</w:t>
      </w:r>
      <w:r>
        <w:rPr>
          <w:rFonts w:hint="eastAsia"/>
        </w:rPr>
        <w:t>生产线的硫酸雾产生量为</w:t>
      </w:r>
      <w:r>
        <w:rPr>
          <w:rFonts w:hint="eastAsia"/>
          <w:lang w:val="en-US" w:eastAsia="zh-CN"/>
        </w:rPr>
        <w:t>0.0388</w:t>
      </w:r>
      <w:r>
        <w:rPr>
          <w:rFonts w:hint="eastAsia"/>
        </w:rPr>
        <w:t>kg/h。</w:t>
      </w:r>
      <w:r>
        <w:rPr>
          <w:rFonts w:hint="eastAsia"/>
          <w:lang w:val="en-US" w:eastAsia="zh-CN"/>
        </w:rPr>
        <w:t>6</w:t>
      </w:r>
      <w:r>
        <w:rPr>
          <w:rFonts w:hint="eastAsia"/>
        </w:rPr>
        <w:t>条生产线硫酸雾产生量为</w:t>
      </w:r>
      <w:r>
        <w:rPr>
          <w:rFonts w:hint="eastAsia"/>
          <w:lang w:val="en-US" w:eastAsia="zh-CN"/>
        </w:rPr>
        <w:t>1.6762t/a。</w:t>
      </w:r>
    </w:p>
    <w:p w14:paraId="756CFD54">
      <w:pPr>
        <w:ind w:firstLine="480"/>
      </w:pPr>
      <w:r>
        <w:rPr>
          <w:rFonts w:hint="eastAsia"/>
          <w:highlight w:val="none"/>
        </w:rPr>
        <w:t>评价提出，本项目对</w:t>
      </w:r>
      <w:r>
        <w:rPr>
          <w:rFonts w:hint="eastAsia"/>
          <w:highlight w:val="none"/>
          <w:lang w:val="en-US" w:eastAsia="zh-CN"/>
        </w:rPr>
        <w:t>钢带</w:t>
      </w:r>
      <w:r>
        <w:rPr>
          <w:rFonts w:hint="eastAsia"/>
          <w:highlight w:val="none"/>
        </w:rPr>
        <w:t>整条生产线进行整体密闭抽风、槽边抽风装置，设计集气效率为98%。单条生产线密闭区域体积设计为</w:t>
      </w:r>
      <w:r>
        <w:rPr>
          <w:rFonts w:hint="eastAsia"/>
          <w:highlight w:val="none"/>
          <w:lang w:val="en-US" w:eastAsia="zh-CN"/>
        </w:rPr>
        <w:t>126</w:t>
      </w:r>
      <w:r>
        <w:rPr>
          <w:rFonts w:hint="eastAsia"/>
          <w:highlight w:val="none"/>
        </w:rPr>
        <w:t>m</w:t>
      </w:r>
      <w:r>
        <w:rPr>
          <w:rFonts w:hint="eastAsia"/>
          <w:highlight w:val="none"/>
          <w:vertAlign w:val="superscript"/>
        </w:rPr>
        <w:t>3</w:t>
      </w:r>
      <w:r>
        <w:rPr>
          <w:rFonts w:hint="eastAsia"/>
          <w:highlight w:val="none"/>
        </w:rPr>
        <w:t>（</w:t>
      </w:r>
      <w:r>
        <w:rPr>
          <w:highlight w:val="none"/>
        </w:rPr>
        <w:t>长</w:t>
      </w:r>
      <w:r>
        <w:rPr>
          <w:rFonts w:hint="eastAsia"/>
          <w:highlight w:val="none"/>
          <w:lang w:val="en-US" w:eastAsia="zh-CN"/>
        </w:rPr>
        <w:t>30</w:t>
      </w:r>
      <w:r>
        <w:rPr>
          <w:highlight w:val="none"/>
        </w:rPr>
        <w:t>m×宽</w:t>
      </w:r>
      <w:r>
        <w:rPr>
          <w:rFonts w:hint="eastAsia"/>
          <w:highlight w:val="none"/>
          <w:lang w:val="en-US" w:eastAsia="zh-CN"/>
        </w:rPr>
        <w:t>1.4</w:t>
      </w:r>
      <w:r>
        <w:rPr>
          <w:highlight w:val="none"/>
        </w:rPr>
        <w:t>m×高</w:t>
      </w:r>
      <w:r>
        <w:rPr>
          <w:rFonts w:hint="eastAsia"/>
          <w:highlight w:val="none"/>
          <w:lang w:val="en-US" w:eastAsia="zh-CN"/>
        </w:rPr>
        <w:t>3.0</w:t>
      </w:r>
      <w:r>
        <w:rPr>
          <w:highlight w:val="none"/>
        </w:rPr>
        <w:t>m），</w:t>
      </w:r>
      <w:r>
        <w:rPr>
          <w:rFonts w:hint="eastAsia"/>
          <w:highlight w:val="none"/>
        </w:rPr>
        <w:t>参照《工业通风换气次数的有关规定及其在评价中的应用》，设计换气次数为10次/h，则单条生产线整体密闭抽风装置设计风量为</w:t>
      </w:r>
      <w:r>
        <w:rPr>
          <w:rFonts w:hint="eastAsia"/>
          <w:highlight w:val="none"/>
          <w:lang w:val="en-US" w:eastAsia="zh-CN"/>
        </w:rPr>
        <w:t>1260</w:t>
      </w:r>
      <w:r>
        <w:rPr>
          <w:rFonts w:hint="eastAsia"/>
          <w:highlight w:val="none"/>
        </w:rPr>
        <w:t>m</w:t>
      </w:r>
      <w:r>
        <w:rPr>
          <w:rFonts w:hint="eastAsia"/>
          <w:highlight w:val="none"/>
          <w:vertAlign w:val="superscript"/>
        </w:rPr>
        <w:t>3</w:t>
      </w:r>
      <w:r>
        <w:rPr>
          <w:rFonts w:hint="eastAsia"/>
          <w:highlight w:val="none"/>
        </w:rPr>
        <w:t>/h；单条生产线活化工序设置槽边抽风装置，设计尺寸为</w:t>
      </w:r>
      <w:r>
        <w:rPr>
          <w:rFonts w:hint="eastAsia"/>
          <w:highlight w:val="none"/>
          <w:lang w:val="en-US" w:eastAsia="zh-CN"/>
        </w:rPr>
        <w:t>1.4</w:t>
      </w:r>
      <w:r>
        <w:rPr>
          <w:rFonts w:hint="eastAsia"/>
          <w:highlight w:val="none"/>
        </w:rPr>
        <w:t>m</w:t>
      </w:r>
      <w:r>
        <w:rPr>
          <w:rFonts w:hint="eastAsia"/>
          <w:highlight w:val="none"/>
          <w:vertAlign w:val="superscript"/>
        </w:rPr>
        <w:t>2</w:t>
      </w:r>
      <w:r>
        <w:rPr>
          <w:rFonts w:hint="eastAsia"/>
          <w:highlight w:val="none"/>
        </w:rPr>
        <w:t>（</w:t>
      </w:r>
      <w:r>
        <w:rPr>
          <w:highlight w:val="none"/>
        </w:rPr>
        <w:t>长</w:t>
      </w:r>
      <w:r>
        <w:rPr>
          <w:rFonts w:hint="eastAsia"/>
          <w:highlight w:val="none"/>
          <w:lang w:val="en-US" w:eastAsia="zh-CN"/>
        </w:rPr>
        <w:t>2.8</w:t>
      </w:r>
      <w:r>
        <w:rPr>
          <w:highlight w:val="none"/>
        </w:rPr>
        <w:t>m×宽</w:t>
      </w:r>
      <w:r>
        <w:rPr>
          <w:rFonts w:hint="eastAsia"/>
          <w:highlight w:val="none"/>
        </w:rPr>
        <w:t>0.5</w:t>
      </w:r>
      <w:r>
        <w:rPr>
          <w:highlight w:val="none"/>
        </w:rPr>
        <w:t>m），</w:t>
      </w:r>
      <w:r>
        <w:rPr>
          <w:rFonts w:hint="eastAsia"/>
          <w:highlight w:val="none"/>
        </w:rPr>
        <w:t>参照《简明通风设计手册》中表5-3，设计风速为0.3m/s，则单条生产线槽边抽风装置设计风量为</w:t>
      </w:r>
      <w:r>
        <w:rPr>
          <w:rFonts w:hint="eastAsia"/>
          <w:highlight w:val="none"/>
          <w:lang w:val="en-US" w:eastAsia="zh-CN"/>
        </w:rPr>
        <w:t>1512</w:t>
      </w:r>
      <w:r>
        <w:rPr>
          <w:rFonts w:hint="eastAsia"/>
          <w:highlight w:val="none"/>
        </w:rPr>
        <w:t>m</w:t>
      </w:r>
      <w:r>
        <w:rPr>
          <w:rFonts w:hint="eastAsia"/>
          <w:highlight w:val="none"/>
          <w:vertAlign w:val="superscript"/>
        </w:rPr>
        <w:t>3</w:t>
      </w:r>
      <w:r>
        <w:rPr>
          <w:rFonts w:hint="eastAsia"/>
          <w:highlight w:val="none"/>
        </w:rPr>
        <w:t>/h</w:t>
      </w:r>
      <w:r>
        <w:rPr>
          <w:rFonts w:hint="eastAsia"/>
        </w:rPr>
        <w:t>。综上，</w:t>
      </w:r>
      <w:r>
        <w:rPr>
          <w:rFonts w:hint="eastAsia"/>
          <w:highlight w:val="none"/>
          <w:lang w:val="en-US" w:eastAsia="zh-CN"/>
        </w:rPr>
        <w:t>钢带</w:t>
      </w:r>
      <w:r>
        <w:rPr>
          <w:rFonts w:hint="eastAsia"/>
          <w:lang w:val="en-US" w:eastAsia="zh-CN"/>
        </w:rPr>
        <w:t>6</w:t>
      </w:r>
      <w:r>
        <w:rPr>
          <w:rFonts w:hint="eastAsia"/>
        </w:rPr>
        <w:t>条生产线总风机风量为</w:t>
      </w:r>
      <w:r>
        <w:rPr>
          <w:rFonts w:hint="eastAsia"/>
          <w:lang w:val="en-US" w:eastAsia="zh-CN"/>
        </w:rPr>
        <w:t>16632</w:t>
      </w:r>
      <w:r>
        <w:rPr>
          <w:rFonts w:hint="eastAsia"/>
        </w:rPr>
        <w:t>m</w:t>
      </w:r>
      <w:r>
        <w:rPr>
          <w:rFonts w:hint="eastAsia"/>
          <w:vertAlign w:val="superscript"/>
        </w:rPr>
        <w:t>3</w:t>
      </w:r>
      <w:r>
        <w:rPr>
          <w:rFonts w:hint="eastAsia"/>
        </w:rPr>
        <w:t>/h</w:t>
      </w:r>
      <w:r>
        <w:rPr>
          <w:rFonts w:hint="eastAsia"/>
          <w:lang w:eastAsia="zh-CN"/>
        </w:rPr>
        <w:t>，</w:t>
      </w:r>
      <w:r>
        <w:t>根据《污染源源强核算技术指南  电镀》（HJ984-2018）附录F，喷淋塔中和法对硫酸雾的去除率≥90%（本次评价以90%计）。</w:t>
      </w:r>
    </w:p>
    <w:p w14:paraId="0746F36A">
      <w:pPr>
        <w:ind w:firstLine="480"/>
        <w:rPr>
          <w:highlight w:val="yellow"/>
        </w:rPr>
      </w:pPr>
      <w:r>
        <w:rPr>
          <w:rFonts w:hint="eastAsia"/>
        </w:rPr>
        <w:t>经核算</w:t>
      </w:r>
      <w:r>
        <w:rPr>
          <w:rFonts w:hint="eastAsia"/>
          <w:highlight w:val="none"/>
          <w:lang w:val="en-US" w:eastAsia="zh-CN"/>
        </w:rPr>
        <w:t>钢带</w:t>
      </w:r>
      <w:r>
        <w:rPr>
          <w:rFonts w:hint="eastAsia"/>
          <w:lang w:val="en-US" w:eastAsia="zh-CN"/>
        </w:rPr>
        <w:t>6</w:t>
      </w:r>
      <w:r>
        <w:rPr>
          <w:rFonts w:hint="eastAsia"/>
        </w:rPr>
        <w:t>条生产线</w:t>
      </w:r>
      <w:r>
        <w:rPr>
          <w:rFonts w:hint="eastAsia"/>
          <w:lang w:val="en-US" w:eastAsia="zh-CN"/>
        </w:rPr>
        <w:t>硫酸雾有组织产生量 1.6427t/a，产生速率 0.2282</w:t>
      </w:r>
      <w:r>
        <w:rPr>
          <w:rFonts w:hint="eastAsia"/>
        </w:rPr>
        <w:t>kg/h</w:t>
      </w:r>
      <w:r>
        <w:rPr>
          <w:rFonts w:hint="eastAsia"/>
          <w:lang w:val="en-US" w:eastAsia="zh-CN"/>
        </w:rPr>
        <w:t>，产生浓度 13.72</w:t>
      </w:r>
      <w:r>
        <w:rPr>
          <w:rFonts w:hint="eastAsia"/>
        </w:rPr>
        <w:t>mg/m</w:t>
      </w:r>
      <w:r>
        <w:rPr>
          <w:rFonts w:hint="eastAsia"/>
          <w:vertAlign w:val="superscript"/>
        </w:rPr>
        <w:t>3</w:t>
      </w:r>
      <w:r>
        <w:rPr>
          <w:rFonts w:hint="eastAsia"/>
          <w:lang w:val="en-US" w:eastAsia="zh-CN"/>
        </w:rPr>
        <w:t>，有组织排放量 0.1643t/a，排放速率 0.0228</w:t>
      </w:r>
      <w:r>
        <w:rPr>
          <w:rFonts w:hint="eastAsia"/>
        </w:rPr>
        <w:t>kg/h</w:t>
      </w:r>
      <w:r>
        <w:rPr>
          <w:rFonts w:hint="eastAsia"/>
          <w:lang w:val="en-US" w:eastAsia="zh-CN"/>
        </w:rPr>
        <w:t>，排放浓度 1.37</w:t>
      </w:r>
      <w:r>
        <w:rPr>
          <w:rFonts w:hint="eastAsia"/>
        </w:rPr>
        <w:t>mg/m</w:t>
      </w:r>
      <w:r>
        <w:rPr>
          <w:rFonts w:hint="eastAsia"/>
          <w:vertAlign w:val="superscript"/>
        </w:rPr>
        <w:t>3</w:t>
      </w:r>
      <w:r>
        <w:t>。</w:t>
      </w:r>
    </w:p>
    <w:p w14:paraId="7AF491B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3.6.1.4槽液调配间废气</w:t>
      </w:r>
    </w:p>
    <w:p w14:paraId="45EA871B">
      <w:pPr>
        <w:ind w:firstLine="480"/>
      </w:pPr>
      <w:r>
        <w:rPr>
          <w:rFonts w:hint="eastAsia"/>
        </w:rPr>
        <w:t>本项目酸洗活化槽等溶液需定期</w:t>
      </w:r>
      <w:r>
        <w:rPr>
          <w:rFonts w:hint="eastAsia"/>
          <w:lang w:val="en-US" w:eastAsia="zh-CN"/>
        </w:rPr>
        <w:t>补充</w:t>
      </w:r>
      <w:r>
        <w:rPr>
          <w:rFonts w:hint="eastAsia"/>
        </w:rPr>
        <w:t>硫酸，配置槽液采用专门的密闭调配间进行配置，采用自动加药装置向槽体中自动补充槽液。调配过程中会有少量废气产生，主要污染因子为硫酸雾，调配间为全密闭，由于调配时间较短，原料量使用较少，故废气产生量可忽略。为了进一步减少废气影响，评价要求密闭调配间设置负压抽风装置，对溶液配置过程中产生的废气进行收集，收集后引入各自生产线的两级碱喷淋吸收塔进行处理，尾气经15m高排气筒排放。本项目设置单个密闭调配间的体积为</w:t>
      </w:r>
      <w:r>
        <w:rPr>
          <w:rFonts w:hint="eastAsia"/>
          <w:lang w:val="en-US" w:eastAsia="zh-CN"/>
        </w:rPr>
        <w:t>12.5</w:t>
      </w:r>
      <w:r>
        <w:rPr>
          <w:rFonts w:hint="eastAsia"/>
        </w:rPr>
        <w:t>m</w:t>
      </w:r>
      <w:r>
        <w:rPr>
          <w:vertAlign w:val="superscript"/>
        </w:rPr>
        <w:t>2</w:t>
      </w:r>
      <w:r>
        <w:rPr>
          <w:rFonts w:hint="eastAsia"/>
        </w:rPr>
        <w:t>（长</w:t>
      </w:r>
      <w:r>
        <w:rPr>
          <w:rFonts w:hint="eastAsia"/>
          <w:lang w:val="en-US" w:eastAsia="zh-CN"/>
        </w:rPr>
        <w:t>5</w:t>
      </w:r>
      <w:r>
        <w:rPr>
          <w:rFonts w:hint="eastAsia"/>
        </w:rPr>
        <w:t>m</w:t>
      </w:r>
      <w:r>
        <w:t>×</w:t>
      </w:r>
      <w:r>
        <w:rPr>
          <w:rFonts w:hint="eastAsia"/>
        </w:rPr>
        <w:t>宽</w:t>
      </w:r>
      <w:r>
        <w:t>2.5</w:t>
      </w:r>
      <w:r>
        <w:rPr>
          <w:rFonts w:hint="eastAsia"/>
        </w:rPr>
        <w:t>m</w:t>
      </w:r>
      <w:r>
        <w:t>×</w:t>
      </w:r>
      <w:r>
        <w:rPr>
          <w:rFonts w:hint="eastAsia"/>
        </w:rPr>
        <w:t>高1m），参照《工业通风换气次数的有关规定及其在评价中的应用》，设计换气次数为</w:t>
      </w:r>
      <w:r>
        <w:rPr>
          <w:rFonts w:hint="eastAsia"/>
          <w:lang w:val="en-US" w:eastAsia="zh-CN"/>
        </w:rPr>
        <w:t>30</w:t>
      </w:r>
      <w:r>
        <w:rPr>
          <w:rFonts w:hint="eastAsia"/>
        </w:rPr>
        <w:t>次/</w:t>
      </w:r>
      <w:r>
        <w:t>h</w:t>
      </w:r>
      <w:r>
        <w:rPr>
          <w:rFonts w:hint="eastAsia"/>
        </w:rPr>
        <w:t>，则单个密闭调配间设计风量为</w:t>
      </w:r>
      <w:r>
        <w:rPr>
          <w:rFonts w:hint="eastAsia"/>
          <w:lang w:val="en-US" w:eastAsia="zh-CN"/>
        </w:rPr>
        <w:t>375</w:t>
      </w:r>
      <w:r>
        <w:rPr>
          <w:rFonts w:hint="eastAsia"/>
        </w:rPr>
        <w:t>m</w:t>
      </w:r>
      <w:r>
        <w:rPr>
          <w:rFonts w:hint="eastAsia"/>
          <w:vertAlign w:val="superscript"/>
        </w:rPr>
        <w:t>3</w:t>
      </w:r>
      <w:r>
        <w:rPr>
          <w:rFonts w:hint="eastAsia"/>
        </w:rPr>
        <w:t>/h。</w:t>
      </w:r>
    </w:p>
    <w:p w14:paraId="2B3ED65A">
      <w:pPr>
        <w:ind w:firstLine="480"/>
      </w:pPr>
      <w:r>
        <w:rPr>
          <w:rFonts w:hint="eastAsia"/>
        </w:rPr>
        <w:t>项目设计设置3个槽液调配间，分别为钢壳生产线1个、</w:t>
      </w:r>
      <w:r>
        <w:rPr>
          <w:rFonts w:hint="eastAsia"/>
          <w:lang w:val="en-US" w:eastAsia="zh-CN"/>
        </w:rPr>
        <w:t>盖帽</w:t>
      </w:r>
      <w:r>
        <w:rPr>
          <w:rFonts w:hint="eastAsia"/>
        </w:rPr>
        <w:t>生产线1个、</w:t>
      </w:r>
      <w:r>
        <w:rPr>
          <w:rFonts w:hint="eastAsia"/>
          <w:lang w:val="en-US" w:eastAsia="zh-CN"/>
        </w:rPr>
        <w:t>钢带</w:t>
      </w:r>
      <w:r>
        <w:rPr>
          <w:rFonts w:hint="eastAsia"/>
        </w:rPr>
        <w:t>生产线1个。根据上述分析可知，</w:t>
      </w:r>
      <w:r>
        <w:rPr>
          <w:rFonts w:hint="eastAsia"/>
          <w:lang w:val="en-US" w:eastAsia="zh-CN"/>
        </w:rPr>
        <w:t>3</w:t>
      </w:r>
      <w:r>
        <w:rPr>
          <w:rFonts w:hint="eastAsia"/>
        </w:rPr>
        <w:t>条钢壳生产线风机风量为</w:t>
      </w:r>
      <w:r>
        <w:rPr>
          <w:rFonts w:hint="eastAsia"/>
          <w:lang w:val="en-US" w:eastAsia="zh-CN"/>
        </w:rPr>
        <w:t>27480</w:t>
      </w:r>
      <w:r>
        <w:rPr>
          <w:rFonts w:hint="eastAsia"/>
        </w:rPr>
        <w:t>m</w:t>
      </w:r>
      <w:r>
        <w:rPr>
          <w:rFonts w:hint="eastAsia"/>
          <w:vertAlign w:val="superscript"/>
        </w:rPr>
        <w:t>3</w:t>
      </w:r>
      <w:r>
        <w:rPr>
          <w:rFonts w:hint="eastAsia"/>
        </w:rPr>
        <w:t>/h，2条</w:t>
      </w:r>
      <w:r>
        <w:rPr>
          <w:rFonts w:hint="eastAsia"/>
          <w:lang w:val="en-US" w:eastAsia="zh-CN"/>
        </w:rPr>
        <w:t>盖帽</w:t>
      </w:r>
      <w:r>
        <w:rPr>
          <w:rFonts w:hint="eastAsia"/>
        </w:rPr>
        <w:t>生产线风机风量为</w:t>
      </w:r>
      <w:r>
        <w:rPr>
          <w:rFonts w:hint="eastAsia"/>
          <w:lang w:val="en-US" w:eastAsia="zh-CN"/>
        </w:rPr>
        <w:t>9406</w:t>
      </w:r>
      <w:r>
        <w:rPr>
          <w:rFonts w:hint="eastAsia"/>
        </w:rPr>
        <w:t>m</w:t>
      </w:r>
      <w:r>
        <w:rPr>
          <w:rFonts w:hint="eastAsia"/>
          <w:vertAlign w:val="superscript"/>
        </w:rPr>
        <w:t>3</w:t>
      </w:r>
      <w:r>
        <w:rPr>
          <w:rFonts w:hint="eastAsia"/>
        </w:rPr>
        <w:t>/h，</w:t>
      </w:r>
      <w:r>
        <w:rPr>
          <w:rFonts w:hint="eastAsia"/>
          <w:lang w:val="en-US" w:eastAsia="zh-CN"/>
        </w:rPr>
        <w:t>6</w:t>
      </w:r>
      <w:r>
        <w:rPr>
          <w:rFonts w:hint="eastAsia"/>
        </w:rPr>
        <w:t>条</w:t>
      </w:r>
      <w:r>
        <w:rPr>
          <w:rFonts w:hint="eastAsia"/>
          <w:lang w:val="en-US" w:eastAsia="zh-CN"/>
        </w:rPr>
        <w:t>钢带</w:t>
      </w:r>
      <w:r>
        <w:rPr>
          <w:rFonts w:hint="eastAsia"/>
        </w:rPr>
        <w:t>生产线风机风量为</w:t>
      </w:r>
      <w:r>
        <w:rPr>
          <w:rFonts w:hint="eastAsia"/>
          <w:lang w:val="en-US" w:eastAsia="zh-CN"/>
        </w:rPr>
        <w:t>16632</w:t>
      </w:r>
      <w:r>
        <w:rPr>
          <w:rFonts w:hint="eastAsia"/>
        </w:rPr>
        <w:t>m</w:t>
      </w:r>
      <w:r>
        <w:rPr>
          <w:rFonts w:hint="eastAsia"/>
          <w:vertAlign w:val="superscript"/>
        </w:rPr>
        <w:t>3</w:t>
      </w:r>
      <w:r>
        <w:rPr>
          <w:rFonts w:hint="eastAsia"/>
        </w:rPr>
        <w:t>/h，则叠加槽液调配间风量后总风量为：钢壳生产线总风量为</w:t>
      </w:r>
      <w:r>
        <w:rPr>
          <w:rFonts w:hint="eastAsia"/>
          <w:lang w:val="en-US" w:eastAsia="zh-CN"/>
        </w:rPr>
        <w:t>27855</w:t>
      </w:r>
      <w:r>
        <w:rPr>
          <w:rFonts w:hint="eastAsia"/>
        </w:rPr>
        <w:t>m</w:t>
      </w:r>
      <w:r>
        <w:rPr>
          <w:rFonts w:hint="eastAsia"/>
          <w:vertAlign w:val="superscript"/>
        </w:rPr>
        <w:t>3</w:t>
      </w:r>
      <w:r>
        <w:rPr>
          <w:rFonts w:hint="eastAsia"/>
        </w:rPr>
        <w:t>/h、</w:t>
      </w:r>
      <w:r>
        <w:rPr>
          <w:rFonts w:hint="eastAsia"/>
          <w:lang w:val="en-US" w:eastAsia="zh-CN"/>
        </w:rPr>
        <w:t>盖帽</w:t>
      </w:r>
      <w:r>
        <w:rPr>
          <w:rFonts w:hint="eastAsia"/>
        </w:rPr>
        <w:t>生产线总风量为</w:t>
      </w:r>
      <w:r>
        <w:rPr>
          <w:rFonts w:hint="eastAsia"/>
          <w:lang w:val="en-US" w:eastAsia="zh-CN"/>
        </w:rPr>
        <w:t>9781</w:t>
      </w:r>
      <w:r>
        <w:rPr>
          <w:rFonts w:hint="eastAsia"/>
        </w:rPr>
        <w:t>m</w:t>
      </w:r>
      <w:r>
        <w:rPr>
          <w:rFonts w:hint="eastAsia"/>
          <w:vertAlign w:val="superscript"/>
        </w:rPr>
        <w:t>3</w:t>
      </w:r>
      <w:r>
        <w:rPr>
          <w:rFonts w:hint="eastAsia"/>
        </w:rPr>
        <w:t>/h、</w:t>
      </w:r>
      <w:r>
        <w:rPr>
          <w:rFonts w:hint="eastAsia"/>
          <w:lang w:val="en-US" w:eastAsia="zh-CN"/>
        </w:rPr>
        <w:t>钢带</w:t>
      </w:r>
      <w:r>
        <w:rPr>
          <w:rFonts w:hint="eastAsia"/>
        </w:rPr>
        <w:t>生产线总风量为</w:t>
      </w:r>
      <w:r>
        <w:rPr>
          <w:rFonts w:hint="eastAsia"/>
          <w:lang w:val="en-US" w:eastAsia="zh-CN"/>
        </w:rPr>
        <w:t>17007</w:t>
      </w:r>
      <w:r>
        <w:rPr>
          <w:rFonts w:hint="eastAsia"/>
        </w:rPr>
        <w:t>m</w:t>
      </w:r>
      <w:r>
        <w:rPr>
          <w:rFonts w:hint="eastAsia"/>
          <w:vertAlign w:val="superscript"/>
        </w:rPr>
        <w:t>3</w:t>
      </w:r>
      <w:r>
        <w:rPr>
          <w:rFonts w:hint="eastAsia"/>
        </w:rPr>
        <w:t>/h。</w:t>
      </w:r>
    </w:p>
    <w:p w14:paraId="6BAF49C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w:t>
      </w:r>
      <w:r>
        <w:rPr>
          <w:rFonts w:hint="eastAsia" w:cs="Times New Roman"/>
          <w:lang w:val="en-US" w:eastAsia="zh-CN"/>
        </w:rPr>
        <w:t>5</w:t>
      </w:r>
      <w:r>
        <w:rPr>
          <w:rFonts w:hint="eastAsia" w:ascii="Times New Roman" w:hAnsi="Times New Roman" w:cs="Times New Roman"/>
          <w:lang w:val="en-US" w:eastAsia="zh-CN"/>
        </w:rPr>
        <w:t>污水处理站废气</w:t>
      </w:r>
    </w:p>
    <w:p w14:paraId="67E31E0F">
      <w:pPr>
        <w:ind w:firstLine="480"/>
        <w:rPr>
          <w:rFonts w:hint="eastAsia"/>
          <w:bCs/>
        </w:rPr>
      </w:pPr>
      <w:r>
        <w:rPr>
          <w:rFonts w:hint="eastAsia"/>
          <w:bCs/>
          <w:lang w:val="en-US" w:eastAsia="zh-CN"/>
        </w:rPr>
        <w:t>本项目综合废水</w:t>
      </w:r>
      <w:r>
        <w:rPr>
          <w:rFonts w:hint="eastAsia"/>
          <w:bCs/>
        </w:rPr>
        <w:t>污水处理系统主要设施包括物化及生化处理装置，根据污水处理相关经验，产生恶臭的节点主要是生化处理单元和污泥处理单元，而本项目综合废水处理设施和浓水处理设施均设生化处理工艺，污泥浓缩处理，因此本项目废水站运行期间会产生恶臭，恶臭的代表污染物为氨、硫化氢及臭气浓度，其产生量的大小与废水停留时间、废水进水水质、运行工况和当时气象条件等诸多因素有关。</w:t>
      </w:r>
    </w:p>
    <w:p w14:paraId="54229F79">
      <w:pPr>
        <w:ind w:firstLine="480"/>
        <w:rPr>
          <w:rFonts w:hint="eastAsia"/>
          <w:bCs/>
        </w:rPr>
      </w:pPr>
      <w:r>
        <w:rPr>
          <w:rFonts w:hint="eastAsia"/>
          <w:bCs/>
        </w:rPr>
        <w:t>臭气排污系数一般使用单位时间内单位面积的散发量来表征，本项目综合废水处理系统产生恶臭的环节主要为生化池和污泥脱水间等。项目引用《城市污水处理厂恶臭影响及对策分析》（王喜红 洛阳市环境保护设计研究所）中污水厂主要处理设施氨气和硫化氢产生强度，具体见下表。</w:t>
      </w:r>
    </w:p>
    <w:p w14:paraId="4ECAE0DF">
      <w:pPr>
        <w:ind w:firstLine="480"/>
        <w:jc w:val="center"/>
        <w:rPr>
          <w:rFonts w:hint="default"/>
          <w:b/>
          <w:bCs/>
          <w:lang w:val="en-US"/>
        </w:rPr>
      </w:pPr>
      <w:r>
        <w:rPr>
          <w:rFonts w:hint="eastAsia"/>
          <w:b/>
          <w:bCs/>
        </w:rPr>
        <w:t>表</w:t>
      </w:r>
      <w:r>
        <w:rPr>
          <w:rFonts w:hint="eastAsia"/>
          <w:b/>
          <w:bCs/>
          <w:lang w:val="en-US" w:eastAsia="zh-CN"/>
        </w:rPr>
        <w:t>3.6-7</w:t>
      </w:r>
      <w:r>
        <w:rPr>
          <w:rFonts w:hint="eastAsia"/>
          <w:b/>
          <w:bCs/>
        </w:rPr>
        <w:t xml:space="preserve">    </w:t>
      </w:r>
      <w:r>
        <w:rPr>
          <w:rFonts w:hint="eastAsia"/>
          <w:b/>
          <w:bCs/>
          <w:lang w:val="en-US" w:eastAsia="zh-CN"/>
        </w:rPr>
        <w:t>单位面积恶臭污染物排放源强    单位：mg/s﹒m</w:t>
      </w:r>
      <w:r>
        <w:rPr>
          <w:rFonts w:hint="eastAsia"/>
          <w:b/>
          <w:bCs/>
          <w:vertAlign w:val="superscript"/>
          <w:lang w:val="en-US" w:eastAsia="zh-CN"/>
        </w:rPr>
        <w:t>2</w:t>
      </w:r>
    </w:p>
    <w:tbl>
      <w:tblPr>
        <w:tblStyle w:val="39"/>
        <w:tblW w:w="846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2822"/>
        <w:gridCol w:w="2822"/>
        <w:gridCol w:w="2822"/>
      </w:tblGrid>
      <w:tr w14:paraId="010A79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22" w:type="dxa"/>
            <w:noWrap w:val="0"/>
            <w:vAlign w:val="center"/>
          </w:tcPr>
          <w:p w14:paraId="73D0F9D9">
            <w:pPr>
              <w:pStyle w:val="75"/>
              <w:rPr>
                <w:b/>
                <w:bCs/>
                <w:u w:val="none"/>
              </w:rPr>
            </w:pPr>
            <w:r>
              <w:rPr>
                <w:b/>
                <w:bCs/>
                <w:u w:val="none"/>
              </w:rPr>
              <w:t>构筑物名称</w:t>
            </w:r>
          </w:p>
        </w:tc>
        <w:tc>
          <w:tcPr>
            <w:tcW w:w="2822" w:type="dxa"/>
            <w:noWrap w:val="0"/>
            <w:vAlign w:val="center"/>
          </w:tcPr>
          <w:p w14:paraId="36AA3B7B">
            <w:pPr>
              <w:pStyle w:val="75"/>
              <w:rPr>
                <w:b/>
                <w:bCs/>
                <w:u w:val="none"/>
              </w:rPr>
            </w:pPr>
            <w:r>
              <w:rPr>
                <w:b/>
                <w:bCs/>
                <w:u w:val="none"/>
              </w:rPr>
              <w:t>H</w:t>
            </w:r>
            <w:r>
              <w:rPr>
                <w:b/>
                <w:bCs/>
                <w:u w:val="none"/>
                <w:vertAlign w:val="subscript"/>
              </w:rPr>
              <w:t>2</w:t>
            </w:r>
            <w:r>
              <w:rPr>
                <w:b/>
                <w:bCs/>
                <w:u w:val="none"/>
              </w:rPr>
              <w:t>S</w:t>
            </w:r>
          </w:p>
        </w:tc>
        <w:tc>
          <w:tcPr>
            <w:tcW w:w="2822" w:type="dxa"/>
            <w:noWrap w:val="0"/>
            <w:vAlign w:val="center"/>
          </w:tcPr>
          <w:p w14:paraId="0736E857">
            <w:pPr>
              <w:pStyle w:val="75"/>
              <w:rPr>
                <w:b/>
                <w:bCs/>
                <w:u w:val="none"/>
              </w:rPr>
            </w:pPr>
            <w:r>
              <w:rPr>
                <w:b/>
                <w:bCs/>
                <w:u w:val="none"/>
              </w:rPr>
              <w:t>NH</w:t>
            </w:r>
            <w:r>
              <w:rPr>
                <w:b/>
                <w:bCs/>
                <w:u w:val="none"/>
                <w:vertAlign w:val="subscript"/>
              </w:rPr>
              <w:t>3</w:t>
            </w:r>
          </w:p>
        </w:tc>
      </w:tr>
      <w:tr w14:paraId="1E2CD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22" w:type="dxa"/>
            <w:noWrap w:val="0"/>
            <w:vAlign w:val="center"/>
          </w:tcPr>
          <w:p w14:paraId="7038117D">
            <w:pPr>
              <w:pStyle w:val="75"/>
              <w:rPr>
                <w:b w:val="0"/>
                <w:bCs w:val="0"/>
                <w:u w:val="none"/>
              </w:rPr>
            </w:pPr>
            <w:r>
              <w:rPr>
                <w:b w:val="0"/>
                <w:bCs w:val="0"/>
                <w:u w:val="none"/>
              </w:rPr>
              <w:t>生物处理池</w:t>
            </w:r>
          </w:p>
        </w:tc>
        <w:tc>
          <w:tcPr>
            <w:tcW w:w="2822" w:type="dxa"/>
            <w:noWrap w:val="0"/>
            <w:vAlign w:val="center"/>
          </w:tcPr>
          <w:p w14:paraId="14CF5F0C">
            <w:pPr>
              <w:pStyle w:val="75"/>
              <w:rPr>
                <w:b w:val="0"/>
                <w:bCs w:val="0"/>
                <w:u w:val="none"/>
              </w:rPr>
            </w:pPr>
            <w:r>
              <w:rPr>
                <w:b w:val="0"/>
                <w:bCs w:val="0"/>
                <w:u w:val="none"/>
              </w:rPr>
              <w:t>0.26×10</w:t>
            </w:r>
            <w:r>
              <w:rPr>
                <w:b w:val="0"/>
                <w:bCs w:val="0"/>
                <w:u w:val="none"/>
                <w:vertAlign w:val="superscript"/>
              </w:rPr>
              <w:t>-3</w:t>
            </w:r>
          </w:p>
        </w:tc>
        <w:tc>
          <w:tcPr>
            <w:tcW w:w="2822" w:type="dxa"/>
            <w:noWrap w:val="0"/>
            <w:vAlign w:val="center"/>
          </w:tcPr>
          <w:p w14:paraId="385B4275">
            <w:pPr>
              <w:pStyle w:val="75"/>
              <w:rPr>
                <w:b w:val="0"/>
                <w:bCs w:val="0"/>
                <w:u w:val="none"/>
              </w:rPr>
            </w:pPr>
            <w:r>
              <w:rPr>
                <w:b w:val="0"/>
                <w:bCs w:val="0"/>
                <w:u w:val="none"/>
              </w:rPr>
              <w:t>0.0049</w:t>
            </w:r>
          </w:p>
        </w:tc>
      </w:tr>
      <w:tr w14:paraId="5102DD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22" w:type="dxa"/>
            <w:noWrap w:val="0"/>
            <w:vAlign w:val="center"/>
          </w:tcPr>
          <w:p w14:paraId="66F3D192">
            <w:pPr>
              <w:pStyle w:val="75"/>
              <w:rPr>
                <w:b w:val="0"/>
                <w:bCs w:val="0"/>
                <w:u w:val="none"/>
              </w:rPr>
            </w:pPr>
            <w:r>
              <w:rPr>
                <w:b w:val="0"/>
                <w:bCs w:val="0"/>
                <w:u w:val="none"/>
              </w:rPr>
              <w:t>污泥浓缩池</w:t>
            </w:r>
          </w:p>
        </w:tc>
        <w:tc>
          <w:tcPr>
            <w:tcW w:w="2822" w:type="dxa"/>
            <w:noWrap w:val="0"/>
            <w:vAlign w:val="center"/>
          </w:tcPr>
          <w:p w14:paraId="00B13814">
            <w:pPr>
              <w:pStyle w:val="75"/>
              <w:rPr>
                <w:b w:val="0"/>
                <w:bCs w:val="0"/>
                <w:u w:val="none"/>
              </w:rPr>
            </w:pPr>
            <w:r>
              <w:rPr>
                <w:b w:val="0"/>
                <w:bCs w:val="0"/>
                <w:u w:val="none"/>
              </w:rPr>
              <w:t>0.</w:t>
            </w:r>
            <w:r>
              <w:rPr>
                <w:rFonts w:hint="eastAsia"/>
                <w:b w:val="0"/>
                <w:bCs w:val="0"/>
                <w:u w:val="none"/>
              </w:rPr>
              <w:t>03</w:t>
            </w:r>
            <w:r>
              <w:rPr>
                <w:b w:val="0"/>
                <w:bCs w:val="0"/>
                <w:u w:val="none"/>
              </w:rPr>
              <w:t>×10</w:t>
            </w:r>
            <w:r>
              <w:rPr>
                <w:b w:val="0"/>
                <w:bCs w:val="0"/>
                <w:u w:val="none"/>
                <w:vertAlign w:val="superscript"/>
              </w:rPr>
              <w:t>-3</w:t>
            </w:r>
          </w:p>
        </w:tc>
        <w:tc>
          <w:tcPr>
            <w:tcW w:w="2822" w:type="dxa"/>
            <w:noWrap w:val="0"/>
            <w:vAlign w:val="center"/>
          </w:tcPr>
          <w:p w14:paraId="5BB8B51E">
            <w:pPr>
              <w:pStyle w:val="75"/>
              <w:rPr>
                <w:b w:val="0"/>
                <w:bCs w:val="0"/>
                <w:u w:val="none"/>
              </w:rPr>
            </w:pPr>
            <w:r>
              <w:rPr>
                <w:rFonts w:hint="eastAsia"/>
                <w:b w:val="0"/>
                <w:bCs w:val="0"/>
                <w:u w:val="none"/>
              </w:rPr>
              <w:t>0.103</w:t>
            </w:r>
          </w:p>
        </w:tc>
      </w:tr>
    </w:tbl>
    <w:p w14:paraId="610A47A7">
      <w:pPr>
        <w:ind w:firstLine="480"/>
        <w:rPr>
          <w:rFonts w:hint="eastAsia" w:eastAsia="宋体"/>
          <w:bCs/>
          <w:lang w:eastAsia="zh-CN"/>
        </w:rPr>
      </w:pPr>
      <w:r>
        <w:rPr>
          <w:rFonts w:hint="eastAsia"/>
          <w:bCs/>
        </w:rPr>
        <w:t>结合本项目废水处理站的设计实际情况，恶臭的主要产生节点有废水处理设施的水解酸化池、</w:t>
      </w:r>
      <w:r>
        <w:rPr>
          <w:rFonts w:hint="eastAsia"/>
          <w:bCs/>
          <w:lang w:val="en-US" w:eastAsia="zh-CN"/>
        </w:rPr>
        <w:t>接触氧化池</w:t>
      </w:r>
      <w:r>
        <w:rPr>
          <w:rFonts w:hint="eastAsia"/>
          <w:bCs/>
        </w:rPr>
        <w:t>和污泥浓缩池等。根据上表的产污系数，本项目废水站恶臭源强见下表</w:t>
      </w:r>
      <w:r>
        <w:rPr>
          <w:rFonts w:hint="eastAsia"/>
          <w:bCs/>
          <w:lang w:eastAsia="zh-CN"/>
        </w:rPr>
        <w:t>。</w:t>
      </w:r>
    </w:p>
    <w:p w14:paraId="210F16CC">
      <w:pPr>
        <w:ind w:firstLine="480"/>
        <w:jc w:val="center"/>
        <w:rPr>
          <w:rFonts w:hint="default"/>
          <w:b/>
          <w:bCs/>
          <w:lang w:val="en-US"/>
        </w:rPr>
      </w:pPr>
      <w:r>
        <w:rPr>
          <w:rFonts w:hint="eastAsia"/>
          <w:b/>
          <w:bCs/>
        </w:rPr>
        <w:t>表</w:t>
      </w:r>
      <w:r>
        <w:rPr>
          <w:rFonts w:hint="eastAsia"/>
          <w:b/>
          <w:bCs/>
          <w:lang w:val="en-US" w:eastAsia="zh-CN"/>
        </w:rPr>
        <w:t>3.6-8</w:t>
      </w:r>
      <w:r>
        <w:rPr>
          <w:rFonts w:hint="eastAsia"/>
          <w:b/>
          <w:bCs/>
        </w:rPr>
        <w:t xml:space="preserve">    </w:t>
      </w:r>
      <w:r>
        <w:rPr>
          <w:rFonts w:hint="eastAsia"/>
          <w:b/>
          <w:bCs/>
          <w:lang w:val="en-US" w:eastAsia="zh-CN"/>
        </w:rPr>
        <w:t>废水处理站恶臭污染物源强计算表    单位：mg/s﹒m</w:t>
      </w:r>
      <w:r>
        <w:rPr>
          <w:rFonts w:hint="eastAsia"/>
          <w:b/>
          <w:bCs/>
          <w:vertAlign w:val="superscript"/>
          <w:lang w:val="en-US" w:eastAsia="zh-CN"/>
        </w:rPr>
        <w:t>2</w:t>
      </w:r>
    </w:p>
    <w:tbl>
      <w:tblPr>
        <w:tblStyle w:val="39"/>
        <w:tblW w:w="82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773"/>
        <w:gridCol w:w="1773"/>
        <w:gridCol w:w="1626"/>
        <w:gridCol w:w="1672"/>
        <w:gridCol w:w="1414"/>
      </w:tblGrid>
      <w:tr w14:paraId="03C0E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11" w:hRule="atLeast"/>
          <w:jc w:val="center"/>
        </w:trPr>
        <w:tc>
          <w:tcPr>
            <w:tcW w:w="1773" w:type="dxa"/>
            <w:vMerge w:val="restart"/>
            <w:noWrap w:val="0"/>
            <w:vAlign w:val="center"/>
          </w:tcPr>
          <w:p w14:paraId="34C5EC20">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处理单元</w:t>
            </w:r>
          </w:p>
        </w:tc>
        <w:tc>
          <w:tcPr>
            <w:tcW w:w="1773" w:type="dxa"/>
            <w:vMerge w:val="restart"/>
            <w:noWrap w:val="0"/>
            <w:vAlign w:val="center"/>
          </w:tcPr>
          <w:p w14:paraId="509C3EAD">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构筑物名称</w:t>
            </w:r>
          </w:p>
        </w:tc>
        <w:tc>
          <w:tcPr>
            <w:tcW w:w="1626" w:type="dxa"/>
            <w:vMerge w:val="restart"/>
            <w:noWrap w:val="0"/>
            <w:vAlign w:val="center"/>
          </w:tcPr>
          <w:p w14:paraId="46A95461">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构筑物面积</w:t>
            </w:r>
          </w:p>
        </w:tc>
        <w:tc>
          <w:tcPr>
            <w:tcW w:w="3086" w:type="dxa"/>
            <w:gridSpan w:val="2"/>
            <w:noWrap w:val="0"/>
            <w:vAlign w:val="center"/>
          </w:tcPr>
          <w:p w14:paraId="58716216">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源强（t/a）</w:t>
            </w:r>
          </w:p>
        </w:tc>
      </w:tr>
      <w:tr w14:paraId="4459ED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773" w:type="dxa"/>
            <w:vMerge w:val="continue"/>
            <w:noWrap w:val="0"/>
            <w:vAlign w:val="center"/>
          </w:tcPr>
          <w:p w14:paraId="568F5D42">
            <w:pPr>
              <w:pStyle w:val="75"/>
              <w:rPr>
                <w:rFonts w:hint="default" w:ascii="Times New Roman" w:hAnsi="Times New Roman" w:eastAsia="宋体" w:cs="Times New Roman"/>
                <w:b/>
                <w:bCs/>
                <w:u w:val="none"/>
              </w:rPr>
            </w:pPr>
          </w:p>
        </w:tc>
        <w:tc>
          <w:tcPr>
            <w:tcW w:w="1773" w:type="dxa"/>
            <w:vMerge w:val="continue"/>
            <w:noWrap w:val="0"/>
            <w:vAlign w:val="center"/>
          </w:tcPr>
          <w:p w14:paraId="5C723A44">
            <w:pPr>
              <w:pStyle w:val="75"/>
              <w:rPr>
                <w:rFonts w:hint="default" w:ascii="Times New Roman" w:hAnsi="Times New Roman" w:eastAsia="宋体" w:cs="Times New Roman"/>
                <w:b/>
                <w:bCs/>
                <w:u w:val="none"/>
              </w:rPr>
            </w:pPr>
          </w:p>
        </w:tc>
        <w:tc>
          <w:tcPr>
            <w:tcW w:w="1626" w:type="dxa"/>
            <w:vMerge w:val="continue"/>
            <w:noWrap w:val="0"/>
            <w:vAlign w:val="center"/>
          </w:tcPr>
          <w:p w14:paraId="0FCC9882">
            <w:pPr>
              <w:pStyle w:val="75"/>
              <w:rPr>
                <w:rFonts w:hint="default" w:ascii="Times New Roman" w:hAnsi="Times New Roman" w:eastAsia="宋体" w:cs="Times New Roman"/>
                <w:b/>
                <w:bCs/>
                <w:u w:val="none"/>
              </w:rPr>
            </w:pPr>
          </w:p>
        </w:tc>
        <w:tc>
          <w:tcPr>
            <w:tcW w:w="1672" w:type="dxa"/>
            <w:noWrap w:val="0"/>
            <w:vAlign w:val="center"/>
          </w:tcPr>
          <w:p w14:paraId="090886C0">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H</w:t>
            </w:r>
            <w:r>
              <w:rPr>
                <w:rFonts w:hint="default" w:ascii="Times New Roman" w:hAnsi="Times New Roman" w:eastAsia="宋体" w:cs="Times New Roman"/>
                <w:b/>
                <w:bCs/>
                <w:u w:val="none"/>
                <w:vertAlign w:val="subscript"/>
              </w:rPr>
              <w:t>2</w:t>
            </w:r>
            <w:r>
              <w:rPr>
                <w:rFonts w:hint="default" w:ascii="Times New Roman" w:hAnsi="Times New Roman" w:eastAsia="宋体" w:cs="Times New Roman"/>
                <w:b/>
                <w:bCs/>
                <w:u w:val="none"/>
              </w:rPr>
              <w:t>S</w:t>
            </w:r>
          </w:p>
        </w:tc>
        <w:tc>
          <w:tcPr>
            <w:tcW w:w="1414" w:type="dxa"/>
            <w:noWrap w:val="0"/>
            <w:vAlign w:val="center"/>
          </w:tcPr>
          <w:p w14:paraId="40A34068">
            <w:pPr>
              <w:pStyle w:val="75"/>
              <w:rPr>
                <w:rFonts w:hint="default" w:ascii="Times New Roman" w:hAnsi="Times New Roman" w:eastAsia="宋体" w:cs="Times New Roman"/>
                <w:b/>
                <w:bCs/>
                <w:u w:val="none"/>
              </w:rPr>
            </w:pPr>
            <w:r>
              <w:rPr>
                <w:rFonts w:hint="default" w:ascii="Times New Roman" w:hAnsi="Times New Roman" w:eastAsia="宋体" w:cs="Times New Roman"/>
                <w:b/>
                <w:bCs/>
                <w:u w:val="none"/>
              </w:rPr>
              <w:t>NH</w:t>
            </w:r>
            <w:r>
              <w:rPr>
                <w:rFonts w:hint="default" w:ascii="Times New Roman" w:hAnsi="Times New Roman" w:eastAsia="宋体" w:cs="Times New Roman"/>
                <w:b/>
                <w:bCs/>
                <w:u w:val="none"/>
                <w:vertAlign w:val="subscript"/>
              </w:rPr>
              <w:t>3</w:t>
            </w:r>
          </w:p>
        </w:tc>
      </w:tr>
      <w:tr w14:paraId="72915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773" w:type="dxa"/>
            <w:vMerge w:val="restart"/>
            <w:noWrap w:val="0"/>
            <w:vAlign w:val="center"/>
          </w:tcPr>
          <w:p w14:paraId="73A85EE8">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生物处理池</w:t>
            </w:r>
          </w:p>
        </w:tc>
        <w:tc>
          <w:tcPr>
            <w:tcW w:w="1773" w:type="dxa"/>
            <w:noWrap w:val="0"/>
            <w:vAlign w:val="center"/>
          </w:tcPr>
          <w:p w14:paraId="036EA7B8">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水解酸化池</w:t>
            </w:r>
          </w:p>
        </w:tc>
        <w:tc>
          <w:tcPr>
            <w:tcW w:w="1626" w:type="dxa"/>
            <w:noWrap w:val="0"/>
            <w:vAlign w:val="center"/>
          </w:tcPr>
          <w:p w14:paraId="515894EC">
            <w:pPr>
              <w:pStyle w:val="75"/>
              <w:rPr>
                <w:rFonts w:hint="default" w:ascii="Times New Roman" w:hAnsi="Times New Roman" w:eastAsia="宋体" w:cs="Times New Roman"/>
                <w:b w:val="0"/>
                <w:bCs w:val="0"/>
                <w:u w:val="none"/>
                <w:lang w:val="en-US" w:eastAsia="zh-CN"/>
              </w:rPr>
            </w:pPr>
            <w:r>
              <w:rPr>
                <w:rFonts w:hint="default" w:ascii="Times New Roman" w:hAnsi="Times New Roman" w:eastAsia="宋体" w:cs="Times New Roman"/>
                <w:b w:val="0"/>
                <w:bCs w:val="0"/>
                <w:u w:val="none"/>
                <w:lang w:val="en-US" w:eastAsia="zh-CN"/>
              </w:rPr>
              <w:t>30</w:t>
            </w:r>
          </w:p>
        </w:tc>
        <w:tc>
          <w:tcPr>
            <w:tcW w:w="1672" w:type="dxa"/>
            <w:noWrap w:val="0"/>
            <w:vAlign w:val="center"/>
          </w:tcPr>
          <w:p w14:paraId="1642E9E9">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0.0002</w:t>
            </w:r>
          </w:p>
        </w:tc>
        <w:tc>
          <w:tcPr>
            <w:tcW w:w="1414" w:type="dxa"/>
            <w:noWrap w:val="0"/>
            <w:vAlign w:val="center"/>
          </w:tcPr>
          <w:p w14:paraId="11AB3F2F">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0.0038</w:t>
            </w:r>
          </w:p>
        </w:tc>
      </w:tr>
      <w:tr w14:paraId="24A63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773" w:type="dxa"/>
            <w:vMerge w:val="continue"/>
            <w:noWrap w:val="0"/>
            <w:vAlign w:val="center"/>
          </w:tcPr>
          <w:p w14:paraId="235A6290">
            <w:pPr>
              <w:pStyle w:val="75"/>
              <w:rPr>
                <w:rFonts w:hint="default" w:ascii="Times New Roman" w:hAnsi="Times New Roman" w:eastAsia="宋体" w:cs="Times New Roman"/>
                <w:b w:val="0"/>
                <w:bCs w:val="0"/>
                <w:u w:val="none"/>
              </w:rPr>
            </w:pPr>
          </w:p>
        </w:tc>
        <w:tc>
          <w:tcPr>
            <w:tcW w:w="1773" w:type="dxa"/>
            <w:noWrap w:val="0"/>
            <w:vAlign w:val="center"/>
          </w:tcPr>
          <w:p w14:paraId="7E070C82">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接触氧化池</w:t>
            </w:r>
          </w:p>
        </w:tc>
        <w:tc>
          <w:tcPr>
            <w:tcW w:w="1626" w:type="dxa"/>
            <w:noWrap w:val="0"/>
            <w:vAlign w:val="center"/>
          </w:tcPr>
          <w:p w14:paraId="514F0A2F">
            <w:pPr>
              <w:pStyle w:val="75"/>
              <w:rPr>
                <w:rFonts w:hint="default" w:ascii="Times New Roman" w:hAnsi="Times New Roman" w:eastAsia="宋体" w:cs="Times New Roman"/>
                <w:b w:val="0"/>
                <w:bCs w:val="0"/>
                <w:u w:val="none"/>
                <w:lang w:val="en-US" w:eastAsia="zh-CN"/>
              </w:rPr>
            </w:pPr>
            <w:r>
              <w:rPr>
                <w:rFonts w:hint="default" w:ascii="Times New Roman" w:hAnsi="Times New Roman" w:eastAsia="宋体" w:cs="Times New Roman"/>
                <w:b w:val="0"/>
                <w:bCs w:val="0"/>
                <w:u w:val="none"/>
                <w:lang w:val="en-US" w:eastAsia="zh-CN"/>
              </w:rPr>
              <w:t>30</w:t>
            </w:r>
          </w:p>
        </w:tc>
        <w:tc>
          <w:tcPr>
            <w:tcW w:w="1672" w:type="dxa"/>
            <w:noWrap w:val="0"/>
            <w:vAlign w:val="center"/>
          </w:tcPr>
          <w:p w14:paraId="5F122B1B">
            <w:pPr>
              <w:pStyle w:val="75"/>
              <w:ind w:firstLine="0" w:firstLineChars="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0.0002</w:t>
            </w:r>
          </w:p>
        </w:tc>
        <w:tc>
          <w:tcPr>
            <w:tcW w:w="1414" w:type="dxa"/>
            <w:noWrap w:val="0"/>
            <w:vAlign w:val="center"/>
          </w:tcPr>
          <w:p w14:paraId="57D4BB8F">
            <w:pPr>
              <w:pStyle w:val="75"/>
              <w:ind w:firstLine="0" w:firstLineChars="0"/>
              <w:rPr>
                <w:rFonts w:hint="default" w:ascii="Times New Roman" w:hAnsi="Times New Roman" w:eastAsia="宋体" w:cs="Times New Roman"/>
                <w:b w:val="0"/>
                <w:bCs w:val="0"/>
                <w:u w:val="none"/>
              </w:rPr>
            </w:pPr>
            <w:r>
              <w:rPr>
                <w:rFonts w:hint="eastAsia" w:ascii="Times New Roman" w:hAnsi="Times New Roman" w:eastAsia="宋体" w:cs="Times New Roman"/>
                <w:b w:val="0"/>
                <w:bCs w:val="0"/>
                <w:u w:val="none"/>
                <w:lang w:val="en-US" w:eastAsia="zh-CN"/>
              </w:rPr>
              <w:t>0.0038</w:t>
            </w:r>
          </w:p>
        </w:tc>
      </w:tr>
      <w:tr w14:paraId="1CDC1E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773" w:type="dxa"/>
            <w:noWrap w:val="0"/>
            <w:vAlign w:val="center"/>
          </w:tcPr>
          <w:p w14:paraId="4F144EF1">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污泥浓缩池</w:t>
            </w:r>
          </w:p>
        </w:tc>
        <w:tc>
          <w:tcPr>
            <w:tcW w:w="1773" w:type="dxa"/>
            <w:noWrap w:val="0"/>
            <w:vAlign w:val="center"/>
          </w:tcPr>
          <w:p w14:paraId="20742385">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污泥浓缩池</w:t>
            </w:r>
          </w:p>
        </w:tc>
        <w:tc>
          <w:tcPr>
            <w:tcW w:w="1626" w:type="dxa"/>
            <w:noWrap w:val="0"/>
            <w:vAlign w:val="center"/>
          </w:tcPr>
          <w:p w14:paraId="71EBA25C">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color w:val="000000"/>
                <w:u w:val="none"/>
                <w:lang w:val="en-US" w:eastAsia="zh-CN"/>
              </w:rPr>
              <w:t>25</w:t>
            </w:r>
          </w:p>
        </w:tc>
        <w:tc>
          <w:tcPr>
            <w:tcW w:w="1672" w:type="dxa"/>
            <w:noWrap w:val="0"/>
            <w:vAlign w:val="center"/>
          </w:tcPr>
          <w:p w14:paraId="1B67B0AC">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0.00002</w:t>
            </w:r>
          </w:p>
        </w:tc>
        <w:tc>
          <w:tcPr>
            <w:tcW w:w="1414" w:type="dxa"/>
            <w:noWrap w:val="0"/>
            <w:vAlign w:val="center"/>
          </w:tcPr>
          <w:p w14:paraId="5045A183">
            <w:pPr>
              <w:pStyle w:val="75"/>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0.08</w:t>
            </w:r>
          </w:p>
        </w:tc>
      </w:tr>
      <w:tr w14:paraId="7AA28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1" w:hRule="atLeast"/>
          <w:jc w:val="center"/>
        </w:trPr>
        <w:tc>
          <w:tcPr>
            <w:tcW w:w="3546" w:type="dxa"/>
            <w:gridSpan w:val="2"/>
            <w:noWrap w:val="0"/>
            <w:vAlign w:val="center"/>
          </w:tcPr>
          <w:p w14:paraId="4264AD8A">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合计</w:t>
            </w:r>
          </w:p>
        </w:tc>
        <w:tc>
          <w:tcPr>
            <w:tcW w:w="1626" w:type="dxa"/>
            <w:noWrap w:val="0"/>
            <w:vAlign w:val="center"/>
          </w:tcPr>
          <w:p w14:paraId="1DD49C20">
            <w:pPr>
              <w:pStyle w:val="75"/>
              <w:rPr>
                <w:rFonts w:hint="default" w:ascii="Times New Roman" w:hAnsi="Times New Roman" w:eastAsia="宋体" w:cs="Times New Roman"/>
                <w:b w:val="0"/>
                <w:bCs w:val="0"/>
                <w:u w:val="none"/>
              </w:rPr>
            </w:pPr>
            <w:r>
              <w:rPr>
                <w:rFonts w:hint="default" w:ascii="Times New Roman" w:hAnsi="Times New Roman" w:eastAsia="宋体" w:cs="Times New Roman"/>
                <w:b w:val="0"/>
                <w:bCs w:val="0"/>
                <w:u w:val="none"/>
              </w:rPr>
              <w:t>/</w:t>
            </w:r>
          </w:p>
        </w:tc>
        <w:tc>
          <w:tcPr>
            <w:tcW w:w="1672" w:type="dxa"/>
            <w:shd w:val="clear" w:color="auto" w:fill="auto"/>
            <w:noWrap w:val="0"/>
            <w:vAlign w:val="center"/>
          </w:tcPr>
          <w:p w14:paraId="58064D75">
            <w:pPr>
              <w:pStyle w:val="75"/>
              <w:ind w:firstLine="0" w:firstLineChars="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0.0004</w:t>
            </w:r>
            <w:r>
              <w:rPr>
                <w:rFonts w:hint="eastAsia" w:cs="Times New Roman"/>
                <w:b w:val="0"/>
                <w:bCs w:val="0"/>
                <w:u w:val="none"/>
                <w:lang w:val="en-US" w:eastAsia="zh-CN"/>
              </w:rPr>
              <w:t>2</w:t>
            </w:r>
          </w:p>
        </w:tc>
        <w:tc>
          <w:tcPr>
            <w:tcW w:w="1414" w:type="dxa"/>
            <w:noWrap w:val="0"/>
            <w:vAlign w:val="center"/>
          </w:tcPr>
          <w:p w14:paraId="76871330">
            <w:pPr>
              <w:pStyle w:val="75"/>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0.0876</w:t>
            </w:r>
          </w:p>
        </w:tc>
      </w:tr>
    </w:tbl>
    <w:p w14:paraId="1E775456">
      <w:pPr>
        <w:ind w:firstLine="480"/>
        <w:rPr>
          <w:rFonts w:hint="eastAsia"/>
          <w:bCs/>
        </w:rPr>
      </w:pPr>
      <w:r>
        <w:rPr>
          <w:rFonts w:hint="eastAsia"/>
          <w:bCs/>
        </w:rPr>
        <w:t>此外参照类似污水处理站，臭气浓度在20（无量纲）之下，本报告不做详细分析描述</w:t>
      </w:r>
      <w:r>
        <w:rPr>
          <w:rFonts w:hint="eastAsia"/>
          <w:bCs/>
          <w:lang w:eastAsia="zh-CN"/>
        </w:rPr>
        <w:t>。</w:t>
      </w:r>
    </w:p>
    <w:p w14:paraId="00C9029B">
      <w:pPr>
        <w:ind w:firstLine="480"/>
        <w:rPr>
          <w:color w:val="000000" w:themeColor="text1"/>
          <w14:textFill>
            <w14:solidFill>
              <w14:schemeClr w14:val="tx1"/>
            </w14:solidFill>
          </w14:textFill>
        </w:rPr>
      </w:pPr>
      <w:r>
        <w:rPr>
          <w:rFonts w:hint="eastAsia"/>
          <w:bCs/>
          <w:color w:val="000000" w:themeColor="text1"/>
          <w14:textFill>
            <w14:solidFill>
              <w14:schemeClr w14:val="tx1"/>
            </w14:solidFill>
          </w14:textFill>
        </w:rPr>
        <w:t>本项目</w:t>
      </w:r>
      <w:r>
        <w:rPr>
          <w:rFonts w:hint="eastAsia"/>
          <w:bCs/>
          <w:color w:val="000000" w:themeColor="text1"/>
          <w:lang w:val="en-US" w:eastAsia="zh-CN"/>
          <w14:textFill>
            <w14:solidFill>
              <w14:schemeClr w14:val="tx1"/>
            </w14:solidFill>
          </w14:textFill>
        </w:rPr>
        <w:t>污水处理站</w:t>
      </w:r>
      <w:r>
        <w:rPr>
          <w:bCs/>
          <w:color w:val="000000" w:themeColor="text1"/>
          <w14:textFill>
            <w14:solidFill>
              <w14:schemeClr w14:val="tx1"/>
            </w14:solidFill>
          </w14:textFill>
        </w:rPr>
        <w:t>产臭单元进行加盖密闭收集，</w:t>
      </w:r>
      <w:r>
        <w:rPr>
          <w:rFonts w:hint="eastAsia"/>
          <w:bCs/>
          <w:color w:val="000000" w:themeColor="text1"/>
          <w14:textFill>
            <w14:solidFill>
              <w14:schemeClr w14:val="tx1"/>
            </w14:solidFill>
          </w14:textFill>
        </w:rPr>
        <w:t>采用</w:t>
      </w:r>
      <w:r>
        <w:rPr>
          <w:bCs/>
          <w:color w:val="000000" w:themeColor="text1"/>
          <w14:textFill>
            <w14:solidFill>
              <w14:schemeClr w14:val="tx1"/>
            </w14:solidFill>
          </w14:textFill>
        </w:rPr>
        <w:t>生物除臭滤塔</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TA004</w:t>
      </w:r>
      <w:r>
        <w:rPr>
          <w:rFonts w:hint="eastAsia"/>
          <w:bCs/>
          <w:color w:val="000000" w:themeColor="text1"/>
          <w:lang w:eastAsia="zh-CN"/>
          <w14:textFill>
            <w14:solidFill>
              <w14:schemeClr w14:val="tx1"/>
            </w14:solidFill>
          </w14:textFill>
        </w:rPr>
        <w:t>）</w:t>
      </w:r>
      <w:r>
        <w:rPr>
          <w:bCs/>
          <w:color w:val="000000" w:themeColor="text1"/>
          <w14:textFill>
            <w14:solidFill>
              <w14:schemeClr w14:val="tx1"/>
            </w14:solidFill>
          </w14:textFill>
        </w:rPr>
        <w:t>处理后</w:t>
      </w:r>
      <w:r>
        <w:rPr>
          <w:rFonts w:hint="eastAsia"/>
          <w:bCs/>
          <w:color w:val="000000" w:themeColor="text1"/>
          <w14:textFill>
            <w14:solidFill>
              <w14:schemeClr w14:val="tx1"/>
            </w14:solidFill>
          </w14:textFill>
        </w:rPr>
        <w:t>，经15</w:t>
      </w:r>
      <w:r>
        <w:rPr>
          <w:bCs/>
          <w:color w:val="000000" w:themeColor="text1"/>
          <w14:textFill>
            <w14:solidFill>
              <w14:schemeClr w14:val="tx1"/>
            </w14:solidFill>
          </w14:textFill>
        </w:rPr>
        <w:t>m</w:t>
      </w:r>
      <w:r>
        <w:rPr>
          <w:rFonts w:hint="eastAsia"/>
          <w:bCs/>
          <w:color w:val="000000" w:themeColor="text1"/>
          <w14:textFill>
            <w14:solidFill>
              <w14:schemeClr w14:val="tx1"/>
            </w14:solidFill>
          </w14:textFill>
        </w:rPr>
        <w:t>高排气筒D</w:t>
      </w:r>
      <w:r>
        <w:rPr>
          <w:bCs/>
          <w:color w:val="000000" w:themeColor="text1"/>
          <w14:textFill>
            <w14:solidFill>
              <w14:schemeClr w14:val="tx1"/>
            </w14:solidFill>
          </w14:textFill>
        </w:rPr>
        <w:t>A</w:t>
      </w:r>
      <w:r>
        <w:rPr>
          <w:rFonts w:hint="eastAsia"/>
          <w:bCs/>
          <w:color w:val="000000" w:themeColor="text1"/>
          <w14:textFill>
            <w14:solidFill>
              <w14:schemeClr w14:val="tx1"/>
            </w14:solidFill>
          </w14:textFill>
        </w:rPr>
        <w:t>00</w:t>
      </w:r>
      <w:r>
        <w:rPr>
          <w:rFonts w:hint="eastAsia"/>
          <w:bCs/>
          <w:color w:val="000000" w:themeColor="text1"/>
          <w:lang w:val="en-US" w:eastAsia="zh-CN"/>
          <w14:textFill>
            <w14:solidFill>
              <w14:schemeClr w14:val="tx1"/>
            </w14:solidFill>
          </w14:textFill>
        </w:rPr>
        <w:t>4</w:t>
      </w:r>
      <w:r>
        <w:rPr>
          <w:bCs/>
          <w:color w:val="000000" w:themeColor="text1"/>
          <w14:textFill>
            <w14:solidFill>
              <w14:schemeClr w14:val="tx1"/>
            </w14:solidFill>
          </w14:textFill>
        </w:rPr>
        <w:t>排放，设计收集效率为95%、处理效率90%，</w:t>
      </w:r>
      <w:r>
        <w:rPr>
          <w:rFonts w:hint="eastAsia"/>
          <w:bCs/>
          <w:color w:val="000000" w:themeColor="text1"/>
          <w14:textFill>
            <w14:solidFill>
              <w14:schemeClr w14:val="tx1"/>
            </w14:solidFill>
          </w14:textFill>
        </w:rPr>
        <w:t>并</w:t>
      </w:r>
      <w:r>
        <w:rPr>
          <w:bCs/>
          <w:color w:val="000000" w:themeColor="text1"/>
          <w14:textFill>
            <w14:solidFill>
              <w14:schemeClr w14:val="tx1"/>
            </w14:solidFill>
          </w14:textFill>
        </w:rPr>
        <w:t>配置</w:t>
      </w: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000m</w:t>
      </w:r>
      <w:r>
        <w:rPr>
          <w:bCs/>
          <w:color w:val="000000" w:themeColor="text1"/>
          <w:vertAlign w:val="superscript"/>
          <w14:textFill>
            <w14:solidFill>
              <w14:schemeClr w14:val="tx1"/>
            </w14:solidFill>
          </w14:textFill>
        </w:rPr>
        <w:t>3</w:t>
      </w:r>
      <w:r>
        <w:rPr>
          <w:bCs/>
          <w:color w:val="000000" w:themeColor="text1"/>
          <w14:textFill>
            <w14:solidFill>
              <w14:schemeClr w14:val="tx1"/>
            </w14:solidFill>
          </w14:textFill>
        </w:rPr>
        <w:t>/h风机。则有组织NH</w:t>
      </w:r>
      <w:r>
        <w:rPr>
          <w:bCs/>
          <w:color w:val="000000" w:themeColor="text1"/>
          <w:vertAlign w:val="subscript"/>
          <w14:textFill>
            <w14:solidFill>
              <w14:schemeClr w14:val="tx1"/>
            </w14:solidFill>
          </w14:textFill>
        </w:rPr>
        <w:t>3</w:t>
      </w:r>
      <w:r>
        <w:rPr>
          <w:rFonts w:hint="eastAsia"/>
          <w:bCs/>
          <w:color w:val="000000" w:themeColor="text1"/>
          <w:lang w:val="en-US" w:eastAsia="zh-CN"/>
          <w14:textFill>
            <w14:solidFill>
              <w14:schemeClr w14:val="tx1"/>
            </w14:solidFill>
          </w14:textFill>
        </w:rPr>
        <w:t>收集量</w:t>
      </w:r>
      <w:r>
        <w:rPr>
          <w:bCs/>
          <w:color w:val="000000" w:themeColor="text1"/>
          <w14:textFill>
            <w14:solidFill>
              <w14:schemeClr w14:val="tx1"/>
            </w14:solidFill>
          </w14:textFill>
        </w:rPr>
        <w:t>为</w:t>
      </w:r>
      <w:r>
        <w:rPr>
          <w:rFonts w:hint="eastAsia"/>
          <w:bCs/>
          <w:color w:val="000000" w:themeColor="text1"/>
          <w:lang w:val="en-US" w:eastAsia="zh-CN"/>
          <w14:textFill>
            <w14:solidFill>
              <w14:schemeClr w14:val="tx1"/>
            </w14:solidFill>
          </w14:textFill>
        </w:rPr>
        <w:t>0.0832</w:t>
      </w:r>
      <w:r>
        <w:rPr>
          <w:bCs/>
          <w:color w:val="000000" w:themeColor="text1"/>
          <w14:textFill>
            <w14:solidFill>
              <w14:schemeClr w14:val="tx1"/>
            </w14:solidFill>
          </w14:textFill>
        </w:rPr>
        <w:t>t/a，有组织H</w:t>
      </w:r>
      <w:r>
        <w:rPr>
          <w:bCs/>
          <w:color w:val="000000" w:themeColor="text1"/>
          <w:vertAlign w:val="subscript"/>
          <w14:textFill>
            <w14:solidFill>
              <w14:schemeClr w14:val="tx1"/>
            </w14:solidFill>
          </w14:textFill>
        </w:rPr>
        <w:t>2</w:t>
      </w:r>
      <w:r>
        <w:rPr>
          <w:bCs/>
          <w:color w:val="000000" w:themeColor="text1"/>
          <w14:textFill>
            <w14:solidFill>
              <w14:schemeClr w14:val="tx1"/>
            </w14:solidFill>
          </w14:textFill>
        </w:rPr>
        <w:t>S</w:t>
      </w:r>
      <w:r>
        <w:rPr>
          <w:rFonts w:hint="eastAsia"/>
          <w:bCs/>
          <w:color w:val="000000" w:themeColor="text1"/>
          <w:lang w:val="en-US" w:eastAsia="zh-CN"/>
          <w14:textFill>
            <w14:solidFill>
              <w14:schemeClr w14:val="tx1"/>
            </w14:solidFill>
          </w14:textFill>
        </w:rPr>
        <w:t>收集量</w:t>
      </w:r>
      <w:r>
        <w:rPr>
          <w:bCs/>
          <w:color w:val="000000" w:themeColor="text1"/>
          <w14:textFill>
            <w14:solidFill>
              <w14:schemeClr w14:val="tx1"/>
            </w14:solidFill>
          </w14:textFill>
        </w:rPr>
        <w:t>为</w:t>
      </w:r>
      <w:r>
        <w:rPr>
          <w:rFonts w:hint="eastAsia"/>
          <w:bCs/>
          <w:color w:val="000000" w:themeColor="text1"/>
          <w:lang w:val="en-US" w:eastAsia="zh-CN"/>
          <w14:textFill>
            <w14:solidFill>
              <w14:schemeClr w14:val="tx1"/>
            </w14:solidFill>
          </w14:textFill>
        </w:rPr>
        <w:t>0.0004</w:t>
      </w:r>
      <w:r>
        <w:rPr>
          <w:bCs/>
          <w:color w:val="000000" w:themeColor="text1"/>
          <w14:textFill>
            <w14:solidFill>
              <w14:schemeClr w14:val="tx1"/>
            </w14:solidFill>
          </w14:textFill>
        </w:rPr>
        <w:t>t/a，经生物除臭滤塔后，项目NH</w:t>
      </w:r>
      <w:r>
        <w:rPr>
          <w:bCs/>
          <w:color w:val="000000" w:themeColor="text1"/>
          <w:vertAlign w:val="subscript"/>
          <w14:textFill>
            <w14:solidFill>
              <w14:schemeClr w14:val="tx1"/>
            </w14:solidFill>
          </w14:textFill>
        </w:rPr>
        <w:t>3</w:t>
      </w:r>
      <w:r>
        <w:rPr>
          <w:bCs/>
          <w:color w:val="000000" w:themeColor="text1"/>
          <w14:textFill>
            <w14:solidFill>
              <w14:schemeClr w14:val="tx1"/>
            </w14:solidFill>
          </w14:textFill>
        </w:rPr>
        <w:t>排放量为</w:t>
      </w:r>
      <w:r>
        <w:rPr>
          <w:rFonts w:hint="eastAsia"/>
          <w:bCs/>
          <w:color w:val="000000" w:themeColor="text1"/>
          <w:lang w:val="en-US" w:eastAsia="zh-CN"/>
          <w14:textFill>
            <w14:solidFill>
              <w14:schemeClr w14:val="tx1"/>
            </w14:solidFill>
          </w14:textFill>
        </w:rPr>
        <w:t>0.0083</w:t>
      </w:r>
      <w:r>
        <w:rPr>
          <w:bCs/>
          <w:color w:val="000000" w:themeColor="text1"/>
          <w14:textFill>
            <w14:solidFill>
              <w14:schemeClr w14:val="tx1"/>
            </w14:solidFill>
          </w14:textFill>
        </w:rPr>
        <w:t>t/a（</w:t>
      </w:r>
      <w:r>
        <w:rPr>
          <w:rFonts w:hint="eastAsia"/>
          <w:bCs/>
          <w:color w:val="000000" w:themeColor="text1"/>
          <w:lang w:val="en-US" w:eastAsia="zh-CN"/>
          <w14:textFill>
            <w14:solidFill>
              <w14:schemeClr w14:val="tx1"/>
            </w14:solidFill>
          </w14:textFill>
        </w:rPr>
        <w:t>0.0012</w:t>
      </w:r>
      <w:r>
        <w:rPr>
          <w:bCs/>
          <w:color w:val="000000" w:themeColor="text1"/>
          <w14:textFill>
            <w14:solidFill>
              <w14:schemeClr w14:val="tx1"/>
            </w14:solidFill>
          </w14:textFill>
        </w:rPr>
        <w:t>kg/h），H</w:t>
      </w:r>
      <w:r>
        <w:rPr>
          <w:bCs/>
          <w:color w:val="000000" w:themeColor="text1"/>
          <w:vertAlign w:val="subscript"/>
          <w14:textFill>
            <w14:solidFill>
              <w14:schemeClr w14:val="tx1"/>
            </w14:solidFill>
          </w14:textFill>
        </w:rPr>
        <w:t>2</w:t>
      </w:r>
      <w:r>
        <w:rPr>
          <w:bCs/>
          <w:color w:val="000000" w:themeColor="text1"/>
          <w14:textFill>
            <w14:solidFill>
              <w14:schemeClr w14:val="tx1"/>
            </w14:solidFill>
          </w14:textFill>
        </w:rPr>
        <w:t>S排放量为</w:t>
      </w:r>
      <w:r>
        <w:rPr>
          <w:rFonts w:hint="eastAsia"/>
          <w:bCs/>
          <w:color w:val="000000" w:themeColor="text1"/>
          <w:lang w:val="en-US" w:eastAsia="zh-CN"/>
          <w14:textFill>
            <w14:solidFill>
              <w14:schemeClr w14:val="tx1"/>
            </w14:solidFill>
          </w14:textFill>
        </w:rPr>
        <w:t>0.00004</w:t>
      </w:r>
      <w:r>
        <w:rPr>
          <w:bCs/>
          <w:color w:val="000000" w:themeColor="text1"/>
          <w14:textFill>
            <w14:solidFill>
              <w14:schemeClr w14:val="tx1"/>
            </w14:solidFill>
          </w14:textFill>
        </w:rPr>
        <w:t>t/a（</w:t>
      </w:r>
      <w:r>
        <w:rPr>
          <w:rFonts w:hint="eastAsia"/>
          <w:bCs/>
          <w:color w:val="000000" w:themeColor="text1"/>
          <w:lang w:val="en-US" w:eastAsia="zh-CN"/>
          <w14:textFill>
            <w14:solidFill>
              <w14:schemeClr w14:val="tx1"/>
            </w14:solidFill>
          </w14:textFill>
        </w:rPr>
        <w:t>0.000006</w:t>
      </w:r>
      <w:r>
        <w:rPr>
          <w:bCs/>
          <w:color w:val="000000" w:themeColor="text1"/>
          <w14:textFill>
            <w14:solidFill>
              <w14:schemeClr w14:val="tx1"/>
            </w14:solidFill>
          </w14:textFill>
        </w:rPr>
        <w:t>kg/h），</w:t>
      </w:r>
      <w:r>
        <w:rPr>
          <w:rFonts w:hint="eastAsia"/>
          <w:bCs/>
          <w:color w:val="000000" w:themeColor="text1"/>
          <w14:textFill>
            <w14:solidFill>
              <w14:schemeClr w14:val="tx1"/>
            </w14:solidFill>
          </w14:textFill>
        </w:rPr>
        <w:t>均</w:t>
      </w:r>
      <w:r>
        <w:rPr>
          <w:bCs/>
          <w:color w:val="000000" w:themeColor="text1"/>
          <w14:textFill>
            <w14:solidFill>
              <w14:schemeClr w14:val="tx1"/>
            </w14:solidFill>
          </w14:textFill>
        </w:rPr>
        <w:t>可满足《恶臭污染物排放标准》(GB14554-93）表2</w:t>
      </w:r>
      <w:r>
        <w:rPr>
          <w:rFonts w:hint="eastAsia"/>
          <w:bCs/>
          <w:color w:val="000000" w:themeColor="text1"/>
          <w14:textFill>
            <w14:solidFill>
              <w14:schemeClr w14:val="tx1"/>
            </w14:solidFill>
          </w14:textFill>
        </w:rPr>
        <w:t>恶臭污染物排放标准值：硫化氢0.33kg/h、氨4.9kg/h的限值要求</w:t>
      </w:r>
      <w:r>
        <w:rPr>
          <w:color w:val="000000" w:themeColor="text1"/>
          <w14:textFill>
            <w14:solidFill>
              <w14:schemeClr w14:val="tx1"/>
            </w14:solidFill>
          </w14:textFill>
        </w:rPr>
        <w:t>。</w:t>
      </w:r>
    </w:p>
    <w:p w14:paraId="518E6900">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w:t>
      </w:r>
      <w:r>
        <w:rPr>
          <w:rFonts w:hint="eastAsia" w:cs="Times New Roman"/>
          <w:lang w:val="en-US" w:eastAsia="zh-CN"/>
        </w:rPr>
        <w:t>6</w:t>
      </w:r>
      <w:r>
        <w:rPr>
          <w:rFonts w:hint="eastAsia" w:ascii="Times New Roman" w:hAnsi="Times New Roman" w:cs="Times New Roman"/>
          <w:lang w:val="en-US" w:eastAsia="zh-CN"/>
        </w:rPr>
        <w:t>危废贮存库废气</w:t>
      </w:r>
    </w:p>
    <w:p w14:paraId="5B2F6698">
      <w:pPr>
        <w:ind w:firstLine="480"/>
      </w:pPr>
      <w:r>
        <w:rPr>
          <w:rFonts w:hint="eastAsia"/>
        </w:rPr>
        <w:t>本项目危废贮存间暂存危险废物过程中，由于部分危险废物如废槽渣、废滤芯等含有酸性物质，贮存过程中会挥发出少量酸性气体，由于危险废物贮存周期短、且贮存量少，故废气产生量可忽略；同时危废贮存间全密闭，废气对环境影响较小。为了进一步减少废气影响，评价要求危废贮存间设置负压抽风装置，对危险废物贮存过程中产生的酸性废气进行收集，收集后引入两级碱喷淋吸收塔进行净化处理。</w:t>
      </w:r>
    </w:p>
    <w:p w14:paraId="44FB3891">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w:t>
      </w:r>
      <w:r>
        <w:rPr>
          <w:rFonts w:hint="eastAsia" w:cs="Times New Roman"/>
          <w:lang w:val="en-US" w:eastAsia="zh-CN"/>
        </w:rPr>
        <w:t>7</w:t>
      </w:r>
      <w:r>
        <w:rPr>
          <w:rFonts w:hint="eastAsia" w:ascii="Times New Roman" w:hAnsi="Times New Roman" w:cs="Times New Roman"/>
          <w:lang w:val="en-US" w:eastAsia="zh-CN"/>
        </w:rPr>
        <w:t>基准排气量</w:t>
      </w:r>
    </w:p>
    <w:p w14:paraId="74B5F2BB">
      <w:pPr>
        <w:ind w:firstLine="480"/>
        <w:rPr>
          <w:highlight w:val="yellow"/>
          <w:u w:val="single"/>
        </w:rPr>
      </w:pPr>
      <w:r>
        <w:rPr>
          <w:rFonts w:hint="eastAsia"/>
        </w:rPr>
        <w:t>本项目镀镍总面积为</w:t>
      </w:r>
      <w:r>
        <w:rPr>
          <w:rFonts w:hint="eastAsia"/>
          <w:lang w:val="en-US" w:eastAsia="zh-CN"/>
        </w:rPr>
        <w:t>2154.5</w:t>
      </w:r>
      <w:r>
        <w:rPr>
          <w:rFonts w:hint="eastAsia"/>
        </w:rPr>
        <w:t>万m</w:t>
      </w:r>
      <w:r>
        <w:rPr>
          <w:rFonts w:hint="eastAsia"/>
          <w:vertAlign w:val="superscript"/>
        </w:rPr>
        <w:t>2</w:t>
      </w:r>
      <w:r>
        <w:rPr>
          <w:rFonts w:hint="eastAsia"/>
        </w:rPr>
        <w:t>，电镀生产线总废气量为</w:t>
      </w:r>
      <w:r>
        <w:rPr>
          <w:rFonts w:hint="eastAsia"/>
          <w:lang w:val="en-US" w:eastAsia="zh-CN"/>
        </w:rPr>
        <w:t>54643</w:t>
      </w:r>
      <w:r>
        <w:rPr>
          <w:rFonts w:hint="eastAsia"/>
        </w:rPr>
        <w:t>m</w:t>
      </w:r>
      <w:r>
        <w:rPr>
          <w:rFonts w:hint="eastAsia"/>
          <w:vertAlign w:val="superscript"/>
        </w:rPr>
        <w:t>3</w:t>
      </w:r>
      <w:r>
        <w:rPr>
          <w:rFonts w:hint="eastAsia"/>
        </w:rPr>
        <w:t>/h，则实际排气量为</w:t>
      </w:r>
      <w:r>
        <w:rPr>
          <w:rFonts w:hint="eastAsia"/>
          <w:lang w:val="en-US" w:eastAsia="zh-CN"/>
        </w:rPr>
        <w:t>25.36</w:t>
      </w:r>
      <w:r>
        <w:rPr>
          <w:rFonts w:hint="eastAsia"/>
        </w:rPr>
        <w:t>m</w:t>
      </w:r>
      <w:r>
        <w:rPr>
          <w:rFonts w:hint="eastAsia"/>
          <w:vertAlign w:val="superscript"/>
        </w:rPr>
        <w:t>3</w:t>
      </w:r>
      <w:r>
        <w:rPr>
          <w:rFonts w:hint="eastAsia"/>
        </w:rPr>
        <w:t>/m</w:t>
      </w:r>
      <w:r>
        <w:rPr>
          <w:rFonts w:hint="eastAsia"/>
          <w:vertAlign w:val="superscript"/>
        </w:rPr>
        <w:t>2</w:t>
      </w:r>
      <w:r>
        <w:rPr>
          <w:rFonts w:hint="eastAsia"/>
        </w:rPr>
        <w:t>，可以满足《电镀污染物排放标准》（GB21900-2008）中镀镍基准排气量37.3m</w:t>
      </w:r>
      <w:r>
        <w:rPr>
          <w:rFonts w:hint="eastAsia"/>
          <w:vertAlign w:val="superscript"/>
        </w:rPr>
        <w:t>3</w:t>
      </w:r>
      <w:r>
        <w:rPr>
          <w:rFonts w:hint="eastAsia"/>
        </w:rPr>
        <w:t>/m</w:t>
      </w:r>
      <w:r>
        <w:rPr>
          <w:rFonts w:hint="eastAsia"/>
          <w:vertAlign w:val="superscript"/>
        </w:rPr>
        <w:t>2</w:t>
      </w:r>
      <w:r>
        <w:rPr>
          <w:rFonts w:hint="eastAsia"/>
        </w:rPr>
        <w:t>（镀件镀层）的要求。</w:t>
      </w:r>
    </w:p>
    <w:p w14:paraId="032DEAE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w:t>
      </w:r>
      <w:r>
        <w:rPr>
          <w:rFonts w:hint="eastAsia" w:cs="Times New Roman"/>
          <w:lang w:val="en-US" w:eastAsia="zh-CN"/>
        </w:rPr>
        <w:t>8</w:t>
      </w:r>
      <w:r>
        <w:rPr>
          <w:rFonts w:hint="eastAsia" w:ascii="Times New Roman" w:hAnsi="Times New Roman" w:cs="Times New Roman"/>
          <w:lang w:val="en-US" w:eastAsia="zh-CN"/>
        </w:rPr>
        <w:t>有组织废气汇总</w:t>
      </w:r>
    </w:p>
    <w:p w14:paraId="0455366F">
      <w:pPr>
        <w:ind w:firstLine="480"/>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rPr>
        <w:t>经上述分析可以得出，本项目有组织废气排放情况见下表。</w:t>
      </w:r>
    </w:p>
    <w:p w14:paraId="0FFC0B9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b/>
          <w:bCs/>
        </w:rPr>
      </w:pPr>
      <w:r>
        <w:rPr>
          <w:rFonts w:hint="eastAsia"/>
          <w:b/>
          <w:bCs/>
        </w:rPr>
        <w:t>表</w:t>
      </w:r>
      <w:r>
        <w:rPr>
          <w:rFonts w:hint="eastAsia"/>
          <w:b/>
          <w:bCs/>
          <w:lang w:val="en-US" w:eastAsia="zh-CN"/>
        </w:rPr>
        <w:t>3.6-9</w:t>
      </w:r>
      <w:r>
        <w:rPr>
          <w:rFonts w:hint="eastAsia"/>
          <w:b/>
          <w:bCs/>
        </w:rPr>
        <w:t xml:space="preserve">    本项目废气产排情况一览表</w:t>
      </w:r>
    </w:p>
    <w:tbl>
      <w:tblPr>
        <w:tblStyle w:val="39"/>
        <w:tblW w:w="504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846"/>
        <w:gridCol w:w="1156"/>
        <w:gridCol w:w="1294"/>
        <w:gridCol w:w="859"/>
        <w:gridCol w:w="860"/>
        <w:gridCol w:w="858"/>
        <w:gridCol w:w="1001"/>
        <w:gridCol w:w="1146"/>
        <w:gridCol w:w="1017"/>
        <w:gridCol w:w="707"/>
        <w:gridCol w:w="743"/>
        <w:gridCol w:w="963"/>
        <w:gridCol w:w="962"/>
        <w:gridCol w:w="963"/>
        <w:gridCol w:w="719"/>
      </w:tblGrid>
      <w:tr w14:paraId="6AD502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restart"/>
            <w:noWrap/>
            <w:vAlign w:val="center"/>
          </w:tcPr>
          <w:p w14:paraId="53560CDA">
            <w:pPr>
              <w:spacing w:line="240" w:lineRule="auto"/>
              <w:ind w:firstLine="0" w:firstLineChars="0"/>
              <w:jc w:val="center"/>
              <w:rPr>
                <w:b/>
                <w:spacing w:val="-4"/>
                <w:sz w:val="21"/>
                <w:szCs w:val="21"/>
                <w:highlight w:val="none"/>
              </w:rPr>
            </w:pPr>
            <w:r>
              <w:rPr>
                <w:rFonts w:hAnsi="宋体"/>
                <w:b/>
                <w:spacing w:val="-4"/>
                <w:sz w:val="21"/>
                <w:szCs w:val="21"/>
                <w:highlight w:val="none"/>
              </w:rPr>
              <w:t>排放源</w:t>
            </w:r>
          </w:p>
        </w:tc>
        <w:tc>
          <w:tcPr>
            <w:tcW w:w="1155" w:type="dxa"/>
            <w:vMerge w:val="restart"/>
            <w:noWrap/>
            <w:vAlign w:val="center"/>
          </w:tcPr>
          <w:p w14:paraId="2737F557">
            <w:pPr>
              <w:spacing w:line="240" w:lineRule="auto"/>
              <w:ind w:firstLine="0" w:firstLineChars="0"/>
              <w:jc w:val="center"/>
              <w:rPr>
                <w:b/>
                <w:spacing w:val="-4"/>
                <w:sz w:val="21"/>
                <w:szCs w:val="21"/>
                <w:highlight w:val="none"/>
              </w:rPr>
            </w:pPr>
            <w:r>
              <w:rPr>
                <w:rFonts w:hAnsi="宋体"/>
                <w:b/>
                <w:spacing w:val="-4"/>
                <w:sz w:val="21"/>
                <w:szCs w:val="21"/>
                <w:highlight w:val="none"/>
              </w:rPr>
              <w:t>污染源</w:t>
            </w:r>
          </w:p>
        </w:tc>
        <w:tc>
          <w:tcPr>
            <w:tcW w:w="1292" w:type="dxa"/>
            <w:vMerge w:val="restart"/>
            <w:noWrap/>
            <w:vAlign w:val="center"/>
          </w:tcPr>
          <w:p w14:paraId="28CBE4E5">
            <w:pPr>
              <w:spacing w:line="240" w:lineRule="auto"/>
              <w:ind w:firstLine="0" w:firstLineChars="0"/>
              <w:jc w:val="center"/>
              <w:rPr>
                <w:b/>
                <w:spacing w:val="-4"/>
                <w:sz w:val="21"/>
                <w:szCs w:val="21"/>
                <w:highlight w:val="none"/>
              </w:rPr>
            </w:pPr>
            <w:r>
              <w:rPr>
                <w:rFonts w:hAnsi="宋体"/>
                <w:b/>
                <w:spacing w:val="-4"/>
                <w:sz w:val="21"/>
                <w:szCs w:val="21"/>
                <w:highlight w:val="none"/>
              </w:rPr>
              <w:t>污染物</w:t>
            </w:r>
          </w:p>
        </w:tc>
        <w:tc>
          <w:tcPr>
            <w:tcW w:w="3574" w:type="dxa"/>
            <w:gridSpan w:val="4"/>
            <w:noWrap/>
            <w:vAlign w:val="center"/>
          </w:tcPr>
          <w:p w14:paraId="3118FA50">
            <w:pPr>
              <w:spacing w:line="240" w:lineRule="auto"/>
              <w:ind w:firstLine="0" w:firstLineChars="0"/>
              <w:jc w:val="center"/>
              <w:rPr>
                <w:b/>
                <w:spacing w:val="-4"/>
                <w:sz w:val="21"/>
                <w:szCs w:val="21"/>
                <w:highlight w:val="none"/>
              </w:rPr>
            </w:pPr>
            <w:r>
              <w:rPr>
                <w:rFonts w:hAnsi="宋体"/>
                <w:b/>
                <w:spacing w:val="-4"/>
                <w:sz w:val="21"/>
                <w:szCs w:val="21"/>
                <w:highlight w:val="none"/>
              </w:rPr>
              <w:t>产生情况</w:t>
            </w:r>
          </w:p>
        </w:tc>
        <w:tc>
          <w:tcPr>
            <w:tcW w:w="1145" w:type="dxa"/>
            <w:vMerge w:val="restart"/>
            <w:noWrap/>
            <w:vAlign w:val="center"/>
          </w:tcPr>
          <w:p w14:paraId="26478FBA">
            <w:pPr>
              <w:spacing w:line="240" w:lineRule="auto"/>
              <w:ind w:firstLine="0" w:firstLineChars="0"/>
              <w:jc w:val="center"/>
              <w:rPr>
                <w:rFonts w:hAnsi="宋体"/>
                <w:b/>
                <w:spacing w:val="-4"/>
                <w:sz w:val="21"/>
                <w:szCs w:val="21"/>
                <w:highlight w:val="none"/>
              </w:rPr>
            </w:pPr>
            <w:r>
              <w:rPr>
                <w:rFonts w:hAnsi="宋体"/>
                <w:b/>
                <w:spacing w:val="-4"/>
                <w:sz w:val="21"/>
                <w:szCs w:val="21"/>
                <w:highlight w:val="none"/>
              </w:rPr>
              <w:t>处理方式</w:t>
            </w:r>
          </w:p>
        </w:tc>
        <w:tc>
          <w:tcPr>
            <w:tcW w:w="1016" w:type="dxa"/>
            <w:vMerge w:val="restart"/>
            <w:vAlign w:val="center"/>
          </w:tcPr>
          <w:p w14:paraId="2261A30C">
            <w:pPr>
              <w:spacing w:line="240" w:lineRule="auto"/>
              <w:ind w:firstLine="0" w:firstLineChars="0"/>
              <w:jc w:val="center"/>
              <w:rPr>
                <w:rFonts w:hAnsi="宋体"/>
                <w:b/>
                <w:spacing w:val="-4"/>
                <w:sz w:val="21"/>
                <w:szCs w:val="21"/>
                <w:highlight w:val="none"/>
              </w:rPr>
            </w:pPr>
            <w:r>
              <w:rPr>
                <w:rFonts w:hAnsi="宋体"/>
                <w:b/>
                <w:spacing w:val="-4"/>
                <w:sz w:val="21"/>
                <w:szCs w:val="21"/>
                <w:highlight w:val="none"/>
              </w:rPr>
              <w:t>风机风量</w:t>
            </w:r>
            <w:r>
              <w:rPr>
                <w:rFonts w:hint="eastAsia" w:hAnsi="宋体"/>
                <w:b/>
                <w:spacing w:val="-4"/>
                <w:sz w:val="21"/>
                <w:szCs w:val="21"/>
                <w:highlight w:val="none"/>
              </w:rPr>
              <w:t>(</w:t>
            </w:r>
            <w:r>
              <w:rPr>
                <w:b/>
                <w:spacing w:val="-4"/>
                <w:sz w:val="21"/>
                <w:szCs w:val="21"/>
                <w:highlight w:val="none"/>
              </w:rPr>
              <w:t>m</w:t>
            </w:r>
            <w:r>
              <w:rPr>
                <w:b/>
                <w:spacing w:val="-4"/>
                <w:sz w:val="21"/>
                <w:szCs w:val="21"/>
                <w:highlight w:val="none"/>
                <w:vertAlign w:val="superscript"/>
              </w:rPr>
              <w:t>3</w:t>
            </w:r>
            <w:r>
              <w:rPr>
                <w:b/>
                <w:spacing w:val="-4"/>
                <w:sz w:val="21"/>
                <w:szCs w:val="21"/>
                <w:highlight w:val="none"/>
              </w:rPr>
              <w:t>/h</w:t>
            </w:r>
            <w:r>
              <w:rPr>
                <w:rFonts w:hint="eastAsia" w:hAnsi="宋体"/>
                <w:b/>
                <w:spacing w:val="-4"/>
                <w:sz w:val="21"/>
                <w:szCs w:val="21"/>
                <w:highlight w:val="none"/>
              </w:rPr>
              <w:t>)</w:t>
            </w:r>
          </w:p>
        </w:tc>
        <w:tc>
          <w:tcPr>
            <w:tcW w:w="706" w:type="dxa"/>
            <w:vMerge w:val="restart"/>
            <w:vAlign w:val="center"/>
          </w:tcPr>
          <w:p w14:paraId="590B5FF2">
            <w:pPr>
              <w:spacing w:line="240" w:lineRule="auto"/>
              <w:ind w:firstLine="0" w:firstLineChars="0"/>
              <w:jc w:val="center"/>
              <w:rPr>
                <w:rFonts w:hAnsi="宋体"/>
                <w:b/>
                <w:spacing w:val="-4"/>
                <w:sz w:val="21"/>
                <w:szCs w:val="21"/>
                <w:highlight w:val="none"/>
              </w:rPr>
            </w:pPr>
            <w:r>
              <w:rPr>
                <w:rFonts w:hint="eastAsia" w:hAnsi="宋体"/>
                <w:b/>
                <w:spacing w:val="-4"/>
                <w:sz w:val="21"/>
                <w:szCs w:val="21"/>
                <w:highlight w:val="none"/>
              </w:rPr>
              <w:t>总</w:t>
            </w:r>
            <w:r>
              <w:rPr>
                <w:rFonts w:hAnsi="宋体"/>
                <w:b/>
                <w:spacing w:val="-4"/>
                <w:sz w:val="21"/>
                <w:szCs w:val="21"/>
                <w:highlight w:val="none"/>
              </w:rPr>
              <w:t>风量</w:t>
            </w:r>
            <w:r>
              <w:rPr>
                <w:rFonts w:hint="eastAsia" w:hAnsi="宋体"/>
                <w:b/>
                <w:spacing w:val="-4"/>
                <w:sz w:val="21"/>
                <w:szCs w:val="21"/>
                <w:highlight w:val="none"/>
              </w:rPr>
              <w:t>(</w:t>
            </w:r>
            <w:r>
              <w:rPr>
                <w:b/>
                <w:spacing w:val="-4"/>
                <w:sz w:val="21"/>
                <w:szCs w:val="21"/>
                <w:highlight w:val="none"/>
              </w:rPr>
              <w:t>m</w:t>
            </w:r>
            <w:r>
              <w:rPr>
                <w:b/>
                <w:spacing w:val="-4"/>
                <w:sz w:val="21"/>
                <w:szCs w:val="21"/>
                <w:highlight w:val="none"/>
                <w:vertAlign w:val="superscript"/>
              </w:rPr>
              <w:t>3</w:t>
            </w:r>
            <w:r>
              <w:rPr>
                <w:b/>
                <w:spacing w:val="-4"/>
                <w:sz w:val="21"/>
                <w:szCs w:val="21"/>
                <w:highlight w:val="none"/>
              </w:rPr>
              <w:t>/h</w:t>
            </w:r>
            <w:r>
              <w:rPr>
                <w:rFonts w:hint="eastAsia" w:hAnsi="宋体"/>
                <w:b/>
                <w:spacing w:val="-4"/>
                <w:sz w:val="21"/>
                <w:szCs w:val="21"/>
                <w:highlight w:val="none"/>
              </w:rPr>
              <w:t>)</w:t>
            </w:r>
          </w:p>
        </w:tc>
        <w:tc>
          <w:tcPr>
            <w:tcW w:w="742" w:type="dxa"/>
            <w:vMerge w:val="restart"/>
            <w:noWrap/>
            <w:vAlign w:val="center"/>
          </w:tcPr>
          <w:p w14:paraId="47C3BBFB">
            <w:pPr>
              <w:spacing w:line="240" w:lineRule="auto"/>
              <w:ind w:firstLine="0" w:firstLineChars="0"/>
              <w:jc w:val="center"/>
              <w:rPr>
                <w:b/>
                <w:spacing w:val="-4"/>
                <w:sz w:val="21"/>
                <w:szCs w:val="21"/>
                <w:highlight w:val="none"/>
              </w:rPr>
            </w:pPr>
            <w:r>
              <w:rPr>
                <w:rFonts w:hAnsi="宋体"/>
                <w:b/>
                <w:spacing w:val="-4"/>
                <w:sz w:val="21"/>
                <w:szCs w:val="21"/>
                <w:highlight w:val="none"/>
              </w:rPr>
              <w:t>处理效率</w:t>
            </w:r>
            <w:r>
              <w:rPr>
                <w:rFonts w:hint="eastAsia" w:hAnsi="宋体"/>
                <w:b/>
                <w:spacing w:val="-4"/>
                <w:sz w:val="21"/>
                <w:szCs w:val="21"/>
                <w:highlight w:val="none"/>
              </w:rPr>
              <w:t>(</w:t>
            </w:r>
            <w:r>
              <w:rPr>
                <w:b/>
                <w:spacing w:val="-4"/>
                <w:sz w:val="21"/>
                <w:szCs w:val="21"/>
                <w:highlight w:val="none"/>
              </w:rPr>
              <w:t>%</w:t>
            </w:r>
            <w:r>
              <w:rPr>
                <w:rFonts w:hint="eastAsia" w:hAnsi="宋体"/>
                <w:b/>
                <w:spacing w:val="-4"/>
                <w:sz w:val="21"/>
                <w:szCs w:val="21"/>
                <w:highlight w:val="none"/>
              </w:rPr>
              <w:t>)</w:t>
            </w:r>
          </w:p>
        </w:tc>
        <w:tc>
          <w:tcPr>
            <w:tcW w:w="2885" w:type="dxa"/>
            <w:gridSpan w:val="3"/>
            <w:noWrap/>
            <w:vAlign w:val="center"/>
          </w:tcPr>
          <w:p w14:paraId="3B0F784E">
            <w:pPr>
              <w:spacing w:line="240" w:lineRule="auto"/>
              <w:ind w:firstLine="0" w:firstLineChars="0"/>
              <w:jc w:val="center"/>
              <w:rPr>
                <w:rFonts w:hAnsi="宋体"/>
                <w:b/>
                <w:bCs/>
                <w:spacing w:val="-4"/>
                <w:sz w:val="21"/>
                <w:szCs w:val="21"/>
                <w:highlight w:val="none"/>
              </w:rPr>
            </w:pPr>
            <w:r>
              <w:rPr>
                <w:rFonts w:hAnsi="宋体"/>
                <w:b/>
                <w:bCs/>
                <w:spacing w:val="-4"/>
                <w:sz w:val="21"/>
                <w:szCs w:val="21"/>
                <w:highlight w:val="none"/>
              </w:rPr>
              <w:t>排放情况</w:t>
            </w:r>
          </w:p>
        </w:tc>
        <w:tc>
          <w:tcPr>
            <w:tcW w:w="718" w:type="dxa"/>
            <w:vMerge w:val="restart"/>
            <w:vAlign w:val="center"/>
          </w:tcPr>
          <w:p w14:paraId="5B87264B">
            <w:pPr>
              <w:spacing w:line="240" w:lineRule="auto"/>
              <w:ind w:firstLine="0" w:firstLineChars="0"/>
              <w:jc w:val="center"/>
              <w:rPr>
                <w:rFonts w:hAnsi="宋体"/>
                <w:b/>
                <w:bCs/>
                <w:spacing w:val="-4"/>
                <w:sz w:val="21"/>
                <w:szCs w:val="21"/>
                <w:highlight w:val="none"/>
              </w:rPr>
            </w:pPr>
            <w:r>
              <w:rPr>
                <w:rFonts w:hAnsi="宋体"/>
                <w:b/>
                <w:bCs/>
                <w:spacing w:val="-4"/>
                <w:sz w:val="21"/>
                <w:szCs w:val="21"/>
                <w:highlight w:val="none"/>
              </w:rPr>
              <w:t>工作时间（</w:t>
            </w:r>
            <w:r>
              <w:rPr>
                <w:rFonts w:hint="eastAsia" w:hAnsi="宋体"/>
                <w:b/>
                <w:bCs/>
                <w:spacing w:val="-4"/>
                <w:sz w:val="21"/>
                <w:szCs w:val="21"/>
                <w:highlight w:val="none"/>
              </w:rPr>
              <w:t>h/a</w:t>
            </w:r>
            <w:r>
              <w:rPr>
                <w:rFonts w:hAnsi="宋体"/>
                <w:b/>
                <w:bCs/>
                <w:spacing w:val="-4"/>
                <w:sz w:val="21"/>
                <w:szCs w:val="21"/>
                <w:highlight w:val="none"/>
              </w:rPr>
              <w:t>）</w:t>
            </w:r>
          </w:p>
        </w:tc>
      </w:tr>
      <w:tr w14:paraId="75F36A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continue"/>
            <w:noWrap/>
            <w:vAlign w:val="center"/>
          </w:tcPr>
          <w:p w14:paraId="08DD5B32">
            <w:pPr>
              <w:spacing w:line="240" w:lineRule="auto"/>
              <w:ind w:firstLine="0" w:firstLineChars="0"/>
              <w:jc w:val="center"/>
              <w:rPr>
                <w:spacing w:val="-4"/>
                <w:sz w:val="21"/>
                <w:szCs w:val="21"/>
                <w:highlight w:val="none"/>
              </w:rPr>
            </w:pPr>
          </w:p>
        </w:tc>
        <w:tc>
          <w:tcPr>
            <w:tcW w:w="1155" w:type="dxa"/>
            <w:vMerge w:val="continue"/>
            <w:noWrap/>
            <w:vAlign w:val="center"/>
          </w:tcPr>
          <w:p w14:paraId="2F0049A2">
            <w:pPr>
              <w:spacing w:line="240" w:lineRule="auto"/>
              <w:ind w:firstLine="0" w:firstLineChars="0"/>
              <w:jc w:val="center"/>
              <w:rPr>
                <w:spacing w:val="-4"/>
                <w:sz w:val="21"/>
                <w:szCs w:val="21"/>
                <w:highlight w:val="none"/>
              </w:rPr>
            </w:pPr>
          </w:p>
        </w:tc>
        <w:tc>
          <w:tcPr>
            <w:tcW w:w="1292" w:type="dxa"/>
            <w:vMerge w:val="continue"/>
            <w:noWrap/>
            <w:vAlign w:val="center"/>
          </w:tcPr>
          <w:p w14:paraId="391595BB">
            <w:pPr>
              <w:spacing w:line="240" w:lineRule="auto"/>
              <w:ind w:firstLine="0" w:firstLineChars="0"/>
              <w:jc w:val="center"/>
              <w:rPr>
                <w:spacing w:val="-4"/>
                <w:sz w:val="21"/>
                <w:szCs w:val="21"/>
                <w:highlight w:val="none"/>
              </w:rPr>
            </w:pPr>
          </w:p>
        </w:tc>
        <w:tc>
          <w:tcPr>
            <w:tcW w:w="858" w:type="dxa"/>
            <w:noWrap/>
            <w:vAlign w:val="center"/>
          </w:tcPr>
          <w:p w14:paraId="0C1E0486">
            <w:pPr>
              <w:spacing w:line="240" w:lineRule="auto"/>
              <w:ind w:firstLine="0" w:firstLineChars="0"/>
              <w:jc w:val="center"/>
              <w:rPr>
                <w:b/>
                <w:spacing w:val="-4"/>
                <w:sz w:val="21"/>
                <w:szCs w:val="21"/>
                <w:highlight w:val="none"/>
              </w:rPr>
            </w:pPr>
            <w:r>
              <w:rPr>
                <w:rFonts w:hAnsi="宋体"/>
                <w:b/>
                <w:spacing w:val="-4"/>
                <w:sz w:val="21"/>
                <w:szCs w:val="21"/>
                <w:highlight w:val="none"/>
              </w:rPr>
              <w:t>产生量</w:t>
            </w:r>
            <w:r>
              <w:rPr>
                <w:b/>
                <w:spacing w:val="-4"/>
                <w:sz w:val="21"/>
                <w:szCs w:val="21"/>
                <w:highlight w:val="none"/>
              </w:rPr>
              <w:t>(t/a)</w:t>
            </w:r>
          </w:p>
        </w:tc>
        <w:tc>
          <w:tcPr>
            <w:tcW w:w="859" w:type="dxa"/>
            <w:noWrap/>
            <w:vAlign w:val="center"/>
          </w:tcPr>
          <w:p w14:paraId="76A03722">
            <w:pPr>
              <w:spacing w:line="240" w:lineRule="auto"/>
              <w:ind w:firstLine="0" w:firstLineChars="0"/>
              <w:jc w:val="center"/>
              <w:rPr>
                <w:b/>
                <w:spacing w:val="-4"/>
                <w:sz w:val="21"/>
                <w:szCs w:val="21"/>
                <w:highlight w:val="none"/>
              </w:rPr>
            </w:pPr>
            <w:r>
              <w:rPr>
                <w:rFonts w:hAnsi="宋体"/>
                <w:b/>
                <w:spacing w:val="-4"/>
                <w:sz w:val="21"/>
                <w:szCs w:val="21"/>
                <w:highlight w:val="none"/>
              </w:rPr>
              <w:t>收集量</w:t>
            </w:r>
            <w:r>
              <w:rPr>
                <w:b/>
                <w:spacing w:val="-4"/>
                <w:sz w:val="21"/>
                <w:szCs w:val="21"/>
                <w:highlight w:val="none"/>
              </w:rPr>
              <w:t>(t/a)</w:t>
            </w:r>
          </w:p>
        </w:tc>
        <w:tc>
          <w:tcPr>
            <w:tcW w:w="857" w:type="dxa"/>
            <w:noWrap/>
            <w:vAlign w:val="center"/>
          </w:tcPr>
          <w:p w14:paraId="7B7004DD">
            <w:pPr>
              <w:spacing w:line="240" w:lineRule="auto"/>
              <w:ind w:firstLine="0" w:firstLineChars="0"/>
              <w:jc w:val="center"/>
              <w:rPr>
                <w:b/>
                <w:bCs/>
                <w:spacing w:val="-4"/>
                <w:sz w:val="21"/>
                <w:szCs w:val="21"/>
                <w:highlight w:val="none"/>
                <w:lang w:val="pt-BR"/>
              </w:rPr>
            </w:pPr>
            <w:r>
              <w:rPr>
                <w:rFonts w:hAnsi="宋体"/>
                <w:b/>
                <w:spacing w:val="-4"/>
                <w:sz w:val="21"/>
                <w:szCs w:val="21"/>
                <w:highlight w:val="none"/>
              </w:rPr>
              <w:t>产生速率</w:t>
            </w:r>
            <w:r>
              <w:rPr>
                <w:b/>
                <w:spacing w:val="-4"/>
                <w:sz w:val="21"/>
                <w:szCs w:val="21"/>
                <w:highlight w:val="none"/>
              </w:rPr>
              <w:t>(kg/h)</w:t>
            </w:r>
          </w:p>
        </w:tc>
        <w:tc>
          <w:tcPr>
            <w:tcW w:w="1000" w:type="dxa"/>
            <w:noWrap/>
            <w:vAlign w:val="center"/>
          </w:tcPr>
          <w:p w14:paraId="137799AF">
            <w:pPr>
              <w:spacing w:line="240" w:lineRule="auto"/>
              <w:ind w:firstLine="0" w:firstLineChars="0"/>
              <w:jc w:val="center"/>
              <w:rPr>
                <w:b/>
                <w:bCs/>
                <w:spacing w:val="-4"/>
                <w:sz w:val="21"/>
                <w:szCs w:val="21"/>
                <w:highlight w:val="none"/>
                <w:lang w:val="pt-BR"/>
              </w:rPr>
            </w:pPr>
            <w:r>
              <w:rPr>
                <w:rFonts w:hAnsi="宋体"/>
                <w:b/>
                <w:spacing w:val="-4"/>
                <w:sz w:val="21"/>
                <w:szCs w:val="21"/>
                <w:highlight w:val="none"/>
              </w:rPr>
              <w:t>产生浓度</w:t>
            </w:r>
            <w:r>
              <w:rPr>
                <w:b/>
                <w:spacing w:val="-4"/>
                <w:sz w:val="21"/>
                <w:szCs w:val="21"/>
                <w:highlight w:val="none"/>
              </w:rPr>
              <w:t>(mg/m</w:t>
            </w:r>
            <w:r>
              <w:rPr>
                <w:b/>
                <w:spacing w:val="-4"/>
                <w:sz w:val="21"/>
                <w:szCs w:val="21"/>
                <w:highlight w:val="none"/>
                <w:vertAlign w:val="superscript"/>
              </w:rPr>
              <w:t>3</w:t>
            </w:r>
            <w:r>
              <w:rPr>
                <w:b/>
                <w:spacing w:val="-4"/>
                <w:sz w:val="21"/>
                <w:szCs w:val="21"/>
                <w:highlight w:val="none"/>
              </w:rPr>
              <w:t>)</w:t>
            </w:r>
          </w:p>
        </w:tc>
        <w:tc>
          <w:tcPr>
            <w:tcW w:w="1145" w:type="dxa"/>
            <w:vMerge w:val="continue"/>
            <w:noWrap/>
            <w:vAlign w:val="center"/>
          </w:tcPr>
          <w:p w14:paraId="6E4F8ABD">
            <w:pPr>
              <w:spacing w:line="240" w:lineRule="auto"/>
              <w:ind w:firstLine="0" w:firstLineChars="0"/>
              <w:jc w:val="center"/>
              <w:rPr>
                <w:spacing w:val="-4"/>
                <w:sz w:val="21"/>
                <w:szCs w:val="21"/>
                <w:highlight w:val="none"/>
              </w:rPr>
            </w:pPr>
          </w:p>
        </w:tc>
        <w:tc>
          <w:tcPr>
            <w:tcW w:w="1016" w:type="dxa"/>
            <w:vMerge w:val="continue"/>
            <w:vAlign w:val="center"/>
          </w:tcPr>
          <w:p w14:paraId="7C8A6F64">
            <w:pPr>
              <w:spacing w:line="240" w:lineRule="auto"/>
              <w:ind w:firstLine="0" w:firstLineChars="0"/>
              <w:jc w:val="center"/>
              <w:rPr>
                <w:spacing w:val="-4"/>
                <w:sz w:val="21"/>
                <w:szCs w:val="21"/>
                <w:highlight w:val="none"/>
              </w:rPr>
            </w:pPr>
          </w:p>
        </w:tc>
        <w:tc>
          <w:tcPr>
            <w:tcW w:w="706" w:type="dxa"/>
            <w:vMerge w:val="continue"/>
            <w:vAlign w:val="center"/>
          </w:tcPr>
          <w:p w14:paraId="07546030">
            <w:pPr>
              <w:spacing w:line="240" w:lineRule="auto"/>
              <w:ind w:firstLine="0" w:firstLineChars="0"/>
              <w:jc w:val="center"/>
              <w:rPr>
                <w:spacing w:val="-4"/>
                <w:sz w:val="21"/>
                <w:szCs w:val="21"/>
                <w:highlight w:val="none"/>
              </w:rPr>
            </w:pPr>
          </w:p>
        </w:tc>
        <w:tc>
          <w:tcPr>
            <w:tcW w:w="742" w:type="dxa"/>
            <w:vMerge w:val="continue"/>
            <w:noWrap/>
            <w:vAlign w:val="center"/>
          </w:tcPr>
          <w:p w14:paraId="66A60530">
            <w:pPr>
              <w:spacing w:line="240" w:lineRule="auto"/>
              <w:ind w:firstLine="0" w:firstLineChars="0"/>
              <w:jc w:val="center"/>
              <w:rPr>
                <w:spacing w:val="-4"/>
                <w:sz w:val="21"/>
                <w:szCs w:val="21"/>
                <w:highlight w:val="none"/>
              </w:rPr>
            </w:pPr>
          </w:p>
        </w:tc>
        <w:tc>
          <w:tcPr>
            <w:tcW w:w="962" w:type="dxa"/>
            <w:noWrap/>
            <w:vAlign w:val="center"/>
          </w:tcPr>
          <w:p w14:paraId="0A2200C5">
            <w:pPr>
              <w:spacing w:line="240" w:lineRule="auto"/>
              <w:ind w:firstLine="0" w:firstLineChars="0"/>
              <w:jc w:val="center"/>
              <w:rPr>
                <w:b/>
                <w:bCs/>
                <w:spacing w:val="-4"/>
                <w:sz w:val="21"/>
                <w:szCs w:val="21"/>
                <w:highlight w:val="none"/>
              </w:rPr>
            </w:pPr>
            <w:r>
              <w:rPr>
                <w:rFonts w:hAnsi="宋体"/>
                <w:b/>
                <w:bCs/>
                <w:spacing w:val="-4"/>
                <w:sz w:val="21"/>
                <w:szCs w:val="21"/>
                <w:highlight w:val="none"/>
              </w:rPr>
              <w:t>排放量</w:t>
            </w:r>
            <w:r>
              <w:rPr>
                <w:b/>
                <w:bCs/>
                <w:spacing w:val="-4"/>
                <w:sz w:val="21"/>
                <w:szCs w:val="21"/>
                <w:highlight w:val="none"/>
              </w:rPr>
              <w:t>(t/a)</w:t>
            </w:r>
          </w:p>
        </w:tc>
        <w:tc>
          <w:tcPr>
            <w:tcW w:w="961" w:type="dxa"/>
            <w:noWrap/>
            <w:vAlign w:val="center"/>
          </w:tcPr>
          <w:p w14:paraId="5584427B">
            <w:pPr>
              <w:spacing w:line="240" w:lineRule="auto"/>
              <w:ind w:firstLine="0" w:firstLineChars="0"/>
              <w:jc w:val="center"/>
              <w:rPr>
                <w:b/>
                <w:spacing w:val="-4"/>
                <w:sz w:val="21"/>
                <w:szCs w:val="21"/>
                <w:highlight w:val="none"/>
              </w:rPr>
            </w:pPr>
            <w:r>
              <w:rPr>
                <w:rFonts w:hAnsi="宋体"/>
                <w:b/>
                <w:spacing w:val="-4"/>
                <w:sz w:val="21"/>
                <w:szCs w:val="21"/>
                <w:highlight w:val="none"/>
              </w:rPr>
              <w:t>排放速率</w:t>
            </w:r>
            <w:r>
              <w:rPr>
                <w:b/>
                <w:spacing w:val="-4"/>
                <w:sz w:val="21"/>
                <w:szCs w:val="21"/>
                <w:highlight w:val="none"/>
              </w:rPr>
              <w:t>(kg/h)</w:t>
            </w:r>
          </w:p>
        </w:tc>
        <w:tc>
          <w:tcPr>
            <w:tcW w:w="962" w:type="dxa"/>
            <w:vAlign w:val="center"/>
          </w:tcPr>
          <w:p w14:paraId="4DF75C5F">
            <w:pPr>
              <w:spacing w:line="240" w:lineRule="auto"/>
              <w:ind w:firstLine="0" w:firstLineChars="0"/>
              <w:jc w:val="center"/>
              <w:rPr>
                <w:rFonts w:hAnsi="宋体"/>
                <w:b/>
                <w:spacing w:val="-4"/>
                <w:sz w:val="21"/>
                <w:szCs w:val="21"/>
                <w:highlight w:val="none"/>
              </w:rPr>
            </w:pPr>
            <w:r>
              <w:rPr>
                <w:rFonts w:hAnsi="宋体"/>
                <w:b/>
                <w:spacing w:val="-4"/>
                <w:sz w:val="21"/>
                <w:szCs w:val="21"/>
                <w:highlight w:val="none"/>
              </w:rPr>
              <w:t>排放浓度</w:t>
            </w:r>
            <w:r>
              <w:rPr>
                <w:rFonts w:hint="eastAsia" w:hAnsi="宋体"/>
                <w:b/>
                <w:spacing w:val="-4"/>
                <w:sz w:val="21"/>
                <w:szCs w:val="21"/>
                <w:highlight w:val="none"/>
              </w:rPr>
              <w:t>(</w:t>
            </w:r>
            <w:r>
              <w:rPr>
                <w:b/>
                <w:spacing w:val="-4"/>
                <w:sz w:val="21"/>
                <w:szCs w:val="21"/>
                <w:highlight w:val="none"/>
              </w:rPr>
              <w:t>mg/m</w:t>
            </w:r>
            <w:r>
              <w:rPr>
                <w:b/>
                <w:spacing w:val="-4"/>
                <w:sz w:val="21"/>
                <w:szCs w:val="21"/>
                <w:highlight w:val="none"/>
                <w:vertAlign w:val="superscript"/>
              </w:rPr>
              <w:t>3</w:t>
            </w:r>
            <w:r>
              <w:rPr>
                <w:rFonts w:hint="eastAsia" w:hAnsi="宋体"/>
                <w:b/>
                <w:spacing w:val="-4"/>
                <w:sz w:val="21"/>
                <w:szCs w:val="21"/>
                <w:highlight w:val="none"/>
              </w:rPr>
              <w:t>)</w:t>
            </w:r>
          </w:p>
        </w:tc>
        <w:tc>
          <w:tcPr>
            <w:tcW w:w="718" w:type="dxa"/>
            <w:vMerge w:val="continue"/>
            <w:vAlign w:val="center"/>
          </w:tcPr>
          <w:p w14:paraId="259F93BC">
            <w:pPr>
              <w:spacing w:line="240" w:lineRule="auto"/>
              <w:ind w:firstLine="0" w:firstLineChars="0"/>
              <w:jc w:val="center"/>
              <w:rPr>
                <w:rFonts w:hAnsi="宋体"/>
                <w:b/>
                <w:spacing w:val="-4"/>
                <w:sz w:val="21"/>
                <w:szCs w:val="21"/>
                <w:highlight w:val="none"/>
              </w:rPr>
            </w:pPr>
          </w:p>
        </w:tc>
      </w:tr>
      <w:tr w14:paraId="4DC012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restart"/>
            <w:noWrap/>
            <w:vAlign w:val="center"/>
          </w:tcPr>
          <w:p w14:paraId="16444E2D">
            <w:pPr>
              <w:spacing w:line="240" w:lineRule="auto"/>
              <w:ind w:firstLine="0" w:firstLineChars="0"/>
              <w:jc w:val="center"/>
              <w:rPr>
                <w:sz w:val="21"/>
                <w:szCs w:val="21"/>
                <w:highlight w:val="none"/>
              </w:rPr>
            </w:pPr>
            <w:r>
              <w:rPr>
                <w:rFonts w:hint="eastAsia"/>
                <w:sz w:val="21"/>
                <w:szCs w:val="21"/>
                <w:highlight w:val="none"/>
              </w:rPr>
              <w:t>D</w:t>
            </w:r>
            <w:r>
              <w:rPr>
                <w:sz w:val="21"/>
                <w:szCs w:val="21"/>
                <w:highlight w:val="none"/>
              </w:rPr>
              <w:t>A001</w:t>
            </w:r>
          </w:p>
        </w:tc>
        <w:tc>
          <w:tcPr>
            <w:tcW w:w="1155" w:type="dxa"/>
            <w:noWrap/>
            <w:vAlign w:val="center"/>
          </w:tcPr>
          <w:p w14:paraId="5577C679">
            <w:pPr>
              <w:spacing w:line="240" w:lineRule="auto"/>
              <w:ind w:firstLine="0" w:firstLineChars="0"/>
              <w:jc w:val="center"/>
              <w:rPr>
                <w:rFonts w:hAnsi="宋体"/>
                <w:sz w:val="21"/>
                <w:szCs w:val="21"/>
                <w:highlight w:val="none"/>
              </w:rPr>
            </w:pPr>
            <w:r>
              <w:rPr>
                <w:rFonts w:hint="eastAsia" w:hAnsi="宋体"/>
                <w:sz w:val="21"/>
                <w:szCs w:val="21"/>
                <w:highlight w:val="none"/>
              </w:rPr>
              <w:t>酸洗活化</w:t>
            </w:r>
          </w:p>
        </w:tc>
        <w:tc>
          <w:tcPr>
            <w:tcW w:w="1292" w:type="dxa"/>
            <w:noWrap/>
            <w:vAlign w:val="center"/>
          </w:tcPr>
          <w:p w14:paraId="6F05FDA6">
            <w:pPr>
              <w:spacing w:line="240" w:lineRule="auto"/>
              <w:ind w:firstLine="0" w:firstLineChars="0"/>
              <w:jc w:val="center"/>
              <w:rPr>
                <w:rFonts w:hAnsi="宋体"/>
                <w:sz w:val="21"/>
                <w:szCs w:val="21"/>
                <w:highlight w:val="none"/>
              </w:rPr>
            </w:pPr>
            <w:r>
              <w:rPr>
                <w:rFonts w:hint="eastAsia"/>
                <w:sz w:val="21"/>
                <w:szCs w:val="21"/>
                <w:highlight w:val="none"/>
                <w:lang w:val="pt-BR"/>
              </w:rPr>
              <w:t>硫酸雾</w:t>
            </w:r>
          </w:p>
        </w:tc>
        <w:tc>
          <w:tcPr>
            <w:tcW w:w="858" w:type="dxa"/>
            <w:noWrap/>
            <w:vAlign w:val="center"/>
          </w:tcPr>
          <w:p w14:paraId="53E0C682">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1.5250</w:t>
            </w:r>
          </w:p>
        </w:tc>
        <w:tc>
          <w:tcPr>
            <w:tcW w:w="859" w:type="dxa"/>
            <w:noWrap/>
            <w:vAlign w:val="center"/>
          </w:tcPr>
          <w:p w14:paraId="712C5725">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1.4945</w:t>
            </w:r>
          </w:p>
        </w:tc>
        <w:tc>
          <w:tcPr>
            <w:tcW w:w="857" w:type="dxa"/>
            <w:noWrap/>
            <w:vAlign w:val="center"/>
          </w:tcPr>
          <w:p w14:paraId="4D181230">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0.2076</w:t>
            </w:r>
          </w:p>
        </w:tc>
        <w:tc>
          <w:tcPr>
            <w:tcW w:w="1000" w:type="dxa"/>
            <w:noWrap/>
            <w:vAlign w:val="center"/>
          </w:tcPr>
          <w:p w14:paraId="2F7E9D12">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7.55</w:t>
            </w:r>
          </w:p>
        </w:tc>
        <w:tc>
          <w:tcPr>
            <w:tcW w:w="1145" w:type="dxa"/>
            <w:vMerge w:val="restart"/>
            <w:noWrap/>
            <w:vAlign w:val="center"/>
          </w:tcPr>
          <w:p w14:paraId="275C8904">
            <w:pPr>
              <w:spacing w:line="240" w:lineRule="auto"/>
              <w:ind w:firstLine="0" w:firstLineChars="0"/>
              <w:jc w:val="center"/>
              <w:rPr>
                <w:sz w:val="21"/>
                <w:szCs w:val="21"/>
                <w:highlight w:val="none"/>
              </w:rPr>
            </w:pPr>
            <w:r>
              <w:rPr>
                <w:rFonts w:hint="eastAsia"/>
                <w:sz w:val="21"/>
                <w:szCs w:val="21"/>
                <w:highlight w:val="none"/>
              </w:rPr>
              <w:t>两级碱喷淋吸收塔(</w:t>
            </w:r>
            <w:r>
              <w:rPr>
                <w:rFonts w:hint="eastAsia"/>
                <w:sz w:val="21"/>
                <w:szCs w:val="21"/>
                <w:highlight w:val="none"/>
                <w:lang w:val="en-US" w:eastAsia="zh-CN"/>
              </w:rPr>
              <w:t>TA001</w:t>
            </w:r>
            <w:r>
              <w:rPr>
                <w:sz w:val="21"/>
                <w:szCs w:val="21"/>
                <w:highlight w:val="none"/>
              </w:rPr>
              <w:t>)</w:t>
            </w:r>
          </w:p>
        </w:tc>
        <w:tc>
          <w:tcPr>
            <w:tcW w:w="1016" w:type="dxa"/>
            <w:vAlign w:val="center"/>
          </w:tcPr>
          <w:p w14:paraId="24013140">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27480</w:t>
            </w:r>
          </w:p>
        </w:tc>
        <w:tc>
          <w:tcPr>
            <w:tcW w:w="706" w:type="dxa"/>
            <w:vMerge w:val="restart"/>
            <w:vAlign w:val="center"/>
          </w:tcPr>
          <w:p w14:paraId="720E2C3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27855</w:t>
            </w:r>
          </w:p>
        </w:tc>
        <w:tc>
          <w:tcPr>
            <w:tcW w:w="742" w:type="dxa"/>
            <w:noWrap/>
            <w:vAlign w:val="center"/>
          </w:tcPr>
          <w:p w14:paraId="7A733D0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90</w:t>
            </w:r>
          </w:p>
        </w:tc>
        <w:tc>
          <w:tcPr>
            <w:tcW w:w="962" w:type="dxa"/>
            <w:noWrap/>
            <w:vAlign w:val="center"/>
          </w:tcPr>
          <w:p w14:paraId="31F97A02">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0.1495</w:t>
            </w:r>
          </w:p>
        </w:tc>
        <w:tc>
          <w:tcPr>
            <w:tcW w:w="961" w:type="dxa"/>
            <w:noWrap/>
            <w:vAlign w:val="center"/>
          </w:tcPr>
          <w:p w14:paraId="4ACA5C64">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0.0208</w:t>
            </w:r>
          </w:p>
        </w:tc>
        <w:tc>
          <w:tcPr>
            <w:tcW w:w="962" w:type="dxa"/>
            <w:vAlign w:val="center"/>
          </w:tcPr>
          <w:p w14:paraId="504754F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0.76</w:t>
            </w:r>
          </w:p>
        </w:tc>
        <w:tc>
          <w:tcPr>
            <w:tcW w:w="718" w:type="dxa"/>
            <w:vAlign w:val="center"/>
          </w:tcPr>
          <w:p w14:paraId="5B93BCD5">
            <w:pPr>
              <w:spacing w:line="240" w:lineRule="auto"/>
              <w:ind w:firstLine="0" w:firstLineChars="0"/>
              <w:jc w:val="center"/>
              <w:rPr>
                <w:sz w:val="21"/>
                <w:szCs w:val="21"/>
                <w:highlight w:val="none"/>
              </w:rPr>
            </w:pPr>
            <w:r>
              <w:rPr>
                <w:rFonts w:hint="eastAsia"/>
                <w:sz w:val="21"/>
                <w:szCs w:val="21"/>
                <w:highlight w:val="none"/>
              </w:rPr>
              <w:t>7200</w:t>
            </w:r>
          </w:p>
        </w:tc>
      </w:tr>
      <w:tr w14:paraId="5811D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45" w:type="dxa"/>
            <w:vMerge w:val="continue"/>
            <w:noWrap/>
            <w:vAlign w:val="center"/>
          </w:tcPr>
          <w:p w14:paraId="36408830">
            <w:pPr>
              <w:spacing w:line="240" w:lineRule="auto"/>
              <w:ind w:firstLine="0" w:firstLineChars="0"/>
              <w:jc w:val="center"/>
              <w:rPr>
                <w:sz w:val="21"/>
                <w:szCs w:val="21"/>
                <w:highlight w:val="none"/>
              </w:rPr>
            </w:pPr>
          </w:p>
        </w:tc>
        <w:tc>
          <w:tcPr>
            <w:tcW w:w="1155" w:type="dxa"/>
            <w:noWrap/>
            <w:vAlign w:val="center"/>
          </w:tcPr>
          <w:p w14:paraId="64B5693C">
            <w:pPr>
              <w:spacing w:line="240" w:lineRule="auto"/>
              <w:ind w:firstLine="0" w:firstLineChars="0"/>
              <w:jc w:val="center"/>
              <w:rPr>
                <w:rFonts w:hAnsi="宋体"/>
                <w:sz w:val="21"/>
                <w:szCs w:val="21"/>
                <w:highlight w:val="none"/>
              </w:rPr>
            </w:pPr>
            <w:r>
              <w:rPr>
                <w:rFonts w:hint="eastAsia" w:hAnsi="宋体"/>
                <w:sz w:val="21"/>
                <w:szCs w:val="21"/>
                <w:highlight w:val="none"/>
              </w:rPr>
              <w:t>槽液调配</w:t>
            </w:r>
          </w:p>
        </w:tc>
        <w:tc>
          <w:tcPr>
            <w:tcW w:w="1292" w:type="dxa"/>
            <w:noWrap/>
            <w:vAlign w:val="center"/>
          </w:tcPr>
          <w:p w14:paraId="1E930DCC">
            <w:pPr>
              <w:spacing w:line="240" w:lineRule="auto"/>
              <w:ind w:firstLine="0" w:firstLineChars="0"/>
              <w:jc w:val="center"/>
              <w:rPr>
                <w:sz w:val="21"/>
                <w:szCs w:val="21"/>
                <w:highlight w:val="none"/>
                <w:lang w:val="pt-BR"/>
              </w:rPr>
            </w:pPr>
            <w:r>
              <w:rPr>
                <w:rFonts w:hint="eastAsia"/>
                <w:sz w:val="21"/>
                <w:szCs w:val="21"/>
                <w:highlight w:val="none"/>
                <w:lang w:val="pt-BR"/>
              </w:rPr>
              <w:t>硫酸雾</w:t>
            </w:r>
          </w:p>
        </w:tc>
        <w:tc>
          <w:tcPr>
            <w:tcW w:w="858" w:type="dxa"/>
            <w:noWrap/>
            <w:vAlign w:val="center"/>
          </w:tcPr>
          <w:p w14:paraId="0A850D46">
            <w:pPr>
              <w:spacing w:line="240" w:lineRule="auto"/>
              <w:ind w:firstLine="0" w:firstLineChars="0"/>
              <w:jc w:val="center"/>
              <w:rPr>
                <w:sz w:val="21"/>
                <w:szCs w:val="21"/>
                <w:highlight w:val="none"/>
              </w:rPr>
            </w:pPr>
            <w:r>
              <w:rPr>
                <w:rFonts w:hint="eastAsia"/>
                <w:sz w:val="21"/>
                <w:szCs w:val="21"/>
                <w:highlight w:val="none"/>
              </w:rPr>
              <w:t>/</w:t>
            </w:r>
          </w:p>
        </w:tc>
        <w:tc>
          <w:tcPr>
            <w:tcW w:w="859" w:type="dxa"/>
            <w:noWrap/>
            <w:vAlign w:val="center"/>
          </w:tcPr>
          <w:p w14:paraId="2D5AF8D1">
            <w:pPr>
              <w:spacing w:line="240" w:lineRule="auto"/>
              <w:ind w:firstLine="0" w:firstLineChars="0"/>
              <w:jc w:val="center"/>
              <w:rPr>
                <w:sz w:val="21"/>
                <w:szCs w:val="21"/>
                <w:highlight w:val="none"/>
              </w:rPr>
            </w:pPr>
            <w:r>
              <w:rPr>
                <w:rFonts w:hint="eastAsia"/>
                <w:sz w:val="21"/>
                <w:szCs w:val="21"/>
                <w:highlight w:val="none"/>
              </w:rPr>
              <w:t>/</w:t>
            </w:r>
          </w:p>
        </w:tc>
        <w:tc>
          <w:tcPr>
            <w:tcW w:w="857" w:type="dxa"/>
            <w:noWrap/>
            <w:vAlign w:val="center"/>
          </w:tcPr>
          <w:p w14:paraId="16084138">
            <w:pPr>
              <w:spacing w:line="240" w:lineRule="auto"/>
              <w:ind w:firstLine="0" w:firstLineChars="0"/>
              <w:jc w:val="center"/>
              <w:rPr>
                <w:sz w:val="21"/>
                <w:szCs w:val="21"/>
                <w:highlight w:val="none"/>
              </w:rPr>
            </w:pPr>
            <w:r>
              <w:rPr>
                <w:rFonts w:hint="eastAsia"/>
                <w:sz w:val="21"/>
                <w:szCs w:val="21"/>
                <w:highlight w:val="none"/>
              </w:rPr>
              <w:t>/</w:t>
            </w:r>
          </w:p>
        </w:tc>
        <w:tc>
          <w:tcPr>
            <w:tcW w:w="1000" w:type="dxa"/>
            <w:noWrap/>
            <w:vAlign w:val="center"/>
          </w:tcPr>
          <w:p w14:paraId="55BACC45">
            <w:pPr>
              <w:spacing w:line="240" w:lineRule="auto"/>
              <w:ind w:firstLine="0" w:firstLineChars="0"/>
              <w:jc w:val="center"/>
              <w:rPr>
                <w:sz w:val="21"/>
                <w:szCs w:val="21"/>
                <w:highlight w:val="none"/>
              </w:rPr>
            </w:pPr>
            <w:r>
              <w:rPr>
                <w:rFonts w:hint="eastAsia"/>
                <w:sz w:val="21"/>
                <w:szCs w:val="21"/>
                <w:highlight w:val="none"/>
              </w:rPr>
              <w:t>/</w:t>
            </w:r>
          </w:p>
        </w:tc>
        <w:tc>
          <w:tcPr>
            <w:tcW w:w="1145" w:type="dxa"/>
            <w:vMerge w:val="continue"/>
            <w:noWrap/>
            <w:vAlign w:val="center"/>
          </w:tcPr>
          <w:p w14:paraId="7A3B657B">
            <w:pPr>
              <w:spacing w:line="240" w:lineRule="auto"/>
              <w:ind w:firstLine="0" w:firstLineChars="0"/>
              <w:jc w:val="center"/>
              <w:rPr>
                <w:sz w:val="21"/>
                <w:szCs w:val="21"/>
                <w:highlight w:val="none"/>
              </w:rPr>
            </w:pPr>
          </w:p>
        </w:tc>
        <w:tc>
          <w:tcPr>
            <w:tcW w:w="1016" w:type="dxa"/>
            <w:vAlign w:val="center"/>
          </w:tcPr>
          <w:p w14:paraId="53B1078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375</w:t>
            </w:r>
          </w:p>
        </w:tc>
        <w:tc>
          <w:tcPr>
            <w:tcW w:w="706" w:type="dxa"/>
            <w:vMerge w:val="continue"/>
            <w:vAlign w:val="center"/>
          </w:tcPr>
          <w:p w14:paraId="497AE351">
            <w:pPr>
              <w:spacing w:line="240" w:lineRule="auto"/>
              <w:ind w:firstLine="0" w:firstLineChars="0"/>
              <w:jc w:val="center"/>
              <w:rPr>
                <w:sz w:val="21"/>
                <w:szCs w:val="21"/>
                <w:highlight w:val="none"/>
              </w:rPr>
            </w:pPr>
          </w:p>
        </w:tc>
        <w:tc>
          <w:tcPr>
            <w:tcW w:w="742" w:type="dxa"/>
            <w:noWrap/>
            <w:vAlign w:val="center"/>
          </w:tcPr>
          <w:p w14:paraId="0A6F7E62">
            <w:pPr>
              <w:spacing w:line="240" w:lineRule="auto"/>
              <w:ind w:firstLine="0" w:firstLineChars="0"/>
              <w:jc w:val="center"/>
              <w:rPr>
                <w:sz w:val="21"/>
                <w:szCs w:val="21"/>
                <w:highlight w:val="none"/>
              </w:rPr>
            </w:pPr>
            <w:r>
              <w:rPr>
                <w:rFonts w:hint="eastAsia"/>
                <w:sz w:val="21"/>
                <w:szCs w:val="21"/>
                <w:highlight w:val="none"/>
              </w:rPr>
              <w:t>/</w:t>
            </w:r>
          </w:p>
        </w:tc>
        <w:tc>
          <w:tcPr>
            <w:tcW w:w="962" w:type="dxa"/>
            <w:noWrap/>
            <w:vAlign w:val="center"/>
          </w:tcPr>
          <w:p w14:paraId="725034EA">
            <w:pPr>
              <w:spacing w:line="240" w:lineRule="auto"/>
              <w:ind w:firstLine="0" w:firstLineChars="0"/>
              <w:jc w:val="center"/>
              <w:rPr>
                <w:sz w:val="21"/>
                <w:szCs w:val="21"/>
                <w:highlight w:val="none"/>
              </w:rPr>
            </w:pPr>
            <w:r>
              <w:rPr>
                <w:rFonts w:hint="eastAsia"/>
                <w:sz w:val="21"/>
                <w:szCs w:val="21"/>
                <w:highlight w:val="none"/>
              </w:rPr>
              <w:t>/</w:t>
            </w:r>
          </w:p>
        </w:tc>
        <w:tc>
          <w:tcPr>
            <w:tcW w:w="961" w:type="dxa"/>
            <w:noWrap/>
            <w:vAlign w:val="center"/>
          </w:tcPr>
          <w:p w14:paraId="0A0AE182">
            <w:pPr>
              <w:spacing w:line="240" w:lineRule="auto"/>
              <w:ind w:firstLine="0" w:firstLineChars="0"/>
              <w:jc w:val="center"/>
              <w:rPr>
                <w:sz w:val="21"/>
                <w:szCs w:val="21"/>
                <w:highlight w:val="none"/>
              </w:rPr>
            </w:pPr>
            <w:r>
              <w:rPr>
                <w:rFonts w:hint="eastAsia"/>
                <w:sz w:val="21"/>
                <w:szCs w:val="21"/>
                <w:highlight w:val="none"/>
              </w:rPr>
              <w:t>/</w:t>
            </w:r>
          </w:p>
        </w:tc>
        <w:tc>
          <w:tcPr>
            <w:tcW w:w="962" w:type="dxa"/>
            <w:vAlign w:val="center"/>
          </w:tcPr>
          <w:p w14:paraId="5E79EC4D">
            <w:pPr>
              <w:spacing w:line="240" w:lineRule="auto"/>
              <w:ind w:firstLine="0" w:firstLineChars="0"/>
              <w:jc w:val="center"/>
              <w:rPr>
                <w:sz w:val="21"/>
                <w:szCs w:val="21"/>
                <w:highlight w:val="none"/>
              </w:rPr>
            </w:pPr>
            <w:r>
              <w:rPr>
                <w:rFonts w:hint="eastAsia"/>
                <w:sz w:val="21"/>
                <w:szCs w:val="21"/>
                <w:highlight w:val="none"/>
              </w:rPr>
              <w:t>/</w:t>
            </w:r>
          </w:p>
        </w:tc>
        <w:tc>
          <w:tcPr>
            <w:tcW w:w="718" w:type="dxa"/>
            <w:vAlign w:val="center"/>
          </w:tcPr>
          <w:p w14:paraId="066B2908">
            <w:pPr>
              <w:spacing w:line="240" w:lineRule="auto"/>
              <w:ind w:firstLine="0" w:firstLineChars="0"/>
              <w:jc w:val="center"/>
              <w:rPr>
                <w:sz w:val="21"/>
                <w:szCs w:val="21"/>
                <w:highlight w:val="none"/>
              </w:rPr>
            </w:pPr>
            <w:r>
              <w:rPr>
                <w:rFonts w:hint="eastAsia"/>
                <w:sz w:val="21"/>
                <w:szCs w:val="21"/>
                <w:highlight w:val="none"/>
              </w:rPr>
              <w:t>/</w:t>
            </w:r>
          </w:p>
        </w:tc>
      </w:tr>
      <w:tr w14:paraId="743C2F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restart"/>
            <w:noWrap/>
            <w:vAlign w:val="center"/>
          </w:tcPr>
          <w:p w14:paraId="320CC271">
            <w:pPr>
              <w:spacing w:line="240" w:lineRule="auto"/>
              <w:ind w:firstLine="0" w:firstLineChars="0"/>
              <w:jc w:val="center"/>
              <w:rPr>
                <w:sz w:val="21"/>
                <w:szCs w:val="21"/>
                <w:highlight w:val="none"/>
              </w:rPr>
            </w:pPr>
            <w:r>
              <w:rPr>
                <w:rFonts w:hint="eastAsia"/>
                <w:sz w:val="21"/>
                <w:szCs w:val="21"/>
                <w:highlight w:val="none"/>
              </w:rPr>
              <w:t>D</w:t>
            </w:r>
            <w:r>
              <w:rPr>
                <w:sz w:val="21"/>
                <w:szCs w:val="21"/>
                <w:highlight w:val="none"/>
              </w:rPr>
              <w:t>A00</w:t>
            </w:r>
            <w:r>
              <w:rPr>
                <w:rFonts w:hint="eastAsia"/>
                <w:sz w:val="21"/>
                <w:szCs w:val="21"/>
                <w:highlight w:val="none"/>
              </w:rPr>
              <w:t>2</w:t>
            </w:r>
          </w:p>
        </w:tc>
        <w:tc>
          <w:tcPr>
            <w:tcW w:w="1155" w:type="dxa"/>
            <w:noWrap/>
            <w:vAlign w:val="center"/>
          </w:tcPr>
          <w:p w14:paraId="2E8C2B97">
            <w:pPr>
              <w:spacing w:line="240" w:lineRule="auto"/>
              <w:ind w:firstLine="0" w:firstLineChars="0"/>
              <w:jc w:val="center"/>
              <w:rPr>
                <w:rFonts w:hint="eastAsia" w:hAnsi="宋体" w:eastAsia="宋体"/>
                <w:sz w:val="21"/>
                <w:szCs w:val="21"/>
                <w:highlight w:val="none"/>
                <w:lang w:val="en-US" w:eastAsia="zh-CN"/>
              </w:rPr>
            </w:pPr>
            <w:r>
              <w:rPr>
                <w:rFonts w:hint="eastAsia" w:hAnsi="宋体"/>
                <w:sz w:val="21"/>
                <w:szCs w:val="21"/>
                <w:highlight w:val="none"/>
              </w:rPr>
              <w:t>活化</w:t>
            </w:r>
          </w:p>
        </w:tc>
        <w:tc>
          <w:tcPr>
            <w:tcW w:w="1292" w:type="dxa"/>
            <w:noWrap/>
            <w:vAlign w:val="center"/>
          </w:tcPr>
          <w:p w14:paraId="5270FEB8">
            <w:pPr>
              <w:spacing w:line="240" w:lineRule="auto"/>
              <w:ind w:firstLine="0" w:firstLineChars="0"/>
              <w:jc w:val="center"/>
              <w:rPr>
                <w:rFonts w:hAnsi="宋体"/>
                <w:sz w:val="21"/>
                <w:szCs w:val="21"/>
                <w:highlight w:val="none"/>
              </w:rPr>
            </w:pPr>
            <w:r>
              <w:rPr>
                <w:rFonts w:hint="eastAsia"/>
                <w:sz w:val="21"/>
                <w:szCs w:val="21"/>
                <w:highlight w:val="none"/>
                <w:lang w:val="pt-BR"/>
              </w:rPr>
              <w:t>硫酸雾</w:t>
            </w:r>
          </w:p>
        </w:tc>
        <w:tc>
          <w:tcPr>
            <w:tcW w:w="858" w:type="dxa"/>
            <w:noWrap/>
            <w:vAlign w:val="center"/>
          </w:tcPr>
          <w:p w14:paraId="53E8C1E4">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0.7546</w:t>
            </w:r>
          </w:p>
        </w:tc>
        <w:tc>
          <w:tcPr>
            <w:tcW w:w="859" w:type="dxa"/>
            <w:noWrap/>
            <w:vAlign w:val="center"/>
          </w:tcPr>
          <w:p w14:paraId="23633AFF">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0.7395</w:t>
            </w:r>
          </w:p>
        </w:tc>
        <w:tc>
          <w:tcPr>
            <w:tcW w:w="857" w:type="dxa"/>
            <w:noWrap/>
            <w:vAlign w:val="center"/>
          </w:tcPr>
          <w:p w14:paraId="30DB0315">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0.1027</w:t>
            </w:r>
          </w:p>
        </w:tc>
        <w:tc>
          <w:tcPr>
            <w:tcW w:w="1000" w:type="dxa"/>
            <w:noWrap/>
            <w:vAlign w:val="center"/>
          </w:tcPr>
          <w:p w14:paraId="5D120A2E">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10.92</w:t>
            </w:r>
          </w:p>
        </w:tc>
        <w:tc>
          <w:tcPr>
            <w:tcW w:w="1145" w:type="dxa"/>
            <w:vMerge w:val="restart"/>
            <w:noWrap/>
            <w:vAlign w:val="center"/>
          </w:tcPr>
          <w:p w14:paraId="181D607A">
            <w:pPr>
              <w:spacing w:line="240" w:lineRule="auto"/>
              <w:ind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两级碱喷淋吸收塔(</w:t>
            </w:r>
            <w:r>
              <w:rPr>
                <w:rFonts w:hint="eastAsia"/>
                <w:color w:val="000000" w:themeColor="text1"/>
                <w:sz w:val="21"/>
                <w:szCs w:val="21"/>
                <w:highlight w:val="none"/>
                <w:lang w:val="en-US" w:eastAsia="zh-CN"/>
                <w14:textFill>
                  <w14:solidFill>
                    <w14:schemeClr w14:val="tx1"/>
                  </w14:solidFill>
                </w14:textFill>
              </w:rPr>
              <w:t>TA002</w:t>
            </w:r>
            <w:r>
              <w:rPr>
                <w:color w:val="000000" w:themeColor="text1"/>
                <w:sz w:val="21"/>
                <w:szCs w:val="21"/>
                <w:highlight w:val="none"/>
                <w14:textFill>
                  <w14:solidFill>
                    <w14:schemeClr w14:val="tx1"/>
                  </w14:solidFill>
                </w14:textFill>
              </w:rPr>
              <w:t>)</w:t>
            </w:r>
          </w:p>
        </w:tc>
        <w:tc>
          <w:tcPr>
            <w:tcW w:w="1016" w:type="dxa"/>
            <w:vAlign w:val="center"/>
          </w:tcPr>
          <w:p w14:paraId="3A0AF306">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9406</w:t>
            </w:r>
          </w:p>
        </w:tc>
        <w:tc>
          <w:tcPr>
            <w:tcW w:w="706" w:type="dxa"/>
            <w:vMerge w:val="restart"/>
            <w:vAlign w:val="center"/>
          </w:tcPr>
          <w:p w14:paraId="4B591BB3">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9781</w:t>
            </w:r>
          </w:p>
        </w:tc>
        <w:tc>
          <w:tcPr>
            <w:tcW w:w="742" w:type="dxa"/>
            <w:noWrap/>
            <w:vAlign w:val="center"/>
          </w:tcPr>
          <w:p w14:paraId="6F18F626">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90</w:t>
            </w:r>
          </w:p>
        </w:tc>
        <w:tc>
          <w:tcPr>
            <w:tcW w:w="962" w:type="dxa"/>
            <w:noWrap/>
            <w:vAlign w:val="center"/>
          </w:tcPr>
          <w:p w14:paraId="2BA80572">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0.0740</w:t>
            </w:r>
          </w:p>
        </w:tc>
        <w:tc>
          <w:tcPr>
            <w:tcW w:w="961" w:type="dxa"/>
            <w:noWrap/>
            <w:vAlign w:val="center"/>
          </w:tcPr>
          <w:p w14:paraId="67E5A0C8">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0.0103</w:t>
            </w:r>
          </w:p>
        </w:tc>
        <w:tc>
          <w:tcPr>
            <w:tcW w:w="962" w:type="dxa"/>
            <w:vAlign w:val="center"/>
          </w:tcPr>
          <w:p w14:paraId="6F560599">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1.09</w:t>
            </w:r>
          </w:p>
        </w:tc>
        <w:tc>
          <w:tcPr>
            <w:tcW w:w="718" w:type="dxa"/>
            <w:vAlign w:val="center"/>
          </w:tcPr>
          <w:p w14:paraId="5221C2D4">
            <w:pPr>
              <w:spacing w:line="240" w:lineRule="auto"/>
              <w:ind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7200</w:t>
            </w:r>
          </w:p>
        </w:tc>
      </w:tr>
      <w:tr w14:paraId="311A15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continue"/>
            <w:noWrap/>
            <w:vAlign w:val="center"/>
          </w:tcPr>
          <w:p w14:paraId="5255B6B1">
            <w:pPr>
              <w:spacing w:line="240" w:lineRule="auto"/>
              <w:ind w:firstLine="0" w:firstLineChars="0"/>
              <w:jc w:val="center"/>
              <w:rPr>
                <w:sz w:val="21"/>
                <w:szCs w:val="21"/>
                <w:highlight w:val="none"/>
              </w:rPr>
            </w:pPr>
          </w:p>
        </w:tc>
        <w:tc>
          <w:tcPr>
            <w:tcW w:w="1155" w:type="dxa"/>
            <w:noWrap/>
            <w:vAlign w:val="center"/>
          </w:tcPr>
          <w:p w14:paraId="3D4E80FD">
            <w:pPr>
              <w:spacing w:line="240" w:lineRule="auto"/>
              <w:ind w:firstLine="0" w:firstLineChars="0"/>
              <w:jc w:val="center"/>
              <w:rPr>
                <w:rFonts w:hAnsi="宋体"/>
                <w:sz w:val="21"/>
                <w:szCs w:val="21"/>
                <w:highlight w:val="none"/>
              </w:rPr>
            </w:pPr>
            <w:r>
              <w:rPr>
                <w:rFonts w:hint="eastAsia" w:hAnsi="宋体"/>
                <w:sz w:val="21"/>
                <w:szCs w:val="21"/>
                <w:highlight w:val="none"/>
              </w:rPr>
              <w:t>槽液调配</w:t>
            </w:r>
          </w:p>
        </w:tc>
        <w:tc>
          <w:tcPr>
            <w:tcW w:w="1292" w:type="dxa"/>
            <w:noWrap/>
            <w:vAlign w:val="center"/>
          </w:tcPr>
          <w:p w14:paraId="07B737D7">
            <w:pPr>
              <w:spacing w:line="240" w:lineRule="auto"/>
              <w:ind w:firstLine="0" w:firstLineChars="0"/>
              <w:jc w:val="center"/>
              <w:rPr>
                <w:sz w:val="21"/>
                <w:szCs w:val="21"/>
                <w:highlight w:val="none"/>
                <w:lang w:val="pt-BR"/>
              </w:rPr>
            </w:pPr>
            <w:r>
              <w:rPr>
                <w:rFonts w:hint="eastAsia"/>
                <w:sz w:val="21"/>
                <w:szCs w:val="21"/>
                <w:highlight w:val="none"/>
                <w:lang w:val="pt-BR"/>
              </w:rPr>
              <w:t>硫酸雾</w:t>
            </w:r>
          </w:p>
        </w:tc>
        <w:tc>
          <w:tcPr>
            <w:tcW w:w="858" w:type="dxa"/>
            <w:noWrap/>
            <w:vAlign w:val="center"/>
          </w:tcPr>
          <w:p w14:paraId="1AE5E2FD">
            <w:pPr>
              <w:spacing w:line="240" w:lineRule="auto"/>
              <w:ind w:firstLine="0" w:firstLineChars="0"/>
              <w:jc w:val="center"/>
              <w:rPr>
                <w:sz w:val="21"/>
                <w:szCs w:val="21"/>
                <w:highlight w:val="none"/>
              </w:rPr>
            </w:pPr>
            <w:r>
              <w:rPr>
                <w:rFonts w:hint="eastAsia"/>
                <w:sz w:val="21"/>
                <w:szCs w:val="21"/>
                <w:highlight w:val="none"/>
              </w:rPr>
              <w:t>/</w:t>
            </w:r>
          </w:p>
        </w:tc>
        <w:tc>
          <w:tcPr>
            <w:tcW w:w="859" w:type="dxa"/>
            <w:noWrap/>
            <w:vAlign w:val="center"/>
          </w:tcPr>
          <w:p w14:paraId="0041BA03">
            <w:pPr>
              <w:spacing w:line="240" w:lineRule="auto"/>
              <w:ind w:firstLine="0" w:firstLineChars="0"/>
              <w:jc w:val="center"/>
              <w:rPr>
                <w:sz w:val="21"/>
                <w:szCs w:val="21"/>
                <w:highlight w:val="none"/>
              </w:rPr>
            </w:pPr>
            <w:r>
              <w:rPr>
                <w:rFonts w:hint="eastAsia"/>
                <w:sz w:val="21"/>
                <w:szCs w:val="21"/>
                <w:highlight w:val="none"/>
              </w:rPr>
              <w:t>/</w:t>
            </w:r>
          </w:p>
        </w:tc>
        <w:tc>
          <w:tcPr>
            <w:tcW w:w="857" w:type="dxa"/>
            <w:noWrap/>
            <w:vAlign w:val="center"/>
          </w:tcPr>
          <w:p w14:paraId="7489BE1B">
            <w:pPr>
              <w:spacing w:line="240" w:lineRule="auto"/>
              <w:ind w:firstLine="0" w:firstLineChars="0"/>
              <w:jc w:val="center"/>
              <w:rPr>
                <w:sz w:val="21"/>
                <w:szCs w:val="21"/>
                <w:highlight w:val="none"/>
              </w:rPr>
            </w:pPr>
            <w:r>
              <w:rPr>
                <w:rFonts w:hint="eastAsia"/>
                <w:sz w:val="21"/>
                <w:szCs w:val="21"/>
                <w:highlight w:val="none"/>
              </w:rPr>
              <w:t>/</w:t>
            </w:r>
          </w:p>
        </w:tc>
        <w:tc>
          <w:tcPr>
            <w:tcW w:w="1000" w:type="dxa"/>
            <w:noWrap/>
            <w:vAlign w:val="center"/>
          </w:tcPr>
          <w:p w14:paraId="634F1AC7">
            <w:pPr>
              <w:spacing w:line="240" w:lineRule="auto"/>
              <w:ind w:firstLine="0" w:firstLineChars="0"/>
              <w:jc w:val="center"/>
              <w:rPr>
                <w:sz w:val="21"/>
                <w:szCs w:val="21"/>
                <w:highlight w:val="none"/>
              </w:rPr>
            </w:pPr>
            <w:r>
              <w:rPr>
                <w:rFonts w:hint="eastAsia"/>
                <w:sz w:val="21"/>
                <w:szCs w:val="21"/>
                <w:highlight w:val="none"/>
              </w:rPr>
              <w:t>/</w:t>
            </w:r>
          </w:p>
        </w:tc>
        <w:tc>
          <w:tcPr>
            <w:tcW w:w="1145" w:type="dxa"/>
            <w:vMerge w:val="continue"/>
            <w:noWrap/>
            <w:vAlign w:val="center"/>
          </w:tcPr>
          <w:p w14:paraId="6CC32E04">
            <w:pPr>
              <w:spacing w:line="240" w:lineRule="auto"/>
              <w:ind w:firstLine="0" w:firstLineChars="0"/>
              <w:jc w:val="center"/>
              <w:rPr>
                <w:sz w:val="21"/>
                <w:szCs w:val="21"/>
                <w:highlight w:val="none"/>
              </w:rPr>
            </w:pPr>
          </w:p>
        </w:tc>
        <w:tc>
          <w:tcPr>
            <w:tcW w:w="1016" w:type="dxa"/>
            <w:vAlign w:val="center"/>
          </w:tcPr>
          <w:p w14:paraId="16C9349C">
            <w:pPr>
              <w:spacing w:line="240" w:lineRule="auto"/>
              <w:ind w:firstLine="0" w:firstLineChars="0"/>
              <w:jc w:val="center"/>
              <w:rPr>
                <w:rFonts w:hint="default"/>
                <w:sz w:val="21"/>
                <w:szCs w:val="21"/>
                <w:highlight w:val="none"/>
                <w:lang w:val="en-US"/>
              </w:rPr>
            </w:pPr>
            <w:r>
              <w:rPr>
                <w:rFonts w:hint="eastAsia"/>
                <w:sz w:val="21"/>
                <w:szCs w:val="21"/>
                <w:highlight w:val="none"/>
                <w:lang w:val="en-US" w:eastAsia="zh-CN"/>
              </w:rPr>
              <w:t>375</w:t>
            </w:r>
          </w:p>
        </w:tc>
        <w:tc>
          <w:tcPr>
            <w:tcW w:w="706" w:type="dxa"/>
            <w:vMerge w:val="continue"/>
            <w:vAlign w:val="center"/>
          </w:tcPr>
          <w:p w14:paraId="3FF4008A">
            <w:pPr>
              <w:spacing w:line="240" w:lineRule="auto"/>
              <w:ind w:firstLine="0" w:firstLineChars="0"/>
              <w:jc w:val="center"/>
              <w:rPr>
                <w:sz w:val="21"/>
                <w:szCs w:val="21"/>
                <w:highlight w:val="none"/>
              </w:rPr>
            </w:pPr>
          </w:p>
        </w:tc>
        <w:tc>
          <w:tcPr>
            <w:tcW w:w="742" w:type="dxa"/>
            <w:noWrap/>
            <w:vAlign w:val="center"/>
          </w:tcPr>
          <w:p w14:paraId="0EC58CFF">
            <w:pPr>
              <w:spacing w:line="240" w:lineRule="auto"/>
              <w:ind w:firstLine="0" w:firstLineChars="0"/>
              <w:jc w:val="center"/>
              <w:rPr>
                <w:sz w:val="21"/>
                <w:szCs w:val="21"/>
                <w:highlight w:val="none"/>
              </w:rPr>
            </w:pPr>
            <w:r>
              <w:rPr>
                <w:rFonts w:hint="eastAsia"/>
                <w:sz w:val="21"/>
                <w:szCs w:val="21"/>
                <w:highlight w:val="none"/>
              </w:rPr>
              <w:t>/</w:t>
            </w:r>
          </w:p>
        </w:tc>
        <w:tc>
          <w:tcPr>
            <w:tcW w:w="962" w:type="dxa"/>
            <w:noWrap/>
            <w:vAlign w:val="center"/>
          </w:tcPr>
          <w:p w14:paraId="4BBEC477">
            <w:pPr>
              <w:spacing w:line="240" w:lineRule="auto"/>
              <w:ind w:firstLine="0" w:firstLineChars="0"/>
              <w:jc w:val="center"/>
              <w:rPr>
                <w:sz w:val="21"/>
                <w:szCs w:val="21"/>
                <w:highlight w:val="none"/>
              </w:rPr>
            </w:pPr>
            <w:r>
              <w:rPr>
                <w:rFonts w:hint="eastAsia"/>
                <w:sz w:val="21"/>
                <w:szCs w:val="21"/>
                <w:highlight w:val="none"/>
              </w:rPr>
              <w:t>/</w:t>
            </w:r>
          </w:p>
        </w:tc>
        <w:tc>
          <w:tcPr>
            <w:tcW w:w="961" w:type="dxa"/>
            <w:noWrap/>
            <w:vAlign w:val="center"/>
          </w:tcPr>
          <w:p w14:paraId="7083DB0D">
            <w:pPr>
              <w:spacing w:line="240" w:lineRule="auto"/>
              <w:ind w:firstLine="0" w:firstLineChars="0"/>
              <w:jc w:val="center"/>
              <w:rPr>
                <w:sz w:val="21"/>
                <w:szCs w:val="21"/>
                <w:highlight w:val="none"/>
              </w:rPr>
            </w:pPr>
            <w:r>
              <w:rPr>
                <w:rFonts w:hint="eastAsia"/>
                <w:sz w:val="21"/>
                <w:szCs w:val="21"/>
                <w:highlight w:val="none"/>
              </w:rPr>
              <w:t>/</w:t>
            </w:r>
          </w:p>
        </w:tc>
        <w:tc>
          <w:tcPr>
            <w:tcW w:w="962" w:type="dxa"/>
            <w:vAlign w:val="center"/>
          </w:tcPr>
          <w:p w14:paraId="0D77690D">
            <w:pPr>
              <w:spacing w:line="240" w:lineRule="auto"/>
              <w:ind w:firstLine="0" w:firstLineChars="0"/>
              <w:jc w:val="center"/>
              <w:rPr>
                <w:sz w:val="21"/>
                <w:szCs w:val="21"/>
                <w:highlight w:val="none"/>
              </w:rPr>
            </w:pPr>
            <w:r>
              <w:rPr>
                <w:rFonts w:hint="eastAsia"/>
                <w:sz w:val="21"/>
                <w:szCs w:val="21"/>
                <w:highlight w:val="none"/>
              </w:rPr>
              <w:t>/</w:t>
            </w:r>
          </w:p>
        </w:tc>
        <w:tc>
          <w:tcPr>
            <w:tcW w:w="718" w:type="dxa"/>
            <w:vAlign w:val="center"/>
          </w:tcPr>
          <w:p w14:paraId="3905DDC8">
            <w:pPr>
              <w:spacing w:line="240" w:lineRule="auto"/>
              <w:ind w:firstLine="0" w:firstLineChars="0"/>
              <w:jc w:val="center"/>
              <w:rPr>
                <w:sz w:val="21"/>
                <w:szCs w:val="21"/>
                <w:highlight w:val="none"/>
              </w:rPr>
            </w:pPr>
            <w:r>
              <w:rPr>
                <w:rFonts w:hint="eastAsia"/>
                <w:sz w:val="21"/>
                <w:szCs w:val="21"/>
                <w:highlight w:val="none"/>
              </w:rPr>
              <w:t>/</w:t>
            </w:r>
          </w:p>
        </w:tc>
      </w:tr>
      <w:tr w14:paraId="39CD0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restart"/>
            <w:noWrap/>
            <w:vAlign w:val="center"/>
          </w:tcPr>
          <w:p w14:paraId="74F7FD0F">
            <w:pPr>
              <w:spacing w:line="240" w:lineRule="auto"/>
              <w:ind w:firstLine="0" w:firstLineChars="0"/>
              <w:jc w:val="center"/>
              <w:rPr>
                <w:sz w:val="21"/>
                <w:szCs w:val="21"/>
                <w:highlight w:val="none"/>
              </w:rPr>
            </w:pPr>
            <w:r>
              <w:rPr>
                <w:rFonts w:hint="eastAsia"/>
                <w:sz w:val="21"/>
                <w:szCs w:val="21"/>
                <w:highlight w:val="none"/>
              </w:rPr>
              <w:t>D</w:t>
            </w:r>
            <w:r>
              <w:rPr>
                <w:sz w:val="21"/>
                <w:szCs w:val="21"/>
                <w:highlight w:val="none"/>
              </w:rPr>
              <w:t>A00</w:t>
            </w:r>
            <w:r>
              <w:rPr>
                <w:rFonts w:hint="eastAsia"/>
                <w:sz w:val="21"/>
                <w:szCs w:val="21"/>
                <w:highlight w:val="none"/>
              </w:rPr>
              <w:t>3</w:t>
            </w:r>
          </w:p>
        </w:tc>
        <w:tc>
          <w:tcPr>
            <w:tcW w:w="1155" w:type="dxa"/>
            <w:noWrap/>
            <w:vAlign w:val="center"/>
          </w:tcPr>
          <w:p w14:paraId="68B418D7">
            <w:pPr>
              <w:spacing w:line="240" w:lineRule="auto"/>
              <w:ind w:firstLine="0" w:firstLineChars="0"/>
              <w:jc w:val="center"/>
              <w:rPr>
                <w:rFonts w:hAnsi="宋体"/>
                <w:sz w:val="21"/>
                <w:szCs w:val="21"/>
                <w:highlight w:val="none"/>
              </w:rPr>
            </w:pPr>
            <w:r>
              <w:rPr>
                <w:rFonts w:hint="eastAsia" w:hAnsi="宋体"/>
                <w:sz w:val="21"/>
                <w:szCs w:val="21"/>
                <w:highlight w:val="none"/>
              </w:rPr>
              <w:t>活化</w:t>
            </w:r>
          </w:p>
        </w:tc>
        <w:tc>
          <w:tcPr>
            <w:tcW w:w="1292" w:type="dxa"/>
            <w:noWrap/>
            <w:vAlign w:val="center"/>
          </w:tcPr>
          <w:p w14:paraId="6029DBA0">
            <w:pPr>
              <w:spacing w:line="240" w:lineRule="auto"/>
              <w:ind w:firstLine="0" w:firstLineChars="0"/>
              <w:jc w:val="center"/>
              <w:rPr>
                <w:sz w:val="21"/>
                <w:szCs w:val="21"/>
                <w:highlight w:val="none"/>
                <w:lang w:val="pt-BR"/>
              </w:rPr>
            </w:pPr>
            <w:r>
              <w:rPr>
                <w:rFonts w:hint="eastAsia"/>
                <w:sz w:val="21"/>
                <w:szCs w:val="21"/>
                <w:highlight w:val="none"/>
                <w:lang w:val="pt-BR"/>
              </w:rPr>
              <w:t>硫酸雾</w:t>
            </w:r>
          </w:p>
        </w:tc>
        <w:tc>
          <w:tcPr>
            <w:tcW w:w="858" w:type="dxa"/>
            <w:noWrap/>
            <w:vAlign w:val="center"/>
          </w:tcPr>
          <w:p w14:paraId="40DB7C11">
            <w:pPr>
              <w:spacing w:line="240" w:lineRule="auto"/>
              <w:ind w:firstLine="0" w:firstLineChars="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1.6762</w:t>
            </w:r>
          </w:p>
        </w:tc>
        <w:tc>
          <w:tcPr>
            <w:tcW w:w="859" w:type="dxa"/>
            <w:noWrap/>
            <w:vAlign w:val="center"/>
          </w:tcPr>
          <w:p w14:paraId="3F336414">
            <w:pPr>
              <w:spacing w:line="240" w:lineRule="auto"/>
              <w:ind w:firstLine="0" w:firstLineChars="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1.6427</w:t>
            </w:r>
          </w:p>
        </w:tc>
        <w:tc>
          <w:tcPr>
            <w:tcW w:w="857" w:type="dxa"/>
            <w:noWrap/>
            <w:vAlign w:val="center"/>
          </w:tcPr>
          <w:p w14:paraId="31932D2E">
            <w:pPr>
              <w:spacing w:line="240" w:lineRule="auto"/>
              <w:ind w:firstLine="0" w:firstLineChars="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0.2282</w:t>
            </w:r>
          </w:p>
        </w:tc>
        <w:tc>
          <w:tcPr>
            <w:tcW w:w="1000" w:type="dxa"/>
            <w:noWrap/>
            <w:vAlign w:val="center"/>
          </w:tcPr>
          <w:p w14:paraId="76391659">
            <w:pPr>
              <w:spacing w:line="240" w:lineRule="auto"/>
              <w:ind w:firstLine="0" w:firstLineChars="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13.72</w:t>
            </w:r>
          </w:p>
        </w:tc>
        <w:tc>
          <w:tcPr>
            <w:tcW w:w="1145" w:type="dxa"/>
            <w:vMerge w:val="restart"/>
            <w:noWrap/>
            <w:vAlign w:val="center"/>
          </w:tcPr>
          <w:p w14:paraId="071B4FF8">
            <w:pPr>
              <w:spacing w:line="240" w:lineRule="auto"/>
              <w:ind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两级碱喷淋吸收塔(</w:t>
            </w:r>
            <w:r>
              <w:rPr>
                <w:rFonts w:hint="eastAsia"/>
                <w:color w:val="000000" w:themeColor="text1"/>
                <w:sz w:val="21"/>
                <w:szCs w:val="21"/>
                <w:highlight w:val="none"/>
                <w:lang w:val="en-US" w:eastAsia="zh-CN"/>
                <w14:textFill>
                  <w14:solidFill>
                    <w14:schemeClr w14:val="tx1"/>
                  </w14:solidFill>
                </w14:textFill>
              </w:rPr>
              <w:t>TA003</w:t>
            </w:r>
            <w:r>
              <w:rPr>
                <w:color w:val="000000" w:themeColor="text1"/>
                <w:sz w:val="21"/>
                <w:szCs w:val="21"/>
                <w:highlight w:val="none"/>
                <w14:textFill>
                  <w14:solidFill>
                    <w14:schemeClr w14:val="tx1"/>
                  </w14:solidFill>
                </w14:textFill>
              </w:rPr>
              <w:t>)</w:t>
            </w:r>
          </w:p>
        </w:tc>
        <w:tc>
          <w:tcPr>
            <w:tcW w:w="1016" w:type="dxa"/>
            <w:vAlign w:val="center"/>
          </w:tcPr>
          <w:p w14:paraId="3DD7857B">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16632</w:t>
            </w:r>
          </w:p>
        </w:tc>
        <w:tc>
          <w:tcPr>
            <w:tcW w:w="706" w:type="dxa"/>
            <w:vMerge w:val="restart"/>
            <w:vAlign w:val="center"/>
          </w:tcPr>
          <w:p w14:paraId="65056EE2">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17007</w:t>
            </w:r>
          </w:p>
        </w:tc>
        <w:tc>
          <w:tcPr>
            <w:tcW w:w="742" w:type="dxa"/>
            <w:noWrap/>
            <w:vAlign w:val="center"/>
          </w:tcPr>
          <w:p w14:paraId="0009A1B1">
            <w:pPr>
              <w:spacing w:line="240" w:lineRule="auto"/>
              <w:ind w:firstLine="0" w:firstLineChars="0"/>
              <w:jc w:val="center"/>
              <w:rPr>
                <w:color w:val="00B0F0"/>
                <w:sz w:val="21"/>
                <w:szCs w:val="21"/>
                <w:highlight w:val="none"/>
              </w:rPr>
            </w:pPr>
            <w:r>
              <w:rPr>
                <w:rFonts w:hint="eastAsia"/>
                <w:color w:val="000000" w:themeColor="text1"/>
                <w:sz w:val="21"/>
                <w:szCs w:val="21"/>
                <w:highlight w:val="none"/>
                <w14:textFill>
                  <w14:solidFill>
                    <w14:schemeClr w14:val="tx1"/>
                  </w14:solidFill>
                </w14:textFill>
              </w:rPr>
              <w:t>90</w:t>
            </w:r>
          </w:p>
        </w:tc>
        <w:tc>
          <w:tcPr>
            <w:tcW w:w="962" w:type="dxa"/>
            <w:noWrap/>
            <w:vAlign w:val="center"/>
          </w:tcPr>
          <w:p w14:paraId="0C8CC072">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0.1643</w:t>
            </w:r>
          </w:p>
        </w:tc>
        <w:tc>
          <w:tcPr>
            <w:tcW w:w="961" w:type="dxa"/>
            <w:noWrap/>
            <w:vAlign w:val="center"/>
          </w:tcPr>
          <w:p w14:paraId="0EBF9149">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0.0228</w:t>
            </w:r>
          </w:p>
        </w:tc>
        <w:tc>
          <w:tcPr>
            <w:tcW w:w="962" w:type="dxa"/>
            <w:vAlign w:val="center"/>
          </w:tcPr>
          <w:p w14:paraId="663563AB">
            <w:pPr>
              <w:spacing w:line="240" w:lineRule="auto"/>
              <w:ind w:firstLine="0" w:firstLineChars="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1.37</w:t>
            </w:r>
          </w:p>
        </w:tc>
        <w:tc>
          <w:tcPr>
            <w:tcW w:w="718" w:type="dxa"/>
            <w:vAlign w:val="center"/>
          </w:tcPr>
          <w:p w14:paraId="293D9013">
            <w:pPr>
              <w:spacing w:line="240" w:lineRule="auto"/>
              <w:ind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7200</w:t>
            </w:r>
          </w:p>
        </w:tc>
      </w:tr>
      <w:tr w14:paraId="79A038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continue"/>
            <w:noWrap/>
            <w:vAlign w:val="center"/>
          </w:tcPr>
          <w:p w14:paraId="1FF35BC8">
            <w:pPr>
              <w:spacing w:line="240" w:lineRule="auto"/>
              <w:ind w:firstLine="0" w:firstLineChars="0"/>
              <w:jc w:val="center"/>
              <w:rPr>
                <w:sz w:val="21"/>
                <w:szCs w:val="21"/>
                <w:highlight w:val="none"/>
              </w:rPr>
            </w:pPr>
          </w:p>
        </w:tc>
        <w:tc>
          <w:tcPr>
            <w:tcW w:w="1155" w:type="dxa"/>
            <w:noWrap/>
            <w:vAlign w:val="center"/>
          </w:tcPr>
          <w:p w14:paraId="5614DD00">
            <w:pPr>
              <w:spacing w:line="240" w:lineRule="auto"/>
              <w:ind w:firstLine="0" w:firstLineChars="0"/>
              <w:jc w:val="center"/>
              <w:rPr>
                <w:rFonts w:hAnsi="宋体"/>
                <w:sz w:val="21"/>
                <w:szCs w:val="21"/>
                <w:highlight w:val="none"/>
              </w:rPr>
            </w:pPr>
            <w:r>
              <w:rPr>
                <w:rFonts w:hint="eastAsia" w:hAnsi="宋体"/>
                <w:sz w:val="21"/>
                <w:szCs w:val="21"/>
                <w:highlight w:val="none"/>
              </w:rPr>
              <w:t>槽液调配</w:t>
            </w:r>
          </w:p>
        </w:tc>
        <w:tc>
          <w:tcPr>
            <w:tcW w:w="1292" w:type="dxa"/>
            <w:noWrap/>
            <w:vAlign w:val="center"/>
          </w:tcPr>
          <w:p w14:paraId="796F1E91">
            <w:pPr>
              <w:spacing w:line="240" w:lineRule="auto"/>
              <w:ind w:firstLine="0" w:firstLineChars="0"/>
              <w:jc w:val="center"/>
              <w:rPr>
                <w:sz w:val="21"/>
                <w:szCs w:val="21"/>
                <w:highlight w:val="none"/>
                <w:lang w:val="pt-BR"/>
              </w:rPr>
            </w:pPr>
            <w:r>
              <w:rPr>
                <w:rFonts w:hint="eastAsia"/>
                <w:sz w:val="21"/>
                <w:szCs w:val="21"/>
                <w:highlight w:val="none"/>
                <w:lang w:val="pt-BR"/>
              </w:rPr>
              <w:t>硫酸雾</w:t>
            </w:r>
          </w:p>
        </w:tc>
        <w:tc>
          <w:tcPr>
            <w:tcW w:w="858" w:type="dxa"/>
            <w:noWrap/>
            <w:vAlign w:val="center"/>
          </w:tcPr>
          <w:p w14:paraId="36F48B26">
            <w:pPr>
              <w:spacing w:line="240" w:lineRule="auto"/>
              <w:ind w:firstLine="0" w:firstLineChars="0"/>
              <w:jc w:val="center"/>
              <w:rPr>
                <w:sz w:val="21"/>
                <w:szCs w:val="21"/>
                <w:highlight w:val="none"/>
              </w:rPr>
            </w:pPr>
            <w:r>
              <w:rPr>
                <w:rFonts w:hint="eastAsia"/>
                <w:sz w:val="21"/>
                <w:szCs w:val="21"/>
                <w:highlight w:val="none"/>
              </w:rPr>
              <w:t>/</w:t>
            </w:r>
          </w:p>
        </w:tc>
        <w:tc>
          <w:tcPr>
            <w:tcW w:w="859" w:type="dxa"/>
            <w:noWrap/>
            <w:vAlign w:val="center"/>
          </w:tcPr>
          <w:p w14:paraId="5E8B0EFD">
            <w:pPr>
              <w:spacing w:line="240" w:lineRule="auto"/>
              <w:ind w:firstLine="0" w:firstLineChars="0"/>
              <w:jc w:val="center"/>
              <w:rPr>
                <w:sz w:val="21"/>
                <w:szCs w:val="21"/>
                <w:highlight w:val="none"/>
              </w:rPr>
            </w:pPr>
            <w:r>
              <w:rPr>
                <w:rFonts w:hint="eastAsia"/>
                <w:sz w:val="21"/>
                <w:szCs w:val="21"/>
                <w:highlight w:val="none"/>
              </w:rPr>
              <w:t>/</w:t>
            </w:r>
          </w:p>
        </w:tc>
        <w:tc>
          <w:tcPr>
            <w:tcW w:w="857" w:type="dxa"/>
            <w:noWrap/>
            <w:vAlign w:val="center"/>
          </w:tcPr>
          <w:p w14:paraId="17CAE61D">
            <w:pPr>
              <w:spacing w:line="240" w:lineRule="auto"/>
              <w:ind w:firstLine="0" w:firstLineChars="0"/>
              <w:jc w:val="center"/>
              <w:rPr>
                <w:sz w:val="21"/>
                <w:szCs w:val="21"/>
                <w:highlight w:val="none"/>
              </w:rPr>
            </w:pPr>
            <w:r>
              <w:rPr>
                <w:rFonts w:hint="eastAsia"/>
                <w:sz w:val="21"/>
                <w:szCs w:val="21"/>
                <w:highlight w:val="none"/>
              </w:rPr>
              <w:t>/</w:t>
            </w:r>
          </w:p>
        </w:tc>
        <w:tc>
          <w:tcPr>
            <w:tcW w:w="1000" w:type="dxa"/>
            <w:noWrap/>
            <w:vAlign w:val="center"/>
          </w:tcPr>
          <w:p w14:paraId="5DEAB715">
            <w:pPr>
              <w:spacing w:line="240" w:lineRule="auto"/>
              <w:ind w:firstLine="0" w:firstLineChars="0"/>
              <w:jc w:val="center"/>
              <w:rPr>
                <w:sz w:val="21"/>
                <w:szCs w:val="21"/>
                <w:highlight w:val="none"/>
              </w:rPr>
            </w:pPr>
            <w:r>
              <w:rPr>
                <w:rFonts w:hint="eastAsia"/>
                <w:sz w:val="21"/>
                <w:szCs w:val="21"/>
                <w:highlight w:val="none"/>
              </w:rPr>
              <w:t>/</w:t>
            </w:r>
          </w:p>
        </w:tc>
        <w:tc>
          <w:tcPr>
            <w:tcW w:w="1145" w:type="dxa"/>
            <w:vMerge w:val="continue"/>
            <w:noWrap/>
            <w:vAlign w:val="center"/>
          </w:tcPr>
          <w:p w14:paraId="107E8496">
            <w:pPr>
              <w:spacing w:line="240" w:lineRule="auto"/>
              <w:ind w:firstLine="0" w:firstLineChars="0"/>
              <w:jc w:val="center"/>
              <w:rPr>
                <w:sz w:val="21"/>
                <w:szCs w:val="21"/>
                <w:highlight w:val="yellow"/>
              </w:rPr>
            </w:pPr>
          </w:p>
        </w:tc>
        <w:tc>
          <w:tcPr>
            <w:tcW w:w="1016" w:type="dxa"/>
            <w:vAlign w:val="center"/>
          </w:tcPr>
          <w:p w14:paraId="60B12DCE">
            <w:pPr>
              <w:spacing w:line="240" w:lineRule="auto"/>
              <w:ind w:firstLine="0" w:firstLineChars="0"/>
              <w:jc w:val="center"/>
              <w:rPr>
                <w:rFonts w:hint="default"/>
                <w:sz w:val="21"/>
                <w:szCs w:val="21"/>
                <w:highlight w:val="none"/>
                <w:lang w:val="en-US"/>
              </w:rPr>
            </w:pPr>
            <w:r>
              <w:rPr>
                <w:rFonts w:hint="eastAsia"/>
                <w:sz w:val="21"/>
                <w:szCs w:val="21"/>
                <w:highlight w:val="none"/>
                <w:lang w:val="en-US" w:eastAsia="zh-CN"/>
              </w:rPr>
              <w:t>375</w:t>
            </w:r>
          </w:p>
        </w:tc>
        <w:tc>
          <w:tcPr>
            <w:tcW w:w="706" w:type="dxa"/>
            <w:vMerge w:val="continue"/>
            <w:vAlign w:val="center"/>
          </w:tcPr>
          <w:p w14:paraId="08372456">
            <w:pPr>
              <w:spacing w:line="240" w:lineRule="auto"/>
              <w:ind w:firstLine="0" w:firstLineChars="0"/>
              <w:jc w:val="center"/>
              <w:rPr>
                <w:sz w:val="21"/>
                <w:szCs w:val="21"/>
                <w:highlight w:val="none"/>
              </w:rPr>
            </w:pPr>
          </w:p>
        </w:tc>
        <w:tc>
          <w:tcPr>
            <w:tcW w:w="742" w:type="dxa"/>
            <w:noWrap/>
            <w:vAlign w:val="center"/>
          </w:tcPr>
          <w:p w14:paraId="4679AB51">
            <w:pPr>
              <w:spacing w:line="240" w:lineRule="auto"/>
              <w:ind w:firstLine="0" w:firstLineChars="0"/>
              <w:jc w:val="center"/>
              <w:rPr>
                <w:sz w:val="21"/>
                <w:szCs w:val="21"/>
                <w:highlight w:val="none"/>
              </w:rPr>
            </w:pPr>
            <w:r>
              <w:rPr>
                <w:rFonts w:hint="eastAsia"/>
                <w:sz w:val="21"/>
                <w:szCs w:val="21"/>
                <w:highlight w:val="none"/>
              </w:rPr>
              <w:t>/</w:t>
            </w:r>
          </w:p>
        </w:tc>
        <w:tc>
          <w:tcPr>
            <w:tcW w:w="962" w:type="dxa"/>
            <w:noWrap/>
            <w:vAlign w:val="center"/>
          </w:tcPr>
          <w:p w14:paraId="44AE257B">
            <w:pPr>
              <w:spacing w:line="240" w:lineRule="auto"/>
              <w:ind w:firstLine="0" w:firstLineChars="0"/>
              <w:jc w:val="center"/>
              <w:rPr>
                <w:sz w:val="21"/>
                <w:szCs w:val="21"/>
                <w:highlight w:val="none"/>
              </w:rPr>
            </w:pPr>
            <w:r>
              <w:rPr>
                <w:rFonts w:hint="eastAsia"/>
                <w:sz w:val="21"/>
                <w:szCs w:val="21"/>
                <w:highlight w:val="none"/>
              </w:rPr>
              <w:t>/</w:t>
            </w:r>
          </w:p>
        </w:tc>
        <w:tc>
          <w:tcPr>
            <w:tcW w:w="961" w:type="dxa"/>
            <w:noWrap/>
            <w:vAlign w:val="center"/>
          </w:tcPr>
          <w:p w14:paraId="67E0BE77">
            <w:pPr>
              <w:spacing w:line="240" w:lineRule="auto"/>
              <w:ind w:firstLine="0" w:firstLineChars="0"/>
              <w:jc w:val="center"/>
              <w:rPr>
                <w:sz w:val="21"/>
                <w:szCs w:val="21"/>
                <w:highlight w:val="none"/>
              </w:rPr>
            </w:pPr>
            <w:r>
              <w:rPr>
                <w:rFonts w:hint="eastAsia"/>
                <w:sz w:val="21"/>
                <w:szCs w:val="21"/>
                <w:highlight w:val="none"/>
              </w:rPr>
              <w:t>/</w:t>
            </w:r>
          </w:p>
        </w:tc>
        <w:tc>
          <w:tcPr>
            <w:tcW w:w="962" w:type="dxa"/>
            <w:vAlign w:val="center"/>
          </w:tcPr>
          <w:p w14:paraId="33F7D2D1">
            <w:pPr>
              <w:spacing w:line="240" w:lineRule="auto"/>
              <w:ind w:firstLine="0" w:firstLineChars="0"/>
              <w:jc w:val="center"/>
              <w:rPr>
                <w:sz w:val="21"/>
                <w:szCs w:val="21"/>
                <w:highlight w:val="none"/>
              </w:rPr>
            </w:pPr>
            <w:r>
              <w:rPr>
                <w:rFonts w:hint="eastAsia"/>
                <w:sz w:val="21"/>
                <w:szCs w:val="21"/>
                <w:highlight w:val="none"/>
              </w:rPr>
              <w:t>/</w:t>
            </w:r>
          </w:p>
        </w:tc>
        <w:tc>
          <w:tcPr>
            <w:tcW w:w="718" w:type="dxa"/>
            <w:vAlign w:val="center"/>
          </w:tcPr>
          <w:p w14:paraId="455F71DE">
            <w:pPr>
              <w:spacing w:line="240" w:lineRule="auto"/>
              <w:ind w:firstLine="0" w:firstLineChars="0"/>
              <w:jc w:val="center"/>
              <w:rPr>
                <w:sz w:val="21"/>
                <w:szCs w:val="21"/>
                <w:highlight w:val="none"/>
              </w:rPr>
            </w:pPr>
            <w:r>
              <w:rPr>
                <w:rFonts w:hint="eastAsia"/>
                <w:sz w:val="21"/>
                <w:szCs w:val="21"/>
                <w:highlight w:val="none"/>
              </w:rPr>
              <w:t>/</w:t>
            </w:r>
          </w:p>
        </w:tc>
      </w:tr>
      <w:tr w14:paraId="5CD6F3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restart"/>
            <w:noWrap/>
            <w:vAlign w:val="center"/>
          </w:tcPr>
          <w:p w14:paraId="4786E344">
            <w:pPr>
              <w:spacing w:line="240" w:lineRule="auto"/>
              <w:ind w:firstLine="0" w:firstLineChars="0"/>
              <w:jc w:val="center"/>
              <w:rPr>
                <w:rFonts w:hint="eastAsia" w:eastAsia="宋体"/>
                <w:sz w:val="21"/>
                <w:szCs w:val="21"/>
                <w:highlight w:val="none"/>
                <w:lang w:eastAsia="zh-CN"/>
              </w:rPr>
            </w:pPr>
            <w:r>
              <w:rPr>
                <w:rFonts w:hint="eastAsia"/>
                <w:sz w:val="21"/>
                <w:szCs w:val="21"/>
                <w:highlight w:val="none"/>
              </w:rPr>
              <w:t>D</w:t>
            </w:r>
            <w:r>
              <w:rPr>
                <w:sz w:val="21"/>
                <w:szCs w:val="21"/>
                <w:highlight w:val="none"/>
              </w:rPr>
              <w:t>A</w:t>
            </w:r>
            <w:r>
              <w:rPr>
                <w:rFonts w:hint="eastAsia"/>
                <w:sz w:val="21"/>
                <w:szCs w:val="21"/>
                <w:highlight w:val="none"/>
              </w:rPr>
              <w:t>00</w:t>
            </w:r>
            <w:r>
              <w:rPr>
                <w:rFonts w:hint="eastAsia"/>
                <w:sz w:val="21"/>
                <w:szCs w:val="21"/>
                <w:highlight w:val="none"/>
                <w:lang w:val="en-US" w:eastAsia="zh-CN"/>
              </w:rPr>
              <w:t>4</w:t>
            </w:r>
          </w:p>
        </w:tc>
        <w:tc>
          <w:tcPr>
            <w:tcW w:w="1155" w:type="dxa"/>
            <w:vMerge w:val="restart"/>
            <w:noWrap/>
            <w:vAlign w:val="center"/>
          </w:tcPr>
          <w:p w14:paraId="1CC98823">
            <w:pPr>
              <w:spacing w:line="240" w:lineRule="auto"/>
              <w:ind w:firstLine="0" w:firstLineChars="0"/>
              <w:jc w:val="center"/>
              <w:rPr>
                <w:rFonts w:hAnsi="宋体"/>
                <w:sz w:val="21"/>
                <w:szCs w:val="21"/>
                <w:highlight w:val="none"/>
              </w:rPr>
            </w:pPr>
            <w:r>
              <w:rPr>
                <w:rFonts w:hint="eastAsia" w:hAnsi="宋体"/>
                <w:sz w:val="21"/>
                <w:szCs w:val="21"/>
                <w:highlight w:val="none"/>
              </w:rPr>
              <w:t>污水处理站</w:t>
            </w:r>
          </w:p>
        </w:tc>
        <w:tc>
          <w:tcPr>
            <w:tcW w:w="1292" w:type="dxa"/>
            <w:noWrap/>
            <w:vAlign w:val="center"/>
          </w:tcPr>
          <w:p w14:paraId="7A7877C9">
            <w:pPr>
              <w:spacing w:line="240" w:lineRule="auto"/>
              <w:ind w:firstLine="0" w:firstLineChars="0"/>
              <w:jc w:val="center"/>
              <w:rPr>
                <w:sz w:val="21"/>
                <w:szCs w:val="21"/>
                <w:highlight w:val="none"/>
                <w:lang w:val="pt-BR"/>
              </w:rPr>
            </w:pPr>
            <w:r>
              <w:rPr>
                <w:rFonts w:hint="eastAsia"/>
                <w:sz w:val="21"/>
                <w:szCs w:val="21"/>
                <w:highlight w:val="none"/>
                <w:lang w:val="pt-BR"/>
              </w:rPr>
              <w:t>N</w:t>
            </w:r>
            <w:r>
              <w:rPr>
                <w:sz w:val="21"/>
                <w:szCs w:val="21"/>
                <w:highlight w:val="none"/>
                <w:lang w:val="pt-BR"/>
              </w:rPr>
              <w:t>H</w:t>
            </w:r>
            <w:r>
              <w:rPr>
                <w:sz w:val="21"/>
                <w:szCs w:val="21"/>
                <w:highlight w:val="none"/>
                <w:vertAlign w:val="subscript"/>
                <w:lang w:val="pt-BR"/>
              </w:rPr>
              <w:t>3</w:t>
            </w:r>
          </w:p>
        </w:tc>
        <w:tc>
          <w:tcPr>
            <w:tcW w:w="858" w:type="dxa"/>
            <w:noWrap/>
            <w:vAlign w:val="center"/>
          </w:tcPr>
          <w:p w14:paraId="7A984863">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0.0876</w:t>
            </w:r>
          </w:p>
        </w:tc>
        <w:tc>
          <w:tcPr>
            <w:tcW w:w="859" w:type="dxa"/>
            <w:noWrap/>
            <w:vAlign w:val="center"/>
          </w:tcPr>
          <w:p w14:paraId="3F1DED3C">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0.0832</w:t>
            </w:r>
          </w:p>
        </w:tc>
        <w:tc>
          <w:tcPr>
            <w:tcW w:w="857" w:type="dxa"/>
            <w:noWrap/>
            <w:vAlign w:val="center"/>
          </w:tcPr>
          <w:p w14:paraId="7A22E698">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0.0116</w:t>
            </w:r>
          </w:p>
        </w:tc>
        <w:tc>
          <w:tcPr>
            <w:tcW w:w="1000" w:type="dxa"/>
            <w:noWrap/>
            <w:vAlign w:val="center"/>
          </w:tcPr>
          <w:p w14:paraId="27F54038">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11.6</w:t>
            </w:r>
          </w:p>
        </w:tc>
        <w:tc>
          <w:tcPr>
            <w:tcW w:w="1145" w:type="dxa"/>
            <w:vMerge w:val="restart"/>
            <w:noWrap/>
            <w:vAlign w:val="center"/>
          </w:tcPr>
          <w:p w14:paraId="06AD6682">
            <w:pPr>
              <w:spacing w:line="240" w:lineRule="auto"/>
              <w:ind w:firstLine="0" w:firstLineChars="0"/>
              <w:jc w:val="left"/>
              <w:rPr>
                <w:sz w:val="21"/>
                <w:szCs w:val="21"/>
                <w:highlight w:val="none"/>
              </w:rPr>
            </w:pPr>
            <w:r>
              <w:rPr>
                <w:rFonts w:hint="eastAsia"/>
                <w:sz w:val="21"/>
                <w:szCs w:val="21"/>
                <w:highlight w:val="none"/>
              </w:rPr>
              <w:t>生物除臭滤塔</w:t>
            </w:r>
          </w:p>
        </w:tc>
        <w:tc>
          <w:tcPr>
            <w:tcW w:w="1016" w:type="dxa"/>
            <w:vMerge w:val="restart"/>
            <w:vAlign w:val="center"/>
          </w:tcPr>
          <w:p w14:paraId="45424B9D">
            <w:pPr>
              <w:spacing w:line="240" w:lineRule="auto"/>
              <w:ind w:firstLine="0" w:firstLineChars="0"/>
              <w:jc w:val="center"/>
              <w:rPr>
                <w:sz w:val="21"/>
                <w:szCs w:val="21"/>
                <w:highlight w:val="none"/>
              </w:rPr>
            </w:pPr>
            <w:r>
              <w:rPr>
                <w:rFonts w:hint="eastAsia"/>
                <w:sz w:val="21"/>
                <w:szCs w:val="21"/>
                <w:highlight w:val="none"/>
              </w:rPr>
              <w:t>1</w:t>
            </w:r>
            <w:r>
              <w:rPr>
                <w:sz w:val="21"/>
                <w:szCs w:val="21"/>
                <w:highlight w:val="none"/>
              </w:rPr>
              <w:t>000</w:t>
            </w:r>
          </w:p>
        </w:tc>
        <w:tc>
          <w:tcPr>
            <w:tcW w:w="706" w:type="dxa"/>
            <w:vMerge w:val="restart"/>
            <w:vAlign w:val="center"/>
          </w:tcPr>
          <w:p w14:paraId="47AD9808">
            <w:pPr>
              <w:spacing w:line="240" w:lineRule="auto"/>
              <w:ind w:firstLine="0" w:firstLineChars="0"/>
              <w:jc w:val="center"/>
              <w:rPr>
                <w:sz w:val="21"/>
                <w:szCs w:val="21"/>
                <w:highlight w:val="none"/>
              </w:rPr>
            </w:pPr>
            <w:r>
              <w:rPr>
                <w:rFonts w:hint="eastAsia"/>
                <w:sz w:val="21"/>
                <w:szCs w:val="21"/>
                <w:highlight w:val="none"/>
              </w:rPr>
              <w:t>1000</w:t>
            </w:r>
          </w:p>
        </w:tc>
        <w:tc>
          <w:tcPr>
            <w:tcW w:w="742" w:type="dxa"/>
            <w:vMerge w:val="restart"/>
            <w:noWrap/>
            <w:vAlign w:val="center"/>
          </w:tcPr>
          <w:p w14:paraId="24AF6A72">
            <w:pPr>
              <w:spacing w:line="240" w:lineRule="auto"/>
              <w:ind w:firstLine="0" w:firstLineChars="0"/>
              <w:jc w:val="center"/>
              <w:rPr>
                <w:sz w:val="21"/>
                <w:szCs w:val="21"/>
                <w:highlight w:val="none"/>
              </w:rPr>
            </w:pPr>
            <w:r>
              <w:rPr>
                <w:rFonts w:hint="eastAsia"/>
                <w:sz w:val="21"/>
                <w:szCs w:val="21"/>
                <w:highlight w:val="none"/>
              </w:rPr>
              <w:t>90</w:t>
            </w:r>
          </w:p>
        </w:tc>
        <w:tc>
          <w:tcPr>
            <w:tcW w:w="962" w:type="dxa"/>
            <w:noWrap/>
            <w:vAlign w:val="center"/>
          </w:tcPr>
          <w:p w14:paraId="78936377">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0.0083</w:t>
            </w:r>
          </w:p>
        </w:tc>
        <w:tc>
          <w:tcPr>
            <w:tcW w:w="961" w:type="dxa"/>
            <w:noWrap/>
            <w:vAlign w:val="center"/>
          </w:tcPr>
          <w:p w14:paraId="495BB415">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0.0012</w:t>
            </w:r>
          </w:p>
        </w:tc>
        <w:tc>
          <w:tcPr>
            <w:tcW w:w="962" w:type="dxa"/>
            <w:vAlign w:val="center"/>
          </w:tcPr>
          <w:p w14:paraId="5E185A2D">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1.2</w:t>
            </w:r>
          </w:p>
        </w:tc>
        <w:tc>
          <w:tcPr>
            <w:tcW w:w="718" w:type="dxa"/>
            <w:vMerge w:val="restart"/>
            <w:vAlign w:val="center"/>
          </w:tcPr>
          <w:p w14:paraId="6748544D">
            <w:pPr>
              <w:spacing w:line="240" w:lineRule="auto"/>
              <w:ind w:firstLine="0" w:firstLineChars="0"/>
              <w:jc w:val="center"/>
              <w:rPr>
                <w:sz w:val="21"/>
                <w:szCs w:val="21"/>
                <w:highlight w:val="none"/>
              </w:rPr>
            </w:pPr>
            <w:r>
              <w:rPr>
                <w:rFonts w:hint="eastAsia"/>
                <w:sz w:val="21"/>
                <w:szCs w:val="21"/>
                <w:highlight w:val="none"/>
              </w:rPr>
              <w:t>7200</w:t>
            </w:r>
          </w:p>
        </w:tc>
      </w:tr>
      <w:tr w14:paraId="7AB0D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continue"/>
            <w:noWrap/>
            <w:vAlign w:val="center"/>
          </w:tcPr>
          <w:p w14:paraId="375E511D">
            <w:pPr>
              <w:spacing w:line="240" w:lineRule="auto"/>
              <w:ind w:firstLine="0" w:firstLineChars="0"/>
              <w:jc w:val="center"/>
              <w:rPr>
                <w:sz w:val="21"/>
                <w:szCs w:val="21"/>
                <w:highlight w:val="none"/>
              </w:rPr>
            </w:pPr>
          </w:p>
        </w:tc>
        <w:tc>
          <w:tcPr>
            <w:tcW w:w="1155" w:type="dxa"/>
            <w:vMerge w:val="continue"/>
            <w:noWrap/>
            <w:vAlign w:val="center"/>
          </w:tcPr>
          <w:p w14:paraId="385AA7F4">
            <w:pPr>
              <w:spacing w:line="240" w:lineRule="auto"/>
              <w:ind w:firstLine="0" w:firstLineChars="0"/>
              <w:jc w:val="center"/>
              <w:rPr>
                <w:rFonts w:hAnsi="宋体"/>
                <w:sz w:val="21"/>
                <w:szCs w:val="21"/>
                <w:highlight w:val="none"/>
              </w:rPr>
            </w:pPr>
          </w:p>
        </w:tc>
        <w:tc>
          <w:tcPr>
            <w:tcW w:w="1292" w:type="dxa"/>
            <w:noWrap/>
            <w:vAlign w:val="center"/>
          </w:tcPr>
          <w:p w14:paraId="08EA18B5">
            <w:pPr>
              <w:spacing w:line="240" w:lineRule="auto"/>
              <w:ind w:firstLine="0" w:firstLineChars="0"/>
              <w:jc w:val="center"/>
              <w:rPr>
                <w:sz w:val="21"/>
                <w:szCs w:val="21"/>
                <w:highlight w:val="none"/>
                <w:lang w:val="pt-BR"/>
              </w:rPr>
            </w:pPr>
            <w:r>
              <w:rPr>
                <w:rFonts w:hint="eastAsia"/>
                <w:sz w:val="21"/>
                <w:szCs w:val="21"/>
                <w:highlight w:val="none"/>
                <w:lang w:val="pt-BR"/>
              </w:rPr>
              <w:t>H</w:t>
            </w:r>
            <w:r>
              <w:rPr>
                <w:sz w:val="21"/>
                <w:szCs w:val="21"/>
                <w:highlight w:val="none"/>
                <w:vertAlign w:val="subscript"/>
                <w:lang w:val="pt-BR"/>
              </w:rPr>
              <w:t>2</w:t>
            </w:r>
            <w:r>
              <w:rPr>
                <w:sz w:val="21"/>
                <w:szCs w:val="21"/>
                <w:highlight w:val="none"/>
                <w:lang w:val="pt-BR"/>
              </w:rPr>
              <w:t>S</w:t>
            </w:r>
          </w:p>
        </w:tc>
        <w:tc>
          <w:tcPr>
            <w:tcW w:w="858" w:type="dxa"/>
            <w:noWrap/>
            <w:vAlign w:val="center"/>
          </w:tcPr>
          <w:p w14:paraId="17C27BCC">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0.00042</w:t>
            </w:r>
          </w:p>
        </w:tc>
        <w:tc>
          <w:tcPr>
            <w:tcW w:w="859" w:type="dxa"/>
            <w:noWrap/>
            <w:vAlign w:val="center"/>
          </w:tcPr>
          <w:p w14:paraId="1B1402C0">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0.0004</w:t>
            </w:r>
          </w:p>
        </w:tc>
        <w:tc>
          <w:tcPr>
            <w:tcW w:w="857" w:type="dxa"/>
            <w:noWrap/>
            <w:vAlign w:val="center"/>
          </w:tcPr>
          <w:p w14:paraId="69BA37B8">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0.00006</w:t>
            </w:r>
          </w:p>
        </w:tc>
        <w:tc>
          <w:tcPr>
            <w:tcW w:w="1000" w:type="dxa"/>
            <w:noWrap/>
            <w:vAlign w:val="center"/>
          </w:tcPr>
          <w:p w14:paraId="27F881FC">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0.06</w:t>
            </w:r>
          </w:p>
        </w:tc>
        <w:tc>
          <w:tcPr>
            <w:tcW w:w="1145" w:type="dxa"/>
            <w:vMerge w:val="continue"/>
            <w:noWrap/>
            <w:vAlign w:val="center"/>
          </w:tcPr>
          <w:p w14:paraId="039F68DB">
            <w:pPr>
              <w:spacing w:line="240" w:lineRule="auto"/>
              <w:ind w:firstLine="0" w:firstLineChars="0"/>
              <w:jc w:val="center"/>
              <w:rPr>
                <w:sz w:val="21"/>
                <w:szCs w:val="21"/>
                <w:highlight w:val="none"/>
              </w:rPr>
            </w:pPr>
          </w:p>
        </w:tc>
        <w:tc>
          <w:tcPr>
            <w:tcW w:w="1016" w:type="dxa"/>
            <w:vMerge w:val="continue"/>
            <w:vAlign w:val="center"/>
          </w:tcPr>
          <w:p w14:paraId="158657E7">
            <w:pPr>
              <w:spacing w:line="240" w:lineRule="auto"/>
              <w:ind w:firstLine="0" w:firstLineChars="0"/>
              <w:jc w:val="center"/>
              <w:rPr>
                <w:sz w:val="21"/>
                <w:szCs w:val="21"/>
                <w:highlight w:val="none"/>
              </w:rPr>
            </w:pPr>
          </w:p>
        </w:tc>
        <w:tc>
          <w:tcPr>
            <w:tcW w:w="706" w:type="dxa"/>
            <w:vMerge w:val="continue"/>
            <w:vAlign w:val="center"/>
          </w:tcPr>
          <w:p w14:paraId="5DE6F130">
            <w:pPr>
              <w:spacing w:line="240" w:lineRule="auto"/>
              <w:ind w:firstLine="0" w:firstLineChars="0"/>
              <w:jc w:val="center"/>
              <w:rPr>
                <w:sz w:val="21"/>
                <w:szCs w:val="21"/>
                <w:highlight w:val="none"/>
              </w:rPr>
            </w:pPr>
          </w:p>
        </w:tc>
        <w:tc>
          <w:tcPr>
            <w:tcW w:w="742" w:type="dxa"/>
            <w:vMerge w:val="continue"/>
            <w:noWrap/>
            <w:vAlign w:val="center"/>
          </w:tcPr>
          <w:p w14:paraId="7FBFA815">
            <w:pPr>
              <w:spacing w:line="240" w:lineRule="auto"/>
              <w:ind w:firstLine="0" w:firstLineChars="0"/>
              <w:jc w:val="center"/>
              <w:rPr>
                <w:sz w:val="21"/>
                <w:szCs w:val="21"/>
                <w:highlight w:val="none"/>
              </w:rPr>
            </w:pPr>
          </w:p>
        </w:tc>
        <w:tc>
          <w:tcPr>
            <w:tcW w:w="962" w:type="dxa"/>
            <w:noWrap/>
            <w:vAlign w:val="center"/>
          </w:tcPr>
          <w:p w14:paraId="76A0322D">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0.00004</w:t>
            </w:r>
          </w:p>
        </w:tc>
        <w:tc>
          <w:tcPr>
            <w:tcW w:w="961" w:type="dxa"/>
            <w:noWrap/>
            <w:vAlign w:val="center"/>
          </w:tcPr>
          <w:p w14:paraId="7AB1CE9F">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0.000006</w:t>
            </w:r>
          </w:p>
        </w:tc>
        <w:tc>
          <w:tcPr>
            <w:tcW w:w="962" w:type="dxa"/>
            <w:vAlign w:val="center"/>
          </w:tcPr>
          <w:p w14:paraId="1250A7B8">
            <w:pPr>
              <w:spacing w:line="240" w:lineRule="auto"/>
              <w:ind w:firstLine="0" w:firstLineChars="0"/>
              <w:jc w:val="center"/>
              <w:rPr>
                <w:rFonts w:hint="eastAsia"/>
                <w:sz w:val="21"/>
                <w:szCs w:val="21"/>
                <w:highlight w:val="none"/>
                <w:lang w:val="en-US" w:eastAsia="zh-CN"/>
              </w:rPr>
            </w:pPr>
            <w:r>
              <w:rPr>
                <w:rFonts w:hint="default"/>
                <w:sz w:val="21"/>
                <w:szCs w:val="21"/>
                <w:highlight w:val="none"/>
                <w:lang w:val="en-US" w:eastAsia="zh-CN"/>
              </w:rPr>
              <w:t>0.006</w:t>
            </w:r>
          </w:p>
        </w:tc>
        <w:tc>
          <w:tcPr>
            <w:tcW w:w="718" w:type="dxa"/>
            <w:vMerge w:val="continue"/>
            <w:vAlign w:val="center"/>
          </w:tcPr>
          <w:p w14:paraId="3B3EFE5C">
            <w:pPr>
              <w:spacing w:line="240" w:lineRule="auto"/>
              <w:ind w:firstLine="0" w:firstLineChars="0"/>
              <w:jc w:val="center"/>
              <w:rPr>
                <w:sz w:val="21"/>
                <w:szCs w:val="21"/>
                <w:highlight w:val="yellow"/>
              </w:rPr>
            </w:pPr>
          </w:p>
        </w:tc>
      </w:tr>
      <w:tr w14:paraId="4AC18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45" w:type="dxa"/>
            <w:vMerge w:val="continue"/>
            <w:noWrap/>
            <w:vAlign w:val="center"/>
          </w:tcPr>
          <w:p w14:paraId="2D397B83">
            <w:pPr>
              <w:spacing w:line="240" w:lineRule="auto"/>
              <w:ind w:firstLine="0" w:firstLineChars="0"/>
              <w:jc w:val="center"/>
              <w:rPr>
                <w:sz w:val="21"/>
                <w:szCs w:val="21"/>
                <w:highlight w:val="none"/>
              </w:rPr>
            </w:pPr>
          </w:p>
        </w:tc>
        <w:tc>
          <w:tcPr>
            <w:tcW w:w="1155" w:type="dxa"/>
            <w:vMerge w:val="continue"/>
            <w:noWrap/>
            <w:vAlign w:val="center"/>
          </w:tcPr>
          <w:p w14:paraId="11442423">
            <w:pPr>
              <w:spacing w:line="240" w:lineRule="auto"/>
              <w:ind w:firstLine="0" w:firstLineChars="0"/>
              <w:jc w:val="center"/>
              <w:rPr>
                <w:rFonts w:hAnsi="宋体"/>
                <w:sz w:val="21"/>
                <w:szCs w:val="21"/>
                <w:highlight w:val="none"/>
              </w:rPr>
            </w:pPr>
          </w:p>
        </w:tc>
        <w:tc>
          <w:tcPr>
            <w:tcW w:w="1292" w:type="dxa"/>
            <w:noWrap/>
            <w:vAlign w:val="center"/>
          </w:tcPr>
          <w:p w14:paraId="7E2B1A7E">
            <w:pPr>
              <w:spacing w:line="240" w:lineRule="auto"/>
              <w:ind w:firstLine="0" w:firstLineChars="0"/>
              <w:jc w:val="center"/>
              <w:rPr>
                <w:sz w:val="21"/>
                <w:szCs w:val="21"/>
                <w:highlight w:val="none"/>
                <w:lang w:val="pt-BR"/>
              </w:rPr>
            </w:pPr>
            <w:r>
              <w:rPr>
                <w:rFonts w:hint="eastAsia"/>
                <w:sz w:val="21"/>
                <w:szCs w:val="21"/>
                <w:highlight w:val="none"/>
                <w:lang w:val="pt-BR"/>
              </w:rPr>
              <w:t>臭气浓度</w:t>
            </w:r>
          </w:p>
        </w:tc>
        <w:tc>
          <w:tcPr>
            <w:tcW w:w="3574" w:type="dxa"/>
            <w:gridSpan w:val="4"/>
            <w:noWrap/>
            <w:vAlign w:val="center"/>
          </w:tcPr>
          <w:p w14:paraId="5A1C7A97">
            <w:pPr>
              <w:spacing w:line="240" w:lineRule="auto"/>
              <w:ind w:firstLine="0" w:firstLineChars="0"/>
              <w:jc w:val="center"/>
              <w:rPr>
                <w:sz w:val="21"/>
                <w:szCs w:val="21"/>
                <w:highlight w:val="none"/>
              </w:rPr>
            </w:pPr>
            <w:r>
              <w:rPr>
                <w:rFonts w:hint="eastAsia"/>
                <w:sz w:val="21"/>
                <w:szCs w:val="21"/>
                <w:highlight w:val="none"/>
              </w:rPr>
              <w:t>5000</w:t>
            </w:r>
          </w:p>
        </w:tc>
        <w:tc>
          <w:tcPr>
            <w:tcW w:w="1145" w:type="dxa"/>
            <w:vMerge w:val="continue"/>
            <w:noWrap/>
            <w:vAlign w:val="center"/>
          </w:tcPr>
          <w:p w14:paraId="1197D038">
            <w:pPr>
              <w:spacing w:line="240" w:lineRule="auto"/>
              <w:ind w:firstLine="0" w:firstLineChars="0"/>
              <w:jc w:val="center"/>
              <w:rPr>
                <w:sz w:val="21"/>
                <w:szCs w:val="21"/>
                <w:highlight w:val="none"/>
              </w:rPr>
            </w:pPr>
          </w:p>
        </w:tc>
        <w:tc>
          <w:tcPr>
            <w:tcW w:w="1016" w:type="dxa"/>
            <w:vMerge w:val="continue"/>
            <w:vAlign w:val="center"/>
          </w:tcPr>
          <w:p w14:paraId="081BB443">
            <w:pPr>
              <w:spacing w:line="240" w:lineRule="auto"/>
              <w:ind w:firstLine="0" w:firstLineChars="0"/>
              <w:jc w:val="center"/>
              <w:rPr>
                <w:sz w:val="21"/>
                <w:szCs w:val="21"/>
                <w:highlight w:val="none"/>
              </w:rPr>
            </w:pPr>
          </w:p>
        </w:tc>
        <w:tc>
          <w:tcPr>
            <w:tcW w:w="706" w:type="dxa"/>
            <w:vMerge w:val="continue"/>
            <w:vAlign w:val="center"/>
          </w:tcPr>
          <w:p w14:paraId="5215FE56">
            <w:pPr>
              <w:spacing w:line="240" w:lineRule="auto"/>
              <w:ind w:firstLine="0" w:firstLineChars="0"/>
              <w:jc w:val="center"/>
              <w:rPr>
                <w:sz w:val="21"/>
                <w:szCs w:val="21"/>
                <w:highlight w:val="none"/>
              </w:rPr>
            </w:pPr>
          </w:p>
        </w:tc>
        <w:tc>
          <w:tcPr>
            <w:tcW w:w="742" w:type="dxa"/>
            <w:vMerge w:val="continue"/>
            <w:noWrap/>
            <w:vAlign w:val="center"/>
          </w:tcPr>
          <w:p w14:paraId="6FC8049B">
            <w:pPr>
              <w:spacing w:line="240" w:lineRule="auto"/>
              <w:ind w:firstLine="0" w:firstLineChars="0"/>
              <w:jc w:val="center"/>
              <w:rPr>
                <w:sz w:val="21"/>
                <w:szCs w:val="21"/>
                <w:highlight w:val="none"/>
              </w:rPr>
            </w:pPr>
          </w:p>
        </w:tc>
        <w:tc>
          <w:tcPr>
            <w:tcW w:w="2885" w:type="dxa"/>
            <w:gridSpan w:val="3"/>
            <w:noWrap/>
            <w:vAlign w:val="center"/>
          </w:tcPr>
          <w:p w14:paraId="0345ACA2">
            <w:pPr>
              <w:spacing w:line="240" w:lineRule="auto"/>
              <w:ind w:firstLine="0" w:firstLineChars="0"/>
              <w:jc w:val="center"/>
              <w:rPr>
                <w:sz w:val="21"/>
                <w:szCs w:val="21"/>
                <w:highlight w:val="none"/>
              </w:rPr>
            </w:pPr>
            <w:r>
              <w:rPr>
                <w:rFonts w:hint="eastAsia"/>
                <w:sz w:val="21"/>
                <w:szCs w:val="21"/>
                <w:highlight w:val="none"/>
              </w:rPr>
              <w:t>500</w:t>
            </w:r>
          </w:p>
        </w:tc>
        <w:tc>
          <w:tcPr>
            <w:tcW w:w="718" w:type="dxa"/>
            <w:vMerge w:val="continue"/>
            <w:vAlign w:val="center"/>
          </w:tcPr>
          <w:p w14:paraId="22FC792D">
            <w:pPr>
              <w:spacing w:line="240" w:lineRule="auto"/>
              <w:ind w:firstLine="0" w:firstLineChars="0"/>
              <w:jc w:val="center"/>
              <w:rPr>
                <w:sz w:val="21"/>
                <w:szCs w:val="21"/>
                <w:highlight w:val="yellow"/>
              </w:rPr>
            </w:pPr>
          </w:p>
        </w:tc>
      </w:tr>
    </w:tbl>
    <w:p w14:paraId="5F42CEE2">
      <w:pPr>
        <w:ind w:firstLine="480"/>
      </w:pPr>
      <w:r>
        <w:rPr>
          <w:rFonts w:hint="eastAsia"/>
        </w:rPr>
        <w:t>由上表可知，本项目全厂排气筒中各污染物排放浓度均能够满足</w:t>
      </w:r>
      <w:r>
        <w:t>《电镀污染物排放标准》（GB21900-2008）表5新建企业大气污染物硫酸雾30mg/m</w:t>
      </w:r>
      <w:r>
        <w:rPr>
          <w:vertAlign w:val="superscript"/>
        </w:rPr>
        <w:t>3</w:t>
      </w:r>
      <w:r>
        <w:t>的排放限值</w:t>
      </w:r>
      <w:r>
        <w:rPr>
          <w:rFonts w:hint="eastAsia"/>
        </w:rPr>
        <w:t>要求</w:t>
      </w:r>
      <w:r>
        <w:t>，《河南省重污染天气重点行业应急减排措施制定技术指南（2021年修订）》中A级企业要求电镀生产线硫酸雾排放浓度不超过10mg/m</w:t>
      </w:r>
      <w:r>
        <w:rPr>
          <w:vertAlign w:val="superscript"/>
        </w:rPr>
        <w:t>3</w:t>
      </w:r>
      <w:r>
        <w:t>的排放限值</w:t>
      </w:r>
      <w:r>
        <w:rPr>
          <w:rFonts w:hint="eastAsia"/>
        </w:rPr>
        <w:t>要求，</w:t>
      </w:r>
      <w:r>
        <w:rPr>
          <w:rFonts w:hint="eastAsia"/>
          <w:bCs/>
        </w:rPr>
        <w:t>《恶臭污染物排放标准》（GB14554-93）表2恶臭污染物排放标准值：硫化氢0.33kg/h、氨4.9kg/h、臭气浓度2000（无量纲）的</w:t>
      </w:r>
      <w:r>
        <w:t>排放限值</w:t>
      </w:r>
      <w:r>
        <w:rPr>
          <w:rFonts w:hint="eastAsia"/>
        </w:rPr>
        <w:t>要求。</w:t>
      </w:r>
    </w:p>
    <w:p w14:paraId="050D11CD">
      <w:pPr>
        <w:ind w:firstLine="480"/>
      </w:pPr>
    </w:p>
    <w:p w14:paraId="29517E6E">
      <w:pPr>
        <w:ind w:firstLine="0" w:firstLineChars="0"/>
        <w:sectPr>
          <w:footerReference r:id="rId9"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26" w:charSpace="0"/>
        </w:sectPr>
      </w:pPr>
    </w:p>
    <w:p w14:paraId="46630C60">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3.6.1.</w:t>
      </w:r>
      <w:r>
        <w:rPr>
          <w:rFonts w:hint="eastAsia" w:cs="Times New Roman"/>
          <w:lang w:val="en-US" w:eastAsia="zh-CN"/>
        </w:rPr>
        <w:t>9</w:t>
      </w:r>
      <w:r>
        <w:rPr>
          <w:rFonts w:hint="eastAsia" w:ascii="Times New Roman" w:hAnsi="Times New Roman" w:cs="Times New Roman"/>
          <w:lang w:val="en-US" w:eastAsia="zh-CN"/>
        </w:rPr>
        <w:t>无组织废气</w:t>
      </w:r>
    </w:p>
    <w:p w14:paraId="0634048C">
      <w:pPr>
        <w:ind w:firstLine="480"/>
      </w:pPr>
      <w:r>
        <w:rPr>
          <w:rFonts w:hint="eastAsia"/>
        </w:rPr>
        <w:t>评价提出要求企业易挥发原料应采用密闭容器盛装，密闭化学品库内暂存，化学品库应设置负压抽风装置，废气引入碱喷淋吸收塔进行处理；污水处理系统采用加盖密闭，废气引入生物除臭滤塔进行处理；易挥发原料配制过程中应在密闭配置间内进行，</w:t>
      </w:r>
      <w:r>
        <w:t>加强设备密闭与车间密闭</w:t>
      </w:r>
      <w:r>
        <w:rPr>
          <w:rFonts w:hint="eastAsia"/>
        </w:rPr>
        <w:t>，</w:t>
      </w:r>
      <w:r>
        <w:t>保证废气收集效率</w:t>
      </w:r>
      <w:r>
        <w:rPr>
          <w:rFonts w:hint="eastAsia"/>
        </w:rPr>
        <w:t>，</w:t>
      </w:r>
      <w:r>
        <w:t>尽量减少无组织排放</w:t>
      </w:r>
      <w:r>
        <w:rPr>
          <w:rFonts w:hint="eastAsia"/>
        </w:rPr>
        <w:t>。</w:t>
      </w:r>
    </w:p>
    <w:p w14:paraId="60DE8707">
      <w:pPr>
        <w:ind w:firstLine="480"/>
        <w:rPr>
          <w:rFonts w:hint="eastAsia"/>
          <w:color w:val="000000" w:themeColor="text1"/>
          <w14:textFill>
            <w14:solidFill>
              <w14:schemeClr w14:val="tx1"/>
            </w14:solidFill>
          </w14:textFill>
        </w:rPr>
      </w:pPr>
      <w:r>
        <w:rPr>
          <w:rFonts w:hint="eastAsia"/>
        </w:rPr>
        <w:t>经上述分析可以得出，本项目生产线设计集气效率为98%，综合污水处理站设计集气效率为95%，未被收集的废气以无组织形式排放。经核算，无</w:t>
      </w:r>
      <w:r>
        <w:rPr>
          <w:rFonts w:hint="eastAsia"/>
          <w:color w:val="000000" w:themeColor="text1"/>
          <w14:textFill>
            <w14:solidFill>
              <w14:schemeClr w14:val="tx1"/>
            </w14:solidFill>
          </w14:textFill>
        </w:rPr>
        <w:t>组织废气排放总量为：硫酸雾</w:t>
      </w:r>
      <w:r>
        <w:rPr>
          <w:rFonts w:hint="eastAsia"/>
          <w:color w:val="000000" w:themeColor="text1"/>
          <w:lang w:val="en-US" w:eastAsia="zh-CN"/>
          <w14:textFill>
            <w14:solidFill>
              <w14:schemeClr w14:val="tx1"/>
            </w14:solidFill>
          </w14:textFill>
        </w:rPr>
        <w:t>0.0791</w:t>
      </w:r>
      <w:r>
        <w:rPr>
          <w:rFonts w:hint="eastAsia"/>
          <w:color w:val="000000" w:themeColor="text1"/>
          <w14:textFill>
            <w14:solidFill>
              <w14:schemeClr w14:val="tx1"/>
            </w14:solidFill>
          </w14:textFill>
        </w:rPr>
        <w:t>t/a、H</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S</w:t>
      </w:r>
      <w:r>
        <w:rPr>
          <w:rFonts w:hint="eastAsia"/>
          <w:color w:val="000000" w:themeColor="text1"/>
          <w:lang w:val="en-US" w:eastAsia="zh-CN"/>
          <w14:textFill>
            <w14:solidFill>
              <w14:schemeClr w14:val="tx1"/>
            </w14:solidFill>
          </w14:textFill>
        </w:rPr>
        <w:t xml:space="preserve"> 0.00002</w:t>
      </w:r>
      <w:r>
        <w:rPr>
          <w:rFonts w:hint="eastAsia"/>
          <w:color w:val="000000" w:themeColor="text1"/>
          <w14:textFill>
            <w14:solidFill>
              <w14:schemeClr w14:val="tx1"/>
            </w14:solidFill>
          </w14:textFill>
        </w:rPr>
        <w:t xml:space="preserve"> t/a、N</w:t>
      </w:r>
      <w:r>
        <w:rPr>
          <w:color w:val="000000" w:themeColor="text1"/>
          <w14:textFill>
            <w14:solidFill>
              <w14:schemeClr w14:val="tx1"/>
            </w14:solidFill>
          </w14:textFill>
        </w:rPr>
        <w:t>H</w:t>
      </w:r>
      <w:r>
        <w:rPr>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0.00</w:t>
      </w:r>
      <w:r>
        <w:rPr>
          <w:rFonts w:hint="eastAsia"/>
          <w:color w:val="000000" w:themeColor="text1"/>
          <w:lang w:val="en-US" w:eastAsia="zh-CN"/>
          <w14:textFill>
            <w14:solidFill>
              <w14:schemeClr w14:val="tx1"/>
            </w14:solidFill>
          </w14:textFill>
        </w:rPr>
        <w:t>44</w:t>
      </w:r>
      <w:r>
        <w:rPr>
          <w:rFonts w:hint="eastAsia"/>
          <w:color w:val="000000" w:themeColor="text1"/>
          <w14:textFill>
            <w14:solidFill>
              <w14:schemeClr w14:val="tx1"/>
            </w14:solidFill>
          </w14:textFill>
        </w:rPr>
        <w:t xml:space="preserve"> t/a。</w:t>
      </w:r>
    </w:p>
    <w:p w14:paraId="53EF14A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3.6.2废水</w:t>
      </w:r>
    </w:p>
    <w:p w14:paraId="15F8F15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3.6.2.1本项目废水产排情况分析</w:t>
      </w:r>
    </w:p>
    <w:p w14:paraId="0A503F53">
      <w:pPr>
        <w:pStyle w:val="72"/>
        <w:ind w:firstLine="482"/>
        <w:rPr>
          <w:b/>
        </w:rPr>
      </w:pPr>
      <w:r>
        <w:rPr>
          <w:rFonts w:hint="eastAsia"/>
          <w:b/>
        </w:rPr>
        <w:t>1、水量确定</w:t>
      </w:r>
    </w:p>
    <w:p w14:paraId="439A1204">
      <w:pPr>
        <w:pStyle w:val="72"/>
      </w:pPr>
      <w:r>
        <w:rPr>
          <w:rFonts w:hint="eastAsia"/>
        </w:rPr>
        <w:t>本工程产生的废水有：含镍废水、含铬废水、综合废水</w:t>
      </w:r>
      <w:r>
        <w:rPr>
          <w:rFonts w:hint="eastAsia"/>
          <w:lang w:eastAsia="zh-CN"/>
        </w:rPr>
        <w:t>、</w:t>
      </w:r>
      <w:r>
        <w:rPr>
          <w:rFonts w:hint="eastAsia"/>
        </w:rPr>
        <w:t>生活污水、冲压冷凝水和纯水制备浓水。</w:t>
      </w:r>
    </w:p>
    <w:p w14:paraId="08B20C82">
      <w:pPr>
        <w:pStyle w:val="72"/>
        <w:ind w:firstLine="482"/>
        <w:rPr>
          <w:b/>
        </w:rPr>
      </w:pPr>
      <w:r>
        <w:rPr>
          <w:rFonts w:hint="eastAsia"/>
          <w:b/>
        </w:rPr>
        <w:t>（1）含镍废水</w:t>
      </w:r>
    </w:p>
    <w:p w14:paraId="5E5CDC9B">
      <w:pPr>
        <w:ind w:firstLine="480"/>
      </w:pPr>
      <w:r>
        <w:rPr>
          <w:rFonts w:hint="eastAsia"/>
        </w:rPr>
        <w:t>本项目对含有重金属镍的废水进行单独处理，废水主要为镀镍后水洗废水、镀镍后水洗槽定期更换水、</w:t>
      </w:r>
      <w:r>
        <w:rPr>
          <w:rFonts w:hint="eastAsia"/>
          <w:lang w:val="en-US" w:eastAsia="zh-CN"/>
        </w:rPr>
        <w:t>漂白废槽液、漂白后水洗废水、</w:t>
      </w:r>
      <w:r>
        <w:rPr>
          <w:rFonts w:hint="eastAsia"/>
        </w:rPr>
        <w:t>漂白后</w:t>
      </w:r>
      <w:r>
        <w:rPr>
          <w:rFonts w:hint="eastAsia"/>
          <w:lang w:val="en-US" w:eastAsia="zh-CN"/>
        </w:rPr>
        <w:t>水洗槽定期换水、</w:t>
      </w:r>
      <w:r>
        <w:rPr>
          <w:rFonts w:hint="eastAsia"/>
        </w:rPr>
        <w:t>中和废槽液、中和后水洗废水和中和后水洗槽定期更换水。企业拟建设含镍废水处理系统1套，对该部分废水进行处理达标后全部回用于镀镍后水洗</w:t>
      </w:r>
      <w:r>
        <w:rPr>
          <w:rFonts w:hint="eastAsia"/>
          <w:lang w:eastAsia="zh-CN"/>
        </w:rPr>
        <w:t>、</w:t>
      </w:r>
      <w:r>
        <w:rPr>
          <w:rFonts w:hint="eastAsia"/>
          <w:lang w:val="en-US" w:eastAsia="zh-CN"/>
        </w:rPr>
        <w:t>漂白后水洗以及</w:t>
      </w:r>
      <w:r>
        <w:rPr>
          <w:rFonts w:hint="eastAsia"/>
        </w:rPr>
        <w:t>中和后水洗工段。本项目含镍废水产生量情况见下表。</w:t>
      </w:r>
    </w:p>
    <w:p w14:paraId="755FC39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b/>
          <w:bCs/>
        </w:rPr>
      </w:pPr>
      <w:r>
        <w:rPr>
          <w:rFonts w:hint="eastAsia"/>
          <w:b/>
          <w:bCs/>
        </w:rPr>
        <w:t>表</w:t>
      </w:r>
      <w:r>
        <w:rPr>
          <w:rFonts w:hint="eastAsia"/>
          <w:b/>
          <w:bCs/>
          <w:lang w:val="en-US" w:eastAsia="zh-CN"/>
        </w:rPr>
        <w:t>3.6-10</w:t>
      </w:r>
      <w:r>
        <w:rPr>
          <w:rFonts w:hint="eastAsia"/>
          <w:b/>
          <w:bCs/>
        </w:rPr>
        <w:t xml:space="preserve">    本项目含镍废水量确定表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2625"/>
        <w:gridCol w:w="3500"/>
        <w:gridCol w:w="1101"/>
      </w:tblGrid>
      <w:tr w14:paraId="4081D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Align w:val="center"/>
          </w:tcPr>
          <w:p w14:paraId="75CD44E4">
            <w:pPr>
              <w:pStyle w:val="81"/>
              <w:rPr>
                <w:color w:val="auto"/>
                <w:highlight w:val="yellow"/>
              </w:rPr>
            </w:pPr>
            <w:r>
              <w:rPr>
                <w:rFonts w:hint="eastAsia"/>
                <w:color w:val="auto"/>
              </w:rPr>
              <w:t>产水位置</w:t>
            </w:r>
          </w:p>
        </w:tc>
        <w:tc>
          <w:tcPr>
            <w:tcW w:w="1539" w:type="pct"/>
            <w:vAlign w:val="center"/>
          </w:tcPr>
          <w:p w14:paraId="5ED8D8CF">
            <w:pPr>
              <w:pStyle w:val="81"/>
              <w:rPr>
                <w:color w:val="auto"/>
              </w:rPr>
            </w:pPr>
            <w:r>
              <w:rPr>
                <w:rFonts w:hint="eastAsia"/>
                <w:color w:val="auto"/>
              </w:rPr>
              <w:t>工序</w:t>
            </w:r>
          </w:p>
        </w:tc>
        <w:tc>
          <w:tcPr>
            <w:tcW w:w="2052" w:type="pct"/>
            <w:vAlign w:val="center"/>
          </w:tcPr>
          <w:p w14:paraId="40027250">
            <w:pPr>
              <w:pStyle w:val="81"/>
              <w:rPr>
                <w:color w:val="auto"/>
                <w:highlight w:val="yellow"/>
              </w:rPr>
            </w:pPr>
            <w:r>
              <w:rPr>
                <w:rFonts w:hint="eastAsia"/>
                <w:color w:val="auto"/>
              </w:rPr>
              <w:t>设计参数</w:t>
            </w:r>
          </w:p>
        </w:tc>
        <w:tc>
          <w:tcPr>
            <w:tcW w:w="645" w:type="pct"/>
            <w:vAlign w:val="center"/>
          </w:tcPr>
          <w:p w14:paraId="38E83D3B">
            <w:pPr>
              <w:pStyle w:val="81"/>
              <w:rPr>
                <w:color w:val="auto"/>
              </w:rPr>
            </w:pPr>
            <w:r>
              <w:rPr>
                <w:rFonts w:hint="eastAsia"/>
                <w:color w:val="auto"/>
              </w:rPr>
              <w:t>废水量（m</w:t>
            </w:r>
            <w:r>
              <w:rPr>
                <w:rFonts w:hint="eastAsia"/>
                <w:color w:val="auto"/>
                <w:vertAlign w:val="superscript"/>
              </w:rPr>
              <w:t>3</w:t>
            </w:r>
            <w:r>
              <w:rPr>
                <w:rFonts w:hint="eastAsia"/>
                <w:color w:val="auto"/>
              </w:rPr>
              <w:t>/d）</w:t>
            </w:r>
          </w:p>
        </w:tc>
      </w:tr>
      <w:tr w14:paraId="0A2349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restart"/>
            <w:vAlign w:val="center"/>
          </w:tcPr>
          <w:p w14:paraId="04957648">
            <w:pPr>
              <w:pStyle w:val="75"/>
              <w:rPr>
                <w:highlight w:val="yellow"/>
              </w:rPr>
            </w:pPr>
            <w:r>
              <w:rPr>
                <w:rFonts w:hint="eastAsia"/>
              </w:rPr>
              <w:t>电池钢壳</w:t>
            </w:r>
            <w:r>
              <w:rPr>
                <w:rFonts w:hint="eastAsia"/>
                <w:lang w:val="en-US" w:eastAsia="zh-CN"/>
              </w:rPr>
              <w:t>3</w:t>
            </w:r>
            <w:r>
              <w:rPr>
                <w:rFonts w:hint="eastAsia"/>
              </w:rPr>
              <w:t>条生产线</w:t>
            </w:r>
          </w:p>
        </w:tc>
        <w:tc>
          <w:tcPr>
            <w:tcW w:w="1539" w:type="pct"/>
            <w:vAlign w:val="center"/>
          </w:tcPr>
          <w:p w14:paraId="0169A7E1">
            <w:pPr>
              <w:pStyle w:val="75"/>
              <w:ind w:firstLine="0" w:firstLineChars="0"/>
              <w:rPr>
                <w:rFonts w:hint="default" w:eastAsia="宋体"/>
                <w:color w:val="auto"/>
                <w:lang w:val="en-US" w:eastAsia="zh-CN"/>
              </w:rPr>
            </w:pPr>
            <w:r>
              <w:rPr>
                <w:rFonts w:hint="eastAsia"/>
              </w:rPr>
              <w:t>镀镍后水洗废水</w:t>
            </w:r>
          </w:p>
        </w:tc>
        <w:tc>
          <w:tcPr>
            <w:tcW w:w="2052" w:type="pct"/>
            <w:vAlign w:val="center"/>
          </w:tcPr>
          <w:p w14:paraId="49E11C55">
            <w:pPr>
              <w:pStyle w:val="75"/>
              <w:ind w:firstLine="0" w:firstLineChars="0"/>
              <w:rPr>
                <w:rFonts w:hint="default" w:eastAsia="宋体"/>
                <w:color w:val="auto"/>
                <w:lang w:val="en-US"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p>
        </w:tc>
        <w:tc>
          <w:tcPr>
            <w:tcW w:w="645" w:type="pct"/>
            <w:vAlign w:val="center"/>
          </w:tcPr>
          <w:p w14:paraId="18F71533">
            <w:pPr>
              <w:pStyle w:val="75"/>
              <w:ind w:firstLine="0" w:firstLineChars="0"/>
              <w:rPr>
                <w:rFonts w:hint="default" w:eastAsia="宋体"/>
                <w:color w:val="auto"/>
                <w:lang w:val="en-US" w:eastAsia="zh-CN"/>
              </w:rPr>
            </w:pPr>
            <w:r>
              <w:rPr>
                <w:rFonts w:hint="eastAsia"/>
                <w:lang w:val="en-US" w:eastAsia="zh-CN"/>
              </w:rPr>
              <w:t>14.4</w:t>
            </w:r>
          </w:p>
        </w:tc>
      </w:tr>
      <w:tr w14:paraId="1E701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45878FFE">
            <w:pPr>
              <w:pStyle w:val="75"/>
              <w:rPr>
                <w:highlight w:val="yellow"/>
              </w:rPr>
            </w:pPr>
          </w:p>
        </w:tc>
        <w:tc>
          <w:tcPr>
            <w:tcW w:w="1539" w:type="pct"/>
            <w:vAlign w:val="center"/>
          </w:tcPr>
          <w:p w14:paraId="7CABEB7F">
            <w:pPr>
              <w:pStyle w:val="75"/>
            </w:pPr>
            <w:r>
              <w:rPr>
                <w:rFonts w:hint="eastAsia"/>
              </w:rPr>
              <w:t>镀镍后水洗槽定期更换水</w:t>
            </w:r>
          </w:p>
        </w:tc>
        <w:tc>
          <w:tcPr>
            <w:tcW w:w="2052" w:type="pct"/>
            <w:vAlign w:val="center"/>
          </w:tcPr>
          <w:p w14:paraId="6A765A60">
            <w:pPr>
              <w:pStyle w:val="75"/>
            </w:pP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45" w:type="pct"/>
            <w:vAlign w:val="center"/>
          </w:tcPr>
          <w:p w14:paraId="5975FCCD">
            <w:pPr>
              <w:pStyle w:val="75"/>
              <w:rPr>
                <w:rFonts w:hint="default" w:eastAsia="宋体"/>
                <w:lang w:val="en-US" w:eastAsia="zh-CN"/>
              </w:rPr>
            </w:pPr>
            <w:r>
              <w:rPr>
                <w:rFonts w:hint="eastAsia"/>
                <w:lang w:val="en-US" w:eastAsia="zh-CN"/>
              </w:rPr>
              <w:t>0.086</w:t>
            </w:r>
          </w:p>
        </w:tc>
      </w:tr>
      <w:tr w14:paraId="7328E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7DE25816">
            <w:pPr>
              <w:pStyle w:val="75"/>
              <w:rPr>
                <w:highlight w:val="yellow"/>
              </w:rPr>
            </w:pPr>
          </w:p>
        </w:tc>
        <w:tc>
          <w:tcPr>
            <w:tcW w:w="1539" w:type="pct"/>
            <w:vAlign w:val="center"/>
          </w:tcPr>
          <w:p w14:paraId="6F2B95BF">
            <w:pPr>
              <w:pStyle w:val="75"/>
              <w:rPr>
                <w:rFonts w:hint="default" w:eastAsia="宋体"/>
                <w:b/>
                <w:bCs/>
                <w:lang w:val="en-US" w:eastAsia="zh-CN"/>
              </w:rPr>
            </w:pPr>
            <w:r>
              <w:rPr>
                <w:rFonts w:hint="eastAsia"/>
                <w:b w:val="0"/>
                <w:bCs w:val="0"/>
                <w:lang w:val="en-US" w:eastAsia="zh-CN"/>
              </w:rPr>
              <w:t>漂白废槽液</w:t>
            </w:r>
          </w:p>
        </w:tc>
        <w:tc>
          <w:tcPr>
            <w:tcW w:w="2052" w:type="pct"/>
            <w:vAlign w:val="center"/>
          </w:tcPr>
          <w:p w14:paraId="6431C274">
            <w:pPr>
              <w:pStyle w:val="75"/>
              <w:rPr>
                <w:rFonts w:hint="eastAsia"/>
              </w:rPr>
            </w:pP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，每天更换1/5</w:t>
            </w:r>
          </w:p>
        </w:tc>
        <w:tc>
          <w:tcPr>
            <w:tcW w:w="645" w:type="pct"/>
            <w:vAlign w:val="center"/>
          </w:tcPr>
          <w:p w14:paraId="4F77C9D2">
            <w:pPr>
              <w:pStyle w:val="75"/>
              <w:rPr>
                <w:rFonts w:hint="default"/>
                <w:lang w:val="en-US" w:eastAsia="zh-CN"/>
              </w:rPr>
            </w:pPr>
            <w:r>
              <w:rPr>
                <w:rFonts w:hint="eastAsia"/>
                <w:lang w:val="en-US" w:eastAsia="zh-CN"/>
              </w:rPr>
              <w:t>1.293</w:t>
            </w:r>
          </w:p>
        </w:tc>
      </w:tr>
      <w:tr w14:paraId="6DDE46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5D355C15">
            <w:pPr>
              <w:pStyle w:val="75"/>
              <w:rPr>
                <w:highlight w:val="yellow"/>
              </w:rPr>
            </w:pPr>
          </w:p>
        </w:tc>
        <w:tc>
          <w:tcPr>
            <w:tcW w:w="1539" w:type="pct"/>
            <w:vAlign w:val="center"/>
          </w:tcPr>
          <w:p w14:paraId="03C22115">
            <w:pPr>
              <w:pStyle w:val="75"/>
              <w:rPr>
                <w:rFonts w:hint="eastAsia"/>
                <w:b/>
                <w:bCs/>
              </w:rPr>
            </w:pPr>
            <w:r>
              <w:rPr>
                <w:rFonts w:hint="eastAsia"/>
              </w:rPr>
              <w:t>漂白后水洗废水</w:t>
            </w:r>
          </w:p>
        </w:tc>
        <w:tc>
          <w:tcPr>
            <w:tcW w:w="2052" w:type="pct"/>
            <w:vAlign w:val="center"/>
          </w:tcPr>
          <w:p w14:paraId="27CD0BAB">
            <w:pPr>
              <w:pStyle w:val="75"/>
              <w:jc w:val="left"/>
              <w:rPr>
                <w:rFonts w:hint="eastAsia" w:eastAsia="宋体"/>
                <w:lang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45" w:type="pct"/>
            <w:vAlign w:val="center"/>
          </w:tcPr>
          <w:p w14:paraId="3C280BD0">
            <w:pPr>
              <w:pStyle w:val="75"/>
              <w:rPr>
                <w:rFonts w:hint="default"/>
                <w:lang w:val="en-US" w:eastAsia="zh-CN"/>
              </w:rPr>
            </w:pPr>
            <w:r>
              <w:rPr>
                <w:rFonts w:hint="eastAsia"/>
                <w:lang w:val="en-US" w:eastAsia="zh-CN"/>
              </w:rPr>
              <w:t>14.486</w:t>
            </w:r>
          </w:p>
        </w:tc>
      </w:tr>
      <w:tr w14:paraId="1AAF59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46663AA0">
            <w:pPr>
              <w:pStyle w:val="75"/>
              <w:rPr>
                <w:highlight w:val="yellow"/>
              </w:rPr>
            </w:pPr>
          </w:p>
        </w:tc>
        <w:tc>
          <w:tcPr>
            <w:tcW w:w="1539" w:type="pct"/>
            <w:vAlign w:val="center"/>
          </w:tcPr>
          <w:p w14:paraId="2C4A37A0">
            <w:pPr>
              <w:pStyle w:val="75"/>
              <w:rPr>
                <w:rFonts w:hint="eastAsia"/>
              </w:rPr>
            </w:pPr>
            <w:r>
              <w:rPr>
                <w:rFonts w:hint="eastAsia"/>
              </w:rPr>
              <w:t>中和废槽液</w:t>
            </w:r>
          </w:p>
        </w:tc>
        <w:tc>
          <w:tcPr>
            <w:tcW w:w="2052" w:type="pct"/>
            <w:vAlign w:val="center"/>
          </w:tcPr>
          <w:p w14:paraId="268E412A">
            <w:pPr>
              <w:pStyle w:val="75"/>
              <w:rPr>
                <w:rFonts w:hint="eastAsia"/>
              </w:rPr>
            </w:pP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，每天更换1/5</w:t>
            </w:r>
          </w:p>
        </w:tc>
        <w:tc>
          <w:tcPr>
            <w:tcW w:w="645" w:type="pct"/>
            <w:vAlign w:val="center"/>
          </w:tcPr>
          <w:p w14:paraId="0533BFEE">
            <w:pPr>
              <w:pStyle w:val="75"/>
              <w:rPr>
                <w:rFonts w:hint="default"/>
                <w:lang w:val="en-US" w:eastAsia="zh-CN"/>
              </w:rPr>
            </w:pPr>
            <w:r>
              <w:rPr>
                <w:rFonts w:hint="eastAsia"/>
                <w:lang w:val="en-US" w:eastAsia="zh-CN"/>
              </w:rPr>
              <w:t>1.293</w:t>
            </w:r>
          </w:p>
        </w:tc>
      </w:tr>
      <w:tr w14:paraId="79B54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7D6570A9">
            <w:pPr>
              <w:pStyle w:val="75"/>
              <w:rPr>
                <w:highlight w:val="yellow"/>
              </w:rPr>
            </w:pPr>
          </w:p>
        </w:tc>
        <w:tc>
          <w:tcPr>
            <w:tcW w:w="1539" w:type="pct"/>
            <w:vAlign w:val="center"/>
          </w:tcPr>
          <w:p w14:paraId="52B0652B">
            <w:pPr>
              <w:pStyle w:val="75"/>
              <w:rPr>
                <w:rFonts w:hint="eastAsia"/>
              </w:rPr>
            </w:pPr>
            <w:r>
              <w:rPr>
                <w:rFonts w:hint="eastAsia"/>
              </w:rPr>
              <w:t>中和后水洗废水</w:t>
            </w:r>
          </w:p>
        </w:tc>
        <w:tc>
          <w:tcPr>
            <w:tcW w:w="2052" w:type="pct"/>
            <w:vAlign w:val="center"/>
          </w:tcPr>
          <w:p w14:paraId="6030F7D2">
            <w:pPr>
              <w:pStyle w:val="75"/>
              <w:jc w:val="left"/>
              <w:rPr>
                <w:rFonts w:hint="eastAsia" w:eastAsia="宋体"/>
                <w:lang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45" w:type="pct"/>
            <w:vAlign w:val="center"/>
          </w:tcPr>
          <w:p w14:paraId="3285AEE6">
            <w:pPr>
              <w:pStyle w:val="75"/>
              <w:rPr>
                <w:rFonts w:hint="default"/>
                <w:lang w:val="en-US" w:eastAsia="zh-CN"/>
              </w:rPr>
            </w:pPr>
            <w:r>
              <w:rPr>
                <w:rFonts w:hint="eastAsia"/>
                <w:lang w:val="en-US" w:eastAsia="zh-CN"/>
              </w:rPr>
              <w:t>14.486</w:t>
            </w:r>
          </w:p>
        </w:tc>
      </w:tr>
      <w:tr w14:paraId="4ED4C3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restart"/>
            <w:vAlign w:val="center"/>
          </w:tcPr>
          <w:p w14:paraId="1EA66836">
            <w:pPr>
              <w:pStyle w:val="75"/>
              <w:rPr>
                <w:highlight w:val="yellow"/>
              </w:rPr>
            </w:pPr>
            <w:r>
              <w:rPr>
                <w:rFonts w:hint="eastAsia"/>
                <w:lang w:val="en-US" w:eastAsia="zh-CN"/>
              </w:rPr>
              <w:t>盖帽</w:t>
            </w:r>
            <w:r>
              <w:rPr>
                <w:rFonts w:hint="eastAsia"/>
              </w:rPr>
              <w:t>2条生产线</w:t>
            </w:r>
          </w:p>
        </w:tc>
        <w:tc>
          <w:tcPr>
            <w:tcW w:w="1539" w:type="pct"/>
            <w:shd w:val="clear" w:color="auto" w:fill="auto"/>
            <w:vAlign w:val="center"/>
          </w:tcPr>
          <w:p w14:paraId="751D6355">
            <w:pPr>
              <w:pStyle w:val="75"/>
              <w:ind w:firstLine="0" w:firstLineChars="0"/>
              <w:rPr>
                <w:rFonts w:hint="default" w:ascii="Times New Roman" w:hAnsi="Times New Roman" w:eastAsia="宋体" w:cs="Times New Roman"/>
                <w:b/>
                <w:bCs/>
                <w:sz w:val="21"/>
                <w:szCs w:val="21"/>
                <w:u w:val="single"/>
                <w:lang w:val="en-US" w:eastAsia="zh-CN" w:bidi="ar-SA"/>
              </w:rPr>
            </w:pPr>
            <w:r>
              <w:rPr>
                <w:rFonts w:hint="eastAsia"/>
              </w:rPr>
              <w:t>镀镍后水洗废水</w:t>
            </w:r>
          </w:p>
        </w:tc>
        <w:tc>
          <w:tcPr>
            <w:tcW w:w="2052" w:type="pct"/>
            <w:shd w:val="clear" w:color="auto" w:fill="auto"/>
            <w:vAlign w:val="center"/>
          </w:tcPr>
          <w:p w14:paraId="6FC2FB22">
            <w:pPr>
              <w:pStyle w:val="75"/>
              <w:ind w:firstLine="0" w:firstLineChars="0"/>
              <w:rPr>
                <w:rFonts w:hint="eastAsia" w:ascii="Times New Roman" w:hAnsi="Times New Roman" w:eastAsia="宋体" w:cs="Times New Roman"/>
                <w:b/>
                <w:bCs/>
                <w:sz w:val="21"/>
                <w:szCs w:val="21"/>
                <w:u w:val="single"/>
                <w:lang w:val="en-US" w:eastAsia="zh-CN" w:bidi="ar-S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p>
        </w:tc>
        <w:tc>
          <w:tcPr>
            <w:tcW w:w="645" w:type="pct"/>
            <w:shd w:val="clear" w:color="auto" w:fill="auto"/>
            <w:vAlign w:val="center"/>
          </w:tcPr>
          <w:p w14:paraId="7680186C">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9.6</w:t>
            </w:r>
          </w:p>
        </w:tc>
      </w:tr>
      <w:tr w14:paraId="769F05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4DE8D900">
            <w:pPr>
              <w:pStyle w:val="75"/>
              <w:rPr>
                <w:highlight w:val="yellow"/>
              </w:rPr>
            </w:pPr>
          </w:p>
        </w:tc>
        <w:tc>
          <w:tcPr>
            <w:tcW w:w="1539" w:type="pct"/>
            <w:shd w:val="clear" w:color="auto" w:fill="auto"/>
            <w:vAlign w:val="center"/>
          </w:tcPr>
          <w:p w14:paraId="78D9C34B">
            <w:pPr>
              <w:pStyle w:val="75"/>
              <w:ind w:firstLine="0" w:firstLineChars="0"/>
              <w:rPr>
                <w:rFonts w:ascii="Times New Roman" w:hAnsi="Times New Roman" w:eastAsia="宋体" w:cs="Times New Roman"/>
                <w:sz w:val="21"/>
                <w:szCs w:val="21"/>
                <w:lang w:val="en-US" w:eastAsia="zh-CN" w:bidi="ar-SA"/>
              </w:rPr>
            </w:pPr>
            <w:r>
              <w:rPr>
                <w:rFonts w:hint="eastAsia"/>
              </w:rPr>
              <w:t>镀镍后水洗槽定期更换水</w:t>
            </w:r>
          </w:p>
        </w:tc>
        <w:tc>
          <w:tcPr>
            <w:tcW w:w="2052" w:type="pct"/>
            <w:shd w:val="clear" w:color="auto" w:fill="auto"/>
            <w:vAlign w:val="center"/>
          </w:tcPr>
          <w:p w14:paraId="5525FC78">
            <w:pPr>
              <w:pStyle w:val="75"/>
              <w:ind w:firstLine="0" w:firstLineChars="0"/>
              <w:rPr>
                <w:rFonts w:ascii="Times New Roman" w:hAnsi="Times New Roman" w:eastAsia="宋体" w:cs="Times New Roman"/>
                <w:sz w:val="21"/>
                <w:szCs w:val="21"/>
                <w:lang w:val="en-US" w:eastAsia="zh-CN" w:bidi="ar-SA"/>
              </w:rPr>
            </w:pP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，3个月更换一次</w:t>
            </w:r>
          </w:p>
        </w:tc>
        <w:tc>
          <w:tcPr>
            <w:tcW w:w="645" w:type="pct"/>
            <w:shd w:val="clear" w:color="auto" w:fill="auto"/>
            <w:vAlign w:val="center"/>
          </w:tcPr>
          <w:p w14:paraId="2D537AE9">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0.031</w:t>
            </w:r>
          </w:p>
        </w:tc>
      </w:tr>
      <w:tr w14:paraId="45EB6A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1E2863F1">
            <w:pPr>
              <w:pStyle w:val="75"/>
            </w:pPr>
          </w:p>
        </w:tc>
        <w:tc>
          <w:tcPr>
            <w:tcW w:w="1539" w:type="pct"/>
            <w:shd w:val="clear" w:color="auto" w:fill="auto"/>
            <w:vAlign w:val="center"/>
          </w:tcPr>
          <w:p w14:paraId="0E8EC781">
            <w:pPr>
              <w:pStyle w:val="75"/>
              <w:ind w:firstLine="0" w:firstLineChars="0"/>
              <w:rPr>
                <w:rFonts w:hint="eastAsia" w:ascii="Times New Roman" w:hAnsi="Times New Roman" w:eastAsia="宋体" w:cs="Times New Roman"/>
                <w:sz w:val="21"/>
                <w:szCs w:val="21"/>
                <w:lang w:val="en-US" w:eastAsia="zh-CN" w:bidi="ar-SA"/>
              </w:rPr>
            </w:pPr>
            <w:r>
              <w:rPr>
                <w:rFonts w:hint="eastAsia"/>
                <w:b w:val="0"/>
                <w:bCs w:val="0"/>
                <w:lang w:val="en-US" w:eastAsia="zh-CN"/>
              </w:rPr>
              <w:t>漂白废槽液</w:t>
            </w:r>
          </w:p>
        </w:tc>
        <w:tc>
          <w:tcPr>
            <w:tcW w:w="2052" w:type="pct"/>
            <w:shd w:val="clear" w:color="auto" w:fill="auto"/>
            <w:vAlign w:val="center"/>
          </w:tcPr>
          <w:p w14:paraId="1688671F">
            <w:pPr>
              <w:pStyle w:val="75"/>
              <w:ind w:firstLine="0" w:firstLineChars="0"/>
              <w:rPr>
                <w:rFonts w:hint="eastAsia" w:ascii="Times New Roman" w:hAnsi="Times New Roman" w:eastAsia="宋体" w:cs="Times New Roman"/>
                <w:sz w:val="21"/>
                <w:szCs w:val="21"/>
                <w:lang w:val="en-US" w:eastAsia="zh-CN" w:bidi="ar-SA"/>
              </w:rPr>
            </w:pP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，每天更换1/5</w:t>
            </w:r>
          </w:p>
        </w:tc>
        <w:tc>
          <w:tcPr>
            <w:tcW w:w="645" w:type="pct"/>
            <w:shd w:val="clear" w:color="auto" w:fill="auto"/>
            <w:vAlign w:val="center"/>
          </w:tcPr>
          <w:p w14:paraId="09E8E024">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0.466</w:t>
            </w:r>
          </w:p>
        </w:tc>
      </w:tr>
      <w:tr w14:paraId="2A48C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763" w:type="pct"/>
            <w:vMerge w:val="continue"/>
            <w:vAlign w:val="center"/>
          </w:tcPr>
          <w:p w14:paraId="6E3781D0">
            <w:pPr>
              <w:pStyle w:val="75"/>
            </w:pPr>
          </w:p>
        </w:tc>
        <w:tc>
          <w:tcPr>
            <w:tcW w:w="1539" w:type="pct"/>
            <w:shd w:val="clear" w:color="auto" w:fill="auto"/>
            <w:vAlign w:val="center"/>
          </w:tcPr>
          <w:p w14:paraId="627C0731">
            <w:pPr>
              <w:pStyle w:val="75"/>
              <w:ind w:firstLine="0" w:firstLineChars="0"/>
              <w:rPr>
                <w:rFonts w:hint="eastAsia" w:ascii="Times New Roman" w:hAnsi="Times New Roman" w:eastAsia="宋体" w:cs="Times New Roman"/>
                <w:sz w:val="21"/>
                <w:szCs w:val="21"/>
                <w:lang w:val="en-US" w:eastAsia="zh-CN" w:bidi="ar-SA"/>
              </w:rPr>
            </w:pPr>
            <w:r>
              <w:rPr>
                <w:rFonts w:hint="eastAsia"/>
              </w:rPr>
              <w:t>漂白后水洗废水</w:t>
            </w:r>
          </w:p>
        </w:tc>
        <w:tc>
          <w:tcPr>
            <w:tcW w:w="2052" w:type="pct"/>
            <w:shd w:val="clear" w:color="auto" w:fill="auto"/>
            <w:vAlign w:val="center"/>
          </w:tcPr>
          <w:p w14:paraId="4B2CBBBE">
            <w:pPr>
              <w:pStyle w:val="75"/>
              <w:ind w:firstLine="0" w:firstLineChars="0"/>
              <w:jc w:val="left"/>
              <w:rPr>
                <w:rFonts w:hint="eastAsia" w:ascii="Times New Roman" w:hAnsi="Times New Roman" w:eastAsia="宋体" w:cs="Times New Roman"/>
                <w:sz w:val="21"/>
                <w:szCs w:val="21"/>
                <w:lang w:val="en-US" w:eastAsia="zh-CN" w:bidi="ar-S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，3个月更换一次</w:t>
            </w:r>
          </w:p>
        </w:tc>
        <w:tc>
          <w:tcPr>
            <w:tcW w:w="645" w:type="pct"/>
            <w:shd w:val="clear" w:color="auto" w:fill="auto"/>
            <w:vAlign w:val="center"/>
          </w:tcPr>
          <w:p w14:paraId="0E2B32CE">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9.631</w:t>
            </w:r>
          </w:p>
        </w:tc>
      </w:tr>
      <w:tr w14:paraId="54ED50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763" w:type="pct"/>
            <w:vMerge w:val="continue"/>
            <w:vAlign w:val="center"/>
          </w:tcPr>
          <w:p w14:paraId="6EF19B92">
            <w:pPr>
              <w:pStyle w:val="75"/>
            </w:pPr>
          </w:p>
        </w:tc>
        <w:tc>
          <w:tcPr>
            <w:tcW w:w="1539" w:type="pct"/>
            <w:shd w:val="clear" w:color="auto" w:fill="auto"/>
            <w:vAlign w:val="center"/>
          </w:tcPr>
          <w:p w14:paraId="1653555A">
            <w:pPr>
              <w:pStyle w:val="75"/>
              <w:ind w:firstLine="0" w:firstLineChars="0"/>
              <w:rPr>
                <w:rFonts w:hint="eastAsia" w:ascii="Times New Roman" w:hAnsi="Times New Roman" w:eastAsia="宋体" w:cs="Times New Roman"/>
                <w:sz w:val="21"/>
                <w:szCs w:val="21"/>
                <w:lang w:val="en-US" w:eastAsia="zh-CN" w:bidi="ar-SA"/>
              </w:rPr>
            </w:pPr>
            <w:r>
              <w:rPr>
                <w:rFonts w:hint="eastAsia"/>
              </w:rPr>
              <w:t>中和废槽液</w:t>
            </w:r>
          </w:p>
        </w:tc>
        <w:tc>
          <w:tcPr>
            <w:tcW w:w="2052" w:type="pct"/>
            <w:shd w:val="clear" w:color="auto" w:fill="auto"/>
            <w:vAlign w:val="center"/>
          </w:tcPr>
          <w:p w14:paraId="4624A7AA">
            <w:pPr>
              <w:pStyle w:val="75"/>
              <w:ind w:firstLine="0" w:firstLineChars="0"/>
              <w:rPr>
                <w:rFonts w:hint="eastAsia" w:ascii="Times New Roman" w:hAnsi="Times New Roman" w:eastAsia="宋体" w:cs="Times New Roman"/>
                <w:sz w:val="21"/>
                <w:szCs w:val="21"/>
                <w:lang w:val="en-US" w:eastAsia="zh-CN" w:bidi="ar-SA"/>
              </w:rPr>
            </w:pP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，每天更换1/5</w:t>
            </w:r>
          </w:p>
        </w:tc>
        <w:tc>
          <w:tcPr>
            <w:tcW w:w="645" w:type="pct"/>
            <w:shd w:val="clear" w:color="auto" w:fill="auto"/>
            <w:vAlign w:val="center"/>
          </w:tcPr>
          <w:p w14:paraId="36522217">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0.466</w:t>
            </w:r>
          </w:p>
        </w:tc>
      </w:tr>
      <w:tr w14:paraId="79672A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763" w:type="pct"/>
            <w:vMerge w:val="continue"/>
            <w:vAlign w:val="center"/>
          </w:tcPr>
          <w:p w14:paraId="646D6DE7">
            <w:pPr>
              <w:pStyle w:val="75"/>
            </w:pPr>
          </w:p>
        </w:tc>
        <w:tc>
          <w:tcPr>
            <w:tcW w:w="1539" w:type="pct"/>
            <w:shd w:val="clear" w:color="auto" w:fill="auto"/>
            <w:vAlign w:val="center"/>
          </w:tcPr>
          <w:p w14:paraId="31186E54">
            <w:pPr>
              <w:pStyle w:val="75"/>
              <w:ind w:firstLine="0" w:firstLineChars="0"/>
              <w:rPr>
                <w:rFonts w:hint="eastAsia" w:ascii="Times New Roman" w:hAnsi="Times New Roman" w:eastAsia="宋体" w:cs="Times New Roman"/>
                <w:sz w:val="21"/>
                <w:szCs w:val="21"/>
                <w:lang w:val="en-US" w:eastAsia="zh-CN" w:bidi="ar-SA"/>
              </w:rPr>
            </w:pPr>
            <w:r>
              <w:rPr>
                <w:rFonts w:hint="eastAsia"/>
              </w:rPr>
              <w:t>中和后水洗废水</w:t>
            </w:r>
          </w:p>
        </w:tc>
        <w:tc>
          <w:tcPr>
            <w:tcW w:w="2052" w:type="pct"/>
            <w:shd w:val="clear" w:color="auto" w:fill="auto"/>
            <w:vAlign w:val="center"/>
          </w:tcPr>
          <w:p w14:paraId="5E998223">
            <w:pPr>
              <w:pStyle w:val="75"/>
              <w:ind w:firstLine="0" w:firstLineChars="0"/>
              <w:rPr>
                <w:rFonts w:hint="eastAsia" w:ascii="Times New Roman" w:hAnsi="Times New Roman" w:eastAsia="宋体" w:cs="Times New Roman"/>
                <w:sz w:val="21"/>
                <w:szCs w:val="21"/>
                <w:lang w:val="en-US" w:eastAsia="zh-CN" w:bidi="ar-S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，3个月更换一次</w:t>
            </w:r>
          </w:p>
        </w:tc>
        <w:tc>
          <w:tcPr>
            <w:tcW w:w="645" w:type="pct"/>
            <w:shd w:val="clear" w:color="auto" w:fill="auto"/>
            <w:vAlign w:val="center"/>
          </w:tcPr>
          <w:p w14:paraId="3185EB94">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9.631</w:t>
            </w:r>
          </w:p>
        </w:tc>
      </w:tr>
      <w:tr w14:paraId="71EE9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restart"/>
            <w:vAlign w:val="center"/>
          </w:tcPr>
          <w:p w14:paraId="02CAEDBD">
            <w:pPr>
              <w:pStyle w:val="75"/>
              <w:jc w:val="both"/>
              <w:rPr>
                <w:highlight w:val="yellow"/>
              </w:rPr>
            </w:pPr>
            <w:r>
              <w:rPr>
                <w:rFonts w:hint="eastAsia"/>
                <w:lang w:val="en-US" w:eastAsia="zh-CN"/>
              </w:rPr>
              <w:t>钢带6</w:t>
            </w:r>
            <w:r>
              <w:rPr>
                <w:rFonts w:hint="eastAsia"/>
              </w:rPr>
              <w:t>条生产线</w:t>
            </w:r>
          </w:p>
        </w:tc>
        <w:tc>
          <w:tcPr>
            <w:tcW w:w="1539" w:type="pct"/>
            <w:shd w:val="clear" w:color="auto" w:fill="auto"/>
            <w:vAlign w:val="center"/>
          </w:tcPr>
          <w:p w14:paraId="3E0F2967">
            <w:pPr>
              <w:pStyle w:val="75"/>
              <w:ind w:firstLine="0" w:firstLineChars="0"/>
              <w:rPr>
                <w:rFonts w:hint="default" w:ascii="Times New Roman" w:hAnsi="Times New Roman" w:eastAsia="宋体" w:cs="Times New Roman"/>
                <w:sz w:val="21"/>
                <w:szCs w:val="21"/>
                <w:lang w:val="en-US" w:eastAsia="zh-CN" w:bidi="ar-SA"/>
              </w:rPr>
            </w:pPr>
            <w:r>
              <w:rPr>
                <w:rFonts w:hint="eastAsia"/>
              </w:rPr>
              <w:t>镀镍后水洗</w:t>
            </w:r>
            <w:r>
              <w:rPr>
                <w:rFonts w:hint="eastAsia"/>
                <w:lang w:val="en-US" w:eastAsia="zh-CN"/>
              </w:rPr>
              <w:t>槽定期换水</w:t>
            </w:r>
          </w:p>
        </w:tc>
        <w:tc>
          <w:tcPr>
            <w:tcW w:w="2052" w:type="pct"/>
            <w:shd w:val="clear" w:color="auto" w:fill="auto"/>
            <w:vAlign w:val="center"/>
          </w:tcPr>
          <w:p w14:paraId="66B421AB">
            <w:pPr>
              <w:pStyle w:val="75"/>
              <w:ind w:firstLine="0" w:firstLineChars="0"/>
              <w:rPr>
                <w:rFonts w:hint="eastAsia" w:ascii="Times New Roman" w:hAnsi="Times New Roman" w:eastAsia="宋体" w:cs="Times New Roman"/>
                <w:sz w:val="21"/>
                <w:szCs w:val="21"/>
                <w:lang w:val="en-US" w:eastAsia="zh-CN" w:bidi="ar-SA"/>
              </w:rPr>
            </w:pPr>
            <w:r>
              <w:rPr>
                <w:rFonts w:hint="eastAsia"/>
              </w:rPr>
              <w:t>槽总体积</w:t>
            </w:r>
            <w:r>
              <w:rPr>
                <w:rFonts w:hint="eastAsia"/>
                <w:lang w:val="en-US" w:eastAsia="zh-CN"/>
              </w:rPr>
              <w:t>2.673</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645" w:type="pct"/>
            <w:shd w:val="clear" w:color="auto" w:fill="auto"/>
            <w:vAlign w:val="center"/>
          </w:tcPr>
          <w:p w14:paraId="277C9861">
            <w:pPr>
              <w:pStyle w:val="75"/>
              <w:ind w:firstLine="0" w:firstLineChars="0"/>
              <w:rPr>
                <w:rFonts w:hint="default" w:ascii="Times New Roman" w:hAnsi="Times New Roman" w:eastAsia="宋体" w:cs="Times New Roman"/>
                <w:b w:val="0"/>
                <w:bCs w:val="0"/>
                <w:sz w:val="21"/>
                <w:szCs w:val="21"/>
                <w:u w:val="none"/>
                <w:lang w:val="en-US" w:eastAsia="zh-CN" w:bidi="ar-SA"/>
              </w:rPr>
            </w:pPr>
            <w:r>
              <w:rPr>
                <w:rFonts w:hint="eastAsia"/>
                <w:b w:val="0"/>
                <w:bCs w:val="0"/>
                <w:u w:val="none"/>
                <w:lang w:val="en-US" w:eastAsia="zh-CN"/>
              </w:rPr>
              <w:t>1.872</w:t>
            </w:r>
          </w:p>
        </w:tc>
      </w:tr>
      <w:tr w14:paraId="497154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570A74D9">
            <w:pPr>
              <w:pStyle w:val="75"/>
              <w:jc w:val="both"/>
              <w:rPr>
                <w:rFonts w:hint="eastAsia"/>
                <w:lang w:val="en-US" w:eastAsia="zh-CN"/>
              </w:rPr>
            </w:pPr>
          </w:p>
        </w:tc>
        <w:tc>
          <w:tcPr>
            <w:tcW w:w="1539" w:type="pct"/>
            <w:shd w:val="clear" w:color="auto" w:fill="auto"/>
            <w:vAlign w:val="center"/>
          </w:tcPr>
          <w:p w14:paraId="14817855">
            <w:pPr>
              <w:pStyle w:val="75"/>
              <w:ind w:firstLine="0" w:firstLineChars="0"/>
              <w:rPr>
                <w:rFonts w:hint="eastAsia" w:ascii="Times New Roman" w:hAnsi="Times New Roman" w:eastAsia="宋体" w:cs="Times New Roman"/>
                <w:sz w:val="21"/>
                <w:szCs w:val="21"/>
                <w:lang w:val="en-US" w:eastAsia="zh-CN" w:bidi="ar-SA"/>
              </w:rPr>
            </w:pPr>
            <w:r>
              <w:rPr>
                <w:rFonts w:hint="eastAsia"/>
              </w:rPr>
              <w:t>镀镍后</w:t>
            </w:r>
            <w:r>
              <w:rPr>
                <w:rFonts w:hint="eastAsia"/>
                <w:lang w:val="en-US" w:eastAsia="zh-CN"/>
              </w:rPr>
              <w:t>水洗废水</w:t>
            </w:r>
          </w:p>
        </w:tc>
        <w:tc>
          <w:tcPr>
            <w:tcW w:w="2052" w:type="pct"/>
            <w:shd w:val="clear" w:color="auto" w:fill="auto"/>
            <w:vAlign w:val="center"/>
          </w:tcPr>
          <w:p w14:paraId="2BA62E8A">
            <w:pPr>
              <w:pStyle w:val="75"/>
              <w:ind w:firstLine="0" w:firstLineChars="0"/>
              <w:jc w:val="left"/>
              <w:rPr>
                <w:rFonts w:hint="eastAsia" w:ascii="Times New Roman" w:hAnsi="Times New Roman" w:eastAsia="宋体" w:cs="Times New Roman"/>
                <w:sz w:val="21"/>
                <w:szCs w:val="21"/>
                <w:lang w:val="en-US" w:eastAsia="zh-CN" w:bidi="ar-S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1.782</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1101" w:type="dxa"/>
            <w:shd w:val="clear" w:color="auto" w:fill="auto"/>
            <w:vAlign w:val="center"/>
          </w:tcPr>
          <w:p w14:paraId="1ABF08A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sz w:val="21"/>
                <w:szCs w:val="21"/>
                <w:lang w:val="en-US" w:eastAsia="zh-CN" w:bidi="ar-SA"/>
              </w:rPr>
            </w:pPr>
            <w:r>
              <w:rPr>
                <w:rFonts w:hint="eastAsia" w:cs="Times New Roman"/>
                <w:i w:val="0"/>
                <w:iCs w:val="0"/>
                <w:color w:val="000000"/>
                <w:kern w:val="0"/>
                <w:sz w:val="21"/>
                <w:szCs w:val="21"/>
                <w:highlight w:val="none"/>
                <w:u w:val="none"/>
                <w:lang w:val="en-US" w:eastAsia="zh-CN" w:bidi="ar"/>
              </w:rPr>
              <w:t>29.008</w:t>
            </w:r>
          </w:p>
        </w:tc>
      </w:tr>
      <w:tr w14:paraId="682A8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3" w:type="pct"/>
            <w:vMerge w:val="continue"/>
            <w:vAlign w:val="center"/>
          </w:tcPr>
          <w:p w14:paraId="7F2CF4A5">
            <w:pPr>
              <w:pStyle w:val="75"/>
            </w:pPr>
          </w:p>
        </w:tc>
        <w:tc>
          <w:tcPr>
            <w:tcW w:w="1539" w:type="pct"/>
            <w:shd w:val="clear" w:color="auto" w:fill="auto"/>
            <w:vAlign w:val="center"/>
          </w:tcPr>
          <w:p w14:paraId="7F9499FB">
            <w:pPr>
              <w:pStyle w:val="75"/>
              <w:ind w:firstLine="0" w:firstLineChars="0"/>
              <w:rPr>
                <w:rFonts w:hint="default" w:ascii="Times New Roman" w:hAnsi="Times New Roman" w:eastAsia="宋体" w:cs="Times New Roman"/>
                <w:sz w:val="21"/>
                <w:szCs w:val="21"/>
                <w:lang w:val="en-US" w:eastAsia="zh-CN" w:bidi="ar-SA"/>
              </w:rPr>
            </w:pPr>
            <w:r>
              <w:rPr>
                <w:rFonts w:hint="eastAsia"/>
              </w:rPr>
              <w:t>镀镍后</w:t>
            </w:r>
            <w:r>
              <w:rPr>
                <w:rFonts w:hint="eastAsia"/>
                <w:lang w:val="en-US" w:eastAsia="zh-CN"/>
              </w:rPr>
              <w:t>热水洗废水</w:t>
            </w:r>
          </w:p>
        </w:tc>
        <w:tc>
          <w:tcPr>
            <w:tcW w:w="2052" w:type="pct"/>
            <w:shd w:val="clear" w:color="auto" w:fill="auto"/>
            <w:vAlign w:val="center"/>
          </w:tcPr>
          <w:p w14:paraId="02E426B3">
            <w:pPr>
              <w:pStyle w:val="75"/>
              <w:ind w:firstLine="0" w:firstLineChars="0"/>
              <w:jc w:val="left"/>
              <w:rPr>
                <w:rFonts w:hint="eastAsia" w:ascii="Times New Roman" w:hAnsi="Times New Roman" w:eastAsia="宋体" w:cs="Times New Roman"/>
                <w:sz w:val="21"/>
                <w:szCs w:val="21"/>
                <w:lang w:val="en-US" w:eastAsia="zh-CN" w:bidi="ar-S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1.782</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1101" w:type="dxa"/>
            <w:shd w:val="clear" w:color="auto" w:fill="auto"/>
            <w:vAlign w:val="center"/>
          </w:tcPr>
          <w:p w14:paraId="05AD65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sz w:val="21"/>
                <w:szCs w:val="21"/>
                <w:lang w:val="en-US" w:eastAsia="zh-CN" w:bidi="ar-SA"/>
              </w:rPr>
            </w:pPr>
            <w:r>
              <w:rPr>
                <w:rFonts w:hint="eastAsia" w:cs="Times New Roman"/>
                <w:i w:val="0"/>
                <w:iCs w:val="0"/>
                <w:color w:val="000000"/>
                <w:kern w:val="0"/>
                <w:sz w:val="21"/>
                <w:szCs w:val="21"/>
                <w:highlight w:val="none"/>
                <w:u w:val="none"/>
                <w:lang w:val="en-US" w:eastAsia="zh-CN" w:bidi="ar"/>
              </w:rPr>
              <w:t>29.008</w:t>
            </w:r>
          </w:p>
        </w:tc>
      </w:tr>
      <w:tr w14:paraId="3476B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302" w:type="pct"/>
            <w:gridSpan w:val="2"/>
            <w:vAlign w:val="center"/>
          </w:tcPr>
          <w:p w14:paraId="2CCBF4A9">
            <w:pPr>
              <w:pStyle w:val="75"/>
              <w:rPr>
                <w:b/>
                <w:bCs/>
                <w:highlight w:val="yellow"/>
              </w:rPr>
            </w:pPr>
            <w:r>
              <w:rPr>
                <w:rFonts w:hint="eastAsia"/>
                <w:b/>
                <w:bCs/>
              </w:rPr>
              <w:t>合计</w:t>
            </w:r>
          </w:p>
        </w:tc>
        <w:tc>
          <w:tcPr>
            <w:tcW w:w="2052" w:type="pct"/>
            <w:vAlign w:val="center"/>
          </w:tcPr>
          <w:p w14:paraId="2775C1F3">
            <w:pPr>
              <w:pStyle w:val="75"/>
              <w:rPr>
                <w:b/>
                <w:bCs/>
                <w:highlight w:val="yellow"/>
              </w:rPr>
            </w:pPr>
            <w:r>
              <w:rPr>
                <w:rFonts w:hint="eastAsia"/>
                <w:b/>
                <w:bCs/>
              </w:rPr>
              <w:t>/</w:t>
            </w:r>
          </w:p>
        </w:tc>
        <w:tc>
          <w:tcPr>
            <w:tcW w:w="645" w:type="pct"/>
            <w:vAlign w:val="center"/>
          </w:tcPr>
          <w:p w14:paraId="6B9E56D9">
            <w:pPr>
              <w:pStyle w:val="75"/>
              <w:rPr>
                <w:rFonts w:hint="default" w:eastAsia="宋体"/>
                <w:b/>
                <w:bCs/>
                <w:lang w:val="en-US" w:eastAsia="zh-CN"/>
              </w:rPr>
            </w:pPr>
            <w:r>
              <w:rPr>
                <w:rFonts w:hint="eastAsia"/>
                <w:b/>
                <w:bCs/>
                <w:lang w:val="en-US" w:eastAsia="zh-CN"/>
              </w:rPr>
              <w:t>135.757</w:t>
            </w:r>
          </w:p>
        </w:tc>
      </w:tr>
    </w:tbl>
    <w:p w14:paraId="6314385F">
      <w:pPr>
        <w:pStyle w:val="13"/>
        <w:spacing w:line="240" w:lineRule="auto"/>
        <w:ind w:firstLine="420"/>
        <w:rPr>
          <w:rFonts w:hint="default" w:ascii="Times New Roman" w:hAnsi="Times New Roman" w:eastAsia="宋体" w:cs="Times New Roman"/>
          <w:b/>
          <w:bCs w:val="0"/>
        </w:rPr>
      </w:pPr>
      <w:r>
        <w:rPr>
          <w:rFonts w:hint="default" w:ascii="Times New Roman" w:hAnsi="Times New Roman" w:eastAsia="宋体" w:cs="Times New Roman"/>
          <w:b/>
          <w:bCs w:val="0"/>
        </w:rPr>
        <w:t>注：企业年工作300天，月工作25天，日工作24h，槽液按槽体积的</w:t>
      </w:r>
      <w:r>
        <w:rPr>
          <w:rFonts w:hint="default" w:ascii="Times New Roman" w:hAnsi="Times New Roman" w:eastAsia="宋体" w:cs="Times New Roman"/>
          <w:b/>
          <w:bCs w:val="0"/>
          <w:lang w:val="en-US" w:eastAsia="zh-CN"/>
        </w:rPr>
        <w:t>70</w:t>
      </w:r>
      <w:r>
        <w:rPr>
          <w:rFonts w:hint="default" w:ascii="Times New Roman" w:hAnsi="Times New Roman" w:eastAsia="宋体" w:cs="Times New Roman"/>
          <w:b/>
          <w:bCs w:val="0"/>
        </w:rPr>
        <w:t>%核算。</w:t>
      </w:r>
    </w:p>
    <w:p w14:paraId="19C37FE3">
      <w:pPr>
        <w:pStyle w:val="72"/>
        <w:ind w:firstLine="482"/>
        <w:rPr>
          <w:b/>
        </w:rPr>
      </w:pPr>
      <w:r>
        <w:rPr>
          <w:rFonts w:hint="eastAsia"/>
          <w:b/>
        </w:rPr>
        <w:t>（2）含铬废水</w:t>
      </w:r>
    </w:p>
    <w:p w14:paraId="7C0DE61A">
      <w:pPr>
        <w:ind w:firstLine="480"/>
      </w:pPr>
      <w:r>
        <w:rPr>
          <w:rFonts w:hint="eastAsia"/>
        </w:rPr>
        <w:t>本项目对含有重金属铬的废水进行单独处理，废水主要为钝化槽液、钝化后水洗废水、钝化后水洗槽定期更换水、中和废槽液、中和后水洗废水和中和后水洗槽定期更换水</w:t>
      </w:r>
      <w:r>
        <w:rPr>
          <w:rFonts w:hint="eastAsia"/>
          <w:lang w:val="en-US" w:eastAsia="zh-CN"/>
        </w:rPr>
        <w:t>、</w:t>
      </w:r>
      <w:r>
        <w:rPr>
          <w:rFonts w:hint="eastAsia"/>
        </w:rPr>
        <w:t>碱喷淋吸收塔（</w:t>
      </w:r>
      <w:r>
        <w:rPr>
          <w:rFonts w:hint="eastAsia"/>
          <w:lang w:val="en-US" w:eastAsia="zh-CN"/>
        </w:rPr>
        <w:t>TA001~TA003</w:t>
      </w:r>
      <w:r>
        <w:rPr>
          <w:rFonts w:hint="eastAsia"/>
        </w:rPr>
        <w:t>）更换废水、车间地面清洗水。企业拟建设含铬废水处理系统1套，对该部分废水进行处理达标后全部回用于钝化后水洗和中和后水洗工段。本项目含铬废水产生量情况见下表。</w:t>
      </w:r>
    </w:p>
    <w:p w14:paraId="3C416DF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3.6-11</w:t>
      </w:r>
      <w:r>
        <w:rPr>
          <w:rFonts w:hint="eastAsia"/>
        </w:rPr>
        <w:t xml:space="preserve">    本项目含铬废水量确定表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2923"/>
        <w:gridCol w:w="3400"/>
        <w:gridCol w:w="1100"/>
      </w:tblGrid>
      <w:tr w14:paraId="71EE6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7" w:type="pct"/>
            <w:vAlign w:val="center"/>
          </w:tcPr>
          <w:p w14:paraId="57951439">
            <w:pPr>
              <w:pStyle w:val="81"/>
              <w:rPr>
                <w:color w:val="auto"/>
                <w:highlight w:val="yellow"/>
              </w:rPr>
            </w:pPr>
            <w:r>
              <w:rPr>
                <w:rFonts w:hint="eastAsia"/>
                <w:color w:val="auto"/>
              </w:rPr>
              <w:t>产水位置</w:t>
            </w:r>
          </w:p>
        </w:tc>
        <w:tc>
          <w:tcPr>
            <w:tcW w:w="1713" w:type="pct"/>
            <w:vAlign w:val="center"/>
          </w:tcPr>
          <w:p w14:paraId="0D35B6C9">
            <w:pPr>
              <w:pStyle w:val="81"/>
              <w:rPr>
                <w:color w:val="auto"/>
              </w:rPr>
            </w:pPr>
            <w:r>
              <w:rPr>
                <w:rFonts w:hint="eastAsia"/>
                <w:color w:val="auto"/>
              </w:rPr>
              <w:t>工序</w:t>
            </w:r>
          </w:p>
        </w:tc>
        <w:tc>
          <w:tcPr>
            <w:tcW w:w="1993" w:type="pct"/>
            <w:vAlign w:val="center"/>
          </w:tcPr>
          <w:p w14:paraId="60B1FBF5">
            <w:pPr>
              <w:pStyle w:val="81"/>
              <w:rPr>
                <w:color w:val="auto"/>
                <w:highlight w:val="yellow"/>
              </w:rPr>
            </w:pPr>
            <w:r>
              <w:rPr>
                <w:rFonts w:hint="eastAsia"/>
                <w:color w:val="auto"/>
              </w:rPr>
              <w:t>设计参数</w:t>
            </w:r>
          </w:p>
        </w:tc>
        <w:tc>
          <w:tcPr>
            <w:tcW w:w="644" w:type="pct"/>
            <w:vAlign w:val="center"/>
          </w:tcPr>
          <w:p w14:paraId="271BD606">
            <w:pPr>
              <w:pStyle w:val="81"/>
              <w:rPr>
                <w:color w:val="auto"/>
              </w:rPr>
            </w:pPr>
            <w:r>
              <w:rPr>
                <w:rFonts w:hint="eastAsia"/>
                <w:color w:val="auto"/>
              </w:rPr>
              <w:t>废水量（m</w:t>
            </w:r>
            <w:r>
              <w:rPr>
                <w:rFonts w:hint="eastAsia"/>
                <w:color w:val="auto"/>
                <w:vertAlign w:val="superscript"/>
              </w:rPr>
              <w:t>3</w:t>
            </w:r>
            <w:r>
              <w:rPr>
                <w:rFonts w:hint="eastAsia"/>
                <w:color w:val="auto"/>
              </w:rPr>
              <w:t>/d）</w:t>
            </w:r>
          </w:p>
        </w:tc>
      </w:tr>
      <w:tr w14:paraId="27EAC2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restart"/>
            <w:vAlign w:val="center"/>
          </w:tcPr>
          <w:p w14:paraId="62D3151A">
            <w:pPr>
              <w:pStyle w:val="75"/>
              <w:rPr>
                <w:highlight w:val="yellow"/>
              </w:rPr>
            </w:pPr>
            <w:r>
              <w:rPr>
                <w:rFonts w:hint="eastAsia"/>
              </w:rPr>
              <w:t>电池钢壳</w:t>
            </w:r>
            <w:r>
              <w:rPr>
                <w:rFonts w:hint="eastAsia"/>
                <w:lang w:val="en-US" w:eastAsia="zh-CN"/>
              </w:rPr>
              <w:t>3</w:t>
            </w:r>
            <w:r>
              <w:rPr>
                <w:rFonts w:hint="eastAsia"/>
              </w:rPr>
              <w:t>条生产线</w:t>
            </w:r>
          </w:p>
        </w:tc>
        <w:tc>
          <w:tcPr>
            <w:tcW w:w="1713" w:type="pct"/>
            <w:vAlign w:val="center"/>
          </w:tcPr>
          <w:p w14:paraId="56DD76E9">
            <w:pPr>
              <w:pStyle w:val="75"/>
            </w:pPr>
            <w:r>
              <w:rPr>
                <w:rFonts w:hint="eastAsia"/>
              </w:rPr>
              <w:t>钝化废槽液</w:t>
            </w:r>
          </w:p>
        </w:tc>
        <w:tc>
          <w:tcPr>
            <w:tcW w:w="1993" w:type="pct"/>
            <w:vAlign w:val="center"/>
          </w:tcPr>
          <w:p w14:paraId="0927BB23">
            <w:pPr>
              <w:pStyle w:val="75"/>
              <w:rPr>
                <w:highlight w:val="yellow"/>
              </w:rPr>
            </w:pP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，1个月更换一次</w:t>
            </w:r>
          </w:p>
        </w:tc>
        <w:tc>
          <w:tcPr>
            <w:tcW w:w="644" w:type="pct"/>
            <w:vAlign w:val="center"/>
          </w:tcPr>
          <w:p w14:paraId="5442F62B">
            <w:pPr>
              <w:pStyle w:val="75"/>
              <w:rPr>
                <w:rFonts w:hint="default" w:eastAsia="宋体"/>
                <w:lang w:val="en-US" w:eastAsia="zh-CN"/>
              </w:rPr>
            </w:pPr>
            <w:r>
              <w:rPr>
                <w:rFonts w:hint="eastAsia"/>
                <w:lang w:val="en-US" w:eastAsia="zh-CN"/>
              </w:rPr>
              <w:t>0.258</w:t>
            </w:r>
          </w:p>
        </w:tc>
      </w:tr>
      <w:tr w14:paraId="667A0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742B5ABB">
            <w:pPr>
              <w:pStyle w:val="75"/>
            </w:pPr>
          </w:p>
        </w:tc>
        <w:tc>
          <w:tcPr>
            <w:tcW w:w="1713" w:type="pct"/>
            <w:vAlign w:val="center"/>
          </w:tcPr>
          <w:p w14:paraId="3E44A255">
            <w:pPr>
              <w:pStyle w:val="75"/>
            </w:pPr>
            <w:r>
              <w:t>钝化后水洗废水</w:t>
            </w:r>
          </w:p>
        </w:tc>
        <w:tc>
          <w:tcPr>
            <w:tcW w:w="1993" w:type="pct"/>
            <w:vAlign w:val="center"/>
          </w:tcPr>
          <w:p w14:paraId="6A146E05">
            <w:pPr>
              <w:pStyle w:val="75"/>
              <w:jc w:val="left"/>
              <w:rPr>
                <w:rFonts w:hint="eastAsia" w:eastAsia="宋体"/>
                <w:lang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13.86</w:t>
            </w:r>
            <w:r>
              <w:rPr>
                <w:rFonts w:hint="eastAsia"/>
              </w:rPr>
              <w:t>m</w:t>
            </w:r>
            <w:r>
              <w:rPr>
                <w:rFonts w:hint="eastAsia"/>
                <w:vertAlign w:val="superscript"/>
              </w:rPr>
              <w:t>3</w:t>
            </w:r>
            <w:r>
              <w:rPr>
                <w:rFonts w:hint="eastAsia"/>
              </w:rPr>
              <w:t>，3个月更换一次</w:t>
            </w:r>
          </w:p>
        </w:tc>
        <w:tc>
          <w:tcPr>
            <w:tcW w:w="644" w:type="pct"/>
            <w:vAlign w:val="center"/>
          </w:tcPr>
          <w:p w14:paraId="2CCD992C">
            <w:pPr>
              <w:pStyle w:val="75"/>
              <w:rPr>
                <w:rFonts w:hint="default" w:eastAsia="宋体"/>
                <w:lang w:val="en-US" w:eastAsia="zh-CN"/>
              </w:rPr>
            </w:pPr>
            <w:r>
              <w:rPr>
                <w:rFonts w:hint="eastAsia"/>
                <w:lang w:val="en-US" w:eastAsia="zh-CN"/>
              </w:rPr>
              <w:t>14.529</w:t>
            </w:r>
          </w:p>
        </w:tc>
      </w:tr>
      <w:tr w14:paraId="17DCDD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7B19F9CC">
            <w:pPr>
              <w:pStyle w:val="75"/>
            </w:pPr>
          </w:p>
        </w:tc>
        <w:tc>
          <w:tcPr>
            <w:tcW w:w="1713" w:type="pct"/>
            <w:vAlign w:val="center"/>
          </w:tcPr>
          <w:p w14:paraId="2E90FDD6">
            <w:pPr>
              <w:pStyle w:val="75"/>
              <w:rPr>
                <w:color w:val="0000FF"/>
              </w:rPr>
            </w:pPr>
            <w:r>
              <w:rPr>
                <w:rFonts w:hint="eastAsia"/>
              </w:rPr>
              <w:t>中和废槽液</w:t>
            </w:r>
          </w:p>
        </w:tc>
        <w:tc>
          <w:tcPr>
            <w:tcW w:w="1993" w:type="pct"/>
            <w:vAlign w:val="center"/>
          </w:tcPr>
          <w:p w14:paraId="0B66BA36">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槽总体积</w:t>
            </w:r>
            <w:r>
              <w:rPr>
                <w:rFonts w:hint="eastAsia"/>
                <w:color w:val="000000" w:themeColor="text1"/>
                <w:lang w:val="en-US" w:eastAsia="zh-CN"/>
                <w14:textFill>
                  <w14:solidFill>
                    <w14:schemeClr w14:val="tx1"/>
                  </w14:solidFill>
                </w14:textFill>
              </w:rPr>
              <w:t>9.24</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，每天更换1/5</w:t>
            </w:r>
          </w:p>
        </w:tc>
        <w:tc>
          <w:tcPr>
            <w:tcW w:w="644" w:type="pct"/>
            <w:vAlign w:val="center"/>
          </w:tcPr>
          <w:p w14:paraId="7F025752">
            <w:pPr>
              <w:pStyle w:val="75"/>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1.293</w:t>
            </w:r>
          </w:p>
        </w:tc>
      </w:tr>
      <w:tr w14:paraId="28575C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78C5E9ED">
            <w:pPr>
              <w:pStyle w:val="75"/>
            </w:pPr>
          </w:p>
        </w:tc>
        <w:tc>
          <w:tcPr>
            <w:tcW w:w="1713" w:type="pct"/>
            <w:vAlign w:val="center"/>
          </w:tcPr>
          <w:p w14:paraId="47FE0675">
            <w:pPr>
              <w:pStyle w:val="75"/>
              <w:rPr>
                <w:rFonts w:hint="eastAsia"/>
              </w:rPr>
            </w:pPr>
            <w:r>
              <w:rPr>
                <w:rFonts w:hint="eastAsia"/>
              </w:rPr>
              <w:t>中和后</w:t>
            </w:r>
            <w:r>
              <w:rPr>
                <w:rFonts w:hint="eastAsia"/>
                <w:lang w:val="en-US" w:eastAsia="zh-CN"/>
              </w:rPr>
              <w:t>水洗</w:t>
            </w:r>
            <w:r>
              <w:rPr>
                <w:rFonts w:hint="eastAsia"/>
              </w:rPr>
              <w:t>槽定期更换水</w:t>
            </w:r>
          </w:p>
        </w:tc>
        <w:tc>
          <w:tcPr>
            <w:tcW w:w="1993" w:type="pct"/>
            <w:vAlign w:val="center"/>
          </w:tcPr>
          <w:p w14:paraId="25E4E96A">
            <w:pPr>
              <w:pStyle w:val="75"/>
              <w:rPr>
                <w:rFonts w:hint="eastAsia"/>
                <w:color w:val="000000" w:themeColor="text1"/>
                <w14:textFill>
                  <w14:solidFill>
                    <w14:schemeClr w14:val="tx1"/>
                  </w14:solidFill>
                </w14:textFill>
              </w:rPr>
            </w:pPr>
            <w:r>
              <w:rPr>
                <w:rFonts w:hint="eastAsia"/>
              </w:rPr>
              <w:t>槽总体积</w:t>
            </w:r>
            <w:r>
              <w:rPr>
                <w:rFonts w:hint="eastAsia"/>
                <w:lang w:val="en-US" w:eastAsia="zh-CN"/>
              </w:rPr>
              <w:t>4.62</w:t>
            </w:r>
            <w:r>
              <w:rPr>
                <w:rFonts w:hint="eastAsia"/>
              </w:rPr>
              <w:t>m</w:t>
            </w:r>
            <w:r>
              <w:rPr>
                <w:rFonts w:hint="eastAsia"/>
                <w:vertAlign w:val="superscript"/>
              </w:rPr>
              <w:t>3</w:t>
            </w:r>
            <w:r>
              <w:rPr>
                <w:rFonts w:hint="eastAsia"/>
              </w:rPr>
              <w:t>，</w:t>
            </w:r>
            <w:r>
              <w:rPr>
                <w:rFonts w:hint="eastAsia"/>
                <w:lang w:val="en-US" w:eastAsia="zh-CN"/>
              </w:rPr>
              <w:t>3</w:t>
            </w:r>
            <w:r>
              <w:rPr>
                <w:rFonts w:hint="eastAsia"/>
              </w:rPr>
              <w:t>个月更换一次</w:t>
            </w:r>
          </w:p>
        </w:tc>
        <w:tc>
          <w:tcPr>
            <w:tcW w:w="644" w:type="pct"/>
            <w:vAlign w:val="center"/>
          </w:tcPr>
          <w:p w14:paraId="70C17D6B">
            <w:pPr>
              <w:pStyle w:val="75"/>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0.044</w:t>
            </w:r>
          </w:p>
        </w:tc>
      </w:tr>
      <w:tr w14:paraId="48DC3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13E169DF">
            <w:pPr>
              <w:pStyle w:val="75"/>
            </w:pPr>
          </w:p>
        </w:tc>
        <w:tc>
          <w:tcPr>
            <w:tcW w:w="1713" w:type="pct"/>
            <w:vAlign w:val="center"/>
          </w:tcPr>
          <w:p w14:paraId="47C60E88">
            <w:pPr>
              <w:pStyle w:val="75"/>
            </w:pPr>
            <w:r>
              <w:rPr>
                <w:rFonts w:hint="eastAsia"/>
                <w:lang w:val="en-US" w:eastAsia="zh-CN"/>
              </w:rPr>
              <w:t>交换后</w:t>
            </w:r>
            <w:r>
              <w:rPr>
                <w:rFonts w:hint="eastAsia"/>
              </w:rPr>
              <w:t>水洗废水</w:t>
            </w:r>
          </w:p>
        </w:tc>
        <w:tc>
          <w:tcPr>
            <w:tcW w:w="1993" w:type="pct"/>
            <w:vAlign w:val="center"/>
          </w:tcPr>
          <w:p w14:paraId="14284077">
            <w:pPr>
              <w:pStyle w:val="75"/>
              <w:jc w:val="left"/>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44" w:type="pct"/>
            <w:vAlign w:val="center"/>
          </w:tcPr>
          <w:p w14:paraId="673DCC87">
            <w:pPr>
              <w:pStyle w:val="75"/>
              <w:rPr>
                <w:rFonts w:hint="default" w:eastAsia="宋体"/>
                <w:lang w:val="en-US" w:eastAsia="zh-CN"/>
              </w:rPr>
            </w:pPr>
            <w:r>
              <w:rPr>
                <w:rFonts w:hint="eastAsia"/>
                <w:lang w:val="en-US" w:eastAsia="zh-CN"/>
              </w:rPr>
              <w:t>14.486</w:t>
            </w:r>
          </w:p>
        </w:tc>
      </w:tr>
      <w:tr w14:paraId="7FF39C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47" w:type="pct"/>
            <w:vMerge w:val="restart"/>
            <w:vAlign w:val="center"/>
          </w:tcPr>
          <w:p w14:paraId="7234E79F">
            <w:pPr>
              <w:pStyle w:val="75"/>
              <w:rPr>
                <w:highlight w:val="yellow"/>
              </w:rPr>
            </w:pPr>
            <w:r>
              <w:rPr>
                <w:rFonts w:hint="eastAsia"/>
                <w:lang w:val="en-US" w:eastAsia="zh-CN"/>
              </w:rPr>
              <w:t>盖帽</w:t>
            </w:r>
            <w:r>
              <w:rPr>
                <w:rFonts w:hint="eastAsia"/>
              </w:rPr>
              <w:t>2条生产线</w:t>
            </w:r>
          </w:p>
        </w:tc>
        <w:tc>
          <w:tcPr>
            <w:tcW w:w="1713" w:type="pct"/>
            <w:vAlign w:val="center"/>
          </w:tcPr>
          <w:p w14:paraId="72A6B4C5">
            <w:pPr>
              <w:pStyle w:val="75"/>
            </w:pPr>
            <w:r>
              <w:t>钝化废槽液</w:t>
            </w:r>
          </w:p>
        </w:tc>
        <w:tc>
          <w:tcPr>
            <w:tcW w:w="1993" w:type="pct"/>
            <w:vAlign w:val="center"/>
          </w:tcPr>
          <w:p w14:paraId="0071ED12">
            <w:pPr>
              <w:pStyle w:val="75"/>
            </w:pPr>
            <w:r>
              <w:rPr>
                <w:rFonts w:hint="eastAsia"/>
              </w:rPr>
              <w:t>槽总体积</w:t>
            </w:r>
            <w:r>
              <w:rPr>
                <w:rFonts w:hint="eastAsia"/>
                <w:lang w:val="en-US" w:eastAsia="zh-CN"/>
              </w:rPr>
              <w:t>3.328</w:t>
            </w:r>
            <w:r>
              <w:rPr>
                <w:rFonts w:hint="eastAsia"/>
              </w:rPr>
              <w:t>m</w:t>
            </w:r>
            <w:r>
              <w:rPr>
                <w:rFonts w:hint="eastAsia"/>
                <w:vertAlign w:val="superscript"/>
              </w:rPr>
              <w:t>3</w:t>
            </w:r>
            <w:r>
              <w:rPr>
                <w:rFonts w:hint="eastAsia"/>
              </w:rPr>
              <w:t>，1个月更换一次</w:t>
            </w:r>
          </w:p>
        </w:tc>
        <w:tc>
          <w:tcPr>
            <w:tcW w:w="644" w:type="pct"/>
            <w:vAlign w:val="center"/>
          </w:tcPr>
          <w:p w14:paraId="2DA076A0">
            <w:pPr>
              <w:pStyle w:val="75"/>
              <w:rPr>
                <w:rFonts w:hint="default" w:eastAsia="宋体"/>
                <w:lang w:val="en-US" w:eastAsia="zh-CN"/>
              </w:rPr>
            </w:pPr>
            <w:r>
              <w:rPr>
                <w:rFonts w:hint="eastAsia"/>
                <w:lang w:val="en-US" w:eastAsia="zh-CN"/>
              </w:rPr>
              <w:t>0.093</w:t>
            </w:r>
          </w:p>
        </w:tc>
      </w:tr>
      <w:tr w14:paraId="1A1639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3FCBF2C3">
            <w:pPr>
              <w:pStyle w:val="75"/>
              <w:rPr>
                <w:highlight w:val="yellow"/>
              </w:rPr>
            </w:pPr>
          </w:p>
        </w:tc>
        <w:tc>
          <w:tcPr>
            <w:tcW w:w="1713" w:type="pct"/>
            <w:vAlign w:val="center"/>
          </w:tcPr>
          <w:p w14:paraId="0E2CFC3C">
            <w:pPr>
              <w:pStyle w:val="75"/>
            </w:pPr>
            <w:r>
              <w:t>钝化后水洗废水</w:t>
            </w:r>
          </w:p>
        </w:tc>
        <w:tc>
          <w:tcPr>
            <w:tcW w:w="1993" w:type="pct"/>
            <w:vAlign w:val="center"/>
          </w:tcPr>
          <w:p w14:paraId="6ED531A8">
            <w:pPr>
              <w:pStyle w:val="75"/>
              <w:jc w:val="left"/>
              <w:rPr>
                <w:rFonts w:hint="eastAsia" w:eastAsia="宋体"/>
                <w:lang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4.992</w:t>
            </w:r>
            <w:r>
              <w:rPr>
                <w:rFonts w:hint="eastAsia"/>
              </w:rPr>
              <w:t>m</w:t>
            </w:r>
            <w:r>
              <w:rPr>
                <w:rFonts w:hint="eastAsia"/>
                <w:vertAlign w:val="superscript"/>
              </w:rPr>
              <w:t>3</w:t>
            </w:r>
            <w:r>
              <w:rPr>
                <w:rFonts w:hint="eastAsia"/>
              </w:rPr>
              <w:t>，3个月更换一次</w:t>
            </w:r>
          </w:p>
        </w:tc>
        <w:tc>
          <w:tcPr>
            <w:tcW w:w="644" w:type="pct"/>
            <w:vAlign w:val="center"/>
          </w:tcPr>
          <w:p w14:paraId="03DEEC27">
            <w:pPr>
              <w:pStyle w:val="75"/>
              <w:rPr>
                <w:rFonts w:hint="default" w:eastAsia="宋体"/>
                <w:lang w:val="en-US" w:eastAsia="zh-CN"/>
              </w:rPr>
            </w:pPr>
            <w:r>
              <w:rPr>
                <w:rFonts w:hint="eastAsia"/>
                <w:lang w:val="en-US" w:eastAsia="zh-CN"/>
              </w:rPr>
              <w:t>9.647</w:t>
            </w:r>
          </w:p>
        </w:tc>
      </w:tr>
      <w:tr w14:paraId="69437A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2080966D">
            <w:pPr>
              <w:pStyle w:val="75"/>
              <w:rPr>
                <w:highlight w:val="yellow"/>
              </w:rPr>
            </w:pPr>
          </w:p>
        </w:tc>
        <w:tc>
          <w:tcPr>
            <w:tcW w:w="1713" w:type="pct"/>
            <w:vAlign w:val="center"/>
          </w:tcPr>
          <w:p w14:paraId="0017A114">
            <w:pPr>
              <w:pStyle w:val="75"/>
              <w:ind w:firstLine="0" w:firstLineChars="0"/>
            </w:pPr>
            <w:r>
              <w:rPr>
                <w:rFonts w:hint="eastAsia"/>
              </w:rPr>
              <w:t>中和废槽液</w:t>
            </w:r>
          </w:p>
        </w:tc>
        <w:tc>
          <w:tcPr>
            <w:tcW w:w="1993" w:type="pct"/>
            <w:vAlign w:val="center"/>
          </w:tcPr>
          <w:p w14:paraId="258B28B3">
            <w:pPr>
              <w:pStyle w:val="75"/>
              <w:ind w:firstLine="0" w:firstLineChars="0"/>
            </w:pPr>
            <w:r>
              <w:rPr>
                <w:rFonts w:hint="eastAsia"/>
                <w:color w:val="000000" w:themeColor="text1"/>
                <w14:textFill>
                  <w14:solidFill>
                    <w14:schemeClr w14:val="tx1"/>
                  </w14:solidFill>
                </w14:textFill>
              </w:rPr>
              <w:t>槽总体积</w:t>
            </w:r>
            <w:r>
              <w:rPr>
                <w:rFonts w:hint="eastAsia"/>
                <w:color w:val="000000" w:themeColor="text1"/>
                <w:lang w:val="en-US" w:eastAsia="zh-CN"/>
                <w14:textFill>
                  <w14:solidFill>
                    <w14:schemeClr w14:val="tx1"/>
                  </w14:solidFill>
                </w14:textFill>
              </w:rPr>
              <w:t>3.328</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，每天更换1/5</w:t>
            </w:r>
          </w:p>
        </w:tc>
        <w:tc>
          <w:tcPr>
            <w:tcW w:w="644" w:type="pct"/>
            <w:vAlign w:val="center"/>
          </w:tcPr>
          <w:p w14:paraId="66A529DA">
            <w:pPr>
              <w:pStyle w:val="75"/>
              <w:ind w:firstLine="0" w:firstLineChars="0"/>
              <w:rPr>
                <w:rFonts w:hint="default"/>
                <w:lang w:val="en-US"/>
              </w:rPr>
            </w:pPr>
            <w:r>
              <w:rPr>
                <w:rFonts w:hint="eastAsia"/>
                <w:color w:val="000000" w:themeColor="text1"/>
                <w:lang w:val="en-US" w:eastAsia="zh-CN"/>
                <w14:textFill>
                  <w14:solidFill>
                    <w14:schemeClr w14:val="tx1"/>
                  </w14:solidFill>
                </w14:textFill>
              </w:rPr>
              <w:t>0.466</w:t>
            </w:r>
          </w:p>
        </w:tc>
      </w:tr>
      <w:tr w14:paraId="00D77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7" w:type="pct"/>
            <w:vMerge w:val="continue"/>
            <w:vAlign w:val="center"/>
          </w:tcPr>
          <w:p w14:paraId="563713B1">
            <w:pPr>
              <w:pStyle w:val="75"/>
              <w:rPr>
                <w:highlight w:val="yellow"/>
              </w:rPr>
            </w:pPr>
          </w:p>
        </w:tc>
        <w:tc>
          <w:tcPr>
            <w:tcW w:w="1713" w:type="pct"/>
            <w:vAlign w:val="center"/>
          </w:tcPr>
          <w:p w14:paraId="46DCDF59">
            <w:pPr>
              <w:pStyle w:val="75"/>
              <w:ind w:firstLine="0" w:firstLineChars="0"/>
            </w:pPr>
            <w:r>
              <w:rPr>
                <w:rFonts w:hint="eastAsia"/>
              </w:rPr>
              <w:t>中和后水洗废水</w:t>
            </w:r>
          </w:p>
        </w:tc>
        <w:tc>
          <w:tcPr>
            <w:tcW w:w="1993" w:type="pct"/>
            <w:vAlign w:val="center"/>
          </w:tcPr>
          <w:p w14:paraId="5BB155EF">
            <w:pPr>
              <w:pStyle w:val="75"/>
              <w:ind w:firstLine="0" w:firstLineChars="0"/>
              <w:jc w:val="left"/>
              <w:rPr>
                <w:rFonts w:hint="eastAsia" w:eastAsia="宋体"/>
                <w:lang w:eastAsia="zh-CN"/>
              </w:rPr>
            </w:pPr>
            <w:r>
              <w:rPr>
                <w:rFonts w:hint="eastAsia"/>
              </w:rPr>
              <w:t>水洗流量0.4m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6.656</w:t>
            </w:r>
            <w:r>
              <w:rPr>
                <w:rFonts w:hint="eastAsia"/>
              </w:rPr>
              <w:t>m</w:t>
            </w:r>
            <w:r>
              <w:rPr>
                <w:rFonts w:hint="eastAsia"/>
                <w:vertAlign w:val="superscript"/>
              </w:rPr>
              <w:t>3</w:t>
            </w:r>
            <w:r>
              <w:rPr>
                <w:rFonts w:hint="eastAsia"/>
              </w:rPr>
              <w:t>，3个月更换一次</w:t>
            </w:r>
          </w:p>
        </w:tc>
        <w:tc>
          <w:tcPr>
            <w:tcW w:w="644" w:type="pct"/>
            <w:vAlign w:val="center"/>
          </w:tcPr>
          <w:p w14:paraId="7D91B4F0">
            <w:pPr>
              <w:pStyle w:val="75"/>
              <w:ind w:firstLine="0" w:firstLineChars="0"/>
              <w:rPr>
                <w:rFonts w:hint="default" w:eastAsia="宋体"/>
                <w:lang w:val="en-US" w:eastAsia="zh-CN"/>
              </w:rPr>
            </w:pPr>
            <w:r>
              <w:rPr>
                <w:rFonts w:hint="eastAsia"/>
                <w:lang w:val="en-US" w:eastAsia="zh-CN"/>
              </w:rPr>
              <w:t>9.662</w:t>
            </w:r>
          </w:p>
        </w:tc>
      </w:tr>
      <w:tr w14:paraId="5AABBA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1" w:type="pct"/>
            <w:gridSpan w:val="2"/>
            <w:vAlign w:val="center"/>
          </w:tcPr>
          <w:p w14:paraId="1004FAF1">
            <w:pPr>
              <w:pStyle w:val="75"/>
              <w:rPr>
                <w:b/>
              </w:rPr>
            </w:pPr>
            <w:r>
              <w:rPr>
                <w:rFonts w:hint="eastAsia"/>
              </w:rPr>
              <w:t>碱喷淋吸收塔（</w:t>
            </w:r>
            <w:r>
              <w:rPr>
                <w:rFonts w:hint="eastAsia"/>
                <w:lang w:val="en-US" w:eastAsia="zh-CN"/>
              </w:rPr>
              <w:t>TA001~TA003</w:t>
            </w:r>
            <w:r>
              <w:rPr>
                <w:rFonts w:hint="eastAsia"/>
              </w:rPr>
              <w:t>）更换废水</w:t>
            </w:r>
          </w:p>
        </w:tc>
        <w:tc>
          <w:tcPr>
            <w:tcW w:w="1993" w:type="pct"/>
            <w:vAlign w:val="center"/>
          </w:tcPr>
          <w:p w14:paraId="2A1BAF2B">
            <w:pPr>
              <w:pStyle w:val="75"/>
              <w:rPr>
                <w:b/>
              </w:rPr>
            </w:pPr>
            <w:r>
              <w:rPr>
                <w:rFonts w:hint="eastAsia"/>
              </w:rPr>
              <w:t>半年更换1次，每次约21</w:t>
            </w:r>
            <w:r>
              <w:rPr>
                <w:rFonts w:hint="eastAsia" w:hAnsi="宋体"/>
                <w:szCs w:val="24"/>
              </w:rPr>
              <w:t>m</w:t>
            </w:r>
            <w:r>
              <w:rPr>
                <w:rFonts w:hint="eastAsia" w:hAnsi="宋体"/>
                <w:szCs w:val="24"/>
                <w:vertAlign w:val="superscript"/>
              </w:rPr>
              <w:t>3</w:t>
            </w:r>
            <w:r>
              <w:rPr>
                <w:rFonts w:hint="eastAsia"/>
              </w:rPr>
              <w:t>水</w:t>
            </w:r>
          </w:p>
        </w:tc>
        <w:tc>
          <w:tcPr>
            <w:tcW w:w="644" w:type="pct"/>
            <w:vAlign w:val="center"/>
          </w:tcPr>
          <w:p w14:paraId="031BC045">
            <w:pPr>
              <w:pStyle w:val="75"/>
            </w:pPr>
            <w:r>
              <w:rPr>
                <w:rFonts w:hint="eastAsia"/>
              </w:rPr>
              <w:t>0.14</w:t>
            </w:r>
          </w:p>
        </w:tc>
      </w:tr>
      <w:tr w14:paraId="253139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1" w:type="pct"/>
            <w:gridSpan w:val="2"/>
            <w:vAlign w:val="center"/>
          </w:tcPr>
          <w:p w14:paraId="0924A397">
            <w:pPr>
              <w:pStyle w:val="75"/>
            </w:pPr>
            <w:r>
              <w:rPr>
                <w:rFonts w:hint="eastAsia"/>
              </w:rPr>
              <w:t>车间地面清洗废水</w:t>
            </w:r>
          </w:p>
        </w:tc>
        <w:tc>
          <w:tcPr>
            <w:tcW w:w="1993" w:type="pct"/>
            <w:vAlign w:val="center"/>
          </w:tcPr>
          <w:p w14:paraId="5DA49931">
            <w:pPr>
              <w:pStyle w:val="75"/>
            </w:pPr>
            <w:r>
              <w:rPr>
                <w:rFonts w:hint="eastAsia"/>
              </w:rPr>
              <w:t>每天1次，每次2</w:t>
            </w:r>
            <w:r>
              <w:rPr>
                <w:rFonts w:hint="eastAsia" w:hAnsi="宋体"/>
                <w:szCs w:val="24"/>
              </w:rPr>
              <w:t>m</w:t>
            </w:r>
            <w:r>
              <w:rPr>
                <w:rFonts w:hint="eastAsia" w:hAnsi="宋体"/>
                <w:szCs w:val="24"/>
                <w:vertAlign w:val="superscript"/>
              </w:rPr>
              <w:t>3</w:t>
            </w:r>
            <w:r>
              <w:rPr>
                <w:rFonts w:hint="eastAsia"/>
              </w:rPr>
              <w:t>水</w:t>
            </w:r>
          </w:p>
        </w:tc>
        <w:tc>
          <w:tcPr>
            <w:tcW w:w="644" w:type="pct"/>
            <w:vAlign w:val="center"/>
          </w:tcPr>
          <w:p w14:paraId="0E95D5A1">
            <w:pPr>
              <w:pStyle w:val="75"/>
            </w:pPr>
            <w:r>
              <w:rPr>
                <w:rFonts w:hint="eastAsia"/>
              </w:rPr>
              <w:t>2</w:t>
            </w:r>
          </w:p>
        </w:tc>
      </w:tr>
      <w:tr w14:paraId="134190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1" w:type="pct"/>
            <w:gridSpan w:val="2"/>
            <w:vAlign w:val="center"/>
          </w:tcPr>
          <w:p w14:paraId="6C7351C5">
            <w:pPr>
              <w:pStyle w:val="75"/>
              <w:rPr>
                <w:b/>
                <w:bCs/>
                <w:highlight w:val="yellow"/>
              </w:rPr>
            </w:pPr>
            <w:r>
              <w:rPr>
                <w:rFonts w:hint="eastAsia"/>
                <w:b/>
                <w:bCs/>
              </w:rPr>
              <w:t>合计</w:t>
            </w:r>
          </w:p>
        </w:tc>
        <w:tc>
          <w:tcPr>
            <w:tcW w:w="1993" w:type="pct"/>
            <w:vAlign w:val="center"/>
          </w:tcPr>
          <w:p w14:paraId="1F14E55C">
            <w:pPr>
              <w:pStyle w:val="75"/>
              <w:rPr>
                <w:b/>
                <w:bCs/>
                <w:highlight w:val="yellow"/>
              </w:rPr>
            </w:pPr>
            <w:r>
              <w:rPr>
                <w:rFonts w:hint="eastAsia"/>
                <w:b/>
                <w:bCs/>
              </w:rPr>
              <w:t>/</w:t>
            </w:r>
          </w:p>
        </w:tc>
        <w:tc>
          <w:tcPr>
            <w:tcW w:w="644" w:type="pct"/>
            <w:vAlign w:val="center"/>
          </w:tcPr>
          <w:p w14:paraId="7FAFB862">
            <w:pPr>
              <w:pStyle w:val="75"/>
              <w:rPr>
                <w:rFonts w:hint="default" w:eastAsia="宋体"/>
                <w:b/>
                <w:bCs/>
                <w:lang w:val="en-US" w:eastAsia="zh-CN"/>
              </w:rPr>
            </w:pPr>
            <w:r>
              <w:rPr>
                <w:rFonts w:hint="eastAsia"/>
                <w:b/>
                <w:bCs/>
                <w:lang w:val="en-US" w:eastAsia="zh-CN"/>
              </w:rPr>
              <w:t>52.618</w:t>
            </w:r>
          </w:p>
        </w:tc>
      </w:tr>
    </w:tbl>
    <w:p w14:paraId="2C958FBF">
      <w:pPr>
        <w:pStyle w:val="13"/>
        <w:spacing w:line="240" w:lineRule="auto"/>
        <w:ind w:firstLine="420"/>
        <w:rPr>
          <w:rFonts w:hint="default" w:ascii="Times New Roman" w:hAnsi="Times New Roman" w:eastAsia="宋体" w:cs="Times New Roman"/>
          <w:b/>
          <w:bCs w:val="0"/>
        </w:rPr>
      </w:pPr>
      <w:r>
        <w:rPr>
          <w:rFonts w:hint="default" w:ascii="Times New Roman" w:hAnsi="Times New Roman" w:eastAsia="宋体" w:cs="Times New Roman"/>
          <w:b/>
          <w:bCs w:val="0"/>
        </w:rPr>
        <w:t>注：企业年工作300天，月工作25天，</w:t>
      </w:r>
      <w:r>
        <w:rPr>
          <w:rFonts w:hint="eastAsia" w:ascii="Times New Roman" w:hAnsi="Times New Roman" w:eastAsia="宋体" w:cs="Times New Roman"/>
          <w:b/>
          <w:bCs w:val="0"/>
        </w:rPr>
        <w:t>日工作24</w:t>
      </w:r>
      <w:r>
        <w:rPr>
          <w:rFonts w:hint="default" w:ascii="Times New Roman" w:hAnsi="Times New Roman" w:eastAsia="宋体" w:cs="Times New Roman"/>
          <w:b/>
          <w:bCs w:val="0"/>
        </w:rPr>
        <w:t>h，槽液按槽体积的</w:t>
      </w:r>
      <w:r>
        <w:rPr>
          <w:rFonts w:hint="eastAsia" w:ascii="Times New Roman" w:hAnsi="Times New Roman" w:eastAsia="宋体" w:cs="Times New Roman"/>
          <w:b/>
          <w:bCs w:val="0"/>
          <w:lang w:val="en-US" w:eastAsia="zh-CN"/>
        </w:rPr>
        <w:t>70</w:t>
      </w:r>
      <w:r>
        <w:rPr>
          <w:rFonts w:hint="default" w:ascii="Times New Roman" w:hAnsi="Times New Roman" w:eastAsia="宋体" w:cs="Times New Roman"/>
          <w:b/>
          <w:bCs w:val="0"/>
        </w:rPr>
        <w:t>%核算。</w:t>
      </w:r>
    </w:p>
    <w:p w14:paraId="00B86A6F">
      <w:pPr>
        <w:pStyle w:val="72"/>
        <w:ind w:firstLine="482"/>
      </w:pPr>
      <w:r>
        <w:rPr>
          <w:rFonts w:hint="eastAsia"/>
          <w:b/>
        </w:rPr>
        <w:t>（</w:t>
      </w:r>
      <w:r>
        <w:rPr>
          <w:rFonts w:hint="eastAsia"/>
          <w:b/>
          <w:lang w:val="en-US" w:eastAsia="zh-CN"/>
        </w:rPr>
        <w:t>3</w:t>
      </w:r>
      <w:r>
        <w:rPr>
          <w:rFonts w:hint="eastAsia"/>
          <w:b/>
        </w:rPr>
        <w:t>）综合废水</w:t>
      </w:r>
    </w:p>
    <w:p w14:paraId="19346B0A">
      <w:pPr>
        <w:pStyle w:val="72"/>
      </w:pPr>
      <w:r>
        <w:rPr>
          <w:rFonts w:hint="eastAsia"/>
        </w:rPr>
        <w:t>本项目综合废水主要为除油废槽液、除油后水洗废水、除油后水洗槽定期更换</w:t>
      </w:r>
      <w:r>
        <w:rPr>
          <w:rFonts w:hint="eastAsia"/>
          <w:lang w:eastAsia="zh-CN"/>
        </w:rPr>
        <w:t>、</w:t>
      </w:r>
      <w:r>
        <w:rPr>
          <w:rFonts w:hint="eastAsia"/>
        </w:rPr>
        <w:t>酸洗废槽液、酸洗后水洗废水、酸洗后水洗槽定期更换水</w:t>
      </w:r>
      <w:r>
        <w:rPr>
          <w:rFonts w:hint="eastAsia"/>
          <w:lang w:eastAsia="zh-CN"/>
        </w:rPr>
        <w:t>、</w:t>
      </w:r>
      <w:r>
        <w:rPr>
          <w:rFonts w:hint="eastAsia"/>
          <w:lang w:val="en-US" w:eastAsia="zh-CN"/>
        </w:rPr>
        <w:t>封闭废槽液、封闭后水洗废水以及封闭后水洗废水定期更换水。</w:t>
      </w:r>
      <w:r>
        <w:rPr>
          <w:rFonts w:hint="eastAsia"/>
        </w:rPr>
        <w:t>企业拟建设综合废水处理系统1套，对该废水进行处理达标后经厂区总排口排放。本项目综合废水产生量情况见下表。</w:t>
      </w:r>
    </w:p>
    <w:p w14:paraId="61539B6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3.6-12</w:t>
      </w:r>
      <w:r>
        <w:rPr>
          <w:rFonts w:hint="eastAsia"/>
        </w:rPr>
        <w:t xml:space="preserve">   </w:t>
      </w:r>
      <w:r>
        <w:rPr>
          <w:rFonts w:hint="eastAsia"/>
          <w:lang w:val="en-US" w:eastAsia="zh-CN"/>
        </w:rPr>
        <w:t xml:space="preserve"> </w:t>
      </w:r>
      <w:r>
        <w:rPr>
          <w:rFonts w:hint="eastAsia"/>
        </w:rPr>
        <w:t>本项目综合废水排放量确定表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2767"/>
        <w:gridCol w:w="3664"/>
        <w:gridCol w:w="1087"/>
      </w:tblGrid>
      <w:tr w14:paraId="77913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Align w:val="center"/>
          </w:tcPr>
          <w:p w14:paraId="749EC901">
            <w:pPr>
              <w:pStyle w:val="75"/>
              <w:rPr>
                <w:b/>
              </w:rPr>
            </w:pPr>
            <w:r>
              <w:rPr>
                <w:rFonts w:hint="eastAsia"/>
                <w:b/>
              </w:rPr>
              <w:t>产水位置</w:t>
            </w:r>
          </w:p>
        </w:tc>
        <w:tc>
          <w:tcPr>
            <w:tcW w:w="1622" w:type="pct"/>
            <w:vAlign w:val="center"/>
          </w:tcPr>
          <w:p w14:paraId="0A922F04">
            <w:pPr>
              <w:pStyle w:val="75"/>
              <w:rPr>
                <w:b/>
              </w:rPr>
            </w:pPr>
            <w:r>
              <w:rPr>
                <w:rFonts w:hint="eastAsia"/>
                <w:b/>
              </w:rPr>
              <w:t>工序</w:t>
            </w:r>
          </w:p>
        </w:tc>
        <w:tc>
          <w:tcPr>
            <w:tcW w:w="2148" w:type="pct"/>
            <w:vAlign w:val="center"/>
          </w:tcPr>
          <w:p w14:paraId="2522657A">
            <w:pPr>
              <w:pStyle w:val="75"/>
              <w:rPr>
                <w:b/>
              </w:rPr>
            </w:pPr>
            <w:r>
              <w:rPr>
                <w:rFonts w:hint="eastAsia"/>
                <w:b/>
              </w:rPr>
              <w:t>设计参数</w:t>
            </w:r>
          </w:p>
        </w:tc>
        <w:tc>
          <w:tcPr>
            <w:tcW w:w="637" w:type="pct"/>
            <w:vAlign w:val="center"/>
          </w:tcPr>
          <w:p w14:paraId="339BB590">
            <w:pPr>
              <w:pStyle w:val="75"/>
              <w:rPr>
                <w:b/>
              </w:rPr>
            </w:pPr>
            <w:r>
              <w:rPr>
                <w:rFonts w:hint="eastAsia"/>
                <w:b/>
              </w:rPr>
              <w:t>废水量（m</w:t>
            </w:r>
            <w:r>
              <w:rPr>
                <w:rFonts w:hint="eastAsia"/>
                <w:b/>
                <w:vertAlign w:val="superscript"/>
              </w:rPr>
              <w:t>3</w:t>
            </w:r>
            <w:r>
              <w:rPr>
                <w:rFonts w:hint="eastAsia"/>
                <w:b/>
              </w:rPr>
              <w:t>/d）</w:t>
            </w:r>
          </w:p>
        </w:tc>
      </w:tr>
      <w:tr w14:paraId="4F82D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restart"/>
            <w:vAlign w:val="center"/>
          </w:tcPr>
          <w:p w14:paraId="18043A42">
            <w:pPr>
              <w:pStyle w:val="75"/>
              <w:jc w:val="left"/>
            </w:pPr>
            <w:r>
              <w:rPr>
                <w:rFonts w:hint="eastAsia"/>
              </w:rPr>
              <w:t>电池钢壳</w:t>
            </w:r>
            <w:r>
              <w:rPr>
                <w:rFonts w:hint="eastAsia"/>
                <w:lang w:val="en-US" w:eastAsia="zh-CN"/>
              </w:rPr>
              <w:t>3</w:t>
            </w:r>
            <w:r>
              <w:rPr>
                <w:rFonts w:hint="eastAsia"/>
              </w:rPr>
              <w:t>条生产线</w:t>
            </w:r>
          </w:p>
        </w:tc>
        <w:tc>
          <w:tcPr>
            <w:tcW w:w="1622" w:type="pct"/>
            <w:vAlign w:val="center"/>
          </w:tcPr>
          <w:p w14:paraId="753BA375">
            <w:pPr>
              <w:pStyle w:val="75"/>
            </w:pPr>
            <w:r>
              <w:rPr>
                <w:rFonts w:hint="eastAsia"/>
              </w:rPr>
              <w:t>除油废槽液</w:t>
            </w:r>
          </w:p>
        </w:tc>
        <w:tc>
          <w:tcPr>
            <w:tcW w:w="2148" w:type="pct"/>
            <w:vAlign w:val="center"/>
          </w:tcPr>
          <w:p w14:paraId="0BFAA329">
            <w:pPr>
              <w:pStyle w:val="75"/>
            </w:pPr>
            <w:r>
              <w:rPr>
                <w:rFonts w:hint="eastAsia"/>
              </w:rPr>
              <w:t>槽总体积</w:t>
            </w:r>
            <w:r>
              <w:rPr>
                <w:rFonts w:hint="eastAsia"/>
                <w:lang w:val="en-US" w:eastAsia="zh-CN"/>
              </w:rPr>
              <w:t>95.04</w:t>
            </w:r>
            <w:r>
              <w:rPr>
                <w:rFonts w:hint="eastAsia"/>
              </w:rPr>
              <w:t>m</w:t>
            </w:r>
            <w:r>
              <w:rPr>
                <w:rFonts w:hint="eastAsia"/>
                <w:vertAlign w:val="superscript"/>
              </w:rPr>
              <w:t>3</w:t>
            </w:r>
            <w:r>
              <w:rPr>
                <w:rFonts w:hint="eastAsia"/>
              </w:rPr>
              <w:t>，3个月更换一次</w:t>
            </w:r>
          </w:p>
        </w:tc>
        <w:tc>
          <w:tcPr>
            <w:tcW w:w="637" w:type="pct"/>
            <w:vAlign w:val="center"/>
          </w:tcPr>
          <w:p w14:paraId="295225DA">
            <w:pPr>
              <w:pStyle w:val="75"/>
              <w:rPr>
                <w:rFonts w:hint="default" w:eastAsia="宋体"/>
                <w:lang w:val="en-US" w:eastAsia="zh-CN"/>
              </w:rPr>
            </w:pPr>
            <w:r>
              <w:rPr>
                <w:rFonts w:hint="eastAsia"/>
                <w:lang w:val="en-US" w:eastAsia="zh-CN"/>
              </w:rPr>
              <w:t>0.887</w:t>
            </w:r>
          </w:p>
        </w:tc>
      </w:tr>
      <w:tr w14:paraId="4DFFE6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6A00D8A9">
            <w:pPr>
              <w:pStyle w:val="75"/>
            </w:pPr>
          </w:p>
        </w:tc>
        <w:tc>
          <w:tcPr>
            <w:tcW w:w="1622" w:type="pct"/>
            <w:vAlign w:val="center"/>
          </w:tcPr>
          <w:p w14:paraId="3D84BD49">
            <w:pPr>
              <w:pStyle w:val="75"/>
            </w:pPr>
            <w:r>
              <w:rPr>
                <w:rFonts w:hint="eastAsia"/>
              </w:rPr>
              <w:t>除油后水洗、热水洗废水</w:t>
            </w:r>
          </w:p>
        </w:tc>
        <w:tc>
          <w:tcPr>
            <w:tcW w:w="2148" w:type="pct"/>
            <w:vAlign w:val="center"/>
          </w:tcPr>
          <w:p w14:paraId="285E76F5">
            <w:pPr>
              <w:pStyle w:val="75"/>
            </w:pPr>
            <w:r>
              <w:rPr>
                <w:rFonts w:hint="eastAsia"/>
              </w:rPr>
              <w:t>槽总体积</w:t>
            </w:r>
            <w:r>
              <w:rPr>
                <w:rFonts w:hint="eastAsia"/>
                <w:lang w:val="en-US" w:eastAsia="zh-CN"/>
              </w:rPr>
              <w:t>41.58</w:t>
            </w:r>
            <w:r>
              <w:rPr>
                <w:rFonts w:hint="eastAsia"/>
              </w:rPr>
              <w:t>m</w:t>
            </w:r>
            <w:r>
              <w:rPr>
                <w:rFonts w:hint="eastAsia"/>
                <w:vertAlign w:val="superscript"/>
              </w:rPr>
              <w:t>3</w:t>
            </w:r>
            <w:r>
              <w:rPr>
                <w:rFonts w:hint="eastAsia"/>
              </w:rPr>
              <w:t>，1个月更换一次</w:t>
            </w:r>
          </w:p>
        </w:tc>
        <w:tc>
          <w:tcPr>
            <w:tcW w:w="637" w:type="pct"/>
            <w:vAlign w:val="center"/>
          </w:tcPr>
          <w:p w14:paraId="4B065BE3">
            <w:pPr>
              <w:pStyle w:val="75"/>
              <w:rPr>
                <w:rFonts w:hint="default" w:eastAsia="宋体"/>
                <w:lang w:val="en-US" w:eastAsia="zh-CN"/>
              </w:rPr>
            </w:pPr>
            <w:r>
              <w:rPr>
                <w:rFonts w:hint="eastAsia"/>
                <w:lang w:val="en-US" w:eastAsia="zh-CN"/>
              </w:rPr>
              <w:t>1.164</w:t>
            </w:r>
          </w:p>
        </w:tc>
      </w:tr>
      <w:tr w14:paraId="21C8F6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56801786">
            <w:pPr>
              <w:pStyle w:val="75"/>
            </w:pPr>
          </w:p>
        </w:tc>
        <w:tc>
          <w:tcPr>
            <w:tcW w:w="1622" w:type="pct"/>
            <w:vAlign w:val="center"/>
          </w:tcPr>
          <w:p w14:paraId="0B134A92">
            <w:pPr>
              <w:pStyle w:val="75"/>
            </w:pPr>
            <w:r>
              <w:rPr>
                <w:rFonts w:hint="eastAsia"/>
              </w:rPr>
              <w:t>除油后水洗槽定期更换水</w:t>
            </w:r>
          </w:p>
        </w:tc>
        <w:tc>
          <w:tcPr>
            <w:tcW w:w="2148" w:type="pct"/>
            <w:vAlign w:val="center"/>
          </w:tcPr>
          <w:p w14:paraId="7E20832D">
            <w:pPr>
              <w:pStyle w:val="75"/>
            </w:pPr>
            <w:r>
              <w:rPr>
                <w:rFonts w:hint="eastAsia"/>
              </w:rPr>
              <w:t>槽总体积</w:t>
            </w:r>
            <w:r>
              <w:rPr>
                <w:rFonts w:hint="eastAsia"/>
                <w:lang w:val="en-US" w:eastAsia="zh-CN"/>
              </w:rPr>
              <w:t>4.62</w:t>
            </w:r>
            <w:r>
              <w:rPr>
                <w:rFonts w:hint="eastAsia"/>
              </w:rPr>
              <w:t>m</w:t>
            </w:r>
            <w:r>
              <w:rPr>
                <w:rFonts w:hint="eastAsia"/>
                <w:vertAlign w:val="superscript"/>
              </w:rPr>
              <w:t>3</w:t>
            </w:r>
            <w:r>
              <w:rPr>
                <w:rFonts w:hint="eastAsia"/>
              </w:rPr>
              <w:t>，3个月更换一次</w:t>
            </w:r>
          </w:p>
        </w:tc>
        <w:tc>
          <w:tcPr>
            <w:tcW w:w="637" w:type="pct"/>
            <w:vAlign w:val="center"/>
          </w:tcPr>
          <w:p w14:paraId="405541C5">
            <w:pPr>
              <w:pStyle w:val="75"/>
              <w:rPr>
                <w:rFonts w:hint="default" w:eastAsia="宋体"/>
                <w:lang w:val="en-US" w:eastAsia="zh-CN"/>
              </w:rPr>
            </w:pPr>
            <w:r>
              <w:rPr>
                <w:rFonts w:hint="eastAsia"/>
                <w:lang w:val="en-US" w:eastAsia="zh-CN"/>
              </w:rPr>
              <w:t>0.044</w:t>
            </w:r>
          </w:p>
        </w:tc>
      </w:tr>
      <w:tr w14:paraId="72EC0D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35967E51">
            <w:pPr>
              <w:pStyle w:val="75"/>
            </w:pPr>
          </w:p>
        </w:tc>
        <w:tc>
          <w:tcPr>
            <w:tcW w:w="1622" w:type="pct"/>
            <w:vAlign w:val="center"/>
          </w:tcPr>
          <w:p w14:paraId="6978C3B6">
            <w:pPr>
              <w:pStyle w:val="75"/>
            </w:pPr>
            <w:r>
              <w:rPr>
                <w:rFonts w:hint="eastAsia"/>
              </w:rPr>
              <w:t>酸洗废槽液</w:t>
            </w:r>
          </w:p>
        </w:tc>
        <w:tc>
          <w:tcPr>
            <w:tcW w:w="2148" w:type="pct"/>
            <w:vAlign w:val="center"/>
          </w:tcPr>
          <w:p w14:paraId="58F91899">
            <w:pPr>
              <w:pStyle w:val="75"/>
            </w:pP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，每天更换1/8</w:t>
            </w:r>
          </w:p>
        </w:tc>
        <w:tc>
          <w:tcPr>
            <w:tcW w:w="637" w:type="pct"/>
            <w:vAlign w:val="center"/>
          </w:tcPr>
          <w:p w14:paraId="67318C9B">
            <w:pPr>
              <w:pStyle w:val="75"/>
              <w:rPr>
                <w:rFonts w:hint="default" w:eastAsia="宋体"/>
                <w:lang w:val="en-US" w:eastAsia="zh-CN"/>
              </w:rPr>
            </w:pPr>
            <w:r>
              <w:rPr>
                <w:rFonts w:hint="eastAsia"/>
                <w:lang w:val="en-US" w:eastAsia="zh-CN"/>
              </w:rPr>
              <w:t>0.809</w:t>
            </w:r>
          </w:p>
        </w:tc>
      </w:tr>
      <w:tr w14:paraId="5BDCA5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64C1216D">
            <w:pPr>
              <w:pStyle w:val="75"/>
            </w:pPr>
          </w:p>
        </w:tc>
        <w:tc>
          <w:tcPr>
            <w:tcW w:w="1622" w:type="pct"/>
            <w:vAlign w:val="center"/>
          </w:tcPr>
          <w:p w14:paraId="602C3C78">
            <w:pPr>
              <w:pStyle w:val="75"/>
            </w:pPr>
            <w:r>
              <w:rPr>
                <w:rFonts w:hint="eastAsia"/>
              </w:rPr>
              <w:t>酸洗后水洗废水</w:t>
            </w:r>
          </w:p>
        </w:tc>
        <w:tc>
          <w:tcPr>
            <w:tcW w:w="2148" w:type="pct"/>
            <w:vAlign w:val="center"/>
          </w:tcPr>
          <w:p w14:paraId="1C18BAB0">
            <w:pPr>
              <w:pStyle w:val="75"/>
              <w:jc w:val="left"/>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37" w:type="pct"/>
            <w:vAlign w:val="center"/>
          </w:tcPr>
          <w:p w14:paraId="7BBEA569">
            <w:pPr>
              <w:pStyle w:val="75"/>
              <w:rPr>
                <w:rFonts w:hint="default" w:eastAsia="宋体"/>
                <w:lang w:val="en-US" w:eastAsia="zh-CN"/>
              </w:rPr>
            </w:pPr>
            <w:r>
              <w:rPr>
                <w:rFonts w:hint="eastAsia"/>
                <w:lang w:val="en-US" w:eastAsia="zh-CN"/>
              </w:rPr>
              <w:t>14.486</w:t>
            </w:r>
          </w:p>
        </w:tc>
      </w:tr>
      <w:tr w14:paraId="6FE72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46980DAB">
            <w:pPr>
              <w:pStyle w:val="75"/>
            </w:pPr>
          </w:p>
        </w:tc>
        <w:tc>
          <w:tcPr>
            <w:tcW w:w="1622" w:type="pct"/>
            <w:vAlign w:val="center"/>
          </w:tcPr>
          <w:p w14:paraId="75D2DDE1">
            <w:pPr>
              <w:pStyle w:val="75"/>
              <w:rPr>
                <w:rFonts w:hint="default" w:eastAsia="宋体"/>
                <w:lang w:val="en-US" w:eastAsia="zh-CN"/>
              </w:rPr>
            </w:pPr>
            <w:r>
              <w:rPr>
                <w:rFonts w:hint="eastAsia"/>
                <w:lang w:val="en-US" w:eastAsia="zh-CN"/>
              </w:rPr>
              <w:t>封闭废槽液</w:t>
            </w:r>
          </w:p>
        </w:tc>
        <w:tc>
          <w:tcPr>
            <w:tcW w:w="2148" w:type="pct"/>
            <w:vAlign w:val="center"/>
          </w:tcPr>
          <w:p w14:paraId="3BD32DF6">
            <w:pPr>
              <w:pStyle w:val="75"/>
              <w:ind w:firstLine="0" w:firstLineChars="0"/>
              <w:rPr>
                <w:rFonts w:hint="eastAsia"/>
              </w:rPr>
            </w:pPr>
            <w:r>
              <w:rPr>
                <w:rFonts w:hint="eastAsia"/>
              </w:rPr>
              <w:t>槽总体积</w:t>
            </w:r>
            <w:r>
              <w:rPr>
                <w:rFonts w:hint="eastAsia"/>
                <w:lang w:val="en-US" w:eastAsia="zh-CN"/>
              </w:rPr>
              <w:t>13.86</w:t>
            </w:r>
            <w:r>
              <w:rPr>
                <w:rFonts w:hint="eastAsia"/>
              </w:rPr>
              <w:t>m</w:t>
            </w:r>
            <w:r>
              <w:rPr>
                <w:rFonts w:hint="eastAsia"/>
                <w:vertAlign w:val="superscript"/>
              </w:rPr>
              <w:t>3</w:t>
            </w:r>
            <w:r>
              <w:rPr>
                <w:rFonts w:hint="eastAsia"/>
              </w:rPr>
              <w:t>，1个月更换一次</w:t>
            </w:r>
          </w:p>
        </w:tc>
        <w:tc>
          <w:tcPr>
            <w:tcW w:w="637" w:type="pct"/>
            <w:vAlign w:val="center"/>
          </w:tcPr>
          <w:p w14:paraId="07BF76F0">
            <w:pPr>
              <w:pStyle w:val="75"/>
              <w:rPr>
                <w:rFonts w:hint="default"/>
                <w:lang w:val="en-US" w:eastAsia="zh-CN"/>
              </w:rPr>
            </w:pPr>
            <w:r>
              <w:rPr>
                <w:rFonts w:hint="eastAsia"/>
                <w:lang w:val="en-US" w:eastAsia="zh-CN"/>
              </w:rPr>
              <w:t>0.389</w:t>
            </w:r>
          </w:p>
        </w:tc>
      </w:tr>
      <w:tr w14:paraId="6101B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3DCEC312">
            <w:pPr>
              <w:pStyle w:val="75"/>
            </w:pPr>
          </w:p>
        </w:tc>
        <w:tc>
          <w:tcPr>
            <w:tcW w:w="1622" w:type="pct"/>
            <w:vAlign w:val="center"/>
          </w:tcPr>
          <w:p w14:paraId="7709B291">
            <w:pPr>
              <w:pStyle w:val="75"/>
              <w:rPr>
                <w:rFonts w:hint="default"/>
                <w:lang w:val="en-US" w:eastAsia="zh-CN"/>
              </w:rPr>
            </w:pPr>
            <w:r>
              <w:rPr>
                <w:rFonts w:hint="eastAsia"/>
                <w:lang w:val="en-US" w:eastAsia="zh-CN"/>
              </w:rPr>
              <w:t>封闭后水洗废水</w:t>
            </w:r>
          </w:p>
        </w:tc>
        <w:tc>
          <w:tcPr>
            <w:tcW w:w="2148" w:type="pct"/>
            <w:vAlign w:val="center"/>
          </w:tcPr>
          <w:p w14:paraId="544E48D0">
            <w:pPr>
              <w:pStyle w:val="75"/>
              <w:ind w:firstLine="0" w:firstLineChars="0"/>
              <w:jc w:val="left"/>
              <w:rPr>
                <w:rFonts w:hint="eastAsia"/>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9.24</w:t>
            </w:r>
            <w:r>
              <w:rPr>
                <w:rFonts w:hint="eastAsia"/>
              </w:rPr>
              <w:t>m</w:t>
            </w:r>
            <w:r>
              <w:rPr>
                <w:rFonts w:hint="eastAsia"/>
                <w:vertAlign w:val="superscript"/>
              </w:rPr>
              <w:t>3</w:t>
            </w:r>
            <w:r>
              <w:rPr>
                <w:rFonts w:hint="eastAsia"/>
              </w:rPr>
              <w:t>，3个月更换一次</w:t>
            </w:r>
          </w:p>
        </w:tc>
        <w:tc>
          <w:tcPr>
            <w:tcW w:w="637" w:type="pct"/>
            <w:vAlign w:val="center"/>
          </w:tcPr>
          <w:p w14:paraId="1E0DC863">
            <w:pPr>
              <w:pStyle w:val="75"/>
              <w:rPr>
                <w:rFonts w:hint="default"/>
                <w:lang w:val="en-US" w:eastAsia="zh-CN"/>
              </w:rPr>
            </w:pPr>
            <w:r>
              <w:rPr>
                <w:rFonts w:hint="eastAsia"/>
                <w:lang w:val="en-US" w:eastAsia="zh-CN"/>
              </w:rPr>
              <w:t>14.486</w:t>
            </w:r>
          </w:p>
        </w:tc>
      </w:tr>
      <w:tr w14:paraId="0031CE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restart"/>
            <w:vAlign w:val="center"/>
          </w:tcPr>
          <w:p w14:paraId="65127720">
            <w:pPr>
              <w:pStyle w:val="75"/>
            </w:pPr>
            <w:r>
              <w:rPr>
                <w:rFonts w:hint="eastAsia"/>
                <w:lang w:eastAsia="zh-CN"/>
              </w:rPr>
              <w:t>盖帽</w:t>
            </w:r>
            <w:r>
              <w:rPr>
                <w:rFonts w:hint="eastAsia"/>
              </w:rPr>
              <w:t>2条生产线</w:t>
            </w:r>
          </w:p>
        </w:tc>
        <w:tc>
          <w:tcPr>
            <w:tcW w:w="1622" w:type="pct"/>
            <w:vAlign w:val="center"/>
          </w:tcPr>
          <w:p w14:paraId="1070E99C">
            <w:pPr>
              <w:pStyle w:val="75"/>
              <w:rPr>
                <w:highlight w:val="none"/>
              </w:rPr>
            </w:pPr>
            <w:r>
              <w:rPr>
                <w:rFonts w:hint="eastAsia"/>
                <w:highlight w:val="none"/>
              </w:rPr>
              <w:t>除油废槽液</w:t>
            </w:r>
          </w:p>
        </w:tc>
        <w:tc>
          <w:tcPr>
            <w:tcW w:w="2148" w:type="pct"/>
            <w:vAlign w:val="center"/>
          </w:tcPr>
          <w:p w14:paraId="56BEB720">
            <w:pPr>
              <w:pStyle w:val="75"/>
              <w:rPr>
                <w:highlight w:val="none"/>
              </w:rPr>
            </w:pPr>
            <w:r>
              <w:rPr>
                <w:rFonts w:hint="eastAsia"/>
                <w:highlight w:val="none"/>
              </w:rPr>
              <w:t>槽总体积</w:t>
            </w:r>
            <w:r>
              <w:rPr>
                <w:rFonts w:hint="eastAsia"/>
                <w:highlight w:val="none"/>
                <w:lang w:val="en-US" w:eastAsia="zh-CN"/>
              </w:rPr>
              <w:t>36.864</w:t>
            </w:r>
            <w:r>
              <w:rPr>
                <w:rFonts w:hint="eastAsia"/>
                <w:highlight w:val="none"/>
              </w:rPr>
              <w:t>m</w:t>
            </w:r>
            <w:r>
              <w:rPr>
                <w:rFonts w:hint="eastAsia"/>
                <w:highlight w:val="none"/>
                <w:vertAlign w:val="superscript"/>
              </w:rPr>
              <w:t>3</w:t>
            </w:r>
            <w:r>
              <w:rPr>
                <w:rFonts w:hint="eastAsia"/>
                <w:highlight w:val="none"/>
              </w:rPr>
              <w:t>，3个月更换一次</w:t>
            </w:r>
          </w:p>
        </w:tc>
        <w:tc>
          <w:tcPr>
            <w:tcW w:w="637" w:type="pct"/>
            <w:vAlign w:val="center"/>
          </w:tcPr>
          <w:p w14:paraId="6D841BF7">
            <w:pPr>
              <w:pStyle w:val="75"/>
              <w:rPr>
                <w:rFonts w:hint="default" w:eastAsia="宋体"/>
                <w:highlight w:val="none"/>
                <w:lang w:val="en-US" w:eastAsia="zh-CN"/>
              </w:rPr>
            </w:pPr>
            <w:r>
              <w:rPr>
                <w:rFonts w:hint="eastAsia"/>
                <w:highlight w:val="none"/>
                <w:lang w:val="en-US" w:eastAsia="zh-CN"/>
              </w:rPr>
              <w:t>0.344</w:t>
            </w:r>
          </w:p>
        </w:tc>
      </w:tr>
      <w:tr w14:paraId="71225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0B977348">
            <w:pPr>
              <w:pStyle w:val="75"/>
              <w:rPr>
                <w:rFonts w:hint="eastAsia"/>
              </w:rPr>
            </w:pPr>
          </w:p>
        </w:tc>
        <w:tc>
          <w:tcPr>
            <w:tcW w:w="1622" w:type="pct"/>
            <w:shd w:val="clear" w:color="auto" w:fill="auto"/>
            <w:vAlign w:val="center"/>
          </w:tcPr>
          <w:p w14:paraId="25A29095">
            <w:pPr>
              <w:pStyle w:val="75"/>
              <w:ind w:firstLine="0" w:firstLineChars="0"/>
              <w:rPr>
                <w:rFonts w:hint="eastAsia" w:ascii="Times New Roman" w:hAnsi="Times New Roman" w:eastAsia="宋体" w:cs="Times New Roman"/>
                <w:sz w:val="21"/>
                <w:szCs w:val="21"/>
                <w:highlight w:val="none"/>
                <w:lang w:val="en-US" w:eastAsia="zh-CN" w:bidi="ar-SA"/>
              </w:rPr>
            </w:pPr>
            <w:r>
              <w:rPr>
                <w:rFonts w:hint="eastAsia"/>
                <w:highlight w:val="none"/>
              </w:rPr>
              <w:t>除油后水洗、热水洗废水</w:t>
            </w:r>
          </w:p>
        </w:tc>
        <w:tc>
          <w:tcPr>
            <w:tcW w:w="2148" w:type="pct"/>
            <w:shd w:val="clear" w:color="auto" w:fill="auto"/>
            <w:vAlign w:val="center"/>
          </w:tcPr>
          <w:p w14:paraId="0E4D0934">
            <w:pPr>
              <w:pStyle w:val="75"/>
              <w:ind w:firstLine="0" w:firstLineChars="0"/>
              <w:rPr>
                <w:rFonts w:hint="eastAsia" w:ascii="Times New Roman" w:hAnsi="Times New Roman" w:eastAsia="宋体" w:cs="Times New Roman"/>
                <w:sz w:val="21"/>
                <w:szCs w:val="21"/>
                <w:highlight w:val="none"/>
                <w:lang w:val="en-US" w:eastAsia="zh-CN" w:bidi="ar-SA"/>
              </w:rPr>
            </w:pPr>
            <w:r>
              <w:rPr>
                <w:rFonts w:hint="eastAsia"/>
                <w:highlight w:val="none"/>
              </w:rPr>
              <w:t>槽总体积</w:t>
            </w:r>
            <w:r>
              <w:rPr>
                <w:rFonts w:hint="eastAsia"/>
                <w:highlight w:val="none"/>
                <w:lang w:val="en-US" w:eastAsia="zh-CN"/>
              </w:rPr>
              <w:t>4.992</w:t>
            </w:r>
            <w:r>
              <w:rPr>
                <w:rFonts w:hint="eastAsia"/>
                <w:highlight w:val="none"/>
              </w:rPr>
              <w:t>m</w:t>
            </w:r>
            <w:r>
              <w:rPr>
                <w:rFonts w:hint="eastAsia"/>
                <w:highlight w:val="none"/>
                <w:vertAlign w:val="superscript"/>
              </w:rPr>
              <w:t>3</w:t>
            </w:r>
            <w:r>
              <w:rPr>
                <w:rFonts w:hint="eastAsia"/>
                <w:highlight w:val="none"/>
              </w:rPr>
              <w:t>，1个月更换一次</w:t>
            </w:r>
          </w:p>
        </w:tc>
        <w:tc>
          <w:tcPr>
            <w:tcW w:w="637" w:type="pct"/>
            <w:vAlign w:val="center"/>
          </w:tcPr>
          <w:p w14:paraId="23F509C7">
            <w:pPr>
              <w:pStyle w:val="75"/>
              <w:rPr>
                <w:rFonts w:hint="default"/>
                <w:highlight w:val="none"/>
                <w:lang w:val="en-US" w:eastAsia="zh-CN"/>
              </w:rPr>
            </w:pPr>
            <w:r>
              <w:rPr>
                <w:rFonts w:hint="eastAsia"/>
                <w:highlight w:val="none"/>
                <w:lang w:val="en-US" w:eastAsia="zh-CN"/>
              </w:rPr>
              <w:t>0.140</w:t>
            </w:r>
          </w:p>
        </w:tc>
      </w:tr>
      <w:tr w14:paraId="379111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5B8CBC89">
            <w:pPr>
              <w:pStyle w:val="75"/>
            </w:pPr>
          </w:p>
        </w:tc>
        <w:tc>
          <w:tcPr>
            <w:tcW w:w="1622" w:type="pct"/>
            <w:vAlign w:val="center"/>
          </w:tcPr>
          <w:p w14:paraId="4356C980">
            <w:pPr>
              <w:pStyle w:val="75"/>
              <w:rPr>
                <w:highlight w:val="none"/>
              </w:rPr>
            </w:pPr>
            <w:r>
              <w:rPr>
                <w:rFonts w:hint="eastAsia"/>
                <w:highlight w:val="none"/>
              </w:rPr>
              <w:t>除油后水洗废水</w:t>
            </w:r>
          </w:p>
        </w:tc>
        <w:tc>
          <w:tcPr>
            <w:tcW w:w="2148" w:type="pct"/>
            <w:vAlign w:val="center"/>
          </w:tcPr>
          <w:p w14:paraId="737D18DB">
            <w:pPr>
              <w:pStyle w:val="75"/>
              <w:jc w:val="left"/>
              <w:rPr>
                <w:highlight w:val="none"/>
              </w:rPr>
            </w:pPr>
            <w:r>
              <w:rPr>
                <w:rFonts w:hint="eastAsia"/>
                <w:highlight w:val="none"/>
              </w:rPr>
              <w:t>水洗流量</w:t>
            </w:r>
            <w:r>
              <w:rPr>
                <w:rFonts w:hint="eastAsia"/>
                <w:highlight w:val="none"/>
                <w:lang w:val="en-US" w:eastAsia="zh-CN"/>
              </w:rPr>
              <w:t>0.2</w:t>
            </w:r>
            <w:r>
              <w:rPr>
                <w:rFonts w:hint="eastAsia"/>
                <w:highlight w:val="none"/>
              </w:rPr>
              <w:t>m</w:t>
            </w:r>
            <w:r>
              <w:rPr>
                <w:rFonts w:hint="eastAsia"/>
                <w:highlight w:val="none"/>
                <w:vertAlign w:val="superscript"/>
              </w:rPr>
              <w:t>3</w:t>
            </w:r>
            <w:r>
              <w:rPr>
                <w:rFonts w:hint="eastAsia"/>
                <w:highlight w:val="none"/>
              </w:rPr>
              <w:t>/h，槽总体积</w:t>
            </w:r>
            <w:r>
              <w:rPr>
                <w:rFonts w:hint="eastAsia"/>
                <w:highlight w:val="none"/>
                <w:lang w:val="en-US" w:eastAsia="zh-CN"/>
              </w:rPr>
              <w:t>3.328</w:t>
            </w:r>
            <w:r>
              <w:rPr>
                <w:rFonts w:hint="eastAsia"/>
                <w:highlight w:val="none"/>
              </w:rPr>
              <w:t>m</w:t>
            </w:r>
            <w:r>
              <w:rPr>
                <w:rFonts w:hint="eastAsia"/>
                <w:highlight w:val="none"/>
                <w:vertAlign w:val="superscript"/>
              </w:rPr>
              <w:t>3</w:t>
            </w:r>
            <w:r>
              <w:rPr>
                <w:rFonts w:hint="eastAsia"/>
                <w:highlight w:val="none"/>
              </w:rPr>
              <w:t>，3个月更换一次</w:t>
            </w:r>
          </w:p>
        </w:tc>
        <w:tc>
          <w:tcPr>
            <w:tcW w:w="637" w:type="pct"/>
            <w:vAlign w:val="center"/>
          </w:tcPr>
          <w:p w14:paraId="212F886A">
            <w:pPr>
              <w:pStyle w:val="75"/>
              <w:rPr>
                <w:rFonts w:hint="default" w:eastAsia="宋体"/>
                <w:highlight w:val="none"/>
                <w:lang w:val="en-US" w:eastAsia="zh-CN"/>
              </w:rPr>
            </w:pPr>
            <w:r>
              <w:rPr>
                <w:rFonts w:hint="eastAsia"/>
                <w:highlight w:val="none"/>
                <w:lang w:val="en-US" w:eastAsia="zh-CN"/>
              </w:rPr>
              <w:t>9.631</w:t>
            </w:r>
          </w:p>
        </w:tc>
      </w:tr>
      <w:tr w14:paraId="47CE63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1246B73E">
            <w:pPr>
              <w:pStyle w:val="75"/>
            </w:pPr>
          </w:p>
        </w:tc>
        <w:tc>
          <w:tcPr>
            <w:tcW w:w="1622" w:type="pct"/>
            <w:vAlign w:val="center"/>
          </w:tcPr>
          <w:p w14:paraId="3DF0710F">
            <w:pPr>
              <w:pStyle w:val="75"/>
              <w:rPr>
                <w:highlight w:val="none"/>
              </w:rPr>
            </w:pPr>
            <w:r>
              <w:rPr>
                <w:rFonts w:hint="eastAsia"/>
                <w:highlight w:val="none"/>
              </w:rPr>
              <w:t>酸洗废槽液</w:t>
            </w:r>
          </w:p>
        </w:tc>
        <w:tc>
          <w:tcPr>
            <w:tcW w:w="2148" w:type="pct"/>
            <w:vAlign w:val="center"/>
          </w:tcPr>
          <w:p w14:paraId="4C2E1461">
            <w:pPr>
              <w:pStyle w:val="75"/>
              <w:rPr>
                <w:highlight w:val="none"/>
              </w:rPr>
            </w:pPr>
            <w:r>
              <w:rPr>
                <w:rFonts w:hint="eastAsia"/>
                <w:highlight w:val="none"/>
              </w:rPr>
              <w:t>槽总体积</w:t>
            </w:r>
            <w:r>
              <w:rPr>
                <w:rFonts w:hint="eastAsia"/>
                <w:highlight w:val="none"/>
                <w:lang w:val="en-US" w:eastAsia="zh-CN"/>
              </w:rPr>
              <w:t>3.328</w:t>
            </w:r>
            <w:r>
              <w:rPr>
                <w:rFonts w:hint="eastAsia"/>
                <w:highlight w:val="none"/>
              </w:rPr>
              <w:t>m</w:t>
            </w:r>
            <w:r>
              <w:rPr>
                <w:rFonts w:hint="eastAsia"/>
                <w:highlight w:val="none"/>
                <w:vertAlign w:val="superscript"/>
              </w:rPr>
              <w:t>3</w:t>
            </w:r>
            <w:r>
              <w:rPr>
                <w:rFonts w:hint="eastAsia"/>
                <w:highlight w:val="none"/>
              </w:rPr>
              <w:t>，每天更换1/8</w:t>
            </w:r>
          </w:p>
        </w:tc>
        <w:tc>
          <w:tcPr>
            <w:tcW w:w="637" w:type="pct"/>
            <w:vAlign w:val="center"/>
          </w:tcPr>
          <w:p w14:paraId="1ED0B577">
            <w:pPr>
              <w:pStyle w:val="75"/>
              <w:rPr>
                <w:rFonts w:hint="default" w:eastAsia="宋体"/>
                <w:highlight w:val="none"/>
                <w:lang w:val="en-US" w:eastAsia="zh-CN"/>
              </w:rPr>
            </w:pPr>
            <w:r>
              <w:rPr>
                <w:rFonts w:hint="eastAsia"/>
                <w:highlight w:val="none"/>
                <w:lang w:val="en-US" w:eastAsia="zh-CN"/>
              </w:rPr>
              <w:t>0.291</w:t>
            </w:r>
          </w:p>
        </w:tc>
      </w:tr>
      <w:tr w14:paraId="42E7B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53BCEA95">
            <w:pPr>
              <w:pStyle w:val="75"/>
            </w:pPr>
          </w:p>
        </w:tc>
        <w:tc>
          <w:tcPr>
            <w:tcW w:w="1622" w:type="pct"/>
            <w:vAlign w:val="center"/>
          </w:tcPr>
          <w:p w14:paraId="118045ED">
            <w:pPr>
              <w:pStyle w:val="75"/>
              <w:rPr>
                <w:highlight w:val="none"/>
              </w:rPr>
            </w:pPr>
            <w:r>
              <w:rPr>
                <w:rFonts w:hint="eastAsia"/>
                <w:highlight w:val="none"/>
              </w:rPr>
              <w:t>酸洗后水洗废水</w:t>
            </w:r>
          </w:p>
        </w:tc>
        <w:tc>
          <w:tcPr>
            <w:tcW w:w="2148" w:type="pct"/>
            <w:vAlign w:val="center"/>
          </w:tcPr>
          <w:p w14:paraId="010748E1">
            <w:pPr>
              <w:pStyle w:val="75"/>
              <w:jc w:val="left"/>
              <w:rPr>
                <w:highlight w:val="none"/>
              </w:rPr>
            </w:pPr>
            <w:r>
              <w:rPr>
                <w:rFonts w:hint="eastAsia"/>
                <w:highlight w:val="none"/>
              </w:rPr>
              <w:t>水洗流量</w:t>
            </w:r>
            <w:r>
              <w:rPr>
                <w:rFonts w:hint="eastAsia"/>
                <w:highlight w:val="none"/>
                <w:lang w:val="en-US" w:eastAsia="zh-CN"/>
              </w:rPr>
              <w:t>0.2</w:t>
            </w:r>
            <w:r>
              <w:rPr>
                <w:rFonts w:hint="eastAsia"/>
                <w:highlight w:val="none"/>
              </w:rPr>
              <w:t>m</w:t>
            </w:r>
            <w:r>
              <w:rPr>
                <w:rFonts w:hint="eastAsia"/>
                <w:highlight w:val="none"/>
                <w:vertAlign w:val="superscript"/>
              </w:rPr>
              <w:t>3</w:t>
            </w:r>
            <w:r>
              <w:rPr>
                <w:rFonts w:hint="eastAsia"/>
                <w:highlight w:val="none"/>
              </w:rPr>
              <w:t>/h，槽总体积</w:t>
            </w:r>
            <w:r>
              <w:rPr>
                <w:rFonts w:hint="eastAsia"/>
                <w:highlight w:val="none"/>
                <w:lang w:val="en-US" w:eastAsia="zh-CN"/>
              </w:rPr>
              <w:t>3.328</w:t>
            </w:r>
            <w:r>
              <w:rPr>
                <w:rFonts w:hint="eastAsia"/>
                <w:highlight w:val="none"/>
              </w:rPr>
              <w:t>m</w:t>
            </w:r>
            <w:r>
              <w:rPr>
                <w:rFonts w:hint="eastAsia"/>
                <w:highlight w:val="none"/>
                <w:vertAlign w:val="superscript"/>
              </w:rPr>
              <w:t>3</w:t>
            </w:r>
            <w:r>
              <w:rPr>
                <w:rFonts w:hint="eastAsia"/>
                <w:highlight w:val="none"/>
              </w:rPr>
              <w:t>，3个月更换一次</w:t>
            </w:r>
          </w:p>
        </w:tc>
        <w:tc>
          <w:tcPr>
            <w:tcW w:w="637" w:type="pct"/>
            <w:vAlign w:val="center"/>
          </w:tcPr>
          <w:p w14:paraId="0F83808F">
            <w:pPr>
              <w:pStyle w:val="75"/>
              <w:rPr>
                <w:rFonts w:hint="default" w:eastAsia="宋体"/>
                <w:highlight w:val="none"/>
                <w:lang w:val="en-US" w:eastAsia="zh-CN"/>
              </w:rPr>
            </w:pPr>
            <w:r>
              <w:rPr>
                <w:rFonts w:hint="eastAsia"/>
                <w:highlight w:val="none"/>
                <w:lang w:val="en-US" w:eastAsia="zh-CN"/>
              </w:rPr>
              <w:t>9.631</w:t>
            </w:r>
          </w:p>
        </w:tc>
      </w:tr>
      <w:tr w14:paraId="6866B9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7B9A6022">
            <w:pPr>
              <w:pStyle w:val="75"/>
            </w:pPr>
          </w:p>
        </w:tc>
        <w:tc>
          <w:tcPr>
            <w:tcW w:w="2767" w:type="dxa"/>
            <w:vAlign w:val="center"/>
          </w:tcPr>
          <w:p w14:paraId="7BAAE58D">
            <w:pPr>
              <w:pStyle w:val="75"/>
              <w:ind w:firstLine="0" w:firstLineChars="0"/>
              <w:rPr>
                <w:rFonts w:hint="default" w:eastAsia="宋体"/>
                <w:highlight w:val="none"/>
                <w:lang w:val="en-US" w:eastAsia="zh-CN"/>
              </w:rPr>
            </w:pPr>
            <w:r>
              <w:rPr>
                <w:rFonts w:hint="eastAsia"/>
                <w:highlight w:val="none"/>
                <w:lang w:val="en-US" w:eastAsia="zh-CN"/>
              </w:rPr>
              <w:t>封闭废槽液</w:t>
            </w:r>
          </w:p>
        </w:tc>
        <w:tc>
          <w:tcPr>
            <w:tcW w:w="3664" w:type="dxa"/>
            <w:vAlign w:val="center"/>
          </w:tcPr>
          <w:p w14:paraId="088C8D24">
            <w:pPr>
              <w:pStyle w:val="75"/>
              <w:ind w:firstLine="0" w:firstLineChars="0"/>
              <w:rPr>
                <w:rFonts w:hint="eastAsia"/>
                <w:highlight w:val="none"/>
              </w:rPr>
            </w:pPr>
            <w:r>
              <w:rPr>
                <w:rFonts w:hint="eastAsia"/>
                <w:highlight w:val="none"/>
              </w:rPr>
              <w:t>槽总体积</w:t>
            </w:r>
            <w:r>
              <w:rPr>
                <w:rFonts w:hint="eastAsia"/>
                <w:highlight w:val="none"/>
                <w:lang w:val="en-US" w:eastAsia="zh-CN"/>
              </w:rPr>
              <w:t>3.328</w:t>
            </w:r>
            <w:r>
              <w:rPr>
                <w:rFonts w:hint="eastAsia"/>
                <w:highlight w:val="none"/>
              </w:rPr>
              <w:t>m</w:t>
            </w:r>
            <w:r>
              <w:rPr>
                <w:rFonts w:hint="eastAsia"/>
                <w:highlight w:val="none"/>
                <w:vertAlign w:val="superscript"/>
              </w:rPr>
              <w:t>3</w:t>
            </w:r>
            <w:r>
              <w:rPr>
                <w:rFonts w:hint="eastAsia"/>
                <w:highlight w:val="none"/>
              </w:rPr>
              <w:t>，1个月更换一次</w:t>
            </w:r>
          </w:p>
        </w:tc>
        <w:tc>
          <w:tcPr>
            <w:tcW w:w="637" w:type="pct"/>
            <w:vAlign w:val="center"/>
          </w:tcPr>
          <w:p w14:paraId="4FF2D41D">
            <w:pPr>
              <w:pStyle w:val="75"/>
              <w:rPr>
                <w:rFonts w:hint="default"/>
                <w:highlight w:val="none"/>
                <w:lang w:val="en-US" w:eastAsia="zh-CN"/>
              </w:rPr>
            </w:pPr>
            <w:r>
              <w:rPr>
                <w:rFonts w:hint="eastAsia"/>
                <w:highlight w:val="none"/>
                <w:lang w:val="en-US" w:eastAsia="zh-CN"/>
              </w:rPr>
              <w:t>0.093</w:t>
            </w:r>
          </w:p>
        </w:tc>
      </w:tr>
      <w:tr w14:paraId="0BCB9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36E6945C">
            <w:pPr>
              <w:pStyle w:val="75"/>
            </w:pPr>
          </w:p>
        </w:tc>
        <w:tc>
          <w:tcPr>
            <w:tcW w:w="2767" w:type="dxa"/>
            <w:vAlign w:val="center"/>
          </w:tcPr>
          <w:p w14:paraId="32550786">
            <w:pPr>
              <w:pStyle w:val="75"/>
              <w:ind w:firstLine="0" w:firstLineChars="0"/>
              <w:rPr>
                <w:rFonts w:hint="eastAsia"/>
                <w:highlight w:val="none"/>
              </w:rPr>
            </w:pPr>
            <w:r>
              <w:rPr>
                <w:rFonts w:hint="eastAsia"/>
                <w:highlight w:val="none"/>
                <w:lang w:val="en-US" w:eastAsia="zh-CN"/>
              </w:rPr>
              <w:t>封闭后水洗废水</w:t>
            </w:r>
          </w:p>
        </w:tc>
        <w:tc>
          <w:tcPr>
            <w:tcW w:w="3664" w:type="dxa"/>
            <w:vAlign w:val="center"/>
          </w:tcPr>
          <w:p w14:paraId="3932D393">
            <w:pPr>
              <w:pStyle w:val="75"/>
              <w:ind w:firstLine="0" w:firstLineChars="0"/>
              <w:jc w:val="left"/>
              <w:rPr>
                <w:rFonts w:hint="eastAsia"/>
                <w:highlight w:val="none"/>
              </w:rPr>
            </w:pPr>
            <w:r>
              <w:rPr>
                <w:rFonts w:hint="eastAsia"/>
                <w:highlight w:val="none"/>
              </w:rPr>
              <w:t>水洗流量</w:t>
            </w:r>
            <w:r>
              <w:rPr>
                <w:rFonts w:hint="eastAsia"/>
                <w:highlight w:val="none"/>
                <w:lang w:val="en-US" w:eastAsia="zh-CN"/>
              </w:rPr>
              <w:t>0.2</w:t>
            </w:r>
            <w:r>
              <w:rPr>
                <w:rFonts w:hint="eastAsia"/>
                <w:highlight w:val="none"/>
              </w:rPr>
              <w:t>m</w:t>
            </w:r>
            <w:r>
              <w:rPr>
                <w:rFonts w:hint="eastAsia"/>
                <w:highlight w:val="none"/>
                <w:vertAlign w:val="superscript"/>
              </w:rPr>
              <w:t>3</w:t>
            </w:r>
            <w:r>
              <w:rPr>
                <w:rFonts w:hint="eastAsia"/>
                <w:highlight w:val="none"/>
              </w:rPr>
              <w:t>/h，槽总体积</w:t>
            </w:r>
            <w:r>
              <w:rPr>
                <w:rFonts w:hint="eastAsia"/>
                <w:highlight w:val="none"/>
                <w:lang w:val="en-US" w:eastAsia="zh-CN"/>
              </w:rPr>
              <w:t>3.328</w:t>
            </w:r>
            <w:r>
              <w:rPr>
                <w:rFonts w:hint="eastAsia"/>
                <w:highlight w:val="none"/>
              </w:rPr>
              <w:t>m</w:t>
            </w:r>
            <w:r>
              <w:rPr>
                <w:rFonts w:hint="eastAsia"/>
                <w:highlight w:val="none"/>
                <w:vertAlign w:val="superscript"/>
              </w:rPr>
              <w:t>3</w:t>
            </w:r>
            <w:r>
              <w:rPr>
                <w:rFonts w:hint="eastAsia"/>
                <w:highlight w:val="none"/>
              </w:rPr>
              <w:t>，3个月更换一次</w:t>
            </w:r>
          </w:p>
        </w:tc>
        <w:tc>
          <w:tcPr>
            <w:tcW w:w="637" w:type="pct"/>
            <w:vAlign w:val="center"/>
          </w:tcPr>
          <w:p w14:paraId="6C0235D8">
            <w:pPr>
              <w:pStyle w:val="75"/>
              <w:rPr>
                <w:rFonts w:hint="default"/>
                <w:highlight w:val="none"/>
                <w:lang w:val="en-US" w:eastAsia="zh-CN"/>
              </w:rPr>
            </w:pPr>
            <w:r>
              <w:rPr>
                <w:rFonts w:hint="eastAsia"/>
                <w:highlight w:val="none"/>
                <w:lang w:val="en-US" w:eastAsia="zh-CN"/>
              </w:rPr>
              <w:t>9.631</w:t>
            </w:r>
          </w:p>
        </w:tc>
      </w:tr>
      <w:tr w14:paraId="7ADE9B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restart"/>
            <w:vAlign w:val="center"/>
          </w:tcPr>
          <w:p w14:paraId="67566289">
            <w:pPr>
              <w:pStyle w:val="75"/>
              <w:jc w:val="left"/>
            </w:pPr>
            <w:r>
              <w:rPr>
                <w:rFonts w:hint="eastAsia"/>
              </w:rPr>
              <w:t>电池连接件</w:t>
            </w:r>
            <w:r>
              <w:rPr>
                <w:rFonts w:hint="eastAsia"/>
                <w:lang w:val="en-US" w:eastAsia="zh-CN"/>
              </w:rPr>
              <w:t>6</w:t>
            </w:r>
            <w:r>
              <w:rPr>
                <w:rFonts w:hint="eastAsia"/>
              </w:rPr>
              <w:t>条生产线</w:t>
            </w:r>
          </w:p>
        </w:tc>
        <w:tc>
          <w:tcPr>
            <w:tcW w:w="1622" w:type="pct"/>
            <w:vAlign w:val="center"/>
          </w:tcPr>
          <w:p w14:paraId="780EFDEE">
            <w:pPr>
              <w:pStyle w:val="75"/>
            </w:pPr>
            <w:r>
              <w:rPr>
                <w:rFonts w:hint="eastAsia"/>
                <w:lang w:val="en-US" w:eastAsia="zh-CN"/>
              </w:rPr>
              <w:t>超声</w:t>
            </w:r>
            <w:r>
              <w:rPr>
                <w:rFonts w:hint="eastAsia"/>
              </w:rPr>
              <w:t>除油废槽液</w:t>
            </w:r>
          </w:p>
        </w:tc>
        <w:tc>
          <w:tcPr>
            <w:tcW w:w="2148" w:type="pct"/>
            <w:vAlign w:val="center"/>
          </w:tcPr>
          <w:p w14:paraId="72307D55">
            <w:pPr>
              <w:pStyle w:val="75"/>
            </w:pPr>
            <w:r>
              <w:rPr>
                <w:rFonts w:hint="eastAsia"/>
              </w:rPr>
              <w:t>槽总体积</w:t>
            </w:r>
            <w:r>
              <w:rPr>
                <w:rFonts w:hint="eastAsia"/>
                <w:lang w:val="en-US" w:eastAsia="zh-CN"/>
              </w:rPr>
              <w:t>2.079</w:t>
            </w:r>
            <w:r>
              <w:rPr>
                <w:rFonts w:hint="eastAsia"/>
              </w:rPr>
              <w:t>m</w:t>
            </w:r>
            <w:r>
              <w:rPr>
                <w:rFonts w:hint="eastAsia"/>
                <w:vertAlign w:val="superscript"/>
              </w:rPr>
              <w:t>3</w:t>
            </w:r>
            <w:r>
              <w:rPr>
                <w:rFonts w:hint="eastAsia"/>
              </w:rPr>
              <w:t>，3个月更换一次</w:t>
            </w:r>
          </w:p>
        </w:tc>
        <w:tc>
          <w:tcPr>
            <w:tcW w:w="637" w:type="pct"/>
            <w:vAlign w:val="center"/>
          </w:tcPr>
          <w:p w14:paraId="4945190B">
            <w:pPr>
              <w:pStyle w:val="75"/>
              <w:rPr>
                <w:rFonts w:hint="default" w:eastAsia="宋体"/>
                <w:lang w:val="en-US" w:eastAsia="zh-CN"/>
              </w:rPr>
            </w:pPr>
            <w:r>
              <w:rPr>
                <w:rFonts w:hint="eastAsia"/>
                <w:lang w:val="en-US" w:eastAsia="zh-CN"/>
              </w:rPr>
              <w:t>0.018</w:t>
            </w:r>
          </w:p>
        </w:tc>
      </w:tr>
      <w:tr w14:paraId="6F353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2A6E7A63">
            <w:pPr>
              <w:pStyle w:val="75"/>
            </w:pPr>
          </w:p>
        </w:tc>
        <w:tc>
          <w:tcPr>
            <w:tcW w:w="1622" w:type="pct"/>
            <w:vAlign w:val="center"/>
          </w:tcPr>
          <w:p w14:paraId="6B59F37E">
            <w:pPr>
              <w:pStyle w:val="75"/>
            </w:pPr>
            <w:r>
              <w:rPr>
                <w:rFonts w:hint="eastAsia"/>
              </w:rPr>
              <w:t>电解除油废槽液</w:t>
            </w:r>
          </w:p>
        </w:tc>
        <w:tc>
          <w:tcPr>
            <w:tcW w:w="2148" w:type="pct"/>
            <w:vAlign w:val="center"/>
          </w:tcPr>
          <w:p w14:paraId="74DF0635">
            <w:pPr>
              <w:pStyle w:val="75"/>
            </w:pPr>
            <w:r>
              <w:rPr>
                <w:rFonts w:hint="eastAsia"/>
              </w:rPr>
              <w:t>槽总体积</w:t>
            </w:r>
            <w:r>
              <w:rPr>
                <w:rFonts w:hint="eastAsia"/>
                <w:lang w:val="en-US" w:eastAsia="zh-CN"/>
              </w:rPr>
              <w:t>6.237</w:t>
            </w:r>
            <w:r>
              <w:rPr>
                <w:rFonts w:hint="eastAsia"/>
              </w:rPr>
              <w:t>m</w:t>
            </w:r>
            <w:r>
              <w:rPr>
                <w:rFonts w:hint="eastAsia"/>
                <w:vertAlign w:val="superscript"/>
              </w:rPr>
              <w:t>3</w:t>
            </w:r>
            <w:r>
              <w:rPr>
                <w:rFonts w:hint="eastAsia"/>
              </w:rPr>
              <w:t>，3个月更换一次</w:t>
            </w:r>
          </w:p>
        </w:tc>
        <w:tc>
          <w:tcPr>
            <w:tcW w:w="637" w:type="pct"/>
            <w:vAlign w:val="center"/>
          </w:tcPr>
          <w:p w14:paraId="2AFE0C93">
            <w:pPr>
              <w:pStyle w:val="75"/>
              <w:rPr>
                <w:rFonts w:hint="default" w:eastAsia="宋体"/>
                <w:lang w:val="en-US" w:eastAsia="zh-CN"/>
              </w:rPr>
            </w:pPr>
            <w:r>
              <w:rPr>
                <w:rFonts w:hint="eastAsia"/>
                <w:lang w:val="en-US" w:eastAsia="zh-CN"/>
              </w:rPr>
              <w:t>0.057</w:t>
            </w:r>
          </w:p>
        </w:tc>
      </w:tr>
      <w:tr w14:paraId="128DE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68924429">
            <w:pPr>
              <w:pStyle w:val="75"/>
            </w:pPr>
          </w:p>
        </w:tc>
        <w:tc>
          <w:tcPr>
            <w:tcW w:w="1622" w:type="pct"/>
            <w:vAlign w:val="center"/>
          </w:tcPr>
          <w:p w14:paraId="4E4DB7D4">
            <w:pPr>
              <w:pStyle w:val="75"/>
            </w:pPr>
            <w:r>
              <w:rPr>
                <w:rFonts w:hint="eastAsia"/>
              </w:rPr>
              <w:t>电解除油后</w:t>
            </w:r>
            <w:r>
              <w:rPr>
                <w:rFonts w:hint="eastAsia"/>
                <w:lang w:val="en-US" w:eastAsia="zh-CN"/>
              </w:rPr>
              <w:t>浸</w:t>
            </w:r>
            <w:r>
              <w:rPr>
                <w:rFonts w:hint="eastAsia"/>
              </w:rPr>
              <w:t>水洗废水</w:t>
            </w:r>
          </w:p>
        </w:tc>
        <w:tc>
          <w:tcPr>
            <w:tcW w:w="2148" w:type="pct"/>
            <w:vAlign w:val="center"/>
          </w:tcPr>
          <w:p w14:paraId="16921F2D">
            <w:pPr>
              <w:pStyle w:val="75"/>
              <w:jc w:val="left"/>
              <w:rPr>
                <w:rFonts w:hint="eastAsia" w:eastAsia="宋体"/>
                <w:lang w:eastAsia="zh-CN"/>
              </w:rPr>
            </w:pPr>
            <w:r>
              <w:rPr>
                <w:rFonts w:hint="eastAsia"/>
              </w:rPr>
              <w:t>水洗流量</w:t>
            </w:r>
            <w:r>
              <w:rPr>
                <w:rFonts w:hint="eastAsia"/>
                <w:lang w:val="en-US" w:eastAsia="zh-CN"/>
              </w:rPr>
              <w:t>0.2</w:t>
            </w:r>
            <w:r>
              <w:rPr>
                <w:rFonts w:hint="eastAsia"/>
              </w:rPr>
              <w:t>m</w:t>
            </w:r>
            <w:r>
              <w:rPr>
                <w:rFonts w:hint="eastAsia"/>
                <w:vertAlign w:val="superscript"/>
              </w:rPr>
              <w:t>3</w:t>
            </w:r>
            <w:r>
              <w:rPr>
                <w:rFonts w:hint="eastAsia"/>
              </w:rPr>
              <w:t>/h</w:t>
            </w:r>
            <w:r>
              <w:rPr>
                <w:rFonts w:hint="eastAsia"/>
                <w:lang w:eastAsia="zh-CN"/>
              </w:rPr>
              <w:t>，</w:t>
            </w:r>
            <w:r>
              <w:rPr>
                <w:rFonts w:hint="eastAsia"/>
              </w:rPr>
              <w:t>槽总体积</w:t>
            </w:r>
            <w:r>
              <w:rPr>
                <w:rFonts w:hint="eastAsia"/>
                <w:lang w:val="en-US" w:eastAsia="zh-CN"/>
              </w:rPr>
              <w:t>1.782</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637" w:type="pct"/>
            <w:vAlign w:val="center"/>
          </w:tcPr>
          <w:p w14:paraId="7EC2CF0B">
            <w:pPr>
              <w:pStyle w:val="75"/>
              <w:rPr>
                <w:rFonts w:hint="default" w:eastAsia="宋体"/>
                <w:lang w:val="en-US" w:eastAsia="zh-CN"/>
              </w:rPr>
            </w:pPr>
            <w:r>
              <w:rPr>
                <w:rFonts w:hint="eastAsia"/>
                <w:lang w:val="en-US" w:eastAsia="zh-CN"/>
              </w:rPr>
              <w:t>29.216</w:t>
            </w:r>
          </w:p>
        </w:tc>
      </w:tr>
      <w:tr w14:paraId="1FBF6B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47BE28B0">
            <w:pPr>
              <w:pStyle w:val="75"/>
            </w:pPr>
          </w:p>
        </w:tc>
        <w:tc>
          <w:tcPr>
            <w:tcW w:w="1622" w:type="pct"/>
            <w:shd w:val="clear" w:color="auto" w:fill="auto"/>
            <w:vAlign w:val="center"/>
          </w:tcPr>
          <w:p w14:paraId="3F80D1D6">
            <w:pPr>
              <w:pStyle w:val="75"/>
              <w:ind w:firstLine="0" w:firstLineChars="0"/>
              <w:rPr>
                <w:rFonts w:hint="eastAsia" w:ascii="Times New Roman" w:hAnsi="Times New Roman" w:eastAsia="宋体" w:cs="Times New Roman"/>
                <w:sz w:val="21"/>
                <w:szCs w:val="21"/>
                <w:lang w:val="en-US" w:eastAsia="zh-CN" w:bidi="ar-SA"/>
              </w:rPr>
            </w:pPr>
            <w:r>
              <w:rPr>
                <w:rFonts w:hint="eastAsia"/>
              </w:rPr>
              <w:t>电解除油后</w:t>
            </w:r>
            <w:r>
              <w:rPr>
                <w:rFonts w:hint="eastAsia"/>
                <w:lang w:val="en-US" w:eastAsia="zh-CN"/>
              </w:rPr>
              <w:t>水洗</w:t>
            </w:r>
            <w:r>
              <w:rPr>
                <w:rFonts w:hint="eastAsia"/>
              </w:rPr>
              <w:t>废水</w:t>
            </w:r>
          </w:p>
        </w:tc>
        <w:tc>
          <w:tcPr>
            <w:tcW w:w="2148" w:type="pct"/>
            <w:shd w:val="clear" w:color="auto" w:fill="auto"/>
            <w:vAlign w:val="center"/>
          </w:tcPr>
          <w:p w14:paraId="329D04E2">
            <w:pPr>
              <w:pStyle w:val="75"/>
              <w:ind w:firstLine="0" w:firstLineChars="0"/>
              <w:rPr>
                <w:rFonts w:hint="eastAsia" w:ascii="Times New Roman" w:hAnsi="Times New Roman" w:eastAsia="宋体" w:cs="Times New Roman"/>
                <w:sz w:val="21"/>
                <w:szCs w:val="21"/>
                <w:lang w:val="en-US" w:eastAsia="zh-CN" w:bidi="ar-SA"/>
              </w:rPr>
            </w:pPr>
            <w:r>
              <w:rPr>
                <w:rFonts w:hint="eastAsia"/>
              </w:rPr>
              <w:t>槽总体积</w:t>
            </w:r>
            <w:r>
              <w:rPr>
                <w:rFonts w:hint="eastAsia"/>
                <w:lang w:val="en-US" w:eastAsia="zh-CN"/>
              </w:rPr>
              <w:t>2.673</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637" w:type="pct"/>
            <w:vAlign w:val="center"/>
          </w:tcPr>
          <w:p w14:paraId="5E119327">
            <w:pPr>
              <w:pStyle w:val="75"/>
              <w:rPr>
                <w:rFonts w:hint="default"/>
                <w:lang w:val="en-US" w:eastAsia="zh-CN"/>
              </w:rPr>
            </w:pPr>
            <w:r>
              <w:rPr>
                <w:rFonts w:hint="eastAsia"/>
                <w:lang w:val="en-US" w:eastAsia="zh-CN"/>
              </w:rPr>
              <w:t>1.872</w:t>
            </w:r>
          </w:p>
        </w:tc>
      </w:tr>
      <w:tr w14:paraId="519E9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01F9EB7E">
            <w:pPr>
              <w:pStyle w:val="75"/>
            </w:pPr>
          </w:p>
        </w:tc>
        <w:tc>
          <w:tcPr>
            <w:tcW w:w="1622" w:type="pct"/>
            <w:vAlign w:val="center"/>
          </w:tcPr>
          <w:p w14:paraId="77BF66DA">
            <w:pPr>
              <w:pStyle w:val="75"/>
              <w:ind w:firstLine="0" w:firstLineChars="0"/>
              <w:rPr>
                <w:rFonts w:hint="eastAsia"/>
              </w:rPr>
            </w:pPr>
            <w:r>
              <w:rPr>
                <w:rFonts w:hint="eastAsia"/>
              </w:rPr>
              <w:t>酸洗废槽液</w:t>
            </w:r>
          </w:p>
        </w:tc>
        <w:tc>
          <w:tcPr>
            <w:tcW w:w="2148" w:type="pct"/>
            <w:vAlign w:val="center"/>
          </w:tcPr>
          <w:p w14:paraId="7E9B412A">
            <w:pPr>
              <w:pStyle w:val="75"/>
              <w:ind w:firstLine="0" w:firstLineChars="0"/>
              <w:rPr>
                <w:rFonts w:hint="eastAsia"/>
              </w:rPr>
            </w:pPr>
            <w:r>
              <w:rPr>
                <w:rFonts w:hint="eastAsia"/>
              </w:rPr>
              <w:t>槽总体积</w:t>
            </w:r>
            <w:r>
              <w:rPr>
                <w:rFonts w:hint="eastAsia"/>
                <w:lang w:val="en-US" w:eastAsia="zh-CN"/>
              </w:rPr>
              <w:t>4.158</w:t>
            </w:r>
            <w:r>
              <w:rPr>
                <w:rFonts w:hint="eastAsia"/>
              </w:rPr>
              <w:t>m</w:t>
            </w:r>
            <w:r>
              <w:rPr>
                <w:rFonts w:hint="eastAsia"/>
                <w:vertAlign w:val="superscript"/>
              </w:rPr>
              <w:t>3</w:t>
            </w:r>
            <w:r>
              <w:rPr>
                <w:rFonts w:hint="eastAsia"/>
              </w:rPr>
              <w:t>，每天更换1/8</w:t>
            </w:r>
          </w:p>
        </w:tc>
        <w:tc>
          <w:tcPr>
            <w:tcW w:w="637" w:type="pct"/>
            <w:vAlign w:val="center"/>
          </w:tcPr>
          <w:p w14:paraId="1F025CFD">
            <w:pPr>
              <w:pStyle w:val="75"/>
              <w:rPr>
                <w:rFonts w:hint="default"/>
                <w:lang w:val="en-US" w:eastAsia="zh-CN"/>
              </w:rPr>
            </w:pPr>
            <w:r>
              <w:rPr>
                <w:rFonts w:hint="eastAsia"/>
                <w:lang w:val="en-US" w:eastAsia="zh-CN"/>
              </w:rPr>
              <w:t>0.366</w:t>
            </w:r>
          </w:p>
        </w:tc>
      </w:tr>
      <w:tr w14:paraId="74BE02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2" w:type="pct"/>
            <w:vMerge w:val="continue"/>
            <w:vAlign w:val="center"/>
          </w:tcPr>
          <w:p w14:paraId="5E5EA3C6">
            <w:pPr>
              <w:pStyle w:val="75"/>
            </w:pPr>
          </w:p>
        </w:tc>
        <w:tc>
          <w:tcPr>
            <w:tcW w:w="1622" w:type="pct"/>
            <w:vAlign w:val="center"/>
          </w:tcPr>
          <w:p w14:paraId="2DECEF06">
            <w:pPr>
              <w:pStyle w:val="75"/>
              <w:ind w:firstLine="0" w:firstLineChars="0"/>
              <w:rPr>
                <w:rFonts w:hint="eastAsia"/>
              </w:rPr>
            </w:pPr>
            <w:r>
              <w:rPr>
                <w:rFonts w:hint="eastAsia"/>
              </w:rPr>
              <w:t>酸洗后水洗槽定期更换水</w:t>
            </w:r>
          </w:p>
        </w:tc>
        <w:tc>
          <w:tcPr>
            <w:tcW w:w="2148" w:type="pct"/>
            <w:vAlign w:val="center"/>
          </w:tcPr>
          <w:p w14:paraId="626D058C">
            <w:pPr>
              <w:pStyle w:val="75"/>
              <w:ind w:firstLine="0" w:firstLineChars="0"/>
              <w:rPr>
                <w:rFonts w:hint="eastAsia"/>
              </w:rPr>
            </w:pPr>
            <w:r>
              <w:rPr>
                <w:rFonts w:hint="eastAsia"/>
              </w:rPr>
              <w:t>槽总体积</w:t>
            </w:r>
            <w:r>
              <w:rPr>
                <w:rFonts w:hint="eastAsia"/>
                <w:lang w:val="en-US" w:eastAsia="zh-CN"/>
              </w:rPr>
              <w:t>2.676</w:t>
            </w:r>
            <w:r>
              <w:rPr>
                <w:rFonts w:hint="eastAsia"/>
              </w:rPr>
              <w:t>m</w:t>
            </w:r>
            <w:r>
              <w:rPr>
                <w:rFonts w:hint="eastAsia"/>
                <w:vertAlign w:val="superscript"/>
              </w:rPr>
              <w:t>3</w:t>
            </w:r>
            <w:r>
              <w:rPr>
                <w:rFonts w:hint="eastAsia"/>
              </w:rPr>
              <w:t>，</w:t>
            </w:r>
            <w:r>
              <w:rPr>
                <w:rFonts w:hint="eastAsia"/>
                <w:lang w:val="en-US" w:eastAsia="zh-CN"/>
              </w:rPr>
              <w:t>每天</w:t>
            </w:r>
            <w:r>
              <w:rPr>
                <w:rFonts w:hint="eastAsia"/>
              </w:rPr>
              <w:t>更换一次</w:t>
            </w:r>
          </w:p>
        </w:tc>
        <w:tc>
          <w:tcPr>
            <w:tcW w:w="637" w:type="pct"/>
            <w:vAlign w:val="center"/>
          </w:tcPr>
          <w:p w14:paraId="5240304C">
            <w:pPr>
              <w:pStyle w:val="75"/>
              <w:rPr>
                <w:rFonts w:hint="default"/>
                <w:lang w:val="en-US" w:eastAsia="zh-CN"/>
              </w:rPr>
            </w:pPr>
            <w:r>
              <w:rPr>
                <w:rFonts w:hint="eastAsia"/>
                <w:lang w:val="en-US" w:eastAsia="zh-CN"/>
              </w:rPr>
              <w:t>1.872</w:t>
            </w:r>
          </w:p>
        </w:tc>
      </w:tr>
      <w:tr w14:paraId="72785D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62" w:type="pct"/>
            <w:gridSpan w:val="3"/>
            <w:vAlign w:val="center"/>
          </w:tcPr>
          <w:p w14:paraId="3FAA10CE">
            <w:pPr>
              <w:pStyle w:val="75"/>
              <w:rPr>
                <w:b/>
              </w:rPr>
            </w:pPr>
            <w:r>
              <w:rPr>
                <w:rFonts w:hint="eastAsia"/>
                <w:b/>
              </w:rPr>
              <w:t>综合废水总计</w:t>
            </w:r>
          </w:p>
        </w:tc>
        <w:tc>
          <w:tcPr>
            <w:tcW w:w="637" w:type="pct"/>
            <w:vAlign w:val="center"/>
          </w:tcPr>
          <w:p w14:paraId="7A538DEB">
            <w:pPr>
              <w:pStyle w:val="75"/>
              <w:rPr>
                <w:rFonts w:hint="default" w:eastAsia="宋体"/>
                <w:b/>
                <w:lang w:val="en-US" w:eastAsia="zh-CN"/>
              </w:rPr>
            </w:pPr>
            <w:r>
              <w:rPr>
                <w:rFonts w:hint="eastAsia"/>
                <w:b/>
                <w:lang w:val="en-US" w:eastAsia="zh-CN"/>
              </w:rPr>
              <w:t>95.427</w:t>
            </w:r>
          </w:p>
        </w:tc>
      </w:tr>
    </w:tbl>
    <w:p w14:paraId="5E3ABA78">
      <w:pPr>
        <w:pStyle w:val="13"/>
        <w:spacing w:line="240" w:lineRule="auto"/>
        <w:ind w:firstLine="420"/>
        <w:rPr>
          <w:rFonts w:hint="default" w:ascii="Times New Roman" w:hAnsi="Times New Roman" w:eastAsia="宋体" w:cs="Times New Roman"/>
          <w:b/>
          <w:bCs w:val="0"/>
        </w:rPr>
      </w:pPr>
      <w:r>
        <w:rPr>
          <w:rFonts w:hint="default" w:ascii="Times New Roman" w:hAnsi="Times New Roman" w:eastAsia="宋体" w:cs="Times New Roman"/>
          <w:b/>
          <w:bCs w:val="0"/>
        </w:rPr>
        <w:t>注：企业年工作300天，月工作25天</w:t>
      </w:r>
      <w:r>
        <w:rPr>
          <w:rFonts w:hint="eastAsia" w:ascii="Times New Roman" w:hAnsi="Times New Roman" w:eastAsia="宋体" w:cs="Times New Roman"/>
          <w:b/>
          <w:bCs w:val="0"/>
        </w:rPr>
        <w:t>，日工作24</w:t>
      </w:r>
      <w:r>
        <w:rPr>
          <w:rFonts w:hint="default" w:ascii="Times New Roman" w:hAnsi="Times New Roman" w:eastAsia="宋体" w:cs="Times New Roman"/>
          <w:b/>
          <w:bCs w:val="0"/>
        </w:rPr>
        <w:t>h，槽液按槽体积的</w:t>
      </w:r>
      <w:r>
        <w:rPr>
          <w:rFonts w:hint="eastAsia" w:ascii="Times New Roman" w:hAnsi="Times New Roman" w:eastAsia="宋体" w:cs="Times New Roman"/>
          <w:b/>
          <w:bCs w:val="0"/>
          <w:lang w:val="en-US" w:eastAsia="zh-CN"/>
        </w:rPr>
        <w:t>7</w:t>
      </w:r>
      <w:r>
        <w:rPr>
          <w:rFonts w:hint="default" w:ascii="Times New Roman" w:hAnsi="Times New Roman" w:eastAsia="宋体" w:cs="Times New Roman"/>
          <w:b/>
          <w:bCs w:val="0"/>
        </w:rPr>
        <w:t>0%核算。</w:t>
      </w:r>
    </w:p>
    <w:p w14:paraId="0E10705A">
      <w:pPr>
        <w:pStyle w:val="72"/>
        <w:ind w:firstLine="482"/>
        <w:rPr>
          <w:b/>
        </w:rPr>
      </w:pPr>
      <w:r>
        <w:rPr>
          <w:rFonts w:hint="eastAsia"/>
          <w:b/>
        </w:rPr>
        <w:t>（</w:t>
      </w:r>
      <w:r>
        <w:rPr>
          <w:rFonts w:hint="eastAsia"/>
          <w:b/>
          <w:lang w:val="en-US" w:eastAsia="zh-CN"/>
        </w:rPr>
        <w:t>4</w:t>
      </w:r>
      <w:r>
        <w:rPr>
          <w:rFonts w:hint="eastAsia"/>
          <w:b/>
        </w:rPr>
        <w:t>）生活污水</w:t>
      </w:r>
    </w:p>
    <w:p w14:paraId="27B2EF9C">
      <w:pPr>
        <w:ind w:firstLine="480"/>
      </w:pPr>
      <w:r>
        <w:rPr>
          <w:rFonts w:hint="eastAsia"/>
        </w:rPr>
        <w:t>本项目需要员工</w:t>
      </w:r>
      <w:r>
        <w:rPr>
          <w:rFonts w:hint="eastAsia"/>
          <w:lang w:val="en-US" w:eastAsia="zh-CN"/>
        </w:rPr>
        <w:t>22</w:t>
      </w:r>
      <w:r>
        <w:rPr>
          <w:rFonts w:hint="eastAsia"/>
        </w:rPr>
        <w:t>人，三班生产，年工作日300天，根据《工业与城镇生活用水定额》（DB41/T385-2020）和有关设计规范，并结合同类企业实际运行情况</w:t>
      </w:r>
      <w:r>
        <w:rPr>
          <w:rFonts w:hint="eastAsia"/>
          <w:lang w:eastAsia="zh-CN"/>
        </w:rPr>
        <w:t>，</w:t>
      </w:r>
      <w:r>
        <w:rPr>
          <w:rFonts w:hint="eastAsia"/>
        </w:rPr>
        <w:t>生活用水量按50L/d·人计，产污系数按80%计，则生活污水产生量为</w:t>
      </w:r>
      <w:r>
        <w:rPr>
          <w:rFonts w:hint="eastAsia"/>
          <w:lang w:val="en-US" w:eastAsia="zh-CN"/>
        </w:rPr>
        <w:t>1.1</w:t>
      </w:r>
      <w:r>
        <w:rPr>
          <w:rFonts w:hint="eastAsia"/>
        </w:rPr>
        <w:t>m</w:t>
      </w:r>
      <w:r>
        <w:rPr>
          <w:rFonts w:hint="eastAsia"/>
          <w:vertAlign w:val="superscript"/>
        </w:rPr>
        <w:t>3</w:t>
      </w:r>
      <w:r>
        <w:rPr>
          <w:rFonts w:hint="eastAsia"/>
        </w:rPr>
        <w:t>/d、排放量为</w:t>
      </w:r>
      <w:r>
        <w:rPr>
          <w:rFonts w:hint="eastAsia"/>
          <w:lang w:val="en-US" w:eastAsia="zh-CN"/>
        </w:rPr>
        <w:t>0.88</w:t>
      </w:r>
      <w:r>
        <w:rPr>
          <w:rFonts w:hint="eastAsia"/>
        </w:rPr>
        <w:t>m</w:t>
      </w:r>
      <w:r>
        <w:rPr>
          <w:rFonts w:hint="eastAsia"/>
          <w:vertAlign w:val="superscript"/>
        </w:rPr>
        <w:t>3</w:t>
      </w:r>
      <w:r>
        <w:rPr>
          <w:rFonts w:hint="eastAsia"/>
        </w:rPr>
        <w:t>/d。生活污水经化粪池处理后在厂区总排口排放</w:t>
      </w:r>
      <w:r>
        <w:rPr>
          <w:rFonts w:hint="eastAsia"/>
          <w:szCs w:val="24"/>
        </w:rPr>
        <w:t>。</w:t>
      </w:r>
    </w:p>
    <w:p w14:paraId="169EEF05">
      <w:pPr>
        <w:pStyle w:val="72"/>
        <w:ind w:firstLine="482"/>
        <w:rPr>
          <w:b/>
          <w:bCs w:val="0"/>
          <w:color w:val="000000" w:themeColor="text1"/>
          <w14:textFill>
            <w14:solidFill>
              <w14:schemeClr w14:val="tx1"/>
            </w14:solidFill>
          </w14:textFill>
        </w:rPr>
      </w:pPr>
      <w:r>
        <w:rPr>
          <w:rFonts w:hint="eastAsia"/>
          <w:b/>
          <w:bCs w:val="0"/>
          <w:color w:val="000000" w:themeColor="text1"/>
          <w14:textFill>
            <w14:solidFill>
              <w14:schemeClr w14:val="tx1"/>
            </w14:solidFill>
          </w14:textFill>
        </w:rPr>
        <w:t>（</w:t>
      </w:r>
      <w:r>
        <w:rPr>
          <w:rFonts w:hint="eastAsia"/>
          <w:b/>
          <w:bCs w:val="0"/>
          <w:color w:val="000000" w:themeColor="text1"/>
          <w:lang w:val="en-US" w:eastAsia="zh-CN"/>
          <w14:textFill>
            <w14:solidFill>
              <w14:schemeClr w14:val="tx1"/>
            </w14:solidFill>
          </w14:textFill>
        </w:rPr>
        <w:t>5</w:t>
      </w:r>
      <w:r>
        <w:rPr>
          <w:rFonts w:hint="eastAsia"/>
          <w:b/>
          <w:bCs w:val="0"/>
          <w:color w:val="000000" w:themeColor="text1"/>
          <w14:textFill>
            <w14:solidFill>
              <w14:schemeClr w14:val="tx1"/>
            </w14:solidFill>
          </w14:textFill>
        </w:rPr>
        <w:t>）纯水制备浓水</w:t>
      </w:r>
    </w:p>
    <w:p w14:paraId="6A4440E5">
      <w:pPr>
        <w:ind w:firstLine="480"/>
        <w:rPr>
          <w:bCs/>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根据水平衡核算，本项目需纯化水量为</w:t>
      </w:r>
      <w:r>
        <w:rPr>
          <w:rFonts w:hint="eastAsia"/>
          <w:color w:val="000000" w:themeColor="text1"/>
          <w:highlight w:val="none"/>
          <w:lang w:val="en-US" w:eastAsia="zh-CN"/>
          <w14:textFill>
            <w14:solidFill>
              <w14:schemeClr w14:val="tx1"/>
            </w14:solidFill>
          </w14:textFill>
        </w:rPr>
        <w:t>192.986</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/d，项目采用纯水设备制备纯水，其成水率约为70%，则需要新鲜水量为</w:t>
      </w:r>
      <w:r>
        <w:rPr>
          <w:rFonts w:hint="eastAsia"/>
          <w:color w:val="000000" w:themeColor="text1"/>
          <w:highlight w:val="none"/>
          <w:lang w:val="en-US" w:eastAsia="zh-CN"/>
          <w14:textFill>
            <w14:solidFill>
              <w14:schemeClr w14:val="tx1"/>
            </w14:solidFill>
          </w14:textFill>
        </w:rPr>
        <w:t>275.694</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/d，浓水产生量为</w:t>
      </w:r>
      <w:r>
        <w:rPr>
          <w:rFonts w:hint="eastAsia"/>
          <w:color w:val="000000" w:themeColor="text1"/>
          <w:highlight w:val="none"/>
          <w:lang w:val="en-US" w:eastAsia="zh-CN"/>
          <w14:textFill>
            <w14:solidFill>
              <w14:schemeClr w14:val="tx1"/>
            </w14:solidFill>
          </w14:textFill>
        </w:rPr>
        <w:t>82.708</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/d，其中除2.5m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/d用于车间地面清洗外，剩余浓水的</w:t>
      </w:r>
      <w:r>
        <w:rPr>
          <w:rFonts w:hint="eastAsia"/>
          <w:color w:val="000000" w:themeColor="text1"/>
          <w:highlight w:val="none"/>
          <w:lang w:val="en-US" w:eastAsia="zh-CN"/>
          <w14:textFill>
            <w14:solidFill>
              <w14:schemeClr w14:val="tx1"/>
            </w14:solidFill>
          </w14:textFill>
        </w:rPr>
        <w:t>80.208</w:t>
      </w:r>
      <w:r>
        <w:rPr>
          <w:rFonts w:hint="eastAsia"/>
          <w:color w:val="000000" w:themeColor="text1"/>
          <w:highlight w:val="none"/>
          <w14:textFill>
            <w14:solidFill>
              <w14:schemeClr w14:val="tx1"/>
            </w14:solidFill>
          </w14:textFill>
        </w:rPr>
        <w:t>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/d经厂区总排口排放</w:t>
      </w:r>
      <w:r>
        <w:rPr>
          <w:rFonts w:hint="eastAsia"/>
          <w:bCs/>
          <w:color w:val="000000" w:themeColor="text1"/>
          <w:highlight w:val="none"/>
          <w14:textFill>
            <w14:solidFill>
              <w14:schemeClr w14:val="tx1"/>
            </w14:solidFill>
          </w14:textFill>
        </w:rPr>
        <w:t>。</w:t>
      </w:r>
    </w:p>
    <w:p w14:paraId="6941AD62">
      <w:pPr>
        <w:pStyle w:val="72"/>
        <w:ind w:firstLine="482"/>
        <w:rPr>
          <w:rFonts w:hint="eastAsia"/>
          <w:b/>
          <w:lang w:val="en-US" w:eastAsia="zh-CN"/>
        </w:rPr>
      </w:pPr>
      <w:r>
        <w:rPr>
          <w:rFonts w:hint="eastAsia"/>
          <w:b/>
          <w:lang w:val="en-US" w:eastAsia="zh-CN"/>
        </w:rPr>
        <w:t>（6）冲压冷凝水</w:t>
      </w:r>
    </w:p>
    <w:p w14:paraId="2D5B49DB">
      <w:pPr>
        <w:ind w:firstLine="480"/>
        <w:rPr>
          <w:rFonts w:hint="eastAsia" w:ascii="Times New Roman" w:hAnsi="Times New Roman" w:eastAsia="宋体" w:cs="Times New Roman"/>
          <w:sz w:val="24"/>
          <w:lang w:val="en-US" w:eastAsia="zh-CN" w:bidi="ar-SA"/>
        </w:rPr>
      </w:pPr>
      <w:r>
        <w:rPr>
          <w:rFonts w:hint="eastAsia" w:ascii="Times New Roman" w:hAnsi="Times New Roman" w:eastAsia="宋体" w:cs="Times New Roman"/>
          <w:sz w:val="24"/>
          <w:lang w:val="en-US" w:eastAsia="zh-CN" w:bidi="ar-SA"/>
        </w:rPr>
        <w:t>本项目机加工设备冲压过程中需要使用冷凝水进行降温冷却，冷凝水需定期更换，根据水平衡核算及设备参数可知，冲压冷凝水定期更换水量为0.1m</w:t>
      </w:r>
      <w:r>
        <w:rPr>
          <w:rFonts w:hint="eastAsia" w:ascii="Times New Roman" w:hAnsi="Times New Roman" w:eastAsia="宋体" w:cs="Times New Roman"/>
          <w:sz w:val="24"/>
          <w:vertAlign w:val="superscript"/>
          <w:lang w:val="en-US" w:eastAsia="zh-CN" w:bidi="ar-SA"/>
        </w:rPr>
        <w:t>3</w:t>
      </w:r>
      <w:r>
        <w:rPr>
          <w:rFonts w:hint="eastAsia" w:ascii="Times New Roman" w:hAnsi="Times New Roman" w:eastAsia="宋体" w:cs="Times New Roman"/>
          <w:sz w:val="24"/>
          <w:lang w:val="en-US" w:eastAsia="zh-CN" w:bidi="ar-SA"/>
        </w:rPr>
        <w:t>/d。冲压冷凝水经厂区总排口排放。</w:t>
      </w:r>
    </w:p>
    <w:p w14:paraId="577A863A">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3.6.2.2水质确定及处理措施</w:t>
      </w:r>
    </w:p>
    <w:p w14:paraId="1A5B0BE9">
      <w:pPr>
        <w:ind w:firstLine="480"/>
      </w:pPr>
      <w:r>
        <w:rPr>
          <w:rFonts w:hint="eastAsia"/>
        </w:rPr>
        <w:t>本项目共设置含镍废水处理系统1套、含铬废水处理系统1套、综合废水处理系统1套，分别对含镍废水、含铬废水、综合废水进行处理。</w:t>
      </w:r>
      <w:r>
        <w:rPr>
          <w:rFonts w:hint="eastAsia"/>
          <w:color w:val="000000" w:themeColor="text1"/>
          <w14:textFill>
            <w14:solidFill>
              <w14:schemeClr w14:val="tx1"/>
            </w14:solidFill>
          </w14:textFill>
        </w:rPr>
        <w:t>含镍废水经处理后回用于镀镍后水洗</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漂白后水洗工段</w:t>
      </w:r>
      <w:r>
        <w:rPr>
          <w:rFonts w:hint="eastAsia"/>
          <w:color w:val="000000" w:themeColor="text1"/>
          <w14:textFill>
            <w14:solidFill>
              <w14:schemeClr w14:val="tx1"/>
            </w14:solidFill>
          </w14:textFill>
        </w:rPr>
        <w:t>和</w:t>
      </w:r>
      <w:r>
        <w:rPr>
          <w:rFonts w:hint="eastAsia"/>
          <w:color w:val="000000" w:themeColor="text1"/>
          <w:lang w:val="en-US" w:eastAsia="zh-CN"/>
          <w14:textFill>
            <w14:solidFill>
              <w14:schemeClr w14:val="tx1"/>
            </w14:solidFill>
          </w14:textFill>
        </w:rPr>
        <w:t>中和后</w:t>
      </w:r>
      <w:r>
        <w:rPr>
          <w:rFonts w:hint="eastAsia"/>
          <w:color w:val="000000" w:themeColor="text1"/>
          <w14:textFill>
            <w14:solidFill>
              <w14:schemeClr w14:val="tx1"/>
            </w14:solidFill>
          </w14:textFill>
        </w:rPr>
        <w:t>水洗工段；含铬废水经处理后回用于钝化后水</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中和后水洗工段；综</w:t>
      </w:r>
      <w:r>
        <w:rPr>
          <w:rFonts w:hint="eastAsia"/>
        </w:rPr>
        <w:t>合废水经处理后与纯水制备浓水、冲压冷凝水及经化粪池处理后的生活污水一起经厂区总排口排放。</w:t>
      </w:r>
    </w:p>
    <w:p w14:paraId="31E4AF8E">
      <w:pPr>
        <w:ind w:firstLine="480"/>
      </w:pPr>
      <w:r>
        <w:rPr>
          <w:rFonts w:hint="eastAsia"/>
        </w:rPr>
        <w:t>根据水平衡核算，本项目含镍废水产生量为</w:t>
      </w:r>
      <w:r>
        <w:rPr>
          <w:rFonts w:hint="eastAsia"/>
          <w:lang w:val="en-US" w:eastAsia="zh-CN"/>
        </w:rPr>
        <w:t>135.757</w:t>
      </w:r>
      <w:r>
        <w:rPr>
          <w:rFonts w:hint="eastAsia"/>
        </w:rPr>
        <w:t>m</w:t>
      </w:r>
      <w:r>
        <w:rPr>
          <w:rFonts w:hint="eastAsia"/>
          <w:vertAlign w:val="superscript"/>
        </w:rPr>
        <w:t>3</w:t>
      </w:r>
      <w:r>
        <w:rPr>
          <w:rFonts w:hint="eastAsia"/>
        </w:rPr>
        <w:t>/d、含铬废水产生量为</w:t>
      </w:r>
      <w:r>
        <w:rPr>
          <w:rFonts w:hint="eastAsia"/>
          <w:lang w:val="en-US" w:eastAsia="zh-CN"/>
        </w:rPr>
        <w:t>52.618</w:t>
      </w:r>
      <w:r>
        <w:rPr>
          <w:rFonts w:hint="eastAsia"/>
        </w:rPr>
        <w:t>m</w:t>
      </w:r>
      <w:r>
        <w:rPr>
          <w:rFonts w:hint="eastAsia"/>
          <w:vertAlign w:val="superscript"/>
        </w:rPr>
        <w:t>3</w:t>
      </w:r>
      <w:r>
        <w:rPr>
          <w:rFonts w:hint="eastAsia"/>
        </w:rPr>
        <w:t>/d、综合废水产生量为</w:t>
      </w:r>
      <w:r>
        <w:rPr>
          <w:rFonts w:hint="eastAsia"/>
          <w:lang w:val="en-US" w:eastAsia="zh-CN"/>
        </w:rPr>
        <w:t>95.427</w:t>
      </w:r>
      <w:r>
        <w:rPr>
          <w:rFonts w:hint="eastAsia"/>
        </w:rPr>
        <w:t>m</w:t>
      </w:r>
      <w:r>
        <w:rPr>
          <w:rFonts w:hint="eastAsia"/>
          <w:vertAlign w:val="superscript"/>
        </w:rPr>
        <w:t>3</w:t>
      </w:r>
      <w:r>
        <w:rPr>
          <w:rFonts w:hint="eastAsia"/>
        </w:rPr>
        <w:t>/d，因此本项目设计含镍废水处理系统规模为</w:t>
      </w:r>
      <w:r>
        <w:rPr>
          <w:rFonts w:hint="eastAsia"/>
          <w:lang w:val="en-US" w:eastAsia="zh-CN"/>
        </w:rPr>
        <w:t>150</w:t>
      </w:r>
      <w:r>
        <w:rPr>
          <w:rFonts w:hint="eastAsia"/>
        </w:rPr>
        <w:t>t/d、含铬废水处理系统规模为</w:t>
      </w:r>
      <w:r>
        <w:rPr>
          <w:rFonts w:hint="eastAsia"/>
          <w:lang w:val="en-US" w:eastAsia="zh-CN"/>
        </w:rPr>
        <w:t>90</w:t>
      </w:r>
      <w:r>
        <w:rPr>
          <w:rFonts w:hint="eastAsia"/>
        </w:rPr>
        <w:t>t/d、综合废水处理系统规模为</w:t>
      </w:r>
      <w:r>
        <w:rPr>
          <w:rFonts w:hint="eastAsia"/>
          <w:lang w:val="en-US" w:eastAsia="zh-CN"/>
        </w:rPr>
        <w:t>120</w:t>
      </w:r>
      <w:r>
        <w:rPr>
          <w:rFonts w:hint="eastAsia"/>
        </w:rPr>
        <w:t>t/d。考虑到本项目需要更换的槽液较多，若同时更换时会对污水处理系统产生较大的负荷，因此项目设计实际操作过程中对需要更换的槽液采取分时段、分批更换，避免同一时间同时更换槽液，因此污水处理系统规模符合项目废水处理要求。</w:t>
      </w:r>
    </w:p>
    <w:p w14:paraId="73FD4C5C">
      <w:pPr>
        <w:ind w:firstLine="480"/>
      </w:pPr>
      <w:r>
        <w:rPr>
          <w:rFonts w:hint="eastAsia"/>
        </w:rPr>
        <w:t>根据《污染源源强核算技术指南  电镀》（HJ984-2018）表1对于生产装置出水口，COD、SS、石油类、氟化物、TN、氨氮、TP、总铁、总铝采用类比法核算；总氰化物、总铜、总镍、总铅、总汞、总铬、铬（六价）、总镉、总镍、总银优先采用类比法核算，其次采用物料衡算法核算。本项目涉及指标主要为COD、石油类、TN、氨氮、TP、总铬、总镍，采用类比法和物料衡算法进行确定。</w:t>
      </w:r>
    </w:p>
    <w:p w14:paraId="2F5833D6">
      <w:pPr>
        <w:ind w:firstLine="482"/>
        <w:rPr>
          <w:b/>
        </w:rPr>
      </w:pPr>
      <w:r>
        <w:rPr>
          <w:rFonts w:hint="eastAsia" w:ascii="宋体" w:hAnsi="宋体"/>
          <w:b/>
        </w:rPr>
        <w:t>（</w:t>
      </w:r>
      <w:r>
        <w:rPr>
          <w:rFonts w:hint="eastAsia"/>
          <w:b/>
        </w:rPr>
        <w:t>1</w:t>
      </w:r>
      <w:r>
        <w:rPr>
          <w:rFonts w:hint="eastAsia" w:ascii="宋体" w:hAnsi="宋体"/>
          <w:b/>
        </w:rPr>
        <w:t>）</w:t>
      </w:r>
      <w:r>
        <w:rPr>
          <w:rFonts w:hint="eastAsia"/>
          <w:b/>
        </w:rPr>
        <w:t>含镍废水</w:t>
      </w:r>
    </w:p>
    <w:p w14:paraId="0635398E">
      <w:pPr>
        <w:ind w:firstLine="480"/>
      </w:pPr>
      <w:r>
        <w:rPr>
          <w:rFonts w:hint="eastAsia"/>
        </w:rPr>
        <w:t>根据上述分析，本项目含镍废水主要产生于电镀镍生产线镀镍后水洗废水、镀镍后水洗槽定期更换水、</w:t>
      </w:r>
      <w:r>
        <w:rPr>
          <w:rFonts w:hint="eastAsia"/>
          <w:lang w:val="en-US" w:eastAsia="zh-CN"/>
        </w:rPr>
        <w:t>漂白废槽液、漂白后水洗废水以及漂白后水洗槽定期更换水、</w:t>
      </w:r>
      <w:r>
        <w:rPr>
          <w:rFonts w:hint="eastAsia"/>
        </w:rPr>
        <w:t>中和废槽液、中和后水洗废水和中和后水洗槽定期更换水。含镍废水经收集输送管道输送至含镍废水处理系统（调节+混凝沉淀+碳滤+超滤+反渗透+蒸发）处理达标后回用于镀后水洗</w:t>
      </w:r>
      <w:r>
        <w:rPr>
          <w:rFonts w:hint="eastAsia"/>
          <w:lang w:eastAsia="zh-CN"/>
        </w:rPr>
        <w:t>、</w:t>
      </w:r>
      <w:r>
        <w:rPr>
          <w:rFonts w:hint="eastAsia"/>
          <w:lang w:val="en-US" w:eastAsia="zh-CN"/>
        </w:rPr>
        <w:t>漂白后水洗以及</w:t>
      </w:r>
      <w:r>
        <w:rPr>
          <w:rFonts w:hint="eastAsia"/>
        </w:rPr>
        <w:t>中和后水洗工段。</w:t>
      </w:r>
    </w:p>
    <w:p w14:paraId="65C973EE">
      <w:pPr>
        <w:ind w:firstLine="480"/>
      </w:pPr>
      <w:r>
        <w:rPr>
          <w:rFonts w:hint="eastAsia"/>
        </w:rPr>
        <w:t>新乡市盛达电源科技有限公司年产30亿只锂电池钢壳项目的主要产品为锂电池钢壳，与本项目产品一致；镀镍锂电池壳生产工艺为：冲压-脱脂-酸洗-镀镍-漂白-钝化-中和-封闭-烘干等工艺，且镀镍槽液采用硫酸镍、氯化镍、硼酸等原料进行电镀，与本项目的工艺和原料基本一致，因此其水质具有可类比性。河南鼎泰检测技术有限公司对新乡市盛达电源科技有限公司电镀生产线含镍废水水质源强进行检测，含镍废水的水质情况见下表。</w:t>
      </w:r>
    </w:p>
    <w:p w14:paraId="7C714D7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 xml:space="preserve">3.6-13 </w:t>
      </w:r>
      <w:r>
        <w:rPr>
          <w:rFonts w:hint="eastAsia"/>
        </w:rPr>
        <w:t xml:space="preserve">   含镍废水污染物源强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22"/>
        <w:gridCol w:w="1895"/>
        <w:gridCol w:w="2187"/>
        <w:gridCol w:w="2124"/>
      </w:tblGrid>
      <w:tr w14:paraId="660A9D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258" w:type="dxa"/>
            <w:vMerge w:val="restart"/>
            <w:vAlign w:val="center"/>
          </w:tcPr>
          <w:p w14:paraId="69403915">
            <w:pPr>
              <w:pStyle w:val="81"/>
              <w:rPr>
                <w:bCs/>
                <w:color w:val="auto"/>
              </w:rPr>
            </w:pPr>
            <w:r>
              <w:rPr>
                <w:rFonts w:hint="eastAsia"/>
                <w:bCs/>
                <w:color w:val="auto"/>
              </w:rPr>
              <w:t>类别</w:t>
            </w:r>
          </w:p>
        </w:tc>
        <w:tc>
          <w:tcPr>
            <w:tcW w:w="6034" w:type="dxa"/>
            <w:gridSpan w:val="3"/>
            <w:vAlign w:val="center"/>
          </w:tcPr>
          <w:p w14:paraId="5FDAC028">
            <w:pPr>
              <w:pStyle w:val="81"/>
              <w:rPr>
                <w:bCs/>
                <w:color w:val="auto"/>
              </w:rPr>
            </w:pPr>
            <w:r>
              <w:rPr>
                <w:bCs/>
                <w:color w:val="auto"/>
              </w:rPr>
              <w:t>产生浓度（mg/L）</w:t>
            </w:r>
          </w:p>
        </w:tc>
      </w:tr>
      <w:tr w14:paraId="5468AD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258" w:type="dxa"/>
            <w:vMerge w:val="continue"/>
            <w:vAlign w:val="center"/>
          </w:tcPr>
          <w:p w14:paraId="40395E09">
            <w:pPr>
              <w:pStyle w:val="81"/>
              <w:rPr>
                <w:bCs/>
                <w:color w:val="auto"/>
                <w:highlight w:val="yellow"/>
              </w:rPr>
            </w:pPr>
          </w:p>
        </w:tc>
        <w:tc>
          <w:tcPr>
            <w:tcW w:w="1843" w:type="dxa"/>
            <w:vAlign w:val="center"/>
          </w:tcPr>
          <w:p w14:paraId="73D96193">
            <w:pPr>
              <w:pStyle w:val="81"/>
              <w:rPr>
                <w:bCs/>
                <w:color w:val="auto"/>
                <w:highlight w:val="yellow"/>
              </w:rPr>
            </w:pPr>
            <w:r>
              <w:rPr>
                <w:rFonts w:hint="eastAsia"/>
                <w:bCs/>
                <w:color w:val="auto"/>
              </w:rPr>
              <w:t>pH</w:t>
            </w:r>
          </w:p>
        </w:tc>
        <w:tc>
          <w:tcPr>
            <w:tcW w:w="2126" w:type="dxa"/>
            <w:vAlign w:val="center"/>
          </w:tcPr>
          <w:p w14:paraId="75812A3A">
            <w:pPr>
              <w:pStyle w:val="81"/>
              <w:rPr>
                <w:rFonts w:ascii="宋体" w:hAnsi="宋体"/>
                <w:bCs/>
                <w:color w:val="auto"/>
                <w:highlight w:val="yellow"/>
              </w:rPr>
            </w:pPr>
            <w:r>
              <w:rPr>
                <w:rFonts w:hint="eastAsia"/>
                <w:bCs/>
                <w:color w:val="auto"/>
              </w:rPr>
              <w:t>COD</w:t>
            </w:r>
          </w:p>
        </w:tc>
        <w:tc>
          <w:tcPr>
            <w:tcW w:w="2065" w:type="dxa"/>
            <w:vAlign w:val="center"/>
          </w:tcPr>
          <w:p w14:paraId="1DD02002">
            <w:pPr>
              <w:pStyle w:val="81"/>
              <w:rPr>
                <w:bCs/>
                <w:color w:val="auto"/>
              </w:rPr>
            </w:pPr>
            <w:r>
              <w:rPr>
                <w:rFonts w:hint="eastAsia"/>
                <w:bCs/>
                <w:color w:val="auto"/>
              </w:rPr>
              <w:t>镍</w:t>
            </w:r>
          </w:p>
        </w:tc>
      </w:tr>
      <w:tr w14:paraId="492CE7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58" w:type="dxa"/>
            <w:vAlign w:val="center"/>
          </w:tcPr>
          <w:p w14:paraId="4EC52651">
            <w:pPr>
              <w:pStyle w:val="75"/>
              <w:rPr>
                <w:highlight w:val="yellow"/>
              </w:rPr>
            </w:pPr>
            <w:r>
              <w:rPr>
                <w:rFonts w:hint="eastAsia"/>
              </w:rPr>
              <w:t>含镍废水源强</w:t>
            </w:r>
          </w:p>
        </w:tc>
        <w:tc>
          <w:tcPr>
            <w:tcW w:w="1843" w:type="dxa"/>
            <w:vAlign w:val="center"/>
          </w:tcPr>
          <w:p w14:paraId="7C5BDEE5">
            <w:pPr>
              <w:pStyle w:val="75"/>
              <w:rPr>
                <w:rFonts w:ascii="宋体" w:hAnsi="宋体" w:cs="宋体"/>
                <w:highlight w:val="yellow"/>
              </w:rPr>
            </w:pPr>
            <w:r>
              <w:rPr>
                <w:rFonts w:hint="eastAsia"/>
              </w:rPr>
              <w:t>6.3</w:t>
            </w:r>
          </w:p>
        </w:tc>
        <w:tc>
          <w:tcPr>
            <w:tcW w:w="2126" w:type="dxa"/>
            <w:vAlign w:val="center"/>
          </w:tcPr>
          <w:p w14:paraId="6B82DF7D">
            <w:pPr>
              <w:pStyle w:val="75"/>
              <w:rPr>
                <w:rFonts w:ascii="宋体" w:hAnsi="宋体" w:cs="宋体"/>
                <w:highlight w:val="yellow"/>
              </w:rPr>
            </w:pPr>
            <w:r>
              <w:rPr>
                <w:rFonts w:hint="eastAsia"/>
              </w:rPr>
              <w:t>180</w:t>
            </w:r>
          </w:p>
        </w:tc>
        <w:tc>
          <w:tcPr>
            <w:tcW w:w="2065" w:type="dxa"/>
            <w:vAlign w:val="center"/>
          </w:tcPr>
          <w:p w14:paraId="13EB6922">
            <w:pPr>
              <w:pStyle w:val="75"/>
              <w:rPr>
                <w:szCs w:val="20"/>
              </w:rPr>
            </w:pPr>
            <w:r>
              <w:rPr>
                <w:rFonts w:hint="eastAsia"/>
                <w:szCs w:val="20"/>
              </w:rPr>
              <w:t>204</w:t>
            </w:r>
          </w:p>
        </w:tc>
      </w:tr>
    </w:tbl>
    <w:p w14:paraId="60ADC2F1">
      <w:pPr>
        <w:ind w:firstLine="480"/>
        <w:rPr>
          <w:bCs/>
        </w:rPr>
      </w:pPr>
      <w:r>
        <w:rPr>
          <w:rFonts w:hint="eastAsia"/>
          <w:bCs/>
        </w:rPr>
        <w:t>本项目含镍废水经含镍废水处理系统进行处理，含镍废水处理系统采用“</w:t>
      </w:r>
      <w:r>
        <w:rPr>
          <w:rFonts w:hint="eastAsia"/>
        </w:rPr>
        <w:t>调节+混凝沉淀+碳滤+超滤+反渗透+蒸发</w:t>
      </w:r>
      <w:r>
        <w:rPr>
          <w:rFonts w:hint="eastAsia"/>
          <w:bCs/>
        </w:rPr>
        <w:t>”工艺进行废水处理，处理工艺详情为：</w:t>
      </w:r>
    </w:p>
    <w:p w14:paraId="28D58D95">
      <w:pPr>
        <w:spacing w:line="240" w:lineRule="auto"/>
        <w:ind w:firstLine="0" w:firstLineChars="0"/>
        <w:jc w:val="center"/>
        <w:rPr>
          <w:bCs/>
        </w:rPr>
      </w:pPr>
      <w:r>
        <w:object>
          <v:shape id="_x0000_i1026" o:spt="75" type="#_x0000_t75" style="height:407.25pt;width:269.25pt;" o:ole="t" filled="f" o:preferrelative="t" stroked="f" coordsize="21600,21600">
            <v:path/>
            <v:fill on="f" focussize="0,0"/>
            <v:stroke on="f"/>
            <v:imagedata r:id="rId30" o:title=""/>
            <o:lock v:ext="edit" aspectratio="t"/>
            <w10:wrap type="none"/>
            <w10:anchorlock/>
          </v:shape>
          <o:OLEObject Type="Embed" ProgID="Visio.Drawing.11" ShapeID="_x0000_i1026" DrawAspect="Content" ObjectID="_1468075729" r:id="rId29">
            <o:LockedField>false</o:LockedField>
          </o:OLEObject>
        </w:object>
      </w:r>
    </w:p>
    <w:p w14:paraId="446DA53D">
      <w:pPr>
        <w:pStyle w:val="78"/>
      </w:pPr>
      <w:r>
        <w:rPr>
          <w:rFonts w:hint="eastAsia"/>
        </w:rPr>
        <w:t>图</w:t>
      </w:r>
      <w:r>
        <w:rPr>
          <w:rFonts w:hint="eastAsia"/>
          <w:lang w:val="en-US" w:eastAsia="zh-CN"/>
        </w:rPr>
        <w:t>3.6-2</w:t>
      </w:r>
      <w:r>
        <w:rPr>
          <w:rFonts w:hint="eastAsia"/>
        </w:rPr>
        <w:t xml:space="preserve">  </w:t>
      </w:r>
      <w:r>
        <w:t xml:space="preserve">  </w:t>
      </w:r>
      <w:r>
        <w:rPr>
          <w:rFonts w:hint="eastAsia"/>
        </w:rPr>
        <w:t>含镍废水处理工艺流程图</w:t>
      </w:r>
    </w:p>
    <w:p w14:paraId="1115B4A2">
      <w:pPr>
        <w:ind w:firstLine="482"/>
        <w:rPr>
          <w:b/>
        </w:rPr>
      </w:pPr>
      <w:r>
        <w:rPr>
          <w:rFonts w:hint="eastAsia"/>
          <w:b/>
        </w:rPr>
        <w:t>（2）含铬废水</w:t>
      </w:r>
    </w:p>
    <w:p w14:paraId="761C14BC">
      <w:pPr>
        <w:ind w:firstLine="480"/>
      </w:pPr>
      <w:r>
        <w:rPr>
          <w:rFonts w:hint="eastAsia"/>
        </w:rPr>
        <w:t>根据上述分析，本项目含铬废水主要产生于钝化槽液、钝化后水洗废水、钝化后水洗槽定期更换水、中和废槽液、中和后水洗废水和中和后水洗槽定期更换水、</w:t>
      </w:r>
      <w:r>
        <w:rPr>
          <w:rFonts w:hint="eastAsia"/>
          <w:lang w:val="en-US" w:eastAsia="zh-CN"/>
        </w:rPr>
        <w:t>封闭废槽液、封闭后水洗废水以及封闭后水洗槽定期更换水、</w:t>
      </w:r>
      <w:r>
        <w:rPr>
          <w:rFonts w:hint="eastAsia"/>
        </w:rPr>
        <w:t>碱喷淋吸收塔（</w:t>
      </w:r>
      <w:r>
        <w:rPr>
          <w:rFonts w:hint="eastAsia"/>
          <w:lang w:val="en-US" w:eastAsia="zh-CN"/>
        </w:rPr>
        <w:t>TA001~TA003</w:t>
      </w:r>
      <w:r>
        <w:rPr>
          <w:rFonts w:hint="eastAsia"/>
        </w:rPr>
        <w:t>）更换废水、车间地面清洗水。含铬废水经收集输送管道输送至含铬废水处理系统（调节+混凝沉淀+碳滤+超滤+反渗透+蒸发）处理达标后回用于钝化后水洗</w:t>
      </w:r>
      <w:r>
        <w:rPr>
          <w:rFonts w:hint="eastAsia"/>
          <w:lang w:eastAsia="zh-CN"/>
        </w:rPr>
        <w:t>、</w:t>
      </w:r>
      <w:r>
        <w:rPr>
          <w:rFonts w:hint="eastAsia"/>
        </w:rPr>
        <w:t>中和后水洗工段</w:t>
      </w:r>
      <w:r>
        <w:rPr>
          <w:rFonts w:hint="eastAsia"/>
          <w:lang w:val="en-US" w:eastAsia="zh-CN"/>
        </w:rPr>
        <w:t>以及封闭后水洗工段</w:t>
      </w:r>
      <w:r>
        <w:rPr>
          <w:rFonts w:hint="eastAsia"/>
        </w:rPr>
        <w:t>。</w:t>
      </w:r>
    </w:p>
    <w:p w14:paraId="7D894D9F">
      <w:pPr>
        <w:ind w:firstLine="480"/>
        <w:rPr>
          <w:highlight w:val="yellow"/>
        </w:rPr>
      </w:pPr>
      <w:r>
        <w:rPr>
          <w:rFonts w:hint="eastAsia"/>
        </w:rPr>
        <w:t>宜春市达明金属表面处理科技有限公司年电镀3.6亿支钢壳电池配件电镀加工项目，主要产品为电池钢壳及配件，与本项目产品一致；电池壳生产工艺为：冲压-脱脂-酸洗-镀镍-漂白-钝化-中和-封闭-烘干等工艺；且钝化槽液采用硝酸铬进行钝化，与本项目的工艺和原料基本一致，因此其水质具有可类比性。本次类比《宜春市达明金属表面处理科技有限公司年电镀3.6亿支钢壳电池配件电镀加工项目竣工环境保护验收监测报告》中含铬废水进水水质监测结果，含铬废水的水质情况见下表。</w:t>
      </w:r>
    </w:p>
    <w:p w14:paraId="330AF1B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bookmarkStart w:id="404" w:name="_Hlk107844587"/>
      <w:r>
        <w:rPr>
          <w:rFonts w:hint="eastAsia"/>
        </w:rPr>
        <w:t>表</w:t>
      </w:r>
      <w:r>
        <w:rPr>
          <w:rFonts w:hint="eastAsia"/>
          <w:lang w:val="en-US" w:eastAsia="zh-CN"/>
        </w:rPr>
        <w:t>3.6-14</w:t>
      </w:r>
      <w:r>
        <w:rPr>
          <w:rFonts w:hint="eastAsia"/>
        </w:rPr>
        <w:t xml:space="preserve">    含铬废水污染物源强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635"/>
        <w:gridCol w:w="2447"/>
        <w:gridCol w:w="2447"/>
      </w:tblGrid>
      <w:tr w14:paraId="4E6961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534" w:type="dxa"/>
            <w:vMerge w:val="restart"/>
            <w:vAlign w:val="center"/>
          </w:tcPr>
          <w:p w14:paraId="7F4A726F">
            <w:pPr>
              <w:pStyle w:val="81"/>
              <w:rPr>
                <w:bCs/>
                <w:color w:val="auto"/>
              </w:rPr>
            </w:pPr>
            <w:r>
              <w:rPr>
                <w:rFonts w:hint="eastAsia"/>
                <w:bCs/>
                <w:color w:val="auto"/>
              </w:rPr>
              <w:t>类别</w:t>
            </w:r>
          </w:p>
        </w:tc>
        <w:tc>
          <w:tcPr>
            <w:tcW w:w="4758" w:type="dxa"/>
            <w:gridSpan w:val="2"/>
            <w:vAlign w:val="center"/>
          </w:tcPr>
          <w:p w14:paraId="6614FE37">
            <w:pPr>
              <w:pStyle w:val="81"/>
              <w:rPr>
                <w:bCs/>
                <w:color w:val="auto"/>
              </w:rPr>
            </w:pPr>
            <w:r>
              <w:rPr>
                <w:bCs/>
                <w:color w:val="auto"/>
              </w:rPr>
              <w:t>产生浓度（mg/L）</w:t>
            </w:r>
          </w:p>
        </w:tc>
      </w:tr>
      <w:tr w14:paraId="58BF83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4" w:type="dxa"/>
            <w:vMerge w:val="continue"/>
            <w:vAlign w:val="center"/>
          </w:tcPr>
          <w:p w14:paraId="3BCB0CC1">
            <w:pPr>
              <w:pStyle w:val="81"/>
              <w:rPr>
                <w:bCs/>
                <w:color w:val="auto"/>
                <w:highlight w:val="yellow"/>
              </w:rPr>
            </w:pPr>
          </w:p>
        </w:tc>
        <w:tc>
          <w:tcPr>
            <w:tcW w:w="2379" w:type="dxa"/>
            <w:vAlign w:val="center"/>
          </w:tcPr>
          <w:p w14:paraId="222180F8">
            <w:pPr>
              <w:pStyle w:val="81"/>
              <w:rPr>
                <w:bCs/>
                <w:color w:val="auto"/>
              </w:rPr>
            </w:pPr>
            <w:r>
              <w:rPr>
                <w:rFonts w:hint="eastAsia"/>
                <w:bCs/>
                <w:color w:val="auto"/>
              </w:rPr>
              <w:t>pH</w:t>
            </w:r>
          </w:p>
        </w:tc>
        <w:tc>
          <w:tcPr>
            <w:tcW w:w="2379" w:type="dxa"/>
            <w:vAlign w:val="center"/>
          </w:tcPr>
          <w:p w14:paraId="1A58B90A">
            <w:pPr>
              <w:pStyle w:val="81"/>
              <w:rPr>
                <w:bCs/>
                <w:color w:val="auto"/>
              </w:rPr>
            </w:pPr>
            <w:r>
              <w:rPr>
                <w:rFonts w:hint="eastAsia"/>
                <w:bCs/>
                <w:color w:val="auto"/>
              </w:rPr>
              <w:t>总铬</w:t>
            </w:r>
          </w:p>
        </w:tc>
      </w:tr>
      <w:tr w14:paraId="4F8BA3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4" w:type="dxa"/>
            <w:vAlign w:val="center"/>
          </w:tcPr>
          <w:p w14:paraId="46371BBC">
            <w:pPr>
              <w:pStyle w:val="75"/>
              <w:rPr>
                <w:highlight w:val="yellow"/>
              </w:rPr>
            </w:pPr>
            <w:r>
              <w:rPr>
                <w:rFonts w:hint="eastAsia"/>
              </w:rPr>
              <w:t>含铬废水源强</w:t>
            </w:r>
          </w:p>
        </w:tc>
        <w:tc>
          <w:tcPr>
            <w:tcW w:w="2379" w:type="dxa"/>
            <w:vAlign w:val="center"/>
          </w:tcPr>
          <w:p w14:paraId="72A2DC92">
            <w:pPr>
              <w:pStyle w:val="75"/>
              <w:rPr>
                <w:szCs w:val="20"/>
              </w:rPr>
            </w:pPr>
            <w:r>
              <w:rPr>
                <w:rFonts w:hint="eastAsia"/>
              </w:rPr>
              <w:t>5.2</w:t>
            </w:r>
          </w:p>
        </w:tc>
        <w:tc>
          <w:tcPr>
            <w:tcW w:w="2379" w:type="dxa"/>
            <w:vAlign w:val="center"/>
          </w:tcPr>
          <w:p w14:paraId="1BCE2C71">
            <w:pPr>
              <w:pStyle w:val="75"/>
              <w:rPr>
                <w:szCs w:val="20"/>
              </w:rPr>
            </w:pPr>
            <w:r>
              <w:rPr>
                <w:rFonts w:hint="eastAsia"/>
              </w:rPr>
              <w:t>32.7</w:t>
            </w:r>
          </w:p>
        </w:tc>
      </w:tr>
      <w:bookmarkEnd w:id="404"/>
    </w:tbl>
    <w:p w14:paraId="1658C77F">
      <w:pPr>
        <w:ind w:firstLine="480"/>
        <w:rPr>
          <w:bCs/>
        </w:rPr>
      </w:pPr>
      <w:r>
        <w:rPr>
          <w:rFonts w:hint="eastAsia"/>
          <w:bCs/>
        </w:rPr>
        <w:t>本项目含铬废水经含铬废水处理系统进行处理，含铬废水处理系统采用“</w:t>
      </w:r>
      <w:r>
        <w:rPr>
          <w:rFonts w:hint="eastAsia"/>
        </w:rPr>
        <w:t>混凝沉淀+碳滤+超滤+反渗透+蒸发</w:t>
      </w:r>
      <w:r>
        <w:rPr>
          <w:rFonts w:hint="eastAsia"/>
          <w:bCs/>
        </w:rPr>
        <w:t>”工艺进行废水处理，处理工艺详情为：</w:t>
      </w:r>
    </w:p>
    <w:p w14:paraId="571BC1AD">
      <w:pPr>
        <w:spacing w:line="240" w:lineRule="auto"/>
        <w:ind w:firstLine="0" w:firstLineChars="0"/>
        <w:jc w:val="center"/>
        <w:rPr>
          <w:bCs/>
        </w:rPr>
      </w:pPr>
      <w:r>
        <w:object>
          <v:shape id="_x0000_i1027" o:spt="75" type="#_x0000_t75" style="height:371.8pt;width:257.5pt;" o:ole="t" filled="f" o:preferrelative="t" stroked="f" coordsize="21600,21600">
            <v:path/>
            <v:fill on="f" focussize="0,0"/>
            <v:stroke on="f"/>
            <v:imagedata r:id="rId32" o:title=""/>
            <o:lock v:ext="edit" aspectratio="t"/>
            <w10:wrap type="none"/>
            <w10:anchorlock/>
          </v:shape>
          <o:OLEObject Type="Embed" ProgID="Visio.Drawing.11" ShapeID="_x0000_i1027" DrawAspect="Content" ObjectID="_1468075730" r:id="rId31">
            <o:LockedField>false</o:LockedField>
          </o:OLEObject>
        </w:object>
      </w:r>
    </w:p>
    <w:p w14:paraId="5D9E114C">
      <w:pPr>
        <w:pStyle w:val="78"/>
      </w:pPr>
      <w:r>
        <w:rPr>
          <w:rFonts w:hint="eastAsia"/>
        </w:rPr>
        <w:t>图</w:t>
      </w:r>
      <w:r>
        <w:rPr>
          <w:rFonts w:hint="eastAsia"/>
          <w:lang w:val="en-US" w:eastAsia="zh-CN"/>
        </w:rPr>
        <w:t>3.6-3</w:t>
      </w:r>
      <w:r>
        <w:rPr>
          <w:rFonts w:hint="eastAsia"/>
        </w:rPr>
        <w:t xml:space="preserve">  </w:t>
      </w:r>
      <w:r>
        <w:t xml:space="preserve">  </w:t>
      </w:r>
      <w:r>
        <w:rPr>
          <w:rFonts w:hint="eastAsia"/>
        </w:rPr>
        <w:t>含铬废水处理工艺流程图</w:t>
      </w:r>
    </w:p>
    <w:p w14:paraId="1FD5F450">
      <w:pPr>
        <w:pStyle w:val="72"/>
        <w:ind w:firstLine="482"/>
        <w:rPr>
          <w:rFonts w:hint="eastAsia"/>
          <w:b/>
        </w:rPr>
      </w:pPr>
    </w:p>
    <w:p w14:paraId="21995C33">
      <w:pPr>
        <w:pStyle w:val="72"/>
        <w:ind w:firstLine="482"/>
        <w:rPr>
          <w:b/>
        </w:rPr>
      </w:pPr>
      <w:r>
        <w:rPr>
          <w:rFonts w:hint="eastAsia"/>
          <w:b/>
        </w:rPr>
        <w:t>（</w:t>
      </w:r>
      <w:r>
        <w:rPr>
          <w:rFonts w:hint="eastAsia"/>
          <w:b/>
          <w:lang w:val="en-US" w:eastAsia="zh-CN"/>
        </w:rPr>
        <w:t>3</w:t>
      </w:r>
      <w:r>
        <w:rPr>
          <w:rFonts w:hint="eastAsia"/>
          <w:b/>
        </w:rPr>
        <w:t>）综合废水</w:t>
      </w:r>
    </w:p>
    <w:p w14:paraId="1950DAA3">
      <w:pPr>
        <w:pStyle w:val="72"/>
      </w:pPr>
      <w:r>
        <w:rPr>
          <w:rFonts w:hint="eastAsia"/>
        </w:rPr>
        <w:t>根据上述分析，本项目综合废水主要为除油废槽液、除油后水洗废水、酸洗废槽液、酸洗后水洗废水、酸洗后水洗槽定期更换水</w:t>
      </w:r>
      <w:r>
        <w:rPr>
          <w:rFonts w:hint="eastAsia"/>
          <w:lang w:eastAsia="zh-CN"/>
        </w:rPr>
        <w:t>、</w:t>
      </w:r>
      <w:r>
        <w:rPr>
          <w:rFonts w:hint="eastAsia"/>
          <w:lang w:val="en-US" w:eastAsia="zh-CN"/>
        </w:rPr>
        <w:t>封闭废槽液、封闭后</w:t>
      </w:r>
      <w:r>
        <w:rPr>
          <w:rFonts w:hint="eastAsia"/>
        </w:rPr>
        <w:t>水洗废水、</w:t>
      </w:r>
      <w:r>
        <w:rPr>
          <w:rFonts w:hint="eastAsia"/>
          <w:lang w:val="en-US" w:eastAsia="zh-CN"/>
        </w:rPr>
        <w:t>封闭后</w:t>
      </w:r>
      <w:r>
        <w:rPr>
          <w:rFonts w:hint="eastAsia"/>
        </w:rPr>
        <w:t>水洗槽定期更换水。综合废水经收集输送管道输送至综合废水处理系统（破乳+气浮+调节+混凝沉淀+水解酸化+接触氧化+二沉池）处理，处理达标后经厂区总排口排放。</w:t>
      </w:r>
    </w:p>
    <w:p w14:paraId="14FFFBD6">
      <w:pPr>
        <w:ind w:firstLine="480"/>
      </w:pPr>
      <w:r>
        <w:rPr>
          <w:rFonts w:hint="eastAsia"/>
        </w:rPr>
        <w:t>新乡市盛达电源科技有限公司年产30亿只锂电池钢壳项目，除油采用碱性脱脂剂进行处理，</w:t>
      </w:r>
      <w:r>
        <w:rPr>
          <w:rFonts w:hint="eastAsia"/>
          <w:lang w:val="en-US" w:eastAsia="zh-CN"/>
        </w:rPr>
        <w:t>酸洗</w:t>
      </w:r>
      <w:r>
        <w:rPr>
          <w:rFonts w:hint="eastAsia"/>
        </w:rPr>
        <w:t>活化采用硫酸进行处理，与本项目的产品、工艺和原料基本一致，因此其水质具有可类比性。本项目类比新乡市盛达电源科技有限公司综合废水实测数据，同时参照《电镀污染防治可行技术指南》（H</w:t>
      </w:r>
      <w:r>
        <w:t>J</w:t>
      </w:r>
      <w:r>
        <w:rPr>
          <w:rFonts w:hint="eastAsia"/>
        </w:rPr>
        <w:t>1306-2023），最终确定综合废水的水质情况见下表。</w:t>
      </w:r>
    </w:p>
    <w:p w14:paraId="406CE9F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3.6-15</w:t>
      </w:r>
      <w:r>
        <w:rPr>
          <w:rFonts w:hint="eastAsia"/>
        </w:rPr>
        <w:t xml:space="preserve">    综合废水污染物源强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860"/>
        <w:gridCol w:w="1002"/>
        <w:gridCol w:w="1004"/>
        <w:gridCol w:w="1145"/>
        <w:gridCol w:w="1001"/>
        <w:gridCol w:w="1002"/>
        <w:gridCol w:w="935"/>
      </w:tblGrid>
      <w:tr w14:paraId="3F3DB1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8" w:type="pct"/>
            <w:vMerge w:val="restart"/>
            <w:shd w:val="clear" w:color="auto" w:fill="auto"/>
            <w:tcMar>
              <w:left w:w="28" w:type="dxa"/>
              <w:right w:w="28" w:type="dxa"/>
            </w:tcMar>
            <w:vAlign w:val="center"/>
          </w:tcPr>
          <w:p w14:paraId="5EFFB8D3">
            <w:pPr>
              <w:pStyle w:val="81"/>
              <w:rPr>
                <w:color w:val="auto"/>
              </w:rPr>
            </w:pPr>
            <w:r>
              <w:rPr>
                <w:color w:val="auto"/>
              </w:rPr>
              <w:t>污染源</w:t>
            </w:r>
          </w:p>
        </w:tc>
        <w:tc>
          <w:tcPr>
            <w:tcW w:w="4152" w:type="pct"/>
            <w:gridSpan w:val="7"/>
            <w:tcMar>
              <w:left w:w="28" w:type="dxa"/>
              <w:right w:w="28" w:type="dxa"/>
            </w:tcMar>
            <w:vAlign w:val="center"/>
          </w:tcPr>
          <w:p w14:paraId="7A1A6153">
            <w:pPr>
              <w:pStyle w:val="81"/>
              <w:rPr>
                <w:color w:val="auto"/>
              </w:rPr>
            </w:pPr>
            <w:r>
              <w:rPr>
                <w:color w:val="auto"/>
              </w:rPr>
              <w:t>产生浓度（mg/L）</w:t>
            </w:r>
          </w:p>
        </w:tc>
      </w:tr>
      <w:tr w14:paraId="2E8A51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8" w:type="pct"/>
            <w:vMerge w:val="continue"/>
            <w:shd w:val="clear" w:color="auto" w:fill="auto"/>
            <w:tcMar>
              <w:left w:w="28" w:type="dxa"/>
              <w:right w:w="28" w:type="dxa"/>
            </w:tcMar>
            <w:vAlign w:val="center"/>
          </w:tcPr>
          <w:p w14:paraId="3CDD06EF">
            <w:pPr>
              <w:pStyle w:val="81"/>
              <w:rPr>
                <w:color w:val="auto"/>
              </w:rPr>
            </w:pPr>
          </w:p>
        </w:tc>
        <w:tc>
          <w:tcPr>
            <w:tcW w:w="514" w:type="pct"/>
            <w:shd w:val="clear" w:color="auto" w:fill="auto"/>
            <w:tcMar>
              <w:left w:w="28" w:type="dxa"/>
              <w:right w:w="28" w:type="dxa"/>
            </w:tcMar>
            <w:vAlign w:val="center"/>
          </w:tcPr>
          <w:p w14:paraId="065FD9A4">
            <w:pPr>
              <w:pStyle w:val="81"/>
              <w:rPr>
                <w:color w:val="auto"/>
              </w:rPr>
            </w:pPr>
            <w:r>
              <w:rPr>
                <w:rFonts w:hint="eastAsia"/>
                <w:color w:val="auto"/>
              </w:rPr>
              <w:t>pH</w:t>
            </w:r>
          </w:p>
        </w:tc>
        <w:tc>
          <w:tcPr>
            <w:tcW w:w="599" w:type="pct"/>
            <w:shd w:val="clear" w:color="auto" w:fill="auto"/>
            <w:tcMar>
              <w:left w:w="28" w:type="dxa"/>
              <w:right w:w="28" w:type="dxa"/>
            </w:tcMar>
            <w:vAlign w:val="center"/>
          </w:tcPr>
          <w:p w14:paraId="262D21C0">
            <w:pPr>
              <w:pStyle w:val="81"/>
              <w:rPr>
                <w:color w:val="auto"/>
              </w:rPr>
            </w:pPr>
            <w:r>
              <w:rPr>
                <w:color w:val="auto"/>
              </w:rPr>
              <w:t>COD</w:t>
            </w:r>
          </w:p>
        </w:tc>
        <w:tc>
          <w:tcPr>
            <w:tcW w:w="600" w:type="pct"/>
            <w:tcMar>
              <w:left w:w="28" w:type="dxa"/>
              <w:right w:w="28" w:type="dxa"/>
            </w:tcMar>
            <w:vAlign w:val="center"/>
          </w:tcPr>
          <w:p w14:paraId="381934FA">
            <w:pPr>
              <w:pStyle w:val="81"/>
              <w:rPr>
                <w:color w:val="auto"/>
              </w:rPr>
            </w:pPr>
            <w:r>
              <w:rPr>
                <w:rFonts w:hint="eastAsia"/>
                <w:color w:val="auto"/>
              </w:rPr>
              <w:t>S</w:t>
            </w:r>
            <w:r>
              <w:rPr>
                <w:color w:val="auto"/>
              </w:rPr>
              <w:t>S</w:t>
            </w:r>
          </w:p>
        </w:tc>
        <w:tc>
          <w:tcPr>
            <w:tcW w:w="684" w:type="pct"/>
            <w:vAlign w:val="center"/>
          </w:tcPr>
          <w:p w14:paraId="0E4F598F">
            <w:pPr>
              <w:pStyle w:val="81"/>
              <w:rPr>
                <w:color w:val="auto"/>
              </w:rPr>
            </w:pPr>
            <w:r>
              <w:rPr>
                <w:color w:val="auto"/>
              </w:rPr>
              <w:t>NH</w:t>
            </w:r>
            <w:r>
              <w:rPr>
                <w:color w:val="auto"/>
                <w:vertAlign w:val="subscript"/>
              </w:rPr>
              <w:t>3</w:t>
            </w:r>
            <w:r>
              <w:rPr>
                <w:color w:val="auto"/>
              </w:rPr>
              <w:t>-N</w:t>
            </w:r>
          </w:p>
        </w:tc>
        <w:tc>
          <w:tcPr>
            <w:tcW w:w="598" w:type="pct"/>
            <w:shd w:val="clear" w:color="auto" w:fill="auto"/>
            <w:tcMar>
              <w:left w:w="28" w:type="dxa"/>
              <w:right w:w="28" w:type="dxa"/>
            </w:tcMar>
            <w:vAlign w:val="center"/>
          </w:tcPr>
          <w:p w14:paraId="152B8749">
            <w:pPr>
              <w:pStyle w:val="81"/>
              <w:rPr>
                <w:color w:val="auto"/>
              </w:rPr>
            </w:pPr>
            <w:r>
              <w:rPr>
                <w:rFonts w:hint="eastAsia"/>
                <w:color w:val="auto"/>
              </w:rPr>
              <w:t>TP</w:t>
            </w:r>
          </w:p>
        </w:tc>
        <w:tc>
          <w:tcPr>
            <w:tcW w:w="599" w:type="pct"/>
            <w:shd w:val="clear" w:color="auto" w:fill="auto"/>
            <w:tcMar>
              <w:left w:w="28" w:type="dxa"/>
              <w:right w:w="28" w:type="dxa"/>
            </w:tcMar>
            <w:vAlign w:val="center"/>
          </w:tcPr>
          <w:p w14:paraId="739912DA">
            <w:pPr>
              <w:pStyle w:val="81"/>
              <w:rPr>
                <w:color w:val="auto"/>
              </w:rPr>
            </w:pPr>
            <w:r>
              <w:rPr>
                <w:rFonts w:hint="eastAsia"/>
                <w:color w:val="auto"/>
              </w:rPr>
              <w:t>TN</w:t>
            </w:r>
          </w:p>
        </w:tc>
        <w:tc>
          <w:tcPr>
            <w:tcW w:w="558" w:type="pct"/>
            <w:tcMar>
              <w:left w:w="28" w:type="dxa"/>
              <w:right w:w="28" w:type="dxa"/>
            </w:tcMar>
            <w:vAlign w:val="center"/>
          </w:tcPr>
          <w:p w14:paraId="77A5FC76">
            <w:pPr>
              <w:pStyle w:val="81"/>
              <w:rPr>
                <w:color w:val="auto"/>
              </w:rPr>
            </w:pPr>
            <w:r>
              <w:rPr>
                <w:rFonts w:hint="eastAsia"/>
                <w:color w:val="auto"/>
              </w:rPr>
              <w:t>石油类</w:t>
            </w:r>
          </w:p>
        </w:tc>
      </w:tr>
      <w:tr w14:paraId="39B26C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8" w:type="pct"/>
            <w:shd w:val="clear" w:color="auto" w:fill="auto"/>
            <w:tcMar>
              <w:left w:w="28" w:type="dxa"/>
              <w:right w:w="28" w:type="dxa"/>
            </w:tcMar>
            <w:vAlign w:val="center"/>
          </w:tcPr>
          <w:p w14:paraId="0B6E758A">
            <w:pPr>
              <w:pStyle w:val="75"/>
            </w:pPr>
            <w:r>
              <w:rPr>
                <w:rFonts w:hint="eastAsia"/>
              </w:rPr>
              <w:t>综合废水源强</w:t>
            </w:r>
          </w:p>
        </w:tc>
        <w:tc>
          <w:tcPr>
            <w:tcW w:w="514" w:type="pct"/>
            <w:shd w:val="clear" w:color="auto" w:fill="auto"/>
            <w:tcMar>
              <w:left w:w="28" w:type="dxa"/>
              <w:right w:w="28" w:type="dxa"/>
            </w:tcMar>
            <w:vAlign w:val="center"/>
          </w:tcPr>
          <w:p w14:paraId="279FD340">
            <w:pPr>
              <w:pStyle w:val="75"/>
            </w:pPr>
            <w:r>
              <w:rPr>
                <w:rFonts w:hint="eastAsia"/>
              </w:rPr>
              <w:t>7.8</w:t>
            </w:r>
          </w:p>
        </w:tc>
        <w:tc>
          <w:tcPr>
            <w:tcW w:w="599" w:type="pct"/>
            <w:shd w:val="clear" w:color="auto" w:fill="auto"/>
            <w:tcMar>
              <w:left w:w="28" w:type="dxa"/>
              <w:right w:w="28" w:type="dxa"/>
            </w:tcMar>
            <w:vAlign w:val="center"/>
          </w:tcPr>
          <w:p w14:paraId="397806DB">
            <w:pPr>
              <w:pStyle w:val="75"/>
            </w:pPr>
            <w:r>
              <w:rPr>
                <w:rFonts w:hint="eastAsia"/>
              </w:rPr>
              <w:t>529</w:t>
            </w:r>
          </w:p>
        </w:tc>
        <w:tc>
          <w:tcPr>
            <w:tcW w:w="600" w:type="pct"/>
            <w:tcMar>
              <w:left w:w="28" w:type="dxa"/>
              <w:right w:w="28" w:type="dxa"/>
            </w:tcMar>
            <w:vAlign w:val="center"/>
          </w:tcPr>
          <w:p w14:paraId="2FE08881">
            <w:pPr>
              <w:pStyle w:val="75"/>
            </w:pPr>
            <w:r>
              <w:rPr>
                <w:rFonts w:hint="eastAsia"/>
              </w:rPr>
              <w:t>400</w:t>
            </w:r>
          </w:p>
        </w:tc>
        <w:tc>
          <w:tcPr>
            <w:tcW w:w="684" w:type="pct"/>
            <w:vAlign w:val="center"/>
          </w:tcPr>
          <w:p w14:paraId="77CE4F14">
            <w:pPr>
              <w:pStyle w:val="75"/>
            </w:pPr>
            <w:r>
              <w:rPr>
                <w:rFonts w:hint="eastAsia"/>
              </w:rPr>
              <w:t>21.2</w:t>
            </w:r>
          </w:p>
        </w:tc>
        <w:tc>
          <w:tcPr>
            <w:tcW w:w="598" w:type="pct"/>
            <w:shd w:val="clear" w:color="auto" w:fill="auto"/>
            <w:tcMar>
              <w:left w:w="28" w:type="dxa"/>
              <w:right w:w="28" w:type="dxa"/>
            </w:tcMar>
            <w:vAlign w:val="center"/>
          </w:tcPr>
          <w:p w14:paraId="40BC9D6A">
            <w:pPr>
              <w:pStyle w:val="75"/>
            </w:pPr>
            <w:r>
              <w:rPr>
                <w:rFonts w:hint="eastAsia"/>
              </w:rPr>
              <w:t>2.36</w:t>
            </w:r>
          </w:p>
        </w:tc>
        <w:tc>
          <w:tcPr>
            <w:tcW w:w="599" w:type="pct"/>
            <w:shd w:val="clear" w:color="auto" w:fill="auto"/>
            <w:tcMar>
              <w:left w:w="28" w:type="dxa"/>
              <w:right w:w="28" w:type="dxa"/>
            </w:tcMar>
            <w:vAlign w:val="center"/>
          </w:tcPr>
          <w:p w14:paraId="6E02C98E">
            <w:pPr>
              <w:pStyle w:val="75"/>
            </w:pPr>
            <w:r>
              <w:rPr>
                <w:rFonts w:hint="eastAsia"/>
              </w:rPr>
              <w:t>25.2</w:t>
            </w:r>
          </w:p>
        </w:tc>
        <w:tc>
          <w:tcPr>
            <w:tcW w:w="558" w:type="pct"/>
            <w:tcMar>
              <w:left w:w="28" w:type="dxa"/>
              <w:right w:w="28" w:type="dxa"/>
            </w:tcMar>
            <w:vAlign w:val="center"/>
          </w:tcPr>
          <w:p w14:paraId="64EC7827">
            <w:pPr>
              <w:pStyle w:val="75"/>
            </w:pPr>
            <w:r>
              <w:rPr>
                <w:rFonts w:hint="eastAsia"/>
              </w:rPr>
              <w:t>2.21</w:t>
            </w:r>
          </w:p>
        </w:tc>
      </w:tr>
    </w:tbl>
    <w:p w14:paraId="2A65DBAE">
      <w:pPr>
        <w:ind w:firstLine="480"/>
        <w:rPr>
          <w:b/>
        </w:rPr>
      </w:pPr>
      <w:r>
        <w:rPr>
          <w:rFonts w:hint="eastAsia"/>
          <w:bCs/>
        </w:rPr>
        <w:t>本项目综合废水采用综合废水处理系统进行处理。综合废水处理系统采用“</w:t>
      </w:r>
      <w:r>
        <w:rPr>
          <w:rFonts w:hint="eastAsia"/>
        </w:rPr>
        <w:t>破乳+气浮+调节+混凝沉淀+水解酸化+接触氧化+二沉池</w:t>
      </w:r>
      <w:r>
        <w:rPr>
          <w:rFonts w:hint="eastAsia"/>
          <w:bCs/>
        </w:rPr>
        <w:t>”工艺进行废水处理，处理工艺详情为：</w:t>
      </w:r>
    </w:p>
    <w:p w14:paraId="1D401BFB">
      <w:pPr>
        <w:spacing w:line="240" w:lineRule="auto"/>
        <w:ind w:firstLine="0" w:firstLineChars="0"/>
        <w:jc w:val="center"/>
        <w:rPr>
          <w:b/>
        </w:rPr>
      </w:pPr>
      <w:r>
        <w:object>
          <v:shape id="_x0000_i1028" o:spt="75" type="#_x0000_t75" style="height:404.25pt;width:258.75pt;" o:ole="t" filled="f" o:preferrelative="t" stroked="f" coordsize="21600,21600">
            <v:path/>
            <v:fill on="f" focussize="0,0"/>
            <v:stroke on="f"/>
            <v:imagedata r:id="rId34" o:title=""/>
            <o:lock v:ext="edit" aspectratio="t"/>
            <w10:wrap type="none"/>
            <w10:anchorlock/>
          </v:shape>
          <o:OLEObject Type="Embed" ProgID="Visio.Drawing.11" ShapeID="_x0000_i1028" DrawAspect="Content" ObjectID="_1468075731" r:id="rId33">
            <o:LockedField>false</o:LockedField>
          </o:OLEObject>
        </w:object>
      </w:r>
    </w:p>
    <w:p w14:paraId="7300C8B4">
      <w:pPr>
        <w:pStyle w:val="78"/>
      </w:pPr>
      <w:r>
        <w:rPr>
          <w:rFonts w:hint="eastAsia"/>
        </w:rPr>
        <w:t>图</w:t>
      </w:r>
      <w:r>
        <w:rPr>
          <w:rFonts w:hint="eastAsia"/>
          <w:lang w:val="en-US" w:eastAsia="zh-CN"/>
        </w:rPr>
        <w:t>3.6-4</w:t>
      </w:r>
      <w:r>
        <w:rPr>
          <w:rFonts w:hint="eastAsia"/>
        </w:rPr>
        <w:t xml:space="preserve">  </w:t>
      </w:r>
      <w:r>
        <w:t xml:space="preserve">  </w:t>
      </w:r>
      <w:r>
        <w:rPr>
          <w:rFonts w:hint="eastAsia"/>
        </w:rPr>
        <w:t>综合废水处理工艺流程图</w:t>
      </w:r>
    </w:p>
    <w:p w14:paraId="15740FB7">
      <w:pPr>
        <w:ind w:firstLine="482"/>
        <w:rPr>
          <w:b/>
        </w:rPr>
      </w:pPr>
      <w:r>
        <w:rPr>
          <w:rFonts w:hint="eastAsia"/>
          <w:b/>
        </w:rPr>
        <w:t>（5）生活污水</w:t>
      </w:r>
    </w:p>
    <w:p w14:paraId="208B985A">
      <w:pPr>
        <w:ind w:firstLine="480"/>
      </w:pPr>
      <w:r>
        <w:rPr>
          <w:rFonts w:hint="eastAsia"/>
        </w:rPr>
        <w:t>本项目生活污水排放量为</w:t>
      </w:r>
      <w:r>
        <w:rPr>
          <w:rFonts w:hint="eastAsia"/>
          <w:lang w:val="en-US" w:eastAsia="zh-CN"/>
        </w:rPr>
        <w:t>0.88</w:t>
      </w:r>
      <w:r>
        <w:rPr>
          <w:rFonts w:hint="eastAsia"/>
        </w:rPr>
        <w:t>m</w:t>
      </w:r>
      <w:r>
        <w:rPr>
          <w:rFonts w:hint="eastAsia"/>
          <w:vertAlign w:val="superscript"/>
        </w:rPr>
        <w:t>3</w:t>
      </w:r>
      <w:r>
        <w:rPr>
          <w:rFonts w:hint="eastAsia"/>
        </w:rPr>
        <w:t>/d，类比确定生活污水水质为：COD 350mg/L、SS 250mg/L、NH</w:t>
      </w:r>
      <w:r>
        <w:rPr>
          <w:rFonts w:hint="eastAsia"/>
          <w:vertAlign w:val="subscript"/>
        </w:rPr>
        <w:t>3</w:t>
      </w:r>
      <w:r>
        <w:rPr>
          <w:rFonts w:hint="eastAsia"/>
        </w:rPr>
        <w:t>-N 25mg/L、TN 30mg/L、TP 4mg/L。经化粪池处理后水质为：COD 250mg/L、SS 150mg/L、NH</w:t>
      </w:r>
      <w:r>
        <w:rPr>
          <w:rFonts w:hint="eastAsia"/>
          <w:vertAlign w:val="subscript"/>
        </w:rPr>
        <w:t>3</w:t>
      </w:r>
      <w:r>
        <w:rPr>
          <w:rFonts w:hint="eastAsia"/>
        </w:rPr>
        <w:t>-N 25mg/L、TN 30mg/L、TP 3mg/L。</w:t>
      </w:r>
    </w:p>
    <w:p w14:paraId="2660895E">
      <w:pPr>
        <w:ind w:firstLine="482"/>
        <w:rPr>
          <w:b/>
        </w:rPr>
      </w:pPr>
      <w:r>
        <w:rPr>
          <w:rFonts w:hint="eastAsia"/>
          <w:b/>
        </w:rPr>
        <w:t>（6）纯水制备浓水</w:t>
      </w:r>
    </w:p>
    <w:p w14:paraId="6082985D">
      <w:pPr>
        <w:pStyle w:val="72"/>
        <w:rPr>
          <w:szCs w:val="24"/>
          <w:highlight w:val="none"/>
        </w:rPr>
      </w:pPr>
      <w:r>
        <w:rPr>
          <w:rFonts w:hint="eastAsia" w:ascii="Times New Roman" w:hAnsi="Times New Roman" w:eastAsia="宋体" w:cs="宋体"/>
          <w:highlight w:val="none"/>
        </w:rPr>
        <w:t>本项目纯水制备浓水排放量为</w:t>
      </w:r>
      <w:r>
        <w:rPr>
          <w:rFonts w:hint="eastAsia" w:cs="宋体"/>
          <w:highlight w:val="none"/>
          <w:lang w:val="en-US" w:eastAsia="zh-CN"/>
        </w:rPr>
        <w:t>80.208</w:t>
      </w:r>
      <w:r>
        <w:rPr>
          <w:rFonts w:hint="eastAsia" w:ascii="Times New Roman" w:hAnsi="Times New Roman" w:eastAsia="宋体" w:cs="宋体"/>
          <w:highlight w:val="none"/>
        </w:rPr>
        <w:t>m</w:t>
      </w:r>
      <w:r>
        <w:rPr>
          <w:rFonts w:hint="eastAsia" w:ascii="Times New Roman" w:hAnsi="Times New Roman" w:eastAsia="宋体" w:cs="宋体"/>
          <w:highlight w:val="none"/>
          <w:vertAlign w:val="superscript"/>
        </w:rPr>
        <w:t>3/</w:t>
      </w:r>
      <w:r>
        <w:rPr>
          <w:rFonts w:hint="eastAsia" w:ascii="Times New Roman" w:hAnsi="Times New Roman" w:eastAsia="宋体" w:cs="宋体"/>
          <w:highlight w:val="none"/>
        </w:rPr>
        <w:t>d，类</w:t>
      </w:r>
      <w:r>
        <w:rPr>
          <w:rFonts w:hint="eastAsia"/>
          <w:highlight w:val="none"/>
        </w:rPr>
        <w:t>比确定浓水水质为：COD 25mg/L、SS 50mg/L</w:t>
      </w:r>
      <w:r>
        <w:rPr>
          <w:rFonts w:hint="eastAsia"/>
          <w:szCs w:val="24"/>
          <w:highlight w:val="none"/>
        </w:rPr>
        <w:t>。</w:t>
      </w:r>
    </w:p>
    <w:p w14:paraId="147A8EC1">
      <w:pPr>
        <w:pStyle w:val="72"/>
        <w:ind w:firstLine="482"/>
        <w:rPr>
          <w:b/>
          <w:bCs/>
          <w:szCs w:val="24"/>
        </w:rPr>
      </w:pPr>
      <w:r>
        <w:rPr>
          <w:rFonts w:hint="eastAsia"/>
          <w:b/>
          <w:bCs/>
          <w:szCs w:val="24"/>
        </w:rPr>
        <w:t>（7）冲压冷凝水</w:t>
      </w:r>
    </w:p>
    <w:p w14:paraId="2792978A">
      <w:pPr>
        <w:pStyle w:val="72"/>
      </w:pPr>
      <w:r>
        <w:rPr>
          <w:rFonts w:hint="eastAsia"/>
        </w:rPr>
        <w:t>本项目冲压冷凝水定期排放量为0.1m</w:t>
      </w:r>
      <w:r>
        <w:rPr>
          <w:rFonts w:hint="eastAsia"/>
          <w:vertAlign w:val="superscript"/>
        </w:rPr>
        <w:t>3</w:t>
      </w:r>
      <w:r>
        <w:rPr>
          <w:rFonts w:hint="eastAsia"/>
        </w:rPr>
        <w:t>/d，类比确定浓水水质为：COD 25mg/L、SS 30mg/L</w:t>
      </w:r>
      <w:r>
        <w:rPr>
          <w:rFonts w:hint="eastAsia"/>
          <w:szCs w:val="24"/>
        </w:rPr>
        <w:t>。</w:t>
      </w:r>
    </w:p>
    <w:p w14:paraId="0D1C10F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3.6.2.3出水水质预测</w:t>
      </w:r>
    </w:p>
    <w:p w14:paraId="73CC086F">
      <w:pPr>
        <w:pStyle w:val="72"/>
        <w:rPr>
          <w:rFonts w:cs="Times New Roman"/>
        </w:rPr>
      </w:pPr>
      <w:r>
        <w:rPr>
          <w:rFonts w:hint="eastAsia" w:cs="Times New Roman"/>
        </w:rPr>
        <w:t>本项目建成后全厂共有含镍废水处理系统、含铬废水处理系统和综合废水处理系统共</w:t>
      </w:r>
      <w:r>
        <w:rPr>
          <w:rFonts w:hint="eastAsia" w:cs="Times New Roman"/>
          <w:lang w:val="en-US" w:eastAsia="zh-CN"/>
        </w:rPr>
        <w:t>3</w:t>
      </w:r>
      <w:r>
        <w:rPr>
          <w:rFonts w:hint="eastAsia" w:cs="Times New Roman"/>
        </w:rPr>
        <w:t>套废水治理措施。含镍废水和含铬废水处理后全部回用；综合废水经处理后与经化粪池处理后的生活污水以及纯水制备浓水、冲压冷凝水一同经厂区总排口排放。</w:t>
      </w:r>
    </w:p>
    <w:p w14:paraId="38919136">
      <w:pPr>
        <w:pStyle w:val="72"/>
        <w:rPr>
          <w:rFonts w:cs="Times New Roman"/>
        </w:rPr>
      </w:pPr>
      <w:r>
        <w:rPr>
          <w:rFonts w:hint="eastAsia" w:cs="Times New Roman"/>
        </w:rPr>
        <w:t>（1）本项目含镍废水处理系统处理效果见下表。</w:t>
      </w:r>
    </w:p>
    <w:p w14:paraId="69F538E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3.6-16</w:t>
      </w:r>
      <w:r>
        <w:rPr>
          <w:rFonts w:hint="eastAsia"/>
        </w:rPr>
        <w:t xml:space="preserve">    含镍废水处理系统处理效果一览表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1231"/>
        <w:gridCol w:w="1634"/>
        <w:gridCol w:w="1312"/>
        <w:gridCol w:w="1457"/>
        <w:gridCol w:w="1395"/>
      </w:tblGrid>
      <w:tr w14:paraId="0C981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79" w:type="pct"/>
            <w:vAlign w:val="center"/>
          </w:tcPr>
          <w:p w14:paraId="289A7F22">
            <w:pPr>
              <w:pStyle w:val="81"/>
              <w:rPr>
                <w:color w:val="auto"/>
              </w:rPr>
            </w:pPr>
            <w:r>
              <w:rPr>
                <w:rFonts w:hint="eastAsia"/>
                <w:color w:val="auto"/>
              </w:rPr>
              <w:t>处理工段</w:t>
            </w:r>
          </w:p>
        </w:tc>
        <w:tc>
          <w:tcPr>
            <w:tcW w:w="722" w:type="pct"/>
            <w:vAlign w:val="center"/>
          </w:tcPr>
          <w:p w14:paraId="4A0BFD96">
            <w:pPr>
              <w:pStyle w:val="81"/>
              <w:rPr>
                <w:color w:val="auto"/>
              </w:rPr>
            </w:pPr>
            <w:r>
              <w:rPr>
                <w:rFonts w:hint="eastAsia"/>
                <w:color w:val="auto"/>
              </w:rPr>
              <w:t>废水来源</w:t>
            </w:r>
          </w:p>
        </w:tc>
        <w:tc>
          <w:tcPr>
            <w:tcW w:w="958" w:type="pct"/>
            <w:vAlign w:val="center"/>
          </w:tcPr>
          <w:p w14:paraId="490C5336">
            <w:pPr>
              <w:pStyle w:val="81"/>
              <w:rPr>
                <w:color w:val="auto"/>
              </w:rPr>
            </w:pPr>
            <w:r>
              <w:rPr>
                <w:rFonts w:hint="eastAsia"/>
                <w:color w:val="auto"/>
              </w:rPr>
              <w:t>水量(m</w:t>
            </w:r>
            <w:r>
              <w:rPr>
                <w:rFonts w:hint="eastAsia"/>
                <w:color w:val="auto"/>
                <w:vertAlign w:val="superscript"/>
              </w:rPr>
              <w:t>3</w:t>
            </w:r>
            <w:r>
              <w:rPr>
                <w:rFonts w:hint="eastAsia"/>
                <w:color w:val="auto"/>
              </w:rPr>
              <w:t>/d</w:t>
            </w:r>
            <w:r>
              <w:rPr>
                <w:color w:val="auto"/>
              </w:rPr>
              <w:t>)</w:t>
            </w:r>
          </w:p>
        </w:tc>
        <w:tc>
          <w:tcPr>
            <w:tcW w:w="769" w:type="pct"/>
            <w:vAlign w:val="center"/>
          </w:tcPr>
          <w:p w14:paraId="78E111C9">
            <w:pPr>
              <w:pStyle w:val="81"/>
              <w:rPr>
                <w:color w:val="auto"/>
              </w:rPr>
            </w:pPr>
            <w:r>
              <w:rPr>
                <w:rFonts w:hint="eastAsia"/>
                <w:color w:val="auto"/>
              </w:rPr>
              <w:t>p</w:t>
            </w:r>
            <w:r>
              <w:rPr>
                <w:color w:val="auto"/>
              </w:rPr>
              <w:t>H</w:t>
            </w:r>
          </w:p>
        </w:tc>
        <w:tc>
          <w:tcPr>
            <w:tcW w:w="854" w:type="pct"/>
            <w:vAlign w:val="center"/>
          </w:tcPr>
          <w:p w14:paraId="3D68B993">
            <w:pPr>
              <w:pStyle w:val="81"/>
              <w:rPr>
                <w:color w:val="auto"/>
              </w:rPr>
            </w:pPr>
            <w:r>
              <w:rPr>
                <w:rFonts w:hint="eastAsia"/>
                <w:color w:val="auto"/>
              </w:rPr>
              <w:t>COD</w:t>
            </w:r>
          </w:p>
        </w:tc>
        <w:tc>
          <w:tcPr>
            <w:tcW w:w="818" w:type="pct"/>
            <w:vAlign w:val="center"/>
          </w:tcPr>
          <w:p w14:paraId="1F6F518C">
            <w:pPr>
              <w:pStyle w:val="81"/>
              <w:rPr>
                <w:color w:val="auto"/>
              </w:rPr>
            </w:pPr>
            <w:r>
              <w:rPr>
                <w:rFonts w:hint="eastAsia"/>
                <w:color w:val="auto"/>
              </w:rPr>
              <w:t>总镍</w:t>
            </w:r>
          </w:p>
        </w:tc>
      </w:tr>
      <w:tr w14:paraId="06380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Align w:val="center"/>
          </w:tcPr>
          <w:p w14:paraId="426EC323">
            <w:pPr>
              <w:pStyle w:val="75"/>
            </w:pPr>
            <w:r>
              <w:rPr>
                <w:rFonts w:hint="eastAsia"/>
              </w:rPr>
              <w:t>调节池</w:t>
            </w:r>
          </w:p>
        </w:tc>
        <w:tc>
          <w:tcPr>
            <w:tcW w:w="722" w:type="pct"/>
            <w:vAlign w:val="center"/>
          </w:tcPr>
          <w:p w14:paraId="2E40FCBE">
            <w:pPr>
              <w:pStyle w:val="75"/>
            </w:pPr>
            <w:r>
              <w:rPr>
                <w:rFonts w:hint="eastAsia"/>
              </w:rPr>
              <w:t>含镍废水</w:t>
            </w:r>
          </w:p>
        </w:tc>
        <w:tc>
          <w:tcPr>
            <w:tcW w:w="958" w:type="pct"/>
            <w:vAlign w:val="center"/>
          </w:tcPr>
          <w:p w14:paraId="0E2CD580">
            <w:pPr>
              <w:pStyle w:val="75"/>
              <w:rPr>
                <w:rFonts w:hint="default" w:eastAsia="宋体"/>
                <w:lang w:val="en-US" w:eastAsia="zh-CN"/>
              </w:rPr>
            </w:pPr>
            <w:r>
              <w:rPr>
                <w:rFonts w:hint="eastAsia"/>
                <w:lang w:val="en-US" w:eastAsia="zh-CN"/>
              </w:rPr>
              <w:t>135.757</w:t>
            </w:r>
          </w:p>
        </w:tc>
        <w:tc>
          <w:tcPr>
            <w:tcW w:w="769" w:type="pct"/>
            <w:vAlign w:val="center"/>
          </w:tcPr>
          <w:p w14:paraId="6907461F">
            <w:pPr>
              <w:pStyle w:val="75"/>
            </w:pPr>
            <w:r>
              <w:rPr>
                <w:rFonts w:hint="eastAsia"/>
              </w:rPr>
              <w:t>6</w:t>
            </w:r>
            <w:r>
              <w:t>.3</w:t>
            </w:r>
          </w:p>
        </w:tc>
        <w:tc>
          <w:tcPr>
            <w:tcW w:w="854" w:type="pct"/>
            <w:vAlign w:val="center"/>
          </w:tcPr>
          <w:p w14:paraId="537576A5">
            <w:pPr>
              <w:pStyle w:val="75"/>
            </w:pPr>
            <w:r>
              <w:rPr>
                <w:rFonts w:hint="eastAsia"/>
              </w:rPr>
              <w:t>180</w:t>
            </w:r>
          </w:p>
        </w:tc>
        <w:tc>
          <w:tcPr>
            <w:tcW w:w="818" w:type="pct"/>
            <w:vAlign w:val="center"/>
          </w:tcPr>
          <w:p w14:paraId="1B0E1493">
            <w:pPr>
              <w:pStyle w:val="75"/>
            </w:pPr>
            <w:r>
              <w:rPr>
                <w:rFonts w:hint="eastAsia"/>
              </w:rPr>
              <w:t>204</w:t>
            </w:r>
          </w:p>
        </w:tc>
      </w:tr>
      <w:tr w14:paraId="3E0DAB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Merge w:val="restart"/>
            <w:vAlign w:val="center"/>
          </w:tcPr>
          <w:p w14:paraId="2DD7E84C">
            <w:pPr>
              <w:pStyle w:val="75"/>
            </w:pPr>
            <w:r>
              <w:rPr>
                <w:rFonts w:hint="eastAsia"/>
              </w:rPr>
              <w:t>混凝沉淀+砂滤+超滤+反渗透+蒸发</w:t>
            </w:r>
          </w:p>
        </w:tc>
        <w:tc>
          <w:tcPr>
            <w:tcW w:w="722" w:type="pct"/>
            <w:vAlign w:val="center"/>
          </w:tcPr>
          <w:p w14:paraId="4EF78885">
            <w:pPr>
              <w:pStyle w:val="75"/>
            </w:pPr>
            <w:r>
              <w:rPr>
                <w:rFonts w:hint="eastAsia"/>
              </w:rPr>
              <w:t>去除率(%</w:t>
            </w:r>
            <w:r>
              <w:t>)</w:t>
            </w:r>
          </w:p>
        </w:tc>
        <w:tc>
          <w:tcPr>
            <w:tcW w:w="958" w:type="pct"/>
            <w:vAlign w:val="center"/>
          </w:tcPr>
          <w:p w14:paraId="093D3927">
            <w:pPr>
              <w:pStyle w:val="75"/>
            </w:pPr>
            <w:r>
              <w:rPr>
                <w:rFonts w:hint="eastAsia"/>
              </w:rPr>
              <w:t>/</w:t>
            </w:r>
          </w:p>
        </w:tc>
        <w:tc>
          <w:tcPr>
            <w:tcW w:w="769" w:type="pct"/>
            <w:vAlign w:val="center"/>
          </w:tcPr>
          <w:p w14:paraId="0CC630B0">
            <w:pPr>
              <w:pStyle w:val="75"/>
            </w:pPr>
            <w:r>
              <w:rPr>
                <w:rFonts w:hint="eastAsia"/>
              </w:rPr>
              <w:t>/</w:t>
            </w:r>
          </w:p>
        </w:tc>
        <w:tc>
          <w:tcPr>
            <w:tcW w:w="854" w:type="pct"/>
            <w:vAlign w:val="center"/>
          </w:tcPr>
          <w:p w14:paraId="45463FDC">
            <w:pPr>
              <w:pStyle w:val="75"/>
            </w:pPr>
            <w:r>
              <w:rPr>
                <w:rFonts w:hint="eastAsia"/>
              </w:rPr>
              <w:t>90</w:t>
            </w:r>
          </w:p>
        </w:tc>
        <w:tc>
          <w:tcPr>
            <w:tcW w:w="818" w:type="pct"/>
            <w:vAlign w:val="center"/>
          </w:tcPr>
          <w:p w14:paraId="6EBC04B6">
            <w:pPr>
              <w:pStyle w:val="75"/>
            </w:pPr>
            <w:r>
              <w:rPr>
                <w:rFonts w:hint="eastAsia"/>
              </w:rPr>
              <w:t>100</w:t>
            </w:r>
          </w:p>
        </w:tc>
      </w:tr>
      <w:tr w14:paraId="7BA41F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Merge w:val="continue"/>
            <w:vAlign w:val="center"/>
          </w:tcPr>
          <w:p w14:paraId="2D7E46E3">
            <w:pPr>
              <w:pStyle w:val="75"/>
            </w:pPr>
          </w:p>
        </w:tc>
        <w:tc>
          <w:tcPr>
            <w:tcW w:w="722" w:type="pct"/>
            <w:vAlign w:val="center"/>
          </w:tcPr>
          <w:p w14:paraId="60722E8E">
            <w:pPr>
              <w:pStyle w:val="75"/>
            </w:pPr>
            <w:r>
              <w:rPr>
                <w:rFonts w:hint="eastAsia"/>
              </w:rPr>
              <w:t>出水</w:t>
            </w:r>
          </w:p>
        </w:tc>
        <w:tc>
          <w:tcPr>
            <w:tcW w:w="958" w:type="pct"/>
            <w:vAlign w:val="center"/>
          </w:tcPr>
          <w:p w14:paraId="1770F15A">
            <w:pPr>
              <w:pStyle w:val="75"/>
            </w:pPr>
            <w:r>
              <w:rPr>
                <w:rFonts w:hint="eastAsia"/>
              </w:rPr>
              <w:t>/</w:t>
            </w:r>
          </w:p>
        </w:tc>
        <w:tc>
          <w:tcPr>
            <w:tcW w:w="769" w:type="pct"/>
            <w:vAlign w:val="center"/>
          </w:tcPr>
          <w:p w14:paraId="62E7D585">
            <w:pPr>
              <w:pStyle w:val="75"/>
            </w:pPr>
            <w:r>
              <w:rPr>
                <w:rFonts w:hint="eastAsia"/>
              </w:rPr>
              <w:t>7</w:t>
            </w:r>
            <w:r>
              <w:t>.0</w:t>
            </w:r>
          </w:p>
        </w:tc>
        <w:tc>
          <w:tcPr>
            <w:tcW w:w="854" w:type="pct"/>
            <w:vAlign w:val="center"/>
          </w:tcPr>
          <w:p w14:paraId="227D0E82">
            <w:pPr>
              <w:pStyle w:val="75"/>
            </w:pPr>
            <w:r>
              <w:rPr>
                <w:rFonts w:hint="eastAsia"/>
              </w:rPr>
              <w:t>18</w:t>
            </w:r>
          </w:p>
        </w:tc>
        <w:tc>
          <w:tcPr>
            <w:tcW w:w="818" w:type="pct"/>
            <w:vAlign w:val="center"/>
          </w:tcPr>
          <w:p w14:paraId="13A9FEE4">
            <w:pPr>
              <w:pStyle w:val="75"/>
            </w:pPr>
            <w:r>
              <w:t>0</w:t>
            </w:r>
          </w:p>
        </w:tc>
      </w:tr>
    </w:tbl>
    <w:p w14:paraId="431B7291">
      <w:pPr>
        <w:pStyle w:val="72"/>
        <w:rPr>
          <w:rFonts w:cs="Times New Roman"/>
        </w:rPr>
      </w:pPr>
      <w:r>
        <w:rPr>
          <w:rFonts w:hint="eastAsia" w:cs="Times New Roman"/>
        </w:rPr>
        <w:t>根据企业设备厂家提供实验数据及实际工程数据，反渗透和蒸发器的淡水水质可达到总镍未检出、电导率在100</w:t>
      </w:r>
      <w:r>
        <w:rPr>
          <w:rFonts w:cs="Times New Roman"/>
        </w:rPr>
        <w:t>μS</w:t>
      </w:r>
      <w:r>
        <w:rPr>
          <w:rFonts w:hint="eastAsia" w:cs="Times New Roman"/>
        </w:rPr>
        <w:t>/cm，满足电镀用水要求，全部回用于镀后水洗</w:t>
      </w:r>
      <w:r>
        <w:rPr>
          <w:rFonts w:hint="eastAsia" w:cs="Times New Roman"/>
          <w:lang w:eastAsia="zh-CN"/>
        </w:rPr>
        <w:t>、</w:t>
      </w:r>
      <w:r>
        <w:rPr>
          <w:rFonts w:hint="eastAsia" w:cs="Times New Roman"/>
          <w:lang w:val="en-US" w:eastAsia="zh-CN"/>
        </w:rPr>
        <w:t>漂白水洗及</w:t>
      </w:r>
      <w:r>
        <w:rPr>
          <w:rFonts w:hint="eastAsia" w:cs="Times New Roman"/>
        </w:rPr>
        <w:t>中和后水洗工段，不外排。</w:t>
      </w:r>
    </w:p>
    <w:p w14:paraId="5B9DC2D7">
      <w:pPr>
        <w:pStyle w:val="72"/>
        <w:rPr>
          <w:rFonts w:cs="Times New Roman"/>
        </w:rPr>
      </w:pPr>
      <w:r>
        <w:rPr>
          <w:rFonts w:hint="eastAsia" w:cs="Times New Roman"/>
        </w:rPr>
        <w:t>（2）本项目含铬废水处理系统处理效果见下表。</w:t>
      </w:r>
    </w:p>
    <w:p w14:paraId="4E488BD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3.6-17</w:t>
      </w:r>
      <w:r>
        <w:rPr>
          <w:rFonts w:hint="eastAsia"/>
        </w:rPr>
        <w:t xml:space="preserve">    含铬废水处理系统处理效果一览表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1603"/>
        <w:gridCol w:w="1897"/>
        <w:gridCol w:w="1605"/>
        <w:gridCol w:w="1977"/>
      </w:tblGrid>
      <w:tr w14:paraId="51288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97" w:hRule="atLeast"/>
          <w:tblHeader/>
          <w:jc w:val="center"/>
        </w:trPr>
        <w:tc>
          <w:tcPr>
            <w:tcW w:w="848" w:type="pct"/>
            <w:vAlign w:val="center"/>
          </w:tcPr>
          <w:p w14:paraId="3BF612F2">
            <w:pPr>
              <w:pStyle w:val="81"/>
              <w:rPr>
                <w:color w:val="auto"/>
              </w:rPr>
            </w:pPr>
            <w:r>
              <w:rPr>
                <w:rFonts w:hint="eastAsia"/>
                <w:color w:val="auto"/>
              </w:rPr>
              <w:t>处理工段</w:t>
            </w:r>
          </w:p>
        </w:tc>
        <w:tc>
          <w:tcPr>
            <w:tcW w:w="940" w:type="pct"/>
            <w:vAlign w:val="center"/>
          </w:tcPr>
          <w:p w14:paraId="6A41A5F4">
            <w:pPr>
              <w:pStyle w:val="81"/>
              <w:rPr>
                <w:color w:val="auto"/>
              </w:rPr>
            </w:pPr>
            <w:r>
              <w:rPr>
                <w:rFonts w:hint="eastAsia"/>
                <w:color w:val="auto"/>
              </w:rPr>
              <w:t>废水来源</w:t>
            </w:r>
          </w:p>
        </w:tc>
        <w:tc>
          <w:tcPr>
            <w:tcW w:w="1112" w:type="pct"/>
            <w:vAlign w:val="center"/>
          </w:tcPr>
          <w:p w14:paraId="4C4C3812">
            <w:pPr>
              <w:pStyle w:val="81"/>
              <w:rPr>
                <w:color w:val="auto"/>
              </w:rPr>
            </w:pPr>
            <w:r>
              <w:rPr>
                <w:rFonts w:hint="eastAsia"/>
                <w:color w:val="auto"/>
              </w:rPr>
              <w:t>水量(m</w:t>
            </w:r>
            <w:r>
              <w:rPr>
                <w:rFonts w:hint="eastAsia"/>
                <w:color w:val="auto"/>
                <w:vertAlign w:val="superscript"/>
              </w:rPr>
              <w:t>3</w:t>
            </w:r>
            <w:r>
              <w:rPr>
                <w:rFonts w:hint="eastAsia"/>
                <w:color w:val="auto"/>
              </w:rPr>
              <w:t>/d</w:t>
            </w:r>
            <w:r>
              <w:rPr>
                <w:color w:val="auto"/>
              </w:rPr>
              <w:t>)</w:t>
            </w:r>
          </w:p>
        </w:tc>
        <w:tc>
          <w:tcPr>
            <w:tcW w:w="941" w:type="pct"/>
            <w:vAlign w:val="center"/>
          </w:tcPr>
          <w:p w14:paraId="73886BE3">
            <w:pPr>
              <w:pStyle w:val="81"/>
              <w:rPr>
                <w:color w:val="auto"/>
              </w:rPr>
            </w:pPr>
            <w:r>
              <w:rPr>
                <w:rFonts w:hint="eastAsia"/>
                <w:bCs/>
                <w:color w:val="auto"/>
              </w:rPr>
              <w:t>pH</w:t>
            </w:r>
          </w:p>
        </w:tc>
        <w:tc>
          <w:tcPr>
            <w:tcW w:w="1159" w:type="pct"/>
            <w:vAlign w:val="center"/>
          </w:tcPr>
          <w:p w14:paraId="1BFB9948">
            <w:pPr>
              <w:pStyle w:val="81"/>
              <w:rPr>
                <w:color w:val="auto"/>
              </w:rPr>
            </w:pPr>
            <w:r>
              <w:rPr>
                <w:rFonts w:hint="eastAsia"/>
                <w:color w:val="auto"/>
              </w:rPr>
              <w:t>总铬</w:t>
            </w:r>
          </w:p>
        </w:tc>
      </w:tr>
      <w:tr w14:paraId="60CC8E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Align w:val="center"/>
          </w:tcPr>
          <w:p w14:paraId="1AC02074">
            <w:pPr>
              <w:pStyle w:val="75"/>
            </w:pPr>
            <w:r>
              <w:rPr>
                <w:rFonts w:hint="eastAsia"/>
              </w:rPr>
              <w:t>调节池</w:t>
            </w:r>
          </w:p>
        </w:tc>
        <w:tc>
          <w:tcPr>
            <w:tcW w:w="940" w:type="pct"/>
            <w:vAlign w:val="center"/>
          </w:tcPr>
          <w:p w14:paraId="57A9D490">
            <w:pPr>
              <w:pStyle w:val="75"/>
            </w:pPr>
            <w:r>
              <w:rPr>
                <w:rFonts w:hint="eastAsia"/>
              </w:rPr>
              <w:t>含铬废水</w:t>
            </w:r>
          </w:p>
        </w:tc>
        <w:tc>
          <w:tcPr>
            <w:tcW w:w="1112" w:type="pct"/>
            <w:vAlign w:val="center"/>
          </w:tcPr>
          <w:p w14:paraId="1E47EA37">
            <w:pPr>
              <w:pStyle w:val="75"/>
              <w:rPr>
                <w:rFonts w:hint="default" w:eastAsia="宋体"/>
                <w:lang w:val="en-US" w:eastAsia="zh-CN"/>
              </w:rPr>
            </w:pPr>
            <w:r>
              <w:rPr>
                <w:rFonts w:hint="eastAsia"/>
                <w:lang w:val="en-US" w:eastAsia="zh-CN"/>
              </w:rPr>
              <w:t>52.618</w:t>
            </w:r>
          </w:p>
        </w:tc>
        <w:tc>
          <w:tcPr>
            <w:tcW w:w="941" w:type="pct"/>
            <w:vAlign w:val="center"/>
          </w:tcPr>
          <w:p w14:paraId="294C6AA9">
            <w:pPr>
              <w:pStyle w:val="75"/>
            </w:pPr>
            <w:r>
              <w:rPr>
                <w:rFonts w:hint="eastAsia"/>
              </w:rPr>
              <w:t>5.2</w:t>
            </w:r>
          </w:p>
        </w:tc>
        <w:tc>
          <w:tcPr>
            <w:tcW w:w="1159" w:type="pct"/>
            <w:vAlign w:val="center"/>
          </w:tcPr>
          <w:p w14:paraId="7E2F9A28">
            <w:pPr>
              <w:pStyle w:val="75"/>
              <w:rPr>
                <w:rFonts w:hint="default" w:eastAsia="宋体"/>
                <w:lang w:val="en-US" w:eastAsia="zh-CN"/>
              </w:rPr>
            </w:pPr>
            <w:r>
              <w:rPr>
                <w:rFonts w:hint="eastAsia"/>
                <w:lang w:val="en-US" w:eastAsia="zh-CN"/>
              </w:rPr>
              <w:t>32.7</w:t>
            </w:r>
          </w:p>
        </w:tc>
      </w:tr>
      <w:tr w14:paraId="17BB8A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Merge w:val="restart"/>
            <w:vAlign w:val="center"/>
          </w:tcPr>
          <w:p w14:paraId="227E1ED1">
            <w:pPr>
              <w:pStyle w:val="75"/>
            </w:pPr>
            <w:r>
              <w:rPr>
                <w:rFonts w:hint="eastAsia"/>
              </w:rPr>
              <w:t>混凝沉淀+砂滤+超滤+反渗透+蒸发</w:t>
            </w:r>
          </w:p>
        </w:tc>
        <w:tc>
          <w:tcPr>
            <w:tcW w:w="940" w:type="pct"/>
            <w:vAlign w:val="center"/>
          </w:tcPr>
          <w:p w14:paraId="5B70F5AA">
            <w:pPr>
              <w:pStyle w:val="75"/>
            </w:pPr>
            <w:r>
              <w:rPr>
                <w:rFonts w:hint="eastAsia"/>
              </w:rPr>
              <w:t>去除率(%</w:t>
            </w:r>
            <w:r>
              <w:t>)</w:t>
            </w:r>
          </w:p>
        </w:tc>
        <w:tc>
          <w:tcPr>
            <w:tcW w:w="1112" w:type="pct"/>
            <w:vAlign w:val="center"/>
          </w:tcPr>
          <w:p w14:paraId="5FE6594A">
            <w:pPr>
              <w:pStyle w:val="75"/>
            </w:pPr>
            <w:r>
              <w:rPr>
                <w:rFonts w:hint="eastAsia"/>
              </w:rPr>
              <w:t>/</w:t>
            </w:r>
          </w:p>
        </w:tc>
        <w:tc>
          <w:tcPr>
            <w:tcW w:w="941" w:type="pct"/>
            <w:vAlign w:val="center"/>
          </w:tcPr>
          <w:p w14:paraId="178D6E60">
            <w:pPr>
              <w:pStyle w:val="75"/>
            </w:pPr>
            <w:r>
              <w:rPr>
                <w:rFonts w:hint="eastAsia"/>
              </w:rPr>
              <w:t>/</w:t>
            </w:r>
          </w:p>
        </w:tc>
        <w:tc>
          <w:tcPr>
            <w:tcW w:w="1159" w:type="pct"/>
            <w:vAlign w:val="center"/>
          </w:tcPr>
          <w:p w14:paraId="0AAE3058">
            <w:pPr>
              <w:pStyle w:val="75"/>
            </w:pPr>
            <w:r>
              <w:rPr>
                <w:rFonts w:hint="eastAsia"/>
              </w:rPr>
              <w:t>100</w:t>
            </w:r>
          </w:p>
        </w:tc>
      </w:tr>
      <w:tr w14:paraId="19896A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Merge w:val="continue"/>
            <w:vAlign w:val="center"/>
          </w:tcPr>
          <w:p w14:paraId="10BBD053">
            <w:pPr>
              <w:pStyle w:val="75"/>
            </w:pPr>
          </w:p>
        </w:tc>
        <w:tc>
          <w:tcPr>
            <w:tcW w:w="940" w:type="pct"/>
            <w:vAlign w:val="center"/>
          </w:tcPr>
          <w:p w14:paraId="1033B282">
            <w:pPr>
              <w:pStyle w:val="75"/>
            </w:pPr>
            <w:r>
              <w:rPr>
                <w:rFonts w:hint="eastAsia"/>
              </w:rPr>
              <w:t>出水</w:t>
            </w:r>
          </w:p>
        </w:tc>
        <w:tc>
          <w:tcPr>
            <w:tcW w:w="1112" w:type="pct"/>
            <w:vAlign w:val="center"/>
          </w:tcPr>
          <w:p w14:paraId="74CB50AB">
            <w:pPr>
              <w:pStyle w:val="75"/>
            </w:pPr>
            <w:r>
              <w:rPr>
                <w:rFonts w:hint="eastAsia"/>
              </w:rPr>
              <w:t>/</w:t>
            </w:r>
          </w:p>
        </w:tc>
        <w:tc>
          <w:tcPr>
            <w:tcW w:w="941" w:type="pct"/>
            <w:vAlign w:val="center"/>
          </w:tcPr>
          <w:p w14:paraId="2A53DB1A">
            <w:pPr>
              <w:pStyle w:val="75"/>
            </w:pPr>
            <w:r>
              <w:rPr>
                <w:rFonts w:hint="eastAsia"/>
              </w:rPr>
              <w:t>7.0</w:t>
            </w:r>
          </w:p>
        </w:tc>
        <w:tc>
          <w:tcPr>
            <w:tcW w:w="1159" w:type="pct"/>
            <w:vAlign w:val="center"/>
          </w:tcPr>
          <w:p w14:paraId="21031DAE">
            <w:pPr>
              <w:pStyle w:val="75"/>
            </w:pPr>
            <w:r>
              <w:rPr>
                <w:rFonts w:hint="eastAsia"/>
              </w:rPr>
              <w:t>0</w:t>
            </w:r>
          </w:p>
        </w:tc>
      </w:tr>
    </w:tbl>
    <w:p w14:paraId="32AB0241">
      <w:pPr>
        <w:pStyle w:val="72"/>
        <w:rPr>
          <w:rFonts w:cs="Times New Roman"/>
        </w:rPr>
      </w:pPr>
      <w:r>
        <w:rPr>
          <w:rFonts w:hint="eastAsia" w:cs="Times New Roman"/>
        </w:rPr>
        <w:t>根据企业设备厂家提供实验数据及实际工程数据，反渗透和蒸发器的淡水水质可达到总铬未检出、电导率在100</w:t>
      </w:r>
      <w:r>
        <w:rPr>
          <w:rFonts w:cs="Times New Roman"/>
        </w:rPr>
        <w:t>μS</w:t>
      </w:r>
      <w:r>
        <w:rPr>
          <w:rFonts w:hint="eastAsia" w:cs="Times New Roman"/>
        </w:rPr>
        <w:t>/cm，满足电镀用水要求，全部回用于</w:t>
      </w:r>
      <w:r>
        <w:rPr>
          <w:rFonts w:hint="eastAsia"/>
        </w:rPr>
        <w:t>钝化后水洗和中和后水洗</w:t>
      </w:r>
      <w:r>
        <w:rPr>
          <w:rFonts w:hint="eastAsia" w:cs="Times New Roman"/>
        </w:rPr>
        <w:t>工段，不外排。</w:t>
      </w:r>
    </w:p>
    <w:p w14:paraId="15245D13">
      <w:pPr>
        <w:pStyle w:val="72"/>
        <w:rPr>
          <w:rFonts w:cs="Times New Roman"/>
        </w:rPr>
      </w:pPr>
      <w:r>
        <w:rPr>
          <w:rFonts w:hint="eastAsia" w:cs="Times New Roman"/>
        </w:rPr>
        <w:t>（</w:t>
      </w:r>
      <w:r>
        <w:rPr>
          <w:rFonts w:hint="eastAsia" w:cs="Times New Roman"/>
          <w:lang w:val="en-US" w:eastAsia="zh-CN"/>
        </w:rPr>
        <w:t>3</w:t>
      </w:r>
      <w:r>
        <w:rPr>
          <w:rFonts w:hint="eastAsia" w:cs="Times New Roman"/>
        </w:rPr>
        <w:t>）本项目综合废水处理系统处理效果见下表。</w:t>
      </w:r>
    </w:p>
    <w:p w14:paraId="2F13706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3.6-18</w:t>
      </w:r>
      <w:r>
        <w:rPr>
          <w:rFonts w:hint="eastAsia"/>
        </w:rPr>
        <w:t xml:space="preserve">   </w:t>
      </w:r>
      <w:r>
        <w:rPr>
          <w:rFonts w:hint="eastAsia"/>
          <w:lang w:val="en-US" w:eastAsia="zh-CN"/>
        </w:rPr>
        <w:t xml:space="preserve"> </w:t>
      </w:r>
      <w:r>
        <w:rPr>
          <w:rFonts w:hint="eastAsia"/>
        </w:rPr>
        <w:t>综合废水处理系统处理效果一览表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011"/>
        <w:gridCol w:w="851"/>
        <w:gridCol w:w="865"/>
        <w:gridCol w:w="863"/>
        <w:gridCol w:w="863"/>
        <w:gridCol w:w="863"/>
        <w:gridCol w:w="866"/>
        <w:gridCol w:w="716"/>
        <w:gridCol w:w="721"/>
        <w:gridCol w:w="807"/>
      </w:tblGrid>
      <w:tr w14:paraId="59322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1105" w:type="pct"/>
            <w:gridSpan w:val="2"/>
            <w:vMerge w:val="restart"/>
            <w:vAlign w:val="center"/>
          </w:tcPr>
          <w:p w14:paraId="5E90E388">
            <w:pPr>
              <w:pStyle w:val="81"/>
              <w:rPr>
                <w:rFonts w:cs="Times New Roman"/>
                <w:color w:val="auto"/>
                <w:szCs w:val="21"/>
              </w:rPr>
            </w:pPr>
            <w:r>
              <w:rPr>
                <w:rFonts w:cs="Times New Roman"/>
                <w:color w:val="auto"/>
                <w:szCs w:val="21"/>
              </w:rPr>
              <w:t>污染源</w:t>
            </w:r>
          </w:p>
        </w:tc>
        <w:tc>
          <w:tcPr>
            <w:tcW w:w="513" w:type="pct"/>
            <w:vMerge w:val="restart"/>
            <w:vAlign w:val="center"/>
          </w:tcPr>
          <w:p w14:paraId="7775BAC9">
            <w:pPr>
              <w:pStyle w:val="81"/>
              <w:rPr>
                <w:rFonts w:cs="Times New Roman"/>
                <w:color w:val="auto"/>
                <w:szCs w:val="21"/>
              </w:rPr>
            </w:pPr>
            <w:r>
              <w:rPr>
                <w:rFonts w:cs="Times New Roman"/>
                <w:color w:val="auto"/>
                <w:szCs w:val="21"/>
              </w:rPr>
              <w:t>废水量</w:t>
            </w:r>
            <w:r>
              <w:rPr>
                <w:rFonts w:hint="eastAsia" w:cs="Times New Roman"/>
                <w:color w:val="auto"/>
                <w:szCs w:val="21"/>
              </w:rPr>
              <w:t>(</w:t>
            </w:r>
            <w:r>
              <w:rPr>
                <w:rFonts w:cs="Times New Roman"/>
                <w:color w:val="auto"/>
                <w:szCs w:val="21"/>
              </w:rPr>
              <w:t>m</w:t>
            </w:r>
            <w:r>
              <w:rPr>
                <w:rFonts w:cs="Times New Roman"/>
                <w:color w:val="auto"/>
                <w:szCs w:val="21"/>
                <w:vertAlign w:val="superscript"/>
              </w:rPr>
              <w:t>3</w:t>
            </w:r>
            <w:r>
              <w:rPr>
                <w:rFonts w:cs="Times New Roman"/>
                <w:color w:val="auto"/>
                <w:szCs w:val="21"/>
              </w:rPr>
              <w:t>/d)</w:t>
            </w:r>
          </w:p>
        </w:tc>
        <w:tc>
          <w:tcPr>
            <w:tcW w:w="3382" w:type="pct"/>
            <w:gridSpan w:val="7"/>
            <w:vAlign w:val="center"/>
          </w:tcPr>
          <w:p w14:paraId="13F56458">
            <w:pPr>
              <w:pStyle w:val="81"/>
              <w:rPr>
                <w:rFonts w:cs="Times New Roman"/>
                <w:color w:val="auto"/>
                <w:szCs w:val="21"/>
              </w:rPr>
            </w:pPr>
            <w:r>
              <w:rPr>
                <w:rFonts w:cs="Times New Roman"/>
                <w:color w:val="auto"/>
                <w:szCs w:val="21"/>
              </w:rPr>
              <w:t>污染物浓度</w:t>
            </w:r>
          </w:p>
        </w:tc>
      </w:tr>
      <w:tr w14:paraId="15099B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1105" w:type="pct"/>
            <w:gridSpan w:val="2"/>
            <w:vMerge w:val="continue"/>
            <w:vAlign w:val="center"/>
          </w:tcPr>
          <w:p w14:paraId="74A3A605">
            <w:pPr>
              <w:pStyle w:val="81"/>
              <w:rPr>
                <w:rFonts w:cs="Times New Roman"/>
                <w:color w:val="auto"/>
                <w:szCs w:val="21"/>
              </w:rPr>
            </w:pPr>
          </w:p>
        </w:tc>
        <w:tc>
          <w:tcPr>
            <w:tcW w:w="513" w:type="pct"/>
            <w:vMerge w:val="continue"/>
            <w:vAlign w:val="center"/>
          </w:tcPr>
          <w:p w14:paraId="4524F511">
            <w:pPr>
              <w:pStyle w:val="81"/>
              <w:rPr>
                <w:rFonts w:cs="Times New Roman"/>
                <w:color w:val="auto"/>
                <w:szCs w:val="21"/>
              </w:rPr>
            </w:pPr>
          </w:p>
        </w:tc>
        <w:tc>
          <w:tcPr>
            <w:tcW w:w="512" w:type="pct"/>
            <w:vAlign w:val="center"/>
          </w:tcPr>
          <w:p w14:paraId="35DA72B4">
            <w:pPr>
              <w:pStyle w:val="81"/>
              <w:rPr>
                <w:rFonts w:cs="Times New Roman"/>
                <w:color w:val="auto"/>
                <w:szCs w:val="21"/>
              </w:rPr>
            </w:pPr>
            <w:r>
              <w:rPr>
                <w:rFonts w:hint="eastAsia" w:cs="Times New Roman"/>
                <w:color w:val="auto"/>
                <w:szCs w:val="21"/>
              </w:rPr>
              <w:t>p</w:t>
            </w:r>
            <w:r>
              <w:rPr>
                <w:rFonts w:cs="Times New Roman"/>
                <w:color w:val="auto"/>
                <w:szCs w:val="21"/>
              </w:rPr>
              <w:t>H</w:t>
            </w:r>
          </w:p>
        </w:tc>
        <w:tc>
          <w:tcPr>
            <w:tcW w:w="512" w:type="pct"/>
            <w:vAlign w:val="center"/>
          </w:tcPr>
          <w:p w14:paraId="186F41F4">
            <w:pPr>
              <w:pStyle w:val="81"/>
              <w:rPr>
                <w:rFonts w:cs="Times New Roman"/>
                <w:color w:val="auto"/>
                <w:szCs w:val="21"/>
              </w:rPr>
            </w:pPr>
            <w:r>
              <w:rPr>
                <w:rFonts w:cs="Times New Roman"/>
                <w:color w:val="auto"/>
                <w:szCs w:val="21"/>
              </w:rPr>
              <w:t>COD</w:t>
            </w:r>
          </w:p>
        </w:tc>
        <w:tc>
          <w:tcPr>
            <w:tcW w:w="512" w:type="pct"/>
            <w:vAlign w:val="center"/>
          </w:tcPr>
          <w:p w14:paraId="1FC61756">
            <w:pPr>
              <w:pStyle w:val="81"/>
              <w:rPr>
                <w:rFonts w:cs="Times New Roman"/>
                <w:color w:val="auto"/>
                <w:szCs w:val="21"/>
              </w:rPr>
            </w:pPr>
            <w:r>
              <w:rPr>
                <w:rFonts w:hint="eastAsia" w:cs="Times New Roman"/>
                <w:color w:val="auto"/>
                <w:szCs w:val="21"/>
              </w:rPr>
              <w:t>S</w:t>
            </w:r>
            <w:r>
              <w:rPr>
                <w:rFonts w:cs="Times New Roman"/>
                <w:color w:val="auto"/>
                <w:szCs w:val="21"/>
              </w:rPr>
              <w:t>S</w:t>
            </w:r>
          </w:p>
        </w:tc>
        <w:tc>
          <w:tcPr>
            <w:tcW w:w="514" w:type="pct"/>
            <w:vAlign w:val="center"/>
          </w:tcPr>
          <w:p w14:paraId="1EB93E50">
            <w:pPr>
              <w:pStyle w:val="81"/>
              <w:rPr>
                <w:rFonts w:cs="Times New Roman"/>
                <w:color w:val="auto"/>
                <w:szCs w:val="21"/>
              </w:rPr>
            </w:pPr>
            <w:r>
              <w:rPr>
                <w:rFonts w:cs="Times New Roman"/>
                <w:color w:val="auto"/>
                <w:szCs w:val="21"/>
              </w:rPr>
              <w:t>NH</w:t>
            </w:r>
            <w:r>
              <w:rPr>
                <w:rFonts w:cs="Times New Roman"/>
                <w:color w:val="auto"/>
                <w:szCs w:val="21"/>
                <w:vertAlign w:val="subscript"/>
              </w:rPr>
              <w:t>3</w:t>
            </w:r>
            <w:r>
              <w:rPr>
                <w:rFonts w:cs="Times New Roman"/>
                <w:color w:val="auto"/>
                <w:szCs w:val="21"/>
              </w:rPr>
              <w:t>-N</w:t>
            </w:r>
          </w:p>
        </w:tc>
        <w:tc>
          <w:tcPr>
            <w:tcW w:w="425" w:type="pct"/>
            <w:vAlign w:val="center"/>
          </w:tcPr>
          <w:p w14:paraId="43984287">
            <w:pPr>
              <w:pStyle w:val="81"/>
              <w:rPr>
                <w:rFonts w:cs="Times New Roman"/>
                <w:color w:val="auto"/>
                <w:szCs w:val="21"/>
              </w:rPr>
            </w:pPr>
            <w:r>
              <w:rPr>
                <w:rFonts w:hint="eastAsia" w:cs="Times New Roman"/>
                <w:color w:val="auto"/>
                <w:szCs w:val="21"/>
              </w:rPr>
              <w:t>T</w:t>
            </w:r>
            <w:r>
              <w:rPr>
                <w:rFonts w:cs="Times New Roman"/>
                <w:color w:val="auto"/>
                <w:szCs w:val="21"/>
              </w:rPr>
              <w:t>P</w:t>
            </w:r>
          </w:p>
        </w:tc>
        <w:tc>
          <w:tcPr>
            <w:tcW w:w="428" w:type="pct"/>
            <w:vAlign w:val="center"/>
          </w:tcPr>
          <w:p w14:paraId="433D091D">
            <w:pPr>
              <w:pStyle w:val="81"/>
              <w:rPr>
                <w:rFonts w:cs="Times New Roman"/>
                <w:color w:val="auto"/>
                <w:szCs w:val="21"/>
              </w:rPr>
            </w:pPr>
            <w:r>
              <w:rPr>
                <w:rFonts w:hint="eastAsia" w:cs="Times New Roman"/>
                <w:color w:val="auto"/>
                <w:szCs w:val="21"/>
              </w:rPr>
              <w:t>T</w:t>
            </w:r>
            <w:r>
              <w:rPr>
                <w:rFonts w:cs="Times New Roman"/>
                <w:color w:val="auto"/>
                <w:szCs w:val="21"/>
              </w:rPr>
              <w:t>N</w:t>
            </w:r>
          </w:p>
        </w:tc>
        <w:tc>
          <w:tcPr>
            <w:tcW w:w="479" w:type="pct"/>
            <w:vAlign w:val="center"/>
          </w:tcPr>
          <w:p w14:paraId="431D8558">
            <w:pPr>
              <w:pStyle w:val="81"/>
              <w:rPr>
                <w:rFonts w:cs="Times New Roman"/>
                <w:bCs/>
                <w:color w:val="auto"/>
                <w:szCs w:val="21"/>
              </w:rPr>
            </w:pPr>
            <w:r>
              <w:rPr>
                <w:rFonts w:cs="Times New Roman"/>
                <w:bCs/>
                <w:color w:val="auto"/>
                <w:szCs w:val="21"/>
              </w:rPr>
              <w:t>石油类</w:t>
            </w:r>
          </w:p>
        </w:tc>
      </w:tr>
      <w:tr w14:paraId="4985A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05" w:type="pct"/>
            <w:gridSpan w:val="2"/>
            <w:vAlign w:val="center"/>
          </w:tcPr>
          <w:p w14:paraId="2CAA9470">
            <w:pPr>
              <w:pStyle w:val="75"/>
            </w:pPr>
            <w:r>
              <w:t>综合废水</w:t>
            </w:r>
          </w:p>
        </w:tc>
        <w:tc>
          <w:tcPr>
            <w:tcW w:w="513" w:type="pct"/>
            <w:vAlign w:val="center"/>
          </w:tcPr>
          <w:p w14:paraId="270D506D">
            <w:pPr>
              <w:pStyle w:val="75"/>
              <w:rPr>
                <w:rFonts w:hint="default" w:eastAsia="宋体"/>
                <w:lang w:val="en-US" w:eastAsia="zh-CN"/>
              </w:rPr>
            </w:pPr>
            <w:r>
              <w:rPr>
                <w:rFonts w:hint="eastAsia"/>
                <w:lang w:val="en-US" w:eastAsia="zh-CN"/>
              </w:rPr>
              <w:t>95.427</w:t>
            </w:r>
          </w:p>
        </w:tc>
        <w:tc>
          <w:tcPr>
            <w:tcW w:w="512" w:type="pct"/>
            <w:vAlign w:val="center"/>
          </w:tcPr>
          <w:p w14:paraId="44D320DE">
            <w:pPr>
              <w:pStyle w:val="75"/>
              <w:rPr>
                <w:bCs/>
              </w:rPr>
            </w:pPr>
            <w:r>
              <w:rPr>
                <w:rFonts w:hint="eastAsia"/>
                <w:bCs/>
              </w:rPr>
              <w:t>7.8</w:t>
            </w:r>
          </w:p>
        </w:tc>
        <w:tc>
          <w:tcPr>
            <w:tcW w:w="512" w:type="pct"/>
            <w:vAlign w:val="center"/>
          </w:tcPr>
          <w:p w14:paraId="72A0B21F">
            <w:pPr>
              <w:pStyle w:val="75"/>
              <w:rPr>
                <w:bCs/>
              </w:rPr>
            </w:pPr>
            <w:r>
              <w:rPr>
                <w:rFonts w:hint="eastAsia"/>
                <w:bCs/>
              </w:rPr>
              <w:t>5</w:t>
            </w:r>
            <w:r>
              <w:rPr>
                <w:bCs/>
              </w:rPr>
              <w:t>29</w:t>
            </w:r>
          </w:p>
        </w:tc>
        <w:tc>
          <w:tcPr>
            <w:tcW w:w="512" w:type="pct"/>
            <w:vAlign w:val="center"/>
          </w:tcPr>
          <w:p w14:paraId="1DB5DA3C">
            <w:pPr>
              <w:pStyle w:val="75"/>
              <w:rPr>
                <w:bCs/>
              </w:rPr>
            </w:pPr>
            <w:r>
              <w:rPr>
                <w:rFonts w:hint="eastAsia"/>
                <w:bCs/>
              </w:rPr>
              <w:t>400</w:t>
            </w:r>
          </w:p>
        </w:tc>
        <w:tc>
          <w:tcPr>
            <w:tcW w:w="514" w:type="pct"/>
            <w:vAlign w:val="center"/>
          </w:tcPr>
          <w:p w14:paraId="7F8D2621">
            <w:pPr>
              <w:pStyle w:val="75"/>
              <w:rPr>
                <w:bCs/>
              </w:rPr>
            </w:pPr>
            <w:r>
              <w:rPr>
                <w:rFonts w:hint="eastAsia"/>
                <w:bCs/>
              </w:rPr>
              <w:t>2</w:t>
            </w:r>
            <w:r>
              <w:rPr>
                <w:bCs/>
              </w:rPr>
              <w:t>1.2</w:t>
            </w:r>
          </w:p>
        </w:tc>
        <w:tc>
          <w:tcPr>
            <w:tcW w:w="425" w:type="pct"/>
            <w:vAlign w:val="center"/>
          </w:tcPr>
          <w:p w14:paraId="64FCCA74">
            <w:pPr>
              <w:pStyle w:val="75"/>
              <w:rPr>
                <w:bCs/>
              </w:rPr>
            </w:pPr>
            <w:r>
              <w:rPr>
                <w:rFonts w:hint="eastAsia"/>
                <w:bCs/>
              </w:rPr>
              <w:t>2.36</w:t>
            </w:r>
          </w:p>
        </w:tc>
        <w:tc>
          <w:tcPr>
            <w:tcW w:w="428" w:type="pct"/>
            <w:vAlign w:val="center"/>
          </w:tcPr>
          <w:p w14:paraId="50EFB7C1">
            <w:pPr>
              <w:pStyle w:val="75"/>
              <w:rPr>
                <w:bCs/>
              </w:rPr>
            </w:pPr>
            <w:r>
              <w:rPr>
                <w:rFonts w:hint="eastAsia"/>
                <w:bCs/>
              </w:rPr>
              <w:t>2</w:t>
            </w:r>
            <w:r>
              <w:rPr>
                <w:bCs/>
              </w:rPr>
              <w:t>5.2</w:t>
            </w:r>
          </w:p>
        </w:tc>
        <w:tc>
          <w:tcPr>
            <w:tcW w:w="479" w:type="pct"/>
            <w:vAlign w:val="center"/>
          </w:tcPr>
          <w:p w14:paraId="59CFDAD7">
            <w:pPr>
              <w:pStyle w:val="75"/>
              <w:rPr>
                <w:bCs/>
              </w:rPr>
            </w:pPr>
            <w:r>
              <w:rPr>
                <w:rFonts w:hint="eastAsia"/>
                <w:bCs/>
              </w:rPr>
              <w:t>2.21</w:t>
            </w:r>
          </w:p>
        </w:tc>
      </w:tr>
      <w:tr w14:paraId="4A6269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05" w:type="pct"/>
            <w:gridSpan w:val="2"/>
            <w:vAlign w:val="center"/>
          </w:tcPr>
          <w:p w14:paraId="28397231">
            <w:pPr>
              <w:pStyle w:val="75"/>
            </w:pPr>
            <w:r>
              <w:t>调节池</w:t>
            </w:r>
          </w:p>
        </w:tc>
        <w:tc>
          <w:tcPr>
            <w:tcW w:w="513" w:type="pct"/>
            <w:vAlign w:val="center"/>
          </w:tcPr>
          <w:p w14:paraId="3EDE9AE4">
            <w:pPr>
              <w:pStyle w:val="75"/>
            </w:pPr>
            <w:r>
              <w:rPr>
                <w:rFonts w:hint="eastAsia"/>
                <w:lang w:val="en-US" w:eastAsia="zh-CN"/>
              </w:rPr>
              <w:t>95.427</w:t>
            </w:r>
          </w:p>
        </w:tc>
        <w:tc>
          <w:tcPr>
            <w:tcW w:w="512" w:type="pct"/>
            <w:vAlign w:val="center"/>
          </w:tcPr>
          <w:p w14:paraId="7CE8F58A">
            <w:pPr>
              <w:pStyle w:val="75"/>
            </w:pPr>
            <w:r>
              <w:rPr>
                <w:rFonts w:hint="eastAsia"/>
                <w:bCs/>
              </w:rPr>
              <w:t>7</w:t>
            </w:r>
          </w:p>
        </w:tc>
        <w:tc>
          <w:tcPr>
            <w:tcW w:w="512" w:type="pct"/>
            <w:vAlign w:val="center"/>
          </w:tcPr>
          <w:p w14:paraId="1020B1BC">
            <w:pPr>
              <w:pStyle w:val="75"/>
            </w:pPr>
            <w:r>
              <w:rPr>
                <w:rFonts w:hint="eastAsia"/>
                <w:bCs/>
              </w:rPr>
              <w:t>5</w:t>
            </w:r>
            <w:r>
              <w:rPr>
                <w:bCs/>
              </w:rPr>
              <w:t>29</w:t>
            </w:r>
          </w:p>
        </w:tc>
        <w:tc>
          <w:tcPr>
            <w:tcW w:w="512" w:type="pct"/>
            <w:vAlign w:val="center"/>
          </w:tcPr>
          <w:p w14:paraId="53B2F3BC">
            <w:pPr>
              <w:pStyle w:val="75"/>
            </w:pPr>
            <w:r>
              <w:rPr>
                <w:rFonts w:hint="eastAsia"/>
              </w:rPr>
              <w:t>400</w:t>
            </w:r>
          </w:p>
        </w:tc>
        <w:tc>
          <w:tcPr>
            <w:tcW w:w="514" w:type="pct"/>
            <w:vAlign w:val="center"/>
          </w:tcPr>
          <w:p w14:paraId="68EAD1C4">
            <w:pPr>
              <w:pStyle w:val="75"/>
            </w:pPr>
            <w:r>
              <w:rPr>
                <w:rFonts w:hint="eastAsia"/>
                <w:bCs/>
              </w:rPr>
              <w:t>2</w:t>
            </w:r>
            <w:r>
              <w:rPr>
                <w:bCs/>
              </w:rPr>
              <w:t>1.2</w:t>
            </w:r>
          </w:p>
        </w:tc>
        <w:tc>
          <w:tcPr>
            <w:tcW w:w="425" w:type="pct"/>
            <w:vAlign w:val="center"/>
          </w:tcPr>
          <w:p w14:paraId="137E48A9">
            <w:pPr>
              <w:pStyle w:val="75"/>
            </w:pPr>
            <w:r>
              <w:rPr>
                <w:rFonts w:hint="eastAsia"/>
                <w:bCs/>
              </w:rPr>
              <w:t>2.36</w:t>
            </w:r>
          </w:p>
        </w:tc>
        <w:tc>
          <w:tcPr>
            <w:tcW w:w="428" w:type="pct"/>
            <w:vAlign w:val="center"/>
          </w:tcPr>
          <w:p w14:paraId="6EB649EB">
            <w:pPr>
              <w:pStyle w:val="75"/>
            </w:pPr>
            <w:r>
              <w:rPr>
                <w:rFonts w:hint="eastAsia"/>
                <w:bCs/>
              </w:rPr>
              <w:t>2</w:t>
            </w:r>
            <w:r>
              <w:rPr>
                <w:bCs/>
              </w:rPr>
              <w:t>5.2</w:t>
            </w:r>
          </w:p>
        </w:tc>
        <w:tc>
          <w:tcPr>
            <w:tcW w:w="479" w:type="pct"/>
            <w:vAlign w:val="center"/>
          </w:tcPr>
          <w:p w14:paraId="1DEA3201">
            <w:pPr>
              <w:pStyle w:val="75"/>
              <w:rPr>
                <w:bCs/>
              </w:rPr>
            </w:pPr>
            <w:r>
              <w:rPr>
                <w:rFonts w:hint="eastAsia"/>
                <w:bCs/>
              </w:rPr>
              <w:t>2.21</w:t>
            </w:r>
          </w:p>
        </w:tc>
      </w:tr>
      <w:tr w14:paraId="2629AA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0" w:type="pct"/>
            <w:vMerge w:val="restart"/>
            <w:vAlign w:val="center"/>
          </w:tcPr>
          <w:p w14:paraId="3C83C6E2">
            <w:pPr>
              <w:pStyle w:val="75"/>
            </w:pPr>
            <w:r>
              <w:t>混凝沉淀池</w:t>
            </w:r>
          </w:p>
        </w:tc>
        <w:tc>
          <w:tcPr>
            <w:tcW w:w="505" w:type="pct"/>
            <w:vAlign w:val="center"/>
          </w:tcPr>
          <w:p w14:paraId="26719B27">
            <w:pPr>
              <w:pStyle w:val="75"/>
            </w:pPr>
            <w:r>
              <w:t>去除率</w:t>
            </w:r>
            <w:r>
              <w:rPr>
                <w:rFonts w:hint="eastAsia"/>
              </w:rPr>
              <w:t>(</w:t>
            </w:r>
            <w:r>
              <w:t>%)</w:t>
            </w:r>
          </w:p>
        </w:tc>
        <w:tc>
          <w:tcPr>
            <w:tcW w:w="513" w:type="pct"/>
            <w:vAlign w:val="center"/>
          </w:tcPr>
          <w:p w14:paraId="6F59F2D8">
            <w:pPr>
              <w:pStyle w:val="75"/>
            </w:pPr>
            <w:r>
              <w:t>/</w:t>
            </w:r>
          </w:p>
        </w:tc>
        <w:tc>
          <w:tcPr>
            <w:tcW w:w="512" w:type="pct"/>
            <w:vAlign w:val="center"/>
          </w:tcPr>
          <w:p w14:paraId="68C633D7">
            <w:pPr>
              <w:pStyle w:val="75"/>
            </w:pPr>
            <w:r>
              <w:rPr>
                <w:rFonts w:hint="eastAsia"/>
              </w:rPr>
              <w:t>/</w:t>
            </w:r>
          </w:p>
        </w:tc>
        <w:tc>
          <w:tcPr>
            <w:tcW w:w="512" w:type="pct"/>
            <w:vAlign w:val="center"/>
          </w:tcPr>
          <w:p w14:paraId="16BFA430">
            <w:pPr>
              <w:pStyle w:val="75"/>
            </w:pPr>
            <w:r>
              <w:rPr>
                <w:rFonts w:hint="eastAsia"/>
              </w:rPr>
              <w:t>30</w:t>
            </w:r>
          </w:p>
        </w:tc>
        <w:tc>
          <w:tcPr>
            <w:tcW w:w="512" w:type="pct"/>
            <w:vAlign w:val="center"/>
          </w:tcPr>
          <w:p w14:paraId="5D33D3C1">
            <w:pPr>
              <w:pStyle w:val="75"/>
            </w:pPr>
            <w:r>
              <w:rPr>
                <w:rFonts w:hint="eastAsia"/>
              </w:rPr>
              <w:t>80</w:t>
            </w:r>
          </w:p>
        </w:tc>
        <w:tc>
          <w:tcPr>
            <w:tcW w:w="514" w:type="pct"/>
            <w:vAlign w:val="center"/>
          </w:tcPr>
          <w:p w14:paraId="19FE587C">
            <w:pPr>
              <w:pStyle w:val="75"/>
            </w:pPr>
            <w:r>
              <w:rPr>
                <w:rFonts w:hint="eastAsia"/>
              </w:rPr>
              <w:t>/</w:t>
            </w:r>
          </w:p>
        </w:tc>
        <w:tc>
          <w:tcPr>
            <w:tcW w:w="425" w:type="pct"/>
            <w:vAlign w:val="center"/>
          </w:tcPr>
          <w:p w14:paraId="4D9546BE">
            <w:pPr>
              <w:pStyle w:val="75"/>
            </w:pPr>
            <w:r>
              <w:rPr>
                <w:rFonts w:hint="eastAsia"/>
              </w:rPr>
              <w:t>/</w:t>
            </w:r>
          </w:p>
        </w:tc>
        <w:tc>
          <w:tcPr>
            <w:tcW w:w="428" w:type="pct"/>
            <w:vAlign w:val="center"/>
          </w:tcPr>
          <w:p w14:paraId="72C7BB9D">
            <w:pPr>
              <w:pStyle w:val="75"/>
            </w:pPr>
            <w:r>
              <w:rPr>
                <w:rFonts w:hint="eastAsia"/>
              </w:rPr>
              <w:t>/</w:t>
            </w:r>
          </w:p>
        </w:tc>
        <w:tc>
          <w:tcPr>
            <w:tcW w:w="479" w:type="pct"/>
            <w:vAlign w:val="center"/>
          </w:tcPr>
          <w:p w14:paraId="014CF01D">
            <w:pPr>
              <w:pStyle w:val="75"/>
            </w:pPr>
            <w:r>
              <w:rPr>
                <w:rFonts w:hint="eastAsia"/>
              </w:rPr>
              <w:t>10</w:t>
            </w:r>
          </w:p>
        </w:tc>
      </w:tr>
      <w:tr w14:paraId="57002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0" w:type="pct"/>
            <w:vMerge w:val="continue"/>
            <w:vAlign w:val="center"/>
          </w:tcPr>
          <w:p w14:paraId="2774CBEA">
            <w:pPr>
              <w:pStyle w:val="75"/>
            </w:pPr>
          </w:p>
        </w:tc>
        <w:tc>
          <w:tcPr>
            <w:tcW w:w="505" w:type="pct"/>
            <w:vAlign w:val="center"/>
          </w:tcPr>
          <w:p w14:paraId="46BF9D1C">
            <w:pPr>
              <w:pStyle w:val="75"/>
            </w:pPr>
            <w:r>
              <w:t>出水</w:t>
            </w:r>
          </w:p>
        </w:tc>
        <w:tc>
          <w:tcPr>
            <w:tcW w:w="513" w:type="pct"/>
            <w:vAlign w:val="center"/>
          </w:tcPr>
          <w:p w14:paraId="3FFB117D">
            <w:pPr>
              <w:pStyle w:val="75"/>
            </w:pPr>
            <w:r>
              <w:rPr>
                <w:rFonts w:hint="eastAsia"/>
              </w:rPr>
              <w:t>/</w:t>
            </w:r>
          </w:p>
        </w:tc>
        <w:tc>
          <w:tcPr>
            <w:tcW w:w="512" w:type="pct"/>
            <w:vAlign w:val="center"/>
          </w:tcPr>
          <w:p w14:paraId="1DDACBD8">
            <w:pPr>
              <w:pStyle w:val="75"/>
            </w:pPr>
            <w:r>
              <w:rPr>
                <w:rFonts w:hint="eastAsia"/>
                <w:bCs/>
              </w:rPr>
              <w:t>7</w:t>
            </w:r>
          </w:p>
        </w:tc>
        <w:tc>
          <w:tcPr>
            <w:tcW w:w="512" w:type="pct"/>
            <w:vAlign w:val="center"/>
          </w:tcPr>
          <w:p w14:paraId="6DCAD25E">
            <w:pPr>
              <w:pStyle w:val="75"/>
            </w:pPr>
            <w:r>
              <w:rPr>
                <w:rFonts w:hint="eastAsia"/>
              </w:rPr>
              <w:t>370.3</w:t>
            </w:r>
          </w:p>
        </w:tc>
        <w:tc>
          <w:tcPr>
            <w:tcW w:w="512" w:type="pct"/>
            <w:vAlign w:val="center"/>
          </w:tcPr>
          <w:p w14:paraId="5EDFAFA8">
            <w:pPr>
              <w:pStyle w:val="75"/>
            </w:pPr>
            <w:r>
              <w:rPr>
                <w:rFonts w:hint="eastAsia"/>
              </w:rPr>
              <w:t>80</w:t>
            </w:r>
          </w:p>
        </w:tc>
        <w:tc>
          <w:tcPr>
            <w:tcW w:w="514" w:type="pct"/>
            <w:vAlign w:val="center"/>
          </w:tcPr>
          <w:p w14:paraId="141D20E2">
            <w:pPr>
              <w:pStyle w:val="75"/>
            </w:pPr>
            <w:r>
              <w:rPr>
                <w:rFonts w:hint="eastAsia"/>
              </w:rPr>
              <w:t>21.2</w:t>
            </w:r>
          </w:p>
        </w:tc>
        <w:tc>
          <w:tcPr>
            <w:tcW w:w="425" w:type="pct"/>
            <w:vAlign w:val="center"/>
          </w:tcPr>
          <w:p w14:paraId="3C83340D">
            <w:pPr>
              <w:pStyle w:val="75"/>
            </w:pPr>
            <w:r>
              <w:rPr>
                <w:rFonts w:hint="eastAsia"/>
              </w:rPr>
              <w:t>2.36</w:t>
            </w:r>
          </w:p>
        </w:tc>
        <w:tc>
          <w:tcPr>
            <w:tcW w:w="428" w:type="pct"/>
            <w:vAlign w:val="center"/>
          </w:tcPr>
          <w:p w14:paraId="1070A82C">
            <w:pPr>
              <w:pStyle w:val="75"/>
            </w:pPr>
            <w:r>
              <w:rPr>
                <w:rFonts w:hint="eastAsia"/>
              </w:rPr>
              <w:t>25.2</w:t>
            </w:r>
          </w:p>
        </w:tc>
        <w:tc>
          <w:tcPr>
            <w:tcW w:w="479" w:type="pct"/>
            <w:vAlign w:val="center"/>
          </w:tcPr>
          <w:p w14:paraId="04E9188A">
            <w:pPr>
              <w:pStyle w:val="75"/>
              <w:rPr>
                <w:bCs/>
              </w:rPr>
            </w:pPr>
            <w:r>
              <w:rPr>
                <w:rFonts w:hint="eastAsia"/>
                <w:bCs/>
              </w:rPr>
              <w:t>1.99</w:t>
            </w:r>
          </w:p>
        </w:tc>
      </w:tr>
      <w:tr w14:paraId="60FBB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0" w:type="pct"/>
            <w:vMerge w:val="restart"/>
            <w:vAlign w:val="center"/>
          </w:tcPr>
          <w:p w14:paraId="3C7BE4CC">
            <w:pPr>
              <w:pStyle w:val="75"/>
              <w:jc w:val="left"/>
            </w:pPr>
            <w:r>
              <w:rPr>
                <w:rFonts w:hint="eastAsia"/>
                <w:bCs/>
              </w:rPr>
              <w:t>水解酸化+接触氧化+二沉池</w:t>
            </w:r>
          </w:p>
        </w:tc>
        <w:tc>
          <w:tcPr>
            <w:tcW w:w="505" w:type="pct"/>
            <w:vAlign w:val="center"/>
          </w:tcPr>
          <w:p w14:paraId="78053501">
            <w:pPr>
              <w:pStyle w:val="75"/>
            </w:pPr>
            <w:r>
              <w:t>去除率</w:t>
            </w:r>
            <w:r>
              <w:rPr>
                <w:rFonts w:hint="eastAsia"/>
              </w:rPr>
              <w:t>(</w:t>
            </w:r>
            <w:r>
              <w:t>%)</w:t>
            </w:r>
          </w:p>
        </w:tc>
        <w:tc>
          <w:tcPr>
            <w:tcW w:w="513" w:type="pct"/>
            <w:vAlign w:val="center"/>
          </w:tcPr>
          <w:p w14:paraId="7ACF71D4">
            <w:pPr>
              <w:pStyle w:val="75"/>
            </w:pPr>
            <w:r>
              <w:rPr>
                <w:rFonts w:hint="eastAsia"/>
              </w:rPr>
              <w:t>/</w:t>
            </w:r>
          </w:p>
        </w:tc>
        <w:tc>
          <w:tcPr>
            <w:tcW w:w="512" w:type="pct"/>
            <w:vAlign w:val="center"/>
          </w:tcPr>
          <w:p w14:paraId="034EC5A2">
            <w:pPr>
              <w:pStyle w:val="75"/>
            </w:pPr>
            <w:r>
              <w:rPr>
                <w:rFonts w:hint="eastAsia"/>
              </w:rPr>
              <w:t>/</w:t>
            </w:r>
          </w:p>
        </w:tc>
        <w:tc>
          <w:tcPr>
            <w:tcW w:w="512" w:type="pct"/>
            <w:vAlign w:val="center"/>
          </w:tcPr>
          <w:p w14:paraId="000095D2">
            <w:pPr>
              <w:pStyle w:val="75"/>
            </w:pPr>
            <w:r>
              <w:rPr>
                <w:rFonts w:hint="eastAsia"/>
              </w:rPr>
              <w:t>60</w:t>
            </w:r>
          </w:p>
        </w:tc>
        <w:tc>
          <w:tcPr>
            <w:tcW w:w="512" w:type="pct"/>
            <w:vAlign w:val="center"/>
          </w:tcPr>
          <w:p w14:paraId="6A9D8C71">
            <w:pPr>
              <w:pStyle w:val="75"/>
            </w:pPr>
            <w:r>
              <w:rPr>
                <w:rFonts w:hint="eastAsia"/>
              </w:rPr>
              <w:t>20</w:t>
            </w:r>
          </w:p>
        </w:tc>
        <w:tc>
          <w:tcPr>
            <w:tcW w:w="514" w:type="pct"/>
            <w:vAlign w:val="center"/>
          </w:tcPr>
          <w:p w14:paraId="234CF585">
            <w:pPr>
              <w:pStyle w:val="75"/>
            </w:pPr>
            <w:r>
              <w:rPr>
                <w:rFonts w:hint="eastAsia"/>
              </w:rPr>
              <w:t>20</w:t>
            </w:r>
          </w:p>
        </w:tc>
        <w:tc>
          <w:tcPr>
            <w:tcW w:w="425" w:type="pct"/>
            <w:vAlign w:val="center"/>
          </w:tcPr>
          <w:p w14:paraId="5A73B1BD">
            <w:pPr>
              <w:pStyle w:val="75"/>
            </w:pPr>
            <w:r>
              <w:rPr>
                <w:rFonts w:hint="eastAsia"/>
              </w:rPr>
              <w:t>50</w:t>
            </w:r>
          </w:p>
        </w:tc>
        <w:tc>
          <w:tcPr>
            <w:tcW w:w="428" w:type="pct"/>
            <w:vAlign w:val="center"/>
          </w:tcPr>
          <w:p w14:paraId="23768D9F">
            <w:pPr>
              <w:pStyle w:val="75"/>
            </w:pPr>
            <w:r>
              <w:rPr>
                <w:rFonts w:hint="eastAsia"/>
              </w:rPr>
              <w:t>20</w:t>
            </w:r>
          </w:p>
        </w:tc>
        <w:tc>
          <w:tcPr>
            <w:tcW w:w="479" w:type="pct"/>
            <w:vAlign w:val="center"/>
          </w:tcPr>
          <w:p w14:paraId="19C0AD75">
            <w:pPr>
              <w:pStyle w:val="75"/>
              <w:rPr>
                <w:bCs/>
              </w:rPr>
            </w:pPr>
            <w:r>
              <w:rPr>
                <w:rFonts w:hint="eastAsia"/>
                <w:bCs/>
              </w:rPr>
              <w:t>20</w:t>
            </w:r>
          </w:p>
        </w:tc>
      </w:tr>
      <w:tr w14:paraId="4A5E6A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0" w:type="pct"/>
            <w:vMerge w:val="continue"/>
            <w:vAlign w:val="center"/>
          </w:tcPr>
          <w:p w14:paraId="343AF0F1">
            <w:pPr>
              <w:pStyle w:val="75"/>
            </w:pPr>
          </w:p>
        </w:tc>
        <w:tc>
          <w:tcPr>
            <w:tcW w:w="505" w:type="pct"/>
            <w:vAlign w:val="center"/>
          </w:tcPr>
          <w:p w14:paraId="543A218B">
            <w:pPr>
              <w:pStyle w:val="75"/>
            </w:pPr>
            <w:r>
              <w:t>出水</w:t>
            </w:r>
          </w:p>
        </w:tc>
        <w:tc>
          <w:tcPr>
            <w:tcW w:w="513" w:type="pct"/>
            <w:vAlign w:val="center"/>
          </w:tcPr>
          <w:p w14:paraId="5525C316">
            <w:pPr>
              <w:pStyle w:val="75"/>
              <w:rPr>
                <w:rFonts w:hint="default" w:eastAsia="宋体"/>
                <w:lang w:val="en-US" w:eastAsia="zh-CN"/>
              </w:rPr>
            </w:pPr>
            <w:r>
              <w:rPr>
                <w:rFonts w:hint="eastAsia"/>
                <w:lang w:val="en-US" w:eastAsia="zh-CN"/>
              </w:rPr>
              <w:t>95.427</w:t>
            </w:r>
          </w:p>
        </w:tc>
        <w:tc>
          <w:tcPr>
            <w:tcW w:w="512" w:type="pct"/>
            <w:vAlign w:val="center"/>
          </w:tcPr>
          <w:p w14:paraId="24BA0AEB">
            <w:pPr>
              <w:pStyle w:val="75"/>
            </w:pPr>
            <w:r>
              <w:rPr>
                <w:rFonts w:hint="eastAsia"/>
                <w:bCs/>
              </w:rPr>
              <w:t>7</w:t>
            </w:r>
          </w:p>
        </w:tc>
        <w:tc>
          <w:tcPr>
            <w:tcW w:w="512" w:type="pct"/>
            <w:vAlign w:val="center"/>
          </w:tcPr>
          <w:p w14:paraId="1041B0BE">
            <w:pPr>
              <w:pStyle w:val="75"/>
            </w:pPr>
            <w:r>
              <w:rPr>
                <w:rFonts w:hint="eastAsia"/>
              </w:rPr>
              <w:t>148.1</w:t>
            </w:r>
          </w:p>
        </w:tc>
        <w:tc>
          <w:tcPr>
            <w:tcW w:w="512" w:type="pct"/>
            <w:vAlign w:val="center"/>
          </w:tcPr>
          <w:p w14:paraId="47427A95">
            <w:pPr>
              <w:pStyle w:val="75"/>
            </w:pPr>
            <w:r>
              <w:rPr>
                <w:rFonts w:hint="eastAsia"/>
              </w:rPr>
              <w:t>64</w:t>
            </w:r>
          </w:p>
        </w:tc>
        <w:tc>
          <w:tcPr>
            <w:tcW w:w="514" w:type="pct"/>
            <w:vAlign w:val="center"/>
          </w:tcPr>
          <w:p w14:paraId="26EF79E2">
            <w:pPr>
              <w:pStyle w:val="75"/>
            </w:pPr>
            <w:r>
              <w:rPr>
                <w:rFonts w:hint="eastAsia"/>
              </w:rPr>
              <w:t>16.9</w:t>
            </w:r>
          </w:p>
        </w:tc>
        <w:tc>
          <w:tcPr>
            <w:tcW w:w="425" w:type="pct"/>
            <w:vAlign w:val="center"/>
          </w:tcPr>
          <w:p w14:paraId="4C2394F7">
            <w:pPr>
              <w:pStyle w:val="75"/>
            </w:pPr>
            <w:r>
              <w:rPr>
                <w:rFonts w:hint="eastAsia"/>
              </w:rPr>
              <w:t>1.18</w:t>
            </w:r>
          </w:p>
        </w:tc>
        <w:tc>
          <w:tcPr>
            <w:tcW w:w="428" w:type="pct"/>
            <w:vAlign w:val="center"/>
          </w:tcPr>
          <w:p w14:paraId="0C16949C">
            <w:pPr>
              <w:pStyle w:val="75"/>
            </w:pPr>
            <w:r>
              <w:rPr>
                <w:rFonts w:hint="eastAsia"/>
              </w:rPr>
              <w:t>20.1</w:t>
            </w:r>
          </w:p>
        </w:tc>
        <w:tc>
          <w:tcPr>
            <w:tcW w:w="479" w:type="pct"/>
            <w:vAlign w:val="center"/>
          </w:tcPr>
          <w:p w14:paraId="45F3C311">
            <w:pPr>
              <w:pStyle w:val="75"/>
              <w:rPr>
                <w:bCs/>
              </w:rPr>
            </w:pPr>
            <w:r>
              <w:rPr>
                <w:rFonts w:hint="eastAsia"/>
                <w:bCs/>
              </w:rPr>
              <w:t>1.59</w:t>
            </w:r>
          </w:p>
        </w:tc>
      </w:tr>
    </w:tbl>
    <w:p w14:paraId="6A8AD7A3">
      <w:pPr>
        <w:pStyle w:val="72"/>
        <w:rPr>
          <w:rFonts w:cs="Times New Roman"/>
        </w:rPr>
      </w:pPr>
      <w:r>
        <w:rPr>
          <w:rFonts w:hint="eastAsia" w:cs="Times New Roman"/>
        </w:rPr>
        <w:t>本项目综合废水经处理后经厂区总排口排放。</w:t>
      </w:r>
    </w:p>
    <w:p w14:paraId="130C4BCD">
      <w:pPr>
        <w:pStyle w:val="72"/>
        <w:rPr>
          <w:rFonts w:cs="Times New Roman"/>
        </w:rPr>
      </w:pPr>
      <w:r>
        <w:rPr>
          <w:rFonts w:hint="eastAsia" w:cs="Times New Roman"/>
        </w:rPr>
        <w:t>（5）本项目生活污水经化粪处理后与冲压冷凝水及纯水制备浓水一同经厂区总排口排放。</w:t>
      </w:r>
    </w:p>
    <w:p w14:paraId="72C7BF15">
      <w:pPr>
        <w:pStyle w:val="72"/>
      </w:pPr>
      <w:r>
        <w:rPr>
          <w:rFonts w:hint="eastAsia" w:cs="Times New Roman"/>
        </w:rPr>
        <w:t>本项目厂区总排口的废水的处理效果及达标情况见下表</w:t>
      </w:r>
      <w:r>
        <w:rPr>
          <w:rFonts w:hint="eastAsia"/>
        </w:rPr>
        <w:t>。</w:t>
      </w:r>
    </w:p>
    <w:p w14:paraId="73FA7D4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3.6-19</w:t>
      </w:r>
      <w:r>
        <w:rPr>
          <w:rFonts w:hint="eastAsia"/>
        </w:rPr>
        <w:t xml:space="preserve">   </w:t>
      </w:r>
      <w:r>
        <w:rPr>
          <w:rFonts w:hint="eastAsia"/>
          <w:lang w:val="en-US" w:eastAsia="zh-CN"/>
        </w:rPr>
        <w:t xml:space="preserve"> </w:t>
      </w:r>
      <w:r>
        <w:rPr>
          <w:rFonts w:hint="eastAsia"/>
        </w:rPr>
        <w:t>厂区总排口废水水质排放情况一览表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562"/>
        <w:gridCol w:w="1425"/>
        <w:gridCol w:w="1137"/>
        <w:gridCol w:w="703"/>
        <w:gridCol w:w="705"/>
        <w:gridCol w:w="705"/>
        <w:gridCol w:w="700"/>
        <w:gridCol w:w="705"/>
        <w:gridCol w:w="784"/>
      </w:tblGrid>
      <w:tr w14:paraId="0EEE41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45EE53F4">
            <w:pPr>
              <w:pStyle w:val="81"/>
              <w:rPr>
                <w:rFonts w:cs="Times New Roman"/>
                <w:color w:val="auto"/>
              </w:rPr>
            </w:pPr>
            <w:r>
              <w:rPr>
                <w:rFonts w:cs="Times New Roman"/>
                <w:color w:val="auto"/>
              </w:rPr>
              <w:t>项目</w:t>
            </w:r>
          </w:p>
        </w:tc>
        <w:tc>
          <w:tcPr>
            <w:tcW w:w="845" w:type="pct"/>
            <w:vAlign w:val="center"/>
          </w:tcPr>
          <w:p w14:paraId="63179B5E">
            <w:pPr>
              <w:pStyle w:val="81"/>
              <w:rPr>
                <w:rFonts w:cs="Times New Roman"/>
                <w:color w:val="auto"/>
              </w:rPr>
            </w:pPr>
            <w:r>
              <w:rPr>
                <w:rFonts w:cs="Times New Roman"/>
                <w:color w:val="auto"/>
              </w:rPr>
              <w:t>废水来源</w:t>
            </w:r>
          </w:p>
        </w:tc>
        <w:tc>
          <w:tcPr>
            <w:tcW w:w="674" w:type="pct"/>
            <w:vAlign w:val="center"/>
          </w:tcPr>
          <w:p w14:paraId="1BB05C49">
            <w:pPr>
              <w:pStyle w:val="81"/>
              <w:rPr>
                <w:rFonts w:cs="Times New Roman"/>
                <w:color w:val="auto"/>
              </w:rPr>
            </w:pPr>
            <w:r>
              <w:rPr>
                <w:rFonts w:cs="Times New Roman"/>
                <w:color w:val="auto"/>
              </w:rPr>
              <w:t>水量</w:t>
            </w:r>
            <w:r>
              <w:rPr>
                <w:rFonts w:cs="Times New Roman"/>
                <w:color w:val="auto"/>
                <w:w w:val="90"/>
              </w:rPr>
              <w:t>(</w:t>
            </w:r>
            <w:r>
              <w:rPr>
                <w:rFonts w:cs="Times New Roman"/>
                <w:color w:val="auto"/>
              </w:rPr>
              <w:t>m</w:t>
            </w:r>
            <w:r>
              <w:rPr>
                <w:rFonts w:cs="Times New Roman"/>
                <w:color w:val="auto"/>
                <w:vertAlign w:val="superscript"/>
              </w:rPr>
              <w:t>3</w:t>
            </w:r>
            <w:r>
              <w:rPr>
                <w:rFonts w:cs="Times New Roman"/>
                <w:color w:val="auto"/>
              </w:rPr>
              <w:t>/d)</w:t>
            </w:r>
          </w:p>
        </w:tc>
        <w:tc>
          <w:tcPr>
            <w:tcW w:w="417" w:type="pct"/>
            <w:vAlign w:val="center"/>
          </w:tcPr>
          <w:p w14:paraId="57D12F04">
            <w:pPr>
              <w:pStyle w:val="81"/>
              <w:rPr>
                <w:rFonts w:cs="Times New Roman"/>
                <w:color w:val="auto"/>
              </w:rPr>
            </w:pPr>
            <w:r>
              <w:rPr>
                <w:rFonts w:cs="Times New Roman"/>
                <w:color w:val="auto"/>
              </w:rPr>
              <w:t>COD</w:t>
            </w:r>
          </w:p>
        </w:tc>
        <w:tc>
          <w:tcPr>
            <w:tcW w:w="418" w:type="pct"/>
            <w:vAlign w:val="center"/>
          </w:tcPr>
          <w:p w14:paraId="10C510D5">
            <w:pPr>
              <w:pStyle w:val="81"/>
              <w:rPr>
                <w:rFonts w:cs="Times New Roman"/>
                <w:color w:val="auto"/>
              </w:rPr>
            </w:pPr>
            <w:r>
              <w:rPr>
                <w:rFonts w:hint="eastAsia" w:cs="Times New Roman"/>
                <w:color w:val="auto"/>
              </w:rPr>
              <w:t>S</w:t>
            </w:r>
            <w:r>
              <w:rPr>
                <w:rFonts w:cs="Times New Roman"/>
                <w:color w:val="auto"/>
              </w:rPr>
              <w:t>S</w:t>
            </w:r>
          </w:p>
        </w:tc>
        <w:tc>
          <w:tcPr>
            <w:tcW w:w="418" w:type="pct"/>
            <w:vAlign w:val="center"/>
          </w:tcPr>
          <w:p w14:paraId="0F0585C5">
            <w:pPr>
              <w:pStyle w:val="81"/>
              <w:rPr>
                <w:rFonts w:cs="Times New Roman"/>
                <w:color w:val="auto"/>
              </w:rPr>
            </w:pPr>
            <w:r>
              <w:rPr>
                <w:rFonts w:cs="Times New Roman"/>
                <w:color w:val="auto"/>
              </w:rPr>
              <w:t>氨氮</w:t>
            </w:r>
          </w:p>
        </w:tc>
        <w:tc>
          <w:tcPr>
            <w:tcW w:w="415" w:type="pct"/>
            <w:vAlign w:val="center"/>
          </w:tcPr>
          <w:p w14:paraId="61E99DD2">
            <w:pPr>
              <w:pStyle w:val="81"/>
              <w:rPr>
                <w:rFonts w:cs="Times New Roman"/>
                <w:color w:val="auto"/>
              </w:rPr>
            </w:pPr>
            <w:r>
              <w:rPr>
                <w:rFonts w:cs="Times New Roman"/>
                <w:color w:val="auto"/>
              </w:rPr>
              <w:t>TP</w:t>
            </w:r>
          </w:p>
        </w:tc>
        <w:tc>
          <w:tcPr>
            <w:tcW w:w="418" w:type="pct"/>
            <w:vAlign w:val="center"/>
          </w:tcPr>
          <w:p w14:paraId="5A587786">
            <w:pPr>
              <w:pStyle w:val="81"/>
              <w:rPr>
                <w:rFonts w:cs="Times New Roman"/>
                <w:color w:val="auto"/>
              </w:rPr>
            </w:pPr>
            <w:r>
              <w:rPr>
                <w:rFonts w:cs="Times New Roman"/>
                <w:color w:val="auto"/>
              </w:rPr>
              <w:t>TN</w:t>
            </w:r>
          </w:p>
        </w:tc>
        <w:tc>
          <w:tcPr>
            <w:tcW w:w="465" w:type="pct"/>
            <w:vAlign w:val="center"/>
          </w:tcPr>
          <w:p w14:paraId="5D0C2727">
            <w:pPr>
              <w:pStyle w:val="81"/>
              <w:rPr>
                <w:rFonts w:cs="Times New Roman"/>
                <w:color w:val="auto"/>
              </w:rPr>
            </w:pPr>
            <w:r>
              <w:rPr>
                <w:rFonts w:hint="eastAsia" w:cs="Times New Roman"/>
                <w:color w:val="auto"/>
              </w:rPr>
              <w:t>石油类</w:t>
            </w:r>
          </w:p>
        </w:tc>
      </w:tr>
      <w:tr w14:paraId="73F12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restart"/>
            <w:vAlign w:val="center"/>
          </w:tcPr>
          <w:p w14:paraId="65593B58">
            <w:pPr>
              <w:pStyle w:val="75"/>
            </w:pPr>
            <w:r>
              <w:t>总排口</w:t>
            </w:r>
          </w:p>
        </w:tc>
        <w:tc>
          <w:tcPr>
            <w:tcW w:w="845" w:type="pct"/>
            <w:vAlign w:val="center"/>
          </w:tcPr>
          <w:p w14:paraId="2B468818">
            <w:pPr>
              <w:pStyle w:val="75"/>
              <w:rPr>
                <w:highlight w:val="none"/>
              </w:rPr>
            </w:pPr>
            <w:r>
              <w:rPr>
                <w:rFonts w:hint="eastAsia"/>
                <w:highlight w:val="none"/>
              </w:rPr>
              <w:t>综合废水</w:t>
            </w:r>
          </w:p>
        </w:tc>
        <w:tc>
          <w:tcPr>
            <w:tcW w:w="674" w:type="pct"/>
            <w:vAlign w:val="center"/>
          </w:tcPr>
          <w:p w14:paraId="4BDFD47D">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95.427</w:t>
            </w:r>
          </w:p>
        </w:tc>
        <w:tc>
          <w:tcPr>
            <w:tcW w:w="417" w:type="pct"/>
            <w:vAlign w:val="center"/>
          </w:tcPr>
          <w:p w14:paraId="64E79C18">
            <w:pPr>
              <w:pStyle w:val="75"/>
              <w:rPr>
                <w:highlight w:val="none"/>
              </w:rPr>
            </w:pPr>
            <w:r>
              <w:rPr>
                <w:rFonts w:hint="eastAsia"/>
                <w:highlight w:val="none"/>
              </w:rPr>
              <w:t>148.1</w:t>
            </w:r>
          </w:p>
        </w:tc>
        <w:tc>
          <w:tcPr>
            <w:tcW w:w="418" w:type="pct"/>
            <w:vAlign w:val="center"/>
          </w:tcPr>
          <w:p w14:paraId="6EFEC6C2">
            <w:pPr>
              <w:pStyle w:val="75"/>
              <w:rPr>
                <w:highlight w:val="none"/>
              </w:rPr>
            </w:pPr>
            <w:r>
              <w:rPr>
                <w:rFonts w:hint="eastAsia"/>
                <w:highlight w:val="none"/>
              </w:rPr>
              <w:t>64</w:t>
            </w:r>
          </w:p>
        </w:tc>
        <w:tc>
          <w:tcPr>
            <w:tcW w:w="418" w:type="pct"/>
            <w:vAlign w:val="center"/>
          </w:tcPr>
          <w:p w14:paraId="245C3902">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16.9</w:t>
            </w:r>
          </w:p>
        </w:tc>
        <w:tc>
          <w:tcPr>
            <w:tcW w:w="415" w:type="pct"/>
            <w:vAlign w:val="center"/>
          </w:tcPr>
          <w:p w14:paraId="0103D7F9">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1.18</w:t>
            </w:r>
          </w:p>
        </w:tc>
        <w:tc>
          <w:tcPr>
            <w:tcW w:w="418" w:type="pct"/>
            <w:vAlign w:val="center"/>
          </w:tcPr>
          <w:p w14:paraId="0B81218F">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20.1</w:t>
            </w:r>
          </w:p>
        </w:tc>
        <w:tc>
          <w:tcPr>
            <w:tcW w:w="465" w:type="pct"/>
            <w:vAlign w:val="center"/>
          </w:tcPr>
          <w:p w14:paraId="3D714FB8">
            <w:pPr>
              <w:pStyle w:val="75"/>
              <w:rPr>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1.59</w:t>
            </w:r>
          </w:p>
        </w:tc>
      </w:tr>
      <w:tr w14:paraId="52470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1CB1A618">
            <w:pPr>
              <w:pStyle w:val="75"/>
            </w:pPr>
          </w:p>
        </w:tc>
        <w:tc>
          <w:tcPr>
            <w:tcW w:w="845" w:type="pct"/>
            <w:vAlign w:val="center"/>
          </w:tcPr>
          <w:p w14:paraId="663D995E">
            <w:pPr>
              <w:pStyle w:val="75"/>
              <w:jc w:val="left"/>
              <w:rPr>
                <w:highlight w:val="none"/>
              </w:rPr>
            </w:pPr>
            <w:r>
              <w:rPr>
                <w:highlight w:val="none"/>
              </w:rPr>
              <w:t>生活污水化粪池处理后</w:t>
            </w:r>
          </w:p>
        </w:tc>
        <w:tc>
          <w:tcPr>
            <w:tcW w:w="674" w:type="pct"/>
            <w:vAlign w:val="center"/>
          </w:tcPr>
          <w:p w14:paraId="6431A342">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0.88</w:t>
            </w:r>
          </w:p>
        </w:tc>
        <w:tc>
          <w:tcPr>
            <w:tcW w:w="417" w:type="pct"/>
            <w:vAlign w:val="center"/>
          </w:tcPr>
          <w:p w14:paraId="5F50FB55">
            <w:pPr>
              <w:pStyle w:val="75"/>
              <w:rPr>
                <w:highlight w:val="none"/>
              </w:rPr>
            </w:pPr>
            <w:r>
              <w:rPr>
                <w:highlight w:val="none"/>
              </w:rPr>
              <w:t>250</w:t>
            </w:r>
          </w:p>
        </w:tc>
        <w:tc>
          <w:tcPr>
            <w:tcW w:w="418" w:type="pct"/>
            <w:vAlign w:val="center"/>
          </w:tcPr>
          <w:p w14:paraId="40C6DC59">
            <w:pPr>
              <w:pStyle w:val="75"/>
              <w:rPr>
                <w:highlight w:val="none"/>
              </w:rPr>
            </w:pPr>
            <w:r>
              <w:rPr>
                <w:rFonts w:hint="eastAsia"/>
                <w:highlight w:val="none"/>
              </w:rPr>
              <w:t>150</w:t>
            </w:r>
          </w:p>
        </w:tc>
        <w:tc>
          <w:tcPr>
            <w:tcW w:w="418" w:type="pct"/>
            <w:vAlign w:val="center"/>
          </w:tcPr>
          <w:p w14:paraId="28000E76">
            <w:pPr>
              <w:pStyle w:val="7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25</w:t>
            </w:r>
          </w:p>
        </w:tc>
        <w:tc>
          <w:tcPr>
            <w:tcW w:w="415" w:type="pct"/>
            <w:vAlign w:val="center"/>
          </w:tcPr>
          <w:p w14:paraId="25378D53">
            <w:pPr>
              <w:pStyle w:val="7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418" w:type="pct"/>
            <w:vAlign w:val="center"/>
          </w:tcPr>
          <w:p w14:paraId="5F35756E">
            <w:pPr>
              <w:pStyle w:val="7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30</w:t>
            </w:r>
          </w:p>
        </w:tc>
        <w:tc>
          <w:tcPr>
            <w:tcW w:w="465" w:type="pct"/>
            <w:vAlign w:val="center"/>
          </w:tcPr>
          <w:p w14:paraId="20E6D35B">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r>
      <w:tr w14:paraId="31753B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5A2487DB">
            <w:pPr>
              <w:pStyle w:val="75"/>
            </w:pPr>
          </w:p>
        </w:tc>
        <w:tc>
          <w:tcPr>
            <w:tcW w:w="845" w:type="pct"/>
            <w:vAlign w:val="center"/>
          </w:tcPr>
          <w:p w14:paraId="467CBEDD">
            <w:pPr>
              <w:pStyle w:val="75"/>
              <w:rPr>
                <w:highlight w:val="none"/>
              </w:rPr>
            </w:pPr>
            <w:r>
              <w:rPr>
                <w:highlight w:val="none"/>
              </w:rPr>
              <w:t>纯水制备</w:t>
            </w:r>
            <w:r>
              <w:rPr>
                <w:rFonts w:hint="eastAsia"/>
                <w:highlight w:val="none"/>
              </w:rPr>
              <w:t>浓水</w:t>
            </w:r>
          </w:p>
        </w:tc>
        <w:tc>
          <w:tcPr>
            <w:tcW w:w="674" w:type="pct"/>
            <w:vAlign w:val="center"/>
          </w:tcPr>
          <w:p w14:paraId="3AB30A1D">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80.208</w:t>
            </w:r>
          </w:p>
        </w:tc>
        <w:tc>
          <w:tcPr>
            <w:tcW w:w="417" w:type="pct"/>
            <w:vAlign w:val="center"/>
          </w:tcPr>
          <w:p w14:paraId="0197CE9C">
            <w:pPr>
              <w:pStyle w:val="75"/>
              <w:rPr>
                <w:highlight w:val="none"/>
              </w:rPr>
            </w:pPr>
            <w:r>
              <w:rPr>
                <w:highlight w:val="none"/>
              </w:rPr>
              <w:t>25</w:t>
            </w:r>
          </w:p>
        </w:tc>
        <w:tc>
          <w:tcPr>
            <w:tcW w:w="418" w:type="pct"/>
            <w:vAlign w:val="center"/>
          </w:tcPr>
          <w:p w14:paraId="37DDE281">
            <w:pPr>
              <w:pStyle w:val="75"/>
              <w:rPr>
                <w:highlight w:val="none"/>
              </w:rPr>
            </w:pPr>
            <w:r>
              <w:rPr>
                <w:rFonts w:hint="eastAsia"/>
                <w:highlight w:val="none"/>
              </w:rPr>
              <w:t>50</w:t>
            </w:r>
          </w:p>
        </w:tc>
        <w:tc>
          <w:tcPr>
            <w:tcW w:w="418" w:type="pct"/>
            <w:vAlign w:val="center"/>
          </w:tcPr>
          <w:p w14:paraId="564752AB">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5" w:type="pct"/>
            <w:vAlign w:val="center"/>
          </w:tcPr>
          <w:p w14:paraId="093B4D54">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8" w:type="pct"/>
            <w:vAlign w:val="center"/>
          </w:tcPr>
          <w:p w14:paraId="431255E0">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65" w:type="pct"/>
            <w:vAlign w:val="center"/>
          </w:tcPr>
          <w:p w14:paraId="70603D4B">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r>
      <w:tr w14:paraId="1B8AD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04FDCF34">
            <w:pPr>
              <w:pStyle w:val="75"/>
            </w:pPr>
          </w:p>
        </w:tc>
        <w:tc>
          <w:tcPr>
            <w:tcW w:w="845" w:type="pct"/>
            <w:vAlign w:val="center"/>
          </w:tcPr>
          <w:p w14:paraId="1802C18E">
            <w:pPr>
              <w:pStyle w:val="75"/>
              <w:rPr>
                <w:highlight w:val="none"/>
              </w:rPr>
            </w:pPr>
            <w:r>
              <w:rPr>
                <w:rFonts w:hint="eastAsia"/>
                <w:highlight w:val="none"/>
              </w:rPr>
              <w:t>冲压冷凝水</w:t>
            </w:r>
          </w:p>
        </w:tc>
        <w:tc>
          <w:tcPr>
            <w:tcW w:w="674" w:type="pct"/>
            <w:vAlign w:val="center"/>
          </w:tcPr>
          <w:p w14:paraId="3CC818E3">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0.1</w:t>
            </w:r>
          </w:p>
        </w:tc>
        <w:tc>
          <w:tcPr>
            <w:tcW w:w="417" w:type="pct"/>
            <w:vAlign w:val="center"/>
          </w:tcPr>
          <w:p w14:paraId="636F8E0F">
            <w:pPr>
              <w:pStyle w:val="75"/>
              <w:rPr>
                <w:highlight w:val="none"/>
              </w:rPr>
            </w:pPr>
            <w:r>
              <w:rPr>
                <w:rFonts w:hint="eastAsia"/>
                <w:highlight w:val="none"/>
              </w:rPr>
              <w:t>25</w:t>
            </w:r>
          </w:p>
        </w:tc>
        <w:tc>
          <w:tcPr>
            <w:tcW w:w="418" w:type="pct"/>
            <w:vAlign w:val="center"/>
          </w:tcPr>
          <w:p w14:paraId="3CD94307">
            <w:pPr>
              <w:pStyle w:val="75"/>
              <w:rPr>
                <w:highlight w:val="none"/>
              </w:rPr>
            </w:pPr>
            <w:r>
              <w:rPr>
                <w:rFonts w:hint="eastAsia"/>
                <w:highlight w:val="none"/>
              </w:rPr>
              <w:t>30</w:t>
            </w:r>
          </w:p>
        </w:tc>
        <w:tc>
          <w:tcPr>
            <w:tcW w:w="418" w:type="pct"/>
            <w:vAlign w:val="center"/>
          </w:tcPr>
          <w:p w14:paraId="49A9CE3C">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5" w:type="pct"/>
            <w:vAlign w:val="center"/>
          </w:tcPr>
          <w:p w14:paraId="1259A625">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8" w:type="pct"/>
            <w:vAlign w:val="center"/>
          </w:tcPr>
          <w:p w14:paraId="1447A4D2">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65" w:type="pct"/>
            <w:vAlign w:val="center"/>
          </w:tcPr>
          <w:p w14:paraId="1861C4C6">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r>
      <w:tr w14:paraId="50F677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391EA382">
            <w:pPr>
              <w:pStyle w:val="75"/>
            </w:pPr>
          </w:p>
        </w:tc>
        <w:tc>
          <w:tcPr>
            <w:tcW w:w="845" w:type="pct"/>
            <w:vAlign w:val="center"/>
          </w:tcPr>
          <w:p w14:paraId="677384DF">
            <w:pPr>
              <w:pStyle w:val="75"/>
              <w:rPr>
                <w:highlight w:val="none"/>
              </w:rPr>
            </w:pPr>
            <w:r>
              <w:rPr>
                <w:highlight w:val="none"/>
              </w:rPr>
              <w:t>混合后</w:t>
            </w:r>
          </w:p>
        </w:tc>
        <w:tc>
          <w:tcPr>
            <w:tcW w:w="674" w:type="pct"/>
            <w:vAlign w:val="center"/>
          </w:tcPr>
          <w:p w14:paraId="55BD4643">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176.615</w:t>
            </w:r>
          </w:p>
        </w:tc>
        <w:tc>
          <w:tcPr>
            <w:tcW w:w="417" w:type="pct"/>
            <w:vAlign w:val="center"/>
          </w:tcPr>
          <w:p w14:paraId="593D5DB7">
            <w:pPr>
              <w:pStyle w:val="75"/>
              <w:rPr>
                <w:rFonts w:hint="default" w:eastAsia="宋体"/>
                <w:color w:val="FF0000"/>
                <w:highlight w:val="none"/>
                <w:lang w:val="en-US" w:eastAsia="zh-CN"/>
              </w:rPr>
            </w:pPr>
            <w:r>
              <w:rPr>
                <w:rFonts w:hint="eastAsia"/>
                <w:color w:val="000000" w:themeColor="text1"/>
                <w:highlight w:val="none"/>
                <w:lang w:val="en-US" w:eastAsia="zh-CN"/>
                <w14:textFill>
                  <w14:solidFill>
                    <w14:schemeClr w14:val="tx1"/>
                  </w14:solidFill>
                </w14:textFill>
              </w:rPr>
              <w:t>92.6</w:t>
            </w:r>
          </w:p>
        </w:tc>
        <w:tc>
          <w:tcPr>
            <w:tcW w:w="418" w:type="pct"/>
            <w:vAlign w:val="center"/>
          </w:tcPr>
          <w:p w14:paraId="6CB17D00">
            <w:pPr>
              <w:pStyle w:val="75"/>
              <w:rPr>
                <w:rFonts w:hint="default" w:eastAsia="宋体"/>
                <w:color w:val="FF0000"/>
                <w:highlight w:val="none"/>
                <w:lang w:val="en-US" w:eastAsia="zh-CN"/>
              </w:rPr>
            </w:pPr>
            <w:r>
              <w:rPr>
                <w:rFonts w:hint="eastAsia"/>
                <w:color w:val="000000" w:themeColor="text1"/>
                <w:highlight w:val="none"/>
                <w:lang w:val="en-US" w:eastAsia="zh-CN"/>
                <w14:textFill>
                  <w14:solidFill>
                    <w14:schemeClr w14:val="tx1"/>
                  </w14:solidFill>
                </w14:textFill>
              </w:rPr>
              <w:t>58.1</w:t>
            </w:r>
          </w:p>
        </w:tc>
        <w:tc>
          <w:tcPr>
            <w:tcW w:w="418" w:type="pct"/>
            <w:vAlign w:val="center"/>
          </w:tcPr>
          <w:p w14:paraId="22412C78">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9.3</w:t>
            </w:r>
          </w:p>
        </w:tc>
        <w:tc>
          <w:tcPr>
            <w:tcW w:w="415" w:type="pct"/>
            <w:vAlign w:val="center"/>
          </w:tcPr>
          <w:p w14:paraId="3953BC27">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0.7</w:t>
            </w:r>
          </w:p>
        </w:tc>
        <w:tc>
          <w:tcPr>
            <w:tcW w:w="418" w:type="pct"/>
            <w:vAlign w:val="center"/>
          </w:tcPr>
          <w:p w14:paraId="5C6605B9">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465" w:type="pct"/>
            <w:vAlign w:val="center"/>
          </w:tcPr>
          <w:p w14:paraId="78DCA02B">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0.9</w:t>
            </w:r>
          </w:p>
        </w:tc>
      </w:tr>
      <w:tr w14:paraId="24A2A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5606E535">
            <w:pPr>
              <w:pStyle w:val="75"/>
            </w:pPr>
            <w:r>
              <w:rPr>
                <w:rFonts w:hint="eastAsia"/>
              </w:rPr>
              <w:t>《电镀污染物排放标准》(GB21900-2008</w:t>
            </w:r>
            <w:r>
              <w:t>)</w:t>
            </w:r>
          </w:p>
        </w:tc>
        <w:tc>
          <w:tcPr>
            <w:tcW w:w="845" w:type="pct"/>
            <w:vAlign w:val="center"/>
          </w:tcPr>
          <w:p w14:paraId="61940E26">
            <w:pPr>
              <w:pStyle w:val="75"/>
              <w:rPr>
                <w:highlight w:val="none"/>
              </w:rPr>
            </w:pPr>
            <w:r>
              <w:rPr>
                <w:rFonts w:hint="eastAsia"/>
                <w:highlight w:val="none"/>
              </w:rPr>
              <w:t>/</w:t>
            </w:r>
          </w:p>
        </w:tc>
        <w:tc>
          <w:tcPr>
            <w:tcW w:w="674" w:type="pct"/>
            <w:vAlign w:val="center"/>
          </w:tcPr>
          <w:p w14:paraId="07EFB73A">
            <w:pPr>
              <w:pStyle w:val="75"/>
              <w:rPr>
                <w:highlight w:val="none"/>
              </w:rPr>
            </w:pPr>
            <w:r>
              <w:rPr>
                <w:rFonts w:hint="eastAsia"/>
                <w:highlight w:val="none"/>
              </w:rPr>
              <w:t>/</w:t>
            </w:r>
          </w:p>
        </w:tc>
        <w:tc>
          <w:tcPr>
            <w:tcW w:w="417" w:type="pct"/>
            <w:vAlign w:val="center"/>
          </w:tcPr>
          <w:p w14:paraId="1254E35F">
            <w:pPr>
              <w:pStyle w:val="75"/>
              <w:rPr>
                <w:highlight w:val="none"/>
              </w:rPr>
            </w:pPr>
            <w:r>
              <w:rPr>
                <w:rFonts w:hint="eastAsia"/>
                <w:highlight w:val="none"/>
              </w:rPr>
              <w:t>/</w:t>
            </w:r>
          </w:p>
        </w:tc>
        <w:tc>
          <w:tcPr>
            <w:tcW w:w="418" w:type="pct"/>
            <w:vAlign w:val="center"/>
          </w:tcPr>
          <w:p w14:paraId="5DA368EF">
            <w:pPr>
              <w:pStyle w:val="75"/>
              <w:rPr>
                <w:highlight w:val="none"/>
              </w:rPr>
            </w:pPr>
            <w:r>
              <w:rPr>
                <w:rFonts w:hint="eastAsia"/>
                <w:highlight w:val="none"/>
              </w:rPr>
              <w:t>/</w:t>
            </w:r>
          </w:p>
        </w:tc>
        <w:tc>
          <w:tcPr>
            <w:tcW w:w="418" w:type="pct"/>
            <w:vAlign w:val="center"/>
          </w:tcPr>
          <w:p w14:paraId="60FD8638">
            <w:pPr>
              <w:pStyle w:val="75"/>
              <w:rPr>
                <w:highlight w:val="none"/>
              </w:rPr>
            </w:pPr>
            <w:r>
              <w:rPr>
                <w:rFonts w:hint="eastAsia"/>
                <w:highlight w:val="none"/>
              </w:rPr>
              <w:t>/</w:t>
            </w:r>
          </w:p>
        </w:tc>
        <w:tc>
          <w:tcPr>
            <w:tcW w:w="415" w:type="pct"/>
            <w:vAlign w:val="center"/>
          </w:tcPr>
          <w:p w14:paraId="7912F3AC">
            <w:pPr>
              <w:pStyle w:val="75"/>
              <w:rPr>
                <w:highlight w:val="none"/>
              </w:rPr>
            </w:pPr>
            <w:r>
              <w:rPr>
                <w:rFonts w:hint="eastAsia"/>
                <w:highlight w:val="none"/>
              </w:rPr>
              <w:t>/</w:t>
            </w:r>
          </w:p>
        </w:tc>
        <w:tc>
          <w:tcPr>
            <w:tcW w:w="418" w:type="pct"/>
            <w:vAlign w:val="center"/>
          </w:tcPr>
          <w:p w14:paraId="671B0BD0">
            <w:pPr>
              <w:pStyle w:val="75"/>
              <w:rPr>
                <w:highlight w:val="none"/>
              </w:rPr>
            </w:pPr>
            <w:r>
              <w:rPr>
                <w:rFonts w:hint="eastAsia"/>
                <w:highlight w:val="none"/>
              </w:rPr>
              <w:t>/</w:t>
            </w:r>
          </w:p>
        </w:tc>
        <w:tc>
          <w:tcPr>
            <w:tcW w:w="465" w:type="pct"/>
            <w:vAlign w:val="center"/>
          </w:tcPr>
          <w:p w14:paraId="13A10DFF">
            <w:pPr>
              <w:pStyle w:val="75"/>
              <w:rPr>
                <w:highlight w:val="none"/>
              </w:rPr>
            </w:pPr>
            <w:r>
              <w:rPr>
                <w:rFonts w:hint="eastAsia"/>
                <w:highlight w:val="none"/>
              </w:rPr>
              <w:t>3.0</w:t>
            </w:r>
          </w:p>
        </w:tc>
      </w:tr>
      <w:tr w14:paraId="25C1D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1A43112F">
            <w:pPr>
              <w:pStyle w:val="75"/>
              <w:jc w:val="left"/>
              <w:rPr>
                <w:rFonts w:hint="default" w:eastAsia="宋体"/>
                <w:lang w:val="en-US" w:eastAsia="zh-CN"/>
              </w:rPr>
            </w:pPr>
            <w:r>
              <w:rPr>
                <w:rFonts w:hint="eastAsia"/>
                <w:lang w:val="en-US" w:eastAsia="zh-CN"/>
              </w:rPr>
              <w:t>获嘉县同盟污水处理厂收水水质</w:t>
            </w:r>
          </w:p>
        </w:tc>
        <w:tc>
          <w:tcPr>
            <w:tcW w:w="845" w:type="pct"/>
            <w:vAlign w:val="center"/>
          </w:tcPr>
          <w:p w14:paraId="19F70687">
            <w:pPr>
              <w:pStyle w:val="75"/>
              <w:rPr>
                <w:highlight w:val="none"/>
              </w:rPr>
            </w:pPr>
            <w:r>
              <w:rPr>
                <w:rFonts w:hint="eastAsia"/>
                <w:highlight w:val="none"/>
              </w:rPr>
              <w:t>/</w:t>
            </w:r>
          </w:p>
        </w:tc>
        <w:tc>
          <w:tcPr>
            <w:tcW w:w="674" w:type="pct"/>
            <w:vAlign w:val="center"/>
          </w:tcPr>
          <w:p w14:paraId="34C22357">
            <w:pPr>
              <w:pStyle w:val="75"/>
              <w:rPr>
                <w:highlight w:val="none"/>
              </w:rPr>
            </w:pPr>
            <w:r>
              <w:rPr>
                <w:rFonts w:hint="eastAsia"/>
                <w:highlight w:val="none"/>
              </w:rPr>
              <w:t>/</w:t>
            </w:r>
          </w:p>
        </w:tc>
        <w:tc>
          <w:tcPr>
            <w:tcW w:w="417" w:type="pct"/>
            <w:vAlign w:val="center"/>
          </w:tcPr>
          <w:p w14:paraId="16D28039">
            <w:pPr>
              <w:pStyle w:val="75"/>
              <w:rPr>
                <w:highlight w:val="none"/>
              </w:rPr>
            </w:pPr>
            <w:r>
              <w:rPr>
                <w:rFonts w:hint="eastAsia"/>
                <w:highlight w:val="none"/>
              </w:rPr>
              <w:t>350</w:t>
            </w:r>
          </w:p>
        </w:tc>
        <w:tc>
          <w:tcPr>
            <w:tcW w:w="418" w:type="pct"/>
            <w:vAlign w:val="center"/>
          </w:tcPr>
          <w:p w14:paraId="1F13F90F">
            <w:pPr>
              <w:pStyle w:val="75"/>
              <w:rPr>
                <w:rFonts w:hint="default" w:eastAsia="宋体"/>
                <w:highlight w:val="none"/>
                <w:lang w:val="en-US" w:eastAsia="zh-CN"/>
              </w:rPr>
            </w:pPr>
            <w:r>
              <w:rPr>
                <w:rFonts w:hint="eastAsia"/>
                <w:highlight w:val="none"/>
                <w:lang w:val="en-US" w:eastAsia="zh-CN"/>
              </w:rPr>
              <w:t>230</w:t>
            </w:r>
          </w:p>
        </w:tc>
        <w:tc>
          <w:tcPr>
            <w:tcW w:w="418" w:type="pct"/>
            <w:vAlign w:val="center"/>
          </w:tcPr>
          <w:p w14:paraId="248DC65A">
            <w:pPr>
              <w:pStyle w:val="75"/>
              <w:rPr>
                <w:highlight w:val="none"/>
              </w:rPr>
            </w:pPr>
            <w:r>
              <w:rPr>
                <w:rFonts w:hint="eastAsia"/>
                <w:highlight w:val="none"/>
              </w:rPr>
              <w:t>35</w:t>
            </w:r>
          </w:p>
        </w:tc>
        <w:tc>
          <w:tcPr>
            <w:tcW w:w="415" w:type="pct"/>
            <w:vAlign w:val="center"/>
          </w:tcPr>
          <w:p w14:paraId="6DFF34A6">
            <w:pPr>
              <w:pStyle w:val="75"/>
              <w:rPr>
                <w:rFonts w:hint="default" w:eastAsia="宋体"/>
                <w:highlight w:val="none"/>
                <w:lang w:val="en-US" w:eastAsia="zh-CN"/>
              </w:rPr>
            </w:pPr>
            <w:r>
              <w:rPr>
                <w:rFonts w:hint="eastAsia"/>
                <w:highlight w:val="none"/>
                <w:lang w:val="en-US" w:eastAsia="zh-CN"/>
              </w:rPr>
              <w:t>3.5</w:t>
            </w:r>
          </w:p>
        </w:tc>
        <w:tc>
          <w:tcPr>
            <w:tcW w:w="418" w:type="pct"/>
            <w:vAlign w:val="center"/>
          </w:tcPr>
          <w:p w14:paraId="7293A8DB">
            <w:pPr>
              <w:pStyle w:val="75"/>
              <w:rPr>
                <w:rFonts w:hint="default" w:eastAsia="宋体"/>
                <w:highlight w:val="none"/>
                <w:lang w:val="en-US" w:eastAsia="zh-CN"/>
              </w:rPr>
            </w:pPr>
            <w:r>
              <w:rPr>
                <w:rFonts w:hint="eastAsia"/>
                <w:highlight w:val="none"/>
                <w:lang w:val="en-US" w:eastAsia="zh-CN"/>
              </w:rPr>
              <w:t>50</w:t>
            </w:r>
          </w:p>
        </w:tc>
        <w:tc>
          <w:tcPr>
            <w:tcW w:w="465" w:type="pct"/>
            <w:vAlign w:val="center"/>
          </w:tcPr>
          <w:p w14:paraId="22548F47">
            <w:pPr>
              <w:pStyle w:val="75"/>
              <w:rPr>
                <w:highlight w:val="none"/>
              </w:rPr>
            </w:pPr>
            <w:r>
              <w:rPr>
                <w:rFonts w:hint="eastAsia"/>
                <w:highlight w:val="none"/>
              </w:rPr>
              <w:t>/</w:t>
            </w:r>
          </w:p>
        </w:tc>
      </w:tr>
      <w:tr w14:paraId="5ED342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190A5D83">
            <w:pPr>
              <w:pStyle w:val="75"/>
            </w:pPr>
            <w:r>
              <w:t>对标</w:t>
            </w:r>
          </w:p>
        </w:tc>
        <w:tc>
          <w:tcPr>
            <w:tcW w:w="845" w:type="pct"/>
            <w:vAlign w:val="center"/>
          </w:tcPr>
          <w:p w14:paraId="3DB23272">
            <w:pPr>
              <w:pStyle w:val="75"/>
              <w:rPr>
                <w:highlight w:val="none"/>
              </w:rPr>
            </w:pPr>
            <w:r>
              <w:rPr>
                <w:highlight w:val="none"/>
              </w:rPr>
              <w:t>达标</w:t>
            </w:r>
          </w:p>
        </w:tc>
        <w:tc>
          <w:tcPr>
            <w:tcW w:w="674" w:type="pct"/>
            <w:vAlign w:val="center"/>
          </w:tcPr>
          <w:p w14:paraId="784620AB">
            <w:pPr>
              <w:pStyle w:val="75"/>
              <w:rPr>
                <w:highlight w:val="none"/>
              </w:rPr>
            </w:pPr>
            <w:r>
              <w:rPr>
                <w:highlight w:val="none"/>
              </w:rPr>
              <w:t>达标</w:t>
            </w:r>
          </w:p>
        </w:tc>
        <w:tc>
          <w:tcPr>
            <w:tcW w:w="417" w:type="pct"/>
            <w:vAlign w:val="center"/>
          </w:tcPr>
          <w:p w14:paraId="3560377C">
            <w:pPr>
              <w:pStyle w:val="75"/>
              <w:rPr>
                <w:highlight w:val="none"/>
              </w:rPr>
            </w:pPr>
            <w:r>
              <w:rPr>
                <w:highlight w:val="none"/>
              </w:rPr>
              <w:t>达标</w:t>
            </w:r>
          </w:p>
        </w:tc>
        <w:tc>
          <w:tcPr>
            <w:tcW w:w="418" w:type="pct"/>
            <w:vAlign w:val="center"/>
          </w:tcPr>
          <w:p w14:paraId="2CB1F95E">
            <w:pPr>
              <w:pStyle w:val="75"/>
              <w:rPr>
                <w:highlight w:val="none"/>
              </w:rPr>
            </w:pPr>
            <w:r>
              <w:rPr>
                <w:highlight w:val="none"/>
              </w:rPr>
              <w:t>达标</w:t>
            </w:r>
          </w:p>
        </w:tc>
        <w:tc>
          <w:tcPr>
            <w:tcW w:w="418" w:type="pct"/>
            <w:vAlign w:val="center"/>
          </w:tcPr>
          <w:p w14:paraId="473D5129">
            <w:pPr>
              <w:pStyle w:val="75"/>
              <w:rPr>
                <w:highlight w:val="none"/>
              </w:rPr>
            </w:pPr>
            <w:r>
              <w:rPr>
                <w:highlight w:val="none"/>
              </w:rPr>
              <w:t>达标</w:t>
            </w:r>
          </w:p>
        </w:tc>
        <w:tc>
          <w:tcPr>
            <w:tcW w:w="415" w:type="pct"/>
            <w:vAlign w:val="center"/>
          </w:tcPr>
          <w:p w14:paraId="165F65D1">
            <w:pPr>
              <w:pStyle w:val="75"/>
              <w:rPr>
                <w:highlight w:val="none"/>
              </w:rPr>
            </w:pPr>
            <w:r>
              <w:rPr>
                <w:highlight w:val="none"/>
              </w:rPr>
              <w:t>达标</w:t>
            </w:r>
          </w:p>
        </w:tc>
        <w:tc>
          <w:tcPr>
            <w:tcW w:w="418" w:type="pct"/>
            <w:vAlign w:val="center"/>
          </w:tcPr>
          <w:p w14:paraId="64D1C72F">
            <w:pPr>
              <w:pStyle w:val="75"/>
              <w:rPr>
                <w:highlight w:val="none"/>
              </w:rPr>
            </w:pPr>
            <w:r>
              <w:rPr>
                <w:highlight w:val="none"/>
              </w:rPr>
              <w:t>达标</w:t>
            </w:r>
          </w:p>
        </w:tc>
        <w:tc>
          <w:tcPr>
            <w:tcW w:w="465" w:type="pct"/>
            <w:vAlign w:val="center"/>
          </w:tcPr>
          <w:p w14:paraId="5843994D">
            <w:pPr>
              <w:pStyle w:val="75"/>
              <w:rPr>
                <w:highlight w:val="none"/>
              </w:rPr>
            </w:pPr>
            <w:r>
              <w:rPr>
                <w:rFonts w:hint="eastAsia"/>
                <w:highlight w:val="none"/>
              </w:rPr>
              <w:t>/</w:t>
            </w:r>
          </w:p>
        </w:tc>
      </w:tr>
    </w:tbl>
    <w:p w14:paraId="63BCB8C2">
      <w:pPr>
        <w:pStyle w:val="54"/>
        <w:ind w:firstLine="480"/>
        <w:rPr>
          <w:rFonts w:hint="default"/>
          <w:b w:val="0"/>
          <w:bCs/>
          <w:lang w:val="en-US"/>
        </w:rPr>
      </w:pPr>
      <w:r>
        <w:rPr>
          <w:rFonts w:hint="eastAsia"/>
          <w:b w:val="0"/>
          <w:bCs/>
        </w:rPr>
        <w:t>由上表可以看出，本项目废水经处理后，总排口废水中COD、S</w:t>
      </w:r>
      <w:r>
        <w:rPr>
          <w:b w:val="0"/>
          <w:bCs/>
        </w:rPr>
        <w:t>S</w:t>
      </w:r>
      <w:r>
        <w:rPr>
          <w:rFonts w:hint="eastAsia"/>
          <w:b w:val="0"/>
          <w:bCs/>
        </w:rPr>
        <w:t>、氨氮、TP、TN、石油类均能够满足《电镀污染物排放标准》(GB21900-2008)</w:t>
      </w:r>
      <w:r>
        <w:rPr>
          <w:rFonts w:hint="eastAsia"/>
          <w:b w:val="0"/>
          <w:bCs/>
          <w:lang w:val="en-US" w:eastAsia="zh-CN"/>
        </w:rPr>
        <w:t>以及</w:t>
      </w:r>
      <w:r>
        <w:rPr>
          <w:rFonts w:hint="eastAsia"/>
          <w:b w:val="0"/>
          <w:bCs/>
        </w:rPr>
        <w:t xml:space="preserve">获嘉县同盟污水处理厂收水水质，获嘉县同盟污水处理厂出水执行标准为：COD </w:t>
      </w:r>
      <w:r>
        <w:rPr>
          <w:rFonts w:hint="eastAsia"/>
          <w:b w:val="0"/>
          <w:bCs/>
          <w:lang w:val="en-US" w:eastAsia="zh-CN"/>
        </w:rPr>
        <w:t>30</w:t>
      </w:r>
      <w:r>
        <w:rPr>
          <w:rFonts w:hint="eastAsia"/>
          <w:b w:val="0"/>
          <w:bCs/>
        </w:rPr>
        <w:t>mg/L、S</w:t>
      </w:r>
      <w:r>
        <w:rPr>
          <w:b w:val="0"/>
          <w:bCs/>
        </w:rPr>
        <w:t>S</w:t>
      </w:r>
      <w:r>
        <w:rPr>
          <w:rFonts w:hint="eastAsia"/>
          <w:b w:val="0"/>
          <w:bCs/>
        </w:rPr>
        <w:t xml:space="preserve"> 10mg/L、氨氮</w:t>
      </w:r>
      <w:r>
        <w:rPr>
          <w:rFonts w:hint="eastAsia"/>
          <w:b w:val="0"/>
          <w:bCs/>
          <w:lang w:val="en-US" w:eastAsia="zh-CN"/>
        </w:rPr>
        <w:t>1.5</w:t>
      </w:r>
      <w:r>
        <w:rPr>
          <w:rFonts w:hint="eastAsia"/>
          <w:b w:val="0"/>
          <w:bCs/>
        </w:rPr>
        <w:t>mg/L、总磷</w:t>
      </w:r>
      <w:r>
        <w:rPr>
          <w:rFonts w:hint="eastAsia"/>
          <w:b w:val="0"/>
          <w:bCs/>
          <w:lang w:val="en-US" w:eastAsia="zh-CN"/>
        </w:rPr>
        <w:t>0.3</w:t>
      </w:r>
      <w:r>
        <w:rPr>
          <w:rFonts w:hint="eastAsia"/>
          <w:b w:val="0"/>
          <w:bCs/>
        </w:rPr>
        <w:t>mg/L、TN 15mg/L</w:t>
      </w:r>
      <w:r>
        <w:rPr>
          <w:rFonts w:hint="eastAsia"/>
          <w:b w:val="0"/>
          <w:bCs/>
          <w:lang w:eastAsia="zh-CN"/>
        </w:rPr>
        <w:t>、</w:t>
      </w:r>
      <w:r>
        <w:rPr>
          <w:rFonts w:hint="eastAsia"/>
          <w:b w:val="0"/>
          <w:bCs/>
          <w:lang w:val="en-US" w:eastAsia="zh-CN"/>
        </w:rPr>
        <w:t>石油类1.0mg/L。</w:t>
      </w:r>
    </w:p>
    <w:p w14:paraId="034D4B6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3.6.2.4基准排放量</w:t>
      </w:r>
    </w:p>
    <w:p w14:paraId="4752BCDB">
      <w:pPr>
        <w:pStyle w:val="72"/>
        <w:rPr>
          <w:highlight w:val="none"/>
        </w:rPr>
      </w:pPr>
      <w:r>
        <w:rPr>
          <w:rFonts w:hint="eastAsia"/>
          <w:highlight w:val="none"/>
        </w:rPr>
        <w:t>根据《电镀污染物排放标准》（GB21900-2008）表2，单层镀的基准排水量为200L/m</w:t>
      </w:r>
      <w:r>
        <w:rPr>
          <w:rFonts w:hint="eastAsia"/>
          <w:highlight w:val="none"/>
          <w:vertAlign w:val="superscript"/>
        </w:rPr>
        <w:t>2</w:t>
      </w:r>
      <w:r>
        <w:rPr>
          <w:rFonts w:hint="eastAsia"/>
          <w:highlight w:val="none"/>
        </w:rPr>
        <w:t>（镀件镀层），多层镀的基准排水量为500L/m</w:t>
      </w:r>
      <w:r>
        <w:rPr>
          <w:rFonts w:hint="eastAsia"/>
          <w:highlight w:val="none"/>
          <w:vertAlign w:val="superscript"/>
        </w:rPr>
        <w:t>2</w:t>
      </w:r>
      <w:r>
        <w:rPr>
          <w:rFonts w:hint="eastAsia"/>
          <w:highlight w:val="none"/>
        </w:rPr>
        <w:t>（镀件镀层）。本项目总电镀面积</w:t>
      </w:r>
      <w:r>
        <w:rPr>
          <w:rFonts w:hint="eastAsia"/>
          <w:highlight w:val="none"/>
          <w:lang w:val="en-US" w:eastAsia="zh-CN"/>
        </w:rPr>
        <w:t>2167.2</w:t>
      </w:r>
      <w:r>
        <w:rPr>
          <w:rFonts w:hint="eastAsia"/>
          <w:highlight w:val="none"/>
        </w:rPr>
        <w:t>万m</w:t>
      </w:r>
      <w:r>
        <w:rPr>
          <w:rFonts w:hint="eastAsia"/>
          <w:highlight w:val="none"/>
          <w:vertAlign w:val="superscript"/>
        </w:rPr>
        <w:t>2</w:t>
      </w:r>
      <w:r>
        <w:rPr>
          <w:rFonts w:hint="eastAsia"/>
          <w:highlight w:val="none"/>
        </w:rPr>
        <w:t>/a，排水量为</w:t>
      </w:r>
      <w:r>
        <w:rPr>
          <w:rFonts w:hint="eastAsia"/>
          <w:color w:val="000000" w:themeColor="text1"/>
          <w:highlight w:val="none"/>
          <w:lang w:val="en-US" w:eastAsia="zh-CN"/>
          <w14:textFill>
            <w14:solidFill>
              <w14:schemeClr w14:val="tx1"/>
            </w14:solidFill>
          </w14:textFill>
        </w:rPr>
        <w:t>176.615</w:t>
      </w:r>
      <w:r>
        <w:rPr>
          <w:rFonts w:hint="eastAsia"/>
          <w:highlight w:val="none"/>
        </w:rPr>
        <w:t>m</w:t>
      </w:r>
      <w:r>
        <w:rPr>
          <w:rFonts w:hint="eastAsia"/>
          <w:highlight w:val="none"/>
          <w:vertAlign w:val="superscript"/>
        </w:rPr>
        <w:t>3</w:t>
      </w:r>
      <w:r>
        <w:rPr>
          <w:rFonts w:hint="eastAsia"/>
          <w:highlight w:val="none"/>
        </w:rPr>
        <w:t>/d（</w:t>
      </w:r>
      <w:r>
        <w:rPr>
          <w:rFonts w:hint="eastAsia"/>
          <w:highlight w:val="none"/>
          <w:lang w:val="en-US" w:eastAsia="zh-CN"/>
        </w:rPr>
        <w:t>52984.5</w:t>
      </w:r>
      <w:r>
        <w:rPr>
          <w:rFonts w:hint="eastAsia"/>
          <w:highlight w:val="none"/>
        </w:rPr>
        <w:t>m</w:t>
      </w:r>
      <w:r>
        <w:rPr>
          <w:rFonts w:hint="eastAsia"/>
          <w:highlight w:val="none"/>
          <w:vertAlign w:val="superscript"/>
        </w:rPr>
        <w:t>3</w:t>
      </w:r>
      <w:r>
        <w:rPr>
          <w:rFonts w:hint="eastAsia"/>
          <w:highlight w:val="none"/>
        </w:rPr>
        <w:t>/a），则排水量为</w:t>
      </w:r>
      <w:r>
        <w:rPr>
          <w:rFonts w:hint="eastAsia"/>
          <w:highlight w:val="none"/>
          <w:lang w:val="en-US" w:eastAsia="zh-CN"/>
        </w:rPr>
        <w:t>24.49</w:t>
      </w:r>
      <w:r>
        <w:rPr>
          <w:rFonts w:hint="eastAsia"/>
          <w:highlight w:val="none"/>
        </w:rPr>
        <w:t>L/m</w:t>
      </w:r>
      <w:r>
        <w:rPr>
          <w:rFonts w:hint="eastAsia"/>
          <w:highlight w:val="none"/>
          <w:vertAlign w:val="superscript"/>
        </w:rPr>
        <w:t>2</w:t>
      </w:r>
      <w:r>
        <w:rPr>
          <w:rFonts w:hint="eastAsia"/>
          <w:highlight w:val="none"/>
        </w:rPr>
        <w:t>（镀件镀层），小于基准排水量，满足《电镀污染物排放标准》（GB21900-2008）表2要求。</w:t>
      </w:r>
    </w:p>
    <w:p w14:paraId="4C2402D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3.2.6.4总量控制</w:t>
      </w:r>
    </w:p>
    <w:p w14:paraId="1C8EB8F2">
      <w:pPr>
        <w:ind w:firstLine="480"/>
        <w:rPr>
          <w:highlight w:val="none"/>
        </w:rPr>
      </w:pPr>
      <w:r>
        <w:rPr>
          <w:rFonts w:hint="eastAsia"/>
          <w:highlight w:val="none"/>
        </w:rPr>
        <w:t>根据本项目废水产生量以及总排口、</w:t>
      </w:r>
      <w:r>
        <w:rPr>
          <w:rFonts w:hint="eastAsia"/>
          <w:highlight w:val="none"/>
          <w:lang w:val="en-US" w:eastAsia="zh-CN"/>
        </w:rPr>
        <w:t>获嘉县同盟污水处理厂</w:t>
      </w:r>
      <w:r>
        <w:rPr>
          <w:rFonts w:hint="eastAsia"/>
          <w:highlight w:val="none"/>
        </w:rPr>
        <w:t>的出水水质，可以计算出本项目废水污染物产排情况见下表。</w:t>
      </w:r>
    </w:p>
    <w:p w14:paraId="2A59DB8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highlight w:val="none"/>
        </w:rPr>
      </w:pPr>
      <w:r>
        <w:rPr>
          <w:rFonts w:hint="eastAsia"/>
          <w:highlight w:val="none"/>
        </w:rPr>
        <w:t>表</w:t>
      </w:r>
      <w:r>
        <w:rPr>
          <w:rFonts w:hint="eastAsia"/>
          <w:highlight w:val="none"/>
          <w:lang w:val="en-US" w:eastAsia="zh-CN"/>
        </w:rPr>
        <w:t>3.6-20</w:t>
      </w:r>
      <w:r>
        <w:rPr>
          <w:rFonts w:hint="eastAsia"/>
          <w:highlight w:val="none"/>
        </w:rPr>
        <w:t xml:space="preserve">   </w:t>
      </w:r>
      <w:r>
        <w:rPr>
          <w:rFonts w:hint="eastAsia"/>
          <w:highlight w:val="none"/>
          <w:lang w:val="en-US" w:eastAsia="zh-CN"/>
        </w:rPr>
        <w:t xml:space="preserve"> </w:t>
      </w:r>
      <w:r>
        <w:rPr>
          <w:rFonts w:hint="eastAsia"/>
          <w:highlight w:val="none"/>
        </w:rPr>
        <w:t>废水污染物产排情况              单位：t/a</w:t>
      </w:r>
    </w:p>
    <w:tbl>
      <w:tblPr>
        <w:tblStyle w:val="39"/>
        <w:tblW w:w="482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87"/>
        <w:gridCol w:w="1440"/>
        <w:gridCol w:w="1598"/>
        <w:gridCol w:w="1598"/>
        <w:gridCol w:w="2010"/>
      </w:tblGrid>
      <w:tr w14:paraId="7328C2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63" w:type="pct"/>
            <w:vAlign w:val="center"/>
          </w:tcPr>
          <w:p w14:paraId="338BCB74">
            <w:pPr>
              <w:pStyle w:val="81"/>
              <w:spacing w:line="240" w:lineRule="auto"/>
              <w:rPr>
                <w:color w:val="auto"/>
                <w:sz w:val="21"/>
                <w:szCs w:val="21"/>
                <w:highlight w:val="none"/>
              </w:rPr>
            </w:pPr>
            <w:r>
              <w:rPr>
                <w:rFonts w:hint="eastAsia"/>
                <w:color w:val="auto"/>
                <w:sz w:val="21"/>
                <w:szCs w:val="21"/>
                <w:highlight w:val="none"/>
              </w:rPr>
              <w:t>污染物</w:t>
            </w:r>
          </w:p>
        </w:tc>
        <w:tc>
          <w:tcPr>
            <w:tcW w:w="874" w:type="pct"/>
            <w:vAlign w:val="center"/>
          </w:tcPr>
          <w:p w14:paraId="1508FECE">
            <w:pPr>
              <w:pStyle w:val="81"/>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产生量</w:t>
            </w:r>
          </w:p>
        </w:tc>
        <w:tc>
          <w:tcPr>
            <w:tcW w:w="970" w:type="pct"/>
            <w:vAlign w:val="center"/>
          </w:tcPr>
          <w:p w14:paraId="1523DA43">
            <w:pPr>
              <w:pStyle w:val="81"/>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削减量</w:t>
            </w:r>
          </w:p>
        </w:tc>
        <w:tc>
          <w:tcPr>
            <w:tcW w:w="970" w:type="pct"/>
            <w:vAlign w:val="center"/>
          </w:tcPr>
          <w:p w14:paraId="1B790360">
            <w:pPr>
              <w:pStyle w:val="81"/>
              <w:spacing w:line="240" w:lineRule="auto"/>
              <w:rPr>
                <w:color w:val="auto"/>
                <w:sz w:val="21"/>
                <w:szCs w:val="21"/>
                <w:highlight w:val="none"/>
              </w:rPr>
            </w:pPr>
            <w:r>
              <w:rPr>
                <w:rFonts w:hint="eastAsia"/>
                <w:color w:val="auto"/>
                <w:sz w:val="21"/>
                <w:szCs w:val="21"/>
                <w:highlight w:val="none"/>
              </w:rPr>
              <w:t>排放量</w:t>
            </w:r>
          </w:p>
          <w:p w14:paraId="0C8334D9">
            <w:pPr>
              <w:pStyle w:val="81"/>
              <w:spacing w:line="240" w:lineRule="auto"/>
              <w:rPr>
                <w:color w:val="auto"/>
                <w:sz w:val="21"/>
                <w:szCs w:val="21"/>
                <w:highlight w:val="none"/>
              </w:rPr>
            </w:pPr>
            <w:r>
              <w:rPr>
                <w:rFonts w:hint="eastAsia"/>
                <w:color w:val="auto"/>
                <w:sz w:val="21"/>
                <w:szCs w:val="21"/>
                <w:highlight w:val="none"/>
              </w:rPr>
              <w:t>（总排口）</w:t>
            </w:r>
          </w:p>
        </w:tc>
        <w:tc>
          <w:tcPr>
            <w:tcW w:w="1220" w:type="pct"/>
            <w:vAlign w:val="center"/>
          </w:tcPr>
          <w:p w14:paraId="2CF5F79B">
            <w:pPr>
              <w:pStyle w:val="81"/>
              <w:spacing w:line="240" w:lineRule="auto"/>
              <w:rPr>
                <w:color w:val="auto"/>
                <w:sz w:val="21"/>
                <w:szCs w:val="21"/>
                <w:highlight w:val="none"/>
              </w:rPr>
            </w:pPr>
            <w:r>
              <w:rPr>
                <w:rFonts w:hint="eastAsia"/>
                <w:color w:val="auto"/>
                <w:sz w:val="21"/>
                <w:szCs w:val="21"/>
                <w:highlight w:val="none"/>
              </w:rPr>
              <w:t>排放量（</w:t>
            </w:r>
            <w:r>
              <w:rPr>
                <w:rFonts w:hint="eastAsia"/>
                <w:sz w:val="21"/>
                <w:szCs w:val="21"/>
                <w:highlight w:val="none"/>
                <w:lang w:val="en-US" w:eastAsia="zh-CN"/>
              </w:rPr>
              <w:t>获嘉县同盟污水处理</w:t>
            </w:r>
            <w:r>
              <w:rPr>
                <w:rFonts w:hint="eastAsia"/>
                <w:color w:val="auto"/>
                <w:sz w:val="21"/>
                <w:szCs w:val="21"/>
                <w:highlight w:val="none"/>
              </w:rPr>
              <w:t>厂出口）</w:t>
            </w:r>
          </w:p>
        </w:tc>
      </w:tr>
      <w:tr w14:paraId="650331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63" w:type="pct"/>
            <w:vAlign w:val="center"/>
          </w:tcPr>
          <w:p w14:paraId="7DBFAC12">
            <w:pPr>
              <w:pStyle w:val="75"/>
              <w:spacing w:line="240" w:lineRule="auto"/>
              <w:rPr>
                <w:sz w:val="21"/>
                <w:szCs w:val="21"/>
                <w:highlight w:val="none"/>
              </w:rPr>
            </w:pPr>
            <w:r>
              <w:rPr>
                <w:rFonts w:hint="eastAsia"/>
                <w:sz w:val="21"/>
                <w:szCs w:val="21"/>
                <w:highlight w:val="none"/>
              </w:rPr>
              <w:t>COD</w:t>
            </w:r>
          </w:p>
        </w:tc>
        <w:tc>
          <w:tcPr>
            <w:tcW w:w="1440" w:type="dxa"/>
            <w:vAlign w:val="center"/>
          </w:tcPr>
          <w:p w14:paraId="3D392C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cs="Times New Roman"/>
                <w:i w:val="0"/>
                <w:iCs w:val="0"/>
                <w:color w:val="000000"/>
                <w:kern w:val="0"/>
                <w:sz w:val="21"/>
                <w:szCs w:val="21"/>
                <w:highlight w:val="none"/>
                <w:u w:val="none"/>
                <w:lang w:val="en-US" w:eastAsia="zh-CN" w:bidi="ar"/>
              </w:rPr>
              <w:t>15.8459</w:t>
            </w:r>
          </w:p>
        </w:tc>
        <w:tc>
          <w:tcPr>
            <w:tcW w:w="1598" w:type="dxa"/>
            <w:vAlign w:val="center"/>
          </w:tcPr>
          <w:p w14:paraId="555B85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10.9395</w:t>
            </w:r>
          </w:p>
        </w:tc>
        <w:tc>
          <w:tcPr>
            <w:tcW w:w="1598" w:type="dxa"/>
            <w:shd w:val="clear" w:color="auto" w:fill="auto"/>
            <w:vAlign w:val="center"/>
          </w:tcPr>
          <w:p w14:paraId="331A81D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4.9064</w:t>
            </w:r>
          </w:p>
        </w:tc>
        <w:tc>
          <w:tcPr>
            <w:tcW w:w="2010" w:type="dxa"/>
            <w:vAlign w:val="center"/>
          </w:tcPr>
          <w:p w14:paraId="393FF0B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1.5895</w:t>
            </w:r>
          </w:p>
        </w:tc>
      </w:tr>
      <w:tr w14:paraId="35C1A3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63" w:type="pct"/>
            <w:vAlign w:val="center"/>
          </w:tcPr>
          <w:p w14:paraId="46943625">
            <w:pPr>
              <w:pStyle w:val="75"/>
              <w:spacing w:line="240" w:lineRule="auto"/>
              <w:rPr>
                <w:sz w:val="21"/>
                <w:szCs w:val="21"/>
                <w:highlight w:val="none"/>
              </w:rPr>
            </w:pPr>
            <w:r>
              <w:rPr>
                <w:rFonts w:hint="eastAsia"/>
                <w:sz w:val="21"/>
                <w:szCs w:val="21"/>
                <w:highlight w:val="none"/>
              </w:rPr>
              <w:t>氨氮</w:t>
            </w:r>
          </w:p>
        </w:tc>
        <w:tc>
          <w:tcPr>
            <w:tcW w:w="1440" w:type="dxa"/>
            <w:vAlign w:val="center"/>
          </w:tcPr>
          <w:p w14:paraId="3EEE13E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0.6135</w:t>
            </w:r>
          </w:p>
        </w:tc>
        <w:tc>
          <w:tcPr>
            <w:tcW w:w="1598" w:type="dxa"/>
            <w:vAlign w:val="center"/>
          </w:tcPr>
          <w:p w14:paraId="4E7ED6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0.1207</w:t>
            </w:r>
          </w:p>
        </w:tc>
        <w:tc>
          <w:tcPr>
            <w:tcW w:w="1598" w:type="dxa"/>
            <w:vAlign w:val="center"/>
          </w:tcPr>
          <w:p w14:paraId="72E91C2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0.4928</w:t>
            </w:r>
          </w:p>
        </w:tc>
        <w:tc>
          <w:tcPr>
            <w:tcW w:w="2010" w:type="dxa"/>
            <w:vAlign w:val="center"/>
          </w:tcPr>
          <w:p w14:paraId="5071B88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0.0795</w:t>
            </w:r>
          </w:p>
        </w:tc>
      </w:tr>
      <w:tr w14:paraId="5C4586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63" w:type="pct"/>
            <w:vAlign w:val="center"/>
          </w:tcPr>
          <w:p w14:paraId="60B23037">
            <w:pPr>
              <w:pStyle w:val="75"/>
              <w:spacing w:line="240" w:lineRule="auto"/>
              <w:rPr>
                <w:sz w:val="21"/>
                <w:szCs w:val="21"/>
                <w:highlight w:val="none"/>
              </w:rPr>
            </w:pPr>
            <w:r>
              <w:rPr>
                <w:rFonts w:hint="eastAsia"/>
                <w:sz w:val="21"/>
                <w:szCs w:val="21"/>
                <w:highlight w:val="none"/>
              </w:rPr>
              <w:t>TP</w:t>
            </w:r>
          </w:p>
        </w:tc>
        <w:tc>
          <w:tcPr>
            <w:tcW w:w="1440" w:type="dxa"/>
            <w:vAlign w:val="center"/>
          </w:tcPr>
          <w:p w14:paraId="2EF0A98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0.0687</w:t>
            </w:r>
          </w:p>
        </w:tc>
        <w:tc>
          <w:tcPr>
            <w:tcW w:w="1598" w:type="dxa"/>
            <w:vAlign w:val="center"/>
          </w:tcPr>
          <w:p w14:paraId="61A4DA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0.0316</w:t>
            </w:r>
          </w:p>
        </w:tc>
        <w:tc>
          <w:tcPr>
            <w:tcW w:w="1598" w:type="dxa"/>
            <w:vAlign w:val="center"/>
          </w:tcPr>
          <w:p w14:paraId="0C695D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0.0371</w:t>
            </w:r>
          </w:p>
        </w:tc>
        <w:tc>
          <w:tcPr>
            <w:tcW w:w="2010" w:type="dxa"/>
            <w:vAlign w:val="center"/>
          </w:tcPr>
          <w:p w14:paraId="7353433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0.0159</w:t>
            </w:r>
          </w:p>
        </w:tc>
      </w:tr>
      <w:tr w14:paraId="6D2ABC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63" w:type="pct"/>
            <w:vAlign w:val="center"/>
          </w:tcPr>
          <w:p w14:paraId="723EB142">
            <w:pPr>
              <w:pStyle w:val="75"/>
              <w:spacing w:line="240" w:lineRule="auto"/>
              <w:rPr>
                <w:sz w:val="21"/>
                <w:szCs w:val="21"/>
                <w:highlight w:val="none"/>
              </w:rPr>
            </w:pPr>
            <w:r>
              <w:rPr>
                <w:rFonts w:hint="eastAsia"/>
                <w:sz w:val="21"/>
                <w:szCs w:val="21"/>
                <w:highlight w:val="none"/>
              </w:rPr>
              <w:t>TN</w:t>
            </w:r>
          </w:p>
        </w:tc>
        <w:tc>
          <w:tcPr>
            <w:tcW w:w="1440" w:type="dxa"/>
            <w:vAlign w:val="center"/>
          </w:tcPr>
          <w:p w14:paraId="6A23170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0.7293</w:t>
            </w:r>
          </w:p>
        </w:tc>
        <w:tc>
          <w:tcPr>
            <w:tcW w:w="1598" w:type="dxa"/>
            <w:vAlign w:val="center"/>
          </w:tcPr>
          <w:p w14:paraId="5F3750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0.1465</w:t>
            </w:r>
          </w:p>
        </w:tc>
        <w:tc>
          <w:tcPr>
            <w:tcW w:w="1598" w:type="dxa"/>
            <w:vAlign w:val="center"/>
          </w:tcPr>
          <w:p w14:paraId="681E83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0.5828</w:t>
            </w:r>
          </w:p>
        </w:tc>
        <w:tc>
          <w:tcPr>
            <w:tcW w:w="2010" w:type="dxa"/>
            <w:vAlign w:val="center"/>
          </w:tcPr>
          <w:p w14:paraId="79EBFB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6CDB3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63" w:type="pct"/>
            <w:vAlign w:val="center"/>
          </w:tcPr>
          <w:p w14:paraId="1BA0C5B9">
            <w:pPr>
              <w:pStyle w:val="75"/>
              <w:spacing w:line="240" w:lineRule="auto"/>
              <w:rPr>
                <w:sz w:val="21"/>
                <w:szCs w:val="21"/>
                <w:highlight w:val="none"/>
              </w:rPr>
            </w:pPr>
            <w:r>
              <w:rPr>
                <w:rFonts w:hint="eastAsia"/>
                <w:sz w:val="21"/>
                <w:szCs w:val="21"/>
                <w:highlight w:val="none"/>
              </w:rPr>
              <w:t>水量（t/a）</w:t>
            </w:r>
          </w:p>
        </w:tc>
        <w:tc>
          <w:tcPr>
            <w:tcW w:w="874" w:type="pct"/>
            <w:vAlign w:val="center"/>
          </w:tcPr>
          <w:p w14:paraId="01CE0A46">
            <w:pPr>
              <w:pStyle w:val="75"/>
              <w:spacing w:line="240" w:lineRule="auto"/>
              <w:rPr>
                <w:rFonts w:hint="default" w:eastAsia="宋体"/>
                <w:bCs/>
                <w:sz w:val="21"/>
                <w:szCs w:val="21"/>
                <w:highlight w:val="none"/>
                <w:lang w:val="en-US" w:eastAsia="zh-CN"/>
              </w:rPr>
            </w:pPr>
            <w:r>
              <w:rPr>
                <w:rFonts w:hint="eastAsia"/>
                <w:bCs/>
                <w:sz w:val="21"/>
                <w:szCs w:val="21"/>
                <w:highlight w:val="none"/>
                <w:lang w:val="en-US" w:eastAsia="zh-CN"/>
              </w:rPr>
              <w:t>52984.5</w:t>
            </w:r>
          </w:p>
        </w:tc>
        <w:tc>
          <w:tcPr>
            <w:tcW w:w="1598" w:type="dxa"/>
            <w:vAlign w:val="center"/>
          </w:tcPr>
          <w:p w14:paraId="586CDE8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eastAsia="宋体"/>
                <w:bCs/>
                <w:sz w:val="21"/>
                <w:szCs w:val="21"/>
                <w:highlight w:val="none"/>
                <w:lang w:val="en-US" w:eastAsia="zh-CN"/>
              </w:rPr>
            </w:pPr>
            <w:r>
              <w:rPr>
                <w:rFonts w:hint="eastAsia" w:cs="Times New Roman"/>
                <w:bCs/>
                <w:sz w:val="21"/>
                <w:szCs w:val="21"/>
                <w:highlight w:val="none"/>
                <w:lang w:val="en-US" w:eastAsia="zh-CN"/>
              </w:rPr>
              <w:t>/</w:t>
            </w:r>
          </w:p>
        </w:tc>
        <w:tc>
          <w:tcPr>
            <w:tcW w:w="970" w:type="pct"/>
            <w:vAlign w:val="center"/>
          </w:tcPr>
          <w:p w14:paraId="63A16BE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sz w:val="21"/>
                <w:szCs w:val="21"/>
                <w:highlight w:val="none"/>
                <w:lang w:val="en-US" w:eastAsia="zh-CN"/>
              </w:rPr>
            </w:pPr>
            <w:r>
              <w:rPr>
                <w:rFonts w:hint="eastAsia" w:cs="Times New Roman"/>
                <w:bCs/>
                <w:sz w:val="21"/>
                <w:szCs w:val="21"/>
                <w:highlight w:val="none"/>
                <w:lang w:val="en-US" w:eastAsia="zh-CN"/>
              </w:rPr>
              <w:t>52984.5</w:t>
            </w:r>
          </w:p>
        </w:tc>
        <w:tc>
          <w:tcPr>
            <w:tcW w:w="1220" w:type="pct"/>
            <w:vAlign w:val="center"/>
          </w:tcPr>
          <w:p w14:paraId="4CF1A1DB">
            <w:pPr>
              <w:pStyle w:val="75"/>
              <w:spacing w:line="240" w:lineRule="auto"/>
              <w:rPr>
                <w:rFonts w:hint="default"/>
                <w:bCs/>
                <w:sz w:val="21"/>
                <w:szCs w:val="21"/>
                <w:highlight w:val="none"/>
                <w:lang w:val="en-US"/>
              </w:rPr>
            </w:pPr>
            <w:r>
              <w:rPr>
                <w:rFonts w:hint="eastAsia"/>
                <w:sz w:val="21"/>
                <w:szCs w:val="21"/>
                <w:highlight w:val="none"/>
                <w:lang w:val="en-US" w:eastAsia="zh-CN"/>
              </w:rPr>
              <w:t>52984.5</w:t>
            </w:r>
          </w:p>
        </w:tc>
      </w:tr>
    </w:tbl>
    <w:p w14:paraId="118A6A87">
      <w:pPr>
        <w:pStyle w:val="13"/>
        <w:spacing w:line="240" w:lineRule="auto"/>
        <w:ind w:firstLine="420"/>
        <w:rPr>
          <w:rFonts w:hint="default" w:ascii="Times New Roman" w:hAnsi="Times New Roman" w:eastAsia="宋体" w:cs="Times New Roman"/>
          <w:b/>
          <w:bCs w:val="0"/>
          <w:highlight w:val="none"/>
        </w:rPr>
      </w:pPr>
      <w:r>
        <w:rPr>
          <w:rFonts w:hint="default" w:ascii="Times New Roman" w:hAnsi="Times New Roman" w:eastAsia="宋体" w:cs="Times New Roman"/>
          <w:b/>
          <w:bCs w:val="0"/>
          <w:highlight w:val="none"/>
        </w:rPr>
        <w:t>注：*由于获嘉县同盟污水处理厂出水TN因子高于厂区出厂水质，因此污水处理厂出水总量以厂区总排口总量计。</w:t>
      </w:r>
    </w:p>
    <w:p w14:paraId="2B51E3C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3.6.3噪声</w:t>
      </w:r>
    </w:p>
    <w:p w14:paraId="30F6E28E">
      <w:pPr>
        <w:pStyle w:val="72"/>
        <w:rPr>
          <w:color w:val="000000" w:themeColor="text1"/>
          <w14:textFill>
            <w14:solidFill>
              <w14:schemeClr w14:val="tx1"/>
            </w14:solidFill>
          </w14:textFill>
        </w:rPr>
      </w:pPr>
      <w:r>
        <w:rPr>
          <w:rFonts w:hint="eastAsia"/>
          <w:color w:val="000000" w:themeColor="text1"/>
          <w14:textFill>
            <w14:solidFill>
              <w14:schemeClr w14:val="tx1"/>
            </w14:solidFill>
          </w14:textFill>
        </w:rPr>
        <w:t>本项目高噪声源主要为冲床、空压机、</w:t>
      </w:r>
      <w:r>
        <w:rPr>
          <w:rFonts w:hint="eastAsia"/>
          <w:color w:val="000000" w:themeColor="text1"/>
          <w:lang w:val="en-US" w:eastAsia="zh-CN"/>
          <w14:textFill>
            <w14:solidFill>
              <w14:schemeClr w14:val="tx1"/>
            </w14:solidFill>
          </w14:textFill>
        </w:rPr>
        <w:t>包装机及</w:t>
      </w:r>
      <w:r>
        <w:rPr>
          <w:rFonts w:hint="eastAsia"/>
          <w:color w:val="000000" w:themeColor="text1"/>
          <w14:textFill>
            <w14:solidFill>
              <w14:schemeClr w14:val="tx1"/>
            </w14:solidFill>
          </w14:textFill>
        </w:rPr>
        <w:t>环保风机等，本项目</w:t>
      </w:r>
      <w:r>
        <w:rPr>
          <w:color w:val="000000" w:themeColor="text1"/>
          <w14:textFill>
            <w14:solidFill>
              <w14:schemeClr w14:val="tx1"/>
            </w14:solidFill>
          </w14:textFill>
        </w:rPr>
        <w:t>高噪声设备及其降噪措施</w:t>
      </w:r>
      <w:r>
        <w:rPr>
          <w:rFonts w:hint="eastAsia"/>
          <w:color w:val="000000" w:themeColor="text1"/>
          <w14:textFill>
            <w14:solidFill>
              <w14:schemeClr w14:val="tx1"/>
            </w14:solidFill>
          </w14:textFill>
        </w:rPr>
        <w:t>见表</w:t>
      </w:r>
      <w:r>
        <w:rPr>
          <w:rFonts w:hint="eastAsia"/>
          <w:color w:val="000000" w:themeColor="text1"/>
          <w:lang w:val="en-US" w:eastAsia="zh-CN"/>
          <w14:textFill>
            <w14:solidFill>
              <w14:schemeClr w14:val="tx1"/>
            </w14:solidFill>
          </w14:textFill>
        </w:rPr>
        <w:t>3.6-21</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3.6-22</w:t>
      </w:r>
      <w:r>
        <w:rPr>
          <w:color w:val="000000" w:themeColor="text1"/>
          <w14:textFill>
            <w14:solidFill>
              <w14:schemeClr w14:val="tx1"/>
            </w14:solidFill>
          </w14:textFill>
        </w:rPr>
        <w:t>。</w:t>
      </w:r>
    </w:p>
    <w:p w14:paraId="313AF6EA">
      <w:pPr>
        <w:pStyle w:val="72"/>
        <w:ind w:left="0" w:leftChars="0" w:firstLine="0" w:firstLineChars="0"/>
        <w:jc w:val="center"/>
        <w:rPr>
          <w:rFonts w:hint="eastAsia"/>
          <w:b/>
          <w:bCs/>
        </w:rPr>
      </w:pPr>
      <w:r>
        <w:rPr>
          <w:rFonts w:hint="eastAsia"/>
          <w:b/>
          <w:bCs/>
        </w:rPr>
        <w:t>表</w:t>
      </w:r>
      <w:r>
        <w:rPr>
          <w:rFonts w:hint="eastAsia"/>
          <w:b/>
          <w:bCs/>
          <w:lang w:val="en-US" w:eastAsia="zh-CN"/>
        </w:rPr>
        <w:t>3.6-21</w:t>
      </w:r>
      <w:r>
        <w:rPr>
          <w:rFonts w:hint="eastAsia"/>
          <w:b/>
          <w:bCs/>
        </w:rPr>
        <w:t xml:space="preserve">     工业企业噪声源强调查清单（室外声源）</w:t>
      </w:r>
    </w:p>
    <w:tbl>
      <w:tblPr>
        <w:tblStyle w:val="39"/>
        <w:tblW w:w="507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7"/>
        <w:gridCol w:w="660"/>
        <w:gridCol w:w="483"/>
        <w:gridCol w:w="1178"/>
        <w:gridCol w:w="658"/>
        <w:gridCol w:w="1131"/>
        <w:gridCol w:w="1160"/>
        <w:gridCol w:w="927"/>
        <w:gridCol w:w="766"/>
        <w:gridCol w:w="600"/>
        <w:gridCol w:w="700"/>
      </w:tblGrid>
      <w:tr w14:paraId="55B4D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397" w:type="dxa"/>
            <w:vMerge w:val="restart"/>
            <w:shd w:val="clear" w:color="auto" w:fill="auto"/>
            <w:vAlign w:val="center"/>
          </w:tcPr>
          <w:p w14:paraId="4F8B90B7">
            <w:pPr>
              <w:pStyle w:val="13"/>
              <w:spacing w:line="240" w:lineRule="auto"/>
              <w:ind w:firstLine="0" w:firstLineChars="0"/>
              <w:jc w:val="center"/>
              <w:rPr>
                <w:szCs w:val="21"/>
              </w:rPr>
            </w:pPr>
            <w:r>
              <w:rPr>
                <w:rFonts w:hint="eastAsia"/>
                <w:szCs w:val="21"/>
              </w:rPr>
              <w:t>序号</w:t>
            </w:r>
          </w:p>
        </w:tc>
        <w:tc>
          <w:tcPr>
            <w:tcW w:w="660" w:type="dxa"/>
            <w:vMerge w:val="restart"/>
            <w:shd w:val="clear" w:color="auto" w:fill="auto"/>
            <w:vAlign w:val="center"/>
          </w:tcPr>
          <w:p w14:paraId="58952129">
            <w:pPr>
              <w:pStyle w:val="13"/>
              <w:spacing w:line="240" w:lineRule="auto"/>
              <w:ind w:firstLine="0" w:firstLineChars="0"/>
              <w:jc w:val="center"/>
              <w:rPr>
                <w:szCs w:val="21"/>
              </w:rPr>
            </w:pPr>
            <w:r>
              <w:rPr>
                <w:szCs w:val="21"/>
              </w:rPr>
              <w:t>声源名称</w:t>
            </w:r>
          </w:p>
        </w:tc>
        <w:tc>
          <w:tcPr>
            <w:tcW w:w="483" w:type="dxa"/>
            <w:vMerge w:val="restart"/>
            <w:shd w:val="clear" w:color="auto" w:fill="auto"/>
            <w:vAlign w:val="center"/>
          </w:tcPr>
          <w:p w14:paraId="1E50AF27">
            <w:pPr>
              <w:pStyle w:val="13"/>
              <w:spacing w:line="240" w:lineRule="auto"/>
              <w:ind w:firstLine="0" w:firstLineChars="0"/>
              <w:jc w:val="center"/>
              <w:rPr>
                <w:szCs w:val="21"/>
              </w:rPr>
            </w:pPr>
            <w:r>
              <w:rPr>
                <w:szCs w:val="21"/>
              </w:rPr>
              <w:t>型号</w:t>
            </w:r>
          </w:p>
        </w:tc>
        <w:tc>
          <w:tcPr>
            <w:tcW w:w="1178" w:type="dxa"/>
            <w:vMerge w:val="restart"/>
            <w:shd w:val="clear" w:color="auto" w:fill="auto"/>
            <w:vAlign w:val="center"/>
          </w:tcPr>
          <w:p w14:paraId="45219799">
            <w:pPr>
              <w:pStyle w:val="81"/>
              <w:adjustRightInd w:val="0"/>
              <w:snapToGrid w:val="0"/>
              <w:rPr>
                <w:rFonts w:cs="Times New Roman"/>
                <w:color w:val="auto"/>
                <w:szCs w:val="21"/>
              </w:rPr>
            </w:pPr>
            <w:r>
              <w:rPr>
                <w:rFonts w:cs="Times New Roman"/>
                <w:color w:val="auto"/>
                <w:szCs w:val="21"/>
              </w:rPr>
              <w:t>(声压级/距声源距离)/([dB(A)]/m)</w:t>
            </w:r>
          </w:p>
        </w:tc>
        <w:tc>
          <w:tcPr>
            <w:tcW w:w="658" w:type="dxa"/>
            <w:vMerge w:val="restart"/>
            <w:shd w:val="clear" w:color="auto" w:fill="auto"/>
            <w:vAlign w:val="center"/>
          </w:tcPr>
          <w:p w14:paraId="476A75D9">
            <w:pPr>
              <w:pStyle w:val="81"/>
              <w:adjustRightInd w:val="0"/>
              <w:snapToGrid w:val="0"/>
              <w:rPr>
                <w:rFonts w:cs="Times New Roman"/>
                <w:color w:val="auto"/>
                <w:szCs w:val="21"/>
              </w:rPr>
            </w:pPr>
            <w:r>
              <w:rPr>
                <w:rFonts w:cs="Times New Roman"/>
                <w:color w:val="auto"/>
                <w:szCs w:val="21"/>
              </w:rPr>
              <w:t>数量(台)</w:t>
            </w:r>
          </w:p>
        </w:tc>
        <w:tc>
          <w:tcPr>
            <w:tcW w:w="1131" w:type="dxa"/>
            <w:vMerge w:val="restart"/>
            <w:shd w:val="clear" w:color="auto" w:fill="auto"/>
            <w:vAlign w:val="center"/>
          </w:tcPr>
          <w:p w14:paraId="76B612DE">
            <w:pPr>
              <w:pStyle w:val="81"/>
              <w:adjustRightInd w:val="0"/>
              <w:snapToGrid w:val="0"/>
              <w:rPr>
                <w:rFonts w:cs="Times New Roman"/>
                <w:color w:val="auto"/>
                <w:szCs w:val="21"/>
              </w:rPr>
            </w:pPr>
            <w:r>
              <w:rPr>
                <w:rFonts w:cs="Times New Roman"/>
                <w:color w:val="auto"/>
                <w:szCs w:val="21"/>
              </w:rPr>
              <w:t>声源控制措施</w:t>
            </w:r>
          </w:p>
        </w:tc>
        <w:tc>
          <w:tcPr>
            <w:tcW w:w="1160" w:type="dxa"/>
            <w:vMerge w:val="restart"/>
            <w:shd w:val="clear" w:color="auto" w:fill="auto"/>
            <w:vAlign w:val="center"/>
          </w:tcPr>
          <w:p w14:paraId="6C465BBC">
            <w:pPr>
              <w:pStyle w:val="81"/>
              <w:adjustRightInd w:val="0"/>
              <w:snapToGrid w:val="0"/>
              <w:rPr>
                <w:rFonts w:cs="Times New Roman"/>
                <w:color w:val="auto"/>
                <w:szCs w:val="21"/>
              </w:rPr>
            </w:pPr>
            <w:r>
              <w:rPr>
                <w:rFonts w:cs="Times New Roman"/>
                <w:color w:val="auto"/>
                <w:szCs w:val="21"/>
              </w:rPr>
              <w:t>治理后声压级[dB(A)]</w:t>
            </w:r>
          </w:p>
        </w:tc>
        <w:tc>
          <w:tcPr>
            <w:tcW w:w="2293" w:type="dxa"/>
            <w:gridSpan w:val="3"/>
            <w:shd w:val="clear" w:color="auto" w:fill="auto"/>
            <w:vAlign w:val="center"/>
          </w:tcPr>
          <w:p w14:paraId="2140E482">
            <w:pPr>
              <w:pStyle w:val="81"/>
              <w:adjustRightInd w:val="0"/>
              <w:snapToGrid w:val="0"/>
              <w:rPr>
                <w:rFonts w:cs="Times New Roman"/>
                <w:color w:val="auto"/>
                <w:szCs w:val="21"/>
              </w:rPr>
            </w:pPr>
            <w:r>
              <w:rPr>
                <w:rFonts w:cs="Times New Roman"/>
                <w:color w:val="auto"/>
                <w:szCs w:val="21"/>
              </w:rPr>
              <w:t>空间相对位置/m</w:t>
            </w:r>
          </w:p>
        </w:tc>
        <w:tc>
          <w:tcPr>
            <w:tcW w:w="700" w:type="dxa"/>
            <w:vMerge w:val="restart"/>
            <w:shd w:val="clear" w:color="auto" w:fill="auto"/>
            <w:vAlign w:val="center"/>
          </w:tcPr>
          <w:p w14:paraId="4E820ECB">
            <w:pPr>
              <w:pStyle w:val="81"/>
              <w:adjustRightInd w:val="0"/>
              <w:snapToGrid w:val="0"/>
              <w:rPr>
                <w:color w:val="auto"/>
                <w:szCs w:val="21"/>
              </w:rPr>
            </w:pPr>
            <w:r>
              <w:rPr>
                <w:rFonts w:cs="Times New Roman"/>
                <w:color w:val="auto"/>
                <w:szCs w:val="21"/>
              </w:rPr>
              <w:t>运行时段</w:t>
            </w:r>
          </w:p>
        </w:tc>
      </w:tr>
      <w:tr w14:paraId="64B4D2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397" w:type="dxa"/>
            <w:vMerge w:val="continue"/>
            <w:shd w:val="clear" w:color="auto" w:fill="auto"/>
            <w:vAlign w:val="center"/>
          </w:tcPr>
          <w:p w14:paraId="2D52C3C1">
            <w:pPr>
              <w:pStyle w:val="13"/>
              <w:spacing w:line="240" w:lineRule="auto"/>
              <w:ind w:firstLine="0" w:firstLineChars="0"/>
              <w:jc w:val="center"/>
              <w:rPr>
                <w:b w:val="0"/>
                <w:szCs w:val="21"/>
              </w:rPr>
            </w:pPr>
          </w:p>
        </w:tc>
        <w:tc>
          <w:tcPr>
            <w:tcW w:w="660" w:type="dxa"/>
            <w:vMerge w:val="continue"/>
            <w:shd w:val="clear" w:color="auto" w:fill="auto"/>
            <w:vAlign w:val="center"/>
          </w:tcPr>
          <w:p w14:paraId="440F690C">
            <w:pPr>
              <w:pStyle w:val="13"/>
              <w:spacing w:line="240" w:lineRule="auto"/>
              <w:ind w:firstLine="0" w:firstLineChars="0"/>
              <w:jc w:val="center"/>
              <w:rPr>
                <w:b w:val="0"/>
                <w:szCs w:val="21"/>
              </w:rPr>
            </w:pPr>
          </w:p>
        </w:tc>
        <w:tc>
          <w:tcPr>
            <w:tcW w:w="483" w:type="dxa"/>
            <w:vMerge w:val="continue"/>
            <w:shd w:val="clear" w:color="auto" w:fill="auto"/>
            <w:vAlign w:val="center"/>
          </w:tcPr>
          <w:p w14:paraId="0E423A3A">
            <w:pPr>
              <w:pStyle w:val="13"/>
              <w:spacing w:line="240" w:lineRule="auto"/>
              <w:ind w:firstLine="0" w:firstLineChars="0"/>
              <w:jc w:val="center"/>
              <w:rPr>
                <w:b w:val="0"/>
                <w:szCs w:val="21"/>
              </w:rPr>
            </w:pPr>
          </w:p>
        </w:tc>
        <w:tc>
          <w:tcPr>
            <w:tcW w:w="1178" w:type="dxa"/>
            <w:vMerge w:val="continue"/>
            <w:shd w:val="clear" w:color="auto" w:fill="auto"/>
            <w:vAlign w:val="center"/>
          </w:tcPr>
          <w:p w14:paraId="20990C52">
            <w:pPr>
              <w:pStyle w:val="81"/>
              <w:adjustRightInd w:val="0"/>
              <w:snapToGrid w:val="0"/>
              <w:rPr>
                <w:rFonts w:cs="Times New Roman"/>
                <w:b w:val="0"/>
                <w:color w:val="auto"/>
                <w:szCs w:val="21"/>
              </w:rPr>
            </w:pPr>
          </w:p>
        </w:tc>
        <w:tc>
          <w:tcPr>
            <w:tcW w:w="658" w:type="dxa"/>
            <w:vMerge w:val="continue"/>
            <w:shd w:val="clear" w:color="auto" w:fill="auto"/>
            <w:vAlign w:val="center"/>
          </w:tcPr>
          <w:p w14:paraId="1F7CA966">
            <w:pPr>
              <w:pStyle w:val="81"/>
              <w:adjustRightInd w:val="0"/>
              <w:snapToGrid w:val="0"/>
              <w:rPr>
                <w:rFonts w:cs="Times New Roman"/>
                <w:b w:val="0"/>
                <w:color w:val="auto"/>
                <w:szCs w:val="21"/>
              </w:rPr>
            </w:pPr>
          </w:p>
        </w:tc>
        <w:tc>
          <w:tcPr>
            <w:tcW w:w="1131" w:type="dxa"/>
            <w:vMerge w:val="continue"/>
            <w:shd w:val="clear" w:color="auto" w:fill="auto"/>
            <w:vAlign w:val="center"/>
          </w:tcPr>
          <w:p w14:paraId="112EA613">
            <w:pPr>
              <w:pStyle w:val="81"/>
              <w:adjustRightInd w:val="0"/>
              <w:snapToGrid w:val="0"/>
              <w:rPr>
                <w:rFonts w:cs="Times New Roman"/>
                <w:b w:val="0"/>
                <w:color w:val="auto"/>
                <w:szCs w:val="21"/>
              </w:rPr>
            </w:pPr>
          </w:p>
        </w:tc>
        <w:tc>
          <w:tcPr>
            <w:tcW w:w="1160" w:type="dxa"/>
            <w:vMerge w:val="continue"/>
            <w:shd w:val="clear" w:color="auto" w:fill="auto"/>
            <w:vAlign w:val="center"/>
          </w:tcPr>
          <w:p w14:paraId="0BA3CFD2">
            <w:pPr>
              <w:pStyle w:val="81"/>
              <w:adjustRightInd w:val="0"/>
              <w:snapToGrid w:val="0"/>
              <w:rPr>
                <w:rFonts w:cs="Times New Roman"/>
                <w:b w:val="0"/>
                <w:color w:val="auto"/>
                <w:szCs w:val="21"/>
              </w:rPr>
            </w:pPr>
          </w:p>
        </w:tc>
        <w:tc>
          <w:tcPr>
            <w:tcW w:w="927" w:type="dxa"/>
            <w:shd w:val="clear" w:color="auto" w:fill="auto"/>
            <w:vAlign w:val="center"/>
          </w:tcPr>
          <w:p w14:paraId="73363285">
            <w:pPr>
              <w:pStyle w:val="81"/>
              <w:adjustRightInd w:val="0"/>
              <w:snapToGrid w:val="0"/>
              <w:rPr>
                <w:rFonts w:cs="Times New Roman"/>
                <w:color w:val="auto"/>
                <w:szCs w:val="21"/>
              </w:rPr>
            </w:pPr>
            <w:r>
              <w:rPr>
                <w:rFonts w:cs="Times New Roman"/>
                <w:color w:val="auto"/>
                <w:szCs w:val="21"/>
              </w:rPr>
              <w:t>X</w:t>
            </w:r>
          </w:p>
        </w:tc>
        <w:tc>
          <w:tcPr>
            <w:tcW w:w="766" w:type="dxa"/>
            <w:shd w:val="clear" w:color="auto" w:fill="auto"/>
            <w:vAlign w:val="center"/>
          </w:tcPr>
          <w:p w14:paraId="14C5C3BF">
            <w:pPr>
              <w:pStyle w:val="81"/>
              <w:adjustRightInd w:val="0"/>
              <w:snapToGrid w:val="0"/>
              <w:rPr>
                <w:rFonts w:cs="Times New Roman"/>
                <w:color w:val="auto"/>
                <w:szCs w:val="21"/>
              </w:rPr>
            </w:pPr>
            <w:r>
              <w:rPr>
                <w:rFonts w:cs="Times New Roman"/>
                <w:color w:val="auto"/>
                <w:szCs w:val="21"/>
              </w:rPr>
              <w:t>Y</w:t>
            </w:r>
          </w:p>
        </w:tc>
        <w:tc>
          <w:tcPr>
            <w:tcW w:w="600" w:type="dxa"/>
            <w:shd w:val="clear" w:color="auto" w:fill="auto"/>
            <w:vAlign w:val="center"/>
          </w:tcPr>
          <w:p w14:paraId="7D57A13A">
            <w:pPr>
              <w:pStyle w:val="81"/>
              <w:adjustRightInd w:val="0"/>
              <w:snapToGrid w:val="0"/>
              <w:rPr>
                <w:rFonts w:cs="Times New Roman"/>
                <w:color w:val="auto"/>
                <w:szCs w:val="21"/>
              </w:rPr>
            </w:pPr>
            <w:r>
              <w:rPr>
                <w:rFonts w:cs="Times New Roman"/>
                <w:color w:val="auto"/>
                <w:szCs w:val="21"/>
              </w:rPr>
              <w:t>Z</w:t>
            </w:r>
          </w:p>
        </w:tc>
        <w:tc>
          <w:tcPr>
            <w:tcW w:w="700" w:type="dxa"/>
            <w:vMerge w:val="continue"/>
            <w:shd w:val="clear" w:color="auto" w:fill="auto"/>
            <w:vAlign w:val="center"/>
          </w:tcPr>
          <w:p w14:paraId="4A8E6A66">
            <w:pPr>
              <w:pStyle w:val="81"/>
              <w:adjustRightInd w:val="0"/>
              <w:snapToGrid w:val="0"/>
              <w:rPr>
                <w:rFonts w:cs="Times New Roman"/>
                <w:b w:val="0"/>
                <w:color w:val="auto"/>
                <w:szCs w:val="21"/>
              </w:rPr>
            </w:pPr>
          </w:p>
        </w:tc>
      </w:tr>
      <w:tr w14:paraId="593749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397" w:type="dxa"/>
            <w:shd w:val="clear" w:color="auto" w:fill="auto"/>
            <w:vAlign w:val="center"/>
          </w:tcPr>
          <w:p w14:paraId="1684E1B2">
            <w:pPr>
              <w:pStyle w:val="13"/>
              <w:spacing w:line="240" w:lineRule="auto"/>
              <w:ind w:firstLine="0" w:firstLineChars="0"/>
              <w:jc w:val="center"/>
              <w:rPr>
                <w:b w:val="0"/>
                <w:szCs w:val="21"/>
              </w:rPr>
            </w:pPr>
            <w:r>
              <w:rPr>
                <w:b w:val="0"/>
                <w:szCs w:val="21"/>
              </w:rPr>
              <w:t>1</w:t>
            </w:r>
          </w:p>
        </w:tc>
        <w:tc>
          <w:tcPr>
            <w:tcW w:w="660" w:type="dxa"/>
            <w:shd w:val="clear" w:color="auto" w:fill="auto"/>
            <w:vAlign w:val="center"/>
          </w:tcPr>
          <w:p w14:paraId="189F8E7B">
            <w:pPr>
              <w:pStyle w:val="75"/>
              <w:adjustRightInd w:val="0"/>
              <w:snapToGrid w:val="0"/>
              <w:contextualSpacing w:val="0"/>
            </w:pPr>
            <w:r>
              <w:rPr>
                <w:rFonts w:hint="eastAsia"/>
              </w:rPr>
              <w:t>环保</w:t>
            </w:r>
            <w:r>
              <w:t>风机</w:t>
            </w:r>
          </w:p>
        </w:tc>
        <w:tc>
          <w:tcPr>
            <w:tcW w:w="483" w:type="dxa"/>
            <w:shd w:val="clear" w:color="auto" w:fill="auto"/>
            <w:vAlign w:val="center"/>
          </w:tcPr>
          <w:p w14:paraId="3903EE30">
            <w:pPr>
              <w:pStyle w:val="75"/>
              <w:adjustRightInd w:val="0"/>
              <w:snapToGrid w:val="0"/>
              <w:contextualSpacing w:val="0"/>
            </w:pPr>
            <w:r>
              <w:t>/</w:t>
            </w:r>
          </w:p>
        </w:tc>
        <w:tc>
          <w:tcPr>
            <w:tcW w:w="1178" w:type="dxa"/>
            <w:shd w:val="clear" w:color="auto" w:fill="auto"/>
            <w:vAlign w:val="center"/>
          </w:tcPr>
          <w:p w14:paraId="6FF74AC0">
            <w:pPr>
              <w:pStyle w:val="75"/>
              <w:adjustRightInd w:val="0"/>
              <w:snapToGrid w:val="0"/>
              <w:contextualSpacing w:val="0"/>
            </w:pPr>
            <w:r>
              <w:rPr>
                <w:rFonts w:hint="eastAsia"/>
              </w:rPr>
              <w:t>80</w:t>
            </w:r>
            <w:r>
              <w:t>/1</w:t>
            </w:r>
          </w:p>
        </w:tc>
        <w:tc>
          <w:tcPr>
            <w:tcW w:w="658" w:type="dxa"/>
            <w:shd w:val="clear" w:color="auto" w:fill="auto"/>
            <w:vAlign w:val="center"/>
          </w:tcPr>
          <w:p w14:paraId="6A3B78AD">
            <w:pPr>
              <w:pStyle w:val="75"/>
              <w:adjustRightInd w:val="0"/>
              <w:snapToGrid w:val="0"/>
              <w:contextualSpacing w:val="0"/>
              <w:rPr>
                <w:rFonts w:hint="eastAsia" w:eastAsia="宋体"/>
                <w:lang w:eastAsia="zh-CN"/>
              </w:rPr>
            </w:pPr>
            <w:r>
              <w:rPr>
                <w:rFonts w:hint="eastAsia"/>
                <w:lang w:val="en-US" w:eastAsia="zh-CN"/>
              </w:rPr>
              <w:t>1</w:t>
            </w:r>
          </w:p>
        </w:tc>
        <w:tc>
          <w:tcPr>
            <w:tcW w:w="1131" w:type="dxa"/>
            <w:vMerge w:val="restart"/>
            <w:shd w:val="clear" w:color="auto" w:fill="auto"/>
            <w:vAlign w:val="center"/>
          </w:tcPr>
          <w:p w14:paraId="32894235">
            <w:pPr>
              <w:spacing w:line="240" w:lineRule="auto"/>
              <w:ind w:firstLine="0" w:firstLineChars="0"/>
              <w:jc w:val="left"/>
              <w:rPr>
                <w:sz w:val="21"/>
                <w:szCs w:val="21"/>
              </w:rPr>
            </w:pPr>
            <w:r>
              <w:rPr>
                <w:sz w:val="21"/>
                <w:szCs w:val="21"/>
              </w:rPr>
              <w:t>进风口消音器</w:t>
            </w:r>
            <w:r>
              <w:rPr>
                <w:rFonts w:hint="eastAsia"/>
                <w:sz w:val="21"/>
                <w:szCs w:val="21"/>
              </w:rPr>
              <w:t>、管道外壳阻尼</w:t>
            </w:r>
          </w:p>
        </w:tc>
        <w:tc>
          <w:tcPr>
            <w:tcW w:w="1160" w:type="dxa"/>
            <w:vMerge w:val="restart"/>
            <w:shd w:val="clear" w:color="auto" w:fill="auto"/>
            <w:vAlign w:val="center"/>
          </w:tcPr>
          <w:p w14:paraId="07372C53">
            <w:pPr>
              <w:spacing w:line="240" w:lineRule="auto"/>
              <w:ind w:firstLine="0" w:firstLineChars="0"/>
              <w:jc w:val="center"/>
              <w:rPr>
                <w:rFonts w:hint="default"/>
                <w:sz w:val="21"/>
                <w:szCs w:val="21"/>
                <w:lang w:val="en-US" w:eastAsia="zh-CN"/>
              </w:rPr>
            </w:pPr>
            <w:r>
              <w:rPr>
                <w:rFonts w:hint="eastAsia"/>
                <w:sz w:val="21"/>
                <w:szCs w:val="21"/>
                <w:lang w:val="en-US" w:eastAsia="zh-CN"/>
              </w:rPr>
              <w:t>49.7</w:t>
            </w:r>
          </w:p>
        </w:tc>
        <w:tc>
          <w:tcPr>
            <w:tcW w:w="927" w:type="dxa"/>
            <w:shd w:val="clear" w:color="auto" w:fill="auto"/>
            <w:vAlign w:val="center"/>
          </w:tcPr>
          <w:p w14:paraId="1F96196F">
            <w:pPr>
              <w:spacing w:line="240" w:lineRule="auto"/>
              <w:ind w:firstLine="0" w:firstLineChars="0"/>
              <w:jc w:val="center"/>
              <w:rPr>
                <w:rFonts w:hint="default"/>
                <w:sz w:val="21"/>
                <w:szCs w:val="21"/>
                <w:lang w:val="en-US" w:eastAsia="zh-CN"/>
              </w:rPr>
            </w:pPr>
            <w:r>
              <w:rPr>
                <w:rFonts w:hint="eastAsia"/>
                <w:sz w:val="21"/>
                <w:szCs w:val="21"/>
                <w:lang w:val="en-US" w:eastAsia="zh-CN"/>
              </w:rPr>
              <w:t>67</w:t>
            </w:r>
          </w:p>
        </w:tc>
        <w:tc>
          <w:tcPr>
            <w:tcW w:w="766" w:type="dxa"/>
            <w:shd w:val="clear" w:color="auto" w:fill="auto"/>
            <w:vAlign w:val="center"/>
          </w:tcPr>
          <w:p w14:paraId="40F44727">
            <w:pPr>
              <w:spacing w:line="240" w:lineRule="auto"/>
              <w:ind w:firstLine="0" w:firstLineChars="0"/>
              <w:jc w:val="center"/>
              <w:rPr>
                <w:rFonts w:hint="default"/>
                <w:sz w:val="21"/>
                <w:szCs w:val="21"/>
                <w:lang w:val="en-US" w:eastAsia="zh-CN"/>
              </w:rPr>
            </w:pPr>
            <w:r>
              <w:rPr>
                <w:rFonts w:hint="eastAsia"/>
                <w:sz w:val="21"/>
                <w:szCs w:val="21"/>
                <w:lang w:val="en-US" w:eastAsia="zh-CN"/>
              </w:rPr>
              <w:t>81</w:t>
            </w:r>
          </w:p>
        </w:tc>
        <w:tc>
          <w:tcPr>
            <w:tcW w:w="600" w:type="dxa"/>
            <w:shd w:val="clear" w:color="auto" w:fill="auto"/>
            <w:vAlign w:val="center"/>
          </w:tcPr>
          <w:p w14:paraId="3EC795B9">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0.5</w:t>
            </w:r>
          </w:p>
        </w:tc>
        <w:tc>
          <w:tcPr>
            <w:tcW w:w="700" w:type="dxa"/>
            <w:vMerge w:val="restart"/>
            <w:shd w:val="clear" w:color="auto" w:fill="auto"/>
            <w:vAlign w:val="center"/>
          </w:tcPr>
          <w:p w14:paraId="5EED3F8C">
            <w:pPr>
              <w:pStyle w:val="13"/>
              <w:spacing w:line="240" w:lineRule="auto"/>
              <w:ind w:firstLine="0" w:firstLineChars="0"/>
              <w:jc w:val="center"/>
              <w:rPr>
                <w:b w:val="0"/>
                <w:szCs w:val="21"/>
              </w:rPr>
            </w:pPr>
            <w:r>
              <w:rPr>
                <w:b w:val="0"/>
                <w:szCs w:val="21"/>
              </w:rPr>
              <w:t>持续运行</w:t>
            </w:r>
          </w:p>
        </w:tc>
      </w:tr>
      <w:tr w14:paraId="26A517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397" w:type="dxa"/>
            <w:shd w:val="clear" w:color="auto" w:fill="auto"/>
            <w:vAlign w:val="center"/>
          </w:tcPr>
          <w:p w14:paraId="3790DD2E">
            <w:pPr>
              <w:pStyle w:val="13"/>
              <w:spacing w:line="240" w:lineRule="auto"/>
              <w:ind w:firstLine="0" w:firstLineChars="0"/>
              <w:jc w:val="center"/>
              <w:rPr>
                <w:rFonts w:hint="eastAsia" w:eastAsia="宋体"/>
                <w:b w:val="0"/>
                <w:szCs w:val="21"/>
                <w:lang w:val="en-US" w:eastAsia="zh-CN"/>
              </w:rPr>
            </w:pPr>
            <w:r>
              <w:rPr>
                <w:rFonts w:hint="eastAsia"/>
                <w:b w:val="0"/>
                <w:szCs w:val="21"/>
                <w:lang w:val="en-US" w:eastAsia="zh-CN"/>
              </w:rPr>
              <w:t>2</w:t>
            </w:r>
          </w:p>
        </w:tc>
        <w:tc>
          <w:tcPr>
            <w:tcW w:w="660" w:type="dxa"/>
            <w:shd w:val="clear" w:color="auto" w:fill="auto"/>
            <w:vAlign w:val="center"/>
          </w:tcPr>
          <w:p w14:paraId="01DA3AF5">
            <w:pPr>
              <w:pStyle w:val="75"/>
              <w:adjustRightInd w:val="0"/>
              <w:snapToGrid w:val="0"/>
              <w:contextualSpacing w:val="0"/>
              <w:rPr>
                <w:rFonts w:hint="eastAsia" w:eastAsia="宋体"/>
                <w:lang w:val="en-US" w:eastAsia="zh-CN"/>
              </w:rPr>
            </w:pPr>
            <w:r>
              <w:rPr>
                <w:rFonts w:hint="eastAsia"/>
                <w:lang w:val="en-US" w:eastAsia="zh-CN"/>
              </w:rPr>
              <w:t>环保风机</w:t>
            </w:r>
          </w:p>
        </w:tc>
        <w:tc>
          <w:tcPr>
            <w:tcW w:w="483" w:type="dxa"/>
            <w:shd w:val="clear" w:color="auto" w:fill="auto"/>
            <w:vAlign w:val="center"/>
          </w:tcPr>
          <w:p w14:paraId="5D82E154">
            <w:pPr>
              <w:pStyle w:val="75"/>
              <w:adjustRightInd w:val="0"/>
              <w:snapToGrid w:val="0"/>
              <w:contextualSpacing w:val="0"/>
              <w:rPr>
                <w:rFonts w:hint="eastAsia" w:eastAsia="宋体"/>
                <w:lang w:val="en-US" w:eastAsia="zh-CN"/>
              </w:rPr>
            </w:pPr>
            <w:r>
              <w:rPr>
                <w:rFonts w:hint="eastAsia"/>
                <w:lang w:val="en-US" w:eastAsia="zh-CN"/>
              </w:rPr>
              <w:t>/</w:t>
            </w:r>
          </w:p>
        </w:tc>
        <w:tc>
          <w:tcPr>
            <w:tcW w:w="1178" w:type="dxa"/>
            <w:shd w:val="clear" w:color="auto" w:fill="auto"/>
            <w:vAlign w:val="center"/>
          </w:tcPr>
          <w:p w14:paraId="3EC8E11B">
            <w:pPr>
              <w:pStyle w:val="75"/>
              <w:adjustRightInd w:val="0"/>
              <w:snapToGrid w:val="0"/>
              <w:contextualSpacing w:val="0"/>
              <w:rPr>
                <w:rFonts w:hint="eastAsia"/>
              </w:rPr>
            </w:pPr>
            <w:r>
              <w:rPr>
                <w:rFonts w:hint="eastAsia"/>
              </w:rPr>
              <w:t>80</w:t>
            </w:r>
            <w:r>
              <w:t>/1</w:t>
            </w:r>
          </w:p>
        </w:tc>
        <w:tc>
          <w:tcPr>
            <w:tcW w:w="658" w:type="dxa"/>
            <w:shd w:val="clear" w:color="auto" w:fill="auto"/>
            <w:vAlign w:val="center"/>
          </w:tcPr>
          <w:p w14:paraId="5B344A27">
            <w:pPr>
              <w:pStyle w:val="75"/>
              <w:adjustRightInd w:val="0"/>
              <w:snapToGrid w:val="0"/>
              <w:contextualSpacing w:val="0"/>
              <w:rPr>
                <w:rFonts w:hint="eastAsia" w:eastAsia="宋体"/>
                <w:lang w:val="en-US" w:eastAsia="zh-CN"/>
              </w:rPr>
            </w:pPr>
            <w:r>
              <w:rPr>
                <w:rFonts w:hint="eastAsia"/>
                <w:lang w:val="en-US" w:eastAsia="zh-CN"/>
              </w:rPr>
              <w:t>1</w:t>
            </w:r>
          </w:p>
        </w:tc>
        <w:tc>
          <w:tcPr>
            <w:tcW w:w="1131" w:type="dxa"/>
            <w:vMerge w:val="continue"/>
            <w:shd w:val="clear" w:color="auto" w:fill="auto"/>
            <w:vAlign w:val="center"/>
          </w:tcPr>
          <w:p w14:paraId="4991FE10">
            <w:pPr>
              <w:spacing w:line="240" w:lineRule="auto"/>
              <w:ind w:firstLine="0" w:firstLineChars="0"/>
              <w:jc w:val="center"/>
              <w:rPr>
                <w:sz w:val="21"/>
                <w:szCs w:val="21"/>
              </w:rPr>
            </w:pPr>
          </w:p>
        </w:tc>
        <w:tc>
          <w:tcPr>
            <w:tcW w:w="1160" w:type="dxa"/>
            <w:vMerge w:val="continue"/>
            <w:shd w:val="clear" w:color="auto" w:fill="auto"/>
            <w:vAlign w:val="center"/>
          </w:tcPr>
          <w:p w14:paraId="41C5DD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sz w:val="21"/>
                <w:szCs w:val="21"/>
                <w:lang w:val="en-US" w:eastAsia="zh-CN"/>
              </w:rPr>
            </w:pPr>
          </w:p>
        </w:tc>
        <w:tc>
          <w:tcPr>
            <w:tcW w:w="927" w:type="dxa"/>
            <w:shd w:val="clear" w:color="auto" w:fill="auto"/>
            <w:vAlign w:val="center"/>
          </w:tcPr>
          <w:p w14:paraId="3AF8A95A">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68</w:t>
            </w:r>
          </w:p>
        </w:tc>
        <w:tc>
          <w:tcPr>
            <w:tcW w:w="766" w:type="dxa"/>
            <w:shd w:val="clear" w:color="auto" w:fill="auto"/>
            <w:vAlign w:val="center"/>
          </w:tcPr>
          <w:p w14:paraId="1B8ACC37">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66</w:t>
            </w:r>
          </w:p>
        </w:tc>
        <w:tc>
          <w:tcPr>
            <w:tcW w:w="600" w:type="dxa"/>
            <w:shd w:val="clear" w:color="auto" w:fill="auto"/>
            <w:vAlign w:val="center"/>
          </w:tcPr>
          <w:p w14:paraId="7869D95B">
            <w:pPr>
              <w:spacing w:line="240" w:lineRule="auto"/>
              <w:ind w:firstLine="0" w:firstLineChars="0"/>
              <w:jc w:val="center"/>
              <w:rPr>
                <w:sz w:val="21"/>
                <w:szCs w:val="21"/>
              </w:rPr>
            </w:pPr>
            <w:r>
              <w:rPr>
                <w:rFonts w:hint="eastAsia"/>
                <w:sz w:val="21"/>
                <w:szCs w:val="21"/>
                <w:lang w:val="en-US" w:eastAsia="zh-CN"/>
              </w:rPr>
              <w:t>0.5</w:t>
            </w:r>
          </w:p>
        </w:tc>
        <w:tc>
          <w:tcPr>
            <w:tcW w:w="700" w:type="dxa"/>
            <w:vMerge w:val="continue"/>
            <w:shd w:val="clear" w:color="auto" w:fill="auto"/>
            <w:vAlign w:val="center"/>
          </w:tcPr>
          <w:p w14:paraId="3B71D5F1">
            <w:pPr>
              <w:pStyle w:val="13"/>
              <w:spacing w:line="240" w:lineRule="auto"/>
              <w:ind w:firstLine="0" w:firstLineChars="0"/>
              <w:jc w:val="center"/>
              <w:rPr>
                <w:b w:val="0"/>
                <w:szCs w:val="21"/>
              </w:rPr>
            </w:pPr>
          </w:p>
        </w:tc>
      </w:tr>
      <w:tr w14:paraId="01BA7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397" w:type="dxa"/>
            <w:shd w:val="clear" w:color="auto" w:fill="auto"/>
            <w:vAlign w:val="center"/>
          </w:tcPr>
          <w:p w14:paraId="6AD852B2">
            <w:pPr>
              <w:pStyle w:val="13"/>
              <w:spacing w:line="240" w:lineRule="auto"/>
              <w:ind w:firstLine="0" w:firstLineChars="0"/>
              <w:jc w:val="center"/>
              <w:rPr>
                <w:rFonts w:hint="eastAsia" w:eastAsia="宋体"/>
                <w:b w:val="0"/>
                <w:szCs w:val="21"/>
                <w:lang w:val="en-US" w:eastAsia="zh-CN"/>
              </w:rPr>
            </w:pPr>
            <w:r>
              <w:rPr>
                <w:rFonts w:hint="eastAsia"/>
                <w:b w:val="0"/>
                <w:szCs w:val="21"/>
                <w:lang w:val="en-US" w:eastAsia="zh-CN"/>
              </w:rPr>
              <w:t>3</w:t>
            </w:r>
          </w:p>
        </w:tc>
        <w:tc>
          <w:tcPr>
            <w:tcW w:w="660" w:type="dxa"/>
            <w:shd w:val="clear" w:color="auto" w:fill="auto"/>
            <w:vAlign w:val="center"/>
          </w:tcPr>
          <w:p w14:paraId="4E752362">
            <w:pPr>
              <w:pStyle w:val="75"/>
              <w:adjustRightInd w:val="0"/>
              <w:snapToGrid w:val="0"/>
              <w:contextualSpacing w:val="0"/>
              <w:rPr>
                <w:rFonts w:hint="eastAsia"/>
              </w:rPr>
            </w:pPr>
            <w:r>
              <w:rPr>
                <w:rFonts w:hint="eastAsia"/>
              </w:rPr>
              <w:t>环保</w:t>
            </w:r>
            <w:r>
              <w:t>风机</w:t>
            </w:r>
          </w:p>
        </w:tc>
        <w:tc>
          <w:tcPr>
            <w:tcW w:w="483" w:type="dxa"/>
            <w:shd w:val="clear" w:color="auto" w:fill="auto"/>
            <w:vAlign w:val="center"/>
          </w:tcPr>
          <w:p w14:paraId="194BEA26">
            <w:pPr>
              <w:pStyle w:val="75"/>
              <w:adjustRightInd w:val="0"/>
              <w:snapToGrid w:val="0"/>
              <w:contextualSpacing w:val="0"/>
              <w:rPr>
                <w:rFonts w:hint="eastAsia" w:eastAsia="宋体"/>
                <w:lang w:val="en-US" w:eastAsia="zh-CN"/>
              </w:rPr>
            </w:pPr>
            <w:r>
              <w:rPr>
                <w:rFonts w:hint="eastAsia"/>
                <w:lang w:val="en-US" w:eastAsia="zh-CN"/>
              </w:rPr>
              <w:t>/</w:t>
            </w:r>
          </w:p>
        </w:tc>
        <w:tc>
          <w:tcPr>
            <w:tcW w:w="1178" w:type="dxa"/>
            <w:shd w:val="clear" w:color="auto" w:fill="auto"/>
            <w:vAlign w:val="center"/>
          </w:tcPr>
          <w:p w14:paraId="2DE0AAD9">
            <w:pPr>
              <w:pStyle w:val="75"/>
              <w:adjustRightInd w:val="0"/>
              <w:snapToGrid w:val="0"/>
              <w:contextualSpacing w:val="0"/>
              <w:rPr>
                <w:rFonts w:hint="eastAsia"/>
              </w:rPr>
            </w:pPr>
            <w:r>
              <w:rPr>
                <w:rFonts w:hint="eastAsia"/>
              </w:rPr>
              <w:t>80</w:t>
            </w:r>
            <w:r>
              <w:t>/1</w:t>
            </w:r>
          </w:p>
        </w:tc>
        <w:tc>
          <w:tcPr>
            <w:tcW w:w="658" w:type="dxa"/>
            <w:shd w:val="clear" w:color="auto" w:fill="auto"/>
            <w:vAlign w:val="center"/>
          </w:tcPr>
          <w:p w14:paraId="20FCE836">
            <w:pPr>
              <w:pStyle w:val="75"/>
              <w:adjustRightInd w:val="0"/>
              <w:snapToGrid w:val="0"/>
              <w:contextualSpacing w:val="0"/>
              <w:rPr>
                <w:rFonts w:hint="default" w:eastAsia="宋体"/>
                <w:lang w:val="en-US" w:eastAsia="zh-CN"/>
              </w:rPr>
            </w:pPr>
            <w:r>
              <w:rPr>
                <w:rFonts w:hint="eastAsia"/>
                <w:lang w:val="en-US" w:eastAsia="zh-CN"/>
              </w:rPr>
              <w:t>1</w:t>
            </w:r>
          </w:p>
        </w:tc>
        <w:tc>
          <w:tcPr>
            <w:tcW w:w="1131" w:type="dxa"/>
            <w:vMerge w:val="continue"/>
            <w:shd w:val="clear" w:color="auto" w:fill="auto"/>
            <w:vAlign w:val="center"/>
          </w:tcPr>
          <w:p w14:paraId="70A97100">
            <w:pPr>
              <w:spacing w:line="240" w:lineRule="auto"/>
              <w:ind w:firstLine="0" w:firstLineChars="0"/>
              <w:jc w:val="center"/>
              <w:rPr>
                <w:sz w:val="21"/>
                <w:szCs w:val="21"/>
              </w:rPr>
            </w:pPr>
          </w:p>
        </w:tc>
        <w:tc>
          <w:tcPr>
            <w:tcW w:w="1160" w:type="dxa"/>
            <w:vMerge w:val="continue"/>
            <w:shd w:val="clear" w:color="auto" w:fill="auto"/>
            <w:vAlign w:val="center"/>
          </w:tcPr>
          <w:p w14:paraId="6EBE69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sz w:val="21"/>
                <w:szCs w:val="21"/>
                <w:lang w:val="en-US" w:eastAsia="zh-CN"/>
              </w:rPr>
            </w:pPr>
          </w:p>
        </w:tc>
        <w:tc>
          <w:tcPr>
            <w:tcW w:w="927" w:type="dxa"/>
            <w:shd w:val="clear" w:color="auto" w:fill="auto"/>
            <w:vAlign w:val="center"/>
          </w:tcPr>
          <w:p w14:paraId="7936738A">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68</w:t>
            </w:r>
          </w:p>
        </w:tc>
        <w:tc>
          <w:tcPr>
            <w:tcW w:w="766" w:type="dxa"/>
            <w:shd w:val="clear" w:color="auto" w:fill="auto"/>
            <w:vAlign w:val="center"/>
          </w:tcPr>
          <w:p w14:paraId="3FEEF40F">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53</w:t>
            </w:r>
          </w:p>
        </w:tc>
        <w:tc>
          <w:tcPr>
            <w:tcW w:w="600" w:type="dxa"/>
            <w:shd w:val="clear" w:color="auto" w:fill="auto"/>
            <w:vAlign w:val="center"/>
          </w:tcPr>
          <w:p w14:paraId="3692471C">
            <w:pPr>
              <w:spacing w:line="240" w:lineRule="auto"/>
              <w:ind w:firstLine="0" w:firstLineChars="0"/>
              <w:jc w:val="center"/>
              <w:rPr>
                <w:sz w:val="21"/>
                <w:szCs w:val="21"/>
              </w:rPr>
            </w:pPr>
            <w:r>
              <w:rPr>
                <w:rFonts w:hint="eastAsia"/>
                <w:sz w:val="21"/>
                <w:szCs w:val="21"/>
                <w:lang w:val="en-US" w:eastAsia="zh-CN"/>
              </w:rPr>
              <w:t>0.5</w:t>
            </w:r>
          </w:p>
        </w:tc>
        <w:tc>
          <w:tcPr>
            <w:tcW w:w="700" w:type="dxa"/>
            <w:vMerge w:val="continue"/>
            <w:shd w:val="clear" w:color="auto" w:fill="auto"/>
            <w:vAlign w:val="center"/>
          </w:tcPr>
          <w:p w14:paraId="07F451D3">
            <w:pPr>
              <w:pStyle w:val="13"/>
              <w:spacing w:line="240" w:lineRule="auto"/>
              <w:ind w:firstLine="0" w:firstLineChars="0"/>
              <w:jc w:val="center"/>
              <w:rPr>
                <w:b w:val="0"/>
                <w:szCs w:val="21"/>
              </w:rPr>
            </w:pPr>
          </w:p>
        </w:tc>
      </w:tr>
    </w:tbl>
    <w:p w14:paraId="32782296">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ascii="Times New Roman" w:hAnsi="Times New Roman" w:eastAsia="宋体" w:cs="Times New Roman"/>
          <w:color w:val="000000" w:themeColor="text1"/>
          <w:sz w:val="24"/>
          <w:highlight w:val="none"/>
          <w14:textFill>
            <w14:solidFill>
              <w14:schemeClr w14:val="tx1"/>
            </w14:solidFill>
          </w14:textFill>
        </w:rPr>
      </w:pPr>
    </w:p>
    <w:p w14:paraId="0139C4B8">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ascii="Times New Roman" w:hAnsi="Times New Roman" w:eastAsia="宋体" w:cs="Times New Roman"/>
          <w:color w:val="000000" w:themeColor="text1"/>
          <w:sz w:val="24"/>
          <w:highlight w:val="none"/>
          <w14:textFill>
            <w14:solidFill>
              <w14:schemeClr w14:val="tx1"/>
            </w14:solidFill>
          </w14:textFill>
        </w:rPr>
      </w:pPr>
    </w:p>
    <w:p w14:paraId="5164E0A5">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ascii="Times New Roman" w:hAnsi="Times New Roman" w:eastAsia="宋体" w:cs="Times New Roman"/>
          <w:color w:val="000000" w:themeColor="text1"/>
          <w:sz w:val="24"/>
          <w:highlight w:val="none"/>
          <w14:textFill>
            <w14:solidFill>
              <w14:schemeClr w14:val="tx1"/>
            </w14:solidFill>
          </w14:textFill>
        </w:rPr>
      </w:pPr>
    </w:p>
    <w:p w14:paraId="45FDC837">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3.6-22</w:t>
      </w:r>
      <w:r>
        <w:rPr>
          <w:rFonts w:ascii="Times New Roman" w:hAnsi="Times New Roman" w:eastAsia="宋体" w:cs="Times New Roman"/>
          <w:color w:val="000000" w:themeColor="text1"/>
          <w:sz w:val="24"/>
          <w:highlight w:val="none"/>
          <w14:textFill>
            <w14:solidFill>
              <w14:schemeClr w14:val="tx1"/>
            </w14:solidFill>
          </w14:textFill>
        </w:rPr>
        <w:t xml:space="preserve">    </w:t>
      </w:r>
      <w:r>
        <w:rPr>
          <w:rFonts w:hint="eastAsia" w:ascii="Times New Roman" w:hAnsi="Times New Roman" w:eastAsia="宋体" w:cs="Times New Roman"/>
          <w:color w:val="000000" w:themeColor="text1"/>
          <w:sz w:val="24"/>
          <w:highlight w:val="none"/>
          <w14:textFill>
            <w14:solidFill>
              <w14:schemeClr w14:val="tx1"/>
            </w14:solidFill>
          </w14:textFill>
        </w:rPr>
        <w:t>工业企业</w:t>
      </w:r>
      <w:r>
        <w:rPr>
          <w:rFonts w:ascii="Times New Roman" w:hAnsi="Times New Roman" w:eastAsia="宋体" w:cs="Times New Roman"/>
          <w:color w:val="000000" w:themeColor="text1"/>
          <w:sz w:val="24"/>
          <w:highlight w:val="none"/>
          <w14:textFill>
            <w14:solidFill>
              <w14:schemeClr w14:val="tx1"/>
            </w14:solidFill>
          </w14:textFill>
        </w:rPr>
        <w:t>噪声源强调查清单</w:t>
      </w:r>
      <w:r>
        <w:rPr>
          <w:rFonts w:hint="eastAsia" w:ascii="Times New Roman" w:hAnsi="Times New Roman" w:eastAsia="宋体" w:cs="Times New Roman"/>
          <w:color w:val="000000" w:themeColor="text1"/>
          <w:sz w:val="24"/>
          <w:highlight w:val="none"/>
          <w14:textFill>
            <w14:solidFill>
              <w14:schemeClr w14:val="tx1"/>
            </w14:solidFill>
          </w14:textFill>
        </w:rPr>
        <w:t>（室内声源）</w:t>
      </w:r>
    </w:p>
    <w:tbl>
      <w:tblPr>
        <w:tblStyle w:val="39"/>
        <w:tblW w:w="515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01"/>
        <w:gridCol w:w="511"/>
        <w:gridCol w:w="511"/>
        <w:gridCol w:w="426"/>
        <w:gridCol w:w="681"/>
        <w:gridCol w:w="340"/>
        <w:gridCol w:w="511"/>
        <w:gridCol w:w="511"/>
        <w:gridCol w:w="340"/>
        <w:gridCol w:w="340"/>
        <w:gridCol w:w="340"/>
        <w:gridCol w:w="511"/>
        <w:gridCol w:w="511"/>
        <w:gridCol w:w="340"/>
        <w:gridCol w:w="596"/>
        <w:gridCol w:w="623"/>
        <w:gridCol w:w="928"/>
      </w:tblGrid>
      <w:tr w14:paraId="4A97F7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restart"/>
            <w:tcMar>
              <w:left w:w="28" w:type="dxa"/>
              <w:right w:w="28" w:type="dxa"/>
            </w:tcMar>
            <w:vAlign w:val="center"/>
          </w:tcPr>
          <w:p w14:paraId="301EA03A">
            <w:pPr>
              <w:pStyle w:val="81"/>
              <w:adjustRightInd w:val="0"/>
              <w:snapToGrid w:val="0"/>
              <w:rPr>
                <w:rFonts w:cs="Times New Roman"/>
                <w:color w:val="auto"/>
                <w:szCs w:val="21"/>
              </w:rPr>
            </w:pPr>
            <w:r>
              <w:rPr>
                <w:rFonts w:cs="Times New Roman"/>
                <w:color w:val="auto"/>
                <w:szCs w:val="21"/>
              </w:rPr>
              <w:t>序号</w:t>
            </w:r>
          </w:p>
        </w:tc>
        <w:tc>
          <w:tcPr>
            <w:tcW w:w="511" w:type="dxa"/>
            <w:vMerge w:val="restart"/>
            <w:tcMar>
              <w:left w:w="28" w:type="dxa"/>
              <w:right w:w="28" w:type="dxa"/>
            </w:tcMar>
            <w:vAlign w:val="center"/>
          </w:tcPr>
          <w:p w14:paraId="54325992">
            <w:pPr>
              <w:pStyle w:val="81"/>
              <w:adjustRightInd w:val="0"/>
              <w:snapToGrid w:val="0"/>
              <w:rPr>
                <w:rFonts w:cs="Times New Roman"/>
                <w:color w:val="auto"/>
                <w:szCs w:val="21"/>
              </w:rPr>
            </w:pPr>
            <w:r>
              <w:rPr>
                <w:rFonts w:cs="Times New Roman"/>
                <w:color w:val="auto"/>
                <w:szCs w:val="21"/>
              </w:rPr>
              <w:t>建筑物名称</w:t>
            </w:r>
          </w:p>
        </w:tc>
        <w:tc>
          <w:tcPr>
            <w:tcW w:w="511" w:type="dxa"/>
            <w:vMerge w:val="restart"/>
            <w:tcMar>
              <w:left w:w="28" w:type="dxa"/>
              <w:right w:w="28" w:type="dxa"/>
            </w:tcMar>
            <w:vAlign w:val="center"/>
          </w:tcPr>
          <w:p w14:paraId="6B745305">
            <w:pPr>
              <w:pStyle w:val="81"/>
              <w:adjustRightInd w:val="0"/>
              <w:snapToGrid w:val="0"/>
              <w:rPr>
                <w:rFonts w:cs="Times New Roman"/>
                <w:color w:val="auto"/>
                <w:szCs w:val="21"/>
              </w:rPr>
            </w:pPr>
            <w:r>
              <w:rPr>
                <w:rFonts w:cs="Times New Roman"/>
                <w:color w:val="auto"/>
                <w:szCs w:val="21"/>
              </w:rPr>
              <w:t>声源</w:t>
            </w:r>
          </w:p>
          <w:p w14:paraId="4A826C17">
            <w:pPr>
              <w:pStyle w:val="81"/>
              <w:adjustRightInd w:val="0"/>
              <w:snapToGrid w:val="0"/>
              <w:rPr>
                <w:rFonts w:cs="Times New Roman"/>
                <w:color w:val="auto"/>
                <w:szCs w:val="21"/>
              </w:rPr>
            </w:pPr>
            <w:r>
              <w:rPr>
                <w:rFonts w:cs="Times New Roman"/>
                <w:color w:val="auto"/>
                <w:szCs w:val="21"/>
              </w:rPr>
              <w:t>名称</w:t>
            </w:r>
          </w:p>
        </w:tc>
        <w:tc>
          <w:tcPr>
            <w:tcW w:w="426" w:type="dxa"/>
            <w:vMerge w:val="restart"/>
            <w:tcMar>
              <w:left w:w="28" w:type="dxa"/>
              <w:right w:w="28" w:type="dxa"/>
            </w:tcMar>
            <w:vAlign w:val="center"/>
          </w:tcPr>
          <w:p w14:paraId="053D3F4C">
            <w:pPr>
              <w:pStyle w:val="81"/>
              <w:adjustRightInd w:val="0"/>
              <w:snapToGrid w:val="0"/>
              <w:rPr>
                <w:rFonts w:cs="Times New Roman"/>
                <w:color w:val="auto"/>
                <w:szCs w:val="21"/>
              </w:rPr>
            </w:pPr>
            <w:r>
              <w:rPr>
                <w:rFonts w:cs="Times New Roman"/>
                <w:color w:val="auto"/>
                <w:szCs w:val="21"/>
              </w:rPr>
              <w:t>型号</w:t>
            </w:r>
          </w:p>
        </w:tc>
        <w:tc>
          <w:tcPr>
            <w:tcW w:w="681" w:type="dxa"/>
            <w:vMerge w:val="restart"/>
            <w:tcMar>
              <w:left w:w="28" w:type="dxa"/>
              <w:right w:w="28" w:type="dxa"/>
            </w:tcMar>
            <w:vAlign w:val="center"/>
          </w:tcPr>
          <w:p w14:paraId="3605CD68">
            <w:pPr>
              <w:pStyle w:val="81"/>
              <w:adjustRightInd w:val="0"/>
              <w:snapToGrid w:val="0"/>
              <w:rPr>
                <w:rFonts w:cs="Times New Roman"/>
                <w:color w:val="auto"/>
                <w:szCs w:val="21"/>
              </w:rPr>
            </w:pPr>
            <w:r>
              <w:rPr>
                <w:rFonts w:cs="Times New Roman"/>
                <w:color w:val="auto"/>
                <w:szCs w:val="21"/>
              </w:rPr>
              <w:t>(声压级/距声源距离)/</w:t>
            </w:r>
          </w:p>
          <w:p w14:paraId="6E0FE9AC">
            <w:pPr>
              <w:pStyle w:val="81"/>
              <w:adjustRightInd w:val="0"/>
              <w:snapToGrid w:val="0"/>
              <w:rPr>
                <w:rFonts w:cs="Times New Roman"/>
                <w:color w:val="auto"/>
                <w:szCs w:val="21"/>
              </w:rPr>
            </w:pPr>
            <w:r>
              <w:rPr>
                <w:rFonts w:cs="Times New Roman"/>
                <w:color w:val="auto"/>
                <w:szCs w:val="21"/>
              </w:rPr>
              <w:t>([dB(A)]/m)</w:t>
            </w:r>
          </w:p>
        </w:tc>
        <w:tc>
          <w:tcPr>
            <w:tcW w:w="340" w:type="dxa"/>
            <w:vMerge w:val="restart"/>
            <w:tcMar>
              <w:left w:w="28" w:type="dxa"/>
              <w:right w:w="28" w:type="dxa"/>
            </w:tcMar>
            <w:vAlign w:val="center"/>
          </w:tcPr>
          <w:p w14:paraId="22E5AE93">
            <w:pPr>
              <w:pStyle w:val="81"/>
              <w:adjustRightInd w:val="0"/>
              <w:snapToGrid w:val="0"/>
              <w:rPr>
                <w:rFonts w:cs="Times New Roman"/>
                <w:color w:val="auto"/>
                <w:szCs w:val="21"/>
              </w:rPr>
            </w:pPr>
            <w:r>
              <w:rPr>
                <w:rFonts w:cs="Times New Roman"/>
                <w:color w:val="auto"/>
                <w:szCs w:val="21"/>
              </w:rPr>
              <w:t>数量(台)</w:t>
            </w:r>
          </w:p>
        </w:tc>
        <w:tc>
          <w:tcPr>
            <w:tcW w:w="511" w:type="dxa"/>
            <w:vMerge w:val="restart"/>
            <w:tcMar>
              <w:left w:w="28" w:type="dxa"/>
              <w:right w:w="28" w:type="dxa"/>
            </w:tcMar>
            <w:vAlign w:val="center"/>
          </w:tcPr>
          <w:p w14:paraId="276751E3">
            <w:pPr>
              <w:pStyle w:val="81"/>
              <w:adjustRightInd w:val="0"/>
              <w:snapToGrid w:val="0"/>
              <w:rPr>
                <w:rFonts w:cs="Times New Roman"/>
                <w:color w:val="auto"/>
                <w:szCs w:val="21"/>
              </w:rPr>
            </w:pPr>
            <w:r>
              <w:rPr>
                <w:rFonts w:cs="Times New Roman"/>
                <w:color w:val="auto"/>
                <w:szCs w:val="21"/>
              </w:rPr>
              <w:t>声源控制措施</w:t>
            </w:r>
          </w:p>
        </w:tc>
        <w:tc>
          <w:tcPr>
            <w:tcW w:w="511" w:type="dxa"/>
            <w:vMerge w:val="restart"/>
            <w:tcMar>
              <w:left w:w="28" w:type="dxa"/>
              <w:right w:w="28" w:type="dxa"/>
            </w:tcMar>
            <w:vAlign w:val="center"/>
          </w:tcPr>
          <w:p w14:paraId="623DA88F">
            <w:pPr>
              <w:pStyle w:val="81"/>
              <w:adjustRightInd w:val="0"/>
              <w:snapToGrid w:val="0"/>
              <w:rPr>
                <w:rFonts w:cs="Times New Roman"/>
                <w:color w:val="auto"/>
                <w:szCs w:val="21"/>
              </w:rPr>
            </w:pPr>
            <w:r>
              <w:rPr>
                <w:rFonts w:cs="Times New Roman"/>
                <w:color w:val="auto"/>
                <w:szCs w:val="21"/>
              </w:rPr>
              <w:t>声压级叠加值[dB(A)]</w:t>
            </w:r>
          </w:p>
        </w:tc>
        <w:tc>
          <w:tcPr>
            <w:tcW w:w="1020" w:type="dxa"/>
            <w:gridSpan w:val="3"/>
            <w:tcMar>
              <w:left w:w="28" w:type="dxa"/>
              <w:right w:w="28" w:type="dxa"/>
            </w:tcMar>
            <w:vAlign w:val="center"/>
          </w:tcPr>
          <w:p w14:paraId="55525568">
            <w:pPr>
              <w:pStyle w:val="81"/>
              <w:adjustRightInd w:val="0"/>
              <w:snapToGrid w:val="0"/>
              <w:rPr>
                <w:rFonts w:cs="Times New Roman"/>
                <w:color w:val="auto"/>
                <w:szCs w:val="21"/>
              </w:rPr>
            </w:pPr>
            <w:r>
              <w:rPr>
                <w:rFonts w:cs="Times New Roman"/>
                <w:color w:val="auto"/>
                <w:szCs w:val="21"/>
              </w:rPr>
              <w:t>空间相对位置/m</w:t>
            </w:r>
          </w:p>
        </w:tc>
        <w:tc>
          <w:tcPr>
            <w:tcW w:w="511" w:type="dxa"/>
            <w:vMerge w:val="restart"/>
            <w:tcMar>
              <w:left w:w="28" w:type="dxa"/>
              <w:right w:w="28" w:type="dxa"/>
            </w:tcMar>
            <w:vAlign w:val="center"/>
          </w:tcPr>
          <w:p w14:paraId="08816D06">
            <w:pPr>
              <w:pStyle w:val="81"/>
              <w:adjustRightInd w:val="0"/>
              <w:snapToGrid w:val="0"/>
              <w:rPr>
                <w:rFonts w:cs="Times New Roman"/>
                <w:color w:val="auto"/>
                <w:szCs w:val="21"/>
              </w:rPr>
            </w:pPr>
            <w:r>
              <w:rPr>
                <w:rFonts w:cs="Times New Roman"/>
                <w:color w:val="auto"/>
                <w:szCs w:val="21"/>
              </w:rPr>
              <w:t>距室内边界距离/m</w:t>
            </w:r>
          </w:p>
        </w:tc>
        <w:tc>
          <w:tcPr>
            <w:tcW w:w="511" w:type="dxa"/>
            <w:vMerge w:val="restart"/>
            <w:tcMar>
              <w:left w:w="28" w:type="dxa"/>
              <w:right w:w="28" w:type="dxa"/>
            </w:tcMar>
            <w:vAlign w:val="center"/>
          </w:tcPr>
          <w:p w14:paraId="5B03B1A1">
            <w:pPr>
              <w:pStyle w:val="81"/>
              <w:adjustRightInd w:val="0"/>
              <w:snapToGrid w:val="0"/>
              <w:rPr>
                <w:rFonts w:cs="Times New Roman"/>
                <w:color w:val="auto"/>
                <w:szCs w:val="21"/>
              </w:rPr>
            </w:pPr>
            <w:r>
              <w:rPr>
                <w:rFonts w:cs="Times New Roman"/>
                <w:color w:val="auto"/>
                <w:szCs w:val="21"/>
              </w:rPr>
              <w:t>室内边界声级/dB(A)</w:t>
            </w:r>
          </w:p>
        </w:tc>
        <w:tc>
          <w:tcPr>
            <w:tcW w:w="340" w:type="dxa"/>
            <w:vMerge w:val="restart"/>
            <w:tcMar>
              <w:left w:w="28" w:type="dxa"/>
              <w:right w:w="28" w:type="dxa"/>
            </w:tcMar>
            <w:vAlign w:val="center"/>
          </w:tcPr>
          <w:p w14:paraId="5782B06C">
            <w:pPr>
              <w:pStyle w:val="81"/>
              <w:adjustRightInd w:val="0"/>
              <w:snapToGrid w:val="0"/>
              <w:rPr>
                <w:rFonts w:cs="Times New Roman"/>
                <w:color w:val="auto"/>
                <w:szCs w:val="21"/>
              </w:rPr>
            </w:pPr>
            <w:r>
              <w:rPr>
                <w:rFonts w:cs="Times New Roman"/>
                <w:color w:val="auto"/>
                <w:szCs w:val="21"/>
              </w:rPr>
              <w:t>运行时段</w:t>
            </w:r>
          </w:p>
        </w:tc>
        <w:tc>
          <w:tcPr>
            <w:tcW w:w="596" w:type="dxa"/>
            <w:vMerge w:val="restart"/>
            <w:tcMar>
              <w:left w:w="28" w:type="dxa"/>
              <w:right w:w="28" w:type="dxa"/>
            </w:tcMar>
            <w:vAlign w:val="center"/>
          </w:tcPr>
          <w:p w14:paraId="484E88BE">
            <w:pPr>
              <w:pStyle w:val="81"/>
              <w:adjustRightInd w:val="0"/>
              <w:snapToGrid w:val="0"/>
              <w:rPr>
                <w:rFonts w:cs="Times New Roman"/>
                <w:color w:val="auto"/>
                <w:szCs w:val="21"/>
              </w:rPr>
            </w:pPr>
            <w:r>
              <w:rPr>
                <w:rFonts w:cs="Times New Roman"/>
                <w:color w:val="auto"/>
                <w:szCs w:val="21"/>
              </w:rPr>
              <w:t>建筑物插入损失/dB(A)</w:t>
            </w:r>
          </w:p>
        </w:tc>
        <w:tc>
          <w:tcPr>
            <w:tcW w:w="1551" w:type="dxa"/>
            <w:gridSpan w:val="2"/>
            <w:tcMar>
              <w:left w:w="28" w:type="dxa"/>
              <w:right w:w="28" w:type="dxa"/>
            </w:tcMar>
            <w:vAlign w:val="center"/>
          </w:tcPr>
          <w:p w14:paraId="2E3BB2E7">
            <w:pPr>
              <w:pStyle w:val="81"/>
              <w:adjustRightInd w:val="0"/>
              <w:snapToGrid w:val="0"/>
              <w:rPr>
                <w:rFonts w:cs="Times New Roman"/>
                <w:color w:val="auto"/>
                <w:szCs w:val="21"/>
              </w:rPr>
            </w:pPr>
            <w:r>
              <w:rPr>
                <w:rFonts w:cs="Times New Roman"/>
                <w:color w:val="auto"/>
                <w:szCs w:val="21"/>
              </w:rPr>
              <w:t>建筑物外噪声</w:t>
            </w:r>
          </w:p>
        </w:tc>
      </w:tr>
      <w:tr w14:paraId="36349A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63207FB7">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354A0DA8">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711F4804">
            <w:pPr>
              <w:pStyle w:val="81"/>
              <w:adjustRightInd w:val="0"/>
              <w:snapToGrid w:val="0"/>
              <w:rPr>
                <w:rFonts w:cs="Times New Roman"/>
                <w:color w:val="auto"/>
                <w:szCs w:val="21"/>
              </w:rPr>
            </w:pPr>
          </w:p>
        </w:tc>
        <w:tc>
          <w:tcPr>
            <w:tcW w:w="426" w:type="dxa"/>
            <w:vMerge w:val="continue"/>
            <w:tcMar>
              <w:left w:w="28" w:type="dxa"/>
              <w:right w:w="28" w:type="dxa"/>
            </w:tcMar>
            <w:vAlign w:val="center"/>
          </w:tcPr>
          <w:p w14:paraId="6C5CD850">
            <w:pPr>
              <w:pStyle w:val="81"/>
              <w:adjustRightInd w:val="0"/>
              <w:snapToGrid w:val="0"/>
              <w:rPr>
                <w:rFonts w:cs="Times New Roman"/>
                <w:color w:val="auto"/>
                <w:szCs w:val="21"/>
              </w:rPr>
            </w:pPr>
          </w:p>
        </w:tc>
        <w:tc>
          <w:tcPr>
            <w:tcW w:w="681" w:type="dxa"/>
            <w:vMerge w:val="continue"/>
            <w:tcMar>
              <w:left w:w="28" w:type="dxa"/>
              <w:right w:w="28" w:type="dxa"/>
            </w:tcMar>
            <w:vAlign w:val="center"/>
          </w:tcPr>
          <w:p w14:paraId="0E4B0DCA">
            <w:pPr>
              <w:pStyle w:val="81"/>
              <w:adjustRightInd w:val="0"/>
              <w:snapToGrid w:val="0"/>
              <w:rPr>
                <w:rFonts w:cs="Times New Roman"/>
                <w:color w:val="auto"/>
                <w:szCs w:val="21"/>
              </w:rPr>
            </w:pPr>
          </w:p>
        </w:tc>
        <w:tc>
          <w:tcPr>
            <w:tcW w:w="340" w:type="dxa"/>
            <w:vMerge w:val="continue"/>
            <w:tcMar>
              <w:left w:w="28" w:type="dxa"/>
              <w:right w:w="28" w:type="dxa"/>
            </w:tcMar>
            <w:vAlign w:val="center"/>
          </w:tcPr>
          <w:p w14:paraId="41E0C84A">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56ED906B">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6F894698">
            <w:pPr>
              <w:pStyle w:val="81"/>
              <w:adjustRightInd w:val="0"/>
              <w:snapToGrid w:val="0"/>
              <w:rPr>
                <w:rFonts w:cs="Times New Roman"/>
                <w:color w:val="auto"/>
                <w:szCs w:val="21"/>
              </w:rPr>
            </w:pPr>
          </w:p>
        </w:tc>
        <w:tc>
          <w:tcPr>
            <w:tcW w:w="340" w:type="dxa"/>
            <w:tcMar>
              <w:left w:w="28" w:type="dxa"/>
              <w:right w:w="28" w:type="dxa"/>
            </w:tcMar>
            <w:vAlign w:val="center"/>
          </w:tcPr>
          <w:p w14:paraId="56D06174">
            <w:pPr>
              <w:pStyle w:val="81"/>
              <w:adjustRightInd w:val="0"/>
              <w:snapToGrid w:val="0"/>
              <w:rPr>
                <w:rFonts w:cs="Times New Roman"/>
                <w:color w:val="auto"/>
                <w:szCs w:val="21"/>
              </w:rPr>
            </w:pPr>
            <w:r>
              <w:rPr>
                <w:rFonts w:cs="Times New Roman"/>
                <w:color w:val="auto"/>
                <w:szCs w:val="21"/>
              </w:rPr>
              <w:t>X</w:t>
            </w:r>
          </w:p>
        </w:tc>
        <w:tc>
          <w:tcPr>
            <w:tcW w:w="340" w:type="dxa"/>
            <w:tcMar>
              <w:left w:w="28" w:type="dxa"/>
              <w:right w:w="28" w:type="dxa"/>
            </w:tcMar>
            <w:vAlign w:val="center"/>
          </w:tcPr>
          <w:p w14:paraId="79172694">
            <w:pPr>
              <w:pStyle w:val="81"/>
              <w:adjustRightInd w:val="0"/>
              <w:snapToGrid w:val="0"/>
              <w:rPr>
                <w:rFonts w:cs="Times New Roman"/>
                <w:color w:val="auto"/>
                <w:szCs w:val="21"/>
              </w:rPr>
            </w:pPr>
            <w:r>
              <w:rPr>
                <w:rFonts w:cs="Times New Roman"/>
                <w:color w:val="auto"/>
                <w:szCs w:val="21"/>
              </w:rPr>
              <w:t>Y</w:t>
            </w:r>
          </w:p>
        </w:tc>
        <w:tc>
          <w:tcPr>
            <w:tcW w:w="340" w:type="dxa"/>
            <w:tcMar>
              <w:left w:w="28" w:type="dxa"/>
              <w:right w:w="28" w:type="dxa"/>
            </w:tcMar>
            <w:vAlign w:val="center"/>
          </w:tcPr>
          <w:p w14:paraId="45EB89E9">
            <w:pPr>
              <w:pStyle w:val="81"/>
              <w:adjustRightInd w:val="0"/>
              <w:snapToGrid w:val="0"/>
              <w:rPr>
                <w:rFonts w:cs="Times New Roman"/>
                <w:color w:val="auto"/>
                <w:szCs w:val="21"/>
              </w:rPr>
            </w:pPr>
            <w:r>
              <w:rPr>
                <w:rFonts w:cs="Times New Roman"/>
                <w:color w:val="auto"/>
                <w:szCs w:val="21"/>
              </w:rPr>
              <w:t>Z</w:t>
            </w:r>
          </w:p>
        </w:tc>
        <w:tc>
          <w:tcPr>
            <w:tcW w:w="511" w:type="dxa"/>
            <w:vMerge w:val="continue"/>
            <w:tcMar>
              <w:left w:w="28" w:type="dxa"/>
              <w:right w:w="28" w:type="dxa"/>
            </w:tcMar>
            <w:vAlign w:val="center"/>
          </w:tcPr>
          <w:p w14:paraId="05EFA41E">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228B4D91">
            <w:pPr>
              <w:pStyle w:val="81"/>
              <w:adjustRightInd w:val="0"/>
              <w:snapToGrid w:val="0"/>
              <w:rPr>
                <w:rFonts w:cs="Times New Roman"/>
                <w:color w:val="auto"/>
                <w:szCs w:val="21"/>
              </w:rPr>
            </w:pPr>
          </w:p>
        </w:tc>
        <w:tc>
          <w:tcPr>
            <w:tcW w:w="340" w:type="dxa"/>
            <w:vMerge w:val="continue"/>
            <w:tcMar>
              <w:left w:w="28" w:type="dxa"/>
              <w:right w:w="28" w:type="dxa"/>
            </w:tcMar>
            <w:vAlign w:val="center"/>
          </w:tcPr>
          <w:p w14:paraId="148272ED">
            <w:pPr>
              <w:pStyle w:val="81"/>
              <w:adjustRightInd w:val="0"/>
              <w:snapToGrid w:val="0"/>
              <w:rPr>
                <w:rFonts w:cs="Times New Roman"/>
                <w:color w:val="auto"/>
                <w:szCs w:val="21"/>
              </w:rPr>
            </w:pPr>
          </w:p>
        </w:tc>
        <w:tc>
          <w:tcPr>
            <w:tcW w:w="596" w:type="dxa"/>
            <w:vMerge w:val="continue"/>
            <w:tcMar>
              <w:left w:w="28" w:type="dxa"/>
              <w:right w:w="28" w:type="dxa"/>
            </w:tcMar>
            <w:vAlign w:val="center"/>
          </w:tcPr>
          <w:p w14:paraId="21308143">
            <w:pPr>
              <w:pStyle w:val="81"/>
              <w:adjustRightInd w:val="0"/>
              <w:snapToGrid w:val="0"/>
              <w:rPr>
                <w:rFonts w:cs="Times New Roman"/>
                <w:color w:val="auto"/>
                <w:szCs w:val="21"/>
              </w:rPr>
            </w:pPr>
          </w:p>
        </w:tc>
        <w:tc>
          <w:tcPr>
            <w:tcW w:w="623" w:type="dxa"/>
            <w:tcMar>
              <w:left w:w="28" w:type="dxa"/>
              <w:right w:w="28" w:type="dxa"/>
            </w:tcMar>
            <w:vAlign w:val="center"/>
          </w:tcPr>
          <w:p w14:paraId="2AAE213F">
            <w:pPr>
              <w:pStyle w:val="81"/>
              <w:adjustRightInd w:val="0"/>
              <w:snapToGrid w:val="0"/>
              <w:rPr>
                <w:rFonts w:cs="Times New Roman"/>
                <w:color w:val="auto"/>
                <w:szCs w:val="21"/>
              </w:rPr>
            </w:pPr>
            <w:r>
              <w:rPr>
                <w:rFonts w:cs="Times New Roman"/>
                <w:color w:val="auto"/>
                <w:szCs w:val="21"/>
              </w:rPr>
              <w:t>声压级/dB(A)</w:t>
            </w:r>
          </w:p>
        </w:tc>
        <w:tc>
          <w:tcPr>
            <w:tcW w:w="928" w:type="dxa"/>
            <w:tcMar>
              <w:left w:w="28" w:type="dxa"/>
              <w:right w:w="28" w:type="dxa"/>
            </w:tcMar>
            <w:vAlign w:val="center"/>
          </w:tcPr>
          <w:p w14:paraId="0DE75DDA">
            <w:pPr>
              <w:pStyle w:val="81"/>
              <w:adjustRightInd w:val="0"/>
              <w:snapToGrid w:val="0"/>
              <w:rPr>
                <w:rFonts w:cs="Times New Roman"/>
                <w:color w:val="auto"/>
                <w:szCs w:val="21"/>
              </w:rPr>
            </w:pPr>
            <w:r>
              <w:rPr>
                <w:rFonts w:cs="Times New Roman"/>
                <w:color w:val="auto"/>
                <w:szCs w:val="21"/>
              </w:rPr>
              <w:t>建筑物外距离</w:t>
            </w:r>
          </w:p>
        </w:tc>
      </w:tr>
      <w:tr w14:paraId="3A209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restart"/>
            <w:tcMar>
              <w:left w:w="28" w:type="dxa"/>
              <w:right w:w="28" w:type="dxa"/>
            </w:tcMar>
            <w:vAlign w:val="center"/>
          </w:tcPr>
          <w:p w14:paraId="2C1B7EAA">
            <w:pPr>
              <w:pStyle w:val="75"/>
              <w:adjustRightInd w:val="0"/>
              <w:snapToGrid w:val="0"/>
              <w:contextualSpacing w:val="0"/>
            </w:pPr>
            <w:r>
              <w:rPr>
                <w:rFonts w:hint="eastAsia"/>
              </w:rPr>
              <w:t>1</w:t>
            </w:r>
          </w:p>
        </w:tc>
        <w:tc>
          <w:tcPr>
            <w:tcW w:w="511" w:type="dxa"/>
            <w:vMerge w:val="restart"/>
            <w:tcMar>
              <w:left w:w="28" w:type="dxa"/>
              <w:right w:w="28" w:type="dxa"/>
            </w:tcMar>
            <w:vAlign w:val="center"/>
          </w:tcPr>
          <w:p w14:paraId="7C43D98B">
            <w:pPr>
              <w:pStyle w:val="75"/>
              <w:adjustRightInd w:val="0"/>
              <w:snapToGrid w:val="0"/>
              <w:contextualSpacing w:val="0"/>
            </w:pPr>
            <w:r>
              <w:rPr>
                <w:rFonts w:hint="eastAsia"/>
              </w:rPr>
              <w:t>生产车间</w:t>
            </w:r>
          </w:p>
        </w:tc>
        <w:tc>
          <w:tcPr>
            <w:tcW w:w="511" w:type="dxa"/>
            <w:vMerge w:val="restart"/>
            <w:tcMar>
              <w:left w:w="28" w:type="dxa"/>
              <w:right w:w="28" w:type="dxa"/>
            </w:tcMar>
            <w:vAlign w:val="center"/>
          </w:tcPr>
          <w:p w14:paraId="209DCB37">
            <w:pPr>
              <w:pStyle w:val="75"/>
              <w:adjustRightInd w:val="0"/>
              <w:snapToGrid w:val="0"/>
              <w:contextualSpacing w:val="0"/>
              <w:jc w:val="left"/>
            </w:pPr>
            <w:r>
              <w:rPr>
                <w:rFonts w:hint="eastAsia"/>
              </w:rPr>
              <w:t>冲床</w:t>
            </w:r>
          </w:p>
        </w:tc>
        <w:tc>
          <w:tcPr>
            <w:tcW w:w="426" w:type="dxa"/>
            <w:vMerge w:val="restart"/>
            <w:tcMar>
              <w:left w:w="28" w:type="dxa"/>
              <w:right w:w="28" w:type="dxa"/>
            </w:tcMar>
            <w:vAlign w:val="center"/>
          </w:tcPr>
          <w:p w14:paraId="3C433C87">
            <w:pPr>
              <w:pStyle w:val="75"/>
              <w:adjustRightInd w:val="0"/>
              <w:snapToGrid w:val="0"/>
              <w:contextualSpacing w:val="0"/>
              <w:rPr>
                <w:rFonts w:hint="default" w:eastAsiaTheme="minorEastAsia"/>
                <w:lang w:val="en-US" w:eastAsia="zh-CN"/>
              </w:rPr>
            </w:pPr>
            <w:r>
              <w:rPr>
                <w:rFonts w:hint="eastAsia" w:eastAsiaTheme="minorEastAsia"/>
                <w:lang w:val="en-US" w:eastAsia="zh-CN"/>
              </w:rPr>
              <w:t>20t/40t/80t</w:t>
            </w:r>
          </w:p>
        </w:tc>
        <w:tc>
          <w:tcPr>
            <w:tcW w:w="681" w:type="dxa"/>
            <w:vMerge w:val="restart"/>
            <w:tcMar>
              <w:left w:w="28" w:type="dxa"/>
              <w:right w:w="28" w:type="dxa"/>
            </w:tcMar>
            <w:vAlign w:val="center"/>
          </w:tcPr>
          <w:p w14:paraId="5A06A4C0">
            <w:pPr>
              <w:pStyle w:val="75"/>
              <w:adjustRightInd w:val="0"/>
              <w:snapToGrid w:val="0"/>
              <w:contextualSpacing w:val="0"/>
            </w:pPr>
            <w:r>
              <w:rPr>
                <w:rFonts w:hint="eastAsia"/>
                <w:lang w:val="en-US" w:eastAsia="zh-CN"/>
              </w:rPr>
              <w:t>80</w:t>
            </w:r>
            <w:r>
              <w:t>/1</w:t>
            </w:r>
          </w:p>
        </w:tc>
        <w:tc>
          <w:tcPr>
            <w:tcW w:w="340" w:type="dxa"/>
            <w:vMerge w:val="restart"/>
            <w:tcMar>
              <w:left w:w="28" w:type="dxa"/>
              <w:right w:w="28" w:type="dxa"/>
            </w:tcMar>
            <w:vAlign w:val="center"/>
          </w:tcPr>
          <w:p w14:paraId="2F055AF6">
            <w:pPr>
              <w:pStyle w:val="75"/>
              <w:adjustRightInd w:val="0"/>
              <w:snapToGrid w:val="0"/>
              <w:contextualSpacing w:val="0"/>
              <w:rPr>
                <w:rFonts w:hint="default" w:eastAsia="宋体"/>
                <w:lang w:val="en-US" w:eastAsia="zh-CN"/>
              </w:rPr>
            </w:pPr>
            <w:r>
              <w:rPr>
                <w:rFonts w:hint="eastAsia"/>
                <w:lang w:val="en-US" w:eastAsia="zh-CN"/>
              </w:rPr>
              <w:t>30</w:t>
            </w:r>
          </w:p>
        </w:tc>
        <w:tc>
          <w:tcPr>
            <w:tcW w:w="511" w:type="dxa"/>
            <w:vMerge w:val="restart"/>
            <w:tcMar>
              <w:left w:w="28" w:type="dxa"/>
              <w:right w:w="28" w:type="dxa"/>
            </w:tcMar>
            <w:vAlign w:val="center"/>
          </w:tcPr>
          <w:p w14:paraId="722C8179">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58FD2E0A">
            <w:pPr>
              <w:pStyle w:val="75"/>
              <w:adjustRightInd w:val="0"/>
              <w:snapToGrid w:val="0"/>
              <w:contextualSpacing w:val="0"/>
              <w:rPr>
                <w:rFonts w:hint="default" w:eastAsia="宋体"/>
                <w:lang w:val="en-US" w:eastAsia="zh-CN"/>
              </w:rPr>
            </w:pPr>
            <w:r>
              <w:rPr>
                <w:rFonts w:hint="eastAsia"/>
                <w:lang w:val="en-US" w:eastAsia="zh-CN"/>
              </w:rPr>
              <w:t>94.8</w:t>
            </w:r>
          </w:p>
        </w:tc>
        <w:tc>
          <w:tcPr>
            <w:tcW w:w="340" w:type="dxa"/>
            <w:vMerge w:val="restart"/>
            <w:tcMar>
              <w:left w:w="28" w:type="dxa"/>
              <w:right w:w="28" w:type="dxa"/>
            </w:tcMar>
            <w:vAlign w:val="center"/>
          </w:tcPr>
          <w:p w14:paraId="1EE99EB7">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19</w:t>
            </w:r>
          </w:p>
        </w:tc>
        <w:tc>
          <w:tcPr>
            <w:tcW w:w="340" w:type="dxa"/>
            <w:vMerge w:val="restart"/>
            <w:tcMar>
              <w:left w:w="28" w:type="dxa"/>
              <w:right w:w="28" w:type="dxa"/>
            </w:tcMar>
            <w:vAlign w:val="center"/>
          </w:tcPr>
          <w:p w14:paraId="1DA0396C">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96</w:t>
            </w:r>
          </w:p>
        </w:tc>
        <w:tc>
          <w:tcPr>
            <w:tcW w:w="340" w:type="dxa"/>
            <w:vMerge w:val="restart"/>
            <w:tcMar>
              <w:left w:w="28" w:type="dxa"/>
              <w:right w:w="28" w:type="dxa"/>
            </w:tcMar>
            <w:vAlign w:val="center"/>
          </w:tcPr>
          <w:p w14:paraId="34FFCC48">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0.5</w:t>
            </w:r>
          </w:p>
        </w:tc>
        <w:tc>
          <w:tcPr>
            <w:tcW w:w="511" w:type="dxa"/>
            <w:tcMar>
              <w:left w:w="28" w:type="dxa"/>
              <w:right w:w="28" w:type="dxa"/>
            </w:tcMar>
            <w:vAlign w:val="center"/>
          </w:tcPr>
          <w:p w14:paraId="08F391A9">
            <w:pPr>
              <w:spacing w:line="240" w:lineRule="auto"/>
              <w:ind w:firstLine="0" w:firstLineChars="0"/>
              <w:jc w:val="center"/>
              <w:rPr>
                <w:rFonts w:hint="default"/>
                <w:sz w:val="21"/>
                <w:szCs w:val="21"/>
                <w:lang w:val="en-US"/>
              </w:rPr>
            </w:pPr>
            <w:r>
              <w:rPr>
                <w:sz w:val="21"/>
                <w:szCs w:val="21"/>
              </w:rPr>
              <w:t>东</w:t>
            </w:r>
            <w:r>
              <w:rPr>
                <w:rFonts w:hint="eastAsia"/>
                <w:sz w:val="21"/>
                <w:szCs w:val="21"/>
                <w:lang w:val="en-US" w:eastAsia="zh-CN"/>
              </w:rPr>
              <w:t>50</w:t>
            </w:r>
          </w:p>
        </w:tc>
        <w:tc>
          <w:tcPr>
            <w:tcW w:w="511" w:type="dxa"/>
            <w:tcMar>
              <w:left w:w="28" w:type="dxa"/>
              <w:right w:w="28" w:type="dxa"/>
            </w:tcMar>
            <w:vAlign w:val="center"/>
          </w:tcPr>
          <w:p w14:paraId="4F5842C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55.8</w:t>
            </w:r>
          </w:p>
        </w:tc>
        <w:tc>
          <w:tcPr>
            <w:tcW w:w="340" w:type="dxa"/>
            <w:vMerge w:val="restart"/>
            <w:tcMar>
              <w:left w:w="28" w:type="dxa"/>
              <w:right w:w="28" w:type="dxa"/>
            </w:tcMar>
            <w:vAlign w:val="center"/>
          </w:tcPr>
          <w:p w14:paraId="3BA022F6">
            <w:pPr>
              <w:pStyle w:val="75"/>
              <w:adjustRightInd w:val="0"/>
              <w:snapToGrid w:val="0"/>
              <w:contextualSpacing w:val="0"/>
            </w:pPr>
            <w:r>
              <w:t>持续运行</w:t>
            </w:r>
          </w:p>
        </w:tc>
        <w:tc>
          <w:tcPr>
            <w:tcW w:w="596" w:type="dxa"/>
            <w:vMerge w:val="restart"/>
            <w:tcMar>
              <w:left w:w="28" w:type="dxa"/>
              <w:right w:w="28" w:type="dxa"/>
            </w:tcMar>
            <w:vAlign w:val="center"/>
          </w:tcPr>
          <w:p w14:paraId="75D2184D">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6211B518">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35.8</w:t>
            </w:r>
          </w:p>
        </w:tc>
        <w:tc>
          <w:tcPr>
            <w:tcW w:w="928" w:type="dxa"/>
            <w:tcMar>
              <w:left w:w="28" w:type="dxa"/>
              <w:right w:w="28" w:type="dxa"/>
            </w:tcMar>
            <w:vAlign w:val="center"/>
          </w:tcPr>
          <w:p w14:paraId="2B15C566">
            <w:pPr>
              <w:pStyle w:val="75"/>
              <w:adjustRightInd w:val="0"/>
              <w:snapToGrid w:val="0"/>
              <w:contextualSpacing w:val="0"/>
            </w:pPr>
            <w:r>
              <w:t>1m</w:t>
            </w:r>
          </w:p>
        </w:tc>
      </w:tr>
      <w:tr w14:paraId="7649C9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1C4AAF68">
            <w:pPr>
              <w:pStyle w:val="75"/>
              <w:adjustRightInd w:val="0"/>
              <w:snapToGrid w:val="0"/>
              <w:contextualSpacing w:val="0"/>
            </w:pPr>
          </w:p>
        </w:tc>
        <w:tc>
          <w:tcPr>
            <w:tcW w:w="511" w:type="dxa"/>
            <w:vMerge w:val="continue"/>
            <w:tcMar>
              <w:left w:w="28" w:type="dxa"/>
              <w:right w:w="28" w:type="dxa"/>
            </w:tcMar>
            <w:vAlign w:val="center"/>
          </w:tcPr>
          <w:p w14:paraId="592F1B68">
            <w:pPr>
              <w:pStyle w:val="75"/>
              <w:adjustRightInd w:val="0"/>
              <w:snapToGrid w:val="0"/>
              <w:contextualSpacing w:val="0"/>
            </w:pPr>
          </w:p>
        </w:tc>
        <w:tc>
          <w:tcPr>
            <w:tcW w:w="511" w:type="dxa"/>
            <w:vMerge w:val="continue"/>
            <w:tcMar>
              <w:left w:w="28" w:type="dxa"/>
              <w:right w:w="28" w:type="dxa"/>
            </w:tcMar>
            <w:vAlign w:val="center"/>
          </w:tcPr>
          <w:p w14:paraId="47209A01">
            <w:pPr>
              <w:pStyle w:val="75"/>
              <w:adjustRightInd w:val="0"/>
              <w:snapToGrid w:val="0"/>
              <w:contextualSpacing w:val="0"/>
              <w:jc w:val="left"/>
            </w:pPr>
          </w:p>
        </w:tc>
        <w:tc>
          <w:tcPr>
            <w:tcW w:w="426" w:type="dxa"/>
            <w:vMerge w:val="continue"/>
            <w:tcMar>
              <w:left w:w="28" w:type="dxa"/>
              <w:right w:w="28" w:type="dxa"/>
            </w:tcMar>
            <w:vAlign w:val="center"/>
          </w:tcPr>
          <w:p w14:paraId="78E05A2E">
            <w:pPr>
              <w:pStyle w:val="75"/>
              <w:adjustRightInd w:val="0"/>
              <w:snapToGrid w:val="0"/>
              <w:contextualSpacing w:val="0"/>
              <w:rPr>
                <w:rFonts w:eastAsia="MS Gothic"/>
              </w:rPr>
            </w:pPr>
          </w:p>
        </w:tc>
        <w:tc>
          <w:tcPr>
            <w:tcW w:w="681" w:type="dxa"/>
            <w:vMerge w:val="continue"/>
            <w:tcMar>
              <w:left w:w="28" w:type="dxa"/>
              <w:right w:w="28" w:type="dxa"/>
            </w:tcMar>
            <w:vAlign w:val="center"/>
          </w:tcPr>
          <w:p w14:paraId="35FD120C">
            <w:pPr>
              <w:pStyle w:val="75"/>
              <w:adjustRightInd w:val="0"/>
              <w:snapToGrid w:val="0"/>
              <w:contextualSpacing w:val="0"/>
            </w:pPr>
          </w:p>
        </w:tc>
        <w:tc>
          <w:tcPr>
            <w:tcW w:w="340" w:type="dxa"/>
            <w:vMerge w:val="continue"/>
            <w:tcMar>
              <w:left w:w="28" w:type="dxa"/>
              <w:right w:w="28" w:type="dxa"/>
            </w:tcMar>
            <w:vAlign w:val="center"/>
          </w:tcPr>
          <w:p w14:paraId="38EAA192">
            <w:pPr>
              <w:pStyle w:val="75"/>
              <w:adjustRightInd w:val="0"/>
              <w:snapToGrid w:val="0"/>
              <w:contextualSpacing w:val="0"/>
            </w:pPr>
          </w:p>
        </w:tc>
        <w:tc>
          <w:tcPr>
            <w:tcW w:w="511" w:type="dxa"/>
            <w:vMerge w:val="continue"/>
            <w:tcMar>
              <w:left w:w="28" w:type="dxa"/>
              <w:right w:w="28" w:type="dxa"/>
            </w:tcMar>
            <w:vAlign w:val="center"/>
          </w:tcPr>
          <w:p w14:paraId="62C817A8">
            <w:pPr>
              <w:spacing w:line="240" w:lineRule="auto"/>
              <w:ind w:firstLine="0" w:firstLineChars="0"/>
              <w:jc w:val="center"/>
              <w:rPr>
                <w:sz w:val="21"/>
                <w:szCs w:val="21"/>
              </w:rPr>
            </w:pPr>
          </w:p>
        </w:tc>
        <w:tc>
          <w:tcPr>
            <w:tcW w:w="511" w:type="dxa"/>
            <w:vMerge w:val="continue"/>
            <w:tcMar>
              <w:left w:w="28" w:type="dxa"/>
              <w:right w:w="28" w:type="dxa"/>
            </w:tcMar>
            <w:vAlign w:val="center"/>
          </w:tcPr>
          <w:p w14:paraId="03FA1482">
            <w:pPr>
              <w:pStyle w:val="75"/>
              <w:adjustRightInd w:val="0"/>
              <w:snapToGrid w:val="0"/>
              <w:contextualSpacing w:val="0"/>
            </w:pPr>
          </w:p>
        </w:tc>
        <w:tc>
          <w:tcPr>
            <w:tcW w:w="340" w:type="dxa"/>
            <w:vMerge w:val="continue"/>
            <w:tcMar>
              <w:left w:w="28" w:type="dxa"/>
              <w:right w:w="28" w:type="dxa"/>
            </w:tcMar>
            <w:vAlign w:val="center"/>
          </w:tcPr>
          <w:p w14:paraId="4EA3DBEB">
            <w:pPr>
              <w:spacing w:line="240" w:lineRule="auto"/>
              <w:ind w:firstLine="0" w:firstLineChars="0"/>
              <w:jc w:val="center"/>
              <w:rPr>
                <w:sz w:val="21"/>
                <w:szCs w:val="21"/>
              </w:rPr>
            </w:pPr>
          </w:p>
        </w:tc>
        <w:tc>
          <w:tcPr>
            <w:tcW w:w="340" w:type="dxa"/>
            <w:vMerge w:val="continue"/>
            <w:tcMar>
              <w:left w:w="28" w:type="dxa"/>
              <w:right w:w="28" w:type="dxa"/>
            </w:tcMar>
            <w:vAlign w:val="center"/>
          </w:tcPr>
          <w:p w14:paraId="35B0732F">
            <w:pPr>
              <w:spacing w:line="240" w:lineRule="auto"/>
              <w:ind w:firstLine="0" w:firstLineChars="0"/>
              <w:jc w:val="center"/>
              <w:rPr>
                <w:sz w:val="21"/>
                <w:szCs w:val="21"/>
              </w:rPr>
            </w:pPr>
          </w:p>
        </w:tc>
        <w:tc>
          <w:tcPr>
            <w:tcW w:w="340" w:type="dxa"/>
            <w:vMerge w:val="continue"/>
            <w:tcMar>
              <w:left w:w="28" w:type="dxa"/>
              <w:right w:w="28" w:type="dxa"/>
            </w:tcMar>
            <w:vAlign w:val="center"/>
          </w:tcPr>
          <w:p w14:paraId="4420A717">
            <w:pPr>
              <w:spacing w:line="240" w:lineRule="auto"/>
              <w:ind w:firstLine="0" w:firstLineChars="0"/>
              <w:jc w:val="center"/>
              <w:rPr>
                <w:sz w:val="21"/>
                <w:szCs w:val="21"/>
              </w:rPr>
            </w:pPr>
          </w:p>
        </w:tc>
        <w:tc>
          <w:tcPr>
            <w:tcW w:w="511" w:type="dxa"/>
            <w:tcMar>
              <w:left w:w="28" w:type="dxa"/>
              <w:right w:w="28" w:type="dxa"/>
            </w:tcMar>
            <w:vAlign w:val="center"/>
          </w:tcPr>
          <w:p w14:paraId="514766B8">
            <w:pPr>
              <w:spacing w:line="240" w:lineRule="auto"/>
              <w:ind w:firstLine="0" w:firstLineChars="0"/>
              <w:jc w:val="center"/>
              <w:rPr>
                <w:sz w:val="21"/>
                <w:szCs w:val="21"/>
              </w:rPr>
            </w:pPr>
            <w:r>
              <w:rPr>
                <w:sz w:val="21"/>
                <w:szCs w:val="21"/>
              </w:rPr>
              <w:t>南</w:t>
            </w:r>
            <w:r>
              <w:rPr>
                <w:rFonts w:hint="eastAsia"/>
                <w:sz w:val="21"/>
                <w:szCs w:val="21"/>
                <w:lang w:val="en-US" w:eastAsia="zh-CN"/>
              </w:rPr>
              <w:t>94</w:t>
            </w:r>
          </w:p>
        </w:tc>
        <w:tc>
          <w:tcPr>
            <w:tcW w:w="511" w:type="dxa"/>
            <w:tcMar>
              <w:left w:w="28" w:type="dxa"/>
              <w:right w:w="28" w:type="dxa"/>
            </w:tcMar>
            <w:vAlign w:val="center"/>
          </w:tcPr>
          <w:p w14:paraId="54AE05E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50.3</w:t>
            </w:r>
          </w:p>
        </w:tc>
        <w:tc>
          <w:tcPr>
            <w:tcW w:w="340" w:type="dxa"/>
            <w:vMerge w:val="continue"/>
            <w:tcMar>
              <w:left w:w="28" w:type="dxa"/>
              <w:right w:w="28" w:type="dxa"/>
            </w:tcMar>
            <w:vAlign w:val="center"/>
          </w:tcPr>
          <w:p w14:paraId="64D6CD67">
            <w:pPr>
              <w:pStyle w:val="75"/>
              <w:adjustRightInd w:val="0"/>
              <w:snapToGrid w:val="0"/>
              <w:contextualSpacing w:val="0"/>
            </w:pPr>
          </w:p>
        </w:tc>
        <w:tc>
          <w:tcPr>
            <w:tcW w:w="596" w:type="dxa"/>
            <w:vMerge w:val="continue"/>
            <w:tcMar>
              <w:left w:w="28" w:type="dxa"/>
              <w:right w:w="28" w:type="dxa"/>
            </w:tcMar>
            <w:vAlign w:val="center"/>
          </w:tcPr>
          <w:p w14:paraId="087EE832">
            <w:pPr>
              <w:pStyle w:val="75"/>
              <w:adjustRightInd w:val="0"/>
              <w:snapToGrid w:val="0"/>
              <w:contextualSpacing w:val="0"/>
            </w:pPr>
          </w:p>
        </w:tc>
        <w:tc>
          <w:tcPr>
            <w:tcW w:w="623" w:type="dxa"/>
            <w:tcMar>
              <w:left w:w="28" w:type="dxa"/>
              <w:right w:w="28" w:type="dxa"/>
            </w:tcMar>
            <w:vAlign w:val="center"/>
          </w:tcPr>
          <w:p w14:paraId="377644D2">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30.3</w:t>
            </w:r>
          </w:p>
        </w:tc>
        <w:tc>
          <w:tcPr>
            <w:tcW w:w="928" w:type="dxa"/>
            <w:tcMar>
              <w:left w:w="28" w:type="dxa"/>
              <w:right w:w="28" w:type="dxa"/>
            </w:tcMar>
            <w:vAlign w:val="center"/>
          </w:tcPr>
          <w:p w14:paraId="4C8EA32E">
            <w:pPr>
              <w:pStyle w:val="75"/>
              <w:adjustRightInd w:val="0"/>
              <w:snapToGrid w:val="0"/>
              <w:contextualSpacing w:val="0"/>
            </w:pPr>
            <w:r>
              <w:t>1m</w:t>
            </w:r>
          </w:p>
        </w:tc>
      </w:tr>
      <w:tr w14:paraId="13AEC1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226F1821">
            <w:pPr>
              <w:pStyle w:val="75"/>
              <w:adjustRightInd w:val="0"/>
              <w:snapToGrid w:val="0"/>
              <w:contextualSpacing w:val="0"/>
            </w:pPr>
          </w:p>
        </w:tc>
        <w:tc>
          <w:tcPr>
            <w:tcW w:w="511" w:type="dxa"/>
            <w:vMerge w:val="continue"/>
            <w:tcMar>
              <w:left w:w="28" w:type="dxa"/>
              <w:right w:w="28" w:type="dxa"/>
            </w:tcMar>
            <w:vAlign w:val="center"/>
          </w:tcPr>
          <w:p w14:paraId="6311DE60">
            <w:pPr>
              <w:pStyle w:val="75"/>
              <w:adjustRightInd w:val="0"/>
              <w:snapToGrid w:val="0"/>
              <w:contextualSpacing w:val="0"/>
            </w:pPr>
          </w:p>
        </w:tc>
        <w:tc>
          <w:tcPr>
            <w:tcW w:w="511" w:type="dxa"/>
            <w:vMerge w:val="continue"/>
            <w:tcMar>
              <w:left w:w="28" w:type="dxa"/>
              <w:right w:w="28" w:type="dxa"/>
            </w:tcMar>
            <w:vAlign w:val="center"/>
          </w:tcPr>
          <w:p w14:paraId="0111863D">
            <w:pPr>
              <w:pStyle w:val="75"/>
              <w:adjustRightInd w:val="0"/>
              <w:snapToGrid w:val="0"/>
              <w:contextualSpacing w:val="0"/>
              <w:jc w:val="left"/>
            </w:pPr>
          </w:p>
        </w:tc>
        <w:tc>
          <w:tcPr>
            <w:tcW w:w="426" w:type="dxa"/>
            <w:vMerge w:val="continue"/>
            <w:tcMar>
              <w:left w:w="28" w:type="dxa"/>
              <w:right w:w="28" w:type="dxa"/>
            </w:tcMar>
            <w:vAlign w:val="center"/>
          </w:tcPr>
          <w:p w14:paraId="1AD671BE">
            <w:pPr>
              <w:pStyle w:val="75"/>
              <w:adjustRightInd w:val="0"/>
              <w:snapToGrid w:val="0"/>
              <w:contextualSpacing w:val="0"/>
              <w:rPr>
                <w:rFonts w:eastAsia="MS Gothic"/>
              </w:rPr>
            </w:pPr>
          </w:p>
        </w:tc>
        <w:tc>
          <w:tcPr>
            <w:tcW w:w="681" w:type="dxa"/>
            <w:vMerge w:val="continue"/>
            <w:tcMar>
              <w:left w:w="28" w:type="dxa"/>
              <w:right w:w="28" w:type="dxa"/>
            </w:tcMar>
            <w:vAlign w:val="center"/>
          </w:tcPr>
          <w:p w14:paraId="19BC29A3">
            <w:pPr>
              <w:pStyle w:val="75"/>
              <w:adjustRightInd w:val="0"/>
              <w:snapToGrid w:val="0"/>
              <w:contextualSpacing w:val="0"/>
            </w:pPr>
          </w:p>
        </w:tc>
        <w:tc>
          <w:tcPr>
            <w:tcW w:w="340" w:type="dxa"/>
            <w:vMerge w:val="continue"/>
            <w:tcMar>
              <w:left w:w="28" w:type="dxa"/>
              <w:right w:w="28" w:type="dxa"/>
            </w:tcMar>
            <w:vAlign w:val="center"/>
          </w:tcPr>
          <w:p w14:paraId="298580B8">
            <w:pPr>
              <w:pStyle w:val="75"/>
              <w:adjustRightInd w:val="0"/>
              <w:snapToGrid w:val="0"/>
              <w:contextualSpacing w:val="0"/>
            </w:pPr>
          </w:p>
        </w:tc>
        <w:tc>
          <w:tcPr>
            <w:tcW w:w="511" w:type="dxa"/>
            <w:vMerge w:val="continue"/>
            <w:tcMar>
              <w:left w:w="28" w:type="dxa"/>
              <w:right w:w="28" w:type="dxa"/>
            </w:tcMar>
            <w:vAlign w:val="center"/>
          </w:tcPr>
          <w:p w14:paraId="24435790">
            <w:pPr>
              <w:spacing w:line="240" w:lineRule="auto"/>
              <w:ind w:firstLine="0" w:firstLineChars="0"/>
              <w:jc w:val="center"/>
              <w:rPr>
                <w:sz w:val="21"/>
                <w:szCs w:val="21"/>
              </w:rPr>
            </w:pPr>
          </w:p>
        </w:tc>
        <w:tc>
          <w:tcPr>
            <w:tcW w:w="511" w:type="dxa"/>
            <w:vMerge w:val="continue"/>
            <w:tcMar>
              <w:left w:w="28" w:type="dxa"/>
              <w:right w:w="28" w:type="dxa"/>
            </w:tcMar>
            <w:vAlign w:val="center"/>
          </w:tcPr>
          <w:p w14:paraId="09223588">
            <w:pPr>
              <w:pStyle w:val="75"/>
              <w:adjustRightInd w:val="0"/>
              <w:snapToGrid w:val="0"/>
              <w:contextualSpacing w:val="0"/>
            </w:pPr>
          </w:p>
        </w:tc>
        <w:tc>
          <w:tcPr>
            <w:tcW w:w="340" w:type="dxa"/>
            <w:vMerge w:val="continue"/>
            <w:tcMar>
              <w:left w:w="28" w:type="dxa"/>
              <w:right w:w="28" w:type="dxa"/>
            </w:tcMar>
            <w:vAlign w:val="center"/>
          </w:tcPr>
          <w:p w14:paraId="40532574">
            <w:pPr>
              <w:spacing w:line="240" w:lineRule="auto"/>
              <w:ind w:firstLine="0" w:firstLineChars="0"/>
              <w:jc w:val="center"/>
              <w:rPr>
                <w:sz w:val="21"/>
                <w:szCs w:val="21"/>
              </w:rPr>
            </w:pPr>
          </w:p>
        </w:tc>
        <w:tc>
          <w:tcPr>
            <w:tcW w:w="340" w:type="dxa"/>
            <w:vMerge w:val="continue"/>
            <w:tcMar>
              <w:left w:w="28" w:type="dxa"/>
              <w:right w:w="28" w:type="dxa"/>
            </w:tcMar>
            <w:vAlign w:val="center"/>
          </w:tcPr>
          <w:p w14:paraId="1BBD24A2">
            <w:pPr>
              <w:spacing w:line="240" w:lineRule="auto"/>
              <w:ind w:firstLine="0" w:firstLineChars="0"/>
              <w:jc w:val="center"/>
              <w:rPr>
                <w:sz w:val="21"/>
                <w:szCs w:val="21"/>
              </w:rPr>
            </w:pPr>
          </w:p>
        </w:tc>
        <w:tc>
          <w:tcPr>
            <w:tcW w:w="340" w:type="dxa"/>
            <w:vMerge w:val="continue"/>
            <w:tcMar>
              <w:left w:w="28" w:type="dxa"/>
              <w:right w:w="28" w:type="dxa"/>
            </w:tcMar>
            <w:vAlign w:val="center"/>
          </w:tcPr>
          <w:p w14:paraId="749CA694">
            <w:pPr>
              <w:spacing w:line="240" w:lineRule="auto"/>
              <w:ind w:firstLine="0" w:firstLineChars="0"/>
              <w:jc w:val="center"/>
              <w:rPr>
                <w:sz w:val="21"/>
                <w:szCs w:val="21"/>
              </w:rPr>
            </w:pPr>
          </w:p>
        </w:tc>
        <w:tc>
          <w:tcPr>
            <w:tcW w:w="511" w:type="dxa"/>
            <w:tcMar>
              <w:left w:w="28" w:type="dxa"/>
              <w:right w:w="28" w:type="dxa"/>
            </w:tcMar>
            <w:vAlign w:val="center"/>
          </w:tcPr>
          <w:p w14:paraId="30160083">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17</w:t>
            </w:r>
          </w:p>
        </w:tc>
        <w:tc>
          <w:tcPr>
            <w:tcW w:w="511" w:type="dxa"/>
            <w:tcMar>
              <w:left w:w="28" w:type="dxa"/>
              <w:right w:w="28" w:type="dxa"/>
            </w:tcMar>
            <w:vAlign w:val="center"/>
          </w:tcPr>
          <w:p w14:paraId="2E09F3C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65.2</w:t>
            </w:r>
          </w:p>
        </w:tc>
        <w:tc>
          <w:tcPr>
            <w:tcW w:w="340" w:type="dxa"/>
            <w:vMerge w:val="continue"/>
            <w:tcMar>
              <w:left w:w="28" w:type="dxa"/>
              <w:right w:w="28" w:type="dxa"/>
            </w:tcMar>
            <w:vAlign w:val="center"/>
          </w:tcPr>
          <w:p w14:paraId="735FD50F">
            <w:pPr>
              <w:pStyle w:val="75"/>
              <w:adjustRightInd w:val="0"/>
              <w:snapToGrid w:val="0"/>
              <w:contextualSpacing w:val="0"/>
            </w:pPr>
          </w:p>
        </w:tc>
        <w:tc>
          <w:tcPr>
            <w:tcW w:w="596" w:type="dxa"/>
            <w:vMerge w:val="continue"/>
            <w:tcMar>
              <w:left w:w="28" w:type="dxa"/>
              <w:right w:w="28" w:type="dxa"/>
            </w:tcMar>
            <w:vAlign w:val="center"/>
          </w:tcPr>
          <w:p w14:paraId="74DD8647">
            <w:pPr>
              <w:pStyle w:val="75"/>
              <w:adjustRightInd w:val="0"/>
              <w:snapToGrid w:val="0"/>
              <w:contextualSpacing w:val="0"/>
            </w:pPr>
          </w:p>
        </w:tc>
        <w:tc>
          <w:tcPr>
            <w:tcW w:w="623" w:type="dxa"/>
            <w:tcMar>
              <w:left w:w="28" w:type="dxa"/>
              <w:right w:w="28" w:type="dxa"/>
            </w:tcMar>
            <w:vAlign w:val="center"/>
          </w:tcPr>
          <w:p w14:paraId="0CC68295">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45.2</w:t>
            </w:r>
          </w:p>
        </w:tc>
        <w:tc>
          <w:tcPr>
            <w:tcW w:w="928" w:type="dxa"/>
            <w:tcMar>
              <w:left w:w="28" w:type="dxa"/>
              <w:right w:w="28" w:type="dxa"/>
            </w:tcMar>
            <w:vAlign w:val="center"/>
          </w:tcPr>
          <w:p w14:paraId="41C73C28">
            <w:pPr>
              <w:pStyle w:val="75"/>
              <w:adjustRightInd w:val="0"/>
              <w:snapToGrid w:val="0"/>
              <w:contextualSpacing w:val="0"/>
            </w:pPr>
            <w:r>
              <w:t>1m</w:t>
            </w:r>
          </w:p>
        </w:tc>
      </w:tr>
      <w:tr w14:paraId="36BF7E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652D4575">
            <w:pPr>
              <w:pStyle w:val="75"/>
              <w:adjustRightInd w:val="0"/>
              <w:snapToGrid w:val="0"/>
              <w:contextualSpacing w:val="0"/>
            </w:pPr>
          </w:p>
        </w:tc>
        <w:tc>
          <w:tcPr>
            <w:tcW w:w="511" w:type="dxa"/>
            <w:vMerge w:val="continue"/>
            <w:tcMar>
              <w:left w:w="28" w:type="dxa"/>
              <w:right w:w="28" w:type="dxa"/>
            </w:tcMar>
            <w:vAlign w:val="center"/>
          </w:tcPr>
          <w:p w14:paraId="69CBC9DA">
            <w:pPr>
              <w:pStyle w:val="75"/>
              <w:adjustRightInd w:val="0"/>
              <w:snapToGrid w:val="0"/>
              <w:contextualSpacing w:val="0"/>
            </w:pPr>
          </w:p>
        </w:tc>
        <w:tc>
          <w:tcPr>
            <w:tcW w:w="511" w:type="dxa"/>
            <w:vMerge w:val="continue"/>
            <w:tcMar>
              <w:left w:w="28" w:type="dxa"/>
              <w:right w:w="28" w:type="dxa"/>
            </w:tcMar>
            <w:vAlign w:val="center"/>
          </w:tcPr>
          <w:p w14:paraId="7FF227D0">
            <w:pPr>
              <w:pStyle w:val="75"/>
              <w:adjustRightInd w:val="0"/>
              <w:snapToGrid w:val="0"/>
              <w:contextualSpacing w:val="0"/>
              <w:jc w:val="left"/>
            </w:pPr>
          </w:p>
        </w:tc>
        <w:tc>
          <w:tcPr>
            <w:tcW w:w="426" w:type="dxa"/>
            <w:vMerge w:val="continue"/>
            <w:tcMar>
              <w:left w:w="28" w:type="dxa"/>
              <w:right w:w="28" w:type="dxa"/>
            </w:tcMar>
            <w:vAlign w:val="center"/>
          </w:tcPr>
          <w:p w14:paraId="147E90AB">
            <w:pPr>
              <w:pStyle w:val="75"/>
              <w:adjustRightInd w:val="0"/>
              <w:snapToGrid w:val="0"/>
              <w:contextualSpacing w:val="0"/>
              <w:rPr>
                <w:rFonts w:eastAsia="MS Gothic"/>
              </w:rPr>
            </w:pPr>
          </w:p>
        </w:tc>
        <w:tc>
          <w:tcPr>
            <w:tcW w:w="681" w:type="dxa"/>
            <w:vMerge w:val="continue"/>
            <w:tcMar>
              <w:left w:w="28" w:type="dxa"/>
              <w:right w:w="28" w:type="dxa"/>
            </w:tcMar>
            <w:vAlign w:val="center"/>
          </w:tcPr>
          <w:p w14:paraId="2EC884F6">
            <w:pPr>
              <w:pStyle w:val="75"/>
              <w:adjustRightInd w:val="0"/>
              <w:snapToGrid w:val="0"/>
              <w:contextualSpacing w:val="0"/>
            </w:pPr>
          </w:p>
        </w:tc>
        <w:tc>
          <w:tcPr>
            <w:tcW w:w="340" w:type="dxa"/>
            <w:vMerge w:val="continue"/>
            <w:tcMar>
              <w:left w:w="28" w:type="dxa"/>
              <w:right w:w="28" w:type="dxa"/>
            </w:tcMar>
            <w:vAlign w:val="center"/>
          </w:tcPr>
          <w:p w14:paraId="33660206">
            <w:pPr>
              <w:pStyle w:val="75"/>
              <w:adjustRightInd w:val="0"/>
              <w:snapToGrid w:val="0"/>
              <w:contextualSpacing w:val="0"/>
            </w:pPr>
          </w:p>
        </w:tc>
        <w:tc>
          <w:tcPr>
            <w:tcW w:w="511" w:type="dxa"/>
            <w:vMerge w:val="continue"/>
            <w:tcMar>
              <w:left w:w="28" w:type="dxa"/>
              <w:right w:w="28" w:type="dxa"/>
            </w:tcMar>
            <w:vAlign w:val="center"/>
          </w:tcPr>
          <w:p w14:paraId="1C361D1D">
            <w:pPr>
              <w:spacing w:line="240" w:lineRule="auto"/>
              <w:ind w:firstLine="0" w:firstLineChars="0"/>
              <w:jc w:val="center"/>
              <w:rPr>
                <w:sz w:val="21"/>
                <w:szCs w:val="21"/>
              </w:rPr>
            </w:pPr>
          </w:p>
        </w:tc>
        <w:tc>
          <w:tcPr>
            <w:tcW w:w="511" w:type="dxa"/>
            <w:vMerge w:val="continue"/>
            <w:tcMar>
              <w:left w:w="28" w:type="dxa"/>
              <w:right w:w="28" w:type="dxa"/>
            </w:tcMar>
            <w:vAlign w:val="center"/>
          </w:tcPr>
          <w:p w14:paraId="04A9747E">
            <w:pPr>
              <w:pStyle w:val="75"/>
              <w:adjustRightInd w:val="0"/>
              <w:snapToGrid w:val="0"/>
              <w:contextualSpacing w:val="0"/>
            </w:pPr>
          </w:p>
        </w:tc>
        <w:tc>
          <w:tcPr>
            <w:tcW w:w="340" w:type="dxa"/>
            <w:vMerge w:val="continue"/>
            <w:tcMar>
              <w:left w:w="28" w:type="dxa"/>
              <w:right w:w="28" w:type="dxa"/>
            </w:tcMar>
            <w:vAlign w:val="center"/>
          </w:tcPr>
          <w:p w14:paraId="619E506B">
            <w:pPr>
              <w:spacing w:line="240" w:lineRule="auto"/>
              <w:ind w:firstLine="0" w:firstLineChars="0"/>
              <w:jc w:val="center"/>
              <w:rPr>
                <w:sz w:val="21"/>
                <w:szCs w:val="21"/>
              </w:rPr>
            </w:pPr>
          </w:p>
        </w:tc>
        <w:tc>
          <w:tcPr>
            <w:tcW w:w="340" w:type="dxa"/>
            <w:vMerge w:val="continue"/>
            <w:tcMar>
              <w:left w:w="28" w:type="dxa"/>
              <w:right w:w="28" w:type="dxa"/>
            </w:tcMar>
            <w:vAlign w:val="center"/>
          </w:tcPr>
          <w:p w14:paraId="414CEBAE">
            <w:pPr>
              <w:spacing w:line="240" w:lineRule="auto"/>
              <w:ind w:firstLine="0" w:firstLineChars="0"/>
              <w:jc w:val="center"/>
              <w:rPr>
                <w:sz w:val="21"/>
                <w:szCs w:val="21"/>
              </w:rPr>
            </w:pPr>
          </w:p>
        </w:tc>
        <w:tc>
          <w:tcPr>
            <w:tcW w:w="340" w:type="dxa"/>
            <w:vMerge w:val="continue"/>
            <w:tcMar>
              <w:left w:w="28" w:type="dxa"/>
              <w:right w:w="28" w:type="dxa"/>
            </w:tcMar>
            <w:vAlign w:val="center"/>
          </w:tcPr>
          <w:p w14:paraId="2BA2AF6D">
            <w:pPr>
              <w:spacing w:line="240" w:lineRule="auto"/>
              <w:ind w:firstLine="0" w:firstLineChars="0"/>
              <w:jc w:val="center"/>
              <w:rPr>
                <w:sz w:val="21"/>
                <w:szCs w:val="21"/>
              </w:rPr>
            </w:pPr>
          </w:p>
        </w:tc>
        <w:tc>
          <w:tcPr>
            <w:tcW w:w="511" w:type="dxa"/>
            <w:tcMar>
              <w:left w:w="28" w:type="dxa"/>
              <w:right w:w="28" w:type="dxa"/>
            </w:tcMar>
            <w:vAlign w:val="center"/>
          </w:tcPr>
          <w:p w14:paraId="215114BC">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24</w:t>
            </w:r>
          </w:p>
        </w:tc>
        <w:tc>
          <w:tcPr>
            <w:tcW w:w="511" w:type="dxa"/>
            <w:tcMar>
              <w:left w:w="28" w:type="dxa"/>
              <w:right w:w="28" w:type="dxa"/>
            </w:tcMar>
            <w:vAlign w:val="center"/>
          </w:tcPr>
          <w:p w14:paraId="2FED2A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62.2</w:t>
            </w:r>
          </w:p>
        </w:tc>
        <w:tc>
          <w:tcPr>
            <w:tcW w:w="340" w:type="dxa"/>
            <w:vMerge w:val="continue"/>
            <w:tcMar>
              <w:left w:w="28" w:type="dxa"/>
              <w:right w:w="28" w:type="dxa"/>
            </w:tcMar>
            <w:vAlign w:val="center"/>
          </w:tcPr>
          <w:p w14:paraId="5841BF67">
            <w:pPr>
              <w:pStyle w:val="75"/>
              <w:adjustRightInd w:val="0"/>
              <w:snapToGrid w:val="0"/>
              <w:contextualSpacing w:val="0"/>
            </w:pPr>
          </w:p>
        </w:tc>
        <w:tc>
          <w:tcPr>
            <w:tcW w:w="596" w:type="dxa"/>
            <w:vMerge w:val="continue"/>
            <w:tcMar>
              <w:left w:w="28" w:type="dxa"/>
              <w:right w:w="28" w:type="dxa"/>
            </w:tcMar>
            <w:vAlign w:val="center"/>
          </w:tcPr>
          <w:p w14:paraId="7334A06C">
            <w:pPr>
              <w:pStyle w:val="75"/>
              <w:adjustRightInd w:val="0"/>
              <w:snapToGrid w:val="0"/>
              <w:contextualSpacing w:val="0"/>
            </w:pPr>
          </w:p>
        </w:tc>
        <w:tc>
          <w:tcPr>
            <w:tcW w:w="623" w:type="dxa"/>
            <w:tcMar>
              <w:left w:w="28" w:type="dxa"/>
              <w:right w:w="28" w:type="dxa"/>
            </w:tcMar>
            <w:vAlign w:val="center"/>
          </w:tcPr>
          <w:p w14:paraId="253BCA8F">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42.2</w:t>
            </w:r>
          </w:p>
        </w:tc>
        <w:tc>
          <w:tcPr>
            <w:tcW w:w="928" w:type="dxa"/>
            <w:tcMar>
              <w:left w:w="28" w:type="dxa"/>
              <w:right w:w="28" w:type="dxa"/>
            </w:tcMar>
            <w:vAlign w:val="center"/>
          </w:tcPr>
          <w:p w14:paraId="047992A7">
            <w:pPr>
              <w:pStyle w:val="75"/>
              <w:adjustRightInd w:val="0"/>
              <w:snapToGrid w:val="0"/>
              <w:contextualSpacing w:val="0"/>
            </w:pPr>
            <w:r>
              <w:t>1m</w:t>
            </w:r>
          </w:p>
        </w:tc>
      </w:tr>
      <w:tr w14:paraId="010255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restart"/>
            <w:tcMar>
              <w:left w:w="28" w:type="dxa"/>
              <w:right w:w="28" w:type="dxa"/>
            </w:tcMar>
            <w:vAlign w:val="center"/>
          </w:tcPr>
          <w:p w14:paraId="186D002F">
            <w:pPr>
              <w:pStyle w:val="75"/>
              <w:adjustRightInd w:val="0"/>
              <w:snapToGrid w:val="0"/>
              <w:contextualSpacing w:val="0"/>
            </w:pPr>
            <w:r>
              <w:rPr>
                <w:rFonts w:hint="eastAsia"/>
              </w:rPr>
              <w:t>2</w:t>
            </w:r>
          </w:p>
        </w:tc>
        <w:tc>
          <w:tcPr>
            <w:tcW w:w="511" w:type="dxa"/>
            <w:vMerge w:val="continue"/>
            <w:tcMar>
              <w:left w:w="28" w:type="dxa"/>
              <w:right w:w="28" w:type="dxa"/>
            </w:tcMar>
            <w:vAlign w:val="center"/>
          </w:tcPr>
          <w:p w14:paraId="532959CA">
            <w:pPr>
              <w:pStyle w:val="75"/>
              <w:adjustRightInd w:val="0"/>
              <w:snapToGrid w:val="0"/>
              <w:contextualSpacing w:val="0"/>
            </w:pPr>
          </w:p>
        </w:tc>
        <w:tc>
          <w:tcPr>
            <w:tcW w:w="511" w:type="dxa"/>
            <w:vMerge w:val="restart"/>
            <w:tcMar>
              <w:left w:w="28" w:type="dxa"/>
              <w:right w:w="28" w:type="dxa"/>
            </w:tcMar>
            <w:vAlign w:val="center"/>
          </w:tcPr>
          <w:p w14:paraId="0F4167BF">
            <w:pPr>
              <w:pStyle w:val="75"/>
              <w:adjustRightInd w:val="0"/>
              <w:snapToGrid w:val="0"/>
              <w:contextualSpacing w:val="0"/>
              <w:jc w:val="left"/>
            </w:pPr>
            <w:r>
              <w:rPr>
                <w:rFonts w:hint="eastAsia"/>
              </w:rPr>
              <w:t>分切机</w:t>
            </w:r>
          </w:p>
        </w:tc>
        <w:tc>
          <w:tcPr>
            <w:tcW w:w="426" w:type="dxa"/>
            <w:vMerge w:val="restart"/>
            <w:tcMar>
              <w:left w:w="28" w:type="dxa"/>
              <w:right w:w="28" w:type="dxa"/>
            </w:tcMar>
            <w:vAlign w:val="center"/>
          </w:tcPr>
          <w:p w14:paraId="383D31B9">
            <w:pPr>
              <w:pStyle w:val="75"/>
              <w:adjustRightInd w:val="0"/>
              <w:snapToGrid w:val="0"/>
              <w:contextualSpacing w:val="0"/>
            </w:pPr>
            <w:r>
              <w:rPr>
                <w:rFonts w:hint="eastAsia"/>
              </w:rPr>
              <w:t>/</w:t>
            </w:r>
          </w:p>
        </w:tc>
        <w:tc>
          <w:tcPr>
            <w:tcW w:w="681" w:type="dxa"/>
            <w:vMerge w:val="restart"/>
            <w:tcMar>
              <w:left w:w="28" w:type="dxa"/>
              <w:right w:w="28" w:type="dxa"/>
            </w:tcMar>
            <w:vAlign w:val="center"/>
          </w:tcPr>
          <w:p w14:paraId="718A0AAA">
            <w:pPr>
              <w:pStyle w:val="75"/>
              <w:adjustRightInd w:val="0"/>
              <w:snapToGrid w:val="0"/>
              <w:contextualSpacing w:val="0"/>
            </w:pPr>
            <w:r>
              <w:rPr>
                <w:rFonts w:hint="eastAsia"/>
                <w:lang w:val="en-US" w:eastAsia="zh-CN"/>
              </w:rPr>
              <w:t>75</w:t>
            </w:r>
            <w:r>
              <w:t>/1</w:t>
            </w:r>
          </w:p>
        </w:tc>
        <w:tc>
          <w:tcPr>
            <w:tcW w:w="340" w:type="dxa"/>
            <w:vMerge w:val="restart"/>
            <w:tcMar>
              <w:left w:w="28" w:type="dxa"/>
              <w:right w:w="28" w:type="dxa"/>
            </w:tcMar>
            <w:vAlign w:val="center"/>
          </w:tcPr>
          <w:p w14:paraId="6E2D856D">
            <w:pPr>
              <w:pStyle w:val="75"/>
              <w:adjustRightInd w:val="0"/>
              <w:snapToGrid w:val="0"/>
              <w:contextualSpacing w:val="0"/>
              <w:rPr>
                <w:rFonts w:hint="eastAsia" w:eastAsia="宋体"/>
                <w:lang w:eastAsia="zh-CN"/>
              </w:rPr>
            </w:pPr>
            <w:r>
              <w:rPr>
                <w:rFonts w:hint="eastAsia"/>
                <w:lang w:val="en-US" w:eastAsia="zh-CN"/>
              </w:rPr>
              <w:t>4</w:t>
            </w:r>
          </w:p>
        </w:tc>
        <w:tc>
          <w:tcPr>
            <w:tcW w:w="511" w:type="dxa"/>
            <w:vMerge w:val="restart"/>
            <w:tcMar>
              <w:left w:w="28" w:type="dxa"/>
              <w:right w:w="28" w:type="dxa"/>
            </w:tcMar>
            <w:vAlign w:val="center"/>
          </w:tcPr>
          <w:p w14:paraId="69455107">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03D24E1A">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81.0</w:t>
            </w:r>
          </w:p>
        </w:tc>
        <w:tc>
          <w:tcPr>
            <w:tcW w:w="340" w:type="dxa"/>
            <w:vMerge w:val="restart"/>
            <w:tcMar>
              <w:left w:w="28" w:type="dxa"/>
              <w:right w:w="28" w:type="dxa"/>
            </w:tcMar>
            <w:vAlign w:val="center"/>
          </w:tcPr>
          <w:p w14:paraId="30730DE7">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13</w:t>
            </w:r>
          </w:p>
        </w:tc>
        <w:tc>
          <w:tcPr>
            <w:tcW w:w="340" w:type="dxa"/>
            <w:vMerge w:val="restart"/>
            <w:tcMar>
              <w:left w:w="28" w:type="dxa"/>
              <w:right w:w="28" w:type="dxa"/>
            </w:tcMar>
            <w:vAlign w:val="center"/>
          </w:tcPr>
          <w:p w14:paraId="43C3C5DC">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92</w:t>
            </w:r>
          </w:p>
        </w:tc>
        <w:tc>
          <w:tcPr>
            <w:tcW w:w="340" w:type="dxa"/>
            <w:vMerge w:val="restart"/>
            <w:tcMar>
              <w:left w:w="28" w:type="dxa"/>
              <w:right w:w="28" w:type="dxa"/>
            </w:tcMar>
            <w:vAlign w:val="center"/>
          </w:tcPr>
          <w:p w14:paraId="0461F950">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1B98613E">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60</w:t>
            </w:r>
          </w:p>
        </w:tc>
        <w:tc>
          <w:tcPr>
            <w:tcW w:w="511" w:type="dxa"/>
            <w:tcMar>
              <w:left w:w="28" w:type="dxa"/>
              <w:right w:w="28" w:type="dxa"/>
            </w:tcMar>
            <w:vAlign w:val="center"/>
          </w:tcPr>
          <w:p w14:paraId="657D9D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40.5</w:t>
            </w:r>
          </w:p>
        </w:tc>
        <w:tc>
          <w:tcPr>
            <w:tcW w:w="340" w:type="dxa"/>
            <w:vMerge w:val="restart"/>
            <w:tcMar>
              <w:left w:w="28" w:type="dxa"/>
              <w:right w:w="28" w:type="dxa"/>
            </w:tcMar>
            <w:vAlign w:val="center"/>
          </w:tcPr>
          <w:p w14:paraId="7AC5028F">
            <w:pPr>
              <w:pStyle w:val="75"/>
              <w:adjustRightInd w:val="0"/>
              <w:snapToGrid w:val="0"/>
              <w:contextualSpacing w:val="0"/>
            </w:pPr>
            <w:r>
              <w:t>持续运行</w:t>
            </w:r>
          </w:p>
        </w:tc>
        <w:tc>
          <w:tcPr>
            <w:tcW w:w="596" w:type="dxa"/>
            <w:vMerge w:val="restart"/>
            <w:tcMar>
              <w:left w:w="28" w:type="dxa"/>
              <w:right w:w="28" w:type="dxa"/>
            </w:tcMar>
            <w:vAlign w:val="center"/>
          </w:tcPr>
          <w:p w14:paraId="206449DA">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3C4682F0">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20.5</w:t>
            </w:r>
          </w:p>
        </w:tc>
        <w:tc>
          <w:tcPr>
            <w:tcW w:w="928" w:type="dxa"/>
            <w:tcMar>
              <w:left w:w="28" w:type="dxa"/>
              <w:right w:w="28" w:type="dxa"/>
            </w:tcMar>
            <w:vAlign w:val="center"/>
          </w:tcPr>
          <w:p w14:paraId="2A121849">
            <w:pPr>
              <w:pStyle w:val="75"/>
              <w:adjustRightInd w:val="0"/>
              <w:snapToGrid w:val="0"/>
              <w:contextualSpacing w:val="0"/>
            </w:pPr>
            <w:r>
              <w:t>1m</w:t>
            </w:r>
          </w:p>
        </w:tc>
      </w:tr>
      <w:tr w14:paraId="07CA51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743C6E8A">
            <w:pPr>
              <w:pStyle w:val="75"/>
              <w:adjustRightInd w:val="0"/>
              <w:snapToGrid w:val="0"/>
              <w:contextualSpacing w:val="0"/>
            </w:pPr>
          </w:p>
        </w:tc>
        <w:tc>
          <w:tcPr>
            <w:tcW w:w="511" w:type="dxa"/>
            <w:vMerge w:val="continue"/>
            <w:tcMar>
              <w:left w:w="28" w:type="dxa"/>
              <w:right w:w="28" w:type="dxa"/>
            </w:tcMar>
            <w:vAlign w:val="center"/>
          </w:tcPr>
          <w:p w14:paraId="544EA633">
            <w:pPr>
              <w:pStyle w:val="75"/>
              <w:adjustRightInd w:val="0"/>
              <w:snapToGrid w:val="0"/>
              <w:contextualSpacing w:val="0"/>
            </w:pPr>
          </w:p>
        </w:tc>
        <w:tc>
          <w:tcPr>
            <w:tcW w:w="511" w:type="dxa"/>
            <w:vMerge w:val="continue"/>
            <w:tcMar>
              <w:left w:w="28" w:type="dxa"/>
              <w:right w:w="28" w:type="dxa"/>
            </w:tcMar>
            <w:vAlign w:val="center"/>
          </w:tcPr>
          <w:p w14:paraId="77CC178E">
            <w:pPr>
              <w:pStyle w:val="75"/>
              <w:adjustRightInd w:val="0"/>
              <w:snapToGrid w:val="0"/>
              <w:contextualSpacing w:val="0"/>
              <w:jc w:val="left"/>
            </w:pPr>
          </w:p>
        </w:tc>
        <w:tc>
          <w:tcPr>
            <w:tcW w:w="426" w:type="dxa"/>
            <w:vMerge w:val="continue"/>
            <w:tcMar>
              <w:left w:w="28" w:type="dxa"/>
              <w:right w:w="28" w:type="dxa"/>
            </w:tcMar>
            <w:vAlign w:val="center"/>
          </w:tcPr>
          <w:p w14:paraId="7FFC1AF8">
            <w:pPr>
              <w:pStyle w:val="75"/>
              <w:adjustRightInd w:val="0"/>
              <w:snapToGrid w:val="0"/>
              <w:contextualSpacing w:val="0"/>
            </w:pPr>
          </w:p>
        </w:tc>
        <w:tc>
          <w:tcPr>
            <w:tcW w:w="681" w:type="dxa"/>
            <w:vMerge w:val="continue"/>
            <w:tcMar>
              <w:left w:w="28" w:type="dxa"/>
              <w:right w:w="28" w:type="dxa"/>
            </w:tcMar>
            <w:vAlign w:val="center"/>
          </w:tcPr>
          <w:p w14:paraId="4056E1EA">
            <w:pPr>
              <w:pStyle w:val="75"/>
              <w:adjustRightInd w:val="0"/>
              <w:snapToGrid w:val="0"/>
              <w:contextualSpacing w:val="0"/>
            </w:pPr>
          </w:p>
        </w:tc>
        <w:tc>
          <w:tcPr>
            <w:tcW w:w="340" w:type="dxa"/>
            <w:vMerge w:val="continue"/>
            <w:tcMar>
              <w:left w:w="28" w:type="dxa"/>
              <w:right w:w="28" w:type="dxa"/>
            </w:tcMar>
            <w:vAlign w:val="center"/>
          </w:tcPr>
          <w:p w14:paraId="65B23D16">
            <w:pPr>
              <w:pStyle w:val="75"/>
              <w:adjustRightInd w:val="0"/>
              <w:snapToGrid w:val="0"/>
              <w:contextualSpacing w:val="0"/>
            </w:pPr>
          </w:p>
        </w:tc>
        <w:tc>
          <w:tcPr>
            <w:tcW w:w="511" w:type="dxa"/>
            <w:vMerge w:val="continue"/>
            <w:tcMar>
              <w:left w:w="28" w:type="dxa"/>
              <w:right w:w="28" w:type="dxa"/>
            </w:tcMar>
            <w:vAlign w:val="center"/>
          </w:tcPr>
          <w:p w14:paraId="10F2BCE2">
            <w:pPr>
              <w:spacing w:line="240" w:lineRule="auto"/>
              <w:ind w:firstLine="0" w:firstLineChars="0"/>
              <w:jc w:val="center"/>
              <w:rPr>
                <w:sz w:val="21"/>
                <w:szCs w:val="21"/>
              </w:rPr>
            </w:pPr>
          </w:p>
        </w:tc>
        <w:tc>
          <w:tcPr>
            <w:tcW w:w="511" w:type="dxa"/>
            <w:vMerge w:val="continue"/>
            <w:tcMar>
              <w:left w:w="28" w:type="dxa"/>
              <w:right w:w="28" w:type="dxa"/>
            </w:tcMar>
            <w:vAlign w:val="center"/>
          </w:tcPr>
          <w:p w14:paraId="10847755">
            <w:pPr>
              <w:pStyle w:val="75"/>
              <w:adjustRightInd w:val="0"/>
              <w:snapToGrid w:val="0"/>
              <w:contextualSpacing w:val="0"/>
            </w:pPr>
          </w:p>
        </w:tc>
        <w:tc>
          <w:tcPr>
            <w:tcW w:w="340" w:type="dxa"/>
            <w:vMerge w:val="continue"/>
            <w:tcMar>
              <w:left w:w="28" w:type="dxa"/>
              <w:right w:w="28" w:type="dxa"/>
            </w:tcMar>
            <w:vAlign w:val="center"/>
          </w:tcPr>
          <w:p w14:paraId="6D5E104E">
            <w:pPr>
              <w:spacing w:line="240" w:lineRule="auto"/>
              <w:ind w:firstLine="0" w:firstLineChars="0"/>
              <w:jc w:val="center"/>
              <w:rPr>
                <w:sz w:val="21"/>
                <w:szCs w:val="21"/>
              </w:rPr>
            </w:pPr>
          </w:p>
        </w:tc>
        <w:tc>
          <w:tcPr>
            <w:tcW w:w="340" w:type="dxa"/>
            <w:vMerge w:val="continue"/>
            <w:tcMar>
              <w:left w:w="28" w:type="dxa"/>
              <w:right w:w="28" w:type="dxa"/>
            </w:tcMar>
            <w:vAlign w:val="center"/>
          </w:tcPr>
          <w:p w14:paraId="3AB370F0">
            <w:pPr>
              <w:spacing w:line="240" w:lineRule="auto"/>
              <w:ind w:firstLine="0" w:firstLineChars="0"/>
              <w:jc w:val="center"/>
              <w:rPr>
                <w:sz w:val="21"/>
                <w:szCs w:val="21"/>
              </w:rPr>
            </w:pPr>
          </w:p>
        </w:tc>
        <w:tc>
          <w:tcPr>
            <w:tcW w:w="340" w:type="dxa"/>
            <w:vMerge w:val="continue"/>
            <w:tcMar>
              <w:left w:w="28" w:type="dxa"/>
              <w:right w:w="28" w:type="dxa"/>
            </w:tcMar>
            <w:vAlign w:val="center"/>
          </w:tcPr>
          <w:p w14:paraId="2BF1BEB8">
            <w:pPr>
              <w:spacing w:line="240" w:lineRule="auto"/>
              <w:ind w:firstLine="0" w:firstLineChars="0"/>
              <w:jc w:val="center"/>
              <w:rPr>
                <w:sz w:val="21"/>
                <w:szCs w:val="21"/>
              </w:rPr>
            </w:pPr>
          </w:p>
        </w:tc>
        <w:tc>
          <w:tcPr>
            <w:tcW w:w="511" w:type="dxa"/>
            <w:tcMar>
              <w:left w:w="28" w:type="dxa"/>
              <w:right w:w="28" w:type="dxa"/>
            </w:tcMar>
            <w:vAlign w:val="center"/>
          </w:tcPr>
          <w:p w14:paraId="4D35D3C0">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90</w:t>
            </w:r>
          </w:p>
        </w:tc>
        <w:tc>
          <w:tcPr>
            <w:tcW w:w="511" w:type="dxa"/>
            <w:tcMar>
              <w:left w:w="28" w:type="dxa"/>
              <w:right w:w="28" w:type="dxa"/>
            </w:tcMar>
            <w:vAlign w:val="center"/>
          </w:tcPr>
          <w:p w14:paraId="5FA8592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36.9</w:t>
            </w:r>
          </w:p>
        </w:tc>
        <w:tc>
          <w:tcPr>
            <w:tcW w:w="340" w:type="dxa"/>
            <w:vMerge w:val="continue"/>
            <w:tcMar>
              <w:left w:w="28" w:type="dxa"/>
              <w:right w:w="28" w:type="dxa"/>
            </w:tcMar>
            <w:vAlign w:val="center"/>
          </w:tcPr>
          <w:p w14:paraId="6DA62182">
            <w:pPr>
              <w:pStyle w:val="75"/>
              <w:adjustRightInd w:val="0"/>
              <w:snapToGrid w:val="0"/>
              <w:contextualSpacing w:val="0"/>
            </w:pPr>
          </w:p>
        </w:tc>
        <w:tc>
          <w:tcPr>
            <w:tcW w:w="596" w:type="dxa"/>
            <w:vMerge w:val="continue"/>
            <w:tcMar>
              <w:left w:w="28" w:type="dxa"/>
              <w:right w:w="28" w:type="dxa"/>
            </w:tcMar>
            <w:vAlign w:val="center"/>
          </w:tcPr>
          <w:p w14:paraId="00B05416">
            <w:pPr>
              <w:pStyle w:val="75"/>
              <w:adjustRightInd w:val="0"/>
              <w:snapToGrid w:val="0"/>
              <w:contextualSpacing w:val="0"/>
            </w:pPr>
          </w:p>
        </w:tc>
        <w:tc>
          <w:tcPr>
            <w:tcW w:w="623" w:type="dxa"/>
            <w:tcMar>
              <w:left w:w="28" w:type="dxa"/>
              <w:right w:w="28" w:type="dxa"/>
            </w:tcMar>
            <w:vAlign w:val="center"/>
          </w:tcPr>
          <w:p w14:paraId="247FED21">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16.9</w:t>
            </w:r>
          </w:p>
        </w:tc>
        <w:tc>
          <w:tcPr>
            <w:tcW w:w="928" w:type="dxa"/>
            <w:tcMar>
              <w:left w:w="28" w:type="dxa"/>
              <w:right w:w="28" w:type="dxa"/>
            </w:tcMar>
            <w:vAlign w:val="center"/>
          </w:tcPr>
          <w:p w14:paraId="15EFDBE6">
            <w:pPr>
              <w:pStyle w:val="75"/>
              <w:adjustRightInd w:val="0"/>
              <w:snapToGrid w:val="0"/>
              <w:contextualSpacing w:val="0"/>
            </w:pPr>
            <w:r>
              <w:t>1m</w:t>
            </w:r>
          </w:p>
        </w:tc>
      </w:tr>
      <w:tr w14:paraId="21B276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5997B715">
            <w:pPr>
              <w:pStyle w:val="75"/>
              <w:adjustRightInd w:val="0"/>
              <w:snapToGrid w:val="0"/>
              <w:contextualSpacing w:val="0"/>
            </w:pPr>
          </w:p>
        </w:tc>
        <w:tc>
          <w:tcPr>
            <w:tcW w:w="511" w:type="dxa"/>
            <w:vMerge w:val="continue"/>
            <w:tcMar>
              <w:left w:w="28" w:type="dxa"/>
              <w:right w:w="28" w:type="dxa"/>
            </w:tcMar>
            <w:vAlign w:val="center"/>
          </w:tcPr>
          <w:p w14:paraId="0C2AE6D5">
            <w:pPr>
              <w:pStyle w:val="75"/>
              <w:adjustRightInd w:val="0"/>
              <w:snapToGrid w:val="0"/>
              <w:contextualSpacing w:val="0"/>
            </w:pPr>
          </w:p>
        </w:tc>
        <w:tc>
          <w:tcPr>
            <w:tcW w:w="511" w:type="dxa"/>
            <w:vMerge w:val="continue"/>
            <w:tcMar>
              <w:left w:w="28" w:type="dxa"/>
              <w:right w:w="28" w:type="dxa"/>
            </w:tcMar>
            <w:vAlign w:val="center"/>
          </w:tcPr>
          <w:p w14:paraId="5F908ED7">
            <w:pPr>
              <w:pStyle w:val="75"/>
              <w:adjustRightInd w:val="0"/>
              <w:snapToGrid w:val="0"/>
              <w:contextualSpacing w:val="0"/>
              <w:jc w:val="left"/>
            </w:pPr>
          </w:p>
        </w:tc>
        <w:tc>
          <w:tcPr>
            <w:tcW w:w="426" w:type="dxa"/>
            <w:vMerge w:val="continue"/>
            <w:tcMar>
              <w:left w:w="28" w:type="dxa"/>
              <w:right w:w="28" w:type="dxa"/>
            </w:tcMar>
            <w:vAlign w:val="center"/>
          </w:tcPr>
          <w:p w14:paraId="022259FE">
            <w:pPr>
              <w:pStyle w:val="75"/>
              <w:adjustRightInd w:val="0"/>
              <w:snapToGrid w:val="0"/>
              <w:contextualSpacing w:val="0"/>
            </w:pPr>
          </w:p>
        </w:tc>
        <w:tc>
          <w:tcPr>
            <w:tcW w:w="681" w:type="dxa"/>
            <w:vMerge w:val="continue"/>
            <w:tcMar>
              <w:left w:w="28" w:type="dxa"/>
              <w:right w:w="28" w:type="dxa"/>
            </w:tcMar>
            <w:vAlign w:val="center"/>
          </w:tcPr>
          <w:p w14:paraId="4649BCF1">
            <w:pPr>
              <w:pStyle w:val="75"/>
              <w:adjustRightInd w:val="0"/>
              <w:snapToGrid w:val="0"/>
              <w:contextualSpacing w:val="0"/>
            </w:pPr>
          </w:p>
        </w:tc>
        <w:tc>
          <w:tcPr>
            <w:tcW w:w="340" w:type="dxa"/>
            <w:vMerge w:val="continue"/>
            <w:tcMar>
              <w:left w:w="28" w:type="dxa"/>
              <w:right w:w="28" w:type="dxa"/>
            </w:tcMar>
            <w:vAlign w:val="center"/>
          </w:tcPr>
          <w:p w14:paraId="373821D6">
            <w:pPr>
              <w:pStyle w:val="75"/>
              <w:adjustRightInd w:val="0"/>
              <w:snapToGrid w:val="0"/>
              <w:contextualSpacing w:val="0"/>
            </w:pPr>
          </w:p>
        </w:tc>
        <w:tc>
          <w:tcPr>
            <w:tcW w:w="511" w:type="dxa"/>
            <w:vMerge w:val="continue"/>
            <w:tcMar>
              <w:left w:w="28" w:type="dxa"/>
              <w:right w:w="28" w:type="dxa"/>
            </w:tcMar>
            <w:vAlign w:val="center"/>
          </w:tcPr>
          <w:p w14:paraId="2163F4E4">
            <w:pPr>
              <w:spacing w:line="240" w:lineRule="auto"/>
              <w:ind w:firstLine="0" w:firstLineChars="0"/>
              <w:jc w:val="center"/>
              <w:rPr>
                <w:sz w:val="21"/>
                <w:szCs w:val="21"/>
              </w:rPr>
            </w:pPr>
          </w:p>
        </w:tc>
        <w:tc>
          <w:tcPr>
            <w:tcW w:w="511" w:type="dxa"/>
            <w:vMerge w:val="continue"/>
            <w:tcMar>
              <w:left w:w="28" w:type="dxa"/>
              <w:right w:w="28" w:type="dxa"/>
            </w:tcMar>
            <w:vAlign w:val="center"/>
          </w:tcPr>
          <w:p w14:paraId="0A6EADDD">
            <w:pPr>
              <w:pStyle w:val="75"/>
              <w:adjustRightInd w:val="0"/>
              <w:snapToGrid w:val="0"/>
              <w:contextualSpacing w:val="0"/>
            </w:pPr>
          </w:p>
        </w:tc>
        <w:tc>
          <w:tcPr>
            <w:tcW w:w="340" w:type="dxa"/>
            <w:vMerge w:val="continue"/>
            <w:tcMar>
              <w:left w:w="28" w:type="dxa"/>
              <w:right w:w="28" w:type="dxa"/>
            </w:tcMar>
            <w:vAlign w:val="center"/>
          </w:tcPr>
          <w:p w14:paraId="59D7CE27">
            <w:pPr>
              <w:spacing w:line="240" w:lineRule="auto"/>
              <w:ind w:firstLine="0" w:firstLineChars="0"/>
              <w:jc w:val="center"/>
              <w:rPr>
                <w:sz w:val="21"/>
                <w:szCs w:val="21"/>
              </w:rPr>
            </w:pPr>
          </w:p>
        </w:tc>
        <w:tc>
          <w:tcPr>
            <w:tcW w:w="340" w:type="dxa"/>
            <w:vMerge w:val="continue"/>
            <w:tcMar>
              <w:left w:w="28" w:type="dxa"/>
              <w:right w:w="28" w:type="dxa"/>
            </w:tcMar>
            <w:vAlign w:val="center"/>
          </w:tcPr>
          <w:p w14:paraId="54A489AF">
            <w:pPr>
              <w:spacing w:line="240" w:lineRule="auto"/>
              <w:ind w:firstLine="0" w:firstLineChars="0"/>
              <w:jc w:val="center"/>
              <w:rPr>
                <w:sz w:val="21"/>
                <w:szCs w:val="21"/>
              </w:rPr>
            </w:pPr>
          </w:p>
        </w:tc>
        <w:tc>
          <w:tcPr>
            <w:tcW w:w="340" w:type="dxa"/>
            <w:vMerge w:val="continue"/>
            <w:tcMar>
              <w:left w:w="28" w:type="dxa"/>
              <w:right w:w="28" w:type="dxa"/>
            </w:tcMar>
            <w:vAlign w:val="center"/>
          </w:tcPr>
          <w:p w14:paraId="52BF8AF0">
            <w:pPr>
              <w:spacing w:line="240" w:lineRule="auto"/>
              <w:ind w:firstLine="0" w:firstLineChars="0"/>
              <w:jc w:val="center"/>
              <w:rPr>
                <w:sz w:val="21"/>
                <w:szCs w:val="21"/>
              </w:rPr>
            </w:pPr>
          </w:p>
        </w:tc>
        <w:tc>
          <w:tcPr>
            <w:tcW w:w="511" w:type="dxa"/>
            <w:tcMar>
              <w:left w:w="28" w:type="dxa"/>
              <w:right w:w="28" w:type="dxa"/>
            </w:tcMar>
            <w:vAlign w:val="center"/>
          </w:tcPr>
          <w:p w14:paraId="574C9F34">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11</w:t>
            </w:r>
          </w:p>
        </w:tc>
        <w:tc>
          <w:tcPr>
            <w:tcW w:w="511" w:type="dxa"/>
            <w:tcMar>
              <w:left w:w="28" w:type="dxa"/>
              <w:right w:w="28" w:type="dxa"/>
            </w:tcMar>
            <w:vAlign w:val="center"/>
          </w:tcPr>
          <w:p w14:paraId="657C87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55.2</w:t>
            </w:r>
          </w:p>
        </w:tc>
        <w:tc>
          <w:tcPr>
            <w:tcW w:w="340" w:type="dxa"/>
            <w:vMerge w:val="continue"/>
            <w:tcMar>
              <w:left w:w="28" w:type="dxa"/>
              <w:right w:w="28" w:type="dxa"/>
            </w:tcMar>
            <w:vAlign w:val="center"/>
          </w:tcPr>
          <w:p w14:paraId="5E81B61E">
            <w:pPr>
              <w:pStyle w:val="75"/>
              <w:adjustRightInd w:val="0"/>
              <w:snapToGrid w:val="0"/>
              <w:contextualSpacing w:val="0"/>
            </w:pPr>
          </w:p>
        </w:tc>
        <w:tc>
          <w:tcPr>
            <w:tcW w:w="596" w:type="dxa"/>
            <w:vMerge w:val="continue"/>
            <w:tcMar>
              <w:left w:w="28" w:type="dxa"/>
              <w:right w:w="28" w:type="dxa"/>
            </w:tcMar>
            <w:vAlign w:val="center"/>
          </w:tcPr>
          <w:p w14:paraId="5036C513">
            <w:pPr>
              <w:pStyle w:val="75"/>
              <w:adjustRightInd w:val="0"/>
              <w:snapToGrid w:val="0"/>
              <w:contextualSpacing w:val="0"/>
            </w:pPr>
          </w:p>
        </w:tc>
        <w:tc>
          <w:tcPr>
            <w:tcW w:w="623" w:type="dxa"/>
            <w:tcMar>
              <w:left w:w="28" w:type="dxa"/>
              <w:right w:w="28" w:type="dxa"/>
            </w:tcMar>
            <w:vAlign w:val="center"/>
          </w:tcPr>
          <w:p w14:paraId="1C9C4CE0">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35.2</w:t>
            </w:r>
          </w:p>
        </w:tc>
        <w:tc>
          <w:tcPr>
            <w:tcW w:w="928" w:type="dxa"/>
            <w:tcMar>
              <w:left w:w="28" w:type="dxa"/>
              <w:right w:w="28" w:type="dxa"/>
            </w:tcMar>
            <w:vAlign w:val="center"/>
          </w:tcPr>
          <w:p w14:paraId="463945C9">
            <w:pPr>
              <w:pStyle w:val="75"/>
              <w:adjustRightInd w:val="0"/>
              <w:snapToGrid w:val="0"/>
              <w:contextualSpacing w:val="0"/>
            </w:pPr>
            <w:r>
              <w:t>1m</w:t>
            </w:r>
          </w:p>
        </w:tc>
      </w:tr>
      <w:tr w14:paraId="625B68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535885C5">
            <w:pPr>
              <w:pStyle w:val="75"/>
              <w:adjustRightInd w:val="0"/>
              <w:snapToGrid w:val="0"/>
              <w:contextualSpacing w:val="0"/>
            </w:pPr>
          </w:p>
        </w:tc>
        <w:tc>
          <w:tcPr>
            <w:tcW w:w="511" w:type="dxa"/>
            <w:vMerge w:val="continue"/>
            <w:tcMar>
              <w:left w:w="28" w:type="dxa"/>
              <w:right w:w="28" w:type="dxa"/>
            </w:tcMar>
            <w:vAlign w:val="center"/>
          </w:tcPr>
          <w:p w14:paraId="351003FB">
            <w:pPr>
              <w:pStyle w:val="75"/>
              <w:adjustRightInd w:val="0"/>
              <w:snapToGrid w:val="0"/>
              <w:contextualSpacing w:val="0"/>
            </w:pPr>
          </w:p>
        </w:tc>
        <w:tc>
          <w:tcPr>
            <w:tcW w:w="511" w:type="dxa"/>
            <w:vMerge w:val="continue"/>
            <w:tcMar>
              <w:left w:w="28" w:type="dxa"/>
              <w:right w:w="28" w:type="dxa"/>
            </w:tcMar>
            <w:vAlign w:val="center"/>
          </w:tcPr>
          <w:p w14:paraId="75F72D11">
            <w:pPr>
              <w:pStyle w:val="75"/>
              <w:adjustRightInd w:val="0"/>
              <w:snapToGrid w:val="0"/>
              <w:contextualSpacing w:val="0"/>
              <w:jc w:val="left"/>
            </w:pPr>
          </w:p>
        </w:tc>
        <w:tc>
          <w:tcPr>
            <w:tcW w:w="426" w:type="dxa"/>
            <w:vMerge w:val="continue"/>
            <w:tcMar>
              <w:left w:w="28" w:type="dxa"/>
              <w:right w:w="28" w:type="dxa"/>
            </w:tcMar>
            <w:vAlign w:val="center"/>
          </w:tcPr>
          <w:p w14:paraId="1454D442">
            <w:pPr>
              <w:pStyle w:val="75"/>
              <w:adjustRightInd w:val="0"/>
              <w:snapToGrid w:val="0"/>
              <w:contextualSpacing w:val="0"/>
            </w:pPr>
          </w:p>
        </w:tc>
        <w:tc>
          <w:tcPr>
            <w:tcW w:w="681" w:type="dxa"/>
            <w:vMerge w:val="continue"/>
            <w:tcMar>
              <w:left w:w="28" w:type="dxa"/>
              <w:right w:w="28" w:type="dxa"/>
            </w:tcMar>
            <w:vAlign w:val="center"/>
          </w:tcPr>
          <w:p w14:paraId="392D300B">
            <w:pPr>
              <w:pStyle w:val="75"/>
              <w:adjustRightInd w:val="0"/>
              <w:snapToGrid w:val="0"/>
              <w:contextualSpacing w:val="0"/>
            </w:pPr>
          </w:p>
        </w:tc>
        <w:tc>
          <w:tcPr>
            <w:tcW w:w="340" w:type="dxa"/>
            <w:vMerge w:val="continue"/>
            <w:tcMar>
              <w:left w:w="28" w:type="dxa"/>
              <w:right w:w="28" w:type="dxa"/>
            </w:tcMar>
            <w:vAlign w:val="center"/>
          </w:tcPr>
          <w:p w14:paraId="3003A1B7">
            <w:pPr>
              <w:pStyle w:val="75"/>
              <w:adjustRightInd w:val="0"/>
              <w:snapToGrid w:val="0"/>
              <w:contextualSpacing w:val="0"/>
            </w:pPr>
          </w:p>
        </w:tc>
        <w:tc>
          <w:tcPr>
            <w:tcW w:w="511" w:type="dxa"/>
            <w:vMerge w:val="continue"/>
            <w:tcMar>
              <w:left w:w="28" w:type="dxa"/>
              <w:right w:w="28" w:type="dxa"/>
            </w:tcMar>
            <w:vAlign w:val="center"/>
          </w:tcPr>
          <w:p w14:paraId="405B4D9C">
            <w:pPr>
              <w:spacing w:line="240" w:lineRule="auto"/>
              <w:ind w:firstLine="0" w:firstLineChars="0"/>
              <w:jc w:val="center"/>
              <w:rPr>
                <w:sz w:val="21"/>
                <w:szCs w:val="21"/>
              </w:rPr>
            </w:pPr>
          </w:p>
        </w:tc>
        <w:tc>
          <w:tcPr>
            <w:tcW w:w="511" w:type="dxa"/>
            <w:vMerge w:val="continue"/>
            <w:tcMar>
              <w:left w:w="28" w:type="dxa"/>
              <w:right w:w="28" w:type="dxa"/>
            </w:tcMar>
            <w:vAlign w:val="center"/>
          </w:tcPr>
          <w:p w14:paraId="03CE306C">
            <w:pPr>
              <w:pStyle w:val="75"/>
              <w:adjustRightInd w:val="0"/>
              <w:snapToGrid w:val="0"/>
              <w:contextualSpacing w:val="0"/>
            </w:pPr>
          </w:p>
        </w:tc>
        <w:tc>
          <w:tcPr>
            <w:tcW w:w="340" w:type="dxa"/>
            <w:vMerge w:val="continue"/>
            <w:tcMar>
              <w:left w:w="28" w:type="dxa"/>
              <w:right w:w="28" w:type="dxa"/>
            </w:tcMar>
            <w:vAlign w:val="center"/>
          </w:tcPr>
          <w:p w14:paraId="5C8821D9">
            <w:pPr>
              <w:spacing w:line="240" w:lineRule="auto"/>
              <w:ind w:firstLine="0" w:firstLineChars="0"/>
              <w:jc w:val="center"/>
              <w:rPr>
                <w:sz w:val="21"/>
                <w:szCs w:val="21"/>
              </w:rPr>
            </w:pPr>
          </w:p>
        </w:tc>
        <w:tc>
          <w:tcPr>
            <w:tcW w:w="340" w:type="dxa"/>
            <w:vMerge w:val="continue"/>
            <w:tcMar>
              <w:left w:w="28" w:type="dxa"/>
              <w:right w:w="28" w:type="dxa"/>
            </w:tcMar>
            <w:vAlign w:val="center"/>
          </w:tcPr>
          <w:p w14:paraId="3CE8AA22">
            <w:pPr>
              <w:spacing w:line="240" w:lineRule="auto"/>
              <w:ind w:firstLine="0" w:firstLineChars="0"/>
              <w:jc w:val="center"/>
              <w:rPr>
                <w:sz w:val="21"/>
                <w:szCs w:val="21"/>
              </w:rPr>
            </w:pPr>
          </w:p>
        </w:tc>
        <w:tc>
          <w:tcPr>
            <w:tcW w:w="340" w:type="dxa"/>
            <w:vMerge w:val="continue"/>
            <w:tcMar>
              <w:left w:w="28" w:type="dxa"/>
              <w:right w:w="28" w:type="dxa"/>
            </w:tcMar>
            <w:vAlign w:val="center"/>
          </w:tcPr>
          <w:p w14:paraId="0EC6E860">
            <w:pPr>
              <w:spacing w:line="240" w:lineRule="auto"/>
              <w:ind w:firstLine="0" w:firstLineChars="0"/>
              <w:jc w:val="center"/>
              <w:rPr>
                <w:sz w:val="21"/>
                <w:szCs w:val="21"/>
              </w:rPr>
            </w:pPr>
          </w:p>
        </w:tc>
        <w:tc>
          <w:tcPr>
            <w:tcW w:w="511" w:type="dxa"/>
            <w:tcMar>
              <w:left w:w="28" w:type="dxa"/>
              <w:right w:w="28" w:type="dxa"/>
            </w:tcMar>
            <w:vAlign w:val="center"/>
          </w:tcPr>
          <w:p w14:paraId="44D640B5">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28</w:t>
            </w:r>
          </w:p>
        </w:tc>
        <w:tc>
          <w:tcPr>
            <w:tcW w:w="511" w:type="dxa"/>
            <w:tcMar>
              <w:left w:w="28" w:type="dxa"/>
              <w:right w:w="28" w:type="dxa"/>
            </w:tcMar>
            <w:vAlign w:val="center"/>
          </w:tcPr>
          <w:p w14:paraId="2A14B3D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47.1</w:t>
            </w:r>
          </w:p>
        </w:tc>
        <w:tc>
          <w:tcPr>
            <w:tcW w:w="340" w:type="dxa"/>
            <w:vMerge w:val="continue"/>
            <w:tcMar>
              <w:left w:w="28" w:type="dxa"/>
              <w:right w:w="28" w:type="dxa"/>
            </w:tcMar>
            <w:vAlign w:val="center"/>
          </w:tcPr>
          <w:p w14:paraId="59603F6E">
            <w:pPr>
              <w:pStyle w:val="75"/>
              <w:adjustRightInd w:val="0"/>
              <w:snapToGrid w:val="0"/>
              <w:contextualSpacing w:val="0"/>
            </w:pPr>
          </w:p>
        </w:tc>
        <w:tc>
          <w:tcPr>
            <w:tcW w:w="596" w:type="dxa"/>
            <w:vMerge w:val="continue"/>
            <w:tcMar>
              <w:left w:w="28" w:type="dxa"/>
              <w:right w:w="28" w:type="dxa"/>
            </w:tcMar>
            <w:vAlign w:val="center"/>
          </w:tcPr>
          <w:p w14:paraId="1E2FA398">
            <w:pPr>
              <w:pStyle w:val="75"/>
              <w:adjustRightInd w:val="0"/>
              <w:snapToGrid w:val="0"/>
              <w:contextualSpacing w:val="0"/>
            </w:pPr>
          </w:p>
        </w:tc>
        <w:tc>
          <w:tcPr>
            <w:tcW w:w="623" w:type="dxa"/>
            <w:tcMar>
              <w:left w:w="28" w:type="dxa"/>
              <w:right w:w="28" w:type="dxa"/>
            </w:tcMar>
            <w:vAlign w:val="center"/>
          </w:tcPr>
          <w:p w14:paraId="6FBAD06E">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27.1</w:t>
            </w:r>
          </w:p>
        </w:tc>
        <w:tc>
          <w:tcPr>
            <w:tcW w:w="928" w:type="dxa"/>
            <w:tcMar>
              <w:left w:w="28" w:type="dxa"/>
              <w:right w:w="28" w:type="dxa"/>
            </w:tcMar>
            <w:vAlign w:val="center"/>
          </w:tcPr>
          <w:p w14:paraId="40D7E0DC">
            <w:pPr>
              <w:pStyle w:val="75"/>
              <w:adjustRightInd w:val="0"/>
              <w:snapToGrid w:val="0"/>
              <w:contextualSpacing w:val="0"/>
            </w:pPr>
            <w:r>
              <w:t>1m</w:t>
            </w:r>
          </w:p>
        </w:tc>
      </w:tr>
      <w:tr w14:paraId="18713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restart"/>
            <w:tcMar>
              <w:left w:w="28" w:type="dxa"/>
              <w:right w:w="28" w:type="dxa"/>
            </w:tcMar>
            <w:vAlign w:val="center"/>
          </w:tcPr>
          <w:p w14:paraId="6FED82E2">
            <w:pPr>
              <w:pStyle w:val="75"/>
              <w:adjustRightInd w:val="0"/>
              <w:snapToGrid w:val="0"/>
              <w:contextualSpacing w:val="0"/>
            </w:pPr>
            <w:r>
              <w:rPr>
                <w:rFonts w:hint="eastAsia"/>
              </w:rPr>
              <w:t>3</w:t>
            </w:r>
          </w:p>
        </w:tc>
        <w:tc>
          <w:tcPr>
            <w:tcW w:w="511" w:type="dxa"/>
            <w:vMerge w:val="continue"/>
            <w:tcMar>
              <w:left w:w="28" w:type="dxa"/>
              <w:right w:w="28" w:type="dxa"/>
            </w:tcMar>
            <w:vAlign w:val="center"/>
          </w:tcPr>
          <w:p w14:paraId="4AA2EC5E">
            <w:pPr>
              <w:pStyle w:val="75"/>
              <w:adjustRightInd w:val="0"/>
              <w:snapToGrid w:val="0"/>
              <w:contextualSpacing w:val="0"/>
            </w:pPr>
          </w:p>
        </w:tc>
        <w:tc>
          <w:tcPr>
            <w:tcW w:w="511" w:type="dxa"/>
            <w:vMerge w:val="restart"/>
            <w:tcMar>
              <w:left w:w="28" w:type="dxa"/>
              <w:right w:w="28" w:type="dxa"/>
            </w:tcMar>
            <w:vAlign w:val="center"/>
          </w:tcPr>
          <w:p w14:paraId="7D72A06C">
            <w:pPr>
              <w:pStyle w:val="75"/>
              <w:adjustRightInd w:val="0"/>
              <w:snapToGrid w:val="0"/>
              <w:contextualSpacing w:val="0"/>
              <w:jc w:val="left"/>
            </w:pPr>
            <w:r>
              <w:rPr>
                <w:rFonts w:hint="eastAsia"/>
              </w:rPr>
              <w:t>包装机</w:t>
            </w:r>
          </w:p>
        </w:tc>
        <w:tc>
          <w:tcPr>
            <w:tcW w:w="426" w:type="dxa"/>
            <w:vMerge w:val="restart"/>
            <w:tcMar>
              <w:left w:w="28" w:type="dxa"/>
              <w:right w:w="28" w:type="dxa"/>
            </w:tcMar>
            <w:vAlign w:val="center"/>
          </w:tcPr>
          <w:p w14:paraId="0468326A">
            <w:pPr>
              <w:pStyle w:val="75"/>
              <w:adjustRightInd w:val="0"/>
              <w:snapToGrid w:val="0"/>
              <w:contextualSpacing w:val="0"/>
            </w:pPr>
            <w:r>
              <w:rPr>
                <w:rFonts w:hint="eastAsia"/>
              </w:rPr>
              <w:t>/</w:t>
            </w:r>
          </w:p>
        </w:tc>
        <w:tc>
          <w:tcPr>
            <w:tcW w:w="681" w:type="dxa"/>
            <w:vMerge w:val="restart"/>
            <w:tcMar>
              <w:left w:w="28" w:type="dxa"/>
              <w:right w:w="28" w:type="dxa"/>
            </w:tcMar>
            <w:vAlign w:val="center"/>
          </w:tcPr>
          <w:p w14:paraId="7015FEA7">
            <w:pPr>
              <w:pStyle w:val="75"/>
              <w:adjustRightInd w:val="0"/>
              <w:snapToGrid w:val="0"/>
              <w:contextualSpacing w:val="0"/>
            </w:pPr>
            <w:r>
              <w:rPr>
                <w:rFonts w:hint="eastAsia"/>
                <w:lang w:val="en-US" w:eastAsia="zh-CN"/>
              </w:rPr>
              <w:t>70</w:t>
            </w:r>
            <w:r>
              <w:t>/1</w:t>
            </w:r>
          </w:p>
        </w:tc>
        <w:tc>
          <w:tcPr>
            <w:tcW w:w="340" w:type="dxa"/>
            <w:vMerge w:val="restart"/>
            <w:tcMar>
              <w:left w:w="28" w:type="dxa"/>
              <w:right w:w="28" w:type="dxa"/>
            </w:tcMar>
            <w:vAlign w:val="center"/>
          </w:tcPr>
          <w:p w14:paraId="13DA52A3">
            <w:pPr>
              <w:pStyle w:val="75"/>
              <w:adjustRightInd w:val="0"/>
              <w:snapToGrid w:val="0"/>
              <w:contextualSpacing w:val="0"/>
            </w:pPr>
            <w:r>
              <w:rPr>
                <w:rFonts w:hint="eastAsia"/>
              </w:rPr>
              <w:t>10</w:t>
            </w:r>
          </w:p>
        </w:tc>
        <w:tc>
          <w:tcPr>
            <w:tcW w:w="511" w:type="dxa"/>
            <w:vMerge w:val="restart"/>
            <w:tcMar>
              <w:left w:w="28" w:type="dxa"/>
              <w:right w:w="28" w:type="dxa"/>
            </w:tcMar>
            <w:vAlign w:val="center"/>
          </w:tcPr>
          <w:p w14:paraId="0AC768F0">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1D23A573">
            <w:pPr>
              <w:pStyle w:val="75"/>
              <w:adjustRightInd w:val="0"/>
              <w:snapToGrid w:val="0"/>
              <w:contextualSpacing w:val="0"/>
              <w:rPr>
                <w:rFonts w:hint="default" w:eastAsia="宋体"/>
                <w:lang w:val="en-US" w:eastAsia="zh-CN"/>
              </w:rPr>
            </w:pPr>
            <w:r>
              <w:rPr>
                <w:rFonts w:hint="eastAsia"/>
                <w:lang w:val="en-US" w:eastAsia="zh-CN"/>
              </w:rPr>
              <w:t>85</w:t>
            </w:r>
          </w:p>
        </w:tc>
        <w:tc>
          <w:tcPr>
            <w:tcW w:w="340" w:type="dxa"/>
            <w:vMerge w:val="restart"/>
            <w:tcMar>
              <w:left w:w="28" w:type="dxa"/>
              <w:right w:w="28" w:type="dxa"/>
            </w:tcMar>
            <w:vAlign w:val="center"/>
          </w:tcPr>
          <w:p w14:paraId="5382ECEC">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12</w:t>
            </w:r>
          </w:p>
        </w:tc>
        <w:tc>
          <w:tcPr>
            <w:tcW w:w="340" w:type="dxa"/>
            <w:vMerge w:val="restart"/>
            <w:tcMar>
              <w:left w:w="28" w:type="dxa"/>
              <w:right w:w="28" w:type="dxa"/>
            </w:tcMar>
            <w:vAlign w:val="center"/>
          </w:tcPr>
          <w:p w14:paraId="20640B9E">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32</w:t>
            </w:r>
          </w:p>
        </w:tc>
        <w:tc>
          <w:tcPr>
            <w:tcW w:w="340" w:type="dxa"/>
            <w:vMerge w:val="restart"/>
            <w:tcMar>
              <w:left w:w="28" w:type="dxa"/>
              <w:right w:w="28" w:type="dxa"/>
            </w:tcMar>
            <w:vAlign w:val="center"/>
          </w:tcPr>
          <w:p w14:paraId="21705837">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1054A84F">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58</w:t>
            </w:r>
          </w:p>
        </w:tc>
        <w:tc>
          <w:tcPr>
            <w:tcW w:w="511" w:type="dxa"/>
            <w:tcMar>
              <w:left w:w="28" w:type="dxa"/>
              <w:right w:w="28" w:type="dxa"/>
            </w:tcMar>
            <w:vAlign w:val="center"/>
          </w:tcPr>
          <w:p w14:paraId="7F2592E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39.7</w:t>
            </w:r>
          </w:p>
        </w:tc>
        <w:tc>
          <w:tcPr>
            <w:tcW w:w="340" w:type="dxa"/>
            <w:vMerge w:val="restart"/>
            <w:tcMar>
              <w:left w:w="28" w:type="dxa"/>
              <w:right w:w="28" w:type="dxa"/>
            </w:tcMar>
            <w:vAlign w:val="center"/>
          </w:tcPr>
          <w:p w14:paraId="0A0D48C7">
            <w:pPr>
              <w:pStyle w:val="75"/>
              <w:adjustRightInd w:val="0"/>
              <w:snapToGrid w:val="0"/>
              <w:contextualSpacing w:val="0"/>
            </w:pPr>
            <w:r>
              <w:t>持续运行</w:t>
            </w:r>
          </w:p>
        </w:tc>
        <w:tc>
          <w:tcPr>
            <w:tcW w:w="596" w:type="dxa"/>
            <w:vMerge w:val="restart"/>
            <w:tcMar>
              <w:left w:w="28" w:type="dxa"/>
              <w:right w:w="28" w:type="dxa"/>
            </w:tcMar>
            <w:vAlign w:val="center"/>
          </w:tcPr>
          <w:p w14:paraId="253E1D26">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18122850">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19.7</w:t>
            </w:r>
          </w:p>
        </w:tc>
        <w:tc>
          <w:tcPr>
            <w:tcW w:w="928" w:type="dxa"/>
            <w:tcMar>
              <w:left w:w="28" w:type="dxa"/>
              <w:right w:w="28" w:type="dxa"/>
            </w:tcMar>
            <w:vAlign w:val="center"/>
          </w:tcPr>
          <w:p w14:paraId="1DDD593D">
            <w:pPr>
              <w:pStyle w:val="75"/>
              <w:adjustRightInd w:val="0"/>
              <w:snapToGrid w:val="0"/>
              <w:contextualSpacing w:val="0"/>
            </w:pPr>
            <w:r>
              <w:t>1m</w:t>
            </w:r>
          </w:p>
        </w:tc>
      </w:tr>
      <w:tr w14:paraId="5CF90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2F72FE60">
            <w:pPr>
              <w:pStyle w:val="75"/>
              <w:adjustRightInd w:val="0"/>
              <w:snapToGrid w:val="0"/>
              <w:contextualSpacing w:val="0"/>
            </w:pPr>
          </w:p>
        </w:tc>
        <w:tc>
          <w:tcPr>
            <w:tcW w:w="511" w:type="dxa"/>
            <w:vMerge w:val="continue"/>
            <w:tcMar>
              <w:left w:w="28" w:type="dxa"/>
              <w:right w:w="28" w:type="dxa"/>
            </w:tcMar>
            <w:vAlign w:val="center"/>
          </w:tcPr>
          <w:p w14:paraId="24C76288">
            <w:pPr>
              <w:pStyle w:val="75"/>
              <w:adjustRightInd w:val="0"/>
              <w:snapToGrid w:val="0"/>
              <w:contextualSpacing w:val="0"/>
            </w:pPr>
          </w:p>
        </w:tc>
        <w:tc>
          <w:tcPr>
            <w:tcW w:w="511" w:type="dxa"/>
            <w:vMerge w:val="continue"/>
            <w:tcMar>
              <w:left w:w="28" w:type="dxa"/>
              <w:right w:w="28" w:type="dxa"/>
            </w:tcMar>
            <w:vAlign w:val="center"/>
          </w:tcPr>
          <w:p w14:paraId="0EBB3BAE">
            <w:pPr>
              <w:pStyle w:val="75"/>
              <w:adjustRightInd w:val="0"/>
              <w:snapToGrid w:val="0"/>
              <w:contextualSpacing w:val="0"/>
              <w:jc w:val="left"/>
            </w:pPr>
          </w:p>
        </w:tc>
        <w:tc>
          <w:tcPr>
            <w:tcW w:w="426" w:type="dxa"/>
            <w:vMerge w:val="continue"/>
            <w:tcMar>
              <w:left w:w="28" w:type="dxa"/>
              <w:right w:w="28" w:type="dxa"/>
            </w:tcMar>
            <w:vAlign w:val="center"/>
          </w:tcPr>
          <w:p w14:paraId="4B67A089">
            <w:pPr>
              <w:pStyle w:val="75"/>
              <w:adjustRightInd w:val="0"/>
              <w:snapToGrid w:val="0"/>
              <w:contextualSpacing w:val="0"/>
              <w:rPr>
                <w:rFonts w:eastAsia="MS Gothic"/>
              </w:rPr>
            </w:pPr>
          </w:p>
        </w:tc>
        <w:tc>
          <w:tcPr>
            <w:tcW w:w="681" w:type="dxa"/>
            <w:vMerge w:val="continue"/>
            <w:tcMar>
              <w:left w:w="28" w:type="dxa"/>
              <w:right w:w="28" w:type="dxa"/>
            </w:tcMar>
            <w:vAlign w:val="center"/>
          </w:tcPr>
          <w:p w14:paraId="709C2498">
            <w:pPr>
              <w:pStyle w:val="75"/>
              <w:adjustRightInd w:val="0"/>
              <w:snapToGrid w:val="0"/>
              <w:contextualSpacing w:val="0"/>
            </w:pPr>
          </w:p>
        </w:tc>
        <w:tc>
          <w:tcPr>
            <w:tcW w:w="340" w:type="dxa"/>
            <w:vMerge w:val="continue"/>
            <w:tcMar>
              <w:left w:w="28" w:type="dxa"/>
              <w:right w:w="28" w:type="dxa"/>
            </w:tcMar>
            <w:vAlign w:val="center"/>
          </w:tcPr>
          <w:p w14:paraId="06C5112B">
            <w:pPr>
              <w:pStyle w:val="75"/>
              <w:adjustRightInd w:val="0"/>
              <w:snapToGrid w:val="0"/>
              <w:contextualSpacing w:val="0"/>
            </w:pPr>
          </w:p>
        </w:tc>
        <w:tc>
          <w:tcPr>
            <w:tcW w:w="511" w:type="dxa"/>
            <w:vMerge w:val="continue"/>
            <w:tcMar>
              <w:left w:w="28" w:type="dxa"/>
              <w:right w:w="28" w:type="dxa"/>
            </w:tcMar>
            <w:vAlign w:val="center"/>
          </w:tcPr>
          <w:p w14:paraId="32D0C17D">
            <w:pPr>
              <w:spacing w:line="240" w:lineRule="auto"/>
              <w:ind w:firstLine="0" w:firstLineChars="0"/>
              <w:jc w:val="center"/>
              <w:rPr>
                <w:sz w:val="21"/>
                <w:szCs w:val="21"/>
              </w:rPr>
            </w:pPr>
          </w:p>
        </w:tc>
        <w:tc>
          <w:tcPr>
            <w:tcW w:w="511" w:type="dxa"/>
            <w:vMerge w:val="continue"/>
            <w:tcMar>
              <w:left w:w="28" w:type="dxa"/>
              <w:right w:w="28" w:type="dxa"/>
            </w:tcMar>
            <w:vAlign w:val="center"/>
          </w:tcPr>
          <w:p w14:paraId="63526E79">
            <w:pPr>
              <w:pStyle w:val="75"/>
              <w:adjustRightInd w:val="0"/>
              <w:snapToGrid w:val="0"/>
              <w:contextualSpacing w:val="0"/>
            </w:pPr>
          </w:p>
        </w:tc>
        <w:tc>
          <w:tcPr>
            <w:tcW w:w="340" w:type="dxa"/>
            <w:vMerge w:val="continue"/>
            <w:tcMar>
              <w:left w:w="28" w:type="dxa"/>
              <w:right w:w="28" w:type="dxa"/>
            </w:tcMar>
            <w:vAlign w:val="center"/>
          </w:tcPr>
          <w:p w14:paraId="70E6C17C">
            <w:pPr>
              <w:spacing w:line="240" w:lineRule="auto"/>
              <w:ind w:firstLine="0" w:firstLineChars="0"/>
              <w:jc w:val="center"/>
              <w:rPr>
                <w:sz w:val="21"/>
                <w:szCs w:val="21"/>
              </w:rPr>
            </w:pPr>
          </w:p>
        </w:tc>
        <w:tc>
          <w:tcPr>
            <w:tcW w:w="340" w:type="dxa"/>
            <w:vMerge w:val="continue"/>
            <w:tcMar>
              <w:left w:w="28" w:type="dxa"/>
              <w:right w:w="28" w:type="dxa"/>
            </w:tcMar>
            <w:vAlign w:val="center"/>
          </w:tcPr>
          <w:p w14:paraId="13DE25A3">
            <w:pPr>
              <w:spacing w:line="240" w:lineRule="auto"/>
              <w:ind w:firstLine="0" w:firstLineChars="0"/>
              <w:jc w:val="center"/>
              <w:rPr>
                <w:sz w:val="21"/>
                <w:szCs w:val="21"/>
              </w:rPr>
            </w:pPr>
          </w:p>
        </w:tc>
        <w:tc>
          <w:tcPr>
            <w:tcW w:w="340" w:type="dxa"/>
            <w:vMerge w:val="continue"/>
            <w:tcMar>
              <w:left w:w="28" w:type="dxa"/>
              <w:right w:w="28" w:type="dxa"/>
            </w:tcMar>
            <w:vAlign w:val="center"/>
          </w:tcPr>
          <w:p w14:paraId="732629F4">
            <w:pPr>
              <w:spacing w:line="240" w:lineRule="auto"/>
              <w:ind w:firstLine="0" w:firstLineChars="0"/>
              <w:jc w:val="center"/>
              <w:rPr>
                <w:sz w:val="21"/>
                <w:szCs w:val="21"/>
              </w:rPr>
            </w:pPr>
          </w:p>
        </w:tc>
        <w:tc>
          <w:tcPr>
            <w:tcW w:w="511" w:type="dxa"/>
            <w:tcMar>
              <w:left w:w="28" w:type="dxa"/>
              <w:right w:w="28" w:type="dxa"/>
            </w:tcMar>
            <w:vAlign w:val="center"/>
          </w:tcPr>
          <w:p w14:paraId="2EE3461F">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30</w:t>
            </w:r>
          </w:p>
        </w:tc>
        <w:tc>
          <w:tcPr>
            <w:tcW w:w="511" w:type="dxa"/>
            <w:tcMar>
              <w:left w:w="28" w:type="dxa"/>
              <w:right w:w="28" w:type="dxa"/>
            </w:tcMar>
            <w:vAlign w:val="center"/>
          </w:tcPr>
          <w:p w14:paraId="17B6FBC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45.5</w:t>
            </w:r>
          </w:p>
        </w:tc>
        <w:tc>
          <w:tcPr>
            <w:tcW w:w="340" w:type="dxa"/>
            <w:vMerge w:val="continue"/>
            <w:tcMar>
              <w:left w:w="28" w:type="dxa"/>
              <w:right w:w="28" w:type="dxa"/>
            </w:tcMar>
            <w:vAlign w:val="center"/>
          </w:tcPr>
          <w:p w14:paraId="5F99948B">
            <w:pPr>
              <w:pStyle w:val="75"/>
              <w:adjustRightInd w:val="0"/>
              <w:snapToGrid w:val="0"/>
              <w:contextualSpacing w:val="0"/>
            </w:pPr>
          </w:p>
        </w:tc>
        <w:tc>
          <w:tcPr>
            <w:tcW w:w="596" w:type="dxa"/>
            <w:vMerge w:val="continue"/>
            <w:tcMar>
              <w:left w:w="28" w:type="dxa"/>
              <w:right w:w="28" w:type="dxa"/>
            </w:tcMar>
            <w:vAlign w:val="center"/>
          </w:tcPr>
          <w:p w14:paraId="1C7D369A">
            <w:pPr>
              <w:pStyle w:val="75"/>
              <w:adjustRightInd w:val="0"/>
              <w:snapToGrid w:val="0"/>
              <w:contextualSpacing w:val="0"/>
            </w:pPr>
          </w:p>
        </w:tc>
        <w:tc>
          <w:tcPr>
            <w:tcW w:w="623" w:type="dxa"/>
            <w:tcMar>
              <w:left w:w="28" w:type="dxa"/>
              <w:right w:w="28" w:type="dxa"/>
            </w:tcMar>
            <w:vAlign w:val="center"/>
          </w:tcPr>
          <w:p w14:paraId="5E172DC5">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25.5</w:t>
            </w:r>
          </w:p>
        </w:tc>
        <w:tc>
          <w:tcPr>
            <w:tcW w:w="928" w:type="dxa"/>
            <w:tcMar>
              <w:left w:w="28" w:type="dxa"/>
              <w:right w:w="28" w:type="dxa"/>
            </w:tcMar>
            <w:vAlign w:val="center"/>
          </w:tcPr>
          <w:p w14:paraId="6DBD3CA4">
            <w:pPr>
              <w:pStyle w:val="75"/>
              <w:adjustRightInd w:val="0"/>
              <w:snapToGrid w:val="0"/>
              <w:contextualSpacing w:val="0"/>
            </w:pPr>
            <w:r>
              <w:t>1m</w:t>
            </w:r>
          </w:p>
        </w:tc>
      </w:tr>
      <w:tr w14:paraId="634388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14FC78B6">
            <w:pPr>
              <w:pStyle w:val="75"/>
              <w:adjustRightInd w:val="0"/>
              <w:snapToGrid w:val="0"/>
              <w:contextualSpacing w:val="0"/>
            </w:pPr>
          </w:p>
        </w:tc>
        <w:tc>
          <w:tcPr>
            <w:tcW w:w="511" w:type="dxa"/>
            <w:vMerge w:val="continue"/>
            <w:tcMar>
              <w:left w:w="28" w:type="dxa"/>
              <w:right w:w="28" w:type="dxa"/>
            </w:tcMar>
            <w:vAlign w:val="center"/>
          </w:tcPr>
          <w:p w14:paraId="41AEF0D7">
            <w:pPr>
              <w:pStyle w:val="75"/>
              <w:adjustRightInd w:val="0"/>
              <w:snapToGrid w:val="0"/>
              <w:contextualSpacing w:val="0"/>
            </w:pPr>
          </w:p>
        </w:tc>
        <w:tc>
          <w:tcPr>
            <w:tcW w:w="511" w:type="dxa"/>
            <w:vMerge w:val="continue"/>
            <w:tcMar>
              <w:left w:w="28" w:type="dxa"/>
              <w:right w:w="28" w:type="dxa"/>
            </w:tcMar>
            <w:vAlign w:val="center"/>
          </w:tcPr>
          <w:p w14:paraId="355F97CC">
            <w:pPr>
              <w:pStyle w:val="75"/>
              <w:adjustRightInd w:val="0"/>
              <w:snapToGrid w:val="0"/>
              <w:contextualSpacing w:val="0"/>
              <w:jc w:val="left"/>
            </w:pPr>
          </w:p>
        </w:tc>
        <w:tc>
          <w:tcPr>
            <w:tcW w:w="426" w:type="dxa"/>
            <w:vMerge w:val="continue"/>
            <w:tcMar>
              <w:left w:w="28" w:type="dxa"/>
              <w:right w:w="28" w:type="dxa"/>
            </w:tcMar>
            <w:vAlign w:val="center"/>
          </w:tcPr>
          <w:p w14:paraId="213664E9">
            <w:pPr>
              <w:pStyle w:val="75"/>
              <w:adjustRightInd w:val="0"/>
              <w:snapToGrid w:val="0"/>
              <w:contextualSpacing w:val="0"/>
              <w:rPr>
                <w:rFonts w:eastAsia="MS Gothic"/>
              </w:rPr>
            </w:pPr>
          </w:p>
        </w:tc>
        <w:tc>
          <w:tcPr>
            <w:tcW w:w="681" w:type="dxa"/>
            <w:vMerge w:val="continue"/>
            <w:tcMar>
              <w:left w:w="28" w:type="dxa"/>
              <w:right w:w="28" w:type="dxa"/>
            </w:tcMar>
            <w:vAlign w:val="center"/>
          </w:tcPr>
          <w:p w14:paraId="18B35A70">
            <w:pPr>
              <w:pStyle w:val="75"/>
              <w:adjustRightInd w:val="0"/>
              <w:snapToGrid w:val="0"/>
              <w:contextualSpacing w:val="0"/>
            </w:pPr>
          </w:p>
        </w:tc>
        <w:tc>
          <w:tcPr>
            <w:tcW w:w="340" w:type="dxa"/>
            <w:vMerge w:val="continue"/>
            <w:tcMar>
              <w:left w:w="28" w:type="dxa"/>
              <w:right w:w="28" w:type="dxa"/>
            </w:tcMar>
            <w:vAlign w:val="center"/>
          </w:tcPr>
          <w:p w14:paraId="05A2A2E2">
            <w:pPr>
              <w:pStyle w:val="75"/>
              <w:adjustRightInd w:val="0"/>
              <w:snapToGrid w:val="0"/>
              <w:contextualSpacing w:val="0"/>
            </w:pPr>
          </w:p>
        </w:tc>
        <w:tc>
          <w:tcPr>
            <w:tcW w:w="511" w:type="dxa"/>
            <w:vMerge w:val="continue"/>
            <w:tcMar>
              <w:left w:w="28" w:type="dxa"/>
              <w:right w:w="28" w:type="dxa"/>
            </w:tcMar>
            <w:vAlign w:val="center"/>
          </w:tcPr>
          <w:p w14:paraId="784CBEA5">
            <w:pPr>
              <w:spacing w:line="240" w:lineRule="auto"/>
              <w:ind w:firstLine="0" w:firstLineChars="0"/>
              <w:jc w:val="center"/>
              <w:rPr>
                <w:sz w:val="21"/>
                <w:szCs w:val="21"/>
              </w:rPr>
            </w:pPr>
          </w:p>
        </w:tc>
        <w:tc>
          <w:tcPr>
            <w:tcW w:w="511" w:type="dxa"/>
            <w:vMerge w:val="continue"/>
            <w:tcMar>
              <w:left w:w="28" w:type="dxa"/>
              <w:right w:w="28" w:type="dxa"/>
            </w:tcMar>
            <w:vAlign w:val="center"/>
          </w:tcPr>
          <w:p w14:paraId="0C3FDE66">
            <w:pPr>
              <w:pStyle w:val="75"/>
              <w:adjustRightInd w:val="0"/>
              <w:snapToGrid w:val="0"/>
              <w:contextualSpacing w:val="0"/>
            </w:pPr>
          </w:p>
        </w:tc>
        <w:tc>
          <w:tcPr>
            <w:tcW w:w="340" w:type="dxa"/>
            <w:vMerge w:val="continue"/>
            <w:tcMar>
              <w:left w:w="28" w:type="dxa"/>
              <w:right w:w="28" w:type="dxa"/>
            </w:tcMar>
            <w:vAlign w:val="center"/>
          </w:tcPr>
          <w:p w14:paraId="5C0C2C98">
            <w:pPr>
              <w:spacing w:line="240" w:lineRule="auto"/>
              <w:ind w:firstLine="0" w:firstLineChars="0"/>
              <w:jc w:val="center"/>
              <w:rPr>
                <w:sz w:val="21"/>
                <w:szCs w:val="21"/>
              </w:rPr>
            </w:pPr>
          </w:p>
        </w:tc>
        <w:tc>
          <w:tcPr>
            <w:tcW w:w="340" w:type="dxa"/>
            <w:vMerge w:val="continue"/>
            <w:tcMar>
              <w:left w:w="28" w:type="dxa"/>
              <w:right w:w="28" w:type="dxa"/>
            </w:tcMar>
            <w:vAlign w:val="center"/>
          </w:tcPr>
          <w:p w14:paraId="39C75247">
            <w:pPr>
              <w:spacing w:line="240" w:lineRule="auto"/>
              <w:ind w:firstLine="0" w:firstLineChars="0"/>
              <w:jc w:val="center"/>
              <w:rPr>
                <w:sz w:val="21"/>
                <w:szCs w:val="21"/>
              </w:rPr>
            </w:pPr>
          </w:p>
        </w:tc>
        <w:tc>
          <w:tcPr>
            <w:tcW w:w="340" w:type="dxa"/>
            <w:vMerge w:val="continue"/>
            <w:tcMar>
              <w:left w:w="28" w:type="dxa"/>
              <w:right w:w="28" w:type="dxa"/>
            </w:tcMar>
            <w:vAlign w:val="center"/>
          </w:tcPr>
          <w:p w14:paraId="3195106A">
            <w:pPr>
              <w:spacing w:line="240" w:lineRule="auto"/>
              <w:ind w:firstLine="0" w:firstLineChars="0"/>
              <w:jc w:val="center"/>
              <w:rPr>
                <w:sz w:val="21"/>
                <w:szCs w:val="21"/>
              </w:rPr>
            </w:pPr>
          </w:p>
        </w:tc>
        <w:tc>
          <w:tcPr>
            <w:tcW w:w="511" w:type="dxa"/>
            <w:tcMar>
              <w:left w:w="28" w:type="dxa"/>
              <w:right w:w="28" w:type="dxa"/>
            </w:tcMar>
            <w:vAlign w:val="center"/>
          </w:tcPr>
          <w:p w14:paraId="6F8EE711">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11</w:t>
            </w:r>
          </w:p>
        </w:tc>
        <w:tc>
          <w:tcPr>
            <w:tcW w:w="511" w:type="dxa"/>
            <w:tcMar>
              <w:left w:w="28" w:type="dxa"/>
              <w:right w:w="28" w:type="dxa"/>
            </w:tcMar>
            <w:vAlign w:val="center"/>
          </w:tcPr>
          <w:p w14:paraId="4E6A7C1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54.2</w:t>
            </w:r>
          </w:p>
        </w:tc>
        <w:tc>
          <w:tcPr>
            <w:tcW w:w="340" w:type="dxa"/>
            <w:vMerge w:val="continue"/>
            <w:tcMar>
              <w:left w:w="28" w:type="dxa"/>
              <w:right w:w="28" w:type="dxa"/>
            </w:tcMar>
            <w:vAlign w:val="center"/>
          </w:tcPr>
          <w:p w14:paraId="70936F59">
            <w:pPr>
              <w:pStyle w:val="75"/>
              <w:adjustRightInd w:val="0"/>
              <w:snapToGrid w:val="0"/>
              <w:contextualSpacing w:val="0"/>
            </w:pPr>
          </w:p>
        </w:tc>
        <w:tc>
          <w:tcPr>
            <w:tcW w:w="596" w:type="dxa"/>
            <w:vMerge w:val="continue"/>
            <w:tcMar>
              <w:left w:w="28" w:type="dxa"/>
              <w:right w:w="28" w:type="dxa"/>
            </w:tcMar>
            <w:vAlign w:val="center"/>
          </w:tcPr>
          <w:p w14:paraId="044FFDBE">
            <w:pPr>
              <w:pStyle w:val="75"/>
              <w:adjustRightInd w:val="0"/>
              <w:snapToGrid w:val="0"/>
              <w:contextualSpacing w:val="0"/>
            </w:pPr>
          </w:p>
        </w:tc>
        <w:tc>
          <w:tcPr>
            <w:tcW w:w="623" w:type="dxa"/>
            <w:tcMar>
              <w:left w:w="28" w:type="dxa"/>
              <w:right w:w="28" w:type="dxa"/>
            </w:tcMar>
            <w:vAlign w:val="center"/>
          </w:tcPr>
          <w:p w14:paraId="3AC265FD">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34.2</w:t>
            </w:r>
          </w:p>
        </w:tc>
        <w:tc>
          <w:tcPr>
            <w:tcW w:w="928" w:type="dxa"/>
            <w:tcMar>
              <w:left w:w="28" w:type="dxa"/>
              <w:right w:w="28" w:type="dxa"/>
            </w:tcMar>
            <w:vAlign w:val="center"/>
          </w:tcPr>
          <w:p w14:paraId="2835D570">
            <w:pPr>
              <w:pStyle w:val="75"/>
              <w:adjustRightInd w:val="0"/>
              <w:snapToGrid w:val="0"/>
              <w:contextualSpacing w:val="0"/>
            </w:pPr>
            <w:r>
              <w:t>1m</w:t>
            </w:r>
          </w:p>
        </w:tc>
      </w:tr>
      <w:tr w14:paraId="6A4178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67B4E26D">
            <w:pPr>
              <w:pStyle w:val="75"/>
              <w:adjustRightInd w:val="0"/>
              <w:snapToGrid w:val="0"/>
              <w:contextualSpacing w:val="0"/>
            </w:pPr>
          </w:p>
        </w:tc>
        <w:tc>
          <w:tcPr>
            <w:tcW w:w="511" w:type="dxa"/>
            <w:vMerge w:val="continue"/>
            <w:tcMar>
              <w:left w:w="28" w:type="dxa"/>
              <w:right w:w="28" w:type="dxa"/>
            </w:tcMar>
            <w:vAlign w:val="center"/>
          </w:tcPr>
          <w:p w14:paraId="6D92E908">
            <w:pPr>
              <w:pStyle w:val="75"/>
              <w:adjustRightInd w:val="0"/>
              <w:snapToGrid w:val="0"/>
              <w:contextualSpacing w:val="0"/>
            </w:pPr>
          </w:p>
        </w:tc>
        <w:tc>
          <w:tcPr>
            <w:tcW w:w="511" w:type="dxa"/>
            <w:vMerge w:val="continue"/>
            <w:tcMar>
              <w:left w:w="28" w:type="dxa"/>
              <w:right w:w="28" w:type="dxa"/>
            </w:tcMar>
            <w:vAlign w:val="center"/>
          </w:tcPr>
          <w:p w14:paraId="15360AFD">
            <w:pPr>
              <w:pStyle w:val="75"/>
              <w:adjustRightInd w:val="0"/>
              <w:snapToGrid w:val="0"/>
              <w:contextualSpacing w:val="0"/>
              <w:jc w:val="left"/>
            </w:pPr>
          </w:p>
        </w:tc>
        <w:tc>
          <w:tcPr>
            <w:tcW w:w="426" w:type="dxa"/>
            <w:vMerge w:val="continue"/>
            <w:tcMar>
              <w:left w:w="28" w:type="dxa"/>
              <w:right w:w="28" w:type="dxa"/>
            </w:tcMar>
            <w:vAlign w:val="center"/>
          </w:tcPr>
          <w:p w14:paraId="5166E757">
            <w:pPr>
              <w:pStyle w:val="75"/>
              <w:adjustRightInd w:val="0"/>
              <w:snapToGrid w:val="0"/>
              <w:contextualSpacing w:val="0"/>
              <w:rPr>
                <w:rFonts w:eastAsia="MS Gothic"/>
              </w:rPr>
            </w:pPr>
          </w:p>
        </w:tc>
        <w:tc>
          <w:tcPr>
            <w:tcW w:w="681" w:type="dxa"/>
            <w:vMerge w:val="continue"/>
            <w:tcMar>
              <w:left w:w="28" w:type="dxa"/>
              <w:right w:w="28" w:type="dxa"/>
            </w:tcMar>
            <w:vAlign w:val="center"/>
          </w:tcPr>
          <w:p w14:paraId="5F5F5F40">
            <w:pPr>
              <w:pStyle w:val="75"/>
              <w:adjustRightInd w:val="0"/>
              <w:snapToGrid w:val="0"/>
              <w:contextualSpacing w:val="0"/>
            </w:pPr>
          </w:p>
        </w:tc>
        <w:tc>
          <w:tcPr>
            <w:tcW w:w="340" w:type="dxa"/>
            <w:vMerge w:val="continue"/>
            <w:tcMar>
              <w:left w:w="28" w:type="dxa"/>
              <w:right w:w="28" w:type="dxa"/>
            </w:tcMar>
            <w:vAlign w:val="center"/>
          </w:tcPr>
          <w:p w14:paraId="108D4D68">
            <w:pPr>
              <w:pStyle w:val="75"/>
              <w:adjustRightInd w:val="0"/>
              <w:snapToGrid w:val="0"/>
              <w:contextualSpacing w:val="0"/>
            </w:pPr>
          </w:p>
        </w:tc>
        <w:tc>
          <w:tcPr>
            <w:tcW w:w="511" w:type="dxa"/>
            <w:vMerge w:val="continue"/>
            <w:tcMar>
              <w:left w:w="28" w:type="dxa"/>
              <w:right w:w="28" w:type="dxa"/>
            </w:tcMar>
            <w:vAlign w:val="center"/>
          </w:tcPr>
          <w:p w14:paraId="05A8C317">
            <w:pPr>
              <w:spacing w:line="240" w:lineRule="auto"/>
              <w:ind w:firstLine="0" w:firstLineChars="0"/>
              <w:jc w:val="center"/>
              <w:rPr>
                <w:sz w:val="21"/>
                <w:szCs w:val="21"/>
              </w:rPr>
            </w:pPr>
          </w:p>
        </w:tc>
        <w:tc>
          <w:tcPr>
            <w:tcW w:w="511" w:type="dxa"/>
            <w:vMerge w:val="continue"/>
            <w:tcMar>
              <w:left w:w="28" w:type="dxa"/>
              <w:right w:w="28" w:type="dxa"/>
            </w:tcMar>
            <w:vAlign w:val="center"/>
          </w:tcPr>
          <w:p w14:paraId="558F4823">
            <w:pPr>
              <w:pStyle w:val="75"/>
              <w:adjustRightInd w:val="0"/>
              <w:snapToGrid w:val="0"/>
              <w:contextualSpacing w:val="0"/>
            </w:pPr>
          </w:p>
        </w:tc>
        <w:tc>
          <w:tcPr>
            <w:tcW w:w="340" w:type="dxa"/>
            <w:vMerge w:val="continue"/>
            <w:tcMar>
              <w:left w:w="28" w:type="dxa"/>
              <w:right w:w="28" w:type="dxa"/>
            </w:tcMar>
            <w:vAlign w:val="center"/>
          </w:tcPr>
          <w:p w14:paraId="50E95499">
            <w:pPr>
              <w:spacing w:line="240" w:lineRule="auto"/>
              <w:ind w:firstLine="0" w:firstLineChars="0"/>
              <w:jc w:val="center"/>
              <w:rPr>
                <w:sz w:val="21"/>
                <w:szCs w:val="21"/>
              </w:rPr>
            </w:pPr>
          </w:p>
        </w:tc>
        <w:tc>
          <w:tcPr>
            <w:tcW w:w="340" w:type="dxa"/>
            <w:vMerge w:val="continue"/>
            <w:tcMar>
              <w:left w:w="28" w:type="dxa"/>
              <w:right w:w="28" w:type="dxa"/>
            </w:tcMar>
            <w:vAlign w:val="center"/>
          </w:tcPr>
          <w:p w14:paraId="5873D2E2">
            <w:pPr>
              <w:spacing w:line="240" w:lineRule="auto"/>
              <w:ind w:firstLine="0" w:firstLineChars="0"/>
              <w:jc w:val="center"/>
              <w:rPr>
                <w:sz w:val="21"/>
                <w:szCs w:val="21"/>
              </w:rPr>
            </w:pPr>
          </w:p>
        </w:tc>
        <w:tc>
          <w:tcPr>
            <w:tcW w:w="340" w:type="dxa"/>
            <w:vMerge w:val="continue"/>
            <w:tcMar>
              <w:left w:w="28" w:type="dxa"/>
              <w:right w:w="28" w:type="dxa"/>
            </w:tcMar>
            <w:vAlign w:val="center"/>
          </w:tcPr>
          <w:p w14:paraId="0F43B93C">
            <w:pPr>
              <w:spacing w:line="240" w:lineRule="auto"/>
              <w:ind w:firstLine="0" w:firstLineChars="0"/>
              <w:jc w:val="center"/>
              <w:rPr>
                <w:sz w:val="21"/>
                <w:szCs w:val="21"/>
              </w:rPr>
            </w:pPr>
          </w:p>
        </w:tc>
        <w:tc>
          <w:tcPr>
            <w:tcW w:w="511" w:type="dxa"/>
            <w:tcMar>
              <w:left w:w="28" w:type="dxa"/>
              <w:right w:w="28" w:type="dxa"/>
            </w:tcMar>
            <w:vAlign w:val="center"/>
          </w:tcPr>
          <w:p w14:paraId="38D1040A">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88</w:t>
            </w:r>
          </w:p>
        </w:tc>
        <w:tc>
          <w:tcPr>
            <w:tcW w:w="511" w:type="dxa"/>
            <w:tcMar>
              <w:left w:w="28" w:type="dxa"/>
              <w:right w:w="28" w:type="dxa"/>
            </w:tcMar>
            <w:vAlign w:val="center"/>
          </w:tcPr>
          <w:p w14:paraId="5A9F6BB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36.1</w:t>
            </w:r>
          </w:p>
        </w:tc>
        <w:tc>
          <w:tcPr>
            <w:tcW w:w="340" w:type="dxa"/>
            <w:vMerge w:val="continue"/>
            <w:tcMar>
              <w:left w:w="28" w:type="dxa"/>
              <w:right w:w="28" w:type="dxa"/>
            </w:tcMar>
            <w:vAlign w:val="center"/>
          </w:tcPr>
          <w:p w14:paraId="17F33CF2">
            <w:pPr>
              <w:pStyle w:val="75"/>
              <w:adjustRightInd w:val="0"/>
              <w:snapToGrid w:val="0"/>
              <w:contextualSpacing w:val="0"/>
            </w:pPr>
          </w:p>
        </w:tc>
        <w:tc>
          <w:tcPr>
            <w:tcW w:w="596" w:type="dxa"/>
            <w:vMerge w:val="continue"/>
            <w:tcMar>
              <w:left w:w="28" w:type="dxa"/>
              <w:right w:w="28" w:type="dxa"/>
            </w:tcMar>
            <w:vAlign w:val="center"/>
          </w:tcPr>
          <w:p w14:paraId="54C99B30">
            <w:pPr>
              <w:pStyle w:val="75"/>
              <w:adjustRightInd w:val="0"/>
              <w:snapToGrid w:val="0"/>
              <w:contextualSpacing w:val="0"/>
            </w:pPr>
          </w:p>
        </w:tc>
        <w:tc>
          <w:tcPr>
            <w:tcW w:w="623" w:type="dxa"/>
            <w:tcMar>
              <w:left w:w="28" w:type="dxa"/>
              <w:right w:w="28" w:type="dxa"/>
            </w:tcMar>
            <w:vAlign w:val="center"/>
          </w:tcPr>
          <w:p w14:paraId="7C09FEEE">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16.1</w:t>
            </w:r>
          </w:p>
        </w:tc>
        <w:tc>
          <w:tcPr>
            <w:tcW w:w="928" w:type="dxa"/>
            <w:tcMar>
              <w:left w:w="28" w:type="dxa"/>
              <w:right w:w="28" w:type="dxa"/>
            </w:tcMar>
            <w:vAlign w:val="center"/>
          </w:tcPr>
          <w:p w14:paraId="35AD0F56">
            <w:pPr>
              <w:pStyle w:val="75"/>
              <w:adjustRightInd w:val="0"/>
              <w:snapToGrid w:val="0"/>
              <w:contextualSpacing w:val="0"/>
            </w:pPr>
            <w:r>
              <w:t>1m</w:t>
            </w:r>
          </w:p>
        </w:tc>
      </w:tr>
      <w:tr w14:paraId="5CD5F5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restart"/>
            <w:tcMar>
              <w:left w:w="28" w:type="dxa"/>
              <w:right w:w="28" w:type="dxa"/>
            </w:tcMar>
            <w:vAlign w:val="center"/>
          </w:tcPr>
          <w:p w14:paraId="4B6680A9">
            <w:pPr>
              <w:pStyle w:val="75"/>
              <w:adjustRightInd w:val="0"/>
              <w:snapToGrid w:val="0"/>
              <w:contextualSpacing w:val="0"/>
            </w:pPr>
            <w:r>
              <w:rPr>
                <w:rFonts w:hint="eastAsia"/>
              </w:rPr>
              <w:t>4</w:t>
            </w:r>
          </w:p>
        </w:tc>
        <w:tc>
          <w:tcPr>
            <w:tcW w:w="511" w:type="dxa"/>
            <w:vMerge w:val="continue"/>
            <w:tcMar>
              <w:left w:w="28" w:type="dxa"/>
              <w:right w:w="28" w:type="dxa"/>
            </w:tcMar>
            <w:vAlign w:val="center"/>
          </w:tcPr>
          <w:p w14:paraId="74E3C169">
            <w:pPr>
              <w:pStyle w:val="75"/>
              <w:adjustRightInd w:val="0"/>
              <w:snapToGrid w:val="0"/>
              <w:contextualSpacing w:val="0"/>
            </w:pPr>
          </w:p>
        </w:tc>
        <w:tc>
          <w:tcPr>
            <w:tcW w:w="511" w:type="dxa"/>
            <w:vMerge w:val="restart"/>
            <w:tcMar>
              <w:left w:w="28" w:type="dxa"/>
              <w:right w:w="28" w:type="dxa"/>
            </w:tcMar>
            <w:vAlign w:val="center"/>
          </w:tcPr>
          <w:p w14:paraId="71C12A65">
            <w:pPr>
              <w:pStyle w:val="75"/>
              <w:adjustRightInd w:val="0"/>
              <w:snapToGrid w:val="0"/>
              <w:contextualSpacing w:val="0"/>
              <w:jc w:val="left"/>
            </w:pPr>
            <w:r>
              <w:rPr>
                <w:rFonts w:hint="eastAsia"/>
              </w:rPr>
              <w:t>空压机</w:t>
            </w:r>
          </w:p>
        </w:tc>
        <w:tc>
          <w:tcPr>
            <w:tcW w:w="426" w:type="dxa"/>
            <w:vMerge w:val="restart"/>
            <w:tcMar>
              <w:left w:w="28" w:type="dxa"/>
              <w:right w:w="28" w:type="dxa"/>
            </w:tcMar>
            <w:vAlign w:val="center"/>
          </w:tcPr>
          <w:p w14:paraId="598A4BD7">
            <w:pPr>
              <w:pStyle w:val="75"/>
              <w:adjustRightInd w:val="0"/>
              <w:snapToGrid w:val="0"/>
              <w:contextualSpacing w:val="0"/>
              <w:rPr>
                <w:rFonts w:eastAsiaTheme="minorEastAsia"/>
              </w:rPr>
            </w:pPr>
            <w:r>
              <w:rPr>
                <w:rFonts w:hint="eastAsia" w:eastAsiaTheme="minorEastAsia"/>
              </w:rPr>
              <w:t>/</w:t>
            </w:r>
          </w:p>
        </w:tc>
        <w:tc>
          <w:tcPr>
            <w:tcW w:w="681" w:type="dxa"/>
            <w:vMerge w:val="restart"/>
            <w:tcMar>
              <w:left w:w="28" w:type="dxa"/>
              <w:right w:w="28" w:type="dxa"/>
            </w:tcMar>
            <w:vAlign w:val="center"/>
          </w:tcPr>
          <w:p w14:paraId="481CF3A8">
            <w:pPr>
              <w:pStyle w:val="75"/>
              <w:adjustRightInd w:val="0"/>
              <w:snapToGrid w:val="0"/>
              <w:contextualSpacing w:val="0"/>
            </w:pPr>
            <w:r>
              <w:rPr>
                <w:rFonts w:hint="eastAsia"/>
                <w:lang w:val="en-US" w:eastAsia="zh-CN"/>
              </w:rPr>
              <w:t>80</w:t>
            </w:r>
            <w:r>
              <w:rPr>
                <w:rFonts w:hint="eastAsia"/>
              </w:rPr>
              <w:t>/1</w:t>
            </w:r>
          </w:p>
        </w:tc>
        <w:tc>
          <w:tcPr>
            <w:tcW w:w="340" w:type="dxa"/>
            <w:vMerge w:val="restart"/>
            <w:tcMar>
              <w:left w:w="28" w:type="dxa"/>
              <w:right w:w="28" w:type="dxa"/>
            </w:tcMar>
            <w:vAlign w:val="center"/>
          </w:tcPr>
          <w:p w14:paraId="53EFE417">
            <w:pPr>
              <w:pStyle w:val="75"/>
              <w:adjustRightInd w:val="0"/>
              <w:snapToGrid w:val="0"/>
              <w:contextualSpacing w:val="0"/>
            </w:pPr>
            <w:r>
              <w:rPr>
                <w:rFonts w:hint="eastAsia"/>
              </w:rPr>
              <w:t>2</w:t>
            </w:r>
          </w:p>
        </w:tc>
        <w:tc>
          <w:tcPr>
            <w:tcW w:w="511" w:type="dxa"/>
            <w:vMerge w:val="restart"/>
            <w:tcMar>
              <w:left w:w="28" w:type="dxa"/>
              <w:right w:w="28" w:type="dxa"/>
            </w:tcMar>
            <w:vAlign w:val="center"/>
          </w:tcPr>
          <w:p w14:paraId="0E67FDBD">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54E0B848">
            <w:pPr>
              <w:pStyle w:val="75"/>
              <w:adjustRightInd w:val="0"/>
              <w:snapToGrid w:val="0"/>
              <w:contextualSpacing w:val="0"/>
              <w:rPr>
                <w:rFonts w:hint="default" w:eastAsia="宋体"/>
                <w:lang w:val="en-US" w:eastAsia="zh-CN"/>
              </w:rPr>
            </w:pPr>
            <w:r>
              <w:rPr>
                <w:rFonts w:hint="eastAsia"/>
                <w:lang w:val="en-US" w:eastAsia="zh-CN"/>
              </w:rPr>
              <w:t>88.0</w:t>
            </w:r>
          </w:p>
        </w:tc>
        <w:tc>
          <w:tcPr>
            <w:tcW w:w="340" w:type="dxa"/>
            <w:vMerge w:val="restart"/>
            <w:tcMar>
              <w:left w:w="28" w:type="dxa"/>
              <w:right w:w="28" w:type="dxa"/>
            </w:tcMar>
            <w:vAlign w:val="center"/>
          </w:tcPr>
          <w:p w14:paraId="2C3D1295">
            <w:pPr>
              <w:spacing w:line="240" w:lineRule="auto"/>
              <w:ind w:firstLine="0" w:firstLineChars="0"/>
              <w:contextualSpacing/>
              <w:jc w:val="center"/>
              <w:rPr>
                <w:rFonts w:hint="default"/>
                <w:sz w:val="21"/>
                <w:szCs w:val="21"/>
                <w:lang w:val="en-US"/>
              </w:rPr>
            </w:pPr>
            <w:r>
              <w:rPr>
                <w:rFonts w:hint="eastAsia"/>
                <w:sz w:val="21"/>
                <w:szCs w:val="21"/>
                <w:lang w:val="en-US" w:eastAsia="zh-CN"/>
              </w:rPr>
              <w:t>38</w:t>
            </w:r>
          </w:p>
        </w:tc>
        <w:tc>
          <w:tcPr>
            <w:tcW w:w="340" w:type="dxa"/>
            <w:vMerge w:val="restart"/>
            <w:tcMar>
              <w:left w:w="28" w:type="dxa"/>
              <w:right w:w="28" w:type="dxa"/>
            </w:tcMar>
            <w:vAlign w:val="center"/>
          </w:tcPr>
          <w:p w14:paraId="34B4087B">
            <w:pPr>
              <w:spacing w:line="240" w:lineRule="auto"/>
              <w:ind w:firstLine="0" w:firstLineChars="0"/>
              <w:contextualSpacing/>
              <w:jc w:val="center"/>
              <w:rPr>
                <w:sz w:val="21"/>
                <w:szCs w:val="21"/>
              </w:rPr>
            </w:pPr>
            <w:r>
              <w:rPr>
                <w:rFonts w:hint="eastAsia"/>
                <w:sz w:val="21"/>
                <w:szCs w:val="21"/>
                <w:lang w:val="en-US" w:eastAsia="zh-CN"/>
              </w:rPr>
              <w:t>94</w:t>
            </w:r>
          </w:p>
        </w:tc>
        <w:tc>
          <w:tcPr>
            <w:tcW w:w="340" w:type="dxa"/>
            <w:vMerge w:val="restart"/>
            <w:tcMar>
              <w:left w:w="28" w:type="dxa"/>
              <w:right w:w="28" w:type="dxa"/>
            </w:tcMar>
            <w:vAlign w:val="center"/>
          </w:tcPr>
          <w:p w14:paraId="76F4B52D">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51945646">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33</w:t>
            </w:r>
          </w:p>
        </w:tc>
        <w:tc>
          <w:tcPr>
            <w:tcW w:w="511" w:type="dxa"/>
            <w:tcMar>
              <w:left w:w="28" w:type="dxa"/>
              <w:right w:w="28" w:type="dxa"/>
            </w:tcMar>
            <w:vAlign w:val="center"/>
          </w:tcPr>
          <w:p w14:paraId="7D123C8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47.6</w:t>
            </w:r>
          </w:p>
        </w:tc>
        <w:tc>
          <w:tcPr>
            <w:tcW w:w="340" w:type="dxa"/>
            <w:vMerge w:val="restart"/>
            <w:tcMar>
              <w:left w:w="28" w:type="dxa"/>
              <w:right w:w="28" w:type="dxa"/>
            </w:tcMar>
            <w:vAlign w:val="center"/>
          </w:tcPr>
          <w:p w14:paraId="27D53BE6">
            <w:pPr>
              <w:pStyle w:val="75"/>
              <w:adjustRightInd w:val="0"/>
              <w:snapToGrid w:val="0"/>
              <w:contextualSpacing w:val="0"/>
            </w:pPr>
            <w:r>
              <w:t>持续运行</w:t>
            </w:r>
          </w:p>
        </w:tc>
        <w:tc>
          <w:tcPr>
            <w:tcW w:w="596" w:type="dxa"/>
            <w:vMerge w:val="restart"/>
            <w:tcMar>
              <w:left w:w="28" w:type="dxa"/>
              <w:right w:w="28" w:type="dxa"/>
            </w:tcMar>
            <w:vAlign w:val="center"/>
          </w:tcPr>
          <w:p w14:paraId="75AA4DD6">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327C33C4">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27.6</w:t>
            </w:r>
          </w:p>
        </w:tc>
        <w:tc>
          <w:tcPr>
            <w:tcW w:w="928" w:type="dxa"/>
            <w:tcMar>
              <w:left w:w="28" w:type="dxa"/>
              <w:right w:w="28" w:type="dxa"/>
            </w:tcMar>
            <w:vAlign w:val="center"/>
          </w:tcPr>
          <w:p w14:paraId="36A9AD6F">
            <w:pPr>
              <w:pStyle w:val="75"/>
              <w:adjustRightInd w:val="0"/>
              <w:snapToGrid w:val="0"/>
              <w:contextualSpacing w:val="0"/>
            </w:pPr>
            <w:r>
              <w:t>1m</w:t>
            </w:r>
          </w:p>
        </w:tc>
      </w:tr>
      <w:tr w14:paraId="0EAA2B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01" w:type="dxa"/>
            <w:vMerge w:val="continue"/>
            <w:tcMar>
              <w:left w:w="28" w:type="dxa"/>
              <w:right w:w="28" w:type="dxa"/>
            </w:tcMar>
            <w:vAlign w:val="center"/>
          </w:tcPr>
          <w:p w14:paraId="30FFBF26">
            <w:pPr>
              <w:pStyle w:val="75"/>
              <w:adjustRightInd w:val="0"/>
              <w:snapToGrid w:val="0"/>
              <w:contextualSpacing w:val="0"/>
            </w:pPr>
          </w:p>
        </w:tc>
        <w:tc>
          <w:tcPr>
            <w:tcW w:w="511" w:type="dxa"/>
            <w:vMerge w:val="continue"/>
            <w:tcMar>
              <w:left w:w="28" w:type="dxa"/>
              <w:right w:w="28" w:type="dxa"/>
            </w:tcMar>
            <w:vAlign w:val="center"/>
          </w:tcPr>
          <w:p w14:paraId="4B71A80F">
            <w:pPr>
              <w:pStyle w:val="75"/>
              <w:adjustRightInd w:val="0"/>
              <w:snapToGrid w:val="0"/>
              <w:contextualSpacing w:val="0"/>
            </w:pPr>
          </w:p>
        </w:tc>
        <w:tc>
          <w:tcPr>
            <w:tcW w:w="511" w:type="dxa"/>
            <w:vMerge w:val="continue"/>
            <w:tcMar>
              <w:left w:w="28" w:type="dxa"/>
              <w:right w:w="28" w:type="dxa"/>
            </w:tcMar>
            <w:vAlign w:val="center"/>
          </w:tcPr>
          <w:p w14:paraId="639CD4F7">
            <w:pPr>
              <w:pStyle w:val="75"/>
              <w:adjustRightInd w:val="0"/>
              <w:snapToGrid w:val="0"/>
              <w:contextualSpacing w:val="0"/>
            </w:pPr>
          </w:p>
        </w:tc>
        <w:tc>
          <w:tcPr>
            <w:tcW w:w="426" w:type="dxa"/>
            <w:vMerge w:val="continue"/>
            <w:tcMar>
              <w:left w:w="28" w:type="dxa"/>
              <w:right w:w="28" w:type="dxa"/>
            </w:tcMar>
            <w:vAlign w:val="center"/>
          </w:tcPr>
          <w:p w14:paraId="12CDB965">
            <w:pPr>
              <w:pStyle w:val="75"/>
              <w:adjustRightInd w:val="0"/>
              <w:snapToGrid w:val="0"/>
              <w:contextualSpacing w:val="0"/>
              <w:rPr>
                <w:rFonts w:eastAsia="MS Gothic"/>
              </w:rPr>
            </w:pPr>
          </w:p>
        </w:tc>
        <w:tc>
          <w:tcPr>
            <w:tcW w:w="681" w:type="dxa"/>
            <w:vMerge w:val="continue"/>
            <w:tcMar>
              <w:left w:w="28" w:type="dxa"/>
              <w:right w:w="28" w:type="dxa"/>
            </w:tcMar>
            <w:vAlign w:val="center"/>
          </w:tcPr>
          <w:p w14:paraId="50CBFE90">
            <w:pPr>
              <w:pStyle w:val="75"/>
              <w:adjustRightInd w:val="0"/>
              <w:snapToGrid w:val="0"/>
              <w:contextualSpacing w:val="0"/>
            </w:pPr>
          </w:p>
        </w:tc>
        <w:tc>
          <w:tcPr>
            <w:tcW w:w="340" w:type="dxa"/>
            <w:vMerge w:val="continue"/>
            <w:tcMar>
              <w:left w:w="28" w:type="dxa"/>
              <w:right w:w="28" w:type="dxa"/>
            </w:tcMar>
            <w:vAlign w:val="center"/>
          </w:tcPr>
          <w:p w14:paraId="33EE07EA">
            <w:pPr>
              <w:pStyle w:val="75"/>
              <w:adjustRightInd w:val="0"/>
              <w:snapToGrid w:val="0"/>
              <w:contextualSpacing w:val="0"/>
            </w:pPr>
          </w:p>
        </w:tc>
        <w:tc>
          <w:tcPr>
            <w:tcW w:w="511" w:type="dxa"/>
            <w:vMerge w:val="continue"/>
            <w:tcMar>
              <w:left w:w="28" w:type="dxa"/>
              <w:right w:w="28" w:type="dxa"/>
            </w:tcMar>
            <w:vAlign w:val="center"/>
          </w:tcPr>
          <w:p w14:paraId="20B29FCC">
            <w:pPr>
              <w:spacing w:line="240" w:lineRule="auto"/>
              <w:ind w:firstLine="0" w:firstLineChars="0"/>
              <w:jc w:val="center"/>
              <w:rPr>
                <w:sz w:val="21"/>
                <w:szCs w:val="21"/>
              </w:rPr>
            </w:pPr>
          </w:p>
        </w:tc>
        <w:tc>
          <w:tcPr>
            <w:tcW w:w="511" w:type="dxa"/>
            <w:vMerge w:val="continue"/>
            <w:tcMar>
              <w:left w:w="28" w:type="dxa"/>
              <w:right w:w="28" w:type="dxa"/>
            </w:tcMar>
            <w:vAlign w:val="center"/>
          </w:tcPr>
          <w:p w14:paraId="658F0592">
            <w:pPr>
              <w:pStyle w:val="75"/>
              <w:adjustRightInd w:val="0"/>
              <w:snapToGrid w:val="0"/>
              <w:contextualSpacing w:val="0"/>
            </w:pPr>
          </w:p>
        </w:tc>
        <w:tc>
          <w:tcPr>
            <w:tcW w:w="340" w:type="dxa"/>
            <w:vMerge w:val="continue"/>
            <w:tcMar>
              <w:left w:w="28" w:type="dxa"/>
              <w:right w:w="28" w:type="dxa"/>
            </w:tcMar>
            <w:vAlign w:val="center"/>
          </w:tcPr>
          <w:p w14:paraId="1786B43D">
            <w:pPr>
              <w:spacing w:line="240" w:lineRule="auto"/>
              <w:ind w:firstLine="0" w:firstLineChars="0"/>
              <w:jc w:val="center"/>
              <w:rPr>
                <w:sz w:val="21"/>
                <w:szCs w:val="21"/>
              </w:rPr>
            </w:pPr>
          </w:p>
        </w:tc>
        <w:tc>
          <w:tcPr>
            <w:tcW w:w="340" w:type="dxa"/>
            <w:vMerge w:val="continue"/>
            <w:tcMar>
              <w:left w:w="28" w:type="dxa"/>
              <w:right w:w="28" w:type="dxa"/>
            </w:tcMar>
            <w:vAlign w:val="center"/>
          </w:tcPr>
          <w:p w14:paraId="0E06365C">
            <w:pPr>
              <w:spacing w:line="240" w:lineRule="auto"/>
              <w:ind w:firstLine="0" w:firstLineChars="0"/>
              <w:jc w:val="center"/>
              <w:rPr>
                <w:sz w:val="21"/>
                <w:szCs w:val="21"/>
              </w:rPr>
            </w:pPr>
          </w:p>
        </w:tc>
        <w:tc>
          <w:tcPr>
            <w:tcW w:w="340" w:type="dxa"/>
            <w:vMerge w:val="continue"/>
            <w:tcMar>
              <w:left w:w="28" w:type="dxa"/>
              <w:right w:w="28" w:type="dxa"/>
            </w:tcMar>
            <w:vAlign w:val="center"/>
          </w:tcPr>
          <w:p w14:paraId="46C6EA7D">
            <w:pPr>
              <w:spacing w:line="240" w:lineRule="auto"/>
              <w:ind w:firstLine="0" w:firstLineChars="0"/>
              <w:jc w:val="center"/>
              <w:rPr>
                <w:sz w:val="21"/>
                <w:szCs w:val="21"/>
              </w:rPr>
            </w:pPr>
          </w:p>
        </w:tc>
        <w:tc>
          <w:tcPr>
            <w:tcW w:w="511" w:type="dxa"/>
            <w:tcMar>
              <w:left w:w="28" w:type="dxa"/>
              <w:right w:w="28" w:type="dxa"/>
            </w:tcMar>
            <w:vAlign w:val="center"/>
          </w:tcPr>
          <w:p w14:paraId="6B7CB690">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90</w:t>
            </w:r>
          </w:p>
        </w:tc>
        <w:tc>
          <w:tcPr>
            <w:tcW w:w="511" w:type="dxa"/>
            <w:tcMar>
              <w:left w:w="28" w:type="dxa"/>
              <w:right w:w="28" w:type="dxa"/>
            </w:tcMar>
            <w:vAlign w:val="center"/>
          </w:tcPr>
          <w:p w14:paraId="62406B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38.9</w:t>
            </w:r>
          </w:p>
        </w:tc>
        <w:tc>
          <w:tcPr>
            <w:tcW w:w="340" w:type="dxa"/>
            <w:vMerge w:val="continue"/>
            <w:tcMar>
              <w:left w:w="28" w:type="dxa"/>
              <w:right w:w="28" w:type="dxa"/>
            </w:tcMar>
            <w:vAlign w:val="center"/>
          </w:tcPr>
          <w:p w14:paraId="5BA1A372">
            <w:pPr>
              <w:pStyle w:val="75"/>
              <w:adjustRightInd w:val="0"/>
              <w:snapToGrid w:val="0"/>
              <w:contextualSpacing w:val="0"/>
            </w:pPr>
          </w:p>
        </w:tc>
        <w:tc>
          <w:tcPr>
            <w:tcW w:w="596" w:type="dxa"/>
            <w:vMerge w:val="continue"/>
            <w:tcMar>
              <w:left w:w="28" w:type="dxa"/>
              <w:right w:w="28" w:type="dxa"/>
            </w:tcMar>
            <w:vAlign w:val="center"/>
          </w:tcPr>
          <w:p w14:paraId="6F3A464E">
            <w:pPr>
              <w:pStyle w:val="75"/>
              <w:adjustRightInd w:val="0"/>
              <w:snapToGrid w:val="0"/>
              <w:contextualSpacing w:val="0"/>
            </w:pPr>
          </w:p>
        </w:tc>
        <w:tc>
          <w:tcPr>
            <w:tcW w:w="623" w:type="dxa"/>
            <w:tcMar>
              <w:left w:w="28" w:type="dxa"/>
              <w:right w:w="28" w:type="dxa"/>
            </w:tcMar>
            <w:vAlign w:val="center"/>
          </w:tcPr>
          <w:p w14:paraId="6448104C">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18.9</w:t>
            </w:r>
          </w:p>
        </w:tc>
        <w:tc>
          <w:tcPr>
            <w:tcW w:w="928" w:type="dxa"/>
            <w:tcMar>
              <w:left w:w="28" w:type="dxa"/>
              <w:right w:w="28" w:type="dxa"/>
            </w:tcMar>
            <w:vAlign w:val="center"/>
          </w:tcPr>
          <w:p w14:paraId="775FB440">
            <w:pPr>
              <w:pStyle w:val="75"/>
              <w:adjustRightInd w:val="0"/>
              <w:snapToGrid w:val="0"/>
              <w:contextualSpacing w:val="0"/>
            </w:pPr>
            <w:r>
              <w:t>1m</w:t>
            </w:r>
          </w:p>
        </w:tc>
      </w:tr>
      <w:tr w14:paraId="349DA8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06446A25">
            <w:pPr>
              <w:pStyle w:val="75"/>
              <w:adjustRightInd w:val="0"/>
              <w:snapToGrid w:val="0"/>
              <w:contextualSpacing w:val="0"/>
            </w:pPr>
          </w:p>
        </w:tc>
        <w:tc>
          <w:tcPr>
            <w:tcW w:w="511" w:type="dxa"/>
            <w:vMerge w:val="continue"/>
            <w:tcMar>
              <w:left w:w="28" w:type="dxa"/>
              <w:right w:w="28" w:type="dxa"/>
            </w:tcMar>
            <w:vAlign w:val="center"/>
          </w:tcPr>
          <w:p w14:paraId="649876D6">
            <w:pPr>
              <w:pStyle w:val="75"/>
              <w:adjustRightInd w:val="0"/>
              <w:snapToGrid w:val="0"/>
              <w:contextualSpacing w:val="0"/>
            </w:pPr>
          </w:p>
        </w:tc>
        <w:tc>
          <w:tcPr>
            <w:tcW w:w="511" w:type="dxa"/>
            <w:vMerge w:val="continue"/>
            <w:tcMar>
              <w:left w:w="28" w:type="dxa"/>
              <w:right w:w="28" w:type="dxa"/>
            </w:tcMar>
            <w:vAlign w:val="center"/>
          </w:tcPr>
          <w:p w14:paraId="480E7961">
            <w:pPr>
              <w:pStyle w:val="75"/>
              <w:adjustRightInd w:val="0"/>
              <w:snapToGrid w:val="0"/>
              <w:contextualSpacing w:val="0"/>
            </w:pPr>
          </w:p>
        </w:tc>
        <w:tc>
          <w:tcPr>
            <w:tcW w:w="426" w:type="dxa"/>
            <w:vMerge w:val="continue"/>
            <w:tcMar>
              <w:left w:w="28" w:type="dxa"/>
              <w:right w:w="28" w:type="dxa"/>
            </w:tcMar>
            <w:vAlign w:val="center"/>
          </w:tcPr>
          <w:p w14:paraId="068D7046">
            <w:pPr>
              <w:pStyle w:val="75"/>
              <w:adjustRightInd w:val="0"/>
              <w:snapToGrid w:val="0"/>
              <w:contextualSpacing w:val="0"/>
              <w:rPr>
                <w:rFonts w:eastAsia="MS Gothic"/>
              </w:rPr>
            </w:pPr>
          </w:p>
        </w:tc>
        <w:tc>
          <w:tcPr>
            <w:tcW w:w="681" w:type="dxa"/>
            <w:vMerge w:val="continue"/>
            <w:tcMar>
              <w:left w:w="28" w:type="dxa"/>
              <w:right w:w="28" w:type="dxa"/>
            </w:tcMar>
            <w:vAlign w:val="center"/>
          </w:tcPr>
          <w:p w14:paraId="7BA350F7">
            <w:pPr>
              <w:pStyle w:val="75"/>
              <w:adjustRightInd w:val="0"/>
              <w:snapToGrid w:val="0"/>
              <w:contextualSpacing w:val="0"/>
            </w:pPr>
          </w:p>
        </w:tc>
        <w:tc>
          <w:tcPr>
            <w:tcW w:w="340" w:type="dxa"/>
            <w:vMerge w:val="continue"/>
            <w:tcMar>
              <w:left w:w="28" w:type="dxa"/>
              <w:right w:w="28" w:type="dxa"/>
            </w:tcMar>
            <w:vAlign w:val="center"/>
          </w:tcPr>
          <w:p w14:paraId="32F59D8E">
            <w:pPr>
              <w:pStyle w:val="75"/>
              <w:adjustRightInd w:val="0"/>
              <w:snapToGrid w:val="0"/>
              <w:contextualSpacing w:val="0"/>
            </w:pPr>
          </w:p>
        </w:tc>
        <w:tc>
          <w:tcPr>
            <w:tcW w:w="511" w:type="dxa"/>
            <w:vMerge w:val="continue"/>
            <w:tcMar>
              <w:left w:w="28" w:type="dxa"/>
              <w:right w:w="28" w:type="dxa"/>
            </w:tcMar>
            <w:vAlign w:val="center"/>
          </w:tcPr>
          <w:p w14:paraId="2F693716">
            <w:pPr>
              <w:spacing w:line="240" w:lineRule="auto"/>
              <w:ind w:firstLine="0" w:firstLineChars="0"/>
              <w:jc w:val="center"/>
              <w:rPr>
                <w:sz w:val="21"/>
                <w:szCs w:val="21"/>
              </w:rPr>
            </w:pPr>
          </w:p>
        </w:tc>
        <w:tc>
          <w:tcPr>
            <w:tcW w:w="511" w:type="dxa"/>
            <w:vMerge w:val="continue"/>
            <w:tcMar>
              <w:left w:w="28" w:type="dxa"/>
              <w:right w:w="28" w:type="dxa"/>
            </w:tcMar>
            <w:vAlign w:val="center"/>
          </w:tcPr>
          <w:p w14:paraId="6016F2DF">
            <w:pPr>
              <w:pStyle w:val="75"/>
              <w:adjustRightInd w:val="0"/>
              <w:snapToGrid w:val="0"/>
              <w:contextualSpacing w:val="0"/>
            </w:pPr>
          </w:p>
        </w:tc>
        <w:tc>
          <w:tcPr>
            <w:tcW w:w="340" w:type="dxa"/>
            <w:vMerge w:val="continue"/>
            <w:tcMar>
              <w:left w:w="28" w:type="dxa"/>
              <w:right w:w="28" w:type="dxa"/>
            </w:tcMar>
            <w:vAlign w:val="center"/>
          </w:tcPr>
          <w:p w14:paraId="0082C4F3">
            <w:pPr>
              <w:spacing w:line="240" w:lineRule="auto"/>
              <w:ind w:firstLine="0" w:firstLineChars="0"/>
              <w:jc w:val="center"/>
              <w:rPr>
                <w:sz w:val="21"/>
                <w:szCs w:val="21"/>
              </w:rPr>
            </w:pPr>
          </w:p>
        </w:tc>
        <w:tc>
          <w:tcPr>
            <w:tcW w:w="340" w:type="dxa"/>
            <w:vMerge w:val="continue"/>
            <w:tcMar>
              <w:left w:w="28" w:type="dxa"/>
              <w:right w:w="28" w:type="dxa"/>
            </w:tcMar>
            <w:vAlign w:val="center"/>
          </w:tcPr>
          <w:p w14:paraId="23EF7C63">
            <w:pPr>
              <w:spacing w:line="240" w:lineRule="auto"/>
              <w:ind w:firstLine="0" w:firstLineChars="0"/>
              <w:jc w:val="center"/>
              <w:rPr>
                <w:sz w:val="21"/>
                <w:szCs w:val="21"/>
              </w:rPr>
            </w:pPr>
          </w:p>
        </w:tc>
        <w:tc>
          <w:tcPr>
            <w:tcW w:w="340" w:type="dxa"/>
            <w:vMerge w:val="continue"/>
            <w:tcMar>
              <w:left w:w="28" w:type="dxa"/>
              <w:right w:w="28" w:type="dxa"/>
            </w:tcMar>
            <w:vAlign w:val="center"/>
          </w:tcPr>
          <w:p w14:paraId="4C0193A9">
            <w:pPr>
              <w:spacing w:line="240" w:lineRule="auto"/>
              <w:ind w:firstLine="0" w:firstLineChars="0"/>
              <w:jc w:val="center"/>
              <w:rPr>
                <w:sz w:val="21"/>
                <w:szCs w:val="21"/>
              </w:rPr>
            </w:pPr>
          </w:p>
        </w:tc>
        <w:tc>
          <w:tcPr>
            <w:tcW w:w="511" w:type="dxa"/>
            <w:tcMar>
              <w:left w:w="28" w:type="dxa"/>
              <w:right w:w="28" w:type="dxa"/>
            </w:tcMar>
            <w:vAlign w:val="center"/>
          </w:tcPr>
          <w:p w14:paraId="0A67DEA6">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35</w:t>
            </w:r>
          </w:p>
        </w:tc>
        <w:tc>
          <w:tcPr>
            <w:tcW w:w="511" w:type="dxa"/>
            <w:tcMar>
              <w:left w:w="28" w:type="dxa"/>
              <w:right w:w="28" w:type="dxa"/>
            </w:tcMar>
            <w:vAlign w:val="center"/>
          </w:tcPr>
          <w:p w14:paraId="6521342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47.1</w:t>
            </w:r>
          </w:p>
        </w:tc>
        <w:tc>
          <w:tcPr>
            <w:tcW w:w="340" w:type="dxa"/>
            <w:vMerge w:val="continue"/>
            <w:tcMar>
              <w:left w:w="28" w:type="dxa"/>
              <w:right w:w="28" w:type="dxa"/>
            </w:tcMar>
            <w:vAlign w:val="center"/>
          </w:tcPr>
          <w:p w14:paraId="5D423612">
            <w:pPr>
              <w:pStyle w:val="75"/>
              <w:adjustRightInd w:val="0"/>
              <w:snapToGrid w:val="0"/>
              <w:contextualSpacing w:val="0"/>
            </w:pPr>
          </w:p>
        </w:tc>
        <w:tc>
          <w:tcPr>
            <w:tcW w:w="596" w:type="dxa"/>
            <w:vMerge w:val="continue"/>
            <w:tcMar>
              <w:left w:w="28" w:type="dxa"/>
              <w:right w:w="28" w:type="dxa"/>
            </w:tcMar>
            <w:vAlign w:val="center"/>
          </w:tcPr>
          <w:p w14:paraId="354CD6FB">
            <w:pPr>
              <w:pStyle w:val="75"/>
              <w:adjustRightInd w:val="0"/>
              <w:snapToGrid w:val="0"/>
              <w:contextualSpacing w:val="0"/>
            </w:pPr>
          </w:p>
        </w:tc>
        <w:tc>
          <w:tcPr>
            <w:tcW w:w="623" w:type="dxa"/>
            <w:tcMar>
              <w:left w:w="28" w:type="dxa"/>
              <w:right w:w="28" w:type="dxa"/>
            </w:tcMar>
            <w:vAlign w:val="center"/>
          </w:tcPr>
          <w:p w14:paraId="38B82403">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27.1</w:t>
            </w:r>
          </w:p>
        </w:tc>
        <w:tc>
          <w:tcPr>
            <w:tcW w:w="928" w:type="dxa"/>
            <w:tcMar>
              <w:left w:w="28" w:type="dxa"/>
              <w:right w:w="28" w:type="dxa"/>
            </w:tcMar>
            <w:vAlign w:val="center"/>
          </w:tcPr>
          <w:p w14:paraId="2AECB03C">
            <w:pPr>
              <w:pStyle w:val="75"/>
              <w:adjustRightInd w:val="0"/>
              <w:snapToGrid w:val="0"/>
              <w:contextualSpacing w:val="0"/>
            </w:pPr>
            <w:r>
              <w:t>1m</w:t>
            </w:r>
          </w:p>
        </w:tc>
      </w:tr>
      <w:tr w14:paraId="64B6F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01" w:type="dxa"/>
            <w:vMerge w:val="continue"/>
            <w:tcMar>
              <w:left w:w="28" w:type="dxa"/>
              <w:right w:w="28" w:type="dxa"/>
            </w:tcMar>
            <w:vAlign w:val="center"/>
          </w:tcPr>
          <w:p w14:paraId="4C7A701F">
            <w:pPr>
              <w:pStyle w:val="75"/>
              <w:adjustRightInd w:val="0"/>
              <w:snapToGrid w:val="0"/>
              <w:contextualSpacing w:val="0"/>
            </w:pPr>
          </w:p>
        </w:tc>
        <w:tc>
          <w:tcPr>
            <w:tcW w:w="511" w:type="dxa"/>
            <w:vMerge w:val="continue"/>
            <w:tcMar>
              <w:left w:w="28" w:type="dxa"/>
              <w:right w:w="28" w:type="dxa"/>
            </w:tcMar>
            <w:vAlign w:val="center"/>
          </w:tcPr>
          <w:p w14:paraId="463BA701">
            <w:pPr>
              <w:pStyle w:val="75"/>
              <w:adjustRightInd w:val="0"/>
              <w:snapToGrid w:val="0"/>
              <w:contextualSpacing w:val="0"/>
            </w:pPr>
          </w:p>
        </w:tc>
        <w:tc>
          <w:tcPr>
            <w:tcW w:w="511" w:type="dxa"/>
            <w:vMerge w:val="continue"/>
            <w:tcMar>
              <w:left w:w="28" w:type="dxa"/>
              <w:right w:w="28" w:type="dxa"/>
            </w:tcMar>
            <w:vAlign w:val="center"/>
          </w:tcPr>
          <w:p w14:paraId="7D8543F2">
            <w:pPr>
              <w:pStyle w:val="75"/>
              <w:adjustRightInd w:val="0"/>
              <w:snapToGrid w:val="0"/>
              <w:contextualSpacing w:val="0"/>
            </w:pPr>
          </w:p>
        </w:tc>
        <w:tc>
          <w:tcPr>
            <w:tcW w:w="426" w:type="dxa"/>
            <w:vMerge w:val="continue"/>
            <w:tcMar>
              <w:left w:w="28" w:type="dxa"/>
              <w:right w:w="28" w:type="dxa"/>
            </w:tcMar>
            <w:vAlign w:val="center"/>
          </w:tcPr>
          <w:p w14:paraId="3B8BA6AC">
            <w:pPr>
              <w:pStyle w:val="75"/>
              <w:adjustRightInd w:val="0"/>
              <w:snapToGrid w:val="0"/>
              <w:contextualSpacing w:val="0"/>
              <w:rPr>
                <w:rFonts w:eastAsia="MS Gothic"/>
              </w:rPr>
            </w:pPr>
          </w:p>
        </w:tc>
        <w:tc>
          <w:tcPr>
            <w:tcW w:w="681" w:type="dxa"/>
            <w:vMerge w:val="continue"/>
            <w:tcMar>
              <w:left w:w="28" w:type="dxa"/>
              <w:right w:w="28" w:type="dxa"/>
            </w:tcMar>
            <w:vAlign w:val="center"/>
          </w:tcPr>
          <w:p w14:paraId="047B5B4E">
            <w:pPr>
              <w:pStyle w:val="75"/>
              <w:adjustRightInd w:val="0"/>
              <w:snapToGrid w:val="0"/>
              <w:contextualSpacing w:val="0"/>
            </w:pPr>
          </w:p>
        </w:tc>
        <w:tc>
          <w:tcPr>
            <w:tcW w:w="340" w:type="dxa"/>
            <w:vMerge w:val="continue"/>
            <w:tcMar>
              <w:left w:w="28" w:type="dxa"/>
              <w:right w:w="28" w:type="dxa"/>
            </w:tcMar>
            <w:vAlign w:val="center"/>
          </w:tcPr>
          <w:p w14:paraId="33C0961C">
            <w:pPr>
              <w:pStyle w:val="75"/>
              <w:adjustRightInd w:val="0"/>
              <w:snapToGrid w:val="0"/>
              <w:contextualSpacing w:val="0"/>
            </w:pPr>
          </w:p>
        </w:tc>
        <w:tc>
          <w:tcPr>
            <w:tcW w:w="511" w:type="dxa"/>
            <w:vMerge w:val="continue"/>
            <w:tcMar>
              <w:left w:w="28" w:type="dxa"/>
              <w:right w:w="28" w:type="dxa"/>
            </w:tcMar>
            <w:vAlign w:val="center"/>
          </w:tcPr>
          <w:p w14:paraId="3AF682DD">
            <w:pPr>
              <w:spacing w:line="240" w:lineRule="auto"/>
              <w:ind w:firstLine="0" w:firstLineChars="0"/>
              <w:jc w:val="center"/>
              <w:rPr>
                <w:sz w:val="21"/>
                <w:szCs w:val="21"/>
              </w:rPr>
            </w:pPr>
          </w:p>
        </w:tc>
        <w:tc>
          <w:tcPr>
            <w:tcW w:w="511" w:type="dxa"/>
            <w:vMerge w:val="continue"/>
            <w:tcMar>
              <w:left w:w="28" w:type="dxa"/>
              <w:right w:w="28" w:type="dxa"/>
            </w:tcMar>
            <w:vAlign w:val="center"/>
          </w:tcPr>
          <w:p w14:paraId="419EDA98">
            <w:pPr>
              <w:pStyle w:val="75"/>
              <w:adjustRightInd w:val="0"/>
              <w:snapToGrid w:val="0"/>
              <w:contextualSpacing w:val="0"/>
            </w:pPr>
          </w:p>
        </w:tc>
        <w:tc>
          <w:tcPr>
            <w:tcW w:w="340" w:type="dxa"/>
            <w:vMerge w:val="continue"/>
            <w:tcMar>
              <w:left w:w="28" w:type="dxa"/>
              <w:right w:w="28" w:type="dxa"/>
            </w:tcMar>
            <w:vAlign w:val="center"/>
          </w:tcPr>
          <w:p w14:paraId="258C4FFD">
            <w:pPr>
              <w:spacing w:line="240" w:lineRule="auto"/>
              <w:ind w:firstLine="0" w:firstLineChars="0"/>
              <w:jc w:val="center"/>
              <w:rPr>
                <w:sz w:val="21"/>
                <w:szCs w:val="21"/>
              </w:rPr>
            </w:pPr>
          </w:p>
        </w:tc>
        <w:tc>
          <w:tcPr>
            <w:tcW w:w="340" w:type="dxa"/>
            <w:vMerge w:val="continue"/>
            <w:tcMar>
              <w:left w:w="28" w:type="dxa"/>
              <w:right w:w="28" w:type="dxa"/>
            </w:tcMar>
            <w:vAlign w:val="center"/>
          </w:tcPr>
          <w:p w14:paraId="68245042">
            <w:pPr>
              <w:spacing w:line="240" w:lineRule="auto"/>
              <w:ind w:firstLine="0" w:firstLineChars="0"/>
              <w:jc w:val="center"/>
              <w:rPr>
                <w:sz w:val="21"/>
                <w:szCs w:val="21"/>
              </w:rPr>
            </w:pPr>
          </w:p>
        </w:tc>
        <w:tc>
          <w:tcPr>
            <w:tcW w:w="340" w:type="dxa"/>
            <w:vMerge w:val="continue"/>
            <w:tcMar>
              <w:left w:w="28" w:type="dxa"/>
              <w:right w:w="28" w:type="dxa"/>
            </w:tcMar>
            <w:vAlign w:val="center"/>
          </w:tcPr>
          <w:p w14:paraId="23EE8959">
            <w:pPr>
              <w:spacing w:line="240" w:lineRule="auto"/>
              <w:ind w:firstLine="0" w:firstLineChars="0"/>
              <w:jc w:val="center"/>
              <w:rPr>
                <w:sz w:val="21"/>
                <w:szCs w:val="21"/>
              </w:rPr>
            </w:pPr>
          </w:p>
        </w:tc>
        <w:tc>
          <w:tcPr>
            <w:tcW w:w="511" w:type="dxa"/>
            <w:tcMar>
              <w:left w:w="28" w:type="dxa"/>
              <w:right w:w="28" w:type="dxa"/>
            </w:tcMar>
            <w:vAlign w:val="center"/>
          </w:tcPr>
          <w:p w14:paraId="75A8BE74">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26</w:t>
            </w:r>
          </w:p>
        </w:tc>
        <w:tc>
          <w:tcPr>
            <w:tcW w:w="511" w:type="dxa"/>
            <w:tcMar>
              <w:left w:w="28" w:type="dxa"/>
              <w:right w:w="28" w:type="dxa"/>
            </w:tcMar>
            <w:vAlign w:val="center"/>
          </w:tcPr>
          <w:p w14:paraId="6BCEC3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54.7</w:t>
            </w:r>
          </w:p>
        </w:tc>
        <w:tc>
          <w:tcPr>
            <w:tcW w:w="340" w:type="dxa"/>
            <w:vMerge w:val="continue"/>
            <w:tcMar>
              <w:left w:w="28" w:type="dxa"/>
              <w:right w:w="28" w:type="dxa"/>
            </w:tcMar>
            <w:vAlign w:val="center"/>
          </w:tcPr>
          <w:p w14:paraId="4CA35533">
            <w:pPr>
              <w:pStyle w:val="75"/>
              <w:adjustRightInd w:val="0"/>
              <w:snapToGrid w:val="0"/>
              <w:contextualSpacing w:val="0"/>
            </w:pPr>
          </w:p>
        </w:tc>
        <w:tc>
          <w:tcPr>
            <w:tcW w:w="596" w:type="dxa"/>
            <w:vMerge w:val="continue"/>
            <w:tcMar>
              <w:left w:w="28" w:type="dxa"/>
              <w:right w:w="28" w:type="dxa"/>
            </w:tcMar>
            <w:vAlign w:val="center"/>
          </w:tcPr>
          <w:p w14:paraId="6C44E4EC">
            <w:pPr>
              <w:pStyle w:val="75"/>
              <w:adjustRightInd w:val="0"/>
              <w:snapToGrid w:val="0"/>
              <w:contextualSpacing w:val="0"/>
            </w:pPr>
          </w:p>
        </w:tc>
        <w:tc>
          <w:tcPr>
            <w:tcW w:w="623" w:type="dxa"/>
            <w:tcMar>
              <w:left w:w="28" w:type="dxa"/>
              <w:right w:w="28" w:type="dxa"/>
            </w:tcMar>
            <w:vAlign w:val="center"/>
          </w:tcPr>
          <w:p w14:paraId="7CB72165">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34.7</w:t>
            </w:r>
          </w:p>
        </w:tc>
        <w:tc>
          <w:tcPr>
            <w:tcW w:w="928" w:type="dxa"/>
            <w:tcMar>
              <w:left w:w="28" w:type="dxa"/>
              <w:right w:w="28" w:type="dxa"/>
            </w:tcMar>
            <w:vAlign w:val="center"/>
          </w:tcPr>
          <w:p w14:paraId="35F85EF1">
            <w:pPr>
              <w:pStyle w:val="75"/>
              <w:adjustRightInd w:val="0"/>
              <w:snapToGrid w:val="0"/>
              <w:contextualSpacing w:val="0"/>
            </w:pPr>
            <w:r>
              <w:t>1m</w:t>
            </w:r>
          </w:p>
        </w:tc>
      </w:tr>
    </w:tbl>
    <w:p w14:paraId="3F9B6C9B">
      <w:pPr>
        <w:pStyle w:val="72"/>
        <w:rPr>
          <w:highlight w:val="yellow"/>
        </w:rPr>
      </w:pPr>
      <w:r>
        <w:rPr>
          <w:rFonts w:hint="eastAsia"/>
        </w:rPr>
        <w:t>因本项目各车间内同类设备分布较为集中且尺寸相对设备距厂界距离较小，因此本次评价预测时将本项目各车间内同类设备近似作为一个点声源进行预测</w:t>
      </w:r>
      <w:r>
        <w:rPr>
          <w:rFonts w:hint="eastAsia"/>
          <w:lang w:eastAsia="zh-CN"/>
        </w:rPr>
        <w:t>。</w:t>
      </w:r>
      <w:r>
        <w:rPr>
          <w:rFonts w:hint="eastAsia"/>
        </w:rPr>
        <w:t>经预测（详见第5章），高噪声设备经安装减振装置、房间隔声等措施治理后，各厂界噪声贡献值均能够达到《工业企业厂界环境噪声排放标准》（GB12348-2008）3类昼间65dB(A)、夜间55dB(A)标准的要求。</w:t>
      </w:r>
    </w:p>
    <w:p w14:paraId="48A2473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3.6.4固废</w:t>
      </w:r>
    </w:p>
    <w:p w14:paraId="4FAEDB10">
      <w:pPr>
        <w:ind w:firstLine="480"/>
      </w:pPr>
      <w:bookmarkStart w:id="405" w:name="_Toc429318402"/>
      <w:bookmarkStart w:id="406" w:name="_Toc428286858"/>
      <w:bookmarkStart w:id="407" w:name="_Toc428287219"/>
      <w:r>
        <w:rPr>
          <w:rFonts w:hint="eastAsia"/>
          <w:snapToGrid w:val="0"/>
          <w:kern w:val="21"/>
          <w:szCs w:val="24"/>
        </w:rPr>
        <w:t>本</w:t>
      </w:r>
      <w:r>
        <w:rPr>
          <w:snapToGrid w:val="0"/>
          <w:kern w:val="21"/>
          <w:szCs w:val="24"/>
        </w:rPr>
        <w:t>项</w:t>
      </w:r>
      <w:r>
        <w:t>目产生的废物包括</w:t>
      </w:r>
      <w:r>
        <w:rPr>
          <w:rFonts w:hint="eastAsia" w:cs="宋体"/>
        </w:rPr>
        <w:t>一般固废</w:t>
      </w:r>
      <w:r>
        <w:rPr>
          <w:rFonts w:hint="eastAsia"/>
        </w:rPr>
        <w:t>和</w:t>
      </w:r>
      <w:r>
        <w:t>危险废物。根据建设单位提供数据，项目固体废物产生情况如下：</w:t>
      </w:r>
    </w:p>
    <w:p w14:paraId="74E4C60E">
      <w:pPr>
        <w:ind w:firstLine="482"/>
        <w:rPr>
          <w:rFonts w:cs="宋体"/>
          <w:b/>
          <w:bCs/>
        </w:rPr>
      </w:pPr>
      <w:r>
        <w:rPr>
          <w:rFonts w:hint="eastAsia" w:cs="宋体"/>
          <w:b/>
          <w:bCs/>
        </w:rPr>
        <w:t>1、一般固废</w:t>
      </w:r>
    </w:p>
    <w:p w14:paraId="078F0319">
      <w:pPr>
        <w:ind w:firstLine="480"/>
        <w:rPr>
          <w:rFonts w:cs="宋体"/>
        </w:rPr>
      </w:pPr>
      <w:r>
        <w:rPr>
          <w:rFonts w:hint="eastAsia" w:cs="宋体"/>
        </w:rPr>
        <w:t>（1）废边角料</w:t>
      </w:r>
    </w:p>
    <w:p w14:paraId="35E87670">
      <w:pPr>
        <w:ind w:firstLine="480"/>
        <w:rPr>
          <w:rFonts w:cs="宋体"/>
        </w:rPr>
      </w:pPr>
      <w:r>
        <w:rPr>
          <w:rFonts w:hint="eastAsia" w:cs="宋体"/>
        </w:rPr>
        <w:t>本项目机加工过程中会产生废边角料，产生量约为</w:t>
      </w:r>
      <w:r>
        <w:rPr>
          <w:rFonts w:hint="eastAsia" w:cs="宋体"/>
          <w:lang w:val="en-US" w:eastAsia="zh-CN"/>
        </w:rPr>
        <w:t>1100</w:t>
      </w:r>
      <w:r>
        <w:rPr>
          <w:rFonts w:hint="eastAsia" w:cs="宋体"/>
        </w:rPr>
        <w:t>t</w:t>
      </w:r>
      <w:r>
        <w:rPr>
          <w:rFonts w:cs="宋体"/>
        </w:rPr>
        <w:t>/a</w:t>
      </w:r>
      <w:r>
        <w:rPr>
          <w:rFonts w:hint="eastAsia" w:cs="宋体"/>
        </w:rPr>
        <w:t>，收集至一般固废暂存间暂存，定期外售。</w:t>
      </w:r>
    </w:p>
    <w:p w14:paraId="5596C39B">
      <w:pPr>
        <w:ind w:firstLine="480"/>
        <w:rPr>
          <w:rFonts w:cs="宋体"/>
        </w:rPr>
      </w:pPr>
      <w:r>
        <w:rPr>
          <w:rFonts w:hint="eastAsia" w:cs="宋体"/>
        </w:rPr>
        <w:t>（2）不合格残次品</w:t>
      </w:r>
    </w:p>
    <w:p w14:paraId="14767AE0">
      <w:pPr>
        <w:ind w:firstLine="480"/>
        <w:rPr>
          <w:rFonts w:cs="宋体"/>
        </w:rPr>
      </w:pPr>
      <w:r>
        <w:rPr>
          <w:rFonts w:hint="eastAsia" w:cs="宋体"/>
        </w:rPr>
        <w:t>本项目电镀后产品中会产生少量不合格残次品，产生量约为</w:t>
      </w:r>
      <w:r>
        <w:rPr>
          <w:rFonts w:hint="eastAsia" w:cs="宋体"/>
          <w:lang w:val="en-US" w:eastAsia="zh-CN"/>
        </w:rPr>
        <w:t>600</w:t>
      </w:r>
      <w:r>
        <w:rPr>
          <w:rFonts w:hint="eastAsia" w:cs="宋体"/>
        </w:rPr>
        <w:t>t</w:t>
      </w:r>
      <w:r>
        <w:rPr>
          <w:rFonts w:cs="宋体"/>
        </w:rPr>
        <w:t>/a</w:t>
      </w:r>
      <w:r>
        <w:rPr>
          <w:rFonts w:hint="eastAsia" w:cs="宋体"/>
        </w:rPr>
        <w:t>，收集至一般固废暂存间暂存，定期外售。</w:t>
      </w:r>
    </w:p>
    <w:p w14:paraId="20549DF9">
      <w:pPr>
        <w:ind w:firstLine="480"/>
        <w:rPr>
          <w:rFonts w:cs="宋体"/>
        </w:rPr>
      </w:pPr>
      <w:r>
        <w:rPr>
          <w:rFonts w:hint="eastAsia" w:cs="宋体"/>
        </w:rPr>
        <w:t>（3）污泥</w:t>
      </w:r>
    </w:p>
    <w:p w14:paraId="693D0E94">
      <w:pPr>
        <w:ind w:firstLine="480"/>
        <w:rPr>
          <w:rFonts w:cs="宋体"/>
        </w:rPr>
      </w:pPr>
      <w:r>
        <w:rPr>
          <w:rFonts w:hint="eastAsia" w:cs="宋体"/>
        </w:rPr>
        <w:t>本项目综合污水处理系统采用“</w:t>
      </w:r>
      <w:r>
        <w:rPr>
          <w:rFonts w:hint="eastAsia"/>
        </w:rPr>
        <w:t>混凝沉淀+水解酸化+接触氧化+二沉池</w:t>
      </w:r>
      <w:r>
        <w:rPr>
          <w:rFonts w:hint="eastAsia" w:cs="宋体"/>
        </w:rPr>
        <w:t>”的处理工艺进行处理，处理过程中会产生污泥</w:t>
      </w:r>
      <w:r>
        <w:rPr>
          <w:rFonts w:hint="eastAsia" w:cs="宋体"/>
          <w:lang w:eastAsia="zh-CN"/>
        </w:rPr>
        <w:t>（</w:t>
      </w:r>
      <w:r>
        <w:rPr>
          <w:rFonts w:hint="eastAsia" w:cs="宋体"/>
          <w:lang w:val="en-US" w:eastAsia="zh-CN"/>
        </w:rPr>
        <w:t>污泥产生量约为废水量的千分之0.3，污泥含水率以80%计</w:t>
      </w:r>
      <w:r>
        <w:rPr>
          <w:rFonts w:hint="eastAsia" w:cs="宋体"/>
          <w:lang w:eastAsia="zh-CN"/>
        </w:rPr>
        <w:t>）</w:t>
      </w:r>
      <w:r>
        <w:rPr>
          <w:rFonts w:hint="eastAsia" w:cs="宋体"/>
        </w:rPr>
        <w:t>。根据废水处理核算，污泥经板框压滤机压滤</w:t>
      </w:r>
      <w:r>
        <w:rPr>
          <w:rFonts w:hint="eastAsia" w:cs="宋体"/>
          <w:lang w:eastAsia="zh-CN"/>
        </w:rPr>
        <w:t>（</w:t>
      </w:r>
      <w:r>
        <w:rPr>
          <w:rFonts w:hint="eastAsia" w:cs="宋体"/>
          <w:lang w:val="en-US" w:eastAsia="zh-CN"/>
        </w:rPr>
        <w:t>污泥含水率为60%</w:t>
      </w:r>
      <w:r>
        <w:rPr>
          <w:rFonts w:hint="eastAsia" w:cs="宋体"/>
          <w:lang w:eastAsia="zh-CN"/>
        </w:rPr>
        <w:t>）</w:t>
      </w:r>
      <w:r>
        <w:rPr>
          <w:rFonts w:hint="eastAsia" w:cs="宋体"/>
        </w:rPr>
        <w:t>后，</w:t>
      </w:r>
      <w:r>
        <w:rPr>
          <w:rFonts w:hint="eastAsia" w:cs="宋体"/>
          <w:lang w:val="en-US" w:eastAsia="zh-CN"/>
        </w:rPr>
        <w:t>污泥产生量约为 4.30t/a，</w:t>
      </w:r>
      <w:r>
        <w:rPr>
          <w:rFonts w:hint="eastAsia" w:cs="宋体"/>
        </w:rPr>
        <w:t>定期外售于建材厂作原料使用。</w:t>
      </w:r>
    </w:p>
    <w:p w14:paraId="66653BA6">
      <w:pPr>
        <w:ind w:firstLine="480"/>
        <w:rPr>
          <w:rFonts w:cs="宋体"/>
        </w:rPr>
      </w:pPr>
      <w:r>
        <w:rPr>
          <w:rFonts w:hint="eastAsia" w:cs="宋体"/>
        </w:rPr>
        <w:t>（4）废反渗透膜</w:t>
      </w:r>
    </w:p>
    <w:p w14:paraId="3C0518BB">
      <w:pPr>
        <w:ind w:firstLine="480"/>
        <w:rPr>
          <w:rFonts w:cs="宋体"/>
        </w:rPr>
      </w:pPr>
      <w:r>
        <w:rPr>
          <w:rFonts w:hint="eastAsia" w:cs="宋体"/>
        </w:rPr>
        <w:t>本项目纯水制备过程中会产生废反渗透膜，产生量约为0.1t</w:t>
      </w:r>
      <w:r>
        <w:rPr>
          <w:rFonts w:cs="宋体"/>
        </w:rPr>
        <w:t>/a</w:t>
      </w:r>
      <w:r>
        <w:rPr>
          <w:rFonts w:hint="eastAsia" w:cs="宋体"/>
        </w:rPr>
        <w:t>，收集至一般固废暂存间暂存，定期由厂家回收。</w:t>
      </w:r>
    </w:p>
    <w:p w14:paraId="0F274FF4">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3.6-23</w:t>
      </w:r>
      <w:r>
        <w:rPr>
          <w:rFonts w:hint="eastAsia" w:ascii="Times New Roman" w:hAnsi="Times New Roman" w:eastAsia="宋体" w:cs="Times New Roman"/>
          <w:color w:val="000000" w:themeColor="text1"/>
          <w:sz w:val="24"/>
          <w:highlight w:val="none"/>
          <w14:textFill>
            <w14:solidFill>
              <w14:schemeClr w14:val="tx1"/>
            </w14:solidFill>
          </w14:textFill>
        </w:rPr>
        <w:t xml:space="preserve">    一般固体废物汇总表</w:t>
      </w:r>
    </w:p>
    <w:tbl>
      <w:tblPr>
        <w:tblStyle w:val="3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166"/>
        <w:gridCol w:w="1749"/>
        <w:gridCol w:w="1458"/>
        <w:gridCol w:w="1166"/>
        <w:gridCol w:w="1105"/>
        <w:gridCol w:w="1164"/>
      </w:tblGrid>
      <w:tr w14:paraId="40812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14:paraId="7233014E">
            <w:pPr>
              <w:spacing w:line="240" w:lineRule="auto"/>
              <w:ind w:firstLine="0" w:firstLineChars="0"/>
              <w:jc w:val="center"/>
              <w:rPr>
                <w:b/>
                <w:sz w:val="21"/>
                <w:szCs w:val="21"/>
              </w:rPr>
            </w:pPr>
            <w:r>
              <w:rPr>
                <w:rFonts w:hint="eastAsia"/>
                <w:b/>
                <w:sz w:val="21"/>
                <w:szCs w:val="21"/>
              </w:rPr>
              <w:t>序号</w:t>
            </w:r>
          </w:p>
        </w:tc>
        <w:tc>
          <w:tcPr>
            <w:tcW w:w="1166" w:type="dxa"/>
            <w:vAlign w:val="center"/>
          </w:tcPr>
          <w:p w14:paraId="29C5F9FC">
            <w:pPr>
              <w:spacing w:line="240" w:lineRule="auto"/>
              <w:ind w:firstLine="0" w:firstLineChars="0"/>
              <w:jc w:val="center"/>
              <w:rPr>
                <w:b/>
                <w:sz w:val="21"/>
                <w:szCs w:val="21"/>
              </w:rPr>
            </w:pPr>
            <w:r>
              <w:rPr>
                <w:rFonts w:hint="eastAsia"/>
                <w:b/>
                <w:sz w:val="21"/>
                <w:szCs w:val="21"/>
              </w:rPr>
              <w:t>排放源</w:t>
            </w:r>
          </w:p>
        </w:tc>
        <w:tc>
          <w:tcPr>
            <w:tcW w:w="1749" w:type="dxa"/>
            <w:vAlign w:val="center"/>
          </w:tcPr>
          <w:p w14:paraId="2B13FAB6">
            <w:pPr>
              <w:spacing w:line="240" w:lineRule="auto"/>
              <w:ind w:firstLine="0" w:firstLineChars="0"/>
              <w:jc w:val="center"/>
              <w:rPr>
                <w:b/>
                <w:kern w:val="2"/>
                <w:sz w:val="21"/>
                <w:szCs w:val="21"/>
              </w:rPr>
            </w:pPr>
            <w:r>
              <w:rPr>
                <w:rFonts w:hint="eastAsia"/>
                <w:b/>
                <w:sz w:val="21"/>
                <w:szCs w:val="21"/>
              </w:rPr>
              <w:t>固废名称</w:t>
            </w:r>
          </w:p>
        </w:tc>
        <w:tc>
          <w:tcPr>
            <w:tcW w:w="1458" w:type="dxa"/>
            <w:vAlign w:val="center"/>
          </w:tcPr>
          <w:p w14:paraId="3885DA81">
            <w:pPr>
              <w:spacing w:line="240" w:lineRule="auto"/>
              <w:ind w:firstLine="0" w:firstLineChars="0"/>
              <w:jc w:val="center"/>
              <w:rPr>
                <w:b/>
                <w:kern w:val="2"/>
                <w:sz w:val="21"/>
                <w:szCs w:val="21"/>
              </w:rPr>
            </w:pPr>
            <w:r>
              <w:rPr>
                <w:rFonts w:hint="eastAsia"/>
                <w:b/>
                <w:sz w:val="21"/>
                <w:szCs w:val="21"/>
              </w:rPr>
              <w:t>类别代码</w:t>
            </w:r>
          </w:p>
        </w:tc>
        <w:tc>
          <w:tcPr>
            <w:tcW w:w="1166" w:type="dxa"/>
            <w:vAlign w:val="center"/>
          </w:tcPr>
          <w:p w14:paraId="021C5E29">
            <w:pPr>
              <w:spacing w:line="240" w:lineRule="auto"/>
              <w:ind w:firstLine="0" w:firstLineChars="0"/>
              <w:jc w:val="center"/>
              <w:rPr>
                <w:b/>
                <w:kern w:val="2"/>
                <w:sz w:val="21"/>
                <w:szCs w:val="21"/>
              </w:rPr>
            </w:pPr>
            <w:r>
              <w:rPr>
                <w:rFonts w:hint="eastAsia"/>
                <w:b/>
                <w:sz w:val="21"/>
                <w:szCs w:val="21"/>
              </w:rPr>
              <w:t>固废性质</w:t>
            </w:r>
          </w:p>
        </w:tc>
        <w:tc>
          <w:tcPr>
            <w:tcW w:w="1105" w:type="dxa"/>
            <w:vAlign w:val="center"/>
          </w:tcPr>
          <w:p w14:paraId="1554EF76">
            <w:pPr>
              <w:spacing w:line="240" w:lineRule="auto"/>
              <w:ind w:firstLine="0" w:firstLineChars="0"/>
              <w:jc w:val="center"/>
              <w:rPr>
                <w:b/>
                <w:kern w:val="2"/>
                <w:sz w:val="21"/>
                <w:szCs w:val="21"/>
              </w:rPr>
            </w:pPr>
            <w:r>
              <w:rPr>
                <w:rFonts w:hint="eastAsia"/>
                <w:b/>
                <w:sz w:val="21"/>
                <w:szCs w:val="21"/>
              </w:rPr>
              <w:t>产生量（</w:t>
            </w:r>
            <w:r>
              <w:rPr>
                <w:b/>
                <w:sz w:val="21"/>
                <w:szCs w:val="21"/>
              </w:rPr>
              <w:t>t/a</w:t>
            </w:r>
            <w:r>
              <w:rPr>
                <w:rFonts w:hint="eastAsia"/>
                <w:b/>
                <w:sz w:val="21"/>
                <w:szCs w:val="21"/>
              </w:rPr>
              <w:t>）</w:t>
            </w:r>
          </w:p>
        </w:tc>
        <w:tc>
          <w:tcPr>
            <w:tcW w:w="1164" w:type="dxa"/>
            <w:vAlign w:val="center"/>
          </w:tcPr>
          <w:p w14:paraId="76734DEB">
            <w:pPr>
              <w:spacing w:line="240" w:lineRule="auto"/>
              <w:ind w:firstLine="0" w:firstLineChars="0"/>
              <w:jc w:val="center"/>
              <w:rPr>
                <w:b/>
                <w:kern w:val="2"/>
                <w:sz w:val="21"/>
                <w:szCs w:val="21"/>
              </w:rPr>
            </w:pPr>
            <w:r>
              <w:rPr>
                <w:rFonts w:hint="eastAsia"/>
                <w:b/>
                <w:sz w:val="21"/>
                <w:szCs w:val="21"/>
              </w:rPr>
              <w:t>处理措施</w:t>
            </w:r>
          </w:p>
        </w:tc>
      </w:tr>
      <w:tr w14:paraId="332F47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14:paraId="36FD8B7A">
            <w:pPr>
              <w:pStyle w:val="75"/>
            </w:pPr>
            <w:r>
              <w:rPr>
                <w:rFonts w:hint="eastAsia"/>
              </w:rPr>
              <w:t>1</w:t>
            </w:r>
          </w:p>
        </w:tc>
        <w:tc>
          <w:tcPr>
            <w:tcW w:w="1166" w:type="dxa"/>
            <w:vAlign w:val="center"/>
          </w:tcPr>
          <w:p w14:paraId="37DCA522">
            <w:pPr>
              <w:pStyle w:val="75"/>
            </w:pPr>
            <w:r>
              <w:rPr>
                <w:rFonts w:hint="eastAsia"/>
              </w:rPr>
              <w:t>冲压</w:t>
            </w:r>
          </w:p>
        </w:tc>
        <w:tc>
          <w:tcPr>
            <w:tcW w:w="1749" w:type="dxa"/>
            <w:vAlign w:val="center"/>
          </w:tcPr>
          <w:p w14:paraId="26B7CCB7">
            <w:pPr>
              <w:pStyle w:val="75"/>
            </w:pPr>
            <w:r>
              <w:rPr>
                <w:rFonts w:hint="eastAsia"/>
              </w:rPr>
              <w:t>废边角料</w:t>
            </w:r>
          </w:p>
        </w:tc>
        <w:tc>
          <w:tcPr>
            <w:tcW w:w="1458" w:type="dxa"/>
            <w:vAlign w:val="center"/>
          </w:tcPr>
          <w:p w14:paraId="74354744">
            <w:pPr>
              <w:spacing w:line="240" w:lineRule="auto"/>
              <w:ind w:firstLine="0" w:firstLineChars="0"/>
              <w:jc w:val="center"/>
              <w:rPr>
                <w:kern w:val="2"/>
                <w:sz w:val="21"/>
                <w:szCs w:val="21"/>
              </w:rPr>
            </w:pPr>
            <w:r>
              <w:rPr>
                <w:rFonts w:hint="eastAsia"/>
                <w:kern w:val="2"/>
                <w:sz w:val="21"/>
                <w:szCs w:val="21"/>
              </w:rPr>
              <w:t>384-001-99</w:t>
            </w:r>
          </w:p>
        </w:tc>
        <w:tc>
          <w:tcPr>
            <w:tcW w:w="1166" w:type="dxa"/>
            <w:vAlign w:val="center"/>
          </w:tcPr>
          <w:p w14:paraId="3AFC0426">
            <w:pPr>
              <w:pStyle w:val="75"/>
            </w:pPr>
            <w:r>
              <w:rPr>
                <w:rFonts w:hint="eastAsia"/>
              </w:rPr>
              <w:t>一般固废</w:t>
            </w:r>
          </w:p>
        </w:tc>
        <w:tc>
          <w:tcPr>
            <w:tcW w:w="1105" w:type="dxa"/>
            <w:vAlign w:val="center"/>
          </w:tcPr>
          <w:p w14:paraId="7137F6CD">
            <w:pPr>
              <w:pStyle w:val="75"/>
              <w:rPr>
                <w:rFonts w:hint="default" w:eastAsia="宋体"/>
                <w:lang w:val="en-US" w:eastAsia="zh-CN"/>
              </w:rPr>
            </w:pPr>
            <w:r>
              <w:rPr>
                <w:rFonts w:hint="eastAsia"/>
                <w:lang w:val="en-US" w:eastAsia="zh-CN"/>
              </w:rPr>
              <w:t>1100</w:t>
            </w:r>
          </w:p>
        </w:tc>
        <w:tc>
          <w:tcPr>
            <w:tcW w:w="1164" w:type="dxa"/>
            <w:vAlign w:val="center"/>
          </w:tcPr>
          <w:p w14:paraId="0B03FDE1">
            <w:pPr>
              <w:pStyle w:val="75"/>
            </w:pPr>
            <w:r>
              <w:rPr>
                <w:rFonts w:hint="eastAsia"/>
              </w:rPr>
              <w:t>外售</w:t>
            </w:r>
          </w:p>
        </w:tc>
      </w:tr>
      <w:tr w14:paraId="1F91BD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14:paraId="37D029E6">
            <w:pPr>
              <w:pStyle w:val="75"/>
            </w:pPr>
            <w:r>
              <w:rPr>
                <w:rFonts w:hint="eastAsia"/>
              </w:rPr>
              <w:t>2</w:t>
            </w:r>
          </w:p>
        </w:tc>
        <w:tc>
          <w:tcPr>
            <w:tcW w:w="1166" w:type="dxa"/>
            <w:vAlign w:val="center"/>
          </w:tcPr>
          <w:p w14:paraId="47E421DD">
            <w:pPr>
              <w:pStyle w:val="75"/>
            </w:pPr>
            <w:r>
              <w:rPr>
                <w:rFonts w:hint="eastAsia"/>
              </w:rPr>
              <w:t>检验</w:t>
            </w:r>
          </w:p>
        </w:tc>
        <w:tc>
          <w:tcPr>
            <w:tcW w:w="1749" w:type="dxa"/>
            <w:vAlign w:val="center"/>
          </w:tcPr>
          <w:p w14:paraId="15F3F5CD">
            <w:pPr>
              <w:pStyle w:val="75"/>
            </w:pPr>
            <w:r>
              <w:rPr>
                <w:rFonts w:hint="eastAsia"/>
              </w:rPr>
              <w:t>不合格残次品</w:t>
            </w:r>
          </w:p>
        </w:tc>
        <w:tc>
          <w:tcPr>
            <w:tcW w:w="1458" w:type="dxa"/>
            <w:vAlign w:val="center"/>
          </w:tcPr>
          <w:p w14:paraId="4B297D22">
            <w:pPr>
              <w:spacing w:line="240" w:lineRule="auto"/>
              <w:ind w:firstLine="0" w:firstLineChars="0"/>
              <w:jc w:val="center"/>
              <w:rPr>
                <w:sz w:val="21"/>
                <w:szCs w:val="21"/>
              </w:rPr>
            </w:pPr>
            <w:r>
              <w:rPr>
                <w:rFonts w:hint="eastAsia"/>
                <w:kern w:val="2"/>
                <w:sz w:val="21"/>
                <w:szCs w:val="21"/>
              </w:rPr>
              <w:t>384-002-99</w:t>
            </w:r>
          </w:p>
        </w:tc>
        <w:tc>
          <w:tcPr>
            <w:tcW w:w="1166" w:type="dxa"/>
            <w:vAlign w:val="center"/>
          </w:tcPr>
          <w:p w14:paraId="11B25C05">
            <w:pPr>
              <w:pStyle w:val="75"/>
            </w:pPr>
            <w:r>
              <w:rPr>
                <w:rFonts w:hint="eastAsia"/>
              </w:rPr>
              <w:t>一般固废</w:t>
            </w:r>
          </w:p>
        </w:tc>
        <w:tc>
          <w:tcPr>
            <w:tcW w:w="1105" w:type="dxa"/>
            <w:vAlign w:val="center"/>
          </w:tcPr>
          <w:p w14:paraId="0280D70E">
            <w:pPr>
              <w:pStyle w:val="75"/>
              <w:rPr>
                <w:rFonts w:hint="default" w:eastAsia="宋体"/>
                <w:lang w:val="en-US" w:eastAsia="zh-CN"/>
              </w:rPr>
            </w:pPr>
            <w:r>
              <w:rPr>
                <w:rFonts w:hint="eastAsia"/>
                <w:lang w:val="en-US" w:eastAsia="zh-CN"/>
              </w:rPr>
              <w:t>600</w:t>
            </w:r>
          </w:p>
        </w:tc>
        <w:tc>
          <w:tcPr>
            <w:tcW w:w="1164" w:type="dxa"/>
            <w:vAlign w:val="center"/>
          </w:tcPr>
          <w:p w14:paraId="23C6E025">
            <w:pPr>
              <w:pStyle w:val="75"/>
            </w:pPr>
            <w:r>
              <w:rPr>
                <w:rFonts w:hint="eastAsia"/>
              </w:rPr>
              <w:t>外售</w:t>
            </w:r>
          </w:p>
        </w:tc>
      </w:tr>
      <w:tr w14:paraId="68427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14:paraId="31CC4A96">
            <w:pPr>
              <w:pStyle w:val="75"/>
            </w:pPr>
            <w:r>
              <w:rPr>
                <w:rFonts w:hint="eastAsia"/>
              </w:rPr>
              <w:t>3</w:t>
            </w:r>
          </w:p>
        </w:tc>
        <w:tc>
          <w:tcPr>
            <w:tcW w:w="1166" w:type="dxa"/>
            <w:vAlign w:val="center"/>
          </w:tcPr>
          <w:p w14:paraId="05561C2F">
            <w:pPr>
              <w:pStyle w:val="75"/>
            </w:pPr>
            <w:r>
              <w:rPr>
                <w:rFonts w:hint="eastAsia"/>
              </w:rPr>
              <w:t>综合污水处理系统</w:t>
            </w:r>
          </w:p>
        </w:tc>
        <w:tc>
          <w:tcPr>
            <w:tcW w:w="1749" w:type="dxa"/>
            <w:vAlign w:val="center"/>
          </w:tcPr>
          <w:p w14:paraId="5383F9AF">
            <w:pPr>
              <w:pStyle w:val="75"/>
            </w:pPr>
            <w:r>
              <w:rPr>
                <w:rFonts w:hint="eastAsia"/>
              </w:rPr>
              <w:t>污泥</w:t>
            </w:r>
          </w:p>
        </w:tc>
        <w:tc>
          <w:tcPr>
            <w:tcW w:w="1458" w:type="dxa"/>
            <w:vAlign w:val="center"/>
          </w:tcPr>
          <w:p w14:paraId="090E9AC6">
            <w:pPr>
              <w:spacing w:line="240" w:lineRule="auto"/>
              <w:ind w:firstLine="0" w:firstLineChars="0"/>
              <w:jc w:val="center"/>
              <w:rPr>
                <w:sz w:val="21"/>
                <w:szCs w:val="21"/>
              </w:rPr>
            </w:pPr>
            <w:r>
              <w:rPr>
                <w:rFonts w:hint="eastAsia"/>
                <w:kern w:val="2"/>
                <w:sz w:val="21"/>
                <w:szCs w:val="21"/>
              </w:rPr>
              <w:t>384-003-62</w:t>
            </w:r>
          </w:p>
        </w:tc>
        <w:tc>
          <w:tcPr>
            <w:tcW w:w="1166" w:type="dxa"/>
            <w:vAlign w:val="center"/>
          </w:tcPr>
          <w:p w14:paraId="10545C80">
            <w:pPr>
              <w:pStyle w:val="75"/>
            </w:pPr>
            <w:r>
              <w:rPr>
                <w:rFonts w:hint="eastAsia"/>
              </w:rPr>
              <w:t>一般固废</w:t>
            </w:r>
          </w:p>
        </w:tc>
        <w:tc>
          <w:tcPr>
            <w:tcW w:w="1105" w:type="dxa"/>
            <w:vAlign w:val="center"/>
          </w:tcPr>
          <w:p w14:paraId="0F6D4151">
            <w:pPr>
              <w:pStyle w:val="75"/>
              <w:rPr>
                <w:rFonts w:hint="default" w:eastAsia="宋体"/>
                <w:lang w:val="en-US" w:eastAsia="zh-CN"/>
              </w:rPr>
            </w:pPr>
            <w:r>
              <w:rPr>
                <w:rFonts w:hint="eastAsia"/>
                <w:lang w:val="en-US" w:eastAsia="zh-CN"/>
              </w:rPr>
              <w:t>4.30</w:t>
            </w:r>
          </w:p>
        </w:tc>
        <w:tc>
          <w:tcPr>
            <w:tcW w:w="1164" w:type="dxa"/>
            <w:vAlign w:val="center"/>
          </w:tcPr>
          <w:p w14:paraId="6D6F7759">
            <w:pPr>
              <w:pStyle w:val="75"/>
            </w:pPr>
            <w:r>
              <w:rPr>
                <w:rFonts w:hint="eastAsia"/>
              </w:rPr>
              <w:t>外售</w:t>
            </w:r>
          </w:p>
        </w:tc>
      </w:tr>
      <w:tr w14:paraId="4C07A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vAlign w:val="center"/>
          </w:tcPr>
          <w:p w14:paraId="02FD9C36">
            <w:pPr>
              <w:pStyle w:val="75"/>
            </w:pPr>
            <w:r>
              <w:rPr>
                <w:rFonts w:hint="eastAsia"/>
              </w:rPr>
              <w:t>4</w:t>
            </w:r>
          </w:p>
        </w:tc>
        <w:tc>
          <w:tcPr>
            <w:tcW w:w="1166" w:type="dxa"/>
            <w:vAlign w:val="center"/>
          </w:tcPr>
          <w:p w14:paraId="565E6D6D">
            <w:pPr>
              <w:pStyle w:val="75"/>
            </w:pPr>
            <w:r>
              <w:rPr>
                <w:rFonts w:hint="eastAsia"/>
              </w:rPr>
              <w:t>纯水制备</w:t>
            </w:r>
          </w:p>
        </w:tc>
        <w:tc>
          <w:tcPr>
            <w:tcW w:w="1749" w:type="dxa"/>
            <w:vAlign w:val="center"/>
          </w:tcPr>
          <w:p w14:paraId="7F98D613">
            <w:pPr>
              <w:pStyle w:val="75"/>
            </w:pPr>
            <w:r>
              <w:rPr>
                <w:rFonts w:hint="eastAsia"/>
              </w:rPr>
              <w:t>废反渗透膜</w:t>
            </w:r>
          </w:p>
        </w:tc>
        <w:tc>
          <w:tcPr>
            <w:tcW w:w="1458" w:type="dxa"/>
            <w:vAlign w:val="center"/>
          </w:tcPr>
          <w:p w14:paraId="255981D4">
            <w:pPr>
              <w:spacing w:line="240" w:lineRule="auto"/>
              <w:ind w:firstLine="0" w:firstLineChars="0"/>
              <w:jc w:val="center"/>
              <w:rPr>
                <w:sz w:val="21"/>
                <w:szCs w:val="21"/>
              </w:rPr>
            </w:pPr>
            <w:r>
              <w:rPr>
                <w:rFonts w:hint="eastAsia"/>
                <w:sz w:val="21"/>
                <w:szCs w:val="21"/>
              </w:rPr>
              <w:t>384-004-99</w:t>
            </w:r>
          </w:p>
        </w:tc>
        <w:tc>
          <w:tcPr>
            <w:tcW w:w="1166" w:type="dxa"/>
            <w:vAlign w:val="center"/>
          </w:tcPr>
          <w:p w14:paraId="75D65D48">
            <w:pPr>
              <w:pStyle w:val="75"/>
            </w:pPr>
            <w:r>
              <w:rPr>
                <w:rFonts w:hint="eastAsia"/>
              </w:rPr>
              <w:t>一般固废</w:t>
            </w:r>
          </w:p>
        </w:tc>
        <w:tc>
          <w:tcPr>
            <w:tcW w:w="1105" w:type="dxa"/>
            <w:vAlign w:val="center"/>
          </w:tcPr>
          <w:p w14:paraId="3BC586FF">
            <w:pPr>
              <w:pStyle w:val="75"/>
            </w:pPr>
            <w:r>
              <w:rPr>
                <w:rFonts w:hint="eastAsia"/>
              </w:rPr>
              <w:t>0.1</w:t>
            </w:r>
          </w:p>
        </w:tc>
        <w:tc>
          <w:tcPr>
            <w:tcW w:w="1164" w:type="dxa"/>
            <w:vAlign w:val="center"/>
          </w:tcPr>
          <w:p w14:paraId="23D8B796">
            <w:pPr>
              <w:pStyle w:val="75"/>
            </w:pPr>
            <w:r>
              <w:rPr>
                <w:rFonts w:hint="eastAsia"/>
              </w:rPr>
              <w:t>厂家回收</w:t>
            </w:r>
          </w:p>
        </w:tc>
      </w:tr>
    </w:tbl>
    <w:p w14:paraId="2A9288F0">
      <w:pPr>
        <w:ind w:firstLine="482"/>
        <w:rPr>
          <w:rFonts w:cs="宋体"/>
          <w:b/>
          <w:bCs/>
        </w:rPr>
      </w:pPr>
      <w:r>
        <w:rPr>
          <w:rFonts w:hint="eastAsia" w:cs="宋体"/>
          <w:b/>
          <w:bCs/>
        </w:rPr>
        <w:t>2、危险废物</w:t>
      </w:r>
    </w:p>
    <w:p w14:paraId="123022F4">
      <w:pPr>
        <w:ind w:firstLine="480"/>
        <w:rPr>
          <w:rFonts w:cs="宋体"/>
        </w:rPr>
      </w:pPr>
      <w:r>
        <w:rPr>
          <w:rFonts w:hint="eastAsia" w:cs="宋体"/>
        </w:rPr>
        <w:t>（1）废包装物</w:t>
      </w:r>
    </w:p>
    <w:p w14:paraId="7BE24BD5">
      <w:pPr>
        <w:ind w:firstLine="480"/>
        <w:rPr>
          <w:rFonts w:cs="宋体"/>
        </w:rPr>
      </w:pPr>
      <w:r>
        <w:rPr>
          <w:rFonts w:hint="eastAsia" w:cs="宋体"/>
        </w:rPr>
        <w:t>本项目原料硫酸镍、氯化镍、硝酸铬等化学品使用过程中会产生废包装物，主要为废包装袋和废包装桶，</w:t>
      </w:r>
      <w:r>
        <w:rPr>
          <w:rFonts w:hint="eastAsia" w:cs="宋体"/>
          <w:lang w:val="en-US" w:eastAsia="zh-CN"/>
        </w:rPr>
        <w:t>根据建设单位提供的资料，</w:t>
      </w:r>
      <w:r>
        <w:rPr>
          <w:rFonts w:hint="eastAsia" w:cs="宋体"/>
        </w:rPr>
        <w:t>本项目废包装物产生量约为</w:t>
      </w:r>
      <w:r>
        <w:rPr>
          <w:rFonts w:hint="eastAsia" w:cs="宋体"/>
          <w:lang w:val="en-US" w:eastAsia="zh-CN"/>
        </w:rPr>
        <w:t>5</w:t>
      </w:r>
      <w:r>
        <w:rPr>
          <w:rFonts w:cs="宋体"/>
        </w:rPr>
        <w:t>t/a</w:t>
      </w:r>
      <w:r>
        <w:rPr>
          <w:rFonts w:hint="eastAsia" w:cs="宋体"/>
        </w:rPr>
        <w:t>，由于其沾有镍、铬等重金属，属于危险废物。根据《国家危险废物名录（</w:t>
      </w:r>
      <w:r>
        <w:rPr>
          <w:rFonts w:hint="eastAsia" w:cs="宋体"/>
          <w:lang w:val="en-US" w:eastAsia="zh-CN"/>
        </w:rPr>
        <w:t>2025</w:t>
      </w:r>
      <w:r>
        <w:rPr>
          <w:rFonts w:hint="eastAsia" w:cs="宋体"/>
        </w:rPr>
        <w:t>年版）》，废包装物属于危险废物（HW49其他废物中900-041-49含有或沾染毒性、感染性危险废物的废弃包装物、容器、过滤吸附介质）。评价要求，废包装物收集至危废贮存库暂存，定期送有相应危废处置资质的单位处置。</w:t>
      </w:r>
    </w:p>
    <w:p w14:paraId="41FC39C4">
      <w:pPr>
        <w:ind w:firstLine="480"/>
        <w:rPr>
          <w:rFonts w:cs="宋体"/>
        </w:rPr>
      </w:pPr>
      <w:r>
        <w:rPr>
          <w:rFonts w:hint="eastAsia" w:cs="宋体"/>
        </w:rPr>
        <w:t>（2）废液压油</w:t>
      </w:r>
    </w:p>
    <w:p w14:paraId="5BB0A659">
      <w:pPr>
        <w:ind w:firstLine="480"/>
        <w:rPr>
          <w:rFonts w:cs="宋体"/>
        </w:rPr>
      </w:pPr>
      <w:r>
        <w:rPr>
          <w:rFonts w:hint="eastAsia" w:cs="宋体"/>
        </w:rPr>
        <w:t>本项目冲压设备定期会产生废液压油，废液压油产生量约为</w:t>
      </w:r>
      <w:r>
        <w:rPr>
          <w:rFonts w:hint="eastAsia" w:cs="宋体"/>
          <w:lang w:val="en-US" w:eastAsia="zh-CN"/>
        </w:rPr>
        <w:t>4.9</w:t>
      </w:r>
      <w:r>
        <w:rPr>
          <w:rFonts w:hint="eastAsia" w:cs="宋体"/>
        </w:rPr>
        <w:t>t/a。根据《国家危险废物名录（</w:t>
      </w:r>
      <w:r>
        <w:rPr>
          <w:rFonts w:hint="eastAsia" w:cs="宋体"/>
          <w:lang w:val="en-US" w:eastAsia="zh-CN"/>
        </w:rPr>
        <w:t>2025</w:t>
      </w:r>
      <w:r>
        <w:rPr>
          <w:rFonts w:hint="eastAsia" w:cs="宋体"/>
        </w:rPr>
        <w:t>年版）》，废液压油属于危险废物（HW08废矿物油与含矿物油废物中</w:t>
      </w:r>
      <w:r>
        <w:rPr>
          <w:rFonts w:cs="宋体"/>
        </w:rPr>
        <w:t>900-218-08</w:t>
      </w:r>
      <w:r>
        <w:rPr>
          <w:rFonts w:hint="eastAsia" w:cs="宋体"/>
        </w:rPr>
        <w:t>液压设备维护、更换和拆解过程中产生的废液压油）。评价要求，废液压油收集至危废贮存库暂存，定期送有相应危废处置资质的单位处置。</w:t>
      </w:r>
    </w:p>
    <w:p w14:paraId="1AFE4EAB">
      <w:pPr>
        <w:ind w:firstLine="480"/>
        <w:rPr>
          <w:rFonts w:cs="宋体"/>
        </w:rPr>
      </w:pPr>
      <w:r>
        <w:rPr>
          <w:rFonts w:hint="eastAsia" w:cs="宋体"/>
        </w:rPr>
        <w:t>（3）废滤芯和废活性炭</w:t>
      </w:r>
    </w:p>
    <w:p w14:paraId="6BB9D8CF">
      <w:pPr>
        <w:ind w:firstLine="480"/>
        <w:rPr>
          <w:rFonts w:cs="宋体"/>
        </w:rPr>
      </w:pPr>
      <w:r>
        <w:rPr>
          <w:rFonts w:hint="eastAsia" w:cs="宋体"/>
        </w:rPr>
        <w:t>本项目电镀生产线槽液需定期采用过滤系统进行过滤去除杂质，过滤系统会产生废滤芯和废活性炭，产生量约为3</w:t>
      </w:r>
      <w:r>
        <w:rPr>
          <w:rFonts w:cs="宋体"/>
        </w:rPr>
        <w:t>t/a</w:t>
      </w:r>
      <w:r>
        <w:rPr>
          <w:rFonts w:hint="eastAsia" w:cs="宋体"/>
        </w:rPr>
        <w:t>。根据《国家危险废物名录</w:t>
      </w:r>
      <w:r>
        <w:rPr>
          <w:rFonts w:hint="eastAsia" w:cs="宋体"/>
          <w:lang w:val="en-US" w:eastAsia="zh-CN"/>
        </w:rPr>
        <w:t>2025</w:t>
      </w:r>
      <w:r>
        <w:rPr>
          <w:rFonts w:hint="eastAsia" w:cs="宋体"/>
        </w:rPr>
        <w:t>年版）》，废滤芯属于危险废物（HW49其他废物中900-041-49含有或沾染毒性、感染性危险废物的废弃包装物、容器、过滤吸附介质）。评价要求，废滤芯收集至危废贮存库暂存，定期送有相应危废处置资质的单位处置。</w:t>
      </w:r>
    </w:p>
    <w:p w14:paraId="71652D4B">
      <w:pPr>
        <w:ind w:firstLine="480"/>
        <w:rPr>
          <w:rFonts w:cs="宋体"/>
          <w:highlight w:val="none"/>
        </w:rPr>
      </w:pPr>
      <w:r>
        <w:rPr>
          <w:rFonts w:hint="eastAsia" w:cs="宋体"/>
          <w:highlight w:val="none"/>
        </w:rPr>
        <w:t>（4）废槽渣</w:t>
      </w:r>
    </w:p>
    <w:p w14:paraId="59E5A8A0">
      <w:pPr>
        <w:ind w:firstLine="480"/>
        <w:rPr>
          <w:rFonts w:cs="宋体"/>
          <w:highlight w:val="none"/>
        </w:rPr>
      </w:pPr>
      <w:r>
        <w:rPr>
          <w:rFonts w:hint="eastAsia" w:cs="宋体"/>
          <w:highlight w:val="none"/>
        </w:rPr>
        <w:t>本项目电镀生产线槽液过滤过程中会产生废槽渣，根据元素平衡可知，废槽渣产生量约为</w:t>
      </w:r>
      <w:r>
        <w:rPr>
          <w:rFonts w:hint="eastAsia" w:cs="宋体"/>
          <w:highlight w:val="none"/>
          <w:lang w:val="en-US" w:eastAsia="zh-CN"/>
        </w:rPr>
        <w:t>6.7518</w:t>
      </w:r>
      <w:r>
        <w:rPr>
          <w:rFonts w:cs="宋体"/>
          <w:highlight w:val="none"/>
        </w:rPr>
        <w:t>t/a</w:t>
      </w:r>
      <w:r>
        <w:rPr>
          <w:rFonts w:hint="eastAsia" w:cs="宋体"/>
          <w:highlight w:val="none"/>
        </w:rPr>
        <w:t>。根据《国家危险废物名录（</w:t>
      </w:r>
      <w:r>
        <w:rPr>
          <w:rFonts w:hint="eastAsia" w:cs="宋体"/>
          <w:highlight w:val="none"/>
          <w:lang w:val="en-US" w:eastAsia="zh-CN"/>
        </w:rPr>
        <w:t>2025</w:t>
      </w:r>
      <w:r>
        <w:rPr>
          <w:rFonts w:hint="eastAsia" w:cs="宋体"/>
          <w:highlight w:val="none"/>
        </w:rPr>
        <w:t>年版）》，废槽渣属于危险废物（HW17表面处理废物</w:t>
      </w:r>
      <w:r>
        <w:rPr>
          <w:rFonts w:cs="宋体"/>
          <w:highlight w:val="none"/>
        </w:rPr>
        <w:t>336-054-17</w:t>
      </w:r>
      <w:r>
        <w:rPr>
          <w:rFonts w:hint="eastAsia" w:cs="宋体"/>
          <w:highlight w:val="none"/>
        </w:rPr>
        <w:t>使用镍和电镀化学品进行镀镍产生的废槽液、槽渣和废水处理污泥）。评价要求，废槽渣收集至危废贮存库暂存，定期送有相应危废处置资质的单位处置。</w:t>
      </w:r>
    </w:p>
    <w:p w14:paraId="73B6701C">
      <w:pPr>
        <w:ind w:firstLine="480"/>
        <w:rPr>
          <w:rFonts w:cs="宋体"/>
        </w:rPr>
      </w:pPr>
      <w:r>
        <w:rPr>
          <w:rFonts w:hint="eastAsia" w:cs="宋体"/>
        </w:rPr>
        <w:t>（5）废油渣</w:t>
      </w:r>
    </w:p>
    <w:p w14:paraId="48535281">
      <w:pPr>
        <w:ind w:firstLine="480"/>
        <w:rPr>
          <w:rFonts w:cs="宋体"/>
        </w:rPr>
      </w:pPr>
      <w:r>
        <w:rPr>
          <w:rFonts w:hint="eastAsia" w:cs="宋体"/>
        </w:rPr>
        <w:t>本项目含油废水采用破乳、气浮工艺进行处理，处理过程中会产生废油渣，产生量约为1.5</w:t>
      </w:r>
      <w:r>
        <w:rPr>
          <w:rFonts w:cs="宋体"/>
        </w:rPr>
        <w:t>t/a</w:t>
      </w:r>
      <w:r>
        <w:rPr>
          <w:rFonts w:hint="eastAsia" w:cs="宋体"/>
        </w:rPr>
        <w:t>。根据《国家危险废物名录（</w:t>
      </w:r>
      <w:r>
        <w:rPr>
          <w:rFonts w:hint="eastAsia" w:cs="宋体"/>
          <w:lang w:val="en-US" w:eastAsia="zh-CN"/>
        </w:rPr>
        <w:t>2025</w:t>
      </w:r>
      <w:r>
        <w:rPr>
          <w:rFonts w:hint="eastAsia" w:cs="宋体"/>
        </w:rPr>
        <w:t>年版）》，废油渣属于危险废物（</w:t>
      </w:r>
      <w:r>
        <w:rPr>
          <w:rFonts w:cs="宋体"/>
        </w:rPr>
        <w:t>HW08</w:t>
      </w:r>
      <w:r>
        <w:rPr>
          <w:rFonts w:hint="eastAsia" w:cs="宋体"/>
        </w:rPr>
        <w:t>废矿物油与含矿物油废物</w:t>
      </w:r>
      <w:r>
        <w:rPr>
          <w:rFonts w:cs="宋体"/>
        </w:rPr>
        <w:t>900-210-08</w:t>
      </w:r>
      <w:r>
        <w:rPr>
          <w:rFonts w:hint="eastAsia" w:cs="宋体"/>
        </w:rPr>
        <w:t>含油废水处理中隔油、气浮、沉淀等处理过程中产生的浮油、浮渣和污泥（不包括废水生化处理污泥））。评价要求，废油渣收集至危废贮存库暂存，定期送有相应危废处置资质的单位处置。</w:t>
      </w:r>
    </w:p>
    <w:p w14:paraId="3AA72046">
      <w:pPr>
        <w:ind w:firstLine="480"/>
        <w:rPr>
          <w:rFonts w:cs="宋体"/>
          <w:highlight w:val="none"/>
        </w:rPr>
      </w:pPr>
      <w:r>
        <w:rPr>
          <w:rFonts w:hint="eastAsia" w:cs="宋体"/>
          <w:highlight w:val="none"/>
        </w:rPr>
        <w:t>（6）含镍污泥</w:t>
      </w:r>
    </w:p>
    <w:p w14:paraId="518D9799">
      <w:pPr>
        <w:ind w:firstLine="480"/>
        <w:rPr>
          <w:rFonts w:cs="宋体"/>
          <w:highlight w:val="none"/>
        </w:rPr>
      </w:pPr>
      <w:r>
        <w:rPr>
          <w:rFonts w:hint="eastAsia" w:cs="宋体"/>
          <w:highlight w:val="none"/>
        </w:rPr>
        <w:t>本项目含镍废水处理过程中会产生含镍污泥，主要由重金属镍和原料中其他杂</w:t>
      </w:r>
      <w:r>
        <w:rPr>
          <w:rFonts w:hint="eastAsia" w:cs="宋体"/>
          <w:highlight w:val="none"/>
          <w:lang w:val="en-US" w:eastAsia="zh-CN"/>
        </w:rPr>
        <w:t>质组成。根据元素平衡和物料平衡核算可知，污泥中镍含量为6.6466t/a，其他杂质含量为8.534t/a，污泥含水率以60%计，则含镍污泥产生量约为37.9515t/a。根</w:t>
      </w:r>
      <w:r>
        <w:rPr>
          <w:rFonts w:hint="eastAsia" w:cs="宋体"/>
          <w:highlight w:val="none"/>
        </w:rPr>
        <w:t>据《国家危险废物名录（202</w:t>
      </w:r>
      <w:r>
        <w:rPr>
          <w:rFonts w:hint="eastAsia" w:cs="宋体"/>
          <w:highlight w:val="none"/>
          <w:lang w:val="en-US" w:eastAsia="zh-CN"/>
        </w:rPr>
        <w:t>5</w:t>
      </w:r>
      <w:r>
        <w:rPr>
          <w:rFonts w:hint="eastAsia" w:cs="宋体"/>
          <w:highlight w:val="none"/>
        </w:rPr>
        <w:t>年版）》，含镍污泥属于危险废物（HW17表面处理废物336-054-17使用镍和电镀化学品进行镀镍产生的废槽液、槽渣和废水处理污泥）。评价要求，含镍污泥收集至危废贮存库暂存，定期送有相应危废处置资质的单位处置。</w:t>
      </w:r>
    </w:p>
    <w:p w14:paraId="001EDCFB">
      <w:pPr>
        <w:ind w:firstLine="480"/>
        <w:rPr>
          <w:rFonts w:cs="宋体"/>
        </w:rPr>
      </w:pPr>
      <w:r>
        <w:rPr>
          <w:rFonts w:hint="eastAsia" w:cs="宋体"/>
        </w:rPr>
        <w:t>（7）含镍废活性炭</w:t>
      </w:r>
    </w:p>
    <w:p w14:paraId="2458655B">
      <w:pPr>
        <w:ind w:firstLine="480"/>
        <w:rPr>
          <w:rFonts w:cs="宋体"/>
        </w:rPr>
      </w:pPr>
      <w:r>
        <w:rPr>
          <w:rFonts w:hint="eastAsia" w:cs="宋体"/>
        </w:rPr>
        <w:t>本项目含镍废水处理过程中会产生含镍废活性炭，产生量约为0.1t</w:t>
      </w:r>
      <w:r>
        <w:rPr>
          <w:rFonts w:cs="宋体"/>
        </w:rPr>
        <w:t>/a</w:t>
      </w:r>
      <w:r>
        <w:rPr>
          <w:rFonts w:hint="eastAsia" w:cs="宋体"/>
        </w:rPr>
        <w:t>。根据《国家危险废物名录（202</w:t>
      </w:r>
      <w:r>
        <w:rPr>
          <w:rFonts w:hint="eastAsia" w:cs="宋体"/>
          <w:lang w:val="en-US" w:eastAsia="zh-CN"/>
        </w:rPr>
        <w:t>5</w:t>
      </w:r>
      <w:r>
        <w:rPr>
          <w:rFonts w:hint="eastAsia" w:cs="宋体"/>
        </w:rPr>
        <w:t>年版）》，含镍废活性炭属于危险废物（HW49其他废物中900-041-49含有或沾染毒性、感染性危险废物的废弃包装物、容器、过滤吸附介质）。评价要求，含镍废活性炭收集至危废贮存库暂存，定期送有相应危废处置资质的单位处置。</w:t>
      </w:r>
    </w:p>
    <w:p w14:paraId="08068F8D">
      <w:pPr>
        <w:ind w:firstLine="480"/>
        <w:rPr>
          <w:rFonts w:cs="宋体"/>
        </w:rPr>
      </w:pPr>
      <w:r>
        <w:rPr>
          <w:rFonts w:hint="eastAsia" w:cs="宋体"/>
        </w:rPr>
        <w:t>（8）含镍废过滤膜</w:t>
      </w:r>
    </w:p>
    <w:p w14:paraId="1CD84F3F">
      <w:pPr>
        <w:ind w:firstLine="480"/>
        <w:rPr>
          <w:rFonts w:cs="宋体"/>
        </w:rPr>
      </w:pPr>
      <w:r>
        <w:rPr>
          <w:rFonts w:hint="eastAsia" w:cs="宋体"/>
        </w:rPr>
        <w:t>本项目含镍废水处理过程中会产生含镍废过滤膜，产生量约为0.05t</w:t>
      </w:r>
      <w:r>
        <w:rPr>
          <w:rFonts w:cs="宋体"/>
        </w:rPr>
        <w:t>/a</w:t>
      </w:r>
      <w:r>
        <w:rPr>
          <w:rFonts w:hint="eastAsia" w:cs="宋体"/>
        </w:rPr>
        <w:t>。根据《国家危险废物名录（</w:t>
      </w:r>
      <w:r>
        <w:rPr>
          <w:rFonts w:hint="eastAsia" w:cs="宋体"/>
          <w:lang w:val="en-US" w:eastAsia="zh-CN"/>
        </w:rPr>
        <w:t>2025</w:t>
      </w:r>
      <w:r>
        <w:rPr>
          <w:rFonts w:hint="eastAsia" w:cs="宋体"/>
        </w:rPr>
        <w:t>年版）》，含镍废过滤膜属于危险废物（HW49其他废物中900-041-49含有或沾染毒性、感染性危险废物的废弃包装物、容器、过滤吸附介质）。评价要求，含镍废过滤膜收集至危废贮存库暂存，定期送有相应危废处置资质的单位处置。</w:t>
      </w:r>
    </w:p>
    <w:p w14:paraId="6D4DAFBE">
      <w:pPr>
        <w:ind w:firstLine="480"/>
        <w:rPr>
          <w:rFonts w:cs="宋体"/>
          <w:highlight w:val="none"/>
        </w:rPr>
      </w:pPr>
      <w:r>
        <w:rPr>
          <w:rFonts w:hint="eastAsia" w:cs="宋体"/>
          <w:highlight w:val="none"/>
        </w:rPr>
        <w:t>（9）含铬污泥</w:t>
      </w:r>
    </w:p>
    <w:p w14:paraId="1003CB68">
      <w:pPr>
        <w:ind w:firstLine="480"/>
        <w:rPr>
          <w:rFonts w:cs="宋体"/>
          <w:highlight w:val="none"/>
        </w:rPr>
      </w:pPr>
      <w:r>
        <w:rPr>
          <w:rFonts w:hint="eastAsia" w:cs="宋体"/>
          <w:highlight w:val="none"/>
        </w:rPr>
        <w:t>本项目含铬废水处理过程中会产生含铬污泥，主要由重金属铬和原料中其他杂质组成。</w:t>
      </w:r>
      <w:r>
        <w:rPr>
          <w:rFonts w:hint="eastAsia" w:cs="宋体"/>
          <w:color w:val="000000" w:themeColor="text1"/>
          <w:highlight w:val="none"/>
          <w14:textFill>
            <w14:solidFill>
              <w14:schemeClr w14:val="tx1"/>
            </w14:solidFill>
          </w14:textFill>
        </w:rPr>
        <w:t>根据元素平衡和物料平衡核算可知，污泥中铬含量为</w:t>
      </w:r>
      <w:r>
        <w:rPr>
          <w:rFonts w:hint="eastAsia" w:cs="宋体"/>
          <w:color w:val="000000" w:themeColor="text1"/>
          <w:highlight w:val="none"/>
          <w:lang w:val="en-US" w:eastAsia="zh-CN"/>
          <w14:textFill>
            <w14:solidFill>
              <w14:schemeClr w14:val="tx1"/>
            </w14:solidFill>
          </w14:textFill>
        </w:rPr>
        <w:t>0.3952</w:t>
      </w:r>
      <w:r>
        <w:rPr>
          <w:rFonts w:cs="宋体"/>
          <w:color w:val="000000" w:themeColor="text1"/>
          <w:highlight w:val="none"/>
          <w14:textFill>
            <w14:solidFill>
              <w14:schemeClr w14:val="tx1"/>
            </w14:solidFill>
          </w14:textFill>
        </w:rPr>
        <w:t>t/a</w:t>
      </w:r>
      <w:r>
        <w:rPr>
          <w:rFonts w:hint="eastAsia" w:cs="宋体"/>
          <w:color w:val="000000" w:themeColor="text1"/>
          <w:highlight w:val="none"/>
          <w14:textFill>
            <w14:solidFill>
              <w14:schemeClr w14:val="tx1"/>
            </w14:solidFill>
          </w14:textFill>
        </w:rPr>
        <w:t>，其他杂质含量为</w:t>
      </w:r>
      <w:r>
        <w:rPr>
          <w:rFonts w:hint="eastAsia" w:cs="宋体"/>
          <w:color w:val="000000" w:themeColor="text1"/>
          <w:highlight w:val="none"/>
          <w:lang w:val="en-US" w:eastAsia="zh-CN"/>
          <w14:textFill>
            <w14:solidFill>
              <w14:schemeClr w14:val="tx1"/>
            </w14:solidFill>
          </w14:textFill>
        </w:rPr>
        <w:t>0.0305</w:t>
      </w:r>
      <w:r>
        <w:rPr>
          <w:rFonts w:hint="eastAsia" w:cs="宋体"/>
          <w:color w:val="000000" w:themeColor="text1"/>
          <w:highlight w:val="none"/>
          <w14:textFill>
            <w14:solidFill>
              <w14:schemeClr w14:val="tx1"/>
            </w14:solidFill>
          </w14:textFill>
        </w:rPr>
        <w:t>t/a，污泥含水率以</w:t>
      </w:r>
      <w:r>
        <w:rPr>
          <w:rFonts w:hint="eastAsia" w:cs="宋体"/>
          <w:color w:val="000000" w:themeColor="text1"/>
          <w:highlight w:val="none"/>
          <w:lang w:val="en-US" w:eastAsia="zh-CN"/>
          <w14:textFill>
            <w14:solidFill>
              <w14:schemeClr w14:val="tx1"/>
            </w14:solidFill>
          </w14:textFill>
        </w:rPr>
        <w:t>60</w:t>
      </w:r>
      <w:r>
        <w:rPr>
          <w:rFonts w:hint="eastAsia" w:cs="宋体"/>
          <w:color w:val="000000" w:themeColor="text1"/>
          <w:highlight w:val="none"/>
          <w14:textFill>
            <w14:solidFill>
              <w14:schemeClr w14:val="tx1"/>
            </w14:solidFill>
          </w14:textFill>
        </w:rPr>
        <w:t>%计，则含铬污泥产生量约为</w:t>
      </w:r>
      <w:r>
        <w:rPr>
          <w:rFonts w:hint="eastAsia" w:cs="宋体"/>
          <w:color w:val="000000" w:themeColor="text1"/>
          <w:highlight w:val="none"/>
          <w:lang w:val="en-US" w:eastAsia="zh-CN"/>
          <w14:textFill>
            <w14:solidFill>
              <w14:schemeClr w14:val="tx1"/>
            </w14:solidFill>
          </w14:textFill>
        </w:rPr>
        <w:t>1.0643</w:t>
      </w:r>
      <w:r>
        <w:rPr>
          <w:rFonts w:hint="eastAsia" w:cs="宋体"/>
          <w:color w:val="000000" w:themeColor="text1"/>
          <w:highlight w:val="none"/>
          <w14:textFill>
            <w14:solidFill>
              <w14:schemeClr w14:val="tx1"/>
            </w14:solidFill>
          </w14:textFill>
        </w:rPr>
        <w:t>t/a</w:t>
      </w: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14:textFill>
            <w14:solidFill>
              <w14:schemeClr w14:val="tx1"/>
            </w14:solidFill>
          </w14:textFill>
        </w:rPr>
        <w:t>含铬污泥属于危险废物（HW17表面处理废物336-068-17使用铬化</w:t>
      </w:r>
      <w:r>
        <w:rPr>
          <w:rFonts w:hint="eastAsia" w:cs="宋体"/>
          <w:highlight w:val="none"/>
        </w:rPr>
        <w:t>合物进行抗蚀层化学硬化产生的废渣和废水处理污泥）。评价要求，含铬污泥收集至危废贮存库暂存，定期送有相应危废处置资质的单位处置。</w:t>
      </w:r>
    </w:p>
    <w:p w14:paraId="1B9B3F7A">
      <w:pPr>
        <w:ind w:firstLine="480"/>
        <w:rPr>
          <w:rFonts w:cs="宋体"/>
        </w:rPr>
      </w:pPr>
      <w:r>
        <w:rPr>
          <w:rFonts w:hint="eastAsia" w:cs="宋体"/>
        </w:rPr>
        <w:t>（10）含铬废活性炭</w:t>
      </w:r>
    </w:p>
    <w:p w14:paraId="2DDEE039">
      <w:pPr>
        <w:ind w:firstLine="480"/>
        <w:rPr>
          <w:rFonts w:cs="宋体"/>
        </w:rPr>
      </w:pPr>
      <w:r>
        <w:rPr>
          <w:rFonts w:hint="eastAsia" w:cs="宋体"/>
        </w:rPr>
        <w:t>本项目含铬废水处理过程中会产生含铬废活性炭，产生量约为0.1t</w:t>
      </w:r>
      <w:r>
        <w:rPr>
          <w:rFonts w:cs="宋体"/>
        </w:rPr>
        <w:t>/a</w:t>
      </w:r>
      <w:r>
        <w:rPr>
          <w:rFonts w:hint="eastAsia" w:cs="宋体"/>
        </w:rPr>
        <w:t>。根据《国家危险废物名录（</w:t>
      </w:r>
      <w:r>
        <w:rPr>
          <w:rFonts w:hint="eastAsia" w:cs="宋体"/>
          <w:lang w:val="en-US" w:eastAsia="zh-CN"/>
        </w:rPr>
        <w:t>2025</w:t>
      </w:r>
      <w:r>
        <w:rPr>
          <w:rFonts w:hint="eastAsia" w:cs="宋体"/>
        </w:rPr>
        <w:t>年版）》，含铬废活性炭属于危险废物（HW49其他废物中900-041-49含有或沾染毒性、感染性危险废物的废弃包装物、容器、过滤吸附介质）。评价要求，含铬废活性炭收集至危废贮存库暂存，定期送有相应危废处置资质的单位处置。</w:t>
      </w:r>
    </w:p>
    <w:p w14:paraId="5A4CA753">
      <w:pPr>
        <w:ind w:firstLine="480"/>
        <w:rPr>
          <w:rFonts w:cs="宋体"/>
        </w:rPr>
      </w:pPr>
      <w:r>
        <w:rPr>
          <w:rFonts w:hint="eastAsia" w:cs="宋体"/>
        </w:rPr>
        <w:t>（11）含铬废过滤膜</w:t>
      </w:r>
    </w:p>
    <w:p w14:paraId="49BBF2F8">
      <w:pPr>
        <w:ind w:firstLine="480"/>
        <w:rPr>
          <w:rFonts w:cs="宋体"/>
        </w:rPr>
      </w:pPr>
      <w:r>
        <w:rPr>
          <w:rFonts w:hint="eastAsia" w:cs="宋体"/>
        </w:rPr>
        <w:t>本项目含铬废水处理过程中会产生含铬废过滤膜，产生量约为0.05t</w:t>
      </w:r>
      <w:r>
        <w:rPr>
          <w:rFonts w:cs="宋体"/>
        </w:rPr>
        <w:t>/a</w:t>
      </w:r>
      <w:r>
        <w:rPr>
          <w:rFonts w:hint="eastAsia" w:cs="宋体"/>
        </w:rPr>
        <w:t>。根据《国家危险废物名录（</w:t>
      </w:r>
      <w:r>
        <w:rPr>
          <w:rFonts w:hint="eastAsia" w:cs="宋体"/>
          <w:lang w:val="en-US" w:eastAsia="zh-CN"/>
        </w:rPr>
        <w:t>2025</w:t>
      </w:r>
      <w:r>
        <w:rPr>
          <w:rFonts w:hint="eastAsia" w:cs="宋体"/>
        </w:rPr>
        <w:t>年版）》，含铬废过滤膜属于危险废物（HW49其他废物中900-041-49含有或沾染毒性、感染性危险废物的废弃包装物、容器、过滤吸附介质）。评价要求，含铬废过滤膜收集至危废贮存库暂存，定期送有相应危废处置资质的单位处置。</w:t>
      </w:r>
    </w:p>
    <w:p w14:paraId="4A64E970">
      <w:pPr>
        <w:ind w:firstLine="480"/>
        <w:rPr>
          <w:rFonts w:cs="宋体"/>
        </w:rPr>
      </w:pPr>
      <w:r>
        <w:rPr>
          <w:rFonts w:hint="eastAsia" w:cs="宋体"/>
        </w:rPr>
        <w:t>（12）蒸发浓液</w:t>
      </w:r>
    </w:p>
    <w:p w14:paraId="7302EA66">
      <w:pPr>
        <w:ind w:firstLine="480"/>
        <w:rPr>
          <w:rFonts w:cs="宋体"/>
        </w:rPr>
      </w:pPr>
      <w:r>
        <w:rPr>
          <w:rFonts w:hint="eastAsia" w:cs="宋体"/>
        </w:rPr>
        <w:t>本项目含镍、含铬废水废水处理过程中会产生蒸发浓液，主要由重金属镍、铬和盐组成。根据元素平衡和物料平衡核算可知，蒸发浓液中镍含量为</w:t>
      </w:r>
      <w:r>
        <w:rPr>
          <w:rFonts w:hint="eastAsia" w:cs="宋体"/>
          <w:lang w:val="en-US" w:eastAsia="zh-CN"/>
        </w:rPr>
        <w:t>1.6617</w:t>
      </w:r>
      <w:r>
        <w:rPr>
          <w:rFonts w:cs="宋体"/>
        </w:rPr>
        <w:t>t/a</w:t>
      </w:r>
      <w:r>
        <w:rPr>
          <w:rFonts w:hint="eastAsia" w:cs="宋体"/>
        </w:rPr>
        <w:t>、铬含量为</w:t>
      </w:r>
      <w:r>
        <w:rPr>
          <w:rFonts w:hint="eastAsia" w:cs="宋体"/>
          <w:lang w:val="en-US" w:eastAsia="zh-CN"/>
        </w:rPr>
        <w:t>0.099</w:t>
      </w:r>
      <w:r>
        <w:rPr>
          <w:rFonts w:cs="宋体"/>
        </w:rPr>
        <w:t>t/a</w:t>
      </w:r>
      <w:r>
        <w:rPr>
          <w:rFonts w:hint="eastAsia" w:cs="宋体"/>
          <w:highlight w:val="none"/>
        </w:rPr>
        <w:t>、盐含量为</w:t>
      </w:r>
      <w:r>
        <w:rPr>
          <w:rFonts w:hint="eastAsia" w:cs="宋体"/>
          <w:highlight w:val="none"/>
          <w:lang w:val="en-US" w:eastAsia="zh-CN"/>
        </w:rPr>
        <w:t>45.7995</w:t>
      </w:r>
      <w:r>
        <w:rPr>
          <w:rFonts w:hint="eastAsia" w:cs="宋体"/>
          <w:highlight w:val="none"/>
        </w:rPr>
        <w:t>t/a，蒸</w:t>
      </w:r>
      <w:r>
        <w:rPr>
          <w:rFonts w:hint="eastAsia" w:cs="宋体"/>
        </w:rPr>
        <w:t>发浓液含水率以</w:t>
      </w:r>
      <w:r>
        <w:rPr>
          <w:rFonts w:hint="eastAsia" w:cs="宋体"/>
          <w:lang w:val="en-US" w:eastAsia="zh-CN"/>
        </w:rPr>
        <w:t>5</w:t>
      </w:r>
      <w:r>
        <w:rPr>
          <w:rFonts w:hint="eastAsia" w:cs="宋体"/>
        </w:rPr>
        <w:t>0%计，产生量约为</w:t>
      </w:r>
      <w:r>
        <w:rPr>
          <w:rFonts w:hint="eastAsia" w:cs="宋体"/>
          <w:lang w:val="en-US" w:eastAsia="zh-CN"/>
        </w:rPr>
        <w:t>95.1204</w:t>
      </w:r>
      <w:r>
        <w:rPr>
          <w:rFonts w:hint="eastAsia" w:cs="宋体"/>
        </w:rPr>
        <w:t>t</w:t>
      </w:r>
      <w:r>
        <w:rPr>
          <w:rFonts w:cs="宋体"/>
        </w:rPr>
        <w:t>/a</w:t>
      </w:r>
      <w:r>
        <w:rPr>
          <w:rFonts w:hint="eastAsia" w:cs="宋体"/>
        </w:rPr>
        <w:t>。蒸发浓液含有重金属镍和铬，以毒性较大的铬进行处理。根据《国家危险废物名录（</w:t>
      </w:r>
      <w:r>
        <w:rPr>
          <w:rFonts w:hint="eastAsia" w:cs="宋体"/>
          <w:lang w:val="en-US" w:eastAsia="zh-CN"/>
        </w:rPr>
        <w:t>2025</w:t>
      </w:r>
      <w:r>
        <w:rPr>
          <w:rFonts w:hint="eastAsia" w:cs="宋体"/>
        </w:rPr>
        <w:t>年版）》，蒸发浓液属于危险废物（</w:t>
      </w:r>
      <w:r>
        <w:rPr>
          <w:rFonts w:cs="宋体"/>
        </w:rPr>
        <w:t>HW17</w:t>
      </w:r>
      <w:r>
        <w:rPr>
          <w:rFonts w:hint="eastAsia" w:cs="宋体"/>
        </w:rPr>
        <w:t>表面处理废物</w:t>
      </w:r>
      <w:r>
        <w:rPr>
          <w:rFonts w:cs="宋体"/>
        </w:rPr>
        <w:t>336-06</w:t>
      </w:r>
      <w:r>
        <w:rPr>
          <w:rFonts w:hint="eastAsia" w:cs="宋体"/>
        </w:rPr>
        <w:t>8</w:t>
      </w:r>
      <w:r>
        <w:rPr>
          <w:rFonts w:cs="宋体"/>
        </w:rPr>
        <w:t>-17</w:t>
      </w:r>
      <w:r>
        <w:rPr>
          <w:rFonts w:hint="eastAsia" w:cs="宋体"/>
        </w:rPr>
        <w:t>使用铬化合物进行抗蚀层化学硬化产生的废渣和废水处理污泥）。评价要求，蒸发浓液收集至危废贮存库暂存，定期送有相应危废处置资质的单位处置。</w:t>
      </w:r>
    </w:p>
    <w:p w14:paraId="5D55ED37">
      <w:pPr>
        <w:pStyle w:val="72"/>
        <w:rPr>
          <w:snapToGrid w:val="0"/>
        </w:rPr>
      </w:pPr>
      <w:r>
        <w:rPr>
          <w:rFonts w:hint="eastAsia"/>
          <w:snapToGrid w:val="0"/>
        </w:rPr>
        <w:t>本项目危险废物基本情况及贮存场所情况见表</w:t>
      </w:r>
      <w:r>
        <w:rPr>
          <w:rFonts w:hint="eastAsia"/>
          <w:snapToGrid w:val="0"/>
          <w:lang w:val="en-US" w:eastAsia="zh-CN"/>
        </w:rPr>
        <w:t>3.6-24</w:t>
      </w:r>
      <w:r>
        <w:rPr>
          <w:rFonts w:hint="eastAsia"/>
          <w:snapToGrid w:val="0"/>
        </w:rPr>
        <w:t>~表</w:t>
      </w:r>
      <w:r>
        <w:rPr>
          <w:rFonts w:hint="eastAsia"/>
          <w:snapToGrid w:val="0"/>
          <w:lang w:val="en-US" w:eastAsia="zh-CN"/>
        </w:rPr>
        <w:t>3.6-25</w:t>
      </w:r>
      <w:r>
        <w:rPr>
          <w:rFonts w:hint="eastAsia"/>
          <w:snapToGrid w:val="0"/>
        </w:rPr>
        <w:t>。</w:t>
      </w:r>
    </w:p>
    <w:p w14:paraId="447A382A">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3.6-24</w:t>
      </w:r>
      <w:r>
        <w:rPr>
          <w:rFonts w:hint="eastAsia" w:ascii="Times New Roman" w:hAnsi="Times New Roman" w:eastAsia="宋体" w:cs="Times New Roman"/>
          <w:color w:val="000000" w:themeColor="text1"/>
          <w:sz w:val="24"/>
          <w:highlight w:val="none"/>
          <w14:textFill>
            <w14:solidFill>
              <w14:schemeClr w14:val="tx1"/>
            </w14:solidFill>
          </w14:textFill>
        </w:rPr>
        <w:t xml:space="preserve">    危险废物汇总表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422"/>
        <w:gridCol w:w="931"/>
        <w:gridCol w:w="675"/>
        <w:gridCol w:w="1126"/>
        <w:gridCol w:w="796"/>
        <w:gridCol w:w="960"/>
        <w:gridCol w:w="504"/>
        <w:gridCol w:w="561"/>
        <w:gridCol w:w="561"/>
        <w:gridCol w:w="653"/>
        <w:gridCol w:w="615"/>
        <w:gridCol w:w="564"/>
      </w:tblGrid>
      <w:tr w14:paraId="05D3C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252" w:type="pct"/>
            <w:vAlign w:val="center"/>
          </w:tcPr>
          <w:p w14:paraId="1FC96D4A">
            <w:pPr>
              <w:pStyle w:val="81"/>
              <w:rPr>
                <w:color w:val="auto"/>
              </w:rPr>
            </w:pPr>
            <w:r>
              <w:rPr>
                <w:color w:val="auto"/>
              </w:rPr>
              <w:t>序号</w:t>
            </w:r>
          </w:p>
        </w:tc>
        <w:tc>
          <w:tcPr>
            <w:tcW w:w="556" w:type="pct"/>
            <w:vAlign w:val="center"/>
          </w:tcPr>
          <w:p w14:paraId="0D72750C">
            <w:pPr>
              <w:pStyle w:val="81"/>
              <w:rPr>
                <w:color w:val="auto"/>
              </w:rPr>
            </w:pPr>
            <w:r>
              <w:rPr>
                <w:color w:val="auto"/>
              </w:rPr>
              <w:t>危险废物名称</w:t>
            </w:r>
          </w:p>
        </w:tc>
        <w:tc>
          <w:tcPr>
            <w:tcW w:w="403" w:type="pct"/>
            <w:vAlign w:val="center"/>
          </w:tcPr>
          <w:p w14:paraId="7B00F392">
            <w:pPr>
              <w:pStyle w:val="81"/>
              <w:rPr>
                <w:color w:val="auto"/>
              </w:rPr>
            </w:pPr>
            <w:r>
              <w:rPr>
                <w:color w:val="auto"/>
              </w:rPr>
              <w:t>危险废物类别</w:t>
            </w:r>
          </w:p>
        </w:tc>
        <w:tc>
          <w:tcPr>
            <w:tcW w:w="672" w:type="pct"/>
            <w:vAlign w:val="center"/>
          </w:tcPr>
          <w:p w14:paraId="3C4699BF">
            <w:pPr>
              <w:pStyle w:val="81"/>
              <w:rPr>
                <w:color w:val="auto"/>
              </w:rPr>
            </w:pPr>
            <w:r>
              <w:rPr>
                <w:color w:val="auto"/>
              </w:rPr>
              <w:t>危险废物</w:t>
            </w:r>
          </w:p>
          <w:p w14:paraId="6E8D1A4D">
            <w:pPr>
              <w:pStyle w:val="81"/>
              <w:rPr>
                <w:color w:val="auto"/>
              </w:rPr>
            </w:pPr>
            <w:r>
              <w:rPr>
                <w:color w:val="auto"/>
              </w:rPr>
              <w:t>代码</w:t>
            </w:r>
          </w:p>
        </w:tc>
        <w:tc>
          <w:tcPr>
            <w:tcW w:w="475" w:type="pct"/>
            <w:vAlign w:val="center"/>
          </w:tcPr>
          <w:p w14:paraId="3636FC53">
            <w:pPr>
              <w:pStyle w:val="81"/>
              <w:rPr>
                <w:color w:val="auto"/>
              </w:rPr>
            </w:pPr>
            <w:r>
              <w:rPr>
                <w:color w:val="auto"/>
              </w:rPr>
              <w:t>产生量</w:t>
            </w:r>
            <w:r>
              <w:rPr>
                <w:rFonts w:hint="eastAsia"/>
                <w:color w:val="auto"/>
              </w:rPr>
              <w:t>(t</w:t>
            </w:r>
            <w:r>
              <w:rPr>
                <w:color w:val="auto"/>
              </w:rPr>
              <w:t>/</w:t>
            </w:r>
            <w:r>
              <w:rPr>
                <w:rFonts w:hint="eastAsia"/>
                <w:color w:val="auto"/>
              </w:rPr>
              <w:t>a)</w:t>
            </w:r>
          </w:p>
        </w:tc>
        <w:tc>
          <w:tcPr>
            <w:tcW w:w="573" w:type="pct"/>
            <w:vAlign w:val="center"/>
          </w:tcPr>
          <w:p w14:paraId="767ADBD5">
            <w:pPr>
              <w:pStyle w:val="81"/>
              <w:rPr>
                <w:color w:val="auto"/>
              </w:rPr>
            </w:pPr>
            <w:r>
              <w:rPr>
                <w:color w:val="auto"/>
              </w:rPr>
              <w:t>产生工序及装置</w:t>
            </w:r>
          </w:p>
        </w:tc>
        <w:tc>
          <w:tcPr>
            <w:tcW w:w="301" w:type="pct"/>
            <w:vAlign w:val="center"/>
          </w:tcPr>
          <w:p w14:paraId="625078DB">
            <w:pPr>
              <w:pStyle w:val="81"/>
              <w:rPr>
                <w:color w:val="auto"/>
              </w:rPr>
            </w:pPr>
            <w:r>
              <w:rPr>
                <w:color w:val="auto"/>
              </w:rPr>
              <w:t>形态</w:t>
            </w:r>
          </w:p>
        </w:tc>
        <w:tc>
          <w:tcPr>
            <w:tcW w:w="335" w:type="pct"/>
            <w:vAlign w:val="center"/>
          </w:tcPr>
          <w:p w14:paraId="44395AC6">
            <w:pPr>
              <w:pStyle w:val="81"/>
              <w:rPr>
                <w:color w:val="auto"/>
              </w:rPr>
            </w:pPr>
            <w:r>
              <w:rPr>
                <w:color w:val="auto"/>
              </w:rPr>
              <w:t>主要成分</w:t>
            </w:r>
          </w:p>
        </w:tc>
        <w:tc>
          <w:tcPr>
            <w:tcW w:w="335" w:type="pct"/>
            <w:vAlign w:val="center"/>
          </w:tcPr>
          <w:p w14:paraId="675C4960">
            <w:pPr>
              <w:pStyle w:val="81"/>
              <w:rPr>
                <w:color w:val="auto"/>
              </w:rPr>
            </w:pPr>
            <w:r>
              <w:rPr>
                <w:color w:val="auto"/>
              </w:rPr>
              <w:t>有害成分</w:t>
            </w:r>
          </w:p>
        </w:tc>
        <w:tc>
          <w:tcPr>
            <w:tcW w:w="390" w:type="pct"/>
            <w:vAlign w:val="center"/>
          </w:tcPr>
          <w:p w14:paraId="5A77D3D8">
            <w:pPr>
              <w:pStyle w:val="81"/>
              <w:rPr>
                <w:color w:val="auto"/>
              </w:rPr>
            </w:pPr>
            <w:r>
              <w:rPr>
                <w:color w:val="auto"/>
              </w:rPr>
              <w:t>产废周期</w:t>
            </w:r>
          </w:p>
        </w:tc>
        <w:tc>
          <w:tcPr>
            <w:tcW w:w="367" w:type="pct"/>
            <w:vAlign w:val="center"/>
          </w:tcPr>
          <w:p w14:paraId="4206FBDB">
            <w:pPr>
              <w:pStyle w:val="81"/>
              <w:rPr>
                <w:color w:val="auto"/>
              </w:rPr>
            </w:pPr>
            <w:r>
              <w:rPr>
                <w:color w:val="auto"/>
              </w:rPr>
              <w:t>危险特性</w:t>
            </w:r>
          </w:p>
        </w:tc>
        <w:tc>
          <w:tcPr>
            <w:tcW w:w="337" w:type="pct"/>
            <w:vAlign w:val="center"/>
          </w:tcPr>
          <w:p w14:paraId="20F8DA1A">
            <w:pPr>
              <w:pStyle w:val="81"/>
              <w:rPr>
                <w:color w:val="auto"/>
              </w:rPr>
            </w:pPr>
            <w:r>
              <w:rPr>
                <w:color w:val="auto"/>
              </w:rPr>
              <w:t>污染防治措施</w:t>
            </w:r>
          </w:p>
        </w:tc>
      </w:tr>
      <w:tr w14:paraId="03239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2975AD66">
            <w:pPr>
              <w:pStyle w:val="75"/>
              <w:rPr>
                <w:kern w:val="2"/>
                <w:lang w:eastAsia="en-US"/>
              </w:rPr>
            </w:pPr>
            <w:r>
              <w:rPr>
                <w:kern w:val="2"/>
              </w:rPr>
              <w:t>1</w:t>
            </w:r>
          </w:p>
        </w:tc>
        <w:tc>
          <w:tcPr>
            <w:tcW w:w="556" w:type="pct"/>
            <w:vAlign w:val="center"/>
          </w:tcPr>
          <w:p w14:paraId="2289EEC9">
            <w:pPr>
              <w:pStyle w:val="75"/>
            </w:pPr>
            <w:r>
              <w:rPr>
                <w:rFonts w:hint="eastAsia"/>
              </w:rPr>
              <w:t>废包装物</w:t>
            </w:r>
          </w:p>
        </w:tc>
        <w:tc>
          <w:tcPr>
            <w:tcW w:w="403" w:type="pct"/>
            <w:vAlign w:val="center"/>
          </w:tcPr>
          <w:p w14:paraId="209A487F">
            <w:pPr>
              <w:pStyle w:val="75"/>
              <w:rPr>
                <w:spacing w:val="-6"/>
                <w:kern w:val="2"/>
              </w:rPr>
            </w:pPr>
            <w:r>
              <w:rPr>
                <w:spacing w:val="-6"/>
                <w:kern w:val="2"/>
              </w:rPr>
              <w:t>HW49</w:t>
            </w:r>
          </w:p>
        </w:tc>
        <w:tc>
          <w:tcPr>
            <w:tcW w:w="672" w:type="pct"/>
            <w:vAlign w:val="center"/>
          </w:tcPr>
          <w:p w14:paraId="59DC01CF">
            <w:pPr>
              <w:pStyle w:val="75"/>
              <w:rPr>
                <w:kern w:val="2"/>
              </w:rPr>
            </w:pPr>
            <w:r>
              <w:rPr>
                <w:kern w:val="2"/>
              </w:rPr>
              <w:t>900-041-49</w:t>
            </w:r>
          </w:p>
        </w:tc>
        <w:tc>
          <w:tcPr>
            <w:tcW w:w="475" w:type="pct"/>
            <w:vAlign w:val="center"/>
          </w:tcPr>
          <w:p w14:paraId="683E3B96">
            <w:pPr>
              <w:pStyle w:val="75"/>
              <w:rPr>
                <w:rFonts w:hint="eastAsia" w:eastAsia="宋体"/>
                <w:lang w:eastAsia="zh-CN"/>
              </w:rPr>
            </w:pPr>
            <w:r>
              <w:rPr>
                <w:rFonts w:hint="eastAsia"/>
                <w:lang w:val="en-US" w:eastAsia="zh-CN"/>
              </w:rPr>
              <w:t>5</w:t>
            </w:r>
          </w:p>
        </w:tc>
        <w:tc>
          <w:tcPr>
            <w:tcW w:w="573" w:type="pct"/>
            <w:vAlign w:val="center"/>
          </w:tcPr>
          <w:p w14:paraId="3680DE15">
            <w:pPr>
              <w:pStyle w:val="75"/>
              <w:rPr>
                <w:kern w:val="2"/>
              </w:rPr>
            </w:pPr>
            <w:r>
              <w:rPr>
                <w:rFonts w:hint="eastAsia"/>
                <w:kern w:val="2"/>
              </w:rPr>
              <w:t>原料拆包</w:t>
            </w:r>
          </w:p>
        </w:tc>
        <w:tc>
          <w:tcPr>
            <w:tcW w:w="301" w:type="pct"/>
            <w:vAlign w:val="center"/>
          </w:tcPr>
          <w:p w14:paraId="08D49763">
            <w:pPr>
              <w:pStyle w:val="75"/>
              <w:rPr>
                <w:kern w:val="2"/>
              </w:rPr>
            </w:pPr>
            <w:r>
              <w:rPr>
                <w:rFonts w:hint="eastAsia"/>
                <w:kern w:val="2"/>
              </w:rPr>
              <w:t>固态</w:t>
            </w:r>
          </w:p>
        </w:tc>
        <w:tc>
          <w:tcPr>
            <w:tcW w:w="335" w:type="pct"/>
            <w:vAlign w:val="center"/>
          </w:tcPr>
          <w:p w14:paraId="5EC05694">
            <w:pPr>
              <w:pStyle w:val="75"/>
              <w:rPr>
                <w:spacing w:val="-8"/>
              </w:rPr>
            </w:pPr>
            <w:r>
              <w:rPr>
                <w:rFonts w:hint="eastAsia"/>
                <w:spacing w:val="-8"/>
              </w:rPr>
              <w:t>塑料</w:t>
            </w:r>
          </w:p>
        </w:tc>
        <w:tc>
          <w:tcPr>
            <w:tcW w:w="335" w:type="pct"/>
            <w:vAlign w:val="center"/>
          </w:tcPr>
          <w:p w14:paraId="13C64CA7">
            <w:pPr>
              <w:pStyle w:val="75"/>
              <w:rPr>
                <w:spacing w:val="-8"/>
              </w:rPr>
            </w:pPr>
            <w:r>
              <w:rPr>
                <w:rFonts w:hint="eastAsia"/>
                <w:spacing w:val="-8"/>
              </w:rPr>
              <w:t>镍、铬</w:t>
            </w:r>
          </w:p>
        </w:tc>
        <w:tc>
          <w:tcPr>
            <w:tcW w:w="390" w:type="pct"/>
            <w:vAlign w:val="center"/>
          </w:tcPr>
          <w:p w14:paraId="397750D3">
            <w:pPr>
              <w:pStyle w:val="75"/>
              <w:rPr>
                <w:kern w:val="2"/>
              </w:rPr>
            </w:pPr>
            <w:r>
              <w:rPr>
                <w:rFonts w:hint="eastAsia"/>
                <w:kern w:val="2"/>
              </w:rPr>
              <w:t>1个月</w:t>
            </w:r>
          </w:p>
        </w:tc>
        <w:tc>
          <w:tcPr>
            <w:tcW w:w="367" w:type="pct"/>
            <w:vAlign w:val="center"/>
          </w:tcPr>
          <w:p w14:paraId="3164844C">
            <w:pPr>
              <w:pStyle w:val="75"/>
              <w:rPr>
                <w:kern w:val="2"/>
              </w:rPr>
            </w:pPr>
            <w:r>
              <w:rPr>
                <w:rFonts w:hint="eastAsia"/>
                <w:kern w:val="2"/>
              </w:rPr>
              <w:t>T/In</w:t>
            </w:r>
          </w:p>
        </w:tc>
        <w:tc>
          <w:tcPr>
            <w:tcW w:w="337" w:type="pct"/>
            <w:vMerge w:val="restart"/>
            <w:vAlign w:val="center"/>
          </w:tcPr>
          <w:p w14:paraId="783422AF">
            <w:pPr>
              <w:pStyle w:val="75"/>
              <w:rPr>
                <w:kern w:val="2"/>
              </w:rPr>
            </w:pPr>
            <w:r>
              <w:rPr>
                <w:kern w:val="2"/>
              </w:rPr>
              <w:t>危废</w:t>
            </w:r>
            <w:r>
              <w:rPr>
                <w:rFonts w:hint="eastAsia"/>
                <w:kern w:val="2"/>
              </w:rPr>
              <w:t>贮存库</w:t>
            </w:r>
            <w:r>
              <w:rPr>
                <w:kern w:val="2"/>
              </w:rPr>
              <w:t>贮存，定期送有相应危废处理资质单位处理</w:t>
            </w:r>
          </w:p>
        </w:tc>
      </w:tr>
      <w:tr w14:paraId="3DD917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55EB7DB6">
            <w:pPr>
              <w:pStyle w:val="75"/>
              <w:rPr>
                <w:kern w:val="2"/>
                <w:lang w:eastAsia="en-US"/>
              </w:rPr>
            </w:pPr>
            <w:r>
              <w:rPr>
                <w:rFonts w:hint="eastAsia"/>
                <w:kern w:val="2"/>
              </w:rPr>
              <w:t>2</w:t>
            </w:r>
          </w:p>
        </w:tc>
        <w:tc>
          <w:tcPr>
            <w:tcW w:w="556" w:type="pct"/>
            <w:vAlign w:val="center"/>
          </w:tcPr>
          <w:p w14:paraId="46429F5C">
            <w:pPr>
              <w:pStyle w:val="75"/>
            </w:pPr>
            <w:r>
              <w:rPr>
                <w:rFonts w:hint="eastAsia"/>
              </w:rPr>
              <w:t>废液压油</w:t>
            </w:r>
          </w:p>
        </w:tc>
        <w:tc>
          <w:tcPr>
            <w:tcW w:w="403" w:type="pct"/>
            <w:vAlign w:val="center"/>
          </w:tcPr>
          <w:p w14:paraId="04E86A03">
            <w:pPr>
              <w:pStyle w:val="75"/>
              <w:rPr>
                <w:spacing w:val="-6"/>
                <w:kern w:val="2"/>
              </w:rPr>
            </w:pPr>
            <w:r>
              <w:rPr>
                <w:rFonts w:hint="eastAsia"/>
              </w:rPr>
              <w:t>HW08</w:t>
            </w:r>
          </w:p>
        </w:tc>
        <w:tc>
          <w:tcPr>
            <w:tcW w:w="672" w:type="pct"/>
            <w:vAlign w:val="center"/>
          </w:tcPr>
          <w:p w14:paraId="6337A38B">
            <w:pPr>
              <w:pStyle w:val="75"/>
              <w:rPr>
                <w:kern w:val="2"/>
              </w:rPr>
            </w:pPr>
            <w:r>
              <w:rPr>
                <w:rFonts w:hint="eastAsia"/>
              </w:rPr>
              <w:t>900-218-08</w:t>
            </w:r>
          </w:p>
        </w:tc>
        <w:tc>
          <w:tcPr>
            <w:tcW w:w="475" w:type="pct"/>
            <w:vAlign w:val="center"/>
          </w:tcPr>
          <w:p w14:paraId="6889FD03">
            <w:pPr>
              <w:pStyle w:val="75"/>
              <w:rPr>
                <w:rFonts w:hint="default" w:eastAsia="宋体"/>
                <w:lang w:val="en-US" w:eastAsia="zh-CN"/>
              </w:rPr>
            </w:pPr>
            <w:r>
              <w:rPr>
                <w:rFonts w:hint="eastAsia"/>
                <w:lang w:val="en-US" w:eastAsia="zh-CN"/>
              </w:rPr>
              <w:t>4.9</w:t>
            </w:r>
          </w:p>
        </w:tc>
        <w:tc>
          <w:tcPr>
            <w:tcW w:w="573" w:type="pct"/>
            <w:vAlign w:val="center"/>
          </w:tcPr>
          <w:p w14:paraId="10BC3D0D">
            <w:pPr>
              <w:pStyle w:val="75"/>
              <w:rPr>
                <w:kern w:val="2"/>
              </w:rPr>
            </w:pPr>
            <w:r>
              <w:rPr>
                <w:rFonts w:hint="eastAsia"/>
              </w:rPr>
              <w:t>冲床</w:t>
            </w:r>
          </w:p>
        </w:tc>
        <w:tc>
          <w:tcPr>
            <w:tcW w:w="301" w:type="pct"/>
            <w:vAlign w:val="center"/>
          </w:tcPr>
          <w:p w14:paraId="207ED0D9">
            <w:pPr>
              <w:pStyle w:val="75"/>
              <w:rPr>
                <w:kern w:val="2"/>
              </w:rPr>
            </w:pPr>
            <w:r>
              <w:rPr>
                <w:rFonts w:hint="eastAsia"/>
                <w:kern w:val="2"/>
              </w:rPr>
              <w:t>液态</w:t>
            </w:r>
          </w:p>
        </w:tc>
        <w:tc>
          <w:tcPr>
            <w:tcW w:w="335" w:type="pct"/>
            <w:vAlign w:val="center"/>
          </w:tcPr>
          <w:p w14:paraId="3C1EE65B">
            <w:pPr>
              <w:pStyle w:val="75"/>
              <w:rPr>
                <w:spacing w:val="-8"/>
              </w:rPr>
            </w:pPr>
            <w:r>
              <w:rPr>
                <w:rFonts w:hint="eastAsia"/>
                <w:spacing w:val="-8"/>
              </w:rPr>
              <w:t>废矿物油</w:t>
            </w:r>
          </w:p>
        </w:tc>
        <w:tc>
          <w:tcPr>
            <w:tcW w:w="335" w:type="pct"/>
            <w:vAlign w:val="center"/>
          </w:tcPr>
          <w:p w14:paraId="0877FC84">
            <w:pPr>
              <w:pStyle w:val="75"/>
              <w:rPr>
                <w:spacing w:val="-8"/>
              </w:rPr>
            </w:pPr>
            <w:r>
              <w:rPr>
                <w:rFonts w:hint="eastAsia"/>
                <w:spacing w:val="-8"/>
              </w:rPr>
              <w:t>废矿物油</w:t>
            </w:r>
          </w:p>
        </w:tc>
        <w:tc>
          <w:tcPr>
            <w:tcW w:w="390" w:type="pct"/>
            <w:vAlign w:val="center"/>
          </w:tcPr>
          <w:p w14:paraId="7E1F040E">
            <w:pPr>
              <w:pStyle w:val="75"/>
              <w:rPr>
                <w:kern w:val="2"/>
              </w:rPr>
            </w:pPr>
            <w:r>
              <w:rPr>
                <w:rFonts w:hint="eastAsia"/>
                <w:kern w:val="2"/>
              </w:rPr>
              <w:t>3个月</w:t>
            </w:r>
          </w:p>
        </w:tc>
        <w:tc>
          <w:tcPr>
            <w:tcW w:w="367" w:type="pct"/>
            <w:vAlign w:val="center"/>
          </w:tcPr>
          <w:p w14:paraId="06EB7E75">
            <w:pPr>
              <w:pStyle w:val="75"/>
              <w:rPr>
                <w:kern w:val="2"/>
              </w:rPr>
            </w:pPr>
            <w:r>
              <w:rPr>
                <w:rFonts w:hint="eastAsia"/>
                <w:kern w:val="2"/>
              </w:rPr>
              <w:t>T，I</w:t>
            </w:r>
          </w:p>
        </w:tc>
        <w:tc>
          <w:tcPr>
            <w:tcW w:w="337" w:type="pct"/>
            <w:vMerge w:val="continue"/>
            <w:vAlign w:val="center"/>
          </w:tcPr>
          <w:p w14:paraId="135EFB3D">
            <w:pPr>
              <w:pStyle w:val="75"/>
              <w:rPr>
                <w:kern w:val="2"/>
              </w:rPr>
            </w:pPr>
          </w:p>
        </w:tc>
      </w:tr>
      <w:tr w14:paraId="7E2859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69A84E89">
            <w:pPr>
              <w:pStyle w:val="75"/>
              <w:rPr>
                <w:kern w:val="2"/>
                <w:lang w:eastAsia="en-US"/>
              </w:rPr>
            </w:pPr>
            <w:r>
              <w:rPr>
                <w:rFonts w:hint="eastAsia"/>
                <w:kern w:val="2"/>
              </w:rPr>
              <w:t>3</w:t>
            </w:r>
          </w:p>
        </w:tc>
        <w:tc>
          <w:tcPr>
            <w:tcW w:w="556" w:type="pct"/>
            <w:vAlign w:val="center"/>
          </w:tcPr>
          <w:p w14:paraId="78D9BEE0">
            <w:pPr>
              <w:pStyle w:val="75"/>
            </w:pPr>
            <w:r>
              <w:rPr>
                <w:rFonts w:hint="eastAsia"/>
              </w:rPr>
              <w:t>废滤芯和废活性炭</w:t>
            </w:r>
          </w:p>
        </w:tc>
        <w:tc>
          <w:tcPr>
            <w:tcW w:w="403" w:type="pct"/>
            <w:vAlign w:val="center"/>
          </w:tcPr>
          <w:p w14:paraId="547C8C43">
            <w:pPr>
              <w:pStyle w:val="75"/>
            </w:pPr>
            <w:r>
              <w:rPr>
                <w:rFonts w:hint="eastAsia"/>
                <w:spacing w:val="-6"/>
                <w:kern w:val="2"/>
              </w:rPr>
              <w:t>HW49</w:t>
            </w:r>
          </w:p>
        </w:tc>
        <w:tc>
          <w:tcPr>
            <w:tcW w:w="672" w:type="pct"/>
            <w:vAlign w:val="center"/>
          </w:tcPr>
          <w:p w14:paraId="491DCDF7">
            <w:pPr>
              <w:pStyle w:val="75"/>
            </w:pPr>
            <w:r>
              <w:rPr>
                <w:rFonts w:hint="eastAsia"/>
                <w:spacing w:val="-6"/>
                <w:kern w:val="2"/>
              </w:rPr>
              <w:t>900-041-49</w:t>
            </w:r>
          </w:p>
        </w:tc>
        <w:tc>
          <w:tcPr>
            <w:tcW w:w="475" w:type="pct"/>
            <w:vAlign w:val="center"/>
          </w:tcPr>
          <w:p w14:paraId="17735E97">
            <w:pPr>
              <w:pStyle w:val="75"/>
            </w:pPr>
            <w:r>
              <w:rPr>
                <w:rFonts w:hint="eastAsia"/>
              </w:rPr>
              <w:t>3</w:t>
            </w:r>
          </w:p>
        </w:tc>
        <w:tc>
          <w:tcPr>
            <w:tcW w:w="573" w:type="pct"/>
            <w:vAlign w:val="center"/>
          </w:tcPr>
          <w:p w14:paraId="400082E0">
            <w:pPr>
              <w:pStyle w:val="75"/>
              <w:jc w:val="left"/>
            </w:pPr>
            <w:r>
              <w:rPr>
                <w:rFonts w:hint="eastAsia"/>
              </w:rPr>
              <w:t>镀液过滤设备</w:t>
            </w:r>
          </w:p>
        </w:tc>
        <w:tc>
          <w:tcPr>
            <w:tcW w:w="301" w:type="pct"/>
            <w:vAlign w:val="center"/>
          </w:tcPr>
          <w:p w14:paraId="6EA991CE">
            <w:pPr>
              <w:pStyle w:val="75"/>
              <w:rPr>
                <w:kern w:val="2"/>
              </w:rPr>
            </w:pPr>
            <w:r>
              <w:rPr>
                <w:rFonts w:hint="eastAsia"/>
                <w:kern w:val="2"/>
              </w:rPr>
              <w:t>固态</w:t>
            </w:r>
          </w:p>
        </w:tc>
        <w:tc>
          <w:tcPr>
            <w:tcW w:w="335" w:type="pct"/>
            <w:vAlign w:val="center"/>
          </w:tcPr>
          <w:p w14:paraId="7A4B8225">
            <w:pPr>
              <w:pStyle w:val="75"/>
              <w:rPr>
                <w:spacing w:val="-8"/>
              </w:rPr>
            </w:pPr>
            <w:r>
              <w:rPr>
                <w:rFonts w:hint="eastAsia"/>
              </w:rPr>
              <w:t>纤维</w:t>
            </w:r>
          </w:p>
        </w:tc>
        <w:tc>
          <w:tcPr>
            <w:tcW w:w="335" w:type="pct"/>
            <w:vAlign w:val="center"/>
          </w:tcPr>
          <w:p w14:paraId="3DCCBE73">
            <w:pPr>
              <w:pStyle w:val="75"/>
              <w:rPr>
                <w:spacing w:val="-8"/>
              </w:rPr>
            </w:pPr>
            <w:r>
              <w:rPr>
                <w:rFonts w:hint="eastAsia"/>
              </w:rPr>
              <w:t>镍</w:t>
            </w:r>
          </w:p>
        </w:tc>
        <w:tc>
          <w:tcPr>
            <w:tcW w:w="390" w:type="pct"/>
            <w:vAlign w:val="center"/>
          </w:tcPr>
          <w:p w14:paraId="72B3291A">
            <w:pPr>
              <w:pStyle w:val="75"/>
              <w:rPr>
                <w:kern w:val="2"/>
              </w:rPr>
            </w:pPr>
            <w:r>
              <w:rPr>
                <w:rFonts w:hint="eastAsia"/>
                <w:kern w:val="2"/>
              </w:rPr>
              <w:t>1个月</w:t>
            </w:r>
          </w:p>
        </w:tc>
        <w:tc>
          <w:tcPr>
            <w:tcW w:w="367" w:type="pct"/>
            <w:vAlign w:val="center"/>
          </w:tcPr>
          <w:p w14:paraId="5E3CB6CA">
            <w:pPr>
              <w:pStyle w:val="75"/>
              <w:rPr>
                <w:kern w:val="2"/>
              </w:rPr>
            </w:pPr>
            <w:r>
              <w:rPr>
                <w:rFonts w:hint="eastAsia"/>
                <w:kern w:val="2"/>
              </w:rPr>
              <w:t>T/In</w:t>
            </w:r>
          </w:p>
        </w:tc>
        <w:tc>
          <w:tcPr>
            <w:tcW w:w="337" w:type="pct"/>
            <w:vMerge w:val="continue"/>
            <w:vAlign w:val="center"/>
          </w:tcPr>
          <w:p w14:paraId="5A3D5665">
            <w:pPr>
              <w:pStyle w:val="75"/>
              <w:rPr>
                <w:kern w:val="2"/>
              </w:rPr>
            </w:pPr>
          </w:p>
        </w:tc>
      </w:tr>
      <w:tr w14:paraId="190199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4631F6C7">
            <w:pPr>
              <w:pStyle w:val="75"/>
              <w:rPr>
                <w:kern w:val="2"/>
                <w:lang w:eastAsia="en-US"/>
              </w:rPr>
            </w:pPr>
            <w:r>
              <w:rPr>
                <w:rFonts w:hint="eastAsia"/>
                <w:kern w:val="2"/>
              </w:rPr>
              <w:t>4</w:t>
            </w:r>
          </w:p>
        </w:tc>
        <w:tc>
          <w:tcPr>
            <w:tcW w:w="556" w:type="pct"/>
            <w:vAlign w:val="center"/>
          </w:tcPr>
          <w:p w14:paraId="05D507D0">
            <w:pPr>
              <w:pStyle w:val="75"/>
              <w:rPr>
                <w:highlight w:val="none"/>
              </w:rPr>
            </w:pPr>
            <w:r>
              <w:rPr>
                <w:rFonts w:hint="eastAsia"/>
                <w:highlight w:val="none"/>
              </w:rPr>
              <w:t>废槽渣</w:t>
            </w:r>
          </w:p>
        </w:tc>
        <w:tc>
          <w:tcPr>
            <w:tcW w:w="403" w:type="pct"/>
            <w:vAlign w:val="center"/>
          </w:tcPr>
          <w:p w14:paraId="58997008">
            <w:pPr>
              <w:pStyle w:val="75"/>
              <w:rPr>
                <w:highlight w:val="none"/>
              </w:rPr>
            </w:pPr>
            <w:r>
              <w:rPr>
                <w:rFonts w:hint="eastAsia"/>
                <w:spacing w:val="-6"/>
                <w:kern w:val="2"/>
                <w:highlight w:val="none"/>
              </w:rPr>
              <w:t>HW17</w:t>
            </w:r>
          </w:p>
        </w:tc>
        <w:tc>
          <w:tcPr>
            <w:tcW w:w="672" w:type="pct"/>
            <w:vAlign w:val="center"/>
          </w:tcPr>
          <w:p w14:paraId="116BC8F6">
            <w:pPr>
              <w:pStyle w:val="75"/>
              <w:rPr>
                <w:highlight w:val="none"/>
              </w:rPr>
            </w:pPr>
            <w:r>
              <w:rPr>
                <w:rFonts w:hint="eastAsia"/>
                <w:spacing w:val="-6"/>
                <w:kern w:val="2"/>
                <w:highlight w:val="none"/>
              </w:rPr>
              <w:t>336-054-17</w:t>
            </w:r>
          </w:p>
        </w:tc>
        <w:tc>
          <w:tcPr>
            <w:tcW w:w="475" w:type="pct"/>
            <w:vAlign w:val="center"/>
          </w:tcPr>
          <w:p w14:paraId="6F0947FA">
            <w:pPr>
              <w:pStyle w:val="75"/>
              <w:rPr>
                <w:highlight w:val="none"/>
              </w:rPr>
            </w:pPr>
            <w:r>
              <w:rPr>
                <w:rFonts w:hint="eastAsia" w:cs="宋体"/>
                <w:highlight w:val="none"/>
                <w:lang w:val="en-US" w:eastAsia="zh-CN"/>
              </w:rPr>
              <w:t>6.7518</w:t>
            </w:r>
          </w:p>
        </w:tc>
        <w:tc>
          <w:tcPr>
            <w:tcW w:w="573" w:type="pct"/>
            <w:vAlign w:val="center"/>
          </w:tcPr>
          <w:p w14:paraId="521B2E04">
            <w:pPr>
              <w:pStyle w:val="75"/>
              <w:rPr>
                <w:highlight w:val="none"/>
              </w:rPr>
            </w:pPr>
            <w:r>
              <w:rPr>
                <w:rFonts w:hint="eastAsia"/>
                <w:highlight w:val="none"/>
              </w:rPr>
              <w:t>镀镍槽</w:t>
            </w:r>
          </w:p>
        </w:tc>
        <w:tc>
          <w:tcPr>
            <w:tcW w:w="301" w:type="pct"/>
            <w:vAlign w:val="center"/>
          </w:tcPr>
          <w:p w14:paraId="77C13461">
            <w:pPr>
              <w:pStyle w:val="75"/>
              <w:rPr>
                <w:kern w:val="2"/>
                <w:highlight w:val="none"/>
              </w:rPr>
            </w:pPr>
            <w:r>
              <w:rPr>
                <w:rFonts w:hint="eastAsia"/>
                <w:kern w:val="2"/>
                <w:highlight w:val="none"/>
              </w:rPr>
              <w:t>固态</w:t>
            </w:r>
          </w:p>
        </w:tc>
        <w:tc>
          <w:tcPr>
            <w:tcW w:w="335" w:type="pct"/>
            <w:vAlign w:val="center"/>
          </w:tcPr>
          <w:p w14:paraId="4A0360C7">
            <w:pPr>
              <w:pStyle w:val="75"/>
              <w:rPr>
                <w:spacing w:val="-8"/>
                <w:highlight w:val="none"/>
              </w:rPr>
            </w:pPr>
            <w:r>
              <w:rPr>
                <w:rFonts w:hint="eastAsia"/>
                <w:highlight w:val="none"/>
              </w:rPr>
              <w:t>镍</w:t>
            </w:r>
          </w:p>
        </w:tc>
        <w:tc>
          <w:tcPr>
            <w:tcW w:w="335" w:type="pct"/>
            <w:vAlign w:val="center"/>
          </w:tcPr>
          <w:p w14:paraId="7EA48FBA">
            <w:pPr>
              <w:pStyle w:val="75"/>
              <w:rPr>
                <w:spacing w:val="-8"/>
                <w:highlight w:val="none"/>
              </w:rPr>
            </w:pPr>
            <w:r>
              <w:rPr>
                <w:rFonts w:hint="eastAsia"/>
                <w:highlight w:val="none"/>
              </w:rPr>
              <w:t>镍</w:t>
            </w:r>
          </w:p>
        </w:tc>
        <w:tc>
          <w:tcPr>
            <w:tcW w:w="390" w:type="pct"/>
            <w:vAlign w:val="center"/>
          </w:tcPr>
          <w:p w14:paraId="0A2ABFD2">
            <w:pPr>
              <w:pStyle w:val="75"/>
              <w:rPr>
                <w:kern w:val="2"/>
                <w:highlight w:val="none"/>
              </w:rPr>
            </w:pPr>
            <w:r>
              <w:rPr>
                <w:rFonts w:hint="eastAsia"/>
                <w:kern w:val="2"/>
                <w:highlight w:val="none"/>
              </w:rPr>
              <w:t>连续</w:t>
            </w:r>
          </w:p>
        </w:tc>
        <w:tc>
          <w:tcPr>
            <w:tcW w:w="367" w:type="pct"/>
            <w:vAlign w:val="center"/>
          </w:tcPr>
          <w:p w14:paraId="250D8879">
            <w:pPr>
              <w:pStyle w:val="75"/>
              <w:rPr>
                <w:kern w:val="2"/>
                <w:highlight w:val="none"/>
              </w:rPr>
            </w:pPr>
            <w:r>
              <w:rPr>
                <w:rFonts w:hint="eastAsia"/>
                <w:kern w:val="2"/>
                <w:highlight w:val="none"/>
              </w:rPr>
              <w:t>T</w:t>
            </w:r>
          </w:p>
        </w:tc>
        <w:tc>
          <w:tcPr>
            <w:tcW w:w="337" w:type="pct"/>
            <w:vMerge w:val="continue"/>
            <w:vAlign w:val="center"/>
          </w:tcPr>
          <w:p w14:paraId="133951BE">
            <w:pPr>
              <w:pStyle w:val="75"/>
              <w:rPr>
                <w:kern w:val="2"/>
              </w:rPr>
            </w:pPr>
          </w:p>
        </w:tc>
      </w:tr>
      <w:tr w14:paraId="4F971C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4309A177">
            <w:pPr>
              <w:pStyle w:val="75"/>
              <w:rPr>
                <w:kern w:val="2"/>
                <w:lang w:eastAsia="en-US"/>
              </w:rPr>
            </w:pPr>
            <w:r>
              <w:rPr>
                <w:rFonts w:hint="eastAsia"/>
                <w:kern w:val="2"/>
              </w:rPr>
              <w:t>5</w:t>
            </w:r>
          </w:p>
        </w:tc>
        <w:tc>
          <w:tcPr>
            <w:tcW w:w="556" w:type="pct"/>
            <w:vAlign w:val="center"/>
          </w:tcPr>
          <w:p w14:paraId="63841930">
            <w:pPr>
              <w:pStyle w:val="75"/>
            </w:pPr>
            <w:r>
              <w:rPr>
                <w:rFonts w:hint="eastAsia"/>
              </w:rPr>
              <w:t>废油渣</w:t>
            </w:r>
          </w:p>
        </w:tc>
        <w:tc>
          <w:tcPr>
            <w:tcW w:w="403" w:type="pct"/>
            <w:vAlign w:val="center"/>
          </w:tcPr>
          <w:p w14:paraId="5DC720CD">
            <w:pPr>
              <w:pStyle w:val="75"/>
              <w:rPr>
                <w:spacing w:val="-6"/>
                <w:kern w:val="2"/>
              </w:rPr>
            </w:pPr>
            <w:r>
              <w:rPr>
                <w:rFonts w:hint="eastAsia"/>
              </w:rPr>
              <w:t>HW08</w:t>
            </w:r>
          </w:p>
        </w:tc>
        <w:tc>
          <w:tcPr>
            <w:tcW w:w="672" w:type="pct"/>
            <w:vAlign w:val="center"/>
          </w:tcPr>
          <w:p w14:paraId="3B42348F">
            <w:pPr>
              <w:pStyle w:val="75"/>
              <w:rPr>
                <w:kern w:val="2"/>
              </w:rPr>
            </w:pPr>
            <w:r>
              <w:rPr>
                <w:rFonts w:hint="eastAsia"/>
                <w:spacing w:val="-6"/>
                <w:kern w:val="2"/>
              </w:rPr>
              <w:t>900-210-08</w:t>
            </w:r>
          </w:p>
        </w:tc>
        <w:tc>
          <w:tcPr>
            <w:tcW w:w="475" w:type="pct"/>
            <w:vAlign w:val="center"/>
          </w:tcPr>
          <w:p w14:paraId="75E734DA">
            <w:pPr>
              <w:pStyle w:val="75"/>
            </w:pPr>
            <w:r>
              <w:rPr>
                <w:rFonts w:hint="eastAsia"/>
              </w:rPr>
              <w:t>1.5</w:t>
            </w:r>
          </w:p>
        </w:tc>
        <w:tc>
          <w:tcPr>
            <w:tcW w:w="573" w:type="pct"/>
            <w:vAlign w:val="center"/>
          </w:tcPr>
          <w:p w14:paraId="41E38668">
            <w:pPr>
              <w:pStyle w:val="75"/>
              <w:rPr>
                <w:kern w:val="2"/>
              </w:rPr>
            </w:pPr>
            <w:r>
              <w:rPr>
                <w:rFonts w:hint="eastAsia"/>
                <w:kern w:val="2"/>
              </w:rPr>
              <w:t>气浮池</w:t>
            </w:r>
          </w:p>
        </w:tc>
        <w:tc>
          <w:tcPr>
            <w:tcW w:w="301" w:type="pct"/>
            <w:vAlign w:val="center"/>
          </w:tcPr>
          <w:p w14:paraId="50A81D52">
            <w:pPr>
              <w:pStyle w:val="75"/>
              <w:rPr>
                <w:kern w:val="2"/>
              </w:rPr>
            </w:pPr>
            <w:r>
              <w:rPr>
                <w:rFonts w:hint="eastAsia"/>
                <w:kern w:val="2"/>
              </w:rPr>
              <w:t>液态</w:t>
            </w:r>
          </w:p>
        </w:tc>
        <w:tc>
          <w:tcPr>
            <w:tcW w:w="335" w:type="pct"/>
            <w:vAlign w:val="center"/>
          </w:tcPr>
          <w:p w14:paraId="5C79AEF3">
            <w:pPr>
              <w:pStyle w:val="75"/>
              <w:rPr>
                <w:spacing w:val="-8"/>
              </w:rPr>
            </w:pPr>
            <w:r>
              <w:rPr>
                <w:rFonts w:hint="eastAsia"/>
                <w:spacing w:val="-8"/>
              </w:rPr>
              <w:t>废油</w:t>
            </w:r>
          </w:p>
        </w:tc>
        <w:tc>
          <w:tcPr>
            <w:tcW w:w="335" w:type="pct"/>
            <w:vAlign w:val="center"/>
          </w:tcPr>
          <w:p w14:paraId="43398A27">
            <w:pPr>
              <w:pStyle w:val="75"/>
              <w:rPr>
                <w:spacing w:val="-8"/>
              </w:rPr>
            </w:pPr>
            <w:r>
              <w:rPr>
                <w:rFonts w:hint="eastAsia"/>
                <w:spacing w:val="-8"/>
              </w:rPr>
              <w:t>废油</w:t>
            </w:r>
          </w:p>
        </w:tc>
        <w:tc>
          <w:tcPr>
            <w:tcW w:w="390" w:type="pct"/>
            <w:vAlign w:val="center"/>
          </w:tcPr>
          <w:p w14:paraId="1175C6E6">
            <w:pPr>
              <w:pStyle w:val="75"/>
              <w:rPr>
                <w:kern w:val="2"/>
              </w:rPr>
            </w:pPr>
            <w:r>
              <w:rPr>
                <w:rFonts w:hint="eastAsia"/>
                <w:kern w:val="2"/>
              </w:rPr>
              <w:t>连续</w:t>
            </w:r>
          </w:p>
        </w:tc>
        <w:tc>
          <w:tcPr>
            <w:tcW w:w="367" w:type="pct"/>
            <w:vAlign w:val="center"/>
          </w:tcPr>
          <w:p w14:paraId="6E5C1907">
            <w:pPr>
              <w:pStyle w:val="75"/>
              <w:rPr>
                <w:kern w:val="2"/>
              </w:rPr>
            </w:pPr>
            <w:r>
              <w:rPr>
                <w:rFonts w:hint="eastAsia"/>
                <w:kern w:val="2"/>
              </w:rPr>
              <w:t>T，I</w:t>
            </w:r>
          </w:p>
        </w:tc>
        <w:tc>
          <w:tcPr>
            <w:tcW w:w="337" w:type="pct"/>
            <w:vMerge w:val="continue"/>
            <w:vAlign w:val="center"/>
          </w:tcPr>
          <w:p w14:paraId="5E391994">
            <w:pPr>
              <w:pStyle w:val="75"/>
              <w:rPr>
                <w:kern w:val="2"/>
              </w:rPr>
            </w:pPr>
          </w:p>
        </w:tc>
      </w:tr>
      <w:tr w14:paraId="10DD5A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648F9B01">
            <w:pPr>
              <w:pStyle w:val="75"/>
              <w:rPr>
                <w:kern w:val="2"/>
              </w:rPr>
            </w:pPr>
            <w:r>
              <w:rPr>
                <w:rFonts w:hint="eastAsia"/>
                <w:kern w:val="2"/>
              </w:rPr>
              <w:t>6</w:t>
            </w:r>
          </w:p>
        </w:tc>
        <w:tc>
          <w:tcPr>
            <w:tcW w:w="556" w:type="pct"/>
            <w:vAlign w:val="center"/>
          </w:tcPr>
          <w:p w14:paraId="743A69CD">
            <w:pPr>
              <w:pStyle w:val="75"/>
              <w:rPr>
                <w:highlight w:val="yellow"/>
              </w:rPr>
            </w:pPr>
            <w:r>
              <w:t>含</w:t>
            </w:r>
            <w:r>
              <w:rPr>
                <w:rFonts w:hint="eastAsia"/>
              </w:rPr>
              <w:t>镍污泥</w:t>
            </w:r>
          </w:p>
        </w:tc>
        <w:tc>
          <w:tcPr>
            <w:tcW w:w="403" w:type="pct"/>
            <w:vAlign w:val="center"/>
          </w:tcPr>
          <w:p w14:paraId="7FF9C1A6">
            <w:pPr>
              <w:pStyle w:val="75"/>
              <w:rPr>
                <w:spacing w:val="-6"/>
                <w:kern w:val="2"/>
              </w:rPr>
            </w:pPr>
            <w:r>
              <w:rPr>
                <w:rFonts w:hint="eastAsia"/>
                <w:spacing w:val="-6"/>
                <w:kern w:val="2"/>
              </w:rPr>
              <w:t>HW17</w:t>
            </w:r>
          </w:p>
        </w:tc>
        <w:tc>
          <w:tcPr>
            <w:tcW w:w="672" w:type="pct"/>
            <w:vAlign w:val="center"/>
          </w:tcPr>
          <w:p w14:paraId="2B86F7F7">
            <w:pPr>
              <w:pStyle w:val="75"/>
              <w:rPr>
                <w:spacing w:val="-6"/>
                <w:kern w:val="2"/>
              </w:rPr>
            </w:pPr>
            <w:r>
              <w:rPr>
                <w:rFonts w:hint="eastAsia"/>
                <w:spacing w:val="-6"/>
                <w:kern w:val="2"/>
              </w:rPr>
              <w:t>336-054-17</w:t>
            </w:r>
          </w:p>
        </w:tc>
        <w:tc>
          <w:tcPr>
            <w:tcW w:w="475" w:type="pct"/>
            <w:vAlign w:val="center"/>
          </w:tcPr>
          <w:p w14:paraId="73E37F8A">
            <w:pPr>
              <w:pStyle w:val="75"/>
              <w:rPr>
                <w:rFonts w:hint="default" w:eastAsia="宋体"/>
                <w:lang w:val="en-US" w:eastAsia="zh-CN"/>
              </w:rPr>
            </w:pPr>
            <w:r>
              <w:rPr>
                <w:rFonts w:hint="eastAsia"/>
                <w:lang w:val="en-US" w:eastAsia="zh-CN"/>
              </w:rPr>
              <w:t>37.9515</w:t>
            </w:r>
          </w:p>
        </w:tc>
        <w:tc>
          <w:tcPr>
            <w:tcW w:w="573" w:type="pct"/>
            <w:vAlign w:val="center"/>
          </w:tcPr>
          <w:p w14:paraId="79A0D5E7">
            <w:pPr>
              <w:pStyle w:val="75"/>
            </w:pPr>
            <w:r>
              <w:t>含</w:t>
            </w:r>
            <w:r>
              <w:rPr>
                <w:rFonts w:hint="eastAsia"/>
              </w:rPr>
              <w:t>镍</w:t>
            </w:r>
            <w:r>
              <w:t>废水处理设施</w:t>
            </w:r>
          </w:p>
        </w:tc>
        <w:tc>
          <w:tcPr>
            <w:tcW w:w="301" w:type="pct"/>
            <w:vAlign w:val="center"/>
          </w:tcPr>
          <w:p w14:paraId="2A3AFA07">
            <w:pPr>
              <w:pStyle w:val="75"/>
              <w:rPr>
                <w:kern w:val="2"/>
              </w:rPr>
            </w:pPr>
            <w:r>
              <w:rPr>
                <w:rFonts w:hint="eastAsia"/>
                <w:kern w:val="2"/>
              </w:rPr>
              <w:t>固态</w:t>
            </w:r>
          </w:p>
        </w:tc>
        <w:tc>
          <w:tcPr>
            <w:tcW w:w="335" w:type="pct"/>
            <w:vAlign w:val="center"/>
          </w:tcPr>
          <w:p w14:paraId="3396A2CE">
            <w:pPr>
              <w:pStyle w:val="75"/>
            </w:pPr>
            <w:r>
              <w:rPr>
                <w:rFonts w:hint="eastAsia"/>
              </w:rPr>
              <w:t>污泥</w:t>
            </w:r>
          </w:p>
        </w:tc>
        <w:tc>
          <w:tcPr>
            <w:tcW w:w="335" w:type="pct"/>
            <w:vAlign w:val="center"/>
          </w:tcPr>
          <w:p w14:paraId="34F07E85">
            <w:pPr>
              <w:pStyle w:val="75"/>
            </w:pPr>
            <w:r>
              <w:rPr>
                <w:rFonts w:hint="eastAsia"/>
              </w:rPr>
              <w:t>镍</w:t>
            </w:r>
          </w:p>
        </w:tc>
        <w:tc>
          <w:tcPr>
            <w:tcW w:w="390" w:type="pct"/>
            <w:vAlign w:val="center"/>
          </w:tcPr>
          <w:p w14:paraId="09328B50">
            <w:pPr>
              <w:pStyle w:val="75"/>
              <w:rPr>
                <w:kern w:val="2"/>
              </w:rPr>
            </w:pPr>
            <w:r>
              <w:rPr>
                <w:rFonts w:hint="eastAsia"/>
                <w:kern w:val="2"/>
              </w:rPr>
              <w:t>连续</w:t>
            </w:r>
          </w:p>
        </w:tc>
        <w:tc>
          <w:tcPr>
            <w:tcW w:w="367" w:type="pct"/>
            <w:vAlign w:val="center"/>
          </w:tcPr>
          <w:p w14:paraId="73172B1D">
            <w:pPr>
              <w:pStyle w:val="75"/>
              <w:rPr>
                <w:kern w:val="2"/>
              </w:rPr>
            </w:pPr>
            <w:r>
              <w:rPr>
                <w:rFonts w:hint="eastAsia"/>
                <w:kern w:val="2"/>
              </w:rPr>
              <w:t>T</w:t>
            </w:r>
          </w:p>
        </w:tc>
        <w:tc>
          <w:tcPr>
            <w:tcW w:w="337" w:type="pct"/>
            <w:vMerge w:val="continue"/>
            <w:vAlign w:val="center"/>
          </w:tcPr>
          <w:p w14:paraId="5ADDFA6F">
            <w:pPr>
              <w:pStyle w:val="75"/>
              <w:rPr>
                <w:kern w:val="2"/>
              </w:rPr>
            </w:pPr>
          </w:p>
        </w:tc>
      </w:tr>
      <w:tr w14:paraId="50BE30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06EECAC9">
            <w:pPr>
              <w:pStyle w:val="75"/>
              <w:rPr>
                <w:kern w:val="2"/>
              </w:rPr>
            </w:pPr>
            <w:r>
              <w:rPr>
                <w:rFonts w:hint="eastAsia"/>
                <w:kern w:val="2"/>
              </w:rPr>
              <w:t>7</w:t>
            </w:r>
          </w:p>
        </w:tc>
        <w:tc>
          <w:tcPr>
            <w:tcW w:w="556" w:type="pct"/>
            <w:vAlign w:val="center"/>
          </w:tcPr>
          <w:p w14:paraId="11E632C7">
            <w:pPr>
              <w:pStyle w:val="75"/>
              <w:jc w:val="left"/>
            </w:pPr>
            <w:r>
              <w:t>含</w:t>
            </w:r>
            <w:r>
              <w:rPr>
                <w:rFonts w:hint="eastAsia"/>
              </w:rPr>
              <w:t>镍</w:t>
            </w:r>
            <w:r>
              <w:rPr>
                <w:rFonts w:hint="eastAsia" w:ascii="宋体" w:hAnsi="宋体"/>
              </w:rPr>
              <w:t>废活性炭</w:t>
            </w:r>
          </w:p>
        </w:tc>
        <w:tc>
          <w:tcPr>
            <w:tcW w:w="403" w:type="pct"/>
            <w:vAlign w:val="center"/>
          </w:tcPr>
          <w:p w14:paraId="4736B7C7">
            <w:pPr>
              <w:pStyle w:val="75"/>
              <w:rPr>
                <w:spacing w:val="-6"/>
                <w:kern w:val="2"/>
              </w:rPr>
            </w:pPr>
            <w:r>
              <w:rPr>
                <w:rFonts w:hint="eastAsia"/>
                <w:spacing w:val="-6"/>
                <w:kern w:val="2"/>
              </w:rPr>
              <w:t>HW49</w:t>
            </w:r>
          </w:p>
        </w:tc>
        <w:tc>
          <w:tcPr>
            <w:tcW w:w="672" w:type="pct"/>
            <w:vAlign w:val="center"/>
          </w:tcPr>
          <w:p w14:paraId="1935206E">
            <w:pPr>
              <w:pStyle w:val="75"/>
              <w:rPr>
                <w:spacing w:val="-6"/>
                <w:kern w:val="2"/>
              </w:rPr>
            </w:pPr>
            <w:r>
              <w:rPr>
                <w:rFonts w:hint="eastAsia"/>
                <w:spacing w:val="-6"/>
                <w:kern w:val="2"/>
              </w:rPr>
              <w:t>900-041-49</w:t>
            </w:r>
          </w:p>
        </w:tc>
        <w:tc>
          <w:tcPr>
            <w:tcW w:w="475" w:type="pct"/>
            <w:vAlign w:val="center"/>
          </w:tcPr>
          <w:p w14:paraId="2629D090">
            <w:pPr>
              <w:pStyle w:val="75"/>
            </w:pPr>
            <w:r>
              <w:rPr>
                <w:rFonts w:hint="eastAsia"/>
              </w:rPr>
              <w:t>0.1</w:t>
            </w:r>
          </w:p>
        </w:tc>
        <w:tc>
          <w:tcPr>
            <w:tcW w:w="573" w:type="pct"/>
            <w:vAlign w:val="center"/>
          </w:tcPr>
          <w:p w14:paraId="2D32EB6C">
            <w:pPr>
              <w:pStyle w:val="75"/>
            </w:pPr>
            <w:r>
              <w:t>含</w:t>
            </w:r>
            <w:r>
              <w:rPr>
                <w:rFonts w:hint="eastAsia"/>
              </w:rPr>
              <w:t>镍</w:t>
            </w:r>
            <w:r>
              <w:t>废水处理设施</w:t>
            </w:r>
          </w:p>
        </w:tc>
        <w:tc>
          <w:tcPr>
            <w:tcW w:w="301" w:type="pct"/>
            <w:vAlign w:val="center"/>
          </w:tcPr>
          <w:p w14:paraId="157E502D">
            <w:pPr>
              <w:pStyle w:val="75"/>
              <w:rPr>
                <w:kern w:val="2"/>
              </w:rPr>
            </w:pPr>
            <w:r>
              <w:rPr>
                <w:rFonts w:hint="eastAsia"/>
                <w:kern w:val="2"/>
              </w:rPr>
              <w:t>固态</w:t>
            </w:r>
          </w:p>
        </w:tc>
        <w:tc>
          <w:tcPr>
            <w:tcW w:w="335" w:type="pct"/>
            <w:vAlign w:val="center"/>
          </w:tcPr>
          <w:p w14:paraId="29D67BD5">
            <w:pPr>
              <w:pStyle w:val="75"/>
            </w:pPr>
            <w:r>
              <w:rPr>
                <w:rFonts w:hint="eastAsia" w:ascii="宋体" w:hAnsi="宋体"/>
              </w:rPr>
              <w:t>炭</w:t>
            </w:r>
          </w:p>
        </w:tc>
        <w:tc>
          <w:tcPr>
            <w:tcW w:w="335" w:type="pct"/>
            <w:vAlign w:val="center"/>
          </w:tcPr>
          <w:p w14:paraId="245957AC">
            <w:pPr>
              <w:pStyle w:val="75"/>
            </w:pPr>
            <w:r>
              <w:rPr>
                <w:rFonts w:hint="eastAsia"/>
              </w:rPr>
              <w:t>镍</w:t>
            </w:r>
          </w:p>
        </w:tc>
        <w:tc>
          <w:tcPr>
            <w:tcW w:w="390" w:type="pct"/>
            <w:vAlign w:val="center"/>
          </w:tcPr>
          <w:p w14:paraId="12852B4B">
            <w:pPr>
              <w:pStyle w:val="75"/>
              <w:rPr>
                <w:kern w:val="2"/>
              </w:rPr>
            </w:pPr>
            <w:r>
              <w:rPr>
                <w:rFonts w:hint="eastAsia"/>
                <w:kern w:val="2"/>
              </w:rPr>
              <w:t>3年</w:t>
            </w:r>
          </w:p>
        </w:tc>
        <w:tc>
          <w:tcPr>
            <w:tcW w:w="367" w:type="pct"/>
            <w:vAlign w:val="center"/>
          </w:tcPr>
          <w:p w14:paraId="19DA8C81">
            <w:pPr>
              <w:pStyle w:val="75"/>
              <w:rPr>
                <w:kern w:val="2"/>
              </w:rPr>
            </w:pPr>
            <w:r>
              <w:rPr>
                <w:rFonts w:hint="eastAsia"/>
                <w:kern w:val="2"/>
              </w:rPr>
              <w:t>T/In</w:t>
            </w:r>
          </w:p>
        </w:tc>
        <w:tc>
          <w:tcPr>
            <w:tcW w:w="337" w:type="pct"/>
            <w:vMerge w:val="continue"/>
            <w:vAlign w:val="center"/>
          </w:tcPr>
          <w:p w14:paraId="704CE370">
            <w:pPr>
              <w:pStyle w:val="75"/>
              <w:rPr>
                <w:kern w:val="2"/>
              </w:rPr>
            </w:pPr>
          </w:p>
        </w:tc>
      </w:tr>
      <w:tr w14:paraId="12AC5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2B6419A5">
            <w:pPr>
              <w:pStyle w:val="75"/>
              <w:rPr>
                <w:kern w:val="2"/>
              </w:rPr>
            </w:pPr>
            <w:r>
              <w:rPr>
                <w:rFonts w:hint="eastAsia"/>
                <w:kern w:val="2"/>
              </w:rPr>
              <w:t>8</w:t>
            </w:r>
          </w:p>
        </w:tc>
        <w:tc>
          <w:tcPr>
            <w:tcW w:w="556" w:type="pct"/>
            <w:vAlign w:val="center"/>
          </w:tcPr>
          <w:p w14:paraId="3A38A69C">
            <w:pPr>
              <w:pStyle w:val="75"/>
              <w:jc w:val="left"/>
            </w:pPr>
            <w:r>
              <w:t>含</w:t>
            </w:r>
            <w:r>
              <w:rPr>
                <w:rFonts w:hint="eastAsia"/>
              </w:rPr>
              <w:t>镍</w:t>
            </w:r>
            <w:r>
              <w:t>废</w:t>
            </w:r>
            <w:r>
              <w:rPr>
                <w:rFonts w:hint="eastAsia"/>
              </w:rPr>
              <w:t>过滤膜</w:t>
            </w:r>
          </w:p>
        </w:tc>
        <w:tc>
          <w:tcPr>
            <w:tcW w:w="403" w:type="pct"/>
            <w:vAlign w:val="center"/>
          </w:tcPr>
          <w:p w14:paraId="2A5C7615">
            <w:pPr>
              <w:pStyle w:val="75"/>
              <w:rPr>
                <w:spacing w:val="-6"/>
                <w:kern w:val="2"/>
              </w:rPr>
            </w:pPr>
            <w:r>
              <w:rPr>
                <w:rFonts w:hint="eastAsia"/>
                <w:spacing w:val="-6"/>
                <w:kern w:val="2"/>
              </w:rPr>
              <w:t>HW49</w:t>
            </w:r>
          </w:p>
        </w:tc>
        <w:tc>
          <w:tcPr>
            <w:tcW w:w="672" w:type="pct"/>
            <w:vAlign w:val="center"/>
          </w:tcPr>
          <w:p w14:paraId="382ABB14">
            <w:pPr>
              <w:pStyle w:val="75"/>
              <w:rPr>
                <w:spacing w:val="-6"/>
                <w:kern w:val="2"/>
              </w:rPr>
            </w:pPr>
            <w:r>
              <w:rPr>
                <w:rFonts w:hint="eastAsia"/>
                <w:spacing w:val="-6"/>
                <w:kern w:val="2"/>
              </w:rPr>
              <w:t>900-041-49</w:t>
            </w:r>
          </w:p>
        </w:tc>
        <w:tc>
          <w:tcPr>
            <w:tcW w:w="475" w:type="pct"/>
            <w:vAlign w:val="center"/>
          </w:tcPr>
          <w:p w14:paraId="5A57B1A0">
            <w:pPr>
              <w:pStyle w:val="75"/>
            </w:pPr>
            <w:r>
              <w:rPr>
                <w:rFonts w:hint="eastAsia"/>
              </w:rPr>
              <w:t>0.05</w:t>
            </w:r>
          </w:p>
        </w:tc>
        <w:tc>
          <w:tcPr>
            <w:tcW w:w="573" w:type="pct"/>
            <w:vAlign w:val="center"/>
          </w:tcPr>
          <w:p w14:paraId="71462C47">
            <w:pPr>
              <w:pStyle w:val="75"/>
              <w:rPr>
                <w:kern w:val="2"/>
              </w:rPr>
            </w:pPr>
            <w:r>
              <w:t>含</w:t>
            </w:r>
            <w:r>
              <w:rPr>
                <w:rFonts w:hint="eastAsia"/>
              </w:rPr>
              <w:t>镍</w:t>
            </w:r>
            <w:r>
              <w:t>废水处理设施</w:t>
            </w:r>
          </w:p>
        </w:tc>
        <w:tc>
          <w:tcPr>
            <w:tcW w:w="301" w:type="pct"/>
            <w:vAlign w:val="center"/>
          </w:tcPr>
          <w:p w14:paraId="2C1D81E0">
            <w:pPr>
              <w:pStyle w:val="75"/>
              <w:rPr>
                <w:kern w:val="2"/>
              </w:rPr>
            </w:pPr>
            <w:r>
              <w:rPr>
                <w:rFonts w:hint="eastAsia"/>
                <w:kern w:val="2"/>
              </w:rPr>
              <w:t>固态</w:t>
            </w:r>
          </w:p>
        </w:tc>
        <w:tc>
          <w:tcPr>
            <w:tcW w:w="335" w:type="pct"/>
            <w:vAlign w:val="center"/>
          </w:tcPr>
          <w:p w14:paraId="030C3F60">
            <w:pPr>
              <w:pStyle w:val="75"/>
              <w:rPr>
                <w:spacing w:val="-8"/>
              </w:rPr>
            </w:pPr>
            <w:r>
              <w:rPr>
                <w:rFonts w:hint="eastAsia"/>
              </w:rPr>
              <w:t>过滤材料</w:t>
            </w:r>
          </w:p>
        </w:tc>
        <w:tc>
          <w:tcPr>
            <w:tcW w:w="335" w:type="pct"/>
            <w:vAlign w:val="center"/>
          </w:tcPr>
          <w:p w14:paraId="07E806EB">
            <w:pPr>
              <w:pStyle w:val="75"/>
              <w:rPr>
                <w:spacing w:val="-8"/>
              </w:rPr>
            </w:pPr>
            <w:r>
              <w:rPr>
                <w:rFonts w:hint="eastAsia"/>
              </w:rPr>
              <w:t>镍</w:t>
            </w:r>
          </w:p>
        </w:tc>
        <w:tc>
          <w:tcPr>
            <w:tcW w:w="390" w:type="pct"/>
            <w:vAlign w:val="center"/>
          </w:tcPr>
          <w:p w14:paraId="6B5E0BF6">
            <w:pPr>
              <w:pStyle w:val="75"/>
              <w:rPr>
                <w:kern w:val="2"/>
              </w:rPr>
            </w:pPr>
            <w:r>
              <w:rPr>
                <w:rFonts w:hint="eastAsia"/>
                <w:kern w:val="2"/>
              </w:rPr>
              <w:t>3年</w:t>
            </w:r>
          </w:p>
        </w:tc>
        <w:tc>
          <w:tcPr>
            <w:tcW w:w="367" w:type="pct"/>
            <w:vAlign w:val="center"/>
          </w:tcPr>
          <w:p w14:paraId="11FDBBBF">
            <w:pPr>
              <w:pStyle w:val="75"/>
              <w:rPr>
                <w:kern w:val="2"/>
              </w:rPr>
            </w:pPr>
            <w:r>
              <w:rPr>
                <w:rFonts w:hint="eastAsia"/>
                <w:kern w:val="2"/>
              </w:rPr>
              <w:t>T/In</w:t>
            </w:r>
          </w:p>
        </w:tc>
        <w:tc>
          <w:tcPr>
            <w:tcW w:w="337" w:type="pct"/>
            <w:vMerge w:val="continue"/>
            <w:vAlign w:val="center"/>
          </w:tcPr>
          <w:p w14:paraId="4E183B6B">
            <w:pPr>
              <w:pStyle w:val="75"/>
              <w:rPr>
                <w:kern w:val="2"/>
              </w:rPr>
            </w:pPr>
          </w:p>
        </w:tc>
      </w:tr>
      <w:tr w14:paraId="1F705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78BBD9CB">
            <w:pPr>
              <w:pStyle w:val="75"/>
              <w:rPr>
                <w:kern w:val="2"/>
              </w:rPr>
            </w:pPr>
            <w:r>
              <w:rPr>
                <w:rFonts w:hint="eastAsia"/>
                <w:kern w:val="2"/>
              </w:rPr>
              <w:t>9</w:t>
            </w:r>
          </w:p>
        </w:tc>
        <w:tc>
          <w:tcPr>
            <w:tcW w:w="556" w:type="pct"/>
            <w:vAlign w:val="center"/>
          </w:tcPr>
          <w:p w14:paraId="599F3B7A">
            <w:pPr>
              <w:pStyle w:val="75"/>
            </w:pPr>
            <w:r>
              <w:t>含</w:t>
            </w:r>
            <w:r>
              <w:rPr>
                <w:rFonts w:hint="eastAsia"/>
              </w:rPr>
              <w:t>铬污泥</w:t>
            </w:r>
          </w:p>
        </w:tc>
        <w:tc>
          <w:tcPr>
            <w:tcW w:w="403" w:type="pct"/>
            <w:vAlign w:val="center"/>
          </w:tcPr>
          <w:p w14:paraId="4CB9A58A">
            <w:pPr>
              <w:pStyle w:val="75"/>
              <w:rPr>
                <w:spacing w:val="-6"/>
                <w:kern w:val="2"/>
              </w:rPr>
            </w:pPr>
            <w:r>
              <w:rPr>
                <w:rFonts w:hint="eastAsia"/>
                <w:spacing w:val="-6"/>
                <w:kern w:val="2"/>
              </w:rPr>
              <w:t>HW17</w:t>
            </w:r>
          </w:p>
        </w:tc>
        <w:tc>
          <w:tcPr>
            <w:tcW w:w="672" w:type="pct"/>
            <w:vAlign w:val="center"/>
          </w:tcPr>
          <w:p w14:paraId="09108065">
            <w:pPr>
              <w:pStyle w:val="75"/>
              <w:rPr>
                <w:spacing w:val="-6"/>
                <w:kern w:val="2"/>
              </w:rPr>
            </w:pPr>
            <w:r>
              <w:rPr>
                <w:rFonts w:hint="eastAsia"/>
                <w:spacing w:val="-6"/>
                <w:kern w:val="2"/>
              </w:rPr>
              <w:t>336-068-17</w:t>
            </w:r>
          </w:p>
        </w:tc>
        <w:tc>
          <w:tcPr>
            <w:tcW w:w="475" w:type="pct"/>
            <w:vAlign w:val="center"/>
          </w:tcPr>
          <w:p w14:paraId="591A4D53">
            <w:pPr>
              <w:pStyle w:val="75"/>
              <w:rPr>
                <w:rFonts w:hint="default" w:eastAsia="宋体"/>
                <w:lang w:val="en-US" w:eastAsia="zh-CN"/>
              </w:rPr>
            </w:pPr>
            <w:r>
              <w:rPr>
                <w:rFonts w:hint="eastAsia"/>
                <w:lang w:val="en-US" w:eastAsia="zh-CN"/>
              </w:rPr>
              <w:t>1.0643</w:t>
            </w:r>
          </w:p>
        </w:tc>
        <w:tc>
          <w:tcPr>
            <w:tcW w:w="573" w:type="pct"/>
            <w:vAlign w:val="center"/>
          </w:tcPr>
          <w:p w14:paraId="6115508D">
            <w:pPr>
              <w:pStyle w:val="75"/>
              <w:rPr>
                <w:kern w:val="2"/>
              </w:rPr>
            </w:pPr>
            <w:r>
              <w:t>含</w:t>
            </w:r>
            <w:r>
              <w:rPr>
                <w:rFonts w:hint="eastAsia"/>
              </w:rPr>
              <w:t>铬</w:t>
            </w:r>
            <w:r>
              <w:t>废水处理设施</w:t>
            </w:r>
          </w:p>
        </w:tc>
        <w:tc>
          <w:tcPr>
            <w:tcW w:w="301" w:type="pct"/>
            <w:vAlign w:val="center"/>
          </w:tcPr>
          <w:p w14:paraId="09C0248A">
            <w:pPr>
              <w:pStyle w:val="75"/>
              <w:rPr>
                <w:kern w:val="2"/>
              </w:rPr>
            </w:pPr>
            <w:r>
              <w:rPr>
                <w:rFonts w:hint="eastAsia"/>
                <w:kern w:val="2"/>
              </w:rPr>
              <w:t>固态</w:t>
            </w:r>
          </w:p>
        </w:tc>
        <w:tc>
          <w:tcPr>
            <w:tcW w:w="335" w:type="pct"/>
            <w:vAlign w:val="center"/>
          </w:tcPr>
          <w:p w14:paraId="2B468A84">
            <w:pPr>
              <w:pStyle w:val="75"/>
              <w:rPr>
                <w:spacing w:val="-8"/>
              </w:rPr>
            </w:pPr>
            <w:r>
              <w:rPr>
                <w:rFonts w:hint="eastAsia"/>
              </w:rPr>
              <w:t>污泥</w:t>
            </w:r>
          </w:p>
        </w:tc>
        <w:tc>
          <w:tcPr>
            <w:tcW w:w="335" w:type="pct"/>
            <w:vAlign w:val="center"/>
          </w:tcPr>
          <w:p w14:paraId="4C3CAF43">
            <w:pPr>
              <w:pStyle w:val="75"/>
              <w:rPr>
                <w:spacing w:val="-8"/>
              </w:rPr>
            </w:pPr>
            <w:r>
              <w:rPr>
                <w:rFonts w:hint="eastAsia"/>
              </w:rPr>
              <w:t>铬</w:t>
            </w:r>
          </w:p>
        </w:tc>
        <w:tc>
          <w:tcPr>
            <w:tcW w:w="390" w:type="pct"/>
            <w:vAlign w:val="center"/>
          </w:tcPr>
          <w:p w14:paraId="4F1C77DA">
            <w:pPr>
              <w:pStyle w:val="75"/>
              <w:rPr>
                <w:kern w:val="2"/>
              </w:rPr>
            </w:pPr>
            <w:r>
              <w:rPr>
                <w:rFonts w:hint="eastAsia"/>
                <w:kern w:val="2"/>
              </w:rPr>
              <w:t>连续</w:t>
            </w:r>
          </w:p>
        </w:tc>
        <w:tc>
          <w:tcPr>
            <w:tcW w:w="367" w:type="pct"/>
            <w:vAlign w:val="center"/>
          </w:tcPr>
          <w:p w14:paraId="122ED039">
            <w:pPr>
              <w:pStyle w:val="75"/>
              <w:rPr>
                <w:kern w:val="2"/>
              </w:rPr>
            </w:pPr>
            <w:r>
              <w:rPr>
                <w:rFonts w:hint="eastAsia"/>
                <w:kern w:val="2"/>
              </w:rPr>
              <w:t>T</w:t>
            </w:r>
          </w:p>
        </w:tc>
        <w:tc>
          <w:tcPr>
            <w:tcW w:w="337" w:type="pct"/>
            <w:vMerge w:val="continue"/>
            <w:vAlign w:val="center"/>
          </w:tcPr>
          <w:p w14:paraId="28F6CF02">
            <w:pPr>
              <w:pStyle w:val="75"/>
              <w:rPr>
                <w:kern w:val="2"/>
              </w:rPr>
            </w:pPr>
          </w:p>
        </w:tc>
      </w:tr>
      <w:tr w14:paraId="764C7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32ECAF93">
            <w:pPr>
              <w:pStyle w:val="75"/>
              <w:rPr>
                <w:kern w:val="2"/>
              </w:rPr>
            </w:pPr>
            <w:r>
              <w:rPr>
                <w:rFonts w:hint="eastAsia"/>
                <w:kern w:val="2"/>
              </w:rPr>
              <w:t>10</w:t>
            </w:r>
          </w:p>
        </w:tc>
        <w:tc>
          <w:tcPr>
            <w:tcW w:w="556" w:type="pct"/>
            <w:vAlign w:val="center"/>
          </w:tcPr>
          <w:p w14:paraId="3D186CC0">
            <w:pPr>
              <w:pStyle w:val="75"/>
              <w:jc w:val="left"/>
            </w:pPr>
            <w:r>
              <w:t>含</w:t>
            </w:r>
            <w:r>
              <w:rPr>
                <w:rFonts w:hint="eastAsia"/>
              </w:rPr>
              <w:t>铬</w:t>
            </w:r>
            <w:r>
              <w:rPr>
                <w:rFonts w:hint="eastAsia" w:ascii="宋体" w:hAnsi="宋体"/>
              </w:rPr>
              <w:t>废活性炭</w:t>
            </w:r>
          </w:p>
        </w:tc>
        <w:tc>
          <w:tcPr>
            <w:tcW w:w="403" w:type="pct"/>
            <w:vAlign w:val="center"/>
          </w:tcPr>
          <w:p w14:paraId="6D10CD20">
            <w:pPr>
              <w:pStyle w:val="75"/>
              <w:rPr>
                <w:spacing w:val="-6"/>
                <w:kern w:val="2"/>
              </w:rPr>
            </w:pPr>
            <w:r>
              <w:rPr>
                <w:rFonts w:hint="eastAsia"/>
                <w:spacing w:val="-6"/>
                <w:kern w:val="2"/>
              </w:rPr>
              <w:t>HW49</w:t>
            </w:r>
          </w:p>
        </w:tc>
        <w:tc>
          <w:tcPr>
            <w:tcW w:w="672" w:type="pct"/>
            <w:vAlign w:val="center"/>
          </w:tcPr>
          <w:p w14:paraId="389A3A7D">
            <w:pPr>
              <w:pStyle w:val="75"/>
              <w:rPr>
                <w:spacing w:val="-6"/>
                <w:kern w:val="2"/>
              </w:rPr>
            </w:pPr>
            <w:r>
              <w:rPr>
                <w:rFonts w:hint="eastAsia"/>
                <w:spacing w:val="-6"/>
                <w:kern w:val="2"/>
              </w:rPr>
              <w:t>900-041-49</w:t>
            </w:r>
          </w:p>
        </w:tc>
        <w:tc>
          <w:tcPr>
            <w:tcW w:w="475" w:type="pct"/>
            <w:vAlign w:val="center"/>
          </w:tcPr>
          <w:p w14:paraId="0FC29C9D">
            <w:pPr>
              <w:pStyle w:val="75"/>
            </w:pPr>
            <w:r>
              <w:rPr>
                <w:rFonts w:hint="eastAsia"/>
              </w:rPr>
              <w:t>0.1</w:t>
            </w:r>
          </w:p>
        </w:tc>
        <w:tc>
          <w:tcPr>
            <w:tcW w:w="573" w:type="pct"/>
            <w:vAlign w:val="center"/>
          </w:tcPr>
          <w:p w14:paraId="37FEE649">
            <w:pPr>
              <w:pStyle w:val="75"/>
              <w:rPr>
                <w:kern w:val="2"/>
              </w:rPr>
            </w:pPr>
            <w:r>
              <w:t>含</w:t>
            </w:r>
            <w:r>
              <w:rPr>
                <w:rFonts w:hint="eastAsia"/>
              </w:rPr>
              <w:t>铬</w:t>
            </w:r>
            <w:r>
              <w:t>废水处理设施</w:t>
            </w:r>
          </w:p>
        </w:tc>
        <w:tc>
          <w:tcPr>
            <w:tcW w:w="301" w:type="pct"/>
            <w:vAlign w:val="center"/>
          </w:tcPr>
          <w:p w14:paraId="48D561A6">
            <w:pPr>
              <w:pStyle w:val="75"/>
              <w:rPr>
                <w:kern w:val="2"/>
              </w:rPr>
            </w:pPr>
            <w:r>
              <w:rPr>
                <w:rFonts w:hint="eastAsia"/>
                <w:kern w:val="2"/>
              </w:rPr>
              <w:t>固态</w:t>
            </w:r>
          </w:p>
        </w:tc>
        <w:tc>
          <w:tcPr>
            <w:tcW w:w="335" w:type="pct"/>
            <w:vAlign w:val="center"/>
          </w:tcPr>
          <w:p w14:paraId="3D10030F">
            <w:pPr>
              <w:pStyle w:val="75"/>
              <w:rPr>
                <w:spacing w:val="-8"/>
              </w:rPr>
            </w:pPr>
            <w:r>
              <w:rPr>
                <w:rFonts w:hint="eastAsia" w:ascii="宋体" w:hAnsi="宋体"/>
              </w:rPr>
              <w:t>炭</w:t>
            </w:r>
          </w:p>
        </w:tc>
        <w:tc>
          <w:tcPr>
            <w:tcW w:w="335" w:type="pct"/>
            <w:vAlign w:val="center"/>
          </w:tcPr>
          <w:p w14:paraId="2A52238D">
            <w:pPr>
              <w:pStyle w:val="75"/>
              <w:rPr>
                <w:spacing w:val="-8"/>
              </w:rPr>
            </w:pPr>
            <w:r>
              <w:rPr>
                <w:rFonts w:hint="eastAsia"/>
              </w:rPr>
              <w:t>铬</w:t>
            </w:r>
          </w:p>
        </w:tc>
        <w:tc>
          <w:tcPr>
            <w:tcW w:w="390" w:type="pct"/>
            <w:vAlign w:val="center"/>
          </w:tcPr>
          <w:p w14:paraId="2C2AAE8B">
            <w:pPr>
              <w:pStyle w:val="75"/>
              <w:rPr>
                <w:kern w:val="2"/>
              </w:rPr>
            </w:pPr>
            <w:r>
              <w:rPr>
                <w:rFonts w:hint="eastAsia"/>
                <w:kern w:val="2"/>
              </w:rPr>
              <w:t>3年</w:t>
            </w:r>
          </w:p>
        </w:tc>
        <w:tc>
          <w:tcPr>
            <w:tcW w:w="367" w:type="pct"/>
            <w:vAlign w:val="center"/>
          </w:tcPr>
          <w:p w14:paraId="7C76C78F">
            <w:pPr>
              <w:pStyle w:val="75"/>
              <w:rPr>
                <w:kern w:val="2"/>
              </w:rPr>
            </w:pPr>
            <w:r>
              <w:rPr>
                <w:rFonts w:hint="eastAsia"/>
                <w:kern w:val="2"/>
              </w:rPr>
              <w:t>T/In</w:t>
            </w:r>
          </w:p>
        </w:tc>
        <w:tc>
          <w:tcPr>
            <w:tcW w:w="337" w:type="pct"/>
            <w:vMerge w:val="continue"/>
            <w:vAlign w:val="center"/>
          </w:tcPr>
          <w:p w14:paraId="73D2BA93">
            <w:pPr>
              <w:pStyle w:val="75"/>
              <w:rPr>
                <w:kern w:val="2"/>
              </w:rPr>
            </w:pPr>
          </w:p>
        </w:tc>
      </w:tr>
      <w:tr w14:paraId="2ED86B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6F52533B">
            <w:pPr>
              <w:pStyle w:val="75"/>
              <w:rPr>
                <w:kern w:val="2"/>
              </w:rPr>
            </w:pPr>
            <w:r>
              <w:rPr>
                <w:rFonts w:hint="eastAsia"/>
                <w:kern w:val="2"/>
              </w:rPr>
              <w:t>11</w:t>
            </w:r>
          </w:p>
        </w:tc>
        <w:tc>
          <w:tcPr>
            <w:tcW w:w="556" w:type="pct"/>
            <w:vAlign w:val="center"/>
          </w:tcPr>
          <w:p w14:paraId="444FF8F1">
            <w:pPr>
              <w:pStyle w:val="75"/>
              <w:jc w:val="left"/>
            </w:pPr>
            <w:r>
              <w:t>含</w:t>
            </w:r>
            <w:r>
              <w:rPr>
                <w:rFonts w:hint="eastAsia"/>
              </w:rPr>
              <w:t>铬</w:t>
            </w:r>
            <w:r>
              <w:t>废</w:t>
            </w:r>
            <w:r>
              <w:rPr>
                <w:rFonts w:hint="eastAsia"/>
              </w:rPr>
              <w:t>过滤膜</w:t>
            </w:r>
          </w:p>
        </w:tc>
        <w:tc>
          <w:tcPr>
            <w:tcW w:w="403" w:type="pct"/>
            <w:vAlign w:val="center"/>
          </w:tcPr>
          <w:p w14:paraId="4B0E0ECA">
            <w:pPr>
              <w:pStyle w:val="75"/>
              <w:rPr>
                <w:spacing w:val="-6"/>
                <w:kern w:val="2"/>
              </w:rPr>
            </w:pPr>
            <w:r>
              <w:rPr>
                <w:rFonts w:hint="eastAsia"/>
                <w:spacing w:val="-6"/>
                <w:kern w:val="2"/>
              </w:rPr>
              <w:t>HW49</w:t>
            </w:r>
          </w:p>
        </w:tc>
        <w:tc>
          <w:tcPr>
            <w:tcW w:w="672" w:type="pct"/>
            <w:vAlign w:val="center"/>
          </w:tcPr>
          <w:p w14:paraId="755A4208">
            <w:pPr>
              <w:pStyle w:val="75"/>
              <w:rPr>
                <w:kern w:val="2"/>
              </w:rPr>
            </w:pPr>
            <w:r>
              <w:rPr>
                <w:rFonts w:hint="eastAsia"/>
                <w:spacing w:val="-6"/>
                <w:kern w:val="2"/>
              </w:rPr>
              <w:t>900-041-49</w:t>
            </w:r>
          </w:p>
        </w:tc>
        <w:tc>
          <w:tcPr>
            <w:tcW w:w="475" w:type="pct"/>
            <w:vAlign w:val="center"/>
          </w:tcPr>
          <w:p w14:paraId="22A42744">
            <w:pPr>
              <w:pStyle w:val="75"/>
            </w:pPr>
            <w:r>
              <w:rPr>
                <w:rFonts w:hint="eastAsia"/>
              </w:rPr>
              <w:t>0.05</w:t>
            </w:r>
          </w:p>
        </w:tc>
        <w:tc>
          <w:tcPr>
            <w:tcW w:w="573" w:type="pct"/>
            <w:vAlign w:val="center"/>
          </w:tcPr>
          <w:p w14:paraId="0E832702">
            <w:pPr>
              <w:pStyle w:val="75"/>
            </w:pPr>
            <w:r>
              <w:t>含</w:t>
            </w:r>
            <w:r>
              <w:rPr>
                <w:rFonts w:hint="eastAsia"/>
              </w:rPr>
              <w:t>铬</w:t>
            </w:r>
            <w:r>
              <w:t>废水处理设施</w:t>
            </w:r>
          </w:p>
        </w:tc>
        <w:tc>
          <w:tcPr>
            <w:tcW w:w="301" w:type="pct"/>
            <w:vAlign w:val="center"/>
          </w:tcPr>
          <w:p w14:paraId="587C4042">
            <w:pPr>
              <w:pStyle w:val="75"/>
              <w:rPr>
                <w:kern w:val="2"/>
              </w:rPr>
            </w:pPr>
            <w:r>
              <w:rPr>
                <w:rFonts w:hint="eastAsia"/>
                <w:kern w:val="2"/>
              </w:rPr>
              <w:t>固态</w:t>
            </w:r>
          </w:p>
        </w:tc>
        <w:tc>
          <w:tcPr>
            <w:tcW w:w="335" w:type="pct"/>
            <w:vAlign w:val="center"/>
          </w:tcPr>
          <w:p w14:paraId="31B9F739">
            <w:pPr>
              <w:pStyle w:val="75"/>
              <w:rPr>
                <w:spacing w:val="-8"/>
              </w:rPr>
            </w:pPr>
            <w:r>
              <w:rPr>
                <w:rFonts w:hint="eastAsia"/>
              </w:rPr>
              <w:t>过滤材料</w:t>
            </w:r>
          </w:p>
        </w:tc>
        <w:tc>
          <w:tcPr>
            <w:tcW w:w="335" w:type="pct"/>
            <w:vAlign w:val="center"/>
          </w:tcPr>
          <w:p w14:paraId="464E17FA">
            <w:pPr>
              <w:pStyle w:val="75"/>
              <w:rPr>
                <w:spacing w:val="-8"/>
              </w:rPr>
            </w:pPr>
            <w:r>
              <w:rPr>
                <w:rFonts w:hint="eastAsia"/>
              </w:rPr>
              <w:t>铬</w:t>
            </w:r>
          </w:p>
        </w:tc>
        <w:tc>
          <w:tcPr>
            <w:tcW w:w="390" w:type="pct"/>
            <w:vAlign w:val="center"/>
          </w:tcPr>
          <w:p w14:paraId="3CFABC98">
            <w:pPr>
              <w:pStyle w:val="75"/>
              <w:rPr>
                <w:kern w:val="2"/>
              </w:rPr>
            </w:pPr>
            <w:r>
              <w:rPr>
                <w:rFonts w:hint="eastAsia"/>
                <w:kern w:val="2"/>
              </w:rPr>
              <w:t>3年</w:t>
            </w:r>
          </w:p>
        </w:tc>
        <w:tc>
          <w:tcPr>
            <w:tcW w:w="367" w:type="pct"/>
            <w:vAlign w:val="center"/>
          </w:tcPr>
          <w:p w14:paraId="7A21E6D6">
            <w:pPr>
              <w:pStyle w:val="75"/>
              <w:rPr>
                <w:kern w:val="2"/>
              </w:rPr>
            </w:pPr>
            <w:r>
              <w:rPr>
                <w:rFonts w:hint="eastAsia"/>
                <w:kern w:val="2"/>
              </w:rPr>
              <w:t>T/In</w:t>
            </w:r>
          </w:p>
        </w:tc>
        <w:tc>
          <w:tcPr>
            <w:tcW w:w="337" w:type="pct"/>
            <w:vMerge w:val="continue"/>
            <w:vAlign w:val="center"/>
          </w:tcPr>
          <w:p w14:paraId="01A194DC">
            <w:pPr>
              <w:pStyle w:val="75"/>
              <w:rPr>
                <w:kern w:val="2"/>
              </w:rPr>
            </w:pPr>
          </w:p>
        </w:tc>
      </w:tr>
      <w:tr w14:paraId="48B52F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52" w:type="pct"/>
            <w:vAlign w:val="center"/>
          </w:tcPr>
          <w:p w14:paraId="3FAC73F0">
            <w:pPr>
              <w:pStyle w:val="75"/>
              <w:rPr>
                <w:kern w:val="2"/>
              </w:rPr>
            </w:pPr>
            <w:r>
              <w:rPr>
                <w:rFonts w:hint="eastAsia"/>
                <w:kern w:val="2"/>
              </w:rPr>
              <w:t>12</w:t>
            </w:r>
          </w:p>
        </w:tc>
        <w:tc>
          <w:tcPr>
            <w:tcW w:w="556" w:type="pct"/>
            <w:vAlign w:val="center"/>
          </w:tcPr>
          <w:p w14:paraId="55E882B5">
            <w:pPr>
              <w:pStyle w:val="75"/>
            </w:pPr>
            <w:r>
              <w:rPr>
                <w:rFonts w:hint="eastAsia"/>
              </w:rPr>
              <w:t>蒸发浓液</w:t>
            </w:r>
          </w:p>
        </w:tc>
        <w:tc>
          <w:tcPr>
            <w:tcW w:w="403" w:type="pct"/>
            <w:vAlign w:val="center"/>
          </w:tcPr>
          <w:p w14:paraId="53EB4B0B">
            <w:pPr>
              <w:pStyle w:val="75"/>
              <w:rPr>
                <w:spacing w:val="-6"/>
                <w:kern w:val="2"/>
              </w:rPr>
            </w:pPr>
            <w:r>
              <w:rPr>
                <w:rFonts w:hint="eastAsia"/>
                <w:spacing w:val="-6"/>
                <w:kern w:val="2"/>
              </w:rPr>
              <w:t>HW17</w:t>
            </w:r>
          </w:p>
        </w:tc>
        <w:tc>
          <w:tcPr>
            <w:tcW w:w="672" w:type="pct"/>
            <w:vAlign w:val="center"/>
          </w:tcPr>
          <w:p w14:paraId="04AAD76A">
            <w:pPr>
              <w:pStyle w:val="75"/>
              <w:rPr>
                <w:spacing w:val="-6"/>
                <w:kern w:val="2"/>
              </w:rPr>
            </w:pPr>
            <w:r>
              <w:rPr>
                <w:rFonts w:hint="eastAsia"/>
                <w:spacing w:val="-6"/>
                <w:kern w:val="2"/>
              </w:rPr>
              <w:t>336-069-17</w:t>
            </w:r>
          </w:p>
        </w:tc>
        <w:tc>
          <w:tcPr>
            <w:tcW w:w="475" w:type="pct"/>
            <w:vAlign w:val="center"/>
          </w:tcPr>
          <w:p w14:paraId="2916BEFF">
            <w:pPr>
              <w:pStyle w:val="75"/>
              <w:rPr>
                <w:rFonts w:hint="default" w:eastAsia="宋体"/>
                <w:lang w:val="en-US" w:eastAsia="zh-CN"/>
              </w:rPr>
            </w:pPr>
            <w:r>
              <w:rPr>
                <w:rFonts w:hint="eastAsia"/>
                <w:lang w:val="en-US" w:eastAsia="zh-CN"/>
              </w:rPr>
              <w:t>95.1204</w:t>
            </w:r>
          </w:p>
        </w:tc>
        <w:tc>
          <w:tcPr>
            <w:tcW w:w="573" w:type="pct"/>
            <w:vAlign w:val="center"/>
          </w:tcPr>
          <w:p w14:paraId="68AA0D08">
            <w:pPr>
              <w:pStyle w:val="75"/>
            </w:pPr>
            <w:r>
              <w:rPr>
                <w:rFonts w:hint="eastAsia"/>
              </w:rPr>
              <w:t>蒸发系统</w:t>
            </w:r>
          </w:p>
        </w:tc>
        <w:tc>
          <w:tcPr>
            <w:tcW w:w="301" w:type="pct"/>
            <w:vAlign w:val="center"/>
          </w:tcPr>
          <w:p w14:paraId="5EC2E849">
            <w:pPr>
              <w:pStyle w:val="75"/>
              <w:rPr>
                <w:kern w:val="2"/>
              </w:rPr>
            </w:pPr>
            <w:r>
              <w:rPr>
                <w:rFonts w:hint="eastAsia"/>
                <w:kern w:val="2"/>
              </w:rPr>
              <w:t>液态</w:t>
            </w:r>
          </w:p>
        </w:tc>
        <w:tc>
          <w:tcPr>
            <w:tcW w:w="335" w:type="pct"/>
            <w:vAlign w:val="center"/>
          </w:tcPr>
          <w:p w14:paraId="76562670">
            <w:pPr>
              <w:pStyle w:val="75"/>
            </w:pPr>
            <w:r>
              <w:rPr>
                <w:rFonts w:hint="eastAsia" w:ascii="宋体" w:hAnsi="宋体"/>
              </w:rPr>
              <w:t>结晶盐</w:t>
            </w:r>
          </w:p>
        </w:tc>
        <w:tc>
          <w:tcPr>
            <w:tcW w:w="335" w:type="pct"/>
            <w:vAlign w:val="center"/>
          </w:tcPr>
          <w:p w14:paraId="620D826F">
            <w:pPr>
              <w:pStyle w:val="75"/>
            </w:pPr>
            <w:r>
              <w:rPr>
                <w:rFonts w:hint="eastAsia"/>
              </w:rPr>
              <w:t>镍、铬</w:t>
            </w:r>
          </w:p>
        </w:tc>
        <w:tc>
          <w:tcPr>
            <w:tcW w:w="390" w:type="pct"/>
            <w:vAlign w:val="center"/>
          </w:tcPr>
          <w:p w14:paraId="3B51BDF5">
            <w:pPr>
              <w:pStyle w:val="75"/>
              <w:rPr>
                <w:kern w:val="2"/>
              </w:rPr>
            </w:pPr>
            <w:r>
              <w:rPr>
                <w:rFonts w:hint="eastAsia"/>
                <w:kern w:val="2"/>
              </w:rPr>
              <w:t>连续</w:t>
            </w:r>
          </w:p>
        </w:tc>
        <w:tc>
          <w:tcPr>
            <w:tcW w:w="367" w:type="pct"/>
            <w:vAlign w:val="center"/>
          </w:tcPr>
          <w:p w14:paraId="49F12D7B">
            <w:pPr>
              <w:pStyle w:val="75"/>
              <w:rPr>
                <w:kern w:val="2"/>
              </w:rPr>
            </w:pPr>
            <w:r>
              <w:rPr>
                <w:rFonts w:hint="eastAsia"/>
                <w:kern w:val="2"/>
              </w:rPr>
              <w:t>T</w:t>
            </w:r>
          </w:p>
        </w:tc>
        <w:tc>
          <w:tcPr>
            <w:tcW w:w="337" w:type="pct"/>
            <w:vMerge w:val="continue"/>
            <w:vAlign w:val="center"/>
          </w:tcPr>
          <w:p w14:paraId="446A9A7B">
            <w:pPr>
              <w:pStyle w:val="75"/>
              <w:rPr>
                <w:kern w:val="2"/>
              </w:rPr>
            </w:pPr>
          </w:p>
        </w:tc>
      </w:tr>
    </w:tbl>
    <w:p w14:paraId="42D13D77">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3.6-25</w:t>
      </w:r>
      <w:r>
        <w:rPr>
          <w:rFonts w:hint="eastAsia" w:ascii="Times New Roman" w:hAnsi="Times New Roman" w:eastAsia="宋体" w:cs="Times New Roman"/>
          <w:color w:val="000000" w:themeColor="text1"/>
          <w:sz w:val="24"/>
          <w:highlight w:val="none"/>
          <w14:textFill>
            <w14:solidFill>
              <w14:schemeClr w14:val="tx1"/>
            </w14:solidFill>
          </w14:textFill>
        </w:rPr>
        <w:t xml:space="preserve">  </w:t>
      </w:r>
      <w:r>
        <w:rPr>
          <w:rFonts w:hint="eastAsia" w:cs="Times New Roman"/>
          <w:color w:val="000000" w:themeColor="text1"/>
          <w:sz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highlight w:val="none"/>
          <w14:textFill>
            <w14:solidFill>
              <w14:schemeClr w14:val="tx1"/>
            </w14:solidFill>
          </w14:textFill>
        </w:rPr>
        <w:t>危险废物贮存场所（设施）基本情况表</w:t>
      </w:r>
    </w:p>
    <w:tbl>
      <w:tblPr>
        <w:tblStyle w:val="3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567"/>
        <w:gridCol w:w="830"/>
        <w:gridCol w:w="1512"/>
        <w:gridCol w:w="841"/>
        <w:gridCol w:w="1260"/>
        <w:gridCol w:w="560"/>
        <w:gridCol w:w="699"/>
        <w:gridCol w:w="701"/>
        <w:gridCol w:w="653"/>
        <w:gridCol w:w="802"/>
      </w:tblGrid>
      <w:tr w14:paraId="38AA9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336" w:type="pct"/>
            <w:vAlign w:val="center"/>
          </w:tcPr>
          <w:p w14:paraId="702FE4CE">
            <w:pPr>
              <w:pStyle w:val="81"/>
              <w:rPr>
                <w:color w:val="auto"/>
                <w:lang w:eastAsia="en-US"/>
              </w:rPr>
            </w:pPr>
            <w:r>
              <w:rPr>
                <w:rFonts w:hint="eastAsia"/>
                <w:color w:val="auto"/>
              </w:rPr>
              <w:t>序号</w:t>
            </w:r>
          </w:p>
        </w:tc>
        <w:tc>
          <w:tcPr>
            <w:tcW w:w="492" w:type="pct"/>
            <w:vAlign w:val="center"/>
          </w:tcPr>
          <w:p w14:paraId="7869A639">
            <w:pPr>
              <w:pStyle w:val="81"/>
              <w:rPr>
                <w:color w:val="auto"/>
              </w:rPr>
            </w:pPr>
            <w:r>
              <w:rPr>
                <w:rFonts w:hint="eastAsia"/>
                <w:color w:val="auto"/>
              </w:rPr>
              <w:t>贮存场所(设施)名称</w:t>
            </w:r>
          </w:p>
        </w:tc>
        <w:tc>
          <w:tcPr>
            <w:tcW w:w="897" w:type="pct"/>
            <w:vAlign w:val="center"/>
          </w:tcPr>
          <w:p w14:paraId="081ACE6C">
            <w:pPr>
              <w:pStyle w:val="81"/>
              <w:rPr>
                <w:color w:val="auto"/>
                <w:lang w:eastAsia="en-US"/>
              </w:rPr>
            </w:pPr>
            <w:r>
              <w:rPr>
                <w:rFonts w:hint="eastAsia"/>
                <w:color w:val="auto"/>
              </w:rPr>
              <w:t>危险废物名称</w:t>
            </w:r>
          </w:p>
        </w:tc>
        <w:tc>
          <w:tcPr>
            <w:tcW w:w="499" w:type="pct"/>
            <w:vAlign w:val="center"/>
          </w:tcPr>
          <w:p w14:paraId="076DC680">
            <w:pPr>
              <w:pStyle w:val="81"/>
              <w:rPr>
                <w:color w:val="auto"/>
                <w:lang w:eastAsia="en-US"/>
              </w:rPr>
            </w:pPr>
            <w:r>
              <w:rPr>
                <w:rFonts w:hint="eastAsia"/>
                <w:color w:val="auto"/>
              </w:rPr>
              <w:t>危险废物类别</w:t>
            </w:r>
          </w:p>
        </w:tc>
        <w:tc>
          <w:tcPr>
            <w:tcW w:w="747" w:type="pct"/>
            <w:vAlign w:val="center"/>
          </w:tcPr>
          <w:p w14:paraId="1964D7FF">
            <w:pPr>
              <w:pStyle w:val="81"/>
              <w:rPr>
                <w:color w:val="auto"/>
                <w:lang w:eastAsia="en-US"/>
              </w:rPr>
            </w:pPr>
            <w:r>
              <w:rPr>
                <w:rFonts w:hint="eastAsia"/>
                <w:color w:val="auto"/>
              </w:rPr>
              <w:t>危险废物代码</w:t>
            </w:r>
          </w:p>
        </w:tc>
        <w:tc>
          <w:tcPr>
            <w:tcW w:w="332" w:type="pct"/>
            <w:vAlign w:val="center"/>
          </w:tcPr>
          <w:p w14:paraId="4CBF0DA7">
            <w:pPr>
              <w:pStyle w:val="81"/>
              <w:rPr>
                <w:color w:val="auto"/>
                <w:lang w:eastAsia="en-US"/>
              </w:rPr>
            </w:pPr>
            <w:r>
              <w:rPr>
                <w:rFonts w:hint="eastAsia"/>
                <w:color w:val="auto"/>
              </w:rPr>
              <w:t>位置</w:t>
            </w:r>
          </w:p>
        </w:tc>
        <w:tc>
          <w:tcPr>
            <w:tcW w:w="414" w:type="pct"/>
            <w:vAlign w:val="center"/>
          </w:tcPr>
          <w:p w14:paraId="587BAC76">
            <w:pPr>
              <w:pStyle w:val="81"/>
              <w:rPr>
                <w:color w:val="auto"/>
              </w:rPr>
            </w:pPr>
            <w:r>
              <w:rPr>
                <w:rFonts w:hint="eastAsia"/>
                <w:color w:val="auto"/>
              </w:rPr>
              <w:t>占地</w:t>
            </w:r>
          </w:p>
          <w:p w14:paraId="1B94212E">
            <w:pPr>
              <w:pStyle w:val="81"/>
              <w:rPr>
                <w:color w:val="auto"/>
                <w:lang w:eastAsia="en-US"/>
              </w:rPr>
            </w:pPr>
            <w:r>
              <w:rPr>
                <w:rFonts w:hint="eastAsia"/>
                <w:color w:val="auto"/>
              </w:rPr>
              <w:t>面积</w:t>
            </w:r>
          </w:p>
        </w:tc>
        <w:tc>
          <w:tcPr>
            <w:tcW w:w="416" w:type="pct"/>
            <w:vAlign w:val="center"/>
          </w:tcPr>
          <w:p w14:paraId="1CC9B449">
            <w:pPr>
              <w:pStyle w:val="81"/>
              <w:rPr>
                <w:color w:val="auto"/>
                <w:lang w:eastAsia="en-US"/>
              </w:rPr>
            </w:pPr>
            <w:r>
              <w:rPr>
                <w:rFonts w:hint="eastAsia"/>
                <w:color w:val="auto"/>
              </w:rPr>
              <w:t>贮存方式</w:t>
            </w:r>
          </w:p>
        </w:tc>
        <w:tc>
          <w:tcPr>
            <w:tcW w:w="387" w:type="pct"/>
            <w:vAlign w:val="center"/>
          </w:tcPr>
          <w:p w14:paraId="01160E71">
            <w:pPr>
              <w:pStyle w:val="81"/>
              <w:rPr>
                <w:color w:val="auto"/>
              </w:rPr>
            </w:pPr>
            <w:r>
              <w:rPr>
                <w:rFonts w:hint="eastAsia"/>
                <w:color w:val="auto"/>
              </w:rPr>
              <w:t>贮存能力</w:t>
            </w:r>
          </w:p>
        </w:tc>
        <w:tc>
          <w:tcPr>
            <w:tcW w:w="475" w:type="pct"/>
            <w:vAlign w:val="center"/>
          </w:tcPr>
          <w:p w14:paraId="4634C830">
            <w:pPr>
              <w:pStyle w:val="81"/>
              <w:rPr>
                <w:color w:val="auto"/>
                <w:lang w:eastAsia="en-US"/>
              </w:rPr>
            </w:pPr>
            <w:r>
              <w:rPr>
                <w:rFonts w:hint="eastAsia"/>
                <w:color w:val="auto"/>
              </w:rPr>
              <w:t>贮存</w:t>
            </w:r>
          </w:p>
          <w:p w14:paraId="71F0A9AF">
            <w:pPr>
              <w:pStyle w:val="81"/>
              <w:rPr>
                <w:color w:val="auto"/>
                <w:lang w:eastAsia="en-US"/>
              </w:rPr>
            </w:pPr>
            <w:r>
              <w:rPr>
                <w:rFonts w:hint="eastAsia"/>
                <w:color w:val="auto"/>
              </w:rPr>
              <w:t>周期</w:t>
            </w:r>
          </w:p>
        </w:tc>
      </w:tr>
      <w:tr w14:paraId="59ED72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03A894E8">
            <w:pPr>
              <w:pStyle w:val="75"/>
              <w:rPr>
                <w:kern w:val="2"/>
                <w:lang w:eastAsia="en-US"/>
              </w:rPr>
            </w:pPr>
            <w:r>
              <w:rPr>
                <w:kern w:val="2"/>
              </w:rPr>
              <w:t>1</w:t>
            </w:r>
          </w:p>
        </w:tc>
        <w:tc>
          <w:tcPr>
            <w:tcW w:w="492" w:type="pct"/>
            <w:vMerge w:val="restart"/>
            <w:vAlign w:val="center"/>
          </w:tcPr>
          <w:p w14:paraId="7565432C">
            <w:pPr>
              <w:pStyle w:val="75"/>
              <w:rPr>
                <w:rFonts w:hint="eastAsia" w:eastAsia="宋体"/>
                <w:kern w:val="2"/>
                <w:lang w:eastAsia="zh-CN"/>
              </w:rPr>
            </w:pPr>
            <w:r>
              <w:rPr>
                <w:rFonts w:hint="eastAsia"/>
                <w:kern w:val="2"/>
              </w:rPr>
              <w:t>危废</w:t>
            </w:r>
            <w:r>
              <w:rPr>
                <w:rFonts w:hint="eastAsia"/>
                <w:kern w:val="2"/>
                <w:lang w:val="en-US" w:eastAsia="zh-CN"/>
              </w:rPr>
              <w:t>暂存间</w:t>
            </w:r>
          </w:p>
        </w:tc>
        <w:tc>
          <w:tcPr>
            <w:tcW w:w="897" w:type="pct"/>
            <w:vAlign w:val="center"/>
          </w:tcPr>
          <w:p w14:paraId="48CEE658">
            <w:pPr>
              <w:pStyle w:val="75"/>
            </w:pPr>
            <w:r>
              <w:rPr>
                <w:rFonts w:hint="eastAsia"/>
              </w:rPr>
              <w:t>废包装物</w:t>
            </w:r>
          </w:p>
        </w:tc>
        <w:tc>
          <w:tcPr>
            <w:tcW w:w="499" w:type="pct"/>
            <w:vAlign w:val="center"/>
          </w:tcPr>
          <w:p w14:paraId="4467A572">
            <w:pPr>
              <w:pStyle w:val="75"/>
              <w:rPr>
                <w:spacing w:val="-6"/>
                <w:kern w:val="2"/>
              </w:rPr>
            </w:pPr>
            <w:r>
              <w:rPr>
                <w:spacing w:val="-6"/>
                <w:kern w:val="2"/>
              </w:rPr>
              <w:t>HW49</w:t>
            </w:r>
          </w:p>
        </w:tc>
        <w:tc>
          <w:tcPr>
            <w:tcW w:w="747" w:type="pct"/>
            <w:vAlign w:val="center"/>
          </w:tcPr>
          <w:p w14:paraId="5742DA55">
            <w:pPr>
              <w:pStyle w:val="75"/>
              <w:rPr>
                <w:kern w:val="2"/>
              </w:rPr>
            </w:pPr>
            <w:r>
              <w:rPr>
                <w:kern w:val="2"/>
              </w:rPr>
              <w:t>900-041-49</w:t>
            </w:r>
          </w:p>
        </w:tc>
        <w:tc>
          <w:tcPr>
            <w:tcW w:w="332" w:type="pct"/>
            <w:vMerge w:val="restart"/>
            <w:vAlign w:val="center"/>
          </w:tcPr>
          <w:p w14:paraId="3ABED981">
            <w:pPr>
              <w:pStyle w:val="75"/>
              <w:rPr>
                <w:kern w:val="2"/>
              </w:rPr>
            </w:pPr>
            <w:r>
              <w:rPr>
                <w:rFonts w:hint="eastAsia"/>
                <w:kern w:val="2"/>
              </w:rPr>
              <w:t>厂区</w:t>
            </w:r>
            <w:r>
              <w:rPr>
                <w:rFonts w:hint="eastAsia"/>
                <w:kern w:val="2"/>
                <w:lang w:val="en-US" w:eastAsia="zh-CN"/>
              </w:rPr>
              <w:t>东</w:t>
            </w:r>
            <w:r>
              <w:rPr>
                <w:rFonts w:hint="eastAsia"/>
                <w:kern w:val="2"/>
              </w:rPr>
              <w:t>南角</w:t>
            </w:r>
          </w:p>
        </w:tc>
        <w:tc>
          <w:tcPr>
            <w:tcW w:w="414" w:type="pct"/>
            <w:vMerge w:val="restart"/>
            <w:vAlign w:val="center"/>
          </w:tcPr>
          <w:p w14:paraId="46AAEF8C">
            <w:pPr>
              <w:pStyle w:val="75"/>
              <w:rPr>
                <w:bCs/>
                <w:kern w:val="2"/>
                <w:lang w:eastAsia="en-US"/>
              </w:rPr>
            </w:pPr>
            <w:r>
              <w:rPr>
                <w:rFonts w:hint="eastAsia"/>
                <w:bCs/>
                <w:kern w:val="2"/>
              </w:rPr>
              <w:t>50</w:t>
            </w:r>
            <w:r>
              <w:rPr>
                <w:bCs/>
                <w:kern w:val="2"/>
                <w:lang w:eastAsia="en-US"/>
              </w:rPr>
              <w:t>m</w:t>
            </w:r>
            <w:r>
              <w:rPr>
                <w:bCs/>
                <w:kern w:val="2"/>
                <w:vertAlign w:val="superscript"/>
                <w:lang w:eastAsia="en-US"/>
              </w:rPr>
              <w:t>2</w:t>
            </w:r>
          </w:p>
        </w:tc>
        <w:tc>
          <w:tcPr>
            <w:tcW w:w="416" w:type="pct"/>
            <w:vAlign w:val="center"/>
          </w:tcPr>
          <w:p w14:paraId="26B4A4DA">
            <w:pPr>
              <w:pStyle w:val="75"/>
              <w:rPr>
                <w:kern w:val="2"/>
              </w:rPr>
            </w:pPr>
            <w:r>
              <w:rPr>
                <w:rFonts w:hint="eastAsia"/>
                <w:kern w:val="2"/>
              </w:rPr>
              <w:t>袋装</w:t>
            </w:r>
          </w:p>
        </w:tc>
        <w:tc>
          <w:tcPr>
            <w:tcW w:w="387" w:type="pct"/>
            <w:vAlign w:val="center"/>
          </w:tcPr>
          <w:p w14:paraId="7B25149C">
            <w:pPr>
              <w:pStyle w:val="75"/>
            </w:pPr>
            <w:r>
              <w:rPr>
                <w:rFonts w:hint="eastAsia"/>
              </w:rPr>
              <w:t>1</w:t>
            </w:r>
            <w:r>
              <w:t>t</w:t>
            </w:r>
          </w:p>
        </w:tc>
        <w:tc>
          <w:tcPr>
            <w:tcW w:w="475" w:type="pct"/>
            <w:vAlign w:val="center"/>
          </w:tcPr>
          <w:p w14:paraId="5894A792">
            <w:pPr>
              <w:pStyle w:val="75"/>
              <w:rPr>
                <w:kern w:val="2"/>
              </w:rPr>
            </w:pPr>
            <w:r>
              <w:rPr>
                <w:rFonts w:hint="eastAsia"/>
                <w:kern w:val="2"/>
              </w:rPr>
              <w:t>1个月</w:t>
            </w:r>
          </w:p>
        </w:tc>
      </w:tr>
      <w:tr w14:paraId="632436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6CA4528B">
            <w:pPr>
              <w:pStyle w:val="75"/>
              <w:rPr>
                <w:kern w:val="2"/>
              </w:rPr>
            </w:pPr>
            <w:r>
              <w:rPr>
                <w:rFonts w:hint="eastAsia"/>
                <w:kern w:val="2"/>
              </w:rPr>
              <w:t>2</w:t>
            </w:r>
          </w:p>
        </w:tc>
        <w:tc>
          <w:tcPr>
            <w:tcW w:w="492" w:type="pct"/>
            <w:vMerge w:val="continue"/>
            <w:vAlign w:val="center"/>
          </w:tcPr>
          <w:p w14:paraId="76FF8AC4">
            <w:pPr>
              <w:pStyle w:val="75"/>
              <w:rPr>
                <w:kern w:val="2"/>
              </w:rPr>
            </w:pPr>
          </w:p>
        </w:tc>
        <w:tc>
          <w:tcPr>
            <w:tcW w:w="897" w:type="pct"/>
            <w:vAlign w:val="center"/>
          </w:tcPr>
          <w:p w14:paraId="447B6D2D">
            <w:pPr>
              <w:pStyle w:val="75"/>
            </w:pPr>
            <w:r>
              <w:rPr>
                <w:rFonts w:hint="eastAsia"/>
              </w:rPr>
              <w:t>废液压油</w:t>
            </w:r>
          </w:p>
        </w:tc>
        <w:tc>
          <w:tcPr>
            <w:tcW w:w="499" w:type="pct"/>
            <w:vAlign w:val="center"/>
          </w:tcPr>
          <w:p w14:paraId="4E182772">
            <w:pPr>
              <w:pStyle w:val="75"/>
              <w:rPr>
                <w:spacing w:val="-6"/>
                <w:kern w:val="2"/>
              </w:rPr>
            </w:pPr>
            <w:r>
              <w:rPr>
                <w:rFonts w:hint="eastAsia"/>
              </w:rPr>
              <w:t>HW08</w:t>
            </w:r>
          </w:p>
        </w:tc>
        <w:tc>
          <w:tcPr>
            <w:tcW w:w="747" w:type="pct"/>
            <w:vAlign w:val="center"/>
          </w:tcPr>
          <w:p w14:paraId="0FAE20ED">
            <w:pPr>
              <w:pStyle w:val="75"/>
              <w:rPr>
                <w:spacing w:val="-6"/>
                <w:kern w:val="2"/>
              </w:rPr>
            </w:pPr>
            <w:r>
              <w:rPr>
                <w:rFonts w:hint="eastAsia"/>
              </w:rPr>
              <w:t>900-218-08</w:t>
            </w:r>
          </w:p>
        </w:tc>
        <w:tc>
          <w:tcPr>
            <w:tcW w:w="332" w:type="pct"/>
            <w:vMerge w:val="continue"/>
            <w:vAlign w:val="center"/>
          </w:tcPr>
          <w:p w14:paraId="2631D5C7">
            <w:pPr>
              <w:pStyle w:val="75"/>
              <w:rPr>
                <w:kern w:val="2"/>
              </w:rPr>
            </w:pPr>
          </w:p>
        </w:tc>
        <w:tc>
          <w:tcPr>
            <w:tcW w:w="414" w:type="pct"/>
            <w:vMerge w:val="continue"/>
            <w:vAlign w:val="center"/>
          </w:tcPr>
          <w:p w14:paraId="60E2F72D">
            <w:pPr>
              <w:pStyle w:val="75"/>
              <w:rPr>
                <w:bCs/>
                <w:kern w:val="2"/>
              </w:rPr>
            </w:pPr>
          </w:p>
        </w:tc>
        <w:tc>
          <w:tcPr>
            <w:tcW w:w="416" w:type="pct"/>
            <w:vAlign w:val="center"/>
          </w:tcPr>
          <w:p w14:paraId="7E3168EA">
            <w:pPr>
              <w:pStyle w:val="75"/>
              <w:rPr>
                <w:kern w:val="2"/>
              </w:rPr>
            </w:pPr>
            <w:r>
              <w:rPr>
                <w:rFonts w:hint="eastAsia"/>
                <w:kern w:val="2"/>
              </w:rPr>
              <w:t>桶装</w:t>
            </w:r>
          </w:p>
        </w:tc>
        <w:tc>
          <w:tcPr>
            <w:tcW w:w="387" w:type="pct"/>
            <w:vAlign w:val="center"/>
          </w:tcPr>
          <w:p w14:paraId="4892C49B">
            <w:pPr>
              <w:pStyle w:val="75"/>
            </w:pPr>
            <w:r>
              <w:rPr>
                <w:rFonts w:hint="eastAsia"/>
              </w:rPr>
              <w:t>3</w:t>
            </w:r>
            <w:r>
              <w:t>t</w:t>
            </w:r>
          </w:p>
        </w:tc>
        <w:tc>
          <w:tcPr>
            <w:tcW w:w="475" w:type="pct"/>
            <w:vAlign w:val="center"/>
          </w:tcPr>
          <w:p w14:paraId="418D41DB">
            <w:pPr>
              <w:pStyle w:val="75"/>
              <w:rPr>
                <w:kern w:val="2"/>
              </w:rPr>
            </w:pPr>
            <w:r>
              <w:rPr>
                <w:rFonts w:hint="eastAsia"/>
                <w:kern w:val="2"/>
              </w:rPr>
              <w:t>半年</w:t>
            </w:r>
          </w:p>
        </w:tc>
      </w:tr>
      <w:tr w14:paraId="1E8068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464CA4BB">
            <w:pPr>
              <w:pStyle w:val="75"/>
              <w:rPr>
                <w:kern w:val="2"/>
              </w:rPr>
            </w:pPr>
            <w:r>
              <w:rPr>
                <w:rFonts w:hint="eastAsia"/>
                <w:kern w:val="2"/>
              </w:rPr>
              <w:t>3</w:t>
            </w:r>
          </w:p>
        </w:tc>
        <w:tc>
          <w:tcPr>
            <w:tcW w:w="492" w:type="pct"/>
            <w:vMerge w:val="continue"/>
            <w:vAlign w:val="center"/>
          </w:tcPr>
          <w:p w14:paraId="0558822A">
            <w:pPr>
              <w:pStyle w:val="75"/>
              <w:rPr>
                <w:kern w:val="2"/>
              </w:rPr>
            </w:pPr>
          </w:p>
        </w:tc>
        <w:tc>
          <w:tcPr>
            <w:tcW w:w="897" w:type="pct"/>
            <w:vAlign w:val="center"/>
          </w:tcPr>
          <w:p w14:paraId="2F862BC6">
            <w:pPr>
              <w:pStyle w:val="75"/>
            </w:pPr>
            <w:r>
              <w:rPr>
                <w:rFonts w:hint="eastAsia"/>
              </w:rPr>
              <w:t>废滤芯和废活性炭</w:t>
            </w:r>
          </w:p>
        </w:tc>
        <w:tc>
          <w:tcPr>
            <w:tcW w:w="499" w:type="pct"/>
            <w:vAlign w:val="center"/>
          </w:tcPr>
          <w:p w14:paraId="494A0C58">
            <w:pPr>
              <w:pStyle w:val="75"/>
              <w:rPr>
                <w:spacing w:val="-6"/>
                <w:kern w:val="2"/>
              </w:rPr>
            </w:pPr>
            <w:r>
              <w:rPr>
                <w:rFonts w:hint="eastAsia"/>
                <w:spacing w:val="-6"/>
                <w:kern w:val="2"/>
              </w:rPr>
              <w:t>HW49</w:t>
            </w:r>
          </w:p>
        </w:tc>
        <w:tc>
          <w:tcPr>
            <w:tcW w:w="747" w:type="pct"/>
            <w:vAlign w:val="center"/>
          </w:tcPr>
          <w:p w14:paraId="38C85566">
            <w:pPr>
              <w:pStyle w:val="75"/>
              <w:rPr>
                <w:spacing w:val="-6"/>
                <w:kern w:val="2"/>
              </w:rPr>
            </w:pPr>
            <w:r>
              <w:rPr>
                <w:rFonts w:hint="eastAsia"/>
                <w:spacing w:val="-6"/>
                <w:kern w:val="2"/>
              </w:rPr>
              <w:t>900-041-49</w:t>
            </w:r>
          </w:p>
        </w:tc>
        <w:tc>
          <w:tcPr>
            <w:tcW w:w="332" w:type="pct"/>
            <w:vMerge w:val="continue"/>
            <w:vAlign w:val="center"/>
          </w:tcPr>
          <w:p w14:paraId="78810431">
            <w:pPr>
              <w:pStyle w:val="75"/>
              <w:rPr>
                <w:kern w:val="2"/>
              </w:rPr>
            </w:pPr>
          </w:p>
        </w:tc>
        <w:tc>
          <w:tcPr>
            <w:tcW w:w="414" w:type="pct"/>
            <w:vMerge w:val="continue"/>
            <w:vAlign w:val="center"/>
          </w:tcPr>
          <w:p w14:paraId="088AB95A">
            <w:pPr>
              <w:pStyle w:val="75"/>
              <w:rPr>
                <w:bCs/>
                <w:kern w:val="2"/>
              </w:rPr>
            </w:pPr>
          </w:p>
        </w:tc>
        <w:tc>
          <w:tcPr>
            <w:tcW w:w="416" w:type="pct"/>
            <w:vAlign w:val="center"/>
          </w:tcPr>
          <w:p w14:paraId="4CF55463">
            <w:pPr>
              <w:pStyle w:val="75"/>
              <w:rPr>
                <w:kern w:val="2"/>
              </w:rPr>
            </w:pPr>
            <w:r>
              <w:rPr>
                <w:rFonts w:hint="eastAsia"/>
                <w:kern w:val="2"/>
              </w:rPr>
              <w:t>袋装</w:t>
            </w:r>
          </w:p>
        </w:tc>
        <w:tc>
          <w:tcPr>
            <w:tcW w:w="387" w:type="pct"/>
            <w:vAlign w:val="center"/>
          </w:tcPr>
          <w:p w14:paraId="7AB3379F">
            <w:pPr>
              <w:pStyle w:val="75"/>
            </w:pPr>
            <w:r>
              <w:rPr>
                <w:rFonts w:hint="eastAsia"/>
              </w:rPr>
              <w:t>2</w:t>
            </w:r>
            <w:r>
              <w:t>t</w:t>
            </w:r>
          </w:p>
        </w:tc>
        <w:tc>
          <w:tcPr>
            <w:tcW w:w="475" w:type="pct"/>
            <w:vAlign w:val="center"/>
          </w:tcPr>
          <w:p w14:paraId="4869D0E9">
            <w:pPr>
              <w:pStyle w:val="75"/>
              <w:rPr>
                <w:kern w:val="2"/>
              </w:rPr>
            </w:pPr>
            <w:r>
              <w:rPr>
                <w:rFonts w:hint="eastAsia"/>
                <w:kern w:val="2"/>
              </w:rPr>
              <w:t>1年</w:t>
            </w:r>
          </w:p>
        </w:tc>
      </w:tr>
      <w:tr w14:paraId="5A468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29510363">
            <w:pPr>
              <w:pStyle w:val="75"/>
              <w:rPr>
                <w:kern w:val="2"/>
              </w:rPr>
            </w:pPr>
            <w:r>
              <w:rPr>
                <w:rFonts w:hint="eastAsia"/>
                <w:kern w:val="2"/>
              </w:rPr>
              <w:t>4</w:t>
            </w:r>
          </w:p>
        </w:tc>
        <w:tc>
          <w:tcPr>
            <w:tcW w:w="492" w:type="pct"/>
            <w:vMerge w:val="continue"/>
            <w:vAlign w:val="center"/>
          </w:tcPr>
          <w:p w14:paraId="23FBAF0E">
            <w:pPr>
              <w:pStyle w:val="75"/>
              <w:rPr>
                <w:kern w:val="2"/>
              </w:rPr>
            </w:pPr>
          </w:p>
        </w:tc>
        <w:tc>
          <w:tcPr>
            <w:tcW w:w="897" w:type="pct"/>
            <w:vAlign w:val="center"/>
          </w:tcPr>
          <w:p w14:paraId="09776782">
            <w:pPr>
              <w:pStyle w:val="75"/>
            </w:pPr>
            <w:r>
              <w:rPr>
                <w:rFonts w:hint="eastAsia"/>
              </w:rPr>
              <w:t>废槽</w:t>
            </w:r>
            <w:r>
              <w:t>渣</w:t>
            </w:r>
          </w:p>
        </w:tc>
        <w:tc>
          <w:tcPr>
            <w:tcW w:w="499" w:type="pct"/>
            <w:vAlign w:val="center"/>
          </w:tcPr>
          <w:p w14:paraId="44CA9B47">
            <w:pPr>
              <w:pStyle w:val="75"/>
              <w:rPr>
                <w:spacing w:val="-6"/>
                <w:kern w:val="2"/>
              </w:rPr>
            </w:pPr>
            <w:r>
              <w:rPr>
                <w:rFonts w:hint="eastAsia"/>
                <w:spacing w:val="-6"/>
                <w:kern w:val="2"/>
              </w:rPr>
              <w:t>HW17</w:t>
            </w:r>
          </w:p>
        </w:tc>
        <w:tc>
          <w:tcPr>
            <w:tcW w:w="747" w:type="pct"/>
            <w:vAlign w:val="center"/>
          </w:tcPr>
          <w:p w14:paraId="2BB3BD59">
            <w:pPr>
              <w:pStyle w:val="75"/>
              <w:rPr>
                <w:spacing w:val="-6"/>
                <w:kern w:val="2"/>
              </w:rPr>
            </w:pPr>
            <w:r>
              <w:rPr>
                <w:rFonts w:hint="eastAsia"/>
                <w:spacing w:val="-6"/>
                <w:kern w:val="2"/>
              </w:rPr>
              <w:t>336-054-17</w:t>
            </w:r>
          </w:p>
        </w:tc>
        <w:tc>
          <w:tcPr>
            <w:tcW w:w="332" w:type="pct"/>
            <w:vMerge w:val="continue"/>
            <w:vAlign w:val="center"/>
          </w:tcPr>
          <w:p w14:paraId="2973CEE8">
            <w:pPr>
              <w:pStyle w:val="75"/>
              <w:rPr>
                <w:kern w:val="2"/>
              </w:rPr>
            </w:pPr>
          </w:p>
        </w:tc>
        <w:tc>
          <w:tcPr>
            <w:tcW w:w="414" w:type="pct"/>
            <w:vMerge w:val="continue"/>
            <w:vAlign w:val="center"/>
          </w:tcPr>
          <w:p w14:paraId="5AD5705F">
            <w:pPr>
              <w:pStyle w:val="75"/>
              <w:rPr>
                <w:bCs/>
                <w:kern w:val="2"/>
              </w:rPr>
            </w:pPr>
          </w:p>
        </w:tc>
        <w:tc>
          <w:tcPr>
            <w:tcW w:w="416" w:type="pct"/>
            <w:vAlign w:val="center"/>
          </w:tcPr>
          <w:p w14:paraId="4944E166">
            <w:pPr>
              <w:pStyle w:val="75"/>
              <w:rPr>
                <w:kern w:val="2"/>
              </w:rPr>
            </w:pPr>
            <w:r>
              <w:rPr>
                <w:rFonts w:hint="eastAsia"/>
                <w:kern w:val="2"/>
              </w:rPr>
              <w:t>桶装</w:t>
            </w:r>
          </w:p>
        </w:tc>
        <w:tc>
          <w:tcPr>
            <w:tcW w:w="387" w:type="pct"/>
            <w:vAlign w:val="center"/>
          </w:tcPr>
          <w:p w14:paraId="7287EDAE">
            <w:pPr>
              <w:pStyle w:val="75"/>
            </w:pPr>
            <w:r>
              <w:t>3t</w:t>
            </w:r>
          </w:p>
        </w:tc>
        <w:tc>
          <w:tcPr>
            <w:tcW w:w="475" w:type="pct"/>
            <w:vAlign w:val="center"/>
          </w:tcPr>
          <w:p w14:paraId="63B60E11">
            <w:pPr>
              <w:pStyle w:val="75"/>
              <w:rPr>
                <w:kern w:val="2"/>
              </w:rPr>
            </w:pPr>
            <w:r>
              <w:rPr>
                <w:rFonts w:hint="eastAsia"/>
                <w:kern w:val="2"/>
              </w:rPr>
              <w:t>3个月</w:t>
            </w:r>
          </w:p>
        </w:tc>
      </w:tr>
      <w:tr w14:paraId="0B06E7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355D9A65">
            <w:pPr>
              <w:pStyle w:val="75"/>
              <w:rPr>
                <w:kern w:val="2"/>
              </w:rPr>
            </w:pPr>
            <w:r>
              <w:rPr>
                <w:rFonts w:hint="eastAsia"/>
                <w:kern w:val="2"/>
              </w:rPr>
              <w:t>5</w:t>
            </w:r>
          </w:p>
        </w:tc>
        <w:tc>
          <w:tcPr>
            <w:tcW w:w="492" w:type="pct"/>
            <w:vMerge w:val="continue"/>
            <w:vAlign w:val="center"/>
          </w:tcPr>
          <w:p w14:paraId="62F8E9F5">
            <w:pPr>
              <w:pStyle w:val="75"/>
              <w:rPr>
                <w:kern w:val="2"/>
              </w:rPr>
            </w:pPr>
          </w:p>
        </w:tc>
        <w:tc>
          <w:tcPr>
            <w:tcW w:w="897" w:type="pct"/>
            <w:vAlign w:val="center"/>
          </w:tcPr>
          <w:p w14:paraId="023450F9">
            <w:pPr>
              <w:pStyle w:val="75"/>
            </w:pPr>
            <w:r>
              <w:rPr>
                <w:rFonts w:hint="eastAsia"/>
              </w:rPr>
              <w:t>废油渣</w:t>
            </w:r>
          </w:p>
        </w:tc>
        <w:tc>
          <w:tcPr>
            <w:tcW w:w="499" w:type="pct"/>
            <w:vAlign w:val="center"/>
          </w:tcPr>
          <w:p w14:paraId="2C130253">
            <w:pPr>
              <w:pStyle w:val="75"/>
              <w:rPr>
                <w:spacing w:val="-6"/>
                <w:kern w:val="2"/>
              </w:rPr>
            </w:pPr>
            <w:r>
              <w:rPr>
                <w:rFonts w:hint="eastAsia"/>
              </w:rPr>
              <w:t>HW08</w:t>
            </w:r>
          </w:p>
        </w:tc>
        <w:tc>
          <w:tcPr>
            <w:tcW w:w="747" w:type="pct"/>
            <w:vAlign w:val="center"/>
          </w:tcPr>
          <w:p w14:paraId="704D07E3">
            <w:pPr>
              <w:pStyle w:val="75"/>
              <w:rPr>
                <w:spacing w:val="-6"/>
                <w:kern w:val="2"/>
              </w:rPr>
            </w:pPr>
            <w:r>
              <w:rPr>
                <w:rFonts w:hint="eastAsia"/>
                <w:spacing w:val="-6"/>
                <w:kern w:val="2"/>
              </w:rPr>
              <w:t>900-210-08</w:t>
            </w:r>
          </w:p>
        </w:tc>
        <w:tc>
          <w:tcPr>
            <w:tcW w:w="332" w:type="pct"/>
            <w:vMerge w:val="continue"/>
            <w:vAlign w:val="center"/>
          </w:tcPr>
          <w:p w14:paraId="56348939">
            <w:pPr>
              <w:pStyle w:val="75"/>
              <w:rPr>
                <w:kern w:val="2"/>
              </w:rPr>
            </w:pPr>
          </w:p>
        </w:tc>
        <w:tc>
          <w:tcPr>
            <w:tcW w:w="414" w:type="pct"/>
            <w:vMerge w:val="continue"/>
            <w:vAlign w:val="center"/>
          </w:tcPr>
          <w:p w14:paraId="38812FFE">
            <w:pPr>
              <w:pStyle w:val="75"/>
              <w:rPr>
                <w:bCs/>
                <w:kern w:val="2"/>
              </w:rPr>
            </w:pPr>
          </w:p>
        </w:tc>
        <w:tc>
          <w:tcPr>
            <w:tcW w:w="416" w:type="pct"/>
            <w:vAlign w:val="center"/>
          </w:tcPr>
          <w:p w14:paraId="4F1AE669">
            <w:pPr>
              <w:pStyle w:val="75"/>
              <w:rPr>
                <w:kern w:val="2"/>
              </w:rPr>
            </w:pPr>
            <w:r>
              <w:rPr>
                <w:rFonts w:hint="eastAsia"/>
                <w:kern w:val="2"/>
              </w:rPr>
              <w:t>桶装</w:t>
            </w:r>
          </w:p>
        </w:tc>
        <w:tc>
          <w:tcPr>
            <w:tcW w:w="387" w:type="pct"/>
            <w:vAlign w:val="center"/>
          </w:tcPr>
          <w:p w14:paraId="56061A64">
            <w:pPr>
              <w:pStyle w:val="75"/>
            </w:pPr>
            <w:r>
              <w:t>1t</w:t>
            </w:r>
          </w:p>
        </w:tc>
        <w:tc>
          <w:tcPr>
            <w:tcW w:w="475" w:type="pct"/>
            <w:vAlign w:val="center"/>
          </w:tcPr>
          <w:p w14:paraId="432F5CC6">
            <w:pPr>
              <w:pStyle w:val="75"/>
              <w:rPr>
                <w:kern w:val="2"/>
              </w:rPr>
            </w:pPr>
            <w:r>
              <w:rPr>
                <w:rFonts w:hint="eastAsia"/>
                <w:kern w:val="2"/>
              </w:rPr>
              <w:t>3个月</w:t>
            </w:r>
          </w:p>
        </w:tc>
      </w:tr>
      <w:tr w14:paraId="34DB4C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36" w:type="pct"/>
            <w:vAlign w:val="center"/>
          </w:tcPr>
          <w:p w14:paraId="054D24B0">
            <w:pPr>
              <w:pStyle w:val="75"/>
              <w:rPr>
                <w:kern w:val="2"/>
              </w:rPr>
            </w:pPr>
            <w:r>
              <w:rPr>
                <w:rFonts w:hint="eastAsia"/>
                <w:kern w:val="2"/>
              </w:rPr>
              <w:t>6</w:t>
            </w:r>
          </w:p>
        </w:tc>
        <w:tc>
          <w:tcPr>
            <w:tcW w:w="492" w:type="pct"/>
            <w:vMerge w:val="continue"/>
            <w:vAlign w:val="center"/>
          </w:tcPr>
          <w:p w14:paraId="7B852529">
            <w:pPr>
              <w:pStyle w:val="75"/>
              <w:rPr>
                <w:kern w:val="2"/>
              </w:rPr>
            </w:pPr>
          </w:p>
        </w:tc>
        <w:tc>
          <w:tcPr>
            <w:tcW w:w="897" w:type="pct"/>
            <w:vAlign w:val="center"/>
          </w:tcPr>
          <w:p w14:paraId="3DEFA30F">
            <w:pPr>
              <w:pStyle w:val="75"/>
            </w:pPr>
            <w:r>
              <w:t>含</w:t>
            </w:r>
            <w:r>
              <w:rPr>
                <w:rFonts w:hint="eastAsia"/>
              </w:rPr>
              <w:t>镍污泥</w:t>
            </w:r>
          </w:p>
        </w:tc>
        <w:tc>
          <w:tcPr>
            <w:tcW w:w="499" w:type="pct"/>
            <w:vAlign w:val="center"/>
          </w:tcPr>
          <w:p w14:paraId="2D4F5862">
            <w:pPr>
              <w:pStyle w:val="75"/>
              <w:rPr>
                <w:spacing w:val="-6"/>
                <w:kern w:val="2"/>
              </w:rPr>
            </w:pPr>
            <w:r>
              <w:rPr>
                <w:rFonts w:hint="eastAsia"/>
                <w:spacing w:val="-6"/>
                <w:kern w:val="2"/>
              </w:rPr>
              <w:t>HW17</w:t>
            </w:r>
          </w:p>
        </w:tc>
        <w:tc>
          <w:tcPr>
            <w:tcW w:w="747" w:type="pct"/>
            <w:vAlign w:val="center"/>
          </w:tcPr>
          <w:p w14:paraId="57FE6A96">
            <w:pPr>
              <w:pStyle w:val="75"/>
              <w:rPr>
                <w:spacing w:val="-6"/>
                <w:kern w:val="2"/>
              </w:rPr>
            </w:pPr>
            <w:r>
              <w:rPr>
                <w:rFonts w:hint="eastAsia"/>
                <w:spacing w:val="-6"/>
                <w:kern w:val="2"/>
              </w:rPr>
              <w:t>336-054-17</w:t>
            </w:r>
          </w:p>
        </w:tc>
        <w:tc>
          <w:tcPr>
            <w:tcW w:w="332" w:type="pct"/>
            <w:vMerge w:val="continue"/>
            <w:vAlign w:val="center"/>
          </w:tcPr>
          <w:p w14:paraId="564BE52A">
            <w:pPr>
              <w:pStyle w:val="75"/>
              <w:rPr>
                <w:kern w:val="2"/>
              </w:rPr>
            </w:pPr>
          </w:p>
        </w:tc>
        <w:tc>
          <w:tcPr>
            <w:tcW w:w="414" w:type="pct"/>
            <w:vMerge w:val="continue"/>
            <w:vAlign w:val="center"/>
          </w:tcPr>
          <w:p w14:paraId="38A372F2">
            <w:pPr>
              <w:pStyle w:val="75"/>
              <w:rPr>
                <w:bCs/>
                <w:kern w:val="2"/>
              </w:rPr>
            </w:pPr>
          </w:p>
        </w:tc>
        <w:tc>
          <w:tcPr>
            <w:tcW w:w="416" w:type="pct"/>
            <w:vAlign w:val="center"/>
          </w:tcPr>
          <w:p w14:paraId="717D7CF6">
            <w:pPr>
              <w:pStyle w:val="75"/>
              <w:rPr>
                <w:kern w:val="2"/>
              </w:rPr>
            </w:pPr>
            <w:r>
              <w:rPr>
                <w:rFonts w:hint="eastAsia"/>
                <w:kern w:val="2"/>
              </w:rPr>
              <w:t>桶装</w:t>
            </w:r>
          </w:p>
        </w:tc>
        <w:tc>
          <w:tcPr>
            <w:tcW w:w="387" w:type="pct"/>
            <w:vAlign w:val="center"/>
          </w:tcPr>
          <w:p w14:paraId="762FDB68">
            <w:pPr>
              <w:pStyle w:val="75"/>
            </w:pPr>
            <w:r>
              <w:t>20t</w:t>
            </w:r>
          </w:p>
        </w:tc>
        <w:tc>
          <w:tcPr>
            <w:tcW w:w="475" w:type="pct"/>
            <w:vAlign w:val="center"/>
          </w:tcPr>
          <w:p w14:paraId="2501104E">
            <w:pPr>
              <w:pStyle w:val="75"/>
              <w:rPr>
                <w:kern w:val="2"/>
              </w:rPr>
            </w:pPr>
            <w:r>
              <w:rPr>
                <w:kern w:val="2"/>
              </w:rPr>
              <w:t>3</w:t>
            </w:r>
            <w:r>
              <w:rPr>
                <w:rFonts w:hint="eastAsia"/>
                <w:kern w:val="2"/>
              </w:rPr>
              <w:t>个月</w:t>
            </w:r>
          </w:p>
        </w:tc>
      </w:tr>
      <w:tr w14:paraId="7E337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5C2558C8">
            <w:pPr>
              <w:pStyle w:val="75"/>
              <w:rPr>
                <w:kern w:val="2"/>
              </w:rPr>
            </w:pPr>
            <w:r>
              <w:rPr>
                <w:rFonts w:hint="eastAsia"/>
                <w:kern w:val="2"/>
              </w:rPr>
              <w:t>7</w:t>
            </w:r>
          </w:p>
        </w:tc>
        <w:tc>
          <w:tcPr>
            <w:tcW w:w="492" w:type="pct"/>
            <w:vMerge w:val="continue"/>
            <w:vAlign w:val="center"/>
          </w:tcPr>
          <w:p w14:paraId="1FCBC674">
            <w:pPr>
              <w:pStyle w:val="75"/>
              <w:rPr>
                <w:kern w:val="2"/>
              </w:rPr>
            </w:pPr>
          </w:p>
        </w:tc>
        <w:tc>
          <w:tcPr>
            <w:tcW w:w="897" w:type="pct"/>
            <w:vAlign w:val="center"/>
          </w:tcPr>
          <w:p w14:paraId="678902CA">
            <w:pPr>
              <w:pStyle w:val="75"/>
            </w:pPr>
            <w:r>
              <w:t>含</w:t>
            </w:r>
            <w:r>
              <w:rPr>
                <w:rFonts w:hint="eastAsia"/>
              </w:rPr>
              <w:t>镍</w:t>
            </w:r>
            <w:r>
              <w:rPr>
                <w:rFonts w:hint="eastAsia" w:ascii="宋体" w:hAnsi="宋体"/>
              </w:rPr>
              <w:t>废活性炭</w:t>
            </w:r>
          </w:p>
        </w:tc>
        <w:tc>
          <w:tcPr>
            <w:tcW w:w="499" w:type="pct"/>
            <w:vAlign w:val="center"/>
          </w:tcPr>
          <w:p w14:paraId="0E3CF77F">
            <w:pPr>
              <w:pStyle w:val="75"/>
              <w:rPr>
                <w:spacing w:val="-6"/>
                <w:kern w:val="2"/>
              </w:rPr>
            </w:pPr>
            <w:r>
              <w:rPr>
                <w:rFonts w:hint="eastAsia"/>
                <w:spacing w:val="-6"/>
                <w:kern w:val="2"/>
              </w:rPr>
              <w:t>HW49</w:t>
            </w:r>
          </w:p>
        </w:tc>
        <w:tc>
          <w:tcPr>
            <w:tcW w:w="747" w:type="pct"/>
            <w:vAlign w:val="center"/>
          </w:tcPr>
          <w:p w14:paraId="53EF7D21">
            <w:pPr>
              <w:pStyle w:val="75"/>
              <w:rPr>
                <w:spacing w:val="-6"/>
                <w:kern w:val="2"/>
              </w:rPr>
            </w:pPr>
            <w:r>
              <w:rPr>
                <w:rFonts w:hint="eastAsia"/>
                <w:spacing w:val="-6"/>
                <w:kern w:val="2"/>
              </w:rPr>
              <w:t>900-041-49</w:t>
            </w:r>
          </w:p>
        </w:tc>
        <w:tc>
          <w:tcPr>
            <w:tcW w:w="332" w:type="pct"/>
            <w:vMerge w:val="continue"/>
            <w:vAlign w:val="center"/>
          </w:tcPr>
          <w:p w14:paraId="25A04B75">
            <w:pPr>
              <w:pStyle w:val="75"/>
              <w:rPr>
                <w:kern w:val="2"/>
              </w:rPr>
            </w:pPr>
          </w:p>
        </w:tc>
        <w:tc>
          <w:tcPr>
            <w:tcW w:w="414" w:type="pct"/>
            <w:vMerge w:val="continue"/>
            <w:vAlign w:val="center"/>
          </w:tcPr>
          <w:p w14:paraId="117B93A2">
            <w:pPr>
              <w:pStyle w:val="75"/>
              <w:rPr>
                <w:bCs/>
                <w:kern w:val="2"/>
              </w:rPr>
            </w:pPr>
          </w:p>
        </w:tc>
        <w:tc>
          <w:tcPr>
            <w:tcW w:w="416" w:type="pct"/>
            <w:vAlign w:val="center"/>
          </w:tcPr>
          <w:p w14:paraId="4CDB764F">
            <w:pPr>
              <w:pStyle w:val="75"/>
              <w:rPr>
                <w:kern w:val="2"/>
              </w:rPr>
            </w:pPr>
            <w:r>
              <w:rPr>
                <w:rFonts w:hint="eastAsia" w:hAnsi="宋体"/>
                <w:kern w:val="2"/>
              </w:rPr>
              <w:t>桶装</w:t>
            </w:r>
          </w:p>
        </w:tc>
        <w:tc>
          <w:tcPr>
            <w:tcW w:w="387" w:type="pct"/>
            <w:vAlign w:val="center"/>
          </w:tcPr>
          <w:p w14:paraId="1A5680FB">
            <w:pPr>
              <w:pStyle w:val="75"/>
            </w:pPr>
            <w:r>
              <w:rPr>
                <w:rFonts w:hint="eastAsia"/>
              </w:rPr>
              <w:t>0</w:t>
            </w:r>
            <w:r>
              <w:t>.2t</w:t>
            </w:r>
          </w:p>
        </w:tc>
        <w:tc>
          <w:tcPr>
            <w:tcW w:w="475" w:type="pct"/>
            <w:vAlign w:val="center"/>
          </w:tcPr>
          <w:p w14:paraId="039ECD37">
            <w:pPr>
              <w:pStyle w:val="75"/>
              <w:rPr>
                <w:kern w:val="2"/>
              </w:rPr>
            </w:pPr>
            <w:r>
              <w:rPr>
                <w:rFonts w:hint="eastAsia"/>
                <w:kern w:val="2"/>
              </w:rPr>
              <w:t>1年</w:t>
            </w:r>
          </w:p>
        </w:tc>
      </w:tr>
      <w:tr w14:paraId="31DD3A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18031F99">
            <w:pPr>
              <w:pStyle w:val="75"/>
              <w:rPr>
                <w:kern w:val="2"/>
              </w:rPr>
            </w:pPr>
            <w:r>
              <w:rPr>
                <w:rFonts w:hint="eastAsia"/>
                <w:kern w:val="2"/>
              </w:rPr>
              <w:t>8</w:t>
            </w:r>
          </w:p>
        </w:tc>
        <w:tc>
          <w:tcPr>
            <w:tcW w:w="492" w:type="pct"/>
            <w:vMerge w:val="continue"/>
            <w:vAlign w:val="center"/>
          </w:tcPr>
          <w:p w14:paraId="4ADFEDA6">
            <w:pPr>
              <w:pStyle w:val="75"/>
              <w:rPr>
                <w:kern w:val="2"/>
                <w:lang w:eastAsia="en-US"/>
              </w:rPr>
            </w:pPr>
          </w:p>
        </w:tc>
        <w:tc>
          <w:tcPr>
            <w:tcW w:w="897" w:type="pct"/>
            <w:vAlign w:val="center"/>
          </w:tcPr>
          <w:p w14:paraId="0BACD492">
            <w:pPr>
              <w:pStyle w:val="75"/>
            </w:pPr>
            <w:r>
              <w:t>含</w:t>
            </w:r>
            <w:r>
              <w:rPr>
                <w:rFonts w:hint="eastAsia"/>
              </w:rPr>
              <w:t>镍</w:t>
            </w:r>
            <w:r>
              <w:t>废</w:t>
            </w:r>
            <w:r>
              <w:rPr>
                <w:rFonts w:hint="eastAsia"/>
              </w:rPr>
              <w:t>过滤膜</w:t>
            </w:r>
          </w:p>
        </w:tc>
        <w:tc>
          <w:tcPr>
            <w:tcW w:w="499" w:type="pct"/>
            <w:vAlign w:val="center"/>
          </w:tcPr>
          <w:p w14:paraId="0063A1A9">
            <w:pPr>
              <w:pStyle w:val="75"/>
              <w:rPr>
                <w:spacing w:val="-6"/>
                <w:kern w:val="2"/>
              </w:rPr>
            </w:pPr>
            <w:r>
              <w:rPr>
                <w:rFonts w:hint="eastAsia"/>
                <w:spacing w:val="-6"/>
                <w:kern w:val="2"/>
              </w:rPr>
              <w:t>HW49</w:t>
            </w:r>
          </w:p>
        </w:tc>
        <w:tc>
          <w:tcPr>
            <w:tcW w:w="747" w:type="pct"/>
            <w:vAlign w:val="center"/>
          </w:tcPr>
          <w:p w14:paraId="093D81DA">
            <w:pPr>
              <w:pStyle w:val="75"/>
              <w:rPr>
                <w:spacing w:val="-6"/>
                <w:kern w:val="2"/>
              </w:rPr>
            </w:pPr>
            <w:r>
              <w:rPr>
                <w:rFonts w:hint="eastAsia"/>
                <w:spacing w:val="-6"/>
                <w:kern w:val="2"/>
              </w:rPr>
              <w:t>900-041-49</w:t>
            </w:r>
          </w:p>
        </w:tc>
        <w:tc>
          <w:tcPr>
            <w:tcW w:w="332" w:type="pct"/>
            <w:vMerge w:val="continue"/>
            <w:vAlign w:val="center"/>
          </w:tcPr>
          <w:p w14:paraId="17AB372E">
            <w:pPr>
              <w:pStyle w:val="75"/>
              <w:rPr>
                <w:kern w:val="2"/>
              </w:rPr>
            </w:pPr>
          </w:p>
        </w:tc>
        <w:tc>
          <w:tcPr>
            <w:tcW w:w="414" w:type="pct"/>
            <w:vMerge w:val="continue"/>
            <w:vAlign w:val="center"/>
          </w:tcPr>
          <w:p w14:paraId="1E709D4C">
            <w:pPr>
              <w:pStyle w:val="75"/>
              <w:rPr>
                <w:kern w:val="2"/>
              </w:rPr>
            </w:pPr>
          </w:p>
        </w:tc>
        <w:tc>
          <w:tcPr>
            <w:tcW w:w="416" w:type="pct"/>
            <w:vAlign w:val="center"/>
          </w:tcPr>
          <w:p w14:paraId="614F1CAD">
            <w:pPr>
              <w:pStyle w:val="75"/>
              <w:rPr>
                <w:kern w:val="2"/>
              </w:rPr>
            </w:pPr>
            <w:r>
              <w:rPr>
                <w:rFonts w:hint="eastAsia"/>
                <w:kern w:val="2"/>
              </w:rPr>
              <w:t>袋装</w:t>
            </w:r>
          </w:p>
        </w:tc>
        <w:tc>
          <w:tcPr>
            <w:tcW w:w="387" w:type="pct"/>
            <w:vAlign w:val="center"/>
          </w:tcPr>
          <w:p w14:paraId="330BF38D">
            <w:pPr>
              <w:pStyle w:val="75"/>
            </w:pPr>
            <w:r>
              <w:rPr>
                <w:rFonts w:hint="eastAsia"/>
              </w:rPr>
              <w:t>0</w:t>
            </w:r>
            <w:r>
              <w:t>.1t</w:t>
            </w:r>
          </w:p>
        </w:tc>
        <w:tc>
          <w:tcPr>
            <w:tcW w:w="475" w:type="pct"/>
            <w:vAlign w:val="center"/>
          </w:tcPr>
          <w:p w14:paraId="6C8B2A28">
            <w:pPr>
              <w:pStyle w:val="75"/>
            </w:pPr>
            <w:r>
              <w:rPr>
                <w:rFonts w:hint="eastAsia"/>
                <w:kern w:val="2"/>
              </w:rPr>
              <w:t>1年</w:t>
            </w:r>
          </w:p>
        </w:tc>
      </w:tr>
      <w:tr w14:paraId="58E83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0F234865">
            <w:pPr>
              <w:pStyle w:val="75"/>
              <w:rPr>
                <w:kern w:val="2"/>
              </w:rPr>
            </w:pPr>
            <w:r>
              <w:rPr>
                <w:rFonts w:hint="eastAsia"/>
                <w:kern w:val="2"/>
              </w:rPr>
              <w:t>9</w:t>
            </w:r>
          </w:p>
        </w:tc>
        <w:tc>
          <w:tcPr>
            <w:tcW w:w="492" w:type="pct"/>
            <w:vMerge w:val="continue"/>
            <w:vAlign w:val="center"/>
          </w:tcPr>
          <w:p w14:paraId="579CF51A">
            <w:pPr>
              <w:pStyle w:val="75"/>
              <w:rPr>
                <w:kern w:val="2"/>
                <w:lang w:eastAsia="en-US"/>
              </w:rPr>
            </w:pPr>
          </w:p>
        </w:tc>
        <w:tc>
          <w:tcPr>
            <w:tcW w:w="897" w:type="pct"/>
            <w:vAlign w:val="center"/>
          </w:tcPr>
          <w:p w14:paraId="3B73B8F1">
            <w:pPr>
              <w:pStyle w:val="75"/>
            </w:pPr>
            <w:r>
              <w:t>含</w:t>
            </w:r>
            <w:r>
              <w:rPr>
                <w:rFonts w:hint="eastAsia"/>
              </w:rPr>
              <w:t>铬污泥</w:t>
            </w:r>
          </w:p>
        </w:tc>
        <w:tc>
          <w:tcPr>
            <w:tcW w:w="499" w:type="pct"/>
            <w:vAlign w:val="center"/>
          </w:tcPr>
          <w:p w14:paraId="618ACEDD">
            <w:pPr>
              <w:pStyle w:val="75"/>
              <w:rPr>
                <w:spacing w:val="-6"/>
                <w:kern w:val="2"/>
              </w:rPr>
            </w:pPr>
            <w:r>
              <w:rPr>
                <w:rFonts w:hint="eastAsia"/>
                <w:spacing w:val="-6"/>
                <w:kern w:val="2"/>
              </w:rPr>
              <w:t>HW17</w:t>
            </w:r>
          </w:p>
        </w:tc>
        <w:tc>
          <w:tcPr>
            <w:tcW w:w="747" w:type="pct"/>
            <w:vAlign w:val="center"/>
          </w:tcPr>
          <w:p w14:paraId="252EE1E8">
            <w:pPr>
              <w:pStyle w:val="75"/>
              <w:rPr>
                <w:spacing w:val="-6"/>
                <w:kern w:val="2"/>
              </w:rPr>
            </w:pPr>
            <w:r>
              <w:rPr>
                <w:rFonts w:hint="eastAsia"/>
                <w:spacing w:val="-6"/>
                <w:kern w:val="2"/>
              </w:rPr>
              <w:t>336-069-17</w:t>
            </w:r>
          </w:p>
        </w:tc>
        <w:tc>
          <w:tcPr>
            <w:tcW w:w="332" w:type="pct"/>
            <w:vMerge w:val="continue"/>
            <w:vAlign w:val="center"/>
          </w:tcPr>
          <w:p w14:paraId="129D5128">
            <w:pPr>
              <w:pStyle w:val="75"/>
              <w:rPr>
                <w:kern w:val="2"/>
              </w:rPr>
            </w:pPr>
          </w:p>
        </w:tc>
        <w:tc>
          <w:tcPr>
            <w:tcW w:w="414" w:type="pct"/>
            <w:vMerge w:val="continue"/>
            <w:vAlign w:val="center"/>
          </w:tcPr>
          <w:p w14:paraId="383F3722">
            <w:pPr>
              <w:pStyle w:val="75"/>
              <w:rPr>
                <w:kern w:val="2"/>
              </w:rPr>
            </w:pPr>
          </w:p>
        </w:tc>
        <w:tc>
          <w:tcPr>
            <w:tcW w:w="416" w:type="pct"/>
            <w:vAlign w:val="center"/>
          </w:tcPr>
          <w:p w14:paraId="6C32F7C1">
            <w:pPr>
              <w:pStyle w:val="75"/>
              <w:rPr>
                <w:rFonts w:hAnsi="宋体"/>
                <w:kern w:val="2"/>
              </w:rPr>
            </w:pPr>
            <w:r>
              <w:rPr>
                <w:rFonts w:hint="eastAsia"/>
                <w:kern w:val="2"/>
              </w:rPr>
              <w:t>桶装</w:t>
            </w:r>
          </w:p>
        </w:tc>
        <w:tc>
          <w:tcPr>
            <w:tcW w:w="387" w:type="pct"/>
            <w:vAlign w:val="center"/>
          </w:tcPr>
          <w:p w14:paraId="7A57903C">
            <w:pPr>
              <w:pStyle w:val="75"/>
            </w:pPr>
            <w:r>
              <w:rPr>
                <w:rFonts w:hint="eastAsia"/>
              </w:rPr>
              <w:t>1</w:t>
            </w:r>
            <w:r>
              <w:t>t</w:t>
            </w:r>
          </w:p>
        </w:tc>
        <w:tc>
          <w:tcPr>
            <w:tcW w:w="475" w:type="pct"/>
            <w:vAlign w:val="center"/>
          </w:tcPr>
          <w:p w14:paraId="0C454802">
            <w:pPr>
              <w:pStyle w:val="75"/>
              <w:rPr>
                <w:kern w:val="2"/>
              </w:rPr>
            </w:pPr>
            <w:r>
              <w:rPr>
                <w:kern w:val="2"/>
              </w:rPr>
              <w:t>3</w:t>
            </w:r>
            <w:r>
              <w:rPr>
                <w:rFonts w:hint="eastAsia"/>
                <w:kern w:val="2"/>
              </w:rPr>
              <w:t>个月</w:t>
            </w:r>
          </w:p>
        </w:tc>
      </w:tr>
      <w:tr w14:paraId="0E2E96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5ED6937D">
            <w:pPr>
              <w:pStyle w:val="75"/>
              <w:rPr>
                <w:kern w:val="2"/>
              </w:rPr>
            </w:pPr>
            <w:r>
              <w:rPr>
                <w:rFonts w:hint="eastAsia"/>
                <w:kern w:val="2"/>
              </w:rPr>
              <w:t>10</w:t>
            </w:r>
          </w:p>
        </w:tc>
        <w:tc>
          <w:tcPr>
            <w:tcW w:w="492" w:type="pct"/>
            <w:vMerge w:val="continue"/>
            <w:vAlign w:val="center"/>
          </w:tcPr>
          <w:p w14:paraId="68E51B44">
            <w:pPr>
              <w:pStyle w:val="75"/>
              <w:rPr>
                <w:kern w:val="2"/>
                <w:lang w:eastAsia="en-US"/>
              </w:rPr>
            </w:pPr>
          </w:p>
        </w:tc>
        <w:tc>
          <w:tcPr>
            <w:tcW w:w="897" w:type="pct"/>
            <w:vAlign w:val="center"/>
          </w:tcPr>
          <w:p w14:paraId="3853FF62">
            <w:pPr>
              <w:pStyle w:val="75"/>
            </w:pPr>
            <w:r>
              <w:t>含</w:t>
            </w:r>
            <w:r>
              <w:rPr>
                <w:rFonts w:hint="eastAsia"/>
              </w:rPr>
              <w:t>铬</w:t>
            </w:r>
            <w:r>
              <w:rPr>
                <w:rFonts w:hint="eastAsia" w:ascii="宋体" w:hAnsi="宋体"/>
              </w:rPr>
              <w:t>废活性炭</w:t>
            </w:r>
          </w:p>
        </w:tc>
        <w:tc>
          <w:tcPr>
            <w:tcW w:w="499" w:type="pct"/>
            <w:vAlign w:val="center"/>
          </w:tcPr>
          <w:p w14:paraId="097919DD">
            <w:pPr>
              <w:pStyle w:val="75"/>
              <w:rPr>
                <w:spacing w:val="-6"/>
                <w:kern w:val="2"/>
              </w:rPr>
            </w:pPr>
            <w:r>
              <w:rPr>
                <w:rFonts w:hint="eastAsia"/>
                <w:spacing w:val="-6"/>
                <w:kern w:val="2"/>
              </w:rPr>
              <w:t>HW49</w:t>
            </w:r>
          </w:p>
        </w:tc>
        <w:tc>
          <w:tcPr>
            <w:tcW w:w="747" w:type="pct"/>
            <w:vAlign w:val="center"/>
          </w:tcPr>
          <w:p w14:paraId="05E1DCCD">
            <w:pPr>
              <w:pStyle w:val="75"/>
              <w:rPr>
                <w:kern w:val="2"/>
              </w:rPr>
            </w:pPr>
            <w:r>
              <w:rPr>
                <w:rFonts w:hint="eastAsia"/>
                <w:spacing w:val="-6"/>
                <w:kern w:val="2"/>
              </w:rPr>
              <w:t>900-041-49</w:t>
            </w:r>
          </w:p>
        </w:tc>
        <w:tc>
          <w:tcPr>
            <w:tcW w:w="332" w:type="pct"/>
            <w:vMerge w:val="continue"/>
            <w:vAlign w:val="center"/>
          </w:tcPr>
          <w:p w14:paraId="44E049B6">
            <w:pPr>
              <w:pStyle w:val="75"/>
              <w:rPr>
                <w:kern w:val="2"/>
              </w:rPr>
            </w:pPr>
          </w:p>
        </w:tc>
        <w:tc>
          <w:tcPr>
            <w:tcW w:w="414" w:type="pct"/>
            <w:vMerge w:val="continue"/>
            <w:vAlign w:val="center"/>
          </w:tcPr>
          <w:p w14:paraId="6B78AF85">
            <w:pPr>
              <w:pStyle w:val="75"/>
              <w:rPr>
                <w:kern w:val="2"/>
                <w:lang w:eastAsia="en-US"/>
              </w:rPr>
            </w:pPr>
          </w:p>
        </w:tc>
        <w:tc>
          <w:tcPr>
            <w:tcW w:w="416" w:type="pct"/>
            <w:vAlign w:val="center"/>
          </w:tcPr>
          <w:p w14:paraId="0FF26A72">
            <w:pPr>
              <w:pStyle w:val="75"/>
              <w:rPr>
                <w:rFonts w:hAnsi="宋体"/>
                <w:kern w:val="2"/>
              </w:rPr>
            </w:pPr>
            <w:r>
              <w:rPr>
                <w:rFonts w:hint="eastAsia" w:hAnsi="宋体"/>
                <w:kern w:val="2"/>
              </w:rPr>
              <w:t>桶装</w:t>
            </w:r>
          </w:p>
        </w:tc>
        <w:tc>
          <w:tcPr>
            <w:tcW w:w="387" w:type="pct"/>
            <w:vAlign w:val="center"/>
          </w:tcPr>
          <w:p w14:paraId="61EA44E5">
            <w:pPr>
              <w:pStyle w:val="75"/>
              <w:rPr>
                <w:highlight w:val="yellow"/>
              </w:rPr>
            </w:pPr>
            <w:r>
              <w:rPr>
                <w:rFonts w:hint="eastAsia"/>
              </w:rPr>
              <w:t>0</w:t>
            </w:r>
            <w:r>
              <w:t>.2t</w:t>
            </w:r>
          </w:p>
        </w:tc>
        <w:tc>
          <w:tcPr>
            <w:tcW w:w="475" w:type="pct"/>
            <w:vAlign w:val="center"/>
          </w:tcPr>
          <w:p w14:paraId="7361E8D8">
            <w:pPr>
              <w:pStyle w:val="75"/>
              <w:rPr>
                <w:highlight w:val="yellow"/>
              </w:rPr>
            </w:pPr>
            <w:r>
              <w:rPr>
                <w:rFonts w:hint="eastAsia"/>
                <w:kern w:val="2"/>
              </w:rPr>
              <w:t>1年</w:t>
            </w:r>
          </w:p>
        </w:tc>
      </w:tr>
      <w:tr w14:paraId="54D639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6" w:type="pct"/>
            <w:vAlign w:val="center"/>
          </w:tcPr>
          <w:p w14:paraId="2C55C1E9">
            <w:pPr>
              <w:pStyle w:val="75"/>
              <w:rPr>
                <w:kern w:val="2"/>
              </w:rPr>
            </w:pPr>
            <w:r>
              <w:rPr>
                <w:rFonts w:hint="eastAsia"/>
                <w:kern w:val="2"/>
              </w:rPr>
              <w:t>11</w:t>
            </w:r>
          </w:p>
        </w:tc>
        <w:tc>
          <w:tcPr>
            <w:tcW w:w="492" w:type="pct"/>
            <w:vMerge w:val="continue"/>
            <w:vAlign w:val="center"/>
          </w:tcPr>
          <w:p w14:paraId="70FCC130">
            <w:pPr>
              <w:pStyle w:val="75"/>
              <w:rPr>
                <w:kern w:val="2"/>
                <w:lang w:eastAsia="en-US"/>
              </w:rPr>
            </w:pPr>
          </w:p>
        </w:tc>
        <w:tc>
          <w:tcPr>
            <w:tcW w:w="897" w:type="pct"/>
            <w:vAlign w:val="center"/>
          </w:tcPr>
          <w:p w14:paraId="2B8C3B76">
            <w:pPr>
              <w:pStyle w:val="75"/>
            </w:pPr>
            <w:r>
              <w:t>含</w:t>
            </w:r>
            <w:r>
              <w:rPr>
                <w:rFonts w:hint="eastAsia"/>
              </w:rPr>
              <w:t>铬</w:t>
            </w:r>
            <w:r>
              <w:t>废</w:t>
            </w:r>
            <w:r>
              <w:rPr>
                <w:rFonts w:hint="eastAsia"/>
              </w:rPr>
              <w:t>过滤膜</w:t>
            </w:r>
          </w:p>
        </w:tc>
        <w:tc>
          <w:tcPr>
            <w:tcW w:w="499" w:type="pct"/>
            <w:vAlign w:val="center"/>
          </w:tcPr>
          <w:p w14:paraId="3DD1DC6F">
            <w:pPr>
              <w:pStyle w:val="75"/>
              <w:rPr>
                <w:spacing w:val="-6"/>
                <w:kern w:val="2"/>
              </w:rPr>
            </w:pPr>
            <w:r>
              <w:rPr>
                <w:rFonts w:hint="eastAsia"/>
                <w:spacing w:val="-6"/>
                <w:kern w:val="2"/>
              </w:rPr>
              <w:t>HW49</w:t>
            </w:r>
          </w:p>
        </w:tc>
        <w:tc>
          <w:tcPr>
            <w:tcW w:w="747" w:type="pct"/>
            <w:vAlign w:val="center"/>
          </w:tcPr>
          <w:p w14:paraId="37025B80">
            <w:pPr>
              <w:pStyle w:val="75"/>
              <w:rPr>
                <w:spacing w:val="-6"/>
                <w:kern w:val="2"/>
              </w:rPr>
            </w:pPr>
            <w:r>
              <w:rPr>
                <w:rFonts w:hint="eastAsia"/>
                <w:spacing w:val="-6"/>
                <w:kern w:val="2"/>
              </w:rPr>
              <w:t>900-041-49</w:t>
            </w:r>
          </w:p>
        </w:tc>
        <w:tc>
          <w:tcPr>
            <w:tcW w:w="332" w:type="pct"/>
            <w:vMerge w:val="continue"/>
            <w:vAlign w:val="center"/>
          </w:tcPr>
          <w:p w14:paraId="707D1AC8">
            <w:pPr>
              <w:pStyle w:val="75"/>
              <w:rPr>
                <w:kern w:val="2"/>
              </w:rPr>
            </w:pPr>
          </w:p>
        </w:tc>
        <w:tc>
          <w:tcPr>
            <w:tcW w:w="414" w:type="pct"/>
            <w:vMerge w:val="continue"/>
            <w:vAlign w:val="center"/>
          </w:tcPr>
          <w:p w14:paraId="0A797055">
            <w:pPr>
              <w:pStyle w:val="75"/>
              <w:rPr>
                <w:kern w:val="2"/>
                <w:lang w:eastAsia="en-US"/>
              </w:rPr>
            </w:pPr>
          </w:p>
        </w:tc>
        <w:tc>
          <w:tcPr>
            <w:tcW w:w="416" w:type="pct"/>
            <w:vAlign w:val="center"/>
          </w:tcPr>
          <w:p w14:paraId="6FD72226">
            <w:pPr>
              <w:pStyle w:val="75"/>
              <w:rPr>
                <w:kern w:val="2"/>
              </w:rPr>
            </w:pPr>
            <w:r>
              <w:rPr>
                <w:rFonts w:hint="eastAsia"/>
                <w:kern w:val="2"/>
              </w:rPr>
              <w:t>桶装</w:t>
            </w:r>
          </w:p>
        </w:tc>
        <w:tc>
          <w:tcPr>
            <w:tcW w:w="387" w:type="pct"/>
            <w:vAlign w:val="center"/>
          </w:tcPr>
          <w:p w14:paraId="2B4611A1">
            <w:pPr>
              <w:pStyle w:val="75"/>
            </w:pPr>
            <w:r>
              <w:rPr>
                <w:rFonts w:hint="eastAsia"/>
              </w:rPr>
              <w:t>0</w:t>
            </w:r>
            <w:r>
              <w:t>.1t</w:t>
            </w:r>
          </w:p>
        </w:tc>
        <w:tc>
          <w:tcPr>
            <w:tcW w:w="475" w:type="pct"/>
            <w:vAlign w:val="center"/>
          </w:tcPr>
          <w:p w14:paraId="3A1F10D9">
            <w:pPr>
              <w:pStyle w:val="75"/>
              <w:rPr>
                <w:kern w:val="2"/>
              </w:rPr>
            </w:pPr>
            <w:r>
              <w:rPr>
                <w:rFonts w:hint="eastAsia"/>
                <w:kern w:val="2"/>
              </w:rPr>
              <w:t>1年</w:t>
            </w:r>
          </w:p>
        </w:tc>
      </w:tr>
      <w:tr w14:paraId="07472C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36" w:type="pct"/>
            <w:vAlign w:val="center"/>
          </w:tcPr>
          <w:p w14:paraId="397B5AA1">
            <w:pPr>
              <w:pStyle w:val="75"/>
              <w:rPr>
                <w:kern w:val="2"/>
              </w:rPr>
            </w:pPr>
            <w:r>
              <w:rPr>
                <w:rFonts w:hint="eastAsia"/>
                <w:kern w:val="2"/>
              </w:rPr>
              <w:t>12</w:t>
            </w:r>
          </w:p>
        </w:tc>
        <w:tc>
          <w:tcPr>
            <w:tcW w:w="492" w:type="pct"/>
            <w:vMerge w:val="continue"/>
            <w:vAlign w:val="center"/>
          </w:tcPr>
          <w:p w14:paraId="4C50A369">
            <w:pPr>
              <w:pStyle w:val="75"/>
              <w:rPr>
                <w:kern w:val="2"/>
                <w:lang w:eastAsia="en-US"/>
              </w:rPr>
            </w:pPr>
          </w:p>
        </w:tc>
        <w:tc>
          <w:tcPr>
            <w:tcW w:w="897" w:type="pct"/>
            <w:vAlign w:val="center"/>
          </w:tcPr>
          <w:p w14:paraId="4C99D394">
            <w:pPr>
              <w:pStyle w:val="75"/>
            </w:pPr>
            <w:r>
              <w:rPr>
                <w:rFonts w:hint="eastAsia"/>
              </w:rPr>
              <w:t>蒸发浓液</w:t>
            </w:r>
          </w:p>
        </w:tc>
        <w:tc>
          <w:tcPr>
            <w:tcW w:w="499" w:type="pct"/>
            <w:vAlign w:val="center"/>
          </w:tcPr>
          <w:p w14:paraId="4456A5D7">
            <w:pPr>
              <w:pStyle w:val="75"/>
              <w:rPr>
                <w:spacing w:val="-6"/>
                <w:kern w:val="2"/>
              </w:rPr>
            </w:pPr>
            <w:r>
              <w:rPr>
                <w:rFonts w:hint="eastAsia"/>
                <w:spacing w:val="-6"/>
                <w:kern w:val="2"/>
              </w:rPr>
              <w:t>HW17</w:t>
            </w:r>
          </w:p>
        </w:tc>
        <w:tc>
          <w:tcPr>
            <w:tcW w:w="747" w:type="pct"/>
            <w:vAlign w:val="center"/>
          </w:tcPr>
          <w:p w14:paraId="4B24F11C">
            <w:pPr>
              <w:pStyle w:val="75"/>
              <w:rPr>
                <w:spacing w:val="-6"/>
                <w:kern w:val="2"/>
              </w:rPr>
            </w:pPr>
            <w:r>
              <w:rPr>
                <w:rFonts w:hint="eastAsia"/>
                <w:spacing w:val="-6"/>
                <w:kern w:val="2"/>
              </w:rPr>
              <w:t>336-069-17</w:t>
            </w:r>
          </w:p>
        </w:tc>
        <w:tc>
          <w:tcPr>
            <w:tcW w:w="332" w:type="pct"/>
            <w:vMerge w:val="continue"/>
            <w:vAlign w:val="center"/>
          </w:tcPr>
          <w:p w14:paraId="6342AE5D">
            <w:pPr>
              <w:pStyle w:val="75"/>
              <w:rPr>
                <w:kern w:val="2"/>
              </w:rPr>
            </w:pPr>
          </w:p>
        </w:tc>
        <w:tc>
          <w:tcPr>
            <w:tcW w:w="414" w:type="pct"/>
            <w:vMerge w:val="continue"/>
            <w:vAlign w:val="center"/>
          </w:tcPr>
          <w:p w14:paraId="102814E8">
            <w:pPr>
              <w:pStyle w:val="75"/>
              <w:rPr>
                <w:kern w:val="2"/>
                <w:lang w:eastAsia="en-US"/>
              </w:rPr>
            </w:pPr>
          </w:p>
        </w:tc>
        <w:tc>
          <w:tcPr>
            <w:tcW w:w="416" w:type="pct"/>
            <w:vAlign w:val="center"/>
          </w:tcPr>
          <w:p w14:paraId="6CB6CA11">
            <w:pPr>
              <w:pStyle w:val="75"/>
              <w:rPr>
                <w:kern w:val="2"/>
              </w:rPr>
            </w:pPr>
            <w:r>
              <w:rPr>
                <w:rFonts w:hint="eastAsia" w:hAnsi="宋体"/>
                <w:kern w:val="2"/>
              </w:rPr>
              <w:t>桶装</w:t>
            </w:r>
          </w:p>
        </w:tc>
        <w:tc>
          <w:tcPr>
            <w:tcW w:w="387" w:type="pct"/>
            <w:vAlign w:val="center"/>
          </w:tcPr>
          <w:p w14:paraId="3B72DA73">
            <w:pPr>
              <w:pStyle w:val="75"/>
            </w:pPr>
            <w:r>
              <w:rPr>
                <w:rFonts w:hint="eastAsia"/>
              </w:rPr>
              <w:t>40</w:t>
            </w:r>
            <w:r>
              <w:t>t</w:t>
            </w:r>
          </w:p>
        </w:tc>
        <w:tc>
          <w:tcPr>
            <w:tcW w:w="475" w:type="pct"/>
            <w:vAlign w:val="center"/>
          </w:tcPr>
          <w:p w14:paraId="40333363">
            <w:pPr>
              <w:pStyle w:val="75"/>
              <w:rPr>
                <w:kern w:val="2"/>
              </w:rPr>
            </w:pPr>
            <w:r>
              <w:rPr>
                <w:kern w:val="2"/>
              </w:rPr>
              <w:t>3</w:t>
            </w:r>
            <w:r>
              <w:rPr>
                <w:rFonts w:hint="eastAsia"/>
                <w:kern w:val="2"/>
              </w:rPr>
              <w:t>个月</w:t>
            </w:r>
          </w:p>
        </w:tc>
      </w:tr>
    </w:tbl>
    <w:p w14:paraId="6A611EAF">
      <w:pPr>
        <w:pStyle w:val="54"/>
        <w:ind w:firstLine="480"/>
        <w:rPr>
          <w:b w:val="0"/>
          <w:bCs/>
        </w:rPr>
      </w:pPr>
      <w:r>
        <w:rPr>
          <w:rFonts w:hint="eastAsia"/>
          <w:b w:val="0"/>
          <w:bCs/>
        </w:rPr>
        <w:t>本项目新建1座一般固废暂存间（50m</w:t>
      </w:r>
      <w:r>
        <w:rPr>
          <w:rFonts w:hint="eastAsia"/>
          <w:b w:val="0"/>
          <w:bCs/>
          <w:vertAlign w:val="superscript"/>
        </w:rPr>
        <w:t>2</w:t>
      </w:r>
      <w:r>
        <w:rPr>
          <w:rFonts w:hint="eastAsia"/>
          <w:b w:val="0"/>
          <w:bCs/>
        </w:rPr>
        <w:t>）和1座</w:t>
      </w:r>
      <w:r>
        <w:rPr>
          <w:rFonts w:hint="eastAsia"/>
          <w:b w:val="0"/>
          <w:bCs/>
          <w:lang w:val="en-US" w:eastAsia="zh-CN"/>
        </w:rPr>
        <w:t>危废暂存间</w:t>
      </w:r>
      <w:r>
        <w:rPr>
          <w:rFonts w:hint="eastAsia"/>
          <w:b w:val="0"/>
          <w:bCs/>
        </w:rPr>
        <w:t>（50m</w:t>
      </w:r>
      <w:r>
        <w:rPr>
          <w:rFonts w:hint="eastAsia"/>
          <w:b w:val="0"/>
          <w:bCs/>
          <w:vertAlign w:val="superscript"/>
        </w:rPr>
        <w:t>2</w:t>
      </w:r>
      <w:r>
        <w:rPr>
          <w:rFonts w:hint="eastAsia"/>
          <w:b w:val="0"/>
          <w:bCs/>
        </w:rPr>
        <w:t>），对项目固废分类分区存放。</w:t>
      </w:r>
    </w:p>
    <w:p w14:paraId="2AE305EE">
      <w:pPr>
        <w:pStyle w:val="54"/>
        <w:ind w:firstLine="480"/>
        <w:rPr>
          <w:b w:val="0"/>
          <w:bCs/>
        </w:rPr>
      </w:pPr>
      <w:r>
        <w:rPr>
          <w:rFonts w:hint="eastAsia"/>
          <w:b w:val="0"/>
          <w:bCs/>
        </w:rPr>
        <w:t>根据《一般工业固体废物贮存和填埋污染控制标准》（GB18599-2020）：采用库房、包装工具（罐、桶、包装袋等）贮存一般工业固体废物过程的污染控制，其贮存过程应满足相应防渗漏、防雨淋、防扬尘等环境保护要求。因此，本项目一般固废暂存间应满足防渗漏、防雨淋、防扬尘等环境保护要求。</w:t>
      </w:r>
    </w:p>
    <w:p w14:paraId="62673395">
      <w:pPr>
        <w:pStyle w:val="54"/>
        <w:ind w:firstLine="480"/>
        <w:rPr>
          <w:b w:val="0"/>
          <w:bCs/>
        </w:rPr>
      </w:pPr>
      <w:r>
        <w:rPr>
          <w:rFonts w:hint="eastAsia"/>
          <w:b w:val="0"/>
          <w:bCs/>
        </w:rPr>
        <w:t>危废暂存间应满足《危险废物贮存污染控制标准》（GB18597-2023）对危险废物的暂存要求。为了减少危险废物在厂区贮存过程中对环境的影响，评价要求企业将危废全部装入密闭容器中后临时存放于危废贮存库内，定期送有相应危废处置资质的单位处置；在危废的转移处置过程中，应严格按照《中华人民共和国固体废物污染环境防治法》和《危险废物转移管理办法》有关规定执行。</w:t>
      </w:r>
    </w:p>
    <w:p w14:paraId="2C32B6D8">
      <w:pPr>
        <w:pStyle w:val="54"/>
        <w:ind w:firstLine="480"/>
        <w:rPr>
          <w:rFonts w:hint="eastAsia"/>
          <w:b w:val="0"/>
          <w:bCs/>
        </w:rPr>
      </w:pPr>
      <w:r>
        <w:rPr>
          <w:rFonts w:hint="eastAsia"/>
          <w:b w:val="0"/>
          <w:bCs/>
        </w:rPr>
        <w:t>综上所述，项目固废均能实现综合利用和安全处置。</w:t>
      </w:r>
    </w:p>
    <w:p w14:paraId="4A46618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08" w:name="_Toc108122516"/>
      <w:r>
        <w:rPr>
          <w:rFonts w:hint="eastAsia" w:ascii="Times New Roman" w:hAnsi="Times New Roman" w:cs="Times New Roman"/>
          <w:lang w:val="en-US" w:eastAsia="zh-CN"/>
        </w:rPr>
        <w:t>3.6.5非正常工况污染因素分析</w:t>
      </w:r>
      <w:bookmarkEnd w:id="408"/>
    </w:p>
    <w:p w14:paraId="666C2192">
      <w:pPr>
        <w:pStyle w:val="72"/>
      </w:pPr>
      <w:r>
        <w:rPr>
          <w:rFonts w:hint="eastAsia"/>
        </w:rPr>
        <w:t>项目非正常工况情况为：开车、停车和一般性事故。</w:t>
      </w:r>
    </w:p>
    <w:p w14:paraId="296BEE23">
      <w:pPr>
        <w:pStyle w:val="72"/>
      </w:pPr>
      <w:r>
        <w:rPr>
          <w:rFonts w:hint="eastAsia"/>
        </w:rPr>
        <w:t>整个工艺开车时可以按工序逐步打通流程，每个工序独立运行，污染防治设施同步运行，因此，与正常生产的排污相同。在停车工况，按工序逐步关停流程，最后停废气处理设施，即碱喷淋吸收塔，因此产污与正常运行相同。因此，开停车时无非正常排放。</w:t>
      </w:r>
    </w:p>
    <w:p w14:paraId="2B360E2F">
      <w:pPr>
        <w:pStyle w:val="72"/>
      </w:pPr>
      <w:r>
        <w:rPr>
          <w:rFonts w:hint="eastAsia"/>
        </w:rPr>
        <w:t>在一般性事故状态，可以按工序停车或物料暂存对待，同时保持废气、废水处理设施正常运行；在污染治理设施发生故障时，将产生非正常排放。因此本项目非正常排放主要是各种污染治理设施发生故障时引起的污染物非正常排放。</w:t>
      </w:r>
    </w:p>
    <w:p w14:paraId="5236C560">
      <w:pPr>
        <w:pStyle w:val="72"/>
      </w:pPr>
      <w:r>
        <w:rPr>
          <w:rFonts w:hint="eastAsia"/>
        </w:rPr>
        <w:t>项目废水发生非正常排放主要是废水治理设施出现机械设备故障导致废水处理系统无法运转，废水得不到及时处理而直接排放。废水处理系统设置自动控制系统，一旦发生异常，企业将立即停止产生废水的相关工序，并设置事故水池，将事故废水收集，待废水处理系统运行正常后再分批送至废水处理系统进行处理。故废水发生非正常排放的可能性较小。</w:t>
      </w:r>
    </w:p>
    <w:p w14:paraId="095ED700">
      <w:pPr>
        <w:pStyle w:val="72"/>
      </w:pPr>
      <w:r>
        <w:rPr>
          <w:rFonts w:hint="eastAsia"/>
        </w:rPr>
        <w:t>本项目废气非正常排放主要为碱喷淋吸收塔发生故障，事故排放时间最大为15分钟。本次评价按最不利原则，取废气无处理效率时的非正常排放进行分析。本项目非正常排放废气源强见下表。</w:t>
      </w:r>
    </w:p>
    <w:p w14:paraId="2FDECFBA">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3.6-26</w:t>
      </w:r>
      <w:r>
        <w:rPr>
          <w:rFonts w:hint="eastAsia" w:ascii="Times New Roman" w:hAnsi="Times New Roman" w:eastAsia="宋体" w:cs="Times New Roman"/>
          <w:color w:val="000000" w:themeColor="text1"/>
          <w:sz w:val="24"/>
          <w:highlight w:val="none"/>
          <w14:textFill>
            <w14:solidFill>
              <w14:schemeClr w14:val="tx1"/>
            </w14:solidFill>
          </w14:textFill>
        </w:rPr>
        <w:t xml:space="preserve">    废气非正常排放参数一览表</w:t>
      </w:r>
    </w:p>
    <w:tbl>
      <w:tblPr>
        <w:tblStyle w:val="39"/>
        <w:tblW w:w="504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11"/>
        <w:gridCol w:w="1000"/>
        <w:gridCol w:w="1284"/>
        <w:gridCol w:w="1412"/>
        <w:gridCol w:w="878"/>
        <w:gridCol w:w="734"/>
        <w:gridCol w:w="1130"/>
        <w:gridCol w:w="959"/>
      </w:tblGrid>
      <w:tr w14:paraId="30F32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noWrap/>
            <w:vAlign w:val="center"/>
          </w:tcPr>
          <w:p w14:paraId="5C2AA83F">
            <w:pPr>
              <w:spacing w:line="240" w:lineRule="auto"/>
              <w:ind w:firstLine="0" w:firstLineChars="0"/>
              <w:jc w:val="center"/>
              <w:rPr>
                <w:b/>
                <w:sz w:val="21"/>
                <w:szCs w:val="21"/>
              </w:rPr>
            </w:pPr>
            <w:r>
              <w:rPr>
                <w:b/>
                <w:sz w:val="21"/>
                <w:szCs w:val="21"/>
              </w:rPr>
              <w:t>非正常排放源</w:t>
            </w:r>
          </w:p>
        </w:tc>
        <w:tc>
          <w:tcPr>
            <w:tcW w:w="998" w:type="dxa"/>
            <w:noWrap/>
            <w:vAlign w:val="center"/>
          </w:tcPr>
          <w:p w14:paraId="3A921125">
            <w:pPr>
              <w:spacing w:line="240" w:lineRule="auto"/>
              <w:ind w:firstLine="0" w:firstLineChars="0"/>
              <w:jc w:val="center"/>
              <w:rPr>
                <w:b/>
                <w:sz w:val="21"/>
                <w:szCs w:val="21"/>
              </w:rPr>
            </w:pPr>
            <w:r>
              <w:rPr>
                <w:b/>
                <w:sz w:val="21"/>
                <w:szCs w:val="21"/>
              </w:rPr>
              <w:t>非正常排放原因</w:t>
            </w:r>
          </w:p>
        </w:tc>
        <w:tc>
          <w:tcPr>
            <w:tcW w:w="1281" w:type="dxa"/>
            <w:noWrap/>
            <w:vAlign w:val="center"/>
          </w:tcPr>
          <w:p w14:paraId="0F0D7935">
            <w:pPr>
              <w:spacing w:line="240" w:lineRule="auto"/>
              <w:ind w:firstLine="0" w:firstLineChars="0"/>
              <w:jc w:val="center"/>
              <w:rPr>
                <w:b/>
                <w:sz w:val="21"/>
                <w:szCs w:val="21"/>
              </w:rPr>
            </w:pPr>
            <w:r>
              <w:rPr>
                <w:b/>
                <w:sz w:val="21"/>
                <w:szCs w:val="21"/>
              </w:rPr>
              <w:t>污染物</w:t>
            </w:r>
          </w:p>
        </w:tc>
        <w:tc>
          <w:tcPr>
            <w:tcW w:w="1409" w:type="dxa"/>
            <w:noWrap/>
            <w:vAlign w:val="center"/>
          </w:tcPr>
          <w:p w14:paraId="171C11B6">
            <w:pPr>
              <w:spacing w:line="240" w:lineRule="auto"/>
              <w:ind w:firstLine="0" w:firstLineChars="0"/>
              <w:jc w:val="center"/>
              <w:rPr>
                <w:b/>
                <w:sz w:val="21"/>
                <w:szCs w:val="21"/>
              </w:rPr>
            </w:pPr>
            <w:r>
              <w:rPr>
                <w:b/>
                <w:sz w:val="21"/>
                <w:szCs w:val="21"/>
              </w:rPr>
              <w:t>非正常排放速率/（kg/h）</w:t>
            </w:r>
          </w:p>
        </w:tc>
        <w:tc>
          <w:tcPr>
            <w:tcW w:w="876" w:type="dxa"/>
            <w:noWrap/>
            <w:vAlign w:val="center"/>
          </w:tcPr>
          <w:p w14:paraId="41AA1160">
            <w:pPr>
              <w:spacing w:line="240" w:lineRule="auto"/>
              <w:ind w:firstLine="0" w:firstLineChars="0"/>
              <w:jc w:val="center"/>
              <w:rPr>
                <w:b/>
                <w:sz w:val="21"/>
                <w:szCs w:val="21"/>
              </w:rPr>
            </w:pPr>
            <w:r>
              <w:rPr>
                <w:b/>
                <w:sz w:val="21"/>
                <w:szCs w:val="21"/>
              </w:rPr>
              <w:t>单次持续时间/h</w:t>
            </w:r>
          </w:p>
        </w:tc>
        <w:tc>
          <w:tcPr>
            <w:tcW w:w="732" w:type="dxa"/>
            <w:noWrap/>
            <w:vAlign w:val="center"/>
          </w:tcPr>
          <w:p w14:paraId="6B02D118">
            <w:pPr>
              <w:spacing w:line="240" w:lineRule="auto"/>
              <w:ind w:firstLine="0" w:firstLineChars="0"/>
              <w:jc w:val="center"/>
              <w:rPr>
                <w:b/>
                <w:sz w:val="21"/>
                <w:szCs w:val="21"/>
              </w:rPr>
            </w:pPr>
            <w:r>
              <w:rPr>
                <w:b/>
                <w:sz w:val="21"/>
                <w:szCs w:val="21"/>
              </w:rPr>
              <w:t>年发生频次/次</w:t>
            </w:r>
          </w:p>
        </w:tc>
        <w:tc>
          <w:tcPr>
            <w:tcW w:w="1127" w:type="dxa"/>
            <w:noWrap/>
            <w:vAlign w:val="center"/>
          </w:tcPr>
          <w:p w14:paraId="5BBA7FA1">
            <w:pPr>
              <w:spacing w:line="240" w:lineRule="auto"/>
              <w:ind w:firstLine="0" w:firstLineChars="0"/>
              <w:jc w:val="center"/>
              <w:rPr>
                <w:b/>
                <w:sz w:val="21"/>
                <w:szCs w:val="21"/>
              </w:rPr>
            </w:pPr>
            <w:r>
              <w:rPr>
                <w:b/>
                <w:sz w:val="21"/>
                <w:szCs w:val="21"/>
              </w:rPr>
              <w:t>非正常排放量/（kg/a）</w:t>
            </w:r>
          </w:p>
        </w:tc>
        <w:tc>
          <w:tcPr>
            <w:tcW w:w="957" w:type="dxa"/>
            <w:noWrap/>
            <w:vAlign w:val="center"/>
          </w:tcPr>
          <w:p w14:paraId="7E06CD52">
            <w:pPr>
              <w:spacing w:line="240" w:lineRule="auto"/>
              <w:ind w:firstLine="0" w:firstLineChars="0"/>
              <w:jc w:val="center"/>
              <w:rPr>
                <w:b/>
                <w:sz w:val="21"/>
                <w:szCs w:val="21"/>
              </w:rPr>
            </w:pPr>
            <w:r>
              <w:rPr>
                <w:b/>
                <w:sz w:val="21"/>
                <w:szCs w:val="21"/>
              </w:rPr>
              <w:t>采取措施</w:t>
            </w:r>
          </w:p>
        </w:tc>
      </w:tr>
      <w:tr w14:paraId="477029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noWrap/>
            <w:vAlign w:val="center"/>
          </w:tcPr>
          <w:p w14:paraId="719D55D2">
            <w:pPr>
              <w:spacing w:line="240" w:lineRule="auto"/>
              <w:ind w:firstLine="0" w:firstLineChars="0"/>
              <w:jc w:val="center"/>
              <w:rPr>
                <w:sz w:val="21"/>
                <w:szCs w:val="21"/>
              </w:rPr>
            </w:pPr>
            <w:r>
              <w:rPr>
                <w:sz w:val="21"/>
                <w:szCs w:val="21"/>
              </w:rPr>
              <w:t>排气筒DA001</w:t>
            </w:r>
          </w:p>
        </w:tc>
        <w:tc>
          <w:tcPr>
            <w:tcW w:w="998" w:type="dxa"/>
            <w:vMerge w:val="restart"/>
            <w:noWrap/>
            <w:vAlign w:val="center"/>
          </w:tcPr>
          <w:p w14:paraId="7FC02102">
            <w:pPr>
              <w:spacing w:line="240" w:lineRule="auto"/>
              <w:ind w:firstLine="0" w:firstLineChars="0"/>
              <w:jc w:val="center"/>
              <w:rPr>
                <w:sz w:val="21"/>
                <w:szCs w:val="21"/>
              </w:rPr>
            </w:pPr>
            <w:r>
              <w:rPr>
                <w:sz w:val="21"/>
                <w:szCs w:val="21"/>
              </w:rPr>
              <w:t>污染物排放控制措施达不到应有效率，</w:t>
            </w:r>
            <w:r>
              <w:rPr>
                <w:rFonts w:hint="eastAsia"/>
                <w:sz w:val="21"/>
                <w:szCs w:val="21"/>
              </w:rPr>
              <w:t>按未进行处理折算</w:t>
            </w:r>
          </w:p>
        </w:tc>
        <w:tc>
          <w:tcPr>
            <w:tcW w:w="1281" w:type="dxa"/>
            <w:noWrap/>
            <w:vAlign w:val="center"/>
          </w:tcPr>
          <w:p w14:paraId="526E5E6D">
            <w:pPr>
              <w:spacing w:line="240" w:lineRule="auto"/>
              <w:ind w:firstLine="0" w:firstLineChars="0"/>
              <w:jc w:val="center"/>
              <w:rPr>
                <w:sz w:val="21"/>
                <w:szCs w:val="21"/>
              </w:rPr>
            </w:pPr>
            <w:r>
              <w:rPr>
                <w:rFonts w:hint="eastAsia"/>
                <w:sz w:val="21"/>
                <w:szCs w:val="21"/>
              </w:rPr>
              <w:t>硫酸雾</w:t>
            </w:r>
          </w:p>
        </w:tc>
        <w:tc>
          <w:tcPr>
            <w:tcW w:w="1409" w:type="dxa"/>
            <w:noWrap/>
            <w:vAlign w:val="center"/>
          </w:tcPr>
          <w:p w14:paraId="0BA6EB0A">
            <w:pPr>
              <w:spacing w:line="240" w:lineRule="auto"/>
              <w:ind w:firstLine="0" w:firstLineChars="0"/>
              <w:jc w:val="center"/>
              <w:rPr>
                <w:sz w:val="21"/>
                <w:szCs w:val="21"/>
              </w:rPr>
            </w:pPr>
            <w:r>
              <w:rPr>
                <w:rFonts w:hint="eastAsia"/>
                <w:sz w:val="21"/>
                <w:szCs w:val="21"/>
                <w:highlight w:val="none"/>
                <w:lang w:val="en-US" w:eastAsia="zh-CN"/>
              </w:rPr>
              <w:t>0.2076</w:t>
            </w:r>
          </w:p>
        </w:tc>
        <w:tc>
          <w:tcPr>
            <w:tcW w:w="876" w:type="dxa"/>
            <w:vMerge w:val="restart"/>
            <w:noWrap/>
            <w:vAlign w:val="center"/>
          </w:tcPr>
          <w:p w14:paraId="137C6019">
            <w:pPr>
              <w:spacing w:line="240" w:lineRule="auto"/>
              <w:ind w:firstLine="0" w:firstLineChars="0"/>
              <w:jc w:val="center"/>
              <w:rPr>
                <w:sz w:val="21"/>
                <w:szCs w:val="21"/>
              </w:rPr>
            </w:pPr>
            <w:r>
              <w:rPr>
                <w:sz w:val="21"/>
                <w:szCs w:val="21"/>
              </w:rPr>
              <w:t>0.25</w:t>
            </w:r>
          </w:p>
        </w:tc>
        <w:tc>
          <w:tcPr>
            <w:tcW w:w="732" w:type="dxa"/>
            <w:vMerge w:val="restart"/>
            <w:noWrap/>
            <w:vAlign w:val="center"/>
          </w:tcPr>
          <w:p w14:paraId="628234CE">
            <w:pPr>
              <w:spacing w:line="240" w:lineRule="auto"/>
              <w:ind w:firstLine="0" w:firstLineChars="0"/>
              <w:jc w:val="center"/>
              <w:rPr>
                <w:sz w:val="21"/>
                <w:szCs w:val="21"/>
              </w:rPr>
            </w:pPr>
            <w:r>
              <w:rPr>
                <w:sz w:val="21"/>
                <w:szCs w:val="21"/>
              </w:rPr>
              <w:t>1</w:t>
            </w:r>
          </w:p>
        </w:tc>
        <w:tc>
          <w:tcPr>
            <w:tcW w:w="1127" w:type="dxa"/>
            <w:noWrap/>
            <w:vAlign w:val="center"/>
          </w:tcPr>
          <w:p w14:paraId="0A43F66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0.0519</w:t>
            </w:r>
          </w:p>
        </w:tc>
        <w:tc>
          <w:tcPr>
            <w:tcW w:w="957" w:type="dxa"/>
            <w:vMerge w:val="restart"/>
            <w:noWrap/>
            <w:vAlign w:val="center"/>
          </w:tcPr>
          <w:p w14:paraId="0321AE44">
            <w:pPr>
              <w:spacing w:line="240" w:lineRule="auto"/>
              <w:ind w:firstLine="0" w:firstLineChars="0"/>
              <w:jc w:val="center"/>
              <w:rPr>
                <w:sz w:val="21"/>
                <w:szCs w:val="21"/>
              </w:rPr>
            </w:pPr>
            <w:r>
              <w:rPr>
                <w:sz w:val="21"/>
                <w:szCs w:val="21"/>
              </w:rPr>
              <w:t>产生废气的工序及时停止运行</w:t>
            </w:r>
          </w:p>
        </w:tc>
      </w:tr>
      <w:tr w14:paraId="6773D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noWrap/>
            <w:vAlign w:val="center"/>
          </w:tcPr>
          <w:p w14:paraId="039DAAFE">
            <w:pPr>
              <w:spacing w:line="240" w:lineRule="auto"/>
              <w:ind w:firstLine="0" w:firstLineChars="0"/>
              <w:jc w:val="center"/>
              <w:rPr>
                <w:sz w:val="21"/>
                <w:szCs w:val="21"/>
              </w:rPr>
            </w:pPr>
            <w:r>
              <w:rPr>
                <w:sz w:val="21"/>
                <w:szCs w:val="21"/>
              </w:rPr>
              <w:t>排气筒DA002</w:t>
            </w:r>
          </w:p>
        </w:tc>
        <w:tc>
          <w:tcPr>
            <w:tcW w:w="998" w:type="dxa"/>
            <w:vMerge w:val="continue"/>
            <w:noWrap/>
            <w:vAlign w:val="center"/>
          </w:tcPr>
          <w:p w14:paraId="599975B3">
            <w:pPr>
              <w:spacing w:line="240" w:lineRule="auto"/>
              <w:ind w:firstLine="0" w:firstLineChars="0"/>
              <w:jc w:val="center"/>
              <w:rPr>
                <w:sz w:val="21"/>
                <w:szCs w:val="21"/>
              </w:rPr>
            </w:pPr>
          </w:p>
        </w:tc>
        <w:tc>
          <w:tcPr>
            <w:tcW w:w="1281" w:type="dxa"/>
            <w:noWrap/>
            <w:vAlign w:val="center"/>
          </w:tcPr>
          <w:p w14:paraId="23372A4B">
            <w:pPr>
              <w:spacing w:line="240" w:lineRule="auto"/>
              <w:ind w:firstLine="0" w:firstLineChars="0"/>
              <w:jc w:val="center"/>
              <w:rPr>
                <w:sz w:val="21"/>
                <w:szCs w:val="21"/>
              </w:rPr>
            </w:pPr>
            <w:r>
              <w:rPr>
                <w:rFonts w:hint="eastAsia"/>
                <w:sz w:val="21"/>
                <w:szCs w:val="21"/>
              </w:rPr>
              <w:t>硫酸雾</w:t>
            </w:r>
          </w:p>
        </w:tc>
        <w:tc>
          <w:tcPr>
            <w:tcW w:w="1409" w:type="dxa"/>
            <w:noWrap/>
            <w:vAlign w:val="center"/>
          </w:tcPr>
          <w:p w14:paraId="5C2EC77C">
            <w:pPr>
              <w:spacing w:line="240" w:lineRule="auto"/>
              <w:ind w:firstLine="0" w:firstLineChars="0"/>
              <w:jc w:val="center"/>
              <w:rPr>
                <w:rFonts w:hint="default" w:eastAsia="宋体"/>
                <w:sz w:val="21"/>
                <w:szCs w:val="21"/>
                <w:lang w:val="en-US" w:eastAsia="zh-CN"/>
              </w:rPr>
            </w:pPr>
            <w:r>
              <w:rPr>
                <w:rFonts w:hint="eastAsia"/>
                <w:color w:val="000000" w:themeColor="text1"/>
                <w:sz w:val="21"/>
                <w:szCs w:val="21"/>
                <w:highlight w:val="none"/>
                <w:lang w:val="en-US" w:eastAsia="zh-CN"/>
                <w14:textFill>
                  <w14:solidFill>
                    <w14:schemeClr w14:val="tx1"/>
                  </w14:solidFill>
                </w14:textFill>
              </w:rPr>
              <w:t>0.1027</w:t>
            </w:r>
          </w:p>
        </w:tc>
        <w:tc>
          <w:tcPr>
            <w:tcW w:w="876" w:type="dxa"/>
            <w:vMerge w:val="continue"/>
            <w:noWrap/>
            <w:vAlign w:val="center"/>
          </w:tcPr>
          <w:p w14:paraId="763B2508">
            <w:pPr>
              <w:spacing w:line="240" w:lineRule="auto"/>
              <w:ind w:firstLine="0" w:firstLineChars="0"/>
              <w:jc w:val="center"/>
              <w:rPr>
                <w:sz w:val="21"/>
                <w:szCs w:val="21"/>
              </w:rPr>
            </w:pPr>
          </w:p>
        </w:tc>
        <w:tc>
          <w:tcPr>
            <w:tcW w:w="732" w:type="dxa"/>
            <w:vMerge w:val="continue"/>
            <w:noWrap/>
            <w:vAlign w:val="center"/>
          </w:tcPr>
          <w:p w14:paraId="0A4DE875">
            <w:pPr>
              <w:spacing w:line="240" w:lineRule="auto"/>
              <w:ind w:firstLine="0" w:firstLineChars="0"/>
              <w:jc w:val="center"/>
              <w:rPr>
                <w:sz w:val="21"/>
                <w:szCs w:val="21"/>
              </w:rPr>
            </w:pPr>
          </w:p>
        </w:tc>
        <w:tc>
          <w:tcPr>
            <w:tcW w:w="1127" w:type="dxa"/>
            <w:noWrap/>
            <w:vAlign w:val="center"/>
          </w:tcPr>
          <w:p w14:paraId="056C31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0.0257</w:t>
            </w:r>
          </w:p>
        </w:tc>
        <w:tc>
          <w:tcPr>
            <w:tcW w:w="957" w:type="dxa"/>
            <w:vMerge w:val="continue"/>
            <w:noWrap/>
            <w:vAlign w:val="center"/>
          </w:tcPr>
          <w:p w14:paraId="1B29DCB9">
            <w:pPr>
              <w:spacing w:line="240" w:lineRule="auto"/>
              <w:ind w:firstLine="0" w:firstLineChars="0"/>
              <w:jc w:val="center"/>
              <w:rPr>
                <w:sz w:val="21"/>
                <w:szCs w:val="21"/>
              </w:rPr>
            </w:pPr>
          </w:p>
        </w:tc>
      </w:tr>
      <w:tr w14:paraId="04C99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noWrap/>
            <w:vAlign w:val="center"/>
          </w:tcPr>
          <w:p w14:paraId="25F9AE4F">
            <w:pPr>
              <w:spacing w:line="240" w:lineRule="auto"/>
              <w:ind w:firstLine="0" w:firstLineChars="0"/>
              <w:jc w:val="center"/>
              <w:rPr>
                <w:sz w:val="21"/>
                <w:szCs w:val="21"/>
              </w:rPr>
            </w:pPr>
            <w:r>
              <w:rPr>
                <w:sz w:val="21"/>
                <w:szCs w:val="21"/>
              </w:rPr>
              <w:t>排气筒DA003</w:t>
            </w:r>
          </w:p>
        </w:tc>
        <w:tc>
          <w:tcPr>
            <w:tcW w:w="998" w:type="dxa"/>
            <w:vMerge w:val="continue"/>
            <w:noWrap/>
            <w:vAlign w:val="center"/>
          </w:tcPr>
          <w:p w14:paraId="6756C86C">
            <w:pPr>
              <w:spacing w:line="240" w:lineRule="auto"/>
              <w:ind w:firstLine="0" w:firstLineChars="0"/>
              <w:jc w:val="center"/>
              <w:rPr>
                <w:sz w:val="21"/>
                <w:szCs w:val="21"/>
              </w:rPr>
            </w:pPr>
          </w:p>
        </w:tc>
        <w:tc>
          <w:tcPr>
            <w:tcW w:w="1281" w:type="dxa"/>
            <w:noWrap/>
            <w:vAlign w:val="center"/>
          </w:tcPr>
          <w:p w14:paraId="491C3606">
            <w:pPr>
              <w:spacing w:line="240" w:lineRule="auto"/>
              <w:ind w:firstLine="0" w:firstLineChars="0"/>
              <w:jc w:val="center"/>
              <w:rPr>
                <w:sz w:val="21"/>
                <w:szCs w:val="21"/>
              </w:rPr>
            </w:pPr>
            <w:r>
              <w:rPr>
                <w:rFonts w:hint="eastAsia"/>
                <w:sz w:val="21"/>
                <w:szCs w:val="21"/>
              </w:rPr>
              <w:t>硫酸雾</w:t>
            </w:r>
          </w:p>
        </w:tc>
        <w:tc>
          <w:tcPr>
            <w:tcW w:w="1409" w:type="dxa"/>
            <w:noWrap/>
            <w:vAlign w:val="center"/>
          </w:tcPr>
          <w:p w14:paraId="3014D4E3">
            <w:pPr>
              <w:spacing w:line="240" w:lineRule="auto"/>
              <w:ind w:firstLine="0" w:firstLineChars="0"/>
              <w:jc w:val="center"/>
              <w:rPr>
                <w:rFonts w:hint="default" w:eastAsia="宋体"/>
                <w:sz w:val="21"/>
                <w:szCs w:val="21"/>
                <w:lang w:val="en-US" w:eastAsia="zh-CN"/>
              </w:rPr>
            </w:pPr>
            <w:r>
              <w:rPr>
                <w:rFonts w:hint="eastAsia"/>
                <w:color w:val="000000" w:themeColor="text1"/>
                <w:sz w:val="21"/>
                <w:szCs w:val="21"/>
                <w:highlight w:val="none"/>
                <w:lang w:val="en-US" w:eastAsia="zh-CN"/>
                <w14:textFill>
                  <w14:solidFill>
                    <w14:schemeClr w14:val="tx1"/>
                  </w14:solidFill>
                </w14:textFill>
              </w:rPr>
              <w:t>0.2282</w:t>
            </w:r>
          </w:p>
        </w:tc>
        <w:tc>
          <w:tcPr>
            <w:tcW w:w="876" w:type="dxa"/>
            <w:vMerge w:val="continue"/>
            <w:noWrap/>
            <w:vAlign w:val="center"/>
          </w:tcPr>
          <w:p w14:paraId="236C1A0E">
            <w:pPr>
              <w:spacing w:line="240" w:lineRule="auto"/>
              <w:ind w:firstLine="0" w:firstLineChars="0"/>
              <w:jc w:val="center"/>
              <w:rPr>
                <w:sz w:val="21"/>
                <w:szCs w:val="21"/>
              </w:rPr>
            </w:pPr>
          </w:p>
        </w:tc>
        <w:tc>
          <w:tcPr>
            <w:tcW w:w="732" w:type="dxa"/>
            <w:vMerge w:val="continue"/>
            <w:noWrap/>
            <w:vAlign w:val="center"/>
          </w:tcPr>
          <w:p w14:paraId="7CD19C82">
            <w:pPr>
              <w:spacing w:line="240" w:lineRule="auto"/>
              <w:ind w:firstLine="0" w:firstLineChars="0"/>
              <w:jc w:val="center"/>
              <w:rPr>
                <w:sz w:val="21"/>
                <w:szCs w:val="21"/>
              </w:rPr>
            </w:pPr>
          </w:p>
        </w:tc>
        <w:tc>
          <w:tcPr>
            <w:tcW w:w="1127" w:type="dxa"/>
            <w:noWrap/>
            <w:vAlign w:val="center"/>
          </w:tcPr>
          <w:p w14:paraId="7A2EF2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0.0571</w:t>
            </w:r>
          </w:p>
        </w:tc>
        <w:tc>
          <w:tcPr>
            <w:tcW w:w="957" w:type="dxa"/>
            <w:vMerge w:val="continue"/>
            <w:noWrap/>
            <w:vAlign w:val="center"/>
          </w:tcPr>
          <w:p w14:paraId="564F200A">
            <w:pPr>
              <w:spacing w:line="240" w:lineRule="auto"/>
              <w:ind w:firstLine="0" w:firstLineChars="0"/>
              <w:jc w:val="center"/>
              <w:rPr>
                <w:sz w:val="21"/>
                <w:szCs w:val="21"/>
              </w:rPr>
            </w:pPr>
          </w:p>
        </w:tc>
      </w:tr>
      <w:tr w14:paraId="76E92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vMerge w:val="restart"/>
            <w:noWrap/>
            <w:vAlign w:val="center"/>
          </w:tcPr>
          <w:p w14:paraId="75C7C73B">
            <w:pPr>
              <w:spacing w:line="240" w:lineRule="auto"/>
              <w:ind w:firstLine="0" w:firstLineChars="0"/>
              <w:jc w:val="center"/>
              <w:rPr>
                <w:rFonts w:hint="eastAsia" w:eastAsia="宋体"/>
                <w:sz w:val="21"/>
                <w:szCs w:val="21"/>
                <w:lang w:eastAsia="zh-CN"/>
              </w:rPr>
            </w:pPr>
            <w:r>
              <w:rPr>
                <w:sz w:val="21"/>
                <w:szCs w:val="21"/>
              </w:rPr>
              <w:t>排气筒DA00</w:t>
            </w:r>
            <w:r>
              <w:rPr>
                <w:rFonts w:hint="eastAsia"/>
                <w:sz w:val="21"/>
                <w:szCs w:val="21"/>
                <w:lang w:val="en-US" w:eastAsia="zh-CN"/>
              </w:rPr>
              <w:t>4</w:t>
            </w:r>
          </w:p>
        </w:tc>
        <w:tc>
          <w:tcPr>
            <w:tcW w:w="998" w:type="dxa"/>
            <w:vMerge w:val="continue"/>
            <w:noWrap/>
            <w:vAlign w:val="center"/>
          </w:tcPr>
          <w:p w14:paraId="1BAC4007">
            <w:pPr>
              <w:spacing w:line="240" w:lineRule="auto"/>
              <w:ind w:firstLine="0" w:firstLineChars="0"/>
              <w:jc w:val="center"/>
              <w:rPr>
                <w:sz w:val="21"/>
                <w:szCs w:val="21"/>
              </w:rPr>
            </w:pPr>
          </w:p>
        </w:tc>
        <w:tc>
          <w:tcPr>
            <w:tcW w:w="1281" w:type="dxa"/>
            <w:noWrap/>
            <w:vAlign w:val="center"/>
          </w:tcPr>
          <w:p w14:paraId="41C0D597">
            <w:pPr>
              <w:spacing w:line="240" w:lineRule="auto"/>
              <w:ind w:firstLine="0" w:firstLineChars="0"/>
              <w:jc w:val="center"/>
              <w:rPr>
                <w:sz w:val="21"/>
                <w:szCs w:val="21"/>
              </w:rPr>
            </w:pPr>
            <w:r>
              <w:rPr>
                <w:rFonts w:hint="eastAsia"/>
                <w:sz w:val="21"/>
                <w:szCs w:val="21"/>
                <w:lang w:val="pt-BR"/>
              </w:rPr>
              <w:t>H</w:t>
            </w:r>
            <w:r>
              <w:rPr>
                <w:sz w:val="21"/>
                <w:szCs w:val="21"/>
                <w:vertAlign w:val="subscript"/>
                <w:lang w:val="pt-BR"/>
              </w:rPr>
              <w:t>2</w:t>
            </w:r>
            <w:r>
              <w:rPr>
                <w:sz w:val="21"/>
                <w:szCs w:val="21"/>
                <w:lang w:val="pt-BR"/>
              </w:rPr>
              <w:t>S</w:t>
            </w:r>
          </w:p>
        </w:tc>
        <w:tc>
          <w:tcPr>
            <w:tcW w:w="1409" w:type="dxa"/>
            <w:noWrap/>
            <w:vAlign w:val="center"/>
          </w:tcPr>
          <w:p w14:paraId="22E782B1">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0.00006</w:t>
            </w:r>
          </w:p>
        </w:tc>
        <w:tc>
          <w:tcPr>
            <w:tcW w:w="876" w:type="dxa"/>
            <w:vMerge w:val="continue"/>
            <w:noWrap/>
            <w:vAlign w:val="center"/>
          </w:tcPr>
          <w:p w14:paraId="7BC5B557">
            <w:pPr>
              <w:spacing w:line="240" w:lineRule="auto"/>
              <w:ind w:firstLine="0" w:firstLineChars="0"/>
              <w:jc w:val="center"/>
              <w:rPr>
                <w:sz w:val="21"/>
                <w:szCs w:val="21"/>
              </w:rPr>
            </w:pPr>
          </w:p>
        </w:tc>
        <w:tc>
          <w:tcPr>
            <w:tcW w:w="732" w:type="dxa"/>
            <w:vMerge w:val="continue"/>
            <w:noWrap/>
            <w:vAlign w:val="center"/>
          </w:tcPr>
          <w:p w14:paraId="3835F5C1">
            <w:pPr>
              <w:spacing w:line="240" w:lineRule="auto"/>
              <w:ind w:firstLine="0" w:firstLineChars="0"/>
              <w:jc w:val="center"/>
              <w:rPr>
                <w:sz w:val="21"/>
                <w:szCs w:val="21"/>
              </w:rPr>
            </w:pPr>
          </w:p>
        </w:tc>
        <w:tc>
          <w:tcPr>
            <w:tcW w:w="1127" w:type="dxa"/>
            <w:noWrap/>
            <w:vAlign w:val="center"/>
          </w:tcPr>
          <w:p w14:paraId="1145C2E5">
            <w:pPr>
              <w:spacing w:line="240" w:lineRule="auto"/>
              <w:ind w:firstLine="0" w:firstLineChars="0"/>
              <w:jc w:val="center"/>
              <w:rPr>
                <w:rFonts w:hint="default"/>
                <w:sz w:val="21"/>
                <w:szCs w:val="21"/>
                <w:lang w:val="en-US" w:eastAsia="zh-CN"/>
              </w:rPr>
            </w:pPr>
            <w:r>
              <w:rPr>
                <w:rFonts w:hint="eastAsia"/>
                <w:sz w:val="21"/>
                <w:szCs w:val="21"/>
                <w:lang w:val="en-US" w:eastAsia="zh-CN"/>
              </w:rPr>
              <w:t>0.00002</w:t>
            </w:r>
          </w:p>
        </w:tc>
        <w:tc>
          <w:tcPr>
            <w:tcW w:w="957" w:type="dxa"/>
            <w:vMerge w:val="continue"/>
            <w:noWrap/>
            <w:vAlign w:val="center"/>
          </w:tcPr>
          <w:p w14:paraId="47936293">
            <w:pPr>
              <w:spacing w:line="240" w:lineRule="auto"/>
              <w:ind w:firstLine="0" w:firstLineChars="0"/>
              <w:jc w:val="center"/>
              <w:rPr>
                <w:sz w:val="21"/>
                <w:szCs w:val="21"/>
              </w:rPr>
            </w:pPr>
          </w:p>
        </w:tc>
      </w:tr>
      <w:tr w14:paraId="71D92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09" w:type="dxa"/>
            <w:vMerge w:val="continue"/>
            <w:noWrap/>
            <w:vAlign w:val="center"/>
          </w:tcPr>
          <w:p w14:paraId="1007AC72">
            <w:pPr>
              <w:spacing w:line="240" w:lineRule="auto"/>
              <w:ind w:firstLine="0" w:firstLineChars="0"/>
              <w:jc w:val="center"/>
              <w:rPr>
                <w:sz w:val="21"/>
                <w:szCs w:val="21"/>
              </w:rPr>
            </w:pPr>
          </w:p>
        </w:tc>
        <w:tc>
          <w:tcPr>
            <w:tcW w:w="998" w:type="dxa"/>
            <w:vMerge w:val="continue"/>
            <w:noWrap/>
            <w:vAlign w:val="center"/>
          </w:tcPr>
          <w:p w14:paraId="00B6F25E">
            <w:pPr>
              <w:spacing w:line="240" w:lineRule="auto"/>
              <w:ind w:firstLine="0" w:firstLineChars="0"/>
              <w:jc w:val="center"/>
              <w:rPr>
                <w:sz w:val="21"/>
                <w:szCs w:val="21"/>
              </w:rPr>
            </w:pPr>
          </w:p>
        </w:tc>
        <w:tc>
          <w:tcPr>
            <w:tcW w:w="1281" w:type="dxa"/>
            <w:noWrap/>
            <w:vAlign w:val="center"/>
          </w:tcPr>
          <w:p w14:paraId="727AE87B">
            <w:pPr>
              <w:spacing w:line="240" w:lineRule="auto"/>
              <w:ind w:firstLine="0" w:firstLineChars="0"/>
              <w:jc w:val="center"/>
              <w:rPr>
                <w:sz w:val="21"/>
                <w:szCs w:val="21"/>
              </w:rPr>
            </w:pPr>
            <w:r>
              <w:rPr>
                <w:rFonts w:hint="eastAsia"/>
                <w:sz w:val="21"/>
                <w:szCs w:val="21"/>
                <w:lang w:val="pt-BR"/>
              </w:rPr>
              <w:t>N</w:t>
            </w:r>
            <w:r>
              <w:rPr>
                <w:sz w:val="21"/>
                <w:szCs w:val="21"/>
                <w:lang w:val="pt-BR"/>
              </w:rPr>
              <w:t>H</w:t>
            </w:r>
            <w:r>
              <w:rPr>
                <w:sz w:val="21"/>
                <w:szCs w:val="21"/>
                <w:vertAlign w:val="subscript"/>
                <w:lang w:val="pt-BR"/>
              </w:rPr>
              <w:t>3</w:t>
            </w:r>
          </w:p>
        </w:tc>
        <w:tc>
          <w:tcPr>
            <w:tcW w:w="1409" w:type="dxa"/>
            <w:noWrap/>
            <w:vAlign w:val="center"/>
          </w:tcPr>
          <w:p w14:paraId="099E9F6D">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0.0116</w:t>
            </w:r>
          </w:p>
        </w:tc>
        <w:tc>
          <w:tcPr>
            <w:tcW w:w="876" w:type="dxa"/>
            <w:vMerge w:val="continue"/>
            <w:noWrap/>
            <w:vAlign w:val="center"/>
          </w:tcPr>
          <w:p w14:paraId="752A36B0">
            <w:pPr>
              <w:spacing w:line="240" w:lineRule="auto"/>
              <w:ind w:firstLine="0" w:firstLineChars="0"/>
              <w:jc w:val="center"/>
              <w:rPr>
                <w:sz w:val="21"/>
                <w:szCs w:val="21"/>
              </w:rPr>
            </w:pPr>
          </w:p>
        </w:tc>
        <w:tc>
          <w:tcPr>
            <w:tcW w:w="732" w:type="dxa"/>
            <w:vMerge w:val="continue"/>
            <w:noWrap/>
            <w:vAlign w:val="center"/>
          </w:tcPr>
          <w:p w14:paraId="209E112A">
            <w:pPr>
              <w:spacing w:line="240" w:lineRule="auto"/>
              <w:ind w:firstLine="0" w:firstLineChars="0"/>
              <w:jc w:val="center"/>
              <w:rPr>
                <w:sz w:val="21"/>
                <w:szCs w:val="21"/>
              </w:rPr>
            </w:pPr>
          </w:p>
        </w:tc>
        <w:tc>
          <w:tcPr>
            <w:tcW w:w="1127" w:type="dxa"/>
            <w:noWrap/>
            <w:vAlign w:val="center"/>
          </w:tcPr>
          <w:p w14:paraId="6F976874">
            <w:pPr>
              <w:spacing w:line="240" w:lineRule="auto"/>
              <w:ind w:firstLine="0" w:firstLineChars="0"/>
              <w:jc w:val="center"/>
              <w:rPr>
                <w:rFonts w:hint="default"/>
                <w:sz w:val="21"/>
                <w:szCs w:val="21"/>
                <w:lang w:val="en-US" w:eastAsia="zh-CN"/>
              </w:rPr>
            </w:pPr>
            <w:r>
              <w:rPr>
                <w:rFonts w:hint="eastAsia"/>
                <w:sz w:val="21"/>
                <w:szCs w:val="21"/>
                <w:lang w:val="en-US" w:eastAsia="zh-CN"/>
              </w:rPr>
              <w:t>0.00290</w:t>
            </w:r>
          </w:p>
        </w:tc>
        <w:tc>
          <w:tcPr>
            <w:tcW w:w="957" w:type="dxa"/>
            <w:vMerge w:val="continue"/>
            <w:noWrap/>
            <w:vAlign w:val="center"/>
          </w:tcPr>
          <w:p w14:paraId="17567DD0">
            <w:pPr>
              <w:spacing w:line="240" w:lineRule="auto"/>
              <w:ind w:firstLine="0" w:firstLineChars="0"/>
              <w:jc w:val="center"/>
              <w:rPr>
                <w:sz w:val="21"/>
                <w:szCs w:val="21"/>
              </w:rPr>
            </w:pPr>
          </w:p>
        </w:tc>
      </w:tr>
      <w:bookmarkEnd w:id="405"/>
      <w:bookmarkEnd w:id="406"/>
      <w:bookmarkEnd w:id="407"/>
    </w:tbl>
    <w:p w14:paraId="2D48B01E">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09" w:name="_Toc51319862"/>
      <w:bookmarkStart w:id="410" w:name="_Toc2369"/>
      <w:bookmarkStart w:id="411" w:name="_Toc428287220"/>
      <w:bookmarkStart w:id="412" w:name="_Toc429318403"/>
      <w:bookmarkStart w:id="413" w:name="_Toc4020"/>
      <w:bookmarkStart w:id="414" w:name="_Toc428286859"/>
      <w:bookmarkStart w:id="415" w:name="_Toc17070"/>
      <w:bookmarkStart w:id="416" w:name="_Toc13751"/>
      <w:bookmarkStart w:id="417" w:name="_Toc51319863"/>
      <w:r>
        <w:rPr>
          <w:rFonts w:hint="eastAsia" w:ascii="Times New Roman" w:hAnsi="Times New Roman" w:eastAsia="宋体" w:cs="Times New Roman"/>
          <w:lang w:val="en-US" w:eastAsia="zh-CN"/>
        </w:rPr>
        <w:t>3.7污染物排放情况汇总</w:t>
      </w:r>
      <w:bookmarkEnd w:id="409"/>
      <w:bookmarkEnd w:id="410"/>
      <w:bookmarkEnd w:id="411"/>
      <w:bookmarkEnd w:id="412"/>
      <w:bookmarkEnd w:id="413"/>
      <w:bookmarkEnd w:id="414"/>
    </w:p>
    <w:p w14:paraId="2457A882">
      <w:pPr>
        <w:pStyle w:val="72"/>
      </w:pPr>
      <w:r>
        <w:rPr>
          <w:rFonts w:hint="eastAsia"/>
        </w:rPr>
        <w:t>1、本项目污染物产排情况见下表。</w:t>
      </w:r>
    </w:p>
    <w:p w14:paraId="6E9FB5C6">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3.7-1</w:t>
      </w:r>
      <w:r>
        <w:rPr>
          <w:rFonts w:hint="eastAsia" w:ascii="Times New Roman" w:hAnsi="Times New Roman" w:eastAsia="宋体" w:cs="Times New Roman"/>
          <w:color w:val="000000" w:themeColor="text1"/>
          <w:sz w:val="24"/>
          <w:highlight w:val="none"/>
          <w14:textFill>
            <w14:solidFill>
              <w14:schemeClr w14:val="tx1"/>
            </w14:solidFill>
          </w14:textFill>
        </w:rPr>
        <w:t xml:space="preserve">    本项目污染物产排情况             单位：t/a</w:t>
      </w:r>
    </w:p>
    <w:tbl>
      <w:tblPr>
        <w:tblStyle w:val="39"/>
        <w:tblW w:w="493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445"/>
        <w:gridCol w:w="1067"/>
        <w:gridCol w:w="1409"/>
        <w:gridCol w:w="1409"/>
        <w:gridCol w:w="1409"/>
        <w:gridCol w:w="2196"/>
      </w:tblGrid>
      <w:tr w14:paraId="45706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87" w:type="pct"/>
            <w:gridSpan w:val="3"/>
            <w:vAlign w:val="center"/>
          </w:tcPr>
          <w:p w14:paraId="09CB3389">
            <w:pPr>
              <w:kinsoku w:val="0"/>
              <w:overflowPunct w:val="0"/>
              <w:autoSpaceDE w:val="0"/>
              <w:autoSpaceDN w:val="0"/>
              <w:spacing w:line="240" w:lineRule="auto"/>
              <w:ind w:firstLine="0" w:firstLineChars="0"/>
              <w:jc w:val="center"/>
              <w:rPr>
                <w:b/>
                <w:bCs/>
                <w:sz w:val="21"/>
                <w:szCs w:val="21"/>
                <w:highlight w:val="none"/>
              </w:rPr>
            </w:pPr>
            <w:r>
              <w:rPr>
                <w:b/>
                <w:bCs/>
                <w:sz w:val="21"/>
                <w:szCs w:val="21"/>
                <w:highlight w:val="none"/>
              </w:rPr>
              <w:t>污染物</w:t>
            </w:r>
          </w:p>
        </w:tc>
        <w:tc>
          <w:tcPr>
            <w:tcW w:w="836" w:type="pct"/>
            <w:vAlign w:val="center"/>
          </w:tcPr>
          <w:p w14:paraId="4DAE3F7A">
            <w:pPr>
              <w:kinsoku w:val="0"/>
              <w:overflowPunct w:val="0"/>
              <w:autoSpaceDE w:val="0"/>
              <w:autoSpaceDN w:val="0"/>
              <w:spacing w:line="240" w:lineRule="auto"/>
              <w:ind w:firstLine="0" w:firstLineChars="0"/>
              <w:jc w:val="center"/>
              <w:rPr>
                <w:b/>
                <w:bCs/>
                <w:sz w:val="21"/>
                <w:szCs w:val="21"/>
                <w:highlight w:val="none"/>
              </w:rPr>
            </w:pPr>
            <w:r>
              <w:rPr>
                <w:b/>
                <w:bCs/>
                <w:sz w:val="21"/>
                <w:szCs w:val="21"/>
                <w:highlight w:val="none"/>
              </w:rPr>
              <w:t>工程产生量</w:t>
            </w:r>
          </w:p>
        </w:tc>
        <w:tc>
          <w:tcPr>
            <w:tcW w:w="836" w:type="pct"/>
            <w:vAlign w:val="center"/>
          </w:tcPr>
          <w:p w14:paraId="4F61F5D4">
            <w:pPr>
              <w:kinsoku w:val="0"/>
              <w:overflowPunct w:val="0"/>
              <w:autoSpaceDE w:val="0"/>
              <w:autoSpaceDN w:val="0"/>
              <w:spacing w:line="240" w:lineRule="auto"/>
              <w:ind w:firstLine="0" w:firstLineChars="0"/>
              <w:jc w:val="center"/>
              <w:rPr>
                <w:b/>
                <w:bCs/>
                <w:sz w:val="21"/>
                <w:szCs w:val="21"/>
                <w:highlight w:val="none"/>
              </w:rPr>
            </w:pPr>
            <w:r>
              <w:rPr>
                <w:b/>
                <w:bCs/>
                <w:sz w:val="21"/>
                <w:szCs w:val="21"/>
                <w:highlight w:val="none"/>
              </w:rPr>
              <w:t>工程削减量</w:t>
            </w:r>
          </w:p>
        </w:tc>
        <w:tc>
          <w:tcPr>
            <w:tcW w:w="836" w:type="pct"/>
            <w:vAlign w:val="center"/>
          </w:tcPr>
          <w:p w14:paraId="2D7CEBE2">
            <w:pPr>
              <w:kinsoku w:val="0"/>
              <w:overflowPunct w:val="0"/>
              <w:autoSpaceDE w:val="0"/>
              <w:autoSpaceDN w:val="0"/>
              <w:spacing w:line="240" w:lineRule="auto"/>
              <w:ind w:firstLine="0" w:firstLineChars="0"/>
              <w:jc w:val="center"/>
              <w:rPr>
                <w:b/>
                <w:bCs/>
                <w:sz w:val="21"/>
                <w:szCs w:val="21"/>
                <w:highlight w:val="none"/>
              </w:rPr>
            </w:pPr>
            <w:r>
              <w:rPr>
                <w:b/>
                <w:bCs/>
                <w:sz w:val="21"/>
                <w:szCs w:val="21"/>
                <w:highlight w:val="none"/>
              </w:rPr>
              <w:t>工程排放量</w:t>
            </w:r>
          </w:p>
        </w:tc>
        <w:tc>
          <w:tcPr>
            <w:tcW w:w="1302" w:type="pct"/>
            <w:vAlign w:val="center"/>
          </w:tcPr>
          <w:p w14:paraId="71D43DBE">
            <w:pPr>
              <w:kinsoku w:val="0"/>
              <w:overflowPunct w:val="0"/>
              <w:autoSpaceDE w:val="0"/>
              <w:autoSpaceDN w:val="0"/>
              <w:spacing w:line="240" w:lineRule="auto"/>
              <w:ind w:firstLine="0" w:firstLineChars="0"/>
              <w:jc w:val="center"/>
              <w:rPr>
                <w:b/>
                <w:bCs/>
                <w:sz w:val="21"/>
                <w:szCs w:val="21"/>
                <w:highlight w:val="none"/>
              </w:rPr>
            </w:pPr>
            <w:r>
              <w:rPr>
                <w:rFonts w:hint="eastAsia"/>
                <w:b/>
                <w:bCs/>
                <w:sz w:val="21"/>
                <w:szCs w:val="21"/>
                <w:highlight w:val="none"/>
              </w:rPr>
              <w:t>获嘉县同盟污水处理厂处理后的排放量</w:t>
            </w:r>
          </w:p>
        </w:tc>
      </w:tr>
      <w:tr w14:paraId="386C7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0A388E0F">
            <w:pPr>
              <w:kinsoku w:val="0"/>
              <w:overflowPunct w:val="0"/>
              <w:autoSpaceDE w:val="0"/>
              <w:autoSpaceDN w:val="0"/>
              <w:spacing w:line="240" w:lineRule="auto"/>
              <w:ind w:firstLine="0" w:firstLineChars="0"/>
              <w:jc w:val="center"/>
              <w:rPr>
                <w:sz w:val="21"/>
                <w:szCs w:val="21"/>
                <w:highlight w:val="none"/>
              </w:rPr>
            </w:pPr>
            <w:r>
              <w:rPr>
                <w:sz w:val="21"/>
                <w:szCs w:val="21"/>
                <w:highlight w:val="none"/>
              </w:rPr>
              <w:t>废水</w:t>
            </w:r>
          </w:p>
        </w:tc>
        <w:tc>
          <w:tcPr>
            <w:tcW w:w="896" w:type="pct"/>
            <w:gridSpan w:val="2"/>
            <w:vAlign w:val="center"/>
          </w:tcPr>
          <w:p w14:paraId="736EA855">
            <w:pPr>
              <w:kinsoku w:val="0"/>
              <w:overflowPunct w:val="0"/>
              <w:autoSpaceDE w:val="0"/>
              <w:autoSpaceDN w:val="0"/>
              <w:spacing w:line="240" w:lineRule="auto"/>
              <w:ind w:firstLine="0" w:firstLineChars="0"/>
              <w:jc w:val="center"/>
              <w:rPr>
                <w:sz w:val="21"/>
                <w:szCs w:val="21"/>
                <w:highlight w:val="none"/>
              </w:rPr>
            </w:pPr>
            <w:r>
              <w:rPr>
                <w:sz w:val="21"/>
                <w:szCs w:val="21"/>
                <w:highlight w:val="none"/>
              </w:rPr>
              <w:t>COD</w:t>
            </w:r>
          </w:p>
        </w:tc>
        <w:tc>
          <w:tcPr>
            <w:tcW w:w="1410" w:type="dxa"/>
            <w:vAlign w:val="center"/>
          </w:tcPr>
          <w:p w14:paraId="7F2A94D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cs="Times New Roman"/>
                <w:i w:val="0"/>
                <w:iCs w:val="0"/>
                <w:color w:val="000000"/>
                <w:kern w:val="0"/>
                <w:sz w:val="21"/>
                <w:szCs w:val="21"/>
                <w:highlight w:val="none"/>
                <w:u w:val="none"/>
                <w:lang w:val="en-US" w:eastAsia="zh-CN" w:bidi="ar"/>
              </w:rPr>
              <w:t>15.8459</w:t>
            </w:r>
          </w:p>
        </w:tc>
        <w:tc>
          <w:tcPr>
            <w:tcW w:w="1410" w:type="dxa"/>
            <w:vAlign w:val="center"/>
          </w:tcPr>
          <w:p w14:paraId="52D3B5E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10.9395</w:t>
            </w:r>
          </w:p>
        </w:tc>
        <w:tc>
          <w:tcPr>
            <w:tcW w:w="1410" w:type="dxa"/>
            <w:vAlign w:val="center"/>
          </w:tcPr>
          <w:p w14:paraId="2CD54E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4.9064</w:t>
            </w:r>
          </w:p>
        </w:tc>
        <w:tc>
          <w:tcPr>
            <w:tcW w:w="2194" w:type="dxa"/>
            <w:vAlign w:val="center"/>
          </w:tcPr>
          <w:p w14:paraId="7C09BE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1.5895</w:t>
            </w:r>
          </w:p>
        </w:tc>
      </w:tr>
      <w:tr w14:paraId="2370D2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1A20E866">
            <w:pPr>
              <w:kinsoku w:val="0"/>
              <w:overflowPunct w:val="0"/>
              <w:autoSpaceDE w:val="0"/>
              <w:autoSpaceDN w:val="0"/>
              <w:spacing w:line="240" w:lineRule="auto"/>
              <w:ind w:firstLine="0" w:firstLineChars="0"/>
              <w:jc w:val="center"/>
              <w:rPr>
                <w:sz w:val="21"/>
                <w:szCs w:val="21"/>
                <w:highlight w:val="none"/>
              </w:rPr>
            </w:pPr>
          </w:p>
        </w:tc>
        <w:tc>
          <w:tcPr>
            <w:tcW w:w="896" w:type="pct"/>
            <w:gridSpan w:val="2"/>
            <w:vAlign w:val="center"/>
          </w:tcPr>
          <w:p w14:paraId="6DF16562">
            <w:pPr>
              <w:kinsoku w:val="0"/>
              <w:overflowPunct w:val="0"/>
              <w:autoSpaceDE w:val="0"/>
              <w:autoSpaceDN w:val="0"/>
              <w:spacing w:line="240" w:lineRule="auto"/>
              <w:ind w:firstLine="0" w:firstLineChars="0"/>
              <w:jc w:val="center"/>
              <w:rPr>
                <w:sz w:val="21"/>
                <w:szCs w:val="21"/>
                <w:highlight w:val="none"/>
              </w:rPr>
            </w:pPr>
            <w:r>
              <w:rPr>
                <w:sz w:val="21"/>
                <w:szCs w:val="21"/>
                <w:highlight w:val="none"/>
              </w:rPr>
              <w:t>氨氮</w:t>
            </w:r>
          </w:p>
        </w:tc>
        <w:tc>
          <w:tcPr>
            <w:tcW w:w="1410" w:type="dxa"/>
            <w:vAlign w:val="center"/>
          </w:tcPr>
          <w:p w14:paraId="440D01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0.6135</w:t>
            </w:r>
          </w:p>
        </w:tc>
        <w:tc>
          <w:tcPr>
            <w:tcW w:w="1410" w:type="dxa"/>
            <w:vAlign w:val="center"/>
          </w:tcPr>
          <w:p w14:paraId="4CBA45A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0.1207</w:t>
            </w:r>
          </w:p>
        </w:tc>
        <w:tc>
          <w:tcPr>
            <w:tcW w:w="1410" w:type="dxa"/>
            <w:vAlign w:val="center"/>
          </w:tcPr>
          <w:p w14:paraId="18750D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0.4928</w:t>
            </w:r>
          </w:p>
        </w:tc>
        <w:tc>
          <w:tcPr>
            <w:tcW w:w="2194" w:type="dxa"/>
            <w:vAlign w:val="center"/>
          </w:tcPr>
          <w:p w14:paraId="1606F5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0.0795</w:t>
            </w:r>
          </w:p>
        </w:tc>
      </w:tr>
      <w:tr w14:paraId="7EA67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5B863C3F">
            <w:pPr>
              <w:kinsoku w:val="0"/>
              <w:overflowPunct w:val="0"/>
              <w:autoSpaceDE w:val="0"/>
              <w:autoSpaceDN w:val="0"/>
              <w:spacing w:line="240" w:lineRule="auto"/>
              <w:ind w:firstLine="0" w:firstLineChars="0"/>
              <w:jc w:val="center"/>
              <w:rPr>
                <w:sz w:val="21"/>
                <w:szCs w:val="21"/>
                <w:highlight w:val="none"/>
              </w:rPr>
            </w:pPr>
          </w:p>
        </w:tc>
        <w:tc>
          <w:tcPr>
            <w:tcW w:w="896" w:type="pct"/>
            <w:gridSpan w:val="2"/>
            <w:vAlign w:val="center"/>
          </w:tcPr>
          <w:p w14:paraId="25E58902">
            <w:pPr>
              <w:kinsoku w:val="0"/>
              <w:overflowPunct w:val="0"/>
              <w:autoSpaceDE w:val="0"/>
              <w:autoSpaceDN w:val="0"/>
              <w:spacing w:line="240" w:lineRule="auto"/>
              <w:ind w:firstLine="0" w:firstLineChars="0"/>
              <w:jc w:val="center"/>
              <w:rPr>
                <w:sz w:val="21"/>
                <w:szCs w:val="21"/>
                <w:highlight w:val="none"/>
              </w:rPr>
            </w:pPr>
            <w:r>
              <w:rPr>
                <w:sz w:val="21"/>
                <w:szCs w:val="21"/>
                <w:highlight w:val="none"/>
              </w:rPr>
              <w:t>TP</w:t>
            </w:r>
          </w:p>
        </w:tc>
        <w:tc>
          <w:tcPr>
            <w:tcW w:w="1410" w:type="dxa"/>
            <w:vAlign w:val="center"/>
          </w:tcPr>
          <w:p w14:paraId="012F93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0.0687</w:t>
            </w:r>
          </w:p>
        </w:tc>
        <w:tc>
          <w:tcPr>
            <w:tcW w:w="1410" w:type="dxa"/>
            <w:vAlign w:val="center"/>
          </w:tcPr>
          <w:p w14:paraId="734892E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0.0316</w:t>
            </w:r>
          </w:p>
        </w:tc>
        <w:tc>
          <w:tcPr>
            <w:tcW w:w="1410" w:type="dxa"/>
            <w:vAlign w:val="center"/>
          </w:tcPr>
          <w:p w14:paraId="0543C47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0.0371</w:t>
            </w:r>
          </w:p>
        </w:tc>
        <w:tc>
          <w:tcPr>
            <w:tcW w:w="2194" w:type="dxa"/>
            <w:vAlign w:val="center"/>
          </w:tcPr>
          <w:p w14:paraId="286101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0.0159</w:t>
            </w:r>
          </w:p>
        </w:tc>
      </w:tr>
      <w:tr w14:paraId="256FA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4DC14307">
            <w:pPr>
              <w:kinsoku w:val="0"/>
              <w:overflowPunct w:val="0"/>
              <w:autoSpaceDE w:val="0"/>
              <w:autoSpaceDN w:val="0"/>
              <w:spacing w:line="240" w:lineRule="auto"/>
              <w:ind w:firstLine="0" w:firstLineChars="0"/>
              <w:jc w:val="center"/>
              <w:rPr>
                <w:sz w:val="21"/>
                <w:szCs w:val="21"/>
                <w:highlight w:val="none"/>
              </w:rPr>
            </w:pPr>
          </w:p>
        </w:tc>
        <w:tc>
          <w:tcPr>
            <w:tcW w:w="896" w:type="pct"/>
            <w:gridSpan w:val="2"/>
            <w:vAlign w:val="center"/>
          </w:tcPr>
          <w:p w14:paraId="3ADBA134">
            <w:pPr>
              <w:kinsoku w:val="0"/>
              <w:overflowPunct w:val="0"/>
              <w:autoSpaceDE w:val="0"/>
              <w:autoSpaceDN w:val="0"/>
              <w:spacing w:line="240" w:lineRule="auto"/>
              <w:ind w:firstLine="0" w:firstLineChars="0"/>
              <w:jc w:val="center"/>
              <w:rPr>
                <w:sz w:val="21"/>
                <w:szCs w:val="21"/>
                <w:highlight w:val="none"/>
              </w:rPr>
            </w:pPr>
            <w:r>
              <w:rPr>
                <w:sz w:val="21"/>
                <w:szCs w:val="21"/>
                <w:highlight w:val="none"/>
              </w:rPr>
              <w:t>TN</w:t>
            </w:r>
          </w:p>
        </w:tc>
        <w:tc>
          <w:tcPr>
            <w:tcW w:w="1410" w:type="dxa"/>
            <w:vAlign w:val="center"/>
          </w:tcPr>
          <w:p w14:paraId="4F8C55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0.7293</w:t>
            </w:r>
          </w:p>
        </w:tc>
        <w:tc>
          <w:tcPr>
            <w:tcW w:w="1410" w:type="dxa"/>
            <w:vAlign w:val="center"/>
          </w:tcPr>
          <w:p w14:paraId="1569EE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0.1465</w:t>
            </w:r>
          </w:p>
        </w:tc>
        <w:tc>
          <w:tcPr>
            <w:tcW w:w="1410" w:type="dxa"/>
            <w:vAlign w:val="center"/>
          </w:tcPr>
          <w:p w14:paraId="6F33793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0.5828</w:t>
            </w:r>
          </w:p>
        </w:tc>
        <w:tc>
          <w:tcPr>
            <w:tcW w:w="2194" w:type="dxa"/>
            <w:vAlign w:val="center"/>
          </w:tcPr>
          <w:p w14:paraId="14E621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2EE66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7F0BEC30">
            <w:pPr>
              <w:kinsoku w:val="0"/>
              <w:overflowPunct w:val="0"/>
              <w:autoSpaceDE w:val="0"/>
              <w:autoSpaceDN w:val="0"/>
              <w:spacing w:line="240" w:lineRule="auto"/>
              <w:ind w:firstLine="0" w:firstLineChars="0"/>
              <w:jc w:val="center"/>
              <w:rPr>
                <w:sz w:val="21"/>
                <w:szCs w:val="21"/>
                <w:highlight w:val="none"/>
              </w:rPr>
            </w:pPr>
          </w:p>
        </w:tc>
        <w:tc>
          <w:tcPr>
            <w:tcW w:w="896" w:type="pct"/>
            <w:gridSpan w:val="2"/>
            <w:vAlign w:val="center"/>
          </w:tcPr>
          <w:p w14:paraId="427D0EB0">
            <w:pPr>
              <w:kinsoku w:val="0"/>
              <w:overflowPunct w:val="0"/>
              <w:autoSpaceDE w:val="0"/>
              <w:autoSpaceDN w:val="0"/>
              <w:spacing w:line="240" w:lineRule="auto"/>
              <w:ind w:firstLine="0" w:firstLineChars="0"/>
              <w:jc w:val="center"/>
              <w:rPr>
                <w:sz w:val="21"/>
                <w:szCs w:val="21"/>
                <w:highlight w:val="none"/>
              </w:rPr>
            </w:pPr>
            <w:r>
              <w:rPr>
                <w:sz w:val="21"/>
                <w:szCs w:val="21"/>
                <w:highlight w:val="none"/>
              </w:rPr>
              <w:t>水量</w:t>
            </w:r>
          </w:p>
        </w:tc>
        <w:tc>
          <w:tcPr>
            <w:tcW w:w="1410" w:type="dxa"/>
            <w:vAlign w:val="center"/>
          </w:tcPr>
          <w:p w14:paraId="10AF4D75">
            <w:pPr>
              <w:pStyle w:val="75"/>
              <w:spacing w:line="240" w:lineRule="auto"/>
              <w:ind w:firstLine="0" w:firstLineChars="0"/>
              <w:rPr>
                <w:bCs/>
                <w:sz w:val="21"/>
                <w:szCs w:val="21"/>
                <w:highlight w:val="none"/>
              </w:rPr>
            </w:pPr>
            <w:r>
              <w:rPr>
                <w:rFonts w:hint="eastAsia"/>
                <w:bCs/>
                <w:sz w:val="21"/>
                <w:szCs w:val="21"/>
                <w:highlight w:val="none"/>
                <w:lang w:val="en-US" w:eastAsia="zh-CN"/>
              </w:rPr>
              <w:t>52984.5</w:t>
            </w:r>
          </w:p>
        </w:tc>
        <w:tc>
          <w:tcPr>
            <w:tcW w:w="1410" w:type="dxa"/>
            <w:vAlign w:val="center"/>
          </w:tcPr>
          <w:p w14:paraId="77E7FF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eastAsia="宋体"/>
                <w:bCs/>
                <w:sz w:val="21"/>
                <w:szCs w:val="21"/>
                <w:highlight w:val="none"/>
                <w:lang w:val="en-US" w:eastAsia="zh-CN"/>
              </w:rPr>
            </w:pPr>
            <w:r>
              <w:rPr>
                <w:rFonts w:hint="eastAsia" w:cs="Times New Roman"/>
                <w:bCs/>
                <w:sz w:val="21"/>
                <w:szCs w:val="21"/>
                <w:highlight w:val="none"/>
                <w:lang w:val="en-US" w:eastAsia="zh-CN"/>
              </w:rPr>
              <w:t>/</w:t>
            </w:r>
          </w:p>
        </w:tc>
        <w:tc>
          <w:tcPr>
            <w:tcW w:w="1410" w:type="dxa"/>
            <w:vAlign w:val="center"/>
          </w:tcPr>
          <w:p w14:paraId="027ADD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highlight w:val="none"/>
              </w:rPr>
            </w:pPr>
            <w:r>
              <w:rPr>
                <w:rFonts w:hint="eastAsia" w:cs="Times New Roman"/>
                <w:bCs/>
                <w:sz w:val="21"/>
                <w:szCs w:val="21"/>
                <w:highlight w:val="none"/>
                <w:lang w:val="en-US" w:eastAsia="zh-CN"/>
              </w:rPr>
              <w:t>52984.5</w:t>
            </w:r>
          </w:p>
        </w:tc>
        <w:tc>
          <w:tcPr>
            <w:tcW w:w="2194" w:type="dxa"/>
            <w:vAlign w:val="center"/>
          </w:tcPr>
          <w:p w14:paraId="3E66B0F9">
            <w:pPr>
              <w:pStyle w:val="75"/>
              <w:spacing w:line="240" w:lineRule="auto"/>
              <w:ind w:firstLine="0" w:firstLineChars="0"/>
              <w:rPr>
                <w:bCs/>
                <w:sz w:val="21"/>
                <w:szCs w:val="21"/>
                <w:highlight w:val="none"/>
              </w:rPr>
            </w:pPr>
            <w:r>
              <w:rPr>
                <w:rFonts w:hint="eastAsia"/>
                <w:sz w:val="21"/>
                <w:szCs w:val="21"/>
                <w:highlight w:val="none"/>
                <w:lang w:val="en-US" w:eastAsia="zh-CN"/>
              </w:rPr>
              <w:t>52984.5</w:t>
            </w:r>
          </w:p>
        </w:tc>
      </w:tr>
      <w:tr w14:paraId="7FA395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76A19686">
            <w:pPr>
              <w:kinsoku w:val="0"/>
              <w:overflowPunct w:val="0"/>
              <w:autoSpaceDE w:val="0"/>
              <w:autoSpaceDN w:val="0"/>
              <w:spacing w:line="240" w:lineRule="auto"/>
              <w:ind w:firstLine="0" w:firstLineChars="0"/>
              <w:jc w:val="center"/>
              <w:rPr>
                <w:sz w:val="21"/>
                <w:szCs w:val="21"/>
                <w:highlight w:val="none"/>
              </w:rPr>
            </w:pPr>
            <w:r>
              <w:rPr>
                <w:sz w:val="21"/>
                <w:szCs w:val="21"/>
                <w:highlight w:val="none"/>
              </w:rPr>
              <w:t>废气</w:t>
            </w:r>
          </w:p>
        </w:tc>
        <w:tc>
          <w:tcPr>
            <w:tcW w:w="264" w:type="pct"/>
            <w:vMerge w:val="restart"/>
            <w:vAlign w:val="center"/>
          </w:tcPr>
          <w:p w14:paraId="74AFF223">
            <w:pPr>
              <w:kinsoku w:val="0"/>
              <w:overflowPunct w:val="0"/>
              <w:autoSpaceDE w:val="0"/>
              <w:autoSpaceDN w:val="0"/>
              <w:spacing w:line="240" w:lineRule="auto"/>
              <w:ind w:firstLine="0" w:firstLineChars="0"/>
              <w:jc w:val="center"/>
              <w:rPr>
                <w:sz w:val="21"/>
                <w:szCs w:val="21"/>
                <w:highlight w:val="none"/>
              </w:rPr>
            </w:pPr>
            <w:r>
              <w:rPr>
                <w:sz w:val="21"/>
                <w:szCs w:val="21"/>
                <w:highlight w:val="none"/>
              </w:rPr>
              <w:t>有组织</w:t>
            </w:r>
          </w:p>
        </w:tc>
        <w:tc>
          <w:tcPr>
            <w:tcW w:w="632" w:type="pct"/>
            <w:vAlign w:val="center"/>
          </w:tcPr>
          <w:p w14:paraId="2D9D9DEF">
            <w:pPr>
              <w:kinsoku w:val="0"/>
              <w:overflowPunct w:val="0"/>
              <w:autoSpaceDE w:val="0"/>
              <w:autoSpaceDN w:val="0"/>
              <w:spacing w:line="240" w:lineRule="auto"/>
              <w:ind w:firstLine="0" w:firstLineChars="0"/>
              <w:jc w:val="center"/>
              <w:rPr>
                <w:sz w:val="21"/>
                <w:szCs w:val="21"/>
                <w:highlight w:val="none"/>
              </w:rPr>
            </w:pPr>
            <w:r>
              <w:rPr>
                <w:sz w:val="21"/>
                <w:szCs w:val="21"/>
                <w:highlight w:val="none"/>
              </w:rPr>
              <w:t>硫酸雾</w:t>
            </w:r>
          </w:p>
        </w:tc>
        <w:tc>
          <w:tcPr>
            <w:tcW w:w="836" w:type="pct"/>
            <w:vAlign w:val="center"/>
          </w:tcPr>
          <w:p w14:paraId="51CE4810">
            <w:pPr>
              <w:kinsoku w:val="0"/>
              <w:overflowPunct w:val="0"/>
              <w:autoSpaceDE w:val="0"/>
              <w:autoSpaceDN w:val="0"/>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3.8767</w:t>
            </w:r>
          </w:p>
        </w:tc>
        <w:tc>
          <w:tcPr>
            <w:tcW w:w="836" w:type="pct"/>
            <w:vAlign w:val="center"/>
          </w:tcPr>
          <w:p w14:paraId="76462569">
            <w:pPr>
              <w:spacing w:line="240" w:lineRule="auto"/>
              <w:ind w:firstLine="0" w:firstLineChars="0"/>
              <w:jc w:val="center"/>
              <w:rPr>
                <w:rFonts w:hint="default"/>
                <w:bCs/>
                <w:sz w:val="21"/>
                <w:szCs w:val="21"/>
                <w:highlight w:val="none"/>
                <w:lang w:val="en-US" w:eastAsia="zh-CN"/>
              </w:rPr>
            </w:pPr>
            <w:r>
              <w:rPr>
                <w:rFonts w:hint="eastAsia"/>
                <w:bCs/>
                <w:sz w:val="21"/>
                <w:szCs w:val="21"/>
                <w:highlight w:val="none"/>
                <w:lang w:val="en-US" w:eastAsia="zh-CN"/>
              </w:rPr>
              <w:t>3.4889</w:t>
            </w:r>
          </w:p>
        </w:tc>
        <w:tc>
          <w:tcPr>
            <w:tcW w:w="836" w:type="pct"/>
            <w:vAlign w:val="center"/>
          </w:tcPr>
          <w:p w14:paraId="2ED6E1E7">
            <w:pPr>
              <w:kinsoku w:val="0"/>
              <w:overflowPunct w:val="0"/>
              <w:autoSpaceDE w:val="0"/>
              <w:autoSpaceDN w:val="0"/>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0.3878</w:t>
            </w:r>
          </w:p>
        </w:tc>
        <w:tc>
          <w:tcPr>
            <w:tcW w:w="1302" w:type="pct"/>
            <w:vAlign w:val="center"/>
          </w:tcPr>
          <w:p w14:paraId="61099988">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12ADC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17989216">
            <w:pPr>
              <w:kinsoku w:val="0"/>
              <w:overflowPunct w:val="0"/>
              <w:autoSpaceDE w:val="0"/>
              <w:autoSpaceDN w:val="0"/>
              <w:spacing w:line="240" w:lineRule="auto"/>
              <w:ind w:firstLine="0" w:firstLineChars="0"/>
              <w:jc w:val="center"/>
              <w:rPr>
                <w:sz w:val="21"/>
                <w:szCs w:val="21"/>
                <w:highlight w:val="none"/>
              </w:rPr>
            </w:pPr>
          </w:p>
        </w:tc>
        <w:tc>
          <w:tcPr>
            <w:tcW w:w="264" w:type="pct"/>
            <w:vMerge w:val="continue"/>
            <w:vAlign w:val="center"/>
          </w:tcPr>
          <w:p w14:paraId="43C4166C">
            <w:pPr>
              <w:kinsoku w:val="0"/>
              <w:overflowPunct w:val="0"/>
              <w:autoSpaceDE w:val="0"/>
              <w:autoSpaceDN w:val="0"/>
              <w:spacing w:line="240" w:lineRule="auto"/>
              <w:ind w:firstLine="0" w:firstLineChars="0"/>
              <w:jc w:val="center"/>
              <w:rPr>
                <w:sz w:val="21"/>
                <w:szCs w:val="21"/>
                <w:highlight w:val="none"/>
              </w:rPr>
            </w:pPr>
          </w:p>
        </w:tc>
        <w:tc>
          <w:tcPr>
            <w:tcW w:w="632" w:type="pct"/>
            <w:vAlign w:val="center"/>
          </w:tcPr>
          <w:p w14:paraId="19199C48">
            <w:pPr>
              <w:kinsoku w:val="0"/>
              <w:overflowPunct w:val="0"/>
              <w:autoSpaceDE w:val="0"/>
              <w:autoSpaceDN w:val="0"/>
              <w:spacing w:line="240" w:lineRule="auto"/>
              <w:ind w:firstLine="0" w:firstLineChars="0"/>
              <w:jc w:val="center"/>
              <w:rPr>
                <w:sz w:val="21"/>
                <w:szCs w:val="21"/>
                <w:highlight w:val="none"/>
              </w:rPr>
            </w:pPr>
            <w:r>
              <w:rPr>
                <w:rFonts w:hint="eastAsia"/>
                <w:sz w:val="21"/>
                <w:szCs w:val="21"/>
                <w:highlight w:val="none"/>
              </w:rPr>
              <w:t>N</w:t>
            </w:r>
            <w:r>
              <w:rPr>
                <w:sz w:val="21"/>
                <w:szCs w:val="21"/>
                <w:highlight w:val="none"/>
              </w:rPr>
              <w:t>H</w:t>
            </w:r>
            <w:r>
              <w:rPr>
                <w:sz w:val="21"/>
                <w:szCs w:val="21"/>
                <w:highlight w:val="none"/>
                <w:vertAlign w:val="subscript"/>
              </w:rPr>
              <w:t>3</w:t>
            </w:r>
          </w:p>
        </w:tc>
        <w:tc>
          <w:tcPr>
            <w:tcW w:w="836" w:type="pct"/>
            <w:vAlign w:val="center"/>
          </w:tcPr>
          <w:p w14:paraId="0B553CBA">
            <w:pPr>
              <w:spacing w:line="240" w:lineRule="auto"/>
              <w:ind w:firstLine="0" w:firstLineChars="0"/>
              <w:jc w:val="center"/>
              <w:rPr>
                <w:rFonts w:hint="default"/>
                <w:sz w:val="21"/>
                <w:szCs w:val="21"/>
                <w:highlight w:val="none"/>
                <w:lang w:val="en-US" w:eastAsia="zh-CN"/>
              </w:rPr>
            </w:pPr>
            <w:r>
              <w:rPr>
                <w:rFonts w:hint="eastAsia"/>
                <w:sz w:val="21"/>
                <w:szCs w:val="21"/>
                <w:highlight w:val="none"/>
                <w:lang w:val="en-US" w:eastAsia="zh-CN"/>
              </w:rPr>
              <w:t>0.0832</w:t>
            </w:r>
          </w:p>
        </w:tc>
        <w:tc>
          <w:tcPr>
            <w:tcW w:w="836" w:type="pct"/>
            <w:vAlign w:val="center"/>
          </w:tcPr>
          <w:p w14:paraId="192BDD33">
            <w:pPr>
              <w:spacing w:line="240" w:lineRule="auto"/>
              <w:ind w:firstLine="0" w:firstLineChars="0"/>
              <w:jc w:val="center"/>
              <w:rPr>
                <w:rFonts w:hint="default"/>
                <w:bCs/>
                <w:sz w:val="21"/>
                <w:szCs w:val="21"/>
                <w:highlight w:val="none"/>
                <w:lang w:val="en-US" w:eastAsia="zh-CN"/>
              </w:rPr>
            </w:pPr>
            <w:r>
              <w:rPr>
                <w:rFonts w:hint="eastAsia"/>
                <w:bCs/>
                <w:sz w:val="21"/>
                <w:szCs w:val="21"/>
                <w:highlight w:val="none"/>
                <w:lang w:val="en-US" w:eastAsia="zh-CN"/>
              </w:rPr>
              <w:t>0.0749</w:t>
            </w:r>
          </w:p>
        </w:tc>
        <w:tc>
          <w:tcPr>
            <w:tcW w:w="836" w:type="pct"/>
            <w:vAlign w:val="center"/>
          </w:tcPr>
          <w:p w14:paraId="6C193F69">
            <w:pPr>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0.0083</w:t>
            </w:r>
          </w:p>
        </w:tc>
        <w:tc>
          <w:tcPr>
            <w:tcW w:w="1302" w:type="pct"/>
            <w:vAlign w:val="center"/>
          </w:tcPr>
          <w:p w14:paraId="5066459F">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2B7B21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740936D4">
            <w:pPr>
              <w:kinsoku w:val="0"/>
              <w:overflowPunct w:val="0"/>
              <w:autoSpaceDE w:val="0"/>
              <w:autoSpaceDN w:val="0"/>
              <w:spacing w:line="240" w:lineRule="auto"/>
              <w:ind w:firstLine="0" w:firstLineChars="0"/>
              <w:jc w:val="center"/>
              <w:rPr>
                <w:sz w:val="21"/>
                <w:szCs w:val="21"/>
                <w:highlight w:val="none"/>
              </w:rPr>
            </w:pPr>
          </w:p>
        </w:tc>
        <w:tc>
          <w:tcPr>
            <w:tcW w:w="264" w:type="pct"/>
            <w:vMerge w:val="continue"/>
            <w:vAlign w:val="center"/>
          </w:tcPr>
          <w:p w14:paraId="07E65D02">
            <w:pPr>
              <w:kinsoku w:val="0"/>
              <w:overflowPunct w:val="0"/>
              <w:autoSpaceDE w:val="0"/>
              <w:autoSpaceDN w:val="0"/>
              <w:spacing w:line="240" w:lineRule="auto"/>
              <w:ind w:firstLine="0" w:firstLineChars="0"/>
              <w:jc w:val="center"/>
              <w:rPr>
                <w:sz w:val="21"/>
                <w:szCs w:val="21"/>
                <w:highlight w:val="none"/>
              </w:rPr>
            </w:pPr>
          </w:p>
        </w:tc>
        <w:tc>
          <w:tcPr>
            <w:tcW w:w="632" w:type="pct"/>
            <w:vAlign w:val="center"/>
          </w:tcPr>
          <w:p w14:paraId="21F2D3D4">
            <w:pPr>
              <w:kinsoku w:val="0"/>
              <w:overflowPunct w:val="0"/>
              <w:autoSpaceDE w:val="0"/>
              <w:autoSpaceDN w:val="0"/>
              <w:spacing w:line="240" w:lineRule="auto"/>
              <w:ind w:firstLine="0" w:firstLineChars="0"/>
              <w:jc w:val="center"/>
              <w:rPr>
                <w:sz w:val="21"/>
                <w:szCs w:val="21"/>
                <w:highlight w:val="none"/>
              </w:rPr>
            </w:pPr>
            <w:r>
              <w:rPr>
                <w:rFonts w:hint="eastAsia"/>
                <w:sz w:val="21"/>
                <w:szCs w:val="21"/>
                <w:highlight w:val="none"/>
              </w:rPr>
              <w:t>H</w:t>
            </w:r>
            <w:r>
              <w:rPr>
                <w:sz w:val="21"/>
                <w:szCs w:val="21"/>
                <w:highlight w:val="none"/>
                <w:vertAlign w:val="subscript"/>
              </w:rPr>
              <w:t>2</w:t>
            </w:r>
            <w:r>
              <w:rPr>
                <w:sz w:val="21"/>
                <w:szCs w:val="21"/>
                <w:highlight w:val="none"/>
              </w:rPr>
              <w:t>S</w:t>
            </w:r>
          </w:p>
        </w:tc>
        <w:tc>
          <w:tcPr>
            <w:tcW w:w="836" w:type="pct"/>
            <w:vAlign w:val="center"/>
          </w:tcPr>
          <w:p w14:paraId="2C4F2097">
            <w:pPr>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0.0004</w:t>
            </w:r>
          </w:p>
        </w:tc>
        <w:tc>
          <w:tcPr>
            <w:tcW w:w="836" w:type="pct"/>
            <w:vAlign w:val="center"/>
          </w:tcPr>
          <w:p w14:paraId="245459C0">
            <w:pPr>
              <w:spacing w:line="240" w:lineRule="auto"/>
              <w:ind w:firstLine="0" w:firstLineChars="0"/>
              <w:jc w:val="center"/>
              <w:rPr>
                <w:rFonts w:hint="default"/>
                <w:bCs/>
                <w:sz w:val="21"/>
                <w:szCs w:val="21"/>
                <w:highlight w:val="none"/>
                <w:lang w:val="en-US" w:eastAsia="zh-CN"/>
              </w:rPr>
            </w:pPr>
            <w:r>
              <w:rPr>
                <w:rFonts w:hint="eastAsia"/>
                <w:bCs/>
                <w:sz w:val="21"/>
                <w:szCs w:val="21"/>
                <w:highlight w:val="none"/>
                <w:lang w:val="en-US" w:eastAsia="zh-CN"/>
              </w:rPr>
              <w:t>0.00036</w:t>
            </w:r>
          </w:p>
        </w:tc>
        <w:tc>
          <w:tcPr>
            <w:tcW w:w="836" w:type="pct"/>
            <w:vAlign w:val="center"/>
          </w:tcPr>
          <w:p w14:paraId="3A8E757A">
            <w:pPr>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0.00004</w:t>
            </w:r>
          </w:p>
        </w:tc>
        <w:tc>
          <w:tcPr>
            <w:tcW w:w="1302" w:type="pct"/>
            <w:vAlign w:val="center"/>
          </w:tcPr>
          <w:p w14:paraId="0EBAE17E">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08F1F5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53B8CE75">
            <w:pPr>
              <w:kinsoku w:val="0"/>
              <w:overflowPunct w:val="0"/>
              <w:autoSpaceDE w:val="0"/>
              <w:autoSpaceDN w:val="0"/>
              <w:spacing w:line="240" w:lineRule="auto"/>
              <w:ind w:firstLine="0" w:firstLineChars="0"/>
              <w:jc w:val="center"/>
              <w:rPr>
                <w:sz w:val="21"/>
                <w:szCs w:val="21"/>
                <w:highlight w:val="none"/>
              </w:rPr>
            </w:pPr>
          </w:p>
        </w:tc>
        <w:tc>
          <w:tcPr>
            <w:tcW w:w="264" w:type="pct"/>
            <w:vMerge w:val="restart"/>
            <w:vAlign w:val="center"/>
          </w:tcPr>
          <w:p w14:paraId="4E475643">
            <w:pPr>
              <w:kinsoku w:val="0"/>
              <w:overflowPunct w:val="0"/>
              <w:autoSpaceDE w:val="0"/>
              <w:autoSpaceDN w:val="0"/>
              <w:spacing w:line="240" w:lineRule="auto"/>
              <w:ind w:firstLine="0" w:firstLineChars="0"/>
              <w:jc w:val="center"/>
              <w:rPr>
                <w:sz w:val="21"/>
                <w:szCs w:val="21"/>
                <w:highlight w:val="none"/>
              </w:rPr>
            </w:pPr>
            <w:r>
              <w:rPr>
                <w:sz w:val="21"/>
                <w:szCs w:val="21"/>
                <w:highlight w:val="none"/>
              </w:rPr>
              <w:t>无组织</w:t>
            </w:r>
          </w:p>
        </w:tc>
        <w:tc>
          <w:tcPr>
            <w:tcW w:w="632" w:type="pct"/>
            <w:vAlign w:val="center"/>
          </w:tcPr>
          <w:p w14:paraId="11BBB987">
            <w:pPr>
              <w:kinsoku w:val="0"/>
              <w:overflowPunct w:val="0"/>
              <w:autoSpaceDE w:val="0"/>
              <w:autoSpaceDN w:val="0"/>
              <w:spacing w:line="240" w:lineRule="auto"/>
              <w:ind w:firstLine="0" w:firstLineChars="0"/>
              <w:jc w:val="center"/>
              <w:rPr>
                <w:sz w:val="21"/>
                <w:szCs w:val="21"/>
                <w:highlight w:val="none"/>
              </w:rPr>
            </w:pPr>
            <w:r>
              <w:rPr>
                <w:sz w:val="21"/>
                <w:szCs w:val="21"/>
                <w:highlight w:val="none"/>
              </w:rPr>
              <w:t>硫酸雾</w:t>
            </w:r>
          </w:p>
        </w:tc>
        <w:tc>
          <w:tcPr>
            <w:tcW w:w="836" w:type="pct"/>
            <w:vAlign w:val="center"/>
          </w:tcPr>
          <w:p w14:paraId="0265F8CF">
            <w:pPr>
              <w:kinsoku w:val="0"/>
              <w:overflowPunct w:val="0"/>
              <w:autoSpaceDE w:val="0"/>
              <w:autoSpaceDN w:val="0"/>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0.0791</w:t>
            </w:r>
          </w:p>
        </w:tc>
        <w:tc>
          <w:tcPr>
            <w:tcW w:w="836" w:type="pct"/>
            <w:vAlign w:val="center"/>
          </w:tcPr>
          <w:p w14:paraId="6AD23102">
            <w:pPr>
              <w:kinsoku w:val="0"/>
              <w:overflowPunct w:val="0"/>
              <w:autoSpaceDE w:val="0"/>
              <w:autoSpaceDN w:val="0"/>
              <w:spacing w:line="240" w:lineRule="auto"/>
              <w:ind w:firstLine="0" w:firstLineChars="0"/>
              <w:jc w:val="center"/>
              <w:rPr>
                <w:rFonts w:hint="eastAsia" w:eastAsia="宋体"/>
                <w:bCs/>
                <w:sz w:val="21"/>
                <w:szCs w:val="21"/>
                <w:highlight w:val="none"/>
                <w:lang w:val="en-US" w:eastAsia="zh-CN"/>
              </w:rPr>
            </w:pPr>
            <w:r>
              <w:rPr>
                <w:rFonts w:hint="eastAsia"/>
                <w:bCs/>
                <w:sz w:val="21"/>
                <w:szCs w:val="21"/>
                <w:highlight w:val="none"/>
                <w:lang w:val="en-US" w:eastAsia="zh-CN"/>
              </w:rPr>
              <w:t>0</w:t>
            </w:r>
          </w:p>
        </w:tc>
        <w:tc>
          <w:tcPr>
            <w:tcW w:w="836" w:type="pct"/>
            <w:vAlign w:val="center"/>
          </w:tcPr>
          <w:p w14:paraId="061AC8FF">
            <w:pPr>
              <w:kinsoku w:val="0"/>
              <w:overflowPunct w:val="0"/>
              <w:autoSpaceDE w:val="0"/>
              <w:autoSpaceDN w:val="0"/>
              <w:spacing w:line="240" w:lineRule="auto"/>
              <w:ind w:firstLine="0" w:firstLineChars="0"/>
              <w:jc w:val="center"/>
              <w:rPr>
                <w:rFonts w:hint="default"/>
                <w:bCs/>
                <w:sz w:val="21"/>
                <w:szCs w:val="21"/>
                <w:highlight w:val="none"/>
                <w:lang w:val="en-US"/>
              </w:rPr>
            </w:pPr>
            <w:r>
              <w:rPr>
                <w:rFonts w:hint="eastAsia"/>
                <w:bCs/>
                <w:sz w:val="21"/>
                <w:szCs w:val="21"/>
                <w:highlight w:val="none"/>
                <w:lang w:val="en-US" w:eastAsia="zh-CN"/>
              </w:rPr>
              <w:t>0.0791</w:t>
            </w:r>
          </w:p>
        </w:tc>
        <w:tc>
          <w:tcPr>
            <w:tcW w:w="1302" w:type="pct"/>
            <w:vAlign w:val="center"/>
          </w:tcPr>
          <w:p w14:paraId="215C9FAB">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441925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62830FE5">
            <w:pPr>
              <w:kinsoku w:val="0"/>
              <w:overflowPunct w:val="0"/>
              <w:autoSpaceDE w:val="0"/>
              <w:autoSpaceDN w:val="0"/>
              <w:spacing w:line="240" w:lineRule="auto"/>
              <w:ind w:firstLine="0" w:firstLineChars="0"/>
              <w:jc w:val="center"/>
              <w:rPr>
                <w:sz w:val="21"/>
                <w:szCs w:val="21"/>
                <w:highlight w:val="none"/>
              </w:rPr>
            </w:pPr>
          </w:p>
        </w:tc>
        <w:tc>
          <w:tcPr>
            <w:tcW w:w="264" w:type="pct"/>
            <w:vMerge w:val="continue"/>
            <w:vAlign w:val="center"/>
          </w:tcPr>
          <w:p w14:paraId="5CC8A464">
            <w:pPr>
              <w:kinsoku w:val="0"/>
              <w:overflowPunct w:val="0"/>
              <w:autoSpaceDE w:val="0"/>
              <w:autoSpaceDN w:val="0"/>
              <w:spacing w:line="240" w:lineRule="auto"/>
              <w:ind w:firstLine="0" w:firstLineChars="0"/>
              <w:jc w:val="center"/>
              <w:rPr>
                <w:sz w:val="21"/>
                <w:szCs w:val="21"/>
                <w:highlight w:val="none"/>
              </w:rPr>
            </w:pPr>
          </w:p>
        </w:tc>
        <w:tc>
          <w:tcPr>
            <w:tcW w:w="632" w:type="pct"/>
            <w:vAlign w:val="center"/>
          </w:tcPr>
          <w:p w14:paraId="3825DFB9">
            <w:pPr>
              <w:kinsoku w:val="0"/>
              <w:overflowPunct w:val="0"/>
              <w:autoSpaceDE w:val="0"/>
              <w:autoSpaceDN w:val="0"/>
              <w:spacing w:line="240" w:lineRule="auto"/>
              <w:ind w:firstLine="0" w:firstLineChars="0"/>
              <w:jc w:val="center"/>
              <w:rPr>
                <w:sz w:val="21"/>
                <w:szCs w:val="21"/>
                <w:highlight w:val="none"/>
              </w:rPr>
            </w:pPr>
            <w:r>
              <w:rPr>
                <w:rFonts w:hint="eastAsia"/>
                <w:sz w:val="21"/>
                <w:szCs w:val="21"/>
                <w:highlight w:val="none"/>
              </w:rPr>
              <w:t>N</w:t>
            </w:r>
            <w:r>
              <w:rPr>
                <w:sz w:val="21"/>
                <w:szCs w:val="21"/>
                <w:highlight w:val="none"/>
              </w:rPr>
              <w:t>H</w:t>
            </w:r>
            <w:r>
              <w:rPr>
                <w:sz w:val="21"/>
                <w:szCs w:val="21"/>
                <w:highlight w:val="none"/>
                <w:vertAlign w:val="subscript"/>
              </w:rPr>
              <w:t>3</w:t>
            </w:r>
          </w:p>
        </w:tc>
        <w:tc>
          <w:tcPr>
            <w:tcW w:w="836" w:type="pct"/>
            <w:vAlign w:val="center"/>
          </w:tcPr>
          <w:p w14:paraId="308F9F38">
            <w:pPr>
              <w:kinsoku w:val="0"/>
              <w:overflowPunct w:val="0"/>
              <w:autoSpaceDE w:val="0"/>
              <w:autoSpaceDN w:val="0"/>
              <w:spacing w:line="240" w:lineRule="auto"/>
              <w:ind w:firstLine="0" w:firstLineChars="0"/>
              <w:jc w:val="center"/>
              <w:rPr>
                <w:rFonts w:hint="default" w:eastAsia="宋体"/>
                <w:bCs/>
                <w:sz w:val="21"/>
                <w:szCs w:val="21"/>
                <w:highlight w:val="none"/>
                <w:lang w:val="en-US" w:eastAsia="zh-CN"/>
              </w:rPr>
            </w:pPr>
            <w:r>
              <w:rPr>
                <w:rFonts w:hint="eastAsia"/>
                <w:bCs/>
                <w:sz w:val="21"/>
                <w:szCs w:val="21"/>
                <w:highlight w:val="none"/>
                <w:lang w:val="en-US" w:eastAsia="zh-CN"/>
              </w:rPr>
              <w:t>0.0044</w:t>
            </w:r>
          </w:p>
        </w:tc>
        <w:tc>
          <w:tcPr>
            <w:tcW w:w="836" w:type="pct"/>
            <w:vAlign w:val="center"/>
          </w:tcPr>
          <w:p w14:paraId="29CDA2F8">
            <w:pPr>
              <w:kinsoku w:val="0"/>
              <w:overflowPunct w:val="0"/>
              <w:autoSpaceDE w:val="0"/>
              <w:autoSpaceDN w:val="0"/>
              <w:spacing w:line="240" w:lineRule="auto"/>
              <w:ind w:firstLine="0" w:firstLineChars="0"/>
              <w:jc w:val="center"/>
              <w:rPr>
                <w:rFonts w:hint="eastAsia" w:eastAsia="宋体"/>
                <w:bCs/>
                <w:sz w:val="21"/>
                <w:szCs w:val="21"/>
                <w:highlight w:val="none"/>
                <w:lang w:val="en-US" w:eastAsia="zh-CN"/>
              </w:rPr>
            </w:pPr>
            <w:r>
              <w:rPr>
                <w:rFonts w:hint="eastAsia"/>
                <w:bCs/>
                <w:sz w:val="21"/>
                <w:szCs w:val="21"/>
                <w:highlight w:val="none"/>
                <w:lang w:val="en-US" w:eastAsia="zh-CN"/>
              </w:rPr>
              <w:t>0</w:t>
            </w:r>
          </w:p>
        </w:tc>
        <w:tc>
          <w:tcPr>
            <w:tcW w:w="836" w:type="pct"/>
            <w:vAlign w:val="center"/>
          </w:tcPr>
          <w:p w14:paraId="28C56145">
            <w:pPr>
              <w:kinsoku w:val="0"/>
              <w:overflowPunct w:val="0"/>
              <w:autoSpaceDE w:val="0"/>
              <w:autoSpaceDN w:val="0"/>
              <w:spacing w:line="240" w:lineRule="auto"/>
              <w:ind w:firstLine="0" w:firstLineChars="0"/>
              <w:jc w:val="center"/>
              <w:rPr>
                <w:bCs/>
                <w:sz w:val="21"/>
                <w:szCs w:val="21"/>
                <w:highlight w:val="none"/>
              </w:rPr>
            </w:pPr>
            <w:r>
              <w:rPr>
                <w:rFonts w:hint="eastAsia"/>
                <w:bCs/>
                <w:sz w:val="21"/>
                <w:szCs w:val="21"/>
                <w:highlight w:val="none"/>
                <w:lang w:val="en-US" w:eastAsia="zh-CN"/>
              </w:rPr>
              <w:t>0.0044</w:t>
            </w:r>
          </w:p>
        </w:tc>
        <w:tc>
          <w:tcPr>
            <w:tcW w:w="1302" w:type="pct"/>
            <w:vAlign w:val="center"/>
          </w:tcPr>
          <w:p w14:paraId="66AFD601">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52AF1D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2780C15B">
            <w:pPr>
              <w:kinsoku w:val="0"/>
              <w:overflowPunct w:val="0"/>
              <w:autoSpaceDE w:val="0"/>
              <w:autoSpaceDN w:val="0"/>
              <w:spacing w:line="240" w:lineRule="auto"/>
              <w:ind w:firstLine="0" w:firstLineChars="0"/>
              <w:jc w:val="center"/>
              <w:rPr>
                <w:sz w:val="21"/>
                <w:szCs w:val="21"/>
                <w:highlight w:val="none"/>
              </w:rPr>
            </w:pPr>
          </w:p>
        </w:tc>
        <w:tc>
          <w:tcPr>
            <w:tcW w:w="264" w:type="pct"/>
            <w:vMerge w:val="continue"/>
            <w:vAlign w:val="center"/>
          </w:tcPr>
          <w:p w14:paraId="51E338CF">
            <w:pPr>
              <w:kinsoku w:val="0"/>
              <w:overflowPunct w:val="0"/>
              <w:autoSpaceDE w:val="0"/>
              <w:autoSpaceDN w:val="0"/>
              <w:spacing w:line="240" w:lineRule="auto"/>
              <w:ind w:firstLine="0" w:firstLineChars="0"/>
              <w:jc w:val="center"/>
              <w:rPr>
                <w:sz w:val="21"/>
                <w:szCs w:val="21"/>
                <w:highlight w:val="none"/>
              </w:rPr>
            </w:pPr>
          </w:p>
        </w:tc>
        <w:tc>
          <w:tcPr>
            <w:tcW w:w="632" w:type="pct"/>
            <w:vAlign w:val="center"/>
          </w:tcPr>
          <w:p w14:paraId="6D3E6190">
            <w:pPr>
              <w:kinsoku w:val="0"/>
              <w:overflowPunct w:val="0"/>
              <w:autoSpaceDE w:val="0"/>
              <w:autoSpaceDN w:val="0"/>
              <w:spacing w:line="240" w:lineRule="auto"/>
              <w:ind w:firstLine="0" w:firstLineChars="0"/>
              <w:jc w:val="center"/>
              <w:rPr>
                <w:sz w:val="21"/>
                <w:szCs w:val="21"/>
                <w:highlight w:val="none"/>
              </w:rPr>
            </w:pPr>
            <w:r>
              <w:rPr>
                <w:rFonts w:hint="eastAsia"/>
                <w:sz w:val="21"/>
                <w:szCs w:val="21"/>
                <w:highlight w:val="none"/>
              </w:rPr>
              <w:t>H</w:t>
            </w:r>
            <w:r>
              <w:rPr>
                <w:sz w:val="21"/>
                <w:szCs w:val="21"/>
                <w:highlight w:val="none"/>
                <w:vertAlign w:val="subscript"/>
              </w:rPr>
              <w:t>2</w:t>
            </w:r>
            <w:r>
              <w:rPr>
                <w:sz w:val="21"/>
                <w:szCs w:val="21"/>
                <w:highlight w:val="none"/>
              </w:rPr>
              <w:t>S</w:t>
            </w:r>
          </w:p>
        </w:tc>
        <w:tc>
          <w:tcPr>
            <w:tcW w:w="836" w:type="pct"/>
            <w:shd w:val="clear" w:color="auto" w:fill="auto"/>
            <w:vAlign w:val="center"/>
          </w:tcPr>
          <w:p w14:paraId="2BF29AF8">
            <w:pPr>
              <w:kinsoku w:val="0"/>
              <w:overflowPunct w:val="0"/>
              <w:autoSpaceDE w:val="0"/>
              <w:autoSpaceDN w:val="0"/>
              <w:spacing w:line="240" w:lineRule="auto"/>
              <w:ind w:firstLine="0" w:firstLineChars="0"/>
              <w:jc w:val="center"/>
              <w:rPr>
                <w:rFonts w:hint="default" w:ascii="宋体" w:hAnsi="宋体" w:eastAsia="宋体" w:cs="宋体"/>
                <w:i w:val="0"/>
                <w:iCs w:val="0"/>
                <w:color w:val="000000"/>
                <w:sz w:val="22"/>
                <w:szCs w:val="22"/>
                <w:highlight w:val="none"/>
                <w:u w:val="none"/>
                <w:lang w:val="en-US" w:eastAsia="zh-CN" w:bidi="ar-SA"/>
              </w:rPr>
            </w:pPr>
            <w:r>
              <w:rPr>
                <w:rFonts w:hint="eastAsia"/>
                <w:bCs/>
                <w:sz w:val="21"/>
                <w:szCs w:val="21"/>
                <w:highlight w:val="none"/>
                <w:lang w:val="en-US" w:eastAsia="zh-CN"/>
              </w:rPr>
              <w:t>0.00002</w:t>
            </w:r>
          </w:p>
        </w:tc>
        <w:tc>
          <w:tcPr>
            <w:tcW w:w="836" w:type="pct"/>
            <w:vAlign w:val="center"/>
          </w:tcPr>
          <w:p w14:paraId="76A169AF">
            <w:pPr>
              <w:kinsoku w:val="0"/>
              <w:overflowPunct w:val="0"/>
              <w:autoSpaceDE w:val="0"/>
              <w:autoSpaceDN w:val="0"/>
              <w:spacing w:line="240" w:lineRule="auto"/>
              <w:ind w:firstLine="0" w:firstLineChars="0"/>
              <w:jc w:val="center"/>
              <w:rPr>
                <w:rFonts w:hint="eastAsia" w:eastAsia="宋体"/>
                <w:bCs/>
                <w:sz w:val="21"/>
                <w:szCs w:val="21"/>
                <w:highlight w:val="none"/>
                <w:lang w:val="en-US" w:eastAsia="zh-CN"/>
              </w:rPr>
            </w:pPr>
            <w:r>
              <w:rPr>
                <w:rFonts w:hint="eastAsia"/>
                <w:bCs/>
                <w:sz w:val="21"/>
                <w:szCs w:val="21"/>
                <w:highlight w:val="none"/>
                <w:lang w:val="en-US" w:eastAsia="zh-CN"/>
              </w:rPr>
              <w:t>0</w:t>
            </w:r>
          </w:p>
        </w:tc>
        <w:tc>
          <w:tcPr>
            <w:tcW w:w="836" w:type="pct"/>
            <w:vAlign w:val="center"/>
          </w:tcPr>
          <w:p w14:paraId="3C8CFC41">
            <w:pPr>
              <w:kinsoku w:val="0"/>
              <w:overflowPunct w:val="0"/>
              <w:autoSpaceDE w:val="0"/>
              <w:autoSpaceDN w:val="0"/>
              <w:spacing w:line="240" w:lineRule="auto"/>
              <w:ind w:firstLine="0" w:firstLineChars="0"/>
              <w:jc w:val="center"/>
              <w:rPr>
                <w:bCs/>
                <w:sz w:val="21"/>
                <w:szCs w:val="21"/>
                <w:highlight w:val="none"/>
              </w:rPr>
            </w:pPr>
            <w:r>
              <w:rPr>
                <w:rFonts w:hint="eastAsia"/>
                <w:bCs/>
                <w:sz w:val="21"/>
                <w:szCs w:val="21"/>
                <w:highlight w:val="none"/>
                <w:lang w:val="en-US" w:eastAsia="zh-CN"/>
              </w:rPr>
              <w:t>0.00002</w:t>
            </w:r>
          </w:p>
        </w:tc>
        <w:tc>
          <w:tcPr>
            <w:tcW w:w="1302" w:type="pct"/>
            <w:vAlign w:val="center"/>
          </w:tcPr>
          <w:p w14:paraId="1FC24854">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6058C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3628D0B5">
            <w:pPr>
              <w:kinsoku w:val="0"/>
              <w:overflowPunct w:val="0"/>
              <w:autoSpaceDE w:val="0"/>
              <w:autoSpaceDN w:val="0"/>
              <w:spacing w:line="240" w:lineRule="auto"/>
              <w:ind w:firstLine="0" w:firstLineChars="0"/>
              <w:jc w:val="center"/>
              <w:rPr>
                <w:sz w:val="21"/>
                <w:szCs w:val="21"/>
                <w:highlight w:val="none"/>
              </w:rPr>
            </w:pPr>
            <w:r>
              <w:rPr>
                <w:sz w:val="21"/>
                <w:szCs w:val="21"/>
                <w:highlight w:val="none"/>
              </w:rPr>
              <w:t>固废</w:t>
            </w:r>
          </w:p>
        </w:tc>
        <w:tc>
          <w:tcPr>
            <w:tcW w:w="896" w:type="pct"/>
            <w:gridSpan w:val="2"/>
            <w:vAlign w:val="center"/>
          </w:tcPr>
          <w:p w14:paraId="055AB859">
            <w:pPr>
              <w:kinsoku w:val="0"/>
              <w:overflowPunct w:val="0"/>
              <w:autoSpaceDE w:val="0"/>
              <w:autoSpaceDN w:val="0"/>
              <w:spacing w:line="240" w:lineRule="auto"/>
              <w:ind w:firstLine="0" w:firstLineChars="0"/>
              <w:jc w:val="center"/>
              <w:rPr>
                <w:sz w:val="21"/>
                <w:szCs w:val="21"/>
                <w:highlight w:val="none"/>
              </w:rPr>
            </w:pPr>
            <w:r>
              <w:rPr>
                <w:sz w:val="21"/>
                <w:szCs w:val="21"/>
                <w:highlight w:val="none"/>
              </w:rPr>
              <w:t>一般固废</w:t>
            </w:r>
          </w:p>
        </w:tc>
        <w:tc>
          <w:tcPr>
            <w:tcW w:w="836" w:type="pct"/>
            <w:vAlign w:val="center"/>
          </w:tcPr>
          <w:p w14:paraId="3CE133F2">
            <w:pPr>
              <w:kinsoku w:val="0"/>
              <w:overflowPunct w:val="0"/>
              <w:autoSpaceDE w:val="0"/>
              <w:autoSpaceDN w:val="0"/>
              <w:spacing w:line="240" w:lineRule="auto"/>
              <w:ind w:firstLine="0" w:firstLineChars="0"/>
              <w:jc w:val="center"/>
              <w:rPr>
                <w:rFonts w:hint="default" w:eastAsia="宋体"/>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1704.4</w:t>
            </w:r>
          </w:p>
        </w:tc>
        <w:tc>
          <w:tcPr>
            <w:tcW w:w="836" w:type="pct"/>
            <w:vAlign w:val="center"/>
          </w:tcPr>
          <w:p w14:paraId="20E396B4">
            <w:pPr>
              <w:kinsoku w:val="0"/>
              <w:overflowPunct w:val="0"/>
              <w:autoSpaceDE w:val="0"/>
              <w:autoSpaceDN w:val="0"/>
              <w:spacing w:line="240" w:lineRule="auto"/>
              <w:ind w:firstLine="0" w:firstLineChars="0"/>
              <w:jc w:val="center"/>
              <w:rPr>
                <w:bCs/>
                <w:sz w:val="21"/>
                <w:szCs w:val="21"/>
                <w:highlight w:val="none"/>
              </w:rPr>
            </w:pPr>
            <w:r>
              <w:rPr>
                <w:rFonts w:hint="eastAsia"/>
                <w:bCs/>
                <w:color w:val="000000" w:themeColor="text1"/>
                <w:sz w:val="21"/>
                <w:szCs w:val="21"/>
                <w:highlight w:val="none"/>
                <w:lang w:val="en-US" w:eastAsia="zh-CN"/>
                <w14:textFill>
                  <w14:solidFill>
                    <w14:schemeClr w14:val="tx1"/>
                  </w14:solidFill>
                </w14:textFill>
              </w:rPr>
              <w:t>1704.4</w:t>
            </w:r>
          </w:p>
        </w:tc>
        <w:tc>
          <w:tcPr>
            <w:tcW w:w="836" w:type="pct"/>
            <w:vAlign w:val="center"/>
          </w:tcPr>
          <w:p w14:paraId="26562578">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0</w:t>
            </w:r>
          </w:p>
        </w:tc>
        <w:tc>
          <w:tcPr>
            <w:tcW w:w="1302" w:type="pct"/>
            <w:vAlign w:val="center"/>
          </w:tcPr>
          <w:p w14:paraId="695BB330">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r w14:paraId="6DE082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90" w:type="pct"/>
            <w:vMerge w:val="continue"/>
            <w:vAlign w:val="center"/>
          </w:tcPr>
          <w:p w14:paraId="473C8FE4">
            <w:pPr>
              <w:kinsoku w:val="0"/>
              <w:overflowPunct w:val="0"/>
              <w:autoSpaceDE w:val="0"/>
              <w:autoSpaceDN w:val="0"/>
              <w:spacing w:line="240" w:lineRule="auto"/>
              <w:ind w:firstLine="0" w:firstLineChars="0"/>
              <w:jc w:val="center"/>
              <w:rPr>
                <w:sz w:val="21"/>
                <w:szCs w:val="21"/>
                <w:highlight w:val="none"/>
              </w:rPr>
            </w:pPr>
          </w:p>
        </w:tc>
        <w:tc>
          <w:tcPr>
            <w:tcW w:w="896" w:type="pct"/>
            <w:gridSpan w:val="2"/>
            <w:vAlign w:val="center"/>
          </w:tcPr>
          <w:p w14:paraId="3D0D2A3A">
            <w:pPr>
              <w:kinsoku w:val="0"/>
              <w:overflowPunct w:val="0"/>
              <w:autoSpaceDE w:val="0"/>
              <w:autoSpaceDN w:val="0"/>
              <w:spacing w:line="240" w:lineRule="auto"/>
              <w:ind w:firstLine="0" w:firstLineChars="0"/>
              <w:jc w:val="center"/>
              <w:rPr>
                <w:sz w:val="21"/>
                <w:szCs w:val="21"/>
                <w:highlight w:val="none"/>
              </w:rPr>
            </w:pPr>
            <w:r>
              <w:rPr>
                <w:sz w:val="21"/>
                <w:szCs w:val="21"/>
                <w:highlight w:val="none"/>
              </w:rPr>
              <w:t>危险废物</w:t>
            </w:r>
          </w:p>
        </w:tc>
        <w:tc>
          <w:tcPr>
            <w:tcW w:w="836" w:type="pct"/>
            <w:vAlign w:val="center"/>
          </w:tcPr>
          <w:p w14:paraId="19474778">
            <w:pPr>
              <w:kinsoku w:val="0"/>
              <w:overflowPunct w:val="0"/>
              <w:autoSpaceDE w:val="0"/>
              <w:autoSpaceDN w:val="0"/>
              <w:spacing w:line="240" w:lineRule="auto"/>
              <w:ind w:firstLine="0" w:firstLineChars="0"/>
              <w:jc w:val="center"/>
              <w:rPr>
                <w:rFonts w:hint="default" w:eastAsia="宋体"/>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155.588</w:t>
            </w:r>
          </w:p>
        </w:tc>
        <w:tc>
          <w:tcPr>
            <w:tcW w:w="836" w:type="pct"/>
            <w:vAlign w:val="center"/>
          </w:tcPr>
          <w:p w14:paraId="08267155">
            <w:pPr>
              <w:kinsoku w:val="0"/>
              <w:overflowPunct w:val="0"/>
              <w:autoSpaceDE w:val="0"/>
              <w:autoSpaceDN w:val="0"/>
              <w:spacing w:line="240" w:lineRule="auto"/>
              <w:ind w:firstLine="0" w:firstLineChars="0"/>
              <w:jc w:val="center"/>
              <w:rPr>
                <w:bCs/>
                <w:sz w:val="21"/>
                <w:szCs w:val="21"/>
                <w:highlight w:val="none"/>
              </w:rPr>
            </w:pPr>
            <w:r>
              <w:rPr>
                <w:rFonts w:hint="eastAsia"/>
                <w:bCs/>
                <w:color w:val="000000" w:themeColor="text1"/>
                <w:sz w:val="21"/>
                <w:szCs w:val="21"/>
                <w:highlight w:val="none"/>
                <w:lang w:val="en-US" w:eastAsia="zh-CN"/>
                <w14:textFill>
                  <w14:solidFill>
                    <w14:schemeClr w14:val="tx1"/>
                  </w14:solidFill>
                </w14:textFill>
              </w:rPr>
              <w:t>155.588</w:t>
            </w:r>
          </w:p>
        </w:tc>
        <w:tc>
          <w:tcPr>
            <w:tcW w:w="836" w:type="pct"/>
            <w:vAlign w:val="center"/>
          </w:tcPr>
          <w:p w14:paraId="3085873D">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0</w:t>
            </w:r>
          </w:p>
        </w:tc>
        <w:tc>
          <w:tcPr>
            <w:tcW w:w="1302" w:type="pct"/>
            <w:vAlign w:val="center"/>
          </w:tcPr>
          <w:p w14:paraId="00D15A7E">
            <w:pPr>
              <w:kinsoku w:val="0"/>
              <w:overflowPunct w:val="0"/>
              <w:autoSpaceDE w:val="0"/>
              <w:autoSpaceDN w:val="0"/>
              <w:spacing w:line="240" w:lineRule="auto"/>
              <w:ind w:firstLine="0" w:firstLineChars="0"/>
              <w:jc w:val="center"/>
              <w:rPr>
                <w:bCs/>
                <w:sz w:val="21"/>
                <w:szCs w:val="21"/>
                <w:highlight w:val="none"/>
              </w:rPr>
            </w:pPr>
            <w:r>
              <w:rPr>
                <w:bCs/>
                <w:sz w:val="21"/>
                <w:szCs w:val="21"/>
                <w:highlight w:val="none"/>
              </w:rPr>
              <w:t>/</w:t>
            </w:r>
          </w:p>
        </w:tc>
      </w:tr>
    </w:tbl>
    <w:p w14:paraId="5055B6FB">
      <w:pPr>
        <w:pStyle w:val="54"/>
        <w:spacing w:line="240" w:lineRule="auto"/>
        <w:ind w:firstLine="42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highlight w:val="none"/>
        </w:rPr>
        <w:t>注：*由于获嘉县同盟污水处理厂出水TN因子高于厂区出厂水质，因此污水处理厂</w:t>
      </w:r>
      <w:r>
        <w:rPr>
          <w:rFonts w:hint="default" w:ascii="Times New Roman" w:hAnsi="Times New Roman" w:eastAsia="宋体" w:cs="Times New Roman"/>
          <w:b/>
          <w:bCs w:val="0"/>
          <w:sz w:val="21"/>
          <w:szCs w:val="21"/>
        </w:rPr>
        <w:t>出水总量以厂区总排口总量计。</w:t>
      </w:r>
    </w:p>
    <w:p w14:paraId="178782E4">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3.8本项目清洁生产分析</w:t>
      </w:r>
      <w:bookmarkEnd w:id="415"/>
      <w:bookmarkEnd w:id="416"/>
      <w:bookmarkEnd w:id="417"/>
    </w:p>
    <w:p w14:paraId="44B52FF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18" w:name="_Toc108122519"/>
      <w:r>
        <w:rPr>
          <w:rFonts w:hint="eastAsia" w:ascii="Times New Roman" w:hAnsi="Times New Roman" w:cs="Times New Roman"/>
          <w:lang w:val="en-US" w:eastAsia="zh-CN"/>
        </w:rPr>
        <w:t>3.8.1清洁生产的意义</w:t>
      </w:r>
      <w:bookmarkEnd w:id="418"/>
    </w:p>
    <w:p w14:paraId="75FE9123">
      <w:pPr>
        <w:pStyle w:val="72"/>
      </w:pPr>
      <w:r>
        <w:rPr>
          <w:rFonts w:hint="eastAsia"/>
        </w:rPr>
        <w:t>《中华人民共和国清洁生产促进法》中指出清洁生产是指不断采取改进设计、使用清洁的能源和原料、采用先进的工艺技术与设备、改善管理、综合利用等措施，从源头削减污染，提高资源利用效率，减少或者避免生产、服务和产品使用过程中污染物的产生和排放，以减轻或者消除对人类健康和环境的危害。清洁生产的核心是从源头抓起，预防为主，生产全过程控制，实现经济效益和环境效益的统一。清洁生产涉及的范围很广，从改善日常管理的简单措施到原材料的变更，从工艺设计的选择到新设备的更换，都是清洁生产所包括的内容。</w:t>
      </w:r>
    </w:p>
    <w:p w14:paraId="3BFC577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19" w:name="_Toc108122520"/>
      <w:r>
        <w:rPr>
          <w:rFonts w:hint="eastAsia" w:ascii="Times New Roman" w:hAnsi="Times New Roman" w:cs="Times New Roman"/>
          <w:lang w:val="en-US" w:eastAsia="zh-CN"/>
        </w:rPr>
        <w:t>3.8.2本项目工艺、设备先进性分析</w:t>
      </w:r>
    </w:p>
    <w:p w14:paraId="58B4384C">
      <w:pPr>
        <w:ind w:firstLine="480"/>
        <w:rPr>
          <w:rFonts w:hint="eastAsia" w:ascii="Times New Roman" w:hAnsi="Times New Roman" w:eastAsia="宋体" w:cs="宋体"/>
          <w:sz w:val="24"/>
          <w:lang w:val="en-US" w:eastAsia="zh-CN" w:bidi="ar-SA"/>
        </w:rPr>
      </w:pPr>
      <w:r>
        <w:rPr>
          <w:rFonts w:hint="eastAsia" w:ascii="Times New Roman" w:hAnsi="Times New Roman" w:eastAsia="宋体" w:cs="宋体"/>
          <w:sz w:val="24"/>
          <w:lang w:val="en-US" w:eastAsia="zh-CN" w:bidi="ar-SA"/>
        </w:rPr>
        <w:t>结合同行业装备及自动化控制水平、绩效分级要求：</w:t>
      </w:r>
    </w:p>
    <w:p w14:paraId="14E0ADCE">
      <w:pPr>
        <w:ind w:firstLine="480"/>
        <w:rPr>
          <w:rFonts w:hint="eastAsia" w:ascii="Times New Roman" w:hAnsi="Times New Roman" w:eastAsia="宋体" w:cs="宋体"/>
          <w:sz w:val="24"/>
          <w:lang w:val="en-US" w:eastAsia="zh-CN" w:bidi="ar-SA"/>
        </w:rPr>
      </w:pPr>
      <w:r>
        <w:rPr>
          <w:rFonts w:hint="eastAsia" w:ascii="Times New Roman" w:hAnsi="Times New Roman" w:eastAsia="宋体" w:cs="宋体"/>
          <w:sz w:val="24"/>
          <w:lang w:val="en-US" w:eastAsia="zh-CN" w:bidi="ar-SA"/>
        </w:rPr>
        <w:t>①本项目烘干工序使用电烘箱，各镀槽加热均使用蒸汽加热，能够达到《河南省重污染天气重点行业应急减排措施制定技术指南（2024年修订版》中金属表面处理及热处理加工的A级要求；</w:t>
      </w:r>
    </w:p>
    <w:p w14:paraId="0A78646C">
      <w:pPr>
        <w:ind w:firstLine="480"/>
        <w:rPr>
          <w:rFonts w:hint="eastAsia" w:ascii="Times New Roman" w:hAnsi="Times New Roman" w:eastAsia="宋体" w:cs="宋体"/>
          <w:sz w:val="24"/>
          <w:lang w:val="en-US" w:eastAsia="zh-CN" w:bidi="ar-SA"/>
        </w:rPr>
      </w:pPr>
      <w:r>
        <w:rPr>
          <w:rFonts w:hint="eastAsia" w:ascii="Times New Roman" w:hAnsi="Times New Roman" w:eastAsia="宋体" w:cs="宋体"/>
          <w:sz w:val="24"/>
          <w:lang w:val="en-US" w:eastAsia="zh-CN" w:bidi="ar-SA"/>
        </w:rPr>
        <w:t>②电镀生产作业采用连续式一体化生产线，即镀槽、镀件提升转运装置、电器控制装置、电源设备、过滤设备、检测仪器、驱动装置、空气搅拌设备及线上污染控制设施等采用一体自动化成套装置，生产线为自动化生产，能够达到《河南省重污染天气重点行业应急减排措施制定技术指南（2024年修订版》中金属表面处理及热处理加工的A级要求；</w:t>
      </w:r>
    </w:p>
    <w:p w14:paraId="47B139A2">
      <w:pPr>
        <w:ind w:firstLine="480"/>
        <w:rPr>
          <w:rFonts w:hint="eastAsia" w:ascii="Times New Roman" w:hAnsi="Times New Roman" w:eastAsia="宋体" w:cs="宋体"/>
          <w:sz w:val="24"/>
          <w:lang w:val="en-US" w:eastAsia="zh-CN" w:bidi="ar-SA"/>
        </w:rPr>
      </w:pPr>
      <w:r>
        <w:rPr>
          <w:rFonts w:hint="eastAsia" w:ascii="Times New Roman" w:hAnsi="Times New Roman" w:eastAsia="宋体" w:cs="宋体"/>
          <w:sz w:val="24"/>
          <w:lang w:val="en-US" w:eastAsia="zh-CN" w:bidi="ar-SA"/>
        </w:rPr>
        <w:t>③电镀槽配套有镀液过滤设备，镀槽槽头溢流出的镀液经管道送入槽液过滤设备，经过滤、沉淀除杂后再通过槽尾返回至镀槽内，以此循环往复连续过滤，及时补加和调整溶液，定期去除溶液中的杂质；</w:t>
      </w:r>
    </w:p>
    <w:p w14:paraId="74FCD0BE">
      <w:pPr>
        <w:ind w:firstLine="480"/>
      </w:pPr>
      <w:r>
        <w:rPr>
          <w:rFonts w:hint="eastAsia"/>
        </w:rPr>
        <w:t>④电镀清洗采用逆流水洗等节水方式，设置用水计量装置和在线水回收设施；</w:t>
      </w:r>
    </w:p>
    <w:p w14:paraId="21E10183">
      <w:pPr>
        <w:ind w:firstLine="480"/>
      </w:pPr>
      <w:r>
        <w:rPr>
          <w:rFonts w:hint="eastAsia"/>
        </w:rPr>
        <w:t>⑤采用控制镀件出槽速率（缓慢出槽）以延长镀液滴流时间、配备槽液过滤设备、镀槽间装导流板、增加镀液回收槽回收重金属等四项减少镀液带出措施；</w:t>
      </w:r>
    </w:p>
    <w:p w14:paraId="5003B510">
      <w:pPr>
        <w:ind w:firstLine="480"/>
      </w:pPr>
      <w:r>
        <w:rPr>
          <w:rFonts w:hint="eastAsia"/>
        </w:rPr>
        <w:t>⑥废气收集采用生产线封闭+槽边抽风等高效集气技术，实现微负压收集，电镀酸碱废气采用两级及以上喷淋吸收处理工艺，能够达到《河南省重污染天气重点行业应急减排措施制定技术指南（</w:t>
      </w:r>
      <w:r>
        <w:rPr>
          <w:rFonts w:hint="eastAsia"/>
          <w:lang w:val="en-US" w:eastAsia="zh-CN"/>
        </w:rPr>
        <w:t>2024</w:t>
      </w:r>
      <w:r>
        <w:rPr>
          <w:rFonts w:hint="eastAsia"/>
        </w:rPr>
        <w:t>年修订</w:t>
      </w:r>
      <w:r>
        <w:rPr>
          <w:rFonts w:hint="eastAsia"/>
          <w:lang w:val="en-US" w:eastAsia="zh-CN"/>
        </w:rPr>
        <w:t>版</w:t>
      </w:r>
      <w:r>
        <w:rPr>
          <w:rFonts w:hint="eastAsia"/>
        </w:rPr>
        <w:t>》中金属表面处理及热处理加工的A级要求。</w:t>
      </w:r>
    </w:p>
    <w:p w14:paraId="4C2F5AE7">
      <w:pPr>
        <w:ind w:firstLine="480"/>
      </w:pPr>
      <w:r>
        <w:rPr>
          <w:rFonts w:hint="eastAsia"/>
        </w:rPr>
        <w:t>综上，本项目设备、工艺具有一定的先进性。</w:t>
      </w:r>
    </w:p>
    <w:p w14:paraId="4212ED9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3.8.3本项目清洁生产分析</w:t>
      </w:r>
      <w:bookmarkEnd w:id="419"/>
    </w:p>
    <w:bookmarkEnd w:id="363"/>
    <w:p w14:paraId="6B30A54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bookmarkStart w:id="420" w:name="_Toc256177444"/>
      <w:bookmarkStart w:id="421" w:name="_Toc247457094"/>
      <w:bookmarkStart w:id="422" w:name="_Hlk3809868"/>
      <w:bookmarkStart w:id="423" w:name="_Toc428287221"/>
      <w:bookmarkStart w:id="424" w:name="_Toc428286860"/>
      <w:bookmarkStart w:id="425" w:name="_Toc429318404"/>
      <w:r>
        <w:rPr>
          <w:rFonts w:hint="eastAsia" w:ascii="Times New Roman" w:hAnsi="Times New Roman" w:cs="Times New Roman"/>
          <w:lang w:val="en-US" w:eastAsia="zh-CN"/>
        </w:rPr>
        <w:t>3.8.3.1清洁生产评价方法</w:t>
      </w:r>
    </w:p>
    <w:p w14:paraId="444140DA">
      <w:pPr>
        <w:pStyle w:val="72"/>
        <w:rPr>
          <w:highlight w:val="yellow"/>
          <w:u w:val="single"/>
        </w:rPr>
      </w:pPr>
      <w:r>
        <w:rPr>
          <w:rFonts w:hint="eastAsia"/>
        </w:rPr>
        <w:t>本项目属于电镀行业，国家发展和改革委员会、环境保护部会同工业和信息化部2015年10月28日联合发布了《电镀行业清洁生产评价指标体系》（2015年 第25号）。因此，本项目对比《电镀行业清洁生产评价指标体系》进行分析，选取生产工艺与装备、资源能源利用消耗指标、资源综合利用指标、污染物产生指标、产品特征指标及清洁生产环境管理指标与标准进行比较分析。</w:t>
      </w:r>
    </w:p>
    <w:p w14:paraId="1661BD8B">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3.8.3.2清洁生产评价指标</w:t>
      </w:r>
    </w:p>
    <w:p w14:paraId="324588E0">
      <w:pPr>
        <w:pStyle w:val="72"/>
        <w:rPr>
          <w:highlight w:val="yellow"/>
          <w:u w:val="single"/>
        </w:rPr>
      </w:pPr>
      <w:r>
        <w:rPr>
          <w:rFonts w:hint="eastAsia"/>
        </w:rPr>
        <w:t>本项目含电镀，因此本项目与电镀行业清洁生产标准（综合电镀类）指标要求对比分析见下表。</w:t>
      </w:r>
    </w:p>
    <w:p w14:paraId="6F06E542">
      <w:pPr>
        <w:pStyle w:val="72"/>
        <w:rPr>
          <w:highlight w:val="yellow"/>
          <w:u w:val="single"/>
        </w:rPr>
        <w:sectPr>
          <w:footerReference r:id="rId10"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p>
    <w:p w14:paraId="2338A926">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3.8-1</w:t>
      </w:r>
      <w:r>
        <w:rPr>
          <w:rFonts w:hint="eastAsia" w:ascii="Times New Roman" w:hAnsi="Times New Roman" w:eastAsia="宋体" w:cs="Times New Roman"/>
          <w:color w:val="000000" w:themeColor="text1"/>
          <w:sz w:val="24"/>
          <w:highlight w:val="none"/>
          <w14:textFill>
            <w14:solidFill>
              <w14:schemeClr w14:val="tx1"/>
            </w14:solidFill>
          </w14:textFill>
        </w:rPr>
        <w:t xml:space="preserve">    综合电镀项目清洁生产评价指标项目、权重及基准值一览表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7"/>
        <w:gridCol w:w="721"/>
        <w:gridCol w:w="905"/>
        <w:gridCol w:w="1373"/>
        <w:gridCol w:w="952"/>
        <w:gridCol w:w="2550"/>
        <w:gridCol w:w="1984"/>
        <w:gridCol w:w="1702"/>
        <w:gridCol w:w="3421"/>
      </w:tblGrid>
      <w:tr w14:paraId="06597F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67" w:type="dxa"/>
            <w:vAlign w:val="center"/>
          </w:tcPr>
          <w:p w14:paraId="4FBDD7B1">
            <w:pPr>
              <w:pStyle w:val="81"/>
              <w:rPr>
                <w:rFonts w:cs="Times New Roman"/>
                <w:color w:val="auto"/>
                <w:highlight w:val="none"/>
              </w:rPr>
            </w:pPr>
            <w:r>
              <w:rPr>
                <w:rFonts w:cs="Times New Roman"/>
                <w:color w:val="auto"/>
                <w:highlight w:val="none"/>
              </w:rPr>
              <w:t>序号</w:t>
            </w:r>
          </w:p>
        </w:tc>
        <w:tc>
          <w:tcPr>
            <w:tcW w:w="721" w:type="dxa"/>
            <w:vAlign w:val="center"/>
          </w:tcPr>
          <w:p w14:paraId="410886AE">
            <w:pPr>
              <w:pStyle w:val="81"/>
              <w:rPr>
                <w:rFonts w:cs="Times New Roman"/>
                <w:color w:val="auto"/>
                <w:highlight w:val="none"/>
              </w:rPr>
            </w:pPr>
            <w:r>
              <w:rPr>
                <w:rFonts w:cs="Times New Roman"/>
                <w:color w:val="auto"/>
                <w:highlight w:val="none"/>
              </w:rPr>
              <w:t>一级指标</w:t>
            </w:r>
          </w:p>
        </w:tc>
        <w:tc>
          <w:tcPr>
            <w:tcW w:w="905" w:type="dxa"/>
            <w:vAlign w:val="center"/>
          </w:tcPr>
          <w:p w14:paraId="7F2391D5">
            <w:pPr>
              <w:pStyle w:val="81"/>
              <w:rPr>
                <w:rFonts w:cs="Times New Roman"/>
                <w:color w:val="auto"/>
                <w:highlight w:val="none"/>
              </w:rPr>
            </w:pPr>
            <w:r>
              <w:rPr>
                <w:rFonts w:cs="Times New Roman"/>
                <w:color w:val="auto"/>
                <w:highlight w:val="none"/>
              </w:rPr>
              <w:t>一级指标权重</w:t>
            </w:r>
          </w:p>
        </w:tc>
        <w:tc>
          <w:tcPr>
            <w:tcW w:w="1373" w:type="dxa"/>
            <w:vAlign w:val="center"/>
          </w:tcPr>
          <w:p w14:paraId="129E834E">
            <w:pPr>
              <w:pStyle w:val="81"/>
              <w:rPr>
                <w:rFonts w:cs="Times New Roman"/>
                <w:color w:val="auto"/>
                <w:highlight w:val="none"/>
              </w:rPr>
            </w:pPr>
            <w:r>
              <w:rPr>
                <w:rFonts w:cs="Times New Roman"/>
                <w:color w:val="auto"/>
                <w:highlight w:val="none"/>
              </w:rPr>
              <w:t>二级指标</w:t>
            </w:r>
          </w:p>
        </w:tc>
        <w:tc>
          <w:tcPr>
            <w:tcW w:w="952" w:type="dxa"/>
            <w:vAlign w:val="center"/>
          </w:tcPr>
          <w:p w14:paraId="6620029A">
            <w:pPr>
              <w:pStyle w:val="81"/>
              <w:rPr>
                <w:rFonts w:cs="Times New Roman"/>
                <w:color w:val="auto"/>
                <w:highlight w:val="none"/>
              </w:rPr>
            </w:pPr>
            <w:r>
              <w:rPr>
                <w:rFonts w:cs="Times New Roman"/>
                <w:color w:val="auto"/>
                <w:highlight w:val="none"/>
              </w:rPr>
              <w:t>二级指标权重</w:t>
            </w:r>
          </w:p>
        </w:tc>
        <w:tc>
          <w:tcPr>
            <w:tcW w:w="2550" w:type="dxa"/>
            <w:vAlign w:val="center"/>
          </w:tcPr>
          <w:p w14:paraId="7510C1C8">
            <w:pPr>
              <w:pStyle w:val="81"/>
              <w:rPr>
                <w:rFonts w:cs="Times New Roman"/>
                <w:color w:val="auto"/>
                <w:highlight w:val="none"/>
              </w:rPr>
            </w:pPr>
            <w:r>
              <w:rPr>
                <w:rFonts w:cs="Times New Roman"/>
                <w:color w:val="auto"/>
                <w:highlight w:val="none"/>
              </w:rPr>
              <w:t>Ⅰ级基准值</w:t>
            </w:r>
          </w:p>
        </w:tc>
        <w:tc>
          <w:tcPr>
            <w:tcW w:w="1984" w:type="dxa"/>
            <w:vAlign w:val="center"/>
          </w:tcPr>
          <w:p w14:paraId="1EE70ED1">
            <w:pPr>
              <w:pStyle w:val="81"/>
              <w:rPr>
                <w:rFonts w:cs="Times New Roman"/>
                <w:color w:val="auto"/>
                <w:highlight w:val="none"/>
              </w:rPr>
            </w:pPr>
            <w:r>
              <w:rPr>
                <w:rFonts w:cs="Times New Roman"/>
                <w:color w:val="auto"/>
                <w:highlight w:val="none"/>
              </w:rPr>
              <w:t>Ⅱ级基准值</w:t>
            </w:r>
          </w:p>
        </w:tc>
        <w:tc>
          <w:tcPr>
            <w:tcW w:w="1702" w:type="dxa"/>
            <w:vAlign w:val="center"/>
          </w:tcPr>
          <w:p w14:paraId="213036D4">
            <w:pPr>
              <w:pStyle w:val="81"/>
              <w:rPr>
                <w:rFonts w:cs="Times New Roman"/>
                <w:color w:val="auto"/>
                <w:highlight w:val="none"/>
              </w:rPr>
            </w:pPr>
            <w:r>
              <w:rPr>
                <w:rFonts w:cs="Times New Roman"/>
                <w:color w:val="auto"/>
                <w:highlight w:val="none"/>
              </w:rPr>
              <w:t>Ⅲ级基准值</w:t>
            </w:r>
          </w:p>
        </w:tc>
        <w:tc>
          <w:tcPr>
            <w:tcW w:w="3421" w:type="dxa"/>
            <w:vAlign w:val="center"/>
          </w:tcPr>
          <w:p w14:paraId="51B420C1">
            <w:pPr>
              <w:pStyle w:val="81"/>
              <w:rPr>
                <w:rFonts w:cs="Times New Roman"/>
                <w:color w:val="auto"/>
                <w:highlight w:val="none"/>
              </w:rPr>
            </w:pPr>
            <w:r>
              <w:rPr>
                <w:rFonts w:cs="Times New Roman"/>
                <w:color w:val="auto"/>
                <w:highlight w:val="none"/>
              </w:rPr>
              <w:t>本项目</w:t>
            </w:r>
          </w:p>
        </w:tc>
      </w:tr>
      <w:tr w14:paraId="43449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3285E6D3">
            <w:pPr>
              <w:pStyle w:val="75"/>
              <w:rPr>
                <w:kern w:val="2"/>
                <w:highlight w:val="none"/>
              </w:rPr>
            </w:pPr>
            <w:r>
              <w:rPr>
                <w:highlight w:val="none"/>
              </w:rPr>
              <w:t>1</w:t>
            </w:r>
          </w:p>
        </w:tc>
        <w:tc>
          <w:tcPr>
            <w:tcW w:w="721" w:type="dxa"/>
            <w:vMerge w:val="restart"/>
            <w:vAlign w:val="center"/>
          </w:tcPr>
          <w:p w14:paraId="55F507D7">
            <w:pPr>
              <w:pStyle w:val="75"/>
              <w:rPr>
                <w:kern w:val="2"/>
                <w:highlight w:val="none"/>
              </w:rPr>
            </w:pPr>
            <w:r>
              <w:rPr>
                <w:highlight w:val="none"/>
              </w:rPr>
              <w:t>生产工艺及装备指标</w:t>
            </w:r>
          </w:p>
        </w:tc>
        <w:tc>
          <w:tcPr>
            <w:tcW w:w="905" w:type="dxa"/>
            <w:vMerge w:val="restart"/>
            <w:vAlign w:val="center"/>
          </w:tcPr>
          <w:p w14:paraId="343A9F1E">
            <w:pPr>
              <w:pStyle w:val="75"/>
              <w:rPr>
                <w:kern w:val="2"/>
                <w:highlight w:val="none"/>
              </w:rPr>
            </w:pPr>
            <w:r>
              <w:rPr>
                <w:highlight w:val="none"/>
              </w:rPr>
              <w:t>0.33</w:t>
            </w:r>
          </w:p>
        </w:tc>
        <w:tc>
          <w:tcPr>
            <w:tcW w:w="1373" w:type="dxa"/>
            <w:vAlign w:val="center"/>
          </w:tcPr>
          <w:p w14:paraId="47F71DD6">
            <w:pPr>
              <w:pStyle w:val="75"/>
              <w:rPr>
                <w:kern w:val="2"/>
                <w:highlight w:val="none"/>
              </w:rPr>
            </w:pPr>
            <w:r>
              <w:rPr>
                <w:highlight w:val="none"/>
              </w:rPr>
              <w:t>采用清洁生产工艺</w:t>
            </w:r>
          </w:p>
        </w:tc>
        <w:tc>
          <w:tcPr>
            <w:tcW w:w="952" w:type="dxa"/>
            <w:vAlign w:val="center"/>
          </w:tcPr>
          <w:p w14:paraId="6E406FB5">
            <w:pPr>
              <w:pStyle w:val="75"/>
              <w:rPr>
                <w:kern w:val="2"/>
                <w:highlight w:val="none"/>
              </w:rPr>
            </w:pPr>
            <w:r>
              <w:rPr>
                <w:highlight w:val="none"/>
              </w:rPr>
              <w:t>0.15</w:t>
            </w:r>
          </w:p>
        </w:tc>
        <w:tc>
          <w:tcPr>
            <w:tcW w:w="2550" w:type="dxa"/>
            <w:vAlign w:val="center"/>
          </w:tcPr>
          <w:p w14:paraId="390A7235">
            <w:pPr>
              <w:pStyle w:val="77"/>
              <w:ind w:firstLine="0" w:firstLineChars="0"/>
              <w:rPr>
                <w:highlight w:val="none"/>
              </w:rPr>
            </w:pPr>
            <w:r>
              <w:rPr>
                <w:highlight w:val="none"/>
              </w:rPr>
              <w:t>1.民用产品采用低铬或三价铬钝化</w:t>
            </w:r>
          </w:p>
          <w:p w14:paraId="60CC340B">
            <w:pPr>
              <w:pStyle w:val="77"/>
              <w:ind w:firstLine="0" w:firstLineChars="0"/>
              <w:rPr>
                <w:highlight w:val="none"/>
              </w:rPr>
            </w:pPr>
            <w:r>
              <w:rPr>
                <w:highlight w:val="none"/>
              </w:rPr>
              <w:t>2.民用产品采用无氰镀锌</w:t>
            </w:r>
          </w:p>
          <w:p w14:paraId="14F56D34">
            <w:pPr>
              <w:pStyle w:val="77"/>
              <w:ind w:firstLine="0" w:firstLineChars="0"/>
              <w:rPr>
                <w:highlight w:val="none"/>
              </w:rPr>
            </w:pPr>
            <w:r>
              <w:rPr>
                <w:highlight w:val="none"/>
              </w:rPr>
              <w:t>3.使用金属回收工艺</w:t>
            </w:r>
          </w:p>
          <w:p w14:paraId="266B2A40">
            <w:pPr>
              <w:pStyle w:val="77"/>
              <w:ind w:firstLine="0" w:firstLineChars="0"/>
              <w:rPr>
                <w:kern w:val="2"/>
                <w:highlight w:val="none"/>
              </w:rPr>
            </w:pPr>
            <w:r>
              <w:rPr>
                <w:highlight w:val="none"/>
              </w:rPr>
              <w:t>4.电子元件采用无铅镀层代铅锡合金</w:t>
            </w:r>
          </w:p>
        </w:tc>
        <w:tc>
          <w:tcPr>
            <w:tcW w:w="3686" w:type="dxa"/>
            <w:gridSpan w:val="2"/>
            <w:vAlign w:val="center"/>
          </w:tcPr>
          <w:p w14:paraId="7840A23A">
            <w:pPr>
              <w:pStyle w:val="77"/>
              <w:ind w:firstLine="0" w:firstLineChars="0"/>
              <w:rPr>
                <w:highlight w:val="none"/>
              </w:rPr>
            </w:pPr>
            <w:r>
              <w:rPr>
                <w:highlight w:val="none"/>
              </w:rPr>
              <w:t>1.民用产品采用低铬或三价铬钝化</w:t>
            </w:r>
          </w:p>
          <w:p w14:paraId="629C8820">
            <w:pPr>
              <w:pStyle w:val="77"/>
              <w:ind w:firstLine="0" w:firstLineChars="0"/>
              <w:rPr>
                <w:highlight w:val="none"/>
              </w:rPr>
            </w:pPr>
            <w:r>
              <w:rPr>
                <w:highlight w:val="none"/>
              </w:rPr>
              <w:t>2.民用产品采用无氰镀锌</w:t>
            </w:r>
          </w:p>
          <w:p w14:paraId="2A1F139C">
            <w:pPr>
              <w:pStyle w:val="77"/>
              <w:ind w:firstLine="0" w:firstLineChars="0"/>
              <w:rPr>
                <w:kern w:val="2"/>
                <w:highlight w:val="none"/>
              </w:rPr>
            </w:pPr>
            <w:r>
              <w:rPr>
                <w:highlight w:val="none"/>
              </w:rPr>
              <w:t>3.使用金属回收工艺</w:t>
            </w:r>
          </w:p>
        </w:tc>
        <w:tc>
          <w:tcPr>
            <w:tcW w:w="3421" w:type="dxa"/>
            <w:vAlign w:val="center"/>
          </w:tcPr>
          <w:p w14:paraId="0540154D">
            <w:pPr>
              <w:pStyle w:val="77"/>
              <w:ind w:firstLine="0" w:firstLineChars="0"/>
              <w:rPr>
                <w:highlight w:val="none"/>
              </w:rPr>
            </w:pPr>
            <w:r>
              <w:rPr>
                <w:highlight w:val="none"/>
              </w:rPr>
              <w:t>1.本项目采用</w:t>
            </w:r>
            <w:r>
              <w:rPr>
                <w:rFonts w:hint="eastAsia"/>
                <w:highlight w:val="none"/>
              </w:rPr>
              <w:t>三价</w:t>
            </w:r>
            <w:r>
              <w:rPr>
                <w:highlight w:val="none"/>
              </w:rPr>
              <w:t>铬钝化</w:t>
            </w:r>
          </w:p>
          <w:p w14:paraId="067DE558">
            <w:pPr>
              <w:pStyle w:val="77"/>
              <w:ind w:firstLine="0" w:firstLineChars="0"/>
              <w:rPr>
                <w:highlight w:val="none"/>
              </w:rPr>
            </w:pPr>
            <w:r>
              <w:rPr>
                <w:highlight w:val="none"/>
              </w:rPr>
              <w:t>2.本项目无镀锌</w:t>
            </w:r>
          </w:p>
          <w:p w14:paraId="26D4278E">
            <w:pPr>
              <w:pStyle w:val="77"/>
              <w:ind w:firstLine="0" w:firstLineChars="0"/>
              <w:rPr>
                <w:highlight w:val="none"/>
              </w:rPr>
            </w:pPr>
            <w:r>
              <w:rPr>
                <w:highlight w:val="none"/>
              </w:rPr>
              <w:t>3.本项目镀槽后设置金属回收槽</w:t>
            </w:r>
          </w:p>
          <w:p w14:paraId="33FE2A1C">
            <w:pPr>
              <w:pStyle w:val="77"/>
              <w:ind w:firstLine="0" w:firstLineChars="0"/>
              <w:rPr>
                <w:highlight w:val="none"/>
              </w:rPr>
            </w:pPr>
            <w:r>
              <w:rPr>
                <w:highlight w:val="none"/>
              </w:rPr>
              <w:t>4.本项目不涉及电子元件生产</w:t>
            </w:r>
          </w:p>
          <w:p w14:paraId="38A23E80">
            <w:pPr>
              <w:pStyle w:val="77"/>
              <w:ind w:firstLine="0" w:firstLineChars="0"/>
              <w:rPr>
                <w:kern w:val="2"/>
                <w:highlight w:val="none"/>
              </w:rPr>
            </w:pPr>
            <w:r>
              <w:rPr>
                <w:highlight w:val="none"/>
              </w:rPr>
              <w:t>本项目符合Ⅰ级基准值要求</w:t>
            </w:r>
          </w:p>
        </w:tc>
      </w:tr>
      <w:tr w14:paraId="1E4CE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392964DD">
            <w:pPr>
              <w:pStyle w:val="75"/>
              <w:rPr>
                <w:kern w:val="2"/>
                <w:highlight w:val="none"/>
              </w:rPr>
            </w:pPr>
            <w:r>
              <w:rPr>
                <w:highlight w:val="none"/>
              </w:rPr>
              <w:t>2</w:t>
            </w:r>
          </w:p>
        </w:tc>
        <w:tc>
          <w:tcPr>
            <w:tcW w:w="721" w:type="dxa"/>
            <w:vMerge w:val="continue"/>
            <w:vAlign w:val="center"/>
          </w:tcPr>
          <w:p w14:paraId="040F3FB1">
            <w:pPr>
              <w:pStyle w:val="75"/>
              <w:rPr>
                <w:kern w:val="2"/>
                <w:highlight w:val="none"/>
              </w:rPr>
            </w:pPr>
          </w:p>
        </w:tc>
        <w:tc>
          <w:tcPr>
            <w:tcW w:w="905" w:type="dxa"/>
            <w:vMerge w:val="continue"/>
            <w:vAlign w:val="center"/>
          </w:tcPr>
          <w:p w14:paraId="580B0EC4">
            <w:pPr>
              <w:pStyle w:val="75"/>
              <w:rPr>
                <w:kern w:val="2"/>
                <w:highlight w:val="none"/>
              </w:rPr>
            </w:pPr>
          </w:p>
        </w:tc>
        <w:tc>
          <w:tcPr>
            <w:tcW w:w="1373" w:type="dxa"/>
            <w:vAlign w:val="center"/>
          </w:tcPr>
          <w:p w14:paraId="3B424826">
            <w:pPr>
              <w:pStyle w:val="75"/>
              <w:rPr>
                <w:kern w:val="2"/>
                <w:highlight w:val="none"/>
              </w:rPr>
            </w:pPr>
            <w:r>
              <w:rPr>
                <w:highlight w:val="none"/>
              </w:rPr>
              <w:t>清洁生产过程控制</w:t>
            </w:r>
          </w:p>
        </w:tc>
        <w:tc>
          <w:tcPr>
            <w:tcW w:w="952" w:type="dxa"/>
            <w:vAlign w:val="center"/>
          </w:tcPr>
          <w:p w14:paraId="78D6B690">
            <w:pPr>
              <w:pStyle w:val="75"/>
              <w:rPr>
                <w:kern w:val="2"/>
                <w:highlight w:val="none"/>
              </w:rPr>
            </w:pPr>
            <w:r>
              <w:rPr>
                <w:highlight w:val="none"/>
              </w:rPr>
              <w:t>0.15</w:t>
            </w:r>
          </w:p>
        </w:tc>
        <w:tc>
          <w:tcPr>
            <w:tcW w:w="2550" w:type="dxa"/>
            <w:vAlign w:val="center"/>
          </w:tcPr>
          <w:p w14:paraId="6026AD91">
            <w:pPr>
              <w:pStyle w:val="77"/>
              <w:ind w:firstLine="0" w:firstLineChars="0"/>
              <w:rPr>
                <w:highlight w:val="none"/>
              </w:rPr>
            </w:pPr>
            <w:r>
              <w:rPr>
                <w:highlight w:val="none"/>
              </w:rPr>
              <w:t>1.镀镍、锌溶液连续过滤</w:t>
            </w:r>
          </w:p>
          <w:p w14:paraId="46DD8C3C">
            <w:pPr>
              <w:pStyle w:val="77"/>
              <w:ind w:firstLine="0" w:firstLineChars="0"/>
              <w:rPr>
                <w:highlight w:val="none"/>
              </w:rPr>
            </w:pPr>
            <w:r>
              <w:rPr>
                <w:highlight w:val="none"/>
              </w:rPr>
              <w:t>2.及时补加和调整溶液</w:t>
            </w:r>
          </w:p>
          <w:p w14:paraId="3C59BD9A">
            <w:pPr>
              <w:pStyle w:val="77"/>
              <w:ind w:firstLine="0" w:firstLineChars="0"/>
              <w:rPr>
                <w:kern w:val="2"/>
                <w:highlight w:val="none"/>
              </w:rPr>
            </w:pPr>
            <w:r>
              <w:rPr>
                <w:highlight w:val="none"/>
              </w:rPr>
              <w:t>3.定期去除溶液中的杂质</w:t>
            </w:r>
          </w:p>
        </w:tc>
        <w:tc>
          <w:tcPr>
            <w:tcW w:w="3686" w:type="dxa"/>
            <w:gridSpan w:val="2"/>
            <w:vAlign w:val="center"/>
          </w:tcPr>
          <w:p w14:paraId="59CB94AF">
            <w:pPr>
              <w:pStyle w:val="77"/>
              <w:ind w:firstLine="0" w:firstLineChars="0"/>
              <w:rPr>
                <w:highlight w:val="none"/>
              </w:rPr>
            </w:pPr>
            <w:r>
              <w:rPr>
                <w:highlight w:val="none"/>
              </w:rPr>
              <w:t>1.镀镍溶液连续过滤</w:t>
            </w:r>
          </w:p>
          <w:p w14:paraId="7213F24F">
            <w:pPr>
              <w:pStyle w:val="77"/>
              <w:ind w:firstLine="0" w:firstLineChars="0"/>
              <w:rPr>
                <w:highlight w:val="none"/>
              </w:rPr>
            </w:pPr>
            <w:r>
              <w:rPr>
                <w:highlight w:val="none"/>
              </w:rPr>
              <w:t>2.及时补加和调整溶液</w:t>
            </w:r>
          </w:p>
          <w:p w14:paraId="0243C0C1">
            <w:pPr>
              <w:pStyle w:val="77"/>
              <w:ind w:firstLine="0" w:firstLineChars="0"/>
              <w:rPr>
                <w:kern w:val="2"/>
                <w:highlight w:val="none"/>
              </w:rPr>
            </w:pPr>
            <w:r>
              <w:rPr>
                <w:highlight w:val="none"/>
              </w:rPr>
              <w:t>3.定期去除溶液中的杂质</w:t>
            </w:r>
          </w:p>
        </w:tc>
        <w:tc>
          <w:tcPr>
            <w:tcW w:w="3421" w:type="dxa"/>
            <w:vAlign w:val="center"/>
          </w:tcPr>
          <w:p w14:paraId="6C5A9B3B">
            <w:pPr>
              <w:pStyle w:val="77"/>
              <w:ind w:firstLine="0" w:firstLineChars="0"/>
              <w:jc w:val="both"/>
              <w:rPr>
                <w:rFonts w:hint="eastAsia"/>
                <w:highlight w:val="none"/>
              </w:rPr>
            </w:pPr>
            <w:r>
              <w:rPr>
                <w:rFonts w:hint="eastAsia"/>
                <w:highlight w:val="none"/>
              </w:rPr>
              <w:t>1.本项目无镀锌，镀镍溶液连续过滤</w:t>
            </w:r>
          </w:p>
          <w:p w14:paraId="3DDE6D4A">
            <w:pPr>
              <w:pStyle w:val="77"/>
              <w:ind w:firstLine="0" w:firstLineChars="0"/>
              <w:jc w:val="both"/>
              <w:rPr>
                <w:rFonts w:hint="eastAsia"/>
                <w:highlight w:val="none"/>
              </w:rPr>
            </w:pPr>
            <w:r>
              <w:rPr>
                <w:rFonts w:hint="eastAsia"/>
                <w:highlight w:val="none"/>
              </w:rPr>
              <w:t>2.及时补加和调整溶液定</w:t>
            </w:r>
          </w:p>
          <w:p w14:paraId="5C400A40">
            <w:pPr>
              <w:pStyle w:val="77"/>
              <w:ind w:firstLine="0" w:firstLineChars="0"/>
              <w:jc w:val="both"/>
              <w:rPr>
                <w:kern w:val="2"/>
                <w:highlight w:val="none"/>
              </w:rPr>
            </w:pPr>
            <w:r>
              <w:rPr>
                <w:rFonts w:hint="eastAsia"/>
                <w:highlight w:val="none"/>
              </w:rPr>
              <w:t>3.</w:t>
            </w:r>
            <w:r>
              <w:rPr>
                <w:rFonts w:hint="eastAsia"/>
                <w:highlight w:val="none"/>
                <w:lang w:val="en-US" w:eastAsia="zh-CN"/>
              </w:rPr>
              <w:t>定</w:t>
            </w:r>
            <w:r>
              <w:rPr>
                <w:rFonts w:hint="eastAsia"/>
                <w:highlight w:val="none"/>
              </w:rPr>
              <w:t>期去除溶液中的杂质</w:t>
            </w:r>
            <w:r>
              <w:rPr>
                <w:rFonts w:hint="eastAsia"/>
                <w:highlight w:val="none"/>
                <w:lang w:eastAsia="zh-CN"/>
              </w:rPr>
              <w:t>，</w:t>
            </w:r>
            <w:r>
              <w:rPr>
                <w:rFonts w:hint="eastAsia"/>
                <w:highlight w:val="none"/>
              </w:rPr>
              <w:t>符合</w:t>
            </w:r>
            <w:r>
              <w:rPr>
                <w:rFonts w:cs="Times New Roman"/>
                <w:color w:val="auto"/>
                <w:highlight w:val="none"/>
              </w:rPr>
              <w:t>Ⅱ</w:t>
            </w:r>
            <w:r>
              <w:rPr>
                <w:rFonts w:hint="eastAsia"/>
                <w:highlight w:val="none"/>
              </w:rPr>
              <w:t>级基准值要求。</w:t>
            </w:r>
          </w:p>
        </w:tc>
      </w:tr>
      <w:tr w14:paraId="388FD5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073CCFEF">
            <w:pPr>
              <w:pStyle w:val="75"/>
              <w:rPr>
                <w:kern w:val="2"/>
                <w:highlight w:val="none"/>
              </w:rPr>
            </w:pPr>
            <w:r>
              <w:rPr>
                <w:highlight w:val="none"/>
              </w:rPr>
              <w:t>3</w:t>
            </w:r>
          </w:p>
        </w:tc>
        <w:tc>
          <w:tcPr>
            <w:tcW w:w="721" w:type="dxa"/>
            <w:vMerge w:val="continue"/>
            <w:vAlign w:val="center"/>
          </w:tcPr>
          <w:p w14:paraId="4301AD2F">
            <w:pPr>
              <w:pStyle w:val="75"/>
              <w:rPr>
                <w:kern w:val="2"/>
                <w:highlight w:val="none"/>
              </w:rPr>
            </w:pPr>
          </w:p>
        </w:tc>
        <w:tc>
          <w:tcPr>
            <w:tcW w:w="905" w:type="dxa"/>
            <w:vMerge w:val="continue"/>
            <w:vAlign w:val="center"/>
          </w:tcPr>
          <w:p w14:paraId="325DC81B">
            <w:pPr>
              <w:pStyle w:val="75"/>
              <w:rPr>
                <w:kern w:val="2"/>
                <w:highlight w:val="none"/>
              </w:rPr>
            </w:pPr>
          </w:p>
        </w:tc>
        <w:tc>
          <w:tcPr>
            <w:tcW w:w="1373" w:type="dxa"/>
            <w:vAlign w:val="center"/>
          </w:tcPr>
          <w:p w14:paraId="52D27A17">
            <w:pPr>
              <w:pStyle w:val="75"/>
              <w:rPr>
                <w:kern w:val="2"/>
                <w:highlight w:val="none"/>
              </w:rPr>
            </w:pPr>
            <w:r>
              <w:rPr>
                <w:highlight w:val="none"/>
              </w:rPr>
              <w:t>电镀生产线</w:t>
            </w:r>
          </w:p>
        </w:tc>
        <w:tc>
          <w:tcPr>
            <w:tcW w:w="952" w:type="dxa"/>
            <w:vAlign w:val="center"/>
          </w:tcPr>
          <w:p w14:paraId="6FA2ACBA">
            <w:pPr>
              <w:pStyle w:val="75"/>
              <w:rPr>
                <w:kern w:val="2"/>
                <w:highlight w:val="none"/>
              </w:rPr>
            </w:pPr>
            <w:r>
              <w:rPr>
                <w:highlight w:val="none"/>
              </w:rPr>
              <w:t>0.4</w:t>
            </w:r>
          </w:p>
        </w:tc>
        <w:tc>
          <w:tcPr>
            <w:tcW w:w="2550" w:type="dxa"/>
            <w:vAlign w:val="center"/>
          </w:tcPr>
          <w:p w14:paraId="4EC95CBF">
            <w:pPr>
              <w:pStyle w:val="77"/>
              <w:ind w:firstLine="0" w:firstLineChars="0"/>
              <w:jc w:val="both"/>
              <w:rPr>
                <w:kern w:val="2"/>
                <w:highlight w:val="none"/>
              </w:rPr>
            </w:pPr>
            <w:r>
              <w:rPr>
                <w:highlight w:val="none"/>
              </w:rPr>
              <w:t>电镀生产线采用节能措施，70%生产线实现自动化或半自动化</w:t>
            </w:r>
          </w:p>
        </w:tc>
        <w:tc>
          <w:tcPr>
            <w:tcW w:w="1984" w:type="dxa"/>
            <w:vAlign w:val="center"/>
          </w:tcPr>
          <w:p w14:paraId="1DF7EAEC">
            <w:pPr>
              <w:pStyle w:val="77"/>
              <w:ind w:firstLine="0" w:firstLineChars="0"/>
              <w:jc w:val="both"/>
              <w:rPr>
                <w:kern w:val="2"/>
                <w:highlight w:val="none"/>
              </w:rPr>
            </w:pPr>
            <w:r>
              <w:rPr>
                <w:highlight w:val="none"/>
              </w:rPr>
              <w:t>电镀生产线采用节能措施，50%生产线实现半自动化</w:t>
            </w:r>
          </w:p>
        </w:tc>
        <w:tc>
          <w:tcPr>
            <w:tcW w:w="1702" w:type="dxa"/>
            <w:vAlign w:val="center"/>
          </w:tcPr>
          <w:p w14:paraId="4AFC29EA">
            <w:pPr>
              <w:pStyle w:val="77"/>
              <w:ind w:firstLine="0" w:firstLineChars="0"/>
              <w:jc w:val="both"/>
              <w:rPr>
                <w:kern w:val="2"/>
                <w:highlight w:val="none"/>
              </w:rPr>
            </w:pPr>
            <w:r>
              <w:rPr>
                <w:highlight w:val="none"/>
              </w:rPr>
              <w:t>电镀生产线采用节能措施</w:t>
            </w:r>
          </w:p>
        </w:tc>
        <w:tc>
          <w:tcPr>
            <w:tcW w:w="3421" w:type="dxa"/>
            <w:vAlign w:val="center"/>
          </w:tcPr>
          <w:p w14:paraId="46E0C91A">
            <w:pPr>
              <w:pStyle w:val="77"/>
              <w:ind w:firstLine="0" w:firstLineChars="0"/>
              <w:jc w:val="both"/>
              <w:rPr>
                <w:kern w:val="2"/>
                <w:highlight w:val="none"/>
              </w:rPr>
            </w:pPr>
            <w:r>
              <w:rPr>
                <w:rFonts w:hint="eastAsia"/>
                <w:highlight w:val="none"/>
              </w:rPr>
              <w:t>本项目</w:t>
            </w:r>
            <w:r>
              <w:rPr>
                <w:highlight w:val="none"/>
              </w:rPr>
              <w:t>电镀生产线采用节能措施，电镀生产作业</w:t>
            </w:r>
            <w:r>
              <w:rPr>
                <w:rFonts w:hint="eastAsia"/>
                <w:highlight w:val="none"/>
              </w:rPr>
              <w:t>中镀槽、镀件提升转运装置、电器控制装置、电源设备、过滤设备、检测仪器、加热与冷却装置、滚筒驱动装置、空气搅拌设备及线上污染控制设施等采用一体自动化成套装置，全部为数控自动化生产，</w:t>
            </w:r>
            <w:r>
              <w:rPr>
                <w:highlight w:val="none"/>
              </w:rPr>
              <w:t>符合Ⅰ级基准值要求。</w:t>
            </w:r>
          </w:p>
        </w:tc>
      </w:tr>
      <w:tr w14:paraId="008D4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00F0B919">
            <w:pPr>
              <w:pStyle w:val="75"/>
              <w:rPr>
                <w:kern w:val="2"/>
                <w:highlight w:val="none"/>
              </w:rPr>
            </w:pPr>
            <w:r>
              <w:rPr>
                <w:highlight w:val="none"/>
              </w:rPr>
              <w:t>4</w:t>
            </w:r>
          </w:p>
        </w:tc>
        <w:tc>
          <w:tcPr>
            <w:tcW w:w="721" w:type="dxa"/>
            <w:vMerge w:val="continue"/>
            <w:vAlign w:val="center"/>
          </w:tcPr>
          <w:p w14:paraId="2DF9A097">
            <w:pPr>
              <w:pStyle w:val="75"/>
              <w:rPr>
                <w:kern w:val="2"/>
                <w:highlight w:val="none"/>
              </w:rPr>
            </w:pPr>
          </w:p>
        </w:tc>
        <w:tc>
          <w:tcPr>
            <w:tcW w:w="905" w:type="dxa"/>
            <w:vMerge w:val="continue"/>
            <w:vAlign w:val="center"/>
          </w:tcPr>
          <w:p w14:paraId="5C9296A6">
            <w:pPr>
              <w:pStyle w:val="75"/>
              <w:rPr>
                <w:kern w:val="2"/>
                <w:highlight w:val="none"/>
              </w:rPr>
            </w:pPr>
          </w:p>
        </w:tc>
        <w:tc>
          <w:tcPr>
            <w:tcW w:w="1373" w:type="dxa"/>
            <w:vAlign w:val="center"/>
          </w:tcPr>
          <w:p w14:paraId="7EAA42D1">
            <w:pPr>
              <w:pStyle w:val="75"/>
              <w:rPr>
                <w:kern w:val="2"/>
                <w:highlight w:val="none"/>
              </w:rPr>
            </w:pPr>
            <w:r>
              <w:rPr>
                <w:highlight w:val="none"/>
              </w:rPr>
              <w:t>有节水设施</w:t>
            </w:r>
          </w:p>
        </w:tc>
        <w:tc>
          <w:tcPr>
            <w:tcW w:w="952" w:type="dxa"/>
            <w:vAlign w:val="center"/>
          </w:tcPr>
          <w:p w14:paraId="64D252A5">
            <w:pPr>
              <w:pStyle w:val="75"/>
              <w:rPr>
                <w:kern w:val="2"/>
                <w:highlight w:val="none"/>
              </w:rPr>
            </w:pPr>
            <w:r>
              <w:rPr>
                <w:highlight w:val="none"/>
              </w:rPr>
              <w:t>0.3</w:t>
            </w:r>
          </w:p>
        </w:tc>
        <w:tc>
          <w:tcPr>
            <w:tcW w:w="4534" w:type="dxa"/>
            <w:gridSpan w:val="2"/>
            <w:vAlign w:val="center"/>
          </w:tcPr>
          <w:p w14:paraId="73B9748E">
            <w:pPr>
              <w:pStyle w:val="77"/>
              <w:ind w:firstLine="0" w:firstLineChars="0"/>
              <w:jc w:val="both"/>
              <w:rPr>
                <w:kern w:val="2"/>
                <w:highlight w:val="none"/>
              </w:rPr>
            </w:pPr>
            <w:r>
              <w:rPr>
                <w:highlight w:val="none"/>
              </w:rPr>
              <w:t>根据工艺选择逆流漂洗、淋洗、喷洗，电镀无单槽清洗等节水方式，有用水计量装置，有在线水回收设施</w:t>
            </w:r>
          </w:p>
        </w:tc>
        <w:tc>
          <w:tcPr>
            <w:tcW w:w="1702" w:type="dxa"/>
            <w:vAlign w:val="center"/>
          </w:tcPr>
          <w:p w14:paraId="2CB96C04">
            <w:pPr>
              <w:pStyle w:val="77"/>
              <w:ind w:firstLine="0" w:firstLineChars="0"/>
              <w:jc w:val="both"/>
              <w:rPr>
                <w:kern w:val="2"/>
                <w:highlight w:val="none"/>
              </w:rPr>
            </w:pPr>
            <w:r>
              <w:rPr>
                <w:highlight w:val="none"/>
              </w:rPr>
              <w:t>根据工艺选择逆流漂洗、喷淋等，电镀无单槽清洗等节水方式，有用水计量装置</w:t>
            </w:r>
          </w:p>
        </w:tc>
        <w:tc>
          <w:tcPr>
            <w:tcW w:w="3421" w:type="dxa"/>
            <w:vAlign w:val="center"/>
          </w:tcPr>
          <w:p w14:paraId="607195D1">
            <w:pPr>
              <w:pStyle w:val="77"/>
              <w:ind w:firstLine="0" w:firstLineChars="0"/>
              <w:jc w:val="both"/>
              <w:rPr>
                <w:kern w:val="2"/>
                <w:highlight w:val="none"/>
              </w:rPr>
            </w:pPr>
            <w:r>
              <w:rPr>
                <w:highlight w:val="none"/>
              </w:rPr>
              <w:t>电镀清洗采用</w:t>
            </w:r>
            <w:r>
              <w:rPr>
                <w:rFonts w:hint="eastAsia"/>
                <w:highlight w:val="none"/>
              </w:rPr>
              <w:t>多级</w:t>
            </w:r>
            <w:r>
              <w:rPr>
                <w:highlight w:val="none"/>
              </w:rPr>
              <w:t>逆流水洗等节水方式，电镀无单槽清洗，有用水计量装置</w:t>
            </w:r>
            <w:r>
              <w:rPr>
                <w:rFonts w:hint="eastAsia"/>
                <w:highlight w:val="none"/>
              </w:rPr>
              <w:t>，有在线水回收设施，</w:t>
            </w:r>
            <w:r>
              <w:rPr>
                <w:highlight w:val="none"/>
              </w:rPr>
              <w:t>符合Ⅰ级基准值要求</w:t>
            </w:r>
            <w:r>
              <w:rPr>
                <w:rFonts w:hint="eastAsia"/>
                <w:highlight w:val="none"/>
              </w:rPr>
              <w:t>。</w:t>
            </w:r>
          </w:p>
        </w:tc>
      </w:tr>
      <w:tr w14:paraId="0F3663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47F1EAEF">
            <w:pPr>
              <w:pStyle w:val="75"/>
              <w:rPr>
                <w:kern w:val="2"/>
                <w:highlight w:val="none"/>
              </w:rPr>
            </w:pPr>
            <w:r>
              <w:rPr>
                <w:highlight w:val="none"/>
              </w:rPr>
              <w:t>5</w:t>
            </w:r>
          </w:p>
        </w:tc>
        <w:tc>
          <w:tcPr>
            <w:tcW w:w="721" w:type="dxa"/>
            <w:vAlign w:val="center"/>
          </w:tcPr>
          <w:p w14:paraId="26CEBB21">
            <w:pPr>
              <w:pStyle w:val="75"/>
              <w:rPr>
                <w:kern w:val="2"/>
                <w:highlight w:val="none"/>
              </w:rPr>
            </w:pPr>
            <w:r>
              <w:rPr>
                <w:highlight w:val="none"/>
              </w:rPr>
              <w:t>资源消耗指标</w:t>
            </w:r>
          </w:p>
        </w:tc>
        <w:tc>
          <w:tcPr>
            <w:tcW w:w="905" w:type="dxa"/>
            <w:vAlign w:val="center"/>
          </w:tcPr>
          <w:p w14:paraId="63ED99EF">
            <w:pPr>
              <w:pStyle w:val="75"/>
              <w:rPr>
                <w:kern w:val="2"/>
                <w:highlight w:val="none"/>
              </w:rPr>
            </w:pPr>
            <w:r>
              <w:rPr>
                <w:highlight w:val="none"/>
              </w:rPr>
              <w:t>0.10</w:t>
            </w:r>
          </w:p>
        </w:tc>
        <w:tc>
          <w:tcPr>
            <w:tcW w:w="1373" w:type="dxa"/>
            <w:vAlign w:val="center"/>
          </w:tcPr>
          <w:p w14:paraId="2D374177">
            <w:pPr>
              <w:pStyle w:val="75"/>
              <w:rPr>
                <w:kern w:val="2"/>
                <w:highlight w:val="none"/>
              </w:rPr>
            </w:pPr>
            <w:r>
              <w:rPr>
                <w:highlight w:val="none"/>
              </w:rPr>
              <w:t>*单位产品每次清洗取水量（L/m</w:t>
            </w:r>
            <w:r>
              <w:rPr>
                <w:highlight w:val="none"/>
                <w:vertAlign w:val="superscript"/>
              </w:rPr>
              <w:t>2</w:t>
            </w:r>
            <w:r>
              <w:rPr>
                <w:highlight w:val="none"/>
              </w:rPr>
              <w:t>）</w:t>
            </w:r>
          </w:p>
        </w:tc>
        <w:tc>
          <w:tcPr>
            <w:tcW w:w="952" w:type="dxa"/>
            <w:vAlign w:val="center"/>
          </w:tcPr>
          <w:p w14:paraId="3BD72B54">
            <w:pPr>
              <w:pStyle w:val="75"/>
              <w:rPr>
                <w:kern w:val="2"/>
                <w:highlight w:val="none"/>
              </w:rPr>
            </w:pPr>
            <w:r>
              <w:rPr>
                <w:highlight w:val="none"/>
              </w:rPr>
              <w:t>1</w:t>
            </w:r>
          </w:p>
        </w:tc>
        <w:tc>
          <w:tcPr>
            <w:tcW w:w="2550" w:type="dxa"/>
            <w:vAlign w:val="center"/>
          </w:tcPr>
          <w:p w14:paraId="48A5F8BA">
            <w:pPr>
              <w:pStyle w:val="75"/>
              <w:rPr>
                <w:kern w:val="2"/>
                <w:highlight w:val="none"/>
              </w:rPr>
            </w:pPr>
            <w:r>
              <w:rPr>
                <w:highlight w:val="none"/>
              </w:rPr>
              <w:t>≤8</w:t>
            </w:r>
          </w:p>
        </w:tc>
        <w:tc>
          <w:tcPr>
            <w:tcW w:w="1984" w:type="dxa"/>
            <w:vAlign w:val="center"/>
          </w:tcPr>
          <w:p w14:paraId="2243CECA">
            <w:pPr>
              <w:pStyle w:val="75"/>
              <w:rPr>
                <w:kern w:val="2"/>
                <w:highlight w:val="none"/>
              </w:rPr>
            </w:pPr>
            <w:r>
              <w:rPr>
                <w:highlight w:val="none"/>
              </w:rPr>
              <w:t>≤24</w:t>
            </w:r>
          </w:p>
        </w:tc>
        <w:tc>
          <w:tcPr>
            <w:tcW w:w="1702" w:type="dxa"/>
            <w:vAlign w:val="center"/>
          </w:tcPr>
          <w:p w14:paraId="1E60DF58">
            <w:pPr>
              <w:pStyle w:val="75"/>
              <w:rPr>
                <w:kern w:val="2"/>
                <w:highlight w:val="none"/>
              </w:rPr>
            </w:pPr>
            <w:r>
              <w:rPr>
                <w:highlight w:val="none"/>
              </w:rPr>
              <w:t>≤40</w:t>
            </w:r>
          </w:p>
        </w:tc>
        <w:tc>
          <w:tcPr>
            <w:tcW w:w="3421" w:type="dxa"/>
            <w:vAlign w:val="center"/>
          </w:tcPr>
          <w:p w14:paraId="05650325">
            <w:pPr>
              <w:pStyle w:val="77"/>
              <w:ind w:firstLine="0" w:firstLineChars="0"/>
              <w:jc w:val="both"/>
              <w:rPr>
                <w:kern w:val="2"/>
                <w:highlight w:val="none"/>
              </w:rPr>
            </w:pPr>
            <w:r>
              <w:rPr>
                <w:rFonts w:hint="eastAsia"/>
                <w:highlight w:val="none"/>
              </w:rPr>
              <w:t>根据废水产排污分析可知，则</w:t>
            </w:r>
            <w:r>
              <w:rPr>
                <w:highlight w:val="none"/>
              </w:rPr>
              <w:t>本项目电镀单位产品清洗水用量为</w:t>
            </w:r>
            <w:r>
              <w:rPr>
                <w:rFonts w:hint="eastAsia"/>
                <w:highlight w:val="none"/>
                <w:lang w:val="en-US" w:eastAsia="zh-CN"/>
              </w:rPr>
              <w:t>6.0</w:t>
            </w:r>
            <w:r>
              <w:rPr>
                <w:highlight w:val="none"/>
              </w:rPr>
              <w:t>L/m</w:t>
            </w:r>
            <w:r>
              <w:rPr>
                <w:highlight w:val="none"/>
                <w:vertAlign w:val="superscript"/>
              </w:rPr>
              <w:t>2</w:t>
            </w:r>
            <w:r>
              <w:rPr>
                <w:highlight w:val="none"/>
              </w:rPr>
              <w:t>，符合Ⅰ级基准值要求。</w:t>
            </w:r>
          </w:p>
        </w:tc>
      </w:tr>
      <w:tr w14:paraId="02AD60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34961282">
            <w:pPr>
              <w:pStyle w:val="75"/>
              <w:rPr>
                <w:kern w:val="2"/>
                <w:highlight w:val="none"/>
              </w:rPr>
            </w:pPr>
            <w:r>
              <w:rPr>
                <w:highlight w:val="none"/>
              </w:rPr>
              <w:t>6</w:t>
            </w:r>
          </w:p>
        </w:tc>
        <w:tc>
          <w:tcPr>
            <w:tcW w:w="721" w:type="dxa"/>
            <w:vMerge w:val="restart"/>
            <w:vAlign w:val="center"/>
          </w:tcPr>
          <w:p w14:paraId="7C50C97C">
            <w:pPr>
              <w:pStyle w:val="75"/>
              <w:rPr>
                <w:kern w:val="2"/>
                <w:highlight w:val="none"/>
              </w:rPr>
            </w:pPr>
            <w:r>
              <w:rPr>
                <w:highlight w:val="none"/>
              </w:rPr>
              <w:t>资源综合利用</w:t>
            </w:r>
          </w:p>
        </w:tc>
        <w:tc>
          <w:tcPr>
            <w:tcW w:w="905" w:type="dxa"/>
            <w:vMerge w:val="restart"/>
            <w:vAlign w:val="center"/>
          </w:tcPr>
          <w:p w14:paraId="424E8618">
            <w:pPr>
              <w:pStyle w:val="75"/>
              <w:rPr>
                <w:kern w:val="2"/>
                <w:highlight w:val="none"/>
              </w:rPr>
            </w:pPr>
            <w:r>
              <w:rPr>
                <w:highlight w:val="none"/>
              </w:rPr>
              <w:t>0.18</w:t>
            </w:r>
          </w:p>
        </w:tc>
        <w:tc>
          <w:tcPr>
            <w:tcW w:w="1373" w:type="dxa"/>
            <w:vAlign w:val="center"/>
          </w:tcPr>
          <w:p w14:paraId="597B1DDC">
            <w:pPr>
              <w:pStyle w:val="75"/>
              <w:rPr>
                <w:kern w:val="2"/>
                <w:highlight w:val="none"/>
              </w:rPr>
            </w:pPr>
            <w:r>
              <w:rPr>
                <w:highlight w:val="none"/>
              </w:rPr>
              <w:t>锌利用率（%）</w:t>
            </w:r>
          </w:p>
        </w:tc>
        <w:tc>
          <w:tcPr>
            <w:tcW w:w="952" w:type="dxa"/>
            <w:vAlign w:val="center"/>
          </w:tcPr>
          <w:p w14:paraId="63356446">
            <w:pPr>
              <w:pStyle w:val="75"/>
              <w:rPr>
                <w:kern w:val="2"/>
                <w:highlight w:val="none"/>
              </w:rPr>
            </w:pPr>
            <w:r>
              <w:rPr>
                <w:highlight w:val="none"/>
              </w:rPr>
              <w:t>0.8/n</w:t>
            </w:r>
          </w:p>
        </w:tc>
        <w:tc>
          <w:tcPr>
            <w:tcW w:w="2550" w:type="dxa"/>
            <w:vAlign w:val="center"/>
          </w:tcPr>
          <w:p w14:paraId="1254CC17">
            <w:pPr>
              <w:pStyle w:val="75"/>
              <w:rPr>
                <w:kern w:val="2"/>
                <w:highlight w:val="none"/>
              </w:rPr>
            </w:pPr>
            <w:r>
              <w:rPr>
                <w:highlight w:val="none"/>
              </w:rPr>
              <w:t>≥82</w:t>
            </w:r>
          </w:p>
        </w:tc>
        <w:tc>
          <w:tcPr>
            <w:tcW w:w="1984" w:type="dxa"/>
            <w:vAlign w:val="center"/>
          </w:tcPr>
          <w:p w14:paraId="5A264F18">
            <w:pPr>
              <w:pStyle w:val="75"/>
              <w:rPr>
                <w:kern w:val="2"/>
                <w:highlight w:val="none"/>
              </w:rPr>
            </w:pPr>
            <w:r>
              <w:rPr>
                <w:highlight w:val="none"/>
              </w:rPr>
              <w:t>≥80</w:t>
            </w:r>
          </w:p>
        </w:tc>
        <w:tc>
          <w:tcPr>
            <w:tcW w:w="1702" w:type="dxa"/>
            <w:vAlign w:val="center"/>
          </w:tcPr>
          <w:p w14:paraId="0AB5232A">
            <w:pPr>
              <w:pStyle w:val="75"/>
              <w:rPr>
                <w:kern w:val="2"/>
                <w:highlight w:val="none"/>
              </w:rPr>
            </w:pPr>
            <w:r>
              <w:rPr>
                <w:highlight w:val="none"/>
              </w:rPr>
              <w:t>≥75</w:t>
            </w:r>
          </w:p>
        </w:tc>
        <w:tc>
          <w:tcPr>
            <w:tcW w:w="3421" w:type="dxa"/>
            <w:vAlign w:val="center"/>
          </w:tcPr>
          <w:p w14:paraId="6212B4C2">
            <w:pPr>
              <w:pStyle w:val="75"/>
              <w:rPr>
                <w:kern w:val="2"/>
                <w:highlight w:val="none"/>
              </w:rPr>
            </w:pPr>
            <w:r>
              <w:rPr>
                <w:kern w:val="2"/>
                <w:highlight w:val="none"/>
              </w:rPr>
              <w:t>本项目不含镀</w:t>
            </w:r>
            <w:r>
              <w:rPr>
                <w:highlight w:val="none"/>
              </w:rPr>
              <w:t>锌</w:t>
            </w:r>
            <w:r>
              <w:rPr>
                <w:rFonts w:hint="eastAsia"/>
                <w:highlight w:val="none"/>
              </w:rPr>
              <w:t>。</w:t>
            </w:r>
          </w:p>
        </w:tc>
      </w:tr>
      <w:tr w14:paraId="7C3521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5061A8E7">
            <w:pPr>
              <w:pStyle w:val="75"/>
              <w:rPr>
                <w:kern w:val="2"/>
                <w:highlight w:val="none"/>
              </w:rPr>
            </w:pPr>
            <w:r>
              <w:rPr>
                <w:highlight w:val="none"/>
              </w:rPr>
              <w:t>7</w:t>
            </w:r>
          </w:p>
        </w:tc>
        <w:tc>
          <w:tcPr>
            <w:tcW w:w="721" w:type="dxa"/>
            <w:vMerge w:val="continue"/>
            <w:vAlign w:val="center"/>
          </w:tcPr>
          <w:p w14:paraId="4D9995A3">
            <w:pPr>
              <w:pStyle w:val="75"/>
              <w:rPr>
                <w:kern w:val="2"/>
                <w:highlight w:val="none"/>
              </w:rPr>
            </w:pPr>
          </w:p>
        </w:tc>
        <w:tc>
          <w:tcPr>
            <w:tcW w:w="905" w:type="dxa"/>
            <w:vMerge w:val="continue"/>
            <w:vAlign w:val="center"/>
          </w:tcPr>
          <w:p w14:paraId="180E7864">
            <w:pPr>
              <w:pStyle w:val="75"/>
              <w:rPr>
                <w:kern w:val="2"/>
                <w:highlight w:val="none"/>
              </w:rPr>
            </w:pPr>
          </w:p>
        </w:tc>
        <w:tc>
          <w:tcPr>
            <w:tcW w:w="1373" w:type="dxa"/>
            <w:vAlign w:val="center"/>
          </w:tcPr>
          <w:p w14:paraId="7E2D5690">
            <w:pPr>
              <w:pStyle w:val="75"/>
              <w:rPr>
                <w:kern w:val="2"/>
                <w:highlight w:val="none"/>
              </w:rPr>
            </w:pPr>
            <w:r>
              <w:rPr>
                <w:highlight w:val="none"/>
              </w:rPr>
              <w:t>铜利用率（%）</w:t>
            </w:r>
          </w:p>
        </w:tc>
        <w:tc>
          <w:tcPr>
            <w:tcW w:w="952" w:type="dxa"/>
            <w:vAlign w:val="center"/>
          </w:tcPr>
          <w:p w14:paraId="2C5EC208">
            <w:pPr>
              <w:pStyle w:val="75"/>
              <w:rPr>
                <w:highlight w:val="none"/>
              </w:rPr>
            </w:pPr>
            <w:r>
              <w:rPr>
                <w:highlight w:val="none"/>
              </w:rPr>
              <w:t>0.8/n</w:t>
            </w:r>
          </w:p>
        </w:tc>
        <w:tc>
          <w:tcPr>
            <w:tcW w:w="2550" w:type="dxa"/>
            <w:vAlign w:val="center"/>
          </w:tcPr>
          <w:p w14:paraId="4A468027">
            <w:pPr>
              <w:pStyle w:val="75"/>
              <w:rPr>
                <w:kern w:val="2"/>
                <w:highlight w:val="none"/>
              </w:rPr>
            </w:pPr>
            <w:r>
              <w:rPr>
                <w:highlight w:val="none"/>
              </w:rPr>
              <w:t>≥90</w:t>
            </w:r>
          </w:p>
        </w:tc>
        <w:tc>
          <w:tcPr>
            <w:tcW w:w="1984" w:type="dxa"/>
            <w:vAlign w:val="center"/>
          </w:tcPr>
          <w:p w14:paraId="0DAF2A71">
            <w:pPr>
              <w:pStyle w:val="75"/>
              <w:rPr>
                <w:kern w:val="2"/>
                <w:highlight w:val="none"/>
              </w:rPr>
            </w:pPr>
            <w:r>
              <w:rPr>
                <w:highlight w:val="none"/>
              </w:rPr>
              <w:t>≥80</w:t>
            </w:r>
          </w:p>
        </w:tc>
        <w:tc>
          <w:tcPr>
            <w:tcW w:w="1702" w:type="dxa"/>
            <w:vAlign w:val="center"/>
          </w:tcPr>
          <w:p w14:paraId="13FBF577">
            <w:pPr>
              <w:pStyle w:val="75"/>
              <w:rPr>
                <w:kern w:val="2"/>
                <w:highlight w:val="none"/>
              </w:rPr>
            </w:pPr>
            <w:r>
              <w:rPr>
                <w:highlight w:val="none"/>
              </w:rPr>
              <w:t>≥75</w:t>
            </w:r>
          </w:p>
        </w:tc>
        <w:tc>
          <w:tcPr>
            <w:tcW w:w="3421" w:type="dxa"/>
            <w:vAlign w:val="center"/>
          </w:tcPr>
          <w:p w14:paraId="4404837D">
            <w:pPr>
              <w:pStyle w:val="75"/>
              <w:rPr>
                <w:kern w:val="2"/>
                <w:highlight w:val="none"/>
              </w:rPr>
            </w:pPr>
            <w:r>
              <w:rPr>
                <w:kern w:val="2"/>
                <w:highlight w:val="none"/>
              </w:rPr>
              <w:t>本项目不含镀铜</w:t>
            </w:r>
            <w:r>
              <w:rPr>
                <w:rFonts w:hint="eastAsia"/>
                <w:kern w:val="2"/>
                <w:highlight w:val="none"/>
              </w:rPr>
              <w:t>。</w:t>
            </w:r>
          </w:p>
        </w:tc>
      </w:tr>
      <w:tr w14:paraId="548067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1D45F811">
            <w:pPr>
              <w:pStyle w:val="75"/>
              <w:rPr>
                <w:kern w:val="2"/>
                <w:highlight w:val="none"/>
              </w:rPr>
            </w:pPr>
            <w:r>
              <w:rPr>
                <w:highlight w:val="none"/>
              </w:rPr>
              <w:t>8</w:t>
            </w:r>
          </w:p>
        </w:tc>
        <w:tc>
          <w:tcPr>
            <w:tcW w:w="721" w:type="dxa"/>
            <w:vMerge w:val="continue"/>
            <w:vAlign w:val="center"/>
          </w:tcPr>
          <w:p w14:paraId="204A5375">
            <w:pPr>
              <w:pStyle w:val="75"/>
              <w:rPr>
                <w:kern w:val="2"/>
                <w:highlight w:val="none"/>
              </w:rPr>
            </w:pPr>
          </w:p>
        </w:tc>
        <w:tc>
          <w:tcPr>
            <w:tcW w:w="905" w:type="dxa"/>
            <w:vMerge w:val="continue"/>
            <w:vAlign w:val="center"/>
          </w:tcPr>
          <w:p w14:paraId="5E707A95">
            <w:pPr>
              <w:pStyle w:val="75"/>
              <w:rPr>
                <w:kern w:val="2"/>
                <w:highlight w:val="none"/>
              </w:rPr>
            </w:pPr>
          </w:p>
        </w:tc>
        <w:tc>
          <w:tcPr>
            <w:tcW w:w="1373" w:type="dxa"/>
            <w:vAlign w:val="center"/>
          </w:tcPr>
          <w:p w14:paraId="1C1B801F">
            <w:pPr>
              <w:pStyle w:val="75"/>
              <w:rPr>
                <w:highlight w:val="none"/>
              </w:rPr>
            </w:pPr>
            <w:r>
              <w:rPr>
                <w:highlight w:val="none"/>
              </w:rPr>
              <w:t>镍利用率（%）</w:t>
            </w:r>
          </w:p>
        </w:tc>
        <w:tc>
          <w:tcPr>
            <w:tcW w:w="952" w:type="dxa"/>
            <w:vAlign w:val="center"/>
          </w:tcPr>
          <w:p w14:paraId="660EDE81">
            <w:pPr>
              <w:pStyle w:val="75"/>
              <w:rPr>
                <w:highlight w:val="none"/>
              </w:rPr>
            </w:pPr>
            <w:r>
              <w:rPr>
                <w:highlight w:val="none"/>
              </w:rPr>
              <w:t>0.8/n</w:t>
            </w:r>
          </w:p>
        </w:tc>
        <w:tc>
          <w:tcPr>
            <w:tcW w:w="2550" w:type="dxa"/>
            <w:vAlign w:val="center"/>
          </w:tcPr>
          <w:p w14:paraId="637AF25F">
            <w:pPr>
              <w:pStyle w:val="75"/>
              <w:rPr>
                <w:highlight w:val="none"/>
              </w:rPr>
            </w:pPr>
            <w:r>
              <w:rPr>
                <w:highlight w:val="none"/>
              </w:rPr>
              <w:t>≥95</w:t>
            </w:r>
          </w:p>
        </w:tc>
        <w:tc>
          <w:tcPr>
            <w:tcW w:w="1984" w:type="dxa"/>
            <w:vAlign w:val="center"/>
          </w:tcPr>
          <w:p w14:paraId="7EB11BD9">
            <w:pPr>
              <w:pStyle w:val="75"/>
              <w:rPr>
                <w:highlight w:val="none"/>
              </w:rPr>
            </w:pPr>
            <w:r>
              <w:rPr>
                <w:highlight w:val="none"/>
              </w:rPr>
              <w:t>≥85</w:t>
            </w:r>
          </w:p>
        </w:tc>
        <w:tc>
          <w:tcPr>
            <w:tcW w:w="1702" w:type="dxa"/>
            <w:vAlign w:val="center"/>
          </w:tcPr>
          <w:p w14:paraId="6B863EE7">
            <w:pPr>
              <w:pStyle w:val="75"/>
              <w:rPr>
                <w:highlight w:val="none"/>
              </w:rPr>
            </w:pPr>
            <w:r>
              <w:rPr>
                <w:highlight w:val="none"/>
              </w:rPr>
              <w:t>≥80</w:t>
            </w:r>
          </w:p>
        </w:tc>
        <w:tc>
          <w:tcPr>
            <w:tcW w:w="3421" w:type="dxa"/>
            <w:vAlign w:val="center"/>
          </w:tcPr>
          <w:p w14:paraId="1828137D">
            <w:pPr>
              <w:pStyle w:val="75"/>
              <w:jc w:val="both"/>
              <w:rPr>
                <w:highlight w:val="none"/>
              </w:rPr>
            </w:pPr>
            <w:r>
              <w:rPr>
                <w:rFonts w:hint="eastAsia"/>
                <w:kern w:val="2"/>
                <w:highlight w:val="none"/>
              </w:rPr>
              <w:t>根据元素平衡分析可知，原料中镍含量为</w:t>
            </w:r>
            <w:r>
              <w:rPr>
                <w:rFonts w:hint="eastAsia"/>
                <w:kern w:val="2"/>
                <w:highlight w:val="none"/>
                <w:lang w:val="en-US" w:eastAsia="zh-CN"/>
              </w:rPr>
              <w:t>475.5571</w:t>
            </w:r>
            <w:r>
              <w:rPr>
                <w:rFonts w:hint="eastAsia"/>
                <w:kern w:val="2"/>
                <w:highlight w:val="none"/>
              </w:rPr>
              <w:t>t</w:t>
            </w:r>
            <w:r>
              <w:rPr>
                <w:kern w:val="2"/>
                <w:highlight w:val="none"/>
              </w:rPr>
              <w:t>/a</w:t>
            </w:r>
            <w:r>
              <w:rPr>
                <w:rFonts w:hint="eastAsia"/>
                <w:kern w:val="2"/>
                <w:highlight w:val="none"/>
              </w:rPr>
              <w:t>，产品上镍的含量为</w:t>
            </w:r>
            <w:r>
              <w:rPr>
                <w:rFonts w:hint="eastAsia" w:eastAsia="宋体" w:cs="Times New Roman"/>
                <w:color w:val="auto"/>
                <w:kern w:val="21"/>
                <w:sz w:val="21"/>
                <w:szCs w:val="21"/>
                <w:highlight w:val="none"/>
                <w:lang w:val="en-US" w:eastAsia="zh-CN"/>
              </w:rPr>
              <w:t>462.7972</w:t>
            </w:r>
            <w:r>
              <w:rPr>
                <w:rFonts w:hint="eastAsia"/>
                <w:kern w:val="2"/>
                <w:highlight w:val="none"/>
              </w:rPr>
              <w:t>t</w:t>
            </w:r>
            <w:r>
              <w:rPr>
                <w:kern w:val="2"/>
                <w:highlight w:val="none"/>
              </w:rPr>
              <w:t>/a</w:t>
            </w:r>
            <w:r>
              <w:rPr>
                <w:rFonts w:hint="eastAsia"/>
                <w:kern w:val="2"/>
                <w:highlight w:val="none"/>
              </w:rPr>
              <w:t>，则</w:t>
            </w:r>
            <w:r>
              <w:rPr>
                <w:kern w:val="2"/>
                <w:highlight w:val="none"/>
              </w:rPr>
              <w:t>本项目</w:t>
            </w:r>
            <w:r>
              <w:rPr>
                <w:highlight w:val="none"/>
              </w:rPr>
              <w:t>镍利用率</w:t>
            </w:r>
            <w:r>
              <w:rPr>
                <w:rFonts w:hint="eastAsia"/>
                <w:highlight w:val="none"/>
                <w:lang w:val="en-US" w:eastAsia="zh-CN"/>
              </w:rPr>
              <w:t>97.3</w:t>
            </w:r>
            <w:r>
              <w:rPr>
                <w:highlight w:val="none"/>
              </w:rPr>
              <w:t>%，符合Ⅰ级基准值要求。</w:t>
            </w:r>
          </w:p>
        </w:tc>
      </w:tr>
      <w:tr w14:paraId="027E1D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5D17D85B">
            <w:pPr>
              <w:pStyle w:val="75"/>
              <w:rPr>
                <w:kern w:val="2"/>
                <w:highlight w:val="none"/>
              </w:rPr>
            </w:pPr>
            <w:r>
              <w:rPr>
                <w:highlight w:val="none"/>
              </w:rPr>
              <w:t>9</w:t>
            </w:r>
          </w:p>
        </w:tc>
        <w:tc>
          <w:tcPr>
            <w:tcW w:w="721" w:type="dxa"/>
            <w:vMerge w:val="continue"/>
            <w:vAlign w:val="center"/>
          </w:tcPr>
          <w:p w14:paraId="76D40514">
            <w:pPr>
              <w:pStyle w:val="75"/>
              <w:rPr>
                <w:kern w:val="2"/>
                <w:highlight w:val="none"/>
              </w:rPr>
            </w:pPr>
          </w:p>
        </w:tc>
        <w:tc>
          <w:tcPr>
            <w:tcW w:w="905" w:type="dxa"/>
            <w:vMerge w:val="continue"/>
            <w:vAlign w:val="center"/>
          </w:tcPr>
          <w:p w14:paraId="3ED3D14B">
            <w:pPr>
              <w:pStyle w:val="75"/>
              <w:rPr>
                <w:kern w:val="2"/>
                <w:highlight w:val="none"/>
              </w:rPr>
            </w:pPr>
          </w:p>
        </w:tc>
        <w:tc>
          <w:tcPr>
            <w:tcW w:w="1373" w:type="dxa"/>
            <w:vAlign w:val="center"/>
          </w:tcPr>
          <w:p w14:paraId="5F10FBFE">
            <w:pPr>
              <w:pStyle w:val="75"/>
              <w:rPr>
                <w:highlight w:val="none"/>
              </w:rPr>
            </w:pPr>
            <w:r>
              <w:rPr>
                <w:highlight w:val="none"/>
              </w:rPr>
              <w:t>装饰铬利用率（%）</w:t>
            </w:r>
          </w:p>
        </w:tc>
        <w:tc>
          <w:tcPr>
            <w:tcW w:w="952" w:type="dxa"/>
            <w:vAlign w:val="center"/>
          </w:tcPr>
          <w:p w14:paraId="29A01FA2">
            <w:pPr>
              <w:pStyle w:val="75"/>
              <w:rPr>
                <w:kern w:val="2"/>
                <w:highlight w:val="none"/>
              </w:rPr>
            </w:pPr>
            <w:r>
              <w:rPr>
                <w:highlight w:val="none"/>
              </w:rPr>
              <w:t>0.8/n</w:t>
            </w:r>
          </w:p>
        </w:tc>
        <w:tc>
          <w:tcPr>
            <w:tcW w:w="2550" w:type="dxa"/>
            <w:vAlign w:val="center"/>
          </w:tcPr>
          <w:p w14:paraId="7EEA53F4">
            <w:pPr>
              <w:pStyle w:val="75"/>
              <w:rPr>
                <w:highlight w:val="none"/>
              </w:rPr>
            </w:pPr>
            <w:r>
              <w:rPr>
                <w:highlight w:val="none"/>
              </w:rPr>
              <w:t>≥60</w:t>
            </w:r>
          </w:p>
        </w:tc>
        <w:tc>
          <w:tcPr>
            <w:tcW w:w="1984" w:type="dxa"/>
            <w:vAlign w:val="center"/>
          </w:tcPr>
          <w:p w14:paraId="7EA3AA21">
            <w:pPr>
              <w:pStyle w:val="75"/>
              <w:rPr>
                <w:highlight w:val="none"/>
              </w:rPr>
            </w:pPr>
            <w:r>
              <w:rPr>
                <w:highlight w:val="none"/>
              </w:rPr>
              <w:t>≥24</w:t>
            </w:r>
          </w:p>
        </w:tc>
        <w:tc>
          <w:tcPr>
            <w:tcW w:w="1702" w:type="dxa"/>
            <w:vAlign w:val="center"/>
          </w:tcPr>
          <w:p w14:paraId="67C2A2CE">
            <w:pPr>
              <w:pStyle w:val="75"/>
              <w:rPr>
                <w:highlight w:val="none"/>
              </w:rPr>
            </w:pPr>
            <w:r>
              <w:rPr>
                <w:highlight w:val="none"/>
              </w:rPr>
              <w:t>≥20</w:t>
            </w:r>
          </w:p>
        </w:tc>
        <w:tc>
          <w:tcPr>
            <w:tcW w:w="3421" w:type="dxa"/>
            <w:vAlign w:val="center"/>
          </w:tcPr>
          <w:p w14:paraId="30ECAB8D">
            <w:pPr>
              <w:pStyle w:val="75"/>
              <w:rPr>
                <w:highlight w:val="none"/>
              </w:rPr>
            </w:pPr>
            <w:r>
              <w:rPr>
                <w:kern w:val="2"/>
                <w:highlight w:val="none"/>
              </w:rPr>
              <w:t>本项目不含镀</w:t>
            </w:r>
            <w:r>
              <w:rPr>
                <w:highlight w:val="none"/>
              </w:rPr>
              <w:t>装饰铬</w:t>
            </w:r>
            <w:r>
              <w:rPr>
                <w:rFonts w:hint="eastAsia"/>
                <w:highlight w:val="none"/>
              </w:rPr>
              <w:t>。</w:t>
            </w:r>
          </w:p>
        </w:tc>
      </w:tr>
      <w:tr w14:paraId="34D2E2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3B41C368">
            <w:pPr>
              <w:pStyle w:val="75"/>
              <w:rPr>
                <w:kern w:val="2"/>
                <w:highlight w:val="none"/>
              </w:rPr>
            </w:pPr>
            <w:r>
              <w:rPr>
                <w:highlight w:val="none"/>
              </w:rPr>
              <w:t>10</w:t>
            </w:r>
          </w:p>
        </w:tc>
        <w:tc>
          <w:tcPr>
            <w:tcW w:w="721" w:type="dxa"/>
            <w:vMerge w:val="continue"/>
            <w:vAlign w:val="center"/>
          </w:tcPr>
          <w:p w14:paraId="64F2444C">
            <w:pPr>
              <w:pStyle w:val="75"/>
              <w:rPr>
                <w:kern w:val="2"/>
                <w:highlight w:val="none"/>
              </w:rPr>
            </w:pPr>
          </w:p>
        </w:tc>
        <w:tc>
          <w:tcPr>
            <w:tcW w:w="905" w:type="dxa"/>
            <w:vMerge w:val="continue"/>
            <w:vAlign w:val="center"/>
          </w:tcPr>
          <w:p w14:paraId="3D330E72">
            <w:pPr>
              <w:pStyle w:val="75"/>
              <w:rPr>
                <w:kern w:val="2"/>
                <w:highlight w:val="none"/>
              </w:rPr>
            </w:pPr>
          </w:p>
        </w:tc>
        <w:tc>
          <w:tcPr>
            <w:tcW w:w="1373" w:type="dxa"/>
            <w:vAlign w:val="center"/>
          </w:tcPr>
          <w:p w14:paraId="6ABE0866">
            <w:pPr>
              <w:pStyle w:val="75"/>
              <w:rPr>
                <w:highlight w:val="none"/>
              </w:rPr>
            </w:pPr>
            <w:r>
              <w:rPr>
                <w:highlight w:val="none"/>
              </w:rPr>
              <w:t>硬铬利用率（%）</w:t>
            </w:r>
          </w:p>
        </w:tc>
        <w:tc>
          <w:tcPr>
            <w:tcW w:w="952" w:type="dxa"/>
            <w:vAlign w:val="center"/>
          </w:tcPr>
          <w:p w14:paraId="17551ADB">
            <w:pPr>
              <w:pStyle w:val="75"/>
              <w:rPr>
                <w:highlight w:val="none"/>
              </w:rPr>
            </w:pPr>
            <w:r>
              <w:rPr>
                <w:highlight w:val="none"/>
              </w:rPr>
              <w:t>0.8/n</w:t>
            </w:r>
          </w:p>
        </w:tc>
        <w:tc>
          <w:tcPr>
            <w:tcW w:w="2550" w:type="dxa"/>
            <w:vAlign w:val="center"/>
          </w:tcPr>
          <w:p w14:paraId="36F40951">
            <w:pPr>
              <w:pStyle w:val="75"/>
              <w:rPr>
                <w:highlight w:val="none"/>
              </w:rPr>
            </w:pPr>
            <w:r>
              <w:rPr>
                <w:highlight w:val="none"/>
              </w:rPr>
              <w:t>≥90</w:t>
            </w:r>
          </w:p>
        </w:tc>
        <w:tc>
          <w:tcPr>
            <w:tcW w:w="1984" w:type="dxa"/>
            <w:vAlign w:val="center"/>
          </w:tcPr>
          <w:p w14:paraId="4B164663">
            <w:pPr>
              <w:pStyle w:val="75"/>
              <w:rPr>
                <w:highlight w:val="none"/>
              </w:rPr>
            </w:pPr>
            <w:r>
              <w:rPr>
                <w:highlight w:val="none"/>
              </w:rPr>
              <w:t>≥80</w:t>
            </w:r>
          </w:p>
        </w:tc>
        <w:tc>
          <w:tcPr>
            <w:tcW w:w="1702" w:type="dxa"/>
            <w:vAlign w:val="center"/>
          </w:tcPr>
          <w:p w14:paraId="30971543">
            <w:pPr>
              <w:pStyle w:val="75"/>
              <w:rPr>
                <w:highlight w:val="none"/>
              </w:rPr>
            </w:pPr>
            <w:r>
              <w:rPr>
                <w:highlight w:val="none"/>
              </w:rPr>
              <w:t>≥70</w:t>
            </w:r>
          </w:p>
        </w:tc>
        <w:tc>
          <w:tcPr>
            <w:tcW w:w="3421" w:type="dxa"/>
            <w:vAlign w:val="center"/>
          </w:tcPr>
          <w:p w14:paraId="2F178841">
            <w:pPr>
              <w:pStyle w:val="75"/>
              <w:rPr>
                <w:highlight w:val="none"/>
              </w:rPr>
            </w:pPr>
            <w:r>
              <w:rPr>
                <w:kern w:val="2"/>
                <w:highlight w:val="none"/>
              </w:rPr>
              <w:t>本项目不含镀硬</w:t>
            </w:r>
            <w:r>
              <w:rPr>
                <w:highlight w:val="none"/>
              </w:rPr>
              <w:t>铬</w:t>
            </w:r>
            <w:r>
              <w:rPr>
                <w:rFonts w:hint="eastAsia"/>
                <w:highlight w:val="none"/>
              </w:rPr>
              <w:t>。</w:t>
            </w:r>
          </w:p>
        </w:tc>
      </w:tr>
      <w:tr w14:paraId="537B9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19380983">
            <w:pPr>
              <w:pStyle w:val="75"/>
              <w:rPr>
                <w:kern w:val="2"/>
                <w:highlight w:val="none"/>
              </w:rPr>
            </w:pPr>
            <w:r>
              <w:rPr>
                <w:highlight w:val="none"/>
              </w:rPr>
              <w:t>11</w:t>
            </w:r>
          </w:p>
        </w:tc>
        <w:tc>
          <w:tcPr>
            <w:tcW w:w="721" w:type="dxa"/>
            <w:vMerge w:val="continue"/>
            <w:vAlign w:val="center"/>
          </w:tcPr>
          <w:p w14:paraId="15D19DD1">
            <w:pPr>
              <w:pStyle w:val="75"/>
              <w:rPr>
                <w:kern w:val="2"/>
                <w:highlight w:val="none"/>
              </w:rPr>
            </w:pPr>
          </w:p>
        </w:tc>
        <w:tc>
          <w:tcPr>
            <w:tcW w:w="905" w:type="dxa"/>
            <w:vMerge w:val="continue"/>
            <w:vAlign w:val="center"/>
          </w:tcPr>
          <w:p w14:paraId="25A00962">
            <w:pPr>
              <w:pStyle w:val="75"/>
              <w:rPr>
                <w:kern w:val="2"/>
                <w:highlight w:val="none"/>
              </w:rPr>
            </w:pPr>
          </w:p>
        </w:tc>
        <w:tc>
          <w:tcPr>
            <w:tcW w:w="1373" w:type="dxa"/>
            <w:vAlign w:val="center"/>
          </w:tcPr>
          <w:p w14:paraId="0794BFC2">
            <w:pPr>
              <w:pStyle w:val="75"/>
              <w:rPr>
                <w:highlight w:val="none"/>
              </w:rPr>
            </w:pPr>
            <w:r>
              <w:rPr>
                <w:highlight w:val="none"/>
              </w:rPr>
              <w:t>金利用率</w:t>
            </w:r>
          </w:p>
        </w:tc>
        <w:tc>
          <w:tcPr>
            <w:tcW w:w="952" w:type="dxa"/>
            <w:vAlign w:val="center"/>
          </w:tcPr>
          <w:p w14:paraId="708D3011">
            <w:pPr>
              <w:pStyle w:val="75"/>
              <w:rPr>
                <w:highlight w:val="none"/>
              </w:rPr>
            </w:pPr>
            <w:r>
              <w:rPr>
                <w:highlight w:val="none"/>
              </w:rPr>
              <w:t>0.8/n</w:t>
            </w:r>
          </w:p>
        </w:tc>
        <w:tc>
          <w:tcPr>
            <w:tcW w:w="2550" w:type="dxa"/>
            <w:vAlign w:val="center"/>
          </w:tcPr>
          <w:p w14:paraId="7379FE06">
            <w:pPr>
              <w:pStyle w:val="75"/>
              <w:rPr>
                <w:highlight w:val="none"/>
              </w:rPr>
            </w:pPr>
            <w:r>
              <w:rPr>
                <w:highlight w:val="none"/>
              </w:rPr>
              <w:t>≥98</w:t>
            </w:r>
          </w:p>
        </w:tc>
        <w:tc>
          <w:tcPr>
            <w:tcW w:w="1984" w:type="dxa"/>
            <w:vAlign w:val="center"/>
          </w:tcPr>
          <w:p w14:paraId="2A132424">
            <w:pPr>
              <w:pStyle w:val="75"/>
              <w:rPr>
                <w:highlight w:val="none"/>
              </w:rPr>
            </w:pPr>
            <w:r>
              <w:rPr>
                <w:highlight w:val="none"/>
              </w:rPr>
              <w:t>≥95</w:t>
            </w:r>
          </w:p>
        </w:tc>
        <w:tc>
          <w:tcPr>
            <w:tcW w:w="1702" w:type="dxa"/>
            <w:vAlign w:val="center"/>
          </w:tcPr>
          <w:p w14:paraId="3B5E4B93">
            <w:pPr>
              <w:pStyle w:val="75"/>
              <w:rPr>
                <w:highlight w:val="none"/>
              </w:rPr>
            </w:pPr>
            <w:r>
              <w:rPr>
                <w:highlight w:val="none"/>
              </w:rPr>
              <w:t>≥90</w:t>
            </w:r>
          </w:p>
        </w:tc>
        <w:tc>
          <w:tcPr>
            <w:tcW w:w="3421" w:type="dxa"/>
            <w:vAlign w:val="center"/>
          </w:tcPr>
          <w:p w14:paraId="2B861FB8">
            <w:pPr>
              <w:pStyle w:val="75"/>
              <w:rPr>
                <w:highlight w:val="none"/>
              </w:rPr>
            </w:pPr>
            <w:r>
              <w:rPr>
                <w:kern w:val="2"/>
                <w:highlight w:val="none"/>
              </w:rPr>
              <w:t>本项目不含镀</w:t>
            </w:r>
            <w:r>
              <w:rPr>
                <w:highlight w:val="none"/>
              </w:rPr>
              <w:t>金</w:t>
            </w:r>
            <w:r>
              <w:rPr>
                <w:rFonts w:hint="eastAsia"/>
                <w:highlight w:val="none"/>
              </w:rPr>
              <w:t>。</w:t>
            </w:r>
          </w:p>
        </w:tc>
      </w:tr>
      <w:tr w14:paraId="714B3D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4846BE52">
            <w:pPr>
              <w:pStyle w:val="75"/>
              <w:rPr>
                <w:highlight w:val="none"/>
              </w:rPr>
            </w:pPr>
            <w:r>
              <w:rPr>
                <w:highlight w:val="none"/>
              </w:rPr>
              <w:t>12</w:t>
            </w:r>
          </w:p>
        </w:tc>
        <w:tc>
          <w:tcPr>
            <w:tcW w:w="721" w:type="dxa"/>
            <w:vMerge w:val="continue"/>
            <w:vAlign w:val="center"/>
          </w:tcPr>
          <w:p w14:paraId="5D001B64">
            <w:pPr>
              <w:pStyle w:val="75"/>
              <w:rPr>
                <w:kern w:val="2"/>
                <w:highlight w:val="none"/>
              </w:rPr>
            </w:pPr>
          </w:p>
        </w:tc>
        <w:tc>
          <w:tcPr>
            <w:tcW w:w="905" w:type="dxa"/>
            <w:vMerge w:val="continue"/>
            <w:vAlign w:val="center"/>
          </w:tcPr>
          <w:p w14:paraId="6827AFBB">
            <w:pPr>
              <w:pStyle w:val="75"/>
              <w:rPr>
                <w:kern w:val="2"/>
                <w:highlight w:val="none"/>
              </w:rPr>
            </w:pPr>
          </w:p>
        </w:tc>
        <w:tc>
          <w:tcPr>
            <w:tcW w:w="1373" w:type="dxa"/>
            <w:vAlign w:val="center"/>
          </w:tcPr>
          <w:p w14:paraId="558D820F">
            <w:pPr>
              <w:pStyle w:val="75"/>
              <w:rPr>
                <w:highlight w:val="none"/>
              </w:rPr>
            </w:pPr>
            <w:r>
              <w:rPr>
                <w:highlight w:val="none"/>
              </w:rPr>
              <w:t>银利用率</w:t>
            </w:r>
          </w:p>
        </w:tc>
        <w:tc>
          <w:tcPr>
            <w:tcW w:w="952" w:type="dxa"/>
            <w:vAlign w:val="center"/>
          </w:tcPr>
          <w:p w14:paraId="30C34D38">
            <w:pPr>
              <w:pStyle w:val="75"/>
              <w:rPr>
                <w:highlight w:val="none"/>
              </w:rPr>
            </w:pPr>
            <w:r>
              <w:rPr>
                <w:highlight w:val="none"/>
              </w:rPr>
              <w:t>0.8/n</w:t>
            </w:r>
          </w:p>
        </w:tc>
        <w:tc>
          <w:tcPr>
            <w:tcW w:w="2550" w:type="dxa"/>
            <w:vAlign w:val="center"/>
          </w:tcPr>
          <w:p w14:paraId="4F763A08">
            <w:pPr>
              <w:pStyle w:val="75"/>
              <w:rPr>
                <w:highlight w:val="none"/>
              </w:rPr>
            </w:pPr>
            <w:r>
              <w:rPr>
                <w:highlight w:val="none"/>
              </w:rPr>
              <w:t>≥98</w:t>
            </w:r>
          </w:p>
        </w:tc>
        <w:tc>
          <w:tcPr>
            <w:tcW w:w="1984" w:type="dxa"/>
            <w:vAlign w:val="center"/>
          </w:tcPr>
          <w:p w14:paraId="059D12D6">
            <w:pPr>
              <w:pStyle w:val="75"/>
              <w:rPr>
                <w:highlight w:val="none"/>
              </w:rPr>
            </w:pPr>
            <w:r>
              <w:rPr>
                <w:highlight w:val="none"/>
              </w:rPr>
              <w:t>≥95</w:t>
            </w:r>
          </w:p>
        </w:tc>
        <w:tc>
          <w:tcPr>
            <w:tcW w:w="1702" w:type="dxa"/>
            <w:vAlign w:val="center"/>
          </w:tcPr>
          <w:p w14:paraId="75E84B9E">
            <w:pPr>
              <w:pStyle w:val="75"/>
              <w:rPr>
                <w:highlight w:val="none"/>
              </w:rPr>
            </w:pPr>
            <w:r>
              <w:rPr>
                <w:highlight w:val="none"/>
              </w:rPr>
              <w:t>≥90</w:t>
            </w:r>
          </w:p>
        </w:tc>
        <w:tc>
          <w:tcPr>
            <w:tcW w:w="3421" w:type="dxa"/>
            <w:vAlign w:val="center"/>
          </w:tcPr>
          <w:p w14:paraId="6BA9EF39">
            <w:pPr>
              <w:pStyle w:val="75"/>
              <w:rPr>
                <w:highlight w:val="none"/>
              </w:rPr>
            </w:pPr>
            <w:r>
              <w:rPr>
                <w:kern w:val="2"/>
                <w:highlight w:val="none"/>
              </w:rPr>
              <w:t>本项目不含镀</w:t>
            </w:r>
            <w:r>
              <w:rPr>
                <w:highlight w:val="none"/>
              </w:rPr>
              <w:t>银</w:t>
            </w:r>
            <w:r>
              <w:rPr>
                <w:rFonts w:hint="eastAsia"/>
                <w:highlight w:val="none"/>
              </w:rPr>
              <w:t>。</w:t>
            </w:r>
          </w:p>
        </w:tc>
      </w:tr>
      <w:tr w14:paraId="73DDC2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6E793DC6">
            <w:pPr>
              <w:pStyle w:val="75"/>
              <w:rPr>
                <w:kern w:val="2"/>
                <w:highlight w:val="none"/>
              </w:rPr>
            </w:pPr>
            <w:r>
              <w:rPr>
                <w:kern w:val="2"/>
                <w:highlight w:val="none"/>
              </w:rPr>
              <w:t>13</w:t>
            </w:r>
          </w:p>
        </w:tc>
        <w:tc>
          <w:tcPr>
            <w:tcW w:w="721" w:type="dxa"/>
            <w:vMerge w:val="continue"/>
            <w:vAlign w:val="center"/>
          </w:tcPr>
          <w:p w14:paraId="3C43D56F">
            <w:pPr>
              <w:pStyle w:val="75"/>
              <w:rPr>
                <w:kern w:val="2"/>
                <w:highlight w:val="none"/>
              </w:rPr>
            </w:pPr>
          </w:p>
        </w:tc>
        <w:tc>
          <w:tcPr>
            <w:tcW w:w="905" w:type="dxa"/>
            <w:vMerge w:val="continue"/>
            <w:vAlign w:val="center"/>
          </w:tcPr>
          <w:p w14:paraId="115FCA96">
            <w:pPr>
              <w:pStyle w:val="75"/>
              <w:rPr>
                <w:kern w:val="2"/>
                <w:highlight w:val="none"/>
              </w:rPr>
            </w:pPr>
          </w:p>
        </w:tc>
        <w:tc>
          <w:tcPr>
            <w:tcW w:w="1373" w:type="dxa"/>
            <w:vAlign w:val="center"/>
          </w:tcPr>
          <w:p w14:paraId="22EB8601">
            <w:pPr>
              <w:pStyle w:val="75"/>
              <w:rPr>
                <w:kern w:val="2"/>
                <w:highlight w:val="none"/>
              </w:rPr>
            </w:pPr>
            <w:r>
              <w:rPr>
                <w:highlight w:val="none"/>
              </w:rPr>
              <w:t>电镀用水重复利用率（%）</w:t>
            </w:r>
          </w:p>
        </w:tc>
        <w:tc>
          <w:tcPr>
            <w:tcW w:w="952" w:type="dxa"/>
            <w:vAlign w:val="center"/>
          </w:tcPr>
          <w:p w14:paraId="40809FF7">
            <w:pPr>
              <w:pStyle w:val="75"/>
              <w:rPr>
                <w:kern w:val="2"/>
                <w:highlight w:val="none"/>
              </w:rPr>
            </w:pPr>
            <w:r>
              <w:rPr>
                <w:highlight w:val="none"/>
              </w:rPr>
              <w:t>0.2</w:t>
            </w:r>
          </w:p>
        </w:tc>
        <w:tc>
          <w:tcPr>
            <w:tcW w:w="2550" w:type="dxa"/>
            <w:vAlign w:val="center"/>
          </w:tcPr>
          <w:p w14:paraId="2185AB23">
            <w:pPr>
              <w:pStyle w:val="75"/>
              <w:rPr>
                <w:kern w:val="2"/>
                <w:highlight w:val="none"/>
              </w:rPr>
            </w:pPr>
            <w:r>
              <w:rPr>
                <w:highlight w:val="none"/>
              </w:rPr>
              <w:t>≥60</w:t>
            </w:r>
          </w:p>
        </w:tc>
        <w:tc>
          <w:tcPr>
            <w:tcW w:w="1984" w:type="dxa"/>
            <w:vAlign w:val="center"/>
          </w:tcPr>
          <w:p w14:paraId="2003207A">
            <w:pPr>
              <w:pStyle w:val="75"/>
              <w:rPr>
                <w:kern w:val="2"/>
                <w:highlight w:val="none"/>
              </w:rPr>
            </w:pPr>
            <w:r>
              <w:rPr>
                <w:highlight w:val="none"/>
              </w:rPr>
              <w:t>≥40</w:t>
            </w:r>
          </w:p>
        </w:tc>
        <w:tc>
          <w:tcPr>
            <w:tcW w:w="1702" w:type="dxa"/>
            <w:vAlign w:val="center"/>
          </w:tcPr>
          <w:p w14:paraId="3301BC17">
            <w:pPr>
              <w:pStyle w:val="75"/>
              <w:rPr>
                <w:kern w:val="2"/>
                <w:highlight w:val="none"/>
              </w:rPr>
            </w:pPr>
            <w:r>
              <w:rPr>
                <w:highlight w:val="none"/>
              </w:rPr>
              <w:t>≥30</w:t>
            </w:r>
          </w:p>
        </w:tc>
        <w:tc>
          <w:tcPr>
            <w:tcW w:w="3421" w:type="dxa"/>
            <w:shd w:val="clear" w:color="auto" w:fill="auto"/>
            <w:vAlign w:val="center"/>
          </w:tcPr>
          <w:p w14:paraId="64999B0A">
            <w:pPr>
              <w:pStyle w:val="75"/>
              <w:jc w:val="both"/>
              <w:rPr>
                <w:kern w:val="2"/>
                <w:highlight w:val="none"/>
              </w:rPr>
            </w:pPr>
            <w:r>
              <w:rPr>
                <w:rFonts w:hint="eastAsia"/>
                <w:highlight w:val="none"/>
              </w:rPr>
              <w:t>根据水平衡分析可知，电镀回用水用量为</w:t>
            </w:r>
            <w:r>
              <w:rPr>
                <w:rFonts w:hint="eastAsia"/>
                <w:highlight w:val="none"/>
                <w:lang w:val="en-US" w:eastAsia="zh-CN"/>
              </w:rPr>
              <w:t>188.375</w:t>
            </w:r>
            <w:r>
              <w:rPr>
                <w:rFonts w:hint="eastAsia"/>
                <w:highlight w:val="none"/>
              </w:rPr>
              <w:t>t</w:t>
            </w:r>
            <w:r>
              <w:rPr>
                <w:highlight w:val="none"/>
              </w:rPr>
              <w:t>/d</w:t>
            </w:r>
            <w:r>
              <w:rPr>
                <w:rFonts w:hint="eastAsia"/>
                <w:highlight w:val="none"/>
              </w:rPr>
              <w:t>，电镀用水量为</w:t>
            </w:r>
            <w:r>
              <w:rPr>
                <w:rFonts w:hint="eastAsia"/>
                <w:highlight w:val="none"/>
                <w:lang w:val="en-US" w:eastAsia="zh-CN"/>
              </w:rPr>
              <w:t>380.261</w:t>
            </w:r>
            <w:r>
              <w:rPr>
                <w:rFonts w:hint="eastAsia"/>
                <w:highlight w:val="none"/>
              </w:rPr>
              <w:t>t</w:t>
            </w:r>
            <w:r>
              <w:rPr>
                <w:highlight w:val="none"/>
              </w:rPr>
              <w:t>/</w:t>
            </w:r>
            <w:r>
              <w:rPr>
                <w:rFonts w:hint="eastAsia"/>
                <w:highlight w:val="none"/>
                <w:lang w:val="en-US" w:eastAsia="zh-CN"/>
              </w:rPr>
              <w:t>d</w:t>
            </w:r>
            <w:r>
              <w:rPr>
                <w:rFonts w:hint="eastAsia"/>
                <w:highlight w:val="none"/>
              </w:rPr>
              <w:t>，则本项目电镀用水重复利用率为</w:t>
            </w:r>
            <w:r>
              <w:rPr>
                <w:rFonts w:hint="eastAsia"/>
                <w:highlight w:val="none"/>
                <w:lang w:val="en-US" w:eastAsia="zh-CN"/>
              </w:rPr>
              <w:t>49.54</w:t>
            </w:r>
            <w:r>
              <w:rPr>
                <w:highlight w:val="none"/>
              </w:rPr>
              <w:t>%</w:t>
            </w:r>
            <w:r>
              <w:rPr>
                <w:rFonts w:hint="eastAsia"/>
                <w:highlight w:val="none"/>
              </w:rPr>
              <w:t>，符合</w:t>
            </w:r>
            <w:r>
              <w:rPr>
                <w:rFonts w:cs="Times New Roman"/>
                <w:color w:val="auto"/>
                <w:highlight w:val="none"/>
              </w:rPr>
              <w:t>Ⅱ</w:t>
            </w:r>
            <w:r>
              <w:rPr>
                <w:rFonts w:hint="eastAsia"/>
                <w:highlight w:val="none"/>
              </w:rPr>
              <w:t>级基准</w:t>
            </w:r>
            <w:r>
              <w:rPr>
                <w:rFonts w:hint="eastAsia" w:hAnsi="宋体"/>
                <w:highlight w:val="none"/>
              </w:rPr>
              <w:t>值要求。</w:t>
            </w:r>
          </w:p>
        </w:tc>
      </w:tr>
      <w:tr w14:paraId="1ED94F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1D8BADFB">
            <w:pPr>
              <w:pStyle w:val="75"/>
              <w:rPr>
                <w:kern w:val="2"/>
                <w:highlight w:val="none"/>
              </w:rPr>
            </w:pPr>
            <w:r>
              <w:rPr>
                <w:kern w:val="2"/>
                <w:highlight w:val="none"/>
              </w:rPr>
              <w:t>14</w:t>
            </w:r>
          </w:p>
        </w:tc>
        <w:tc>
          <w:tcPr>
            <w:tcW w:w="721" w:type="dxa"/>
            <w:vMerge w:val="restart"/>
            <w:vAlign w:val="center"/>
          </w:tcPr>
          <w:p w14:paraId="129E2C5C">
            <w:pPr>
              <w:pStyle w:val="75"/>
              <w:rPr>
                <w:kern w:val="2"/>
                <w:highlight w:val="none"/>
              </w:rPr>
            </w:pPr>
            <w:r>
              <w:rPr>
                <w:highlight w:val="none"/>
              </w:rPr>
              <w:t>污染物产生指标</w:t>
            </w:r>
          </w:p>
        </w:tc>
        <w:tc>
          <w:tcPr>
            <w:tcW w:w="905" w:type="dxa"/>
            <w:vMerge w:val="restart"/>
            <w:vAlign w:val="center"/>
          </w:tcPr>
          <w:p w14:paraId="59188569">
            <w:pPr>
              <w:pStyle w:val="75"/>
              <w:rPr>
                <w:kern w:val="2"/>
                <w:highlight w:val="none"/>
              </w:rPr>
            </w:pPr>
            <w:r>
              <w:rPr>
                <w:highlight w:val="none"/>
              </w:rPr>
              <w:t>0.16</w:t>
            </w:r>
          </w:p>
        </w:tc>
        <w:tc>
          <w:tcPr>
            <w:tcW w:w="1373" w:type="dxa"/>
            <w:vAlign w:val="center"/>
          </w:tcPr>
          <w:p w14:paraId="1CC2EBA2">
            <w:pPr>
              <w:pStyle w:val="75"/>
              <w:rPr>
                <w:kern w:val="2"/>
                <w:highlight w:val="none"/>
              </w:rPr>
            </w:pPr>
            <w:r>
              <w:rPr>
                <w:highlight w:val="none"/>
              </w:rPr>
              <w:t>*电镀废水处理率</w:t>
            </w:r>
          </w:p>
        </w:tc>
        <w:tc>
          <w:tcPr>
            <w:tcW w:w="952" w:type="dxa"/>
            <w:vAlign w:val="center"/>
          </w:tcPr>
          <w:p w14:paraId="7CD65B32">
            <w:pPr>
              <w:pStyle w:val="75"/>
              <w:rPr>
                <w:kern w:val="2"/>
                <w:highlight w:val="none"/>
              </w:rPr>
            </w:pPr>
            <w:r>
              <w:rPr>
                <w:highlight w:val="none"/>
              </w:rPr>
              <w:t>0.5</w:t>
            </w:r>
          </w:p>
        </w:tc>
        <w:tc>
          <w:tcPr>
            <w:tcW w:w="6236" w:type="dxa"/>
            <w:gridSpan w:val="3"/>
            <w:vAlign w:val="center"/>
          </w:tcPr>
          <w:p w14:paraId="467599F4">
            <w:pPr>
              <w:pStyle w:val="75"/>
              <w:rPr>
                <w:kern w:val="2"/>
                <w:highlight w:val="none"/>
              </w:rPr>
            </w:pPr>
            <w:r>
              <w:rPr>
                <w:highlight w:val="none"/>
              </w:rPr>
              <w:t>100%</w:t>
            </w:r>
          </w:p>
        </w:tc>
        <w:tc>
          <w:tcPr>
            <w:tcW w:w="3421" w:type="dxa"/>
            <w:vAlign w:val="center"/>
          </w:tcPr>
          <w:p w14:paraId="28A00B2C">
            <w:pPr>
              <w:pStyle w:val="75"/>
              <w:rPr>
                <w:kern w:val="2"/>
                <w:highlight w:val="none"/>
              </w:rPr>
            </w:pPr>
            <w:r>
              <w:rPr>
                <w:highlight w:val="none"/>
              </w:rPr>
              <w:t>电镀废水处理率100%</w:t>
            </w:r>
            <w:r>
              <w:rPr>
                <w:rFonts w:hint="eastAsia"/>
                <w:highlight w:val="none"/>
              </w:rPr>
              <w:t>。</w:t>
            </w:r>
          </w:p>
        </w:tc>
      </w:tr>
      <w:tr w14:paraId="3615F5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11BF7A65">
            <w:pPr>
              <w:pStyle w:val="75"/>
              <w:rPr>
                <w:kern w:val="2"/>
                <w:highlight w:val="none"/>
              </w:rPr>
            </w:pPr>
            <w:r>
              <w:rPr>
                <w:kern w:val="2"/>
                <w:highlight w:val="none"/>
              </w:rPr>
              <w:t>15</w:t>
            </w:r>
          </w:p>
        </w:tc>
        <w:tc>
          <w:tcPr>
            <w:tcW w:w="721" w:type="dxa"/>
            <w:vMerge w:val="continue"/>
            <w:vAlign w:val="center"/>
          </w:tcPr>
          <w:p w14:paraId="79C730A1">
            <w:pPr>
              <w:pStyle w:val="75"/>
              <w:rPr>
                <w:kern w:val="2"/>
                <w:highlight w:val="none"/>
              </w:rPr>
            </w:pPr>
          </w:p>
        </w:tc>
        <w:tc>
          <w:tcPr>
            <w:tcW w:w="905" w:type="dxa"/>
            <w:vMerge w:val="continue"/>
            <w:vAlign w:val="center"/>
          </w:tcPr>
          <w:p w14:paraId="69A19CAD">
            <w:pPr>
              <w:pStyle w:val="75"/>
              <w:rPr>
                <w:kern w:val="2"/>
                <w:highlight w:val="none"/>
              </w:rPr>
            </w:pPr>
          </w:p>
        </w:tc>
        <w:tc>
          <w:tcPr>
            <w:tcW w:w="1373" w:type="dxa"/>
            <w:vAlign w:val="center"/>
          </w:tcPr>
          <w:p w14:paraId="7804935A">
            <w:pPr>
              <w:pStyle w:val="75"/>
              <w:rPr>
                <w:kern w:val="2"/>
                <w:highlight w:val="none"/>
              </w:rPr>
            </w:pPr>
            <w:r>
              <w:rPr>
                <w:highlight w:val="none"/>
              </w:rPr>
              <w:t>*有减少重金属污染预防措施</w:t>
            </w:r>
          </w:p>
        </w:tc>
        <w:tc>
          <w:tcPr>
            <w:tcW w:w="952" w:type="dxa"/>
            <w:vAlign w:val="center"/>
          </w:tcPr>
          <w:p w14:paraId="6295E339">
            <w:pPr>
              <w:pStyle w:val="75"/>
              <w:rPr>
                <w:kern w:val="2"/>
                <w:highlight w:val="none"/>
              </w:rPr>
            </w:pPr>
            <w:r>
              <w:rPr>
                <w:highlight w:val="none"/>
              </w:rPr>
              <w:t>0.2</w:t>
            </w:r>
          </w:p>
        </w:tc>
        <w:tc>
          <w:tcPr>
            <w:tcW w:w="4534" w:type="dxa"/>
            <w:gridSpan w:val="2"/>
            <w:vAlign w:val="center"/>
          </w:tcPr>
          <w:p w14:paraId="2B3AE18B">
            <w:pPr>
              <w:pStyle w:val="75"/>
              <w:rPr>
                <w:kern w:val="2"/>
                <w:highlight w:val="none"/>
              </w:rPr>
            </w:pPr>
            <w:r>
              <w:rPr>
                <w:highlight w:val="none"/>
              </w:rPr>
              <w:t>使用四项以上（含四项）减少镀液带出措施</w:t>
            </w:r>
          </w:p>
        </w:tc>
        <w:tc>
          <w:tcPr>
            <w:tcW w:w="1702" w:type="dxa"/>
            <w:vAlign w:val="center"/>
          </w:tcPr>
          <w:p w14:paraId="0CEB5130">
            <w:pPr>
              <w:pStyle w:val="75"/>
              <w:rPr>
                <w:kern w:val="2"/>
                <w:highlight w:val="none"/>
              </w:rPr>
            </w:pPr>
            <w:r>
              <w:rPr>
                <w:highlight w:val="none"/>
              </w:rPr>
              <w:t>至少使用三项减少镀液带出措施</w:t>
            </w:r>
          </w:p>
        </w:tc>
        <w:tc>
          <w:tcPr>
            <w:tcW w:w="3421" w:type="dxa"/>
            <w:vAlign w:val="center"/>
          </w:tcPr>
          <w:p w14:paraId="3A96610D">
            <w:pPr>
              <w:pStyle w:val="75"/>
              <w:jc w:val="both"/>
              <w:rPr>
                <w:kern w:val="2"/>
                <w:highlight w:val="none"/>
              </w:rPr>
            </w:pPr>
            <w:r>
              <w:rPr>
                <w:highlight w:val="none"/>
              </w:rPr>
              <w:t>采用控制镀件出槽速率（缓慢出槽）以延长镀液滴流时间、配备槽液过滤设备、镀槽间装导流板、增加镀液回收槽回收重金属等四项减少镀液带出措施，符合Ⅰ级基准值要求。</w:t>
            </w:r>
          </w:p>
        </w:tc>
      </w:tr>
      <w:tr w14:paraId="5CC08A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037A2D85">
            <w:pPr>
              <w:pStyle w:val="75"/>
              <w:rPr>
                <w:kern w:val="2"/>
                <w:highlight w:val="none"/>
              </w:rPr>
            </w:pPr>
            <w:r>
              <w:rPr>
                <w:kern w:val="2"/>
                <w:highlight w:val="none"/>
              </w:rPr>
              <w:t>16</w:t>
            </w:r>
          </w:p>
        </w:tc>
        <w:tc>
          <w:tcPr>
            <w:tcW w:w="721" w:type="dxa"/>
            <w:vMerge w:val="continue"/>
            <w:vAlign w:val="center"/>
          </w:tcPr>
          <w:p w14:paraId="0130EE22">
            <w:pPr>
              <w:pStyle w:val="75"/>
              <w:rPr>
                <w:kern w:val="2"/>
                <w:highlight w:val="none"/>
              </w:rPr>
            </w:pPr>
          </w:p>
        </w:tc>
        <w:tc>
          <w:tcPr>
            <w:tcW w:w="905" w:type="dxa"/>
            <w:vMerge w:val="continue"/>
            <w:vAlign w:val="center"/>
          </w:tcPr>
          <w:p w14:paraId="4D2C4546">
            <w:pPr>
              <w:pStyle w:val="75"/>
              <w:rPr>
                <w:kern w:val="2"/>
                <w:highlight w:val="none"/>
              </w:rPr>
            </w:pPr>
          </w:p>
        </w:tc>
        <w:tc>
          <w:tcPr>
            <w:tcW w:w="1373" w:type="dxa"/>
            <w:vAlign w:val="center"/>
          </w:tcPr>
          <w:p w14:paraId="366A6DBE">
            <w:pPr>
              <w:pStyle w:val="75"/>
              <w:rPr>
                <w:kern w:val="2"/>
                <w:highlight w:val="none"/>
              </w:rPr>
            </w:pPr>
            <w:r>
              <w:rPr>
                <w:highlight w:val="none"/>
              </w:rPr>
              <w:t>*危险废物污染预防措施</w:t>
            </w:r>
          </w:p>
        </w:tc>
        <w:tc>
          <w:tcPr>
            <w:tcW w:w="952" w:type="dxa"/>
            <w:vAlign w:val="center"/>
          </w:tcPr>
          <w:p w14:paraId="2C00D2C3">
            <w:pPr>
              <w:pStyle w:val="75"/>
              <w:rPr>
                <w:kern w:val="2"/>
                <w:highlight w:val="none"/>
              </w:rPr>
            </w:pPr>
            <w:r>
              <w:rPr>
                <w:highlight w:val="none"/>
              </w:rPr>
              <w:t>0.3</w:t>
            </w:r>
          </w:p>
        </w:tc>
        <w:tc>
          <w:tcPr>
            <w:tcW w:w="6236" w:type="dxa"/>
            <w:gridSpan w:val="3"/>
            <w:vAlign w:val="center"/>
          </w:tcPr>
          <w:p w14:paraId="36A25A48">
            <w:pPr>
              <w:pStyle w:val="75"/>
              <w:jc w:val="both"/>
              <w:rPr>
                <w:kern w:val="2"/>
                <w:highlight w:val="none"/>
              </w:rPr>
            </w:pPr>
            <w:r>
              <w:rPr>
                <w:highlight w:val="none"/>
              </w:rPr>
              <w:t>电镀污泥和废液在企业内回收或送到有资质单位回收重金属，交外单位转移须提供危险废物转移联单</w:t>
            </w:r>
          </w:p>
        </w:tc>
        <w:tc>
          <w:tcPr>
            <w:tcW w:w="3421" w:type="dxa"/>
            <w:vAlign w:val="center"/>
          </w:tcPr>
          <w:p w14:paraId="0D6E5506">
            <w:pPr>
              <w:pStyle w:val="75"/>
              <w:jc w:val="both"/>
              <w:rPr>
                <w:kern w:val="2"/>
                <w:highlight w:val="none"/>
              </w:rPr>
            </w:pPr>
            <w:r>
              <w:rPr>
                <w:highlight w:val="none"/>
              </w:rPr>
              <w:t>电镀污泥、镀液企业收集后交由具有资质的危险废物经营单位处理，危险废物转移填报危险废物转移联单，符合Ⅰ级基准值要求</w:t>
            </w:r>
            <w:r>
              <w:rPr>
                <w:rFonts w:hint="eastAsia"/>
                <w:highlight w:val="none"/>
              </w:rPr>
              <w:t>。</w:t>
            </w:r>
          </w:p>
        </w:tc>
      </w:tr>
      <w:tr w14:paraId="061E9E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61A0F482">
            <w:pPr>
              <w:pStyle w:val="75"/>
              <w:rPr>
                <w:kern w:val="2"/>
                <w:highlight w:val="none"/>
              </w:rPr>
            </w:pPr>
            <w:r>
              <w:rPr>
                <w:kern w:val="2"/>
                <w:highlight w:val="none"/>
              </w:rPr>
              <w:t>17</w:t>
            </w:r>
          </w:p>
        </w:tc>
        <w:tc>
          <w:tcPr>
            <w:tcW w:w="721" w:type="dxa"/>
            <w:vAlign w:val="center"/>
          </w:tcPr>
          <w:p w14:paraId="76D10EF1">
            <w:pPr>
              <w:pStyle w:val="75"/>
              <w:rPr>
                <w:kern w:val="2"/>
                <w:highlight w:val="none"/>
              </w:rPr>
            </w:pPr>
            <w:r>
              <w:rPr>
                <w:highlight w:val="none"/>
              </w:rPr>
              <w:t>产品特征</w:t>
            </w:r>
          </w:p>
        </w:tc>
        <w:tc>
          <w:tcPr>
            <w:tcW w:w="905" w:type="dxa"/>
            <w:vAlign w:val="center"/>
          </w:tcPr>
          <w:p w14:paraId="4D372D16">
            <w:pPr>
              <w:pStyle w:val="75"/>
              <w:rPr>
                <w:kern w:val="2"/>
                <w:highlight w:val="none"/>
              </w:rPr>
            </w:pPr>
            <w:r>
              <w:rPr>
                <w:highlight w:val="none"/>
              </w:rPr>
              <w:t>0.07</w:t>
            </w:r>
          </w:p>
        </w:tc>
        <w:tc>
          <w:tcPr>
            <w:tcW w:w="1373" w:type="dxa"/>
            <w:vAlign w:val="center"/>
          </w:tcPr>
          <w:p w14:paraId="58C97072">
            <w:pPr>
              <w:pStyle w:val="75"/>
              <w:rPr>
                <w:kern w:val="2"/>
                <w:highlight w:val="none"/>
              </w:rPr>
            </w:pPr>
            <w:r>
              <w:rPr>
                <w:highlight w:val="none"/>
              </w:rPr>
              <w:t>产品合格率保证措施</w:t>
            </w:r>
          </w:p>
        </w:tc>
        <w:tc>
          <w:tcPr>
            <w:tcW w:w="952" w:type="dxa"/>
            <w:vAlign w:val="center"/>
          </w:tcPr>
          <w:p w14:paraId="42EB9BE2">
            <w:pPr>
              <w:pStyle w:val="75"/>
              <w:rPr>
                <w:kern w:val="2"/>
                <w:highlight w:val="none"/>
              </w:rPr>
            </w:pPr>
            <w:r>
              <w:rPr>
                <w:highlight w:val="none"/>
              </w:rPr>
              <w:t>1</w:t>
            </w:r>
          </w:p>
        </w:tc>
        <w:tc>
          <w:tcPr>
            <w:tcW w:w="2550" w:type="dxa"/>
            <w:vAlign w:val="center"/>
          </w:tcPr>
          <w:p w14:paraId="63C7F81A">
            <w:pPr>
              <w:pStyle w:val="75"/>
              <w:jc w:val="both"/>
              <w:rPr>
                <w:kern w:val="2"/>
                <w:highlight w:val="none"/>
              </w:rPr>
            </w:pPr>
            <w:r>
              <w:rPr>
                <w:highlight w:val="none"/>
              </w:rPr>
              <w:t>有镀液成分和杂质定量检测措施、有记录；产品质量检测设备和产品检测记录</w:t>
            </w:r>
          </w:p>
        </w:tc>
        <w:tc>
          <w:tcPr>
            <w:tcW w:w="3686" w:type="dxa"/>
            <w:gridSpan w:val="2"/>
            <w:vAlign w:val="center"/>
          </w:tcPr>
          <w:p w14:paraId="0985F6D5">
            <w:pPr>
              <w:pStyle w:val="75"/>
              <w:jc w:val="both"/>
              <w:rPr>
                <w:kern w:val="2"/>
                <w:highlight w:val="none"/>
              </w:rPr>
            </w:pPr>
            <w:r>
              <w:rPr>
                <w:highlight w:val="none"/>
              </w:rPr>
              <w:t>有镀液成分定量检测措施、有记录；有产品质量检测设备和产品检测记录</w:t>
            </w:r>
          </w:p>
        </w:tc>
        <w:tc>
          <w:tcPr>
            <w:tcW w:w="3421" w:type="dxa"/>
            <w:vAlign w:val="center"/>
          </w:tcPr>
          <w:p w14:paraId="735B06BE">
            <w:pPr>
              <w:pStyle w:val="75"/>
              <w:jc w:val="both"/>
              <w:rPr>
                <w:kern w:val="2"/>
                <w:highlight w:val="none"/>
              </w:rPr>
            </w:pPr>
            <w:r>
              <w:rPr>
                <w:highlight w:val="none"/>
              </w:rPr>
              <w:t>有镀液成分和杂质定量检测措施、有记录；产品质量检测设备和产品检测记录，符合Ⅰ级基准值要求。</w:t>
            </w:r>
          </w:p>
        </w:tc>
      </w:tr>
      <w:tr w14:paraId="5FCB9C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5FA65D8A">
            <w:pPr>
              <w:pStyle w:val="75"/>
              <w:rPr>
                <w:kern w:val="2"/>
                <w:highlight w:val="none"/>
              </w:rPr>
            </w:pPr>
            <w:r>
              <w:rPr>
                <w:highlight w:val="none"/>
              </w:rPr>
              <w:t>18</w:t>
            </w:r>
          </w:p>
        </w:tc>
        <w:tc>
          <w:tcPr>
            <w:tcW w:w="721" w:type="dxa"/>
            <w:vMerge w:val="restart"/>
            <w:vAlign w:val="center"/>
          </w:tcPr>
          <w:p w14:paraId="0C5F5E63">
            <w:pPr>
              <w:pStyle w:val="75"/>
              <w:rPr>
                <w:kern w:val="2"/>
                <w:highlight w:val="none"/>
              </w:rPr>
            </w:pPr>
            <w:r>
              <w:rPr>
                <w:highlight w:val="none"/>
              </w:rPr>
              <w:t>管理指标</w:t>
            </w:r>
          </w:p>
        </w:tc>
        <w:tc>
          <w:tcPr>
            <w:tcW w:w="905" w:type="dxa"/>
            <w:vMerge w:val="restart"/>
            <w:vAlign w:val="center"/>
          </w:tcPr>
          <w:p w14:paraId="41B4BAFB">
            <w:pPr>
              <w:pStyle w:val="75"/>
              <w:rPr>
                <w:kern w:val="2"/>
                <w:highlight w:val="none"/>
              </w:rPr>
            </w:pPr>
            <w:r>
              <w:rPr>
                <w:highlight w:val="none"/>
              </w:rPr>
              <w:t>0.16</w:t>
            </w:r>
          </w:p>
        </w:tc>
        <w:tc>
          <w:tcPr>
            <w:tcW w:w="1373" w:type="dxa"/>
            <w:vAlign w:val="center"/>
          </w:tcPr>
          <w:p w14:paraId="4D75FFCE">
            <w:pPr>
              <w:pStyle w:val="75"/>
              <w:rPr>
                <w:kern w:val="2"/>
                <w:highlight w:val="none"/>
              </w:rPr>
            </w:pPr>
            <w:r>
              <w:rPr>
                <w:highlight w:val="none"/>
              </w:rPr>
              <w:t>*环境法律法规标准执行情况</w:t>
            </w:r>
          </w:p>
        </w:tc>
        <w:tc>
          <w:tcPr>
            <w:tcW w:w="952" w:type="dxa"/>
            <w:vAlign w:val="center"/>
          </w:tcPr>
          <w:p w14:paraId="42E36CC2">
            <w:pPr>
              <w:pStyle w:val="75"/>
              <w:rPr>
                <w:kern w:val="2"/>
                <w:highlight w:val="none"/>
              </w:rPr>
            </w:pPr>
            <w:r>
              <w:rPr>
                <w:highlight w:val="none"/>
              </w:rPr>
              <w:t>0.2</w:t>
            </w:r>
          </w:p>
        </w:tc>
        <w:tc>
          <w:tcPr>
            <w:tcW w:w="6236" w:type="dxa"/>
            <w:gridSpan w:val="3"/>
            <w:vAlign w:val="center"/>
          </w:tcPr>
          <w:p w14:paraId="29D03009">
            <w:pPr>
              <w:pStyle w:val="75"/>
              <w:jc w:val="both"/>
              <w:rPr>
                <w:kern w:val="2"/>
                <w:highlight w:val="none"/>
              </w:rPr>
            </w:pPr>
            <w:r>
              <w:rPr>
                <w:highlight w:val="none"/>
              </w:rPr>
              <w:t>废水、废气、噪声等污染物排放符合国家和地方排放标准；主要污染物排放应达到国家和地方污染物排放总量控制指标</w:t>
            </w:r>
          </w:p>
        </w:tc>
        <w:tc>
          <w:tcPr>
            <w:tcW w:w="3421" w:type="dxa"/>
            <w:vAlign w:val="center"/>
          </w:tcPr>
          <w:p w14:paraId="32CF8FC7">
            <w:pPr>
              <w:pStyle w:val="75"/>
              <w:jc w:val="both"/>
              <w:rPr>
                <w:kern w:val="2"/>
                <w:highlight w:val="none"/>
              </w:rPr>
            </w:pPr>
            <w:r>
              <w:rPr>
                <w:highlight w:val="none"/>
              </w:rPr>
              <w:t>污染物排放符合国家和地方排放标准，主要污染物排放符合国家和地方污染物排放总量控制指标</w:t>
            </w:r>
            <w:r>
              <w:rPr>
                <w:rFonts w:hint="eastAsia"/>
                <w:highlight w:val="none"/>
              </w:rPr>
              <w:t>。</w:t>
            </w:r>
          </w:p>
        </w:tc>
      </w:tr>
      <w:tr w14:paraId="3CAA5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21349212">
            <w:pPr>
              <w:pStyle w:val="75"/>
              <w:rPr>
                <w:kern w:val="2"/>
                <w:highlight w:val="none"/>
              </w:rPr>
            </w:pPr>
            <w:r>
              <w:rPr>
                <w:highlight w:val="none"/>
              </w:rPr>
              <w:t>19</w:t>
            </w:r>
          </w:p>
        </w:tc>
        <w:tc>
          <w:tcPr>
            <w:tcW w:w="721" w:type="dxa"/>
            <w:vMerge w:val="continue"/>
            <w:vAlign w:val="center"/>
          </w:tcPr>
          <w:p w14:paraId="78D476D5">
            <w:pPr>
              <w:pStyle w:val="75"/>
              <w:rPr>
                <w:kern w:val="2"/>
                <w:highlight w:val="none"/>
              </w:rPr>
            </w:pPr>
          </w:p>
        </w:tc>
        <w:tc>
          <w:tcPr>
            <w:tcW w:w="905" w:type="dxa"/>
            <w:vMerge w:val="continue"/>
            <w:vAlign w:val="center"/>
          </w:tcPr>
          <w:p w14:paraId="09DFAF5C">
            <w:pPr>
              <w:pStyle w:val="75"/>
              <w:rPr>
                <w:kern w:val="2"/>
                <w:highlight w:val="none"/>
              </w:rPr>
            </w:pPr>
          </w:p>
        </w:tc>
        <w:tc>
          <w:tcPr>
            <w:tcW w:w="1373" w:type="dxa"/>
            <w:vAlign w:val="center"/>
          </w:tcPr>
          <w:p w14:paraId="65571823">
            <w:pPr>
              <w:pStyle w:val="75"/>
              <w:rPr>
                <w:kern w:val="2"/>
                <w:highlight w:val="none"/>
              </w:rPr>
            </w:pPr>
            <w:r>
              <w:rPr>
                <w:highlight w:val="none"/>
              </w:rPr>
              <w:t>*产业政策执行情况</w:t>
            </w:r>
          </w:p>
        </w:tc>
        <w:tc>
          <w:tcPr>
            <w:tcW w:w="952" w:type="dxa"/>
            <w:vAlign w:val="center"/>
          </w:tcPr>
          <w:p w14:paraId="5945EE00">
            <w:pPr>
              <w:pStyle w:val="75"/>
              <w:rPr>
                <w:kern w:val="2"/>
                <w:highlight w:val="none"/>
              </w:rPr>
            </w:pPr>
            <w:r>
              <w:rPr>
                <w:highlight w:val="none"/>
              </w:rPr>
              <w:t>0.2</w:t>
            </w:r>
          </w:p>
        </w:tc>
        <w:tc>
          <w:tcPr>
            <w:tcW w:w="6236" w:type="dxa"/>
            <w:gridSpan w:val="3"/>
            <w:vAlign w:val="center"/>
          </w:tcPr>
          <w:p w14:paraId="6AC8566E">
            <w:pPr>
              <w:pStyle w:val="75"/>
              <w:rPr>
                <w:kern w:val="2"/>
                <w:highlight w:val="none"/>
              </w:rPr>
            </w:pPr>
            <w:r>
              <w:rPr>
                <w:highlight w:val="none"/>
              </w:rPr>
              <w:t>生产规模和工艺符合国家和地方相关产业政策</w:t>
            </w:r>
          </w:p>
        </w:tc>
        <w:tc>
          <w:tcPr>
            <w:tcW w:w="3421" w:type="dxa"/>
            <w:vAlign w:val="center"/>
          </w:tcPr>
          <w:p w14:paraId="22A8B166">
            <w:pPr>
              <w:pStyle w:val="75"/>
              <w:jc w:val="both"/>
              <w:rPr>
                <w:kern w:val="2"/>
                <w:highlight w:val="none"/>
              </w:rPr>
            </w:pPr>
            <w:r>
              <w:rPr>
                <w:highlight w:val="none"/>
              </w:rPr>
              <w:t>生产规模和工艺符合国家和地方相关产业政策</w:t>
            </w:r>
            <w:r>
              <w:rPr>
                <w:rFonts w:hint="eastAsia"/>
                <w:highlight w:val="none"/>
              </w:rPr>
              <w:t>。</w:t>
            </w:r>
          </w:p>
        </w:tc>
      </w:tr>
      <w:tr w14:paraId="23D22F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6EED1462">
            <w:pPr>
              <w:pStyle w:val="75"/>
              <w:rPr>
                <w:kern w:val="2"/>
                <w:highlight w:val="none"/>
              </w:rPr>
            </w:pPr>
            <w:r>
              <w:rPr>
                <w:highlight w:val="none"/>
              </w:rPr>
              <w:t>20</w:t>
            </w:r>
          </w:p>
        </w:tc>
        <w:tc>
          <w:tcPr>
            <w:tcW w:w="721" w:type="dxa"/>
            <w:vMerge w:val="continue"/>
            <w:vAlign w:val="center"/>
          </w:tcPr>
          <w:p w14:paraId="1833DA7B">
            <w:pPr>
              <w:pStyle w:val="75"/>
              <w:rPr>
                <w:kern w:val="2"/>
                <w:highlight w:val="none"/>
              </w:rPr>
            </w:pPr>
          </w:p>
        </w:tc>
        <w:tc>
          <w:tcPr>
            <w:tcW w:w="905" w:type="dxa"/>
            <w:vMerge w:val="continue"/>
            <w:vAlign w:val="center"/>
          </w:tcPr>
          <w:p w14:paraId="1851634C">
            <w:pPr>
              <w:pStyle w:val="75"/>
              <w:rPr>
                <w:kern w:val="2"/>
                <w:highlight w:val="none"/>
              </w:rPr>
            </w:pPr>
          </w:p>
        </w:tc>
        <w:tc>
          <w:tcPr>
            <w:tcW w:w="1373" w:type="dxa"/>
            <w:vAlign w:val="center"/>
          </w:tcPr>
          <w:p w14:paraId="055B2072">
            <w:pPr>
              <w:pStyle w:val="75"/>
              <w:rPr>
                <w:kern w:val="2"/>
                <w:highlight w:val="none"/>
              </w:rPr>
            </w:pPr>
            <w:r>
              <w:rPr>
                <w:highlight w:val="none"/>
              </w:rPr>
              <w:t>环境管理体系制度及清洁生产审核</w:t>
            </w:r>
          </w:p>
        </w:tc>
        <w:tc>
          <w:tcPr>
            <w:tcW w:w="952" w:type="dxa"/>
            <w:vAlign w:val="center"/>
          </w:tcPr>
          <w:p w14:paraId="13F873FB">
            <w:pPr>
              <w:pStyle w:val="75"/>
              <w:rPr>
                <w:kern w:val="2"/>
                <w:highlight w:val="none"/>
              </w:rPr>
            </w:pPr>
            <w:r>
              <w:rPr>
                <w:highlight w:val="none"/>
              </w:rPr>
              <w:t>0.1</w:t>
            </w:r>
          </w:p>
        </w:tc>
        <w:tc>
          <w:tcPr>
            <w:tcW w:w="2550" w:type="dxa"/>
            <w:vAlign w:val="center"/>
          </w:tcPr>
          <w:p w14:paraId="3D86315C">
            <w:pPr>
              <w:pStyle w:val="75"/>
              <w:jc w:val="both"/>
              <w:rPr>
                <w:kern w:val="2"/>
                <w:highlight w:val="none"/>
              </w:rPr>
            </w:pPr>
            <w:r>
              <w:rPr>
                <w:highlight w:val="none"/>
              </w:rPr>
              <w:t>按照GB/T24001建立并运行环境管理体系，环境管理程序文件及作业文件齐备；按照国家和地方要求，开展清洁生产审核</w:t>
            </w:r>
          </w:p>
        </w:tc>
        <w:tc>
          <w:tcPr>
            <w:tcW w:w="3686" w:type="dxa"/>
            <w:gridSpan w:val="2"/>
            <w:vAlign w:val="center"/>
          </w:tcPr>
          <w:p w14:paraId="602073B5">
            <w:pPr>
              <w:pStyle w:val="75"/>
              <w:jc w:val="both"/>
              <w:rPr>
                <w:kern w:val="2"/>
                <w:highlight w:val="none"/>
              </w:rPr>
            </w:pPr>
            <w:r>
              <w:rPr>
                <w:highlight w:val="none"/>
              </w:rPr>
              <w:t>拥有健全的环境管理体系和完备的管理文件；按照国家和地方要求，开展清洁生产审核</w:t>
            </w:r>
          </w:p>
        </w:tc>
        <w:tc>
          <w:tcPr>
            <w:tcW w:w="3421" w:type="dxa"/>
            <w:vAlign w:val="center"/>
          </w:tcPr>
          <w:p w14:paraId="5803C610">
            <w:pPr>
              <w:pStyle w:val="75"/>
              <w:jc w:val="both"/>
              <w:rPr>
                <w:kern w:val="2"/>
                <w:highlight w:val="none"/>
              </w:rPr>
            </w:pPr>
            <w:r>
              <w:rPr>
                <w:highlight w:val="none"/>
              </w:rPr>
              <w:t>有健全的环境管理体系和完备的管理文件；拟按照国家和地方要求，开展清洁生产审核，符合Ⅱ级基准值要求</w:t>
            </w:r>
            <w:r>
              <w:rPr>
                <w:rFonts w:hint="eastAsia"/>
                <w:highlight w:val="none"/>
              </w:rPr>
              <w:t>。</w:t>
            </w:r>
          </w:p>
        </w:tc>
      </w:tr>
      <w:tr w14:paraId="14983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51732E3C">
            <w:pPr>
              <w:pStyle w:val="75"/>
              <w:rPr>
                <w:kern w:val="2"/>
                <w:highlight w:val="none"/>
              </w:rPr>
            </w:pPr>
            <w:r>
              <w:rPr>
                <w:highlight w:val="none"/>
              </w:rPr>
              <w:t>21</w:t>
            </w:r>
          </w:p>
        </w:tc>
        <w:tc>
          <w:tcPr>
            <w:tcW w:w="721" w:type="dxa"/>
            <w:vMerge w:val="continue"/>
            <w:vAlign w:val="center"/>
          </w:tcPr>
          <w:p w14:paraId="4AC19D5F">
            <w:pPr>
              <w:pStyle w:val="75"/>
              <w:rPr>
                <w:kern w:val="2"/>
                <w:highlight w:val="none"/>
              </w:rPr>
            </w:pPr>
          </w:p>
        </w:tc>
        <w:tc>
          <w:tcPr>
            <w:tcW w:w="905" w:type="dxa"/>
            <w:vMerge w:val="continue"/>
            <w:vAlign w:val="center"/>
          </w:tcPr>
          <w:p w14:paraId="00BF1CBC">
            <w:pPr>
              <w:pStyle w:val="75"/>
              <w:rPr>
                <w:kern w:val="2"/>
                <w:highlight w:val="none"/>
              </w:rPr>
            </w:pPr>
          </w:p>
        </w:tc>
        <w:tc>
          <w:tcPr>
            <w:tcW w:w="1373" w:type="dxa"/>
            <w:vAlign w:val="center"/>
          </w:tcPr>
          <w:p w14:paraId="3EBDF5E5">
            <w:pPr>
              <w:pStyle w:val="75"/>
              <w:rPr>
                <w:kern w:val="2"/>
                <w:highlight w:val="none"/>
              </w:rPr>
            </w:pPr>
            <w:r>
              <w:rPr>
                <w:highlight w:val="none"/>
              </w:rPr>
              <w:t>*危险化学品管理</w:t>
            </w:r>
          </w:p>
        </w:tc>
        <w:tc>
          <w:tcPr>
            <w:tcW w:w="952" w:type="dxa"/>
            <w:vAlign w:val="center"/>
          </w:tcPr>
          <w:p w14:paraId="188F225E">
            <w:pPr>
              <w:pStyle w:val="75"/>
              <w:rPr>
                <w:kern w:val="2"/>
                <w:highlight w:val="none"/>
              </w:rPr>
            </w:pPr>
            <w:r>
              <w:rPr>
                <w:highlight w:val="none"/>
              </w:rPr>
              <w:t>0.1</w:t>
            </w:r>
          </w:p>
        </w:tc>
        <w:tc>
          <w:tcPr>
            <w:tcW w:w="6236" w:type="dxa"/>
            <w:gridSpan w:val="3"/>
            <w:vAlign w:val="center"/>
          </w:tcPr>
          <w:p w14:paraId="46263CBA">
            <w:pPr>
              <w:pStyle w:val="75"/>
              <w:rPr>
                <w:kern w:val="2"/>
                <w:highlight w:val="none"/>
              </w:rPr>
            </w:pPr>
            <w:r>
              <w:rPr>
                <w:highlight w:val="none"/>
              </w:rPr>
              <w:t>符合《危险化学品安全管理条例》相关要求</w:t>
            </w:r>
          </w:p>
        </w:tc>
        <w:tc>
          <w:tcPr>
            <w:tcW w:w="3421" w:type="dxa"/>
            <w:vAlign w:val="center"/>
          </w:tcPr>
          <w:p w14:paraId="43F47779">
            <w:pPr>
              <w:pStyle w:val="75"/>
              <w:jc w:val="both"/>
              <w:rPr>
                <w:kern w:val="2"/>
                <w:highlight w:val="none"/>
              </w:rPr>
            </w:pPr>
            <w:r>
              <w:rPr>
                <w:highlight w:val="none"/>
              </w:rPr>
              <w:t>符合《危险化学品安全管理条例》相关要求</w:t>
            </w:r>
            <w:r>
              <w:rPr>
                <w:rFonts w:hint="eastAsia"/>
                <w:highlight w:val="none"/>
              </w:rPr>
              <w:t>。</w:t>
            </w:r>
          </w:p>
        </w:tc>
      </w:tr>
      <w:tr w14:paraId="4F68C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2E7DE1A7">
            <w:pPr>
              <w:pStyle w:val="75"/>
              <w:rPr>
                <w:kern w:val="2"/>
                <w:highlight w:val="none"/>
              </w:rPr>
            </w:pPr>
            <w:r>
              <w:rPr>
                <w:highlight w:val="none"/>
              </w:rPr>
              <w:t>22</w:t>
            </w:r>
          </w:p>
        </w:tc>
        <w:tc>
          <w:tcPr>
            <w:tcW w:w="721" w:type="dxa"/>
            <w:vMerge w:val="continue"/>
            <w:vAlign w:val="center"/>
          </w:tcPr>
          <w:p w14:paraId="2E4698F0">
            <w:pPr>
              <w:pStyle w:val="75"/>
              <w:rPr>
                <w:kern w:val="2"/>
                <w:highlight w:val="none"/>
              </w:rPr>
            </w:pPr>
          </w:p>
        </w:tc>
        <w:tc>
          <w:tcPr>
            <w:tcW w:w="905" w:type="dxa"/>
            <w:vMerge w:val="continue"/>
            <w:vAlign w:val="center"/>
          </w:tcPr>
          <w:p w14:paraId="6565FDC9">
            <w:pPr>
              <w:pStyle w:val="75"/>
              <w:rPr>
                <w:kern w:val="2"/>
                <w:highlight w:val="none"/>
              </w:rPr>
            </w:pPr>
          </w:p>
        </w:tc>
        <w:tc>
          <w:tcPr>
            <w:tcW w:w="1373" w:type="dxa"/>
            <w:vAlign w:val="center"/>
          </w:tcPr>
          <w:p w14:paraId="14C5F69E">
            <w:pPr>
              <w:pStyle w:val="75"/>
              <w:rPr>
                <w:kern w:val="2"/>
                <w:highlight w:val="none"/>
              </w:rPr>
            </w:pPr>
            <w:r>
              <w:rPr>
                <w:highlight w:val="none"/>
              </w:rPr>
              <w:t>*废水、废气处理设施运行管理</w:t>
            </w:r>
          </w:p>
        </w:tc>
        <w:tc>
          <w:tcPr>
            <w:tcW w:w="952" w:type="dxa"/>
            <w:vAlign w:val="center"/>
          </w:tcPr>
          <w:p w14:paraId="0992C2C6">
            <w:pPr>
              <w:pStyle w:val="75"/>
              <w:rPr>
                <w:kern w:val="2"/>
                <w:highlight w:val="none"/>
              </w:rPr>
            </w:pPr>
            <w:r>
              <w:rPr>
                <w:highlight w:val="none"/>
              </w:rPr>
              <w:t>0.1</w:t>
            </w:r>
          </w:p>
        </w:tc>
        <w:tc>
          <w:tcPr>
            <w:tcW w:w="2550" w:type="dxa"/>
            <w:vAlign w:val="center"/>
          </w:tcPr>
          <w:p w14:paraId="5E46E252">
            <w:pPr>
              <w:pStyle w:val="75"/>
              <w:jc w:val="both"/>
              <w:rPr>
                <w:kern w:val="2"/>
                <w:highlight w:val="none"/>
              </w:rPr>
            </w:pPr>
            <w:r>
              <w:rPr>
                <w:highlight w:val="none"/>
              </w:rPr>
              <w:t>非电镀车间废水不得混入电镀废水处理系统；建有废水处理设施运行中控系统，包括自动加药装置等；出水口有pH自动监测装置，建立治污设施运行台账；对有害气体有良好净化装置，并定期检测</w:t>
            </w:r>
          </w:p>
        </w:tc>
        <w:tc>
          <w:tcPr>
            <w:tcW w:w="1984" w:type="dxa"/>
            <w:vAlign w:val="center"/>
          </w:tcPr>
          <w:p w14:paraId="60654D10">
            <w:pPr>
              <w:pStyle w:val="75"/>
              <w:jc w:val="both"/>
              <w:rPr>
                <w:kern w:val="2"/>
                <w:highlight w:val="none"/>
              </w:rPr>
            </w:pPr>
            <w:r>
              <w:rPr>
                <w:highlight w:val="none"/>
              </w:rPr>
              <w:t>非电镀车间废水不得混入电镀废水处理系统；建立治污设施运行台账，有自动加药装置，出水口有pH自动监测装置；对有害气体有良好净化装置，并定期检测</w:t>
            </w:r>
          </w:p>
        </w:tc>
        <w:tc>
          <w:tcPr>
            <w:tcW w:w="1702" w:type="dxa"/>
            <w:vAlign w:val="center"/>
          </w:tcPr>
          <w:p w14:paraId="294A4085">
            <w:pPr>
              <w:pStyle w:val="75"/>
              <w:jc w:val="both"/>
              <w:rPr>
                <w:kern w:val="2"/>
                <w:highlight w:val="none"/>
              </w:rPr>
            </w:pPr>
            <w:r>
              <w:rPr>
                <w:highlight w:val="none"/>
              </w:rPr>
              <w:t>非电镀车间废水不得混入电镀废水处理系统；建立治污设施运行台账，出水口有pH自动监测装置，对有害气体有良好净化装置，并定期检测</w:t>
            </w:r>
          </w:p>
        </w:tc>
        <w:tc>
          <w:tcPr>
            <w:tcW w:w="3421" w:type="dxa"/>
            <w:vAlign w:val="center"/>
          </w:tcPr>
          <w:p w14:paraId="209A02C3">
            <w:pPr>
              <w:pStyle w:val="75"/>
              <w:jc w:val="both"/>
              <w:rPr>
                <w:kern w:val="2"/>
                <w:highlight w:val="none"/>
              </w:rPr>
            </w:pPr>
            <w:r>
              <w:rPr>
                <w:rFonts w:hint="eastAsia"/>
                <w:highlight w:val="none"/>
              </w:rPr>
              <w:t>项目建设的</w:t>
            </w:r>
            <w:r>
              <w:rPr>
                <w:highlight w:val="none"/>
              </w:rPr>
              <w:t>电镀废水处理系统</w:t>
            </w:r>
            <w:r>
              <w:rPr>
                <w:rFonts w:hint="eastAsia"/>
                <w:highlight w:val="none"/>
              </w:rPr>
              <w:t>，</w:t>
            </w:r>
            <w:r>
              <w:rPr>
                <w:highlight w:val="none"/>
              </w:rPr>
              <w:t>不得混入非电镀车间废水；废水处理设施</w:t>
            </w:r>
            <w:r>
              <w:rPr>
                <w:rFonts w:hint="eastAsia"/>
                <w:highlight w:val="none"/>
              </w:rPr>
              <w:t>将建设</w:t>
            </w:r>
            <w:r>
              <w:rPr>
                <w:highlight w:val="none"/>
              </w:rPr>
              <w:t>运行中控系统，包括自动加药装置等；出水口</w:t>
            </w:r>
            <w:r>
              <w:rPr>
                <w:rFonts w:hint="eastAsia"/>
                <w:highlight w:val="none"/>
              </w:rPr>
              <w:t>拟建设</w:t>
            </w:r>
            <w:r>
              <w:rPr>
                <w:highlight w:val="none"/>
              </w:rPr>
              <w:t>有pH自动监测装置，</w:t>
            </w:r>
            <w:r>
              <w:rPr>
                <w:rFonts w:hint="eastAsia"/>
                <w:highlight w:val="none"/>
              </w:rPr>
              <w:t>并</w:t>
            </w:r>
            <w:r>
              <w:rPr>
                <w:highlight w:val="none"/>
              </w:rPr>
              <w:t>建立治污设施运行台账；对有害气体有良好净化装置，并定期检测，符合Ⅰ级基准值要求</w:t>
            </w:r>
            <w:r>
              <w:rPr>
                <w:rFonts w:hint="eastAsia"/>
                <w:highlight w:val="none"/>
              </w:rPr>
              <w:t>。</w:t>
            </w:r>
          </w:p>
        </w:tc>
      </w:tr>
      <w:tr w14:paraId="5D9C68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00D4B428">
            <w:pPr>
              <w:pStyle w:val="75"/>
              <w:rPr>
                <w:kern w:val="2"/>
                <w:highlight w:val="none"/>
              </w:rPr>
            </w:pPr>
            <w:r>
              <w:rPr>
                <w:highlight w:val="none"/>
              </w:rPr>
              <w:t>23</w:t>
            </w:r>
          </w:p>
        </w:tc>
        <w:tc>
          <w:tcPr>
            <w:tcW w:w="721" w:type="dxa"/>
            <w:vMerge w:val="continue"/>
            <w:vAlign w:val="center"/>
          </w:tcPr>
          <w:p w14:paraId="7B1015C7">
            <w:pPr>
              <w:pStyle w:val="75"/>
              <w:rPr>
                <w:kern w:val="2"/>
                <w:highlight w:val="none"/>
              </w:rPr>
            </w:pPr>
          </w:p>
        </w:tc>
        <w:tc>
          <w:tcPr>
            <w:tcW w:w="905" w:type="dxa"/>
            <w:vMerge w:val="continue"/>
            <w:vAlign w:val="center"/>
          </w:tcPr>
          <w:p w14:paraId="33207CCA">
            <w:pPr>
              <w:pStyle w:val="75"/>
              <w:rPr>
                <w:kern w:val="2"/>
                <w:highlight w:val="none"/>
              </w:rPr>
            </w:pPr>
          </w:p>
        </w:tc>
        <w:tc>
          <w:tcPr>
            <w:tcW w:w="1373" w:type="dxa"/>
            <w:vAlign w:val="center"/>
          </w:tcPr>
          <w:p w14:paraId="00601C64">
            <w:pPr>
              <w:pStyle w:val="75"/>
              <w:rPr>
                <w:kern w:val="2"/>
                <w:highlight w:val="none"/>
              </w:rPr>
            </w:pPr>
            <w:r>
              <w:rPr>
                <w:highlight w:val="none"/>
              </w:rPr>
              <w:t>*危险废物处理处置</w:t>
            </w:r>
          </w:p>
        </w:tc>
        <w:tc>
          <w:tcPr>
            <w:tcW w:w="952" w:type="dxa"/>
            <w:vAlign w:val="center"/>
          </w:tcPr>
          <w:p w14:paraId="022DD4FD">
            <w:pPr>
              <w:pStyle w:val="75"/>
              <w:rPr>
                <w:kern w:val="2"/>
                <w:highlight w:val="none"/>
              </w:rPr>
            </w:pPr>
            <w:r>
              <w:rPr>
                <w:highlight w:val="none"/>
              </w:rPr>
              <w:t>0.1</w:t>
            </w:r>
          </w:p>
        </w:tc>
        <w:tc>
          <w:tcPr>
            <w:tcW w:w="6236" w:type="dxa"/>
            <w:gridSpan w:val="3"/>
            <w:vAlign w:val="center"/>
          </w:tcPr>
          <w:p w14:paraId="3350AB47">
            <w:pPr>
              <w:pStyle w:val="75"/>
              <w:rPr>
                <w:kern w:val="2"/>
                <w:highlight w:val="none"/>
              </w:rPr>
            </w:pPr>
            <w:r>
              <w:rPr>
                <w:highlight w:val="none"/>
              </w:rPr>
              <w:t>危险废物按照GB18597等相关规定执行</w:t>
            </w:r>
          </w:p>
        </w:tc>
        <w:tc>
          <w:tcPr>
            <w:tcW w:w="3421" w:type="dxa"/>
            <w:vAlign w:val="center"/>
          </w:tcPr>
          <w:p w14:paraId="38C7A1F1">
            <w:pPr>
              <w:pStyle w:val="75"/>
              <w:rPr>
                <w:kern w:val="2"/>
                <w:highlight w:val="none"/>
              </w:rPr>
            </w:pPr>
            <w:r>
              <w:rPr>
                <w:highlight w:val="none"/>
              </w:rPr>
              <w:t>按照GB18597等相关规定执行。</w:t>
            </w:r>
          </w:p>
        </w:tc>
      </w:tr>
      <w:tr w14:paraId="0EF3C9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545C96CB">
            <w:pPr>
              <w:pStyle w:val="75"/>
              <w:rPr>
                <w:kern w:val="2"/>
                <w:highlight w:val="none"/>
              </w:rPr>
            </w:pPr>
            <w:r>
              <w:rPr>
                <w:highlight w:val="none"/>
              </w:rPr>
              <w:t>24</w:t>
            </w:r>
          </w:p>
        </w:tc>
        <w:tc>
          <w:tcPr>
            <w:tcW w:w="721" w:type="dxa"/>
            <w:vMerge w:val="continue"/>
            <w:vAlign w:val="center"/>
          </w:tcPr>
          <w:p w14:paraId="7F11CFDF">
            <w:pPr>
              <w:pStyle w:val="75"/>
              <w:rPr>
                <w:kern w:val="2"/>
                <w:highlight w:val="none"/>
              </w:rPr>
            </w:pPr>
          </w:p>
        </w:tc>
        <w:tc>
          <w:tcPr>
            <w:tcW w:w="905" w:type="dxa"/>
            <w:vMerge w:val="continue"/>
            <w:vAlign w:val="center"/>
          </w:tcPr>
          <w:p w14:paraId="69608DF4">
            <w:pPr>
              <w:pStyle w:val="75"/>
              <w:rPr>
                <w:kern w:val="2"/>
                <w:highlight w:val="none"/>
              </w:rPr>
            </w:pPr>
          </w:p>
        </w:tc>
        <w:tc>
          <w:tcPr>
            <w:tcW w:w="1373" w:type="dxa"/>
            <w:vAlign w:val="center"/>
          </w:tcPr>
          <w:p w14:paraId="3832B1DE">
            <w:pPr>
              <w:pStyle w:val="75"/>
              <w:rPr>
                <w:kern w:val="2"/>
                <w:highlight w:val="none"/>
              </w:rPr>
            </w:pPr>
            <w:r>
              <w:rPr>
                <w:highlight w:val="none"/>
              </w:rPr>
              <w:t>能源计量器具配备情况</w:t>
            </w:r>
          </w:p>
        </w:tc>
        <w:tc>
          <w:tcPr>
            <w:tcW w:w="952" w:type="dxa"/>
            <w:vAlign w:val="center"/>
          </w:tcPr>
          <w:p w14:paraId="0BDE5E87">
            <w:pPr>
              <w:pStyle w:val="75"/>
              <w:rPr>
                <w:kern w:val="2"/>
                <w:highlight w:val="none"/>
              </w:rPr>
            </w:pPr>
            <w:r>
              <w:rPr>
                <w:highlight w:val="none"/>
              </w:rPr>
              <w:t>0.1</w:t>
            </w:r>
          </w:p>
        </w:tc>
        <w:tc>
          <w:tcPr>
            <w:tcW w:w="6236" w:type="dxa"/>
            <w:gridSpan w:val="3"/>
            <w:vAlign w:val="center"/>
          </w:tcPr>
          <w:p w14:paraId="6CDD2274">
            <w:pPr>
              <w:pStyle w:val="75"/>
              <w:rPr>
                <w:kern w:val="2"/>
                <w:highlight w:val="none"/>
              </w:rPr>
            </w:pPr>
            <w:r>
              <w:rPr>
                <w:highlight w:val="none"/>
              </w:rPr>
              <w:t>能源计量器具配备率符合GB17167标准</w:t>
            </w:r>
          </w:p>
        </w:tc>
        <w:tc>
          <w:tcPr>
            <w:tcW w:w="3421" w:type="dxa"/>
            <w:vAlign w:val="center"/>
          </w:tcPr>
          <w:p w14:paraId="7A7FABEE">
            <w:pPr>
              <w:pStyle w:val="75"/>
              <w:jc w:val="both"/>
              <w:rPr>
                <w:kern w:val="2"/>
                <w:highlight w:val="none"/>
              </w:rPr>
            </w:pPr>
            <w:r>
              <w:rPr>
                <w:highlight w:val="none"/>
              </w:rPr>
              <w:t>能源计量器具配备率符合GB17167标准。</w:t>
            </w:r>
          </w:p>
        </w:tc>
      </w:tr>
      <w:tr w14:paraId="66214C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7" w:type="dxa"/>
            <w:vAlign w:val="center"/>
          </w:tcPr>
          <w:p w14:paraId="3997CFFD">
            <w:pPr>
              <w:pStyle w:val="75"/>
              <w:rPr>
                <w:kern w:val="2"/>
                <w:highlight w:val="none"/>
              </w:rPr>
            </w:pPr>
            <w:r>
              <w:rPr>
                <w:highlight w:val="none"/>
              </w:rPr>
              <w:t>25</w:t>
            </w:r>
          </w:p>
        </w:tc>
        <w:tc>
          <w:tcPr>
            <w:tcW w:w="721" w:type="dxa"/>
            <w:vMerge w:val="continue"/>
            <w:vAlign w:val="center"/>
          </w:tcPr>
          <w:p w14:paraId="1012ECC9">
            <w:pPr>
              <w:pStyle w:val="75"/>
              <w:rPr>
                <w:kern w:val="2"/>
                <w:highlight w:val="none"/>
              </w:rPr>
            </w:pPr>
          </w:p>
        </w:tc>
        <w:tc>
          <w:tcPr>
            <w:tcW w:w="905" w:type="dxa"/>
            <w:vMerge w:val="continue"/>
            <w:vAlign w:val="center"/>
          </w:tcPr>
          <w:p w14:paraId="4112A69F">
            <w:pPr>
              <w:pStyle w:val="75"/>
              <w:rPr>
                <w:kern w:val="2"/>
                <w:highlight w:val="none"/>
              </w:rPr>
            </w:pPr>
          </w:p>
        </w:tc>
        <w:tc>
          <w:tcPr>
            <w:tcW w:w="1373" w:type="dxa"/>
            <w:vAlign w:val="center"/>
          </w:tcPr>
          <w:p w14:paraId="038F062B">
            <w:pPr>
              <w:pStyle w:val="75"/>
              <w:rPr>
                <w:kern w:val="2"/>
                <w:highlight w:val="none"/>
              </w:rPr>
            </w:pPr>
            <w:r>
              <w:rPr>
                <w:highlight w:val="none"/>
              </w:rPr>
              <w:t>*环境应急预案</w:t>
            </w:r>
          </w:p>
        </w:tc>
        <w:tc>
          <w:tcPr>
            <w:tcW w:w="952" w:type="dxa"/>
            <w:vAlign w:val="center"/>
          </w:tcPr>
          <w:p w14:paraId="20EC6262">
            <w:pPr>
              <w:pStyle w:val="75"/>
              <w:rPr>
                <w:kern w:val="2"/>
                <w:highlight w:val="none"/>
              </w:rPr>
            </w:pPr>
            <w:r>
              <w:rPr>
                <w:highlight w:val="none"/>
              </w:rPr>
              <w:t>0.1</w:t>
            </w:r>
          </w:p>
        </w:tc>
        <w:tc>
          <w:tcPr>
            <w:tcW w:w="6236" w:type="dxa"/>
            <w:gridSpan w:val="3"/>
            <w:vAlign w:val="center"/>
          </w:tcPr>
          <w:p w14:paraId="27871D60">
            <w:pPr>
              <w:pStyle w:val="75"/>
              <w:rPr>
                <w:kern w:val="2"/>
                <w:highlight w:val="none"/>
              </w:rPr>
            </w:pPr>
            <w:r>
              <w:rPr>
                <w:highlight w:val="none"/>
              </w:rPr>
              <w:t>编制系统的环境应急预案并开展环境应急演练</w:t>
            </w:r>
          </w:p>
        </w:tc>
        <w:tc>
          <w:tcPr>
            <w:tcW w:w="3421" w:type="dxa"/>
            <w:vAlign w:val="center"/>
          </w:tcPr>
          <w:p w14:paraId="057EA234">
            <w:pPr>
              <w:pStyle w:val="75"/>
              <w:jc w:val="both"/>
              <w:rPr>
                <w:kern w:val="2"/>
                <w:highlight w:val="none"/>
              </w:rPr>
            </w:pPr>
            <w:r>
              <w:rPr>
                <w:highlight w:val="none"/>
              </w:rPr>
              <w:t>拟编制系统的环境应急预案并开展环境应急演练。</w:t>
            </w:r>
          </w:p>
        </w:tc>
      </w:tr>
    </w:tbl>
    <w:p w14:paraId="267ED463">
      <w:pPr>
        <w:pStyle w:val="13"/>
        <w:spacing w:line="240" w:lineRule="auto"/>
        <w:ind w:firstLine="420"/>
        <w:rPr>
          <w:rFonts w:eastAsia="黑体"/>
          <w:b w:val="0"/>
          <w:bCs/>
          <w:kern w:val="2"/>
        </w:rPr>
      </w:pPr>
      <w:r>
        <w:rPr>
          <w:rFonts w:eastAsia="黑体"/>
          <w:b w:val="0"/>
          <w:bCs/>
          <w:kern w:val="2"/>
        </w:rPr>
        <w:t>备注：带“*”的指标为限定性指标。</w:t>
      </w:r>
    </w:p>
    <w:p w14:paraId="10B2952A">
      <w:pPr>
        <w:ind w:firstLine="480"/>
      </w:pPr>
      <w:r>
        <w:rPr>
          <w:rFonts w:hint="eastAsia"/>
        </w:rPr>
        <w:t>评价方法：不同清洁生产指标由于量纲不同，不能直接比较，需要建立原始指标的函数。</w:t>
      </w:r>
    </w:p>
    <w:p w14:paraId="2E1134DD">
      <w:pPr>
        <w:pStyle w:val="72"/>
        <w:ind w:firstLine="0" w:firstLineChars="0"/>
        <w:rPr>
          <w:highlight w:val="yellow"/>
          <w:u w:val="single"/>
        </w:rPr>
      </w:pPr>
      <w:r>
        <w:drawing>
          <wp:anchor distT="0" distB="0" distL="114300" distR="114300" simplePos="0" relativeHeight="251668480" behindDoc="0" locked="0" layoutInCell="1" allowOverlap="1">
            <wp:simplePos x="0" y="0"/>
            <wp:positionH relativeFrom="margin">
              <wp:align>center</wp:align>
            </wp:positionH>
            <wp:positionV relativeFrom="paragraph">
              <wp:posOffset>71755</wp:posOffset>
            </wp:positionV>
            <wp:extent cx="2402205" cy="579755"/>
            <wp:effectExtent l="0" t="0" r="0" b="0"/>
            <wp:wrapNone/>
            <wp:docPr id="53" name="图片 468" descr="QQ截图20170228103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68" descr="QQ截图20170228103725"/>
                    <pic:cNvPicPr>
                      <a:picLocks noChangeAspect="1" noChangeArrowheads="1"/>
                    </pic:cNvPicPr>
                  </pic:nvPicPr>
                  <pic:blipFill>
                    <a:blip r:embed="rId35" cstate="print">
                      <a:extLst>
                        <a:ext uri="{28A0092B-C50C-407E-A947-70E740481C1C}">
                          <a14:useLocalDpi xmlns:a14="http://schemas.microsoft.com/office/drawing/2010/main" val="0"/>
                        </a:ext>
                      </a:extLst>
                    </a:blip>
                    <a:srcRect b="8165"/>
                    <a:stretch>
                      <a:fillRect/>
                    </a:stretch>
                  </pic:blipFill>
                  <pic:spPr>
                    <a:xfrm>
                      <a:off x="0" y="0"/>
                      <a:ext cx="2402205" cy="579755"/>
                    </a:xfrm>
                    <a:prstGeom prst="rect">
                      <a:avLst/>
                    </a:prstGeom>
                    <a:noFill/>
                    <a:ln w="9525">
                      <a:noFill/>
                      <a:miter lim="800000"/>
                      <a:headEnd/>
                      <a:tailEnd/>
                    </a:ln>
                  </pic:spPr>
                </pic:pic>
              </a:graphicData>
            </a:graphic>
          </wp:anchor>
        </w:drawing>
      </w:r>
    </w:p>
    <w:p w14:paraId="6525DC7F">
      <w:pPr>
        <w:pStyle w:val="72"/>
        <w:rPr>
          <w:highlight w:val="yellow"/>
          <w:u w:val="single"/>
        </w:rPr>
      </w:pPr>
    </w:p>
    <w:p w14:paraId="7888E8A6">
      <w:pPr>
        <w:ind w:firstLine="480"/>
        <w:rPr>
          <w:kern w:val="2"/>
        </w:rPr>
      </w:pPr>
      <w:r>
        <w:t>公式中：X</w:t>
      </w:r>
      <w:r>
        <w:rPr>
          <w:vertAlign w:val="subscript"/>
        </w:rPr>
        <w:t>ij</w:t>
      </w:r>
      <w:r>
        <w:t>表示第i个一级指标下的第j个二级指标；g</w:t>
      </w:r>
      <w:r>
        <w:rPr>
          <w:vertAlign w:val="subscript"/>
        </w:rPr>
        <w:t>k</w:t>
      </w:r>
      <w:r>
        <w:t>表示二级指标基准值，其中g</w:t>
      </w:r>
      <w:r>
        <w:rPr>
          <w:vertAlign w:val="subscript"/>
        </w:rPr>
        <w:t>1</w:t>
      </w:r>
      <w:r>
        <w:t>为Ⅰ级水平，g</w:t>
      </w:r>
      <w:r>
        <w:rPr>
          <w:vertAlign w:val="subscript"/>
        </w:rPr>
        <w:t>2</w:t>
      </w:r>
      <w:r>
        <w:t>为Ⅱ级水平，g</w:t>
      </w:r>
      <w:r>
        <w:rPr>
          <w:vertAlign w:val="subscript"/>
        </w:rPr>
        <w:t>3</w:t>
      </w:r>
      <w:r>
        <w:t>为Ⅲ级水平；Y</w:t>
      </w:r>
      <w:r>
        <w:rPr>
          <w:vertAlign w:val="subscript"/>
        </w:rPr>
        <w:t>gk</w:t>
      </w:r>
      <w:r>
        <w:t>（X</w:t>
      </w:r>
      <w:r>
        <w:rPr>
          <w:vertAlign w:val="subscript"/>
        </w:rPr>
        <w:t>ij</w:t>
      </w:r>
      <w:r>
        <w:t>）为二级指标X</w:t>
      </w:r>
      <w:r>
        <w:rPr>
          <w:vertAlign w:val="subscript"/>
        </w:rPr>
        <w:t>ij</w:t>
      </w:r>
      <w:r>
        <w:t>对于级别g</w:t>
      </w:r>
      <w:r>
        <w:rPr>
          <w:vertAlign w:val="subscript"/>
        </w:rPr>
        <w:t>k</w:t>
      </w:r>
      <w:r>
        <w:t>的函数。若指标X</w:t>
      </w:r>
      <w:r>
        <w:rPr>
          <w:vertAlign w:val="subscript"/>
        </w:rPr>
        <w:t>ij</w:t>
      </w:r>
      <w:r>
        <w:t>属于级别g</w:t>
      </w:r>
      <w:r>
        <w:rPr>
          <w:vertAlign w:val="subscript"/>
        </w:rPr>
        <w:t>k</w:t>
      </w:r>
      <w:r>
        <w:t>，则函数的值为100，否则为0。</w:t>
      </w:r>
    </w:p>
    <w:p w14:paraId="5E14717D">
      <w:pPr>
        <w:pStyle w:val="72"/>
        <w:rPr>
          <w:highlight w:val="yellow"/>
          <w:u w:val="single"/>
        </w:rPr>
      </w:pPr>
      <w:r>
        <w:rPr>
          <w:rFonts w:cs="Times New Roman"/>
        </w:rPr>
        <w:t>通过加权平均、逐层收敛可得到评价对象在不同级别g</w:t>
      </w:r>
      <w:r>
        <w:rPr>
          <w:rFonts w:cs="Times New Roman"/>
          <w:vertAlign w:val="subscript"/>
        </w:rPr>
        <w:t>k</w:t>
      </w:r>
      <w:r>
        <w:rPr>
          <w:rFonts w:cs="Times New Roman"/>
        </w:rPr>
        <w:t>的得分Yg</w:t>
      </w:r>
      <w:r>
        <w:rPr>
          <w:rFonts w:cs="Times New Roman"/>
          <w:vertAlign w:val="subscript"/>
        </w:rPr>
        <w:t>k</w:t>
      </w:r>
      <w:r>
        <w:rPr>
          <w:rFonts w:cs="Times New Roman"/>
        </w:rPr>
        <w:t>，如式所</w:t>
      </w:r>
      <w:r>
        <w:rPr>
          <w:rFonts w:hint="eastAsia"/>
        </w:rPr>
        <w:t>示。</w:t>
      </w:r>
    </w:p>
    <w:p w14:paraId="5152BC66">
      <w:pPr>
        <w:pStyle w:val="72"/>
        <w:rPr>
          <w:highlight w:val="yellow"/>
          <w:u w:val="single"/>
        </w:rPr>
      </w:pPr>
      <w:r>
        <w:drawing>
          <wp:anchor distT="0" distB="0" distL="114300" distR="114300" simplePos="0" relativeHeight="251659264" behindDoc="0" locked="0" layoutInCell="1" allowOverlap="1">
            <wp:simplePos x="0" y="0"/>
            <wp:positionH relativeFrom="margin">
              <wp:align>center</wp:align>
            </wp:positionH>
            <wp:positionV relativeFrom="paragraph">
              <wp:posOffset>46355</wp:posOffset>
            </wp:positionV>
            <wp:extent cx="2047240" cy="655320"/>
            <wp:effectExtent l="0" t="0" r="0" b="0"/>
            <wp:wrapNone/>
            <wp:docPr id="49" name="图片 470" descr="QQ截图20170228104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70" descr="QQ截图2017022810424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047240" cy="655320"/>
                    </a:xfrm>
                    <a:prstGeom prst="rect">
                      <a:avLst/>
                    </a:prstGeom>
                    <a:noFill/>
                    <a:ln w="9525">
                      <a:noFill/>
                      <a:miter lim="800000"/>
                      <a:headEnd/>
                      <a:tailEnd/>
                    </a:ln>
                  </pic:spPr>
                </pic:pic>
              </a:graphicData>
            </a:graphic>
          </wp:anchor>
        </w:drawing>
      </w:r>
    </w:p>
    <w:p w14:paraId="1DB34296">
      <w:pPr>
        <w:pStyle w:val="72"/>
        <w:rPr>
          <w:highlight w:val="yellow"/>
          <w:u w:val="single"/>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pPr>
    </w:p>
    <w:p w14:paraId="3555BDC4">
      <w:pPr>
        <w:ind w:firstLine="480"/>
      </w:pPr>
      <w:r>
        <w:rPr>
          <w:rFonts w:hint="eastAsia"/>
        </w:rPr>
        <w:t>式中：</w:t>
      </w:r>
      <w:r>
        <w:t>W</w:t>
      </w:r>
      <w:r>
        <w:rPr>
          <w:vertAlign w:val="subscript"/>
        </w:rPr>
        <w:t>i</w:t>
      </w:r>
      <w:r>
        <w:rPr>
          <w:rFonts w:hint="eastAsia"/>
        </w:rPr>
        <w:t>表示第</w:t>
      </w:r>
      <w:r>
        <w:t>i</w:t>
      </w:r>
      <w:r>
        <w:rPr>
          <w:rFonts w:hint="eastAsia"/>
        </w:rPr>
        <w:t>个一级指标的权重；</w:t>
      </w:r>
      <w:r>
        <w:t>W</w:t>
      </w:r>
      <w:r>
        <w:rPr>
          <w:vertAlign w:val="subscript"/>
        </w:rPr>
        <w:t>ij</w:t>
      </w:r>
      <w:r>
        <w:rPr>
          <w:rFonts w:hint="eastAsia"/>
        </w:rPr>
        <w:t>为第</w:t>
      </w:r>
      <w:r>
        <w:t>i</w:t>
      </w:r>
      <w:r>
        <w:rPr>
          <w:rFonts w:hint="eastAsia"/>
        </w:rPr>
        <w:t>个一级指标下第</w:t>
      </w:r>
      <w:r>
        <w:t>j</w:t>
      </w:r>
      <w:r>
        <w:rPr>
          <w:rFonts w:hint="eastAsia"/>
        </w:rPr>
        <w:t>个二级指标的权重。根据目前我国电镀行业的实际情况，不同等级的清洁生产企业的综合评价指数列于下表。</w:t>
      </w:r>
    </w:p>
    <w:p w14:paraId="355DE078">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3.8-2</w:t>
      </w:r>
      <w:r>
        <w:rPr>
          <w:rFonts w:hint="eastAsia" w:ascii="Times New Roman" w:hAnsi="Times New Roman" w:eastAsia="宋体" w:cs="Times New Roman"/>
          <w:color w:val="000000" w:themeColor="text1"/>
          <w:sz w:val="24"/>
          <w:highlight w:val="none"/>
          <w14:textFill>
            <w14:solidFill>
              <w14:schemeClr w14:val="tx1"/>
            </w14:solidFill>
          </w14:textFill>
        </w:rPr>
        <w:t xml:space="preserve">    电镀行业不同等级清洁生产企业综合评价指数</w:t>
      </w:r>
    </w:p>
    <w:tbl>
      <w:tblPr>
        <w:tblStyle w:val="4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344"/>
        <w:gridCol w:w="5184"/>
      </w:tblGrid>
      <w:tr w14:paraId="4769A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1" w:type="dxa"/>
            <w:vAlign w:val="center"/>
          </w:tcPr>
          <w:p w14:paraId="6D793462">
            <w:pPr>
              <w:pStyle w:val="81"/>
              <w:rPr>
                <w:rFonts w:cs="Times New Roman"/>
                <w:color w:val="auto"/>
              </w:rPr>
            </w:pPr>
            <w:r>
              <w:rPr>
                <w:rFonts w:cs="Times New Roman"/>
                <w:color w:val="auto"/>
              </w:rPr>
              <w:t>企业清洁生产水平</w:t>
            </w:r>
          </w:p>
        </w:tc>
        <w:tc>
          <w:tcPr>
            <w:tcW w:w="5041" w:type="dxa"/>
            <w:vAlign w:val="center"/>
          </w:tcPr>
          <w:p w14:paraId="5DDB76CE">
            <w:pPr>
              <w:pStyle w:val="81"/>
              <w:rPr>
                <w:rFonts w:cs="Times New Roman"/>
                <w:color w:val="auto"/>
              </w:rPr>
            </w:pPr>
            <w:r>
              <w:rPr>
                <w:rFonts w:cs="Times New Roman"/>
                <w:color w:val="auto"/>
              </w:rPr>
              <w:t>评定条件</w:t>
            </w:r>
          </w:p>
        </w:tc>
      </w:tr>
      <w:tr w14:paraId="539BE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1" w:type="dxa"/>
            <w:vAlign w:val="center"/>
          </w:tcPr>
          <w:p w14:paraId="3B9A9BEE">
            <w:pPr>
              <w:pStyle w:val="75"/>
            </w:pPr>
            <w:r>
              <w:t>Ⅰ级（国际清洁生产领先水平）</w:t>
            </w:r>
          </w:p>
        </w:tc>
        <w:tc>
          <w:tcPr>
            <w:tcW w:w="5041" w:type="dxa"/>
            <w:vAlign w:val="center"/>
          </w:tcPr>
          <w:p w14:paraId="355CD027">
            <w:pPr>
              <w:pStyle w:val="75"/>
            </w:pPr>
            <w:r>
              <w:t>同时满足：</w:t>
            </w:r>
          </w:p>
          <w:p w14:paraId="44AA4814">
            <w:pPr>
              <w:pStyle w:val="75"/>
            </w:pPr>
            <w:r>
              <w:t>Y</w:t>
            </w:r>
            <w:r>
              <w:rPr>
                <w:vertAlign w:val="subscript"/>
              </w:rPr>
              <w:t>Ⅰ</w:t>
            </w:r>
            <w:r>
              <w:t>≥85；限定性指标全部满足Ⅰ级基准值要求</w:t>
            </w:r>
          </w:p>
        </w:tc>
      </w:tr>
      <w:tr w14:paraId="3F2BB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1" w:type="dxa"/>
            <w:vAlign w:val="center"/>
          </w:tcPr>
          <w:p w14:paraId="20035B97">
            <w:pPr>
              <w:pStyle w:val="75"/>
            </w:pPr>
            <w:r>
              <w:t>Ⅱ级（国内清洁生产先进水平）</w:t>
            </w:r>
          </w:p>
        </w:tc>
        <w:tc>
          <w:tcPr>
            <w:tcW w:w="5041" w:type="dxa"/>
            <w:vAlign w:val="center"/>
          </w:tcPr>
          <w:p w14:paraId="3BDD7610">
            <w:pPr>
              <w:pStyle w:val="75"/>
            </w:pPr>
            <w:r>
              <w:t>同时满足：</w:t>
            </w:r>
          </w:p>
          <w:p w14:paraId="3A072538">
            <w:pPr>
              <w:pStyle w:val="75"/>
            </w:pPr>
            <w:r>
              <w:t>Y</w:t>
            </w:r>
            <w:r>
              <w:rPr>
                <w:vertAlign w:val="subscript"/>
              </w:rPr>
              <w:t>Ⅱ</w:t>
            </w:r>
            <w:r>
              <w:t>≥85；限定性指标全部满足Ⅱ级基准值要求及以上</w:t>
            </w:r>
          </w:p>
        </w:tc>
      </w:tr>
      <w:tr w14:paraId="2AE6A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1" w:type="dxa"/>
            <w:vAlign w:val="center"/>
          </w:tcPr>
          <w:p w14:paraId="0AAFE6F5">
            <w:pPr>
              <w:pStyle w:val="75"/>
            </w:pPr>
            <w:r>
              <w:t>Ⅲ级（国内清洁生产基本水平）</w:t>
            </w:r>
          </w:p>
        </w:tc>
        <w:tc>
          <w:tcPr>
            <w:tcW w:w="5041" w:type="dxa"/>
            <w:vAlign w:val="center"/>
          </w:tcPr>
          <w:p w14:paraId="193BEC58">
            <w:pPr>
              <w:pStyle w:val="75"/>
            </w:pPr>
            <w:r>
              <w:t>满足：Y</w:t>
            </w:r>
            <w:r>
              <w:rPr>
                <w:vertAlign w:val="subscript"/>
              </w:rPr>
              <w:t>Ⅲ</w:t>
            </w:r>
            <w:r>
              <w:t>=100</w:t>
            </w:r>
          </w:p>
        </w:tc>
      </w:tr>
    </w:tbl>
    <w:p w14:paraId="6E937228">
      <w:pPr>
        <w:pStyle w:val="72"/>
        <w:rPr>
          <w:highlight w:val="none"/>
        </w:rPr>
      </w:pPr>
      <w:r>
        <w:rPr>
          <w:rFonts w:hint="eastAsia"/>
          <w:highlight w:val="none"/>
        </w:rPr>
        <w:t>经计算，本项目清洁生产计算结果见下表。</w:t>
      </w:r>
    </w:p>
    <w:p w14:paraId="298F6D28">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3.8-3</w:t>
      </w:r>
      <w:r>
        <w:rPr>
          <w:rFonts w:hint="eastAsia" w:ascii="Times New Roman" w:hAnsi="Times New Roman" w:eastAsia="宋体" w:cs="Times New Roman"/>
          <w:color w:val="000000" w:themeColor="text1"/>
          <w:sz w:val="24"/>
          <w:highlight w:val="none"/>
          <w14:textFill>
            <w14:solidFill>
              <w14:schemeClr w14:val="tx1"/>
            </w14:solidFill>
          </w14:textFill>
        </w:rPr>
        <w:t xml:space="preserve">    本项目清洁生产计算结果</w:t>
      </w:r>
    </w:p>
    <w:tbl>
      <w:tblPr>
        <w:tblStyle w:val="4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418"/>
        <w:gridCol w:w="1276"/>
        <w:gridCol w:w="1275"/>
        <w:gridCol w:w="2750"/>
      </w:tblGrid>
      <w:tr w14:paraId="6ECC31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09" w:type="dxa"/>
            <w:vAlign w:val="center"/>
          </w:tcPr>
          <w:p w14:paraId="7E5B5E7C">
            <w:pPr>
              <w:pStyle w:val="81"/>
              <w:rPr>
                <w:rFonts w:cs="Times New Roman"/>
                <w:color w:val="auto"/>
                <w:highlight w:val="none"/>
              </w:rPr>
            </w:pPr>
            <w:r>
              <w:rPr>
                <w:rFonts w:cs="Times New Roman"/>
                <w:color w:val="auto"/>
                <w:highlight w:val="none"/>
              </w:rPr>
              <w:t>分级</w:t>
            </w:r>
          </w:p>
        </w:tc>
        <w:tc>
          <w:tcPr>
            <w:tcW w:w="1418" w:type="dxa"/>
            <w:vAlign w:val="center"/>
          </w:tcPr>
          <w:p w14:paraId="1244BBC7">
            <w:pPr>
              <w:pStyle w:val="81"/>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Y</w:t>
            </w:r>
            <w:r>
              <w:rPr>
                <w:rFonts w:cs="Times New Roman"/>
                <w:color w:val="000000" w:themeColor="text1"/>
                <w:highlight w:val="none"/>
                <w:vertAlign w:val="subscript"/>
                <w14:textFill>
                  <w14:solidFill>
                    <w14:schemeClr w14:val="tx1"/>
                  </w14:solidFill>
                </w14:textFill>
              </w:rPr>
              <w:t>Ⅰ</w:t>
            </w:r>
          </w:p>
        </w:tc>
        <w:tc>
          <w:tcPr>
            <w:tcW w:w="1276" w:type="dxa"/>
            <w:vAlign w:val="center"/>
          </w:tcPr>
          <w:p w14:paraId="71E4772A">
            <w:pPr>
              <w:pStyle w:val="81"/>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Y</w:t>
            </w:r>
            <w:r>
              <w:rPr>
                <w:rFonts w:cs="Times New Roman"/>
                <w:color w:val="000000" w:themeColor="text1"/>
                <w:highlight w:val="none"/>
                <w:vertAlign w:val="subscript"/>
                <w14:textFill>
                  <w14:solidFill>
                    <w14:schemeClr w14:val="tx1"/>
                  </w14:solidFill>
                </w14:textFill>
              </w:rPr>
              <w:t>Ⅱ</w:t>
            </w:r>
          </w:p>
        </w:tc>
        <w:tc>
          <w:tcPr>
            <w:tcW w:w="1275" w:type="dxa"/>
            <w:vAlign w:val="center"/>
          </w:tcPr>
          <w:p w14:paraId="64BC7719">
            <w:pPr>
              <w:pStyle w:val="81"/>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Y</w:t>
            </w:r>
            <w:r>
              <w:rPr>
                <w:rFonts w:cs="Times New Roman"/>
                <w:color w:val="000000" w:themeColor="text1"/>
                <w:highlight w:val="none"/>
                <w:vertAlign w:val="subscript"/>
                <w14:textFill>
                  <w14:solidFill>
                    <w14:schemeClr w14:val="tx1"/>
                  </w14:solidFill>
                </w14:textFill>
              </w:rPr>
              <w:t>Ⅲ</w:t>
            </w:r>
          </w:p>
        </w:tc>
        <w:tc>
          <w:tcPr>
            <w:tcW w:w="2750" w:type="dxa"/>
            <w:vAlign w:val="center"/>
          </w:tcPr>
          <w:p w14:paraId="2D31E934">
            <w:pPr>
              <w:pStyle w:val="81"/>
              <w:rPr>
                <w:rFonts w:cs="Times New Roman"/>
                <w:color w:val="auto"/>
                <w:highlight w:val="none"/>
              </w:rPr>
            </w:pPr>
            <w:r>
              <w:rPr>
                <w:rFonts w:cs="Times New Roman"/>
                <w:color w:val="auto"/>
                <w:highlight w:val="none"/>
              </w:rPr>
              <w:t>其他</w:t>
            </w:r>
          </w:p>
        </w:tc>
      </w:tr>
      <w:tr w14:paraId="7D711F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09" w:type="dxa"/>
            <w:vAlign w:val="center"/>
          </w:tcPr>
          <w:p w14:paraId="2A9AA61F">
            <w:pPr>
              <w:pStyle w:val="75"/>
              <w:rPr>
                <w:highlight w:val="none"/>
              </w:rPr>
            </w:pPr>
            <w:r>
              <w:rPr>
                <w:highlight w:val="none"/>
              </w:rPr>
              <w:t>电镀得分</w:t>
            </w:r>
          </w:p>
        </w:tc>
        <w:tc>
          <w:tcPr>
            <w:tcW w:w="1418" w:type="dxa"/>
            <w:vAlign w:val="center"/>
          </w:tcPr>
          <w:p w14:paraId="09E3B8E0">
            <w:pPr>
              <w:pStyle w:val="75"/>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89</w:t>
            </w:r>
          </w:p>
        </w:tc>
        <w:tc>
          <w:tcPr>
            <w:tcW w:w="1276" w:type="dxa"/>
            <w:vAlign w:val="center"/>
          </w:tcPr>
          <w:p w14:paraId="0038130A">
            <w:pPr>
              <w:pStyle w:val="7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100</w:t>
            </w:r>
          </w:p>
        </w:tc>
        <w:tc>
          <w:tcPr>
            <w:tcW w:w="1275" w:type="dxa"/>
            <w:vAlign w:val="center"/>
          </w:tcPr>
          <w:p w14:paraId="023F19D0">
            <w:pPr>
              <w:pStyle w:val="7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100</w:t>
            </w:r>
          </w:p>
        </w:tc>
        <w:tc>
          <w:tcPr>
            <w:tcW w:w="2750" w:type="dxa"/>
            <w:vAlign w:val="center"/>
          </w:tcPr>
          <w:p w14:paraId="49CDF65D">
            <w:pPr>
              <w:pStyle w:val="75"/>
              <w:rPr>
                <w:highlight w:val="none"/>
              </w:rPr>
            </w:pPr>
            <w:r>
              <w:rPr>
                <w:highlight w:val="none"/>
              </w:rPr>
              <w:t>限定性指标部满足Ⅰ级基准值要求及以上</w:t>
            </w:r>
          </w:p>
        </w:tc>
      </w:tr>
    </w:tbl>
    <w:p w14:paraId="77D8D17D">
      <w:pPr>
        <w:ind w:firstLine="480"/>
        <w:rPr>
          <w:highlight w:val="none"/>
        </w:rPr>
      </w:pPr>
      <w:r>
        <w:rPr>
          <w:highlight w:val="none"/>
        </w:rPr>
        <w:t>由上表可知，本项目电镀Y</w:t>
      </w:r>
      <w:r>
        <w:rPr>
          <w:highlight w:val="none"/>
          <w:vertAlign w:val="subscript"/>
        </w:rPr>
        <w:t>Ⅱ</w:t>
      </w:r>
      <w:r>
        <w:rPr>
          <w:highlight w:val="none"/>
        </w:rPr>
        <w:t>=</w:t>
      </w:r>
      <w:r>
        <w:rPr>
          <w:rFonts w:hint="eastAsia"/>
          <w:highlight w:val="none"/>
          <w:lang w:val="en-US" w:eastAsia="zh-CN"/>
        </w:rPr>
        <w:t>89</w:t>
      </w:r>
      <w:r>
        <w:rPr>
          <w:highlight w:val="none"/>
        </w:rPr>
        <w:t>≥85，限定性指标全部满足Ⅰ级基准值要求</w:t>
      </w:r>
      <w:r>
        <w:rPr>
          <w:rFonts w:hint="eastAsia"/>
          <w:highlight w:val="none"/>
          <w:lang w:eastAsia="zh-CN"/>
        </w:rPr>
        <w:t>，</w:t>
      </w:r>
      <w:r>
        <w:rPr>
          <w:highlight w:val="none"/>
        </w:rPr>
        <w:t>因此，本项目电镀属于Ⅰ级，</w:t>
      </w:r>
      <w:r>
        <w:rPr>
          <w:rFonts w:hint="eastAsia"/>
          <w:highlight w:val="none"/>
        </w:rPr>
        <w:t>即国际清洁生产领先水平</w:t>
      </w:r>
      <w:r>
        <w:rPr>
          <w:highlight w:val="none"/>
        </w:rPr>
        <w:t>。</w:t>
      </w:r>
    </w:p>
    <w:bookmarkEnd w:id="420"/>
    <w:bookmarkEnd w:id="421"/>
    <w:bookmarkEnd w:id="422"/>
    <w:p w14:paraId="53E997A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highlight w:val="none"/>
          <w:lang w:val="en-US" w:eastAsia="zh-CN"/>
        </w:rPr>
      </w:pPr>
      <w:bookmarkStart w:id="426" w:name="_Toc108122521"/>
      <w:bookmarkStart w:id="427" w:name="_Toc283581211"/>
      <w:bookmarkStart w:id="428" w:name="_Toc256177445"/>
      <w:bookmarkStart w:id="429" w:name="_Toc247457097"/>
      <w:r>
        <w:rPr>
          <w:rFonts w:hint="eastAsia" w:ascii="Times New Roman" w:hAnsi="Times New Roman" w:cs="Times New Roman"/>
          <w:highlight w:val="none"/>
          <w:lang w:val="en-US" w:eastAsia="zh-CN"/>
        </w:rPr>
        <w:t>3.8.4清洁生产管理</w:t>
      </w:r>
      <w:bookmarkEnd w:id="426"/>
    </w:p>
    <w:p w14:paraId="436CBE02">
      <w:pPr>
        <w:pStyle w:val="72"/>
        <w:rPr>
          <w:szCs w:val="24"/>
        </w:rPr>
      </w:pPr>
      <w:r>
        <w:rPr>
          <w:rFonts w:hint="eastAsia"/>
          <w:szCs w:val="24"/>
        </w:rPr>
        <w:t>清洁生产是提高企业管理水平和控制环境污染的有效手段。不仅可以减少原材料的浪费，降低废弃物的产生，而且在降低生产成本和提高产品质量的同时，又可减少污染物的排放和减少对环境危害程度。因此，项目投入运行后，企业要建立清洁生产组织，落实专人负责企业的清洁生产。清洁生产组织的具体职责如下：</w:t>
      </w:r>
    </w:p>
    <w:p w14:paraId="3DC23DBA">
      <w:pPr>
        <w:pStyle w:val="72"/>
        <w:rPr>
          <w:szCs w:val="24"/>
        </w:rPr>
      </w:pPr>
      <w:r>
        <w:rPr>
          <w:rFonts w:hint="eastAsia"/>
          <w:szCs w:val="24"/>
        </w:rPr>
        <w:t>（1）制定有利于清洁生产的管理条例及岗位操作规程；</w:t>
      </w:r>
    </w:p>
    <w:p w14:paraId="5FC6CABB">
      <w:pPr>
        <w:pStyle w:val="72"/>
        <w:rPr>
          <w:szCs w:val="24"/>
        </w:rPr>
      </w:pPr>
      <w:r>
        <w:rPr>
          <w:rFonts w:hint="eastAsia"/>
          <w:szCs w:val="24"/>
        </w:rPr>
        <w:t>（2）制定专门的管理制度及可持续清洁生产计划，推行ISO14001环境管理体系；</w:t>
      </w:r>
    </w:p>
    <w:p w14:paraId="685C50AE">
      <w:pPr>
        <w:pStyle w:val="72"/>
        <w:rPr>
          <w:szCs w:val="24"/>
        </w:rPr>
      </w:pPr>
      <w:r>
        <w:rPr>
          <w:rFonts w:hint="eastAsia"/>
          <w:szCs w:val="24"/>
        </w:rPr>
        <w:t>（3）制定企业的清洁生产方案，对企业职工进行清洁生产知识教育和培训；</w:t>
      </w:r>
    </w:p>
    <w:p w14:paraId="389020DE">
      <w:pPr>
        <w:pStyle w:val="72"/>
        <w:rPr>
          <w:szCs w:val="24"/>
        </w:rPr>
      </w:pPr>
      <w:r>
        <w:rPr>
          <w:rFonts w:hint="eastAsia"/>
          <w:szCs w:val="24"/>
        </w:rPr>
        <w:t>（4）定期对生产过程进行清洁生产审核，编制清洁生产审核报告；</w:t>
      </w:r>
    </w:p>
    <w:p w14:paraId="0C49AF95">
      <w:pPr>
        <w:pStyle w:val="72"/>
        <w:rPr>
          <w:szCs w:val="24"/>
        </w:rPr>
      </w:pPr>
      <w:r>
        <w:rPr>
          <w:rFonts w:hint="eastAsia"/>
          <w:szCs w:val="24"/>
        </w:rPr>
        <w:t>（5）制定持续清洁生产计划；</w:t>
      </w:r>
    </w:p>
    <w:p w14:paraId="01E18CD2">
      <w:pPr>
        <w:pStyle w:val="72"/>
        <w:rPr>
          <w:szCs w:val="24"/>
        </w:rPr>
      </w:pPr>
      <w:r>
        <w:rPr>
          <w:rFonts w:hint="eastAsia"/>
          <w:szCs w:val="24"/>
        </w:rPr>
        <w:t>（6）建立清洁生产激励机制，使员工在积极参与清洁生产过程中，不仅使企业经济效益增加，同时也使员工获得直接经济利益，以激励清洁生产工作持续、有效开展。</w:t>
      </w:r>
    </w:p>
    <w:bookmarkEnd w:id="427"/>
    <w:bookmarkEnd w:id="428"/>
    <w:bookmarkEnd w:id="429"/>
    <w:p w14:paraId="7033490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30" w:name="_Toc292384083"/>
      <w:bookmarkStart w:id="431" w:name="_Toc292267855"/>
      <w:bookmarkStart w:id="432" w:name="_Toc108122523"/>
      <w:bookmarkStart w:id="433" w:name="_Toc256177446"/>
      <w:bookmarkStart w:id="434" w:name="_Toc247457101"/>
      <w:r>
        <w:rPr>
          <w:rFonts w:hint="eastAsia" w:ascii="Times New Roman" w:hAnsi="Times New Roman" w:cs="Times New Roman"/>
          <w:lang w:val="en-US" w:eastAsia="zh-CN"/>
        </w:rPr>
        <w:t>3.8.5清洁生产分析</w:t>
      </w:r>
      <w:bookmarkEnd w:id="430"/>
      <w:bookmarkEnd w:id="431"/>
      <w:r>
        <w:rPr>
          <w:rFonts w:hint="eastAsia" w:ascii="Times New Roman" w:hAnsi="Times New Roman" w:cs="Times New Roman"/>
          <w:lang w:val="en-US" w:eastAsia="zh-CN"/>
        </w:rPr>
        <w:t>小结</w:t>
      </w:r>
      <w:bookmarkEnd w:id="432"/>
    </w:p>
    <w:p w14:paraId="7A858A53">
      <w:pPr>
        <w:pStyle w:val="72"/>
      </w:pPr>
      <w:r>
        <w:t>通过以上清洁生产分析，</w:t>
      </w:r>
      <w:bookmarkEnd w:id="433"/>
      <w:bookmarkEnd w:id="434"/>
      <w:r>
        <w:rPr>
          <w:rFonts w:hint="eastAsia"/>
        </w:rPr>
        <w:t>评价认为</w:t>
      </w:r>
      <w:r>
        <w:t>本项目符合国家产业政策，生产工艺装备先进，物耗和能耗低，在采取全过程治理及综合利用并加强生产管理后，符合清洁生产的要求，达到</w:t>
      </w:r>
      <w:r>
        <w:rPr>
          <w:rFonts w:hint="eastAsia"/>
        </w:rPr>
        <w:t>国内清洁生产先进水平</w:t>
      </w:r>
      <w:r>
        <w:t>。</w:t>
      </w:r>
    </w:p>
    <w:p w14:paraId="70188AD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35" w:name="_Toc108122524"/>
      <w:r>
        <w:rPr>
          <w:rFonts w:hint="eastAsia" w:ascii="Times New Roman" w:hAnsi="Times New Roman" w:cs="Times New Roman"/>
          <w:lang w:val="en-US" w:eastAsia="zh-CN"/>
        </w:rPr>
        <w:t>3.8.6持续清洁生产</w:t>
      </w:r>
      <w:bookmarkEnd w:id="435"/>
    </w:p>
    <w:p w14:paraId="78940BB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3.8.6.1建立和完善清洁生产组织</w:t>
      </w:r>
    </w:p>
    <w:p w14:paraId="62932833">
      <w:pPr>
        <w:pStyle w:val="72"/>
      </w:pPr>
      <w:r>
        <w:rPr>
          <w:rFonts w:hint="eastAsia"/>
        </w:rPr>
        <w:t>清洁生产是一个动态的、相对的概念，是一个连续的过程，因而需有一个固定的机构和工作人员来组织协调这方面的工作，以巩固已取得的清洁生产成果，并使企业清洁生产工作持续地开展下去。</w:t>
      </w:r>
    </w:p>
    <w:p w14:paraId="427A24F0">
      <w:pPr>
        <w:pStyle w:val="72"/>
        <w:ind w:firstLine="482"/>
        <w:rPr>
          <w:b/>
        </w:rPr>
      </w:pPr>
      <w:r>
        <w:rPr>
          <w:rFonts w:hint="eastAsia"/>
          <w:b/>
        </w:rPr>
        <w:t>一、成立清洁生产组织</w:t>
      </w:r>
    </w:p>
    <w:p w14:paraId="62E7E10E">
      <w:pPr>
        <w:pStyle w:val="72"/>
      </w:pPr>
      <w:r>
        <w:rPr>
          <w:rFonts w:hint="eastAsia"/>
        </w:rPr>
        <w:t>评价建议该企业单独设立有清洁生产办公室，直接归属厂长领导，实行专人负责制，配备人员须具备以下能力：熟练掌握清洁生产知识，熟悉企业环保情况，了解企业生产工艺和国内最先进技术动态和发展方向，具有较强的工作协调能力、有较好的工作责任心和敬业精神。</w:t>
      </w:r>
    </w:p>
    <w:p w14:paraId="74B1B611">
      <w:pPr>
        <w:pStyle w:val="72"/>
        <w:ind w:firstLine="482"/>
        <w:rPr>
          <w:b/>
        </w:rPr>
      </w:pPr>
      <w:r>
        <w:rPr>
          <w:rFonts w:hint="eastAsia"/>
          <w:b/>
        </w:rPr>
        <w:t>二、清洁生产组织的任务</w:t>
      </w:r>
    </w:p>
    <w:p w14:paraId="60A29E2A">
      <w:pPr>
        <w:pStyle w:val="72"/>
      </w:pPr>
      <w:r>
        <w:rPr>
          <w:rFonts w:hint="eastAsia"/>
        </w:rPr>
        <w:t>①组织协调并监督管理各项清洁生产方案的实施；</w:t>
      </w:r>
    </w:p>
    <w:p w14:paraId="599A91FD">
      <w:pPr>
        <w:pStyle w:val="72"/>
      </w:pPr>
      <w:r>
        <w:rPr>
          <w:rFonts w:hint="eastAsia"/>
        </w:rPr>
        <w:t>②定期组织对企业职工的清洁生产教育和培训；</w:t>
      </w:r>
    </w:p>
    <w:p w14:paraId="19DF83DC">
      <w:pPr>
        <w:pStyle w:val="72"/>
      </w:pPr>
      <w:r>
        <w:rPr>
          <w:rFonts w:hint="eastAsia"/>
        </w:rPr>
        <w:t>③制定清洁生产相关制度及激励机制；</w:t>
      </w:r>
    </w:p>
    <w:p w14:paraId="2ED24672">
      <w:pPr>
        <w:pStyle w:val="72"/>
      </w:pPr>
      <w:r>
        <w:rPr>
          <w:rFonts w:hint="eastAsia"/>
        </w:rPr>
        <w:t>④收集并宣传相关清洁生产信息，为下一轮清洁生产做好准备；</w:t>
      </w:r>
    </w:p>
    <w:p w14:paraId="53E54DBE">
      <w:pPr>
        <w:pStyle w:val="72"/>
      </w:pPr>
      <w:r>
        <w:rPr>
          <w:rFonts w:hint="eastAsia"/>
        </w:rPr>
        <w:t>⑤负责清洁生产活动的日常管理。</w:t>
      </w:r>
    </w:p>
    <w:p w14:paraId="1EE4530F">
      <w:pPr>
        <w:pStyle w:val="72"/>
        <w:ind w:firstLine="482"/>
        <w:rPr>
          <w:b/>
        </w:rPr>
      </w:pPr>
      <w:r>
        <w:rPr>
          <w:rFonts w:hint="eastAsia"/>
          <w:b/>
        </w:rPr>
        <w:t>三、建立和完善清洁生产管理制度</w:t>
      </w:r>
    </w:p>
    <w:p w14:paraId="3853228B">
      <w:pPr>
        <w:pStyle w:val="72"/>
      </w:pPr>
      <w:r>
        <w:rPr>
          <w:rFonts w:hint="eastAsia"/>
        </w:rPr>
        <w:t>主要是把清洁生产方案纳入企业的日常管理轨道，建立资金管理制度以保证稳定的清洁生产资金来源，建立激励机制提高企业员工的自主清洁生产意识。</w:t>
      </w:r>
    </w:p>
    <w:p w14:paraId="6860FBE5">
      <w:pPr>
        <w:pStyle w:val="72"/>
        <w:ind w:firstLine="482"/>
        <w:rPr>
          <w:b/>
        </w:rPr>
      </w:pPr>
      <w:r>
        <w:rPr>
          <w:rFonts w:hint="eastAsia"/>
          <w:b/>
        </w:rPr>
        <w:t>四、把清洁生产纳入企业的日常管理</w:t>
      </w:r>
    </w:p>
    <w:p w14:paraId="6BAC7261">
      <w:pPr>
        <w:pStyle w:val="72"/>
      </w:pPr>
      <w:r>
        <w:rPr>
          <w:rFonts w:hint="eastAsia"/>
        </w:rPr>
        <w:t>把清洁生产的成果及时纳入企业的日常管理轨道，是巩固清洁生产成效的重要手段，特别是把清洁生产分析产生的一些无、低费方案及时纳入企业的日常管理轨道。</w:t>
      </w:r>
    </w:p>
    <w:p w14:paraId="51ACEC8C">
      <w:pPr>
        <w:pStyle w:val="72"/>
      </w:pPr>
      <w:r>
        <w:rPr>
          <w:rFonts w:hint="eastAsia"/>
        </w:rPr>
        <w:t>（</w:t>
      </w:r>
      <w:r>
        <w:t>1</w:t>
      </w:r>
      <w:r>
        <w:rPr>
          <w:rFonts w:hint="eastAsia"/>
        </w:rPr>
        <w:t>）加强管理措施，形成清洁生产分析制度；</w:t>
      </w:r>
    </w:p>
    <w:p w14:paraId="71FB93B1">
      <w:pPr>
        <w:pStyle w:val="72"/>
      </w:pPr>
      <w:r>
        <w:rPr>
          <w:rFonts w:hint="eastAsia"/>
        </w:rPr>
        <w:t>（</w:t>
      </w:r>
      <w:r>
        <w:t>2</w:t>
      </w:r>
      <w:r>
        <w:rPr>
          <w:rFonts w:hint="eastAsia"/>
        </w:rPr>
        <w:t>）把清洁生产分析提出的岗位操作改进措施写进岗位的操作规程，并要求严格遵照执行；</w:t>
      </w:r>
    </w:p>
    <w:p w14:paraId="5B5DEF86">
      <w:pPr>
        <w:pStyle w:val="72"/>
      </w:pPr>
      <w:r>
        <w:rPr>
          <w:rFonts w:hint="eastAsia"/>
        </w:rPr>
        <w:t>（</w:t>
      </w:r>
      <w:r>
        <w:t>3</w:t>
      </w:r>
      <w:r>
        <w:rPr>
          <w:rFonts w:hint="eastAsia"/>
        </w:rPr>
        <w:t>）把清洁生产分析提出的工艺过程控制的改进措施写入企业技术规范中。</w:t>
      </w:r>
    </w:p>
    <w:p w14:paraId="3DBADC32">
      <w:pPr>
        <w:pStyle w:val="72"/>
        <w:ind w:firstLine="482"/>
        <w:rPr>
          <w:b/>
        </w:rPr>
      </w:pPr>
      <w:r>
        <w:rPr>
          <w:rFonts w:hint="eastAsia"/>
          <w:b/>
        </w:rPr>
        <w:t>五、保证稳定的清洁生产资金来源</w:t>
      </w:r>
    </w:p>
    <w:p w14:paraId="449E2EF3">
      <w:pPr>
        <w:pStyle w:val="72"/>
      </w:pPr>
      <w:r>
        <w:rPr>
          <w:rFonts w:hint="eastAsia"/>
        </w:rPr>
        <w:t>清洁生产的资金来源可以有多种渠道，但是清洁生产管理制度的一项重要作用是保证实施清洁生产所产生的经济效益，全部或部分地用于清洁生产，持续滚动地推进清洁生产，建议企业对清洁生产的投资和效益单独建帐。</w:t>
      </w:r>
    </w:p>
    <w:p w14:paraId="037BF061">
      <w:pPr>
        <w:pStyle w:val="72"/>
        <w:ind w:firstLine="482"/>
        <w:rPr>
          <w:b/>
        </w:rPr>
      </w:pPr>
      <w:r>
        <w:rPr>
          <w:rFonts w:hint="eastAsia"/>
          <w:b/>
        </w:rPr>
        <w:t>六、建立和完善清洁生产奖惩机制</w:t>
      </w:r>
    </w:p>
    <w:p w14:paraId="44C17362">
      <w:pPr>
        <w:pStyle w:val="72"/>
      </w:pPr>
      <w:r>
        <w:rPr>
          <w:rFonts w:hint="eastAsia"/>
        </w:rPr>
        <w:t>在企业奖惩方面与清洁生产挂钩，建立清洁生产奖惩激励机制，以调动全体职工参与清洁生产的积极性，将清洁生产变为职工的自觉行为。</w:t>
      </w:r>
    </w:p>
    <w:p w14:paraId="4C744EA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bookmarkStart w:id="436" w:name="_Toc428287242"/>
      <w:bookmarkStart w:id="437" w:name="_Toc428287594"/>
      <w:bookmarkStart w:id="438" w:name="_Toc428286881"/>
      <w:r>
        <w:rPr>
          <w:rFonts w:hint="eastAsia" w:ascii="Times New Roman" w:hAnsi="Times New Roman" w:cs="Times New Roman"/>
          <w:lang w:val="en-US" w:eastAsia="zh-CN"/>
        </w:rPr>
        <w:t>3.8.6.2搞好职工培训工作</w:t>
      </w:r>
      <w:bookmarkEnd w:id="436"/>
      <w:bookmarkEnd w:id="437"/>
      <w:bookmarkEnd w:id="438"/>
    </w:p>
    <w:p w14:paraId="24F9D3D4">
      <w:pPr>
        <w:pStyle w:val="72"/>
      </w:pPr>
      <w:r>
        <w:rPr>
          <w:rFonts w:hint="eastAsia"/>
        </w:rPr>
        <w:t>清洁生产措施能否顺利落实，清洁生产目标能否达到与企业每个职工的素质有很大关系，评价建议企业应对职工加强关于清洁生产方面的培训工作，不仅对操作工人进行培训，也要对各层干部、工程技术人员、车间班主任培训，并把实现清洁生产目标具体分配到每一个人，每一个环节都有专人负责，以利于清洁生产目标的实现，针对培训内容，制订出合理的培训计划。</w:t>
      </w:r>
    </w:p>
    <w:p w14:paraId="1F40353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bookmarkStart w:id="439" w:name="_Toc428287243"/>
      <w:bookmarkStart w:id="440" w:name="_Toc428286882"/>
      <w:bookmarkStart w:id="441" w:name="_Toc428287595"/>
      <w:r>
        <w:rPr>
          <w:rFonts w:hint="eastAsia" w:ascii="Times New Roman" w:hAnsi="Times New Roman" w:cs="Times New Roman"/>
          <w:lang w:val="en-US" w:eastAsia="zh-CN"/>
        </w:rPr>
        <w:t>3.8.6.3制定持续清洁生产计划</w:t>
      </w:r>
      <w:bookmarkEnd w:id="439"/>
      <w:bookmarkEnd w:id="440"/>
      <w:bookmarkEnd w:id="441"/>
    </w:p>
    <w:p w14:paraId="7D4690F0">
      <w:pPr>
        <w:pStyle w:val="72"/>
      </w:pPr>
      <w:r>
        <w:rPr>
          <w:rFonts w:hint="eastAsia"/>
        </w:rPr>
        <w:t>清洁生产是长期、动态的发展过程，因此应考虑企业的发展情况，制定长期的清洁生产方案。根据本项目具体情况，评价建议企业执行如下清洁生产计划表。</w:t>
      </w:r>
    </w:p>
    <w:p w14:paraId="162F38B9">
      <w:pPr>
        <w:pStyle w:val="38"/>
        <w:spacing w:before="240" w:after="120"/>
        <w:ind w:firstLine="482"/>
        <w:rPr>
          <w:rFonts w:hint="eastAsia"/>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p>
    <w:p w14:paraId="17334119">
      <w:pPr>
        <w:pStyle w:val="13"/>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表</w:t>
      </w:r>
      <w:r>
        <w:rPr>
          <w:rFonts w:hint="eastAsia" w:cs="Times New Roman"/>
          <w:color w:val="000000" w:themeColor="text1"/>
          <w:sz w:val="24"/>
          <w:highlight w:val="none"/>
          <w:lang w:val="en-US" w:eastAsia="zh-CN"/>
          <w14:textFill>
            <w14:solidFill>
              <w14:schemeClr w14:val="tx1"/>
            </w14:solidFill>
          </w14:textFill>
        </w:rPr>
        <w:t>3.8-4</w:t>
      </w:r>
      <w:r>
        <w:rPr>
          <w:rFonts w:hint="eastAsia" w:ascii="Times New Roman" w:hAnsi="Times New Roman" w:eastAsia="宋体" w:cs="Times New Roman"/>
          <w:color w:val="000000" w:themeColor="text1"/>
          <w:sz w:val="24"/>
          <w:highlight w:val="none"/>
          <w14:textFill>
            <w14:solidFill>
              <w14:schemeClr w14:val="tx1"/>
            </w14:solidFill>
          </w14:textFill>
        </w:rPr>
        <w:t xml:space="preserve">    企业清洁生产计划一览表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953"/>
        <w:gridCol w:w="5866"/>
      </w:tblGrid>
      <w:tr w14:paraId="07F078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vAlign w:val="center"/>
          </w:tcPr>
          <w:p w14:paraId="245523F1">
            <w:pPr>
              <w:pStyle w:val="81"/>
              <w:rPr>
                <w:color w:val="auto"/>
              </w:rPr>
            </w:pPr>
            <w:r>
              <w:rPr>
                <w:rFonts w:hint="eastAsia"/>
                <w:color w:val="auto"/>
              </w:rPr>
              <w:t>序号</w:t>
            </w:r>
          </w:p>
        </w:tc>
        <w:tc>
          <w:tcPr>
            <w:tcW w:w="1145" w:type="pct"/>
            <w:vAlign w:val="center"/>
          </w:tcPr>
          <w:p w14:paraId="71508F71">
            <w:pPr>
              <w:pStyle w:val="81"/>
              <w:rPr>
                <w:color w:val="auto"/>
              </w:rPr>
            </w:pPr>
            <w:r>
              <w:rPr>
                <w:rFonts w:hint="eastAsia"/>
                <w:color w:val="auto"/>
              </w:rPr>
              <w:t>项目</w:t>
            </w:r>
          </w:p>
        </w:tc>
        <w:tc>
          <w:tcPr>
            <w:tcW w:w="3439" w:type="pct"/>
            <w:vAlign w:val="center"/>
          </w:tcPr>
          <w:p w14:paraId="3A9BD96A">
            <w:pPr>
              <w:pStyle w:val="81"/>
              <w:rPr>
                <w:color w:val="auto"/>
              </w:rPr>
            </w:pPr>
            <w:r>
              <w:rPr>
                <w:rFonts w:hint="eastAsia"/>
                <w:color w:val="auto"/>
              </w:rPr>
              <w:t>内容</w:t>
            </w:r>
          </w:p>
        </w:tc>
      </w:tr>
      <w:tr w14:paraId="717BA1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vAlign w:val="center"/>
          </w:tcPr>
          <w:p w14:paraId="2F503FAF">
            <w:pPr>
              <w:pStyle w:val="75"/>
            </w:pPr>
            <w:r>
              <w:t>1</w:t>
            </w:r>
          </w:p>
        </w:tc>
        <w:tc>
          <w:tcPr>
            <w:tcW w:w="1145" w:type="pct"/>
            <w:vAlign w:val="center"/>
          </w:tcPr>
          <w:p w14:paraId="34A7E0D6">
            <w:pPr>
              <w:pStyle w:val="75"/>
            </w:pPr>
            <w:r>
              <w:rPr>
                <w:rFonts w:hint="eastAsia"/>
              </w:rPr>
              <w:t>组建清洁生产机构</w:t>
            </w:r>
          </w:p>
        </w:tc>
        <w:tc>
          <w:tcPr>
            <w:tcW w:w="3439" w:type="pct"/>
            <w:vAlign w:val="center"/>
          </w:tcPr>
          <w:p w14:paraId="2769376D">
            <w:pPr>
              <w:pStyle w:val="75"/>
            </w:pPr>
            <w:r>
              <w:rPr>
                <w:rFonts w:hint="eastAsia"/>
              </w:rPr>
              <w:t>建立清洁生产办公室，全面开展企业的清洁生产工作。</w:t>
            </w:r>
          </w:p>
          <w:p w14:paraId="0A802798">
            <w:pPr>
              <w:pStyle w:val="75"/>
            </w:pPr>
            <w:r>
              <w:rPr>
                <w:rFonts w:hint="eastAsia"/>
              </w:rPr>
              <w:t>建立下属分支机构，例如新技术研究与开发、清洁生产管理等。</w:t>
            </w:r>
          </w:p>
        </w:tc>
      </w:tr>
      <w:tr w14:paraId="2C65F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vAlign w:val="center"/>
          </w:tcPr>
          <w:p w14:paraId="2EE6D6F8">
            <w:pPr>
              <w:pStyle w:val="75"/>
            </w:pPr>
            <w:r>
              <w:t>2</w:t>
            </w:r>
          </w:p>
        </w:tc>
        <w:tc>
          <w:tcPr>
            <w:tcW w:w="1145" w:type="pct"/>
            <w:vAlign w:val="center"/>
          </w:tcPr>
          <w:p w14:paraId="68D1A828">
            <w:pPr>
              <w:pStyle w:val="75"/>
            </w:pPr>
            <w:r>
              <w:rPr>
                <w:rFonts w:hint="eastAsia"/>
              </w:rPr>
              <w:t>清洁生产方案实施</w:t>
            </w:r>
          </w:p>
        </w:tc>
        <w:tc>
          <w:tcPr>
            <w:tcW w:w="3439" w:type="pct"/>
            <w:vAlign w:val="center"/>
          </w:tcPr>
          <w:p w14:paraId="4E2CEBFC">
            <w:pPr>
              <w:pStyle w:val="75"/>
            </w:pPr>
            <w:r>
              <w:rPr>
                <w:rFonts w:hint="eastAsia"/>
              </w:rPr>
              <w:t>在企业内部各个生产环节推行清洁生产</w:t>
            </w:r>
          </w:p>
        </w:tc>
      </w:tr>
      <w:tr w14:paraId="2729F3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vAlign w:val="center"/>
          </w:tcPr>
          <w:p w14:paraId="5F39F784">
            <w:pPr>
              <w:pStyle w:val="75"/>
            </w:pPr>
            <w:r>
              <w:t>3</w:t>
            </w:r>
          </w:p>
        </w:tc>
        <w:tc>
          <w:tcPr>
            <w:tcW w:w="1145" w:type="pct"/>
            <w:vAlign w:val="center"/>
          </w:tcPr>
          <w:p w14:paraId="4DD964E2">
            <w:pPr>
              <w:pStyle w:val="75"/>
            </w:pPr>
            <w:r>
              <w:rPr>
                <w:rFonts w:hint="eastAsia"/>
              </w:rPr>
              <w:t>清洁生产培训</w:t>
            </w:r>
          </w:p>
        </w:tc>
        <w:tc>
          <w:tcPr>
            <w:tcW w:w="3439" w:type="pct"/>
            <w:vAlign w:val="center"/>
          </w:tcPr>
          <w:p w14:paraId="28001B74">
            <w:pPr>
              <w:pStyle w:val="75"/>
            </w:pPr>
            <w:r>
              <w:rPr>
                <w:rFonts w:hint="eastAsia"/>
              </w:rPr>
              <w:t>分层次对企业工作人员进行清洁生产培训</w:t>
            </w:r>
          </w:p>
        </w:tc>
      </w:tr>
      <w:tr w14:paraId="47AA18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pct"/>
            <w:vAlign w:val="center"/>
          </w:tcPr>
          <w:p w14:paraId="0F6D7978">
            <w:pPr>
              <w:pStyle w:val="75"/>
            </w:pPr>
            <w:r>
              <w:t>4</w:t>
            </w:r>
          </w:p>
        </w:tc>
        <w:tc>
          <w:tcPr>
            <w:tcW w:w="1145" w:type="pct"/>
            <w:vAlign w:val="center"/>
          </w:tcPr>
          <w:p w14:paraId="75D99947">
            <w:pPr>
              <w:pStyle w:val="75"/>
            </w:pPr>
            <w:r>
              <w:rPr>
                <w:rFonts w:hint="eastAsia"/>
              </w:rPr>
              <w:t>清洁生产审计</w:t>
            </w:r>
          </w:p>
        </w:tc>
        <w:tc>
          <w:tcPr>
            <w:tcW w:w="3439" w:type="pct"/>
            <w:vAlign w:val="center"/>
          </w:tcPr>
          <w:p w14:paraId="37DA2AD6">
            <w:pPr>
              <w:pStyle w:val="75"/>
            </w:pPr>
            <w:r>
              <w:rPr>
                <w:rFonts w:hint="eastAsia"/>
              </w:rPr>
              <w:t>开展清洁生产审计工作，积极进行</w:t>
            </w:r>
            <w:r>
              <w:t>ISO14001</w:t>
            </w:r>
            <w:r>
              <w:rPr>
                <w:rFonts w:hint="eastAsia"/>
              </w:rPr>
              <w:t>认证</w:t>
            </w:r>
          </w:p>
        </w:tc>
      </w:tr>
    </w:tbl>
    <w:p w14:paraId="638A227E">
      <w:pPr>
        <w:pStyle w:val="72"/>
        <w:ind w:firstLine="0" w:firstLineChars="0"/>
        <w:rPr>
          <w:highlight w:val="yellow"/>
        </w:rPr>
      </w:pPr>
    </w:p>
    <w:p w14:paraId="455A2E0A">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rPr>
      </w:pPr>
      <w:bookmarkStart w:id="442" w:name="_Toc26005"/>
      <w:bookmarkStart w:id="443" w:name="_Toc51319864"/>
      <w:bookmarkStart w:id="444" w:name="_Toc79"/>
      <w:r>
        <w:rPr>
          <w:rFonts w:hint="eastAsia" w:ascii="Times New Roman" w:hAnsi="Times New Roman" w:cs="Times New Roman"/>
        </w:rPr>
        <w:t>自然环境概况与环境质量现状</w:t>
      </w:r>
      <w:bookmarkEnd w:id="423"/>
      <w:bookmarkEnd w:id="424"/>
      <w:bookmarkEnd w:id="425"/>
      <w:bookmarkEnd w:id="442"/>
      <w:bookmarkEnd w:id="443"/>
      <w:bookmarkEnd w:id="444"/>
    </w:p>
    <w:p w14:paraId="2FA50F8C">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45" w:name="_Toc16827"/>
      <w:bookmarkStart w:id="446" w:name="_Toc8512"/>
      <w:bookmarkStart w:id="447" w:name="_Toc51319865"/>
      <w:bookmarkStart w:id="448" w:name="_Toc428286782"/>
      <w:bookmarkStart w:id="449" w:name="_Toc428287176"/>
      <w:bookmarkStart w:id="450" w:name="_Toc429318390"/>
      <w:bookmarkStart w:id="451" w:name="_Toc429318405"/>
      <w:bookmarkStart w:id="452" w:name="_Toc410051662"/>
      <w:bookmarkStart w:id="453" w:name="_Toc428287222"/>
      <w:bookmarkStart w:id="454" w:name="_Toc428286861"/>
      <w:bookmarkStart w:id="455" w:name="_Toc310408269"/>
      <w:r>
        <w:rPr>
          <w:rFonts w:hint="eastAsia" w:ascii="Times New Roman" w:hAnsi="Times New Roman" w:eastAsia="宋体" w:cs="Times New Roman"/>
          <w:lang w:val="en-US" w:eastAsia="zh-CN"/>
        </w:rPr>
        <w:t>4.1自然环境概况</w:t>
      </w:r>
      <w:bookmarkEnd w:id="445"/>
      <w:bookmarkEnd w:id="446"/>
      <w:bookmarkEnd w:id="447"/>
    </w:p>
    <w:bookmarkEnd w:id="448"/>
    <w:bookmarkEnd w:id="449"/>
    <w:bookmarkEnd w:id="450"/>
    <w:p w14:paraId="6A52467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bookmarkStart w:id="456" w:name="_Toc428286783"/>
      <w:bookmarkStart w:id="457" w:name="_Toc108122527"/>
      <w:bookmarkStart w:id="458" w:name="_Toc428287177"/>
      <w:bookmarkStart w:id="459" w:name="_Toc428287529"/>
      <w:r>
        <w:rPr>
          <w:rFonts w:hint="eastAsia" w:ascii="Times New Roman" w:hAnsi="Times New Roman" w:cs="Times New Roman"/>
          <w:lang w:val="en-US" w:eastAsia="zh-CN"/>
        </w:rPr>
        <w:t>4.1.1</w:t>
      </w:r>
      <w:r>
        <w:rPr>
          <w:rFonts w:hint="default" w:ascii="Times New Roman" w:hAnsi="Times New Roman" w:cs="Times New Roman"/>
          <w:lang w:val="en-US" w:eastAsia="zh-CN"/>
        </w:rPr>
        <w:t>地理位置</w:t>
      </w:r>
      <w:bookmarkEnd w:id="456"/>
      <w:bookmarkEnd w:id="457"/>
      <w:bookmarkEnd w:id="458"/>
      <w:bookmarkEnd w:id="459"/>
    </w:p>
    <w:p w14:paraId="74829338">
      <w:pPr>
        <w:ind w:firstLine="480"/>
        <w:rPr>
          <w:rFonts w:ascii="Times New Roman" w:hAnsi="Times New Roman" w:eastAsia="宋体" w:cs="Times New Roman"/>
          <w:spacing w:val="-6"/>
        </w:rPr>
      </w:pPr>
      <w:bookmarkStart w:id="460" w:name="_Toc428286785"/>
      <w:bookmarkStart w:id="461" w:name="_Toc428287531"/>
      <w:bookmarkStart w:id="462" w:name="_Toc428287179"/>
      <w:r>
        <w:rPr>
          <w:rFonts w:ascii="Times New Roman" w:hAnsi="Times New Roman" w:eastAsia="宋体" w:cs="Times New Roman"/>
        </w:rPr>
        <w:t>获嘉县位于河南省北部，属新乡市管辖，居于新乡市西侧，北隔大沙河与辉县市相望，东与新乡县接壤，南邻黄河，西与焦作市的武陟、修武两县交界。距省会郑州70km，北依太行，距首都北京600km，西至焦作市40km，东至新乡市20km，地理坐标为东经113°30′-113°44′，北纬35°02′-35°20′，辖区面积473km</w:t>
      </w:r>
      <w:r>
        <w:rPr>
          <w:rFonts w:ascii="Times New Roman" w:hAnsi="Times New Roman" w:eastAsia="宋体" w:cs="Times New Roman"/>
          <w:vertAlign w:val="superscript"/>
        </w:rPr>
        <w:t>2</w:t>
      </w:r>
      <w:r>
        <w:rPr>
          <w:rFonts w:ascii="Times New Roman" w:hAnsi="Times New Roman" w:eastAsia="宋体" w:cs="Times New Roman"/>
        </w:rPr>
        <w:t>。</w:t>
      </w:r>
    </w:p>
    <w:p w14:paraId="250D82C8">
      <w:pPr>
        <w:ind w:firstLine="480"/>
        <w:rPr>
          <w:rFonts w:ascii="Times New Roman" w:hAnsi="Times New Roman" w:eastAsia="宋体" w:cs="Times New Roman"/>
          <w:spacing w:val="-6"/>
        </w:rPr>
      </w:pPr>
      <w:r>
        <w:rPr>
          <w:rFonts w:ascii="Times New Roman" w:hAnsi="Times New Roman" w:eastAsia="宋体" w:cs="Times New Roman"/>
          <w:szCs w:val="24"/>
        </w:rPr>
        <w:t>获嘉县产业集聚区为一区两园，由位于现状城区以南和以东的两个用地片区组成，总规划面积7.95km</w:t>
      </w:r>
      <w:r>
        <w:rPr>
          <w:rFonts w:ascii="Times New Roman" w:hAnsi="Times New Roman" w:eastAsia="宋体" w:cs="Times New Roman"/>
          <w:szCs w:val="24"/>
          <w:vertAlign w:val="superscript"/>
        </w:rPr>
        <w:t>2</w:t>
      </w:r>
      <w:r>
        <w:rPr>
          <w:rFonts w:ascii="Times New Roman" w:hAnsi="Times New Roman" w:eastAsia="宋体" w:cs="Times New Roman"/>
          <w:szCs w:val="24"/>
        </w:rPr>
        <w:t>。南部片区位于新月铁路以南，包括煤化工基地和嘉苑新区，北至金化路、南至南环路、西至西环路、东至共产主义渠，东西长约4.8km，南北宽约1.1km，规划范围面积5.31 km</w:t>
      </w:r>
      <w:r>
        <w:rPr>
          <w:rFonts w:ascii="Times New Roman" w:hAnsi="Times New Roman" w:eastAsia="宋体" w:cs="Times New Roman"/>
          <w:szCs w:val="24"/>
          <w:vertAlign w:val="superscript"/>
        </w:rPr>
        <w:t>2</w:t>
      </w:r>
      <w:r>
        <w:rPr>
          <w:rFonts w:ascii="Times New Roman" w:hAnsi="Times New Roman" w:eastAsia="宋体" w:cs="Times New Roman"/>
          <w:szCs w:val="24"/>
        </w:rPr>
        <w:t>；东部片区位于城区共产主义渠以东，东至获嘉县行政边界、西至城区共产主义渠、北至新焦公路、南至新月铁路，东西长约3km，南北宽约1km，规划范围面积2.64 km</w:t>
      </w:r>
      <w:r>
        <w:rPr>
          <w:rFonts w:ascii="Times New Roman" w:hAnsi="Times New Roman" w:eastAsia="宋体" w:cs="Times New Roman"/>
          <w:szCs w:val="24"/>
          <w:vertAlign w:val="superscript"/>
        </w:rPr>
        <w:t>2</w:t>
      </w:r>
      <w:r>
        <w:rPr>
          <w:rFonts w:ascii="Times New Roman" w:hAnsi="Times New Roman" w:eastAsia="宋体" w:cs="Times New Roman"/>
          <w:szCs w:val="24"/>
        </w:rPr>
        <w:t>。</w:t>
      </w:r>
    </w:p>
    <w:p w14:paraId="2705F55B">
      <w:pPr>
        <w:ind w:firstLine="480"/>
        <w:rPr>
          <w:rFonts w:hint="eastAsia" w:ascii="Times New Roman" w:hAnsi="Times New Roman" w:eastAsia="宋体" w:cs="Times New Roman"/>
          <w:szCs w:val="24"/>
        </w:rPr>
      </w:pPr>
      <w:r>
        <w:rPr>
          <w:rFonts w:hint="eastAsia" w:ascii="Times New Roman" w:hAnsi="Times New Roman" w:eastAsia="宋体" w:cs="Times New Roman"/>
        </w:rPr>
        <w:t>新乡市泓江润新能源有限公司</w:t>
      </w:r>
      <w:r>
        <w:rPr>
          <w:rFonts w:ascii="Times New Roman" w:hAnsi="Times New Roman" w:eastAsia="宋体" w:cs="Times New Roman"/>
        </w:rPr>
        <w:t>投资</w:t>
      </w:r>
      <w:r>
        <w:rPr>
          <w:rFonts w:hint="eastAsia" w:cs="Times New Roman"/>
          <w:lang w:val="en-US" w:eastAsia="zh-CN"/>
        </w:rPr>
        <w:t>6</w:t>
      </w:r>
      <w:r>
        <w:rPr>
          <w:rFonts w:hint="eastAsia" w:ascii="Times New Roman" w:hAnsi="Times New Roman" w:eastAsia="宋体" w:cs="Times New Roman"/>
          <w:lang w:val="en-US" w:eastAsia="zh-CN"/>
        </w:rPr>
        <w:t>000</w:t>
      </w:r>
      <w:r>
        <w:rPr>
          <w:rFonts w:hint="eastAsia" w:ascii="Times New Roman" w:hAnsi="Times New Roman" w:eastAsia="宋体" w:cs="Times New Roman"/>
        </w:rPr>
        <w:t>万元</w:t>
      </w:r>
      <w:r>
        <w:rPr>
          <w:rFonts w:ascii="Times New Roman" w:hAnsi="Times New Roman" w:eastAsia="宋体" w:cs="Times New Roman"/>
        </w:rPr>
        <w:t>进行</w:t>
      </w:r>
      <w:r>
        <w:rPr>
          <w:rFonts w:hint="eastAsia" w:ascii="宋体" w:hAnsi="宋体" w:eastAsia="宋体" w:cs="宋体"/>
        </w:rPr>
        <w:t>“</w:t>
      </w:r>
      <w:r>
        <w:rPr>
          <w:rFonts w:hint="eastAsia" w:ascii="Times New Roman" w:hAnsi="Times New Roman" w:eastAsia="宋体" w:cs="Times New Roman"/>
        </w:rPr>
        <w:t>年产10亿只钢壳、10亿只盖帽和3600吨电池连接件项</w:t>
      </w:r>
      <w:r>
        <w:rPr>
          <w:rFonts w:hint="eastAsia" w:ascii="宋体" w:hAnsi="宋体" w:eastAsia="宋体" w:cs="宋体"/>
        </w:rPr>
        <w:t>目”的</w:t>
      </w:r>
      <w:r>
        <w:rPr>
          <w:rFonts w:ascii="Times New Roman" w:hAnsi="Times New Roman" w:eastAsia="宋体" w:cs="Times New Roman"/>
        </w:rPr>
        <w:t>建设。项目厂址位于</w:t>
      </w:r>
      <w:r>
        <w:rPr>
          <w:rFonts w:hint="eastAsia" w:ascii="Times New Roman" w:hAnsi="Times New Roman" w:eastAsia="宋体" w:cs="Times New Roman"/>
          <w:szCs w:val="24"/>
        </w:rPr>
        <w:t>新乡市获嘉县先进制造业开发区安王路与梧桐路交叉口西100米1号，</w:t>
      </w:r>
      <w:r>
        <w:rPr>
          <w:rFonts w:hint="eastAsia" w:ascii="Times New Roman" w:hAnsi="Times New Roman" w:eastAsia="宋体" w:cs="Times New Roman"/>
          <w:szCs w:val="24"/>
          <w:lang w:val="en-US" w:eastAsia="zh-CN"/>
        </w:rPr>
        <w:t>本项目</w:t>
      </w:r>
      <w:r>
        <w:rPr>
          <w:rFonts w:hint="eastAsia" w:ascii="Times New Roman" w:hAnsi="Times New Roman" w:eastAsia="宋体" w:cs="Times New Roman"/>
          <w:szCs w:val="24"/>
        </w:rPr>
        <w:t>西侧隔西一路为河南昊立游乐设备有限公司和河南安立特机电设备有限公司，东边为北京奔茨新能源汽车（河南）有限公司，南隔梧桐路为新乡市喜盈盈机械制造有限公司和新乡市嘉数科技有限公司，北侧现状为空地（规划用地性质为二类工业用地）</w:t>
      </w:r>
      <w:r>
        <w:rPr>
          <w:rFonts w:hint="eastAsia" w:ascii="Times New Roman" w:hAnsi="Times New Roman" w:eastAsia="宋体" w:cs="Times New Roman"/>
          <w:szCs w:val="24"/>
          <w:lang w:eastAsia="zh-CN"/>
        </w:rPr>
        <w:t>，</w:t>
      </w:r>
      <w:r>
        <w:rPr>
          <w:rFonts w:ascii="Times New Roman" w:hAnsi="Times New Roman" w:eastAsia="宋体" w:cs="Times New Roman"/>
          <w:szCs w:val="24"/>
        </w:rPr>
        <w:t>距离项目最近的敏感点为：</w:t>
      </w:r>
      <w:r>
        <w:rPr>
          <w:rFonts w:hint="eastAsia" w:ascii="Times New Roman" w:hAnsi="Times New Roman" w:eastAsia="宋体" w:cs="Times New Roman"/>
          <w:szCs w:val="24"/>
        </w:rPr>
        <w:t>东北</w:t>
      </w:r>
      <w:r>
        <w:rPr>
          <w:rFonts w:hint="eastAsia" w:cs="Times New Roman"/>
          <w:szCs w:val="24"/>
          <w:lang w:val="en-US" w:eastAsia="zh-CN"/>
        </w:rPr>
        <w:t>300</w:t>
      </w:r>
      <w:r>
        <w:rPr>
          <w:rFonts w:hint="eastAsia" w:ascii="Times New Roman" w:hAnsi="Times New Roman" w:eastAsia="宋体" w:cs="Times New Roman"/>
          <w:szCs w:val="24"/>
        </w:rPr>
        <w:t>m的前李村和北</w:t>
      </w:r>
      <w:r>
        <w:rPr>
          <w:rFonts w:hint="eastAsia" w:ascii="Times New Roman" w:hAnsi="Times New Roman" w:eastAsia="宋体" w:cs="Times New Roman"/>
          <w:szCs w:val="24"/>
          <w:lang w:val="en-US" w:eastAsia="zh-CN"/>
        </w:rPr>
        <w:t>800</w:t>
      </w:r>
      <w:r>
        <w:rPr>
          <w:rFonts w:hint="eastAsia" w:ascii="Times New Roman" w:hAnsi="Times New Roman" w:eastAsia="宋体" w:cs="Times New Roman"/>
          <w:szCs w:val="24"/>
        </w:rPr>
        <w:t>m的后李村</w:t>
      </w:r>
      <w:r>
        <w:rPr>
          <w:rFonts w:hint="eastAsia" w:cs="Times New Roman"/>
          <w:szCs w:val="24"/>
          <w:lang w:eastAsia="zh-CN"/>
        </w:rPr>
        <w:t>，</w:t>
      </w:r>
      <w:r>
        <w:rPr>
          <w:rFonts w:hint="eastAsia" w:ascii="Times New Roman" w:hAnsi="Times New Roman" w:eastAsia="宋体" w:cs="Times New Roman"/>
          <w:szCs w:val="24"/>
        </w:rPr>
        <w:t>西</w:t>
      </w:r>
      <w:r>
        <w:rPr>
          <w:rFonts w:hint="eastAsia" w:ascii="Times New Roman" w:hAnsi="Times New Roman" w:eastAsia="宋体" w:cs="Times New Roman"/>
          <w:szCs w:val="24"/>
          <w:lang w:val="en-US" w:eastAsia="zh-CN"/>
        </w:rPr>
        <w:t>1320</w:t>
      </w:r>
      <w:r>
        <w:rPr>
          <w:rFonts w:hint="eastAsia" w:ascii="Times New Roman" w:hAnsi="Times New Roman" w:eastAsia="宋体" w:cs="Times New Roman"/>
          <w:szCs w:val="24"/>
        </w:rPr>
        <w:t>m为共产主义渠。</w:t>
      </w:r>
    </w:p>
    <w:p w14:paraId="4BADEC5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63" w:name="_Toc108122528"/>
      <w:r>
        <w:rPr>
          <w:rFonts w:hint="eastAsia" w:ascii="Times New Roman" w:hAnsi="Times New Roman" w:cs="Times New Roman"/>
          <w:lang w:val="en-US" w:eastAsia="zh-CN"/>
        </w:rPr>
        <w:t>4.1.2水文地质</w:t>
      </w:r>
      <w:bookmarkEnd w:id="463"/>
    </w:p>
    <w:p w14:paraId="53102A30">
      <w:pPr>
        <w:pStyle w:val="72"/>
        <w:rPr>
          <w:rFonts w:hint="eastAsia"/>
        </w:rPr>
      </w:pPr>
      <w:r>
        <w:rPr>
          <w:rFonts w:hint="eastAsia"/>
        </w:rPr>
        <w:t>获嘉县地质情况简单，表层全为第四系冲击地层，在第四系之下，基岩地表没有出露。古生界主要有奥陶系、石炭系、二迭系，新生界有新第三系、第四系。</w:t>
      </w:r>
    </w:p>
    <w:p w14:paraId="233CFF30">
      <w:pPr>
        <w:pStyle w:val="72"/>
        <w:rPr>
          <w:rFonts w:hint="eastAsia"/>
        </w:rPr>
      </w:pPr>
      <w:r>
        <w:rPr>
          <w:rFonts w:hint="eastAsia"/>
        </w:rPr>
        <w:t>获嘉县在大地构造位置上属于中朝准地台次级单元的山西台隆与华北凹陷的过渡地带。县境北部地层产状走向为北西~南东，倾向南西，倾角30度左右。凤凰岭新层南侧岩层产状为北东45度，倾向南东，倾角30度左右。构造以断裂为主，自北向南有五条断层存在。以凤凰岭~货架断层及柏山~古固寨断层为主。</w:t>
      </w:r>
    </w:p>
    <w:p w14:paraId="6A4FDA75">
      <w:pPr>
        <w:pStyle w:val="72"/>
        <w:rPr>
          <w:highlight w:val="yellow"/>
        </w:rPr>
      </w:pPr>
      <w:r>
        <w:rPr>
          <w:rFonts w:hint="eastAsia"/>
        </w:rPr>
        <w:t>中更新世以来，黄河流经获嘉县，在县境内沉积了100～150m的松散堆积物，形成了松散岩类孔隙水。埋藏的黄河古道，控制了孔隙水的空间分布，形成了调节能力较强的地下水库。获嘉县地下水类型为第四系和第三系上部的松散岩类孔隙水，根据不同时代和埋藏条件可分为浅层含水组、中层含水组和深层含水组。该地区浅层地下水顶板埋深4～8m，底板埋深71～87m，以中砂为主。中层水顶板埋深73～97m，底板埋深124～137m，以中细砂为主。地下水矿化度小于0.7g/L。</w:t>
      </w:r>
    </w:p>
    <w:p w14:paraId="147C9E1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64" w:name="_Toc108122529"/>
      <w:r>
        <w:rPr>
          <w:rFonts w:hint="eastAsia" w:ascii="Times New Roman" w:hAnsi="Times New Roman" w:cs="Times New Roman"/>
          <w:lang w:val="en-US" w:eastAsia="zh-CN"/>
        </w:rPr>
        <w:t>4.1.3地质</w:t>
      </w:r>
      <w:bookmarkEnd w:id="460"/>
      <w:bookmarkEnd w:id="461"/>
      <w:bookmarkEnd w:id="462"/>
      <w:bookmarkEnd w:id="464"/>
    </w:p>
    <w:p w14:paraId="507563EA">
      <w:pPr>
        <w:pStyle w:val="72"/>
        <w:rPr>
          <w:rFonts w:hint="eastAsia"/>
        </w:rPr>
      </w:pPr>
      <w:r>
        <w:rPr>
          <w:rFonts w:hint="eastAsia"/>
        </w:rPr>
        <w:t>工程地质特征：根据岩土工程勘查报告县区约6m以上为黄河近期泛滥沉积的亚粘土、粘土；其下均为第四系全新统中期黄河冲积粘性土，约10m以下见粉沙层，地下水位距地表约3m左右。</w:t>
      </w:r>
    </w:p>
    <w:p w14:paraId="0BC974D5">
      <w:pPr>
        <w:pStyle w:val="72"/>
      </w:pPr>
      <w:r>
        <w:rPr>
          <w:rFonts w:hint="eastAsia"/>
        </w:rPr>
        <w:t>地形地貌：获嘉县地处黄河中下游，古黄河流经县境，在北部边缘与太行山冲积扇前交接；中南部以古阳堤为界，堤南为古黄河故道，堤北为古老的黄河泛滥区。长期以来，黄河泥沙堆积，泛道淤高，主流南迁，古阳堤以北形成了古黄河背河洼地。由此形成了获嘉县地势西南向东北倾斜，海拔高度在74.2~87.5m之间（最低点楼村74.2m，最高点宣阳驿87.5m）。地势自然坡度西高东低，坡度为三千分之一，南高北低，坡度为五千分之一，属典型的平原县区。</w:t>
      </w:r>
    </w:p>
    <w:p w14:paraId="4A93C3C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65" w:name="_Toc428287180"/>
      <w:bookmarkStart w:id="466" w:name="_Toc428287532"/>
      <w:bookmarkStart w:id="467" w:name="_Toc428286786"/>
      <w:bookmarkStart w:id="468" w:name="_Toc108122530"/>
      <w:r>
        <w:rPr>
          <w:rFonts w:hint="eastAsia" w:ascii="Times New Roman" w:hAnsi="Times New Roman" w:cs="Times New Roman"/>
          <w:lang w:val="en-US" w:eastAsia="zh-CN"/>
        </w:rPr>
        <w:t>4.1.4气候气象</w:t>
      </w:r>
      <w:bookmarkEnd w:id="465"/>
      <w:bookmarkEnd w:id="466"/>
      <w:bookmarkEnd w:id="467"/>
      <w:bookmarkEnd w:id="468"/>
    </w:p>
    <w:p w14:paraId="21C99BAE">
      <w:pPr>
        <w:pStyle w:val="72"/>
        <w:rPr>
          <w:rFonts w:cs="Times New Roman"/>
          <w:highlight w:val="yellow"/>
        </w:rPr>
      </w:pPr>
      <w:bookmarkStart w:id="469" w:name="_Toc428286787"/>
      <w:bookmarkStart w:id="470" w:name="_Toc428287181"/>
      <w:bookmarkStart w:id="471" w:name="_Toc428287533"/>
      <w:r>
        <w:rPr>
          <w:rFonts w:hint="eastAsia" w:cs="Times New Roman"/>
        </w:rPr>
        <w:t>获嘉县县域气候温和，属暖温带大陆性季风气候。春季干旱多风沙，夏季炎热雨量大，秋季凉爽时令短，冬季寒冷少雨雪，气温的四季变化，具有典型的大陆性气候特征，即冬冷夏热。年平均气温为14.4</w:t>
      </w:r>
      <w:r>
        <w:rPr>
          <w:rFonts w:hint="default" w:ascii="Times New Roman" w:hAnsi="Times New Roman" w:cs="Times New Roman"/>
        </w:rPr>
        <w:t>℃</w:t>
      </w:r>
      <w:r>
        <w:rPr>
          <w:rFonts w:hint="eastAsia" w:cs="Times New Roman"/>
        </w:rPr>
        <w:t>，最冷月（一月）平均气温为-0.1</w:t>
      </w:r>
      <w:r>
        <w:rPr>
          <w:rFonts w:hint="default" w:ascii="Times New Roman" w:hAnsi="Times New Roman" w:cs="Times New Roman"/>
        </w:rPr>
        <w:t>℃</w:t>
      </w:r>
      <w:r>
        <w:rPr>
          <w:rFonts w:hint="eastAsia" w:cs="Times New Roman"/>
        </w:rPr>
        <w:t>，最热月（七月）平均气温27.1</w:t>
      </w:r>
      <w:r>
        <w:rPr>
          <w:rFonts w:hint="default" w:ascii="Times New Roman" w:hAnsi="Times New Roman" w:cs="Times New Roman"/>
        </w:rPr>
        <w:t>℃</w:t>
      </w:r>
      <w:r>
        <w:rPr>
          <w:rFonts w:hint="eastAsia" w:cs="Times New Roman"/>
        </w:rPr>
        <w:t>。 由于处于东亚中纬度平原上，日照比较充足，年均日照时数为2206.4小时，年均日照率50%，光照时间长，太阳辐射量大，光热资源丰富。多年年均降水量为563.8毫米，且年降水量季节分布很不均匀，大雨高度集中于夏季。年平均绝对湿度为13.0毫巴，春季和夏初干旱明显，单靠降水不能补偿土壤因蒸发而失掉的水分。平均冻结期为30天，无霜期为216天，年平均风速为2.08m/s，境内地形平坦，南北气流畅通，加之季风气候特征明显，主导风向为东北风</w:t>
      </w:r>
      <w:r>
        <w:rPr>
          <w:rFonts w:cs="Times New Roman"/>
        </w:rPr>
        <w:t>。</w:t>
      </w:r>
    </w:p>
    <w:p w14:paraId="4E66308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72" w:name="_Toc108122531"/>
      <w:r>
        <w:rPr>
          <w:rFonts w:hint="eastAsia" w:ascii="Times New Roman" w:hAnsi="Times New Roman" w:cs="Times New Roman"/>
          <w:lang w:val="en-US" w:eastAsia="zh-CN"/>
        </w:rPr>
        <w:t>4.1.5地表水环境</w:t>
      </w:r>
      <w:bookmarkEnd w:id="469"/>
      <w:bookmarkEnd w:id="470"/>
      <w:bookmarkEnd w:id="471"/>
      <w:bookmarkEnd w:id="472"/>
    </w:p>
    <w:p w14:paraId="33CD88A0">
      <w:pPr>
        <w:ind w:firstLine="480"/>
      </w:pPr>
      <w:bookmarkStart w:id="473" w:name="_Toc428286788"/>
      <w:bookmarkStart w:id="474" w:name="_Toc428287534"/>
      <w:bookmarkStart w:id="475" w:name="_Toc428287182"/>
      <w:r>
        <w:t>流经获嘉县的天然河流有大沙河、大狮涝河，均属海河水系；人工渠道有共产主义渠。</w:t>
      </w:r>
    </w:p>
    <w:p w14:paraId="0B46BEA3">
      <w:pPr>
        <w:ind w:firstLine="480"/>
      </w:pPr>
      <w:r>
        <w:t>（1）大沙河：发源于陕西省陵川县夺火镇，流经河南省博爱、焦作、武陟、获嘉、辉县，经新乡县西永康北入共产主义渠，全长115.5km，流域面积2688km</w:t>
      </w:r>
      <w:r>
        <w:rPr>
          <w:vertAlign w:val="superscript"/>
        </w:rPr>
        <w:t>2</w:t>
      </w:r>
      <w:r>
        <w:t>。大沙河，坡陡、流急。1964年、1978年又进行扩挖并兴建桥、涵、闸等工程，除涝标准2~10年一遇，现防洪标准达20年一遇，最大行洪流量可达980~1260m</w:t>
      </w:r>
      <w:r>
        <w:rPr>
          <w:vertAlign w:val="superscript"/>
        </w:rPr>
        <w:t>3</w:t>
      </w:r>
      <w:r>
        <w:t>/s。</w:t>
      </w:r>
    </w:p>
    <w:p w14:paraId="35A8F6CC">
      <w:pPr>
        <w:ind w:firstLine="480"/>
      </w:pPr>
      <w:r>
        <w:t>（2）大狮涝河：发源于武陟县大樊，近西南－东北向流经获嘉县西北部，在刘桥东汇入卫河，为季节性排涝河。</w:t>
      </w:r>
    </w:p>
    <w:p w14:paraId="2F92BBDA">
      <w:pPr>
        <w:ind w:firstLine="480"/>
      </w:pPr>
      <w:r>
        <w:t>（3）共产主义渠：为1958年人工开挖的引黄济卫河道，源于武陟县秦广，在境内照镜楼村北与大沙河交汇。区内长10.5km，设计宽100m，河深3.5m，流量200m</w:t>
      </w:r>
      <w:r>
        <w:rPr>
          <w:vertAlign w:val="superscript"/>
        </w:rPr>
        <w:t>3</w:t>
      </w:r>
      <w:r>
        <w:t>/s。输水后引起两岸地下水位抬高，造成农田盐碱化，于1961年停止引水，成为获嘉县的排涝河道，规划功能水体为Ⅳ类功能区。</w:t>
      </w:r>
    </w:p>
    <w:p w14:paraId="2CE0844A">
      <w:pPr>
        <w:ind w:firstLine="480"/>
      </w:pPr>
      <w:r>
        <w:t>本项目废水经预处理措施治理后排入厂区综合污水处理站治理后经污水管网排至获嘉县同盟污水处理厂</w:t>
      </w:r>
      <w:r>
        <w:rPr>
          <w:szCs w:val="24"/>
        </w:rPr>
        <w:t>进一步处理，</w:t>
      </w:r>
      <w:r>
        <w:rPr>
          <w:color w:val="000000"/>
        </w:rPr>
        <w:t>处理后的废水达到《地表水环境质量标准》Ⅳ类标准外排，其中总氮</w:t>
      </w:r>
      <w:r>
        <w:rPr>
          <w:rFonts w:hint="eastAsia"/>
          <w:color w:val="000000"/>
        </w:rPr>
        <w:t>、悬浮物、石油类</w:t>
      </w:r>
      <w:r>
        <w:rPr>
          <w:color w:val="000000"/>
        </w:rPr>
        <w:t>执行《城镇污水处理厂污染物排放标准》（GB18918-2002）一级A标准后最终排入共产主义渠。</w:t>
      </w:r>
    </w:p>
    <w:p w14:paraId="48ED175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76" w:name="_Toc108122532"/>
      <w:r>
        <w:rPr>
          <w:rFonts w:hint="eastAsia" w:ascii="Times New Roman" w:hAnsi="Times New Roman" w:cs="Times New Roman"/>
          <w:lang w:val="en-US" w:eastAsia="zh-CN"/>
        </w:rPr>
        <w:t>4.1.6地下水环境</w:t>
      </w:r>
      <w:bookmarkEnd w:id="473"/>
      <w:bookmarkEnd w:id="474"/>
      <w:bookmarkEnd w:id="475"/>
      <w:bookmarkEnd w:id="476"/>
    </w:p>
    <w:p w14:paraId="49F41FA9">
      <w:pPr>
        <w:ind w:firstLine="480"/>
      </w:pPr>
      <w:bookmarkStart w:id="477" w:name="_Toc242350681"/>
      <w:bookmarkStart w:id="478" w:name="_Toc245634107"/>
      <w:bookmarkStart w:id="479" w:name="_Toc245630714"/>
      <w:bookmarkStart w:id="480" w:name="_Toc251338304"/>
      <w:bookmarkStart w:id="481" w:name="_Toc249411650"/>
      <w:r>
        <w:t>获嘉县的地址、地貌构造条件，控制和影响着县境内地下水的赋存和分布规律。大气降水入渗为本县地下水的主要补给源。在古阳堤以南的古河道密集带、饱气带盐性颗粒粗，有利于入渗，而在古黄河背河洼地及交接洼地是汇集地表水、地下水的场所，径流条件差，蒸发作用强，入渗性低。</w:t>
      </w:r>
    </w:p>
    <w:p w14:paraId="4AA443BC">
      <w:pPr>
        <w:ind w:firstLine="480"/>
        <w:rPr>
          <w:highlight w:val="yellow"/>
        </w:rPr>
      </w:pPr>
      <w:r>
        <w:t>获嘉县浅层地下水流向，在冯庄、亢村一带，向北径流，水力坡度1/1600~1/1200；在狮子营~位庄一带，向南径流，水力坡度1/600~1/1200。评价区地下水流向从西南至东北</w:t>
      </w:r>
      <w:r>
        <w:rPr>
          <w:rFonts w:hint="eastAsia"/>
          <w:szCs w:val="28"/>
        </w:rPr>
        <w:t>。</w:t>
      </w:r>
    </w:p>
    <w:p w14:paraId="1AC75DD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82" w:name="_Toc108122533"/>
      <w:bookmarkStart w:id="483" w:name="_Toc428287183"/>
      <w:bookmarkStart w:id="484" w:name="_Toc428287535"/>
      <w:bookmarkStart w:id="485" w:name="_Toc428286789"/>
      <w:r>
        <w:rPr>
          <w:rFonts w:hint="eastAsia" w:ascii="Times New Roman" w:hAnsi="Times New Roman" w:cs="Times New Roman"/>
          <w:lang w:val="en-US" w:eastAsia="zh-CN"/>
        </w:rPr>
        <w:t>4.1.7土壤</w:t>
      </w:r>
      <w:bookmarkEnd w:id="482"/>
    </w:p>
    <w:p w14:paraId="44E2A601">
      <w:pPr>
        <w:ind w:firstLine="480"/>
      </w:pPr>
      <w:bookmarkStart w:id="486" w:name="_Toc417375754"/>
      <w:bookmarkStart w:id="487" w:name="_Toc329590313"/>
      <w:bookmarkStart w:id="488" w:name="_Toc428287184"/>
      <w:bookmarkStart w:id="489" w:name="_Toc428286790"/>
      <w:bookmarkStart w:id="490" w:name="_Toc329586405"/>
      <w:bookmarkStart w:id="491" w:name="_Toc429318391"/>
      <w:r>
        <w:t>获嘉县土壤深厚疏松，熟化程度高，分为2个土类、5个亚类、9个土属、53个土种。潮土类面积最大，分布最广，面积为4.68万公顷，占全县土地总面积的99.28%。自然资源比较丰富，植物有粮食作物、经济作物、蔬菜作物以及林果、自然植被等。野生动物有兽类、鸟类、爬行类、两栖类、鱼类、昆虫等。具有开采价值的矿产有石灰岩、赤铁矿、铝土和煤4种。</w:t>
      </w:r>
    </w:p>
    <w:p w14:paraId="18B63D5F">
      <w:pPr>
        <w:ind w:firstLine="480"/>
      </w:pPr>
      <w:r>
        <w:t>获嘉县植被多为农作物栽培植被片，成片林植被分布在故道沙区。其余植被系统为人工植被，人工栽培的杨柳、旱柳与农作物组成的大面积的人工农田林网。</w:t>
      </w:r>
      <w:bookmarkEnd w:id="486"/>
      <w:bookmarkEnd w:id="487"/>
      <w:bookmarkEnd w:id="488"/>
      <w:bookmarkEnd w:id="489"/>
      <w:bookmarkEnd w:id="490"/>
      <w:bookmarkEnd w:id="491"/>
    </w:p>
    <w:bookmarkEnd w:id="477"/>
    <w:bookmarkEnd w:id="478"/>
    <w:bookmarkEnd w:id="479"/>
    <w:bookmarkEnd w:id="480"/>
    <w:bookmarkEnd w:id="481"/>
    <w:bookmarkEnd w:id="483"/>
    <w:bookmarkEnd w:id="484"/>
    <w:bookmarkEnd w:id="485"/>
    <w:p w14:paraId="6679F288">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492" w:name="_Toc13755"/>
      <w:bookmarkStart w:id="493" w:name="_Toc14539"/>
      <w:bookmarkStart w:id="494" w:name="_Toc51319866"/>
      <w:r>
        <w:rPr>
          <w:rFonts w:hint="eastAsia" w:ascii="Times New Roman" w:hAnsi="Times New Roman" w:eastAsia="宋体" w:cs="Times New Roman"/>
          <w:lang w:val="en-US" w:eastAsia="zh-CN"/>
        </w:rPr>
        <w:t>4.2环境质量现状监测与评价</w:t>
      </w:r>
      <w:bookmarkEnd w:id="492"/>
      <w:bookmarkEnd w:id="493"/>
      <w:bookmarkEnd w:id="494"/>
    </w:p>
    <w:p w14:paraId="6F5A413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495" w:name="_Toc108122536"/>
      <w:r>
        <w:rPr>
          <w:rFonts w:hint="eastAsia" w:ascii="Times New Roman" w:hAnsi="Times New Roman" w:cs="Times New Roman"/>
          <w:lang w:val="en-US" w:eastAsia="zh-CN"/>
        </w:rPr>
        <w:t>4.2.1现状监测数据来源</w:t>
      </w:r>
      <w:bookmarkEnd w:id="451"/>
      <w:bookmarkEnd w:id="452"/>
      <w:bookmarkEnd w:id="453"/>
      <w:bookmarkEnd w:id="454"/>
      <w:bookmarkEnd w:id="495"/>
    </w:p>
    <w:bookmarkEnd w:id="455"/>
    <w:p w14:paraId="466F7E10">
      <w:pPr>
        <w:ind w:firstLine="480"/>
        <w:rPr>
          <w:rFonts w:hint="default" w:eastAsia="宋体"/>
          <w:lang w:val="en-US" w:eastAsia="zh-CN"/>
        </w:rPr>
      </w:pPr>
      <w:bookmarkStart w:id="496" w:name="_Toc199565748"/>
      <w:bookmarkStart w:id="497" w:name="_Toc199566844"/>
      <w:bookmarkStart w:id="498" w:name="_Toc502244697"/>
      <w:bookmarkStart w:id="499" w:name="_Toc324839303"/>
      <w:bookmarkStart w:id="500" w:name="_Toc324839600"/>
      <w:bookmarkStart w:id="501" w:name="_Toc311812644"/>
      <w:bookmarkStart w:id="502" w:name="_Toc428287224"/>
      <w:bookmarkStart w:id="503" w:name="_Toc428286863"/>
      <w:bookmarkStart w:id="504" w:name="_Toc429318407"/>
      <w:bookmarkStart w:id="505" w:name="_Toc310408270"/>
      <w:r>
        <w:t>环境空气质量评价因子中</w:t>
      </w:r>
      <w:r>
        <w:rPr>
          <w:rFonts w:hint="eastAsia"/>
        </w:rPr>
        <w:t>基本污染物（</w:t>
      </w:r>
      <w:r>
        <w:t>SO</w:t>
      </w:r>
      <w:r>
        <w:rPr>
          <w:vertAlign w:val="subscript"/>
        </w:rPr>
        <w:t>2</w:t>
      </w:r>
      <w:r>
        <w:t>、NO</w:t>
      </w:r>
      <w:r>
        <w:rPr>
          <w:vertAlign w:val="subscript"/>
        </w:rPr>
        <w:t>2</w:t>
      </w:r>
      <w:r>
        <w:t>、PM</w:t>
      </w:r>
      <w:r>
        <w:rPr>
          <w:vertAlign w:val="subscript"/>
        </w:rPr>
        <w:t>10</w:t>
      </w:r>
      <w:r>
        <w:t>、PM</w:t>
      </w:r>
      <w:r>
        <w:rPr>
          <w:rFonts w:hint="eastAsia"/>
          <w:vertAlign w:val="subscript"/>
        </w:rPr>
        <w:t>2.5</w:t>
      </w:r>
      <w:r>
        <w:t>、</w:t>
      </w:r>
      <w:r>
        <w:rPr>
          <w:rFonts w:hint="eastAsia"/>
        </w:rPr>
        <w:t>CO、O</w:t>
      </w:r>
      <w:r>
        <w:rPr>
          <w:rFonts w:hint="eastAsia"/>
          <w:vertAlign w:val="subscript"/>
        </w:rPr>
        <w:t>3</w:t>
      </w:r>
      <w:r>
        <w:rPr>
          <w:rFonts w:hint="eastAsia"/>
        </w:rPr>
        <w:t>）环境质量现状数据来源于新乡市生态环境局发布的</w:t>
      </w:r>
      <w:r>
        <w:t>《新乡市</w:t>
      </w:r>
      <w:r>
        <w:rPr>
          <w:rFonts w:hint="eastAsia"/>
        </w:rPr>
        <w:t>2023</w:t>
      </w:r>
      <w:r>
        <w:t>年环境质量年报》。其他污染物（硫酸雾</w:t>
      </w:r>
      <w:r>
        <w:rPr>
          <w:rFonts w:hint="eastAsia"/>
        </w:rPr>
        <w:t>、氨、硫化氢、臭气浓度、氮氧化物</w:t>
      </w:r>
      <w:r>
        <w:t>）环境质量现状数据</w:t>
      </w:r>
      <w:r>
        <w:rPr>
          <w:rFonts w:hint="eastAsia"/>
        </w:rPr>
        <w:t>，</w:t>
      </w:r>
      <w:r>
        <w:rPr>
          <w:rFonts w:hint="eastAsia"/>
          <w:lang w:val="en-US" w:eastAsia="zh-CN"/>
        </w:rPr>
        <w:t>来源于现状监测报告。</w:t>
      </w:r>
    </w:p>
    <w:p w14:paraId="3C293DB6">
      <w:pPr>
        <w:ind w:firstLine="480"/>
        <w:rPr>
          <w:color w:val="0000FF"/>
        </w:rPr>
      </w:pPr>
      <w:r>
        <w:rPr>
          <w:rFonts w:hint="eastAsia"/>
          <w:color w:val="000000" w:themeColor="text1"/>
          <w:lang w:val="en-US" w:eastAsia="zh-CN"/>
          <w14:textFill>
            <w14:solidFill>
              <w14:schemeClr w14:val="tx1"/>
            </w14:solidFill>
          </w14:textFill>
        </w:rPr>
        <w:t>现状监测数据</w:t>
      </w:r>
      <w:r>
        <w:rPr>
          <w:color w:val="000000" w:themeColor="text1"/>
          <w14:textFill>
            <w14:solidFill>
              <w14:schemeClr w14:val="tx1"/>
            </w14:solidFill>
          </w14:textFill>
        </w:rPr>
        <w:t>来源于本次环评委托</w:t>
      </w:r>
      <w:r>
        <w:rPr>
          <w:rFonts w:hint="eastAsia"/>
          <w:color w:val="000000" w:themeColor="text1"/>
          <w:lang w:val="en-US" w:eastAsia="zh-CN"/>
          <w14:textFill>
            <w14:solidFill>
              <w14:schemeClr w14:val="tx1"/>
            </w14:solidFill>
          </w14:textFill>
        </w:rPr>
        <w:t>河南碧之霄检测技术有限公司于2025</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2025年4月03</w:t>
      </w:r>
      <w:r>
        <w:rPr>
          <w:color w:val="000000" w:themeColor="text1"/>
          <w14:textFill>
            <w14:solidFill>
              <w14:schemeClr w14:val="tx1"/>
            </w14:solidFill>
          </w14:textFill>
        </w:rPr>
        <w:t>日进行的</w:t>
      </w:r>
      <w:r>
        <w:rPr>
          <w:rFonts w:hint="eastAsia"/>
          <w:color w:val="000000" w:themeColor="text1"/>
          <w:lang w:val="en-US" w:eastAsia="zh-CN"/>
          <w14:textFill>
            <w14:solidFill>
              <w14:schemeClr w14:val="tx1"/>
            </w14:solidFill>
          </w14:textFill>
        </w:rPr>
        <w:t>现状监测</w:t>
      </w:r>
      <w:r>
        <w:rPr>
          <w:color w:val="000000" w:themeColor="text1"/>
          <w14:textFill>
            <w14:solidFill>
              <w14:schemeClr w14:val="tx1"/>
            </w14:solidFill>
          </w14:textFill>
        </w:rPr>
        <w:t>。</w:t>
      </w:r>
    </w:p>
    <w:p w14:paraId="658F0187">
      <w:pPr>
        <w:pStyle w:val="72"/>
      </w:pPr>
      <w:r>
        <w:rPr>
          <w:rFonts w:hint="eastAsia"/>
        </w:rPr>
        <w:t>本次评价根据以上监测数据对本项目所在区域环境质量进行评价。</w:t>
      </w:r>
    </w:p>
    <w:p w14:paraId="3A3A74E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506" w:name="_Toc108122537"/>
      <w:r>
        <w:rPr>
          <w:rFonts w:hint="eastAsia" w:ascii="Times New Roman" w:hAnsi="Times New Roman" w:cs="Times New Roman"/>
          <w:lang w:val="en-US" w:eastAsia="zh-CN"/>
        </w:rPr>
        <w:t>4.2.2环境空气质量现状</w:t>
      </w:r>
      <w:bookmarkEnd w:id="496"/>
      <w:bookmarkEnd w:id="497"/>
      <w:r>
        <w:rPr>
          <w:rFonts w:hint="eastAsia" w:ascii="Times New Roman" w:hAnsi="Times New Roman" w:cs="Times New Roman"/>
          <w:lang w:val="en-US" w:eastAsia="zh-CN"/>
        </w:rPr>
        <w:t>评价</w:t>
      </w:r>
      <w:bookmarkEnd w:id="498"/>
      <w:bookmarkEnd w:id="499"/>
      <w:bookmarkEnd w:id="500"/>
      <w:bookmarkEnd w:id="501"/>
      <w:bookmarkEnd w:id="506"/>
    </w:p>
    <w:p w14:paraId="6FA2B79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bookmarkStart w:id="507" w:name="_Toc324839304"/>
      <w:bookmarkStart w:id="508" w:name="_Toc324839601"/>
      <w:r>
        <w:rPr>
          <w:rFonts w:hint="eastAsia" w:ascii="Times New Roman" w:hAnsi="Times New Roman" w:cs="Times New Roman"/>
          <w:lang w:val="en-US" w:eastAsia="zh-CN"/>
        </w:rPr>
        <w:t>4.2.2.1基本污染物环境质量现状评价</w:t>
      </w:r>
    </w:p>
    <w:p w14:paraId="506A5CF2">
      <w:pPr>
        <w:pStyle w:val="72"/>
      </w:pPr>
      <w:r>
        <w:rPr>
          <w:rFonts w:hint="eastAsia"/>
        </w:rPr>
        <w:t>根据大气功能区划分原则，项目所在区域为二类功能区，环境空气质量应执行《环境空气质量标准》（</w:t>
      </w:r>
      <w:r>
        <w:t>GB3095-2012</w:t>
      </w:r>
      <w:r>
        <w:rPr>
          <w:rFonts w:hint="eastAsia"/>
        </w:rPr>
        <w:t>）二级标准。根据新乡市生态环境局发布的《新乡市2023年环境质量年报》，区域空气质量现状数据如下表所示。</w:t>
      </w:r>
    </w:p>
    <w:p w14:paraId="52422E4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1B7C8D3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w:t>
      </w:r>
      <w:r>
        <w:t>4</w:t>
      </w:r>
      <w:r>
        <w:rPr>
          <w:rFonts w:hint="eastAsia"/>
          <w:lang w:val="en-US" w:eastAsia="zh-CN"/>
        </w:rPr>
        <w:t>.2-</w:t>
      </w:r>
      <w:r>
        <w:rPr>
          <w:rFonts w:hint="eastAsia"/>
        </w:rPr>
        <w:t>1    区域空气质量现状评价表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57" w:type="dxa"/>
          <w:left w:w="108" w:type="dxa"/>
          <w:bottom w:w="57" w:type="dxa"/>
          <w:right w:w="108" w:type="dxa"/>
        </w:tblCellMar>
      </w:tblPr>
      <w:tblGrid>
        <w:gridCol w:w="1150"/>
        <w:gridCol w:w="1912"/>
        <w:gridCol w:w="1457"/>
        <w:gridCol w:w="1583"/>
        <w:gridCol w:w="1191"/>
        <w:gridCol w:w="1189"/>
      </w:tblGrid>
      <w:tr w14:paraId="6F628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1441BCD7">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污染物</w:t>
            </w:r>
          </w:p>
        </w:tc>
        <w:tc>
          <w:tcPr>
            <w:tcW w:w="1127" w:type="pct"/>
            <w:tcMar>
              <w:top w:w="57" w:type="dxa"/>
              <w:left w:w="85" w:type="dxa"/>
              <w:bottom w:w="57" w:type="dxa"/>
              <w:right w:w="85" w:type="dxa"/>
            </w:tcMar>
            <w:vAlign w:val="center"/>
          </w:tcPr>
          <w:p w14:paraId="38F63961">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年评价指标</w:t>
            </w:r>
          </w:p>
        </w:tc>
        <w:tc>
          <w:tcPr>
            <w:tcW w:w="859" w:type="pct"/>
            <w:tcMar>
              <w:top w:w="57" w:type="dxa"/>
              <w:left w:w="85" w:type="dxa"/>
              <w:bottom w:w="57" w:type="dxa"/>
              <w:right w:w="85" w:type="dxa"/>
            </w:tcMar>
            <w:vAlign w:val="center"/>
          </w:tcPr>
          <w:p w14:paraId="59041DB2">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现状浓度</w:t>
            </w:r>
            <w:r>
              <w:rPr>
                <w:color w:val="auto"/>
                <w:sz w:val="21"/>
                <w:szCs w:val="21"/>
              </w:rPr>
              <w:t>/</w:t>
            </w:r>
            <w:r>
              <w:rPr>
                <w:rFonts w:hint="eastAsia"/>
                <w:color w:val="auto"/>
                <w:sz w:val="21"/>
                <w:szCs w:val="21"/>
              </w:rPr>
              <w:t>（</w:t>
            </w:r>
            <w:r>
              <w:rPr>
                <w:color w:val="auto"/>
                <w:sz w:val="21"/>
                <w:szCs w:val="21"/>
              </w:rPr>
              <w:t>μg/m</w:t>
            </w:r>
            <w:r>
              <w:rPr>
                <w:color w:val="auto"/>
                <w:sz w:val="21"/>
                <w:szCs w:val="21"/>
                <w:vertAlign w:val="superscript"/>
              </w:rPr>
              <w:t>3</w:t>
            </w:r>
            <w:r>
              <w:rPr>
                <w:rFonts w:hint="eastAsia"/>
                <w:color w:val="auto"/>
                <w:sz w:val="21"/>
                <w:szCs w:val="21"/>
              </w:rPr>
              <w:t>）</w:t>
            </w:r>
          </w:p>
        </w:tc>
        <w:tc>
          <w:tcPr>
            <w:tcW w:w="933" w:type="pct"/>
            <w:tcMar>
              <w:top w:w="57" w:type="dxa"/>
              <w:left w:w="85" w:type="dxa"/>
              <w:bottom w:w="57" w:type="dxa"/>
              <w:right w:w="85" w:type="dxa"/>
            </w:tcMar>
            <w:vAlign w:val="center"/>
          </w:tcPr>
          <w:p w14:paraId="0DF41F3E">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标准值</w:t>
            </w:r>
            <w:r>
              <w:rPr>
                <w:color w:val="auto"/>
                <w:sz w:val="21"/>
                <w:szCs w:val="21"/>
              </w:rPr>
              <w:t>/</w:t>
            </w:r>
            <w:r>
              <w:rPr>
                <w:rFonts w:hint="eastAsia"/>
                <w:color w:val="auto"/>
                <w:sz w:val="21"/>
                <w:szCs w:val="21"/>
              </w:rPr>
              <w:t>（</w:t>
            </w:r>
            <w:r>
              <w:rPr>
                <w:bCs/>
                <w:color w:val="auto"/>
                <w:sz w:val="21"/>
                <w:szCs w:val="21"/>
              </w:rPr>
              <w:t>μ</w:t>
            </w:r>
            <w:r>
              <w:rPr>
                <w:color w:val="auto"/>
                <w:sz w:val="21"/>
                <w:szCs w:val="21"/>
              </w:rPr>
              <w:t>g/m</w:t>
            </w:r>
            <w:r>
              <w:rPr>
                <w:color w:val="auto"/>
                <w:sz w:val="21"/>
                <w:szCs w:val="21"/>
                <w:vertAlign w:val="superscript"/>
              </w:rPr>
              <w:t>3</w:t>
            </w:r>
            <w:r>
              <w:rPr>
                <w:rFonts w:hint="eastAsia"/>
                <w:color w:val="auto"/>
                <w:sz w:val="21"/>
                <w:szCs w:val="21"/>
              </w:rPr>
              <w:t>）</w:t>
            </w:r>
          </w:p>
        </w:tc>
        <w:tc>
          <w:tcPr>
            <w:tcW w:w="702" w:type="pct"/>
            <w:tcMar>
              <w:top w:w="57" w:type="dxa"/>
              <w:left w:w="85" w:type="dxa"/>
              <w:bottom w:w="57" w:type="dxa"/>
              <w:right w:w="85" w:type="dxa"/>
            </w:tcMar>
            <w:vAlign w:val="center"/>
          </w:tcPr>
          <w:p w14:paraId="695F3E60">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占标率</w:t>
            </w:r>
            <w:r>
              <w:rPr>
                <w:color w:val="auto"/>
                <w:sz w:val="21"/>
                <w:szCs w:val="21"/>
              </w:rPr>
              <w:t>/</w:t>
            </w:r>
          </w:p>
          <w:p w14:paraId="05E8D334">
            <w:pPr>
              <w:pStyle w:val="81"/>
              <w:keepNext w:val="0"/>
              <w:keepLines w:val="0"/>
              <w:pageBreakBefore w:val="0"/>
              <w:widowControl w:val="0"/>
              <w:kinsoku/>
              <w:wordWrap/>
              <w:overflowPunct/>
              <w:topLinePunct w:val="0"/>
              <w:bidi w:val="0"/>
              <w:spacing w:line="240" w:lineRule="auto"/>
              <w:rPr>
                <w:color w:val="auto"/>
                <w:sz w:val="21"/>
                <w:szCs w:val="21"/>
              </w:rPr>
            </w:pPr>
            <w:r>
              <w:rPr>
                <w:color w:val="auto"/>
                <w:sz w:val="21"/>
                <w:szCs w:val="21"/>
              </w:rPr>
              <w:t>%</w:t>
            </w:r>
          </w:p>
        </w:tc>
        <w:tc>
          <w:tcPr>
            <w:tcW w:w="701" w:type="pct"/>
            <w:tcMar>
              <w:top w:w="57" w:type="dxa"/>
              <w:left w:w="85" w:type="dxa"/>
              <w:bottom w:w="57" w:type="dxa"/>
              <w:right w:w="85" w:type="dxa"/>
            </w:tcMar>
            <w:vAlign w:val="center"/>
          </w:tcPr>
          <w:p w14:paraId="4FFB1BB3">
            <w:pPr>
              <w:pStyle w:val="81"/>
              <w:keepNext w:val="0"/>
              <w:keepLines w:val="0"/>
              <w:pageBreakBefore w:val="0"/>
              <w:widowControl w:val="0"/>
              <w:kinsoku/>
              <w:wordWrap/>
              <w:overflowPunct/>
              <w:topLinePunct w:val="0"/>
              <w:bidi w:val="0"/>
              <w:spacing w:line="240" w:lineRule="auto"/>
              <w:rPr>
                <w:color w:val="auto"/>
                <w:sz w:val="21"/>
                <w:szCs w:val="21"/>
              </w:rPr>
            </w:pPr>
            <w:r>
              <w:rPr>
                <w:rFonts w:hint="eastAsia"/>
                <w:color w:val="auto"/>
                <w:sz w:val="21"/>
                <w:szCs w:val="21"/>
              </w:rPr>
              <w:t>达标情况</w:t>
            </w:r>
          </w:p>
        </w:tc>
      </w:tr>
      <w:tr w14:paraId="3B62C8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3241EDC9">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PM</w:t>
            </w:r>
            <w:r>
              <w:rPr>
                <w:kern w:val="2"/>
                <w:sz w:val="21"/>
                <w:szCs w:val="21"/>
                <w:vertAlign w:val="subscript"/>
              </w:rPr>
              <w:t>10</w:t>
            </w:r>
          </w:p>
        </w:tc>
        <w:tc>
          <w:tcPr>
            <w:tcW w:w="1127" w:type="pct"/>
            <w:tcMar>
              <w:top w:w="57" w:type="dxa"/>
              <w:left w:w="85" w:type="dxa"/>
              <w:bottom w:w="57" w:type="dxa"/>
              <w:right w:w="85" w:type="dxa"/>
            </w:tcMar>
            <w:vAlign w:val="center"/>
          </w:tcPr>
          <w:p w14:paraId="264BFC48">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年平均质量浓度</w:t>
            </w:r>
          </w:p>
        </w:tc>
        <w:tc>
          <w:tcPr>
            <w:tcW w:w="859" w:type="pct"/>
            <w:tcMar>
              <w:top w:w="57" w:type="dxa"/>
              <w:left w:w="85" w:type="dxa"/>
              <w:bottom w:w="57" w:type="dxa"/>
              <w:right w:w="85" w:type="dxa"/>
            </w:tcMar>
            <w:vAlign w:val="center"/>
          </w:tcPr>
          <w:p w14:paraId="4C1A1BD7">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80</w:t>
            </w:r>
          </w:p>
        </w:tc>
        <w:tc>
          <w:tcPr>
            <w:tcW w:w="933" w:type="pct"/>
            <w:tcMar>
              <w:top w:w="57" w:type="dxa"/>
              <w:left w:w="85" w:type="dxa"/>
              <w:bottom w:w="57" w:type="dxa"/>
              <w:right w:w="85" w:type="dxa"/>
            </w:tcMar>
            <w:vAlign w:val="center"/>
          </w:tcPr>
          <w:p w14:paraId="20AADE19">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70</w:t>
            </w:r>
          </w:p>
        </w:tc>
        <w:tc>
          <w:tcPr>
            <w:tcW w:w="702" w:type="pct"/>
            <w:tcMar>
              <w:top w:w="57" w:type="dxa"/>
              <w:left w:w="85" w:type="dxa"/>
              <w:bottom w:w="57" w:type="dxa"/>
              <w:right w:w="85" w:type="dxa"/>
            </w:tcMar>
            <w:vAlign w:val="center"/>
          </w:tcPr>
          <w:p w14:paraId="56173A80">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114</w:t>
            </w:r>
          </w:p>
        </w:tc>
        <w:tc>
          <w:tcPr>
            <w:tcW w:w="701" w:type="pct"/>
            <w:tcMar>
              <w:top w:w="57" w:type="dxa"/>
              <w:left w:w="85" w:type="dxa"/>
              <w:bottom w:w="57" w:type="dxa"/>
              <w:right w:w="85" w:type="dxa"/>
            </w:tcMar>
            <w:vAlign w:val="center"/>
          </w:tcPr>
          <w:p w14:paraId="542C1D09">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超标</w:t>
            </w:r>
          </w:p>
        </w:tc>
      </w:tr>
      <w:tr w14:paraId="32500D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57B75A3F">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PM</w:t>
            </w:r>
            <w:r>
              <w:rPr>
                <w:kern w:val="2"/>
                <w:sz w:val="21"/>
                <w:szCs w:val="21"/>
                <w:vertAlign w:val="subscript"/>
              </w:rPr>
              <w:t>2.5</w:t>
            </w:r>
          </w:p>
        </w:tc>
        <w:tc>
          <w:tcPr>
            <w:tcW w:w="1127" w:type="pct"/>
            <w:tcMar>
              <w:top w:w="57" w:type="dxa"/>
              <w:left w:w="85" w:type="dxa"/>
              <w:bottom w:w="57" w:type="dxa"/>
              <w:right w:w="85" w:type="dxa"/>
            </w:tcMar>
            <w:vAlign w:val="center"/>
          </w:tcPr>
          <w:p w14:paraId="300DFE9A">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年平均质量浓度</w:t>
            </w:r>
          </w:p>
        </w:tc>
        <w:tc>
          <w:tcPr>
            <w:tcW w:w="859" w:type="pct"/>
            <w:tcMar>
              <w:top w:w="57" w:type="dxa"/>
              <w:left w:w="85" w:type="dxa"/>
              <w:bottom w:w="57" w:type="dxa"/>
              <w:right w:w="85" w:type="dxa"/>
            </w:tcMar>
            <w:vAlign w:val="center"/>
          </w:tcPr>
          <w:p w14:paraId="23ED1A03">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47</w:t>
            </w:r>
          </w:p>
        </w:tc>
        <w:tc>
          <w:tcPr>
            <w:tcW w:w="933" w:type="pct"/>
            <w:tcMar>
              <w:top w:w="57" w:type="dxa"/>
              <w:left w:w="85" w:type="dxa"/>
              <w:bottom w:w="57" w:type="dxa"/>
              <w:right w:w="85" w:type="dxa"/>
            </w:tcMar>
            <w:vAlign w:val="center"/>
          </w:tcPr>
          <w:p w14:paraId="5A0BA42E">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35</w:t>
            </w:r>
          </w:p>
        </w:tc>
        <w:tc>
          <w:tcPr>
            <w:tcW w:w="702" w:type="pct"/>
            <w:tcMar>
              <w:top w:w="57" w:type="dxa"/>
              <w:left w:w="85" w:type="dxa"/>
              <w:bottom w:w="57" w:type="dxa"/>
              <w:right w:w="85" w:type="dxa"/>
            </w:tcMar>
            <w:vAlign w:val="center"/>
          </w:tcPr>
          <w:p w14:paraId="0BA6504E">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134</w:t>
            </w:r>
          </w:p>
        </w:tc>
        <w:tc>
          <w:tcPr>
            <w:tcW w:w="701" w:type="pct"/>
            <w:tcMar>
              <w:top w:w="57" w:type="dxa"/>
              <w:left w:w="85" w:type="dxa"/>
              <w:bottom w:w="57" w:type="dxa"/>
              <w:right w:w="85" w:type="dxa"/>
            </w:tcMar>
            <w:vAlign w:val="center"/>
          </w:tcPr>
          <w:p w14:paraId="066380C7">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超标</w:t>
            </w:r>
          </w:p>
        </w:tc>
      </w:tr>
      <w:tr w14:paraId="46656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44309A45">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SO</w:t>
            </w:r>
            <w:r>
              <w:rPr>
                <w:kern w:val="2"/>
                <w:sz w:val="21"/>
                <w:szCs w:val="21"/>
                <w:vertAlign w:val="subscript"/>
              </w:rPr>
              <w:t>2</w:t>
            </w:r>
          </w:p>
        </w:tc>
        <w:tc>
          <w:tcPr>
            <w:tcW w:w="1127" w:type="pct"/>
            <w:tcMar>
              <w:top w:w="57" w:type="dxa"/>
              <w:left w:w="85" w:type="dxa"/>
              <w:bottom w:w="57" w:type="dxa"/>
              <w:right w:w="85" w:type="dxa"/>
            </w:tcMar>
            <w:vAlign w:val="center"/>
          </w:tcPr>
          <w:p w14:paraId="179B31BE">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年平均质量浓度</w:t>
            </w:r>
          </w:p>
        </w:tc>
        <w:tc>
          <w:tcPr>
            <w:tcW w:w="859" w:type="pct"/>
            <w:tcMar>
              <w:top w:w="57" w:type="dxa"/>
              <w:left w:w="85" w:type="dxa"/>
              <w:bottom w:w="57" w:type="dxa"/>
              <w:right w:w="85" w:type="dxa"/>
            </w:tcMar>
            <w:vAlign w:val="center"/>
          </w:tcPr>
          <w:p w14:paraId="37D01659">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9</w:t>
            </w:r>
          </w:p>
        </w:tc>
        <w:tc>
          <w:tcPr>
            <w:tcW w:w="933" w:type="pct"/>
            <w:tcMar>
              <w:top w:w="57" w:type="dxa"/>
              <w:left w:w="85" w:type="dxa"/>
              <w:bottom w:w="57" w:type="dxa"/>
              <w:right w:w="85" w:type="dxa"/>
            </w:tcMar>
            <w:vAlign w:val="center"/>
          </w:tcPr>
          <w:p w14:paraId="44F62362">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60</w:t>
            </w:r>
          </w:p>
        </w:tc>
        <w:tc>
          <w:tcPr>
            <w:tcW w:w="702" w:type="pct"/>
            <w:tcMar>
              <w:top w:w="57" w:type="dxa"/>
              <w:left w:w="85" w:type="dxa"/>
              <w:bottom w:w="57" w:type="dxa"/>
              <w:right w:w="85" w:type="dxa"/>
            </w:tcMar>
            <w:vAlign w:val="center"/>
          </w:tcPr>
          <w:p w14:paraId="31B83248">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15</w:t>
            </w:r>
          </w:p>
        </w:tc>
        <w:tc>
          <w:tcPr>
            <w:tcW w:w="701" w:type="pct"/>
            <w:tcMar>
              <w:top w:w="57" w:type="dxa"/>
              <w:left w:w="85" w:type="dxa"/>
              <w:bottom w:w="57" w:type="dxa"/>
              <w:right w:w="85" w:type="dxa"/>
            </w:tcMar>
            <w:vAlign w:val="center"/>
          </w:tcPr>
          <w:p w14:paraId="026DB92B">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达标</w:t>
            </w:r>
          </w:p>
        </w:tc>
      </w:tr>
      <w:tr w14:paraId="77502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3AEA8F7D">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NO</w:t>
            </w:r>
            <w:r>
              <w:rPr>
                <w:kern w:val="2"/>
                <w:sz w:val="21"/>
                <w:szCs w:val="21"/>
                <w:vertAlign w:val="subscript"/>
              </w:rPr>
              <w:t>2</w:t>
            </w:r>
          </w:p>
        </w:tc>
        <w:tc>
          <w:tcPr>
            <w:tcW w:w="1127" w:type="pct"/>
            <w:tcMar>
              <w:top w:w="57" w:type="dxa"/>
              <w:left w:w="85" w:type="dxa"/>
              <w:bottom w:w="57" w:type="dxa"/>
              <w:right w:w="85" w:type="dxa"/>
            </w:tcMar>
            <w:vAlign w:val="center"/>
          </w:tcPr>
          <w:p w14:paraId="538F7837">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年平均质量浓度</w:t>
            </w:r>
          </w:p>
        </w:tc>
        <w:tc>
          <w:tcPr>
            <w:tcW w:w="859" w:type="pct"/>
            <w:tcMar>
              <w:top w:w="57" w:type="dxa"/>
              <w:left w:w="85" w:type="dxa"/>
              <w:bottom w:w="57" w:type="dxa"/>
              <w:right w:w="85" w:type="dxa"/>
            </w:tcMar>
            <w:vAlign w:val="center"/>
          </w:tcPr>
          <w:p w14:paraId="4203AC99">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3</w:t>
            </w:r>
            <w:r>
              <w:rPr>
                <w:sz w:val="21"/>
                <w:szCs w:val="21"/>
              </w:rPr>
              <w:t>0</w:t>
            </w:r>
          </w:p>
        </w:tc>
        <w:tc>
          <w:tcPr>
            <w:tcW w:w="933" w:type="pct"/>
            <w:tcMar>
              <w:top w:w="57" w:type="dxa"/>
              <w:left w:w="85" w:type="dxa"/>
              <w:bottom w:w="57" w:type="dxa"/>
              <w:right w:w="85" w:type="dxa"/>
            </w:tcMar>
            <w:vAlign w:val="center"/>
          </w:tcPr>
          <w:p w14:paraId="22014286">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40</w:t>
            </w:r>
          </w:p>
        </w:tc>
        <w:tc>
          <w:tcPr>
            <w:tcW w:w="702" w:type="pct"/>
            <w:tcMar>
              <w:top w:w="57" w:type="dxa"/>
              <w:left w:w="85" w:type="dxa"/>
              <w:bottom w:w="57" w:type="dxa"/>
              <w:right w:w="85" w:type="dxa"/>
            </w:tcMar>
            <w:vAlign w:val="center"/>
          </w:tcPr>
          <w:p w14:paraId="2561D976">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75</w:t>
            </w:r>
          </w:p>
        </w:tc>
        <w:tc>
          <w:tcPr>
            <w:tcW w:w="701" w:type="pct"/>
            <w:tcMar>
              <w:top w:w="57" w:type="dxa"/>
              <w:left w:w="85" w:type="dxa"/>
              <w:bottom w:w="57" w:type="dxa"/>
              <w:right w:w="85" w:type="dxa"/>
            </w:tcMar>
            <w:vAlign w:val="center"/>
          </w:tcPr>
          <w:p w14:paraId="35E041FC">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达标</w:t>
            </w:r>
          </w:p>
        </w:tc>
      </w:tr>
      <w:tr w14:paraId="30458C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5972B571">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CO</w:t>
            </w:r>
          </w:p>
        </w:tc>
        <w:tc>
          <w:tcPr>
            <w:tcW w:w="1127" w:type="pct"/>
            <w:tcMar>
              <w:top w:w="57" w:type="dxa"/>
              <w:left w:w="85" w:type="dxa"/>
              <w:bottom w:w="57" w:type="dxa"/>
              <w:right w:w="85" w:type="dxa"/>
            </w:tcMar>
            <w:vAlign w:val="center"/>
          </w:tcPr>
          <w:p w14:paraId="20A78D30">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第</w:t>
            </w:r>
            <w:r>
              <w:rPr>
                <w:kern w:val="2"/>
                <w:sz w:val="21"/>
                <w:szCs w:val="21"/>
              </w:rPr>
              <w:t>95</w:t>
            </w:r>
            <w:r>
              <w:rPr>
                <w:rFonts w:hint="eastAsia"/>
                <w:kern w:val="2"/>
                <w:sz w:val="21"/>
                <w:szCs w:val="21"/>
              </w:rPr>
              <w:t>百分位浓度</w:t>
            </w:r>
          </w:p>
        </w:tc>
        <w:tc>
          <w:tcPr>
            <w:tcW w:w="859" w:type="pct"/>
            <w:tcMar>
              <w:top w:w="57" w:type="dxa"/>
              <w:left w:w="85" w:type="dxa"/>
              <w:bottom w:w="57" w:type="dxa"/>
              <w:right w:w="85" w:type="dxa"/>
            </w:tcMar>
            <w:vAlign w:val="center"/>
          </w:tcPr>
          <w:p w14:paraId="56E03BCF">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sz w:val="21"/>
                <w:szCs w:val="21"/>
              </w:rPr>
              <w:t>1.</w:t>
            </w:r>
            <w:r>
              <w:rPr>
                <w:rFonts w:hint="eastAsia"/>
                <w:sz w:val="21"/>
                <w:szCs w:val="21"/>
              </w:rPr>
              <w:t>4</w:t>
            </w:r>
            <w:r>
              <w:rPr>
                <w:sz w:val="21"/>
                <w:szCs w:val="21"/>
              </w:rPr>
              <w:t>mg/m</w:t>
            </w:r>
            <w:r>
              <w:rPr>
                <w:sz w:val="21"/>
                <w:szCs w:val="21"/>
                <w:vertAlign w:val="superscript"/>
              </w:rPr>
              <w:t>3</w:t>
            </w:r>
          </w:p>
        </w:tc>
        <w:tc>
          <w:tcPr>
            <w:tcW w:w="933" w:type="pct"/>
            <w:tcMar>
              <w:top w:w="57" w:type="dxa"/>
              <w:left w:w="85" w:type="dxa"/>
              <w:bottom w:w="57" w:type="dxa"/>
              <w:right w:w="85" w:type="dxa"/>
            </w:tcMar>
            <w:vAlign w:val="center"/>
          </w:tcPr>
          <w:p w14:paraId="73635813">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4mg/m</w:t>
            </w:r>
            <w:r>
              <w:rPr>
                <w:sz w:val="21"/>
                <w:szCs w:val="21"/>
                <w:vertAlign w:val="superscript"/>
              </w:rPr>
              <w:t>3</w:t>
            </w:r>
          </w:p>
        </w:tc>
        <w:tc>
          <w:tcPr>
            <w:tcW w:w="702" w:type="pct"/>
            <w:tcMar>
              <w:top w:w="57" w:type="dxa"/>
              <w:left w:w="85" w:type="dxa"/>
              <w:bottom w:w="57" w:type="dxa"/>
              <w:right w:w="85" w:type="dxa"/>
            </w:tcMar>
            <w:vAlign w:val="center"/>
          </w:tcPr>
          <w:p w14:paraId="4536D5FA">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35</w:t>
            </w:r>
          </w:p>
        </w:tc>
        <w:tc>
          <w:tcPr>
            <w:tcW w:w="701" w:type="pct"/>
            <w:tcMar>
              <w:top w:w="57" w:type="dxa"/>
              <w:left w:w="85" w:type="dxa"/>
              <w:bottom w:w="57" w:type="dxa"/>
              <w:right w:w="85" w:type="dxa"/>
            </w:tcMar>
            <w:vAlign w:val="center"/>
          </w:tcPr>
          <w:p w14:paraId="63BBA213">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达标</w:t>
            </w:r>
          </w:p>
        </w:tc>
      </w:tr>
      <w:tr w14:paraId="74426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108" w:type="dxa"/>
            <w:bottom w:w="57" w:type="dxa"/>
            <w:right w:w="108" w:type="dxa"/>
          </w:tblCellMar>
        </w:tblPrEx>
        <w:trPr>
          <w:cantSplit/>
          <w:trHeight w:val="397" w:hRule="atLeast"/>
          <w:jc w:val="center"/>
        </w:trPr>
        <w:tc>
          <w:tcPr>
            <w:tcW w:w="678" w:type="pct"/>
            <w:tcMar>
              <w:top w:w="57" w:type="dxa"/>
              <w:left w:w="85" w:type="dxa"/>
              <w:bottom w:w="57" w:type="dxa"/>
              <w:right w:w="85" w:type="dxa"/>
            </w:tcMar>
            <w:vAlign w:val="center"/>
          </w:tcPr>
          <w:p w14:paraId="773DC64E">
            <w:pPr>
              <w:pStyle w:val="75"/>
              <w:keepNext w:val="0"/>
              <w:keepLines w:val="0"/>
              <w:pageBreakBefore w:val="0"/>
              <w:widowControl w:val="0"/>
              <w:kinsoku/>
              <w:wordWrap/>
              <w:overflowPunct/>
              <w:topLinePunct w:val="0"/>
              <w:bidi w:val="0"/>
              <w:spacing w:line="240" w:lineRule="auto"/>
              <w:rPr>
                <w:kern w:val="2"/>
                <w:sz w:val="21"/>
                <w:szCs w:val="21"/>
              </w:rPr>
            </w:pPr>
            <w:r>
              <w:rPr>
                <w:kern w:val="2"/>
                <w:sz w:val="21"/>
                <w:szCs w:val="21"/>
              </w:rPr>
              <w:t>O</w:t>
            </w:r>
            <w:r>
              <w:rPr>
                <w:kern w:val="2"/>
                <w:sz w:val="21"/>
                <w:szCs w:val="21"/>
                <w:vertAlign w:val="subscript"/>
              </w:rPr>
              <w:t>3</w:t>
            </w:r>
          </w:p>
        </w:tc>
        <w:tc>
          <w:tcPr>
            <w:tcW w:w="1127" w:type="pct"/>
            <w:tcMar>
              <w:top w:w="57" w:type="dxa"/>
              <w:left w:w="85" w:type="dxa"/>
              <w:bottom w:w="57" w:type="dxa"/>
              <w:right w:w="85" w:type="dxa"/>
            </w:tcMar>
            <w:vAlign w:val="center"/>
          </w:tcPr>
          <w:p w14:paraId="17ED91BA">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第</w:t>
            </w:r>
            <w:r>
              <w:rPr>
                <w:kern w:val="2"/>
                <w:sz w:val="21"/>
                <w:szCs w:val="21"/>
              </w:rPr>
              <w:t>90</w:t>
            </w:r>
            <w:r>
              <w:rPr>
                <w:rFonts w:hint="eastAsia"/>
                <w:kern w:val="2"/>
                <w:sz w:val="21"/>
                <w:szCs w:val="21"/>
              </w:rPr>
              <w:t>百分位浓度</w:t>
            </w:r>
          </w:p>
        </w:tc>
        <w:tc>
          <w:tcPr>
            <w:tcW w:w="859" w:type="pct"/>
            <w:tcMar>
              <w:top w:w="57" w:type="dxa"/>
              <w:left w:w="85" w:type="dxa"/>
              <w:bottom w:w="57" w:type="dxa"/>
              <w:right w:w="85" w:type="dxa"/>
            </w:tcMar>
            <w:vAlign w:val="center"/>
          </w:tcPr>
          <w:p w14:paraId="0FFC5BEC">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sz w:val="21"/>
                <w:szCs w:val="21"/>
              </w:rPr>
              <w:t>18</w:t>
            </w:r>
            <w:r>
              <w:rPr>
                <w:rFonts w:hint="eastAsia"/>
                <w:sz w:val="21"/>
                <w:szCs w:val="21"/>
              </w:rPr>
              <w:t>3</w:t>
            </w:r>
          </w:p>
        </w:tc>
        <w:tc>
          <w:tcPr>
            <w:tcW w:w="933" w:type="pct"/>
            <w:tcMar>
              <w:top w:w="57" w:type="dxa"/>
              <w:left w:w="85" w:type="dxa"/>
              <w:bottom w:w="57" w:type="dxa"/>
              <w:right w:w="85" w:type="dxa"/>
            </w:tcMar>
            <w:vAlign w:val="center"/>
          </w:tcPr>
          <w:p w14:paraId="5F5F2DEC">
            <w:pPr>
              <w:pStyle w:val="75"/>
              <w:keepNext w:val="0"/>
              <w:keepLines w:val="0"/>
              <w:pageBreakBefore w:val="0"/>
              <w:widowControl w:val="0"/>
              <w:kinsoku/>
              <w:wordWrap/>
              <w:overflowPunct/>
              <w:topLinePunct w:val="0"/>
              <w:bidi w:val="0"/>
              <w:spacing w:line="240" w:lineRule="auto"/>
              <w:rPr>
                <w:kern w:val="2"/>
                <w:sz w:val="21"/>
                <w:szCs w:val="21"/>
              </w:rPr>
            </w:pPr>
            <w:r>
              <w:rPr>
                <w:sz w:val="21"/>
                <w:szCs w:val="21"/>
              </w:rPr>
              <w:t>160</w:t>
            </w:r>
          </w:p>
        </w:tc>
        <w:tc>
          <w:tcPr>
            <w:tcW w:w="702" w:type="pct"/>
            <w:tcMar>
              <w:top w:w="57" w:type="dxa"/>
              <w:left w:w="85" w:type="dxa"/>
              <w:bottom w:w="57" w:type="dxa"/>
              <w:right w:w="85" w:type="dxa"/>
            </w:tcMar>
            <w:vAlign w:val="center"/>
          </w:tcPr>
          <w:p w14:paraId="6171919F">
            <w:pPr>
              <w:keepNext w:val="0"/>
              <w:keepLines w:val="0"/>
              <w:pageBreakBefore w:val="0"/>
              <w:widowControl w:val="0"/>
              <w:kinsoku/>
              <w:wordWrap/>
              <w:overflowPunct/>
              <w:topLinePunct w:val="0"/>
              <w:autoSpaceDE w:val="0"/>
              <w:autoSpaceDN w:val="0"/>
              <w:bidi w:val="0"/>
              <w:spacing w:line="240" w:lineRule="auto"/>
              <w:ind w:firstLine="0" w:firstLineChars="0"/>
              <w:contextualSpacing/>
              <w:jc w:val="center"/>
              <w:rPr>
                <w:sz w:val="21"/>
                <w:szCs w:val="21"/>
              </w:rPr>
            </w:pPr>
            <w:r>
              <w:rPr>
                <w:rFonts w:hint="eastAsia"/>
                <w:sz w:val="21"/>
                <w:szCs w:val="21"/>
              </w:rPr>
              <w:t>114</w:t>
            </w:r>
          </w:p>
        </w:tc>
        <w:tc>
          <w:tcPr>
            <w:tcW w:w="701" w:type="pct"/>
            <w:tcMar>
              <w:top w:w="57" w:type="dxa"/>
              <w:left w:w="85" w:type="dxa"/>
              <w:bottom w:w="57" w:type="dxa"/>
              <w:right w:w="85" w:type="dxa"/>
            </w:tcMar>
            <w:vAlign w:val="center"/>
          </w:tcPr>
          <w:p w14:paraId="5CEC6743">
            <w:pPr>
              <w:pStyle w:val="75"/>
              <w:keepNext w:val="0"/>
              <w:keepLines w:val="0"/>
              <w:pageBreakBefore w:val="0"/>
              <w:widowControl w:val="0"/>
              <w:kinsoku/>
              <w:wordWrap/>
              <w:overflowPunct/>
              <w:topLinePunct w:val="0"/>
              <w:bidi w:val="0"/>
              <w:spacing w:line="240" w:lineRule="auto"/>
              <w:rPr>
                <w:kern w:val="2"/>
                <w:sz w:val="21"/>
                <w:szCs w:val="21"/>
              </w:rPr>
            </w:pPr>
            <w:r>
              <w:rPr>
                <w:rFonts w:hint="eastAsia"/>
                <w:kern w:val="2"/>
                <w:sz w:val="21"/>
                <w:szCs w:val="21"/>
              </w:rPr>
              <w:t>超标</w:t>
            </w:r>
          </w:p>
        </w:tc>
      </w:tr>
    </w:tbl>
    <w:p w14:paraId="64127C20">
      <w:pPr>
        <w:pStyle w:val="72"/>
        <w:rPr>
          <w:rFonts w:hint="eastAsia"/>
        </w:rPr>
      </w:pPr>
      <w:r>
        <w:rPr>
          <w:rFonts w:hint="eastAsia"/>
        </w:rPr>
        <w:t>由上表可知，其中PM</w:t>
      </w:r>
      <w:r>
        <w:rPr>
          <w:rFonts w:hint="eastAsia"/>
          <w:vertAlign w:val="subscript"/>
        </w:rPr>
        <w:t>10</w:t>
      </w:r>
      <w:r>
        <w:rPr>
          <w:rFonts w:hint="eastAsia"/>
        </w:rPr>
        <w:t>、PM</w:t>
      </w:r>
      <w:r>
        <w:rPr>
          <w:rFonts w:hint="eastAsia"/>
          <w:vertAlign w:val="subscript"/>
        </w:rPr>
        <w:t>2.5</w:t>
      </w:r>
      <w:r>
        <w:rPr>
          <w:rFonts w:hint="eastAsia"/>
        </w:rPr>
        <w:t>和O</w:t>
      </w:r>
      <w:r>
        <w:rPr>
          <w:rFonts w:hint="eastAsia"/>
          <w:vertAlign w:val="subscript"/>
        </w:rPr>
        <w:t>3</w:t>
      </w:r>
      <w:r>
        <w:rPr>
          <w:rFonts w:hint="eastAsia"/>
        </w:rPr>
        <w:t>均不能够满足《环境空气质量标准》（GB3095 -2012）及其2018年修改单二级标准要求。根据《环境影响评价技术导则 大气环境》(HJ2.2-2018)，本项目所在区域属于</w:t>
      </w:r>
      <w:r>
        <w:rPr>
          <w:rFonts w:hint="eastAsia"/>
          <w:lang w:val="en-US" w:eastAsia="zh-CN"/>
        </w:rPr>
        <w:t>不</w:t>
      </w:r>
      <w:r>
        <w:rPr>
          <w:rFonts w:hint="eastAsia"/>
        </w:rPr>
        <w:t>达标区。</w:t>
      </w:r>
    </w:p>
    <w:p w14:paraId="5619D9EA">
      <w:pPr>
        <w:pStyle w:val="72"/>
        <w:rPr>
          <w:rFonts w:hint="eastAsia"/>
        </w:rPr>
      </w:pPr>
      <w:r>
        <w:rPr>
          <w:rFonts w:hint="eastAsia"/>
        </w:rPr>
        <w:t>2023年，新乡市颗粒物PM</w:t>
      </w:r>
      <w:r>
        <w:rPr>
          <w:rFonts w:hint="eastAsia"/>
          <w:vertAlign w:val="subscript"/>
        </w:rPr>
        <w:t>10</w:t>
      </w:r>
      <w:r>
        <w:rPr>
          <w:rFonts w:hint="eastAsia"/>
        </w:rPr>
        <w:t>平均浓度80微克/立方米，同比下降9微克/立方米，降幅10.1%；PM</w:t>
      </w:r>
      <w:r>
        <w:rPr>
          <w:rFonts w:hint="eastAsia"/>
          <w:vertAlign w:val="subscript"/>
        </w:rPr>
        <w:t>2.5</w:t>
      </w:r>
      <w:r>
        <w:rPr>
          <w:rFonts w:hint="eastAsia"/>
        </w:rPr>
        <w:t>平均浓度值47微克/立方米，同比下降3微克/立方米，降幅6.0%。气态污染物SO</w:t>
      </w:r>
      <w:r>
        <w:rPr>
          <w:rFonts w:hint="eastAsia"/>
          <w:vertAlign w:val="subscript"/>
        </w:rPr>
        <w:t>2</w:t>
      </w:r>
      <w:r>
        <w:rPr>
          <w:rFonts w:hint="eastAsia"/>
        </w:rPr>
        <w:t>平均浓度9微克/立方米，同比下降1微克/立方米，降幅10.0%；NO</w:t>
      </w:r>
      <w:r>
        <w:rPr>
          <w:rFonts w:hint="eastAsia"/>
          <w:vertAlign w:val="subscript"/>
        </w:rPr>
        <w:t>2</w:t>
      </w:r>
      <w:r>
        <w:rPr>
          <w:rFonts w:hint="eastAsia"/>
        </w:rPr>
        <w:t>平均浓度30微克/立方米，同比持平；O</w:t>
      </w:r>
      <w:r>
        <w:rPr>
          <w:rFonts w:hint="eastAsia"/>
          <w:vertAlign w:val="subscript"/>
        </w:rPr>
        <w:t>3</w:t>
      </w:r>
      <w:r>
        <w:rPr>
          <w:rFonts w:hint="eastAsia"/>
        </w:rPr>
        <w:t>第90百分位浓度183微克/立方米，同比上升1微克/立方米，升幅0.5%；CO第95百分位浓度1.4毫克/立方米，同比持平。2023年，新乡市环境空气优良天数227天，优良天数比例62.2%。同比优良天数增加7天，增加1.9个百分点。</w:t>
      </w:r>
    </w:p>
    <w:p w14:paraId="06322988">
      <w:pPr>
        <w:pStyle w:val="72"/>
      </w:pPr>
      <w:r>
        <w:rPr>
          <w:rFonts w:hint="eastAsia"/>
        </w:rPr>
        <w:t>目前，新乡市正在实施《新乡市环境污染防治攻坚指挥部办公室关于印发新乡市</w:t>
      </w:r>
      <w:r>
        <w:rPr>
          <w:rFonts w:hint="eastAsia"/>
          <w:lang w:val="en-US" w:eastAsia="zh-CN"/>
        </w:rPr>
        <w:t>2024</w:t>
      </w:r>
      <w:r>
        <w:rPr>
          <w:rFonts w:hint="eastAsia"/>
        </w:rPr>
        <w:t>年蓝天保卫战实施方案的通知》（新环委办〔2024〕49号）等一系列措施，将不断改善区域大气环境质量。</w:t>
      </w:r>
    </w:p>
    <w:p w14:paraId="4D6FEC8B">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4.2.2.2其他因子监测点位</w:t>
      </w:r>
      <w:bookmarkEnd w:id="507"/>
      <w:bookmarkEnd w:id="508"/>
      <w:r>
        <w:rPr>
          <w:rFonts w:hint="eastAsia" w:ascii="Times New Roman" w:hAnsi="Times New Roman" w:cs="Times New Roman"/>
          <w:lang w:val="en-US" w:eastAsia="zh-CN"/>
        </w:rPr>
        <w:t>及监测因子</w:t>
      </w:r>
    </w:p>
    <w:p w14:paraId="59D27BCB">
      <w:pPr>
        <w:ind w:firstLine="480"/>
      </w:pPr>
      <w:bookmarkStart w:id="509" w:name="_Toc324839307"/>
      <w:bookmarkStart w:id="510" w:name="_Toc324839604"/>
      <w:r>
        <w:rPr>
          <w:rFonts w:hint="eastAsia"/>
        </w:rPr>
        <w:t>为了反映本项目排放的污染物（</w:t>
      </w:r>
      <w:r>
        <w:t>硫酸雾</w:t>
      </w:r>
      <w:r>
        <w:rPr>
          <w:rFonts w:hint="eastAsia"/>
        </w:rPr>
        <w:t>）对周边环境的影响程度，根据《环境影响评价技术导则  大气环境》（HJ2.2-2018）6.3.2中“以近20年统计的当地主导风向为轴向，在厂址及主导风向下风向2.5km范围内设置1~2个监测点”的要求，本次环境空气质量现状监测共布设了2个监测点对其他因子进行现状监测，具体监测点位布设及监测因子情况见下表。</w:t>
      </w:r>
    </w:p>
    <w:p w14:paraId="7AE3F8C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4.2-2</w:t>
      </w:r>
      <w:r>
        <w:rPr>
          <w:rFonts w:hint="eastAsia"/>
        </w:rPr>
        <w:t xml:space="preserve">    环境空气监测布点及监测因子一览表（1）</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90"/>
        <w:gridCol w:w="945"/>
        <w:gridCol w:w="2174"/>
        <w:gridCol w:w="2053"/>
        <w:gridCol w:w="1191"/>
      </w:tblGrid>
      <w:tr w14:paraId="1457E1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16CBE8ED">
            <w:pPr>
              <w:pStyle w:val="81"/>
              <w:rPr>
                <w:color w:val="auto"/>
                <w:sz w:val="21"/>
                <w:szCs w:val="21"/>
              </w:rPr>
            </w:pPr>
            <w:r>
              <w:rPr>
                <w:color w:val="auto"/>
                <w:sz w:val="21"/>
                <w:szCs w:val="21"/>
              </w:rPr>
              <w:t>编号</w:t>
            </w:r>
          </w:p>
        </w:tc>
        <w:tc>
          <w:tcPr>
            <w:tcW w:w="873" w:type="pct"/>
            <w:vAlign w:val="center"/>
          </w:tcPr>
          <w:p w14:paraId="27B37EAD">
            <w:pPr>
              <w:pStyle w:val="81"/>
              <w:rPr>
                <w:color w:val="auto"/>
                <w:sz w:val="21"/>
                <w:szCs w:val="21"/>
              </w:rPr>
            </w:pPr>
            <w:r>
              <w:rPr>
                <w:color w:val="auto"/>
                <w:sz w:val="21"/>
                <w:szCs w:val="21"/>
              </w:rPr>
              <w:t>监测点名称</w:t>
            </w:r>
          </w:p>
        </w:tc>
        <w:tc>
          <w:tcPr>
            <w:tcW w:w="554" w:type="pct"/>
            <w:vAlign w:val="center"/>
          </w:tcPr>
          <w:p w14:paraId="2C0F7DA1">
            <w:pPr>
              <w:pStyle w:val="81"/>
              <w:rPr>
                <w:color w:val="auto"/>
                <w:sz w:val="21"/>
                <w:szCs w:val="21"/>
              </w:rPr>
            </w:pPr>
            <w:r>
              <w:rPr>
                <w:color w:val="auto"/>
                <w:sz w:val="21"/>
                <w:szCs w:val="21"/>
              </w:rPr>
              <w:t>方位</w:t>
            </w:r>
          </w:p>
        </w:tc>
        <w:tc>
          <w:tcPr>
            <w:tcW w:w="1274" w:type="pct"/>
            <w:vAlign w:val="center"/>
          </w:tcPr>
          <w:p w14:paraId="6953479A">
            <w:pPr>
              <w:pStyle w:val="81"/>
              <w:rPr>
                <w:color w:val="auto"/>
                <w:sz w:val="21"/>
                <w:szCs w:val="21"/>
              </w:rPr>
            </w:pPr>
            <w:r>
              <w:rPr>
                <w:rFonts w:hint="eastAsia"/>
                <w:color w:val="auto"/>
                <w:sz w:val="21"/>
                <w:szCs w:val="21"/>
              </w:rPr>
              <w:t>距厂界距离（m）</w:t>
            </w:r>
          </w:p>
        </w:tc>
        <w:tc>
          <w:tcPr>
            <w:tcW w:w="1203" w:type="pct"/>
            <w:vAlign w:val="center"/>
          </w:tcPr>
          <w:p w14:paraId="3AEECF0A">
            <w:pPr>
              <w:pStyle w:val="81"/>
              <w:rPr>
                <w:color w:val="auto"/>
                <w:sz w:val="21"/>
                <w:szCs w:val="21"/>
              </w:rPr>
            </w:pPr>
            <w:r>
              <w:rPr>
                <w:rFonts w:hint="eastAsia"/>
                <w:color w:val="auto"/>
                <w:sz w:val="21"/>
                <w:szCs w:val="21"/>
              </w:rPr>
              <w:t>监测因子</w:t>
            </w:r>
          </w:p>
        </w:tc>
        <w:tc>
          <w:tcPr>
            <w:tcW w:w="698" w:type="pct"/>
            <w:vAlign w:val="center"/>
          </w:tcPr>
          <w:p w14:paraId="76898247">
            <w:pPr>
              <w:pStyle w:val="81"/>
              <w:rPr>
                <w:color w:val="auto"/>
                <w:sz w:val="21"/>
                <w:szCs w:val="21"/>
              </w:rPr>
            </w:pPr>
            <w:r>
              <w:rPr>
                <w:color w:val="auto"/>
                <w:sz w:val="21"/>
                <w:szCs w:val="21"/>
              </w:rPr>
              <w:t>功能</w:t>
            </w:r>
          </w:p>
        </w:tc>
      </w:tr>
      <w:tr w14:paraId="0AF2A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0A67EBE7">
            <w:pPr>
              <w:pStyle w:val="75"/>
              <w:rPr>
                <w:sz w:val="21"/>
                <w:szCs w:val="21"/>
              </w:rPr>
            </w:pPr>
            <w:r>
              <w:rPr>
                <w:rFonts w:hint="eastAsia"/>
                <w:sz w:val="21"/>
                <w:szCs w:val="21"/>
              </w:rPr>
              <w:t>1#</w:t>
            </w:r>
          </w:p>
        </w:tc>
        <w:tc>
          <w:tcPr>
            <w:tcW w:w="873" w:type="pct"/>
            <w:vAlign w:val="center"/>
          </w:tcPr>
          <w:p w14:paraId="4FD1A621">
            <w:pPr>
              <w:pStyle w:val="75"/>
              <w:rPr>
                <w:rFonts w:hint="eastAsia" w:eastAsia="宋体"/>
                <w:sz w:val="21"/>
                <w:szCs w:val="21"/>
                <w:lang w:eastAsia="zh-CN"/>
              </w:rPr>
            </w:pPr>
            <w:r>
              <w:rPr>
                <w:rFonts w:hint="eastAsia"/>
                <w:sz w:val="21"/>
                <w:szCs w:val="21"/>
                <w:lang w:val="en-US" w:eastAsia="zh-CN"/>
              </w:rPr>
              <w:t>厂址处</w:t>
            </w:r>
          </w:p>
        </w:tc>
        <w:tc>
          <w:tcPr>
            <w:tcW w:w="554" w:type="pct"/>
            <w:vAlign w:val="center"/>
          </w:tcPr>
          <w:p w14:paraId="38DF1615">
            <w:pPr>
              <w:pStyle w:val="75"/>
              <w:rPr>
                <w:sz w:val="21"/>
                <w:szCs w:val="21"/>
              </w:rPr>
            </w:pPr>
            <w:r>
              <w:rPr>
                <w:rFonts w:hint="eastAsia"/>
                <w:sz w:val="21"/>
                <w:szCs w:val="21"/>
              </w:rPr>
              <w:t>西南</w:t>
            </w:r>
          </w:p>
        </w:tc>
        <w:tc>
          <w:tcPr>
            <w:tcW w:w="1274" w:type="pct"/>
            <w:vAlign w:val="center"/>
          </w:tcPr>
          <w:p w14:paraId="615EF227">
            <w:pPr>
              <w:pStyle w:val="75"/>
              <w:rPr>
                <w:rFonts w:hint="default" w:eastAsia="宋体"/>
                <w:sz w:val="21"/>
                <w:szCs w:val="21"/>
                <w:lang w:val="en-US" w:eastAsia="zh-CN"/>
              </w:rPr>
            </w:pPr>
            <w:r>
              <w:rPr>
                <w:rFonts w:hint="eastAsia"/>
                <w:sz w:val="21"/>
                <w:szCs w:val="21"/>
                <w:lang w:val="en-US" w:eastAsia="zh-CN"/>
              </w:rPr>
              <w:t>临近</w:t>
            </w:r>
          </w:p>
        </w:tc>
        <w:tc>
          <w:tcPr>
            <w:tcW w:w="1203" w:type="pct"/>
            <w:vAlign w:val="center"/>
          </w:tcPr>
          <w:p w14:paraId="127CA9CC">
            <w:pPr>
              <w:pStyle w:val="75"/>
              <w:jc w:val="left"/>
              <w:rPr>
                <w:rFonts w:hint="default" w:eastAsia="宋体"/>
                <w:sz w:val="21"/>
                <w:szCs w:val="21"/>
                <w:lang w:val="en-US" w:eastAsia="zh-CN"/>
              </w:rPr>
            </w:pPr>
            <w:r>
              <w:rPr>
                <w:sz w:val="21"/>
                <w:szCs w:val="21"/>
              </w:rPr>
              <w:t>硫酸雾、氨、硫化氢、臭气浓度</w:t>
            </w:r>
            <w:r>
              <w:rPr>
                <w:rFonts w:hint="eastAsia"/>
                <w:sz w:val="21"/>
                <w:szCs w:val="21"/>
                <w:lang w:eastAsia="zh-CN"/>
              </w:rPr>
              <w:t>、</w:t>
            </w:r>
            <w:r>
              <w:rPr>
                <w:rFonts w:hint="eastAsia"/>
                <w:sz w:val="21"/>
                <w:szCs w:val="21"/>
                <w:lang w:val="en-US" w:eastAsia="zh-CN"/>
              </w:rPr>
              <w:t>氮氧化物</w:t>
            </w:r>
          </w:p>
        </w:tc>
        <w:tc>
          <w:tcPr>
            <w:tcW w:w="698" w:type="pct"/>
            <w:vAlign w:val="center"/>
          </w:tcPr>
          <w:p w14:paraId="538AB29A">
            <w:pPr>
              <w:pStyle w:val="75"/>
              <w:rPr>
                <w:sz w:val="21"/>
                <w:szCs w:val="21"/>
              </w:rPr>
            </w:pPr>
            <w:r>
              <w:rPr>
                <w:rFonts w:hint="eastAsia"/>
                <w:sz w:val="21"/>
                <w:szCs w:val="21"/>
              </w:rPr>
              <w:t>厂区</w:t>
            </w:r>
          </w:p>
        </w:tc>
      </w:tr>
      <w:tr w14:paraId="1F28A9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6" w:type="pct"/>
            <w:vAlign w:val="center"/>
          </w:tcPr>
          <w:p w14:paraId="18FD7CF3">
            <w:pPr>
              <w:pStyle w:val="75"/>
              <w:rPr>
                <w:sz w:val="21"/>
                <w:szCs w:val="21"/>
              </w:rPr>
            </w:pPr>
            <w:r>
              <w:rPr>
                <w:rFonts w:hint="eastAsia"/>
                <w:sz w:val="21"/>
                <w:szCs w:val="21"/>
              </w:rPr>
              <w:t>2#</w:t>
            </w:r>
          </w:p>
        </w:tc>
        <w:tc>
          <w:tcPr>
            <w:tcW w:w="873" w:type="pct"/>
            <w:vAlign w:val="center"/>
          </w:tcPr>
          <w:p w14:paraId="4FAF463A">
            <w:pPr>
              <w:pStyle w:val="75"/>
              <w:rPr>
                <w:rFonts w:hint="default" w:eastAsia="宋体"/>
                <w:sz w:val="21"/>
                <w:szCs w:val="21"/>
                <w:lang w:val="en-US" w:eastAsia="zh-CN"/>
              </w:rPr>
            </w:pPr>
            <w:r>
              <w:rPr>
                <w:rFonts w:hint="eastAsia"/>
                <w:sz w:val="21"/>
                <w:szCs w:val="21"/>
                <w:lang w:val="en-US" w:eastAsia="zh-CN"/>
              </w:rPr>
              <w:t>陈孝村</w:t>
            </w:r>
          </w:p>
        </w:tc>
        <w:tc>
          <w:tcPr>
            <w:tcW w:w="554" w:type="pct"/>
            <w:vAlign w:val="center"/>
          </w:tcPr>
          <w:p w14:paraId="1225F1A5">
            <w:pPr>
              <w:pStyle w:val="75"/>
              <w:rPr>
                <w:sz w:val="21"/>
                <w:szCs w:val="21"/>
              </w:rPr>
            </w:pPr>
            <w:r>
              <w:rPr>
                <w:rFonts w:hint="eastAsia"/>
                <w:sz w:val="21"/>
                <w:szCs w:val="21"/>
              </w:rPr>
              <w:t>西南</w:t>
            </w:r>
          </w:p>
        </w:tc>
        <w:tc>
          <w:tcPr>
            <w:tcW w:w="1274" w:type="pct"/>
            <w:vAlign w:val="center"/>
          </w:tcPr>
          <w:p w14:paraId="54B400DC">
            <w:pPr>
              <w:pStyle w:val="75"/>
              <w:rPr>
                <w:rFonts w:hint="default" w:eastAsia="宋体"/>
                <w:sz w:val="21"/>
                <w:szCs w:val="21"/>
                <w:lang w:val="en-US" w:eastAsia="zh-CN"/>
              </w:rPr>
            </w:pPr>
            <w:r>
              <w:rPr>
                <w:rFonts w:hint="eastAsia"/>
                <w:sz w:val="21"/>
                <w:szCs w:val="21"/>
                <w:lang w:val="en-US" w:eastAsia="zh-CN"/>
              </w:rPr>
              <w:t>2563</w:t>
            </w:r>
          </w:p>
        </w:tc>
        <w:tc>
          <w:tcPr>
            <w:tcW w:w="1203" w:type="pct"/>
            <w:vAlign w:val="center"/>
          </w:tcPr>
          <w:p w14:paraId="1891E16C">
            <w:pPr>
              <w:pStyle w:val="75"/>
              <w:jc w:val="left"/>
              <w:rPr>
                <w:rFonts w:hint="eastAsia" w:eastAsia="宋体"/>
                <w:iCs/>
                <w:sz w:val="21"/>
                <w:szCs w:val="21"/>
                <w:lang w:eastAsia="zh-CN"/>
              </w:rPr>
            </w:pPr>
            <w:r>
              <w:rPr>
                <w:sz w:val="21"/>
                <w:szCs w:val="21"/>
              </w:rPr>
              <w:t>硫酸雾、氨、硫化氢、臭气浓度</w:t>
            </w:r>
            <w:r>
              <w:rPr>
                <w:rFonts w:hint="eastAsia"/>
                <w:sz w:val="21"/>
                <w:szCs w:val="21"/>
                <w:lang w:eastAsia="zh-CN"/>
              </w:rPr>
              <w:t>、</w:t>
            </w:r>
            <w:r>
              <w:rPr>
                <w:rFonts w:hint="eastAsia"/>
                <w:sz w:val="21"/>
                <w:szCs w:val="21"/>
                <w:lang w:val="en-US" w:eastAsia="zh-CN"/>
              </w:rPr>
              <w:t>氮氧化物</w:t>
            </w:r>
          </w:p>
        </w:tc>
        <w:tc>
          <w:tcPr>
            <w:tcW w:w="698" w:type="pct"/>
            <w:vAlign w:val="center"/>
          </w:tcPr>
          <w:p w14:paraId="2F81BC7C">
            <w:pPr>
              <w:pStyle w:val="75"/>
              <w:rPr>
                <w:sz w:val="21"/>
                <w:szCs w:val="21"/>
              </w:rPr>
            </w:pPr>
            <w:r>
              <w:rPr>
                <w:rFonts w:hint="eastAsia"/>
                <w:sz w:val="21"/>
                <w:szCs w:val="21"/>
              </w:rPr>
              <w:t>下风向</w:t>
            </w:r>
          </w:p>
        </w:tc>
      </w:tr>
    </w:tbl>
    <w:p w14:paraId="75ED26C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4.2.2.3监测时间和频率</w:t>
      </w:r>
    </w:p>
    <w:p w14:paraId="25F5D805">
      <w:pPr>
        <w:pStyle w:val="72"/>
        <w:rPr>
          <w:color w:val="000000" w:themeColor="text1"/>
          <w14:textFill>
            <w14:solidFill>
              <w14:schemeClr w14:val="tx1"/>
            </w14:solidFill>
          </w14:textFill>
        </w:rPr>
      </w:pPr>
      <w:r>
        <w:rPr>
          <w:rFonts w:hint="eastAsia"/>
          <w:color w:val="000000" w:themeColor="text1"/>
          <w14:textFill>
            <w14:solidFill>
              <w14:schemeClr w14:val="tx1"/>
            </w14:solidFill>
          </w14:textFill>
        </w:rPr>
        <w:t>受建设单位委托，</w:t>
      </w:r>
      <w:r>
        <w:rPr>
          <w:rFonts w:hint="eastAsia"/>
          <w:color w:val="000000" w:themeColor="text1"/>
          <w:lang w:val="en-US" w:eastAsia="zh-CN"/>
          <w14:textFill>
            <w14:solidFill>
              <w14:schemeClr w14:val="tx1"/>
            </w14:solidFill>
          </w14:textFill>
        </w:rPr>
        <w:t>河南碧之霄检测技术有限公司于2025</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2025年4月3日</w:t>
      </w:r>
      <w:r>
        <w:rPr>
          <w:rFonts w:hint="eastAsia"/>
          <w:color w:val="000000" w:themeColor="text1"/>
          <w14:textFill>
            <w14:solidFill>
              <w14:schemeClr w14:val="tx1"/>
            </w14:solidFill>
          </w14:textFill>
        </w:rPr>
        <w:t>对2个监测点位进行了连续7天的环境空气质量现状监测。监测因子及频率见下表。</w:t>
      </w:r>
    </w:p>
    <w:p w14:paraId="636CF9F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表4</w:t>
      </w:r>
      <w:r>
        <w:rPr>
          <w:rFonts w:hint="eastAsia"/>
          <w:lang w:val="en-US" w:eastAsia="zh-CN"/>
        </w:rPr>
        <w:t>.2</w:t>
      </w:r>
      <w:r>
        <w:rPr>
          <w:rFonts w:hint="eastAsia"/>
        </w:rPr>
        <w:t>-</w:t>
      </w:r>
      <w:r>
        <w:rPr>
          <w:rFonts w:hint="eastAsia"/>
          <w:lang w:val="en-US" w:eastAsia="zh-CN"/>
        </w:rPr>
        <w:t>3</w:t>
      </w:r>
      <w:r>
        <w:rPr>
          <w:rFonts w:hint="eastAsia"/>
        </w:rPr>
        <w:t xml:space="preserve">    监测因子及频率一览表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57"/>
        <w:gridCol w:w="5829"/>
      </w:tblGrid>
      <w:tr w14:paraId="48F078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Align w:val="center"/>
          </w:tcPr>
          <w:p w14:paraId="66BED491">
            <w:pPr>
              <w:pStyle w:val="81"/>
              <w:rPr>
                <w:color w:val="auto"/>
              </w:rPr>
            </w:pPr>
            <w:r>
              <w:rPr>
                <w:rFonts w:hint="eastAsia"/>
                <w:color w:val="auto"/>
              </w:rPr>
              <w:t>监测因子</w:t>
            </w:r>
          </w:p>
        </w:tc>
        <w:tc>
          <w:tcPr>
            <w:tcW w:w="854" w:type="pct"/>
            <w:vAlign w:val="center"/>
          </w:tcPr>
          <w:p w14:paraId="41EDBC55">
            <w:pPr>
              <w:pStyle w:val="81"/>
              <w:rPr>
                <w:color w:val="auto"/>
              </w:rPr>
            </w:pPr>
            <w:r>
              <w:rPr>
                <w:rFonts w:hint="eastAsia"/>
                <w:color w:val="auto"/>
              </w:rPr>
              <w:t>监测项目</w:t>
            </w:r>
          </w:p>
        </w:tc>
        <w:tc>
          <w:tcPr>
            <w:tcW w:w="3416" w:type="pct"/>
            <w:vAlign w:val="center"/>
          </w:tcPr>
          <w:p w14:paraId="585ED3CE">
            <w:pPr>
              <w:pStyle w:val="81"/>
              <w:rPr>
                <w:color w:val="auto"/>
              </w:rPr>
            </w:pPr>
            <w:r>
              <w:rPr>
                <w:rFonts w:hint="eastAsia"/>
                <w:color w:val="auto"/>
              </w:rPr>
              <w:t>监测频率</w:t>
            </w:r>
          </w:p>
        </w:tc>
      </w:tr>
      <w:tr w14:paraId="1CF88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restart"/>
            <w:vAlign w:val="center"/>
          </w:tcPr>
          <w:p w14:paraId="5918C015">
            <w:pPr>
              <w:pStyle w:val="75"/>
              <w:rPr>
                <w:kern w:val="2"/>
              </w:rPr>
            </w:pPr>
            <w:r>
              <w:rPr>
                <w:rFonts w:hint="eastAsia"/>
                <w:kern w:val="2"/>
              </w:rPr>
              <w:t>硫酸雾</w:t>
            </w:r>
          </w:p>
        </w:tc>
        <w:tc>
          <w:tcPr>
            <w:tcW w:w="854" w:type="pct"/>
            <w:vAlign w:val="center"/>
          </w:tcPr>
          <w:p w14:paraId="258DC9CF">
            <w:pPr>
              <w:pStyle w:val="75"/>
              <w:rPr>
                <w:kern w:val="2"/>
              </w:rPr>
            </w:pPr>
            <w:r>
              <w:rPr>
                <w:rFonts w:hint="eastAsia"/>
                <w:kern w:val="2"/>
              </w:rPr>
              <w:t>1h浓度值</w:t>
            </w:r>
          </w:p>
        </w:tc>
        <w:tc>
          <w:tcPr>
            <w:tcW w:w="3416" w:type="pct"/>
            <w:vAlign w:val="center"/>
          </w:tcPr>
          <w:p w14:paraId="4B83DE6B">
            <w:pPr>
              <w:pStyle w:val="75"/>
              <w:rPr>
                <w:kern w:val="2"/>
              </w:rPr>
            </w:pPr>
            <w:r>
              <w:rPr>
                <w:kern w:val="2"/>
              </w:rPr>
              <w:t>连续监测</w:t>
            </w:r>
            <w:r>
              <w:rPr>
                <w:rFonts w:hint="eastAsia"/>
                <w:kern w:val="2"/>
              </w:rPr>
              <w:t>7</w:t>
            </w:r>
            <w:r>
              <w:rPr>
                <w:kern w:val="2"/>
              </w:rPr>
              <w:t>天，每天</w:t>
            </w:r>
            <w:r>
              <w:rPr>
                <w:rFonts w:hint="eastAsia"/>
                <w:kern w:val="2"/>
              </w:rPr>
              <w:t>02、08、14、20时采样4次，每次采样时间不少于45min，取每次监测时段的1h浓度值</w:t>
            </w:r>
          </w:p>
        </w:tc>
      </w:tr>
      <w:tr w14:paraId="74C3D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14:paraId="0692F4EE">
            <w:pPr>
              <w:pStyle w:val="75"/>
              <w:rPr>
                <w:kern w:val="2"/>
              </w:rPr>
            </w:pPr>
          </w:p>
        </w:tc>
        <w:tc>
          <w:tcPr>
            <w:tcW w:w="854" w:type="pct"/>
            <w:vAlign w:val="center"/>
          </w:tcPr>
          <w:p w14:paraId="4ECB0096">
            <w:pPr>
              <w:pStyle w:val="75"/>
              <w:rPr>
                <w:kern w:val="2"/>
              </w:rPr>
            </w:pPr>
            <w:r>
              <w:rPr>
                <w:rFonts w:hint="eastAsia"/>
                <w:kern w:val="2"/>
              </w:rPr>
              <w:t>日均值</w:t>
            </w:r>
          </w:p>
        </w:tc>
        <w:tc>
          <w:tcPr>
            <w:tcW w:w="3416" w:type="pct"/>
            <w:vAlign w:val="center"/>
          </w:tcPr>
          <w:p w14:paraId="5CE26830">
            <w:pPr>
              <w:pStyle w:val="75"/>
              <w:rPr>
                <w:kern w:val="2"/>
              </w:rPr>
            </w:pPr>
            <w:r>
              <w:rPr>
                <w:kern w:val="2"/>
              </w:rPr>
              <w:t>连续监测</w:t>
            </w:r>
            <w:r>
              <w:rPr>
                <w:rFonts w:hint="eastAsia"/>
                <w:kern w:val="2"/>
              </w:rPr>
              <w:t>7</w:t>
            </w:r>
            <w:r>
              <w:rPr>
                <w:kern w:val="2"/>
              </w:rPr>
              <w:t>天，</w:t>
            </w:r>
            <w:r>
              <w:rPr>
                <w:rFonts w:hint="eastAsia"/>
                <w:kern w:val="2"/>
              </w:rPr>
              <w:t>每日</w:t>
            </w:r>
            <w:r>
              <w:rPr>
                <w:kern w:val="2"/>
              </w:rPr>
              <w:t>采样不少于</w:t>
            </w:r>
            <w:r>
              <w:rPr>
                <w:rFonts w:hint="eastAsia"/>
                <w:kern w:val="2"/>
              </w:rPr>
              <w:t>20小时</w:t>
            </w:r>
          </w:p>
        </w:tc>
      </w:tr>
      <w:tr w14:paraId="6D6C6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728" w:type="pct"/>
            <w:vMerge w:val="restart"/>
            <w:vAlign w:val="center"/>
          </w:tcPr>
          <w:p w14:paraId="3DD63751">
            <w:pPr>
              <w:pStyle w:val="75"/>
              <w:rPr>
                <w:kern w:val="2"/>
              </w:rPr>
            </w:pPr>
            <w:r>
              <w:rPr>
                <w:rFonts w:hint="eastAsia"/>
                <w:kern w:val="2"/>
              </w:rPr>
              <w:t>氮氧化物</w:t>
            </w:r>
          </w:p>
        </w:tc>
        <w:tc>
          <w:tcPr>
            <w:tcW w:w="854" w:type="pct"/>
            <w:vAlign w:val="center"/>
          </w:tcPr>
          <w:p w14:paraId="5E14FE8F">
            <w:pPr>
              <w:pStyle w:val="75"/>
              <w:rPr>
                <w:kern w:val="2"/>
              </w:rPr>
            </w:pPr>
            <w:r>
              <w:rPr>
                <w:rFonts w:hint="eastAsia"/>
                <w:kern w:val="2"/>
              </w:rPr>
              <w:t>1h浓度值</w:t>
            </w:r>
          </w:p>
        </w:tc>
        <w:tc>
          <w:tcPr>
            <w:tcW w:w="3416" w:type="pct"/>
            <w:vAlign w:val="center"/>
          </w:tcPr>
          <w:p w14:paraId="66768F82">
            <w:pPr>
              <w:pStyle w:val="75"/>
              <w:rPr>
                <w:kern w:val="2"/>
              </w:rPr>
            </w:pPr>
            <w:r>
              <w:rPr>
                <w:kern w:val="2"/>
              </w:rPr>
              <w:t>连续监测</w:t>
            </w:r>
            <w:r>
              <w:rPr>
                <w:rFonts w:hint="eastAsia"/>
                <w:kern w:val="2"/>
              </w:rPr>
              <w:t>7</w:t>
            </w:r>
            <w:r>
              <w:rPr>
                <w:kern w:val="2"/>
              </w:rPr>
              <w:t>天，每天</w:t>
            </w:r>
            <w:r>
              <w:rPr>
                <w:rFonts w:hint="eastAsia"/>
                <w:kern w:val="2"/>
              </w:rPr>
              <w:t>02、08、14、20时采样4次，每次采样时间不少于45min，取每次监测时段的1h浓度值</w:t>
            </w:r>
          </w:p>
        </w:tc>
      </w:tr>
      <w:tr w14:paraId="5E72BD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14:paraId="73BC73BA">
            <w:pPr>
              <w:pStyle w:val="75"/>
              <w:rPr>
                <w:kern w:val="2"/>
              </w:rPr>
            </w:pPr>
          </w:p>
        </w:tc>
        <w:tc>
          <w:tcPr>
            <w:tcW w:w="854" w:type="pct"/>
            <w:vAlign w:val="center"/>
          </w:tcPr>
          <w:p w14:paraId="1FB0AE6B">
            <w:pPr>
              <w:pStyle w:val="75"/>
              <w:rPr>
                <w:kern w:val="2"/>
              </w:rPr>
            </w:pPr>
            <w:r>
              <w:rPr>
                <w:rFonts w:hint="eastAsia"/>
                <w:kern w:val="2"/>
              </w:rPr>
              <w:t>日均值</w:t>
            </w:r>
          </w:p>
        </w:tc>
        <w:tc>
          <w:tcPr>
            <w:tcW w:w="3416" w:type="pct"/>
            <w:vAlign w:val="center"/>
          </w:tcPr>
          <w:p w14:paraId="581FFE7C">
            <w:pPr>
              <w:pStyle w:val="75"/>
              <w:rPr>
                <w:kern w:val="2"/>
              </w:rPr>
            </w:pPr>
            <w:r>
              <w:rPr>
                <w:kern w:val="2"/>
              </w:rPr>
              <w:t>连续监测</w:t>
            </w:r>
            <w:r>
              <w:rPr>
                <w:rFonts w:hint="eastAsia"/>
                <w:kern w:val="2"/>
              </w:rPr>
              <w:t>7</w:t>
            </w:r>
            <w:r>
              <w:rPr>
                <w:kern w:val="2"/>
              </w:rPr>
              <w:t>天，</w:t>
            </w:r>
            <w:r>
              <w:rPr>
                <w:rFonts w:hint="eastAsia"/>
                <w:kern w:val="2"/>
              </w:rPr>
              <w:t>每日</w:t>
            </w:r>
            <w:r>
              <w:rPr>
                <w:kern w:val="2"/>
              </w:rPr>
              <w:t>采样不少于</w:t>
            </w:r>
            <w:r>
              <w:rPr>
                <w:rFonts w:hint="eastAsia"/>
                <w:kern w:val="2"/>
              </w:rPr>
              <w:t>20小时</w:t>
            </w:r>
          </w:p>
        </w:tc>
      </w:tr>
      <w:tr w14:paraId="2B263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Align w:val="center"/>
          </w:tcPr>
          <w:p w14:paraId="0B22C3FD">
            <w:pPr>
              <w:pStyle w:val="75"/>
              <w:rPr>
                <w:kern w:val="2"/>
              </w:rPr>
            </w:pPr>
            <w:r>
              <w:rPr>
                <w:rFonts w:hint="eastAsia"/>
                <w:kern w:val="2"/>
              </w:rPr>
              <w:t>氨</w:t>
            </w:r>
          </w:p>
        </w:tc>
        <w:tc>
          <w:tcPr>
            <w:tcW w:w="854" w:type="pct"/>
            <w:vAlign w:val="center"/>
          </w:tcPr>
          <w:p w14:paraId="4FC56FE4">
            <w:pPr>
              <w:pStyle w:val="75"/>
              <w:rPr>
                <w:kern w:val="2"/>
              </w:rPr>
            </w:pPr>
            <w:r>
              <w:rPr>
                <w:rFonts w:hint="eastAsia"/>
                <w:kern w:val="2"/>
              </w:rPr>
              <w:t>1h浓度值</w:t>
            </w:r>
          </w:p>
        </w:tc>
        <w:tc>
          <w:tcPr>
            <w:tcW w:w="3416" w:type="pct"/>
            <w:vAlign w:val="center"/>
          </w:tcPr>
          <w:p w14:paraId="64625365">
            <w:pPr>
              <w:pStyle w:val="75"/>
              <w:rPr>
                <w:kern w:val="2"/>
              </w:rPr>
            </w:pPr>
            <w:r>
              <w:rPr>
                <w:kern w:val="2"/>
              </w:rPr>
              <w:t>连续监测</w:t>
            </w:r>
            <w:r>
              <w:rPr>
                <w:rFonts w:hint="eastAsia"/>
                <w:kern w:val="2"/>
              </w:rPr>
              <w:t>7</w:t>
            </w:r>
            <w:r>
              <w:rPr>
                <w:kern w:val="2"/>
              </w:rPr>
              <w:t>天，每天</w:t>
            </w:r>
            <w:r>
              <w:rPr>
                <w:rFonts w:hint="eastAsia"/>
                <w:kern w:val="2"/>
              </w:rPr>
              <w:t>02、08、14、20时采样4次，每次采样时间不少于45min，取每次监测时段的1h浓度值</w:t>
            </w:r>
          </w:p>
        </w:tc>
      </w:tr>
      <w:tr w14:paraId="2FCDAF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Align w:val="center"/>
          </w:tcPr>
          <w:p w14:paraId="6740AC84">
            <w:pPr>
              <w:pStyle w:val="75"/>
              <w:rPr>
                <w:kern w:val="2"/>
              </w:rPr>
            </w:pPr>
            <w:r>
              <w:rPr>
                <w:rFonts w:hint="eastAsia"/>
                <w:kern w:val="2"/>
              </w:rPr>
              <w:t>硫化氢</w:t>
            </w:r>
          </w:p>
        </w:tc>
        <w:tc>
          <w:tcPr>
            <w:tcW w:w="854" w:type="pct"/>
            <w:vAlign w:val="center"/>
          </w:tcPr>
          <w:p w14:paraId="3727292F">
            <w:pPr>
              <w:pStyle w:val="75"/>
              <w:rPr>
                <w:kern w:val="2"/>
              </w:rPr>
            </w:pPr>
            <w:r>
              <w:rPr>
                <w:rFonts w:hint="eastAsia"/>
                <w:kern w:val="2"/>
              </w:rPr>
              <w:t>1h浓度值</w:t>
            </w:r>
          </w:p>
        </w:tc>
        <w:tc>
          <w:tcPr>
            <w:tcW w:w="3416" w:type="pct"/>
            <w:vAlign w:val="center"/>
          </w:tcPr>
          <w:p w14:paraId="7463B2C2">
            <w:pPr>
              <w:pStyle w:val="75"/>
              <w:rPr>
                <w:kern w:val="2"/>
              </w:rPr>
            </w:pPr>
            <w:r>
              <w:rPr>
                <w:kern w:val="2"/>
              </w:rPr>
              <w:t>连续监测</w:t>
            </w:r>
            <w:r>
              <w:rPr>
                <w:rFonts w:hint="eastAsia"/>
                <w:kern w:val="2"/>
              </w:rPr>
              <w:t>7</w:t>
            </w:r>
            <w:r>
              <w:rPr>
                <w:kern w:val="2"/>
              </w:rPr>
              <w:t>天，每天</w:t>
            </w:r>
            <w:r>
              <w:rPr>
                <w:rFonts w:hint="eastAsia"/>
                <w:kern w:val="2"/>
              </w:rPr>
              <w:t>02、08、14、20时采样4次，每次采样时间不少于45min，取每次监测时段的1h浓度值</w:t>
            </w:r>
          </w:p>
        </w:tc>
      </w:tr>
      <w:tr w14:paraId="6DAC2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Align w:val="center"/>
          </w:tcPr>
          <w:p w14:paraId="2CEF545E">
            <w:pPr>
              <w:pStyle w:val="75"/>
              <w:rPr>
                <w:kern w:val="2"/>
              </w:rPr>
            </w:pPr>
            <w:r>
              <w:rPr>
                <w:rFonts w:hint="eastAsia"/>
                <w:kern w:val="2"/>
              </w:rPr>
              <w:t>臭气浓度</w:t>
            </w:r>
          </w:p>
        </w:tc>
        <w:tc>
          <w:tcPr>
            <w:tcW w:w="854" w:type="pct"/>
            <w:vAlign w:val="center"/>
          </w:tcPr>
          <w:p w14:paraId="748453B1">
            <w:pPr>
              <w:pStyle w:val="75"/>
              <w:rPr>
                <w:kern w:val="2"/>
              </w:rPr>
            </w:pPr>
            <w:r>
              <w:rPr>
                <w:rFonts w:hint="eastAsia"/>
                <w:kern w:val="2"/>
              </w:rPr>
              <w:t>1h浓度值</w:t>
            </w:r>
          </w:p>
        </w:tc>
        <w:tc>
          <w:tcPr>
            <w:tcW w:w="3416" w:type="pct"/>
            <w:vAlign w:val="center"/>
          </w:tcPr>
          <w:p w14:paraId="138B9A53">
            <w:pPr>
              <w:pStyle w:val="75"/>
              <w:rPr>
                <w:kern w:val="2"/>
              </w:rPr>
            </w:pPr>
            <w:r>
              <w:rPr>
                <w:kern w:val="2"/>
              </w:rPr>
              <w:t>连续监测</w:t>
            </w:r>
            <w:r>
              <w:rPr>
                <w:rFonts w:hint="eastAsia"/>
                <w:kern w:val="2"/>
              </w:rPr>
              <w:t>7</w:t>
            </w:r>
            <w:r>
              <w:rPr>
                <w:kern w:val="2"/>
              </w:rPr>
              <w:t>天，每天</w:t>
            </w:r>
            <w:r>
              <w:rPr>
                <w:rFonts w:hint="eastAsia"/>
                <w:kern w:val="2"/>
              </w:rPr>
              <w:t>02、08、14、20时采样4次，每次采样时间不少于45min，取每次监测时段的1h浓度值</w:t>
            </w:r>
          </w:p>
        </w:tc>
      </w:tr>
    </w:tbl>
    <w:p w14:paraId="171A21A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4.2.2.4监测分析方法</w:t>
      </w:r>
    </w:p>
    <w:p w14:paraId="60894F24">
      <w:pPr>
        <w:pStyle w:val="72"/>
      </w:pPr>
      <w:r>
        <w:rPr>
          <w:rFonts w:hint="eastAsia"/>
        </w:rPr>
        <w:t>环境空气监测中的采样点、采样环境、采样高度及采样频率的要求，按《环境监测技术规范》（大气部分）和</w:t>
      </w:r>
      <w:r>
        <w:t>《</w:t>
      </w:r>
      <w:r>
        <w:rPr>
          <w:rFonts w:hint="eastAsia"/>
        </w:rPr>
        <w:t>空气和废气监测分析方法</w:t>
      </w:r>
      <w:r>
        <w:t>》</w:t>
      </w:r>
      <w:r>
        <w:rPr>
          <w:rFonts w:hint="eastAsia"/>
        </w:rPr>
        <w:t>执行。各项监测因子分析方法见下表。</w:t>
      </w:r>
    </w:p>
    <w:p w14:paraId="0EAE0B9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4.2-4</w:t>
      </w:r>
      <w:r>
        <w:rPr>
          <w:rFonts w:hint="eastAsia"/>
        </w:rPr>
        <w:t xml:space="preserve">    环境空气监测分析方法一览表</w:t>
      </w:r>
    </w:p>
    <w:tbl>
      <w:tblPr>
        <w:tblStyle w:val="39"/>
        <w:tblW w:w="836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83"/>
        <w:gridCol w:w="3118"/>
        <w:gridCol w:w="2448"/>
        <w:gridCol w:w="1813"/>
      </w:tblGrid>
      <w:tr w14:paraId="4BCB24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blHeader/>
        </w:trPr>
        <w:tc>
          <w:tcPr>
            <w:tcW w:w="983" w:type="dxa"/>
            <w:vAlign w:val="center"/>
          </w:tcPr>
          <w:p w14:paraId="460089AF">
            <w:pPr>
              <w:pStyle w:val="81"/>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p>
        </w:tc>
        <w:tc>
          <w:tcPr>
            <w:tcW w:w="3118" w:type="dxa"/>
            <w:vAlign w:val="center"/>
          </w:tcPr>
          <w:p w14:paraId="1DAEDDE3">
            <w:pPr>
              <w:pStyle w:val="81"/>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检测</w:t>
            </w:r>
            <w:r>
              <w:rPr>
                <w:rFonts w:hint="eastAsia"/>
                <w:color w:val="000000" w:themeColor="text1"/>
                <w14:textFill>
                  <w14:solidFill>
                    <w14:schemeClr w14:val="tx1"/>
                  </w14:solidFill>
                </w14:textFill>
              </w:rPr>
              <w:t>分析方法</w:t>
            </w:r>
          </w:p>
        </w:tc>
        <w:tc>
          <w:tcPr>
            <w:tcW w:w="2448" w:type="dxa"/>
            <w:vAlign w:val="center"/>
          </w:tcPr>
          <w:p w14:paraId="588302BD">
            <w:pPr>
              <w:pStyle w:val="81"/>
              <w:rPr>
                <w:color w:val="000000" w:themeColor="text1"/>
                <w14:textFill>
                  <w14:solidFill>
                    <w14:schemeClr w14:val="tx1"/>
                  </w14:solidFill>
                </w14:textFill>
              </w:rPr>
            </w:pPr>
            <w:r>
              <w:rPr>
                <w:rFonts w:hint="eastAsia"/>
                <w:color w:val="000000" w:themeColor="text1"/>
                <w14:textFill>
                  <w14:solidFill>
                    <w14:schemeClr w14:val="tx1"/>
                  </w14:solidFill>
                </w14:textFill>
              </w:rPr>
              <w:t>方法来源</w:t>
            </w:r>
          </w:p>
        </w:tc>
        <w:tc>
          <w:tcPr>
            <w:tcW w:w="1813" w:type="dxa"/>
            <w:vAlign w:val="center"/>
          </w:tcPr>
          <w:p w14:paraId="350CEC1F">
            <w:pPr>
              <w:pStyle w:val="81"/>
              <w:rPr>
                <w:color w:val="000000" w:themeColor="text1"/>
                <w14:textFill>
                  <w14:solidFill>
                    <w14:schemeClr w14:val="tx1"/>
                  </w14:solidFill>
                </w14:textFill>
              </w:rPr>
            </w:pPr>
            <w:r>
              <w:rPr>
                <w:rFonts w:hint="eastAsia"/>
                <w:color w:val="000000" w:themeColor="text1"/>
                <w14:textFill>
                  <w14:solidFill>
                    <w14:schemeClr w14:val="tx1"/>
                  </w14:solidFill>
                </w14:textFill>
              </w:rPr>
              <w:t>检出限</w:t>
            </w:r>
          </w:p>
        </w:tc>
      </w:tr>
      <w:tr w14:paraId="2784E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83" w:type="dxa"/>
            <w:vAlign w:val="center"/>
          </w:tcPr>
          <w:p w14:paraId="6CB83F23">
            <w:pPr>
              <w:pStyle w:val="75"/>
              <w:rPr>
                <w:color w:val="000000" w:themeColor="text1"/>
                <w14:textFill>
                  <w14:solidFill>
                    <w14:schemeClr w14:val="tx1"/>
                  </w14:solidFill>
                </w14:textFill>
              </w:rPr>
            </w:pPr>
            <w:r>
              <w:rPr>
                <w:color w:val="000000" w:themeColor="text1"/>
                <w14:textFill>
                  <w14:solidFill>
                    <w14:schemeClr w14:val="tx1"/>
                  </w14:solidFill>
                </w14:textFill>
              </w:rPr>
              <w:t>硫酸雾</w:t>
            </w:r>
          </w:p>
        </w:tc>
        <w:tc>
          <w:tcPr>
            <w:tcW w:w="3118" w:type="dxa"/>
            <w:vAlign w:val="center"/>
          </w:tcPr>
          <w:p w14:paraId="0B9FE030">
            <w:pPr>
              <w:pStyle w:val="185"/>
              <w:keepNext w:val="0"/>
              <w:keepLines w:val="0"/>
              <w:pageBreakBefore w:val="0"/>
              <w:widowControl w:val="0"/>
              <w:kinsoku/>
              <w:wordWrap/>
              <w:overflowPunct/>
              <w:topLinePunct w:val="0"/>
              <w:autoSpaceDE/>
              <w:autoSpaceDN/>
              <w:bidi w:val="0"/>
              <w:adjustRightInd/>
              <w:snapToGrid/>
              <w:spacing w:line="240" w:lineRule="auto"/>
              <w:ind w:left="66" w:leftChars="0" w:firstLine="0" w:firstLineChars="0"/>
              <w:jc w:val="center"/>
              <w:textAlignment w:val="auto"/>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固定污染源废气 硫酸雾的测定离子色谱法 HJ 544-2016</w:t>
            </w:r>
          </w:p>
        </w:tc>
        <w:tc>
          <w:tcPr>
            <w:tcW w:w="2448" w:type="dxa"/>
            <w:vAlign w:val="center"/>
          </w:tcPr>
          <w:p w14:paraId="072BC8FC">
            <w:pPr>
              <w:keepNext w:val="0"/>
              <w:keepLines w:val="0"/>
              <w:pageBreakBefore w:val="0"/>
              <w:kinsoku/>
              <w:wordWrap/>
              <w:overflowPunct/>
              <w:topLinePunct w:val="0"/>
              <w:bidi w:val="0"/>
              <w:spacing w:line="240" w:lineRule="auto"/>
              <w:ind w:firstLine="0" w:firstLineChars="0"/>
              <w:jc w:val="center"/>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PIC-10离子色谱仪BZX/YQ-014</w:t>
            </w:r>
          </w:p>
        </w:tc>
        <w:tc>
          <w:tcPr>
            <w:tcW w:w="1813" w:type="dxa"/>
            <w:vAlign w:val="center"/>
          </w:tcPr>
          <w:p w14:paraId="5CCF8841">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0.005</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mg/m</w:t>
            </w:r>
            <w:r>
              <w:rPr>
                <w:rFonts w:hint="default"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3</w:t>
            </w:r>
          </w:p>
        </w:tc>
      </w:tr>
      <w:tr w14:paraId="4630DC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83" w:type="dxa"/>
            <w:vAlign w:val="center"/>
          </w:tcPr>
          <w:p w14:paraId="637D002B">
            <w:pPr>
              <w:pStyle w:val="75"/>
              <w:keepNext w:val="0"/>
              <w:keepLines w:val="0"/>
              <w:pageBreakBefore w:val="0"/>
              <w:kinsoku/>
              <w:wordWrap/>
              <w:overflowPunct/>
              <w:topLinePunct w:val="0"/>
              <w:autoSpaceDE/>
              <w:autoSpaceDN/>
              <w:bidi w:val="0"/>
              <w:adjustRightInd/>
              <w:snapToGrid/>
              <w:ind w:firstLine="0" w:firstLineChars="0"/>
              <w:rPr>
                <w:color w:val="000000" w:themeColor="text1"/>
                <w14:textFill>
                  <w14:solidFill>
                    <w14:schemeClr w14:val="tx1"/>
                  </w14:solidFill>
                </w14:textFill>
              </w:rPr>
            </w:pPr>
            <w:r>
              <w:rPr>
                <w:rFonts w:hint="eastAsia"/>
                <w:color w:val="000000" w:themeColor="text1"/>
                <w:kern w:val="2"/>
                <w14:textFill>
                  <w14:solidFill>
                    <w14:schemeClr w14:val="tx1"/>
                  </w14:solidFill>
                </w14:textFill>
              </w:rPr>
              <w:t>氮氧化物</w:t>
            </w:r>
          </w:p>
        </w:tc>
        <w:tc>
          <w:tcPr>
            <w:tcW w:w="3118" w:type="dxa"/>
            <w:vAlign w:val="center"/>
          </w:tcPr>
          <w:p w14:paraId="6AF5BB97">
            <w:pPr>
              <w:pStyle w:val="185"/>
              <w:keepNext w:val="0"/>
              <w:keepLines w:val="0"/>
              <w:pageBreakBefore w:val="0"/>
              <w:widowControl w:val="0"/>
              <w:kinsoku/>
              <w:wordWrap/>
              <w:overflowPunct/>
              <w:topLinePunct w:val="0"/>
              <w:autoSpaceDE/>
              <w:autoSpaceDN/>
              <w:bidi w:val="0"/>
              <w:adjustRightInd/>
              <w:snapToGrid/>
              <w:spacing w:line="240" w:lineRule="auto"/>
              <w:ind w:left="44" w:firstLine="0" w:firstLineChars="0"/>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环境空气 氮氧化物（一氧化氮和二氧化氮） 的测定 盐酸萘乙二胺分光光度法及修改单</w:t>
            </w:r>
          </w:p>
          <w:p w14:paraId="1578BAA8">
            <w:pPr>
              <w:pStyle w:val="185"/>
              <w:keepNext w:val="0"/>
              <w:keepLines w:val="0"/>
              <w:pageBreakBefore w:val="0"/>
              <w:widowControl w:val="0"/>
              <w:kinsoku/>
              <w:wordWrap/>
              <w:overflowPunct/>
              <w:topLinePunct w:val="0"/>
              <w:autoSpaceDE/>
              <w:autoSpaceDN/>
              <w:bidi w:val="0"/>
              <w:adjustRightInd/>
              <w:snapToGrid/>
              <w:spacing w:line="240" w:lineRule="auto"/>
              <w:ind w:left="44" w:leftChars="0" w:firstLine="0" w:firstLineChars="0"/>
              <w:jc w:val="center"/>
              <w:textAlignment w:val="auto"/>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HJ 479-2009/XG1-2018</w:t>
            </w:r>
          </w:p>
        </w:tc>
        <w:tc>
          <w:tcPr>
            <w:tcW w:w="2448" w:type="dxa"/>
            <w:vAlign w:val="center"/>
          </w:tcPr>
          <w:p w14:paraId="394747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T6新世纪紫外可见分光光度计BZX/YQ-012</w:t>
            </w:r>
          </w:p>
        </w:tc>
        <w:tc>
          <w:tcPr>
            <w:tcW w:w="1813" w:type="dxa"/>
            <w:vAlign w:val="center"/>
          </w:tcPr>
          <w:p w14:paraId="11641B3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1小时值：0.005mg/m</w:t>
            </w:r>
            <w:r>
              <w:rPr>
                <w:rFonts w:hint="default"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3</w:t>
            </w:r>
          </w:p>
          <w:p w14:paraId="43B83299">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日</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均值：0.003mg/m</w:t>
            </w:r>
            <w:r>
              <w:rPr>
                <w:rFonts w:hint="default"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3</w:t>
            </w:r>
          </w:p>
        </w:tc>
      </w:tr>
      <w:tr w14:paraId="4838BF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83" w:type="dxa"/>
            <w:vAlign w:val="center"/>
          </w:tcPr>
          <w:p w14:paraId="69A70CA1">
            <w:pPr>
              <w:pStyle w:val="75"/>
              <w:rPr>
                <w:color w:val="000000" w:themeColor="text1"/>
                <w14:textFill>
                  <w14:solidFill>
                    <w14:schemeClr w14:val="tx1"/>
                  </w14:solidFill>
                </w14:textFill>
              </w:rPr>
            </w:pPr>
            <w:r>
              <w:rPr>
                <w:rFonts w:hint="eastAsia"/>
                <w:color w:val="000000" w:themeColor="text1"/>
                <w:kern w:val="2"/>
                <w14:textFill>
                  <w14:solidFill>
                    <w14:schemeClr w14:val="tx1"/>
                  </w14:solidFill>
                </w14:textFill>
              </w:rPr>
              <w:t>氨</w:t>
            </w:r>
          </w:p>
        </w:tc>
        <w:tc>
          <w:tcPr>
            <w:tcW w:w="3118" w:type="dxa"/>
            <w:vAlign w:val="center"/>
          </w:tcPr>
          <w:p w14:paraId="489C6982">
            <w:pPr>
              <w:pStyle w:val="75"/>
              <w:keepNext w:val="0"/>
              <w:keepLines w:val="0"/>
              <w:pageBreakBefore w:val="0"/>
              <w:kinsoku/>
              <w:wordWrap/>
              <w:overflowPunct/>
              <w:topLinePunct w:val="0"/>
              <w:bidi w:val="0"/>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环境空气和废气 氮的测定 纳氏试剂分光光度法 HJ533-2009</w:t>
            </w:r>
          </w:p>
        </w:tc>
        <w:tc>
          <w:tcPr>
            <w:tcW w:w="2448" w:type="dxa"/>
            <w:vAlign w:val="center"/>
          </w:tcPr>
          <w:p w14:paraId="338885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color w:val="000000" w:themeColor="text1"/>
                <w:sz w:val="21"/>
                <w:szCs w:val="21"/>
                <w14:textFill>
                  <w14:solidFill>
                    <w14:schemeClr w14:val="tx1"/>
                  </w14:solidFill>
                </w14:textFill>
              </w:rPr>
            </w:pPr>
            <w:r>
              <w:rPr>
                <w:rFonts w:hint="default" w:ascii="Times New Roman" w:hAnsi="Times New Roman" w:cs="Times New Roman"/>
                <w:sz w:val="21"/>
                <w:szCs w:val="21"/>
                <w:highlight w:val="none"/>
              </w:rPr>
              <w:t>T6新世纪紫外可见分光光度计BZX/YQ-012</w:t>
            </w:r>
          </w:p>
        </w:tc>
        <w:tc>
          <w:tcPr>
            <w:tcW w:w="1813" w:type="dxa"/>
            <w:vAlign w:val="center"/>
          </w:tcPr>
          <w:p w14:paraId="17663C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color w:val="000000" w:themeColor="text1"/>
                <w:sz w:val="21"/>
                <w:szCs w:val="21"/>
                <w14:textFill>
                  <w14:solidFill>
                    <w14:schemeClr w14:val="tx1"/>
                  </w14:solidFill>
                </w14:textFill>
              </w:rPr>
            </w:pPr>
            <w:r>
              <w:rPr>
                <w:rFonts w:hint="default" w:ascii="Times New Roman" w:hAnsi="Times New Roman" w:cs="Times New Roman"/>
                <w:sz w:val="21"/>
                <w:szCs w:val="21"/>
                <w:highlight w:val="none"/>
              </w:rPr>
              <w:t>0.0</w:t>
            </w:r>
            <w:r>
              <w:rPr>
                <w:rFonts w:hint="default" w:ascii="Times New Roman" w:hAnsi="Times New Roman" w:cs="Times New Roman"/>
                <w:sz w:val="21"/>
                <w:szCs w:val="21"/>
                <w:highlight w:val="none"/>
                <w:lang w:val="en-US" w:eastAsia="zh-CN"/>
              </w:rPr>
              <w:t>1</w:t>
            </w:r>
            <w:r>
              <w:rPr>
                <w:rFonts w:hint="default" w:ascii="Times New Roman" w:hAnsi="Times New Roman" w:cs="Times New Roman"/>
                <w:sz w:val="21"/>
                <w:szCs w:val="21"/>
                <w:highlight w:val="none"/>
              </w:rPr>
              <w:t>mg/m</w:t>
            </w:r>
            <w:r>
              <w:rPr>
                <w:rFonts w:hint="default" w:ascii="Times New Roman" w:hAnsi="Times New Roman" w:cs="Times New Roman"/>
                <w:sz w:val="21"/>
                <w:szCs w:val="21"/>
                <w:highlight w:val="none"/>
                <w:vertAlign w:val="superscript"/>
              </w:rPr>
              <w:t>3</w:t>
            </w:r>
          </w:p>
        </w:tc>
      </w:tr>
      <w:tr w14:paraId="7B3E0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83" w:type="dxa"/>
            <w:vAlign w:val="center"/>
          </w:tcPr>
          <w:p w14:paraId="4126D7E1">
            <w:pPr>
              <w:pStyle w:val="75"/>
              <w:rPr>
                <w:color w:val="000000" w:themeColor="text1"/>
                <w14:textFill>
                  <w14:solidFill>
                    <w14:schemeClr w14:val="tx1"/>
                  </w14:solidFill>
                </w14:textFill>
              </w:rPr>
            </w:pPr>
            <w:r>
              <w:rPr>
                <w:rFonts w:hint="eastAsia"/>
                <w:color w:val="000000" w:themeColor="text1"/>
                <w:kern w:val="2"/>
                <w14:textFill>
                  <w14:solidFill>
                    <w14:schemeClr w14:val="tx1"/>
                  </w14:solidFill>
                </w14:textFill>
              </w:rPr>
              <w:t>硫化氢</w:t>
            </w:r>
          </w:p>
        </w:tc>
        <w:tc>
          <w:tcPr>
            <w:tcW w:w="3118" w:type="dxa"/>
            <w:vAlign w:val="center"/>
          </w:tcPr>
          <w:p w14:paraId="0A349B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硫化氢 亚甲基蓝分光光度法 《空气和废气监测分析方法》第四版增补版国 家环境保护总局（2003年）3.1.11.2</w:t>
            </w:r>
          </w:p>
        </w:tc>
        <w:tc>
          <w:tcPr>
            <w:tcW w:w="2448" w:type="dxa"/>
            <w:vAlign w:val="center"/>
          </w:tcPr>
          <w:p w14:paraId="1F49986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T6新世纪紫外可见分光光度计BZX/YQ-012</w:t>
            </w:r>
          </w:p>
        </w:tc>
        <w:tc>
          <w:tcPr>
            <w:tcW w:w="1813" w:type="dxa"/>
            <w:vAlign w:val="center"/>
          </w:tcPr>
          <w:p w14:paraId="6568A99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0.001mg/m</w:t>
            </w:r>
            <w:r>
              <w:rPr>
                <w:rFonts w:hint="default"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3</w:t>
            </w:r>
          </w:p>
        </w:tc>
      </w:tr>
      <w:tr w14:paraId="04B1FC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83" w:type="dxa"/>
            <w:vAlign w:val="center"/>
          </w:tcPr>
          <w:p w14:paraId="0D4DBB80">
            <w:pPr>
              <w:pStyle w:val="75"/>
              <w:rPr>
                <w:color w:val="000000" w:themeColor="text1"/>
                <w14:textFill>
                  <w14:solidFill>
                    <w14:schemeClr w14:val="tx1"/>
                  </w14:solidFill>
                </w14:textFill>
              </w:rPr>
            </w:pPr>
            <w:r>
              <w:rPr>
                <w:rFonts w:hint="eastAsia"/>
                <w:color w:val="000000" w:themeColor="text1"/>
                <w14:textFill>
                  <w14:solidFill>
                    <w14:schemeClr w14:val="tx1"/>
                  </w14:solidFill>
                </w14:textFill>
              </w:rPr>
              <w:t>臭气浓度</w:t>
            </w:r>
          </w:p>
        </w:tc>
        <w:tc>
          <w:tcPr>
            <w:tcW w:w="3118" w:type="dxa"/>
            <w:vAlign w:val="center"/>
          </w:tcPr>
          <w:p w14:paraId="7A1ED565">
            <w:pPr>
              <w:pStyle w:val="126"/>
              <w:keepNext w:val="0"/>
              <w:keepLines w:val="0"/>
              <w:pageBreakBefore w:val="0"/>
              <w:kinsoku/>
              <w:wordWrap/>
              <w:overflowPunct/>
              <w:topLinePunct w:val="0"/>
              <w:bidi w:val="0"/>
              <w:spacing w:line="278" w:lineRule="exact"/>
              <w:ind w:left="8" w:leftChars="0" w:firstLine="0" w:firstLine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环境空气和废气 臭气</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的测定三点比较式臭袋法</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HJ</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 xml:space="preserve"> 1</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262</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2022</w:t>
            </w:r>
          </w:p>
        </w:tc>
        <w:tc>
          <w:tcPr>
            <w:tcW w:w="2448" w:type="dxa"/>
            <w:vAlign w:val="center"/>
          </w:tcPr>
          <w:p w14:paraId="0BED70DE">
            <w:pPr>
              <w:keepNext w:val="0"/>
              <w:keepLines w:val="0"/>
              <w:pageBreakBefore w:val="0"/>
              <w:kinsoku/>
              <w:wordWrap/>
              <w:overflowPunct/>
              <w:topLinePunct w:val="0"/>
              <w:bidi w:val="0"/>
              <w:ind w:firstLine="0" w:firstLine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p>
        </w:tc>
        <w:tc>
          <w:tcPr>
            <w:tcW w:w="1813" w:type="dxa"/>
            <w:vAlign w:val="center"/>
          </w:tcPr>
          <w:p w14:paraId="2F0F9A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10（无量纲）</w:t>
            </w:r>
          </w:p>
        </w:tc>
      </w:tr>
    </w:tbl>
    <w:p w14:paraId="311D4897">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 xml:space="preserve">4.2.2.5评价标准 </w:t>
      </w:r>
    </w:p>
    <w:p w14:paraId="4B76A0AC">
      <w:pPr>
        <w:keepNext w:val="0"/>
        <w:keepLines w:val="0"/>
        <w:pageBreakBefore w:val="0"/>
        <w:widowControl w:val="0"/>
        <w:kinsoku/>
        <w:wordWrap/>
        <w:overflowPunct/>
        <w:topLinePunct w:val="0"/>
        <w:autoSpaceDE/>
        <w:autoSpaceDN/>
        <w:bidi w:val="0"/>
        <w:ind w:firstLine="480"/>
      </w:pPr>
      <w:r>
        <w:rPr>
          <w:rFonts w:hint="eastAsia"/>
        </w:rPr>
        <w:t>本次评价</w:t>
      </w:r>
      <w:r>
        <w:t>硫酸雾</w:t>
      </w:r>
      <w:r>
        <w:rPr>
          <w:rFonts w:hint="eastAsia"/>
        </w:rPr>
        <w:t xml:space="preserve">、氨、硫化氢执行《环境影响评价技术导则 </w:t>
      </w:r>
      <w:r>
        <w:t xml:space="preserve"> </w:t>
      </w:r>
      <w:r>
        <w:rPr>
          <w:rFonts w:hint="eastAsia"/>
        </w:rPr>
        <w:t>大气环境》（HJ2.2-2018）附录D的标准要求，氮氧化物执行《环境空气质量标准》（GB3095-2012）二级标准及2018修改单内容的标准要求。浓度标准限值见下表。</w:t>
      </w:r>
    </w:p>
    <w:p w14:paraId="20FEBBD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表4</w:t>
      </w:r>
      <w:r>
        <w:rPr>
          <w:rFonts w:hint="eastAsia"/>
          <w:lang w:val="en-US" w:eastAsia="zh-CN"/>
        </w:rPr>
        <w:t>.2</w:t>
      </w:r>
      <w:r>
        <w:rPr>
          <w:rFonts w:hint="eastAsia"/>
        </w:rPr>
        <w:t>-</w:t>
      </w:r>
      <w:r>
        <w:rPr>
          <w:rFonts w:hint="eastAsia"/>
          <w:lang w:val="en-US" w:eastAsia="zh-CN"/>
        </w:rPr>
        <w:t>5</w:t>
      </w:r>
      <w:r>
        <w:rPr>
          <w:rFonts w:hint="eastAsia"/>
        </w:rPr>
        <w:t xml:space="preserve">    环境空气质量评价标准</w:t>
      </w:r>
    </w:p>
    <w:tbl>
      <w:tblPr>
        <w:tblStyle w:val="3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961"/>
        <w:gridCol w:w="1701"/>
        <w:gridCol w:w="3169"/>
      </w:tblGrid>
      <w:tr w14:paraId="51E347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Align w:val="center"/>
          </w:tcPr>
          <w:p w14:paraId="67788995">
            <w:pPr>
              <w:pStyle w:val="81"/>
              <w:rPr>
                <w:color w:val="auto"/>
              </w:rPr>
            </w:pPr>
            <w:r>
              <w:rPr>
                <w:rFonts w:hint="eastAsia"/>
                <w:color w:val="auto"/>
              </w:rPr>
              <w:t>污染物名称</w:t>
            </w:r>
          </w:p>
        </w:tc>
        <w:tc>
          <w:tcPr>
            <w:tcW w:w="1961" w:type="dxa"/>
            <w:vAlign w:val="center"/>
          </w:tcPr>
          <w:p w14:paraId="1643039B">
            <w:pPr>
              <w:pStyle w:val="81"/>
              <w:rPr>
                <w:color w:val="auto"/>
              </w:rPr>
            </w:pPr>
            <w:r>
              <w:rPr>
                <w:rFonts w:hint="eastAsia"/>
                <w:color w:val="auto"/>
              </w:rPr>
              <w:t>取值时间</w:t>
            </w:r>
          </w:p>
        </w:tc>
        <w:tc>
          <w:tcPr>
            <w:tcW w:w="1701" w:type="dxa"/>
            <w:vAlign w:val="center"/>
          </w:tcPr>
          <w:p w14:paraId="23EE090F">
            <w:pPr>
              <w:pStyle w:val="81"/>
              <w:rPr>
                <w:color w:val="auto"/>
              </w:rPr>
            </w:pPr>
            <w:r>
              <w:rPr>
                <w:rFonts w:hint="eastAsia"/>
                <w:color w:val="auto"/>
              </w:rPr>
              <w:t>标准浓度限值</w:t>
            </w:r>
          </w:p>
        </w:tc>
        <w:tc>
          <w:tcPr>
            <w:tcW w:w="3169" w:type="dxa"/>
            <w:vAlign w:val="center"/>
          </w:tcPr>
          <w:p w14:paraId="7DDE3D51">
            <w:pPr>
              <w:pStyle w:val="81"/>
              <w:rPr>
                <w:color w:val="auto"/>
              </w:rPr>
            </w:pPr>
            <w:r>
              <w:rPr>
                <w:rFonts w:hint="eastAsia"/>
                <w:color w:val="auto"/>
              </w:rPr>
              <w:t>标准出处</w:t>
            </w:r>
          </w:p>
        </w:tc>
      </w:tr>
      <w:tr w14:paraId="192FC8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Merge w:val="restart"/>
            <w:vAlign w:val="center"/>
          </w:tcPr>
          <w:p w14:paraId="1739373C">
            <w:pPr>
              <w:pStyle w:val="75"/>
              <w:ind w:firstLine="0" w:firstLineChars="0"/>
            </w:pPr>
            <w:r>
              <w:rPr>
                <w:rFonts w:hint="eastAsia"/>
              </w:rPr>
              <w:t>硫酸雾（硫酸）</w:t>
            </w:r>
          </w:p>
        </w:tc>
        <w:tc>
          <w:tcPr>
            <w:tcW w:w="1961" w:type="dxa"/>
            <w:vAlign w:val="center"/>
          </w:tcPr>
          <w:p w14:paraId="0908C993">
            <w:pPr>
              <w:pStyle w:val="75"/>
              <w:ind w:firstLine="0" w:firstLineChars="0"/>
            </w:pPr>
            <w:r>
              <w:t>1</w:t>
            </w:r>
            <w:r>
              <w:rPr>
                <w:rFonts w:hint="eastAsia"/>
              </w:rPr>
              <w:t>小时平均</w:t>
            </w:r>
          </w:p>
        </w:tc>
        <w:tc>
          <w:tcPr>
            <w:tcW w:w="1701" w:type="dxa"/>
            <w:vAlign w:val="center"/>
          </w:tcPr>
          <w:p w14:paraId="3129B889">
            <w:pPr>
              <w:pStyle w:val="75"/>
              <w:ind w:firstLine="0" w:firstLineChars="0"/>
              <w:rPr>
                <w:highlight w:val="yellow"/>
              </w:rPr>
            </w:pPr>
            <w:r>
              <w:t>0.</w:t>
            </w:r>
            <w:r>
              <w:rPr>
                <w:rFonts w:hint="eastAsia"/>
              </w:rPr>
              <w:t>3</w:t>
            </w:r>
            <w:r>
              <w:t>mg/m</w:t>
            </w:r>
            <w:r>
              <w:rPr>
                <w:vertAlign w:val="superscript"/>
              </w:rPr>
              <w:t>3</w:t>
            </w:r>
          </w:p>
        </w:tc>
        <w:tc>
          <w:tcPr>
            <w:tcW w:w="3169" w:type="dxa"/>
            <w:vMerge w:val="restart"/>
            <w:vAlign w:val="center"/>
          </w:tcPr>
          <w:p w14:paraId="28993916">
            <w:pPr>
              <w:pStyle w:val="75"/>
            </w:pPr>
            <w:r>
              <w:rPr>
                <w:rFonts w:hint="eastAsia"/>
              </w:rPr>
              <w:t xml:space="preserve">《环境影响评价技术导则 </w:t>
            </w:r>
            <w:r>
              <w:t xml:space="preserve"> </w:t>
            </w:r>
            <w:r>
              <w:rPr>
                <w:rFonts w:hint="eastAsia"/>
              </w:rPr>
              <w:t>大气环境》（HJ2.2-2018）附录D</w:t>
            </w:r>
          </w:p>
        </w:tc>
      </w:tr>
      <w:tr w14:paraId="02132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Merge w:val="continue"/>
            <w:vAlign w:val="center"/>
          </w:tcPr>
          <w:p w14:paraId="59220F1F">
            <w:pPr>
              <w:pStyle w:val="75"/>
              <w:ind w:firstLine="0" w:firstLineChars="0"/>
            </w:pPr>
          </w:p>
        </w:tc>
        <w:tc>
          <w:tcPr>
            <w:tcW w:w="1961" w:type="dxa"/>
            <w:vAlign w:val="center"/>
          </w:tcPr>
          <w:p w14:paraId="0AAB0A3B">
            <w:pPr>
              <w:pStyle w:val="75"/>
              <w:ind w:firstLine="0" w:firstLineChars="0"/>
            </w:pPr>
            <w:r>
              <w:rPr>
                <w:rFonts w:hint="eastAsia"/>
              </w:rPr>
              <w:t>日平均</w:t>
            </w:r>
          </w:p>
        </w:tc>
        <w:tc>
          <w:tcPr>
            <w:tcW w:w="1701" w:type="dxa"/>
            <w:vAlign w:val="center"/>
          </w:tcPr>
          <w:p w14:paraId="5EB43779">
            <w:pPr>
              <w:pStyle w:val="75"/>
              <w:ind w:firstLine="0" w:firstLineChars="0"/>
            </w:pPr>
            <w:r>
              <w:t>0.</w:t>
            </w:r>
            <w:r>
              <w:rPr>
                <w:rFonts w:hint="eastAsia"/>
              </w:rPr>
              <w:t>1</w:t>
            </w:r>
            <w:r>
              <w:t>mg/m</w:t>
            </w:r>
            <w:r>
              <w:rPr>
                <w:vertAlign w:val="superscript"/>
              </w:rPr>
              <w:t>3</w:t>
            </w:r>
          </w:p>
        </w:tc>
        <w:tc>
          <w:tcPr>
            <w:tcW w:w="3169" w:type="dxa"/>
            <w:vMerge w:val="continue"/>
            <w:vAlign w:val="center"/>
          </w:tcPr>
          <w:p w14:paraId="42C10615">
            <w:pPr>
              <w:pStyle w:val="75"/>
            </w:pPr>
          </w:p>
        </w:tc>
      </w:tr>
      <w:tr w14:paraId="5E82FD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Align w:val="center"/>
          </w:tcPr>
          <w:p w14:paraId="7E8AAF0F">
            <w:pPr>
              <w:pStyle w:val="75"/>
            </w:pPr>
            <w:r>
              <w:rPr>
                <w:rFonts w:hint="eastAsia"/>
                <w:kern w:val="2"/>
              </w:rPr>
              <w:t>氨</w:t>
            </w:r>
          </w:p>
        </w:tc>
        <w:tc>
          <w:tcPr>
            <w:tcW w:w="1961" w:type="dxa"/>
            <w:vAlign w:val="center"/>
          </w:tcPr>
          <w:p w14:paraId="296ADD38">
            <w:pPr>
              <w:pStyle w:val="75"/>
            </w:pPr>
            <w:r>
              <w:t>1</w:t>
            </w:r>
            <w:r>
              <w:rPr>
                <w:rFonts w:hint="eastAsia"/>
              </w:rPr>
              <w:t>小时平均</w:t>
            </w:r>
          </w:p>
        </w:tc>
        <w:tc>
          <w:tcPr>
            <w:tcW w:w="1701" w:type="dxa"/>
            <w:vAlign w:val="center"/>
          </w:tcPr>
          <w:p w14:paraId="03B5701C">
            <w:pPr>
              <w:pStyle w:val="75"/>
            </w:pPr>
            <w:r>
              <w:rPr>
                <w:rFonts w:hint="eastAsia"/>
              </w:rPr>
              <w:t>0.2</w:t>
            </w:r>
            <w:r>
              <w:t>mg/m</w:t>
            </w:r>
            <w:r>
              <w:rPr>
                <w:vertAlign w:val="superscript"/>
              </w:rPr>
              <w:t>3</w:t>
            </w:r>
          </w:p>
        </w:tc>
        <w:tc>
          <w:tcPr>
            <w:tcW w:w="3169" w:type="dxa"/>
            <w:vMerge w:val="continue"/>
            <w:vAlign w:val="center"/>
          </w:tcPr>
          <w:p w14:paraId="629A8F94">
            <w:pPr>
              <w:pStyle w:val="75"/>
            </w:pPr>
          </w:p>
        </w:tc>
      </w:tr>
      <w:tr w14:paraId="15AE7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Align w:val="center"/>
          </w:tcPr>
          <w:p w14:paraId="7C2FB8F1">
            <w:pPr>
              <w:pStyle w:val="75"/>
            </w:pPr>
            <w:r>
              <w:rPr>
                <w:rFonts w:hint="eastAsia"/>
                <w:kern w:val="2"/>
              </w:rPr>
              <w:t>硫化氢</w:t>
            </w:r>
          </w:p>
        </w:tc>
        <w:tc>
          <w:tcPr>
            <w:tcW w:w="1961" w:type="dxa"/>
            <w:vAlign w:val="center"/>
          </w:tcPr>
          <w:p w14:paraId="4DD6F740">
            <w:pPr>
              <w:pStyle w:val="75"/>
            </w:pPr>
            <w:r>
              <w:t>1</w:t>
            </w:r>
            <w:r>
              <w:rPr>
                <w:rFonts w:hint="eastAsia"/>
              </w:rPr>
              <w:t>小时平均</w:t>
            </w:r>
          </w:p>
        </w:tc>
        <w:tc>
          <w:tcPr>
            <w:tcW w:w="1701" w:type="dxa"/>
            <w:vAlign w:val="center"/>
          </w:tcPr>
          <w:p w14:paraId="4AD83C46">
            <w:pPr>
              <w:pStyle w:val="75"/>
            </w:pPr>
            <w:r>
              <w:rPr>
                <w:rFonts w:hint="eastAsia"/>
              </w:rPr>
              <w:t>0.01</w:t>
            </w:r>
            <w:r>
              <w:t>mg/m</w:t>
            </w:r>
            <w:r>
              <w:rPr>
                <w:vertAlign w:val="superscript"/>
              </w:rPr>
              <w:t>3</w:t>
            </w:r>
          </w:p>
        </w:tc>
        <w:tc>
          <w:tcPr>
            <w:tcW w:w="3169" w:type="dxa"/>
            <w:vMerge w:val="continue"/>
            <w:vAlign w:val="center"/>
          </w:tcPr>
          <w:p w14:paraId="648D2417">
            <w:pPr>
              <w:pStyle w:val="75"/>
            </w:pPr>
          </w:p>
        </w:tc>
      </w:tr>
      <w:tr w14:paraId="2FF773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Merge w:val="restart"/>
            <w:vAlign w:val="center"/>
          </w:tcPr>
          <w:p w14:paraId="2A65313C">
            <w:pPr>
              <w:pStyle w:val="75"/>
              <w:rPr>
                <w:kern w:val="2"/>
              </w:rPr>
            </w:pPr>
            <w:r>
              <w:rPr>
                <w:rFonts w:hint="eastAsia"/>
                <w:kern w:val="2"/>
              </w:rPr>
              <w:t>氮氧化物</w:t>
            </w:r>
          </w:p>
        </w:tc>
        <w:tc>
          <w:tcPr>
            <w:tcW w:w="1961" w:type="dxa"/>
            <w:vAlign w:val="center"/>
          </w:tcPr>
          <w:p w14:paraId="071E8445">
            <w:pPr>
              <w:pStyle w:val="75"/>
            </w:pPr>
            <w:r>
              <w:t>1</w:t>
            </w:r>
            <w:r>
              <w:rPr>
                <w:rFonts w:hint="eastAsia"/>
              </w:rPr>
              <w:t>小时平均</w:t>
            </w:r>
          </w:p>
        </w:tc>
        <w:tc>
          <w:tcPr>
            <w:tcW w:w="1701" w:type="dxa"/>
            <w:vAlign w:val="center"/>
          </w:tcPr>
          <w:p w14:paraId="38C50AC2">
            <w:pPr>
              <w:pStyle w:val="75"/>
            </w:pPr>
            <w:r>
              <w:rPr>
                <w:rFonts w:hint="eastAsia"/>
              </w:rPr>
              <w:t>0.25</w:t>
            </w:r>
            <w:r>
              <w:t>mg/m</w:t>
            </w:r>
            <w:r>
              <w:rPr>
                <w:vertAlign w:val="superscript"/>
              </w:rPr>
              <w:t>3</w:t>
            </w:r>
          </w:p>
        </w:tc>
        <w:tc>
          <w:tcPr>
            <w:tcW w:w="3169" w:type="dxa"/>
            <w:vMerge w:val="restart"/>
            <w:vAlign w:val="center"/>
          </w:tcPr>
          <w:p w14:paraId="7A3A7716">
            <w:pPr>
              <w:pStyle w:val="75"/>
            </w:pPr>
            <w:r>
              <w:rPr>
                <w:rFonts w:hint="eastAsia"/>
              </w:rPr>
              <w:t>《环境空气质量标准》（GB3095-2012）二级标准及2018修改单内容</w:t>
            </w:r>
          </w:p>
        </w:tc>
      </w:tr>
      <w:tr w14:paraId="7FF82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dxa"/>
            <w:vMerge w:val="continue"/>
            <w:vAlign w:val="center"/>
          </w:tcPr>
          <w:p w14:paraId="18474EDA">
            <w:pPr>
              <w:pStyle w:val="75"/>
              <w:rPr>
                <w:kern w:val="2"/>
              </w:rPr>
            </w:pPr>
          </w:p>
        </w:tc>
        <w:tc>
          <w:tcPr>
            <w:tcW w:w="1961" w:type="dxa"/>
            <w:vAlign w:val="center"/>
          </w:tcPr>
          <w:p w14:paraId="02A8C529">
            <w:pPr>
              <w:pStyle w:val="75"/>
            </w:pPr>
            <w:r>
              <w:rPr>
                <w:rFonts w:hint="eastAsia"/>
              </w:rPr>
              <w:t>日均值</w:t>
            </w:r>
          </w:p>
        </w:tc>
        <w:tc>
          <w:tcPr>
            <w:tcW w:w="1701" w:type="dxa"/>
            <w:vAlign w:val="center"/>
          </w:tcPr>
          <w:p w14:paraId="1FA05FB5">
            <w:pPr>
              <w:pStyle w:val="75"/>
            </w:pPr>
            <w:r>
              <w:rPr>
                <w:rFonts w:hint="eastAsia"/>
              </w:rPr>
              <w:t>0.1</w:t>
            </w:r>
            <w:r>
              <w:t>mg/m</w:t>
            </w:r>
            <w:r>
              <w:rPr>
                <w:vertAlign w:val="superscript"/>
              </w:rPr>
              <w:t>3</w:t>
            </w:r>
          </w:p>
        </w:tc>
        <w:tc>
          <w:tcPr>
            <w:tcW w:w="3169" w:type="dxa"/>
            <w:vMerge w:val="continue"/>
            <w:vAlign w:val="center"/>
          </w:tcPr>
          <w:p w14:paraId="668463DE">
            <w:pPr>
              <w:pStyle w:val="75"/>
            </w:pPr>
          </w:p>
        </w:tc>
      </w:tr>
      <w:tr w14:paraId="2B6CEE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2" w:type="dxa"/>
            <w:gridSpan w:val="4"/>
            <w:vAlign w:val="center"/>
          </w:tcPr>
          <w:p w14:paraId="17622688">
            <w:pPr>
              <w:pStyle w:val="75"/>
              <w:jc w:val="left"/>
              <w:rPr>
                <w:bCs/>
              </w:rPr>
            </w:pPr>
            <w:r>
              <w:rPr>
                <w:rFonts w:hint="eastAsia"/>
                <w:bCs/>
              </w:rPr>
              <w:t>注：臭气浓度为无量纲且无环境质量标准，本次仅进行检测不对标评价。</w:t>
            </w:r>
          </w:p>
        </w:tc>
      </w:tr>
    </w:tbl>
    <w:p w14:paraId="59BC60C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 xml:space="preserve">4.2.2.6评价方法 </w:t>
      </w:r>
    </w:p>
    <w:p w14:paraId="2ADA6EDE">
      <w:pPr>
        <w:pStyle w:val="72"/>
      </w:pPr>
      <w:r>
        <w:rPr>
          <w:rFonts w:hint="eastAsia"/>
        </w:rPr>
        <w:t>环境空气质量现状评价方法采用统计监测浓度范围，同时计算其超标率及最大值超标倍数。采用单因子污染指数法进行评价，计算公式如下：</w:t>
      </w:r>
    </w:p>
    <w:p w14:paraId="4AC656B7">
      <w:pPr>
        <w:pStyle w:val="83"/>
        <w:spacing w:before="120" w:after="120"/>
      </w:pPr>
      <w:r>
        <w:t>Pi</w:t>
      </w:r>
      <w:r>
        <w:rPr>
          <w:rFonts w:hint="eastAsia"/>
        </w:rPr>
        <w:t xml:space="preserve"> </w:t>
      </w:r>
      <w:r>
        <w:t>=</w:t>
      </w:r>
      <w:r>
        <w:rPr>
          <w:rFonts w:hint="eastAsia"/>
        </w:rPr>
        <w:t xml:space="preserve"> </w:t>
      </w:r>
      <w:r>
        <w:t>Ci</w:t>
      </w:r>
      <w:r>
        <w:rPr>
          <w:rFonts w:hint="eastAsia"/>
        </w:rPr>
        <w:t xml:space="preserve"> </w:t>
      </w:r>
      <w:r>
        <w:t>/</w:t>
      </w:r>
      <w:r>
        <w:rPr>
          <w:rFonts w:hint="eastAsia"/>
        </w:rPr>
        <w:t xml:space="preserve"> </w:t>
      </w:r>
      <w:r>
        <w:t>Si</w:t>
      </w:r>
    </w:p>
    <w:p w14:paraId="35F98DD6">
      <w:pPr>
        <w:pStyle w:val="72"/>
      </w:pPr>
      <w:r>
        <w:t>Pi</w:t>
      </w:r>
      <w:r>
        <w:rPr>
          <w:rFonts w:hint="eastAsia"/>
        </w:rPr>
        <w:t>：</w:t>
      </w:r>
      <w:r>
        <w:t>i</w:t>
      </w:r>
      <w:r>
        <w:rPr>
          <w:rFonts w:hint="eastAsia"/>
        </w:rPr>
        <w:t>种污染物的单因子污染指数</w:t>
      </w:r>
    </w:p>
    <w:p w14:paraId="41C31F09">
      <w:pPr>
        <w:pStyle w:val="72"/>
      </w:pPr>
      <w:r>
        <w:t>Ci</w:t>
      </w:r>
      <w:r>
        <w:rPr>
          <w:rFonts w:hint="eastAsia"/>
        </w:rPr>
        <w:t>：</w:t>
      </w:r>
      <w:r>
        <w:t>i</w:t>
      </w:r>
      <w:r>
        <w:rPr>
          <w:rFonts w:hint="eastAsia"/>
        </w:rPr>
        <w:t>种污染物的实测浓度（</w:t>
      </w:r>
      <w:r>
        <w:t>μg</w:t>
      </w:r>
      <w:r>
        <w:rPr>
          <w:rFonts w:hint="eastAsia"/>
        </w:rPr>
        <w:t>/m</w:t>
      </w:r>
      <w:r>
        <w:rPr>
          <w:rFonts w:hint="eastAsia"/>
          <w:vertAlign w:val="superscript"/>
        </w:rPr>
        <w:t>3</w:t>
      </w:r>
      <w:r>
        <w:rPr>
          <w:rFonts w:hint="eastAsia"/>
        </w:rPr>
        <w:t>）</w:t>
      </w:r>
    </w:p>
    <w:p w14:paraId="758A835E">
      <w:pPr>
        <w:pStyle w:val="72"/>
      </w:pPr>
      <w:r>
        <w:t>Si</w:t>
      </w:r>
      <w:r>
        <w:rPr>
          <w:rFonts w:hint="eastAsia"/>
        </w:rPr>
        <w:t>：</w:t>
      </w:r>
      <w:r>
        <w:t>i</w:t>
      </w:r>
      <w:r>
        <w:rPr>
          <w:rFonts w:hint="eastAsia"/>
        </w:rPr>
        <w:t>种污染物的评价标准（</w:t>
      </w:r>
      <w:r>
        <w:t>μg</w:t>
      </w:r>
      <w:r>
        <w:rPr>
          <w:rFonts w:hint="eastAsia"/>
        </w:rPr>
        <w:t>/m</w:t>
      </w:r>
      <w:r>
        <w:rPr>
          <w:rFonts w:hint="eastAsia"/>
          <w:vertAlign w:val="superscript"/>
        </w:rPr>
        <w:t>3</w:t>
      </w:r>
      <w:r>
        <w:rPr>
          <w:rFonts w:hint="eastAsia"/>
        </w:rPr>
        <w:t>）</w:t>
      </w:r>
    </w:p>
    <w:p w14:paraId="5DDEAAF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4.2.2.7污染物的评价标准</w:t>
      </w:r>
    </w:p>
    <w:p w14:paraId="42512B95">
      <w:pPr>
        <w:ind w:firstLine="480"/>
      </w:pPr>
      <w:r>
        <w:rPr>
          <w:rFonts w:hint="eastAsia"/>
        </w:rPr>
        <w:t>各污染物浓度监测</w:t>
      </w:r>
      <w:r>
        <w:rPr>
          <w:rFonts w:hint="eastAsia"/>
          <w:bCs/>
        </w:rPr>
        <w:t>数据</w:t>
      </w:r>
      <w:r>
        <w:rPr>
          <w:rFonts w:hint="eastAsia"/>
        </w:rPr>
        <w:t>统计见表4</w:t>
      </w:r>
      <w:r>
        <w:rPr>
          <w:rFonts w:hint="eastAsia"/>
          <w:lang w:val="en-US" w:eastAsia="zh-CN"/>
        </w:rPr>
        <w:t>.2</w:t>
      </w:r>
      <w:r>
        <w:rPr>
          <w:rFonts w:hint="eastAsia"/>
        </w:rPr>
        <w:t>-</w:t>
      </w:r>
      <w:r>
        <w:rPr>
          <w:rFonts w:hint="eastAsia"/>
          <w:lang w:val="en-US" w:eastAsia="zh-CN"/>
        </w:rPr>
        <w:t>6</w:t>
      </w:r>
      <w:r>
        <w:rPr>
          <w:rFonts w:hint="eastAsia"/>
        </w:rPr>
        <w:t>。</w:t>
      </w:r>
    </w:p>
    <w:p w14:paraId="619E5B43">
      <w:pPr>
        <w:pStyle w:val="16"/>
        <w:keepNext w:val="0"/>
        <w:keepLines w:val="0"/>
        <w:pageBreakBefore w:val="0"/>
        <w:widowControl w:val="0"/>
        <w:kinsoku w:val="0"/>
        <w:wordWrap/>
        <w:overflowPunct w:val="0"/>
        <w:topLinePunct w:val="0"/>
        <w:autoSpaceDE/>
        <w:autoSpaceDN/>
        <w:bidi w:val="0"/>
        <w:adjustRightInd w:val="0"/>
        <w:snapToGrid w:val="0"/>
        <w:spacing w:after="0"/>
        <w:jc w:val="center"/>
        <w:textAlignment w:val="baseline"/>
        <w:rPr>
          <w:rFonts w:hint="default" w:ascii="Times New Roman" w:hAnsi="Times New Roman" w:eastAsia="宋体" w:cs="Times New Roman"/>
          <w:b/>
          <w:bCs/>
          <w:snapToGrid w:val="0"/>
          <w:kern w:val="21"/>
          <w:sz w:val="24"/>
          <w:szCs w:val="22"/>
          <w:lang w:val="en-US" w:eastAsia="zh-CN"/>
        </w:rPr>
      </w:pPr>
      <w:r>
        <w:rPr>
          <w:rFonts w:hint="default" w:ascii="Times New Roman" w:hAnsi="Times New Roman" w:eastAsia="宋体" w:cs="Times New Roman"/>
          <w:b/>
          <w:bCs/>
          <w:snapToGrid w:val="0"/>
          <w:kern w:val="21"/>
          <w:sz w:val="24"/>
          <w:szCs w:val="22"/>
          <w:lang w:val="en-US" w:eastAsia="zh-CN"/>
        </w:rPr>
        <w:t>表4</w:t>
      </w:r>
      <w:r>
        <w:rPr>
          <w:rFonts w:hint="eastAsia" w:cs="Times New Roman"/>
          <w:b/>
          <w:bCs/>
          <w:snapToGrid w:val="0"/>
          <w:kern w:val="21"/>
          <w:sz w:val="24"/>
          <w:szCs w:val="22"/>
          <w:lang w:val="en-US" w:eastAsia="zh-CN"/>
        </w:rPr>
        <w:t>.2</w:t>
      </w:r>
      <w:r>
        <w:rPr>
          <w:rFonts w:hint="default" w:ascii="Times New Roman" w:hAnsi="Times New Roman" w:eastAsia="宋体" w:cs="Times New Roman"/>
          <w:b/>
          <w:bCs/>
          <w:snapToGrid w:val="0"/>
          <w:kern w:val="21"/>
          <w:sz w:val="24"/>
          <w:szCs w:val="22"/>
          <w:lang w:val="en-US" w:eastAsia="zh-CN"/>
        </w:rPr>
        <w:t>-6     环境空气质量监测结果及评价统计结果</w:t>
      </w:r>
    </w:p>
    <w:tbl>
      <w:tblPr>
        <w:tblStyle w:val="39"/>
        <w:tblW w:w="4887"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911"/>
        <w:gridCol w:w="1005"/>
        <w:gridCol w:w="1425"/>
        <w:gridCol w:w="1125"/>
        <w:gridCol w:w="780"/>
        <w:gridCol w:w="915"/>
        <w:gridCol w:w="720"/>
        <w:gridCol w:w="665"/>
        <w:gridCol w:w="634"/>
      </w:tblGrid>
      <w:tr w14:paraId="2222247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717" w:hRule="atLeast"/>
          <w:jc w:val="center"/>
        </w:trPr>
        <w:tc>
          <w:tcPr>
            <w:tcW w:w="911" w:type="dxa"/>
            <w:tcBorders>
              <w:tl2br w:val="nil"/>
              <w:tr2bl w:val="nil"/>
            </w:tcBorders>
            <w:noWrap w:val="0"/>
            <w:vAlign w:val="center"/>
          </w:tcPr>
          <w:p w14:paraId="6B1F4DF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监测因子</w:t>
            </w:r>
          </w:p>
        </w:tc>
        <w:tc>
          <w:tcPr>
            <w:tcW w:w="1005" w:type="dxa"/>
            <w:tcBorders>
              <w:tl2br w:val="nil"/>
              <w:tr2bl w:val="nil"/>
            </w:tcBorders>
            <w:noWrap w:val="0"/>
            <w:vAlign w:val="center"/>
          </w:tcPr>
          <w:p w14:paraId="194C66A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监测点位</w:t>
            </w:r>
          </w:p>
        </w:tc>
        <w:tc>
          <w:tcPr>
            <w:tcW w:w="1425" w:type="dxa"/>
            <w:tcBorders>
              <w:tl2br w:val="nil"/>
              <w:tr2bl w:val="nil"/>
            </w:tcBorders>
            <w:noWrap w:val="0"/>
            <w:vAlign w:val="center"/>
          </w:tcPr>
          <w:p w14:paraId="4A84472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监测时段</w:t>
            </w:r>
          </w:p>
        </w:tc>
        <w:tc>
          <w:tcPr>
            <w:tcW w:w="1125" w:type="dxa"/>
            <w:tcBorders>
              <w:tl2br w:val="nil"/>
              <w:tr2bl w:val="nil"/>
            </w:tcBorders>
            <w:noWrap w:val="0"/>
            <w:vAlign w:val="center"/>
          </w:tcPr>
          <w:p w14:paraId="731D5B5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lang w:val="en-US" w:eastAsia="zh-CN"/>
              </w:rPr>
              <w:t>浓度值范围</w:t>
            </w:r>
            <w:r>
              <w:rPr>
                <w:rFonts w:hint="eastAsia" w:ascii="Times New Roman" w:hAnsi="Times New Roman" w:eastAsia="宋体" w:cs="Times New Roman"/>
                <w:b/>
                <w:bCs/>
                <w:snapToGrid w:val="0"/>
                <w:spacing w:val="0"/>
                <w:kern w:val="21"/>
                <w:position w:val="0"/>
                <w:sz w:val="21"/>
                <w:szCs w:val="21"/>
                <w:lang w:val="en-US" w:eastAsia="zh-CN"/>
              </w:rPr>
              <w:t>(</w:t>
            </w:r>
            <w:r>
              <w:rPr>
                <w:rFonts w:hint="default" w:ascii="Times New Roman" w:hAnsi="Times New Roman" w:eastAsia="宋体" w:cs="Times New Roman"/>
                <w:b/>
                <w:bCs/>
                <w:snapToGrid w:val="0"/>
                <w:spacing w:val="0"/>
                <w:kern w:val="21"/>
                <w:position w:val="0"/>
                <w:sz w:val="21"/>
                <w:szCs w:val="21"/>
              </w:rPr>
              <w:t>mg/m</w:t>
            </w:r>
            <w:r>
              <w:rPr>
                <w:rFonts w:hint="default" w:ascii="Times New Roman" w:hAnsi="Times New Roman" w:eastAsia="宋体" w:cs="Times New Roman"/>
                <w:b/>
                <w:bCs/>
                <w:snapToGrid w:val="0"/>
                <w:spacing w:val="0"/>
                <w:kern w:val="21"/>
                <w:position w:val="0"/>
                <w:sz w:val="21"/>
                <w:szCs w:val="21"/>
                <w:vertAlign w:val="superscript"/>
              </w:rPr>
              <w:t>3</w:t>
            </w:r>
            <w:r>
              <w:rPr>
                <w:rFonts w:hint="eastAsia" w:ascii="Times New Roman" w:hAnsi="Times New Roman" w:eastAsia="宋体" w:cs="Times New Roman"/>
                <w:b/>
                <w:bCs/>
                <w:snapToGrid w:val="0"/>
                <w:spacing w:val="0"/>
                <w:kern w:val="21"/>
                <w:position w:val="0"/>
                <w:sz w:val="21"/>
                <w:szCs w:val="21"/>
                <w:lang w:val="en-US" w:eastAsia="zh-CN"/>
              </w:rPr>
              <w:t>)</w:t>
            </w:r>
          </w:p>
        </w:tc>
        <w:tc>
          <w:tcPr>
            <w:tcW w:w="780" w:type="dxa"/>
            <w:tcBorders>
              <w:tl2br w:val="nil"/>
              <w:tr2bl w:val="nil"/>
            </w:tcBorders>
            <w:noWrap w:val="0"/>
            <w:vAlign w:val="center"/>
          </w:tcPr>
          <w:p w14:paraId="2AA48C9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均值最大值</w:t>
            </w:r>
            <w:r>
              <w:rPr>
                <w:rFonts w:hint="eastAsia" w:ascii="Times New Roman" w:hAnsi="Times New Roman" w:eastAsia="宋体" w:cs="Times New Roman"/>
                <w:b/>
                <w:bCs/>
                <w:snapToGrid w:val="0"/>
                <w:spacing w:val="0"/>
                <w:kern w:val="21"/>
                <w:position w:val="0"/>
                <w:sz w:val="21"/>
                <w:szCs w:val="21"/>
                <w:lang w:val="en-US" w:eastAsia="zh-CN"/>
              </w:rPr>
              <w:t>(</w:t>
            </w:r>
            <w:r>
              <w:rPr>
                <w:rFonts w:hint="default" w:ascii="Times New Roman" w:hAnsi="Times New Roman" w:eastAsia="宋体" w:cs="Times New Roman"/>
                <w:b/>
                <w:bCs/>
                <w:snapToGrid w:val="0"/>
                <w:spacing w:val="0"/>
                <w:kern w:val="21"/>
                <w:position w:val="0"/>
                <w:sz w:val="21"/>
                <w:szCs w:val="21"/>
              </w:rPr>
              <w:t>mg/m</w:t>
            </w:r>
            <w:r>
              <w:rPr>
                <w:rFonts w:hint="default" w:ascii="Times New Roman" w:hAnsi="Times New Roman" w:eastAsia="宋体" w:cs="Times New Roman"/>
                <w:b/>
                <w:bCs/>
                <w:snapToGrid w:val="0"/>
                <w:spacing w:val="0"/>
                <w:kern w:val="21"/>
                <w:position w:val="0"/>
                <w:sz w:val="21"/>
                <w:szCs w:val="21"/>
                <w:vertAlign w:val="superscript"/>
              </w:rPr>
              <w:t>3</w:t>
            </w:r>
            <w:r>
              <w:rPr>
                <w:rFonts w:hint="eastAsia" w:ascii="Times New Roman" w:hAnsi="Times New Roman" w:eastAsia="宋体" w:cs="Times New Roman"/>
                <w:b/>
                <w:bCs/>
                <w:snapToGrid w:val="0"/>
                <w:spacing w:val="0"/>
                <w:kern w:val="21"/>
                <w:position w:val="0"/>
                <w:sz w:val="21"/>
                <w:szCs w:val="21"/>
                <w:lang w:val="en-US" w:eastAsia="zh-CN"/>
              </w:rPr>
              <w:t>)</w:t>
            </w:r>
          </w:p>
        </w:tc>
        <w:tc>
          <w:tcPr>
            <w:tcW w:w="915" w:type="dxa"/>
            <w:tcBorders>
              <w:tl2br w:val="nil"/>
              <w:tr2bl w:val="nil"/>
            </w:tcBorders>
            <w:noWrap w:val="0"/>
            <w:vAlign w:val="center"/>
          </w:tcPr>
          <w:p w14:paraId="701AB2B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标准限值</w:t>
            </w:r>
            <w:r>
              <w:rPr>
                <w:rFonts w:hint="eastAsia" w:ascii="Times New Roman" w:hAnsi="Times New Roman" w:eastAsia="宋体" w:cs="Times New Roman"/>
                <w:b/>
                <w:bCs/>
                <w:snapToGrid w:val="0"/>
                <w:spacing w:val="0"/>
                <w:kern w:val="21"/>
                <w:position w:val="0"/>
                <w:sz w:val="21"/>
                <w:szCs w:val="21"/>
                <w:lang w:val="en-US" w:eastAsia="zh-CN"/>
              </w:rPr>
              <w:t>(</w:t>
            </w:r>
            <w:r>
              <w:rPr>
                <w:rFonts w:hint="default" w:ascii="Times New Roman" w:hAnsi="Times New Roman" w:eastAsia="宋体" w:cs="Times New Roman"/>
                <w:b/>
                <w:bCs/>
                <w:snapToGrid w:val="0"/>
                <w:spacing w:val="0"/>
                <w:kern w:val="21"/>
                <w:position w:val="0"/>
                <w:sz w:val="21"/>
                <w:szCs w:val="21"/>
              </w:rPr>
              <w:t>mg/m</w:t>
            </w:r>
            <w:r>
              <w:rPr>
                <w:rFonts w:hint="default" w:ascii="Times New Roman" w:hAnsi="Times New Roman" w:eastAsia="宋体" w:cs="Times New Roman"/>
                <w:b/>
                <w:bCs/>
                <w:snapToGrid w:val="0"/>
                <w:spacing w:val="0"/>
                <w:kern w:val="21"/>
                <w:position w:val="0"/>
                <w:sz w:val="21"/>
                <w:szCs w:val="21"/>
                <w:vertAlign w:val="superscript"/>
              </w:rPr>
              <w:t>3</w:t>
            </w:r>
            <w:r>
              <w:rPr>
                <w:rFonts w:hint="eastAsia" w:ascii="Times New Roman" w:hAnsi="Times New Roman" w:eastAsia="宋体" w:cs="Times New Roman"/>
                <w:b/>
                <w:bCs/>
                <w:snapToGrid w:val="0"/>
                <w:spacing w:val="0"/>
                <w:kern w:val="21"/>
                <w:position w:val="0"/>
                <w:sz w:val="21"/>
                <w:szCs w:val="21"/>
                <w:lang w:val="en-US" w:eastAsia="zh-CN"/>
              </w:rPr>
              <w:t>)</w:t>
            </w:r>
          </w:p>
        </w:tc>
        <w:tc>
          <w:tcPr>
            <w:tcW w:w="720" w:type="dxa"/>
            <w:tcBorders>
              <w:tl2br w:val="nil"/>
              <w:tr2bl w:val="nil"/>
            </w:tcBorders>
            <w:noWrap w:val="0"/>
            <w:vAlign w:val="center"/>
          </w:tcPr>
          <w:p w14:paraId="776A3AF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最大浓度占标率</w:t>
            </w:r>
            <w:r>
              <w:rPr>
                <w:rFonts w:hint="eastAsia" w:ascii="Times New Roman" w:hAnsi="Times New Roman" w:eastAsia="宋体" w:cs="Times New Roman"/>
                <w:b/>
                <w:bCs/>
                <w:snapToGrid w:val="0"/>
                <w:spacing w:val="0"/>
                <w:kern w:val="21"/>
                <w:position w:val="0"/>
                <w:sz w:val="21"/>
                <w:szCs w:val="21"/>
                <w:lang w:val="en-US" w:eastAsia="zh-CN"/>
              </w:rPr>
              <w:t>(</w:t>
            </w:r>
            <w:r>
              <w:rPr>
                <w:rFonts w:hint="default" w:ascii="Times New Roman" w:hAnsi="Times New Roman" w:eastAsia="宋体" w:cs="Times New Roman"/>
                <w:b/>
                <w:bCs/>
                <w:snapToGrid w:val="0"/>
                <w:spacing w:val="0"/>
                <w:kern w:val="21"/>
                <w:position w:val="0"/>
                <w:sz w:val="21"/>
                <w:szCs w:val="21"/>
              </w:rPr>
              <w:t>%</w:t>
            </w:r>
            <w:r>
              <w:rPr>
                <w:rFonts w:hint="eastAsia" w:ascii="Times New Roman" w:hAnsi="Times New Roman" w:eastAsia="宋体" w:cs="Times New Roman"/>
                <w:b/>
                <w:bCs/>
                <w:snapToGrid w:val="0"/>
                <w:spacing w:val="0"/>
                <w:kern w:val="21"/>
                <w:position w:val="0"/>
                <w:sz w:val="21"/>
                <w:szCs w:val="21"/>
                <w:lang w:val="en-US" w:eastAsia="zh-CN"/>
              </w:rPr>
              <w:t>)</w:t>
            </w:r>
          </w:p>
        </w:tc>
        <w:tc>
          <w:tcPr>
            <w:tcW w:w="665" w:type="dxa"/>
            <w:tcBorders>
              <w:tl2br w:val="nil"/>
              <w:tr2bl w:val="nil"/>
            </w:tcBorders>
            <w:noWrap w:val="0"/>
            <w:vAlign w:val="center"/>
          </w:tcPr>
          <w:p w14:paraId="7683DDE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超标率</w:t>
            </w:r>
            <w:r>
              <w:rPr>
                <w:rFonts w:hint="eastAsia" w:ascii="Times New Roman" w:hAnsi="Times New Roman" w:eastAsia="宋体" w:cs="Times New Roman"/>
                <w:b/>
                <w:bCs/>
                <w:snapToGrid w:val="0"/>
                <w:spacing w:val="0"/>
                <w:kern w:val="21"/>
                <w:position w:val="0"/>
                <w:sz w:val="21"/>
                <w:szCs w:val="21"/>
                <w:lang w:val="en-US" w:eastAsia="zh-CN"/>
              </w:rPr>
              <w:t>(</w:t>
            </w:r>
            <w:r>
              <w:rPr>
                <w:rFonts w:hint="default" w:ascii="Times New Roman" w:hAnsi="Times New Roman" w:eastAsia="宋体" w:cs="Times New Roman"/>
                <w:b/>
                <w:bCs/>
                <w:snapToGrid w:val="0"/>
                <w:spacing w:val="0"/>
                <w:kern w:val="21"/>
                <w:position w:val="0"/>
                <w:sz w:val="21"/>
                <w:szCs w:val="21"/>
              </w:rPr>
              <w:t>%</w:t>
            </w:r>
            <w:r>
              <w:rPr>
                <w:rFonts w:hint="eastAsia" w:ascii="Times New Roman" w:hAnsi="Times New Roman" w:eastAsia="宋体" w:cs="Times New Roman"/>
                <w:b/>
                <w:bCs/>
                <w:snapToGrid w:val="0"/>
                <w:spacing w:val="0"/>
                <w:kern w:val="21"/>
                <w:position w:val="0"/>
                <w:sz w:val="21"/>
                <w:szCs w:val="21"/>
                <w:lang w:val="en-US" w:eastAsia="zh-CN"/>
              </w:rPr>
              <w:t>)</w:t>
            </w:r>
          </w:p>
        </w:tc>
        <w:tc>
          <w:tcPr>
            <w:tcW w:w="634" w:type="dxa"/>
            <w:tcBorders>
              <w:tl2br w:val="nil"/>
              <w:tr2bl w:val="nil"/>
            </w:tcBorders>
            <w:noWrap w:val="0"/>
            <w:vAlign w:val="center"/>
          </w:tcPr>
          <w:p w14:paraId="729520A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bCs/>
                <w:snapToGrid w:val="0"/>
                <w:spacing w:val="0"/>
                <w:kern w:val="21"/>
                <w:position w:val="0"/>
                <w:sz w:val="21"/>
                <w:szCs w:val="21"/>
              </w:rPr>
            </w:pPr>
            <w:r>
              <w:rPr>
                <w:rFonts w:hint="default" w:ascii="Times New Roman" w:hAnsi="Times New Roman" w:eastAsia="宋体" w:cs="Times New Roman"/>
                <w:b/>
                <w:bCs/>
                <w:snapToGrid w:val="0"/>
                <w:spacing w:val="0"/>
                <w:kern w:val="21"/>
                <w:position w:val="0"/>
                <w:sz w:val="21"/>
                <w:szCs w:val="21"/>
              </w:rPr>
              <w:t>达标情况</w:t>
            </w:r>
          </w:p>
        </w:tc>
      </w:tr>
      <w:tr w14:paraId="3725F02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55A6A95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氮氧化物</w:t>
            </w:r>
          </w:p>
        </w:tc>
        <w:tc>
          <w:tcPr>
            <w:tcW w:w="1005" w:type="dxa"/>
            <w:vMerge w:val="restart"/>
            <w:tcBorders>
              <w:tl2br w:val="nil"/>
              <w:tr2bl w:val="nil"/>
            </w:tcBorders>
            <w:noWrap w:val="0"/>
            <w:vAlign w:val="center"/>
          </w:tcPr>
          <w:p w14:paraId="5FBC4E8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厂址</w:t>
            </w:r>
          </w:p>
        </w:tc>
        <w:tc>
          <w:tcPr>
            <w:tcW w:w="1425" w:type="dxa"/>
            <w:tcBorders>
              <w:tl2br w:val="nil"/>
              <w:tr2bl w:val="nil"/>
            </w:tcBorders>
            <w:noWrap w:val="0"/>
            <w:vAlign w:val="center"/>
          </w:tcPr>
          <w:p w14:paraId="42A438CB">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5D23B322">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0.013~0.048</w:t>
            </w:r>
          </w:p>
        </w:tc>
        <w:tc>
          <w:tcPr>
            <w:tcW w:w="780" w:type="dxa"/>
            <w:vMerge w:val="restart"/>
            <w:tcBorders>
              <w:tl2br w:val="nil"/>
              <w:tr2bl w:val="nil"/>
            </w:tcBorders>
            <w:noWrap w:val="0"/>
            <w:vAlign w:val="center"/>
          </w:tcPr>
          <w:p w14:paraId="627286C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0.054</w:t>
            </w:r>
          </w:p>
        </w:tc>
        <w:tc>
          <w:tcPr>
            <w:tcW w:w="915" w:type="dxa"/>
            <w:vMerge w:val="restart"/>
            <w:tcBorders>
              <w:tl2br w:val="nil"/>
              <w:tr2bl w:val="nil"/>
            </w:tcBorders>
            <w:noWrap w:val="0"/>
            <w:vAlign w:val="center"/>
          </w:tcPr>
          <w:p w14:paraId="4C627319">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ascii="Times New Roman" w:hAnsi="Times New Roman" w:eastAsia="宋体" w:cs="Times New Roman"/>
                <w:snapToGrid w:val="0"/>
                <w:spacing w:val="0"/>
                <w:kern w:val="21"/>
                <w:position w:val="0"/>
                <w:sz w:val="21"/>
                <w:szCs w:val="21"/>
                <w:lang w:val="en-US" w:eastAsia="zh-CN"/>
              </w:rPr>
              <w:t>0.25</w:t>
            </w:r>
          </w:p>
        </w:tc>
        <w:tc>
          <w:tcPr>
            <w:tcW w:w="720" w:type="dxa"/>
            <w:vMerge w:val="restart"/>
            <w:tcBorders>
              <w:tl2br w:val="nil"/>
              <w:tr2bl w:val="nil"/>
            </w:tcBorders>
            <w:noWrap w:val="0"/>
            <w:vAlign w:val="center"/>
          </w:tcPr>
          <w:p w14:paraId="3083FC4C">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ascii="Times New Roman" w:hAnsi="Times New Roman" w:eastAsia="宋体" w:cs="Times New Roman"/>
                <w:snapToGrid w:val="0"/>
                <w:spacing w:val="0"/>
                <w:kern w:val="21"/>
                <w:position w:val="0"/>
                <w:sz w:val="21"/>
                <w:szCs w:val="21"/>
                <w:lang w:val="en-US" w:eastAsia="zh-CN"/>
              </w:rPr>
              <w:t>21.6</w:t>
            </w:r>
          </w:p>
        </w:tc>
        <w:tc>
          <w:tcPr>
            <w:tcW w:w="665" w:type="dxa"/>
            <w:vMerge w:val="restart"/>
            <w:tcBorders>
              <w:tl2br w:val="nil"/>
              <w:tr2bl w:val="nil"/>
            </w:tcBorders>
            <w:noWrap w:val="0"/>
            <w:vAlign w:val="center"/>
          </w:tcPr>
          <w:p w14:paraId="6D40FAFA">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0</w:t>
            </w:r>
          </w:p>
        </w:tc>
        <w:tc>
          <w:tcPr>
            <w:tcW w:w="634" w:type="dxa"/>
            <w:vMerge w:val="restart"/>
            <w:tcBorders>
              <w:tl2br w:val="nil"/>
              <w:tr2bl w:val="nil"/>
            </w:tcBorders>
            <w:noWrap w:val="0"/>
            <w:vAlign w:val="center"/>
          </w:tcPr>
          <w:p w14:paraId="1F4C9BE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6670E8A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2F46374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1A07DE9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5E1133DC">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5C2B07B6">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0.015~0.04</w:t>
            </w:r>
            <w:r>
              <w:rPr>
                <w:rFonts w:hint="eastAsia" w:ascii="Times New Roman" w:hAnsi="Times New Roman" w:eastAsia="宋体" w:cs="Times New Roman"/>
                <w:snapToGrid w:val="0"/>
                <w:spacing w:val="0"/>
                <w:kern w:val="21"/>
                <w:position w:val="0"/>
                <w:sz w:val="21"/>
                <w:szCs w:val="21"/>
                <w:lang w:val="en-US" w:eastAsia="zh-CN"/>
              </w:rPr>
              <w:t>5</w:t>
            </w:r>
          </w:p>
        </w:tc>
        <w:tc>
          <w:tcPr>
            <w:tcW w:w="780" w:type="dxa"/>
            <w:vMerge w:val="continue"/>
            <w:tcBorders>
              <w:tl2br w:val="nil"/>
              <w:tr2bl w:val="nil"/>
            </w:tcBorders>
            <w:noWrap w:val="0"/>
            <w:vAlign w:val="center"/>
          </w:tcPr>
          <w:p w14:paraId="08EBCA5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021A540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0DB004A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3A2EBD9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9BE7CD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431A41B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continue"/>
            <w:tcBorders>
              <w:tl2br w:val="nil"/>
              <w:tr2bl w:val="nil"/>
            </w:tcBorders>
            <w:noWrap w:val="0"/>
            <w:vAlign w:val="center"/>
          </w:tcPr>
          <w:p w14:paraId="6A8ED68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1011139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96EAD6B">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4A7F7415">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0.018~0.054</w:t>
            </w:r>
          </w:p>
        </w:tc>
        <w:tc>
          <w:tcPr>
            <w:tcW w:w="780" w:type="dxa"/>
            <w:vMerge w:val="continue"/>
            <w:tcBorders>
              <w:tl2br w:val="nil"/>
              <w:tr2bl w:val="nil"/>
            </w:tcBorders>
            <w:noWrap w:val="0"/>
            <w:vAlign w:val="center"/>
          </w:tcPr>
          <w:p w14:paraId="6B52B5F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2B33799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03B7566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8EA6A4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1E4D8F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4FA953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2B1FCA9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330BF3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2E78B85F">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06BF279A">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0.018~0.042</w:t>
            </w:r>
          </w:p>
        </w:tc>
        <w:tc>
          <w:tcPr>
            <w:tcW w:w="780" w:type="dxa"/>
            <w:vMerge w:val="continue"/>
            <w:tcBorders>
              <w:tl2br w:val="nil"/>
              <w:tr2bl w:val="nil"/>
            </w:tcBorders>
            <w:noWrap w:val="0"/>
            <w:vAlign w:val="center"/>
          </w:tcPr>
          <w:p w14:paraId="6D33B84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C0F1DE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0137E50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5B47B6D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E3AC78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7FD61F6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7430CF2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4D70379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1DF17AB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日均值</w:t>
            </w:r>
          </w:p>
        </w:tc>
        <w:tc>
          <w:tcPr>
            <w:tcW w:w="1125" w:type="dxa"/>
            <w:tcBorders>
              <w:tl2br w:val="nil"/>
              <w:tr2bl w:val="nil"/>
            </w:tcBorders>
            <w:noWrap w:val="0"/>
            <w:vAlign w:val="center"/>
          </w:tcPr>
          <w:p w14:paraId="0366C9B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ascii="Times New Roman" w:hAnsi="Times New Roman" w:eastAsia="宋体" w:cs="Times New Roman"/>
                <w:snapToGrid w:val="0"/>
                <w:spacing w:val="0"/>
                <w:kern w:val="21"/>
                <w:position w:val="0"/>
                <w:sz w:val="21"/>
                <w:szCs w:val="21"/>
                <w:lang w:val="en-US" w:eastAsia="zh-CN"/>
              </w:rPr>
              <w:t>0.014</w:t>
            </w:r>
            <w:r>
              <w:rPr>
                <w:rFonts w:hint="default" w:ascii="Times New Roman" w:hAnsi="Times New Roman" w:eastAsia="宋体" w:cs="Times New Roman"/>
                <w:snapToGrid w:val="0"/>
                <w:spacing w:val="0"/>
                <w:kern w:val="21"/>
                <w:position w:val="0"/>
                <w:sz w:val="21"/>
                <w:szCs w:val="21"/>
                <w:lang w:val="en-US" w:eastAsia="zh-CN"/>
              </w:rPr>
              <w:t>~</w:t>
            </w:r>
            <w:r>
              <w:rPr>
                <w:rFonts w:hint="eastAsia" w:ascii="Times New Roman" w:hAnsi="Times New Roman" w:eastAsia="宋体" w:cs="Times New Roman"/>
                <w:snapToGrid w:val="0"/>
                <w:spacing w:val="0"/>
                <w:kern w:val="21"/>
                <w:position w:val="0"/>
                <w:sz w:val="21"/>
                <w:szCs w:val="21"/>
                <w:lang w:val="en-US" w:eastAsia="zh-CN"/>
              </w:rPr>
              <w:t>0.053</w:t>
            </w:r>
          </w:p>
        </w:tc>
        <w:tc>
          <w:tcPr>
            <w:tcW w:w="780" w:type="dxa"/>
            <w:tcBorders>
              <w:tl2br w:val="nil"/>
              <w:tr2bl w:val="nil"/>
            </w:tcBorders>
            <w:noWrap w:val="0"/>
            <w:vAlign w:val="center"/>
          </w:tcPr>
          <w:p w14:paraId="4377F90A">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cs="Times New Roman"/>
                <w:snapToGrid w:val="0"/>
                <w:spacing w:val="0"/>
                <w:kern w:val="21"/>
                <w:position w:val="0"/>
                <w:sz w:val="21"/>
                <w:szCs w:val="21"/>
                <w:lang w:val="en-US" w:eastAsia="zh-CN"/>
              </w:rPr>
              <w:t>0.053</w:t>
            </w:r>
          </w:p>
        </w:tc>
        <w:tc>
          <w:tcPr>
            <w:tcW w:w="915" w:type="dxa"/>
            <w:tcBorders>
              <w:tl2br w:val="nil"/>
              <w:tr2bl w:val="nil"/>
            </w:tcBorders>
            <w:noWrap w:val="0"/>
            <w:vAlign w:val="center"/>
          </w:tcPr>
          <w:p w14:paraId="3FB87DE2">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0.1</w:t>
            </w:r>
          </w:p>
        </w:tc>
        <w:tc>
          <w:tcPr>
            <w:tcW w:w="720" w:type="dxa"/>
            <w:tcBorders>
              <w:tl2br w:val="nil"/>
              <w:tr2bl w:val="nil"/>
            </w:tcBorders>
            <w:noWrap w:val="0"/>
            <w:vAlign w:val="center"/>
          </w:tcPr>
          <w:p w14:paraId="4EE95ABE">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cs="Times New Roman"/>
                <w:snapToGrid w:val="0"/>
                <w:spacing w:val="0"/>
                <w:kern w:val="21"/>
                <w:position w:val="0"/>
                <w:sz w:val="21"/>
                <w:szCs w:val="21"/>
                <w:lang w:val="en-US" w:eastAsia="zh-CN"/>
              </w:rPr>
              <w:t>53</w:t>
            </w:r>
          </w:p>
        </w:tc>
        <w:tc>
          <w:tcPr>
            <w:tcW w:w="665" w:type="dxa"/>
            <w:tcBorders>
              <w:tl2br w:val="nil"/>
              <w:tr2bl w:val="nil"/>
            </w:tcBorders>
            <w:noWrap w:val="0"/>
            <w:vAlign w:val="center"/>
          </w:tcPr>
          <w:p w14:paraId="62158B9B">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tcBorders>
              <w:tl2br w:val="nil"/>
              <w:tr2bl w:val="nil"/>
            </w:tcBorders>
            <w:noWrap w:val="0"/>
            <w:vAlign w:val="center"/>
          </w:tcPr>
          <w:p w14:paraId="0765CEF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004787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23DC59A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氨</w:t>
            </w:r>
          </w:p>
        </w:tc>
        <w:tc>
          <w:tcPr>
            <w:tcW w:w="1005" w:type="dxa"/>
            <w:vMerge w:val="restart"/>
            <w:tcBorders>
              <w:tl2br w:val="nil"/>
              <w:tr2bl w:val="nil"/>
            </w:tcBorders>
            <w:noWrap w:val="0"/>
            <w:vAlign w:val="center"/>
          </w:tcPr>
          <w:p w14:paraId="0FF66AC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厂址</w:t>
            </w:r>
          </w:p>
        </w:tc>
        <w:tc>
          <w:tcPr>
            <w:tcW w:w="1425" w:type="dxa"/>
            <w:tcBorders>
              <w:tl2br w:val="nil"/>
              <w:tr2bl w:val="nil"/>
            </w:tcBorders>
            <w:noWrap w:val="0"/>
            <w:vAlign w:val="center"/>
          </w:tcPr>
          <w:p w14:paraId="2BBA402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534B0AA6">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0.01~0.04</w:t>
            </w:r>
          </w:p>
        </w:tc>
        <w:tc>
          <w:tcPr>
            <w:tcW w:w="780" w:type="dxa"/>
            <w:vMerge w:val="restart"/>
            <w:tcBorders>
              <w:tl2br w:val="nil"/>
              <w:tr2bl w:val="nil"/>
            </w:tcBorders>
            <w:noWrap w:val="0"/>
            <w:vAlign w:val="center"/>
          </w:tcPr>
          <w:p w14:paraId="776815F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0.09</w:t>
            </w:r>
          </w:p>
        </w:tc>
        <w:tc>
          <w:tcPr>
            <w:tcW w:w="915" w:type="dxa"/>
            <w:vMerge w:val="restart"/>
            <w:tcBorders>
              <w:tl2br w:val="nil"/>
              <w:tr2bl w:val="nil"/>
            </w:tcBorders>
            <w:noWrap w:val="0"/>
            <w:vAlign w:val="center"/>
          </w:tcPr>
          <w:p w14:paraId="36A0528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0.2</w:t>
            </w:r>
          </w:p>
        </w:tc>
        <w:tc>
          <w:tcPr>
            <w:tcW w:w="720" w:type="dxa"/>
            <w:vMerge w:val="restart"/>
            <w:tcBorders>
              <w:tl2br w:val="nil"/>
              <w:tr2bl w:val="nil"/>
            </w:tcBorders>
            <w:noWrap w:val="0"/>
            <w:vAlign w:val="center"/>
          </w:tcPr>
          <w:p w14:paraId="7E26470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45</w:t>
            </w:r>
          </w:p>
        </w:tc>
        <w:tc>
          <w:tcPr>
            <w:tcW w:w="665" w:type="dxa"/>
            <w:vMerge w:val="restart"/>
            <w:tcBorders>
              <w:tl2br w:val="nil"/>
              <w:tr2bl w:val="nil"/>
            </w:tcBorders>
            <w:noWrap w:val="0"/>
            <w:vAlign w:val="center"/>
          </w:tcPr>
          <w:p w14:paraId="781C8EA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43AA500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26C2803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73711D7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5D6B979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345FD9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7EA1FA9C">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0.02~0.09</w:t>
            </w:r>
          </w:p>
        </w:tc>
        <w:tc>
          <w:tcPr>
            <w:tcW w:w="780" w:type="dxa"/>
            <w:vMerge w:val="continue"/>
            <w:tcBorders>
              <w:tl2br w:val="nil"/>
              <w:tr2bl w:val="nil"/>
            </w:tcBorders>
            <w:noWrap w:val="0"/>
            <w:vAlign w:val="center"/>
          </w:tcPr>
          <w:p w14:paraId="3F808A1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0C423DF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27FB3C7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73C601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12D13AC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6B95577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401" w:hRule="atLeast"/>
          <w:jc w:val="center"/>
        </w:trPr>
        <w:tc>
          <w:tcPr>
            <w:tcW w:w="911" w:type="dxa"/>
            <w:vMerge w:val="continue"/>
            <w:tcBorders>
              <w:tl2br w:val="nil"/>
              <w:tr2bl w:val="nil"/>
            </w:tcBorders>
            <w:noWrap w:val="0"/>
            <w:vAlign w:val="center"/>
          </w:tcPr>
          <w:p w14:paraId="340A047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33B4CCC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B18EA8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0A72681D">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rPr>
            </w:pPr>
            <w:r>
              <w:rPr>
                <w:rFonts w:hint="default" w:ascii="Times New Roman" w:hAnsi="Times New Roman" w:eastAsia="宋体" w:cs="Times New Roman"/>
                <w:snapToGrid w:val="0"/>
                <w:spacing w:val="0"/>
                <w:kern w:val="21"/>
                <w:position w:val="0"/>
                <w:sz w:val="21"/>
                <w:szCs w:val="21"/>
                <w:lang w:val="en-US" w:eastAsia="zh-CN"/>
              </w:rPr>
              <w:t>0.03~0.09</w:t>
            </w:r>
          </w:p>
        </w:tc>
        <w:tc>
          <w:tcPr>
            <w:tcW w:w="780" w:type="dxa"/>
            <w:vMerge w:val="continue"/>
            <w:tcBorders>
              <w:tl2br w:val="nil"/>
              <w:tr2bl w:val="nil"/>
            </w:tcBorders>
            <w:noWrap w:val="0"/>
            <w:vAlign w:val="center"/>
          </w:tcPr>
          <w:p w14:paraId="171AEB2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C791CD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7286A7C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50101F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10AFAC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26188C4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0B79946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A4111E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6A07EF9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0F2547A6">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w:t>
            </w:r>
            <w:r>
              <w:rPr>
                <w:rFonts w:hint="eastAsia" w:ascii="Times New Roman" w:hAnsi="Times New Roman" w:eastAsia="宋体" w:cs="Times New Roman"/>
                <w:snapToGrid w:val="0"/>
                <w:spacing w:val="0"/>
                <w:kern w:val="21"/>
                <w:position w:val="0"/>
                <w:sz w:val="21"/>
                <w:szCs w:val="21"/>
                <w:lang w:val="en-US" w:eastAsia="zh-CN"/>
              </w:rPr>
              <w:t>2</w:t>
            </w:r>
            <w:r>
              <w:rPr>
                <w:rFonts w:hint="default" w:ascii="Times New Roman" w:hAnsi="Times New Roman" w:eastAsia="宋体" w:cs="Times New Roman"/>
                <w:snapToGrid w:val="0"/>
                <w:spacing w:val="0"/>
                <w:kern w:val="21"/>
                <w:position w:val="0"/>
                <w:sz w:val="21"/>
                <w:szCs w:val="21"/>
                <w:lang w:val="en-US" w:eastAsia="zh-CN"/>
              </w:rPr>
              <w:t>~0.06</w:t>
            </w:r>
          </w:p>
        </w:tc>
        <w:tc>
          <w:tcPr>
            <w:tcW w:w="780" w:type="dxa"/>
            <w:vMerge w:val="continue"/>
            <w:tcBorders>
              <w:tl2br w:val="nil"/>
              <w:tr2bl w:val="nil"/>
            </w:tcBorders>
            <w:noWrap w:val="0"/>
            <w:vAlign w:val="center"/>
          </w:tcPr>
          <w:p w14:paraId="416588C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083CEA1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15F2BEF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476DB7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EDDAC0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24133B9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0042E45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硫化氢</w:t>
            </w:r>
          </w:p>
        </w:tc>
        <w:tc>
          <w:tcPr>
            <w:tcW w:w="1005" w:type="dxa"/>
            <w:vMerge w:val="restart"/>
            <w:tcBorders>
              <w:tl2br w:val="nil"/>
              <w:tr2bl w:val="nil"/>
            </w:tcBorders>
            <w:noWrap w:val="0"/>
            <w:vAlign w:val="center"/>
          </w:tcPr>
          <w:p w14:paraId="4E06C61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厂址</w:t>
            </w:r>
          </w:p>
        </w:tc>
        <w:tc>
          <w:tcPr>
            <w:tcW w:w="1425" w:type="dxa"/>
            <w:tcBorders>
              <w:tl2br w:val="nil"/>
              <w:tr2bl w:val="nil"/>
            </w:tcBorders>
            <w:noWrap w:val="0"/>
            <w:vAlign w:val="center"/>
          </w:tcPr>
          <w:p w14:paraId="7FD02EC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2A864FD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0.001~0.002</w:t>
            </w:r>
          </w:p>
        </w:tc>
        <w:tc>
          <w:tcPr>
            <w:tcW w:w="780" w:type="dxa"/>
            <w:vMerge w:val="restart"/>
            <w:tcBorders>
              <w:tl2br w:val="nil"/>
              <w:tr2bl w:val="nil"/>
            </w:tcBorders>
            <w:noWrap w:val="0"/>
            <w:vAlign w:val="center"/>
          </w:tcPr>
          <w:p w14:paraId="742D277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0.005</w:t>
            </w:r>
          </w:p>
        </w:tc>
        <w:tc>
          <w:tcPr>
            <w:tcW w:w="915" w:type="dxa"/>
            <w:vMerge w:val="restart"/>
            <w:tcBorders>
              <w:tl2br w:val="nil"/>
              <w:tr2bl w:val="nil"/>
            </w:tcBorders>
            <w:noWrap w:val="0"/>
            <w:vAlign w:val="center"/>
          </w:tcPr>
          <w:p w14:paraId="0463AC7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w:t>
            </w:r>
          </w:p>
        </w:tc>
        <w:tc>
          <w:tcPr>
            <w:tcW w:w="720" w:type="dxa"/>
            <w:vMerge w:val="restart"/>
            <w:tcBorders>
              <w:tl2br w:val="nil"/>
              <w:tr2bl w:val="nil"/>
            </w:tcBorders>
            <w:noWrap w:val="0"/>
            <w:vAlign w:val="center"/>
          </w:tcPr>
          <w:p w14:paraId="6BAC437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50</w:t>
            </w:r>
          </w:p>
        </w:tc>
        <w:tc>
          <w:tcPr>
            <w:tcW w:w="665" w:type="dxa"/>
            <w:vMerge w:val="restart"/>
            <w:tcBorders>
              <w:tl2br w:val="nil"/>
              <w:tr2bl w:val="nil"/>
            </w:tcBorders>
            <w:noWrap w:val="0"/>
            <w:vAlign w:val="center"/>
          </w:tcPr>
          <w:p w14:paraId="6C05318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47A0C51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1D34B58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319C342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54FC7B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1705A3F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5601D7D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0.003~0.005</w:t>
            </w:r>
          </w:p>
        </w:tc>
        <w:tc>
          <w:tcPr>
            <w:tcW w:w="780" w:type="dxa"/>
            <w:vMerge w:val="continue"/>
            <w:tcBorders>
              <w:tl2br w:val="nil"/>
              <w:tr2bl w:val="nil"/>
            </w:tcBorders>
            <w:noWrap w:val="0"/>
            <w:vAlign w:val="center"/>
          </w:tcPr>
          <w:p w14:paraId="7F050B8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5703B3A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3ADACF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ABD56C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0EF2062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3CE1DB8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continue"/>
            <w:tcBorders>
              <w:tl2br w:val="nil"/>
              <w:tr2bl w:val="nil"/>
            </w:tcBorders>
            <w:noWrap w:val="0"/>
            <w:vAlign w:val="center"/>
          </w:tcPr>
          <w:p w14:paraId="55FF38A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0526233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44695E2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2A1EA51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0.002~0.005</w:t>
            </w:r>
          </w:p>
        </w:tc>
        <w:tc>
          <w:tcPr>
            <w:tcW w:w="780" w:type="dxa"/>
            <w:vMerge w:val="continue"/>
            <w:tcBorders>
              <w:tl2br w:val="nil"/>
              <w:tr2bl w:val="nil"/>
            </w:tcBorders>
            <w:noWrap w:val="0"/>
            <w:vAlign w:val="center"/>
          </w:tcPr>
          <w:p w14:paraId="67AD989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EC721A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4DBC05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6DAC09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90F80F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2FF06FE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49F059A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D0378F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EAB495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2865DEC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0.002~0.004</w:t>
            </w:r>
          </w:p>
        </w:tc>
        <w:tc>
          <w:tcPr>
            <w:tcW w:w="780" w:type="dxa"/>
            <w:vMerge w:val="continue"/>
            <w:tcBorders>
              <w:tl2br w:val="nil"/>
              <w:tr2bl w:val="nil"/>
            </w:tcBorders>
            <w:noWrap w:val="0"/>
            <w:vAlign w:val="center"/>
          </w:tcPr>
          <w:p w14:paraId="40DC8D7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1EC1B99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0202AD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CAD660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4BBB299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569EC2F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470B3E8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硫酸雾</w:t>
            </w:r>
          </w:p>
        </w:tc>
        <w:tc>
          <w:tcPr>
            <w:tcW w:w="1005" w:type="dxa"/>
            <w:vMerge w:val="restart"/>
            <w:tcBorders>
              <w:tl2br w:val="nil"/>
              <w:tr2bl w:val="nil"/>
            </w:tcBorders>
            <w:noWrap w:val="0"/>
            <w:vAlign w:val="center"/>
          </w:tcPr>
          <w:p w14:paraId="7B6C01C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厂址</w:t>
            </w:r>
          </w:p>
        </w:tc>
        <w:tc>
          <w:tcPr>
            <w:tcW w:w="1425" w:type="dxa"/>
            <w:tcBorders>
              <w:tl2br w:val="nil"/>
              <w:tr2bl w:val="nil"/>
            </w:tcBorders>
            <w:noWrap w:val="0"/>
            <w:vAlign w:val="center"/>
          </w:tcPr>
          <w:p w14:paraId="2CE34E4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57DB857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ND</w:t>
            </w:r>
          </w:p>
        </w:tc>
        <w:tc>
          <w:tcPr>
            <w:tcW w:w="780" w:type="dxa"/>
            <w:vMerge w:val="restart"/>
            <w:tcBorders>
              <w:tl2br w:val="nil"/>
              <w:tr2bl w:val="nil"/>
            </w:tcBorders>
            <w:noWrap w:val="0"/>
            <w:vAlign w:val="center"/>
          </w:tcPr>
          <w:p w14:paraId="5798A2C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915" w:type="dxa"/>
            <w:vMerge w:val="restart"/>
            <w:tcBorders>
              <w:tl2br w:val="nil"/>
              <w:tr2bl w:val="nil"/>
            </w:tcBorders>
            <w:noWrap w:val="0"/>
            <w:vAlign w:val="center"/>
          </w:tcPr>
          <w:p w14:paraId="645850C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0.3</w:t>
            </w:r>
          </w:p>
        </w:tc>
        <w:tc>
          <w:tcPr>
            <w:tcW w:w="720" w:type="dxa"/>
            <w:vMerge w:val="restart"/>
            <w:tcBorders>
              <w:tl2br w:val="nil"/>
              <w:tr2bl w:val="nil"/>
            </w:tcBorders>
            <w:noWrap w:val="0"/>
            <w:vAlign w:val="center"/>
          </w:tcPr>
          <w:p w14:paraId="26C5C53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65" w:type="dxa"/>
            <w:vMerge w:val="restart"/>
            <w:tcBorders>
              <w:tl2br w:val="nil"/>
              <w:tr2bl w:val="nil"/>
            </w:tcBorders>
            <w:noWrap w:val="0"/>
            <w:vAlign w:val="center"/>
          </w:tcPr>
          <w:p w14:paraId="43302A3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758CCF1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5604B03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23A0F6E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EB4CD3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DAEF2E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785649A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ND</w:t>
            </w:r>
          </w:p>
        </w:tc>
        <w:tc>
          <w:tcPr>
            <w:tcW w:w="780" w:type="dxa"/>
            <w:vMerge w:val="continue"/>
            <w:tcBorders>
              <w:tl2br w:val="nil"/>
              <w:tr2bl w:val="nil"/>
            </w:tcBorders>
            <w:noWrap w:val="0"/>
            <w:vAlign w:val="center"/>
          </w:tcPr>
          <w:p w14:paraId="1FCB905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197CEA9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17DACF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D44A34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4E14E2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7E883F0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5E15B50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090608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27376EF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7497789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ND</w:t>
            </w:r>
          </w:p>
        </w:tc>
        <w:tc>
          <w:tcPr>
            <w:tcW w:w="780" w:type="dxa"/>
            <w:vMerge w:val="continue"/>
            <w:tcBorders>
              <w:tl2br w:val="nil"/>
              <w:tr2bl w:val="nil"/>
            </w:tcBorders>
            <w:noWrap w:val="0"/>
            <w:vAlign w:val="center"/>
          </w:tcPr>
          <w:p w14:paraId="5FC2D17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800F53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25662A2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25C825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22BCE52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5C74D9D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3C3BAF1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A0BF82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1623386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04908D5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ND</w:t>
            </w:r>
          </w:p>
        </w:tc>
        <w:tc>
          <w:tcPr>
            <w:tcW w:w="780" w:type="dxa"/>
            <w:vMerge w:val="continue"/>
            <w:tcBorders>
              <w:tl2br w:val="nil"/>
              <w:tr2bl w:val="nil"/>
            </w:tcBorders>
            <w:noWrap w:val="0"/>
            <w:vAlign w:val="center"/>
          </w:tcPr>
          <w:p w14:paraId="7CA56B7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302586D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5E9682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2A25D4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764CD58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54DB28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continue"/>
            <w:tcBorders>
              <w:tl2br w:val="nil"/>
              <w:tr2bl w:val="nil"/>
            </w:tcBorders>
            <w:noWrap w:val="0"/>
            <w:vAlign w:val="center"/>
          </w:tcPr>
          <w:p w14:paraId="109DC4A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28D4CC2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949591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日均值</w:t>
            </w:r>
          </w:p>
        </w:tc>
        <w:tc>
          <w:tcPr>
            <w:tcW w:w="1125" w:type="dxa"/>
            <w:tcBorders>
              <w:tl2br w:val="nil"/>
              <w:tr2bl w:val="nil"/>
            </w:tcBorders>
            <w:noWrap w:val="0"/>
            <w:vAlign w:val="center"/>
          </w:tcPr>
          <w:p w14:paraId="0EEB805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ND</w:t>
            </w:r>
          </w:p>
        </w:tc>
        <w:tc>
          <w:tcPr>
            <w:tcW w:w="780" w:type="dxa"/>
            <w:tcBorders>
              <w:tl2br w:val="nil"/>
              <w:tr2bl w:val="nil"/>
            </w:tcBorders>
            <w:noWrap w:val="0"/>
            <w:vAlign w:val="center"/>
          </w:tcPr>
          <w:p w14:paraId="23D9D69B">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w:t>
            </w:r>
          </w:p>
        </w:tc>
        <w:tc>
          <w:tcPr>
            <w:tcW w:w="915" w:type="dxa"/>
            <w:tcBorders>
              <w:tl2br w:val="nil"/>
              <w:tr2bl w:val="nil"/>
            </w:tcBorders>
            <w:noWrap w:val="0"/>
            <w:vAlign w:val="center"/>
          </w:tcPr>
          <w:p w14:paraId="755D235C">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0.1</w:t>
            </w:r>
          </w:p>
        </w:tc>
        <w:tc>
          <w:tcPr>
            <w:tcW w:w="720" w:type="dxa"/>
            <w:tcBorders>
              <w:tl2br w:val="nil"/>
              <w:tr2bl w:val="nil"/>
            </w:tcBorders>
            <w:noWrap w:val="0"/>
            <w:vAlign w:val="center"/>
          </w:tcPr>
          <w:p w14:paraId="43FCD10F">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w:t>
            </w:r>
          </w:p>
        </w:tc>
        <w:tc>
          <w:tcPr>
            <w:tcW w:w="665" w:type="dxa"/>
            <w:tcBorders>
              <w:tl2br w:val="nil"/>
              <w:tr2bl w:val="nil"/>
            </w:tcBorders>
            <w:noWrap w:val="0"/>
            <w:vAlign w:val="center"/>
          </w:tcPr>
          <w:p w14:paraId="65980960">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w:t>
            </w:r>
          </w:p>
        </w:tc>
        <w:tc>
          <w:tcPr>
            <w:tcW w:w="634" w:type="dxa"/>
            <w:tcBorders>
              <w:tl2br w:val="nil"/>
              <w:tr2bl w:val="nil"/>
            </w:tcBorders>
            <w:noWrap w:val="0"/>
            <w:vAlign w:val="center"/>
          </w:tcPr>
          <w:p w14:paraId="1F1C227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3C5EF84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0A36937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臭气浓度</w:t>
            </w:r>
          </w:p>
        </w:tc>
        <w:tc>
          <w:tcPr>
            <w:tcW w:w="1005" w:type="dxa"/>
            <w:vMerge w:val="restart"/>
            <w:tcBorders>
              <w:tl2br w:val="nil"/>
              <w:tr2bl w:val="nil"/>
            </w:tcBorders>
            <w:noWrap w:val="0"/>
            <w:vAlign w:val="center"/>
          </w:tcPr>
          <w:p w14:paraId="0F0F3D6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厂址</w:t>
            </w:r>
          </w:p>
        </w:tc>
        <w:tc>
          <w:tcPr>
            <w:tcW w:w="1425" w:type="dxa"/>
            <w:tcBorders>
              <w:tl2br w:val="nil"/>
              <w:tr2bl w:val="nil"/>
            </w:tcBorders>
            <w:noWrap w:val="0"/>
            <w:vAlign w:val="center"/>
          </w:tcPr>
          <w:p w14:paraId="00A272D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1086BED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restart"/>
            <w:tcBorders>
              <w:tl2br w:val="nil"/>
              <w:tr2bl w:val="nil"/>
            </w:tcBorders>
            <w:noWrap w:val="0"/>
            <w:vAlign w:val="center"/>
          </w:tcPr>
          <w:p w14:paraId="504CB1D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w:t>
            </w:r>
          </w:p>
        </w:tc>
        <w:tc>
          <w:tcPr>
            <w:tcW w:w="915" w:type="dxa"/>
            <w:vMerge w:val="restart"/>
            <w:tcBorders>
              <w:tl2br w:val="nil"/>
              <w:tr2bl w:val="nil"/>
            </w:tcBorders>
            <w:noWrap w:val="0"/>
            <w:vAlign w:val="center"/>
          </w:tcPr>
          <w:p w14:paraId="661A9C7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720" w:type="dxa"/>
            <w:vMerge w:val="restart"/>
            <w:tcBorders>
              <w:tl2br w:val="nil"/>
              <w:tr2bl w:val="nil"/>
            </w:tcBorders>
            <w:noWrap w:val="0"/>
            <w:vAlign w:val="center"/>
          </w:tcPr>
          <w:p w14:paraId="5BE67B8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w:t>
            </w:r>
          </w:p>
        </w:tc>
        <w:tc>
          <w:tcPr>
            <w:tcW w:w="665" w:type="dxa"/>
            <w:vMerge w:val="restart"/>
            <w:tcBorders>
              <w:tl2br w:val="nil"/>
              <w:tr2bl w:val="nil"/>
            </w:tcBorders>
            <w:noWrap w:val="0"/>
            <w:vAlign w:val="center"/>
          </w:tcPr>
          <w:p w14:paraId="5441174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34" w:type="dxa"/>
            <w:vMerge w:val="restart"/>
            <w:tcBorders>
              <w:tl2br w:val="nil"/>
              <w:tr2bl w:val="nil"/>
            </w:tcBorders>
            <w:noWrap w:val="0"/>
            <w:vAlign w:val="center"/>
          </w:tcPr>
          <w:p w14:paraId="2D686D0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eastAsia="zh-CN"/>
              </w:rPr>
            </w:pPr>
            <w:r>
              <w:rPr>
                <w:rFonts w:hint="default" w:ascii="Times New Roman" w:hAnsi="Times New Roman" w:eastAsia="宋体" w:cs="Times New Roman"/>
                <w:snapToGrid w:val="0"/>
                <w:spacing w:val="0"/>
                <w:kern w:val="21"/>
                <w:position w:val="0"/>
                <w:sz w:val="21"/>
                <w:szCs w:val="21"/>
                <w:lang w:val="en-US" w:eastAsia="zh-CN"/>
              </w:rPr>
              <w:t>/</w:t>
            </w:r>
          </w:p>
        </w:tc>
      </w:tr>
      <w:tr w14:paraId="7CF557A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186B90D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1819330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6373542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0EB1366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0A96E53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p>
        </w:tc>
        <w:tc>
          <w:tcPr>
            <w:tcW w:w="915" w:type="dxa"/>
            <w:vMerge w:val="continue"/>
            <w:tcBorders>
              <w:tl2br w:val="nil"/>
              <w:tr2bl w:val="nil"/>
            </w:tcBorders>
            <w:noWrap w:val="0"/>
            <w:vAlign w:val="center"/>
          </w:tcPr>
          <w:p w14:paraId="10DDBE8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4C1983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E4A2D6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1EF026B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07DA159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2AC8E9BB">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2B21169D">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0BAE437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6E8D7C9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719D83E7">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48F5D44C">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4E31EDFC">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38D3D731">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0F61A59">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236F68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2EE1FEE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389F88D">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152E223">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2B99BD7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3D49AB3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3041A27">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304BEF1">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185799BC">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202A9137">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176C829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restart"/>
            <w:tcBorders>
              <w:tl2br w:val="nil"/>
              <w:tr2bl w:val="nil"/>
            </w:tcBorders>
            <w:noWrap w:val="0"/>
            <w:vAlign w:val="center"/>
          </w:tcPr>
          <w:p w14:paraId="1814FA4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氮氧化物</w:t>
            </w:r>
          </w:p>
        </w:tc>
        <w:tc>
          <w:tcPr>
            <w:tcW w:w="1005" w:type="dxa"/>
            <w:vMerge w:val="restart"/>
            <w:tcBorders>
              <w:tl2br w:val="nil"/>
              <w:tr2bl w:val="nil"/>
            </w:tcBorders>
            <w:noWrap w:val="0"/>
            <w:vAlign w:val="center"/>
          </w:tcPr>
          <w:p w14:paraId="310E358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陈孝村</w:t>
            </w:r>
          </w:p>
        </w:tc>
        <w:tc>
          <w:tcPr>
            <w:tcW w:w="1425" w:type="dxa"/>
            <w:tcBorders>
              <w:tl2br w:val="nil"/>
              <w:tr2bl w:val="nil"/>
            </w:tcBorders>
            <w:noWrap w:val="0"/>
            <w:vAlign w:val="center"/>
          </w:tcPr>
          <w:p w14:paraId="718C903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4BE8559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0.016~0.042</w:t>
            </w:r>
          </w:p>
        </w:tc>
        <w:tc>
          <w:tcPr>
            <w:tcW w:w="780" w:type="dxa"/>
            <w:vMerge w:val="restart"/>
            <w:tcBorders>
              <w:tl2br w:val="nil"/>
              <w:tr2bl w:val="nil"/>
            </w:tcBorders>
            <w:noWrap w:val="0"/>
            <w:vAlign w:val="center"/>
          </w:tcPr>
          <w:p w14:paraId="7D86213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0.05</w:t>
            </w:r>
          </w:p>
        </w:tc>
        <w:tc>
          <w:tcPr>
            <w:tcW w:w="915" w:type="dxa"/>
            <w:vMerge w:val="restart"/>
            <w:tcBorders>
              <w:tl2br w:val="nil"/>
              <w:tr2bl w:val="nil"/>
            </w:tcBorders>
            <w:noWrap w:val="0"/>
            <w:vAlign w:val="center"/>
          </w:tcPr>
          <w:p w14:paraId="2BF28042">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ascii="Times New Roman" w:hAnsi="Times New Roman" w:eastAsia="宋体" w:cs="Times New Roman"/>
                <w:snapToGrid w:val="0"/>
                <w:spacing w:val="0"/>
                <w:kern w:val="21"/>
                <w:position w:val="0"/>
                <w:sz w:val="21"/>
                <w:szCs w:val="21"/>
                <w:lang w:val="en-US" w:eastAsia="zh-CN"/>
              </w:rPr>
              <w:t>0.25</w:t>
            </w:r>
          </w:p>
        </w:tc>
        <w:tc>
          <w:tcPr>
            <w:tcW w:w="720" w:type="dxa"/>
            <w:vMerge w:val="restart"/>
            <w:tcBorders>
              <w:tl2br w:val="nil"/>
              <w:tr2bl w:val="nil"/>
            </w:tcBorders>
            <w:noWrap w:val="0"/>
            <w:vAlign w:val="center"/>
          </w:tcPr>
          <w:p w14:paraId="2DE0454E">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eastAsia" w:ascii="Times New Roman" w:hAnsi="Times New Roman" w:eastAsia="宋体" w:cs="Times New Roman"/>
                <w:snapToGrid w:val="0"/>
                <w:spacing w:val="0"/>
                <w:kern w:val="21"/>
                <w:position w:val="0"/>
                <w:sz w:val="21"/>
                <w:szCs w:val="21"/>
                <w:lang w:val="en-US" w:eastAsia="zh-CN"/>
              </w:rPr>
              <w:t>20</w:t>
            </w:r>
          </w:p>
        </w:tc>
        <w:tc>
          <w:tcPr>
            <w:tcW w:w="665" w:type="dxa"/>
            <w:vMerge w:val="restart"/>
            <w:tcBorders>
              <w:tl2br w:val="nil"/>
              <w:tr2bl w:val="nil"/>
            </w:tcBorders>
            <w:noWrap w:val="0"/>
            <w:vAlign w:val="center"/>
          </w:tcPr>
          <w:p w14:paraId="4A919C0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33ACC95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71B7E6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5955742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1E2203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4FCA696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5408C4C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0.016~0.042</w:t>
            </w:r>
          </w:p>
        </w:tc>
        <w:tc>
          <w:tcPr>
            <w:tcW w:w="780" w:type="dxa"/>
            <w:vMerge w:val="continue"/>
            <w:tcBorders>
              <w:tl2br w:val="nil"/>
              <w:tr2bl w:val="nil"/>
            </w:tcBorders>
            <w:noWrap w:val="0"/>
            <w:vAlign w:val="center"/>
          </w:tcPr>
          <w:p w14:paraId="62C9CD2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26ED65F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4D0F4D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5EB1B19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71AB956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517E3B3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1C92267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022856D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0B4D7D7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3D644D7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0.018~0.05</w:t>
            </w:r>
          </w:p>
        </w:tc>
        <w:tc>
          <w:tcPr>
            <w:tcW w:w="780" w:type="dxa"/>
            <w:vMerge w:val="continue"/>
            <w:tcBorders>
              <w:tl2br w:val="nil"/>
              <w:tr2bl w:val="nil"/>
            </w:tcBorders>
            <w:noWrap w:val="0"/>
            <w:vAlign w:val="center"/>
          </w:tcPr>
          <w:p w14:paraId="5F78851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35187DD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AA1789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0AE43C6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28F88C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0477E18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1D2CE00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086ED0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1885FF9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73E9CAF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0.017~0.049</w:t>
            </w:r>
          </w:p>
        </w:tc>
        <w:tc>
          <w:tcPr>
            <w:tcW w:w="780" w:type="dxa"/>
            <w:vMerge w:val="continue"/>
            <w:tcBorders>
              <w:tl2br w:val="nil"/>
              <w:tr2bl w:val="nil"/>
            </w:tcBorders>
            <w:noWrap w:val="0"/>
            <w:vAlign w:val="center"/>
          </w:tcPr>
          <w:p w14:paraId="4C64D2B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538E697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69F993D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14A2D6E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C77488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15CC58D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69A5057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01E15B3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93F46A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日均值</w:t>
            </w:r>
          </w:p>
        </w:tc>
        <w:tc>
          <w:tcPr>
            <w:tcW w:w="1125" w:type="dxa"/>
            <w:tcBorders>
              <w:tl2br w:val="nil"/>
              <w:tr2bl w:val="nil"/>
            </w:tcBorders>
            <w:noWrap w:val="0"/>
            <w:vAlign w:val="center"/>
          </w:tcPr>
          <w:p w14:paraId="4B582B9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0.014~0.048</w:t>
            </w:r>
          </w:p>
        </w:tc>
        <w:tc>
          <w:tcPr>
            <w:tcW w:w="780" w:type="dxa"/>
            <w:tcBorders>
              <w:tl2br w:val="nil"/>
              <w:tr2bl w:val="nil"/>
            </w:tcBorders>
            <w:noWrap w:val="0"/>
            <w:vAlign w:val="center"/>
          </w:tcPr>
          <w:p w14:paraId="675582C5">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0.048</w:t>
            </w:r>
          </w:p>
        </w:tc>
        <w:tc>
          <w:tcPr>
            <w:tcW w:w="915" w:type="dxa"/>
            <w:tcBorders>
              <w:tl2br w:val="nil"/>
              <w:tr2bl w:val="nil"/>
            </w:tcBorders>
            <w:noWrap w:val="0"/>
            <w:vAlign w:val="center"/>
          </w:tcPr>
          <w:p w14:paraId="2FBA7A32">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0.1</w:t>
            </w:r>
          </w:p>
        </w:tc>
        <w:tc>
          <w:tcPr>
            <w:tcW w:w="720" w:type="dxa"/>
            <w:tcBorders>
              <w:tl2br w:val="nil"/>
              <w:tr2bl w:val="nil"/>
            </w:tcBorders>
            <w:noWrap w:val="0"/>
            <w:vAlign w:val="center"/>
          </w:tcPr>
          <w:p w14:paraId="798A1F34">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48</w:t>
            </w:r>
          </w:p>
        </w:tc>
        <w:tc>
          <w:tcPr>
            <w:tcW w:w="665" w:type="dxa"/>
            <w:tcBorders>
              <w:tl2br w:val="nil"/>
              <w:tr2bl w:val="nil"/>
            </w:tcBorders>
            <w:noWrap w:val="0"/>
            <w:vAlign w:val="center"/>
          </w:tcPr>
          <w:p w14:paraId="5A91E202">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w:t>
            </w:r>
          </w:p>
        </w:tc>
        <w:tc>
          <w:tcPr>
            <w:tcW w:w="634" w:type="dxa"/>
            <w:tcBorders>
              <w:tl2br w:val="nil"/>
              <w:tr2bl w:val="nil"/>
            </w:tcBorders>
            <w:noWrap w:val="0"/>
            <w:vAlign w:val="center"/>
          </w:tcPr>
          <w:p w14:paraId="0BE0C4C5">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达标</w:t>
            </w:r>
          </w:p>
        </w:tc>
      </w:tr>
      <w:tr w14:paraId="23FFBAA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shd w:val="clear" w:color="auto" w:fill="auto"/>
            <w:noWrap w:val="0"/>
            <w:vAlign w:val="center"/>
          </w:tcPr>
          <w:p w14:paraId="228508B5">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bidi="ar-SA"/>
              </w:rPr>
            </w:pPr>
            <w:r>
              <w:rPr>
                <w:rFonts w:hint="default" w:ascii="Times New Roman" w:hAnsi="Times New Roman" w:eastAsia="宋体" w:cs="Times New Roman"/>
                <w:snapToGrid w:val="0"/>
                <w:spacing w:val="0"/>
                <w:kern w:val="21"/>
                <w:position w:val="0"/>
                <w:sz w:val="21"/>
                <w:szCs w:val="21"/>
                <w:lang w:val="en-US" w:eastAsia="zh-CN"/>
              </w:rPr>
              <w:t>氨</w:t>
            </w:r>
          </w:p>
        </w:tc>
        <w:tc>
          <w:tcPr>
            <w:tcW w:w="1005" w:type="dxa"/>
            <w:vMerge w:val="restart"/>
            <w:tcBorders>
              <w:tl2br w:val="nil"/>
              <w:tr2bl w:val="nil"/>
            </w:tcBorders>
            <w:shd w:val="clear" w:color="auto" w:fill="auto"/>
            <w:noWrap w:val="0"/>
            <w:vAlign w:val="center"/>
          </w:tcPr>
          <w:p w14:paraId="11804B2C">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bidi="ar-SA"/>
              </w:rPr>
            </w:pPr>
            <w:r>
              <w:rPr>
                <w:rFonts w:hint="default" w:ascii="Times New Roman" w:hAnsi="Times New Roman" w:eastAsia="宋体" w:cs="Times New Roman"/>
                <w:snapToGrid w:val="0"/>
                <w:spacing w:val="0"/>
                <w:kern w:val="21"/>
                <w:position w:val="0"/>
                <w:sz w:val="21"/>
                <w:szCs w:val="21"/>
                <w:lang w:val="en-US" w:eastAsia="zh-CN"/>
              </w:rPr>
              <w:t>陈孝村</w:t>
            </w:r>
          </w:p>
        </w:tc>
        <w:tc>
          <w:tcPr>
            <w:tcW w:w="1425" w:type="dxa"/>
            <w:tcBorders>
              <w:tl2br w:val="nil"/>
              <w:tr2bl w:val="nil"/>
            </w:tcBorders>
            <w:noWrap w:val="0"/>
            <w:vAlign w:val="center"/>
          </w:tcPr>
          <w:p w14:paraId="7A00254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50877F98">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0.01~0.04</w:t>
            </w:r>
          </w:p>
        </w:tc>
        <w:tc>
          <w:tcPr>
            <w:tcW w:w="780" w:type="dxa"/>
            <w:vMerge w:val="restart"/>
            <w:tcBorders>
              <w:tl2br w:val="nil"/>
              <w:tr2bl w:val="nil"/>
            </w:tcBorders>
            <w:noWrap w:val="0"/>
            <w:vAlign w:val="center"/>
          </w:tcPr>
          <w:p w14:paraId="5D0FC57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0.09</w:t>
            </w:r>
          </w:p>
        </w:tc>
        <w:tc>
          <w:tcPr>
            <w:tcW w:w="915" w:type="dxa"/>
            <w:vMerge w:val="restart"/>
            <w:tcBorders>
              <w:tl2br w:val="nil"/>
              <w:tr2bl w:val="nil"/>
            </w:tcBorders>
            <w:noWrap w:val="0"/>
            <w:vAlign w:val="center"/>
          </w:tcPr>
          <w:p w14:paraId="69C2D09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0.2</w:t>
            </w:r>
          </w:p>
        </w:tc>
        <w:tc>
          <w:tcPr>
            <w:tcW w:w="720" w:type="dxa"/>
            <w:vMerge w:val="restart"/>
            <w:tcBorders>
              <w:tl2br w:val="nil"/>
              <w:tr2bl w:val="nil"/>
            </w:tcBorders>
            <w:noWrap w:val="0"/>
            <w:vAlign w:val="center"/>
          </w:tcPr>
          <w:p w14:paraId="34C20C0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FF000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45</w:t>
            </w:r>
          </w:p>
        </w:tc>
        <w:tc>
          <w:tcPr>
            <w:tcW w:w="665" w:type="dxa"/>
            <w:vMerge w:val="restart"/>
            <w:tcBorders>
              <w:tl2br w:val="nil"/>
              <w:tr2bl w:val="nil"/>
            </w:tcBorders>
            <w:noWrap w:val="0"/>
            <w:vAlign w:val="center"/>
          </w:tcPr>
          <w:p w14:paraId="470CF54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68A3AB2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达</w:t>
            </w:r>
            <w:r>
              <w:rPr>
                <w:rFonts w:hint="default" w:ascii="Times New Roman" w:hAnsi="Times New Roman" w:eastAsia="宋体" w:cs="Times New Roman"/>
                <w:snapToGrid w:val="0"/>
                <w:spacing w:val="0"/>
                <w:kern w:val="21"/>
                <w:position w:val="0"/>
                <w:sz w:val="21"/>
                <w:szCs w:val="21"/>
              </w:rPr>
              <w:t>标</w:t>
            </w:r>
          </w:p>
        </w:tc>
      </w:tr>
      <w:tr w14:paraId="78227BB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7D34C2B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19EDC0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58C4061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6417C1B3">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0.04~0.09</w:t>
            </w:r>
          </w:p>
        </w:tc>
        <w:tc>
          <w:tcPr>
            <w:tcW w:w="780" w:type="dxa"/>
            <w:vMerge w:val="continue"/>
            <w:tcBorders>
              <w:tl2br w:val="nil"/>
              <w:tr2bl w:val="nil"/>
            </w:tcBorders>
            <w:noWrap w:val="0"/>
            <w:vAlign w:val="center"/>
          </w:tcPr>
          <w:p w14:paraId="17D5128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220860A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28ABAD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D8B354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A64C8C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3BB7A27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59724EE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4A81758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63D430A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67156D0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0.04~0.08</w:t>
            </w:r>
          </w:p>
        </w:tc>
        <w:tc>
          <w:tcPr>
            <w:tcW w:w="780" w:type="dxa"/>
            <w:vMerge w:val="continue"/>
            <w:tcBorders>
              <w:tl2br w:val="nil"/>
              <w:tr2bl w:val="nil"/>
            </w:tcBorders>
            <w:noWrap w:val="0"/>
            <w:vAlign w:val="center"/>
          </w:tcPr>
          <w:p w14:paraId="121C252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319A8F6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0F3C53B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EDD7A8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B440B6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197268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1619C1C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4A30484E">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4F22551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6A91750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0.04~0.08</w:t>
            </w:r>
          </w:p>
        </w:tc>
        <w:tc>
          <w:tcPr>
            <w:tcW w:w="780" w:type="dxa"/>
            <w:vMerge w:val="continue"/>
            <w:tcBorders>
              <w:tl2br w:val="nil"/>
              <w:tr2bl w:val="nil"/>
            </w:tcBorders>
            <w:noWrap w:val="0"/>
            <w:vAlign w:val="center"/>
          </w:tcPr>
          <w:p w14:paraId="085F3A1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4B0DE4A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62607DE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F9BE56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41D853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6C0B90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3A61A9B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硫化氢</w:t>
            </w:r>
          </w:p>
        </w:tc>
        <w:tc>
          <w:tcPr>
            <w:tcW w:w="1005" w:type="dxa"/>
            <w:vMerge w:val="restart"/>
            <w:tcBorders>
              <w:tl2br w:val="nil"/>
              <w:tr2bl w:val="nil"/>
            </w:tcBorders>
            <w:noWrap w:val="0"/>
            <w:vAlign w:val="center"/>
          </w:tcPr>
          <w:p w14:paraId="44F2E12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陈孝村</w:t>
            </w:r>
          </w:p>
        </w:tc>
        <w:tc>
          <w:tcPr>
            <w:tcW w:w="1425" w:type="dxa"/>
            <w:tcBorders>
              <w:tl2br w:val="nil"/>
              <w:tr2bl w:val="nil"/>
            </w:tcBorders>
            <w:noWrap w:val="0"/>
            <w:vAlign w:val="center"/>
          </w:tcPr>
          <w:p w14:paraId="3D3F28E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4A4AD38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0.001~0.002</w:t>
            </w:r>
          </w:p>
        </w:tc>
        <w:tc>
          <w:tcPr>
            <w:tcW w:w="780" w:type="dxa"/>
            <w:vMerge w:val="restart"/>
            <w:tcBorders>
              <w:tl2br w:val="nil"/>
              <w:tr2bl w:val="nil"/>
            </w:tcBorders>
            <w:noWrap w:val="0"/>
            <w:vAlign w:val="center"/>
          </w:tcPr>
          <w:p w14:paraId="69D639E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0.005</w:t>
            </w:r>
          </w:p>
        </w:tc>
        <w:tc>
          <w:tcPr>
            <w:tcW w:w="915" w:type="dxa"/>
            <w:vMerge w:val="restart"/>
            <w:tcBorders>
              <w:tl2br w:val="nil"/>
              <w:tr2bl w:val="nil"/>
            </w:tcBorders>
            <w:noWrap w:val="0"/>
            <w:vAlign w:val="center"/>
          </w:tcPr>
          <w:p w14:paraId="2CFC932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0.01</w:t>
            </w:r>
          </w:p>
        </w:tc>
        <w:tc>
          <w:tcPr>
            <w:tcW w:w="720" w:type="dxa"/>
            <w:vMerge w:val="restart"/>
            <w:tcBorders>
              <w:tl2br w:val="nil"/>
              <w:tr2bl w:val="nil"/>
            </w:tcBorders>
            <w:noWrap w:val="0"/>
            <w:vAlign w:val="center"/>
          </w:tcPr>
          <w:p w14:paraId="2744FBC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50</w:t>
            </w:r>
          </w:p>
        </w:tc>
        <w:tc>
          <w:tcPr>
            <w:tcW w:w="665" w:type="dxa"/>
            <w:vMerge w:val="restart"/>
            <w:tcBorders>
              <w:tl2br w:val="nil"/>
              <w:tr2bl w:val="nil"/>
            </w:tcBorders>
            <w:noWrap w:val="0"/>
            <w:vAlign w:val="center"/>
          </w:tcPr>
          <w:p w14:paraId="79D2928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w:t>
            </w:r>
          </w:p>
        </w:tc>
        <w:tc>
          <w:tcPr>
            <w:tcW w:w="634" w:type="dxa"/>
            <w:vMerge w:val="restart"/>
            <w:tcBorders>
              <w:tl2br w:val="nil"/>
              <w:tr2bl w:val="nil"/>
            </w:tcBorders>
            <w:noWrap w:val="0"/>
            <w:vAlign w:val="center"/>
          </w:tcPr>
          <w:p w14:paraId="69C3C82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23101F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42BF2E93">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95B742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7F0629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6C2E6B8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0.003~0.005</w:t>
            </w:r>
          </w:p>
        </w:tc>
        <w:tc>
          <w:tcPr>
            <w:tcW w:w="780" w:type="dxa"/>
            <w:vMerge w:val="continue"/>
            <w:tcBorders>
              <w:tl2br w:val="nil"/>
              <w:tr2bl w:val="nil"/>
            </w:tcBorders>
            <w:noWrap w:val="0"/>
            <w:vAlign w:val="center"/>
          </w:tcPr>
          <w:p w14:paraId="7C31AA6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238D1EA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16FD8B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C4E9C4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0CFF3E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407F4F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4C93462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EC1B6C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40D1B6E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3C78601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0.003~0.005</w:t>
            </w:r>
          </w:p>
        </w:tc>
        <w:tc>
          <w:tcPr>
            <w:tcW w:w="780" w:type="dxa"/>
            <w:vMerge w:val="continue"/>
            <w:tcBorders>
              <w:tl2br w:val="nil"/>
              <w:tr2bl w:val="nil"/>
            </w:tcBorders>
            <w:noWrap w:val="0"/>
            <w:vAlign w:val="center"/>
          </w:tcPr>
          <w:p w14:paraId="1DF0FAE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663472F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2733C6C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1B100B1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49D07096">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69FCF33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1C5AED9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2EF4F4A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4D7214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07DAE4A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0.003~0.004</w:t>
            </w:r>
          </w:p>
        </w:tc>
        <w:tc>
          <w:tcPr>
            <w:tcW w:w="780" w:type="dxa"/>
            <w:vMerge w:val="continue"/>
            <w:tcBorders>
              <w:tl2br w:val="nil"/>
              <w:tr2bl w:val="nil"/>
            </w:tcBorders>
            <w:noWrap w:val="0"/>
            <w:vAlign w:val="center"/>
          </w:tcPr>
          <w:p w14:paraId="255649D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11EBFC5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1B57A8F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7255E64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3C63C6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5D4C1D3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restart"/>
            <w:tcBorders>
              <w:tl2br w:val="nil"/>
              <w:tr2bl w:val="nil"/>
            </w:tcBorders>
            <w:noWrap w:val="0"/>
            <w:vAlign w:val="center"/>
          </w:tcPr>
          <w:p w14:paraId="60397E3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硫酸雾</w:t>
            </w:r>
          </w:p>
        </w:tc>
        <w:tc>
          <w:tcPr>
            <w:tcW w:w="1005" w:type="dxa"/>
            <w:vMerge w:val="restart"/>
            <w:tcBorders>
              <w:tl2br w:val="nil"/>
              <w:tr2bl w:val="nil"/>
            </w:tcBorders>
            <w:noWrap w:val="0"/>
            <w:vAlign w:val="center"/>
          </w:tcPr>
          <w:p w14:paraId="668A4D4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陈孝村</w:t>
            </w:r>
          </w:p>
        </w:tc>
        <w:tc>
          <w:tcPr>
            <w:tcW w:w="1425" w:type="dxa"/>
            <w:tcBorders>
              <w:tl2br w:val="nil"/>
              <w:tr2bl w:val="nil"/>
            </w:tcBorders>
            <w:noWrap w:val="0"/>
            <w:vAlign w:val="center"/>
          </w:tcPr>
          <w:p w14:paraId="5DAC9E6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shd w:val="clear" w:color="auto" w:fill="auto"/>
            <w:noWrap w:val="0"/>
            <w:vAlign w:val="center"/>
          </w:tcPr>
          <w:p w14:paraId="41B7EF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bidi="ar-SA"/>
              </w:rPr>
            </w:pPr>
            <w:r>
              <w:rPr>
                <w:rFonts w:hint="default" w:ascii="Times New Roman" w:hAnsi="Times New Roman" w:eastAsia="宋体" w:cs="Times New Roman"/>
                <w:snapToGrid w:val="0"/>
                <w:spacing w:val="0"/>
                <w:kern w:val="21"/>
                <w:position w:val="0"/>
                <w:sz w:val="21"/>
                <w:szCs w:val="21"/>
                <w:lang w:val="en-US" w:eastAsia="zh-CN" w:bidi="ar-SA"/>
              </w:rPr>
              <w:t>ND</w:t>
            </w:r>
          </w:p>
        </w:tc>
        <w:tc>
          <w:tcPr>
            <w:tcW w:w="780" w:type="dxa"/>
            <w:vMerge w:val="restart"/>
            <w:tcBorders>
              <w:tl2br w:val="nil"/>
              <w:tr2bl w:val="nil"/>
            </w:tcBorders>
            <w:noWrap w:val="0"/>
            <w:vAlign w:val="center"/>
          </w:tcPr>
          <w:p w14:paraId="2BBB75E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915" w:type="dxa"/>
            <w:vMerge w:val="restart"/>
            <w:tcBorders>
              <w:tl2br w:val="nil"/>
              <w:tr2bl w:val="nil"/>
            </w:tcBorders>
            <w:noWrap w:val="0"/>
            <w:vAlign w:val="center"/>
          </w:tcPr>
          <w:p w14:paraId="47EAA7B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0.3</w:t>
            </w:r>
          </w:p>
        </w:tc>
        <w:tc>
          <w:tcPr>
            <w:tcW w:w="720" w:type="dxa"/>
            <w:vMerge w:val="restart"/>
            <w:tcBorders>
              <w:tl2br w:val="nil"/>
              <w:tr2bl w:val="nil"/>
            </w:tcBorders>
            <w:noWrap w:val="0"/>
            <w:vAlign w:val="center"/>
          </w:tcPr>
          <w:p w14:paraId="31608EE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65" w:type="dxa"/>
            <w:vMerge w:val="restart"/>
            <w:tcBorders>
              <w:tl2br w:val="nil"/>
              <w:tr2bl w:val="nil"/>
            </w:tcBorders>
            <w:noWrap w:val="0"/>
            <w:vAlign w:val="center"/>
          </w:tcPr>
          <w:p w14:paraId="0FE2BE4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34" w:type="dxa"/>
            <w:vMerge w:val="restart"/>
            <w:tcBorders>
              <w:tl2br w:val="nil"/>
              <w:tr2bl w:val="nil"/>
            </w:tcBorders>
            <w:noWrap w:val="0"/>
            <w:vAlign w:val="center"/>
          </w:tcPr>
          <w:p w14:paraId="3591B2D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09C2B16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4302855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0D5391A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59292CA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3AF15749">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bidi="ar-SA"/>
              </w:rPr>
              <w:t>ND</w:t>
            </w:r>
          </w:p>
        </w:tc>
        <w:tc>
          <w:tcPr>
            <w:tcW w:w="780" w:type="dxa"/>
            <w:vMerge w:val="continue"/>
            <w:tcBorders>
              <w:tl2br w:val="nil"/>
              <w:tr2bl w:val="nil"/>
            </w:tcBorders>
            <w:noWrap w:val="0"/>
            <w:vAlign w:val="center"/>
          </w:tcPr>
          <w:p w14:paraId="78AEED2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7542CD92">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11A52B8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10944E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389C516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6BEBEB6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0F2FB76D">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42AD8AB1">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0DCE499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73570E4A">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bidi="ar-SA"/>
              </w:rPr>
              <w:t>ND</w:t>
            </w:r>
          </w:p>
        </w:tc>
        <w:tc>
          <w:tcPr>
            <w:tcW w:w="780" w:type="dxa"/>
            <w:vMerge w:val="continue"/>
            <w:tcBorders>
              <w:tl2br w:val="nil"/>
              <w:tr2bl w:val="nil"/>
            </w:tcBorders>
            <w:noWrap w:val="0"/>
            <w:vAlign w:val="center"/>
          </w:tcPr>
          <w:p w14:paraId="7662AFC4">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1F2D1BE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02EE6E0">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0D3FC5A">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F4422D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332F52D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7C693E3F">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79B4243B">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39F8CDB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33C2E7F0">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bidi="ar-SA"/>
              </w:rPr>
              <w:t>ND</w:t>
            </w:r>
          </w:p>
        </w:tc>
        <w:tc>
          <w:tcPr>
            <w:tcW w:w="780" w:type="dxa"/>
            <w:vMerge w:val="continue"/>
            <w:tcBorders>
              <w:tl2br w:val="nil"/>
              <w:tr2bl w:val="nil"/>
            </w:tcBorders>
            <w:noWrap w:val="0"/>
            <w:vAlign w:val="center"/>
          </w:tcPr>
          <w:p w14:paraId="081C6D85">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0B0CCF5C">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37698D19">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4490759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675D89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06676A8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continue"/>
            <w:tcBorders>
              <w:tl2br w:val="nil"/>
              <w:tr2bl w:val="nil"/>
            </w:tcBorders>
            <w:noWrap w:val="0"/>
            <w:vAlign w:val="center"/>
          </w:tcPr>
          <w:p w14:paraId="07D168C8">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5F0BEE77">
            <w:pPr>
              <w:pStyle w:val="16"/>
              <w:keepNext w:val="0"/>
              <w:keepLines w:val="0"/>
              <w:pageBreakBefore w:val="0"/>
              <w:widowControl/>
              <w:tabs>
                <w:tab w:val="left" w:pos="4708"/>
              </w:tabs>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7DCBE7C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日均值</w:t>
            </w:r>
          </w:p>
        </w:tc>
        <w:tc>
          <w:tcPr>
            <w:tcW w:w="1125" w:type="dxa"/>
            <w:tcBorders>
              <w:tl2br w:val="nil"/>
              <w:tr2bl w:val="nil"/>
            </w:tcBorders>
            <w:noWrap w:val="0"/>
            <w:vAlign w:val="center"/>
          </w:tcPr>
          <w:p w14:paraId="6F4BB94D">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bidi="ar-SA"/>
              </w:rPr>
              <w:t>ND</w:t>
            </w:r>
          </w:p>
        </w:tc>
        <w:tc>
          <w:tcPr>
            <w:tcW w:w="780" w:type="dxa"/>
            <w:tcBorders>
              <w:tl2br w:val="nil"/>
              <w:tr2bl w:val="nil"/>
            </w:tcBorders>
            <w:noWrap w:val="0"/>
            <w:vAlign w:val="center"/>
          </w:tcPr>
          <w:p w14:paraId="191267DB">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w:t>
            </w:r>
          </w:p>
        </w:tc>
        <w:tc>
          <w:tcPr>
            <w:tcW w:w="915" w:type="dxa"/>
            <w:tcBorders>
              <w:tl2br w:val="nil"/>
              <w:tr2bl w:val="nil"/>
            </w:tcBorders>
            <w:noWrap w:val="0"/>
            <w:vAlign w:val="center"/>
          </w:tcPr>
          <w:p w14:paraId="6B35AFB7">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0.1</w:t>
            </w:r>
          </w:p>
        </w:tc>
        <w:tc>
          <w:tcPr>
            <w:tcW w:w="720" w:type="dxa"/>
            <w:tcBorders>
              <w:tl2br w:val="nil"/>
              <w:tr2bl w:val="nil"/>
            </w:tcBorders>
            <w:noWrap w:val="0"/>
            <w:vAlign w:val="center"/>
          </w:tcPr>
          <w:p w14:paraId="757B85CE">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w:t>
            </w:r>
          </w:p>
        </w:tc>
        <w:tc>
          <w:tcPr>
            <w:tcW w:w="665" w:type="dxa"/>
            <w:tcBorders>
              <w:tl2br w:val="nil"/>
              <w:tr2bl w:val="nil"/>
            </w:tcBorders>
            <w:noWrap w:val="0"/>
            <w:vAlign w:val="center"/>
          </w:tcPr>
          <w:p w14:paraId="0DFD31DC">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w:t>
            </w:r>
          </w:p>
        </w:tc>
        <w:tc>
          <w:tcPr>
            <w:tcW w:w="634" w:type="dxa"/>
            <w:tcBorders>
              <w:tl2br w:val="nil"/>
              <w:tr2bl w:val="nil"/>
            </w:tcBorders>
            <w:noWrap w:val="0"/>
            <w:vAlign w:val="center"/>
          </w:tcPr>
          <w:p w14:paraId="4245AD35">
            <w:pPr>
              <w:pStyle w:val="16"/>
              <w:keepNext w:val="0"/>
              <w:keepLines w:val="0"/>
              <w:pageBreakBefore w:val="0"/>
              <w:widowControl/>
              <w:tabs>
                <w:tab w:val="left" w:pos="4708"/>
              </w:tabs>
              <w:kinsoku/>
              <w:wordWrap/>
              <w:overflowPunct/>
              <w:topLinePunct/>
              <w:autoSpaceDE w:val="0"/>
              <w:autoSpaceDN/>
              <w:bidi w:val="0"/>
              <w:adjustRightInd w:val="0"/>
              <w:snapToGrid w:val="0"/>
              <w:spacing w:after="0" w:line="240" w:lineRule="auto"/>
              <w:ind w:left="0" w:right="0" w:firstLine="0" w:firstLineChars="0"/>
              <w:jc w:val="center"/>
              <w:textAlignment w:val="auto"/>
              <w:rPr>
                <w:rFonts w:hint="default" w:cs="Times New Roman"/>
                <w:snapToGrid w:val="0"/>
                <w:spacing w:val="0"/>
                <w:kern w:val="21"/>
                <w:position w:val="0"/>
                <w:sz w:val="21"/>
                <w:szCs w:val="21"/>
                <w:lang w:val="en-US" w:eastAsia="zh-CN"/>
              </w:rPr>
            </w:pPr>
            <w:r>
              <w:rPr>
                <w:rFonts w:hint="default" w:cs="Times New Roman"/>
                <w:snapToGrid w:val="0"/>
                <w:spacing w:val="0"/>
                <w:kern w:val="21"/>
                <w:position w:val="0"/>
                <w:sz w:val="21"/>
                <w:szCs w:val="21"/>
                <w:lang w:val="en-US" w:eastAsia="zh-CN"/>
              </w:rPr>
              <w:t>达标</w:t>
            </w:r>
          </w:p>
        </w:tc>
      </w:tr>
      <w:tr w14:paraId="1C1FF06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401" w:hRule="atLeast"/>
          <w:jc w:val="center"/>
        </w:trPr>
        <w:tc>
          <w:tcPr>
            <w:tcW w:w="911" w:type="dxa"/>
            <w:vMerge w:val="restart"/>
            <w:tcBorders>
              <w:tl2br w:val="nil"/>
              <w:tr2bl w:val="nil"/>
            </w:tcBorders>
            <w:noWrap w:val="0"/>
            <w:vAlign w:val="center"/>
          </w:tcPr>
          <w:p w14:paraId="19913C2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臭气浓度</w:t>
            </w:r>
          </w:p>
        </w:tc>
        <w:tc>
          <w:tcPr>
            <w:tcW w:w="1005" w:type="dxa"/>
            <w:vMerge w:val="restart"/>
            <w:tcBorders>
              <w:tl2br w:val="nil"/>
              <w:tr2bl w:val="nil"/>
            </w:tcBorders>
            <w:noWrap w:val="0"/>
            <w:vAlign w:val="center"/>
          </w:tcPr>
          <w:p w14:paraId="08A38CF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陈孝村</w:t>
            </w:r>
          </w:p>
        </w:tc>
        <w:tc>
          <w:tcPr>
            <w:tcW w:w="1425" w:type="dxa"/>
            <w:tcBorders>
              <w:tl2br w:val="nil"/>
              <w:tr2bl w:val="nil"/>
            </w:tcBorders>
            <w:noWrap w:val="0"/>
            <w:vAlign w:val="center"/>
          </w:tcPr>
          <w:p w14:paraId="70DEA9C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2：00-03：00</w:t>
            </w:r>
          </w:p>
        </w:tc>
        <w:tc>
          <w:tcPr>
            <w:tcW w:w="1125" w:type="dxa"/>
            <w:tcBorders>
              <w:tl2br w:val="nil"/>
              <w:tr2bl w:val="nil"/>
            </w:tcBorders>
            <w:noWrap w:val="0"/>
            <w:vAlign w:val="center"/>
          </w:tcPr>
          <w:p w14:paraId="1CBDA5B3">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restart"/>
            <w:tcBorders>
              <w:tl2br w:val="nil"/>
              <w:tr2bl w:val="nil"/>
            </w:tcBorders>
            <w:noWrap w:val="0"/>
            <w:vAlign w:val="center"/>
          </w:tcPr>
          <w:p w14:paraId="0FF505C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915" w:type="dxa"/>
            <w:vMerge w:val="restart"/>
            <w:tcBorders>
              <w:tl2br w:val="nil"/>
              <w:tr2bl w:val="nil"/>
            </w:tcBorders>
            <w:noWrap w:val="0"/>
            <w:vAlign w:val="center"/>
          </w:tcPr>
          <w:p w14:paraId="2F97490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720" w:type="dxa"/>
            <w:vMerge w:val="restart"/>
            <w:tcBorders>
              <w:tl2br w:val="nil"/>
              <w:tr2bl w:val="nil"/>
            </w:tcBorders>
            <w:noWrap w:val="0"/>
            <w:vAlign w:val="center"/>
          </w:tcPr>
          <w:p w14:paraId="609649D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65" w:type="dxa"/>
            <w:vMerge w:val="restart"/>
            <w:tcBorders>
              <w:tl2br w:val="nil"/>
              <w:tr2bl w:val="nil"/>
            </w:tcBorders>
            <w:noWrap w:val="0"/>
            <w:vAlign w:val="center"/>
          </w:tcPr>
          <w:p w14:paraId="1FD6BD6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napToGrid w:val="0"/>
                <w:spacing w:val="0"/>
                <w:kern w:val="21"/>
                <w:position w:val="0"/>
                <w:sz w:val="21"/>
                <w:szCs w:val="21"/>
                <w:lang w:val="en-US" w:eastAsia="zh-CN"/>
              </w:rPr>
              <w:t>/</w:t>
            </w:r>
          </w:p>
        </w:tc>
        <w:tc>
          <w:tcPr>
            <w:tcW w:w="634" w:type="dxa"/>
            <w:vMerge w:val="restart"/>
            <w:tcBorders>
              <w:tl2br w:val="nil"/>
              <w:tr2bl w:val="nil"/>
            </w:tcBorders>
            <w:noWrap w:val="0"/>
            <w:vAlign w:val="center"/>
          </w:tcPr>
          <w:p w14:paraId="7D854AE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达标</w:t>
            </w:r>
          </w:p>
        </w:tc>
      </w:tr>
      <w:tr w14:paraId="0379BE7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6A4BFFC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62E2B42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2140A0A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8：00-09：00</w:t>
            </w:r>
          </w:p>
        </w:tc>
        <w:tc>
          <w:tcPr>
            <w:tcW w:w="1125" w:type="dxa"/>
            <w:tcBorders>
              <w:tl2br w:val="nil"/>
              <w:tr2bl w:val="nil"/>
            </w:tcBorders>
            <w:noWrap w:val="0"/>
            <w:vAlign w:val="center"/>
          </w:tcPr>
          <w:p w14:paraId="58C20F45">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1C3D014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p>
        </w:tc>
        <w:tc>
          <w:tcPr>
            <w:tcW w:w="915" w:type="dxa"/>
            <w:vMerge w:val="continue"/>
            <w:tcBorders>
              <w:tl2br w:val="nil"/>
              <w:tr2bl w:val="nil"/>
            </w:tcBorders>
            <w:noWrap w:val="0"/>
            <w:vAlign w:val="center"/>
          </w:tcPr>
          <w:p w14:paraId="4D70880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079D7B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1B2A89E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4ABABAC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0BDD14F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911" w:type="dxa"/>
            <w:vMerge w:val="continue"/>
            <w:tcBorders>
              <w:tl2br w:val="nil"/>
              <w:tr2bl w:val="nil"/>
            </w:tcBorders>
            <w:noWrap w:val="0"/>
            <w:vAlign w:val="center"/>
          </w:tcPr>
          <w:p w14:paraId="4E827357">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4883BE7D">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0AE7C1B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14：00-15：00</w:t>
            </w:r>
          </w:p>
        </w:tc>
        <w:tc>
          <w:tcPr>
            <w:tcW w:w="1125" w:type="dxa"/>
            <w:tcBorders>
              <w:tl2br w:val="nil"/>
              <w:tr2bl w:val="nil"/>
            </w:tcBorders>
            <w:noWrap w:val="0"/>
            <w:vAlign w:val="center"/>
          </w:tcPr>
          <w:p w14:paraId="133A01C8">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3FBFD300">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4934DD7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2BC03B8B">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60570A15">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69182281">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r w14:paraId="413CD1B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11" w:type="dxa"/>
            <w:vMerge w:val="continue"/>
            <w:tcBorders>
              <w:tl2br w:val="nil"/>
              <w:tr2bl w:val="nil"/>
            </w:tcBorders>
            <w:noWrap w:val="0"/>
            <w:vAlign w:val="center"/>
          </w:tcPr>
          <w:p w14:paraId="50694957">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005" w:type="dxa"/>
            <w:vMerge w:val="continue"/>
            <w:tcBorders>
              <w:tl2br w:val="nil"/>
              <w:tr2bl w:val="nil"/>
            </w:tcBorders>
            <w:noWrap w:val="0"/>
            <w:vAlign w:val="center"/>
          </w:tcPr>
          <w:p w14:paraId="218ACFAD">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1425" w:type="dxa"/>
            <w:tcBorders>
              <w:tl2br w:val="nil"/>
              <w:tr2bl w:val="nil"/>
            </w:tcBorders>
            <w:noWrap w:val="0"/>
            <w:vAlign w:val="center"/>
          </w:tcPr>
          <w:p w14:paraId="252B029C">
            <w:pPr>
              <w:pStyle w:val="126"/>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rPr>
              <w:t>20：00-21：00</w:t>
            </w:r>
          </w:p>
        </w:tc>
        <w:tc>
          <w:tcPr>
            <w:tcW w:w="1125" w:type="dxa"/>
            <w:tcBorders>
              <w:tl2br w:val="nil"/>
              <w:tr2bl w:val="nil"/>
            </w:tcBorders>
            <w:noWrap w:val="0"/>
            <w:vAlign w:val="center"/>
          </w:tcPr>
          <w:p w14:paraId="471B45AE">
            <w:pPr>
              <w:keepNext w:val="0"/>
              <w:keepLines w:val="0"/>
              <w:pageBreakBefore w:val="0"/>
              <w:widowControl/>
              <w:kinsoku/>
              <w:wordWrap/>
              <w:overflowPunct/>
              <w:topLinePunct/>
              <w:autoSpaceDE w:val="0"/>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rPr>
            </w:pPr>
            <w:r>
              <w:rPr>
                <w:rFonts w:hint="default" w:ascii="Times New Roman" w:hAnsi="Times New Roman" w:eastAsia="宋体" w:cs="Times New Roman"/>
                <w:snapToGrid w:val="0"/>
                <w:spacing w:val="0"/>
                <w:kern w:val="21"/>
                <w:position w:val="0"/>
                <w:sz w:val="21"/>
                <w:szCs w:val="21"/>
                <w:lang w:val="en-US" w:eastAsia="zh-CN"/>
              </w:rPr>
              <w:t>＜10</w:t>
            </w:r>
          </w:p>
        </w:tc>
        <w:tc>
          <w:tcPr>
            <w:tcW w:w="780" w:type="dxa"/>
            <w:vMerge w:val="continue"/>
            <w:tcBorders>
              <w:tl2br w:val="nil"/>
              <w:tr2bl w:val="nil"/>
            </w:tcBorders>
            <w:noWrap w:val="0"/>
            <w:vAlign w:val="center"/>
          </w:tcPr>
          <w:p w14:paraId="2DEDAB16">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915" w:type="dxa"/>
            <w:vMerge w:val="continue"/>
            <w:tcBorders>
              <w:tl2br w:val="nil"/>
              <w:tr2bl w:val="nil"/>
            </w:tcBorders>
            <w:noWrap w:val="0"/>
            <w:vAlign w:val="center"/>
          </w:tcPr>
          <w:p w14:paraId="65B7674A">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720" w:type="dxa"/>
            <w:vMerge w:val="continue"/>
            <w:tcBorders>
              <w:tl2br w:val="nil"/>
              <w:tr2bl w:val="nil"/>
            </w:tcBorders>
            <w:noWrap w:val="0"/>
            <w:vAlign w:val="center"/>
          </w:tcPr>
          <w:p w14:paraId="5239CB5E">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65" w:type="dxa"/>
            <w:vMerge w:val="continue"/>
            <w:tcBorders>
              <w:tl2br w:val="nil"/>
              <w:tr2bl w:val="nil"/>
            </w:tcBorders>
            <w:noWrap w:val="0"/>
            <w:vAlign w:val="center"/>
          </w:tcPr>
          <w:p w14:paraId="288CE9D0">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c>
          <w:tcPr>
            <w:tcW w:w="634" w:type="dxa"/>
            <w:vMerge w:val="continue"/>
            <w:tcBorders>
              <w:tl2br w:val="nil"/>
              <w:tr2bl w:val="nil"/>
            </w:tcBorders>
            <w:noWrap w:val="0"/>
            <w:vAlign w:val="center"/>
          </w:tcPr>
          <w:p w14:paraId="515179B3">
            <w:pPr>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napToGrid w:val="0"/>
                <w:spacing w:val="0"/>
                <w:kern w:val="21"/>
                <w:position w:val="0"/>
                <w:sz w:val="21"/>
                <w:szCs w:val="21"/>
              </w:rPr>
            </w:pPr>
          </w:p>
        </w:tc>
      </w:tr>
    </w:tbl>
    <w:p w14:paraId="3DCF5CA2">
      <w:pPr>
        <w:ind w:firstLine="0" w:firstLineChars="0"/>
        <w:rPr>
          <w:b/>
          <w:color w:val="000000" w:themeColor="text1"/>
          <w14:textFill>
            <w14:solidFill>
              <w14:schemeClr w14:val="tx1"/>
            </w14:solidFill>
          </w14:textFill>
        </w:rPr>
      </w:pPr>
      <w:r>
        <w:rPr>
          <w:rFonts w:hint="eastAsia"/>
          <w:b/>
          <w:color w:val="000000" w:themeColor="text1"/>
          <w14:textFill>
            <w14:solidFill>
              <w14:schemeClr w14:val="tx1"/>
            </w14:solidFill>
          </w14:textFill>
        </w:rPr>
        <w:t>2、监测统计结果分析</w:t>
      </w:r>
    </w:p>
    <w:p w14:paraId="78679272">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根据环境空气现状监测统计结果可知</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硫酸雾小时浓度和日均浓度、硫化氢小时浓度</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氨小时浓度</w:t>
      </w:r>
      <w:r>
        <w:rPr>
          <w:rFonts w:hint="eastAsia"/>
          <w:color w:val="000000" w:themeColor="text1"/>
          <w14:textFill>
            <w14:solidFill>
              <w14:schemeClr w14:val="tx1"/>
            </w14:solidFill>
          </w14:textFill>
        </w:rPr>
        <w:t>均能够满足《环境影响评价技术导则</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大气环境》（</w:t>
      </w:r>
      <w:r>
        <w:rPr>
          <w:color w:val="000000" w:themeColor="text1"/>
          <w14:textFill>
            <w14:solidFill>
              <w14:schemeClr w14:val="tx1"/>
            </w14:solidFill>
          </w14:textFill>
        </w:rPr>
        <w:t>HJ2.2-2018</w:t>
      </w:r>
      <w:r>
        <w:rPr>
          <w:rFonts w:hint="eastAsia"/>
          <w:color w:val="000000" w:themeColor="text1"/>
          <w14:textFill>
            <w14:solidFill>
              <w14:schemeClr w14:val="tx1"/>
            </w14:solidFill>
          </w14:textFill>
        </w:rPr>
        <w:t>）附录</w:t>
      </w:r>
      <w:r>
        <w:rPr>
          <w:color w:val="000000" w:themeColor="text1"/>
          <w14:textFill>
            <w14:solidFill>
              <w14:schemeClr w14:val="tx1"/>
            </w14:solidFill>
          </w14:textFill>
        </w:rPr>
        <w:t>D</w:t>
      </w:r>
      <w:r>
        <w:rPr>
          <w:rFonts w:hint="eastAsia"/>
          <w:color w:val="000000" w:themeColor="text1"/>
          <w14:textFill>
            <w14:solidFill>
              <w14:schemeClr w14:val="tx1"/>
            </w14:solidFill>
          </w14:textFill>
        </w:rPr>
        <w:t>的限值要求；氮氧化物小时浓度和日均浓度均满足《环境空气质量标准》（GB3095-2012）二级标准及2018修改单内容的限值要求；臭气浓度监测结果均</w:t>
      </w:r>
      <w:r>
        <w:rPr>
          <w:color w:val="000000" w:themeColor="text1"/>
          <w14:textFill>
            <w14:solidFill>
              <w14:schemeClr w14:val="tx1"/>
            </w14:solidFill>
          </w14:textFill>
        </w:rPr>
        <w:t>&lt;10</w:t>
      </w:r>
      <w:r>
        <w:rPr>
          <w:rFonts w:hint="eastAsia"/>
          <w:color w:val="000000" w:themeColor="text1"/>
          <w14:textFill>
            <w14:solidFill>
              <w14:schemeClr w14:val="tx1"/>
            </w14:solidFill>
          </w14:textFill>
        </w:rPr>
        <w:t>，说明周围环境空气现状臭气浓度状况良好。</w:t>
      </w:r>
    </w:p>
    <w:bookmarkEnd w:id="509"/>
    <w:bookmarkEnd w:id="510"/>
    <w:p w14:paraId="3E9AA2E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511" w:name="_Toc108122538"/>
      <w:r>
        <w:rPr>
          <w:rFonts w:hint="eastAsia" w:ascii="Times New Roman" w:hAnsi="Times New Roman" w:cs="Times New Roman"/>
          <w:lang w:val="en-US" w:eastAsia="zh-CN"/>
        </w:rPr>
        <w:t>4.2.3地表水环境质量现状评价</w:t>
      </w:r>
      <w:bookmarkEnd w:id="502"/>
      <w:bookmarkEnd w:id="503"/>
      <w:bookmarkEnd w:id="504"/>
      <w:bookmarkEnd w:id="505"/>
      <w:bookmarkEnd w:id="511"/>
    </w:p>
    <w:p w14:paraId="0C08A015">
      <w:pPr>
        <w:pStyle w:val="72"/>
      </w:pPr>
      <w:r>
        <w:rPr>
          <w:rFonts w:hint="eastAsia"/>
        </w:rPr>
        <w:t>本项目废水经厂内污水处理设施处理后，再进入获嘉县同盟污水处理厂进一步处理</w:t>
      </w:r>
      <w:r>
        <w:rPr>
          <w:rFonts w:hint="eastAsia"/>
          <w:lang w:eastAsia="zh-CN"/>
        </w:rPr>
        <w:t>，</w:t>
      </w:r>
      <w:r>
        <w:rPr>
          <w:rFonts w:hint="eastAsia"/>
          <w:lang w:val="en-US" w:eastAsia="zh-CN"/>
        </w:rPr>
        <w:t>处理后排入共产主义渠</w:t>
      </w:r>
      <w:r>
        <w:rPr>
          <w:rFonts w:hint="eastAsia"/>
        </w:rPr>
        <w:t>。根据《环境影响评价技术导则 地表水环境》（HJ2.3-2018），本项目评价等级为三级B，因此需要对水环境质量现状与依托污水处理设施稳定达标排放情况进行分析。经调查，目前获嘉县同盟污水处理厂现状纳污水体为</w:t>
      </w:r>
      <w:r>
        <w:rPr>
          <w:rFonts w:hint="eastAsia"/>
          <w:lang w:val="en-US" w:eastAsia="zh-CN"/>
        </w:rPr>
        <w:t>共产主义渠</w:t>
      </w:r>
      <w:r>
        <w:rPr>
          <w:rFonts w:hint="eastAsia"/>
        </w:rPr>
        <w:t>，距离排污口下游最近的断面为</w:t>
      </w:r>
      <w:r>
        <w:rPr>
          <w:rFonts w:hint="eastAsia"/>
          <w:lang w:val="en-US" w:eastAsia="zh-CN"/>
        </w:rPr>
        <w:t>共渠</w:t>
      </w:r>
      <w:r>
        <w:rPr>
          <w:rFonts w:hint="eastAsia"/>
        </w:rPr>
        <w:t>西永康断面。</w:t>
      </w:r>
    </w:p>
    <w:p w14:paraId="34FB9DD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4.2.3.1水环境质量现状</w:t>
      </w:r>
    </w:p>
    <w:p w14:paraId="48A6B996">
      <w:pPr>
        <w:pStyle w:val="72"/>
      </w:pPr>
      <w:r>
        <w:rPr>
          <w:rFonts w:hint="eastAsia"/>
        </w:rPr>
        <w:t>本项目含镍废水经含镍废水处理系统处理后回用；含铬废水经含铬废水处理系统处理后回用；综合废水经综合废水处理系统进行处理，员工生活污水经化粪池处理后与经处理</w:t>
      </w:r>
      <w:r>
        <w:rPr>
          <w:rFonts w:hint="eastAsia"/>
          <w:lang w:val="en-US" w:eastAsia="zh-CN"/>
        </w:rPr>
        <w:t>后的</w:t>
      </w:r>
      <w:r>
        <w:rPr>
          <w:rFonts w:hint="eastAsia"/>
        </w:rPr>
        <w:t>综合废水、纯水制备浓水、冲压冷凝水一同经厂区总排口排入获嘉县同盟污水处理厂，处理后均排入</w:t>
      </w:r>
      <w:r>
        <w:rPr>
          <w:rFonts w:hint="eastAsia"/>
          <w:lang w:val="en-US" w:eastAsia="zh-CN"/>
        </w:rPr>
        <w:t>共产主义渠</w:t>
      </w:r>
      <w:r>
        <w:rPr>
          <w:rFonts w:hint="eastAsia"/>
        </w:rPr>
        <w:t>。</w:t>
      </w:r>
    </w:p>
    <w:p w14:paraId="419F431E">
      <w:pPr>
        <w:keepNext w:val="0"/>
        <w:keepLines w:val="0"/>
        <w:widowControl/>
        <w:suppressLineNumbers w:val="0"/>
        <w:jc w:val="left"/>
        <w:rPr>
          <w:rFonts w:hint="eastAsia"/>
          <w:lang w:val="en-US" w:eastAsia="zh-CN"/>
        </w:rPr>
      </w:pPr>
      <w:r>
        <w:rPr>
          <w:rFonts w:hint="eastAsia"/>
        </w:rPr>
        <w:t>根据《新乡市生态环境局关于印发2024年地表水环境质量目标的函》，2024年</w:t>
      </w:r>
      <w:r>
        <w:rPr>
          <w:rFonts w:hint="eastAsia"/>
          <w:lang w:val="en-US" w:eastAsia="zh-CN"/>
        </w:rPr>
        <w:t>共产主义渠</w:t>
      </w:r>
      <w:r>
        <w:rPr>
          <w:rFonts w:hint="eastAsia"/>
        </w:rPr>
        <w:t>水功能区划均为</w:t>
      </w:r>
      <w:r>
        <w:rPr>
          <w:rFonts w:cs="Times New Roman"/>
        </w:rPr>
        <w:t>Ⅳ</w:t>
      </w:r>
      <w:r>
        <w:rPr>
          <w:rFonts w:hint="eastAsia"/>
        </w:rPr>
        <w:t>类水体。</w:t>
      </w:r>
      <w:r>
        <w:rPr>
          <w:rFonts w:hint="eastAsia"/>
          <w:lang w:val="en-US" w:eastAsia="zh-CN"/>
        </w:rPr>
        <w:t>项目附近地表水体分布示意图详见下图。</w:t>
      </w:r>
    </w:p>
    <w:p w14:paraId="6A64144C">
      <w:pPr>
        <w:keepNext w:val="0"/>
        <w:keepLines w:val="0"/>
        <w:widowControl/>
        <w:suppressLineNumbers w:val="0"/>
        <w:ind w:left="0" w:leftChars="0" w:firstLine="0" w:firstLineChars="0"/>
        <w:jc w:val="left"/>
        <w:rPr>
          <w:rFonts w:hint="eastAsia" w:eastAsia="宋体"/>
          <w:lang w:val="en-US" w:eastAsia="zh-CN"/>
        </w:rPr>
      </w:pPr>
      <w:r>
        <w:drawing>
          <wp:anchor distT="0" distB="0" distL="114300" distR="114300" simplePos="0" relativeHeight="251677696" behindDoc="0" locked="0" layoutInCell="1" allowOverlap="1">
            <wp:simplePos x="0" y="0"/>
            <wp:positionH relativeFrom="column">
              <wp:posOffset>71120</wp:posOffset>
            </wp:positionH>
            <wp:positionV relativeFrom="paragraph">
              <wp:posOffset>94615</wp:posOffset>
            </wp:positionV>
            <wp:extent cx="5271135" cy="3101340"/>
            <wp:effectExtent l="9525" t="9525" r="15240" b="13335"/>
            <wp:wrapNone/>
            <wp:docPr id="10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9"/>
                    <pic:cNvPicPr>
                      <a:picLocks noChangeAspect="1"/>
                    </pic:cNvPicPr>
                  </pic:nvPicPr>
                  <pic:blipFill>
                    <a:blip r:embed="rId37"/>
                    <a:stretch>
                      <a:fillRect/>
                    </a:stretch>
                  </pic:blipFill>
                  <pic:spPr>
                    <a:xfrm>
                      <a:off x="0" y="0"/>
                      <a:ext cx="5271135" cy="3101340"/>
                    </a:xfrm>
                    <a:prstGeom prst="rect">
                      <a:avLst/>
                    </a:prstGeom>
                    <a:noFill/>
                    <a:ln>
                      <a:solidFill>
                        <a:schemeClr val="tx1"/>
                      </a:solidFill>
                    </a:ln>
                  </pic:spPr>
                </pic:pic>
              </a:graphicData>
            </a:graphic>
          </wp:anchor>
        </w:drawing>
      </w:r>
      <w:r>
        <w:rPr>
          <w:sz w:val="24"/>
        </w:rPr>
        <mc:AlternateContent>
          <mc:Choice Requires="wps">
            <w:drawing>
              <wp:anchor distT="0" distB="0" distL="114300" distR="114300" simplePos="0" relativeHeight="251681792" behindDoc="0" locked="0" layoutInCell="1" allowOverlap="1">
                <wp:simplePos x="0" y="0"/>
                <wp:positionH relativeFrom="column">
                  <wp:posOffset>4599305</wp:posOffset>
                </wp:positionH>
                <wp:positionV relativeFrom="paragraph">
                  <wp:posOffset>282575</wp:posOffset>
                </wp:positionV>
                <wp:extent cx="922655" cy="523240"/>
                <wp:effectExtent l="0" t="0" r="0" b="0"/>
                <wp:wrapNone/>
                <wp:docPr id="138" name="文本框 138"/>
                <wp:cNvGraphicFramePr/>
                <a:graphic xmlns:a="http://schemas.openxmlformats.org/drawingml/2006/main">
                  <a:graphicData uri="http://schemas.microsoft.com/office/word/2010/wordprocessingShape">
                    <wps:wsp>
                      <wps:cNvSpPr txBox="1"/>
                      <wps:spPr>
                        <a:xfrm>
                          <a:off x="3271520" y="6229350"/>
                          <a:ext cx="922655" cy="523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6A582E">
                            <w:pPr>
                              <w:rPr>
                                <w:rFonts w:hint="eastAsia" w:eastAsia="宋体"/>
                                <w:lang w:val="en-US" w:eastAsia="zh-CN"/>
                              </w:rPr>
                            </w:pPr>
                            <w:r>
                              <w:rPr>
                                <w:rFonts w:hint="eastAsia"/>
                                <w:lang w:val="en-US" w:eastAsia="zh-CN"/>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15pt;margin-top:22.25pt;height:41.2pt;width:72.65pt;z-index:251681792;mso-width-relative:page;mso-height-relative:page;" filled="f" stroked="f" coordsize="21600,21600" o:gfxdata="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Js8t3HcAAAACgEAAA8AAAAAAAAA&#10;AQAgAAAAIgAAAGRycy9kb3ducmV2LnhtbFBLAQIUABQAAAAIAIdO4kADvr2rRgIAAHUEAAAOAAAA&#10;AAAAAAEAIAAAACsBAABkcnMvZTJvRG9jLnhtbFBLBQYAAAAABgAGAFkBAADjBQAAAAA=&#10;">
                <v:fill on="f" focussize="0,0"/>
                <v:stroke on="f" weight="0.5pt"/>
                <v:imagedata o:title=""/>
                <o:lock v:ext="edit" aspectratio="f"/>
                <v:textbox>
                  <w:txbxContent>
                    <w:p w14:paraId="616A582E">
                      <w:pPr>
                        <w:rPr>
                          <w:rFonts w:hint="eastAsia" w:eastAsia="宋体"/>
                          <w:lang w:val="en-US" w:eastAsia="zh-CN"/>
                        </w:rPr>
                      </w:pPr>
                      <w:r>
                        <w:rPr>
                          <w:rFonts w:hint="eastAsia"/>
                          <w:lang w:val="en-US" w:eastAsia="zh-CN"/>
                        </w:rPr>
                        <w:t>北</w:t>
                      </w:r>
                    </w:p>
                  </w:txbxContent>
                </v:textbox>
              </v:shape>
            </w:pict>
          </mc:Fallback>
        </mc:AlternateContent>
      </w:r>
      <w:r>
        <w:rPr>
          <w:sz w:val="24"/>
        </w:rPr>
        <mc:AlternateContent>
          <mc:Choice Requires="wps">
            <w:drawing>
              <wp:anchor distT="0" distB="0" distL="114300" distR="114300" simplePos="0" relativeHeight="251680768" behindDoc="0" locked="0" layoutInCell="1" allowOverlap="1">
                <wp:simplePos x="0" y="0"/>
                <wp:positionH relativeFrom="column">
                  <wp:posOffset>4980305</wp:posOffset>
                </wp:positionH>
                <wp:positionV relativeFrom="paragraph">
                  <wp:posOffset>245745</wp:posOffset>
                </wp:positionV>
                <wp:extent cx="0" cy="483870"/>
                <wp:effectExtent l="57150" t="0" r="57150" b="11430"/>
                <wp:wrapNone/>
                <wp:docPr id="137" name="直接箭头连接符 137"/>
                <wp:cNvGraphicFramePr/>
                <a:graphic xmlns:a="http://schemas.openxmlformats.org/drawingml/2006/main">
                  <a:graphicData uri="http://schemas.microsoft.com/office/word/2010/wordprocessingShape">
                    <wps:wsp>
                      <wps:cNvCnPr/>
                      <wps:spPr>
                        <a:xfrm flipV="1">
                          <a:off x="6085205" y="5972810"/>
                          <a:ext cx="0" cy="48387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392.15pt;margin-top:19.35pt;height:38.1pt;width:0pt;z-index:251680768;mso-width-relative:page;mso-height-relative:page;" filled="f" stroked="t" coordsize="21600,21600" o:gfxdata="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YTA2F2AAAAAoBAAAPAAAAAAAA&#10;AAEAIAAAACIAAABkcnMvZG93bnJldi54bWxQSwECFAAUAAAACACHTuJAGt+QEBICAADhAwAADgAA&#10;AAAAAAABACAAAAAnAQAAZHJzL2Uyb0RvYy54bWxQSwUGAAAAAAYABgBZAQAAqwUAAAAA&#10;">
                <v:fill on="f" focussize="0,0"/>
                <v:stroke weight="2pt" color="#FF0000 [3204]" joinstyle="round" endarrow="open"/>
                <v:imagedata o:title=""/>
                <o:lock v:ext="edit" aspectratio="f"/>
              </v:shape>
            </w:pict>
          </mc:Fallback>
        </mc:AlternateContent>
      </w:r>
    </w:p>
    <w:p w14:paraId="74C6121B">
      <w:pPr>
        <w:pStyle w:val="72"/>
        <w:ind w:left="0" w:leftChars="0" w:firstLine="0" w:firstLineChars="0"/>
        <w:rPr>
          <w:rFonts w:hint="eastAsia"/>
        </w:rPr>
      </w:pPr>
    </w:p>
    <w:p w14:paraId="7DCD0FB3">
      <w:pPr>
        <w:pStyle w:val="72"/>
        <w:rPr>
          <w:rFonts w:hint="eastAsia"/>
        </w:rPr>
      </w:pPr>
    </w:p>
    <w:p w14:paraId="1EA4FEBF">
      <w:pPr>
        <w:pStyle w:val="72"/>
        <w:rPr>
          <w:rFonts w:hint="eastAsia"/>
        </w:rPr>
      </w:pPr>
      <w:r>
        <w:rPr>
          <w:sz w:val="24"/>
        </w:rPr>
        <mc:AlternateContent>
          <mc:Choice Requires="wps">
            <w:drawing>
              <wp:anchor distT="0" distB="0" distL="114300" distR="114300" simplePos="0" relativeHeight="251684864" behindDoc="0" locked="0" layoutInCell="1" allowOverlap="1">
                <wp:simplePos x="0" y="0"/>
                <wp:positionH relativeFrom="column">
                  <wp:posOffset>448310</wp:posOffset>
                </wp:positionH>
                <wp:positionV relativeFrom="paragraph">
                  <wp:posOffset>293370</wp:posOffset>
                </wp:positionV>
                <wp:extent cx="917575" cy="325120"/>
                <wp:effectExtent l="6350" t="6350" r="9525" b="278130"/>
                <wp:wrapNone/>
                <wp:docPr id="142" name="圆角矩形标注 142"/>
                <wp:cNvGraphicFramePr/>
                <a:graphic xmlns:a="http://schemas.openxmlformats.org/drawingml/2006/main">
                  <a:graphicData uri="http://schemas.microsoft.com/office/word/2010/wordprocessingShape">
                    <wps:wsp>
                      <wps:cNvSpPr/>
                      <wps:spPr>
                        <a:xfrm>
                          <a:off x="0" y="0"/>
                          <a:ext cx="917575" cy="325120"/>
                        </a:xfrm>
                        <a:prstGeom prst="wedgeRoundRectCallout">
                          <a:avLst>
                            <a:gd name="adj1" fmla="val 4569"/>
                            <a:gd name="adj2" fmla="val 129596"/>
                            <a:gd name="adj3" fmla="val 16667"/>
                          </a:avLst>
                        </a:pr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DCB0012">
                            <w:pPr>
                              <w:keepNext w:val="0"/>
                              <w:keepLines w:val="0"/>
                              <w:pageBreakBefore w:val="0"/>
                              <w:widowControl w:val="0"/>
                              <w:kinsoku/>
                              <w:wordWrap/>
                              <w:overflowPunct/>
                              <w:topLinePunct w:val="0"/>
                              <w:bidi w:val="0"/>
                              <w:adjustRightInd w:val="0"/>
                              <w:snapToGrid w:val="0"/>
                              <w:spacing w:line="240" w:lineRule="auto"/>
                              <w:ind w:left="0" w:leftChars="0" w:firstLine="0" w:firstLineChars="0"/>
                              <w:textAlignment w:val="baseline"/>
                              <w:rPr>
                                <w:rFonts w:hint="default"/>
                                <w:color w:val="000000" w:themeColor="text1"/>
                                <w:sz w:val="15"/>
                                <w:szCs w:val="15"/>
                                <w:lang w:val="en-US"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共渠西永康断面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35.3pt;margin-top:23.1pt;height:25.6pt;width:72.25pt;z-index:251684864;v-text-anchor:middle;mso-width-relative:page;mso-height-relative:page;" filled="f" stroked="t" coordsize="21600,21600" o:gfxdata="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mh/WrtkAAAAIAQAADwAAAAAAAAABACAA&#10;AAAiAAAAZHJzL2Rvd25yZXYueG1sUEsBAhQAFAAAAAgAh07iQBRb44e3AgAAVAUAAA4AAAAAAAAA&#10;AQAgAAAAKAEAAGRycy9lMm9Eb2MueG1sUEsFBgAAAAAGAAYAWQEAAFEGAAAAAA==&#10;" adj="11787,38793,14400">
                <v:fill on="f" focussize="0,0"/>
                <v:stroke weight="1pt" color="#FF0000 [2404]" joinstyle="round"/>
                <v:imagedata o:title=""/>
                <o:lock v:ext="edit" aspectratio="f"/>
                <v:textbox>
                  <w:txbxContent>
                    <w:p w14:paraId="5DCB0012">
                      <w:pPr>
                        <w:keepNext w:val="0"/>
                        <w:keepLines w:val="0"/>
                        <w:pageBreakBefore w:val="0"/>
                        <w:widowControl w:val="0"/>
                        <w:kinsoku/>
                        <w:wordWrap/>
                        <w:overflowPunct/>
                        <w:topLinePunct w:val="0"/>
                        <w:bidi w:val="0"/>
                        <w:adjustRightInd w:val="0"/>
                        <w:snapToGrid w:val="0"/>
                        <w:spacing w:line="240" w:lineRule="auto"/>
                        <w:ind w:left="0" w:leftChars="0" w:firstLine="0" w:firstLineChars="0"/>
                        <w:textAlignment w:val="baseline"/>
                        <w:rPr>
                          <w:rFonts w:hint="default"/>
                          <w:color w:val="000000" w:themeColor="text1"/>
                          <w:sz w:val="15"/>
                          <w:szCs w:val="15"/>
                          <w:lang w:val="en-US"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共渠西永康断面</w:t>
                      </w:r>
                    </w:p>
                  </w:txbxContent>
                </v:textbox>
              </v:shape>
            </w:pict>
          </mc:Fallback>
        </mc:AlternateContent>
      </w:r>
    </w:p>
    <w:p w14:paraId="3A3D3069">
      <w:pPr>
        <w:pStyle w:val="72"/>
        <w:rPr>
          <w:rFonts w:hint="eastAsia"/>
        </w:rPr>
      </w:pPr>
    </w:p>
    <w:p w14:paraId="7ABEA1B8">
      <w:pPr>
        <w:pStyle w:val="72"/>
        <w:rPr>
          <w:rFonts w:hint="eastAsia"/>
        </w:rPr>
      </w:pPr>
    </w:p>
    <w:p w14:paraId="2DC876BC">
      <w:pPr>
        <w:pStyle w:val="78"/>
      </w:pPr>
      <w:r>
        <w:rPr>
          <w:sz w:val="24"/>
        </w:rPr>
        <mc:AlternateContent>
          <mc:Choice Requires="wps">
            <w:drawing>
              <wp:anchor distT="0" distB="0" distL="114300" distR="114300" simplePos="0" relativeHeight="251683840" behindDoc="0" locked="0" layoutInCell="1" allowOverlap="1">
                <wp:simplePos x="0" y="0"/>
                <wp:positionH relativeFrom="column">
                  <wp:posOffset>250825</wp:posOffset>
                </wp:positionH>
                <wp:positionV relativeFrom="paragraph">
                  <wp:posOffset>7620</wp:posOffset>
                </wp:positionV>
                <wp:extent cx="1181100" cy="252095"/>
                <wp:effectExtent l="6350" t="6350" r="12700" b="217805"/>
                <wp:wrapNone/>
                <wp:docPr id="141" name="圆角矩形标注 141"/>
                <wp:cNvGraphicFramePr/>
                <a:graphic xmlns:a="http://schemas.openxmlformats.org/drawingml/2006/main">
                  <a:graphicData uri="http://schemas.microsoft.com/office/word/2010/wordprocessingShape">
                    <wps:wsp>
                      <wps:cNvSpPr/>
                      <wps:spPr>
                        <a:xfrm>
                          <a:off x="0" y="0"/>
                          <a:ext cx="1181100" cy="252095"/>
                        </a:xfrm>
                        <a:prstGeom prst="wedgeRoundRectCallout">
                          <a:avLst>
                            <a:gd name="adj1" fmla="val 4569"/>
                            <a:gd name="adj2" fmla="val 129596"/>
                            <a:gd name="adj3" fmla="val 16667"/>
                          </a:avLst>
                        </a:pr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1E7F02A">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both"/>
                              <w:textAlignment w:val="baseline"/>
                              <w:rPr>
                                <w:rFonts w:hint="default" w:eastAsia="宋体"/>
                                <w:color w:val="000000" w:themeColor="text1"/>
                                <w:sz w:val="15"/>
                                <w:szCs w:val="15"/>
                                <w:lang w:val="en-US"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获嘉县同盟污水处理厂</w:t>
                            </w:r>
                          </w:p>
                          <w:p w14:paraId="3C1A0AAB">
                            <w:pPr>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9.75pt;margin-top:0.6pt;height:19.85pt;width:93pt;z-index:251683840;v-text-anchor:middle;mso-width-relative:page;mso-height-relative:page;" filled="f" stroked="t" coordsize="21600,21600" o:gfxdata="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nDgC09YAAAAHAQAADwAAAAAAAAABACAAAAAiAAAA&#10;ZHJzL2Rvd25yZXYueG1sUEsBAhQAFAAAAAgAh07iQHBSd5i0AgAAVQUAAA4AAAAAAAAAAQAgAAAA&#10;JQEAAGRycy9lMm9Eb2MueG1sUEsFBgAAAAAGAAYAWQEAAEsGAAAAAA==&#10;" adj="11787,38793,14400">
                <v:fill on="f" focussize="0,0"/>
                <v:stroke weight="1pt" color="#FF0000 [2404]" joinstyle="round"/>
                <v:imagedata o:title=""/>
                <o:lock v:ext="edit" aspectratio="f"/>
                <v:textbox>
                  <w:txbxContent>
                    <w:p w14:paraId="11E7F02A">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both"/>
                        <w:textAlignment w:val="baseline"/>
                        <w:rPr>
                          <w:rFonts w:hint="default" w:eastAsia="宋体"/>
                          <w:color w:val="000000" w:themeColor="text1"/>
                          <w:sz w:val="15"/>
                          <w:szCs w:val="15"/>
                          <w:lang w:val="en-US"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获嘉县同盟污水处理厂</w:t>
                      </w:r>
                    </w:p>
                    <w:p w14:paraId="3C1A0AAB">
                      <w:pPr>
                        <w:rPr>
                          <w:rFonts w:hint="default"/>
                          <w:lang w:val="en-US" w:eastAsia="zh-CN"/>
                        </w:rPr>
                      </w:pPr>
                    </w:p>
                  </w:txbxContent>
                </v:textbox>
              </v:shape>
            </w:pict>
          </mc:Fallback>
        </mc:AlternateContent>
      </w:r>
    </w:p>
    <w:p w14:paraId="3263944E">
      <w:pPr>
        <w:pStyle w:val="78"/>
        <w:jc w:val="both"/>
        <w:rPr>
          <w:highlight w:val="yellow"/>
        </w:rPr>
      </w:pPr>
    </w:p>
    <w:p w14:paraId="5EDB92BB">
      <w:pPr>
        <w:pStyle w:val="78"/>
        <w:jc w:val="both"/>
        <w:rPr>
          <w:highlight w:val="yellow"/>
        </w:rPr>
      </w:pPr>
      <w:r>
        <w:rPr>
          <w:sz w:val="24"/>
        </w:rPr>
        <mc:AlternateContent>
          <mc:Choice Requires="wps">
            <w:drawing>
              <wp:anchor distT="0" distB="0" distL="114300" distR="114300" simplePos="0" relativeHeight="251679744" behindDoc="0" locked="0" layoutInCell="1" allowOverlap="1">
                <wp:simplePos x="0" y="0"/>
                <wp:positionH relativeFrom="column">
                  <wp:posOffset>881380</wp:posOffset>
                </wp:positionH>
                <wp:positionV relativeFrom="paragraph">
                  <wp:posOffset>121920</wp:posOffset>
                </wp:positionV>
                <wp:extent cx="36195" cy="36195"/>
                <wp:effectExtent l="4445" t="4445" r="16510" b="16510"/>
                <wp:wrapNone/>
                <wp:docPr id="124" name="椭圆 124"/>
                <wp:cNvGraphicFramePr/>
                <a:graphic xmlns:a="http://schemas.openxmlformats.org/drawingml/2006/main">
                  <a:graphicData uri="http://schemas.microsoft.com/office/word/2010/wordprocessingShape">
                    <wps:wsp>
                      <wps:cNvSpPr/>
                      <wps:spPr>
                        <a:xfrm>
                          <a:off x="0" y="0"/>
                          <a:ext cx="36195" cy="36195"/>
                        </a:xfrm>
                        <a:prstGeom prst="ellipse">
                          <a:avLst/>
                        </a:prstGeom>
                        <a:no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9.4pt;margin-top:9.6pt;height:2.85pt;width:2.85pt;z-index:251679744;v-text-anchor:middle;mso-width-relative:page;mso-height-relative:page;" filled="f" stroked="t" coordsize="21600,21600" o:gfxdata="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m1o8&#10;WNgAAAAJAQAADwAAAAAAAAABACAAAAAiAAAAZHJzL2Rvd25yZXYueG1sUEsBAhQAFAAAAAgAh07i&#10;QEU9fe1bAgAAtwQAAA4AAAAAAAAAAQAgAAAAJwEAAGRycy9lMm9Eb2MueG1sUEsFBgAAAAAGAAYA&#10;WQEAAPQFAAAAAA==&#10;">
                <v:fill on="f" focussize="0,0"/>
                <v:stroke weight="0.5pt" color="#000000 [3213]" joinstyle="round"/>
                <v:imagedata o:title=""/>
                <o:lock v:ext="edit" aspectratio="f"/>
              </v:shape>
            </w:pict>
          </mc:Fallback>
        </mc:AlternateContent>
      </w:r>
      <w:r>
        <w:rPr>
          <w:sz w:val="24"/>
        </w:rPr>
        <mc:AlternateContent>
          <mc:Choice Requires="wps">
            <w:drawing>
              <wp:anchor distT="0" distB="0" distL="114300" distR="114300" simplePos="0" relativeHeight="251678720" behindDoc="0" locked="0" layoutInCell="1" allowOverlap="1">
                <wp:simplePos x="0" y="0"/>
                <wp:positionH relativeFrom="column">
                  <wp:posOffset>918845</wp:posOffset>
                </wp:positionH>
                <wp:positionV relativeFrom="paragraph">
                  <wp:posOffset>161925</wp:posOffset>
                </wp:positionV>
                <wp:extent cx="36195" cy="36195"/>
                <wp:effectExtent l="4445" t="4445" r="16510" b="16510"/>
                <wp:wrapNone/>
                <wp:docPr id="123" name="椭圆 123"/>
                <wp:cNvGraphicFramePr/>
                <a:graphic xmlns:a="http://schemas.openxmlformats.org/drawingml/2006/main">
                  <a:graphicData uri="http://schemas.microsoft.com/office/word/2010/wordprocessingShape">
                    <wps:wsp>
                      <wps:cNvSpPr/>
                      <wps:spPr>
                        <a:xfrm>
                          <a:off x="2224405" y="8024495"/>
                          <a:ext cx="36195" cy="36195"/>
                        </a:xfrm>
                        <a:prstGeom prst="ellipse">
                          <a:avLst/>
                        </a:prstGeom>
                        <a:noFill/>
                        <a:ln w="6350">
                          <a:solidFill>
                            <a:srgbClr val="7030A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2.35pt;margin-top:12.75pt;height:2.85pt;width:2.85pt;z-index:251678720;v-text-anchor:middle;mso-width-relative:page;mso-height-relative:page;" filled="f" stroked="t" coordsize="21600,21600" o:gfxdata="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sB707bAAAACQEAAA8AAAAAAAAAAQAgAAAAIgAAAGRycy9kb3ducmV2&#10;LnhtbFBLAQIUABQAAAAIAIdO4kD9fXLwawIAAMMEAAAOAAAAAAAAAAEAIAAAACoBAABkcnMvZTJv&#10;RG9jLnhtbFBLBQYAAAAABgAGAFkBAAAHBgAAAAA=&#10;">
                <v:fill on="f" focussize="0,0"/>
                <v:stroke weight="0.5pt" color="#7030A0 [2404]" joinstyle="round"/>
                <v:imagedata o:title=""/>
                <o:lock v:ext="edit" aspectratio="f"/>
              </v:shape>
            </w:pict>
          </mc:Fallback>
        </mc:AlternateContent>
      </w:r>
    </w:p>
    <w:p w14:paraId="015B8270">
      <w:pPr>
        <w:pStyle w:val="78"/>
        <w:jc w:val="both"/>
        <w:rPr>
          <w:highlight w:val="yellow"/>
        </w:rPr>
      </w:pPr>
    </w:p>
    <w:p w14:paraId="6B0F0BBE">
      <w:pPr>
        <w:pStyle w:val="78"/>
        <w:jc w:val="both"/>
        <w:rPr>
          <w:highlight w:val="yellow"/>
        </w:rPr>
      </w:pPr>
      <w:r>
        <w:rPr>
          <w:sz w:val="24"/>
        </w:rPr>
        <mc:AlternateContent>
          <mc:Choice Requires="wps">
            <w:drawing>
              <wp:anchor distT="0" distB="0" distL="114300" distR="114300" simplePos="0" relativeHeight="251682816" behindDoc="0" locked="0" layoutInCell="1" allowOverlap="1">
                <wp:simplePos x="0" y="0"/>
                <wp:positionH relativeFrom="column">
                  <wp:posOffset>622935</wp:posOffset>
                </wp:positionH>
                <wp:positionV relativeFrom="paragraph">
                  <wp:posOffset>12065</wp:posOffset>
                </wp:positionV>
                <wp:extent cx="654685" cy="302260"/>
                <wp:effectExtent l="6350" t="181610" r="24765" b="11430"/>
                <wp:wrapNone/>
                <wp:docPr id="140" name="圆角矩形标注 140"/>
                <wp:cNvGraphicFramePr/>
                <a:graphic xmlns:a="http://schemas.openxmlformats.org/drawingml/2006/main">
                  <a:graphicData uri="http://schemas.microsoft.com/office/word/2010/wordprocessingShape">
                    <wps:wsp>
                      <wps:cNvSpPr/>
                      <wps:spPr>
                        <a:xfrm>
                          <a:off x="1941830" y="6995795"/>
                          <a:ext cx="654685" cy="302260"/>
                        </a:xfrm>
                        <a:prstGeom prst="wedgeRoundRectCallout">
                          <a:avLst>
                            <a:gd name="adj1" fmla="val -2777"/>
                            <a:gd name="adj2" fmla="val -107980"/>
                            <a:gd name="adj3" fmla="val 16667"/>
                          </a:avLst>
                        </a:pr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5A87EA0">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both"/>
                              <w:textAlignment w:val="baseline"/>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49.05pt;margin-top:0.95pt;height:23.8pt;width:51.55pt;z-index:251682816;v-text-anchor:middle;mso-width-relative:page;mso-height-relative:page;" filled="f" stroked="t" coordsize="21600,21600" o:gfxdata="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if114dcAAAAHAQAA&#10;DwAAAAAAAAABACAAAAAiAAAAZHJzL2Rvd25yZXYueG1sUEsBAhQAFAAAAAgAh07iQP+tcSDFAgAA&#10;YgUAAA4AAAAAAAAAAQAgAAAAJgEAAGRycy9lMm9Eb2MueG1sUEsFBgAAAAAGAAYAWQEAAF0GAAAA&#10;AA==&#10;" adj="10200,-12524,14400">
                <v:fill on="f" focussize="0,0"/>
                <v:stroke weight="1pt" color="#FF0000 [2404]" joinstyle="round"/>
                <v:imagedata o:title=""/>
                <o:lock v:ext="edit" aspectratio="f"/>
                <v:textbox>
                  <w:txbxContent>
                    <w:p w14:paraId="45A87EA0">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both"/>
                        <w:textAlignment w:val="baseline"/>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本项目</w:t>
                      </w:r>
                    </w:p>
                  </w:txbxContent>
                </v:textbox>
              </v:shape>
            </w:pict>
          </mc:Fallback>
        </mc:AlternateContent>
      </w:r>
    </w:p>
    <w:p w14:paraId="463BF4B8">
      <w:pPr>
        <w:pStyle w:val="78"/>
        <w:jc w:val="both"/>
        <w:rPr>
          <w:highlight w:val="yellow"/>
        </w:rPr>
      </w:pPr>
    </w:p>
    <w:p w14:paraId="512DEFD1">
      <w:pPr>
        <w:pStyle w:val="78"/>
        <w:jc w:val="both"/>
        <w:rPr>
          <w:highlight w:val="yellow"/>
        </w:rPr>
      </w:pPr>
    </w:p>
    <w:p w14:paraId="489D69F2">
      <w:pPr>
        <w:pStyle w:val="78"/>
      </w:pPr>
      <w:r>
        <w:rPr>
          <w:rFonts w:hint="eastAsia"/>
        </w:rPr>
        <w:t>图4</w:t>
      </w:r>
      <w:r>
        <w:rPr>
          <w:rFonts w:hint="eastAsia"/>
          <w:lang w:val="en-US" w:eastAsia="zh-CN"/>
        </w:rPr>
        <w:t>.2</w:t>
      </w:r>
      <w:r>
        <w:rPr>
          <w:rFonts w:hint="eastAsia"/>
        </w:rPr>
        <w:t>-</w:t>
      </w:r>
      <w:r>
        <w:rPr>
          <w:rFonts w:hint="eastAsia"/>
          <w:lang w:val="en-US" w:eastAsia="zh-CN"/>
        </w:rPr>
        <w:t>1</w:t>
      </w:r>
      <w:r>
        <w:rPr>
          <w:rFonts w:hint="eastAsia"/>
        </w:rPr>
        <w:t xml:space="preserve">    项目附近地表水体分布示意图</w:t>
      </w:r>
    </w:p>
    <w:p w14:paraId="7BDEBD51">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4.2.3.2共产主义渠水质现状</w:t>
      </w:r>
    </w:p>
    <w:p w14:paraId="2B11CD3B">
      <w:pPr>
        <w:pStyle w:val="72"/>
      </w:pPr>
      <w:r>
        <w:rPr>
          <w:rFonts w:hint="eastAsia"/>
        </w:rPr>
        <w:t>为反映本项目纳污水体共产主义渠的环境质量现状，本次评价引用新乡市环境监测站编制的例行监测中共渠西永康断面</w:t>
      </w:r>
      <w:r>
        <w:rPr>
          <w:rFonts w:hint="eastAsia"/>
          <w:lang w:val="en-US" w:eastAsia="zh-CN"/>
        </w:rPr>
        <w:t>2024</w:t>
      </w:r>
      <w:r>
        <w:rPr>
          <w:rFonts w:hint="eastAsia"/>
        </w:rPr>
        <w:t>年1月～</w:t>
      </w:r>
      <w:r>
        <w:rPr>
          <w:rFonts w:hint="eastAsia"/>
          <w:lang w:val="en-US" w:eastAsia="zh-CN"/>
        </w:rPr>
        <w:t>2024</w:t>
      </w:r>
      <w:r>
        <w:rPr>
          <w:rFonts w:hint="eastAsia"/>
        </w:rPr>
        <w:t>年12月监测结果来进行说明，详见下表。</w:t>
      </w:r>
    </w:p>
    <w:p w14:paraId="32C6D70E">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rPr>
      </w:pPr>
      <w:r>
        <w:rPr>
          <w:rFonts w:hint="eastAsia" w:ascii="Times New Roman" w:hAnsi="Times New Roman" w:cs="宋体" w:eastAsiaTheme="minorEastAsia"/>
          <w:b/>
          <w:kern w:val="2"/>
          <w:sz w:val="24"/>
          <w:szCs w:val="24"/>
          <w:lang w:val="en-US" w:eastAsia="zh-CN" w:bidi="ar-SA"/>
        </w:rPr>
        <w:t>表4</w:t>
      </w:r>
      <w:r>
        <w:rPr>
          <w:rFonts w:hint="eastAsia" w:cs="宋体" w:eastAsiaTheme="minorEastAsia"/>
          <w:b/>
          <w:kern w:val="2"/>
          <w:sz w:val="24"/>
          <w:szCs w:val="24"/>
          <w:lang w:val="en-US" w:eastAsia="zh-CN" w:bidi="ar-SA"/>
        </w:rPr>
        <w:t>.2</w:t>
      </w:r>
      <w:r>
        <w:rPr>
          <w:rFonts w:hint="eastAsia" w:ascii="Times New Roman" w:hAnsi="Times New Roman" w:cs="宋体" w:eastAsiaTheme="minorEastAsia"/>
          <w:b/>
          <w:kern w:val="2"/>
          <w:sz w:val="24"/>
          <w:szCs w:val="24"/>
          <w:lang w:val="en-US" w:eastAsia="zh-CN" w:bidi="ar-SA"/>
        </w:rPr>
        <w:t>-</w:t>
      </w:r>
      <w:r>
        <w:rPr>
          <w:rFonts w:hint="eastAsia" w:cs="宋体" w:eastAsiaTheme="minorEastAsia"/>
          <w:b/>
          <w:kern w:val="2"/>
          <w:sz w:val="24"/>
          <w:szCs w:val="24"/>
          <w:lang w:val="en-US" w:eastAsia="zh-CN" w:bidi="ar-SA"/>
        </w:rPr>
        <w:t>7</w:t>
      </w:r>
      <w:r>
        <w:rPr>
          <w:rFonts w:hint="eastAsia" w:ascii="Times New Roman" w:hAnsi="Times New Roman" w:cs="宋体" w:eastAsiaTheme="minorEastAsia"/>
          <w:b/>
          <w:kern w:val="2"/>
          <w:sz w:val="24"/>
          <w:szCs w:val="24"/>
          <w:lang w:val="en-US" w:eastAsia="zh-CN" w:bidi="ar-SA"/>
        </w:rPr>
        <w:t xml:space="preserve">    水质例行监测结果统计一览表 </w:t>
      </w:r>
      <w:r>
        <w:t xml:space="preserve">   </w:t>
      </w:r>
      <w:r>
        <w:rPr>
          <w:rFonts w:hint="eastAsia" w:ascii="宋体" w:hAnsi="宋体" w:eastAsia="宋体"/>
        </w:rPr>
        <w:t>单位：</w:t>
      </w:r>
      <w:r>
        <w:rPr>
          <w:rFonts w:hint="eastAsia"/>
        </w:rPr>
        <w:t>mg/L</w:t>
      </w:r>
    </w:p>
    <w:tbl>
      <w:tblPr>
        <w:tblStyle w:val="39"/>
        <w:tblW w:w="8528"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20"/>
        <w:gridCol w:w="1433"/>
        <w:gridCol w:w="937"/>
        <w:gridCol w:w="1097"/>
        <w:gridCol w:w="1138"/>
        <w:gridCol w:w="901"/>
        <w:gridCol w:w="901"/>
        <w:gridCol w:w="901"/>
      </w:tblGrid>
      <w:tr w14:paraId="63FE80C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restart"/>
            <w:noWrap w:val="0"/>
            <w:vAlign w:val="center"/>
          </w:tcPr>
          <w:p w14:paraId="29213E8C">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监测项目</w:t>
            </w:r>
          </w:p>
        </w:tc>
        <w:tc>
          <w:tcPr>
            <w:tcW w:w="1433" w:type="dxa"/>
            <w:vMerge w:val="restart"/>
            <w:noWrap w:val="0"/>
            <w:vAlign w:val="center"/>
          </w:tcPr>
          <w:p w14:paraId="5B2EB728">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监测时间</w:t>
            </w:r>
          </w:p>
        </w:tc>
        <w:tc>
          <w:tcPr>
            <w:tcW w:w="3172" w:type="dxa"/>
            <w:gridSpan w:val="3"/>
            <w:noWrap w:val="0"/>
            <w:vAlign w:val="center"/>
          </w:tcPr>
          <w:p w14:paraId="32815EFD">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监测结果（mg/L）</w:t>
            </w:r>
          </w:p>
        </w:tc>
        <w:tc>
          <w:tcPr>
            <w:tcW w:w="2703" w:type="dxa"/>
            <w:gridSpan w:val="3"/>
            <w:noWrap w:val="0"/>
            <w:vAlign w:val="center"/>
          </w:tcPr>
          <w:p w14:paraId="3D639CFE">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rPr>
              <w:t>污染指数</w:t>
            </w:r>
          </w:p>
        </w:tc>
      </w:tr>
      <w:tr w14:paraId="20E7677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00570590">
            <w:pPr>
              <w:pStyle w:val="81"/>
              <w:rPr>
                <w:rFonts w:hint="default" w:ascii="Times New Roman" w:hAnsi="Times New Roman" w:eastAsia="宋体" w:cs="Times New Roman"/>
                <w:color w:val="auto"/>
                <w:sz w:val="21"/>
                <w:szCs w:val="21"/>
              </w:rPr>
            </w:pPr>
          </w:p>
        </w:tc>
        <w:tc>
          <w:tcPr>
            <w:tcW w:w="1433" w:type="dxa"/>
            <w:vMerge w:val="continue"/>
            <w:noWrap w:val="0"/>
            <w:vAlign w:val="center"/>
          </w:tcPr>
          <w:p w14:paraId="797578A7">
            <w:pPr>
              <w:pStyle w:val="81"/>
              <w:rPr>
                <w:rFonts w:hint="default" w:ascii="Times New Roman" w:hAnsi="Times New Roman" w:eastAsia="宋体" w:cs="Times New Roman"/>
                <w:color w:val="auto"/>
                <w:sz w:val="21"/>
                <w:szCs w:val="21"/>
              </w:rPr>
            </w:pPr>
          </w:p>
        </w:tc>
        <w:tc>
          <w:tcPr>
            <w:tcW w:w="937" w:type="dxa"/>
            <w:noWrap w:val="0"/>
            <w:vAlign w:val="center"/>
          </w:tcPr>
          <w:p w14:paraId="72170FE8">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1097" w:type="dxa"/>
            <w:noWrap w:val="0"/>
            <w:vAlign w:val="center"/>
          </w:tcPr>
          <w:p w14:paraId="5A5C3B88">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1138" w:type="dxa"/>
            <w:noWrap w:val="0"/>
            <w:vAlign w:val="center"/>
          </w:tcPr>
          <w:p w14:paraId="2A26A49F">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总磷</w:t>
            </w:r>
          </w:p>
        </w:tc>
        <w:tc>
          <w:tcPr>
            <w:tcW w:w="901" w:type="dxa"/>
            <w:noWrap w:val="0"/>
            <w:vAlign w:val="center"/>
          </w:tcPr>
          <w:p w14:paraId="27958AF9">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901" w:type="dxa"/>
            <w:noWrap w:val="0"/>
            <w:vAlign w:val="center"/>
          </w:tcPr>
          <w:p w14:paraId="5E1A0791">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901" w:type="dxa"/>
            <w:noWrap w:val="0"/>
            <w:vAlign w:val="center"/>
          </w:tcPr>
          <w:p w14:paraId="5EC7B6F2">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总磷</w:t>
            </w:r>
          </w:p>
        </w:tc>
      </w:tr>
      <w:tr w14:paraId="6F7B46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1D02A22A">
            <w:pPr>
              <w:pStyle w:val="75"/>
              <w:rPr>
                <w:rFonts w:hint="default" w:ascii="Times New Roman" w:hAnsi="Times New Roman" w:eastAsia="宋体" w:cs="Times New Roman"/>
                <w:sz w:val="21"/>
                <w:szCs w:val="21"/>
              </w:rPr>
            </w:pPr>
          </w:p>
        </w:tc>
        <w:tc>
          <w:tcPr>
            <w:tcW w:w="1433" w:type="dxa"/>
            <w:noWrap w:val="0"/>
            <w:vAlign w:val="center"/>
          </w:tcPr>
          <w:p w14:paraId="7A54078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2024年1月</w:t>
            </w:r>
          </w:p>
        </w:tc>
        <w:tc>
          <w:tcPr>
            <w:tcW w:w="937" w:type="dxa"/>
            <w:noWrap w:val="0"/>
            <w:vAlign w:val="center"/>
          </w:tcPr>
          <w:p w14:paraId="5C31EAD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4.6 </w:t>
            </w:r>
          </w:p>
        </w:tc>
        <w:tc>
          <w:tcPr>
            <w:tcW w:w="1097" w:type="dxa"/>
            <w:noWrap w:val="0"/>
            <w:vAlign w:val="center"/>
          </w:tcPr>
          <w:p w14:paraId="786A4D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0.8 </w:t>
            </w:r>
          </w:p>
        </w:tc>
        <w:tc>
          <w:tcPr>
            <w:tcW w:w="1138" w:type="dxa"/>
            <w:noWrap w:val="0"/>
            <w:vAlign w:val="center"/>
          </w:tcPr>
          <w:p w14:paraId="5896CC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0.15 </w:t>
            </w:r>
          </w:p>
        </w:tc>
        <w:tc>
          <w:tcPr>
            <w:tcW w:w="901" w:type="dxa"/>
            <w:noWrap w:val="0"/>
            <w:vAlign w:val="center"/>
          </w:tcPr>
          <w:p w14:paraId="7BE806D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901" w:type="dxa"/>
            <w:noWrap w:val="0"/>
            <w:vAlign w:val="center"/>
          </w:tcPr>
          <w:p w14:paraId="46A1D0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0.53</w:t>
            </w:r>
          </w:p>
        </w:tc>
        <w:tc>
          <w:tcPr>
            <w:tcW w:w="901" w:type="dxa"/>
            <w:noWrap w:val="0"/>
            <w:vAlign w:val="center"/>
          </w:tcPr>
          <w:p w14:paraId="3D8932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0.50</w:t>
            </w:r>
          </w:p>
        </w:tc>
      </w:tr>
      <w:tr w14:paraId="506871A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216BF646">
            <w:pPr>
              <w:pStyle w:val="75"/>
              <w:rPr>
                <w:rFonts w:hint="default" w:ascii="Times New Roman" w:hAnsi="Times New Roman" w:eastAsia="宋体" w:cs="Times New Roman"/>
                <w:sz w:val="21"/>
                <w:szCs w:val="21"/>
              </w:rPr>
            </w:pPr>
          </w:p>
        </w:tc>
        <w:tc>
          <w:tcPr>
            <w:tcW w:w="1433" w:type="dxa"/>
            <w:noWrap w:val="0"/>
            <w:vAlign w:val="center"/>
          </w:tcPr>
          <w:p w14:paraId="73ABA63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2024年2月</w:t>
            </w:r>
          </w:p>
        </w:tc>
        <w:tc>
          <w:tcPr>
            <w:tcW w:w="937" w:type="dxa"/>
            <w:noWrap w:val="0"/>
            <w:vAlign w:val="center"/>
          </w:tcPr>
          <w:p w14:paraId="2ED810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3.3 </w:t>
            </w:r>
          </w:p>
        </w:tc>
        <w:tc>
          <w:tcPr>
            <w:tcW w:w="1097" w:type="dxa"/>
            <w:noWrap w:val="0"/>
            <w:vAlign w:val="center"/>
          </w:tcPr>
          <w:p w14:paraId="7195A2B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1138" w:type="dxa"/>
            <w:noWrap w:val="0"/>
            <w:vAlign w:val="center"/>
          </w:tcPr>
          <w:p w14:paraId="155D4A9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0.18 </w:t>
            </w:r>
          </w:p>
        </w:tc>
        <w:tc>
          <w:tcPr>
            <w:tcW w:w="901" w:type="dxa"/>
            <w:noWrap w:val="0"/>
            <w:vAlign w:val="center"/>
          </w:tcPr>
          <w:p w14:paraId="7CE7C3E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901" w:type="dxa"/>
            <w:noWrap w:val="0"/>
            <w:vAlign w:val="center"/>
          </w:tcPr>
          <w:p w14:paraId="172098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01" w:type="dxa"/>
            <w:noWrap w:val="0"/>
            <w:vAlign w:val="center"/>
          </w:tcPr>
          <w:p w14:paraId="52F2E5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0.60</w:t>
            </w:r>
          </w:p>
        </w:tc>
      </w:tr>
      <w:tr w14:paraId="6BB3353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39E8E8C5">
            <w:pPr>
              <w:pStyle w:val="75"/>
              <w:rPr>
                <w:rFonts w:hint="default" w:ascii="Times New Roman" w:hAnsi="Times New Roman" w:eastAsia="宋体" w:cs="Times New Roman"/>
                <w:sz w:val="21"/>
                <w:szCs w:val="21"/>
              </w:rPr>
            </w:pPr>
          </w:p>
        </w:tc>
        <w:tc>
          <w:tcPr>
            <w:tcW w:w="1433" w:type="dxa"/>
            <w:noWrap w:val="0"/>
            <w:vAlign w:val="center"/>
          </w:tcPr>
          <w:p w14:paraId="6EB30CA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2024年3月</w:t>
            </w:r>
          </w:p>
        </w:tc>
        <w:tc>
          <w:tcPr>
            <w:tcW w:w="937" w:type="dxa"/>
            <w:noWrap w:val="0"/>
            <w:vAlign w:val="center"/>
          </w:tcPr>
          <w:p w14:paraId="7DB32F4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4.0 </w:t>
            </w:r>
          </w:p>
        </w:tc>
        <w:tc>
          <w:tcPr>
            <w:tcW w:w="1097" w:type="dxa"/>
            <w:noWrap w:val="0"/>
            <w:vAlign w:val="center"/>
          </w:tcPr>
          <w:p w14:paraId="7657FB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0.9 </w:t>
            </w:r>
          </w:p>
        </w:tc>
        <w:tc>
          <w:tcPr>
            <w:tcW w:w="1138" w:type="dxa"/>
            <w:noWrap w:val="0"/>
            <w:vAlign w:val="center"/>
          </w:tcPr>
          <w:p w14:paraId="7235275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0.19 </w:t>
            </w:r>
          </w:p>
        </w:tc>
        <w:tc>
          <w:tcPr>
            <w:tcW w:w="901" w:type="dxa"/>
            <w:noWrap w:val="0"/>
            <w:vAlign w:val="center"/>
          </w:tcPr>
          <w:p w14:paraId="585EC1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901" w:type="dxa"/>
            <w:noWrap w:val="0"/>
            <w:vAlign w:val="center"/>
          </w:tcPr>
          <w:p w14:paraId="250868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0.60</w:t>
            </w:r>
          </w:p>
        </w:tc>
        <w:tc>
          <w:tcPr>
            <w:tcW w:w="901" w:type="dxa"/>
            <w:noWrap w:val="0"/>
            <w:vAlign w:val="center"/>
          </w:tcPr>
          <w:p w14:paraId="74D5F7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0.63</w:t>
            </w:r>
          </w:p>
        </w:tc>
      </w:tr>
      <w:tr w14:paraId="640A76B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764F7C04">
            <w:pPr>
              <w:pStyle w:val="75"/>
              <w:rPr>
                <w:rFonts w:hint="default" w:ascii="Times New Roman" w:hAnsi="Times New Roman" w:eastAsia="宋体" w:cs="Times New Roman"/>
                <w:sz w:val="21"/>
                <w:szCs w:val="21"/>
              </w:rPr>
            </w:pPr>
          </w:p>
        </w:tc>
        <w:tc>
          <w:tcPr>
            <w:tcW w:w="1433" w:type="dxa"/>
            <w:noWrap w:val="0"/>
            <w:vAlign w:val="center"/>
          </w:tcPr>
          <w:p w14:paraId="71D901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2024年4月</w:t>
            </w:r>
          </w:p>
        </w:tc>
        <w:tc>
          <w:tcPr>
            <w:tcW w:w="937" w:type="dxa"/>
            <w:noWrap w:val="0"/>
            <w:vAlign w:val="center"/>
          </w:tcPr>
          <w:p w14:paraId="2469E2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5.2 </w:t>
            </w:r>
          </w:p>
        </w:tc>
        <w:tc>
          <w:tcPr>
            <w:tcW w:w="1097" w:type="dxa"/>
            <w:noWrap w:val="0"/>
            <w:vAlign w:val="center"/>
          </w:tcPr>
          <w:p w14:paraId="37CFBE8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0.5 </w:t>
            </w:r>
          </w:p>
        </w:tc>
        <w:tc>
          <w:tcPr>
            <w:tcW w:w="1138" w:type="dxa"/>
            <w:noWrap w:val="0"/>
            <w:vAlign w:val="center"/>
          </w:tcPr>
          <w:p w14:paraId="31CA4F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0.22 </w:t>
            </w:r>
          </w:p>
        </w:tc>
        <w:tc>
          <w:tcPr>
            <w:tcW w:w="901" w:type="dxa"/>
            <w:noWrap w:val="0"/>
            <w:vAlign w:val="center"/>
          </w:tcPr>
          <w:p w14:paraId="21B2F35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901" w:type="dxa"/>
            <w:noWrap w:val="0"/>
            <w:vAlign w:val="center"/>
          </w:tcPr>
          <w:p w14:paraId="1BA8C2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901" w:type="dxa"/>
            <w:noWrap w:val="0"/>
            <w:vAlign w:val="center"/>
          </w:tcPr>
          <w:p w14:paraId="6A03BF9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0.73</w:t>
            </w:r>
          </w:p>
        </w:tc>
      </w:tr>
      <w:tr w14:paraId="0DDB26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5DBBC054">
            <w:pPr>
              <w:pStyle w:val="75"/>
              <w:rPr>
                <w:rFonts w:hint="default" w:ascii="Times New Roman" w:hAnsi="Times New Roman" w:eastAsia="宋体" w:cs="Times New Roman"/>
                <w:sz w:val="21"/>
                <w:szCs w:val="21"/>
              </w:rPr>
            </w:pPr>
          </w:p>
        </w:tc>
        <w:tc>
          <w:tcPr>
            <w:tcW w:w="1433" w:type="dxa"/>
            <w:noWrap w:val="0"/>
            <w:vAlign w:val="center"/>
          </w:tcPr>
          <w:p w14:paraId="2A8C375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2024年5月</w:t>
            </w:r>
          </w:p>
        </w:tc>
        <w:tc>
          <w:tcPr>
            <w:tcW w:w="937" w:type="dxa"/>
            <w:noWrap w:val="0"/>
            <w:vAlign w:val="center"/>
          </w:tcPr>
          <w:p w14:paraId="73FE436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5.0 </w:t>
            </w:r>
          </w:p>
        </w:tc>
        <w:tc>
          <w:tcPr>
            <w:tcW w:w="1097" w:type="dxa"/>
            <w:noWrap w:val="0"/>
            <w:vAlign w:val="center"/>
          </w:tcPr>
          <w:p w14:paraId="435843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0.4 </w:t>
            </w:r>
          </w:p>
        </w:tc>
        <w:tc>
          <w:tcPr>
            <w:tcW w:w="1138" w:type="dxa"/>
            <w:noWrap w:val="0"/>
            <w:vAlign w:val="center"/>
          </w:tcPr>
          <w:p w14:paraId="05CA4E1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01" w:type="dxa"/>
            <w:noWrap w:val="0"/>
            <w:vAlign w:val="center"/>
          </w:tcPr>
          <w:p w14:paraId="2B46C2A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901" w:type="dxa"/>
            <w:noWrap w:val="0"/>
            <w:vAlign w:val="center"/>
          </w:tcPr>
          <w:p w14:paraId="40EAC3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0.27</w:t>
            </w:r>
          </w:p>
        </w:tc>
        <w:tc>
          <w:tcPr>
            <w:tcW w:w="901" w:type="dxa"/>
            <w:noWrap w:val="0"/>
            <w:vAlign w:val="center"/>
          </w:tcPr>
          <w:p w14:paraId="5FDF8F5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w:t>
            </w:r>
          </w:p>
        </w:tc>
      </w:tr>
      <w:tr w14:paraId="460218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36A4C26D">
            <w:pPr>
              <w:pStyle w:val="75"/>
              <w:rPr>
                <w:rFonts w:hint="default" w:ascii="Times New Roman" w:hAnsi="Times New Roman" w:eastAsia="宋体" w:cs="Times New Roman"/>
                <w:sz w:val="21"/>
                <w:szCs w:val="21"/>
              </w:rPr>
            </w:pPr>
          </w:p>
        </w:tc>
        <w:tc>
          <w:tcPr>
            <w:tcW w:w="1433" w:type="dxa"/>
            <w:noWrap w:val="0"/>
            <w:vAlign w:val="center"/>
          </w:tcPr>
          <w:p w14:paraId="402A95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2024年6月</w:t>
            </w:r>
          </w:p>
        </w:tc>
        <w:tc>
          <w:tcPr>
            <w:tcW w:w="937" w:type="dxa"/>
            <w:noWrap w:val="0"/>
            <w:vAlign w:val="center"/>
          </w:tcPr>
          <w:p w14:paraId="340BB5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5.2 </w:t>
            </w:r>
          </w:p>
        </w:tc>
        <w:tc>
          <w:tcPr>
            <w:tcW w:w="1097" w:type="dxa"/>
            <w:noWrap w:val="0"/>
            <w:vAlign w:val="center"/>
          </w:tcPr>
          <w:p w14:paraId="2F9455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0.3 </w:t>
            </w:r>
          </w:p>
        </w:tc>
        <w:tc>
          <w:tcPr>
            <w:tcW w:w="1138" w:type="dxa"/>
            <w:noWrap w:val="0"/>
            <w:vAlign w:val="center"/>
          </w:tcPr>
          <w:p w14:paraId="27BBF5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01" w:type="dxa"/>
            <w:noWrap w:val="0"/>
            <w:vAlign w:val="center"/>
          </w:tcPr>
          <w:p w14:paraId="79E229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901" w:type="dxa"/>
            <w:noWrap w:val="0"/>
            <w:vAlign w:val="center"/>
          </w:tcPr>
          <w:p w14:paraId="712324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0.20</w:t>
            </w:r>
          </w:p>
        </w:tc>
        <w:tc>
          <w:tcPr>
            <w:tcW w:w="901" w:type="dxa"/>
            <w:noWrap w:val="0"/>
            <w:vAlign w:val="center"/>
          </w:tcPr>
          <w:p w14:paraId="7084689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w:t>
            </w:r>
          </w:p>
        </w:tc>
      </w:tr>
      <w:tr w14:paraId="154C13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46908FDA">
            <w:pPr>
              <w:pStyle w:val="75"/>
              <w:rPr>
                <w:rFonts w:hint="default" w:ascii="Times New Roman" w:hAnsi="Times New Roman" w:eastAsia="宋体" w:cs="Times New Roman"/>
                <w:sz w:val="21"/>
                <w:szCs w:val="21"/>
              </w:rPr>
            </w:pPr>
          </w:p>
        </w:tc>
        <w:tc>
          <w:tcPr>
            <w:tcW w:w="1433" w:type="dxa"/>
            <w:noWrap w:val="0"/>
            <w:vAlign w:val="center"/>
          </w:tcPr>
          <w:p w14:paraId="20A40CB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2024年7月</w:t>
            </w:r>
          </w:p>
        </w:tc>
        <w:tc>
          <w:tcPr>
            <w:tcW w:w="937" w:type="dxa"/>
            <w:noWrap w:val="0"/>
            <w:vAlign w:val="center"/>
          </w:tcPr>
          <w:p w14:paraId="3A14C73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3.2 </w:t>
            </w:r>
          </w:p>
        </w:tc>
        <w:tc>
          <w:tcPr>
            <w:tcW w:w="1097" w:type="dxa"/>
            <w:noWrap w:val="0"/>
            <w:vAlign w:val="center"/>
          </w:tcPr>
          <w:p w14:paraId="786040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 </w:t>
            </w:r>
          </w:p>
        </w:tc>
        <w:tc>
          <w:tcPr>
            <w:tcW w:w="1138" w:type="dxa"/>
            <w:noWrap w:val="0"/>
            <w:vAlign w:val="center"/>
          </w:tcPr>
          <w:p w14:paraId="280601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0.21 </w:t>
            </w:r>
          </w:p>
        </w:tc>
        <w:tc>
          <w:tcPr>
            <w:tcW w:w="901" w:type="dxa"/>
            <w:noWrap w:val="0"/>
            <w:vAlign w:val="center"/>
          </w:tcPr>
          <w:p w14:paraId="76B5260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901" w:type="dxa"/>
            <w:noWrap w:val="0"/>
            <w:vAlign w:val="center"/>
          </w:tcPr>
          <w:p w14:paraId="5CA0E5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0.67</w:t>
            </w:r>
          </w:p>
        </w:tc>
        <w:tc>
          <w:tcPr>
            <w:tcW w:w="901" w:type="dxa"/>
            <w:noWrap w:val="0"/>
            <w:vAlign w:val="center"/>
          </w:tcPr>
          <w:p w14:paraId="06639E6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0.70</w:t>
            </w:r>
          </w:p>
        </w:tc>
      </w:tr>
      <w:tr w14:paraId="1B88A39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5B74AC87">
            <w:pPr>
              <w:pStyle w:val="75"/>
              <w:rPr>
                <w:rFonts w:hint="default" w:ascii="Times New Roman" w:hAnsi="Times New Roman" w:eastAsia="宋体" w:cs="Times New Roman"/>
                <w:sz w:val="21"/>
                <w:szCs w:val="21"/>
              </w:rPr>
            </w:pPr>
          </w:p>
        </w:tc>
        <w:tc>
          <w:tcPr>
            <w:tcW w:w="1433" w:type="dxa"/>
            <w:noWrap w:val="0"/>
            <w:vAlign w:val="center"/>
          </w:tcPr>
          <w:p w14:paraId="2563E0D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2024年8月</w:t>
            </w:r>
          </w:p>
        </w:tc>
        <w:tc>
          <w:tcPr>
            <w:tcW w:w="937" w:type="dxa"/>
            <w:noWrap w:val="0"/>
            <w:vAlign w:val="center"/>
          </w:tcPr>
          <w:p w14:paraId="23114B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 </w:t>
            </w:r>
          </w:p>
        </w:tc>
        <w:tc>
          <w:tcPr>
            <w:tcW w:w="1097" w:type="dxa"/>
            <w:noWrap w:val="0"/>
            <w:vAlign w:val="center"/>
          </w:tcPr>
          <w:p w14:paraId="400629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0.7 </w:t>
            </w:r>
          </w:p>
        </w:tc>
        <w:tc>
          <w:tcPr>
            <w:tcW w:w="1138" w:type="dxa"/>
            <w:noWrap w:val="0"/>
            <w:vAlign w:val="center"/>
          </w:tcPr>
          <w:p w14:paraId="4814B1C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0.22 </w:t>
            </w:r>
          </w:p>
        </w:tc>
        <w:tc>
          <w:tcPr>
            <w:tcW w:w="901" w:type="dxa"/>
            <w:noWrap w:val="0"/>
            <w:vAlign w:val="center"/>
          </w:tcPr>
          <w:p w14:paraId="13EDF7D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901" w:type="dxa"/>
            <w:noWrap w:val="0"/>
            <w:vAlign w:val="center"/>
          </w:tcPr>
          <w:p w14:paraId="6D7AB1C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0.47</w:t>
            </w:r>
          </w:p>
        </w:tc>
        <w:tc>
          <w:tcPr>
            <w:tcW w:w="901" w:type="dxa"/>
            <w:noWrap w:val="0"/>
            <w:vAlign w:val="center"/>
          </w:tcPr>
          <w:p w14:paraId="7A52C4D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0.73</w:t>
            </w:r>
          </w:p>
        </w:tc>
      </w:tr>
      <w:tr w14:paraId="5AFD47D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7AD58185">
            <w:pPr>
              <w:pStyle w:val="75"/>
              <w:rPr>
                <w:rFonts w:hint="default" w:ascii="Times New Roman" w:hAnsi="Times New Roman" w:eastAsia="宋体" w:cs="Times New Roman"/>
                <w:sz w:val="21"/>
                <w:szCs w:val="21"/>
              </w:rPr>
            </w:pPr>
          </w:p>
        </w:tc>
        <w:tc>
          <w:tcPr>
            <w:tcW w:w="1433" w:type="dxa"/>
            <w:noWrap w:val="0"/>
            <w:vAlign w:val="center"/>
          </w:tcPr>
          <w:p w14:paraId="787DAC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2024年9月</w:t>
            </w:r>
          </w:p>
        </w:tc>
        <w:tc>
          <w:tcPr>
            <w:tcW w:w="937" w:type="dxa"/>
            <w:noWrap w:val="0"/>
            <w:vAlign w:val="center"/>
          </w:tcPr>
          <w:p w14:paraId="55AA43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 </w:t>
            </w:r>
          </w:p>
        </w:tc>
        <w:tc>
          <w:tcPr>
            <w:tcW w:w="1097" w:type="dxa"/>
            <w:noWrap w:val="0"/>
            <w:vAlign w:val="center"/>
          </w:tcPr>
          <w:p w14:paraId="2DEAF0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0.5 </w:t>
            </w:r>
          </w:p>
        </w:tc>
        <w:tc>
          <w:tcPr>
            <w:tcW w:w="1138" w:type="dxa"/>
            <w:noWrap w:val="0"/>
            <w:vAlign w:val="center"/>
          </w:tcPr>
          <w:p w14:paraId="08A0732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0.18 </w:t>
            </w:r>
          </w:p>
        </w:tc>
        <w:tc>
          <w:tcPr>
            <w:tcW w:w="901" w:type="dxa"/>
            <w:noWrap w:val="0"/>
            <w:vAlign w:val="center"/>
          </w:tcPr>
          <w:p w14:paraId="42D0C1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901" w:type="dxa"/>
            <w:noWrap w:val="0"/>
            <w:vAlign w:val="center"/>
          </w:tcPr>
          <w:p w14:paraId="3FAC29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901" w:type="dxa"/>
            <w:noWrap w:val="0"/>
            <w:vAlign w:val="center"/>
          </w:tcPr>
          <w:p w14:paraId="33FC053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0.60</w:t>
            </w:r>
          </w:p>
        </w:tc>
      </w:tr>
      <w:tr w14:paraId="71477C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65823CC7">
            <w:pPr>
              <w:pStyle w:val="75"/>
              <w:rPr>
                <w:rFonts w:hint="default" w:ascii="Times New Roman" w:hAnsi="Times New Roman" w:eastAsia="宋体" w:cs="Times New Roman"/>
                <w:sz w:val="21"/>
                <w:szCs w:val="21"/>
              </w:rPr>
            </w:pPr>
          </w:p>
        </w:tc>
        <w:tc>
          <w:tcPr>
            <w:tcW w:w="1433" w:type="dxa"/>
            <w:noWrap w:val="0"/>
            <w:vAlign w:val="center"/>
          </w:tcPr>
          <w:p w14:paraId="732F20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2024年10月</w:t>
            </w:r>
          </w:p>
        </w:tc>
        <w:tc>
          <w:tcPr>
            <w:tcW w:w="937" w:type="dxa"/>
            <w:noWrap w:val="0"/>
            <w:vAlign w:val="center"/>
          </w:tcPr>
          <w:p w14:paraId="6E8DD5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3.6 </w:t>
            </w:r>
          </w:p>
        </w:tc>
        <w:tc>
          <w:tcPr>
            <w:tcW w:w="1097" w:type="dxa"/>
            <w:noWrap w:val="0"/>
            <w:vAlign w:val="center"/>
          </w:tcPr>
          <w:p w14:paraId="0F2A73A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0.5 </w:t>
            </w:r>
          </w:p>
        </w:tc>
        <w:tc>
          <w:tcPr>
            <w:tcW w:w="1138" w:type="dxa"/>
            <w:noWrap w:val="0"/>
            <w:vAlign w:val="center"/>
          </w:tcPr>
          <w:p w14:paraId="39E86BC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0.15 </w:t>
            </w:r>
          </w:p>
        </w:tc>
        <w:tc>
          <w:tcPr>
            <w:tcW w:w="901" w:type="dxa"/>
            <w:noWrap w:val="0"/>
            <w:vAlign w:val="center"/>
          </w:tcPr>
          <w:p w14:paraId="0EC455F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0.12</w:t>
            </w:r>
          </w:p>
        </w:tc>
        <w:tc>
          <w:tcPr>
            <w:tcW w:w="901" w:type="dxa"/>
            <w:noWrap w:val="0"/>
            <w:vAlign w:val="center"/>
          </w:tcPr>
          <w:p w14:paraId="24F571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901" w:type="dxa"/>
            <w:noWrap w:val="0"/>
            <w:vAlign w:val="center"/>
          </w:tcPr>
          <w:p w14:paraId="06705D4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0.50</w:t>
            </w:r>
          </w:p>
        </w:tc>
      </w:tr>
      <w:tr w14:paraId="2A5A40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17C28C7A">
            <w:pPr>
              <w:pStyle w:val="75"/>
              <w:rPr>
                <w:rFonts w:hint="default" w:ascii="Times New Roman" w:hAnsi="Times New Roman" w:eastAsia="宋体" w:cs="Times New Roman"/>
                <w:sz w:val="21"/>
                <w:szCs w:val="21"/>
              </w:rPr>
            </w:pPr>
          </w:p>
        </w:tc>
        <w:tc>
          <w:tcPr>
            <w:tcW w:w="1433" w:type="dxa"/>
            <w:noWrap w:val="0"/>
            <w:vAlign w:val="center"/>
          </w:tcPr>
          <w:p w14:paraId="7FDAB4A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2024年11月</w:t>
            </w:r>
          </w:p>
        </w:tc>
        <w:tc>
          <w:tcPr>
            <w:tcW w:w="937" w:type="dxa"/>
            <w:noWrap w:val="0"/>
            <w:vAlign w:val="center"/>
          </w:tcPr>
          <w:p w14:paraId="05E761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4.8 </w:t>
            </w:r>
          </w:p>
        </w:tc>
        <w:tc>
          <w:tcPr>
            <w:tcW w:w="1097" w:type="dxa"/>
            <w:noWrap w:val="0"/>
            <w:vAlign w:val="center"/>
          </w:tcPr>
          <w:p w14:paraId="46650A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0.5 </w:t>
            </w:r>
          </w:p>
        </w:tc>
        <w:tc>
          <w:tcPr>
            <w:tcW w:w="1138" w:type="dxa"/>
            <w:noWrap w:val="0"/>
            <w:vAlign w:val="center"/>
          </w:tcPr>
          <w:p w14:paraId="1EB2BD3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c>
          <w:tcPr>
            <w:tcW w:w="901" w:type="dxa"/>
            <w:noWrap w:val="0"/>
            <w:vAlign w:val="center"/>
          </w:tcPr>
          <w:p w14:paraId="56C7CD3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901" w:type="dxa"/>
            <w:noWrap w:val="0"/>
            <w:vAlign w:val="center"/>
          </w:tcPr>
          <w:p w14:paraId="62737AE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901" w:type="dxa"/>
            <w:noWrap w:val="0"/>
            <w:vAlign w:val="center"/>
          </w:tcPr>
          <w:p w14:paraId="35DDA60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0.47</w:t>
            </w:r>
          </w:p>
        </w:tc>
      </w:tr>
      <w:tr w14:paraId="5016E1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0" w:type="dxa"/>
            <w:vMerge w:val="continue"/>
            <w:noWrap w:val="0"/>
            <w:vAlign w:val="center"/>
          </w:tcPr>
          <w:p w14:paraId="30A0DD61">
            <w:pPr>
              <w:pStyle w:val="75"/>
              <w:rPr>
                <w:rFonts w:hint="default" w:ascii="Times New Roman" w:hAnsi="Times New Roman" w:eastAsia="宋体" w:cs="Times New Roman"/>
                <w:sz w:val="21"/>
                <w:szCs w:val="21"/>
              </w:rPr>
            </w:pPr>
          </w:p>
        </w:tc>
        <w:tc>
          <w:tcPr>
            <w:tcW w:w="1433" w:type="dxa"/>
            <w:noWrap w:val="0"/>
            <w:vAlign w:val="center"/>
          </w:tcPr>
          <w:p w14:paraId="6EBF756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2024年12月</w:t>
            </w:r>
          </w:p>
        </w:tc>
        <w:tc>
          <w:tcPr>
            <w:tcW w:w="937" w:type="dxa"/>
            <w:noWrap w:val="0"/>
            <w:vAlign w:val="center"/>
          </w:tcPr>
          <w:p w14:paraId="0DCD55A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4.0 </w:t>
            </w:r>
          </w:p>
        </w:tc>
        <w:tc>
          <w:tcPr>
            <w:tcW w:w="1097" w:type="dxa"/>
            <w:noWrap w:val="0"/>
            <w:vAlign w:val="center"/>
          </w:tcPr>
          <w:p w14:paraId="48DFBF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0.7 </w:t>
            </w:r>
          </w:p>
        </w:tc>
        <w:tc>
          <w:tcPr>
            <w:tcW w:w="1138" w:type="dxa"/>
            <w:noWrap w:val="0"/>
            <w:vAlign w:val="center"/>
          </w:tcPr>
          <w:p w14:paraId="7C0273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0.14 </w:t>
            </w:r>
          </w:p>
        </w:tc>
        <w:tc>
          <w:tcPr>
            <w:tcW w:w="901" w:type="dxa"/>
            <w:noWrap w:val="0"/>
            <w:vAlign w:val="center"/>
          </w:tcPr>
          <w:p w14:paraId="320ECF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901" w:type="dxa"/>
            <w:noWrap w:val="0"/>
            <w:vAlign w:val="center"/>
          </w:tcPr>
          <w:p w14:paraId="5A91DD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0.47</w:t>
            </w:r>
          </w:p>
        </w:tc>
        <w:tc>
          <w:tcPr>
            <w:tcW w:w="901" w:type="dxa"/>
            <w:noWrap w:val="0"/>
            <w:vAlign w:val="center"/>
          </w:tcPr>
          <w:p w14:paraId="5BBCDF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0.47</w:t>
            </w:r>
          </w:p>
        </w:tc>
      </w:tr>
      <w:tr w14:paraId="779B2E9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53" w:type="dxa"/>
            <w:gridSpan w:val="2"/>
            <w:noWrap w:val="0"/>
            <w:vAlign w:val="center"/>
          </w:tcPr>
          <w:p w14:paraId="697D25F3">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《地表水环境质量标准》（GB3838-2002）IV类</w:t>
            </w:r>
          </w:p>
        </w:tc>
        <w:tc>
          <w:tcPr>
            <w:tcW w:w="937" w:type="dxa"/>
            <w:noWrap w:val="0"/>
            <w:vAlign w:val="center"/>
          </w:tcPr>
          <w:p w14:paraId="2B35F5DF">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097" w:type="dxa"/>
            <w:noWrap w:val="0"/>
            <w:vAlign w:val="center"/>
          </w:tcPr>
          <w:p w14:paraId="49E2A2CF">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138" w:type="dxa"/>
            <w:noWrap w:val="0"/>
            <w:vAlign w:val="center"/>
          </w:tcPr>
          <w:p w14:paraId="1F3AE0D6">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901" w:type="dxa"/>
            <w:noWrap w:val="0"/>
            <w:vAlign w:val="center"/>
          </w:tcPr>
          <w:p w14:paraId="1024D1BA">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1" w:type="dxa"/>
            <w:noWrap w:val="0"/>
            <w:vAlign w:val="center"/>
          </w:tcPr>
          <w:p w14:paraId="107112D8">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1" w:type="dxa"/>
            <w:noWrap w:val="0"/>
            <w:vAlign w:val="center"/>
          </w:tcPr>
          <w:p w14:paraId="37D62FBA">
            <w:pPr>
              <w:pStyle w:val="7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14:paraId="6E26BA9F">
      <w:pPr>
        <w:rPr>
          <w:rFonts w:hint="eastAsia"/>
        </w:rPr>
      </w:pPr>
      <w:r>
        <w:rPr>
          <w:rFonts w:hint="eastAsia"/>
        </w:rPr>
        <w:t>共渠西永康断面</w:t>
      </w:r>
      <w:r>
        <w:rPr>
          <w:rFonts w:hint="eastAsia"/>
          <w:lang w:val="en-US" w:eastAsia="zh-CN"/>
        </w:rPr>
        <w:t>2024</w:t>
      </w:r>
      <w:r>
        <w:rPr>
          <w:rFonts w:hint="eastAsia"/>
        </w:rPr>
        <w:t>年1月-2024年</w:t>
      </w:r>
      <w:r>
        <w:rPr>
          <w:rFonts w:hint="eastAsia"/>
          <w:lang w:val="en-US" w:eastAsia="zh-CN"/>
        </w:rPr>
        <w:t>1</w:t>
      </w:r>
      <w:r>
        <w:rPr>
          <w:rFonts w:hint="eastAsia"/>
        </w:rPr>
        <w:t>2月水质状况为：COD为</w:t>
      </w:r>
      <w:r>
        <w:rPr>
          <w:rFonts w:hint="eastAsia"/>
          <w:lang w:val="en-US" w:eastAsia="zh-CN"/>
        </w:rPr>
        <w:t>3.2~5.2</w:t>
      </w:r>
      <w:r>
        <w:rPr>
          <w:rFonts w:hint="eastAsia"/>
        </w:rPr>
        <w:t>mg/L，标准指数为</w:t>
      </w:r>
      <w:r>
        <w:rPr>
          <w:rFonts w:hint="eastAsia"/>
          <w:lang w:val="en-US" w:eastAsia="zh-CN"/>
        </w:rPr>
        <w:t>0.11~0.17</w:t>
      </w:r>
      <w:r>
        <w:rPr>
          <w:rFonts w:hint="eastAsia"/>
        </w:rPr>
        <w:t>；NH</w:t>
      </w:r>
      <w:r>
        <w:rPr>
          <w:rFonts w:hint="eastAsia"/>
          <w:vertAlign w:val="subscript"/>
        </w:rPr>
        <w:t>3</w:t>
      </w:r>
      <w:r>
        <w:rPr>
          <w:rFonts w:hint="eastAsia"/>
        </w:rPr>
        <w:t>-N为</w:t>
      </w:r>
      <w:r>
        <w:rPr>
          <w:rFonts w:hint="eastAsia"/>
          <w:lang w:val="en-US" w:eastAsia="zh-CN"/>
        </w:rPr>
        <w:t>0.5~1.0</w:t>
      </w:r>
      <w:r>
        <w:rPr>
          <w:rFonts w:hint="eastAsia"/>
        </w:rPr>
        <w:t>mg/L，标准指数为</w:t>
      </w:r>
      <w:r>
        <w:rPr>
          <w:rFonts w:hint="eastAsia"/>
          <w:lang w:val="en-US" w:eastAsia="zh-CN"/>
        </w:rPr>
        <w:t>0.33~0.67</w:t>
      </w:r>
      <w:r>
        <w:rPr>
          <w:rFonts w:hint="eastAsia"/>
        </w:rPr>
        <w:t>，总磷为</w:t>
      </w:r>
      <w:r>
        <w:rPr>
          <w:rFonts w:hint="eastAsia"/>
          <w:lang w:val="en-US" w:eastAsia="zh-CN"/>
        </w:rPr>
        <w:t>0.14~0.22</w:t>
      </w:r>
      <w:r>
        <w:rPr>
          <w:rFonts w:hint="eastAsia"/>
        </w:rPr>
        <w:t>mg/L，标准指数为</w:t>
      </w:r>
      <w:r>
        <w:rPr>
          <w:rFonts w:hint="eastAsia"/>
          <w:lang w:val="en-US" w:eastAsia="zh-CN"/>
        </w:rPr>
        <w:t>0.47~0.73。</w:t>
      </w:r>
    </w:p>
    <w:p w14:paraId="07A48A0C">
      <w:pPr>
        <w:ind w:left="0" w:leftChars="0" w:firstLine="480" w:firstLineChars="200"/>
        <w:rPr>
          <w:rFonts w:hint="eastAsia"/>
        </w:rPr>
      </w:pPr>
      <w:r>
        <w:rPr>
          <w:rFonts w:hint="eastAsia"/>
        </w:rPr>
        <w:t>本次评价对共渠西永康断面的监测数据进行画图分析，详见图</w:t>
      </w:r>
      <w:r>
        <w:rPr>
          <w:rFonts w:hint="eastAsia"/>
          <w:lang w:val="en-US" w:eastAsia="zh-CN"/>
        </w:rPr>
        <w:t>4.2-2</w:t>
      </w:r>
      <w:r>
        <w:rPr>
          <w:rFonts w:hint="eastAsia"/>
        </w:rPr>
        <w:t>~</w:t>
      </w:r>
      <w:r>
        <w:rPr>
          <w:rFonts w:hint="eastAsia"/>
          <w:lang w:val="en-US" w:eastAsia="zh-CN"/>
        </w:rPr>
        <w:t>4.2-4</w:t>
      </w:r>
      <w:r>
        <w:rPr>
          <w:rFonts w:hint="eastAsia"/>
        </w:rPr>
        <w:t>。</w:t>
      </w:r>
    </w:p>
    <w:p w14:paraId="13C164A0">
      <w:pPr>
        <w:pStyle w:val="55"/>
        <w:jc w:val="center"/>
        <w:rPr>
          <w:rFonts w:hint="eastAsia"/>
        </w:rPr>
      </w:pPr>
      <w:r>
        <w:drawing>
          <wp:inline distT="0" distB="0" distL="114300" distR="114300">
            <wp:extent cx="4524375" cy="2254250"/>
            <wp:effectExtent l="4445" t="4445" r="5080" b="8255"/>
            <wp:docPr id="30" name="图表 22" descr="7b0a202020202263686172745265734964223a202232303436383738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13846B3">
      <w:pPr>
        <w:pStyle w:val="78"/>
        <w:tabs>
          <w:tab w:val="left" w:pos="1166"/>
          <w:tab w:val="center" w:pos="4156"/>
        </w:tabs>
      </w:pPr>
      <w:r>
        <w:t>图</w:t>
      </w:r>
      <w:r>
        <w:rPr>
          <w:rFonts w:hint="eastAsia"/>
        </w:rPr>
        <w:t>4</w:t>
      </w:r>
      <w:r>
        <w:rPr>
          <w:rFonts w:hint="eastAsia"/>
          <w:lang w:val="en-US" w:eastAsia="zh-CN"/>
        </w:rPr>
        <w:t>.2</w:t>
      </w:r>
      <w:r>
        <w:t>-</w:t>
      </w:r>
      <w:r>
        <w:rPr>
          <w:rFonts w:hint="eastAsia"/>
          <w:lang w:val="en-US" w:eastAsia="zh-CN"/>
        </w:rPr>
        <w:t>2</w:t>
      </w:r>
      <w:r>
        <w:t xml:space="preserve">   </w:t>
      </w:r>
      <w:r>
        <w:rPr>
          <w:rFonts w:hint="eastAsia"/>
        </w:rPr>
        <w:t xml:space="preserve"> 共渠西永康断面</w:t>
      </w:r>
      <w:r>
        <w:t>水质COD浓度折线图</w:t>
      </w:r>
    </w:p>
    <w:p w14:paraId="25806F16">
      <w:pPr>
        <w:pStyle w:val="55"/>
        <w:jc w:val="center"/>
        <w:rPr>
          <w:rFonts w:hint="eastAsia"/>
        </w:rPr>
      </w:pPr>
      <w:r>
        <w:drawing>
          <wp:inline distT="0" distB="0" distL="114300" distR="114300">
            <wp:extent cx="4503420" cy="2655570"/>
            <wp:effectExtent l="4445" t="4445" r="6985" b="6985"/>
            <wp:docPr id="28" name="图表 23" descr="7b0a202020202263686172745265734964223a202232303436383738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188F6D3">
      <w:pPr>
        <w:pStyle w:val="78"/>
      </w:pPr>
      <w:r>
        <w:t>图</w:t>
      </w:r>
      <w:r>
        <w:rPr>
          <w:rFonts w:hint="eastAsia"/>
        </w:rPr>
        <w:t>4</w:t>
      </w:r>
      <w:r>
        <w:rPr>
          <w:rFonts w:hint="eastAsia"/>
          <w:lang w:val="en-US" w:eastAsia="zh-CN"/>
        </w:rPr>
        <w:t>.2</w:t>
      </w:r>
      <w:r>
        <w:t>-</w:t>
      </w:r>
      <w:r>
        <w:rPr>
          <w:rFonts w:hint="eastAsia"/>
          <w:lang w:val="en-US" w:eastAsia="zh-CN"/>
        </w:rPr>
        <w:t>3</w:t>
      </w:r>
      <w:r>
        <w:t xml:space="preserve">    </w:t>
      </w:r>
      <w:r>
        <w:rPr>
          <w:rFonts w:hint="eastAsia"/>
          <w:lang w:val="en-US" w:eastAsia="zh-CN"/>
        </w:rPr>
        <w:t>共渠西永康</w:t>
      </w:r>
      <w:r>
        <w:rPr>
          <w:rFonts w:hint="eastAsia"/>
        </w:rPr>
        <w:t>断面</w:t>
      </w:r>
      <w:r>
        <w:t>近期水质NH</w:t>
      </w:r>
      <w:r>
        <w:rPr>
          <w:vertAlign w:val="subscript"/>
        </w:rPr>
        <w:t>3</w:t>
      </w:r>
      <w:r>
        <w:t>-N浓度折线图</w:t>
      </w:r>
    </w:p>
    <w:p w14:paraId="2A50551D">
      <w:pPr>
        <w:ind w:firstLine="480"/>
      </w:pPr>
    </w:p>
    <w:p w14:paraId="62CCF09E">
      <w:pPr>
        <w:ind w:firstLine="480"/>
      </w:pPr>
      <w:r>
        <w:drawing>
          <wp:anchor distT="0" distB="0" distL="114300" distR="114300" simplePos="0" relativeHeight="251691008" behindDoc="0" locked="0" layoutInCell="1" allowOverlap="1">
            <wp:simplePos x="0" y="0"/>
            <wp:positionH relativeFrom="column">
              <wp:posOffset>367030</wp:posOffset>
            </wp:positionH>
            <wp:positionV relativeFrom="paragraph">
              <wp:posOffset>-64770</wp:posOffset>
            </wp:positionV>
            <wp:extent cx="4530090" cy="2847975"/>
            <wp:effectExtent l="5080" t="5080" r="17780" b="4445"/>
            <wp:wrapNone/>
            <wp:docPr id="24" name="图表 23" descr="7b0a202020202263686172745265734964223a202232303436383738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p>
    <w:p w14:paraId="5927115A">
      <w:pPr>
        <w:ind w:firstLine="480"/>
      </w:pPr>
    </w:p>
    <w:p w14:paraId="1DF9E83F">
      <w:pPr>
        <w:pStyle w:val="55"/>
      </w:pPr>
    </w:p>
    <w:p w14:paraId="72DA1571">
      <w:pPr>
        <w:pStyle w:val="55"/>
      </w:pPr>
    </w:p>
    <w:p w14:paraId="1FCC4B8D">
      <w:pPr>
        <w:ind w:firstLine="480"/>
      </w:pPr>
    </w:p>
    <w:p w14:paraId="02A27B75">
      <w:pPr>
        <w:ind w:firstLine="480"/>
      </w:pPr>
    </w:p>
    <w:p w14:paraId="4FDF76A6">
      <w:pPr>
        <w:ind w:firstLine="480"/>
      </w:pPr>
    </w:p>
    <w:p w14:paraId="5F7A1E6D">
      <w:pPr>
        <w:ind w:firstLine="480"/>
      </w:pPr>
    </w:p>
    <w:p w14:paraId="43D1BC67">
      <w:pPr>
        <w:ind w:firstLine="480"/>
      </w:pPr>
    </w:p>
    <w:p w14:paraId="2322D9FF">
      <w:pPr>
        <w:ind w:firstLine="480"/>
        <w:jc w:val="center"/>
        <w:rPr>
          <w:b/>
          <w:bCs/>
        </w:rPr>
      </w:pPr>
      <w:r>
        <w:rPr>
          <w:b/>
          <w:bCs/>
        </w:rPr>
        <w:t>图</w:t>
      </w:r>
      <w:r>
        <w:rPr>
          <w:rFonts w:hint="eastAsia"/>
          <w:b/>
          <w:bCs/>
        </w:rPr>
        <w:t>4</w:t>
      </w:r>
      <w:r>
        <w:rPr>
          <w:rFonts w:hint="eastAsia"/>
          <w:b/>
          <w:bCs/>
          <w:lang w:val="en-US" w:eastAsia="zh-CN"/>
        </w:rPr>
        <w:t>.2</w:t>
      </w:r>
      <w:r>
        <w:rPr>
          <w:b/>
          <w:bCs/>
        </w:rPr>
        <w:t>-</w:t>
      </w:r>
      <w:r>
        <w:rPr>
          <w:rFonts w:hint="eastAsia"/>
          <w:b/>
          <w:bCs/>
          <w:lang w:val="en-US" w:eastAsia="zh-CN"/>
        </w:rPr>
        <w:t>4</w:t>
      </w:r>
      <w:r>
        <w:rPr>
          <w:b/>
          <w:bCs/>
        </w:rPr>
        <w:t xml:space="preserve">    </w:t>
      </w:r>
      <w:r>
        <w:rPr>
          <w:rFonts w:hint="eastAsia"/>
          <w:b/>
          <w:bCs/>
          <w:lang w:val="en-US" w:eastAsia="zh-CN"/>
        </w:rPr>
        <w:t>共渠西永康</w:t>
      </w:r>
      <w:r>
        <w:rPr>
          <w:rFonts w:hint="eastAsia"/>
          <w:b/>
          <w:bCs/>
        </w:rPr>
        <w:t>断面</w:t>
      </w:r>
      <w:r>
        <w:rPr>
          <w:b/>
          <w:bCs/>
        </w:rPr>
        <w:t>近期水质</w:t>
      </w:r>
      <w:r>
        <w:rPr>
          <w:rFonts w:hint="eastAsia"/>
          <w:b/>
          <w:bCs/>
          <w:lang w:val="en-US" w:eastAsia="zh-CN"/>
        </w:rPr>
        <w:t>总磷</w:t>
      </w:r>
      <w:r>
        <w:rPr>
          <w:b/>
          <w:bCs/>
        </w:rPr>
        <w:t>浓度折线图</w:t>
      </w:r>
    </w:p>
    <w:p w14:paraId="34D784D9">
      <w:pPr>
        <w:widowControl/>
        <w:numPr>
          <w:ilvl w:val="2"/>
          <w:numId w:val="0"/>
        </w:numPr>
        <w:tabs>
          <w:tab w:val="left" w:pos="1041"/>
        </w:tabs>
        <w:autoSpaceDE w:val="0"/>
        <w:autoSpaceDN w:val="0"/>
        <w:ind w:firstLine="480" w:firstLineChars="200"/>
        <w:textAlignment w:val="auto"/>
        <w:rPr>
          <w:rFonts w:hint="eastAsia"/>
          <w:color w:val="000000"/>
        </w:rPr>
      </w:pPr>
      <w:r>
        <w:rPr>
          <w:color w:val="000000"/>
        </w:rPr>
        <w:t>由以上图表可知，共渠西永康断面</w:t>
      </w:r>
      <w:r>
        <w:rPr>
          <w:rFonts w:hint="eastAsia"/>
          <w:color w:val="000000"/>
          <w:lang w:val="en-US" w:eastAsia="zh-CN"/>
        </w:rPr>
        <w:t>2024</w:t>
      </w:r>
      <w:r>
        <w:rPr>
          <w:rFonts w:hint="eastAsia"/>
          <w:color w:val="000000"/>
        </w:rPr>
        <w:t>年</w:t>
      </w:r>
      <w:r>
        <w:rPr>
          <w:color w:val="000000"/>
        </w:rPr>
        <w:t>COD</w:t>
      </w:r>
      <w:r>
        <w:rPr>
          <w:rFonts w:hint="eastAsia"/>
          <w:color w:val="000000"/>
        </w:rPr>
        <w:t>、</w:t>
      </w:r>
      <w:r>
        <w:rPr>
          <w:color w:val="000000"/>
        </w:rPr>
        <w:t>氨氮、总磷均能满足《地表水环境质量标准》（GB3838-2002）</w:t>
      </w:r>
      <w:r>
        <w:rPr>
          <w:rFonts w:hint="eastAsia"/>
          <w:color w:val="000000"/>
        </w:rPr>
        <w:t>IV类</w:t>
      </w:r>
      <w:r>
        <w:rPr>
          <w:color w:val="000000"/>
        </w:rPr>
        <w:t>标准</w:t>
      </w:r>
      <w:r>
        <w:rPr>
          <w:rFonts w:hint="eastAsia"/>
          <w:color w:val="000000"/>
        </w:rPr>
        <w:t>。共渠西永康该段水质良好。目前，新乡市正在推进实施《新乡市2024年碧水保卫战实施方案》，将继续改善新乡市水环境质量。</w:t>
      </w:r>
    </w:p>
    <w:p w14:paraId="5FADC86D">
      <w:pPr>
        <w:widowControl/>
        <w:numPr>
          <w:ilvl w:val="2"/>
          <w:numId w:val="0"/>
        </w:numPr>
        <w:tabs>
          <w:tab w:val="left" w:pos="1041"/>
        </w:tabs>
        <w:autoSpaceDE w:val="0"/>
        <w:autoSpaceDN w:val="0"/>
        <w:ind w:firstLine="480" w:firstLineChars="200"/>
        <w:textAlignment w:val="auto"/>
        <w:rPr>
          <w:kern w:val="21"/>
          <w:szCs w:val="24"/>
        </w:rPr>
      </w:pPr>
      <w:r>
        <w:rPr>
          <w:kern w:val="21"/>
          <w:szCs w:val="24"/>
        </w:rPr>
        <w:t>本项目外排废水经管网进入</w:t>
      </w:r>
      <w:r>
        <w:t>获嘉县同盟污水处理厂</w:t>
      </w:r>
      <w:r>
        <w:rPr>
          <w:kern w:val="21"/>
          <w:szCs w:val="24"/>
        </w:rPr>
        <w:t>进一步处理后排入地表水体，不会地表水体产生显著影响。</w:t>
      </w:r>
    </w:p>
    <w:p w14:paraId="2E88140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4.2.3.3依托污水处理设施稳定达标排放分析</w:t>
      </w:r>
    </w:p>
    <w:p w14:paraId="30360D6E">
      <w:pPr>
        <w:ind w:firstLine="480"/>
        <w:jc w:val="both"/>
        <w:rPr>
          <w:rFonts w:hint="eastAsia" w:eastAsia="宋体"/>
          <w:lang w:eastAsia="zh-CN"/>
        </w:rPr>
      </w:pPr>
      <w:r>
        <w:t>新乡市获嘉县同盟污水处理厂</w:t>
      </w:r>
      <w:r>
        <w:rPr>
          <w:szCs w:val="24"/>
        </w:rPr>
        <w:t>位于获嘉县城东4km、彦当桥北450m处，采用奥贝尔氧化沟处理工艺，主要处理新月铁路以北的县城生活商业污水和获嘉县产业集聚区东区工业废水，收水范围约11.28km</w:t>
      </w:r>
      <w:r>
        <w:rPr>
          <w:szCs w:val="24"/>
          <w:vertAlign w:val="superscript"/>
        </w:rPr>
        <w:t>2</w:t>
      </w:r>
      <w:r>
        <w:rPr>
          <w:szCs w:val="24"/>
        </w:rPr>
        <w:t>，建设规模</w:t>
      </w:r>
      <w:r>
        <w:rPr>
          <w:rFonts w:hint="eastAsia"/>
          <w:szCs w:val="24"/>
          <w:lang w:val="en-US" w:eastAsia="zh-CN"/>
        </w:rPr>
        <w:t>6</w:t>
      </w:r>
      <w:r>
        <w:rPr>
          <w:szCs w:val="24"/>
        </w:rPr>
        <w:t>万</w:t>
      </w:r>
      <w:r>
        <w:t>m</w:t>
      </w:r>
      <w:r>
        <w:rPr>
          <w:vertAlign w:val="superscript"/>
        </w:rPr>
        <w:t>3</w:t>
      </w:r>
      <w:r>
        <w:t>/d。</w:t>
      </w:r>
      <w:r>
        <w:rPr>
          <w:rFonts w:hint="eastAsia"/>
          <w:lang w:val="en-US" w:eastAsia="zh-CN"/>
        </w:rPr>
        <w:t>本项目位于获嘉县产业集聚区东区，</w:t>
      </w:r>
      <w:r>
        <w:rPr>
          <w:rFonts w:hint="eastAsia"/>
        </w:rPr>
        <w:t>属于获嘉县同盟污水处理厂的收水范围</w:t>
      </w:r>
      <w:r>
        <w:rPr>
          <w:rFonts w:hint="eastAsia"/>
          <w:lang w:eastAsia="zh-CN"/>
        </w:rPr>
        <w:t>。</w:t>
      </w:r>
    </w:p>
    <w:p w14:paraId="772B074A">
      <w:pPr>
        <w:keepNext w:val="0"/>
        <w:keepLines w:val="0"/>
        <w:pageBreakBefore w:val="0"/>
        <w:widowControl w:val="0"/>
        <w:kinsoku/>
        <w:wordWrap/>
        <w:overflowPunct/>
        <w:topLinePunct w:val="0"/>
        <w:autoSpaceDE/>
        <w:autoSpaceDN/>
        <w:bidi w:val="0"/>
        <w:adjustRightInd w:val="0"/>
        <w:snapToGrid w:val="0"/>
        <w:spacing w:line="520" w:lineRule="exact"/>
        <w:ind w:firstLine="480" w:firstLineChars="200"/>
        <w:jc w:val="both"/>
        <w:textAlignment w:val="baseline"/>
        <w:rPr>
          <w:rFonts w:hint="eastAsia"/>
          <w:lang w:eastAsia="zh-CN"/>
        </w:rPr>
      </w:pPr>
      <w:r>
        <w:rPr>
          <w:rFonts w:hint="eastAsia" w:hAnsi="宋体"/>
        </w:rPr>
        <w:t>获嘉县同盟污水处理厂采用奥贝尔氧化沟处理工艺：“格栅→沉砂池→改良型氧化沟→二沉池→反应沉淀池→浸没式超滤膜滤池→接触消毒池→达标排放”，</w:t>
      </w:r>
      <w:r>
        <w:rPr>
          <w:rFonts w:hint="eastAsia"/>
        </w:rPr>
        <w:t>设计收水量为</w:t>
      </w:r>
      <w:r>
        <w:t>6.0</w:t>
      </w:r>
      <w:r>
        <w:rPr>
          <w:rFonts w:hint="eastAsia"/>
        </w:rPr>
        <w:t>万m</w:t>
      </w:r>
      <w:r>
        <w:rPr>
          <w:rFonts w:hint="eastAsia"/>
          <w:vertAlign w:val="superscript"/>
        </w:rPr>
        <w:t>3</w:t>
      </w:r>
      <w:r>
        <w:rPr>
          <w:rFonts w:hint="eastAsia"/>
        </w:rPr>
        <w:t>/d</w:t>
      </w:r>
      <w:r>
        <w:rPr>
          <w:rFonts w:hint="eastAsia"/>
          <w:lang w:eastAsia="zh-CN"/>
        </w:rPr>
        <w:t>。</w:t>
      </w:r>
      <w:r>
        <w:t>进水水质要求为：pH 6~9、COD≤3</w:t>
      </w:r>
      <w:r>
        <w:rPr>
          <w:rFonts w:hint="eastAsia"/>
        </w:rPr>
        <w:t>50</w:t>
      </w:r>
      <w:r>
        <w:t>mg/L、氨氮≤</w:t>
      </w:r>
      <w:r>
        <w:rPr>
          <w:rFonts w:hint="eastAsia"/>
        </w:rPr>
        <w:t>35</w:t>
      </w:r>
      <w:r>
        <w:t>mg/L、SS≤2</w:t>
      </w:r>
      <w:r>
        <w:rPr>
          <w:rFonts w:hint="eastAsia"/>
        </w:rPr>
        <w:t>3</w:t>
      </w:r>
      <w:r>
        <w:t>0mg/L、总磷≤</w:t>
      </w:r>
      <w:r>
        <w:rPr>
          <w:rFonts w:hint="eastAsia"/>
        </w:rPr>
        <w:t>3.5</w:t>
      </w:r>
      <w:r>
        <w:t>mg/L、</w:t>
      </w:r>
      <w:r>
        <w:rPr>
          <w:rFonts w:hint="eastAsia"/>
        </w:rPr>
        <w:t>TN</w:t>
      </w:r>
      <w:r>
        <w:t>≤50mg/L。</w:t>
      </w:r>
    </w:p>
    <w:p w14:paraId="1562FBC9">
      <w:pPr>
        <w:ind w:firstLine="480"/>
        <w:rPr>
          <w:rFonts w:hAnsi="宋体"/>
        </w:rPr>
      </w:pPr>
      <w:r>
        <w:rPr>
          <w:rFonts w:hint="eastAsia"/>
          <w:lang w:val="en-US" w:eastAsia="zh-CN"/>
        </w:rPr>
        <w:t>从水量上分析，</w:t>
      </w:r>
      <w:r>
        <w:rPr>
          <w:rFonts w:hint="eastAsia"/>
          <w:color w:val="000000"/>
          <w:lang w:val="en-US" w:eastAsia="zh-CN"/>
        </w:rPr>
        <w:t>根据调查，目前获嘉县同盟污水处理厂2024年实际运行负荷最大为每月1705248.</w:t>
      </w: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3</w:t>
      </w:r>
      <w:r>
        <w:rPr>
          <w:rFonts w:hint="eastAsia"/>
          <w:color w:val="000000"/>
          <w:lang w:val="en-US" w:eastAsia="zh-CN"/>
        </w:rPr>
        <w:t>（55008.016</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 xml:space="preserve"> /d</w:t>
      </w:r>
      <w:r>
        <w:rPr>
          <w:rFonts w:hint="eastAsia"/>
          <w:color w:val="000000"/>
          <w:lang w:val="en-US" w:eastAsia="zh-CN"/>
        </w:rPr>
        <w:t>），尚有</w:t>
      </w:r>
      <w:r>
        <w:rPr>
          <w:rFonts w:hint="eastAsia"/>
          <w:color w:val="000000" w:themeColor="text1"/>
          <w:lang w:val="en-US" w:eastAsia="zh-CN"/>
          <w14:textFill>
            <w14:solidFill>
              <w14:schemeClr w14:val="tx1"/>
            </w14:solidFill>
          </w14:textFill>
        </w:rPr>
        <w:t>4991.084</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/d</w:t>
      </w:r>
      <w:r>
        <w:rPr>
          <w:rFonts w:hint="eastAsia"/>
          <w:color w:val="000000"/>
          <w:lang w:val="en-US" w:eastAsia="zh-CN"/>
        </w:rPr>
        <w:t>的余量。本项目建成后全厂废水排放量为176.615</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/d</w:t>
      </w:r>
      <w:r>
        <w:rPr>
          <w:rFonts w:hint="eastAsia"/>
          <w:color w:val="000000"/>
          <w:lang w:val="en-US" w:eastAsia="zh-CN"/>
        </w:rPr>
        <w:t>，占污水处理厂剩余处理量的</w:t>
      </w:r>
      <w:r>
        <w:rPr>
          <w:rFonts w:hint="eastAsia"/>
          <w:color w:val="000000" w:themeColor="text1"/>
          <w:lang w:val="en-US" w:eastAsia="zh-CN"/>
          <w14:textFill>
            <w14:solidFill>
              <w14:schemeClr w14:val="tx1"/>
            </w14:solidFill>
          </w14:textFill>
        </w:rPr>
        <w:t>3.54</w:t>
      </w:r>
      <w:r>
        <w:rPr>
          <w:rFonts w:hint="default"/>
          <w:color w:val="000000" w:themeColor="text1"/>
          <w:lang w:val="en-US" w:eastAsia="zh-CN"/>
          <w14:textFill>
            <w14:solidFill>
              <w14:schemeClr w14:val="tx1"/>
            </w14:solidFill>
          </w14:textFill>
        </w:rPr>
        <w:t>%</w:t>
      </w:r>
      <w:r>
        <w:rPr>
          <w:rFonts w:hint="eastAsia"/>
          <w:color w:val="000000"/>
          <w:lang w:val="en-US" w:eastAsia="zh-CN"/>
        </w:rPr>
        <w:t>，</w:t>
      </w:r>
      <w:r>
        <w:rPr>
          <w:rFonts w:hint="eastAsia"/>
        </w:rPr>
        <w:t>因此水量接管可行</w:t>
      </w:r>
      <w:r>
        <w:rPr>
          <w:rFonts w:hint="eastAsia" w:hAnsi="宋体"/>
        </w:rPr>
        <w:t>。</w:t>
      </w:r>
    </w:p>
    <w:p w14:paraId="2AA7A62C">
      <w:pPr>
        <w:pStyle w:val="115"/>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cs="宋体" w:eastAsiaTheme="minorEastAsia"/>
          <w:b/>
          <w:kern w:val="2"/>
          <w:sz w:val="24"/>
          <w:szCs w:val="24"/>
          <w:lang w:val="en-US" w:eastAsia="zh-CN" w:bidi="ar-SA"/>
        </w:rPr>
      </w:pPr>
      <w:r>
        <w:rPr>
          <w:rFonts w:hint="default" w:ascii="Times New Roman" w:hAnsi="Times New Roman" w:cs="宋体" w:eastAsiaTheme="minorEastAsia"/>
          <w:b/>
          <w:kern w:val="2"/>
          <w:sz w:val="24"/>
          <w:szCs w:val="24"/>
          <w:lang w:val="en-US" w:eastAsia="zh-CN" w:bidi="ar-SA"/>
        </w:rPr>
        <w:t>表4</w:t>
      </w:r>
      <w:r>
        <w:rPr>
          <w:rFonts w:hint="eastAsia" w:cs="宋体" w:eastAsiaTheme="minorEastAsia"/>
          <w:b/>
          <w:kern w:val="2"/>
          <w:sz w:val="24"/>
          <w:szCs w:val="24"/>
          <w:lang w:val="en-US" w:eastAsia="zh-CN" w:bidi="ar-SA"/>
        </w:rPr>
        <w:t>.2</w:t>
      </w:r>
      <w:r>
        <w:rPr>
          <w:rFonts w:hint="default" w:ascii="Times New Roman" w:hAnsi="Times New Roman" w:cs="宋体" w:eastAsiaTheme="minorEastAsia"/>
          <w:b/>
          <w:kern w:val="2"/>
          <w:sz w:val="24"/>
          <w:szCs w:val="24"/>
          <w:lang w:val="en-US" w:eastAsia="zh-CN" w:bidi="ar-SA"/>
        </w:rPr>
        <w:t>-</w:t>
      </w:r>
      <w:r>
        <w:rPr>
          <w:rFonts w:hint="eastAsia" w:cs="宋体" w:eastAsiaTheme="minorEastAsia"/>
          <w:b/>
          <w:kern w:val="2"/>
          <w:sz w:val="24"/>
          <w:szCs w:val="24"/>
          <w:lang w:val="en-US" w:eastAsia="zh-CN" w:bidi="ar-SA"/>
        </w:rPr>
        <w:t>8</w:t>
      </w:r>
      <w:r>
        <w:rPr>
          <w:rFonts w:hint="default" w:ascii="Times New Roman" w:hAnsi="Times New Roman" w:cs="宋体" w:eastAsiaTheme="minorEastAsia"/>
          <w:b/>
          <w:kern w:val="2"/>
          <w:sz w:val="24"/>
          <w:szCs w:val="24"/>
          <w:lang w:val="en-US" w:eastAsia="zh-CN" w:bidi="ar-SA"/>
        </w:rPr>
        <w:t xml:space="preserve">    2024 年</w:t>
      </w:r>
      <w:r>
        <w:rPr>
          <w:rFonts w:hint="eastAsia" w:cs="宋体" w:eastAsiaTheme="minorEastAsia"/>
          <w:b/>
          <w:kern w:val="2"/>
          <w:sz w:val="24"/>
          <w:szCs w:val="24"/>
          <w:lang w:val="en-US" w:eastAsia="zh-CN" w:bidi="ar-SA"/>
        </w:rPr>
        <w:t>获嘉县</w:t>
      </w:r>
      <w:r>
        <w:rPr>
          <w:rFonts w:hint="default" w:ascii="Times New Roman" w:hAnsi="Times New Roman" w:cs="宋体" w:eastAsiaTheme="minorEastAsia"/>
          <w:b/>
          <w:kern w:val="2"/>
          <w:sz w:val="24"/>
          <w:szCs w:val="24"/>
          <w:lang w:val="en-US" w:eastAsia="zh-CN" w:bidi="ar-SA"/>
        </w:rPr>
        <w:t xml:space="preserve">同盟污水处理厂运行情况   </w:t>
      </w:r>
      <w:r>
        <w:rPr>
          <w:rFonts w:hint="eastAsia" w:cs="宋体" w:eastAsiaTheme="minorEastAsia"/>
          <w:b/>
          <w:kern w:val="2"/>
          <w:sz w:val="24"/>
          <w:szCs w:val="24"/>
          <w:lang w:val="en-US" w:eastAsia="zh-CN" w:bidi="ar-SA"/>
        </w:rPr>
        <w:t xml:space="preserve"> </w:t>
      </w:r>
      <w:r>
        <w:rPr>
          <w:rFonts w:hint="default" w:ascii="Times New Roman" w:hAnsi="Times New Roman" w:cs="宋体" w:eastAsiaTheme="minorEastAsia"/>
          <w:b/>
          <w:kern w:val="2"/>
          <w:sz w:val="24"/>
          <w:szCs w:val="24"/>
          <w:lang w:val="en-US" w:eastAsia="zh-CN" w:bidi="ar-SA"/>
        </w:rPr>
        <w:t>单位：mg/L</w:t>
      </w:r>
    </w:p>
    <w:tbl>
      <w:tblPr>
        <w:tblStyle w:val="39"/>
        <w:tblW w:w="478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33"/>
        <w:gridCol w:w="1651"/>
        <w:gridCol w:w="1296"/>
        <w:gridCol w:w="1771"/>
        <w:gridCol w:w="901"/>
        <w:gridCol w:w="1506"/>
      </w:tblGrid>
      <w:tr w14:paraId="17E54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478DD30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时间</w:t>
            </w:r>
          </w:p>
        </w:tc>
        <w:tc>
          <w:tcPr>
            <w:tcW w:w="1011" w:type="pct"/>
            <w:tcBorders>
              <w:tl2br w:val="nil"/>
              <w:tr2bl w:val="nil"/>
            </w:tcBorders>
            <w:shd w:val="clear" w:color="auto" w:fill="auto"/>
            <w:noWrap/>
            <w:vAlign w:val="center"/>
          </w:tcPr>
          <w:p w14:paraId="11E922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lang w:val="en-US"/>
              </w:rPr>
            </w:pPr>
            <w:r>
              <w:rPr>
                <w:rFonts w:hint="default" w:ascii="Times New Roman" w:hAnsi="Times New Roman" w:eastAsia="宋体" w:cs="Times New Roman"/>
                <w:b/>
                <w:bCs/>
                <w:i w:val="0"/>
                <w:iCs w:val="0"/>
                <w:color w:val="000000"/>
                <w:kern w:val="0"/>
                <w:sz w:val="21"/>
                <w:szCs w:val="21"/>
                <w:u w:val="none"/>
                <w:lang w:val="en-US" w:eastAsia="zh-CN" w:bidi="ar"/>
              </w:rPr>
              <w:t>累计流量m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p>
        </w:tc>
        <w:tc>
          <w:tcPr>
            <w:tcW w:w="794" w:type="pct"/>
            <w:tcBorders>
              <w:tl2br w:val="nil"/>
              <w:tr2bl w:val="nil"/>
            </w:tcBorders>
            <w:shd w:val="clear" w:color="auto" w:fill="auto"/>
            <w:noWrap/>
            <w:vAlign w:val="center"/>
          </w:tcPr>
          <w:p w14:paraId="69FD188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COD</w:t>
            </w:r>
          </w:p>
        </w:tc>
        <w:tc>
          <w:tcPr>
            <w:tcW w:w="1085" w:type="pct"/>
            <w:tcBorders>
              <w:tl2br w:val="nil"/>
              <w:tr2bl w:val="nil"/>
            </w:tcBorders>
            <w:shd w:val="clear" w:color="auto" w:fill="auto"/>
            <w:noWrap/>
            <w:vAlign w:val="center"/>
          </w:tcPr>
          <w:p w14:paraId="50B853B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氨氮</w:t>
            </w:r>
          </w:p>
        </w:tc>
        <w:tc>
          <w:tcPr>
            <w:tcW w:w="552" w:type="pct"/>
            <w:tcBorders>
              <w:tl2br w:val="nil"/>
              <w:tr2bl w:val="nil"/>
            </w:tcBorders>
            <w:shd w:val="clear" w:color="auto" w:fill="auto"/>
            <w:noWrap/>
            <w:vAlign w:val="center"/>
          </w:tcPr>
          <w:p w14:paraId="1F2865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总磷</w:t>
            </w:r>
          </w:p>
        </w:tc>
        <w:tc>
          <w:tcPr>
            <w:tcW w:w="922" w:type="pct"/>
            <w:tcBorders>
              <w:tl2br w:val="nil"/>
              <w:tr2bl w:val="nil"/>
            </w:tcBorders>
            <w:shd w:val="clear" w:color="auto" w:fill="auto"/>
            <w:noWrap/>
            <w:vAlign w:val="center"/>
          </w:tcPr>
          <w:p w14:paraId="0972CEF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总氮</w:t>
            </w:r>
          </w:p>
        </w:tc>
      </w:tr>
      <w:tr w14:paraId="04418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42FA805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1月</w:t>
            </w:r>
          </w:p>
        </w:tc>
        <w:tc>
          <w:tcPr>
            <w:tcW w:w="1011" w:type="pct"/>
            <w:tcBorders>
              <w:tl2br w:val="nil"/>
              <w:tr2bl w:val="nil"/>
            </w:tcBorders>
            <w:shd w:val="clear" w:color="auto" w:fill="auto"/>
            <w:noWrap/>
            <w:vAlign w:val="center"/>
          </w:tcPr>
          <w:p w14:paraId="4B9663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1495908</w:t>
            </w:r>
          </w:p>
        </w:tc>
        <w:tc>
          <w:tcPr>
            <w:tcW w:w="794" w:type="pct"/>
            <w:tcBorders>
              <w:tl2br w:val="nil"/>
              <w:tr2bl w:val="nil"/>
            </w:tcBorders>
            <w:shd w:val="clear" w:color="auto" w:fill="auto"/>
            <w:noWrap/>
            <w:vAlign w:val="center"/>
          </w:tcPr>
          <w:p w14:paraId="344248A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21.15</w:t>
            </w:r>
          </w:p>
        </w:tc>
        <w:tc>
          <w:tcPr>
            <w:tcW w:w="1085" w:type="pct"/>
            <w:tcBorders>
              <w:tl2br w:val="nil"/>
              <w:tr2bl w:val="nil"/>
            </w:tcBorders>
            <w:shd w:val="clear" w:color="auto" w:fill="auto"/>
            <w:noWrap/>
            <w:vAlign w:val="center"/>
          </w:tcPr>
          <w:p w14:paraId="3D2498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552" w:type="pct"/>
            <w:tcBorders>
              <w:tl2br w:val="nil"/>
              <w:tr2bl w:val="nil"/>
            </w:tcBorders>
            <w:shd w:val="clear" w:color="auto" w:fill="auto"/>
            <w:noWrap/>
            <w:vAlign w:val="center"/>
          </w:tcPr>
          <w:p w14:paraId="67D22EE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922" w:type="pct"/>
            <w:tcBorders>
              <w:tl2br w:val="nil"/>
              <w:tr2bl w:val="nil"/>
            </w:tcBorders>
            <w:shd w:val="clear" w:color="auto" w:fill="auto"/>
            <w:noWrap/>
            <w:vAlign w:val="center"/>
          </w:tcPr>
          <w:p w14:paraId="4857F77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7.61</w:t>
            </w:r>
          </w:p>
        </w:tc>
      </w:tr>
      <w:tr w14:paraId="43ED7F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0B098DD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2月</w:t>
            </w:r>
          </w:p>
        </w:tc>
        <w:tc>
          <w:tcPr>
            <w:tcW w:w="1011" w:type="pct"/>
            <w:tcBorders>
              <w:tl2br w:val="nil"/>
              <w:tr2bl w:val="nil"/>
            </w:tcBorders>
            <w:shd w:val="clear" w:color="auto" w:fill="auto"/>
            <w:noWrap/>
            <w:vAlign w:val="center"/>
          </w:tcPr>
          <w:p w14:paraId="23C14EC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1221672</w:t>
            </w:r>
          </w:p>
        </w:tc>
        <w:tc>
          <w:tcPr>
            <w:tcW w:w="794" w:type="pct"/>
            <w:tcBorders>
              <w:tl2br w:val="nil"/>
              <w:tr2bl w:val="nil"/>
            </w:tcBorders>
            <w:shd w:val="clear" w:color="auto" w:fill="auto"/>
            <w:noWrap/>
            <w:vAlign w:val="center"/>
          </w:tcPr>
          <w:p w14:paraId="494FB6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19.09</w:t>
            </w:r>
          </w:p>
        </w:tc>
        <w:tc>
          <w:tcPr>
            <w:tcW w:w="1085" w:type="pct"/>
            <w:tcBorders>
              <w:tl2br w:val="nil"/>
              <w:tr2bl w:val="nil"/>
            </w:tcBorders>
            <w:shd w:val="clear" w:color="auto" w:fill="auto"/>
            <w:noWrap/>
            <w:vAlign w:val="center"/>
          </w:tcPr>
          <w:p w14:paraId="161C8F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w:t>
            </w:r>
          </w:p>
        </w:tc>
        <w:tc>
          <w:tcPr>
            <w:tcW w:w="552" w:type="pct"/>
            <w:tcBorders>
              <w:tl2br w:val="nil"/>
              <w:tr2bl w:val="nil"/>
            </w:tcBorders>
            <w:shd w:val="clear" w:color="auto" w:fill="auto"/>
            <w:noWrap/>
            <w:vAlign w:val="center"/>
          </w:tcPr>
          <w:p w14:paraId="7B8294E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922" w:type="pct"/>
            <w:tcBorders>
              <w:tl2br w:val="nil"/>
              <w:tr2bl w:val="nil"/>
            </w:tcBorders>
            <w:shd w:val="clear" w:color="auto" w:fill="auto"/>
            <w:noWrap/>
            <w:vAlign w:val="center"/>
          </w:tcPr>
          <w:p w14:paraId="7273AC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10.19</w:t>
            </w:r>
          </w:p>
        </w:tc>
      </w:tr>
      <w:tr w14:paraId="326A88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406B20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3月</w:t>
            </w:r>
          </w:p>
        </w:tc>
        <w:tc>
          <w:tcPr>
            <w:tcW w:w="1011" w:type="pct"/>
            <w:tcBorders>
              <w:tl2br w:val="nil"/>
              <w:tr2bl w:val="nil"/>
            </w:tcBorders>
            <w:shd w:val="clear" w:color="auto" w:fill="auto"/>
            <w:noWrap/>
            <w:vAlign w:val="center"/>
          </w:tcPr>
          <w:p w14:paraId="1A4C27C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1495908</w:t>
            </w:r>
          </w:p>
        </w:tc>
        <w:tc>
          <w:tcPr>
            <w:tcW w:w="794" w:type="pct"/>
            <w:tcBorders>
              <w:tl2br w:val="nil"/>
              <w:tr2bl w:val="nil"/>
            </w:tcBorders>
            <w:shd w:val="clear" w:color="auto" w:fill="auto"/>
            <w:noWrap/>
            <w:vAlign w:val="center"/>
          </w:tcPr>
          <w:p w14:paraId="4A1EE2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21.05</w:t>
            </w:r>
          </w:p>
        </w:tc>
        <w:tc>
          <w:tcPr>
            <w:tcW w:w="1085" w:type="pct"/>
            <w:tcBorders>
              <w:tl2br w:val="nil"/>
              <w:tr2bl w:val="nil"/>
            </w:tcBorders>
            <w:shd w:val="clear" w:color="auto" w:fill="auto"/>
            <w:noWrap/>
            <w:vAlign w:val="center"/>
          </w:tcPr>
          <w:p w14:paraId="58CB17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0.49</w:t>
            </w:r>
          </w:p>
        </w:tc>
        <w:tc>
          <w:tcPr>
            <w:tcW w:w="552" w:type="pct"/>
            <w:tcBorders>
              <w:tl2br w:val="nil"/>
              <w:tr2bl w:val="nil"/>
            </w:tcBorders>
            <w:shd w:val="clear" w:color="auto" w:fill="auto"/>
            <w:noWrap/>
            <w:vAlign w:val="center"/>
          </w:tcPr>
          <w:p w14:paraId="779BF02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w:t>
            </w:r>
          </w:p>
        </w:tc>
        <w:tc>
          <w:tcPr>
            <w:tcW w:w="922" w:type="pct"/>
            <w:tcBorders>
              <w:tl2br w:val="nil"/>
              <w:tr2bl w:val="nil"/>
            </w:tcBorders>
            <w:shd w:val="clear" w:color="auto" w:fill="auto"/>
            <w:noWrap/>
            <w:vAlign w:val="center"/>
          </w:tcPr>
          <w:p w14:paraId="5441798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10.55</w:t>
            </w:r>
          </w:p>
        </w:tc>
      </w:tr>
      <w:tr w14:paraId="030D62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633FC8A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4月</w:t>
            </w:r>
          </w:p>
        </w:tc>
        <w:tc>
          <w:tcPr>
            <w:tcW w:w="1011" w:type="pct"/>
            <w:tcBorders>
              <w:tl2br w:val="nil"/>
              <w:tr2bl w:val="nil"/>
            </w:tcBorders>
            <w:shd w:val="clear" w:color="auto" w:fill="auto"/>
            <w:noWrap/>
            <w:vAlign w:val="center"/>
          </w:tcPr>
          <w:p w14:paraId="58278A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1221672</w:t>
            </w:r>
          </w:p>
        </w:tc>
        <w:tc>
          <w:tcPr>
            <w:tcW w:w="794" w:type="pct"/>
            <w:tcBorders>
              <w:tl2br w:val="nil"/>
              <w:tr2bl w:val="nil"/>
            </w:tcBorders>
            <w:shd w:val="clear" w:color="auto" w:fill="auto"/>
            <w:noWrap/>
            <w:vAlign w:val="center"/>
          </w:tcPr>
          <w:p w14:paraId="751F144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15.12</w:t>
            </w:r>
          </w:p>
        </w:tc>
        <w:tc>
          <w:tcPr>
            <w:tcW w:w="1085" w:type="pct"/>
            <w:tcBorders>
              <w:tl2br w:val="nil"/>
              <w:tr2bl w:val="nil"/>
            </w:tcBorders>
            <w:shd w:val="clear" w:color="auto" w:fill="auto"/>
            <w:noWrap/>
            <w:vAlign w:val="center"/>
          </w:tcPr>
          <w:p w14:paraId="2657508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0.43</w:t>
            </w:r>
          </w:p>
        </w:tc>
        <w:tc>
          <w:tcPr>
            <w:tcW w:w="552" w:type="pct"/>
            <w:tcBorders>
              <w:tl2br w:val="nil"/>
              <w:tr2bl w:val="nil"/>
            </w:tcBorders>
            <w:shd w:val="clear" w:color="auto" w:fill="auto"/>
            <w:noWrap/>
            <w:vAlign w:val="center"/>
          </w:tcPr>
          <w:p w14:paraId="261277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922" w:type="pct"/>
            <w:tcBorders>
              <w:tl2br w:val="nil"/>
              <w:tr2bl w:val="nil"/>
            </w:tcBorders>
            <w:shd w:val="clear" w:color="auto" w:fill="auto"/>
            <w:noWrap/>
            <w:vAlign w:val="center"/>
          </w:tcPr>
          <w:p w14:paraId="03213C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10.87</w:t>
            </w:r>
          </w:p>
        </w:tc>
      </w:tr>
      <w:tr w14:paraId="389151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5049C02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5月</w:t>
            </w:r>
          </w:p>
        </w:tc>
        <w:tc>
          <w:tcPr>
            <w:tcW w:w="1011" w:type="pct"/>
            <w:tcBorders>
              <w:tl2br w:val="nil"/>
              <w:tr2bl w:val="nil"/>
            </w:tcBorders>
            <w:shd w:val="clear" w:color="auto" w:fill="auto"/>
            <w:noWrap/>
            <w:vAlign w:val="center"/>
          </w:tcPr>
          <w:p w14:paraId="08A698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1210890.6</w:t>
            </w:r>
          </w:p>
        </w:tc>
        <w:tc>
          <w:tcPr>
            <w:tcW w:w="794" w:type="pct"/>
            <w:tcBorders>
              <w:tl2br w:val="nil"/>
              <w:tr2bl w:val="nil"/>
            </w:tcBorders>
            <w:shd w:val="clear" w:color="auto" w:fill="auto"/>
            <w:noWrap/>
            <w:vAlign w:val="center"/>
          </w:tcPr>
          <w:p w14:paraId="64D43B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18.13</w:t>
            </w:r>
          </w:p>
        </w:tc>
        <w:tc>
          <w:tcPr>
            <w:tcW w:w="1085" w:type="pct"/>
            <w:tcBorders>
              <w:tl2br w:val="nil"/>
              <w:tr2bl w:val="nil"/>
            </w:tcBorders>
            <w:shd w:val="clear" w:color="auto" w:fill="auto"/>
            <w:noWrap/>
            <w:vAlign w:val="center"/>
          </w:tcPr>
          <w:p w14:paraId="0847AB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552" w:type="pct"/>
            <w:tcBorders>
              <w:tl2br w:val="nil"/>
              <w:tr2bl w:val="nil"/>
            </w:tcBorders>
            <w:shd w:val="clear" w:color="auto" w:fill="auto"/>
            <w:noWrap/>
            <w:vAlign w:val="center"/>
          </w:tcPr>
          <w:p w14:paraId="25C1255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0.21</w:t>
            </w:r>
          </w:p>
        </w:tc>
        <w:tc>
          <w:tcPr>
            <w:tcW w:w="922" w:type="pct"/>
            <w:tcBorders>
              <w:tl2br w:val="nil"/>
              <w:tr2bl w:val="nil"/>
            </w:tcBorders>
            <w:shd w:val="clear" w:color="auto" w:fill="auto"/>
            <w:noWrap/>
            <w:vAlign w:val="center"/>
          </w:tcPr>
          <w:p w14:paraId="2488FE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11.18</w:t>
            </w:r>
          </w:p>
        </w:tc>
      </w:tr>
      <w:tr w14:paraId="6227C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61A667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6月</w:t>
            </w:r>
          </w:p>
        </w:tc>
        <w:tc>
          <w:tcPr>
            <w:tcW w:w="1011" w:type="pct"/>
            <w:tcBorders>
              <w:tl2br w:val="nil"/>
              <w:tr2bl w:val="nil"/>
            </w:tcBorders>
            <w:shd w:val="clear" w:color="auto" w:fill="auto"/>
            <w:noWrap/>
            <w:vAlign w:val="center"/>
          </w:tcPr>
          <w:p w14:paraId="6954026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1507190.4</w:t>
            </w:r>
          </w:p>
        </w:tc>
        <w:tc>
          <w:tcPr>
            <w:tcW w:w="794" w:type="pct"/>
            <w:tcBorders>
              <w:tl2br w:val="nil"/>
              <w:tr2bl w:val="nil"/>
            </w:tcBorders>
            <w:shd w:val="clear" w:color="auto" w:fill="auto"/>
            <w:noWrap/>
            <w:vAlign w:val="center"/>
          </w:tcPr>
          <w:p w14:paraId="65F622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16.47</w:t>
            </w:r>
          </w:p>
        </w:tc>
        <w:tc>
          <w:tcPr>
            <w:tcW w:w="1085" w:type="pct"/>
            <w:tcBorders>
              <w:tl2br w:val="nil"/>
              <w:tr2bl w:val="nil"/>
            </w:tcBorders>
            <w:shd w:val="clear" w:color="auto" w:fill="auto"/>
            <w:noWrap/>
            <w:vAlign w:val="center"/>
          </w:tcPr>
          <w:p w14:paraId="4C058B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552" w:type="pct"/>
            <w:tcBorders>
              <w:tl2br w:val="nil"/>
              <w:tr2bl w:val="nil"/>
            </w:tcBorders>
            <w:shd w:val="clear" w:color="auto" w:fill="auto"/>
            <w:noWrap/>
            <w:vAlign w:val="center"/>
          </w:tcPr>
          <w:p w14:paraId="1231170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0.29</w:t>
            </w:r>
          </w:p>
        </w:tc>
        <w:tc>
          <w:tcPr>
            <w:tcW w:w="922" w:type="pct"/>
            <w:tcBorders>
              <w:tl2br w:val="nil"/>
              <w:tr2bl w:val="nil"/>
            </w:tcBorders>
            <w:shd w:val="clear" w:color="auto" w:fill="auto"/>
            <w:noWrap/>
            <w:vAlign w:val="center"/>
          </w:tcPr>
          <w:p w14:paraId="4DB34E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12.66</w:t>
            </w:r>
          </w:p>
        </w:tc>
      </w:tr>
      <w:tr w14:paraId="1260C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7512B0B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7月</w:t>
            </w:r>
          </w:p>
        </w:tc>
        <w:tc>
          <w:tcPr>
            <w:tcW w:w="1011" w:type="pct"/>
            <w:tcBorders>
              <w:tl2br w:val="nil"/>
              <w:tr2bl w:val="nil"/>
            </w:tcBorders>
            <w:shd w:val="clear" w:color="auto" w:fill="auto"/>
            <w:noWrap/>
            <w:vAlign w:val="center"/>
          </w:tcPr>
          <w:p w14:paraId="3DA7E6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1705248.5</w:t>
            </w:r>
          </w:p>
        </w:tc>
        <w:tc>
          <w:tcPr>
            <w:tcW w:w="794" w:type="pct"/>
            <w:tcBorders>
              <w:tl2br w:val="nil"/>
              <w:tr2bl w:val="nil"/>
            </w:tcBorders>
            <w:shd w:val="clear" w:color="auto" w:fill="auto"/>
            <w:noWrap/>
            <w:vAlign w:val="center"/>
          </w:tcPr>
          <w:p w14:paraId="4E757E3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21.06</w:t>
            </w:r>
          </w:p>
        </w:tc>
        <w:tc>
          <w:tcPr>
            <w:tcW w:w="1085" w:type="pct"/>
            <w:tcBorders>
              <w:tl2br w:val="nil"/>
              <w:tr2bl w:val="nil"/>
            </w:tcBorders>
            <w:shd w:val="clear" w:color="auto" w:fill="auto"/>
            <w:noWrap/>
            <w:vAlign w:val="center"/>
          </w:tcPr>
          <w:p w14:paraId="44036F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0.27</w:t>
            </w:r>
          </w:p>
        </w:tc>
        <w:tc>
          <w:tcPr>
            <w:tcW w:w="552" w:type="pct"/>
            <w:tcBorders>
              <w:tl2br w:val="nil"/>
              <w:tr2bl w:val="nil"/>
            </w:tcBorders>
            <w:shd w:val="clear" w:color="auto" w:fill="auto"/>
            <w:noWrap/>
            <w:vAlign w:val="center"/>
          </w:tcPr>
          <w:p w14:paraId="235CC0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w:t>
            </w:r>
          </w:p>
        </w:tc>
        <w:tc>
          <w:tcPr>
            <w:tcW w:w="922" w:type="pct"/>
            <w:tcBorders>
              <w:tl2br w:val="nil"/>
              <w:tr2bl w:val="nil"/>
            </w:tcBorders>
            <w:shd w:val="clear" w:color="auto" w:fill="auto"/>
            <w:noWrap/>
            <w:vAlign w:val="center"/>
          </w:tcPr>
          <w:p w14:paraId="60246C4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10.62</w:t>
            </w:r>
          </w:p>
        </w:tc>
      </w:tr>
      <w:tr w14:paraId="217DB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58E177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8月</w:t>
            </w:r>
          </w:p>
        </w:tc>
        <w:tc>
          <w:tcPr>
            <w:tcW w:w="1011" w:type="pct"/>
            <w:tcBorders>
              <w:tl2br w:val="nil"/>
              <w:tr2bl w:val="nil"/>
            </w:tcBorders>
            <w:shd w:val="clear" w:color="auto" w:fill="auto"/>
            <w:noWrap/>
            <w:vAlign w:val="center"/>
          </w:tcPr>
          <w:p w14:paraId="3CF1EC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1667743</w:t>
            </w:r>
          </w:p>
        </w:tc>
        <w:tc>
          <w:tcPr>
            <w:tcW w:w="794" w:type="pct"/>
            <w:tcBorders>
              <w:tl2br w:val="nil"/>
              <w:tr2bl w:val="nil"/>
            </w:tcBorders>
            <w:shd w:val="clear" w:color="auto" w:fill="auto"/>
            <w:noWrap/>
            <w:vAlign w:val="center"/>
          </w:tcPr>
          <w:p w14:paraId="6CE854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22.66</w:t>
            </w:r>
          </w:p>
        </w:tc>
        <w:tc>
          <w:tcPr>
            <w:tcW w:w="1085" w:type="pct"/>
            <w:tcBorders>
              <w:tl2br w:val="nil"/>
              <w:tr2bl w:val="nil"/>
            </w:tcBorders>
            <w:shd w:val="clear" w:color="auto" w:fill="auto"/>
            <w:noWrap/>
            <w:vAlign w:val="center"/>
          </w:tcPr>
          <w:p w14:paraId="45AD701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0.42</w:t>
            </w:r>
          </w:p>
        </w:tc>
        <w:tc>
          <w:tcPr>
            <w:tcW w:w="552" w:type="pct"/>
            <w:tcBorders>
              <w:tl2br w:val="nil"/>
              <w:tr2bl w:val="nil"/>
            </w:tcBorders>
            <w:shd w:val="clear" w:color="auto" w:fill="auto"/>
            <w:noWrap/>
            <w:vAlign w:val="center"/>
          </w:tcPr>
          <w:p w14:paraId="6374FCA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0.25</w:t>
            </w:r>
          </w:p>
        </w:tc>
        <w:tc>
          <w:tcPr>
            <w:tcW w:w="922" w:type="pct"/>
            <w:tcBorders>
              <w:tl2br w:val="nil"/>
              <w:tr2bl w:val="nil"/>
            </w:tcBorders>
            <w:shd w:val="clear" w:color="auto" w:fill="auto"/>
            <w:noWrap/>
            <w:vAlign w:val="center"/>
          </w:tcPr>
          <w:p w14:paraId="6395A3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10.74</w:t>
            </w:r>
          </w:p>
        </w:tc>
      </w:tr>
      <w:tr w14:paraId="6B667F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4B1057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9月</w:t>
            </w:r>
          </w:p>
        </w:tc>
        <w:tc>
          <w:tcPr>
            <w:tcW w:w="1011" w:type="pct"/>
            <w:tcBorders>
              <w:tl2br w:val="nil"/>
              <w:tr2bl w:val="nil"/>
            </w:tcBorders>
            <w:shd w:val="clear" w:color="auto" w:fill="auto"/>
            <w:noWrap/>
            <w:vAlign w:val="center"/>
          </w:tcPr>
          <w:p w14:paraId="75AC32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1431581.5</w:t>
            </w:r>
          </w:p>
        </w:tc>
        <w:tc>
          <w:tcPr>
            <w:tcW w:w="794" w:type="pct"/>
            <w:tcBorders>
              <w:tl2br w:val="nil"/>
              <w:tr2bl w:val="nil"/>
            </w:tcBorders>
            <w:shd w:val="clear" w:color="auto" w:fill="auto"/>
            <w:noWrap/>
            <w:vAlign w:val="center"/>
          </w:tcPr>
          <w:p w14:paraId="2E9518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20.86</w:t>
            </w:r>
          </w:p>
        </w:tc>
        <w:tc>
          <w:tcPr>
            <w:tcW w:w="1085" w:type="pct"/>
            <w:tcBorders>
              <w:tl2br w:val="nil"/>
              <w:tr2bl w:val="nil"/>
            </w:tcBorders>
            <w:shd w:val="clear" w:color="auto" w:fill="auto"/>
            <w:noWrap/>
            <w:vAlign w:val="center"/>
          </w:tcPr>
          <w:p w14:paraId="3DCFBA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0.67</w:t>
            </w:r>
          </w:p>
        </w:tc>
        <w:tc>
          <w:tcPr>
            <w:tcW w:w="552" w:type="pct"/>
            <w:tcBorders>
              <w:tl2br w:val="nil"/>
              <w:tr2bl w:val="nil"/>
            </w:tcBorders>
            <w:shd w:val="clear" w:color="auto" w:fill="auto"/>
            <w:noWrap/>
            <w:vAlign w:val="center"/>
          </w:tcPr>
          <w:p w14:paraId="49FF86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0.27</w:t>
            </w:r>
          </w:p>
        </w:tc>
        <w:tc>
          <w:tcPr>
            <w:tcW w:w="922" w:type="pct"/>
            <w:tcBorders>
              <w:tl2br w:val="nil"/>
              <w:tr2bl w:val="nil"/>
            </w:tcBorders>
            <w:shd w:val="clear" w:color="auto" w:fill="auto"/>
            <w:noWrap/>
            <w:vAlign w:val="center"/>
          </w:tcPr>
          <w:p w14:paraId="5E1DBB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11.77</w:t>
            </w:r>
          </w:p>
        </w:tc>
      </w:tr>
      <w:tr w14:paraId="1BDFED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7F0FA56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10月</w:t>
            </w:r>
          </w:p>
        </w:tc>
        <w:tc>
          <w:tcPr>
            <w:tcW w:w="1011" w:type="pct"/>
            <w:tcBorders>
              <w:tl2br w:val="nil"/>
              <w:tr2bl w:val="nil"/>
            </w:tcBorders>
            <w:shd w:val="clear" w:color="auto" w:fill="auto"/>
            <w:noWrap/>
            <w:vAlign w:val="center"/>
          </w:tcPr>
          <w:p w14:paraId="4D50C1C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1080279</w:t>
            </w:r>
          </w:p>
        </w:tc>
        <w:tc>
          <w:tcPr>
            <w:tcW w:w="794" w:type="pct"/>
            <w:tcBorders>
              <w:tl2br w:val="nil"/>
              <w:tr2bl w:val="nil"/>
            </w:tcBorders>
            <w:shd w:val="clear" w:color="auto" w:fill="auto"/>
            <w:noWrap/>
            <w:vAlign w:val="center"/>
          </w:tcPr>
          <w:p w14:paraId="011335A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14.49</w:t>
            </w:r>
          </w:p>
        </w:tc>
        <w:tc>
          <w:tcPr>
            <w:tcW w:w="1085" w:type="pct"/>
            <w:tcBorders>
              <w:tl2br w:val="nil"/>
              <w:tr2bl w:val="nil"/>
            </w:tcBorders>
            <w:shd w:val="clear" w:color="auto" w:fill="auto"/>
            <w:noWrap/>
            <w:vAlign w:val="center"/>
          </w:tcPr>
          <w:p w14:paraId="04915F4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0.63</w:t>
            </w:r>
          </w:p>
        </w:tc>
        <w:tc>
          <w:tcPr>
            <w:tcW w:w="552" w:type="pct"/>
            <w:tcBorders>
              <w:tl2br w:val="nil"/>
              <w:tr2bl w:val="nil"/>
            </w:tcBorders>
            <w:shd w:val="clear" w:color="auto" w:fill="auto"/>
            <w:noWrap/>
            <w:vAlign w:val="center"/>
          </w:tcPr>
          <w:p w14:paraId="1B74914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w:t>
            </w:r>
          </w:p>
        </w:tc>
        <w:tc>
          <w:tcPr>
            <w:tcW w:w="922" w:type="pct"/>
            <w:tcBorders>
              <w:tl2br w:val="nil"/>
              <w:tr2bl w:val="nil"/>
            </w:tcBorders>
            <w:shd w:val="clear" w:color="auto" w:fill="auto"/>
            <w:noWrap/>
            <w:vAlign w:val="center"/>
          </w:tcPr>
          <w:p w14:paraId="0A5AEC3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10.95</w:t>
            </w:r>
          </w:p>
        </w:tc>
      </w:tr>
      <w:tr w14:paraId="110CE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5D2262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11月</w:t>
            </w:r>
          </w:p>
        </w:tc>
        <w:tc>
          <w:tcPr>
            <w:tcW w:w="1011" w:type="pct"/>
            <w:tcBorders>
              <w:tl2br w:val="nil"/>
              <w:tr2bl w:val="nil"/>
            </w:tcBorders>
            <w:shd w:val="clear" w:color="auto" w:fill="auto"/>
            <w:noWrap/>
            <w:vAlign w:val="center"/>
          </w:tcPr>
          <w:p w14:paraId="36F9435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1289792</w:t>
            </w:r>
          </w:p>
        </w:tc>
        <w:tc>
          <w:tcPr>
            <w:tcW w:w="794" w:type="pct"/>
            <w:tcBorders>
              <w:tl2br w:val="nil"/>
              <w:tr2bl w:val="nil"/>
            </w:tcBorders>
            <w:shd w:val="clear" w:color="auto" w:fill="auto"/>
            <w:noWrap/>
            <w:vAlign w:val="center"/>
          </w:tcPr>
          <w:p w14:paraId="52E94EE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16.26</w:t>
            </w:r>
          </w:p>
        </w:tc>
        <w:tc>
          <w:tcPr>
            <w:tcW w:w="1085" w:type="pct"/>
            <w:tcBorders>
              <w:tl2br w:val="nil"/>
              <w:tr2bl w:val="nil"/>
            </w:tcBorders>
            <w:shd w:val="clear" w:color="auto" w:fill="auto"/>
            <w:noWrap/>
            <w:vAlign w:val="center"/>
          </w:tcPr>
          <w:p w14:paraId="0661176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0.57</w:t>
            </w:r>
          </w:p>
        </w:tc>
        <w:tc>
          <w:tcPr>
            <w:tcW w:w="552" w:type="pct"/>
            <w:tcBorders>
              <w:tl2br w:val="nil"/>
              <w:tr2bl w:val="nil"/>
            </w:tcBorders>
            <w:shd w:val="clear" w:color="auto" w:fill="auto"/>
            <w:noWrap/>
            <w:vAlign w:val="center"/>
          </w:tcPr>
          <w:p w14:paraId="56E4B5D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0.28</w:t>
            </w:r>
          </w:p>
        </w:tc>
        <w:tc>
          <w:tcPr>
            <w:tcW w:w="922" w:type="pct"/>
            <w:tcBorders>
              <w:tl2br w:val="nil"/>
              <w:tr2bl w:val="nil"/>
            </w:tcBorders>
            <w:shd w:val="clear" w:color="auto" w:fill="auto"/>
            <w:noWrap/>
            <w:vAlign w:val="center"/>
          </w:tcPr>
          <w:p w14:paraId="265EF93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11.89</w:t>
            </w:r>
          </w:p>
        </w:tc>
      </w:tr>
      <w:tr w14:paraId="5456F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633" w:type="pct"/>
            <w:tcBorders>
              <w:tl2br w:val="nil"/>
              <w:tr2bl w:val="nil"/>
            </w:tcBorders>
            <w:shd w:val="clear" w:color="auto" w:fill="auto"/>
            <w:noWrap/>
            <w:vAlign w:val="center"/>
          </w:tcPr>
          <w:p w14:paraId="79C9432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12月</w:t>
            </w:r>
          </w:p>
        </w:tc>
        <w:tc>
          <w:tcPr>
            <w:tcW w:w="1011" w:type="pct"/>
            <w:tcBorders>
              <w:tl2br w:val="nil"/>
              <w:tr2bl w:val="nil"/>
            </w:tcBorders>
            <w:shd w:val="clear" w:color="auto" w:fill="auto"/>
            <w:noWrap/>
            <w:vAlign w:val="center"/>
          </w:tcPr>
          <w:p w14:paraId="5909323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1390280.5</w:t>
            </w:r>
          </w:p>
        </w:tc>
        <w:tc>
          <w:tcPr>
            <w:tcW w:w="794" w:type="pct"/>
            <w:tcBorders>
              <w:tl2br w:val="nil"/>
              <w:tr2bl w:val="nil"/>
            </w:tcBorders>
            <w:shd w:val="clear" w:color="auto" w:fill="auto"/>
            <w:noWrap/>
            <w:vAlign w:val="center"/>
          </w:tcPr>
          <w:p w14:paraId="030E6A1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18.69</w:t>
            </w:r>
          </w:p>
        </w:tc>
        <w:tc>
          <w:tcPr>
            <w:tcW w:w="1085" w:type="pct"/>
            <w:tcBorders>
              <w:tl2br w:val="nil"/>
              <w:tr2bl w:val="nil"/>
            </w:tcBorders>
            <w:shd w:val="clear" w:color="auto" w:fill="auto"/>
            <w:noWrap/>
            <w:vAlign w:val="center"/>
          </w:tcPr>
          <w:p w14:paraId="5F145EC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w:t>
            </w:r>
          </w:p>
        </w:tc>
        <w:tc>
          <w:tcPr>
            <w:tcW w:w="552" w:type="pct"/>
            <w:tcBorders>
              <w:tl2br w:val="nil"/>
              <w:tr2bl w:val="nil"/>
            </w:tcBorders>
            <w:shd w:val="clear" w:color="auto" w:fill="auto"/>
            <w:noWrap/>
            <w:vAlign w:val="center"/>
          </w:tcPr>
          <w:p w14:paraId="7F64E9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0.26</w:t>
            </w:r>
          </w:p>
        </w:tc>
        <w:tc>
          <w:tcPr>
            <w:tcW w:w="922" w:type="pct"/>
            <w:tcBorders>
              <w:tl2br w:val="nil"/>
              <w:tr2bl w:val="nil"/>
            </w:tcBorders>
            <w:shd w:val="clear" w:color="auto" w:fill="auto"/>
            <w:noWrap/>
            <w:vAlign w:val="center"/>
          </w:tcPr>
          <w:p w14:paraId="594B2F4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10.98</w:t>
            </w:r>
          </w:p>
        </w:tc>
      </w:tr>
    </w:tbl>
    <w:p w14:paraId="1C56CA61">
      <w:pPr>
        <w:ind w:firstLine="480"/>
        <w:jc w:val="both"/>
      </w:pPr>
      <w:r>
        <w:rPr>
          <w:rFonts w:hint="eastAsia"/>
        </w:rPr>
        <w:t>从水质上分析：经治理后本项目总排口出水水质为COD</w:t>
      </w:r>
      <w:r>
        <w:rPr>
          <w:rFonts w:hint="eastAsia"/>
          <w:lang w:val="en-US" w:eastAsia="zh-CN"/>
        </w:rPr>
        <w:t xml:space="preserve"> 92.6</w:t>
      </w:r>
      <w:r>
        <w:rPr>
          <w:rFonts w:hint="eastAsia"/>
        </w:rPr>
        <w:t>mg/</w:t>
      </w:r>
      <w:r>
        <w:t>L</w:t>
      </w:r>
      <w:r>
        <w:rPr>
          <w:rFonts w:hint="eastAsia"/>
        </w:rPr>
        <w:t>、SS</w:t>
      </w:r>
      <w:r>
        <w:rPr>
          <w:rFonts w:hint="eastAsia"/>
          <w:lang w:val="en-US" w:eastAsia="zh-CN"/>
        </w:rPr>
        <w:t xml:space="preserve"> 58.1</w:t>
      </w:r>
      <w:r>
        <w:rPr>
          <w:rFonts w:hint="eastAsia"/>
        </w:rPr>
        <w:t>mg</w:t>
      </w:r>
      <w:r>
        <w:rPr>
          <w:rFonts w:hint="eastAsia"/>
          <w:lang w:val="en-US" w:eastAsia="zh-CN"/>
        </w:rPr>
        <w:t>/</w:t>
      </w:r>
      <w:r>
        <w:t>L</w:t>
      </w:r>
      <w:r>
        <w:rPr>
          <w:rFonts w:hint="eastAsia"/>
        </w:rPr>
        <w:t xml:space="preserve">、氨氮 </w:t>
      </w:r>
      <w:r>
        <w:rPr>
          <w:rFonts w:hint="eastAsia"/>
          <w:lang w:val="en-US" w:eastAsia="zh-CN"/>
        </w:rPr>
        <w:t>9.3</w:t>
      </w:r>
      <w:r>
        <w:rPr>
          <w:rFonts w:hint="eastAsia"/>
        </w:rPr>
        <w:t>mg/</w:t>
      </w:r>
      <w:r>
        <w:t>L</w:t>
      </w:r>
      <w:r>
        <w:rPr>
          <w:rFonts w:hint="eastAsia"/>
        </w:rPr>
        <w:t>、总磷</w:t>
      </w:r>
      <w:r>
        <w:rPr>
          <w:rFonts w:hint="eastAsia"/>
          <w:lang w:val="en-US" w:eastAsia="zh-CN"/>
        </w:rPr>
        <w:t>0.7</w:t>
      </w:r>
      <w:r>
        <w:rPr>
          <w:rFonts w:hint="eastAsia"/>
        </w:rPr>
        <w:t>mg/</w:t>
      </w:r>
      <w:r>
        <w:t>L</w:t>
      </w:r>
      <w:r>
        <w:rPr>
          <w:rFonts w:hint="eastAsia"/>
        </w:rPr>
        <w:t>、</w:t>
      </w:r>
      <w:r>
        <w:rPr>
          <w:rFonts w:hint="eastAsia"/>
          <w:lang w:val="en-US" w:eastAsia="zh-CN"/>
        </w:rPr>
        <w:t>总氮11</w:t>
      </w:r>
      <w:r>
        <w:rPr>
          <w:rFonts w:hint="eastAsia"/>
        </w:rPr>
        <w:t>mg/</w:t>
      </w:r>
      <w:r>
        <w:t>L</w:t>
      </w:r>
      <w:r>
        <w:rPr>
          <w:rFonts w:hint="eastAsia"/>
          <w:lang w:eastAsia="zh-CN"/>
        </w:rPr>
        <w:t>、</w:t>
      </w:r>
      <w:r>
        <w:rPr>
          <w:rFonts w:hint="eastAsia"/>
          <w:lang w:val="en-US" w:eastAsia="zh-CN"/>
        </w:rPr>
        <w:t>石油类0.9</w:t>
      </w:r>
      <w:r>
        <w:rPr>
          <w:rFonts w:hint="eastAsia"/>
        </w:rPr>
        <w:t>mg/</w:t>
      </w:r>
      <w:r>
        <w:t>L</w:t>
      </w:r>
      <w:r>
        <w:rPr>
          <w:rFonts w:hint="eastAsia"/>
        </w:rPr>
        <w:t>，均可满足污水处理厂进水水质要求，项目废水通过厂区总排口经</w:t>
      </w:r>
      <w:r>
        <w:rPr>
          <w:rFonts w:hint="eastAsia"/>
          <w:lang w:val="en-US" w:eastAsia="zh-CN"/>
        </w:rPr>
        <w:t>市政</w:t>
      </w:r>
      <w:r>
        <w:rPr>
          <w:rFonts w:hint="eastAsia"/>
        </w:rPr>
        <w:t>管网纳入污水处理厂处理。</w:t>
      </w:r>
    </w:p>
    <w:p w14:paraId="6B019F0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4.2.3.4区域水污染物削减方案</w:t>
      </w:r>
    </w:p>
    <w:p w14:paraId="7B8E0471">
      <w:pPr>
        <w:ind w:firstLine="480"/>
      </w:pPr>
      <w:r>
        <w:rPr>
          <w:rFonts w:hint="eastAsia"/>
        </w:rPr>
        <w:t>为了改善区域水环境质量，新乡市出了一系列整治方案，并提出了相应的污染物削减方案：新乡市环境污染防治攻坚指挥部办公室关于印发《新乡市</w:t>
      </w:r>
      <w:r>
        <w:rPr>
          <w:rFonts w:hint="eastAsia"/>
          <w:lang w:val="en-US" w:eastAsia="zh-CN"/>
        </w:rPr>
        <w:t>2024</w:t>
      </w:r>
      <w:r>
        <w:rPr>
          <w:rFonts w:hint="eastAsia"/>
        </w:rPr>
        <w:t>年碧水保卫战实施方案》的通知（新环委办〔2024〕49号）等。随着各方案的实施，区域废水收集处理率不断提高，共产主义渠的环境质量将持续得到改善。</w:t>
      </w:r>
    </w:p>
    <w:p w14:paraId="6FD5B8E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512" w:name="_Toc108122539"/>
      <w:bookmarkStart w:id="513" w:name="_Toc502244696"/>
      <w:bookmarkStart w:id="514" w:name="_Toc428287226"/>
      <w:bookmarkStart w:id="515" w:name="_Toc429318409"/>
      <w:bookmarkStart w:id="516" w:name="_Toc428286865"/>
      <w:r>
        <w:rPr>
          <w:rFonts w:hint="eastAsia" w:ascii="Times New Roman" w:hAnsi="Times New Roman" w:cs="Times New Roman"/>
          <w:lang w:val="en-US" w:eastAsia="zh-CN"/>
        </w:rPr>
        <w:t>4.2.4地下水环境现状评价</w:t>
      </w:r>
      <w:bookmarkEnd w:id="512"/>
      <w:bookmarkEnd w:id="513"/>
    </w:p>
    <w:p w14:paraId="7522AAF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4.2.4.1监测点的布设</w:t>
      </w:r>
    </w:p>
    <w:p w14:paraId="4E069389">
      <w:pPr>
        <w:ind w:firstLine="480"/>
      </w:pPr>
      <w:bookmarkStart w:id="517" w:name="_Hlk2705894"/>
      <w:bookmarkStart w:id="518" w:name="_Toc324839301"/>
      <w:bookmarkStart w:id="519" w:name="_Toc324839598"/>
      <w:r>
        <w:rPr>
          <w:rFonts w:hint="eastAsia"/>
          <w:color w:val="000000" w:themeColor="text1"/>
          <w14:textFill>
            <w14:solidFill>
              <w14:schemeClr w14:val="tx1"/>
            </w14:solidFill>
          </w14:textFill>
        </w:rPr>
        <w:t>本次评价的地下水监测工作委托河南碧之霄检测技术有限公司进行，考</w:t>
      </w:r>
      <w:r>
        <w:rPr>
          <w:rFonts w:hint="eastAsia"/>
        </w:rPr>
        <w:t>虑工程特点、区域环境特征及地下水流向（由西南向东北），结合评价区域水资源利用和居民点生活用水情况，共设置3个地下水水质监测点和6个地下水水位监测点，详见表4</w:t>
      </w:r>
      <w:r>
        <w:rPr>
          <w:rFonts w:hint="eastAsia"/>
          <w:lang w:val="en-US" w:eastAsia="zh-CN"/>
        </w:rPr>
        <w:t>.2</w:t>
      </w:r>
      <w:r>
        <w:rPr>
          <w:rFonts w:hint="eastAsia"/>
        </w:rPr>
        <w:t>-</w:t>
      </w:r>
      <w:r>
        <w:rPr>
          <w:rFonts w:hint="eastAsia"/>
          <w:lang w:val="en-US" w:eastAsia="zh-CN"/>
        </w:rPr>
        <w:t>9</w:t>
      </w:r>
      <w:r>
        <w:rPr>
          <w:rFonts w:hint="eastAsia"/>
        </w:rPr>
        <w:t>~表4</w:t>
      </w:r>
      <w:r>
        <w:rPr>
          <w:rFonts w:hint="eastAsia"/>
          <w:lang w:val="en-US" w:eastAsia="zh-CN"/>
        </w:rPr>
        <w:t>.2</w:t>
      </w:r>
      <w:r>
        <w:rPr>
          <w:rFonts w:hint="eastAsia"/>
        </w:rPr>
        <w:t>-</w:t>
      </w:r>
      <w:r>
        <w:rPr>
          <w:rFonts w:hint="eastAsia"/>
          <w:lang w:val="en-US" w:eastAsia="zh-CN"/>
        </w:rPr>
        <w:t>10</w:t>
      </w:r>
      <w:r>
        <w:rPr>
          <w:rFonts w:hint="eastAsia"/>
        </w:rPr>
        <w:t>。</w:t>
      </w:r>
    </w:p>
    <w:bookmarkEnd w:id="517"/>
    <w:p w14:paraId="6D56D0B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rPr>
        <w:t>4</w:t>
      </w:r>
      <w:r>
        <w:rPr>
          <w:rFonts w:hint="eastAsia"/>
          <w:lang w:val="en-US" w:eastAsia="zh-CN"/>
        </w:rPr>
        <w:t>.2</w:t>
      </w:r>
      <w:r>
        <w:t>-</w:t>
      </w:r>
      <w:r>
        <w:rPr>
          <w:rFonts w:hint="eastAsia"/>
          <w:lang w:val="en-US" w:eastAsia="zh-CN"/>
        </w:rPr>
        <w:t>9</w:t>
      </w:r>
      <w:r>
        <w:t xml:space="preserve">    地下水环境现状水质监测布点一览表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52"/>
        <w:gridCol w:w="2364"/>
        <w:gridCol w:w="2036"/>
        <w:gridCol w:w="1438"/>
        <w:gridCol w:w="1438"/>
      </w:tblGrid>
      <w:tr w14:paraId="787CC6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pct"/>
            <w:noWrap/>
            <w:vAlign w:val="center"/>
          </w:tcPr>
          <w:p w14:paraId="6FA1D7BA">
            <w:pPr>
              <w:pStyle w:val="81"/>
              <w:rPr>
                <w:color w:val="auto"/>
              </w:rPr>
            </w:pPr>
            <w:r>
              <w:rPr>
                <w:rFonts w:hint="eastAsia"/>
                <w:color w:val="auto"/>
              </w:rPr>
              <w:t>序号</w:t>
            </w:r>
          </w:p>
        </w:tc>
        <w:tc>
          <w:tcPr>
            <w:tcW w:w="1386" w:type="pct"/>
            <w:vAlign w:val="center"/>
          </w:tcPr>
          <w:p w14:paraId="2EDDEF16">
            <w:pPr>
              <w:pStyle w:val="81"/>
              <w:rPr>
                <w:color w:val="auto"/>
              </w:rPr>
            </w:pPr>
            <w:r>
              <w:rPr>
                <w:color w:val="auto"/>
              </w:rPr>
              <w:t>监测点位</w:t>
            </w:r>
          </w:p>
        </w:tc>
        <w:tc>
          <w:tcPr>
            <w:tcW w:w="1194" w:type="pct"/>
            <w:noWrap/>
            <w:vAlign w:val="center"/>
          </w:tcPr>
          <w:p w14:paraId="1329E3DB">
            <w:pPr>
              <w:pStyle w:val="81"/>
              <w:rPr>
                <w:color w:val="auto"/>
              </w:rPr>
            </w:pPr>
            <w:r>
              <w:rPr>
                <w:rFonts w:hint="eastAsia"/>
                <w:color w:val="auto"/>
              </w:rPr>
              <w:t>方位</w:t>
            </w:r>
          </w:p>
        </w:tc>
        <w:tc>
          <w:tcPr>
            <w:tcW w:w="843" w:type="pct"/>
            <w:vAlign w:val="center"/>
          </w:tcPr>
          <w:p w14:paraId="4916F943">
            <w:pPr>
              <w:pStyle w:val="81"/>
              <w:rPr>
                <w:color w:val="auto"/>
              </w:rPr>
            </w:pPr>
            <w:r>
              <w:rPr>
                <w:rFonts w:hint="eastAsia"/>
                <w:color w:val="auto"/>
              </w:rPr>
              <w:t>备注</w:t>
            </w:r>
          </w:p>
        </w:tc>
        <w:tc>
          <w:tcPr>
            <w:tcW w:w="843" w:type="pct"/>
            <w:vAlign w:val="center"/>
          </w:tcPr>
          <w:p w14:paraId="11655BBB">
            <w:pPr>
              <w:pStyle w:val="81"/>
              <w:rPr>
                <w:rFonts w:hint="eastAsia" w:eastAsia="宋体"/>
                <w:color w:val="auto"/>
                <w:lang w:eastAsia="zh-CN"/>
              </w:rPr>
            </w:pPr>
            <w:r>
              <w:rPr>
                <w:rFonts w:hint="eastAsia"/>
                <w:color w:val="auto"/>
                <w:lang w:val="en-US" w:eastAsia="zh-CN"/>
              </w:rPr>
              <w:t>功能</w:t>
            </w:r>
          </w:p>
        </w:tc>
      </w:tr>
      <w:tr w14:paraId="5E085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pct"/>
            <w:noWrap/>
            <w:vAlign w:val="center"/>
          </w:tcPr>
          <w:p w14:paraId="65EA9846">
            <w:pPr>
              <w:pStyle w:val="75"/>
            </w:pPr>
            <w:r>
              <w:rPr>
                <w:rFonts w:hint="eastAsia"/>
              </w:rPr>
              <w:t>1</w:t>
            </w:r>
          </w:p>
        </w:tc>
        <w:tc>
          <w:tcPr>
            <w:tcW w:w="2364" w:type="dxa"/>
            <w:vAlign w:val="center"/>
          </w:tcPr>
          <w:p w14:paraId="73E09077">
            <w:pPr>
              <w:pStyle w:val="75"/>
              <w:ind w:firstLine="0" w:firstLineChars="0"/>
              <w:rPr>
                <w:rFonts w:ascii="Times New Roman" w:hAnsi="Times New Roman" w:cs="Times New Roman"/>
                <w:szCs w:val="24"/>
              </w:rPr>
            </w:pPr>
            <w:r>
              <w:rPr>
                <w:rFonts w:hint="default" w:ascii="Times New Roman" w:hAnsi="Times New Roman" w:eastAsia="宋体" w:cs="Times New Roman"/>
                <w:color w:val="000000" w:themeColor="text1"/>
                <w14:textFill>
                  <w14:solidFill>
                    <w14:schemeClr w14:val="tx1"/>
                  </w14:solidFill>
                </w14:textFill>
              </w:rPr>
              <w:t>陈孝村</w:t>
            </w:r>
          </w:p>
        </w:tc>
        <w:tc>
          <w:tcPr>
            <w:tcW w:w="2036" w:type="dxa"/>
            <w:noWrap/>
            <w:vAlign w:val="center"/>
          </w:tcPr>
          <w:p w14:paraId="091319AC">
            <w:pPr>
              <w:pStyle w:val="75"/>
              <w:ind w:firstLine="0" w:firstLineChars="0"/>
            </w:pPr>
            <w:r>
              <w:rPr>
                <w:rFonts w:hint="default" w:ascii="Times New Roman" w:hAnsi="Times New Roman" w:eastAsia="宋体" w:cs="Times New Roman"/>
                <w:color w:val="000000" w:themeColor="text1"/>
                <w14:textFill>
                  <w14:solidFill>
                    <w14:schemeClr w14:val="tx1"/>
                  </w14:solidFill>
                </w14:textFill>
              </w:rPr>
              <w:t>西南</w:t>
            </w:r>
          </w:p>
        </w:tc>
        <w:tc>
          <w:tcPr>
            <w:tcW w:w="843" w:type="pct"/>
            <w:vAlign w:val="center"/>
          </w:tcPr>
          <w:p w14:paraId="3CCC9973">
            <w:pPr>
              <w:pStyle w:val="75"/>
            </w:pPr>
            <w:r>
              <w:rPr>
                <w:rFonts w:hint="eastAsia"/>
              </w:rPr>
              <w:t>水质</w:t>
            </w:r>
          </w:p>
        </w:tc>
        <w:tc>
          <w:tcPr>
            <w:tcW w:w="1438" w:type="dxa"/>
            <w:vAlign w:val="center"/>
          </w:tcPr>
          <w:p w14:paraId="1027B2F0">
            <w:pPr>
              <w:pStyle w:val="75"/>
              <w:ind w:firstLine="0" w:firstLineChars="0"/>
            </w:pPr>
            <w:r>
              <w:rPr>
                <w:rFonts w:hint="default" w:ascii="Times New Roman" w:hAnsi="Times New Roman" w:eastAsia="宋体" w:cs="Times New Roman"/>
                <w:color w:val="000000" w:themeColor="text1"/>
                <w14:textFill>
                  <w14:solidFill>
                    <w14:schemeClr w14:val="tx1"/>
                  </w14:solidFill>
                </w14:textFill>
              </w:rPr>
              <w:t>对照点</w:t>
            </w:r>
          </w:p>
        </w:tc>
      </w:tr>
      <w:tr w14:paraId="2CE1B9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pct"/>
            <w:vAlign w:val="center"/>
          </w:tcPr>
          <w:p w14:paraId="005A12CC">
            <w:pPr>
              <w:pStyle w:val="75"/>
            </w:pPr>
            <w:r>
              <w:rPr>
                <w:rFonts w:hint="eastAsia"/>
              </w:rPr>
              <w:t>2</w:t>
            </w:r>
          </w:p>
        </w:tc>
        <w:tc>
          <w:tcPr>
            <w:tcW w:w="2364" w:type="dxa"/>
            <w:vAlign w:val="center"/>
          </w:tcPr>
          <w:p w14:paraId="1A8FC732">
            <w:pPr>
              <w:pStyle w:val="75"/>
              <w:ind w:firstLine="0" w:firstLineChars="0"/>
              <w:rPr>
                <w:rFonts w:ascii="Times New Roman" w:hAnsi="Times New Roman" w:cs="Times New Roman"/>
                <w:szCs w:val="24"/>
              </w:rPr>
            </w:pPr>
            <w:r>
              <w:rPr>
                <w:rFonts w:hint="default" w:ascii="Times New Roman" w:hAnsi="Times New Roman" w:eastAsia="宋体" w:cs="Times New Roman"/>
              </w:rPr>
              <w:t>厂址</w:t>
            </w:r>
          </w:p>
        </w:tc>
        <w:tc>
          <w:tcPr>
            <w:tcW w:w="2036" w:type="dxa"/>
            <w:noWrap/>
            <w:vAlign w:val="center"/>
          </w:tcPr>
          <w:p w14:paraId="18D98DA7">
            <w:pPr>
              <w:pStyle w:val="75"/>
              <w:ind w:firstLine="0" w:firstLineChars="0"/>
            </w:pPr>
            <w:r>
              <w:rPr>
                <w:rFonts w:hint="default" w:ascii="Times New Roman" w:hAnsi="Times New Roman" w:eastAsia="宋体" w:cs="Times New Roman"/>
              </w:rPr>
              <w:t>/</w:t>
            </w:r>
          </w:p>
        </w:tc>
        <w:tc>
          <w:tcPr>
            <w:tcW w:w="843" w:type="pct"/>
            <w:vAlign w:val="center"/>
          </w:tcPr>
          <w:p w14:paraId="6D1C0242">
            <w:pPr>
              <w:pStyle w:val="75"/>
            </w:pPr>
            <w:r>
              <w:rPr>
                <w:rFonts w:hint="eastAsia"/>
              </w:rPr>
              <w:t>水质</w:t>
            </w:r>
          </w:p>
        </w:tc>
        <w:tc>
          <w:tcPr>
            <w:tcW w:w="1438" w:type="dxa"/>
            <w:vAlign w:val="center"/>
          </w:tcPr>
          <w:p w14:paraId="668F9205">
            <w:pPr>
              <w:pStyle w:val="75"/>
              <w:ind w:firstLine="0" w:firstLineChars="0"/>
            </w:pPr>
            <w:r>
              <w:rPr>
                <w:rFonts w:hint="default" w:ascii="Times New Roman" w:hAnsi="Times New Roman" w:eastAsia="宋体" w:cs="Times New Roman"/>
              </w:rPr>
              <w:t>监控点</w:t>
            </w:r>
          </w:p>
        </w:tc>
      </w:tr>
      <w:tr w14:paraId="132DE4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4" w:type="pct"/>
            <w:vAlign w:val="center"/>
          </w:tcPr>
          <w:p w14:paraId="6A91D032">
            <w:pPr>
              <w:pStyle w:val="75"/>
            </w:pPr>
            <w:r>
              <w:rPr>
                <w:rFonts w:hint="eastAsia"/>
              </w:rPr>
              <w:t>3</w:t>
            </w:r>
          </w:p>
        </w:tc>
        <w:tc>
          <w:tcPr>
            <w:tcW w:w="2364" w:type="dxa"/>
            <w:vAlign w:val="center"/>
          </w:tcPr>
          <w:p w14:paraId="76ED0812">
            <w:pPr>
              <w:pStyle w:val="75"/>
              <w:ind w:firstLine="0" w:firstLineChars="0"/>
              <w:rPr>
                <w:rFonts w:ascii="Times New Roman" w:hAnsi="Times New Roman" w:cs="Times New Roman"/>
                <w:szCs w:val="24"/>
              </w:rPr>
            </w:pPr>
            <w:r>
              <w:rPr>
                <w:rFonts w:hint="default" w:ascii="Times New Roman" w:hAnsi="Times New Roman" w:eastAsia="宋体" w:cs="Times New Roman"/>
              </w:rPr>
              <w:t>前寺庄村</w:t>
            </w:r>
          </w:p>
        </w:tc>
        <w:tc>
          <w:tcPr>
            <w:tcW w:w="2036" w:type="dxa"/>
            <w:noWrap/>
            <w:vAlign w:val="center"/>
          </w:tcPr>
          <w:p w14:paraId="7E5B88AE">
            <w:pPr>
              <w:pStyle w:val="75"/>
              <w:ind w:firstLine="0" w:firstLineChars="0"/>
            </w:pPr>
            <w:r>
              <w:rPr>
                <w:rFonts w:hint="default" w:ascii="Times New Roman" w:hAnsi="Times New Roman" w:eastAsia="宋体" w:cs="Times New Roman"/>
              </w:rPr>
              <w:t>东北</w:t>
            </w:r>
          </w:p>
        </w:tc>
        <w:tc>
          <w:tcPr>
            <w:tcW w:w="843" w:type="pct"/>
            <w:vAlign w:val="center"/>
          </w:tcPr>
          <w:p w14:paraId="18977C04">
            <w:pPr>
              <w:pStyle w:val="75"/>
            </w:pPr>
            <w:r>
              <w:rPr>
                <w:rFonts w:hint="eastAsia"/>
              </w:rPr>
              <w:t>水质</w:t>
            </w:r>
          </w:p>
        </w:tc>
        <w:tc>
          <w:tcPr>
            <w:tcW w:w="1438" w:type="dxa"/>
            <w:vAlign w:val="center"/>
          </w:tcPr>
          <w:p w14:paraId="067D6239">
            <w:pPr>
              <w:pStyle w:val="75"/>
              <w:ind w:firstLine="0" w:firstLineChars="0"/>
            </w:pPr>
            <w:r>
              <w:rPr>
                <w:rFonts w:hint="default" w:ascii="Times New Roman" w:hAnsi="Times New Roman" w:eastAsia="宋体" w:cs="Times New Roman"/>
              </w:rPr>
              <w:t>监控点</w:t>
            </w:r>
          </w:p>
        </w:tc>
      </w:tr>
    </w:tbl>
    <w:p w14:paraId="218667A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rPr>
        <w:t>4</w:t>
      </w:r>
      <w:r>
        <w:rPr>
          <w:rFonts w:hint="eastAsia"/>
          <w:lang w:val="en-US" w:eastAsia="zh-CN"/>
        </w:rPr>
        <w:t>.2</w:t>
      </w:r>
      <w:r>
        <w:t>-1</w:t>
      </w:r>
      <w:r>
        <w:rPr>
          <w:rFonts w:hint="eastAsia"/>
          <w:lang w:val="en-US" w:eastAsia="zh-CN"/>
        </w:rPr>
        <w:t>0</w:t>
      </w:r>
      <w:r>
        <w:t xml:space="preserve">    地下水环境现状水</w:t>
      </w:r>
      <w:r>
        <w:rPr>
          <w:rFonts w:hint="eastAsia"/>
        </w:rPr>
        <w:t>位</w:t>
      </w:r>
      <w:r>
        <w:t>监测布点一览表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41"/>
        <w:gridCol w:w="2125"/>
        <w:gridCol w:w="1770"/>
        <w:gridCol w:w="1704"/>
        <w:gridCol w:w="1188"/>
      </w:tblGrid>
      <w:tr w14:paraId="1F47C3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1021" w:type="pct"/>
            <w:noWrap/>
            <w:vAlign w:val="center"/>
          </w:tcPr>
          <w:p w14:paraId="62792870">
            <w:pPr>
              <w:pStyle w:val="81"/>
              <w:rPr>
                <w:color w:val="auto"/>
              </w:rPr>
            </w:pPr>
            <w:r>
              <w:rPr>
                <w:rFonts w:hint="eastAsia"/>
                <w:color w:val="auto"/>
              </w:rPr>
              <w:t>序号</w:t>
            </w:r>
          </w:p>
        </w:tc>
        <w:tc>
          <w:tcPr>
            <w:tcW w:w="1246" w:type="pct"/>
            <w:vAlign w:val="center"/>
          </w:tcPr>
          <w:p w14:paraId="5D1145A6">
            <w:pPr>
              <w:pStyle w:val="81"/>
              <w:rPr>
                <w:color w:val="auto"/>
              </w:rPr>
            </w:pPr>
            <w:r>
              <w:rPr>
                <w:color w:val="auto"/>
              </w:rPr>
              <w:t>监测点位</w:t>
            </w:r>
          </w:p>
        </w:tc>
        <w:tc>
          <w:tcPr>
            <w:tcW w:w="1038" w:type="pct"/>
            <w:noWrap/>
            <w:vAlign w:val="center"/>
          </w:tcPr>
          <w:p w14:paraId="7AA9DFE5">
            <w:pPr>
              <w:pStyle w:val="81"/>
              <w:rPr>
                <w:color w:val="auto"/>
              </w:rPr>
            </w:pPr>
            <w:r>
              <w:rPr>
                <w:rFonts w:hint="eastAsia"/>
                <w:color w:val="auto"/>
              </w:rPr>
              <w:t>方位</w:t>
            </w:r>
          </w:p>
        </w:tc>
        <w:tc>
          <w:tcPr>
            <w:tcW w:w="999" w:type="pct"/>
            <w:noWrap/>
            <w:vAlign w:val="center"/>
          </w:tcPr>
          <w:p w14:paraId="61FF584A">
            <w:pPr>
              <w:pStyle w:val="81"/>
              <w:rPr>
                <w:color w:val="auto"/>
              </w:rPr>
            </w:pPr>
            <w:r>
              <w:rPr>
                <w:rFonts w:hint="eastAsia"/>
                <w:color w:val="auto"/>
              </w:rPr>
              <w:t>距离厂界（m）</w:t>
            </w:r>
          </w:p>
        </w:tc>
        <w:tc>
          <w:tcPr>
            <w:tcW w:w="696" w:type="pct"/>
            <w:vAlign w:val="center"/>
          </w:tcPr>
          <w:p w14:paraId="1BEAF1B7">
            <w:pPr>
              <w:pStyle w:val="81"/>
              <w:rPr>
                <w:color w:val="auto"/>
              </w:rPr>
            </w:pPr>
            <w:r>
              <w:rPr>
                <w:rFonts w:hint="eastAsia"/>
                <w:color w:val="auto"/>
              </w:rPr>
              <w:t>备注</w:t>
            </w:r>
          </w:p>
        </w:tc>
      </w:tr>
      <w:tr w14:paraId="3D25D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noWrap/>
            <w:vAlign w:val="center"/>
          </w:tcPr>
          <w:p w14:paraId="1F1E7E02">
            <w:pPr>
              <w:pStyle w:val="75"/>
            </w:pPr>
            <w:r>
              <w:rPr>
                <w:rFonts w:hint="eastAsia"/>
              </w:rPr>
              <w:t>1</w:t>
            </w:r>
          </w:p>
        </w:tc>
        <w:tc>
          <w:tcPr>
            <w:tcW w:w="2125" w:type="dxa"/>
            <w:vAlign w:val="center"/>
          </w:tcPr>
          <w:p w14:paraId="6FD4E78B">
            <w:pPr>
              <w:pStyle w:val="81"/>
              <w:ind w:firstLine="0" w:firstLineChars="0"/>
              <w:rPr>
                <w:rFonts w:ascii="Times New Roman" w:hAnsi="Times New Roman" w:cs="Times New Roman"/>
                <w:szCs w:val="24"/>
              </w:rPr>
            </w:pPr>
            <w:r>
              <w:rPr>
                <w:rFonts w:hint="default" w:ascii="Times New Roman" w:hAnsi="Times New Roman" w:eastAsia="宋体" w:cs="Times New Roman"/>
                <w:b w:val="0"/>
                <w:bCs/>
                <w:color w:val="auto"/>
              </w:rPr>
              <w:t>厂址</w:t>
            </w:r>
          </w:p>
        </w:tc>
        <w:tc>
          <w:tcPr>
            <w:tcW w:w="1770" w:type="dxa"/>
            <w:noWrap/>
            <w:vAlign w:val="center"/>
          </w:tcPr>
          <w:p w14:paraId="55C3B103">
            <w:pPr>
              <w:pStyle w:val="81"/>
              <w:ind w:firstLine="0" w:firstLineChars="0"/>
            </w:pPr>
            <w:r>
              <w:rPr>
                <w:rFonts w:hint="default" w:ascii="Times New Roman" w:hAnsi="Times New Roman" w:eastAsia="宋体" w:cs="Times New Roman"/>
                <w:b w:val="0"/>
                <w:bCs/>
                <w:color w:val="auto"/>
              </w:rPr>
              <w:t>项目场地</w:t>
            </w:r>
          </w:p>
        </w:tc>
        <w:tc>
          <w:tcPr>
            <w:tcW w:w="1704" w:type="dxa"/>
            <w:noWrap/>
            <w:vAlign w:val="center"/>
          </w:tcPr>
          <w:p w14:paraId="4F6AA11F">
            <w:pPr>
              <w:pStyle w:val="81"/>
              <w:ind w:firstLine="0" w:firstLineChars="0"/>
            </w:pPr>
            <w:r>
              <w:rPr>
                <w:rFonts w:hint="default" w:ascii="Times New Roman" w:hAnsi="Times New Roman" w:eastAsia="宋体" w:cs="Times New Roman"/>
                <w:b w:val="0"/>
                <w:bCs/>
                <w:color w:val="auto"/>
              </w:rPr>
              <w:t>0</w:t>
            </w:r>
          </w:p>
        </w:tc>
        <w:tc>
          <w:tcPr>
            <w:tcW w:w="1188" w:type="dxa"/>
            <w:vAlign w:val="center"/>
          </w:tcPr>
          <w:p w14:paraId="48B404B8">
            <w:pPr>
              <w:pStyle w:val="81"/>
              <w:ind w:firstLine="0" w:firstLineChars="0"/>
            </w:pPr>
            <w:r>
              <w:rPr>
                <w:rFonts w:hint="default" w:ascii="Times New Roman" w:hAnsi="Times New Roman" w:eastAsia="宋体" w:cs="Times New Roman"/>
                <w:b w:val="0"/>
                <w:bCs/>
                <w:color w:val="auto"/>
              </w:rPr>
              <w:t>水位</w:t>
            </w:r>
          </w:p>
        </w:tc>
      </w:tr>
      <w:tr w14:paraId="4DD6DF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vAlign w:val="center"/>
          </w:tcPr>
          <w:p w14:paraId="6F4C40B6">
            <w:pPr>
              <w:pStyle w:val="75"/>
            </w:pPr>
            <w:r>
              <w:rPr>
                <w:rFonts w:hint="eastAsia"/>
              </w:rPr>
              <w:t>2</w:t>
            </w:r>
          </w:p>
        </w:tc>
        <w:tc>
          <w:tcPr>
            <w:tcW w:w="2125" w:type="dxa"/>
            <w:vAlign w:val="center"/>
          </w:tcPr>
          <w:p w14:paraId="5B5B7F6D">
            <w:pPr>
              <w:pStyle w:val="75"/>
              <w:widowControl/>
              <w:ind w:firstLine="0" w:firstLineChars="0"/>
              <w:rPr>
                <w:rFonts w:ascii="Times New Roman" w:hAnsi="Times New Roman" w:cs="Times New Roman"/>
                <w:szCs w:val="24"/>
              </w:rPr>
            </w:pPr>
            <w:r>
              <w:rPr>
                <w:rFonts w:hint="default" w:ascii="Times New Roman" w:hAnsi="Times New Roman" w:eastAsia="宋体" w:cs="Times New Roman"/>
                <w:color w:val="000000" w:themeColor="text1"/>
                <w14:textFill>
                  <w14:solidFill>
                    <w14:schemeClr w14:val="tx1"/>
                  </w14:solidFill>
                </w14:textFill>
              </w:rPr>
              <w:t>陈孝村（上游）</w:t>
            </w:r>
          </w:p>
        </w:tc>
        <w:tc>
          <w:tcPr>
            <w:tcW w:w="1770" w:type="dxa"/>
            <w:noWrap/>
            <w:vAlign w:val="center"/>
          </w:tcPr>
          <w:p w14:paraId="6034556F">
            <w:pPr>
              <w:pStyle w:val="81"/>
              <w:ind w:firstLine="0" w:firstLineChars="0"/>
            </w:pPr>
            <w:r>
              <w:rPr>
                <w:rFonts w:hint="default" w:ascii="Times New Roman" w:hAnsi="Times New Roman" w:eastAsia="宋体" w:cs="Times New Roman"/>
                <w:b w:val="0"/>
                <w:bCs/>
                <w:color w:val="000000" w:themeColor="text1"/>
                <w14:textFill>
                  <w14:solidFill>
                    <w14:schemeClr w14:val="tx1"/>
                  </w14:solidFill>
                </w14:textFill>
              </w:rPr>
              <w:t>上游</w:t>
            </w:r>
          </w:p>
        </w:tc>
        <w:tc>
          <w:tcPr>
            <w:tcW w:w="1704" w:type="dxa"/>
            <w:vAlign w:val="center"/>
          </w:tcPr>
          <w:p w14:paraId="52BE5F2F">
            <w:pPr>
              <w:pStyle w:val="81"/>
              <w:ind w:firstLine="0" w:firstLineChars="0"/>
            </w:pPr>
            <w:r>
              <w:rPr>
                <w:rFonts w:hint="eastAsia" w:ascii="Times New Roman" w:hAnsi="Times New Roman" w:eastAsia="宋体" w:cs="Times New Roman"/>
                <w:b w:val="0"/>
                <w:bCs/>
                <w:color w:val="000000" w:themeColor="text1"/>
                <w:lang w:val="en-US" w:eastAsia="zh-CN"/>
                <w14:textFill>
                  <w14:solidFill>
                    <w14:schemeClr w14:val="tx1"/>
                  </w14:solidFill>
                </w14:textFill>
              </w:rPr>
              <w:t>2563</w:t>
            </w:r>
          </w:p>
        </w:tc>
        <w:tc>
          <w:tcPr>
            <w:tcW w:w="1188" w:type="dxa"/>
            <w:vAlign w:val="center"/>
          </w:tcPr>
          <w:p w14:paraId="6C56826F">
            <w:pPr>
              <w:pStyle w:val="81"/>
              <w:ind w:firstLine="0" w:firstLineChars="0"/>
            </w:pPr>
            <w:r>
              <w:rPr>
                <w:rFonts w:hint="default" w:ascii="Times New Roman" w:hAnsi="Times New Roman" w:eastAsia="宋体" w:cs="Times New Roman"/>
                <w:b w:val="0"/>
                <w:bCs/>
                <w:color w:val="auto"/>
              </w:rPr>
              <w:t>水位</w:t>
            </w:r>
          </w:p>
        </w:tc>
      </w:tr>
      <w:tr w14:paraId="21C50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vAlign w:val="center"/>
          </w:tcPr>
          <w:p w14:paraId="475852E5">
            <w:pPr>
              <w:pStyle w:val="75"/>
            </w:pPr>
            <w:r>
              <w:rPr>
                <w:rFonts w:hint="eastAsia"/>
              </w:rPr>
              <w:t>3</w:t>
            </w:r>
          </w:p>
        </w:tc>
        <w:tc>
          <w:tcPr>
            <w:tcW w:w="2125" w:type="dxa"/>
            <w:vAlign w:val="center"/>
          </w:tcPr>
          <w:p w14:paraId="2270FAF4">
            <w:pPr>
              <w:pStyle w:val="75"/>
              <w:widowControl/>
              <w:ind w:firstLine="0" w:firstLineChars="0"/>
              <w:rPr>
                <w:rFonts w:ascii="Times New Roman" w:hAnsi="Times New Roman" w:cs="Times New Roman"/>
                <w:szCs w:val="24"/>
              </w:rPr>
            </w:pPr>
            <w:r>
              <w:rPr>
                <w:rFonts w:hint="default" w:ascii="Times New Roman" w:hAnsi="Times New Roman" w:eastAsia="宋体" w:cs="Times New Roman"/>
              </w:rPr>
              <w:t>前寺庄村（下游）</w:t>
            </w:r>
          </w:p>
        </w:tc>
        <w:tc>
          <w:tcPr>
            <w:tcW w:w="1770" w:type="dxa"/>
            <w:noWrap/>
            <w:vAlign w:val="center"/>
          </w:tcPr>
          <w:p w14:paraId="63581B5C">
            <w:pPr>
              <w:pStyle w:val="81"/>
              <w:ind w:firstLine="0" w:firstLineChars="0"/>
            </w:pPr>
            <w:r>
              <w:rPr>
                <w:rFonts w:hint="default" w:ascii="Times New Roman" w:hAnsi="Times New Roman" w:eastAsia="宋体" w:cs="Times New Roman"/>
                <w:b w:val="0"/>
                <w:bCs/>
                <w:color w:val="auto"/>
              </w:rPr>
              <w:t>下游</w:t>
            </w:r>
          </w:p>
        </w:tc>
        <w:tc>
          <w:tcPr>
            <w:tcW w:w="1704" w:type="dxa"/>
            <w:vAlign w:val="center"/>
          </w:tcPr>
          <w:p w14:paraId="461E8584">
            <w:pPr>
              <w:pStyle w:val="81"/>
              <w:ind w:firstLine="0" w:firstLineChars="0"/>
            </w:pPr>
            <w:r>
              <w:rPr>
                <w:rFonts w:hint="eastAsia" w:ascii="Times New Roman" w:hAnsi="Times New Roman" w:eastAsia="宋体" w:cs="Times New Roman"/>
                <w:b w:val="0"/>
                <w:bCs/>
                <w:color w:val="auto"/>
                <w:lang w:val="en-US" w:eastAsia="zh-CN"/>
              </w:rPr>
              <w:t>1640</w:t>
            </w:r>
          </w:p>
        </w:tc>
        <w:tc>
          <w:tcPr>
            <w:tcW w:w="1188" w:type="dxa"/>
            <w:vAlign w:val="center"/>
          </w:tcPr>
          <w:p w14:paraId="1BF504C7">
            <w:pPr>
              <w:pStyle w:val="81"/>
              <w:ind w:firstLine="0" w:firstLineChars="0"/>
            </w:pPr>
            <w:r>
              <w:rPr>
                <w:rFonts w:hint="default" w:ascii="Times New Roman" w:hAnsi="Times New Roman" w:eastAsia="宋体" w:cs="Times New Roman"/>
                <w:b w:val="0"/>
                <w:bCs/>
                <w:color w:val="auto"/>
              </w:rPr>
              <w:t>水位</w:t>
            </w:r>
          </w:p>
        </w:tc>
      </w:tr>
      <w:tr w14:paraId="717024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noWrap/>
            <w:vAlign w:val="center"/>
          </w:tcPr>
          <w:p w14:paraId="1EDF5306">
            <w:pPr>
              <w:pStyle w:val="75"/>
            </w:pPr>
            <w:r>
              <w:rPr>
                <w:rFonts w:hint="eastAsia"/>
              </w:rPr>
              <w:t>4</w:t>
            </w:r>
          </w:p>
        </w:tc>
        <w:tc>
          <w:tcPr>
            <w:tcW w:w="2125" w:type="dxa"/>
            <w:vAlign w:val="center"/>
          </w:tcPr>
          <w:p w14:paraId="7880C23A">
            <w:pPr>
              <w:pStyle w:val="75"/>
              <w:widowControl/>
              <w:ind w:firstLine="0" w:firstLineChars="0"/>
              <w:rPr>
                <w:rFonts w:ascii="Times New Roman" w:hAnsi="Times New Roman" w:cs="Times New Roman"/>
                <w:szCs w:val="24"/>
              </w:rPr>
            </w:pPr>
            <w:r>
              <w:rPr>
                <w:rFonts w:hint="default" w:ascii="Times New Roman" w:hAnsi="Times New Roman" w:eastAsia="宋体" w:cs="Times New Roman"/>
              </w:rPr>
              <w:t>前李村（侧向）</w:t>
            </w:r>
          </w:p>
        </w:tc>
        <w:tc>
          <w:tcPr>
            <w:tcW w:w="1770" w:type="dxa"/>
            <w:noWrap/>
            <w:vAlign w:val="center"/>
          </w:tcPr>
          <w:p w14:paraId="7EA81BFC">
            <w:pPr>
              <w:pStyle w:val="81"/>
              <w:ind w:firstLine="0" w:firstLineChars="0"/>
            </w:pPr>
            <w:r>
              <w:rPr>
                <w:rFonts w:hint="default" w:ascii="Times New Roman" w:hAnsi="Times New Roman" w:eastAsia="宋体" w:cs="Times New Roman"/>
                <w:b w:val="0"/>
                <w:bCs/>
                <w:color w:val="auto"/>
              </w:rPr>
              <w:t>侧向</w:t>
            </w:r>
          </w:p>
        </w:tc>
        <w:tc>
          <w:tcPr>
            <w:tcW w:w="1704" w:type="dxa"/>
            <w:noWrap/>
            <w:vAlign w:val="center"/>
          </w:tcPr>
          <w:p w14:paraId="12468890">
            <w:pPr>
              <w:pStyle w:val="81"/>
              <w:ind w:firstLine="0" w:firstLineChars="0"/>
              <w:rPr>
                <w:rFonts w:hint="default"/>
                <w:lang w:val="en-US"/>
              </w:rPr>
            </w:pPr>
            <w:r>
              <w:rPr>
                <w:rFonts w:hint="eastAsia" w:cs="Times New Roman"/>
                <w:b w:val="0"/>
                <w:bCs/>
                <w:color w:val="auto"/>
                <w:lang w:val="en-US" w:eastAsia="zh-CN"/>
              </w:rPr>
              <w:t>300</w:t>
            </w:r>
          </w:p>
        </w:tc>
        <w:tc>
          <w:tcPr>
            <w:tcW w:w="1188" w:type="dxa"/>
            <w:vAlign w:val="center"/>
          </w:tcPr>
          <w:p w14:paraId="36F1B316">
            <w:pPr>
              <w:pStyle w:val="81"/>
              <w:ind w:firstLine="0" w:firstLineChars="0"/>
            </w:pPr>
            <w:r>
              <w:rPr>
                <w:rFonts w:hint="default" w:ascii="Times New Roman" w:hAnsi="Times New Roman" w:eastAsia="宋体" w:cs="Times New Roman"/>
                <w:b w:val="0"/>
                <w:bCs/>
                <w:color w:val="auto"/>
              </w:rPr>
              <w:t>水位</w:t>
            </w:r>
          </w:p>
        </w:tc>
      </w:tr>
      <w:tr w14:paraId="20A1CF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noWrap/>
            <w:vAlign w:val="center"/>
          </w:tcPr>
          <w:p w14:paraId="762FE7A9">
            <w:pPr>
              <w:pStyle w:val="75"/>
            </w:pPr>
            <w:r>
              <w:rPr>
                <w:rFonts w:hint="eastAsia"/>
              </w:rPr>
              <w:t>5</w:t>
            </w:r>
          </w:p>
        </w:tc>
        <w:tc>
          <w:tcPr>
            <w:tcW w:w="2125" w:type="dxa"/>
            <w:vAlign w:val="center"/>
          </w:tcPr>
          <w:p w14:paraId="26D7438B">
            <w:pPr>
              <w:pStyle w:val="75"/>
              <w:widowControl/>
              <w:ind w:firstLine="0" w:firstLineChars="0"/>
              <w:rPr>
                <w:rFonts w:ascii="Times New Roman" w:hAnsi="Times New Roman" w:cs="Times New Roman"/>
                <w:szCs w:val="24"/>
              </w:rPr>
            </w:pPr>
            <w:r>
              <w:rPr>
                <w:rFonts w:hint="default" w:ascii="Times New Roman" w:hAnsi="Times New Roman" w:eastAsia="宋体" w:cs="Times New Roman"/>
              </w:rPr>
              <w:t>孝合村（侧向）</w:t>
            </w:r>
          </w:p>
        </w:tc>
        <w:tc>
          <w:tcPr>
            <w:tcW w:w="1770" w:type="dxa"/>
            <w:noWrap/>
            <w:vAlign w:val="center"/>
          </w:tcPr>
          <w:p w14:paraId="2B46FCCB">
            <w:pPr>
              <w:pStyle w:val="81"/>
              <w:ind w:firstLine="0" w:firstLineChars="0"/>
            </w:pPr>
            <w:r>
              <w:rPr>
                <w:rFonts w:hint="default" w:ascii="Times New Roman" w:hAnsi="Times New Roman" w:eastAsia="宋体" w:cs="Times New Roman"/>
                <w:b w:val="0"/>
                <w:bCs/>
                <w:color w:val="auto"/>
              </w:rPr>
              <w:t>侧向</w:t>
            </w:r>
          </w:p>
        </w:tc>
        <w:tc>
          <w:tcPr>
            <w:tcW w:w="1704" w:type="dxa"/>
            <w:vAlign w:val="center"/>
          </w:tcPr>
          <w:p w14:paraId="5D5CD4A8">
            <w:pPr>
              <w:pStyle w:val="81"/>
              <w:ind w:firstLine="0" w:firstLineChars="0"/>
            </w:pPr>
            <w:r>
              <w:rPr>
                <w:rFonts w:hint="eastAsia" w:ascii="Times New Roman" w:hAnsi="Times New Roman" w:eastAsia="宋体" w:cs="Times New Roman"/>
                <w:b w:val="0"/>
                <w:bCs/>
                <w:color w:val="auto"/>
                <w:lang w:val="en-US" w:eastAsia="zh-CN"/>
              </w:rPr>
              <w:t>2150</w:t>
            </w:r>
          </w:p>
        </w:tc>
        <w:tc>
          <w:tcPr>
            <w:tcW w:w="1188" w:type="dxa"/>
            <w:vAlign w:val="center"/>
          </w:tcPr>
          <w:p w14:paraId="4D5713DC">
            <w:pPr>
              <w:pStyle w:val="81"/>
              <w:ind w:firstLine="0" w:firstLineChars="0"/>
            </w:pPr>
            <w:r>
              <w:rPr>
                <w:rFonts w:hint="default" w:ascii="Times New Roman" w:hAnsi="Times New Roman" w:eastAsia="宋体" w:cs="Times New Roman"/>
                <w:b w:val="0"/>
                <w:bCs/>
                <w:color w:val="auto"/>
              </w:rPr>
              <w:t>水位</w:t>
            </w:r>
          </w:p>
        </w:tc>
      </w:tr>
      <w:tr w14:paraId="6447F1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21" w:type="pct"/>
            <w:noWrap/>
            <w:vAlign w:val="center"/>
          </w:tcPr>
          <w:p w14:paraId="7A955BD7">
            <w:pPr>
              <w:pStyle w:val="75"/>
            </w:pPr>
            <w:r>
              <w:rPr>
                <w:rFonts w:hint="eastAsia"/>
              </w:rPr>
              <w:t>6</w:t>
            </w:r>
          </w:p>
        </w:tc>
        <w:tc>
          <w:tcPr>
            <w:tcW w:w="2125" w:type="dxa"/>
            <w:vAlign w:val="center"/>
          </w:tcPr>
          <w:p w14:paraId="4EF14249">
            <w:pPr>
              <w:pStyle w:val="75"/>
              <w:widowControl/>
              <w:ind w:firstLine="0" w:firstLineChars="0"/>
              <w:rPr>
                <w:rFonts w:ascii="Times New Roman" w:hAnsi="Times New Roman" w:cs="Times New Roman"/>
                <w:szCs w:val="24"/>
              </w:rPr>
            </w:pPr>
            <w:r>
              <w:rPr>
                <w:rFonts w:hint="default" w:ascii="Times New Roman" w:hAnsi="Times New Roman" w:eastAsia="宋体" w:cs="Times New Roman"/>
                <w:bCs/>
              </w:rPr>
              <w:t>后寺庄村（下游）</w:t>
            </w:r>
          </w:p>
        </w:tc>
        <w:tc>
          <w:tcPr>
            <w:tcW w:w="1770" w:type="dxa"/>
            <w:noWrap/>
            <w:vAlign w:val="center"/>
          </w:tcPr>
          <w:p w14:paraId="1888DC0A">
            <w:pPr>
              <w:pStyle w:val="81"/>
              <w:ind w:firstLine="0" w:firstLineChars="0"/>
            </w:pPr>
            <w:r>
              <w:rPr>
                <w:rFonts w:hint="default" w:ascii="Times New Roman" w:hAnsi="Times New Roman" w:eastAsia="宋体" w:cs="Times New Roman"/>
                <w:b w:val="0"/>
                <w:bCs/>
                <w:color w:val="auto"/>
              </w:rPr>
              <w:t>下游</w:t>
            </w:r>
          </w:p>
        </w:tc>
        <w:tc>
          <w:tcPr>
            <w:tcW w:w="1704" w:type="dxa"/>
            <w:vAlign w:val="center"/>
          </w:tcPr>
          <w:p w14:paraId="556E263A">
            <w:pPr>
              <w:pStyle w:val="81"/>
              <w:ind w:firstLine="0" w:firstLineChars="0"/>
            </w:pPr>
            <w:r>
              <w:rPr>
                <w:rFonts w:hint="eastAsia" w:ascii="Times New Roman" w:hAnsi="Times New Roman" w:eastAsia="宋体" w:cs="Times New Roman"/>
                <w:b w:val="0"/>
                <w:bCs/>
                <w:color w:val="auto"/>
                <w:lang w:val="en-US" w:eastAsia="zh-CN"/>
              </w:rPr>
              <w:t>2344</w:t>
            </w:r>
          </w:p>
        </w:tc>
        <w:tc>
          <w:tcPr>
            <w:tcW w:w="1188" w:type="dxa"/>
            <w:vAlign w:val="center"/>
          </w:tcPr>
          <w:p w14:paraId="7DBD5A8E">
            <w:pPr>
              <w:pStyle w:val="81"/>
              <w:ind w:firstLine="0" w:firstLineChars="0"/>
            </w:pPr>
            <w:r>
              <w:rPr>
                <w:rFonts w:hint="default" w:ascii="Times New Roman" w:hAnsi="Times New Roman" w:eastAsia="宋体" w:cs="Times New Roman"/>
                <w:b w:val="0"/>
                <w:bCs/>
                <w:color w:val="auto"/>
              </w:rPr>
              <w:t>水位</w:t>
            </w:r>
          </w:p>
        </w:tc>
      </w:tr>
    </w:tbl>
    <w:p w14:paraId="74B970CB">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4.2.4.2监测因子</w:t>
      </w:r>
    </w:p>
    <w:p w14:paraId="09290EC4">
      <w:pPr>
        <w:pStyle w:val="72"/>
        <w:rPr>
          <w:highlight w:val="yellow"/>
        </w:rPr>
      </w:pPr>
      <w:r>
        <w:rPr>
          <w:rFonts w:hint="eastAsia"/>
        </w:rPr>
        <w:t>本次地下水质量现状评价因子选取</w:t>
      </w:r>
      <w:r>
        <w:rPr>
          <w:rFonts w:hint="default" w:ascii="Times New Roman" w:hAnsi="Times New Roman" w:eastAsia="宋体" w:cs="Times New Roman"/>
          <w:sz w:val="24"/>
          <w:szCs w:val="24"/>
        </w:rPr>
        <w:t>pH、氨氮、总硬度、溶解性总固体、高锰酸盐指数（以O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计）、硝酸盐（以N计）、亚硝酸盐、氯化物、硫酸盐、挥发性酚类、氰化物、总大肠菌群、菌落总数、硫化物、砷、汞、铬（六价）、</w:t>
      </w:r>
      <w:r>
        <w:rPr>
          <w:rFonts w:hint="eastAsia" w:cs="Times New Roman"/>
          <w:sz w:val="24"/>
          <w:szCs w:val="24"/>
          <w:lang w:val="en-US" w:eastAsia="zh-CN"/>
        </w:rPr>
        <w:t>总铬、</w:t>
      </w:r>
      <w:r>
        <w:rPr>
          <w:rFonts w:hint="default" w:ascii="Times New Roman" w:hAnsi="Times New Roman" w:eastAsia="宋体" w:cs="Times New Roman"/>
          <w:sz w:val="24"/>
          <w:szCs w:val="24"/>
        </w:rPr>
        <w:t>铅、镉、锰、铁、K+、Na+、Ca</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、Mg</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、碳酸根、重碳酸根、氟化物、镍、阴离子表面活性剂</w:t>
      </w:r>
      <w:r>
        <w:rPr>
          <w:rFonts w:hint="eastAsia"/>
        </w:rPr>
        <w:t>。水位监测点监测井深、水位和水温</w:t>
      </w:r>
      <w:r>
        <w:rPr>
          <w:rFonts w:hint="eastAsia"/>
          <w:szCs w:val="28"/>
        </w:rPr>
        <w:t>。</w:t>
      </w:r>
    </w:p>
    <w:p w14:paraId="072821CA">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4.2.4.3监测方法</w:t>
      </w:r>
    </w:p>
    <w:p w14:paraId="29A4F8C8">
      <w:pPr>
        <w:pStyle w:val="72"/>
      </w:pPr>
      <w:r>
        <w:rPr>
          <w:rFonts w:hint="eastAsia"/>
        </w:rPr>
        <w:t>本次地下水监测资料涉及的监测方法</w:t>
      </w:r>
      <w:bookmarkEnd w:id="518"/>
      <w:bookmarkEnd w:id="519"/>
      <w:r>
        <w:rPr>
          <w:rFonts w:hint="eastAsia"/>
        </w:rPr>
        <w:t>见下表。</w:t>
      </w:r>
    </w:p>
    <w:p w14:paraId="38E8E58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表4.2-11    监测方法一览表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6"/>
        <w:gridCol w:w="1223"/>
        <w:gridCol w:w="3201"/>
        <w:gridCol w:w="1713"/>
        <w:gridCol w:w="1475"/>
      </w:tblGrid>
      <w:tr w14:paraId="35E0D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tblHeader/>
          <w:jc w:val="center"/>
        </w:trPr>
        <w:tc>
          <w:tcPr>
            <w:tcW w:w="537" w:type="pct"/>
            <w:tcBorders>
              <w:tl2br w:val="nil"/>
              <w:tr2bl w:val="nil"/>
            </w:tcBorders>
            <w:noWrap w:val="0"/>
            <w:vAlign w:val="center"/>
          </w:tcPr>
          <w:p w14:paraId="678E3AE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w:t>
            </w:r>
          </w:p>
          <w:p w14:paraId="04A81EC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类别</w:t>
            </w:r>
          </w:p>
        </w:tc>
        <w:tc>
          <w:tcPr>
            <w:tcW w:w="717" w:type="pct"/>
            <w:tcBorders>
              <w:tl2br w:val="nil"/>
              <w:tr2bl w:val="nil"/>
            </w:tcBorders>
            <w:noWrap w:val="0"/>
            <w:vAlign w:val="center"/>
          </w:tcPr>
          <w:p w14:paraId="0CC4F70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w:t>
            </w:r>
          </w:p>
          <w:p w14:paraId="5619C23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项目</w:t>
            </w:r>
          </w:p>
        </w:tc>
        <w:tc>
          <w:tcPr>
            <w:tcW w:w="1876" w:type="pct"/>
            <w:tcBorders>
              <w:tl2br w:val="nil"/>
              <w:tr2bl w:val="nil"/>
            </w:tcBorders>
            <w:noWrap w:val="0"/>
            <w:vAlign w:val="center"/>
          </w:tcPr>
          <w:p w14:paraId="318BF92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检测分析方法</w:t>
            </w:r>
          </w:p>
        </w:tc>
        <w:tc>
          <w:tcPr>
            <w:tcW w:w="1004" w:type="pct"/>
            <w:tcBorders>
              <w:tl2br w:val="nil"/>
              <w:tr2bl w:val="nil"/>
            </w:tcBorders>
            <w:noWrap w:val="0"/>
            <w:vAlign w:val="center"/>
          </w:tcPr>
          <w:p w14:paraId="6CDC6A1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仪器型号、名称及编号</w:t>
            </w:r>
          </w:p>
        </w:tc>
        <w:tc>
          <w:tcPr>
            <w:tcW w:w="864" w:type="pct"/>
            <w:tcBorders>
              <w:tl2br w:val="nil"/>
              <w:tr2bl w:val="nil"/>
            </w:tcBorders>
            <w:noWrap w:val="0"/>
            <w:vAlign w:val="center"/>
          </w:tcPr>
          <w:p w14:paraId="43B2A85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检出限或最低检出浓度</w:t>
            </w:r>
          </w:p>
        </w:tc>
      </w:tr>
      <w:tr w14:paraId="25BE1E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restart"/>
            <w:tcBorders>
              <w:tl2br w:val="nil"/>
              <w:tr2bl w:val="nil"/>
            </w:tcBorders>
            <w:noWrap w:val="0"/>
            <w:vAlign w:val="center"/>
          </w:tcPr>
          <w:p w14:paraId="19354D5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地下水</w:t>
            </w:r>
          </w:p>
        </w:tc>
        <w:tc>
          <w:tcPr>
            <w:tcW w:w="717" w:type="pct"/>
            <w:tcBorders>
              <w:tl2br w:val="nil"/>
              <w:tr2bl w:val="nil"/>
            </w:tcBorders>
            <w:noWrap w:val="0"/>
            <w:vAlign w:val="center"/>
          </w:tcPr>
          <w:p w14:paraId="4D48125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钾</w:t>
            </w:r>
          </w:p>
        </w:tc>
        <w:tc>
          <w:tcPr>
            <w:tcW w:w="1876" w:type="pct"/>
            <w:tcBorders>
              <w:tl2br w:val="nil"/>
              <w:tr2bl w:val="nil"/>
            </w:tcBorders>
            <w:noWrap w:val="0"/>
            <w:vAlign w:val="center"/>
          </w:tcPr>
          <w:p w14:paraId="50DA9D0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2"/>
                <w:sz w:val="21"/>
                <w:szCs w:val="21"/>
                <w:highlight w:val="none"/>
              </w:rPr>
              <w:t>水质 钾和钠的测定 火焰原子吸收分光</w:t>
            </w:r>
            <w:r>
              <w:rPr>
                <w:rFonts w:hint="default" w:ascii="Times New Roman" w:hAnsi="Times New Roman" w:eastAsia="宋体" w:cs="Times New Roman"/>
                <w:color w:val="000008"/>
                <w:spacing w:val="11"/>
                <w:sz w:val="21"/>
                <w:szCs w:val="21"/>
                <w:highlight w:val="none"/>
              </w:rPr>
              <w:t xml:space="preserve"> </w:t>
            </w:r>
            <w:r>
              <w:rPr>
                <w:rFonts w:hint="default" w:ascii="Times New Roman" w:hAnsi="Times New Roman" w:eastAsia="宋体" w:cs="Times New Roman"/>
                <w:color w:val="000008"/>
                <w:spacing w:val="-3"/>
                <w:sz w:val="21"/>
                <w:szCs w:val="21"/>
                <w:highlight w:val="none"/>
              </w:rPr>
              <w:t>光度法 GB/T</w:t>
            </w:r>
            <w:r>
              <w:rPr>
                <w:rFonts w:hint="default" w:ascii="Times New Roman" w:hAnsi="Times New Roman" w:eastAsia="宋体" w:cs="Times New Roman"/>
                <w:color w:val="000008"/>
                <w:spacing w:val="39"/>
                <w:w w:val="101"/>
                <w:sz w:val="21"/>
                <w:szCs w:val="21"/>
                <w:highlight w:val="none"/>
              </w:rPr>
              <w:t xml:space="preserve"> </w:t>
            </w:r>
            <w:r>
              <w:rPr>
                <w:rFonts w:hint="default" w:ascii="Times New Roman" w:hAnsi="Times New Roman" w:eastAsia="宋体" w:cs="Times New Roman"/>
                <w:color w:val="000008"/>
                <w:spacing w:val="-3"/>
                <w:sz w:val="21"/>
                <w:szCs w:val="21"/>
                <w:highlight w:val="none"/>
              </w:rPr>
              <w:t>11904-1989</w:t>
            </w:r>
          </w:p>
        </w:tc>
        <w:tc>
          <w:tcPr>
            <w:tcW w:w="1004" w:type="pct"/>
            <w:tcBorders>
              <w:tl2br w:val="nil"/>
              <w:tr2bl w:val="nil"/>
            </w:tcBorders>
            <w:noWrap w:val="0"/>
            <w:vAlign w:val="center"/>
          </w:tcPr>
          <w:p w14:paraId="5BC259B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 w:val="21"/>
                <w:szCs w:val="21"/>
                <w:highlight w:val="none"/>
              </w:rPr>
              <w:t>A3AFG原子吸收分光光度BZX/YQ-005</w:t>
            </w:r>
          </w:p>
        </w:tc>
        <w:tc>
          <w:tcPr>
            <w:tcW w:w="864" w:type="pct"/>
            <w:tcBorders>
              <w:tl2br w:val="nil"/>
              <w:tr2bl w:val="nil"/>
            </w:tcBorders>
            <w:noWrap w:val="0"/>
            <w:vAlign w:val="center"/>
          </w:tcPr>
          <w:p w14:paraId="3B06951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0.05</w:t>
            </w:r>
            <w:r>
              <w:rPr>
                <w:rFonts w:hint="default" w:ascii="Times New Roman" w:hAnsi="Times New Roman" w:eastAsia="宋体" w:cs="Times New Roman"/>
                <w:color w:val="000000"/>
                <w:sz w:val="21"/>
                <w:szCs w:val="21"/>
                <w:highlight w:val="none"/>
                <w:lang w:val="en-US" w:eastAsia="zh-CN" w:bidi="ar-SA"/>
              </w:rPr>
              <w:t>mg/L</w:t>
            </w:r>
          </w:p>
        </w:tc>
      </w:tr>
      <w:tr w14:paraId="62D48C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19C8370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D31097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钠</w:t>
            </w:r>
          </w:p>
        </w:tc>
        <w:tc>
          <w:tcPr>
            <w:tcW w:w="1876" w:type="pct"/>
            <w:tcBorders>
              <w:tl2br w:val="nil"/>
              <w:tr2bl w:val="nil"/>
            </w:tcBorders>
            <w:noWrap w:val="0"/>
            <w:vAlign w:val="center"/>
          </w:tcPr>
          <w:p w14:paraId="64C2933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2"/>
                <w:sz w:val="21"/>
                <w:szCs w:val="21"/>
                <w:highlight w:val="none"/>
              </w:rPr>
              <w:t>水质 钾和钠的测定 火焰原子吸收分光</w:t>
            </w:r>
            <w:r>
              <w:rPr>
                <w:rFonts w:hint="default" w:ascii="Times New Roman" w:hAnsi="Times New Roman" w:eastAsia="宋体" w:cs="Times New Roman"/>
                <w:color w:val="000008"/>
                <w:spacing w:val="11"/>
                <w:sz w:val="21"/>
                <w:szCs w:val="21"/>
                <w:highlight w:val="none"/>
              </w:rPr>
              <w:t xml:space="preserve"> </w:t>
            </w:r>
            <w:r>
              <w:rPr>
                <w:rFonts w:hint="default" w:ascii="Times New Roman" w:hAnsi="Times New Roman" w:eastAsia="宋体" w:cs="Times New Roman"/>
                <w:color w:val="000008"/>
                <w:spacing w:val="-3"/>
                <w:sz w:val="21"/>
                <w:szCs w:val="21"/>
                <w:highlight w:val="none"/>
              </w:rPr>
              <w:t>光度法 GB/T</w:t>
            </w:r>
            <w:r>
              <w:rPr>
                <w:rFonts w:hint="default" w:ascii="Times New Roman" w:hAnsi="Times New Roman" w:eastAsia="宋体" w:cs="Times New Roman"/>
                <w:color w:val="000008"/>
                <w:spacing w:val="39"/>
                <w:w w:val="101"/>
                <w:sz w:val="21"/>
                <w:szCs w:val="21"/>
                <w:highlight w:val="none"/>
              </w:rPr>
              <w:t xml:space="preserve"> </w:t>
            </w:r>
            <w:r>
              <w:rPr>
                <w:rFonts w:hint="default" w:ascii="Times New Roman" w:hAnsi="Times New Roman" w:eastAsia="宋体" w:cs="Times New Roman"/>
                <w:color w:val="000008"/>
                <w:spacing w:val="-3"/>
                <w:sz w:val="21"/>
                <w:szCs w:val="21"/>
                <w:highlight w:val="none"/>
              </w:rPr>
              <w:t>11904-1989</w:t>
            </w:r>
          </w:p>
        </w:tc>
        <w:tc>
          <w:tcPr>
            <w:tcW w:w="1004" w:type="pct"/>
            <w:tcBorders>
              <w:tl2br w:val="nil"/>
              <w:tr2bl w:val="nil"/>
            </w:tcBorders>
            <w:noWrap w:val="0"/>
            <w:vAlign w:val="center"/>
          </w:tcPr>
          <w:p w14:paraId="7199C36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10B6C68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0.01</w:t>
            </w:r>
            <w:r>
              <w:rPr>
                <w:rFonts w:hint="default" w:ascii="Times New Roman" w:hAnsi="Times New Roman" w:eastAsia="宋体" w:cs="Times New Roman"/>
                <w:color w:val="000000"/>
                <w:sz w:val="21"/>
                <w:szCs w:val="21"/>
                <w:highlight w:val="none"/>
                <w:lang w:val="en-US" w:eastAsia="zh-CN" w:bidi="ar-SA"/>
              </w:rPr>
              <w:t>mg/L</w:t>
            </w:r>
          </w:p>
        </w:tc>
      </w:tr>
      <w:tr w14:paraId="5EE0E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AB9EC3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D94D14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钙</w:t>
            </w:r>
          </w:p>
        </w:tc>
        <w:tc>
          <w:tcPr>
            <w:tcW w:w="1876" w:type="pct"/>
            <w:tcBorders>
              <w:tl2br w:val="nil"/>
              <w:tr2bl w:val="nil"/>
            </w:tcBorders>
            <w:noWrap w:val="0"/>
            <w:vAlign w:val="center"/>
          </w:tcPr>
          <w:p w14:paraId="4586E04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2"/>
                <w:sz w:val="21"/>
                <w:szCs w:val="21"/>
                <w:highlight w:val="none"/>
              </w:rPr>
              <w:t>水质 钙和镁的测定 原子吸收分光光度</w:t>
            </w:r>
            <w:r>
              <w:rPr>
                <w:rFonts w:hint="default" w:ascii="Times New Roman" w:hAnsi="Times New Roman" w:eastAsia="宋体" w:cs="Times New Roman"/>
                <w:color w:val="000008"/>
                <w:spacing w:val="11"/>
                <w:sz w:val="21"/>
                <w:szCs w:val="21"/>
                <w:highlight w:val="none"/>
              </w:rPr>
              <w:t xml:space="preserve"> </w:t>
            </w:r>
            <w:r>
              <w:rPr>
                <w:rFonts w:hint="default" w:ascii="Times New Roman" w:hAnsi="Times New Roman" w:eastAsia="宋体" w:cs="Times New Roman"/>
                <w:color w:val="000008"/>
                <w:spacing w:val="-3"/>
                <w:sz w:val="21"/>
                <w:szCs w:val="21"/>
                <w:highlight w:val="none"/>
              </w:rPr>
              <w:t>法 GB/T</w:t>
            </w:r>
            <w:r>
              <w:rPr>
                <w:rFonts w:hint="default" w:ascii="Times New Roman" w:hAnsi="Times New Roman" w:eastAsia="宋体" w:cs="Times New Roman"/>
                <w:color w:val="000008"/>
                <w:spacing w:val="31"/>
                <w:sz w:val="21"/>
                <w:szCs w:val="21"/>
                <w:highlight w:val="none"/>
              </w:rPr>
              <w:t xml:space="preserve"> </w:t>
            </w:r>
            <w:r>
              <w:rPr>
                <w:rFonts w:hint="default" w:ascii="Times New Roman" w:hAnsi="Times New Roman" w:eastAsia="宋体" w:cs="Times New Roman"/>
                <w:color w:val="000008"/>
                <w:spacing w:val="-3"/>
                <w:sz w:val="21"/>
                <w:szCs w:val="21"/>
                <w:highlight w:val="none"/>
              </w:rPr>
              <w:t>11905-1989</w:t>
            </w:r>
          </w:p>
        </w:tc>
        <w:tc>
          <w:tcPr>
            <w:tcW w:w="1004" w:type="pct"/>
            <w:tcBorders>
              <w:tl2br w:val="nil"/>
              <w:tr2bl w:val="nil"/>
            </w:tcBorders>
            <w:noWrap w:val="0"/>
            <w:vAlign w:val="center"/>
          </w:tcPr>
          <w:p w14:paraId="040193E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4DC16B8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0.02</w:t>
            </w:r>
            <w:r>
              <w:rPr>
                <w:rFonts w:hint="default" w:ascii="Times New Roman" w:hAnsi="Times New Roman" w:eastAsia="宋体" w:cs="Times New Roman"/>
                <w:color w:val="000000"/>
                <w:sz w:val="21"/>
                <w:szCs w:val="21"/>
                <w:highlight w:val="none"/>
                <w:lang w:val="en-US" w:eastAsia="zh-CN" w:bidi="ar-SA"/>
              </w:rPr>
              <w:t>mg/L</w:t>
            </w:r>
          </w:p>
        </w:tc>
      </w:tr>
      <w:tr w14:paraId="2EE32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33C15B2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A9B2DD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镁</w:t>
            </w:r>
          </w:p>
        </w:tc>
        <w:tc>
          <w:tcPr>
            <w:tcW w:w="1876" w:type="pct"/>
            <w:tcBorders>
              <w:tl2br w:val="nil"/>
              <w:tr2bl w:val="nil"/>
            </w:tcBorders>
            <w:noWrap w:val="0"/>
            <w:vAlign w:val="center"/>
          </w:tcPr>
          <w:p w14:paraId="0850EEA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2"/>
                <w:sz w:val="21"/>
                <w:szCs w:val="21"/>
                <w:highlight w:val="none"/>
              </w:rPr>
              <w:t>水质 钙和镁的测定 原子吸收分光光度</w:t>
            </w:r>
            <w:r>
              <w:rPr>
                <w:rFonts w:hint="default" w:ascii="Times New Roman" w:hAnsi="Times New Roman" w:eastAsia="宋体" w:cs="Times New Roman"/>
                <w:color w:val="000008"/>
                <w:spacing w:val="11"/>
                <w:sz w:val="21"/>
                <w:szCs w:val="21"/>
                <w:highlight w:val="none"/>
              </w:rPr>
              <w:t xml:space="preserve"> </w:t>
            </w:r>
            <w:r>
              <w:rPr>
                <w:rFonts w:hint="default" w:ascii="Times New Roman" w:hAnsi="Times New Roman" w:eastAsia="宋体" w:cs="Times New Roman"/>
                <w:color w:val="000008"/>
                <w:spacing w:val="-3"/>
                <w:sz w:val="21"/>
                <w:szCs w:val="21"/>
                <w:highlight w:val="none"/>
              </w:rPr>
              <w:t>法 GB/T</w:t>
            </w:r>
            <w:r>
              <w:rPr>
                <w:rFonts w:hint="default" w:ascii="Times New Roman" w:hAnsi="Times New Roman" w:eastAsia="宋体" w:cs="Times New Roman"/>
                <w:color w:val="000008"/>
                <w:spacing w:val="31"/>
                <w:sz w:val="21"/>
                <w:szCs w:val="21"/>
                <w:highlight w:val="none"/>
              </w:rPr>
              <w:t xml:space="preserve"> </w:t>
            </w:r>
            <w:r>
              <w:rPr>
                <w:rFonts w:hint="default" w:ascii="Times New Roman" w:hAnsi="Times New Roman" w:eastAsia="宋体" w:cs="Times New Roman"/>
                <w:color w:val="000008"/>
                <w:spacing w:val="-3"/>
                <w:sz w:val="21"/>
                <w:szCs w:val="21"/>
                <w:highlight w:val="none"/>
              </w:rPr>
              <w:t>11905-1989</w:t>
            </w:r>
          </w:p>
        </w:tc>
        <w:tc>
          <w:tcPr>
            <w:tcW w:w="1004" w:type="pct"/>
            <w:tcBorders>
              <w:tl2br w:val="nil"/>
              <w:tr2bl w:val="nil"/>
            </w:tcBorders>
            <w:noWrap w:val="0"/>
            <w:vAlign w:val="center"/>
          </w:tcPr>
          <w:p w14:paraId="1528D65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380C89B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0.002</w:t>
            </w:r>
            <w:r>
              <w:rPr>
                <w:rFonts w:hint="default" w:ascii="Times New Roman" w:hAnsi="Times New Roman" w:eastAsia="宋体" w:cs="Times New Roman"/>
                <w:color w:val="000000"/>
                <w:sz w:val="21"/>
                <w:szCs w:val="21"/>
                <w:highlight w:val="none"/>
                <w:lang w:val="en-US" w:eastAsia="zh-CN" w:bidi="ar-SA"/>
              </w:rPr>
              <w:t>mg/L</w:t>
            </w:r>
          </w:p>
        </w:tc>
      </w:tr>
      <w:tr w14:paraId="4467A5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0140E1E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7B03DA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硫化物</w:t>
            </w:r>
          </w:p>
        </w:tc>
        <w:tc>
          <w:tcPr>
            <w:tcW w:w="1876" w:type="pct"/>
            <w:tcBorders>
              <w:tl2br w:val="nil"/>
              <w:tr2bl w:val="nil"/>
            </w:tcBorders>
            <w:noWrap w:val="0"/>
            <w:vAlign w:val="center"/>
          </w:tcPr>
          <w:p w14:paraId="2229ABD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8"/>
                <w:spacing w:val="-2"/>
                <w:sz w:val="21"/>
                <w:szCs w:val="21"/>
                <w:highlight w:val="none"/>
              </w:rPr>
            </w:pPr>
            <w:r>
              <w:rPr>
                <w:rFonts w:hint="default" w:ascii="Times New Roman" w:hAnsi="Times New Roman" w:eastAsia="宋体" w:cs="Times New Roman"/>
                <w:color w:val="000007"/>
                <w:spacing w:val="1"/>
                <w:sz w:val="21"/>
                <w:szCs w:val="21"/>
                <w:highlight w:val="none"/>
              </w:rPr>
              <w:t>水质硫化物的测定亚甲基蓝分光光度</w:t>
            </w:r>
            <w:r>
              <w:rPr>
                <w:rFonts w:hint="default" w:ascii="Times New Roman" w:hAnsi="Times New Roman" w:eastAsia="宋体" w:cs="Times New Roman"/>
                <w:color w:val="000007"/>
                <w:spacing w:val="55"/>
                <w:sz w:val="21"/>
                <w:szCs w:val="21"/>
                <w:highlight w:val="none"/>
              </w:rPr>
              <w:t>法</w:t>
            </w:r>
            <w:r>
              <w:rPr>
                <w:rFonts w:hint="default" w:ascii="Times New Roman" w:hAnsi="Times New Roman" w:eastAsia="宋体" w:cs="Times New Roman"/>
                <w:color w:val="000007"/>
                <w:sz w:val="21"/>
                <w:szCs w:val="21"/>
                <w:highlight w:val="none"/>
              </w:rPr>
              <w:t xml:space="preserve">HJ </w:t>
            </w:r>
            <w:r>
              <w:rPr>
                <w:rFonts w:hint="default" w:ascii="Times New Roman" w:hAnsi="Times New Roman" w:eastAsia="宋体" w:cs="Times New Roman"/>
                <w:color w:val="000007"/>
                <w:sz w:val="21"/>
                <w:szCs w:val="21"/>
                <w:highlight w:val="none"/>
                <w:lang w:val="en-US" w:eastAsia="zh-CN"/>
              </w:rPr>
              <w:t>1226</w:t>
            </w:r>
            <w:r>
              <w:rPr>
                <w:rFonts w:hint="default" w:ascii="Times New Roman" w:hAnsi="Times New Roman" w:eastAsia="宋体" w:cs="Times New Roman"/>
                <w:color w:val="000007"/>
                <w:sz w:val="21"/>
                <w:szCs w:val="21"/>
                <w:highlight w:val="none"/>
              </w:rPr>
              <w:t>-20</w:t>
            </w:r>
            <w:r>
              <w:rPr>
                <w:rFonts w:hint="default" w:ascii="Times New Roman" w:hAnsi="Times New Roman" w:eastAsia="宋体" w:cs="Times New Roman"/>
                <w:color w:val="000007"/>
                <w:sz w:val="21"/>
                <w:szCs w:val="21"/>
                <w:highlight w:val="none"/>
                <w:lang w:val="en-US" w:eastAsia="zh-CN"/>
              </w:rPr>
              <w:t>21</w:t>
            </w:r>
          </w:p>
        </w:tc>
        <w:tc>
          <w:tcPr>
            <w:tcW w:w="1004" w:type="pct"/>
            <w:tcBorders>
              <w:tl2br w:val="nil"/>
              <w:tr2bl w:val="nil"/>
            </w:tcBorders>
            <w:noWrap w:val="0"/>
            <w:vAlign w:val="center"/>
          </w:tcPr>
          <w:p w14:paraId="698B512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rPr>
              <w:t>T6新世纪紫外可见分光光度计BZX/YQ-012</w:t>
            </w:r>
          </w:p>
        </w:tc>
        <w:tc>
          <w:tcPr>
            <w:tcW w:w="864" w:type="pct"/>
            <w:tcBorders>
              <w:tl2br w:val="nil"/>
              <w:tr2bl w:val="nil"/>
            </w:tcBorders>
            <w:noWrap w:val="0"/>
            <w:vAlign w:val="center"/>
          </w:tcPr>
          <w:p w14:paraId="70C42BE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0.003</w:t>
            </w:r>
            <w:r>
              <w:rPr>
                <w:rFonts w:hint="default" w:ascii="Times New Roman" w:hAnsi="Times New Roman" w:eastAsia="宋体" w:cs="Times New Roman"/>
                <w:sz w:val="21"/>
                <w:szCs w:val="21"/>
                <w:highlight w:val="none"/>
              </w:rPr>
              <w:t>mg/L</w:t>
            </w:r>
          </w:p>
        </w:tc>
      </w:tr>
      <w:tr w14:paraId="2CF3A2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37" w:type="pct"/>
            <w:vMerge w:val="continue"/>
            <w:tcBorders>
              <w:tl2br w:val="nil"/>
              <w:tr2bl w:val="nil"/>
            </w:tcBorders>
            <w:noWrap w:val="0"/>
            <w:vAlign w:val="center"/>
          </w:tcPr>
          <w:p w14:paraId="11B44D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607CD08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bidi="ar-SA"/>
              </w:rPr>
              <w:t>硝酸盐（以N计）</w:t>
            </w:r>
          </w:p>
        </w:tc>
        <w:tc>
          <w:tcPr>
            <w:tcW w:w="1876" w:type="pct"/>
            <w:tcBorders>
              <w:tl2br w:val="nil"/>
              <w:tr2bl w:val="nil"/>
            </w:tcBorders>
            <w:noWrap w:val="0"/>
            <w:vAlign w:val="center"/>
          </w:tcPr>
          <w:p w14:paraId="6D2743F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spacing w:val="1"/>
                <w:sz w:val="21"/>
                <w:szCs w:val="21"/>
                <w:highlight w:val="none"/>
              </w:rPr>
            </w:pPr>
            <w:r>
              <w:rPr>
                <w:rFonts w:hint="default" w:ascii="Times New Roman" w:hAnsi="Times New Roman" w:eastAsia="宋体" w:cs="Times New Roman"/>
                <w:color w:val="auto"/>
                <w:sz w:val="21"/>
                <w:szCs w:val="21"/>
                <w:highlight w:val="none"/>
              </w:rPr>
              <w:t>生活饮用水标准检 验方法 第 5 部分：无机非金属指标</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（8.2 硝酸盐 紫外分光光度法） GB/T5750.5-2023</w:t>
            </w:r>
          </w:p>
        </w:tc>
        <w:tc>
          <w:tcPr>
            <w:tcW w:w="1004" w:type="pct"/>
            <w:tcBorders>
              <w:tl2br w:val="nil"/>
              <w:tr2bl w:val="nil"/>
            </w:tcBorders>
            <w:noWrap w:val="0"/>
            <w:vAlign w:val="center"/>
          </w:tcPr>
          <w:p w14:paraId="0A622B2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337C996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w:t>
            </w:r>
            <w:r>
              <w:rPr>
                <w:rFonts w:hint="default" w:ascii="Times New Roman" w:hAnsi="Times New Roman" w:eastAsia="宋体" w:cs="Times New Roman"/>
                <w:sz w:val="21"/>
                <w:szCs w:val="21"/>
                <w:highlight w:val="none"/>
              </w:rPr>
              <w:t>mg/L</w:t>
            </w:r>
          </w:p>
        </w:tc>
      </w:tr>
      <w:tr w14:paraId="1ACF0E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ADC51D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318D7C4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bidi="ar-SA"/>
              </w:rPr>
              <w:t>亚硝酸盐（以N计）</w:t>
            </w:r>
          </w:p>
        </w:tc>
        <w:tc>
          <w:tcPr>
            <w:tcW w:w="1876" w:type="pct"/>
            <w:tcBorders>
              <w:tl2br w:val="nil"/>
              <w:tr2bl w:val="nil"/>
            </w:tcBorders>
            <w:noWrap w:val="0"/>
            <w:vAlign w:val="center"/>
          </w:tcPr>
          <w:p w14:paraId="379650E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生活饮用水标准检 验方法 第 5 部分： 无机非金属指标  （12.1 亚硝酸盐 重氮偶合分光光度法） </w:t>
            </w:r>
          </w:p>
          <w:p w14:paraId="0B608E4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spacing w:val="1"/>
                <w:sz w:val="21"/>
                <w:szCs w:val="21"/>
                <w:highlight w:val="none"/>
              </w:rPr>
            </w:pPr>
            <w:r>
              <w:rPr>
                <w:rFonts w:hint="default" w:ascii="Times New Roman" w:hAnsi="Times New Roman" w:eastAsia="宋体" w:cs="Times New Roman"/>
                <w:color w:val="auto"/>
                <w:sz w:val="21"/>
                <w:szCs w:val="21"/>
                <w:highlight w:val="none"/>
              </w:rPr>
              <w:t>GB/T  5750.5-2023</w:t>
            </w:r>
          </w:p>
        </w:tc>
        <w:tc>
          <w:tcPr>
            <w:tcW w:w="1004" w:type="pct"/>
            <w:tcBorders>
              <w:tl2br w:val="nil"/>
              <w:tr2bl w:val="nil"/>
            </w:tcBorders>
            <w:noWrap w:val="0"/>
            <w:vAlign w:val="center"/>
          </w:tcPr>
          <w:p w14:paraId="6E4685C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712FBA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w:t>
            </w:r>
            <w:r>
              <w:rPr>
                <w:rFonts w:hint="default" w:ascii="Times New Roman" w:hAnsi="Times New Roman" w:eastAsia="宋体" w:cs="Times New Roman"/>
                <w:sz w:val="21"/>
                <w:szCs w:val="21"/>
                <w:highlight w:val="none"/>
              </w:rPr>
              <w:t>mg/L</w:t>
            </w:r>
          </w:p>
        </w:tc>
      </w:tr>
      <w:tr w14:paraId="08B55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6D20950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69074DE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碳酸根</w:t>
            </w:r>
          </w:p>
        </w:tc>
        <w:tc>
          <w:tcPr>
            <w:tcW w:w="1876" w:type="pct"/>
            <w:tcBorders>
              <w:tl2br w:val="nil"/>
              <w:tr2bl w:val="nil"/>
            </w:tcBorders>
            <w:noWrap w:val="0"/>
            <w:vAlign w:val="center"/>
          </w:tcPr>
          <w:p w14:paraId="37C071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pacing w:val="-2"/>
                <w:sz w:val="21"/>
                <w:szCs w:val="21"/>
                <w:highlight w:val="none"/>
              </w:rPr>
            </w:pPr>
            <w:r>
              <w:rPr>
                <w:rFonts w:hint="default" w:ascii="Times New Roman" w:hAnsi="Times New Roman" w:eastAsia="宋体" w:cs="Times New Roman"/>
                <w:spacing w:val="-2"/>
                <w:sz w:val="21"/>
                <w:szCs w:val="21"/>
                <w:highlight w:val="none"/>
              </w:rPr>
              <w:t>地下水质检验方法 滴定法测定碳酸根、重碳酸根和氢氧根</w:t>
            </w:r>
          </w:p>
          <w:p w14:paraId="26E07F70">
            <w:pPr>
              <w:keepNext w:val="0"/>
              <w:keepLines w:val="0"/>
              <w:pageBreakBefore w:val="0"/>
              <w:widowControl w:val="0"/>
              <w:kinsoku/>
              <w:wordWrap/>
              <w:overflowPunct/>
              <w:topLinePunct w:val="0"/>
              <w:autoSpaceDE/>
              <w:autoSpaceDN/>
              <w:bidi w:val="0"/>
              <w:adjustRightInd/>
              <w:snapToGrid/>
              <w:spacing w:line="240" w:lineRule="auto"/>
              <w:ind w:left="215" w:firstLine="0" w:firstLineChars="0"/>
              <w:jc w:val="center"/>
              <w:textAlignment w:val="auto"/>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spacing w:val="-2"/>
                <w:sz w:val="21"/>
                <w:szCs w:val="21"/>
                <w:highlight w:val="none"/>
              </w:rPr>
              <w:t>DZ/T 0064.49-1993</w:t>
            </w:r>
          </w:p>
        </w:tc>
        <w:tc>
          <w:tcPr>
            <w:tcW w:w="1004" w:type="pct"/>
            <w:tcBorders>
              <w:tl2br w:val="nil"/>
              <w:tr2bl w:val="nil"/>
            </w:tcBorders>
            <w:noWrap w:val="0"/>
            <w:vAlign w:val="center"/>
          </w:tcPr>
          <w:p w14:paraId="499E0C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酸式滴定管50mL</w:t>
            </w:r>
          </w:p>
        </w:tc>
        <w:tc>
          <w:tcPr>
            <w:tcW w:w="864" w:type="pct"/>
            <w:tcBorders>
              <w:tl2br w:val="nil"/>
              <w:tr2bl w:val="nil"/>
            </w:tcBorders>
            <w:noWrap w:val="0"/>
            <w:vAlign w:val="center"/>
          </w:tcPr>
          <w:p w14:paraId="6A9A3E7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r>
              <w:rPr>
                <w:rFonts w:hint="default" w:ascii="Times New Roman" w:hAnsi="Times New Roman" w:eastAsia="宋体" w:cs="Times New Roman"/>
                <w:color w:val="000000"/>
                <w:sz w:val="21"/>
                <w:szCs w:val="21"/>
                <w:highlight w:val="none"/>
                <w:lang w:val="en-US" w:eastAsia="zh-CN" w:bidi="ar-SA"/>
              </w:rPr>
              <w:t>mg/L</w:t>
            </w:r>
          </w:p>
        </w:tc>
      </w:tr>
      <w:tr w14:paraId="0F84B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306BD40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4A8DC9E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重碳酸根</w:t>
            </w:r>
          </w:p>
        </w:tc>
        <w:tc>
          <w:tcPr>
            <w:tcW w:w="1876" w:type="pct"/>
            <w:tcBorders>
              <w:tl2br w:val="nil"/>
              <w:tr2bl w:val="nil"/>
            </w:tcBorders>
            <w:noWrap w:val="0"/>
            <w:vAlign w:val="center"/>
          </w:tcPr>
          <w:p w14:paraId="4D7929E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pacing w:val="-2"/>
                <w:sz w:val="21"/>
                <w:szCs w:val="21"/>
                <w:highlight w:val="none"/>
              </w:rPr>
            </w:pPr>
            <w:r>
              <w:rPr>
                <w:rFonts w:hint="default" w:ascii="Times New Roman" w:hAnsi="Times New Roman" w:eastAsia="宋体" w:cs="Times New Roman"/>
                <w:spacing w:val="-2"/>
                <w:sz w:val="21"/>
                <w:szCs w:val="21"/>
                <w:highlight w:val="none"/>
              </w:rPr>
              <w:t>地下水质检验方法 滴定法测定碳酸根、重碳酸根和氢氧根</w:t>
            </w:r>
          </w:p>
          <w:p w14:paraId="0907C88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spacing w:val="-2"/>
                <w:sz w:val="21"/>
                <w:szCs w:val="21"/>
                <w:highlight w:val="none"/>
              </w:rPr>
              <w:t>DZ/T 0064.49-1993</w:t>
            </w:r>
          </w:p>
        </w:tc>
        <w:tc>
          <w:tcPr>
            <w:tcW w:w="1004" w:type="pct"/>
            <w:tcBorders>
              <w:tl2br w:val="nil"/>
              <w:tr2bl w:val="nil"/>
            </w:tcBorders>
            <w:noWrap w:val="0"/>
            <w:vAlign w:val="center"/>
          </w:tcPr>
          <w:p w14:paraId="5FCA77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酸式滴定管50mL</w:t>
            </w:r>
          </w:p>
        </w:tc>
        <w:tc>
          <w:tcPr>
            <w:tcW w:w="864" w:type="pct"/>
            <w:tcBorders>
              <w:tl2br w:val="nil"/>
              <w:tr2bl w:val="nil"/>
            </w:tcBorders>
            <w:noWrap w:val="0"/>
            <w:vAlign w:val="center"/>
          </w:tcPr>
          <w:p w14:paraId="219DE27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bidi="ar-SA"/>
              </w:rPr>
              <w:t>5mg/L</w:t>
            </w:r>
          </w:p>
        </w:tc>
      </w:tr>
      <w:tr w14:paraId="25C05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EABCB7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0B56227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氯化物</w:t>
            </w:r>
          </w:p>
        </w:tc>
        <w:tc>
          <w:tcPr>
            <w:tcW w:w="1876" w:type="pct"/>
            <w:tcBorders>
              <w:tl2br w:val="nil"/>
              <w:tr2bl w:val="nil"/>
            </w:tcBorders>
            <w:noWrap w:val="0"/>
            <w:vAlign w:val="center"/>
          </w:tcPr>
          <w:p w14:paraId="3813E6D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8"/>
                <w:spacing w:val="-2"/>
                <w:sz w:val="21"/>
                <w:szCs w:val="21"/>
                <w:highlight w:val="none"/>
              </w:rPr>
            </w:pPr>
            <w:r>
              <w:rPr>
                <w:rFonts w:hint="default" w:ascii="Times New Roman" w:hAnsi="Times New Roman" w:eastAsia="宋体" w:cs="Times New Roman"/>
                <w:color w:val="000008"/>
                <w:spacing w:val="-2"/>
                <w:sz w:val="21"/>
                <w:szCs w:val="21"/>
                <w:highlight w:val="none"/>
              </w:rPr>
              <w:t>生活饮用水标准检验方法 第 5 部分：无机非金属指标（5.1 氯化物 硝酸银容量法）</w:t>
            </w:r>
          </w:p>
          <w:p w14:paraId="3C8328E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2"/>
                <w:sz w:val="21"/>
                <w:szCs w:val="21"/>
                <w:highlight w:val="none"/>
              </w:rPr>
              <w:t>GB/T 5750.5-2023</w:t>
            </w:r>
          </w:p>
        </w:tc>
        <w:tc>
          <w:tcPr>
            <w:tcW w:w="1004" w:type="pct"/>
            <w:tcBorders>
              <w:tl2br w:val="nil"/>
              <w:tr2bl w:val="nil"/>
            </w:tcBorders>
            <w:noWrap w:val="0"/>
            <w:vAlign w:val="center"/>
          </w:tcPr>
          <w:p w14:paraId="6607B7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酸式滴定管50mL</w:t>
            </w:r>
          </w:p>
        </w:tc>
        <w:tc>
          <w:tcPr>
            <w:tcW w:w="864" w:type="pct"/>
            <w:tcBorders>
              <w:tl2br w:val="nil"/>
              <w:tr2bl w:val="nil"/>
            </w:tcBorders>
            <w:noWrap w:val="0"/>
            <w:vAlign w:val="center"/>
          </w:tcPr>
          <w:p w14:paraId="17E757D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w:t>
            </w:r>
            <w:r>
              <w:rPr>
                <w:rFonts w:hint="default" w:ascii="Times New Roman" w:hAnsi="Times New Roman" w:eastAsia="宋体" w:cs="Times New Roman"/>
                <w:sz w:val="21"/>
                <w:szCs w:val="21"/>
                <w:highlight w:val="none"/>
              </w:rPr>
              <w:t>mg/L</w:t>
            </w:r>
          </w:p>
        </w:tc>
      </w:tr>
      <w:tr w14:paraId="09DB1B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723CD5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D083B3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硫酸盐</w:t>
            </w:r>
          </w:p>
        </w:tc>
        <w:tc>
          <w:tcPr>
            <w:tcW w:w="1876" w:type="pct"/>
            <w:tcBorders>
              <w:tl2br w:val="nil"/>
              <w:tr2bl w:val="nil"/>
            </w:tcBorders>
            <w:noWrap w:val="0"/>
            <w:vAlign w:val="center"/>
          </w:tcPr>
          <w:p w14:paraId="210973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8"/>
                <w:spacing w:val="-3"/>
                <w:sz w:val="21"/>
                <w:szCs w:val="21"/>
                <w:highlight w:val="none"/>
              </w:rPr>
            </w:pPr>
            <w:r>
              <w:rPr>
                <w:rFonts w:hint="default" w:ascii="Times New Roman" w:hAnsi="Times New Roman" w:eastAsia="宋体" w:cs="Times New Roman"/>
                <w:color w:val="000008"/>
                <w:spacing w:val="-2"/>
                <w:sz w:val="21"/>
                <w:szCs w:val="21"/>
                <w:highlight w:val="none"/>
              </w:rPr>
              <w:t>水质 硫酸盐的测定 铬酸钡分光光度法</w:t>
            </w:r>
            <w:r>
              <w:rPr>
                <w:rFonts w:hint="default" w:ascii="Times New Roman" w:hAnsi="Times New Roman" w:eastAsia="宋体" w:cs="Times New Roman"/>
                <w:color w:val="000008"/>
                <w:spacing w:val="11"/>
                <w:sz w:val="21"/>
                <w:szCs w:val="21"/>
                <w:highlight w:val="none"/>
              </w:rPr>
              <w:t xml:space="preserve"> </w:t>
            </w:r>
            <w:r>
              <w:rPr>
                <w:rFonts w:hint="default" w:ascii="Times New Roman" w:hAnsi="Times New Roman" w:eastAsia="宋体" w:cs="Times New Roman"/>
                <w:color w:val="000008"/>
                <w:spacing w:val="-3"/>
                <w:sz w:val="21"/>
                <w:szCs w:val="21"/>
                <w:highlight w:val="none"/>
              </w:rPr>
              <w:t>（试行）</w:t>
            </w:r>
          </w:p>
          <w:p w14:paraId="7F01FCA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8"/>
                <w:spacing w:val="-3"/>
                <w:sz w:val="21"/>
                <w:szCs w:val="21"/>
                <w:highlight w:val="none"/>
              </w:rPr>
              <w:t>HJ/T 342-2007</w:t>
            </w:r>
          </w:p>
        </w:tc>
        <w:tc>
          <w:tcPr>
            <w:tcW w:w="1004" w:type="pct"/>
            <w:tcBorders>
              <w:tl2br w:val="nil"/>
              <w:tr2bl w:val="nil"/>
            </w:tcBorders>
            <w:noWrap w:val="0"/>
            <w:vAlign w:val="center"/>
          </w:tcPr>
          <w:p w14:paraId="7D1AC5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5AC3309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bidi="ar-SA"/>
              </w:rPr>
              <w:t>8mg/L</w:t>
            </w:r>
          </w:p>
        </w:tc>
      </w:tr>
      <w:tr w14:paraId="17010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1530201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563558D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pH值</w:t>
            </w:r>
          </w:p>
        </w:tc>
        <w:tc>
          <w:tcPr>
            <w:tcW w:w="1876" w:type="pct"/>
            <w:tcBorders>
              <w:tl2br w:val="nil"/>
              <w:tr2bl w:val="nil"/>
            </w:tcBorders>
            <w:noWrap w:val="0"/>
            <w:vAlign w:val="center"/>
          </w:tcPr>
          <w:p w14:paraId="6BE380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水质 pH值的测定 电极法 </w:t>
            </w:r>
          </w:p>
          <w:p w14:paraId="6C2A99B5">
            <w:pPr>
              <w:keepNext w:val="0"/>
              <w:keepLines w:val="0"/>
              <w:pageBreakBefore w:val="0"/>
              <w:widowControl/>
              <w:suppressLineNumbers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8"/>
                <w:spacing w:val="-3"/>
                <w:position w:val="-2"/>
                <w:sz w:val="21"/>
                <w:szCs w:val="21"/>
                <w:highlight w:val="none"/>
              </w:rPr>
            </w:pPr>
            <w:r>
              <w:rPr>
                <w:rFonts w:hint="default" w:ascii="Times New Roman" w:hAnsi="Times New Roman" w:eastAsia="宋体" w:cs="Times New Roman"/>
                <w:color w:val="auto"/>
                <w:sz w:val="21"/>
                <w:szCs w:val="21"/>
                <w:highlight w:val="none"/>
              </w:rPr>
              <w:t>HJ 1147-2020</w:t>
            </w:r>
          </w:p>
        </w:tc>
        <w:tc>
          <w:tcPr>
            <w:tcW w:w="1004" w:type="pct"/>
            <w:tcBorders>
              <w:tl2br w:val="nil"/>
              <w:tr2bl w:val="nil"/>
            </w:tcBorders>
            <w:noWrap w:val="0"/>
            <w:vAlign w:val="center"/>
          </w:tcPr>
          <w:p w14:paraId="2A04CBE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rPr>
              <w:t>PHBJ-260便携式pH计BZX/YQ-</w:t>
            </w:r>
            <w:r>
              <w:rPr>
                <w:rFonts w:hint="default" w:ascii="Times New Roman" w:hAnsi="Times New Roman" w:eastAsia="宋体" w:cs="Times New Roman"/>
                <w:color w:val="auto"/>
                <w:sz w:val="21"/>
                <w:szCs w:val="21"/>
                <w:highlight w:val="none"/>
                <w:lang w:val="en-US" w:eastAsia="zh-CN"/>
              </w:rPr>
              <w:t>168</w:t>
            </w:r>
          </w:p>
        </w:tc>
        <w:tc>
          <w:tcPr>
            <w:tcW w:w="864" w:type="pct"/>
            <w:tcBorders>
              <w:tl2br w:val="nil"/>
              <w:tr2bl w:val="nil"/>
            </w:tcBorders>
            <w:noWrap w:val="0"/>
            <w:vAlign w:val="center"/>
          </w:tcPr>
          <w:p w14:paraId="22A4A55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rPr>
              <w:t>/</w:t>
            </w:r>
          </w:p>
        </w:tc>
      </w:tr>
      <w:tr w14:paraId="193D93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05D53C5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4FAA060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高锰酸盐指数（以O</w:t>
            </w:r>
            <w:r>
              <w:rPr>
                <w:rFonts w:hint="default" w:ascii="Times New Roman" w:hAnsi="Times New Roman" w:eastAsia="宋体" w:cs="Times New Roman"/>
                <w:color w:val="000000"/>
                <w:sz w:val="21"/>
                <w:szCs w:val="21"/>
                <w:highlight w:val="none"/>
                <w:vertAlign w:val="subscript"/>
                <w:lang w:val="en-US" w:eastAsia="zh-CN" w:bidi="ar-SA"/>
              </w:rPr>
              <w:t>2</w:t>
            </w:r>
            <w:r>
              <w:rPr>
                <w:rFonts w:hint="default" w:ascii="Times New Roman" w:hAnsi="Times New Roman" w:eastAsia="宋体" w:cs="Times New Roman"/>
                <w:color w:val="000000"/>
                <w:sz w:val="21"/>
                <w:szCs w:val="21"/>
                <w:highlight w:val="none"/>
                <w:lang w:val="en-US" w:eastAsia="zh-CN" w:bidi="ar-SA"/>
              </w:rPr>
              <w:t>计）</w:t>
            </w:r>
          </w:p>
        </w:tc>
        <w:tc>
          <w:tcPr>
            <w:tcW w:w="1876" w:type="pct"/>
            <w:tcBorders>
              <w:tl2br w:val="nil"/>
              <w:tr2bl w:val="nil"/>
            </w:tcBorders>
            <w:noWrap w:val="0"/>
            <w:vAlign w:val="center"/>
          </w:tcPr>
          <w:p w14:paraId="116C01E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生活饮用水标准检 验方法 第 7 部分： 有机物综合指标  （4.1 高锰酸盐指数 酸性高锰酸钾滴 定法） GB/T5750.7-2023</w:t>
            </w:r>
          </w:p>
        </w:tc>
        <w:tc>
          <w:tcPr>
            <w:tcW w:w="1004" w:type="pct"/>
            <w:tcBorders>
              <w:tl2br w:val="nil"/>
              <w:tr2bl w:val="nil"/>
            </w:tcBorders>
            <w:noWrap w:val="0"/>
            <w:vAlign w:val="center"/>
          </w:tcPr>
          <w:p w14:paraId="36C8D4C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酸式滴定管50mL</w:t>
            </w:r>
          </w:p>
        </w:tc>
        <w:tc>
          <w:tcPr>
            <w:tcW w:w="864" w:type="pct"/>
            <w:tcBorders>
              <w:tl2br w:val="nil"/>
              <w:tr2bl w:val="nil"/>
            </w:tcBorders>
            <w:noWrap w:val="0"/>
            <w:vAlign w:val="center"/>
          </w:tcPr>
          <w:p w14:paraId="27008AD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0.05</w:t>
            </w:r>
            <w:r>
              <w:rPr>
                <w:rFonts w:hint="default" w:ascii="Times New Roman" w:hAnsi="Times New Roman" w:eastAsia="宋体" w:cs="Times New Roman"/>
                <w:sz w:val="21"/>
                <w:szCs w:val="21"/>
                <w:highlight w:val="none"/>
              </w:rPr>
              <w:t>mg/L</w:t>
            </w:r>
          </w:p>
        </w:tc>
      </w:tr>
      <w:tr w14:paraId="31599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176C473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549513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rPr>
              <w:t>氨氮</w:t>
            </w:r>
          </w:p>
        </w:tc>
        <w:tc>
          <w:tcPr>
            <w:tcW w:w="1876" w:type="pct"/>
            <w:tcBorders>
              <w:tl2br w:val="nil"/>
              <w:tr2bl w:val="nil"/>
            </w:tcBorders>
            <w:noWrap w:val="0"/>
            <w:vAlign w:val="center"/>
          </w:tcPr>
          <w:p w14:paraId="6B678C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水质 氨氮的测定 纳氏试剂分光光度法 HJ 535-2009</w:t>
            </w:r>
          </w:p>
        </w:tc>
        <w:tc>
          <w:tcPr>
            <w:tcW w:w="1004" w:type="pct"/>
            <w:tcBorders>
              <w:tl2br w:val="nil"/>
              <w:tr2bl w:val="nil"/>
            </w:tcBorders>
            <w:noWrap w:val="0"/>
            <w:vAlign w:val="center"/>
          </w:tcPr>
          <w:p w14:paraId="783BEE6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7CA8F60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0.025mg/L</w:t>
            </w:r>
          </w:p>
        </w:tc>
      </w:tr>
      <w:tr w14:paraId="0355E0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1C399E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76143B9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挥发酚（类）</w:t>
            </w:r>
          </w:p>
        </w:tc>
        <w:tc>
          <w:tcPr>
            <w:tcW w:w="1876" w:type="pct"/>
            <w:tcBorders>
              <w:tl2br w:val="nil"/>
              <w:tr2bl w:val="nil"/>
            </w:tcBorders>
            <w:noWrap w:val="0"/>
            <w:vAlign w:val="center"/>
          </w:tcPr>
          <w:p w14:paraId="3C1AB9A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8"/>
                <w:spacing w:val="-1"/>
                <w:sz w:val="21"/>
                <w:szCs w:val="21"/>
                <w:highlight w:val="none"/>
              </w:rPr>
            </w:pPr>
            <w:r>
              <w:rPr>
                <w:rFonts w:hint="default" w:ascii="Times New Roman" w:hAnsi="Times New Roman" w:eastAsia="宋体" w:cs="Times New Roman"/>
                <w:color w:val="000008"/>
                <w:spacing w:val="-2"/>
                <w:sz w:val="21"/>
                <w:szCs w:val="21"/>
                <w:highlight w:val="none"/>
              </w:rPr>
              <w:t>水质 挥发酚的测定 4-氨基安替比林分</w:t>
            </w:r>
            <w:r>
              <w:rPr>
                <w:rFonts w:hint="default" w:ascii="Times New Roman" w:hAnsi="Times New Roman" w:eastAsia="宋体" w:cs="Times New Roman"/>
                <w:color w:val="000008"/>
                <w:spacing w:val="-1"/>
                <w:sz w:val="21"/>
                <w:szCs w:val="21"/>
                <w:highlight w:val="none"/>
              </w:rPr>
              <w:t>光光度法</w:t>
            </w:r>
          </w:p>
          <w:p w14:paraId="6D71CAB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8"/>
                <w:spacing w:val="-1"/>
                <w:sz w:val="21"/>
                <w:szCs w:val="21"/>
                <w:highlight w:val="none"/>
              </w:rPr>
              <w:t xml:space="preserve"> HJ 503-2009</w:t>
            </w:r>
          </w:p>
        </w:tc>
        <w:tc>
          <w:tcPr>
            <w:tcW w:w="1004" w:type="pct"/>
            <w:tcBorders>
              <w:tl2br w:val="nil"/>
              <w:tr2bl w:val="nil"/>
            </w:tcBorders>
            <w:noWrap w:val="0"/>
            <w:vAlign w:val="center"/>
          </w:tcPr>
          <w:p w14:paraId="5D766E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43F2C4D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0.0003</w:t>
            </w:r>
          </w:p>
          <w:p w14:paraId="397AF2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mg/L</w:t>
            </w:r>
          </w:p>
        </w:tc>
      </w:tr>
      <w:tr w14:paraId="46144A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00ABAF5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710A259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氰化物</w:t>
            </w:r>
          </w:p>
        </w:tc>
        <w:tc>
          <w:tcPr>
            <w:tcW w:w="1876" w:type="pct"/>
            <w:tcBorders>
              <w:tl2br w:val="nil"/>
              <w:tr2bl w:val="nil"/>
            </w:tcBorders>
            <w:noWrap w:val="0"/>
            <w:vAlign w:val="center"/>
          </w:tcPr>
          <w:p w14:paraId="5FD2B6EC">
            <w:pPr>
              <w:keepNext w:val="0"/>
              <w:keepLines w:val="0"/>
              <w:pageBreakBefore w:val="0"/>
              <w:kinsoku/>
              <w:wordWrap/>
              <w:overflowPunct/>
              <w:topLinePunct w:val="0"/>
              <w:autoSpaceDE/>
              <w:autoSpaceDN/>
              <w:bidi w:val="0"/>
              <w:adjustRightInd/>
              <w:snapToGrid/>
              <w:spacing w:line="240" w:lineRule="auto"/>
              <w:ind w:left="160" w:right="209"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pacing w:val="-2"/>
                <w:sz w:val="21"/>
                <w:szCs w:val="21"/>
                <w:highlight w:val="none"/>
              </w:rPr>
              <w:t>生活饮用水标准检</w:t>
            </w:r>
            <w:r>
              <w:rPr>
                <w:rFonts w:hint="default" w:ascii="Times New Roman" w:hAnsi="Times New Roman" w:eastAsia="宋体" w:cs="Times New Roman"/>
                <w:spacing w:val="3"/>
                <w:sz w:val="21"/>
                <w:szCs w:val="21"/>
                <w:highlight w:val="none"/>
              </w:rPr>
              <w:t xml:space="preserve"> </w:t>
            </w:r>
            <w:r>
              <w:rPr>
                <w:rFonts w:hint="default" w:ascii="Times New Roman" w:hAnsi="Times New Roman" w:eastAsia="宋体" w:cs="Times New Roman"/>
                <w:spacing w:val="-11"/>
                <w:sz w:val="21"/>
                <w:szCs w:val="21"/>
                <w:highlight w:val="none"/>
              </w:rPr>
              <w:t>验方法 第</w:t>
            </w:r>
            <w:r>
              <w:rPr>
                <w:rFonts w:hint="default" w:ascii="Times New Roman" w:hAnsi="Times New Roman" w:eastAsia="宋体" w:cs="Times New Roman"/>
                <w:spacing w:val="-38"/>
                <w:sz w:val="21"/>
                <w:szCs w:val="21"/>
                <w:highlight w:val="none"/>
              </w:rPr>
              <w:t xml:space="preserve"> </w:t>
            </w:r>
            <w:r>
              <w:rPr>
                <w:rFonts w:hint="default" w:ascii="Times New Roman" w:hAnsi="Times New Roman" w:eastAsia="宋体" w:cs="Times New Roman"/>
                <w:spacing w:val="-11"/>
                <w:sz w:val="21"/>
                <w:szCs w:val="21"/>
                <w:highlight w:val="none"/>
              </w:rPr>
              <w:t>5</w:t>
            </w:r>
            <w:r>
              <w:rPr>
                <w:rFonts w:hint="default" w:ascii="Times New Roman" w:hAnsi="Times New Roman" w:eastAsia="宋体" w:cs="Times New Roman"/>
                <w:spacing w:val="-48"/>
                <w:sz w:val="21"/>
                <w:szCs w:val="21"/>
                <w:highlight w:val="none"/>
              </w:rPr>
              <w:t xml:space="preserve"> </w:t>
            </w:r>
            <w:r>
              <w:rPr>
                <w:rFonts w:hint="default" w:ascii="Times New Roman" w:hAnsi="Times New Roman" w:eastAsia="宋体" w:cs="Times New Roman"/>
                <w:spacing w:val="-11"/>
                <w:sz w:val="21"/>
                <w:szCs w:val="21"/>
                <w:highlight w:val="none"/>
              </w:rPr>
              <w:t>部分：</w:t>
            </w:r>
            <w:r>
              <w:rPr>
                <w:rFonts w:hint="default" w:ascii="Times New Roman" w:hAnsi="Times New Roman" w:eastAsia="宋体" w:cs="Times New Roman"/>
                <w:spacing w:val="-2"/>
                <w:sz w:val="21"/>
                <w:szCs w:val="21"/>
                <w:highlight w:val="none"/>
              </w:rPr>
              <w:t>无机非金属指标</w:t>
            </w:r>
            <w:r>
              <w:rPr>
                <w:rFonts w:hint="default" w:ascii="Times New Roman" w:hAnsi="Times New Roman" w:eastAsia="宋体" w:cs="Times New Roman"/>
                <w:spacing w:val="-3"/>
                <w:sz w:val="21"/>
                <w:szCs w:val="21"/>
                <w:highlight w:val="none"/>
              </w:rPr>
              <w:t>（7.2 氰化物</w:t>
            </w:r>
            <w:r>
              <w:rPr>
                <w:rFonts w:hint="default" w:ascii="Times New Roman" w:hAnsi="Times New Roman" w:eastAsia="宋体" w:cs="Times New Roman"/>
                <w:spacing w:val="19"/>
                <w:sz w:val="21"/>
                <w:szCs w:val="21"/>
                <w:highlight w:val="none"/>
              </w:rPr>
              <w:t xml:space="preserve"> </w:t>
            </w:r>
            <w:r>
              <w:rPr>
                <w:rFonts w:hint="default" w:ascii="Times New Roman" w:hAnsi="Times New Roman" w:eastAsia="宋体" w:cs="Times New Roman"/>
                <w:spacing w:val="-3"/>
                <w:sz w:val="21"/>
                <w:szCs w:val="21"/>
                <w:highlight w:val="none"/>
              </w:rPr>
              <w:t>异烟</w:t>
            </w:r>
            <w:r>
              <w:rPr>
                <w:rFonts w:hint="default" w:ascii="Times New Roman" w:hAnsi="Times New Roman" w:eastAsia="宋体" w:cs="Times New Roman"/>
                <w:spacing w:val="-2"/>
                <w:sz w:val="21"/>
                <w:szCs w:val="21"/>
                <w:highlight w:val="none"/>
              </w:rPr>
              <w:t>酸-巴比妥酸分光光</w:t>
            </w:r>
            <w:r>
              <w:rPr>
                <w:rFonts w:hint="default" w:ascii="Times New Roman" w:hAnsi="Times New Roman" w:eastAsia="宋体" w:cs="Times New Roman"/>
                <w:spacing w:val="-1"/>
                <w:sz w:val="21"/>
                <w:szCs w:val="21"/>
                <w:highlight w:val="none"/>
              </w:rPr>
              <w:t>度法）GB/T</w:t>
            </w:r>
            <w:r>
              <w:rPr>
                <w:rFonts w:hint="default" w:ascii="Times New Roman" w:hAnsi="Times New Roman" w:eastAsia="宋体" w:cs="Times New Roman"/>
                <w:spacing w:val="-1"/>
                <w:sz w:val="21"/>
                <w:szCs w:val="21"/>
                <w:highlight w:val="none"/>
                <w:lang w:val="en-US" w:eastAsia="zh-CN"/>
              </w:rPr>
              <w:t xml:space="preserve"> </w:t>
            </w:r>
            <w:r>
              <w:rPr>
                <w:rFonts w:hint="default" w:ascii="Times New Roman" w:hAnsi="Times New Roman" w:eastAsia="宋体" w:cs="Times New Roman"/>
                <w:spacing w:val="-2"/>
                <w:sz w:val="21"/>
                <w:szCs w:val="21"/>
                <w:highlight w:val="none"/>
              </w:rPr>
              <w:t>5750.5-2023</w:t>
            </w:r>
          </w:p>
        </w:tc>
        <w:tc>
          <w:tcPr>
            <w:tcW w:w="1004" w:type="pct"/>
            <w:tcBorders>
              <w:tl2br w:val="nil"/>
              <w:tr2bl w:val="nil"/>
            </w:tcBorders>
            <w:noWrap w:val="0"/>
            <w:vAlign w:val="center"/>
          </w:tcPr>
          <w:p w14:paraId="74ED573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6ED71E1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0.002</w:t>
            </w:r>
            <w:r>
              <w:rPr>
                <w:rFonts w:hint="default" w:ascii="Times New Roman" w:hAnsi="Times New Roman" w:eastAsia="宋体" w:cs="Times New Roman"/>
                <w:sz w:val="21"/>
                <w:szCs w:val="21"/>
                <w:highlight w:val="none"/>
              </w:rPr>
              <w:t>mg/L</w:t>
            </w:r>
          </w:p>
        </w:tc>
      </w:tr>
      <w:tr w14:paraId="117F90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0F85AE6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63A8C89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总硬度</w:t>
            </w:r>
          </w:p>
        </w:tc>
        <w:tc>
          <w:tcPr>
            <w:tcW w:w="1876" w:type="pct"/>
            <w:tcBorders>
              <w:tl2br w:val="nil"/>
              <w:tr2bl w:val="nil"/>
            </w:tcBorders>
            <w:noWrap w:val="0"/>
            <w:vAlign w:val="center"/>
          </w:tcPr>
          <w:p w14:paraId="4559EFDA">
            <w:pPr>
              <w:keepNext w:val="0"/>
              <w:keepLines w:val="0"/>
              <w:pageBreakBefore w:val="0"/>
              <w:widowControl w:val="0"/>
              <w:kinsoku/>
              <w:wordWrap/>
              <w:overflowPunct/>
              <w:topLinePunct w:val="0"/>
              <w:autoSpaceDE/>
              <w:autoSpaceDN/>
              <w:bidi w:val="0"/>
              <w:adjustRightInd/>
              <w:snapToGrid/>
              <w:spacing w:line="240" w:lineRule="auto"/>
              <w:ind w:left="159" w:right="21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pacing w:val="-2"/>
                <w:sz w:val="21"/>
                <w:szCs w:val="21"/>
                <w:highlight w:val="none"/>
              </w:rPr>
              <w:t>生活饮用水标准检</w:t>
            </w:r>
            <w:r>
              <w:rPr>
                <w:rFonts w:hint="default" w:ascii="Times New Roman" w:hAnsi="Times New Roman" w:eastAsia="宋体" w:cs="Times New Roman"/>
                <w:spacing w:val="-10"/>
                <w:sz w:val="21"/>
                <w:szCs w:val="21"/>
                <w:highlight w:val="none"/>
              </w:rPr>
              <w:t>验方法 第</w:t>
            </w:r>
            <w:r>
              <w:rPr>
                <w:rFonts w:hint="default" w:ascii="Times New Roman" w:hAnsi="Times New Roman" w:eastAsia="宋体" w:cs="Times New Roman"/>
                <w:spacing w:val="-47"/>
                <w:sz w:val="21"/>
                <w:szCs w:val="21"/>
                <w:highlight w:val="none"/>
              </w:rPr>
              <w:t xml:space="preserve"> </w:t>
            </w:r>
            <w:r>
              <w:rPr>
                <w:rFonts w:hint="default" w:ascii="Times New Roman" w:hAnsi="Times New Roman" w:eastAsia="宋体" w:cs="Times New Roman"/>
                <w:spacing w:val="-10"/>
                <w:sz w:val="21"/>
                <w:szCs w:val="21"/>
                <w:highlight w:val="none"/>
              </w:rPr>
              <w:t>4</w:t>
            </w:r>
            <w:r>
              <w:rPr>
                <w:rFonts w:hint="default" w:ascii="Times New Roman" w:hAnsi="Times New Roman" w:eastAsia="宋体" w:cs="Times New Roman"/>
                <w:spacing w:val="-48"/>
                <w:sz w:val="21"/>
                <w:szCs w:val="21"/>
                <w:highlight w:val="none"/>
              </w:rPr>
              <w:t xml:space="preserve"> </w:t>
            </w:r>
            <w:r>
              <w:rPr>
                <w:rFonts w:hint="default" w:ascii="Times New Roman" w:hAnsi="Times New Roman" w:eastAsia="宋体" w:cs="Times New Roman"/>
                <w:spacing w:val="-10"/>
                <w:sz w:val="21"/>
                <w:szCs w:val="21"/>
                <w:highlight w:val="none"/>
              </w:rPr>
              <w:t>部分：</w:t>
            </w:r>
            <w:r>
              <w:rPr>
                <w:rFonts w:hint="default" w:ascii="Times New Roman" w:hAnsi="Times New Roman" w:eastAsia="宋体" w:cs="Times New Roman"/>
                <w:spacing w:val="-2"/>
                <w:sz w:val="21"/>
                <w:szCs w:val="21"/>
                <w:highlight w:val="none"/>
              </w:rPr>
              <w:t>感官性状和物理指</w:t>
            </w:r>
            <w:r>
              <w:rPr>
                <w:rFonts w:hint="default" w:ascii="Times New Roman" w:hAnsi="Times New Roman" w:eastAsia="宋体" w:cs="Times New Roman"/>
                <w:spacing w:val="-3"/>
                <w:sz w:val="21"/>
                <w:szCs w:val="21"/>
                <w:highlight w:val="none"/>
              </w:rPr>
              <w:t>标(10.1</w:t>
            </w:r>
            <w:r>
              <w:rPr>
                <w:rFonts w:hint="default" w:ascii="Times New Roman" w:hAnsi="Times New Roman" w:eastAsia="宋体" w:cs="Times New Roman"/>
                <w:spacing w:val="18"/>
                <w:sz w:val="21"/>
                <w:szCs w:val="21"/>
                <w:highlight w:val="none"/>
              </w:rPr>
              <w:t xml:space="preserve"> </w:t>
            </w:r>
            <w:r>
              <w:rPr>
                <w:rFonts w:hint="default" w:ascii="Times New Roman" w:hAnsi="Times New Roman" w:eastAsia="宋体" w:cs="Times New Roman"/>
                <w:spacing w:val="-3"/>
                <w:sz w:val="21"/>
                <w:szCs w:val="21"/>
                <w:highlight w:val="none"/>
              </w:rPr>
              <w:t>总硬度</w:t>
            </w:r>
            <w:r>
              <w:rPr>
                <w:rFonts w:hint="default" w:ascii="Times New Roman" w:hAnsi="Times New Roman" w:eastAsia="宋体" w:cs="Times New Roman"/>
                <w:spacing w:val="34"/>
                <w:sz w:val="21"/>
                <w:szCs w:val="21"/>
                <w:highlight w:val="none"/>
              </w:rPr>
              <w:t xml:space="preserve"> </w:t>
            </w:r>
            <w:r>
              <w:rPr>
                <w:rFonts w:hint="default" w:ascii="Times New Roman" w:hAnsi="Times New Roman" w:eastAsia="宋体" w:cs="Times New Roman"/>
                <w:spacing w:val="-3"/>
                <w:sz w:val="21"/>
                <w:szCs w:val="21"/>
                <w:highlight w:val="none"/>
              </w:rPr>
              <w:t>乙</w:t>
            </w:r>
            <w:r>
              <w:rPr>
                <w:rFonts w:hint="default" w:ascii="Times New Roman" w:hAnsi="Times New Roman" w:eastAsia="宋体" w:cs="Times New Roman"/>
                <w:spacing w:val="-2"/>
                <w:sz w:val="21"/>
                <w:szCs w:val="21"/>
                <w:highlight w:val="none"/>
              </w:rPr>
              <w:t>二胺四乙酸二钠滴定法）GB/T5750.4-2023</w:t>
            </w:r>
          </w:p>
        </w:tc>
        <w:tc>
          <w:tcPr>
            <w:tcW w:w="1004" w:type="pct"/>
            <w:tcBorders>
              <w:tl2br w:val="nil"/>
              <w:tr2bl w:val="nil"/>
            </w:tcBorders>
            <w:noWrap w:val="0"/>
            <w:vAlign w:val="center"/>
          </w:tcPr>
          <w:p w14:paraId="63BEC3F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SA"/>
              </w:rPr>
              <w:t>酸式滴定管50mL</w:t>
            </w:r>
          </w:p>
        </w:tc>
        <w:tc>
          <w:tcPr>
            <w:tcW w:w="864" w:type="pct"/>
            <w:tcBorders>
              <w:tl2br w:val="nil"/>
              <w:tr2bl w:val="nil"/>
            </w:tcBorders>
            <w:noWrap w:val="0"/>
            <w:vAlign w:val="center"/>
          </w:tcPr>
          <w:p w14:paraId="7567098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1.0</w:t>
            </w:r>
            <w:r>
              <w:rPr>
                <w:rFonts w:hint="default" w:ascii="Times New Roman" w:hAnsi="Times New Roman" w:eastAsia="宋体" w:cs="Times New Roman"/>
                <w:sz w:val="21"/>
                <w:szCs w:val="21"/>
                <w:highlight w:val="none"/>
              </w:rPr>
              <w:t>mg/L</w:t>
            </w:r>
          </w:p>
        </w:tc>
      </w:tr>
      <w:tr w14:paraId="5F3817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72BDFDF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535429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氟化物</w:t>
            </w:r>
          </w:p>
        </w:tc>
        <w:tc>
          <w:tcPr>
            <w:tcW w:w="1876" w:type="pct"/>
            <w:tcBorders>
              <w:tl2br w:val="nil"/>
              <w:tr2bl w:val="nil"/>
            </w:tcBorders>
            <w:noWrap w:val="0"/>
            <w:vAlign w:val="center"/>
          </w:tcPr>
          <w:p w14:paraId="1CC972D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8"/>
                <w:spacing w:val="-2"/>
                <w:sz w:val="21"/>
                <w:szCs w:val="21"/>
                <w:highlight w:val="none"/>
              </w:rPr>
              <w:t>水质 氟化物的测定 离子选择电极法</w:t>
            </w:r>
            <w:r>
              <w:rPr>
                <w:rFonts w:hint="default" w:ascii="Times New Roman" w:hAnsi="Times New Roman" w:eastAsia="宋体" w:cs="Times New Roman"/>
                <w:color w:val="000008"/>
                <w:spacing w:val="8"/>
                <w:sz w:val="21"/>
                <w:szCs w:val="21"/>
                <w:highlight w:val="none"/>
              </w:rPr>
              <w:t xml:space="preserve"> </w:t>
            </w:r>
            <w:r>
              <w:rPr>
                <w:rFonts w:hint="default" w:ascii="Times New Roman" w:hAnsi="Times New Roman" w:eastAsia="宋体" w:cs="Times New Roman"/>
                <w:color w:val="000008"/>
                <w:spacing w:val="-1"/>
                <w:sz w:val="21"/>
                <w:szCs w:val="21"/>
                <w:highlight w:val="none"/>
              </w:rPr>
              <w:t>GB/T 7484-1987</w:t>
            </w:r>
          </w:p>
        </w:tc>
        <w:tc>
          <w:tcPr>
            <w:tcW w:w="1004" w:type="pct"/>
            <w:tcBorders>
              <w:tl2br w:val="nil"/>
              <w:tr2bl w:val="nil"/>
            </w:tcBorders>
            <w:noWrap w:val="0"/>
            <w:vAlign w:val="center"/>
          </w:tcPr>
          <w:p w14:paraId="5873BC3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SA"/>
              </w:rPr>
              <w:t>P907氟离子计BZX/YQ-095</w:t>
            </w:r>
          </w:p>
        </w:tc>
        <w:tc>
          <w:tcPr>
            <w:tcW w:w="864" w:type="pct"/>
            <w:tcBorders>
              <w:tl2br w:val="nil"/>
              <w:tr2bl w:val="nil"/>
            </w:tcBorders>
            <w:noWrap w:val="0"/>
            <w:vAlign w:val="center"/>
          </w:tcPr>
          <w:p w14:paraId="2FC5577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0.05</w:t>
            </w:r>
            <w:r>
              <w:rPr>
                <w:rFonts w:hint="default" w:ascii="Times New Roman" w:hAnsi="Times New Roman" w:eastAsia="宋体" w:cs="Times New Roman"/>
                <w:sz w:val="21"/>
                <w:szCs w:val="21"/>
                <w:highlight w:val="none"/>
              </w:rPr>
              <w:t>mg/L</w:t>
            </w:r>
          </w:p>
        </w:tc>
      </w:tr>
      <w:tr w14:paraId="0D063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588FA5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5226F33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rPr>
              <w:t>溶解性总固体</w:t>
            </w:r>
          </w:p>
        </w:tc>
        <w:tc>
          <w:tcPr>
            <w:tcW w:w="1876" w:type="pct"/>
            <w:tcBorders>
              <w:tl2br w:val="nil"/>
              <w:tr2bl w:val="nil"/>
            </w:tcBorders>
            <w:noWrap w:val="0"/>
            <w:vAlign w:val="center"/>
          </w:tcPr>
          <w:p w14:paraId="691313C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 xml:space="preserve">生活饮用水标准检验方法 第 4 部分：感官性状和物理指标(11.1 溶解性总固体 称量法） </w:t>
            </w:r>
          </w:p>
          <w:p w14:paraId="735628D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SA"/>
              </w:rPr>
              <w:t>GB/T 5750.4-2023</w:t>
            </w:r>
          </w:p>
        </w:tc>
        <w:tc>
          <w:tcPr>
            <w:tcW w:w="1004" w:type="pct"/>
            <w:tcBorders>
              <w:tl2br w:val="nil"/>
              <w:tr2bl w:val="nil"/>
            </w:tcBorders>
            <w:noWrap w:val="0"/>
            <w:vAlign w:val="center"/>
          </w:tcPr>
          <w:p w14:paraId="3F0ADED0">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0"/>
                <w:sz w:val="21"/>
                <w:szCs w:val="21"/>
                <w:highlight w:val="none"/>
              </w:rPr>
              <w:t>FA2004万分之一天平BZX/YQ-05</w:t>
            </w:r>
            <w:r>
              <w:rPr>
                <w:rFonts w:hint="default" w:ascii="Times New Roman" w:hAnsi="Times New Roman" w:eastAsia="宋体" w:cs="Times New Roman"/>
                <w:color w:val="000000"/>
                <w:sz w:val="21"/>
                <w:szCs w:val="21"/>
                <w:highlight w:val="none"/>
                <w:lang w:val="en-US" w:eastAsia="zh-CN"/>
              </w:rPr>
              <w:t>3</w:t>
            </w:r>
          </w:p>
        </w:tc>
        <w:tc>
          <w:tcPr>
            <w:tcW w:w="864" w:type="pct"/>
            <w:tcBorders>
              <w:tl2br w:val="nil"/>
              <w:tr2bl w:val="nil"/>
            </w:tcBorders>
            <w:noWrap w:val="0"/>
            <w:vAlign w:val="center"/>
          </w:tcPr>
          <w:p w14:paraId="681CA75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bidi="ar-SA"/>
              </w:rPr>
              <w:t>4mg/L</w:t>
            </w:r>
          </w:p>
        </w:tc>
      </w:tr>
      <w:tr w14:paraId="4CC98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6C3F0965">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5EE0816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汞</w:t>
            </w:r>
          </w:p>
        </w:tc>
        <w:tc>
          <w:tcPr>
            <w:tcW w:w="1876" w:type="pct"/>
            <w:tcBorders>
              <w:tl2br w:val="nil"/>
              <w:tr2bl w:val="nil"/>
            </w:tcBorders>
            <w:noWrap w:val="0"/>
            <w:vAlign w:val="center"/>
          </w:tcPr>
          <w:p w14:paraId="4B8C08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8"/>
                <w:spacing w:val="-7"/>
                <w:sz w:val="21"/>
                <w:szCs w:val="21"/>
                <w:highlight w:val="none"/>
              </w:rPr>
              <w:t>水质 汞</w:t>
            </w:r>
            <w:r>
              <w:rPr>
                <w:rFonts w:hint="default" w:ascii="Times New Roman" w:hAnsi="Times New Roman" w:eastAsia="宋体" w:cs="Times New Roman"/>
                <w:color w:val="000008"/>
                <w:spacing w:val="-28"/>
                <w:sz w:val="21"/>
                <w:szCs w:val="21"/>
                <w:highlight w:val="none"/>
              </w:rPr>
              <w:t xml:space="preserve"> </w:t>
            </w:r>
            <w:r>
              <w:rPr>
                <w:rFonts w:hint="default" w:ascii="Times New Roman" w:hAnsi="Times New Roman" w:eastAsia="宋体" w:cs="Times New Roman"/>
                <w:color w:val="000008"/>
                <w:spacing w:val="-7"/>
                <w:sz w:val="21"/>
                <w:szCs w:val="21"/>
                <w:highlight w:val="none"/>
              </w:rPr>
              <w:t>、砷</w:t>
            </w:r>
            <w:r>
              <w:rPr>
                <w:rFonts w:hint="default" w:ascii="Times New Roman" w:hAnsi="Times New Roman" w:eastAsia="宋体" w:cs="Times New Roman"/>
                <w:color w:val="000008"/>
                <w:spacing w:val="-32"/>
                <w:sz w:val="21"/>
                <w:szCs w:val="21"/>
                <w:highlight w:val="none"/>
              </w:rPr>
              <w:t xml:space="preserve"> </w:t>
            </w:r>
            <w:r>
              <w:rPr>
                <w:rFonts w:hint="default" w:ascii="Times New Roman" w:hAnsi="Times New Roman" w:eastAsia="宋体" w:cs="Times New Roman"/>
                <w:color w:val="000008"/>
                <w:spacing w:val="-7"/>
                <w:sz w:val="21"/>
                <w:szCs w:val="21"/>
                <w:highlight w:val="none"/>
              </w:rPr>
              <w:t>、硒</w:t>
            </w:r>
            <w:r>
              <w:rPr>
                <w:rFonts w:hint="default" w:ascii="Times New Roman" w:hAnsi="Times New Roman" w:eastAsia="宋体" w:cs="Times New Roman"/>
                <w:color w:val="000008"/>
                <w:spacing w:val="-34"/>
                <w:sz w:val="21"/>
                <w:szCs w:val="21"/>
                <w:highlight w:val="none"/>
              </w:rPr>
              <w:t xml:space="preserve"> </w:t>
            </w:r>
            <w:r>
              <w:rPr>
                <w:rFonts w:hint="default" w:ascii="Times New Roman" w:hAnsi="Times New Roman" w:eastAsia="宋体" w:cs="Times New Roman"/>
                <w:color w:val="000008"/>
                <w:spacing w:val="-7"/>
                <w:sz w:val="21"/>
                <w:szCs w:val="21"/>
                <w:highlight w:val="none"/>
              </w:rPr>
              <w:t>、铋和锑的测定 原子</w:t>
            </w:r>
            <w:r>
              <w:rPr>
                <w:rFonts w:hint="default" w:ascii="Times New Roman" w:hAnsi="Times New Roman" w:eastAsia="宋体" w:cs="Times New Roman"/>
                <w:color w:val="000008"/>
                <w:sz w:val="21"/>
                <w:szCs w:val="21"/>
                <w:highlight w:val="none"/>
              </w:rPr>
              <w:t xml:space="preserve"> </w:t>
            </w:r>
            <w:r>
              <w:rPr>
                <w:rFonts w:hint="default" w:ascii="Times New Roman" w:hAnsi="Times New Roman" w:eastAsia="宋体" w:cs="Times New Roman"/>
                <w:color w:val="000008"/>
                <w:spacing w:val="-2"/>
                <w:sz w:val="21"/>
                <w:szCs w:val="21"/>
                <w:highlight w:val="none"/>
              </w:rPr>
              <w:t>荧光法 HJ 694-2014</w:t>
            </w:r>
          </w:p>
        </w:tc>
        <w:tc>
          <w:tcPr>
            <w:tcW w:w="1004" w:type="pct"/>
            <w:tcBorders>
              <w:tl2br w:val="nil"/>
              <w:tr2bl w:val="nil"/>
            </w:tcBorders>
            <w:noWrap w:val="0"/>
            <w:vAlign w:val="center"/>
          </w:tcPr>
          <w:p w14:paraId="62A9ED9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0"/>
                <w:sz w:val="21"/>
                <w:szCs w:val="21"/>
                <w:highlight w:val="none"/>
                <w:lang w:val="en-US" w:eastAsia="zh-CN" w:bidi="ar-SA"/>
              </w:rPr>
              <w:t>RGF-6300原子荧光光度计BZX/YQ-004</w:t>
            </w:r>
          </w:p>
        </w:tc>
        <w:tc>
          <w:tcPr>
            <w:tcW w:w="864" w:type="pct"/>
            <w:tcBorders>
              <w:tl2br w:val="nil"/>
              <w:tr2bl w:val="nil"/>
            </w:tcBorders>
            <w:noWrap w:val="0"/>
            <w:vAlign w:val="center"/>
          </w:tcPr>
          <w:p w14:paraId="6CDE601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0.04μ</w:t>
            </w:r>
            <w:r>
              <w:rPr>
                <w:rFonts w:hint="default" w:ascii="Times New Roman" w:hAnsi="Times New Roman" w:eastAsia="宋体" w:cs="Times New Roman"/>
                <w:sz w:val="21"/>
                <w:szCs w:val="21"/>
                <w:highlight w:val="none"/>
              </w:rPr>
              <w:t>g/L</w:t>
            </w:r>
          </w:p>
        </w:tc>
      </w:tr>
      <w:tr w14:paraId="1AB9F2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6D96D4F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7C3A92F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砷</w:t>
            </w:r>
          </w:p>
        </w:tc>
        <w:tc>
          <w:tcPr>
            <w:tcW w:w="1876" w:type="pct"/>
            <w:tcBorders>
              <w:tl2br w:val="nil"/>
              <w:tr2bl w:val="nil"/>
            </w:tcBorders>
            <w:noWrap w:val="0"/>
            <w:vAlign w:val="center"/>
          </w:tcPr>
          <w:p w14:paraId="330CF0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8"/>
                <w:spacing w:val="-7"/>
                <w:sz w:val="21"/>
                <w:szCs w:val="21"/>
                <w:highlight w:val="none"/>
              </w:rPr>
              <w:t>水质 汞</w:t>
            </w:r>
            <w:r>
              <w:rPr>
                <w:rFonts w:hint="default" w:ascii="Times New Roman" w:hAnsi="Times New Roman" w:eastAsia="宋体" w:cs="Times New Roman"/>
                <w:color w:val="000008"/>
                <w:spacing w:val="-28"/>
                <w:sz w:val="21"/>
                <w:szCs w:val="21"/>
                <w:highlight w:val="none"/>
              </w:rPr>
              <w:t xml:space="preserve"> </w:t>
            </w:r>
            <w:r>
              <w:rPr>
                <w:rFonts w:hint="default" w:ascii="Times New Roman" w:hAnsi="Times New Roman" w:eastAsia="宋体" w:cs="Times New Roman"/>
                <w:color w:val="000008"/>
                <w:spacing w:val="-7"/>
                <w:sz w:val="21"/>
                <w:szCs w:val="21"/>
                <w:highlight w:val="none"/>
              </w:rPr>
              <w:t>、砷</w:t>
            </w:r>
            <w:r>
              <w:rPr>
                <w:rFonts w:hint="default" w:ascii="Times New Roman" w:hAnsi="Times New Roman" w:eastAsia="宋体" w:cs="Times New Roman"/>
                <w:color w:val="000008"/>
                <w:spacing w:val="-32"/>
                <w:sz w:val="21"/>
                <w:szCs w:val="21"/>
                <w:highlight w:val="none"/>
              </w:rPr>
              <w:t xml:space="preserve"> </w:t>
            </w:r>
            <w:r>
              <w:rPr>
                <w:rFonts w:hint="default" w:ascii="Times New Roman" w:hAnsi="Times New Roman" w:eastAsia="宋体" w:cs="Times New Roman"/>
                <w:color w:val="000008"/>
                <w:spacing w:val="-7"/>
                <w:sz w:val="21"/>
                <w:szCs w:val="21"/>
                <w:highlight w:val="none"/>
              </w:rPr>
              <w:t>、硒</w:t>
            </w:r>
            <w:r>
              <w:rPr>
                <w:rFonts w:hint="default" w:ascii="Times New Roman" w:hAnsi="Times New Roman" w:eastAsia="宋体" w:cs="Times New Roman"/>
                <w:color w:val="000008"/>
                <w:spacing w:val="-34"/>
                <w:sz w:val="21"/>
                <w:szCs w:val="21"/>
                <w:highlight w:val="none"/>
              </w:rPr>
              <w:t xml:space="preserve"> </w:t>
            </w:r>
            <w:r>
              <w:rPr>
                <w:rFonts w:hint="default" w:ascii="Times New Roman" w:hAnsi="Times New Roman" w:eastAsia="宋体" w:cs="Times New Roman"/>
                <w:color w:val="000008"/>
                <w:spacing w:val="-7"/>
                <w:sz w:val="21"/>
                <w:szCs w:val="21"/>
                <w:highlight w:val="none"/>
              </w:rPr>
              <w:t>、铋和锑的测定 原子</w:t>
            </w:r>
            <w:r>
              <w:rPr>
                <w:rFonts w:hint="default" w:ascii="Times New Roman" w:hAnsi="Times New Roman" w:eastAsia="宋体" w:cs="Times New Roman"/>
                <w:color w:val="000008"/>
                <w:sz w:val="21"/>
                <w:szCs w:val="21"/>
                <w:highlight w:val="none"/>
              </w:rPr>
              <w:t xml:space="preserve"> </w:t>
            </w:r>
            <w:r>
              <w:rPr>
                <w:rFonts w:hint="default" w:ascii="Times New Roman" w:hAnsi="Times New Roman" w:eastAsia="宋体" w:cs="Times New Roman"/>
                <w:color w:val="000008"/>
                <w:spacing w:val="-2"/>
                <w:sz w:val="21"/>
                <w:szCs w:val="21"/>
                <w:highlight w:val="none"/>
              </w:rPr>
              <w:t>荧光法 HJ 694-2014</w:t>
            </w:r>
          </w:p>
        </w:tc>
        <w:tc>
          <w:tcPr>
            <w:tcW w:w="1004" w:type="pct"/>
            <w:tcBorders>
              <w:tl2br w:val="nil"/>
              <w:tr2bl w:val="nil"/>
            </w:tcBorders>
            <w:noWrap w:val="0"/>
            <w:vAlign w:val="center"/>
          </w:tcPr>
          <w:p w14:paraId="0476EB2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0"/>
                <w:sz w:val="21"/>
                <w:szCs w:val="21"/>
                <w:highlight w:val="none"/>
                <w:lang w:val="en-US" w:eastAsia="zh-CN" w:bidi="ar-SA"/>
              </w:rPr>
              <w:t>RGF-6300原子荧光光度计BZX/YQ-004</w:t>
            </w:r>
          </w:p>
        </w:tc>
        <w:tc>
          <w:tcPr>
            <w:tcW w:w="864" w:type="pct"/>
            <w:tcBorders>
              <w:tl2br w:val="nil"/>
              <w:tr2bl w:val="nil"/>
            </w:tcBorders>
            <w:noWrap w:val="0"/>
            <w:vAlign w:val="center"/>
          </w:tcPr>
          <w:p w14:paraId="23C6AB8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lang w:val="en-US" w:eastAsia="zh-CN"/>
              </w:rPr>
              <w:t>0.3μ</w:t>
            </w:r>
            <w:r>
              <w:rPr>
                <w:rFonts w:hint="default" w:ascii="Times New Roman" w:hAnsi="Times New Roman" w:eastAsia="宋体" w:cs="Times New Roman"/>
                <w:sz w:val="21"/>
                <w:szCs w:val="21"/>
                <w:highlight w:val="none"/>
              </w:rPr>
              <w:t>g/L</w:t>
            </w:r>
          </w:p>
        </w:tc>
      </w:tr>
      <w:tr w14:paraId="3A23DB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6BB1F58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352F1B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铬（六价）</w:t>
            </w:r>
          </w:p>
        </w:tc>
        <w:tc>
          <w:tcPr>
            <w:tcW w:w="1876" w:type="pct"/>
            <w:tcBorders>
              <w:tl2br w:val="nil"/>
              <w:tr2bl w:val="nil"/>
            </w:tcBorders>
            <w:noWrap w:val="0"/>
            <w:vAlign w:val="center"/>
          </w:tcPr>
          <w:p w14:paraId="337D3A0B">
            <w:pPr>
              <w:keepNext w:val="0"/>
              <w:keepLines w:val="0"/>
              <w:pageBreakBefore w:val="0"/>
              <w:widowControl w:val="0"/>
              <w:kinsoku/>
              <w:wordWrap/>
              <w:overflowPunct/>
              <w:topLinePunct w:val="0"/>
              <w:autoSpaceDE/>
              <w:autoSpaceDN/>
              <w:bidi w:val="0"/>
              <w:adjustRightInd/>
              <w:snapToGrid/>
              <w:spacing w:line="240" w:lineRule="auto"/>
              <w:ind w:left="167" w:leftChars="0" w:right="169"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pacing w:val="-2"/>
                <w:sz w:val="21"/>
                <w:szCs w:val="21"/>
                <w:highlight w:val="none"/>
              </w:rPr>
              <w:t>生活饮用水标准检</w:t>
            </w:r>
            <w:r>
              <w:rPr>
                <w:rFonts w:hint="default" w:ascii="Times New Roman" w:hAnsi="Times New Roman" w:eastAsia="宋体" w:cs="Times New Roman"/>
                <w:spacing w:val="-6"/>
                <w:sz w:val="21"/>
                <w:szCs w:val="21"/>
                <w:highlight w:val="none"/>
              </w:rPr>
              <w:t>验方法 第</w:t>
            </w:r>
            <w:r>
              <w:rPr>
                <w:rFonts w:hint="default" w:ascii="Times New Roman" w:hAnsi="Times New Roman" w:eastAsia="宋体" w:cs="Times New Roman"/>
                <w:spacing w:val="-44"/>
                <w:sz w:val="21"/>
                <w:szCs w:val="21"/>
                <w:highlight w:val="none"/>
              </w:rPr>
              <w:t xml:space="preserve"> </w:t>
            </w:r>
            <w:r>
              <w:rPr>
                <w:rFonts w:hint="default" w:ascii="Times New Roman" w:hAnsi="Times New Roman" w:eastAsia="宋体" w:cs="Times New Roman"/>
                <w:spacing w:val="-6"/>
                <w:sz w:val="21"/>
                <w:szCs w:val="21"/>
                <w:highlight w:val="none"/>
              </w:rPr>
              <w:t>6</w:t>
            </w:r>
            <w:r>
              <w:rPr>
                <w:rFonts w:hint="default" w:ascii="Times New Roman" w:hAnsi="Times New Roman" w:eastAsia="宋体" w:cs="Times New Roman"/>
                <w:spacing w:val="-48"/>
                <w:sz w:val="21"/>
                <w:szCs w:val="21"/>
                <w:highlight w:val="none"/>
              </w:rPr>
              <w:t xml:space="preserve"> </w:t>
            </w:r>
            <w:r>
              <w:rPr>
                <w:rFonts w:hint="default" w:ascii="Times New Roman" w:hAnsi="Times New Roman" w:eastAsia="宋体" w:cs="Times New Roman"/>
                <w:spacing w:val="-6"/>
                <w:sz w:val="21"/>
                <w:szCs w:val="21"/>
                <w:highlight w:val="none"/>
              </w:rPr>
              <w:t>部分：</w:t>
            </w:r>
            <w:r>
              <w:rPr>
                <w:rFonts w:hint="default" w:ascii="Times New Roman" w:hAnsi="Times New Roman" w:eastAsia="宋体" w:cs="Times New Roman"/>
                <w:spacing w:val="5"/>
                <w:sz w:val="21"/>
                <w:szCs w:val="21"/>
                <w:highlight w:val="none"/>
              </w:rPr>
              <w:t>金属和类金属指标</w:t>
            </w:r>
            <w:r>
              <w:rPr>
                <w:rFonts w:hint="default" w:ascii="Times New Roman" w:hAnsi="Times New Roman" w:eastAsia="宋体" w:cs="Times New Roman"/>
                <w:spacing w:val="3"/>
                <w:sz w:val="21"/>
                <w:szCs w:val="21"/>
                <w:highlight w:val="none"/>
              </w:rPr>
              <w:t xml:space="preserve"> </w:t>
            </w:r>
            <w:r>
              <w:rPr>
                <w:rFonts w:hint="default" w:ascii="Times New Roman" w:hAnsi="Times New Roman" w:eastAsia="宋体" w:cs="Times New Roman"/>
                <w:spacing w:val="-3"/>
                <w:sz w:val="21"/>
                <w:szCs w:val="21"/>
                <w:highlight w:val="none"/>
              </w:rPr>
              <w:t>（13.1 铬（六价）</w:t>
            </w:r>
            <w:r>
              <w:rPr>
                <w:rFonts w:hint="default" w:ascii="Times New Roman" w:hAnsi="Times New Roman" w:eastAsia="宋体" w:cs="Times New Roman"/>
                <w:spacing w:val="-2"/>
                <w:sz w:val="21"/>
                <w:szCs w:val="21"/>
                <w:highlight w:val="none"/>
              </w:rPr>
              <w:t>二苯碳酰二肼分光光度法） GB/T</w:t>
            </w:r>
            <w:r>
              <w:rPr>
                <w:rFonts w:hint="default" w:ascii="Times New Roman" w:hAnsi="Times New Roman" w:eastAsia="宋体" w:cs="Times New Roman"/>
                <w:spacing w:val="-2"/>
                <w:sz w:val="21"/>
                <w:szCs w:val="21"/>
                <w:highlight w:val="none"/>
                <w:lang w:val="en-US" w:eastAsia="zh-CN"/>
              </w:rPr>
              <w:t xml:space="preserve"> </w:t>
            </w:r>
            <w:r>
              <w:rPr>
                <w:rFonts w:hint="default" w:ascii="Times New Roman" w:hAnsi="Times New Roman" w:eastAsia="宋体" w:cs="Times New Roman"/>
                <w:spacing w:val="-2"/>
                <w:sz w:val="21"/>
                <w:szCs w:val="21"/>
                <w:highlight w:val="none"/>
              </w:rPr>
              <w:t>5750.6-2023</w:t>
            </w:r>
          </w:p>
        </w:tc>
        <w:tc>
          <w:tcPr>
            <w:tcW w:w="1004" w:type="pct"/>
            <w:tcBorders>
              <w:tl2br w:val="nil"/>
              <w:tr2bl w:val="nil"/>
            </w:tcBorders>
            <w:noWrap w:val="0"/>
            <w:vAlign w:val="center"/>
          </w:tcPr>
          <w:p w14:paraId="421158C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T6新世纪紫外可见分光光度计BZX/YQ-012</w:t>
            </w:r>
          </w:p>
        </w:tc>
        <w:tc>
          <w:tcPr>
            <w:tcW w:w="864" w:type="pct"/>
            <w:tcBorders>
              <w:tl2br w:val="nil"/>
              <w:tr2bl w:val="nil"/>
            </w:tcBorders>
            <w:noWrap w:val="0"/>
            <w:vAlign w:val="center"/>
          </w:tcPr>
          <w:p w14:paraId="6A815C0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0.004mg/L</w:t>
            </w:r>
          </w:p>
        </w:tc>
      </w:tr>
      <w:tr w14:paraId="6819F5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55D69D8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06CED0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铅</w:t>
            </w:r>
          </w:p>
        </w:tc>
        <w:tc>
          <w:tcPr>
            <w:tcW w:w="1876" w:type="pct"/>
            <w:tcBorders>
              <w:tl2br w:val="nil"/>
              <w:tr2bl w:val="nil"/>
            </w:tcBorders>
            <w:noWrap w:val="0"/>
            <w:vAlign w:val="center"/>
          </w:tcPr>
          <w:p w14:paraId="210F24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生活饮用水标准检验方法 第6部分：金属和类金属指标（14.1 铅  无火焰原子吸收分光光度法</w:t>
            </w:r>
          </w:p>
          <w:p w14:paraId="313815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8"/>
                <w:spacing w:val="-2"/>
                <w:sz w:val="21"/>
                <w:szCs w:val="21"/>
                <w:highlight w:val="none"/>
              </w:rPr>
            </w:pPr>
            <w:r>
              <w:rPr>
                <w:rFonts w:hint="default" w:ascii="Times New Roman" w:hAnsi="Times New Roman" w:eastAsia="宋体" w:cs="Times New Roman"/>
                <w:color w:val="auto"/>
                <w:sz w:val="21"/>
                <w:szCs w:val="21"/>
                <w:highlight w:val="none"/>
              </w:rPr>
              <w:t>GB/T 5750.6-2023</w:t>
            </w:r>
          </w:p>
        </w:tc>
        <w:tc>
          <w:tcPr>
            <w:tcW w:w="1004" w:type="pct"/>
            <w:tcBorders>
              <w:tl2br w:val="nil"/>
              <w:tr2bl w:val="nil"/>
            </w:tcBorders>
            <w:noWrap w:val="0"/>
            <w:vAlign w:val="center"/>
          </w:tcPr>
          <w:p w14:paraId="3E5DE9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rPr>
              <w:t>A3AFG原子吸收分光光度计BZX/YQ-005</w:t>
            </w:r>
          </w:p>
        </w:tc>
        <w:tc>
          <w:tcPr>
            <w:tcW w:w="864" w:type="pct"/>
            <w:tcBorders>
              <w:tl2br w:val="nil"/>
              <w:tr2bl w:val="nil"/>
            </w:tcBorders>
            <w:noWrap w:val="0"/>
            <w:vAlign w:val="center"/>
          </w:tcPr>
          <w:p w14:paraId="245226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en-US" w:eastAsia="zh-CN" w:bidi="ar-SA"/>
              </w:rPr>
              <w:t>μg/L</w:t>
            </w:r>
          </w:p>
        </w:tc>
      </w:tr>
      <w:tr w14:paraId="77F3D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06EDBE5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519209F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铁</w:t>
            </w:r>
          </w:p>
        </w:tc>
        <w:tc>
          <w:tcPr>
            <w:tcW w:w="1876" w:type="pct"/>
            <w:tcBorders>
              <w:tl2br w:val="nil"/>
              <w:tr2bl w:val="nil"/>
            </w:tcBorders>
            <w:noWrap w:val="0"/>
            <w:vAlign w:val="center"/>
          </w:tcPr>
          <w:p w14:paraId="7A2755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8"/>
                <w:spacing w:val="-2"/>
                <w:sz w:val="21"/>
                <w:szCs w:val="21"/>
                <w:highlight w:val="none"/>
              </w:rPr>
            </w:pPr>
            <w:r>
              <w:rPr>
                <w:rFonts w:hint="default" w:ascii="Times New Roman" w:hAnsi="Times New Roman" w:eastAsia="宋体" w:cs="Times New Roman"/>
                <w:color w:val="000008"/>
                <w:spacing w:val="-4"/>
                <w:sz w:val="21"/>
                <w:szCs w:val="21"/>
                <w:highlight w:val="none"/>
              </w:rPr>
              <w:t>水质 铁</w:t>
            </w:r>
            <w:r>
              <w:rPr>
                <w:rFonts w:hint="default" w:ascii="Times New Roman" w:hAnsi="Times New Roman" w:eastAsia="宋体" w:cs="Times New Roman"/>
                <w:color w:val="000008"/>
                <w:spacing w:val="-18"/>
                <w:sz w:val="21"/>
                <w:szCs w:val="21"/>
                <w:highlight w:val="none"/>
              </w:rPr>
              <w:t xml:space="preserve"> </w:t>
            </w:r>
            <w:r>
              <w:rPr>
                <w:rFonts w:hint="default" w:ascii="Times New Roman" w:hAnsi="Times New Roman" w:eastAsia="宋体" w:cs="Times New Roman"/>
                <w:color w:val="000008"/>
                <w:spacing w:val="-4"/>
                <w:sz w:val="21"/>
                <w:szCs w:val="21"/>
                <w:highlight w:val="none"/>
              </w:rPr>
              <w:t>、锰的测定 火焰原子吸收分光</w:t>
            </w:r>
            <w:r>
              <w:rPr>
                <w:rFonts w:hint="default" w:ascii="Times New Roman" w:hAnsi="Times New Roman" w:eastAsia="宋体" w:cs="Times New Roman"/>
                <w:color w:val="000008"/>
                <w:sz w:val="21"/>
                <w:szCs w:val="21"/>
                <w:highlight w:val="none"/>
              </w:rPr>
              <w:t xml:space="preserve"> </w:t>
            </w:r>
            <w:r>
              <w:rPr>
                <w:rFonts w:hint="default" w:ascii="Times New Roman" w:hAnsi="Times New Roman" w:eastAsia="宋体" w:cs="Times New Roman"/>
                <w:color w:val="000008"/>
                <w:spacing w:val="-3"/>
                <w:sz w:val="21"/>
                <w:szCs w:val="21"/>
                <w:highlight w:val="none"/>
              </w:rPr>
              <w:t>光度法 GB/T</w:t>
            </w:r>
            <w:r>
              <w:rPr>
                <w:rFonts w:hint="default" w:ascii="Times New Roman" w:hAnsi="Times New Roman" w:eastAsia="宋体" w:cs="Times New Roman"/>
                <w:color w:val="000008"/>
                <w:spacing w:val="39"/>
                <w:w w:val="101"/>
                <w:sz w:val="21"/>
                <w:szCs w:val="21"/>
                <w:highlight w:val="none"/>
              </w:rPr>
              <w:t xml:space="preserve"> </w:t>
            </w:r>
            <w:r>
              <w:rPr>
                <w:rFonts w:hint="default" w:ascii="Times New Roman" w:hAnsi="Times New Roman" w:eastAsia="宋体" w:cs="Times New Roman"/>
                <w:color w:val="000008"/>
                <w:spacing w:val="-3"/>
                <w:sz w:val="21"/>
                <w:szCs w:val="21"/>
                <w:highlight w:val="none"/>
              </w:rPr>
              <w:t>11911-1989</w:t>
            </w:r>
          </w:p>
        </w:tc>
        <w:tc>
          <w:tcPr>
            <w:tcW w:w="1004" w:type="pct"/>
            <w:tcBorders>
              <w:tl2br w:val="nil"/>
              <w:tr2bl w:val="nil"/>
            </w:tcBorders>
            <w:noWrap w:val="0"/>
            <w:vAlign w:val="center"/>
          </w:tcPr>
          <w:p w14:paraId="61C622F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6903423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0.03</w:t>
            </w:r>
            <w:r>
              <w:rPr>
                <w:rFonts w:hint="default" w:ascii="Times New Roman" w:hAnsi="Times New Roman" w:eastAsia="宋体" w:cs="Times New Roman"/>
                <w:sz w:val="21"/>
                <w:szCs w:val="21"/>
                <w:highlight w:val="none"/>
              </w:rPr>
              <w:t>mg/L</w:t>
            </w:r>
          </w:p>
        </w:tc>
      </w:tr>
      <w:tr w14:paraId="7CB27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5613EDF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6D74F1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镉</w:t>
            </w:r>
          </w:p>
        </w:tc>
        <w:tc>
          <w:tcPr>
            <w:tcW w:w="1876" w:type="pct"/>
            <w:tcBorders>
              <w:tl2br w:val="nil"/>
              <w:tr2bl w:val="nil"/>
            </w:tcBorders>
            <w:noWrap w:val="0"/>
            <w:vAlign w:val="center"/>
          </w:tcPr>
          <w:p w14:paraId="77B485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生活饮用水标准检验方法 第6部分：金属和类金属指标（12.1 镉  无火焰原子吸收分光光度法）</w:t>
            </w:r>
          </w:p>
          <w:p w14:paraId="1BDC5C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rPr>
              <w:t>GB/T 5750.6-2023</w:t>
            </w:r>
          </w:p>
        </w:tc>
        <w:tc>
          <w:tcPr>
            <w:tcW w:w="1004" w:type="pct"/>
            <w:tcBorders>
              <w:tl2br w:val="nil"/>
              <w:tr2bl w:val="nil"/>
            </w:tcBorders>
            <w:noWrap w:val="0"/>
            <w:vAlign w:val="center"/>
          </w:tcPr>
          <w:p w14:paraId="0B9959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rPr>
              <w:t>A3AFG原子吸收分光光度计BZX/YQ-005</w:t>
            </w:r>
          </w:p>
        </w:tc>
        <w:tc>
          <w:tcPr>
            <w:tcW w:w="864" w:type="pct"/>
            <w:tcBorders>
              <w:tl2br w:val="nil"/>
              <w:tr2bl w:val="nil"/>
            </w:tcBorders>
            <w:noWrap w:val="0"/>
            <w:vAlign w:val="center"/>
          </w:tcPr>
          <w:p w14:paraId="164B9D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bidi="ar-SA"/>
              </w:rPr>
              <w:t>μg/L</w:t>
            </w:r>
          </w:p>
        </w:tc>
      </w:tr>
      <w:tr w14:paraId="43A58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37" w:type="pct"/>
            <w:vMerge w:val="continue"/>
            <w:tcBorders>
              <w:tl2br w:val="nil"/>
              <w:tr2bl w:val="nil"/>
            </w:tcBorders>
            <w:noWrap w:val="0"/>
            <w:vAlign w:val="center"/>
          </w:tcPr>
          <w:p w14:paraId="74F22BD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FAE837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镍</w:t>
            </w:r>
          </w:p>
        </w:tc>
        <w:tc>
          <w:tcPr>
            <w:tcW w:w="1876" w:type="pct"/>
            <w:tcBorders>
              <w:tl2br w:val="nil"/>
              <w:tr2bl w:val="nil"/>
            </w:tcBorders>
            <w:noWrap w:val="0"/>
            <w:vAlign w:val="center"/>
          </w:tcPr>
          <w:p w14:paraId="785718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8"/>
                <w:spacing w:val="-4"/>
                <w:sz w:val="21"/>
                <w:szCs w:val="21"/>
                <w:highlight w:val="none"/>
              </w:rPr>
            </w:pPr>
            <w:r>
              <w:rPr>
                <w:rFonts w:hint="default" w:ascii="Times New Roman" w:hAnsi="Times New Roman" w:eastAsia="宋体" w:cs="Times New Roman"/>
                <w:color w:val="000008"/>
                <w:spacing w:val="-4"/>
                <w:sz w:val="21"/>
                <w:szCs w:val="21"/>
                <w:highlight w:val="none"/>
              </w:rPr>
              <w:t xml:space="preserve">生活饮用水标准检 验方法 第 6 部分：金属和类金属指标（18.1 镍 无火焰原子吸收分光光度法） </w:t>
            </w:r>
          </w:p>
          <w:p w14:paraId="3C88E7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
              </w:rPr>
            </w:pPr>
            <w:r>
              <w:rPr>
                <w:rFonts w:hint="default" w:ascii="Times New Roman" w:hAnsi="Times New Roman" w:eastAsia="宋体" w:cs="Times New Roman"/>
                <w:color w:val="000008"/>
                <w:spacing w:val="-4"/>
                <w:sz w:val="21"/>
                <w:szCs w:val="21"/>
                <w:highlight w:val="none"/>
              </w:rPr>
              <w:t>GB/T</w:t>
            </w:r>
            <w:r>
              <w:rPr>
                <w:rFonts w:hint="default" w:ascii="Times New Roman" w:hAnsi="Times New Roman" w:eastAsia="宋体" w:cs="Times New Roman"/>
                <w:color w:val="000008"/>
                <w:spacing w:val="-4"/>
                <w:sz w:val="21"/>
                <w:szCs w:val="21"/>
                <w:highlight w:val="none"/>
                <w:lang w:val="en-US" w:eastAsia="zh-CN"/>
              </w:rPr>
              <w:t xml:space="preserve"> </w:t>
            </w:r>
            <w:r>
              <w:rPr>
                <w:rFonts w:hint="default" w:ascii="Times New Roman" w:hAnsi="Times New Roman" w:eastAsia="宋体" w:cs="Times New Roman"/>
                <w:color w:val="000008"/>
                <w:spacing w:val="-4"/>
                <w:sz w:val="21"/>
                <w:szCs w:val="21"/>
                <w:highlight w:val="none"/>
              </w:rPr>
              <w:t>5750.6-2023</w:t>
            </w:r>
          </w:p>
        </w:tc>
        <w:tc>
          <w:tcPr>
            <w:tcW w:w="1004" w:type="pct"/>
            <w:tcBorders>
              <w:tl2br w:val="nil"/>
              <w:tr2bl w:val="nil"/>
            </w:tcBorders>
            <w:noWrap w:val="0"/>
            <w:vAlign w:val="center"/>
          </w:tcPr>
          <w:p w14:paraId="2B7F560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5023D32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bidi="ar-SA"/>
              </w:rPr>
              <w:t>μg/L</w:t>
            </w:r>
          </w:p>
        </w:tc>
      </w:tr>
      <w:tr w14:paraId="6D9431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17ED7E6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210FD31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锰</w:t>
            </w:r>
          </w:p>
        </w:tc>
        <w:tc>
          <w:tcPr>
            <w:tcW w:w="1876" w:type="pct"/>
            <w:tcBorders>
              <w:tl2br w:val="nil"/>
              <w:tr2bl w:val="nil"/>
            </w:tcBorders>
            <w:noWrap w:val="0"/>
            <w:vAlign w:val="center"/>
          </w:tcPr>
          <w:p w14:paraId="1F8061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8"/>
                <w:spacing w:val="-2"/>
                <w:sz w:val="21"/>
                <w:szCs w:val="21"/>
                <w:highlight w:val="none"/>
              </w:rPr>
            </w:pPr>
            <w:r>
              <w:rPr>
                <w:rFonts w:hint="default" w:ascii="Times New Roman" w:hAnsi="Times New Roman" w:eastAsia="宋体" w:cs="Times New Roman"/>
                <w:color w:val="000008"/>
                <w:spacing w:val="-4"/>
                <w:sz w:val="21"/>
                <w:szCs w:val="21"/>
                <w:highlight w:val="none"/>
              </w:rPr>
              <w:t>水质 铁</w:t>
            </w:r>
            <w:r>
              <w:rPr>
                <w:rFonts w:hint="default" w:ascii="Times New Roman" w:hAnsi="Times New Roman" w:eastAsia="宋体" w:cs="Times New Roman"/>
                <w:color w:val="000008"/>
                <w:spacing w:val="-18"/>
                <w:sz w:val="21"/>
                <w:szCs w:val="21"/>
                <w:highlight w:val="none"/>
              </w:rPr>
              <w:t xml:space="preserve"> </w:t>
            </w:r>
            <w:r>
              <w:rPr>
                <w:rFonts w:hint="default" w:ascii="Times New Roman" w:hAnsi="Times New Roman" w:eastAsia="宋体" w:cs="Times New Roman"/>
                <w:color w:val="000008"/>
                <w:spacing w:val="-4"/>
                <w:sz w:val="21"/>
                <w:szCs w:val="21"/>
                <w:highlight w:val="none"/>
              </w:rPr>
              <w:t>、锰的测定 火焰原子吸收分光</w:t>
            </w:r>
            <w:r>
              <w:rPr>
                <w:rFonts w:hint="default" w:ascii="Times New Roman" w:hAnsi="Times New Roman" w:eastAsia="宋体" w:cs="Times New Roman"/>
                <w:color w:val="000008"/>
                <w:sz w:val="21"/>
                <w:szCs w:val="21"/>
                <w:highlight w:val="none"/>
              </w:rPr>
              <w:t xml:space="preserve"> </w:t>
            </w:r>
            <w:r>
              <w:rPr>
                <w:rFonts w:hint="default" w:ascii="Times New Roman" w:hAnsi="Times New Roman" w:eastAsia="宋体" w:cs="Times New Roman"/>
                <w:color w:val="000008"/>
                <w:spacing w:val="-3"/>
                <w:sz w:val="21"/>
                <w:szCs w:val="21"/>
                <w:highlight w:val="none"/>
              </w:rPr>
              <w:t>光度法 GB/T</w:t>
            </w:r>
            <w:r>
              <w:rPr>
                <w:rFonts w:hint="default" w:ascii="Times New Roman" w:hAnsi="Times New Roman" w:eastAsia="宋体" w:cs="Times New Roman"/>
                <w:color w:val="000008"/>
                <w:spacing w:val="39"/>
                <w:w w:val="101"/>
                <w:sz w:val="21"/>
                <w:szCs w:val="21"/>
                <w:highlight w:val="none"/>
              </w:rPr>
              <w:t xml:space="preserve"> </w:t>
            </w:r>
            <w:r>
              <w:rPr>
                <w:rFonts w:hint="default" w:ascii="Times New Roman" w:hAnsi="Times New Roman" w:eastAsia="宋体" w:cs="Times New Roman"/>
                <w:color w:val="000008"/>
                <w:spacing w:val="-3"/>
                <w:sz w:val="21"/>
                <w:szCs w:val="21"/>
                <w:highlight w:val="none"/>
              </w:rPr>
              <w:t>11911-1989</w:t>
            </w:r>
          </w:p>
        </w:tc>
        <w:tc>
          <w:tcPr>
            <w:tcW w:w="1004" w:type="pct"/>
            <w:tcBorders>
              <w:tl2br w:val="nil"/>
              <w:tr2bl w:val="nil"/>
            </w:tcBorders>
            <w:noWrap w:val="0"/>
            <w:vAlign w:val="center"/>
          </w:tcPr>
          <w:p w14:paraId="34897C1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0F940CA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0.01</w:t>
            </w:r>
            <w:r>
              <w:rPr>
                <w:rFonts w:hint="default" w:ascii="Times New Roman" w:hAnsi="Times New Roman" w:eastAsia="宋体" w:cs="Times New Roman"/>
                <w:sz w:val="21"/>
                <w:szCs w:val="21"/>
                <w:highlight w:val="none"/>
              </w:rPr>
              <w:t>mg/L</w:t>
            </w:r>
          </w:p>
        </w:tc>
      </w:tr>
      <w:tr w14:paraId="123F2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23225A2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044DAB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bidi="ar"/>
              </w:rPr>
              <w:t>总大肠菌群</w:t>
            </w:r>
          </w:p>
        </w:tc>
        <w:tc>
          <w:tcPr>
            <w:tcW w:w="1876" w:type="pct"/>
            <w:tcBorders>
              <w:tl2br w:val="nil"/>
              <w:tr2bl w:val="nil"/>
            </w:tcBorders>
            <w:noWrap w:val="0"/>
            <w:vAlign w:val="center"/>
          </w:tcPr>
          <w:p w14:paraId="5019C3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生活饮用水标准检验方法 第 12 部分：微生物指标（5.1 总大肠菌群 多管发酵法）</w:t>
            </w:r>
          </w:p>
          <w:p w14:paraId="7EFC29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8"/>
                <w:spacing w:val="-4"/>
                <w:sz w:val="21"/>
                <w:szCs w:val="21"/>
                <w:highlight w:val="none"/>
              </w:rPr>
            </w:pPr>
            <w:r>
              <w:rPr>
                <w:rFonts w:hint="default" w:ascii="Times New Roman" w:hAnsi="Times New Roman" w:eastAsia="宋体" w:cs="Times New Roman"/>
                <w:color w:val="auto"/>
                <w:sz w:val="21"/>
                <w:szCs w:val="21"/>
                <w:highlight w:val="none"/>
                <w:lang w:val="en-US" w:eastAsia="zh-CN" w:bidi="ar-SA"/>
              </w:rPr>
              <w:t>GB/T 5750.12-2023</w:t>
            </w:r>
          </w:p>
        </w:tc>
        <w:tc>
          <w:tcPr>
            <w:tcW w:w="1004" w:type="pct"/>
            <w:tcBorders>
              <w:tl2br w:val="nil"/>
              <w:tr2bl w:val="nil"/>
            </w:tcBorders>
            <w:noWrap w:val="0"/>
            <w:vAlign w:val="center"/>
          </w:tcPr>
          <w:p w14:paraId="71C8323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highlight w:val="none"/>
                <w:lang w:val="en-US" w:eastAsia="zh-CN" w:bidi="ar-SA"/>
              </w:rPr>
              <w:t>SHP-160JB生化培养箱BZX/YQ-010</w:t>
            </w:r>
          </w:p>
        </w:tc>
        <w:tc>
          <w:tcPr>
            <w:tcW w:w="864" w:type="pct"/>
            <w:tcBorders>
              <w:tl2br w:val="nil"/>
              <w:tr2bl w:val="nil"/>
            </w:tcBorders>
            <w:noWrap w:val="0"/>
            <w:vAlign w:val="center"/>
          </w:tcPr>
          <w:p w14:paraId="2D9441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6D9C6F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3702DB2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55DC30E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菌落总数</w:t>
            </w:r>
          </w:p>
        </w:tc>
        <w:tc>
          <w:tcPr>
            <w:tcW w:w="1876" w:type="pct"/>
            <w:tcBorders>
              <w:tl2br w:val="nil"/>
              <w:tr2bl w:val="nil"/>
            </w:tcBorders>
            <w:noWrap w:val="0"/>
            <w:vAlign w:val="center"/>
          </w:tcPr>
          <w:p w14:paraId="230E45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7"/>
                <w:position w:val="2"/>
                <w:sz w:val="21"/>
                <w:szCs w:val="21"/>
                <w:highlight w:val="none"/>
              </w:rPr>
              <w:t>生活饮用水标准检验方法 第 12 部分：微生物指标（4.1 菌落总数 平皿计数法）</w:t>
            </w:r>
          </w:p>
          <w:p w14:paraId="6880DA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7"/>
                <w:position w:val="2"/>
                <w:sz w:val="21"/>
                <w:szCs w:val="21"/>
                <w:highlight w:val="none"/>
              </w:rPr>
              <w:t>GB/T 5750.12-2023</w:t>
            </w:r>
          </w:p>
        </w:tc>
        <w:tc>
          <w:tcPr>
            <w:tcW w:w="1004" w:type="pct"/>
            <w:tcBorders>
              <w:tl2br w:val="nil"/>
              <w:tr2bl w:val="nil"/>
            </w:tcBorders>
            <w:noWrap w:val="0"/>
            <w:vAlign w:val="center"/>
          </w:tcPr>
          <w:p w14:paraId="245682C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SHP-160JB生化培养箱</w:t>
            </w:r>
          </w:p>
          <w:p w14:paraId="3E3826D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BZX/YQ-010</w:t>
            </w:r>
          </w:p>
        </w:tc>
        <w:tc>
          <w:tcPr>
            <w:tcW w:w="864" w:type="pct"/>
            <w:tcBorders>
              <w:tl2br w:val="nil"/>
              <w:tr2bl w:val="nil"/>
            </w:tcBorders>
            <w:noWrap w:val="0"/>
            <w:vAlign w:val="center"/>
          </w:tcPr>
          <w:p w14:paraId="167B7DF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1D5FB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7986617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7E53BEAF">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阴离子表面活性剂</w:t>
            </w:r>
          </w:p>
        </w:tc>
        <w:tc>
          <w:tcPr>
            <w:tcW w:w="1876" w:type="pct"/>
            <w:tcBorders>
              <w:tl2br w:val="nil"/>
              <w:tr2bl w:val="nil"/>
            </w:tcBorders>
            <w:noWrap w:val="0"/>
            <w:vAlign w:val="center"/>
          </w:tcPr>
          <w:p w14:paraId="1B8A52A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color w:val="000000"/>
                <w:sz w:val="21"/>
                <w:szCs w:val="21"/>
                <w:highlight w:val="none"/>
              </w:rPr>
              <w:t>水质 阴离子表面活性剂的测定 亚甲蓝分光光度法GB/T 7494-1987</w:t>
            </w:r>
          </w:p>
        </w:tc>
        <w:tc>
          <w:tcPr>
            <w:tcW w:w="1004" w:type="pct"/>
            <w:tcBorders>
              <w:tl2br w:val="nil"/>
              <w:tr2bl w:val="nil"/>
            </w:tcBorders>
            <w:noWrap w:val="0"/>
            <w:vAlign w:val="center"/>
          </w:tcPr>
          <w:p w14:paraId="456C6118">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000000"/>
                <w:sz w:val="21"/>
                <w:szCs w:val="21"/>
                <w:highlight w:val="none"/>
              </w:rPr>
              <w:t>T6新世纪紫外可见分光光度计BZX/YQ-012</w:t>
            </w:r>
          </w:p>
        </w:tc>
        <w:tc>
          <w:tcPr>
            <w:tcW w:w="864" w:type="pct"/>
            <w:tcBorders>
              <w:tl2br w:val="nil"/>
              <w:tr2bl w:val="nil"/>
            </w:tcBorders>
            <w:noWrap w:val="0"/>
            <w:vAlign w:val="center"/>
          </w:tcPr>
          <w:p w14:paraId="21B3BAC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rPr>
              <w:t>0.05mg/L</w:t>
            </w:r>
          </w:p>
        </w:tc>
      </w:tr>
      <w:tr w14:paraId="154DE7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37" w:type="pct"/>
            <w:vMerge w:val="continue"/>
            <w:tcBorders>
              <w:tl2br w:val="nil"/>
              <w:tr2bl w:val="nil"/>
            </w:tcBorders>
            <w:noWrap w:val="0"/>
            <w:vAlign w:val="center"/>
          </w:tcPr>
          <w:p w14:paraId="1B18AB4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717" w:type="pct"/>
            <w:tcBorders>
              <w:tl2br w:val="nil"/>
              <w:tr2bl w:val="nil"/>
            </w:tcBorders>
            <w:noWrap w:val="0"/>
            <w:vAlign w:val="center"/>
          </w:tcPr>
          <w:p w14:paraId="13DD416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sz w:val="21"/>
                <w:szCs w:val="21"/>
                <w:highlight w:val="none"/>
              </w:rPr>
              <w:t>铬</w:t>
            </w:r>
          </w:p>
        </w:tc>
        <w:tc>
          <w:tcPr>
            <w:tcW w:w="1876" w:type="pct"/>
            <w:tcBorders>
              <w:tl2br w:val="nil"/>
              <w:tr2bl w:val="nil"/>
            </w:tcBorders>
            <w:noWrap w:val="0"/>
            <w:vAlign w:val="center"/>
          </w:tcPr>
          <w:p w14:paraId="70E4AEEC">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7"/>
                <w:position w:val="2"/>
                <w:sz w:val="21"/>
                <w:szCs w:val="21"/>
                <w:highlight w:val="none"/>
              </w:rPr>
            </w:pPr>
            <w:r>
              <w:rPr>
                <w:rFonts w:hint="default" w:ascii="Times New Roman" w:hAnsi="Times New Roman" w:eastAsia="宋体" w:cs="Times New Roman"/>
                <w:sz w:val="21"/>
                <w:szCs w:val="21"/>
                <w:highlight w:val="none"/>
              </w:rPr>
              <w:t>水质 铬的测定 火焰原子吸收分光光度法HJ 757-2015</w:t>
            </w:r>
          </w:p>
        </w:tc>
        <w:tc>
          <w:tcPr>
            <w:tcW w:w="1004" w:type="pct"/>
            <w:tcBorders>
              <w:tl2br w:val="nil"/>
              <w:tr2bl w:val="nil"/>
            </w:tcBorders>
            <w:noWrap w:val="0"/>
            <w:vAlign w:val="center"/>
          </w:tcPr>
          <w:p w14:paraId="3CA3C85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A3AFG原子吸收分光光度计BZX/YQ-005</w:t>
            </w:r>
          </w:p>
        </w:tc>
        <w:tc>
          <w:tcPr>
            <w:tcW w:w="864" w:type="pct"/>
            <w:tcBorders>
              <w:tl2br w:val="nil"/>
              <w:tr2bl w:val="nil"/>
            </w:tcBorders>
            <w:noWrap w:val="0"/>
            <w:vAlign w:val="center"/>
          </w:tcPr>
          <w:p w14:paraId="1F202CA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0.03mg/L</w:t>
            </w:r>
          </w:p>
        </w:tc>
      </w:tr>
    </w:tbl>
    <w:p w14:paraId="29F4EA9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4.2.4.4评价标准</w:t>
      </w:r>
    </w:p>
    <w:p w14:paraId="33D79E29">
      <w:pPr>
        <w:pStyle w:val="72"/>
      </w:pPr>
      <w:r>
        <w:rPr>
          <w:rFonts w:hint="eastAsia"/>
        </w:rPr>
        <w:t>本项目地下水现状质量评价</w:t>
      </w:r>
      <w:r>
        <w:t>执行《地下水质量标准》（GB/T14848-</w:t>
      </w:r>
      <w:r>
        <w:rPr>
          <w:rFonts w:hint="eastAsia"/>
        </w:rPr>
        <w:t>2017</w:t>
      </w:r>
      <w:r>
        <w:t>）中的</w:t>
      </w:r>
      <w:r>
        <w:rPr>
          <w:rFonts w:cs="Times New Roman"/>
        </w:rPr>
        <w:t>Ⅲ</w:t>
      </w:r>
      <w:r>
        <w:t>类标准，见</w:t>
      </w:r>
      <w:r>
        <w:rPr>
          <w:rFonts w:hint="eastAsia"/>
        </w:rPr>
        <w:t>下</w:t>
      </w:r>
      <w:r>
        <w:t>表。</w:t>
      </w:r>
    </w:p>
    <w:p w14:paraId="562E40E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szCs w:val="21"/>
        </w:rPr>
      </w:pPr>
      <w:r>
        <w:t>表</w:t>
      </w:r>
      <w:r>
        <w:rPr>
          <w:rFonts w:hint="eastAsia"/>
        </w:rPr>
        <w:t>4</w:t>
      </w:r>
      <w:r>
        <w:rPr>
          <w:rFonts w:hint="eastAsia"/>
          <w:lang w:val="en-US" w:eastAsia="zh-CN"/>
        </w:rPr>
        <w:t>.2</w:t>
      </w:r>
      <w:r>
        <w:t>-</w:t>
      </w:r>
      <w:r>
        <w:rPr>
          <w:rFonts w:hint="eastAsia"/>
          <w:lang w:val="en-US" w:eastAsia="zh-CN"/>
        </w:rPr>
        <w:t>12</w:t>
      </w:r>
      <w:r>
        <w:rPr>
          <w:rFonts w:hint="eastAsia"/>
        </w:rPr>
        <w:t xml:space="preserve">   </w:t>
      </w:r>
      <w:r>
        <w:rPr>
          <w:rFonts w:hint="eastAsia"/>
          <w:lang w:val="en-US" w:eastAsia="zh-CN"/>
        </w:rPr>
        <w:t xml:space="preserve"> </w:t>
      </w:r>
      <w:r>
        <w:t xml:space="preserve">地下水质量标准   </w:t>
      </w:r>
      <w:r>
        <w:rPr>
          <w:rFonts w:hint="eastAsia"/>
        </w:rPr>
        <w:t xml:space="preserve">         </w:t>
      </w:r>
      <w:r>
        <w:t xml:space="preserve">  </w:t>
      </w:r>
      <w:r>
        <w:rPr>
          <w:szCs w:val="21"/>
        </w:rPr>
        <w:t>单位：mg/L</w:t>
      </w:r>
    </w:p>
    <w:tbl>
      <w:tblPr>
        <w:tblStyle w:val="39"/>
        <w:tblW w:w="5080"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1992"/>
        <w:gridCol w:w="1070"/>
        <w:gridCol w:w="1415"/>
        <w:gridCol w:w="1342"/>
        <w:gridCol w:w="1504"/>
        <w:gridCol w:w="1341"/>
      </w:tblGrid>
      <w:tr w14:paraId="34C6828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477DFBF9">
            <w:pPr>
              <w:pStyle w:val="81"/>
              <w:rPr>
                <w:color w:val="auto"/>
              </w:rPr>
            </w:pPr>
            <w:r>
              <w:rPr>
                <w:color w:val="auto"/>
              </w:rPr>
              <w:t>项目</w:t>
            </w:r>
          </w:p>
        </w:tc>
        <w:tc>
          <w:tcPr>
            <w:tcW w:w="617" w:type="pct"/>
            <w:tcMar>
              <w:left w:w="0" w:type="dxa"/>
              <w:right w:w="0" w:type="dxa"/>
            </w:tcMar>
            <w:vAlign w:val="center"/>
          </w:tcPr>
          <w:p w14:paraId="47384F8E">
            <w:pPr>
              <w:pStyle w:val="81"/>
              <w:rPr>
                <w:color w:val="auto"/>
              </w:rPr>
            </w:pPr>
            <w:r>
              <w:rPr>
                <w:rFonts w:hint="eastAsia"/>
                <w:color w:val="auto"/>
              </w:rPr>
              <w:t>Ⅲ</w:t>
            </w:r>
            <w:r>
              <w:rPr>
                <w:color w:val="auto"/>
              </w:rPr>
              <w:t>类标准</w:t>
            </w:r>
          </w:p>
          <w:p w14:paraId="5650DB18">
            <w:pPr>
              <w:pStyle w:val="81"/>
              <w:rPr>
                <w:color w:val="auto"/>
              </w:rPr>
            </w:pPr>
            <w:r>
              <w:rPr>
                <w:color w:val="auto"/>
              </w:rPr>
              <w:t>限值</w:t>
            </w:r>
          </w:p>
        </w:tc>
        <w:tc>
          <w:tcPr>
            <w:tcW w:w="816" w:type="pct"/>
            <w:vAlign w:val="center"/>
          </w:tcPr>
          <w:p w14:paraId="76F1FFC2">
            <w:pPr>
              <w:pStyle w:val="81"/>
              <w:rPr>
                <w:color w:val="auto"/>
              </w:rPr>
            </w:pPr>
            <w:r>
              <w:rPr>
                <w:color w:val="auto"/>
              </w:rPr>
              <w:t>项目</w:t>
            </w:r>
          </w:p>
        </w:tc>
        <w:tc>
          <w:tcPr>
            <w:tcW w:w="774" w:type="pct"/>
            <w:vAlign w:val="center"/>
          </w:tcPr>
          <w:p w14:paraId="3CED9FBA">
            <w:pPr>
              <w:pStyle w:val="81"/>
              <w:rPr>
                <w:color w:val="auto"/>
              </w:rPr>
            </w:pPr>
            <w:r>
              <w:rPr>
                <w:rFonts w:hint="eastAsia"/>
                <w:color w:val="auto"/>
              </w:rPr>
              <w:t>Ⅲ</w:t>
            </w:r>
            <w:r>
              <w:rPr>
                <w:color w:val="auto"/>
              </w:rPr>
              <w:t>类标</w:t>
            </w:r>
          </w:p>
          <w:p w14:paraId="03156BEE">
            <w:pPr>
              <w:pStyle w:val="81"/>
              <w:rPr>
                <w:color w:val="auto"/>
              </w:rPr>
            </w:pPr>
            <w:r>
              <w:rPr>
                <w:color w:val="auto"/>
              </w:rPr>
              <w:t>准限值</w:t>
            </w:r>
          </w:p>
        </w:tc>
        <w:tc>
          <w:tcPr>
            <w:tcW w:w="867" w:type="pct"/>
            <w:vAlign w:val="center"/>
          </w:tcPr>
          <w:p w14:paraId="67DA3644">
            <w:pPr>
              <w:pStyle w:val="81"/>
              <w:rPr>
                <w:color w:val="auto"/>
              </w:rPr>
            </w:pPr>
            <w:r>
              <w:rPr>
                <w:color w:val="auto"/>
              </w:rPr>
              <w:t>项目</w:t>
            </w:r>
          </w:p>
        </w:tc>
        <w:tc>
          <w:tcPr>
            <w:tcW w:w="773" w:type="pct"/>
            <w:vAlign w:val="center"/>
          </w:tcPr>
          <w:p w14:paraId="3960C05F">
            <w:pPr>
              <w:pStyle w:val="81"/>
              <w:rPr>
                <w:color w:val="auto"/>
              </w:rPr>
            </w:pPr>
            <w:r>
              <w:rPr>
                <w:rFonts w:hint="eastAsia"/>
                <w:color w:val="auto"/>
              </w:rPr>
              <w:t>Ⅲ</w:t>
            </w:r>
            <w:r>
              <w:rPr>
                <w:color w:val="auto"/>
              </w:rPr>
              <w:t>类标准</w:t>
            </w:r>
          </w:p>
          <w:p w14:paraId="4FC0DC0B">
            <w:pPr>
              <w:pStyle w:val="81"/>
              <w:rPr>
                <w:color w:val="auto"/>
              </w:rPr>
            </w:pPr>
            <w:r>
              <w:rPr>
                <w:color w:val="auto"/>
              </w:rPr>
              <w:t>限值</w:t>
            </w:r>
          </w:p>
        </w:tc>
      </w:tr>
      <w:tr w14:paraId="75580BDC">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3E8ABB3B">
            <w:pPr>
              <w:pStyle w:val="75"/>
            </w:pPr>
            <w:r>
              <w:t>pH</w:t>
            </w:r>
          </w:p>
        </w:tc>
        <w:tc>
          <w:tcPr>
            <w:tcW w:w="617" w:type="pct"/>
            <w:vAlign w:val="center"/>
          </w:tcPr>
          <w:p w14:paraId="6B3D8AC4">
            <w:pPr>
              <w:pStyle w:val="75"/>
            </w:pPr>
            <w:r>
              <w:t>6.5~8.5</w:t>
            </w:r>
          </w:p>
        </w:tc>
        <w:tc>
          <w:tcPr>
            <w:tcW w:w="816" w:type="pct"/>
            <w:vAlign w:val="center"/>
          </w:tcPr>
          <w:p w14:paraId="33017438">
            <w:pPr>
              <w:pStyle w:val="75"/>
              <w:rPr>
                <w:rFonts w:hint="eastAsia" w:eastAsia="宋体"/>
                <w:lang w:eastAsia="zh-CN"/>
              </w:rPr>
            </w:pPr>
            <w:r>
              <w:rPr>
                <w:rFonts w:hint="eastAsia"/>
                <w:lang w:val="en-US" w:eastAsia="zh-CN"/>
              </w:rPr>
              <w:t>氯化物</w:t>
            </w:r>
          </w:p>
        </w:tc>
        <w:tc>
          <w:tcPr>
            <w:tcW w:w="774" w:type="pct"/>
            <w:vAlign w:val="center"/>
          </w:tcPr>
          <w:p w14:paraId="59D45B4A">
            <w:pPr>
              <w:pStyle w:val="75"/>
            </w:pPr>
            <w:r>
              <w:t>250</w:t>
            </w:r>
          </w:p>
        </w:tc>
        <w:tc>
          <w:tcPr>
            <w:tcW w:w="867" w:type="pct"/>
            <w:vAlign w:val="center"/>
          </w:tcPr>
          <w:p w14:paraId="42BF02A5">
            <w:pPr>
              <w:pStyle w:val="75"/>
            </w:pPr>
            <w:r>
              <w:t>Na</w:t>
            </w:r>
            <w:r>
              <w:rPr>
                <w:vertAlign w:val="superscript"/>
              </w:rPr>
              <w:t>+</w:t>
            </w:r>
          </w:p>
        </w:tc>
        <w:tc>
          <w:tcPr>
            <w:tcW w:w="773" w:type="pct"/>
            <w:vAlign w:val="center"/>
          </w:tcPr>
          <w:p w14:paraId="34D548D6">
            <w:pPr>
              <w:pStyle w:val="75"/>
            </w:pPr>
            <w:r>
              <w:rPr>
                <w:rFonts w:hint="eastAsia"/>
              </w:rPr>
              <w:t>/</w:t>
            </w:r>
          </w:p>
        </w:tc>
      </w:tr>
      <w:tr w14:paraId="64CC737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4DCBFA1F">
            <w:pPr>
              <w:pStyle w:val="75"/>
            </w:pPr>
            <w:r>
              <w:t>总硬度</w:t>
            </w:r>
          </w:p>
        </w:tc>
        <w:tc>
          <w:tcPr>
            <w:tcW w:w="617" w:type="pct"/>
            <w:vAlign w:val="center"/>
          </w:tcPr>
          <w:p w14:paraId="25475333">
            <w:pPr>
              <w:pStyle w:val="75"/>
            </w:pPr>
            <w:r>
              <w:t>450</w:t>
            </w:r>
          </w:p>
        </w:tc>
        <w:tc>
          <w:tcPr>
            <w:tcW w:w="816" w:type="pct"/>
            <w:vAlign w:val="center"/>
          </w:tcPr>
          <w:p w14:paraId="3C4FA07F">
            <w:pPr>
              <w:pStyle w:val="75"/>
              <w:rPr>
                <w:rFonts w:hint="eastAsia" w:eastAsia="宋体"/>
                <w:lang w:val="en-US" w:eastAsia="zh-CN"/>
              </w:rPr>
            </w:pPr>
            <w:r>
              <w:rPr>
                <w:rFonts w:hint="eastAsia"/>
                <w:lang w:val="en-US" w:eastAsia="zh-CN"/>
              </w:rPr>
              <w:t>硫酸盐</w:t>
            </w:r>
          </w:p>
        </w:tc>
        <w:tc>
          <w:tcPr>
            <w:tcW w:w="774" w:type="pct"/>
            <w:vAlign w:val="center"/>
          </w:tcPr>
          <w:p w14:paraId="55CD013A">
            <w:pPr>
              <w:pStyle w:val="75"/>
            </w:pPr>
            <w:r>
              <w:t>250</w:t>
            </w:r>
          </w:p>
        </w:tc>
        <w:tc>
          <w:tcPr>
            <w:tcW w:w="867" w:type="pct"/>
            <w:vAlign w:val="center"/>
          </w:tcPr>
          <w:p w14:paraId="34B4E6C9">
            <w:pPr>
              <w:pStyle w:val="75"/>
            </w:pPr>
            <w:r>
              <w:t>HCO</w:t>
            </w:r>
            <w:r>
              <w:rPr>
                <w:vertAlign w:val="subscript"/>
              </w:rPr>
              <w:t>3</w:t>
            </w:r>
            <w:r>
              <w:rPr>
                <w:vertAlign w:val="superscript"/>
              </w:rPr>
              <w:t>-</w:t>
            </w:r>
          </w:p>
        </w:tc>
        <w:tc>
          <w:tcPr>
            <w:tcW w:w="773" w:type="pct"/>
            <w:vAlign w:val="center"/>
          </w:tcPr>
          <w:p w14:paraId="1B068942">
            <w:pPr>
              <w:pStyle w:val="75"/>
            </w:pPr>
            <w:r>
              <w:t>/</w:t>
            </w:r>
          </w:p>
        </w:tc>
      </w:tr>
      <w:tr w14:paraId="0107EE5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1276181D">
            <w:pPr>
              <w:pStyle w:val="75"/>
            </w:pPr>
            <w:r>
              <w:rPr>
                <w:rFonts w:hint="eastAsia"/>
              </w:rPr>
              <w:t>耗氧量</w:t>
            </w:r>
          </w:p>
        </w:tc>
        <w:tc>
          <w:tcPr>
            <w:tcW w:w="617" w:type="pct"/>
            <w:vAlign w:val="center"/>
          </w:tcPr>
          <w:p w14:paraId="5787C462">
            <w:pPr>
              <w:pStyle w:val="75"/>
            </w:pPr>
            <w:r>
              <w:t>3.0</w:t>
            </w:r>
          </w:p>
        </w:tc>
        <w:tc>
          <w:tcPr>
            <w:tcW w:w="816" w:type="pct"/>
            <w:vAlign w:val="center"/>
          </w:tcPr>
          <w:p w14:paraId="0E85D81E">
            <w:pPr>
              <w:pStyle w:val="75"/>
            </w:pPr>
            <w:r>
              <w:t>K</w:t>
            </w:r>
            <w:r>
              <w:rPr>
                <w:vertAlign w:val="superscript"/>
              </w:rPr>
              <w:t>+</w:t>
            </w:r>
          </w:p>
        </w:tc>
        <w:tc>
          <w:tcPr>
            <w:tcW w:w="774" w:type="pct"/>
            <w:vAlign w:val="center"/>
          </w:tcPr>
          <w:p w14:paraId="3FC0BBAF">
            <w:pPr>
              <w:pStyle w:val="75"/>
            </w:pPr>
            <w:r>
              <w:t>/</w:t>
            </w:r>
          </w:p>
        </w:tc>
        <w:tc>
          <w:tcPr>
            <w:tcW w:w="867" w:type="pct"/>
            <w:vAlign w:val="center"/>
          </w:tcPr>
          <w:p w14:paraId="5FECF8AC">
            <w:pPr>
              <w:pStyle w:val="75"/>
            </w:pPr>
            <w:r>
              <w:t>CO</w:t>
            </w:r>
            <w:r>
              <w:rPr>
                <w:vertAlign w:val="subscript"/>
              </w:rPr>
              <w:t>3</w:t>
            </w:r>
            <w:r>
              <w:rPr>
                <w:vertAlign w:val="superscript"/>
              </w:rPr>
              <w:t>2-</w:t>
            </w:r>
          </w:p>
        </w:tc>
        <w:tc>
          <w:tcPr>
            <w:tcW w:w="773" w:type="pct"/>
            <w:vAlign w:val="center"/>
          </w:tcPr>
          <w:p w14:paraId="210CBEFF">
            <w:pPr>
              <w:pStyle w:val="75"/>
            </w:pPr>
            <w:r>
              <w:t>/</w:t>
            </w:r>
          </w:p>
        </w:tc>
      </w:tr>
      <w:tr w14:paraId="448297A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284E5D50">
            <w:pPr>
              <w:pStyle w:val="75"/>
            </w:pPr>
            <w:r>
              <w:t>氨氮</w:t>
            </w:r>
          </w:p>
        </w:tc>
        <w:tc>
          <w:tcPr>
            <w:tcW w:w="617" w:type="pct"/>
            <w:vAlign w:val="center"/>
          </w:tcPr>
          <w:p w14:paraId="615E8F44">
            <w:pPr>
              <w:pStyle w:val="75"/>
            </w:pPr>
            <w:r>
              <w:t>0.</w:t>
            </w:r>
            <w:r>
              <w:rPr>
                <w:rFonts w:hint="eastAsia"/>
              </w:rPr>
              <w:t>5</w:t>
            </w:r>
          </w:p>
        </w:tc>
        <w:tc>
          <w:tcPr>
            <w:tcW w:w="816" w:type="pct"/>
            <w:vAlign w:val="center"/>
          </w:tcPr>
          <w:p w14:paraId="03AB1ACE">
            <w:pPr>
              <w:pStyle w:val="75"/>
            </w:pPr>
            <w:r>
              <w:t>Ca</w:t>
            </w:r>
            <w:r>
              <w:rPr>
                <w:vertAlign w:val="superscript"/>
              </w:rPr>
              <w:t>2+</w:t>
            </w:r>
          </w:p>
        </w:tc>
        <w:tc>
          <w:tcPr>
            <w:tcW w:w="774" w:type="pct"/>
            <w:vAlign w:val="center"/>
          </w:tcPr>
          <w:p w14:paraId="56300CA1">
            <w:pPr>
              <w:pStyle w:val="75"/>
            </w:pPr>
            <w:r>
              <w:t>/</w:t>
            </w:r>
          </w:p>
        </w:tc>
        <w:tc>
          <w:tcPr>
            <w:tcW w:w="867" w:type="pct"/>
            <w:vAlign w:val="center"/>
          </w:tcPr>
          <w:p w14:paraId="0C615462">
            <w:pPr>
              <w:pStyle w:val="75"/>
            </w:pPr>
            <w:r>
              <w:t>Mg</w:t>
            </w:r>
            <w:r>
              <w:rPr>
                <w:rFonts w:hint="eastAsia"/>
                <w:vertAlign w:val="superscript"/>
              </w:rPr>
              <w:t>2</w:t>
            </w:r>
            <w:r>
              <w:rPr>
                <w:vertAlign w:val="superscript"/>
              </w:rPr>
              <w:t>+</w:t>
            </w:r>
          </w:p>
        </w:tc>
        <w:tc>
          <w:tcPr>
            <w:tcW w:w="773" w:type="pct"/>
            <w:vAlign w:val="center"/>
          </w:tcPr>
          <w:p w14:paraId="0CEEE98E">
            <w:pPr>
              <w:pStyle w:val="75"/>
            </w:pPr>
            <w:r>
              <w:t>/</w:t>
            </w:r>
          </w:p>
        </w:tc>
      </w:tr>
      <w:tr w14:paraId="7777013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610165F8">
            <w:pPr>
              <w:pStyle w:val="75"/>
            </w:pPr>
            <w:r>
              <w:t>溶解性总固体</w:t>
            </w:r>
          </w:p>
        </w:tc>
        <w:tc>
          <w:tcPr>
            <w:tcW w:w="617" w:type="pct"/>
            <w:vAlign w:val="center"/>
          </w:tcPr>
          <w:p w14:paraId="0DB1B5AF">
            <w:pPr>
              <w:pStyle w:val="75"/>
            </w:pPr>
            <w:r>
              <w:t>1000</w:t>
            </w:r>
          </w:p>
        </w:tc>
        <w:tc>
          <w:tcPr>
            <w:tcW w:w="816" w:type="pct"/>
            <w:vAlign w:val="center"/>
          </w:tcPr>
          <w:p w14:paraId="7593C533">
            <w:pPr>
              <w:pStyle w:val="75"/>
            </w:pPr>
            <w:r>
              <w:t>挥发性酚类</w:t>
            </w:r>
          </w:p>
        </w:tc>
        <w:tc>
          <w:tcPr>
            <w:tcW w:w="774" w:type="pct"/>
            <w:vAlign w:val="center"/>
          </w:tcPr>
          <w:p w14:paraId="4101326F">
            <w:pPr>
              <w:pStyle w:val="75"/>
            </w:pPr>
            <w:r>
              <w:rPr>
                <w:rFonts w:hint="eastAsia"/>
              </w:rPr>
              <w:t>0.002</w:t>
            </w:r>
          </w:p>
        </w:tc>
        <w:tc>
          <w:tcPr>
            <w:tcW w:w="867" w:type="pct"/>
            <w:vAlign w:val="center"/>
          </w:tcPr>
          <w:p w14:paraId="65F89E5E">
            <w:pPr>
              <w:pStyle w:val="75"/>
            </w:pPr>
            <w:r>
              <w:rPr>
                <w:rFonts w:hint="eastAsia"/>
              </w:rPr>
              <w:t>总大肠菌群</w:t>
            </w:r>
          </w:p>
        </w:tc>
        <w:tc>
          <w:tcPr>
            <w:tcW w:w="773" w:type="pct"/>
            <w:vAlign w:val="center"/>
          </w:tcPr>
          <w:p w14:paraId="0DE07862">
            <w:pPr>
              <w:pStyle w:val="75"/>
            </w:pPr>
            <w:r>
              <w:rPr>
                <w:rFonts w:hint="eastAsia"/>
              </w:rPr>
              <w:t>3</w:t>
            </w:r>
          </w:p>
        </w:tc>
      </w:tr>
      <w:tr w14:paraId="273355B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2B76B556">
            <w:pPr>
              <w:pStyle w:val="75"/>
            </w:pPr>
            <w:r>
              <w:rPr>
                <w:rFonts w:hint="eastAsia"/>
              </w:rPr>
              <w:t>亚硝酸盐</w:t>
            </w:r>
          </w:p>
        </w:tc>
        <w:tc>
          <w:tcPr>
            <w:tcW w:w="617" w:type="pct"/>
            <w:vAlign w:val="center"/>
          </w:tcPr>
          <w:p w14:paraId="04175E9E">
            <w:pPr>
              <w:pStyle w:val="75"/>
            </w:pPr>
            <w:r>
              <w:rPr>
                <w:rFonts w:hint="eastAsia"/>
              </w:rPr>
              <w:t>1</w:t>
            </w:r>
          </w:p>
        </w:tc>
        <w:tc>
          <w:tcPr>
            <w:tcW w:w="816" w:type="pct"/>
            <w:vAlign w:val="center"/>
          </w:tcPr>
          <w:p w14:paraId="0F95739F">
            <w:pPr>
              <w:pStyle w:val="75"/>
            </w:pPr>
            <w:r>
              <w:t>砷</w:t>
            </w:r>
          </w:p>
        </w:tc>
        <w:tc>
          <w:tcPr>
            <w:tcW w:w="774" w:type="pct"/>
            <w:vAlign w:val="center"/>
          </w:tcPr>
          <w:p w14:paraId="73815248">
            <w:pPr>
              <w:pStyle w:val="75"/>
            </w:pPr>
            <w:r>
              <w:rPr>
                <w:rFonts w:hint="eastAsia"/>
              </w:rPr>
              <w:t>0.01</w:t>
            </w:r>
          </w:p>
        </w:tc>
        <w:tc>
          <w:tcPr>
            <w:tcW w:w="867" w:type="pct"/>
            <w:vAlign w:val="center"/>
          </w:tcPr>
          <w:p w14:paraId="433E84D9">
            <w:pPr>
              <w:pStyle w:val="75"/>
            </w:pPr>
            <w:r>
              <w:t>细菌总数</w:t>
            </w:r>
          </w:p>
        </w:tc>
        <w:tc>
          <w:tcPr>
            <w:tcW w:w="773" w:type="pct"/>
            <w:vAlign w:val="center"/>
          </w:tcPr>
          <w:p w14:paraId="507B59DD">
            <w:pPr>
              <w:pStyle w:val="75"/>
            </w:pPr>
            <w:r>
              <w:rPr>
                <w:rFonts w:hint="eastAsia"/>
              </w:rPr>
              <w:t>100</w:t>
            </w:r>
          </w:p>
        </w:tc>
      </w:tr>
      <w:tr w14:paraId="4DFFEF0F">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776D276C">
            <w:pPr>
              <w:pStyle w:val="75"/>
            </w:pPr>
            <w:r>
              <w:rPr>
                <w:rFonts w:hint="eastAsia"/>
              </w:rPr>
              <w:t>硝酸盐</w:t>
            </w:r>
          </w:p>
        </w:tc>
        <w:tc>
          <w:tcPr>
            <w:tcW w:w="617" w:type="pct"/>
            <w:vAlign w:val="center"/>
          </w:tcPr>
          <w:p w14:paraId="318E4C6D">
            <w:pPr>
              <w:pStyle w:val="75"/>
            </w:pPr>
            <w:r>
              <w:rPr>
                <w:rFonts w:hint="eastAsia"/>
              </w:rPr>
              <w:t>20</w:t>
            </w:r>
          </w:p>
        </w:tc>
        <w:tc>
          <w:tcPr>
            <w:tcW w:w="816" w:type="pct"/>
            <w:vAlign w:val="center"/>
          </w:tcPr>
          <w:p w14:paraId="3B16C48B">
            <w:pPr>
              <w:pStyle w:val="75"/>
            </w:pPr>
            <w:r>
              <w:t>汞</w:t>
            </w:r>
          </w:p>
        </w:tc>
        <w:tc>
          <w:tcPr>
            <w:tcW w:w="774" w:type="pct"/>
            <w:vAlign w:val="center"/>
          </w:tcPr>
          <w:p w14:paraId="737EE541">
            <w:pPr>
              <w:pStyle w:val="75"/>
            </w:pPr>
            <w:r>
              <w:rPr>
                <w:rFonts w:hint="eastAsia"/>
              </w:rPr>
              <w:t>0.001</w:t>
            </w:r>
          </w:p>
        </w:tc>
        <w:tc>
          <w:tcPr>
            <w:tcW w:w="867" w:type="pct"/>
            <w:vAlign w:val="center"/>
          </w:tcPr>
          <w:p w14:paraId="662DE9DE">
            <w:pPr>
              <w:pStyle w:val="75"/>
            </w:pPr>
            <w:r>
              <w:t>铅</w:t>
            </w:r>
          </w:p>
        </w:tc>
        <w:tc>
          <w:tcPr>
            <w:tcW w:w="773" w:type="pct"/>
            <w:vAlign w:val="center"/>
          </w:tcPr>
          <w:p w14:paraId="0A71E236">
            <w:pPr>
              <w:pStyle w:val="75"/>
            </w:pPr>
            <w:r>
              <w:rPr>
                <w:rFonts w:hint="eastAsia"/>
              </w:rPr>
              <w:t>0.01</w:t>
            </w:r>
          </w:p>
        </w:tc>
      </w:tr>
      <w:tr w14:paraId="0493B9AC">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6E82EA30">
            <w:pPr>
              <w:pStyle w:val="75"/>
            </w:pPr>
            <w:r>
              <w:rPr>
                <w:rFonts w:hint="eastAsia"/>
              </w:rPr>
              <w:t>铁</w:t>
            </w:r>
          </w:p>
        </w:tc>
        <w:tc>
          <w:tcPr>
            <w:tcW w:w="617" w:type="pct"/>
            <w:vAlign w:val="center"/>
          </w:tcPr>
          <w:p w14:paraId="2F5F282D">
            <w:pPr>
              <w:pStyle w:val="75"/>
            </w:pPr>
            <w:r>
              <w:rPr>
                <w:rFonts w:hint="eastAsia"/>
              </w:rPr>
              <w:t>0.3</w:t>
            </w:r>
          </w:p>
        </w:tc>
        <w:tc>
          <w:tcPr>
            <w:tcW w:w="816" w:type="pct"/>
            <w:vAlign w:val="center"/>
          </w:tcPr>
          <w:p w14:paraId="7095202F">
            <w:pPr>
              <w:pStyle w:val="75"/>
            </w:pPr>
            <w:r>
              <w:t>镍</w:t>
            </w:r>
          </w:p>
        </w:tc>
        <w:tc>
          <w:tcPr>
            <w:tcW w:w="774" w:type="pct"/>
            <w:vAlign w:val="center"/>
          </w:tcPr>
          <w:p w14:paraId="2400A31D">
            <w:pPr>
              <w:pStyle w:val="75"/>
            </w:pPr>
            <w:r>
              <w:rPr>
                <w:rFonts w:hint="eastAsia"/>
              </w:rPr>
              <w:t>0.02</w:t>
            </w:r>
          </w:p>
        </w:tc>
        <w:tc>
          <w:tcPr>
            <w:tcW w:w="867" w:type="pct"/>
            <w:vAlign w:val="center"/>
          </w:tcPr>
          <w:p w14:paraId="477E42B6">
            <w:pPr>
              <w:pStyle w:val="75"/>
            </w:pPr>
            <w:r>
              <w:t>硫化物</w:t>
            </w:r>
          </w:p>
        </w:tc>
        <w:tc>
          <w:tcPr>
            <w:tcW w:w="773" w:type="pct"/>
            <w:vAlign w:val="center"/>
          </w:tcPr>
          <w:p w14:paraId="51D21C47">
            <w:pPr>
              <w:pStyle w:val="75"/>
            </w:pPr>
            <w:r>
              <w:rPr>
                <w:rFonts w:hint="eastAsia"/>
              </w:rPr>
              <w:t>0.02</w:t>
            </w:r>
          </w:p>
        </w:tc>
      </w:tr>
      <w:tr w14:paraId="3BC70D2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3246A1D9">
            <w:pPr>
              <w:pStyle w:val="75"/>
            </w:pPr>
            <w:r>
              <w:t>阴离子表面活性剂</w:t>
            </w:r>
          </w:p>
        </w:tc>
        <w:tc>
          <w:tcPr>
            <w:tcW w:w="617" w:type="pct"/>
            <w:vAlign w:val="center"/>
          </w:tcPr>
          <w:p w14:paraId="5ABBDBAB">
            <w:pPr>
              <w:pStyle w:val="75"/>
            </w:pPr>
            <w:r>
              <w:rPr>
                <w:rFonts w:hint="eastAsia"/>
              </w:rPr>
              <w:t>0.3</w:t>
            </w:r>
          </w:p>
        </w:tc>
        <w:tc>
          <w:tcPr>
            <w:tcW w:w="816" w:type="pct"/>
            <w:vAlign w:val="center"/>
          </w:tcPr>
          <w:p w14:paraId="73E72727">
            <w:pPr>
              <w:pStyle w:val="75"/>
              <w:tabs>
                <w:tab w:val="left" w:pos="525"/>
                <w:tab w:val="center" w:pos="626"/>
              </w:tabs>
            </w:pPr>
            <w:r>
              <w:t>氟化物</w:t>
            </w:r>
          </w:p>
        </w:tc>
        <w:tc>
          <w:tcPr>
            <w:tcW w:w="774" w:type="pct"/>
            <w:vAlign w:val="center"/>
          </w:tcPr>
          <w:p w14:paraId="05D602ED">
            <w:pPr>
              <w:pStyle w:val="75"/>
            </w:pPr>
            <w:r>
              <w:rPr>
                <w:rFonts w:hint="eastAsia"/>
              </w:rPr>
              <w:t>1.0</w:t>
            </w:r>
          </w:p>
        </w:tc>
        <w:tc>
          <w:tcPr>
            <w:tcW w:w="867" w:type="pct"/>
            <w:vAlign w:val="center"/>
          </w:tcPr>
          <w:p w14:paraId="7E3AE608">
            <w:pPr>
              <w:pStyle w:val="75"/>
              <w:rPr>
                <w:rFonts w:hint="default" w:eastAsia="宋体"/>
                <w:lang w:val="en-US" w:eastAsia="zh-CN"/>
              </w:rPr>
            </w:pPr>
            <w:r>
              <w:t>铬</w:t>
            </w:r>
            <w:r>
              <w:rPr>
                <w:rFonts w:hint="eastAsia"/>
                <w:lang w:eastAsia="zh-CN"/>
              </w:rPr>
              <w:t>（</w:t>
            </w:r>
            <w:r>
              <w:rPr>
                <w:rFonts w:hint="eastAsia"/>
                <w:lang w:val="en-US" w:eastAsia="zh-CN"/>
              </w:rPr>
              <w:t>六价</w:t>
            </w:r>
            <w:r>
              <w:rPr>
                <w:rFonts w:hint="eastAsia"/>
                <w:lang w:eastAsia="zh-CN"/>
              </w:rPr>
              <w:t>）</w:t>
            </w:r>
          </w:p>
        </w:tc>
        <w:tc>
          <w:tcPr>
            <w:tcW w:w="773" w:type="pct"/>
            <w:vAlign w:val="center"/>
          </w:tcPr>
          <w:p w14:paraId="3497B9FE">
            <w:pPr>
              <w:pStyle w:val="75"/>
            </w:pPr>
            <w:r>
              <w:rPr>
                <w:rFonts w:hint="eastAsia"/>
              </w:rPr>
              <w:t>0.05</w:t>
            </w:r>
          </w:p>
        </w:tc>
      </w:tr>
      <w:tr w14:paraId="76F6DA0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5E4F8C3E">
            <w:pPr>
              <w:pStyle w:val="75"/>
            </w:pPr>
            <w:r>
              <w:t>锰</w:t>
            </w:r>
          </w:p>
        </w:tc>
        <w:tc>
          <w:tcPr>
            <w:tcW w:w="617" w:type="pct"/>
            <w:vAlign w:val="center"/>
          </w:tcPr>
          <w:p w14:paraId="2CC41DE3">
            <w:pPr>
              <w:pStyle w:val="75"/>
            </w:pPr>
            <w:r>
              <w:rPr>
                <w:rFonts w:hint="eastAsia"/>
              </w:rPr>
              <w:t>0.1</w:t>
            </w:r>
          </w:p>
        </w:tc>
        <w:tc>
          <w:tcPr>
            <w:tcW w:w="816" w:type="pct"/>
            <w:vAlign w:val="center"/>
          </w:tcPr>
          <w:p w14:paraId="7ABB4E80">
            <w:pPr>
              <w:pStyle w:val="75"/>
            </w:pPr>
            <w:r>
              <w:t>氰化物</w:t>
            </w:r>
          </w:p>
        </w:tc>
        <w:tc>
          <w:tcPr>
            <w:tcW w:w="774" w:type="pct"/>
            <w:vAlign w:val="center"/>
          </w:tcPr>
          <w:p w14:paraId="7EBF77D0">
            <w:pPr>
              <w:pStyle w:val="75"/>
            </w:pPr>
            <w:r>
              <w:rPr>
                <w:rFonts w:hint="eastAsia"/>
              </w:rPr>
              <w:t>0.05</w:t>
            </w:r>
          </w:p>
        </w:tc>
        <w:tc>
          <w:tcPr>
            <w:tcW w:w="867" w:type="pct"/>
            <w:vAlign w:val="center"/>
          </w:tcPr>
          <w:p w14:paraId="12645562">
            <w:pPr>
              <w:pStyle w:val="75"/>
            </w:pPr>
          </w:p>
        </w:tc>
        <w:tc>
          <w:tcPr>
            <w:tcW w:w="773" w:type="pct"/>
            <w:vAlign w:val="center"/>
          </w:tcPr>
          <w:p w14:paraId="2E2C5CF4">
            <w:pPr>
              <w:pStyle w:val="75"/>
            </w:pPr>
          </w:p>
        </w:tc>
      </w:tr>
      <w:tr w14:paraId="4FC7942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pct"/>
            <w:vAlign w:val="center"/>
          </w:tcPr>
          <w:p w14:paraId="77161846">
            <w:pPr>
              <w:pStyle w:val="75"/>
            </w:pPr>
            <w:r>
              <w:t>镉</w:t>
            </w:r>
          </w:p>
        </w:tc>
        <w:tc>
          <w:tcPr>
            <w:tcW w:w="617" w:type="pct"/>
            <w:vAlign w:val="center"/>
          </w:tcPr>
          <w:p w14:paraId="25AE3363">
            <w:pPr>
              <w:pStyle w:val="75"/>
            </w:pPr>
            <w:r>
              <w:rPr>
                <w:rFonts w:hint="eastAsia"/>
              </w:rPr>
              <w:t>0.005</w:t>
            </w:r>
          </w:p>
        </w:tc>
        <w:tc>
          <w:tcPr>
            <w:tcW w:w="816" w:type="pct"/>
            <w:vAlign w:val="center"/>
          </w:tcPr>
          <w:p w14:paraId="26F61D7B">
            <w:pPr>
              <w:pStyle w:val="75"/>
            </w:pPr>
            <w:r>
              <w:rPr>
                <w:rFonts w:hint="eastAsia"/>
              </w:rPr>
              <w:t>/</w:t>
            </w:r>
          </w:p>
        </w:tc>
        <w:tc>
          <w:tcPr>
            <w:tcW w:w="774" w:type="pct"/>
            <w:vAlign w:val="center"/>
          </w:tcPr>
          <w:p w14:paraId="4AD5BA38">
            <w:pPr>
              <w:pStyle w:val="75"/>
            </w:pPr>
            <w:r>
              <w:rPr>
                <w:rFonts w:hint="eastAsia"/>
              </w:rPr>
              <w:t>/</w:t>
            </w:r>
          </w:p>
        </w:tc>
        <w:tc>
          <w:tcPr>
            <w:tcW w:w="867" w:type="pct"/>
            <w:vAlign w:val="center"/>
          </w:tcPr>
          <w:p w14:paraId="0455DB93">
            <w:pPr>
              <w:pStyle w:val="75"/>
            </w:pPr>
            <w:r>
              <w:rPr>
                <w:rFonts w:hint="eastAsia"/>
              </w:rPr>
              <w:t>/</w:t>
            </w:r>
          </w:p>
        </w:tc>
        <w:tc>
          <w:tcPr>
            <w:tcW w:w="773" w:type="pct"/>
            <w:vAlign w:val="center"/>
          </w:tcPr>
          <w:p w14:paraId="6CD55916">
            <w:pPr>
              <w:pStyle w:val="75"/>
            </w:pPr>
            <w:r>
              <w:rPr>
                <w:rFonts w:hint="eastAsia"/>
              </w:rPr>
              <w:t>/</w:t>
            </w:r>
          </w:p>
        </w:tc>
      </w:tr>
    </w:tbl>
    <w:p w14:paraId="368BA36A">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4.2.4.5监测结果统计分析</w:t>
      </w:r>
    </w:p>
    <w:p w14:paraId="2608EE07">
      <w:pPr>
        <w:pStyle w:val="72"/>
      </w:pPr>
      <w:r>
        <w:rPr>
          <w:rFonts w:hint="eastAsia"/>
        </w:rPr>
        <w:t>本次评价地下水现状统计结果详见下表。</w:t>
      </w:r>
    </w:p>
    <w:p w14:paraId="3FA0583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t>表</w:t>
      </w:r>
      <w:r>
        <w:rPr>
          <w:rFonts w:hint="eastAsia"/>
        </w:rPr>
        <w:t>4</w:t>
      </w:r>
      <w:r>
        <w:rPr>
          <w:rFonts w:hint="eastAsia"/>
          <w:lang w:val="en-US" w:eastAsia="zh-CN"/>
        </w:rPr>
        <w:t>.2</w:t>
      </w:r>
      <w:r>
        <w:rPr>
          <w:rFonts w:hint="eastAsia"/>
        </w:rPr>
        <w:t>-</w:t>
      </w:r>
      <w:r>
        <w:rPr>
          <w:rFonts w:hint="eastAsia"/>
          <w:lang w:val="en-US" w:eastAsia="zh-CN"/>
        </w:rPr>
        <w:t>13</w:t>
      </w:r>
      <w:r>
        <w:rPr>
          <w:rFonts w:hint="eastAsia"/>
        </w:rPr>
        <w:t xml:space="preserve">   </w:t>
      </w:r>
      <w:r>
        <w:t>地下水现状结果统计</w:t>
      </w:r>
      <w:r>
        <w:rPr>
          <w:rFonts w:hint="eastAsia"/>
        </w:rPr>
        <w:t xml:space="preserve">表    </w:t>
      </w:r>
      <w:r>
        <w:t>单位：mg/L</w:t>
      </w:r>
    </w:p>
    <w:tbl>
      <w:tblPr>
        <w:tblStyle w:val="39"/>
        <w:tblW w:w="508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31"/>
        <w:gridCol w:w="2328"/>
        <w:gridCol w:w="2048"/>
        <w:gridCol w:w="1434"/>
        <w:gridCol w:w="1431"/>
      </w:tblGrid>
      <w:tr w14:paraId="223060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726" w:type="pct"/>
            <w:vAlign w:val="center"/>
          </w:tcPr>
          <w:p w14:paraId="23869091">
            <w:pPr>
              <w:pStyle w:val="81"/>
              <w:rPr>
                <w:color w:val="auto"/>
              </w:rPr>
            </w:pPr>
            <w:r>
              <w:rPr>
                <w:rFonts w:hint="eastAsia"/>
                <w:color w:val="auto"/>
              </w:rPr>
              <w:t>监测点位</w:t>
            </w:r>
          </w:p>
        </w:tc>
        <w:tc>
          <w:tcPr>
            <w:tcW w:w="1373" w:type="pct"/>
            <w:vAlign w:val="center"/>
          </w:tcPr>
          <w:p w14:paraId="7C64DC7E">
            <w:pPr>
              <w:pStyle w:val="81"/>
              <w:rPr>
                <w:color w:val="auto"/>
              </w:rPr>
            </w:pPr>
            <w:r>
              <w:rPr>
                <w:rFonts w:hint="eastAsia"/>
                <w:color w:val="auto"/>
              </w:rPr>
              <w:t>监测因子</w:t>
            </w:r>
          </w:p>
        </w:tc>
        <w:tc>
          <w:tcPr>
            <w:tcW w:w="1208" w:type="pct"/>
            <w:vAlign w:val="center"/>
          </w:tcPr>
          <w:p w14:paraId="446BDB77">
            <w:pPr>
              <w:pStyle w:val="81"/>
              <w:rPr>
                <w:rFonts w:hint="eastAsia" w:eastAsia="宋体"/>
                <w:color w:val="auto"/>
                <w:lang w:eastAsia="zh-CN"/>
              </w:rPr>
            </w:pPr>
            <w:r>
              <w:rPr>
                <w:rFonts w:hint="eastAsia"/>
                <w:color w:val="auto"/>
                <w:lang w:val="en-US" w:eastAsia="zh-CN"/>
              </w:rPr>
              <w:t>监测结果</w:t>
            </w:r>
          </w:p>
        </w:tc>
        <w:tc>
          <w:tcPr>
            <w:tcW w:w="846" w:type="pct"/>
            <w:vAlign w:val="center"/>
          </w:tcPr>
          <w:p w14:paraId="78CF2A49">
            <w:pPr>
              <w:pStyle w:val="81"/>
              <w:rPr>
                <w:color w:val="auto"/>
              </w:rPr>
            </w:pPr>
            <w:r>
              <w:rPr>
                <w:rFonts w:hint="eastAsia"/>
                <w:color w:val="auto"/>
              </w:rPr>
              <w:t>标准限值</w:t>
            </w:r>
          </w:p>
        </w:tc>
        <w:tc>
          <w:tcPr>
            <w:tcW w:w="844" w:type="pct"/>
            <w:vAlign w:val="center"/>
          </w:tcPr>
          <w:p w14:paraId="3E962C5A">
            <w:pPr>
              <w:pStyle w:val="81"/>
              <w:rPr>
                <w:color w:val="auto"/>
              </w:rPr>
            </w:pPr>
            <w:r>
              <w:rPr>
                <w:rFonts w:hint="eastAsia"/>
                <w:color w:val="auto"/>
              </w:rPr>
              <w:t>达标情况</w:t>
            </w:r>
          </w:p>
        </w:tc>
      </w:tr>
      <w:tr w14:paraId="5D5E83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restart"/>
            <w:vAlign w:val="center"/>
          </w:tcPr>
          <w:p w14:paraId="34E08C2A">
            <w:pPr>
              <w:pStyle w:val="75"/>
              <w:rPr>
                <w:rFonts w:hint="default" w:eastAsia="宋体"/>
                <w:kern w:val="2"/>
                <w:lang w:val="en-US" w:eastAsia="zh-CN"/>
              </w:rPr>
            </w:pPr>
            <w:r>
              <w:rPr>
                <w:rFonts w:hint="eastAsia"/>
                <w:kern w:val="2"/>
                <w:lang w:val="en-US" w:eastAsia="zh-CN"/>
              </w:rPr>
              <w:t>陈孝村</w:t>
            </w:r>
          </w:p>
        </w:tc>
        <w:tc>
          <w:tcPr>
            <w:tcW w:w="1373" w:type="pct"/>
            <w:vAlign w:val="center"/>
          </w:tcPr>
          <w:p w14:paraId="256DF3C3">
            <w:pPr>
              <w:pStyle w:val="75"/>
              <w:rPr>
                <w:rFonts w:ascii="Times New Roman" w:hAnsi="Times New Roman" w:eastAsia="宋体" w:cs="Times New Roman"/>
              </w:rPr>
            </w:pPr>
            <w:r>
              <w:rPr>
                <w:rFonts w:hint="default" w:ascii="Times New Roman" w:hAnsi="Times New Roman" w:eastAsia="宋体" w:cs="Times New Roman"/>
              </w:rPr>
              <w:t>pH值</w:t>
            </w:r>
          </w:p>
        </w:tc>
        <w:tc>
          <w:tcPr>
            <w:tcW w:w="1208" w:type="pct"/>
            <w:vAlign w:val="center"/>
          </w:tcPr>
          <w:p w14:paraId="062D44C7">
            <w:pPr>
              <w:pStyle w:val="75"/>
              <w:rPr>
                <w:rFonts w:hint="default" w:eastAsia="宋体"/>
                <w:kern w:val="2"/>
                <w:lang w:val="en-US" w:eastAsia="zh-CN"/>
              </w:rPr>
            </w:pPr>
            <w:r>
              <w:rPr>
                <w:rFonts w:hint="default" w:ascii="Times New Roman" w:hAnsi="Times New Roman" w:eastAsia="宋体" w:cs="Times New Roman"/>
                <w:kern w:val="2"/>
                <w:lang w:val="en-US" w:eastAsia="zh-CN"/>
              </w:rPr>
              <w:t>8.2</w:t>
            </w:r>
          </w:p>
        </w:tc>
        <w:tc>
          <w:tcPr>
            <w:tcW w:w="846" w:type="pct"/>
            <w:vAlign w:val="center"/>
          </w:tcPr>
          <w:p w14:paraId="11B43DF8">
            <w:pPr>
              <w:pStyle w:val="75"/>
              <w:rPr>
                <w:rFonts w:hint="default" w:eastAsia="宋体"/>
                <w:kern w:val="2"/>
                <w:highlight w:val="yellow"/>
                <w:lang w:val="en-US" w:eastAsia="zh-CN"/>
              </w:rPr>
            </w:pPr>
            <w:r>
              <w:rPr>
                <w:rFonts w:hint="eastAsia" w:ascii="Times New Roman" w:hAnsi="Times New Roman" w:eastAsia="宋体" w:cs="Times New Roman"/>
                <w:lang w:val="en-US" w:eastAsia="zh-CN"/>
              </w:rPr>
              <w:t>6.5~8.5</w:t>
            </w:r>
          </w:p>
        </w:tc>
        <w:tc>
          <w:tcPr>
            <w:tcW w:w="844" w:type="pct"/>
            <w:vAlign w:val="center"/>
          </w:tcPr>
          <w:p w14:paraId="4ABA04FF">
            <w:pPr>
              <w:pStyle w:val="75"/>
            </w:pPr>
            <w:r>
              <w:t>达标</w:t>
            </w:r>
          </w:p>
        </w:tc>
      </w:tr>
      <w:tr w14:paraId="65F09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DE4CFCE">
            <w:pPr>
              <w:pStyle w:val="75"/>
              <w:rPr>
                <w:kern w:val="2"/>
              </w:rPr>
            </w:pPr>
          </w:p>
        </w:tc>
        <w:tc>
          <w:tcPr>
            <w:tcW w:w="1373" w:type="pct"/>
            <w:vAlign w:val="center"/>
          </w:tcPr>
          <w:p w14:paraId="1E04D832">
            <w:pPr>
              <w:pStyle w:val="75"/>
              <w:rPr>
                <w:rFonts w:ascii="Times New Roman" w:hAnsi="Times New Roman" w:eastAsia="宋体" w:cs="Times New Roman"/>
              </w:rPr>
            </w:pPr>
            <w:r>
              <w:rPr>
                <w:rFonts w:hint="default" w:ascii="Times New Roman" w:hAnsi="Times New Roman" w:eastAsia="宋体" w:cs="Times New Roman"/>
              </w:rPr>
              <w:t>氨氮</w:t>
            </w:r>
          </w:p>
        </w:tc>
        <w:tc>
          <w:tcPr>
            <w:tcW w:w="1208" w:type="pct"/>
            <w:vAlign w:val="center"/>
          </w:tcPr>
          <w:p w14:paraId="3AE6BF25">
            <w:pPr>
              <w:pStyle w:val="75"/>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0.230</w:t>
            </w:r>
          </w:p>
        </w:tc>
        <w:tc>
          <w:tcPr>
            <w:tcW w:w="846" w:type="pct"/>
            <w:vAlign w:val="center"/>
          </w:tcPr>
          <w:p w14:paraId="413FC522">
            <w:pPr>
              <w:pStyle w:val="75"/>
              <w:rPr>
                <w:rFonts w:hint="default" w:eastAsia="宋体"/>
                <w:kern w:val="2"/>
                <w:lang w:val="en-US" w:eastAsia="zh-CN"/>
              </w:rPr>
            </w:pPr>
            <w:r>
              <w:rPr>
                <w:rFonts w:hint="eastAsia"/>
                <w:kern w:val="2"/>
                <w:lang w:val="en-US" w:eastAsia="zh-CN"/>
              </w:rPr>
              <w:t>0.5</w:t>
            </w:r>
          </w:p>
        </w:tc>
        <w:tc>
          <w:tcPr>
            <w:tcW w:w="844" w:type="pct"/>
            <w:vAlign w:val="center"/>
          </w:tcPr>
          <w:p w14:paraId="467A8942">
            <w:pPr>
              <w:pStyle w:val="75"/>
              <w:rPr>
                <w:rFonts w:hint="default" w:ascii="Times New Roman" w:hAnsi="Times New Roman" w:eastAsia="宋体" w:cs="Times New Roman"/>
              </w:rPr>
            </w:pPr>
            <w:r>
              <w:rPr>
                <w:rFonts w:hint="default" w:ascii="Times New Roman" w:hAnsi="Times New Roman" w:eastAsia="宋体" w:cs="Times New Roman"/>
              </w:rPr>
              <w:t>达标</w:t>
            </w:r>
          </w:p>
        </w:tc>
      </w:tr>
      <w:tr w14:paraId="21EEC6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9B73C7D">
            <w:pPr>
              <w:pStyle w:val="75"/>
              <w:rPr>
                <w:kern w:val="2"/>
              </w:rPr>
            </w:pPr>
          </w:p>
        </w:tc>
        <w:tc>
          <w:tcPr>
            <w:tcW w:w="1373" w:type="pct"/>
            <w:vAlign w:val="center"/>
          </w:tcPr>
          <w:p w14:paraId="659873FB">
            <w:pPr>
              <w:pStyle w:val="75"/>
              <w:rPr>
                <w:rFonts w:ascii="Times New Roman" w:hAnsi="Times New Roman" w:eastAsia="宋体" w:cs="Times New Roman"/>
              </w:rPr>
            </w:pPr>
            <w:r>
              <w:rPr>
                <w:rFonts w:hint="default" w:ascii="Times New Roman" w:hAnsi="Times New Roman" w:eastAsia="宋体" w:cs="Times New Roman"/>
              </w:rPr>
              <w:t>总硬度</w:t>
            </w:r>
          </w:p>
        </w:tc>
        <w:tc>
          <w:tcPr>
            <w:tcW w:w="1208" w:type="pct"/>
            <w:vAlign w:val="center"/>
          </w:tcPr>
          <w:p w14:paraId="24A64598">
            <w:pPr>
              <w:pStyle w:val="75"/>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265</w:t>
            </w:r>
          </w:p>
        </w:tc>
        <w:tc>
          <w:tcPr>
            <w:tcW w:w="846" w:type="pct"/>
            <w:vAlign w:val="center"/>
          </w:tcPr>
          <w:p w14:paraId="19C890CB">
            <w:pPr>
              <w:pStyle w:val="75"/>
              <w:rPr>
                <w:rFonts w:hint="default" w:eastAsia="宋体"/>
                <w:kern w:val="2"/>
                <w:lang w:val="en-US" w:eastAsia="zh-CN"/>
              </w:rPr>
            </w:pPr>
            <w:r>
              <w:rPr>
                <w:rFonts w:hint="eastAsia"/>
                <w:kern w:val="2"/>
                <w:lang w:val="en-US" w:eastAsia="zh-CN"/>
              </w:rPr>
              <w:t>450</w:t>
            </w:r>
          </w:p>
        </w:tc>
        <w:tc>
          <w:tcPr>
            <w:tcW w:w="844" w:type="pct"/>
            <w:vAlign w:val="center"/>
          </w:tcPr>
          <w:p w14:paraId="3E67748B">
            <w:pPr>
              <w:pStyle w:val="75"/>
              <w:rPr>
                <w:rFonts w:hint="default" w:ascii="Times New Roman" w:hAnsi="Times New Roman" w:eastAsia="宋体" w:cs="Times New Roman"/>
              </w:rPr>
            </w:pPr>
            <w:r>
              <w:rPr>
                <w:rFonts w:hint="default" w:ascii="Times New Roman" w:hAnsi="Times New Roman" w:eastAsia="宋体" w:cs="Times New Roman"/>
              </w:rPr>
              <w:t>达标</w:t>
            </w:r>
          </w:p>
        </w:tc>
      </w:tr>
      <w:tr w14:paraId="7297D9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03653DD">
            <w:pPr>
              <w:pStyle w:val="75"/>
              <w:rPr>
                <w:kern w:val="2"/>
              </w:rPr>
            </w:pPr>
          </w:p>
        </w:tc>
        <w:tc>
          <w:tcPr>
            <w:tcW w:w="1373" w:type="pct"/>
            <w:vAlign w:val="center"/>
          </w:tcPr>
          <w:p w14:paraId="1F3C2E1D">
            <w:pPr>
              <w:pStyle w:val="75"/>
              <w:rPr>
                <w:rFonts w:ascii="Times New Roman" w:hAnsi="Times New Roman" w:eastAsia="宋体" w:cs="Times New Roman"/>
              </w:rPr>
            </w:pPr>
            <w:r>
              <w:rPr>
                <w:rFonts w:hint="default" w:ascii="Times New Roman" w:hAnsi="Times New Roman" w:eastAsia="宋体" w:cs="Times New Roman"/>
              </w:rPr>
              <w:t>溶解性总固体</w:t>
            </w:r>
          </w:p>
        </w:tc>
        <w:tc>
          <w:tcPr>
            <w:tcW w:w="1208" w:type="pct"/>
            <w:vAlign w:val="center"/>
          </w:tcPr>
          <w:p w14:paraId="62C1C66E">
            <w:pPr>
              <w:pStyle w:val="75"/>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506</w:t>
            </w:r>
          </w:p>
        </w:tc>
        <w:tc>
          <w:tcPr>
            <w:tcW w:w="846" w:type="pct"/>
            <w:vAlign w:val="center"/>
          </w:tcPr>
          <w:p w14:paraId="3EE65722">
            <w:pPr>
              <w:pStyle w:val="75"/>
              <w:rPr>
                <w:rFonts w:hint="default" w:eastAsia="宋体"/>
                <w:kern w:val="2"/>
                <w:lang w:val="en-US" w:eastAsia="zh-CN"/>
              </w:rPr>
            </w:pPr>
            <w:r>
              <w:rPr>
                <w:rFonts w:hint="eastAsia"/>
                <w:kern w:val="2"/>
                <w:lang w:val="en-US" w:eastAsia="zh-CN"/>
              </w:rPr>
              <w:t>1000</w:t>
            </w:r>
          </w:p>
        </w:tc>
        <w:tc>
          <w:tcPr>
            <w:tcW w:w="844" w:type="pct"/>
            <w:vAlign w:val="center"/>
          </w:tcPr>
          <w:p w14:paraId="25A97FC8">
            <w:pPr>
              <w:pStyle w:val="75"/>
              <w:rPr>
                <w:rFonts w:hint="default" w:ascii="Times New Roman" w:hAnsi="Times New Roman" w:eastAsia="宋体" w:cs="Times New Roman"/>
              </w:rPr>
            </w:pPr>
            <w:r>
              <w:rPr>
                <w:rFonts w:hint="default" w:ascii="Times New Roman" w:hAnsi="Times New Roman" w:eastAsia="宋体" w:cs="Times New Roman"/>
              </w:rPr>
              <w:t>达标</w:t>
            </w:r>
          </w:p>
        </w:tc>
      </w:tr>
      <w:tr w14:paraId="4636A6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6848AEB">
            <w:pPr>
              <w:pStyle w:val="75"/>
              <w:rPr>
                <w:kern w:val="2"/>
              </w:rPr>
            </w:pPr>
          </w:p>
        </w:tc>
        <w:tc>
          <w:tcPr>
            <w:tcW w:w="1373" w:type="pct"/>
            <w:vAlign w:val="center"/>
          </w:tcPr>
          <w:p w14:paraId="65D23169">
            <w:pPr>
              <w:pStyle w:val="75"/>
              <w:rPr>
                <w:rFonts w:ascii="Times New Roman" w:hAnsi="Times New Roman" w:eastAsia="宋体" w:cs="Times New Roman"/>
              </w:rPr>
            </w:pPr>
            <w:r>
              <w:rPr>
                <w:rFonts w:hint="default" w:ascii="Times New Roman" w:hAnsi="Times New Roman" w:eastAsia="宋体" w:cs="Times New Roman"/>
              </w:rPr>
              <w:t>高锰酸盐指数（以O</w:t>
            </w:r>
            <w:r>
              <w:rPr>
                <w:rFonts w:hint="default" w:ascii="Times New Roman" w:hAnsi="Times New Roman" w:eastAsia="宋体" w:cs="Times New Roman"/>
                <w:vertAlign w:val="subscript"/>
              </w:rPr>
              <w:t>2</w:t>
            </w:r>
            <w:r>
              <w:rPr>
                <w:rFonts w:hint="default" w:ascii="Times New Roman" w:hAnsi="Times New Roman" w:eastAsia="宋体" w:cs="Times New Roman"/>
              </w:rPr>
              <w:t>计）</w:t>
            </w:r>
          </w:p>
        </w:tc>
        <w:tc>
          <w:tcPr>
            <w:tcW w:w="1208" w:type="pct"/>
            <w:vAlign w:val="center"/>
          </w:tcPr>
          <w:p w14:paraId="4BBE7364">
            <w:pPr>
              <w:pStyle w:val="75"/>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2.62</w:t>
            </w:r>
          </w:p>
        </w:tc>
        <w:tc>
          <w:tcPr>
            <w:tcW w:w="846" w:type="pct"/>
            <w:vAlign w:val="center"/>
          </w:tcPr>
          <w:p w14:paraId="645DB2E5">
            <w:pPr>
              <w:pStyle w:val="75"/>
              <w:rPr>
                <w:rFonts w:hint="eastAsia" w:eastAsia="宋体"/>
                <w:kern w:val="2"/>
                <w:lang w:val="en-US" w:eastAsia="zh-CN"/>
              </w:rPr>
            </w:pPr>
            <w:r>
              <w:rPr>
                <w:rFonts w:hint="eastAsia"/>
                <w:kern w:val="2"/>
                <w:lang w:val="en-US" w:eastAsia="zh-CN"/>
              </w:rPr>
              <w:t>3</w:t>
            </w:r>
          </w:p>
        </w:tc>
        <w:tc>
          <w:tcPr>
            <w:tcW w:w="844" w:type="pct"/>
            <w:vAlign w:val="center"/>
          </w:tcPr>
          <w:p w14:paraId="79A4E6C9">
            <w:pPr>
              <w:pStyle w:val="75"/>
              <w:rPr>
                <w:rFonts w:hint="default" w:ascii="Times New Roman" w:hAnsi="Times New Roman" w:eastAsia="宋体" w:cs="Times New Roman"/>
              </w:rPr>
            </w:pPr>
            <w:r>
              <w:rPr>
                <w:rFonts w:hint="default" w:ascii="Times New Roman" w:hAnsi="Times New Roman" w:eastAsia="宋体" w:cs="Times New Roman"/>
              </w:rPr>
              <w:t>达标</w:t>
            </w:r>
          </w:p>
        </w:tc>
      </w:tr>
      <w:tr w14:paraId="4627A1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9AEC051">
            <w:pPr>
              <w:pStyle w:val="75"/>
              <w:rPr>
                <w:kern w:val="2"/>
              </w:rPr>
            </w:pPr>
          </w:p>
        </w:tc>
        <w:tc>
          <w:tcPr>
            <w:tcW w:w="1373" w:type="pct"/>
            <w:vAlign w:val="center"/>
          </w:tcPr>
          <w:p w14:paraId="29092FB4">
            <w:pPr>
              <w:pStyle w:val="75"/>
              <w:rPr>
                <w:rFonts w:ascii="Times New Roman" w:hAnsi="Times New Roman" w:eastAsia="宋体" w:cs="Times New Roman"/>
              </w:rPr>
            </w:pPr>
            <w:r>
              <w:rPr>
                <w:rFonts w:hint="default" w:ascii="Times New Roman" w:hAnsi="Times New Roman" w:eastAsia="宋体" w:cs="Times New Roman"/>
              </w:rPr>
              <w:t>硝酸盐（以N计）</w:t>
            </w:r>
          </w:p>
        </w:tc>
        <w:tc>
          <w:tcPr>
            <w:tcW w:w="1208" w:type="pct"/>
            <w:vAlign w:val="center"/>
          </w:tcPr>
          <w:p w14:paraId="37CA3E93">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6.3</w:t>
            </w:r>
          </w:p>
        </w:tc>
        <w:tc>
          <w:tcPr>
            <w:tcW w:w="846" w:type="pct"/>
            <w:vAlign w:val="center"/>
          </w:tcPr>
          <w:p w14:paraId="64CF4E71">
            <w:pPr>
              <w:pStyle w:val="75"/>
              <w:rPr>
                <w:rFonts w:hint="default" w:eastAsia="宋体"/>
                <w:kern w:val="2"/>
                <w:lang w:val="en-US" w:eastAsia="zh-CN"/>
              </w:rPr>
            </w:pPr>
            <w:r>
              <w:rPr>
                <w:rFonts w:hint="eastAsia"/>
                <w:kern w:val="2"/>
                <w:lang w:val="en-US" w:eastAsia="zh-CN"/>
              </w:rPr>
              <w:t>20</w:t>
            </w:r>
          </w:p>
        </w:tc>
        <w:tc>
          <w:tcPr>
            <w:tcW w:w="844" w:type="pct"/>
            <w:vAlign w:val="center"/>
          </w:tcPr>
          <w:p w14:paraId="00011FA5">
            <w:pPr>
              <w:pStyle w:val="75"/>
            </w:pPr>
            <w:r>
              <w:t>达标</w:t>
            </w:r>
          </w:p>
        </w:tc>
      </w:tr>
      <w:tr w14:paraId="52FB3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96044CB">
            <w:pPr>
              <w:pStyle w:val="75"/>
              <w:rPr>
                <w:kern w:val="2"/>
              </w:rPr>
            </w:pPr>
          </w:p>
        </w:tc>
        <w:tc>
          <w:tcPr>
            <w:tcW w:w="1373" w:type="pct"/>
            <w:vAlign w:val="center"/>
          </w:tcPr>
          <w:p w14:paraId="77E2846E">
            <w:pPr>
              <w:pStyle w:val="75"/>
              <w:rPr>
                <w:rFonts w:ascii="Times New Roman" w:hAnsi="Times New Roman" w:eastAsia="宋体" w:cs="Times New Roman"/>
              </w:rPr>
            </w:pPr>
            <w:r>
              <w:rPr>
                <w:rFonts w:hint="default" w:ascii="Times New Roman" w:hAnsi="Times New Roman" w:eastAsia="宋体" w:cs="Times New Roman"/>
              </w:rPr>
              <w:t>亚硝酸盐（以N计）</w:t>
            </w:r>
          </w:p>
        </w:tc>
        <w:tc>
          <w:tcPr>
            <w:tcW w:w="1208" w:type="pct"/>
            <w:vAlign w:val="center"/>
          </w:tcPr>
          <w:p w14:paraId="078874AF">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0.223</w:t>
            </w:r>
          </w:p>
        </w:tc>
        <w:tc>
          <w:tcPr>
            <w:tcW w:w="846" w:type="pct"/>
            <w:vAlign w:val="center"/>
          </w:tcPr>
          <w:p w14:paraId="18F100DE">
            <w:pPr>
              <w:pStyle w:val="75"/>
              <w:rPr>
                <w:rFonts w:hint="eastAsia" w:eastAsia="宋体"/>
                <w:kern w:val="2"/>
                <w:lang w:val="en-US" w:eastAsia="zh-CN"/>
              </w:rPr>
            </w:pPr>
            <w:r>
              <w:rPr>
                <w:rFonts w:hint="eastAsia"/>
                <w:kern w:val="2"/>
                <w:lang w:val="en-US" w:eastAsia="zh-CN"/>
              </w:rPr>
              <w:t>1</w:t>
            </w:r>
          </w:p>
        </w:tc>
        <w:tc>
          <w:tcPr>
            <w:tcW w:w="844" w:type="pct"/>
            <w:vAlign w:val="center"/>
          </w:tcPr>
          <w:p w14:paraId="70BB0D54">
            <w:pPr>
              <w:pStyle w:val="75"/>
            </w:pPr>
            <w:r>
              <w:t>达标</w:t>
            </w:r>
          </w:p>
        </w:tc>
      </w:tr>
      <w:tr w14:paraId="3E92D4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9880D23">
            <w:pPr>
              <w:pStyle w:val="75"/>
              <w:rPr>
                <w:kern w:val="2"/>
              </w:rPr>
            </w:pPr>
          </w:p>
        </w:tc>
        <w:tc>
          <w:tcPr>
            <w:tcW w:w="1373" w:type="pct"/>
            <w:vAlign w:val="center"/>
          </w:tcPr>
          <w:p w14:paraId="436C9D7B">
            <w:pPr>
              <w:pStyle w:val="75"/>
              <w:rPr>
                <w:rFonts w:ascii="Times New Roman" w:hAnsi="Times New Roman" w:eastAsia="宋体" w:cs="Times New Roman"/>
              </w:rPr>
            </w:pPr>
            <w:r>
              <w:rPr>
                <w:rFonts w:hint="default" w:ascii="Times New Roman" w:hAnsi="Times New Roman" w:eastAsia="宋体" w:cs="Times New Roman"/>
                <w:lang w:val="en-US" w:eastAsia="zh-CN"/>
              </w:rPr>
              <w:t>硫酸盐</w:t>
            </w:r>
          </w:p>
        </w:tc>
        <w:tc>
          <w:tcPr>
            <w:tcW w:w="1208" w:type="pct"/>
            <w:vAlign w:val="center"/>
          </w:tcPr>
          <w:p w14:paraId="38E24024">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85.6</w:t>
            </w:r>
          </w:p>
        </w:tc>
        <w:tc>
          <w:tcPr>
            <w:tcW w:w="846" w:type="pct"/>
            <w:vAlign w:val="center"/>
          </w:tcPr>
          <w:p w14:paraId="5AC3715B">
            <w:pPr>
              <w:pStyle w:val="75"/>
              <w:rPr>
                <w:rFonts w:hint="default" w:eastAsia="宋体"/>
                <w:kern w:val="2"/>
                <w:lang w:val="en-US" w:eastAsia="zh-CN"/>
              </w:rPr>
            </w:pPr>
            <w:r>
              <w:rPr>
                <w:rFonts w:hint="eastAsia"/>
                <w:kern w:val="2"/>
                <w:lang w:val="en-US" w:eastAsia="zh-CN"/>
              </w:rPr>
              <w:t>250</w:t>
            </w:r>
          </w:p>
        </w:tc>
        <w:tc>
          <w:tcPr>
            <w:tcW w:w="844" w:type="pct"/>
            <w:vAlign w:val="center"/>
          </w:tcPr>
          <w:p w14:paraId="16E08674">
            <w:pPr>
              <w:pStyle w:val="75"/>
              <w:rPr>
                <w:rFonts w:hint="eastAsia" w:ascii="Times New Roman" w:hAnsi="Times New Roman" w:eastAsia="宋体" w:cs="Times New Roman"/>
              </w:rPr>
            </w:pPr>
            <w:r>
              <w:rPr>
                <w:rFonts w:hint="eastAsia" w:ascii="Times New Roman" w:hAnsi="Times New Roman" w:eastAsia="宋体" w:cs="Times New Roman"/>
              </w:rPr>
              <w:t>达标</w:t>
            </w:r>
          </w:p>
        </w:tc>
      </w:tr>
      <w:tr w14:paraId="511864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1E2997E">
            <w:pPr>
              <w:pStyle w:val="75"/>
              <w:rPr>
                <w:kern w:val="2"/>
              </w:rPr>
            </w:pPr>
          </w:p>
        </w:tc>
        <w:tc>
          <w:tcPr>
            <w:tcW w:w="1373" w:type="pct"/>
            <w:vAlign w:val="center"/>
          </w:tcPr>
          <w:p w14:paraId="0D2733C5">
            <w:pPr>
              <w:pStyle w:val="75"/>
              <w:rPr>
                <w:rFonts w:ascii="Times New Roman" w:hAnsi="Times New Roman" w:eastAsia="宋体" w:cs="Times New Roman"/>
              </w:rPr>
            </w:pPr>
            <w:r>
              <w:rPr>
                <w:rFonts w:hint="default" w:ascii="Times New Roman" w:hAnsi="Times New Roman" w:eastAsia="宋体" w:cs="Times New Roman"/>
              </w:rPr>
              <w:t>氯化物</w:t>
            </w:r>
          </w:p>
        </w:tc>
        <w:tc>
          <w:tcPr>
            <w:tcW w:w="1208" w:type="pct"/>
            <w:vAlign w:val="center"/>
          </w:tcPr>
          <w:p w14:paraId="33F9BA80">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115</w:t>
            </w:r>
          </w:p>
        </w:tc>
        <w:tc>
          <w:tcPr>
            <w:tcW w:w="846" w:type="pct"/>
            <w:vAlign w:val="center"/>
          </w:tcPr>
          <w:p w14:paraId="0E74813E">
            <w:pPr>
              <w:pStyle w:val="75"/>
              <w:rPr>
                <w:rFonts w:hint="default" w:eastAsia="宋体"/>
                <w:kern w:val="2"/>
                <w:lang w:val="en-US" w:eastAsia="zh-CN"/>
              </w:rPr>
            </w:pPr>
            <w:r>
              <w:rPr>
                <w:rFonts w:hint="eastAsia"/>
                <w:kern w:val="2"/>
                <w:lang w:val="en-US" w:eastAsia="zh-CN"/>
              </w:rPr>
              <w:t>250</w:t>
            </w:r>
          </w:p>
        </w:tc>
        <w:tc>
          <w:tcPr>
            <w:tcW w:w="844" w:type="pct"/>
            <w:vAlign w:val="center"/>
          </w:tcPr>
          <w:p w14:paraId="268ED89A">
            <w:pPr>
              <w:pStyle w:val="75"/>
              <w:rPr>
                <w:rFonts w:hint="eastAsia" w:ascii="Times New Roman" w:hAnsi="Times New Roman" w:eastAsia="宋体" w:cs="Times New Roman"/>
              </w:rPr>
            </w:pPr>
            <w:r>
              <w:rPr>
                <w:rFonts w:hint="eastAsia" w:ascii="Times New Roman" w:hAnsi="Times New Roman" w:eastAsia="宋体" w:cs="Times New Roman"/>
              </w:rPr>
              <w:t>达标</w:t>
            </w:r>
          </w:p>
        </w:tc>
      </w:tr>
      <w:tr w14:paraId="37478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FE04360">
            <w:pPr>
              <w:pStyle w:val="75"/>
              <w:rPr>
                <w:kern w:val="2"/>
              </w:rPr>
            </w:pPr>
          </w:p>
        </w:tc>
        <w:tc>
          <w:tcPr>
            <w:tcW w:w="1373" w:type="pct"/>
            <w:vAlign w:val="center"/>
          </w:tcPr>
          <w:p w14:paraId="49857C1D">
            <w:pPr>
              <w:pStyle w:val="75"/>
              <w:rPr>
                <w:rFonts w:ascii="Times New Roman" w:hAnsi="Times New Roman" w:eastAsia="宋体" w:cs="Times New Roman"/>
              </w:rPr>
            </w:pPr>
            <w:r>
              <w:rPr>
                <w:rFonts w:hint="default" w:ascii="Times New Roman" w:hAnsi="Times New Roman" w:eastAsia="宋体" w:cs="Times New Roman"/>
                <w:lang w:eastAsia="zh-CN"/>
              </w:rPr>
              <w:t>挥发酚（类）</w:t>
            </w:r>
          </w:p>
        </w:tc>
        <w:tc>
          <w:tcPr>
            <w:tcW w:w="1208" w:type="pct"/>
            <w:vAlign w:val="center"/>
          </w:tcPr>
          <w:p w14:paraId="20F72DE4">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5A85700">
            <w:pPr>
              <w:pStyle w:val="75"/>
              <w:rPr>
                <w:rFonts w:hint="default" w:eastAsia="宋体"/>
                <w:kern w:val="2"/>
                <w:highlight w:val="yellow"/>
                <w:lang w:val="en-US" w:eastAsia="zh-CN"/>
              </w:rPr>
            </w:pPr>
            <w:r>
              <w:rPr>
                <w:rFonts w:hint="eastAsia" w:ascii="Times New Roman" w:hAnsi="Times New Roman" w:eastAsia="宋体" w:cs="Times New Roman"/>
                <w:kern w:val="2"/>
                <w:lang w:val="en-US" w:eastAsia="zh-CN"/>
              </w:rPr>
              <w:t>0.002</w:t>
            </w:r>
          </w:p>
        </w:tc>
        <w:tc>
          <w:tcPr>
            <w:tcW w:w="844" w:type="pct"/>
            <w:vAlign w:val="center"/>
          </w:tcPr>
          <w:p w14:paraId="661E664D">
            <w:pPr>
              <w:pStyle w:val="75"/>
            </w:pPr>
            <w:r>
              <w:t>达标</w:t>
            </w:r>
          </w:p>
        </w:tc>
      </w:tr>
      <w:tr w14:paraId="1AD4DD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E0DC5E5">
            <w:pPr>
              <w:pStyle w:val="75"/>
              <w:rPr>
                <w:kern w:val="2"/>
              </w:rPr>
            </w:pPr>
          </w:p>
        </w:tc>
        <w:tc>
          <w:tcPr>
            <w:tcW w:w="1373" w:type="pct"/>
            <w:vAlign w:val="center"/>
          </w:tcPr>
          <w:p w14:paraId="016DB478">
            <w:pPr>
              <w:pStyle w:val="75"/>
              <w:rPr>
                <w:rFonts w:ascii="Times New Roman" w:hAnsi="Times New Roman" w:eastAsia="宋体" w:cs="Times New Roman"/>
              </w:rPr>
            </w:pPr>
            <w:r>
              <w:rPr>
                <w:rFonts w:hint="default" w:ascii="Times New Roman" w:hAnsi="Times New Roman" w:eastAsia="宋体" w:cs="Times New Roman"/>
              </w:rPr>
              <w:t>氰化物</w:t>
            </w:r>
          </w:p>
        </w:tc>
        <w:tc>
          <w:tcPr>
            <w:tcW w:w="1208" w:type="pct"/>
            <w:vAlign w:val="center"/>
          </w:tcPr>
          <w:p w14:paraId="68B0FDA3">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68FF5032">
            <w:pPr>
              <w:pStyle w:val="75"/>
              <w:rPr>
                <w:rFonts w:hint="default" w:eastAsia="宋体"/>
                <w:kern w:val="2"/>
                <w:highlight w:val="yellow"/>
                <w:lang w:val="en-US" w:eastAsia="zh-CN"/>
              </w:rPr>
            </w:pPr>
            <w:r>
              <w:rPr>
                <w:rFonts w:hint="eastAsia" w:ascii="Times New Roman" w:hAnsi="Times New Roman" w:eastAsia="宋体" w:cs="Times New Roman"/>
                <w:kern w:val="2"/>
                <w:lang w:val="en-US" w:eastAsia="zh-CN"/>
              </w:rPr>
              <w:t>0.05</w:t>
            </w:r>
          </w:p>
        </w:tc>
        <w:tc>
          <w:tcPr>
            <w:tcW w:w="844" w:type="pct"/>
            <w:vAlign w:val="center"/>
          </w:tcPr>
          <w:p w14:paraId="25B48EBE">
            <w:pPr>
              <w:pStyle w:val="75"/>
            </w:pPr>
            <w:r>
              <w:rPr>
                <w:rFonts w:hint="eastAsia"/>
              </w:rPr>
              <w:t>达标</w:t>
            </w:r>
          </w:p>
        </w:tc>
      </w:tr>
      <w:tr w14:paraId="4F92D7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335CC21">
            <w:pPr>
              <w:pStyle w:val="75"/>
              <w:rPr>
                <w:kern w:val="2"/>
              </w:rPr>
            </w:pPr>
          </w:p>
        </w:tc>
        <w:tc>
          <w:tcPr>
            <w:tcW w:w="1373" w:type="pct"/>
            <w:vAlign w:val="center"/>
          </w:tcPr>
          <w:p w14:paraId="71E50472">
            <w:pPr>
              <w:pStyle w:val="75"/>
              <w:rPr>
                <w:rFonts w:ascii="Times New Roman" w:hAnsi="Times New Roman" w:eastAsia="宋体" w:cs="Times New Roman"/>
              </w:rPr>
            </w:pPr>
            <w:r>
              <w:rPr>
                <w:rFonts w:hint="default" w:ascii="Times New Roman" w:hAnsi="Times New Roman" w:eastAsia="宋体" w:cs="Times New Roman"/>
              </w:rPr>
              <w:t>总大肠菌群</w:t>
            </w:r>
          </w:p>
        </w:tc>
        <w:tc>
          <w:tcPr>
            <w:tcW w:w="1208" w:type="pct"/>
            <w:vAlign w:val="center"/>
          </w:tcPr>
          <w:p w14:paraId="79E8905B">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w:t>
            </w:r>
          </w:p>
        </w:tc>
        <w:tc>
          <w:tcPr>
            <w:tcW w:w="846" w:type="pct"/>
            <w:vAlign w:val="center"/>
          </w:tcPr>
          <w:p w14:paraId="69F6F881">
            <w:pPr>
              <w:pStyle w:val="75"/>
              <w:rPr>
                <w:rFonts w:hint="eastAsia" w:eastAsia="宋体"/>
                <w:kern w:val="2"/>
                <w:lang w:val="en-US" w:eastAsia="zh-CN"/>
              </w:rPr>
            </w:pPr>
            <w:r>
              <w:rPr>
                <w:rFonts w:hint="eastAsia"/>
                <w:kern w:val="2"/>
                <w:lang w:val="en-US" w:eastAsia="zh-CN"/>
              </w:rPr>
              <w:t>3</w:t>
            </w:r>
          </w:p>
        </w:tc>
        <w:tc>
          <w:tcPr>
            <w:tcW w:w="844" w:type="pct"/>
            <w:vAlign w:val="center"/>
          </w:tcPr>
          <w:p w14:paraId="42A85A09">
            <w:pPr>
              <w:pStyle w:val="75"/>
            </w:pPr>
            <w:r>
              <w:rPr>
                <w:rFonts w:hint="eastAsia"/>
              </w:rPr>
              <w:t>达标</w:t>
            </w:r>
          </w:p>
        </w:tc>
      </w:tr>
      <w:tr w14:paraId="135BCC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F69ABFE">
            <w:pPr>
              <w:pStyle w:val="75"/>
              <w:rPr>
                <w:kern w:val="2"/>
              </w:rPr>
            </w:pPr>
            <w:r>
              <w:rPr>
                <w:rFonts w:hint="eastAsia"/>
                <w:kern w:val="2"/>
              </w:rPr>
              <w:t>氢化物</w:t>
            </w:r>
          </w:p>
        </w:tc>
        <w:tc>
          <w:tcPr>
            <w:tcW w:w="1373" w:type="pct"/>
            <w:vAlign w:val="center"/>
          </w:tcPr>
          <w:p w14:paraId="23F8116E">
            <w:pPr>
              <w:pStyle w:val="75"/>
              <w:rPr>
                <w:rFonts w:ascii="Times New Roman" w:hAnsi="Times New Roman" w:eastAsia="宋体" w:cs="Times New Roman"/>
              </w:rPr>
            </w:pPr>
            <w:r>
              <w:rPr>
                <w:rFonts w:hint="default" w:ascii="Times New Roman" w:hAnsi="Times New Roman" w:eastAsia="宋体" w:cs="Times New Roman"/>
              </w:rPr>
              <w:t>菌落总数</w:t>
            </w:r>
          </w:p>
        </w:tc>
        <w:tc>
          <w:tcPr>
            <w:tcW w:w="1208" w:type="pct"/>
            <w:vAlign w:val="center"/>
          </w:tcPr>
          <w:p w14:paraId="7EC180D9">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45</w:t>
            </w:r>
          </w:p>
        </w:tc>
        <w:tc>
          <w:tcPr>
            <w:tcW w:w="846" w:type="pct"/>
            <w:vAlign w:val="center"/>
          </w:tcPr>
          <w:p w14:paraId="60790781">
            <w:pPr>
              <w:pStyle w:val="75"/>
              <w:rPr>
                <w:rFonts w:hint="default" w:eastAsia="宋体"/>
                <w:lang w:val="en-US" w:eastAsia="zh-CN"/>
              </w:rPr>
            </w:pPr>
            <w:r>
              <w:rPr>
                <w:rFonts w:hint="eastAsia"/>
                <w:lang w:val="en-US" w:eastAsia="zh-CN"/>
              </w:rPr>
              <w:t>100</w:t>
            </w:r>
          </w:p>
        </w:tc>
        <w:tc>
          <w:tcPr>
            <w:tcW w:w="844" w:type="pct"/>
            <w:vAlign w:val="center"/>
          </w:tcPr>
          <w:p w14:paraId="1E21D7AD">
            <w:pPr>
              <w:pStyle w:val="75"/>
            </w:pPr>
            <w:r>
              <w:rPr>
                <w:rFonts w:hint="eastAsia"/>
              </w:rPr>
              <w:t>达标</w:t>
            </w:r>
          </w:p>
        </w:tc>
      </w:tr>
      <w:tr w14:paraId="1FC790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3BAB378">
            <w:pPr>
              <w:pStyle w:val="75"/>
              <w:rPr>
                <w:kern w:val="2"/>
              </w:rPr>
            </w:pPr>
          </w:p>
        </w:tc>
        <w:tc>
          <w:tcPr>
            <w:tcW w:w="1373" w:type="pct"/>
            <w:vAlign w:val="center"/>
          </w:tcPr>
          <w:p w14:paraId="6C83CD38">
            <w:pPr>
              <w:pStyle w:val="75"/>
              <w:rPr>
                <w:rFonts w:ascii="Times New Roman" w:hAnsi="Times New Roman" w:eastAsia="宋体" w:cs="Times New Roman"/>
              </w:rPr>
            </w:pPr>
            <w:r>
              <w:rPr>
                <w:rFonts w:hint="default" w:ascii="Times New Roman" w:hAnsi="Times New Roman" w:eastAsia="宋体" w:cs="Times New Roman"/>
              </w:rPr>
              <w:t>硫化物</w:t>
            </w:r>
          </w:p>
        </w:tc>
        <w:tc>
          <w:tcPr>
            <w:tcW w:w="1208" w:type="pct"/>
            <w:vAlign w:val="center"/>
          </w:tcPr>
          <w:p w14:paraId="1764DA41">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13159B4D">
            <w:pPr>
              <w:pStyle w:val="75"/>
              <w:rPr>
                <w:rFonts w:hint="default" w:eastAsia="宋体"/>
                <w:lang w:val="en-US" w:eastAsia="zh-CN"/>
              </w:rPr>
            </w:pPr>
            <w:r>
              <w:rPr>
                <w:rFonts w:hint="eastAsia"/>
                <w:lang w:val="en-US" w:eastAsia="zh-CN"/>
              </w:rPr>
              <w:t>0.02</w:t>
            </w:r>
          </w:p>
        </w:tc>
        <w:tc>
          <w:tcPr>
            <w:tcW w:w="844" w:type="pct"/>
            <w:vAlign w:val="center"/>
          </w:tcPr>
          <w:p w14:paraId="3EF3887A">
            <w:pPr>
              <w:pStyle w:val="75"/>
            </w:pPr>
            <w:r>
              <w:rPr>
                <w:rFonts w:hint="eastAsia"/>
              </w:rPr>
              <w:t>达标</w:t>
            </w:r>
          </w:p>
        </w:tc>
      </w:tr>
      <w:tr w14:paraId="46836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5F7CDF6">
            <w:pPr>
              <w:pStyle w:val="75"/>
              <w:rPr>
                <w:kern w:val="2"/>
              </w:rPr>
            </w:pPr>
          </w:p>
        </w:tc>
        <w:tc>
          <w:tcPr>
            <w:tcW w:w="1373" w:type="pct"/>
            <w:vAlign w:val="center"/>
          </w:tcPr>
          <w:p w14:paraId="4EA53719">
            <w:pPr>
              <w:pStyle w:val="75"/>
              <w:rPr>
                <w:rFonts w:ascii="Times New Roman" w:hAnsi="Times New Roman" w:eastAsia="宋体" w:cs="Times New Roman"/>
              </w:rPr>
            </w:pPr>
            <w:r>
              <w:rPr>
                <w:rFonts w:hint="default" w:ascii="Times New Roman" w:hAnsi="Times New Roman" w:eastAsia="宋体" w:cs="Times New Roman"/>
              </w:rPr>
              <w:t>砷</w:t>
            </w:r>
          </w:p>
        </w:tc>
        <w:tc>
          <w:tcPr>
            <w:tcW w:w="1208" w:type="pct"/>
            <w:vAlign w:val="center"/>
          </w:tcPr>
          <w:p w14:paraId="333FA707">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BF7956E">
            <w:pPr>
              <w:pStyle w:val="75"/>
              <w:rPr>
                <w:rFonts w:hint="default" w:eastAsia="宋体"/>
                <w:lang w:val="en-US" w:eastAsia="zh-CN"/>
              </w:rPr>
            </w:pPr>
            <w:r>
              <w:rPr>
                <w:rFonts w:hint="eastAsia"/>
                <w:lang w:val="en-US" w:eastAsia="zh-CN"/>
              </w:rPr>
              <w:t>0.01</w:t>
            </w:r>
          </w:p>
        </w:tc>
        <w:tc>
          <w:tcPr>
            <w:tcW w:w="844" w:type="pct"/>
            <w:vAlign w:val="center"/>
          </w:tcPr>
          <w:p w14:paraId="542C674A">
            <w:pPr>
              <w:pStyle w:val="75"/>
            </w:pPr>
            <w:r>
              <w:rPr>
                <w:rFonts w:hint="eastAsia"/>
              </w:rPr>
              <w:t>达标</w:t>
            </w:r>
          </w:p>
        </w:tc>
      </w:tr>
      <w:tr w14:paraId="04125C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9768D77">
            <w:pPr>
              <w:pStyle w:val="75"/>
              <w:rPr>
                <w:kern w:val="2"/>
              </w:rPr>
            </w:pPr>
          </w:p>
        </w:tc>
        <w:tc>
          <w:tcPr>
            <w:tcW w:w="1373" w:type="pct"/>
            <w:vAlign w:val="center"/>
          </w:tcPr>
          <w:p w14:paraId="141DDBA2">
            <w:pPr>
              <w:pStyle w:val="75"/>
              <w:rPr>
                <w:rFonts w:ascii="Times New Roman" w:hAnsi="Times New Roman" w:eastAsia="宋体" w:cs="Times New Roman"/>
              </w:rPr>
            </w:pPr>
            <w:r>
              <w:rPr>
                <w:rFonts w:hint="default" w:ascii="Times New Roman" w:hAnsi="Times New Roman" w:eastAsia="宋体" w:cs="Times New Roman"/>
              </w:rPr>
              <w:t>汞</w:t>
            </w:r>
          </w:p>
        </w:tc>
        <w:tc>
          <w:tcPr>
            <w:tcW w:w="1208" w:type="pct"/>
            <w:vAlign w:val="center"/>
          </w:tcPr>
          <w:p w14:paraId="587FA1AE">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336A6328">
            <w:pPr>
              <w:pStyle w:val="75"/>
              <w:rPr>
                <w:rFonts w:hint="default" w:eastAsia="宋体"/>
                <w:lang w:val="en-US" w:eastAsia="zh-CN"/>
              </w:rPr>
            </w:pPr>
            <w:r>
              <w:rPr>
                <w:rFonts w:hint="eastAsia"/>
                <w:lang w:val="en-US" w:eastAsia="zh-CN"/>
              </w:rPr>
              <w:t>0.001</w:t>
            </w:r>
          </w:p>
        </w:tc>
        <w:tc>
          <w:tcPr>
            <w:tcW w:w="844" w:type="pct"/>
            <w:vAlign w:val="center"/>
          </w:tcPr>
          <w:p w14:paraId="136AD24C">
            <w:pPr>
              <w:pStyle w:val="75"/>
            </w:pPr>
            <w:r>
              <w:rPr>
                <w:rFonts w:hint="eastAsia"/>
              </w:rPr>
              <w:t>达标</w:t>
            </w:r>
          </w:p>
        </w:tc>
      </w:tr>
      <w:tr w14:paraId="3D97B9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F65A333">
            <w:pPr>
              <w:pStyle w:val="75"/>
              <w:rPr>
                <w:kern w:val="2"/>
              </w:rPr>
            </w:pPr>
          </w:p>
        </w:tc>
        <w:tc>
          <w:tcPr>
            <w:tcW w:w="1373" w:type="pct"/>
            <w:vAlign w:val="center"/>
          </w:tcPr>
          <w:p w14:paraId="0932B85E">
            <w:pPr>
              <w:pStyle w:val="75"/>
              <w:rPr>
                <w:rFonts w:ascii="Times New Roman" w:hAnsi="Times New Roman" w:eastAsia="宋体" w:cs="Times New Roman"/>
              </w:rPr>
            </w:pPr>
            <w:r>
              <w:rPr>
                <w:rFonts w:hint="default" w:ascii="Times New Roman" w:hAnsi="Times New Roman" w:eastAsia="宋体" w:cs="Times New Roman"/>
              </w:rPr>
              <w:t>铬（六价）</w:t>
            </w:r>
          </w:p>
        </w:tc>
        <w:tc>
          <w:tcPr>
            <w:tcW w:w="1208" w:type="pct"/>
            <w:vAlign w:val="center"/>
          </w:tcPr>
          <w:p w14:paraId="79D7A3A5">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60ADE54E">
            <w:pPr>
              <w:pStyle w:val="75"/>
              <w:rPr>
                <w:rFonts w:hint="default" w:eastAsia="宋体"/>
                <w:lang w:val="en-US" w:eastAsia="zh-CN"/>
              </w:rPr>
            </w:pPr>
            <w:r>
              <w:rPr>
                <w:rFonts w:hint="eastAsia"/>
                <w:lang w:val="en-US" w:eastAsia="zh-CN"/>
              </w:rPr>
              <w:t>0.05</w:t>
            </w:r>
          </w:p>
        </w:tc>
        <w:tc>
          <w:tcPr>
            <w:tcW w:w="844" w:type="pct"/>
            <w:vAlign w:val="center"/>
          </w:tcPr>
          <w:p w14:paraId="0A42BEA0">
            <w:pPr>
              <w:pStyle w:val="75"/>
            </w:pPr>
            <w:r>
              <w:rPr>
                <w:rFonts w:hint="eastAsia"/>
              </w:rPr>
              <w:t>达标</w:t>
            </w:r>
          </w:p>
        </w:tc>
      </w:tr>
      <w:tr w14:paraId="30B48B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0A3C32E">
            <w:pPr>
              <w:pStyle w:val="75"/>
              <w:rPr>
                <w:kern w:val="2"/>
              </w:rPr>
            </w:pPr>
          </w:p>
        </w:tc>
        <w:tc>
          <w:tcPr>
            <w:tcW w:w="1373" w:type="pct"/>
            <w:vAlign w:val="center"/>
          </w:tcPr>
          <w:p w14:paraId="258374CF">
            <w:pPr>
              <w:pStyle w:val="75"/>
              <w:rPr>
                <w:rFonts w:ascii="Times New Roman" w:hAnsi="Times New Roman" w:eastAsia="宋体" w:cs="Times New Roman"/>
              </w:rPr>
            </w:pPr>
            <w:r>
              <w:rPr>
                <w:rFonts w:hint="default" w:ascii="Times New Roman" w:hAnsi="Times New Roman" w:eastAsia="宋体" w:cs="Times New Roman"/>
              </w:rPr>
              <w:t>铅</w:t>
            </w:r>
          </w:p>
        </w:tc>
        <w:tc>
          <w:tcPr>
            <w:tcW w:w="1208" w:type="pct"/>
            <w:vAlign w:val="center"/>
          </w:tcPr>
          <w:p w14:paraId="3F24EC69">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68E5ADE">
            <w:pPr>
              <w:pStyle w:val="75"/>
              <w:rPr>
                <w:rFonts w:hint="default" w:eastAsia="宋体"/>
                <w:lang w:val="en-US" w:eastAsia="zh-CN"/>
              </w:rPr>
            </w:pPr>
            <w:r>
              <w:rPr>
                <w:rFonts w:hint="eastAsia"/>
                <w:lang w:val="en-US" w:eastAsia="zh-CN"/>
              </w:rPr>
              <w:t>0.01</w:t>
            </w:r>
          </w:p>
        </w:tc>
        <w:tc>
          <w:tcPr>
            <w:tcW w:w="844" w:type="pct"/>
            <w:vAlign w:val="center"/>
          </w:tcPr>
          <w:p w14:paraId="1E40A2DC">
            <w:pPr>
              <w:pStyle w:val="75"/>
            </w:pPr>
            <w:r>
              <w:rPr>
                <w:rFonts w:hint="eastAsia"/>
              </w:rPr>
              <w:t>达标</w:t>
            </w:r>
          </w:p>
        </w:tc>
      </w:tr>
      <w:tr w14:paraId="655A5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965A09B">
            <w:pPr>
              <w:pStyle w:val="75"/>
              <w:rPr>
                <w:kern w:val="2"/>
              </w:rPr>
            </w:pPr>
          </w:p>
        </w:tc>
        <w:tc>
          <w:tcPr>
            <w:tcW w:w="1373" w:type="pct"/>
            <w:vAlign w:val="center"/>
          </w:tcPr>
          <w:p w14:paraId="6ACF2A8E">
            <w:pPr>
              <w:pStyle w:val="75"/>
              <w:rPr>
                <w:rFonts w:ascii="Times New Roman" w:hAnsi="Times New Roman" w:eastAsia="宋体" w:cs="Times New Roman"/>
              </w:rPr>
            </w:pPr>
            <w:r>
              <w:rPr>
                <w:rFonts w:hint="default" w:ascii="Times New Roman" w:hAnsi="Times New Roman" w:eastAsia="宋体" w:cs="Times New Roman"/>
              </w:rPr>
              <w:t>镉</w:t>
            </w:r>
          </w:p>
        </w:tc>
        <w:tc>
          <w:tcPr>
            <w:tcW w:w="1208" w:type="pct"/>
            <w:vAlign w:val="center"/>
          </w:tcPr>
          <w:p w14:paraId="28A07808">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F299ADB">
            <w:pPr>
              <w:pStyle w:val="75"/>
              <w:rPr>
                <w:rFonts w:hint="default" w:eastAsia="宋体"/>
                <w:kern w:val="2"/>
                <w:lang w:val="en-US" w:eastAsia="zh-CN"/>
              </w:rPr>
            </w:pPr>
            <w:r>
              <w:rPr>
                <w:rFonts w:hint="eastAsia"/>
                <w:kern w:val="2"/>
                <w:lang w:val="en-US" w:eastAsia="zh-CN"/>
              </w:rPr>
              <w:t>0.005</w:t>
            </w:r>
          </w:p>
        </w:tc>
        <w:tc>
          <w:tcPr>
            <w:tcW w:w="844" w:type="pct"/>
            <w:vAlign w:val="center"/>
          </w:tcPr>
          <w:p w14:paraId="6A269621">
            <w:pPr>
              <w:pStyle w:val="75"/>
            </w:pPr>
            <w:r>
              <w:rPr>
                <w:rFonts w:hint="eastAsia"/>
              </w:rPr>
              <w:t>达标</w:t>
            </w:r>
          </w:p>
        </w:tc>
      </w:tr>
      <w:tr w14:paraId="11BD0B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4C65091">
            <w:pPr>
              <w:pStyle w:val="75"/>
              <w:rPr>
                <w:kern w:val="2"/>
              </w:rPr>
            </w:pPr>
          </w:p>
        </w:tc>
        <w:tc>
          <w:tcPr>
            <w:tcW w:w="1373" w:type="pct"/>
            <w:vAlign w:val="center"/>
          </w:tcPr>
          <w:p w14:paraId="570D9AEC">
            <w:pPr>
              <w:pStyle w:val="75"/>
              <w:rPr>
                <w:rFonts w:ascii="Times New Roman" w:hAnsi="Times New Roman" w:eastAsia="宋体" w:cs="Times New Roman"/>
              </w:rPr>
            </w:pPr>
            <w:r>
              <w:rPr>
                <w:rFonts w:hint="default" w:ascii="Times New Roman" w:hAnsi="Times New Roman" w:eastAsia="宋体" w:cs="Times New Roman"/>
              </w:rPr>
              <w:t>铁</w:t>
            </w:r>
          </w:p>
        </w:tc>
        <w:tc>
          <w:tcPr>
            <w:tcW w:w="1208" w:type="pct"/>
            <w:vAlign w:val="center"/>
          </w:tcPr>
          <w:p w14:paraId="3FFD3E2E">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71473A82">
            <w:pPr>
              <w:pStyle w:val="75"/>
              <w:rPr>
                <w:rFonts w:hint="default" w:eastAsia="宋体"/>
                <w:kern w:val="2"/>
                <w:lang w:val="en-US" w:eastAsia="zh-CN"/>
              </w:rPr>
            </w:pPr>
            <w:r>
              <w:rPr>
                <w:rFonts w:hint="eastAsia"/>
                <w:kern w:val="2"/>
                <w:lang w:val="en-US" w:eastAsia="zh-CN"/>
              </w:rPr>
              <w:t>0.3</w:t>
            </w:r>
          </w:p>
        </w:tc>
        <w:tc>
          <w:tcPr>
            <w:tcW w:w="844" w:type="pct"/>
            <w:vAlign w:val="center"/>
          </w:tcPr>
          <w:p w14:paraId="549C7839">
            <w:pPr>
              <w:pStyle w:val="75"/>
            </w:pPr>
            <w:r>
              <w:rPr>
                <w:rFonts w:hint="eastAsia"/>
              </w:rPr>
              <w:t>达标</w:t>
            </w:r>
          </w:p>
        </w:tc>
      </w:tr>
      <w:tr w14:paraId="75189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C64BF30">
            <w:pPr>
              <w:pStyle w:val="75"/>
              <w:rPr>
                <w:kern w:val="2"/>
              </w:rPr>
            </w:pPr>
          </w:p>
        </w:tc>
        <w:tc>
          <w:tcPr>
            <w:tcW w:w="1373" w:type="pct"/>
            <w:vAlign w:val="center"/>
          </w:tcPr>
          <w:p w14:paraId="6007455D">
            <w:pPr>
              <w:pStyle w:val="75"/>
              <w:rPr>
                <w:rFonts w:ascii="Times New Roman" w:hAnsi="Times New Roman" w:eastAsia="宋体" w:cs="Times New Roman"/>
              </w:rPr>
            </w:pPr>
            <w:r>
              <w:rPr>
                <w:rFonts w:hint="default" w:ascii="Times New Roman" w:hAnsi="Times New Roman" w:eastAsia="宋体" w:cs="Times New Roman"/>
              </w:rPr>
              <w:t>锰</w:t>
            </w:r>
          </w:p>
        </w:tc>
        <w:tc>
          <w:tcPr>
            <w:tcW w:w="1208" w:type="pct"/>
            <w:vAlign w:val="center"/>
          </w:tcPr>
          <w:p w14:paraId="11FCF214">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FDFB552">
            <w:pPr>
              <w:pStyle w:val="75"/>
              <w:rPr>
                <w:rFonts w:hint="default" w:eastAsia="宋体"/>
                <w:kern w:val="2"/>
                <w:lang w:val="en-US" w:eastAsia="zh-CN"/>
              </w:rPr>
            </w:pPr>
            <w:r>
              <w:rPr>
                <w:rFonts w:hint="eastAsia"/>
                <w:kern w:val="2"/>
                <w:lang w:val="en-US" w:eastAsia="zh-CN"/>
              </w:rPr>
              <w:t>0.1</w:t>
            </w:r>
          </w:p>
        </w:tc>
        <w:tc>
          <w:tcPr>
            <w:tcW w:w="844" w:type="pct"/>
            <w:vAlign w:val="center"/>
          </w:tcPr>
          <w:p w14:paraId="343BCC47">
            <w:pPr>
              <w:pStyle w:val="75"/>
              <w:rPr>
                <w:kern w:val="2"/>
              </w:rPr>
            </w:pPr>
            <w:r>
              <w:rPr>
                <w:rFonts w:hint="eastAsia"/>
                <w:kern w:val="2"/>
              </w:rPr>
              <w:t>达标</w:t>
            </w:r>
          </w:p>
        </w:tc>
      </w:tr>
      <w:tr w14:paraId="4990C9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A607DD1">
            <w:pPr>
              <w:pStyle w:val="75"/>
              <w:rPr>
                <w:kern w:val="2"/>
              </w:rPr>
            </w:pPr>
          </w:p>
        </w:tc>
        <w:tc>
          <w:tcPr>
            <w:tcW w:w="1373" w:type="pct"/>
            <w:vAlign w:val="center"/>
          </w:tcPr>
          <w:p w14:paraId="72C7A8D8">
            <w:pPr>
              <w:pStyle w:val="75"/>
              <w:rPr>
                <w:rFonts w:ascii="Times New Roman" w:hAnsi="Times New Roman" w:eastAsia="宋体" w:cs="Times New Roman"/>
              </w:rPr>
            </w:pPr>
            <w:r>
              <w:rPr>
                <w:rFonts w:hint="default" w:ascii="Times New Roman" w:hAnsi="Times New Roman" w:eastAsia="宋体" w:cs="Times New Roman"/>
              </w:rPr>
              <w:t>钙</w:t>
            </w:r>
          </w:p>
        </w:tc>
        <w:tc>
          <w:tcPr>
            <w:tcW w:w="1208" w:type="pct"/>
            <w:vAlign w:val="center"/>
          </w:tcPr>
          <w:p w14:paraId="70A55237">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83.81</w:t>
            </w:r>
          </w:p>
        </w:tc>
        <w:tc>
          <w:tcPr>
            <w:tcW w:w="846" w:type="pct"/>
            <w:vAlign w:val="center"/>
          </w:tcPr>
          <w:p w14:paraId="114FE99D">
            <w:pPr>
              <w:pStyle w:val="75"/>
              <w:rPr>
                <w:rFonts w:hint="eastAsia" w:eastAsia="宋体"/>
                <w:kern w:val="2"/>
                <w:lang w:val="en-US" w:eastAsia="zh-CN"/>
              </w:rPr>
            </w:pPr>
            <w:r>
              <w:rPr>
                <w:rFonts w:hint="eastAsia"/>
                <w:kern w:val="2"/>
                <w:lang w:val="en-US" w:eastAsia="zh-CN"/>
              </w:rPr>
              <w:t>/</w:t>
            </w:r>
          </w:p>
        </w:tc>
        <w:tc>
          <w:tcPr>
            <w:tcW w:w="844" w:type="pct"/>
            <w:vAlign w:val="center"/>
          </w:tcPr>
          <w:p w14:paraId="41C1F996">
            <w:pPr>
              <w:pStyle w:val="75"/>
              <w:rPr>
                <w:rFonts w:hint="eastAsia" w:eastAsia="宋体"/>
                <w:kern w:val="2"/>
                <w:lang w:eastAsia="zh-CN"/>
              </w:rPr>
            </w:pPr>
            <w:r>
              <w:rPr>
                <w:rFonts w:hint="eastAsia"/>
                <w:kern w:val="2"/>
                <w:lang w:val="en-US" w:eastAsia="zh-CN"/>
              </w:rPr>
              <w:t>/</w:t>
            </w:r>
          </w:p>
        </w:tc>
      </w:tr>
      <w:tr w14:paraId="46E66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285B3AE">
            <w:pPr>
              <w:pStyle w:val="75"/>
              <w:rPr>
                <w:kern w:val="2"/>
              </w:rPr>
            </w:pPr>
          </w:p>
        </w:tc>
        <w:tc>
          <w:tcPr>
            <w:tcW w:w="1373" w:type="pct"/>
            <w:vAlign w:val="center"/>
          </w:tcPr>
          <w:p w14:paraId="6E4AF7B8">
            <w:pPr>
              <w:pStyle w:val="75"/>
              <w:rPr>
                <w:rFonts w:ascii="Times New Roman" w:hAnsi="Times New Roman" w:eastAsia="宋体" w:cs="Times New Roman"/>
              </w:rPr>
            </w:pPr>
            <w:r>
              <w:rPr>
                <w:rFonts w:hint="default" w:ascii="Times New Roman" w:hAnsi="Times New Roman" w:eastAsia="宋体" w:cs="Times New Roman"/>
              </w:rPr>
              <w:t>钠</w:t>
            </w:r>
          </w:p>
        </w:tc>
        <w:tc>
          <w:tcPr>
            <w:tcW w:w="1208" w:type="pct"/>
            <w:vAlign w:val="center"/>
          </w:tcPr>
          <w:p w14:paraId="4D0E420F">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86.99</w:t>
            </w:r>
          </w:p>
        </w:tc>
        <w:tc>
          <w:tcPr>
            <w:tcW w:w="846" w:type="pct"/>
            <w:vAlign w:val="center"/>
          </w:tcPr>
          <w:p w14:paraId="370908CD">
            <w:pPr>
              <w:pStyle w:val="75"/>
              <w:rPr>
                <w:rFonts w:hint="eastAsia" w:eastAsia="宋体"/>
                <w:kern w:val="2"/>
                <w:lang w:val="en-US" w:eastAsia="zh-CN"/>
              </w:rPr>
            </w:pPr>
            <w:r>
              <w:rPr>
                <w:rFonts w:hint="eastAsia"/>
                <w:kern w:val="2"/>
                <w:lang w:val="en-US" w:eastAsia="zh-CN"/>
              </w:rPr>
              <w:t>/</w:t>
            </w:r>
          </w:p>
        </w:tc>
        <w:tc>
          <w:tcPr>
            <w:tcW w:w="844" w:type="pct"/>
            <w:vAlign w:val="center"/>
          </w:tcPr>
          <w:p w14:paraId="70A361A8">
            <w:pPr>
              <w:pStyle w:val="75"/>
              <w:rPr>
                <w:rFonts w:hint="eastAsia" w:ascii="Times New Roman" w:hAnsi="Times New Roman" w:eastAsia="宋体" w:cs="Times New Roman"/>
                <w:kern w:val="2"/>
                <w:lang w:val="en-US" w:eastAsia="zh-CN"/>
              </w:rPr>
            </w:pPr>
            <w:r>
              <w:rPr>
                <w:rFonts w:hint="eastAsia" w:ascii="Times New Roman" w:hAnsi="Times New Roman" w:eastAsia="宋体" w:cs="Times New Roman"/>
                <w:kern w:val="2"/>
                <w:lang w:val="en-US" w:eastAsia="zh-CN"/>
              </w:rPr>
              <w:t>/</w:t>
            </w:r>
          </w:p>
        </w:tc>
      </w:tr>
      <w:tr w14:paraId="5358E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0AE8FBC">
            <w:pPr>
              <w:pStyle w:val="75"/>
              <w:rPr>
                <w:kern w:val="2"/>
              </w:rPr>
            </w:pPr>
          </w:p>
        </w:tc>
        <w:tc>
          <w:tcPr>
            <w:tcW w:w="1373" w:type="pct"/>
            <w:vAlign w:val="center"/>
          </w:tcPr>
          <w:p w14:paraId="13CCEC54">
            <w:pPr>
              <w:pStyle w:val="75"/>
              <w:rPr>
                <w:rFonts w:ascii="Times New Roman" w:hAnsi="Times New Roman" w:eastAsia="宋体" w:cs="Times New Roman"/>
              </w:rPr>
            </w:pPr>
            <w:r>
              <w:rPr>
                <w:rFonts w:hint="default" w:ascii="Times New Roman" w:hAnsi="Times New Roman" w:eastAsia="宋体" w:cs="Times New Roman"/>
              </w:rPr>
              <w:t>钾</w:t>
            </w:r>
          </w:p>
        </w:tc>
        <w:tc>
          <w:tcPr>
            <w:tcW w:w="1208" w:type="pct"/>
            <w:vAlign w:val="center"/>
          </w:tcPr>
          <w:p w14:paraId="3792FB81">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3.06</w:t>
            </w:r>
          </w:p>
        </w:tc>
        <w:tc>
          <w:tcPr>
            <w:tcW w:w="846" w:type="pct"/>
            <w:vAlign w:val="center"/>
          </w:tcPr>
          <w:p w14:paraId="1CC7450E">
            <w:pPr>
              <w:pStyle w:val="75"/>
              <w:rPr>
                <w:rFonts w:hint="eastAsia" w:eastAsia="宋体"/>
                <w:kern w:val="2"/>
                <w:lang w:val="en-US" w:eastAsia="zh-CN"/>
              </w:rPr>
            </w:pPr>
            <w:r>
              <w:rPr>
                <w:rFonts w:hint="eastAsia"/>
                <w:kern w:val="2"/>
                <w:lang w:val="en-US" w:eastAsia="zh-CN"/>
              </w:rPr>
              <w:t>/</w:t>
            </w:r>
          </w:p>
        </w:tc>
        <w:tc>
          <w:tcPr>
            <w:tcW w:w="844" w:type="pct"/>
            <w:vAlign w:val="center"/>
          </w:tcPr>
          <w:p w14:paraId="23B0DE9D">
            <w:pPr>
              <w:pStyle w:val="75"/>
              <w:rPr>
                <w:rFonts w:hint="eastAsia" w:ascii="Times New Roman" w:hAnsi="Times New Roman" w:eastAsia="宋体" w:cs="Times New Roman"/>
                <w:kern w:val="2"/>
                <w:lang w:val="en-US" w:eastAsia="zh-CN"/>
              </w:rPr>
            </w:pPr>
            <w:r>
              <w:rPr>
                <w:rFonts w:hint="eastAsia" w:ascii="Times New Roman" w:hAnsi="Times New Roman" w:eastAsia="宋体" w:cs="Times New Roman"/>
                <w:kern w:val="2"/>
                <w:lang w:val="en-US" w:eastAsia="zh-CN"/>
              </w:rPr>
              <w:t>/</w:t>
            </w:r>
          </w:p>
        </w:tc>
      </w:tr>
      <w:tr w14:paraId="4EAD3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58F9D69">
            <w:pPr>
              <w:pStyle w:val="75"/>
              <w:rPr>
                <w:kern w:val="2"/>
              </w:rPr>
            </w:pPr>
          </w:p>
        </w:tc>
        <w:tc>
          <w:tcPr>
            <w:tcW w:w="1373" w:type="pct"/>
            <w:vAlign w:val="center"/>
          </w:tcPr>
          <w:p w14:paraId="41967240">
            <w:pPr>
              <w:pStyle w:val="75"/>
              <w:rPr>
                <w:rFonts w:ascii="Times New Roman" w:hAnsi="Times New Roman" w:eastAsia="宋体" w:cs="Times New Roman"/>
              </w:rPr>
            </w:pPr>
            <w:r>
              <w:rPr>
                <w:rFonts w:hint="default" w:ascii="Times New Roman" w:hAnsi="Times New Roman" w:eastAsia="宋体" w:cs="Times New Roman"/>
              </w:rPr>
              <w:t>镁</w:t>
            </w:r>
          </w:p>
        </w:tc>
        <w:tc>
          <w:tcPr>
            <w:tcW w:w="1208" w:type="pct"/>
            <w:vAlign w:val="center"/>
          </w:tcPr>
          <w:p w14:paraId="43A9E86D">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10.275</w:t>
            </w:r>
          </w:p>
        </w:tc>
        <w:tc>
          <w:tcPr>
            <w:tcW w:w="846" w:type="pct"/>
            <w:vAlign w:val="center"/>
          </w:tcPr>
          <w:p w14:paraId="68467C01">
            <w:pPr>
              <w:pStyle w:val="75"/>
              <w:rPr>
                <w:rFonts w:hint="eastAsia" w:eastAsia="宋体"/>
                <w:kern w:val="2"/>
                <w:lang w:val="en-US" w:eastAsia="zh-CN"/>
              </w:rPr>
            </w:pPr>
            <w:r>
              <w:rPr>
                <w:rFonts w:hint="eastAsia"/>
                <w:kern w:val="2"/>
                <w:lang w:val="en-US" w:eastAsia="zh-CN"/>
              </w:rPr>
              <w:t>/</w:t>
            </w:r>
          </w:p>
        </w:tc>
        <w:tc>
          <w:tcPr>
            <w:tcW w:w="844" w:type="pct"/>
            <w:vAlign w:val="center"/>
          </w:tcPr>
          <w:p w14:paraId="73102D78">
            <w:pPr>
              <w:pStyle w:val="75"/>
              <w:rPr>
                <w:rFonts w:hint="eastAsia" w:ascii="Times New Roman" w:hAnsi="Times New Roman" w:eastAsia="宋体" w:cs="Times New Roman"/>
                <w:kern w:val="2"/>
                <w:lang w:val="en-US" w:eastAsia="zh-CN"/>
              </w:rPr>
            </w:pPr>
            <w:r>
              <w:rPr>
                <w:rFonts w:hint="eastAsia" w:ascii="Times New Roman" w:hAnsi="Times New Roman" w:eastAsia="宋体" w:cs="Times New Roman"/>
                <w:kern w:val="2"/>
                <w:lang w:val="en-US" w:eastAsia="zh-CN"/>
              </w:rPr>
              <w:t>/</w:t>
            </w:r>
          </w:p>
        </w:tc>
      </w:tr>
      <w:tr w14:paraId="6C01A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75C2D4E">
            <w:pPr>
              <w:pStyle w:val="75"/>
              <w:rPr>
                <w:kern w:val="2"/>
              </w:rPr>
            </w:pPr>
          </w:p>
        </w:tc>
        <w:tc>
          <w:tcPr>
            <w:tcW w:w="1373" w:type="pct"/>
            <w:vAlign w:val="center"/>
          </w:tcPr>
          <w:p w14:paraId="5642F262">
            <w:pPr>
              <w:pStyle w:val="75"/>
              <w:rPr>
                <w:rFonts w:ascii="Times New Roman" w:hAnsi="Times New Roman" w:eastAsia="宋体" w:cs="Times New Roman"/>
              </w:rPr>
            </w:pPr>
            <w:r>
              <w:rPr>
                <w:rFonts w:hint="default" w:ascii="Times New Roman" w:hAnsi="Times New Roman" w:eastAsia="宋体" w:cs="Times New Roman"/>
              </w:rPr>
              <w:t>碳酸根</w:t>
            </w:r>
          </w:p>
        </w:tc>
        <w:tc>
          <w:tcPr>
            <w:tcW w:w="1208" w:type="pct"/>
            <w:vAlign w:val="center"/>
          </w:tcPr>
          <w:p w14:paraId="61598CC4">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37A1C03">
            <w:pPr>
              <w:pStyle w:val="75"/>
              <w:rPr>
                <w:rFonts w:hint="eastAsia" w:eastAsia="宋体"/>
                <w:kern w:val="2"/>
                <w:lang w:val="en-US" w:eastAsia="zh-CN"/>
              </w:rPr>
            </w:pPr>
            <w:r>
              <w:rPr>
                <w:rFonts w:hint="eastAsia"/>
                <w:kern w:val="2"/>
                <w:lang w:val="en-US" w:eastAsia="zh-CN"/>
              </w:rPr>
              <w:t>/</w:t>
            </w:r>
          </w:p>
        </w:tc>
        <w:tc>
          <w:tcPr>
            <w:tcW w:w="844" w:type="pct"/>
            <w:vAlign w:val="center"/>
          </w:tcPr>
          <w:p w14:paraId="3E916CA4">
            <w:pPr>
              <w:pStyle w:val="75"/>
              <w:rPr>
                <w:rFonts w:hint="eastAsia" w:ascii="Times New Roman" w:hAnsi="Times New Roman" w:eastAsia="宋体" w:cs="Times New Roman"/>
                <w:kern w:val="2"/>
                <w:lang w:val="en-US" w:eastAsia="zh-CN"/>
              </w:rPr>
            </w:pPr>
            <w:r>
              <w:rPr>
                <w:rFonts w:hint="eastAsia" w:ascii="Times New Roman" w:hAnsi="Times New Roman" w:eastAsia="宋体" w:cs="Times New Roman"/>
                <w:kern w:val="2"/>
                <w:lang w:val="en-US" w:eastAsia="zh-CN"/>
              </w:rPr>
              <w:t>/</w:t>
            </w:r>
          </w:p>
        </w:tc>
      </w:tr>
      <w:tr w14:paraId="65C69A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6CA5FAD">
            <w:pPr>
              <w:pStyle w:val="75"/>
              <w:rPr>
                <w:kern w:val="2"/>
              </w:rPr>
            </w:pPr>
          </w:p>
        </w:tc>
        <w:tc>
          <w:tcPr>
            <w:tcW w:w="1373" w:type="pct"/>
            <w:vAlign w:val="center"/>
          </w:tcPr>
          <w:p w14:paraId="6CC52711">
            <w:pPr>
              <w:pStyle w:val="75"/>
              <w:rPr>
                <w:rFonts w:ascii="Times New Roman" w:hAnsi="Times New Roman" w:eastAsia="宋体" w:cs="Times New Roman"/>
              </w:rPr>
            </w:pPr>
            <w:r>
              <w:rPr>
                <w:rFonts w:hint="default" w:ascii="Times New Roman" w:hAnsi="Times New Roman" w:eastAsia="宋体" w:cs="Times New Roman"/>
              </w:rPr>
              <w:t>重碳酸根</w:t>
            </w:r>
          </w:p>
        </w:tc>
        <w:tc>
          <w:tcPr>
            <w:tcW w:w="1208" w:type="pct"/>
            <w:vAlign w:val="center"/>
          </w:tcPr>
          <w:p w14:paraId="6278B25B">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179</w:t>
            </w:r>
          </w:p>
        </w:tc>
        <w:tc>
          <w:tcPr>
            <w:tcW w:w="846" w:type="pct"/>
            <w:vAlign w:val="center"/>
          </w:tcPr>
          <w:p w14:paraId="4B5F3E93">
            <w:pPr>
              <w:pStyle w:val="75"/>
              <w:rPr>
                <w:rFonts w:hint="eastAsia" w:eastAsia="宋体"/>
                <w:kern w:val="2"/>
                <w:lang w:val="en-US" w:eastAsia="zh-CN"/>
              </w:rPr>
            </w:pPr>
            <w:r>
              <w:rPr>
                <w:rFonts w:hint="eastAsia"/>
                <w:kern w:val="2"/>
                <w:lang w:val="en-US" w:eastAsia="zh-CN"/>
              </w:rPr>
              <w:t>/</w:t>
            </w:r>
          </w:p>
        </w:tc>
        <w:tc>
          <w:tcPr>
            <w:tcW w:w="844" w:type="pct"/>
            <w:vAlign w:val="center"/>
          </w:tcPr>
          <w:p w14:paraId="1FF06E5D">
            <w:pPr>
              <w:pStyle w:val="75"/>
              <w:rPr>
                <w:rFonts w:hint="eastAsia" w:ascii="Times New Roman" w:hAnsi="Times New Roman" w:eastAsia="宋体" w:cs="Times New Roman"/>
                <w:kern w:val="2"/>
                <w:lang w:val="en-US" w:eastAsia="zh-CN"/>
              </w:rPr>
            </w:pPr>
            <w:r>
              <w:rPr>
                <w:rFonts w:hint="eastAsia" w:ascii="Times New Roman" w:hAnsi="Times New Roman" w:eastAsia="宋体" w:cs="Times New Roman"/>
                <w:kern w:val="2"/>
                <w:lang w:val="en-US" w:eastAsia="zh-CN"/>
              </w:rPr>
              <w:t>/</w:t>
            </w:r>
          </w:p>
        </w:tc>
      </w:tr>
      <w:tr w14:paraId="6CE2C6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F31AE2B">
            <w:pPr>
              <w:pStyle w:val="75"/>
              <w:rPr>
                <w:kern w:val="2"/>
              </w:rPr>
            </w:pPr>
          </w:p>
        </w:tc>
        <w:tc>
          <w:tcPr>
            <w:tcW w:w="1373" w:type="pct"/>
            <w:vAlign w:val="center"/>
          </w:tcPr>
          <w:p w14:paraId="7FF37312">
            <w:pPr>
              <w:pStyle w:val="75"/>
              <w:rPr>
                <w:rFonts w:ascii="Times New Roman" w:hAnsi="Times New Roman" w:eastAsia="宋体" w:cs="Times New Roman"/>
              </w:rPr>
            </w:pPr>
            <w:r>
              <w:rPr>
                <w:rFonts w:hint="default" w:ascii="Times New Roman" w:hAnsi="Times New Roman" w:eastAsia="宋体" w:cs="Times New Roman"/>
                <w:lang w:val="en-US" w:eastAsia="zh-CN"/>
              </w:rPr>
              <w:t>氟化物</w:t>
            </w:r>
          </w:p>
        </w:tc>
        <w:tc>
          <w:tcPr>
            <w:tcW w:w="1208" w:type="pct"/>
            <w:vAlign w:val="center"/>
          </w:tcPr>
          <w:p w14:paraId="3992765F">
            <w:pPr>
              <w:pStyle w:val="75"/>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0.45</w:t>
            </w:r>
          </w:p>
        </w:tc>
        <w:tc>
          <w:tcPr>
            <w:tcW w:w="846" w:type="pct"/>
            <w:vAlign w:val="center"/>
          </w:tcPr>
          <w:p w14:paraId="42D3E5AA">
            <w:pPr>
              <w:pStyle w:val="75"/>
              <w:rPr>
                <w:rFonts w:hint="eastAsia" w:eastAsia="宋体"/>
                <w:kern w:val="2"/>
                <w:lang w:val="en-US" w:eastAsia="zh-CN"/>
              </w:rPr>
            </w:pPr>
            <w:r>
              <w:rPr>
                <w:rFonts w:hint="eastAsia"/>
                <w:kern w:val="2"/>
                <w:lang w:val="en-US" w:eastAsia="zh-CN"/>
              </w:rPr>
              <w:t>1</w:t>
            </w:r>
          </w:p>
        </w:tc>
        <w:tc>
          <w:tcPr>
            <w:tcW w:w="844" w:type="pct"/>
            <w:vAlign w:val="center"/>
          </w:tcPr>
          <w:p w14:paraId="561E8BB7">
            <w:pPr>
              <w:pStyle w:val="75"/>
              <w:rPr>
                <w:kern w:val="2"/>
              </w:rPr>
            </w:pPr>
            <w:r>
              <w:rPr>
                <w:rFonts w:hint="eastAsia"/>
                <w:kern w:val="2"/>
              </w:rPr>
              <w:t>达标</w:t>
            </w:r>
          </w:p>
        </w:tc>
      </w:tr>
      <w:tr w14:paraId="7DAD7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2F7E99D">
            <w:pPr>
              <w:pStyle w:val="75"/>
              <w:rPr>
                <w:kern w:val="2"/>
              </w:rPr>
            </w:pPr>
          </w:p>
        </w:tc>
        <w:tc>
          <w:tcPr>
            <w:tcW w:w="1373" w:type="pct"/>
            <w:vAlign w:val="center"/>
          </w:tcPr>
          <w:p w14:paraId="0BCA1DDB">
            <w:pPr>
              <w:pStyle w:val="75"/>
              <w:rPr>
                <w:rFonts w:ascii="Times New Roman" w:hAnsi="Times New Roman" w:eastAsia="宋体" w:cs="Times New Roman"/>
              </w:rPr>
            </w:pPr>
            <w:r>
              <w:rPr>
                <w:rFonts w:hint="default" w:ascii="Times New Roman" w:hAnsi="Times New Roman" w:eastAsia="宋体" w:cs="Times New Roman"/>
                <w:lang w:val="en-US" w:eastAsia="zh-CN"/>
              </w:rPr>
              <w:t>镍</w:t>
            </w:r>
          </w:p>
        </w:tc>
        <w:tc>
          <w:tcPr>
            <w:tcW w:w="1208" w:type="pct"/>
            <w:vAlign w:val="center"/>
          </w:tcPr>
          <w:p w14:paraId="63E80AA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7EDE6C3">
            <w:pPr>
              <w:pStyle w:val="75"/>
              <w:rPr>
                <w:rFonts w:hint="default" w:eastAsia="宋体"/>
                <w:kern w:val="2"/>
                <w:lang w:val="en-US" w:eastAsia="zh-CN"/>
              </w:rPr>
            </w:pPr>
            <w:r>
              <w:rPr>
                <w:rFonts w:hint="eastAsia"/>
                <w:kern w:val="2"/>
                <w:lang w:val="en-US" w:eastAsia="zh-CN"/>
              </w:rPr>
              <w:t>0.02</w:t>
            </w:r>
          </w:p>
        </w:tc>
        <w:tc>
          <w:tcPr>
            <w:tcW w:w="844" w:type="pct"/>
            <w:vAlign w:val="center"/>
          </w:tcPr>
          <w:p w14:paraId="5CBA99DC">
            <w:pPr>
              <w:pStyle w:val="75"/>
              <w:rPr>
                <w:kern w:val="2"/>
              </w:rPr>
            </w:pPr>
            <w:r>
              <w:rPr>
                <w:rFonts w:hint="eastAsia"/>
                <w:kern w:val="2"/>
              </w:rPr>
              <w:t>达标</w:t>
            </w:r>
          </w:p>
        </w:tc>
      </w:tr>
      <w:tr w14:paraId="4E58A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69C98AB">
            <w:pPr>
              <w:pStyle w:val="75"/>
              <w:rPr>
                <w:kern w:val="2"/>
              </w:rPr>
            </w:pPr>
          </w:p>
        </w:tc>
        <w:tc>
          <w:tcPr>
            <w:tcW w:w="1373" w:type="pct"/>
            <w:vAlign w:val="center"/>
          </w:tcPr>
          <w:p w14:paraId="21E63768">
            <w:pPr>
              <w:pStyle w:val="75"/>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阴离子表面活性剂</w:t>
            </w:r>
          </w:p>
        </w:tc>
        <w:tc>
          <w:tcPr>
            <w:tcW w:w="1208" w:type="pct"/>
            <w:vAlign w:val="center"/>
          </w:tcPr>
          <w:p w14:paraId="1C591102">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A2138EA">
            <w:pPr>
              <w:pStyle w:val="75"/>
              <w:ind w:firstLine="0" w:firstLineChars="0"/>
              <w:rPr>
                <w:rFonts w:hint="eastAsia"/>
                <w:kern w:val="2"/>
                <w:lang w:val="en-US" w:eastAsia="zh-CN"/>
              </w:rPr>
            </w:pPr>
            <w:r>
              <w:rPr>
                <w:rFonts w:hint="eastAsia"/>
                <w:kern w:val="2"/>
                <w:lang w:val="en-US" w:eastAsia="zh-CN"/>
              </w:rPr>
              <w:t>0.02</w:t>
            </w:r>
          </w:p>
        </w:tc>
        <w:tc>
          <w:tcPr>
            <w:tcW w:w="844" w:type="pct"/>
            <w:vAlign w:val="center"/>
          </w:tcPr>
          <w:p w14:paraId="4D988734">
            <w:pPr>
              <w:pStyle w:val="75"/>
              <w:ind w:firstLine="0" w:firstLineChars="0"/>
              <w:rPr>
                <w:rFonts w:hint="eastAsia"/>
                <w:kern w:val="2"/>
              </w:rPr>
            </w:pPr>
            <w:r>
              <w:rPr>
                <w:rFonts w:hint="eastAsia"/>
                <w:kern w:val="2"/>
              </w:rPr>
              <w:t>达标</w:t>
            </w:r>
          </w:p>
        </w:tc>
      </w:tr>
      <w:tr w14:paraId="5EF540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0C7A53B">
            <w:pPr>
              <w:pStyle w:val="75"/>
              <w:rPr>
                <w:kern w:val="2"/>
              </w:rPr>
            </w:pPr>
          </w:p>
        </w:tc>
        <w:tc>
          <w:tcPr>
            <w:tcW w:w="1373" w:type="pct"/>
            <w:vAlign w:val="center"/>
          </w:tcPr>
          <w:p w14:paraId="5EA3CCB2">
            <w:pPr>
              <w:pStyle w:val="75"/>
              <w:rPr>
                <w:rFonts w:hint="eastAsia" w:ascii="Times New Roman" w:hAnsi="Times New Roman" w:eastAsia="宋体" w:cs="Times New Roman"/>
                <w:lang w:val="en-US" w:eastAsia="zh-CN"/>
              </w:rPr>
            </w:pPr>
            <w:r>
              <w:rPr>
                <w:rFonts w:hint="eastAsia" w:cs="Times New Roman"/>
                <w:lang w:val="en-US" w:eastAsia="zh-CN"/>
              </w:rPr>
              <w:t>铬</w:t>
            </w:r>
          </w:p>
        </w:tc>
        <w:tc>
          <w:tcPr>
            <w:tcW w:w="1208" w:type="pct"/>
            <w:vAlign w:val="center"/>
          </w:tcPr>
          <w:p w14:paraId="4CF0AFE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899A063">
            <w:pPr>
              <w:pStyle w:val="75"/>
              <w:rPr>
                <w:rFonts w:hint="default" w:eastAsia="宋体"/>
                <w:kern w:val="2"/>
                <w:lang w:val="en-US" w:eastAsia="zh-CN"/>
              </w:rPr>
            </w:pPr>
            <w:r>
              <w:rPr>
                <w:rFonts w:hint="eastAsia"/>
                <w:kern w:val="2"/>
                <w:lang w:val="en-US" w:eastAsia="zh-CN"/>
              </w:rPr>
              <w:t>/</w:t>
            </w:r>
          </w:p>
        </w:tc>
        <w:tc>
          <w:tcPr>
            <w:tcW w:w="844" w:type="pct"/>
            <w:vAlign w:val="center"/>
          </w:tcPr>
          <w:p w14:paraId="48AAE3E2">
            <w:pPr>
              <w:pStyle w:val="75"/>
              <w:rPr>
                <w:kern w:val="2"/>
              </w:rPr>
            </w:pPr>
            <w:r>
              <w:rPr>
                <w:rFonts w:hint="eastAsia"/>
                <w:kern w:val="2"/>
              </w:rPr>
              <w:t>达标</w:t>
            </w:r>
          </w:p>
        </w:tc>
      </w:tr>
      <w:tr w14:paraId="252E4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restart"/>
            <w:vAlign w:val="center"/>
          </w:tcPr>
          <w:p w14:paraId="6730050B">
            <w:pPr>
              <w:pStyle w:val="75"/>
              <w:rPr>
                <w:rFonts w:hint="default" w:eastAsia="宋体"/>
                <w:kern w:val="2"/>
                <w:lang w:val="en-US" w:eastAsia="zh-CN"/>
              </w:rPr>
            </w:pPr>
            <w:r>
              <w:rPr>
                <w:rFonts w:hint="default" w:eastAsia="宋体"/>
                <w:kern w:val="2"/>
                <w:lang w:val="en-US" w:eastAsia="zh-CN"/>
              </w:rPr>
              <w:t>厂址</w:t>
            </w:r>
          </w:p>
        </w:tc>
        <w:tc>
          <w:tcPr>
            <w:tcW w:w="1373" w:type="pct"/>
            <w:shd w:val="clear" w:color="auto" w:fill="auto"/>
            <w:vAlign w:val="center"/>
          </w:tcPr>
          <w:p w14:paraId="383E71F4">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pH值</w:t>
            </w:r>
          </w:p>
        </w:tc>
        <w:tc>
          <w:tcPr>
            <w:tcW w:w="1208" w:type="pct"/>
            <w:vAlign w:val="center"/>
          </w:tcPr>
          <w:p w14:paraId="4EA67A40">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8.3</w:t>
            </w:r>
          </w:p>
        </w:tc>
        <w:tc>
          <w:tcPr>
            <w:tcW w:w="846" w:type="pct"/>
            <w:vAlign w:val="center"/>
          </w:tcPr>
          <w:p w14:paraId="63ACD692">
            <w:pPr>
              <w:pStyle w:val="75"/>
              <w:ind w:firstLine="0" w:firstLineChars="0"/>
              <w:rPr>
                <w:kern w:val="2"/>
                <w:highlight w:val="yellow"/>
              </w:rPr>
            </w:pPr>
            <w:r>
              <w:rPr>
                <w:rFonts w:hint="eastAsia" w:ascii="Times New Roman" w:hAnsi="Times New Roman" w:eastAsia="宋体" w:cs="Times New Roman"/>
                <w:lang w:val="en-US" w:eastAsia="zh-CN"/>
              </w:rPr>
              <w:t>6.5~8.5</w:t>
            </w:r>
          </w:p>
        </w:tc>
        <w:tc>
          <w:tcPr>
            <w:tcW w:w="844" w:type="pct"/>
            <w:vAlign w:val="center"/>
          </w:tcPr>
          <w:p w14:paraId="78B07966">
            <w:pPr>
              <w:pStyle w:val="75"/>
              <w:ind w:firstLine="0" w:firstLineChars="0"/>
              <w:rPr>
                <w:rFonts w:hint="default" w:ascii="Times New Roman" w:hAnsi="Times New Roman" w:eastAsia="宋体" w:cs="Times New Roman"/>
              </w:rPr>
            </w:pPr>
            <w:r>
              <w:t>达标</w:t>
            </w:r>
          </w:p>
        </w:tc>
      </w:tr>
      <w:tr w14:paraId="050B8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A6D77D7">
            <w:pPr>
              <w:pStyle w:val="75"/>
              <w:rPr>
                <w:kern w:val="2"/>
                <w:highlight w:val="yellow"/>
              </w:rPr>
            </w:pPr>
          </w:p>
        </w:tc>
        <w:tc>
          <w:tcPr>
            <w:tcW w:w="1373" w:type="pct"/>
            <w:shd w:val="clear" w:color="auto" w:fill="auto"/>
            <w:vAlign w:val="center"/>
          </w:tcPr>
          <w:p w14:paraId="549B7149">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氨氮</w:t>
            </w:r>
          </w:p>
        </w:tc>
        <w:tc>
          <w:tcPr>
            <w:tcW w:w="1208" w:type="pct"/>
            <w:vAlign w:val="center"/>
          </w:tcPr>
          <w:p w14:paraId="6A55D2DC">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0.193</w:t>
            </w:r>
          </w:p>
        </w:tc>
        <w:tc>
          <w:tcPr>
            <w:tcW w:w="846" w:type="pct"/>
            <w:vAlign w:val="center"/>
          </w:tcPr>
          <w:p w14:paraId="79873DDA">
            <w:pPr>
              <w:pStyle w:val="75"/>
              <w:ind w:firstLine="0" w:firstLineChars="0"/>
              <w:rPr>
                <w:kern w:val="2"/>
              </w:rPr>
            </w:pPr>
            <w:r>
              <w:rPr>
                <w:rFonts w:hint="eastAsia"/>
                <w:kern w:val="2"/>
                <w:lang w:val="en-US" w:eastAsia="zh-CN"/>
              </w:rPr>
              <w:t>0.5</w:t>
            </w:r>
          </w:p>
        </w:tc>
        <w:tc>
          <w:tcPr>
            <w:tcW w:w="844" w:type="pct"/>
            <w:vAlign w:val="center"/>
          </w:tcPr>
          <w:p w14:paraId="545CBEAB">
            <w:pPr>
              <w:pStyle w:val="75"/>
              <w:ind w:firstLine="0" w:firstLineChars="0"/>
              <w:rPr>
                <w:rFonts w:hint="default" w:ascii="Times New Roman" w:hAnsi="Times New Roman" w:eastAsia="宋体" w:cs="Times New Roman"/>
              </w:rPr>
            </w:pPr>
            <w:r>
              <w:rPr>
                <w:rFonts w:hint="default" w:ascii="Times New Roman" w:hAnsi="Times New Roman" w:eastAsia="宋体" w:cs="Times New Roman"/>
              </w:rPr>
              <w:t>达标</w:t>
            </w:r>
          </w:p>
        </w:tc>
      </w:tr>
      <w:tr w14:paraId="676BF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5DF8A8A">
            <w:pPr>
              <w:pStyle w:val="75"/>
              <w:rPr>
                <w:kern w:val="2"/>
                <w:highlight w:val="yellow"/>
              </w:rPr>
            </w:pPr>
          </w:p>
        </w:tc>
        <w:tc>
          <w:tcPr>
            <w:tcW w:w="1373" w:type="pct"/>
            <w:shd w:val="clear" w:color="auto" w:fill="auto"/>
            <w:vAlign w:val="center"/>
          </w:tcPr>
          <w:p w14:paraId="0BD2A0AF">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总硬度</w:t>
            </w:r>
          </w:p>
        </w:tc>
        <w:tc>
          <w:tcPr>
            <w:tcW w:w="1208" w:type="pct"/>
            <w:vAlign w:val="center"/>
          </w:tcPr>
          <w:p w14:paraId="2A6B172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280</w:t>
            </w:r>
          </w:p>
        </w:tc>
        <w:tc>
          <w:tcPr>
            <w:tcW w:w="846" w:type="pct"/>
            <w:vAlign w:val="center"/>
          </w:tcPr>
          <w:p w14:paraId="69648BEF">
            <w:pPr>
              <w:pStyle w:val="75"/>
              <w:ind w:firstLine="0" w:firstLineChars="0"/>
              <w:rPr>
                <w:kern w:val="2"/>
              </w:rPr>
            </w:pPr>
            <w:r>
              <w:rPr>
                <w:rFonts w:hint="eastAsia"/>
                <w:kern w:val="2"/>
                <w:lang w:val="en-US" w:eastAsia="zh-CN"/>
              </w:rPr>
              <w:t>450</w:t>
            </w:r>
          </w:p>
        </w:tc>
        <w:tc>
          <w:tcPr>
            <w:tcW w:w="844" w:type="pct"/>
            <w:vAlign w:val="center"/>
          </w:tcPr>
          <w:p w14:paraId="51593C52">
            <w:pPr>
              <w:pStyle w:val="75"/>
              <w:ind w:firstLine="0" w:firstLineChars="0"/>
              <w:rPr>
                <w:rFonts w:hint="default" w:ascii="Times New Roman" w:hAnsi="Times New Roman" w:eastAsia="宋体" w:cs="Times New Roman"/>
              </w:rPr>
            </w:pPr>
            <w:r>
              <w:rPr>
                <w:rFonts w:hint="default" w:ascii="Times New Roman" w:hAnsi="Times New Roman" w:eastAsia="宋体" w:cs="Times New Roman"/>
              </w:rPr>
              <w:t>达标</w:t>
            </w:r>
          </w:p>
        </w:tc>
      </w:tr>
      <w:tr w14:paraId="1B5B4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2EBC420">
            <w:pPr>
              <w:pStyle w:val="75"/>
              <w:rPr>
                <w:kern w:val="2"/>
                <w:highlight w:val="yellow"/>
              </w:rPr>
            </w:pPr>
          </w:p>
        </w:tc>
        <w:tc>
          <w:tcPr>
            <w:tcW w:w="1373" w:type="pct"/>
            <w:shd w:val="clear" w:color="auto" w:fill="auto"/>
            <w:vAlign w:val="center"/>
          </w:tcPr>
          <w:p w14:paraId="19CFDE69">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溶解性总固体</w:t>
            </w:r>
          </w:p>
        </w:tc>
        <w:tc>
          <w:tcPr>
            <w:tcW w:w="1208" w:type="pct"/>
            <w:vAlign w:val="center"/>
          </w:tcPr>
          <w:p w14:paraId="5694335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539</w:t>
            </w:r>
          </w:p>
        </w:tc>
        <w:tc>
          <w:tcPr>
            <w:tcW w:w="846" w:type="pct"/>
            <w:vAlign w:val="center"/>
          </w:tcPr>
          <w:p w14:paraId="0E837318">
            <w:pPr>
              <w:pStyle w:val="75"/>
              <w:ind w:firstLine="0" w:firstLineChars="0"/>
              <w:rPr>
                <w:kern w:val="2"/>
              </w:rPr>
            </w:pPr>
            <w:r>
              <w:rPr>
                <w:rFonts w:hint="eastAsia"/>
                <w:kern w:val="2"/>
                <w:lang w:val="en-US" w:eastAsia="zh-CN"/>
              </w:rPr>
              <w:t>1000</w:t>
            </w:r>
          </w:p>
        </w:tc>
        <w:tc>
          <w:tcPr>
            <w:tcW w:w="844" w:type="pct"/>
            <w:vAlign w:val="center"/>
          </w:tcPr>
          <w:p w14:paraId="63E3204E">
            <w:pPr>
              <w:pStyle w:val="75"/>
              <w:ind w:firstLine="0" w:firstLineChars="0"/>
              <w:rPr>
                <w:rFonts w:hint="default" w:ascii="Times New Roman" w:hAnsi="Times New Roman" w:eastAsia="宋体" w:cs="Times New Roman"/>
              </w:rPr>
            </w:pPr>
            <w:r>
              <w:rPr>
                <w:rFonts w:hint="default" w:ascii="Times New Roman" w:hAnsi="Times New Roman" w:eastAsia="宋体" w:cs="Times New Roman"/>
              </w:rPr>
              <w:t>达标</w:t>
            </w:r>
          </w:p>
        </w:tc>
      </w:tr>
      <w:tr w14:paraId="09346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6BAEC00">
            <w:pPr>
              <w:pStyle w:val="75"/>
              <w:rPr>
                <w:kern w:val="2"/>
                <w:highlight w:val="yellow"/>
              </w:rPr>
            </w:pPr>
          </w:p>
        </w:tc>
        <w:tc>
          <w:tcPr>
            <w:tcW w:w="1373" w:type="pct"/>
            <w:shd w:val="clear" w:color="auto" w:fill="auto"/>
            <w:vAlign w:val="center"/>
          </w:tcPr>
          <w:p w14:paraId="1BFC7F10">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高锰酸盐指数（以O</w:t>
            </w:r>
            <w:r>
              <w:rPr>
                <w:rFonts w:hint="default" w:ascii="Times New Roman" w:hAnsi="Times New Roman" w:eastAsia="宋体" w:cs="Times New Roman"/>
                <w:vertAlign w:val="subscript"/>
              </w:rPr>
              <w:t>2</w:t>
            </w:r>
            <w:r>
              <w:rPr>
                <w:rFonts w:hint="default" w:ascii="Times New Roman" w:hAnsi="Times New Roman" w:eastAsia="宋体" w:cs="Times New Roman"/>
              </w:rPr>
              <w:t>计）</w:t>
            </w:r>
          </w:p>
        </w:tc>
        <w:tc>
          <w:tcPr>
            <w:tcW w:w="1208" w:type="pct"/>
            <w:vAlign w:val="center"/>
          </w:tcPr>
          <w:p w14:paraId="40A35218">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2.55</w:t>
            </w:r>
          </w:p>
        </w:tc>
        <w:tc>
          <w:tcPr>
            <w:tcW w:w="846" w:type="pct"/>
            <w:vAlign w:val="center"/>
          </w:tcPr>
          <w:p w14:paraId="54912EEB">
            <w:pPr>
              <w:pStyle w:val="75"/>
              <w:ind w:firstLine="0" w:firstLineChars="0"/>
              <w:rPr>
                <w:kern w:val="2"/>
              </w:rPr>
            </w:pPr>
            <w:r>
              <w:rPr>
                <w:rFonts w:hint="eastAsia"/>
                <w:kern w:val="2"/>
                <w:lang w:val="en-US" w:eastAsia="zh-CN"/>
              </w:rPr>
              <w:t>3</w:t>
            </w:r>
          </w:p>
        </w:tc>
        <w:tc>
          <w:tcPr>
            <w:tcW w:w="844" w:type="pct"/>
            <w:vAlign w:val="center"/>
          </w:tcPr>
          <w:p w14:paraId="60C1E328">
            <w:pPr>
              <w:pStyle w:val="75"/>
              <w:ind w:firstLine="0" w:firstLineChars="0"/>
              <w:rPr>
                <w:rFonts w:hint="default" w:ascii="Times New Roman" w:hAnsi="Times New Roman" w:eastAsia="宋体" w:cs="Times New Roman"/>
              </w:rPr>
            </w:pPr>
            <w:r>
              <w:rPr>
                <w:rFonts w:hint="default" w:ascii="Times New Roman" w:hAnsi="Times New Roman" w:eastAsia="宋体" w:cs="Times New Roman"/>
              </w:rPr>
              <w:t>达标</w:t>
            </w:r>
          </w:p>
        </w:tc>
      </w:tr>
      <w:tr w14:paraId="35262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9EF1D7E">
            <w:pPr>
              <w:pStyle w:val="75"/>
              <w:rPr>
                <w:kern w:val="2"/>
                <w:highlight w:val="yellow"/>
              </w:rPr>
            </w:pPr>
          </w:p>
        </w:tc>
        <w:tc>
          <w:tcPr>
            <w:tcW w:w="1373" w:type="pct"/>
            <w:shd w:val="clear" w:color="auto" w:fill="auto"/>
            <w:vAlign w:val="center"/>
          </w:tcPr>
          <w:p w14:paraId="536D98E4">
            <w:pPr>
              <w:pStyle w:val="75"/>
              <w:rPr>
                <w:rFonts w:hint="default" w:ascii="Times New Roman" w:hAnsi="Times New Roman" w:eastAsia="宋体" w:cs="Times New Roman"/>
              </w:rPr>
            </w:pPr>
            <w:r>
              <w:rPr>
                <w:rFonts w:hint="default" w:ascii="Times New Roman" w:hAnsi="Times New Roman" w:eastAsia="宋体" w:cs="Times New Roman"/>
              </w:rPr>
              <w:t>硝酸盐</w:t>
            </w:r>
          </w:p>
          <w:p w14:paraId="01C0FFE8">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（以N计）</w:t>
            </w:r>
          </w:p>
        </w:tc>
        <w:tc>
          <w:tcPr>
            <w:tcW w:w="1208" w:type="pct"/>
            <w:vAlign w:val="center"/>
          </w:tcPr>
          <w:p w14:paraId="4FC8786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7.7</w:t>
            </w:r>
          </w:p>
        </w:tc>
        <w:tc>
          <w:tcPr>
            <w:tcW w:w="846" w:type="pct"/>
            <w:vAlign w:val="center"/>
          </w:tcPr>
          <w:p w14:paraId="58C08619">
            <w:pPr>
              <w:pStyle w:val="75"/>
              <w:ind w:firstLine="0" w:firstLineChars="0"/>
              <w:rPr>
                <w:kern w:val="2"/>
              </w:rPr>
            </w:pPr>
            <w:r>
              <w:rPr>
                <w:rFonts w:hint="eastAsia"/>
                <w:kern w:val="2"/>
                <w:lang w:val="en-US" w:eastAsia="zh-CN"/>
              </w:rPr>
              <w:t>20</w:t>
            </w:r>
          </w:p>
        </w:tc>
        <w:tc>
          <w:tcPr>
            <w:tcW w:w="844" w:type="pct"/>
            <w:vAlign w:val="center"/>
          </w:tcPr>
          <w:p w14:paraId="6CE55621">
            <w:pPr>
              <w:pStyle w:val="75"/>
              <w:ind w:firstLine="0" w:firstLineChars="0"/>
              <w:rPr>
                <w:rFonts w:hint="default" w:ascii="Times New Roman" w:hAnsi="Times New Roman" w:eastAsia="宋体" w:cs="Times New Roman"/>
              </w:rPr>
            </w:pPr>
            <w:r>
              <w:t>达标</w:t>
            </w:r>
          </w:p>
        </w:tc>
      </w:tr>
      <w:tr w14:paraId="19763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31F700E">
            <w:pPr>
              <w:pStyle w:val="75"/>
              <w:rPr>
                <w:kern w:val="2"/>
                <w:highlight w:val="yellow"/>
              </w:rPr>
            </w:pPr>
          </w:p>
        </w:tc>
        <w:tc>
          <w:tcPr>
            <w:tcW w:w="1373" w:type="pct"/>
            <w:shd w:val="clear" w:color="auto" w:fill="auto"/>
            <w:vAlign w:val="center"/>
          </w:tcPr>
          <w:p w14:paraId="0ADB7E3B">
            <w:pPr>
              <w:pStyle w:val="75"/>
              <w:rPr>
                <w:rFonts w:hint="default" w:ascii="Times New Roman" w:hAnsi="Times New Roman" w:eastAsia="宋体" w:cs="Times New Roman"/>
              </w:rPr>
            </w:pPr>
            <w:r>
              <w:rPr>
                <w:rFonts w:hint="default" w:ascii="Times New Roman" w:hAnsi="Times New Roman" w:eastAsia="宋体" w:cs="Times New Roman"/>
              </w:rPr>
              <w:t>亚硝酸盐</w:t>
            </w:r>
          </w:p>
          <w:p w14:paraId="532B3BF2">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（以N计）</w:t>
            </w:r>
          </w:p>
        </w:tc>
        <w:tc>
          <w:tcPr>
            <w:tcW w:w="1208" w:type="pct"/>
            <w:vAlign w:val="center"/>
          </w:tcPr>
          <w:p w14:paraId="6A5D5B2A">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0.210</w:t>
            </w:r>
          </w:p>
        </w:tc>
        <w:tc>
          <w:tcPr>
            <w:tcW w:w="846" w:type="pct"/>
            <w:vAlign w:val="center"/>
          </w:tcPr>
          <w:p w14:paraId="1A7F4BB4">
            <w:pPr>
              <w:pStyle w:val="75"/>
              <w:ind w:firstLine="0" w:firstLineChars="0"/>
              <w:rPr>
                <w:kern w:val="2"/>
              </w:rPr>
            </w:pPr>
            <w:r>
              <w:rPr>
                <w:rFonts w:hint="eastAsia"/>
                <w:kern w:val="2"/>
                <w:lang w:val="en-US" w:eastAsia="zh-CN"/>
              </w:rPr>
              <w:t>1</w:t>
            </w:r>
          </w:p>
        </w:tc>
        <w:tc>
          <w:tcPr>
            <w:tcW w:w="844" w:type="pct"/>
            <w:vAlign w:val="center"/>
          </w:tcPr>
          <w:p w14:paraId="2087EC05">
            <w:pPr>
              <w:pStyle w:val="75"/>
              <w:ind w:firstLine="0" w:firstLineChars="0"/>
              <w:rPr>
                <w:rFonts w:hint="default" w:ascii="Times New Roman" w:hAnsi="Times New Roman" w:eastAsia="宋体" w:cs="Times New Roman"/>
              </w:rPr>
            </w:pPr>
            <w:r>
              <w:t>达标</w:t>
            </w:r>
          </w:p>
        </w:tc>
      </w:tr>
      <w:tr w14:paraId="7845CC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6DE77F5">
            <w:pPr>
              <w:pStyle w:val="75"/>
              <w:rPr>
                <w:kern w:val="2"/>
                <w:highlight w:val="yellow"/>
              </w:rPr>
            </w:pPr>
          </w:p>
        </w:tc>
        <w:tc>
          <w:tcPr>
            <w:tcW w:w="1373" w:type="pct"/>
            <w:shd w:val="clear" w:color="auto" w:fill="auto"/>
            <w:vAlign w:val="center"/>
          </w:tcPr>
          <w:p w14:paraId="7FACE757">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lang w:val="en-US" w:eastAsia="zh-CN"/>
              </w:rPr>
              <w:t>硫酸盐</w:t>
            </w:r>
          </w:p>
        </w:tc>
        <w:tc>
          <w:tcPr>
            <w:tcW w:w="1208" w:type="pct"/>
            <w:vAlign w:val="center"/>
          </w:tcPr>
          <w:p w14:paraId="2733DFA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92.4</w:t>
            </w:r>
          </w:p>
        </w:tc>
        <w:tc>
          <w:tcPr>
            <w:tcW w:w="846" w:type="pct"/>
            <w:vAlign w:val="center"/>
          </w:tcPr>
          <w:p w14:paraId="0C18DF6B">
            <w:pPr>
              <w:pStyle w:val="75"/>
              <w:ind w:firstLine="0" w:firstLineChars="0"/>
              <w:rPr>
                <w:kern w:val="2"/>
              </w:rPr>
            </w:pPr>
            <w:r>
              <w:rPr>
                <w:rFonts w:hint="eastAsia"/>
                <w:kern w:val="2"/>
                <w:lang w:val="en-US" w:eastAsia="zh-CN"/>
              </w:rPr>
              <w:t>250</w:t>
            </w:r>
          </w:p>
        </w:tc>
        <w:tc>
          <w:tcPr>
            <w:tcW w:w="844" w:type="pct"/>
            <w:vAlign w:val="center"/>
          </w:tcPr>
          <w:p w14:paraId="313FD11B">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rPr>
              <w:t>达标</w:t>
            </w:r>
          </w:p>
        </w:tc>
      </w:tr>
      <w:tr w14:paraId="087C1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8BD86D7">
            <w:pPr>
              <w:pStyle w:val="75"/>
              <w:rPr>
                <w:kern w:val="2"/>
                <w:highlight w:val="yellow"/>
              </w:rPr>
            </w:pPr>
          </w:p>
        </w:tc>
        <w:tc>
          <w:tcPr>
            <w:tcW w:w="1373" w:type="pct"/>
            <w:shd w:val="clear" w:color="auto" w:fill="auto"/>
            <w:vAlign w:val="center"/>
          </w:tcPr>
          <w:p w14:paraId="09EAC08C">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氯化物</w:t>
            </w:r>
          </w:p>
        </w:tc>
        <w:tc>
          <w:tcPr>
            <w:tcW w:w="1208" w:type="pct"/>
            <w:vAlign w:val="center"/>
          </w:tcPr>
          <w:p w14:paraId="0DE9778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137</w:t>
            </w:r>
          </w:p>
        </w:tc>
        <w:tc>
          <w:tcPr>
            <w:tcW w:w="846" w:type="pct"/>
            <w:vAlign w:val="center"/>
          </w:tcPr>
          <w:p w14:paraId="509C3B02">
            <w:pPr>
              <w:pStyle w:val="75"/>
              <w:ind w:firstLine="0" w:firstLineChars="0"/>
              <w:rPr>
                <w:kern w:val="2"/>
              </w:rPr>
            </w:pPr>
            <w:r>
              <w:rPr>
                <w:rFonts w:hint="eastAsia"/>
                <w:kern w:val="2"/>
                <w:lang w:val="en-US" w:eastAsia="zh-CN"/>
              </w:rPr>
              <w:t>250</w:t>
            </w:r>
          </w:p>
        </w:tc>
        <w:tc>
          <w:tcPr>
            <w:tcW w:w="844" w:type="pct"/>
            <w:vAlign w:val="center"/>
          </w:tcPr>
          <w:p w14:paraId="14908CF4">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rPr>
              <w:t>达标</w:t>
            </w:r>
          </w:p>
        </w:tc>
      </w:tr>
      <w:tr w14:paraId="716983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C53774C">
            <w:pPr>
              <w:pStyle w:val="75"/>
              <w:rPr>
                <w:kern w:val="2"/>
                <w:highlight w:val="yellow"/>
              </w:rPr>
            </w:pPr>
          </w:p>
        </w:tc>
        <w:tc>
          <w:tcPr>
            <w:tcW w:w="1373" w:type="pct"/>
            <w:shd w:val="clear" w:color="auto" w:fill="auto"/>
            <w:vAlign w:val="center"/>
          </w:tcPr>
          <w:p w14:paraId="4914681D">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lang w:eastAsia="zh-CN"/>
              </w:rPr>
              <w:t>挥发酚（类）</w:t>
            </w:r>
          </w:p>
        </w:tc>
        <w:tc>
          <w:tcPr>
            <w:tcW w:w="1208" w:type="pct"/>
            <w:vAlign w:val="center"/>
          </w:tcPr>
          <w:p w14:paraId="2EEB01A5">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8AADA02">
            <w:pPr>
              <w:pStyle w:val="75"/>
              <w:ind w:firstLine="0" w:firstLineChars="0"/>
              <w:rPr>
                <w:kern w:val="2"/>
                <w:highlight w:val="yellow"/>
              </w:rPr>
            </w:pPr>
            <w:r>
              <w:rPr>
                <w:rFonts w:hint="eastAsia" w:ascii="Times New Roman" w:hAnsi="Times New Roman" w:eastAsia="宋体" w:cs="Times New Roman"/>
                <w:kern w:val="2"/>
                <w:lang w:val="en-US" w:eastAsia="zh-CN"/>
              </w:rPr>
              <w:t>0.002</w:t>
            </w:r>
          </w:p>
        </w:tc>
        <w:tc>
          <w:tcPr>
            <w:tcW w:w="844" w:type="pct"/>
            <w:vAlign w:val="center"/>
          </w:tcPr>
          <w:p w14:paraId="1D7A21A5">
            <w:pPr>
              <w:pStyle w:val="75"/>
              <w:ind w:firstLine="0" w:firstLineChars="0"/>
              <w:rPr>
                <w:rFonts w:hint="default" w:ascii="Times New Roman" w:hAnsi="Times New Roman" w:eastAsia="宋体" w:cs="Times New Roman"/>
              </w:rPr>
            </w:pPr>
            <w:r>
              <w:t>达标</w:t>
            </w:r>
          </w:p>
        </w:tc>
      </w:tr>
      <w:tr w14:paraId="1F385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7D8F1DD">
            <w:pPr>
              <w:pStyle w:val="75"/>
              <w:rPr>
                <w:kern w:val="2"/>
                <w:highlight w:val="yellow"/>
              </w:rPr>
            </w:pPr>
          </w:p>
        </w:tc>
        <w:tc>
          <w:tcPr>
            <w:tcW w:w="1373" w:type="pct"/>
            <w:shd w:val="clear" w:color="auto" w:fill="auto"/>
            <w:vAlign w:val="center"/>
          </w:tcPr>
          <w:p w14:paraId="58C399CE">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氰化物</w:t>
            </w:r>
          </w:p>
        </w:tc>
        <w:tc>
          <w:tcPr>
            <w:tcW w:w="1208" w:type="pct"/>
            <w:vAlign w:val="center"/>
          </w:tcPr>
          <w:p w14:paraId="62F04AAD">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376DBCB2">
            <w:pPr>
              <w:pStyle w:val="75"/>
              <w:ind w:firstLine="0" w:firstLineChars="0"/>
              <w:rPr>
                <w:kern w:val="2"/>
                <w:highlight w:val="yellow"/>
              </w:rPr>
            </w:pPr>
            <w:r>
              <w:rPr>
                <w:rFonts w:hint="eastAsia" w:ascii="Times New Roman" w:hAnsi="Times New Roman" w:eastAsia="宋体" w:cs="Times New Roman"/>
                <w:kern w:val="2"/>
                <w:lang w:val="en-US" w:eastAsia="zh-CN"/>
              </w:rPr>
              <w:t>0.05</w:t>
            </w:r>
          </w:p>
        </w:tc>
        <w:tc>
          <w:tcPr>
            <w:tcW w:w="844" w:type="pct"/>
            <w:vAlign w:val="center"/>
          </w:tcPr>
          <w:p w14:paraId="07ECB715">
            <w:pPr>
              <w:pStyle w:val="75"/>
              <w:ind w:firstLine="0" w:firstLineChars="0"/>
              <w:rPr>
                <w:rFonts w:hint="default" w:ascii="Times New Roman" w:hAnsi="Times New Roman" w:eastAsia="宋体" w:cs="Times New Roman"/>
              </w:rPr>
            </w:pPr>
            <w:r>
              <w:rPr>
                <w:rFonts w:hint="eastAsia"/>
              </w:rPr>
              <w:t>达标</w:t>
            </w:r>
          </w:p>
        </w:tc>
      </w:tr>
      <w:tr w14:paraId="2E6A0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0C2AD2D">
            <w:pPr>
              <w:pStyle w:val="75"/>
              <w:rPr>
                <w:kern w:val="2"/>
                <w:highlight w:val="yellow"/>
              </w:rPr>
            </w:pPr>
          </w:p>
        </w:tc>
        <w:tc>
          <w:tcPr>
            <w:tcW w:w="1373" w:type="pct"/>
            <w:shd w:val="clear" w:color="auto" w:fill="auto"/>
            <w:vAlign w:val="center"/>
          </w:tcPr>
          <w:p w14:paraId="577A75E8">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总大肠菌群</w:t>
            </w:r>
          </w:p>
        </w:tc>
        <w:tc>
          <w:tcPr>
            <w:tcW w:w="1208" w:type="pct"/>
            <w:vAlign w:val="center"/>
          </w:tcPr>
          <w:p w14:paraId="100A27F7">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w:t>
            </w:r>
          </w:p>
        </w:tc>
        <w:tc>
          <w:tcPr>
            <w:tcW w:w="846" w:type="pct"/>
            <w:vAlign w:val="center"/>
          </w:tcPr>
          <w:p w14:paraId="70ABEAAC">
            <w:pPr>
              <w:pStyle w:val="75"/>
              <w:ind w:firstLine="0" w:firstLineChars="0"/>
              <w:rPr>
                <w:kern w:val="2"/>
              </w:rPr>
            </w:pPr>
            <w:r>
              <w:rPr>
                <w:rFonts w:hint="eastAsia"/>
                <w:kern w:val="2"/>
                <w:lang w:val="en-US" w:eastAsia="zh-CN"/>
              </w:rPr>
              <w:t>3</w:t>
            </w:r>
          </w:p>
        </w:tc>
        <w:tc>
          <w:tcPr>
            <w:tcW w:w="844" w:type="pct"/>
            <w:vAlign w:val="center"/>
          </w:tcPr>
          <w:p w14:paraId="0E56AE51">
            <w:pPr>
              <w:pStyle w:val="75"/>
              <w:ind w:firstLine="0" w:firstLineChars="0"/>
              <w:rPr>
                <w:rFonts w:hint="default" w:ascii="Times New Roman" w:hAnsi="Times New Roman" w:eastAsia="宋体" w:cs="Times New Roman"/>
              </w:rPr>
            </w:pPr>
            <w:r>
              <w:rPr>
                <w:rFonts w:hint="eastAsia"/>
              </w:rPr>
              <w:t>达标</w:t>
            </w:r>
          </w:p>
        </w:tc>
      </w:tr>
      <w:tr w14:paraId="1C83E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4A3556B">
            <w:pPr>
              <w:pStyle w:val="75"/>
              <w:rPr>
                <w:kern w:val="2"/>
                <w:highlight w:val="yellow"/>
              </w:rPr>
            </w:pPr>
          </w:p>
        </w:tc>
        <w:tc>
          <w:tcPr>
            <w:tcW w:w="1373" w:type="pct"/>
            <w:shd w:val="clear" w:color="auto" w:fill="auto"/>
            <w:vAlign w:val="center"/>
          </w:tcPr>
          <w:p w14:paraId="7910C98D">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菌落总数</w:t>
            </w:r>
          </w:p>
        </w:tc>
        <w:tc>
          <w:tcPr>
            <w:tcW w:w="1208" w:type="pct"/>
            <w:vAlign w:val="center"/>
          </w:tcPr>
          <w:p w14:paraId="141124B4">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36</w:t>
            </w:r>
          </w:p>
        </w:tc>
        <w:tc>
          <w:tcPr>
            <w:tcW w:w="846" w:type="pct"/>
            <w:vAlign w:val="center"/>
          </w:tcPr>
          <w:p w14:paraId="70B9D83E">
            <w:pPr>
              <w:pStyle w:val="75"/>
              <w:ind w:firstLine="0" w:firstLineChars="0"/>
              <w:rPr>
                <w:kern w:val="2"/>
              </w:rPr>
            </w:pPr>
            <w:r>
              <w:rPr>
                <w:rFonts w:hint="eastAsia"/>
                <w:lang w:val="en-US" w:eastAsia="zh-CN"/>
              </w:rPr>
              <w:t>100</w:t>
            </w:r>
          </w:p>
        </w:tc>
        <w:tc>
          <w:tcPr>
            <w:tcW w:w="844" w:type="pct"/>
            <w:vAlign w:val="center"/>
          </w:tcPr>
          <w:p w14:paraId="24A9ADF9">
            <w:pPr>
              <w:pStyle w:val="75"/>
              <w:ind w:firstLine="0" w:firstLineChars="0"/>
              <w:rPr>
                <w:rFonts w:hint="default" w:ascii="Times New Roman" w:hAnsi="Times New Roman" w:eastAsia="宋体" w:cs="Times New Roman"/>
              </w:rPr>
            </w:pPr>
            <w:r>
              <w:rPr>
                <w:rFonts w:hint="eastAsia"/>
              </w:rPr>
              <w:t>达标</w:t>
            </w:r>
          </w:p>
        </w:tc>
      </w:tr>
      <w:tr w14:paraId="2427F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C7CEEF2">
            <w:pPr>
              <w:pStyle w:val="75"/>
              <w:rPr>
                <w:kern w:val="2"/>
                <w:highlight w:val="yellow"/>
              </w:rPr>
            </w:pPr>
          </w:p>
        </w:tc>
        <w:tc>
          <w:tcPr>
            <w:tcW w:w="1373" w:type="pct"/>
            <w:shd w:val="clear" w:color="auto" w:fill="auto"/>
            <w:vAlign w:val="center"/>
          </w:tcPr>
          <w:p w14:paraId="2FE764D9">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硫化物</w:t>
            </w:r>
          </w:p>
        </w:tc>
        <w:tc>
          <w:tcPr>
            <w:tcW w:w="1208" w:type="pct"/>
            <w:vAlign w:val="center"/>
          </w:tcPr>
          <w:p w14:paraId="5B14B5B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48D1CDB">
            <w:pPr>
              <w:pStyle w:val="75"/>
              <w:ind w:firstLine="0" w:firstLineChars="0"/>
              <w:rPr>
                <w:kern w:val="2"/>
              </w:rPr>
            </w:pPr>
            <w:r>
              <w:rPr>
                <w:rFonts w:hint="eastAsia"/>
                <w:lang w:val="en-US" w:eastAsia="zh-CN"/>
              </w:rPr>
              <w:t>0.02</w:t>
            </w:r>
          </w:p>
        </w:tc>
        <w:tc>
          <w:tcPr>
            <w:tcW w:w="844" w:type="pct"/>
            <w:vAlign w:val="center"/>
          </w:tcPr>
          <w:p w14:paraId="7498C76F">
            <w:pPr>
              <w:pStyle w:val="75"/>
              <w:ind w:firstLine="0" w:firstLineChars="0"/>
              <w:rPr>
                <w:rFonts w:hint="default" w:ascii="Times New Roman" w:hAnsi="Times New Roman" w:eastAsia="宋体" w:cs="Times New Roman"/>
              </w:rPr>
            </w:pPr>
            <w:r>
              <w:rPr>
                <w:rFonts w:hint="eastAsia"/>
              </w:rPr>
              <w:t>达标</w:t>
            </w:r>
          </w:p>
        </w:tc>
      </w:tr>
      <w:tr w14:paraId="724DB5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B5FDF53">
            <w:pPr>
              <w:pStyle w:val="75"/>
              <w:rPr>
                <w:kern w:val="2"/>
                <w:highlight w:val="yellow"/>
              </w:rPr>
            </w:pPr>
          </w:p>
        </w:tc>
        <w:tc>
          <w:tcPr>
            <w:tcW w:w="1373" w:type="pct"/>
            <w:shd w:val="clear" w:color="auto" w:fill="auto"/>
            <w:vAlign w:val="center"/>
          </w:tcPr>
          <w:p w14:paraId="18074547">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砷</w:t>
            </w:r>
          </w:p>
        </w:tc>
        <w:tc>
          <w:tcPr>
            <w:tcW w:w="1208" w:type="pct"/>
            <w:vAlign w:val="center"/>
          </w:tcPr>
          <w:p w14:paraId="69F96B43">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094EB91">
            <w:pPr>
              <w:pStyle w:val="75"/>
              <w:ind w:firstLine="0" w:firstLineChars="0"/>
              <w:rPr>
                <w:kern w:val="2"/>
              </w:rPr>
            </w:pPr>
            <w:r>
              <w:rPr>
                <w:rFonts w:hint="eastAsia"/>
                <w:lang w:val="en-US" w:eastAsia="zh-CN"/>
              </w:rPr>
              <w:t>0.01</w:t>
            </w:r>
          </w:p>
        </w:tc>
        <w:tc>
          <w:tcPr>
            <w:tcW w:w="844" w:type="pct"/>
            <w:vAlign w:val="center"/>
          </w:tcPr>
          <w:p w14:paraId="0C1DE7AE">
            <w:pPr>
              <w:pStyle w:val="75"/>
              <w:ind w:firstLine="0" w:firstLineChars="0"/>
              <w:rPr>
                <w:rFonts w:hint="default" w:ascii="Times New Roman" w:hAnsi="Times New Roman" w:eastAsia="宋体" w:cs="Times New Roman"/>
              </w:rPr>
            </w:pPr>
            <w:r>
              <w:rPr>
                <w:rFonts w:hint="eastAsia"/>
              </w:rPr>
              <w:t>达标</w:t>
            </w:r>
          </w:p>
        </w:tc>
      </w:tr>
      <w:tr w14:paraId="2F7F00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A27D8CB">
            <w:pPr>
              <w:pStyle w:val="75"/>
              <w:rPr>
                <w:kern w:val="2"/>
                <w:highlight w:val="yellow"/>
              </w:rPr>
            </w:pPr>
          </w:p>
        </w:tc>
        <w:tc>
          <w:tcPr>
            <w:tcW w:w="1373" w:type="pct"/>
            <w:shd w:val="clear" w:color="auto" w:fill="auto"/>
            <w:vAlign w:val="center"/>
          </w:tcPr>
          <w:p w14:paraId="55B49D37">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汞</w:t>
            </w:r>
          </w:p>
        </w:tc>
        <w:tc>
          <w:tcPr>
            <w:tcW w:w="1208" w:type="pct"/>
            <w:vAlign w:val="center"/>
          </w:tcPr>
          <w:p w14:paraId="0D002D0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ACC74E1">
            <w:pPr>
              <w:pStyle w:val="75"/>
              <w:ind w:firstLine="0" w:firstLineChars="0"/>
              <w:rPr>
                <w:kern w:val="2"/>
              </w:rPr>
            </w:pPr>
            <w:r>
              <w:rPr>
                <w:rFonts w:hint="eastAsia"/>
                <w:lang w:val="en-US" w:eastAsia="zh-CN"/>
              </w:rPr>
              <w:t>0.001</w:t>
            </w:r>
          </w:p>
        </w:tc>
        <w:tc>
          <w:tcPr>
            <w:tcW w:w="844" w:type="pct"/>
            <w:vAlign w:val="center"/>
          </w:tcPr>
          <w:p w14:paraId="70ACC7EF">
            <w:pPr>
              <w:pStyle w:val="75"/>
              <w:ind w:firstLine="0" w:firstLineChars="0"/>
              <w:rPr>
                <w:rFonts w:hint="default" w:ascii="Times New Roman" w:hAnsi="Times New Roman" w:eastAsia="宋体" w:cs="Times New Roman"/>
              </w:rPr>
            </w:pPr>
            <w:r>
              <w:rPr>
                <w:rFonts w:hint="eastAsia"/>
              </w:rPr>
              <w:t>达标</w:t>
            </w:r>
          </w:p>
        </w:tc>
      </w:tr>
      <w:tr w14:paraId="008A7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64CB95E">
            <w:pPr>
              <w:pStyle w:val="75"/>
              <w:rPr>
                <w:kern w:val="2"/>
                <w:highlight w:val="yellow"/>
              </w:rPr>
            </w:pPr>
          </w:p>
        </w:tc>
        <w:tc>
          <w:tcPr>
            <w:tcW w:w="1373" w:type="pct"/>
            <w:shd w:val="clear" w:color="auto" w:fill="auto"/>
            <w:vAlign w:val="center"/>
          </w:tcPr>
          <w:p w14:paraId="3870090A">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铬（六价）</w:t>
            </w:r>
          </w:p>
        </w:tc>
        <w:tc>
          <w:tcPr>
            <w:tcW w:w="1208" w:type="pct"/>
            <w:vAlign w:val="center"/>
          </w:tcPr>
          <w:p w14:paraId="3D179FD2">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E5B174D">
            <w:pPr>
              <w:pStyle w:val="75"/>
              <w:ind w:firstLine="0" w:firstLineChars="0"/>
              <w:rPr>
                <w:kern w:val="2"/>
              </w:rPr>
            </w:pPr>
            <w:r>
              <w:rPr>
                <w:rFonts w:hint="eastAsia"/>
                <w:lang w:val="en-US" w:eastAsia="zh-CN"/>
              </w:rPr>
              <w:t>0.05</w:t>
            </w:r>
          </w:p>
        </w:tc>
        <w:tc>
          <w:tcPr>
            <w:tcW w:w="844" w:type="pct"/>
            <w:vAlign w:val="center"/>
          </w:tcPr>
          <w:p w14:paraId="1799C0EA">
            <w:pPr>
              <w:pStyle w:val="75"/>
              <w:ind w:firstLine="0" w:firstLineChars="0"/>
              <w:rPr>
                <w:rFonts w:hint="default" w:ascii="Times New Roman" w:hAnsi="Times New Roman" w:eastAsia="宋体" w:cs="Times New Roman"/>
              </w:rPr>
            </w:pPr>
            <w:r>
              <w:rPr>
                <w:rFonts w:hint="eastAsia"/>
              </w:rPr>
              <w:t>达标</w:t>
            </w:r>
          </w:p>
        </w:tc>
      </w:tr>
      <w:tr w14:paraId="21C1DD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C4E8320">
            <w:pPr>
              <w:pStyle w:val="75"/>
              <w:rPr>
                <w:kern w:val="2"/>
                <w:highlight w:val="yellow"/>
              </w:rPr>
            </w:pPr>
          </w:p>
        </w:tc>
        <w:tc>
          <w:tcPr>
            <w:tcW w:w="1373" w:type="pct"/>
            <w:shd w:val="clear" w:color="auto" w:fill="auto"/>
            <w:vAlign w:val="center"/>
          </w:tcPr>
          <w:p w14:paraId="4B093B57">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铅</w:t>
            </w:r>
          </w:p>
        </w:tc>
        <w:tc>
          <w:tcPr>
            <w:tcW w:w="1208" w:type="pct"/>
            <w:vAlign w:val="center"/>
          </w:tcPr>
          <w:p w14:paraId="3C36604F">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D19792A">
            <w:pPr>
              <w:pStyle w:val="75"/>
              <w:ind w:firstLine="0" w:firstLineChars="0"/>
              <w:rPr>
                <w:kern w:val="2"/>
              </w:rPr>
            </w:pPr>
            <w:r>
              <w:rPr>
                <w:rFonts w:hint="eastAsia"/>
                <w:lang w:val="en-US" w:eastAsia="zh-CN"/>
              </w:rPr>
              <w:t>0.01</w:t>
            </w:r>
          </w:p>
        </w:tc>
        <w:tc>
          <w:tcPr>
            <w:tcW w:w="844" w:type="pct"/>
            <w:vAlign w:val="center"/>
          </w:tcPr>
          <w:p w14:paraId="2549F828">
            <w:pPr>
              <w:pStyle w:val="75"/>
              <w:ind w:firstLine="0" w:firstLineChars="0"/>
              <w:rPr>
                <w:rFonts w:hint="default" w:ascii="Times New Roman" w:hAnsi="Times New Roman" w:eastAsia="宋体" w:cs="Times New Roman"/>
              </w:rPr>
            </w:pPr>
            <w:r>
              <w:rPr>
                <w:rFonts w:hint="eastAsia"/>
              </w:rPr>
              <w:t>达标</w:t>
            </w:r>
          </w:p>
        </w:tc>
      </w:tr>
      <w:tr w14:paraId="01D50A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5551F09">
            <w:pPr>
              <w:pStyle w:val="75"/>
              <w:rPr>
                <w:kern w:val="2"/>
                <w:highlight w:val="yellow"/>
              </w:rPr>
            </w:pPr>
          </w:p>
        </w:tc>
        <w:tc>
          <w:tcPr>
            <w:tcW w:w="1373" w:type="pct"/>
            <w:shd w:val="clear" w:color="auto" w:fill="auto"/>
            <w:vAlign w:val="center"/>
          </w:tcPr>
          <w:p w14:paraId="4D945A3C">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镉</w:t>
            </w:r>
          </w:p>
        </w:tc>
        <w:tc>
          <w:tcPr>
            <w:tcW w:w="1208" w:type="pct"/>
            <w:vAlign w:val="center"/>
          </w:tcPr>
          <w:p w14:paraId="4F5691F4">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72A1588">
            <w:pPr>
              <w:pStyle w:val="75"/>
              <w:ind w:firstLine="0" w:firstLineChars="0"/>
              <w:rPr>
                <w:kern w:val="2"/>
              </w:rPr>
            </w:pPr>
            <w:r>
              <w:rPr>
                <w:rFonts w:hint="eastAsia"/>
                <w:kern w:val="2"/>
                <w:lang w:val="en-US" w:eastAsia="zh-CN"/>
              </w:rPr>
              <w:t>0.005</w:t>
            </w:r>
          </w:p>
        </w:tc>
        <w:tc>
          <w:tcPr>
            <w:tcW w:w="844" w:type="pct"/>
            <w:vAlign w:val="center"/>
          </w:tcPr>
          <w:p w14:paraId="3488DEB8">
            <w:pPr>
              <w:pStyle w:val="75"/>
              <w:ind w:firstLine="0" w:firstLineChars="0"/>
              <w:rPr>
                <w:rFonts w:hint="default" w:ascii="Times New Roman" w:hAnsi="Times New Roman" w:eastAsia="宋体" w:cs="Times New Roman"/>
              </w:rPr>
            </w:pPr>
            <w:r>
              <w:rPr>
                <w:rFonts w:hint="eastAsia"/>
              </w:rPr>
              <w:t>达标</w:t>
            </w:r>
          </w:p>
        </w:tc>
      </w:tr>
      <w:tr w14:paraId="3D30E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4F8A3BB">
            <w:pPr>
              <w:pStyle w:val="75"/>
              <w:rPr>
                <w:kern w:val="2"/>
                <w:highlight w:val="yellow"/>
              </w:rPr>
            </w:pPr>
          </w:p>
        </w:tc>
        <w:tc>
          <w:tcPr>
            <w:tcW w:w="1373" w:type="pct"/>
            <w:shd w:val="clear" w:color="auto" w:fill="auto"/>
            <w:vAlign w:val="center"/>
          </w:tcPr>
          <w:p w14:paraId="31AE1787">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铁</w:t>
            </w:r>
          </w:p>
        </w:tc>
        <w:tc>
          <w:tcPr>
            <w:tcW w:w="1208" w:type="pct"/>
            <w:vAlign w:val="center"/>
          </w:tcPr>
          <w:p w14:paraId="7EC9514F">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C41378B">
            <w:pPr>
              <w:pStyle w:val="75"/>
              <w:ind w:firstLine="0" w:firstLineChars="0"/>
              <w:rPr>
                <w:kern w:val="2"/>
              </w:rPr>
            </w:pPr>
            <w:r>
              <w:rPr>
                <w:rFonts w:hint="eastAsia"/>
                <w:kern w:val="2"/>
                <w:lang w:val="en-US" w:eastAsia="zh-CN"/>
              </w:rPr>
              <w:t>0.3</w:t>
            </w:r>
          </w:p>
        </w:tc>
        <w:tc>
          <w:tcPr>
            <w:tcW w:w="844" w:type="pct"/>
            <w:vAlign w:val="center"/>
          </w:tcPr>
          <w:p w14:paraId="3CFC7C14">
            <w:pPr>
              <w:pStyle w:val="75"/>
              <w:ind w:firstLine="0" w:firstLineChars="0"/>
              <w:rPr>
                <w:rFonts w:hint="default" w:ascii="Times New Roman" w:hAnsi="Times New Roman" w:eastAsia="宋体" w:cs="Times New Roman"/>
              </w:rPr>
            </w:pPr>
            <w:r>
              <w:rPr>
                <w:rFonts w:hint="eastAsia"/>
              </w:rPr>
              <w:t>达标</w:t>
            </w:r>
          </w:p>
        </w:tc>
      </w:tr>
      <w:tr w14:paraId="2AEF9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8422971">
            <w:pPr>
              <w:pStyle w:val="75"/>
              <w:rPr>
                <w:kern w:val="2"/>
                <w:highlight w:val="yellow"/>
              </w:rPr>
            </w:pPr>
          </w:p>
        </w:tc>
        <w:tc>
          <w:tcPr>
            <w:tcW w:w="1373" w:type="pct"/>
            <w:shd w:val="clear" w:color="auto" w:fill="auto"/>
            <w:vAlign w:val="center"/>
          </w:tcPr>
          <w:p w14:paraId="3D3C7FCF">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锰</w:t>
            </w:r>
          </w:p>
        </w:tc>
        <w:tc>
          <w:tcPr>
            <w:tcW w:w="1208" w:type="pct"/>
            <w:vAlign w:val="center"/>
          </w:tcPr>
          <w:p w14:paraId="5500050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7CCE0621">
            <w:pPr>
              <w:pStyle w:val="75"/>
              <w:ind w:firstLine="0" w:firstLineChars="0"/>
              <w:rPr>
                <w:kern w:val="2"/>
              </w:rPr>
            </w:pPr>
            <w:r>
              <w:rPr>
                <w:rFonts w:hint="eastAsia"/>
                <w:kern w:val="2"/>
                <w:lang w:val="en-US" w:eastAsia="zh-CN"/>
              </w:rPr>
              <w:t>0.1</w:t>
            </w:r>
          </w:p>
        </w:tc>
        <w:tc>
          <w:tcPr>
            <w:tcW w:w="844" w:type="pct"/>
            <w:vAlign w:val="center"/>
          </w:tcPr>
          <w:p w14:paraId="06CE145B">
            <w:pPr>
              <w:pStyle w:val="75"/>
              <w:ind w:firstLine="0" w:firstLineChars="0"/>
              <w:rPr>
                <w:rFonts w:hint="default" w:ascii="Times New Roman" w:hAnsi="Times New Roman" w:eastAsia="宋体" w:cs="Times New Roman"/>
              </w:rPr>
            </w:pPr>
            <w:r>
              <w:rPr>
                <w:rFonts w:hint="eastAsia"/>
                <w:kern w:val="2"/>
              </w:rPr>
              <w:t>达标</w:t>
            </w:r>
          </w:p>
        </w:tc>
      </w:tr>
      <w:tr w14:paraId="1DAFF6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58C857E">
            <w:pPr>
              <w:pStyle w:val="75"/>
              <w:rPr>
                <w:kern w:val="2"/>
                <w:highlight w:val="yellow"/>
              </w:rPr>
            </w:pPr>
          </w:p>
        </w:tc>
        <w:tc>
          <w:tcPr>
            <w:tcW w:w="1373" w:type="pct"/>
            <w:shd w:val="clear" w:color="auto" w:fill="auto"/>
            <w:vAlign w:val="center"/>
          </w:tcPr>
          <w:p w14:paraId="3AEA0E69">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钙</w:t>
            </w:r>
          </w:p>
        </w:tc>
        <w:tc>
          <w:tcPr>
            <w:tcW w:w="1208" w:type="pct"/>
            <w:vAlign w:val="center"/>
          </w:tcPr>
          <w:p w14:paraId="4037B19A">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84.3</w:t>
            </w:r>
          </w:p>
        </w:tc>
        <w:tc>
          <w:tcPr>
            <w:tcW w:w="846" w:type="pct"/>
            <w:vAlign w:val="center"/>
          </w:tcPr>
          <w:p w14:paraId="33A54A85">
            <w:pPr>
              <w:pStyle w:val="75"/>
              <w:ind w:firstLine="0" w:firstLineChars="0"/>
              <w:rPr>
                <w:kern w:val="2"/>
              </w:rPr>
            </w:pPr>
            <w:r>
              <w:rPr>
                <w:rFonts w:hint="eastAsia"/>
                <w:kern w:val="2"/>
                <w:lang w:val="en-US" w:eastAsia="zh-CN"/>
              </w:rPr>
              <w:t>/</w:t>
            </w:r>
          </w:p>
        </w:tc>
        <w:tc>
          <w:tcPr>
            <w:tcW w:w="844" w:type="pct"/>
            <w:vAlign w:val="center"/>
          </w:tcPr>
          <w:p w14:paraId="6728A788">
            <w:pPr>
              <w:pStyle w:val="75"/>
              <w:ind w:firstLine="0" w:firstLineChars="0"/>
              <w:rPr>
                <w:rFonts w:hint="default" w:ascii="Times New Roman" w:hAnsi="Times New Roman" w:eastAsia="宋体" w:cs="Times New Roman"/>
              </w:rPr>
            </w:pPr>
            <w:r>
              <w:rPr>
                <w:rFonts w:hint="eastAsia"/>
                <w:kern w:val="2"/>
                <w:lang w:val="en-US" w:eastAsia="zh-CN"/>
              </w:rPr>
              <w:t>/</w:t>
            </w:r>
          </w:p>
        </w:tc>
      </w:tr>
      <w:tr w14:paraId="5414D2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299341C">
            <w:pPr>
              <w:pStyle w:val="75"/>
              <w:rPr>
                <w:kern w:val="2"/>
                <w:highlight w:val="yellow"/>
              </w:rPr>
            </w:pPr>
          </w:p>
        </w:tc>
        <w:tc>
          <w:tcPr>
            <w:tcW w:w="1373" w:type="pct"/>
            <w:shd w:val="clear" w:color="auto" w:fill="auto"/>
            <w:vAlign w:val="center"/>
          </w:tcPr>
          <w:p w14:paraId="4A70D749">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钠</w:t>
            </w:r>
          </w:p>
        </w:tc>
        <w:tc>
          <w:tcPr>
            <w:tcW w:w="1208" w:type="pct"/>
            <w:vAlign w:val="center"/>
          </w:tcPr>
          <w:p w14:paraId="65FFDF71">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96.32</w:t>
            </w:r>
          </w:p>
        </w:tc>
        <w:tc>
          <w:tcPr>
            <w:tcW w:w="846" w:type="pct"/>
            <w:vAlign w:val="center"/>
          </w:tcPr>
          <w:p w14:paraId="242BCD51">
            <w:pPr>
              <w:pStyle w:val="75"/>
              <w:ind w:firstLine="0" w:firstLineChars="0"/>
              <w:rPr>
                <w:kern w:val="2"/>
              </w:rPr>
            </w:pPr>
            <w:r>
              <w:rPr>
                <w:rFonts w:hint="eastAsia"/>
                <w:kern w:val="2"/>
                <w:lang w:val="en-US" w:eastAsia="zh-CN"/>
              </w:rPr>
              <w:t>/</w:t>
            </w:r>
          </w:p>
        </w:tc>
        <w:tc>
          <w:tcPr>
            <w:tcW w:w="844" w:type="pct"/>
            <w:vAlign w:val="center"/>
          </w:tcPr>
          <w:p w14:paraId="3F70590B">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kern w:val="2"/>
                <w:lang w:val="en-US" w:eastAsia="zh-CN"/>
              </w:rPr>
              <w:t>/</w:t>
            </w:r>
          </w:p>
        </w:tc>
      </w:tr>
      <w:tr w14:paraId="6EC76C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DE84AE8">
            <w:pPr>
              <w:pStyle w:val="75"/>
              <w:rPr>
                <w:kern w:val="2"/>
                <w:highlight w:val="yellow"/>
              </w:rPr>
            </w:pPr>
          </w:p>
        </w:tc>
        <w:tc>
          <w:tcPr>
            <w:tcW w:w="1373" w:type="pct"/>
            <w:shd w:val="clear" w:color="auto" w:fill="auto"/>
            <w:vAlign w:val="center"/>
          </w:tcPr>
          <w:p w14:paraId="138E7BDA">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钾</w:t>
            </w:r>
          </w:p>
        </w:tc>
        <w:tc>
          <w:tcPr>
            <w:tcW w:w="1208" w:type="pct"/>
            <w:vAlign w:val="center"/>
          </w:tcPr>
          <w:p w14:paraId="5C321E4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3.26</w:t>
            </w:r>
          </w:p>
        </w:tc>
        <w:tc>
          <w:tcPr>
            <w:tcW w:w="846" w:type="pct"/>
            <w:vAlign w:val="center"/>
          </w:tcPr>
          <w:p w14:paraId="09C17473">
            <w:pPr>
              <w:pStyle w:val="75"/>
              <w:ind w:firstLine="0" w:firstLineChars="0"/>
              <w:rPr>
                <w:kern w:val="2"/>
              </w:rPr>
            </w:pPr>
            <w:r>
              <w:rPr>
                <w:rFonts w:hint="eastAsia"/>
                <w:kern w:val="2"/>
                <w:lang w:val="en-US" w:eastAsia="zh-CN"/>
              </w:rPr>
              <w:t>/</w:t>
            </w:r>
          </w:p>
        </w:tc>
        <w:tc>
          <w:tcPr>
            <w:tcW w:w="844" w:type="pct"/>
            <w:vAlign w:val="center"/>
          </w:tcPr>
          <w:p w14:paraId="5D9D18A5">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kern w:val="2"/>
                <w:lang w:val="en-US" w:eastAsia="zh-CN"/>
              </w:rPr>
              <w:t>/</w:t>
            </w:r>
          </w:p>
        </w:tc>
      </w:tr>
      <w:tr w14:paraId="30999A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3AC7009">
            <w:pPr>
              <w:pStyle w:val="75"/>
              <w:rPr>
                <w:kern w:val="2"/>
                <w:highlight w:val="yellow"/>
              </w:rPr>
            </w:pPr>
          </w:p>
        </w:tc>
        <w:tc>
          <w:tcPr>
            <w:tcW w:w="1373" w:type="pct"/>
            <w:shd w:val="clear" w:color="auto" w:fill="auto"/>
            <w:vAlign w:val="center"/>
          </w:tcPr>
          <w:p w14:paraId="3952F28B">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镁</w:t>
            </w:r>
          </w:p>
        </w:tc>
        <w:tc>
          <w:tcPr>
            <w:tcW w:w="1208" w:type="pct"/>
            <w:vAlign w:val="center"/>
          </w:tcPr>
          <w:p w14:paraId="3E2FA047">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11.65</w:t>
            </w:r>
            <w:r>
              <w:rPr>
                <w:rFonts w:hint="eastAsia" w:cs="Times New Roman"/>
                <w:kern w:val="2"/>
                <w:lang w:val="en-US" w:eastAsia="zh-CN"/>
              </w:rPr>
              <w:t>0</w:t>
            </w:r>
          </w:p>
        </w:tc>
        <w:tc>
          <w:tcPr>
            <w:tcW w:w="846" w:type="pct"/>
            <w:vAlign w:val="center"/>
          </w:tcPr>
          <w:p w14:paraId="44249F35">
            <w:pPr>
              <w:pStyle w:val="75"/>
              <w:ind w:firstLine="0" w:firstLineChars="0"/>
              <w:rPr>
                <w:kern w:val="2"/>
              </w:rPr>
            </w:pPr>
            <w:r>
              <w:rPr>
                <w:rFonts w:hint="eastAsia"/>
                <w:kern w:val="2"/>
                <w:lang w:val="en-US" w:eastAsia="zh-CN"/>
              </w:rPr>
              <w:t>/</w:t>
            </w:r>
          </w:p>
        </w:tc>
        <w:tc>
          <w:tcPr>
            <w:tcW w:w="844" w:type="pct"/>
            <w:vAlign w:val="center"/>
          </w:tcPr>
          <w:p w14:paraId="4BFC7ECF">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kern w:val="2"/>
                <w:lang w:val="en-US" w:eastAsia="zh-CN"/>
              </w:rPr>
              <w:t>/</w:t>
            </w:r>
          </w:p>
        </w:tc>
      </w:tr>
      <w:tr w14:paraId="190371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FD37407">
            <w:pPr>
              <w:pStyle w:val="75"/>
              <w:rPr>
                <w:kern w:val="2"/>
                <w:highlight w:val="yellow"/>
              </w:rPr>
            </w:pPr>
          </w:p>
        </w:tc>
        <w:tc>
          <w:tcPr>
            <w:tcW w:w="1373" w:type="pct"/>
            <w:shd w:val="clear" w:color="auto" w:fill="auto"/>
            <w:vAlign w:val="center"/>
          </w:tcPr>
          <w:p w14:paraId="3E16D8B4">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碳酸根</w:t>
            </w:r>
          </w:p>
        </w:tc>
        <w:tc>
          <w:tcPr>
            <w:tcW w:w="1208" w:type="pct"/>
            <w:vAlign w:val="center"/>
          </w:tcPr>
          <w:p w14:paraId="0D845905">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957D050">
            <w:pPr>
              <w:pStyle w:val="75"/>
              <w:ind w:firstLine="0" w:firstLineChars="0"/>
              <w:rPr>
                <w:kern w:val="2"/>
              </w:rPr>
            </w:pPr>
            <w:r>
              <w:rPr>
                <w:rFonts w:hint="eastAsia"/>
                <w:kern w:val="2"/>
                <w:lang w:val="en-US" w:eastAsia="zh-CN"/>
              </w:rPr>
              <w:t>/</w:t>
            </w:r>
          </w:p>
        </w:tc>
        <w:tc>
          <w:tcPr>
            <w:tcW w:w="844" w:type="pct"/>
            <w:vAlign w:val="center"/>
          </w:tcPr>
          <w:p w14:paraId="28DF4915">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kern w:val="2"/>
                <w:lang w:val="en-US" w:eastAsia="zh-CN"/>
              </w:rPr>
              <w:t>/</w:t>
            </w:r>
          </w:p>
        </w:tc>
      </w:tr>
      <w:tr w14:paraId="65260F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41542C3">
            <w:pPr>
              <w:pStyle w:val="75"/>
              <w:rPr>
                <w:kern w:val="2"/>
                <w:highlight w:val="yellow"/>
              </w:rPr>
            </w:pPr>
          </w:p>
        </w:tc>
        <w:tc>
          <w:tcPr>
            <w:tcW w:w="1373" w:type="pct"/>
            <w:shd w:val="clear" w:color="auto" w:fill="auto"/>
            <w:vAlign w:val="center"/>
          </w:tcPr>
          <w:p w14:paraId="2EAF056A">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rPr>
              <w:t>重碳酸根</w:t>
            </w:r>
          </w:p>
        </w:tc>
        <w:tc>
          <w:tcPr>
            <w:tcW w:w="1208" w:type="pct"/>
            <w:vAlign w:val="center"/>
          </w:tcPr>
          <w:p w14:paraId="0B6F6D6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186</w:t>
            </w:r>
          </w:p>
        </w:tc>
        <w:tc>
          <w:tcPr>
            <w:tcW w:w="846" w:type="pct"/>
            <w:vAlign w:val="center"/>
          </w:tcPr>
          <w:p w14:paraId="4CC5D819">
            <w:pPr>
              <w:pStyle w:val="75"/>
              <w:ind w:firstLine="0" w:firstLineChars="0"/>
              <w:rPr>
                <w:kern w:val="2"/>
              </w:rPr>
            </w:pPr>
            <w:r>
              <w:rPr>
                <w:rFonts w:hint="eastAsia"/>
                <w:kern w:val="2"/>
                <w:lang w:val="en-US" w:eastAsia="zh-CN"/>
              </w:rPr>
              <w:t>/</w:t>
            </w:r>
          </w:p>
        </w:tc>
        <w:tc>
          <w:tcPr>
            <w:tcW w:w="844" w:type="pct"/>
            <w:vAlign w:val="center"/>
          </w:tcPr>
          <w:p w14:paraId="5D000754">
            <w:pPr>
              <w:pStyle w:val="75"/>
              <w:ind w:firstLine="0" w:firstLineChars="0"/>
              <w:rPr>
                <w:rFonts w:hint="default" w:ascii="Times New Roman" w:hAnsi="Times New Roman" w:eastAsia="宋体" w:cs="Times New Roman"/>
              </w:rPr>
            </w:pPr>
            <w:r>
              <w:rPr>
                <w:rFonts w:hint="eastAsia" w:ascii="Times New Roman" w:hAnsi="Times New Roman" w:eastAsia="宋体" w:cs="Times New Roman"/>
                <w:kern w:val="2"/>
                <w:lang w:val="en-US" w:eastAsia="zh-CN"/>
              </w:rPr>
              <w:t>/</w:t>
            </w:r>
          </w:p>
        </w:tc>
      </w:tr>
      <w:tr w14:paraId="539556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003F202C">
            <w:pPr>
              <w:pStyle w:val="75"/>
              <w:rPr>
                <w:kern w:val="2"/>
                <w:highlight w:val="yellow"/>
              </w:rPr>
            </w:pPr>
          </w:p>
        </w:tc>
        <w:tc>
          <w:tcPr>
            <w:tcW w:w="1373" w:type="pct"/>
            <w:shd w:val="clear" w:color="auto" w:fill="auto"/>
            <w:vAlign w:val="center"/>
          </w:tcPr>
          <w:p w14:paraId="10C1D642">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lang w:val="en-US" w:eastAsia="zh-CN"/>
              </w:rPr>
              <w:t>氟化物</w:t>
            </w:r>
          </w:p>
        </w:tc>
        <w:tc>
          <w:tcPr>
            <w:tcW w:w="1208" w:type="pct"/>
            <w:vAlign w:val="center"/>
          </w:tcPr>
          <w:p w14:paraId="77456423">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0.28</w:t>
            </w:r>
          </w:p>
        </w:tc>
        <w:tc>
          <w:tcPr>
            <w:tcW w:w="846" w:type="pct"/>
            <w:vAlign w:val="center"/>
          </w:tcPr>
          <w:p w14:paraId="3C1F89D5">
            <w:pPr>
              <w:pStyle w:val="75"/>
              <w:ind w:firstLine="0" w:firstLineChars="0"/>
              <w:rPr>
                <w:kern w:val="2"/>
              </w:rPr>
            </w:pPr>
            <w:r>
              <w:rPr>
                <w:rFonts w:hint="eastAsia"/>
                <w:kern w:val="2"/>
                <w:lang w:val="en-US" w:eastAsia="zh-CN"/>
              </w:rPr>
              <w:t>1</w:t>
            </w:r>
          </w:p>
        </w:tc>
        <w:tc>
          <w:tcPr>
            <w:tcW w:w="844" w:type="pct"/>
            <w:vAlign w:val="center"/>
          </w:tcPr>
          <w:p w14:paraId="20F78AD2">
            <w:pPr>
              <w:pStyle w:val="75"/>
              <w:ind w:firstLine="0" w:firstLineChars="0"/>
              <w:rPr>
                <w:rFonts w:hint="default" w:ascii="Times New Roman" w:hAnsi="Times New Roman" w:eastAsia="宋体" w:cs="Times New Roman"/>
              </w:rPr>
            </w:pPr>
            <w:r>
              <w:rPr>
                <w:rFonts w:hint="eastAsia"/>
                <w:kern w:val="2"/>
              </w:rPr>
              <w:t>达标</w:t>
            </w:r>
          </w:p>
        </w:tc>
      </w:tr>
      <w:tr w14:paraId="5E68F3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336B9F8">
            <w:pPr>
              <w:pStyle w:val="75"/>
              <w:rPr>
                <w:kern w:val="2"/>
                <w:highlight w:val="yellow"/>
              </w:rPr>
            </w:pPr>
          </w:p>
        </w:tc>
        <w:tc>
          <w:tcPr>
            <w:tcW w:w="1373" w:type="pct"/>
            <w:shd w:val="clear" w:color="auto" w:fill="auto"/>
            <w:vAlign w:val="center"/>
          </w:tcPr>
          <w:p w14:paraId="05893052">
            <w:pPr>
              <w:pStyle w:val="75"/>
              <w:ind w:firstLine="0" w:firstLineChars="0"/>
              <w:rPr>
                <w:rFonts w:ascii="Times New Roman" w:hAnsi="Times New Roman" w:eastAsia="宋体" w:cs="Times New Roman"/>
                <w:sz w:val="21"/>
                <w:szCs w:val="21"/>
                <w:lang w:val="en-US" w:eastAsia="zh-CN" w:bidi="ar-SA"/>
              </w:rPr>
            </w:pPr>
            <w:r>
              <w:rPr>
                <w:rFonts w:hint="default" w:ascii="Times New Roman" w:hAnsi="Times New Roman" w:eastAsia="宋体" w:cs="Times New Roman"/>
                <w:lang w:val="en-US" w:eastAsia="zh-CN"/>
              </w:rPr>
              <w:t>镍</w:t>
            </w:r>
          </w:p>
        </w:tc>
        <w:tc>
          <w:tcPr>
            <w:tcW w:w="1208" w:type="pct"/>
            <w:vAlign w:val="center"/>
          </w:tcPr>
          <w:p w14:paraId="7B0F695E">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194A221A">
            <w:pPr>
              <w:pStyle w:val="75"/>
              <w:ind w:firstLine="0" w:firstLineChars="0"/>
              <w:rPr>
                <w:kern w:val="2"/>
              </w:rPr>
            </w:pPr>
            <w:r>
              <w:rPr>
                <w:rFonts w:hint="eastAsia"/>
                <w:kern w:val="2"/>
                <w:lang w:val="en-US" w:eastAsia="zh-CN"/>
              </w:rPr>
              <w:t>0.02</w:t>
            </w:r>
          </w:p>
        </w:tc>
        <w:tc>
          <w:tcPr>
            <w:tcW w:w="844" w:type="pct"/>
            <w:vAlign w:val="center"/>
          </w:tcPr>
          <w:p w14:paraId="4C0B0919">
            <w:pPr>
              <w:pStyle w:val="75"/>
              <w:ind w:firstLine="0" w:firstLineChars="0"/>
              <w:rPr>
                <w:rFonts w:hint="default" w:ascii="Times New Roman" w:hAnsi="Times New Roman" w:eastAsia="宋体" w:cs="Times New Roman"/>
              </w:rPr>
            </w:pPr>
            <w:r>
              <w:rPr>
                <w:rFonts w:hint="eastAsia"/>
                <w:kern w:val="2"/>
              </w:rPr>
              <w:t>达标</w:t>
            </w:r>
          </w:p>
        </w:tc>
      </w:tr>
      <w:tr w14:paraId="062813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93DBADB">
            <w:pPr>
              <w:pStyle w:val="75"/>
              <w:rPr>
                <w:kern w:val="2"/>
                <w:highlight w:val="yellow"/>
              </w:rPr>
            </w:pPr>
          </w:p>
        </w:tc>
        <w:tc>
          <w:tcPr>
            <w:tcW w:w="1373" w:type="pct"/>
            <w:shd w:val="clear" w:color="auto" w:fill="auto"/>
            <w:vAlign w:val="center"/>
          </w:tcPr>
          <w:p w14:paraId="50D90D1E">
            <w:pPr>
              <w:pStyle w:val="75"/>
              <w:ind w:firstLine="0" w:firstLineChars="0"/>
              <w:rPr>
                <w:rFonts w:hint="default" w:ascii="Times New Roman" w:hAnsi="Times New Roman" w:eastAsia="宋体" w:cs="Times New Roman"/>
                <w:b/>
                <w:bCs/>
                <w:lang w:val="en-US" w:eastAsia="zh-CN"/>
              </w:rPr>
            </w:pPr>
            <w:r>
              <w:rPr>
                <w:rFonts w:hint="default" w:ascii="Times New Roman" w:hAnsi="Times New Roman" w:eastAsia="宋体" w:cs="Times New Roman"/>
                <w:lang w:val="en-US" w:eastAsia="zh-CN"/>
              </w:rPr>
              <w:t>阴离子表面活性剂</w:t>
            </w:r>
          </w:p>
        </w:tc>
        <w:tc>
          <w:tcPr>
            <w:tcW w:w="1208" w:type="pct"/>
            <w:vAlign w:val="center"/>
          </w:tcPr>
          <w:p w14:paraId="1DACBC8E">
            <w:pPr>
              <w:pStyle w:val="75"/>
              <w:ind w:firstLine="0" w:firstLineChars="0"/>
              <w:rPr>
                <w:rFonts w:hint="default" w:ascii="Times New Roman" w:hAnsi="Times New Roman" w:eastAsia="宋体" w:cs="Times New Roman"/>
                <w:b/>
                <w:bCs/>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75BD7DDA">
            <w:pPr>
              <w:pStyle w:val="75"/>
              <w:ind w:firstLine="0" w:firstLineChars="0"/>
              <w:rPr>
                <w:rFonts w:hint="eastAsia"/>
                <w:b/>
                <w:bCs/>
                <w:kern w:val="2"/>
                <w:lang w:val="en-US" w:eastAsia="zh-CN"/>
              </w:rPr>
            </w:pPr>
            <w:r>
              <w:rPr>
                <w:rFonts w:hint="eastAsia"/>
                <w:kern w:val="2"/>
                <w:lang w:val="en-US" w:eastAsia="zh-CN"/>
              </w:rPr>
              <w:t>0.02</w:t>
            </w:r>
          </w:p>
        </w:tc>
        <w:tc>
          <w:tcPr>
            <w:tcW w:w="844" w:type="pct"/>
            <w:vAlign w:val="center"/>
          </w:tcPr>
          <w:p w14:paraId="16713699">
            <w:pPr>
              <w:pStyle w:val="75"/>
              <w:ind w:firstLine="0" w:firstLineChars="0"/>
              <w:rPr>
                <w:rFonts w:hint="eastAsia"/>
                <w:b/>
                <w:bCs/>
                <w:kern w:val="2"/>
              </w:rPr>
            </w:pPr>
            <w:r>
              <w:rPr>
                <w:rFonts w:hint="eastAsia"/>
                <w:kern w:val="2"/>
              </w:rPr>
              <w:t>达标</w:t>
            </w:r>
          </w:p>
        </w:tc>
      </w:tr>
      <w:tr w14:paraId="723349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7D0EBAB1">
            <w:pPr>
              <w:pStyle w:val="75"/>
              <w:rPr>
                <w:kern w:val="2"/>
                <w:highlight w:val="yellow"/>
              </w:rPr>
            </w:pPr>
          </w:p>
        </w:tc>
        <w:tc>
          <w:tcPr>
            <w:tcW w:w="1373" w:type="pct"/>
            <w:shd w:val="clear" w:color="auto" w:fill="auto"/>
            <w:vAlign w:val="center"/>
          </w:tcPr>
          <w:p w14:paraId="78ED163A">
            <w:pPr>
              <w:pStyle w:val="75"/>
              <w:ind w:firstLine="0" w:firstLineChars="0"/>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铬</w:t>
            </w:r>
          </w:p>
        </w:tc>
        <w:tc>
          <w:tcPr>
            <w:tcW w:w="1208" w:type="pct"/>
            <w:vAlign w:val="center"/>
          </w:tcPr>
          <w:p w14:paraId="3A7A9A98">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C8985E0">
            <w:pPr>
              <w:pStyle w:val="75"/>
              <w:ind w:firstLine="0" w:firstLineChars="0"/>
              <w:rPr>
                <w:rFonts w:hint="eastAsia" w:eastAsia="宋体"/>
                <w:kern w:val="2"/>
                <w:lang w:val="en-US" w:eastAsia="zh-CN"/>
              </w:rPr>
            </w:pPr>
            <w:r>
              <w:rPr>
                <w:rFonts w:hint="eastAsia"/>
                <w:kern w:val="2"/>
                <w:lang w:val="en-US" w:eastAsia="zh-CN"/>
              </w:rPr>
              <w:t>/</w:t>
            </w:r>
          </w:p>
        </w:tc>
        <w:tc>
          <w:tcPr>
            <w:tcW w:w="844" w:type="pct"/>
            <w:vAlign w:val="center"/>
          </w:tcPr>
          <w:p w14:paraId="12E18EE3">
            <w:pPr>
              <w:pStyle w:val="75"/>
              <w:ind w:firstLine="0" w:firstLineChars="0"/>
              <w:rPr>
                <w:rFonts w:hint="default" w:ascii="Times New Roman" w:hAnsi="Times New Roman" w:eastAsia="宋体" w:cs="Times New Roman"/>
              </w:rPr>
            </w:pPr>
            <w:r>
              <w:rPr>
                <w:rFonts w:hint="eastAsia"/>
                <w:kern w:val="2"/>
              </w:rPr>
              <w:t>达标</w:t>
            </w:r>
          </w:p>
        </w:tc>
      </w:tr>
      <w:tr w14:paraId="2A176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restart"/>
            <w:vAlign w:val="center"/>
          </w:tcPr>
          <w:p w14:paraId="3E4381A0">
            <w:pPr>
              <w:pStyle w:val="75"/>
              <w:rPr>
                <w:rFonts w:hint="eastAsia" w:eastAsia="宋体"/>
                <w:kern w:val="2"/>
                <w:highlight w:val="yellow"/>
                <w:lang w:val="en-US" w:eastAsia="zh-CN"/>
              </w:rPr>
            </w:pPr>
            <w:r>
              <w:rPr>
                <w:rFonts w:hint="eastAsia" w:eastAsia="宋体"/>
                <w:lang w:val="en-US" w:eastAsia="zh-CN"/>
              </w:rPr>
              <w:t>前寺庄村</w:t>
            </w:r>
          </w:p>
        </w:tc>
        <w:tc>
          <w:tcPr>
            <w:tcW w:w="1373" w:type="pct"/>
            <w:vAlign w:val="center"/>
          </w:tcPr>
          <w:p w14:paraId="3ED0A6ED">
            <w:pPr>
              <w:pStyle w:val="75"/>
              <w:ind w:firstLine="0" w:firstLineChars="0"/>
            </w:pPr>
            <w:r>
              <w:rPr>
                <w:rFonts w:hint="default" w:ascii="Times New Roman" w:hAnsi="Times New Roman" w:eastAsia="宋体" w:cs="Times New Roman"/>
              </w:rPr>
              <w:t>pH值</w:t>
            </w:r>
          </w:p>
        </w:tc>
        <w:tc>
          <w:tcPr>
            <w:tcW w:w="1208" w:type="pct"/>
            <w:vAlign w:val="center"/>
          </w:tcPr>
          <w:p w14:paraId="65A096B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8.3</w:t>
            </w:r>
          </w:p>
        </w:tc>
        <w:tc>
          <w:tcPr>
            <w:tcW w:w="846" w:type="pct"/>
            <w:vAlign w:val="center"/>
          </w:tcPr>
          <w:p w14:paraId="5CC36C75">
            <w:pPr>
              <w:pStyle w:val="75"/>
              <w:ind w:firstLine="0" w:firstLineChars="0"/>
              <w:rPr>
                <w:kern w:val="2"/>
                <w:highlight w:val="yellow"/>
              </w:rPr>
            </w:pPr>
            <w:r>
              <w:rPr>
                <w:rFonts w:hint="eastAsia" w:ascii="Times New Roman" w:hAnsi="Times New Roman" w:eastAsia="宋体" w:cs="Times New Roman"/>
                <w:lang w:val="en-US" w:eastAsia="zh-CN"/>
              </w:rPr>
              <w:t>6.5~8.5</w:t>
            </w:r>
          </w:p>
        </w:tc>
        <w:tc>
          <w:tcPr>
            <w:tcW w:w="844" w:type="pct"/>
            <w:vAlign w:val="center"/>
          </w:tcPr>
          <w:p w14:paraId="5024AD41">
            <w:pPr>
              <w:pStyle w:val="75"/>
              <w:ind w:firstLine="0" w:firstLineChars="0"/>
            </w:pPr>
            <w:r>
              <w:t>达标</w:t>
            </w:r>
          </w:p>
        </w:tc>
      </w:tr>
      <w:tr w14:paraId="56FDB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FE02835">
            <w:pPr>
              <w:pStyle w:val="75"/>
              <w:rPr>
                <w:highlight w:val="yellow"/>
              </w:rPr>
            </w:pPr>
          </w:p>
        </w:tc>
        <w:tc>
          <w:tcPr>
            <w:tcW w:w="1373" w:type="pct"/>
            <w:vAlign w:val="center"/>
          </w:tcPr>
          <w:p w14:paraId="35736BAC">
            <w:pPr>
              <w:pStyle w:val="75"/>
              <w:ind w:firstLine="0" w:firstLineChars="0"/>
            </w:pPr>
            <w:r>
              <w:rPr>
                <w:rFonts w:hint="default" w:ascii="Times New Roman" w:hAnsi="Times New Roman" w:eastAsia="宋体" w:cs="Times New Roman"/>
              </w:rPr>
              <w:t>氨氮</w:t>
            </w:r>
          </w:p>
        </w:tc>
        <w:tc>
          <w:tcPr>
            <w:tcW w:w="1208" w:type="pct"/>
            <w:vAlign w:val="center"/>
          </w:tcPr>
          <w:p w14:paraId="27F666F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0.25</w:t>
            </w:r>
          </w:p>
        </w:tc>
        <w:tc>
          <w:tcPr>
            <w:tcW w:w="846" w:type="pct"/>
            <w:vAlign w:val="center"/>
          </w:tcPr>
          <w:p w14:paraId="32D92EDB">
            <w:pPr>
              <w:pStyle w:val="75"/>
              <w:ind w:firstLine="0" w:firstLineChars="0"/>
              <w:rPr>
                <w:kern w:val="2"/>
              </w:rPr>
            </w:pPr>
            <w:r>
              <w:rPr>
                <w:rFonts w:hint="eastAsia"/>
                <w:kern w:val="2"/>
                <w:lang w:val="en-US" w:eastAsia="zh-CN"/>
              </w:rPr>
              <w:t>0.5</w:t>
            </w:r>
          </w:p>
        </w:tc>
        <w:tc>
          <w:tcPr>
            <w:tcW w:w="844" w:type="pct"/>
            <w:vAlign w:val="center"/>
          </w:tcPr>
          <w:p w14:paraId="50E75D93">
            <w:pPr>
              <w:pStyle w:val="75"/>
              <w:ind w:firstLine="0" w:firstLineChars="0"/>
            </w:pPr>
            <w:r>
              <w:rPr>
                <w:rFonts w:hint="default" w:ascii="Times New Roman" w:hAnsi="Times New Roman" w:eastAsia="宋体" w:cs="Times New Roman"/>
              </w:rPr>
              <w:t>达标</w:t>
            </w:r>
          </w:p>
        </w:tc>
      </w:tr>
      <w:tr w14:paraId="78DA3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F7B3B89">
            <w:pPr>
              <w:pStyle w:val="75"/>
              <w:rPr>
                <w:highlight w:val="yellow"/>
              </w:rPr>
            </w:pPr>
          </w:p>
        </w:tc>
        <w:tc>
          <w:tcPr>
            <w:tcW w:w="1373" w:type="pct"/>
            <w:vAlign w:val="center"/>
          </w:tcPr>
          <w:p w14:paraId="15A7D841">
            <w:pPr>
              <w:pStyle w:val="75"/>
              <w:ind w:firstLine="0" w:firstLineChars="0"/>
            </w:pPr>
            <w:r>
              <w:rPr>
                <w:rFonts w:hint="default" w:ascii="Times New Roman" w:hAnsi="Times New Roman" w:eastAsia="宋体" w:cs="Times New Roman"/>
              </w:rPr>
              <w:t>总硬度</w:t>
            </w:r>
          </w:p>
        </w:tc>
        <w:tc>
          <w:tcPr>
            <w:tcW w:w="1208" w:type="pct"/>
            <w:vAlign w:val="center"/>
          </w:tcPr>
          <w:p w14:paraId="631FF527">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271</w:t>
            </w:r>
          </w:p>
        </w:tc>
        <w:tc>
          <w:tcPr>
            <w:tcW w:w="846" w:type="pct"/>
            <w:vAlign w:val="center"/>
          </w:tcPr>
          <w:p w14:paraId="5C0CB434">
            <w:pPr>
              <w:pStyle w:val="75"/>
              <w:ind w:firstLine="0" w:firstLineChars="0"/>
              <w:rPr>
                <w:kern w:val="2"/>
              </w:rPr>
            </w:pPr>
            <w:r>
              <w:rPr>
                <w:rFonts w:hint="eastAsia"/>
                <w:kern w:val="2"/>
                <w:lang w:val="en-US" w:eastAsia="zh-CN"/>
              </w:rPr>
              <w:t>450</w:t>
            </w:r>
          </w:p>
        </w:tc>
        <w:tc>
          <w:tcPr>
            <w:tcW w:w="844" w:type="pct"/>
            <w:vAlign w:val="center"/>
          </w:tcPr>
          <w:p w14:paraId="6E6A2354">
            <w:pPr>
              <w:pStyle w:val="75"/>
              <w:ind w:firstLine="0" w:firstLineChars="0"/>
            </w:pPr>
            <w:r>
              <w:rPr>
                <w:rFonts w:hint="default" w:ascii="Times New Roman" w:hAnsi="Times New Roman" w:eastAsia="宋体" w:cs="Times New Roman"/>
              </w:rPr>
              <w:t>达标</w:t>
            </w:r>
          </w:p>
        </w:tc>
      </w:tr>
      <w:tr w14:paraId="57987F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5B14DF5">
            <w:pPr>
              <w:pStyle w:val="75"/>
              <w:rPr>
                <w:highlight w:val="yellow"/>
              </w:rPr>
            </w:pPr>
          </w:p>
        </w:tc>
        <w:tc>
          <w:tcPr>
            <w:tcW w:w="1373" w:type="pct"/>
            <w:vAlign w:val="center"/>
          </w:tcPr>
          <w:p w14:paraId="5E08972E">
            <w:pPr>
              <w:pStyle w:val="75"/>
              <w:ind w:firstLine="0" w:firstLineChars="0"/>
            </w:pPr>
            <w:r>
              <w:rPr>
                <w:rFonts w:hint="default" w:ascii="Times New Roman" w:hAnsi="Times New Roman" w:eastAsia="宋体" w:cs="Times New Roman"/>
              </w:rPr>
              <w:t>溶解性总固体</w:t>
            </w:r>
          </w:p>
        </w:tc>
        <w:tc>
          <w:tcPr>
            <w:tcW w:w="1208" w:type="pct"/>
            <w:vAlign w:val="center"/>
          </w:tcPr>
          <w:p w14:paraId="0A9C9E20">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524</w:t>
            </w:r>
          </w:p>
        </w:tc>
        <w:tc>
          <w:tcPr>
            <w:tcW w:w="846" w:type="pct"/>
            <w:vAlign w:val="center"/>
          </w:tcPr>
          <w:p w14:paraId="356AE002">
            <w:pPr>
              <w:pStyle w:val="75"/>
              <w:ind w:firstLine="0" w:firstLineChars="0"/>
              <w:rPr>
                <w:kern w:val="2"/>
              </w:rPr>
            </w:pPr>
            <w:r>
              <w:rPr>
                <w:rFonts w:hint="eastAsia"/>
                <w:kern w:val="2"/>
                <w:lang w:val="en-US" w:eastAsia="zh-CN"/>
              </w:rPr>
              <w:t>1000</w:t>
            </w:r>
          </w:p>
        </w:tc>
        <w:tc>
          <w:tcPr>
            <w:tcW w:w="844" w:type="pct"/>
            <w:vAlign w:val="center"/>
          </w:tcPr>
          <w:p w14:paraId="602070E9">
            <w:pPr>
              <w:pStyle w:val="75"/>
              <w:ind w:firstLine="0" w:firstLineChars="0"/>
            </w:pPr>
            <w:r>
              <w:rPr>
                <w:rFonts w:hint="default" w:ascii="Times New Roman" w:hAnsi="Times New Roman" w:eastAsia="宋体" w:cs="Times New Roman"/>
              </w:rPr>
              <w:t>达标</w:t>
            </w:r>
          </w:p>
        </w:tc>
      </w:tr>
      <w:tr w14:paraId="0AEFB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068B753">
            <w:pPr>
              <w:pStyle w:val="75"/>
              <w:rPr>
                <w:highlight w:val="yellow"/>
              </w:rPr>
            </w:pPr>
          </w:p>
        </w:tc>
        <w:tc>
          <w:tcPr>
            <w:tcW w:w="1373" w:type="pct"/>
            <w:vAlign w:val="center"/>
          </w:tcPr>
          <w:p w14:paraId="1C4D99D6">
            <w:pPr>
              <w:pStyle w:val="75"/>
              <w:ind w:firstLine="0" w:firstLineChars="0"/>
            </w:pPr>
            <w:r>
              <w:rPr>
                <w:rFonts w:hint="default" w:ascii="Times New Roman" w:hAnsi="Times New Roman" w:eastAsia="宋体" w:cs="Times New Roman"/>
              </w:rPr>
              <w:t>高锰酸盐指数（以O</w:t>
            </w:r>
            <w:r>
              <w:rPr>
                <w:rFonts w:hint="default" w:ascii="Times New Roman" w:hAnsi="Times New Roman" w:eastAsia="宋体" w:cs="Times New Roman"/>
                <w:vertAlign w:val="subscript"/>
              </w:rPr>
              <w:t>2</w:t>
            </w:r>
            <w:r>
              <w:rPr>
                <w:rFonts w:hint="default" w:ascii="Times New Roman" w:hAnsi="Times New Roman" w:eastAsia="宋体" w:cs="Times New Roman"/>
              </w:rPr>
              <w:t>计）</w:t>
            </w:r>
          </w:p>
        </w:tc>
        <w:tc>
          <w:tcPr>
            <w:tcW w:w="1208" w:type="pct"/>
            <w:vAlign w:val="center"/>
          </w:tcPr>
          <w:p w14:paraId="6813606F">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2.44</w:t>
            </w:r>
          </w:p>
        </w:tc>
        <w:tc>
          <w:tcPr>
            <w:tcW w:w="846" w:type="pct"/>
            <w:vAlign w:val="center"/>
          </w:tcPr>
          <w:p w14:paraId="4A677D48">
            <w:pPr>
              <w:pStyle w:val="75"/>
              <w:ind w:firstLine="0" w:firstLineChars="0"/>
              <w:rPr>
                <w:kern w:val="2"/>
              </w:rPr>
            </w:pPr>
            <w:r>
              <w:rPr>
                <w:rFonts w:hint="eastAsia"/>
                <w:kern w:val="2"/>
                <w:lang w:val="en-US" w:eastAsia="zh-CN"/>
              </w:rPr>
              <w:t>3</w:t>
            </w:r>
          </w:p>
        </w:tc>
        <w:tc>
          <w:tcPr>
            <w:tcW w:w="844" w:type="pct"/>
            <w:vAlign w:val="center"/>
          </w:tcPr>
          <w:p w14:paraId="7F3E0FC4">
            <w:pPr>
              <w:pStyle w:val="75"/>
              <w:ind w:firstLine="0" w:firstLineChars="0"/>
            </w:pPr>
            <w:r>
              <w:rPr>
                <w:rFonts w:hint="default" w:ascii="Times New Roman" w:hAnsi="Times New Roman" w:eastAsia="宋体" w:cs="Times New Roman"/>
              </w:rPr>
              <w:t>达标</w:t>
            </w:r>
          </w:p>
        </w:tc>
      </w:tr>
      <w:tr w14:paraId="567A9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A93521F">
            <w:pPr>
              <w:pStyle w:val="75"/>
              <w:rPr>
                <w:highlight w:val="yellow"/>
              </w:rPr>
            </w:pPr>
          </w:p>
        </w:tc>
        <w:tc>
          <w:tcPr>
            <w:tcW w:w="1373" w:type="pct"/>
            <w:vAlign w:val="center"/>
          </w:tcPr>
          <w:p w14:paraId="2CCA77D1">
            <w:pPr>
              <w:pStyle w:val="75"/>
            </w:pPr>
            <w:r>
              <w:rPr>
                <w:rFonts w:hint="default" w:ascii="Times New Roman" w:hAnsi="Times New Roman" w:eastAsia="宋体" w:cs="Times New Roman"/>
              </w:rPr>
              <w:t>硝酸盐（以N计）</w:t>
            </w:r>
          </w:p>
        </w:tc>
        <w:tc>
          <w:tcPr>
            <w:tcW w:w="1208" w:type="pct"/>
            <w:vAlign w:val="center"/>
          </w:tcPr>
          <w:p w14:paraId="641D0E6C">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7.0</w:t>
            </w:r>
          </w:p>
        </w:tc>
        <w:tc>
          <w:tcPr>
            <w:tcW w:w="846" w:type="pct"/>
            <w:vAlign w:val="center"/>
          </w:tcPr>
          <w:p w14:paraId="49BF3CE5">
            <w:pPr>
              <w:pStyle w:val="75"/>
              <w:ind w:firstLine="0" w:firstLineChars="0"/>
              <w:rPr>
                <w:kern w:val="2"/>
              </w:rPr>
            </w:pPr>
            <w:r>
              <w:rPr>
                <w:rFonts w:hint="eastAsia"/>
                <w:kern w:val="2"/>
                <w:lang w:val="en-US" w:eastAsia="zh-CN"/>
              </w:rPr>
              <w:t>20</w:t>
            </w:r>
          </w:p>
        </w:tc>
        <w:tc>
          <w:tcPr>
            <w:tcW w:w="844" w:type="pct"/>
            <w:vAlign w:val="center"/>
          </w:tcPr>
          <w:p w14:paraId="488FFA1A">
            <w:pPr>
              <w:pStyle w:val="75"/>
              <w:ind w:firstLine="0" w:firstLineChars="0"/>
            </w:pPr>
            <w:r>
              <w:t>达标</w:t>
            </w:r>
          </w:p>
        </w:tc>
      </w:tr>
      <w:tr w14:paraId="0C807A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87D5FAC">
            <w:pPr>
              <w:pStyle w:val="75"/>
              <w:rPr>
                <w:highlight w:val="yellow"/>
              </w:rPr>
            </w:pPr>
          </w:p>
        </w:tc>
        <w:tc>
          <w:tcPr>
            <w:tcW w:w="1373" w:type="pct"/>
            <w:vAlign w:val="center"/>
          </w:tcPr>
          <w:p w14:paraId="324DFCFE">
            <w:pPr>
              <w:pStyle w:val="75"/>
              <w:rPr>
                <w:rFonts w:hint="default" w:ascii="Times New Roman" w:hAnsi="Times New Roman" w:eastAsia="宋体" w:cs="Times New Roman"/>
              </w:rPr>
            </w:pPr>
            <w:r>
              <w:rPr>
                <w:rFonts w:hint="default" w:ascii="Times New Roman" w:hAnsi="Times New Roman" w:eastAsia="宋体" w:cs="Times New Roman"/>
              </w:rPr>
              <w:t>亚硝酸盐</w:t>
            </w:r>
          </w:p>
          <w:p w14:paraId="1717534A">
            <w:pPr>
              <w:pStyle w:val="75"/>
              <w:ind w:firstLine="0" w:firstLineChars="0"/>
            </w:pPr>
            <w:r>
              <w:rPr>
                <w:rFonts w:hint="default" w:ascii="Times New Roman" w:hAnsi="Times New Roman" w:eastAsia="宋体" w:cs="Times New Roman"/>
              </w:rPr>
              <w:t>（以N计）</w:t>
            </w:r>
          </w:p>
        </w:tc>
        <w:tc>
          <w:tcPr>
            <w:tcW w:w="1208" w:type="pct"/>
            <w:vAlign w:val="center"/>
          </w:tcPr>
          <w:p w14:paraId="7F03B25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0.190</w:t>
            </w:r>
          </w:p>
        </w:tc>
        <w:tc>
          <w:tcPr>
            <w:tcW w:w="846" w:type="pct"/>
            <w:vAlign w:val="center"/>
          </w:tcPr>
          <w:p w14:paraId="4BDE3E93">
            <w:pPr>
              <w:pStyle w:val="75"/>
              <w:ind w:firstLine="0" w:firstLineChars="0"/>
              <w:rPr>
                <w:kern w:val="2"/>
              </w:rPr>
            </w:pPr>
            <w:r>
              <w:rPr>
                <w:rFonts w:hint="eastAsia"/>
                <w:kern w:val="2"/>
                <w:lang w:val="en-US" w:eastAsia="zh-CN"/>
              </w:rPr>
              <w:t>1</w:t>
            </w:r>
          </w:p>
        </w:tc>
        <w:tc>
          <w:tcPr>
            <w:tcW w:w="844" w:type="pct"/>
            <w:vAlign w:val="center"/>
          </w:tcPr>
          <w:p w14:paraId="28136E70">
            <w:pPr>
              <w:pStyle w:val="75"/>
              <w:ind w:firstLine="0" w:firstLineChars="0"/>
            </w:pPr>
            <w:r>
              <w:t>达标</w:t>
            </w:r>
          </w:p>
        </w:tc>
      </w:tr>
      <w:tr w14:paraId="534A5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7F3180F">
            <w:pPr>
              <w:pStyle w:val="75"/>
              <w:rPr>
                <w:kern w:val="2"/>
                <w:highlight w:val="yellow"/>
              </w:rPr>
            </w:pPr>
          </w:p>
        </w:tc>
        <w:tc>
          <w:tcPr>
            <w:tcW w:w="1373" w:type="pct"/>
            <w:vAlign w:val="center"/>
          </w:tcPr>
          <w:p w14:paraId="03EEC348">
            <w:pPr>
              <w:pStyle w:val="75"/>
              <w:ind w:firstLine="0" w:firstLineChars="0"/>
            </w:pPr>
            <w:r>
              <w:rPr>
                <w:rFonts w:hint="default" w:ascii="Times New Roman" w:hAnsi="Times New Roman" w:eastAsia="宋体" w:cs="Times New Roman"/>
                <w:lang w:val="en-US" w:eastAsia="zh-CN"/>
              </w:rPr>
              <w:t>硫酸盐</w:t>
            </w:r>
          </w:p>
        </w:tc>
        <w:tc>
          <w:tcPr>
            <w:tcW w:w="1208" w:type="pct"/>
            <w:vAlign w:val="center"/>
          </w:tcPr>
          <w:p w14:paraId="79C64DBC">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90.6</w:t>
            </w:r>
          </w:p>
        </w:tc>
        <w:tc>
          <w:tcPr>
            <w:tcW w:w="846" w:type="pct"/>
            <w:vAlign w:val="center"/>
          </w:tcPr>
          <w:p w14:paraId="47A1286C">
            <w:pPr>
              <w:pStyle w:val="75"/>
              <w:ind w:firstLine="0" w:firstLineChars="0"/>
              <w:rPr>
                <w:kern w:val="2"/>
              </w:rPr>
            </w:pPr>
            <w:r>
              <w:rPr>
                <w:rFonts w:hint="eastAsia"/>
                <w:kern w:val="2"/>
                <w:lang w:val="en-US" w:eastAsia="zh-CN"/>
              </w:rPr>
              <w:t>250</w:t>
            </w:r>
          </w:p>
        </w:tc>
        <w:tc>
          <w:tcPr>
            <w:tcW w:w="844" w:type="pct"/>
            <w:vAlign w:val="center"/>
          </w:tcPr>
          <w:p w14:paraId="0C988C48">
            <w:pPr>
              <w:pStyle w:val="75"/>
              <w:ind w:firstLine="0" w:firstLineChars="0"/>
            </w:pPr>
            <w:r>
              <w:rPr>
                <w:rFonts w:hint="eastAsia" w:ascii="Times New Roman" w:hAnsi="Times New Roman" w:eastAsia="宋体" w:cs="Times New Roman"/>
              </w:rPr>
              <w:t>达标</w:t>
            </w:r>
          </w:p>
        </w:tc>
      </w:tr>
      <w:tr w14:paraId="47CDB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74C02CA">
            <w:pPr>
              <w:pStyle w:val="75"/>
              <w:rPr>
                <w:kern w:val="2"/>
                <w:highlight w:val="yellow"/>
              </w:rPr>
            </w:pPr>
          </w:p>
        </w:tc>
        <w:tc>
          <w:tcPr>
            <w:tcW w:w="1373" w:type="pct"/>
            <w:vAlign w:val="center"/>
          </w:tcPr>
          <w:p w14:paraId="6A13DBFE">
            <w:pPr>
              <w:pStyle w:val="75"/>
              <w:ind w:firstLine="0" w:firstLineChars="0"/>
            </w:pPr>
            <w:r>
              <w:rPr>
                <w:rFonts w:hint="default" w:ascii="Times New Roman" w:hAnsi="Times New Roman" w:eastAsia="宋体" w:cs="Times New Roman"/>
              </w:rPr>
              <w:t>氯化物</w:t>
            </w:r>
          </w:p>
        </w:tc>
        <w:tc>
          <w:tcPr>
            <w:tcW w:w="1208" w:type="pct"/>
            <w:vAlign w:val="center"/>
          </w:tcPr>
          <w:p w14:paraId="16EB8C9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132</w:t>
            </w:r>
          </w:p>
        </w:tc>
        <w:tc>
          <w:tcPr>
            <w:tcW w:w="846" w:type="pct"/>
            <w:vAlign w:val="center"/>
          </w:tcPr>
          <w:p w14:paraId="657D7D95">
            <w:pPr>
              <w:pStyle w:val="75"/>
              <w:ind w:firstLine="0" w:firstLineChars="0"/>
              <w:rPr>
                <w:kern w:val="2"/>
              </w:rPr>
            </w:pPr>
            <w:r>
              <w:rPr>
                <w:rFonts w:hint="eastAsia"/>
                <w:kern w:val="2"/>
                <w:lang w:val="en-US" w:eastAsia="zh-CN"/>
              </w:rPr>
              <w:t>250</w:t>
            </w:r>
          </w:p>
        </w:tc>
        <w:tc>
          <w:tcPr>
            <w:tcW w:w="844" w:type="pct"/>
            <w:vAlign w:val="center"/>
          </w:tcPr>
          <w:p w14:paraId="1A479938">
            <w:pPr>
              <w:pStyle w:val="75"/>
              <w:ind w:firstLine="0" w:firstLineChars="0"/>
            </w:pPr>
            <w:r>
              <w:rPr>
                <w:rFonts w:hint="eastAsia" w:ascii="Times New Roman" w:hAnsi="Times New Roman" w:eastAsia="宋体" w:cs="Times New Roman"/>
              </w:rPr>
              <w:t>达标</w:t>
            </w:r>
          </w:p>
        </w:tc>
      </w:tr>
      <w:tr w14:paraId="193C5B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9C79650">
            <w:pPr>
              <w:pStyle w:val="75"/>
              <w:rPr>
                <w:kern w:val="2"/>
                <w:highlight w:val="yellow"/>
              </w:rPr>
            </w:pPr>
          </w:p>
        </w:tc>
        <w:tc>
          <w:tcPr>
            <w:tcW w:w="1373" w:type="pct"/>
            <w:vAlign w:val="center"/>
          </w:tcPr>
          <w:p w14:paraId="38DE5487">
            <w:pPr>
              <w:pStyle w:val="75"/>
              <w:ind w:firstLine="0" w:firstLineChars="0"/>
            </w:pPr>
            <w:r>
              <w:rPr>
                <w:rFonts w:hint="default" w:ascii="Times New Roman" w:hAnsi="Times New Roman" w:eastAsia="宋体" w:cs="Times New Roman"/>
                <w:lang w:eastAsia="zh-CN"/>
              </w:rPr>
              <w:t>挥发酚（类）</w:t>
            </w:r>
          </w:p>
        </w:tc>
        <w:tc>
          <w:tcPr>
            <w:tcW w:w="1208" w:type="pct"/>
            <w:vAlign w:val="center"/>
          </w:tcPr>
          <w:p w14:paraId="445D943D">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50CAFCA">
            <w:pPr>
              <w:pStyle w:val="75"/>
              <w:ind w:firstLine="0" w:firstLineChars="0"/>
              <w:rPr>
                <w:kern w:val="2"/>
                <w:highlight w:val="yellow"/>
              </w:rPr>
            </w:pPr>
            <w:r>
              <w:rPr>
                <w:rFonts w:hint="eastAsia" w:ascii="Times New Roman" w:hAnsi="Times New Roman" w:eastAsia="宋体" w:cs="Times New Roman"/>
                <w:kern w:val="2"/>
                <w:lang w:val="en-US" w:eastAsia="zh-CN"/>
              </w:rPr>
              <w:t>0.002</w:t>
            </w:r>
          </w:p>
        </w:tc>
        <w:tc>
          <w:tcPr>
            <w:tcW w:w="844" w:type="pct"/>
            <w:vAlign w:val="center"/>
          </w:tcPr>
          <w:p w14:paraId="62C0CB19">
            <w:pPr>
              <w:pStyle w:val="75"/>
              <w:ind w:firstLine="0" w:firstLineChars="0"/>
            </w:pPr>
            <w:r>
              <w:t>达标</w:t>
            </w:r>
          </w:p>
        </w:tc>
      </w:tr>
      <w:tr w14:paraId="0092A5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B8CE454">
            <w:pPr>
              <w:pStyle w:val="75"/>
              <w:rPr>
                <w:kern w:val="2"/>
                <w:highlight w:val="yellow"/>
              </w:rPr>
            </w:pPr>
          </w:p>
        </w:tc>
        <w:tc>
          <w:tcPr>
            <w:tcW w:w="1373" w:type="pct"/>
            <w:vAlign w:val="center"/>
          </w:tcPr>
          <w:p w14:paraId="27204209">
            <w:pPr>
              <w:pStyle w:val="75"/>
              <w:ind w:firstLine="0" w:firstLineChars="0"/>
            </w:pPr>
            <w:r>
              <w:rPr>
                <w:rFonts w:hint="default" w:ascii="Times New Roman" w:hAnsi="Times New Roman" w:eastAsia="宋体" w:cs="Times New Roman"/>
              </w:rPr>
              <w:t>氰化物</w:t>
            </w:r>
          </w:p>
        </w:tc>
        <w:tc>
          <w:tcPr>
            <w:tcW w:w="1208" w:type="pct"/>
            <w:vAlign w:val="center"/>
          </w:tcPr>
          <w:p w14:paraId="1B920CBE">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4CFF94B6">
            <w:pPr>
              <w:pStyle w:val="75"/>
              <w:ind w:firstLine="0" w:firstLineChars="0"/>
              <w:rPr>
                <w:kern w:val="2"/>
                <w:highlight w:val="yellow"/>
              </w:rPr>
            </w:pPr>
            <w:r>
              <w:rPr>
                <w:rFonts w:hint="eastAsia" w:ascii="Times New Roman" w:hAnsi="Times New Roman" w:eastAsia="宋体" w:cs="Times New Roman"/>
                <w:kern w:val="2"/>
                <w:lang w:val="en-US" w:eastAsia="zh-CN"/>
              </w:rPr>
              <w:t>0.05</w:t>
            </w:r>
          </w:p>
        </w:tc>
        <w:tc>
          <w:tcPr>
            <w:tcW w:w="844" w:type="pct"/>
            <w:vAlign w:val="center"/>
          </w:tcPr>
          <w:p w14:paraId="03F8F319">
            <w:pPr>
              <w:pStyle w:val="75"/>
              <w:ind w:firstLine="0" w:firstLineChars="0"/>
            </w:pPr>
            <w:r>
              <w:rPr>
                <w:rFonts w:hint="eastAsia"/>
              </w:rPr>
              <w:t>达标</w:t>
            </w:r>
          </w:p>
        </w:tc>
      </w:tr>
      <w:tr w14:paraId="5EF73A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4E5F727">
            <w:pPr>
              <w:pStyle w:val="75"/>
              <w:rPr>
                <w:kern w:val="2"/>
                <w:highlight w:val="yellow"/>
              </w:rPr>
            </w:pPr>
          </w:p>
        </w:tc>
        <w:tc>
          <w:tcPr>
            <w:tcW w:w="1373" w:type="pct"/>
            <w:vAlign w:val="center"/>
          </w:tcPr>
          <w:p w14:paraId="55476058">
            <w:pPr>
              <w:pStyle w:val="75"/>
              <w:ind w:firstLine="0" w:firstLineChars="0"/>
            </w:pPr>
            <w:r>
              <w:rPr>
                <w:rFonts w:hint="default" w:ascii="Times New Roman" w:hAnsi="Times New Roman" w:eastAsia="宋体" w:cs="Times New Roman"/>
              </w:rPr>
              <w:t>总大肠菌群</w:t>
            </w:r>
          </w:p>
        </w:tc>
        <w:tc>
          <w:tcPr>
            <w:tcW w:w="1208" w:type="pct"/>
            <w:vAlign w:val="center"/>
          </w:tcPr>
          <w:p w14:paraId="2E47F8C2">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＜2</w:t>
            </w:r>
          </w:p>
        </w:tc>
        <w:tc>
          <w:tcPr>
            <w:tcW w:w="846" w:type="pct"/>
            <w:vAlign w:val="center"/>
          </w:tcPr>
          <w:p w14:paraId="1A1EF21C">
            <w:pPr>
              <w:pStyle w:val="75"/>
              <w:ind w:firstLine="0" w:firstLineChars="0"/>
              <w:rPr>
                <w:kern w:val="2"/>
              </w:rPr>
            </w:pPr>
            <w:r>
              <w:rPr>
                <w:rFonts w:hint="eastAsia"/>
                <w:kern w:val="2"/>
                <w:lang w:val="en-US" w:eastAsia="zh-CN"/>
              </w:rPr>
              <w:t>3</w:t>
            </w:r>
          </w:p>
        </w:tc>
        <w:tc>
          <w:tcPr>
            <w:tcW w:w="844" w:type="pct"/>
            <w:vAlign w:val="center"/>
          </w:tcPr>
          <w:p w14:paraId="303AE886">
            <w:pPr>
              <w:pStyle w:val="75"/>
              <w:ind w:firstLine="0" w:firstLineChars="0"/>
            </w:pPr>
            <w:r>
              <w:rPr>
                <w:rFonts w:hint="eastAsia"/>
              </w:rPr>
              <w:t>达标</w:t>
            </w:r>
          </w:p>
        </w:tc>
      </w:tr>
      <w:tr w14:paraId="24721C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D7A77E9">
            <w:pPr>
              <w:pStyle w:val="75"/>
              <w:rPr>
                <w:kern w:val="2"/>
                <w:highlight w:val="yellow"/>
              </w:rPr>
            </w:pPr>
          </w:p>
        </w:tc>
        <w:tc>
          <w:tcPr>
            <w:tcW w:w="1373" w:type="pct"/>
            <w:vAlign w:val="center"/>
          </w:tcPr>
          <w:p w14:paraId="6E56FD29">
            <w:pPr>
              <w:pStyle w:val="75"/>
              <w:ind w:firstLine="0" w:firstLineChars="0"/>
            </w:pPr>
            <w:r>
              <w:rPr>
                <w:rFonts w:hint="default" w:ascii="Times New Roman" w:hAnsi="Times New Roman" w:eastAsia="宋体" w:cs="Times New Roman"/>
              </w:rPr>
              <w:t>菌落总数</w:t>
            </w:r>
          </w:p>
        </w:tc>
        <w:tc>
          <w:tcPr>
            <w:tcW w:w="1208" w:type="pct"/>
            <w:vAlign w:val="center"/>
          </w:tcPr>
          <w:p w14:paraId="1A3AEDB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40</w:t>
            </w:r>
          </w:p>
        </w:tc>
        <w:tc>
          <w:tcPr>
            <w:tcW w:w="846" w:type="pct"/>
            <w:vAlign w:val="center"/>
          </w:tcPr>
          <w:p w14:paraId="61BEDEB2">
            <w:pPr>
              <w:pStyle w:val="75"/>
              <w:ind w:firstLine="0" w:firstLineChars="0"/>
              <w:rPr>
                <w:kern w:val="2"/>
              </w:rPr>
            </w:pPr>
            <w:r>
              <w:rPr>
                <w:rFonts w:hint="eastAsia"/>
                <w:lang w:val="en-US" w:eastAsia="zh-CN"/>
              </w:rPr>
              <w:t>100</w:t>
            </w:r>
          </w:p>
        </w:tc>
        <w:tc>
          <w:tcPr>
            <w:tcW w:w="844" w:type="pct"/>
            <w:vAlign w:val="center"/>
          </w:tcPr>
          <w:p w14:paraId="7272429B">
            <w:pPr>
              <w:pStyle w:val="75"/>
              <w:ind w:firstLine="0" w:firstLineChars="0"/>
            </w:pPr>
            <w:r>
              <w:rPr>
                <w:rFonts w:hint="eastAsia"/>
              </w:rPr>
              <w:t>达标</w:t>
            </w:r>
          </w:p>
        </w:tc>
      </w:tr>
      <w:tr w14:paraId="2A05E9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8B7C0FB">
            <w:pPr>
              <w:pStyle w:val="75"/>
              <w:rPr>
                <w:kern w:val="2"/>
                <w:highlight w:val="yellow"/>
              </w:rPr>
            </w:pPr>
          </w:p>
        </w:tc>
        <w:tc>
          <w:tcPr>
            <w:tcW w:w="1373" w:type="pct"/>
            <w:vAlign w:val="center"/>
          </w:tcPr>
          <w:p w14:paraId="4C732DCE">
            <w:pPr>
              <w:pStyle w:val="75"/>
              <w:ind w:firstLine="0" w:firstLineChars="0"/>
            </w:pPr>
            <w:r>
              <w:rPr>
                <w:rFonts w:hint="default" w:ascii="Times New Roman" w:hAnsi="Times New Roman" w:eastAsia="宋体" w:cs="Times New Roman"/>
              </w:rPr>
              <w:t>硫化物</w:t>
            </w:r>
          </w:p>
        </w:tc>
        <w:tc>
          <w:tcPr>
            <w:tcW w:w="1208" w:type="pct"/>
            <w:vAlign w:val="center"/>
          </w:tcPr>
          <w:p w14:paraId="79B122C1">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1B8F4E09">
            <w:pPr>
              <w:pStyle w:val="75"/>
              <w:ind w:firstLine="0" w:firstLineChars="0"/>
              <w:rPr>
                <w:kern w:val="2"/>
              </w:rPr>
            </w:pPr>
            <w:r>
              <w:rPr>
                <w:rFonts w:hint="eastAsia"/>
                <w:lang w:val="en-US" w:eastAsia="zh-CN"/>
              </w:rPr>
              <w:t>0.02</w:t>
            </w:r>
          </w:p>
        </w:tc>
        <w:tc>
          <w:tcPr>
            <w:tcW w:w="844" w:type="pct"/>
            <w:vAlign w:val="center"/>
          </w:tcPr>
          <w:p w14:paraId="63B175ED">
            <w:pPr>
              <w:pStyle w:val="75"/>
              <w:ind w:firstLine="0" w:firstLineChars="0"/>
            </w:pPr>
            <w:r>
              <w:rPr>
                <w:rFonts w:hint="eastAsia"/>
              </w:rPr>
              <w:t>达标</w:t>
            </w:r>
          </w:p>
        </w:tc>
      </w:tr>
      <w:tr w14:paraId="4CDC6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FECFBD9">
            <w:pPr>
              <w:pStyle w:val="75"/>
              <w:rPr>
                <w:kern w:val="2"/>
                <w:highlight w:val="yellow"/>
              </w:rPr>
            </w:pPr>
          </w:p>
        </w:tc>
        <w:tc>
          <w:tcPr>
            <w:tcW w:w="1373" w:type="pct"/>
            <w:vAlign w:val="center"/>
          </w:tcPr>
          <w:p w14:paraId="0186953E">
            <w:pPr>
              <w:pStyle w:val="75"/>
              <w:ind w:firstLine="0" w:firstLineChars="0"/>
            </w:pPr>
            <w:r>
              <w:rPr>
                <w:rFonts w:hint="default" w:ascii="Times New Roman" w:hAnsi="Times New Roman" w:eastAsia="宋体" w:cs="Times New Roman"/>
              </w:rPr>
              <w:t>砷</w:t>
            </w:r>
          </w:p>
        </w:tc>
        <w:tc>
          <w:tcPr>
            <w:tcW w:w="1208" w:type="pct"/>
            <w:vAlign w:val="center"/>
          </w:tcPr>
          <w:p w14:paraId="23182419">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702D8BE0">
            <w:pPr>
              <w:pStyle w:val="75"/>
              <w:ind w:firstLine="0" w:firstLineChars="0"/>
              <w:rPr>
                <w:kern w:val="2"/>
              </w:rPr>
            </w:pPr>
            <w:r>
              <w:rPr>
                <w:rFonts w:hint="eastAsia"/>
                <w:lang w:val="en-US" w:eastAsia="zh-CN"/>
              </w:rPr>
              <w:t>0.01</w:t>
            </w:r>
          </w:p>
        </w:tc>
        <w:tc>
          <w:tcPr>
            <w:tcW w:w="844" w:type="pct"/>
            <w:vAlign w:val="center"/>
          </w:tcPr>
          <w:p w14:paraId="1E5C0FF1">
            <w:pPr>
              <w:pStyle w:val="75"/>
              <w:ind w:firstLine="0" w:firstLineChars="0"/>
              <w:rPr>
                <w:kern w:val="2"/>
              </w:rPr>
            </w:pPr>
            <w:r>
              <w:rPr>
                <w:rFonts w:hint="eastAsia"/>
              </w:rPr>
              <w:t>达标</w:t>
            </w:r>
          </w:p>
        </w:tc>
      </w:tr>
      <w:tr w14:paraId="39351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D74A0D0">
            <w:pPr>
              <w:pStyle w:val="75"/>
              <w:rPr>
                <w:kern w:val="2"/>
                <w:highlight w:val="yellow"/>
              </w:rPr>
            </w:pPr>
          </w:p>
        </w:tc>
        <w:tc>
          <w:tcPr>
            <w:tcW w:w="1373" w:type="pct"/>
            <w:vAlign w:val="center"/>
          </w:tcPr>
          <w:p w14:paraId="3E4A239B">
            <w:pPr>
              <w:pStyle w:val="75"/>
              <w:ind w:firstLine="0" w:firstLineChars="0"/>
            </w:pPr>
            <w:r>
              <w:rPr>
                <w:rFonts w:hint="default" w:ascii="Times New Roman" w:hAnsi="Times New Roman" w:eastAsia="宋体" w:cs="Times New Roman"/>
              </w:rPr>
              <w:t>汞</w:t>
            </w:r>
          </w:p>
        </w:tc>
        <w:tc>
          <w:tcPr>
            <w:tcW w:w="1208" w:type="pct"/>
            <w:vAlign w:val="center"/>
          </w:tcPr>
          <w:p w14:paraId="3D44B532">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0FE8085F">
            <w:pPr>
              <w:pStyle w:val="75"/>
              <w:ind w:firstLine="0" w:firstLineChars="0"/>
              <w:rPr>
                <w:kern w:val="2"/>
              </w:rPr>
            </w:pPr>
            <w:r>
              <w:rPr>
                <w:rFonts w:hint="eastAsia"/>
                <w:lang w:val="en-US" w:eastAsia="zh-CN"/>
              </w:rPr>
              <w:t>0.001</w:t>
            </w:r>
          </w:p>
        </w:tc>
        <w:tc>
          <w:tcPr>
            <w:tcW w:w="844" w:type="pct"/>
            <w:vAlign w:val="center"/>
          </w:tcPr>
          <w:p w14:paraId="5395E9BF">
            <w:pPr>
              <w:pStyle w:val="75"/>
              <w:ind w:firstLine="0" w:firstLineChars="0"/>
              <w:rPr>
                <w:kern w:val="2"/>
              </w:rPr>
            </w:pPr>
            <w:r>
              <w:rPr>
                <w:rFonts w:hint="eastAsia"/>
              </w:rPr>
              <w:t>达标</w:t>
            </w:r>
          </w:p>
        </w:tc>
      </w:tr>
      <w:tr w14:paraId="73E51A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4E3F39B">
            <w:pPr>
              <w:pStyle w:val="75"/>
              <w:rPr>
                <w:kern w:val="2"/>
                <w:highlight w:val="yellow"/>
              </w:rPr>
            </w:pPr>
          </w:p>
        </w:tc>
        <w:tc>
          <w:tcPr>
            <w:tcW w:w="1373" w:type="pct"/>
            <w:vAlign w:val="center"/>
          </w:tcPr>
          <w:p w14:paraId="78055B98">
            <w:pPr>
              <w:pStyle w:val="75"/>
              <w:ind w:firstLine="0" w:firstLineChars="0"/>
            </w:pPr>
            <w:r>
              <w:rPr>
                <w:rFonts w:hint="default" w:ascii="Times New Roman" w:hAnsi="Times New Roman" w:eastAsia="宋体" w:cs="Times New Roman"/>
              </w:rPr>
              <w:t>铬（六价）</w:t>
            </w:r>
          </w:p>
        </w:tc>
        <w:tc>
          <w:tcPr>
            <w:tcW w:w="1208" w:type="pct"/>
            <w:vAlign w:val="center"/>
          </w:tcPr>
          <w:p w14:paraId="0097D1B4">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B54A70D">
            <w:pPr>
              <w:pStyle w:val="75"/>
              <w:ind w:firstLine="0" w:firstLineChars="0"/>
              <w:rPr>
                <w:rFonts w:hint="default"/>
                <w:kern w:val="2"/>
                <w:lang w:val="en-US"/>
              </w:rPr>
            </w:pPr>
            <w:r>
              <w:rPr>
                <w:rFonts w:hint="eastAsia" w:ascii="Times New Roman" w:hAnsi="Times New Roman" w:eastAsia="宋体" w:cs="Times New Roman"/>
                <w:kern w:val="2"/>
                <w:lang w:val="en-US" w:eastAsia="zh-CN"/>
              </w:rPr>
              <w:t>0.05</w:t>
            </w:r>
          </w:p>
        </w:tc>
        <w:tc>
          <w:tcPr>
            <w:tcW w:w="844" w:type="pct"/>
            <w:vAlign w:val="center"/>
          </w:tcPr>
          <w:p w14:paraId="5999948F">
            <w:pPr>
              <w:pStyle w:val="75"/>
              <w:ind w:firstLine="0" w:firstLineChars="0"/>
              <w:rPr>
                <w:kern w:val="2"/>
              </w:rPr>
            </w:pPr>
            <w:r>
              <w:rPr>
                <w:rFonts w:hint="eastAsia"/>
              </w:rPr>
              <w:t>达标</w:t>
            </w:r>
          </w:p>
        </w:tc>
      </w:tr>
      <w:tr w14:paraId="762684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7329CD6">
            <w:pPr>
              <w:pStyle w:val="75"/>
              <w:rPr>
                <w:kern w:val="2"/>
                <w:highlight w:val="yellow"/>
              </w:rPr>
            </w:pPr>
          </w:p>
        </w:tc>
        <w:tc>
          <w:tcPr>
            <w:tcW w:w="1373" w:type="pct"/>
            <w:vAlign w:val="center"/>
          </w:tcPr>
          <w:p w14:paraId="2BB7993B">
            <w:pPr>
              <w:pStyle w:val="75"/>
              <w:ind w:firstLine="0" w:firstLineChars="0"/>
            </w:pPr>
            <w:r>
              <w:rPr>
                <w:rFonts w:hint="default" w:ascii="Times New Roman" w:hAnsi="Times New Roman" w:eastAsia="宋体" w:cs="Times New Roman"/>
              </w:rPr>
              <w:t>铅</w:t>
            </w:r>
          </w:p>
        </w:tc>
        <w:tc>
          <w:tcPr>
            <w:tcW w:w="1208" w:type="pct"/>
            <w:vAlign w:val="center"/>
          </w:tcPr>
          <w:p w14:paraId="3D7E3DF5">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F1BAB75">
            <w:pPr>
              <w:pStyle w:val="75"/>
              <w:ind w:firstLine="0" w:firstLineChars="0"/>
              <w:rPr>
                <w:kern w:val="2"/>
              </w:rPr>
            </w:pPr>
            <w:r>
              <w:rPr>
                <w:rFonts w:hint="eastAsia"/>
                <w:lang w:val="en-US" w:eastAsia="zh-CN"/>
              </w:rPr>
              <w:t>0.01</w:t>
            </w:r>
          </w:p>
        </w:tc>
        <w:tc>
          <w:tcPr>
            <w:tcW w:w="844" w:type="pct"/>
            <w:vAlign w:val="center"/>
          </w:tcPr>
          <w:p w14:paraId="538D7DF8">
            <w:pPr>
              <w:pStyle w:val="75"/>
              <w:ind w:firstLine="0" w:firstLineChars="0"/>
              <w:rPr>
                <w:kern w:val="2"/>
              </w:rPr>
            </w:pPr>
            <w:r>
              <w:rPr>
                <w:rFonts w:hint="eastAsia"/>
              </w:rPr>
              <w:t>达标</w:t>
            </w:r>
          </w:p>
        </w:tc>
      </w:tr>
      <w:tr w14:paraId="71B48C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EB475E3">
            <w:pPr>
              <w:pStyle w:val="75"/>
              <w:rPr>
                <w:kern w:val="2"/>
                <w:highlight w:val="yellow"/>
              </w:rPr>
            </w:pPr>
          </w:p>
        </w:tc>
        <w:tc>
          <w:tcPr>
            <w:tcW w:w="1373" w:type="pct"/>
            <w:vAlign w:val="center"/>
          </w:tcPr>
          <w:p w14:paraId="2C1B6932">
            <w:pPr>
              <w:pStyle w:val="75"/>
              <w:ind w:firstLine="0" w:firstLineChars="0"/>
            </w:pPr>
            <w:r>
              <w:rPr>
                <w:rFonts w:hint="default" w:ascii="Times New Roman" w:hAnsi="Times New Roman" w:eastAsia="宋体" w:cs="Times New Roman"/>
              </w:rPr>
              <w:t>镉</w:t>
            </w:r>
          </w:p>
        </w:tc>
        <w:tc>
          <w:tcPr>
            <w:tcW w:w="1208" w:type="pct"/>
            <w:vAlign w:val="center"/>
          </w:tcPr>
          <w:p w14:paraId="329F73F0">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A2F90AF">
            <w:pPr>
              <w:pStyle w:val="75"/>
              <w:ind w:firstLine="0" w:firstLineChars="0"/>
              <w:rPr>
                <w:kern w:val="2"/>
              </w:rPr>
            </w:pPr>
            <w:r>
              <w:rPr>
                <w:rFonts w:hint="eastAsia"/>
                <w:kern w:val="2"/>
                <w:lang w:val="en-US" w:eastAsia="zh-CN"/>
              </w:rPr>
              <w:t>0.005</w:t>
            </w:r>
          </w:p>
        </w:tc>
        <w:tc>
          <w:tcPr>
            <w:tcW w:w="844" w:type="pct"/>
            <w:vAlign w:val="center"/>
          </w:tcPr>
          <w:p w14:paraId="7DCE62E3">
            <w:pPr>
              <w:pStyle w:val="75"/>
              <w:ind w:firstLine="0" w:firstLineChars="0"/>
              <w:rPr>
                <w:kern w:val="2"/>
              </w:rPr>
            </w:pPr>
            <w:r>
              <w:rPr>
                <w:rFonts w:hint="eastAsia"/>
              </w:rPr>
              <w:t>达标</w:t>
            </w:r>
          </w:p>
        </w:tc>
      </w:tr>
      <w:tr w14:paraId="4D256A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66EF7F1">
            <w:pPr>
              <w:pStyle w:val="75"/>
              <w:rPr>
                <w:kern w:val="2"/>
                <w:highlight w:val="yellow"/>
              </w:rPr>
            </w:pPr>
          </w:p>
        </w:tc>
        <w:tc>
          <w:tcPr>
            <w:tcW w:w="1373" w:type="pct"/>
            <w:vAlign w:val="center"/>
          </w:tcPr>
          <w:p w14:paraId="5A2AAB32">
            <w:pPr>
              <w:pStyle w:val="75"/>
              <w:ind w:firstLine="0" w:firstLineChars="0"/>
            </w:pPr>
            <w:r>
              <w:rPr>
                <w:rFonts w:hint="default" w:ascii="Times New Roman" w:hAnsi="Times New Roman" w:eastAsia="宋体" w:cs="Times New Roman"/>
              </w:rPr>
              <w:t>铁</w:t>
            </w:r>
          </w:p>
        </w:tc>
        <w:tc>
          <w:tcPr>
            <w:tcW w:w="1208" w:type="pct"/>
            <w:vAlign w:val="center"/>
          </w:tcPr>
          <w:p w14:paraId="31F6846B">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5942BBE2">
            <w:pPr>
              <w:pStyle w:val="75"/>
              <w:ind w:firstLine="0" w:firstLineChars="0"/>
              <w:rPr>
                <w:kern w:val="2"/>
              </w:rPr>
            </w:pPr>
            <w:r>
              <w:rPr>
                <w:rFonts w:hint="eastAsia"/>
                <w:kern w:val="2"/>
                <w:lang w:val="en-US" w:eastAsia="zh-CN"/>
              </w:rPr>
              <w:t>0.3</w:t>
            </w:r>
          </w:p>
        </w:tc>
        <w:tc>
          <w:tcPr>
            <w:tcW w:w="844" w:type="pct"/>
            <w:vAlign w:val="center"/>
          </w:tcPr>
          <w:p w14:paraId="702EC416">
            <w:pPr>
              <w:pStyle w:val="75"/>
              <w:ind w:firstLine="0" w:firstLineChars="0"/>
              <w:rPr>
                <w:kern w:val="2"/>
              </w:rPr>
            </w:pPr>
            <w:r>
              <w:rPr>
                <w:rFonts w:hint="eastAsia"/>
              </w:rPr>
              <w:t>达标</w:t>
            </w:r>
          </w:p>
        </w:tc>
      </w:tr>
      <w:tr w14:paraId="5C004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F8374A4">
            <w:pPr>
              <w:pStyle w:val="75"/>
              <w:rPr>
                <w:kern w:val="2"/>
                <w:highlight w:val="yellow"/>
              </w:rPr>
            </w:pPr>
          </w:p>
        </w:tc>
        <w:tc>
          <w:tcPr>
            <w:tcW w:w="1373" w:type="pct"/>
            <w:vAlign w:val="center"/>
          </w:tcPr>
          <w:p w14:paraId="611E850D">
            <w:pPr>
              <w:pStyle w:val="75"/>
              <w:ind w:firstLine="0" w:firstLineChars="0"/>
            </w:pPr>
            <w:r>
              <w:rPr>
                <w:rFonts w:hint="default" w:ascii="Times New Roman" w:hAnsi="Times New Roman" w:eastAsia="宋体" w:cs="Times New Roman"/>
              </w:rPr>
              <w:t>锰</w:t>
            </w:r>
          </w:p>
        </w:tc>
        <w:tc>
          <w:tcPr>
            <w:tcW w:w="1208" w:type="pct"/>
            <w:vAlign w:val="center"/>
          </w:tcPr>
          <w:p w14:paraId="6AE33CE1">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AA378EE">
            <w:pPr>
              <w:pStyle w:val="75"/>
              <w:ind w:firstLine="0" w:firstLineChars="0"/>
              <w:rPr>
                <w:kern w:val="2"/>
              </w:rPr>
            </w:pPr>
            <w:r>
              <w:rPr>
                <w:rFonts w:hint="eastAsia"/>
                <w:kern w:val="2"/>
                <w:lang w:val="en-US" w:eastAsia="zh-CN"/>
              </w:rPr>
              <w:t>0.1</w:t>
            </w:r>
          </w:p>
        </w:tc>
        <w:tc>
          <w:tcPr>
            <w:tcW w:w="844" w:type="pct"/>
            <w:vAlign w:val="center"/>
          </w:tcPr>
          <w:p w14:paraId="5C62F93B">
            <w:pPr>
              <w:pStyle w:val="75"/>
              <w:ind w:firstLine="0" w:firstLineChars="0"/>
              <w:rPr>
                <w:kern w:val="2"/>
              </w:rPr>
            </w:pPr>
            <w:r>
              <w:rPr>
                <w:rFonts w:hint="eastAsia"/>
                <w:kern w:val="2"/>
              </w:rPr>
              <w:t>达标</w:t>
            </w:r>
          </w:p>
        </w:tc>
      </w:tr>
      <w:tr w14:paraId="34EB8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11440981">
            <w:pPr>
              <w:pStyle w:val="75"/>
              <w:rPr>
                <w:kern w:val="2"/>
                <w:highlight w:val="yellow"/>
              </w:rPr>
            </w:pPr>
          </w:p>
        </w:tc>
        <w:tc>
          <w:tcPr>
            <w:tcW w:w="1373" w:type="pct"/>
            <w:vAlign w:val="center"/>
          </w:tcPr>
          <w:p w14:paraId="7A2D5235">
            <w:pPr>
              <w:pStyle w:val="75"/>
              <w:ind w:firstLine="0" w:firstLineChars="0"/>
            </w:pPr>
            <w:r>
              <w:rPr>
                <w:rFonts w:hint="default" w:ascii="Times New Roman" w:hAnsi="Times New Roman" w:eastAsia="宋体" w:cs="Times New Roman"/>
              </w:rPr>
              <w:t>钙</w:t>
            </w:r>
          </w:p>
        </w:tc>
        <w:tc>
          <w:tcPr>
            <w:tcW w:w="1208" w:type="pct"/>
            <w:vAlign w:val="center"/>
          </w:tcPr>
          <w:p w14:paraId="37B7ABDF">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83.80</w:t>
            </w:r>
          </w:p>
        </w:tc>
        <w:tc>
          <w:tcPr>
            <w:tcW w:w="846" w:type="pct"/>
            <w:vAlign w:val="center"/>
          </w:tcPr>
          <w:p w14:paraId="1C496427">
            <w:pPr>
              <w:pStyle w:val="75"/>
              <w:ind w:firstLine="0" w:firstLineChars="0"/>
              <w:rPr>
                <w:kern w:val="2"/>
              </w:rPr>
            </w:pPr>
            <w:r>
              <w:rPr>
                <w:rFonts w:hint="eastAsia"/>
                <w:kern w:val="2"/>
                <w:lang w:val="en-US" w:eastAsia="zh-CN"/>
              </w:rPr>
              <w:t>/</w:t>
            </w:r>
          </w:p>
        </w:tc>
        <w:tc>
          <w:tcPr>
            <w:tcW w:w="844" w:type="pct"/>
            <w:vAlign w:val="center"/>
          </w:tcPr>
          <w:p w14:paraId="4693F35A">
            <w:pPr>
              <w:pStyle w:val="75"/>
              <w:ind w:firstLine="0" w:firstLineChars="0"/>
              <w:rPr>
                <w:kern w:val="2"/>
              </w:rPr>
            </w:pPr>
            <w:r>
              <w:rPr>
                <w:rFonts w:hint="eastAsia"/>
                <w:kern w:val="2"/>
                <w:lang w:val="en-US" w:eastAsia="zh-CN"/>
              </w:rPr>
              <w:t>/</w:t>
            </w:r>
          </w:p>
        </w:tc>
      </w:tr>
      <w:tr w14:paraId="22B017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B7DBFAB">
            <w:pPr>
              <w:pStyle w:val="75"/>
              <w:rPr>
                <w:kern w:val="2"/>
                <w:highlight w:val="yellow"/>
              </w:rPr>
            </w:pPr>
          </w:p>
        </w:tc>
        <w:tc>
          <w:tcPr>
            <w:tcW w:w="1373" w:type="pct"/>
            <w:vAlign w:val="center"/>
          </w:tcPr>
          <w:p w14:paraId="322EE727">
            <w:pPr>
              <w:pStyle w:val="75"/>
              <w:ind w:firstLine="0" w:firstLineChars="0"/>
            </w:pPr>
            <w:r>
              <w:rPr>
                <w:rFonts w:hint="default" w:ascii="Times New Roman" w:hAnsi="Times New Roman" w:eastAsia="宋体" w:cs="Times New Roman"/>
              </w:rPr>
              <w:t>钠</w:t>
            </w:r>
          </w:p>
        </w:tc>
        <w:tc>
          <w:tcPr>
            <w:tcW w:w="1208" w:type="pct"/>
            <w:vAlign w:val="center"/>
          </w:tcPr>
          <w:p w14:paraId="4C668973">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95.18</w:t>
            </w:r>
          </w:p>
        </w:tc>
        <w:tc>
          <w:tcPr>
            <w:tcW w:w="846" w:type="pct"/>
            <w:vAlign w:val="center"/>
          </w:tcPr>
          <w:p w14:paraId="14B3E928">
            <w:pPr>
              <w:pStyle w:val="75"/>
              <w:ind w:firstLine="0" w:firstLineChars="0"/>
              <w:rPr>
                <w:kern w:val="2"/>
              </w:rPr>
            </w:pPr>
            <w:r>
              <w:rPr>
                <w:rFonts w:hint="eastAsia"/>
                <w:kern w:val="2"/>
                <w:lang w:val="en-US" w:eastAsia="zh-CN"/>
              </w:rPr>
              <w:t>/</w:t>
            </w:r>
          </w:p>
        </w:tc>
        <w:tc>
          <w:tcPr>
            <w:tcW w:w="844" w:type="pct"/>
            <w:vAlign w:val="center"/>
          </w:tcPr>
          <w:p w14:paraId="550457FB">
            <w:pPr>
              <w:pStyle w:val="75"/>
              <w:ind w:firstLine="0" w:firstLineChars="0"/>
              <w:rPr>
                <w:kern w:val="2"/>
              </w:rPr>
            </w:pPr>
            <w:r>
              <w:rPr>
                <w:rFonts w:hint="eastAsia" w:ascii="Times New Roman" w:hAnsi="Times New Roman" w:eastAsia="宋体" w:cs="Times New Roman"/>
                <w:kern w:val="2"/>
                <w:lang w:val="en-US" w:eastAsia="zh-CN"/>
              </w:rPr>
              <w:t>/</w:t>
            </w:r>
          </w:p>
        </w:tc>
      </w:tr>
      <w:tr w14:paraId="4CF0B6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88AB806">
            <w:pPr>
              <w:pStyle w:val="75"/>
              <w:rPr>
                <w:kern w:val="2"/>
                <w:highlight w:val="yellow"/>
              </w:rPr>
            </w:pPr>
          </w:p>
        </w:tc>
        <w:tc>
          <w:tcPr>
            <w:tcW w:w="1373" w:type="pct"/>
            <w:vAlign w:val="center"/>
          </w:tcPr>
          <w:p w14:paraId="5CC29146">
            <w:pPr>
              <w:pStyle w:val="75"/>
              <w:ind w:firstLine="0" w:firstLineChars="0"/>
            </w:pPr>
            <w:r>
              <w:rPr>
                <w:rFonts w:hint="default" w:ascii="Times New Roman" w:hAnsi="Times New Roman" w:eastAsia="宋体" w:cs="Times New Roman"/>
              </w:rPr>
              <w:t>钾</w:t>
            </w:r>
          </w:p>
        </w:tc>
        <w:tc>
          <w:tcPr>
            <w:tcW w:w="1208" w:type="pct"/>
            <w:vAlign w:val="center"/>
          </w:tcPr>
          <w:p w14:paraId="2F4C1521">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3.27</w:t>
            </w:r>
          </w:p>
        </w:tc>
        <w:tc>
          <w:tcPr>
            <w:tcW w:w="846" w:type="pct"/>
            <w:vAlign w:val="center"/>
          </w:tcPr>
          <w:p w14:paraId="14D35FA5">
            <w:pPr>
              <w:pStyle w:val="75"/>
              <w:ind w:firstLine="0" w:firstLineChars="0"/>
              <w:rPr>
                <w:kern w:val="2"/>
              </w:rPr>
            </w:pPr>
            <w:r>
              <w:rPr>
                <w:rFonts w:hint="eastAsia"/>
                <w:kern w:val="2"/>
                <w:lang w:val="en-US" w:eastAsia="zh-CN"/>
              </w:rPr>
              <w:t>/</w:t>
            </w:r>
          </w:p>
        </w:tc>
        <w:tc>
          <w:tcPr>
            <w:tcW w:w="844" w:type="pct"/>
            <w:vAlign w:val="center"/>
          </w:tcPr>
          <w:p w14:paraId="0C08E974">
            <w:pPr>
              <w:pStyle w:val="75"/>
              <w:ind w:firstLine="0" w:firstLineChars="0"/>
              <w:rPr>
                <w:kern w:val="2"/>
              </w:rPr>
            </w:pPr>
            <w:r>
              <w:rPr>
                <w:rFonts w:hint="eastAsia" w:ascii="Times New Roman" w:hAnsi="Times New Roman" w:eastAsia="宋体" w:cs="Times New Roman"/>
                <w:kern w:val="2"/>
                <w:lang w:val="en-US" w:eastAsia="zh-CN"/>
              </w:rPr>
              <w:t>/</w:t>
            </w:r>
          </w:p>
        </w:tc>
      </w:tr>
      <w:tr w14:paraId="2CADF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4998D80E">
            <w:pPr>
              <w:pStyle w:val="75"/>
              <w:rPr>
                <w:kern w:val="2"/>
                <w:highlight w:val="yellow"/>
              </w:rPr>
            </w:pPr>
          </w:p>
        </w:tc>
        <w:tc>
          <w:tcPr>
            <w:tcW w:w="1373" w:type="pct"/>
            <w:vAlign w:val="center"/>
          </w:tcPr>
          <w:p w14:paraId="07A562D6">
            <w:pPr>
              <w:pStyle w:val="75"/>
              <w:ind w:firstLine="0" w:firstLineChars="0"/>
            </w:pPr>
            <w:r>
              <w:rPr>
                <w:rFonts w:hint="default" w:ascii="Times New Roman" w:hAnsi="Times New Roman" w:eastAsia="宋体" w:cs="Times New Roman"/>
              </w:rPr>
              <w:t>镁</w:t>
            </w:r>
          </w:p>
        </w:tc>
        <w:tc>
          <w:tcPr>
            <w:tcW w:w="1208" w:type="pct"/>
            <w:vAlign w:val="center"/>
          </w:tcPr>
          <w:p w14:paraId="6ECD65BC">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13.45</w:t>
            </w:r>
          </w:p>
        </w:tc>
        <w:tc>
          <w:tcPr>
            <w:tcW w:w="846" w:type="pct"/>
            <w:vAlign w:val="center"/>
          </w:tcPr>
          <w:p w14:paraId="58C4CDC3">
            <w:pPr>
              <w:pStyle w:val="75"/>
              <w:ind w:firstLine="0" w:firstLineChars="0"/>
              <w:rPr>
                <w:kern w:val="2"/>
              </w:rPr>
            </w:pPr>
            <w:r>
              <w:rPr>
                <w:rFonts w:hint="eastAsia"/>
                <w:kern w:val="2"/>
                <w:lang w:val="en-US" w:eastAsia="zh-CN"/>
              </w:rPr>
              <w:t>/</w:t>
            </w:r>
          </w:p>
        </w:tc>
        <w:tc>
          <w:tcPr>
            <w:tcW w:w="844" w:type="pct"/>
            <w:vAlign w:val="center"/>
          </w:tcPr>
          <w:p w14:paraId="1116A469">
            <w:pPr>
              <w:pStyle w:val="75"/>
              <w:ind w:firstLine="0" w:firstLineChars="0"/>
              <w:rPr>
                <w:kern w:val="2"/>
              </w:rPr>
            </w:pPr>
            <w:r>
              <w:rPr>
                <w:rFonts w:hint="eastAsia" w:ascii="Times New Roman" w:hAnsi="Times New Roman" w:eastAsia="宋体" w:cs="Times New Roman"/>
                <w:kern w:val="2"/>
                <w:lang w:val="en-US" w:eastAsia="zh-CN"/>
              </w:rPr>
              <w:t>/</w:t>
            </w:r>
          </w:p>
        </w:tc>
      </w:tr>
      <w:tr w14:paraId="2D193D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293E2E69">
            <w:pPr>
              <w:pStyle w:val="75"/>
              <w:rPr>
                <w:kern w:val="2"/>
                <w:highlight w:val="yellow"/>
              </w:rPr>
            </w:pPr>
          </w:p>
        </w:tc>
        <w:tc>
          <w:tcPr>
            <w:tcW w:w="1373" w:type="pct"/>
            <w:vAlign w:val="center"/>
          </w:tcPr>
          <w:p w14:paraId="518748E9">
            <w:pPr>
              <w:pStyle w:val="75"/>
              <w:ind w:firstLine="0" w:firstLineChars="0"/>
            </w:pPr>
            <w:r>
              <w:rPr>
                <w:rFonts w:hint="default" w:ascii="Times New Roman" w:hAnsi="Times New Roman" w:eastAsia="宋体" w:cs="Times New Roman"/>
              </w:rPr>
              <w:t>碳酸根</w:t>
            </w:r>
          </w:p>
        </w:tc>
        <w:tc>
          <w:tcPr>
            <w:tcW w:w="1208" w:type="pct"/>
            <w:vAlign w:val="center"/>
          </w:tcPr>
          <w:p w14:paraId="4E04F985">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FE54C38">
            <w:pPr>
              <w:pStyle w:val="75"/>
              <w:ind w:firstLine="0" w:firstLineChars="0"/>
              <w:rPr>
                <w:kern w:val="2"/>
              </w:rPr>
            </w:pPr>
            <w:r>
              <w:rPr>
                <w:rFonts w:hint="eastAsia"/>
                <w:kern w:val="2"/>
                <w:lang w:val="en-US" w:eastAsia="zh-CN"/>
              </w:rPr>
              <w:t>/</w:t>
            </w:r>
          </w:p>
        </w:tc>
        <w:tc>
          <w:tcPr>
            <w:tcW w:w="844" w:type="pct"/>
            <w:vAlign w:val="center"/>
          </w:tcPr>
          <w:p w14:paraId="0AA9BF36">
            <w:pPr>
              <w:pStyle w:val="75"/>
              <w:ind w:firstLine="0" w:firstLineChars="0"/>
              <w:rPr>
                <w:kern w:val="2"/>
              </w:rPr>
            </w:pPr>
            <w:r>
              <w:rPr>
                <w:rFonts w:hint="eastAsia" w:ascii="Times New Roman" w:hAnsi="Times New Roman" w:eastAsia="宋体" w:cs="Times New Roman"/>
                <w:kern w:val="2"/>
                <w:lang w:val="en-US" w:eastAsia="zh-CN"/>
              </w:rPr>
              <w:t>/</w:t>
            </w:r>
          </w:p>
        </w:tc>
      </w:tr>
      <w:tr w14:paraId="34A867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C51A623">
            <w:pPr>
              <w:pStyle w:val="75"/>
              <w:rPr>
                <w:kern w:val="2"/>
                <w:highlight w:val="yellow"/>
              </w:rPr>
            </w:pPr>
          </w:p>
        </w:tc>
        <w:tc>
          <w:tcPr>
            <w:tcW w:w="1373" w:type="pct"/>
            <w:vAlign w:val="center"/>
          </w:tcPr>
          <w:p w14:paraId="235F6D86">
            <w:pPr>
              <w:pStyle w:val="75"/>
              <w:ind w:firstLine="0" w:firstLineChars="0"/>
            </w:pPr>
            <w:r>
              <w:rPr>
                <w:rFonts w:hint="default" w:ascii="Times New Roman" w:hAnsi="Times New Roman" w:eastAsia="宋体" w:cs="Times New Roman"/>
              </w:rPr>
              <w:t>重碳酸根</w:t>
            </w:r>
          </w:p>
        </w:tc>
        <w:tc>
          <w:tcPr>
            <w:tcW w:w="1208" w:type="pct"/>
            <w:vAlign w:val="center"/>
          </w:tcPr>
          <w:p w14:paraId="1EF97B3C">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169</w:t>
            </w:r>
          </w:p>
        </w:tc>
        <w:tc>
          <w:tcPr>
            <w:tcW w:w="846" w:type="pct"/>
            <w:vAlign w:val="center"/>
          </w:tcPr>
          <w:p w14:paraId="63F96032">
            <w:pPr>
              <w:pStyle w:val="75"/>
              <w:ind w:firstLine="0" w:firstLineChars="0"/>
              <w:rPr>
                <w:kern w:val="2"/>
              </w:rPr>
            </w:pPr>
            <w:r>
              <w:rPr>
                <w:rFonts w:hint="eastAsia"/>
                <w:kern w:val="2"/>
                <w:lang w:val="en-US" w:eastAsia="zh-CN"/>
              </w:rPr>
              <w:t>/</w:t>
            </w:r>
          </w:p>
        </w:tc>
        <w:tc>
          <w:tcPr>
            <w:tcW w:w="844" w:type="pct"/>
            <w:vAlign w:val="center"/>
          </w:tcPr>
          <w:p w14:paraId="70EC4F3A">
            <w:pPr>
              <w:pStyle w:val="75"/>
              <w:ind w:firstLine="0" w:firstLineChars="0"/>
              <w:rPr>
                <w:kern w:val="2"/>
              </w:rPr>
            </w:pPr>
            <w:r>
              <w:rPr>
                <w:rFonts w:hint="eastAsia" w:ascii="Times New Roman" w:hAnsi="Times New Roman" w:eastAsia="宋体" w:cs="Times New Roman"/>
                <w:kern w:val="2"/>
                <w:lang w:val="en-US" w:eastAsia="zh-CN"/>
              </w:rPr>
              <w:t>/</w:t>
            </w:r>
          </w:p>
        </w:tc>
      </w:tr>
      <w:tr w14:paraId="11147A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BA87CC4">
            <w:pPr>
              <w:pStyle w:val="75"/>
              <w:rPr>
                <w:kern w:val="2"/>
                <w:highlight w:val="yellow"/>
              </w:rPr>
            </w:pPr>
          </w:p>
        </w:tc>
        <w:tc>
          <w:tcPr>
            <w:tcW w:w="1373" w:type="pct"/>
            <w:vAlign w:val="center"/>
          </w:tcPr>
          <w:p w14:paraId="49C73A7A">
            <w:pPr>
              <w:pStyle w:val="75"/>
              <w:ind w:firstLine="0" w:firstLineChars="0"/>
            </w:pPr>
            <w:r>
              <w:rPr>
                <w:rFonts w:hint="default" w:ascii="Times New Roman" w:hAnsi="Times New Roman" w:eastAsia="宋体" w:cs="Times New Roman"/>
                <w:lang w:val="en-US" w:eastAsia="zh-CN"/>
              </w:rPr>
              <w:t>氟化物</w:t>
            </w:r>
          </w:p>
        </w:tc>
        <w:tc>
          <w:tcPr>
            <w:tcW w:w="1208" w:type="pct"/>
            <w:vAlign w:val="center"/>
          </w:tcPr>
          <w:p w14:paraId="7B1B3AE6">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0.35</w:t>
            </w:r>
          </w:p>
        </w:tc>
        <w:tc>
          <w:tcPr>
            <w:tcW w:w="846" w:type="pct"/>
            <w:vAlign w:val="center"/>
          </w:tcPr>
          <w:p w14:paraId="5EAF8EED">
            <w:pPr>
              <w:pStyle w:val="75"/>
              <w:ind w:firstLine="0" w:firstLineChars="0"/>
              <w:rPr>
                <w:kern w:val="2"/>
              </w:rPr>
            </w:pPr>
            <w:r>
              <w:rPr>
                <w:rFonts w:hint="eastAsia"/>
                <w:kern w:val="2"/>
                <w:lang w:val="en-US" w:eastAsia="zh-CN"/>
              </w:rPr>
              <w:t>1</w:t>
            </w:r>
          </w:p>
        </w:tc>
        <w:tc>
          <w:tcPr>
            <w:tcW w:w="844" w:type="pct"/>
            <w:vAlign w:val="center"/>
          </w:tcPr>
          <w:p w14:paraId="100B003A">
            <w:pPr>
              <w:pStyle w:val="75"/>
              <w:ind w:firstLine="0" w:firstLineChars="0"/>
              <w:rPr>
                <w:kern w:val="2"/>
              </w:rPr>
            </w:pPr>
            <w:r>
              <w:rPr>
                <w:rFonts w:hint="eastAsia"/>
                <w:kern w:val="2"/>
              </w:rPr>
              <w:t>达标</w:t>
            </w:r>
          </w:p>
        </w:tc>
      </w:tr>
      <w:tr w14:paraId="0A2807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59B21A61">
            <w:pPr>
              <w:pStyle w:val="75"/>
              <w:rPr>
                <w:kern w:val="2"/>
                <w:highlight w:val="yellow"/>
              </w:rPr>
            </w:pPr>
          </w:p>
        </w:tc>
        <w:tc>
          <w:tcPr>
            <w:tcW w:w="1373" w:type="pct"/>
            <w:vAlign w:val="center"/>
          </w:tcPr>
          <w:p w14:paraId="20AAE08B">
            <w:pPr>
              <w:pStyle w:val="75"/>
              <w:ind w:firstLine="0" w:firstLineChars="0"/>
            </w:pPr>
            <w:r>
              <w:rPr>
                <w:rFonts w:hint="default" w:ascii="Times New Roman" w:hAnsi="Times New Roman" w:eastAsia="宋体" w:cs="Times New Roman"/>
                <w:lang w:val="en-US" w:eastAsia="zh-CN"/>
              </w:rPr>
              <w:t>镍</w:t>
            </w:r>
          </w:p>
        </w:tc>
        <w:tc>
          <w:tcPr>
            <w:tcW w:w="1208" w:type="pct"/>
            <w:vAlign w:val="center"/>
          </w:tcPr>
          <w:p w14:paraId="5674FE26">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6146E6D9">
            <w:pPr>
              <w:pStyle w:val="75"/>
              <w:ind w:firstLine="0" w:firstLineChars="0"/>
              <w:rPr>
                <w:kern w:val="2"/>
              </w:rPr>
            </w:pPr>
            <w:r>
              <w:rPr>
                <w:rFonts w:hint="eastAsia"/>
                <w:kern w:val="2"/>
                <w:lang w:val="en-US" w:eastAsia="zh-CN"/>
              </w:rPr>
              <w:t>0.02</w:t>
            </w:r>
          </w:p>
        </w:tc>
        <w:tc>
          <w:tcPr>
            <w:tcW w:w="844" w:type="pct"/>
            <w:vAlign w:val="center"/>
          </w:tcPr>
          <w:p w14:paraId="7812F403">
            <w:pPr>
              <w:pStyle w:val="75"/>
              <w:ind w:firstLine="0" w:firstLineChars="0"/>
              <w:rPr>
                <w:kern w:val="2"/>
              </w:rPr>
            </w:pPr>
            <w:r>
              <w:rPr>
                <w:rFonts w:hint="eastAsia"/>
                <w:kern w:val="2"/>
              </w:rPr>
              <w:t>达标</w:t>
            </w:r>
          </w:p>
        </w:tc>
      </w:tr>
      <w:tr w14:paraId="2886DD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3CB3E535">
            <w:pPr>
              <w:pStyle w:val="75"/>
              <w:rPr>
                <w:kern w:val="2"/>
                <w:highlight w:val="yellow"/>
              </w:rPr>
            </w:pPr>
          </w:p>
        </w:tc>
        <w:tc>
          <w:tcPr>
            <w:tcW w:w="1373" w:type="pct"/>
            <w:vAlign w:val="center"/>
          </w:tcPr>
          <w:p w14:paraId="5C6CEED4">
            <w:pPr>
              <w:pStyle w:val="75"/>
              <w:ind w:firstLine="0" w:firstLineChars="0"/>
            </w:pPr>
            <w:r>
              <w:rPr>
                <w:rFonts w:hint="default" w:ascii="Times New Roman" w:hAnsi="Times New Roman" w:eastAsia="宋体" w:cs="Times New Roman"/>
                <w:lang w:val="en-US" w:eastAsia="zh-CN"/>
              </w:rPr>
              <w:t>阴离子表面活性剂</w:t>
            </w:r>
          </w:p>
        </w:tc>
        <w:tc>
          <w:tcPr>
            <w:tcW w:w="1208" w:type="pct"/>
            <w:vAlign w:val="center"/>
          </w:tcPr>
          <w:p w14:paraId="5A132D48">
            <w:pPr>
              <w:pStyle w:val="75"/>
              <w:ind w:firstLine="0" w:firstLineChars="0"/>
              <w:rPr>
                <w:rFonts w:hint="eastAsia"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2CBCFD12">
            <w:pPr>
              <w:pStyle w:val="75"/>
              <w:ind w:firstLine="0" w:firstLineChars="0"/>
              <w:rPr>
                <w:kern w:val="2"/>
              </w:rPr>
            </w:pPr>
            <w:r>
              <w:rPr>
                <w:rFonts w:hint="eastAsia"/>
                <w:kern w:val="2"/>
                <w:lang w:val="en-US" w:eastAsia="zh-CN"/>
              </w:rPr>
              <w:t>0.02</w:t>
            </w:r>
          </w:p>
        </w:tc>
        <w:tc>
          <w:tcPr>
            <w:tcW w:w="844" w:type="pct"/>
            <w:vAlign w:val="center"/>
          </w:tcPr>
          <w:p w14:paraId="6945742D">
            <w:pPr>
              <w:pStyle w:val="75"/>
              <w:ind w:firstLine="0" w:firstLineChars="0"/>
              <w:rPr>
                <w:kern w:val="2"/>
              </w:rPr>
            </w:pPr>
            <w:r>
              <w:rPr>
                <w:rFonts w:hint="eastAsia"/>
                <w:kern w:val="2"/>
              </w:rPr>
              <w:t>达标</w:t>
            </w:r>
          </w:p>
        </w:tc>
      </w:tr>
      <w:tr w14:paraId="36803F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26" w:type="pct"/>
            <w:vMerge w:val="continue"/>
            <w:vAlign w:val="center"/>
          </w:tcPr>
          <w:p w14:paraId="65B4E6F6">
            <w:pPr>
              <w:pStyle w:val="75"/>
              <w:rPr>
                <w:kern w:val="2"/>
                <w:highlight w:val="yellow"/>
              </w:rPr>
            </w:pPr>
          </w:p>
        </w:tc>
        <w:tc>
          <w:tcPr>
            <w:tcW w:w="1373" w:type="pct"/>
            <w:vAlign w:val="center"/>
          </w:tcPr>
          <w:p w14:paraId="6F995282">
            <w:pPr>
              <w:pStyle w:val="75"/>
              <w:ind w:firstLine="0" w:firstLineChars="0"/>
              <w:rPr>
                <w:rFonts w:hint="default" w:ascii="Times New Roman" w:hAnsi="Times New Roman" w:eastAsia="宋体" w:cs="Times New Roman"/>
                <w:lang w:val="en-US" w:eastAsia="zh-CN"/>
              </w:rPr>
            </w:pPr>
            <w:r>
              <w:rPr>
                <w:rFonts w:hint="eastAsia" w:cs="Times New Roman"/>
                <w:lang w:val="en-US" w:eastAsia="zh-CN"/>
              </w:rPr>
              <w:t>铬</w:t>
            </w:r>
          </w:p>
        </w:tc>
        <w:tc>
          <w:tcPr>
            <w:tcW w:w="1208" w:type="pct"/>
            <w:vAlign w:val="center"/>
          </w:tcPr>
          <w:p w14:paraId="0452D2B8">
            <w:pPr>
              <w:pStyle w:val="75"/>
              <w:ind w:firstLine="0" w:firstLineChars="0"/>
              <w:rPr>
                <w:rFonts w:hint="default" w:ascii="Times New Roman" w:hAnsi="Times New Roman" w:eastAsia="宋体" w:cs="Times New Roman"/>
                <w:kern w:val="2"/>
                <w:lang w:val="en-US" w:eastAsia="zh-CN"/>
              </w:rPr>
            </w:pPr>
            <w:r>
              <w:rPr>
                <w:rFonts w:hint="default" w:ascii="Times New Roman" w:hAnsi="Times New Roman" w:eastAsia="宋体" w:cs="Times New Roman"/>
                <w:kern w:val="2"/>
                <w:lang w:val="en-US" w:eastAsia="zh-CN"/>
              </w:rPr>
              <w:t>ND</w:t>
            </w:r>
          </w:p>
        </w:tc>
        <w:tc>
          <w:tcPr>
            <w:tcW w:w="846" w:type="pct"/>
            <w:vAlign w:val="center"/>
          </w:tcPr>
          <w:p w14:paraId="6D88AC1A">
            <w:pPr>
              <w:pStyle w:val="75"/>
              <w:ind w:firstLine="0" w:firstLineChars="0"/>
              <w:rPr>
                <w:rFonts w:hint="default"/>
                <w:kern w:val="2"/>
                <w:lang w:val="en-US" w:eastAsia="zh-CN"/>
              </w:rPr>
            </w:pPr>
            <w:r>
              <w:rPr>
                <w:rFonts w:hint="eastAsia"/>
                <w:kern w:val="2"/>
                <w:lang w:val="en-US" w:eastAsia="zh-CN"/>
              </w:rPr>
              <w:t>/</w:t>
            </w:r>
          </w:p>
        </w:tc>
        <w:tc>
          <w:tcPr>
            <w:tcW w:w="844" w:type="pct"/>
            <w:vAlign w:val="center"/>
          </w:tcPr>
          <w:p w14:paraId="38E1FA4A">
            <w:pPr>
              <w:pStyle w:val="75"/>
              <w:ind w:firstLine="0" w:firstLineChars="0"/>
              <w:rPr>
                <w:rFonts w:hint="eastAsia" w:eastAsia="宋体"/>
                <w:kern w:val="2"/>
                <w:lang w:val="en-US" w:eastAsia="zh-CN"/>
              </w:rPr>
            </w:pPr>
            <w:r>
              <w:rPr>
                <w:rFonts w:hint="eastAsia"/>
                <w:kern w:val="2"/>
                <w:lang w:val="en-US" w:eastAsia="zh-CN"/>
              </w:rPr>
              <w:t>达标</w:t>
            </w:r>
          </w:p>
        </w:tc>
      </w:tr>
    </w:tbl>
    <w:p w14:paraId="71C1CD73">
      <w:pPr>
        <w:pStyle w:val="54"/>
        <w:spacing w:line="240" w:lineRule="auto"/>
        <w:ind w:firstLine="420"/>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备注：“ND”表示检测结果小于方法检出限。</w:t>
      </w:r>
    </w:p>
    <w:p w14:paraId="287A313F">
      <w:pPr>
        <w:pStyle w:val="72"/>
        <w:rPr>
          <w:highlight w:val="yellow"/>
        </w:rPr>
      </w:pPr>
      <w:r>
        <w:rPr>
          <w:rFonts w:hint="eastAsia"/>
        </w:rPr>
        <w:t>由以上监测统计结果分析可知，评价区域内3个监测点位的地下水水质因子</w:t>
      </w:r>
      <w:r>
        <w:rPr>
          <w:rFonts w:hint="eastAsia"/>
          <w:lang w:val="en-US" w:eastAsia="zh-CN"/>
        </w:rPr>
        <w:t xml:space="preserve"> </w:t>
      </w:r>
      <w:r>
        <w:rPr>
          <w:rFonts w:hint="eastAsia"/>
        </w:rPr>
        <w:t>pH、氨氮、总硬度、溶解性总固体</w:t>
      </w:r>
      <w:r>
        <w:rPr>
          <w:rFonts w:hint="eastAsia"/>
          <w:lang w:eastAsia="zh-CN"/>
        </w:rPr>
        <w:t>、高锰酸盐指数（以O</w:t>
      </w:r>
      <w:r>
        <w:rPr>
          <w:rFonts w:hint="eastAsia"/>
          <w:vertAlign w:val="subscript"/>
          <w:lang w:eastAsia="zh-CN"/>
        </w:rPr>
        <w:t>2</w:t>
      </w:r>
      <w:r>
        <w:rPr>
          <w:rFonts w:hint="eastAsia"/>
          <w:lang w:eastAsia="zh-CN"/>
        </w:rPr>
        <w:t>计）、硝酸盐（以N计）、</w:t>
      </w:r>
      <w:r>
        <w:rPr>
          <w:rFonts w:hint="eastAsia"/>
        </w:rPr>
        <w:t>亚硝酸盐</w:t>
      </w:r>
      <w:r>
        <w:rPr>
          <w:rFonts w:hint="eastAsia"/>
          <w:lang w:eastAsia="zh-CN"/>
        </w:rPr>
        <w:t>、</w:t>
      </w:r>
      <w:r>
        <w:rPr>
          <w:rFonts w:hint="eastAsia"/>
        </w:rPr>
        <w:t>氯化物</w:t>
      </w:r>
      <w:r>
        <w:rPr>
          <w:rFonts w:hint="eastAsia"/>
          <w:lang w:eastAsia="zh-CN"/>
        </w:rPr>
        <w:t>、</w:t>
      </w:r>
      <w:r>
        <w:rPr>
          <w:rFonts w:hint="eastAsia"/>
          <w:lang w:val="en-US" w:eastAsia="zh-CN"/>
        </w:rPr>
        <w:t>硫酸盐、</w:t>
      </w:r>
      <w:r>
        <w:rPr>
          <w:rFonts w:hint="eastAsia"/>
        </w:rPr>
        <w:t>挥发性酚类</w:t>
      </w:r>
      <w:r>
        <w:rPr>
          <w:rFonts w:hint="eastAsia"/>
          <w:lang w:eastAsia="zh-CN"/>
        </w:rPr>
        <w:t>、氰化物、总大肠菌群、菌落总数、硫化物、砷、汞、铬（六价）、</w:t>
      </w:r>
      <w:r>
        <w:rPr>
          <w:rFonts w:hint="eastAsia"/>
          <w:lang w:val="en-US" w:eastAsia="zh-CN"/>
        </w:rPr>
        <w:t>总铬、</w:t>
      </w:r>
      <w:r>
        <w:rPr>
          <w:rFonts w:hint="eastAsia"/>
          <w:lang w:eastAsia="zh-CN"/>
        </w:rPr>
        <w:t>铅、镉、</w:t>
      </w:r>
      <w:r>
        <w:rPr>
          <w:rFonts w:hint="eastAsia"/>
        </w:rPr>
        <w:t>锰、铁、K</w:t>
      </w:r>
      <w:r>
        <w:rPr>
          <w:rFonts w:hint="eastAsia"/>
          <w:vertAlign w:val="superscript"/>
        </w:rPr>
        <w:t>+</w:t>
      </w:r>
      <w:r>
        <w:rPr>
          <w:rFonts w:hint="eastAsia"/>
        </w:rPr>
        <w:t>、Na</w:t>
      </w:r>
      <w:r>
        <w:rPr>
          <w:rFonts w:hint="eastAsia"/>
          <w:vertAlign w:val="superscript"/>
        </w:rPr>
        <w:t>+</w:t>
      </w:r>
      <w:r>
        <w:rPr>
          <w:rFonts w:hint="eastAsia"/>
        </w:rPr>
        <w:t>、Ca</w:t>
      </w:r>
      <w:r>
        <w:rPr>
          <w:rFonts w:hint="eastAsia"/>
          <w:vertAlign w:val="superscript"/>
        </w:rPr>
        <w:t>2+</w:t>
      </w:r>
      <w:r>
        <w:rPr>
          <w:rFonts w:hint="eastAsia"/>
          <w:vertAlign w:val="baseline"/>
          <w:lang w:eastAsia="zh-CN"/>
        </w:rPr>
        <w:t>、</w:t>
      </w:r>
      <w:r>
        <w:rPr>
          <w:rFonts w:hint="eastAsia"/>
        </w:rPr>
        <w:t>Mg</w:t>
      </w:r>
      <w:r>
        <w:rPr>
          <w:rFonts w:hint="eastAsia"/>
          <w:vertAlign w:val="superscript"/>
        </w:rPr>
        <w:t>2+</w:t>
      </w:r>
      <w:r>
        <w:rPr>
          <w:rFonts w:hint="eastAsia"/>
        </w:rPr>
        <w:t>、碳酸根</w:t>
      </w:r>
      <w:r>
        <w:rPr>
          <w:rFonts w:hint="eastAsia"/>
          <w:lang w:eastAsia="zh-CN"/>
        </w:rPr>
        <w:t>、重碳酸根、氟化物、镍、阴离子表面活性剂</w:t>
      </w:r>
      <w:r>
        <w:rPr>
          <w:rFonts w:hint="eastAsia"/>
        </w:rPr>
        <w:t>均能满足《地下水质量标准》（GB/T14843-201</w:t>
      </w:r>
      <w:r>
        <w:rPr>
          <w:rFonts w:cs="Times New Roman"/>
        </w:rPr>
        <w:t>7）Ⅲ类</w:t>
      </w:r>
      <w:r>
        <w:rPr>
          <w:rFonts w:hint="eastAsia"/>
        </w:rPr>
        <w:t>标准的要求。</w:t>
      </w:r>
    </w:p>
    <w:p w14:paraId="751C5DA4">
      <w:pPr>
        <w:pStyle w:val="72"/>
      </w:pPr>
      <w:r>
        <w:rPr>
          <w:rFonts w:hint="eastAsia"/>
        </w:rPr>
        <w:t>项目周边地下水水位监测数据详见下表。</w:t>
      </w:r>
    </w:p>
    <w:p w14:paraId="5C414C3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表4.2-14    地下水水位现状监测结果一览表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2401"/>
        <w:gridCol w:w="1832"/>
        <w:gridCol w:w="1457"/>
        <w:gridCol w:w="1465"/>
      </w:tblGrid>
      <w:tr w14:paraId="0FBD9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noWrap/>
            <w:vAlign w:val="center"/>
          </w:tcPr>
          <w:p w14:paraId="0A918F10">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408" w:type="pct"/>
            <w:vAlign w:val="center"/>
          </w:tcPr>
          <w:p w14:paraId="0D2A040D">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监测点位</w:t>
            </w:r>
          </w:p>
        </w:tc>
        <w:tc>
          <w:tcPr>
            <w:tcW w:w="1074" w:type="pct"/>
            <w:noWrap/>
            <w:vAlign w:val="center"/>
          </w:tcPr>
          <w:p w14:paraId="1FEA12C8">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水温/℃</w:t>
            </w:r>
          </w:p>
        </w:tc>
        <w:tc>
          <w:tcPr>
            <w:tcW w:w="854" w:type="pct"/>
            <w:noWrap/>
            <w:vAlign w:val="center"/>
          </w:tcPr>
          <w:p w14:paraId="71DF5500">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水位/m</w:t>
            </w:r>
          </w:p>
        </w:tc>
        <w:tc>
          <w:tcPr>
            <w:tcW w:w="859" w:type="pct"/>
            <w:vAlign w:val="center"/>
          </w:tcPr>
          <w:p w14:paraId="1FCCD2BE">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井深/m</w:t>
            </w:r>
          </w:p>
        </w:tc>
      </w:tr>
      <w:tr w14:paraId="6E288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noWrap/>
            <w:vAlign w:val="center"/>
          </w:tcPr>
          <w:p w14:paraId="76B0AD8B">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401" w:type="dxa"/>
            <w:vAlign w:val="center"/>
          </w:tcPr>
          <w:p w14:paraId="72FE9E43">
            <w:pPr>
              <w:pStyle w:val="81"/>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b w:val="0"/>
                <w:bCs/>
                <w:color w:val="auto"/>
                <w:sz w:val="21"/>
                <w:szCs w:val="21"/>
                <w:highlight w:val="none"/>
              </w:rPr>
              <w:t>厂址</w:t>
            </w:r>
            <w:r>
              <w:rPr>
                <w:rFonts w:hint="default" w:ascii="Times New Roman" w:hAnsi="Times New Roman" w:eastAsia="宋体" w:cs="Times New Roman"/>
                <w:b w:val="0"/>
                <w:bCs/>
                <w:color w:val="auto"/>
                <w:sz w:val="21"/>
                <w:szCs w:val="21"/>
                <w:highlight w:val="none"/>
                <w:lang w:val="en-US" w:eastAsia="zh-CN"/>
              </w:rPr>
              <w:t xml:space="preserve"> </w:t>
            </w:r>
          </w:p>
        </w:tc>
        <w:tc>
          <w:tcPr>
            <w:tcW w:w="1832" w:type="dxa"/>
            <w:noWrap/>
            <w:vAlign w:val="center"/>
          </w:tcPr>
          <w:p w14:paraId="2D0A586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10.5</w:t>
            </w:r>
          </w:p>
        </w:tc>
        <w:tc>
          <w:tcPr>
            <w:tcW w:w="1457" w:type="dxa"/>
            <w:noWrap/>
            <w:vAlign w:val="center"/>
          </w:tcPr>
          <w:p w14:paraId="00EEBFE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000000"/>
                <w:sz w:val="21"/>
                <w:szCs w:val="21"/>
                <w:highlight w:val="none"/>
                <w:lang w:val="en-US" w:eastAsia="zh-CN" w:bidi="ar-SA"/>
              </w:rPr>
              <w:t>58.4</w:t>
            </w:r>
          </w:p>
        </w:tc>
        <w:tc>
          <w:tcPr>
            <w:tcW w:w="1465" w:type="dxa"/>
            <w:vAlign w:val="center"/>
          </w:tcPr>
          <w:p w14:paraId="6244381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78.2</w:t>
            </w:r>
          </w:p>
        </w:tc>
      </w:tr>
      <w:tr w14:paraId="36742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vAlign w:val="center"/>
          </w:tcPr>
          <w:p w14:paraId="24FF9408">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401" w:type="dxa"/>
            <w:vAlign w:val="center"/>
          </w:tcPr>
          <w:p w14:paraId="7BDEB578">
            <w:pPr>
              <w:pStyle w:val="75"/>
              <w:keepNext w:val="0"/>
              <w:keepLines w:val="0"/>
              <w:pageBreakBefore w:val="0"/>
              <w:widowControl/>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rPr>
              <w:t>陈孝村（上游）</w:t>
            </w:r>
          </w:p>
        </w:tc>
        <w:tc>
          <w:tcPr>
            <w:tcW w:w="1832" w:type="dxa"/>
            <w:noWrap/>
            <w:vAlign w:val="center"/>
          </w:tcPr>
          <w:p w14:paraId="29E4B023">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10.7</w:t>
            </w:r>
          </w:p>
        </w:tc>
        <w:tc>
          <w:tcPr>
            <w:tcW w:w="1457" w:type="dxa"/>
            <w:vAlign w:val="center"/>
          </w:tcPr>
          <w:p w14:paraId="4545E5C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lang w:val="en-US" w:eastAsia="zh-CN" w:bidi="ar-SA"/>
              </w:rPr>
              <w:t>63.7</w:t>
            </w:r>
          </w:p>
        </w:tc>
        <w:tc>
          <w:tcPr>
            <w:tcW w:w="1465" w:type="dxa"/>
            <w:vAlign w:val="center"/>
          </w:tcPr>
          <w:p w14:paraId="258D3D4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82.1</w:t>
            </w:r>
          </w:p>
        </w:tc>
      </w:tr>
      <w:tr w14:paraId="1B04AF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vAlign w:val="center"/>
          </w:tcPr>
          <w:p w14:paraId="21F2F84B">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401" w:type="dxa"/>
            <w:vAlign w:val="center"/>
          </w:tcPr>
          <w:p w14:paraId="012C116B">
            <w:pPr>
              <w:pStyle w:val="75"/>
              <w:keepNext w:val="0"/>
              <w:keepLines w:val="0"/>
              <w:pageBreakBefore w:val="0"/>
              <w:widowControl/>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前寺庄村（下游）</w:t>
            </w:r>
          </w:p>
        </w:tc>
        <w:tc>
          <w:tcPr>
            <w:tcW w:w="1832" w:type="dxa"/>
            <w:noWrap/>
            <w:vAlign w:val="center"/>
          </w:tcPr>
          <w:p w14:paraId="12A4E3E1">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10.2</w:t>
            </w:r>
          </w:p>
        </w:tc>
        <w:tc>
          <w:tcPr>
            <w:tcW w:w="1457" w:type="dxa"/>
            <w:vAlign w:val="center"/>
          </w:tcPr>
          <w:p w14:paraId="5AC6F672">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lang w:val="en-US" w:eastAsia="zh-CN" w:bidi="ar-SA"/>
              </w:rPr>
              <w:t>60.2</w:t>
            </w:r>
          </w:p>
        </w:tc>
        <w:tc>
          <w:tcPr>
            <w:tcW w:w="1465" w:type="dxa"/>
            <w:vAlign w:val="center"/>
          </w:tcPr>
          <w:p w14:paraId="1DE9523D">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85.2</w:t>
            </w:r>
          </w:p>
        </w:tc>
      </w:tr>
      <w:tr w14:paraId="58729E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noWrap/>
            <w:vAlign w:val="center"/>
          </w:tcPr>
          <w:p w14:paraId="1DD343B5">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401" w:type="dxa"/>
            <w:vAlign w:val="center"/>
          </w:tcPr>
          <w:p w14:paraId="4CD92668">
            <w:pPr>
              <w:pStyle w:val="75"/>
              <w:keepNext w:val="0"/>
              <w:keepLines w:val="0"/>
              <w:pageBreakBefore w:val="0"/>
              <w:widowControl/>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前李村（侧向）</w:t>
            </w:r>
          </w:p>
        </w:tc>
        <w:tc>
          <w:tcPr>
            <w:tcW w:w="1832" w:type="dxa"/>
            <w:noWrap/>
            <w:vAlign w:val="center"/>
          </w:tcPr>
          <w:p w14:paraId="41A351B4">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10.9</w:t>
            </w:r>
          </w:p>
        </w:tc>
        <w:tc>
          <w:tcPr>
            <w:tcW w:w="1457" w:type="dxa"/>
            <w:noWrap/>
            <w:vAlign w:val="center"/>
          </w:tcPr>
          <w:p w14:paraId="31822BC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lang w:val="en-US" w:eastAsia="zh-CN" w:bidi="ar-SA"/>
              </w:rPr>
              <w:t>61.2</w:t>
            </w:r>
          </w:p>
        </w:tc>
        <w:tc>
          <w:tcPr>
            <w:tcW w:w="1465" w:type="dxa"/>
            <w:vAlign w:val="center"/>
          </w:tcPr>
          <w:p w14:paraId="69D62C6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79.5</w:t>
            </w:r>
          </w:p>
        </w:tc>
      </w:tr>
      <w:tr w14:paraId="7598E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noWrap/>
            <w:vAlign w:val="center"/>
          </w:tcPr>
          <w:p w14:paraId="40260D66">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401" w:type="dxa"/>
            <w:vAlign w:val="center"/>
          </w:tcPr>
          <w:p w14:paraId="0EDCD022">
            <w:pPr>
              <w:pStyle w:val="75"/>
              <w:keepNext w:val="0"/>
              <w:keepLines w:val="0"/>
              <w:pageBreakBefore w:val="0"/>
              <w:widowControl/>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孝合村（侧向）</w:t>
            </w:r>
          </w:p>
        </w:tc>
        <w:tc>
          <w:tcPr>
            <w:tcW w:w="1832" w:type="dxa"/>
            <w:noWrap/>
            <w:vAlign w:val="center"/>
          </w:tcPr>
          <w:p w14:paraId="4829662B">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11.0</w:t>
            </w:r>
          </w:p>
        </w:tc>
        <w:tc>
          <w:tcPr>
            <w:tcW w:w="1457" w:type="dxa"/>
            <w:vAlign w:val="center"/>
          </w:tcPr>
          <w:p w14:paraId="774153D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lang w:val="en-US" w:eastAsia="zh-CN" w:bidi="ar-SA"/>
              </w:rPr>
              <w:t>60.1</w:t>
            </w:r>
          </w:p>
        </w:tc>
        <w:tc>
          <w:tcPr>
            <w:tcW w:w="1465" w:type="dxa"/>
            <w:vAlign w:val="center"/>
          </w:tcPr>
          <w:p w14:paraId="203A3F3E">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80.6</w:t>
            </w:r>
          </w:p>
        </w:tc>
      </w:tr>
      <w:tr w14:paraId="5AC4B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5" w:type="pct"/>
            <w:noWrap/>
            <w:vAlign w:val="center"/>
          </w:tcPr>
          <w:p w14:paraId="05418B92">
            <w:pPr>
              <w:pStyle w:val="75"/>
              <w:keepNext w:val="0"/>
              <w:keepLines w:val="0"/>
              <w:pageBreakBefore w:val="0"/>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401" w:type="dxa"/>
            <w:vAlign w:val="center"/>
          </w:tcPr>
          <w:p w14:paraId="3E942366">
            <w:pPr>
              <w:pStyle w:val="75"/>
              <w:keepNext w:val="0"/>
              <w:keepLines w:val="0"/>
              <w:pageBreakBefore w:val="0"/>
              <w:widowControl/>
              <w:kinsoku/>
              <w:wordWrap/>
              <w:overflowPunct/>
              <w:topLinePunct w:val="0"/>
              <w:autoSpaceDE/>
              <w:autoSpaceDN/>
              <w:bidi w:val="0"/>
              <w:spacing w:line="240" w:lineRule="auto"/>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bCs/>
                <w:sz w:val="21"/>
                <w:szCs w:val="21"/>
                <w:highlight w:val="none"/>
              </w:rPr>
              <w:t>后寺庄村（下游）</w:t>
            </w:r>
          </w:p>
        </w:tc>
        <w:tc>
          <w:tcPr>
            <w:tcW w:w="1832" w:type="dxa"/>
            <w:noWrap/>
            <w:vAlign w:val="center"/>
          </w:tcPr>
          <w:p w14:paraId="541EE535">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10.7</w:t>
            </w:r>
          </w:p>
        </w:tc>
        <w:tc>
          <w:tcPr>
            <w:tcW w:w="1457" w:type="dxa"/>
            <w:vAlign w:val="center"/>
          </w:tcPr>
          <w:p w14:paraId="404C0456">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highlight w:val="none"/>
                <w:lang w:val="en-US" w:eastAsia="zh-CN" w:bidi="ar-SA"/>
              </w:rPr>
              <w:t>59.5</w:t>
            </w:r>
          </w:p>
        </w:tc>
        <w:tc>
          <w:tcPr>
            <w:tcW w:w="1465" w:type="dxa"/>
            <w:vAlign w:val="center"/>
          </w:tcPr>
          <w:p w14:paraId="3F4F282A">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highlight w:val="none"/>
                <w:lang w:val="en-US" w:eastAsia="zh-CN"/>
              </w:rPr>
              <w:t>81.1</w:t>
            </w:r>
          </w:p>
        </w:tc>
      </w:tr>
    </w:tbl>
    <w:p w14:paraId="1D99909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520" w:name="_Toc108122540"/>
      <w:r>
        <w:rPr>
          <w:rFonts w:hint="eastAsia" w:ascii="Times New Roman" w:hAnsi="Times New Roman" w:cs="Times New Roman"/>
          <w:lang w:val="en-US" w:eastAsia="zh-CN"/>
        </w:rPr>
        <w:t>4.2.5声环境质量现状监测</w:t>
      </w:r>
      <w:bookmarkEnd w:id="514"/>
      <w:bookmarkEnd w:id="515"/>
      <w:bookmarkEnd w:id="516"/>
      <w:bookmarkEnd w:id="520"/>
    </w:p>
    <w:p w14:paraId="274C4B1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4.2.5.1监测布点</w:t>
      </w:r>
    </w:p>
    <w:p w14:paraId="34E99C94">
      <w:pPr>
        <w:pStyle w:val="72"/>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河南碧之霄检测技术有限公司</w:t>
      </w:r>
      <w:r>
        <w:rPr>
          <w:rFonts w:hint="eastAsia"/>
          <w:b w:val="0"/>
          <w:bCs w:val="0"/>
          <w:color w:val="000000" w:themeColor="text1"/>
          <w:lang w:val="en-US" w:eastAsia="zh-CN"/>
          <w14:textFill>
            <w14:solidFill>
              <w14:schemeClr w14:val="tx1"/>
            </w14:solidFill>
          </w14:textFill>
        </w:rPr>
        <w:t>于2025</w:t>
      </w:r>
      <w:r>
        <w:rPr>
          <w:rFonts w:hint="eastAsia"/>
          <w:b w:val="0"/>
          <w:bCs w:val="0"/>
          <w:color w:val="000000" w:themeColor="text1"/>
          <w14:textFill>
            <w14:solidFill>
              <w14:schemeClr w14:val="tx1"/>
            </w14:solidFill>
          </w14:textFill>
        </w:rPr>
        <w:t>年</w:t>
      </w:r>
      <w:r>
        <w:rPr>
          <w:rFonts w:hint="eastAsia"/>
          <w:b w:val="0"/>
          <w:bCs w:val="0"/>
          <w:color w:val="000000" w:themeColor="text1"/>
          <w:lang w:val="en-US" w:eastAsia="zh-CN"/>
          <w14:textFill>
            <w14:solidFill>
              <w14:schemeClr w14:val="tx1"/>
            </w14:solidFill>
          </w14:textFill>
        </w:rPr>
        <w:t>3</w:t>
      </w:r>
      <w:r>
        <w:rPr>
          <w:rFonts w:hint="eastAsia"/>
          <w:b w:val="0"/>
          <w:bCs w:val="0"/>
          <w:color w:val="000000" w:themeColor="text1"/>
          <w14:textFill>
            <w14:solidFill>
              <w14:schemeClr w14:val="tx1"/>
            </w14:solidFill>
          </w14:textFill>
        </w:rPr>
        <w:t>月</w:t>
      </w:r>
      <w:r>
        <w:rPr>
          <w:rFonts w:hint="eastAsia"/>
          <w:b w:val="0"/>
          <w:bCs w:val="0"/>
          <w:color w:val="000000" w:themeColor="text1"/>
          <w:lang w:val="en-US" w:eastAsia="zh-CN"/>
          <w14:textFill>
            <w14:solidFill>
              <w14:schemeClr w14:val="tx1"/>
            </w14:solidFill>
          </w14:textFill>
        </w:rPr>
        <w:t>28</w:t>
      </w:r>
      <w:r>
        <w:rPr>
          <w:rFonts w:hint="eastAsia"/>
          <w:b w:val="0"/>
          <w:bCs w:val="0"/>
          <w:color w:val="000000" w:themeColor="text1"/>
          <w14:textFill>
            <w14:solidFill>
              <w14:schemeClr w14:val="tx1"/>
            </w14:solidFill>
          </w14:textFill>
        </w:rPr>
        <w:t>日~2</w:t>
      </w:r>
      <w:r>
        <w:rPr>
          <w:rFonts w:hint="eastAsia"/>
          <w:b w:val="0"/>
          <w:bCs w:val="0"/>
          <w:color w:val="000000" w:themeColor="text1"/>
          <w:lang w:val="en-US" w:eastAsia="zh-CN"/>
          <w14:textFill>
            <w14:solidFill>
              <w14:schemeClr w14:val="tx1"/>
            </w14:solidFill>
          </w14:textFill>
        </w:rPr>
        <w:t>9</w:t>
      </w:r>
      <w:r>
        <w:rPr>
          <w:rFonts w:hint="eastAsia"/>
          <w:b w:val="0"/>
          <w:bCs w:val="0"/>
          <w:color w:val="000000" w:themeColor="text1"/>
          <w14:textFill>
            <w14:solidFill>
              <w14:schemeClr w14:val="tx1"/>
            </w14:solidFill>
          </w14:textFill>
        </w:rPr>
        <w:t>日对企业厂界噪声进行了监测。在评价区内共布置了4个声环境质量现状监测点。</w:t>
      </w:r>
    </w:p>
    <w:p w14:paraId="0128B0D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4.2.5.2监测方法和频率</w:t>
      </w:r>
    </w:p>
    <w:p w14:paraId="1114B7C5">
      <w:pPr>
        <w:pStyle w:val="72"/>
      </w:pPr>
      <w:r>
        <w:rPr>
          <w:rFonts w:hint="eastAsia"/>
        </w:rPr>
        <w:t>监测点位及监测时间见下表。</w:t>
      </w:r>
    </w:p>
    <w:p w14:paraId="62DAB29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表4.2-15    声环境现状监测点位及监测时间表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2428"/>
        <w:gridCol w:w="1986"/>
        <w:gridCol w:w="1894"/>
        <w:gridCol w:w="2042"/>
      </w:tblGrid>
      <w:tr w14:paraId="6093DE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54" w:type="pct"/>
            <w:tcMar>
              <w:top w:w="57" w:type="dxa"/>
              <w:left w:w="0" w:type="dxa"/>
              <w:bottom w:w="57" w:type="dxa"/>
              <w:right w:w="0" w:type="dxa"/>
            </w:tcMar>
            <w:vAlign w:val="center"/>
          </w:tcPr>
          <w:p w14:paraId="7B0349A0">
            <w:pPr>
              <w:pStyle w:val="81"/>
              <w:rPr>
                <w:color w:val="auto"/>
              </w:rPr>
            </w:pPr>
            <w:r>
              <w:rPr>
                <w:rFonts w:hint="eastAsia"/>
                <w:color w:val="auto"/>
              </w:rPr>
              <w:t>监测点位置</w:t>
            </w:r>
          </w:p>
        </w:tc>
        <w:tc>
          <w:tcPr>
            <w:tcW w:w="1189" w:type="pct"/>
            <w:vAlign w:val="center"/>
          </w:tcPr>
          <w:p w14:paraId="482C68C6">
            <w:pPr>
              <w:pStyle w:val="81"/>
              <w:rPr>
                <w:color w:val="auto"/>
              </w:rPr>
            </w:pPr>
            <w:r>
              <w:rPr>
                <w:rFonts w:hint="eastAsia"/>
                <w:color w:val="auto"/>
              </w:rPr>
              <w:t>监测因子</w:t>
            </w:r>
          </w:p>
        </w:tc>
        <w:tc>
          <w:tcPr>
            <w:tcW w:w="1134" w:type="pct"/>
            <w:vAlign w:val="center"/>
          </w:tcPr>
          <w:p w14:paraId="6ABC5243">
            <w:pPr>
              <w:pStyle w:val="81"/>
              <w:rPr>
                <w:color w:val="auto"/>
              </w:rPr>
            </w:pPr>
            <w:r>
              <w:rPr>
                <w:rFonts w:hint="eastAsia"/>
                <w:color w:val="auto"/>
              </w:rPr>
              <w:t>监测频率</w:t>
            </w:r>
          </w:p>
        </w:tc>
        <w:tc>
          <w:tcPr>
            <w:tcW w:w="1223" w:type="pct"/>
            <w:vAlign w:val="center"/>
          </w:tcPr>
          <w:p w14:paraId="55ACC87A">
            <w:pPr>
              <w:pStyle w:val="81"/>
              <w:rPr>
                <w:color w:val="auto"/>
              </w:rPr>
            </w:pPr>
            <w:r>
              <w:rPr>
                <w:rFonts w:hint="eastAsia"/>
                <w:color w:val="auto"/>
              </w:rPr>
              <w:t>监测方法</w:t>
            </w:r>
          </w:p>
        </w:tc>
      </w:tr>
      <w:tr w14:paraId="3E8EE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28" w:type="dxa"/>
            <w:tcMar>
              <w:top w:w="57" w:type="dxa"/>
              <w:left w:w="0" w:type="dxa"/>
              <w:bottom w:w="57" w:type="dxa"/>
              <w:right w:w="0" w:type="dxa"/>
            </w:tcMar>
            <w:vAlign w:val="center"/>
          </w:tcPr>
          <w:p w14:paraId="23DE749E">
            <w:pPr>
              <w:pStyle w:val="75"/>
              <w:ind w:firstLine="0" w:firstLineChars="0"/>
              <w:jc w:val="center"/>
              <w:rPr>
                <w:bCs/>
              </w:rPr>
            </w:pPr>
            <w:r>
              <w:rPr>
                <w:rFonts w:hint="eastAsia"/>
                <w:lang w:val="en-US" w:eastAsia="zh-CN"/>
              </w:rPr>
              <w:t>项目南厂界</w:t>
            </w:r>
          </w:p>
        </w:tc>
        <w:tc>
          <w:tcPr>
            <w:tcW w:w="1189" w:type="pct"/>
            <w:vMerge w:val="restart"/>
            <w:vAlign w:val="center"/>
          </w:tcPr>
          <w:p w14:paraId="282C89AC">
            <w:pPr>
              <w:pStyle w:val="75"/>
            </w:pPr>
            <w:r>
              <w:rPr>
                <w:rFonts w:hint="eastAsia"/>
              </w:rPr>
              <w:t>等效连续A声级</w:t>
            </w:r>
          </w:p>
        </w:tc>
        <w:tc>
          <w:tcPr>
            <w:tcW w:w="1134" w:type="pct"/>
            <w:vMerge w:val="restart"/>
            <w:vAlign w:val="center"/>
          </w:tcPr>
          <w:p w14:paraId="4FAA4EC5">
            <w:pPr>
              <w:pStyle w:val="75"/>
            </w:pPr>
            <w:r>
              <w:rPr>
                <w:rFonts w:hint="eastAsia"/>
              </w:rPr>
              <w:t>连续监测</w:t>
            </w:r>
            <w:r>
              <w:t>2</w:t>
            </w:r>
            <w:r>
              <w:rPr>
                <w:rFonts w:hint="eastAsia"/>
              </w:rPr>
              <w:t>天，每天昼夜各监测一次</w:t>
            </w:r>
          </w:p>
        </w:tc>
        <w:tc>
          <w:tcPr>
            <w:tcW w:w="1223" w:type="pct"/>
            <w:vMerge w:val="restart"/>
            <w:vAlign w:val="center"/>
          </w:tcPr>
          <w:p w14:paraId="539CB9C0">
            <w:pPr>
              <w:pStyle w:val="75"/>
              <w:jc w:val="left"/>
            </w:pPr>
            <w:r>
              <w:rPr>
                <w:rFonts w:hint="eastAsia"/>
              </w:rPr>
              <w:t>《声环境质量标准》GB3096-2008附录B《声环境功能区监测方法》</w:t>
            </w:r>
          </w:p>
        </w:tc>
      </w:tr>
      <w:tr w14:paraId="6CD53C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28" w:type="dxa"/>
            <w:tcMar>
              <w:top w:w="57" w:type="dxa"/>
              <w:left w:w="0" w:type="dxa"/>
              <w:bottom w:w="57" w:type="dxa"/>
              <w:right w:w="0" w:type="dxa"/>
            </w:tcMar>
            <w:vAlign w:val="center"/>
          </w:tcPr>
          <w:p w14:paraId="2D88DE72">
            <w:pPr>
              <w:pStyle w:val="75"/>
              <w:ind w:firstLine="0" w:firstLineChars="0"/>
              <w:jc w:val="center"/>
            </w:pPr>
            <w:r>
              <w:rPr>
                <w:rFonts w:hint="eastAsia" w:ascii="Times New Roman" w:hAnsi="Times New Roman" w:eastAsia="宋体" w:cs="Times New Roman"/>
                <w:lang w:val="en-US" w:eastAsia="zh-CN"/>
              </w:rPr>
              <w:t>项目东厂界</w:t>
            </w:r>
          </w:p>
        </w:tc>
        <w:tc>
          <w:tcPr>
            <w:tcW w:w="1189" w:type="pct"/>
            <w:vMerge w:val="continue"/>
            <w:vAlign w:val="center"/>
          </w:tcPr>
          <w:p w14:paraId="76CA94E0">
            <w:pPr>
              <w:pStyle w:val="75"/>
            </w:pPr>
          </w:p>
        </w:tc>
        <w:tc>
          <w:tcPr>
            <w:tcW w:w="1134" w:type="pct"/>
            <w:vMerge w:val="continue"/>
            <w:vAlign w:val="center"/>
          </w:tcPr>
          <w:p w14:paraId="54BE50EE">
            <w:pPr>
              <w:pStyle w:val="75"/>
            </w:pPr>
          </w:p>
        </w:tc>
        <w:tc>
          <w:tcPr>
            <w:tcW w:w="1223" w:type="pct"/>
            <w:vMerge w:val="continue"/>
            <w:vAlign w:val="center"/>
          </w:tcPr>
          <w:p w14:paraId="2433A888">
            <w:pPr>
              <w:pStyle w:val="75"/>
            </w:pPr>
          </w:p>
        </w:tc>
      </w:tr>
      <w:tr w14:paraId="114362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28" w:type="dxa"/>
            <w:tcMar>
              <w:top w:w="57" w:type="dxa"/>
              <w:left w:w="0" w:type="dxa"/>
              <w:bottom w:w="57" w:type="dxa"/>
              <w:right w:w="0" w:type="dxa"/>
            </w:tcMar>
            <w:vAlign w:val="center"/>
          </w:tcPr>
          <w:p w14:paraId="4E7F6CB6">
            <w:pPr>
              <w:pStyle w:val="75"/>
              <w:ind w:firstLine="0" w:firstLineChars="0"/>
              <w:jc w:val="center"/>
            </w:pPr>
            <w:r>
              <w:rPr>
                <w:rFonts w:hint="eastAsia" w:ascii="Times New Roman" w:hAnsi="Times New Roman" w:eastAsia="宋体" w:cs="Times New Roman"/>
                <w:lang w:val="en-US" w:eastAsia="zh-CN"/>
              </w:rPr>
              <w:t>项目北厂界</w:t>
            </w:r>
          </w:p>
        </w:tc>
        <w:tc>
          <w:tcPr>
            <w:tcW w:w="1189" w:type="pct"/>
            <w:vMerge w:val="continue"/>
            <w:vAlign w:val="center"/>
          </w:tcPr>
          <w:p w14:paraId="097A572A">
            <w:pPr>
              <w:pStyle w:val="75"/>
            </w:pPr>
          </w:p>
        </w:tc>
        <w:tc>
          <w:tcPr>
            <w:tcW w:w="1134" w:type="pct"/>
            <w:vMerge w:val="continue"/>
            <w:vAlign w:val="center"/>
          </w:tcPr>
          <w:p w14:paraId="356E9FF4">
            <w:pPr>
              <w:pStyle w:val="75"/>
            </w:pPr>
          </w:p>
        </w:tc>
        <w:tc>
          <w:tcPr>
            <w:tcW w:w="1223" w:type="pct"/>
            <w:vMerge w:val="continue"/>
            <w:vAlign w:val="center"/>
          </w:tcPr>
          <w:p w14:paraId="6FFB283B">
            <w:pPr>
              <w:pStyle w:val="75"/>
            </w:pPr>
          </w:p>
        </w:tc>
      </w:tr>
      <w:tr w14:paraId="2B40C8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28" w:type="dxa"/>
            <w:tcMar>
              <w:top w:w="57" w:type="dxa"/>
              <w:left w:w="0" w:type="dxa"/>
              <w:bottom w:w="57" w:type="dxa"/>
              <w:right w:w="0" w:type="dxa"/>
            </w:tcMar>
            <w:vAlign w:val="center"/>
          </w:tcPr>
          <w:p w14:paraId="0A58C131">
            <w:pPr>
              <w:pStyle w:val="75"/>
              <w:ind w:firstLine="0" w:firstLineChars="0"/>
              <w:jc w:val="center"/>
            </w:pPr>
            <w:r>
              <w:rPr>
                <w:rFonts w:hint="eastAsia" w:ascii="Times New Roman" w:hAnsi="Times New Roman" w:eastAsia="宋体" w:cs="Times New Roman"/>
                <w:lang w:val="en-US" w:eastAsia="zh-CN"/>
              </w:rPr>
              <w:t>项目西厂界</w:t>
            </w:r>
          </w:p>
        </w:tc>
        <w:tc>
          <w:tcPr>
            <w:tcW w:w="1189" w:type="pct"/>
            <w:vMerge w:val="continue"/>
            <w:vAlign w:val="center"/>
          </w:tcPr>
          <w:p w14:paraId="09F83265">
            <w:pPr>
              <w:pStyle w:val="75"/>
            </w:pPr>
          </w:p>
        </w:tc>
        <w:tc>
          <w:tcPr>
            <w:tcW w:w="1134" w:type="pct"/>
            <w:vMerge w:val="continue"/>
            <w:vAlign w:val="center"/>
          </w:tcPr>
          <w:p w14:paraId="11B20C02">
            <w:pPr>
              <w:pStyle w:val="75"/>
            </w:pPr>
          </w:p>
        </w:tc>
        <w:tc>
          <w:tcPr>
            <w:tcW w:w="1223" w:type="pct"/>
            <w:vMerge w:val="continue"/>
            <w:vAlign w:val="center"/>
          </w:tcPr>
          <w:p w14:paraId="76836EDB">
            <w:pPr>
              <w:pStyle w:val="75"/>
            </w:pPr>
          </w:p>
        </w:tc>
      </w:tr>
    </w:tbl>
    <w:p w14:paraId="2A520EEA">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4.2.5.3评价标准</w:t>
      </w:r>
    </w:p>
    <w:p w14:paraId="2912EBCB">
      <w:pPr>
        <w:pStyle w:val="72"/>
      </w:pPr>
      <w:r>
        <w:rPr>
          <w:rFonts w:hint="eastAsia"/>
        </w:rPr>
        <w:t>本次声环境质量现状评价标准执行《声环境质量标准》（</w:t>
      </w:r>
      <w:r>
        <w:t>GB3096-2008</w:t>
      </w:r>
      <w:r>
        <w:rPr>
          <w:rFonts w:hint="eastAsia"/>
        </w:rPr>
        <w:t>）3类标准，即昼间</w:t>
      </w:r>
      <w:r>
        <w:t>6</w:t>
      </w:r>
      <w:r>
        <w:rPr>
          <w:rFonts w:hint="eastAsia"/>
        </w:rPr>
        <w:t>5</w:t>
      </w:r>
      <w:r>
        <w:t>dB(A)</w:t>
      </w:r>
      <w:r>
        <w:rPr>
          <w:rFonts w:hint="eastAsia"/>
        </w:rPr>
        <w:t>、夜间</w:t>
      </w:r>
      <w:r>
        <w:t>5</w:t>
      </w:r>
      <w:r>
        <w:rPr>
          <w:rFonts w:hint="eastAsia"/>
        </w:rPr>
        <w:t>5</w:t>
      </w:r>
      <w:r>
        <w:t>dB(A)</w:t>
      </w:r>
      <w:r>
        <w:rPr>
          <w:rFonts w:hint="eastAsia"/>
        </w:rPr>
        <w:t>。</w:t>
      </w:r>
    </w:p>
    <w:p w14:paraId="55EC9AD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4.2.5.4评价方法</w:t>
      </w:r>
    </w:p>
    <w:p w14:paraId="70FD30F9">
      <w:pPr>
        <w:pStyle w:val="72"/>
      </w:pPr>
      <w:r>
        <w:rPr>
          <w:rFonts w:hint="eastAsia"/>
        </w:rPr>
        <w:t>根据噪声现状监测统计结果的等效声级，采用与评价标准直接比较的方法，对评价范围内的声环境现状进行评价。</w:t>
      </w:r>
    </w:p>
    <w:p w14:paraId="6742E83E">
      <w:pPr>
        <w:pStyle w:val="72"/>
      </w:pPr>
      <w:r>
        <w:rPr>
          <w:rFonts w:hint="eastAsia"/>
        </w:rPr>
        <w:t>各监测点现状监测统计结果见下表。</w:t>
      </w:r>
    </w:p>
    <w:p w14:paraId="7438485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p>
    <w:p w14:paraId="0CD4891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表4.2-16    噪声监测结果    单位：dB（A）</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74"/>
        <w:gridCol w:w="1881"/>
        <w:gridCol w:w="2388"/>
        <w:gridCol w:w="2985"/>
      </w:tblGrid>
      <w:tr w14:paraId="617F36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restart"/>
            <w:vAlign w:val="center"/>
          </w:tcPr>
          <w:p w14:paraId="7CEFD6A6">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采样时间</w:t>
            </w:r>
          </w:p>
        </w:tc>
        <w:tc>
          <w:tcPr>
            <w:tcW w:w="1103" w:type="pct"/>
            <w:vMerge w:val="restart"/>
            <w:vAlign w:val="center"/>
          </w:tcPr>
          <w:p w14:paraId="180AAB79">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采样点位</w:t>
            </w:r>
          </w:p>
        </w:tc>
        <w:tc>
          <w:tcPr>
            <w:tcW w:w="3150" w:type="pct"/>
            <w:gridSpan w:val="2"/>
            <w:vAlign w:val="center"/>
          </w:tcPr>
          <w:p w14:paraId="6C610810">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监测结果Leq [dB（A）]</w:t>
            </w:r>
          </w:p>
        </w:tc>
      </w:tr>
      <w:tr w14:paraId="70CCBF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684BCA61">
            <w:pPr>
              <w:pStyle w:val="81"/>
              <w:rPr>
                <w:rFonts w:hint="default" w:ascii="Times New Roman" w:hAnsi="Times New Roman" w:eastAsia="宋体" w:cs="Times New Roman"/>
                <w:color w:val="auto"/>
                <w:sz w:val="21"/>
                <w:szCs w:val="21"/>
              </w:rPr>
            </w:pPr>
          </w:p>
        </w:tc>
        <w:tc>
          <w:tcPr>
            <w:tcW w:w="1103" w:type="pct"/>
            <w:vMerge w:val="continue"/>
            <w:vAlign w:val="center"/>
          </w:tcPr>
          <w:p w14:paraId="3E9FCEE5">
            <w:pPr>
              <w:pStyle w:val="81"/>
              <w:rPr>
                <w:rFonts w:hint="default" w:ascii="Times New Roman" w:hAnsi="Times New Roman" w:eastAsia="宋体" w:cs="Times New Roman"/>
                <w:color w:val="auto"/>
                <w:sz w:val="21"/>
                <w:szCs w:val="21"/>
              </w:rPr>
            </w:pPr>
          </w:p>
        </w:tc>
        <w:tc>
          <w:tcPr>
            <w:tcW w:w="1400" w:type="pct"/>
            <w:vAlign w:val="center"/>
          </w:tcPr>
          <w:p w14:paraId="13D0F100">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750" w:type="pct"/>
            <w:vAlign w:val="center"/>
          </w:tcPr>
          <w:p w14:paraId="51BA3D41">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r>
      <w:tr w14:paraId="7B2B37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restart"/>
            <w:vAlign w:val="center"/>
          </w:tcPr>
          <w:p w14:paraId="79DD755C">
            <w:pPr>
              <w:pStyle w:val="75"/>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2025.3.28</w:t>
            </w:r>
          </w:p>
        </w:tc>
        <w:tc>
          <w:tcPr>
            <w:tcW w:w="1103" w:type="pct"/>
            <w:vAlign w:val="center"/>
          </w:tcPr>
          <w:p w14:paraId="3FEC556A">
            <w:pPr>
              <w:pStyle w:val="75"/>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项目南厂界</w:t>
            </w:r>
          </w:p>
        </w:tc>
        <w:tc>
          <w:tcPr>
            <w:tcW w:w="2388" w:type="dxa"/>
            <w:vAlign w:val="center"/>
          </w:tcPr>
          <w:p w14:paraId="68959B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4E71B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r w14:paraId="41B14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4D2DC139">
            <w:pPr>
              <w:pStyle w:val="75"/>
              <w:rPr>
                <w:rFonts w:hint="default" w:ascii="Times New Roman" w:hAnsi="Times New Roman" w:eastAsia="宋体" w:cs="Times New Roman"/>
                <w:sz w:val="21"/>
                <w:szCs w:val="21"/>
              </w:rPr>
            </w:pPr>
          </w:p>
        </w:tc>
        <w:tc>
          <w:tcPr>
            <w:tcW w:w="1103" w:type="pct"/>
            <w:vAlign w:val="center"/>
          </w:tcPr>
          <w:p w14:paraId="6F5A8A03">
            <w:pPr>
              <w:pStyle w:val="75"/>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项目东厂界</w:t>
            </w:r>
          </w:p>
        </w:tc>
        <w:tc>
          <w:tcPr>
            <w:tcW w:w="2388" w:type="dxa"/>
            <w:vAlign w:val="center"/>
          </w:tcPr>
          <w:p w14:paraId="7F6D91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2983D5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r w14:paraId="0784D5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66E97559">
            <w:pPr>
              <w:pStyle w:val="75"/>
              <w:rPr>
                <w:rFonts w:hint="default" w:ascii="Times New Roman" w:hAnsi="Times New Roman" w:eastAsia="宋体" w:cs="Times New Roman"/>
                <w:sz w:val="21"/>
                <w:szCs w:val="21"/>
              </w:rPr>
            </w:pPr>
          </w:p>
        </w:tc>
        <w:tc>
          <w:tcPr>
            <w:tcW w:w="1103" w:type="pct"/>
            <w:vAlign w:val="center"/>
          </w:tcPr>
          <w:p w14:paraId="2547D630">
            <w:pPr>
              <w:pStyle w:val="75"/>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项目北厂界</w:t>
            </w:r>
          </w:p>
        </w:tc>
        <w:tc>
          <w:tcPr>
            <w:tcW w:w="2388" w:type="dxa"/>
            <w:vAlign w:val="center"/>
          </w:tcPr>
          <w:p w14:paraId="4FF0B6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60A07A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40</w:t>
            </w:r>
          </w:p>
        </w:tc>
      </w:tr>
      <w:tr w14:paraId="518DA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440910A9">
            <w:pPr>
              <w:pStyle w:val="75"/>
              <w:rPr>
                <w:rFonts w:hint="default" w:ascii="Times New Roman" w:hAnsi="Times New Roman" w:eastAsia="宋体" w:cs="Times New Roman"/>
                <w:sz w:val="21"/>
                <w:szCs w:val="21"/>
              </w:rPr>
            </w:pPr>
          </w:p>
        </w:tc>
        <w:tc>
          <w:tcPr>
            <w:tcW w:w="1103" w:type="pct"/>
            <w:vAlign w:val="center"/>
          </w:tcPr>
          <w:p w14:paraId="2AD10507">
            <w:pPr>
              <w:pStyle w:val="75"/>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项目西厂界</w:t>
            </w:r>
          </w:p>
        </w:tc>
        <w:tc>
          <w:tcPr>
            <w:tcW w:w="2388" w:type="dxa"/>
            <w:vAlign w:val="center"/>
          </w:tcPr>
          <w:p w14:paraId="2FBAAB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273FB1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40</w:t>
            </w:r>
          </w:p>
        </w:tc>
      </w:tr>
      <w:tr w14:paraId="64BE02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restart"/>
            <w:vAlign w:val="center"/>
          </w:tcPr>
          <w:p w14:paraId="41ADAF0F">
            <w:pPr>
              <w:pStyle w:val="75"/>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2025.3.29</w:t>
            </w:r>
          </w:p>
        </w:tc>
        <w:tc>
          <w:tcPr>
            <w:tcW w:w="1881" w:type="dxa"/>
            <w:vAlign w:val="center"/>
          </w:tcPr>
          <w:p w14:paraId="3F21A3D2">
            <w:pPr>
              <w:pStyle w:val="75"/>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项目南厂界</w:t>
            </w:r>
          </w:p>
        </w:tc>
        <w:tc>
          <w:tcPr>
            <w:tcW w:w="2388" w:type="dxa"/>
            <w:vAlign w:val="center"/>
          </w:tcPr>
          <w:p w14:paraId="08969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1398B7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r w14:paraId="091FDB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544DEF3C">
            <w:pPr>
              <w:pStyle w:val="75"/>
              <w:rPr>
                <w:rFonts w:hint="default" w:ascii="Times New Roman" w:hAnsi="Times New Roman" w:eastAsia="宋体" w:cs="Times New Roman"/>
                <w:sz w:val="21"/>
                <w:szCs w:val="21"/>
              </w:rPr>
            </w:pPr>
          </w:p>
        </w:tc>
        <w:tc>
          <w:tcPr>
            <w:tcW w:w="1881" w:type="dxa"/>
            <w:vAlign w:val="center"/>
          </w:tcPr>
          <w:p w14:paraId="4CDFA5D7">
            <w:pPr>
              <w:pStyle w:val="75"/>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项目东厂界</w:t>
            </w:r>
          </w:p>
        </w:tc>
        <w:tc>
          <w:tcPr>
            <w:tcW w:w="2388" w:type="dxa"/>
            <w:vAlign w:val="center"/>
          </w:tcPr>
          <w:p w14:paraId="3AEA09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53</w:t>
            </w:r>
          </w:p>
        </w:tc>
        <w:tc>
          <w:tcPr>
            <w:tcW w:w="2985" w:type="dxa"/>
            <w:vAlign w:val="center"/>
          </w:tcPr>
          <w:p w14:paraId="3F6E6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r w14:paraId="31FD0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772029DF">
            <w:pPr>
              <w:pStyle w:val="75"/>
              <w:rPr>
                <w:rFonts w:hint="default" w:ascii="Times New Roman" w:hAnsi="Times New Roman" w:eastAsia="宋体" w:cs="Times New Roman"/>
                <w:sz w:val="21"/>
                <w:szCs w:val="21"/>
              </w:rPr>
            </w:pPr>
          </w:p>
        </w:tc>
        <w:tc>
          <w:tcPr>
            <w:tcW w:w="1881" w:type="dxa"/>
            <w:vAlign w:val="center"/>
          </w:tcPr>
          <w:p w14:paraId="27F34FD7">
            <w:pPr>
              <w:pStyle w:val="75"/>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项目北厂界</w:t>
            </w:r>
          </w:p>
        </w:tc>
        <w:tc>
          <w:tcPr>
            <w:tcW w:w="2388" w:type="dxa"/>
            <w:vAlign w:val="center"/>
          </w:tcPr>
          <w:p w14:paraId="3C4AC0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1AC5D1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r w14:paraId="264F1F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pct"/>
            <w:vMerge w:val="continue"/>
            <w:vAlign w:val="center"/>
          </w:tcPr>
          <w:p w14:paraId="6864AC6A">
            <w:pPr>
              <w:pStyle w:val="75"/>
              <w:rPr>
                <w:rFonts w:hint="default" w:ascii="Times New Roman" w:hAnsi="Times New Roman" w:eastAsia="宋体" w:cs="Times New Roman"/>
                <w:sz w:val="21"/>
                <w:szCs w:val="21"/>
              </w:rPr>
            </w:pPr>
          </w:p>
        </w:tc>
        <w:tc>
          <w:tcPr>
            <w:tcW w:w="1881" w:type="dxa"/>
            <w:vAlign w:val="center"/>
          </w:tcPr>
          <w:p w14:paraId="79374515">
            <w:pPr>
              <w:pStyle w:val="75"/>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项目西厂界</w:t>
            </w:r>
          </w:p>
        </w:tc>
        <w:tc>
          <w:tcPr>
            <w:tcW w:w="2388" w:type="dxa"/>
            <w:vAlign w:val="center"/>
          </w:tcPr>
          <w:p w14:paraId="58622A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52</w:t>
            </w:r>
          </w:p>
        </w:tc>
        <w:tc>
          <w:tcPr>
            <w:tcW w:w="2985" w:type="dxa"/>
            <w:vAlign w:val="center"/>
          </w:tcPr>
          <w:p w14:paraId="48F2D1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41</w:t>
            </w:r>
          </w:p>
        </w:tc>
      </w:tr>
    </w:tbl>
    <w:p w14:paraId="5418284F">
      <w:pPr>
        <w:pStyle w:val="72"/>
      </w:pPr>
      <w:r>
        <w:rPr>
          <w:rFonts w:hint="eastAsia"/>
        </w:rPr>
        <w:t>由监测结果可知：目前评价区域噪声现状可以满足</w:t>
      </w:r>
      <w:r>
        <w:t>《声环境质量标准》（GB3096-2008</w:t>
      </w:r>
      <w:r>
        <w:rPr>
          <w:rFonts w:hint="eastAsia"/>
        </w:rPr>
        <w:t>）3类标准的要求。</w:t>
      </w:r>
    </w:p>
    <w:p w14:paraId="3DCF33B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bookmarkStart w:id="521" w:name="_Toc535836888"/>
      <w:bookmarkStart w:id="522" w:name="_Toc108122541"/>
      <w:bookmarkStart w:id="523" w:name="_Toc428287207"/>
      <w:bookmarkStart w:id="524" w:name="_Toc428286813"/>
      <w:bookmarkStart w:id="525" w:name="_Toc429318397"/>
      <w:r>
        <w:rPr>
          <w:rFonts w:hint="eastAsia" w:ascii="Times New Roman" w:hAnsi="Times New Roman" w:cs="Times New Roman"/>
          <w:lang w:val="en-US" w:eastAsia="zh-CN"/>
        </w:rPr>
        <w:t>4.2.6土壤环境质量现状监测与评价</w:t>
      </w:r>
      <w:bookmarkEnd w:id="521"/>
      <w:bookmarkEnd w:id="522"/>
    </w:p>
    <w:p w14:paraId="5100E015">
      <w:pPr>
        <w:pStyle w:val="72"/>
      </w:pPr>
      <w:r>
        <w:rPr>
          <w:rFonts w:hint="eastAsia"/>
        </w:rPr>
        <w:t>本项目所在区域内土壤的理化特性见下表。</w:t>
      </w:r>
    </w:p>
    <w:p w14:paraId="29A15A3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bookmarkStart w:id="526" w:name="_Hlk107836862"/>
      <w:r>
        <w:rPr>
          <w:rFonts w:hint="eastAsia"/>
          <w:lang w:val="en-US" w:eastAsia="zh-CN"/>
        </w:rPr>
        <w:t>表4.2-17    土壤理化特性调查表</w:t>
      </w:r>
    </w:p>
    <w:tbl>
      <w:tblPr>
        <w:tblStyle w:val="39"/>
        <w:tblW w:w="843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2176"/>
        <w:gridCol w:w="1486"/>
        <w:gridCol w:w="1821"/>
        <w:gridCol w:w="1822"/>
      </w:tblGrid>
      <w:tr w14:paraId="4CFFF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3310" w:type="dxa"/>
            <w:gridSpan w:val="2"/>
            <w:noWrap w:val="0"/>
            <w:vAlign w:val="center"/>
          </w:tcPr>
          <w:p w14:paraId="6B606A03">
            <w:pPr>
              <w:widowControl/>
              <w:autoSpaceDE w:val="0"/>
              <w:autoSpaceDN w:val="0"/>
              <w:spacing w:line="240" w:lineRule="auto"/>
              <w:ind w:firstLine="0" w:firstLineChars="0"/>
              <w:jc w:val="center"/>
              <w:rPr>
                <w:b/>
                <w:bCs/>
                <w:sz w:val="21"/>
                <w:szCs w:val="21"/>
              </w:rPr>
            </w:pPr>
            <w:r>
              <w:rPr>
                <w:b/>
                <w:bCs/>
                <w:sz w:val="21"/>
                <w:szCs w:val="21"/>
              </w:rPr>
              <w:t>点位</w:t>
            </w:r>
          </w:p>
        </w:tc>
        <w:tc>
          <w:tcPr>
            <w:tcW w:w="5129" w:type="dxa"/>
            <w:gridSpan w:val="3"/>
            <w:noWrap w:val="0"/>
            <w:vAlign w:val="center"/>
          </w:tcPr>
          <w:p w14:paraId="606545A1">
            <w:pPr>
              <w:widowControl/>
              <w:autoSpaceDE w:val="0"/>
              <w:autoSpaceDN w:val="0"/>
              <w:spacing w:line="240" w:lineRule="auto"/>
              <w:ind w:firstLine="0" w:firstLineChars="0"/>
              <w:jc w:val="center"/>
              <w:rPr>
                <w:rFonts w:hint="default" w:eastAsia="宋体"/>
                <w:b/>
                <w:bCs/>
                <w:sz w:val="21"/>
                <w:szCs w:val="21"/>
                <w:lang w:val="en-US" w:eastAsia="zh-CN"/>
              </w:rPr>
            </w:pPr>
            <w:r>
              <w:rPr>
                <w:rFonts w:hint="eastAsia"/>
                <w:b/>
                <w:bCs/>
                <w:sz w:val="21"/>
                <w:szCs w:val="21"/>
                <w:lang w:val="en-US" w:eastAsia="zh-CN"/>
              </w:rPr>
              <w:t>拟建车间中部</w:t>
            </w:r>
          </w:p>
        </w:tc>
      </w:tr>
      <w:tr w14:paraId="7B8284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310" w:type="dxa"/>
            <w:gridSpan w:val="2"/>
            <w:noWrap w:val="0"/>
            <w:vAlign w:val="center"/>
          </w:tcPr>
          <w:p w14:paraId="4B7EDAFD">
            <w:pPr>
              <w:widowControl/>
              <w:autoSpaceDE w:val="0"/>
              <w:autoSpaceDN w:val="0"/>
              <w:spacing w:line="240" w:lineRule="auto"/>
              <w:ind w:firstLine="0" w:firstLineChars="0"/>
              <w:jc w:val="center"/>
              <w:rPr>
                <w:sz w:val="21"/>
                <w:szCs w:val="21"/>
              </w:rPr>
            </w:pPr>
            <w:r>
              <w:rPr>
                <w:sz w:val="21"/>
                <w:szCs w:val="21"/>
              </w:rPr>
              <w:t>时间</w:t>
            </w:r>
          </w:p>
        </w:tc>
        <w:tc>
          <w:tcPr>
            <w:tcW w:w="5129" w:type="dxa"/>
            <w:gridSpan w:val="3"/>
            <w:noWrap w:val="0"/>
            <w:vAlign w:val="center"/>
          </w:tcPr>
          <w:p w14:paraId="60934933">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2025.3.28</w:t>
            </w:r>
          </w:p>
        </w:tc>
      </w:tr>
      <w:tr w14:paraId="51A528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310" w:type="dxa"/>
            <w:gridSpan w:val="2"/>
            <w:noWrap w:val="0"/>
            <w:vAlign w:val="center"/>
          </w:tcPr>
          <w:p w14:paraId="28A1F260">
            <w:pPr>
              <w:widowControl/>
              <w:autoSpaceDE w:val="0"/>
              <w:autoSpaceDN w:val="0"/>
              <w:spacing w:line="240" w:lineRule="auto"/>
              <w:ind w:firstLine="0" w:firstLineChars="0"/>
              <w:jc w:val="center"/>
              <w:rPr>
                <w:sz w:val="21"/>
                <w:szCs w:val="21"/>
              </w:rPr>
            </w:pPr>
            <w:r>
              <w:rPr>
                <w:sz w:val="21"/>
                <w:szCs w:val="21"/>
              </w:rPr>
              <w:t>层次</w:t>
            </w:r>
          </w:p>
        </w:tc>
        <w:tc>
          <w:tcPr>
            <w:tcW w:w="1486" w:type="dxa"/>
            <w:noWrap w:val="0"/>
            <w:vAlign w:val="center"/>
          </w:tcPr>
          <w:p w14:paraId="54D59BE5">
            <w:pPr>
              <w:widowControl/>
              <w:autoSpaceDE w:val="0"/>
              <w:autoSpaceDN w:val="0"/>
              <w:spacing w:line="240" w:lineRule="auto"/>
              <w:ind w:firstLine="0" w:firstLineChars="0"/>
              <w:jc w:val="center"/>
              <w:rPr>
                <w:sz w:val="21"/>
                <w:szCs w:val="21"/>
              </w:rPr>
            </w:pPr>
            <w:r>
              <w:rPr>
                <w:sz w:val="21"/>
                <w:szCs w:val="21"/>
              </w:rPr>
              <w:t>0-0.5m</w:t>
            </w:r>
          </w:p>
        </w:tc>
        <w:tc>
          <w:tcPr>
            <w:tcW w:w="1821" w:type="dxa"/>
            <w:noWrap w:val="0"/>
            <w:vAlign w:val="center"/>
          </w:tcPr>
          <w:p w14:paraId="03EAEF54">
            <w:pPr>
              <w:widowControl/>
              <w:autoSpaceDE w:val="0"/>
              <w:autoSpaceDN w:val="0"/>
              <w:spacing w:line="240" w:lineRule="auto"/>
              <w:ind w:firstLine="0" w:firstLineChars="0"/>
              <w:jc w:val="center"/>
              <w:rPr>
                <w:sz w:val="21"/>
                <w:szCs w:val="21"/>
              </w:rPr>
            </w:pPr>
            <w:r>
              <w:rPr>
                <w:sz w:val="21"/>
                <w:szCs w:val="21"/>
              </w:rPr>
              <w:t>0.5-1.5m</w:t>
            </w:r>
          </w:p>
        </w:tc>
        <w:tc>
          <w:tcPr>
            <w:tcW w:w="1822" w:type="dxa"/>
            <w:noWrap w:val="0"/>
            <w:vAlign w:val="center"/>
          </w:tcPr>
          <w:p w14:paraId="3B7FC9FB">
            <w:pPr>
              <w:widowControl/>
              <w:autoSpaceDE w:val="0"/>
              <w:autoSpaceDN w:val="0"/>
              <w:spacing w:line="240" w:lineRule="auto"/>
              <w:ind w:firstLine="0" w:firstLineChars="0"/>
              <w:jc w:val="center"/>
              <w:rPr>
                <w:sz w:val="21"/>
                <w:szCs w:val="21"/>
              </w:rPr>
            </w:pPr>
            <w:r>
              <w:rPr>
                <w:sz w:val="21"/>
                <w:szCs w:val="21"/>
              </w:rPr>
              <w:t>1.5-3.0m</w:t>
            </w:r>
          </w:p>
        </w:tc>
      </w:tr>
      <w:tr w14:paraId="6503D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34" w:type="dxa"/>
            <w:vMerge w:val="restart"/>
            <w:noWrap w:val="0"/>
            <w:vAlign w:val="center"/>
          </w:tcPr>
          <w:p w14:paraId="546AAE22">
            <w:pPr>
              <w:widowControl/>
              <w:autoSpaceDE w:val="0"/>
              <w:autoSpaceDN w:val="0"/>
              <w:spacing w:line="240" w:lineRule="auto"/>
              <w:ind w:firstLine="0" w:firstLineChars="0"/>
              <w:jc w:val="center"/>
              <w:rPr>
                <w:sz w:val="21"/>
                <w:szCs w:val="21"/>
              </w:rPr>
            </w:pPr>
            <w:r>
              <w:rPr>
                <w:sz w:val="21"/>
                <w:szCs w:val="21"/>
              </w:rPr>
              <w:t>现场记录</w:t>
            </w:r>
          </w:p>
        </w:tc>
        <w:tc>
          <w:tcPr>
            <w:tcW w:w="2176" w:type="dxa"/>
            <w:noWrap w:val="0"/>
            <w:vAlign w:val="center"/>
          </w:tcPr>
          <w:p w14:paraId="3F4C0FE8">
            <w:pPr>
              <w:widowControl/>
              <w:autoSpaceDE w:val="0"/>
              <w:autoSpaceDN w:val="0"/>
              <w:spacing w:line="240" w:lineRule="auto"/>
              <w:ind w:firstLine="0" w:firstLineChars="0"/>
              <w:jc w:val="center"/>
              <w:rPr>
                <w:sz w:val="21"/>
                <w:szCs w:val="21"/>
              </w:rPr>
            </w:pPr>
            <w:r>
              <w:rPr>
                <w:sz w:val="21"/>
                <w:szCs w:val="21"/>
              </w:rPr>
              <w:t>颜色</w:t>
            </w:r>
          </w:p>
        </w:tc>
        <w:tc>
          <w:tcPr>
            <w:tcW w:w="1486" w:type="dxa"/>
            <w:noWrap w:val="0"/>
            <w:vAlign w:val="center"/>
          </w:tcPr>
          <w:p w14:paraId="49A3DD87">
            <w:pPr>
              <w:widowControl/>
              <w:autoSpaceDE w:val="0"/>
              <w:autoSpaceDN w:val="0"/>
              <w:spacing w:line="240" w:lineRule="auto"/>
              <w:ind w:firstLine="0" w:firstLineChars="0"/>
              <w:jc w:val="center"/>
              <w:rPr>
                <w:rFonts w:hint="eastAsia" w:eastAsia="宋体"/>
                <w:sz w:val="21"/>
                <w:szCs w:val="21"/>
                <w:lang w:val="en-US" w:eastAsia="zh-CN"/>
              </w:rPr>
            </w:pPr>
            <w:r>
              <w:rPr>
                <w:rFonts w:hint="eastAsia"/>
                <w:sz w:val="21"/>
                <w:szCs w:val="21"/>
                <w:lang w:val="en-US" w:eastAsia="zh-CN"/>
              </w:rPr>
              <w:t>浅棕</w:t>
            </w:r>
          </w:p>
        </w:tc>
        <w:tc>
          <w:tcPr>
            <w:tcW w:w="1821" w:type="dxa"/>
            <w:noWrap w:val="0"/>
            <w:vAlign w:val="center"/>
          </w:tcPr>
          <w:p w14:paraId="451FE25E">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浅棕</w:t>
            </w:r>
          </w:p>
        </w:tc>
        <w:tc>
          <w:tcPr>
            <w:tcW w:w="1822" w:type="dxa"/>
            <w:noWrap w:val="0"/>
            <w:vAlign w:val="center"/>
          </w:tcPr>
          <w:p w14:paraId="2A259F9D">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浅棕</w:t>
            </w:r>
          </w:p>
        </w:tc>
      </w:tr>
      <w:tr w14:paraId="4922A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34" w:type="dxa"/>
            <w:vMerge w:val="continue"/>
            <w:noWrap w:val="0"/>
            <w:vAlign w:val="center"/>
          </w:tcPr>
          <w:p w14:paraId="2E3BEA95">
            <w:pPr>
              <w:widowControl/>
              <w:autoSpaceDE w:val="0"/>
              <w:autoSpaceDN w:val="0"/>
              <w:spacing w:line="240" w:lineRule="auto"/>
              <w:ind w:firstLine="0" w:firstLineChars="0"/>
              <w:jc w:val="center"/>
              <w:rPr>
                <w:sz w:val="21"/>
                <w:szCs w:val="21"/>
              </w:rPr>
            </w:pPr>
          </w:p>
        </w:tc>
        <w:tc>
          <w:tcPr>
            <w:tcW w:w="2176" w:type="dxa"/>
            <w:noWrap w:val="0"/>
            <w:vAlign w:val="center"/>
          </w:tcPr>
          <w:p w14:paraId="4266B11A">
            <w:pPr>
              <w:widowControl/>
              <w:autoSpaceDE w:val="0"/>
              <w:autoSpaceDN w:val="0"/>
              <w:spacing w:line="240" w:lineRule="auto"/>
              <w:ind w:firstLine="0" w:firstLineChars="0"/>
              <w:jc w:val="center"/>
              <w:rPr>
                <w:sz w:val="21"/>
                <w:szCs w:val="21"/>
              </w:rPr>
            </w:pPr>
            <w:r>
              <w:rPr>
                <w:sz w:val="21"/>
                <w:szCs w:val="21"/>
              </w:rPr>
              <w:t>结构</w:t>
            </w:r>
          </w:p>
        </w:tc>
        <w:tc>
          <w:tcPr>
            <w:tcW w:w="1486" w:type="dxa"/>
            <w:noWrap w:val="0"/>
            <w:vAlign w:val="center"/>
          </w:tcPr>
          <w:p w14:paraId="2CD44605">
            <w:pPr>
              <w:widowControl/>
              <w:autoSpaceDE w:val="0"/>
              <w:autoSpaceDN w:val="0"/>
              <w:spacing w:line="240" w:lineRule="auto"/>
              <w:ind w:firstLine="0" w:firstLineChars="0"/>
              <w:jc w:val="center"/>
              <w:rPr>
                <w:rFonts w:hint="eastAsia" w:eastAsia="宋体"/>
                <w:sz w:val="21"/>
                <w:szCs w:val="21"/>
                <w:lang w:val="en-US" w:eastAsia="zh-CN"/>
              </w:rPr>
            </w:pPr>
            <w:r>
              <w:rPr>
                <w:rFonts w:hint="eastAsia"/>
                <w:sz w:val="21"/>
                <w:szCs w:val="21"/>
                <w:lang w:val="en-US" w:eastAsia="zh-CN"/>
              </w:rPr>
              <w:t>团粒</w:t>
            </w:r>
          </w:p>
        </w:tc>
        <w:tc>
          <w:tcPr>
            <w:tcW w:w="1821" w:type="dxa"/>
            <w:noWrap w:val="0"/>
            <w:vAlign w:val="center"/>
          </w:tcPr>
          <w:p w14:paraId="0C8848F3">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团粒</w:t>
            </w:r>
          </w:p>
        </w:tc>
        <w:tc>
          <w:tcPr>
            <w:tcW w:w="1822" w:type="dxa"/>
            <w:noWrap w:val="0"/>
            <w:vAlign w:val="center"/>
          </w:tcPr>
          <w:p w14:paraId="71C94371">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团粒</w:t>
            </w:r>
          </w:p>
        </w:tc>
      </w:tr>
      <w:tr w14:paraId="72B590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34" w:type="dxa"/>
            <w:vMerge w:val="continue"/>
            <w:noWrap w:val="0"/>
            <w:vAlign w:val="center"/>
          </w:tcPr>
          <w:p w14:paraId="3EB50EF9">
            <w:pPr>
              <w:widowControl/>
              <w:autoSpaceDE w:val="0"/>
              <w:autoSpaceDN w:val="0"/>
              <w:spacing w:line="240" w:lineRule="auto"/>
              <w:ind w:firstLine="0" w:firstLineChars="0"/>
              <w:jc w:val="center"/>
              <w:rPr>
                <w:sz w:val="21"/>
                <w:szCs w:val="21"/>
              </w:rPr>
            </w:pPr>
          </w:p>
        </w:tc>
        <w:tc>
          <w:tcPr>
            <w:tcW w:w="2176" w:type="dxa"/>
            <w:noWrap w:val="0"/>
            <w:vAlign w:val="center"/>
          </w:tcPr>
          <w:p w14:paraId="786E825E">
            <w:pPr>
              <w:widowControl/>
              <w:autoSpaceDE w:val="0"/>
              <w:autoSpaceDN w:val="0"/>
              <w:spacing w:line="240" w:lineRule="auto"/>
              <w:ind w:firstLine="0" w:firstLineChars="0"/>
              <w:jc w:val="center"/>
              <w:rPr>
                <w:sz w:val="21"/>
                <w:szCs w:val="21"/>
              </w:rPr>
            </w:pPr>
            <w:r>
              <w:rPr>
                <w:sz w:val="21"/>
                <w:szCs w:val="21"/>
              </w:rPr>
              <w:t>质地</w:t>
            </w:r>
          </w:p>
        </w:tc>
        <w:tc>
          <w:tcPr>
            <w:tcW w:w="1486" w:type="dxa"/>
            <w:noWrap w:val="0"/>
            <w:vAlign w:val="center"/>
          </w:tcPr>
          <w:p w14:paraId="1D352F4C">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轻壤</w:t>
            </w:r>
          </w:p>
        </w:tc>
        <w:tc>
          <w:tcPr>
            <w:tcW w:w="1821" w:type="dxa"/>
            <w:noWrap w:val="0"/>
            <w:vAlign w:val="center"/>
          </w:tcPr>
          <w:p w14:paraId="3B0EBC87">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轻壤</w:t>
            </w:r>
          </w:p>
        </w:tc>
        <w:tc>
          <w:tcPr>
            <w:tcW w:w="1822" w:type="dxa"/>
            <w:noWrap w:val="0"/>
            <w:vAlign w:val="center"/>
          </w:tcPr>
          <w:p w14:paraId="1D73855C">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轻壤</w:t>
            </w:r>
          </w:p>
        </w:tc>
      </w:tr>
      <w:tr w14:paraId="273EC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34" w:type="dxa"/>
            <w:vMerge w:val="continue"/>
            <w:noWrap w:val="0"/>
            <w:vAlign w:val="center"/>
          </w:tcPr>
          <w:p w14:paraId="430BCFE3">
            <w:pPr>
              <w:widowControl/>
              <w:autoSpaceDE w:val="0"/>
              <w:autoSpaceDN w:val="0"/>
              <w:spacing w:line="240" w:lineRule="auto"/>
              <w:ind w:firstLine="0" w:firstLineChars="0"/>
              <w:jc w:val="center"/>
              <w:rPr>
                <w:sz w:val="21"/>
                <w:szCs w:val="21"/>
              </w:rPr>
            </w:pPr>
          </w:p>
        </w:tc>
        <w:tc>
          <w:tcPr>
            <w:tcW w:w="2176" w:type="dxa"/>
            <w:noWrap w:val="0"/>
            <w:vAlign w:val="center"/>
          </w:tcPr>
          <w:p w14:paraId="722981E8">
            <w:pPr>
              <w:widowControl/>
              <w:autoSpaceDE w:val="0"/>
              <w:autoSpaceDN w:val="0"/>
              <w:spacing w:line="240" w:lineRule="auto"/>
              <w:ind w:firstLine="0" w:firstLineChars="0"/>
              <w:jc w:val="center"/>
              <w:rPr>
                <w:sz w:val="21"/>
                <w:szCs w:val="21"/>
              </w:rPr>
            </w:pPr>
            <w:r>
              <w:rPr>
                <w:sz w:val="21"/>
                <w:szCs w:val="21"/>
              </w:rPr>
              <w:t>砂砾含量（%）</w:t>
            </w:r>
          </w:p>
        </w:tc>
        <w:tc>
          <w:tcPr>
            <w:tcW w:w="1486" w:type="dxa"/>
            <w:noWrap w:val="0"/>
            <w:vAlign w:val="center"/>
          </w:tcPr>
          <w:p w14:paraId="536F6370">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＜10</w:t>
            </w:r>
          </w:p>
        </w:tc>
        <w:tc>
          <w:tcPr>
            <w:tcW w:w="1821" w:type="dxa"/>
            <w:noWrap w:val="0"/>
            <w:vAlign w:val="center"/>
          </w:tcPr>
          <w:p w14:paraId="290DC8FB">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＜10</w:t>
            </w:r>
          </w:p>
        </w:tc>
        <w:tc>
          <w:tcPr>
            <w:tcW w:w="1822" w:type="dxa"/>
            <w:noWrap w:val="0"/>
            <w:vAlign w:val="center"/>
          </w:tcPr>
          <w:p w14:paraId="002CE0A6">
            <w:pPr>
              <w:keepNext w:val="0"/>
              <w:keepLines w:val="0"/>
              <w:pageBreakBefore w:val="0"/>
              <w:widowControl/>
              <w:kinsoku/>
              <w:wordWrap/>
              <w:overflowPunct/>
              <w:topLinePunct w:val="0"/>
              <w:autoSpaceDE w:val="0"/>
              <w:autoSpaceDN w:val="0"/>
              <w:bidi w:val="0"/>
              <w:adjustRightInd w:val="0"/>
              <w:snapToGrid w:val="0"/>
              <w:spacing w:line="240" w:lineRule="auto"/>
              <w:ind w:firstLine="0" w:firstLineChars="0"/>
              <w:jc w:val="center"/>
              <w:textAlignment w:val="baseline"/>
              <w:rPr>
                <w:sz w:val="21"/>
                <w:szCs w:val="21"/>
              </w:rPr>
            </w:pPr>
            <w:r>
              <w:rPr>
                <w:rFonts w:hint="eastAsia"/>
                <w:sz w:val="21"/>
                <w:szCs w:val="21"/>
                <w:lang w:val="en-US" w:eastAsia="zh-CN"/>
              </w:rPr>
              <w:t>＜10</w:t>
            </w:r>
          </w:p>
        </w:tc>
      </w:tr>
      <w:tr w14:paraId="0E1075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134" w:type="dxa"/>
            <w:vMerge w:val="continue"/>
            <w:noWrap w:val="0"/>
            <w:vAlign w:val="center"/>
          </w:tcPr>
          <w:p w14:paraId="7A589019">
            <w:pPr>
              <w:widowControl/>
              <w:autoSpaceDE w:val="0"/>
              <w:autoSpaceDN w:val="0"/>
              <w:spacing w:line="240" w:lineRule="auto"/>
              <w:ind w:firstLine="0" w:firstLineChars="0"/>
              <w:jc w:val="center"/>
              <w:rPr>
                <w:sz w:val="21"/>
                <w:szCs w:val="21"/>
              </w:rPr>
            </w:pPr>
          </w:p>
        </w:tc>
        <w:tc>
          <w:tcPr>
            <w:tcW w:w="2176" w:type="dxa"/>
            <w:noWrap w:val="0"/>
            <w:vAlign w:val="center"/>
          </w:tcPr>
          <w:p w14:paraId="0A434360">
            <w:pPr>
              <w:widowControl/>
              <w:autoSpaceDE w:val="0"/>
              <w:autoSpaceDN w:val="0"/>
              <w:spacing w:line="240" w:lineRule="auto"/>
              <w:ind w:firstLine="0" w:firstLineChars="0"/>
              <w:jc w:val="center"/>
              <w:rPr>
                <w:sz w:val="21"/>
                <w:szCs w:val="21"/>
              </w:rPr>
            </w:pPr>
            <w:r>
              <w:rPr>
                <w:sz w:val="21"/>
                <w:szCs w:val="21"/>
              </w:rPr>
              <w:t>其他异物</w:t>
            </w:r>
          </w:p>
        </w:tc>
        <w:tc>
          <w:tcPr>
            <w:tcW w:w="1486" w:type="dxa"/>
            <w:noWrap w:val="0"/>
            <w:vAlign w:val="center"/>
          </w:tcPr>
          <w:p w14:paraId="0C8DDF80">
            <w:pPr>
              <w:widowControl/>
              <w:autoSpaceDE w:val="0"/>
              <w:autoSpaceDN w:val="0"/>
              <w:spacing w:line="240" w:lineRule="auto"/>
              <w:ind w:firstLine="0" w:firstLineChars="0"/>
              <w:jc w:val="center"/>
              <w:rPr>
                <w:sz w:val="21"/>
                <w:szCs w:val="21"/>
              </w:rPr>
            </w:pPr>
            <w:r>
              <w:rPr>
                <w:rFonts w:hint="eastAsia"/>
                <w:sz w:val="21"/>
                <w:szCs w:val="21"/>
              </w:rPr>
              <w:t>无</w:t>
            </w:r>
          </w:p>
        </w:tc>
        <w:tc>
          <w:tcPr>
            <w:tcW w:w="1821" w:type="dxa"/>
            <w:noWrap w:val="0"/>
            <w:vAlign w:val="center"/>
          </w:tcPr>
          <w:p w14:paraId="402F2804">
            <w:pPr>
              <w:widowControl/>
              <w:autoSpaceDE w:val="0"/>
              <w:autoSpaceDN w:val="0"/>
              <w:spacing w:line="240" w:lineRule="auto"/>
              <w:ind w:firstLine="0" w:firstLineChars="0"/>
              <w:jc w:val="center"/>
              <w:rPr>
                <w:sz w:val="21"/>
                <w:szCs w:val="21"/>
              </w:rPr>
            </w:pPr>
            <w:r>
              <w:rPr>
                <w:rFonts w:hint="eastAsia"/>
                <w:sz w:val="21"/>
                <w:szCs w:val="21"/>
              </w:rPr>
              <w:t>无</w:t>
            </w:r>
          </w:p>
        </w:tc>
        <w:tc>
          <w:tcPr>
            <w:tcW w:w="1822" w:type="dxa"/>
            <w:noWrap w:val="0"/>
            <w:vAlign w:val="center"/>
          </w:tcPr>
          <w:p w14:paraId="0CC26E7C">
            <w:pPr>
              <w:widowControl/>
              <w:autoSpaceDE w:val="0"/>
              <w:autoSpaceDN w:val="0"/>
              <w:spacing w:line="240" w:lineRule="auto"/>
              <w:ind w:firstLine="0" w:firstLineChars="0"/>
              <w:jc w:val="center"/>
              <w:rPr>
                <w:sz w:val="21"/>
                <w:szCs w:val="21"/>
              </w:rPr>
            </w:pPr>
            <w:r>
              <w:rPr>
                <w:rFonts w:hint="eastAsia"/>
                <w:sz w:val="21"/>
                <w:szCs w:val="21"/>
              </w:rPr>
              <w:t>无</w:t>
            </w:r>
          </w:p>
        </w:tc>
      </w:tr>
      <w:tr w14:paraId="762E71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34" w:type="dxa"/>
            <w:vMerge w:val="restart"/>
            <w:noWrap w:val="0"/>
            <w:vAlign w:val="center"/>
          </w:tcPr>
          <w:p w14:paraId="33EC5412">
            <w:pPr>
              <w:widowControl/>
              <w:autoSpaceDE w:val="0"/>
              <w:autoSpaceDN w:val="0"/>
              <w:spacing w:line="240" w:lineRule="auto"/>
              <w:ind w:firstLine="0" w:firstLineChars="0"/>
              <w:jc w:val="center"/>
              <w:rPr>
                <w:sz w:val="21"/>
                <w:szCs w:val="21"/>
              </w:rPr>
            </w:pPr>
            <w:r>
              <w:rPr>
                <w:sz w:val="21"/>
                <w:szCs w:val="21"/>
              </w:rPr>
              <w:t>实验室测定</w:t>
            </w:r>
          </w:p>
        </w:tc>
        <w:tc>
          <w:tcPr>
            <w:tcW w:w="2176" w:type="dxa"/>
            <w:noWrap w:val="0"/>
            <w:vAlign w:val="center"/>
          </w:tcPr>
          <w:p w14:paraId="250693F5">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pH值</w:t>
            </w:r>
          </w:p>
        </w:tc>
        <w:tc>
          <w:tcPr>
            <w:tcW w:w="1486" w:type="dxa"/>
            <w:noWrap w:val="0"/>
            <w:vAlign w:val="center"/>
          </w:tcPr>
          <w:p w14:paraId="5F86DDE2">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8.1</w:t>
            </w:r>
          </w:p>
        </w:tc>
        <w:tc>
          <w:tcPr>
            <w:tcW w:w="1821" w:type="dxa"/>
            <w:noWrap w:val="0"/>
            <w:vAlign w:val="center"/>
          </w:tcPr>
          <w:p w14:paraId="0D6AECC2">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7.8</w:t>
            </w:r>
          </w:p>
        </w:tc>
        <w:tc>
          <w:tcPr>
            <w:tcW w:w="1822" w:type="dxa"/>
            <w:noWrap w:val="0"/>
            <w:vAlign w:val="center"/>
          </w:tcPr>
          <w:p w14:paraId="3C60ADE2">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7.6</w:t>
            </w:r>
          </w:p>
        </w:tc>
      </w:tr>
      <w:tr w14:paraId="134D86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34" w:type="dxa"/>
            <w:vMerge w:val="continue"/>
            <w:noWrap w:val="0"/>
            <w:vAlign w:val="center"/>
          </w:tcPr>
          <w:p w14:paraId="2D812A82">
            <w:pPr>
              <w:widowControl/>
              <w:autoSpaceDE w:val="0"/>
              <w:autoSpaceDN w:val="0"/>
              <w:spacing w:line="240" w:lineRule="auto"/>
              <w:ind w:firstLine="0" w:firstLineChars="0"/>
              <w:jc w:val="center"/>
              <w:rPr>
                <w:sz w:val="21"/>
                <w:szCs w:val="21"/>
              </w:rPr>
            </w:pPr>
          </w:p>
        </w:tc>
        <w:tc>
          <w:tcPr>
            <w:tcW w:w="2176" w:type="dxa"/>
            <w:noWrap w:val="0"/>
            <w:vAlign w:val="center"/>
          </w:tcPr>
          <w:p w14:paraId="1C648C0D">
            <w:pPr>
              <w:widowControl/>
              <w:autoSpaceDE w:val="0"/>
              <w:autoSpaceDN w:val="0"/>
              <w:spacing w:line="240" w:lineRule="auto"/>
              <w:ind w:firstLine="0" w:firstLineChars="0"/>
              <w:jc w:val="center"/>
              <w:rPr>
                <w:sz w:val="21"/>
                <w:szCs w:val="21"/>
              </w:rPr>
            </w:pPr>
            <w:r>
              <w:rPr>
                <w:sz w:val="21"/>
                <w:szCs w:val="21"/>
              </w:rPr>
              <w:t>阳离子交换量（cmol/kg）</w:t>
            </w:r>
          </w:p>
        </w:tc>
        <w:tc>
          <w:tcPr>
            <w:tcW w:w="1486" w:type="dxa"/>
            <w:noWrap w:val="0"/>
            <w:vAlign w:val="center"/>
          </w:tcPr>
          <w:p w14:paraId="5BA0A72D">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12</w:t>
            </w:r>
          </w:p>
        </w:tc>
        <w:tc>
          <w:tcPr>
            <w:tcW w:w="1821" w:type="dxa"/>
            <w:noWrap w:val="0"/>
            <w:vAlign w:val="center"/>
          </w:tcPr>
          <w:p w14:paraId="36D9C1DC">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11</w:t>
            </w:r>
          </w:p>
        </w:tc>
        <w:tc>
          <w:tcPr>
            <w:tcW w:w="1822" w:type="dxa"/>
            <w:noWrap w:val="0"/>
            <w:vAlign w:val="center"/>
          </w:tcPr>
          <w:p w14:paraId="60F1BCF2">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12</w:t>
            </w:r>
          </w:p>
        </w:tc>
      </w:tr>
      <w:tr w14:paraId="2E7BFE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34" w:type="dxa"/>
            <w:vMerge w:val="continue"/>
            <w:noWrap w:val="0"/>
            <w:vAlign w:val="center"/>
          </w:tcPr>
          <w:p w14:paraId="718D03BD">
            <w:pPr>
              <w:widowControl/>
              <w:autoSpaceDE w:val="0"/>
              <w:autoSpaceDN w:val="0"/>
              <w:spacing w:line="240" w:lineRule="auto"/>
              <w:ind w:firstLine="0" w:firstLineChars="0"/>
              <w:jc w:val="center"/>
              <w:rPr>
                <w:sz w:val="21"/>
                <w:szCs w:val="21"/>
              </w:rPr>
            </w:pPr>
          </w:p>
        </w:tc>
        <w:tc>
          <w:tcPr>
            <w:tcW w:w="2176" w:type="dxa"/>
            <w:noWrap w:val="0"/>
            <w:vAlign w:val="center"/>
          </w:tcPr>
          <w:p w14:paraId="639BFA9F">
            <w:pPr>
              <w:widowControl/>
              <w:autoSpaceDE w:val="0"/>
              <w:autoSpaceDN w:val="0"/>
              <w:spacing w:line="240" w:lineRule="auto"/>
              <w:ind w:firstLine="0" w:firstLineChars="0"/>
              <w:jc w:val="center"/>
              <w:rPr>
                <w:sz w:val="21"/>
                <w:szCs w:val="21"/>
              </w:rPr>
            </w:pPr>
            <w:r>
              <w:rPr>
                <w:sz w:val="21"/>
                <w:szCs w:val="21"/>
              </w:rPr>
              <w:t>氧化还原电位（mV）</w:t>
            </w:r>
          </w:p>
        </w:tc>
        <w:tc>
          <w:tcPr>
            <w:tcW w:w="1486" w:type="dxa"/>
            <w:noWrap w:val="0"/>
            <w:vAlign w:val="center"/>
          </w:tcPr>
          <w:p w14:paraId="2EBDB8B2">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233</w:t>
            </w:r>
          </w:p>
        </w:tc>
        <w:tc>
          <w:tcPr>
            <w:tcW w:w="1821" w:type="dxa"/>
            <w:noWrap w:val="0"/>
            <w:vAlign w:val="center"/>
          </w:tcPr>
          <w:p w14:paraId="49C045C0">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228</w:t>
            </w:r>
          </w:p>
        </w:tc>
        <w:tc>
          <w:tcPr>
            <w:tcW w:w="1822" w:type="dxa"/>
            <w:noWrap w:val="0"/>
            <w:vAlign w:val="center"/>
          </w:tcPr>
          <w:p w14:paraId="63F8CDB1">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236</w:t>
            </w:r>
          </w:p>
        </w:tc>
      </w:tr>
      <w:tr w14:paraId="59398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34" w:type="dxa"/>
            <w:vMerge w:val="continue"/>
            <w:noWrap w:val="0"/>
            <w:vAlign w:val="center"/>
          </w:tcPr>
          <w:p w14:paraId="2EB0FCEC">
            <w:pPr>
              <w:widowControl/>
              <w:autoSpaceDE w:val="0"/>
              <w:autoSpaceDN w:val="0"/>
              <w:spacing w:line="240" w:lineRule="auto"/>
              <w:ind w:firstLine="0" w:firstLineChars="0"/>
              <w:jc w:val="center"/>
              <w:rPr>
                <w:sz w:val="21"/>
                <w:szCs w:val="21"/>
              </w:rPr>
            </w:pPr>
          </w:p>
        </w:tc>
        <w:tc>
          <w:tcPr>
            <w:tcW w:w="2176" w:type="dxa"/>
            <w:noWrap w:val="0"/>
            <w:vAlign w:val="center"/>
          </w:tcPr>
          <w:p w14:paraId="3E0AB7B8">
            <w:pPr>
              <w:widowControl/>
              <w:autoSpaceDE w:val="0"/>
              <w:autoSpaceDN w:val="0"/>
              <w:spacing w:line="240" w:lineRule="auto"/>
              <w:ind w:firstLine="0" w:firstLineChars="0"/>
              <w:jc w:val="center"/>
              <w:rPr>
                <w:sz w:val="21"/>
                <w:szCs w:val="21"/>
              </w:rPr>
            </w:pPr>
            <w:r>
              <w:rPr>
                <w:sz w:val="21"/>
                <w:szCs w:val="21"/>
              </w:rPr>
              <w:t>饱和导水率（cm/s）</w:t>
            </w:r>
          </w:p>
        </w:tc>
        <w:tc>
          <w:tcPr>
            <w:tcW w:w="1486" w:type="dxa"/>
            <w:noWrap w:val="0"/>
            <w:vAlign w:val="center"/>
          </w:tcPr>
          <w:p w14:paraId="05E87310">
            <w:pPr>
              <w:widowControl/>
              <w:autoSpaceDE w:val="0"/>
              <w:autoSpaceDN w:val="0"/>
              <w:spacing w:line="240" w:lineRule="auto"/>
              <w:ind w:firstLine="0" w:firstLineChars="0"/>
              <w:jc w:val="center"/>
              <w:rPr>
                <w:sz w:val="21"/>
                <w:szCs w:val="21"/>
              </w:rPr>
            </w:pPr>
            <w:r>
              <w:rPr>
                <w:rFonts w:hint="eastAsia"/>
                <w:sz w:val="21"/>
                <w:szCs w:val="21"/>
              </w:rPr>
              <w:t>5.91×10</w:t>
            </w:r>
            <w:r>
              <w:rPr>
                <w:rFonts w:hint="eastAsia"/>
                <w:sz w:val="21"/>
                <w:szCs w:val="21"/>
                <w:vertAlign w:val="superscript"/>
              </w:rPr>
              <w:t>-4</w:t>
            </w:r>
          </w:p>
        </w:tc>
        <w:tc>
          <w:tcPr>
            <w:tcW w:w="1821" w:type="dxa"/>
            <w:noWrap w:val="0"/>
            <w:vAlign w:val="center"/>
          </w:tcPr>
          <w:p w14:paraId="57BEEADE">
            <w:pPr>
              <w:widowControl/>
              <w:autoSpaceDE w:val="0"/>
              <w:autoSpaceDN w:val="0"/>
              <w:spacing w:line="240" w:lineRule="auto"/>
              <w:ind w:firstLine="0" w:firstLineChars="0"/>
              <w:jc w:val="center"/>
              <w:rPr>
                <w:sz w:val="21"/>
                <w:szCs w:val="21"/>
              </w:rPr>
            </w:pPr>
            <w:r>
              <w:rPr>
                <w:rFonts w:hint="eastAsia"/>
                <w:sz w:val="21"/>
                <w:szCs w:val="21"/>
              </w:rPr>
              <w:t>5.</w:t>
            </w:r>
            <w:r>
              <w:rPr>
                <w:rFonts w:hint="eastAsia"/>
                <w:sz w:val="21"/>
                <w:szCs w:val="21"/>
                <w:lang w:val="en-US" w:eastAsia="zh-CN"/>
              </w:rPr>
              <w:t>72</w:t>
            </w:r>
            <w:r>
              <w:rPr>
                <w:rFonts w:hint="eastAsia"/>
                <w:sz w:val="21"/>
                <w:szCs w:val="21"/>
              </w:rPr>
              <w:t>×10</w:t>
            </w:r>
            <w:r>
              <w:rPr>
                <w:rFonts w:hint="eastAsia"/>
                <w:sz w:val="21"/>
                <w:szCs w:val="21"/>
                <w:vertAlign w:val="superscript"/>
              </w:rPr>
              <w:t>-4</w:t>
            </w:r>
          </w:p>
        </w:tc>
        <w:tc>
          <w:tcPr>
            <w:tcW w:w="1822" w:type="dxa"/>
            <w:noWrap w:val="0"/>
            <w:vAlign w:val="center"/>
          </w:tcPr>
          <w:p w14:paraId="7E013CF9">
            <w:pPr>
              <w:widowControl/>
              <w:autoSpaceDE w:val="0"/>
              <w:autoSpaceDN w:val="0"/>
              <w:spacing w:line="240" w:lineRule="auto"/>
              <w:ind w:firstLine="0" w:firstLineChars="0"/>
              <w:jc w:val="center"/>
              <w:rPr>
                <w:sz w:val="21"/>
                <w:szCs w:val="21"/>
              </w:rPr>
            </w:pPr>
            <w:r>
              <w:rPr>
                <w:rFonts w:hint="eastAsia"/>
                <w:sz w:val="21"/>
                <w:szCs w:val="21"/>
              </w:rPr>
              <w:t>5.</w:t>
            </w:r>
            <w:r>
              <w:rPr>
                <w:rFonts w:hint="eastAsia"/>
                <w:sz w:val="21"/>
                <w:szCs w:val="21"/>
                <w:lang w:val="en-US" w:eastAsia="zh-CN"/>
              </w:rPr>
              <w:t>83</w:t>
            </w:r>
            <w:r>
              <w:rPr>
                <w:rFonts w:hint="eastAsia"/>
                <w:sz w:val="21"/>
                <w:szCs w:val="21"/>
              </w:rPr>
              <w:t>×10</w:t>
            </w:r>
            <w:r>
              <w:rPr>
                <w:rFonts w:hint="eastAsia"/>
                <w:sz w:val="21"/>
                <w:szCs w:val="21"/>
                <w:vertAlign w:val="superscript"/>
              </w:rPr>
              <w:t>-4</w:t>
            </w:r>
          </w:p>
        </w:tc>
      </w:tr>
      <w:tr w14:paraId="3BFB2B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34" w:type="dxa"/>
            <w:vMerge w:val="continue"/>
            <w:noWrap w:val="0"/>
            <w:vAlign w:val="center"/>
          </w:tcPr>
          <w:p w14:paraId="51C01933">
            <w:pPr>
              <w:widowControl/>
              <w:autoSpaceDE w:val="0"/>
              <w:autoSpaceDN w:val="0"/>
              <w:spacing w:line="240" w:lineRule="auto"/>
              <w:ind w:firstLine="0" w:firstLineChars="0"/>
              <w:jc w:val="center"/>
              <w:rPr>
                <w:sz w:val="21"/>
                <w:szCs w:val="21"/>
              </w:rPr>
            </w:pPr>
          </w:p>
        </w:tc>
        <w:tc>
          <w:tcPr>
            <w:tcW w:w="2176" w:type="dxa"/>
            <w:noWrap w:val="0"/>
            <w:vAlign w:val="center"/>
          </w:tcPr>
          <w:p w14:paraId="0AE615C1">
            <w:pPr>
              <w:widowControl/>
              <w:autoSpaceDE w:val="0"/>
              <w:autoSpaceDN w:val="0"/>
              <w:spacing w:line="240" w:lineRule="auto"/>
              <w:ind w:firstLine="0" w:firstLineChars="0"/>
              <w:jc w:val="center"/>
              <w:rPr>
                <w:sz w:val="21"/>
                <w:szCs w:val="21"/>
              </w:rPr>
            </w:pPr>
            <w:r>
              <w:rPr>
                <w:sz w:val="21"/>
                <w:szCs w:val="21"/>
              </w:rPr>
              <w:t>土壤容重（g/cm</w:t>
            </w:r>
            <w:r>
              <w:rPr>
                <w:sz w:val="21"/>
                <w:szCs w:val="21"/>
                <w:vertAlign w:val="superscript"/>
              </w:rPr>
              <w:t>3</w:t>
            </w:r>
            <w:r>
              <w:rPr>
                <w:sz w:val="21"/>
                <w:szCs w:val="21"/>
              </w:rPr>
              <w:t>）</w:t>
            </w:r>
          </w:p>
        </w:tc>
        <w:tc>
          <w:tcPr>
            <w:tcW w:w="1486" w:type="dxa"/>
            <w:noWrap w:val="0"/>
            <w:vAlign w:val="center"/>
          </w:tcPr>
          <w:p w14:paraId="3215D044">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1.4</w:t>
            </w:r>
          </w:p>
        </w:tc>
        <w:tc>
          <w:tcPr>
            <w:tcW w:w="1821" w:type="dxa"/>
            <w:noWrap w:val="0"/>
            <w:vAlign w:val="center"/>
          </w:tcPr>
          <w:p w14:paraId="26F74A19">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1.4</w:t>
            </w:r>
          </w:p>
        </w:tc>
        <w:tc>
          <w:tcPr>
            <w:tcW w:w="1822" w:type="dxa"/>
            <w:noWrap w:val="0"/>
            <w:vAlign w:val="center"/>
          </w:tcPr>
          <w:p w14:paraId="44E1B5A7">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1.4</w:t>
            </w:r>
          </w:p>
        </w:tc>
      </w:tr>
      <w:tr w14:paraId="0ABEE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134" w:type="dxa"/>
            <w:vMerge w:val="continue"/>
            <w:noWrap w:val="0"/>
            <w:vAlign w:val="center"/>
          </w:tcPr>
          <w:p w14:paraId="6D915897">
            <w:pPr>
              <w:widowControl/>
              <w:autoSpaceDE w:val="0"/>
              <w:autoSpaceDN w:val="0"/>
              <w:spacing w:line="240" w:lineRule="auto"/>
              <w:ind w:firstLine="0" w:firstLineChars="0"/>
              <w:jc w:val="center"/>
              <w:rPr>
                <w:sz w:val="21"/>
                <w:szCs w:val="21"/>
              </w:rPr>
            </w:pPr>
          </w:p>
        </w:tc>
        <w:tc>
          <w:tcPr>
            <w:tcW w:w="2176" w:type="dxa"/>
            <w:noWrap w:val="0"/>
            <w:vAlign w:val="center"/>
          </w:tcPr>
          <w:p w14:paraId="6BED627C">
            <w:pPr>
              <w:widowControl/>
              <w:autoSpaceDE w:val="0"/>
              <w:autoSpaceDN w:val="0"/>
              <w:spacing w:line="240" w:lineRule="auto"/>
              <w:ind w:firstLine="0" w:firstLineChars="0"/>
              <w:jc w:val="center"/>
              <w:rPr>
                <w:sz w:val="21"/>
                <w:szCs w:val="21"/>
              </w:rPr>
            </w:pPr>
            <w:r>
              <w:rPr>
                <w:rFonts w:hint="eastAsia"/>
                <w:sz w:val="21"/>
                <w:szCs w:val="21"/>
                <w:lang w:val="en-US" w:eastAsia="zh-CN"/>
              </w:rPr>
              <w:t>总</w:t>
            </w:r>
            <w:r>
              <w:rPr>
                <w:rFonts w:hint="eastAsia"/>
                <w:sz w:val="21"/>
                <w:szCs w:val="21"/>
              </w:rPr>
              <w:t>孔隙度</w:t>
            </w:r>
            <w:r>
              <w:rPr>
                <w:sz w:val="21"/>
                <w:szCs w:val="21"/>
              </w:rPr>
              <w:t>（</w:t>
            </w:r>
            <w:r>
              <w:rPr>
                <w:rFonts w:hint="eastAsia"/>
                <w:sz w:val="21"/>
                <w:szCs w:val="21"/>
              </w:rPr>
              <w:t>%</w:t>
            </w:r>
            <w:r>
              <w:rPr>
                <w:sz w:val="21"/>
                <w:szCs w:val="21"/>
              </w:rPr>
              <w:t>）</w:t>
            </w:r>
          </w:p>
        </w:tc>
        <w:tc>
          <w:tcPr>
            <w:tcW w:w="1486" w:type="dxa"/>
            <w:noWrap w:val="0"/>
            <w:vAlign w:val="center"/>
          </w:tcPr>
          <w:p w14:paraId="08AB45CB">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42.7</w:t>
            </w:r>
          </w:p>
        </w:tc>
        <w:tc>
          <w:tcPr>
            <w:tcW w:w="1821" w:type="dxa"/>
            <w:noWrap w:val="0"/>
            <w:vAlign w:val="center"/>
          </w:tcPr>
          <w:p w14:paraId="33FA8EED">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41.5</w:t>
            </w:r>
          </w:p>
        </w:tc>
        <w:tc>
          <w:tcPr>
            <w:tcW w:w="1822" w:type="dxa"/>
            <w:noWrap w:val="0"/>
            <w:vAlign w:val="center"/>
          </w:tcPr>
          <w:p w14:paraId="70F50F3B">
            <w:pPr>
              <w:widowControl/>
              <w:autoSpaceDE w:val="0"/>
              <w:autoSpaceDN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42.9</w:t>
            </w:r>
          </w:p>
        </w:tc>
      </w:tr>
      <w:bookmarkEnd w:id="526"/>
    </w:tbl>
    <w:p w14:paraId="433D175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4.2.6.1监测点位</w:t>
      </w:r>
    </w:p>
    <w:p w14:paraId="34C61780">
      <w:pPr>
        <w:pageBreakBefore w:val="0"/>
        <w:widowControl w:val="0"/>
        <w:kinsoku/>
        <w:wordWrap/>
        <w:overflowPunct/>
        <w:topLinePunct w:val="0"/>
        <w:autoSpaceDE/>
        <w:autoSpaceDN/>
        <w:bidi w:val="0"/>
        <w:ind w:firstLine="480"/>
      </w:pPr>
      <w:r>
        <w:rPr>
          <w:rFonts w:hint="eastAsia"/>
          <w:color w:val="000000" w:themeColor="text1"/>
          <w14:textFill>
            <w14:solidFill>
              <w14:schemeClr w14:val="tx1"/>
            </w14:solidFill>
          </w14:textFill>
        </w:rPr>
        <w:t>新乡市泓江润新能源有限公司委托河南碧之霄检测技术有限公司</w:t>
      </w:r>
      <w:r>
        <w:rPr>
          <w:rFonts w:hint="eastAsia"/>
          <w:color w:val="000000" w:themeColor="text1"/>
          <w:lang w:val="en-US" w:eastAsia="zh-CN"/>
          <w14:textFill>
            <w14:solidFill>
              <w14:schemeClr w14:val="tx1"/>
            </w14:solidFill>
          </w14:textFill>
        </w:rPr>
        <w:t>于2025</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日对项目所在区域土壤进行了监测。</w:t>
      </w:r>
      <w:r>
        <w:rPr>
          <w:rFonts w:hint="eastAsia"/>
        </w:rPr>
        <w:t>监测点位及监测因子情况见下表。</w:t>
      </w:r>
    </w:p>
    <w:p w14:paraId="779FEE3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表4.2-18    土壤环境现状监测点位及监测因子情况一览表</w:t>
      </w:r>
    </w:p>
    <w:tbl>
      <w:tblPr>
        <w:tblStyle w:val="39"/>
        <w:tblW w:w="8713"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61"/>
        <w:gridCol w:w="450"/>
        <w:gridCol w:w="1710"/>
        <w:gridCol w:w="2880"/>
        <w:gridCol w:w="1815"/>
        <w:gridCol w:w="1197"/>
      </w:tblGrid>
      <w:tr w14:paraId="374D765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14:paraId="163E568E">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2160" w:type="dxa"/>
            <w:gridSpan w:val="2"/>
            <w:noWrap/>
            <w:vAlign w:val="center"/>
          </w:tcPr>
          <w:p w14:paraId="1530F0B2">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w:t>
            </w:r>
          </w:p>
        </w:tc>
        <w:tc>
          <w:tcPr>
            <w:tcW w:w="2880" w:type="dxa"/>
            <w:noWrap/>
            <w:vAlign w:val="center"/>
          </w:tcPr>
          <w:p w14:paraId="0966E7A6">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1815" w:type="dxa"/>
            <w:noWrap/>
            <w:vAlign w:val="center"/>
          </w:tcPr>
          <w:p w14:paraId="1640A142">
            <w:pPr>
              <w:pStyle w:val="81"/>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采样深度</w:t>
            </w:r>
          </w:p>
        </w:tc>
        <w:tc>
          <w:tcPr>
            <w:tcW w:w="1197" w:type="dxa"/>
            <w:noWrap/>
            <w:vAlign w:val="center"/>
          </w:tcPr>
          <w:p w14:paraId="33669A51">
            <w:pPr>
              <w:pStyle w:val="81"/>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评价标准</w:t>
            </w:r>
          </w:p>
        </w:tc>
      </w:tr>
      <w:tr w14:paraId="3A5178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661" w:type="dxa"/>
            <w:noWrap/>
            <w:vAlign w:val="center"/>
          </w:tcPr>
          <w:p w14:paraId="267E67BC">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450" w:type="dxa"/>
            <w:vMerge w:val="restart"/>
            <w:noWrap/>
            <w:vAlign w:val="center"/>
          </w:tcPr>
          <w:p w14:paraId="23FC424B">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厂区内</w:t>
            </w:r>
          </w:p>
        </w:tc>
        <w:tc>
          <w:tcPr>
            <w:tcW w:w="1710" w:type="dxa"/>
            <w:noWrap/>
            <w:vAlign w:val="center"/>
          </w:tcPr>
          <w:p w14:paraId="4B1813E8">
            <w:pPr>
              <w:widowControl/>
              <w:spacing w:line="240" w:lineRule="auto"/>
              <w:ind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拟建污水处理站</w:t>
            </w:r>
          </w:p>
        </w:tc>
        <w:tc>
          <w:tcPr>
            <w:tcW w:w="2880" w:type="dxa"/>
            <w:noWrap/>
            <w:vAlign w:val="center"/>
          </w:tcPr>
          <w:p w14:paraId="60DB6EAF">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GB36600-2018表1中45项基本因子和pH、总铬、石油烃</w:t>
            </w:r>
          </w:p>
        </w:tc>
        <w:tc>
          <w:tcPr>
            <w:tcW w:w="1815" w:type="dxa"/>
            <w:vMerge w:val="restart"/>
            <w:noWrap/>
            <w:vAlign w:val="center"/>
          </w:tcPr>
          <w:p w14:paraId="5EEA6967">
            <w:pPr>
              <w:widowControl/>
              <w:spacing w:line="240" w:lineRule="auto"/>
              <w:ind w:firstLine="0" w:firstLineChars="0"/>
              <w:jc w:val="left"/>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0-0.5m、0.5-1.5m、1.5-3m分别各取1个样</w:t>
            </w:r>
          </w:p>
        </w:tc>
        <w:tc>
          <w:tcPr>
            <w:tcW w:w="1197" w:type="dxa"/>
            <w:vMerge w:val="restart"/>
            <w:noWrap/>
            <w:vAlign w:val="center"/>
          </w:tcPr>
          <w:p w14:paraId="02577817">
            <w:pPr>
              <w:numPr>
                <w:ilvl w:val="0"/>
                <w:numId w:val="0"/>
              </w:numPr>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《土壤环境质量 建设用地土壤污染风险管控标准（试行）（GB36600-2018）第二类用地筛选值</w:t>
            </w:r>
          </w:p>
        </w:tc>
      </w:tr>
      <w:tr w14:paraId="7762991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14:paraId="1DFF0345">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450" w:type="dxa"/>
            <w:vMerge w:val="continue"/>
            <w:noWrap/>
            <w:vAlign w:val="center"/>
          </w:tcPr>
          <w:p w14:paraId="5A9E22BC">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710" w:type="dxa"/>
            <w:noWrap/>
            <w:vAlign w:val="center"/>
          </w:tcPr>
          <w:p w14:paraId="18E7F8A4">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拟建车间中部</w:t>
            </w:r>
          </w:p>
        </w:tc>
        <w:tc>
          <w:tcPr>
            <w:tcW w:w="2880" w:type="dxa"/>
            <w:noWrap/>
            <w:vAlign w:val="center"/>
          </w:tcPr>
          <w:p w14:paraId="1A18DE8D">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GB36600-2018表1中45项基本因子和pH、总铬、石油烃</w:t>
            </w:r>
          </w:p>
        </w:tc>
        <w:tc>
          <w:tcPr>
            <w:tcW w:w="1815" w:type="dxa"/>
            <w:vMerge w:val="continue"/>
            <w:noWrap/>
            <w:vAlign w:val="center"/>
          </w:tcPr>
          <w:p w14:paraId="6767AEB1">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197" w:type="dxa"/>
            <w:vMerge w:val="continue"/>
            <w:noWrap/>
            <w:vAlign w:val="center"/>
          </w:tcPr>
          <w:p w14:paraId="5C6C95FC">
            <w:pPr>
              <w:widowControl/>
              <w:spacing w:line="240" w:lineRule="auto"/>
              <w:ind w:firstLine="0" w:firstLineChars="0"/>
              <w:jc w:val="center"/>
              <w:textAlignment w:val="center"/>
              <w:rPr>
                <w:rFonts w:hint="default" w:ascii="Times New Roman" w:hAnsi="Times New Roman" w:eastAsia="宋体" w:cs="Times New Roman"/>
                <w:sz w:val="21"/>
                <w:szCs w:val="21"/>
              </w:rPr>
            </w:pPr>
          </w:p>
        </w:tc>
      </w:tr>
      <w:tr w14:paraId="547E712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661" w:type="dxa"/>
            <w:noWrap/>
            <w:vAlign w:val="center"/>
          </w:tcPr>
          <w:p w14:paraId="4FCE3D87">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450" w:type="dxa"/>
            <w:vMerge w:val="continue"/>
            <w:noWrap/>
            <w:vAlign w:val="center"/>
          </w:tcPr>
          <w:p w14:paraId="60E61524">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710" w:type="dxa"/>
            <w:noWrap/>
            <w:vAlign w:val="center"/>
          </w:tcPr>
          <w:p w14:paraId="789E9D26">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厂区东北角</w:t>
            </w:r>
          </w:p>
        </w:tc>
        <w:tc>
          <w:tcPr>
            <w:tcW w:w="2880" w:type="dxa"/>
            <w:noWrap/>
            <w:vAlign w:val="center"/>
          </w:tcPr>
          <w:p w14:paraId="015AE5AD">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pH、总镍、总铬、石油烃</w:t>
            </w:r>
          </w:p>
        </w:tc>
        <w:tc>
          <w:tcPr>
            <w:tcW w:w="1815" w:type="dxa"/>
            <w:vMerge w:val="continue"/>
            <w:noWrap/>
            <w:vAlign w:val="center"/>
          </w:tcPr>
          <w:p w14:paraId="0989E00C">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197" w:type="dxa"/>
            <w:vMerge w:val="continue"/>
            <w:noWrap/>
            <w:vAlign w:val="center"/>
          </w:tcPr>
          <w:p w14:paraId="272016D9">
            <w:pPr>
              <w:widowControl/>
              <w:spacing w:line="240" w:lineRule="auto"/>
              <w:ind w:firstLine="0" w:firstLineChars="0"/>
              <w:jc w:val="center"/>
              <w:textAlignment w:val="center"/>
              <w:rPr>
                <w:rFonts w:hint="default" w:ascii="Times New Roman" w:hAnsi="Times New Roman" w:eastAsia="宋体" w:cs="Times New Roman"/>
                <w:sz w:val="21"/>
                <w:szCs w:val="21"/>
              </w:rPr>
            </w:pPr>
          </w:p>
        </w:tc>
      </w:tr>
      <w:tr w14:paraId="617FEF5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661" w:type="dxa"/>
            <w:noWrap/>
            <w:vAlign w:val="center"/>
          </w:tcPr>
          <w:p w14:paraId="6BC0213B">
            <w:pPr>
              <w:pStyle w:val="75"/>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w:t>
            </w:r>
          </w:p>
        </w:tc>
        <w:tc>
          <w:tcPr>
            <w:tcW w:w="450" w:type="dxa"/>
            <w:vMerge w:val="continue"/>
            <w:noWrap/>
            <w:vAlign w:val="center"/>
          </w:tcPr>
          <w:p w14:paraId="43B3D1BF">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710" w:type="dxa"/>
            <w:noWrap/>
            <w:vAlign w:val="center"/>
          </w:tcPr>
          <w:p w14:paraId="17E9EF45">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厂区内西南侧</w:t>
            </w:r>
          </w:p>
        </w:tc>
        <w:tc>
          <w:tcPr>
            <w:tcW w:w="2880" w:type="dxa"/>
            <w:noWrap/>
            <w:vAlign w:val="center"/>
          </w:tcPr>
          <w:p w14:paraId="577F014C">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pH、总镍、总铬、石油烃</w:t>
            </w:r>
          </w:p>
        </w:tc>
        <w:tc>
          <w:tcPr>
            <w:tcW w:w="1815" w:type="dxa"/>
            <w:noWrap/>
            <w:vAlign w:val="center"/>
          </w:tcPr>
          <w:p w14:paraId="3DB23616">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0-0.2m取1个样</w:t>
            </w:r>
          </w:p>
        </w:tc>
        <w:tc>
          <w:tcPr>
            <w:tcW w:w="1197" w:type="dxa"/>
            <w:vMerge w:val="continue"/>
            <w:noWrap/>
            <w:vAlign w:val="center"/>
          </w:tcPr>
          <w:p w14:paraId="7D193045">
            <w:pPr>
              <w:widowControl/>
              <w:spacing w:line="240" w:lineRule="auto"/>
              <w:ind w:firstLine="0" w:firstLineChars="0"/>
              <w:jc w:val="center"/>
              <w:textAlignment w:val="center"/>
              <w:rPr>
                <w:rFonts w:hint="default" w:ascii="Times New Roman" w:hAnsi="Times New Roman" w:eastAsia="宋体" w:cs="Times New Roman"/>
                <w:sz w:val="21"/>
                <w:szCs w:val="21"/>
              </w:rPr>
            </w:pPr>
          </w:p>
        </w:tc>
      </w:tr>
      <w:tr w14:paraId="25C3B5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14:paraId="0005EFEE">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450" w:type="dxa"/>
            <w:vMerge w:val="restart"/>
            <w:noWrap/>
            <w:vAlign w:val="center"/>
          </w:tcPr>
          <w:p w14:paraId="684B01E4">
            <w:pPr>
              <w:pStyle w:val="75"/>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厂区外</w:t>
            </w:r>
          </w:p>
        </w:tc>
        <w:tc>
          <w:tcPr>
            <w:tcW w:w="1710" w:type="dxa"/>
            <w:noWrap/>
            <w:vAlign w:val="center"/>
          </w:tcPr>
          <w:p w14:paraId="7058818E">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厂界外</w:t>
            </w:r>
            <w:r>
              <w:rPr>
                <w:rFonts w:hint="default" w:ascii="Times New Roman" w:hAnsi="Times New Roman" w:eastAsia="宋体" w:cs="Times New Roman"/>
                <w:sz w:val="21"/>
                <w:szCs w:val="21"/>
                <w:lang w:val="en-US" w:eastAsia="zh-CN"/>
              </w:rPr>
              <w:t>北侧空地</w:t>
            </w:r>
          </w:p>
        </w:tc>
        <w:tc>
          <w:tcPr>
            <w:tcW w:w="2880" w:type="dxa"/>
            <w:noWrap/>
            <w:vAlign w:val="center"/>
          </w:tcPr>
          <w:p w14:paraId="751038A1">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pH、总镍、总铬、石油烃</w:t>
            </w:r>
          </w:p>
        </w:tc>
        <w:tc>
          <w:tcPr>
            <w:tcW w:w="1815" w:type="dxa"/>
            <w:vMerge w:val="restart"/>
            <w:noWrap/>
            <w:vAlign w:val="center"/>
          </w:tcPr>
          <w:p w14:paraId="4E261E66">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0-0.2m取1个样</w:t>
            </w:r>
          </w:p>
        </w:tc>
        <w:tc>
          <w:tcPr>
            <w:tcW w:w="1197" w:type="dxa"/>
            <w:vMerge w:val="continue"/>
            <w:noWrap/>
            <w:vAlign w:val="center"/>
          </w:tcPr>
          <w:p w14:paraId="14D26100">
            <w:pPr>
              <w:widowControl/>
              <w:spacing w:line="240" w:lineRule="auto"/>
              <w:ind w:firstLine="0" w:firstLineChars="0"/>
              <w:jc w:val="center"/>
              <w:textAlignment w:val="center"/>
              <w:rPr>
                <w:rFonts w:hint="default" w:ascii="Times New Roman" w:hAnsi="Times New Roman" w:eastAsia="宋体" w:cs="Times New Roman"/>
                <w:sz w:val="21"/>
                <w:szCs w:val="21"/>
              </w:rPr>
            </w:pPr>
          </w:p>
        </w:tc>
      </w:tr>
      <w:tr w14:paraId="5592F5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1" w:type="dxa"/>
            <w:noWrap/>
            <w:vAlign w:val="center"/>
          </w:tcPr>
          <w:p w14:paraId="6247D6A3">
            <w:pPr>
              <w:pStyle w:val="75"/>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450" w:type="dxa"/>
            <w:vMerge w:val="continue"/>
            <w:noWrap/>
            <w:vAlign w:val="center"/>
          </w:tcPr>
          <w:p w14:paraId="045859CB">
            <w:pPr>
              <w:pStyle w:val="75"/>
              <w:rPr>
                <w:rFonts w:hint="default" w:ascii="Times New Roman" w:hAnsi="Times New Roman" w:eastAsia="宋体" w:cs="Times New Roman"/>
                <w:sz w:val="21"/>
                <w:szCs w:val="21"/>
              </w:rPr>
            </w:pPr>
          </w:p>
        </w:tc>
        <w:tc>
          <w:tcPr>
            <w:tcW w:w="1710" w:type="dxa"/>
            <w:noWrap/>
            <w:vAlign w:val="center"/>
          </w:tcPr>
          <w:p w14:paraId="4B9E9104">
            <w:pPr>
              <w:widowControl/>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厂界外</w:t>
            </w:r>
            <w:r>
              <w:rPr>
                <w:rFonts w:hint="default" w:ascii="Times New Roman" w:hAnsi="Times New Roman" w:eastAsia="宋体" w:cs="Times New Roman"/>
                <w:sz w:val="21"/>
                <w:szCs w:val="21"/>
                <w:lang w:val="en-US" w:eastAsia="zh-CN"/>
              </w:rPr>
              <w:t>西侧空地</w:t>
            </w:r>
          </w:p>
        </w:tc>
        <w:tc>
          <w:tcPr>
            <w:tcW w:w="2880" w:type="dxa"/>
            <w:noWrap/>
            <w:vAlign w:val="center"/>
          </w:tcPr>
          <w:p w14:paraId="03781168">
            <w:pPr>
              <w:widowControl/>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pH、总镍、总铬、石油烃</w:t>
            </w:r>
          </w:p>
        </w:tc>
        <w:tc>
          <w:tcPr>
            <w:tcW w:w="1815" w:type="dxa"/>
            <w:vMerge w:val="continue"/>
            <w:noWrap/>
            <w:vAlign w:val="center"/>
          </w:tcPr>
          <w:p w14:paraId="530A3E52">
            <w:pPr>
              <w:widowControl/>
              <w:spacing w:line="240" w:lineRule="auto"/>
              <w:ind w:firstLine="0" w:firstLineChars="0"/>
              <w:jc w:val="center"/>
              <w:textAlignment w:val="center"/>
              <w:rPr>
                <w:rFonts w:hint="default" w:ascii="Times New Roman" w:hAnsi="Times New Roman" w:eastAsia="宋体" w:cs="Times New Roman"/>
                <w:sz w:val="21"/>
                <w:szCs w:val="21"/>
              </w:rPr>
            </w:pPr>
          </w:p>
        </w:tc>
        <w:tc>
          <w:tcPr>
            <w:tcW w:w="1197" w:type="dxa"/>
            <w:vMerge w:val="continue"/>
            <w:noWrap/>
            <w:vAlign w:val="center"/>
          </w:tcPr>
          <w:p w14:paraId="77752E2B">
            <w:pPr>
              <w:widowControl/>
              <w:spacing w:line="240" w:lineRule="auto"/>
              <w:ind w:firstLine="0" w:firstLineChars="0"/>
              <w:jc w:val="center"/>
              <w:textAlignment w:val="center"/>
              <w:rPr>
                <w:rFonts w:hint="default" w:ascii="Times New Roman" w:hAnsi="Times New Roman" w:eastAsia="宋体" w:cs="Times New Roman"/>
                <w:sz w:val="21"/>
                <w:szCs w:val="21"/>
              </w:rPr>
            </w:pPr>
          </w:p>
        </w:tc>
      </w:tr>
    </w:tbl>
    <w:p w14:paraId="4CC342A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4.2.6.2监测方法</w:t>
      </w:r>
    </w:p>
    <w:p w14:paraId="4A84A880">
      <w:pPr>
        <w:pStyle w:val="94"/>
        <w:keepNext w:val="0"/>
        <w:keepLines w:val="0"/>
        <w:pageBreakBefore w:val="0"/>
        <w:widowControl/>
        <w:numPr>
          <w:ilvl w:val="0"/>
          <w:numId w:val="0"/>
        </w:numPr>
        <w:tabs>
          <w:tab w:val="left" w:pos="808"/>
        </w:tabs>
        <w:kinsoku/>
        <w:wordWrap/>
        <w:overflowPunct/>
        <w:topLinePunct/>
        <w:autoSpaceDE w:val="0"/>
        <w:autoSpaceDN/>
        <w:bidi w:val="0"/>
        <w:adjustRightInd w:val="0"/>
        <w:snapToGrid w:val="0"/>
        <w:spacing w:after="0" w:line="520" w:lineRule="exact"/>
        <w:ind w:left="0" w:right="0" w:firstLine="476" w:firstLineChars="200"/>
        <w:jc w:val="left"/>
        <w:textAlignment w:val="auto"/>
        <w:rPr>
          <w:rFonts w:hint="default" w:ascii="Times New Roman" w:hAnsi="Times New Roman" w:eastAsia="宋体" w:cs="Times New Roman"/>
          <w:b/>
          <w:bCs/>
          <w:snapToGrid w:val="0"/>
          <w:spacing w:val="-1"/>
          <w:kern w:val="21"/>
          <w:sz w:val="24"/>
          <w:szCs w:val="24"/>
          <w:lang w:val="en-US" w:eastAsia="zh-CN"/>
        </w:rPr>
      </w:pPr>
      <w:r>
        <w:rPr>
          <w:rFonts w:hint="default" w:ascii="Times New Roman" w:hAnsi="Times New Roman" w:eastAsia="宋体" w:cs="Times New Roman"/>
          <w:b w:val="0"/>
          <w:bCs w:val="0"/>
          <w:snapToGrid w:val="0"/>
          <w:spacing w:val="-1"/>
          <w:kern w:val="21"/>
          <w:sz w:val="24"/>
          <w:szCs w:val="24"/>
          <w:lang w:val="en-US" w:eastAsia="zh-CN"/>
        </w:rPr>
        <w:t>监测按照HJ/T166、HJ25.1、HJ25.2执行，每个样监测1次，每个点位报一组有效数据。项目土壤监测因子的监测方法如下。</w:t>
      </w:r>
    </w:p>
    <w:p w14:paraId="4BB1802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表4.2-19    土壤监测分析方法一览表</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1656"/>
        <w:gridCol w:w="2763"/>
        <w:gridCol w:w="2220"/>
        <w:gridCol w:w="1405"/>
      </w:tblGrid>
      <w:tr w14:paraId="1A203D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0" w:type="auto"/>
            <w:tcBorders>
              <w:tl2br w:val="nil"/>
              <w:tr2bl w:val="nil"/>
            </w:tcBorders>
            <w:noWrap w:val="0"/>
            <w:vAlign w:val="center"/>
          </w:tcPr>
          <w:p w14:paraId="6B14145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w:t>
            </w:r>
          </w:p>
          <w:p w14:paraId="6D14206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类别</w:t>
            </w:r>
          </w:p>
        </w:tc>
        <w:tc>
          <w:tcPr>
            <w:tcW w:w="1656" w:type="dxa"/>
            <w:tcBorders>
              <w:tl2br w:val="nil"/>
              <w:tr2bl w:val="nil"/>
            </w:tcBorders>
            <w:noWrap w:val="0"/>
            <w:vAlign w:val="center"/>
          </w:tcPr>
          <w:p w14:paraId="7F5E567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检测项目</w:t>
            </w:r>
          </w:p>
        </w:tc>
        <w:tc>
          <w:tcPr>
            <w:tcW w:w="2763" w:type="dxa"/>
            <w:tcBorders>
              <w:tl2br w:val="nil"/>
              <w:tr2bl w:val="nil"/>
            </w:tcBorders>
            <w:noWrap w:val="0"/>
            <w:vAlign w:val="center"/>
          </w:tcPr>
          <w:p w14:paraId="1AB8D23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检测分析方法</w:t>
            </w:r>
          </w:p>
        </w:tc>
        <w:tc>
          <w:tcPr>
            <w:tcW w:w="2220" w:type="dxa"/>
            <w:tcBorders>
              <w:tl2br w:val="nil"/>
              <w:tr2bl w:val="nil"/>
            </w:tcBorders>
            <w:noWrap w:val="0"/>
            <w:vAlign w:val="center"/>
          </w:tcPr>
          <w:p w14:paraId="1828A1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仪器型号、名称及编号</w:t>
            </w:r>
          </w:p>
        </w:tc>
        <w:tc>
          <w:tcPr>
            <w:tcW w:w="1405" w:type="dxa"/>
            <w:tcBorders>
              <w:tl2br w:val="nil"/>
              <w:tr2bl w:val="nil"/>
            </w:tcBorders>
            <w:noWrap w:val="0"/>
            <w:vAlign w:val="center"/>
          </w:tcPr>
          <w:p w14:paraId="623B938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检出限或最低检出浓度</w:t>
            </w:r>
          </w:p>
        </w:tc>
      </w:tr>
      <w:tr w14:paraId="612602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restart"/>
            <w:tcBorders>
              <w:tl2br w:val="nil"/>
              <w:tr2bl w:val="nil"/>
            </w:tcBorders>
            <w:noWrap w:val="0"/>
            <w:vAlign w:val="center"/>
          </w:tcPr>
          <w:p w14:paraId="3D299EF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土壤</w:t>
            </w:r>
          </w:p>
        </w:tc>
        <w:tc>
          <w:tcPr>
            <w:tcW w:w="1656" w:type="dxa"/>
            <w:tcBorders>
              <w:tl2br w:val="nil"/>
              <w:tr2bl w:val="nil"/>
            </w:tcBorders>
            <w:noWrap w:val="0"/>
            <w:vAlign w:val="center"/>
          </w:tcPr>
          <w:p w14:paraId="2685056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pH值</w:t>
            </w:r>
          </w:p>
        </w:tc>
        <w:tc>
          <w:tcPr>
            <w:tcW w:w="2763" w:type="dxa"/>
            <w:tcBorders>
              <w:tl2br w:val="nil"/>
              <w:tr2bl w:val="nil"/>
            </w:tcBorders>
            <w:noWrap w:val="0"/>
            <w:vAlign w:val="center"/>
          </w:tcPr>
          <w:p w14:paraId="0EFFB45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color w:val="000008"/>
                <w:spacing w:val="-2"/>
                <w:sz w:val="21"/>
                <w:szCs w:val="21"/>
                <w:highlight w:val="none"/>
              </w:rPr>
              <w:t>土壤</w:t>
            </w:r>
            <w:r>
              <w:rPr>
                <w:rFonts w:hint="default" w:ascii="Times New Roman" w:hAnsi="Times New Roman" w:eastAsia="宋体" w:cs="Times New Roman"/>
                <w:color w:val="000008"/>
                <w:spacing w:val="-13"/>
                <w:sz w:val="21"/>
                <w:szCs w:val="21"/>
                <w:highlight w:val="none"/>
              </w:rPr>
              <w:t xml:space="preserve"> </w:t>
            </w:r>
            <w:r>
              <w:rPr>
                <w:rFonts w:hint="default" w:ascii="Times New Roman" w:hAnsi="Times New Roman" w:eastAsia="宋体" w:cs="Times New Roman"/>
                <w:color w:val="000008"/>
                <w:spacing w:val="-2"/>
                <w:sz w:val="21"/>
                <w:szCs w:val="21"/>
                <w:highlight w:val="none"/>
              </w:rPr>
              <w:t>pH 值的测定</w:t>
            </w:r>
            <w:r>
              <w:rPr>
                <w:rFonts w:hint="default" w:ascii="Times New Roman" w:hAnsi="Times New Roman" w:eastAsia="宋体" w:cs="Times New Roman"/>
                <w:color w:val="000008"/>
                <w:spacing w:val="17"/>
                <w:sz w:val="21"/>
                <w:szCs w:val="21"/>
                <w:highlight w:val="none"/>
              </w:rPr>
              <w:t xml:space="preserve"> </w:t>
            </w:r>
            <w:r>
              <w:rPr>
                <w:rFonts w:hint="default" w:ascii="Times New Roman" w:hAnsi="Times New Roman" w:eastAsia="宋体" w:cs="Times New Roman"/>
                <w:color w:val="000008"/>
                <w:spacing w:val="-2"/>
                <w:sz w:val="21"/>
                <w:szCs w:val="21"/>
                <w:highlight w:val="none"/>
              </w:rPr>
              <w:t>电位法 HJ 962-2018</w:t>
            </w:r>
          </w:p>
        </w:tc>
        <w:tc>
          <w:tcPr>
            <w:tcW w:w="2220" w:type="dxa"/>
            <w:tcBorders>
              <w:tl2br w:val="nil"/>
              <w:tr2bl w:val="nil"/>
            </w:tcBorders>
            <w:noWrap w:val="0"/>
            <w:vAlign w:val="center"/>
          </w:tcPr>
          <w:p w14:paraId="218955F7">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PHS-3C数显酸度计BZX/YQ-056</w:t>
            </w:r>
          </w:p>
        </w:tc>
        <w:tc>
          <w:tcPr>
            <w:tcW w:w="1405" w:type="dxa"/>
            <w:tcBorders>
              <w:tl2br w:val="nil"/>
              <w:tr2bl w:val="nil"/>
            </w:tcBorders>
            <w:noWrap w:val="0"/>
            <w:vAlign w:val="center"/>
          </w:tcPr>
          <w:p w14:paraId="4D2BC38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w:t>
            </w:r>
          </w:p>
        </w:tc>
      </w:tr>
      <w:tr w14:paraId="387865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302A5E4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2C57325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铅</w:t>
            </w:r>
          </w:p>
        </w:tc>
        <w:tc>
          <w:tcPr>
            <w:tcW w:w="2763" w:type="dxa"/>
            <w:tcBorders>
              <w:tl2br w:val="nil"/>
              <w:tr2bl w:val="nil"/>
            </w:tcBorders>
            <w:noWrap w:val="0"/>
            <w:vAlign w:val="center"/>
          </w:tcPr>
          <w:p w14:paraId="7A2CAF4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土壤质量 铅、镉的测定 石墨炉原子吸收分光光度法GB/T 17141-1997</w:t>
            </w:r>
          </w:p>
        </w:tc>
        <w:tc>
          <w:tcPr>
            <w:tcW w:w="2220" w:type="dxa"/>
            <w:tcBorders>
              <w:tl2br w:val="nil"/>
              <w:tr2bl w:val="nil"/>
            </w:tcBorders>
            <w:noWrap w:val="0"/>
            <w:vAlign w:val="center"/>
          </w:tcPr>
          <w:p w14:paraId="3BAC474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A3AFG原子吸收分光光度计</w:t>
            </w:r>
            <w:r>
              <w:rPr>
                <w:rFonts w:hint="eastAsia"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BZX/YQ-005</w:t>
            </w:r>
          </w:p>
        </w:tc>
        <w:tc>
          <w:tcPr>
            <w:tcW w:w="1405" w:type="dxa"/>
            <w:tcBorders>
              <w:tl2br w:val="nil"/>
              <w:tr2bl w:val="nil"/>
            </w:tcBorders>
            <w:noWrap w:val="0"/>
            <w:vAlign w:val="center"/>
          </w:tcPr>
          <w:p w14:paraId="39A368D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21E8A9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529E4DAD">
            <w:pPr>
              <w:keepNext w:val="0"/>
              <w:keepLines w:val="0"/>
              <w:pageBreakBefore w:val="0"/>
              <w:kinsoku/>
              <w:wordWrap/>
              <w:overflowPunct/>
              <w:topLinePunct w:val="0"/>
              <w:autoSpaceDE/>
              <w:autoSpaceDN/>
              <w:bidi w:val="0"/>
              <w:adjustRightInd/>
              <w:snapToGrid/>
              <w:spacing w:line="240" w:lineRule="auto"/>
              <w:ind w:firstLine="0" w:firstLineChars="0"/>
              <w:jc w:val="both"/>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4F0D49E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sz w:val="21"/>
                <w:szCs w:val="21"/>
                <w:highlight w:val="none"/>
              </w:rPr>
              <w:t>镍</w:t>
            </w:r>
          </w:p>
        </w:tc>
        <w:tc>
          <w:tcPr>
            <w:tcW w:w="2763" w:type="dxa"/>
            <w:tcBorders>
              <w:tl2br w:val="nil"/>
              <w:tr2bl w:val="nil"/>
            </w:tcBorders>
            <w:noWrap w:val="0"/>
            <w:vAlign w:val="center"/>
          </w:tcPr>
          <w:p w14:paraId="51B20D9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土壤和沉积物</w:t>
            </w: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铜、锌、铅、镍、铬的测定火焰原子吸收分光光度法HJ 491-2019</w:t>
            </w:r>
          </w:p>
        </w:tc>
        <w:tc>
          <w:tcPr>
            <w:tcW w:w="2220" w:type="dxa"/>
            <w:tcBorders>
              <w:tl2br w:val="nil"/>
              <w:tr2bl w:val="nil"/>
            </w:tcBorders>
            <w:noWrap w:val="0"/>
            <w:vAlign w:val="center"/>
          </w:tcPr>
          <w:p w14:paraId="3BE0C29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A3AFG原子吸收分光光度计BZX/YQ-005</w:t>
            </w:r>
          </w:p>
        </w:tc>
        <w:tc>
          <w:tcPr>
            <w:tcW w:w="1405" w:type="dxa"/>
            <w:tcBorders>
              <w:tl2br w:val="nil"/>
              <w:tr2bl w:val="nil"/>
            </w:tcBorders>
            <w:noWrap w:val="0"/>
            <w:vAlign w:val="center"/>
          </w:tcPr>
          <w:p w14:paraId="4135179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w:t>
            </w:r>
            <w:r>
              <w:rPr>
                <w:rFonts w:hint="default" w:ascii="Times New Roman" w:hAnsi="Times New Roman" w:eastAsia="宋体" w:cs="Times New Roman"/>
                <w:sz w:val="21"/>
                <w:szCs w:val="21"/>
                <w:highlight w:val="none"/>
              </w:rPr>
              <w:t>mg/kg</w:t>
            </w:r>
          </w:p>
        </w:tc>
      </w:tr>
      <w:tr w14:paraId="2CEA19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38BFC24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70B7E5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highlight w:val="none"/>
              </w:rPr>
              <w:t>砷</w:t>
            </w:r>
          </w:p>
        </w:tc>
        <w:tc>
          <w:tcPr>
            <w:tcW w:w="2763" w:type="dxa"/>
            <w:tcBorders>
              <w:tl2br w:val="nil"/>
              <w:tr2bl w:val="nil"/>
            </w:tcBorders>
            <w:noWrap w:val="0"/>
            <w:vAlign w:val="center"/>
          </w:tcPr>
          <w:p w14:paraId="7DC3A75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土壤和沉积物 汞、砷、硒、铋、锑的测定 微波消解/原子荧光法HJ 680-2013</w:t>
            </w:r>
          </w:p>
        </w:tc>
        <w:tc>
          <w:tcPr>
            <w:tcW w:w="2220" w:type="dxa"/>
            <w:tcBorders>
              <w:tl2br w:val="nil"/>
              <w:tr2bl w:val="nil"/>
            </w:tcBorders>
            <w:noWrap w:val="0"/>
            <w:vAlign w:val="center"/>
          </w:tcPr>
          <w:p w14:paraId="22A8456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RGF-6300原子荧光光度计BZX/YQ-004</w:t>
            </w:r>
          </w:p>
        </w:tc>
        <w:tc>
          <w:tcPr>
            <w:tcW w:w="1405" w:type="dxa"/>
            <w:tcBorders>
              <w:tl2br w:val="nil"/>
              <w:tr2bl w:val="nil"/>
            </w:tcBorders>
            <w:noWrap w:val="0"/>
            <w:vAlign w:val="center"/>
          </w:tcPr>
          <w:p w14:paraId="4244DE2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0.01mg/kg</w:t>
            </w:r>
          </w:p>
        </w:tc>
      </w:tr>
      <w:tr w14:paraId="19556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2F0D9A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5DC8DC2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highlight w:val="none"/>
              </w:rPr>
              <w:t>铜</w:t>
            </w:r>
          </w:p>
        </w:tc>
        <w:tc>
          <w:tcPr>
            <w:tcW w:w="2763" w:type="dxa"/>
            <w:tcBorders>
              <w:tl2br w:val="nil"/>
              <w:tr2bl w:val="nil"/>
            </w:tcBorders>
            <w:noWrap w:val="0"/>
            <w:vAlign w:val="center"/>
          </w:tcPr>
          <w:p w14:paraId="65E4659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highlight w:val="none"/>
              </w:rPr>
              <w:t>土壤和沉积物</w:t>
            </w: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铜、锌、铅、镍、铬的测定火焰原子吸收分光光度法HJ 491-2019</w:t>
            </w:r>
          </w:p>
        </w:tc>
        <w:tc>
          <w:tcPr>
            <w:tcW w:w="2220" w:type="dxa"/>
            <w:tcBorders>
              <w:tl2br w:val="nil"/>
              <w:tr2bl w:val="nil"/>
            </w:tcBorders>
            <w:noWrap w:val="0"/>
            <w:vAlign w:val="center"/>
          </w:tcPr>
          <w:p w14:paraId="3B3EDF6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highlight w:val="none"/>
              </w:rPr>
              <w:t>A3AFG原子吸收分光光度计BZX/YQ-005</w:t>
            </w:r>
          </w:p>
        </w:tc>
        <w:tc>
          <w:tcPr>
            <w:tcW w:w="1405" w:type="dxa"/>
            <w:tcBorders>
              <w:tl2br w:val="nil"/>
              <w:tr2bl w:val="nil"/>
            </w:tcBorders>
            <w:noWrap w:val="0"/>
            <w:vAlign w:val="center"/>
          </w:tcPr>
          <w:p w14:paraId="64EBF04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000000"/>
                <w:sz w:val="21"/>
                <w:szCs w:val="21"/>
                <w:highlight w:val="none"/>
                <w:lang w:val="en-US" w:eastAsia="zh-CN" w:bidi="ar-SA"/>
              </w:rPr>
            </w:pPr>
            <w:r>
              <w:rPr>
                <w:rFonts w:hint="default" w:ascii="Times New Roman" w:hAnsi="Times New Roman" w:eastAsia="宋体" w:cs="Times New Roman"/>
                <w:sz w:val="21"/>
                <w:szCs w:val="21"/>
                <w:highlight w:val="none"/>
              </w:rPr>
              <w:t>1mg/kg</w:t>
            </w:r>
          </w:p>
        </w:tc>
      </w:tr>
      <w:tr w14:paraId="33E55D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7AB3573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25F25CB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镉</w:t>
            </w:r>
          </w:p>
        </w:tc>
        <w:tc>
          <w:tcPr>
            <w:tcW w:w="2763" w:type="dxa"/>
            <w:tcBorders>
              <w:tl2br w:val="nil"/>
              <w:tr2bl w:val="nil"/>
            </w:tcBorders>
            <w:noWrap w:val="0"/>
            <w:vAlign w:val="center"/>
          </w:tcPr>
          <w:p w14:paraId="64C7AF9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土壤质量 铅、镉的测定 石墨炉原子吸收分光光度法</w:t>
            </w:r>
          </w:p>
          <w:p w14:paraId="2A6407C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GB/T 17141-1997</w:t>
            </w:r>
          </w:p>
        </w:tc>
        <w:tc>
          <w:tcPr>
            <w:tcW w:w="2220" w:type="dxa"/>
            <w:tcBorders>
              <w:tl2br w:val="nil"/>
              <w:tr2bl w:val="nil"/>
            </w:tcBorders>
            <w:noWrap w:val="0"/>
            <w:vAlign w:val="center"/>
          </w:tcPr>
          <w:p w14:paraId="0F3A967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A3AFG原子吸收分光光度计BZX/YQ-005</w:t>
            </w:r>
          </w:p>
        </w:tc>
        <w:tc>
          <w:tcPr>
            <w:tcW w:w="1405" w:type="dxa"/>
            <w:tcBorders>
              <w:tl2br w:val="nil"/>
              <w:tr2bl w:val="nil"/>
            </w:tcBorders>
            <w:noWrap w:val="0"/>
            <w:vAlign w:val="center"/>
          </w:tcPr>
          <w:p w14:paraId="009DBA5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0.01mg/kg</w:t>
            </w:r>
          </w:p>
        </w:tc>
      </w:tr>
      <w:tr w14:paraId="2011FD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34D1091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7D94985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六价铬</w:t>
            </w:r>
          </w:p>
        </w:tc>
        <w:tc>
          <w:tcPr>
            <w:tcW w:w="2763" w:type="dxa"/>
            <w:tcBorders>
              <w:tl2br w:val="nil"/>
              <w:tr2bl w:val="nil"/>
            </w:tcBorders>
            <w:noWrap w:val="0"/>
            <w:vAlign w:val="center"/>
          </w:tcPr>
          <w:p w14:paraId="6FF187B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土壤和沉积物 六价铬的测定 碱溶液提取-火焰原子吸收分光光度法</w:t>
            </w:r>
          </w:p>
          <w:p w14:paraId="3CE4C3F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HJ 1082-2019</w:t>
            </w:r>
          </w:p>
        </w:tc>
        <w:tc>
          <w:tcPr>
            <w:tcW w:w="2220" w:type="dxa"/>
            <w:tcBorders>
              <w:tl2br w:val="nil"/>
              <w:tr2bl w:val="nil"/>
            </w:tcBorders>
            <w:noWrap w:val="0"/>
            <w:vAlign w:val="center"/>
          </w:tcPr>
          <w:p w14:paraId="274FA9E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A3AFG原子吸收分光光度计</w:t>
            </w:r>
          </w:p>
          <w:p w14:paraId="23A0C6D1">
            <w:pPr>
              <w:keepNext w:val="0"/>
              <w:keepLines w:val="0"/>
              <w:pageBreakBefore w:val="0"/>
              <w:kinsoku/>
              <w:wordWrap/>
              <w:overflowPunct/>
              <w:topLinePunct w:val="0"/>
              <w:autoSpaceDE/>
              <w:autoSpaceDN/>
              <w:bidi w:val="0"/>
              <w:adjustRightInd/>
              <w:snapToGrid/>
              <w:spacing w:line="240" w:lineRule="auto"/>
              <w:ind w:firstLine="0" w:firstLineChars="0"/>
              <w:jc w:val="both"/>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BZX/YQ-005</w:t>
            </w:r>
          </w:p>
        </w:tc>
        <w:tc>
          <w:tcPr>
            <w:tcW w:w="1405" w:type="dxa"/>
            <w:tcBorders>
              <w:tl2br w:val="nil"/>
              <w:tr2bl w:val="nil"/>
            </w:tcBorders>
            <w:noWrap w:val="0"/>
            <w:vAlign w:val="center"/>
          </w:tcPr>
          <w:p w14:paraId="3D88C1C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0.5mg/kg</w:t>
            </w:r>
          </w:p>
        </w:tc>
      </w:tr>
      <w:tr w14:paraId="11FD86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20B5D07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43A16A4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汞</w:t>
            </w:r>
          </w:p>
        </w:tc>
        <w:tc>
          <w:tcPr>
            <w:tcW w:w="2763" w:type="dxa"/>
            <w:tcBorders>
              <w:tl2br w:val="nil"/>
              <w:tr2bl w:val="nil"/>
            </w:tcBorders>
            <w:noWrap w:val="0"/>
            <w:vAlign w:val="center"/>
          </w:tcPr>
          <w:p w14:paraId="5D6AA77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土壤和沉积物 汞、砷、硒、铋、锑的测定 微波消解/原子荧光法HJ 680-2013</w:t>
            </w:r>
          </w:p>
        </w:tc>
        <w:tc>
          <w:tcPr>
            <w:tcW w:w="2220" w:type="dxa"/>
            <w:tcBorders>
              <w:tl2br w:val="nil"/>
              <w:tr2bl w:val="nil"/>
            </w:tcBorders>
            <w:noWrap w:val="0"/>
            <w:vAlign w:val="center"/>
          </w:tcPr>
          <w:p w14:paraId="1A8F45F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RGF-6300原子荧光光度计BZX/YQ-004</w:t>
            </w:r>
          </w:p>
        </w:tc>
        <w:tc>
          <w:tcPr>
            <w:tcW w:w="1405" w:type="dxa"/>
            <w:tcBorders>
              <w:tl2br w:val="nil"/>
              <w:tr2bl w:val="nil"/>
            </w:tcBorders>
            <w:noWrap w:val="0"/>
            <w:vAlign w:val="center"/>
          </w:tcPr>
          <w:p w14:paraId="05E742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bidi="ar-SA"/>
              </w:rPr>
              <w:t>0.002mg/kg</w:t>
            </w:r>
          </w:p>
        </w:tc>
      </w:tr>
      <w:tr w14:paraId="1FA28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0A7CFA7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031A866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铬</w:t>
            </w:r>
          </w:p>
        </w:tc>
        <w:tc>
          <w:tcPr>
            <w:tcW w:w="2763" w:type="dxa"/>
            <w:tcBorders>
              <w:tl2br w:val="nil"/>
              <w:tr2bl w:val="nil"/>
            </w:tcBorders>
            <w:noWrap w:val="0"/>
            <w:vAlign w:val="center"/>
          </w:tcPr>
          <w:p w14:paraId="18DDB49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土壤和沉积物</w:t>
            </w:r>
            <w:r>
              <w:rPr>
                <w:rFonts w:hint="default" w:ascii="Times New Roman" w:hAnsi="Times New Roman" w:eastAsia="宋体" w:cs="Times New Roman"/>
                <w:sz w:val="21"/>
                <w:szCs w:val="21"/>
                <w:highlight w:val="none"/>
                <w:lang w:val="en-US" w:eastAsia="zh-CN"/>
              </w:rPr>
              <w:t xml:space="preserve"> </w:t>
            </w:r>
            <w:r>
              <w:rPr>
                <w:rFonts w:hint="default" w:ascii="Times New Roman" w:hAnsi="Times New Roman" w:eastAsia="宋体" w:cs="Times New Roman"/>
                <w:sz w:val="21"/>
                <w:szCs w:val="21"/>
                <w:highlight w:val="none"/>
              </w:rPr>
              <w:t>铜、锌、铅、镍、铬的测定火焰原子吸收分光光度法</w:t>
            </w:r>
          </w:p>
          <w:p w14:paraId="236FDA08">
            <w:pPr>
              <w:pStyle w:val="185"/>
              <w:keepNext w:val="0"/>
              <w:keepLines w:val="0"/>
              <w:pageBreakBefore w:val="0"/>
              <w:kinsoku/>
              <w:wordWrap/>
              <w:overflowPunct/>
              <w:topLinePunct w:val="0"/>
              <w:autoSpaceDE/>
              <w:autoSpaceDN/>
              <w:bidi w:val="0"/>
              <w:adjustRightInd/>
              <w:snapToGrid/>
              <w:spacing w:line="240" w:lineRule="auto"/>
              <w:ind w:left="24" w:lef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HJ 491-2019</w:t>
            </w:r>
          </w:p>
        </w:tc>
        <w:tc>
          <w:tcPr>
            <w:tcW w:w="2220" w:type="dxa"/>
            <w:tcBorders>
              <w:tl2br w:val="nil"/>
              <w:tr2bl w:val="nil"/>
            </w:tcBorders>
            <w:noWrap w:val="0"/>
            <w:vAlign w:val="center"/>
          </w:tcPr>
          <w:p w14:paraId="4EA8504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A3AFG原子吸收分光光度计BZX/YQ-005</w:t>
            </w:r>
          </w:p>
        </w:tc>
        <w:tc>
          <w:tcPr>
            <w:tcW w:w="1405" w:type="dxa"/>
            <w:tcBorders>
              <w:tl2br w:val="nil"/>
              <w:tr2bl w:val="nil"/>
            </w:tcBorders>
            <w:noWrap w:val="0"/>
            <w:vAlign w:val="center"/>
          </w:tcPr>
          <w:p w14:paraId="51A3516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rPr>
              <w:t>mg/kg</w:t>
            </w:r>
          </w:p>
        </w:tc>
      </w:tr>
      <w:tr w14:paraId="5B7B3F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0" w:type="auto"/>
            <w:vMerge w:val="continue"/>
            <w:tcBorders>
              <w:tl2br w:val="nil"/>
              <w:tr2bl w:val="nil"/>
            </w:tcBorders>
            <w:noWrap w:val="0"/>
            <w:vAlign w:val="center"/>
          </w:tcPr>
          <w:p w14:paraId="762DF3F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p>
        </w:tc>
        <w:tc>
          <w:tcPr>
            <w:tcW w:w="1656" w:type="dxa"/>
            <w:tcBorders>
              <w:tl2br w:val="nil"/>
              <w:tr2bl w:val="nil"/>
            </w:tcBorders>
            <w:noWrap w:val="0"/>
            <w:vAlign w:val="center"/>
          </w:tcPr>
          <w:p w14:paraId="5E00FB0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四氯化碳</w:t>
            </w:r>
          </w:p>
        </w:tc>
        <w:tc>
          <w:tcPr>
            <w:tcW w:w="2763" w:type="dxa"/>
            <w:vMerge w:val="restart"/>
            <w:tcBorders>
              <w:tl2br w:val="nil"/>
              <w:tr2bl w:val="nil"/>
            </w:tcBorders>
            <w:noWrap w:val="0"/>
            <w:vAlign w:val="center"/>
          </w:tcPr>
          <w:p w14:paraId="7968F2E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土壤和沉积物 挥发性有机物的测定 吹扫捕集/气相色谱-质谱法</w:t>
            </w:r>
          </w:p>
          <w:p w14:paraId="3E122D2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HJ 605-2011</w:t>
            </w:r>
          </w:p>
        </w:tc>
        <w:tc>
          <w:tcPr>
            <w:tcW w:w="2220" w:type="dxa"/>
            <w:vMerge w:val="restart"/>
            <w:tcBorders>
              <w:tl2br w:val="nil"/>
              <w:tr2bl w:val="nil"/>
            </w:tcBorders>
            <w:noWrap w:val="0"/>
            <w:vAlign w:val="center"/>
          </w:tcPr>
          <w:p w14:paraId="18C3B9B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AMD10气相色谱质谱仪BZX/YQ-003</w:t>
            </w:r>
          </w:p>
        </w:tc>
        <w:tc>
          <w:tcPr>
            <w:tcW w:w="1405" w:type="dxa"/>
            <w:tcBorders>
              <w:tl2br w:val="nil"/>
              <w:tr2bl w:val="nil"/>
            </w:tcBorders>
            <w:noWrap w:val="0"/>
            <w:vAlign w:val="center"/>
          </w:tcPr>
          <w:p w14:paraId="5BE6F6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1.3μg/kg</w:t>
            </w:r>
          </w:p>
        </w:tc>
      </w:tr>
      <w:tr w14:paraId="3789D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0" w:type="auto"/>
            <w:vMerge w:val="continue"/>
            <w:tcBorders>
              <w:tl2br w:val="nil"/>
              <w:tr2bl w:val="nil"/>
            </w:tcBorders>
            <w:noWrap w:val="0"/>
            <w:vAlign w:val="center"/>
          </w:tcPr>
          <w:p w14:paraId="4695954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D0DB12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氯仿</w:t>
            </w:r>
          </w:p>
        </w:tc>
        <w:tc>
          <w:tcPr>
            <w:tcW w:w="2763" w:type="dxa"/>
            <w:vMerge w:val="continue"/>
            <w:tcBorders>
              <w:tl2br w:val="nil"/>
              <w:tr2bl w:val="nil"/>
            </w:tcBorders>
            <w:noWrap w:val="0"/>
            <w:vAlign w:val="center"/>
          </w:tcPr>
          <w:p w14:paraId="1AC179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188B1D4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42FAFBE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1.1μg/kg</w:t>
            </w:r>
          </w:p>
        </w:tc>
      </w:tr>
      <w:tr w14:paraId="65CD41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0" w:type="auto"/>
            <w:vMerge w:val="continue"/>
            <w:tcBorders>
              <w:tl2br w:val="nil"/>
              <w:tr2bl w:val="nil"/>
            </w:tcBorders>
            <w:noWrap w:val="0"/>
            <w:vAlign w:val="center"/>
          </w:tcPr>
          <w:p w14:paraId="32CB3D7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6D4E15D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氯甲烷</w:t>
            </w:r>
          </w:p>
        </w:tc>
        <w:tc>
          <w:tcPr>
            <w:tcW w:w="2763" w:type="dxa"/>
            <w:vMerge w:val="continue"/>
            <w:tcBorders>
              <w:tl2br w:val="nil"/>
              <w:tr2bl w:val="nil"/>
            </w:tcBorders>
            <w:noWrap w:val="0"/>
            <w:vAlign w:val="center"/>
          </w:tcPr>
          <w:p w14:paraId="6AED7CE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0A25AD2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11D9C2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1.0μg/kg</w:t>
            </w:r>
          </w:p>
        </w:tc>
      </w:tr>
      <w:tr w14:paraId="6C55E0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0" w:type="auto"/>
            <w:vMerge w:val="continue"/>
            <w:tcBorders>
              <w:tl2br w:val="nil"/>
              <w:tr2bl w:val="nil"/>
            </w:tcBorders>
            <w:noWrap w:val="0"/>
            <w:vAlign w:val="center"/>
          </w:tcPr>
          <w:p w14:paraId="3B92EF2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3607103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1,1-二氯乙烷</w:t>
            </w:r>
          </w:p>
        </w:tc>
        <w:tc>
          <w:tcPr>
            <w:tcW w:w="2763" w:type="dxa"/>
            <w:vMerge w:val="continue"/>
            <w:tcBorders>
              <w:tl2br w:val="nil"/>
              <w:tr2bl w:val="nil"/>
            </w:tcBorders>
            <w:noWrap w:val="0"/>
            <w:vAlign w:val="center"/>
          </w:tcPr>
          <w:p w14:paraId="62F235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50273CF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D55741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1.2μg/kg</w:t>
            </w:r>
          </w:p>
        </w:tc>
      </w:tr>
      <w:tr w14:paraId="68122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Borders>
              <w:tl2br w:val="nil"/>
              <w:tr2bl w:val="nil"/>
            </w:tcBorders>
            <w:noWrap w:val="0"/>
            <w:vAlign w:val="center"/>
          </w:tcPr>
          <w:p w14:paraId="0793F36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1D21ACD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1,2-二氯乙烷</w:t>
            </w:r>
          </w:p>
        </w:tc>
        <w:tc>
          <w:tcPr>
            <w:tcW w:w="2763" w:type="dxa"/>
            <w:vMerge w:val="continue"/>
            <w:tcBorders>
              <w:tl2br w:val="nil"/>
              <w:tr2bl w:val="nil"/>
            </w:tcBorders>
            <w:noWrap w:val="0"/>
            <w:vAlign w:val="center"/>
          </w:tcPr>
          <w:p w14:paraId="662BD4A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1291883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B5A619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1.3μg/kg</w:t>
            </w:r>
          </w:p>
        </w:tc>
      </w:tr>
      <w:tr w14:paraId="7C61F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0" w:type="auto"/>
            <w:vMerge w:val="continue"/>
            <w:tcBorders>
              <w:tl2br w:val="nil"/>
              <w:tr2bl w:val="nil"/>
            </w:tcBorders>
            <w:noWrap w:val="0"/>
            <w:vAlign w:val="center"/>
          </w:tcPr>
          <w:p w14:paraId="546D130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42D3910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1,1-二氯乙烯</w:t>
            </w:r>
          </w:p>
        </w:tc>
        <w:tc>
          <w:tcPr>
            <w:tcW w:w="2763" w:type="dxa"/>
            <w:vMerge w:val="continue"/>
            <w:tcBorders>
              <w:tl2br w:val="nil"/>
              <w:tr2bl w:val="nil"/>
            </w:tcBorders>
            <w:noWrap w:val="0"/>
            <w:vAlign w:val="center"/>
          </w:tcPr>
          <w:p w14:paraId="1377232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2D61D2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7F2B0A5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1.0μg/kg</w:t>
            </w:r>
          </w:p>
        </w:tc>
      </w:tr>
      <w:tr w14:paraId="2B1AF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restart"/>
            <w:tcBorders>
              <w:tl2br w:val="nil"/>
              <w:tr2bl w:val="nil"/>
            </w:tcBorders>
            <w:noWrap w:val="0"/>
            <w:vAlign w:val="center"/>
          </w:tcPr>
          <w:p w14:paraId="63BA2BA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土壤</w:t>
            </w:r>
          </w:p>
        </w:tc>
        <w:tc>
          <w:tcPr>
            <w:tcW w:w="1656" w:type="dxa"/>
            <w:tcBorders>
              <w:tl2br w:val="nil"/>
              <w:tr2bl w:val="nil"/>
            </w:tcBorders>
            <w:noWrap w:val="0"/>
            <w:vAlign w:val="center"/>
          </w:tcPr>
          <w:p w14:paraId="14F341A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顺-1,2-二氯乙烯</w:t>
            </w:r>
          </w:p>
        </w:tc>
        <w:tc>
          <w:tcPr>
            <w:tcW w:w="2763" w:type="dxa"/>
            <w:vMerge w:val="restart"/>
            <w:tcBorders>
              <w:tl2br w:val="nil"/>
              <w:tr2bl w:val="nil"/>
            </w:tcBorders>
            <w:noWrap w:val="0"/>
            <w:vAlign w:val="center"/>
          </w:tcPr>
          <w:p w14:paraId="1D5042E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土壤和沉积物 挥发性有机物的测定 吹扫捕集/气相色谱-质谱法HJ 605-2011</w:t>
            </w:r>
          </w:p>
        </w:tc>
        <w:tc>
          <w:tcPr>
            <w:tcW w:w="2220" w:type="dxa"/>
            <w:vMerge w:val="restart"/>
            <w:tcBorders>
              <w:tl2br w:val="nil"/>
              <w:tr2bl w:val="nil"/>
            </w:tcBorders>
            <w:noWrap w:val="0"/>
            <w:vAlign w:val="center"/>
          </w:tcPr>
          <w:p w14:paraId="53F842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AMD10气相色谱质谱仪BZX/YQ-003</w:t>
            </w:r>
          </w:p>
        </w:tc>
        <w:tc>
          <w:tcPr>
            <w:tcW w:w="1405" w:type="dxa"/>
            <w:tcBorders>
              <w:tl2br w:val="nil"/>
              <w:tr2bl w:val="nil"/>
            </w:tcBorders>
            <w:noWrap w:val="0"/>
            <w:vAlign w:val="center"/>
          </w:tcPr>
          <w:p w14:paraId="3AC247B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sz w:val="21"/>
                <w:szCs w:val="21"/>
                <w:highlight w:val="none"/>
              </w:rPr>
              <w:t>1.3μg/kg</w:t>
            </w:r>
          </w:p>
        </w:tc>
      </w:tr>
      <w:tr w14:paraId="6E6AE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C11FA2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7A01301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反-1,2-二氯乙烯</w:t>
            </w:r>
          </w:p>
        </w:tc>
        <w:tc>
          <w:tcPr>
            <w:tcW w:w="2763" w:type="dxa"/>
            <w:vMerge w:val="continue"/>
            <w:tcBorders>
              <w:tl2br w:val="nil"/>
              <w:tr2bl w:val="nil"/>
            </w:tcBorders>
            <w:noWrap w:val="0"/>
            <w:vAlign w:val="center"/>
          </w:tcPr>
          <w:p w14:paraId="0752E1C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37DF77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0E59CF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1.4μg/kg</w:t>
            </w:r>
          </w:p>
        </w:tc>
      </w:tr>
      <w:tr w14:paraId="5B706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33B8C90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1A218D0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二氯甲烷</w:t>
            </w:r>
          </w:p>
        </w:tc>
        <w:tc>
          <w:tcPr>
            <w:tcW w:w="2763" w:type="dxa"/>
            <w:vMerge w:val="continue"/>
            <w:tcBorders>
              <w:tl2br w:val="nil"/>
              <w:tr2bl w:val="nil"/>
            </w:tcBorders>
            <w:noWrap w:val="0"/>
            <w:vAlign w:val="center"/>
          </w:tcPr>
          <w:p w14:paraId="561FF89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F76820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22C8D49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1.5μg/kg</w:t>
            </w:r>
          </w:p>
        </w:tc>
      </w:tr>
      <w:tr w14:paraId="0739F2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7386216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2F2B284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1,2-二氯丙烷</w:t>
            </w:r>
          </w:p>
        </w:tc>
        <w:tc>
          <w:tcPr>
            <w:tcW w:w="2763" w:type="dxa"/>
            <w:vMerge w:val="continue"/>
            <w:tcBorders>
              <w:tl2br w:val="nil"/>
              <w:tr2bl w:val="nil"/>
            </w:tcBorders>
            <w:noWrap w:val="0"/>
            <w:vAlign w:val="center"/>
          </w:tcPr>
          <w:p w14:paraId="6C06DB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02D91EE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70EEAF4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1.1μg/kg</w:t>
            </w:r>
          </w:p>
        </w:tc>
      </w:tr>
      <w:tr w14:paraId="0BD53B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37E84A0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17B536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1,1,1,2-四氯乙烷</w:t>
            </w:r>
          </w:p>
        </w:tc>
        <w:tc>
          <w:tcPr>
            <w:tcW w:w="2763" w:type="dxa"/>
            <w:vMerge w:val="continue"/>
            <w:tcBorders>
              <w:tl2br w:val="nil"/>
              <w:tr2bl w:val="nil"/>
            </w:tcBorders>
            <w:noWrap w:val="0"/>
            <w:vAlign w:val="center"/>
          </w:tcPr>
          <w:p w14:paraId="2405C03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20CC41D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7B95B1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4616AA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94C6DA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6ACA42B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1,1,2,2-四氯乙烷</w:t>
            </w:r>
          </w:p>
        </w:tc>
        <w:tc>
          <w:tcPr>
            <w:tcW w:w="2763" w:type="dxa"/>
            <w:vMerge w:val="continue"/>
            <w:tcBorders>
              <w:tl2br w:val="nil"/>
              <w:tr2bl w:val="nil"/>
            </w:tcBorders>
            <w:noWrap w:val="0"/>
            <w:vAlign w:val="center"/>
          </w:tcPr>
          <w:p w14:paraId="1D54965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48B876C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4BB3056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10DA24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650D28F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3F5FCA3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四氯乙烯</w:t>
            </w:r>
          </w:p>
        </w:tc>
        <w:tc>
          <w:tcPr>
            <w:tcW w:w="2763" w:type="dxa"/>
            <w:vMerge w:val="continue"/>
            <w:tcBorders>
              <w:tl2br w:val="nil"/>
              <w:tr2bl w:val="nil"/>
            </w:tcBorders>
            <w:noWrap w:val="0"/>
            <w:vAlign w:val="center"/>
          </w:tcPr>
          <w:p w14:paraId="2775105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2A3E6C4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E3F604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1.4μg/kg</w:t>
            </w:r>
          </w:p>
        </w:tc>
      </w:tr>
      <w:tr w14:paraId="1221C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77BC436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0EB6A03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1,1,1-三氯乙烷</w:t>
            </w:r>
          </w:p>
        </w:tc>
        <w:tc>
          <w:tcPr>
            <w:tcW w:w="2763" w:type="dxa"/>
            <w:vMerge w:val="continue"/>
            <w:tcBorders>
              <w:tl2br w:val="nil"/>
              <w:tr2bl w:val="nil"/>
            </w:tcBorders>
            <w:noWrap w:val="0"/>
            <w:vAlign w:val="center"/>
          </w:tcPr>
          <w:p w14:paraId="032248C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77277F7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00B5F2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1.3μg/kg</w:t>
            </w:r>
          </w:p>
        </w:tc>
      </w:tr>
      <w:tr w14:paraId="5A223F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74B419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178A01B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1,1,2-三氯乙烷</w:t>
            </w:r>
          </w:p>
        </w:tc>
        <w:tc>
          <w:tcPr>
            <w:tcW w:w="2763" w:type="dxa"/>
            <w:vMerge w:val="continue"/>
            <w:tcBorders>
              <w:tl2br w:val="nil"/>
              <w:tr2bl w:val="nil"/>
            </w:tcBorders>
            <w:noWrap w:val="0"/>
            <w:vAlign w:val="center"/>
          </w:tcPr>
          <w:p w14:paraId="13892A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6878545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4F6631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2786EF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0C9C7B2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71145EA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三氯乙烯</w:t>
            </w:r>
          </w:p>
        </w:tc>
        <w:tc>
          <w:tcPr>
            <w:tcW w:w="2763" w:type="dxa"/>
            <w:vMerge w:val="continue"/>
            <w:tcBorders>
              <w:tl2br w:val="nil"/>
              <w:tr2bl w:val="nil"/>
            </w:tcBorders>
            <w:noWrap w:val="0"/>
            <w:vAlign w:val="center"/>
          </w:tcPr>
          <w:p w14:paraId="1C45C7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7C1CE30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12B21B3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2C318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1DA179E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61B327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1,2,3-三氯丙烷</w:t>
            </w:r>
          </w:p>
        </w:tc>
        <w:tc>
          <w:tcPr>
            <w:tcW w:w="2763" w:type="dxa"/>
            <w:vMerge w:val="continue"/>
            <w:tcBorders>
              <w:tl2br w:val="nil"/>
              <w:tr2bl w:val="nil"/>
            </w:tcBorders>
            <w:noWrap w:val="0"/>
            <w:vAlign w:val="center"/>
          </w:tcPr>
          <w:p w14:paraId="604794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0E2852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4427DE8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2EF2B4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5E8FA7D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479DBAE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氯乙烯</w:t>
            </w:r>
          </w:p>
        </w:tc>
        <w:tc>
          <w:tcPr>
            <w:tcW w:w="2763" w:type="dxa"/>
            <w:vMerge w:val="continue"/>
            <w:tcBorders>
              <w:tl2br w:val="nil"/>
              <w:tr2bl w:val="nil"/>
            </w:tcBorders>
            <w:noWrap w:val="0"/>
            <w:vAlign w:val="center"/>
          </w:tcPr>
          <w:p w14:paraId="673029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76BBF9E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5DC6345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1.0μg/kg</w:t>
            </w:r>
          </w:p>
        </w:tc>
      </w:tr>
      <w:tr w14:paraId="1FF8E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0D9B9EA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45A2698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w:t>
            </w:r>
          </w:p>
        </w:tc>
        <w:tc>
          <w:tcPr>
            <w:tcW w:w="2763" w:type="dxa"/>
            <w:vMerge w:val="continue"/>
            <w:tcBorders>
              <w:tl2br w:val="nil"/>
              <w:tr2bl w:val="nil"/>
            </w:tcBorders>
            <w:noWrap w:val="0"/>
            <w:vAlign w:val="center"/>
          </w:tcPr>
          <w:p w14:paraId="33101A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269C2C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03069EC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1.9μg/kg</w:t>
            </w:r>
          </w:p>
        </w:tc>
      </w:tr>
      <w:tr w14:paraId="2D89F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41C0D5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71862EF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氯苯</w:t>
            </w:r>
          </w:p>
        </w:tc>
        <w:tc>
          <w:tcPr>
            <w:tcW w:w="2763" w:type="dxa"/>
            <w:vMerge w:val="continue"/>
            <w:tcBorders>
              <w:tl2br w:val="nil"/>
              <w:tr2bl w:val="nil"/>
            </w:tcBorders>
            <w:noWrap w:val="0"/>
            <w:vAlign w:val="center"/>
          </w:tcPr>
          <w:p w14:paraId="47C593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27A3922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7580549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15319B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6EE2D65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D355DA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w:t>
            </w:r>
            <w:r>
              <w:rPr>
                <w:rFonts w:hint="default" w:ascii="Times New Roman" w:hAnsi="Times New Roman" w:eastAsia="宋体" w:cs="Times New Roman"/>
                <w:sz w:val="21"/>
                <w:szCs w:val="21"/>
                <w:highlight w:val="none"/>
                <w:lang w:val="en-US" w:eastAsia="zh-CN"/>
              </w:rPr>
              <w:t>二</w:t>
            </w:r>
            <w:r>
              <w:rPr>
                <w:rFonts w:hint="default" w:ascii="Times New Roman" w:hAnsi="Times New Roman" w:eastAsia="宋体" w:cs="Times New Roman"/>
                <w:sz w:val="21"/>
                <w:szCs w:val="21"/>
                <w:highlight w:val="none"/>
              </w:rPr>
              <w:t>氯苯</w:t>
            </w:r>
          </w:p>
        </w:tc>
        <w:tc>
          <w:tcPr>
            <w:tcW w:w="2763" w:type="dxa"/>
            <w:vMerge w:val="continue"/>
            <w:tcBorders>
              <w:tl2br w:val="nil"/>
              <w:tr2bl w:val="nil"/>
            </w:tcBorders>
            <w:noWrap w:val="0"/>
            <w:vAlign w:val="center"/>
          </w:tcPr>
          <w:p w14:paraId="5B94121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5FC177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2ABDC5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rPr>
              <w:t>μg/kg</w:t>
            </w:r>
          </w:p>
        </w:tc>
      </w:tr>
      <w:tr w14:paraId="0AFD9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547F71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1D8184B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lang w:val="en-US" w:eastAsia="zh-CN"/>
              </w:rPr>
              <w:t>二</w:t>
            </w:r>
            <w:r>
              <w:rPr>
                <w:rFonts w:hint="default" w:ascii="Times New Roman" w:hAnsi="Times New Roman" w:eastAsia="宋体" w:cs="Times New Roman"/>
                <w:sz w:val="21"/>
                <w:szCs w:val="21"/>
                <w:highlight w:val="none"/>
              </w:rPr>
              <w:t>氯苯</w:t>
            </w:r>
          </w:p>
        </w:tc>
        <w:tc>
          <w:tcPr>
            <w:tcW w:w="2763" w:type="dxa"/>
            <w:vMerge w:val="continue"/>
            <w:tcBorders>
              <w:tl2br w:val="nil"/>
              <w:tr2bl w:val="nil"/>
            </w:tcBorders>
            <w:noWrap w:val="0"/>
            <w:vAlign w:val="center"/>
          </w:tcPr>
          <w:p w14:paraId="2383B4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7CDE39E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29F5E60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rPr>
              <w:t>μg/kg</w:t>
            </w:r>
          </w:p>
        </w:tc>
      </w:tr>
      <w:tr w14:paraId="6B2DC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175E6B0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165E2A1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乙苯</w:t>
            </w:r>
          </w:p>
        </w:tc>
        <w:tc>
          <w:tcPr>
            <w:tcW w:w="2763" w:type="dxa"/>
            <w:vMerge w:val="continue"/>
            <w:tcBorders>
              <w:tl2br w:val="nil"/>
              <w:tr2bl w:val="nil"/>
            </w:tcBorders>
            <w:noWrap w:val="0"/>
            <w:vAlign w:val="center"/>
          </w:tcPr>
          <w:p w14:paraId="6527B75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10DB0E7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3BCBDB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0C4C34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7F994BE">
            <w:pPr>
              <w:keepNext w:val="0"/>
              <w:keepLines w:val="0"/>
              <w:pageBreakBefore w:val="0"/>
              <w:kinsoku/>
              <w:wordWrap/>
              <w:overflowPunct/>
              <w:topLinePunct w:val="0"/>
              <w:autoSpaceDE/>
              <w:autoSpaceDN/>
              <w:bidi w:val="0"/>
              <w:adjustRightInd/>
              <w:snapToGrid/>
              <w:spacing w:line="240" w:lineRule="auto"/>
              <w:ind w:firstLine="0" w:firstLineChars="0"/>
              <w:jc w:val="both"/>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65A9B93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苯乙烯</w:t>
            </w:r>
          </w:p>
        </w:tc>
        <w:tc>
          <w:tcPr>
            <w:tcW w:w="2763" w:type="dxa"/>
            <w:vMerge w:val="continue"/>
            <w:tcBorders>
              <w:tl2br w:val="nil"/>
              <w:tr2bl w:val="nil"/>
            </w:tcBorders>
            <w:noWrap w:val="0"/>
            <w:vAlign w:val="center"/>
          </w:tcPr>
          <w:p w14:paraId="538E527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54206DD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42D8092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1.1μg/kg</w:t>
            </w:r>
          </w:p>
        </w:tc>
      </w:tr>
      <w:tr w14:paraId="1C2905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670D820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C56397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甲苯</w:t>
            </w:r>
          </w:p>
        </w:tc>
        <w:tc>
          <w:tcPr>
            <w:tcW w:w="2763" w:type="dxa"/>
            <w:vMerge w:val="continue"/>
            <w:tcBorders>
              <w:tl2br w:val="nil"/>
              <w:tr2bl w:val="nil"/>
            </w:tcBorders>
            <w:noWrap w:val="0"/>
            <w:vAlign w:val="center"/>
          </w:tcPr>
          <w:p w14:paraId="2D8A35E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21EB7DE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07824E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1.3μg/kg</w:t>
            </w:r>
          </w:p>
        </w:tc>
      </w:tr>
      <w:tr w14:paraId="28BA5A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7FDAD8E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3197DA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间二甲苯+对二甲苯</w:t>
            </w:r>
          </w:p>
        </w:tc>
        <w:tc>
          <w:tcPr>
            <w:tcW w:w="2763" w:type="dxa"/>
            <w:vMerge w:val="continue"/>
            <w:tcBorders>
              <w:tl2br w:val="nil"/>
              <w:tr2bl w:val="nil"/>
            </w:tcBorders>
            <w:noWrap w:val="0"/>
            <w:vAlign w:val="center"/>
          </w:tcPr>
          <w:p w14:paraId="5617E1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A6A4CB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01EC606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727BA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vMerge w:val="continue"/>
            <w:tcBorders>
              <w:tl2br w:val="nil"/>
              <w:tr2bl w:val="nil"/>
            </w:tcBorders>
            <w:noWrap w:val="0"/>
            <w:vAlign w:val="center"/>
          </w:tcPr>
          <w:p w14:paraId="4B2A531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2409560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邻二甲苯</w:t>
            </w:r>
          </w:p>
        </w:tc>
        <w:tc>
          <w:tcPr>
            <w:tcW w:w="2763" w:type="dxa"/>
            <w:vMerge w:val="continue"/>
            <w:tcBorders>
              <w:tl2br w:val="nil"/>
              <w:tr2bl w:val="nil"/>
            </w:tcBorders>
            <w:noWrap w:val="0"/>
            <w:vAlign w:val="center"/>
          </w:tcPr>
          <w:p w14:paraId="721A89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5C14526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1E35B7F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1.2μg/kg</w:t>
            </w:r>
          </w:p>
        </w:tc>
      </w:tr>
      <w:tr w14:paraId="6A688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restart"/>
            <w:tcBorders>
              <w:tl2br w:val="nil"/>
              <w:tr2bl w:val="nil"/>
            </w:tcBorders>
            <w:noWrap w:val="0"/>
            <w:vAlign w:val="center"/>
          </w:tcPr>
          <w:p w14:paraId="0E6062B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土壤</w:t>
            </w:r>
          </w:p>
        </w:tc>
        <w:tc>
          <w:tcPr>
            <w:tcW w:w="1656" w:type="dxa"/>
            <w:tcBorders>
              <w:tl2br w:val="nil"/>
              <w:tr2bl w:val="nil"/>
            </w:tcBorders>
            <w:noWrap w:val="0"/>
            <w:vAlign w:val="center"/>
          </w:tcPr>
          <w:p w14:paraId="177B24C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硝基苯</w:t>
            </w:r>
          </w:p>
        </w:tc>
        <w:tc>
          <w:tcPr>
            <w:tcW w:w="2763" w:type="dxa"/>
            <w:vMerge w:val="restart"/>
            <w:tcBorders>
              <w:tl2br w:val="nil"/>
              <w:tr2bl w:val="nil"/>
            </w:tcBorders>
            <w:noWrap w:val="0"/>
            <w:vAlign w:val="center"/>
          </w:tcPr>
          <w:p w14:paraId="707E348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auto"/>
                <w:sz w:val="21"/>
                <w:szCs w:val="21"/>
                <w:highlight w:val="none"/>
              </w:rPr>
              <w:t>土壤和沉积物 半挥发性有机物的测定 气相色谱-质谱法HJ 834-2017</w:t>
            </w:r>
          </w:p>
        </w:tc>
        <w:tc>
          <w:tcPr>
            <w:tcW w:w="2220" w:type="dxa"/>
            <w:vMerge w:val="restart"/>
            <w:tcBorders>
              <w:tl2br w:val="nil"/>
              <w:tr2bl w:val="nil"/>
            </w:tcBorders>
            <w:noWrap w:val="0"/>
            <w:vAlign w:val="center"/>
          </w:tcPr>
          <w:p w14:paraId="7FADE19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auto"/>
                <w:sz w:val="21"/>
                <w:szCs w:val="21"/>
                <w:highlight w:val="none"/>
              </w:rPr>
              <w:t>AMD10气相色谱质谱仪BZX/YQ-</w:t>
            </w:r>
            <w:r>
              <w:rPr>
                <w:rFonts w:hint="default" w:ascii="Times New Roman" w:hAnsi="Times New Roman" w:eastAsia="宋体" w:cs="Times New Roman"/>
                <w:color w:val="auto"/>
                <w:sz w:val="21"/>
                <w:szCs w:val="21"/>
                <w:highlight w:val="none"/>
                <w:lang w:val="en-US" w:eastAsia="zh-CN"/>
              </w:rPr>
              <w:t>192</w:t>
            </w:r>
          </w:p>
        </w:tc>
        <w:tc>
          <w:tcPr>
            <w:tcW w:w="1405" w:type="dxa"/>
            <w:tcBorders>
              <w:tl2br w:val="nil"/>
              <w:tr2bl w:val="nil"/>
            </w:tcBorders>
            <w:noWrap w:val="0"/>
            <w:vAlign w:val="center"/>
          </w:tcPr>
          <w:p w14:paraId="6F68132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0.09mg/kg</w:t>
            </w:r>
          </w:p>
        </w:tc>
      </w:tr>
      <w:tr w14:paraId="1FDB00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5ACABEA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021DBF4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苯胺</w:t>
            </w:r>
          </w:p>
        </w:tc>
        <w:tc>
          <w:tcPr>
            <w:tcW w:w="2763" w:type="dxa"/>
            <w:vMerge w:val="continue"/>
            <w:tcBorders>
              <w:tl2br w:val="nil"/>
              <w:tr2bl w:val="nil"/>
            </w:tcBorders>
            <w:noWrap w:val="0"/>
            <w:vAlign w:val="center"/>
          </w:tcPr>
          <w:p w14:paraId="354E2A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45AB1A6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5CE91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0.06</w:t>
            </w:r>
            <w:r>
              <w:rPr>
                <w:rFonts w:hint="default" w:ascii="Times New Roman" w:hAnsi="Times New Roman" w:eastAsia="宋体" w:cs="Times New Roman"/>
                <w:sz w:val="21"/>
                <w:szCs w:val="21"/>
                <w:highlight w:val="none"/>
              </w:rPr>
              <w:t>mg/kg</w:t>
            </w:r>
          </w:p>
        </w:tc>
      </w:tr>
      <w:tr w14:paraId="02770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7B1ACBA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59AE28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2-氯</w:t>
            </w:r>
            <w:r>
              <w:rPr>
                <w:rFonts w:hint="default" w:ascii="Times New Roman" w:hAnsi="Times New Roman" w:eastAsia="宋体" w:cs="Times New Roman"/>
                <w:sz w:val="21"/>
                <w:szCs w:val="21"/>
                <w:highlight w:val="none"/>
                <w:lang w:val="en-US" w:eastAsia="zh-CN"/>
              </w:rPr>
              <w:t>苯</w:t>
            </w:r>
            <w:r>
              <w:rPr>
                <w:rFonts w:hint="default" w:ascii="Times New Roman" w:hAnsi="Times New Roman" w:eastAsia="宋体" w:cs="Times New Roman"/>
                <w:sz w:val="21"/>
                <w:szCs w:val="21"/>
                <w:highlight w:val="none"/>
              </w:rPr>
              <w:t>酚</w:t>
            </w:r>
          </w:p>
        </w:tc>
        <w:tc>
          <w:tcPr>
            <w:tcW w:w="2763" w:type="dxa"/>
            <w:vMerge w:val="continue"/>
            <w:tcBorders>
              <w:tl2br w:val="nil"/>
              <w:tr2bl w:val="nil"/>
            </w:tcBorders>
            <w:noWrap w:val="0"/>
            <w:vAlign w:val="center"/>
          </w:tcPr>
          <w:p w14:paraId="5BE15C5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BF874A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1C26E3F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0.06mg/kg</w:t>
            </w:r>
          </w:p>
        </w:tc>
      </w:tr>
      <w:tr w14:paraId="0D7EC6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356FD16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E9BF65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苯并[a]蒽</w:t>
            </w:r>
          </w:p>
        </w:tc>
        <w:tc>
          <w:tcPr>
            <w:tcW w:w="2763" w:type="dxa"/>
            <w:vMerge w:val="continue"/>
            <w:tcBorders>
              <w:tl2br w:val="nil"/>
              <w:tr2bl w:val="nil"/>
            </w:tcBorders>
            <w:noWrap w:val="0"/>
            <w:vAlign w:val="center"/>
          </w:tcPr>
          <w:p w14:paraId="5D82F0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006C07D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25E29B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01EDEF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1D6AEC5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51149CE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苯并[a]芘</w:t>
            </w:r>
          </w:p>
        </w:tc>
        <w:tc>
          <w:tcPr>
            <w:tcW w:w="2763" w:type="dxa"/>
            <w:vMerge w:val="continue"/>
            <w:tcBorders>
              <w:tl2br w:val="nil"/>
              <w:tr2bl w:val="nil"/>
            </w:tcBorders>
            <w:noWrap w:val="0"/>
            <w:vAlign w:val="center"/>
          </w:tcPr>
          <w:p w14:paraId="44FB18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5C2B48D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2D7AC9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43A0F8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142726AD">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630898E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苯并[b]荧蒽</w:t>
            </w:r>
          </w:p>
        </w:tc>
        <w:tc>
          <w:tcPr>
            <w:tcW w:w="2763" w:type="dxa"/>
            <w:vMerge w:val="continue"/>
            <w:tcBorders>
              <w:tl2br w:val="nil"/>
              <w:tr2bl w:val="nil"/>
            </w:tcBorders>
            <w:noWrap w:val="0"/>
            <w:vAlign w:val="center"/>
          </w:tcPr>
          <w:p w14:paraId="13520B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6EDE8E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18624A5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0.2mg/kg</w:t>
            </w:r>
          </w:p>
        </w:tc>
      </w:tr>
      <w:tr w14:paraId="1C9E27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2D1D85B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440EC8C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苯并[k]荧蒽</w:t>
            </w:r>
          </w:p>
        </w:tc>
        <w:tc>
          <w:tcPr>
            <w:tcW w:w="2763" w:type="dxa"/>
            <w:vMerge w:val="continue"/>
            <w:tcBorders>
              <w:tl2br w:val="nil"/>
              <w:tr2bl w:val="nil"/>
            </w:tcBorders>
            <w:noWrap w:val="0"/>
            <w:vAlign w:val="center"/>
          </w:tcPr>
          <w:p w14:paraId="3B471C2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7C76E17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D4F67F8">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4E3CC0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707F9BB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754194A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䓛</w:t>
            </w:r>
          </w:p>
        </w:tc>
        <w:tc>
          <w:tcPr>
            <w:tcW w:w="2763" w:type="dxa"/>
            <w:vMerge w:val="continue"/>
            <w:tcBorders>
              <w:tl2br w:val="nil"/>
              <w:tr2bl w:val="nil"/>
            </w:tcBorders>
            <w:noWrap w:val="0"/>
            <w:vAlign w:val="center"/>
          </w:tcPr>
          <w:p w14:paraId="48A885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53DFC3D9">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05AEB51E">
            <w:pPr>
              <w:keepNext w:val="0"/>
              <w:keepLines w:val="0"/>
              <w:pageBreakBefore w:val="0"/>
              <w:tabs>
                <w:tab w:val="left" w:pos="530"/>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5E440B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5FBB6A4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64567B0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二苯并[a，h]蒽</w:t>
            </w:r>
          </w:p>
        </w:tc>
        <w:tc>
          <w:tcPr>
            <w:tcW w:w="2763" w:type="dxa"/>
            <w:vMerge w:val="continue"/>
            <w:tcBorders>
              <w:tl2br w:val="nil"/>
              <w:tr2bl w:val="nil"/>
            </w:tcBorders>
            <w:noWrap w:val="0"/>
            <w:vAlign w:val="center"/>
          </w:tcPr>
          <w:p w14:paraId="5749AA4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75BC71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3E241A9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40F5B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746CB5E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02E28ED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茚并[1,2,3-cd]芘</w:t>
            </w:r>
          </w:p>
        </w:tc>
        <w:tc>
          <w:tcPr>
            <w:tcW w:w="2763" w:type="dxa"/>
            <w:vMerge w:val="continue"/>
            <w:tcBorders>
              <w:tl2br w:val="nil"/>
              <w:tr2bl w:val="nil"/>
            </w:tcBorders>
            <w:noWrap w:val="0"/>
            <w:vAlign w:val="center"/>
          </w:tcPr>
          <w:p w14:paraId="174B67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3DEB3EA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26F917B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0.1mg/kg</w:t>
            </w:r>
          </w:p>
        </w:tc>
      </w:tr>
      <w:tr w14:paraId="15654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30C3BE7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7028893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萘</w:t>
            </w:r>
          </w:p>
        </w:tc>
        <w:tc>
          <w:tcPr>
            <w:tcW w:w="2763" w:type="dxa"/>
            <w:vMerge w:val="continue"/>
            <w:tcBorders>
              <w:tl2br w:val="nil"/>
              <w:tr2bl w:val="nil"/>
            </w:tcBorders>
            <w:noWrap w:val="0"/>
            <w:vAlign w:val="center"/>
          </w:tcPr>
          <w:p w14:paraId="3A6A8A7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2220" w:type="dxa"/>
            <w:vMerge w:val="continue"/>
            <w:tcBorders>
              <w:tl2br w:val="nil"/>
              <w:tr2bl w:val="nil"/>
            </w:tcBorders>
            <w:noWrap w:val="0"/>
            <w:vAlign w:val="center"/>
          </w:tcPr>
          <w:p w14:paraId="66CC555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405" w:type="dxa"/>
            <w:tcBorders>
              <w:tl2br w:val="nil"/>
              <w:tr2bl w:val="nil"/>
            </w:tcBorders>
            <w:noWrap w:val="0"/>
            <w:vAlign w:val="center"/>
          </w:tcPr>
          <w:p w14:paraId="6199757F">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0.09</w:t>
            </w:r>
            <w:r>
              <w:rPr>
                <w:rFonts w:hint="default" w:ascii="Times New Roman" w:hAnsi="Times New Roman" w:eastAsia="宋体" w:cs="Times New Roman"/>
                <w:sz w:val="21"/>
                <w:szCs w:val="21"/>
                <w:highlight w:val="none"/>
              </w:rPr>
              <w:t>mg/kg</w:t>
            </w:r>
          </w:p>
        </w:tc>
      </w:tr>
      <w:tr w14:paraId="5BD86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l2br w:val="nil"/>
              <w:tr2bl w:val="nil"/>
            </w:tcBorders>
            <w:noWrap w:val="0"/>
            <w:vAlign w:val="center"/>
          </w:tcPr>
          <w:p w14:paraId="472041F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p>
        </w:tc>
        <w:tc>
          <w:tcPr>
            <w:tcW w:w="1656" w:type="dxa"/>
            <w:tcBorders>
              <w:tl2br w:val="nil"/>
              <w:tr2bl w:val="nil"/>
            </w:tcBorders>
            <w:noWrap w:val="0"/>
            <w:vAlign w:val="center"/>
          </w:tcPr>
          <w:p w14:paraId="376C43A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bidi="ar-SA"/>
              </w:rPr>
              <w:t>石油烃</w:t>
            </w:r>
            <w:r>
              <w:rPr>
                <w:rFonts w:hint="default" w:ascii="Times New Roman" w:hAnsi="Times New Roman" w:eastAsia="宋体" w:cs="Times New Roman"/>
                <w:color w:val="000007"/>
                <w:position w:val="2"/>
                <w:sz w:val="21"/>
                <w:szCs w:val="21"/>
                <w:highlight w:val="none"/>
              </w:rPr>
              <w:t>（C</w:t>
            </w:r>
            <w:r>
              <w:rPr>
                <w:rFonts w:hint="default" w:ascii="Times New Roman" w:hAnsi="Times New Roman" w:eastAsia="宋体" w:cs="Times New Roman"/>
                <w:color w:val="000007"/>
                <w:position w:val="2"/>
                <w:sz w:val="21"/>
                <w:szCs w:val="21"/>
                <w:highlight w:val="none"/>
                <w:vertAlign w:val="subscript"/>
              </w:rPr>
              <w:t>10</w:t>
            </w:r>
            <w:r>
              <w:rPr>
                <w:rFonts w:hint="default" w:ascii="Times New Roman" w:hAnsi="Times New Roman" w:eastAsia="宋体" w:cs="Times New Roman"/>
                <w:color w:val="000007"/>
                <w:position w:val="2"/>
                <w:sz w:val="21"/>
                <w:szCs w:val="21"/>
                <w:highlight w:val="none"/>
                <w:vertAlign w:val="baseline"/>
              </w:rPr>
              <w:t>-C</w:t>
            </w:r>
            <w:r>
              <w:rPr>
                <w:rFonts w:hint="default" w:ascii="Times New Roman" w:hAnsi="Times New Roman" w:eastAsia="宋体" w:cs="Times New Roman"/>
                <w:color w:val="000007"/>
                <w:position w:val="2"/>
                <w:sz w:val="21"/>
                <w:szCs w:val="21"/>
                <w:highlight w:val="none"/>
                <w:vertAlign w:val="subscript"/>
              </w:rPr>
              <w:t>40</w:t>
            </w:r>
            <w:r>
              <w:rPr>
                <w:rFonts w:hint="default" w:ascii="Times New Roman" w:hAnsi="Times New Roman" w:eastAsia="宋体" w:cs="Times New Roman"/>
                <w:color w:val="000007"/>
                <w:position w:val="2"/>
                <w:sz w:val="21"/>
                <w:szCs w:val="21"/>
                <w:highlight w:val="none"/>
                <w:vertAlign w:val="baseline"/>
              </w:rPr>
              <w:t>）</w:t>
            </w:r>
          </w:p>
        </w:tc>
        <w:tc>
          <w:tcPr>
            <w:tcW w:w="2763" w:type="dxa"/>
            <w:tcBorders>
              <w:tl2br w:val="nil"/>
              <w:tr2bl w:val="nil"/>
            </w:tcBorders>
            <w:noWrap w:val="0"/>
            <w:vAlign w:val="center"/>
          </w:tcPr>
          <w:p w14:paraId="2C4D040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7"/>
                <w:position w:val="2"/>
                <w:sz w:val="21"/>
                <w:szCs w:val="21"/>
                <w:highlight w:val="none"/>
              </w:rPr>
              <w:t>土壤和沉积物 石油烃（C</w:t>
            </w:r>
            <w:r>
              <w:rPr>
                <w:rFonts w:hint="default" w:ascii="Times New Roman" w:hAnsi="Times New Roman" w:eastAsia="宋体" w:cs="Times New Roman"/>
                <w:color w:val="000007"/>
                <w:position w:val="2"/>
                <w:sz w:val="21"/>
                <w:szCs w:val="21"/>
                <w:highlight w:val="none"/>
                <w:vertAlign w:val="subscript"/>
              </w:rPr>
              <w:t>10</w:t>
            </w:r>
            <w:r>
              <w:rPr>
                <w:rFonts w:hint="default" w:ascii="Times New Roman" w:hAnsi="Times New Roman" w:eastAsia="宋体" w:cs="Times New Roman"/>
                <w:color w:val="000007"/>
                <w:position w:val="2"/>
                <w:sz w:val="21"/>
                <w:szCs w:val="21"/>
                <w:highlight w:val="none"/>
              </w:rPr>
              <w:t>-C</w:t>
            </w:r>
            <w:r>
              <w:rPr>
                <w:rFonts w:hint="default" w:ascii="Times New Roman" w:hAnsi="Times New Roman" w:eastAsia="宋体" w:cs="Times New Roman"/>
                <w:color w:val="000007"/>
                <w:position w:val="2"/>
                <w:sz w:val="21"/>
                <w:szCs w:val="21"/>
                <w:highlight w:val="none"/>
                <w:vertAlign w:val="subscript"/>
              </w:rPr>
              <w:t>40</w:t>
            </w:r>
            <w:r>
              <w:rPr>
                <w:rFonts w:hint="default" w:ascii="Times New Roman" w:hAnsi="Times New Roman" w:eastAsia="宋体" w:cs="Times New Roman"/>
                <w:color w:val="000007"/>
                <w:position w:val="2"/>
                <w:sz w:val="21"/>
                <w:szCs w:val="21"/>
                <w:highlight w:val="none"/>
              </w:rPr>
              <w:t>）的测定 气相色谱法 HJ 1021-2019</w:t>
            </w:r>
          </w:p>
        </w:tc>
        <w:tc>
          <w:tcPr>
            <w:tcW w:w="2220" w:type="dxa"/>
            <w:tcBorders>
              <w:tl2br w:val="nil"/>
              <w:tr2bl w:val="nil"/>
            </w:tcBorders>
            <w:noWrap w:val="0"/>
            <w:vAlign w:val="center"/>
          </w:tcPr>
          <w:p w14:paraId="608D89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A60气相色谱仪BZX/YQ-001</w:t>
            </w:r>
          </w:p>
        </w:tc>
        <w:tc>
          <w:tcPr>
            <w:tcW w:w="1405" w:type="dxa"/>
            <w:tcBorders>
              <w:tl2br w:val="nil"/>
              <w:tr2bl w:val="nil"/>
            </w:tcBorders>
            <w:noWrap w:val="0"/>
            <w:vAlign w:val="center"/>
          </w:tcPr>
          <w:p w14:paraId="176A3136">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w:t>
            </w:r>
            <w:r>
              <w:rPr>
                <w:rFonts w:hint="default" w:ascii="Times New Roman" w:hAnsi="Times New Roman" w:eastAsia="宋体" w:cs="Times New Roman"/>
                <w:sz w:val="21"/>
                <w:szCs w:val="21"/>
                <w:highlight w:val="none"/>
              </w:rPr>
              <w:t>mg/kg</w:t>
            </w:r>
          </w:p>
        </w:tc>
      </w:tr>
    </w:tbl>
    <w:p w14:paraId="0B7323C7">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4.2.6.3监测结果</w:t>
      </w:r>
    </w:p>
    <w:p w14:paraId="79E02939">
      <w:pPr>
        <w:ind w:firstLine="480"/>
      </w:pPr>
      <w:r>
        <w:rPr>
          <w:rFonts w:hint="eastAsia"/>
        </w:rPr>
        <w:t>本次土壤环境监测结果见表4</w:t>
      </w:r>
      <w:r>
        <w:rPr>
          <w:rFonts w:hint="eastAsia"/>
          <w:lang w:val="en-US" w:eastAsia="zh-CN"/>
        </w:rPr>
        <w:t>.2</w:t>
      </w:r>
      <w:r>
        <w:rPr>
          <w:rFonts w:hint="eastAsia"/>
        </w:rPr>
        <w:t>-</w:t>
      </w:r>
      <w:r>
        <w:rPr>
          <w:rFonts w:hint="eastAsia"/>
          <w:lang w:val="en-US" w:eastAsia="zh-CN"/>
        </w:rPr>
        <w:t>20</w:t>
      </w:r>
      <w:r>
        <w:rPr>
          <w:rFonts w:hint="eastAsia"/>
        </w:rPr>
        <w:t>~表4</w:t>
      </w:r>
      <w:r>
        <w:rPr>
          <w:rFonts w:hint="eastAsia"/>
          <w:lang w:val="en-US" w:eastAsia="zh-CN"/>
        </w:rPr>
        <w:t>.2</w:t>
      </w:r>
      <w:r>
        <w:rPr>
          <w:rFonts w:hint="eastAsia"/>
        </w:rPr>
        <w:t>-</w:t>
      </w:r>
      <w:r>
        <w:rPr>
          <w:rFonts w:hint="eastAsia"/>
          <w:lang w:val="en-US" w:eastAsia="zh-CN"/>
        </w:rPr>
        <w:t>21</w:t>
      </w:r>
      <w:r>
        <w:rPr>
          <w:rFonts w:hint="eastAsia"/>
        </w:rPr>
        <w:t>。</w:t>
      </w:r>
    </w:p>
    <w:p w14:paraId="279A70E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lang w:val="en-US" w:eastAsia="zh-CN"/>
        </w:rPr>
      </w:pPr>
      <w:r>
        <w:rPr>
          <w:rFonts w:hint="eastAsia"/>
          <w:lang w:val="en-US" w:eastAsia="zh-CN"/>
        </w:rPr>
        <w:t>表4.2-20    项目土壤环境监测结果1           单位mg/kg</w:t>
      </w:r>
    </w:p>
    <w:tbl>
      <w:tblPr>
        <w:tblStyle w:val="40"/>
        <w:tblW w:w="5158"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0" w:type="dxa"/>
          <w:bottom w:w="0" w:type="dxa"/>
          <w:right w:w="0" w:type="dxa"/>
        </w:tblCellMar>
      </w:tblPr>
      <w:tblGrid>
        <w:gridCol w:w="855"/>
        <w:gridCol w:w="557"/>
        <w:gridCol w:w="1199"/>
        <w:gridCol w:w="937"/>
        <w:gridCol w:w="948"/>
        <w:gridCol w:w="745"/>
        <w:gridCol w:w="915"/>
        <w:gridCol w:w="784"/>
        <w:gridCol w:w="722"/>
        <w:gridCol w:w="933"/>
      </w:tblGrid>
      <w:tr w14:paraId="135CFD0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798" w:hRule="atLeast"/>
          <w:tblHeader/>
          <w:jc w:val="center"/>
        </w:trPr>
        <w:tc>
          <w:tcPr>
            <w:tcW w:w="471" w:type="pct"/>
            <w:vMerge w:val="restart"/>
            <w:vAlign w:val="center"/>
          </w:tcPr>
          <w:p w14:paraId="01410029">
            <w:pPr>
              <w:pStyle w:val="81"/>
              <w:rPr>
                <w:color w:val="auto"/>
              </w:rPr>
            </w:pPr>
            <w:r>
              <w:rPr>
                <w:color w:val="auto"/>
              </w:rPr>
              <w:t>检测</w:t>
            </w:r>
          </w:p>
          <w:p w14:paraId="552148B1">
            <w:pPr>
              <w:pStyle w:val="81"/>
              <w:rPr>
                <w:rFonts w:hint="default" w:eastAsia="宋体"/>
                <w:color w:val="auto"/>
                <w:lang w:val="en-US" w:eastAsia="zh-CN"/>
              </w:rPr>
            </w:pPr>
            <w:r>
              <w:rPr>
                <w:rFonts w:hint="eastAsia"/>
                <w:color w:val="auto"/>
                <w:lang w:val="en-US" w:eastAsia="zh-CN"/>
              </w:rPr>
              <w:t>时间</w:t>
            </w:r>
          </w:p>
        </w:tc>
        <w:tc>
          <w:tcPr>
            <w:tcW w:w="327" w:type="pct"/>
            <w:vMerge w:val="restart"/>
            <w:vAlign w:val="center"/>
          </w:tcPr>
          <w:p w14:paraId="78EE8A9C">
            <w:pPr>
              <w:pStyle w:val="81"/>
              <w:rPr>
                <w:color w:val="auto"/>
              </w:rPr>
            </w:pPr>
            <w:r>
              <w:rPr>
                <w:rFonts w:hint="eastAsia"/>
                <w:color w:val="auto"/>
              </w:rPr>
              <w:t>序号</w:t>
            </w:r>
          </w:p>
        </w:tc>
        <w:tc>
          <w:tcPr>
            <w:tcW w:w="700" w:type="pct"/>
            <w:vMerge w:val="restart"/>
            <w:vAlign w:val="center"/>
          </w:tcPr>
          <w:p w14:paraId="72487A7B">
            <w:pPr>
              <w:pStyle w:val="81"/>
              <w:rPr>
                <w:color w:val="auto"/>
              </w:rPr>
            </w:pPr>
            <w:r>
              <w:rPr>
                <w:color w:val="auto"/>
              </w:rPr>
              <w:t>检测因子</w:t>
            </w:r>
          </w:p>
        </w:tc>
        <w:tc>
          <w:tcPr>
            <w:tcW w:w="2955" w:type="pct"/>
            <w:gridSpan w:val="6"/>
            <w:vAlign w:val="center"/>
          </w:tcPr>
          <w:p w14:paraId="66A6665A">
            <w:pPr>
              <w:pStyle w:val="81"/>
              <w:rPr>
                <w:color w:val="auto"/>
              </w:rPr>
            </w:pPr>
            <w:r>
              <w:rPr>
                <w:color w:val="auto"/>
              </w:rPr>
              <w:t>检测结果</w:t>
            </w:r>
          </w:p>
        </w:tc>
        <w:tc>
          <w:tcPr>
            <w:tcW w:w="545" w:type="pct"/>
            <w:vMerge w:val="restart"/>
            <w:vAlign w:val="center"/>
          </w:tcPr>
          <w:p w14:paraId="5FB73AF0">
            <w:pPr>
              <w:pStyle w:val="75"/>
            </w:pPr>
            <w:r>
              <w:rPr>
                <w:rFonts w:hint="eastAsia" w:cs="宋体"/>
                <w:b/>
                <w:kern w:val="2"/>
                <w:szCs w:val="20"/>
              </w:rPr>
              <w:t>建设用地筛选值</w:t>
            </w:r>
          </w:p>
        </w:tc>
      </w:tr>
      <w:tr w14:paraId="7B5D5A4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7163C856">
            <w:pPr>
              <w:pStyle w:val="81"/>
              <w:rPr>
                <w:color w:val="auto"/>
              </w:rPr>
            </w:pPr>
          </w:p>
        </w:tc>
        <w:tc>
          <w:tcPr>
            <w:tcW w:w="327" w:type="pct"/>
            <w:vMerge w:val="continue"/>
            <w:vAlign w:val="center"/>
          </w:tcPr>
          <w:p w14:paraId="1C09806F">
            <w:pPr>
              <w:pStyle w:val="81"/>
              <w:rPr>
                <w:color w:val="auto"/>
              </w:rPr>
            </w:pPr>
          </w:p>
        </w:tc>
        <w:tc>
          <w:tcPr>
            <w:tcW w:w="700" w:type="pct"/>
            <w:vMerge w:val="continue"/>
            <w:vAlign w:val="center"/>
          </w:tcPr>
          <w:p w14:paraId="3390D919">
            <w:pPr>
              <w:pStyle w:val="81"/>
              <w:rPr>
                <w:color w:val="auto"/>
              </w:rPr>
            </w:pPr>
          </w:p>
        </w:tc>
        <w:tc>
          <w:tcPr>
            <w:tcW w:w="1538" w:type="pct"/>
            <w:gridSpan w:val="3"/>
            <w:vAlign w:val="center"/>
          </w:tcPr>
          <w:p w14:paraId="56E56574">
            <w:pPr>
              <w:pStyle w:val="81"/>
              <w:rPr>
                <w:color w:val="auto"/>
              </w:rPr>
            </w:pPr>
            <w:r>
              <w:rPr>
                <w:rFonts w:hint="eastAsia"/>
                <w:color w:val="auto"/>
              </w:rPr>
              <w:t>拟建污水处理站附近</w:t>
            </w:r>
          </w:p>
        </w:tc>
        <w:tc>
          <w:tcPr>
            <w:tcW w:w="1416" w:type="pct"/>
            <w:gridSpan w:val="3"/>
            <w:vAlign w:val="center"/>
          </w:tcPr>
          <w:p w14:paraId="07B8E1F4">
            <w:pPr>
              <w:pStyle w:val="81"/>
              <w:rPr>
                <w:rFonts w:hint="eastAsia" w:cs="Times New Roman"/>
                <w:sz w:val="21"/>
                <w:szCs w:val="21"/>
                <w:lang w:val="en-US" w:eastAsia="zh-CN"/>
              </w:rPr>
            </w:pPr>
            <w:r>
              <w:rPr>
                <w:rFonts w:hint="eastAsia" w:cs="Times New Roman"/>
                <w:sz w:val="21"/>
                <w:szCs w:val="21"/>
                <w:lang w:val="en-US" w:eastAsia="zh-CN"/>
              </w:rPr>
              <w:t>拟建车间中部</w:t>
            </w:r>
          </w:p>
        </w:tc>
        <w:tc>
          <w:tcPr>
            <w:tcW w:w="545" w:type="pct"/>
            <w:vMerge w:val="continue"/>
            <w:vAlign w:val="center"/>
          </w:tcPr>
          <w:p w14:paraId="55993DB3">
            <w:pPr>
              <w:pStyle w:val="75"/>
            </w:pPr>
          </w:p>
        </w:tc>
      </w:tr>
      <w:tr w14:paraId="2E24F4CD">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75DEFAC">
            <w:pPr>
              <w:pStyle w:val="81"/>
              <w:rPr>
                <w:color w:val="auto"/>
              </w:rPr>
            </w:pPr>
          </w:p>
        </w:tc>
        <w:tc>
          <w:tcPr>
            <w:tcW w:w="327" w:type="pct"/>
            <w:vMerge w:val="continue"/>
            <w:vAlign w:val="center"/>
          </w:tcPr>
          <w:p w14:paraId="79C08035">
            <w:pPr>
              <w:pStyle w:val="81"/>
              <w:rPr>
                <w:color w:val="auto"/>
              </w:rPr>
            </w:pPr>
          </w:p>
        </w:tc>
        <w:tc>
          <w:tcPr>
            <w:tcW w:w="700" w:type="pct"/>
            <w:vMerge w:val="continue"/>
            <w:vAlign w:val="center"/>
          </w:tcPr>
          <w:p w14:paraId="69037294">
            <w:pPr>
              <w:pStyle w:val="81"/>
              <w:rPr>
                <w:color w:val="auto"/>
              </w:rPr>
            </w:pPr>
          </w:p>
        </w:tc>
        <w:tc>
          <w:tcPr>
            <w:tcW w:w="548" w:type="pct"/>
            <w:vAlign w:val="center"/>
          </w:tcPr>
          <w:p w14:paraId="444F8563">
            <w:pPr>
              <w:pStyle w:val="81"/>
              <w:rPr>
                <w:color w:val="auto"/>
              </w:rPr>
            </w:pPr>
            <w:r>
              <w:rPr>
                <w:rFonts w:hint="eastAsia"/>
                <w:color w:val="auto"/>
              </w:rPr>
              <w:t>0-0.5m</w:t>
            </w:r>
          </w:p>
        </w:tc>
        <w:tc>
          <w:tcPr>
            <w:tcW w:w="554" w:type="pct"/>
            <w:vAlign w:val="center"/>
          </w:tcPr>
          <w:p w14:paraId="39BCF6D7">
            <w:pPr>
              <w:pStyle w:val="81"/>
              <w:rPr>
                <w:color w:val="auto"/>
              </w:rPr>
            </w:pPr>
            <w:r>
              <w:rPr>
                <w:rFonts w:hint="eastAsia"/>
                <w:color w:val="auto"/>
              </w:rPr>
              <w:t>0.5-1.5m</w:t>
            </w:r>
          </w:p>
        </w:tc>
        <w:tc>
          <w:tcPr>
            <w:tcW w:w="436" w:type="pct"/>
            <w:vAlign w:val="center"/>
          </w:tcPr>
          <w:p w14:paraId="215661B6">
            <w:pPr>
              <w:pStyle w:val="81"/>
              <w:rPr>
                <w:color w:val="auto"/>
              </w:rPr>
            </w:pPr>
            <w:r>
              <w:rPr>
                <w:rFonts w:hint="eastAsia"/>
                <w:color w:val="auto"/>
              </w:rPr>
              <w:t>1.5-3m</w:t>
            </w:r>
          </w:p>
        </w:tc>
        <w:tc>
          <w:tcPr>
            <w:tcW w:w="535" w:type="pct"/>
            <w:vAlign w:val="center"/>
          </w:tcPr>
          <w:p w14:paraId="09EF4129">
            <w:pPr>
              <w:pStyle w:val="81"/>
              <w:rPr>
                <w:color w:val="auto"/>
              </w:rPr>
            </w:pPr>
            <w:r>
              <w:rPr>
                <w:rFonts w:hint="eastAsia"/>
                <w:color w:val="auto"/>
              </w:rPr>
              <w:t>0-0.5m</w:t>
            </w:r>
          </w:p>
        </w:tc>
        <w:tc>
          <w:tcPr>
            <w:tcW w:w="459" w:type="pct"/>
            <w:vAlign w:val="center"/>
          </w:tcPr>
          <w:p w14:paraId="5656AC98">
            <w:pPr>
              <w:pStyle w:val="81"/>
              <w:ind w:firstLine="0" w:firstLineChars="0"/>
              <w:rPr>
                <w:rFonts w:hint="eastAsia"/>
                <w:color w:val="auto"/>
              </w:rPr>
            </w:pPr>
            <w:r>
              <w:rPr>
                <w:rFonts w:hint="eastAsia"/>
                <w:color w:val="auto"/>
              </w:rPr>
              <w:t>0.5-1.5m</w:t>
            </w:r>
          </w:p>
        </w:tc>
        <w:tc>
          <w:tcPr>
            <w:tcW w:w="422" w:type="pct"/>
            <w:vAlign w:val="center"/>
          </w:tcPr>
          <w:p w14:paraId="31F02E58">
            <w:pPr>
              <w:pStyle w:val="81"/>
              <w:ind w:firstLine="0" w:firstLineChars="0"/>
              <w:rPr>
                <w:rFonts w:hint="eastAsia"/>
                <w:color w:val="auto"/>
              </w:rPr>
            </w:pPr>
            <w:r>
              <w:rPr>
                <w:rFonts w:hint="eastAsia"/>
                <w:color w:val="auto"/>
              </w:rPr>
              <w:t>1.5-3m</w:t>
            </w:r>
          </w:p>
        </w:tc>
        <w:tc>
          <w:tcPr>
            <w:tcW w:w="545" w:type="pct"/>
            <w:vMerge w:val="continue"/>
            <w:vAlign w:val="center"/>
          </w:tcPr>
          <w:p w14:paraId="07FAB26A">
            <w:pPr>
              <w:pStyle w:val="75"/>
            </w:pPr>
          </w:p>
        </w:tc>
      </w:tr>
      <w:tr w14:paraId="4CD1AA6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restart"/>
            <w:vAlign w:val="center"/>
          </w:tcPr>
          <w:p w14:paraId="5AD03928">
            <w:pPr>
              <w:pStyle w:val="75"/>
              <w:rPr>
                <w:rFonts w:hint="default" w:eastAsia="宋体"/>
                <w:lang w:val="en-US" w:eastAsia="zh-CN"/>
              </w:rPr>
            </w:pPr>
            <w:r>
              <w:rPr>
                <w:rFonts w:hint="eastAsia"/>
                <w:lang w:val="en-US" w:eastAsia="zh-CN"/>
              </w:rPr>
              <w:t>2025.3.28</w:t>
            </w:r>
          </w:p>
        </w:tc>
        <w:tc>
          <w:tcPr>
            <w:tcW w:w="327" w:type="pct"/>
            <w:vAlign w:val="center"/>
          </w:tcPr>
          <w:p w14:paraId="012DA7D3">
            <w:pPr>
              <w:pStyle w:val="75"/>
            </w:pPr>
            <w:r>
              <w:rPr>
                <w:rFonts w:hint="eastAsia"/>
              </w:rPr>
              <w:t>1</w:t>
            </w:r>
          </w:p>
        </w:tc>
        <w:tc>
          <w:tcPr>
            <w:tcW w:w="700" w:type="pct"/>
            <w:vAlign w:val="center"/>
          </w:tcPr>
          <w:p w14:paraId="4F8BF988">
            <w:pPr>
              <w:pStyle w:val="75"/>
            </w:pPr>
            <w:r>
              <w:t>砷</w:t>
            </w:r>
          </w:p>
        </w:tc>
        <w:tc>
          <w:tcPr>
            <w:tcW w:w="548" w:type="pct"/>
            <w:vAlign w:val="center"/>
          </w:tcPr>
          <w:p w14:paraId="47F0B2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b w:val="0"/>
                <w:bCs w:val="0"/>
                <w:sz w:val="21"/>
                <w:szCs w:val="21"/>
                <w:highlight w:val="none"/>
                <w:lang w:val="en-US" w:eastAsia="zh-CN"/>
              </w:rPr>
              <w:t>0.106</w:t>
            </w:r>
          </w:p>
        </w:tc>
        <w:tc>
          <w:tcPr>
            <w:tcW w:w="554" w:type="pct"/>
            <w:vAlign w:val="center"/>
          </w:tcPr>
          <w:p w14:paraId="780AD9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sz w:val="21"/>
                <w:szCs w:val="21"/>
                <w:highlight w:val="none"/>
                <w:lang w:val="en-US" w:eastAsia="zh-CN"/>
              </w:rPr>
              <w:t>0.091</w:t>
            </w:r>
          </w:p>
        </w:tc>
        <w:tc>
          <w:tcPr>
            <w:tcW w:w="436" w:type="pct"/>
            <w:vAlign w:val="center"/>
          </w:tcPr>
          <w:p w14:paraId="5346B7B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color w:val="auto"/>
                <w:sz w:val="21"/>
                <w:szCs w:val="21"/>
                <w:highlight w:val="none"/>
                <w:lang w:val="en-US" w:eastAsia="zh-CN"/>
              </w:rPr>
              <w:t>0.083</w:t>
            </w:r>
          </w:p>
        </w:tc>
        <w:tc>
          <w:tcPr>
            <w:tcW w:w="535" w:type="pct"/>
            <w:vAlign w:val="center"/>
          </w:tcPr>
          <w:p w14:paraId="5B03254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color w:val="auto"/>
                <w:sz w:val="21"/>
                <w:szCs w:val="21"/>
                <w:highlight w:val="none"/>
                <w:lang w:val="en-US" w:eastAsia="zh-CN"/>
              </w:rPr>
              <w:t>0.067</w:t>
            </w:r>
          </w:p>
        </w:tc>
        <w:tc>
          <w:tcPr>
            <w:tcW w:w="459" w:type="pct"/>
            <w:vAlign w:val="center"/>
          </w:tcPr>
          <w:p w14:paraId="2F594C6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color w:val="auto"/>
                <w:sz w:val="21"/>
                <w:szCs w:val="21"/>
                <w:highlight w:val="none"/>
                <w:lang w:val="en-US" w:eastAsia="zh-CN"/>
              </w:rPr>
              <w:t>0.104</w:t>
            </w:r>
          </w:p>
        </w:tc>
        <w:tc>
          <w:tcPr>
            <w:tcW w:w="422" w:type="pct"/>
            <w:vAlign w:val="center"/>
          </w:tcPr>
          <w:p w14:paraId="39B8E2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sz w:val="21"/>
                <w:szCs w:val="21"/>
              </w:rPr>
            </w:pPr>
            <w:r>
              <w:rPr>
                <w:rFonts w:hint="default" w:ascii="Times New Roman" w:hAnsi="Times New Roman" w:eastAsia="宋体" w:cs="Times New Roman"/>
                <w:color w:val="auto"/>
                <w:sz w:val="21"/>
                <w:szCs w:val="21"/>
                <w:highlight w:val="none"/>
                <w:lang w:val="en-US" w:eastAsia="zh-CN"/>
              </w:rPr>
              <w:t>0.090</w:t>
            </w:r>
          </w:p>
        </w:tc>
        <w:tc>
          <w:tcPr>
            <w:tcW w:w="545" w:type="pct"/>
            <w:vAlign w:val="center"/>
          </w:tcPr>
          <w:p w14:paraId="22B9CBF1">
            <w:pPr>
              <w:pStyle w:val="75"/>
            </w:pPr>
            <w:r>
              <w:rPr>
                <w:rFonts w:hint="eastAsia"/>
              </w:rPr>
              <w:t>60</w:t>
            </w:r>
          </w:p>
        </w:tc>
      </w:tr>
      <w:tr w14:paraId="375497D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228300B2">
            <w:pPr>
              <w:pStyle w:val="75"/>
            </w:pPr>
          </w:p>
        </w:tc>
        <w:tc>
          <w:tcPr>
            <w:tcW w:w="327" w:type="pct"/>
            <w:vAlign w:val="center"/>
          </w:tcPr>
          <w:p w14:paraId="16BE66E3">
            <w:pPr>
              <w:pStyle w:val="75"/>
            </w:pPr>
            <w:r>
              <w:rPr>
                <w:rFonts w:hint="eastAsia"/>
              </w:rPr>
              <w:t>2</w:t>
            </w:r>
          </w:p>
        </w:tc>
        <w:tc>
          <w:tcPr>
            <w:tcW w:w="700" w:type="pct"/>
            <w:vAlign w:val="center"/>
          </w:tcPr>
          <w:p w14:paraId="217DCB1D">
            <w:pPr>
              <w:pStyle w:val="75"/>
            </w:pPr>
            <w:r>
              <w:t>镉</w:t>
            </w:r>
          </w:p>
        </w:tc>
        <w:tc>
          <w:tcPr>
            <w:tcW w:w="548" w:type="pct"/>
            <w:vAlign w:val="center"/>
          </w:tcPr>
          <w:p w14:paraId="71E5D7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0.41</w:t>
            </w:r>
          </w:p>
        </w:tc>
        <w:tc>
          <w:tcPr>
            <w:tcW w:w="554" w:type="pct"/>
            <w:vAlign w:val="center"/>
          </w:tcPr>
          <w:p w14:paraId="19816E8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0.36</w:t>
            </w:r>
          </w:p>
        </w:tc>
        <w:tc>
          <w:tcPr>
            <w:tcW w:w="436" w:type="pct"/>
            <w:vAlign w:val="center"/>
          </w:tcPr>
          <w:p w14:paraId="157AFF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0.33</w:t>
            </w:r>
          </w:p>
        </w:tc>
        <w:tc>
          <w:tcPr>
            <w:tcW w:w="535" w:type="pct"/>
            <w:vAlign w:val="center"/>
          </w:tcPr>
          <w:p w14:paraId="2AA6ABA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0.39</w:t>
            </w:r>
          </w:p>
        </w:tc>
        <w:tc>
          <w:tcPr>
            <w:tcW w:w="459" w:type="pct"/>
            <w:vAlign w:val="center"/>
          </w:tcPr>
          <w:p w14:paraId="2874B2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0.33</w:t>
            </w:r>
          </w:p>
        </w:tc>
        <w:tc>
          <w:tcPr>
            <w:tcW w:w="422" w:type="pct"/>
            <w:vAlign w:val="center"/>
          </w:tcPr>
          <w:p w14:paraId="0F6F0C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0.32</w:t>
            </w:r>
          </w:p>
        </w:tc>
        <w:tc>
          <w:tcPr>
            <w:tcW w:w="545" w:type="pct"/>
            <w:vAlign w:val="center"/>
          </w:tcPr>
          <w:p w14:paraId="57140D71">
            <w:pPr>
              <w:pStyle w:val="75"/>
            </w:pPr>
            <w:r>
              <w:rPr>
                <w:rFonts w:hint="eastAsia"/>
              </w:rPr>
              <w:t>65</w:t>
            </w:r>
          </w:p>
        </w:tc>
      </w:tr>
      <w:tr w14:paraId="312A788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352139C">
            <w:pPr>
              <w:pStyle w:val="75"/>
            </w:pPr>
          </w:p>
        </w:tc>
        <w:tc>
          <w:tcPr>
            <w:tcW w:w="327" w:type="pct"/>
            <w:vAlign w:val="center"/>
          </w:tcPr>
          <w:p w14:paraId="3EC70EDB">
            <w:pPr>
              <w:pStyle w:val="75"/>
            </w:pPr>
            <w:r>
              <w:rPr>
                <w:rFonts w:hint="eastAsia"/>
              </w:rPr>
              <w:t>3</w:t>
            </w:r>
          </w:p>
        </w:tc>
        <w:tc>
          <w:tcPr>
            <w:tcW w:w="700" w:type="pct"/>
            <w:vAlign w:val="center"/>
          </w:tcPr>
          <w:p w14:paraId="7591B076">
            <w:pPr>
              <w:pStyle w:val="75"/>
            </w:pPr>
            <w:r>
              <w:t>铬</w:t>
            </w:r>
            <w:r>
              <w:rPr>
                <w:rFonts w:hint="eastAsia"/>
              </w:rPr>
              <w:t>（</w:t>
            </w:r>
            <w:r>
              <w:t>六价</w:t>
            </w:r>
            <w:r>
              <w:rPr>
                <w:rFonts w:hint="eastAsia"/>
              </w:rPr>
              <w:t>）</w:t>
            </w:r>
          </w:p>
        </w:tc>
        <w:tc>
          <w:tcPr>
            <w:tcW w:w="548" w:type="pct"/>
            <w:vAlign w:val="center"/>
          </w:tcPr>
          <w:p w14:paraId="712B94F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FFE38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6D0E4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56E7FB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27B8A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6D0FC8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1CA64179">
            <w:pPr>
              <w:pStyle w:val="75"/>
            </w:pPr>
            <w:r>
              <w:rPr>
                <w:rFonts w:hint="eastAsia"/>
              </w:rPr>
              <w:t>5.7</w:t>
            </w:r>
          </w:p>
        </w:tc>
      </w:tr>
      <w:tr w14:paraId="0DE7A32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55DB385">
            <w:pPr>
              <w:pStyle w:val="75"/>
            </w:pPr>
          </w:p>
        </w:tc>
        <w:tc>
          <w:tcPr>
            <w:tcW w:w="327" w:type="pct"/>
            <w:vAlign w:val="center"/>
          </w:tcPr>
          <w:p w14:paraId="36BCDA2C">
            <w:pPr>
              <w:pStyle w:val="75"/>
            </w:pPr>
            <w:r>
              <w:rPr>
                <w:rFonts w:hint="eastAsia"/>
              </w:rPr>
              <w:t>4</w:t>
            </w:r>
          </w:p>
        </w:tc>
        <w:tc>
          <w:tcPr>
            <w:tcW w:w="700" w:type="pct"/>
            <w:vAlign w:val="center"/>
          </w:tcPr>
          <w:p w14:paraId="060A9032">
            <w:pPr>
              <w:pStyle w:val="75"/>
            </w:pPr>
            <w:r>
              <w:t>铜</w:t>
            </w:r>
          </w:p>
        </w:tc>
        <w:tc>
          <w:tcPr>
            <w:tcW w:w="548" w:type="pct"/>
            <w:vAlign w:val="center"/>
          </w:tcPr>
          <w:p w14:paraId="5E4A89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30</w:t>
            </w:r>
          </w:p>
        </w:tc>
        <w:tc>
          <w:tcPr>
            <w:tcW w:w="554" w:type="pct"/>
            <w:vAlign w:val="center"/>
          </w:tcPr>
          <w:p w14:paraId="6C7E953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24</w:t>
            </w:r>
          </w:p>
        </w:tc>
        <w:tc>
          <w:tcPr>
            <w:tcW w:w="436" w:type="pct"/>
            <w:vAlign w:val="center"/>
          </w:tcPr>
          <w:p w14:paraId="4F2E31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24</w:t>
            </w:r>
          </w:p>
        </w:tc>
        <w:tc>
          <w:tcPr>
            <w:tcW w:w="535" w:type="pct"/>
            <w:vAlign w:val="center"/>
          </w:tcPr>
          <w:p w14:paraId="3A3188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37</w:t>
            </w:r>
          </w:p>
        </w:tc>
        <w:tc>
          <w:tcPr>
            <w:tcW w:w="459" w:type="pct"/>
            <w:vAlign w:val="center"/>
          </w:tcPr>
          <w:p w14:paraId="7361C2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31</w:t>
            </w:r>
          </w:p>
        </w:tc>
        <w:tc>
          <w:tcPr>
            <w:tcW w:w="422" w:type="pct"/>
            <w:vAlign w:val="center"/>
          </w:tcPr>
          <w:p w14:paraId="34A33A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25</w:t>
            </w:r>
          </w:p>
        </w:tc>
        <w:tc>
          <w:tcPr>
            <w:tcW w:w="545" w:type="pct"/>
            <w:vAlign w:val="center"/>
          </w:tcPr>
          <w:p w14:paraId="194BD99A">
            <w:pPr>
              <w:pStyle w:val="75"/>
            </w:pPr>
            <w:r>
              <w:rPr>
                <w:rFonts w:hint="eastAsia"/>
              </w:rPr>
              <w:t>18000</w:t>
            </w:r>
          </w:p>
        </w:tc>
      </w:tr>
      <w:tr w14:paraId="2DFFB833">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A6B6145">
            <w:pPr>
              <w:pStyle w:val="75"/>
            </w:pPr>
          </w:p>
        </w:tc>
        <w:tc>
          <w:tcPr>
            <w:tcW w:w="327" w:type="pct"/>
            <w:vAlign w:val="center"/>
          </w:tcPr>
          <w:p w14:paraId="547F53D4">
            <w:pPr>
              <w:pStyle w:val="75"/>
            </w:pPr>
            <w:r>
              <w:rPr>
                <w:rFonts w:hint="eastAsia"/>
              </w:rPr>
              <w:t>5</w:t>
            </w:r>
          </w:p>
        </w:tc>
        <w:tc>
          <w:tcPr>
            <w:tcW w:w="700" w:type="pct"/>
            <w:vAlign w:val="center"/>
          </w:tcPr>
          <w:p w14:paraId="33BFDBF6">
            <w:pPr>
              <w:pStyle w:val="75"/>
            </w:pPr>
            <w:r>
              <w:t>铅</w:t>
            </w:r>
          </w:p>
        </w:tc>
        <w:tc>
          <w:tcPr>
            <w:tcW w:w="548" w:type="pct"/>
            <w:vAlign w:val="center"/>
          </w:tcPr>
          <w:p w14:paraId="62662E1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24.9</w:t>
            </w:r>
          </w:p>
        </w:tc>
        <w:tc>
          <w:tcPr>
            <w:tcW w:w="554" w:type="pct"/>
            <w:vAlign w:val="center"/>
          </w:tcPr>
          <w:p w14:paraId="05029A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21.4</w:t>
            </w:r>
          </w:p>
        </w:tc>
        <w:tc>
          <w:tcPr>
            <w:tcW w:w="436" w:type="pct"/>
            <w:vAlign w:val="center"/>
          </w:tcPr>
          <w:p w14:paraId="4FF09C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20.4</w:t>
            </w:r>
          </w:p>
        </w:tc>
        <w:tc>
          <w:tcPr>
            <w:tcW w:w="535" w:type="pct"/>
            <w:vAlign w:val="center"/>
          </w:tcPr>
          <w:p w14:paraId="5CB8215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24.7</w:t>
            </w:r>
          </w:p>
        </w:tc>
        <w:tc>
          <w:tcPr>
            <w:tcW w:w="459" w:type="pct"/>
            <w:vAlign w:val="center"/>
          </w:tcPr>
          <w:p w14:paraId="58BD28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20.5</w:t>
            </w:r>
          </w:p>
        </w:tc>
        <w:tc>
          <w:tcPr>
            <w:tcW w:w="422" w:type="pct"/>
            <w:vAlign w:val="center"/>
          </w:tcPr>
          <w:p w14:paraId="4494BD8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17.7</w:t>
            </w:r>
          </w:p>
        </w:tc>
        <w:tc>
          <w:tcPr>
            <w:tcW w:w="545" w:type="pct"/>
            <w:vAlign w:val="center"/>
          </w:tcPr>
          <w:p w14:paraId="1EE40E27">
            <w:pPr>
              <w:pStyle w:val="75"/>
            </w:pPr>
            <w:r>
              <w:rPr>
                <w:rFonts w:hint="eastAsia"/>
              </w:rPr>
              <w:t>800</w:t>
            </w:r>
          </w:p>
        </w:tc>
      </w:tr>
      <w:tr w14:paraId="0030A55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64A41B0">
            <w:pPr>
              <w:pStyle w:val="75"/>
            </w:pPr>
          </w:p>
        </w:tc>
        <w:tc>
          <w:tcPr>
            <w:tcW w:w="327" w:type="pct"/>
            <w:vAlign w:val="center"/>
          </w:tcPr>
          <w:p w14:paraId="29C6C984">
            <w:pPr>
              <w:pStyle w:val="75"/>
            </w:pPr>
            <w:r>
              <w:rPr>
                <w:rFonts w:hint="eastAsia"/>
              </w:rPr>
              <w:t>6</w:t>
            </w:r>
          </w:p>
        </w:tc>
        <w:tc>
          <w:tcPr>
            <w:tcW w:w="700" w:type="pct"/>
            <w:vAlign w:val="center"/>
          </w:tcPr>
          <w:p w14:paraId="4A2D98DB">
            <w:pPr>
              <w:pStyle w:val="75"/>
            </w:pPr>
            <w:r>
              <w:t>汞</w:t>
            </w:r>
          </w:p>
        </w:tc>
        <w:tc>
          <w:tcPr>
            <w:tcW w:w="548" w:type="pct"/>
            <w:vAlign w:val="center"/>
          </w:tcPr>
          <w:p w14:paraId="524DE3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0.026</w:t>
            </w:r>
          </w:p>
        </w:tc>
        <w:tc>
          <w:tcPr>
            <w:tcW w:w="554" w:type="pct"/>
            <w:vAlign w:val="center"/>
          </w:tcPr>
          <w:p w14:paraId="111C71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0.026</w:t>
            </w:r>
          </w:p>
        </w:tc>
        <w:tc>
          <w:tcPr>
            <w:tcW w:w="436" w:type="pct"/>
            <w:vAlign w:val="center"/>
          </w:tcPr>
          <w:p w14:paraId="0B3ECFD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0.007</w:t>
            </w:r>
          </w:p>
        </w:tc>
        <w:tc>
          <w:tcPr>
            <w:tcW w:w="535" w:type="pct"/>
            <w:vAlign w:val="center"/>
          </w:tcPr>
          <w:p w14:paraId="03B8ACC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0.010</w:t>
            </w:r>
          </w:p>
        </w:tc>
        <w:tc>
          <w:tcPr>
            <w:tcW w:w="459" w:type="pct"/>
            <w:vAlign w:val="center"/>
          </w:tcPr>
          <w:p w14:paraId="1665E5B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0.024</w:t>
            </w:r>
          </w:p>
        </w:tc>
        <w:tc>
          <w:tcPr>
            <w:tcW w:w="422" w:type="pct"/>
            <w:vAlign w:val="center"/>
          </w:tcPr>
          <w:p w14:paraId="07B087E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0.039</w:t>
            </w:r>
          </w:p>
        </w:tc>
        <w:tc>
          <w:tcPr>
            <w:tcW w:w="545" w:type="pct"/>
            <w:vAlign w:val="center"/>
          </w:tcPr>
          <w:p w14:paraId="5EC9D657">
            <w:pPr>
              <w:pStyle w:val="75"/>
            </w:pPr>
            <w:r>
              <w:rPr>
                <w:rFonts w:hint="eastAsia"/>
              </w:rPr>
              <w:t>38</w:t>
            </w:r>
          </w:p>
        </w:tc>
      </w:tr>
      <w:tr w14:paraId="25547FB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543DD5C">
            <w:pPr>
              <w:pStyle w:val="75"/>
            </w:pPr>
          </w:p>
        </w:tc>
        <w:tc>
          <w:tcPr>
            <w:tcW w:w="327" w:type="pct"/>
            <w:vAlign w:val="center"/>
          </w:tcPr>
          <w:p w14:paraId="778FFBB2">
            <w:pPr>
              <w:pStyle w:val="75"/>
            </w:pPr>
            <w:r>
              <w:rPr>
                <w:rFonts w:hint="eastAsia"/>
              </w:rPr>
              <w:t>7</w:t>
            </w:r>
          </w:p>
        </w:tc>
        <w:tc>
          <w:tcPr>
            <w:tcW w:w="700" w:type="pct"/>
            <w:vAlign w:val="center"/>
          </w:tcPr>
          <w:p w14:paraId="69B7CBC1">
            <w:pPr>
              <w:pStyle w:val="75"/>
            </w:pPr>
            <w:r>
              <w:t>镍</w:t>
            </w:r>
          </w:p>
        </w:tc>
        <w:tc>
          <w:tcPr>
            <w:tcW w:w="548" w:type="pct"/>
            <w:vAlign w:val="center"/>
          </w:tcPr>
          <w:p w14:paraId="4B10A1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50</w:t>
            </w:r>
          </w:p>
        </w:tc>
        <w:tc>
          <w:tcPr>
            <w:tcW w:w="554" w:type="pct"/>
            <w:vAlign w:val="center"/>
          </w:tcPr>
          <w:p w14:paraId="580225A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46</w:t>
            </w:r>
          </w:p>
        </w:tc>
        <w:tc>
          <w:tcPr>
            <w:tcW w:w="436" w:type="pct"/>
            <w:vAlign w:val="center"/>
          </w:tcPr>
          <w:p w14:paraId="656C9B5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38</w:t>
            </w:r>
          </w:p>
        </w:tc>
        <w:tc>
          <w:tcPr>
            <w:tcW w:w="535" w:type="pct"/>
            <w:vAlign w:val="center"/>
          </w:tcPr>
          <w:p w14:paraId="1290409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57</w:t>
            </w:r>
          </w:p>
        </w:tc>
        <w:tc>
          <w:tcPr>
            <w:tcW w:w="459" w:type="pct"/>
            <w:vAlign w:val="center"/>
          </w:tcPr>
          <w:p w14:paraId="1B65CA2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49</w:t>
            </w:r>
          </w:p>
        </w:tc>
        <w:tc>
          <w:tcPr>
            <w:tcW w:w="422" w:type="pct"/>
            <w:vAlign w:val="center"/>
          </w:tcPr>
          <w:p w14:paraId="3EDD70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39</w:t>
            </w:r>
          </w:p>
        </w:tc>
        <w:tc>
          <w:tcPr>
            <w:tcW w:w="545" w:type="pct"/>
            <w:vAlign w:val="center"/>
          </w:tcPr>
          <w:p w14:paraId="430B58A5">
            <w:pPr>
              <w:pStyle w:val="75"/>
              <w:rPr>
                <w:highlight w:val="yellow"/>
              </w:rPr>
            </w:pPr>
            <w:r>
              <w:rPr>
                <w:rFonts w:hint="eastAsia"/>
              </w:rPr>
              <w:t>900</w:t>
            </w:r>
          </w:p>
        </w:tc>
      </w:tr>
      <w:tr w14:paraId="6DC1BCC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35B47E27">
            <w:pPr>
              <w:pStyle w:val="75"/>
            </w:pPr>
          </w:p>
        </w:tc>
        <w:tc>
          <w:tcPr>
            <w:tcW w:w="327" w:type="pct"/>
            <w:vAlign w:val="center"/>
          </w:tcPr>
          <w:p w14:paraId="68585C82">
            <w:pPr>
              <w:pStyle w:val="75"/>
            </w:pPr>
            <w:r>
              <w:rPr>
                <w:rFonts w:hint="eastAsia"/>
              </w:rPr>
              <w:t>8</w:t>
            </w:r>
          </w:p>
        </w:tc>
        <w:tc>
          <w:tcPr>
            <w:tcW w:w="700" w:type="pct"/>
            <w:vAlign w:val="center"/>
          </w:tcPr>
          <w:p w14:paraId="20E1C5DD">
            <w:pPr>
              <w:pStyle w:val="75"/>
            </w:pPr>
            <w:r>
              <w:t>四氯化碳</w:t>
            </w:r>
          </w:p>
        </w:tc>
        <w:tc>
          <w:tcPr>
            <w:tcW w:w="548" w:type="pct"/>
            <w:vAlign w:val="center"/>
          </w:tcPr>
          <w:p w14:paraId="107072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4E8293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98255E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38269C3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5F5F35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65AB16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3C42E7C1">
            <w:pPr>
              <w:pStyle w:val="75"/>
            </w:pPr>
            <w:r>
              <w:rPr>
                <w:rFonts w:hint="eastAsia"/>
              </w:rPr>
              <w:t>2.8</w:t>
            </w:r>
          </w:p>
        </w:tc>
      </w:tr>
      <w:tr w14:paraId="0DE6CEF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3C747DE1">
            <w:pPr>
              <w:pStyle w:val="75"/>
            </w:pPr>
          </w:p>
        </w:tc>
        <w:tc>
          <w:tcPr>
            <w:tcW w:w="327" w:type="pct"/>
            <w:vAlign w:val="center"/>
          </w:tcPr>
          <w:p w14:paraId="5C0DFB2D">
            <w:pPr>
              <w:pStyle w:val="75"/>
            </w:pPr>
            <w:r>
              <w:rPr>
                <w:rFonts w:hint="eastAsia"/>
              </w:rPr>
              <w:t>9</w:t>
            </w:r>
          </w:p>
        </w:tc>
        <w:tc>
          <w:tcPr>
            <w:tcW w:w="700" w:type="pct"/>
            <w:vAlign w:val="center"/>
          </w:tcPr>
          <w:p w14:paraId="1F69D068">
            <w:pPr>
              <w:pStyle w:val="75"/>
            </w:pPr>
            <w:r>
              <w:t>氯仿</w:t>
            </w:r>
          </w:p>
        </w:tc>
        <w:tc>
          <w:tcPr>
            <w:tcW w:w="548" w:type="pct"/>
            <w:vAlign w:val="center"/>
          </w:tcPr>
          <w:p w14:paraId="396CDE3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09542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91628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21BB7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A65C1C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19D06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C52C1EE">
            <w:pPr>
              <w:pStyle w:val="75"/>
            </w:pPr>
            <w:r>
              <w:rPr>
                <w:rFonts w:hint="eastAsia"/>
              </w:rPr>
              <w:t>0.9</w:t>
            </w:r>
          </w:p>
        </w:tc>
      </w:tr>
      <w:tr w14:paraId="6EC56A2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A9D80F6">
            <w:pPr>
              <w:pStyle w:val="75"/>
            </w:pPr>
          </w:p>
        </w:tc>
        <w:tc>
          <w:tcPr>
            <w:tcW w:w="327" w:type="pct"/>
            <w:vAlign w:val="center"/>
          </w:tcPr>
          <w:p w14:paraId="37694AEA">
            <w:pPr>
              <w:pStyle w:val="75"/>
            </w:pPr>
            <w:r>
              <w:rPr>
                <w:rFonts w:hint="eastAsia"/>
              </w:rPr>
              <w:t>10</w:t>
            </w:r>
          </w:p>
        </w:tc>
        <w:tc>
          <w:tcPr>
            <w:tcW w:w="700" w:type="pct"/>
            <w:vAlign w:val="center"/>
          </w:tcPr>
          <w:p w14:paraId="5D6BBBE9">
            <w:pPr>
              <w:pStyle w:val="75"/>
            </w:pPr>
            <w:r>
              <w:t>氯甲烷</w:t>
            </w:r>
          </w:p>
        </w:tc>
        <w:tc>
          <w:tcPr>
            <w:tcW w:w="548" w:type="pct"/>
            <w:vAlign w:val="center"/>
          </w:tcPr>
          <w:p w14:paraId="0914CFB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7E721C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7ACDF6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4A63B99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198DC6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25D1AF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ED4A4DB">
            <w:pPr>
              <w:pStyle w:val="75"/>
            </w:pPr>
            <w:r>
              <w:rPr>
                <w:rFonts w:hint="eastAsia"/>
              </w:rPr>
              <w:t>37</w:t>
            </w:r>
          </w:p>
        </w:tc>
      </w:tr>
      <w:tr w14:paraId="54FF6576">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26875408">
            <w:pPr>
              <w:pStyle w:val="75"/>
            </w:pPr>
          </w:p>
        </w:tc>
        <w:tc>
          <w:tcPr>
            <w:tcW w:w="327" w:type="pct"/>
            <w:vAlign w:val="center"/>
          </w:tcPr>
          <w:p w14:paraId="30AF9159">
            <w:pPr>
              <w:pStyle w:val="75"/>
            </w:pPr>
            <w:r>
              <w:rPr>
                <w:rFonts w:hint="eastAsia"/>
              </w:rPr>
              <w:t>11</w:t>
            </w:r>
          </w:p>
        </w:tc>
        <w:tc>
          <w:tcPr>
            <w:tcW w:w="700" w:type="pct"/>
            <w:vAlign w:val="center"/>
          </w:tcPr>
          <w:p w14:paraId="5A67C006">
            <w:pPr>
              <w:pStyle w:val="75"/>
            </w:pPr>
            <w:r>
              <w:t>1.1-二氯乙烷</w:t>
            </w:r>
          </w:p>
        </w:tc>
        <w:tc>
          <w:tcPr>
            <w:tcW w:w="548" w:type="pct"/>
            <w:vAlign w:val="center"/>
          </w:tcPr>
          <w:p w14:paraId="593E84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E7FC8F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74D0E9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23551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4BA5E69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1B24F3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52745C22">
            <w:pPr>
              <w:pStyle w:val="75"/>
            </w:pPr>
            <w:r>
              <w:rPr>
                <w:rFonts w:hint="eastAsia"/>
              </w:rPr>
              <w:t>9</w:t>
            </w:r>
          </w:p>
        </w:tc>
      </w:tr>
      <w:tr w14:paraId="197523C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4E439EE">
            <w:pPr>
              <w:pStyle w:val="75"/>
            </w:pPr>
          </w:p>
        </w:tc>
        <w:tc>
          <w:tcPr>
            <w:tcW w:w="327" w:type="pct"/>
            <w:vAlign w:val="center"/>
          </w:tcPr>
          <w:p w14:paraId="228F460A">
            <w:pPr>
              <w:pStyle w:val="75"/>
            </w:pPr>
            <w:r>
              <w:rPr>
                <w:rFonts w:hint="eastAsia"/>
              </w:rPr>
              <w:t>12</w:t>
            </w:r>
          </w:p>
        </w:tc>
        <w:tc>
          <w:tcPr>
            <w:tcW w:w="700" w:type="pct"/>
            <w:vAlign w:val="center"/>
          </w:tcPr>
          <w:p w14:paraId="6D7EBAA8">
            <w:pPr>
              <w:pStyle w:val="75"/>
            </w:pPr>
            <w:r>
              <w:t>1.2-二氯乙烷</w:t>
            </w:r>
          </w:p>
        </w:tc>
        <w:tc>
          <w:tcPr>
            <w:tcW w:w="548" w:type="pct"/>
            <w:vAlign w:val="center"/>
          </w:tcPr>
          <w:p w14:paraId="31CBB4B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6EE1C4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641F6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B8D656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1A713F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5A2EA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A78DAF7">
            <w:pPr>
              <w:pStyle w:val="75"/>
            </w:pPr>
            <w:r>
              <w:rPr>
                <w:rFonts w:hint="eastAsia"/>
              </w:rPr>
              <w:t>5</w:t>
            </w:r>
          </w:p>
        </w:tc>
      </w:tr>
      <w:tr w14:paraId="540A6EE6">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3DEB42CB">
            <w:pPr>
              <w:pStyle w:val="75"/>
            </w:pPr>
          </w:p>
        </w:tc>
        <w:tc>
          <w:tcPr>
            <w:tcW w:w="327" w:type="pct"/>
            <w:vAlign w:val="center"/>
          </w:tcPr>
          <w:p w14:paraId="056E3EFD">
            <w:pPr>
              <w:pStyle w:val="75"/>
            </w:pPr>
            <w:r>
              <w:rPr>
                <w:rFonts w:hint="eastAsia"/>
              </w:rPr>
              <w:t>13</w:t>
            </w:r>
          </w:p>
        </w:tc>
        <w:tc>
          <w:tcPr>
            <w:tcW w:w="700" w:type="pct"/>
            <w:vAlign w:val="center"/>
          </w:tcPr>
          <w:p w14:paraId="71733032">
            <w:pPr>
              <w:pStyle w:val="75"/>
            </w:pPr>
            <w:r>
              <w:t>1,1-二氯乙烯</w:t>
            </w:r>
          </w:p>
        </w:tc>
        <w:tc>
          <w:tcPr>
            <w:tcW w:w="548" w:type="pct"/>
            <w:vAlign w:val="center"/>
          </w:tcPr>
          <w:p w14:paraId="6B0CE88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694127F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03A7B7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542A2D6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005EAE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F0D10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11BD6C0">
            <w:pPr>
              <w:pStyle w:val="75"/>
            </w:pPr>
            <w:r>
              <w:rPr>
                <w:rFonts w:hint="eastAsia"/>
              </w:rPr>
              <w:t>66</w:t>
            </w:r>
          </w:p>
        </w:tc>
      </w:tr>
      <w:tr w14:paraId="408BFCD2">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2F4D3DCE">
            <w:pPr>
              <w:pStyle w:val="75"/>
            </w:pPr>
          </w:p>
        </w:tc>
        <w:tc>
          <w:tcPr>
            <w:tcW w:w="327" w:type="pct"/>
            <w:vAlign w:val="center"/>
          </w:tcPr>
          <w:p w14:paraId="4148CFEB">
            <w:pPr>
              <w:pStyle w:val="75"/>
            </w:pPr>
            <w:r>
              <w:rPr>
                <w:rFonts w:hint="eastAsia"/>
              </w:rPr>
              <w:t>14</w:t>
            </w:r>
          </w:p>
        </w:tc>
        <w:tc>
          <w:tcPr>
            <w:tcW w:w="700" w:type="pct"/>
            <w:vAlign w:val="center"/>
          </w:tcPr>
          <w:p w14:paraId="215D3A2C">
            <w:pPr>
              <w:pStyle w:val="75"/>
            </w:pPr>
            <w:r>
              <w:t>顺-1,2-二氯乙烯</w:t>
            </w:r>
          </w:p>
        </w:tc>
        <w:tc>
          <w:tcPr>
            <w:tcW w:w="548" w:type="pct"/>
            <w:vAlign w:val="center"/>
          </w:tcPr>
          <w:p w14:paraId="108D6E9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1CD98BE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0D9C57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1D79FD5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7E347E7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3BFE4A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BF8BD88">
            <w:pPr>
              <w:pStyle w:val="75"/>
            </w:pPr>
            <w:r>
              <w:rPr>
                <w:rFonts w:hint="eastAsia"/>
              </w:rPr>
              <w:t>596</w:t>
            </w:r>
          </w:p>
        </w:tc>
      </w:tr>
      <w:tr w14:paraId="50E2112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556EEC37">
            <w:pPr>
              <w:pStyle w:val="75"/>
            </w:pPr>
          </w:p>
        </w:tc>
        <w:tc>
          <w:tcPr>
            <w:tcW w:w="327" w:type="pct"/>
            <w:vAlign w:val="center"/>
          </w:tcPr>
          <w:p w14:paraId="1B68D159">
            <w:pPr>
              <w:pStyle w:val="75"/>
            </w:pPr>
            <w:r>
              <w:rPr>
                <w:rFonts w:hint="eastAsia"/>
              </w:rPr>
              <w:t>15</w:t>
            </w:r>
          </w:p>
        </w:tc>
        <w:tc>
          <w:tcPr>
            <w:tcW w:w="700" w:type="pct"/>
            <w:vAlign w:val="center"/>
          </w:tcPr>
          <w:p w14:paraId="1F34153B">
            <w:pPr>
              <w:pStyle w:val="75"/>
            </w:pPr>
            <w:r>
              <w:t>反-1,2-二氯乙烯</w:t>
            </w:r>
          </w:p>
        </w:tc>
        <w:tc>
          <w:tcPr>
            <w:tcW w:w="548" w:type="pct"/>
            <w:vAlign w:val="center"/>
          </w:tcPr>
          <w:p w14:paraId="2C1F405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5F518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6A6F7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2E83A6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137528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04DBBD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0B9792A9">
            <w:pPr>
              <w:pStyle w:val="75"/>
            </w:pPr>
            <w:r>
              <w:rPr>
                <w:rFonts w:hint="eastAsia"/>
              </w:rPr>
              <w:t>54</w:t>
            </w:r>
          </w:p>
        </w:tc>
      </w:tr>
      <w:tr w14:paraId="60F6D69D">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BB98C2B">
            <w:pPr>
              <w:pStyle w:val="75"/>
            </w:pPr>
          </w:p>
        </w:tc>
        <w:tc>
          <w:tcPr>
            <w:tcW w:w="327" w:type="pct"/>
            <w:vAlign w:val="center"/>
          </w:tcPr>
          <w:p w14:paraId="68431686">
            <w:pPr>
              <w:pStyle w:val="75"/>
            </w:pPr>
            <w:r>
              <w:rPr>
                <w:rFonts w:hint="eastAsia"/>
              </w:rPr>
              <w:t>16</w:t>
            </w:r>
          </w:p>
        </w:tc>
        <w:tc>
          <w:tcPr>
            <w:tcW w:w="700" w:type="pct"/>
            <w:vAlign w:val="center"/>
          </w:tcPr>
          <w:p w14:paraId="70C408C4">
            <w:pPr>
              <w:pStyle w:val="75"/>
            </w:pPr>
            <w:r>
              <w:t>二氯甲烷</w:t>
            </w:r>
          </w:p>
        </w:tc>
        <w:tc>
          <w:tcPr>
            <w:tcW w:w="548" w:type="pct"/>
            <w:vAlign w:val="center"/>
          </w:tcPr>
          <w:p w14:paraId="2B912B3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7B34632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23CCBE8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0B57E7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2F59E7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64893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DC02FCE">
            <w:pPr>
              <w:pStyle w:val="75"/>
            </w:pPr>
            <w:r>
              <w:rPr>
                <w:rFonts w:hint="eastAsia"/>
              </w:rPr>
              <w:t>616</w:t>
            </w:r>
          </w:p>
        </w:tc>
      </w:tr>
      <w:tr w14:paraId="199D74A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78943619">
            <w:pPr>
              <w:pStyle w:val="75"/>
            </w:pPr>
          </w:p>
        </w:tc>
        <w:tc>
          <w:tcPr>
            <w:tcW w:w="327" w:type="pct"/>
            <w:vAlign w:val="center"/>
          </w:tcPr>
          <w:p w14:paraId="68EC60F4">
            <w:pPr>
              <w:pStyle w:val="75"/>
            </w:pPr>
            <w:r>
              <w:rPr>
                <w:rFonts w:hint="eastAsia"/>
              </w:rPr>
              <w:t>17</w:t>
            </w:r>
          </w:p>
        </w:tc>
        <w:tc>
          <w:tcPr>
            <w:tcW w:w="700" w:type="pct"/>
            <w:vAlign w:val="center"/>
          </w:tcPr>
          <w:p w14:paraId="4F5064DB">
            <w:pPr>
              <w:pStyle w:val="75"/>
            </w:pPr>
            <w:r>
              <w:t>1,2-二氯丙烷</w:t>
            </w:r>
          </w:p>
        </w:tc>
        <w:tc>
          <w:tcPr>
            <w:tcW w:w="548" w:type="pct"/>
            <w:vAlign w:val="center"/>
          </w:tcPr>
          <w:p w14:paraId="5A39F4D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7C726FF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D3E0F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0E0BC0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58D69DB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673DED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8993BF2">
            <w:pPr>
              <w:pStyle w:val="75"/>
            </w:pPr>
            <w:r>
              <w:rPr>
                <w:rFonts w:hint="eastAsia"/>
              </w:rPr>
              <w:t>5</w:t>
            </w:r>
          </w:p>
        </w:tc>
      </w:tr>
      <w:tr w14:paraId="373275E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890036E">
            <w:pPr>
              <w:pStyle w:val="75"/>
            </w:pPr>
          </w:p>
        </w:tc>
        <w:tc>
          <w:tcPr>
            <w:tcW w:w="327" w:type="pct"/>
            <w:vAlign w:val="center"/>
          </w:tcPr>
          <w:p w14:paraId="57E05C9D">
            <w:pPr>
              <w:pStyle w:val="75"/>
            </w:pPr>
            <w:r>
              <w:rPr>
                <w:rFonts w:hint="eastAsia"/>
              </w:rPr>
              <w:t>18</w:t>
            </w:r>
          </w:p>
        </w:tc>
        <w:tc>
          <w:tcPr>
            <w:tcW w:w="700" w:type="pct"/>
            <w:vAlign w:val="center"/>
          </w:tcPr>
          <w:p w14:paraId="554DE214">
            <w:pPr>
              <w:pStyle w:val="75"/>
            </w:pPr>
            <w:r>
              <w:t>1,1,1,2-四氯乙烷</w:t>
            </w:r>
          </w:p>
        </w:tc>
        <w:tc>
          <w:tcPr>
            <w:tcW w:w="548" w:type="pct"/>
            <w:vAlign w:val="center"/>
          </w:tcPr>
          <w:p w14:paraId="27E6FA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6322D7C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ABDE5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7214C6F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4FD14E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797A1FD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22316E8">
            <w:pPr>
              <w:pStyle w:val="75"/>
            </w:pPr>
            <w:r>
              <w:rPr>
                <w:rFonts w:hint="eastAsia"/>
              </w:rPr>
              <w:t>10</w:t>
            </w:r>
          </w:p>
        </w:tc>
      </w:tr>
      <w:tr w14:paraId="0307232C">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25E224E4">
            <w:pPr>
              <w:pStyle w:val="75"/>
            </w:pPr>
          </w:p>
        </w:tc>
        <w:tc>
          <w:tcPr>
            <w:tcW w:w="327" w:type="pct"/>
            <w:vAlign w:val="center"/>
          </w:tcPr>
          <w:p w14:paraId="6FAE0FF9">
            <w:pPr>
              <w:pStyle w:val="75"/>
            </w:pPr>
            <w:r>
              <w:rPr>
                <w:rFonts w:hint="eastAsia"/>
              </w:rPr>
              <w:t>19</w:t>
            </w:r>
          </w:p>
        </w:tc>
        <w:tc>
          <w:tcPr>
            <w:tcW w:w="700" w:type="pct"/>
            <w:vAlign w:val="center"/>
          </w:tcPr>
          <w:p w14:paraId="03A7B8CC">
            <w:pPr>
              <w:pStyle w:val="75"/>
            </w:pPr>
            <w:r>
              <w:t>1,1,2,2-四氯乙烷</w:t>
            </w:r>
          </w:p>
        </w:tc>
        <w:tc>
          <w:tcPr>
            <w:tcW w:w="548" w:type="pct"/>
            <w:vAlign w:val="center"/>
          </w:tcPr>
          <w:p w14:paraId="54692EF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623BB7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27EE7C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322AE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AD33A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72FD86B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48FFDC4">
            <w:pPr>
              <w:pStyle w:val="75"/>
            </w:pPr>
            <w:r>
              <w:rPr>
                <w:rFonts w:hint="eastAsia"/>
              </w:rPr>
              <w:t>6.8</w:t>
            </w:r>
          </w:p>
        </w:tc>
      </w:tr>
      <w:tr w14:paraId="41B47A8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3DD06BB">
            <w:pPr>
              <w:pStyle w:val="75"/>
            </w:pPr>
          </w:p>
        </w:tc>
        <w:tc>
          <w:tcPr>
            <w:tcW w:w="327" w:type="pct"/>
            <w:vAlign w:val="center"/>
          </w:tcPr>
          <w:p w14:paraId="1158132C">
            <w:pPr>
              <w:pStyle w:val="75"/>
            </w:pPr>
            <w:r>
              <w:rPr>
                <w:rFonts w:hint="eastAsia"/>
              </w:rPr>
              <w:t>20</w:t>
            </w:r>
          </w:p>
        </w:tc>
        <w:tc>
          <w:tcPr>
            <w:tcW w:w="700" w:type="pct"/>
            <w:vAlign w:val="center"/>
          </w:tcPr>
          <w:p w14:paraId="7AE4444A">
            <w:pPr>
              <w:pStyle w:val="75"/>
            </w:pPr>
            <w:r>
              <w:t>四氯乙烯</w:t>
            </w:r>
          </w:p>
        </w:tc>
        <w:tc>
          <w:tcPr>
            <w:tcW w:w="548" w:type="pct"/>
            <w:vAlign w:val="center"/>
          </w:tcPr>
          <w:p w14:paraId="221CCB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5C1BB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3442F82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83734D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448A57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24BBF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8F387FB">
            <w:pPr>
              <w:pStyle w:val="75"/>
            </w:pPr>
            <w:r>
              <w:rPr>
                <w:rFonts w:hint="eastAsia"/>
              </w:rPr>
              <w:t>53</w:t>
            </w:r>
          </w:p>
        </w:tc>
      </w:tr>
      <w:tr w14:paraId="5F5B8D9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3CD7EC9">
            <w:pPr>
              <w:pStyle w:val="75"/>
            </w:pPr>
          </w:p>
        </w:tc>
        <w:tc>
          <w:tcPr>
            <w:tcW w:w="327" w:type="pct"/>
            <w:vAlign w:val="center"/>
          </w:tcPr>
          <w:p w14:paraId="3D85B485">
            <w:pPr>
              <w:pStyle w:val="75"/>
            </w:pPr>
            <w:r>
              <w:rPr>
                <w:rFonts w:hint="eastAsia"/>
              </w:rPr>
              <w:t>21</w:t>
            </w:r>
          </w:p>
        </w:tc>
        <w:tc>
          <w:tcPr>
            <w:tcW w:w="700" w:type="pct"/>
            <w:vAlign w:val="center"/>
          </w:tcPr>
          <w:p w14:paraId="4D6B2171">
            <w:pPr>
              <w:pStyle w:val="75"/>
            </w:pPr>
            <w:r>
              <w:t>1,1,1-三氯乙烷</w:t>
            </w:r>
          </w:p>
        </w:tc>
        <w:tc>
          <w:tcPr>
            <w:tcW w:w="548" w:type="pct"/>
            <w:vAlign w:val="center"/>
          </w:tcPr>
          <w:p w14:paraId="21EEBE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5F1699E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011B8B6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18BF259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36A58BD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3CAB1C1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811D66A">
            <w:pPr>
              <w:pStyle w:val="75"/>
              <w:rPr>
                <w:szCs w:val="24"/>
              </w:rPr>
            </w:pPr>
            <w:r>
              <w:rPr>
                <w:szCs w:val="24"/>
              </w:rPr>
              <w:t>840</w:t>
            </w:r>
          </w:p>
        </w:tc>
      </w:tr>
      <w:tr w14:paraId="2E77BBE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5652C8DE">
            <w:pPr>
              <w:pStyle w:val="75"/>
            </w:pPr>
          </w:p>
        </w:tc>
        <w:tc>
          <w:tcPr>
            <w:tcW w:w="327" w:type="pct"/>
            <w:vAlign w:val="center"/>
          </w:tcPr>
          <w:p w14:paraId="40F0DAA5">
            <w:pPr>
              <w:pStyle w:val="75"/>
            </w:pPr>
            <w:r>
              <w:rPr>
                <w:rFonts w:hint="eastAsia"/>
              </w:rPr>
              <w:t>22</w:t>
            </w:r>
          </w:p>
        </w:tc>
        <w:tc>
          <w:tcPr>
            <w:tcW w:w="700" w:type="pct"/>
            <w:vAlign w:val="center"/>
          </w:tcPr>
          <w:p w14:paraId="7300B84A">
            <w:pPr>
              <w:pStyle w:val="75"/>
            </w:pPr>
            <w:r>
              <w:t>1,1,2-三氯乙烷</w:t>
            </w:r>
          </w:p>
        </w:tc>
        <w:tc>
          <w:tcPr>
            <w:tcW w:w="548" w:type="pct"/>
            <w:vAlign w:val="center"/>
          </w:tcPr>
          <w:p w14:paraId="7DAAF2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22A0A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1EAB3D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401843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34480C0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AE525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939EE4D">
            <w:pPr>
              <w:pStyle w:val="75"/>
              <w:rPr>
                <w:szCs w:val="24"/>
              </w:rPr>
            </w:pPr>
            <w:r>
              <w:rPr>
                <w:szCs w:val="24"/>
              </w:rPr>
              <w:t>2.8</w:t>
            </w:r>
          </w:p>
        </w:tc>
      </w:tr>
      <w:tr w14:paraId="68E3104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270E5D6">
            <w:pPr>
              <w:pStyle w:val="75"/>
            </w:pPr>
          </w:p>
        </w:tc>
        <w:tc>
          <w:tcPr>
            <w:tcW w:w="327" w:type="pct"/>
            <w:vAlign w:val="center"/>
          </w:tcPr>
          <w:p w14:paraId="002E16D1">
            <w:pPr>
              <w:pStyle w:val="75"/>
            </w:pPr>
            <w:r>
              <w:rPr>
                <w:rFonts w:hint="eastAsia"/>
              </w:rPr>
              <w:t>23</w:t>
            </w:r>
          </w:p>
        </w:tc>
        <w:tc>
          <w:tcPr>
            <w:tcW w:w="700" w:type="pct"/>
            <w:vAlign w:val="center"/>
          </w:tcPr>
          <w:p w14:paraId="032DFBC3">
            <w:pPr>
              <w:pStyle w:val="75"/>
            </w:pPr>
            <w:r>
              <w:t>三氯乙烯</w:t>
            </w:r>
          </w:p>
        </w:tc>
        <w:tc>
          <w:tcPr>
            <w:tcW w:w="548" w:type="pct"/>
            <w:vAlign w:val="center"/>
          </w:tcPr>
          <w:p w14:paraId="162025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6A4321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2C6044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42238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2E5922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16EBB5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FE114AD">
            <w:pPr>
              <w:pStyle w:val="75"/>
              <w:rPr>
                <w:szCs w:val="24"/>
              </w:rPr>
            </w:pPr>
            <w:r>
              <w:rPr>
                <w:szCs w:val="24"/>
              </w:rPr>
              <w:t>2.8</w:t>
            </w:r>
          </w:p>
        </w:tc>
      </w:tr>
      <w:tr w14:paraId="5E47F44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9F569E8">
            <w:pPr>
              <w:pStyle w:val="75"/>
            </w:pPr>
          </w:p>
        </w:tc>
        <w:tc>
          <w:tcPr>
            <w:tcW w:w="327" w:type="pct"/>
            <w:vAlign w:val="center"/>
          </w:tcPr>
          <w:p w14:paraId="06ECE6DD">
            <w:pPr>
              <w:pStyle w:val="75"/>
            </w:pPr>
            <w:r>
              <w:rPr>
                <w:rFonts w:hint="eastAsia"/>
              </w:rPr>
              <w:t>24</w:t>
            </w:r>
          </w:p>
        </w:tc>
        <w:tc>
          <w:tcPr>
            <w:tcW w:w="700" w:type="pct"/>
            <w:vAlign w:val="center"/>
          </w:tcPr>
          <w:p w14:paraId="4961703F">
            <w:pPr>
              <w:pStyle w:val="75"/>
            </w:pPr>
            <w:r>
              <w:t>1,2,3-三氯丙烷</w:t>
            </w:r>
          </w:p>
        </w:tc>
        <w:tc>
          <w:tcPr>
            <w:tcW w:w="548" w:type="pct"/>
            <w:vAlign w:val="center"/>
          </w:tcPr>
          <w:p w14:paraId="3A1BF11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5CFBB3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3F325F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A74071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2E9F5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3D69582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0404FF4">
            <w:pPr>
              <w:pStyle w:val="75"/>
            </w:pPr>
            <w:r>
              <w:rPr>
                <w:rFonts w:hint="eastAsia"/>
              </w:rPr>
              <w:t>0.5</w:t>
            </w:r>
          </w:p>
        </w:tc>
      </w:tr>
      <w:tr w14:paraId="48C64BC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972D07D">
            <w:pPr>
              <w:pStyle w:val="75"/>
            </w:pPr>
          </w:p>
        </w:tc>
        <w:tc>
          <w:tcPr>
            <w:tcW w:w="327" w:type="pct"/>
            <w:vAlign w:val="center"/>
          </w:tcPr>
          <w:p w14:paraId="14B50196">
            <w:pPr>
              <w:pStyle w:val="75"/>
            </w:pPr>
            <w:r>
              <w:rPr>
                <w:rFonts w:hint="eastAsia"/>
              </w:rPr>
              <w:t>25</w:t>
            </w:r>
          </w:p>
        </w:tc>
        <w:tc>
          <w:tcPr>
            <w:tcW w:w="700" w:type="pct"/>
            <w:vAlign w:val="center"/>
          </w:tcPr>
          <w:p w14:paraId="7F0A977A">
            <w:pPr>
              <w:pStyle w:val="75"/>
            </w:pPr>
            <w:r>
              <w:t>氯乙烯</w:t>
            </w:r>
          </w:p>
        </w:tc>
        <w:tc>
          <w:tcPr>
            <w:tcW w:w="548" w:type="pct"/>
            <w:vAlign w:val="center"/>
          </w:tcPr>
          <w:p w14:paraId="546228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54ABD56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5F26E42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720C73A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5E27B4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84A2B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2BEB22D">
            <w:pPr>
              <w:pStyle w:val="75"/>
            </w:pPr>
            <w:r>
              <w:rPr>
                <w:rFonts w:hint="eastAsia"/>
              </w:rPr>
              <w:t>0.43</w:t>
            </w:r>
          </w:p>
        </w:tc>
      </w:tr>
      <w:tr w14:paraId="0690735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7A55EC8D">
            <w:pPr>
              <w:pStyle w:val="75"/>
            </w:pPr>
          </w:p>
        </w:tc>
        <w:tc>
          <w:tcPr>
            <w:tcW w:w="327" w:type="pct"/>
            <w:vAlign w:val="center"/>
          </w:tcPr>
          <w:p w14:paraId="4D60E691">
            <w:pPr>
              <w:pStyle w:val="75"/>
            </w:pPr>
            <w:r>
              <w:rPr>
                <w:rFonts w:hint="eastAsia"/>
              </w:rPr>
              <w:t>26</w:t>
            </w:r>
          </w:p>
        </w:tc>
        <w:tc>
          <w:tcPr>
            <w:tcW w:w="700" w:type="pct"/>
            <w:vAlign w:val="center"/>
          </w:tcPr>
          <w:p w14:paraId="197A2092">
            <w:pPr>
              <w:pStyle w:val="75"/>
            </w:pPr>
            <w:r>
              <w:t>苯</w:t>
            </w:r>
          </w:p>
        </w:tc>
        <w:tc>
          <w:tcPr>
            <w:tcW w:w="548" w:type="pct"/>
            <w:vAlign w:val="center"/>
          </w:tcPr>
          <w:p w14:paraId="7D4036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38A59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0D92E2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571A98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DA89E0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E2A66D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32627788">
            <w:pPr>
              <w:pStyle w:val="75"/>
            </w:pPr>
            <w:r>
              <w:rPr>
                <w:rFonts w:hint="eastAsia"/>
              </w:rPr>
              <w:t>4</w:t>
            </w:r>
          </w:p>
        </w:tc>
      </w:tr>
      <w:tr w14:paraId="737FD33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PrEx>
        <w:trPr>
          <w:trHeight w:val="397" w:hRule="atLeast"/>
          <w:jc w:val="center"/>
        </w:trPr>
        <w:tc>
          <w:tcPr>
            <w:tcW w:w="471" w:type="pct"/>
            <w:vMerge w:val="continue"/>
            <w:vAlign w:val="center"/>
          </w:tcPr>
          <w:p w14:paraId="6EA5059A">
            <w:pPr>
              <w:pStyle w:val="75"/>
            </w:pPr>
          </w:p>
        </w:tc>
        <w:tc>
          <w:tcPr>
            <w:tcW w:w="327" w:type="pct"/>
            <w:vAlign w:val="center"/>
          </w:tcPr>
          <w:p w14:paraId="4BD4C59A">
            <w:pPr>
              <w:pStyle w:val="75"/>
            </w:pPr>
            <w:r>
              <w:rPr>
                <w:rFonts w:hint="eastAsia"/>
              </w:rPr>
              <w:t>27</w:t>
            </w:r>
          </w:p>
        </w:tc>
        <w:tc>
          <w:tcPr>
            <w:tcW w:w="700" w:type="pct"/>
            <w:vAlign w:val="center"/>
          </w:tcPr>
          <w:p w14:paraId="3CAD8B13">
            <w:pPr>
              <w:pStyle w:val="75"/>
            </w:pPr>
            <w:r>
              <w:t>氯苯</w:t>
            </w:r>
          </w:p>
        </w:tc>
        <w:tc>
          <w:tcPr>
            <w:tcW w:w="548" w:type="pct"/>
            <w:vAlign w:val="center"/>
          </w:tcPr>
          <w:p w14:paraId="68BD217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3ABA53C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92C1E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4CA5A8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28D1F74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3D666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0A36CDBF">
            <w:pPr>
              <w:pStyle w:val="75"/>
            </w:pPr>
            <w:r>
              <w:rPr>
                <w:rFonts w:hint="eastAsia"/>
              </w:rPr>
              <w:t>270</w:t>
            </w:r>
          </w:p>
        </w:tc>
      </w:tr>
      <w:tr w14:paraId="360FEC72">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9D66249">
            <w:pPr>
              <w:pStyle w:val="75"/>
            </w:pPr>
          </w:p>
        </w:tc>
        <w:tc>
          <w:tcPr>
            <w:tcW w:w="327" w:type="pct"/>
            <w:vAlign w:val="center"/>
          </w:tcPr>
          <w:p w14:paraId="00854FAF">
            <w:pPr>
              <w:pStyle w:val="75"/>
            </w:pPr>
            <w:r>
              <w:rPr>
                <w:rFonts w:hint="eastAsia"/>
              </w:rPr>
              <w:t>28</w:t>
            </w:r>
          </w:p>
        </w:tc>
        <w:tc>
          <w:tcPr>
            <w:tcW w:w="700" w:type="pct"/>
            <w:vAlign w:val="center"/>
          </w:tcPr>
          <w:p w14:paraId="154E92CA">
            <w:pPr>
              <w:pStyle w:val="75"/>
            </w:pPr>
            <w:r>
              <w:t>1,2二氯苯</w:t>
            </w:r>
          </w:p>
        </w:tc>
        <w:tc>
          <w:tcPr>
            <w:tcW w:w="548" w:type="pct"/>
            <w:vAlign w:val="center"/>
          </w:tcPr>
          <w:p w14:paraId="02621B4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08BDA4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E6D4C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720DE1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F3C122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2E20F4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19859E20">
            <w:pPr>
              <w:pStyle w:val="75"/>
            </w:pPr>
            <w:r>
              <w:rPr>
                <w:rFonts w:hint="eastAsia"/>
              </w:rPr>
              <w:t>560</w:t>
            </w:r>
          </w:p>
        </w:tc>
      </w:tr>
      <w:tr w14:paraId="33AAE8F6">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1BEE9B72">
            <w:pPr>
              <w:pStyle w:val="75"/>
            </w:pPr>
          </w:p>
        </w:tc>
        <w:tc>
          <w:tcPr>
            <w:tcW w:w="327" w:type="pct"/>
            <w:vAlign w:val="center"/>
          </w:tcPr>
          <w:p w14:paraId="2BCE2993">
            <w:pPr>
              <w:pStyle w:val="75"/>
            </w:pPr>
            <w:r>
              <w:rPr>
                <w:rFonts w:hint="eastAsia"/>
              </w:rPr>
              <w:t>29</w:t>
            </w:r>
          </w:p>
        </w:tc>
        <w:tc>
          <w:tcPr>
            <w:tcW w:w="700" w:type="pct"/>
            <w:vAlign w:val="center"/>
          </w:tcPr>
          <w:p w14:paraId="1F1DB8FB">
            <w:pPr>
              <w:pStyle w:val="75"/>
            </w:pPr>
            <w:r>
              <w:t>1,4</w:t>
            </w:r>
            <w:r>
              <w:rPr>
                <w:rFonts w:hint="eastAsia" w:ascii="宋体" w:hAnsi="宋体" w:cs="宋体"/>
              </w:rPr>
              <w:t>二氯苯</w:t>
            </w:r>
          </w:p>
        </w:tc>
        <w:tc>
          <w:tcPr>
            <w:tcW w:w="548" w:type="pct"/>
            <w:vAlign w:val="center"/>
          </w:tcPr>
          <w:p w14:paraId="524E41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1F23C2E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39F916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23F131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DAAF0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02B120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6F1C1F6">
            <w:pPr>
              <w:pStyle w:val="75"/>
            </w:pPr>
            <w:r>
              <w:rPr>
                <w:rFonts w:hint="eastAsia"/>
              </w:rPr>
              <w:t>20</w:t>
            </w:r>
          </w:p>
        </w:tc>
      </w:tr>
      <w:tr w14:paraId="3662AA3F">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3EB8031A">
            <w:pPr>
              <w:pStyle w:val="75"/>
            </w:pPr>
          </w:p>
        </w:tc>
        <w:tc>
          <w:tcPr>
            <w:tcW w:w="327" w:type="pct"/>
            <w:vAlign w:val="center"/>
          </w:tcPr>
          <w:p w14:paraId="345BDF34">
            <w:pPr>
              <w:pStyle w:val="75"/>
            </w:pPr>
            <w:r>
              <w:rPr>
                <w:rFonts w:hint="eastAsia"/>
              </w:rPr>
              <w:t>30</w:t>
            </w:r>
          </w:p>
        </w:tc>
        <w:tc>
          <w:tcPr>
            <w:tcW w:w="700" w:type="pct"/>
            <w:vAlign w:val="center"/>
          </w:tcPr>
          <w:p w14:paraId="438E90CD">
            <w:pPr>
              <w:pStyle w:val="75"/>
            </w:pPr>
            <w:r>
              <w:rPr>
                <w:rFonts w:hint="eastAsia" w:ascii="宋体" w:hAnsi="宋体" w:cs="宋体"/>
              </w:rPr>
              <w:t>乙苯</w:t>
            </w:r>
          </w:p>
        </w:tc>
        <w:tc>
          <w:tcPr>
            <w:tcW w:w="548" w:type="pct"/>
            <w:vAlign w:val="center"/>
          </w:tcPr>
          <w:p w14:paraId="4F55EA2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E05BB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2CE9BC3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1DE60C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3E79C19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7F9B3F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1D7897C2">
            <w:pPr>
              <w:pStyle w:val="75"/>
            </w:pPr>
            <w:r>
              <w:rPr>
                <w:rFonts w:hint="eastAsia"/>
              </w:rPr>
              <w:t>28</w:t>
            </w:r>
          </w:p>
        </w:tc>
      </w:tr>
      <w:tr w14:paraId="726D130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229F248">
            <w:pPr>
              <w:pStyle w:val="75"/>
            </w:pPr>
          </w:p>
        </w:tc>
        <w:tc>
          <w:tcPr>
            <w:tcW w:w="327" w:type="pct"/>
            <w:vAlign w:val="center"/>
          </w:tcPr>
          <w:p w14:paraId="1E405AE6">
            <w:pPr>
              <w:pStyle w:val="75"/>
            </w:pPr>
            <w:r>
              <w:rPr>
                <w:rFonts w:hint="eastAsia"/>
              </w:rPr>
              <w:t>31</w:t>
            </w:r>
          </w:p>
        </w:tc>
        <w:tc>
          <w:tcPr>
            <w:tcW w:w="700" w:type="pct"/>
            <w:vAlign w:val="center"/>
          </w:tcPr>
          <w:p w14:paraId="25EBD983">
            <w:pPr>
              <w:pStyle w:val="75"/>
            </w:pPr>
            <w:r>
              <w:rPr>
                <w:rFonts w:hint="eastAsia" w:ascii="宋体" w:hAnsi="宋体" w:cs="宋体"/>
              </w:rPr>
              <w:t>苯乙烯</w:t>
            </w:r>
          </w:p>
        </w:tc>
        <w:tc>
          <w:tcPr>
            <w:tcW w:w="548" w:type="pct"/>
            <w:vAlign w:val="center"/>
          </w:tcPr>
          <w:p w14:paraId="64044AA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13B107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097D0F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1DCE9E2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40E4935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7DCFCD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1A957318">
            <w:pPr>
              <w:pStyle w:val="75"/>
            </w:pPr>
            <w:r>
              <w:rPr>
                <w:rFonts w:hint="eastAsia"/>
              </w:rPr>
              <w:t>1290</w:t>
            </w:r>
          </w:p>
        </w:tc>
      </w:tr>
      <w:tr w14:paraId="6A55A28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5D807718">
            <w:pPr>
              <w:pStyle w:val="75"/>
            </w:pPr>
          </w:p>
        </w:tc>
        <w:tc>
          <w:tcPr>
            <w:tcW w:w="327" w:type="pct"/>
            <w:vAlign w:val="center"/>
          </w:tcPr>
          <w:p w14:paraId="2465B55A">
            <w:pPr>
              <w:pStyle w:val="75"/>
            </w:pPr>
            <w:r>
              <w:rPr>
                <w:rFonts w:hint="eastAsia"/>
              </w:rPr>
              <w:t>32</w:t>
            </w:r>
          </w:p>
        </w:tc>
        <w:tc>
          <w:tcPr>
            <w:tcW w:w="700" w:type="pct"/>
            <w:vAlign w:val="center"/>
          </w:tcPr>
          <w:p w14:paraId="6CEB0B2B">
            <w:pPr>
              <w:pStyle w:val="75"/>
            </w:pPr>
            <w:r>
              <w:rPr>
                <w:rFonts w:hint="eastAsia" w:ascii="宋体" w:hAnsi="宋体" w:cs="宋体"/>
              </w:rPr>
              <w:t>甲苯</w:t>
            </w:r>
          </w:p>
        </w:tc>
        <w:tc>
          <w:tcPr>
            <w:tcW w:w="548" w:type="pct"/>
            <w:vAlign w:val="center"/>
          </w:tcPr>
          <w:p w14:paraId="101869C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139EEC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52E5E7B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58F63E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11301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68213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9CA8B79">
            <w:pPr>
              <w:pStyle w:val="75"/>
            </w:pPr>
            <w:r>
              <w:rPr>
                <w:rFonts w:hint="eastAsia"/>
              </w:rPr>
              <w:t>1200</w:t>
            </w:r>
          </w:p>
        </w:tc>
      </w:tr>
      <w:tr w14:paraId="7F3EF44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72483150">
            <w:pPr>
              <w:pStyle w:val="75"/>
            </w:pPr>
          </w:p>
        </w:tc>
        <w:tc>
          <w:tcPr>
            <w:tcW w:w="327" w:type="pct"/>
            <w:vAlign w:val="center"/>
          </w:tcPr>
          <w:p w14:paraId="5698ACF7">
            <w:pPr>
              <w:pStyle w:val="75"/>
            </w:pPr>
            <w:r>
              <w:rPr>
                <w:rFonts w:hint="eastAsia"/>
              </w:rPr>
              <w:t>33</w:t>
            </w:r>
          </w:p>
        </w:tc>
        <w:tc>
          <w:tcPr>
            <w:tcW w:w="700" w:type="pct"/>
            <w:vAlign w:val="center"/>
          </w:tcPr>
          <w:p w14:paraId="3A3076F1">
            <w:pPr>
              <w:pStyle w:val="75"/>
            </w:pPr>
            <w:r>
              <w:rPr>
                <w:rFonts w:hint="eastAsia" w:ascii="宋体" w:hAnsi="宋体" w:cs="宋体"/>
              </w:rPr>
              <w:t>间二甲苯</w:t>
            </w:r>
            <w:r>
              <w:t>-</w:t>
            </w:r>
            <w:r>
              <w:rPr>
                <w:rFonts w:hint="eastAsia" w:ascii="宋体" w:hAnsi="宋体" w:cs="宋体"/>
              </w:rPr>
              <w:t>对二甲苯</w:t>
            </w:r>
          </w:p>
        </w:tc>
        <w:tc>
          <w:tcPr>
            <w:tcW w:w="548" w:type="pct"/>
            <w:vAlign w:val="center"/>
          </w:tcPr>
          <w:p w14:paraId="704FD5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1ABCF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7749DB0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763D56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2CFDB6C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2300670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7BFEF661">
            <w:pPr>
              <w:pStyle w:val="75"/>
            </w:pPr>
            <w:r>
              <w:rPr>
                <w:rFonts w:hint="eastAsia"/>
              </w:rPr>
              <w:t>570</w:t>
            </w:r>
          </w:p>
        </w:tc>
      </w:tr>
      <w:tr w14:paraId="48767CAA">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2D2D35C2">
            <w:pPr>
              <w:pStyle w:val="75"/>
            </w:pPr>
          </w:p>
        </w:tc>
        <w:tc>
          <w:tcPr>
            <w:tcW w:w="327" w:type="pct"/>
            <w:vAlign w:val="center"/>
          </w:tcPr>
          <w:p w14:paraId="3A742CB8">
            <w:pPr>
              <w:pStyle w:val="75"/>
            </w:pPr>
            <w:r>
              <w:rPr>
                <w:rFonts w:hint="eastAsia"/>
              </w:rPr>
              <w:t>34</w:t>
            </w:r>
          </w:p>
        </w:tc>
        <w:tc>
          <w:tcPr>
            <w:tcW w:w="700" w:type="pct"/>
            <w:vAlign w:val="center"/>
          </w:tcPr>
          <w:p w14:paraId="15E44F23">
            <w:pPr>
              <w:pStyle w:val="75"/>
            </w:pPr>
            <w:r>
              <w:rPr>
                <w:rFonts w:hint="eastAsia" w:ascii="宋体" w:hAnsi="宋体" w:cs="宋体"/>
              </w:rPr>
              <w:t>邻二甲苯</w:t>
            </w:r>
          </w:p>
        </w:tc>
        <w:tc>
          <w:tcPr>
            <w:tcW w:w="548" w:type="pct"/>
            <w:vAlign w:val="center"/>
          </w:tcPr>
          <w:p w14:paraId="72BC9F5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939E4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D0229E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70D4D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231DA4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85DC3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046C43ED">
            <w:pPr>
              <w:pStyle w:val="75"/>
            </w:pPr>
            <w:r>
              <w:rPr>
                <w:rFonts w:hint="eastAsia"/>
              </w:rPr>
              <w:t>640</w:t>
            </w:r>
          </w:p>
        </w:tc>
      </w:tr>
      <w:tr w14:paraId="440654D5">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4996DFD">
            <w:pPr>
              <w:pStyle w:val="75"/>
            </w:pPr>
          </w:p>
        </w:tc>
        <w:tc>
          <w:tcPr>
            <w:tcW w:w="327" w:type="pct"/>
            <w:vAlign w:val="center"/>
          </w:tcPr>
          <w:p w14:paraId="0D1D296D">
            <w:pPr>
              <w:pStyle w:val="75"/>
            </w:pPr>
            <w:r>
              <w:rPr>
                <w:rFonts w:hint="eastAsia"/>
              </w:rPr>
              <w:t>35</w:t>
            </w:r>
          </w:p>
        </w:tc>
        <w:tc>
          <w:tcPr>
            <w:tcW w:w="700" w:type="pct"/>
            <w:vAlign w:val="center"/>
          </w:tcPr>
          <w:p w14:paraId="32CAFC03">
            <w:pPr>
              <w:pStyle w:val="75"/>
            </w:pPr>
            <w:r>
              <w:rPr>
                <w:rFonts w:hint="eastAsia" w:ascii="宋体" w:hAnsi="宋体" w:cs="宋体"/>
              </w:rPr>
              <w:t>硝基苯</w:t>
            </w:r>
          </w:p>
        </w:tc>
        <w:tc>
          <w:tcPr>
            <w:tcW w:w="548" w:type="pct"/>
            <w:vAlign w:val="center"/>
          </w:tcPr>
          <w:p w14:paraId="3032C88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74370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13DFFA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2286CB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67493FD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B5CDA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846ED32">
            <w:pPr>
              <w:pStyle w:val="75"/>
            </w:pPr>
            <w:r>
              <w:rPr>
                <w:rFonts w:hint="eastAsia"/>
              </w:rPr>
              <w:t>76</w:t>
            </w:r>
          </w:p>
        </w:tc>
      </w:tr>
      <w:tr w14:paraId="6252C76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41F135A9">
            <w:pPr>
              <w:pStyle w:val="75"/>
            </w:pPr>
          </w:p>
        </w:tc>
        <w:tc>
          <w:tcPr>
            <w:tcW w:w="327" w:type="pct"/>
            <w:vAlign w:val="center"/>
          </w:tcPr>
          <w:p w14:paraId="5DA47CC5">
            <w:pPr>
              <w:pStyle w:val="75"/>
            </w:pPr>
            <w:r>
              <w:rPr>
                <w:rFonts w:hint="eastAsia"/>
              </w:rPr>
              <w:t>36</w:t>
            </w:r>
          </w:p>
        </w:tc>
        <w:tc>
          <w:tcPr>
            <w:tcW w:w="700" w:type="pct"/>
            <w:vAlign w:val="center"/>
          </w:tcPr>
          <w:p w14:paraId="0A536C62">
            <w:pPr>
              <w:pStyle w:val="75"/>
            </w:pPr>
            <w:r>
              <w:rPr>
                <w:rFonts w:hint="eastAsia" w:ascii="宋体" w:hAnsi="宋体" w:cs="宋体"/>
              </w:rPr>
              <w:t>苯胺</w:t>
            </w:r>
          </w:p>
        </w:tc>
        <w:tc>
          <w:tcPr>
            <w:tcW w:w="548" w:type="pct"/>
            <w:vAlign w:val="center"/>
          </w:tcPr>
          <w:p w14:paraId="3D71A4C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BCB0A1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74FA7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55D0C66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33FB8FD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40AFDA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5582A12">
            <w:pPr>
              <w:pStyle w:val="75"/>
            </w:pPr>
            <w:r>
              <w:rPr>
                <w:rFonts w:hint="eastAsia"/>
              </w:rPr>
              <w:t>260</w:t>
            </w:r>
          </w:p>
        </w:tc>
      </w:tr>
      <w:tr w14:paraId="5C8EACC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1CB8DCF1">
            <w:pPr>
              <w:pStyle w:val="75"/>
            </w:pPr>
          </w:p>
        </w:tc>
        <w:tc>
          <w:tcPr>
            <w:tcW w:w="327" w:type="pct"/>
            <w:vAlign w:val="center"/>
          </w:tcPr>
          <w:p w14:paraId="7B00BC33">
            <w:pPr>
              <w:pStyle w:val="75"/>
            </w:pPr>
            <w:r>
              <w:rPr>
                <w:rFonts w:hint="eastAsia"/>
              </w:rPr>
              <w:t>37</w:t>
            </w:r>
          </w:p>
        </w:tc>
        <w:tc>
          <w:tcPr>
            <w:tcW w:w="700" w:type="pct"/>
            <w:vAlign w:val="center"/>
          </w:tcPr>
          <w:p w14:paraId="6640E8A3">
            <w:pPr>
              <w:pStyle w:val="75"/>
            </w:pPr>
            <w:r>
              <w:t>2</w:t>
            </w:r>
            <w:r>
              <w:rPr>
                <w:rFonts w:hint="eastAsia" w:ascii="宋体" w:hAnsi="宋体" w:cs="宋体"/>
              </w:rPr>
              <w:t>-氯酚</w:t>
            </w:r>
          </w:p>
        </w:tc>
        <w:tc>
          <w:tcPr>
            <w:tcW w:w="548" w:type="pct"/>
            <w:vAlign w:val="center"/>
          </w:tcPr>
          <w:p w14:paraId="632995A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D5ED2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9B99B3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708588B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717DAF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7FAB36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DDAC399">
            <w:pPr>
              <w:pStyle w:val="75"/>
            </w:pPr>
            <w:r>
              <w:rPr>
                <w:rFonts w:hint="eastAsia"/>
              </w:rPr>
              <w:t>2256</w:t>
            </w:r>
          </w:p>
        </w:tc>
      </w:tr>
      <w:tr w14:paraId="1E4F2AB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8884E13">
            <w:pPr>
              <w:pStyle w:val="75"/>
            </w:pPr>
          </w:p>
        </w:tc>
        <w:tc>
          <w:tcPr>
            <w:tcW w:w="327" w:type="pct"/>
            <w:vAlign w:val="center"/>
          </w:tcPr>
          <w:p w14:paraId="502816AD">
            <w:pPr>
              <w:pStyle w:val="75"/>
            </w:pPr>
            <w:r>
              <w:rPr>
                <w:rFonts w:hint="eastAsia"/>
              </w:rPr>
              <w:t>38</w:t>
            </w:r>
          </w:p>
        </w:tc>
        <w:tc>
          <w:tcPr>
            <w:tcW w:w="700" w:type="pct"/>
            <w:vAlign w:val="center"/>
          </w:tcPr>
          <w:p w14:paraId="2CFADAA4">
            <w:pPr>
              <w:pStyle w:val="75"/>
            </w:pPr>
            <w:r>
              <w:rPr>
                <w:rFonts w:hint="eastAsia" w:ascii="宋体" w:hAnsi="宋体" w:cs="宋体"/>
              </w:rPr>
              <w:t>苯并</w:t>
            </w:r>
            <w:r>
              <w:t>[a]</w:t>
            </w:r>
            <w:r>
              <w:rPr>
                <w:rFonts w:hint="eastAsia" w:ascii="宋体" w:hAnsi="宋体" w:cs="宋体"/>
              </w:rPr>
              <w:t>蒽</w:t>
            </w:r>
          </w:p>
        </w:tc>
        <w:tc>
          <w:tcPr>
            <w:tcW w:w="548" w:type="pct"/>
            <w:vAlign w:val="center"/>
          </w:tcPr>
          <w:p w14:paraId="2EA29FB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2FD61D0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44245E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424831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43F74F3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85BB7A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69FDF87">
            <w:pPr>
              <w:pStyle w:val="75"/>
            </w:pPr>
            <w:r>
              <w:rPr>
                <w:rFonts w:hint="eastAsia"/>
              </w:rPr>
              <w:t>15</w:t>
            </w:r>
          </w:p>
        </w:tc>
      </w:tr>
      <w:tr w14:paraId="5BA2A98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5E258A50">
            <w:pPr>
              <w:pStyle w:val="75"/>
            </w:pPr>
          </w:p>
        </w:tc>
        <w:tc>
          <w:tcPr>
            <w:tcW w:w="327" w:type="pct"/>
            <w:vAlign w:val="center"/>
          </w:tcPr>
          <w:p w14:paraId="6137F9E0">
            <w:pPr>
              <w:pStyle w:val="75"/>
            </w:pPr>
            <w:r>
              <w:rPr>
                <w:rFonts w:hint="eastAsia"/>
              </w:rPr>
              <w:t>39</w:t>
            </w:r>
          </w:p>
        </w:tc>
        <w:tc>
          <w:tcPr>
            <w:tcW w:w="700" w:type="pct"/>
            <w:vAlign w:val="center"/>
          </w:tcPr>
          <w:p w14:paraId="3B79E5E9">
            <w:pPr>
              <w:pStyle w:val="75"/>
            </w:pPr>
            <w:r>
              <w:rPr>
                <w:rFonts w:hint="eastAsia" w:ascii="宋体" w:hAnsi="宋体" w:cs="宋体"/>
              </w:rPr>
              <w:t>苯并</w:t>
            </w:r>
            <w:r>
              <w:t>[a]</w:t>
            </w:r>
            <w:r>
              <w:rPr>
                <w:rFonts w:hint="eastAsia" w:ascii="宋体" w:hAnsi="宋体" w:cs="宋体"/>
              </w:rPr>
              <w:t>芘</w:t>
            </w:r>
          </w:p>
        </w:tc>
        <w:tc>
          <w:tcPr>
            <w:tcW w:w="548" w:type="pct"/>
            <w:vAlign w:val="center"/>
          </w:tcPr>
          <w:p w14:paraId="4E75E5D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1BFEA2C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2B664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7A2A6C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7F44D63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4FC76B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896C8D0">
            <w:pPr>
              <w:pStyle w:val="75"/>
            </w:pPr>
            <w:r>
              <w:rPr>
                <w:rFonts w:hint="eastAsia"/>
              </w:rPr>
              <w:t>1.5</w:t>
            </w:r>
          </w:p>
        </w:tc>
      </w:tr>
      <w:tr w14:paraId="18D2E903">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A4DA0D1">
            <w:pPr>
              <w:pStyle w:val="75"/>
            </w:pPr>
          </w:p>
        </w:tc>
        <w:tc>
          <w:tcPr>
            <w:tcW w:w="327" w:type="pct"/>
            <w:vAlign w:val="center"/>
          </w:tcPr>
          <w:p w14:paraId="5F1F3B6E">
            <w:pPr>
              <w:pStyle w:val="75"/>
            </w:pPr>
            <w:r>
              <w:rPr>
                <w:rFonts w:hint="eastAsia"/>
              </w:rPr>
              <w:t>40</w:t>
            </w:r>
          </w:p>
        </w:tc>
        <w:tc>
          <w:tcPr>
            <w:tcW w:w="700" w:type="pct"/>
            <w:vAlign w:val="center"/>
          </w:tcPr>
          <w:p w14:paraId="4C37CC11">
            <w:pPr>
              <w:pStyle w:val="75"/>
            </w:pPr>
            <w:r>
              <w:rPr>
                <w:rFonts w:hint="eastAsia" w:ascii="宋体" w:hAnsi="宋体" w:cs="宋体"/>
              </w:rPr>
              <w:t>苯并</w:t>
            </w:r>
            <w:r>
              <w:t>[b]</w:t>
            </w:r>
            <w:r>
              <w:rPr>
                <w:rFonts w:hint="eastAsia" w:ascii="宋体" w:hAnsi="宋体" w:cs="宋体"/>
              </w:rPr>
              <w:t>荧蒽</w:t>
            </w:r>
          </w:p>
        </w:tc>
        <w:tc>
          <w:tcPr>
            <w:tcW w:w="548" w:type="pct"/>
            <w:vAlign w:val="center"/>
          </w:tcPr>
          <w:p w14:paraId="139C91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788A8A3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75E59F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051C0F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1150818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3BB1D05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09BECAA">
            <w:pPr>
              <w:pStyle w:val="75"/>
            </w:pPr>
            <w:r>
              <w:rPr>
                <w:rFonts w:hint="eastAsia"/>
              </w:rPr>
              <w:t>15</w:t>
            </w:r>
          </w:p>
        </w:tc>
      </w:tr>
      <w:tr w14:paraId="2C9B8CE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E41D4DB">
            <w:pPr>
              <w:pStyle w:val="75"/>
            </w:pPr>
          </w:p>
        </w:tc>
        <w:tc>
          <w:tcPr>
            <w:tcW w:w="327" w:type="pct"/>
            <w:vAlign w:val="center"/>
          </w:tcPr>
          <w:p w14:paraId="6E8FBB4F">
            <w:pPr>
              <w:pStyle w:val="75"/>
            </w:pPr>
            <w:r>
              <w:rPr>
                <w:rFonts w:hint="eastAsia"/>
              </w:rPr>
              <w:t>41</w:t>
            </w:r>
          </w:p>
        </w:tc>
        <w:tc>
          <w:tcPr>
            <w:tcW w:w="700" w:type="pct"/>
            <w:vAlign w:val="center"/>
          </w:tcPr>
          <w:p w14:paraId="1B11B951">
            <w:pPr>
              <w:pStyle w:val="75"/>
            </w:pPr>
            <w:r>
              <w:rPr>
                <w:rFonts w:hint="eastAsia" w:ascii="宋体" w:hAnsi="宋体" w:cs="宋体"/>
              </w:rPr>
              <w:t>苯并</w:t>
            </w:r>
            <w:r>
              <w:t>[k]</w:t>
            </w:r>
            <w:r>
              <w:rPr>
                <w:rFonts w:hint="eastAsia" w:ascii="宋体" w:hAnsi="宋体" w:cs="宋体"/>
              </w:rPr>
              <w:t>荧蒽</w:t>
            </w:r>
          </w:p>
        </w:tc>
        <w:tc>
          <w:tcPr>
            <w:tcW w:w="548" w:type="pct"/>
            <w:vAlign w:val="center"/>
          </w:tcPr>
          <w:p w14:paraId="11FF16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020ADC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75B958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295CB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658B4F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11B0293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27ACD607">
            <w:pPr>
              <w:pStyle w:val="75"/>
            </w:pPr>
            <w:r>
              <w:rPr>
                <w:rFonts w:hint="eastAsia"/>
              </w:rPr>
              <w:t>151</w:t>
            </w:r>
          </w:p>
        </w:tc>
      </w:tr>
      <w:tr w14:paraId="02B56AC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67A5DC0">
            <w:pPr>
              <w:pStyle w:val="75"/>
            </w:pPr>
          </w:p>
        </w:tc>
        <w:tc>
          <w:tcPr>
            <w:tcW w:w="327" w:type="pct"/>
            <w:vAlign w:val="center"/>
          </w:tcPr>
          <w:p w14:paraId="7F6B800A">
            <w:pPr>
              <w:pStyle w:val="75"/>
            </w:pPr>
            <w:r>
              <w:rPr>
                <w:rFonts w:hint="eastAsia"/>
              </w:rPr>
              <w:t>42</w:t>
            </w:r>
          </w:p>
        </w:tc>
        <w:tc>
          <w:tcPr>
            <w:tcW w:w="700" w:type="pct"/>
            <w:vAlign w:val="center"/>
          </w:tcPr>
          <w:p w14:paraId="5A1BF20C">
            <w:pPr>
              <w:pStyle w:val="75"/>
              <w:rPr>
                <w:rFonts w:ascii="宋体" w:hAnsi="宋体" w:cs="宋体"/>
              </w:rPr>
            </w:pPr>
            <w:r>
              <w:rPr>
                <w:rFonts w:hint="eastAsia" w:ascii="宋体" w:hAnsi="宋体" w:cs="宋体"/>
              </w:rPr>
              <w:t>䓛</w:t>
            </w:r>
          </w:p>
        </w:tc>
        <w:tc>
          <w:tcPr>
            <w:tcW w:w="548" w:type="pct"/>
            <w:vAlign w:val="center"/>
          </w:tcPr>
          <w:p w14:paraId="7D219E4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0DC22D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D672F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2A968A7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7F3B70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334A320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6C4A8AA2">
            <w:pPr>
              <w:pStyle w:val="75"/>
            </w:pPr>
            <w:r>
              <w:rPr>
                <w:rFonts w:hint="eastAsia"/>
              </w:rPr>
              <w:t>42</w:t>
            </w:r>
          </w:p>
        </w:tc>
      </w:tr>
      <w:tr w14:paraId="6CCC1F2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04CE2CF0">
            <w:pPr>
              <w:pStyle w:val="75"/>
            </w:pPr>
          </w:p>
        </w:tc>
        <w:tc>
          <w:tcPr>
            <w:tcW w:w="327" w:type="pct"/>
            <w:vAlign w:val="center"/>
          </w:tcPr>
          <w:p w14:paraId="749EA218">
            <w:pPr>
              <w:pStyle w:val="75"/>
            </w:pPr>
            <w:r>
              <w:rPr>
                <w:rFonts w:hint="eastAsia"/>
              </w:rPr>
              <w:t>43</w:t>
            </w:r>
          </w:p>
        </w:tc>
        <w:tc>
          <w:tcPr>
            <w:tcW w:w="700" w:type="pct"/>
            <w:vAlign w:val="center"/>
          </w:tcPr>
          <w:p w14:paraId="04BD5851">
            <w:pPr>
              <w:pStyle w:val="75"/>
              <w:rPr>
                <w:rFonts w:ascii="宋体" w:hAnsi="宋体" w:cs="宋体"/>
              </w:rPr>
            </w:pPr>
            <w:r>
              <w:rPr>
                <w:rFonts w:hint="eastAsia" w:ascii="宋体" w:hAnsi="宋体" w:cs="宋体"/>
              </w:rPr>
              <w:t>二苯并</w:t>
            </w:r>
            <w:r>
              <w:t>[a,h]</w:t>
            </w:r>
            <w:r>
              <w:rPr>
                <w:rFonts w:hint="eastAsia" w:ascii="宋体" w:hAnsi="宋体" w:cs="宋体"/>
              </w:rPr>
              <w:t>蒽</w:t>
            </w:r>
          </w:p>
        </w:tc>
        <w:tc>
          <w:tcPr>
            <w:tcW w:w="548" w:type="pct"/>
            <w:vAlign w:val="center"/>
          </w:tcPr>
          <w:p w14:paraId="6EF1CB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D170B8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082284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2F3954C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1F70D30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6E7E0FD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5767750">
            <w:pPr>
              <w:pStyle w:val="75"/>
            </w:pPr>
            <w:r>
              <w:rPr>
                <w:rFonts w:hint="eastAsia"/>
              </w:rPr>
              <w:t>1.5</w:t>
            </w:r>
          </w:p>
        </w:tc>
      </w:tr>
      <w:tr w14:paraId="2AAE07B2">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DD465B2">
            <w:pPr>
              <w:pStyle w:val="75"/>
            </w:pPr>
          </w:p>
        </w:tc>
        <w:tc>
          <w:tcPr>
            <w:tcW w:w="327" w:type="pct"/>
            <w:vAlign w:val="center"/>
          </w:tcPr>
          <w:p w14:paraId="084E5CF9">
            <w:pPr>
              <w:pStyle w:val="75"/>
            </w:pPr>
            <w:r>
              <w:rPr>
                <w:rFonts w:hint="eastAsia"/>
              </w:rPr>
              <w:t>44</w:t>
            </w:r>
          </w:p>
        </w:tc>
        <w:tc>
          <w:tcPr>
            <w:tcW w:w="700" w:type="pct"/>
            <w:vAlign w:val="center"/>
          </w:tcPr>
          <w:p w14:paraId="415160F3">
            <w:pPr>
              <w:pStyle w:val="75"/>
              <w:rPr>
                <w:rFonts w:ascii="宋体" w:hAnsi="宋体" w:cs="宋体"/>
              </w:rPr>
            </w:pPr>
            <w:r>
              <w:rPr>
                <w:rFonts w:hint="eastAsia" w:ascii="宋体" w:hAnsi="宋体" w:cs="宋体"/>
              </w:rPr>
              <w:t>茚并</w:t>
            </w:r>
            <w:r>
              <w:t>[1,2,3-cd]</w:t>
            </w:r>
            <w:r>
              <w:rPr>
                <w:rFonts w:hint="eastAsia" w:ascii="宋体" w:hAnsi="宋体" w:cs="宋体"/>
              </w:rPr>
              <w:t>芘</w:t>
            </w:r>
          </w:p>
        </w:tc>
        <w:tc>
          <w:tcPr>
            <w:tcW w:w="548" w:type="pct"/>
            <w:vAlign w:val="center"/>
          </w:tcPr>
          <w:p w14:paraId="6A010F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45B728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1E957AB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6791980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058720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52E7B59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5781D3FA">
            <w:pPr>
              <w:pStyle w:val="75"/>
            </w:pPr>
            <w:r>
              <w:rPr>
                <w:rFonts w:hint="eastAsia"/>
              </w:rPr>
              <w:t>15</w:t>
            </w:r>
          </w:p>
        </w:tc>
      </w:tr>
      <w:tr w14:paraId="48F427F5">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716A0463">
            <w:pPr>
              <w:pStyle w:val="75"/>
            </w:pPr>
          </w:p>
        </w:tc>
        <w:tc>
          <w:tcPr>
            <w:tcW w:w="327" w:type="pct"/>
            <w:vAlign w:val="center"/>
          </w:tcPr>
          <w:p w14:paraId="0B374A2C">
            <w:pPr>
              <w:pStyle w:val="75"/>
            </w:pPr>
            <w:r>
              <w:rPr>
                <w:rFonts w:hint="eastAsia"/>
              </w:rPr>
              <w:t>45</w:t>
            </w:r>
          </w:p>
        </w:tc>
        <w:tc>
          <w:tcPr>
            <w:tcW w:w="700" w:type="pct"/>
            <w:vAlign w:val="center"/>
          </w:tcPr>
          <w:p w14:paraId="6325255E">
            <w:pPr>
              <w:pStyle w:val="75"/>
              <w:rPr>
                <w:rFonts w:ascii="宋体" w:hAnsi="宋体" w:cs="宋体"/>
              </w:rPr>
            </w:pPr>
            <w:r>
              <w:rPr>
                <w:rFonts w:hint="eastAsia" w:ascii="宋体" w:hAnsi="宋体" w:cs="宋体"/>
              </w:rPr>
              <w:t>萘</w:t>
            </w:r>
          </w:p>
        </w:tc>
        <w:tc>
          <w:tcPr>
            <w:tcW w:w="548" w:type="pct"/>
            <w:vAlign w:val="center"/>
          </w:tcPr>
          <w:p w14:paraId="231767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54" w:type="pct"/>
            <w:vAlign w:val="center"/>
          </w:tcPr>
          <w:p w14:paraId="53EAB05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36" w:type="pct"/>
            <w:vAlign w:val="center"/>
          </w:tcPr>
          <w:p w14:paraId="6D7B79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35" w:type="pct"/>
            <w:vAlign w:val="center"/>
          </w:tcPr>
          <w:p w14:paraId="34DE0A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59" w:type="pct"/>
            <w:vAlign w:val="center"/>
          </w:tcPr>
          <w:p w14:paraId="39FDD3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422" w:type="pct"/>
            <w:vAlign w:val="center"/>
          </w:tcPr>
          <w:p w14:paraId="453472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ascii="Times New Roman" w:hAnsi="Times New Roman" w:eastAsia="宋体" w:cs="Times New Roman"/>
                <w:b w:val="0"/>
                <w:bCs w:val="0"/>
                <w:sz w:val="21"/>
                <w:szCs w:val="21"/>
                <w:highlight w:val="none"/>
                <w:lang w:val="en-US" w:eastAsia="zh-CN"/>
              </w:rPr>
              <w:t>ND</w:t>
            </w:r>
          </w:p>
        </w:tc>
        <w:tc>
          <w:tcPr>
            <w:tcW w:w="545" w:type="pct"/>
            <w:vAlign w:val="center"/>
          </w:tcPr>
          <w:p w14:paraId="4539796D">
            <w:pPr>
              <w:pStyle w:val="75"/>
            </w:pPr>
            <w:r>
              <w:rPr>
                <w:rFonts w:hint="eastAsia"/>
              </w:rPr>
              <w:t>70</w:t>
            </w:r>
          </w:p>
        </w:tc>
      </w:tr>
      <w:tr w14:paraId="75876C9C">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59ADC848">
            <w:pPr>
              <w:pStyle w:val="75"/>
            </w:pPr>
          </w:p>
        </w:tc>
        <w:tc>
          <w:tcPr>
            <w:tcW w:w="327" w:type="pct"/>
            <w:vAlign w:val="center"/>
          </w:tcPr>
          <w:p w14:paraId="7AE949AB">
            <w:pPr>
              <w:pStyle w:val="75"/>
            </w:pPr>
            <w:r>
              <w:rPr>
                <w:rFonts w:hint="eastAsia"/>
              </w:rPr>
              <w:t>46</w:t>
            </w:r>
          </w:p>
        </w:tc>
        <w:tc>
          <w:tcPr>
            <w:tcW w:w="700" w:type="pct"/>
            <w:vAlign w:val="center"/>
          </w:tcPr>
          <w:p w14:paraId="62BC2B51">
            <w:pPr>
              <w:pStyle w:val="75"/>
              <w:rPr>
                <w:rFonts w:ascii="宋体" w:hAnsi="宋体" w:cs="宋体"/>
              </w:rPr>
            </w:pPr>
            <w:r>
              <w:rPr>
                <w:lang w:bidi="ar"/>
              </w:rPr>
              <w:t>石油烃（C</w:t>
            </w:r>
            <w:r>
              <w:rPr>
                <w:vertAlign w:val="subscript"/>
                <w:lang w:bidi="ar"/>
              </w:rPr>
              <w:t>10</w:t>
            </w:r>
            <w:r>
              <w:rPr>
                <w:lang w:bidi="ar"/>
              </w:rPr>
              <w:t>-C</w:t>
            </w:r>
            <w:r>
              <w:rPr>
                <w:vertAlign w:val="subscript"/>
                <w:lang w:bidi="ar"/>
              </w:rPr>
              <w:t>40</w:t>
            </w:r>
            <w:r>
              <w:rPr>
                <w:lang w:bidi="ar"/>
              </w:rPr>
              <w:t>）</w:t>
            </w:r>
          </w:p>
        </w:tc>
        <w:tc>
          <w:tcPr>
            <w:tcW w:w="548" w:type="pct"/>
            <w:vAlign w:val="center"/>
          </w:tcPr>
          <w:p w14:paraId="67D6A88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93.0</w:t>
            </w:r>
          </w:p>
        </w:tc>
        <w:tc>
          <w:tcPr>
            <w:tcW w:w="554" w:type="pct"/>
            <w:vAlign w:val="center"/>
          </w:tcPr>
          <w:p w14:paraId="310D19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107</w:t>
            </w:r>
          </w:p>
        </w:tc>
        <w:tc>
          <w:tcPr>
            <w:tcW w:w="436" w:type="pct"/>
            <w:vAlign w:val="center"/>
          </w:tcPr>
          <w:p w14:paraId="5E8B485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112</w:t>
            </w:r>
          </w:p>
        </w:tc>
        <w:tc>
          <w:tcPr>
            <w:tcW w:w="535" w:type="pct"/>
            <w:vAlign w:val="center"/>
          </w:tcPr>
          <w:p w14:paraId="2062CA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121</w:t>
            </w:r>
          </w:p>
        </w:tc>
        <w:tc>
          <w:tcPr>
            <w:tcW w:w="459" w:type="pct"/>
            <w:vAlign w:val="center"/>
          </w:tcPr>
          <w:p w14:paraId="20B8A9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129</w:t>
            </w:r>
          </w:p>
        </w:tc>
        <w:tc>
          <w:tcPr>
            <w:tcW w:w="422" w:type="pct"/>
            <w:vAlign w:val="center"/>
          </w:tcPr>
          <w:p w14:paraId="180C6D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162</w:t>
            </w:r>
          </w:p>
        </w:tc>
        <w:tc>
          <w:tcPr>
            <w:tcW w:w="545" w:type="pct"/>
            <w:vAlign w:val="center"/>
          </w:tcPr>
          <w:p w14:paraId="08F336BB">
            <w:pPr>
              <w:pStyle w:val="75"/>
            </w:pPr>
            <w:r>
              <w:rPr>
                <w:rFonts w:hint="eastAsia"/>
              </w:rPr>
              <w:t>4500</w:t>
            </w:r>
          </w:p>
        </w:tc>
      </w:tr>
      <w:tr w14:paraId="1408E9C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675EA437">
            <w:pPr>
              <w:pStyle w:val="75"/>
            </w:pPr>
          </w:p>
        </w:tc>
        <w:tc>
          <w:tcPr>
            <w:tcW w:w="327" w:type="pct"/>
            <w:vAlign w:val="center"/>
          </w:tcPr>
          <w:p w14:paraId="34CEC273">
            <w:pPr>
              <w:pStyle w:val="75"/>
            </w:pPr>
            <w:r>
              <w:rPr>
                <w:rFonts w:hint="eastAsia"/>
              </w:rPr>
              <w:t>47</w:t>
            </w:r>
          </w:p>
        </w:tc>
        <w:tc>
          <w:tcPr>
            <w:tcW w:w="700" w:type="pct"/>
            <w:vAlign w:val="center"/>
          </w:tcPr>
          <w:p w14:paraId="7B0681E7">
            <w:pPr>
              <w:pStyle w:val="75"/>
              <w:rPr>
                <w:rFonts w:ascii="宋体" w:hAnsi="宋体" w:cs="宋体"/>
              </w:rPr>
            </w:pPr>
            <w:r>
              <w:rPr>
                <w:rFonts w:hint="eastAsia"/>
              </w:rPr>
              <w:t>pH（无量纲）</w:t>
            </w:r>
          </w:p>
        </w:tc>
        <w:tc>
          <w:tcPr>
            <w:tcW w:w="548" w:type="pct"/>
            <w:vAlign w:val="center"/>
          </w:tcPr>
          <w:p w14:paraId="43B269B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7.96</w:t>
            </w:r>
          </w:p>
        </w:tc>
        <w:tc>
          <w:tcPr>
            <w:tcW w:w="554" w:type="pct"/>
            <w:vAlign w:val="center"/>
          </w:tcPr>
          <w:p w14:paraId="2E8F440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8.11</w:t>
            </w:r>
          </w:p>
        </w:tc>
        <w:tc>
          <w:tcPr>
            <w:tcW w:w="436" w:type="pct"/>
            <w:vAlign w:val="center"/>
          </w:tcPr>
          <w:p w14:paraId="4931047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7.76</w:t>
            </w:r>
          </w:p>
        </w:tc>
        <w:tc>
          <w:tcPr>
            <w:tcW w:w="535" w:type="pct"/>
            <w:vAlign w:val="center"/>
          </w:tcPr>
          <w:p w14:paraId="7884960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8.10</w:t>
            </w:r>
          </w:p>
        </w:tc>
        <w:tc>
          <w:tcPr>
            <w:tcW w:w="459" w:type="pct"/>
            <w:vAlign w:val="center"/>
          </w:tcPr>
          <w:p w14:paraId="187988E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7.60</w:t>
            </w:r>
          </w:p>
        </w:tc>
        <w:tc>
          <w:tcPr>
            <w:tcW w:w="422" w:type="pct"/>
            <w:vAlign w:val="center"/>
          </w:tcPr>
          <w:p w14:paraId="3D7E8D3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7.74</w:t>
            </w:r>
          </w:p>
        </w:tc>
        <w:tc>
          <w:tcPr>
            <w:tcW w:w="545" w:type="pct"/>
            <w:vAlign w:val="center"/>
          </w:tcPr>
          <w:p w14:paraId="117D6E9B">
            <w:pPr>
              <w:pStyle w:val="75"/>
            </w:pPr>
            <w:r>
              <w:rPr>
                <w:rFonts w:hint="eastAsia"/>
              </w:rPr>
              <w:t>/</w:t>
            </w:r>
          </w:p>
        </w:tc>
      </w:tr>
      <w:tr w14:paraId="420E35BE">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71" w:type="pct"/>
            <w:vMerge w:val="continue"/>
            <w:vAlign w:val="center"/>
          </w:tcPr>
          <w:p w14:paraId="34FD5D59">
            <w:pPr>
              <w:pStyle w:val="75"/>
            </w:pPr>
          </w:p>
        </w:tc>
        <w:tc>
          <w:tcPr>
            <w:tcW w:w="327" w:type="pct"/>
            <w:vAlign w:val="center"/>
          </w:tcPr>
          <w:p w14:paraId="76F2E1F1">
            <w:pPr>
              <w:pStyle w:val="75"/>
            </w:pPr>
            <w:r>
              <w:rPr>
                <w:rFonts w:hint="eastAsia"/>
              </w:rPr>
              <w:t>48</w:t>
            </w:r>
          </w:p>
        </w:tc>
        <w:tc>
          <w:tcPr>
            <w:tcW w:w="700" w:type="pct"/>
            <w:vAlign w:val="center"/>
          </w:tcPr>
          <w:p w14:paraId="5ED2C6BF">
            <w:pPr>
              <w:pStyle w:val="75"/>
            </w:pPr>
            <w:r>
              <w:rPr>
                <w:rFonts w:hint="eastAsia"/>
              </w:rPr>
              <w:t>总铬</w:t>
            </w:r>
          </w:p>
        </w:tc>
        <w:tc>
          <w:tcPr>
            <w:tcW w:w="548" w:type="pct"/>
            <w:vAlign w:val="center"/>
          </w:tcPr>
          <w:p w14:paraId="571F725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47</w:t>
            </w:r>
          </w:p>
        </w:tc>
        <w:tc>
          <w:tcPr>
            <w:tcW w:w="554" w:type="pct"/>
            <w:vAlign w:val="center"/>
          </w:tcPr>
          <w:p w14:paraId="6C715A9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44</w:t>
            </w:r>
          </w:p>
        </w:tc>
        <w:tc>
          <w:tcPr>
            <w:tcW w:w="436" w:type="pct"/>
            <w:vAlign w:val="center"/>
          </w:tcPr>
          <w:p w14:paraId="53ADA3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34</w:t>
            </w:r>
          </w:p>
        </w:tc>
        <w:tc>
          <w:tcPr>
            <w:tcW w:w="535" w:type="pct"/>
            <w:vAlign w:val="center"/>
          </w:tcPr>
          <w:p w14:paraId="475BEDD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46</w:t>
            </w:r>
          </w:p>
        </w:tc>
        <w:tc>
          <w:tcPr>
            <w:tcW w:w="459" w:type="pct"/>
            <w:vAlign w:val="center"/>
          </w:tcPr>
          <w:p w14:paraId="3DDB48C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39</w:t>
            </w:r>
          </w:p>
        </w:tc>
        <w:tc>
          <w:tcPr>
            <w:tcW w:w="422" w:type="pct"/>
            <w:vAlign w:val="center"/>
          </w:tcPr>
          <w:p w14:paraId="7513D0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33</w:t>
            </w:r>
          </w:p>
        </w:tc>
        <w:tc>
          <w:tcPr>
            <w:tcW w:w="545" w:type="pct"/>
            <w:vAlign w:val="center"/>
          </w:tcPr>
          <w:p w14:paraId="2CBF4D88">
            <w:pPr>
              <w:pStyle w:val="75"/>
            </w:pPr>
            <w:r>
              <w:rPr>
                <w:rFonts w:hint="eastAsia"/>
              </w:rPr>
              <w:t>/</w:t>
            </w:r>
          </w:p>
        </w:tc>
      </w:tr>
    </w:tbl>
    <w:p w14:paraId="6F94871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b/>
          <w:bCs/>
          <w:lang w:val="en-US" w:eastAsia="zh-CN"/>
        </w:rPr>
      </w:pPr>
      <w:r>
        <w:rPr>
          <w:rFonts w:hint="eastAsia"/>
          <w:b/>
          <w:bCs/>
          <w:lang w:val="en-US" w:eastAsia="zh-CN"/>
        </w:rPr>
        <w:t>表4.2-21    项目土壤环境监测结果2            单位mg/kg</w:t>
      </w:r>
    </w:p>
    <w:tbl>
      <w:tblPr>
        <w:tblStyle w:val="39"/>
        <w:tblW w:w="5125"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1251"/>
        <w:gridCol w:w="1939"/>
        <w:gridCol w:w="1114"/>
        <w:gridCol w:w="1110"/>
        <w:gridCol w:w="1016"/>
        <w:gridCol w:w="1001"/>
        <w:gridCol w:w="1109"/>
      </w:tblGrid>
      <w:tr w14:paraId="23C8D1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tcBorders>
              <w:top w:val="single" w:color="auto" w:sz="8" w:space="0"/>
              <w:bottom w:val="single" w:color="auto" w:sz="4" w:space="0"/>
              <w:right w:val="single" w:color="auto" w:sz="4" w:space="0"/>
            </w:tcBorders>
            <w:vAlign w:val="center"/>
          </w:tcPr>
          <w:p w14:paraId="29ADE2DD">
            <w:pPr>
              <w:pStyle w:val="81"/>
              <w:rPr>
                <w:color w:val="auto"/>
              </w:rPr>
            </w:pPr>
            <w:r>
              <w:rPr>
                <w:color w:val="auto"/>
              </w:rPr>
              <w:t>采样时间</w:t>
            </w:r>
          </w:p>
        </w:tc>
        <w:tc>
          <w:tcPr>
            <w:tcW w:w="1786" w:type="pct"/>
            <w:gridSpan w:val="2"/>
            <w:tcBorders>
              <w:top w:val="single" w:color="auto" w:sz="8" w:space="0"/>
              <w:left w:val="single" w:color="auto" w:sz="4" w:space="0"/>
              <w:bottom w:val="single" w:color="auto" w:sz="4" w:space="0"/>
              <w:right w:val="single" w:color="auto" w:sz="4" w:space="0"/>
              <w:tl2br w:val="single" w:color="auto" w:sz="4" w:space="0"/>
            </w:tcBorders>
            <w:vAlign w:val="center"/>
          </w:tcPr>
          <w:p w14:paraId="0EE4F4AE">
            <w:pPr>
              <w:pStyle w:val="81"/>
              <w:rPr>
                <w:color w:val="auto"/>
              </w:rPr>
            </w:pPr>
            <w:r>
              <w:rPr>
                <w:rFonts w:hint="eastAsia"/>
                <w:color w:val="auto"/>
              </w:rPr>
              <w:t xml:space="preserve">            </w:t>
            </w:r>
            <w:r>
              <w:rPr>
                <w:color w:val="auto"/>
              </w:rPr>
              <w:t>检测因子</w:t>
            </w:r>
          </w:p>
          <w:p w14:paraId="008B7A20">
            <w:pPr>
              <w:pStyle w:val="81"/>
              <w:jc w:val="both"/>
              <w:rPr>
                <w:color w:val="auto"/>
              </w:rPr>
            </w:pPr>
            <w:r>
              <w:rPr>
                <w:color w:val="auto"/>
              </w:rPr>
              <w:t>检测点位</w:t>
            </w:r>
          </w:p>
        </w:tc>
        <w:tc>
          <w:tcPr>
            <w:tcW w:w="650" w:type="pct"/>
            <w:tcBorders>
              <w:top w:val="single" w:color="auto" w:sz="8" w:space="0"/>
              <w:left w:val="single" w:color="auto" w:sz="4" w:space="0"/>
              <w:bottom w:val="single" w:color="auto" w:sz="4" w:space="0"/>
              <w:right w:val="single" w:color="auto" w:sz="4" w:space="0"/>
            </w:tcBorders>
            <w:vAlign w:val="center"/>
          </w:tcPr>
          <w:p w14:paraId="01D8D8F9">
            <w:pPr>
              <w:pStyle w:val="81"/>
              <w:rPr>
                <w:bCs/>
                <w:color w:val="auto"/>
              </w:rPr>
            </w:pPr>
            <w:r>
              <w:rPr>
                <w:bCs/>
                <w:color w:val="auto"/>
              </w:rPr>
              <w:t>pH值</w:t>
            </w:r>
          </w:p>
          <w:p w14:paraId="77087689">
            <w:pPr>
              <w:pStyle w:val="81"/>
              <w:rPr>
                <w:bCs/>
                <w:color w:val="auto"/>
              </w:rPr>
            </w:pPr>
            <w:r>
              <w:rPr>
                <w:bCs/>
                <w:color w:val="auto"/>
              </w:rPr>
              <w:t>(无量纲)</w:t>
            </w:r>
          </w:p>
        </w:tc>
        <w:tc>
          <w:tcPr>
            <w:tcW w:w="595" w:type="pct"/>
            <w:tcBorders>
              <w:top w:val="single" w:color="auto" w:sz="8" w:space="0"/>
              <w:left w:val="single" w:color="auto" w:sz="4" w:space="0"/>
              <w:bottom w:val="single" w:color="auto" w:sz="4" w:space="0"/>
              <w:right w:val="single" w:color="auto" w:sz="4" w:space="0"/>
            </w:tcBorders>
            <w:vAlign w:val="center"/>
          </w:tcPr>
          <w:p w14:paraId="1AB8664F">
            <w:pPr>
              <w:pStyle w:val="81"/>
              <w:rPr>
                <w:bCs/>
                <w:color w:val="auto"/>
              </w:rPr>
            </w:pPr>
            <w:r>
              <w:rPr>
                <w:rFonts w:hint="eastAsia"/>
                <w:bCs/>
                <w:color w:val="auto"/>
              </w:rPr>
              <w:t>镍</w:t>
            </w:r>
          </w:p>
        </w:tc>
        <w:tc>
          <w:tcPr>
            <w:tcW w:w="586" w:type="pct"/>
            <w:tcBorders>
              <w:top w:val="single" w:color="auto" w:sz="8" w:space="0"/>
              <w:left w:val="single" w:color="auto" w:sz="4" w:space="0"/>
              <w:bottom w:val="single" w:color="auto" w:sz="4" w:space="0"/>
              <w:right w:val="single" w:color="auto" w:sz="4" w:space="0"/>
            </w:tcBorders>
            <w:vAlign w:val="center"/>
          </w:tcPr>
          <w:p w14:paraId="527B2665">
            <w:pPr>
              <w:pStyle w:val="81"/>
              <w:rPr>
                <w:bCs/>
                <w:color w:val="auto"/>
              </w:rPr>
            </w:pPr>
            <w:r>
              <w:rPr>
                <w:bCs/>
                <w:color w:val="auto"/>
              </w:rPr>
              <w:t>总铬</w:t>
            </w:r>
          </w:p>
        </w:tc>
        <w:tc>
          <w:tcPr>
            <w:tcW w:w="649" w:type="pct"/>
            <w:tcBorders>
              <w:top w:val="single" w:color="auto" w:sz="8" w:space="0"/>
              <w:left w:val="single" w:color="auto" w:sz="4" w:space="0"/>
              <w:bottom w:val="single" w:color="auto" w:sz="4" w:space="0"/>
            </w:tcBorders>
            <w:vAlign w:val="center"/>
          </w:tcPr>
          <w:p w14:paraId="597CCCC7">
            <w:pPr>
              <w:pStyle w:val="81"/>
              <w:rPr>
                <w:bCs/>
                <w:color w:val="auto"/>
              </w:rPr>
            </w:pPr>
            <w:r>
              <w:rPr>
                <w:rFonts w:hint="eastAsia"/>
                <w:bCs/>
                <w:color w:val="auto"/>
              </w:rPr>
              <w:t>石油烃</w:t>
            </w:r>
          </w:p>
        </w:tc>
      </w:tr>
      <w:tr w14:paraId="18F4C4F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restart"/>
            <w:tcBorders>
              <w:top w:val="single" w:color="auto" w:sz="4" w:space="0"/>
              <w:bottom w:val="single" w:color="auto" w:sz="4" w:space="0"/>
              <w:right w:val="single" w:color="auto" w:sz="4" w:space="0"/>
            </w:tcBorders>
            <w:vAlign w:val="center"/>
          </w:tcPr>
          <w:p w14:paraId="6A0E625F">
            <w:pPr>
              <w:pStyle w:val="75"/>
              <w:rPr>
                <w:rFonts w:hint="default" w:eastAsia="宋体"/>
                <w:bCs/>
                <w:lang w:val="en-US" w:eastAsia="zh-CN"/>
              </w:rPr>
            </w:pPr>
            <w:r>
              <w:rPr>
                <w:rFonts w:hint="eastAsia"/>
                <w:bCs/>
                <w:lang w:val="en-US" w:eastAsia="zh-CN"/>
              </w:rPr>
              <w:t>2025.3.28</w:t>
            </w:r>
          </w:p>
        </w:tc>
        <w:tc>
          <w:tcPr>
            <w:tcW w:w="1135" w:type="pct"/>
            <w:tcBorders>
              <w:top w:val="single" w:color="auto" w:sz="4" w:space="0"/>
              <w:left w:val="single" w:color="auto" w:sz="4" w:space="0"/>
              <w:bottom w:val="single" w:color="auto" w:sz="4" w:space="0"/>
              <w:right w:val="single" w:color="auto" w:sz="4" w:space="0"/>
            </w:tcBorders>
            <w:vAlign w:val="center"/>
          </w:tcPr>
          <w:p w14:paraId="44E0D657">
            <w:pPr>
              <w:pStyle w:val="75"/>
              <w:rPr>
                <w:rFonts w:hint="eastAsia" w:ascii="Times New Roman" w:hAnsi="Times New Roman" w:eastAsia="宋体" w:cs="Times New Roman"/>
                <w:lang w:val="en-US" w:eastAsia="zh-CN"/>
              </w:rPr>
            </w:pPr>
            <w:r>
              <w:rPr>
                <w:rFonts w:hint="default" w:ascii="Times New Roman" w:hAnsi="Times New Roman" w:eastAsia="宋体" w:cs="Times New Roman"/>
                <w:lang w:val="en-US" w:eastAsia="zh-CN"/>
              </w:rPr>
              <w:t>厂区内西南侧</w:t>
            </w:r>
          </w:p>
        </w:tc>
        <w:tc>
          <w:tcPr>
            <w:tcW w:w="651" w:type="pct"/>
            <w:tcBorders>
              <w:top w:val="single" w:color="auto" w:sz="4" w:space="0"/>
              <w:left w:val="single" w:color="auto" w:sz="4" w:space="0"/>
              <w:bottom w:val="single" w:color="auto" w:sz="4" w:space="0"/>
              <w:right w:val="single" w:color="auto" w:sz="4" w:space="0"/>
            </w:tcBorders>
            <w:vAlign w:val="center"/>
          </w:tcPr>
          <w:p w14:paraId="008B9CCE">
            <w:pPr>
              <w:pStyle w:val="75"/>
            </w:pPr>
            <w:r>
              <w:rPr>
                <w:bCs/>
              </w:rPr>
              <w:t>0~</w:t>
            </w:r>
            <w:r>
              <w:rPr>
                <w:rFonts w:hint="eastAsia"/>
                <w:bCs/>
              </w:rPr>
              <w:t>0.2m</w:t>
            </w:r>
          </w:p>
        </w:tc>
        <w:tc>
          <w:tcPr>
            <w:tcW w:w="650" w:type="pct"/>
            <w:tcBorders>
              <w:top w:val="single" w:color="auto" w:sz="4" w:space="0"/>
              <w:left w:val="single" w:color="auto" w:sz="4" w:space="0"/>
              <w:bottom w:val="single" w:color="auto" w:sz="4" w:space="0"/>
              <w:right w:val="single" w:color="auto" w:sz="4" w:space="0"/>
            </w:tcBorders>
            <w:vAlign w:val="center"/>
          </w:tcPr>
          <w:p w14:paraId="070B2C1C">
            <w:pPr>
              <w:pStyle w:val="75"/>
              <w:rPr>
                <w:rFonts w:hint="default" w:eastAsia="宋体"/>
                <w:lang w:val="en-US" w:eastAsia="zh-CN"/>
              </w:rPr>
            </w:pPr>
            <w:r>
              <w:rPr>
                <w:rFonts w:hint="eastAsia"/>
                <w:lang w:val="en-US" w:eastAsia="zh-CN"/>
              </w:rPr>
              <w:t>8.03</w:t>
            </w:r>
          </w:p>
        </w:tc>
        <w:tc>
          <w:tcPr>
            <w:tcW w:w="595" w:type="pct"/>
            <w:tcBorders>
              <w:top w:val="single" w:color="auto" w:sz="4" w:space="0"/>
              <w:left w:val="single" w:color="auto" w:sz="4" w:space="0"/>
              <w:bottom w:val="single" w:color="auto" w:sz="4" w:space="0"/>
              <w:right w:val="single" w:color="auto" w:sz="4" w:space="0"/>
            </w:tcBorders>
            <w:vAlign w:val="center"/>
          </w:tcPr>
          <w:p w14:paraId="52A7D429">
            <w:pPr>
              <w:pStyle w:val="75"/>
              <w:rPr>
                <w:rFonts w:hint="default" w:eastAsia="宋体"/>
                <w:lang w:val="en-US" w:eastAsia="zh-CN"/>
              </w:rPr>
            </w:pPr>
            <w:r>
              <w:rPr>
                <w:rFonts w:hint="eastAsia"/>
                <w:lang w:val="en-US" w:eastAsia="zh-CN"/>
              </w:rPr>
              <w:t>52</w:t>
            </w:r>
          </w:p>
        </w:tc>
        <w:tc>
          <w:tcPr>
            <w:tcW w:w="586" w:type="pct"/>
            <w:tcBorders>
              <w:top w:val="single" w:color="auto" w:sz="4" w:space="0"/>
              <w:left w:val="single" w:color="auto" w:sz="4" w:space="0"/>
              <w:bottom w:val="single" w:color="auto" w:sz="4" w:space="0"/>
              <w:right w:val="single" w:color="auto" w:sz="4" w:space="0"/>
            </w:tcBorders>
            <w:vAlign w:val="center"/>
          </w:tcPr>
          <w:p w14:paraId="3E4D0E00">
            <w:pPr>
              <w:pStyle w:val="75"/>
              <w:rPr>
                <w:rFonts w:hint="default" w:eastAsia="宋体"/>
                <w:lang w:val="en-US" w:eastAsia="zh-CN"/>
              </w:rPr>
            </w:pPr>
            <w:r>
              <w:rPr>
                <w:rFonts w:hint="eastAsia"/>
                <w:lang w:val="en-US" w:eastAsia="zh-CN"/>
              </w:rPr>
              <w:t>40</w:t>
            </w:r>
          </w:p>
        </w:tc>
        <w:tc>
          <w:tcPr>
            <w:tcW w:w="649" w:type="pct"/>
            <w:tcBorders>
              <w:top w:val="single" w:color="auto" w:sz="4" w:space="0"/>
              <w:left w:val="single" w:color="auto" w:sz="4" w:space="0"/>
              <w:bottom w:val="single" w:color="auto" w:sz="4" w:space="0"/>
            </w:tcBorders>
            <w:vAlign w:val="center"/>
          </w:tcPr>
          <w:p w14:paraId="2D1EFDA1">
            <w:pPr>
              <w:pStyle w:val="75"/>
              <w:rPr>
                <w:rFonts w:hint="default" w:eastAsia="宋体"/>
                <w:lang w:val="en-US" w:eastAsia="zh-CN"/>
              </w:rPr>
            </w:pPr>
            <w:r>
              <w:rPr>
                <w:rFonts w:hint="eastAsia"/>
                <w:lang w:val="en-US" w:eastAsia="zh-CN"/>
              </w:rPr>
              <w:t>142</w:t>
            </w:r>
          </w:p>
        </w:tc>
      </w:tr>
      <w:tr w14:paraId="0BBBC55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continue"/>
            <w:tcBorders>
              <w:top w:val="single" w:color="auto" w:sz="4" w:space="0"/>
              <w:bottom w:val="single" w:color="auto" w:sz="4" w:space="0"/>
              <w:right w:val="single" w:color="auto" w:sz="4" w:space="0"/>
            </w:tcBorders>
            <w:vAlign w:val="center"/>
          </w:tcPr>
          <w:p w14:paraId="0135B392">
            <w:pPr>
              <w:pStyle w:val="75"/>
              <w:rPr>
                <w:bCs/>
              </w:rPr>
            </w:pPr>
          </w:p>
        </w:tc>
        <w:tc>
          <w:tcPr>
            <w:tcW w:w="1135" w:type="pct"/>
            <w:tcBorders>
              <w:top w:val="single" w:color="auto" w:sz="4" w:space="0"/>
              <w:left w:val="single" w:color="auto" w:sz="4" w:space="0"/>
              <w:bottom w:val="single" w:color="auto" w:sz="4" w:space="0"/>
              <w:right w:val="single" w:color="auto" w:sz="4" w:space="0"/>
            </w:tcBorders>
            <w:vAlign w:val="center"/>
          </w:tcPr>
          <w:p w14:paraId="0436881D">
            <w:pPr>
              <w:pStyle w:val="75"/>
              <w:rPr>
                <w:rFonts w:hint="eastAsia" w:ascii="Times New Roman" w:hAnsi="Times New Roman" w:eastAsia="宋体" w:cs="Times New Roman"/>
                <w:lang w:val="en-US" w:eastAsia="zh-CN"/>
              </w:rPr>
            </w:pPr>
            <w:r>
              <w:rPr>
                <w:rFonts w:hint="default" w:ascii="Times New Roman" w:hAnsi="Times New Roman" w:eastAsia="宋体" w:cs="Times New Roman"/>
                <w:lang w:val="en-US" w:eastAsia="zh-CN"/>
              </w:rPr>
              <w:t>厂界外北侧空地</w:t>
            </w:r>
          </w:p>
        </w:tc>
        <w:tc>
          <w:tcPr>
            <w:tcW w:w="651" w:type="pct"/>
            <w:tcBorders>
              <w:top w:val="single" w:color="auto" w:sz="4" w:space="0"/>
              <w:left w:val="single" w:color="auto" w:sz="4" w:space="0"/>
              <w:bottom w:val="single" w:color="auto" w:sz="4" w:space="0"/>
              <w:right w:val="single" w:color="auto" w:sz="4" w:space="0"/>
            </w:tcBorders>
            <w:vAlign w:val="center"/>
          </w:tcPr>
          <w:p w14:paraId="3B106A1F">
            <w:pPr>
              <w:pStyle w:val="75"/>
            </w:pPr>
            <w:r>
              <w:rPr>
                <w:bCs/>
              </w:rPr>
              <w:t>0~</w:t>
            </w:r>
            <w:r>
              <w:rPr>
                <w:rFonts w:hint="eastAsia"/>
                <w:bCs/>
              </w:rPr>
              <w:t>0.2m</w:t>
            </w:r>
          </w:p>
        </w:tc>
        <w:tc>
          <w:tcPr>
            <w:tcW w:w="650" w:type="pct"/>
            <w:tcBorders>
              <w:top w:val="single" w:color="auto" w:sz="4" w:space="0"/>
              <w:left w:val="single" w:color="auto" w:sz="4" w:space="0"/>
              <w:bottom w:val="single" w:color="auto" w:sz="4" w:space="0"/>
              <w:right w:val="single" w:color="auto" w:sz="4" w:space="0"/>
            </w:tcBorders>
            <w:vAlign w:val="center"/>
          </w:tcPr>
          <w:p w14:paraId="7FC40553">
            <w:pPr>
              <w:pStyle w:val="75"/>
              <w:rPr>
                <w:rFonts w:hint="default" w:eastAsia="宋体"/>
                <w:lang w:val="en-US" w:eastAsia="zh-CN"/>
              </w:rPr>
            </w:pPr>
            <w:r>
              <w:rPr>
                <w:rFonts w:hint="eastAsia"/>
                <w:lang w:val="en-US" w:eastAsia="zh-CN"/>
              </w:rPr>
              <w:t>7.80</w:t>
            </w:r>
          </w:p>
        </w:tc>
        <w:tc>
          <w:tcPr>
            <w:tcW w:w="595" w:type="pct"/>
            <w:tcBorders>
              <w:top w:val="single" w:color="auto" w:sz="4" w:space="0"/>
              <w:left w:val="single" w:color="auto" w:sz="4" w:space="0"/>
              <w:bottom w:val="single" w:color="auto" w:sz="4" w:space="0"/>
              <w:right w:val="single" w:color="auto" w:sz="4" w:space="0"/>
            </w:tcBorders>
            <w:vAlign w:val="center"/>
          </w:tcPr>
          <w:p w14:paraId="1E0D4ED8">
            <w:pPr>
              <w:pStyle w:val="75"/>
              <w:rPr>
                <w:rFonts w:hint="default" w:eastAsia="宋体"/>
                <w:lang w:val="en-US" w:eastAsia="zh-CN"/>
              </w:rPr>
            </w:pPr>
            <w:r>
              <w:rPr>
                <w:rFonts w:hint="eastAsia"/>
                <w:lang w:val="en-US" w:eastAsia="zh-CN"/>
              </w:rPr>
              <w:t>55</w:t>
            </w:r>
          </w:p>
        </w:tc>
        <w:tc>
          <w:tcPr>
            <w:tcW w:w="586" w:type="pct"/>
            <w:tcBorders>
              <w:top w:val="single" w:color="auto" w:sz="4" w:space="0"/>
              <w:left w:val="single" w:color="auto" w:sz="4" w:space="0"/>
              <w:bottom w:val="single" w:color="auto" w:sz="4" w:space="0"/>
              <w:right w:val="single" w:color="auto" w:sz="4" w:space="0"/>
            </w:tcBorders>
            <w:vAlign w:val="center"/>
          </w:tcPr>
          <w:p w14:paraId="4AE76083">
            <w:pPr>
              <w:pStyle w:val="75"/>
              <w:rPr>
                <w:rFonts w:hint="default" w:eastAsia="宋体"/>
                <w:lang w:val="en-US" w:eastAsia="zh-CN"/>
              </w:rPr>
            </w:pPr>
            <w:r>
              <w:rPr>
                <w:rFonts w:hint="eastAsia"/>
                <w:lang w:val="en-US" w:eastAsia="zh-CN"/>
              </w:rPr>
              <w:t>38</w:t>
            </w:r>
          </w:p>
        </w:tc>
        <w:tc>
          <w:tcPr>
            <w:tcW w:w="649" w:type="pct"/>
            <w:tcBorders>
              <w:top w:val="single" w:color="auto" w:sz="4" w:space="0"/>
              <w:left w:val="single" w:color="auto" w:sz="4" w:space="0"/>
              <w:bottom w:val="single" w:color="auto" w:sz="4" w:space="0"/>
            </w:tcBorders>
            <w:vAlign w:val="center"/>
          </w:tcPr>
          <w:p w14:paraId="296E68EB">
            <w:pPr>
              <w:pStyle w:val="75"/>
              <w:rPr>
                <w:rFonts w:hint="default" w:eastAsia="宋体"/>
                <w:lang w:val="en-US" w:eastAsia="zh-CN"/>
              </w:rPr>
            </w:pPr>
            <w:r>
              <w:rPr>
                <w:rFonts w:hint="eastAsia"/>
                <w:lang w:val="en-US" w:eastAsia="zh-CN"/>
              </w:rPr>
              <w:t>132</w:t>
            </w:r>
          </w:p>
        </w:tc>
      </w:tr>
      <w:tr w14:paraId="245C78C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continue"/>
            <w:tcBorders>
              <w:top w:val="single" w:color="auto" w:sz="4" w:space="0"/>
              <w:bottom w:val="single" w:color="auto" w:sz="4" w:space="0"/>
              <w:right w:val="single" w:color="auto" w:sz="4" w:space="0"/>
            </w:tcBorders>
            <w:vAlign w:val="center"/>
          </w:tcPr>
          <w:p w14:paraId="3D8F0090">
            <w:pPr>
              <w:pStyle w:val="75"/>
              <w:rPr>
                <w:bCs/>
              </w:rPr>
            </w:pPr>
          </w:p>
        </w:tc>
        <w:tc>
          <w:tcPr>
            <w:tcW w:w="1135" w:type="pct"/>
            <w:tcBorders>
              <w:top w:val="single" w:color="auto" w:sz="4" w:space="0"/>
              <w:left w:val="single" w:color="auto" w:sz="4" w:space="0"/>
              <w:bottom w:val="single" w:color="auto" w:sz="4" w:space="0"/>
              <w:right w:val="single" w:color="auto" w:sz="4" w:space="0"/>
            </w:tcBorders>
            <w:vAlign w:val="center"/>
          </w:tcPr>
          <w:p w14:paraId="3215593F">
            <w:pPr>
              <w:pStyle w:val="75"/>
              <w:rPr>
                <w:rFonts w:hint="eastAsia" w:ascii="Times New Roman" w:hAnsi="Times New Roman" w:eastAsia="宋体" w:cs="Times New Roman"/>
                <w:lang w:val="en-US" w:eastAsia="zh-CN"/>
              </w:rPr>
            </w:pPr>
            <w:r>
              <w:rPr>
                <w:rFonts w:hint="default" w:ascii="Times New Roman" w:hAnsi="Times New Roman" w:eastAsia="宋体" w:cs="Times New Roman"/>
                <w:lang w:val="en-US" w:eastAsia="zh-CN"/>
              </w:rPr>
              <w:t>厂界外西侧空地</w:t>
            </w:r>
          </w:p>
        </w:tc>
        <w:tc>
          <w:tcPr>
            <w:tcW w:w="651" w:type="pct"/>
            <w:tcBorders>
              <w:top w:val="single" w:color="auto" w:sz="4" w:space="0"/>
              <w:left w:val="single" w:color="auto" w:sz="4" w:space="0"/>
              <w:bottom w:val="single" w:color="auto" w:sz="4" w:space="0"/>
              <w:right w:val="single" w:color="auto" w:sz="4" w:space="0"/>
            </w:tcBorders>
            <w:vAlign w:val="center"/>
          </w:tcPr>
          <w:p w14:paraId="780DA3EB">
            <w:pPr>
              <w:pStyle w:val="75"/>
              <w:rPr>
                <w:bCs/>
              </w:rPr>
            </w:pPr>
            <w:r>
              <w:rPr>
                <w:bCs/>
              </w:rPr>
              <w:t>0</w:t>
            </w:r>
            <w:r>
              <w:rPr>
                <w:rFonts w:hint="eastAsia"/>
                <w:bCs/>
              </w:rPr>
              <w:t>~</w:t>
            </w:r>
            <w:r>
              <w:rPr>
                <w:bCs/>
              </w:rPr>
              <w:t>0</w:t>
            </w:r>
            <w:r>
              <w:rPr>
                <w:rFonts w:hint="eastAsia"/>
                <w:bCs/>
                <w:lang w:val="en-US" w:eastAsia="zh-CN"/>
              </w:rPr>
              <w:t>.2</w:t>
            </w:r>
            <w:r>
              <w:rPr>
                <w:rFonts w:hint="eastAsia"/>
                <w:bCs/>
              </w:rPr>
              <w:t>m</w:t>
            </w:r>
          </w:p>
        </w:tc>
        <w:tc>
          <w:tcPr>
            <w:tcW w:w="650" w:type="pct"/>
            <w:tcBorders>
              <w:top w:val="single" w:color="auto" w:sz="4" w:space="0"/>
              <w:left w:val="single" w:color="auto" w:sz="4" w:space="0"/>
              <w:bottom w:val="single" w:color="auto" w:sz="4" w:space="0"/>
              <w:right w:val="single" w:color="auto" w:sz="4" w:space="0"/>
            </w:tcBorders>
            <w:vAlign w:val="center"/>
          </w:tcPr>
          <w:p w14:paraId="3E566D00">
            <w:pPr>
              <w:pStyle w:val="75"/>
              <w:rPr>
                <w:rFonts w:hint="default" w:eastAsia="宋体"/>
                <w:lang w:val="en-US" w:eastAsia="zh-CN"/>
              </w:rPr>
            </w:pPr>
            <w:r>
              <w:rPr>
                <w:rFonts w:hint="eastAsia"/>
                <w:lang w:val="en-US" w:eastAsia="zh-CN"/>
              </w:rPr>
              <w:t>7.61</w:t>
            </w:r>
          </w:p>
        </w:tc>
        <w:tc>
          <w:tcPr>
            <w:tcW w:w="595" w:type="pct"/>
            <w:tcBorders>
              <w:top w:val="single" w:color="auto" w:sz="4" w:space="0"/>
              <w:left w:val="single" w:color="auto" w:sz="4" w:space="0"/>
              <w:bottom w:val="single" w:color="auto" w:sz="4" w:space="0"/>
              <w:right w:val="single" w:color="auto" w:sz="4" w:space="0"/>
            </w:tcBorders>
            <w:vAlign w:val="center"/>
          </w:tcPr>
          <w:p w14:paraId="14A071F1">
            <w:pPr>
              <w:pStyle w:val="75"/>
              <w:rPr>
                <w:rFonts w:hint="default" w:eastAsia="宋体"/>
                <w:lang w:val="en-US" w:eastAsia="zh-CN"/>
              </w:rPr>
            </w:pPr>
            <w:r>
              <w:rPr>
                <w:rFonts w:hint="eastAsia"/>
                <w:lang w:val="en-US" w:eastAsia="zh-CN"/>
              </w:rPr>
              <w:t>47</w:t>
            </w:r>
          </w:p>
        </w:tc>
        <w:tc>
          <w:tcPr>
            <w:tcW w:w="586" w:type="pct"/>
            <w:tcBorders>
              <w:top w:val="single" w:color="auto" w:sz="4" w:space="0"/>
              <w:left w:val="single" w:color="auto" w:sz="4" w:space="0"/>
              <w:bottom w:val="single" w:color="auto" w:sz="4" w:space="0"/>
              <w:right w:val="single" w:color="auto" w:sz="4" w:space="0"/>
            </w:tcBorders>
            <w:vAlign w:val="center"/>
          </w:tcPr>
          <w:p w14:paraId="32B37BFF">
            <w:pPr>
              <w:pStyle w:val="75"/>
              <w:rPr>
                <w:rFonts w:hint="default" w:eastAsia="宋体"/>
                <w:lang w:val="en-US" w:eastAsia="zh-CN"/>
              </w:rPr>
            </w:pPr>
            <w:r>
              <w:rPr>
                <w:rFonts w:hint="eastAsia"/>
                <w:lang w:val="en-US" w:eastAsia="zh-CN"/>
              </w:rPr>
              <w:t>39</w:t>
            </w:r>
          </w:p>
        </w:tc>
        <w:tc>
          <w:tcPr>
            <w:tcW w:w="649" w:type="pct"/>
            <w:tcBorders>
              <w:top w:val="single" w:color="auto" w:sz="4" w:space="0"/>
              <w:left w:val="single" w:color="auto" w:sz="4" w:space="0"/>
              <w:bottom w:val="single" w:color="auto" w:sz="4" w:space="0"/>
            </w:tcBorders>
            <w:vAlign w:val="center"/>
          </w:tcPr>
          <w:p w14:paraId="2AA8AF5E">
            <w:pPr>
              <w:pStyle w:val="75"/>
              <w:rPr>
                <w:rFonts w:hint="default" w:eastAsia="宋体"/>
                <w:lang w:val="en-US" w:eastAsia="zh-CN"/>
              </w:rPr>
            </w:pPr>
            <w:r>
              <w:rPr>
                <w:rFonts w:hint="eastAsia"/>
                <w:lang w:val="en-US" w:eastAsia="zh-CN"/>
              </w:rPr>
              <w:t>290</w:t>
            </w:r>
          </w:p>
        </w:tc>
      </w:tr>
      <w:tr w14:paraId="207903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continue"/>
            <w:tcBorders>
              <w:top w:val="single" w:color="auto" w:sz="4" w:space="0"/>
              <w:bottom w:val="single" w:color="auto" w:sz="4" w:space="0"/>
              <w:right w:val="single" w:color="auto" w:sz="4" w:space="0"/>
            </w:tcBorders>
            <w:vAlign w:val="center"/>
          </w:tcPr>
          <w:p w14:paraId="2D0F453C">
            <w:pPr>
              <w:pStyle w:val="75"/>
              <w:rPr>
                <w:bCs/>
              </w:rPr>
            </w:pPr>
          </w:p>
        </w:tc>
        <w:tc>
          <w:tcPr>
            <w:tcW w:w="1135" w:type="pct"/>
            <w:vMerge w:val="restart"/>
            <w:tcBorders>
              <w:top w:val="single" w:color="auto" w:sz="4" w:space="0"/>
              <w:left w:val="single" w:color="auto" w:sz="4" w:space="0"/>
              <w:bottom w:val="single" w:color="auto" w:sz="4" w:space="0"/>
              <w:right w:val="single" w:color="auto" w:sz="4" w:space="0"/>
            </w:tcBorders>
            <w:vAlign w:val="center"/>
          </w:tcPr>
          <w:p w14:paraId="3DDFE125">
            <w:pPr>
              <w:pStyle w:val="75"/>
              <w:rPr>
                <w:rFonts w:hint="default" w:eastAsia="宋体"/>
                <w:lang w:val="en-US" w:eastAsia="zh-CN"/>
              </w:rPr>
            </w:pPr>
            <w:r>
              <w:rPr>
                <w:rFonts w:hint="eastAsia"/>
                <w:lang w:val="en-US" w:eastAsia="zh-CN"/>
              </w:rPr>
              <w:t>厂区东北角</w:t>
            </w:r>
          </w:p>
        </w:tc>
        <w:tc>
          <w:tcPr>
            <w:tcW w:w="651" w:type="pct"/>
            <w:tcBorders>
              <w:top w:val="single" w:color="auto" w:sz="4" w:space="0"/>
              <w:left w:val="single" w:color="auto" w:sz="4" w:space="0"/>
              <w:bottom w:val="single" w:color="auto" w:sz="4" w:space="0"/>
              <w:right w:val="single" w:color="auto" w:sz="4" w:space="0"/>
            </w:tcBorders>
            <w:vAlign w:val="center"/>
          </w:tcPr>
          <w:p w14:paraId="50CD13D2">
            <w:pPr>
              <w:pStyle w:val="75"/>
              <w:rPr>
                <w:bCs/>
              </w:rPr>
            </w:pPr>
            <w:r>
              <w:rPr>
                <w:bCs/>
              </w:rPr>
              <w:t>0</w:t>
            </w:r>
            <w:r>
              <w:rPr>
                <w:rFonts w:hint="eastAsia"/>
                <w:bCs/>
              </w:rPr>
              <w:t>~</w:t>
            </w:r>
            <w:r>
              <w:rPr>
                <w:bCs/>
              </w:rPr>
              <w:t>0.</w:t>
            </w:r>
            <w:r>
              <w:rPr>
                <w:rFonts w:hint="eastAsia"/>
                <w:bCs/>
              </w:rPr>
              <w:t>5m</w:t>
            </w:r>
          </w:p>
        </w:tc>
        <w:tc>
          <w:tcPr>
            <w:tcW w:w="650" w:type="pct"/>
            <w:tcBorders>
              <w:top w:val="single" w:color="auto" w:sz="4" w:space="0"/>
              <w:left w:val="single" w:color="auto" w:sz="4" w:space="0"/>
              <w:bottom w:val="single" w:color="auto" w:sz="4" w:space="0"/>
              <w:right w:val="single" w:color="auto" w:sz="4" w:space="0"/>
            </w:tcBorders>
            <w:vAlign w:val="center"/>
          </w:tcPr>
          <w:p w14:paraId="667E2EC9">
            <w:pPr>
              <w:pStyle w:val="75"/>
              <w:rPr>
                <w:rFonts w:hint="default" w:eastAsia="宋体"/>
                <w:lang w:val="en-US" w:eastAsia="zh-CN"/>
              </w:rPr>
            </w:pPr>
            <w:r>
              <w:rPr>
                <w:rFonts w:hint="eastAsia"/>
                <w:lang w:val="en-US" w:eastAsia="zh-CN"/>
              </w:rPr>
              <w:t>8.09</w:t>
            </w:r>
          </w:p>
        </w:tc>
        <w:tc>
          <w:tcPr>
            <w:tcW w:w="595" w:type="pct"/>
            <w:tcBorders>
              <w:top w:val="single" w:color="auto" w:sz="4" w:space="0"/>
              <w:left w:val="single" w:color="auto" w:sz="4" w:space="0"/>
              <w:bottom w:val="single" w:color="auto" w:sz="4" w:space="0"/>
              <w:right w:val="single" w:color="auto" w:sz="4" w:space="0"/>
            </w:tcBorders>
            <w:vAlign w:val="center"/>
          </w:tcPr>
          <w:p w14:paraId="11D5CA83">
            <w:pPr>
              <w:pStyle w:val="75"/>
              <w:rPr>
                <w:rFonts w:hint="default" w:eastAsia="宋体"/>
                <w:lang w:val="en-US" w:eastAsia="zh-CN"/>
              </w:rPr>
            </w:pPr>
            <w:r>
              <w:rPr>
                <w:rFonts w:hint="eastAsia"/>
                <w:lang w:val="en-US" w:eastAsia="zh-CN"/>
              </w:rPr>
              <w:t>50</w:t>
            </w:r>
          </w:p>
        </w:tc>
        <w:tc>
          <w:tcPr>
            <w:tcW w:w="586" w:type="pct"/>
            <w:tcBorders>
              <w:top w:val="single" w:color="auto" w:sz="4" w:space="0"/>
              <w:left w:val="single" w:color="auto" w:sz="4" w:space="0"/>
              <w:bottom w:val="single" w:color="auto" w:sz="4" w:space="0"/>
              <w:right w:val="single" w:color="auto" w:sz="4" w:space="0"/>
            </w:tcBorders>
            <w:vAlign w:val="center"/>
          </w:tcPr>
          <w:p w14:paraId="4E55E543">
            <w:pPr>
              <w:pStyle w:val="75"/>
              <w:rPr>
                <w:rFonts w:hint="default" w:eastAsia="宋体"/>
                <w:lang w:val="en-US" w:eastAsia="zh-CN"/>
              </w:rPr>
            </w:pPr>
            <w:r>
              <w:rPr>
                <w:rFonts w:hint="eastAsia"/>
                <w:lang w:val="en-US" w:eastAsia="zh-CN"/>
              </w:rPr>
              <w:t>41</w:t>
            </w:r>
          </w:p>
        </w:tc>
        <w:tc>
          <w:tcPr>
            <w:tcW w:w="649" w:type="pct"/>
            <w:tcBorders>
              <w:top w:val="single" w:color="auto" w:sz="4" w:space="0"/>
              <w:left w:val="single" w:color="auto" w:sz="4" w:space="0"/>
              <w:bottom w:val="single" w:color="auto" w:sz="4" w:space="0"/>
            </w:tcBorders>
            <w:vAlign w:val="center"/>
          </w:tcPr>
          <w:p w14:paraId="504920B8">
            <w:pPr>
              <w:pStyle w:val="75"/>
              <w:rPr>
                <w:rFonts w:hint="default" w:eastAsia="宋体"/>
                <w:lang w:val="en-US" w:eastAsia="zh-CN"/>
              </w:rPr>
            </w:pPr>
            <w:r>
              <w:rPr>
                <w:rFonts w:hint="eastAsia"/>
                <w:lang w:val="en-US" w:eastAsia="zh-CN"/>
              </w:rPr>
              <w:t>98.8</w:t>
            </w:r>
          </w:p>
        </w:tc>
      </w:tr>
      <w:tr w14:paraId="37377FD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continue"/>
            <w:tcBorders>
              <w:top w:val="single" w:color="auto" w:sz="4" w:space="0"/>
              <w:bottom w:val="single" w:color="auto" w:sz="4" w:space="0"/>
              <w:right w:val="single" w:color="auto" w:sz="4" w:space="0"/>
            </w:tcBorders>
            <w:vAlign w:val="center"/>
          </w:tcPr>
          <w:p w14:paraId="5D86D727">
            <w:pPr>
              <w:pStyle w:val="75"/>
              <w:rPr>
                <w:bCs/>
              </w:rPr>
            </w:pPr>
          </w:p>
        </w:tc>
        <w:tc>
          <w:tcPr>
            <w:tcW w:w="1135" w:type="pct"/>
            <w:vMerge w:val="continue"/>
            <w:tcBorders>
              <w:top w:val="single" w:color="auto" w:sz="4" w:space="0"/>
              <w:left w:val="single" w:color="auto" w:sz="4" w:space="0"/>
              <w:bottom w:val="single" w:color="auto" w:sz="4" w:space="0"/>
              <w:right w:val="single" w:color="auto" w:sz="4" w:space="0"/>
            </w:tcBorders>
            <w:vAlign w:val="center"/>
          </w:tcPr>
          <w:p w14:paraId="18F8D4BA">
            <w:pPr>
              <w:pStyle w:val="75"/>
            </w:pPr>
          </w:p>
        </w:tc>
        <w:tc>
          <w:tcPr>
            <w:tcW w:w="651" w:type="pct"/>
            <w:tcBorders>
              <w:top w:val="single" w:color="auto" w:sz="4" w:space="0"/>
              <w:left w:val="single" w:color="auto" w:sz="4" w:space="0"/>
              <w:bottom w:val="single" w:color="auto" w:sz="4" w:space="0"/>
              <w:right w:val="single" w:color="auto" w:sz="4" w:space="0"/>
            </w:tcBorders>
            <w:vAlign w:val="center"/>
          </w:tcPr>
          <w:p w14:paraId="1D05AA15">
            <w:pPr>
              <w:pStyle w:val="75"/>
              <w:rPr>
                <w:bCs/>
              </w:rPr>
            </w:pPr>
            <w:r>
              <w:rPr>
                <w:rFonts w:hint="eastAsia"/>
                <w:bCs/>
              </w:rPr>
              <w:t>0.5~1.5m</w:t>
            </w:r>
          </w:p>
        </w:tc>
        <w:tc>
          <w:tcPr>
            <w:tcW w:w="650" w:type="pct"/>
            <w:tcBorders>
              <w:top w:val="single" w:color="auto" w:sz="4" w:space="0"/>
              <w:left w:val="single" w:color="auto" w:sz="4" w:space="0"/>
              <w:bottom w:val="single" w:color="auto" w:sz="4" w:space="0"/>
              <w:right w:val="single" w:color="auto" w:sz="4" w:space="0"/>
            </w:tcBorders>
            <w:vAlign w:val="center"/>
          </w:tcPr>
          <w:p w14:paraId="7D5A982E">
            <w:pPr>
              <w:pStyle w:val="75"/>
              <w:rPr>
                <w:rFonts w:hint="default" w:eastAsia="宋体"/>
                <w:lang w:val="en-US" w:eastAsia="zh-CN"/>
              </w:rPr>
            </w:pPr>
            <w:r>
              <w:rPr>
                <w:rFonts w:hint="eastAsia"/>
                <w:lang w:val="en-US" w:eastAsia="zh-CN"/>
              </w:rPr>
              <w:t>7.76</w:t>
            </w:r>
          </w:p>
        </w:tc>
        <w:tc>
          <w:tcPr>
            <w:tcW w:w="595" w:type="pct"/>
            <w:tcBorders>
              <w:top w:val="single" w:color="auto" w:sz="4" w:space="0"/>
              <w:left w:val="single" w:color="auto" w:sz="4" w:space="0"/>
              <w:bottom w:val="single" w:color="auto" w:sz="4" w:space="0"/>
              <w:right w:val="single" w:color="auto" w:sz="4" w:space="0"/>
            </w:tcBorders>
            <w:vAlign w:val="center"/>
          </w:tcPr>
          <w:p w14:paraId="178D1187">
            <w:pPr>
              <w:pStyle w:val="75"/>
              <w:rPr>
                <w:rFonts w:hint="default" w:eastAsia="宋体"/>
                <w:lang w:val="en-US" w:eastAsia="zh-CN"/>
              </w:rPr>
            </w:pPr>
            <w:r>
              <w:rPr>
                <w:rFonts w:hint="eastAsia"/>
                <w:lang w:val="en-US" w:eastAsia="zh-CN"/>
              </w:rPr>
              <w:t>47</w:t>
            </w:r>
          </w:p>
        </w:tc>
        <w:tc>
          <w:tcPr>
            <w:tcW w:w="586" w:type="pct"/>
            <w:tcBorders>
              <w:top w:val="single" w:color="auto" w:sz="4" w:space="0"/>
              <w:left w:val="single" w:color="auto" w:sz="4" w:space="0"/>
              <w:bottom w:val="single" w:color="auto" w:sz="4" w:space="0"/>
              <w:right w:val="single" w:color="auto" w:sz="4" w:space="0"/>
            </w:tcBorders>
            <w:vAlign w:val="center"/>
          </w:tcPr>
          <w:p w14:paraId="2CC30317">
            <w:pPr>
              <w:pStyle w:val="75"/>
              <w:rPr>
                <w:rFonts w:hint="default" w:eastAsia="宋体"/>
                <w:lang w:val="en-US" w:eastAsia="zh-CN"/>
              </w:rPr>
            </w:pPr>
            <w:r>
              <w:rPr>
                <w:rFonts w:hint="eastAsia"/>
                <w:lang w:val="en-US" w:eastAsia="zh-CN"/>
              </w:rPr>
              <w:t>49</w:t>
            </w:r>
          </w:p>
        </w:tc>
        <w:tc>
          <w:tcPr>
            <w:tcW w:w="649" w:type="pct"/>
            <w:tcBorders>
              <w:top w:val="single" w:color="auto" w:sz="4" w:space="0"/>
              <w:left w:val="single" w:color="auto" w:sz="4" w:space="0"/>
              <w:bottom w:val="single" w:color="auto" w:sz="4" w:space="0"/>
            </w:tcBorders>
            <w:vAlign w:val="center"/>
          </w:tcPr>
          <w:p w14:paraId="505A673D">
            <w:pPr>
              <w:pStyle w:val="75"/>
              <w:rPr>
                <w:rFonts w:hint="default" w:eastAsia="宋体"/>
                <w:lang w:val="en-US" w:eastAsia="zh-CN"/>
              </w:rPr>
            </w:pPr>
            <w:r>
              <w:rPr>
                <w:rFonts w:hint="eastAsia"/>
                <w:lang w:val="en-US" w:eastAsia="zh-CN"/>
              </w:rPr>
              <w:t>116</w:t>
            </w:r>
          </w:p>
        </w:tc>
      </w:tr>
      <w:tr w14:paraId="066336A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732" w:type="pct"/>
            <w:vMerge w:val="continue"/>
            <w:tcBorders>
              <w:top w:val="single" w:color="auto" w:sz="4" w:space="0"/>
              <w:bottom w:val="single" w:color="auto" w:sz="4" w:space="0"/>
              <w:right w:val="single" w:color="auto" w:sz="4" w:space="0"/>
            </w:tcBorders>
            <w:vAlign w:val="center"/>
          </w:tcPr>
          <w:p w14:paraId="6730AF3A">
            <w:pPr>
              <w:pStyle w:val="75"/>
              <w:rPr>
                <w:bCs/>
              </w:rPr>
            </w:pPr>
          </w:p>
        </w:tc>
        <w:tc>
          <w:tcPr>
            <w:tcW w:w="1135" w:type="pct"/>
            <w:vMerge w:val="continue"/>
            <w:tcBorders>
              <w:top w:val="single" w:color="auto" w:sz="4" w:space="0"/>
              <w:left w:val="single" w:color="auto" w:sz="4" w:space="0"/>
              <w:bottom w:val="single" w:color="auto" w:sz="4" w:space="0"/>
              <w:right w:val="single" w:color="auto" w:sz="4" w:space="0"/>
            </w:tcBorders>
            <w:vAlign w:val="center"/>
          </w:tcPr>
          <w:p w14:paraId="51BF2686">
            <w:pPr>
              <w:pStyle w:val="75"/>
            </w:pPr>
          </w:p>
        </w:tc>
        <w:tc>
          <w:tcPr>
            <w:tcW w:w="651" w:type="pct"/>
            <w:tcBorders>
              <w:top w:val="single" w:color="auto" w:sz="4" w:space="0"/>
              <w:left w:val="single" w:color="auto" w:sz="4" w:space="0"/>
              <w:bottom w:val="single" w:color="auto" w:sz="4" w:space="0"/>
              <w:right w:val="single" w:color="auto" w:sz="4" w:space="0"/>
            </w:tcBorders>
            <w:vAlign w:val="center"/>
          </w:tcPr>
          <w:p w14:paraId="2D35D672">
            <w:pPr>
              <w:pStyle w:val="75"/>
              <w:rPr>
                <w:bCs/>
              </w:rPr>
            </w:pPr>
            <w:r>
              <w:rPr>
                <w:rFonts w:hint="eastAsia"/>
                <w:bCs/>
              </w:rPr>
              <w:t>1.5~3.0m</w:t>
            </w:r>
          </w:p>
        </w:tc>
        <w:tc>
          <w:tcPr>
            <w:tcW w:w="650" w:type="pct"/>
            <w:tcBorders>
              <w:top w:val="single" w:color="auto" w:sz="4" w:space="0"/>
              <w:left w:val="single" w:color="auto" w:sz="4" w:space="0"/>
              <w:bottom w:val="single" w:color="auto" w:sz="4" w:space="0"/>
              <w:right w:val="single" w:color="auto" w:sz="4" w:space="0"/>
            </w:tcBorders>
            <w:vAlign w:val="center"/>
          </w:tcPr>
          <w:p w14:paraId="05709F3F">
            <w:pPr>
              <w:pStyle w:val="75"/>
              <w:rPr>
                <w:rFonts w:hint="default" w:eastAsia="宋体"/>
                <w:lang w:val="en-US" w:eastAsia="zh-CN"/>
              </w:rPr>
            </w:pPr>
            <w:r>
              <w:rPr>
                <w:rFonts w:hint="eastAsia"/>
                <w:lang w:val="en-US" w:eastAsia="zh-CN"/>
              </w:rPr>
              <w:t>7.63</w:t>
            </w:r>
          </w:p>
        </w:tc>
        <w:tc>
          <w:tcPr>
            <w:tcW w:w="595" w:type="pct"/>
            <w:tcBorders>
              <w:top w:val="single" w:color="auto" w:sz="4" w:space="0"/>
              <w:left w:val="single" w:color="auto" w:sz="4" w:space="0"/>
              <w:bottom w:val="single" w:color="auto" w:sz="4" w:space="0"/>
              <w:right w:val="single" w:color="auto" w:sz="4" w:space="0"/>
            </w:tcBorders>
            <w:vAlign w:val="center"/>
          </w:tcPr>
          <w:p w14:paraId="4C99E078">
            <w:pPr>
              <w:pStyle w:val="75"/>
              <w:rPr>
                <w:rFonts w:hint="default" w:eastAsia="宋体"/>
                <w:lang w:val="en-US" w:eastAsia="zh-CN"/>
              </w:rPr>
            </w:pPr>
            <w:r>
              <w:rPr>
                <w:rFonts w:hint="eastAsia"/>
                <w:lang w:val="en-US" w:eastAsia="zh-CN"/>
              </w:rPr>
              <w:t>49</w:t>
            </w:r>
          </w:p>
        </w:tc>
        <w:tc>
          <w:tcPr>
            <w:tcW w:w="586" w:type="pct"/>
            <w:tcBorders>
              <w:top w:val="single" w:color="auto" w:sz="4" w:space="0"/>
              <w:left w:val="single" w:color="auto" w:sz="4" w:space="0"/>
              <w:bottom w:val="single" w:color="auto" w:sz="4" w:space="0"/>
              <w:right w:val="single" w:color="auto" w:sz="4" w:space="0"/>
            </w:tcBorders>
            <w:vAlign w:val="center"/>
          </w:tcPr>
          <w:p w14:paraId="688FCFF3">
            <w:pPr>
              <w:pStyle w:val="75"/>
              <w:rPr>
                <w:rFonts w:hint="default" w:eastAsia="宋体"/>
                <w:lang w:val="en-US" w:eastAsia="zh-CN"/>
              </w:rPr>
            </w:pPr>
            <w:r>
              <w:rPr>
                <w:rFonts w:hint="eastAsia"/>
                <w:lang w:val="en-US" w:eastAsia="zh-CN"/>
              </w:rPr>
              <w:t>40</w:t>
            </w:r>
          </w:p>
        </w:tc>
        <w:tc>
          <w:tcPr>
            <w:tcW w:w="649" w:type="pct"/>
            <w:tcBorders>
              <w:top w:val="single" w:color="auto" w:sz="4" w:space="0"/>
              <w:left w:val="single" w:color="auto" w:sz="4" w:space="0"/>
              <w:bottom w:val="single" w:color="auto" w:sz="4" w:space="0"/>
            </w:tcBorders>
            <w:vAlign w:val="center"/>
          </w:tcPr>
          <w:p w14:paraId="702995C2">
            <w:pPr>
              <w:pStyle w:val="75"/>
              <w:rPr>
                <w:rFonts w:hint="default" w:eastAsia="宋体"/>
                <w:lang w:val="en-US" w:eastAsia="zh-CN"/>
              </w:rPr>
            </w:pPr>
            <w:r>
              <w:rPr>
                <w:rFonts w:hint="eastAsia"/>
                <w:lang w:val="en-US" w:eastAsia="zh-CN"/>
              </w:rPr>
              <w:t>442</w:t>
            </w:r>
          </w:p>
        </w:tc>
      </w:tr>
      <w:tr w14:paraId="678DE1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25" w:hRule="atLeast"/>
          <w:tblHeader/>
          <w:jc w:val="center"/>
        </w:trPr>
        <w:tc>
          <w:tcPr>
            <w:tcW w:w="2519" w:type="pct"/>
            <w:gridSpan w:val="3"/>
            <w:tcBorders>
              <w:top w:val="single" w:color="auto" w:sz="4" w:space="0"/>
              <w:bottom w:val="single" w:color="auto" w:sz="8" w:space="0"/>
              <w:right w:val="single" w:color="auto" w:sz="4" w:space="0"/>
            </w:tcBorders>
            <w:vAlign w:val="center"/>
          </w:tcPr>
          <w:p w14:paraId="273566C9">
            <w:pPr>
              <w:pStyle w:val="75"/>
              <w:rPr>
                <w:bCs/>
              </w:rPr>
            </w:pPr>
            <w:r>
              <w:rPr>
                <w:rFonts w:hint="eastAsia"/>
                <w:bCs/>
              </w:rPr>
              <w:t>标准</w:t>
            </w:r>
          </w:p>
        </w:tc>
        <w:tc>
          <w:tcPr>
            <w:tcW w:w="650" w:type="pct"/>
            <w:tcBorders>
              <w:top w:val="single" w:color="auto" w:sz="4" w:space="0"/>
              <w:left w:val="single" w:color="auto" w:sz="4" w:space="0"/>
              <w:bottom w:val="single" w:color="auto" w:sz="8" w:space="0"/>
              <w:right w:val="single" w:color="auto" w:sz="4" w:space="0"/>
            </w:tcBorders>
            <w:vAlign w:val="center"/>
          </w:tcPr>
          <w:p w14:paraId="46B501FD">
            <w:pPr>
              <w:pStyle w:val="75"/>
            </w:pPr>
            <w:r>
              <w:rPr>
                <w:rFonts w:hint="eastAsia"/>
              </w:rPr>
              <w:t>/</w:t>
            </w:r>
          </w:p>
        </w:tc>
        <w:tc>
          <w:tcPr>
            <w:tcW w:w="595" w:type="pct"/>
            <w:tcBorders>
              <w:top w:val="single" w:color="auto" w:sz="4" w:space="0"/>
              <w:left w:val="single" w:color="auto" w:sz="4" w:space="0"/>
              <w:bottom w:val="single" w:color="auto" w:sz="8" w:space="0"/>
              <w:right w:val="single" w:color="auto" w:sz="4" w:space="0"/>
            </w:tcBorders>
            <w:vAlign w:val="center"/>
          </w:tcPr>
          <w:p w14:paraId="291A2000">
            <w:pPr>
              <w:pStyle w:val="75"/>
            </w:pPr>
            <w:r>
              <w:rPr>
                <w:rFonts w:hint="eastAsia"/>
              </w:rPr>
              <w:t>900</w:t>
            </w:r>
          </w:p>
        </w:tc>
        <w:tc>
          <w:tcPr>
            <w:tcW w:w="586" w:type="pct"/>
            <w:tcBorders>
              <w:top w:val="single" w:color="auto" w:sz="4" w:space="0"/>
              <w:left w:val="single" w:color="auto" w:sz="4" w:space="0"/>
              <w:bottom w:val="single" w:color="auto" w:sz="8" w:space="0"/>
              <w:right w:val="single" w:color="auto" w:sz="4" w:space="0"/>
            </w:tcBorders>
            <w:vAlign w:val="center"/>
          </w:tcPr>
          <w:p w14:paraId="4605E0B8">
            <w:pPr>
              <w:pStyle w:val="75"/>
            </w:pPr>
            <w:r>
              <w:rPr>
                <w:rFonts w:hint="eastAsia"/>
              </w:rPr>
              <w:t>/</w:t>
            </w:r>
          </w:p>
        </w:tc>
        <w:tc>
          <w:tcPr>
            <w:tcW w:w="649" w:type="pct"/>
            <w:tcBorders>
              <w:top w:val="single" w:color="auto" w:sz="4" w:space="0"/>
              <w:left w:val="single" w:color="auto" w:sz="4" w:space="0"/>
              <w:bottom w:val="single" w:color="auto" w:sz="8" w:space="0"/>
            </w:tcBorders>
            <w:vAlign w:val="center"/>
          </w:tcPr>
          <w:p w14:paraId="6A8ABD52">
            <w:pPr>
              <w:pStyle w:val="75"/>
            </w:pPr>
            <w:r>
              <w:rPr>
                <w:rFonts w:hint="eastAsia"/>
              </w:rPr>
              <w:t>4500</w:t>
            </w:r>
          </w:p>
        </w:tc>
      </w:tr>
    </w:tbl>
    <w:p w14:paraId="0573DEF4">
      <w:pPr>
        <w:pStyle w:val="72"/>
        <w:rPr>
          <w:color w:val="000000" w:themeColor="text1"/>
          <w14:textFill>
            <w14:solidFill>
              <w14:schemeClr w14:val="tx1"/>
            </w14:solidFill>
          </w14:textFill>
        </w:rPr>
      </w:pPr>
      <w:r>
        <w:rPr>
          <w:rFonts w:hint="eastAsia"/>
          <w:color w:val="000000" w:themeColor="text1"/>
          <w14:textFill>
            <w14:solidFill>
              <w14:schemeClr w14:val="tx1"/>
            </w14:solidFill>
          </w14:textFill>
        </w:rPr>
        <w:t>由表4</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~表4</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21</w:t>
      </w:r>
      <w:r>
        <w:rPr>
          <w:rFonts w:hint="eastAsia"/>
          <w:color w:val="000000" w:themeColor="text1"/>
          <w14:textFill>
            <w14:solidFill>
              <w14:schemeClr w14:val="tx1"/>
            </w14:solidFill>
          </w14:textFill>
        </w:rPr>
        <w:t>可知：项目所在区域的土壤环境</w:t>
      </w:r>
      <w:r>
        <w:rPr>
          <w:color w:val="000000" w:themeColor="text1"/>
          <w14:textFill>
            <w14:solidFill>
              <w14:schemeClr w14:val="tx1"/>
            </w14:solidFill>
          </w14:textFill>
        </w:rPr>
        <w:t>检测值</w:t>
      </w:r>
      <w:r>
        <w:rPr>
          <w:rFonts w:hint="eastAsia"/>
          <w:color w:val="000000" w:themeColor="text1"/>
          <w14:textFill>
            <w14:solidFill>
              <w14:schemeClr w14:val="tx1"/>
            </w14:solidFill>
          </w14:textFill>
        </w:rPr>
        <w:t>均</w:t>
      </w:r>
      <w:r>
        <w:rPr>
          <w:color w:val="000000" w:themeColor="text1"/>
          <w14:textFill>
            <w14:solidFill>
              <w14:schemeClr w14:val="tx1"/>
            </w14:solidFill>
          </w14:textFill>
        </w:rPr>
        <w:t>符合《土壤环境质量 建设用地土壤污染风险管控标准（试行）（GB36600-2018）</w:t>
      </w:r>
      <w:r>
        <w:rPr>
          <w:rFonts w:hint="eastAsia"/>
          <w:color w:val="000000" w:themeColor="text1"/>
          <w14:textFill>
            <w14:solidFill>
              <w14:schemeClr w14:val="tx1"/>
            </w14:solidFill>
          </w14:textFill>
        </w:rPr>
        <w:t>第二类用地筛选值要求。</w:t>
      </w:r>
    </w:p>
    <w:p w14:paraId="493CE62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ascii="Times New Roman" w:hAnsi="Times New Roman" w:eastAsia="宋体" w:cs="Times New Roman"/>
          <w:lang w:val="en-US" w:eastAsia="zh-CN"/>
        </w:rPr>
      </w:pPr>
      <w:bookmarkStart w:id="527" w:name="_Toc7427"/>
      <w:bookmarkStart w:id="528" w:name="_Toc7507"/>
      <w:bookmarkStart w:id="529" w:name="_Toc51319867"/>
      <w:r>
        <w:rPr>
          <w:rFonts w:hint="eastAsia" w:ascii="Times New Roman" w:hAnsi="Times New Roman" w:eastAsia="宋体" w:cs="Times New Roman"/>
          <w:lang w:val="en-US" w:eastAsia="zh-CN"/>
        </w:rPr>
        <w:t>4.3区域污染源调查</w:t>
      </w:r>
      <w:bookmarkEnd w:id="523"/>
      <w:bookmarkEnd w:id="524"/>
      <w:bookmarkEnd w:id="525"/>
      <w:bookmarkEnd w:id="527"/>
      <w:bookmarkEnd w:id="528"/>
      <w:bookmarkEnd w:id="529"/>
    </w:p>
    <w:p w14:paraId="552D9A67">
      <w:pPr>
        <w:pStyle w:val="72"/>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r>
        <w:t>经调查，评价区域主要污染源排放情况见</w:t>
      </w:r>
      <w:r>
        <w:rPr>
          <w:rFonts w:hint="eastAsia"/>
        </w:rPr>
        <w:t>下表</w:t>
      </w:r>
      <w:r>
        <w:t>。</w:t>
      </w:r>
    </w:p>
    <w:p w14:paraId="004B91D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b/>
          <w:bCs/>
          <w:lang w:val="en-US" w:eastAsia="zh-CN"/>
        </w:rPr>
      </w:pPr>
      <w:r>
        <w:rPr>
          <w:rFonts w:hint="eastAsia"/>
          <w:b/>
          <w:bCs/>
          <w:lang w:val="en-US" w:eastAsia="zh-CN"/>
        </w:rPr>
        <w:t>表4.3-1    区域内主要工业企业污染物排放一览表</w:t>
      </w:r>
    </w:p>
    <w:tbl>
      <w:tblPr>
        <w:tblStyle w:val="39"/>
        <w:tblW w:w="494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4"/>
        <w:gridCol w:w="4472"/>
        <w:gridCol w:w="1410"/>
        <w:gridCol w:w="1780"/>
        <w:gridCol w:w="1315"/>
        <w:gridCol w:w="1396"/>
        <w:gridCol w:w="1304"/>
        <w:gridCol w:w="1419"/>
      </w:tblGrid>
      <w:tr w14:paraId="6094F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A67F3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CF342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企业名称</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EAD2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SO</w:t>
            </w:r>
            <w:r>
              <w:rPr>
                <w:rFonts w:hint="default" w:ascii="Times New Roman" w:hAnsi="Times New Roman" w:eastAsia="宋体" w:cs="Times New Roman"/>
                <w:i w:val="0"/>
                <w:iCs w:val="0"/>
                <w:color w:val="000000"/>
                <w:kern w:val="0"/>
                <w:sz w:val="21"/>
                <w:szCs w:val="21"/>
                <w:u w:val="none"/>
                <w:vertAlign w:val="subscript"/>
                <w:lang w:val="en-US" w:eastAsia="zh-CN" w:bidi="ar"/>
              </w:rPr>
              <w:t>2</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D6A3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w:t>
            </w:r>
            <w:r>
              <w:rPr>
                <w:rFonts w:hint="eastAsia" w:cs="Times New Roman"/>
                <w:i w:val="0"/>
                <w:iCs w:val="0"/>
                <w:color w:val="000000"/>
                <w:kern w:val="0"/>
                <w:sz w:val="21"/>
                <w:szCs w:val="21"/>
                <w:u w:val="none"/>
                <w:vertAlign w:val="subscript"/>
                <w:lang w:val="en-US" w:eastAsia="zh-CN" w:bidi="ar"/>
              </w:rPr>
              <w:t>X</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32FAC3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颗粒物</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00B033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VOC</w:t>
            </w:r>
            <w:r>
              <w:rPr>
                <w:rFonts w:hint="eastAsia" w:cs="Times New Roman"/>
                <w:i w:val="0"/>
                <w:iCs w:val="0"/>
                <w:color w:val="000000"/>
                <w:kern w:val="0"/>
                <w:sz w:val="21"/>
                <w:szCs w:val="21"/>
                <w:u w:val="none"/>
                <w:vertAlign w:val="subscript"/>
                <w:lang w:val="en-US" w:eastAsia="zh-CN" w:bidi="ar"/>
              </w:rPr>
              <w:t>S</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BC080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COD</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6F854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NH</w:t>
            </w:r>
            <w:r>
              <w:rPr>
                <w:rFonts w:hint="default" w:ascii="Times New Roman" w:hAnsi="Times New Roman" w:eastAsia="宋体" w:cs="Times New Roman"/>
                <w:i w:val="0"/>
                <w:iCs w:val="0"/>
                <w:color w:val="000000"/>
                <w:kern w:val="0"/>
                <w:sz w:val="21"/>
                <w:szCs w:val="21"/>
                <w:u w:val="none"/>
                <w:vertAlign w:val="subscript"/>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-N</w:t>
            </w:r>
          </w:p>
        </w:tc>
      </w:tr>
      <w:tr w14:paraId="604EF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D0232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2E081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河南省大安消防器材有限公司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E2A32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0.006</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98031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0.0281</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74D04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0.0268</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11835A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F3197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0.0281</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4419E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70C1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3F917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1ADC7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英联饲料（上海）有限公司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C72E9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1.82</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10D9329">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sz w:val="21"/>
                <w:szCs w:val="21"/>
                <w:u w:val="none"/>
              </w:rPr>
            </w:pP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DCC21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0.53</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753F11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983DD8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0.28</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7D3E0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2B80A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7DD40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14ED8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获嘉县城关镇长有机械厂</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AC992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AE261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54338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0.983</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87E55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2E04F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0.005</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FD9BC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0.0005</w:t>
            </w:r>
          </w:p>
        </w:tc>
      </w:tr>
      <w:tr w14:paraId="17A12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F9C8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78FF8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新乡空间钢结构工程有限公司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2127D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AF9AE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0E0CC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0.015</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CB030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9A092F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0.0144</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345C4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0.0014</w:t>
            </w:r>
          </w:p>
        </w:tc>
      </w:tr>
      <w:tr w14:paraId="0ED4F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D5E40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CD3D7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获嘉县华厦建材有限公司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098403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0.984</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86305F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E214C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1.2163</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4330EA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3A0A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0.075</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2BD8E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0.0075</w:t>
            </w:r>
          </w:p>
        </w:tc>
      </w:tr>
      <w:tr w14:paraId="38148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5CFAC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463AB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获嘉县富泰机械有限公司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BD413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1B6C8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2B3D8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B25A12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B8BC39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447CA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0.0013</w:t>
            </w:r>
          </w:p>
        </w:tc>
      </w:tr>
      <w:tr w14:paraId="32FF3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CBAAE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68278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河南晶瑞日用品股份有限公司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9D128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0.96</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BD2B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4.49</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2F650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1.576</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E6A7E5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5F456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1.2355</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73B6BA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0.0631</w:t>
            </w:r>
          </w:p>
        </w:tc>
      </w:tr>
      <w:tr w14:paraId="67292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1E084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73812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新乡市腾飞纸业有限公司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1C97A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46.4</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38904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46.4</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6D90D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6.96</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D59413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13A1F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136.13</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85C84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w:t>
            </w:r>
          </w:p>
        </w:tc>
      </w:tr>
      <w:tr w14:paraId="1E161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59862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40F43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河南丰磊五金制品有限公司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01384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0.1509</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3A7A8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1.052</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63E9DB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0.3762</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692C35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46323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0.9183</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BBF49C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0.0459</w:t>
            </w:r>
          </w:p>
        </w:tc>
      </w:tr>
      <w:tr w14:paraId="355EB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65744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868B2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新乡市喜盈盈机械制造有限公司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2C51F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03A339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0.0748</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F0900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0.0096</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49FA5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76830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AF0C0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w:t>
            </w:r>
          </w:p>
        </w:tc>
      </w:tr>
      <w:tr w14:paraId="1B314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50922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34803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新乡市申坤机械装备制造有限公司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005E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1F1AF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nil"/>
              <w:left w:val="nil"/>
              <w:bottom w:val="nil"/>
              <w:right w:val="nil"/>
            </w:tcBorders>
            <w:shd w:val="clear" w:color="auto" w:fill="auto"/>
            <w:noWrap/>
            <w:vAlign w:val="center"/>
          </w:tcPr>
          <w:p w14:paraId="5DA7CA7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0.3345</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23D1C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nil"/>
              <w:left w:val="nil"/>
              <w:bottom w:val="nil"/>
              <w:right w:val="nil"/>
            </w:tcBorders>
            <w:shd w:val="clear" w:color="auto" w:fill="auto"/>
            <w:noWrap/>
            <w:vAlign w:val="center"/>
          </w:tcPr>
          <w:p w14:paraId="5208F39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0.0142</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D558C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0.0007</w:t>
            </w:r>
          </w:p>
        </w:tc>
      </w:tr>
      <w:tr w14:paraId="2AC0A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E790CB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FCC8D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新乡天鑫新能源机械有限公司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5A02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150ED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0.0033</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43A27E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0.0457</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FE602F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0.1079</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ECA7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0.018</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C34E72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195BA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0F5D10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5059E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新乡市嘉数科技有限公司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C61A1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2C78D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4412B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F27F6A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5C6E3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0.0126</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DF6E6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0.00126</w:t>
            </w:r>
          </w:p>
        </w:tc>
      </w:tr>
      <w:tr w14:paraId="3D196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774DC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1594" w:type="pct"/>
            <w:tcBorders>
              <w:top w:val="nil"/>
              <w:left w:val="nil"/>
              <w:bottom w:val="nil"/>
              <w:right w:val="nil"/>
            </w:tcBorders>
            <w:shd w:val="clear" w:color="auto" w:fill="auto"/>
            <w:noWrap/>
            <w:vAlign w:val="center"/>
          </w:tcPr>
          <w:p w14:paraId="13E7546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新乡市博利电动车制造有限公司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38C01F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9ACF4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FFDEB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6D5B7E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8A907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C7CF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w:t>
            </w:r>
          </w:p>
        </w:tc>
      </w:tr>
      <w:tr w14:paraId="777BC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D12A9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8F090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河南省邦力电器有限公司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F39DF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23CD0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04E104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DEC3C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F42F5A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0.0017</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945AF5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0.0002</w:t>
            </w:r>
          </w:p>
        </w:tc>
      </w:tr>
      <w:tr w14:paraId="0B5C6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B0035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EB3366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新乡市安博化工有限公司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572D6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4F6C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852CC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054E3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28.42268</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412CE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752B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63C8E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74EBC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ED38A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新乡市华瑞电源材料有限公司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9FD5E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B669D3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7E8A3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76B3CE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7E4FCF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0.32</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821B4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0.016</w:t>
            </w:r>
          </w:p>
        </w:tc>
      </w:tr>
      <w:tr w14:paraId="7589C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4C9EA2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3F6DD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新乡市永盛环保塑胶有限公司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EC12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DC6F3B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17D1E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0510F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0.0184</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EF97A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0.0015</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6BD6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0.0001</w:t>
            </w:r>
          </w:p>
        </w:tc>
      </w:tr>
      <w:tr w14:paraId="16204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2B81E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594" w:type="pct"/>
            <w:tcBorders>
              <w:top w:val="nil"/>
              <w:left w:val="nil"/>
              <w:bottom w:val="nil"/>
              <w:right w:val="nil"/>
            </w:tcBorders>
            <w:shd w:val="clear" w:color="auto" w:fill="auto"/>
            <w:noWrap/>
            <w:vAlign w:val="center"/>
          </w:tcPr>
          <w:p w14:paraId="7FA404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新乡市红石榴农业机械有限公司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1D5432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A5F19A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9D3CEA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0.1799</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72437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0.0003</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FD894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99695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26B4E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E3090E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CE561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获嘉县</w:t>
            </w:r>
            <w:r>
              <w:rPr>
                <w:rFonts w:hint="eastAsia" w:ascii="宋体" w:hAnsi="宋体" w:cs="宋体"/>
                <w:i w:val="0"/>
                <w:iCs w:val="0"/>
                <w:color w:val="000000"/>
                <w:kern w:val="0"/>
                <w:sz w:val="21"/>
                <w:szCs w:val="21"/>
                <w:u w:val="none"/>
                <w:lang w:val="en-US" w:eastAsia="zh-CN" w:bidi="ar"/>
              </w:rPr>
              <w:t>同</w:t>
            </w:r>
            <w:r>
              <w:rPr>
                <w:rFonts w:hint="eastAsia" w:ascii="宋体" w:hAnsi="宋体" w:eastAsia="宋体" w:cs="宋体"/>
                <w:i w:val="0"/>
                <w:iCs w:val="0"/>
                <w:color w:val="000000"/>
                <w:kern w:val="0"/>
                <w:sz w:val="21"/>
                <w:szCs w:val="21"/>
                <w:u w:val="none"/>
                <w:lang w:val="en-US" w:eastAsia="zh-CN" w:bidi="ar"/>
              </w:rPr>
              <w:t>盟污水处理有限公司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4C74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17444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0C55A1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75A6EB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848E2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657</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57A73C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32.85</w:t>
            </w:r>
          </w:p>
        </w:tc>
      </w:tr>
      <w:tr w14:paraId="0461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32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64CC3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159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16A08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河南红太阳电气有限公司</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D6F309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36CB6F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BA634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0.0027</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3F2D96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60F600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0.0039</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C2885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0.0004</w:t>
            </w:r>
          </w:p>
        </w:tc>
      </w:tr>
      <w:tr w14:paraId="2652C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921" w:type="pct"/>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14:paraId="39D830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共计</w:t>
            </w:r>
          </w:p>
        </w:tc>
        <w:tc>
          <w:tcPr>
            <w:tcW w:w="503"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4460E4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119.3809</w:t>
            </w:r>
          </w:p>
        </w:tc>
        <w:tc>
          <w:tcPr>
            <w:tcW w:w="63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54AB1E0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121.0482</w:t>
            </w:r>
          </w:p>
        </w:tc>
        <w:tc>
          <w:tcPr>
            <w:tcW w:w="469"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4AB6E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19.1557</w:t>
            </w:r>
          </w:p>
        </w:tc>
        <w:tc>
          <w:tcPr>
            <w:tcW w:w="4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17DABA0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28.54928</w:t>
            </w:r>
          </w:p>
        </w:tc>
        <w:tc>
          <w:tcPr>
            <w:tcW w:w="465"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2FEBA5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796.5012</w:t>
            </w:r>
          </w:p>
        </w:tc>
        <w:tc>
          <w:tcPr>
            <w:tcW w:w="506" w:type="pct"/>
            <w:tcBorders>
              <w:top w:val="single" w:color="000000" w:sz="8" w:space="0"/>
              <w:left w:val="single" w:color="000000" w:sz="8" w:space="0"/>
              <w:bottom w:val="single" w:color="000000" w:sz="8" w:space="0"/>
              <w:right w:val="single" w:color="000000" w:sz="8" w:space="0"/>
            </w:tcBorders>
            <w:shd w:val="clear" w:color="auto" w:fill="auto"/>
            <w:noWrap/>
            <w:vAlign w:val="center"/>
          </w:tcPr>
          <w:p w14:paraId="06712C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33.20836</w:t>
            </w:r>
          </w:p>
        </w:tc>
      </w:tr>
    </w:tbl>
    <w:p w14:paraId="5D343B4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p w14:paraId="5BC4C775">
      <w:pPr>
        <w:pStyle w:val="72"/>
        <w:rPr>
          <w:highlight w:val="yellow"/>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pPr>
    </w:p>
    <w:p w14:paraId="3FD95F23">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rPr>
      </w:pPr>
      <w:bookmarkStart w:id="530" w:name="_Toc324839314"/>
      <w:bookmarkStart w:id="531" w:name="_Toc17649"/>
      <w:bookmarkStart w:id="532" w:name="_Toc33416068"/>
      <w:bookmarkStart w:id="533" w:name="_Toc311812647"/>
      <w:bookmarkStart w:id="534" w:name="_Toc25095"/>
      <w:bookmarkStart w:id="535" w:name="_Toc51319868"/>
      <w:bookmarkStart w:id="536" w:name="_Toc324839611"/>
      <w:r>
        <w:rPr>
          <w:rFonts w:hint="eastAsia"/>
        </w:rPr>
        <w:t>环境影响预测与评价</w:t>
      </w:r>
      <w:bookmarkEnd w:id="530"/>
      <w:bookmarkEnd w:id="531"/>
      <w:bookmarkEnd w:id="532"/>
      <w:bookmarkEnd w:id="533"/>
      <w:bookmarkEnd w:id="534"/>
      <w:bookmarkEnd w:id="535"/>
      <w:bookmarkEnd w:id="536"/>
    </w:p>
    <w:p w14:paraId="1123A752">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537" w:name="_Toc10088"/>
      <w:bookmarkStart w:id="538" w:name="_Toc324839622"/>
      <w:bookmarkStart w:id="539" w:name="_Toc198193468"/>
      <w:bookmarkStart w:id="540" w:name="_Toc311812648"/>
      <w:bookmarkStart w:id="541" w:name="_Toc324839325"/>
      <w:bookmarkStart w:id="542" w:name="_Toc227946422"/>
      <w:r>
        <w:rPr>
          <w:rFonts w:hint="eastAsia"/>
          <w:lang w:val="en-US" w:eastAsia="zh-CN"/>
        </w:rPr>
        <w:t>5.1施工期环境影响分析</w:t>
      </w:r>
      <w:bookmarkEnd w:id="537"/>
    </w:p>
    <w:p w14:paraId="753712CA">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本项目为</w:t>
      </w:r>
      <w:r>
        <w:rPr>
          <w:rFonts w:hint="eastAsia" w:cs="Times New Roman"/>
          <w:sz w:val="24"/>
          <w:szCs w:val="24"/>
          <w:lang w:val="en-US" w:eastAsia="zh-CN"/>
        </w:rPr>
        <w:t>建设</w:t>
      </w:r>
      <w:r>
        <w:rPr>
          <w:rFonts w:hint="default" w:ascii="Times New Roman" w:hAnsi="Times New Roman" w:cs="Times New Roman"/>
          <w:sz w:val="24"/>
          <w:szCs w:val="24"/>
        </w:rPr>
        <w:t>用地，建设工期计划为</w:t>
      </w:r>
      <w:r>
        <w:rPr>
          <w:rFonts w:hint="eastAsia" w:cs="Times New Roman"/>
          <w:sz w:val="24"/>
          <w:szCs w:val="24"/>
          <w:lang w:val="en-US" w:eastAsia="zh-CN"/>
        </w:rPr>
        <w:t>3</w:t>
      </w:r>
      <w:r>
        <w:rPr>
          <w:rFonts w:hint="default" w:ascii="Times New Roman" w:hAnsi="Times New Roman" w:cs="Times New Roman"/>
          <w:sz w:val="24"/>
          <w:szCs w:val="24"/>
          <w:lang w:val="en-US" w:eastAsia="zh-CN"/>
        </w:rPr>
        <w:t>个月</w:t>
      </w:r>
      <w:r>
        <w:rPr>
          <w:rFonts w:hint="default" w:ascii="Times New Roman" w:hAnsi="Times New Roman" w:cs="Times New Roman"/>
          <w:sz w:val="24"/>
          <w:szCs w:val="24"/>
        </w:rPr>
        <w:t>。</w:t>
      </w:r>
    </w:p>
    <w:p w14:paraId="0340E840">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施工期项目建设主要包括两个部分：一是各主要生产车间的施工建设；二是与其配套的附属建构筑物的建设。主要内容有：场地平整、三通一平工程、地基开挖、厂房建设、设备安装等；在施工期间各项施工活动对周围环境的影响主要有：机械噪声、弃土、建筑垃圾和扬尘、交通、土壤植被。</w:t>
      </w:r>
    </w:p>
    <w:p w14:paraId="3A0F495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bookmarkStart w:id="543" w:name="6.1.1 施工期对周围大气环境的影响"/>
      <w:bookmarkEnd w:id="543"/>
      <w:r>
        <w:rPr>
          <w:rFonts w:hint="default" w:ascii="Times New Roman" w:hAnsi="Times New Roman"/>
          <w:lang w:val="en-US" w:eastAsia="zh-CN"/>
        </w:rPr>
        <w:t>5.1.1施工期对周围大气环境的影响</w:t>
      </w:r>
    </w:p>
    <w:p w14:paraId="05F6BE7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bookmarkStart w:id="544" w:name="6.1.1.1 施工期扬尘影响分析"/>
      <w:bookmarkEnd w:id="544"/>
      <w:r>
        <w:rPr>
          <w:rFonts w:hint="default"/>
          <w:lang w:val="en-US" w:eastAsia="zh-CN"/>
        </w:rPr>
        <w:t>5.1.1.1施工期扬尘影响分析</w:t>
      </w:r>
    </w:p>
    <w:p w14:paraId="4DDA8ED8">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施工扬尘产生环节为：建筑材料、建筑垃圾的运输过程中产生的道路扬尘、露天堆场及裸露地面等在风力作用下产生的风力扬尘等。扬尘量的大小与施工现场条件、管理水平、机械化程度以及天气诸多因素有关，是一个复杂、难以定量的过程。扬尘使大气中总悬浮颗粒物剧增，并随风迁移到其它地方，致使空气中含尘浓度超标十倍至几十倍，严重影响下风向居民和过往行人的健康，也影响城市市容和景观。</w:t>
      </w:r>
    </w:p>
    <w:p w14:paraId="4B1B1E73">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①</w:t>
      </w:r>
      <w:r>
        <w:rPr>
          <w:rFonts w:hint="default" w:ascii="Times New Roman" w:hAnsi="Times New Roman" w:cs="Times New Roman"/>
          <w:sz w:val="24"/>
          <w:szCs w:val="24"/>
        </w:rPr>
        <w:t>车辆行驶扬尘</w:t>
      </w:r>
    </w:p>
    <w:p w14:paraId="32AA2C3C">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项目运输道路扬尘将对其产生一定的影响。据有关调查显示，施工工地的扬尘主要是由运输车辆的行驶产生，约占扬尘总量的</w:t>
      </w:r>
      <w:r>
        <w:rPr>
          <w:rFonts w:hint="default" w:ascii="Times New Roman" w:hAnsi="Times New Roman" w:eastAsia="Times New Roman" w:cs="Times New Roman"/>
          <w:sz w:val="24"/>
          <w:szCs w:val="24"/>
        </w:rPr>
        <w:t>60%</w:t>
      </w:r>
      <w:r>
        <w:rPr>
          <w:rFonts w:hint="default" w:ascii="Times New Roman" w:hAnsi="Times New Roman" w:cs="Times New Roman"/>
          <w:sz w:val="24"/>
          <w:szCs w:val="24"/>
        </w:rPr>
        <w:t>，在完全干燥情况下，可按下列经验公式计算：</w:t>
      </w:r>
    </w:p>
    <w:p w14:paraId="4E95D634">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eastAsia="宋体" w:cs="Times New Roman"/>
          <w:sz w:val="24"/>
          <w:szCs w:val="24"/>
          <w:lang w:eastAsia="zh-CN"/>
        </w:rPr>
        <w:drawing>
          <wp:anchor distT="0" distB="0" distL="114300" distR="114300" simplePos="0" relativeHeight="251692032" behindDoc="0" locked="0" layoutInCell="1" allowOverlap="1">
            <wp:simplePos x="0" y="0"/>
            <wp:positionH relativeFrom="column">
              <wp:align>center</wp:align>
            </wp:positionH>
            <wp:positionV relativeFrom="paragraph">
              <wp:posOffset>92075</wp:posOffset>
            </wp:positionV>
            <wp:extent cx="2191385" cy="467995"/>
            <wp:effectExtent l="0" t="0" r="18415" b="8255"/>
            <wp:wrapTopAndBottom/>
            <wp:docPr id="9" name="图片 175" descr="1700212979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75" descr="1700212979235"/>
                    <pic:cNvPicPr>
                      <a:picLocks noChangeAspect="1"/>
                    </pic:cNvPicPr>
                  </pic:nvPicPr>
                  <pic:blipFill>
                    <a:blip r:embed="rId41"/>
                    <a:stretch>
                      <a:fillRect/>
                    </a:stretch>
                  </pic:blipFill>
                  <pic:spPr>
                    <a:xfrm>
                      <a:off x="0" y="0"/>
                      <a:ext cx="2191385" cy="467995"/>
                    </a:xfrm>
                    <a:prstGeom prst="rect">
                      <a:avLst/>
                    </a:prstGeom>
                    <a:noFill/>
                    <a:ln>
                      <a:noFill/>
                    </a:ln>
                  </pic:spPr>
                </pic:pic>
              </a:graphicData>
            </a:graphic>
          </wp:anchor>
        </w:drawing>
      </w:r>
      <w:r>
        <w:rPr>
          <w:rFonts w:hint="default" w:ascii="Times New Roman" w:hAnsi="Times New Roman" w:cs="Times New Roman"/>
          <w:sz w:val="24"/>
          <w:szCs w:val="24"/>
        </w:rPr>
        <w:t>式中：</w:t>
      </w:r>
      <w:r>
        <w:rPr>
          <w:rFonts w:hint="default" w:ascii="Times New Roman" w:hAnsi="Times New Roman" w:eastAsia="Times New Roman" w:cs="Times New Roman"/>
          <w:sz w:val="24"/>
          <w:szCs w:val="24"/>
        </w:rPr>
        <w:t>Q——</w:t>
      </w:r>
      <w:r>
        <w:rPr>
          <w:rFonts w:hint="default" w:ascii="Times New Roman" w:hAnsi="Times New Roman" w:cs="Times New Roman"/>
          <w:sz w:val="24"/>
          <w:szCs w:val="24"/>
        </w:rPr>
        <w:t>汽车行驶的扬尘，</w:t>
      </w:r>
      <w:r>
        <w:rPr>
          <w:rFonts w:hint="default" w:ascii="Times New Roman" w:hAnsi="Times New Roman" w:eastAsia="Times New Roman" w:cs="Times New Roman"/>
          <w:sz w:val="24"/>
          <w:szCs w:val="24"/>
        </w:rPr>
        <w:t>kg/km·</w:t>
      </w:r>
      <w:r>
        <w:rPr>
          <w:rFonts w:hint="default" w:ascii="Times New Roman" w:hAnsi="Times New Roman" w:cs="Times New Roman"/>
          <w:sz w:val="24"/>
          <w:szCs w:val="24"/>
        </w:rPr>
        <w:t>辆；</w:t>
      </w:r>
    </w:p>
    <w:p w14:paraId="0D4D3E48">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cs="Times New Roman"/>
          <w:sz w:val="24"/>
          <w:szCs w:val="24"/>
        </w:rPr>
      </w:pPr>
      <w:r>
        <w:rPr>
          <w:rFonts w:hint="default" w:ascii="Times New Roman" w:hAnsi="Times New Roman" w:eastAsia="Times New Roman" w:cs="Times New Roman"/>
          <w:sz w:val="24"/>
          <w:szCs w:val="24"/>
        </w:rPr>
        <w:t>V——</w:t>
      </w:r>
      <w:r>
        <w:rPr>
          <w:rFonts w:hint="default" w:ascii="Times New Roman" w:hAnsi="Times New Roman" w:cs="Times New Roman"/>
          <w:sz w:val="24"/>
          <w:szCs w:val="24"/>
        </w:rPr>
        <w:t>汽车速度，</w:t>
      </w:r>
      <w:r>
        <w:rPr>
          <w:rFonts w:hint="default" w:ascii="Times New Roman" w:hAnsi="Times New Roman" w:eastAsia="Times New Roman" w:cs="Times New Roman"/>
          <w:sz w:val="24"/>
          <w:szCs w:val="24"/>
        </w:rPr>
        <w:t>km/h</w:t>
      </w:r>
      <w:r>
        <w:rPr>
          <w:rFonts w:hint="default" w:ascii="Times New Roman" w:hAnsi="Times New Roman" w:cs="Times New Roman"/>
          <w:sz w:val="24"/>
          <w:szCs w:val="24"/>
        </w:rPr>
        <w:t>；</w:t>
      </w:r>
    </w:p>
    <w:p w14:paraId="0E5F876D">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W——</w:t>
      </w:r>
      <w:r>
        <w:rPr>
          <w:rFonts w:hint="default" w:ascii="Times New Roman" w:hAnsi="Times New Roman" w:cs="Times New Roman"/>
          <w:sz w:val="24"/>
          <w:szCs w:val="24"/>
        </w:rPr>
        <w:t>汽车载重量，</w:t>
      </w:r>
      <w:r>
        <w:rPr>
          <w:rFonts w:hint="default" w:ascii="Times New Roman" w:hAnsi="Times New Roman" w:eastAsia="Times New Roman" w:cs="Times New Roman"/>
          <w:sz w:val="24"/>
          <w:szCs w:val="24"/>
        </w:rPr>
        <w:t>t</w:t>
      </w:r>
      <w:r>
        <w:rPr>
          <w:rFonts w:hint="default" w:ascii="Times New Roman" w:hAnsi="Times New Roman" w:cs="Times New Roman"/>
          <w:sz w:val="24"/>
          <w:szCs w:val="24"/>
        </w:rPr>
        <w:t>；</w:t>
      </w:r>
    </w:p>
    <w:p w14:paraId="30BD2F80">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P——</w:t>
      </w:r>
      <w:r>
        <w:rPr>
          <w:rFonts w:hint="default" w:ascii="Times New Roman" w:hAnsi="Times New Roman" w:cs="Times New Roman"/>
          <w:sz w:val="24"/>
          <w:szCs w:val="24"/>
        </w:rPr>
        <w:t>道路表面粉尘量，</w:t>
      </w:r>
      <w:r>
        <w:rPr>
          <w:rFonts w:hint="default" w:ascii="Times New Roman" w:hAnsi="Times New Roman" w:eastAsia="Times New Roman" w:cs="Times New Roman"/>
          <w:sz w:val="24"/>
          <w:szCs w:val="24"/>
        </w:rPr>
        <w:t>kg/m</w:t>
      </w:r>
      <w:r>
        <w:rPr>
          <w:rFonts w:hint="default" w:ascii="Times New Roman" w:hAnsi="Times New Roman" w:eastAsia="Times New Roman" w:cs="Times New Roman"/>
          <w:sz w:val="24"/>
          <w:szCs w:val="24"/>
          <w:vertAlign w:val="superscript"/>
        </w:rPr>
        <w:t>2</w:t>
      </w:r>
      <w:r>
        <w:rPr>
          <w:rFonts w:hint="default" w:ascii="Times New Roman" w:hAnsi="Times New Roman" w:cs="Times New Roman"/>
          <w:sz w:val="24"/>
          <w:szCs w:val="24"/>
        </w:rPr>
        <w:t>。</w:t>
      </w:r>
    </w:p>
    <w:p w14:paraId="193389C7">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表</w:t>
      </w:r>
      <w:r>
        <w:rPr>
          <w:rFonts w:hint="eastAsia" w:cs="Times New Roman"/>
          <w:sz w:val="24"/>
          <w:szCs w:val="24"/>
          <w:lang w:val="en-US" w:eastAsia="zh-CN"/>
        </w:rPr>
        <w:t>5-1</w:t>
      </w:r>
      <w:r>
        <w:rPr>
          <w:rFonts w:hint="default" w:ascii="Times New Roman" w:hAnsi="Times New Roman" w:cs="Times New Roman"/>
          <w:sz w:val="24"/>
          <w:szCs w:val="24"/>
        </w:rPr>
        <w:t>为一辆载重</w:t>
      </w:r>
      <w:r>
        <w:rPr>
          <w:rFonts w:hint="default" w:ascii="Times New Roman" w:hAnsi="Times New Roman" w:eastAsia="Times New Roman" w:cs="Times New Roman"/>
          <w:sz w:val="24"/>
          <w:szCs w:val="24"/>
        </w:rPr>
        <w:t>5t</w:t>
      </w:r>
      <w:r>
        <w:rPr>
          <w:rFonts w:hint="default" w:ascii="Times New Roman" w:hAnsi="Times New Roman" w:cs="Times New Roman"/>
          <w:sz w:val="24"/>
          <w:szCs w:val="24"/>
        </w:rPr>
        <w:t>的卡车，通过一段长度为</w:t>
      </w:r>
      <w:r>
        <w:rPr>
          <w:rFonts w:hint="default" w:ascii="Times New Roman" w:hAnsi="Times New Roman" w:eastAsia="Times New Roman" w:cs="Times New Roman"/>
          <w:sz w:val="24"/>
          <w:szCs w:val="24"/>
        </w:rPr>
        <w:t>500m</w:t>
      </w:r>
      <w:r>
        <w:rPr>
          <w:rFonts w:hint="default" w:ascii="Times New Roman" w:hAnsi="Times New Roman" w:cs="Times New Roman"/>
          <w:sz w:val="24"/>
          <w:szCs w:val="24"/>
        </w:rPr>
        <w:t>的路面时，不同路面清洁程度，不同行驶速度情况下产生的扬尘量。由此可见，在同样路面清洁情况下，车速越快，扬尘量越大；而在同样车速情况下，路面清洁度越差，则扬尘量越大。</w:t>
      </w:r>
    </w:p>
    <w:p w14:paraId="4453A42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b/>
          <w:bCs/>
        </w:rPr>
      </w:pPr>
      <w:r>
        <w:rPr>
          <w:b/>
          <w:bCs/>
        </w:rPr>
        <w:t>表</w:t>
      </w:r>
      <w:r>
        <w:rPr>
          <w:rFonts w:hint="eastAsia"/>
          <w:b/>
          <w:bCs/>
        </w:rPr>
        <w:t>5</w:t>
      </w:r>
      <w:r>
        <w:rPr>
          <w:rFonts w:hint="eastAsia"/>
          <w:b/>
          <w:bCs/>
          <w:lang w:val="en-US" w:eastAsia="zh-CN"/>
        </w:rPr>
        <w:t>.1</w:t>
      </w:r>
      <w:r>
        <w:rPr>
          <w:rFonts w:hint="eastAsia"/>
          <w:b/>
          <w:bCs/>
        </w:rPr>
        <w:t>-</w:t>
      </w:r>
      <w:r>
        <w:rPr>
          <w:b/>
          <w:bCs/>
        </w:rPr>
        <w:t>1</w:t>
      </w:r>
      <w:r>
        <w:rPr>
          <w:rFonts w:hint="eastAsia"/>
          <w:b/>
          <w:bCs/>
        </w:rPr>
        <w:t xml:space="preserve">    不同车速和地面清洁程度时的汽车扬尘    单位：kg/辆·km</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898"/>
        <w:gridCol w:w="1093"/>
        <w:gridCol w:w="1003"/>
        <w:gridCol w:w="1066"/>
        <w:gridCol w:w="1093"/>
        <w:gridCol w:w="1107"/>
        <w:gridCol w:w="1113"/>
      </w:tblGrid>
      <w:tr w14:paraId="516D92D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897" w:type="dxa"/>
            <w:tcBorders>
              <w:bottom w:val="single" w:color="000000" w:sz="8" w:space="0"/>
              <w:right w:val="single" w:color="000000" w:sz="8" w:space="0"/>
              <w:tl2br w:val="single" w:color="000000" w:sz="8" w:space="0"/>
            </w:tcBorders>
            <w:noWrap w:val="0"/>
            <w:vAlign w:val="center"/>
          </w:tcPr>
          <w:p w14:paraId="42A04E3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right"/>
              <w:textAlignment w:val="auto"/>
              <w:rPr>
                <w:rFonts w:hint="default" w:ascii="Times New Roman" w:hAnsi="Times New Roman" w:cs="Times New Roman"/>
                <w:sz w:val="21"/>
                <w:szCs w:val="24"/>
              </w:rPr>
            </w:pPr>
            <w:r>
              <w:rPr>
                <w:rFonts w:hint="default" w:ascii="Times New Roman" w:hAnsi="Times New Roman" w:cs="Times New Roman"/>
                <w:sz w:val="21"/>
                <w:szCs w:val="24"/>
              </w:rPr>
              <w:t>P</w:t>
            </w:r>
            <w:r>
              <w:rPr>
                <w:rFonts w:hint="default" w:ascii="Times New Roman" w:hAnsi="Times New Roman" w:eastAsia="宋体" w:cs="Times New Roman"/>
                <w:sz w:val="21"/>
                <w:szCs w:val="24"/>
              </w:rPr>
              <w:t>（</w:t>
            </w:r>
            <w:r>
              <w:rPr>
                <w:rFonts w:hint="default" w:ascii="Times New Roman" w:hAnsi="Times New Roman" w:cs="Times New Roman"/>
                <w:sz w:val="21"/>
                <w:szCs w:val="24"/>
              </w:rPr>
              <w:t>kg/m</w:t>
            </w:r>
            <w:r>
              <w:rPr>
                <w:rFonts w:hint="default" w:ascii="Times New Roman" w:hAnsi="Times New Roman" w:cs="Times New Roman"/>
                <w:sz w:val="21"/>
                <w:szCs w:val="24"/>
                <w:vertAlign w:val="superscript"/>
              </w:rPr>
              <w:t>2</w:t>
            </w:r>
            <w:r>
              <w:rPr>
                <w:rFonts w:hint="default" w:ascii="Times New Roman" w:hAnsi="Times New Roman" w:eastAsia="宋体" w:cs="Times New Roman"/>
                <w:sz w:val="21"/>
                <w:szCs w:val="24"/>
              </w:rPr>
              <w:t>）</w:t>
            </w:r>
          </w:p>
          <w:p w14:paraId="7FEED01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left"/>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车速（</w:t>
            </w:r>
            <w:r>
              <w:rPr>
                <w:rFonts w:hint="default" w:ascii="Times New Roman" w:hAnsi="Times New Roman" w:cs="Times New Roman"/>
                <w:sz w:val="21"/>
                <w:szCs w:val="24"/>
              </w:rPr>
              <w:t>km/h</w:t>
            </w:r>
            <w:r>
              <w:rPr>
                <w:rFonts w:hint="default" w:ascii="Times New Roman" w:hAnsi="Times New Roman" w:eastAsia="宋体" w:cs="Times New Roman"/>
                <w:sz w:val="21"/>
                <w:szCs w:val="24"/>
              </w:rPr>
              <w:t>）</w:t>
            </w:r>
          </w:p>
        </w:tc>
        <w:tc>
          <w:tcPr>
            <w:tcW w:w="1092" w:type="dxa"/>
            <w:tcBorders>
              <w:left w:val="single" w:color="000000" w:sz="8" w:space="0"/>
              <w:tl2br w:val="nil"/>
              <w:tr2bl w:val="nil"/>
            </w:tcBorders>
            <w:noWrap w:val="0"/>
            <w:vAlign w:val="center"/>
          </w:tcPr>
          <w:p w14:paraId="52FAC1F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w:t>
            </w:r>
          </w:p>
        </w:tc>
        <w:tc>
          <w:tcPr>
            <w:tcW w:w="1002" w:type="dxa"/>
            <w:tcBorders>
              <w:tl2br w:val="nil"/>
              <w:tr2bl w:val="nil"/>
            </w:tcBorders>
            <w:noWrap w:val="0"/>
            <w:vAlign w:val="center"/>
          </w:tcPr>
          <w:p w14:paraId="6B24A10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0.2</w:t>
            </w:r>
          </w:p>
        </w:tc>
        <w:tc>
          <w:tcPr>
            <w:tcW w:w="1064" w:type="dxa"/>
            <w:tcBorders>
              <w:tl2br w:val="nil"/>
              <w:tr2bl w:val="nil"/>
            </w:tcBorders>
            <w:noWrap w:val="0"/>
            <w:vAlign w:val="center"/>
          </w:tcPr>
          <w:p w14:paraId="4F49066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0.3</w:t>
            </w:r>
          </w:p>
        </w:tc>
        <w:tc>
          <w:tcPr>
            <w:tcW w:w="1092" w:type="dxa"/>
            <w:tcBorders>
              <w:tl2br w:val="nil"/>
              <w:tr2bl w:val="nil"/>
            </w:tcBorders>
            <w:noWrap w:val="0"/>
            <w:vAlign w:val="center"/>
          </w:tcPr>
          <w:p w14:paraId="7FFD5E1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0.4</w:t>
            </w:r>
          </w:p>
        </w:tc>
        <w:tc>
          <w:tcPr>
            <w:tcW w:w="1107" w:type="dxa"/>
            <w:tcBorders>
              <w:tl2br w:val="nil"/>
              <w:tr2bl w:val="nil"/>
            </w:tcBorders>
            <w:noWrap w:val="0"/>
            <w:vAlign w:val="center"/>
          </w:tcPr>
          <w:p w14:paraId="09F9B4B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0.5</w:t>
            </w:r>
          </w:p>
        </w:tc>
        <w:tc>
          <w:tcPr>
            <w:tcW w:w="1112" w:type="dxa"/>
            <w:tcBorders>
              <w:tl2br w:val="nil"/>
              <w:tr2bl w:val="nil"/>
            </w:tcBorders>
            <w:noWrap w:val="0"/>
            <w:vAlign w:val="center"/>
          </w:tcPr>
          <w:p w14:paraId="50FD5D6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w:t>
            </w:r>
          </w:p>
        </w:tc>
      </w:tr>
      <w:tr w14:paraId="4F15369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897" w:type="dxa"/>
            <w:tcBorders>
              <w:top w:val="single" w:color="000000" w:sz="8" w:space="0"/>
              <w:tl2br w:val="nil"/>
              <w:tr2bl w:val="nil"/>
            </w:tcBorders>
            <w:noWrap w:val="0"/>
            <w:vAlign w:val="center"/>
          </w:tcPr>
          <w:p w14:paraId="7AC6009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w:t>
            </w:r>
          </w:p>
        </w:tc>
        <w:tc>
          <w:tcPr>
            <w:tcW w:w="1092" w:type="dxa"/>
            <w:tcBorders>
              <w:tl2br w:val="nil"/>
              <w:tr2bl w:val="nil"/>
            </w:tcBorders>
            <w:noWrap w:val="0"/>
            <w:vAlign w:val="center"/>
          </w:tcPr>
          <w:p w14:paraId="3F5FE39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0.0283</w:t>
            </w:r>
          </w:p>
        </w:tc>
        <w:tc>
          <w:tcPr>
            <w:tcW w:w="1002" w:type="dxa"/>
            <w:tcBorders>
              <w:tl2br w:val="nil"/>
              <w:tr2bl w:val="nil"/>
            </w:tcBorders>
            <w:noWrap w:val="0"/>
            <w:vAlign w:val="center"/>
          </w:tcPr>
          <w:p w14:paraId="4D965E8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0.0476</w:t>
            </w:r>
          </w:p>
        </w:tc>
        <w:tc>
          <w:tcPr>
            <w:tcW w:w="1064" w:type="dxa"/>
            <w:tcBorders>
              <w:tl2br w:val="nil"/>
              <w:tr2bl w:val="nil"/>
            </w:tcBorders>
            <w:noWrap w:val="0"/>
            <w:vAlign w:val="center"/>
          </w:tcPr>
          <w:p w14:paraId="028FC1F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0.0646</w:t>
            </w:r>
          </w:p>
        </w:tc>
        <w:tc>
          <w:tcPr>
            <w:tcW w:w="1092" w:type="dxa"/>
            <w:tcBorders>
              <w:tl2br w:val="nil"/>
              <w:tr2bl w:val="nil"/>
            </w:tcBorders>
            <w:noWrap w:val="0"/>
            <w:vAlign w:val="center"/>
          </w:tcPr>
          <w:p w14:paraId="00C1593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0.0801</w:t>
            </w:r>
          </w:p>
        </w:tc>
        <w:tc>
          <w:tcPr>
            <w:tcW w:w="1107" w:type="dxa"/>
            <w:tcBorders>
              <w:tl2br w:val="nil"/>
              <w:tr2bl w:val="nil"/>
            </w:tcBorders>
            <w:noWrap w:val="0"/>
            <w:vAlign w:val="center"/>
          </w:tcPr>
          <w:p w14:paraId="178FE44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0.0947</w:t>
            </w:r>
          </w:p>
        </w:tc>
        <w:tc>
          <w:tcPr>
            <w:tcW w:w="1112" w:type="dxa"/>
            <w:tcBorders>
              <w:tl2br w:val="nil"/>
              <w:tr2bl w:val="nil"/>
            </w:tcBorders>
            <w:noWrap w:val="0"/>
            <w:vAlign w:val="center"/>
          </w:tcPr>
          <w:p w14:paraId="24DBAE1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0.1593</w:t>
            </w:r>
          </w:p>
        </w:tc>
      </w:tr>
      <w:tr w14:paraId="6EE0FAD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897" w:type="dxa"/>
            <w:tcBorders>
              <w:tl2br w:val="nil"/>
              <w:tr2bl w:val="nil"/>
            </w:tcBorders>
            <w:noWrap w:val="0"/>
            <w:vAlign w:val="center"/>
          </w:tcPr>
          <w:p w14:paraId="4312ED5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w:t>
            </w:r>
          </w:p>
        </w:tc>
        <w:tc>
          <w:tcPr>
            <w:tcW w:w="1092" w:type="dxa"/>
            <w:tcBorders>
              <w:tl2br w:val="nil"/>
              <w:tr2bl w:val="nil"/>
            </w:tcBorders>
            <w:noWrap w:val="0"/>
            <w:vAlign w:val="center"/>
          </w:tcPr>
          <w:p w14:paraId="29F1CAB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0.0566</w:t>
            </w:r>
          </w:p>
        </w:tc>
        <w:tc>
          <w:tcPr>
            <w:tcW w:w="1002" w:type="dxa"/>
            <w:tcBorders>
              <w:tl2br w:val="nil"/>
              <w:tr2bl w:val="nil"/>
            </w:tcBorders>
            <w:noWrap w:val="0"/>
            <w:vAlign w:val="center"/>
          </w:tcPr>
          <w:p w14:paraId="01142A5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0.0953</w:t>
            </w:r>
          </w:p>
        </w:tc>
        <w:tc>
          <w:tcPr>
            <w:tcW w:w="1064" w:type="dxa"/>
            <w:tcBorders>
              <w:tl2br w:val="nil"/>
              <w:tr2bl w:val="nil"/>
            </w:tcBorders>
            <w:noWrap w:val="0"/>
            <w:vAlign w:val="center"/>
          </w:tcPr>
          <w:p w14:paraId="3C255215">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0.1291</w:t>
            </w:r>
          </w:p>
        </w:tc>
        <w:tc>
          <w:tcPr>
            <w:tcW w:w="1092" w:type="dxa"/>
            <w:tcBorders>
              <w:tl2br w:val="nil"/>
              <w:tr2bl w:val="nil"/>
            </w:tcBorders>
            <w:noWrap w:val="0"/>
            <w:vAlign w:val="center"/>
          </w:tcPr>
          <w:p w14:paraId="08C1917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0.1602</w:t>
            </w:r>
          </w:p>
        </w:tc>
        <w:tc>
          <w:tcPr>
            <w:tcW w:w="1107" w:type="dxa"/>
            <w:tcBorders>
              <w:tl2br w:val="nil"/>
              <w:tr2bl w:val="nil"/>
            </w:tcBorders>
            <w:noWrap w:val="0"/>
            <w:vAlign w:val="center"/>
          </w:tcPr>
          <w:p w14:paraId="2965087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0.1894</w:t>
            </w:r>
          </w:p>
        </w:tc>
        <w:tc>
          <w:tcPr>
            <w:tcW w:w="1112" w:type="dxa"/>
            <w:tcBorders>
              <w:tl2br w:val="nil"/>
              <w:tr2bl w:val="nil"/>
            </w:tcBorders>
            <w:noWrap w:val="0"/>
            <w:vAlign w:val="center"/>
          </w:tcPr>
          <w:p w14:paraId="3CCA42AD">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0.3186</w:t>
            </w:r>
          </w:p>
        </w:tc>
      </w:tr>
      <w:tr w14:paraId="63988C9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897" w:type="dxa"/>
            <w:tcBorders>
              <w:tl2br w:val="nil"/>
              <w:tr2bl w:val="nil"/>
            </w:tcBorders>
            <w:noWrap w:val="0"/>
            <w:vAlign w:val="center"/>
          </w:tcPr>
          <w:p w14:paraId="2DDD796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15</w:t>
            </w:r>
          </w:p>
        </w:tc>
        <w:tc>
          <w:tcPr>
            <w:tcW w:w="1092" w:type="dxa"/>
            <w:tcBorders>
              <w:tl2br w:val="nil"/>
              <w:tr2bl w:val="nil"/>
            </w:tcBorders>
            <w:noWrap w:val="0"/>
            <w:vAlign w:val="center"/>
          </w:tcPr>
          <w:p w14:paraId="313878C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0.0850</w:t>
            </w:r>
          </w:p>
        </w:tc>
        <w:tc>
          <w:tcPr>
            <w:tcW w:w="1002" w:type="dxa"/>
            <w:tcBorders>
              <w:tl2br w:val="nil"/>
              <w:tr2bl w:val="nil"/>
            </w:tcBorders>
            <w:noWrap w:val="0"/>
            <w:vAlign w:val="center"/>
          </w:tcPr>
          <w:p w14:paraId="083089A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0.1429</w:t>
            </w:r>
          </w:p>
        </w:tc>
        <w:tc>
          <w:tcPr>
            <w:tcW w:w="1064" w:type="dxa"/>
            <w:tcBorders>
              <w:tl2br w:val="nil"/>
              <w:tr2bl w:val="nil"/>
            </w:tcBorders>
            <w:noWrap w:val="0"/>
            <w:vAlign w:val="center"/>
          </w:tcPr>
          <w:p w14:paraId="2675C05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0.1937</w:t>
            </w:r>
          </w:p>
        </w:tc>
        <w:tc>
          <w:tcPr>
            <w:tcW w:w="1092" w:type="dxa"/>
            <w:tcBorders>
              <w:tl2br w:val="nil"/>
              <w:tr2bl w:val="nil"/>
            </w:tcBorders>
            <w:noWrap w:val="0"/>
            <w:vAlign w:val="center"/>
          </w:tcPr>
          <w:p w14:paraId="60856CF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0.2403</w:t>
            </w:r>
          </w:p>
        </w:tc>
        <w:tc>
          <w:tcPr>
            <w:tcW w:w="1107" w:type="dxa"/>
            <w:tcBorders>
              <w:tl2br w:val="nil"/>
              <w:tr2bl w:val="nil"/>
            </w:tcBorders>
            <w:noWrap w:val="0"/>
            <w:vAlign w:val="center"/>
          </w:tcPr>
          <w:p w14:paraId="7818A66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0.2841</w:t>
            </w:r>
          </w:p>
        </w:tc>
        <w:tc>
          <w:tcPr>
            <w:tcW w:w="1112" w:type="dxa"/>
            <w:tcBorders>
              <w:tl2br w:val="nil"/>
              <w:tr2bl w:val="nil"/>
            </w:tcBorders>
            <w:noWrap w:val="0"/>
            <w:vAlign w:val="center"/>
          </w:tcPr>
          <w:p w14:paraId="5D7A5A8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0.4778</w:t>
            </w:r>
          </w:p>
        </w:tc>
      </w:tr>
      <w:tr w14:paraId="2590313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897" w:type="dxa"/>
            <w:tcBorders>
              <w:tl2br w:val="nil"/>
              <w:tr2bl w:val="nil"/>
            </w:tcBorders>
            <w:noWrap w:val="0"/>
            <w:vAlign w:val="center"/>
          </w:tcPr>
          <w:p w14:paraId="7670E64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20</w:t>
            </w:r>
          </w:p>
        </w:tc>
        <w:tc>
          <w:tcPr>
            <w:tcW w:w="1092" w:type="dxa"/>
            <w:tcBorders>
              <w:tl2br w:val="nil"/>
              <w:tr2bl w:val="nil"/>
            </w:tcBorders>
            <w:noWrap w:val="0"/>
            <w:vAlign w:val="center"/>
          </w:tcPr>
          <w:p w14:paraId="6983CE2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0.1133</w:t>
            </w:r>
          </w:p>
        </w:tc>
        <w:tc>
          <w:tcPr>
            <w:tcW w:w="1002" w:type="dxa"/>
            <w:tcBorders>
              <w:tl2br w:val="nil"/>
              <w:tr2bl w:val="nil"/>
            </w:tcBorders>
            <w:noWrap w:val="0"/>
            <w:vAlign w:val="center"/>
          </w:tcPr>
          <w:p w14:paraId="31AA336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0.1905</w:t>
            </w:r>
          </w:p>
        </w:tc>
        <w:tc>
          <w:tcPr>
            <w:tcW w:w="1064" w:type="dxa"/>
            <w:tcBorders>
              <w:tl2br w:val="nil"/>
              <w:tr2bl w:val="nil"/>
            </w:tcBorders>
            <w:noWrap w:val="0"/>
            <w:vAlign w:val="center"/>
          </w:tcPr>
          <w:p w14:paraId="2497846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0.2583</w:t>
            </w:r>
          </w:p>
        </w:tc>
        <w:tc>
          <w:tcPr>
            <w:tcW w:w="1092" w:type="dxa"/>
            <w:tcBorders>
              <w:tl2br w:val="nil"/>
              <w:tr2bl w:val="nil"/>
            </w:tcBorders>
            <w:noWrap w:val="0"/>
            <w:vAlign w:val="center"/>
          </w:tcPr>
          <w:p w14:paraId="2C0C806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0.3204</w:t>
            </w:r>
          </w:p>
        </w:tc>
        <w:tc>
          <w:tcPr>
            <w:tcW w:w="1107" w:type="dxa"/>
            <w:tcBorders>
              <w:tl2br w:val="nil"/>
              <w:tr2bl w:val="nil"/>
            </w:tcBorders>
            <w:noWrap w:val="0"/>
            <w:vAlign w:val="center"/>
          </w:tcPr>
          <w:p w14:paraId="134026C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0.3788</w:t>
            </w:r>
          </w:p>
        </w:tc>
        <w:tc>
          <w:tcPr>
            <w:tcW w:w="1112" w:type="dxa"/>
            <w:tcBorders>
              <w:tl2br w:val="nil"/>
              <w:tr2bl w:val="nil"/>
            </w:tcBorders>
            <w:noWrap w:val="0"/>
            <w:vAlign w:val="center"/>
          </w:tcPr>
          <w:p w14:paraId="6518FA7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0.6371</w:t>
            </w:r>
          </w:p>
        </w:tc>
      </w:tr>
    </w:tbl>
    <w:p w14:paraId="53373DF8">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如果在施工期间对车辆行驶的路面实施洒水抑尘，每天洒水</w:t>
      </w:r>
      <w:r>
        <w:rPr>
          <w:rFonts w:hint="default" w:ascii="Times New Roman" w:hAnsi="Times New Roman" w:eastAsia="Times New Roman" w:cs="Times New Roman"/>
          <w:sz w:val="24"/>
          <w:szCs w:val="24"/>
        </w:rPr>
        <w:t>4</w:t>
      </w:r>
      <w:r>
        <w:rPr>
          <w:rFonts w:hint="default" w:ascii="Times New Roman" w:hAnsi="Times New Roman" w:cs="Times New Roman"/>
          <w:sz w:val="24"/>
          <w:szCs w:val="24"/>
        </w:rPr>
        <w:t>～</w:t>
      </w:r>
      <w:r>
        <w:rPr>
          <w:rFonts w:hint="default" w:ascii="Times New Roman" w:hAnsi="Times New Roman" w:eastAsia="Times New Roman" w:cs="Times New Roman"/>
          <w:sz w:val="24"/>
          <w:szCs w:val="24"/>
        </w:rPr>
        <w:t>5</w:t>
      </w:r>
      <w:r>
        <w:rPr>
          <w:rFonts w:hint="default" w:ascii="Times New Roman" w:hAnsi="Times New Roman" w:cs="Times New Roman"/>
          <w:sz w:val="24"/>
          <w:szCs w:val="24"/>
        </w:rPr>
        <w:t>次，可使扬尘减少</w:t>
      </w:r>
      <w:r>
        <w:rPr>
          <w:rFonts w:hint="default" w:ascii="Times New Roman" w:hAnsi="Times New Roman" w:eastAsia="Times New Roman" w:cs="Times New Roman"/>
          <w:sz w:val="24"/>
          <w:szCs w:val="24"/>
        </w:rPr>
        <w:t>70%</w:t>
      </w:r>
      <w:r>
        <w:rPr>
          <w:rFonts w:hint="default" w:ascii="Times New Roman" w:hAnsi="Times New Roman" w:cs="Times New Roman"/>
          <w:sz w:val="24"/>
          <w:szCs w:val="24"/>
        </w:rPr>
        <w:t>左右。施工场地洒水抑尘的试验结果见表</w:t>
      </w:r>
      <w:r>
        <w:rPr>
          <w:rFonts w:hint="eastAsia" w:cs="Times New Roman"/>
          <w:sz w:val="24"/>
          <w:szCs w:val="24"/>
          <w:lang w:val="en-US" w:eastAsia="zh-CN"/>
        </w:rPr>
        <w:t>5-2</w:t>
      </w:r>
      <w:r>
        <w:rPr>
          <w:rFonts w:hint="default" w:ascii="Times New Roman" w:hAnsi="Times New Roman" w:cs="Times New Roman"/>
          <w:sz w:val="24"/>
          <w:szCs w:val="24"/>
        </w:rPr>
        <w:t>，结果表明实施每天洒水</w:t>
      </w:r>
      <w:r>
        <w:rPr>
          <w:rFonts w:hint="default" w:ascii="Times New Roman" w:hAnsi="Times New Roman" w:eastAsia="Times New Roman" w:cs="Times New Roman"/>
          <w:sz w:val="24"/>
          <w:szCs w:val="24"/>
        </w:rPr>
        <w:t>4</w:t>
      </w:r>
      <w:r>
        <w:rPr>
          <w:rFonts w:hint="default" w:ascii="Times New Roman" w:hAnsi="Times New Roman" w:cs="Times New Roman"/>
          <w:sz w:val="24"/>
          <w:szCs w:val="24"/>
        </w:rPr>
        <w:t>～</w:t>
      </w:r>
      <w:r>
        <w:rPr>
          <w:rFonts w:hint="default" w:ascii="Times New Roman" w:hAnsi="Times New Roman" w:eastAsia="Times New Roman" w:cs="Times New Roman"/>
          <w:sz w:val="24"/>
          <w:szCs w:val="24"/>
        </w:rPr>
        <w:t>5</w:t>
      </w:r>
      <w:r>
        <w:rPr>
          <w:rFonts w:hint="default" w:ascii="Times New Roman" w:hAnsi="Times New Roman" w:cs="Times New Roman"/>
          <w:sz w:val="24"/>
          <w:szCs w:val="24"/>
        </w:rPr>
        <w:t>次进行抑尘，可有效地控制施工扬尘，可将</w:t>
      </w:r>
      <w:r>
        <w:rPr>
          <w:rFonts w:hint="default" w:ascii="Times New Roman" w:hAnsi="Times New Roman" w:eastAsia="Times New Roman" w:cs="Times New Roman"/>
          <w:sz w:val="24"/>
          <w:szCs w:val="24"/>
        </w:rPr>
        <w:t>TSP</w:t>
      </w:r>
      <w:r>
        <w:rPr>
          <w:rFonts w:hint="default" w:ascii="Times New Roman" w:hAnsi="Times New Roman" w:cs="Times New Roman"/>
          <w:sz w:val="24"/>
          <w:szCs w:val="24"/>
        </w:rPr>
        <w:t>污染距离缩小到</w:t>
      </w:r>
      <w:r>
        <w:rPr>
          <w:rFonts w:hint="default" w:ascii="Times New Roman" w:hAnsi="Times New Roman" w:eastAsia="Times New Roman" w:cs="Times New Roman"/>
          <w:sz w:val="24"/>
          <w:szCs w:val="24"/>
        </w:rPr>
        <w:t>20</w:t>
      </w:r>
      <w:r>
        <w:rPr>
          <w:rFonts w:hint="default" w:ascii="Times New Roman" w:hAnsi="Times New Roman" w:cs="Times New Roman"/>
          <w:sz w:val="24"/>
          <w:szCs w:val="24"/>
        </w:rPr>
        <w:t>～</w:t>
      </w:r>
      <w:r>
        <w:rPr>
          <w:rFonts w:hint="default" w:ascii="Times New Roman" w:hAnsi="Times New Roman" w:eastAsia="Times New Roman" w:cs="Times New Roman"/>
          <w:sz w:val="24"/>
          <w:szCs w:val="24"/>
        </w:rPr>
        <w:t>50m</w:t>
      </w:r>
      <w:r>
        <w:rPr>
          <w:rFonts w:hint="default" w:ascii="Times New Roman" w:hAnsi="Times New Roman" w:cs="Times New Roman"/>
          <w:sz w:val="24"/>
          <w:szCs w:val="24"/>
        </w:rPr>
        <w:t>范围。</w:t>
      </w:r>
    </w:p>
    <w:p w14:paraId="0109887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b/>
          <w:bCs/>
        </w:rPr>
      </w:pPr>
      <w:r>
        <w:rPr>
          <w:b/>
          <w:bCs/>
        </w:rPr>
        <w:t>表</w:t>
      </w:r>
      <w:r>
        <w:rPr>
          <w:rFonts w:hint="eastAsia"/>
          <w:b/>
          <w:bCs/>
        </w:rPr>
        <w:t>5</w:t>
      </w:r>
      <w:r>
        <w:rPr>
          <w:rFonts w:hint="eastAsia"/>
          <w:b/>
          <w:bCs/>
          <w:lang w:val="en-US" w:eastAsia="zh-CN"/>
        </w:rPr>
        <w:t>.1</w:t>
      </w:r>
      <w:r>
        <w:rPr>
          <w:rFonts w:hint="eastAsia"/>
          <w:b/>
          <w:bCs/>
        </w:rPr>
        <w:t>-</w:t>
      </w:r>
      <w:r>
        <w:rPr>
          <w:rFonts w:hint="eastAsia"/>
          <w:b/>
          <w:bCs/>
          <w:lang w:val="en-US" w:eastAsia="zh-CN"/>
        </w:rPr>
        <w:t>2</w:t>
      </w:r>
      <w:r>
        <w:rPr>
          <w:rFonts w:hint="eastAsia"/>
          <w:b/>
          <w:bCs/>
        </w:rPr>
        <w:t xml:space="preserve">    施工场地洒水抑尘试验结果</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976"/>
        <w:gridCol w:w="1312"/>
        <w:gridCol w:w="1270"/>
        <w:gridCol w:w="1270"/>
        <w:gridCol w:w="1270"/>
        <w:gridCol w:w="1272"/>
      </w:tblGrid>
      <w:tr w14:paraId="34D14E1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84" w:type="dxa"/>
            <w:gridSpan w:val="2"/>
            <w:tcBorders>
              <w:tl2br w:val="nil"/>
              <w:tr2bl w:val="nil"/>
            </w:tcBorders>
            <w:noWrap w:val="0"/>
            <w:vAlign w:val="center"/>
          </w:tcPr>
          <w:p w14:paraId="043AA18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距离（</w:t>
            </w:r>
            <w:r>
              <w:rPr>
                <w:rFonts w:hint="default" w:ascii="Times New Roman" w:hAnsi="Times New Roman" w:cs="Times New Roman"/>
                <w:sz w:val="21"/>
                <w:szCs w:val="24"/>
              </w:rPr>
              <w:t>m</w:t>
            </w:r>
            <w:r>
              <w:rPr>
                <w:rFonts w:hint="default" w:ascii="Times New Roman" w:hAnsi="Times New Roman" w:eastAsia="宋体" w:cs="Times New Roman"/>
                <w:sz w:val="21"/>
                <w:szCs w:val="24"/>
              </w:rPr>
              <w:t>）</w:t>
            </w:r>
          </w:p>
        </w:tc>
        <w:tc>
          <w:tcPr>
            <w:tcW w:w="1270" w:type="dxa"/>
            <w:tcBorders>
              <w:tl2br w:val="nil"/>
              <w:tr2bl w:val="nil"/>
            </w:tcBorders>
            <w:noWrap w:val="0"/>
            <w:vAlign w:val="center"/>
          </w:tcPr>
          <w:p w14:paraId="0F213D3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w:t>
            </w:r>
          </w:p>
        </w:tc>
        <w:tc>
          <w:tcPr>
            <w:tcW w:w="1270" w:type="dxa"/>
            <w:tcBorders>
              <w:tl2br w:val="nil"/>
              <w:tr2bl w:val="nil"/>
            </w:tcBorders>
            <w:noWrap w:val="0"/>
            <w:vAlign w:val="center"/>
          </w:tcPr>
          <w:p w14:paraId="612439F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20</w:t>
            </w:r>
          </w:p>
        </w:tc>
        <w:tc>
          <w:tcPr>
            <w:tcW w:w="1270" w:type="dxa"/>
            <w:tcBorders>
              <w:tl2br w:val="nil"/>
              <w:tr2bl w:val="nil"/>
            </w:tcBorders>
            <w:noWrap w:val="0"/>
            <w:vAlign w:val="center"/>
          </w:tcPr>
          <w:p w14:paraId="0E95846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50</w:t>
            </w:r>
          </w:p>
        </w:tc>
        <w:tc>
          <w:tcPr>
            <w:tcW w:w="1272" w:type="dxa"/>
            <w:tcBorders>
              <w:tl2br w:val="nil"/>
              <w:tr2bl w:val="nil"/>
            </w:tcBorders>
            <w:noWrap w:val="0"/>
            <w:vAlign w:val="center"/>
          </w:tcPr>
          <w:p w14:paraId="1AE59DA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w:t>
            </w:r>
          </w:p>
        </w:tc>
      </w:tr>
      <w:tr w14:paraId="446D49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973" w:type="dxa"/>
            <w:vMerge w:val="restart"/>
            <w:tcBorders>
              <w:tl2br w:val="nil"/>
              <w:tr2bl w:val="nil"/>
            </w:tcBorders>
            <w:noWrap w:val="0"/>
            <w:vAlign w:val="center"/>
          </w:tcPr>
          <w:p w14:paraId="33E027B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TSP</w:t>
            </w:r>
            <w:r>
              <w:rPr>
                <w:rFonts w:hint="default" w:ascii="Times New Roman" w:hAnsi="Times New Roman" w:eastAsia="宋体" w:cs="Times New Roman"/>
                <w:sz w:val="21"/>
                <w:szCs w:val="24"/>
              </w:rPr>
              <w:t>小时平均浓度</w:t>
            </w:r>
          </w:p>
          <w:p w14:paraId="5200292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w:t>
            </w:r>
            <w:r>
              <w:rPr>
                <w:rFonts w:hint="default" w:ascii="Times New Roman" w:hAnsi="Times New Roman" w:cs="Times New Roman"/>
                <w:sz w:val="21"/>
                <w:szCs w:val="24"/>
              </w:rPr>
              <w:t>mg/m</w:t>
            </w:r>
            <w:r>
              <w:rPr>
                <w:rFonts w:hint="default" w:ascii="Times New Roman" w:hAnsi="Times New Roman" w:cs="Times New Roman"/>
                <w:sz w:val="13"/>
                <w:szCs w:val="24"/>
              </w:rPr>
              <w:t>3</w:t>
            </w:r>
            <w:r>
              <w:rPr>
                <w:rFonts w:hint="default" w:ascii="Times New Roman" w:hAnsi="Times New Roman" w:eastAsia="宋体" w:cs="Times New Roman"/>
                <w:sz w:val="21"/>
                <w:szCs w:val="24"/>
              </w:rPr>
              <w:t>）</w:t>
            </w:r>
          </w:p>
        </w:tc>
        <w:tc>
          <w:tcPr>
            <w:tcW w:w="1311" w:type="dxa"/>
            <w:tcBorders>
              <w:tl2br w:val="nil"/>
              <w:tr2bl w:val="nil"/>
            </w:tcBorders>
            <w:noWrap w:val="0"/>
            <w:vAlign w:val="center"/>
          </w:tcPr>
          <w:p w14:paraId="13A52AB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不洒水</w:t>
            </w:r>
          </w:p>
        </w:tc>
        <w:tc>
          <w:tcPr>
            <w:tcW w:w="1270" w:type="dxa"/>
            <w:tcBorders>
              <w:tl2br w:val="nil"/>
              <w:tr2bl w:val="nil"/>
            </w:tcBorders>
            <w:noWrap w:val="0"/>
            <w:vAlign w:val="center"/>
          </w:tcPr>
          <w:p w14:paraId="469A1A7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10.14</w:t>
            </w:r>
          </w:p>
        </w:tc>
        <w:tc>
          <w:tcPr>
            <w:tcW w:w="1270" w:type="dxa"/>
            <w:tcBorders>
              <w:tl2br w:val="nil"/>
              <w:tr2bl w:val="nil"/>
            </w:tcBorders>
            <w:noWrap w:val="0"/>
            <w:vAlign w:val="center"/>
          </w:tcPr>
          <w:p w14:paraId="17CBC47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2.89</w:t>
            </w:r>
          </w:p>
        </w:tc>
        <w:tc>
          <w:tcPr>
            <w:tcW w:w="1270" w:type="dxa"/>
            <w:tcBorders>
              <w:tl2br w:val="nil"/>
              <w:tr2bl w:val="nil"/>
            </w:tcBorders>
            <w:noWrap w:val="0"/>
            <w:vAlign w:val="center"/>
          </w:tcPr>
          <w:p w14:paraId="2D95A17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1.15</w:t>
            </w:r>
          </w:p>
        </w:tc>
        <w:tc>
          <w:tcPr>
            <w:tcW w:w="1272" w:type="dxa"/>
            <w:tcBorders>
              <w:tl2br w:val="nil"/>
              <w:tr2bl w:val="nil"/>
            </w:tcBorders>
            <w:noWrap w:val="0"/>
            <w:vAlign w:val="center"/>
          </w:tcPr>
          <w:p w14:paraId="0B1AC2F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0.86</w:t>
            </w:r>
          </w:p>
        </w:tc>
      </w:tr>
      <w:tr w14:paraId="6911037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973" w:type="dxa"/>
            <w:vMerge w:val="continue"/>
            <w:tcBorders>
              <w:tl2br w:val="nil"/>
              <w:tr2bl w:val="nil"/>
            </w:tcBorders>
            <w:noWrap w:val="0"/>
            <w:vAlign w:val="center"/>
          </w:tcPr>
          <w:p w14:paraId="56BEEA76">
            <w:pPr>
              <w:pStyle w:val="16"/>
              <w:keepNext w:val="0"/>
              <w:keepLines w:val="0"/>
              <w:pageBreakBefore w:val="0"/>
              <w:widowControl/>
              <w:tabs>
                <w:tab w:val="left" w:pos="3265"/>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z w:val="2"/>
                <w:szCs w:val="24"/>
              </w:rPr>
            </w:pPr>
          </w:p>
        </w:tc>
        <w:tc>
          <w:tcPr>
            <w:tcW w:w="1311" w:type="dxa"/>
            <w:tcBorders>
              <w:tl2br w:val="nil"/>
              <w:tr2bl w:val="nil"/>
            </w:tcBorders>
            <w:noWrap w:val="0"/>
            <w:vAlign w:val="center"/>
          </w:tcPr>
          <w:p w14:paraId="0D9FCF2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洒水</w:t>
            </w:r>
          </w:p>
        </w:tc>
        <w:tc>
          <w:tcPr>
            <w:tcW w:w="1270" w:type="dxa"/>
            <w:tcBorders>
              <w:tl2br w:val="nil"/>
              <w:tr2bl w:val="nil"/>
            </w:tcBorders>
            <w:noWrap w:val="0"/>
            <w:vAlign w:val="center"/>
          </w:tcPr>
          <w:p w14:paraId="3F3D626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2.01</w:t>
            </w:r>
          </w:p>
        </w:tc>
        <w:tc>
          <w:tcPr>
            <w:tcW w:w="1270" w:type="dxa"/>
            <w:tcBorders>
              <w:tl2br w:val="nil"/>
              <w:tr2bl w:val="nil"/>
            </w:tcBorders>
            <w:noWrap w:val="0"/>
            <w:vAlign w:val="center"/>
          </w:tcPr>
          <w:p w14:paraId="6EE6F70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1.40</w:t>
            </w:r>
          </w:p>
        </w:tc>
        <w:tc>
          <w:tcPr>
            <w:tcW w:w="1270" w:type="dxa"/>
            <w:tcBorders>
              <w:tl2br w:val="nil"/>
              <w:tr2bl w:val="nil"/>
            </w:tcBorders>
            <w:noWrap w:val="0"/>
            <w:vAlign w:val="center"/>
          </w:tcPr>
          <w:p w14:paraId="78E27CF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0.67</w:t>
            </w:r>
          </w:p>
        </w:tc>
        <w:tc>
          <w:tcPr>
            <w:tcW w:w="1272" w:type="dxa"/>
            <w:tcBorders>
              <w:tl2br w:val="nil"/>
              <w:tr2bl w:val="nil"/>
            </w:tcBorders>
            <w:noWrap w:val="0"/>
            <w:vAlign w:val="center"/>
          </w:tcPr>
          <w:p w14:paraId="7BE5EEC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0.60</w:t>
            </w:r>
          </w:p>
        </w:tc>
      </w:tr>
    </w:tbl>
    <w:p w14:paraId="193345E8">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因此，限速行驶及保持路面清洁，同时适当洒水是减少汽车扬尘的有效手段。</w:t>
      </w:r>
    </w:p>
    <w:p w14:paraId="02042261">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②</w:t>
      </w:r>
      <w:r>
        <w:rPr>
          <w:rFonts w:hint="default" w:ascii="Times New Roman" w:hAnsi="Times New Roman" w:cs="Times New Roman"/>
          <w:sz w:val="24"/>
          <w:szCs w:val="24"/>
        </w:rPr>
        <w:t>风力扬尘</w:t>
      </w:r>
    </w:p>
    <w:p w14:paraId="0198CFE9">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mc:AlternateContent>
          <mc:Choice Requires="wps">
            <w:drawing>
              <wp:anchor distT="0" distB="0" distL="114300" distR="114300" simplePos="0" relativeHeight="251693056" behindDoc="0" locked="0" layoutInCell="1" allowOverlap="1">
                <wp:simplePos x="0" y="0"/>
                <wp:positionH relativeFrom="page">
                  <wp:posOffset>4013835</wp:posOffset>
                </wp:positionH>
                <wp:positionV relativeFrom="paragraph">
                  <wp:posOffset>1214755</wp:posOffset>
                </wp:positionV>
                <wp:extent cx="45720" cy="100965"/>
                <wp:effectExtent l="0" t="0" r="0" b="0"/>
                <wp:wrapNone/>
                <wp:docPr id="185" name="文本框 185"/>
                <wp:cNvGraphicFramePr/>
                <a:graphic xmlns:a="http://schemas.openxmlformats.org/drawingml/2006/main">
                  <a:graphicData uri="http://schemas.microsoft.com/office/word/2010/wordprocessingShape">
                    <wps:wsp>
                      <wps:cNvSpPr txBox="1"/>
                      <wps:spPr>
                        <a:xfrm>
                          <a:off x="0" y="0"/>
                          <a:ext cx="45720" cy="100965"/>
                        </a:xfrm>
                        <a:prstGeom prst="rect">
                          <a:avLst/>
                        </a:prstGeom>
                        <a:noFill/>
                        <a:ln>
                          <a:noFill/>
                        </a:ln>
                        <a:effectLst/>
                      </wps:spPr>
                      <wps:txbx>
                        <w:txbxContent>
                          <w:p w14:paraId="54BBC9C8">
                            <w:pPr>
                              <w:pStyle w:val="16"/>
                              <w:kinsoku w:val="0"/>
                              <w:overflowPunct w:val="0"/>
                              <w:spacing w:line="158" w:lineRule="exact"/>
                              <w:rPr>
                                <w:rFonts w:hint="eastAsia" w:ascii="Times New Roman" w:hAnsi="Times New Roman" w:eastAsia="Times New Roman"/>
                                <w:w w:val="102"/>
                                <w:sz w:val="14"/>
                                <w:szCs w:val="24"/>
                              </w:rPr>
                            </w:pPr>
                            <w:r>
                              <w:rPr>
                                <w:rFonts w:hint="eastAsia" w:ascii="Times New Roman" w:hAnsi="Times New Roman" w:eastAsia="Times New Roman"/>
                                <w:w w:val="102"/>
                                <w:sz w:val="14"/>
                                <w:szCs w:val="24"/>
                              </w:rPr>
                              <w:t>0</w:t>
                            </w:r>
                          </w:p>
                        </w:txbxContent>
                      </wps:txbx>
                      <wps:bodyPr vert="horz" wrap="square" lIns="0" tIns="0" rIns="0" bIns="0" upright="1"/>
                    </wps:wsp>
                  </a:graphicData>
                </a:graphic>
              </wp:anchor>
            </w:drawing>
          </mc:Choice>
          <mc:Fallback>
            <w:pict>
              <v:shape id="_x0000_s1026" o:spid="_x0000_s1026" o:spt="202" type="#_x0000_t202" style="position:absolute;left:0pt;margin-left:316.05pt;margin-top:95.65pt;height:7.95pt;width:3.6pt;mso-position-horizontal-relative:page;z-index:251693056;mso-width-relative:page;mso-height-relative:page;" filled="f" stroked="f" coordsize="21600,21600" o:gfxdata="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XTEZS2QAAAAsBAAAPAAAAAAAAAAEAIAAA&#10;ACIAAABkcnMvZG93bnJldi54bWxQSwECFAAUAAAACACHTuJAHeWfgdIBAACcAwAADgAAAAAAAAAB&#10;ACAAAAAoAQAAZHJzL2Uyb0RvYy54bWxQSwUGAAAAAAYABgBZAQAAbAUAAAAA&#10;">
                <v:fill on="f" focussize="0,0"/>
                <v:stroke on="f"/>
                <v:imagedata o:title=""/>
                <o:lock v:ext="edit" aspectratio="f"/>
                <v:textbox inset="0mm,0mm,0mm,0mm">
                  <w:txbxContent>
                    <w:p w14:paraId="54BBC9C8">
                      <w:pPr>
                        <w:pStyle w:val="16"/>
                        <w:kinsoku w:val="0"/>
                        <w:overflowPunct w:val="0"/>
                        <w:spacing w:line="158" w:lineRule="exact"/>
                        <w:rPr>
                          <w:rFonts w:hint="eastAsia" w:ascii="Times New Roman" w:hAnsi="Times New Roman" w:eastAsia="Times New Roman"/>
                          <w:w w:val="102"/>
                          <w:sz w:val="14"/>
                          <w:szCs w:val="24"/>
                        </w:rPr>
                      </w:pPr>
                      <w:r>
                        <w:rPr>
                          <w:rFonts w:hint="eastAsia" w:ascii="Times New Roman" w:hAnsi="Times New Roman" w:eastAsia="Times New Roman"/>
                          <w:w w:val="102"/>
                          <w:sz w:val="14"/>
                          <w:szCs w:val="24"/>
                        </w:rPr>
                        <w:t>0</w:t>
                      </w:r>
                    </w:p>
                  </w:txbxContent>
                </v:textbox>
              </v:shape>
            </w:pict>
          </mc:Fallback>
        </mc:AlternateContent>
      </w:r>
      <w:r>
        <w:rPr>
          <w:rFonts w:hint="default" w:ascii="Times New Roman" w:hAnsi="Times New Roman" w:cs="Times New Roman"/>
          <w:sz w:val="24"/>
          <w:szCs w:val="24"/>
        </w:rPr>
        <w:t>施工期扬尘的另一个主要因素是露天堆场和裸露场地的风力扬尘。由于施工的需要，一些建材需露天堆放；一些施工点表层土壤需人工开挖、堆放，在气候干燥又有风的情况下，会产生扬尘，其扬尘可按堆场起尘的经验公式计算：</w:t>
      </w:r>
    </w:p>
    <w:p w14:paraId="0E53012B">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宋体" w:cs="Times New Roman"/>
          <w:sz w:val="24"/>
          <w:szCs w:val="24"/>
          <w:vertAlign w:val="superscript"/>
          <w:lang w:val="en-US" w:eastAsia="zh-CN"/>
        </w:rPr>
      </w:pPr>
      <w:r>
        <w:rPr>
          <w:rFonts w:hint="default" w:ascii="Times New Roman" w:hAnsi="Times New Roman" w:eastAsia="宋体" w:cs="Times New Roman"/>
          <w:sz w:val="24"/>
          <w:szCs w:val="24"/>
          <w:lang w:val="en-US" w:eastAsia="zh-CN"/>
        </w:rPr>
        <w:t>Q=2.1（V</w:t>
      </w:r>
      <w:r>
        <w:rPr>
          <w:rFonts w:hint="default" w:ascii="Times New Roman" w:hAnsi="Times New Roman" w:eastAsia="宋体" w:cs="Times New Roman"/>
          <w:sz w:val="24"/>
          <w:szCs w:val="24"/>
          <w:vertAlign w:val="subscript"/>
          <w:lang w:val="en-US" w:eastAsia="zh-CN"/>
        </w:rPr>
        <w:t>50</w:t>
      </w:r>
      <w:r>
        <w:rPr>
          <w:rFonts w:hint="default" w:ascii="Times New Roman" w:hAnsi="Times New Roman" w:eastAsia="宋体" w:cs="Times New Roman"/>
          <w:sz w:val="24"/>
          <w:szCs w:val="24"/>
          <w:lang w:val="en-US" w:eastAsia="zh-CN"/>
        </w:rPr>
        <w:t>－V</w:t>
      </w:r>
      <w:r>
        <w:rPr>
          <w:rFonts w:hint="default" w:ascii="Times New Roman" w:hAnsi="Times New Roman" w:eastAsia="宋体" w:cs="Times New Roman"/>
          <w:sz w:val="24"/>
          <w:szCs w:val="24"/>
          <w:vertAlign w:val="subscript"/>
          <w:lang w:val="en-US" w:eastAsia="zh-CN"/>
        </w:rPr>
        <w:t>0</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e</w:t>
      </w:r>
      <w:r>
        <w:rPr>
          <w:rFonts w:hint="default" w:ascii="Times New Roman" w:hAnsi="Times New Roman" w:eastAsia="宋体" w:cs="Times New Roman"/>
          <w:sz w:val="24"/>
          <w:szCs w:val="24"/>
          <w:vertAlign w:val="superscript"/>
          <w:lang w:val="en-US" w:eastAsia="zh-CN"/>
        </w:rPr>
        <w:t>-1.023</w:t>
      </w:r>
    </w:p>
    <w:p w14:paraId="6BB44804">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式中：</w:t>
      </w:r>
      <w:r>
        <w:rPr>
          <w:rFonts w:hint="default" w:ascii="Times New Roman" w:hAnsi="Times New Roman" w:eastAsia="Times New Roman" w:cs="Times New Roman"/>
          <w:sz w:val="24"/>
          <w:szCs w:val="24"/>
        </w:rPr>
        <w:t>Q——</w:t>
      </w:r>
      <w:r>
        <w:rPr>
          <w:rFonts w:hint="default" w:ascii="Times New Roman" w:hAnsi="Times New Roman" w:cs="Times New Roman"/>
          <w:sz w:val="24"/>
          <w:szCs w:val="24"/>
        </w:rPr>
        <w:t>起尘量，</w:t>
      </w:r>
      <w:r>
        <w:rPr>
          <w:rFonts w:hint="default" w:ascii="Times New Roman" w:hAnsi="Times New Roman" w:eastAsia="Times New Roman" w:cs="Times New Roman"/>
          <w:sz w:val="24"/>
          <w:szCs w:val="24"/>
        </w:rPr>
        <w:t>kg/</w:t>
      </w:r>
      <w:r>
        <w:rPr>
          <w:rFonts w:hint="default" w:ascii="Times New Roman" w:hAnsi="Times New Roman" w:cs="Times New Roman"/>
          <w:sz w:val="24"/>
          <w:szCs w:val="24"/>
        </w:rPr>
        <w:t>吨</w:t>
      </w:r>
      <w:r>
        <w:rPr>
          <w:rFonts w:hint="default" w:ascii="Times New Roman" w:hAnsi="Times New Roman" w:eastAsia="Times New Roman" w:cs="Times New Roman"/>
          <w:sz w:val="24"/>
          <w:szCs w:val="24"/>
        </w:rPr>
        <w:t>·</w:t>
      </w:r>
      <w:r>
        <w:rPr>
          <w:rFonts w:hint="default" w:ascii="Times New Roman" w:hAnsi="Times New Roman" w:cs="Times New Roman"/>
          <w:sz w:val="24"/>
          <w:szCs w:val="24"/>
        </w:rPr>
        <w:t>年；</w:t>
      </w:r>
    </w:p>
    <w:p w14:paraId="096C025D">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textAlignment w:val="auto"/>
        <w:rPr>
          <w:rFonts w:hint="default" w:ascii="Times New Roman" w:hAnsi="Times New Roman" w:cs="Times New Roman"/>
          <w:sz w:val="24"/>
          <w:szCs w:val="24"/>
        </w:rPr>
      </w:pPr>
      <w:r>
        <w:rPr>
          <w:rFonts w:hint="default" w:ascii="Times New Roman" w:hAnsi="Times New Roman" w:eastAsia="Times New Roman" w:cs="Times New Roman"/>
          <w:sz w:val="24"/>
          <w:szCs w:val="24"/>
        </w:rPr>
        <w:t>V</w:t>
      </w:r>
      <w:r>
        <w:rPr>
          <w:rFonts w:hint="default" w:ascii="Times New Roman" w:hAnsi="Times New Roman" w:eastAsia="Times New Roman" w:cs="Times New Roman"/>
          <w:sz w:val="15"/>
          <w:szCs w:val="24"/>
        </w:rPr>
        <w:t>50</w:t>
      </w:r>
      <w:r>
        <w:rPr>
          <w:rFonts w:hint="default" w:ascii="Times New Roman" w:hAnsi="Times New Roman" w:eastAsia="Times New Roman" w:cs="Times New Roman"/>
          <w:sz w:val="24"/>
          <w:szCs w:val="24"/>
        </w:rPr>
        <w:t>——</w:t>
      </w:r>
      <w:r>
        <w:rPr>
          <w:rFonts w:hint="default" w:ascii="Times New Roman" w:hAnsi="Times New Roman" w:cs="Times New Roman"/>
          <w:sz w:val="24"/>
          <w:szCs w:val="24"/>
        </w:rPr>
        <w:t>距地面</w:t>
      </w:r>
      <w:r>
        <w:rPr>
          <w:rFonts w:hint="default" w:ascii="Times New Roman" w:hAnsi="Times New Roman" w:eastAsia="Times New Roman" w:cs="Times New Roman"/>
          <w:sz w:val="24"/>
          <w:szCs w:val="24"/>
        </w:rPr>
        <w:t>50m</w:t>
      </w:r>
      <w:r>
        <w:rPr>
          <w:rFonts w:hint="default" w:ascii="Times New Roman" w:hAnsi="Times New Roman" w:cs="Times New Roman"/>
          <w:sz w:val="24"/>
          <w:szCs w:val="24"/>
        </w:rPr>
        <w:t>处风速，</w:t>
      </w:r>
      <w:r>
        <w:rPr>
          <w:rFonts w:hint="default" w:ascii="Times New Roman" w:hAnsi="Times New Roman" w:eastAsia="Times New Roman" w:cs="Times New Roman"/>
          <w:sz w:val="24"/>
          <w:szCs w:val="24"/>
        </w:rPr>
        <w:t>m/s</w:t>
      </w:r>
      <w:r>
        <w:rPr>
          <w:rFonts w:hint="default" w:ascii="Times New Roman" w:hAnsi="Times New Roman" w:cs="Times New Roman"/>
          <w:sz w:val="24"/>
          <w:szCs w:val="24"/>
        </w:rPr>
        <w:t>；</w:t>
      </w:r>
    </w:p>
    <w:p w14:paraId="40D93726">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V0——起尘风速，m/s；</w:t>
      </w:r>
    </w:p>
    <w:p w14:paraId="684C8D69">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W——尘粒的含水率，%。</w:t>
      </w:r>
    </w:p>
    <w:p w14:paraId="7617D620">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V0与粒径和含水率有关，因此，减少露天堆放和保证一定的含水率及减少裸露地面是减少风力起尘的有效手段。</w:t>
      </w:r>
    </w:p>
    <w:p w14:paraId="66F5B2CB">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尘粒在空气中的传播扩散情况与风速等气象条件有关，也与尘粒本身的沉降速度有关。以沙尘土为例，不同粒径的尘粒的沉降速度见</w:t>
      </w:r>
      <w:r>
        <w:rPr>
          <w:rFonts w:hint="default" w:ascii="Times New Roman" w:hAnsi="Times New Roman" w:cs="Times New Roman"/>
          <w:sz w:val="24"/>
          <w:szCs w:val="24"/>
          <w:lang w:val="en-US" w:eastAsia="zh-CN"/>
        </w:rPr>
        <w:t>下表</w:t>
      </w:r>
      <w:r>
        <w:rPr>
          <w:rFonts w:hint="default" w:ascii="Times New Roman" w:hAnsi="Times New Roman" w:cs="Times New Roman"/>
          <w:sz w:val="24"/>
          <w:szCs w:val="24"/>
        </w:rPr>
        <w:t>。</w:t>
      </w:r>
    </w:p>
    <w:p w14:paraId="4464B84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b/>
          <w:bCs/>
        </w:rPr>
        <w:t>表</w:t>
      </w:r>
      <w:r>
        <w:rPr>
          <w:rFonts w:hint="eastAsia"/>
          <w:b/>
          <w:bCs/>
        </w:rPr>
        <w:t>5</w:t>
      </w:r>
      <w:r>
        <w:rPr>
          <w:rFonts w:hint="eastAsia"/>
          <w:b/>
          <w:bCs/>
          <w:lang w:val="en-US" w:eastAsia="zh-CN"/>
        </w:rPr>
        <w:t>.1</w:t>
      </w:r>
      <w:r>
        <w:rPr>
          <w:rFonts w:hint="eastAsia"/>
          <w:b/>
          <w:bCs/>
        </w:rPr>
        <w:t>-</w:t>
      </w:r>
      <w:r>
        <w:rPr>
          <w:rFonts w:hint="eastAsia"/>
          <w:b/>
          <w:bCs/>
          <w:lang w:val="en-US" w:eastAsia="zh-CN"/>
        </w:rPr>
        <w:t>3</w:t>
      </w:r>
      <w:r>
        <w:rPr>
          <w:rFonts w:hint="eastAsia"/>
          <w:b/>
          <w:bCs/>
        </w:rPr>
        <w:t xml:space="preserve">    不同粒径尘粒的沉降速度</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794"/>
        <w:gridCol w:w="940"/>
        <w:gridCol w:w="941"/>
        <w:gridCol w:w="941"/>
        <w:gridCol w:w="941"/>
        <w:gridCol w:w="941"/>
        <w:gridCol w:w="941"/>
        <w:gridCol w:w="934"/>
      </w:tblGrid>
      <w:tr w14:paraId="660904A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57147C9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粒径，</w:t>
            </w:r>
            <w:r>
              <w:rPr>
                <w:rFonts w:hint="default" w:ascii="Times New Roman" w:hAnsi="Times New Roman" w:cs="Times New Roman"/>
                <w:b/>
                <w:bCs/>
                <w:sz w:val="21"/>
                <w:szCs w:val="24"/>
              </w:rPr>
              <w:t>μm</w:t>
            </w:r>
          </w:p>
        </w:tc>
        <w:tc>
          <w:tcPr>
            <w:tcW w:w="938" w:type="dxa"/>
            <w:tcBorders>
              <w:tl2br w:val="nil"/>
              <w:tr2bl w:val="nil"/>
            </w:tcBorders>
            <w:noWrap w:val="0"/>
            <w:vAlign w:val="center"/>
          </w:tcPr>
          <w:p w14:paraId="6F29AD2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w:t>
            </w:r>
          </w:p>
        </w:tc>
        <w:tc>
          <w:tcPr>
            <w:tcW w:w="940" w:type="dxa"/>
            <w:tcBorders>
              <w:tl2br w:val="nil"/>
              <w:tr2bl w:val="nil"/>
            </w:tcBorders>
            <w:noWrap w:val="0"/>
            <w:vAlign w:val="center"/>
          </w:tcPr>
          <w:p w14:paraId="73E14F8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20</w:t>
            </w:r>
          </w:p>
        </w:tc>
        <w:tc>
          <w:tcPr>
            <w:tcW w:w="940" w:type="dxa"/>
            <w:tcBorders>
              <w:tl2br w:val="nil"/>
              <w:tr2bl w:val="nil"/>
            </w:tcBorders>
            <w:noWrap w:val="0"/>
            <w:vAlign w:val="center"/>
          </w:tcPr>
          <w:p w14:paraId="14A048A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30</w:t>
            </w:r>
          </w:p>
        </w:tc>
        <w:tc>
          <w:tcPr>
            <w:tcW w:w="940" w:type="dxa"/>
            <w:tcBorders>
              <w:tl2br w:val="nil"/>
              <w:tr2bl w:val="nil"/>
            </w:tcBorders>
            <w:noWrap w:val="0"/>
            <w:vAlign w:val="center"/>
          </w:tcPr>
          <w:p w14:paraId="5422652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40</w:t>
            </w:r>
          </w:p>
        </w:tc>
        <w:tc>
          <w:tcPr>
            <w:tcW w:w="940" w:type="dxa"/>
            <w:tcBorders>
              <w:tl2br w:val="nil"/>
              <w:tr2bl w:val="nil"/>
            </w:tcBorders>
            <w:noWrap w:val="0"/>
            <w:vAlign w:val="center"/>
          </w:tcPr>
          <w:p w14:paraId="7071D62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50</w:t>
            </w:r>
          </w:p>
        </w:tc>
        <w:tc>
          <w:tcPr>
            <w:tcW w:w="940" w:type="dxa"/>
            <w:tcBorders>
              <w:tl2br w:val="nil"/>
              <w:tr2bl w:val="nil"/>
            </w:tcBorders>
            <w:noWrap w:val="0"/>
            <w:vAlign w:val="center"/>
          </w:tcPr>
          <w:p w14:paraId="2AAB6A6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60</w:t>
            </w:r>
          </w:p>
        </w:tc>
        <w:tc>
          <w:tcPr>
            <w:tcW w:w="933" w:type="dxa"/>
            <w:tcBorders>
              <w:tl2br w:val="nil"/>
              <w:tr2bl w:val="nil"/>
            </w:tcBorders>
            <w:noWrap w:val="0"/>
            <w:vAlign w:val="center"/>
          </w:tcPr>
          <w:p w14:paraId="02953FB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70</w:t>
            </w:r>
          </w:p>
        </w:tc>
      </w:tr>
      <w:tr w14:paraId="5A19618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2FD0765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沉降速度，</w:t>
            </w:r>
            <w:r>
              <w:rPr>
                <w:rFonts w:hint="default" w:ascii="Times New Roman" w:hAnsi="Times New Roman" w:cs="Times New Roman"/>
                <w:b/>
                <w:bCs/>
                <w:sz w:val="21"/>
                <w:szCs w:val="24"/>
              </w:rPr>
              <w:t>m/s</w:t>
            </w:r>
          </w:p>
        </w:tc>
        <w:tc>
          <w:tcPr>
            <w:tcW w:w="938" w:type="dxa"/>
            <w:tcBorders>
              <w:tl2br w:val="nil"/>
              <w:tr2bl w:val="nil"/>
            </w:tcBorders>
            <w:noWrap w:val="0"/>
            <w:vAlign w:val="center"/>
          </w:tcPr>
          <w:p w14:paraId="4A7A740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0.003</w:t>
            </w:r>
          </w:p>
        </w:tc>
        <w:tc>
          <w:tcPr>
            <w:tcW w:w="940" w:type="dxa"/>
            <w:tcBorders>
              <w:tl2br w:val="nil"/>
              <w:tr2bl w:val="nil"/>
            </w:tcBorders>
            <w:noWrap w:val="0"/>
            <w:vAlign w:val="center"/>
          </w:tcPr>
          <w:p w14:paraId="5EF1CEE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0.012</w:t>
            </w:r>
          </w:p>
        </w:tc>
        <w:tc>
          <w:tcPr>
            <w:tcW w:w="940" w:type="dxa"/>
            <w:tcBorders>
              <w:tl2br w:val="nil"/>
              <w:tr2bl w:val="nil"/>
            </w:tcBorders>
            <w:noWrap w:val="0"/>
            <w:vAlign w:val="center"/>
          </w:tcPr>
          <w:p w14:paraId="3BD5E94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0.027</w:t>
            </w:r>
          </w:p>
        </w:tc>
        <w:tc>
          <w:tcPr>
            <w:tcW w:w="940" w:type="dxa"/>
            <w:tcBorders>
              <w:tl2br w:val="nil"/>
              <w:tr2bl w:val="nil"/>
            </w:tcBorders>
            <w:noWrap w:val="0"/>
            <w:vAlign w:val="center"/>
          </w:tcPr>
          <w:p w14:paraId="1E19883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0.048</w:t>
            </w:r>
          </w:p>
        </w:tc>
        <w:tc>
          <w:tcPr>
            <w:tcW w:w="940" w:type="dxa"/>
            <w:tcBorders>
              <w:tl2br w:val="nil"/>
              <w:tr2bl w:val="nil"/>
            </w:tcBorders>
            <w:noWrap w:val="0"/>
            <w:vAlign w:val="center"/>
          </w:tcPr>
          <w:p w14:paraId="6D27652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0.075</w:t>
            </w:r>
          </w:p>
        </w:tc>
        <w:tc>
          <w:tcPr>
            <w:tcW w:w="940" w:type="dxa"/>
            <w:tcBorders>
              <w:tl2br w:val="nil"/>
              <w:tr2bl w:val="nil"/>
            </w:tcBorders>
            <w:noWrap w:val="0"/>
            <w:vAlign w:val="center"/>
          </w:tcPr>
          <w:p w14:paraId="44C12C3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0.108</w:t>
            </w:r>
          </w:p>
        </w:tc>
        <w:tc>
          <w:tcPr>
            <w:tcW w:w="933" w:type="dxa"/>
            <w:tcBorders>
              <w:tl2br w:val="nil"/>
              <w:tr2bl w:val="nil"/>
            </w:tcBorders>
            <w:noWrap w:val="0"/>
            <w:vAlign w:val="center"/>
          </w:tcPr>
          <w:p w14:paraId="67CB284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0.147</w:t>
            </w:r>
          </w:p>
        </w:tc>
      </w:tr>
      <w:tr w14:paraId="4E4C383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1DF3027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粒径，</w:t>
            </w:r>
            <w:r>
              <w:rPr>
                <w:rFonts w:hint="default" w:ascii="Times New Roman" w:hAnsi="Times New Roman" w:cs="Times New Roman"/>
                <w:b/>
                <w:bCs/>
                <w:sz w:val="21"/>
                <w:szCs w:val="24"/>
              </w:rPr>
              <w:t>μm</w:t>
            </w:r>
          </w:p>
        </w:tc>
        <w:tc>
          <w:tcPr>
            <w:tcW w:w="938" w:type="dxa"/>
            <w:tcBorders>
              <w:tl2br w:val="nil"/>
              <w:tr2bl w:val="nil"/>
            </w:tcBorders>
            <w:noWrap w:val="0"/>
            <w:vAlign w:val="center"/>
          </w:tcPr>
          <w:p w14:paraId="12E8F4B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80</w:t>
            </w:r>
          </w:p>
        </w:tc>
        <w:tc>
          <w:tcPr>
            <w:tcW w:w="940" w:type="dxa"/>
            <w:tcBorders>
              <w:tl2br w:val="nil"/>
              <w:tr2bl w:val="nil"/>
            </w:tcBorders>
            <w:noWrap w:val="0"/>
            <w:vAlign w:val="center"/>
          </w:tcPr>
          <w:p w14:paraId="63B5FB6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90</w:t>
            </w:r>
          </w:p>
        </w:tc>
        <w:tc>
          <w:tcPr>
            <w:tcW w:w="940" w:type="dxa"/>
            <w:tcBorders>
              <w:tl2br w:val="nil"/>
              <w:tr2bl w:val="nil"/>
            </w:tcBorders>
            <w:noWrap w:val="0"/>
            <w:vAlign w:val="center"/>
          </w:tcPr>
          <w:p w14:paraId="315381B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w:t>
            </w:r>
          </w:p>
        </w:tc>
        <w:tc>
          <w:tcPr>
            <w:tcW w:w="940" w:type="dxa"/>
            <w:tcBorders>
              <w:tl2br w:val="nil"/>
              <w:tr2bl w:val="nil"/>
            </w:tcBorders>
            <w:noWrap w:val="0"/>
            <w:vAlign w:val="center"/>
          </w:tcPr>
          <w:p w14:paraId="36E20B4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150</w:t>
            </w:r>
          </w:p>
        </w:tc>
        <w:tc>
          <w:tcPr>
            <w:tcW w:w="940" w:type="dxa"/>
            <w:tcBorders>
              <w:tl2br w:val="nil"/>
              <w:tr2bl w:val="nil"/>
            </w:tcBorders>
            <w:noWrap w:val="0"/>
            <w:vAlign w:val="center"/>
          </w:tcPr>
          <w:p w14:paraId="0060386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200</w:t>
            </w:r>
          </w:p>
        </w:tc>
        <w:tc>
          <w:tcPr>
            <w:tcW w:w="940" w:type="dxa"/>
            <w:tcBorders>
              <w:tl2br w:val="nil"/>
              <w:tr2bl w:val="nil"/>
            </w:tcBorders>
            <w:noWrap w:val="0"/>
            <w:vAlign w:val="center"/>
          </w:tcPr>
          <w:p w14:paraId="51DCC5E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250</w:t>
            </w:r>
          </w:p>
        </w:tc>
        <w:tc>
          <w:tcPr>
            <w:tcW w:w="933" w:type="dxa"/>
            <w:tcBorders>
              <w:tl2br w:val="nil"/>
              <w:tr2bl w:val="nil"/>
            </w:tcBorders>
            <w:noWrap w:val="0"/>
            <w:vAlign w:val="center"/>
          </w:tcPr>
          <w:p w14:paraId="4779F04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350</w:t>
            </w:r>
          </w:p>
        </w:tc>
      </w:tr>
      <w:tr w14:paraId="435B8F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1ECBEC4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沉降速度，</w:t>
            </w:r>
            <w:r>
              <w:rPr>
                <w:rFonts w:hint="default" w:ascii="Times New Roman" w:hAnsi="Times New Roman" w:cs="Times New Roman"/>
                <w:b/>
                <w:bCs/>
                <w:sz w:val="21"/>
                <w:szCs w:val="24"/>
              </w:rPr>
              <w:t>m/s</w:t>
            </w:r>
          </w:p>
        </w:tc>
        <w:tc>
          <w:tcPr>
            <w:tcW w:w="938" w:type="dxa"/>
            <w:tcBorders>
              <w:tl2br w:val="nil"/>
              <w:tr2bl w:val="nil"/>
            </w:tcBorders>
            <w:noWrap w:val="0"/>
            <w:vAlign w:val="center"/>
          </w:tcPr>
          <w:p w14:paraId="09AA592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0.158</w:t>
            </w:r>
          </w:p>
        </w:tc>
        <w:tc>
          <w:tcPr>
            <w:tcW w:w="940" w:type="dxa"/>
            <w:tcBorders>
              <w:tl2br w:val="nil"/>
              <w:tr2bl w:val="nil"/>
            </w:tcBorders>
            <w:noWrap w:val="0"/>
            <w:vAlign w:val="center"/>
          </w:tcPr>
          <w:p w14:paraId="46878D3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0.170</w:t>
            </w:r>
          </w:p>
        </w:tc>
        <w:tc>
          <w:tcPr>
            <w:tcW w:w="940" w:type="dxa"/>
            <w:tcBorders>
              <w:tl2br w:val="nil"/>
              <w:tr2bl w:val="nil"/>
            </w:tcBorders>
            <w:noWrap w:val="0"/>
            <w:vAlign w:val="center"/>
          </w:tcPr>
          <w:p w14:paraId="70B10C2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0.182</w:t>
            </w:r>
          </w:p>
        </w:tc>
        <w:tc>
          <w:tcPr>
            <w:tcW w:w="940" w:type="dxa"/>
            <w:tcBorders>
              <w:tl2br w:val="nil"/>
              <w:tr2bl w:val="nil"/>
            </w:tcBorders>
            <w:noWrap w:val="0"/>
            <w:vAlign w:val="center"/>
          </w:tcPr>
          <w:p w14:paraId="5D42C7B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0.239</w:t>
            </w:r>
          </w:p>
        </w:tc>
        <w:tc>
          <w:tcPr>
            <w:tcW w:w="940" w:type="dxa"/>
            <w:tcBorders>
              <w:tl2br w:val="nil"/>
              <w:tr2bl w:val="nil"/>
            </w:tcBorders>
            <w:noWrap w:val="0"/>
            <w:vAlign w:val="center"/>
          </w:tcPr>
          <w:p w14:paraId="1A6444B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0.804</w:t>
            </w:r>
          </w:p>
        </w:tc>
        <w:tc>
          <w:tcPr>
            <w:tcW w:w="940" w:type="dxa"/>
            <w:tcBorders>
              <w:tl2br w:val="nil"/>
              <w:tr2bl w:val="nil"/>
            </w:tcBorders>
            <w:noWrap w:val="0"/>
            <w:vAlign w:val="center"/>
          </w:tcPr>
          <w:p w14:paraId="666EB0E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1.005</w:t>
            </w:r>
          </w:p>
        </w:tc>
        <w:tc>
          <w:tcPr>
            <w:tcW w:w="933" w:type="dxa"/>
            <w:tcBorders>
              <w:tl2br w:val="nil"/>
              <w:tr2bl w:val="nil"/>
            </w:tcBorders>
            <w:noWrap w:val="0"/>
            <w:vAlign w:val="center"/>
          </w:tcPr>
          <w:p w14:paraId="5DD1EB1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1.829</w:t>
            </w:r>
          </w:p>
        </w:tc>
      </w:tr>
      <w:tr w14:paraId="74FDD72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05BDBC0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粒径，</w:t>
            </w:r>
            <w:r>
              <w:rPr>
                <w:rFonts w:hint="default" w:ascii="Times New Roman" w:hAnsi="Times New Roman" w:cs="Times New Roman"/>
                <w:b/>
                <w:bCs/>
                <w:sz w:val="21"/>
                <w:szCs w:val="24"/>
              </w:rPr>
              <w:t>μm</w:t>
            </w:r>
          </w:p>
        </w:tc>
        <w:tc>
          <w:tcPr>
            <w:tcW w:w="938" w:type="dxa"/>
            <w:tcBorders>
              <w:tl2br w:val="nil"/>
              <w:tr2bl w:val="nil"/>
            </w:tcBorders>
            <w:noWrap w:val="0"/>
            <w:vAlign w:val="center"/>
          </w:tcPr>
          <w:p w14:paraId="7C4FD23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450</w:t>
            </w:r>
          </w:p>
        </w:tc>
        <w:tc>
          <w:tcPr>
            <w:tcW w:w="940" w:type="dxa"/>
            <w:tcBorders>
              <w:tl2br w:val="nil"/>
              <w:tr2bl w:val="nil"/>
            </w:tcBorders>
            <w:noWrap w:val="0"/>
            <w:vAlign w:val="center"/>
          </w:tcPr>
          <w:p w14:paraId="5C2D488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550</w:t>
            </w:r>
          </w:p>
        </w:tc>
        <w:tc>
          <w:tcPr>
            <w:tcW w:w="940" w:type="dxa"/>
            <w:tcBorders>
              <w:tl2br w:val="nil"/>
              <w:tr2bl w:val="nil"/>
            </w:tcBorders>
            <w:noWrap w:val="0"/>
            <w:vAlign w:val="center"/>
          </w:tcPr>
          <w:p w14:paraId="5FD4DA2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650</w:t>
            </w:r>
          </w:p>
        </w:tc>
        <w:tc>
          <w:tcPr>
            <w:tcW w:w="940" w:type="dxa"/>
            <w:tcBorders>
              <w:tl2br w:val="nil"/>
              <w:tr2bl w:val="nil"/>
            </w:tcBorders>
            <w:noWrap w:val="0"/>
            <w:vAlign w:val="center"/>
          </w:tcPr>
          <w:p w14:paraId="0E10E64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750</w:t>
            </w:r>
          </w:p>
        </w:tc>
        <w:tc>
          <w:tcPr>
            <w:tcW w:w="940" w:type="dxa"/>
            <w:tcBorders>
              <w:tl2br w:val="nil"/>
              <w:tr2bl w:val="nil"/>
            </w:tcBorders>
            <w:noWrap w:val="0"/>
            <w:vAlign w:val="center"/>
          </w:tcPr>
          <w:p w14:paraId="7024350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850</w:t>
            </w:r>
          </w:p>
        </w:tc>
        <w:tc>
          <w:tcPr>
            <w:tcW w:w="940" w:type="dxa"/>
            <w:tcBorders>
              <w:tl2br w:val="nil"/>
              <w:tr2bl w:val="nil"/>
            </w:tcBorders>
            <w:noWrap w:val="0"/>
            <w:vAlign w:val="center"/>
          </w:tcPr>
          <w:p w14:paraId="0C5370F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950</w:t>
            </w:r>
          </w:p>
        </w:tc>
        <w:tc>
          <w:tcPr>
            <w:tcW w:w="933" w:type="dxa"/>
            <w:tcBorders>
              <w:tl2br w:val="nil"/>
              <w:tr2bl w:val="nil"/>
            </w:tcBorders>
            <w:noWrap w:val="0"/>
            <w:vAlign w:val="center"/>
          </w:tcPr>
          <w:p w14:paraId="457A0E6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1050</w:t>
            </w:r>
          </w:p>
        </w:tc>
      </w:tr>
      <w:tr w14:paraId="4500C5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95" w:type="dxa"/>
            <w:tcBorders>
              <w:tl2br w:val="nil"/>
              <w:tr2bl w:val="nil"/>
            </w:tcBorders>
            <w:noWrap w:val="0"/>
            <w:vAlign w:val="center"/>
          </w:tcPr>
          <w:p w14:paraId="695F678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沉降速度，</w:t>
            </w:r>
            <w:r>
              <w:rPr>
                <w:rFonts w:hint="default" w:ascii="Times New Roman" w:hAnsi="Times New Roman" w:cs="Times New Roman"/>
                <w:b/>
                <w:bCs/>
                <w:sz w:val="21"/>
                <w:szCs w:val="24"/>
              </w:rPr>
              <w:t>m/s</w:t>
            </w:r>
          </w:p>
        </w:tc>
        <w:tc>
          <w:tcPr>
            <w:tcW w:w="938" w:type="dxa"/>
            <w:tcBorders>
              <w:tl2br w:val="nil"/>
              <w:tr2bl w:val="nil"/>
            </w:tcBorders>
            <w:noWrap w:val="0"/>
            <w:vAlign w:val="center"/>
          </w:tcPr>
          <w:p w14:paraId="67E3010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2.211</w:t>
            </w:r>
          </w:p>
        </w:tc>
        <w:tc>
          <w:tcPr>
            <w:tcW w:w="940" w:type="dxa"/>
            <w:tcBorders>
              <w:tl2br w:val="nil"/>
              <w:tr2bl w:val="nil"/>
            </w:tcBorders>
            <w:noWrap w:val="0"/>
            <w:vAlign w:val="center"/>
          </w:tcPr>
          <w:p w14:paraId="603C5B5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2.614</w:t>
            </w:r>
          </w:p>
        </w:tc>
        <w:tc>
          <w:tcPr>
            <w:tcW w:w="940" w:type="dxa"/>
            <w:tcBorders>
              <w:tl2br w:val="nil"/>
              <w:tr2bl w:val="nil"/>
            </w:tcBorders>
            <w:noWrap w:val="0"/>
            <w:vAlign w:val="center"/>
          </w:tcPr>
          <w:p w14:paraId="527F4CD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3.016</w:t>
            </w:r>
          </w:p>
        </w:tc>
        <w:tc>
          <w:tcPr>
            <w:tcW w:w="940" w:type="dxa"/>
            <w:tcBorders>
              <w:tl2br w:val="nil"/>
              <w:tr2bl w:val="nil"/>
            </w:tcBorders>
            <w:noWrap w:val="0"/>
            <w:vAlign w:val="center"/>
          </w:tcPr>
          <w:p w14:paraId="799E79F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3.418</w:t>
            </w:r>
          </w:p>
        </w:tc>
        <w:tc>
          <w:tcPr>
            <w:tcW w:w="940" w:type="dxa"/>
            <w:tcBorders>
              <w:tl2br w:val="nil"/>
              <w:tr2bl w:val="nil"/>
            </w:tcBorders>
            <w:noWrap w:val="0"/>
            <w:vAlign w:val="center"/>
          </w:tcPr>
          <w:p w14:paraId="7EF6E14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3.820</w:t>
            </w:r>
          </w:p>
        </w:tc>
        <w:tc>
          <w:tcPr>
            <w:tcW w:w="940" w:type="dxa"/>
            <w:tcBorders>
              <w:tl2br w:val="nil"/>
              <w:tr2bl w:val="nil"/>
            </w:tcBorders>
            <w:noWrap w:val="0"/>
            <w:vAlign w:val="center"/>
          </w:tcPr>
          <w:p w14:paraId="1AFBFD4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4.222</w:t>
            </w:r>
          </w:p>
        </w:tc>
        <w:tc>
          <w:tcPr>
            <w:tcW w:w="933" w:type="dxa"/>
            <w:tcBorders>
              <w:tl2br w:val="nil"/>
              <w:tr2bl w:val="nil"/>
            </w:tcBorders>
            <w:noWrap w:val="0"/>
            <w:vAlign w:val="center"/>
          </w:tcPr>
          <w:p w14:paraId="1A5B777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4.624</w:t>
            </w:r>
          </w:p>
        </w:tc>
      </w:tr>
    </w:tbl>
    <w:p w14:paraId="754B860A">
      <w:pPr>
        <w:keepNext w:val="0"/>
        <w:keepLines w:val="0"/>
        <w:pageBreakBefore w:val="0"/>
        <w:widowControl w:val="0"/>
        <w:kinsoku/>
        <w:wordWrap/>
        <w:overflowPunct/>
        <w:topLinePunct w:val="0"/>
        <w:autoSpaceDE/>
        <w:autoSpaceDN/>
        <w:bidi w:val="0"/>
        <w:adjustRightInd w:val="0"/>
        <w:snapToGrid w:val="0"/>
        <w:spacing w:line="520" w:lineRule="exact"/>
        <w:textAlignment w:val="baseline"/>
        <w:rPr>
          <w:rFonts w:hint="default"/>
        </w:rPr>
      </w:pPr>
      <w:r>
        <w:rPr>
          <w:rFonts w:hint="default"/>
        </w:rPr>
        <w:t>由表可知，尘粒的沉降速度随粒径的增大而迅速增大。当粒径为250μm时，沉降速度为1.005m/s，因此可以认为当尘粒大于250μm时，主要影响范围在扬尘点下风向近距离范围内，而真正对外环境产生影响的是一些微小尘粒。在有风的情况下，施工扬尘会对该区域造成一定的影响。由起尘计算公式可知，Q与粒径和含水率有关，因此，通过采取减少露天堆放和保证一定的含水率及减少裸露地面等措施后，风力起尘对环境的影响可降至最低。</w:t>
      </w:r>
    </w:p>
    <w:p w14:paraId="42FB2C4D">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（2）施工场地扬尘影响范围</w:t>
      </w:r>
    </w:p>
    <w:p w14:paraId="7AA9400F">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b/>
          <w:sz w:val="24"/>
          <w:szCs w:val="24"/>
        </w:rPr>
      </w:pPr>
      <w:r>
        <w:rPr>
          <w:rFonts w:hint="default" w:ascii="Times New Roman" w:hAnsi="Times New Roman" w:cs="Times New Roman"/>
          <w:sz w:val="24"/>
          <w:szCs w:val="24"/>
        </w:rPr>
        <w:t>参考相关研究表明，建筑施工工地扬尘污染情况如下表。</w:t>
      </w:r>
      <w:bookmarkStart w:id="545" w:name="6.1.1.2 施工期各类机械尾气影响分析"/>
      <w:bookmarkEnd w:id="545"/>
    </w:p>
    <w:p w14:paraId="3D70EE5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b/>
          <w:bCs/>
        </w:rPr>
      </w:pPr>
      <w:r>
        <w:rPr>
          <w:rFonts w:hint="default"/>
          <w:b/>
          <w:bCs/>
        </w:rPr>
        <w:t>表</w:t>
      </w:r>
      <w:r>
        <w:rPr>
          <w:rFonts w:hint="default"/>
          <w:b/>
          <w:bCs/>
          <w:lang w:val="en-US" w:eastAsia="zh-CN"/>
        </w:rPr>
        <w:t>5</w:t>
      </w:r>
      <w:r>
        <w:rPr>
          <w:rFonts w:hint="eastAsia"/>
          <w:b/>
          <w:bCs/>
          <w:lang w:val="en-US" w:eastAsia="zh-CN"/>
        </w:rPr>
        <w:t>.1</w:t>
      </w:r>
      <w:r>
        <w:rPr>
          <w:rFonts w:hint="default"/>
          <w:b/>
          <w:bCs/>
        </w:rPr>
        <w:t>-4</w:t>
      </w:r>
      <w:r>
        <w:rPr>
          <w:rFonts w:hint="default"/>
          <w:b/>
          <w:bCs/>
          <w:lang w:val="en-US" w:eastAsia="zh-CN"/>
        </w:rPr>
        <w:t xml:space="preserve">     </w:t>
      </w:r>
      <w:r>
        <w:rPr>
          <w:rFonts w:hint="default"/>
          <w:b/>
          <w:bCs/>
        </w:rPr>
        <w:t>建筑施工工地扬尘污染情况（mg/m</w:t>
      </w:r>
      <w:r>
        <w:rPr>
          <w:rFonts w:hint="default"/>
          <w:b/>
          <w:bCs/>
          <w:vertAlign w:val="superscript"/>
        </w:rPr>
        <w:t>3</w:t>
      </w:r>
      <w:r>
        <w:rPr>
          <w:rFonts w:hint="default"/>
          <w:b/>
          <w:bCs/>
        </w:rPr>
        <w:t>）</w:t>
      </w:r>
    </w:p>
    <w:tbl>
      <w:tblPr>
        <w:tblStyle w:val="3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835"/>
        <w:gridCol w:w="1335"/>
        <w:gridCol w:w="1200"/>
        <w:gridCol w:w="1306"/>
        <w:gridCol w:w="1279"/>
        <w:gridCol w:w="1416"/>
        <w:gridCol w:w="931"/>
      </w:tblGrid>
      <w:tr w14:paraId="490DD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14:paraId="0064094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值域</w:t>
            </w:r>
          </w:p>
        </w:tc>
        <w:tc>
          <w:tcPr>
            <w:tcW w:w="1335"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14:paraId="401EF5C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rPr>
            </w:pPr>
            <w:r>
              <w:rPr>
                <w:rFonts w:hint="default" w:ascii="Times New Roman" w:hAnsi="Times New Roman" w:cs="Times New Roman"/>
                <w:b/>
                <w:bCs/>
                <w:spacing w:val="0"/>
                <w:kern w:val="21"/>
                <w:sz w:val="21"/>
                <w:szCs w:val="24"/>
              </w:rPr>
              <w:t>工地上风向</w:t>
            </w:r>
            <w:r>
              <w:rPr>
                <w:rFonts w:hint="default" w:ascii="Times New Roman" w:hAnsi="Times New Roman" w:eastAsia="Times New Roman" w:cs="Times New Roman"/>
                <w:b/>
                <w:bCs/>
                <w:spacing w:val="0"/>
                <w:kern w:val="21"/>
                <w:sz w:val="21"/>
                <w:szCs w:val="24"/>
              </w:rPr>
              <w:t>50m</w:t>
            </w:r>
          </w:p>
        </w:tc>
        <w:tc>
          <w:tcPr>
            <w:tcW w:w="1200"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14:paraId="742F589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工地内</w:t>
            </w:r>
          </w:p>
        </w:tc>
        <w:tc>
          <w:tcPr>
            <w:tcW w:w="2585" w:type="dxa"/>
            <w:gridSpan w:val="2"/>
            <w:tcBorders>
              <w:top w:val="single" w:color="000000" w:sz="4" w:space="0"/>
              <w:left w:val="single" w:color="000000" w:sz="4" w:space="0"/>
              <w:bottom w:val="single" w:color="000000" w:sz="4" w:space="0"/>
              <w:right w:val="single" w:color="000000" w:sz="4" w:space="0"/>
              <w:tl2br w:val="nil"/>
              <w:tr2bl w:val="nil"/>
            </w:tcBorders>
            <w:noWrap w:val="0"/>
            <w:vAlign w:val="center"/>
          </w:tcPr>
          <w:p w14:paraId="094904A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工地下风向</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614759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检测位置</w:t>
            </w:r>
          </w:p>
        </w:tc>
        <w:tc>
          <w:tcPr>
            <w:tcW w:w="93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14:paraId="477F76B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备注</w:t>
            </w:r>
          </w:p>
        </w:tc>
      </w:tr>
      <w:tr w14:paraId="50996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5" w:type="dxa"/>
            <w:vMerge w:val="continue"/>
            <w:tcBorders>
              <w:top w:val="nil"/>
              <w:left w:val="single" w:color="000000" w:sz="4" w:space="0"/>
              <w:bottom w:val="single" w:color="000000" w:sz="4" w:space="0"/>
              <w:right w:val="single" w:color="000000" w:sz="4" w:space="0"/>
              <w:tl2br w:val="nil"/>
              <w:tr2bl w:val="nil"/>
            </w:tcBorders>
            <w:noWrap w:val="0"/>
            <w:vAlign w:val="center"/>
          </w:tcPr>
          <w:p w14:paraId="14B5CEF5">
            <w:pPr>
              <w:pStyle w:val="94"/>
              <w:keepNext w:val="0"/>
              <w:keepLines w:val="0"/>
              <w:pageBreakBefore w:val="0"/>
              <w:widowControl/>
              <w:numPr>
                <w:ilvl w:val="4"/>
                <w:numId w:val="6"/>
              </w:numPr>
              <w:tabs>
                <w:tab w:val="left" w:pos="1284"/>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spacing w:val="0"/>
                <w:kern w:val="21"/>
                <w:sz w:val="2"/>
                <w:szCs w:val="24"/>
              </w:rPr>
            </w:pPr>
          </w:p>
        </w:tc>
        <w:tc>
          <w:tcPr>
            <w:tcW w:w="1335" w:type="dxa"/>
            <w:vMerge w:val="continue"/>
            <w:tcBorders>
              <w:top w:val="nil"/>
              <w:left w:val="single" w:color="000000" w:sz="4" w:space="0"/>
              <w:bottom w:val="single" w:color="000000" w:sz="4" w:space="0"/>
              <w:right w:val="single" w:color="000000" w:sz="4" w:space="0"/>
              <w:tl2br w:val="nil"/>
              <w:tr2bl w:val="nil"/>
            </w:tcBorders>
            <w:noWrap w:val="0"/>
            <w:vAlign w:val="center"/>
          </w:tcPr>
          <w:p w14:paraId="5180CB22">
            <w:pPr>
              <w:pStyle w:val="94"/>
              <w:keepNext w:val="0"/>
              <w:keepLines w:val="0"/>
              <w:pageBreakBefore w:val="0"/>
              <w:widowControl/>
              <w:numPr>
                <w:ilvl w:val="4"/>
                <w:numId w:val="6"/>
              </w:numPr>
              <w:tabs>
                <w:tab w:val="left" w:pos="1284"/>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spacing w:val="0"/>
                <w:kern w:val="21"/>
                <w:sz w:val="2"/>
                <w:szCs w:val="24"/>
              </w:rPr>
            </w:pPr>
          </w:p>
        </w:tc>
        <w:tc>
          <w:tcPr>
            <w:tcW w:w="1200" w:type="dxa"/>
            <w:vMerge w:val="continue"/>
            <w:tcBorders>
              <w:top w:val="nil"/>
              <w:left w:val="single" w:color="000000" w:sz="4" w:space="0"/>
              <w:bottom w:val="single" w:color="000000" w:sz="4" w:space="0"/>
              <w:right w:val="single" w:color="000000" w:sz="4" w:space="0"/>
              <w:tl2br w:val="nil"/>
              <w:tr2bl w:val="nil"/>
            </w:tcBorders>
            <w:noWrap w:val="0"/>
            <w:vAlign w:val="center"/>
          </w:tcPr>
          <w:p w14:paraId="2F7BF13F">
            <w:pPr>
              <w:pStyle w:val="94"/>
              <w:keepNext w:val="0"/>
              <w:keepLines w:val="0"/>
              <w:pageBreakBefore w:val="0"/>
              <w:widowControl/>
              <w:numPr>
                <w:ilvl w:val="4"/>
                <w:numId w:val="6"/>
              </w:numPr>
              <w:tabs>
                <w:tab w:val="left" w:pos="1284"/>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spacing w:val="0"/>
                <w:kern w:val="21"/>
                <w:sz w:val="2"/>
                <w:szCs w:val="24"/>
              </w:rPr>
            </w:pPr>
          </w:p>
        </w:tc>
        <w:tc>
          <w:tcPr>
            <w:tcW w:w="130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17719A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rPr>
            </w:pPr>
            <w:r>
              <w:rPr>
                <w:rFonts w:hint="default" w:ascii="Times New Roman" w:hAnsi="Times New Roman" w:eastAsia="Times New Roman" w:cs="Times New Roman"/>
                <w:b/>
                <w:bCs/>
                <w:spacing w:val="0"/>
                <w:kern w:val="21"/>
                <w:sz w:val="21"/>
                <w:szCs w:val="24"/>
              </w:rPr>
              <w:t>50m</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647193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rPr>
            </w:pPr>
            <w:r>
              <w:rPr>
                <w:rFonts w:hint="default" w:ascii="Times New Roman" w:hAnsi="Times New Roman" w:eastAsia="Times New Roman" w:cs="Times New Roman"/>
                <w:b/>
                <w:bCs/>
                <w:spacing w:val="0"/>
                <w:kern w:val="21"/>
                <w:sz w:val="21"/>
                <w:szCs w:val="24"/>
              </w:rPr>
              <w:t>100m</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1544AE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rPr>
            </w:pPr>
            <w:r>
              <w:rPr>
                <w:rFonts w:hint="default" w:ascii="Times New Roman" w:hAnsi="Times New Roman" w:eastAsia="Times New Roman" w:cs="Times New Roman"/>
                <w:b/>
                <w:bCs/>
                <w:spacing w:val="0"/>
                <w:kern w:val="21"/>
                <w:sz w:val="21"/>
                <w:szCs w:val="24"/>
              </w:rPr>
              <w:t>150m</w:t>
            </w:r>
          </w:p>
        </w:tc>
        <w:tc>
          <w:tcPr>
            <w:tcW w:w="931" w:type="dxa"/>
            <w:vMerge w:val="continue"/>
            <w:tcBorders>
              <w:top w:val="nil"/>
              <w:left w:val="single" w:color="000000" w:sz="4" w:space="0"/>
              <w:bottom w:val="single" w:color="000000" w:sz="4" w:space="0"/>
              <w:right w:val="single" w:color="000000" w:sz="4" w:space="0"/>
              <w:tl2br w:val="nil"/>
              <w:tr2bl w:val="nil"/>
            </w:tcBorders>
            <w:noWrap w:val="0"/>
            <w:vAlign w:val="center"/>
          </w:tcPr>
          <w:p w14:paraId="735575DD">
            <w:pPr>
              <w:pStyle w:val="94"/>
              <w:keepNext w:val="0"/>
              <w:keepLines w:val="0"/>
              <w:pageBreakBefore w:val="0"/>
              <w:widowControl/>
              <w:numPr>
                <w:ilvl w:val="4"/>
                <w:numId w:val="6"/>
              </w:numPr>
              <w:tabs>
                <w:tab w:val="left" w:pos="1284"/>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spacing w:val="0"/>
                <w:kern w:val="21"/>
                <w:sz w:val="2"/>
                <w:szCs w:val="24"/>
              </w:rPr>
            </w:pPr>
          </w:p>
        </w:tc>
      </w:tr>
      <w:tr w14:paraId="33D86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0CAF0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范围值</w:t>
            </w:r>
          </w:p>
        </w:tc>
        <w:tc>
          <w:tcPr>
            <w:tcW w:w="13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893938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0.303~0.328</w:t>
            </w:r>
          </w:p>
        </w:tc>
        <w:tc>
          <w:tcPr>
            <w:tcW w:w="12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284F0A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0.409~0.759</w:t>
            </w:r>
          </w:p>
        </w:tc>
        <w:tc>
          <w:tcPr>
            <w:tcW w:w="130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BA1650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0.434~0.538</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BD5A72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0.356~0.465</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93C1EE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0.309~0.336</w:t>
            </w:r>
          </w:p>
        </w:tc>
        <w:tc>
          <w:tcPr>
            <w:tcW w:w="931" w:type="dxa"/>
            <w:vMerge w:val="restart"/>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B5DAD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default" w:ascii="Times New Roman" w:hAnsi="Times New Roman" w:cs="Times New Roman"/>
                <w:spacing w:val="0"/>
                <w:kern w:val="21"/>
                <w:sz w:val="21"/>
                <w:szCs w:val="24"/>
              </w:rPr>
              <w:t>平均风速</w:t>
            </w:r>
            <w:r>
              <w:rPr>
                <w:rFonts w:hint="default" w:ascii="Times New Roman" w:hAnsi="Times New Roman" w:eastAsia="Times New Roman" w:cs="Times New Roman"/>
                <w:spacing w:val="0"/>
                <w:kern w:val="21"/>
                <w:sz w:val="21"/>
                <w:szCs w:val="24"/>
              </w:rPr>
              <w:t>2.5</w:t>
            </w:r>
            <w:r>
              <w:rPr>
                <w:rFonts w:hint="default" w:ascii="Times New Roman" w:hAnsi="Times New Roman" w:eastAsia="宋体" w:cs="Times New Roman"/>
                <w:spacing w:val="0"/>
                <w:kern w:val="21"/>
                <w:sz w:val="21"/>
                <w:szCs w:val="24"/>
                <w:lang w:val="en-US" w:eastAsia="zh-CN"/>
              </w:rPr>
              <w:t>m/s</w:t>
            </w:r>
          </w:p>
        </w:tc>
      </w:tr>
      <w:tr w14:paraId="7C99F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02E25FB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均值</w:t>
            </w:r>
          </w:p>
        </w:tc>
        <w:tc>
          <w:tcPr>
            <w:tcW w:w="13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E45D9F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0.317</w:t>
            </w:r>
          </w:p>
        </w:tc>
        <w:tc>
          <w:tcPr>
            <w:tcW w:w="120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7564F21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0.596</w:t>
            </w:r>
          </w:p>
        </w:tc>
        <w:tc>
          <w:tcPr>
            <w:tcW w:w="130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2E6AC4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0.487</w:t>
            </w:r>
          </w:p>
        </w:tc>
        <w:tc>
          <w:tcPr>
            <w:tcW w:w="127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3BAE5A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0.390</w:t>
            </w:r>
          </w:p>
        </w:tc>
        <w:tc>
          <w:tcPr>
            <w:tcW w:w="141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034FD3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0.322</w:t>
            </w:r>
          </w:p>
        </w:tc>
        <w:tc>
          <w:tcPr>
            <w:tcW w:w="931" w:type="dxa"/>
            <w:vMerge w:val="continue"/>
            <w:tcBorders>
              <w:top w:val="nil"/>
              <w:left w:val="single" w:color="000000" w:sz="4" w:space="0"/>
              <w:bottom w:val="single" w:color="000000" w:sz="4" w:space="0"/>
              <w:right w:val="single" w:color="000000" w:sz="4" w:space="0"/>
              <w:tl2br w:val="nil"/>
              <w:tr2bl w:val="nil"/>
            </w:tcBorders>
            <w:noWrap w:val="0"/>
            <w:vAlign w:val="center"/>
          </w:tcPr>
          <w:p w14:paraId="58789052">
            <w:pPr>
              <w:pStyle w:val="94"/>
              <w:keepNext w:val="0"/>
              <w:keepLines w:val="0"/>
              <w:pageBreakBefore w:val="0"/>
              <w:widowControl/>
              <w:numPr>
                <w:ilvl w:val="4"/>
                <w:numId w:val="6"/>
              </w:numPr>
              <w:tabs>
                <w:tab w:val="left" w:pos="1284"/>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spacing w:val="0"/>
                <w:kern w:val="21"/>
                <w:sz w:val="2"/>
                <w:szCs w:val="24"/>
              </w:rPr>
            </w:pPr>
          </w:p>
        </w:tc>
      </w:tr>
    </w:tbl>
    <w:p w14:paraId="07D90FA2">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79"/>
        <w:jc w:val="both"/>
        <w:textAlignment w:val="auto"/>
        <w:rPr>
          <w:rFonts w:hint="default" w:ascii="Times New Roman" w:hAnsi="Times New Roman" w:cs="Times New Roman"/>
          <w:sz w:val="24"/>
          <w:szCs w:val="24"/>
        </w:rPr>
      </w:pPr>
      <w:r>
        <w:rPr>
          <w:rFonts w:hint="default" w:ascii="Times New Roman" w:hAnsi="Times New Roman" w:cs="Times New Roman"/>
          <w:spacing w:val="-9"/>
          <w:sz w:val="24"/>
          <w:szCs w:val="24"/>
        </w:rPr>
        <w:t>对照上述测定结果，本项目主导风向为东北风，年平均风速</w:t>
      </w:r>
      <w:r>
        <w:rPr>
          <w:rFonts w:hint="default" w:ascii="Times New Roman" w:hAnsi="Times New Roman" w:eastAsia="Times New Roman" w:cs="Times New Roman"/>
          <w:sz w:val="24"/>
          <w:szCs w:val="24"/>
        </w:rPr>
        <w:t>2.1m/s</w:t>
      </w:r>
      <w:r>
        <w:rPr>
          <w:rFonts w:hint="default" w:ascii="Times New Roman" w:hAnsi="Times New Roman" w:cs="Times New Roman"/>
          <w:spacing w:val="-14"/>
          <w:sz w:val="24"/>
          <w:szCs w:val="24"/>
        </w:rPr>
        <w:t>，小于上</w:t>
      </w:r>
      <w:r>
        <w:rPr>
          <w:rFonts w:hint="default" w:ascii="Times New Roman" w:hAnsi="Times New Roman" w:cs="Times New Roman"/>
          <w:sz w:val="24"/>
          <w:szCs w:val="24"/>
        </w:rPr>
        <w:t>述测定平均风速</w:t>
      </w:r>
      <w:r>
        <w:rPr>
          <w:rFonts w:hint="eastAsia" w:cs="Times New Roman"/>
          <w:sz w:val="24"/>
          <w:szCs w:val="24"/>
          <w:lang w:val="en-US" w:eastAsia="zh-CN"/>
        </w:rPr>
        <w:t>(2.5m/s)</w:t>
      </w:r>
      <w:r>
        <w:rPr>
          <w:rFonts w:hint="default" w:ascii="Times New Roman" w:hAnsi="Times New Roman" w:cs="Times New Roman"/>
          <w:spacing w:val="-1"/>
          <w:sz w:val="24"/>
          <w:szCs w:val="24"/>
        </w:rPr>
        <w:t>由此推算，本项目施工扬尘影响的情况与上述测定</w:t>
      </w:r>
      <w:r>
        <w:rPr>
          <w:rFonts w:hint="default" w:ascii="Times New Roman" w:hAnsi="Times New Roman" w:cs="Times New Roman"/>
          <w:spacing w:val="-4"/>
          <w:sz w:val="24"/>
          <w:szCs w:val="24"/>
        </w:rPr>
        <w:t>结果类比影响范围较小。最近的敏感点为</w:t>
      </w:r>
      <w:r>
        <w:rPr>
          <w:rFonts w:hint="eastAsia" w:cs="Times New Roman"/>
          <w:spacing w:val="-4"/>
          <w:sz w:val="24"/>
          <w:szCs w:val="24"/>
          <w:lang w:val="en-US" w:eastAsia="zh-CN"/>
        </w:rPr>
        <w:t>项目</w:t>
      </w:r>
      <w:r>
        <w:rPr>
          <w:rFonts w:hint="eastAsia"/>
          <w:lang w:val="en-US" w:eastAsia="zh-CN"/>
        </w:rPr>
        <w:t>东北侧300</w:t>
      </w:r>
      <w:r>
        <w:rPr>
          <w:rFonts w:hint="eastAsia"/>
        </w:rPr>
        <w:t>m处的</w:t>
      </w:r>
      <w:r>
        <w:rPr>
          <w:rFonts w:hint="eastAsia"/>
          <w:lang w:val="en-US" w:eastAsia="zh-CN"/>
        </w:rPr>
        <w:t>前李村</w:t>
      </w:r>
      <w:r>
        <w:rPr>
          <w:rFonts w:hint="default" w:ascii="Times New Roman" w:hAnsi="Times New Roman" w:cs="Times New Roman"/>
          <w:spacing w:val="-4"/>
          <w:sz w:val="24"/>
          <w:szCs w:val="24"/>
        </w:rPr>
        <w:t>，</w:t>
      </w:r>
      <w:r>
        <w:rPr>
          <w:rFonts w:hint="default" w:ascii="Times New Roman" w:hAnsi="Times New Roman" w:cs="Times New Roman"/>
          <w:spacing w:val="-8"/>
          <w:sz w:val="24"/>
          <w:szCs w:val="24"/>
        </w:rPr>
        <w:t>且</w:t>
      </w:r>
      <w:r>
        <w:rPr>
          <w:rFonts w:hint="default" w:ascii="Times New Roman" w:hAnsi="Times New Roman" w:cs="Times New Roman"/>
          <w:spacing w:val="-8"/>
          <w:sz w:val="24"/>
          <w:szCs w:val="24"/>
          <w:lang w:val="en-US" w:eastAsia="zh-CN"/>
        </w:rPr>
        <w:t>项目周边</w:t>
      </w:r>
      <w:r>
        <w:rPr>
          <w:rFonts w:hint="default" w:ascii="Times New Roman" w:hAnsi="Times New Roman" w:cs="Times New Roman"/>
          <w:spacing w:val="-8"/>
          <w:sz w:val="24"/>
          <w:szCs w:val="24"/>
        </w:rPr>
        <w:t>现状为工厂，无高层建筑，空气稀释能力较强，风力扬尘经空气迅速稀释扩</w:t>
      </w:r>
      <w:r>
        <w:rPr>
          <w:rFonts w:hint="default" w:ascii="Times New Roman" w:hAnsi="Times New Roman" w:cs="Times New Roman"/>
          <w:sz w:val="24"/>
          <w:szCs w:val="24"/>
        </w:rPr>
        <w:t>散，基本不会对附近村落等敏感点处的环境空气质量造成明显影响。</w:t>
      </w:r>
    </w:p>
    <w:p w14:paraId="27C40A9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default"/>
          <w:lang w:val="en-US" w:eastAsia="zh-CN"/>
        </w:rPr>
        <w:t>5.1.1.</w:t>
      </w:r>
      <w:r>
        <w:rPr>
          <w:rFonts w:hint="eastAsia"/>
          <w:lang w:val="en-US" w:eastAsia="zh-CN"/>
        </w:rPr>
        <w:t>2</w:t>
      </w:r>
      <w:r>
        <w:rPr>
          <w:rFonts w:hint="default"/>
          <w:lang w:val="en-US" w:eastAsia="zh-CN"/>
        </w:rPr>
        <w:t>施工期各类机械尾气影响分析</w:t>
      </w:r>
    </w:p>
    <w:p w14:paraId="0933986C">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48" w:firstLineChars="200"/>
        <w:jc w:val="both"/>
        <w:textAlignment w:val="auto"/>
        <w:outlineLvl w:val="9"/>
        <w:rPr>
          <w:rFonts w:hint="default" w:ascii="Times New Roman" w:hAnsi="Times New Roman" w:eastAsia="宋体" w:cs="Times New Roman"/>
          <w:spacing w:val="-8"/>
          <w:sz w:val="24"/>
          <w:szCs w:val="24"/>
          <w:lang w:val="en-US" w:eastAsia="zh-CN" w:bidi="ar-SA"/>
        </w:rPr>
      </w:pPr>
      <w:r>
        <w:rPr>
          <w:rFonts w:hint="default" w:ascii="Times New Roman" w:hAnsi="Times New Roman" w:eastAsia="宋体" w:cs="Times New Roman"/>
          <w:spacing w:val="-8"/>
          <w:sz w:val="24"/>
          <w:szCs w:val="24"/>
          <w:lang w:val="en-US" w:eastAsia="zh-CN" w:bidi="ar-SA"/>
        </w:rPr>
        <w:t>在工程施工期间，使用液体燃料的施工机械及运输车辆的发动机排放的尾气中含有NOx、CO、THC等污染物，一般情况下，各种污染物的排放量不大，且废气的排放是分散的和间歇的，通过加强对施工机械的维护和保养，加强对施工机械、施工进程的管理，提高使用效率，控制车速，使用清洁能源等措施，使车辆尾气排放符合环保要求，即可有效减少尾气中污染物的产生及排放，使其对周围的大气环境影响降到最低。</w:t>
      </w:r>
    </w:p>
    <w:p w14:paraId="50A8ACB0">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48" w:firstLineChars="200"/>
        <w:jc w:val="both"/>
        <w:textAlignment w:val="auto"/>
        <w:outlineLvl w:val="9"/>
        <w:rPr>
          <w:rFonts w:hint="default" w:ascii="Times New Roman" w:hAnsi="Times New Roman" w:eastAsia="宋体" w:cs="Times New Roman"/>
          <w:spacing w:val="-8"/>
          <w:sz w:val="24"/>
          <w:szCs w:val="24"/>
          <w:lang w:val="en-US" w:eastAsia="zh-CN" w:bidi="ar-SA"/>
        </w:rPr>
      </w:pPr>
      <w:r>
        <w:rPr>
          <w:rFonts w:hint="default" w:ascii="Times New Roman" w:hAnsi="Times New Roman" w:eastAsia="宋体" w:cs="Times New Roman"/>
          <w:spacing w:val="-8"/>
          <w:sz w:val="24"/>
          <w:szCs w:val="24"/>
          <w:lang w:val="en-US" w:eastAsia="zh-CN" w:bidi="ar-SA"/>
        </w:rPr>
        <w:t>从施工场地周边情况来看，场地规划为建设用地，四周现状为工厂，无高层建筑，空气稀释能力较强，最近的敏感点</w:t>
      </w:r>
      <w:r>
        <w:rPr>
          <w:rFonts w:hint="eastAsia" w:cs="Times New Roman"/>
          <w:spacing w:val="-8"/>
          <w:sz w:val="24"/>
          <w:szCs w:val="24"/>
          <w:lang w:val="en-US" w:eastAsia="zh-CN" w:bidi="ar-SA"/>
        </w:rPr>
        <w:t>为</w:t>
      </w:r>
      <w:r>
        <w:rPr>
          <w:rFonts w:hint="default" w:ascii="Times New Roman" w:hAnsi="Times New Roman" w:eastAsia="宋体" w:cs="Times New Roman"/>
          <w:spacing w:val="-8"/>
          <w:sz w:val="24"/>
          <w:szCs w:val="24"/>
          <w:lang w:val="en-US" w:eastAsia="zh-CN" w:bidi="ar-SA"/>
        </w:rPr>
        <w:t>项目东北侧</w:t>
      </w:r>
      <w:r>
        <w:rPr>
          <w:rFonts w:hint="eastAsia" w:cs="Times New Roman"/>
          <w:spacing w:val="-8"/>
          <w:sz w:val="24"/>
          <w:szCs w:val="24"/>
          <w:lang w:val="en-US" w:eastAsia="zh-CN" w:bidi="ar-SA"/>
        </w:rPr>
        <w:t>300</w:t>
      </w:r>
      <w:r>
        <w:rPr>
          <w:rFonts w:hint="default" w:ascii="Times New Roman" w:hAnsi="Times New Roman" w:eastAsia="宋体" w:cs="Times New Roman"/>
          <w:spacing w:val="-8"/>
          <w:sz w:val="24"/>
          <w:szCs w:val="24"/>
          <w:lang w:val="en-US" w:eastAsia="zh-CN" w:bidi="ar-SA"/>
        </w:rPr>
        <w:t>m处的前李村，燃油烟气及汽车尾气排放后，经空气迅速稀释扩散，基本不会对附近村落等敏感点处的环境空气质量造成明显影响。</w:t>
      </w:r>
    </w:p>
    <w:p w14:paraId="2FA515C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5.1.2施工期水环境影响分析</w:t>
      </w:r>
    </w:p>
    <w:p w14:paraId="7A337ABC">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施工期产生的废水包括施工生产产生的施工废水和车辆冲洗废水以及施工人员的生活污水，其中以施工人员生活污水为主，污染物主要为CODcr、BOD</w:t>
      </w:r>
      <w:r>
        <w:rPr>
          <w:rFonts w:hint="default" w:ascii="Times New Roman" w:hAnsi="Times New Roman" w:eastAsia="宋体" w:cs="Times New Roman"/>
          <w:b w:val="0"/>
          <w:bCs/>
          <w:sz w:val="24"/>
          <w:szCs w:val="22"/>
          <w:vertAlign w:val="subscript"/>
        </w:rPr>
        <w:t>5</w:t>
      </w:r>
      <w:r>
        <w:rPr>
          <w:rFonts w:hint="default" w:ascii="Times New Roman" w:hAnsi="Times New Roman" w:eastAsia="宋体" w:cs="Times New Roman"/>
          <w:b w:val="0"/>
          <w:bCs/>
          <w:sz w:val="24"/>
          <w:szCs w:val="22"/>
        </w:rPr>
        <w:t>、SS、NH</w:t>
      </w:r>
      <w:r>
        <w:rPr>
          <w:rFonts w:hint="default" w:ascii="Times New Roman" w:hAnsi="Times New Roman" w:eastAsia="宋体" w:cs="Times New Roman"/>
          <w:b w:val="0"/>
          <w:bCs/>
          <w:sz w:val="24"/>
          <w:szCs w:val="22"/>
          <w:vertAlign w:val="subscript"/>
        </w:rPr>
        <w:t>3</w:t>
      </w:r>
      <w:r>
        <w:rPr>
          <w:rFonts w:hint="default" w:ascii="Times New Roman" w:hAnsi="Times New Roman" w:eastAsia="宋体" w:cs="Times New Roman"/>
          <w:b w:val="0"/>
          <w:bCs/>
          <w:sz w:val="24"/>
          <w:szCs w:val="22"/>
        </w:rPr>
        <w:t>-N等。</w:t>
      </w:r>
    </w:p>
    <w:p w14:paraId="43F8BB46">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（1）施工废水：施工废水主要包括建材冲洗、混凝土浇筑等环节产生的废水，主要污染因子为pH、SS，施工废水产生量约3.0m</w:t>
      </w:r>
      <w:r>
        <w:rPr>
          <w:rFonts w:hint="default" w:ascii="Times New Roman" w:hAnsi="Times New Roman" w:eastAsia="宋体" w:cs="Times New Roman"/>
          <w:b w:val="0"/>
          <w:bCs/>
          <w:sz w:val="24"/>
          <w:szCs w:val="22"/>
          <w:vertAlign w:val="superscript"/>
        </w:rPr>
        <w:t>3</w:t>
      </w:r>
      <w:r>
        <w:rPr>
          <w:rFonts w:hint="default" w:ascii="Times New Roman" w:hAnsi="Times New Roman" w:eastAsia="宋体" w:cs="Times New Roman"/>
          <w:b w:val="0"/>
          <w:bCs/>
          <w:sz w:val="24"/>
          <w:szCs w:val="22"/>
        </w:rPr>
        <w:t>/d。</w:t>
      </w:r>
    </w:p>
    <w:p w14:paraId="515C3DA5">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施工时尽量做到节约用水，并设置施工废水沉淀池，施工废水经沉淀后回用，不外排，做好沉淀池的三防措施，经沉淀后回用的施工废水不会对地表及地下水环境质量造成影响。</w:t>
      </w:r>
    </w:p>
    <w:p w14:paraId="20C3075A">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2）车辆冲洗废水：项目在施工期为减小出入施工场地运输扬尘，需对出入车辆车轮进行冲洗，废水中主要污染因子为SS，经沉淀后回用，不外排；做好沉淀池的三防措施。经沉淀后回用的施工废水不会对地表及地下水环境质量造成影响。</w:t>
      </w:r>
    </w:p>
    <w:p w14:paraId="37F1616E">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（3）施工人员生活污水：项目在施工过程中平均每天施工人数按100人计，场区不设施工营地，施工人员不在场区食宿，施工人员产生的生活污水依托企业</w:t>
      </w:r>
      <w:r>
        <w:rPr>
          <w:rFonts w:hint="eastAsia" w:ascii="Times New Roman" w:hAnsi="Times New Roman" w:cs="Times New Roman"/>
          <w:b w:val="0"/>
          <w:bCs/>
          <w:sz w:val="24"/>
          <w:szCs w:val="22"/>
          <w:lang w:val="en-US" w:eastAsia="zh-CN"/>
        </w:rPr>
        <w:t>临时</w:t>
      </w:r>
      <w:r>
        <w:rPr>
          <w:rFonts w:hint="default" w:ascii="Times New Roman" w:hAnsi="Times New Roman" w:eastAsia="宋体" w:cs="Times New Roman"/>
          <w:b w:val="0"/>
          <w:bCs/>
          <w:sz w:val="24"/>
          <w:szCs w:val="22"/>
        </w:rPr>
        <w:t>生活污水处理设施预处理达标后排入</w:t>
      </w:r>
      <w:r>
        <w:rPr>
          <w:rFonts w:hint="eastAsia" w:cs="Times New Roman"/>
          <w:b w:val="0"/>
          <w:bCs/>
          <w:sz w:val="24"/>
          <w:szCs w:val="22"/>
          <w:lang w:val="en-US" w:eastAsia="zh-CN"/>
        </w:rPr>
        <w:t>获嘉县同盟污水处理厂</w:t>
      </w:r>
      <w:r>
        <w:rPr>
          <w:rFonts w:hint="default" w:ascii="Times New Roman" w:hAnsi="Times New Roman" w:eastAsia="宋体" w:cs="Times New Roman"/>
          <w:b w:val="0"/>
          <w:bCs/>
          <w:sz w:val="24"/>
          <w:szCs w:val="22"/>
        </w:rPr>
        <w:t>集中处理。经上述措施处理后，施工生活污水不会对地表及地下水环境质量造成的影响。</w:t>
      </w:r>
    </w:p>
    <w:p w14:paraId="7C45C5E2">
      <w:pPr>
        <w:keepNext w:val="0"/>
        <w:keepLines w:val="0"/>
        <w:pageBreakBefore w:val="0"/>
        <w:widowControl/>
        <w:numPr>
          <w:ilvl w:val="0"/>
          <w:numId w:val="0"/>
        </w:numPr>
        <w:tabs>
          <w:tab w:val="left" w:pos="1008"/>
        </w:tabs>
        <w:kinsoku/>
        <w:wordWrap/>
        <w:overflowPunct/>
        <w:topLinePunct/>
        <w:autoSpaceDE/>
        <w:autoSpaceDN/>
        <w:bidi w:val="0"/>
        <w:adjustRightInd w:val="0"/>
        <w:snapToGrid w:val="0"/>
        <w:spacing w:line="500" w:lineRule="exact"/>
        <w:ind w:right="0" w:rightChars="0" w:firstLine="480" w:firstLineChars="200"/>
        <w:jc w:val="both"/>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综上分析，项目施工期产生的废水对周围地表水环境无明显影响。</w:t>
      </w:r>
    </w:p>
    <w:p w14:paraId="0FA45B9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5.1.</w:t>
      </w:r>
      <w:r>
        <w:rPr>
          <w:rFonts w:hint="eastAsia" w:ascii="Times New Roman" w:hAnsi="Times New Roman"/>
          <w:lang w:val="en-US" w:eastAsia="zh-CN"/>
        </w:rPr>
        <w:t>3</w:t>
      </w:r>
      <w:r>
        <w:rPr>
          <w:rFonts w:hint="default" w:ascii="Times New Roman" w:hAnsi="Times New Roman"/>
          <w:lang w:val="en-US" w:eastAsia="zh-CN"/>
        </w:rPr>
        <w:t>施工期</w:t>
      </w:r>
      <w:r>
        <w:rPr>
          <w:rFonts w:hint="eastAsia" w:ascii="Times New Roman" w:hAnsi="Times New Roman"/>
          <w:lang w:val="en-US" w:eastAsia="zh-CN"/>
        </w:rPr>
        <w:t>噪声</w:t>
      </w:r>
      <w:r>
        <w:rPr>
          <w:rFonts w:hint="default" w:ascii="Times New Roman" w:hAnsi="Times New Roman"/>
          <w:lang w:val="en-US" w:eastAsia="zh-CN"/>
        </w:rPr>
        <w:t>影响分析</w:t>
      </w:r>
    </w:p>
    <w:p w14:paraId="6735BE4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eastAsia"/>
          <w:lang w:val="en-US" w:eastAsia="zh-CN"/>
        </w:rPr>
        <w:t>5.1.3.1施工期噪声种类及源强</w:t>
      </w:r>
    </w:p>
    <w:p w14:paraId="370C9DE9">
      <w:pPr>
        <w:pageBreakBefore w:val="0"/>
        <w:widowControl w:val="0"/>
        <w:kinsoku/>
        <w:wordWrap/>
        <w:overflowPunct/>
        <w:topLinePunct w:val="0"/>
        <w:autoSpaceDE/>
        <w:autoSpaceDN/>
        <w:bidi w:val="0"/>
        <w:adjustRightInd w:val="0"/>
        <w:snapToGrid w:val="0"/>
        <w:spacing w:line="520" w:lineRule="exact"/>
        <w:textAlignment w:val="baseline"/>
      </w:pPr>
      <w:r>
        <w:rPr>
          <w:rFonts w:hint="eastAsia"/>
        </w:rPr>
        <w:t>施工期的噪声主要可分为机械噪声、施工作业噪声和施工车辆噪声。机械噪声主要由施工机械所造成，如挖土机、推土机、振捣棒等，多为点声源；施工作业噪声主要指一些零星的敲打声、装卸车辆的撞击声、吆喝声、拆装模板的撞击声等，多为瞬间噪声；施工车辆的噪声属于交通噪声。在这些施工噪声中对周围声环境影响最大的是机械噪声。主要施工机械的噪声源强见下表。</w:t>
      </w:r>
    </w:p>
    <w:p w14:paraId="5F8EB86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b/>
          <w:bCs/>
        </w:rPr>
      </w:pPr>
      <w:r>
        <w:rPr>
          <w:rFonts w:hint="default"/>
          <w:b/>
          <w:bCs/>
        </w:rPr>
        <w:t>表</w:t>
      </w:r>
      <w:r>
        <w:rPr>
          <w:rFonts w:hint="default"/>
          <w:b/>
          <w:bCs/>
          <w:lang w:val="en-US" w:eastAsia="zh-CN"/>
        </w:rPr>
        <w:t>5</w:t>
      </w:r>
      <w:r>
        <w:rPr>
          <w:rFonts w:hint="eastAsia"/>
          <w:b/>
          <w:bCs/>
          <w:lang w:val="en-US" w:eastAsia="zh-CN"/>
        </w:rPr>
        <w:t>.1</w:t>
      </w:r>
      <w:r>
        <w:rPr>
          <w:rFonts w:hint="default"/>
          <w:b/>
          <w:bCs/>
        </w:rPr>
        <w:t>-</w:t>
      </w:r>
      <w:r>
        <w:rPr>
          <w:rFonts w:hint="eastAsia"/>
          <w:b/>
          <w:bCs/>
          <w:lang w:val="en-US" w:eastAsia="zh-CN"/>
        </w:rPr>
        <w:t>5</w:t>
      </w:r>
      <w:r>
        <w:rPr>
          <w:rFonts w:hint="default"/>
          <w:b/>
          <w:bCs/>
          <w:lang w:val="en-US" w:eastAsia="zh-CN"/>
        </w:rPr>
        <w:t xml:space="preserve">     </w:t>
      </w:r>
      <w:r>
        <w:rPr>
          <w:rFonts w:hint="default"/>
          <w:b/>
          <w:bCs/>
        </w:rPr>
        <w:t>主要施工机械设备的噪声声级一览表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564"/>
        <w:gridCol w:w="2580"/>
        <w:gridCol w:w="2128"/>
        <w:gridCol w:w="2101"/>
      </w:tblGrid>
      <w:tr w14:paraId="558645C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7E6032B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序号</w:t>
            </w:r>
          </w:p>
        </w:tc>
        <w:tc>
          <w:tcPr>
            <w:tcW w:w="2578" w:type="dxa"/>
            <w:tcBorders>
              <w:tl2br w:val="nil"/>
              <w:tr2bl w:val="nil"/>
            </w:tcBorders>
            <w:noWrap w:val="0"/>
            <w:vAlign w:val="center"/>
          </w:tcPr>
          <w:p w14:paraId="0921A39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声源名称</w:t>
            </w:r>
          </w:p>
        </w:tc>
        <w:tc>
          <w:tcPr>
            <w:tcW w:w="2126" w:type="dxa"/>
            <w:tcBorders>
              <w:tl2br w:val="nil"/>
              <w:tr2bl w:val="nil"/>
            </w:tcBorders>
            <w:noWrap w:val="0"/>
            <w:vAlign w:val="center"/>
          </w:tcPr>
          <w:p w14:paraId="4225518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噪声级</w:t>
            </w:r>
            <w:r>
              <w:rPr>
                <w:rFonts w:hint="default" w:ascii="Times New Roman" w:hAnsi="Times New Roman" w:cs="Times New Roman"/>
                <w:b/>
                <w:bCs/>
                <w:sz w:val="21"/>
                <w:szCs w:val="24"/>
              </w:rPr>
              <w:t>dB(A)</w:t>
            </w:r>
          </w:p>
        </w:tc>
        <w:tc>
          <w:tcPr>
            <w:tcW w:w="2099" w:type="dxa"/>
            <w:tcBorders>
              <w:tl2br w:val="nil"/>
              <w:tr2bl w:val="nil"/>
            </w:tcBorders>
            <w:noWrap w:val="0"/>
            <w:vAlign w:val="center"/>
          </w:tcPr>
          <w:p w14:paraId="118F69B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备注</w:t>
            </w:r>
          </w:p>
        </w:tc>
      </w:tr>
      <w:tr w14:paraId="6045DFE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4D6D73F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w:t>
            </w:r>
          </w:p>
        </w:tc>
        <w:tc>
          <w:tcPr>
            <w:tcW w:w="2578" w:type="dxa"/>
            <w:tcBorders>
              <w:tl2br w:val="nil"/>
              <w:tr2bl w:val="nil"/>
            </w:tcBorders>
            <w:noWrap w:val="0"/>
            <w:vAlign w:val="center"/>
          </w:tcPr>
          <w:p w14:paraId="5FBA77B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挖掘机</w:t>
            </w:r>
          </w:p>
        </w:tc>
        <w:tc>
          <w:tcPr>
            <w:tcW w:w="2126" w:type="dxa"/>
            <w:tcBorders>
              <w:tl2br w:val="nil"/>
              <w:tr2bl w:val="nil"/>
            </w:tcBorders>
            <w:noWrap w:val="0"/>
            <w:vAlign w:val="center"/>
          </w:tcPr>
          <w:p w14:paraId="2019FCB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91</w:t>
            </w:r>
          </w:p>
        </w:tc>
        <w:tc>
          <w:tcPr>
            <w:tcW w:w="2099" w:type="dxa"/>
            <w:tcBorders>
              <w:tl2br w:val="nil"/>
              <w:tr2bl w:val="nil"/>
            </w:tcBorders>
            <w:noWrap w:val="0"/>
            <w:vAlign w:val="center"/>
          </w:tcPr>
          <w:p w14:paraId="48C2A5A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497E766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55C2913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w:t>
            </w:r>
          </w:p>
        </w:tc>
        <w:tc>
          <w:tcPr>
            <w:tcW w:w="2578" w:type="dxa"/>
            <w:tcBorders>
              <w:tl2br w:val="nil"/>
              <w:tr2bl w:val="nil"/>
            </w:tcBorders>
            <w:noWrap w:val="0"/>
            <w:vAlign w:val="center"/>
          </w:tcPr>
          <w:p w14:paraId="672A1E6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推土机</w:t>
            </w:r>
          </w:p>
        </w:tc>
        <w:tc>
          <w:tcPr>
            <w:tcW w:w="2126" w:type="dxa"/>
            <w:tcBorders>
              <w:tl2br w:val="nil"/>
              <w:tr2bl w:val="nil"/>
            </w:tcBorders>
            <w:noWrap w:val="0"/>
            <w:vAlign w:val="center"/>
          </w:tcPr>
          <w:p w14:paraId="021CCB1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90</w:t>
            </w:r>
          </w:p>
        </w:tc>
        <w:tc>
          <w:tcPr>
            <w:tcW w:w="2099" w:type="dxa"/>
            <w:tcBorders>
              <w:tl2br w:val="nil"/>
              <w:tr2bl w:val="nil"/>
            </w:tcBorders>
            <w:noWrap w:val="0"/>
            <w:vAlign w:val="center"/>
          </w:tcPr>
          <w:p w14:paraId="7ACCCF4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564945D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359A669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w:t>
            </w:r>
          </w:p>
        </w:tc>
        <w:tc>
          <w:tcPr>
            <w:tcW w:w="2578" w:type="dxa"/>
            <w:tcBorders>
              <w:tl2br w:val="nil"/>
              <w:tr2bl w:val="nil"/>
            </w:tcBorders>
            <w:noWrap w:val="0"/>
            <w:vAlign w:val="center"/>
          </w:tcPr>
          <w:p w14:paraId="58A899F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振捣棒</w:t>
            </w:r>
          </w:p>
        </w:tc>
        <w:tc>
          <w:tcPr>
            <w:tcW w:w="2126" w:type="dxa"/>
            <w:tcBorders>
              <w:tl2br w:val="nil"/>
              <w:tr2bl w:val="nil"/>
            </w:tcBorders>
            <w:noWrap w:val="0"/>
            <w:vAlign w:val="center"/>
          </w:tcPr>
          <w:p w14:paraId="332B1BA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w:t>
            </w:r>
          </w:p>
        </w:tc>
        <w:tc>
          <w:tcPr>
            <w:tcW w:w="2099" w:type="dxa"/>
            <w:tcBorders>
              <w:tl2br w:val="nil"/>
              <w:tr2bl w:val="nil"/>
            </w:tcBorders>
            <w:noWrap w:val="0"/>
            <w:vAlign w:val="center"/>
          </w:tcPr>
          <w:p w14:paraId="35E5CA1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3F6C0A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061F1C6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w:t>
            </w:r>
          </w:p>
        </w:tc>
        <w:tc>
          <w:tcPr>
            <w:tcW w:w="2578" w:type="dxa"/>
            <w:tcBorders>
              <w:tl2br w:val="nil"/>
              <w:tr2bl w:val="nil"/>
            </w:tcBorders>
            <w:noWrap w:val="0"/>
            <w:vAlign w:val="center"/>
          </w:tcPr>
          <w:p w14:paraId="63459DE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切割机</w:t>
            </w:r>
          </w:p>
        </w:tc>
        <w:tc>
          <w:tcPr>
            <w:tcW w:w="2126" w:type="dxa"/>
            <w:tcBorders>
              <w:tl2br w:val="nil"/>
              <w:tr2bl w:val="nil"/>
            </w:tcBorders>
            <w:noWrap w:val="0"/>
            <w:vAlign w:val="center"/>
          </w:tcPr>
          <w:p w14:paraId="2FCC332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95</w:t>
            </w:r>
          </w:p>
        </w:tc>
        <w:tc>
          <w:tcPr>
            <w:tcW w:w="2099" w:type="dxa"/>
            <w:tcBorders>
              <w:tl2br w:val="nil"/>
              <w:tr2bl w:val="nil"/>
            </w:tcBorders>
            <w:noWrap w:val="0"/>
            <w:vAlign w:val="center"/>
          </w:tcPr>
          <w:p w14:paraId="0A3F1E5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0BAB15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08D2618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w:t>
            </w:r>
          </w:p>
        </w:tc>
        <w:tc>
          <w:tcPr>
            <w:tcW w:w="2578" w:type="dxa"/>
            <w:tcBorders>
              <w:tl2br w:val="nil"/>
              <w:tr2bl w:val="nil"/>
            </w:tcBorders>
            <w:noWrap w:val="0"/>
            <w:vAlign w:val="center"/>
          </w:tcPr>
          <w:p w14:paraId="5848720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电钻</w:t>
            </w:r>
          </w:p>
        </w:tc>
        <w:tc>
          <w:tcPr>
            <w:tcW w:w="2126" w:type="dxa"/>
            <w:tcBorders>
              <w:tl2br w:val="nil"/>
              <w:tr2bl w:val="nil"/>
            </w:tcBorders>
            <w:noWrap w:val="0"/>
            <w:vAlign w:val="center"/>
          </w:tcPr>
          <w:p w14:paraId="580A895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92</w:t>
            </w:r>
          </w:p>
        </w:tc>
        <w:tc>
          <w:tcPr>
            <w:tcW w:w="2099" w:type="dxa"/>
            <w:tcBorders>
              <w:tl2br w:val="nil"/>
              <w:tr2bl w:val="nil"/>
            </w:tcBorders>
            <w:noWrap w:val="0"/>
            <w:vAlign w:val="center"/>
          </w:tcPr>
          <w:p w14:paraId="75D48E5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6E38D89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6E7F332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6</w:t>
            </w:r>
          </w:p>
        </w:tc>
        <w:tc>
          <w:tcPr>
            <w:tcW w:w="2578" w:type="dxa"/>
            <w:tcBorders>
              <w:tl2br w:val="nil"/>
              <w:tr2bl w:val="nil"/>
            </w:tcBorders>
            <w:noWrap w:val="0"/>
            <w:vAlign w:val="center"/>
          </w:tcPr>
          <w:p w14:paraId="65ED0DD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吊车</w:t>
            </w:r>
          </w:p>
        </w:tc>
        <w:tc>
          <w:tcPr>
            <w:tcW w:w="2126" w:type="dxa"/>
            <w:tcBorders>
              <w:tl2br w:val="nil"/>
              <w:tr2bl w:val="nil"/>
            </w:tcBorders>
            <w:noWrap w:val="0"/>
            <w:vAlign w:val="center"/>
          </w:tcPr>
          <w:p w14:paraId="04F271D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85</w:t>
            </w:r>
          </w:p>
        </w:tc>
        <w:tc>
          <w:tcPr>
            <w:tcW w:w="2099" w:type="dxa"/>
            <w:tcBorders>
              <w:tl2br w:val="nil"/>
              <w:tr2bl w:val="nil"/>
            </w:tcBorders>
            <w:noWrap w:val="0"/>
            <w:vAlign w:val="center"/>
          </w:tcPr>
          <w:p w14:paraId="2988491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r w14:paraId="098F2B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63" w:type="dxa"/>
            <w:tcBorders>
              <w:tl2br w:val="nil"/>
              <w:tr2bl w:val="nil"/>
            </w:tcBorders>
            <w:noWrap w:val="0"/>
            <w:vAlign w:val="center"/>
          </w:tcPr>
          <w:p w14:paraId="1240E0F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7</w:t>
            </w:r>
          </w:p>
        </w:tc>
        <w:tc>
          <w:tcPr>
            <w:tcW w:w="2578" w:type="dxa"/>
            <w:tcBorders>
              <w:tl2br w:val="nil"/>
              <w:tr2bl w:val="nil"/>
            </w:tcBorders>
            <w:noWrap w:val="0"/>
            <w:vAlign w:val="center"/>
          </w:tcPr>
          <w:p w14:paraId="25716CB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载重汽车</w:t>
            </w:r>
          </w:p>
        </w:tc>
        <w:tc>
          <w:tcPr>
            <w:tcW w:w="2126" w:type="dxa"/>
            <w:tcBorders>
              <w:tl2br w:val="nil"/>
              <w:tr2bl w:val="nil"/>
            </w:tcBorders>
            <w:noWrap w:val="0"/>
            <w:vAlign w:val="center"/>
          </w:tcPr>
          <w:p w14:paraId="6B6E9EF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85</w:t>
            </w:r>
          </w:p>
        </w:tc>
        <w:tc>
          <w:tcPr>
            <w:tcW w:w="2099" w:type="dxa"/>
            <w:tcBorders>
              <w:tl2br w:val="nil"/>
              <w:tr2bl w:val="nil"/>
            </w:tcBorders>
            <w:noWrap w:val="0"/>
            <w:vAlign w:val="center"/>
          </w:tcPr>
          <w:p w14:paraId="78A3945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距声源</w:t>
            </w:r>
            <w:r>
              <w:rPr>
                <w:rFonts w:hint="default" w:ascii="Times New Roman" w:hAnsi="Times New Roman" w:cs="Times New Roman"/>
                <w:sz w:val="21"/>
                <w:szCs w:val="24"/>
              </w:rPr>
              <w:t>1m</w:t>
            </w:r>
          </w:p>
        </w:tc>
      </w:tr>
    </w:tbl>
    <w:p w14:paraId="515B1912">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施工期间施工机械产生的噪声对环境的影响可采用点源预测模式计算，预测公式噪声传播衰减模式为：</w:t>
      </w:r>
    </w:p>
    <w:p w14:paraId="546CB6BB">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LA(r)=LA(r0)-20lg(r/r0)</w:t>
      </w:r>
    </w:p>
    <w:p w14:paraId="50032274">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式中：LA(r)——距声源r处的A声级，dB(A)；</w:t>
      </w:r>
    </w:p>
    <w:p w14:paraId="1C5C0DBF">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LA(r0)——距声源r0处的A声级，dB(A)；</w:t>
      </w:r>
    </w:p>
    <w:p w14:paraId="106268EB">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r——预测点距噪声源距离，m；</w:t>
      </w:r>
    </w:p>
    <w:p w14:paraId="155B6DFA">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r0——距噪声源的参照距离，m。</w:t>
      </w:r>
    </w:p>
    <w:p w14:paraId="03B45D86">
      <w:pPr>
        <w:keepNext w:val="0"/>
        <w:keepLines w:val="0"/>
        <w:pageBreakBefore w:val="0"/>
        <w:widowControl w:val="0"/>
        <w:kinsoku/>
        <w:wordWrap/>
        <w:overflowPunct/>
        <w:topLinePunct w:val="0"/>
        <w:autoSpaceDE/>
        <w:autoSpaceDN/>
        <w:bidi w:val="0"/>
        <w:adjustRightInd w:val="0"/>
        <w:snapToGrid w:val="0"/>
        <w:textAlignment w:val="baseline"/>
      </w:pPr>
      <w:r>
        <w:rPr>
          <w:rFonts w:hint="eastAsia"/>
        </w:rPr>
        <w:t>主要施工机械噪声随距离的衰减情况见下表。</w:t>
      </w:r>
    </w:p>
    <w:p w14:paraId="3643606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b/>
          <w:bCs/>
        </w:rPr>
      </w:pPr>
      <w:r>
        <w:rPr>
          <w:rFonts w:hint="default"/>
          <w:b/>
          <w:bCs/>
        </w:rPr>
        <w:t>表</w:t>
      </w:r>
      <w:r>
        <w:rPr>
          <w:rFonts w:hint="default"/>
          <w:b/>
          <w:bCs/>
          <w:lang w:val="en-US" w:eastAsia="zh-CN"/>
        </w:rPr>
        <w:t>5</w:t>
      </w:r>
      <w:r>
        <w:rPr>
          <w:rFonts w:hint="eastAsia"/>
          <w:b/>
          <w:bCs/>
          <w:lang w:val="en-US" w:eastAsia="zh-CN"/>
        </w:rPr>
        <w:t>.1</w:t>
      </w:r>
      <w:r>
        <w:rPr>
          <w:rFonts w:hint="default"/>
          <w:b/>
          <w:bCs/>
        </w:rPr>
        <w:t>-</w:t>
      </w:r>
      <w:r>
        <w:rPr>
          <w:rFonts w:hint="eastAsia"/>
          <w:b/>
          <w:bCs/>
          <w:lang w:val="en-US" w:eastAsia="zh-CN"/>
        </w:rPr>
        <w:t>6</w:t>
      </w:r>
      <w:r>
        <w:rPr>
          <w:rFonts w:hint="default"/>
          <w:b/>
          <w:bCs/>
          <w:lang w:val="en-US" w:eastAsia="zh-CN"/>
        </w:rPr>
        <w:t xml:space="preserve">     </w:t>
      </w:r>
      <w:r>
        <w:rPr>
          <w:rFonts w:hint="default"/>
          <w:b/>
          <w:bCs/>
        </w:rPr>
        <w:t>本项目施工期噪声源强及达标情况一览表    单位：dB（A）</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2586"/>
        <w:gridCol w:w="2566"/>
        <w:gridCol w:w="1638"/>
        <w:gridCol w:w="1582"/>
      </w:tblGrid>
      <w:tr w14:paraId="1C319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vMerge w:val="restart"/>
            <w:tcBorders>
              <w:top w:val="single" w:color="000000" w:sz="8" w:space="0"/>
              <w:left w:val="single" w:color="000000" w:sz="8" w:space="0"/>
              <w:bottom w:val="single" w:color="000000" w:sz="4" w:space="0"/>
              <w:right w:val="single" w:color="000000" w:sz="4" w:space="0"/>
            </w:tcBorders>
            <w:noWrap w:val="0"/>
            <w:vAlign w:val="center"/>
          </w:tcPr>
          <w:p w14:paraId="5575B89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噪声设备</w:t>
            </w:r>
          </w:p>
        </w:tc>
        <w:tc>
          <w:tcPr>
            <w:tcW w:w="2564" w:type="dxa"/>
            <w:vMerge w:val="restart"/>
            <w:tcBorders>
              <w:top w:val="single" w:color="000000" w:sz="8" w:space="0"/>
              <w:left w:val="single" w:color="000000" w:sz="4" w:space="0"/>
              <w:bottom w:val="single" w:color="000000" w:sz="4" w:space="0"/>
              <w:right w:val="single" w:color="000000" w:sz="4" w:space="0"/>
            </w:tcBorders>
            <w:noWrap w:val="0"/>
            <w:vAlign w:val="center"/>
          </w:tcPr>
          <w:p w14:paraId="2C8585A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设备噪声源强</w:t>
            </w:r>
            <w:r>
              <w:rPr>
                <w:rFonts w:hint="default" w:ascii="Times New Roman" w:hAnsi="Times New Roman" w:cs="Times New Roman"/>
                <w:b/>
                <w:bCs/>
                <w:sz w:val="21"/>
                <w:szCs w:val="24"/>
              </w:rPr>
              <w:t>dB</w:t>
            </w:r>
            <w:r>
              <w:rPr>
                <w:rFonts w:hint="default" w:ascii="Times New Roman" w:hAnsi="Times New Roman" w:eastAsia="宋体" w:cs="Times New Roman"/>
                <w:b/>
                <w:bCs/>
                <w:sz w:val="21"/>
                <w:szCs w:val="24"/>
              </w:rPr>
              <w:t>（</w:t>
            </w:r>
            <w:r>
              <w:rPr>
                <w:rFonts w:hint="default" w:ascii="Times New Roman" w:hAnsi="Times New Roman" w:cs="Times New Roman"/>
                <w:b/>
                <w:bCs/>
                <w:sz w:val="21"/>
                <w:szCs w:val="24"/>
              </w:rPr>
              <w:t>A</w:t>
            </w:r>
            <w:r>
              <w:rPr>
                <w:rFonts w:hint="default" w:ascii="Times New Roman" w:hAnsi="Times New Roman" w:eastAsia="宋体" w:cs="Times New Roman"/>
                <w:b/>
                <w:bCs/>
                <w:sz w:val="21"/>
                <w:szCs w:val="24"/>
              </w:rPr>
              <w:t>）</w:t>
            </w:r>
          </w:p>
        </w:tc>
        <w:tc>
          <w:tcPr>
            <w:tcW w:w="3218" w:type="dxa"/>
            <w:gridSpan w:val="2"/>
            <w:tcBorders>
              <w:top w:val="single" w:color="000000" w:sz="8" w:space="0"/>
              <w:left w:val="single" w:color="000000" w:sz="4" w:space="0"/>
              <w:bottom w:val="single" w:color="000000" w:sz="4" w:space="0"/>
              <w:right w:val="single" w:color="000000" w:sz="8" w:space="0"/>
            </w:tcBorders>
            <w:noWrap w:val="0"/>
            <w:vAlign w:val="center"/>
          </w:tcPr>
          <w:p w14:paraId="50D1853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达标距离</w:t>
            </w:r>
            <w:r>
              <w:rPr>
                <w:rFonts w:hint="default" w:ascii="Times New Roman" w:hAnsi="Times New Roman" w:cs="Times New Roman"/>
                <w:b/>
                <w:bCs/>
                <w:sz w:val="21"/>
                <w:szCs w:val="24"/>
              </w:rPr>
              <w:t>m</w:t>
            </w:r>
          </w:p>
        </w:tc>
      </w:tr>
      <w:tr w14:paraId="4CDF8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vMerge w:val="continue"/>
            <w:tcBorders>
              <w:top w:val="single" w:color="000000" w:sz="4" w:space="0"/>
              <w:left w:val="single" w:color="000000" w:sz="8" w:space="0"/>
              <w:bottom w:val="single" w:color="000000" w:sz="4" w:space="0"/>
              <w:right w:val="single" w:color="000000" w:sz="4" w:space="0"/>
            </w:tcBorders>
            <w:noWrap w:val="0"/>
            <w:vAlign w:val="center"/>
          </w:tcPr>
          <w:p w14:paraId="7E8093FC">
            <w:pPr>
              <w:pStyle w:val="16"/>
              <w:keepNext w:val="0"/>
              <w:keepLines w:val="0"/>
              <w:pageBreakBefore w:val="0"/>
              <w:widowControl/>
              <w:tabs>
                <w:tab w:val="left" w:pos="2425"/>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z w:val="2"/>
                <w:szCs w:val="24"/>
              </w:rPr>
            </w:pPr>
          </w:p>
        </w:tc>
        <w:tc>
          <w:tcPr>
            <w:tcW w:w="25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9A1F84">
            <w:pPr>
              <w:pStyle w:val="16"/>
              <w:keepNext w:val="0"/>
              <w:keepLines w:val="0"/>
              <w:pageBreakBefore w:val="0"/>
              <w:widowControl/>
              <w:tabs>
                <w:tab w:val="left" w:pos="2425"/>
              </w:tabs>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sz w:val="2"/>
                <w:szCs w:val="24"/>
              </w:rPr>
            </w:pP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3BE4C5A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昼间</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1C42776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夜间</w:t>
            </w:r>
          </w:p>
        </w:tc>
      </w:tr>
      <w:tr w14:paraId="14F17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0CBC3E7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挖掘机</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6AC5843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91</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6EE06E6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11</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46D8C9E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63</w:t>
            </w:r>
          </w:p>
        </w:tc>
      </w:tr>
      <w:tr w14:paraId="5F84F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1972FDA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推土机</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70AE473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90</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23EB3C5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65FEDA9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56</w:t>
            </w:r>
          </w:p>
        </w:tc>
      </w:tr>
      <w:tr w14:paraId="6A73B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6962235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振捣棒</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60EE141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1F67FCB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31.6</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0722254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177.8</w:t>
            </w:r>
          </w:p>
        </w:tc>
      </w:tr>
      <w:tr w14:paraId="0EE0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10591C3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切割机</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47B02D5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95</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7BA2F66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17.8</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1A2C3B5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100</w:t>
            </w:r>
          </w:p>
        </w:tc>
      </w:tr>
      <w:tr w14:paraId="14C38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625B9DC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电钻</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74B6ABA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92</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18E4B74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12.6</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2C92DA9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70.8</w:t>
            </w:r>
          </w:p>
        </w:tc>
      </w:tr>
      <w:tr w14:paraId="3E007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1D8843C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吊车</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5828EF4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85</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42B3F37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5.6</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471BBF8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31.6</w:t>
            </w:r>
          </w:p>
        </w:tc>
      </w:tr>
      <w:tr w14:paraId="2DADF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09281B9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载重卡车</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60B60DD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85</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6FA684C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5.6</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424A687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31.6</w:t>
            </w:r>
          </w:p>
        </w:tc>
      </w:tr>
      <w:tr w14:paraId="2265B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584" w:type="dxa"/>
            <w:tcBorders>
              <w:top w:val="single" w:color="000000" w:sz="4" w:space="0"/>
              <w:left w:val="single" w:color="000000" w:sz="8" w:space="0"/>
              <w:bottom w:val="single" w:color="000000" w:sz="4" w:space="0"/>
              <w:right w:val="single" w:color="000000" w:sz="4" w:space="0"/>
            </w:tcBorders>
            <w:noWrap w:val="0"/>
            <w:vAlign w:val="center"/>
          </w:tcPr>
          <w:p w14:paraId="7E56B8E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设备叠加噪声值</w:t>
            </w:r>
          </w:p>
        </w:tc>
        <w:tc>
          <w:tcPr>
            <w:tcW w:w="2564" w:type="dxa"/>
            <w:tcBorders>
              <w:top w:val="single" w:color="000000" w:sz="4" w:space="0"/>
              <w:left w:val="single" w:color="000000" w:sz="4" w:space="0"/>
              <w:bottom w:val="single" w:color="000000" w:sz="4" w:space="0"/>
              <w:right w:val="single" w:color="000000" w:sz="4" w:space="0"/>
            </w:tcBorders>
            <w:noWrap w:val="0"/>
            <w:vAlign w:val="center"/>
          </w:tcPr>
          <w:p w14:paraId="7CED655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102.46</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14:paraId="2624EC9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42</w:t>
            </w:r>
          </w:p>
        </w:tc>
        <w:tc>
          <w:tcPr>
            <w:tcW w:w="1581" w:type="dxa"/>
            <w:tcBorders>
              <w:top w:val="single" w:color="000000" w:sz="4" w:space="0"/>
              <w:left w:val="single" w:color="000000" w:sz="4" w:space="0"/>
              <w:bottom w:val="single" w:color="000000" w:sz="4" w:space="0"/>
              <w:right w:val="single" w:color="000000" w:sz="8" w:space="0"/>
            </w:tcBorders>
            <w:noWrap w:val="0"/>
            <w:vAlign w:val="center"/>
          </w:tcPr>
          <w:p w14:paraId="5C5392A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236</w:t>
            </w:r>
          </w:p>
        </w:tc>
      </w:tr>
      <w:tr w14:paraId="7CF03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66" w:type="dxa"/>
            <w:gridSpan w:val="4"/>
            <w:tcBorders>
              <w:top w:val="single" w:color="000000" w:sz="4" w:space="0"/>
              <w:left w:val="single" w:color="000000" w:sz="8" w:space="0"/>
              <w:bottom w:val="single" w:color="000000" w:sz="4" w:space="0"/>
              <w:right w:val="single" w:color="000000" w:sz="8" w:space="0"/>
            </w:tcBorders>
            <w:noWrap w:val="0"/>
            <w:vAlign w:val="center"/>
          </w:tcPr>
          <w:p w14:paraId="05E2DB3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《建筑施工场界环境噪声排放标准》（</w:t>
            </w:r>
            <w:r>
              <w:rPr>
                <w:rFonts w:hint="default" w:ascii="Times New Roman" w:hAnsi="Times New Roman" w:cs="Times New Roman"/>
                <w:sz w:val="21"/>
                <w:szCs w:val="24"/>
              </w:rPr>
              <w:t>GB12523-2011</w:t>
            </w:r>
            <w:r>
              <w:rPr>
                <w:rFonts w:hint="default" w:ascii="Times New Roman" w:hAnsi="Times New Roman" w:eastAsia="宋体" w:cs="Times New Roman"/>
                <w:sz w:val="21"/>
                <w:szCs w:val="24"/>
              </w:rPr>
              <w:t>）（昼间</w:t>
            </w:r>
            <w:r>
              <w:rPr>
                <w:rFonts w:hint="default" w:ascii="Times New Roman" w:hAnsi="Times New Roman" w:cs="Times New Roman"/>
                <w:sz w:val="21"/>
                <w:szCs w:val="24"/>
              </w:rPr>
              <w:t>70dB(A)</w:t>
            </w:r>
            <w:r>
              <w:rPr>
                <w:rFonts w:hint="default" w:ascii="Times New Roman" w:hAnsi="Times New Roman" w:eastAsia="宋体" w:cs="Times New Roman"/>
                <w:sz w:val="21"/>
                <w:szCs w:val="24"/>
              </w:rPr>
              <w:t>、夜间</w:t>
            </w:r>
            <w:r>
              <w:rPr>
                <w:rFonts w:hint="default" w:ascii="Times New Roman" w:hAnsi="Times New Roman" w:cs="Times New Roman"/>
                <w:sz w:val="21"/>
                <w:szCs w:val="24"/>
              </w:rPr>
              <w:t>55dB(A)</w:t>
            </w:r>
            <w:r>
              <w:rPr>
                <w:rFonts w:hint="default" w:ascii="Times New Roman" w:hAnsi="Times New Roman" w:eastAsia="宋体" w:cs="Times New Roman"/>
                <w:sz w:val="21"/>
                <w:szCs w:val="24"/>
              </w:rPr>
              <w:t>）</w:t>
            </w:r>
          </w:p>
        </w:tc>
      </w:tr>
      <w:tr w14:paraId="77E89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66" w:type="dxa"/>
            <w:gridSpan w:val="4"/>
            <w:tcBorders>
              <w:top w:val="single" w:color="000000" w:sz="4" w:space="0"/>
              <w:left w:val="single" w:color="000000" w:sz="8" w:space="0"/>
              <w:bottom w:val="single" w:color="000000" w:sz="8" w:space="0"/>
              <w:right w:val="single" w:color="000000" w:sz="8" w:space="0"/>
            </w:tcBorders>
            <w:noWrap w:val="0"/>
            <w:vAlign w:val="center"/>
          </w:tcPr>
          <w:p w14:paraId="0148426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sz w:val="21"/>
                <w:szCs w:val="24"/>
              </w:rPr>
            </w:pPr>
            <w:r>
              <w:rPr>
                <w:rFonts w:hint="default" w:ascii="Times New Roman" w:hAnsi="Times New Roman" w:eastAsia="宋体" w:cs="Times New Roman"/>
                <w:sz w:val="21"/>
                <w:szCs w:val="24"/>
              </w:rPr>
              <w:t>备注：本项目只在昼间施工，夜间不施工。</w:t>
            </w:r>
          </w:p>
        </w:tc>
      </w:tr>
    </w:tbl>
    <w:p w14:paraId="11B1785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eastAsia"/>
          <w:lang w:val="en-US" w:eastAsia="zh-CN"/>
        </w:rPr>
        <w:t>5.1.3.2施工期声环境影响分析</w:t>
      </w:r>
    </w:p>
    <w:p w14:paraId="64E7FAA0">
      <w:r>
        <w:rPr>
          <w:rFonts w:hint="eastAsia"/>
        </w:rPr>
        <w:t>本项目施工期噪声执行《建筑施工场界环境噪声排放标准》（GB12523-2011），见表5</w:t>
      </w:r>
      <w:r>
        <w:rPr>
          <w:rFonts w:hint="eastAsia"/>
          <w:lang w:val="en-US" w:eastAsia="zh-CN"/>
        </w:rPr>
        <w:t>.1</w:t>
      </w:r>
      <w:r>
        <w:rPr>
          <w:rFonts w:hint="eastAsia"/>
        </w:rPr>
        <w:t>-7。从表5</w:t>
      </w:r>
      <w:r>
        <w:rPr>
          <w:rFonts w:hint="eastAsia"/>
          <w:lang w:val="en-US" w:eastAsia="zh-CN"/>
        </w:rPr>
        <w:t>.1</w:t>
      </w:r>
      <w:r>
        <w:rPr>
          <w:rFonts w:hint="eastAsia"/>
        </w:rPr>
        <w:t>-6中可看出，施工期最大噪声源振捣棒的昼间噪声超标的情况出现在距声源31.6m范围内，夜间施工噪声超标情况出现在177.8m范围内；施工期设备叠加噪声昼间噪声超标的情况出现在距声源42m范围内，夜间施工噪声超标情况出现在236m范围内。本项目夜间不施工，昼间施工时评价要求高噪声施工设备要合理安排施工位置，远离厂界，使厂界昼间噪声达标。</w:t>
      </w:r>
    </w:p>
    <w:p w14:paraId="1200DB8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b/>
          <w:bCs/>
        </w:rPr>
      </w:pPr>
      <w:r>
        <w:rPr>
          <w:rFonts w:hint="default"/>
          <w:b/>
          <w:bCs/>
        </w:rPr>
        <w:t>表</w:t>
      </w:r>
      <w:r>
        <w:rPr>
          <w:rFonts w:hint="default"/>
          <w:b/>
          <w:bCs/>
          <w:lang w:val="en-US" w:eastAsia="zh-CN"/>
        </w:rPr>
        <w:t>5</w:t>
      </w:r>
      <w:r>
        <w:rPr>
          <w:rFonts w:hint="eastAsia"/>
          <w:b/>
          <w:bCs/>
          <w:lang w:val="en-US" w:eastAsia="zh-CN"/>
        </w:rPr>
        <w:t>.1</w:t>
      </w:r>
      <w:r>
        <w:rPr>
          <w:rFonts w:hint="default"/>
          <w:b/>
          <w:bCs/>
        </w:rPr>
        <w:t>-</w:t>
      </w:r>
      <w:r>
        <w:rPr>
          <w:rFonts w:hint="eastAsia"/>
          <w:b/>
          <w:bCs/>
          <w:lang w:val="en-US" w:eastAsia="zh-CN"/>
        </w:rPr>
        <w:t>7</w:t>
      </w:r>
      <w:r>
        <w:rPr>
          <w:rFonts w:hint="default"/>
          <w:b/>
          <w:bCs/>
          <w:lang w:val="en-US" w:eastAsia="zh-CN"/>
        </w:rPr>
        <w:t xml:space="preserve">     </w:t>
      </w:r>
      <w:r>
        <w:rPr>
          <w:rFonts w:hint="default"/>
          <w:b/>
          <w:bCs/>
        </w:rPr>
        <w:t>建筑施工场界环境噪声排放限值        单位dB(A)</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4144"/>
        <w:gridCol w:w="4228"/>
      </w:tblGrid>
      <w:tr w14:paraId="24A46BD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4141" w:type="dxa"/>
            <w:tcBorders>
              <w:tl2br w:val="nil"/>
              <w:tr2bl w:val="nil"/>
            </w:tcBorders>
            <w:noWrap w:val="0"/>
            <w:vAlign w:val="center"/>
          </w:tcPr>
          <w:p w14:paraId="1D691EB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昼间</w:t>
            </w:r>
          </w:p>
        </w:tc>
        <w:tc>
          <w:tcPr>
            <w:tcW w:w="4225" w:type="dxa"/>
            <w:tcBorders>
              <w:tl2br w:val="nil"/>
              <w:tr2bl w:val="nil"/>
            </w:tcBorders>
            <w:noWrap w:val="0"/>
            <w:vAlign w:val="center"/>
          </w:tcPr>
          <w:p w14:paraId="04C8060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eastAsia="宋体" w:cs="Times New Roman"/>
                <w:b/>
                <w:bCs/>
                <w:sz w:val="21"/>
                <w:szCs w:val="24"/>
              </w:rPr>
              <w:t>夜间</w:t>
            </w:r>
          </w:p>
        </w:tc>
      </w:tr>
      <w:tr w14:paraId="6772C9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4141" w:type="dxa"/>
            <w:tcBorders>
              <w:tl2br w:val="nil"/>
              <w:tr2bl w:val="nil"/>
            </w:tcBorders>
            <w:noWrap w:val="0"/>
            <w:vAlign w:val="center"/>
          </w:tcPr>
          <w:p w14:paraId="1670782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70</w:t>
            </w:r>
          </w:p>
        </w:tc>
        <w:tc>
          <w:tcPr>
            <w:tcW w:w="4225" w:type="dxa"/>
            <w:tcBorders>
              <w:tl2br w:val="nil"/>
              <w:tr2bl w:val="nil"/>
            </w:tcBorders>
            <w:noWrap w:val="0"/>
            <w:vAlign w:val="center"/>
          </w:tcPr>
          <w:p w14:paraId="5CC61BF2">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55</w:t>
            </w:r>
          </w:p>
        </w:tc>
      </w:tr>
    </w:tbl>
    <w:p w14:paraId="6EEA3987">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距厂界最近的敏感点为项目东北侧</w:t>
      </w:r>
      <w:r>
        <w:rPr>
          <w:rFonts w:hint="eastAsia"/>
          <w:lang w:val="en-US" w:eastAsia="zh-CN"/>
        </w:rPr>
        <w:t>300</w:t>
      </w:r>
      <w:r>
        <w:rPr>
          <w:rFonts w:hint="eastAsia"/>
        </w:rPr>
        <w:t>m处的前李村。施工噪声在经过距离衰减后达到《声环境质量标准》（GB3096-2008）中的</w:t>
      </w:r>
      <w:r>
        <w:rPr>
          <w:rFonts w:hint="eastAsia"/>
          <w:lang w:val="en-US" w:eastAsia="zh-CN"/>
        </w:rPr>
        <w:t>3</w:t>
      </w:r>
      <w:r>
        <w:rPr>
          <w:rFonts w:hint="eastAsia"/>
        </w:rPr>
        <w:t>类标准昼间标准要求的最大距离范围为</w:t>
      </w:r>
      <w:r>
        <w:rPr>
          <w:rFonts w:hint="eastAsia"/>
          <w:lang w:val="en-US" w:eastAsia="zh-CN"/>
        </w:rPr>
        <w:t>135</w:t>
      </w:r>
      <w:r>
        <w:rPr>
          <w:rFonts w:hint="eastAsia"/>
        </w:rPr>
        <w:t>m。因此项目施工期噪声对周围敏感点影响较小。</w:t>
      </w:r>
    </w:p>
    <w:p w14:paraId="4C9C948E">
      <w:pPr>
        <w:keepNext w:val="0"/>
        <w:keepLines w:val="0"/>
        <w:pageBreakBefore w:val="0"/>
        <w:widowControl w:val="0"/>
        <w:kinsoku/>
        <w:wordWrap/>
        <w:overflowPunct/>
        <w:topLinePunct w:val="0"/>
        <w:autoSpaceDE/>
        <w:autoSpaceDN/>
        <w:bidi w:val="0"/>
        <w:adjustRightInd w:val="0"/>
        <w:snapToGrid w:val="0"/>
        <w:textAlignment w:val="baseline"/>
        <w:rPr>
          <w:rFonts w:hint="eastAsia"/>
        </w:rPr>
      </w:pPr>
      <w:r>
        <w:rPr>
          <w:rFonts w:hint="eastAsia"/>
        </w:rPr>
        <w:t>评价建议施工单位应合理安排施工时间，禁止夜间施工；昼间施工采取合理的施工方式，优先选用低噪声的施工设备，减少高噪声设备机械的同时运行。</w:t>
      </w:r>
    </w:p>
    <w:p w14:paraId="5A2A6870">
      <w:pPr>
        <w:keepNext w:val="0"/>
        <w:keepLines w:val="0"/>
        <w:pageBreakBefore w:val="0"/>
        <w:widowControl w:val="0"/>
        <w:kinsoku/>
        <w:wordWrap/>
        <w:overflowPunct/>
        <w:topLinePunct w:val="0"/>
        <w:autoSpaceDE/>
        <w:autoSpaceDN/>
        <w:bidi w:val="0"/>
        <w:adjustRightInd w:val="0"/>
        <w:snapToGrid w:val="0"/>
        <w:textAlignment w:val="baseline"/>
      </w:pPr>
      <w:r>
        <w:rPr>
          <w:rFonts w:hint="eastAsia"/>
        </w:rPr>
        <w:t>在采取合理措施后，可尽量减轻项目施工噪声对居民正常生活的影响。加之施工是短时期的，因此施工过程中对区域声环境的影响是暂时的，将随着施工的结束而消失。</w:t>
      </w:r>
    </w:p>
    <w:p w14:paraId="4C8A015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5.1.</w:t>
      </w:r>
      <w:r>
        <w:rPr>
          <w:rFonts w:hint="eastAsia" w:ascii="Times New Roman" w:hAnsi="Times New Roman"/>
          <w:lang w:val="en-US" w:eastAsia="zh-CN"/>
        </w:rPr>
        <w:t>4</w:t>
      </w:r>
      <w:r>
        <w:rPr>
          <w:rFonts w:hint="default" w:ascii="Times New Roman" w:hAnsi="Times New Roman"/>
          <w:lang w:val="en-US" w:eastAsia="zh-CN"/>
        </w:rPr>
        <w:t>施工期</w:t>
      </w:r>
      <w:r>
        <w:rPr>
          <w:rFonts w:hint="eastAsia" w:ascii="Times New Roman" w:hAnsi="Times New Roman"/>
          <w:lang w:val="en-US" w:eastAsia="zh-CN"/>
        </w:rPr>
        <w:t>固体废物环境影响分析</w:t>
      </w:r>
    </w:p>
    <w:p w14:paraId="1361BD97">
      <w:r>
        <w:rPr>
          <w:rFonts w:hint="eastAsia"/>
        </w:rPr>
        <w:t>施工期固体废物主要来源于施工过程中产生的建筑垃圾、弃土，以及施工人员产生的生活垃圾。施工期的弃土、建筑垃圾应及时外运，按当地环保要求运至垃圾填埋场；施工期的生活垃圾量很少，定期送至城市垃圾处理场统一处理，预计施工期固体废弃物对周围环境影响不大。</w:t>
      </w:r>
    </w:p>
    <w:p w14:paraId="6A9D88F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5.1.</w:t>
      </w:r>
      <w:r>
        <w:rPr>
          <w:rFonts w:hint="eastAsia" w:ascii="Times New Roman" w:hAnsi="Times New Roman"/>
          <w:lang w:val="en-US" w:eastAsia="zh-CN"/>
        </w:rPr>
        <w:t>5</w:t>
      </w:r>
      <w:r>
        <w:rPr>
          <w:rFonts w:hint="default" w:ascii="Times New Roman" w:hAnsi="Times New Roman"/>
          <w:lang w:val="en-US" w:eastAsia="zh-CN"/>
        </w:rPr>
        <w:t>施工期</w:t>
      </w:r>
      <w:r>
        <w:rPr>
          <w:rFonts w:hint="eastAsia" w:ascii="Times New Roman" w:hAnsi="Times New Roman"/>
          <w:lang w:val="en-US" w:eastAsia="zh-CN"/>
        </w:rPr>
        <w:t>对生态环境的影响</w:t>
      </w:r>
    </w:p>
    <w:p w14:paraId="712CCE46">
      <w:pPr>
        <w:keepNext w:val="0"/>
        <w:keepLines w:val="0"/>
        <w:pageBreakBefore w:val="0"/>
        <w:widowControl/>
        <w:numPr>
          <w:ilvl w:val="0"/>
          <w:numId w:val="0"/>
        </w:numPr>
        <w:tabs>
          <w:tab w:val="left" w:pos="727"/>
        </w:tabs>
        <w:kinsoku/>
        <w:wordWrap/>
        <w:overflowPunct/>
        <w:topLinePunct/>
        <w:autoSpaceDE w:val="0"/>
        <w:autoSpaceDN/>
        <w:bidi w:val="0"/>
        <w:adjustRightInd w:val="0"/>
        <w:snapToGrid w:val="0"/>
        <w:spacing w:line="500" w:lineRule="exact"/>
        <w:ind w:left="0" w:right="0" w:rightChars="0" w:firstLine="480" w:firstLineChars="200"/>
        <w:textAlignment w:val="auto"/>
        <w:outlineLvl w:val="9"/>
        <w:rPr>
          <w:rFonts w:hint="default" w:ascii="Times New Roman" w:hAnsi="Times New Roman" w:eastAsia="宋体" w:cs="Times New Roman"/>
          <w:b w:val="0"/>
          <w:snapToGrid w:val="0"/>
          <w:kern w:val="21"/>
          <w:sz w:val="24"/>
          <w:szCs w:val="24"/>
          <w:lang w:val="en-US" w:eastAsia="zh-CN"/>
        </w:rPr>
      </w:pPr>
      <w:r>
        <w:rPr>
          <w:rFonts w:hint="default" w:ascii="Times New Roman" w:hAnsi="Times New Roman" w:eastAsia="宋体" w:cs="Times New Roman"/>
          <w:b w:val="0"/>
          <w:snapToGrid w:val="0"/>
          <w:kern w:val="21"/>
          <w:sz w:val="24"/>
          <w:szCs w:val="24"/>
          <w:lang w:val="en-US" w:eastAsia="zh-CN"/>
        </w:rPr>
        <w:t>在项目建设阶段，施工活动对厂址地区环境生态的不利影响在生物多样性、土地利用、水土流失、植被覆盖率、土地生产力等多个方面均有体现，项目厂址地表基本无原生植被，区域生态系统敏感程度较低，且项目实施对生态环境的影响仅局限在一定范围内，所以项目的建设对区域生态结构的影响较小。</w:t>
      </w:r>
    </w:p>
    <w:p w14:paraId="7BE5DA4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5.1.</w:t>
      </w:r>
      <w:r>
        <w:rPr>
          <w:rFonts w:hint="eastAsia" w:ascii="Times New Roman" w:hAnsi="Times New Roman"/>
          <w:lang w:val="en-US" w:eastAsia="zh-CN"/>
        </w:rPr>
        <w:t>6</w:t>
      </w:r>
      <w:r>
        <w:rPr>
          <w:rFonts w:hint="default" w:ascii="Times New Roman" w:hAnsi="Times New Roman"/>
          <w:lang w:val="en-US" w:eastAsia="zh-CN"/>
        </w:rPr>
        <w:t>施工期</w:t>
      </w:r>
      <w:r>
        <w:rPr>
          <w:rFonts w:hint="eastAsia" w:ascii="Times New Roman" w:hAnsi="Times New Roman"/>
          <w:lang w:val="en-US" w:eastAsia="zh-CN"/>
        </w:rPr>
        <w:t>环境影响结论</w:t>
      </w:r>
    </w:p>
    <w:p w14:paraId="0B331171">
      <w:pPr>
        <w:tabs>
          <w:tab w:val="left" w:pos="632"/>
        </w:tabs>
        <w:rPr>
          <w:rFonts w:hint="eastAsia" w:eastAsia="宋体"/>
          <w:lang w:eastAsia="zh-CN"/>
        </w:rPr>
      </w:pPr>
      <w:r>
        <w:rPr>
          <w:rFonts w:hint="eastAsia" w:eastAsia="宋体"/>
          <w:lang w:eastAsia="zh-CN"/>
        </w:rPr>
        <w:t>施工期产生的废气、废水、固体废物以及噪声等会对周边环境产生不利影响，但是本项目施工期时间较短，施工结束后各类影响随即消失，因此项目施工对周边环境不会造成较大影响，影响可以接受。</w:t>
      </w:r>
    </w:p>
    <w:p w14:paraId="58DD247A">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default"/>
          <w:lang w:val="en-US" w:eastAsia="zh-CN"/>
        </w:rPr>
      </w:pPr>
      <w:bookmarkStart w:id="546" w:name="_Toc7597"/>
      <w:r>
        <w:rPr>
          <w:rFonts w:hint="eastAsia"/>
          <w:lang w:val="en-US" w:eastAsia="zh-CN"/>
        </w:rPr>
        <w:t>5.2环境空气质量影响预测与评价</w:t>
      </w:r>
      <w:bookmarkEnd w:id="546"/>
    </w:p>
    <w:p w14:paraId="342281D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w:t>
      </w:r>
      <w:r>
        <w:rPr>
          <w:rFonts w:hint="eastAsia" w:ascii="Times New Roman" w:hAnsi="Times New Roman"/>
          <w:lang w:val="en-US" w:eastAsia="zh-CN"/>
        </w:rPr>
        <w:t>2</w:t>
      </w:r>
      <w:r>
        <w:rPr>
          <w:rFonts w:hint="default" w:ascii="Times New Roman" w:hAnsi="Times New Roman"/>
          <w:lang w:val="en-US" w:eastAsia="zh-CN"/>
        </w:rPr>
        <w:t>.1</w:t>
      </w:r>
      <w:r>
        <w:rPr>
          <w:rFonts w:hint="eastAsia" w:ascii="Times New Roman" w:hAnsi="Times New Roman"/>
          <w:lang w:val="en-US" w:eastAsia="zh-CN"/>
        </w:rPr>
        <w:t>评价工作等级级评价范围的确定</w:t>
      </w:r>
    </w:p>
    <w:p w14:paraId="1633206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default"/>
          <w:lang w:val="en-US" w:eastAsia="zh-CN"/>
        </w:rPr>
        <w:t>5.2.1.1预测因子筛选</w:t>
      </w:r>
    </w:p>
    <w:p w14:paraId="537CD799">
      <w:pPr>
        <w:ind w:left="0" w:leftChars="0" w:firstLine="480" w:firstLineChars="200"/>
        <w:rPr>
          <w:rFonts w:hint="default"/>
          <w:lang w:val="en-US"/>
        </w:rPr>
      </w:pPr>
      <w:r>
        <w:rPr>
          <w:rFonts w:hint="default" w:ascii="Times New Roman" w:hAnsi="Times New Roman" w:cs="Times New Roman"/>
          <w:highlight w:val="none"/>
        </w:rPr>
        <w:t>根据工程分析结果，确定本次环境空气影响预测因子为：硫酸雾、H</w:t>
      </w:r>
      <w:r>
        <w:rPr>
          <w:rFonts w:hint="default" w:ascii="Times New Roman" w:hAnsi="Times New Roman" w:cs="Times New Roman"/>
          <w:highlight w:val="none"/>
          <w:vertAlign w:val="subscript"/>
        </w:rPr>
        <w:t>2</w:t>
      </w:r>
      <w:r>
        <w:rPr>
          <w:rFonts w:hint="default" w:ascii="Times New Roman" w:hAnsi="Times New Roman" w:cs="Times New Roman"/>
          <w:highlight w:val="none"/>
        </w:rPr>
        <w:t>S、NH</w:t>
      </w:r>
      <w:r>
        <w:rPr>
          <w:rFonts w:hint="default" w:ascii="Times New Roman" w:hAnsi="Times New Roman" w:cs="Times New Roman"/>
          <w:highlight w:val="none"/>
          <w:vertAlign w:val="subscript"/>
        </w:rPr>
        <w:t>3</w:t>
      </w:r>
      <w:r>
        <w:rPr>
          <w:rFonts w:hint="default" w:ascii="Times New Roman" w:hAnsi="Times New Roman" w:cs="Times New Roman"/>
          <w:highlight w:val="none"/>
        </w:rPr>
        <w:t>。</w:t>
      </w:r>
    </w:p>
    <w:p w14:paraId="46D07A7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default"/>
          <w:lang w:val="en-US" w:eastAsia="zh-CN"/>
        </w:rPr>
        <w:t>5.2.1.</w:t>
      </w:r>
      <w:r>
        <w:rPr>
          <w:rFonts w:hint="eastAsia"/>
          <w:lang w:val="en-US" w:eastAsia="zh-CN"/>
        </w:rPr>
        <w:t>2评价标准</w:t>
      </w:r>
    </w:p>
    <w:p w14:paraId="493758EA">
      <w:pPr>
        <w:pStyle w:val="72"/>
        <w:rPr>
          <w:rFonts w:cs="Times New Roman"/>
        </w:rPr>
      </w:pPr>
      <w:r>
        <w:rPr>
          <w:rFonts w:hint="eastAsia" w:cs="Times New Roman"/>
        </w:rPr>
        <w:t>硫酸雾、H</w:t>
      </w:r>
      <w:r>
        <w:rPr>
          <w:rFonts w:cs="Times New Roman"/>
          <w:vertAlign w:val="subscript"/>
        </w:rPr>
        <w:t>2</w:t>
      </w:r>
      <w:r>
        <w:rPr>
          <w:rFonts w:cs="Times New Roman"/>
        </w:rPr>
        <w:t>S</w:t>
      </w:r>
      <w:r>
        <w:rPr>
          <w:rFonts w:hint="eastAsia" w:cs="Times New Roman"/>
        </w:rPr>
        <w:t>、</w:t>
      </w:r>
      <w:r>
        <w:rPr>
          <w:rFonts w:cs="Times New Roman"/>
        </w:rPr>
        <w:t>NH</w:t>
      </w:r>
      <w:r>
        <w:rPr>
          <w:rFonts w:cs="Times New Roman"/>
          <w:vertAlign w:val="subscript"/>
        </w:rPr>
        <w:t>3</w:t>
      </w:r>
      <w:r>
        <w:rPr>
          <w:rFonts w:hint="eastAsia" w:cs="Times New Roman"/>
        </w:rPr>
        <w:t>质量浓度限值执行《环境影响评价技术导则  大气环境》（HJ2.2-2018）附录D中的空气质量浓度参考限值。</w:t>
      </w:r>
    </w:p>
    <w:p w14:paraId="0EF19FF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b/>
          <w:bCs/>
        </w:rPr>
      </w:pPr>
    </w:p>
    <w:p w14:paraId="58C7B61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b/>
          <w:bCs/>
        </w:rPr>
      </w:pPr>
    </w:p>
    <w:p w14:paraId="6B5AEDC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b/>
          <w:bCs/>
          <w:vertAlign w:val="superscript"/>
        </w:rPr>
      </w:pPr>
      <w:r>
        <w:rPr>
          <w:b/>
          <w:bCs/>
        </w:rPr>
        <w:t>表</w:t>
      </w:r>
      <w:r>
        <w:rPr>
          <w:rFonts w:hint="eastAsia"/>
          <w:b/>
          <w:bCs/>
          <w:lang w:val="en-US" w:eastAsia="zh-CN"/>
        </w:rPr>
        <w:t>5.2-1</w:t>
      </w:r>
      <w:r>
        <w:rPr>
          <w:b/>
          <w:bCs/>
        </w:rPr>
        <w:t xml:space="preserve"> </w:t>
      </w:r>
      <w:r>
        <w:rPr>
          <w:rFonts w:hint="eastAsia"/>
          <w:b/>
          <w:bCs/>
        </w:rPr>
        <w:t xml:space="preserve">    </w:t>
      </w:r>
      <w:r>
        <w:rPr>
          <w:b/>
          <w:bCs/>
        </w:rPr>
        <w:t>环境空气质量评价标准</w:t>
      </w:r>
      <w:r>
        <w:rPr>
          <w:rFonts w:hint="eastAsia"/>
          <w:b/>
          <w:bCs/>
        </w:rPr>
        <w:t xml:space="preserve">           单位：</w:t>
      </w:r>
      <w:r>
        <w:rPr>
          <w:b/>
          <w:bCs/>
        </w:rPr>
        <w:t>mg/m</w:t>
      </w:r>
      <w:r>
        <w:rPr>
          <w:b/>
          <w:bCs/>
          <w:vertAlign w:val="superscript"/>
        </w:rPr>
        <w:t>3</w:t>
      </w:r>
    </w:p>
    <w:tbl>
      <w:tblPr>
        <w:tblStyle w:val="125"/>
        <w:tblW w:w="5024"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650"/>
        <w:gridCol w:w="2322"/>
        <w:gridCol w:w="1367"/>
        <w:gridCol w:w="3037"/>
      </w:tblGrid>
      <w:tr w14:paraId="4FD621D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46" w:type="dxa"/>
            <w:vAlign w:val="center"/>
          </w:tcPr>
          <w:p w14:paraId="07EDB0B9">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评价因子</w:t>
            </w:r>
          </w:p>
        </w:tc>
        <w:tc>
          <w:tcPr>
            <w:tcW w:w="2316" w:type="dxa"/>
            <w:vAlign w:val="center"/>
          </w:tcPr>
          <w:p w14:paraId="44A16DF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平均时段/厂界</w:t>
            </w:r>
          </w:p>
        </w:tc>
        <w:tc>
          <w:tcPr>
            <w:tcW w:w="1364" w:type="dxa"/>
            <w:vAlign w:val="center"/>
          </w:tcPr>
          <w:p w14:paraId="00057960">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标准值</w:t>
            </w:r>
          </w:p>
        </w:tc>
        <w:tc>
          <w:tcPr>
            <w:tcW w:w="3030" w:type="dxa"/>
            <w:vAlign w:val="center"/>
          </w:tcPr>
          <w:p w14:paraId="6D0E1204">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限值来源</w:t>
            </w:r>
          </w:p>
        </w:tc>
      </w:tr>
      <w:tr w14:paraId="1C28E2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46" w:type="dxa"/>
            <w:vAlign w:val="center"/>
          </w:tcPr>
          <w:p w14:paraId="28E65301">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硫酸雾（硫酸）</w:t>
            </w:r>
          </w:p>
        </w:tc>
        <w:tc>
          <w:tcPr>
            <w:tcW w:w="2316" w:type="dxa"/>
            <w:vAlign w:val="center"/>
          </w:tcPr>
          <w:p w14:paraId="270B0496">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1h平均</w:t>
            </w:r>
          </w:p>
        </w:tc>
        <w:tc>
          <w:tcPr>
            <w:tcW w:w="1364" w:type="dxa"/>
            <w:vAlign w:val="center"/>
          </w:tcPr>
          <w:p w14:paraId="6CBBC34F">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0.3</w:t>
            </w:r>
          </w:p>
        </w:tc>
        <w:tc>
          <w:tcPr>
            <w:tcW w:w="3030" w:type="dxa"/>
            <w:vMerge w:val="restart"/>
            <w:vAlign w:val="center"/>
          </w:tcPr>
          <w:p w14:paraId="7A409F36">
            <w:pPr>
              <w:pStyle w:val="126"/>
              <w:tabs>
                <w:tab w:val="left" w:pos="2579"/>
              </w:tabs>
              <w:ind w:left="0"/>
              <w:jc w:val="center"/>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w:t>
            </w:r>
            <w:r>
              <w:rPr>
                <w:rFonts w:ascii="Times New Roman" w:hAnsi="Times New Roman" w:eastAsia="宋体" w:cs="Times New Roman"/>
                <w:spacing w:val="4"/>
                <w:sz w:val="21"/>
                <w:szCs w:val="21"/>
                <w:lang w:eastAsia="zh-CN"/>
              </w:rPr>
              <w:t>环</w:t>
            </w:r>
            <w:r>
              <w:rPr>
                <w:rFonts w:ascii="Times New Roman" w:hAnsi="Times New Roman" w:eastAsia="宋体" w:cs="Times New Roman"/>
                <w:sz w:val="21"/>
                <w:szCs w:val="21"/>
                <w:lang w:eastAsia="zh-CN"/>
              </w:rPr>
              <w:t>境</w:t>
            </w:r>
            <w:r>
              <w:rPr>
                <w:rFonts w:ascii="Times New Roman" w:hAnsi="Times New Roman" w:eastAsia="宋体" w:cs="Times New Roman"/>
                <w:spacing w:val="4"/>
                <w:sz w:val="21"/>
                <w:szCs w:val="21"/>
                <w:lang w:eastAsia="zh-CN"/>
              </w:rPr>
              <w:t>影</w:t>
            </w:r>
            <w:r>
              <w:rPr>
                <w:rFonts w:ascii="Times New Roman" w:hAnsi="Times New Roman" w:eastAsia="宋体" w:cs="Times New Roman"/>
                <w:sz w:val="21"/>
                <w:szCs w:val="21"/>
                <w:lang w:eastAsia="zh-CN"/>
              </w:rPr>
              <w:t>响评</w:t>
            </w:r>
            <w:r>
              <w:rPr>
                <w:rFonts w:ascii="Times New Roman" w:hAnsi="Times New Roman" w:eastAsia="宋体" w:cs="Times New Roman"/>
                <w:spacing w:val="4"/>
                <w:sz w:val="21"/>
                <w:szCs w:val="21"/>
                <w:lang w:eastAsia="zh-CN"/>
              </w:rPr>
              <w:t>价</w:t>
            </w:r>
            <w:r>
              <w:rPr>
                <w:rFonts w:ascii="Times New Roman" w:hAnsi="Times New Roman" w:eastAsia="宋体" w:cs="Times New Roman"/>
                <w:sz w:val="21"/>
                <w:szCs w:val="21"/>
                <w:lang w:eastAsia="zh-CN"/>
              </w:rPr>
              <w:t>技术</w:t>
            </w:r>
            <w:r>
              <w:rPr>
                <w:rFonts w:ascii="Times New Roman" w:hAnsi="Times New Roman" w:eastAsia="宋体" w:cs="Times New Roman"/>
                <w:spacing w:val="4"/>
                <w:sz w:val="21"/>
                <w:szCs w:val="21"/>
                <w:lang w:eastAsia="zh-CN"/>
              </w:rPr>
              <w:t>导</w:t>
            </w:r>
            <w:r>
              <w:rPr>
                <w:rFonts w:ascii="Times New Roman" w:hAnsi="Times New Roman" w:eastAsia="宋体" w:cs="Times New Roman"/>
                <w:sz w:val="21"/>
                <w:szCs w:val="21"/>
                <w:lang w:eastAsia="zh-CN"/>
              </w:rPr>
              <w:t>则  大</w:t>
            </w:r>
            <w:r>
              <w:rPr>
                <w:rFonts w:ascii="Times New Roman" w:hAnsi="Times New Roman" w:eastAsia="宋体" w:cs="Times New Roman"/>
                <w:spacing w:val="4"/>
                <w:sz w:val="21"/>
                <w:szCs w:val="21"/>
                <w:lang w:eastAsia="zh-CN"/>
              </w:rPr>
              <w:t>气</w:t>
            </w:r>
            <w:r>
              <w:rPr>
                <w:rFonts w:ascii="Times New Roman" w:hAnsi="Times New Roman" w:eastAsia="宋体" w:cs="Times New Roman"/>
                <w:spacing w:val="-17"/>
                <w:sz w:val="21"/>
                <w:szCs w:val="21"/>
                <w:lang w:eastAsia="zh-CN"/>
              </w:rPr>
              <w:t>环</w:t>
            </w:r>
            <w:r>
              <w:rPr>
                <w:rFonts w:ascii="Times New Roman" w:hAnsi="Times New Roman" w:eastAsia="宋体" w:cs="Times New Roman"/>
                <w:sz w:val="21"/>
                <w:szCs w:val="21"/>
                <w:lang w:eastAsia="zh-CN"/>
              </w:rPr>
              <w:t>境》（HJ2.2-2018）附录D</w:t>
            </w:r>
          </w:p>
        </w:tc>
      </w:tr>
      <w:tr w14:paraId="4EB60CB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46" w:type="dxa"/>
            <w:vAlign w:val="center"/>
          </w:tcPr>
          <w:p w14:paraId="687BC0C4">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kern w:val="2"/>
                <w:sz w:val="21"/>
                <w:szCs w:val="21"/>
                <w:lang w:eastAsia="zh-CN"/>
              </w:rPr>
              <w:t>NH</w:t>
            </w:r>
            <w:r>
              <w:rPr>
                <w:rFonts w:ascii="Times New Roman" w:hAnsi="Times New Roman" w:eastAsia="宋体" w:cs="Times New Roman"/>
                <w:kern w:val="2"/>
                <w:sz w:val="21"/>
                <w:szCs w:val="21"/>
                <w:vertAlign w:val="subscript"/>
                <w:lang w:eastAsia="zh-CN"/>
              </w:rPr>
              <w:t>3</w:t>
            </w:r>
          </w:p>
        </w:tc>
        <w:tc>
          <w:tcPr>
            <w:tcW w:w="2316" w:type="dxa"/>
            <w:vAlign w:val="center"/>
          </w:tcPr>
          <w:p w14:paraId="6E9F1523">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1h平均</w:t>
            </w:r>
          </w:p>
        </w:tc>
        <w:tc>
          <w:tcPr>
            <w:tcW w:w="1364" w:type="dxa"/>
            <w:vAlign w:val="center"/>
          </w:tcPr>
          <w:p w14:paraId="67FADC2B">
            <w:pPr>
              <w:pStyle w:val="126"/>
              <w:ind w:left="0" w:leftChars="0" w:firstLine="0" w:firstLineChars="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eastAsia="zh-CN"/>
              </w:rPr>
              <w:t>0.2</w:t>
            </w:r>
          </w:p>
        </w:tc>
        <w:tc>
          <w:tcPr>
            <w:tcW w:w="3030" w:type="dxa"/>
            <w:vMerge w:val="continue"/>
            <w:vAlign w:val="center"/>
          </w:tcPr>
          <w:p w14:paraId="1DDD5296">
            <w:pPr>
              <w:pStyle w:val="126"/>
              <w:tabs>
                <w:tab w:val="left" w:pos="2579"/>
              </w:tabs>
              <w:ind w:left="0"/>
              <w:jc w:val="center"/>
              <w:rPr>
                <w:rFonts w:ascii="Times New Roman" w:hAnsi="Times New Roman" w:eastAsia="宋体" w:cs="Times New Roman"/>
                <w:sz w:val="21"/>
                <w:szCs w:val="21"/>
                <w:lang w:eastAsia="en-US"/>
              </w:rPr>
            </w:pPr>
          </w:p>
        </w:tc>
      </w:tr>
      <w:tr w14:paraId="46D8EC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46" w:type="dxa"/>
            <w:vAlign w:val="center"/>
          </w:tcPr>
          <w:p w14:paraId="08CBFA4F">
            <w:pPr>
              <w:pStyle w:val="126"/>
              <w:ind w:left="0" w:leftChars="0" w:firstLine="0" w:firstLineChars="0"/>
              <w:jc w:val="center"/>
              <w:rPr>
                <w:rFonts w:ascii="Times New Roman" w:hAnsi="Times New Roman" w:eastAsia="宋体" w:cs="Times New Roman"/>
                <w:sz w:val="21"/>
                <w:szCs w:val="21"/>
                <w:lang w:eastAsia="zh-CN"/>
              </w:rPr>
            </w:pPr>
            <w:r>
              <w:rPr>
                <w:rFonts w:ascii="Times New Roman" w:hAnsi="Times New Roman" w:eastAsia="宋体" w:cs="Times New Roman"/>
                <w:kern w:val="2"/>
                <w:sz w:val="21"/>
                <w:szCs w:val="21"/>
                <w:lang w:eastAsia="zh-CN"/>
              </w:rPr>
              <w:t>H</w:t>
            </w:r>
            <w:r>
              <w:rPr>
                <w:rFonts w:ascii="Times New Roman" w:hAnsi="Times New Roman" w:eastAsia="宋体" w:cs="Times New Roman"/>
                <w:kern w:val="2"/>
                <w:sz w:val="21"/>
                <w:szCs w:val="21"/>
                <w:vertAlign w:val="subscript"/>
                <w:lang w:eastAsia="zh-CN"/>
              </w:rPr>
              <w:t>2</w:t>
            </w:r>
            <w:r>
              <w:rPr>
                <w:rFonts w:ascii="Times New Roman" w:hAnsi="Times New Roman" w:eastAsia="宋体" w:cs="Times New Roman"/>
                <w:kern w:val="2"/>
                <w:sz w:val="21"/>
                <w:szCs w:val="21"/>
                <w:lang w:eastAsia="zh-CN"/>
              </w:rPr>
              <w:t>S</w:t>
            </w:r>
          </w:p>
        </w:tc>
        <w:tc>
          <w:tcPr>
            <w:tcW w:w="2316" w:type="dxa"/>
            <w:vAlign w:val="center"/>
          </w:tcPr>
          <w:p w14:paraId="144E5AAE">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1h平均</w:t>
            </w:r>
          </w:p>
        </w:tc>
        <w:tc>
          <w:tcPr>
            <w:tcW w:w="1364" w:type="dxa"/>
            <w:vAlign w:val="center"/>
          </w:tcPr>
          <w:p w14:paraId="1CF97E9C">
            <w:pPr>
              <w:pStyle w:val="126"/>
              <w:ind w:left="0" w:leftChars="0" w:firstLine="0" w:firstLineChars="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eastAsia="zh-CN"/>
              </w:rPr>
              <w:t>0.01</w:t>
            </w:r>
          </w:p>
        </w:tc>
        <w:tc>
          <w:tcPr>
            <w:tcW w:w="3030" w:type="dxa"/>
            <w:vMerge w:val="continue"/>
            <w:vAlign w:val="center"/>
          </w:tcPr>
          <w:p w14:paraId="2A7ADF65">
            <w:pPr>
              <w:pStyle w:val="126"/>
              <w:tabs>
                <w:tab w:val="left" w:pos="2579"/>
              </w:tabs>
              <w:ind w:left="0"/>
              <w:jc w:val="center"/>
              <w:rPr>
                <w:rFonts w:ascii="Times New Roman" w:hAnsi="Times New Roman" w:eastAsia="宋体" w:cs="Times New Roman"/>
                <w:sz w:val="21"/>
                <w:szCs w:val="21"/>
                <w:lang w:eastAsia="en-US"/>
              </w:rPr>
            </w:pPr>
          </w:p>
        </w:tc>
      </w:tr>
    </w:tbl>
    <w:p w14:paraId="0364ABBE">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default"/>
          <w:lang w:val="en-US" w:eastAsia="zh-CN"/>
        </w:rPr>
        <w:t>5.2.1.</w:t>
      </w:r>
      <w:r>
        <w:rPr>
          <w:rFonts w:hint="eastAsia"/>
          <w:lang w:val="en-US" w:eastAsia="zh-CN"/>
        </w:rPr>
        <w:t>3评价标准</w:t>
      </w:r>
    </w:p>
    <w:p w14:paraId="2E4FA951">
      <w:pPr>
        <w:ind w:firstLine="480"/>
        <w:rPr>
          <w:rFonts w:hint="default" w:ascii="Times New Roman" w:hAnsi="Times New Roman" w:cs="Times New Roman"/>
          <w:highlight w:val="none"/>
        </w:rPr>
      </w:pPr>
      <w:r>
        <w:rPr>
          <w:rFonts w:hint="default" w:ascii="Times New Roman" w:hAnsi="Times New Roman" w:cs="Times New Roman"/>
          <w:highlight w:val="none"/>
        </w:rPr>
        <w:t>采用《环境影响评价技术导则 大气环境》（HJ2.2-2018）推荐的估算模式AERSCREEN计算工程主要污染源污染物的最大落地浓度及其出现距离，估算模型参数见下表。</w:t>
      </w:r>
    </w:p>
    <w:p w14:paraId="5384CCC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eastAsiaTheme="minorEastAsia"/>
          <w:b/>
          <w:bCs/>
          <w:vertAlign w:val="superscript"/>
          <w:lang w:val="en-US" w:eastAsia="zh-CN"/>
        </w:rPr>
      </w:pPr>
      <w:r>
        <w:rPr>
          <w:b/>
          <w:bCs/>
        </w:rPr>
        <w:t>表</w:t>
      </w:r>
      <w:r>
        <w:rPr>
          <w:rFonts w:hint="eastAsia"/>
          <w:b/>
          <w:bCs/>
          <w:lang w:val="en-US" w:eastAsia="zh-CN"/>
        </w:rPr>
        <w:t>5.2-2</w:t>
      </w:r>
      <w:r>
        <w:rPr>
          <w:b/>
          <w:bCs/>
        </w:rPr>
        <w:t xml:space="preserve"> </w:t>
      </w:r>
      <w:r>
        <w:rPr>
          <w:rFonts w:hint="eastAsia"/>
          <w:b/>
          <w:bCs/>
        </w:rPr>
        <w:t xml:space="preserve">   </w:t>
      </w:r>
      <w:r>
        <w:rPr>
          <w:rFonts w:hint="eastAsia"/>
          <w:b/>
          <w:bCs/>
          <w:lang w:val="en-US" w:eastAsia="zh-CN"/>
        </w:rPr>
        <w:t>估算模型参数表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2197"/>
        <w:gridCol w:w="3393"/>
        <w:gridCol w:w="2782"/>
      </w:tblGrid>
      <w:tr w14:paraId="6B80A7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jc w:val="center"/>
        </w:trPr>
        <w:tc>
          <w:tcPr>
            <w:tcW w:w="5587" w:type="dxa"/>
            <w:gridSpan w:val="2"/>
            <w:vAlign w:val="center"/>
          </w:tcPr>
          <w:p w14:paraId="01036F0E">
            <w:pPr>
              <w:pStyle w:val="81"/>
              <w:rPr>
                <w:rFonts w:cs="Times New Roman"/>
                <w:color w:val="auto"/>
              </w:rPr>
            </w:pPr>
            <w:r>
              <w:rPr>
                <w:rFonts w:cs="Times New Roman"/>
                <w:color w:val="auto"/>
              </w:rPr>
              <w:t>参数</w:t>
            </w:r>
          </w:p>
        </w:tc>
        <w:tc>
          <w:tcPr>
            <w:tcW w:w="2781" w:type="dxa"/>
            <w:vAlign w:val="center"/>
          </w:tcPr>
          <w:p w14:paraId="3EFD3209">
            <w:pPr>
              <w:pStyle w:val="81"/>
              <w:rPr>
                <w:rFonts w:cs="Times New Roman"/>
                <w:color w:val="auto"/>
              </w:rPr>
            </w:pPr>
            <w:r>
              <w:rPr>
                <w:rFonts w:cs="Times New Roman"/>
                <w:color w:val="auto"/>
              </w:rPr>
              <w:t>取值</w:t>
            </w:r>
          </w:p>
        </w:tc>
      </w:tr>
      <w:tr w14:paraId="4F4D9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5EB1EF22">
            <w:pPr>
              <w:pStyle w:val="75"/>
            </w:pPr>
            <w:r>
              <w:t>城市/农村选项</w:t>
            </w:r>
          </w:p>
        </w:tc>
        <w:tc>
          <w:tcPr>
            <w:tcW w:w="3391" w:type="dxa"/>
            <w:vAlign w:val="center"/>
          </w:tcPr>
          <w:p w14:paraId="3F905A6B">
            <w:pPr>
              <w:pStyle w:val="75"/>
            </w:pPr>
            <w:r>
              <w:t>城市/农村</w:t>
            </w:r>
          </w:p>
        </w:tc>
        <w:tc>
          <w:tcPr>
            <w:tcW w:w="2781" w:type="dxa"/>
            <w:vAlign w:val="center"/>
          </w:tcPr>
          <w:p w14:paraId="36BAB17F">
            <w:pPr>
              <w:pStyle w:val="75"/>
              <w:rPr>
                <w:spacing w:val="-4"/>
              </w:rPr>
            </w:pPr>
            <w:r>
              <w:rPr>
                <w:rFonts w:hint="eastAsia"/>
              </w:rPr>
              <w:t>农村</w:t>
            </w:r>
          </w:p>
        </w:tc>
      </w:tr>
      <w:tr w14:paraId="6662CE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65CB80E8">
            <w:pPr>
              <w:pStyle w:val="75"/>
            </w:pPr>
          </w:p>
        </w:tc>
        <w:tc>
          <w:tcPr>
            <w:tcW w:w="3391" w:type="dxa"/>
            <w:vAlign w:val="center"/>
          </w:tcPr>
          <w:p w14:paraId="6092FFEA">
            <w:pPr>
              <w:pStyle w:val="75"/>
            </w:pPr>
            <w:r>
              <w:t>人口数（城市选项时）</w:t>
            </w:r>
          </w:p>
        </w:tc>
        <w:tc>
          <w:tcPr>
            <w:tcW w:w="2781" w:type="dxa"/>
            <w:vAlign w:val="center"/>
          </w:tcPr>
          <w:p w14:paraId="1ED47888">
            <w:pPr>
              <w:pStyle w:val="75"/>
            </w:pPr>
            <w:r>
              <w:rPr>
                <w:rFonts w:hint="eastAsia"/>
              </w:rPr>
              <w:t>/</w:t>
            </w:r>
          </w:p>
        </w:tc>
      </w:tr>
      <w:tr w14:paraId="02913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73E8D775">
            <w:pPr>
              <w:pStyle w:val="75"/>
            </w:pPr>
            <w:r>
              <w:t>最高环境温度/℃</w:t>
            </w:r>
          </w:p>
        </w:tc>
        <w:tc>
          <w:tcPr>
            <w:tcW w:w="2781" w:type="dxa"/>
            <w:vAlign w:val="center"/>
          </w:tcPr>
          <w:p w14:paraId="57F9E257">
            <w:pPr>
              <w:pStyle w:val="75"/>
            </w:pPr>
            <w:r>
              <w:t>40.9</w:t>
            </w:r>
          </w:p>
        </w:tc>
      </w:tr>
      <w:tr w14:paraId="40B42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53390417">
            <w:pPr>
              <w:pStyle w:val="75"/>
            </w:pPr>
            <w:r>
              <w:t>最低环境温度/℃</w:t>
            </w:r>
          </w:p>
        </w:tc>
        <w:tc>
          <w:tcPr>
            <w:tcW w:w="2781" w:type="dxa"/>
            <w:vAlign w:val="center"/>
          </w:tcPr>
          <w:p w14:paraId="1CD174F9">
            <w:pPr>
              <w:pStyle w:val="75"/>
            </w:pPr>
            <w:r>
              <w:t>-13.1</w:t>
            </w:r>
          </w:p>
        </w:tc>
      </w:tr>
      <w:tr w14:paraId="559413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112C858F">
            <w:pPr>
              <w:pStyle w:val="75"/>
            </w:pPr>
            <w:r>
              <w:t>土地利用类型</w:t>
            </w:r>
          </w:p>
        </w:tc>
        <w:tc>
          <w:tcPr>
            <w:tcW w:w="2781" w:type="dxa"/>
            <w:vAlign w:val="center"/>
          </w:tcPr>
          <w:p w14:paraId="7333689C">
            <w:pPr>
              <w:pStyle w:val="75"/>
            </w:pPr>
            <w:r>
              <w:rPr>
                <w:rFonts w:hint="eastAsia"/>
              </w:rPr>
              <w:t>农作地</w:t>
            </w:r>
          </w:p>
        </w:tc>
      </w:tr>
      <w:tr w14:paraId="28BC8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587" w:type="dxa"/>
            <w:gridSpan w:val="2"/>
            <w:vAlign w:val="center"/>
          </w:tcPr>
          <w:p w14:paraId="3D34DB38">
            <w:pPr>
              <w:pStyle w:val="75"/>
            </w:pPr>
            <w:r>
              <w:t>区域湿度条件</w:t>
            </w:r>
          </w:p>
        </w:tc>
        <w:tc>
          <w:tcPr>
            <w:tcW w:w="2781" w:type="dxa"/>
            <w:vAlign w:val="center"/>
          </w:tcPr>
          <w:p w14:paraId="53916908">
            <w:pPr>
              <w:pStyle w:val="75"/>
            </w:pPr>
            <w:r>
              <w:t>中等湿度气候</w:t>
            </w:r>
          </w:p>
        </w:tc>
      </w:tr>
      <w:tr w14:paraId="2C883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2CE958F6">
            <w:pPr>
              <w:pStyle w:val="75"/>
            </w:pPr>
            <w:r>
              <w:t>是否考虑地形</w:t>
            </w:r>
          </w:p>
        </w:tc>
        <w:tc>
          <w:tcPr>
            <w:tcW w:w="3391" w:type="dxa"/>
            <w:vAlign w:val="center"/>
          </w:tcPr>
          <w:p w14:paraId="1E74BCFA">
            <w:pPr>
              <w:pStyle w:val="75"/>
            </w:pPr>
            <w:r>
              <w:t>考虑地形</w:t>
            </w:r>
          </w:p>
        </w:tc>
        <w:tc>
          <w:tcPr>
            <w:tcW w:w="2781" w:type="dxa"/>
            <w:vAlign w:val="center"/>
          </w:tcPr>
          <w:p w14:paraId="5C474D5E">
            <w:pPr>
              <w:pStyle w:val="75"/>
              <w:rPr>
                <w:rFonts w:hint="eastAsia" w:eastAsia="宋体"/>
                <w:lang w:eastAsia="zh-CN"/>
              </w:rPr>
            </w:pPr>
            <w:r>
              <w:rPr>
                <w:rFonts w:hint="eastAsia"/>
                <w:lang w:val="en-US" w:eastAsia="zh-CN"/>
              </w:rPr>
              <w:t>是</w:t>
            </w:r>
          </w:p>
        </w:tc>
      </w:tr>
      <w:tr w14:paraId="7DC00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22B895E1">
            <w:pPr>
              <w:pStyle w:val="75"/>
              <w:rPr>
                <w:spacing w:val="-4"/>
              </w:rPr>
            </w:pPr>
          </w:p>
        </w:tc>
        <w:tc>
          <w:tcPr>
            <w:tcW w:w="3391" w:type="dxa"/>
            <w:vAlign w:val="center"/>
          </w:tcPr>
          <w:p w14:paraId="4E11E043">
            <w:pPr>
              <w:pStyle w:val="75"/>
            </w:pPr>
            <w:r>
              <w:t>地形数据分辨率/m</w:t>
            </w:r>
          </w:p>
        </w:tc>
        <w:tc>
          <w:tcPr>
            <w:tcW w:w="2781" w:type="dxa"/>
            <w:vAlign w:val="center"/>
          </w:tcPr>
          <w:p w14:paraId="15459EE6">
            <w:pPr>
              <w:pStyle w:val="75"/>
            </w:pPr>
            <w:r>
              <w:t>90</w:t>
            </w:r>
          </w:p>
        </w:tc>
      </w:tr>
      <w:tr w14:paraId="765FC3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restart"/>
            <w:vAlign w:val="center"/>
          </w:tcPr>
          <w:p w14:paraId="57DCB57F">
            <w:pPr>
              <w:pStyle w:val="75"/>
            </w:pPr>
            <w:r>
              <w:t>是否考虑岸线熏烟</w:t>
            </w:r>
          </w:p>
        </w:tc>
        <w:tc>
          <w:tcPr>
            <w:tcW w:w="3391" w:type="dxa"/>
            <w:vAlign w:val="center"/>
          </w:tcPr>
          <w:p w14:paraId="0F8B67CD">
            <w:pPr>
              <w:pStyle w:val="75"/>
            </w:pPr>
            <w:r>
              <w:t>考虑岸线熏烟</w:t>
            </w:r>
          </w:p>
        </w:tc>
        <w:tc>
          <w:tcPr>
            <w:tcW w:w="2781" w:type="dxa"/>
            <w:vAlign w:val="center"/>
          </w:tcPr>
          <w:p w14:paraId="17383360">
            <w:pPr>
              <w:pStyle w:val="75"/>
            </w:pPr>
            <w:r>
              <w:t>否</w:t>
            </w:r>
          </w:p>
        </w:tc>
      </w:tr>
      <w:tr w14:paraId="0A797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14DB2C98">
            <w:pPr>
              <w:pStyle w:val="75"/>
              <w:rPr>
                <w:spacing w:val="-4"/>
              </w:rPr>
            </w:pPr>
          </w:p>
        </w:tc>
        <w:tc>
          <w:tcPr>
            <w:tcW w:w="3391" w:type="dxa"/>
            <w:vAlign w:val="center"/>
          </w:tcPr>
          <w:p w14:paraId="3D6D17C7">
            <w:pPr>
              <w:pStyle w:val="75"/>
            </w:pPr>
            <w:r>
              <w:t>岸线距离/km</w:t>
            </w:r>
          </w:p>
        </w:tc>
        <w:tc>
          <w:tcPr>
            <w:tcW w:w="2781" w:type="dxa"/>
            <w:vAlign w:val="center"/>
          </w:tcPr>
          <w:p w14:paraId="682EC521">
            <w:pPr>
              <w:pStyle w:val="75"/>
            </w:pPr>
            <w:r>
              <w:t>/</w:t>
            </w:r>
          </w:p>
        </w:tc>
      </w:tr>
      <w:tr w14:paraId="5DB41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2196" w:type="dxa"/>
            <w:vMerge w:val="continue"/>
            <w:vAlign w:val="center"/>
          </w:tcPr>
          <w:p w14:paraId="5F8656AE">
            <w:pPr>
              <w:pStyle w:val="75"/>
              <w:rPr>
                <w:spacing w:val="-4"/>
              </w:rPr>
            </w:pPr>
          </w:p>
        </w:tc>
        <w:tc>
          <w:tcPr>
            <w:tcW w:w="3391" w:type="dxa"/>
            <w:vAlign w:val="center"/>
          </w:tcPr>
          <w:p w14:paraId="1D0090F2">
            <w:pPr>
              <w:pStyle w:val="75"/>
            </w:pPr>
            <w:r>
              <w:t>岸线方向/º</w:t>
            </w:r>
          </w:p>
        </w:tc>
        <w:tc>
          <w:tcPr>
            <w:tcW w:w="2781" w:type="dxa"/>
            <w:vAlign w:val="center"/>
          </w:tcPr>
          <w:p w14:paraId="34B0DF33">
            <w:pPr>
              <w:pStyle w:val="75"/>
            </w:pPr>
            <w:r>
              <w:t>/</w:t>
            </w:r>
          </w:p>
        </w:tc>
      </w:tr>
    </w:tbl>
    <w:p w14:paraId="4F00CFBE">
      <w:pPr>
        <w:spacing w:line="500" w:lineRule="exact"/>
        <w:ind w:firstLine="480"/>
        <w:rPr>
          <w:rFonts w:hint="default" w:ascii="Times New Roman" w:hAnsi="Times New Roman" w:cs="Times New Roman"/>
          <w:highlight w:val="none"/>
        </w:rPr>
      </w:pPr>
      <w:r>
        <w:rPr>
          <w:rFonts w:hint="default" w:ascii="Times New Roman" w:hAnsi="Times New Roman" w:cs="Times New Roman"/>
          <w:highlight w:val="none"/>
        </w:rPr>
        <w:t>根据工程分析，本项目大气污染源排放源强见表</w:t>
      </w:r>
      <w:r>
        <w:rPr>
          <w:rFonts w:hint="eastAsia" w:cs="Times New Roman"/>
          <w:highlight w:val="none"/>
          <w:lang w:val="en-US" w:eastAsia="zh-CN"/>
        </w:rPr>
        <w:t>5.2-3</w:t>
      </w:r>
      <w:r>
        <w:rPr>
          <w:rFonts w:hint="default" w:ascii="Times New Roman" w:hAnsi="Times New Roman" w:cs="Times New Roman"/>
          <w:highlight w:val="none"/>
        </w:rPr>
        <w:t>、表</w:t>
      </w:r>
      <w:r>
        <w:rPr>
          <w:rFonts w:hint="eastAsia" w:cs="Times New Roman"/>
          <w:highlight w:val="none"/>
          <w:lang w:val="en-US" w:eastAsia="zh-CN"/>
        </w:rPr>
        <w:t>5.2-4</w:t>
      </w:r>
      <w:r>
        <w:rPr>
          <w:rFonts w:hint="default" w:ascii="Times New Roman" w:hAnsi="Times New Roman" w:cs="Times New Roman"/>
          <w:highlight w:val="none"/>
        </w:rPr>
        <w:t>。</w:t>
      </w:r>
    </w:p>
    <w:p w14:paraId="57AADD8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5.2-3</w:t>
      </w:r>
      <w:r>
        <w:rPr>
          <w:rFonts w:hint="eastAsia" w:ascii="Times New Roman" w:hAnsi="Times New Roman"/>
          <w:b/>
          <w:bCs/>
        </w:rPr>
        <w:t xml:space="preserve">     </w:t>
      </w:r>
      <w:r>
        <w:rPr>
          <w:rFonts w:hint="eastAsia"/>
          <w:b/>
          <w:bCs/>
          <w:lang w:val="en-US" w:eastAsia="zh-CN"/>
        </w:rPr>
        <w:t>本</w:t>
      </w:r>
      <w:r>
        <w:rPr>
          <w:rFonts w:hint="eastAsia" w:ascii="Times New Roman" w:hAnsi="Times New Roman"/>
          <w:b/>
          <w:bCs/>
        </w:rPr>
        <w:t>项目点源参数</w:t>
      </w:r>
      <w:r>
        <w:rPr>
          <w:rFonts w:hint="eastAsia"/>
          <w:b/>
          <w:bCs/>
          <w:lang w:val="en-US" w:eastAsia="zh-CN"/>
        </w:rPr>
        <w:t>一览</w:t>
      </w:r>
      <w:r>
        <w:rPr>
          <w:rFonts w:hint="eastAsia" w:ascii="Times New Roman" w:hAnsi="Times New Roman"/>
          <w:b/>
          <w:bCs/>
        </w:rPr>
        <w:t>表</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929"/>
        <w:gridCol w:w="930"/>
        <w:gridCol w:w="930"/>
        <w:gridCol w:w="930"/>
        <w:gridCol w:w="930"/>
        <w:gridCol w:w="930"/>
        <w:gridCol w:w="930"/>
        <w:gridCol w:w="930"/>
        <w:gridCol w:w="930"/>
      </w:tblGrid>
      <w:tr w14:paraId="507C319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vMerge w:val="restart"/>
            <w:tcBorders>
              <w:tl2br w:val="nil"/>
              <w:tr2bl w:val="nil"/>
            </w:tcBorders>
            <w:noWrap w:val="0"/>
            <w:vAlign w:val="center"/>
          </w:tcPr>
          <w:p w14:paraId="5F99FFF2">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排放源</w:t>
            </w:r>
          </w:p>
        </w:tc>
        <w:tc>
          <w:tcPr>
            <w:tcW w:w="930" w:type="dxa"/>
            <w:vMerge w:val="restart"/>
            <w:tcBorders>
              <w:tl2br w:val="nil"/>
              <w:tr2bl w:val="nil"/>
            </w:tcBorders>
            <w:noWrap w:val="0"/>
            <w:vAlign w:val="center"/>
          </w:tcPr>
          <w:p w14:paraId="469AADBD">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排气筒高度</w:t>
            </w:r>
            <w:r>
              <w:rPr>
                <w:rFonts w:hint="default" w:ascii="Times New Roman" w:hAnsi="Times New Roman" w:cs="Times New Roman"/>
                <w:b/>
                <w:bCs/>
                <w:snapToGrid w:val="0"/>
                <w:spacing w:val="0"/>
                <w:w w:val="100"/>
                <w:kern w:val="21"/>
                <w:sz w:val="21"/>
                <w:szCs w:val="21"/>
              </w:rPr>
              <w:t>H</w:t>
            </w:r>
            <w:r>
              <w:rPr>
                <w:rFonts w:hint="default" w:ascii="Times New Roman" w:hAnsi="Times New Roman" w:eastAsia="宋体" w:cs="Times New Roman"/>
                <w:b/>
                <w:bCs/>
                <w:snapToGrid w:val="0"/>
                <w:spacing w:val="0"/>
                <w:w w:val="100"/>
                <w:kern w:val="21"/>
                <w:sz w:val="21"/>
                <w:szCs w:val="21"/>
              </w:rPr>
              <w:t>（</w:t>
            </w:r>
            <w:r>
              <w:rPr>
                <w:rFonts w:hint="default" w:ascii="Times New Roman" w:hAnsi="Times New Roman" w:cs="Times New Roman"/>
                <w:b/>
                <w:bCs/>
                <w:snapToGrid w:val="0"/>
                <w:spacing w:val="0"/>
                <w:w w:val="100"/>
                <w:kern w:val="21"/>
                <w:sz w:val="21"/>
                <w:szCs w:val="21"/>
              </w:rPr>
              <w:t>m</w:t>
            </w:r>
            <w:r>
              <w:rPr>
                <w:rFonts w:hint="default" w:ascii="Times New Roman" w:hAnsi="Times New Roman" w:eastAsia="宋体" w:cs="Times New Roman"/>
                <w:b/>
                <w:bCs/>
                <w:snapToGrid w:val="0"/>
                <w:spacing w:val="0"/>
                <w:w w:val="100"/>
                <w:kern w:val="21"/>
                <w:sz w:val="21"/>
                <w:szCs w:val="21"/>
              </w:rPr>
              <w:t>）</w:t>
            </w:r>
          </w:p>
        </w:tc>
        <w:tc>
          <w:tcPr>
            <w:tcW w:w="930" w:type="dxa"/>
            <w:vMerge w:val="restart"/>
            <w:tcBorders>
              <w:tl2br w:val="nil"/>
              <w:tr2bl w:val="nil"/>
            </w:tcBorders>
            <w:noWrap w:val="0"/>
            <w:vAlign w:val="center"/>
          </w:tcPr>
          <w:p w14:paraId="57438DDC">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排气筒内径</w:t>
            </w:r>
            <w:r>
              <w:rPr>
                <w:rFonts w:hint="default" w:ascii="Times New Roman" w:hAnsi="Times New Roman" w:cs="Times New Roman"/>
                <w:b/>
                <w:bCs/>
                <w:snapToGrid w:val="0"/>
                <w:spacing w:val="0"/>
                <w:w w:val="100"/>
                <w:kern w:val="21"/>
                <w:sz w:val="21"/>
                <w:szCs w:val="21"/>
              </w:rPr>
              <w:t>D</w:t>
            </w:r>
            <w:r>
              <w:rPr>
                <w:rFonts w:hint="default" w:ascii="Times New Roman" w:hAnsi="Times New Roman" w:eastAsia="宋体" w:cs="Times New Roman"/>
                <w:b/>
                <w:bCs/>
                <w:snapToGrid w:val="0"/>
                <w:spacing w:val="0"/>
                <w:w w:val="100"/>
                <w:kern w:val="21"/>
                <w:sz w:val="21"/>
                <w:szCs w:val="21"/>
              </w:rPr>
              <w:t>（</w:t>
            </w:r>
            <w:r>
              <w:rPr>
                <w:rFonts w:hint="default" w:ascii="Times New Roman" w:hAnsi="Times New Roman" w:cs="Times New Roman"/>
                <w:b/>
                <w:bCs/>
                <w:snapToGrid w:val="0"/>
                <w:spacing w:val="0"/>
                <w:w w:val="100"/>
                <w:kern w:val="21"/>
                <w:sz w:val="21"/>
                <w:szCs w:val="21"/>
              </w:rPr>
              <w:t>m</w:t>
            </w:r>
            <w:r>
              <w:rPr>
                <w:rFonts w:hint="default" w:ascii="Times New Roman" w:hAnsi="Times New Roman" w:eastAsia="宋体" w:cs="Times New Roman"/>
                <w:b/>
                <w:bCs/>
                <w:snapToGrid w:val="0"/>
                <w:spacing w:val="0"/>
                <w:w w:val="100"/>
                <w:kern w:val="21"/>
                <w:sz w:val="21"/>
                <w:szCs w:val="21"/>
              </w:rPr>
              <w:t>）</w:t>
            </w:r>
          </w:p>
        </w:tc>
        <w:tc>
          <w:tcPr>
            <w:tcW w:w="930" w:type="dxa"/>
            <w:vMerge w:val="restart"/>
            <w:tcBorders>
              <w:tl2br w:val="nil"/>
              <w:tr2bl w:val="nil"/>
            </w:tcBorders>
            <w:noWrap w:val="0"/>
            <w:vAlign w:val="center"/>
          </w:tcPr>
          <w:p w14:paraId="0C706996">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lang w:val="en-US" w:eastAsia="zh-CN"/>
              </w:rPr>
              <w:t>风机风量</w:t>
            </w:r>
            <w:r>
              <w:rPr>
                <w:rFonts w:hint="default" w:ascii="Times New Roman" w:hAnsi="Times New Roman" w:eastAsia="宋体" w:cs="Times New Roman"/>
                <w:b/>
                <w:bCs/>
                <w:snapToGrid w:val="0"/>
                <w:spacing w:val="0"/>
                <w:w w:val="100"/>
                <w:kern w:val="21"/>
                <w:sz w:val="21"/>
                <w:szCs w:val="21"/>
              </w:rPr>
              <w:t>（</w:t>
            </w:r>
            <w:r>
              <w:rPr>
                <w:rFonts w:hint="default" w:ascii="Times New Roman" w:hAnsi="Times New Roman" w:cs="Times New Roman"/>
                <w:b/>
                <w:bCs/>
                <w:snapToGrid w:val="0"/>
                <w:spacing w:val="0"/>
                <w:w w:val="100"/>
                <w:kern w:val="21"/>
                <w:sz w:val="21"/>
                <w:szCs w:val="21"/>
              </w:rPr>
              <w:t>m</w:t>
            </w:r>
            <w:r>
              <w:rPr>
                <w:rFonts w:hint="default" w:ascii="Times New Roman" w:hAnsi="Times New Roman" w:eastAsia="宋体" w:cs="Times New Roman"/>
                <w:b/>
                <w:bCs/>
                <w:snapToGrid w:val="0"/>
                <w:spacing w:val="0"/>
                <w:w w:val="100"/>
                <w:kern w:val="21"/>
                <w:sz w:val="21"/>
                <w:szCs w:val="21"/>
                <w:vertAlign w:val="superscript"/>
                <w:lang w:val="en-US" w:eastAsia="zh-CN"/>
              </w:rPr>
              <w:t>3</w:t>
            </w:r>
            <w:r>
              <w:rPr>
                <w:rFonts w:hint="default" w:ascii="Times New Roman" w:hAnsi="Times New Roman" w:cs="Times New Roman"/>
                <w:b/>
                <w:bCs/>
                <w:snapToGrid w:val="0"/>
                <w:spacing w:val="0"/>
                <w:w w:val="100"/>
                <w:kern w:val="21"/>
                <w:sz w:val="21"/>
                <w:szCs w:val="21"/>
              </w:rPr>
              <w:t>/</w:t>
            </w:r>
            <w:r>
              <w:rPr>
                <w:rFonts w:hint="default" w:ascii="Times New Roman" w:hAnsi="Times New Roman" w:eastAsia="宋体" w:cs="Times New Roman"/>
                <w:b/>
                <w:bCs/>
                <w:snapToGrid w:val="0"/>
                <w:spacing w:val="0"/>
                <w:w w:val="100"/>
                <w:kern w:val="21"/>
                <w:sz w:val="21"/>
                <w:szCs w:val="21"/>
                <w:lang w:val="en-US" w:eastAsia="zh-CN"/>
              </w:rPr>
              <w:t>h</w:t>
            </w:r>
            <w:r>
              <w:rPr>
                <w:rFonts w:hint="default" w:ascii="Times New Roman" w:hAnsi="Times New Roman" w:eastAsia="宋体" w:cs="Times New Roman"/>
                <w:b/>
                <w:bCs/>
                <w:snapToGrid w:val="0"/>
                <w:spacing w:val="0"/>
                <w:w w:val="100"/>
                <w:kern w:val="21"/>
                <w:sz w:val="21"/>
                <w:szCs w:val="21"/>
              </w:rPr>
              <w:t>）</w:t>
            </w:r>
          </w:p>
        </w:tc>
        <w:tc>
          <w:tcPr>
            <w:tcW w:w="930" w:type="dxa"/>
            <w:vMerge w:val="restart"/>
            <w:tcBorders>
              <w:tl2br w:val="nil"/>
              <w:tr2bl w:val="nil"/>
            </w:tcBorders>
            <w:noWrap w:val="0"/>
            <w:vAlign w:val="center"/>
          </w:tcPr>
          <w:p w14:paraId="7BCC49B0">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 xml:space="preserve">烟气出口温度 </w:t>
            </w:r>
            <w:r>
              <w:rPr>
                <w:rFonts w:hint="default" w:ascii="Times New Roman" w:hAnsi="Times New Roman" w:cs="Times New Roman"/>
                <w:b/>
                <w:bCs/>
                <w:snapToGrid w:val="0"/>
                <w:spacing w:val="0"/>
                <w:w w:val="100"/>
                <w:kern w:val="21"/>
                <w:sz w:val="21"/>
                <w:szCs w:val="21"/>
              </w:rPr>
              <w:t>T</w:t>
            </w:r>
            <w:r>
              <w:rPr>
                <w:rFonts w:hint="default" w:ascii="Times New Roman" w:hAnsi="Times New Roman" w:eastAsia="宋体" w:cs="Times New Roman"/>
                <w:b/>
                <w:bCs/>
                <w:snapToGrid w:val="0"/>
                <w:spacing w:val="0"/>
                <w:w w:val="100"/>
                <w:kern w:val="21"/>
                <w:sz w:val="21"/>
                <w:szCs w:val="21"/>
              </w:rPr>
              <w:t>（℃）</w:t>
            </w:r>
          </w:p>
        </w:tc>
        <w:tc>
          <w:tcPr>
            <w:tcW w:w="930" w:type="dxa"/>
            <w:vMerge w:val="restart"/>
            <w:tcBorders>
              <w:tl2br w:val="nil"/>
              <w:tr2bl w:val="nil"/>
            </w:tcBorders>
            <w:noWrap w:val="0"/>
            <w:vAlign w:val="center"/>
          </w:tcPr>
          <w:p w14:paraId="2BA3966C">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年排放小时数</w:t>
            </w:r>
            <w:r>
              <w:rPr>
                <w:rFonts w:hint="default" w:ascii="Times New Roman" w:hAnsi="Times New Roman" w:cs="Times New Roman"/>
                <w:b/>
                <w:bCs/>
                <w:snapToGrid w:val="0"/>
                <w:spacing w:val="0"/>
                <w:w w:val="100"/>
                <w:kern w:val="21"/>
                <w:sz w:val="21"/>
                <w:szCs w:val="21"/>
              </w:rPr>
              <w:t>/h</w:t>
            </w:r>
          </w:p>
        </w:tc>
        <w:tc>
          <w:tcPr>
            <w:tcW w:w="930" w:type="dxa"/>
            <w:vMerge w:val="restart"/>
            <w:tcBorders>
              <w:tl2br w:val="nil"/>
              <w:tr2bl w:val="nil"/>
            </w:tcBorders>
            <w:noWrap w:val="0"/>
            <w:vAlign w:val="center"/>
          </w:tcPr>
          <w:p w14:paraId="5DE15563">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排放工况</w:t>
            </w:r>
          </w:p>
        </w:tc>
        <w:tc>
          <w:tcPr>
            <w:tcW w:w="930" w:type="dxa"/>
            <w:vMerge w:val="restart"/>
            <w:tcBorders>
              <w:tl2br w:val="nil"/>
              <w:tr2bl w:val="nil"/>
            </w:tcBorders>
            <w:noWrap w:val="0"/>
            <w:vAlign w:val="center"/>
          </w:tcPr>
          <w:p w14:paraId="294C70CD">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污染物</w:t>
            </w:r>
          </w:p>
        </w:tc>
        <w:tc>
          <w:tcPr>
            <w:tcW w:w="930" w:type="dxa"/>
            <w:vMerge w:val="restart"/>
            <w:tcBorders>
              <w:tl2br w:val="nil"/>
              <w:tr2bl w:val="nil"/>
            </w:tcBorders>
            <w:noWrap w:val="0"/>
            <w:vAlign w:val="center"/>
          </w:tcPr>
          <w:p w14:paraId="16E075AF">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b/>
                <w:bCs/>
                <w:snapToGrid w:val="0"/>
                <w:spacing w:val="0"/>
                <w:w w:val="100"/>
                <w:kern w:val="21"/>
                <w:sz w:val="21"/>
                <w:szCs w:val="21"/>
              </w:rPr>
            </w:pPr>
            <w:r>
              <w:rPr>
                <w:rFonts w:hint="default" w:ascii="Times New Roman" w:hAnsi="Times New Roman" w:eastAsia="宋体" w:cs="Times New Roman"/>
                <w:b/>
                <w:bCs/>
                <w:snapToGrid w:val="0"/>
                <w:spacing w:val="0"/>
                <w:w w:val="100"/>
                <w:kern w:val="21"/>
                <w:sz w:val="21"/>
                <w:szCs w:val="21"/>
              </w:rPr>
              <w:t>污染物排放速率（</w:t>
            </w:r>
            <w:r>
              <w:rPr>
                <w:rFonts w:hint="default" w:ascii="Times New Roman" w:hAnsi="Times New Roman" w:cs="Times New Roman"/>
                <w:b/>
                <w:bCs/>
                <w:snapToGrid w:val="0"/>
                <w:spacing w:val="0"/>
                <w:w w:val="100"/>
                <w:kern w:val="21"/>
                <w:sz w:val="21"/>
                <w:szCs w:val="21"/>
              </w:rPr>
              <w:t>kg/h</w:t>
            </w:r>
            <w:r>
              <w:rPr>
                <w:rFonts w:hint="default" w:ascii="Times New Roman" w:hAnsi="Times New Roman" w:eastAsia="宋体" w:cs="Times New Roman"/>
                <w:b/>
                <w:bCs/>
                <w:snapToGrid w:val="0"/>
                <w:spacing w:val="0"/>
                <w:w w:val="100"/>
                <w:kern w:val="21"/>
                <w:sz w:val="21"/>
                <w:szCs w:val="21"/>
              </w:rPr>
              <w:t>）</w:t>
            </w:r>
          </w:p>
        </w:tc>
      </w:tr>
      <w:tr w14:paraId="34CF5A1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86" w:hRule="atLeast"/>
          <w:jc w:val="center"/>
        </w:trPr>
        <w:tc>
          <w:tcPr>
            <w:tcW w:w="929" w:type="dxa"/>
            <w:vMerge w:val="continue"/>
            <w:tcBorders>
              <w:tl2br w:val="nil"/>
              <w:tr2bl w:val="nil"/>
            </w:tcBorders>
            <w:noWrap w:val="0"/>
            <w:vAlign w:val="center"/>
          </w:tcPr>
          <w:p w14:paraId="6AAC27A3">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7F7F8F11">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7AA11C56">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74730D27">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779E1AB1">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5635E0C3">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420FC422">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01416EB2">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c>
          <w:tcPr>
            <w:tcW w:w="930" w:type="dxa"/>
            <w:vMerge w:val="continue"/>
            <w:tcBorders>
              <w:tl2br w:val="nil"/>
              <w:tr2bl w:val="nil"/>
            </w:tcBorders>
            <w:noWrap w:val="0"/>
            <w:vAlign w:val="center"/>
          </w:tcPr>
          <w:p w14:paraId="385AF28C">
            <w:pPr>
              <w:pStyle w:val="16"/>
              <w:keepNext w:val="0"/>
              <w:keepLines w:val="0"/>
              <w:pageBreakBefore w:val="0"/>
              <w:widowControl/>
              <w:tabs>
                <w:tab w:val="left" w:pos="5979"/>
              </w:tabs>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p>
        </w:tc>
      </w:tr>
      <w:tr w14:paraId="4D16F38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tcBorders>
              <w:tl2br w:val="nil"/>
              <w:tr2bl w:val="nil"/>
            </w:tcBorders>
            <w:noWrap w:val="0"/>
            <w:vAlign w:val="center"/>
          </w:tcPr>
          <w:p w14:paraId="091B9374">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DA001</w:t>
            </w:r>
          </w:p>
        </w:tc>
        <w:tc>
          <w:tcPr>
            <w:tcW w:w="930" w:type="dxa"/>
            <w:tcBorders>
              <w:tl2br w:val="nil"/>
              <w:tr2bl w:val="nil"/>
            </w:tcBorders>
            <w:noWrap w:val="0"/>
            <w:vAlign w:val="center"/>
          </w:tcPr>
          <w:p w14:paraId="40A6FFF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default" w:ascii="Times New Roman" w:hAnsi="Times New Roman" w:eastAsia="宋体" w:cs="Times New Roman"/>
                <w:b w:val="0"/>
                <w:bCs/>
                <w:spacing w:val="0"/>
                <w:kern w:val="21"/>
                <w:position w:val="0"/>
                <w:sz w:val="21"/>
                <w:szCs w:val="21"/>
                <w:lang w:val="en-US" w:eastAsia="zh-CN"/>
              </w:rPr>
              <w:t>15</w:t>
            </w:r>
          </w:p>
        </w:tc>
        <w:tc>
          <w:tcPr>
            <w:tcW w:w="930" w:type="dxa"/>
            <w:tcBorders>
              <w:tl2br w:val="nil"/>
              <w:tr2bl w:val="nil"/>
            </w:tcBorders>
            <w:noWrap w:val="0"/>
            <w:vAlign w:val="center"/>
          </w:tcPr>
          <w:p w14:paraId="3408431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0.8</w:t>
            </w:r>
          </w:p>
        </w:tc>
        <w:tc>
          <w:tcPr>
            <w:tcW w:w="930" w:type="dxa"/>
            <w:tcBorders>
              <w:tl2br w:val="nil"/>
              <w:tr2bl w:val="nil"/>
            </w:tcBorders>
            <w:noWrap w:val="0"/>
            <w:vAlign w:val="center"/>
          </w:tcPr>
          <w:p w14:paraId="4149712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27855</w:t>
            </w:r>
          </w:p>
        </w:tc>
        <w:tc>
          <w:tcPr>
            <w:tcW w:w="930" w:type="dxa"/>
            <w:tcBorders>
              <w:tl2br w:val="nil"/>
              <w:tr2bl w:val="nil"/>
            </w:tcBorders>
            <w:noWrap w:val="0"/>
            <w:vAlign w:val="center"/>
          </w:tcPr>
          <w:p w14:paraId="448CC820">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25</w:t>
            </w:r>
          </w:p>
        </w:tc>
        <w:tc>
          <w:tcPr>
            <w:tcW w:w="930" w:type="dxa"/>
            <w:tcBorders>
              <w:tl2br w:val="nil"/>
              <w:tr2bl w:val="nil"/>
            </w:tcBorders>
            <w:noWrap w:val="0"/>
            <w:vAlign w:val="center"/>
          </w:tcPr>
          <w:p w14:paraId="4D768F7D">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7200</w:t>
            </w:r>
          </w:p>
        </w:tc>
        <w:tc>
          <w:tcPr>
            <w:tcW w:w="930" w:type="dxa"/>
            <w:tcBorders>
              <w:tl2br w:val="nil"/>
              <w:tr2bl w:val="nil"/>
            </w:tcBorders>
            <w:noWrap w:val="0"/>
            <w:vAlign w:val="center"/>
          </w:tcPr>
          <w:p w14:paraId="2753E0EF">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rPr>
            </w:pPr>
            <w:r>
              <w:rPr>
                <w:rFonts w:hint="default" w:ascii="Times New Roman" w:hAnsi="Times New Roman" w:eastAsia="宋体" w:cs="Times New Roman"/>
                <w:snapToGrid w:val="0"/>
                <w:spacing w:val="0"/>
                <w:w w:val="100"/>
                <w:kern w:val="21"/>
                <w:sz w:val="21"/>
                <w:szCs w:val="21"/>
              </w:rPr>
              <w:t>正常</w:t>
            </w:r>
          </w:p>
        </w:tc>
        <w:tc>
          <w:tcPr>
            <w:tcW w:w="930" w:type="dxa"/>
            <w:tcBorders>
              <w:tl2br w:val="nil"/>
              <w:tr2bl w:val="nil"/>
            </w:tcBorders>
            <w:noWrap w:val="0"/>
            <w:vAlign w:val="center"/>
          </w:tcPr>
          <w:p w14:paraId="2D0DD65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硫酸雾</w:t>
            </w:r>
          </w:p>
        </w:tc>
        <w:tc>
          <w:tcPr>
            <w:tcW w:w="930" w:type="dxa"/>
            <w:tcBorders>
              <w:tl2br w:val="nil"/>
              <w:tr2bl w:val="nil"/>
            </w:tcBorders>
            <w:noWrap w:val="0"/>
            <w:vAlign w:val="center"/>
          </w:tcPr>
          <w:p w14:paraId="0A34554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snapToGrid w:val="0"/>
                <w:spacing w:val="0"/>
                <w:w w:val="100"/>
                <w:kern w:val="21"/>
                <w:sz w:val="21"/>
                <w:szCs w:val="21"/>
                <w:u w:val="none"/>
                <w:lang w:val="en-US" w:eastAsia="zh-CN"/>
              </w:rPr>
            </w:pPr>
            <w:r>
              <w:rPr>
                <w:rFonts w:hint="eastAsia" w:ascii="Times New Roman" w:hAnsi="Times New Roman" w:eastAsia="宋体" w:cs="Times New Roman"/>
                <w:b w:val="0"/>
                <w:bCs/>
                <w:snapToGrid w:val="0"/>
                <w:spacing w:val="0"/>
                <w:w w:val="100"/>
                <w:kern w:val="21"/>
                <w:sz w:val="21"/>
                <w:szCs w:val="21"/>
                <w:u w:val="none"/>
                <w:lang w:val="en-US" w:eastAsia="zh-CN"/>
              </w:rPr>
              <w:t>0.0208</w:t>
            </w:r>
          </w:p>
        </w:tc>
      </w:tr>
      <w:tr w14:paraId="3355A20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tcBorders>
              <w:tl2br w:val="nil"/>
              <w:tr2bl w:val="nil"/>
            </w:tcBorders>
            <w:noWrap w:val="0"/>
            <w:vAlign w:val="center"/>
          </w:tcPr>
          <w:p w14:paraId="7460F577">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DA002</w:t>
            </w:r>
          </w:p>
        </w:tc>
        <w:tc>
          <w:tcPr>
            <w:tcW w:w="930" w:type="dxa"/>
            <w:tcBorders>
              <w:tl2br w:val="nil"/>
              <w:tr2bl w:val="nil"/>
            </w:tcBorders>
            <w:noWrap w:val="0"/>
            <w:vAlign w:val="center"/>
          </w:tcPr>
          <w:p w14:paraId="3297352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eastAsia="宋体" w:cs="Times New Roman"/>
                <w:b w:val="0"/>
                <w:bCs/>
                <w:spacing w:val="0"/>
                <w:kern w:val="21"/>
                <w:position w:val="0"/>
                <w:sz w:val="21"/>
                <w:szCs w:val="21"/>
                <w:lang w:val="en-US" w:eastAsia="zh-CN"/>
              </w:rPr>
              <w:t>15</w:t>
            </w:r>
          </w:p>
        </w:tc>
        <w:tc>
          <w:tcPr>
            <w:tcW w:w="930" w:type="dxa"/>
            <w:tcBorders>
              <w:tl2br w:val="nil"/>
              <w:tr2bl w:val="nil"/>
            </w:tcBorders>
            <w:noWrap w:val="0"/>
            <w:vAlign w:val="center"/>
          </w:tcPr>
          <w:p w14:paraId="771470B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0.5</w:t>
            </w:r>
          </w:p>
        </w:tc>
        <w:tc>
          <w:tcPr>
            <w:tcW w:w="930" w:type="dxa"/>
            <w:tcBorders>
              <w:tl2br w:val="nil"/>
              <w:tr2bl w:val="nil"/>
            </w:tcBorders>
            <w:noWrap w:val="0"/>
            <w:vAlign w:val="center"/>
          </w:tcPr>
          <w:p w14:paraId="1D72FE4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9781</w:t>
            </w:r>
          </w:p>
        </w:tc>
        <w:tc>
          <w:tcPr>
            <w:tcW w:w="930" w:type="dxa"/>
            <w:tcBorders>
              <w:tl2br w:val="nil"/>
              <w:tr2bl w:val="nil"/>
            </w:tcBorders>
            <w:noWrap w:val="0"/>
            <w:vAlign w:val="center"/>
          </w:tcPr>
          <w:p w14:paraId="631D2AFF">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25</w:t>
            </w:r>
          </w:p>
        </w:tc>
        <w:tc>
          <w:tcPr>
            <w:tcW w:w="930" w:type="dxa"/>
            <w:tcBorders>
              <w:tl2br w:val="nil"/>
              <w:tr2bl w:val="nil"/>
            </w:tcBorders>
            <w:noWrap w:val="0"/>
            <w:vAlign w:val="center"/>
          </w:tcPr>
          <w:p w14:paraId="776139FF">
            <w:pPr>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7200</w:t>
            </w:r>
          </w:p>
        </w:tc>
        <w:tc>
          <w:tcPr>
            <w:tcW w:w="930" w:type="dxa"/>
            <w:tcBorders>
              <w:tl2br w:val="nil"/>
              <w:tr2bl w:val="nil"/>
            </w:tcBorders>
            <w:noWrap w:val="0"/>
            <w:vAlign w:val="center"/>
          </w:tcPr>
          <w:p w14:paraId="063C2ADA">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rPr>
            </w:pPr>
            <w:r>
              <w:rPr>
                <w:rFonts w:hint="default" w:ascii="Times New Roman" w:hAnsi="Times New Roman" w:eastAsia="宋体" w:cs="Times New Roman"/>
                <w:snapToGrid w:val="0"/>
                <w:spacing w:val="0"/>
                <w:w w:val="100"/>
                <w:kern w:val="21"/>
                <w:sz w:val="21"/>
                <w:szCs w:val="21"/>
              </w:rPr>
              <w:t>正常</w:t>
            </w:r>
          </w:p>
        </w:tc>
        <w:tc>
          <w:tcPr>
            <w:tcW w:w="930" w:type="dxa"/>
            <w:tcBorders>
              <w:tl2br w:val="nil"/>
              <w:tr2bl w:val="nil"/>
            </w:tcBorders>
            <w:noWrap w:val="0"/>
            <w:vAlign w:val="center"/>
          </w:tcPr>
          <w:p w14:paraId="38A5EFC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硫酸雾</w:t>
            </w:r>
          </w:p>
        </w:tc>
        <w:tc>
          <w:tcPr>
            <w:tcW w:w="930" w:type="dxa"/>
            <w:tcBorders>
              <w:tl2br w:val="nil"/>
              <w:tr2bl w:val="nil"/>
            </w:tcBorders>
            <w:noWrap w:val="0"/>
            <w:vAlign w:val="center"/>
          </w:tcPr>
          <w:p w14:paraId="52285CB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snapToGrid w:val="0"/>
                <w:spacing w:val="0"/>
                <w:w w:val="100"/>
                <w:kern w:val="21"/>
                <w:sz w:val="21"/>
                <w:szCs w:val="21"/>
                <w:u w:val="none"/>
                <w:lang w:val="en-US" w:eastAsia="zh-CN"/>
              </w:rPr>
            </w:pPr>
            <w:r>
              <w:rPr>
                <w:rFonts w:hint="eastAsia" w:ascii="Times New Roman" w:hAnsi="Times New Roman" w:eastAsia="宋体" w:cs="Times New Roman"/>
                <w:b w:val="0"/>
                <w:bCs/>
                <w:snapToGrid w:val="0"/>
                <w:spacing w:val="0"/>
                <w:w w:val="100"/>
                <w:kern w:val="21"/>
                <w:sz w:val="21"/>
                <w:szCs w:val="21"/>
                <w:u w:val="none"/>
                <w:lang w:val="en-US" w:eastAsia="zh-CN"/>
              </w:rPr>
              <w:t>0.0103</w:t>
            </w:r>
          </w:p>
        </w:tc>
      </w:tr>
      <w:tr w14:paraId="6737FBA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tcBorders>
              <w:tl2br w:val="nil"/>
              <w:tr2bl w:val="nil"/>
            </w:tcBorders>
            <w:noWrap w:val="0"/>
            <w:vAlign w:val="center"/>
          </w:tcPr>
          <w:p w14:paraId="6EEBAB00">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DA003</w:t>
            </w:r>
          </w:p>
        </w:tc>
        <w:tc>
          <w:tcPr>
            <w:tcW w:w="930" w:type="dxa"/>
            <w:tcBorders>
              <w:tl2br w:val="nil"/>
              <w:tr2bl w:val="nil"/>
            </w:tcBorders>
            <w:noWrap w:val="0"/>
            <w:vAlign w:val="center"/>
          </w:tcPr>
          <w:p w14:paraId="3ED1320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napToGrid w:val="0"/>
                <w:spacing w:val="0"/>
                <w:w w:val="100"/>
                <w:kern w:val="21"/>
                <w:sz w:val="21"/>
                <w:szCs w:val="21"/>
                <w:lang w:val="en-US"/>
              </w:rPr>
            </w:pPr>
            <w:r>
              <w:rPr>
                <w:rFonts w:hint="eastAsia" w:ascii="Times New Roman" w:hAnsi="Times New Roman" w:eastAsia="宋体" w:cs="Times New Roman"/>
                <w:b w:val="0"/>
                <w:bCs/>
                <w:spacing w:val="0"/>
                <w:kern w:val="21"/>
                <w:position w:val="0"/>
                <w:sz w:val="21"/>
                <w:szCs w:val="21"/>
                <w:lang w:val="en-US" w:eastAsia="zh-CN"/>
              </w:rPr>
              <w:t>15</w:t>
            </w:r>
          </w:p>
        </w:tc>
        <w:tc>
          <w:tcPr>
            <w:tcW w:w="930" w:type="dxa"/>
            <w:tcBorders>
              <w:tl2br w:val="nil"/>
              <w:tr2bl w:val="nil"/>
            </w:tcBorders>
            <w:noWrap w:val="0"/>
            <w:vAlign w:val="center"/>
          </w:tcPr>
          <w:p w14:paraId="2A03D19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0.6</w:t>
            </w:r>
          </w:p>
        </w:tc>
        <w:tc>
          <w:tcPr>
            <w:tcW w:w="930" w:type="dxa"/>
            <w:tcBorders>
              <w:tl2br w:val="nil"/>
              <w:tr2bl w:val="nil"/>
            </w:tcBorders>
            <w:noWrap w:val="0"/>
            <w:vAlign w:val="center"/>
          </w:tcPr>
          <w:p w14:paraId="46E2E26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17007</w:t>
            </w:r>
          </w:p>
        </w:tc>
        <w:tc>
          <w:tcPr>
            <w:tcW w:w="930" w:type="dxa"/>
            <w:tcBorders>
              <w:tl2br w:val="nil"/>
              <w:tr2bl w:val="nil"/>
            </w:tcBorders>
            <w:noWrap w:val="0"/>
            <w:vAlign w:val="center"/>
          </w:tcPr>
          <w:p w14:paraId="4788C797">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25</w:t>
            </w:r>
          </w:p>
        </w:tc>
        <w:tc>
          <w:tcPr>
            <w:tcW w:w="930" w:type="dxa"/>
            <w:tcBorders>
              <w:tl2br w:val="nil"/>
              <w:tr2bl w:val="nil"/>
            </w:tcBorders>
            <w:noWrap w:val="0"/>
            <w:vAlign w:val="center"/>
          </w:tcPr>
          <w:p w14:paraId="3B962D5C">
            <w:pPr>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7200</w:t>
            </w:r>
          </w:p>
        </w:tc>
        <w:tc>
          <w:tcPr>
            <w:tcW w:w="930" w:type="dxa"/>
            <w:tcBorders>
              <w:tl2br w:val="nil"/>
              <w:tr2bl w:val="nil"/>
            </w:tcBorders>
            <w:noWrap w:val="0"/>
            <w:vAlign w:val="center"/>
          </w:tcPr>
          <w:p w14:paraId="1D8C1F4C">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rPr>
            </w:pPr>
            <w:r>
              <w:rPr>
                <w:rFonts w:hint="default" w:ascii="Times New Roman" w:hAnsi="Times New Roman" w:eastAsia="宋体" w:cs="Times New Roman"/>
                <w:snapToGrid w:val="0"/>
                <w:spacing w:val="0"/>
                <w:w w:val="100"/>
                <w:kern w:val="21"/>
                <w:sz w:val="21"/>
                <w:szCs w:val="21"/>
              </w:rPr>
              <w:t>正常</w:t>
            </w:r>
          </w:p>
        </w:tc>
        <w:tc>
          <w:tcPr>
            <w:tcW w:w="930" w:type="dxa"/>
            <w:tcBorders>
              <w:tl2br w:val="nil"/>
              <w:tr2bl w:val="nil"/>
            </w:tcBorders>
            <w:noWrap w:val="0"/>
            <w:vAlign w:val="center"/>
          </w:tcPr>
          <w:p w14:paraId="61E7C9E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硫酸雾</w:t>
            </w:r>
          </w:p>
        </w:tc>
        <w:tc>
          <w:tcPr>
            <w:tcW w:w="930" w:type="dxa"/>
            <w:tcBorders>
              <w:tl2br w:val="nil"/>
              <w:tr2bl w:val="nil"/>
            </w:tcBorders>
            <w:noWrap w:val="0"/>
            <w:vAlign w:val="center"/>
          </w:tcPr>
          <w:p w14:paraId="3BFD913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snapToGrid w:val="0"/>
                <w:spacing w:val="0"/>
                <w:w w:val="100"/>
                <w:kern w:val="21"/>
                <w:sz w:val="21"/>
                <w:szCs w:val="21"/>
                <w:u w:val="none"/>
                <w:lang w:val="en-US" w:eastAsia="zh-CN"/>
              </w:rPr>
            </w:pPr>
            <w:r>
              <w:rPr>
                <w:rFonts w:hint="eastAsia" w:ascii="Times New Roman" w:hAnsi="Times New Roman" w:eastAsia="宋体" w:cs="Times New Roman"/>
                <w:b w:val="0"/>
                <w:bCs/>
                <w:snapToGrid w:val="0"/>
                <w:spacing w:val="0"/>
                <w:w w:val="100"/>
                <w:kern w:val="21"/>
                <w:sz w:val="21"/>
                <w:szCs w:val="21"/>
                <w:u w:val="none"/>
                <w:lang w:val="en-US" w:eastAsia="zh-CN"/>
              </w:rPr>
              <w:t>0.0228</w:t>
            </w:r>
          </w:p>
        </w:tc>
      </w:tr>
      <w:tr w14:paraId="7143D9F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vMerge w:val="restart"/>
            <w:tcBorders>
              <w:tl2br w:val="nil"/>
              <w:tr2bl w:val="nil"/>
            </w:tcBorders>
            <w:noWrap w:val="0"/>
            <w:vAlign w:val="center"/>
          </w:tcPr>
          <w:p w14:paraId="248FEAEB">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eastAsia" w:ascii="Times New Roman" w:hAnsi="Times New Roman" w:eastAsia="宋体" w:cs="Times New Roman"/>
                <w:snapToGrid w:val="0"/>
                <w:spacing w:val="0"/>
                <w:w w:val="100"/>
                <w:kern w:val="21"/>
                <w:sz w:val="21"/>
                <w:szCs w:val="21"/>
                <w:lang w:eastAsia="zh-CN"/>
              </w:rPr>
            </w:pPr>
            <w:r>
              <w:rPr>
                <w:rFonts w:hint="default" w:ascii="Times New Roman" w:hAnsi="Times New Roman" w:cs="Times New Roman"/>
                <w:snapToGrid w:val="0"/>
                <w:spacing w:val="0"/>
                <w:w w:val="100"/>
                <w:kern w:val="21"/>
                <w:sz w:val="21"/>
                <w:szCs w:val="21"/>
              </w:rPr>
              <w:t>DA00</w:t>
            </w:r>
            <w:r>
              <w:rPr>
                <w:rFonts w:hint="eastAsia" w:ascii="Times New Roman" w:hAnsi="Times New Roman" w:eastAsia="宋体" w:cs="Times New Roman"/>
                <w:snapToGrid w:val="0"/>
                <w:spacing w:val="0"/>
                <w:w w:val="100"/>
                <w:kern w:val="21"/>
                <w:sz w:val="21"/>
                <w:szCs w:val="21"/>
                <w:lang w:val="en-US" w:eastAsia="zh-CN"/>
              </w:rPr>
              <w:t>4</w:t>
            </w:r>
          </w:p>
        </w:tc>
        <w:tc>
          <w:tcPr>
            <w:tcW w:w="930" w:type="dxa"/>
            <w:vMerge w:val="restart"/>
            <w:tcBorders>
              <w:tl2br w:val="nil"/>
              <w:tr2bl w:val="nil"/>
            </w:tcBorders>
            <w:noWrap w:val="0"/>
            <w:vAlign w:val="center"/>
          </w:tcPr>
          <w:p w14:paraId="4BC4D29E">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b w:val="0"/>
                <w:bCs/>
                <w:spacing w:val="0"/>
                <w:kern w:val="21"/>
                <w:position w:val="0"/>
                <w:sz w:val="21"/>
                <w:szCs w:val="21"/>
                <w:lang w:val="en-US" w:eastAsia="zh-CN"/>
              </w:rPr>
              <w:t>15</w:t>
            </w:r>
          </w:p>
        </w:tc>
        <w:tc>
          <w:tcPr>
            <w:tcW w:w="930" w:type="dxa"/>
            <w:vMerge w:val="restart"/>
            <w:tcBorders>
              <w:tl2br w:val="nil"/>
              <w:tr2bl w:val="nil"/>
            </w:tcBorders>
            <w:noWrap w:val="0"/>
            <w:vAlign w:val="center"/>
          </w:tcPr>
          <w:p w14:paraId="6277A8E4">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cs="Times New Roman"/>
                <w:snapToGrid w:val="0"/>
                <w:spacing w:val="0"/>
                <w:w w:val="100"/>
                <w:kern w:val="21"/>
                <w:sz w:val="21"/>
                <w:szCs w:val="21"/>
                <w:lang w:val="en-US" w:eastAsia="zh-CN"/>
              </w:rPr>
              <w:t>0.15</w:t>
            </w:r>
          </w:p>
        </w:tc>
        <w:tc>
          <w:tcPr>
            <w:tcW w:w="930" w:type="dxa"/>
            <w:vMerge w:val="restart"/>
            <w:tcBorders>
              <w:tl2br w:val="nil"/>
              <w:tr2bl w:val="nil"/>
            </w:tcBorders>
            <w:noWrap w:val="0"/>
            <w:vAlign w:val="center"/>
          </w:tcPr>
          <w:p w14:paraId="01F8901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1000</w:t>
            </w:r>
          </w:p>
        </w:tc>
        <w:tc>
          <w:tcPr>
            <w:tcW w:w="930" w:type="dxa"/>
            <w:vMerge w:val="restart"/>
            <w:tcBorders>
              <w:tl2br w:val="nil"/>
              <w:tr2bl w:val="nil"/>
            </w:tcBorders>
            <w:noWrap w:val="0"/>
            <w:vAlign w:val="center"/>
          </w:tcPr>
          <w:p w14:paraId="41752851">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leftChars="0" w:right="0" w:rightChars="0" w:firstLine="0" w:firstLineChars="0"/>
              <w:jc w:val="center"/>
              <w:textAlignment w:val="auto"/>
              <w:rPr>
                <w:rFonts w:hint="default" w:ascii="Times New Roman" w:hAnsi="Times New Roman" w:cs="Times New Roman"/>
                <w:snapToGrid w:val="0"/>
                <w:spacing w:val="0"/>
                <w:w w:val="100"/>
                <w:kern w:val="21"/>
                <w:sz w:val="21"/>
                <w:szCs w:val="21"/>
              </w:rPr>
            </w:pPr>
            <w:r>
              <w:rPr>
                <w:rFonts w:hint="default" w:ascii="Times New Roman" w:hAnsi="Times New Roman" w:cs="Times New Roman"/>
                <w:snapToGrid w:val="0"/>
                <w:spacing w:val="0"/>
                <w:w w:val="100"/>
                <w:kern w:val="21"/>
                <w:sz w:val="21"/>
                <w:szCs w:val="21"/>
              </w:rPr>
              <w:t>25</w:t>
            </w:r>
          </w:p>
        </w:tc>
        <w:tc>
          <w:tcPr>
            <w:tcW w:w="930" w:type="dxa"/>
            <w:vMerge w:val="restart"/>
            <w:tcBorders>
              <w:tl2br w:val="nil"/>
              <w:tr2bl w:val="nil"/>
            </w:tcBorders>
            <w:noWrap w:val="0"/>
            <w:vAlign w:val="center"/>
          </w:tcPr>
          <w:p w14:paraId="3D084FEB">
            <w:pPr>
              <w:keepNext w:val="0"/>
              <w:keepLines w:val="0"/>
              <w:pageBreakBefore w:val="0"/>
              <w:widowControl/>
              <w:kinsoku/>
              <w:wordWrap/>
              <w:overflowPunct/>
              <w:topLinePunct/>
              <w:autoSpaceDE/>
              <w:autoSpaceDN/>
              <w:bidi w:val="0"/>
              <w:adjustRightInd w:val="0"/>
              <w:snapToGrid/>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7200</w:t>
            </w:r>
          </w:p>
        </w:tc>
        <w:tc>
          <w:tcPr>
            <w:tcW w:w="930" w:type="dxa"/>
            <w:vMerge w:val="restart"/>
            <w:tcBorders>
              <w:tl2br w:val="nil"/>
              <w:tr2bl w:val="nil"/>
            </w:tcBorders>
            <w:noWrap w:val="0"/>
            <w:vAlign w:val="center"/>
          </w:tcPr>
          <w:p w14:paraId="3D55B42B">
            <w:pPr>
              <w:pStyle w:val="126"/>
              <w:keepNext w:val="0"/>
              <w:keepLines w:val="0"/>
              <w:pageBreakBefore w:val="0"/>
              <w:widowControl/>
              <w:kinsoku/>
              <w:wordWrap/>
              <w:overflowPunct/>
              <w:topLinePunct/>
              <w:autoSpaceDE/>
              <w:autoSpaceDN/>
              <w:bidi w:val="0"/>
              <w:adjustRightInd w:val="0"/>
              <w:snapToGrid/>
              <w:spacing w:beforeLines="0" w:afterLines="0" w:line="240" w:lineRule="auto"/>
              <w:ind w:left="0" w:right="0" w:firstLine="0" w:firstLineChars="0"/>
              <w:jc w:val="center"/>
              <w:textAlignment w:val="auto"/>
              <w:rPr>
                <w:rFonts w:hint="default" w:ascii="Times New Roman" w:hAnsi="Times New Roman" w:eastAsia="宋体" w:cs="Times New Roman"/>
                <w:snapToGrid w:val="0"/>
                <w:spacing w:val="0"/>
                <w:w w:val="100"/>
                <w:kern w:val="21"/>
                <w:sz w:val="21"/>
                <w:szCs w:val="21"/>
              </w:rPr>
            </w:pPr>
            <w:r>
              <w:rPr>
                <w:rFonts w:hint="default" w:ascii="Times New Roman" w:hAnsi="Times New Roman" w:eastAsia="宋体" w:cs="Times New Roman"/>
                <w:snapToGrid w:val="0"/>
                <w:spacing w:val="0"/>
                <w:w w:val="100"/>
                <w:kern w:val="21"/>
                <w:sz w:val="21"/>
                <w:szCs w:val="21"/>
              </w:rPr>
              <w:t>正常</w:t>
            </w:r>
          </w:p>
        </w:tc>
        <w:tc>
          <w:tcPr>
            <w:tcW w:w="930" w:type="dxa"/>
            <w:tcBorders>
              <w:tl2br w:val="nil"/>
              <w:tr2bl w:val="nil"/>
            </w:tcBorders>
            <w:noWrap w:val="0"/>
            <w:vAlign w:val="center"/>
          </w:tcPr>
          <w:p w14:paraId="14389E5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H</w:t>
            </w:r>
            <w:r>
              <w:rPr>
                <w:rFonts w:hint="default" w:ascii="Times New Roman" w:hAnsi="Times New Roman" w:eastAsia="宋体" w:cs="Times New Roman"/>
                <w:snapToGrid w:val="0"/>
                <w:spacing w:val="0"/>
                <w:w w:val="100"/>
                <w:kern w:val="21"/>
                <w:sz w:val="21"/>
                <w:szCs w:val="21"/>
                <w:vertAlign w:val="subscript"/>
                <w:lang w:val="en-US" w:eastAsia="zh-CN"/>
              </w:rPr>
              <w:t>2</w:t>
            </w:r>
            <w:r>
              <w:rPr>
                <w:rFonts w:hint="default" w:ascii="Times New Roman" w:hAnsi="Times New Roman" w:eastAsia="宋体" w:cs="Times New Roman"/>
                <w:snapToGrid w:val="0"/>
                <w:spacing w:val="0"/>
                <w:w w:val="100"/>
                <w:kern w:val="21"/>
                <w:sz w:val="21"/>
                <w:szCs w:val="21"/>
                <w:lang w:val="en-US" w:eastAsia="zh-CN"/>
              </w:rPr>
              <w:t>S</w:t>
            </w:r>
          </w:p>
        </w:tc>
        <w:tc>
          <w:tcPr>
            <w:tcW w:w="930" w:type="dxa"/>
            <w:tcBorders>
              <w:tl2br w:val="nil"/>
              <w:tr2bl w:val="nil"/>
            </w:tcBorders>
            <w:noWrap w:val="0"/>
            <w:vAlign w:val="center"/>
          </w:tcPr>
          <w:p w14:paraId="6BF59F8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napToGrid w:val="0"/>
                <w:spacing w:val="0"/>
                <w:w w:val="100"/>
                <w:kern w:val="21"/>
                <w:sz w:val="21"/>
                <w:szCs w:val="21"/>
                <w:u w:val="none"/>
                <w:lang w:val="en-US" w:eastAsia="zh-CN"/>
              </w:rPr>
            </w:pPr>
            <w:r>
              <w:rPr>
                <w:rFonts w:hint="eastAsia" w:cs="Times New Roman"/>
                <w:i w:val="0"/>
                <w:iCs w:val="0"/>
                <w:color w:val="000000"/>
                <w:kern w:val="0"/>
                <w:sz w:val="21"/>
                <w:szCs w:val="21"/>
                <w:u w:val="none"/>
                <w:lang w:val="en-US" w:eastAsia="zh-CN" w:bidi="ar"/>
              </w:rPr>
              <w:t>0.00006</w:t>
            </w:r>
          </w:p>
        </w:tc>
      </w:tr>
      <w:tr w14:paraId="7F508C6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vMerge w:val="continue"/>
            <w:tcBorders>
              <w:tl2br w:val="nil"/>
              <w:tr2bl w:val="nil"/>
            </w:tcBorders>
            <w:noWrap w:val="0"/>
            <w:vAlign w:val="center"/>
          </w:tcPr>
          <w:p w14:paraId="3E48F6D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573BADF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4D426BC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7BFA753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5AC991D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1E23F0C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vMerge w:val="continue"/>
            <w:tcBorders>
              <w:tl2br w:val="nil"/>
              <w:tr2bl w:val="nil"/>
            </w:tcBorders>
            <w:noWrap w:val="0"/>
            <w:vAlign w:val="center"/>
          </w:tcPr>
          <w:p w14:paraId="1AD9229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pPr>
          </w:p>
        </w:tc>
        <w:tc>
          <w:tcPr>
            <w:tcW w:w="930" w:type="dxa"/>
            <w:tcBorders>
              <w:tl2br w:val="nil"/>
              <w:tr2bl w:val="nil"/>
            </w:tcBorders>
            <w:noWrap w:val="0"/>
            <w:vAlign w:val="center"/>
          </w:tcPr>
          <w:p w14:paraId="0A6F565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NH</w:t>
            </w:r>
            <w:r>
              <w:rPr>
                <w:rFonts w:hint="default" w:ascii="Times New Roman" w:hAnsi="Times New Roman" w:eastAsia="宋体" w:cs="Times New Roman"/>
                <w:snapToGrid w:val="0"/>
                <w:spacing w:val="0"/>
                <w:w w:val="100"/>
                <w:kern w:val="21"/>
                <w:sz w:val="21"/>
                <w:szCs w:val="21"/>
                <w:vertAlign w:val="subscript"/>
                <w:lang w:val="en-US" w:eastAsia="zh-CN"/>
              </w:rPr>
              <w:t>3</w:t>
            </w:r>
          </w:p>
        </w:tc>
        <w:tc>
          <w:tcPr>
            <w:tcW w:w="930" w:type="dxa"/>
            <w:tcBorders>
              <w:tl2br w:val="nil"/>
              <w:tr2bl w:val="nil"/>
            </w:tcBorders>
            <w:noWrap w:val="0"/>
            <w:vAlign w:val="center"/>
          </w:tcPr>
          <w:p w14:paraId="3094DB2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napToGrid w:val="0"/>
                <w:spacing w:val="0"/>
                <w:w w:val="100"/>
                <w:kern w:val="21"/>
                <w:sz w:val="21"/>
                <w:szCs w:val="21"/>
                <w:lang w:val="en-US" w:eastAsia="zh-CN"/>
              </w:rPr>
            </w:pPr>
            <w:r>
              <w:rPr>
                <w:rFonts w:hint="eastAsia" w:cs="Times New Roman"/>
                <w:i w:val="0"/>
                <w:iCs w:val="0"/>
                <w:color w:val="000000"/>
                <w:kern w:val="0"/>
                <w:sz w:val="21"/>
                <w:szCs w:val="21"/>
                <w:u w:val="none"/>
                <w:lang w:val="en-US" w:eastAsia="zh-CN" w:bidi="ar"/>
              </w:rPr>
              <w:t>0.0012</w:t>
            </w:r>
          </w:p>
        </w:tc>
      </w:tr>
      <w:tr w14:paraId="28EB49B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929" w:type="dxa"/>
            <w:vMerge w:val="continue"/>
            <w:tcBorders>
              <w:tl2br w:val="nil"/>
              <w:tr2bl w:val="nil"/>
            </w:tcBorders>
            <w:noWrap w:val="0"/>
            <w:vAlign w:val="center"/>
          </w:tcPr>
          <w:p w14:paraId="635037D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64D3EAC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5D14A8C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27A2B2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5AB878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07C9010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vMerge w:val="continue"/>
            <w:tcBorders>
              <w:tl2br w:val="nil"/>
              <w:tr2bl w:val="nil"/>
            </w:tcBorders>
            <w:noWrap w:val="0"/>
            <w:vAlign w:val="center"/>
          </w:tcPr>
          <w:p w14:paraId="1280133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p>
        </w:tc>
        <w:tc>
          <w:tcPr>
            <w:tcW w:w="930" w:type="dxa"/>
            <w:tcBorders>
              <w:tl2br w:val="nil"/>
              <w:tr2bl w:val="nil"/>
            </w:tcBorders>
            <w:noWrap w:val="0"/>
            <w:vAlign w:val="center"/>
          </w:tcPr>
          <w:p w14:paraId="2B7823F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臭气浓度</w:t>
            </w:r>
          </w:p>
        </w:tc>
        <w:tc>
          <w:tcPr>
            <w:tcW w:w="930" w:type="dxa"/>
            <w:tcBorders>
              <w:tl2br w:val="nil"/>
              <w:tr2bl w:val="nil"/>
            </w:tcBorders>
            <w:noWrap w:val="0"/>
            <w:vAlign w:val="center"/>
          </w:tcPr>
          <w:p w14:paraId="5C4219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sz w:val="21"/>
                <w:szCs w:val="21"/>
                <w:lang w:val="en-US" w:eastAsia="zh-CN"/>
              </w:rPr>
            </w:pPr>
            <w:r>
              <w:rPr>
                <w:rFonts w:hint="eastAsia" w:ascii="Times New Roman" w:hAnsi="Times New Roman" w:eastAsia="宋体" w:cs="Times New Roman"/>
                <w:snapToGrid w:val="0"/>
                <w:spacing w:val="0"/>
                <w:w w:val="100"/>
                <w:kern w:val="21"/>
                <w:sz w:val="21"/>
                <w:szCs w:val="21"/>
                <w:lang w:val="en-US" w:eastAsia="zh-CN"/>
              </w:rPr>
              <w:t>/</w:t>
            </w:r>
          </w:p>
        </w:tc>
      </w:tr>
    </w:tbl>
    <w:p w14:paraId="68AF22C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5.2-4</w:t>
      </w:r>
      <w:r>
        <w:rPr>
          <w:rFonts w:hint="eastAsia" w:ascii="Times New Roman" w:hAnsi="Times New Roman"/>
          <w:b/>
          <w:bCs/>
        </w:rPr>
        <w:t xml:space="preserve">    </w:t>
      </w:r>
      <w:r>
        <w:rPr>
          <w:rFonts w:hint="eastAsia" w:ascii="Times New Roman" w:hAnsi="Times New Roman"/>
          <w:b/>
          <w:bCs/>
          <w:lang w:val="en-US" w:eastAsia="zh-CN"/>
        </w:rPr>
        <w:t>本</w:t>
      </w:r>
      <w:r>
        <w:rPr>
          <w:rFonts w:hint="eastAsia" w:ascii="Times New Roman" w:hAnsi="Times New Roman"/>
          <w:b/>
          <w:bCs/>
        </w:rPr>
        <w:t>项目面源参数</w:t>
      </w:r>
      <w:r>
        <w:rPr>
          <w:rFonts w:hint="eastAsia" w:ascii="Times New Roman" w:hAnsi="Times New Roman"/>
          <w:b/>
          <w:bCs/>
          <w:lang w:val="en-US" w:eastAsia="zh-CN"/>
        </w:rPr>
        <w:t>一览</w:t>
      </w:r>
      <w:r>
        <w:rPr>
          <w:rFonts w:hint="eastAsia" w:ascii="Times New Roman" w:hAnsi="Times New Roman"/>
          <w:b/>
          <w:bCs/>
        </w:rPr>
        <w:t>表</w:t>
      </w:r>
    </w:p>
    <w:tbl>
      <w:tblPr>
        <w:tblStyle w:val="39"/>
        <w:tblW w:w="5001"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970"/>
        <w:gridCol w:w="1077"/>
        <w:gridCol w:w="709"/>
        <w:gridCol w:w="878"/>
        <w:gridCol w:w="998"/>
        <w:gridCol w:w="818"/>
        <w:gridCol w:w="734"/>
        <w:gridCol w:w="1051"/>
        <w:gridCol w:w="1140"/>
      </w:tblGrid>
      <w:tr w14:paraId="71F171A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9" w:type="pct"/>
            <w:vMerge w:val="restart"/>
            <w:tcBorders>
              <w:tl2br w:val="nil"/>
              <w:tr2bl w:val="nil"/>
            </w:tcBorders>
            <w:noWrap w:val="0"/>
            <w:vAlign w:val="center"/>
          </w:tcPr>
          <w:p w14:paraId="1C05FA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面源名称</w:t>
            </w:r>
          </w:p>
        </w:tc>
        <w:tc>
          <w:tcPr>
            <w:tcW w:w="642" w:type="pct"/>
            <w:vMerge w:val="restart"/>
            <w:tcBorders>
              <w:tl2br w:val="nil"/>
              <w:tr2bl w:val="nil"/>
            </w:tcBorders>
            <w:noWrap w:val="0"/>
            <w:vAlign w:val="center"/>
          </w:tcPr>
          <w:p w14:paraId="116324D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面源长度</w:t>
            </w:r>
          </w:p>
          <w:p w14:paraId="4FDCEA5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w:t>
            </w:r>
            <w:r>
              <w:rPr>
                <w:rFonts w:hint="default" w:ascii="Times New Roman" w:hAnsi="Times New Roman" w:cs="Times New Roman"/>
                <w:b/>
                <w:bCs/>
                <w:spacing w:val="0"/>
                <w:w w:val="100"/>
                <w:sz w:val="21"/>
                <w:szCs w:val="21"/>
              </w:rPr>
              <w:t>m</w:t>
            </w:r>
            <w:r>
              <w:rPr>
                <w:rFonts w:hint="default" w:ascii="Times New Roman" w:hAnsi="Times New Roman" w:eastAsia="宋体" w:cs="Times New Roman"/>
                <w:b/>
                <w:bCs/>
                <w:spacing w:val="0"/>
                <w:w w:val="100"/>
                <w:sz w:val="21"/>
                <w:szCs w:val="21"/>
              </w:rPr>
              <w:t>）</w:t>
            </w:r>
          </w:p>
        </w:tc>
        <w:tc>
          <w:tcPr>
            <w:tcW w:w="423" w:type="pct"/>
            <w:vMerge w:val="restart"/>
            <w:tcBorders>
              <w:tl2br w:val="nil"/>
              <w:tr2bl w:val="nil"/>
            </w:tcBorders>
            <w:noWrap w:val="0"/>
            <w:vAlign w:val="center"/>
          </w:tcPr>
          <w:p w14:paraId="21A9A6C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面源宽度（</w:t>
            </w:r>
            <w:r>
              <w:rPr>
                <w:rFonts w:hint="default" w:ascii="Times New Roman" w:hAnsi="Times New Roman" w:cs="Times New Roman"/>
                <w:b/>
                <w:bCs/>
                <w:spacing w:val="0"/>
                <w:w w:val="100"/>
                <w:sz w:val="21"/>
                <w:szCs w:val="21"/>
              </w:rPr>
              <w:t>m</w:t>
            </w:r>
            <w:r>
              <w:rPr>
                <w:rFonts w:hint="default" w:ascii="Times New Roman" w:hAnsi="Times New Roman" w:eastAsia="宋体" w:cs="Times New Roman"/>
                <w:b/>
                <w:bCs/>
                <w:spacing w:val="0"/>
                <w:w w:val="100"/>
                <w:sz w:val="21"/>
                <w:szCs w:val="21"/>
              </w:rPr>
              <w:t>）</w:t>
            </w:r>
          </w:p>
        </w:tc>
        <w:tc>
          <w:tcPr>
            <w:tcW w:w="524" w:type="pct"/>
            <w:vMerge w:val="restart"/>
            <w:tcBorders>
              <w:tl2br w:val="nil"/>
              <w:tr2bl w:val="nil"/>
            </w:tcBorders>
            <w:noWrap w:val="0"/>
            <w:vAlign w:val="center"/>
          </w:tcPr>
          <w:p w14:paraId="05A30C1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w w:val="100"/>
                <w:sz w:val="21"/>
                <w:szCs w:val="21"/>
              </w:rPr>
            </w:pPr>
            <w:r>
              <w:rPr>
                <w:rFonts w:hint="default" w:ascii="Times New Roman" w:hAnsi="Times New Roman" w:eastAsia="宋体" w:cs="Times New Roman"/>
                <w:b/>
                <w:bCs/>
                <w:spacing w:val="0"/>
                <w:w w:val="100"/>
                <w:sz w:val="21"/>
                <w:szCs w:val="21"/>
              </w:rPr>
              <w:t>与正北方向夹角</w:t>
            </w:r>
            <w:r>
              <w:rPr>
                <w:rFonts w:hint="default" w:ascii="Times New Roman" w:hAnsi="Times New Roman" w:cs="Times New Roman"/>
                <w:b/>
                <w:bCs/>
                <w:spacing w:val="0"/>
                <w:w w:val="100"/>
                <w:sz w:val="21"/>
                <w:szCs w:val="21"/>
              </w:rPr>
              <w:t>/°</w:t>
            </w:r>
          </w:p>
        </w:tc>
        <w:tc>
          <w:tcPr>
            <w:tcW w:w="595" w:type="pct"/>
            <w:vMerge w:val="restart"/>
            <w:tcBorders>
              <w:tl2br w:val="nil"/>
              <w:tr2bl w:val="nil"/>
            </w:tcBorders>
            <w:noWrap w:val="0"/>
            <w:vAlign w:val="center"/>
          </w:tcPr>
          <w:p w14:paraId="1C92F83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面源有效排放高度（</w:t>
            </w:r>
            <w:r>
              <w:rPr>
                <w:rFonts w:hint="default" w:ascii="Times New Roman" w:hAnsi="Times New Roman" w:cs="Times New Roman"/>
                <w:b/>
                <w:bCs/>
                <w:spacing w:val="0"/>
                <w:w w:val="100"/>
                <w:sz w:val="21"/>
                <w:szCs w:val="21"/>
              </w:rPr>
              <w:t>m</w:t>
            </w:r>
            <w:r>
              <w:rPr>
                <w:rFonts w:hint="default" w:ascii="Times New Roman" w:hAnsi="Times New Roman" w:eastAsia="宋体" w:cs="Times New Roman"/>
                <w:b/>
                <w:bCs/>
                <w:spacing w:val="0"/>
                <w:w w:val="100"/>
                <w:sz w:val="21"/>
                <w:szCs w:val="21"/>
              </w:rPr>
              <w:t>）</w:t>
            </w:r>
          </w:p>
        </w:tc>
        <w:tc>
          <w:tcPr>
            <w:tcW w:w="488" w:type="pct"/>
            <w:vMerge w:val="restart"/>
            <w:tcBorders>
              <w:tl2br w:val="nil"/>
              <w:tr2bl w:val="nil"/>
            </w:tcBorders>
            <w:noWrap w:val="0"/>
            <w:vAlign w:val="center"/>
          </w:tcPr>
          <w:p w14:paraId="5657192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w w:val="100"/>
                <w:sz w:val="21"/>
                <w:szCs w:val="21"/>
              </w:rPr>
            </w:pPr>
            <w:r>
              <w:rPr>
                <w:rFonts w:hint="default" w:ascii="Times New Roman" w:hAnsi="Times New Roman" w:eastAsia="宋体" w:cs="Times New Roman"/>
                <w:b/>
                <w:bCs/>
                <w:spacing w:val="0"/>
                <w:w w:val="100"/>
                <w:sz w:val="21"/>
                <w:szCs w:val="21"/>
              </w:rPr>
              <w:t>年排放小时数</w:t>
            </w:r>
            <w:r>
              <w:rPr>
                <w:rFonts w:hint="default" w:ascii="Times New Roman" w:hAnsi="Times New Roman" w:cs="Times New Roman"/>
                <w:b/>
                <w:bCs/>
                <w:spacing w:val="0"/>
                <w:w w:val="100"/>
                <w:sz w:val="21"/>
                <w:szCs w:val="21"/>
              </w:rPr>
              <w:t>/h</w:t>
            </w:r>
          </w:p>
        </w:tc>
        <w:tc>
          <w:tcPr>
            <w:tcW w:w="438" w:type="pct"/>
            <w:vMerge w:val="restart"/>
            <w:tcBorders>
              <w:tl2br w:val="nil"/>
              <w:tr2bl w:val="nil"/>
            </w:tcBorders>
            <w:noWrap w:val="0"/>
            <w:vAlign w:val="center"/>
          </w:tcPr>
          <w:p w14:paraId="109DD2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排放</w:t>
            </w:r>
          </w:p>
          <w:p w14:paraId="47734D4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工况</w:t>
            </w:r>
          </w:p>
        </w:tc>
        <w:tc>
          <w:tcPr>
            <w:tcW w:w="627" w:type="pct"/>
            <w:vMerge w:val="restart"/>
            <w:tcBorders>
              <w:tl2br w:val="nil"/>
              <w:tr2bl w:val="nil"/>
            </w:tcBorders>
            <w:noWrap w:val="0"/>
            <w:vAlign w:val="center"/>
          </w:tcPr>
          <w:p w14:paraId="444B48C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污染物</w:t>
            </w:r>
          </w:p>
        </w:tc>
        <w:tc>
          <w:tcPr>
            <w:tcW w:w="680" w:type="pct"/>
            <w:vMerge w:val="restart"/>
            <w:tcBorders>
              <w:tl2br w:val="nil"/>
              <w:tr2bl w:val="nil"/>
            </w:tcBorders>
            <w:noWrap w:val="0"/>
            <w:vAlign w:val="center"/>
          </w:tcPr>
          <w:p w14:paraId="0E78E54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w w:val="100"/>
                <w:sz w:val="21"/>
                <w:szCs w:val="21"/>
              </w:rPr>
            </w:pPr>
            <w:r>
              <w:rPr>
                <w:rFonts w:hint="default" w:ascii="Times New Roman" w:hAnsi="Times New Roman" w:eastAsia="宋体" w:cs="Times New Roman"/>
                <w:b/>
                <w:bCs/>
                <w:spacing w:val="0"/>
                <w:w w:val="100"/>
                <w:sz w:val="21"/>
                <w:szCs w:val="21"/>
              </w:rPr>
              <w:t>污染物排放速率（</w:t>
            </w:r>
            <w:r>
              <w:rPr>
                <w:rFonts w:hint="default" w:ascii="Times New Roman" w:hAnsi="Times New Roman" w:cs="Times New Roman"/>
                <w:b/>
                <w:bCs/>
                <w:spacing w:val="0"/>
                <w:w w:val="100"/>
                <w:sz w:val="21"/>
                <w:szCs w:val="21"/>
              </w:rPr>
              <w:t>kg/h</w:t>
            </w:r>
            <w:r>
              <w:rPr>
                <w:rFonts w:hint="default" w:ascii="Times New Roman" w:hAnsi="Times New Roman" w:eastAsia="宋体" w:cs="Times New Roman"/>
                <w:b/>
                <w:bCs/>
                <w:spacing w:val="0"/>
                <w:w w:val="100"/>
                <w:sz w:val="21"/>
                <w:szCs w:val="21"/>
              </w:rPr>
              <w:t>）</w:t>
            </w:r>
          </w:p>
        </w:tc>
      </w:tr>
      <w:tr w14:paraId="0FCC865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9" w:type="pct"/>
            <w:vMerge w:val="continue"/>
            <w:tcBorders>
              <w:tl2br w:val="nil"/>
              <w:tr2bl w:val="nil"/>
            </w:tcBorders>
            <w:noWrap w:val="0"/>
            <w:vAlign w:val="center"/>
          </w:tcPr>
          <w:p w14:paraId="68D6DB8E">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642" w:type="pct"/>
            <w:vMerge w:val="continue"/>
            <w:tcBorders>
              <w:tl2br w:val="nil"/>
              <w:tr2bl w:val="nil"/>
            </w:tcBorders>
            <w:noWrap w:val="0"/>
            <w:vAlign w:val="center"/>
          </w:tcPr>
          <w:p w14:paraId="5869E956">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23" w:type="pct"/>
            <w:vMerge w:val="continue"/>
            <w:tcBorders>
              <w:tl2br w:val="nil"/>
              <w:tr2bl w:val="nil"/>
            </w:tcBorders>
            <w:noWrap w:val="0"/>
            <w:vAlign w:val="center"/>
          </w:tcPr>
          <w:p w14:paraId="60B3217A">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24" w:type="pct"/>
            <w:vMerge w:val="continue"/>
            <w:tcBorders>
              <w:tl2br w:val="nil"/>
              <w:tr2bl w:val="nil"/>
            </w:tcBorders>
            <w:noWrap w:val="0"/>
            <w:vAlign w:val="center"/>
          </w:tcPr>
          <w:p w14:paraId="6B7CB785">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95" w:type="pct"/>
            <w:vMerge w:val="continue"/>
            <w:tcBorders>
              <w:tl2br w:val="nil"/>
              <w:tr2bl w:val="nil"/>
            </w:tcBorders>
            <w:noWrap w:val="0"/>
            <w:vAlign w:val="center"/>
          </w:tcPr>
          <w:p w14:paraId="4300E238">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88" w:type="pct"/>
            <w:vMerge w:val="continue"/>
            <w:tcBorders>
              <w:tl2br w:val="nil"/>
              <w:tr2bl w:val="nil"/>
            </w:tcBorders>
            <w:noWrap w:val="0"/>
            <w:vAlign w:val="center"/>
          </w:tcPr>
          <w:p w14:paraId="4216730A">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38" w:type="pct"/>
            <w:vMerge w:val="continue"/>
            <w:tcBorders>
              <w:tl2br w:val="nil"/>
              <w:tr2bl w:val="nil"/>
            </w:tcBorders>
            <w:noWrap w:val="0"/>
            <w:vAlign w:val="center"/>
          </w:tcPr>
          <w:p w14:paraId="6AE6E4A9">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627" w:type="pct"/>
            <w:vMerge w:val="continue"/>
            <w:tcBorders>
              <w:tl2br w:val="nil"/>
              <w:tr2bl w:val="nil"/>
            </w:tcBorders>
            <w:noWrap w:val="0"/>
            <w:vAlign w:val="center"/>
          </w:tcPr>
          <w:p w14:paraId="46F6CD24">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680" w:type="pct"/>
            <w:vMerge w:val="continue"/>
            <w:tcBorders>
              <w:tl2br w:val="nil"/>
              <w:tr2bl w:val="nil"/>
            </w:tcBorders>
            <w:noWrap w:val="0"/>
            <w:vAlign w:val="center"/>
          </w:tcPr>
          <w:p w14:paraId="726C9CA8">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r>
      <w:tr w14:paraId="52E090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9" w:type="pct"/>
            <w:vMerge w:val="restart"/>
            <w:tcBorders>
              <w:tl2br w:val="nil"/>
              <w:tr2bl w:val="nil"/>
            </w:tcBorders>
            <w:noWrap w:val="0"/>
            <w:vAlign w:val="center"/>
          </w:tcPr>
          <w:p w14:paraId="30627CF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ascii="Times New Roman" w:hAnsi="Times New Roman" w:eastAsia="宋体" w:cs="Times New Roman"/>
                <w:spacing w:val="0"/>
                <w:w w:val="100"/>
                <w:sz w:val="21"/>
                <w:szCs w:val="21"/>
                <w:lang w:val="en-US" w:eastAsia="zh-CN"/>
              </w:rPr>
              <w:t>生产车间</w:t>
            </w:r>
          </w:p>
        </w:tc>
        <w:tc>
          <w:tcPr>
            <w:tcW w:w="642" w:type="pct"/>
            <w:vMerge w:val="restart"/>
            <w:tcBorders>
              <w:tl2br w:val="nil"/>
              <w:tr2bl w:val="nil"/>
            </w:tcBorders>
            <w:noWrap w:val="0"/>
            <w:vAlign w:val="center"/>
          </w:tcPr>
          <w:p w14:paraId="62C38D07">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cs="Times New Roman"/>
                <w:spacing w:val="0"/>
                <w:w w:val="100"/>
                <w:sz w:val="21"/>
                <w:szCs w:val="21"/>
                <w:lang w:val="en-US" w:eastAsia="zh-CN"/>
              </w:rPr>
              <w:t>70</w:t>
            </w:r>
          </w:p>
        </w:tc>
        <w:tc>
          <w:tcPr>
            <w:tcW w:w="423" w:type="pct"/>
            <w:vMerge w:val="restart"/>
            <w:tcBorders>
              <w:tl2br w:val="nil"/>
              <w:tr2bl w:val="nil"/>
            </w:tcBorders>
            <w:noWrap w:val="0"/>
            <w:vAlign w:val="center"/>
          </w:tcPr>
          <w:p w14:paraId="3B425F43">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cs="Times New Roman"/>
                <w:spacing w:val="0"/>
                <w:w w:val="100"/>
                <w:sz w:val="21"/>
                <w:szCs w:val="21"/>
                <w:lang w:val="en-US" w:eastAsia="zh-CN"/>
              </w:rPr>
              <w:t>120</w:t>
            </w:r>
          </w:p>
        </w:tc>
        <w:tc>
          <w:tcPr>
            <w:tcW w:w="524" w:type="pct"/>
            <w:vMerge w:val="restart"/>
            <w:tcBorders>
              <w:tl2br w:val="nil"/>
              <w:tr2bl w:val="nil"/>
            </w:tcBorders>
            <w:noWrap w:val="0"/>
            <w:vAlign w:val="center"/>
          </w:tcPr>
          <w:p w14:paraId="6042C1AB">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cs="Times New Roman"/>
                <w:spacing w:val="0"/>
                <w:w w:val="100"/>
                <w:sz w:val="21"/>
                <w:szCs w:val="21"/>
                <w:lang w:val="en-US" w:eastAsia="zh-CN"/>
              </w:rPr>
              <w:t>355</w:t>
            </w:r>
          </w:p>
        </w:tc>
        <w:tc>
          <w:tcPr>
            <w:tcW w:w="595" w:type="pct"/>
            <w:vMerge w:val="restart"/>
            <w:tcBorders>
              <w:tl2br w:val="nil"/>
              <w:tr2bl w:val="nil"/>
            </w:tcBorders>
            <w:noWrap w:val="0"/>
            <w:vAlign w:val="center"/>
          </w:tcPr>
          <w:p w14:paraId="41ADFF66">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cs="Times New Roman"/>
                <w:spacing w:val="0"/>
                <w:w w:val="100"/>
                <w:sz w:val="21"/>
                <w:szCs w:val="21"/>
                <w:lang w:val="en-US" w:eastAsia="zh-CN"/>
              </w:rPr>
              <w:t>15</w:t>
            </w:r>
          </w:p>
        </w:tc>
        <w:tc>
          <w:tcPr>
            <w:tcW w:w="488" w:type="pct"/>
            <w:vMerge w:val="restart"/>
            <w:tcBorders>
              <w:tl2br w:val="nil"/>
              <w:tr2bl w:val="nil"/>
            </w:tcBorders>
            <w:noWrap w:val="0"/>
            <w:vAlign w:val="center"/>
          </w:tcPr>
          <w:p w14:paraId="7A045ED7">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cs="Times New Roman"/>
                <w:spacing w:val="0"/>
                <w:w w:val="100"/>
                <w:sz w:val="21"/>
                <w:szCs w:val="21"/>
                <w:lang w:val="en-US" w:eastAsia="zh-CN"/>
              </w:rPr>
              <w:t>7200</w:t>
            </w:r>
          </w:p>
        </w:tc>
        <w:tc>
          <w:tcPr>
            <w:tcW w:w="438" w:type="pct"/>
            <w:vMerge w:val="restart"/>
            <w:tcBorders>
              <w:tl2br w:val="nil"/>
              <w:tr2bl w:val="nil"/>
            </w:tcBorders>
            <w:noWrap w:val="0"/>
            <w:vAlign w:val="center"/>
          </w:tcPr>
          <w:p w14:paraId="2273A502">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default" w:ascii="Times New Roman" w:hAnsi="Times New Roman" w:cs="Times New Roman"/>
                <w:spacing w:val="0"/>
                <w:w w:val="100"/>
                <w:sz w:val="21"/>
                <w:szCs w:val="21"/>
                <w:lang w:val="en-US" w:eastAsia="zh-CN"/>
              </w:rPr>
              <w:t>正常</w:t>
            </w:r>
          </w:p>
        </w:tc>
        <w:tc>
          <w:tcPr>
            <w:tcW w:w="627" w:type="pct"/>
            <w:tcBorders>
              <w:tl2br w:val="nil"/>
              <w:tr2bl w:val="nil"/>
            </w:tcBorders>
            <w:noWrap w:val="0"/>
            <w:vAlign w:val="center"/>
          </w:tcPr>
          <w:p w14:paraId="5221D6A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pacing w:val="0"/>
                <w:w w:val="100"/>
                <w:sz w:val="21"/>
                <w:szCs w:val="21"/>
                <w:lang w:val="en-US" w:eastAsia="zh-CN"/>
              </w:rPr>
            </w:pPr>
            <w:r>
              <w:rPr>
                <w:rFonts w:hint="eastAsia" w:ascii="Times New Roman" w:hAnsi="Times New Roman" w:eastAsia="宋体" w:cs="Times New Roman"/>
                <w:spacing w:val="0"/>
                <w:w w:val="100"/>
                <w:sz w:val="21"/>
                <w:szCs w:val="21"/>
                <w:lang w:val="en-US" w:eastAsia="zh-CN"/>
              </w:rPr>
              <w:t>硫酸雾</w:t>
            </w:r>
          </w:p>
        </w:tc>
        <w:tc>
          <w:tcPr>
            <w:tcW w:w="680" w:type="pct"/>
            <w:tcBorders>
              <w:tl2br w:val="nil"/>
              <w:tr2bl w:val="nil"/>
            </w:tcBorders>
            <w:noWrap w:val="0"/>
            <w:vAlign w:val="center"/>
          </w:tcPr>
          <w:p w14:paraId="5B54D71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ascii="Times New Roman" w:hAnsi="Times New Roman" w:eastAsia="宋体" w:cs="Times New Roman"/>
                <w:spacing w:val="0"/>
                <w:w w:val="100"/>
                <w:sz w:val="21"/>
                <w:szCs w:val="21"/>
                <w:lang w:val="en-US" w:eastAsia="zh-CN"/>
              </w:rPr>
              <w:t>0.011</w:t>
            </w:r>
          </w:p>
        </w:tc>
      </w:tr>
      <w:tr w14:paraId="531E43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9" w:type="pct"/>
            <w:vMerge w:val="continue"/>
            <w:tcBorders>
              <w:tl2br w:val="nil"/>
              <w:tr2bl w:val="nil"/>
            </w:tcBorders>
            <w:noWrap w:val="0"/>
            <w:vAlign w:val="center"/>
          </w:tcPr>
          <w:p w14:paraId="3A03ECFB">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642" w:type="pct"/>
            <w:vMerge w:val="continue"/>
            <w:tcBorders>
              <w:tl2br w:val="nil"/>
              <w:tr2bl w:val="nil"/>
            </w:tcBorders>
            <w:noWrap w:val="0"/>
            <w:vAlign w:val="center"/>
          </w:tcPr>
          <w:p w14:paraId="30D0E378">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23" w:type="pct"/>
            <w:vMerge w:val="continue"/>
            <w:tcBorders>
              <w:tl2br w:val="nil"/>
              <w:tr2bl w:val="nil"/>
            </w:tcBorders>
            <w:noWrap w:val="0"/>
            <w:vAlign w:val="center"/>
          </w:tcPr>
          <w:p w14:paraId="66B4DA43">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24" w:type="pct"/>
            <w:vMerge w:val="continue"/>
            <w:tcBorders>
              <w:tl2br w:val="nil"/>
              <w:tr2bl w:val="nil"/>
            </w:tcBorders>
            <w:noWrap w:val="0"/>
            <w:vAlign w:val="center"/>
          </w:tcPr>
          <w:p w14:paraId="562E123C">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95" w:type="pct"/>
            <w:vMerge w:val="continue"/>
            <w:tcBorders>
              <w:tl2br w:val="nil"/>
              <w:tr2bl w:val="nil"/>
            </w:tcBorders>
            <w:noWrap w:val="0"/>
            <w:vAlign w:val="center"/>
          </w:tcPr>
          <w:p w14:paraId="7C2D6991">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88" w:type="pct"/>
            <w:vMerge w:val="continue"/>
            <w:tcBorders>
              <w:tl2br w:val="nil"/>
              <w:tr2bl w:val="nil"/>
            </w:tcBorders>
            <w:noWrap w:val="0"/>
            <w:vAlign w:val="center"/>
          </w:tcPr>
          <w:p w14:paraId="1C37E6E6">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38" w:type="pct"/>
            <w:vMerge w:val="continue"/>
            <w:tcBorders>
              <w:tl2br w:val="nil"/>
              <w:tr2bl w:val="nil"/>
            </w:tcBorders>
            <w:noWrap w:val="0"/>
            <w:vAlign w:val="center"/>
          </w:tcPr>
          <w:p w14:paraId="602199C6">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1051" w:type="dxa"/>
            <w:tcBorders>
              <w:tl2br w:val="nil"/>
              <w:tr2bl w:val="nil"/>
            </w:tcBorders>
            <w:noWrap w:val="0"/>
            <w:vAlign w:val="center"/>
          </w:tcPr>
          <w:p w14:paraId="37F8C59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napToGrid w:val="0"/>
                <w:spacing w:val="0"/>
                <w:w w:val="100"/>
                <w:kern w:val="21"/>
                <w:sz w:val="21"/>
                <w:szCs w:val="21"/>
                <w:lang w:val="en-US" w:eastAsia="zh-CN"/>
              </w:rPr>
              <w:t>H</w:t>
            </w:r>
            <w:r>
              <w:rPr>
                <w:rFonts w:hint="default" w:ascii="Times New Roman" w:hAnsi="Times New Roman" w:eastAsia="宋体" w:cs="Times New Roman"/>
                <w:snapToGrid w:val="0"/>
                <w:spacing w:val="0"/>
                <w:w w:val="100"/>
                <w:kern w:val="21"/>
                <w:sz w:val="21"/>
                <w:szCs w:val="21"/>
                <w:vertAlign w:val="subscript"/>
                <w:lang w:val="en-US" w:eastAsia="zh-CN"/>
              </w:rPr>
              <w:t>2</w:t>
            </w:r>
            <w:r>
              <w:rPr>
                <w:rFonts w:hint="default" w:ascii="Times New Roman" w:hAnsi="Times New Roman" w:eastAsia="宋体" w:cs="Times New Roman"/>
                <w:snapToGrid w:val="0"/>
                <w:spacing w:val="0"/>
                <w:w w:val="100"/>
                <w:kern w:val="21"/>
                <w:sz w:val="21"/>
                <w:szCs w:val="21"/>
                <w:lang w:val="en-US" w:eastAsia="zh-CN"/>
              </w:rPr>
              <w:t>S</w:t>
            </w:r>
          </w:p>
        </w:tc>
        <w:tc>
          <w:tcPr>
            <w:tcW w:w="680" w:type="pct"/>
            <w:tcBorders>
              <w:tl2br w:val="nil"/>
              <w:tr2bl w:val="nil"/>
            </w:tcBorders>
            <w:noWrap w:val="0"/>
            <w:vAlign w:val="center"/>
          </w:tcPr>
          <w:p w14:paraId="0519EDF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ascii="Times New Roman" w:hAnsi="Times New Roman" w:eastAsia="宋体" w:cs="Times New Roman"/>
                <w:spacing w:val="0"/>
                <w:w w:val="100"/>
                <w:sz w:val="21"/>
                <w:szCs w:val="21"/>
                <w:lang w:val="en-US" w:eastAsia="zh-CN"/>
              </w:rPr>
              <w:t>0.000003</w:t>
            </w:r>
          </w:p>
        </w:tc>
      </w:tr>
      <w:tr w14:paraId="0CDB42E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9" w:type="pct"/>
            <w:vMerge w:val="continue"/>
            <w:tcBorders>
              <w:tl2br w:val="nil"/>
              <w:tr2bl w:val="nil"/>
            </w:tcBorders>
            <w:noWrap w:val="0"/>
            <w:vAlign w:val="center"/>
          </w:tcPr>
          <w:p w14:paraId="2C34E035">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642" w:type="pct"/>
            <w:vMerge w:val="continue"/>
            <w:tcBorders>
              <w:tl2br w:val="nil"/>
              <w:tr2bl w:val="nil"/>
            </w:tcBorders>
            <w:noWrap w:val="0"/>
            <w:vAlign w:val="center"/>
          </w:tcPr>
          <w:p w14:paraId="0C47ACFA">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23" w:type="pct"/>
            <w:vMerge w:val="continue"/>
            <w:tcBorders>
              <w:tl2br w:val="nil"/>
              <w:tr2bl w:val="nil"/>
            </w:tcBorders>
            <w:noWrap w:val="0"/>
            <w:vAlign w:val="center"/>
          </w:tcPr>
          <w:p w14:paraId="0A97B1C4">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24" w:type="pct"/>
            <w:vMerge w:val="continue"/>
            <w:tcBorders>
              <w:tl2br w:val="nil"/>
              <w:tr2bl w:val="nil"/>
            </w:tcBorders>
            <w:noWrap w:val="0"/>
            <w:vAlign w:val="center"/>
          </w:tcPr>
          <w:p w14:paraId="5F757FBF">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595" w:type="pct"/>
            <w:vMerge w:val="continue"/>
            <w:tcBorders>
              <w:tl2br w:val="nil"/>
              <w:tr2bl w:val="nil"/>
            </w:tcBorders>
            <w:noWrap w:val="0"/>
            <w:vAlign w:val="center"/>
          </w:tcPr>
          <w:p w14:paraId="66085F93">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88" w:type="pct"/>
            <w:vMerge w:val="continue"/>
            <w:tcBorders>
              <w:tl2br w:val="nil"/>
              <w:tr2bl w:val="nil"/>
            </w:tcBorders>
            <w:noWrap w:val="0"/>
            <w:vAlign w:val="center"/>
          </w:tcPr>
          <w:p w14:paraId="1F205065">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438" w:type="pct"/>
            <w:vMerge w:val="continue"/>
            <w:tcBorders>
              <w:tl2br w:val="nil"/>
              <w:tr2bl w:val="nil"/>
            </w:tcBorders>
            <w:noWrap w:val="0"/>
            <w:vAlign w:val="center"/>
          </w:tcPr>
          <w:p w14:paraId="6AC780B0">
            <w:pPr>
              <w:pStyle w:val="16"/>
              <w:keepNext w:val="0"/>
              <w:keepLines w:val="0"/>
              <w:pageBreakBefore w:val="0"/>
              <w:widowControl/>
              <w:tabs>
                <w:tab w:val="left" w:pos="5756"/>
              </w:tabs>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w w:val="100"/>
                <w:sz w:val="21"/>
                <w:szCs w:val="21"/>
              </w:rPr>
            </w:pPr>
          </w:p>
        </w:tc>
        <w:tc>
          <w:tcPr>
            <w:tcW w:w="1051" w:type="dxa"/>
            <w:tcBorders>
              <w:tl2br w:val="nil"/>
              <w:tr2bl w:val="nil"/>
            </w:tcBorders>
            <w:noWrap w:val="0"/>
            <w:vAlign w:val="center"/>
          </w:tcPr>
          <w:p w14:paraId="219C9FB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napToGrid w:val="0"/>
                <w:spacing w:val="0"/>
                <w:w w:val="100"/>
                <w:kern w:val="21"/>
                <w:sz w:val="21"/>
                <w:szCs w:val="21"/>
                <w:lang w:val="en-US" w:eastAsia="zh-CN"/>
              </w:rPr>
              <w:t>NH</w:t>
            </w:r>
            <w:r>
              <w:rPr>
                <w:rFonts w:hint="default" w:ascii="Times New Roman" w:hAnsi="Times New Roman" w:eastAsia="宋体" w:cs="Times New Roman"/>
                <w:snapToGrid w:val="0"/>
                <w:spacing w:val="0"/>
                <w:w w:val="100"/>
                <w:kern w:val="21"/>
                <w:sz w:val="21"/>
                <w:szCs w:val="21"/>
                <w:vertAlign w:val="subscript"/>
                <w:lang w:val="en-US" w:eastAsia="zh-CN"/>
              </w:rPr>
              <w:t>3</w:t>
            </w:r>
          </w:p>
        </w:tc>
        <w:tc>
          <w:tcPr>
            <w:tcW w:w="680" w:type="pct"/>
            <w:tcBorders>
              <w:tl2br w:val="nil"/>
              <w:tr2bl w:val="nil"/>
            </w:tcBorders>
            <w:noWrap w:val="0"/>
            <w:vAlign w:val="center"/>
          </w:tcPr>
          <w:p w14:paraId="5300FBF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sz w:val="21"/>
                <w:szCs w:val="21"/>
                <w:lang w:val="en-US" w:eastAsia="zh-CN"/>
              </w:rPr>
            </w:pPr>
            <w:r>
              <w:rPr>
                <w:rFonts w:hint="eastAsia" w:ascii="Times New Roman" w:hAnsi="Times New Roman" w:eastAsia="宋体" w:cs="Times New Roman"/>
                <w:spacing w:val="0"/>
                <w:w w:val="100"/>
                <w:sz w:val="21"/>
                <w:szCs w:val="21"/>
                <w:lang w:val="en-US" w:eastAsia="zh-CN"/>
              </w:rPr>
              <w:t>0.0006</w:t>
            </w:r>
          </w:p>
        </w:tc>
      </w:tr>
    </w:tbl>
    <w:p w14:paraId="33C79808">
      <w:pPr>
        <w:ind w:firstLine="480"/>
      </w:pPr>
      <w:r>
        <w:rPr>
          <w:rFonts w:hint="eastAsia"/>
        </w:rPr>
        <w:t>根据工程分析，项目非正常工况情况为：开车、停车和一般性事故。</w:t>
      </w:r>
    </w:p>
    <w:p w14:paraId="678EBA78">
      <w:pPr>
        <w:ind w:firstLine="480"/>
      </w:pPr>
      <w:r>
        <w:rPr>
          <w:rFonts w:hint="eastAsia"/>
        </w:rPr>
        <w:t>整个工艺开车时可以按工序逐步打通流程，每个工序独立运行，污染防治设施同步运行，因此，与正常生产的排污相同。</w:t>
      </w:r>
    </w:p>
    <w:p w14:paraId="41E0E63B">
      <w:pPr>
        <w:ind w:firstLine="480"/>
      </w:pPr>
      <w:r>
        <w:rPr>
          <w:rFonts w:hint="eastAsia"/>
        </w:rPr>
        <w:t>在停车工况，按工序逐步关停流程，最后停废气处理设施，即碱喷淋吸收塔，因此产污与正常运行相同。</w:t>
      </w:r>
    </w:p>
    <w:p w14:paraId="19C26CAE">
      <w:pPr>
        <w:ind w:firstLine="480"/>
      </w:pPr>
      <w:r>
        <w:rPr>
          <w:rFonts w:hint="eastAsia"/>
        </w:rPr>
        <w:t>在一般性事故状态，可以按工序停车或物料暂存对待；但在两级碱喷淋吸收塔发生事故时，按最不利情况，废气无处理效率时，本项目废气非正常排放主要为两级碱喷淋吸收塔故障。经过分析，项目非正常排放废气排放情况见下表。</w:t>
      </w:r>
    </w:p>
    <w:p w14:paraId="43E5FC2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5.2-5</w:t>
      </w:r>
      <w:r>
        <w:rPr>
          <w:rFonts w:hint="eastAsia" w:ascii="Times New Roman" w:hAnsi="Times New Roman"/>
          <w:b/>
          <w:bCs/>
        </w:rPr>
        <w:t xml:space="preserve">     非正常工况时烟囱污染物排放情况一览表</w:t>
      </w:r>
    </w:p>
    <w:tbl>
      <w:tblPr>
        <w:tblStyle w:val="125"/>
        <w:tblW w:w="4999"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57" w:type="dxa"/>
          <w:bottom w:w="0" w:type="dxa"/>
          <w:right w:w="57" w:type="dxa"/>
        </w:tblCellMar>
      </w:tblPr>
      <w:tblGrid>
        <w:gridCol w:w="1488"/>
        <w:gridCol w:w="960"/>
        <w:gridCol w:w="1125"/>
        <w:gridCol w:w="1050"/>
        <w:gridCol w:w="1005"/>
        <w:gridCol w:w="750"/>
        <w:gridCol w:w="750"/>
        <w:gridCol w:w="1301"/>
      </w:tblGrid>
      <w:tr w14:paraId="5B6AFC3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1488" w:type="dxa"/>
            <w:vAlign w:val="center"/>
          </w:tcPr>
          <w:p w14:paraId="2ED4FFBB">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污染源</w:t>
            </w:r>
          </w:p>
        </w:tc>
        <w:tc>
          <w:tcPr>
            <w:tcW w:w="960" w:type="dxa"/>
            <w:vAlign w:val="center"/>
          </w:tcPr>
          <w:p w14:paraId="7AF7BFF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非正常排放原因</w:t>
            </w:r>
          </w:p>
        </w:tc>
        <w:tc>
          <w:tcPr>
            <w:tcW w:w="1125" w:type="dxa"/>
            <w:vAlign w:val="center"/>
          </w:tcPr>
          <w:p w14:paraId="0A9DD997">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污染物</w:t>
            </w:r>
          </w:p>
        </w:tc>
        <w:tc>
          <w:tcPr>
            <w:tcW w:w="1050" w:type="dxa"/>
            <w:vAlign w:val="center"/>
          </w:tcPr>
          <w:p w14:paraId="371586F9">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排放</w:t>
            </w:r>
          </w:p>
          <w:p w14:paraId="64BDE14B">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浓度</w:t>
            </w:r>
          </w:p>
          <w:p w14:paraId="37948B43">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(mg/</w:t>
            </w:r>
            <w:r>
              <w:rPr>
                <w:rFonts w:hint="eastAsia" w:ascii="Times New Roman" w:hAnsi="Times New Roman" w:eastAsia="宋体" w:cs="Times New Roman"/>
                <w:b/>
                <w:bCs/>
                <w:sz w:val="21"/>
                <w:szCs w:val="21"/>
                <w:lang w:eastAsia="en-US"/>
              </w:rPr>
              <w:t>m</w:t>
            </w:r>
            <w:r>
              <w:rPr>
                <w:rFonts w:ascii="Times New Roman" w:hAnsi="Times New Roman" w:eastAsia="宋体" w:cs="Times New Roman"/>
                <w:b/>
                <w:bCs/>
                <w:sz w:val="21"/>
                <w:szCs w:val="21"/>
                <w:vertAlign w:val="superscript"/>
                <w:lang w:eastAsia="en-US"/>
              </w:rPr>
              <w:t>3</w:t>
            </w:r>
            <w:r>
              <w:rPr>
                <w:rFonts w:hint="eastAsia" w:ascii="Times New Roman" w:hAnsi="Times New Roman" w:eastAsia="宋体" w:cs="Times New Roman"/>
                <w:b/>
                <w:bCs/>
                <w:sz w:val="21"/>
                <w:szCs w:val="21"/>
                <w:lang w:eastAsia="en-US"/>
              </w:rPr>
              <w:t>)</w:t>
            </w:r>
          </w:p>
        </w:tc>
        <w:tc>
          <w:tcPr>
            <w:tcW w:w="1005" w:type="dxa"/>
            <w:vAlign w:val="center"/>
          </w:tcPr>
          <w:p w14:paraId="63D00779">
            <w:pPr>
              <w:pStyle w:val="126"/>
              <w:tabs>
                <w:tab w:val="left" w:pos="474"/>
                <w:tab w:val="left" w:pos="889"/>
              </w:tabs>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排放</w:t>
            </w:r>
          </w:p>
          <w:p w14:paraId="7795A2CD">
            <w:pPr>
              <w:pStyle w:val="126"/>
              <w:tabs>
                <w:tab w:val="left" w:pos="474"/>
                <w:tab w:val="left" w:pos="889"/>
              </w:tabs>
              <w:ind w:left="0"/>
              <w:jc w:val="center"/>
              <w:rPr>
                <w:rFonts w:ascii="Times New Roman" w:hAnsi="Times New Roman" w:eastAsia="宋体" w:cs="Times New Roman"/>
                <w:b/>
                <w:bCs/>
                <w:sz w:val="21"/>
                <w:szCs w:val="21"/>
                <w:lang w:eastAsia="en-US"/>
              </w:rPr>
            </w:pPr>
            <w:r>
              <w:rPr>
                <w:rFonts w:hint="eastAsia" w:ascii="Times New Roman" w:hAnsi="Times New Roman" w:eastAsia="宋体" w:cs="Times New Roman"/>
                <w:b/>
                <w:bCs/>
                <w:sz w:val="21"/>
                <w:szCs w:val="21"/>
                <w:lang w:val="en-US" w:eastAsia="zh-CN"/>
              </w:rPr>
              <w:t>速率</w:t>
            </w:r>
            <w:r>
              <w:rPr>
                <w:rFonts w:ascii="Times New Roman" w:hAnsi="Times New Roman" w:eastAsia="宋体" w:cs="Times New Roman"/>
                <w:b/>
                <w:bCs/>
                <w:sz w:val="21"/>
                <w:szCs w:val="21"/>
                <w:lang w:eastAsia="en-US"/>
              </w:rPr>
              <w:t>(kg/h)</w:t>
            </w:r>
          </w:p>
        </w:tc>
        <w:tc>
          <w:tcPr>
            <w:tcW w:w="750" w:type="dxa"/>
            <w:vAlign w:val="center"/>
          </w:tcPr>
          <w:p w14:paraId="5D678F0B">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单次持续时间(h)</w:t>
            </w:r>
          </w:p>
        </w:tc>
        <w:tc>
          <w:tcPr>
            <w:tcW w:w="750" w:type="dxa"/>
            <w:vAlign w:val="center"/>
          </w:tcPr>
          <w:p w14:paraId="08D8410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发生</w:t>
            </w:r>
          </w:p>
          <w:p w14:paraId="2A2A12E5">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频次</w:t>
            </w:r>
          </w:p>
        </w:tc>
        <w:tc>
          <w:tcPr>
            <w:tcW w:w="1301" w:type="dxa"/>
            <w:vAlign w:val="center"/>
          </w:tcPr>
          <w:p w14:paraId="7981C0D0">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应对措施</w:t>
            </w:r>
          </w:p>
        </w:tc>
      </w:tr>
      <w:tr w14:paraId="54DF0C3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1488" w:type="dxa"/>
            <w:vAlign w:val="center"/>
          </w:tcPr>
          <w:p w14:paraId="6D4BEC24">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排气筒DA001</w:t>
            </w:r>
          </w:p>
        </w:tc>
        <w:tc>
          <w:tcPr>
            <w:tcW w:w="960" w:type="dxa"/>
            <w:vMerge w:val="restart"/>
            <w:vAlign w:val="center"/>
          </w:tcPr>
          <w:p w14:paraId="52D37E0A">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废气处理设施故障</w:t>
            </w:r>
          </w:p>
        </w:tc>
        <w:tc>
          <w:tcPr>
            <w:tcW w:w="1125" w:type="dxa"/>
            <w:vAlign w:val="center"/>
          </w:tcPr>
          <w:p w14:paraId="656956E3">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050" w:type="dxa"/>
            <w:vAlign w:val="center"/>
          </w:tcPr>
          <w:p w14:paraId="5A02D7F4">
            <w:pPr>
              <w:pStyle w:val="126"/>
              <w:ind w:lef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highlight w:val="none"/>
                <w:lang w:val="en-US" w:eastAsia="zh-CN"/>
              </w:rPr>
              <w:t>7.55</w:t>
            </w:r>
          </w:p>
        </w:tc>
        <w:tc>
          <w:tcPr>
            <w:tcW w:w="1005" w:type="dxa"/>
            <w:vAlign w:val="center"/>
          </w:tcPr>
          <w:p w14:paraId="723AC0EE">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en-US"/>
              </w:rPr>
            </w:pPr>
            <w:r>
              <w:rPr>
                <w:rFonts w:hint="default" w:ascii="Times New Roman" w:hAnsi="Times New Roman" w:cs="Times New Roman"/>
                <w:sz w:val="21"/>
                <w:szCs w:val="21"/>
                <w:highlight w:val="none"/>
                <w:lang w:val="en-US" w:eastAsia="zh-CN"/>
              </w:rPr>
              <w:t>0.2076</w:t>
            </w:r>
          </w:p>
        </w:tc>
        <w:tc>
          <w:tcPr>
            <w:tcW w:w="750" w:type="dxa"/>
            <w:vMerge w:val="restart"/>
            <w:vAlign w:val="center"/>
          </w:tcPr>
          <w:p w14:paraId="757A61CD">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0.25</w:t>
            </w:r>
          </w:p>
        </w:tc>
        <w:tc>
          <w:tcPr>
            <w:tcW w:w="750" w:type="dxa"/>
            <w:vMerge w:val="restart"/>
            <w:vAlign w:val="center"/>
          </w:tcPr>
          <w:p w14:paraId="09021DD9">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1次/年</w:t>
            </w:r>
          </w:p>
        </w:tc>
        <w:tc>
          <w:tcPr>
            <w:tcW w:w="1301" w:type="dxa"/>
            <w:vMerge w:val="restart"/>
            <w:vAlign w:val="center"/>
          </w:tcPr>
          <w:p w14:paraId="476DF97C">
            <w:pPr>
              <w:pStyle w:val="126"/>
              <w:ind w:left="0"/>
              <w:jc w:val="center"/>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定期进行维护保养，保</w:t>
            </w:r>
            <w:r>
              <w:rPr>
                <w:rFonts w:ascii="Times New Roman" w:hAnsi="Times New Roman" w:eastAsia="宋体" w:cs="Times New Roman"/>
                <w:spacing w:val="11"/>
                <w:sz w:val="21"/>
                <w:szCs w:val="21"/>
                <w:lang w:eastAsia="zh-CN"/>
              </w:rPr>
              <w:t>证环</w:t>
            </w:r>
            <w:r>
              <w:rPr>
                <w:rFonts w:ascii="Times New Roman" w:hAnsi="Times New Roman" w:eastAsia="宋体" w:cs="Times New Roman"/>
                <w:sz w:val="21"/>
                <w:szCs w:val="21"/>
                <w:lang w:eastAsia="zh-CN"/>
              </w:rPr>
              <w:t>保设施正常运行；生产出现时应立即停车检修。</w:t>
            </w:r>
          </w:p>
        </w:tc>
      </w:tr>
      <w:tr w14:paraId="5D20227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1488" w:type="dxa"/>
            <w:vAlign w:val="center"/>
          </w:tcPr>
          <w:p w14:paraId="3BEA3417">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排气筒DA002</w:t>
            </w:r>
          </w:p>
        </w:tc>
        <w:tc>
          <w:tcPr>
            <w:tcW w:w="960" w:type="dxa"/>
            <w:vMerge w:val="continue"/>
            <w:vAlign w:val="center"/>
          </w:tcPr>
          <w:p w14:paraId="1C313D80">
            <w:pPr>
              <w:pStyle w:val="126"/>
              <w:ind w:left="0"/>
              <w:jc w:val="center"/>
              <w:rPr>
                <w:rFonts w:ascii="Times New Roman" w:hAnsi="Times New Roman" w:eastAsia="宋体" w:cs="Times New Roman"/>
                <w:sz w:val="21"/>
                <w:szCs w:val="21"/>
                <w:lang w:eastAsia="en-US"/>
              </w:rPr>
            </w:pPr>
          </w:p>
        </w:tc>
        <w:tc>
          <w:tcPr>
            <w:tcW w:w="1125" w:type="dxa"/>
            <w:shd w:val="clear" w:color="auto" w:fill="auto"/>
            <w:vAlign w:val="center"/>
          </w:tcPr>
          <w:p w14:paraId="638FF479">
            <w:pPr>
              <w:pStyle w:val="126"/>
              <w:ind w:left="0" w:leftChars="0" w:firstLine="0" w:firstLineChars="0"/>
              <w:jc w:val="center"/>
              <w:rPr>
                <w:rFonts w:ascii="Times New Roman" w:hAnsi="Times New Roman" w:eastAsia="宋体" w:cs="Times New Roman"/>
                <w:sz w:val="21"/>
                <w:szCs w:val="21"/>
                <w:lang w:val="en-US" w:eastAsia="en-US" w:bidi="ar-SA"/>
              </w:rPr>
            </w:pPr>
            <w:r>
              <w:rPr>
                <w:rFonts w:ascii="Times New Roman" w:hAnsi="Times New Roman" w:eastAsia="宋体" w:cs="Times New Roman"/>
                <w:sz w:val="21"/>
                <w:szCs w:val="21"/>
                <w:lang w:eastAsia="en-US"/>
              </w:rPr>
              <w:t>硫酸雾</w:t>
            </w:r>
          </w:p>
        </w:tc>
        <w:tc>
          <w:tcPr>
            <w:tcW w:w="1050" w:type="dxa"/>
            <w:shd w:val="clear" w:color="auto" w:fill="auto"/>
            <w:vAlign w:val="center"/>
          </w:tcPr>
          <w:p w14:paraId="284DE161">
            <w:pPr>
              <w:pStyle w:val="126"/>
              <w:ind w:left="0" w:leftChars="0" w:firstLine="0" w:firstLineChars="0"/>
              <w:jc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10.92</w:t>
            </w:r>
          </w:p>
        </w:tc>
        <w:tc>
          <w:tcPr>
            <w:tcW w:w="1005" w:type="dxa"/>
            <w:vAlign w:val="center"/>
          </w:tcPr>
          <w:p w14:paraId="34B9E514">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en-US"/>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0.1027</w:t>
            </w:r>
          </w:p>
        </w:tc>
        <w:tc>
          <w:tcPr>
            <w:tcW w:w="750" w:type="dxa"/>
            <w:vMerge w:val="continue"/>
            <w:vAlign w:val="center"/>
          </w:tcPr>
          <w:p w14:paraId="50C65FEE">
            <w:pPr>
              <w:pStyle w:val="126"/>
              <w:ind w:left="0"/>
              <w:jc w:val="center"/>
              <w:rPr>
                <w:rFonts w:ascii="Times New Roman" w:hAnsi="Times New Roman" w:eastAsia="宋体" w:cs="Times New Roman"/>
                <w:sz w:val="21"/>
                <w:szCs w:val="21"/>
                <w:lang w:eastAsia="en-US"/>
              </w:rPr>
            </w:pPr>
          </w:p>
        </w:tc>
        <w:tc>
          <w:tcPr>
            <w:tcW w:w="750" w:type="dxa"/>
            <w:vMerge w:val="continue"/>
            <w:vAlign w:val="center"/>
          </w:tcPr>
          <w:p w14:paraId="75EBA9D2">
            <w:pPr>
              <w:pStyle w:val="126"/>
              <w:ind w:left="0"/>
              <w:jc w:val="center"/>
              <w:rPr>
                <w:rFonts w:ascii="Times New Roman" w:hAnsi="Times New Roman" w:eastAsia="宋体" w:cs="Times New Roman"/>
                <w:sz w:val="21"/>
                <w:szCs w:val="21"/>
                <w:lang w:eastAsia="en-US"/>
              </w:rPr>
            </w:pPr>
          </w:p>
        </w:tc>
        <w:tc>
          <w:tcPr>
            <w:tcW w:w="1301" w:type="dxa"/>
            <w:vMerge w:val="continue"/>
            <w:vAlign w:val="center"/>
          </w:tcPr>
          <w:p w14:paraId="12EC780D">
            <w:pPr>
              <w:pStyle w:val="126"/>
              <w:ind w:left="0"/>
              <w:jc w:val="center"/>
              <w:rPr>
                <w:rFonts w:ascii="Times New Roman" w:hAnsi="Times New Roman" w:eastAsia="宋体" w:cs="Times New Roman"/>
                <w:sz w:val="21"/>
                <w:szCs w:val="21"/>
                <w:lang w:eastAsia="en-US"/>
              </w:rPr>
            </w:pPr>
          </w:p>
        </w:tc>
      </w:tr>
      <w:tr w14:paraId="24C384A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1488" w:type="dxa"/>
            <w:vAlign w:val="center"/>
          </w:tcPr>
          <w:p w14:paraId="24663087">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排气筒DA003</w:t>
            </w:r>
          </w:p>
        </w:tc>
        <w:tc>
          <w:tcPr>
            <w:tcW w:w="960" w:type="dxa"/>
            <w:vMerge w:val="continue"/>
            <w:vAlign w:val="center"/>
          </w:tcPr>
          <w:p w14:paraId="5C46354C">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125" w:type="dxa"/>
            <w:vAlign w:val="center"/>
          </w:tcPr>
          <w:p w14:paraId="06F7959E">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050" w:type="dxa"/>
            <w:vAlign w:val="center"/>
          </w:tcPr>
          <w:p w14:paraId="527711AE">
            <w:pPr>
              <w:pStyle w:val="126"/>
              <w:ind w:left="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13.72</w:t>
            </w:r>
          </w:p>
        </w:tc>
        <w:tc>
          <w:tcPr>
            <w:tcW w:w="1005" w:type="dxa"/>
            <w:vAlign w:val="center"/>
          </w:tcPr>
          <w:p w14:paraId="3B135796">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0.2282</w:t>
            </w:r>
          </w:p>
        </w:tc>
        <w:tc>
          <w:tcPr>
            <w:tcW w:w="750" w:type="dxa"/>
            <w:vMerge w:val="continue"/>
            <w:vAlign w:val="center"/>
          </w:tcPr>
          <w:p w14:paraId="5640C396">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750" w:type="dxa"/>
            <w:vMerge w:val="continue"/>
            <w:vAlign w:val="center"/>
          </w:tcPr>
          <w:p w14:paraId="312171AF">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301" w:type="dxa"/>
            <w:vMerge w:val="continue"/>
            <w:vAlign w:val="center"/>
          </w:tcPr>
          <w:p w14:paraId="438F9320">
            <w:pPr>
              <w:pStyle w:val="126"/>
              <w:ind w:left="0"/>
              <w:jc w:val="center"/>
              <w:rPr>
                <w:rFonts w:ascii="Times New Roman" w:hAnsi="Times New Roman" w:eastAsia="宋体" w:cs="Times New Roman"/>
                <w:sz w:val="21"/>
                <w:szCs w:val="21"/>
                <w:lang w:eastAsia="en-US"/>
              </w:rPr>
            </w:pPr>
          </w:p>
        </w:tc>
      </w:tr>
      <w:tr w14:paraId="2D0348A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1488" w:type="dxa"/>
            <w:vMerge w:val="restart"/>
            <w:vAlign w:val="center"/>
          </w:tcPr>
          <w:p w14:paraId="46C384A5">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排气筒DA00</w:t>
            </w:r>
            <w:r>
              <w:rPr>
                <w:rFonts w:hint="eastAsia" w:ascii="Times New Roman" w:hAnsi="Times New Roman" w:eastAsia="宋体" w:cs="Times New Roman"/>
                <w:sz w:val="21"/>
                <w:szCs w:val="21"/>
                <w:lang w:val="en-US" w:eastAsia="zh-CN"/>
              </w:rPr>
              <w:t>4</w:t>
            </w:r>
          </w:p>
        </w:tc>
        <w:tc>
          <w:tcPr>
            <w:tcW w:w="960" w:type="dxa"/>
            <w:vMerge w:val="continue"/>
            <w:vAlign w:val="center"/>
          </w:tcPr>
          <w:p w14:paraId="56C6FB16">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125" w:type="dxa"/>
            <w:vAlign w:val="center"/>
          </w:tcPr>
          <w:p w14:paraId="66E818C0">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1050" w:type="dxa"/>
            <w:vAlign w:val="center"/>
          </w:tcPr>
          <w:p w14:paraId="37B90D18">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11.6</w:t>
            </w:r>
          </w:p>
        </w:tc>
        <w:tc>
          <w:tcPr>
            <w:tcW w:w="1005" w:type="dxa"/>
            <w:vAlign w:val="center"/>
          </w:tcPr>
          <w:p w14:paraId="2E4C839F">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en-US"/>
              </w:rPr>
            </w:pPr>
            <w:r>
              <w:rPr>
                <w:rFonts w:hint="eastAsia" w:cs="Times New Roman"/>
                <w:i w:val="0"/>
                <w:iCs w:val="0"/>
                <w:color w:val="000000"/>
                <w:kern w:val="0"/>
                <w:sz w:val="21"/>
                <w:szCs w:val="21"/>
                <w:u w:val="none"/>
                <w:lang w:val="en-US" w:eastAsia="zh-CN" w:bidi="ar"/>
              </w:rPr>
              <w:t>0.0116</w:t>
            </w:r>
          </w:p>
        </w:tc>
        <w:tc>
          <w:tcPr>
            <w:tcW w:w="750" w:type="dxa"/>
            <w:vMerge w:val="continue"/>
            <w:vAlign w:val="center"/>
          </w:tcPr>
          <w:p w14:paraId="066B354C">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750" w:type="dxa"/>
            <w:vMerge w:val="continue"/>
            <w:vAlign w:val="center"/>
          </w:tcPr>
          <w:p w14:paraId="44DA8766">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301" w:type="dxa"/>
            <w:vMerge w:val="continue"/>
            <w:vAlign w:val="center"/>
          </w:tcPr>
          <w:p w14:paraId="30943DD6">
            <w:pPr>
              <w:pStyle w:val="126"/>
              <w:ind w:left="0"/>
              <w:jc w:val="center"/>
              <w:rPr>
                <w:rFonts w:ascii="Times New Roman" w:hAnsi="Times New Roman" w:eastAsia="宋体" w:cs="Times New Roman"/>
                <w:sz w:val="21"/>
                <w:szCs w:val="21"/>
                <w:lang w:eastAsia="en-US"/>
              </w:rPr>
            </w:pPr>
          </w:p>
        </w:tc>
      </w:tr>
      <w:tr w14:paraId="5DFE725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1488" w:type="dxa"/>
            <w:vMerge w:val="continue"/>
            <w:vAlign w:val="center"/>
          </w:tcPr>
          <w:p w14:paraId="688DC57A">
            <w:pPr>
              <w:pStyle w:val="126"/>
              <w:ind w:left="0"/>
              <w:jc w:val="center"/>
              <w:rPr>
                <w:rFonts w:ascii="Times New Roman" w:hAnsi="Times New Roman" w:eastAsia="宋体" w:cs="Times New Roman"/>
                <w:sz w:val="21"/>
                <w:szCs w:val="21"/>
                <w:lang w:eastAsia="en-US"/>
              </w:rPr>
            </w:pPr>
          </w:p>
        </w:tc>
        <w:tc>
          <w:tcPr>
            <w:tcW w:w="960" w:type="dxa"/>
            <w:vMerge w:val="continue"/>
            <w:vAlign w:val="center"/>
          </w:tcPr>
          <w:p w14:paraId="1B781F48">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125" w:type="dxa"/>
            <w:vAlign w:val="center"/>
          </w:tcPr>
          <w:p w14:paraId="288F348C">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1050" w:type="dxa"/>
            <w:vAlign w:val="center"/>
          </w:tcPr>
          <w:p w14:paraId="347ECCE7">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0.06</w:t>
            </w:r>
          </w:p>
        </w:tc>
        <w:tc>
          <w:tcPr>
            <w:tcW w:w="1005" w:type="dxa"/>
            <w:vAlign w:val="center"/>
          </w:tcPr>
          <w:p w14:paraId="69AE9B96">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en-US"/>
              </w:rPr>
            </w:pPr>
            <w:r>
              <w:rPr>
                <w:rFonts w:hint="eastAsia" w:cs="Times New Roman"/>
                <w:i w:val="0"/>
                <w:iCs w:val="0"/>
                <w:color w:val="000000"/>
                <w:kern w:val="0"/>
                <w:sz w:val="21"/>
                <w:szCs w:val="21"/>
                <w:u w:val="none"/>
                <w:lang w:val="en-US" w:eastAsia="zh-CN" w:bidi="ar"/>
              </w:rPr>
              <w:t>0.00006</w:t>
            </w:r>
          </w:p>
        </w:tc>
        <w:tc>
          <w:tcPr>
            <w:tcW w:w="750" w:type="dxa"/>
            <w:vMerge w:val="continue"/>
            <w:vAlign w:val="center"/>
          </w:tcPr>
          <w:p w14:paraId="6DF29707">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750" w:type="dxa"/>
            <w:vMerge w:val="continue"/>
            <w:vAlign w:val="center"/>
          </w:tcPr>
          <w:p w14:paraId="768C5246">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301" w:type="dxa"/>
            <w:vMerge w:val="continue"/>
            <w:vAlign w:val="center"/>
          </w:tcPr>
          <w:p w14:paraId="39381C18">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r>
    </w:tbl>
    <w:p w14:paraId="6C275194">
      <w:pPr>
        <w:ind w:firstLine="480"/>
        <w:rPr>
          <w:rFonts w:cs="宋体"/>
        </w:rPr>
      </w:pPr>
      <w:r>
        <w:rPr>
          <w:rFonts w:cs="宋体"/>
        </w:rPr>
        <w:t>由于发生非正常状态下企业可在短时间内发现，同时废气治理措施配备有备用电源等，可极大的减少非正常状态情况的发生。</w:t>
      </w:r>
    </w:p>
    <w:p w14:paraId="382D4B1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eastAsia"/>
          <w:lang w:val="en-US" w:eastAsia="zh-CN"/>
        </w:rPr>
        <w:t>5.2.1.4评价工作等级</w:t>
      </w:r>
    </w:p>
    <w:p w14:paraId="3CAF4C38">
      <w:pPr>
        <w:pStyle w:val="72"/>
        <w:rPr>
          <w:rFonts w:hint="default"/>
          <w:lang w:val="en-US"/>
        </w:rPr>
      </w:pPr>
      <w:r>
        <w:rPr>
          <w:rFonts w:hint="default" w:ascii="Times New Roman" w:hAnsi="Times New Roman" w:eastAsia="宋体" w:cs="Times New Roman"/>
          <w:snapToGrid w:val="0"/>
          <w:kern w:val="21"/>
          <w:sz w:val="24"/>
          <w:szCs w:val="24"/>
        </w:rPr>
        <w:t>根据《环境影响评价技术导则 大气环境》（HJ2.2-2018）规定的评价工作级别划分原则及办法，采用推荐模式中的估算模式对项目的大气环境评价工作进行分级。计算各项预测因子的最大浓度占标率Pi。计算结果见</w:t>
      </w:r>
      <w:r>
        <w:rPr>
          <w:rFonts w:hint="default" w:ascii="Times New Roman" w:hAnsi="Times New Roman" w:eastAsia="宋体" w:cs="Times New Roman"/>
          <w:snapToGrid w:val="0"/>
          <w:kern w:val="21"/>
          <w:sz w:val="24"/>
          <w:szCs w:val="24"/>
          <w:lang w:val="en-US" w:eastAsia="zh-CN"/>
        </w:rPr>
        <w:t>下表</w:t>
      </w:r>
      <w:r>
        <w:rPr>
          <w:rFonts w:hint="eastAsia" w:cs="Times New Roman"/>
          <w:snapToGrid w:val="0"/>
          <w:kern w:val="21"/>
          <w:sz w:val="24"/>
          <w:szCs w:val="24"/>
          <w:lang w:val="en-US" w:eastAsia="zh-CN"/>
        </w:rPr>
        <w:t>.</w:t>
      </w:r>
    </w:p>
    <w:p w14:paraId="47F8AB0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5.2-6</w:t>
      </w:r>
      <w:r>
        <w:rPr>
          <w:rFonts w:hint="eastAsia" w:ascii="Times New Roman" w:hAnsi="Times New Roman"/>
          <w:b/>
          <w:bCs/>
        </w:rPr>
        <w:t xml:space="preserve">    污染物估算模式等级判断一览表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03"/>
        <w:gridCol w:w="1273"/>
        <w:gridCol w:w="1276"/>
        <w:gridCol w:w="1135"/>
        <w:gridCol w:w="1358"/>
        <w:gridCol w:w="1486"/>
        <w:gridCol w:w="901"/>
      </w:tblGrid>
      <w:tr w14:paraId="4CBBE41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376" w:type="dxa"/>
            <w:gridSpan w:val="2"/>
            <w:tcBorders>
              <w:top w:val="single" w:color="auto" w:sz="8" w:space="0"/>
              <w:left w:val="single" w:color="auto" w:sz="8" w:space="0"/>
              <w:bottom w:val="single" w:color="auto" w:sz="6" w:space="0"/>
              <w:right w:val="single" w:color="auto" w:sz="6" w:space="0"/>
              <w:tl2br w:val="nil"/>
              <w:tr2bl w:val="nil"/>
            </w:tcBorders>
            <w:noWrap w:val="0"/>
            <w:vAlign w:val="center"/>
          </w:tcPr>
          <w:p w14:paraId="10379670">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cs="Times New Roman"/>
                <w:kern w:val="21"/>
                <w:sz w:val="21"/>
                <w:szCs w:val="20"/>
              </w:rPr>
              <w:t>项 目</w:t>
            </w:r>
          </w:p>
        </w:tc>
        <w:tc>
          <w:tcPr>
            <w:tcW w:w="1276" w:type="dxa"/>
            <w:tcBorders>
              <w:top w:val="single" w:color="auto" w:sz="8" w:space="0"/>
              <w:left w:val="single" w:color="auto" w:sz="6" w:space="0"/>
              <w:bottom w:val="single" w:color="auto" w:sz="6" w:space="0"/>
              <w:right w:val="single" w:color="auto" w:sz="4" w:space="0"/>
              <w:tl2br w:val="nil"/>
              <w:tr2bl w:val="nil"/>
            </w:tcBorders>
            <w:noWrap w:val="0"/>
            <w:vAlign w:val="center"/>
          </w:tcPr>
          <w:p w14:paraId="19E9A8EB">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eastAsia="Times New Roman" w:cs="Times New Roman"/>
                <w:kern w:val="21"/>
                <w:sz w:val="21"/>
                <w:szCs w:val="20"/>
              </w:rPr>
              <w:t>P</w:t>
            </w:r>
            <w:r>
              <w:rPr>
                <w:rFonts w:hint="default" w:ascii="Times New Roman" w:hAnsi="Times New Roman" w:eastAsia="Times New Roman" w:cs="Times New Roman"/>
                <w:kern w:val="21"/>
                <w:sz w:val="21"/>
                <w:szCs w:val="20"/>
                <w:vertAlign w:val="subscript"/>
              </w:rPr>
              <w:t>max</w:t>
            </w:r>
            <w:r>
              <w:rPr>
                <w:rFonts w:hint="default" w:ascii="Times New Roman" w:hAnsi="Times New Roman" w:cs="Times New Roman"/>
                <w:kern w:val="21"/>
                <w:sz w:val="21"/>
                <w:szCs w:val="20"/>
              </w:rPr>
              <w:t>浓度（</w:t>
            </w:r>
            <w:r>
              <w:rPr>
                <w:rFonts w:hint="default" w:ascii="Times New Roman" w:hAnsi="Times New Roman" w:cs="Times New Roman"/>
                <w:kern w:val="21"/>
                <w:sz w:val="21"/>
                <w:szCs w:val="20"/>
                <w:lang w:val="en-US" w:eastAsia="zh-CN"/>
              </w:rPr>
              <w:t>u</w:t>
            </w:r>
            <w:r>
              <w:rPr>
                <w:rFonts w:hint="default" w:ascii="Times New Roman" w:hAnsi="Times New Roman" w:cs="Times New Roman"/>
                <w:kern w:val="21"/>
                <w:sz w:val="21"/>
                <w:szCs w:val="20"/>
              </w:rPr>
              <w:t>g/m</w:t>
            </w:r>
            <w:r>
              <w:rPr>
                <w:rFonts w:hint="default" w:ascii="Times New Roman" w:hAnsi="Times New Roman" w:eastAsia="Times New Roman" w:cs="Times New Roman"/>
                <w:kern w:val="21"/>
                <w:sz w:val="21"/>
                <w:szCs w:val="20"/>
                <w:vertAlign w:val="superscript"/>
              </w:rPr>
              <w:t>3</w:t>
            </w:r>
            <w:r>
              <w:rPr>
                <w:rFonts w:hint="default" w:ascii="Times New Roman" w:hAnsi="Times New Roman" w:cs="Times New Roman"/>
                <w:kern w:val="21"/>
                <w:sz w:val="21"/>
                <w:szCs w:val="20"/>
              </w:rPr>
              <w:t>）</w:t>
            </w:r>
          </w:p>
        </w:tc>
        <w:tc>
          <w:tcPr>
            <w:tcW w:w="1135" w:type="dxa"/>
            <w:tcBorders>
              <w:top w:val="single" w:color="auto" w:sz="8" w:space="0"/>
              <w:left w:val="single" w:color="auto" w:sz="4" w:space="0"/>
              <w:bottom w:val="single" w:color="auto" w:sz="6" w:space="0"/>
              <w:right w:val="single" w:color="auto" w:sz="6" w:space="0"/>
              <w:tl2br w:val="nil"/>
              <w:tr2bl w:val="nil"/>
            </w:tcBorders>
            <w:noWrap w:val="0"/>
            <w:vAlign w:val="center"/>
          </w:tcPr>
          <w:p w14:paraId="411AD85F">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eastAsia="Times New Roman" w:cs="Times New Roman"/>
                <w:kern w:val="21"/>
                <w:sz w:val="21"/>
                <w:szCs w:val="20"/>
              </w:rPr>
              <w:t>P</w:t>
            </w:r>
            <w:r>
              <w:rPr>
                <w:rFonts w:hint="default" w:ascii="Times New Roman" w:hAnsi="Times New Roman" w:eastAsia="Times New Roman" w:cs="Times New Roman"/>
                <w:kern w:val="21"/>
                <w:sz w:val="21"/>
                <w:szCs w:val="20"/>
                <w:vertAlign w:val="subscript"/>
              </w:rPr>
              <w:t>max</w:t>
            </w:r>
            <w:r>
              <w:rPr>
                <w:rFonts w:hint="default" w:ascii="Times New Roman" w:hAnsi="Times New Roman" w:cs="Times New Roman"/>
                <w:kern w:val="21"/>
                <w:sz w:val="21"/>
                <w:szCs w:val="20"/>
              </w:rPr>
              <w:t>占标率（%）</w:t>
            </w:r>
          </w:p>
        </w:tc>
        <w:tc>
          <w:tcPr>
            <w:tcW w:w="1358" w:type="dxa"/>
            <w:tcBorders>
              <w:top w:val="single" w:color="auto" w:sz="8" w:space="0"/>
              <w:left w:val="single" w:color="auto" w:sz="6" w:space="0"/>
              <w:bottom w:val="single" w:color="auto" w:sz="6" w:space="0"/>
              <w:right w:val="single" w:color="auto" w:sz="6" w:space="0"/>
              <w:tl2br w:val="nil"/>
              <w:tr2bl w:val="nil"/>
            </w:tcBorders>
            <w:noWrap w:val="0"/>
            <w:vAlign w:val="center"/>
          </w:tcPr>
          <w:p w14:paraId="4AA37C00">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cs="Times New Roman"/>
                <w:kern w:val="21"/>
                <w:sz w:val="21"/>
                <w:szCs w:val="20"/>
              </w:rPr>
              <w:t>最大</w:t>
            </w:r>
            <w:r>
              <w:rPr>
                <w:rFonts w:hint="default" w:ascii="Times New Roman" w:hAnsi="Times New Roman" w:cs="Times New Roman"/>
                <w:kern w:val="21"/>
                <w:sz w:val="21"/>
                <w:szCs w:val="20"/>
                <w:lang w:val="en-US" w:eastAsia="zh-CN"/>
              </w:rPr>
              <w:t>浓度落地距离</w:t>
            </w:r>
            <w:r>
              <w:rPr>
                <w:rFonts w:hint="default" w:ascii="Times New Roman" w:hAnsi="Times New Roman" w:cs="Times New Roman"/>
                <w:kern w:val="21"/>
                <w:sz w:val="21"/>
                <w:szCs w:val="20"/>
              </w:rPr>
              <w:t>（m）</w:t>
            </w:r>
          </w:p>
        </w:tc>
        <w:tc>
          <w:tcPr>
            <w:tcW w:w="1486" w:type="dxa"/>
            <w:tcBorders>
              <w:top w:val="single" w:color="auto" w:sz="8" w:space="0"/>
              <w:left w:val="single" w:color="auto" w:sz="6" w:space="0"/>
              <w:bottom w:val="single" w:color="auto" w:sz="6" w:space="0"/>
              <w:right w:val="single" w:color="auto" w:sz="6" w:space="0"/>
              <w:tl2br w:val="nil"/>
              <w:tr2bl w:val="nil"/>
            </w:tcBorders>
            <w:noWrap w:val="0"/>
            <w:vAlign w:val="center"/>
          </w:tcPr>
          <w:p w14:paraId="0292D0DA">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cs="Times New Roman"/>
                <w:kern w:val="21"/>
                <w:sz w:val="21"/>
                <w:szCs w:val="20"/>
              </w:rPr>
              <w:t>分级判据</w:t>
            </w:r>
          </w:p>
        </w:tc>
        <w:tc>
          <w:tcPr>
            <w:tcW w:w="901" w:type="dxa"/>
            <w:tcBorders>
              <w:top w:val="single" w:color="auto" w:sz="8" w:space="0"/>
              <w:left w:val="single" w:color="auto" w:sz="6" w:space="0"/>
              <w:bottom w:val="single" w:color="auto" w:sz="6" w:space="0"/>
              <w:right w:val="single" w:color="auto" w:sz="8" w:space="0"/>
              <w:tl2br w:val="nil"/>
              <w:tr2bl w:val="nil"/>
            </w:tcBorders>
            <w:noWrap w:val="0"/>
            <w:vAlign w:val="center"/>
          </w:tcPr>
          <w:p w14:paraId="48254249">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cs="Times New Roman"/>
                <w:kern w:val="21"/>
                <w:sz w:val="21"/>
                <w:szCs w:val="20"/>
              </w:rPr>
              <w:t>评价</w:t>
            </w:r>
          </w:p>
          <w:p w14:paraId="6D9395FA">
            <w:pPr>
              <w:pStyle w:val="81"/>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kern w:val="21"/>
                <w:sz w:val="21"/>
                <w:szCs w:val="20"/>
              </w:rPr>
            </w:pPr>
            <w:r>
              <w:rPr>
                <w:rFonts w:hint="default" w:ascii="Times New Roman" w:hAnsi="Times New Roman" w:cs="Times New Roman"/>
                <w:kern w:val="21"/>
                <w:sz w:val="21"/>
                <w:szCs w:val="20"/>
              </w:rPr>
              <w:t>等级</w:t>
            </w:r>
          </w:p>
        </w:tc>
      </w:tr>
      <w:tr w14:paraId="468AC5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tcBorders>
              <w:top w:val="single" w:color="auto" w:sz="6" w:space="0"/>
              <w:left w:val="single" w:color="auto" w:sz="8" w:space="0"/>
              <w:bottom w:val="single" w:color="auto" w:sz="6" w:space="0"/>
              <w:right w:val="single" w:color="auto" w:sz="6" w:space="0"/>
              <w:tl2br w:val="nil"/>
              <w:tr2bl w:val="nil"/>
            </w:tcBorders>
            <w:noWrap w:val="0"/>
            <w:vAlign w:val="center"/>
          </w:tcPr>
          <w:p w14:paraId="66F8A8CE">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lang w:val="en-US" w:eastAsia="zh-CN"/>
              </w:rPr>
              <w:t>DA001</w:t>
            </w: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DB0D23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硫酸雾</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7B9150F7">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highlight w:val="yellow"/>
                <w:lang w:val="en-US" w:eastAsia="zh-CN"/>
              </w:rPr>
            </w:pPr>
            <w:r>
              <w:rPr>
                <w:rFonts w:hint="eastAsia" w:eastAsia="Times New Roman" w:cs="Times New Roman"/>
                <w:snapToGrid w:val="0"/>
                <w:kern w:val="21"/>
                <w:sz w:val="21"/>
                <w:szCs w:val="21"/>
                <w:highlight w:val="none"/>
                <w:lang w:val="en-US" w:eastAsia="zh-CN"/>
              </w:rPr>
              <w:t>2.57</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27647F0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napToGrid w:val="0"/>
                <w:kern w:val="21"/>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0.86</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AA6EC7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lang w:val="en-US" w:eastAsia="zh-CN"/>
              </w:rPr>
            </w:pPr>
            <w:r>
              <w:rPr>
                <w:rFonts w:hint="eastAsia" w:eastAsia="Times New Roman" w:cs="Times New Roman"/>
                <w:snapToGrid w:val="0"/>
                <w:kern w:val="21"/>
                <w:sz w:val="21"/>
                <w:szCs w:val="21"/>
                <w:lang w:val="en-US" w:eastAsia="zh-CN"/>
              </w:rPr>
              <w:t>127</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AB1ED4A">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298FC596">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eastAsia" w:cs="Times New Roman"/>
                <w:sz w:val="21"/>
                <w:szCs w:val="21"/>
                <w:lang w:val="en-US" w:eastAsia="zh-CN"/>
              </w:rPr>
              <w:t>三</w:t>
            </w:r>
            <w:r>
              <w:rPr>
                <w:rFonts w:hint="default" w:ascii="Times New Roman" w:hAnsi="Times New Roman" w:cs="Times New Roman"/>
                <w:sz w:val="21"/>
                <w:szCs w:val="21"/>
              </w:rPr>
              <w:t>级</w:t>
            </w:r>
          </w:p>
        </w:tc>
      </w:tr>
      <w:tr w14:paraId="0F8443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tcBorders>
              <w:top w:val="single" w:color="auto" w:sz="6" w:space="0"/>
              <w:left w:val="single" w:color="auto" w:sz="8" w:space="0"/>
              <w:bottom w:val="single" w:color="auto" w:sz="6" w:space="0"/>
              <w:right w:val="single" w:color="auto" w:sz="6" w:space="0"/>
              <w:tl2br w:val="nil"/>
              <w:tr2bl w:val="nil"/>
            </w:tcBorders>
            <w:noWrap w:val="0"/>
            <w:vAlign w:val="center"/>
          </w:tcPr>
          <w:p w14:paraId="4306AEF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lang w:val="en-US" w:eastAsia="zh-CN"/>
              </w:rPr>
              <w:t>DA002</w:t>
            </w: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926AB6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lang w:eastAsia="zh-CN"/>
              </w:rPr>
            </w:pPr>
            <w:r>
              <w:rPr>
                <w:rFonts w:hint="eastAsia" w:eastAsia="Times New Roman" w:cs="Times New Roman"/>
                <w:sz w:val="21"/>
                <w:szCs w:val="21"/>
                <w:lang w:val="en-US" w:eastAsia="zh-CN"/>
              </w:rPr>
              <w:t>硫酸雾</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0246B697">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1.27</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4DD53D9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0.42</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FEE42C3">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127</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E7DA45">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7CA6D20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cs="Times New Roman"/>
                <w:sz w:val="21"/>
                <w:szCs w:val="21"/>
                <w:lang w:val="en-US" w:eastAsia="zh-CN"/>
              </w:rPr>
              <w:t>三</w:t>
            </w:r>
            <w:r>
              <w:rPr>
                <w:rFonts w:hint="default" w:ascii="Times New Roman" w:hAnsi="Times New Roman" w:cs="Times New Roman"/>
                <w:sz w:val="21"/>
                <w:szCs w:val="21"/>
              </w:rPr>
              <w:t>级</w:t>
            </w:r>
          </w:p>
        </w:tc>
      </w:tr>
      <w:tr w14:paraId="6889BE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tcBorders>
              <w:top w:val="single" w:color="auto" w:sz="6" w:space="0"/>
              <w:left w:val="single" w:color="auto" w:sz="8" w:space="0"/>
              <w:bottom w:val="single" w:color="auto" w:sz="6" w:space="0"/>
              <w:right w:val="single" w:color="auto" w:sz="6" w:space="0"/>
              <w:tl2br w:val="nil"/>
              <w:tr2bl w:val="nil"/>
            </w:tcBorders>
            <w:noWrap w:val="0"/>
            <w:vAlign w:val="center"/>
          </w:tcPr>
          <w:p w14:paraId="607814B4">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lang w:val="en-US" w:eastAsia="zh-CN"/>
              </w:rPr>
              <w:t>DA003</w:t>
            </w: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D5487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硫酸雾</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11D69B0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napToGrid w:val="0"/>
                <w:kern w:val="21"/>
                <w:sz w:val="21"/>
                <w:szCs w:val="21"/>
                <w:highlight w:val="yellow"/>
                <w:lang w:val="en-US" w:eastAsia="zh-CN"/>
              </w:rPr>
            </w:pPr>
            <w:r>
              <w:rPr>
                <w:rFonts w:hint="eastAsia" w:cs="Times New Roman"/>
                <w:snapToGrid w:val="0"/>
                <w:kern w:val="21"/>
                <w:sz w:val="21"/>
                <w:szCs w:val="21"/>
                <w:highlight w:val="none"/>
                <w:lang w:val="en-US" w:eastAsia="zh-CN"/>
              </w:rPr>
              <w:t>2.81</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0CBC520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napToGrid w:val="0"/>
                <w:kern w:val="21"/>
                <w:sz w:val="21"/>
                <w:szCs w:val="21"/>
                <w:highlight w:val="yellow"/>
                <w:lang w:val="en-US" w:eastAsia="zh-CN"/>
              </w:rPr>
            </w:pPr>
            <w:r>
              <w:rPr>
                <w:rFonts w:hint="default" w:ascii="Times New Roman" w:hAnsi="Times New Roman" w:eastAsia="宋体" w:cs="Times New Roman"/>
                <w:i w:val="0"/>
                <w:iCs w:val="0"/>
                <w:color w:val="000000"/>
                <w:kern w:val="0"/>
                <w:sz w:val="21"/>
                <w:szCs w:val="21"/>
                <w:u w:val="none"/>
                <w:lang w:val="en-US" w:eastAsia="zh-CN" w:bidi="ar"/>
              </w:rPr>
              <w:t>0.94</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19010B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lang w:val="en-US" w:eastAsia="zh-CN"/>
              </w:rPr>
            </w:pPr>
            <w:r>
              <w:rPr>
                <w:rFonts w:hint="eastAsia" w:eastAsia="Times New Roman" w:cs="Times New Roman"/>
                <w:snapToGrid w:val="0"/>
                <w:kern w:val="21"/>
                <w:sz w:val="21"/>
                <w:szCs w:val="21"/>
                <w:lang w:val="en-US" w:eastAsia="zh-CN"/>
              </w:rPr>
              <w:t>127</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E06A9D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5F8DFB84">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default" w:ascii="Times New Roman" w:hAnsi="Times New Roman" w:cs="Times New Roman"/>
                <w:sz w:val="21"/>
                <w:szCs w:val="21"/>
              </w:rPr>
              <w:t>三级</w:t>
            </w:r>
          </w:p>
        </w:tc>
      </w:tr>
      <w:tr w14:paraId="5796180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vMerge w:val="restart"/>
            <w:tcBorders>
              <w:top w:val="single" w:color="auto" w:sz="6" w:space="0"/>
              <w:left w:val="single" w:color="auto" w:sz="8" w:space="0"/>
              <w:right w:val="single" w:color="auto" w:sz="6" w:space="0"/>
              <w:tl2br w:val="nil"/>
              <w:tr2bl w:val="nil"/>
            </w:tcBorders>
            <w:noWrap w:val="0"/>
            <w:vAlign w:val="center"/>
          </w:tcPr>
          <w:p w14:paraId="7D79F6AE">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Times New Roman" w:cs="Times New Roman"/>
                <w:sz w:val="21"/>
                <w:szCs w:val="21"/>
                <w:lang w:val="en-US" w:eastAsia="zh-CN"/>
              </w:rPr>
              <w:t>DA004</w:t>
            </w: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4EFB9E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H</w:t>
            </w:r>
            <w:r>
              <w:rPr>
                <w:rFonts w:hint="default" w:ascii="Times New Roman" w:hAnsi="Times New Roman" w:eastAsia="宋体" w:cs="Times New Roman"/>
                <w:snapToGrid w:val="0"/>
                <w:spacing w:val="0"/>
                <w:w w:val="100"/>
                <w:kern w:val="21"/>
                <w:sz w:val="21"/>
                <w:szCs w:val="21"/>
                <w:vertAlign w:val="subscript"/>
                <w:lang w:val="en-US" w:eastAsia="zh-CN"/>
              </w:rPr>
              <w:t>2</w:t>
            </w:r>
            <w:r>
              <w:rPr>
                <w:rFonts w:hint="default" w:ascii="Times New Roman" w:hAnsi="Times New Roman" w:eastAsia="宋体" w:cs="Times New Roman"/>
                <w:snapToGrid w:val="0"/>
                <w:spacing w:val="0"/>
                <w:w w:val="100"/>
                <w:kern w:val="21"/>
                <w:sz w:val="21"/>
                <w:szCs w:val="21"/>
                <w:lang w:val="en-US" w:eastAsia="zh-CN"/>
              </w:rPr>
              <w:t>S</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19550E8C">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0.0074</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1EEB9137">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0.07</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71E8270">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napToGrid w:val="0"/>
                <w:kern w:val="21"/>
                <w:sz w:val="21"/>
                <w:szCs w:val="21"/>
                <w:lang w:val="en-US" w:eastAsia="zh-CN"/>
              </w:rPr>
              <w:t>127</w:t>
            </w:r>
          </w:p>
        </w:tc>
        <w:tc>
          <w:tcPr>
            <w:tcW w:w="148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14:paraId="3A6A2F72">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bidi="ar-SA"/>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505AE25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eastAsia" w:cs="Times New Roman"/>
                <w:sz w:val="21"/>
                <w:szCs w:val="21"/>
                <w:lang w:val="en-US" w:eastAsia="zh-CN"/>
              </w:rPr>
              <w:t>三</w:t>
            </w:r>
            <w:r>
              <w:rPr>
                <w:rFonts w:hint="default" w:ascii="Times New Roman" w:hAnsi="Times New Roman" w:cs="Times New Roman"/>
                <w:sz w:val="21"/>
                <w:szCs w:val="21"/>
              </w:rPr>
              <w:t>级</w:t>
            </w:r>
          </w:p>
        </w:tc>
      </w:tr>
      <w:tr w14:paraId="5DDF92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vMerge w:val="continue"/>
            <w:tcBorders>
              <w:left w:val="single" w:color="auto" w:sz="8" w:space="0"/>
              <w:right w:val="single" w:color="auto" w:sz="6" w:space="0"/>
              <w:tl2br w:val="nil"/>
              <w:tr2bl w:val="nil"/>
            </w:tcBorders>
            <w:noWrap w:val="0"/>
            <w:vAlign w:val="center"/>
          </w:tcPr>
          <w:p w14:paraId="3627265C">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lang w:val="en-US" w:eastAsia="zh-CN"/>
              </w:rPr>
            </w:pP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B899AA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w w:val="100"/>
                <w:kern w:val="21"/>
                <w:position w:val="0"/>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NH</w:t>
            </w:r>
            <w:r>
              <w:rPr>
                <w:rFonts w:hint="default" w:ascii="Times New Roman" w:hAnsi="Times New Roman" w:eastAsia="宋体" w:cs="Times New Roman"/>
                <w:snapToGrid w:val="0"/>
                <w:spacing w:val="0"/>
                <w:w w:val="100"/>
                <w:kern w:val="21"/>
                <w:sz w:val="21"/>
                <w:szCs w:val="21"/>
                <w:vertAlign w:val="subscript"/>
                <w:lang w:val="en-US" w:eastAsia="zh-CN"/>
              </w:rPr>
              <w:t>3</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20C78C1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0.148</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184577EE">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0.07</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7421ACD">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napToGrid w:val="0"/>
                <w:kern w:val="21"/>
                <w:sz w:val="21"/>
                <w:szCs w:val="21"/>
                <w:lang w:val="en-US" w:eastAsia="zh-CN"/>
              </w:rPr>
              <w:t>127</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63D9147">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2DC5781C">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三</w:t>
            </w:r>
            <w:r>
              <w:rPr>
                <w:rFonts w:hint="default" w:ascii="Times New Roman" w:hAnsi="Times New Roman" w:cs="Times New Roman"/>
                <w:sz w:val="21"/>
                <w:szCs w:val="21"/>
              </w:rPr>
              <w:t>级</w:t>
            </w:r>
          </w:p>
        </w:tc>
      </w:tr>
      <w:tr w14:paraId="14C0284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vMerge w:val="restart"/>
            <w:tcBorders>
              <w:left w:val="single" w:color="auto" w:sz="8" w:space="0"/>
              <w:right w:val="single" w:color="auto" w:sz="6" w:space="0"/>
              <w:tl2br w:val="nil"/>
              <w:tr2bl w:val="nil"/>
            </w:tcBorders>
            <w:noWrap w:val="0"/>
            <w:vAlign w:val="center"/>
          </w:tcPr>
          <w:p w14:paraId="05CA7D09">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生产车间</w:t>
            </w: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7302B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eastAsia="宋体" w:cs="Times New Roman"/>
                <w:spacing w:val="0"/>
                <w:w w:val="100"/>
                <w:sz w:val="21"/>
                <w:szCs w:val="21"/>
                <w:lang w:val="en-US" w:eastAsia="zh-CN"/>
              </w:rPr>
              <w:t>硫酸雾</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1A73CFBE">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yellow"/>
                <w:lang w:val="en-US" w:eastAsia="zh-CN"/>
              </w:rPr>
            </w:pPr>
            <w:r>
              <w:rPr>
                <w:rFonts w:hint="eastAsia" w:eastAsia="Times New Roman" w:cs="Times New Roman"/>
                <w:sz w:val="21"/>
                <w:szCs w:val="21"/>
                <w:highlight w:val="none"/>
                <w:lang w:val="en-US" w:eastAsia="zh-CN"/>
              </w:rPr>
              <w:t>17.48</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0A31068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highlight w:val="yellow"/>
                <w:lang w:val="en-US" w:eastAsia="zh-CN"/>
              </w:rPr>
            </w:pPr>
            <w:r>
              <w:rPr>
                <w:rFonts w:hint="eastAsia" w:eastAsia="Times New Roman" w:cs="Times New Roman"/>
                <w:sz w:val="21"/>
                <w:szCs w:val="21"/>
                <w:highlight w:val="none"/>
                <w:lang w:val="en-US" w:eastAsia="zh-CN"/>
              </w:rPr>
              <w:t>5.83</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7671A67">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74</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F04887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default" w:ascii="Times New Roman" w:hAnsi="Times New Roman" w:eastAsia="Times New Roman" w:cs="Times New Roman"/>
                <w:sz w:val="21"/>
                <w:szCs w:val="21"/>
              </w:rPr>
              <w:t>1%≤P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&lt;10%</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0776C55A">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eastAsia" w:cs="Times New Roman"/>
                <w:sz w:val="21"/>
                <w:szCs w:val="21"/>
                <w:lang w:val="en-US" w:eastAsia="zh-CN"/>
              </w:rPr>
              <w:t>二</w:t>
            </w:r>
            <w:r>
              <w:rPr>
                <w:rFonts w:hint="default" w:ascii="Times New Roman" w:hAnsi="Times New Roman" w:cs="Times New Roman"/>
                <w:sz w:val="21"/>
                <w:szCs w:val="21"/>
              </w:rPr>
              <w:t>级</w:t>
            </w:r>
          </w:p>
        </w:tc>
      </w:tr>
      <w:tr w14:paraId="0394F33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vMerge w:val="continue"/>
            <w:tcBorders>
              <w:left w:val="single" w:color="auto" w:sz="8" w:space="0"/>
              <w:right w:val="single" w:color="auto" w:sz="6" w:space="0"/>
              <w:tl2br w:val="nil"/>
              <w:tr2bl w:val="nil"/>
            </w:tcBorders>
            <w:noWrap w:val="0"/>
            <w:vAlign w:val="center"/>
          </w:tcPr>
          <w:p w14:paraId="0525988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lang w:val="en-US" w:eastAsia="zh-CN"/>
              </w:rPr>
            </w:pP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25C023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H</w:t>
            </w:r>
            <w:r>
              <w:rPr>
                <w:rFonts w:hint="default" w:ascii="Times New Roman" w:hAnsi="Times New Roman" w:eastAsia="宋体" w:cs="Times New Roman"/>
                <w:snapToGrid w:val="0"/>
                <w:spacing w:val="0"/>
                <w:w w:val="100"/>
                <w:kern w:val="21"/>
                <w:sz w:val="21"/>
                <w:szCs w:val="21"/>
                <w:vertAlign w:val="subscript"/>
                <w:lang w:val="en-US" w:eastAsia="zh-CN"/>
              </w:rPr>
              <w:t>2</w:t>
            </w:r>
            <w:r>
              <w:rPr>
                <w:rFonts w:hint="default" w:ascii="Times New Roman" w:hAnsi="Times New Roman" w:eastAsia="宋体" w:cs="Times New Roman"/>
                <w:snapToGrid w:val="0"/>
                <w:spacing w:val="0"/>
                <w:w w:val="100"/>
                <w:kern w:val="21"/>
                <w:sz w:val="21"/>
                <w:szCs w:val="21"/>
                <w:lang w:val="en-US" w:eastAsia="zh-CN"/>
              </w:rPr>
              <w:t>S</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406C47F4">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0.84</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3637B161">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8.4</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4A8464B">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eastAsia="zh-CN"/>
              </w:rPr>
            </w:pPr>
            <w:r>
              <w:rPr>
                <w:rFonts w:hint="eastAsia" w:eastAsia="Times New Roman" w:cs="Times New Roman"/>
                <w:sz w:val="21"/>
                <w:szCs w:val="21"/>
                <w:lang w:val="en-US" w:eastAsia="zh-CN"/>
              </w:rPr>
              <w:t>74</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48827818">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default" w:ascii="Times New Roman" w:hAnsi="Times New Roman" w:eastAsia="Times New Roman" w:cs="Times New Roman"/>
                <w:sz w:val="21"/>
                <w:szCs w:val="21"/>
              </w:rPr>
              <w:t>1%≤P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&lt;10%</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105D0D28">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napToGrid w:val="0"/>
                <w:kern w:val="21"/>
                <w:sz w:val="21"/>
                <w:szCs w:val="21"/>
              </w:rPr>
            </w:pPr>
            <w:r>
              <w:rPr>
                <w:rFonts w:hint="eastAsia" w:cs="Times New Roman"/>
                <w:sz w:val="21"/>
                <w:szCs w:val="21"/>
                <w:lang w:val="en-US" w:eastAsia="zh-CN"/>
              </w:rPr>
              <w:t>二</w:t>
            </w:r>
            <w:r>
              <w:rPr>
                <w:rFonts w:hint="default" w:ascii="Times New Roman" w:hAnsi="Times New Roman" w:cs="Times New Roman"/>
                <w:sz w:val="21"/>
                <w:szCs w:val="21"/>
              </w:rPr>
              <w:t>级</w:t>
            </w:r>
          </w:p>
        </w:tc>
      </w:tr>
      <w:tr w14:paraId="6E4E64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03" w:type="dxa"/>
            <w:vMerge w:val="continue"/>
            <w:tcBorders>
              <w:left w:val="single" w:color="auto" w:sz="8" w:space="0"/>
              <w:bottom w:val="single" w:color="auto" w:sz="6" w:space="0"/>
              <w:right w:val="single" w:color="auto" w:sz="6" w:space="0"/>
              <w:tl2br w:val="nil"/>
              <w:tr2bl w:val="nil"/>
            </w:tcBorders>
            <w:noWrap w:val="0"/>
            <w:vAlign w:val="center"/>
          </w:tcPr>
          <w:p w14:paraId="536D03DB">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p>
        </w:tc>
        <w:tc>
          <w:tcPr>
            <w:tcW w:w="1273"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82B78B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napToGrid w:val="0"/>
                <w:spacing w:val="0"/>
                <w:w w:val="100"/>
                <w:kern w:val="21"/>
                <w:sz w:val="21"/>
                <w:szCs w:val="21"/>
                <w:lang w:val="en-US" w:eastAsia="zh-CN"/>
              </w:rPr>
              <w:t>NH</w:t>
            </w:r>
            <w:r>
              <w:rPr>
                <w:rFonts w:hint="default" w:ascii="Times New Roman" w:hAnsi="Times New Roman" w:eastAsia="宋体" w:cs="Times New Roman"/>
                <w:snapToGrid w:val="0"/>
                <w:spacing w:val="0"/>
                <w:w w:val="100"/>
                <w:kern w:val="21"/>
                <w:sz w:val="21"/>
                <w:szCs w:val="21"/>
                <w:vertAlign w:val="subscript"/>
                <w:lang w:val="en-US" w:eastAsia="zh-CN"/>
              </w:rPr>
              <w:t>3</w:t>
            </w:r>
          </w:p>
        </w:tc>
        <w:tc>
          <w:tcPr>
            <w:tcW w:w="1276" w:type="dxa"/>
            <w:tcBorders>
              <w:top w:val="single" w:color="auto" w:sz="6" w:space="0"/>
              <w:left w:val="single" w:color="auto" w:sz="6" w:space="0"/>
              <w:bottom w:val="single" w:color="auto" w:sz="6" w:space="0"/>
              <w:right w:val="single" w:color="auto" w:sz="4" w:space="0"/>
              <w:tl2br w:val="nil"/>
              <w:tr2bl w:val="nil"/>
            </w:tcBorders>
            <w:noWrap w:val="0"/>
            <w:vAlign w:val="center"/>
          </w:tcPr>
          <w:p w14:paraId="0F2A0280">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0.973</w:t>
            </w:r>
          </w:p>
        </w:tc>
        <w:tc>
          <w:tcPr>
            <w:tcW w:w="1135" w:type="dxa"/>
            <w:tcBorders>
              <w:top w:val="single" w:color="auto" w:sz="6" w:space="0"/>
              <w:left w:val="single" w:color="auto" w:sz="4" w:space="0"/>
              <w:bottom w:val="single" w:color="auto" w:sz="6" w:space="0"/>
              <w:right w:val="single" w:color="auto" w:sz="6" w:space="0"/>
              <w:tl2br w:val="nil"/>
              <w:tr2bl w:val="nil"/>
            </w:tcBorders>
            <w:noWrap w:val="0"/>
            <w:vAlign w:val="center"/>
          </w:tcPr>
          <w:p w14:paraId="551F2A7E">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0.49</w:t>
            </w:r>
          </w:p>
        </w:tc>
        <w:tc>
          <w:tcPr>
            <w:tcW w:w="135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34A8F64A">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lang w:val="en-US"/>
              </w:rPr>
            </w:pPr>
            <w:r>
              <w:rPr>
                <w:rFonts w:hint="eastAsia" w:eastAsia="Times New Roman" w:cs="Times New Roman"/>
                <w:sz w:val="21"/>
                <w:szCs w:val="21"/>
                <w:lang w:val="en-US" w:eastAsia="zh-CN"/>
              </w:rPr>
              <w:t>74</w:t>
            </w:r>
          </w:p>
        </w:tc>
        <w:tc>
          <w:tcPr>
            <w:tcW w:w="148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6F3F55B3">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P</w:t>
            </w:r>
            <w:r>
              <w:rPr>
                <w:rFonts w:hint="default" w:ascii="Times New Roman" w:hAnsi="Times New Roman" w:eastAsia="Times New Roman" w:cs="Times New Roman"/>
                <w:sz w:val="21"/>
                <w:szCs w:val="21"/>
                <w:vertAlign w:val="subscript"/>
              </w:rPr>
              <w:t>max</w:t>
            </w:r>
            <w:r>
              <w:rPr>
                <w:rFonts w:hint="default" w:ascii="Times New Roman" w:hAnsi="Times New Roman" w:eastAsia="Times New Roman" w:cs="Times New Roman"/>
                <w:sz w:val="21"/>
                <w:szCs w:val="21"/>
              </w:rPr>
              <w:t>&lt;1%</w:t>
            </w:r>
          </w:p>
        </w:tc>
        <w:tc>
          <w:tcPr>
            <w:tcW w:w="901" w:type="dxa"/>
            <w:tcBorders>
              <w:top w:val="single" w:color="auto" w:sz="6" w:space="0"/>
              <w:left w:val="single" w:color="auto" w:sz="6" w:space="0"/>
              <w:bottom w:val="single" w:color="auto" w:sz="6" w:space="0"/>
              <w:right w:val="single" w:color="auto" w:sz="8" w:space="0"/>
              <w:tl2br w:val="nil"/>
              <w:tr2bl w:val="nil"/>
            </w:tcBorders>
            <w:noWrap w:val="0"/>
            <w:vAlign w:val="center"/>
          </w:tcPr>
          <w:p w14:paraId="43ADA6AD">
            <w:pPr>
              <w:pStyle w:val="75"/>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Times New Roman" w:hAnsi="Times New Roman" w:eastAsia="Times New Roman" w:cs="Times New Roman"/>
                <w:sz w:val="21"/>
                <w:szCs w:val="21"/>
              </w:rPr>
            </w:pPr>
            <w:r>
              <w:rPr>
                <w:rFonts w:hint="default" w:ascii="Times New Roman" w:hAnsi="Times New Roman" w:cs="Times New Roman"/>
                <w:sz w:val="21"/>
                <w:szCs w:val="21"/>
                <w:lang w:val="en-US" w:eastAsia="zh-CN"/>
              </w:rPr>
              <w:t>三</w:t>
            </w:r>
            <w:r>
              <w:rPr>
                <w:rFonts w:hint="default" w:ascii="Times New Roman" w:hAnsi="Times New Roman" w:cs="Times New Roman"/>
                <w:sz w:val="21"/>
                <w:szCs w:val="21"/>
              </w:rPr>
              <w:t>级</w:t>
            </w:r>
          </w:p>
        </w:tc>
      </w:tr>
    </w:tbl>
    <w:p w14:paraId="2C92BFEE">
      <w:pPr>
        <w:pStyle w:val="72"/>
        <w:rPr>
          <w:rFonts w:hint="eastAsia"/>
        </w:rPr>
      </w:pPr>
      <w:r>
        <w:rPr>
          <w:rFonts w:hint="eastAsia"/>
        </w:rPr>
        <w:t>由上表结果看出：项目大气污染源排放的污染物经估算模式预测，本项目污染源占标率为无组织排放中</w:t>
      </w:r>
      <w:r>
        <w:rPr>
          <w:rFonts w:hint="eastAsia"/>
          <w:lang w:val="en-US" w:eastAsia="zh-CN"/>
        </w:rPr>
        <w:t>硫化氢</w:t>
      </w:r>
      <w:r>
        <w:rPr>
          <w:rFonts w:hint="eastAsia"/>
        </w:rPr>
        <w:t>，最大落地浓度值为</w:t>
      </w:r>
      <w:r>
        <w:rPr>
          <w:rFonts w:hint="eastAsia"/>
          <w:lang w:val="en-US" w:eastAsia="zh-CN"/>
        </w:rPr>
        <w:t>0.84</w:t>
      </w:r>
      <w:r>
        <w:rPr>
          <w:rFonts w:hint="eastAsia"/>
        </w:rPr>
        <w:t>ug/m</w:t>
      </w:r>
      <w:r>
        <w:rPr>
          <w:rFonts w:hint="eastAsia"/>
          <w:vertAlign w:val="superscript"/>
        </w:rPr>
        <w:t>3</w:t>
      </w:r>
      <w:r>
        <w:rPr>
          <w:rFonts w:hint="eastAsia"/>
        </w:rPr>
        <w:t>、占标率为</w:t>
      </w:r>
      <w:r>
        <w:rPr>
          <w:rFonts w:hint="eastAsia"/>
          <w:lang w:val="en-US" w:eastAsia="zh-CN"/>
        </w:rPr>
        <w:t>8.4</w:t>
      </w:r>
      <w:r>
        <w:rPr>
          <w:rFonts w:hint="eastAsia"/>
        </w:rPr>
        <w:t>%；根据《环境影响评价技术导则大气环境》（HJ/2.2-2018）的大气评价工作分级依据，分级依据见下表。</w:t>
      </w:r>
    </w:p>
    <w:p w14:paraId="23FD6EE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5.2-7</w:t>
      </w:r>
      <w:r>
        <w:rPr>
          <w:rFonts w:hint="eastAsia" w:ascii="Times New Roman" w:hAnsi="Times New Roman"/>
          <w:b/>
          <w:bCs/>
        </w:rPr>
        <w:t xml:space="preserve">    污染物估算模式等级判断一览表</w:t>
      </w:r>
    </w:p>
    <w:tbl>
      <w:tblPr>
        <w:tblStyle w:val="39"/>
        <w:tblW w:w="8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817"/>
        <w:gridCol w:w="4608"/>
      </w:tblGrid>
      <w:tr w14:paraId="45F9E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817" w:type="dxa"/>
            <w:tcBorders>
              <w:top w:val="single" w:color="auto" w:sz="8" w:space="0"/>
              <w:left w:val="single" w:color="auto" w:sz="8" w:space="0"/>
              <w:bottom w:val="single" w:color="auto" w:sz="4" w:space="0"/>
            </w:tcBorders>
            <w:noWrap w:val="0"/>
            <w:vAlign w:val="center"/>
          </w:tcPr>
          <w:p w14:paraId="20C65989">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u w:val="none"/>
                <w:lang w:val="en-US" w:eastAsia="zh-CN"/>
              </w:rPr>
            </w:pPr>
            <w:r>
              <w:rPr>
                <w:rFonts w:hint="default" w:ascii="Times New Roman" w:hAnsi="Times New Roman" w:eastAsia="宋体" w:cs="Times New Roman"/>
                <w:b/>
                <w:bCs/>
                <w:u w:val="none"/>
                <w:lang w:val="en-US" w:eastAsia="zh-CN"/>
              </w:rPr>
              <w:t>评价工作等级</w:t>
            </w:r>
          </w:p>
        </w:tc>
        <w:tc>
          <w:tcPr>
            <w:tcW w:w="4608" w:type="dxa"/>
            <w:tcBorders>
              <w:top w:val="single" w:color="auto" w:sz="8" w:space="0"/>
              <w:bottom w:val="single" w:color="auto" w:sz="4" w:space="0"/>
              <w:right w:val="single" w:color="auto" w:sz="8" w:space="0"/>
            </w:tcBorders>
            <w:noWrap w:val="0"/>
            <w:vAlign w:val="center"/>
          </w:tcPr>
          <w:p w14:paraId="37D516FE">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b/>
                <w:bCs/>
                <w:u w:val="none"/>
                <w:lang w:val="en-US" w:eastAsia="zh-CN"/>
              </w:rPr>
            </w:pPr>
            <w:r>
              <w:rPr>
                <w:rFonts w:hint="default" w:ascii="Times New Roman" w:hAnsi="Times New Roman" w:eastAsia="宋体" w:cs="Times New Roman"/>
                <w:b/>
                <w:bCs/>
                <w:u w:val="none"/>
                <w:lang w:val="en-US" w:eastAsia="zh-CN"/>
              </w:rPr>
              <w:t>评价工作分级判据</w:t>
            </w:r>
          </w:p>
        </w:tc>
      </w:tr>
      <w:tr w14:paraId="5CBBD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817" w:type="dxa"/>
            <w:tcBorders>
              <w:top w:val="single" w:color="auto" w:sz="4" w:space="0"/>
              <w:left w:val="single" w:color="auto" w:sz="8" w:space="0"/>
              <w:bottom w:val="single" w:color="auto" w:sz="4" w:space="0"/>
            </w:tcBorders>
            <w:noWrap w:val="0"/>
            <w:vAlign w:val="center"/>
          </w:tcPr>
          <w:p w14:paraId="1EEE9E52">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一级评价</w:t>
            </w:r>
          </w:p>
        </w:tc>
        <w:tc>
          <w:tcPr>
            <w:tcW w:w="4608" w:type="dxa"/>
            <w:tcBorders>
              <w:top w:val="single" w:color="auto" w:sz="4" w:space="0"/>
              <w:bottom w:val="single" w:color="auto" w:sz="4" w:space="0"/>
              <w:right w:val="single" w:color="auto" w:sz="8" w:space="0"/>
            </w:tcBorders>
            <w:noWrap w:val="0"/>
            <w:vAlign w:val="center"/>
          </w:tcPr>
          <w:p w14:paraId="5A1573B5">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P</w:t>
            </w:r>
            <w:r>
              <w:rPr>
                <w:rFonts w:hint="default" w:ascii="Times New Roman" w:hAnsi="Times New Roman" w:eastAsia="宋体" w:cs="Times New Roman"/>
                <w:u w:val="none"/>
                <w:vertAlign w:val="subscript"/>
                <w:lang w:val="en-US" w:eastAsia="zh-CN"/>
              </w:rPr>
              <w:t>max</w:t>
            </w:r>
            <w:r>
              <w:rPr>
                <w:rFonts w:hint="default" w:ascii="Times New Roman" w:hAnsi="Times New Roman" w:eastAsia="宋体" w:cs="Times New Roman"/>
                <w:u w:val="none"/>
                <w:lang w:val="en-US" w:eastAsia="zh-CN"/>
              </w:rPr>
              <w:t>≥10%</w:t>
            </w:r>
          </w:p>
        </w:tc>
      </w:tr>
      <w:tr w14:paraId="00D65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817" w:type="dxa"/>
            <w:tcBorders>
              <w:top w:val="single" w:color="auto" w:sz="4" w:space="0"/>
              <w:left w:val="single" w:color="auto" w:sz="8" w:space="0"/>
              <w:bottom w:val="single" w:color="auto" w:sz="4" w:space="0"/>
            </w:tcBorders>
            <w:noWrap w:val="0"/>
            <w:vAlign w:val="center"/>
          </w:tcPr>
          <w:p w14:paraId="181C997A">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二级评价</w:t>
            </w:r>
          </w:p>
        </w:tc>
        <w:tc>
          <w:tcPr>
            <w:tcW w:w="4608" w:type="dxa"/>
            <w:tcBorders>
              <w:top w:val="single" w:color="auto" w:sz="4" w:space="0"/>
              <w:bottom w:val="single" w:color="auto" w:sz="4" w:space="0"/>
              <w:right w:val="single" w:color="auto" w:sz="8" w:space="0"/>
            </w:tcBorders>
            <w:noWrap w:val="0"/>
            <w:vAlign w:val="center"/>
          </w:tcPr>
          <w:p w14:paraId="33980C58">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1%≤P</w:t>
            </w:r>
            <w:r>
              <w:rPr>
                <w:rFonts w:hint="default" w:ascii="Times New Roman" w:hAnsi="Times New Roman" w:eastAsia="宋体" w:cs="Times New Roman"/>
                <w:u w:val="none"/>
                <w:vertAlign w:val="subscript"/>
                <w:lang w:val="en-US" w:eastAsia="zh-CN"/>
              </w:rPr>
              <w:t>max</w:t>
            </w:r>
            <w:r>
              <w:rPr>
                <w:rFonts w:hint="default" w:ascii="Times New Roman" w:hAnsi="Times New Roman" w:cs="Times New Roman"/>
                <w:u w:val="none"/>
                <w:lang w:val="en-US" w:eastAsia="zh-CN"/>
              </w:rPr>
              <w:t>﹤</w:t>
            </w:r>
            <w:r>
              <w:rPr>
                <w:rFonts w:hint="default" w:ascii="Times New Roman" w:hAnsi="Times New Roman" w:eastAsia="宋体" w:cs="Times New Roman"/>
                <w:u w:val="none"/>
                <w:lang w:val="en-US" w:eastAsia="zh-CN"/>
              </w:rPr>
              <w:t>10%</w:t>
            </w:r>
          </w:p>
        </w:tc>
      </w:tr>
      <w:tr w14:paraId="7D146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817" w:type="dxa"/>
            <w:tcBorders>
              <w:top w:val="single" w:color="auto" w:sz="4" w:space="0"/>
              <w:left w:val="single" w:color="auto" w:sz="8" w:space="0"/>
              <w:bottom w:val="single" w:color="auto" w:sz="8" w:space="0"/>
            </w:tcBorders>
            <w:noWrap w:val="0"/>
            <w:vAlign w:val="center"/>
          </w:tcPr>
          <w:p w14:paraId="759BF13E">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三级评价</w:t>
            </w:r>
          </w:p>
        </w:tc>
        <w:tc>
          <w:tcPr>
            <w:tcW w:w="4608" w:type="dxa"/>
            <w:tcBorders>
              <w:top w:val="single" w:color="auto" w:sz="4" w:space="0"/>
              <w:bottom w:val="single" w:color="auto" w:sz="8" w:space="0"/>
              <w:right w:val="single" w:color="auto" w:sz="8" w:space="0"/>
            </w:tcBorders>
            <w:noWrap w:val="0"/>
            <w:vAlign w:val="center"/>
          </w:tcPr>
          <w:p w14:paraId="1FE5E03D">
            <w:pPr>
              <w:pStyle w:val="75"/>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u w:val="none"/>
                <w:lang w:val="en-US" w:eastAsia="zh-CN"/>
              </w:rPr>
            </w:pPr>
            <w:r>
              <w:rPr>
                <w:rFonts w:hint="default" w:ascii="Times New Roman" w:hAnsi="Times New Roman" w:eastAsia="宋体" w:cs="Times New Roman"/>
                <w:u w:val="none"/>
                <w:lang w:val="en-US" w:eastAsia="zh-CN"/>
              </w:rPr>
              <w:t>P</w:t>
            </w:r>
            <w:r>
              <w:rPr>
                <w:rFonts w:hint="default" w:ascii="Times New Roman" w:hAnsi="Times New Roman" w:eastAsia="宋体" w:cs="Times New Roman"/>
                <w:u w:val="none"/>
                <w:vertAlign w:val="subscript"/>
                <w:lang w:val="en-US" w:eastAsia="zh-CN"/>
              </w:rPr>
              <w:t>max</w:t>
            </w:r>
            <w:r>
              <w:rPr>
                <w:rFonts w:hint="default" w:ascii="Times New Roman" w:hAnsi="Times New Roman" w:cs="Times New Roman"/>
                <w:u w:val="none"/>
                <w:lang w:val="en-US" w:eastAsia="zh-CN"/>
              </w:rPr>
              <w:t>﹤</w:t>
            </w:r>
            <w:r>
              <w:rPr>
                <w:rFonts w:hint="default" w:ascii="Times New Roman" w:hAnsi="Times New Roman" w:eastAsia="宋体" w:cs="Times New Roman"/>
                <w:u w:val="none"/>
                <w:lang w:val="en-US" w:eastAsia="zh-CN"/>
              </w:rPr>
              <w:t>1%</w:t>
            </w:r>
          </w:p>
        </w:tc>
      </w:tr>
    </w:tbl>
    <w:p w14:paraId="4CEFE17C">
      <w:pPr>
        <w:widowControl/>
        <w:adjustRightInd w:val="0"/>
        <w:snapToGrid w:val="0"/>
        <w:spacing w:line="500" w:lineRule="exact"/>
        <w:ind w:firstLine="480"/>
        <w:rPr>
          <w:rFonts w:hint="default" w:ascii="Times New Roman" w:hAnsi="Times New Roman" w:eastAsia="宋体" w:cs="Times New Roman"/>
          <w:color w:val="000000"/>
          <w:spacing w:val="0"/>
          <w:w w:val="100"/>
          <w:kern w:val="21"/>
          <w:position w:val="0"/>
          <w:sz w:val="24"/>
          <w:szCs w:val="24"/>
        </w:rPr>
      </w:pPr>
      <w:r>
        <w:rPr>
          <w:rFonts w:hint="default" w:ascii="Times New Roman" w:hAnsi="Times New Roman" w:eastAsia="宋体" w:cs="Times New Roman"/>
          <w:color w:val="000000"/>
          <w:spacing w:val="0"/>
          <w:w w:val="100"/>
          <w:kern w:val="21"/>
          <w:position w:val="0"/>
          <w:sz w:val="24"/>
          <w:szCs w:val="24"/>
        </w:rPr>
        <w:t>由上表可知，本项目大气环境影响评价等级为二级，根据《环境影响评价技术导则大气环境》（HJ2.2-2018）第8.1.2条的要求</w:t>
      </w:r>
      <w:r>
        <w:rPr>
          <w:rFonts w:hint="default" w:ascii="Times New Roman" w:hAnsi="Times New Roman" w:eastAsia="宋体" w:cs="Times New Roman"/>
          <w:color w:val="000000"/>
          <w:spacing w:val="0"/>
          <w:w w:val="100"/>
          <w:kern w:val="21"/>
          <w:position w:val="0"/>
          <w:sz w:val="24"/>
          <w:szCs w:val="24"/>
          <w:lang w:eastAsia="zh-CN"/>
        </w:rPr>
        <w:t>可</w:t>
      </w:r>
      <w:r>
        <w:rPr>
          <w:rFonts w:hint="default" w:ascii="Times New Roman" w:hAnsi="Times New Roman" w:eastAsia="宋体" w:cs="Times New Roman"/>
          <w:color w:val="000000"/>
          <w:spacing w:val="0"/>
          <w:w w:val="100"/>
          <w:kern w:val="21"/>
          <w:position w:val="0"/>
          <w:sz w:val="24"/>
          <w:szCs w:val="24"/>
        </w:rPr>
        <w:t>不进行进一步预测与评价，只对污染物排放量进行核算，因此不再进行进一步预测与评价，只对污染物排放量进行核算。</w:t>
      </w:r>
    </w:p>
    <w:p w14:paraId="44AA04CB">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5.1.2.5评价范围</w:t>
      </w:r>
    </w:p>
    <w:p w14:paraId="09AD1D3F">
      <w:pPr>
        <w:ind w:firstLine="480"/>
      </w:pPr>
      <w:r>
        <w:rPr>
          <w:rFonts w:hint="eastAsia"/>
        </w:rPr>
        <w:t>根据《环境影响评价技术导则大气环境》（HJ2.2-2018），确定评价范围为：以项目厂址为中心区域，以厂界外延2500km的区域，评价区内覆盖的敏感点为主要保护目标。</w:t>
      </w:r>
    </w:p>
    <w:p w14:paraId="7BB49FD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eastAsia"/>
          <w:lang w:val="en-US" w:eastAsia="zh-CN"/>
        </w:rPr>
        <w:t>5.1.2.6污染物排放量核算</w:t>
      </w:r>
    </w:p>
    <w:p w14:paraId="0212B390">
      <w:pPr>
        <w:ind w:firstLine="480"/>
        <w:rPr>
          <w:rFonts w:hint="default" w:ascii="Times New Roman" w:hAnsi="Times New Roman" w:cs="Times New Roman"/>
          <w:highlight w:val="none"/>
        </w:rPr>
      </w:pPr>
      <w:r>
        <w:rPr>
          <w:rFonts w:hint="default" w:ascii="Times New Roman" w:hAnsi="Times New Roman" w:cs="Times New Roman"/>
          <w:highlight w:val="none"/>
        </w:rPr>
        <w:t>（1）有组织排放核算</w:t>
      </w:r>
    </w:p>
    <w:p w14:paraId="06E4CD02">
      <w:pPr>
        <w:ind w:firstLine="480"/>
        <w:rPr>
          <w:rFonts w:hint="default" w:ascii="Times New Roman" w:hAnsi="Times New Roman" w:cs="Times New Roman"/>
          <w:highlight w:val="none"/>
        </w:rPr>
      </w:pPr>
      <w:r>
        <w:rPr>
          <w:rFonts w:hint="default" w:ascii="Times New Roman" w:hAnsi="Times New Roman" w:cs="Times New Roman"/>
          <w:highlight w:val="none"/>
        </w:rPr>
        <w:t>本项目有组织大气污染物排放量核算见下表。</w:t>
      </w:r>
    </w:p>
    <w:p w14:paraId="2B8709E0">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ascii="Times New Roman" w:hAnsi="Times New Roman"/>
          <w:b/>
          <w:bCs/>
        </w:rPr>
      </w:pPr>
      <w:r>
        <w:rPr>
          <w:rFonts w:hint="default" w:ascii="Times New Roman" w:hAnsi="Times New Roman"/>
          <w:b/>
          <w:bCs/>
        </w:rPr>
        <w:t>表</w:t>
      </w:r>
      <w:r>
        <w:rPr>
          <w:rFonts w:hint="eastAsia"/>
          <w:b/>
          <w:bCs/>
          <w:lang w:val="en-US" w:eastAsia="zh-CN"/>
        </w:rPr>
        <w:t>5.2-8</w:t>
      </w:r>
      <w:r>
        <w:rPr>
          <w:rFonts w:hint="default" w:ascii="Times New Roman" w:hAnsi="Times New Roman"/>
          <w:b/>
          <w:bCs/>
          <w:lang w:val="en-US" w:eastAsia="zh-CN"/>
        </w:rPr>
        <w:t xml:space="preserve">    </w:t>
      </w:r>
      <w:r>
        <w:rPr>
          <w:rFonts w:hint="default" w:ascii="Times New Roman" w:hAnsi="Times New Roman"/>
          <w:b/>
          <w:bCs/>
        </w:rPr>
        <w:t>大气污染物有组织排放量核算表</w:t>
      </w:r>
    </w:p>
    <w:tbl>
      <w:tblPr>
        <w:tblStyle w:val="125"/>
        <w:tblW w:w="507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47"/>
        <w:gridCol w:w="1474"/>
        <w:gridCol w:w="1437"/>
        <w:gridCol w:w="1575"/>
        <w:gridCol w:w="1575"/>
        <w:gridCol w:w="1545"/>
      </w:tblGrid>
      <w:tr w14:paraId="37D63FA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713430C2">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序号</w:t>
            </w:r>
          </w:p>
        </w:tc>
        <w:tc>
          <w:tcPr>
            <w:tcW w:w="1471" w:type="dxa"/>
            <w:vAlign w:val="center"/>
          </w:tcPr>
          <w:p w14:paraId="7A3F75B7">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排放口编号</w:t>
            </w:r>
          </w:p>
        </w:tc>
        <w:tc>
          <w:tcPr>
            <w:tcW w:w="1434" w:type="dxa"/>
            <w:vAlign w:val="center"/>
          </w:tcPr>
          <w:p w14:paraId="6F93D567">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污染物</w:t>
            </w:r>
          </w:p>
        </w:tc>
        <w:tc>
          <w:tcPr>
            <w:tcW w:w="1571" w:type="dxa"/>
            <w:vAlign w:val="center"/>
          </w:tcPr>
          <w:p w14:paraId="156ECE3A">
            <w:pPr>
              <w:pStyle w:val="126"/>
              <w:ind w:left="0"/>
              <w:jc w:val="center"/>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核算排放浓度/</w:t>
            </w:r>
          </w:p>
          <w:p w14:paraId="56EA39A5">
            <w:pPr>
              <w:pStyle w:val="126"/>
              <w:ind w:left="0"/>
              <w:jc w:val="center"/>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（mg/</w:t>
            </w:r>
            <w:r>
              <w:rPr>
                <w:rFonts w:hint="eastAsia" w:ascii="Times New Roman" w:hAnsi="Times New Roman" w:eastAsia="宋体" w:cs="Times New Roman"/>
                <w:b/>
                <w:bCs/>
                <w:sz w:val="21"/>
                <w:szCs w:val="21"/>
                <w:lang w:eastAsia="zh-CN"/>
              </w:rPr>
              <w:t>m</w:t>
            </w:r>
            <w:r>
              <w:rPr>
                <w:rFonts w:hint="eastAsia" w:ascii="Times New Roman" w:hAnsi="Times New Roman" w:eastAsia="宋体" w:cs="Times New Roman"/>
                <w:b/>
                <w:bCs/>
                <w:sz w:val="21"/>
                <w:szCs w:val="21"/>
                <w:vertAlign w:val="superscript"/>
                <w:lang w:eastAsia="zh-CN"/>
              </w:rPr>
              <w:t>3</w:t>
            </w:r>
            <w:r>
              <w:rPr>
                <w:rFonts w:ascii="Times New Roman" w:hAnsi="Times New Roman" w:eastAsia="宋体" w:cs="Times New Roman"/>
                <w:b/>
                <w:bCs/>
                <w:sz w:val="21"/>
                <w:szCs w:val="21"/>
                <w:lang w:eastAsia="zh-CN"/>
              </w:rPr>
              <w:t>）</w:t>
            </w:r>
          </w:p>
        </w:tc>
        <w:tc>
          <w:tcPr>
            <w:tcW w:w="1571" w:type="dxa"/>
            <w:vAlign w:val="center"/>
          </w:tcPr>
          <w:p w14:paraId="72B26015">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核算排放速率/</w:t>
            </w:r>
          </w:p>
          <w:p w14:paraId="401CEA1C">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（kg/h）</w:t>
            </w:r>
          </w:p>
        </w:tc>
        <w:tc>
          <w:tcPr>
            <w:tcW w:w="1541" w:type="dxa"/>
            <w:vAlign w:val="center"/>
          </w:tcPr>
          <w:p w14:paraId="304DFDFA">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核算年排放量/</w:t>
            </w:r>
          </w:p>
          <w:p w14:paraId="3B153670">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（t/a）</w:t>
            </w:r>
          </w:p>
        </w:tc>
      </w:tr>
      <w:tr w14:paraId="3A5258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33" w:type="dxa"/>
            <w:gridSpan w:val="6"/>
            <w:vAlign w:val="center"/>
          </w:tcPr>
          <w:p w14:paraId="5F361F0F">
            <w:pPr>
              <w:pStyle w:val="126"/>
              <w:ind w:left="0"/>
              <w:jc w:val="center"/>
              <w:rPr>
                <w:rFonts w:ascii="Times New Roman" w:hAnsi="Times New Roman" w:eastAsia="宋体" w:cs="Times New Roman"/>
                <w:b/>
                <w:bCs/>
                <w:sz w:val="21"/>
                <w:szCs w:val="21"/>
                <w:lang w:eastAsia="en-US"/>
              </w:rPr>
            </w:pPr>
            <w:r>
              <w:rPr>
                <w:rFonts w:hint="eastAsia" w:ascii="Times New Roman" w:hAnsi="Times New Roman" w:eastAsia="宋体" w:cs="Times New Roman"/>
                <w:b/>
                <w:bCs/>
                <w:sz w:val="21"/>
                <w:szCs w:val="21"/>
                <w:lang w:eastAsia="zh-CN"/>
              </w:rPr>
              <w:t>一般排放口</w:t>
            </w:r>
          </w:p>
        </w:tc>
      </w:tr>
      <w:tr w14:paraId="6A31066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3153CE45">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1</w:t>
            </w:r>
          </w:p>
        </w:tc>
        <w:tc>
          <w:tcPr>
            <w:tcW w:w="1471" w:type="dxa"/>
            <w:vAlign w:val="center"/>
          </w:tcPr>
          <w:p w14:paraId="771CEB2E">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DA001</w:t>
            </w:r>
          </w:p>
        </w:tc>
        <w:tc>
          <w:tcPr>
            <w:tcW w:w="1434" w:type="dxa"/>
            <w:vAlign w:val="center"/>
          </w:tcPr>
          <w:p w14:paraId="2B7733CE">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571" w:type="dxa"/>
            <w:vAlign w:val="center"/>
          </w:tcPr>
          <w:p w14:paraId="170B357D">
            <w:pPr>
              <w:pStyle w:val="126"/>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0.76</w:t>
            </w:r>
          </w:p>
        </w:tc>
        <w:tc>
          <w:tcPr>
            <w:tcW w:w="1571" w:type="dxa"/>
            <w:vAlign w:val="center"/>
          </w:tcPr>
          <w:p w14:paraId="240FB31C">
            <w:pPr>
              <w:pStyle w:val="126"/>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highlight w:val="none"/>
                <w:lang w:val="en-US" w:eastAsia="zh-CN"/>
              </w:rPr>
              <w:t>0.0208</w:t>
            </w:r>
          </w:p>
        </w:tc>
        <w:tc>
          <w:tcPr>
            <w:tcW w:w="1541" w:type="dxa"/>
            <w:vAlign w:val="center"/>
          </w:tcPr>
          <w:p w14:paraId="09570394">
            <w:pPr>
              <w:pStyle w:val="126"/>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highlight w:val="none"/>
                <w:lang w:val="en-US" w:eastAsia="zh-CN"/>
              </w:rPr>
              <w:t>0.1495</w:t>
            </w:r>
          </w:p>
        </w:tc>
      </w:tr>
      <w:tr w14:paraId="170D773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653B6104">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2</w:t>
            </w:r>
          </w:p>
        </w:tc>
        <w:tc>
          <w:tcPr>
            <w:tcW w:w="1471" w:type="dxa"/>
            <w:vAlign w:val="center"/>
          </w:tcPr>
          <w:p w14:paraId="3205D11D">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DA002</w:t>
            </w:r>
          </w:p>
        </w:tc>
        <w:tc>
          <w:tcPr>
            <w:tcW w:w="1434" w:type="dxa"/>
            <w:shd w:val="clear" w:color="auto" w:fill="auto"/>
            <w:vAlign w:val="center"/>
          </w:tcPr>
          <w:p w14:paraId="24340646">
            <w:pPr>
              <w:pStyle w:val="126"/>
              <w:ind w:left="0" w:leftChars="0" w:firstLine="0" w:firstLineChars="0"/>
              <w:jc w:val="center"/>
              <w:rPr>
                <w:rFonts w:ascii="Times New Roman" w:hAnsi="Times New Roman" w:eastAsia="宋体" w:cs="Times New Roman"/>
                <w:sz w:val="21"/>
                <w:szCs w:val="21"/>
                <w:lang w:val="en-US" w:eastAsia="en-US" w:bidi="ar-SA"/>
              </w:rPr>
            </w:pPr>
            <w:r>
              <w:rPr>
                <w:rFonts w:ascii="Times New Roman" w:hAnsi="Times New Roman" w:eastAsia="宋体" w:cs="Times New Roman"/>
                <w:sz w:val="21"/>
                <w:szCs w:val="21"/>
                <w:lang w:eastAsia="en-US"/>
              </w:rPr>
              <w:t>硫酸雾</w:t>
            </w:r>
          </w:p>
        </w:tc>
        <w:tc>
          <w:tcPr>
            <w:tcW w:w="1571" w:type="dxa"/>
            <w:shd w:val="clear" w:color="auto" w:fill="auto"/>
            <w:vAlign w:val="center"/>
          </w:tcPr>
          <w:p w14:paraId="7AE182DE">
            <w:pPr>
              <w:pStyle w:val="126"/>
              <w:ind w:left="0" w:leftChars="0" w:firstLine="0" w:firstLineChars="0"/>
              <w:jc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1.09</w:t>
            </w:r>
          </w:p>
        </w:tc>
        <w:tc>
          <w:tcPr>
            <w:tcW w:w="1571" w:type="dxa"/>
            <w:shd w:val="clear" w:color="auto" w:fill="auto"/>
            <w:vAlign w:val="center"/>
          </w:tcPr>
          <w:p w14:paraId="38667DE1">
            <w:pPr>
              <w:pStyle w:val="126"/>
              <w:ind w:left="0" w:leftChars="0" w:firstLine="0" w:firstLineChars="0"/>
              <w:jc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0.0103</w:t>
            </w:r>
          </w:p>
        </w:tc>
        <w:tc>
          <w:tcPr>
            <w:tcW w:w="1541" w:type="dxa"/>
            <w:shd w:val="clear" w:color="auto" w:fill="auto"/>
            <w:vAlign w:val="center"/>
          </w:tcPr>
          <w:p w14:paraId="4EF7E4B3">
            <w:pPr>
              <w:pStyle w:val="126"/>
              <w:ind w:left="0" w:leftChars="0" w:firstLine="0" w:firstLineChars="0"/>
              <w:jc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0.0740</w:t>
            </w:r>
          </w:p>
        </w:tc>
      </w:tr>
      <w:tr w14:paraId="2DA72E8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3AA2541F">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3</w:t>
            </w:r>
          </w:p>
        </w:tc>
        <w:tc>
          <w:tcPr>
            <w:tcW w:w="1471" w:type="dxa"/>
            <w:vAlign w:val="center"/>
          </w:tcPr>
          <w:p w14:paraId="008207C0">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DA003</w:t>
            </w:r>
          </w:p>
        </w:tc>
        <w:tc>
          <w:tcPr>
            <w:tcW w:w="1434" w:type="dxa"/>
            <w:vAlign w:val="center"/>
          </w:tcPr>
          <w:p w14:paraId="1770061A">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571" w:type="dxa"/>
            <w:vAlign w:val="center"/>
          </w:tcPr>
          <w:p w14:paraId="3FA6D383">
            <w:pPr>
              <w:pStyle w:val="126"/>
              <w:ind w:lef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1.37</w:t>
            </w:r>
          </w:p>
        </w:tc>
        <w:tc>
          <w:tcPr>
            <w:tcW w:w="1571" w:type="dxa"/>
            <w:vAlign w:val="center"/>
          </w:tcPr>
          <w:p w14:paraId="7E0D132D">
            <w:pPr>
              <w:pStyle w:val="126"/>
              <w:ind w:left="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0.0228</w:t>
            </w:r>
          </w:p>
        </w:tc>
        <w:tc>
          <w:tcPr>
            <w:tcW w:w="1541" w:type="dxa"/>
            <w:vAlign w:val="center"/>
          </w:tcPr>
          <w:p w14:paraId="56A5B1E9">
            <w:pPr>
              <w:pStyle w:val="126"/>
              <w:ind w:left="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0.1643</w:t>
            </w:r>
          </w:p>
        </w:tc>
      </w:tr>
      <w:tr w14:paraId="08E31BF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61921BA1">
            <w:pPr>
              <w:pStyle w:val="126"/>
              <w:ind w:left="0"/>
              <w:jc w:val="center"/>
              <w:rPr>
                <w:rFonts w:ascii="Times New Roman" w:hAnsi="Times New Roman" w:eastAsia="宋体" w:cs="Times New Roman"/>
                <w:w w:val="99"/>
                <w:sz w:val="21"/>
                <w:szCs w:val="21"/>
                <w:lang w:eastAsia="en-US"/>
              </w:rPr>
            </w:pPr>
            <w:r>
              <w:rPr>
                <w:rFonts w:hint="eastAsia" w:ascii="Times New Roman" w:hAnsi="Times New Roman" w:eastAsia="宋体" w:cs="Times New Roman"/>
                <w:w w:val="99"/>
                <w:sz w:val="21"/>
                <w:szCs w:val="21"/>
                <w:lang w:val="en-US" w:eastAsia="zh-CN"/>
              </w:rPr>
              <w:t>4</w:t>
            </w:r>
          </w:p>
        </w:tc>
        <w:tc>
          <w:tcPr>
            <w:tcW w:w="1471" w:type="dxa"/>
            <w:vMerge w:val="restart"/>
            <w:vAlign w:val="center"/>
          </w:tcPr>
          <w:p w14:paraId="3D3ACECC">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r>
              <w:rPr>
                <w:rFonts w:ascii="Times New Roman" w:hAnsi="Times New Roman" w:eastAsia="宋体" w:cs="Times New Roman"/>
                <w:sz w:val="21"/>
                <w:szCs w:val="21"/>
                <w:lang w:eastAsia="en-US"/>
              </w:rPr>
              <w:t>DA004</w:t>
            </w:r>
          </w:p>
        </w:tc>
        <w:tc>
          <w:tcPr>
            <w:tcW w:w="1434" w:type="dxa"/>
            <w:vAlign w:val="center"/>
          </w:tcPr>
          <w:p w14:paraId="141C43C0">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1571" w:type="dxa"/>
            <w:vAlign w:val="center"/>
          </w:tcPr>
          <w:p w14:paraId="1B5FD5D9">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cs="Times New Roman"/>
                <w:i w:val="0"/>
                <w:iCs w:val="0"/>
                <w:color w:val="000000"/>
                <w:kern w:val="0"/>
                <w:sz w:val="21"/>
                <w:szCs w:val="21"/>
                <w:u w:val="none"/>
                <w:lang w:val="en-US" w:eastAsia="zh-CN" w:bidi="ar"/>
              </w:rPr>
              <w:t>.2</w:t>
            </w:r>
          </w:p>
        </w:tc>
        <w:tc>
          <w:tcPr>
            <w:tcW w:w="1571" w:type="dxa"/>
            <w:vAlign w:val="center"/>
          </w:tcPr>
          <w:p w14:paraId="469BA90B">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eastAsia" w:cs="Times New Roman"/>
                <w:i w:val="0"/>
                <w:iCs w:val="0"/>
                <w:color w:val="000000"/>
                <w:kern w:val="0"/>
                <w:sz w:val="21"/>
                <w:szCs w:val="21"/>
                <w:u w:val="none"/>
                <w:lang w:val="en-US" w:eastAsia="zh-CN" w:bidi="ar"/>
              </w:rPr>
              <w:t>2</w:t>
            </w:r>
          </w:p>
        </w:tc>
        <w:tc>
          <w:tcPr>
            <w:tcW w:w="1541" w:type="dxa"/>
            <w:vAlign w:val="center"/>
          </w:tcPr>
          <w:p w14:paraId="5CB0E236">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eastAsia" w:cs="Times New Roman"/>
                <w:i w:val="0"/>
                <w:iCs w:val="0"/>
                <w:color w:val="000000"/>
                <w:kern w:val="0"/>
                <w:sz w:val="21"/>
                <w:szCs w:val="21"/>
                <w:u w:val="none"/>
                <w:lang w:val="en-US" w:eastAsia="zh-CN" w:bidi="ar"/>
              </w:rPr>
              <w:t>0.0083</w:t>
            </w:r>
          </w:p>
        </w:tc>
      </w:tr>
      <w:tr w14:paraId="513C83D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5" w:type="dxa"/>
            <w:vAlign w:val="center"/>
          </w:tcPr>
          <w:p w14:paraId="1E11D417">
            <w:pPr>
              <w:pStyle w:val="126"/>
              <w:ind w:left="0"/>
              <w:jc w:val="center"/>
              <w:rPr>
                <w:rFonts w:ascii="Times New Roman" w:hAnsi="Times New Roman" w:eastAsia="宋体" w:cs="Times New Roman"/>
                <w:w w:val="99"/>
                <w:sz w:val="21"/>
                <w:szCs w:val="21"/>
                <w:lang w:eastAsia="en-US"/>
              </w:rPr>
            </w:pPr>
            <w:r>
              <w:rPr>
                <w:rFonts w:hint="eastAsia" w:ascii="Times New Roman" w:hAnsi="Times New Roman" w:eastAsia="宋体" w:cs="Times New Roman"/>
                <w:w w:val="99"/>
                <w:sz w:val="21"/>
                <w:szCs w:val="21"/>
                <w:lang w:val="en-US" w:eastAsia="zh-CN"/>
              </w:rPr>
              <w:t>5</w:t>
            </w:r>
          </w:p>
        </w:tc>
        <w:tc>
          <w:tcPr>
            <w:tcW w:w="1471" w:type="dxa"/>
            <w:vMerge w:val="continue"/>
            <w:vAlign w:val="center"/>
          </w:tcPr>
          <w:p w14:paraId="2D022C88">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p>
        </w:tc>
        <w:tc>
          <w:tcPr>
            <w:tcW w:w="1434" w:type="dxa"/>
            <w:vAlign w:val="center"/>
          </w:tcPr>
          <w:p w14:paraId="47731D65">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1571" w:type="dxa"/>
            <w:vAlign w:val="center"/>
          </w:tcPr>
          <w:p w14:paraId="1F2179A3">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0.006</w:t>
            </w:r>
          </w:p>
        </w:tc>
        <w:tc>
          <w:tcPr>
            <w:tcW w:w="1571" w:type="dxa"/>
            <w:vAlign w:val="center"/>
          </w:tcPr>
          <w:p w14:paraId="5530BC0F">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w:t>
            </w:r>
            <w:r>
              <w:rPr>
                <w:rFonts w:hint="eastAsia" w:cs="Times New Roman"/>
                <w:i w:val="0"/>
                <w:iCs w:val="0"/>
                <w:color w:val="000000"/>
                <w:kern w:val="0"/>
                <w:sz w:val="21"/>
                <w:szCs w:val="21"/>
                <w:u w:val="none"/>
                <w:lang w:val="en-US" w:eastAsia="zh-CN" w:bidi="ar"/>
              </w:rPr>
              <w:t>06</w:t>
            </w:r>
          </w:p>
        </w:tc>
        <w:tc>
          <w:tcPr>
            <w:tcW w:w="1541" w:type="dxa"/>
            <w:vAlign w:val="center"/>
          </w:tcPr>
          <w:p w14:paraId="49AB71E0">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eastAsia" w:cs="Times New Roman"/>
                <w:i w:val="0"/>
                <w:iCs w:val="0"/>
                <w:color w:val="000000"/>
                <w:kern w:val="0"/>
                <w:sz w:val="21"/>
                <w:szCs w:val="21"/>
                <w:u w:val="none"/>
                <w:lang w:val="en-US" w:eastAsia="zh-CN" w:bidi="ar"/>
              </w:rPr>
              <w:t>0.0004</w:t>
            </w:r>
          </w:p>
        </w:tc>
      </w:tr>
      <w:tr w14:paraId="6FF7539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433" w:type="dxa"/>
            <w:gridSpan w:val="6"/>
            <w:vAlign w:val="center"/>
          </w:tcPr>
          <w:p w14:paraId="464C1611">
            <w:pPr>
              <w:pStyle w:val="126"/>
              <w:ind w:left="0"/>
              <w:jc w:val="center"/>
              <w:rPr>
                <w:rFonts w:ascii="Times New Roman" w:hAnsi="Times New Roman" w:eastAsia="宋体" w:cs="Times New Roman"/>
                <w:b/>
                <w:bCs/>
                <w:sz w:val="21"/>
                <w:szCs w:val="21"/>
                <w:lang w:eastAsia="en-US"/>
              </w:rPr>
            </w:pPr>
            <w:r>
              <w:rPr>
                <w:rFonts w:hint="eastAsia" w:ascii="Times New Roman" w:hAnsi="Times New Roman" w:eastAsia="宋体" w:cs="Times New Roman"/>
                <w:b/>
                <w:bCs/>
                <w:sz w:val="21"/>
                <w:szCs w:val="21"/>
                <w:lang w:eastAsia="zh-CN"/>
              </w:rPr>
              <w:t>有组织排放总计</w:t>
            </w:r>
          </w:p>
        </w:tc>
      </w:tr>
      <w:tr w14:paraId="6CC4C80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750" w:type="dxa"/>
            <w:gridSpan w:val="3"/>
            <w:vMerge w:val="restart"/>
            <w:vAlign w:val="center"/>
          </w:tcPr>
          <w:p w14:paraId="7362D44C">
            <w:pPr>
              <w:pStyle w:val="126"/>
              <w:ind w:left="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eastAsia="zh-CN"/>
              </w:rPr>
              <w:t>一般排放口</w:t>
            </w:r>
            <w:r>
              <w:rPr>
                <w:rFonts w:ascii="Times New Roman" w:hAnsi="Times New Roman" w:eastAsia="宋体" w:cs="Times New Roman"/>
                <w:sz w:val="21"/>
                <w:szCs w:val="21"/>
                <w:lang w:eastAsia="en-US"/>
              </w:rPr>
              <w:t>总计</w:t>
            </w:r>
          </w:p>
        </w:tc>
        <w:tc>
          <w:tcPr>
            <w:tcW w:w="3142" w:type="dxa"/>
            <w:gridSpan w:val="2"/>
            <w:vAlign w:val="center"/>
          </w:tcPr>
          <w:p w14:paraId="31774D37">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541" w:type="dxa"/>
            <w:vAlign w:val="center"/>
          </w:tcPr>
          <w:p w14:paraId="48D9F625">
            <w:pPr>
              <w:pStyle w:val="126"/>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0.3878</w:t>
            </w:r>
          </w:p>
        </w:tc>
      </w:tr>
      <w:tr w14:paraId="4D1475E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750" w:type="dxa"/>
            <w:gridSpan w:val="3"/>
            <w:vMerge w:val="continue"/>
            <w:vAlign w:val="center"/>
          </w:tcPr>
          <w:p w14:paraId="665465F8">
            <w:pPr>
              <w:pStyle w:val="126"/>
              <w:ind w:left="0"/>
              <w:jc w:val="center"/>
              <w:rPr>
                <w:rFonts w:ascii="Times New Roman" w:hAnsi="Times New Roman" w:eastAsia="宋体" w:cs="Times New Roman"/>
                <w:sz w:val="21"/>
                <w:szCs w:val="21"/>
                <w:lang w:eastAsia="en-US"/>
              </w:rPr>
            </w:pPr>
          </w:p>
        </w:tc>
        <w:tc>
          <w:tcPr>
            <w:tcW w:w="3142" w:type="dxa"/>
            <w:gridSpan w:val="2"/>
            <w:vAlign w:val="center"/>
          </w:tcPr>
          <w:p w14:paraId="4ED8BB87">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1541" w:type="dxa"/>
            <w:vAlign w:val="center"/>
          </w:tcPr>
          <w:p w14:paraId="6B9EFB1D">
            <w:pPr>
              <w:pStyle w:val="126"/>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0.0083</w:t>
            </w:r>
          </w:p>
        </w:tc>
      </w:tr>
      <w:tr w14:paraId="3898417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750" w:type="dxa"/>
            <w:gridSpan w:val="3"/>
            <w:vMerge w:val="continue"/>
            <w:vAlign w:val="center"/>
          </w:tcPr>
          <w:p w14:paraId="24FC0E30">
            <w:pPr>
              <w:pStyle w:val="126"/>
              <w:ind w:left="0"/>
              <w:jc w:val="center"/>
              <w:rPr>
                <w:rFonts w:ascii="Times New Roman" w:hAnsi="Times New Roman" w:eastAsia="宋体" w:cs="Times New Roman"/>
                <w:sz w:val="21"/>
                <w:szCs w:val="21"/>
                <w:lang w:eastAsia="en-US"/>
              </w:rPr>
            </w:pPr>
          </w:p>
        </w:tc>
        <w:tc>
          <w:tcPr>
            <w:tcW w:w="3142" w:type="dxa"/>
            <w:gridSpan w:val="2"/>
            <w:vAlign w:val="center"/>
          </w:tcPr>
          <w:p w14:paraId="74B91729">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1541" w:type="dxa"/>
            <w:vAlign w:val="center"/>
          </w:tcPr>
          <w:p w14:paraId="7BBA63EC">
            <w:pPr>
              <w:pStyle w:val="126"/>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0.00004</w:t>
            </w:r>
          </w:p>
        </w:tc>
      </w:tr>
    </w:tbl>
    <w:p w14:paraId="33AAC16A">
      <w:pPr>
        <w:ind w:firstLine="480"/>
      </w:pPr>
      <w:r>
        <w:t>（</w:t>
      </w:r>
      <w:r>
        <w:rPr>
          <w:rFonts w:hint="eastAsia"/>
        </w:rPr>
        <w:t>2</w:t>
      </w:r>
      <w:r>
        <w:t>）无组织排放核算</w:t>
      </w:r>
    </w:p>
    <w:p w14:paraId="38CAC1AC">
      <w:pPr>
        <w:ind w:firstLine="480"/>
      </w:pPr>
      <w:r>
        <w:rPr>
          <w:rFonts w:hint="eastAsia"/>
        </w:rPr>
        <w:t>本项目</w:t>
      </w:r>
      <w:r>
        <w:t>无组织大气污染物排放量核算见</w:t>
      </w:r>
      <w:r>
        <w:rPr>
          <w:rFonts w:hint="eastAsia"/>
        </w:rPr>
        <w:t>下表</w:t>
      </w:r>
      <w:r>
        <w:t>。</w:t>
      </w:r>
    </w:p>
    <w:p w14:paraId="5574A5D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5.2-9</w:t>
      </w:r>
      <w:r>
        <w:rPr>
          <w:rFonts w:hint="eastAsia" w:ascii="Times New Roman" w:hAnsi="Times New Roman"/>
          <w:b/>
          <w:bCs/>
        </w:rPr>
        <w:t xml:space="preserve">    无组织大气污染物排放量核算表</w:t>
      </w:r>
    </w:p>
    <w:tbl>
      <w:tblPr>
        <w:tblStyle w:val="125"/>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926"/>
        <w:gridCol w:w="823"/>
        <w:gridCol w:w="957"/>
        <w:gridCol w:w="1099"/>
        <w:gridCol w:w="2308"/>
        <w:gridCol w:w="1276"/>
        <w:gridCol w:w="1143"/>
      </w:tblGrid>
      <w:tr w14:paraId="37C35A5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6" w:type="dxa"/>
            <w:vMerge w:val="restart"/>
            <w:tcMar>
              <w:left w:w="108" w:type="dxa"/>
              <w:right w:w="108" w:type="dxa"/>
            </w:tcMar>
            <w:vAlign w:val="center"/>
          </w:tcPr>
          <w:p w14:paraId="45669F05">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排放口编号</w:t>
            </w:r>
          </w:p>
        </w:tc>
        <w:tc>
          <w:tcPr>
            <w:tcW w:w="823" w:type="dxa"/>
            <w:vMerge w:val="restart"/>
            <w:tcMar>
              <w:left w:w="108" w:type="dxa"/>
              <w:right w:w="108" w:type="dxa"/>
            </w:tcMar>
            <w:vAlign w:val="center"/>
          </w:tcPr>
          <w:p w14:paraId="0CEF5F6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产污环节</w:t>
            </w:r>
          </w:p>
        </w:tc>
        <w:tc>
          <w:tcPr>
            <w:tcW w:w="957" w:type="dxa"/>
            <w:vMerge w:val="restart"/>
            <w:tcMar>
              <w:left w:w="108" w:type="dxa"/>
              <w:right w:w="108" w:type="dxa"/>
            </w:tcMar>
            <w:vAlign w:val="center"/>
          </w:tcPr>
          <w:p w14:paraId="562CC5EB">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污染物</w:t>
            </w:r>
          </w:p>
        </w:tc>
        <w:tc>
          <w:tcPr>
            <w:tcW w:w="1099" w:type="dxa"/>
            <w:vMerge w:val="restart"/>
            <w:tcMar>
              <w:left w:w="108" w:type="dxa"/>
              <w:right w:w="108" w:type="dxa"/>
            </w:tcMar>
            <w:vAlign w:val="center"/>
          </w:tcPr>
          <w:p w14:paraId="0EB1A2BD">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主要污染防治措施</w:t>
            </w:r>
          </w:p>
        </w:tc>
        <w:tc>
          <w:tcPr>
            <w:tcW w:w="3584" w:type="dxa"/>
            <w:gridSpan w:val="2"/>
            <w:tcMar>
              <w:left w:w="108" w:type="dxa"/>
              <w:right w:w="108" w:type="dxa"/>
            </w:tcMar>
            <w:vAlign w:val="center"/>
          </w:tcPr>
          <w:p w14:paraId="4FBCE262">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排放标准</w:t>
            </w:r>
          </w:p>
        </w:tc>
        <w:tc>
          <w:tcPr>
            <w:tcW w:w="1143" w:type="dxa"/>
            <w:vMerge w:val="restart"/>
            <w:tcMar>
              <w:left w:w="108" w:type="dxa"/>
              <w:right w:w="108" w:type="dxa"/>
            </w:tcMar>
            <w:vAlign w:val="center"/>
          </w:tcPr>
          <w:p w14:paraId="37F7C813">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年排放量/（t/a）</w:t>
            </w:r>
          </w:p>
        </w:tc>
      </w:tr>
      <w:tr w14:paraId="75C454F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6" w:type="dxa"/>
            <w:vMerge w:val="continue"/>
            <w:tcMar>
              <w:left w:w="108" w:type="dxa"/>
              <w:right w:w="108" w:type="dxa"/>
            </w:tcMar>
            <w:vAlign w:val="center"/>
          </w:tcPr>
          <w:p w14:paraId="5C6E9D57">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823" w:type="dxa"/>
            <w:vMerge w:val="continue"/>
            <w:tcMar>
              <w:left w:w="108" w:type="dxa"/>
              <w:right w:w="108" w:type="dxa"/>
            </w:tcMar>
            <w:vAlign w:val="center"/>
          </w:tcPr>
          <w:p w14:paraId="1A97009A">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957" w:type="dxa"/>
            <w:vMerge w:val="continue"/>
            <w:tcMar>
              <w:left w:w="108" w:type="dxa"/>
              <w:right w:w="108" w:type="dxa"/>
            </w:tcMar>
            <w:vAlign w:val="center"/>
          </w:tcPr>
          <w:p w14:paraId="2DFEE04C">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1099" w:type="dxa"/>
            <w:vMerge w:val="continue"/>
            <w:tcMar>
              <w:left w:w="108" w:type="dxa"/>
              <w:right w:w="108" w:type="dxa"/>
            </w:tcMar>
            <w:vAlign w:val="center"/>
          </w:tcPr>
          <w:p w14:paraId="25EFA0F9">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c>
          <w:tcPr>
            <w:tcW w:w="2308" w:type="dxa"/>
            <w:tcMar>
              <w:left w:w="108" w:type="dxa"/>
              <w:right w:w="108" w:type="dxa"/>
            </w:tcMar>
            <w:vAlign w:val="center"/>
          </w:tcPr>
          <w:p w14:paraId="74FF305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标准名称</w:t>
            </w:r>
          </w:p>
        </w:tc>
        <w:tc>
          <w:tcPr>
            <w:tcW w:w="1276" w:type="dxa"/>
            <w:tcMar>
              <w:left w:w="108" w:type="dxa"/>
              <w:right w:w="108" w:type="dxa"/>
            </w:tcMar>
            <w:vAlign w:val="center"/>
          </w:tcPr>
          <w:p w14:paraId="7CEF8406">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浓度限值/</w:t>
            </w:r>
          </w:p>
          <w:p w14:paraId="0BA8E061">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（mg/m</w:t>
            </w:r>
            <w:r>
              <w:rPr>
                <w:rFonts w:ascii="Times New Roman" w:hAnsi="Times New Roman" w:eastAsia="宋体" w:cs="Times New Roman"/>
                <w:b/>
                <w:bCs/>
                <w:sz w:val="21"/>
                <w:szCs w:val="21"/>
                <w:vertAlign w:val="superscript"/>
                <w:lang w:eastAsia="en-US"/>
              </w:rPr>
              <w:t>3</w:t>
            </w:r>
            <w:r>
              <w:rPr>
                <w:rFonts w:ascii="Times New Roman" w:hAnsi="Times New Roman" w:eastAsia="宋体" w:cs="Times New Roman"/>
                <w:b/>
                <w:bCs/>
                <w:sz w:val="21"/>
                <w:szCs w:val="21"/>
                <w:lang w:eastAsia="en-US"/>
              </w:rPr>
              <w:t>）</w:t>
            </w:r>
          </w:p>
        </w:tc>
        <w:tc>
          <w:tcPr>
            <w:tcW w:w="1143" w:type="dxa"/>
            <w:vMerge w:val="continue"/>
            <w:tcMar>
              <w:left w:w="108" w:type="dxa"/>
              <w:right w:w="108" w:type="dxa"/>
            </w:tcMar>
            <w:vAlign w:val="center"/>
          </w:tcPr>
          <w:p w14:paraId="68B4A900">
            <w:pPr>
              <w:autoSpaceDE w:val="0"/>
              <w:autoSpaceDN w:val="0"/>
              <w:spacing w:line="240" w:lineRule="auto"/>
              <w:ind w:firstLine="0" w:firstLineChars="0"/>
              <w:jc w:val="center"/>
              <w:rPr>
                <w:rFonts w:ascii="Times New Roman" w:hAnsi="Times New Roman" w:eastAsia="宋体" w:cs="Times New Roman"/>
                <w:sz w:val="21"/>
                <w:szCs w:val="21"/>
                <w:lang w:eastAsia="en-US"/>
              </w:rPr>
            </w:pPr>
          </w:p>
        </w:tc>
      </w:tr>
      <w:tr w14:paraId="035C40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6" w:type="dxa"/>
            <w:vMerge w:val="restart"/>
            <w:tcMar>
              <w:left w:w="108" w:type="dxa"/>
              <w:right w:w="108" w:type="dxa"/>
            </w:tcMar>
            <w:vAlign w:val="center"/>
          </w:tcPr>
          <w:p w14:paraId="7D8E189E">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生产</w:t>
            </w:r>
          </w:p>
          <w:p w14:paraId="07FB89A1">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车间</w:t>
            </w:r>
          </w:p>
        </w:tc>
        <w:tc>
          <w:tcPr>
            <w:tcW w:w="823" w:type="dxa"/>
            <w:tcMar>
              <w:left w:w="108" w:type="dxa"/>
              <w:right w:w="108" w:type="dxa"/>
            </w:tcMar>
            <w:vAlign w:val="center"/>
          </w:tcPr>
          <w:p w14:paraId="57DBA480">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电镀生产线</w:t>
            </w:r>
          </w:p>
        </w:tc>
        <w:tc>
          <w:tcPr>
            <w:tcW w:w="957" w:type="dxa"/>
            <w:tcMar>
              <w:left w:w="108" w:type="dxa"/>
              <w:right w:w="108" w:type="dxa"/>
            </w:tcMar>
            <w:vAlign w:val="center"/>
          </w:tcPr>
          <w:p w14:paraId="2042B97D">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099" w:type="dxa"/>
            <w:tcMar>
              <w:left w:w="108" w:type="dxa"/>
              <w:right w:w="108" w:type="dxa"/>
            </w:tcMar>
            <w:vAlign w:val="center"/>
          </w:tcPr>
          <w:p w14:paraId="3AD2B4F8">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车间密闭</w:t>
            </w:r>
          </w:p>
        </w:tc>
        <w:tc>
          <w:tcPr>
            <w:tcW w:w="2308" w:type="dxa"/>
            <w:tcMar>
              <w:left w:w="108" w:type="dxa"/>
              <w:right w:w="108" w:type="dxa"/>
            </w:tcMar>
            <w:vAlign w:val="center"/>
          </w:tcPr>
          <w:p w14:paraId="40756FA7">
            <w:pPr>
              <w:pStyle w:val="126"/>
              <w:ind w:left="0"/>
              <w:jc w:val="center"/>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《电镀污染物排放标准》（GB21900-2008）</w:t>
            </w:r>
          </w:p>
        </w:tc>
        <w:tc>
          <w:tcPr>
            <w:tcW w:w="1276" w:type="dxa"/>
            <w:tcMar>
              <w:left w:w="108" w:type="dxa"/>
              <w:right w:w="108" w:type="dxa"/>
            </w:tcMar>
            <w:vAlign w:val="center"/>
          </w:tcPr>
          <w:p w14:paraId="7449202C">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w:t>
            </w:r>
          </w:p>
        </w:tc>
        <w:tc>
          <w:tcPr>
            <w:tcW w:w="1143" w:type="dxa"/>
            <w:tcMar>
              <w:left w:w="108" w:type="dxa"/>
              <w:right w:w="108" w:type="dxa"/>
            </w:tcMar>
            <w:vAlign w:val="center"/>
          </w:tcPr>
          <w:p w14:paraId="34643544">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0.0791</w:t>
            </w:r>
          </w:p>
        </w:tc>
      </w:tr>
      <w:tr w14:paraId="4E8B4EE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6" w:type="dxa"/>
            <w:vMerge w:val="continue"/>
            <w:tcMar>
              <w:left w:w="108" w:type="dxa"/>
              <w:right w:w="108" w:type="dxa"/>
            </w:tcMar>
            <w:vAlign w:val="center"/>
          </w:tcPr>
          <w:p w14:paraId="03D974CF">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p>
        </w:tc>
        <w:tc>
          <w:tcPr>
            <w:tcW w:w="823" w:type="dxa"/>
            <w:vMerge w:val="restart"/>
            <w:tcMar>
              <w:left w:w="108" w:type="dxa"/>
              <w:right w:w="108" w:type="dxa"/>
            </w:tcMar>
            <w:vAlign w:val="center"/>
          </w:tcPr>
          <w:p w14:paraId="4862EB5C">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r>
              <w:rPr>
                <w:rFonts w:hint="eastAsia" w:asciiTheme="minorHAnsi" w:hAnsiTheme="minorHAnsi" w:eastAsiaTheme="minorEastAsia" w:cstheme="minorBidi"/>
                <w:sz w:val="21"/>
                <w:szCs w:val="21"/>
                <w:lang w:eastAsia="zh-CN"/>
              </w:rPr>
              <w:t>综合污水处理系统</w:t>
            </w:r>
          </w:p>
        </w:tc>
        <w:tc>
          <w:tcPr>
            <w:tcW w:w="957" w:type="dxa"/>
            <w:tcMar>
              <w:left w:w="108" w:type="dxa"/>
              <w:right w:w="108" w:type="dxa"/>
            </w:tcMar>
            <w:vAlign w:val="center"/>
          </w:tcPr>
          <w:p w14:paraId="15EC112D">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1099" w:type="dxa"/>
            <w:vMerge w:val="restart"/>
            <w:tcMar>
              <w:left w:w="108" w:type="dxa"/>
              <w:right w:w="108" w:type="dxa"/>
            </w:tcMar>
            <w:vAlign w:val="center"/>
          </w:tcPr>
          <w:p w14:paraId="1C5B9C47">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r>
              <w:rPr>
                <w:rFonts w:hint="eastAsia" w:asciiTheme="minorHAnsi" w:hAnsiTheme="minorHAnsi" w:eastAsiaTheme="minorEastAsia" w:cstheme="minorBidi"/>
                <w:sz w:val="21"/>
                <w:szCs w:val="21"/>
                <w:lang w:eastAsia="zh-CN"/>
              </w:rPr>
              <w:t>加盖密闭</w:t>
            </w:r>
          </w:p>
        </w:tc>
        <w:tc>
          <w:tcPr>
            <w:tcW w:w="2308" w:type="dxa"/>
            <w:vMerge w:val="restart"/>
            <w:tcMar>
              <w:left w:w="108" w:type="dxa"/>
              <w:right w:w="108" w:type="dxa"/>
            </w:tcMar>
            <w:vAlign w:val="center"/>
          </w:tcPr>
          <w:p w14:paraId="01871ABA">
            <w:pPr>
              <w:autoSpaceDE w:val="0"/>
              <w:autoSpaceDN w:val="0"/>
              <w:spacing w:line="240" w:lineRule="auto"/>
              <w:ind w:firstLine="0" w:firstLineChars="0"/>
              <w:jc w:val="center"/>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《恶臭污染物排放标准》（GB14554-93）</w:t>
            </w:r>
          </w:p>
        </w:tc>
        <w:tc>
          <w:tcPr>
            <w:tcW w:w="1276" w:type="dxa"/>
            <w:tcMar>
              <w:left w:w="108" w:type="dxa"/>
              <w:right w:w="108" w:type="dxa"/>
            </w:tcMar>
            <w:vAlign w:val="center"/>
          </w:tcPr>
          <w:p w14:paraId="3718F743">
            <w:pPr>
              <w:pStyle w:val="126"/>
              <w:ind w:left="0"/>
              <w:jc w:val="center"/>
              <w:rPr>
                <w:rFonts w:ascii="Times New Roman" w:hAnsi="Times New Roman" w:eastAsia="宋体" w:cs="Times New Roman"/>
                <w:w w:val="99"/>
                <w:sz w:val="21"/>
                <w:szCs w:val="21"/>
                <w:lang w:eastAsia="zh-CN"/>
              </w:rPr>
            </w:pPr>
            <w:r>
              <w:rPr>
                <w:rFonts w:hint="eastAsia" w:ascii="Times New Roman" w:hAnsi="Times New Roman" w:eastAsia="宋体" w:cs="Times New Roman"/>
                <w:w w:val="99"/>
                <w:sz w:val="21"/>
                <w:szCs w:val="21"/>
                <w:lang w:eastAsia="zh-CN"/>
              </w:rPr>
              <w:t>/</w:t>
            </w:r>
          </w:p>
        </w:tc>
        <w:tc>
          <w:tcPr>
            <w:tcW w:w="1143" w:type="dxa"/>
            <w:tcMar>
              <w:left w:w="108" w:type="dxa"/>
              <w:right w:w="108" w:type="dxa"/>
            </w:tcMar>
            <w:vAlign w:val="center"/>
          </w:tcPr>
          <w:p w14:paraId="53D286D4">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0.0044</w:t>
            </w:r>
          </w:p>
        </w:tc>
      </w:tr>
      <w:tr w14:paraId="583518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926" w:type="dxa"/>
            <w:vMerge w:val="continue"/>
            <w:tcMar>
              <w:left w:w="108" w:type="dxa"/>
              <w:right w:w="108" w:type="dxa"/>
            </w:tcMar>
            <w:vAlign w:val="center"/>
          </w:tcPr>
          <w:p w14:paraId="2B6E1EC6">
            <w:pPr>
              <w:autoSpaceDE w:val="0"/>
              <w:autoSpaceDN w:val="0"/>
              <w:spacing w:line="240" w:lineRule="auto"/>
              <w:ind w:firstLine="0" w:firstLineChars="0"/>
              <w:jc w:val="center"/>
              <w:rPr>
                <w:rFonts w:asciiTheme="minorHAnsi" w:hAnsiTheme="minorHAnsi" w:eastAsiaTheme="minorEastAsia" w:cstheme="minorBidi"/>
                <w:sz w:val="21"/>
                <w:szCs w:val="21"/>
                <w:lang w:eastAsia="zh-CN"/>
              </w:rPr>
            </w:pPr>
          </w:p>
        </w:tc>
        <w:tc>
          <w:tcPr>
            <w:tcW w:w="823" w:type="dxa"/>
            <w:vMerge w:val="continue"/>
            <w:tcMar>
              <w:left w:w="108" w:type="dxa"/>
              <w:right w:w="108" w:type="dxa"/>
            </w:tcMar>
            <w:vAlign w:val="center"/>
          </w:tcPr>
          <w:p w14:paraId="3A9F5451">
            <w:pPr>
              <w:autoSpaceDE w:val="0"/>
              <w:autoSpaceDN w:val="0"/>
              <w:spacing w:line="240" w:lineRule="auto"/>
              <w:ind w:firstLine="0" w:firstLineChars="0"/>
              <w:jc w:val="center"/>
              <w:rPr>
                <w:rFonts w:asciiTheme="minorHAnsi" w:hAnsiTheme="minorHAnsi" w:eastAsiaTheme="minorEastAsia" w:cstheme="minorBidi"/>
                <w:sz w:val="21"/>
                <w:szCs w:val="21"/>
                <w:lang w:eastAsia="zh-CN"/>
              </w:rPr>
            </w:pPr>
          </w:p>
        </w:tc>
        <w:tc>
          <w:tcPr>
            <w:tcW w:w="957" w:type="dxa"/>
            <w:tcMar>
              <w:left w:w="108" w:type="dxa"/>
              <w:right w:w="108" w:type="dxa"/>
            </w:tcMar>
            <w:vAlign w:val="center"/>
          </w:tcPr>
          <w:p w14:paraId="0D727EB8">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1099" w:type="dxa"/>
            <w:vMerge w:val="continue"/>
            <w:tcMar>
              <w:left w:w="108" w:type="dxa"/>
              <w:right w:w="108" w:type="dxa"/>
            </w:tcMar>
            <w:vAlign w:val="center"/>
          </w:tcPr>
          <w:p w14:paraId="7C7423C5">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p>
        </w:tc>
        <w:tc>
          <w:tcPr>
            <w:tcW w:w="2308" w:type="dxa"/>
            <w:vMerge w:val="continue"/>
            <w:tcMar>
              <w:left w:w="108" w:type="dxa"/>
              <w:right w:w="108" w:type="dxa"/>
            </w:tcMar>
            <w:vAlign w:val="center"/>
          </w:tcPr>
          <w:p w14:paraId="0E8D2EFC">
            <w:pPr>
              <w:autoSpaceDE w:val="0"/>
              <w:autoSpaceDN w:val="0"/>
              <w:spacing w:line="240" w:lineRule="auto"/>
              <w:ind w:firstLine="0" w:firstLineChars="0"/>
              <w:jc w:val="center"/>
              <w:rPr>
                <w:rFonts w:asciiTheme="minorHAnsi" w:hAnsiTheme="minorHAnsi" w:eastAsiaTheme="minorEastAsia" w:cstheme="minorBidi"/>
                <w:sz w:val="21"/>
                <w:szCs w:val="21"/>
                <w:lang w:eastAsia="en-US"/>
              </w:rPr>
            </w:pPr>
          </w:p>
        </w:tc>
        <w:tc>
          <w:tcPr>
            <w:tcW w:w="1276" w:type="dxa"/>
            <w:tcMar>
              <w:left w:w="108" w:type="dxa"/>
              <w:right w:w="108" w:type="dxa"/>
            </w:tcMar>
            <w:vAlign w:val="center"/>
          </w:tcPr>
          <w:p w14:paraId="59503B1C">
            <w:pPr>
              <w:pStyle w:val="126"/>
              <w:ind w:left="0"/>
              <w:jc w:val="center"/>
              <w:rPr>
                <w:rFonts w:ascii="Times New Roman" w:hAnsi="Times New Roman" w:eastAsia="宋体" w:cs="Times New Roman"/>
                <w:w w:val="99"/>
                <w:sz w:val="21"/>
                <w:szCs w:val="21"/>
                <w:lang w:eastAsia="en-US"/>
              </w:rPr>
            </w:pPr>
            <w:r>
              <w:rPr>
                <w:rFonts w:hint="eastAsia" w:ascii="Times New Roman" w:hAnsi="Times New Roman" w:eastAsia="宋体" w:cs="Times New Roman"/>
                <w:w w:val="99"/>
                <w:sz w:val="21"/>
                <w:szCs w:val="21"/>
                <w:lang w:eastAsia="zh-CN"/>
              </w:rPr>
              <w:t>/</w:t>
            </w:r>
          </w:p>
        </w:tc>
        <w:tc>
          <w:tcPr>
            <w:tcW w:w="1143" w:type="dxa"/>
            <w:tcMar>
              <w:left w:w="108" w:type="dxa"/>
              <w:right w:w="108" w:type="dxa"/>
            </w:tcMar>
            <w:vAlign w:val="center"/>
          </w:tcPr>
          <w:p w14:paraId="75F87889">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0.00002</w:t>
            </w:r>
          </w:p>
        </w:tc>
      </w:tr>
      <w:tr w14:paraId="47C624F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706" w:type="dxa"/>
            <w:gridSpan w:val="3"/>
            <w:vMerge w:val="restart"/>
            <w:tcMar>
              <w:left w:w="108" w:type="dxa"/>
              <w:right w:w="108" w:type="dxa"/>
            </w:tcMar>
            <w:vAlign w:val="center"/>
          </w:tcPr>
          <w:p w14:paraId="2EC15749">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无组织排放总计</w:t>
            </w:r>
          </w:p>
        </w:tc>
        <w:tc>
          <w:tcPr>
            <w:tcW w:w="3407" w:type="dxa"/>
            <w:gridSpan w:val="2"/>
            <w:tcMar>
              <w:left w:w="108" w:type="dxa"/>
              <w:right w:w="108" w:type="dxa"/>
            </w:tcMar>
            <w:vAlign w:val="center"/>
          </w:tcPr>
          <w:p w14:paraId="4A3E5EEA">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1276" w:type="dxa"/>
            <w:tcMar>
              <w:left w:w="108" w:type="dxa"/>
              <w:right w:w="108" w:type="dxa"/>
            </w:tcMar>
            <w:vAlign w:val="center"/>
          </w:tcPr>
          <w:p w14:paraId="55CC1737">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w:t>
            </w:r>
          </w:p>
        </w:tc>
        <w:tc>
          <w:tcPr>
            <w:tcW w:w="1143" w:type="dxa"/>
            <w:tcMar>
              <w:left w:w="108" w:type="dxa"/>
              <w:right w:w="108" w:type="dxa"/>
            </w:tcMar>
            <w:vAlign w:val="center"/>
          </w:tcPr>
          <w:p w14:paraId="11A37B84">
            <w:pPr>
              <w:pStyle w:val="126"/>
              <w:ind w:left="0" w:leftChars="0" w:firstLine="0" w:firstLineChars="0"/>
              <w:jc w:val="center"/>
              <w:rPr>
                <w:rFonts w:hint="default" w:ascii="Times New Roman" w:hAnsi="Times New Roman" w:eastAsia="宋体" w:cs="Times New Roman"/>
                <w:sz w:val="21"/>
                <w:szCs w:val="21"/>
                <w:lang w:val="en-US" w:eastAsia="en-US"/>
              </w:rPr>
            </w:pPr>
            <w:r>
              <w:rPr>
                <w:rFonts w:hint="eastAsia" w:ascii="Times New Roman" w:hAnsi="Times New Roman" w:eastAsia="宋体" w:cs="Times New Roman"/>
                <w:sz w:val="21"/>
                <w:szCs w:val="21"/>
                <w:lang w:val="en-US" w:eastAsia="zh-CN"/>
              </w:rPr>
              <w:t>0.0791</w:t>
            </w:r>
          </w:p>
        </w:tc>
      </w:tr>
      <w:tr w14:paraId="4D24431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706" w:type="dxa"/>
            <w:gridSpan w:val="3"/>
            <w:vMerge w:val="continue"/>
            <w:tcMar>
              <w:left w:w="108" w:type="dxa"/>
              <w:right w:w="108" w:type="dxa"/>
            </w:tcMar>
            <w:vAlign w:val="center"/>
          </w:tcPr>
          <w:p w14:paraId="1616DBA3">
            <w:pPr>
              <w:pStyle w:val="126"/>
              <w:ind w:left="0"/>
              <w:jc w:val="center"/>
              <w:rPr>
                <w:rFonts w:ascii="Times New Roman" w:hAnsi="Times New Roman" w:eastAsia="宋体" w:cs="Times New Roman"/>
                <w:sz w:val="21"/>
                <w:szCs w:val="21"/>
                <w:lang w:eastAsia="en-US"/>
              </w:rPr>
            </w:pPr>
          </w:p>
        </w:tc>
        <w:tc>
          <w:tcPr>
            <w:tcW w:w="3407" w:type="dxa"/>
            <w:gridSpan w:val="2"/>
            <w:tcMar>
              <w:left w:w="108" w:type="dxa"/>
              <w:right w:w="108" w:type="dxa"/>
            </w:tcMar>
            <w:vAlign w:val="center"/>
          </w:tcPr>
          <w:p w14:paraId="05F4B5FD">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1276" w:type="dxa"/>
            <w:tcMar>
              <w:left w:w="108" w:type="dxa"/>
              <w:right w:w="108" w:type="dxa"/>
            </w:tcMar>
            <w:vAlign w:val="center"/>
          </w:tcPr>
          <w:p w14:paraId="17F6601D">
            <w:pPr>
              <w:pStyle w:val="126"/>
              <w:ind w:left="0"/>
              <w:jc w:val="center"/>
              <w:rPr>
                <w:rFonts w:ascii="Times New Roman" w:hAnsi="Times New Roman" w:eastAsia="宋体" w:cs="Times New Roman"/>
                <w:w w:val="99"/>
                <w:sz w:val="21"/>
                <w:szCs w:val="21"/>
                <w:lang w:eastAsia="en-US"/>
              </w:rPr>
            </w:pPr>
            <w:r>
              <w:rPr>
                <w:rFonts w:ascii="Times New Roman" w:hAnsi="Times New Roman" w:eastAsia="宋体" w:cs="Times New Roman"/>
                <w:w w:val="99"/>
                <w:sz w:val="21"/>
                <w:szCs w:val="21"/>
                <w:lang w:eastAsia="en-US"/>
              </w:rPr>
              <w:t>/</w:t>
            </w:r>
          </w:p>
        </w:tc>
        <w:tc>
          <w:tcPr>
            <w:tcW w:w="1143" w:type="dxa"/>
            <w:tcMar>
              <w:left w:w="108" w:type="dxa"/>
              <w:right w:w="108" w:type="dxa"/>
            </w:tcMar>
            <w:vAlign w:val="center"/>
          </w:tcPr>
          <w:p w14:paraId="61D1EAA9">
            <w:pPr>
              <w:pStyle w:val="126"/>
              <w:ind w:left="0" w:leftChars="0" w:firstLine="0" w:firstLineChars="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val="en-US" w:eastAsia="zh-CN"/>
              </w:rPr>
              <w:t>0.0044</w:t>
            </w:r>
          </w:p>
        </w:tc>
      </w:tr>
      <w:tr w14:paraId="713FA50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706" w:type="dxa"/>
            <w:gridSpan w:val="3"/>
            <w:vMerge w:val="continue"/>
            <w:tcMar>
              <w:left w:w="108" w:type="dxa"/>
              <w:right w:w="108" w:type="dxa"/>
            </w:tcMar>
            <w:vAlign w:val="center"/>
          </w:tcPr>
          <w:p w14:paraId="68F01F9A">
            <w:pPr>
              <w:pStyle w:val="126"/>
              <w:ind w:left="0"/>
              <w:jc w:val="center"/>
              <w:rPr>
                <w:rFonts w:ascii="Times New Roman" w:hAnsi="Times New Roman" w:eastAsia="宋体" w:cs="Times New Roman"/>
                <w:sz w:val="21"/>
                <w:szCs w:val="21"/>
                <w:lang w:eastAsia="en-US"/>
              </w:rPr>
            </w:pPr>
          </w:p>
        </w:tc>
        <w:tc>
          <w:tcPr>
            <w:tcW w:w="3407" w:type="dxa"/>
            <w:gridSpan w:val="2"/>
            <w:tcMar>
              <w:left w:w="108" w:type="dxa"/>
              <w:right w:w="108" w:type="dxa"/>
            </w:tcMar>
            <w:vAlign w:val="center"/>
          </w:tcPr>
          <w:p w14:paraId="5EF95353">
            <w:pPr>
              <w:pStyle w:val="126"/>
              <w:ind w:left="0" w:leftChars="0" w:firstLine="0" w:firstLineChars="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1276" w:type="dxa"/>
            <w:tcMar>
              <w:left w:w="108" w:type="dxa"/>
              <w:right w:w="108" w:type="dxa"/>
            </w:tcMar>
            <w:vAlign w:val="center"/>
          </w:tcPr>
          <w:p w14:paraId="1DFE8513">
            <w:pPr>
              <w:pStyle w:val="126"/>
              <w:ind w:left="0"/>
              <w:jc w:val="center"/>
              <w:rPr>
                <w:rFonts w:ascii="Times New Roman" w:hAnsi="Times New Roman" w:eastAsia="宋体" w:cs="Times New Roman"/>
                <w:w w:val="99"/>
                <w:sz w:val="21"/>
                <w:szCs w:val="21"/>
                <w:lang w:eastAsia="en-US"/>
              </w:rPr>
            </w:pPr>
            <w:r>
              <w:rPr>
                <w:rFonts w:ascii="Times New Roman" w:hAnsi="Times New Roman" w:eastAsia="宋体" w:cs="Times New Roman"/>
                <w:w w:val="99"/>
                <w:sz w:val="21"/>
                <w:szCs w:val="21"/>
                <w:lang w:eastAsia="en-US"/>
              </w:rPr>
              <w:t>/</w:t>
            </w:r>
          </w:p>
        </w:tc>
        <w:tc>
          <w:tcPr>
            <w:tcW w:w="1143" w:type="dxa"/>
            <w:tcMar>
              <w:left w:w="108" w:type="dxa"/>
              <w:right w:w="108" w:type="dxa"/>
            </w:tcMar>
            <w:vAlign w:val="center"/>
          </w:tcPr>
          <w:p w14:paraId="4843EF49">
            <w:pPr>
              <w:pStyle w:val="126"/>
              <w:ind w:left="0" w:leftChars="0" w:firstLine="0" w:firstLineChars="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val="en-US" w:eastAsia="zh-CN"/>
              </w:rPr>
              <w:t>0.00002</w:t>
            </w:r>
          </w:p>
        </w:tc>
      </w:tr>
    </w:tbl>
    <w:p w14:paraId="43A508AE">
      <w:pPr>
        <w:ind w:firstLine="480"/>
      </w:pPr>
    </w:p>
    <w:p w14:paraId="0275F519">
      <w:pPr>
        <w:ind w:firstLine="480"/>
      </w:pPr>
      <w:r>
        <w:t>（</w:t>
      </w:r>
      <w:r>
        <w:rPr>
          <w:rFonts w:hint="eastAsia"/>
        </w:rPr>
        <w:t>3</w:t>
      </w:r>
      <w:r>
        <w:t>）大气污染物</w:t>
      </w:r>
      <w:r>
        <w:rPr>
          <w:rFonts w:hint="eastAsia"/>
        </w:rPr>
        <w:t>总</w:t>
      </w:r>
      <w:r>
        <w:t>年排放量核算</w:t>
      </w:r>
    </w:p>
    <w:p w14:paraId="02487A9B">
      <w:pPr>
        <w:ind w:firstLine="480"/>
      </w:pPr>
      <w:r>
        <w:rPr>
          <w:rFonts w:hint="eastAsia"/>
        </w:rPr>
        <w:t>本项目</w:t>
      </w:r>
      <w:r>
        <w:t>大气污染物年排放量核算见</w:t>
      </w:r>
      <w:r>
        <w:rPr>
          <w:rFonts w:hint="eastAsia"/>
        </w:rPr>
        <w:t>下表</w:t>
      </w:r>
      <w:r>
        <w:t>。</w:t>
      </w:r>
    </w:p>
    <w:p w14:paraId="31943A7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5.2-10</w:t>
      </w:r>
      <w:r>
        <w:rPr>
          <w:rFonts w:hint="eastAsia" w:ascii="Times New Roman" w:hAnsi="Times New Roman"/>
          <w:b/>
          <w:bCs/>
        </w:rPr>
        <w:t xml:space="preserve">    大气污染物年排放量核算表</w:t>
      </w:r>
    </w:p>
    <w:tbl>
      <w:tblPr>
        <w:tblStyle w:val="125"/>
        <w:tblW w:w="5035"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54"/>
        <w:gridCol w:w="3118"/>
        <w:gridCol w:w="3422"/>
      </w:tblGrid>
      <w:tr w14:paraId="215EEE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1850" w:type="dxa"/>
            <w:tcBorders>
              <w:bottom w:val="single" w:color="000000" w:sz="4" w:space="0"/>
              <w:right w:val="single" w:color="000000" w:sz="4" w:space="0"/>
            </w:tcBorders>
            <w:vAlign w:val="center"/>
          </w:tcPr>
          <w:p w14:paraId="7901F4DE">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序号</w:t>
            </w:r>
          </w:p>
        </w:tc>
        <w:tc>
          <w:tcPr>
            <w:tcW w:w="3111" w:type="dxa"/>
            <w:tcBorders>
              <w:left w:val="single" w:color="000000" w:sz="4" w:space="0"/>
              <w:bottom w:val="single" w:color="000000" w:sz="4" w:space="0"/>
              <w:right w:val="single" w:color="000000" w:sz="4" w:space="0"/>
            </w:tcBorders>
            <w:vAlign w:val="center"/>
          </w:tcPr>
          <w:p w14:paraId="5B1BF37D">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污染物</w:t>
            </w:r>
          </w:p>
        </w:tc>
        <w:tc>
          <w:tcPr>
            <w:tcW w:w="3414" w:type="dxa"/>
            <w:tcBorders>
              <w:left w:val="single" w:color="000000" w:sz="4" w:space="0"/>
              <w:bottom w:val="single" w:color="000000" w:sz="4" w:space="0"/>
            </w:tcBorders>
            <w:vAlign w:val="center"/>
          </w:tcPr>
          <w:p w14:paraId="5A58F294">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年排放量（t/a）</w:t>
            </w:r>
          </w:p>
        </w:tc>
      </w:tr>
      <w:tr w14:paraId="7DE8B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1850" w:type="dxa"/>
            <w:tcBorders>
              <w:top w:val="single" w:color="000000" w:sz="4" w:space="0"/>
              <w:bottom w:val="single" w:color="000000" w:sz="4" w:space="0"/>
              <w:right w:val="single" w:color="000000" w:sz="4" w:space="0"/>
            </w:tcBorders>
            <w:vAlign w:val="center"/>
          </w:tcPr>
          <w:p w14:paraId="51EBFE8A">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1</w:t>
            </w:r>
          </w:p>
        </w:tc>
        <w:tc>
          <w:tcPr>
            <w:tcW w:w="3111" w:type="dxa"/>
            <w:tcBorders>
              <w:top w:val="single" w:color="000000" w:sz="4" w:space="0"/>
              <w:left w:val="single" w:color="000000" w:sz="4" w:space="0"/>
              <w:bottom w:val="single" w:color="000000" w:sz="4" w:space="0"/>
              <w:right w:val="single" w:color="000000" w:sz="4" w:space="0"/>
            </w:tcBorders>
            <w:vAlign w:val="center"/>
          </w:tcPr>
          <w:p w14:paraId="6590E546">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硫酸雾</w:t>
            </w:r>
          </w:p>
        </w:tc>
        <w:tc>
          <w:tcPr>
            <w:tcW w:w="3414" w:type="dxa"/>
            <w:tcBorders>
              <w:top w:val="single" w:color="000000" w:sz="4" w:space="0"/>
              <w:left w:val="single" w:color="000000" w:sz="4" w:space="0"/>
              <w:bottom w:val="single" w:color="000000" w:sz="4" w:space="0"/>
            </w:tcBorders>
            <w:vAlign w:val="center"/>
          </w:tcPr>
          <w:p w14:paraId="02B892EA">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0.4669</w:t>
            </w:r>
          </w:p>
        </w:tc>
      </w:tr>
      <w:tr w14:paraId="6E396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1850" w:type="dxa"/>
            <w:tcBorders>
              <w:top w:val="single" w:color="000000" w:sz="4" w:space="0"/>
              <w:bottom w:val="single" w:color="000000" w:sz="4" w:space="0"/>
              <w:right w:val="single" w:color="000000" w:sz="4" w:space="0"/>
            </w:tcBorders>
            <w:vAlign w:val="center"/>
          </w:tcPr>
          <w:p w14:paraId="60702B3D">
            <w:pPr>
              <w:pStyle w:val="126"/>
              <w:ind w:left="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w w:val="99"/>
                <w:sz w:val="21"/>
                <w:szCs w:val="21"/>
                <w:lang w:val="en-US" w:eastAsia="zh-CN"/>
              </w:rPr>
              <w:t>2</w:t>
            </w:r>
          </w:p>
        </w:tc>
        <w:tc>
          <w:tcPr>
            <w:tcW w:w="31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B760">
            <w:pPr>
              <w:pStyle w:val="126"/>
              <w:ind w:left="0" w:leftChars="0" w:firstLine="0" w:firstLineChars="0"/>
              <w:jc w:val="center"/>
              <w:rPr>
                <w:rFonts w:ascii="Times New Roman" w:hAnsi="Times New Roman" w:eastAsia="宋体" w:cs="Times New Roman"/>
                <w:sz w:val="21"/>
                <w:szCs w:val="21"/>
                <w:lang w:val="en-US" w:eastAsia="en-US" w:bidi="ar-SA"/>
              </w:rPr>
            </w:pPr>
            <w:r>
              <w:rPr>
                <w:rFonts w:ascii="Times New Roman" w:hAnsi="Times New Roman" w:eastAsia="宋体" w:cs="Times New Roman"/>
                <w:sz w:val="21"/>
                <w:szCs w:val="21"/>
                <w:lang w:eastAsia="en-US"/>
              </w:rPr>
              <w:t>NH</w:t>
            </w:r>
            <w:r>
              <w:rPr>
                <w:rFonts w:ascii="Times New Roman" w:hAnsi="Times New Roman" w:eastAsia="宋体" w:cs="Times New Roman"/>
                <w:sz w:val="21"/>
                <w:szCs w:val="21"/>
                <w:vertAlign w:val="subscript"/>
                <w:lang w:eastAsia="en-US"/>
              </w:rPr>
              <w:t>3</w:t>
            </w:r>
          </w:p>
        </w:tc>
        <w:tc>
          <w:tcPr>
            <w:tcW w:w="3414" w:type="dxa"/>
            <w:tcBorders>
              <w:top w:val="single" w:color="000000" w:sz="4" w:space="0"/>
              <w:left w:val="single" w:color="000000" w:sz="4" w:space="0"/>
              <w:bottom w:val="single" w:color="000000" w:sz="4" w:space="0"/>
            </w:tcBorders>
            <w:shd w:val="clear" w:color="auto" w:fill="auto"/>
            <w:vAlign w:val="center"/>
          </w:tcPr>
          <w:p w14:paraId="5682AD26">
            <w:pPr>
              <w:pStyle w:val="126"/>
              <w:ind w:left="0" w:leftChars="0" w:firstLine="0" w:firstLineChars="0"/>
              <w:jc w:val="center"/>
              <w:rPr>
                <w:rFonts w:hint="default" w:ascii="Times New Roman" w:hAnsi="Times New Roman" w:eastAsia="宋体" w:cs="Times New Roman"/>
                <w:sz w:val="21"/>
                <w:szCs w:val="21"/>
                <w:lang w:val="en-US" w:eastAsia="en-US" w:bidi="ar-SA"/>
              </w:rPr>
            </w:pPr>
            <w:r>
              <w:rPr>
                <w:rFonts w:hint="eastAsia" w:ascii="Times New Roman" w:hAnsi="Times New Roman" w:eastAsia="宋体" w:cs="Times New Roman"/>
                <w:sz w:val="21"/>
                <w:szCs w:val="21"/>
                <w:lang w:val="en-US" w:eastAsia="zh-CN"/>
              </w:rPr>
              <w:t>0.0127</w:t>
            </w:r>
          </w:p>
        </w:tc>
      </w:tr>
      <w:tr w14:paraId="68599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1850" w:type="dxa"/>
            <w:tcBorders>
              <w:top w:val="single" w:color="000000" w:sz="4" w:space="0"/>
              <w:bottom w:val="single" w:color="000000" w:sz="4" w:space="0"/>
              <w:right w:val="single" w:color="000000" w:sz="4" w:space="0"/>
            </w:tcBorders>
            <w:vAlign w:val="center"/>
          </w:tcPr>
          <w:p w14:paraId="2BD993FA">
            <w:pPr>
              <w:pStyle w:val="126"/>
              <w:ind w:left="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val="en-US" w:eastAsia="zh-CN"/>
              </w:rPr>
              <w:t>3</w:t>
            </w:r>
          </w:p>
        </w:tc>
        <w:tc>
          <w:tcPr>
            <w:tcW w:w="31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9D95">
            <w:pPr>
              <w:pStyle w:val="126"/>
              <w:ind w:left="0" w:leftChars="0" w:firstLine="0" w:firstLineChars="0"/>
              <w:jc w:val="center"/>
              <w:rPr>
                <w:rFonts w:ascii="Times New Roman" w:hAnsi="Times New Roman" w:eastAsia="宋体" w:cs="Times New Roman"/>
                <w:sz w:val="21"/>
                <w:szCs w:val="21"/>
                <w:lang w:val="en-US" w:eastAsia="en-US" w:bidi="ar-SA"/>
              </w:rPr>
            </w:pPr>
            <w:r>
              <w:rPr>
                <w:rFonts w:ascii="Times New Roman" w:hAnsi="Times New Roman" w:eastAsia="宋体" w:cs="Times New Roman"/>
                <w:sz w:val="21"/>
                <w:szCs w:val="21"/>
                <w:lang w:eastAsia="en-US"/>
              </w:rPr>
              <w:t>H</w:t>
            </w:r>
            <w:r>
              <w:rPr>
                <w:rFonts w:ascii="Times New Roman" w:hAnsi="Times New Roman" w:eastAsia="宋体" w:cs="Times New Roman"/>
                <w:sz w:val="21"/>
                <w:szCs w:val="21"/>
                <w:vertAlign w:val="subscript"/>
                <w:lang w:eastAsia="en-US"/>
              </w:rPr>
              <w:t>2</w:t>
            </w:r>
            <w:r>
              <w:rPr>
                <w:rFonts w:ascii="Times New Roman" w:hAnsi="Times New Roman" w:eastAsia="宋体" w:cs="Times New Roman"/>
                <w:sz w:val="21"/>
                <w:szCs w:val="21"/>
                <w:lang w:eastAsia="en-US"/>
              </w:rPr>
              <w:t>S</w:t>
            </w:r>
          </w:p>
        </w:tc>
        <w:tc>
          <w:tcPr>
            <w:tcW w:w="3414" w:type="dxa"/>
            <w:tcBorders>
              <w:top w:val="single" w:color="000000" w:sz="4" w:space="0"/>
              <w:left w:val="single" w:color="000000" w:sz="4" w:space="0"/>
              <w:bottom w:val="single" w:color="000000" w:sz="4" w:space="0"/>
            </w:tcBorders>
            <w:shd w:val="clear" w:color="auto" w:fill="auto"/>
            <w:vAlign w:val="center"/>
          </w:tcPr>
          <w:p w14:paraId="2CC04D13">
            <w:pPr>
              <w:pStyle w:val="126"/>
              <w:ind w:left="0" w:leftChars="0" w:firstLine="0" w:firstLineChars="0"/>
              <w:jc w:val="center"/>
              <w:rPr>
                <w:rFonts w:hint="default" w:ascii="Times New Roman" w:hAnsi="Times New Roman" w:eastAsia="宋体" w:cs="Times New Roman"/>
                <w:sz w:val="21"/>
                <w:szCs w:val="21"/>
                <w:lang w:val="en-US" w:eastAsia="en-US" w:bidi="ar-SA"/>
              </w:rPr>
            </w:pPr>
            <w:r>
              <w:rPr>
                <w:rFonts w:hint="eastAsia" w:ascii="Times New Roman" w:hAnsi="Times New Roman" w:eastAsia="宋体" w:cs="Times New Roman"/>
                <w:sz w:val="21"/>
                <w:szCs w:val="21"/>
                <w:lang w:val="en-US" w:eastAsia="zh-CN"/>
              </w:rPr>
              <w:t>0.00006</w:t>
            </w:r>
          </w:p>
        </w:tc>
      </w:tr>
    </w:tbl>
    <w:p w14:paraId="3FC30F24">
      <w:pPr>
        <w:ind w:firstLine="480"/>
      </w:pPr>
      <w:r>
        <w:rPr>
          <w:rFonts w:hint="eastAsia"/>
        </w:rPr>
        <w:t>（4）非正常排放量核算</w:t>
      </w:r>
    </w:p>
    <w:p w14:paraId="3928BF1B">
      <w:pPr>
        <w:ind w:firstLine="480"/>
      </w:pPr>
      <w:r>
        <w:rPr>
          <w:rFonts w:hint="eastAsia"/>
        </w:rPr>
        <w:t>本项目非正常工况下大气污染物非正常排放量核算见下表。</w:t>
      </w:r>
    </w:p>
    <w:p w14:paraId="6B383F4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5.2-11</w:t>
      </w:r>
      <w:r>
        <w:rPr>
          <w:rFonts w:hint="eastAsia" w:ascii="Times New Roman" w:hAnsi="Times New Roman"/>
          <w:b/>
          <w:bCs/>
        </w:rPr>
        <w:t xml:space="preserve">    非正常工况时烟囱污染物排放情况一览表</w:t>
      </w:r>
    </w:p>
    <w:tbl>
      <w:tblPr>
        <w:tblStyle w:val="39"/>
        <w:tblW w:w="505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13"/>
        <w:gridCol w:w="1002"/>
        <w:gridCol w:w="1288"/>
        <w:gridCol w:w="1416"/>
        <w:gridCol w:w="880"/>
        <w:gridCol w:w="736"/>
        <w:gridCol w:w="1134"/>
        <w:gridCol w:w="961"/>
      </w:tblGrid>
      <w:tr w14:paraId="517D8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noWrap/>
            <w:vAlign w:val="center"/>
          </w:tcPr>
          <w:p w14:paraId="099ACCA4">
            <w:pPr>
              <w:spacing w:line="240" w:lineRule="auto"/>
              <w:ind w:firstLine="0" w:firstLineChars="0"/>
              <w:jc w:val="center"/>
              <w:rPr>
                <w:b/>
                <w:sz w:val="21"/>
                <w:szCs w:val="21"/>
              </w:rPr>
            </w:pPr>
            <w:r>
              <w:rPr>
                <w:b/>
                <w:sz w:val="21"/>
                <w:szCs w:val="21"/>
              </w:rPr>
              <w:t>非正常排放源</w:t>
            </w:r>
          </w:p>
        </w:tc>
        <w:tc>
          <w:tcPr>
            <w:tcW w:w="1000" w:type="dxa"/>
            <w:noWrap/>
            <w:vAlign w:val="center"/>
          </w:tcPr>
          <w:p w14:paraId="67C00727">
            <w:pPr>
              <w:spacing w:line="240" w:lineRule="auto"/>
              <w:ind w:firstLine="0" w:firstLineChars="0"/>
              <w:jc w:val="center"/>
              <w:rPr>
                <w:b/>
                <w:sz w:val="21"/>
                <w:szCs w:val="21"/>
              </w:rPr>
            </w:pPr>
            <w:r>
              <w:rPr>
                <w:b/>
                <w:sz w:val="21"/>
                <w:szCs w:val="21"/>
              </w:rPr>
              <w:t>非正常排放原因</w:t>
            </w:r>
          </w:p>
        </w:tc>
        <w:tc>
          <w:tcPr>
            <w:tcW w:w="1285" w:type="dxa"/>
            <w:noWrap/>
            <w:vAlign w:val="center"/>
          </w:tcPr>
          <w:p w14:paraId="4F0E4133">
            <w:pPr>
              <w:spacing w:line="240" w:lineRule="auto"/>
              <w:ind w:firstLine="0" w:firstLineChars="0"/>
              <w:jc w:val="center"/>
              <w:rPr>
                <w:b/>
                <w:sz w:val="21"/>
                <w:szCs w:val="21"/>
              </w:rPr>
            </w:pPr>
            <w:r>
              <w:rPr>
                <w:b/>
                <w:sz w:val="21"/>
                <w:szCs w:val="21"/>
              </w:rPr>
              <w:t>污染物</w:t>
            </w:r>
          </w:p>
        </w:tc>
        <w:tc>
          <w:tcPr>
            <w:tcW w:w="1413" w:type="dxa"/>
            <w:noWrap/>
            <w:vAlign w:val="center"/>
          </w:tcPr>
          <w:p w14:paraId="1F5247C3">
            <w:pPr>
              <w:spacing w:line="240" w:lineRule="auto"/>
              <w:ind w:firstLine="0" w:firstLineChars="0"/>
              <w:jc w:val="center"/>
              <w:rPr>
                <w:b/>
                <w:sz w:val="21"/>
                <w:szCs w:val="21"/>
              </w:rPr>
            </w:pPr>
            <w:r>
              <w:rPr>
                <w:b/>
                <w:sz w:val="21"/>
                <w:szCs w:val="21"/>
              </w:rPr>
              <w:t>非正常排放速率/（kg/h）</w:t>
            </w:r>
          </w:p>
        </w:tc>
        <w:tc>
          <w:tcPr>
            <w:tcW w:w="878" w:type="dxa"/>
            <w:noWrap/>
            <w:vAlign w:val="center"/>
          </w:tcPr>
          <w:p w14:paraId="04FA2A35">
            <w:pPr>
              <w:spacing w:line="240" w:lineRule="auto"/>
              <w:ind w:firstLine="0" w:firstLineChars="0"/>
              <w:jc w:val="center"/>
              <w:rPr>
                <w:b/>
                <w:sz w:val="21"/>
                <w:szCs w:val="21"/>
              </w:rPr>
            </w:pPr>
            <w:r>
              <w:rPr>
                <w:b/>
                <w:sz w:val="21"/>
                <w:szCs w:val="21"/>
              </w:rPr>
              <w:t>单次持续时间/h</w:t>
            </w:r>
          </w:p>
        </w:tc>
        <w:tc>
          <w:tcPr>
            <w:tcW w:w="734" w:type="dxa"/>
            <w:noWrap/>
            <w:vAlign w:val="center"/>
          </w:tcPr>
          <w:p w14:paraId="4ADFAB72">
            <w:pPr>
              <w:spacing w:line="240" w:lineRule="auto"/>
              <w:ind w:firstLine="0" w:firstLineChars="0"/>
              <w:jc w:val="center"/>
              <w:rPr>
                <w:b/>
                <w:sz w:val="21"/>
                <w:szCs w:val="21"/>
              </w:rPr>
            </w:pPr>
            <w:r>
              <w:rPr>
                <w:b/>
                <w:sz w:val="21"/>
                <w:szCs w:val="21"/>
              </w:rPr>
              <w:t>年发生频次/次</w:t>
            </w:r>
          </w:p>
        </w:tc>
        <w:tc>
          <w:tcPr>
            <w:tcW w:w="1131" w:type="dxa"/>
            <w:noWrap/>
            <w:vAlign w:val="center"/>
          </w:tcPr>
          <w:p w14:paraId="27236727">
            <w:pPr>
              <w:spacing w:line="240" w:lineRule="auto"/>
              <w:ind w:firstLine="0" w:firstLineChars="0"/>
              <w:jc w:val="center"/>
              <w:rPr>
                <w:b/>
                <w:sz w:val="21"/>
                <w:szCs w:val="21"/>
              </w:rPr>
            </w:pPr>
            <w:r>
              <w:rPr>
                <w:b/>
                <w:sz w:val="21"/>
                <w:szCs w:val="21"/>
              </w:rPr>
              <w:t>非正常排放量/（kg/a）</w:t>
            </w:r>
          </w:p>
        </w:tc>
        <w:tc>
          <w:tcPr>
            <w:tcW w:w="959" w:type="dxa"/>
            <w:noWrap/>
            <w:vAlign w:val="center"/>
          </w:tcPr>
          <w:p w14:paraId="5E08FF18">
            <w:pPr>
              <w:spacing w:line="240" w:lineRule="auto"/>
              <w:ind w:firstLine="0" w:firstLineChars="0"/>
              <w:jc w:val="center"/>
              <w:rPr>
                <w:b/>
                <w:sz w:val="21"/>
                <w:szCs w:val="21"/>
              </w:rPr>
            </w:pPr>
            <w:r>
              <w:rPr>
                <w:b/>
                <w:sz w:val="21"/>
                <w:szCs w:val="21"/>
              </w:rPr>
              <w:t>采取措施</w:t>
            </w:r>
          </w:p>
        </w:tc>
      </w:tr>
      <w:tr w14:paraId="1C4D86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noWrap/>
            <w:vAlign w:val="center"/>
          </w:tcPr>
          <w:p w14:paraId="79A8AB9E">
            <w:pPr>
              <w:spacing w:line="240" w:lineRule="auto"/>
              <w:ind w:firstLine="0" w:firstLineChars="0"/>
              <w:jc w:val="center"/>
              <w:rPr>
                <w:sz w:val="21"/>
                <w:szCs w:val="21"/>
              </w:rPr>
            </w:pPr>
            <w:r>
              <w:rPr>
                <w:sz w:val="21"/>
                <w:szCs w:val="21"/>
              </w:rPr>
              <w:t>排气筒DA001</w:t>
            </w:r>
          </w:p>
        </w:tc>
        <w:tc>
          <w:tcPr>
            <w:tcW w:w="1000" w:type="dxa"/>
            <w:vMerge w:val="restart"/>
            <w:noWrap/>
            <w:vAlign w:val="center"/>
          </w:tcPr>
          <w:p w14:paraId="2F38A8D0">
            <w:pPr>
              <w:spacing w:line="240" w:lineRule="auto"/>
              <w:ind w:firstLine="0" w:firstLineChars="0"/>
              <w:jc w:val="center"/>
              <w:rPr>
                <w:sz w:val="21"/>
                <w:szCs w:val="21"/>
              </w:rPr>
            </w:pPr>
            <w:r>
              <w:rPr>
                <w:sz w:val="21"/>
                <w:szCs w:val="21"/>
              </w:rPr>
              <w:t>污染物排放控制措施达不到应有效率，</w:t>
            </w:r>
            <w:r>
              <w:rPr>
                <w:rFonts w:hint="eastAsia"/>
                <w:sz w:val="21"/>
                <w:szCs w:val="21"/>
              </w:rPr>
              <w:t>按未进行处理折算</w:t>
            </w:r>
          </w:p>
        </w:tc>
        <w:tc>
          <w:tcPr>
            <w:tcW w:w="1285" w:type="dxa"/>
            <w:noWrap/>
            <w:vAlign w:val="center"/>
          </w:tcPr>
          <w:p w14:paraId="02C85C8C">
            <w:pPr>
              <w:spacing w:line="240" w:lineRule="auto"/>
              <w:ind w:firstLine="0" w:firstLineChars="0"/>
              <w:jc w:val="center"/>
              <w:rPr>
                <w:sz w:val="21"/>
                <w:szCs w:val="21"/>
              </w:rPr>
            </w:pPr>
            <w:r>
              <w:rPr>
                <w:rFonts w:hint="eastAsia"/>
                <w:sz w:val="21"/>
                <w:szCs w:val="21"/>
              </w:rPr>
              <w:t>硫酸雾</w:t>
            </w:r>
          </w:p>
        </w:tc>
        <w:tc>
          <w:tcPr>
            <w:tcW w:w="1413" w:type="dxa"/>
            <w:shd w:val="clear" w:color="auto" w:fill="auto"/>
            <w:noWrap/>
            <w:vAlign w:val="center"/>
          </w:tcPr>
          <w:p w14:paraId="2D18A2A5">
            <w:pPr>
              <w:spacing w:line="240" w:lineRule="auto"/>
              <w:ind w:firstLine="0" w:firstLineChars="0"/>
              <w:jc w:val="center"/>
              <w:rPr>
                <w:rFonts w:ascii="Times New Roman" w:hAnsi="Times New Roman" w:eastAsia="宋体" w:cs="Times New Roman"/>
                <w:sz w:val="21"/>
                <w:szCs w:val="21"/>
                <w:lang w:val="en-US" w:eastAsia="zh-CN" w:bidi="ar-SA"/>
              </w:rPr>
            </w:pPr>
            <w:r>
              <w:rPr>
                <w:rFonts w:hint="eastAsia"/>
                <w:sz w:val="21"/>
                <w:szCs w:val="21"/>
                <w:highlight w:val="none"/>
                <w:lang w:val="en-US" w:eastAsia="zh-CN"/>
              </w:rPr>
              <w:t>0.2076</w:t>
            </w:r>
          </w:p>
        </w:tc>
        <w:tc>
          <w:tcPr>
            <w:tcW w:w="878" w:type="dxa"/>
            <w:vMerge w:val="restart"/>
            <w:noWrap/>
            <w:vAlign w:val="center"/>
          </w:tcPr>
          <w:p w14:paraId="2661A96C">
            <w:pPr>
              <w:spacing w:line="240" w:lineRule="auto"/>
              <w:ind w:firstLine="0" w:firstLineChars="0"/>
              <w:jc w:val="center"/>
              <w:rPr>
                <w:sz w:val="21"/>
                <w:szCs w:val="21"/>
              </w:rPr>
            </w:pPr>
            <w:r>
              <w:rPr>
                <w:sz w:val="21"/>
                <w:szCs w:val="21"/>
              </w:rPr>
              <w:t>0.25</w:t>
            </w:r>
          </w:p>
        </w:tc>
        <w:tc>
          <w:tcPr>
            <w:tcW w:w="734" w:type="dxa"/>
            <w:vMerge w:val="restart"/>
            <w:noWrap/>
            <w:vAlign w:val="center"/>
          </w:tcPr>
          <w:p w14:paraId="4CBBD8AD">
            <w:pPr>
              <w:spacing w:line="240" w:lineRule="auto"/>
              <w:ind w:firstLine="0" w:firstLineChars="0"/>
              <w:jc w:val="center"/>
              <w:rPr>
                <w:sz w:val="21"/>
                <w:szCs w:val="21"/>
              </w:rPr>
            </w:pPr>
            <w:r>
              <w:rPr>
                <w:sz w:val="21"/>
                <w:szCs w:val="21"/>
              </w:rPr>
              <w:t>1</w:t>
            </w:r>
          </w:p>
        </w:tc>
        <w:tc>
          <w:tcPr>
            <w:tcW w:w="1131" w:type="dxa"/>
            <w:shd w:val="clear" w:color="auto" w:fill="auto"/>
            <w:noWrap/>
            <w:vAlign w:val="center"/>
          </w:tcPr>
          <w:p w14:paraId="448DFEB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0.0519</w:t>
            </w:r>
          </w:p>
        </w:tc>
        <w:tc>
          <w:tcPr>
            <w:tcW w:w="959" w:type="dxa"/>
            <w:vMerge w:val="restart"/>
            <w:noWrap/>
            <w:vAlign w:val="center"/>
          </w:tcPr>
          <w:p w14:paraId="67A3BAFE">
            <w:pPr>
              <w:spacing w:line="240" w:lineRule="auto"/>
              <w:ind w:firstLine="0" w:firstLineChars="0"/>
              <w:jc w:val="center"/>
              <w:rPr>
                <w:sz w:val="21"/>
                <w:szCs w:val="21"/>
              </w:rPr>
            </w:pPr>
            <w:r>
              <w:rPr>
                <w:sz w:val="21"/>
                <w:szCs w:val="21"/>
              </w:rPr>
              <w:t>产生废气的工序及时停止运行</w:t>
            </w:r>
          </w:p>
        </w:tc>
      </w:tr>
      <w:tr w14:paraId="5846F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noWrap/>
            <w:vAlign w:val="center"/>
          </w:tcPr>
          <w:p w14:paraId="0F8F178B">
            <w:pPr>
              <w:spacing w:line="240" w:lineRule="auto"/>
              <w:ind w:firstLine="0" w:firstLineChars="0"/>
              <w:jc w:val="center"/>
              <w:rPr>
                <w:sz w:val="21"/>
                <w:szCs w:val="21"/>
              </w:rPr>
            </w:pPr>
            <w:r>
              <w:rPr>
                <w:sz w:val="21"/>
                <w:szCs w:val="21"/>
              </w:rPr>
              <w:t>排气筒DA002</w:t>
            </w:r>
          </w:p>
        </w:tc>
        <w:tc>
          <w:tcPr>
            <w:tcW w:w="1000" w:type="dxa"/>
            <w:vMerge w:val="continue"/>
            <w:noWrap/>
            <w:vAlign w:val="center"/>
          </w:tcPr>
          <w:p w14:paraId="7B72A32D">
            <w:pPr>
              <w:spacing w:line="240" w:lineRule="auto"/>
              <w:ind w:firstLine="0" w:firstLineChars="0"/>
              <w:jc w:val="center"/>
              <w:rPr>
                <w:sz w:val="21"/>
                <w:szCs w:val="21"/>
              </w:rPr>
            </w:pPr>
          </w:p>
        </w:tc>
        <w:tc>
          <w:tcPr>
            <w:tcW w:w="1285" w:type="dxa"/>
            <w:noWrap/>
            <w:vAlign w:val="center"/>
          </w:tcPr>
          <w:p w14:paraId="365B3D5C">
            <w:pPr>
              <w:spacing w:line="240" w:lineRule="auto"/>
              <w:ind w:firstLine="0" w:firstLineChars="0"/>
              <w:jc w:val="center"/>
              <w:rPr>
                <w:sz w:val="21"/>
                <w:szCs w:val="21"/>
              </w:rPr>
            </w:pPr>
            <w:r>
              <w:rPr>
                <w:rFonts w:hint="eastAsia"/>
                <w:sz w:val="21"/>
                <w:szCs w:val="21"/>
              </w:rPr>
              <w:t>硫酸雾</w:t>
            </w:r>
          </w:p>
        </w:tc>
        <w:tc>
          <w:tcPr>
            <w:tcW w:w="1413" w:type="dxa"/>
            <w:shd w:val="clear" w:color="auto" w:fill="auto"/>
            <w:noWrap/>
            <w:vAlign w:val="center"/>
          </w:tcPr>
          <w:p w14:paraId="29669B4E">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color w:val="000000" w:themeColor="text1"/>
                <w:sz w:val="21"/>
                <w:szCs w:val="21"/>
                <w:highlight w:val="none"/>
                <w:lang w:val="en-US" w:eastAsia="zh-CN"/>
                <w14:textFill>
                  <w14:solidFill>
                    <w14:schemeClr w14:val="tx1"/>
                  </w14:solidFill>
                </w14:textFill>
              </w:rPr>
              <w:t>0.1027</w:t>
            </w:r>
          </w:p>
        </w:tc>
        <w:tc>
          <w:tcPr>
            <w:tcW w:w="878" w:type="dxa"/>
            <w:vMerge w:val="continue"/>
            <w:noWrap/>
            <w:vAlign w:val="center"/>
          </w:tcPr>
          <w:p w14:paraId="6D1789E0">
            <w:pPr>
              <w:spacing w:line="240" w:lineRule="auto"/>
              <w:ind w:firstLine="0" w:firstLineChars="0"/>
              <w:jc w:val="center"/>
              <w:rPr>
                <w:sz w:val="21"/>
                <w:szCs w:val="21"/>
              </w:rPr>
            </w:pPr>
          </w:p>
        </w:tc>
        <w:tc>
          <w:tcPr>
            <w:tcW w:w="734" w:type="dxa"/>
            <w:vMerge w:val="continue"/>
            <w:noWrap/>
            <w:vAlign w:val="center"/>
          </w:tcPr>
          <w:p w14:paraId="47EAE9E1">
            <w:pPr>
              <w:spacing w:line="240" w:lineRule="auto"/>
              <w:ind w:firstLine="0" w:firstLineChars="0"/>
              <w:jc w:val="center"/>
              <w:rPr>
                <w:sz w:val="21"/>
                <w:szCs w:val="21"/>
              </w:rPr>
            </w:pPr>
          </w:p>
        </w:tc>
        <w:tc>
          <w:tcPr>
            <w:tcW w:w="1131" w:type="dxa"/>
            <w:shd w:val="clear" w:color="auto" w:fill="auto"/>
            <w:noWrap/>
            <w:vAlign w:val="center"/>
          </w:tcPr>
          <w:p w14:paraId="1BFF49E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0.0257</w:t>
            </w:r>
          </w:p>
        </w:tc>
        <w:tc>
          <w:tcPr>
            <w:tcW w:w="959" w:type="dxa"/>
            <w:vMerge w:val="continue"/>
            <w:noWrap/>
            <w:vAlign w:val="center"/>
          </w:tcPr>
          <w:p w14:paraId="36E22831">
            <w:pPr>
              <w:spacing w:line="240" w:lineRule="auto"/>
              <w:ind w:firstLine="0" w:firstLineChars="0"/>
              <w:jc w:val="center"/>
              <w:rPr>
                <w:sz w:val="21"/>
                <w:szCs w:val="21"/>
              </w:rPr>
            </w:pPr>
          </w:p>
        </w:tc>
      </w:tr>
      <w:tr w14:paraId="6FAE7A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noWrap/>
            <w:vAlign w:val="center"/>
          </w:tcPr>
          <w:p w14:paraId="10C3C3E6">
            <w:pPr>
              <w:spacing w:line="240" w:lineRule="auto"/>
              <w:ind w:firstLine="0" w:firstLineChars="0"/>
              <w:jc w:val="center"/>
              <w:rPr>
                <w:sz w:val="21"/>
                <w:szCs w:val="21"/>
              </w:rPr>
            </w:pPr>
            <w:r>
              <w:rPr>
                <w:sz w:val="21"/>
                <w:szCs w:val="21"/>
              </w:rPr>
              <w:t>排气筒DA003</w:t>
            </w:r>
          </w:p>
        </w:tc>
        <w:tc>
          <w:tcPr>
            <w:tcW w:w="1000" w:type="dxa"/>
            <w:vMerge w:val="continue"/>
            <w:noWrap/>
            <w:vAlign w:val="center"/>
          </w:tcPr>
          <w:p w14:paraId="712487EC">
            <w:pPr>
              <w:spacing w:line="240" w:lineRule="auto"/>
              <w:ind w:firstLine="0" w:firstLineChars="0"/>
              <w:jc w:val="center"/>
              <w:rPr>
                <w:sz w:val="21"/>
                <w:szCs w:val="21"/>
              </w:rPr>
            </w:pPr>
          </w:p>
        </w:tc>
        <w:tc>
          <w:tcPr>
            <w:tcW w:w="1285" w:type="dxa"/>
            <w:noWrap/>
            <w:vAlign w:val="center"/>
          </w:tcPr>
          <w:p w14:paraId="65F4E88C">
            <w:pPr>
              <w:spacing w:line="240" w:lineRule="auto"/>
              <w:ind w:firstLine="0" w:firstLineChars="0"/>
              <w:jc w:val="center"/>
              <w:rPr>
                <w:sz w:val="21"/>
                <w:szCs w:val="21"/>
              </w:rPr>
            </w:pPr>
            <w:r>
              <w:rPr>
                <w:rFonts w:hint="eastAsia"/>
                <w:sz w:val="21"/>
                <w:szCs w:val="21"/>
              </w:rPr>
              <w:t>硫酸雾</w:t>
            </w:r>
          </w:p>
        </w:tc>
        <w:tc>
          <w:tcPr>
            <w:tcW w:w="1413" w:type="dxa"/>
            <w:shd w:val="clear" w:color="auto" w:fill="auto"/>
            <w:noWrap/>
            <w:vAlign w:val="center"/>
          </w:tcPr>
          <w:p w14:paraId="22F7455C">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color w:val="000000" w:themeColor="text1"/>
                <w:sz w:val="21"/>
                <w:szCs w:val="21"/>
                <w:highlight w:val="none"/>
                <w:lang w:val="en-US" w:eastAsia="zh-CN"/>
                <w14:textFill>
                  <w14:solidFill>
                    <w14:schemeClr w14:val="tx1"/>
                  </w14:solidFill>
                </w14:textFill>
              </w:rPr>
              <w:t>0.2282</w:t>
            </w:r>
          </w:p>
        </w:tc>
        <w:tc>
          <w:tcPr>
            <w:tcW w:w="878" w:type="dxa"/>
            <w:vMerge w:val="continue"/>
            <w:noWrap/>
            <w:vAlign w:val="center"/>
          </w:tcPr>
          <w:p w14:paraId="563ECE80">
            <w:pPr>
              <w:spacing w:line="240" w:lineRule="auto"/>
              <w:ind w:firstLine="0" w:firstLineChars="0"/>
              <w:jc w:val="center"/>
              <w:rPr>
                <w:sz w:val="21"/>
                <w:szCs w:val="21"/>
              </w:rPr>
            </w:pPr>
          </w:p>
        </w:tc>
        <w:tc>
          <w:tcPr>
            <w:tcW w:w="734" w:type="dxa"/>
            <w:vMerge w:val="continue"/>
            <w:noWrap/>
            <w:vAlign w:val="center"/>
          </w:tcPr>
          <w:p w14:paraId="1734B891">
            <w:pPr>
              <w:spacing w:line="240" w:lineRule="auto"/>
              <w:ind w:firstLine="0" w:firstLineChars="0"/>
              <w:jc w:val="center"/>
              <w:rPr>
                <w:sz w:val="21"/>
                <w:szCs w:val="21"/>
              </w:rPr>
            </w:pPr>
          </w:p>
        </w:tc>
        <w:tc>
          <w:tcPr>
            <w:tcW w:w="1131" w:type="dxa"/>
            <w:shd w:val="clear" w:color="auto" w:fill="auto"/>
            <w:noWrap/>
            <w:vAlign w:val="center"/>
          </w:tcPr>
          <w:p w14:paraId="37E4EFD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0.0571</w:t>
            </w:r>
          </w:p>
        </w:tc>
        <w:tc>
          <w:tcPr>
            <w:tcW w:w="959" w:type="dxa"/>
            <w:vMerge w:val="continue"/>
            <w:noWrap/>
            <w:vAlign w:val="center"/>
          </w:tcPr>
          <w:p w14:paraId="1EECCB20">
            <w:pPr>
              <w:spacing w:line="240" w:lineRule="auto"/>
              <w:ind w:firstLine="0" w:firstLineChars="0"/>
              <w:jc w:val="center"/>
              <w:rPr>
                <w:sz w:val="21"/>
                <w:szCs w:val="21"/>
              </w:rPr>
            </w:pPr>
          </w:p>
        </w:tc>
      </w:tr>
      <w:tr w14:paraId="33959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vMerge w:val="restart"/>
            <w:noWrap/>
            <w:vAlign w:val="center"/>
          </w:tcPr>
          <w:p w14:paraId="63E009FC">
            <w:pPr>
              <w:spacing w:line="240" w:lineRule="auto"/>
              <w:ind w:firstLine="0" w:firstLineChars="0"/>
              <w:jc w:val="center"/>
              <w:rPr>
                <w:rFonts w:hint="eastAsia" w:eastAsia="宋体"/>
                <w:sz w:val="21"/>
                <w:szCs w:val="21"/>
                <w:lang w:eastAsia="zh-CN"/>
              </w:rPr>
            </w:pPr>
            <w:r>
              <w:rPr>
                <w:sz w:val="21"/>
                <w:szCs w:val="21"/>
              </w:rPr>
              <w:t>排气筒DA00</w:t>
            </w:r>
            <w:r>
              <w:rPr>
                <w:rFonts w:hint="eastAsia"/>
                <w:sz w:val="21"/>
                <w:szCs w:val="21"/>
                <w:lang w:val="en-US" w:eastAsia="zh-CN"/>
              </w:rPr>
              <w:t>4</w:t>
            </w:r>
          </w:p>
        </w:tc>
        <w:tc>
          <w:tcPr>
            <w:tcW w:w="1000" w:type="dxa"/>
            <w:vMerge w:val="continue"/>
            <w:noWrap/>
            <w:vAlign w:val="center"/>
          </w:tcPr>
          <w:p w14:paraId="6EC30BB2">
            <w:pPr>
              <w:spacing w:line="240" w:lineRule="auto"/>
              <w:ind w:firstLine="0" w:firstLineChars="0"/>
              <w:jc w:val="center"/>
              <w:rPr>
                <w:sz w:val="21"/>
                <w:szCs w:val="21"/>
              </w:rPr>
            </w:pPr>
          </w:p>
        </w:tc>
        <w:tc>
          <w:tcPr>
            <w:tcW w:w="1285" w:type="dxa"/>
            <w:noWrap/>
            <w:vAlign w:val="center"/>
          </w:tcPr>
          <w:p w14:paraId="5D6B1E54">
            <w:pPr>
              <w:spacing w:line="240" w:lineRule="auto"/>
              <w:ind w:firstLine="0" w:firstLineChars="0"/>
              <w:jc w:val="center"/>
              <w:rPr>
                <w:sz w:val="21"/>
                <w:szCs w:val="21"/>
              </w:rPr>
            </w:pPr>
            <w:r>
              <w:rPr>
                <w:rFonts w:hint="eastAsia"/>
                <w:sz w:val="21"/>
                <w:szCs w:val="21"/>
                <w:lang w:val="pt-BR"/>
              </w:rPr>
              <w:t>H</w:t>
            </w:r>
            <w:r>
              <w:rPr>
                <w:sz w:val="21"/>
                <w:szCs w:val="21"/>
                <w:vertAlign w:val="subscript"/>
                <w:lang w:val="pt-BR"/>
              </w:rPr>
              <w:t>2</w:t>
            </w:r>
            <w:r>
              <w:rPr>
                <w:sz w:val="21"/>
                <w:szCs w:val="21"/>
                <w:lang w:val="pt-BR"/>
              </w:rPr>
              <w:t>S</w:t>
            </w:r>
          </w:p>
        </w:tc>
        <w:tc>
          <w:tcPr>
            <w:tcW w:w="1413" w:type="dxa"/>
            <w:shd w:val="clear" w:color="auto" w:fill="auto"/>
            <w:noWrap/>
            <w:vAlign w:val="center"/>
          </w:tcPr>
          <w:p w14:paraId="10D6B714">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0.00006</w:t>
            </w:r>
          </w:p>
        </w:tc>
        <w:tc>
          <w:tcPr>
            <w:tcW w:w="878" w:type="dxa"/>
            <w:vMerge w:val="continue"/>
            <w:noWrap/>
            <w:vAlign w:val="center"/>
          </w:tcPr>
          <w:p w14:paraId="02483438">
            <w:pPr>
              <w:spacing w:line="240" w:lineRule="auto"/>
              <w:ind w:firstLine="0" w:firstLineChars="0"/>
              <w:jc w:val="center"/>
              <w:rPr>
                <w:sz w:val="21"/>
                <w:szCs w:val="21"/>
              </w:rPr>
            </w:pPr>
          </w:p>
        </w:tc>
        <w:tc>
          <w:tcPr>
            <w:tcW w:w="734" w:type="dxa"/>
            <w:vMerge w:val="continue"/>
            <w:noWrap/>
            <w:vAlign w:val="center"/>
          </w:tcPr>
          <w:p w14:paraId="168B74B1">
            <w:pPr>
              <w:spacing w:line="240" w:lineRule="auto"/>
              <w:ind w:firstLine="0" w:firstLineChars="0"/>
              <w:jc w:val="center"/>
              <w:rPr>
                <w:sz w:val="21"/>
                <w:szCs w:val="21"/>
              </w:rPr>
            </w:pPr>
          </w:p>
        </w:tc>
        <w:tc>
          <w:tcPr>
            <w:tcW w:w="1131" w:type="dxa"/>
            <w:shd w:val="clear" w:color="auto" w:fill="auto"/>
            <w:noWrap/>
            <w:vAlign w:val="center"/>
          </w:tcPr>
          <w:p w14:paraId="5E3DE092">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0.00002</w:t>
            </w:r>
          </w:p>
        </w:tc>
        <w:tc>
          <w:tcPr>
            <w:tcW w:w="959" w:type="dxa"/>
            <w:vMerge w:val="continue"/>
            <w:noWrap/>
            <w:vAlign w:val="center"/>
          </w:tcPr>
          <w:p w14:paraId="0FADA4C3">
            <w:pPr>
              <w:spacing w:line="240" w:lineRule="auto"/>
              <w:ind w:firstLine="0" w:firstLineChars="0"/>
              <w:jc w:val="center"/>
              <w:rPr>
                <w:sz w:val="21"/>
                <w:szCs w:val="21"/>
              </w:rPr>
            </w:pPr>
          </w:p>
        </w:tc>
      </w:tr>
      <w:tr w14:paraId="29BED0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011" w:type="dxa"/>
            <w:vMerge w:val="continue"/>
            <w:noWrap/>
            <w:vAlign w:val="center"/>
          </w:tcPr>
          <w:p w14:paraId="5B27B108">
            <w:pPr>
              <w:spacing w:line="240" w:lineRule="auto"/>
              <w:ind w:firstLine="0" w:firstLineChars="0"/>
              <w:jc w:val="center"/>
              <w:rPr>
                <w:sz w:val="21"/>
                <w:szCs w:val="21"/>
              </w:rPr>
            </w:pPr>
          </w:p>
        </w:tc>
        <w:tc>
          <w:tcPr>
            <w:tcW w:w="1000" w:type="dxa"/>
            <w:vMerge w:val="continue"/>
            <w:noWrap/>
            <w:vAlign w:val="center"/>
          </w:tcPr>
          <w:p w14:paraId="13900D34">
            <w:pPr>
              <w:spacing w:line="240" w:lineRule="auto"/>
              <w:ind w:firstLine="0" w:firstLineChars="0"/>
              <w:jc w:val="center"/>
              <w:rPr>
                <w:sz w:val="21"/>
                <w:szCs w:val="21"/>
              </w:rPr>
            </w:pPr>
          </w:p>
        </w:tc>
        <w:tc>
          <w:tcPr>
            <w:tcW w:w="1285" w:type="dxa"/>
            <w:noWrap/>
            <w:vAlign w:val="center"/>
          </w:tcPr>
          <w:p w14:paraId="59E6EBA4">
            <w:pPr>
              <w:spacing w:line="240" w:lineRule="auto"/>
              <w:ind w:firstLine="0" w:firstLineChars="0"/>
              <w:jc w:val="center"/>
              <w:rPr>
                <w:sz w:val="21"/>
                <w:szCs w:val="21"/>
              </w:rPr>
            </w:pPr>
            <w:r>
              <w:rPr>
                <w:rFonts w:hint="eastAsia"/>
                <w:sz w:val="21"/>
                <w:szCs w:val="21"/>
                <w:lang w:val="pt-BR"/>
              </w:rPr>
              <w:t>N</w:t>
            </w:r>
            <w:r>
              <w:rPr>
                <w:sz w:val="21"/>
                <w:szCs w:val="21"/>
                <w:lang w:val="pt-BR"/>
              </w:rPr>
              <w:t>H</w:t>
            </w:r>
            <w:r>
              <w:rPr>
                <w:sz w:val="21"/>
                <w:szCs w:val="21"/>
                <w:vertAlign w:val="subscript"/>
                <w:lang w:val="pt-BR"/>
              </w:rPr>
              <w:t>3</w:t>
            </w:r>
          </w:p>
        </w:tc>
        <w:tc>
          <w:tcPr>
            <w:tcW w:w="1413" w:type="dxa"/>
            <w:shd w:val="clear" w:color="auto" w:fill="auto"/>
            <w:noWrap/>
            <w:vAlign w:val="center"/>
          </w:tcPr>
          <w:p w14:paraId="06615EC7">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0.0116</w:t>
            </w:r>
          </w:p>
        </w:tc>
        <w:tc>
          <w:tcPr>
            <w:tcW w:w="878" w:type="dxa"/>
            <w:vMerge w:val="continue"/>
            <w:noWrap/>
            <w:vAlign w:val="center"/>
          </w:tcPr>
          <w:p w14:paraId="1A959B84">
            <w:pPr>
              <w:spacing w:line="240" w:lineRule="auto"/>
              <w:ind w:firstLine="0" w:firstLineChars="0"/>
              <w:jc w:val="center"/>
              <w:rPr>
                <w:sz w:val="21"/>
                <w:szCs w:val="21"/>
              </w:rPr>
            </w:pPr>
          </w:p>
        </w:tc>
        <w:tc>
          <w:tcPr>
            <w:tcW w:w="734" w:type="dxa"/>
            <w:vMerge w:val="continue"/>
            <w:noWrap/>
            <w:vAlign w:val="center"/>
          </w:tcPr>
          <w:p w14:paraId="39A7813D">
            <w:pPr>
              <w:spacing w:line="240" w:lineRule="auto"/>
              <w:ind w:firstLine="0" w:firstLineChars="0"/>
              <w:jc w:val="center"/>
              <w:rPr>
                <w:sz w:val="21"/>
                <w:szCs w:val="21"/>
              </w:rPr>
            </w:pPr>
          </w:p>
        </w:tc>
        <w:tc>
          <w:tcPr>
            <w:tcW w:w="1131" w:type="dxa"/>
            <w:shd w:val="clear" w:color="auto" w:fill="auto"/>
            <w:noWrap/>
            <w:vAlign w:val="center"/>
          </w:tcPr>
          <w:p w14:paraId="6E590013">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sz w:val="21"/>
                <w:szCs w:val="21"/>
                <w:lang w:val="en-US" w:eastAsia="zh-CN"/>
              </w:rPr>
              <w:t>0.00290</w:t>
            </w:r>
          </w:p>
        </w:tc>
        <w:tc>
          <w:tcPr>
            <w:tcW w:w="959" w:type="dxa"/>
            <w:vMerge w:val="continue"/>
            <w:noWrap/>
            <w:vAlign w:val="center"/>
          </w:tcPr>
          <w:p w14:paraId="4E8849E6">
            <w:pPr>
              <w:spacing w:line="240" w:lineRule="auto"/>
              <w:ind w:firstLine="0" w:firstLineChars="0"/>
              <w:jc w:val="center"/>
              <w:rPr>
                <w:sz w:val="21"/>
                <w:szCs w:val="21"/>
              </w:rPr>
            </w:pPr>
          </w:p>
        </w:tc>
      </w:tr>
    </w:tbl>
    <w:p w14:paraId="5C03BE0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bookmarkStart w:id="547" w:name="_Toc108122547"/>
      <w:r>
        <w:rPr>
          <w:rFonts w:hint="default" w:ascii="Times New Roman" w:hAnsi="Times New Roman"/>
          <w:lang w:val="en-US" w:eastAsia="zh-CN"/>
        </w:rPr>
        <w:t>5.</w:t>
      </w:r>
      <w:r>
        <w:rPr>
          <w:rFonts w:hint="eastAsia" w:ascii="Times New Roman" w:hAnsi="Times New Roman"/>
          <w:lang w:val="en-US" w:eastAsia="zh-CN"/>
        </w:rPr>
        <w:t>2</w:t>
      </w:r>
      <w:r>
        <w:rPr>
          <w:rFonts w:hint="default" w:ascii="Times New Roman" w:hAnsi="Times New Roman"/>
          <w:lang w:val="en-US" w:eastAsia="zh-CN"/>
        </w:rPr>
        <w:t>.</w:t>
      </w:r>
      <w:r>
        <w:rPr>
          <w:rFonts w:hint="eastAsia" w:ascii="Times New Roman" w:hAnsi="Times New Roman"/>
          <w:lang w:val="en-US" w:eastAsia="zh-CN"/>
        </w:rPr>
        <w:t>2大气环境防护距离</w:t>
      </w:r>
    </w:p>
    <w:p w14:paraId="06342051">
      <w:pPr>
        <w:widowControl/>
        <w:adjustRightInd w:val="0"/>
        <w:snapToGrid w:val="0"/>
        <w:spacing w:line="500" w:lineRule="exact"/>
        <w:ind w:firstLine="480"/>
        <w:rPr>
          <w:rFonts w:hint="default" w:ascii="Times New Roman" w:hAnsi="Times New Roman" w:eastAsia="宋体" w:cs="Times New Roman"/>
          <w:color w:val="000000"/>
          <w:spacing w:val="0"/>
          <w:w w:val="100"/>
          <w:kern w:val="21"/>
          <w:position w:val="0"/>
          <w:sz w:val="24"/>
          <w:szCs w:val="24"/>
          <w:u w:val="none"/>
        </w:rPr>
      </w:pPr>
      <w:r>
        <w:rPr>
          <w:rFonts w:hint="default" w:ascii="Times New Roman" w:hAnsi="Times New Roman" w:eastAsia="宋体" w:cs="Times New Roman"/>
          <w:color w:val="000000"/>
          <w:spacing w:val="0"/>
          <w:w w:val="100"/>
          <w:kern w:val="21"/>
          <w:position w:val="0"/>
          <w:sz w:val="24"/>
          <w:szCs w:val="24"/>
          <w:u w:val="none"/>
        </w:rPr>
        <w:t>依据《环境影响评价技术导则-大气环境》（HJ2.2-2018）的规定，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w:t>
      </w:r>
    </w:p>
    <w:p w14:paraId="6FD720A2">
      <w:pPr>
        <w:widowControl/>
        <w:adjustRightInd w:val="0"/>
        <w:snapToGrid w:val="0"/>
        <w:spacing w:line="500" w:lineRule="exact"/>
        <w:ind w:firstLine="480"/>
        <w:rPr>
          <w:rFonts w:hint="default" w:ascii="Times New Roman" w:hAnsi="Times New Roman" w:eastAsia="宋体" w:cs="Times New Roman"/>
          <w:color w:val="000000"/>
          <w:spacing w:val="0"/>
          <w:w w:val="100"/>
          <w:kern w:val="21"/>
          <w:position w:val="0"/>
          <w:sz w:val="24"/>
          <w:szCs w:val="24"/>
          <w:u w:val="none"/>
        </w:rPr>
      </w:pPr>
      <w:r>
        <w:rPr>
          <w:rFonts w:hint="default" w:ascii="Times New Roman" w:hAnsi="Times New Roman" w:eastAsia="宋体" w:cs="Times New Roman"/>
          <w:color w:val="000000"/>
          <w:spacing w:val="0"/>
          <w:w w:val="100"/>
          <w:kern w:val="21"/>
          <w:position w:val="0"/>
          <w:sz w:val="24"/>
          <w:szCs w:val="24"/>
          <w:u w:val="none"/>
        </w:rPr>
        <w:t>根据本项目</w:t>
      </w:r>
      <w:r>
        <w:rPr>
          <w:rFonts w:hint="default" w:ascii="Times New Roman" w:hAnsi="Times New Roman" w:eastAsia="宋体" w:cs="Times New Roman"/>
          <w:color w:val="000000"/>
          <w:spacing w:val="0"/>
          <w:w w:val="100"/>
          <w:kern w:val="21"/>
          <w:position w:val="0"/>
          <w:sz w:val="24"/>
          <w:szCs w:val="24"/>
          <w:u w:val="none"/>
          <w:lang w:eastAsia="zh-CN"/>
        </w:rPr>
        <w:t>估算模式</w:t>
      </w:r>
      <w:r>
        <w:rPr>
          <w:rFonts w:hint="default" w:ascii="Times New Roman" w:hAnsi="Times New Roman" w:eastAsia="宋体" w:cs="Times New Roman"/>
          <w:color w:val="000000"/>
          <w:spacing w:val="0"/>
          <w:w w:val="100"/>
          <w:kern w:val="21"/>
          <w:position w:val="0"/>
          <w:sz w:val="24"/>
          <w:szCs w:val="24"/>
          <w:u w:val="none"/>
        </w:rPr>
        <w:t>预测结果：各厂界处废气污染物均未超过环境质量浓度限值，本项目不设大气环境防护距离。</w:t>
      </w:r>
    </w:p>
    <w:p w14:paraId="6AFB54E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w:t>
      </w:r>
      <w:r>
        <w:rPr>
          <w:rFonts w:hint="eastAsia" w:ascii="Times New Roman" w:hAnsi="Times New Roman"/>
          <w:lang w:val="en-US" w:eastAsia="zh-CN"/>
        </w:rPr>
        <w:t>2</w:t>
      </w:r>
      <w:r>
        <w:rPr>
          <w:rFonts w:hint="default" w:ascii="Times New Roman" w:hAnsi="Times New Roman"/>
          <w:lang w:val="en-US" w:eastAsia="zh-CN"/>
        </w:rPr>
        <w:t>.</w:t>
      </w:r>
      <w:r>
        <w:rPr>
          <w:rFonts w:hint="eastAsia" w:ascii="Times New Roman" w:hAnsi="Times New Roman"/>
          <w:lang w:val="en-US" w:eastAsia="zh-CN"/>
        </w:rPr>
        <w:t>3评价结论</w:t>
      </w:r>
    </w:p>
    <w:p w14:paraId="19CD9150">
      <w:pPr>
        <w:bidi w:val="0"/>
        <w:rPr>
          <w:rFonts w:hint="default" w:ascii="Times New Roman" w:hAnsi="Times New Roman" w:eastAsia="宋体" w:cs="Times New Roman"/>
          <w:color w:val="000000"/>
          <w:spacing w:val="0"/>
          <w:w w:val="100"/>
          <w:kern w:val="21"/>
          <w:position w:val="0"/>
          <w:sz w:val="24"/>
          <w:szCs w:val="24"/>
          <w:lang w:val="en-US" w:eastAsia="zh-CN" w:bidi="zh-CN"/>
        </w:rPr>
      </w:pPr>
      <w:r>
        <w:rPr>
          <w:rFonts w:hint="eastAsia"/>
        </w:rPr>
        <w:t>项目大气污染源排放的污染物经估算模式预测，本项目污染源占标</w:t>
      </w:r>
      <w:r>
        <w:rPr>
          <w:rFonts w:hint="eastAsia"/>
          <w:color w:val="000000" w:themeColor="text1"/>
          <w14:textFill>
            <w14:solidFill>
              <w14:schemeClr w14:val="tx1"/>
            </w14:solidFill>
          </w14:textFill>
        </w:rPr>
        <w:t>率为无组织排放中</w:t>
      </w:r>
      <w:r>
        <w:rPr>
          <w:rFonts w:hint="eastAsia"/>
          <w:color w:val="000000" w:themeColor="text1"/>
          <w:lang w:val="en-US" w:eastAsia="zh-CN"/>
          <w14:textFill>
            <w14:solidFill>
              <w14:schemeClr w14:val="tx1"/>
            </w14:solidFill>
          </w14:textFill>
        </w:rPr>
        <w:t>硫化氢</w:t>
      </w:r>
      <w:r>
        <w:rPr>
          <w:rFonts w:hint="eastAsia"/>
          <w:color w:val="000000" w:themeColor="text1"/>
          <w14:textFill>
            <w14:solidFill>
              <w14:schemeClr w14:val="tx1"/>
            </w14:solidFill>
          </w14:textFill>
        </w:rPr>
        <w:t>，最大落地浓度值为</w:t>
      </w:r>
      <w:r>
        <w:rPr>
          <w:rFonts w:hint="eastAsia"/>
          <w:color w:val="000000" w:themeColor="text1"/>
          <w:lang w:val="en-US" w:eastAsia="zh-CN"/>
          <w14:textFill>
            <w14:solidFill>
              <w14:schemeClr w14:val="tx1"/>
            </w14:solidFill>
          </w14:textFill>
        </w:rPr>
        <w:t>0.84</w:t>
      </w:r>
      <w:r>
        <w:rPr>
          <w:rFonts w:hint="eastAsia"/>
          <w:color w:val="000000" w:themeColor="text1"/>
          <w14:textFill>
            <w14:solidFill>
              <w14:schemeClr w14:val="tx1"/>
            </w14:solidFill>
          </w14:textFill>
        </w:rPr>
        <w:t>ug/m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、占标率为</w:t>
      </w:r>
      <w:r>
        <w:rPr>
          <w:rFonts w:hint="eastAsia"/>
          <w:color w:val="000000" w:themeColor="text1"/>
          <w:lang w:val="en-US" w:eastAsia="zh-CN"/>
          <w14:textFill>
            <w14:solidFill>
              <w14:schemeClr w14:val="tx1"/>
            </w14:solidFill>
          </w14:textFill>
        </w:rPr>
        <w:t>8.4</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spacing w:val="0"/>
          <w:w w:val="100"/>
          <w:kern w:val="21"/>
          <w:position w:val="0"/>
          <w:sz w:val="24"/>
          <w:szCs w:val="24"/>
          <w:lang w:val="zh-CN" w:eastAsia="zh-CN" w:bidi="zh-CN"/>
          <w14:textFill>
            <w14:solidFill>
              <w14:schemeClr w14:val="tx1"/>
            </w14:solidFill>
          </w14:textFill>
        </w:rPr>
        <w:t>本项目大气</w:t>
      </w:r>
      <w:r>
        <w:rPr>
          <w:rFonts w:hint="default" w:ascii="Times New Roman" w:hAnsi="Times New Roman" w:eastAsia="宋体" w:cs="Times New Roman"/>
          <w:color w:val="000000"/>
          <w:spacing w:val="0"/>
          <w:w w:val="100"/>
          <w:kern w:val="21"/>
          <w:position w:val="0"/>
          <w:sz w:val="24"/>
          <w:szCs w:val="24"/>
          <w:lang w:val="zh-CN" w:eastAsia="zh-CN" w:bidi="zh-CN"/>
        </w:rPr>
        <w:t>环境影响评价等级为二级，项目污染物占标率较低，项目运行对周边大气环境的影响可以接受。</w:t>
      </w:r>
    </w:p>
    <w:p w14:paraId="3A37502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w:t>
      </w:r>
      <w:r>
        <w:rPr>
          <w:rFonts w:hint="eastAsia" w:ascii="Times New Roman" w:hAnsi="Times New Roman"/>
          <w:lang w:val="en-US" w:eastAsia="zh-CN"/>
        </w:rPr>
        <w:t>2</w:t>
      </w:r>
      <w:r>
        <w:rPr>
          <w:rFonts w:hint="default" w:ascii="Times New Roman" w:hAnsi="Times New Roman"/>
          <w:lang w:val="en-US" w:eastAsia="zh-CN"/>
        </w:rPr>
        <w:t>.</w:t>
      </w:r>
      <w:r>
        <w:rPr>
          <w:rFonts w:hint="eastAsia" w:ascii="Times New Roman" w:hAnsi="Times New Roman"/>
          <w:lang w:val="en-US" w:eastAsia="zh-CN"/>
        </w:rPr>
        <w:t>4大气环境影响评价自查表</w:t>
      </w:r>
    </w:p>
    <w:p w14:paraId="5C5D182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5.2-12</w:t>
      </w:r>
      <w:r>
        <w:rPr>
          <w:rFonts w:hint="eastAsia" w:ascii="Times New Roman" w:hAnsi="Times New Roman"/>
          <w:b/>
          <w:bCs/>
        </w:rPr>
        <w:t xml:space="preserve">    建设项目大气环境影响评价自查表</w:t>
      </w:r>
    </w:p>
    <w:tbl>
      <w:tblPr>
        <w:tblStyle w:val="39"/>
        <w:tblW w:w="84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17"/>
        <w:gridCol w:w="1264"/>
        <w:gridCol w:w="1025"/>
        <w:gridCol w:w="322"/>
        <w:gridCol w:w="81"/>
        <w:gridCol w:w="388"/>
        <w:gridCol w:w="72"/>
        <w:gridCol w:w="726"/>
        <w:gridCol w:w="344"/>
        <w:gridCol w:w="268"/>
        <w:gridCol w:w="10"/>
        <w:gridCol w:w="86"/>
        <w:gridCol w:w="588"/>
        <w:gridCol w:w="308"/>
        <w:gridCol w:w="387"/>
        <w:gridCol w:w="688"/>
        <w:gridCol w:w="869"/>
        <w:gridCol w:w="385"/>
      </w:tblGrid>
      <w:tr w14:paraId="0446BF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81" w:type="dxa"/>
            <w:gridSpan w:val="2"/>
            <w:noWrap w:val="0"/>
            <w:vAlign w:val="center"/>
          </w:tcPr>
          <w:p w14:paraId="74CFBB3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b/>
                <w:bCs/>
                <w:u w:val="none"/>
                <w:lang w:val="en-US" w:eastAsia="zh-CN"/>
              </w:rPr>
            </w:pPr>
            <w:r>
              <w:rPr>
                <w:rFonts w:hint="default" w:ascii="Times New Roman" w:hAnsi="Times New Roman" w:cs="Times New Roman"/>
                <w:b/>
                <w:bCs/>
                <w:u w:val="none"/>
                <w:lang w:val="en-US" w:eastAsia="zh-CN"/>
              </w:rPr>
              <w:t>工作内容</w:t>
            </w:r>
          </w:p>
        </w:tc>
        <w:tc>
          <w:tcPr>
            <w:tcW w:w="6547" w:type="dxa"/>
            <w:gridSpan w:val="16"/>
            <w:noWrap w:val="0"/>
            <w:vAlign w:val="center"/>
          </w:tcPr>
          <w:p w14:paraId="51580E1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b/>
                <w:bCs/>
                <w:u w:val="none"/>
                <w:lang w:val="en-US" w:eastAsia="zh-CN"/>
              </w:rPr>
            </w:pPr>
            <w:r>
              <w:rPr>
                <w:rFonts w:hint="default" w:ascii="Times New Roman" w:hAnsi="Times New Roman" w:cs="Times New Roman"/>
                <w:b/>
                <w:bCs/>
                <w:u w:val="none"/>
                <w:lang w:val="en-US" w:eastAsia="zh-CN"/>
              </w:rPr>
              <w:t>自查项目</w:t>
            </w:r>
          </w:p>
        </w:tc>
      </w:tr>
      <w:tr w14:paraId="1B116E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restart"/>
            <w:noWrap w:val="0"/>
            <w:vAlign w:val="center"/>
          </w:tcPr>
          <w:p w14:paraId="7C8B866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评价等级与范围</w:t>
            </w:r>
          </w:p>
        </w:tc>
        <w:tc>
          <w:tcPr>
            <w:tcW w:w="1264" w:type="dxa"/>
            <w:noWrap w:val="0"/>
            <w:vAlign w:val="center"/>
          </w:tcPr>
          <w:p w14:paraId="6F21BD7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评价等级</w:t>
            </w:r>
          </w:p>
        </w:tc>
        <w:tc>
          <w:tcPr>
            <w:tcW w:w="2614" w:type="dxa"/>
            <w:gridSpan w:val="6"/>
            <w:noWrap w:val="0"/>
            <w:vAlign w:val="center"/>
          </w:tcPr>
          <w:p w14:paraId="3013E47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一级□</w:t>
            </w:r>
          </w:p>
        </w:tc>
        <w:tc>
          <w:tcPr>
            <w:tcW w:w="2679" w:type="dxa"/>
            <w:gridSpan w:val="8"/>
            <w:noWrap w:val="0"/>
            <w:vAlign w:val="center"/>
          </w:tcPr>
          <w:p w14:paraId="68650DB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二级</w:t>
            </w:r>
            <w:r>
              <w:rPr>
                <w:rFonts w:hint="default" w:ascii="Times New Roman" w:hAnsi="Times New Roman" w:cs="Times New Roman"/>
                <w:u w:val="none"/>
                <w:lang w:val="en-US" w:eastAsia="zh-CN"/>
              </w:rPr>
              <w:sym w:font="Wingdings 2" w:char="0052"/>
            </w:r>
          </w:p>
        </w:tc>
        <w:tc>
          <w:tcPr>
            <w:tcW w:w="1254" w:type="dxa"/>
            <w:gridSpan w:val="2"/>
            <w:noWrap w:val="0"/>
            <w:vAlign w:val="center"/>
          </w:tcPr>
          <w:p w14:paraId="55C0B20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三级□</w:t>
            </w:r>
          </w:p>
        </w:tc>
      </w:tr>
      <w:tr w14:paraId="15BDE2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4D232B6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00A8278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评价范围</w:t>
            </w:r>
          </w:p>
        </w:tc>
        <w:tc>
          <w:tcPr>
            <w:tcW w:w="2614" w:type="dxa"/>
            <w:gridSpan w:val="6"/>
            <w:noWrap w:val="0"/>
            <w:vAlign w:val="center"/>
          </w:tcPr>
          <w:p w14:paraId="214790C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边长=50km□</w:t>
            </w:r>
          </w:p>
        </w:tc>
        <w:tc>
          <w:tcPr>
            <w:tcW w:w="2679" w:type="dxa"/>
            <w:gridSpan w:val="8"/>
            <w:noWrap w:val="0"/>
            <w:vAlign w:val="center"/>
          </w:tcPr>
          <w:p w14:paraId="7111D59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边长5～50km□</w:t>
            </w:r>
          </w:p>
        </w:tc>
        <w:tc>
          <w:tcPr>
            <w:tcW w:w="1254" w:type="dxa"/>
            <w:gridSpan w:val="2"/>
            <w:noWrap w:val="0"/>
            <w:vAlign w:val="center"/>
          </w:tcPr>
          <w:p w14:paraId="7487E01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边长=5km</w:t>
            </w:r>
            <w:r>
              <w:rPr>
                <w:rFonts w:hint="default" w:ascii="Times New Roman" w:hAnsi="Times New Roman" w:cs="Times New Roman"/>
                <w:u w:val="none"/>
                <w:lang w:val="en-US" w:eastAsia="zh-CN"/>
              </w:rPr>
              <w:sym w:font="Wingdings 2" w:char="0052"/>
            </w:r>
          </w:p>
        </w:tc>
      </w:tr>
      <w:tr w14:paraId="75B93C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restart"/>
            <w:noWrap w:val="0"/>
            <w:vAlign w:val="center"/>
          </w:tcPr>
          <w:p w14:paraId="33D8770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评价因子</w:t>
            </w:r>
          </w:p>
        </w:tc>
        <w:tc>
          <w:tcPr>
            <w:tcW w:w="1264" w:type="dxa"/>
            <w:noWrap w:val="0"/>
            <w:vAlign w:val="center"/>
          </w:tcPr>
          <w:p w14:paraId="31D25A7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SO</w:t>
            </w:r>
            <w:r>
              <w:rPr>
                <w:rFonts w:hint="default" w:ascii="Times New Roman" w:hAnsi="Times New Roman" w:cs="Times New Roman"/>
                <w:u w:val="none"/>
                <w:vertAlign w:val="subscript"/>
                <w:lang w:val="en-US" w:eastAsia="zh-CN"/>
              </w:rPr>
              <w:t>2</w:t>
            </w:r>
            <w:r>
              <w:rPr>
                <w:rFonts w:hint="default" w:ascii="Times New Roman" w:hAnsi="Times New Roman" w:cs="Times New Roman"/>
                <w:u w:val="none"/>
                <w:lang w:val="en-US" w:eastAsia="zh-CN"/>
              </w:rPr>
              <w:t>+NOx排放量</w:t>
            </w:r>
          </w:p>
        </w:tc>
        <w:tc>
          <w:tcPr>
            <w:tcW w:w="1347" w:type="dxa"/>
            <w:gridSpan w:val="2"/>
            <w:noWrap w:val="0"/>
            <w:vAlign w:val="center"/>
          </w:tcPr>
          <w:p w14:paraId="0BDCAB4A">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≥2000t/a□</w:t>
            </w:r>
          </w:p>
        </w:tc>
        <w:tc>
          <w:tcPr>
            <w:tcW w:w="3946" w:type="dxa"/>
            <w:gridSpan w:val="12"/>
            <w:noWrap w:val="0"/>
            <w:vAlign w:val="center"/>
          </w:tcPr>
          <w:p w14:paraId="04C5946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500~2000t/a□</w:t>
            </w:r>
          </w:p>
        </w:tc>
        <w:tc>
          <w:tcPr>
            <w:tcW w:w="1254" w:type="dxa"/>
            <w:gridSpan w:val="2"/>
            <w:noWrap w:val="0"/>
            <w:vAlign w:val="center"/>
          </w:tcPr>
          <w:p w14:paraId="21DC9A6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﹤500t/a</w:t>
            </w:r>
            <w:r>
              <w:rPr>
                <w:rFonts w:hint="default" w:ascii="Times New Roman" w:hAnsi="Times New Roman" w:cs="Times New Roman"/>
                <w:u w:val="none"/>
                <w:lang w:val="en-US" w:eastAsia="zh-CN"/>
              </w:rPr>
              <w:sym w:font="Wingdings 2" w:char="0052"/>
            </w:r>
          </w:p>
        </w:tc>
      </w:tr>
      <w:tr w14:paraId="7356B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10BD6E3A">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1249441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评价因子</w:t>
            </w:r>
          </w:p>
        </w:tc>
        <w:tc>
          <w:tcPr>
            <w:tcW w:w="4218" w:type="dxa"/>
            <w:gridSpan w:val="12"/>
            <w:noWrap w:val="0"/>
            <w:vAlign w:val="center"/>
          </w:tcPr>
          <w:p w14:paraId="7BF7885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left"/>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基本污染物（颗粒物、氮氧化物、二氧化硫、一氧化碳、臭氧）其他污染物(硫酸雾、</w:t>
            </w:r>
            <w:r>
              <w:rPr>
                <w:rFonts w:hint="eastAsia" w:cs="Times New Roman"/>
                <w:u w:val="none"/>
                <w:lang w:val="en-US" w:eastAsia="zh-CN"/>
              </w:rPr>
              <w:t>PM</w:t>
            </w:r>
            <w:r>
              <w:rPr>
                <w:rFonts w:hint="eastAsia" w:cs="Times New Roman"/>
                <w:u w:val="none"/>
                <w:vertAlign w:val="subscript"/>
                <w:lang w:val="en-US" w:eastAsia="zh-CN"/>
              </w:rPr>
              <w:t>10</w:t>
            </w:r>
            <w:r>
              <w:rPr>
                <w:rFonts w:hint="eastAsia" w:cs="Times New Roman"/>
                <w:u w:val="none"/>
                <w:lang w:val="en-US" w:eastAsia="zh-CN"/>
              </w:rPr>
              <w:t>、</w:t>
            </w:r>
            <w:r>
              <w:rPr>
                <w:rFonts w:hint="default" w:ascii="Times New Roman" w:hAnsi="Times New Roman" w:cs="Times New Roman"/>
                <w:u w:val="none"/>
                <w:lang w:val="en-US" w:eastAsia="zh-CN"/>
              </w:rPr>
              <w:t>氨、硫化氢</w:t>
            </w:r>
            <w:r>
              <w:rPr>
                <w:rFonts w:hint="eastAsia" w:cs="Times New Roman"/>
                <w:u w:val="none"/>
                <w:lang w:val="en-US" w:eastAsia="zh-CN"/>
              </w:rPr>
              <w:t>、臭气浓度</w:t>
            </w:r>
            <w:r>
              <w:rPr>
                <w:rFonts w:hint="default" w:ascii="Times New Roman" w:hAnsi="Times New Roman" w:cs="Times New Roman"/>
                <w:u w:val="none"/>
                <w:lang w:val="en-US" w:eastAsia="zh-CN"/>
              </w:rPr>
              <w:t>）</w:t>
            </w:r>
          </w:p>
        </w:tc>
        <w:tc>
          <w:tcPr>
            <w:tcW w:w="2329" w:type="dxa"/>
            <w:gridSpan w:val="4"/>
            <w:noWrap w:val="0"/>
            <w:vAlign w:val="center"/>
          </w:tcPr>
          <w:p w14:paraId="25B30FD1">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包括二次PM</w:t>
            </w:r>
            <w:r>
              <w:rPr>
                <w:rFonts w:hint="default" w:ascii="Times New Roman" w:hAnsi="Times New Roman" w:cs="Times New Roman"/>
                <w:u w:val="none"/>
                <w:vertAlign w:val="subscript"/>
                <w:lang w:val="en-US" w:eastAsia="zh-CN"/>
              </w:rPr>
              <w:t>2.5</w:t>
            </w:r>
            <w:r>
              <w:rPr>
                <w:rFonts w:hint="default" w:ascii="Times New Roman" w:hAnsi="Times New Roman" w:cs="Times New Roman"/>
                <w:u w:val="none"/>
                <w:lang w:val="en-US" w:eastAsia="zh-CN"/>
              </w:rPr>
              <w:t>□</w:t>
            </w:r>
          </w:p>
          <w:p w14:paraId="6E712FA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不包括二次PM</w:t>
            </w:r>
            <w:r>
              <w:rPr>
                <w:rFonts w:hint="default" w:ascii="Times New Roman" w:hAnsi="Times New Roman" w:cs="Times New Roman"/>
                <w:u w:val="none"/>
                <w:vertAlign w:val="subscript"/>
                <w:lang w:val="en-US" w:eastAsia="zh-CN"/>
              </w:rPr>
              <w:t>2.5</w:t>
            </w:r>
            <w:r>
              <w:rPr>
                <w:rFonts w:hint="default" w:ascii="Times New Roman" w:hAnsi="Times New Roman" w:cs="Times New Roman"/>
                <w:u w:val="none"/>
                <w:lang w:val="en-US" w:eastAsia="zh-CN"/>
              </w:rPr>
              <w:t>√</w:t>
            </w:r>
          </w:p>
        </w:tc>
      </w:tr>
      <w:tr w14:paraId="71A78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noWrap w:val="0"/>
            <w:vAlign w:val="center"/>
          </w:tcPr>
          <w:p w14:paraId="1B90E59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评价标准</w:t>
            </w:r>
          </w:p>
        </w:tc>
        <w:tc>
          <w:tcPr>
            <w:tcW w:w="1264" w:type="dxa"/>
            <w:noWrap w:val="0"/>
            <w:vAlign w:val="center"/>
          </w:tcPr>
          <w:p w14:paraId="7D0B07B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评价标准</w:t>
            </w:r>
          </w:p>
        </w:tc>
        <w:tc>
          <w:tcPr>
            <w:tcW w:w="1888" w:type="dxa"/>
            <w:gridSpan w:val="5"/>
            <w:noWrap w:val="0"/>
            <w:vAlign w:val="center"/>
          </w:tcPr>
          <w:p w14:paraId="58EE9FC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国家标准</w:t>
            </w:r>
            <w:r>
              <w:rPr>
                <w:rFonts w:hint="default" w:ascii="Times New Roman" w:hAnsi="Times New Roman" w:cs="Times New Roman"/>
                <w:u w:val="none"/>
                <w:lang w:val="en-US" w:eastAsia="zh-CN"/>
              </w:rPr>
              <w:sym w:font="Wingdings 2" w:char="0052"/>
            </w:r>
          </w:p>
        </w:tc>
        <w:tc>
          <w:tcPr>
            <w:tcW w:w="2330" w:type="dxa"/>
            <w:gridSpan w:val="7"/>
            <w:noWrap w:val="0"/>
            <w:vAlign w:val="center"/>
          </w:tcPr>
          <w:p w14:paraId="408C718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地方标准□</w:t>
            </w:r>
          </w:p>
        </w:tc>
        <w:tc>
          <w:tcPr>
            <w:tcW w:w="1075" w:type="dxa"/>
            <w:gridSpan w:val="2"/>
            <w:noWrap w:val="0"/>
            <w:vAlign w:val="center"/>
          </w:tcPr>
          <w:p w14:paraId="1955F07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附录D</w:t>
            </w:r>
            <w:r>
              <w:rPr>
                <w:rFonts w:hint="default" w:ascii="Times New Roman" w:hAnsi="Times New Roman" w:cs="Times New Roman"/>
                <w:u w:val="none"/>
                <w:lang w:val="en-US" w:eastAsia="zh-CN"/>
              </w:rPr>
              <w:sym w:font="Wingdings 2" w:char="0052"/>
            </w:r>
          </w:p>
        </w:tc>
        <w:tc>
          <w:tcPr>
            <w:tcW w:w="1254" w:type="dxa"/>
            <w:gridSpan w:val="2"/>
            <w:noWrap w:val="0"/>
            <w:vAlign w:val="center"/>
          </w:tcPr>
          <w:p w14:paraId="498F1A6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其他标准☑</w:t>
            </w:r>
          </w:p>
        </w:tc>
      </w:tr>
      <w:tr w14:paraId="0D2EE5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restart"/>
            <w:noWrap w:val="0"/>
            <w:vAlign w:val="center"/>
          </w:tcPr>
          <w:p w14:paraId="2ABFA06A">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现状评价</w:t>
            </w:r>
          </w:p>
        </w:tc>
        <w:tc>
          <w:tcPr>
            <w:tcW w:w="1264" w:type="dxa"/>
            <w:noWrap w:val="0"/>
            <w:vAlign w:val="center"/>
          </w:tcPr>
          <w:p w14:paraId="6D5CFC3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环境功能区</w:t>
            </w:r>
          </w:p>
        </w:tc>
        <w:tc>
          <w:tcPr>
            <w:tcW w:w="2614" w:type="dxa"/>
            <w:gridSpan w:val="6"/>
            <w:noWrap w:val="0"/>
            <w:vAlign w:val="center"/>
          </w:tcPr>
          <w:p w14:paraId="7A8F133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一类区□</w:t>
            </w:r>
          </w:p>
        </w:tc>
        <w:tc>
          <w:tcPr>
            <w:tcW w:w="2679" w:type="dxa"/>
            <w:gridSpan w:val="8"/>
            <w:noWrap w:val="0"/>
            <w:vAlign w:val="center"/>
          </w:tcPr>
          <w:p w14:paraId="016653C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二类区</w:t>
            </w:r>
            <w:r>
              <w:rPr>
                <w:rFonts w:hint="default" w:ascii="Times New Roman" w:hAnsi="Times New Roman" w:cs="Times New Roman"/>
                <w:u w:val="none"/>
                <w:lang w:val="en-US" w:eastAsia="zh-CN"/>
              </w:rPr>
              <w:sym w:font="Wingdings 2" w:char="0052"/>
            </w:r>
          </w:p>
        </w:tc>
        <w:tc>
          <w:tcPr>
            <w:tcW w:w="1254" w:type="dxa"/>
            <w:gridSpan w:val="2"/>
            <w:noWrap w:val="0"/>
            <w:vAlign w:val="center"/>
          </w:tcPr>
          <w:p w14:paraId="003DB77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一类区和二类区□</w:t>
            </w:r>
          </w:p>
        </w:tc>
      </w:tr>
      <w:tr w14:paraId="2BAF1C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6995EF9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3DB35A3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评价基准年</w:t>
            </w:r>
          </w:p>
        </w:tc>
        <w:tc>
          <w:tcPr>
            <w:tcW w:w="6547" w:type="dxa"/>
            <w:gridSpan w:val="16"/>
            <w:noWrap w:val="0"/>
            <w:vAlign w:val="center"/>
          </w:tcPr>
          <w:p w14:paraId="13807E5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w:t>
            </w:r>
          </w:p>
        </w:tc>
      </w:tr>
      <w:tr w14:paraId="322F91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17" w:type="dxa"/>
            <w:vMerge w:val="continue"/>
            <w:noWrap w:val="0"/>
            <w:vAlign w:val="center"/>
          </w:tcPr>
          <w:p w14:paraId="20103A3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49B931F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环境空气质量现状调查数据来源</w:t>
            </w:r>
          </w:p>
        </w:tc>
        <w:tc>
          <w:tcPr>
            <w:tcW w:w="2614" w:type="dxa"/>
            <w:gridSpan w:val="6"/>
            <w:noWrap w:val="0"/>
            <w:vAlign w:val="center"/>
          </w:tcPr>
          <w:p w14:paraId="2F7EF51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长期例行监测数据□</w:t>
            </w:r>
          </w:p>
        </w:tc>
        <w:tc>
          <w:tcPr>
            <w:tcW w:w="2679" w:type="dxa"/>
            <w:gridSpan w:val="8"/>
            <w:noWrap w:val="0"/>
            <w:vAlign w:val="center"/>
          </w:tcPr>
          <w:p w14:paraId="21C3504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主管部门发布的数据</w:t>
            </w:r>
            <w:r>
              <w:rPr>
                <w:rFonts w:hint="default" w:ascii="Times New Roman" w:hAnsi="Times New Roman" w:cs="Times New Roman"/>
                <w:u w:val="none"/>
                <w:lang w:val="en-US" w:eastAsia="zh-CN"/>
              </w:rPr>
              <w:sym w:font="Wingdings 2" w:char="0052"/>
            </w:r>
          </w:p>
        </w:tc>
        <w:tc>
          <w:tcPr>
            <w:tcW w:w="1254" w:type="dxa"/>
            <w:gridSpan w:val="2"/>
            <w:noWrap w:val="0"/>
            <w:vAlign w:val="center"/>
          </w:tcPr>
          <w:p w14:paraId="7C5475E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现状补充监测</w:t>
            </w:r>
            <w:r>
              <w:rPr>
                <w:rFonts w:hint="default" w:ascii="Times New Roman" w:hAnsi="Times New Roman" w:cs="Times New Roman"/>
                <w:u w:val="none"/>
                <w:lang w:val="en-US" w:eastAsia="zh-CN"/>
              </w:rPr>
              <w:sym w:font="Wingdings 2" w:char="0052"/>
            </w:r>
          </w:p>
        </w:tc>
      </w:tr>
      <w:tr w14:paraId="2E2B09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6E0BEEA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6F78093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现状评价</w:t>
            </w:r>
          </w:p>
        </w:tc>
        <w:tc>
          <w:tcPr>
            <w:tcW w:w="4218" w:type="dxa"/>
            <w:gridSpan w:val="12"/>
            <w:noWrap w:val="0"/>
            <w:vAlign w:val="center"/>
          </w:tcPr>
          <w:p w14:paraId="5CBCDC0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达标区□</w:t>
            </w:r>
          </w:p>
        </w:tc>
        <w:tc>
          <w:tcPr>
            <w:tcW w:w="2329" w:type="dxa"/>
            <w:gridSpan w:val="4"/>
            <w:noWrap w:val="0"/>
            <w:vAlign w:val="center"/>
          </w:tcPr>
          <w:p w14:paraId="72072B7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不达标区</w:t>
            </w:r>
            <w:r>
              <w:rPr>
                <w:rFonts w:hint="default" w:ascii="Times New Roman" w:hAnsi="Times New Roman" w:cs="Times New Roman"/>
                <w:u w:val="none"/>
                <w:lang w:val="en-US" w:eastAsia="zh-CN"/>
              </w:rPr>
              <w:sym w:font="Wingdings 2" w:char="0052"/>
            </w:r>
          </w:p>
        </w:tc>
      </w:tr>
      <w:tr w14:paraId="5DE838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noWrap w:val="0"/>
            <w:vAlign w:val="center"/>
          </w:tcPr>
          <w:p w14:paraId="2D5AED5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污染源调查</w:t>
            </w:r>
          </w:p>
        </w:tc>
        <w:tc>
          <w:tcPr>
            <w:tcW w:w="1264" w:type="dxa"/>
            <w:noWrap w:val="0"/>
            <w:vAlign w:val="center"/>
          </w:tcPr>
          <w:p w14:paraId="3269FC7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调查内容</w:t>
            </w:r>
          </w:p>
        </w:tc>
        <w:tc>
          <w:tcPr>
            <w:tcW w:w="2614" w:type="dxa"/>
            <w:gridSpan w:val="6"/>
            <w:noWrap w:val="0"/>
            <w:vAlign w:val="center"/>
          </w:tcPr>
          <w:p w14:paraId="15845F0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本项目正常排放源</w:t>
            </w:r>
            <w:r>
              <w:rPr>
                <w:rFonts w:hint="default" w:ascii="Times New Roman" w:hAnsi="Times New Roman" w:cs="Times New Roman"/>
                <w:u w:val="none"/>
                <w:lang w:val="en-US" w:eastAsia="zh-CN"/>
              </w:rPr>
              <w:sym w:font="Wingdings 2" w:char="0052"/>
            </w:r>
          </w:p>
          <w:p w14:paraId="35607ED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本项目非正常排放源</w:t>
            </w:r>
            <w:r>
              <w:rPr>
                <w:rFonts w:hint="default" w:ascii="Times New Roman" w:hAnsi="Times New Roman" w:cs="Times New Roman"/>
                <w:u w:val="none"/>
                <w:lang w:val="en-US" w:eastAsia="zh-CN"/>
              </w:rPr>
              <w:sym w:font="Wingdings 2" w:char="0052"/>
            </w:r>
          </w:p>
        </w:tc>
        <w:tc>
          <w:tcPr>
            <w:tcW w:w="1604" w:type="dxa"/>
            <w:gridSpan w:val="6"/>
            <w:noWrap w:val="0"/>
            <w:vAlign w:val="center"/>
          </w:tcPr>
          <w:p w14:paraId="1919266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拟替代的污染源□</w:t>
            </w:r>
          </w:p>
        </w:tc>
        <w:tc>
          <w:tcPr>
            <w:tcW w:w="1075" w:type="dxa"/>
            <w:gridSpan w:val="2"/>
            <w:noWrap w:val="0"/>
            <w:vAlign w:val="center"/>
          </w:tcPr>
          <w:p w14:paraId="6D2CE3D5">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其他在建、拟建项目污染源□</w:t>
            </w:r>
          </w:p>
        </w:tc>
        <w:tc>
          <w:tcPr>
            <w:tcW w:w="1254" w:type="dxa"/>
            <w:gridSpan w:val="2"/>
            <w:noWrap w:val="0"/>
            <w:vAlign w:val="center"/>
          </w:tcPr>
          <w:p w14:paraId="53C7C19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区域污染源□</w:t>
            </w:r>
          </w:p>
        </w:tc>
      </w:tr>
      <w:tr w14:paraId="16FA6B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restart"/>
            <w:noWrap w:val="0"/>
            <w:vAlign w:val="center"/>
          </w:tcPr>
          <w:p w14:paraId="162394D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大气环境影响预测与评价</w:t>
            </w:r>
          </w:p>
        </w:tc>
        <w:tc>
          <w:tcPr>
            <w:tcW w:w="1264" w:type="dxa"/>
            <w:noWrap w:val="0"/>
            <w:vAlign w:val="center"/>
          </w:tcPr>
          <w:p w14:paraId="25F03C7A">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预测模型</w:t>
            </w:r>
          </w:p>
        </w:tc>
        <w:tc>
          <w:tcPr>
            <w:tcW w:w="1025" w:type="dxa"/>
            <w:noWrap w:val="0"/>
            <w:vAlign w:val="center"/>
          </w:tcPr>
          <w:p w14:paraId="4839033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AERMOD</w:t>
            </w:r>
          </w:p>
          <w:p w14:paraId="0137D4C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w:t>
            </w:r>
          </w:p>
        </w:tc>
        <w:tc>
          <w:tcPr>
            <w:tcW w:w="791" w:type="dxa"/>
            <w:gridSpan w:val="3"/>
            <w:noWrap w:val="0"/>
            <w:vAlign w:val="center"/>
          </w:tcPr>
          <w:p w14:paraId="6FE0EE1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ADMS□</w:t>
            </w:r>
          </w:p>
        </w:tc>
        <w:tc>
          <w:tcPr>
            <w:tcW w:w="1410" w:type="dxa"/>
            <w:gridSpan w:val="4"/>
            <w:noWrap w:val="0"/>
            <w:vAlign w:val="center"/>
          </w:tcPr>
          <w:p w14:paraId="218E2F9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AUSTAL2000□</w:t>
            </w:r>
          </w:p>
        </w:tc>
        <w:tc>
          <w:tcPr>
            <w:tcW w:w="1379" w:type="dxa"/>
            <w:gridSpan w:val="5"/>
            <w:noWrap w:val="0"/>
            <w:vAlign w:val="center"/>
          </w:tcPr>
          <w:p w14:paraId="4000DD41">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EDMS/AEDT□</w:t>
            </w:r>
          </w:p>
        </w:tc>
        <w:tc>
          <w:tcPr>
            <w:tcW w:w="688" w:type="dxa"/>
            <w:noWrap w:val="0"/>
            <w:vAlign w:val="center"/>
          </w:tcPr>
          <w:p w14:paraId="03ABA9B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CALPUFF□</w:t>
            </w:r>
          </w:p>
        </w:tc>
        <w:tc>
          <w:tcPr>
            <w:tcW w:w="869" w:type="dxa"/>
            <w:noWrap w:val="0"/>
            <w:vAlign w:val="center"/>
          </w:tcPr>
          <w:p w14:paraId="3E262AB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网格模型□</w:t>
            </w:r>
          </w:p>
        </w:tc>
        <w:tc>
          <w:tcPr>
            <w:tcW w:w="385" w:type="dxa"/>
            <w:noWrap w:val="0"/>
            <w:vAlign w:val="center"/>
          </w:tcPr>
          <w:p w14:paraId="1E1E6DB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其他</w:t>
            </w:r>
          </w:p>
          <w:p w14:paraId="1219FD7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sym w:font="Wingdings 2" w:char="0052"/>
            </w:r>
          </w:p>
        </w:tc>
      </w:tr>
      <w:tr w14:paraId="4598B3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238E4B1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173AF7C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预测范围</w:t>
            </w:r>
          </w:p>
        </w:tc>
        <w:tc>
          <w:tcPr>
            <w:tcW w:w="1816" w:type="dxa"/>
            <w:gridSpan w:val="4"/>
            <w:noWrap w:val="0"/>
            <w:vAlign w:val="center"/>
          </w:tcPr>
          <w:p w14:paraId="22DF1EF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边长≥50km□</w:t>
            </w:r>
          </w:p>
        </w:tc>
        <w:tc>
          <w:tcPr>
            <w:tcW w:w="3477" w:type="dxa"/>
            <w:gridSpan w:val="10"/>
            <w:noWrap w:val="0"/>
            <w:vAlign w:val="center"/>
          </w:tcPr>
          <w:p w14:paraId="639EF7FC">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边长5～50km□</w:t>
            </w:r>
          </w:p>
        </w:tc>
        <w:tc>
          <w:tcPr>
            <w:tcW w:w="1254" w:type="dxa"/>
            <w:gridSpan w:val="2"/>
            <w:noWrap w:val="0"/>
            <w:vAlign w:val="center"/>
          </w:tcPr>
          <w:p w14:paraId="53CA563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边长=5km</w:t>
            </w:r>
            <w:r>
              <w:rPr>
                <w:rFonts w:hint="default" w:ascii="Times New Roman" w:hAnsi="Times New Roman" w:cs="Times New Roman"/>
                <w:u w:val="none"/>
                <w:lang w:val="en-US" w:eastAsia="zh-CN"/>
              </w:rPr>
              <w:sym w:font="Wingdings 2" w:char="0052"/>
            </w:r>
          </w:p>
        </w:tc>
      </w:tr>
      <w:tr w14:paraId="3A871B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6CB8026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7E7C58B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预测因子</w:t>
            </w:r>
          </w:p>
        </w:tc>
        <w:tc>
          <w:tcPr>
            <w:tcW w:w="3910" w:type="dxa"/>
            <w:gridSpan w:val="11"/>
            <w:noWrap w:val="0"/>
            <w:vAlign w:val="center"/>
          </w:tcPr>
          <w:p w14:paraId="4D6FF66E">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预测因子（硫酸雾、氨、硫化氢）</w:t>
            </w:r>
          </w:p>
        </w:tc>
        <w:tc>
          <w:tcPr>
            <w:tcW w:w="2637" w:type="dxa"/>
            <w:gridSpan w:val="5"/>
            <w:noWrap w:val="0"/>
            <w:vAlign w:val="center"/>
          </w:tcPr>
          <w:p w14:paraId="4ED1E03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包括二次PM</w:t>
            </w:r>
            <w:r>
              <w:rPr>
                <w:rFonts w:hint="default" w:ascii="Times New Roman" w:hAnsi="Times New Roman" w:cs="Times New Roman"/>
                <w:u w:val="none"/>
                <w:vertAlign w:val="subscript"/>
                <w:lang w:val="en-US" w:eastAsia="zh-CN"/>
              </w:rPr>
              <w:t>2.5</w:t>
            </w:r>
            <w:r>
              <w:rPr>
                <w:rFonts w:hint="default" w:ascii="Times New Roman" w:hAnsi="Times New Roman" w:cs="Times New Roman"/>
                <w:u w:val="none"/>
                <w:lang w:val="en-US" w:eastAsia="zh-CN"/>
              </w:rPr>
              <w:t>□</w:t>
            </w:r>
          </w:p>
          <w:p w14:paraId="2D16A9A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不包括二次PM</w:t>
            </w:r>
            <w:r>
              <w:rPr>
                <w:rFonts w:hint="default" w:ascii="Times New Roman" w:hAnsi="Times New Roman" w:cs="Times New Roman"/>
                <w:u w:val="none"/>
                <w:vertAlign w:val="subscript"/>
                <w:lang w:val="en-US" w:eastAsia="zh-CN"/>
              </w:rPr>
              <w:t>2.5</w:t>
            </w:r>
            <w:r>
              <w:rPr>
                <w:rFonts w:hint="default" w:ascii="Times New Roman" w:hAnsi="Times New Roman" w:cs="Times New Roman"/>
                <w:u w:val="none"/>
                <w:lang w:val="en-US" w:eastAsia="zh-CN"/>
              </w:rPr>
              <w:sym w:font="Wingdings 2" w:char="0052"/>
            </w:r>
          </w:p>
        </w:tc>
      </w:tr>
      <w:tr w14:paraId="7C493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365EDFE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5796722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正常排放短期浓度贡献值</w:t>
            </w:r>
          </w:p>
        </w:tc>
        <w:tc>
          <w:tcPr>
            <w:tcW w:w="3910" w:type="dxa"/>
            <w:gridSpan w:val="11"/>
            <w:noWrap w:val="0"/>
            <w:vAlign w:val="center"/>
          </w:tcPr>
          <w:p w14:paraId="4F5E8A0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C本项目最大占标率≤100%</w:t>
            </w:r>
            <w:r>
              <w:rPr>
                <w:rFonts w:hint="default" w:ascii="Times New Roman" w:hAnsi="Times New Roman" w:cs="Times New Roman"/>
                <w:u w:val="none"/>
                <w:lang w:val="en-US" w:eastAsia="zh-CN"/>
              </w:rPr>
              <w:sym w:font="Wingdings 2" w:char="00A3"/>
            </w:r>
          </w:p>
        </w:tc>
        <w:tc>
          <w:tcPr>
            <w:tcW w:w="2637" w:type="dxa"/>
            <w:gridSpan w:val="5"/>
            <w:noWrap w:val="0"/>
            <w:vAlign w:val="center"/>
          </w:tcPr>
          <w:p w14:paraId="5203516C">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C本项目最大占标率＞100%□</w:t>
            </w:r>
          </w:p>
        </w:tc>
      </w:tr>
      <w:tr w14:paraId="336394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4298B38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vMerge w:val="restart"/>
            <w:noWrap w:val="0"/>
            <w:vAlign w:val="center"/>
          </w:tcPr>
          <w:p w14:paraId="2E3BD8DF">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正常排放年均浓度贡献值</w:t>
            </w:r>
          </w:p>
        </w:tc>
        <w:tc>
          <w:tcPr>
            <w:tcW w:w="1025" w:type="dxa"/>
            <w:noWrap w:val="0"/>
            <w:vAlign w:val="center"/>
          </w:tcPr>
          <w:p w14:paraId="4F26D16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一类区</w:t>
            </w:r>
          </w:p>
        </w:tc>
        <w:tc>
          <w:tcPr>
            <w:tcW w:w="2885" w:type="dxa"/>
            <w:gridSpan w:val="10"/>
            <w:noWrap w:val="0"/>
            <w:vAlign w:val="center"/>
          </w:tcPr>
          <w:p w14:paraId="48CECBD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C本项目最大占标率</w:t>
            </w:r>
            <w:bookmarkStart w:id="548" w:name="OLE_LINK7"/>
            <w:bookmarkStart w:id="549" w:name="OLE_LINK5"/>
            <w:r>
              <w:rPr>
                <w:rFonts w:hint="default" w:ascii="Times New Roman" w:hAnsi="Times New Roman" w:cs="Times New Roman"/>
                <w:u w:val="none"/>
                <w:lang w:val="en-US" w:eastAsia="zh-CN"/>
              </w:rPr>
              <w:t>≤</w:t>
            </w:r>
            <w:bookmarkEnd w:id="548"/>
            <w:bookmarkEnd w:id="549"/>
            <w:r>
              <w:rPr>
                <w:rFonts w:hint="default" w:ascii="Times New Roman" w:hAnsi="Times New Roman" w:cs="Times New Roman"/>
                <w:u w:val="none"/>
                <w:lang w:val="en-US" w:eastAsia="zh-CN"/>
              </w:rPr>
              <w:t>10%□</w:t>
            </w:r>
          </w:p>
        </w:tc>
        <w:tc>
          <w:tcPr>
            <w:tcW w:w="2637" w:type="dxa"/>
            <w:gridSpan w:val="5"/>
            <w:noWrap w:val="0"/>
            <w:vAlign w:val="center"/>
          </w:tcPr>
          <w:p w14:paraId="596A8C3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C本项目最大标率＞10%□</w:t>
            </w:r>
          </w:p>
        </w:tc>
      </w:tr>
      <w:tr w14:paraId="74001E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7622402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vMerge w:val="continue"/>
            <w:noWrap w:val="0"/>
            <w:vAlign w:val="center"/>
          </w:tcPr>
          <w:p w14:paraId="49AC58A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025" w:type="dxa"/>
            <w:noWrap w:val="0"/>
            <w:vAlign w:val="center"/>
          </w:tcPr>
          <w:p w14:paraId="4825FCF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二类区</w:t>
            </w:r>
          </w:p>
        </w:tc>
        <w:tc>
          <w:tcPr>
            <w:tcW w:w="2885" w:type="dxa"/>
            <w:gridSpan w:val="10"/>
            <w:noWrap w:val="0"/>
            <w:vAlign w:val="center"/>
          </w:tcPr>
          <w:p w14:paraId="12F74F53">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C本项目最大占标率≤30%□</w:t>
            </w:r>
          </w:p>
        </w:tc>
        <w:tc>
          <w:tcPr>
            <w:tcW w:w="2637" w:type="dxa"/>
            <w:gridSpan w:val="5"/>
            <w:noWrap w:val="0"/>
            <w:vAlign w:val="center"/>
          </w:tcPr>
          <w:p w14:paraId="5DA0979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C本项目最大标率＞30%□</w:t>
            </w:r>
          </w:p>
        </w:tc>
      </w:tr>
      <w:tr w14:paraId="7C183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514DBA11">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5E50B2D5">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非正常排放1h浓度贡献值</w:t>
            </w:r>
          </w:p>
        </w:tc>
        <w:tc>
          <w:tcPr>
            <w:tcW w:w="1428" w:type="dxa"/>
            <w:gridSpan w:val="3"/>
            <w:noWrap w:val="0"/>
            <w:vAlign w:val="center"/>
          </w:tcPr>
          <w:p w14:paraId="6831BCC1">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非正常持续时长（1）h</w:t>
            </w:r>
          </w:p>
        </w:tc>
        <w:tc>
          <w:tcPr>
            <w:tcW w:w="3865" w:type="dxa"/>
            <w:gridSpan w:val="11"/>
            <w:noWrap w:val="0"/>
            <w:vAlign w:val="center"/>
          </w:tcPr>
          <w:p w14:paraId="01A8EB4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C非正常占标率≤100%</w:t>
            </w:r>
            <w:r>
              <w:rPr>
                <w:rFonts w:hint="default" w:ascii="Times New Roman" w:hAnsi="Times New Roman" w:cs="Times New Roman"/>
                <w:u w:val="none"/>
                <w:lang w:val="en-US" w:eastAsia="zh-CN"/>
              </w:rPr>
              <w:sym w:font="Wingdings 2" w:char="00A3"/>
            </w:r>
          </w:p>
        </w:tc>
        <w:tc>
          <w:tcPr>
            <w:tcW w:w="1254" w:type="dxa"/>
            <w:gridSpan w:val="2"/>
            <w:noWrap w:val="0"/>
            <w:vAlign w:val="center"/>
          </w:tcPr>
          <w:p w14:paraId="399E5FA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C非正常占标率＞100%□</w:t>
            </w:r>
          </w:p>
        </w:tc>
      </w:tr>
      <w:tr w14:paraId="3B98CC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403CDFE0">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444607B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保证率日平均浓度和年平均浓度叠加值</w:t>
            </w:r>
          </w:p>
        </w:tc>
        <w:tc>
          <w:tcPr>
            <w:tcW w:w="3236" w:type="dxa"/>
            <w:gridSpan w:val="9"/>
            <w:noWrap w:val="0"/>
            <w:vAlign w:val="center"/>
          </w:tcPr>
          <w:p w14:paraId="47FCFC0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C叠加达标□</w:t>
            </w:r>
          </w:p>
        </w:tc>
        <w:tc>
          <w:tcPr>
            <w:tcW w:w="3311" w:type="dxa"/>
            <w:gridSpan w:val="7"/>
            <w:noWrap w:val="0"/>
            <w:vAlign w:val="center"/>
          </w:tcPr>
          <w:p w14:paraId="707D2351">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C叠加不达标□</w:t>
            </w:r>
          </w:p>
        </w:tc>
      </w:tr>
      <w:tr w14:paraId="708DC2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235B190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62F8998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区域环境质量的整体变化情况</w:t>
            </w:r>
          </w:p>
        </w:tc>
        <w:tc>
          <w:tcPr>
            <w:tcW w:w="3236" w:type="dxa"/>
            <w:gridSpan w:val="9"/>
            <w:noWrap w:val="0"/>
            <w:vAlign w:val="center"/>
          </w:tcPr>
          <w:p w14:paraId="6A04EB1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k≤-20%□</w:t>
            </w:r>
          </w:p>
        </w:tc>
        <w:tc>
          <w:tcPr>
            <w:tcW w:w="3311" w:type="dxa"/>
            <w:gridSpan w:val="7"/>
            <w:noWrap w:val="0"/>
            <w:vAlign w:val="center"/>
          </w:tcPr>
          <w:p w14:paraId="1FD88558">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k＞-20%□</w:t>
            </w:r>
          </w:p>
        </w:tc>
      </w:tr>
      <w:tr w14:paraId="6808C5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17" w:type="dxa"/>
            <w:vMerge w:val="restart"/>
            <w:noWrap w:val="0"/>
            <w:vAlign w:val="center"/>
          </w:tcPr>
          <w:p w14:paraId="0C6134E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环境监测</w:t>
            </w:r>
          </w:p>
          <w:p w14:paraId="457A008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计划</w:t>
            </w:r>
          </w:p>
        </w:tc>
        <w:tc>
          <w:tcPr>
            <w:tcW w:w="1264" w:type="dxa"/>
            <w:noWrap w:val="0"/>
            <w:vAlign w:val="center"/>
          </w:tcPr>
          <w:p w14:paraId="7FB7881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污染源监测</w:t>
            </w:r>
          </w:p>
        </w:tc>
        <w:tc>
          <w:tcPr>
            <w:tcW w:w="2958" w:type="dxa"/>
            <w:gridSpan w:val="7"/>
            <w:noWrap w:val="0"/>
            <w:vAlign w:val="center"/>
          </w:tcPr>
          <w:p w14:paraId="1908A1B2">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监测因子：（颗粒物、</w:t>
            </w:r>
            <w:r>
              <w:rPr>
                <w:rFonts w:hint="eastAsia" w:cs="Times New Roman"/>
                <w:u w:val="none"/>
                <w:lang w:val="en-US" w:eastAsia="zh-CN"/>
              </w:rPr>
              <w:t>硫酸雾、二氧化硫、氮氧化物、</w:t>
            </w:r>
            <w:r>
              <w:rPr>
                <w:rFonts w:hint="default" w:ascii="Times New Roman" w:hAnsi="Times New Roman" w:cs="Times New Roman"/>
                <w:u w:val="none"/>
                <w:lang w:val="en-US" w:eastAsia="zh-CN"/>
              </w:rPr>
              <w:t>氨、硫化氢）</w:t>
            </w:r>
          </w:p>
        </w:tc>
        <w:tc>
          <w:tcPr>
            <w:tcW w:w="2335" w:type="dxa"/>
            <w:gridSpan w:val="7"/>
            <w:noWrap w:val="0"/>
            <w:vAlign w:val="center"/>
          </w:tcPr>
          <w:p w14:paraId="3039EE1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有组织废气监测</w:t>
            </w:r>
            <w:r>
              <w:rPr>
                <w:rFonts w:hint="default" w:ascii="Times New Roman" w:hAnsi="Times New Roman" w:cs="Times New Roman"/>
                <w:u w:val="none"/>
                <w:lang w:val="en-US" w:eastAsia="zh-CN"/>
              </w:rPr>
              <w:sym w:font="Wingdings 2" w:char="0052"/>
            </w:r>
            <w:r>
              <w:rPr>
                <w:rFonts w:hint="default" w:ascii="Times New Roman" w:hAnsi="Times New Roman" w:cs="Times New Roman"/>
                <w:u w:val="none"/>
                <w:lang w:val="en-US" w:eastAsia="zh-CN"/>
              </w:rPr>
              <w:t xml:space="preserve"> </w:t>
            </w:r>
          </w:p>
          <w:p w14:paraId="646CB75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无组织废气监测</w:t>
            </w:r>
            <w:r>
              <w:rPr>
                <w:rFonts w:hint="default" w:ascii="Times New Roman" w:hAnsi="Times New Roman" w:cs="Times New Roman"/>
                <w:u w:val="none"/>
                <w:lang w:val="en-US" w:eastAsia="zh-CN"/>
              </w:rPr>
              <w:sym w:font="Wingdings 2" w:char="0052"/>
            </w:r>
          </w:p>
        </w:tc>
        <w:tc>
          <w:tcPr>
            <w:tcW w:w="1254" w:type="dxa"/>
            <w:gridSpan w:val="2"/>
            <w:noWrap w:val="0"/>
            <w:vAlign w:val="center"/>
          </w:tcPr>
          <w:p w14:paraId="1957DF9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无监测□</w:t>
            </w:r>
          </w:p>
        </w:tc>
      </w:tr>
      <w:tr w14:paraId="2AB0A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45200CA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483583B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环境质量监测</w:t>
            </w:r>
          </w:p>
        </w:tc>
        <w:tc>
          <w:tcPr>
            <w:tcW w:w="2958" w:type="dxa"/>
            <w:gridSpan w:val="7"/>
            <w:noWrap w:val="0"/>
            <w:vAlign w:val="center"/>
          </w:tcPr>
          <w:p w14:paraId="1092BE3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监测因子：（/）</w:t>
            </w:r>
          </w:p>
        </w:tc>
        <w:tc>
          <w:tcPr>
            <w:tcW w:w="2335" w:type="dxa"/>
            <w:gridSpan w:val="7"/>
            <w:noWrap w:val="0"/>
            <w:vAlign w:val="center"/>
          </w:tcPr>
          <w:p w14:paraId="04F3410D">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监测点位数（/）</w:t>
            </w:r>
          </w:p>
        </w:tc>
        <w:tc>
          <w:tcPr>
            <w:tcW w:w="1254" w:type="dxa"/>
            <w:gridSpan w:val="2"/>
            <w:noWrap w:val="0"/>
            <w:vAlign w:val="center"/>
          </w:tcPr>
          <w:p w14:paraId="07CC09D5">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无监测</w:t>
            </w:r>
            <w:r>
              <w:rPr>
                <w:rFonts w:hint="default" w:ascii="Times New Roman" w:hAnsi="Times New Roman" w:cs="Times New Roman"/>
                <w:u w:val="none"/>
                <w:lang w:val="en-US" w:eastAsia="zh-CN"/>
              </w:rPr>
              <w:sym w:font="Wingdings 2" w:char="0052"/>
            </w:r>
          </w:p>
        </w:tc>
      </w:tr>
      <w:tr w14:paraId="24B3C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restart"/>
            <w:noWrap w:val="0"/>
            <w:vAlign w:val="center"/>
          </w:tcPr>
          <w:p w14:paraId="1FBB26C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评价结论</w:t>
            </w:r>
          </w:p>
        </w:tc>
        <w:tc>
          <w:tcPr>
            <w:tcW w:w="1264" w:type="dxa"/>
            <w:noWrap w:val="0"/>
            <w:vAlign w:val="center"/>
          </w:tcPr>
          <w:p w14:paraId="68E23F5C">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环境影响</w:t>
            </w:r>
          </w:p>
        </w:tc>
        <w:tc>
          <w:tcPr>
            <w:tcW w:w="6547" w:type="dxa"/>
            <w:gridSpan w:val="16"/>
            <w:noWrap w:val="0"/>
            <w:vAlign w:val="center"/>
          </w:tcPr>
          <w:p w14:paraId="333DA2C7">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可以接受</w:t>
            </w:r>
            <w:r>
              <w:rPr>
                <w:rFonts w:hint="default" w:ascii="Times New Roman" w:hAnsi="Times New Roman" w:cs="Times New Roman"/>
                <w:u w:val="none"/>
                <w:lang w:val="en-US" w:eastAsia="zh-CN"/>
              </w:rPr>
              <w:sym w:font="Wingdings 2" w:char="0052"/>
            </w:r>
            <w:r>
              <w:rPr>
                <w:rFonts w:hint="default" w:ascii="Times New Roman" w:hAnsi="Times New Roman" w:cs="Times New Roman"/>
                <w:u w:val="none"/>
                <w:lang w:val="en-US" w:eastAsia="zh-CN"/>
              </w:rPr>
              <w:t xml:space="preserve">      不可以接受□</w:t>
            </w:r>
          </w:p>
        </w:tc>
      </w:tr>
      <w:tr w14:paraId="4FAB1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620BDEEC">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1498B605">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大气环境防护距离</w:t>
            </w:r>
          </w:p>
        </w:tc>
        <w:tc>
          <w:tcPr>
            <w:tcW w:w="6547" w:type="dxa"/>
            <w:gridSpan w:val="16"/>
            <w:noWrap w:val="0"/>
            <w:vAlign w:val="center"/>
          </w:tcPr>
          <w:p w14:paraId="68BE8B2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距（/）厂界最远（/）m</w:t>
            </w:r>
          </w:p>
        </w:tc>
      </w:tr>
      <w:tr w14:paraId="2E238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17" w:type="dxa"/>
            <w:vMerge w:val="continue"/>
            <w:noWrap w:val="0"/>
            <w:vAlign w:val="center"/>
          </w:tcPr>
          <w:p w14:paraId="31EE6E3B">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p>
        </w:tc>
        <w:tc>
          <w:tcPr>
            <w:tcW w:w="1264" w:type="dxa"/>
            <w:noWrap w:val="0"/>
            <w:vAlign w:val="center"/>
          </w:tcPr>
          <w:p w14:paraId="38893F54">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污染源年排放量</w:t>
            </w:r>
          </w:p>
        </w:tc>
        <w:tc>
          <w:tcPr>
            <w:tcW w:w="1428" w:type="dxa"/>
            <w:gridSpan w:val="3"/>
            <w:noWrap w:val="0"/>
            <w:vAlign w:val="center"/>
          </w:tcPr>
          <w:p w14:paraId="181229B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SO</w:t>
            </w:r>
            <w:r>
              <w:rPr>
                <w:rFonts w:hint="default" w:ascii="Times New Roman" w:hAnsi="Times New Roman" w:cs="Times New Roman"/>
                <w:u w:val="none"/>
                <w:vertAlign w:val="subscript"/>
                <w:lang w:val="en-US" w:eastAsia="zh-CN"/>
              </w:rPr>
              <w:t>2:</w:t>
            </w:r>
            <w:r>
              <w:rPr>
                <w:rFonts w:hint="default" w:ascii="Times New Roman" w:hAnsi="Times New Roman" w:cs="Times New Roman"/>
                <w:u w:val="none"/>
                <w:lang w:val="en-US" w:eastAsia="zh-CN"/>
              </w:rPr>
              <w:t>（/）t/a</w:t>
            </w:r>
          </w:p>
        </w:tc>
        <w:tc>
          <w:tcPr>
            <w:tcW w:w="1894" w:type="dxa"/>
            <w:gridSpan w:val="7"/>
            <w:noWrap w:val="0"/>
            <w:vAlign w:val="center"/>
          </w:tcPr>
          <w:p w14:paraId="76A440A5">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NO</w:t>
            </w:r>
            <w:r>
              <w:rPr>
                <w:rFonts w:hint="eastAsia" w:cs="Times New Roman"/>
                <w:u w:val="none"/>
                <w:vertAlign w:val="subscript"/>
                <w:lang w:val="en-US" w:eastAsia="zh-CN"/>
              </w:rPr>
              <w:t>X</w:t>
            </w:r>
            <w:r>
              <w:rPr>
                <w:rFonts w:hint="default" w:ascii="Times New Roman" w:hAnsi="Times New Roman" w:cs="Times New Roman"/>
                <w:u w:val="none"/>
                <w:lang w:val="en-US" w:eastAsia="zh-CN"/>
              </w:rPr>
              <w:t>:（/）t/a</w:t>
            </w:r>
          </w:p>
        </w:tc>
        <w:tc>
          <w:tcPr>
            <w:tcW w:w="1971" w:type="dxa"/>
            <w:gridSpan w:val="4"/>
            <w:noWrap w:val="0"/>
            <w:vAlign w:val="center"/>
          </w:tcPr>
          <w:p w14:paraId="78E5F2D9">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颗粒物:（/）t/a</w:t>
            </w:r>
          </w:p>
        </w:tc>
        <w:tc>
          <w:tcPr>
            <w:tcW w:w="1254" w:type="dxa"/>
            <w:gridSpan w:val="2"/>
            <w:noWrap w:val="0"/>
            <w:vAlign w:val="center"/>
          </w:tcPr>
          <w:p w14:paraId="01EFE2DC">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VOC</w:t>
            </w:r>
            <w:r>
              <w:rPr>
                <w:rFonts w:hint="eastAsia" w:cs="Times New Roman"/>
                <w:u w:val="none"/>
                <w:vertAlign w:val="subscript"/>
                <w:lang w:val="en-US" w:eastAsia="zh-CN"/>
              </w:rPr>
              <w:t>S</w:t>
            </w:r>
            <w:r>
              <w:rPr>
                <w:rFonts w:hint="default" w:ascii="Times New Roman" w:hAnsi="Times New Roman" w:cs="Times New Roman"/>
                <w:u w:val="none"/>
                <w:lang w:val="en-US" w:eastAsia="zh-CN"/>
              </w:rPr>
              <w:t>:（/）t/a</w:t>
            </w:r>
          </w:p>
        </w:tc>
      </w:tr>
      <w:tr w14:paraId="11237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8" w:type="dxa"/>
            <w:gridSpan w:val="18"/>
            <w:noWrap w:val="0"/>
            <w:vAlign w:val="center"/>
          </w:tcPr>
          <w:p w14:paraId="4A5555B6">
            <w:pPr>
              <w:pStyle w:val="75"/>
              <w:keepNext w:val="0"/>
              <w:keepLines w:val="0"/>
              <w:pageBreakBefore w:val="0"/>
              <w:widowControl/>
              <w:suppressLineNumbers w:val="0"/>
              <w:kinsoku/>
              <w:wordWrap/>
              <w:overflowPunct/>
              <w:topLinePunct/>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cs="Times New Roman"/>
                <w:u w:val="none"/>
                <w:lang w:val="en-US" w:eastAsia="zh-CN"/>
              </w:rPr>
            </w:pPr>
            <w:r>
              <w:rPr>
                <w:rFonts w:hint="default" w:ascii="Times New Roman" w:hAnsi="Times New Roman" w:cs="Times New Roman"/>
                <w:u w:val="none"/>
                <w:lang w:val="en-US" w:eastAsia="zh-CN"/>
              </w:rPr>
              <w:t>注：“□”为勾选项，填“√”；“（   ）”为内容填写项</w:t>
            </w:r>
          </w:p>
        </w:tc>
      </w:tr>
      <w:bookmarkEnd w:id="547"/>
    </w:tbl>
    <w:p w14:paraId="5C99DDC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550" w:name="_Toc7316"/>
      <w:bookmarkStart w:id="551" w:name="_Toc51319870"/>
      <w:bookmarkStart w:id="552" w:name="_Toc22305"/>
      <w:r>
        <w:rPr>
          <w:rFonts w:hint="eastAsia"/>
          <w:lang w:val="en-US" w:eastAsia="zh-CN"/>
        </w:rPr>
        <w:t>5.3地表水环境影响</w:t>
      </w:r>
      <w:bookmarkEnd w:id="538"/>
      <w:bookmarkEnd w:id="539"/>
      <w:bookmarkEnd w:id="540"/>
      <w:bookmarkEnd w:id="541"/>
      <w:bookmarkEnd w:id="542"/>
      <w:r>
        <w:rPr>
          <w:rFonts w:hint="eastAsia"/>
          <w:lang w:val="en-US" w:eastAsia="zh-CN"/>
        </w:rPr>
        <w:t>评价</w:t>
      </w:r>
      <w:bookmarkEnd w:id="550"/>
      <w:bookmarkEnd w:id="551"/>
      <w:bookmarkEnd w:id="552"/>
    </w:p>
    <w:p w14:paraId="15DD62E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bookmarkStart w:id="553" w:name="_Toc108122549"/>
      <w:r>
        <w:rPr>
          <w:rFonts w:hint="eastAsia" w:ascii="Times New Roman" w:hAnsi="Times New Roman"/>
          <w:lang w:val="en-US" w:eastAsia="zh-CN"/>
        </w:rPr>
        <w:t>5.3.1项目废水排放情况</w:t>
      </w:r>
      <w:bookmarkEnd w:id="553"/>
    </w:p>
    <w:p w14:paraId="6926E777">
      <w:pPr>
        <w:pStyle w:val="72"/>
      </w:pPr>
      <w:r>
        <w:rPr>
          <w:rFonts w:hint="eastAsia"/>
        </w:rPr>
        <w:t>本工程废水主要有：</w:t>
      </w:r>
    </w:p>
    <w:p w14:paraId="148AB3FF">
      <w:pPr>
        <w:pStyle w:val="72"/>
        <w:numPr>
          <w:ilvl w:val="0"/>
          <w:numId w:val="7"/>
        </w:numPr>
        <w:ind w:firstLine="482"/>
      </w:pPr>
      <w:r>
        <w:rPr>
          <w:rFonts w:hint="eastAsia"/>
          <w:b/>
        </w:rPr>
        <w:t>含镍废水：</w:t>
      </w:r>
      <w:r>
        <w:rPr>
          <w:rFonts w:hint="eastAsia"/>
        </w:rPr>
        <w:t>废水主要为镀镍后水洗废水、镀镍后水洗槽定期更换水、</w:t>
      </w:r>
      <w:r>
        <w:rPr>
          <w:rFonts w:hint="eastAsia"/>
          <w:lang w:val="en-US" w:eastAsia="zh-CN"/>
        </w:rPr>
        <w:t>漂白废槽液、漂白后水洗废水、</w:t>
      </w:r>
      <w:r>
        <w:rPr>
          <w:rFonts w:hint="eastAsia"/>
        </w:rPr>
        <w:t>漂白后</w:t>
      </w:r>
      <w:r>
        <w:rPr>
          <w:rFonts w:hint="eastAsia"/>
          <w:lang w:val="en-US" w:eastAsia="zh-CN"/>
        </w:rPr>
        <w:t>水洗槽定期换水、</w:t>
      </w:r>
      <w:r>
        <w:rPr>
          <w:rFonts w:hint="eastAsia"/>
        </w:rPr>
        <w:t>中和废槽液、中和后水洗废水和中和后水洗槽定期更换水</w:t>
      </w:r>
      <w:r>
        <w:rPr>
          <w:rFonts w:hint="eastAsia"/>
          <w:lang w:eastAsia="zh-CN"/>
        </w:rPr>
        <w:t>。</w:t>
      </w:r>
      <w:r>
        <w:rPr>
          <w:rFonts w:hint="eastAsia"/>
        </w:rPr>
        <w:t>含镍废水经含镍废水处理系统处理后回用于镀镍后水洗</w:t>
      </w:r>
      <w:r>
        <w:rPr>
          <w:rFonts w:hint="eastAsia"/>
          <w:lang w:eastAsia="zh-CN"/>
        </w:rPr>
        <w:t>、</w:t>
      </w:r>
      <w:r>
        <w:rPr>
          <w:rFonts w:hint="eastAsia"/>
          <w:lang w:val="en-US" w:eastAsia="zh-CN"/>
        </w:rPr>
        <w:t>漂白后水洗以及</w:t>
      </w:r>
      <w:r>
        <w:rPr>
          <w:rFonts w:hint="eastAsia"/>
        </w:rPr>
        <w:t>中和后水洗工段，不外排。</w:t>
      </w:r>
    </w:p>
    <w:p w14:paraId="28280977">
      <w:pPr>
        <w:pStyle w:val="72"/>
        <w:numPr>
          <w:ilvl w:val="0"/>
          <w:numId w:val="7"/>
        </w:numPr>
        <w:ind w:firstLine="482"/>
      </w:pPr>
      <w:r>
        <w:rPr>
          <w:rFonts w:hint="eastAsia"/>
          <w:b/>
        </w:rPr>
        <w:t>含铬废水：</w:t>
      </w:r>
      <w:r>
        <w:rPr>
          <w:rFonts w:hint="eastAsia"/>
        </w:rPr>
        <w:t>废水主要为钝化槽液、钝化后水洗废水、钝化后水洗槽定期更换水、中和废槽液、中和后水洗废水和中和后水洗槽定期更换水</w:t>
      </w:r>
      <w:r>
        <w:rPr>
          <w:rFonts w:hint="eastAsia"/>
          <w:lang w:val="en-US" w:eastAsia="zh-CN"/>
        </w:rPr>
        <w:t>、</w:t>
      </w:r>
      <w:r>
        <w:rPr>
          <w:rFonts w:hint="eastAsia"/>
        </w:rPr>
        <w:t>碱喷淋吸收塔（</w:t>
      </w:r>
      <w:r>
        <w:rPr>
          <w:rFonts w:hint="eastAsia"/>
          <w:lang w:val="en-US" w:eastAsia="zh-CN"/>
        </w:rPr>
        <w:t>TA001~TA003</w:t>
      </w:r>
      <w:r>
        <w:rPr>
          <w:rFonts w:hint="eastAsia"/>
        </w:rPr>
        <w:t>）更换废水、车间地面清洗水。含铬废水经含铬废水处理系统处理后回用于钝化后水洗和中和后水洗工段，不外排。</w:t>
      </w:r>
    </w:p>
    <w:p w14:paraId="2743A635">
      <w:pPr>
        <w:pStyle w:val="72"/>
        <w:numPr>
          <w:ilvl w:val="0"/>
          <w:numId w:val="7"/>
        </w:numPr>
        <w:ind w:left="0" w:leftChars="0" w:firstLine="482" w:firstLineChars="200"/>
      </w:pPr>
      <w:r>
        <w:rPr>
          <w:rFonts w:hint="eastAsia"/>
          <w:b/>
        </w:rPr>
        <w:t>综合废水：</w:t>
      </w:r>
      <w:r>
        <w:rPr>
          <w:rFonts w:hint="eastAsia"/>
        </w:rPr>
        <w:t>除油废槽液、除油后水洗废水、酸洗废槽液、酸洗后水洗废水、酸洗后水洗槽定期更换水</w:t>
      </w:r>
      <w:r>
        <w:rPr>
          <w:rFonts w:hint="eastAsia"/>
          <w:lang w:eastAsia="zh-CN"/>
        </w:rPr>
        <w:t>、</w:t>
      </w:r>
      <w:r>
        <w:rPr>
          <w:rFonts w:hint="eastAsia"/>
          <w:lang w:val="en-US" w:eastAsia="zh-CN"/>
        </w:rPr>
        <w:t>封闭废槽液、封闭后水洗废水以及封闭后水洗废水定期更换水。</w:t>
      </w:r>
      <w:r>
        <w:rPr>
          <w:rFonts w:hint="eastAsia"/>
        </w:rPr>
        <w:t>综合废水经综合废水处理系统处理达标后经厂区总排口排放。</w:t>
      </w:r>
    </w:p>
    <w:p w14:paraId="4F3AB41C">
      <w:pPr>
        <w:pStyle w:val="72"/>
        <w:pageBreakBefore w:val="0"/>
        <w:widowControl w:val="0"/>
        <w:kinsoku/>
        <w:wordWrap/>
        <w:overflowPunct/>
        <w:topLinePunct w:val="0"/>
        <w:autoSpaceDE/>
        <w:autoSpaceDN/>
        <w:bidi w:val="0"/>
        <w:adjustRightInd w:val="0"/>
        <w:snapToGrid w:val="0"/>
        <w:spacing w:line="520" w:lineRule="exact"/>
        <w:textAlignment w:val="baseline"/>
      </w:pPr>
      <w:r>
        <w:rPr>
          <w:rFonts w:hint="eastAsia"/>
        </w:rPr>
        <w:t>本项目外排废水主要为经处理后的综合废水、经化粪池处理后的生活污水、纯水制备浓水、冲压冷凝水，废水经厂区总排口排放，废水总排放量为</w:t>
      </w:r>
      <w:r>
        <w:rPr>
          <w:rFonts w:hint="eastAsia"/>
          <w:lang w:val="en-US" w:eastAsia="zh-CN"/>
        </w:rPr>
        <w:t>176.615</w:t>
      </w:r>
      <w:r>
        <w:rPr>
          <w:rFonts w:hint="eastAsia"/>
        </w:rPr>
        <w:t>m</w:t>
      </w:r>
      <w:r>
        <w:rPr>
          <w:rFonts w:hint="eastAsia"/>
          <w:vertAlign w:val="superscript"/>
        </w:rPr>
        <w:t>3</w:t>
      </w:r>
      <w:r>
        <w:rPr>
          <w:rFonts w:hint="eastAsia"/>
        </w:rPr>
        <w:t xml:space="preserve">/d，主要污染物的排放浓度为COD </w:t>
      </w:r>
      <w:r>
        <w:rPr>
          <w:rFonts w:hint="eastAsia"/>
          <w:lang w:val="en-US" w:eastAsia="zh-CN"/>
        </w:rPr>
        <w:t>92.6</w:t>
      </w:r>
      <w:r>
        <w:rPr>
          <w:rFonts w:hint="eastAsia"/>
        </w:rPr>
        <w:t>mg/L、</w:t>
      </w:r>
      <w:r>
        <w:rPr>
          <w:rFonts w:hint="eastAsia"/>
          <w:b w:val="0"/>
          <w:bCs w:val="0"/>
        </w:rPr>
        <w:t>S</w:t>
      </w:r>
      <w:r>
        <w:rPr>
          <w:b w:val="0"/>
          <w:bCs w:val="0"/>
        </w:rPr>
        <w:t>S</w:t>
      </w:r>
      <w:r>
        <w:rPr>
          <w:rFonts w:hint="eastAsia"/>
          <w:b w:val="0"/>
          <w:bCs w:val="0"/>
          <w:lang w:val="en-US" w:eastAsia="zh-CN"/>
        </w:rPr>
        <w:t xml:space="preserve"> 58.1</w:t>
      </w:r>
      <w:r>
        <w:rPr>
          <w:rFonts w:hint="eastAsia"/>
          <w:bCs/>
        </w:rPr>
        <w:t>mg/L</w:t>
      </w:r>
      <w:r>
        <w:rPr>
          <w:rFonts w:hint="eastAsia"/>
          <w:b/>
          <w:bCs/>
        </w:rPr>
        <w:t>、</w:t>
      </w:r>
      <w:r>
        <w:rPr>
          <w:rFonts w:hint="eastAsia"/>
        </w:rPr>
        <w:t>NH</w:t>
      </w:r>
      <w:r>
        <w:rPr>
          <w:rFonts w:hint="eastAsia"/>
          <w:vertAlign w:val="subscript"/>
        </w:rPr>
        <w:t>3</w:t>
      </w:r>
      <w:r>
        <w:rPr>
          <w:rFonts w:hint="eastAsia"/>
        </w:rPr>
        <w:t xml:space="preserve">-N </w:t>
      </w:r>
      <w:r>
        <w:rPr>
          <w:rFonts w:hint="eastAsia"/>
          <w:lang w:val="en-US" w:eastAsia="zh-CN"/>
        </w:rPr>
        <w:t>9.3</w:t>
      </w:r>
      <w:r>
        <w:rPr>
          <w:rFonts w:hint="eastAsia"/>
        </w:rPr>
        <w:t xml:space="preserve">mg/L、TP </w:t>
      </w:r>
      <w:r>
        <w:rPr>
          <w:rFonts w:hint="eastAsia"/>
          <w:lang w:val="en-US" w:eastAsia="zh-CN"/>
        </w:rPr>
        <w:t>0.7</w:t>
      </w:r>
      <w:r>
        <w:rPr>
          <w:rFonts w:hint="eastAsia"/>
        </w:rPr>
        <w:t xml:space="preserve">mg/L、TN </w:t>
      </w:r>
      <w:r>
        <w:rPr>
          <w:rFonts w:hint="eastAsia"/>
          <w:lang w:val="en-US" w:eastAsia="zh-CN"/>
        </w:rPr>
        <w:t>11</w:t>
      </w:r>
      <w:r>
        <w:rPr>
          <w:rFonts w:hint="eastAsia"/>
        </w:rPr>
        <w:t>mg/L，均能够</w:t>
      </w:r>
      <w:r>
        <w:rPr>
          <w:rFonts w:hint="eastAsia"/>
          <w:lang w:val="en-US" w:eastAsia="zh-CN"/>
        </w:rPr>
        <w:t>满足获嘉县同盟污水处理厂收水标准</w:t>
      </w:r>
      <w:r>
        <w:rPr>
          <w:rFonts w:hint="eastAsia"/>
        </w:rPr>
        <w:t>，处理后排入</w:t>
      </w:r>
      <w:r>
        <w:rPr>
          <w:rFonts w:hint="eastAsia"/>
          <w:lang w:val="en-US" w:eastAsia="zh-CN"/>
        </w:rPr>
        <w:t>共产主义渠</w:t>
      </w:r>
      <w:r>
        <w:t>。</w:t>
      </w:r>
    </w:p>
    <w:p w14:paraId="1A1C6B1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bookmarkStart w:id="554" w:name="_Toc108122550"/>
      <w:r>
        <w:rPr>
          <w:rFonts w:hint="eastAsia" w:ascii="Times New Roman" w:hAnsi="Times New Roman"/>
          <w:lang w:val="en-US" w:eastAsia="zh-CN"/>
        </w:rPr>
        <w:t>5.3.2评价等级</w:t>
      </w:r>
      <w:bookmarkEnd w:id="554"/>
      <w:r>
        <w:rPr>
          <w:rFonts w:hint="eastAsia" w:ascii="Times New Roman" w:hAnsi="Times New Roman"/>
          <w:lang w:val="en-US" w:eastAsia="zh-CN"/>
        </w:rPr>
        <w:t>及评价范围</w:t>
      </w:r>
    </w:p>
    <w:p w14:paraId="6BD4E349">
      <w:pPr>
        <w:pStyle w:val="72"/>
        <w:pageBreakBefore w:val="0"/>
        <w:widowControl w:val="0"/>
        <w:kinsoku/>
        <w:wordWrap/>
        <w:overflowPunct/>
        <w:topLinePunct w:val="0"/>
        <w:autoSpaceDE/>
        <w:autoSpaceDN/>
        <w:bidi w:val="0"/>
        <w:adjustRightInd w:val="0"/>
        <w:snapToGrid w:val="0"/>
        <w:spacing w:line="520" w:lineRule="exact"/>
        <w:textAlignment w:val="baseline"/>
      </w:pPr>
      <w:r>
        <w:rPr>
          <w:rFonts w:hint="eastAsia"/>
        </w:rPr>
        <w:t>根据《环境影响评价技术导则  地表水环境》（HJ2.3-2018），直接排放的建设项目评价等级分为一级、二级和三级A，间接排放的建设项目评价等级为三级B。本项目废水经厂区污水处理站处理达标后</w:t>
      </w:r>
      <w:r>
        <w:rPr>
          <w:rFonts w:hint="eastAsia"/>
          <w:lang w:val="en-US" w:eastAsia="zh-CN"/>
        </w:rPr>
        <w:t>排入获嘉县同盟污水处理厂进一步处理</w:t>
      </w:r>
      <w:r>
        <w:rPr>
          <w:rFonts w:hint="eastAsia"/>
        </w:rPr>
        <w:t>，因此属于间接排放，评价等级为三级B。</w:t>
      </w:r>
    </w:p>
    <w:p w14:paraId="4E9EB80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5.3.3</w:t>
      </w:r>
      <w:r>
        <w:rPr>
          <w:rFonts w:hint="eastAsia"/>
          <w:b/>
          <w:bCs/>
          <w:lang w:val="en-US" w:eastAsia="zh-CN"/>
        </w:rPr>
        <w:t>获嘉县同盟污水处理厂</w:t>
      </w:r>
      <w:r>
        <w:rPr>
          <w:rFonts w:hint="eastAsia"/>
          <w:b/>
          <w:bCs/>
        </w:rPr>
        <w:t>概括</w:t>
      </w:r>
    </w:p>
    <w:p w14:paraId="4C8C0E5E">
      <w:pPr>
        <w:ind w:firstLine="480"/>
      </w:pPr>
      <w:r>
        <w:t>获嘉县同盟污水处理厂</w:t>
      </w:r>
      <w:r>
        <w:rPr>
          <w:szCs w:val="24"/>
        </w:rPr>
        <w:t>位于获嘉县城东4km、彦当桥北450m处，采用奥贝尔氧化沟处理工艺，主要处理新月铁路以北的县城生活商业污水和获嘉县产业集聚区东区工业废水，收水范围约11.28km</w:t>
      </w:r>
      <w:r>
        <w:rPr>
          <w:szCs w:val="24"/>
          <w:vertAlign w:val="superscript"/>
        </w:rPr>
        <w:t>2</w:t>
      </w:r>
      <w:r>
        <w:rPr>
          <w:szCs w:val="24"/>
        </w:rPr>
        <w:t>，建设规模</w:t>
      </w:r>
      <w:r>
        <w:rPr>
          <w:rFonts w:hint="eastAsia"/>
          <w:szCs w:val="24"/>
          <w:lang w:val="en-US" w:eastAsia="zh-CN"/>
        </w:rPr>
        <w:t>6</w:t>
      </w:r>
      <w:r>
        <w:rPr>
          <w:szCs w:val="24"/>
        </w:rPr>
        <w:t>万</w:t>
      </w:r>
      <w:r>
        <w:t>m</w:t>
      </w:r>
      <w:r>
        <w:rPr>
          <w:vertAlign w:val="superscript"/>
        </w:rPr>
        <w:t>3</w:t>
      </w:r>
      <w:r>
        <w:t>/d。</w:t>
      </w:r>
      <w:r>
        <w:rPr>
          <w:rFonts w:hint="eastAsia" w:hAnsi="宋体"/>
        </w:rPr>
        <w:t>获嘉县同盟污水处理厂采用奥贝尔氧化沟处理工艺：“格栅→沉砂池→改良型氧化沟→二沉池→反应沉淀池→浸没式超滤膜滤池→接触消毒池→达标排放”，</w:t>
      </w:r>
      <w:r>
        <w:rPr>
          <w:rFonts w:hint="eastAsia"/>
        </w:rPr>
        <w:t>设计收水量为</w:t>
      </w:r>
      <w:r>
        <w:t>6.0</w:t>
      </w:r>
      <w:r>
        <w:rPr>
          <w:rFonts w:hint="eastAsia"/>
        </w:rPr>
        <w:t>万m</w:t>
      </w:r>
      <w:r>
        <w:rPr>
          <w:rFonts w:hint="eastAsia"/>
          <w:vertAlign w:val="superscript"/>
        </w:rPr>
        <w:t>3</w:t>
      </w:r>
      <w:r>
        <w:rPr>
          <w:rFonts w:hint="eastAsia"/>
        </w:rPr>
        <w:t>/d</w:t>
      </w:r>
      <w:r>
        <w:rPr>
          <w:rFonts w:hint="eastAsia"/>
          <w:lang w:eastAsia="zh-CN"/>
        </w:rPr>
        <w:t>。</w:t>
      </w:r>
      <w:r>
        <w:t>进水水质要求为：pH 6~9、COD≤3</w:t>
      </w:r>
      <w:r>
        <w:rPr>
          <w:rFonts w:hint="eastAsia"/>
        </w:rPr>
        <w:t>50</w:t>
      </w:r>
      <w:r>
        <w:t>mg/L、氨氮≤</w:t>
      </w:r>
      <w:r>
        <w:rPr>
          <w:rFonts w:hint="eastAsia"/>
        </w:rPr>
        <w:t>35</w:t>
      </w:r>
      <w:r>
        <w:t>mg/L、SS≤2</w:t>
      </w:r>
      <w:r>
        <w:rPr>
          <w:rFonts w:hint="eastAsia"/>
        </w:rPr>
        <w:t>3</w:t>
      </w:r>
      <w:r>
        <w:t>0mg/L、总磷≤</w:t>
      </w:r>
      <w:r>
        <w:rPr>
          <w:rFonts w:hint="eastAsia"/>
        </w:rPr>
        <w:t>3.5</w:t>
      </w:r>
      <w:r>
        <w:t>mg/L、</w:t>
      </w:r>
      <w:r>
        <w:rPr>
          <w:rFonts w:hint="eastAsia"/>
        </w:rPr>
        <w:t>TN</w:t>
      </w:r>
      <w:r>
        <w:t>≤50mg/L。出水</w:t>
      </w:r>
      <w:r>
        <w:rPr>
          <w:color w:val="000000"/>
        </w:rPr>
        <w:t>执行</w:t>
      </w:r>
      <w:r>
        <w:rPr>
          <w:bCs/>
          <w:color w:val="000000"/>
          <w:lang w:bidi="zh-CN"/>
        </w:rPr>
        <w:t>《地表水环境质量标准》（GB3838-2002）</w:t>
      </w:r>
      <w:r>
        <w:rPr>
          <w:rFonts w:hint="eastAsia"/>
          <w:bCs/>
          <w:color w:val="000000"/>
          <w:lang w:bidi="zh-CN"/>
        </w:rPr>
        <w:t>IV类</w:t>
      </w:r>
      <w:r>
        <w:rPr>
          <w:bCs/>
          <w:color w:val="000000"/>
          <w:lang w:bidi="zh-CN"/>
        </w:rPr>
        <w:t>标准：即</w:t>
      </w:r>
      <w:r>
        <w:rPr>
          <w:bCs/>
          <w:color w:val="000000"/>
        </w:rPr>
        <w:t>CO</w:t>
      </w:r>
      <w:r>
        <w:rPr>
          <w:rFonts w:hint="eastAsia"/>
          <w:bCs/>
          <w:color w:val="000000"/>
        </w:rPr>
        <w:t>3</w:t>
      </w:r>
      <w:r>
        <w:rPr>
          <w:bCs/>
          <w:color w:val="000000"/>
        </w:rPr>
        <w:t>0mg/L、NH</w:t>
      </w:r>
      <w:r>
        <w:rPr>
          <w:bCs/>
          <w:color w:val="000000"/>
          <w:vertAlign w:val="subscript"/>
        </w:rPr>
        <w:t>3</w:t>
      </w:r>
      <w:r>
        <w:rPr>
          <w:bCs/>
          <w:color w:val="000000"/>
        </w:rPr>
        <w:t>-N</w:t>
      </w:r>
      <w:r>
        <w:rPr>
          <w:rFonts w:hint="eastAsia"/>
          <w:bCs/>
          <w:color w:val="000000"/>
        </w:rPr>
        <w:t>1.5</w:t>
      </w:r>
      <w:r>
        <w:rPr>
          <w:bCs/>
          <w:color w:val="000000"/>
        </w:rPr>
        <w:t>mg/L、TP0.</w:t>
      </w:r>
      <w:r>
        <w:rPr>
          <w:rFonts w:hint="eastAsia"/>
          <w:bCs/>
          <w:color w:val="000000"/>
        </w:rPr>
        <w:t>3</w:t>
      </w:r>
      <w:r>
        <w:rPr>
          <w:bCs/>
          <w:color w:val="000000"/>
        </w:rPr>
        <w:t>mg/m</w:t>
      </w:r>
      <w:r>
        <w:rPr>
          <w:bCs/>
          <w:color w:val="000000"/>
          <w:vertAlign w:val="superscript"/>
        </w:rPr>
        <w:t>3</w:t>
      </w:r>
      <w:r>
        <w:rPr>
          <w:bCs/>
          <w:color w:val="000000"/>
        </w:rPr>
        <w:t>；</w:t>
      </w:r>
      <w:r>
        <w:rPr>
          <w:rFonts w:hint="eastAsia"/>
          <w:bCs/>
          <w:color w:val="000000"/>
        </w:rPr>
        <w:t>其他指标</w:t>
      </w:r>
      <w:r>
        <w:rPr>
          <w:bCs/>
          <w:color w:val="000000"/>
        </w:rPr>
        <w:t>执行</w:t>
      </w:r>
      <w:r>
        <w:rPr>
          <w:color w:val="000000"/>
        </w:rPr>
        <w:t>《城镇污水处理厂污染物排放标准》（GB18918-2002）一级A标准</w:t>
      </w:r>
      <w:r>
        <w:rPr>
          <w:bCs/>
        </w:rPr>
        <w:t>TN15mg/L、SS10 mg/L、</w:t>
      </w:r>
      <w:r>
        <w:rPr>
          <w:rFonts w:hint="eastAsia"/>
          <w:bCs/>
        </w:rPr>
        <w:t>石油类</w:t>
      </w:r>
      <w:r>
        <w:rPr>
          <w:bCs/>
        </w:rPr>
        <w:t>1 mg/L</w:t>
      </w:r>
      <w:r>
        <w:rPr>
          <w:color w:val="000000"/>
        </w:rPr>
        <w:t>。</w:t>
      </w:r>
      <w:r>
        <w:t>出水最终排入共产主义渠。</w:t>
      </w:r>
    </w:p>
    <w:p w14:paraId="74EFFEC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5.3.4</w:t>
      </w:r>
      <w:r>
        <w:rPr>
          <w:rFonts w:hint="eastAsia"/>
          <w:b/>
          <w:bCs/>
          <w:lang w:val="en-US" w:eastAsia="zh-CN"/>
        </w:rPr>
        <w:t>项目废水进入污水处理厂的可行性分析</w:t>
      </w:r>
    </w:p>
    <w:p w14:paraId="269E9BF5">
      <w:pPr>
        <w:pStyle w:val="72"/>
      </w:pPr>
      <w:r>
        <w:t>（1）水量及收水管网条件</w:t>
      </w:r>
    </w:p>
    <w:p w14:paraId="26A2C529">
      <w:pPr>
        <w:pStyle w:val="72"/>
        <w:jc w:val="both"/>
        <w:rPr>
          <w:rFonts w:hint="eastAsia" w:eastAsia="宋体"/>
          <w:szCs w:val="24"/>
          <w:lang w:eastAsia="zh-CN"/>
        </w:rPr>
      </w:pPr>
      <w:r>
        <w:rPr>
          <w:rFonts w:hint="eastAsia"/>
          <w:szCs w:val="24"/>
        </w:rPr>
        <w:t>①获嘉县同盟污水处理厂位于获嘉县城东4km、彦当桥北450m处，</w:t>
      </w:r>
      <w:r>
        <w:rPr>
          <w:rFonts w:hint="eastAsia"/>
          <w:szCs w:val="24"/>
          <w:lang w:val="en-US" w:eastAsia="zh-CN"/>
        </w:rPr>
        <w:t>设计处理</w:t>
      </w:r>
      <w:r>
        <w:rPr>
          <w:rFonts w:hint="eastAsia"/>
          <w:szCs w:val="24"/>
        </w:rPr>
        <w:t>规模6万m</w:t>
      </w:r>
      <w:r>
        <w:rPr>
          <w:rFonts w:hint="eastAsia"/>
          <w:szCs w:val="24"/>
          <w:vertAlign w:val="superscript"/>
        </w:rPr>
        <w:t>3</w:t>
      </w:r>
      <w:r>
        <w:rPr>
          <w:rFonts w:hint="eastAsia"/>
          <w:szCs w:val="24"/>
        </w:rPr>
        <w:t>/d。</w:t>
      </w:r>
      <w:r>
        <w:rPr>
          <w:rFonts w:hint="eastAsia"/>
        </w:rPr>
        <w:t>根据调查，目前获嘉县同盟污水处理厂2024年实际运行负荷最大为每月1705248.5m</w:t>
      </w:r>
      <w:r>
        <w:rPr>
          <w:rFonts w:hint="eastAsia"/>
          <w:vertAlign w:val="superscript"/>
        </w:rPr>
        <w:t>3</w:t>
      </w:r>
      <w:r>
        <w:rPr>
          <w:rFonts w:hint="eastAsia"/>
        </w:rPr>
        <w:t>（55008.016m</w:t>
      </w:r>
      <w:r>
        <w:rPr>
          <w:rFonts w:hint="eastAsia"/>
          <w:vertAlign w:val="superscript"/>
        </w:rPr>
        <w:t xml:space="preserve">3 </w:t>
      </w:r>
      <w:r>
        <w:rPr>
          <w:rFonts w:hint="eastAsia"/>
        </w:rPr>
        <w:t>/d），尚有4991.084m</w:t>
      </w:r>
      <w:r>
        <w:rPr>
          <w:rFonts w:hint="eastAsia"/>
          <w:vertAlign w:val="superscript"/>
        </w:rPr>
        <w:t>3</w:t>
      </w:r>
      <w:r>
        <w:rPr>
          <w:rFonts w:hint="eastAsia"/>
        </w:rPr>
        <w:t>/d的余量。</w:t>
      </w:r>
      <w:r>
        <w:rPr>
          <w:rFonts w:hint="eastAsia"/>
          <w:szCs w:val="24"/>
        </w:rPr>
        <w:t>本项目位于获嘉县产业集聚区东区，属于获嘉县同盟污水处理厂的收水范围。</w:t>
      </w:r>
      <w:r>
        <w:rPr>
          <w:rFonts w:hint="eastAsia"/>
        </w:rPr>
        <w:t>本项目建成后全厂废水排放量为</w:t>
      </w:r>
      <w:r>
        <w:rPr>
          <w:rFonts w:hint="eastAsia"/>
          <w:color w:val="000000"/>
          <w:lang w:val="en-US" w:eastAsia="zh-CN"/>
        </w:rPr>
        <w:t>176.615</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 xml:space="preserve"> /d</w:t>
      </w:r>
      <w:r>
        <w:rPr>
          <w:rFonts w:hint="eastAsia"/>
          <w:color w:val="000000"/>
          <w:lang w:val="en-US" w:eastAsia="zh-CN"/>
        </w:rPr>
        <w:t>，占污水处理厂剩余处理量的</w:t>
      </w:r>
      <w:r>
        <w:rPr>
          <w:rFonts w:hint="eastAsia"/>
          <w:color w:val="000000" w:themeColor="text1"/>
          <w:lang w:val="en-US" w:eastAsia="zh-CN"/>
          <w14:textFill>
            <w14:solidFill>
              <w14:schemeClr w14:val="tx1"/>
            </w14:solidFill>
          </w14:textFill>
        </w:rPr>
        <w:t>3.54</w:t>
      </w:r>
      <w:r>
        <w:rPr>
          <w:rFonts w:hint="default"/>
          <w:color w:val="000000" w:themeColor="text1"/>
          <w:lang w:val="en-US" w:eastAsia="zh-CN"/>
          <w14:textFill>
            <w14:solidFill>
              <w14:schemeClr w14:val="tx1"/>
            </w14:solidFill>
          </w14:textFill>
        </w:rPr>
        <w:t>%</w:t>
      </w:r>
      <w:r>
        <w:rPr>
          <w:rFonts w:hint="eastAsia"/>
        </w:rPr>
        <w:t>，因此水量接管可行</w:t>
      </w:r>
      <w:r>
        <w:rPr>
          <w:rFonts w:hint="eastAsia"/>
          <w:lang w:eastAsia="zh-CN"/>
        </w:rPr>
        <w:t>，</w:t>
      </w:r>
      <w:r>
        <w:rPr>
          <w:rFonts w:hint="eastAsia"/>
          <w:szCs w:val="24"/>
        </w:rPr>
        <w:t>不会对获嘉县同盟污水处理厂产生冲击</w:t>
      </w:r>
      <w:r>
        <w:rPr>
          <w:rFonts w:hint="eastAsia"/>
          <w:szCs w:val="24"/>
          <w:lang w:eastAsia="zh-CN"/>
        </w:rPr>
        <w:t>。</w:t>
      </w:r>
    </w:p>
    <w:p w14:paraId="5E877FA7">
      <w:pPr>
        <w:pStyle w:val="72"/>
      </w:pPr>
      <w:r>
        <w:t>（2）水质</w:t>
      </w:r>
    </w:p>
    <w:p w14:paraId="0F3916C4">
      <w:pPr>
        <w:spacing w:line="500" w:lineRule="exact"/>
        <w:ind w:left="240" w:firstLine="480"/>
        <w:rPr>
          <w:szCs w:val="24"/>
        </w:rPr>
      </w:pPr>
      <w:r>
        <w:rPr>
          <w:rFonts w:hint="eastAsia"/>
          <w:szCs w:val="24"/>
        </w:rPr>
        <w:t>本项目废水经处理后获嘉县同盟污水处理厂，厂区总排口水质见下表。</w:t>
      </w:r>
    </w:p>
    <w:p w14:paraId="04EB47B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5.3-1</w:t>
      </w:r>
      <w:r>
        <w:rPr>
          <w:rFonts w:hint="eastAsia" w:ascii="Times New Roman" w:hAnsi="Times New Roman"/>
          <w:b/>
          <w:bCs/>
        </w:rPr>
        <w:t xml:space="preserve">     项目排水与污水处理厂收水水质对比       单位：mg/L</w:t>
      </w:r>
    </w:p>
    <w:tbl>
      <w:tblPr>
        <w:tblStyle w:val="125"/>
        <w:tblW w:w="4999"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57" w:type="dxa"/>
          <w:bottom w:w="0" w:type="dxa"/>
          <w:right w:w="57" w:type="dxa"/>
        </w:tblCellMar>
      </w:tblPr>
      <w:tblGrid>
        <w:gridCol w:w="751"/>
        <w:gridCol w:w="2263"/>
        <w:gridCol w:w="1152"/>
        <w:gridCol w:w="1008"/>
        <w:gridCol w:w="1152"/>
        <w:gridCol w:w="1152"/>
        <w:gridCol w:w="950"/>
      </w:tblGrid>
      <w:tr w14:paraId="260AAD5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751" w:type="dxa"/>
            <w:vAlign w:val="center"/>
          </w:tcPr>
          <w:p w14:paraId="102A040F">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序号</w:t>
            </w:r>
          </w:p>
        </w:tc>
        <w:tc>
          <w:tcPr>
            <w:tcW w:w="2264" w:type="dxa"/>
            <w:vAlign w:val="center"/>
          </w:tcPr>
          <w:p w14:paraId="36EA662D">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项目</w:t>
            </w:r>
          </w:p>
        </w:tc>
        <w:tc>
          <w:tcPr>
            <w:tcW w:w="1152" w:type="dxa"/>
            <w:vAlign w:val="center"/>
          </w:tcPr>
          <w:p w14:paraId="595EA510">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COD</w:t>
            </w:r>
          </w:p>
        </w:tc>
        <w:tc>
          <w:tcPr>
            <w:tcW w:w="1008" w:type="dxa"/>
            <w:vAlign w:val="center"/>
          </w:tcPr>
          <w:p w14:paraId="3FCAB176">
            <w:pPr>
              <w:pStyle w:val="126"/>
              <w:ind w:left="0"/>
              <w:jc w:val="center"/>
              <w:rPr>
                <w:rFonts w:ascii="Times New Roman" w:hAnsi="Times New Roman" w:eastAsia="宋体" w:cs="Times New Roman"/>
                <w:b/>
                <w:bCs/>
                <w:position w:val="1"/>
                <w:sz w:val="21"/>
                <w:szCs w:val="21"/>
                <w:lang w:eastAsia="zh-CN"/>
              </w:rPr>
            </w:pPr>
            <w:r>
              <w:rPr>
                <w:rFonts w:hint="eastAsia" w:ascii="Times New Roman" w:hAnsi="Times New Roman" w:eastAsia="宋体" w:cs="Times New Roman"/>
                <w:b/>
                <w:bCs/>
                <w:position w:val="1"/>
                <w:sz w:val="21"/>
                <w:szCs w:val="21"/>
                <w:lang w:eastAsia="zh-CN"/>
              </w:rPr>
              <w:t>S</w:t>
            </w:r>
            <w:r>
              <w:rPr>
                <w:rFonts w:ascii="Times New Roman" w:hAnsi="Times New Roman" w:eastAsia="宋体" w:cs="Times New Roman"/>
                <w:b/>
                <w:bCs/>
                <w:position w:val="1"/>
                <w:sz w:val="21"/>
                <w:szCs w:val="21"/>
                <w:lang w:eastAsia="zh-CN"/>
              </w:rPr>
              <w:t>S</w:t>
            </w:r>
          </w:p>
        </w:tc>
        <w:tc>
          <w:tcPr>
            <w:tcW w:w="1152" w:type="dxa"/>
            <w:vAlign w:val="center"/>
          </w:tcPr>
          <w:p w14:paraId="1EEF330D">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position w:val="1"/>
                <w:sz w:val="21"/>
                <w:szCs w:val="21"/>
                <w:lang w:eastAsia="en-US"/>
              </w:rPr>
              <w:t>NH</w:t>
            </w:r>
            <w:r>
              <w:rPr>
                <w:rFonts w:ascii="Times New Roman" w:hAnsi="Times New Roman" w:eastAsia="宋体" w:cs="Times New Roman"/>
                <w:b/>
                <w:bCs/>
                <w:sz w:val="21"/>
                <w:szCs w:val="21"/>
                <w:vertAlign w:val="subscript"/>
                <w:lang w:eastAsia="en-US"/>
              </w:rPr>
              <w:t>3</w:t>
            </w:r>
            <w:r>
              <w:rPr>
                <w:rFonts w:ascii="Times New Roman" w:hAnsi="Times New Roman" w:eastAsia="宋体" w:cs="Times New Roman"/>
                <w:b/>
                <w:bCs/>
                <w:position w:val="1"/>
                <w:sz w:val="21"/>
                <w:szCs w:val="21"/>
                <w:lang w:eastAsia="en-US"/>
              </w:rPr>
              <w:t>-N</w:t>
            </w:r>
          </w:p>
        </w:tc>
        <w:tc>
          <w:tcPr>
            <w:tcW w:w="1152" w:type="dxa"/>
            <w:vAlign w:val="center"/>
          </w:tcPr>
          <w:p w14:paraId="59864433">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TN</w:t>
            </w:r>
          </w:p>
        </w:tc>
        <w:tc>
          <w:tcPr>
            <w:tcW w:w="950" w:type="dxa"/>
            <w:vAlign w:val="center"/>
          </w:tcPr>
          <w:p w14:paraId="0EF34780">
            <w:pPr>
              <w:pStyle w:val="126"/>
              <w:ind w:left="0"/>
              <w:jc w:val="center"/>
              <w:rPr>
                <w:rFonts w:ascii="Times New Roman" w:hAnsi="Times New Roman" w:eastAsia="宋体" w:cs="Times New Roman"/>
                <w:b/>
                <w:bCs/>
                <w:sz w:val="21"/>
                <w:szCs w:val="21"/>
                <w:lang w:eastAsia="en-US"/>
              </w:rPr>
            </w:pPr>
            <w:r>
              <w:rPr>
                <w:rFonts w:ascii="Times New Roman" w:hAnsi="Times New Roman" w:eastAsia="宋体" w:cs="Times New Roman"/>
                <w:b/>
                <w:bCs/>
                <w:sz w:val="21"/>
                <w:szCs w:val="21"/>
                <w:lang w:eastAsia="en-US"/>
              </w:rPr>
              <w:t>TP</w:t>
            </w:r>
          </w:p>
        </w:tc>
      </w:tr>
      <w:tr w14:paraId="370412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751" w:type="dxa"/>
            <w:vAlign w:val="center"/>
          </w:tcPr>
          <w:p w14:paraId="02A923D9">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1</w:t>
            </w:r>
          </w:p>
        </w:tc>
        <w:tc>
          <w:tcPr>
            <w:tcW w:w="2264" w:type="dxa"/>
            <w:vAlign w:val="center"/>
          </w:tcPr>
          <w:p w14:paraId="2DD1009E">
            <w:pPr>
              <w:pStyle w:val="126"/>
              <w:ind w:left="0"/>
              <w:jc w:val="center"/>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本项目厂区总排口水质</w:t>
            </w:r>
          </w:p>
        </w:tc>
        <w:tc>
          <w:tcPr>
            <w:tcW w:w="1152" w:type="dxa"/>
            <w:vAlign w:val="center"/>
          </w:tcPr>
          <w:p w14:paraId="46117D80">
            <w:pPr>
              <w:pStyle w:val="75"/>
              <w:autoSpaceDE w:val="0"/>
              <w:autoSpaceDN w:val="0"/>
              <w:ind w:firstLine="0" w:firstLineChars="0"/>
              <w:rPr>
                <w:rFonts w:hint="default" w:ascii="Times New Roman" w:hAnsi="Times New Roman" w:eastAsia="宋体" w:cs="Times New Roman"/>
                <w:sz w:val="21"/>
                <w:szCs w:val="21"/>
                <w:lang w:val="en-US" w:eastAsia="en-US"/>
              </w:rPr>
            </w:pPr>
            <w:r>
              <w:rPr>
                <w:rFonts w:hint="eastAsia"/>
                <w:color w:val="000000" w:themeColor="text1"/>
                <w:highlight w:val="none"/>
                <w:lang w:val="en-US" w:eastAsia="zh-CN"/>
                <w14:textFill>
                  <w14:solidFill>
                    <w14:schemeClr w14:val="tx1"/>
                  </w14:solidFill>
                </w14:textFill>
              </w:rPr>
              <w:t>92.6</w:t>
            </w:r>
          </w:p>
        </w:tc>
        <w:tc>
          <w:tcPr>
            <w:tcW w:w="1008" w:type="dxa"/>
            <w:vAlign w:val="center"/>
          </w:tcPr>
          <w:p w14:paraId="2DF8F8A7">
            <w:pPr>
              <w:pStyle w:val="75"/>
              <w:autoSpaceDE w:val="0"/>
              <w:autoSpaceDN w:val="0"/>
              <w:ind w:firstLine="0" w:firstLineChars="0"/>
              <w:rPr>
                <w:rFonts w:hint="default" w:ascii="Times New Roman" w:hAnsi="Times New Roman" w:eastAsia="宋体" w:cs="Times New Roman"/>
                <w:sz w:val="21"/>
                <w:szCs w:val="21"/>
                <w:lang w:val="en-US" w:eastAsia="en-US"/>
              </w:rPr>
            </w:pPr>
            <w:r>
              <w:rPr>
                <w:rFonts w:hint="eastAsia"/>
                <w:color w:val="000000" w:themeColor="text1"/>
                <w:highlight w:val="none"/>
                <w:lang w:val="en-US" w:eastAsia="zh-CN"/>
                <w14:textFill>
                  <w14:solidFill>
                    <w14:schemeClr w14:val="tx1"/>
                  </w14:solidFill>
                </w14:textFill>
              </w:rPr>
              <w:t>58.1</w:t>
            </w:r>
          </w:p>
        </w:tc>
        <w:tc>
          <w:tcPr>
            <w:tcW w:w="1152" w:type="dxa"/>
            <w:vAlign w:val="center"/>
          </w:tcPr>
          <w:p w14:paraId="280868A6">
            <w:pPr>
              <w:pStyle w:val="75"/>
              <w:autoSpaceDE w:val="0"/>
              <w:autoSpaceDN w:val="0"/>
              <w:ind w:firstLine="0" w:firstLineChars="0"/>
              <w:rPr>
                <w:rFonts w:hint="default" w:ascii="Times New Roman" w:hAnsi="Times New Roman" w:eastAsia="宋体" w:cs="Times New Roman"/>
                <w:sz w:val="21"/>
                <w:szCs w:val="21"/>
                <w:lang w:val="en-US" w:eastAsia="en-US"/>
              </w:rPr>
            </w:pPr>
            <w:r>
              <w:rPr>
                <w:rFonts w:hint="eastAsia"/>
                <w:color w:val="000000" w:themeColor="text1"/>
                <w:highlight w:val="none"/>
                <w:lang w:val="en-US" w:eastAsia="zh-CN"/>
                <w14:textFill>
                  <w14:solidFill>
                    <w14:schemeClr w14:val="tx1"/>
                  </w14:solidFill>
                </w14:textFill>
              </w:rPr>
              <w:t>9.3</w:t>
            </w:r>
          </w:p>
        </w:tc>
        <w:tc>
          <w:tcPr>
            <w:tcW w:w="1152" w:type="dxa"/>
            <w:vAlign w:val="center"/>
          </w:tcPr>
          <w:p w14:paraId="65A37747">
            <w:pPr>
              <w:pStyle w:val="126"/>
              <w:ind w:left="0"/>
              <w:jc w:val="center"/>
              <w:rPr>
                <w:rFonts w:hint="default" w:ascii="Times New Roman" w:hAnsi="Times New Roman" w:eastAsia="宋体" w:cs="Times New Roman"/>
                <w:sz w:val="21"/>
                <w:szCs w:val="21"/>
                <w:lang w:val="en-US" w:eastAsia="en-US"/>
              </w:rPr>
            </w:pPr>
            <w:r>
              <w:rPr>
                <w:rFonts w:hint="eastAsia" w:ascii="Times New Roman" w:hAnsi="Times New Roman" w:eastAsia="宋体" w:cs="Times New Roman"/>
                <w:sz w:val="21"/>
                <w:szCs w:val="21"/>
                <w:lang w:val="en-US" w:eastAsia="zh-CN"/>
              </w:rPr>
              <w:t>11</w:t>
            </w:r>
          </w:p>
        </w:tc>
        <w:tc>
          <w:tcPr>
            <w:tcW w:w="950" w:type="dxa"/>
            <w:vAlign w:val="center"/>
          </w:tcPr>
          <w:p w14:paraId="4B23C9DD">
            <w:pPr>
              <w:pStyle w:val="126"/>
              <w:ind w:left="0"/>
              <w:jc w:val="center"/>
              <w:rPr>
                <w:rFonts w:hint="default" w:ascii="Times New Roman" w:hAnsi="Times New Roman" w:eastAsia="宋体" w:cs="Times New Roman"/>
                <w:sz w:val="21"/>
                <w:szCs w:val="21"/>
                <w:lang w:val="en-US" w:eastAsia="en-US"/>
              </w:rPr>
            </w:pPr>
            <w:r>
              <w:rPr>
                <w:rFonts w:hint="eastAsia" w:ascii="Times New Roman" w:hAnsi="Times New Roman" w:eastAsia="宋体" w:cs="Times New Roman"/>
                <w:sz w:val="21"/>
                <w:szCs w:val="21"/>
                <w:lang w:val="en-US" w:eastAsia="zh-CN"/>
              </w:rPr>
              <w:t>0.7</w:t>
            </w:r>
          </w:p>
        </w:tc>
      </w:tr>
      <w:tr w14:paraId="085F58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751" w:type="dxa"/>
            <w:vAlign w:val="center"/>
          </w:tcPr>
          <w:p w14:paraId="325140EC">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w w:val="99"/>
                <w:sz w:val="21"/>
                <w:szCs w:val="21"/>
                <w:lang w:eastAsia="en-US"/>
              </w:rPr>
              <w:t>2</w:t>
            </w:r>
          </w:p>
        </w:tc>
        <w:tc>
          <w:tcPr>
            <w:tcW w:w="2264" w:type="dxa"/>
            <w:vAlign w:val="center"/>
          </w:tcPr>
          <w:p w14:paraId="72347566">
            <w:pPr>
              <w:pStyle w:val="126"/>
              <w:ind w:left="0"/>
              <w:jc w:val="left"/>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获嘉县同盟污水处理厂</w:t>
            </w:r>
            <w:r>
              <w:rPr>
                <w:rFonts w:ascii="Times New Roman" w:hAnsi="Times New Roman" w:eastAsia="宋体" w:cs="Times New Roman"/>
                <w:sz w:val="21"/>
                <w:szCs w:val="21"/>
                <w:lang w:eastAsia="zh-CN"/>
              </w:rPr>
              <w:t>收水水质要求</w:t>
            </w:r>
          </w:p>
        </w:tc>
        <w:tc>
          <w:tcPr>
            <w:tcW w:w="1152" w:type="dxa"/>
            <w:vAlign w:val="center"/>
          </w:tcPr>
          <w:p w14:paraId="6188B7D3">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350</w:t>
            </w:r>
          </w:p>
        </w:tc>
        <w:tc>
          <w:tcPr>
            <w:tcW w:w="1008" w:type="dxa"/>
            <w:vAlign w:val="center"/>
          </w:tcPr>
          <w:p w14:paraId="5484EF06">
            <w:pPr>
              <w:pStyle w:val="126"/>
              <w:ind w:left="0"/>
              <w:jc w:val="center"/>
              <w:rPr>
                <w:rFonts w:hint="default" w:ascii="Times New Roman" w:hAnsi="Times New Roman" w:eastAsia="宋体" w:cs="Times New Roman"/>
                <w:sz w:val="21"/>
                <w:szCs w:val="21"/>
                <w:lang w:val="en-US" w:eastAsia="en-US"/>
              </w:rPr>
            </w:pPr>
            <w:r>
              <w:rPr>
                <w:rFonts w:hint="eastAsia" w:ascii="Times New Roman" w:hAnsi="Times New Roman" w:eastAsia="宋体" w:cs="Times New Roman"/>
                <w:sz w:val="21"/>
                <w:szCs w:val="21"/>
                <w:lang w:val="en-US" w:eastAsia="zh-CN"/>
              </w:rPr>
              <w:t>230</w:t>
            </w:r>
          </w:p>
        </w:tc>
        <w:tc>
          <w:tcPr>
            <w:tcW w:w="1152" w:type="dxa"/>
            <w:vAlign w:val="center"/>
          </w:tcPr>
          <w:p w14:paraId="5500F789">
            <w:pPr>
              <w:pStyle w:val="126"/>
              <w:ind w:left="0"/>
              <w:jc w:val="center"/>
              <w:rPr>
                <w:rFonts w:ascii="Times New Roman" w:hAnsi="Times New Roman" w:eastAsia="宋体" w:cs="Times New Roman"/>
                <w:sz w:val="21"/>
                <w:szCs w:val="21"/>
                <w:lang w:eastAsia="en-US"/>
              </w:rPr>
            </w:pPr>
            <w:r>
              <w:rPr>
                <w:rFonts w:hint="eastAsia" w:ascii="Times New Roman" w:hAnsi="Times New Roman" w:eastAsia="宋体" w:cs="Times New Roman"/>
                <w:sz w:val="21"/>
                <w:szCs w:val="21"/>
                <w:lang w:eastAsia="zh-CN"/>
              </w:rPr>
              <w:t>35</w:t>
            </w:r>
          </w:p>
        </w:tc>
        <w:tc>
          <w:tcPr>
            <w:tcW w:w="1152" w:type="dxa"/>
            <w:vAlign w:val="center"/>
          </w:tcPr>
          <w:p w14:paraId="21253377">
            <w:pPr>
              <w:pStyle w:val="126"/>
              <w:ind w:lef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w:t>
            </w:r>
          </w:p>
        </w:tc>
        <w:tc>
          <w:tcPr>
            <w:tcW w:w="950" w:type="dxa"/>
            <w:vAlign w:val="center"/>
          </w:tcPr>
          <w:p w14:paraId="2B3416E7">
            <w:pPr>
              <w:pStyle w:val="126"/>
              <w:ind w:left="0"/>
              <w:jc w:val="center"/>
              <w:rPr>
                <w:rFonts w:hint="default" w:ascii="Times New Roman" w:hAnsi="Times New Roman" w:eastAsia="宋体" w:cs="Times New Roman"/>
                <w:sz w:val="21"/>
                <w:szCs w:val="21"/>
                <w:lang w:val="en-US" w:eastAsia="en-US"/>
              </w:rPr>
            </w:pPr>
            <w:r>
              <w:rPr>
                <w:rFonts w:hint="eastAsia" w:ascii="Times New Roman" w:hAnsi="Times New Roman" w:eastAsia="宋体" w:cs="Times New Roman"/>
                <w:sz w:val="21"/>
                <w:szCs w:val="21"/>
                <w:lang w:val="en-US" w:eastAsia="zh-CN"/>
              </w:rPr>
              <w:t>3.5</w:t>
            </w:r>
          </w:p>
        </w:tc>
      </w:tr>
      <w:tr w14:paraId="32439C9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trHeight w:val="397" w:hRule="atLeast"/>
          <w:jc w:val="center"/>
        </w:trPr>
        <w:tc>
          <w:tcPr>
            <w:tcW w:w="3015" w:type="dxa"/>
            <w:gridSpan w:val="2"/>
            <w:vAlign w:val="center"/>
          </w:tcPr>
          <w:p w14:paraId="63D125C4">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c>
          <w:tcPr>
            <w:tcW w:w="1152" w:type="dxa"/>
            <w:vAlign w:val="center"/>
          </w:tcPr>
          <w:p w14:paraId="69A2CB88">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c>
          <w:tcPr>
            <w:tcW w:w="1008" w:type="dxa"/>
            <w:vAlign w:val="center"/>
          </w:tcPr>
          <w:p w14:paraId="31248DF9">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c>
          <w:tcPr>
            <w:tcW w:w="1152" w:type="dxa"/>
            <w:vAlign w:val="center"/>
          </w:tcPr>
          <w:p w14:paraId="25671FDC">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c>
          <w:tcPr>
            <w:tcW w:w="1152" w:type="dxa"/>
            <w:vAlign w:val="center"/>
          </w:tcPr>
          <w:p w14:paraId="003E13A4">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c>
          <w:tcPr>
            <w:tcW w:w="950" w:type="dxa"/>
            <w:vAlign w:val="center"/>
          </w:tcPr>
          <w:p w14:paraId="68843073">
            <w:pPr>
              <w:pStyle w:val="126"/>
              <w:ind w:left="0"/>
              <w:jc w:val="center"/>
              <w:rPr>
                <w:rFonts w:ascii="Times New Roman" w:hAnsi="Times New Roman" w:eastAsia="宋体" w:cs="Times New Roman"/>
                <w:sz w:val="21"/>
                <w:szCs w:val="21"/>
                <w:lang w:eastAsia="en-US"/>
              </w:rPr>
            </w:pPr>
            <w:r>
              <w:rPr>
                <w:rFonts w:ascii="Times New Roman" w:hAnsi="Times New Roman" w:eastAsia="宋体" w:cs="Times New Roman"/>
                <w:sz w:val="21"/>
                <w:szCs w:val="21"/>
                <w:lang w:eastAsia="en-US"/>
              </w:rPr>
              <w:t>满足</w:t>
            </w:r>
          </w:p>
        </w:tc>
      </w:tr>
    </w:tbl>
    <w:p w14:paraId="56D2C12D">
      <w:pPr>
        <w:pStyle w:val="72"/>
      </w:pPr>
      <w:r>
        <w:rPr>
          <w:rFonts w:hint="eastAsia"/>
        </w:rPr>
        <w:t>由上表可知，总排口水质能够满足</w:t>
      </w:r>
      <w:r>
        <w:rPr>
          <w:rFonts w:hint="eastAsia"/>
          <w:szCs w:val="24"/>
        </w:rPr>
        <w:t>获嘉县同盟污水处理厂</w:t>
      </w:r>
      <w:r>
        <w:rPr>
          <w:rFonts w:hint="eastAsia"/>
        </w:rPr>
        <w:t>收水水质要求。评价认为本项目废水排放不会对</w:t>
      </w:r>
      <w:r>
        <w:rPr>
          <w:rFonts w:hint="eastAsia"/>
          <w:szCs w:val="24"/>
        </w:rPr>
        <w:t>获嘉县同盟污水处理厂</w:t>
      </w:r>
      <w:r>
        <w:rPr>
          <w:rFonts w:hint="eastAsia"/>
        </w:rPr>
        <w:t>系统造成冲击或其他不利影响。</w:t>
      </w:r>
    </w:p>
    <w:p w14:paraId="7621565C">
      <w:pPr>
        <w:pStyle w:val="72"/>
      </w:pPr>
      <w:r>
        <w:rPr>
          <w:rFonts w:hint="eastAsia"/>
        </w:rPr>
        <w:t>综上所述，本项目获嘉县同盟污水处理厂处理的方案可行</w:t>
      </w:r>
      <w:r>
        <w:t>。</w:t>
      </w:r>
    </w:p>
    <w:p w14:paraId="77FAF1E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55" w:name="_Toc108122552"/>
      <w:r>
        <w:rPr>
          <w:rFonts w:hint="eastAsia" w:ascii="Times New Roman" w:hAnsi="Times New Roman"/>
          <w:lang w:val="en-US" w:eastAsia="zh-CN"/>
        </w:rPr>
        <w:t>5.3.5依托污水处理设施稳定达标排放分析</w:t>
      </w:r>
      <w:bookmarkEnd w:id="555"/>
    </w:p>
    <w:p w14:paraId="784BEDFA">
      <w:pPr>
        <w:ind w:firstLine="480"/>
        <w:rPr>
          <w:bCs/>
        </w:rPr>
      </w:pPr>
      <w:r>
        <w:rPr>
          <w:rFonts w:hint="eastAsia"/>
        </w:rPr>
        <w:t>根据2024年</w:t>
      </w:r>
      <w:r>
        <w:rPr>
          <w:rFonts w:hint="eastAsia"/>
          <w:lang w:val="en-US" w:eastAsia="zh-CN"/>
        </w:rPr>
        <w:t>12</w:t>
      </w:r>
      <w:r>
        <w:rPr>
          <w:rFonts w:hint="eastAsia"/>
        </w:rPr>
        <w:t>月在线检测数据可知，获嘉县同盟污水处理厂出水水质</w:t>
      </w:r>
      <w:r>
        <w:rPr>
          <w:rFonts w:hint="eastAsia"/>
          <w:lang w:val="en-US" w:eastAsia="zh-CN"/>
        </w:rPr>
        <w:t>均值</w:t>
      </w:r>
      <w:r>
        <w:rPr>
          <w:rFonts w:hint="eastAsia"/>
        </w:rPr>
        <w:t xml:space="preserve">COD </w:t>
      </w:r>
      <w:r>
        <w:rPr>
          <w:rFonts w:hint="eastAsia"/>
          <w:lang w:val="en-US" w:eastAsia="zh-CN"/>
        </w:rPr>
        <w:t>18.69</w:t>
      </w:r>
      <w:r>
        <w:rPr>
          <w:rFonts w:hint="eastAsia"/>
        </w:rPr>
        <w:t>mg/L、NH</w:t>
      </w:r>
      <w:r>
        <w:rPr>
          <w:rFonts w:hint="eastAsia"/>
          <w:vertAlign w:val="subscript"/>
        </w:rPr>
        <w:t>3</w:t>
      </w:r>
      <w:r>
        <w:rPr>
          <w:rFonts w:hint="eastAsia"/>
        </w:rPr>
        <w:t>-N</w:t>
      </w:r>
      <w:r>
        <w:rPr>
          <w:rFonts w:hint="eastAsia"/>
          <w:lang w:val="en-US" w:eastAsia="zh-CN"/>
        </w:rPr>
        <w:t>0.88</w:t>
      </w:r>
      <w:r>
        <w:rPr>
          <w:rFonts w:hint="eastAsia"/>
        </w:rPr>
        <w:t>mg/L、TP</w:t>
      </w:r>
      <w:r>
        <w:rPr>
          <w:rFonts w:hint="eastAsia"/>
          <w:lang w:val="en-US" w:eastAsia="zh-CN"/>
        </w:rPr>
        <w:t>0.26</w:t>
      </w:r>
      <w:r>
        <w:rPr>
          <w:rFonts w:hint="eastAsia"/>
        </w:rPr>
        <w:t>mg/L</w:t>
      </w:r>
      <w:r>
        <w:rPr>
          <w:rFonts w:hint="eastAsia"/>
          <w:lang w:eastAsia="zh-CN"/>
        </w:rPr>
        <w:t>、</w:t>
      </w:r>
      <w:r>
        <w:rPr>
          <w:rFonts w:hint="eastAsia"/>
        </w:rPr>
        <w:t>T</w:t>
      </w:r>
      <w:r>
        <w:rPr>
          <w:rFonts w:hint="eastAsia"/>
          <w:lang w:val="en-US" w:eastAsia="zh-CN"/>
        </w:rPr>
        <w:t>N10.98</w:t>
      </w:r>
      <w:r>
        <w:rPr>
          <w:rFonts w:hint="eastAsia"/>
        </w:rPr>
        <w:t>mg/L，</w:t>
      </w:r>
      <w:r>
        <w:rPr>
          <w:rFonts w:hint="eastAsia"/>
          <w:szCs w:val="24"/>
        </w:rPr>
        <w:t>均</w:t>
      </w:r>
      <w:r>
        <w:rPr>
          <w:rFonts w:hint="eastAsia"/>
          <w:bCs/>
        </w:rPr>
        <w:t>可以满足《地表水环境质量标准》（GB3838-2002）IV类水体标准</w:t>
      </w:r>
      <w:r>
        <w:rPr>
          <w:rFonts w:hint="eastAsia"/>
          <w:bCs/>
          <w:lang w:val="en-US" w:eastAsia="zh-CN"/>
        </w:rPr>
        <w:t>要求</w:t>
      </w:r>
      <w:r>
        <w:rPr>
          <w:bCs/>
        </w:rPr>
        <w:t>，TN</w:t>
      </w:r>
      <w:r>
        <w:rPr>
          <w:rFonts w:hint="eastAsia"/>
          <w:bCs/>
        </w:rPr>
        <w:t>可以</w:t>
      </w:r>
      <w:r>
        <w:rPr>
          <w:bCs/>
        </w:rPr>
        <w:t>满足《城镇污水处理厂污染物排放标准》（GB18918-2002）表1一</w:t>
      </w:r>
      <w:r>
        <w:rPr>
          <w:rFonts w:hint="eastAsia"/>
          <w:bCs/>
        </w:rPr>
        <w:t>级A的要求，因此</w:t>
      </w:r>
      <w:r>
        <w:rPr>
          <w:rFonts w:hint="eastAsia"/>
          <w:szCs w:val="24"/>
        </w:rPr>
        <w:t>获嘉县同盟污水处理厂</w:t>
      </w:r>
      <w:r>
        <w:rPr>
          <w:rFonts w:hint="eastAsia"/>
          <w:bCs/>
        </w:rPr>
        <w:t>可以达标排放。</w:t>
      </w:r>
    </w:p>
    <w:p w14:paraId="13F587D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56" w:name="_Toc108122553"/>
      <w:r>
        <w:rPr>
          <w:rFonts w:hint="eastAsia" w:ascii="Times New Roman" w:hAnsi="Times New Roman"/>
          <w:lang w:val="en-US" w:eastAsia="zh-CN"/>
        </w:rPr>
        <w:t>5.3.6地表水环境现状分析</w:t>
      </w:r>
      <w:bookmarkEnd w:id="556"/>
    </w:p>
    <w:p w14:paraId="4D69B619">
      <w:pPr>
        <w:pStyle w:val="72"/>
      </w:pPr>
      <w:r>
        <w:rPr>
          <w:rFonts w:hint="eastAsia"/>
        </w:rPr>
        <w:t>根据新乡市环境监测站编制的例行监测中共渠西永康断面2024年监测数据可以看出，监测结果显示，共渠西永康断面2024年COD、氨氮、总磷均能满足《地表水环境质量标准》（GB3838-2002）IV类标准。共渠西永康该段水质良好。目前，新乡市正在推进实施《新乡市2024年碧水保卫战实施方案》，将继续改善新乡市水环境质量。</w:t>
      </w:r>
    </w:p>
    <w:p w14:paraId="6B7BB93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57" w:name="_Toc108122554"/>
      <w:r>
        <w:rPr>
          <w:rFonts w:hint="eastAsia" w:ascii="Times New Roman" w:hAnsi="Times New Roman"/>
          <w:lang w:val="en-US" w:eastAsia="zh-CN"/>
        </w:rPr>
        <w:t>5.3.7地表水环境影响分析</w:t>
      </w:r>
      <w:bookmarkEnd w:id="557"/>
    </w:p>
    <w:p w14:paraId="047E6967">
      <w:pPr>
        <w:pStyle w:val="72"/>
        <w:rPr>
          <w:rFonts w:hint="eastAsia"/>
        </w:rPr>
      </w:pPr>
      <w:r>
        <w:rPr>
          <w:rFonts w:hint="eastAsia"/>
          <w:bCs/>
        </w:rPr>
        <w:t>本项目总废水排放量为</w:t>
      </w:r>
      <w:r>
        <w:rPr>
          <w:rFonts w:hint="eastAsia"/>
          <w:color w:val="000000" w:themeColor="text1"/>
          <w:highlight w:val="none"/>
          <w:lang w:val="en-US" w:eastAsia="zh-CN"/>
          <w14:textFill>
            <w14:solidFill>
              <w14:schemeClr w14:val="tx1"/>
            </w14:solidFill>
          </w14:textFill>
        </w:rPr>
        <w:t>176.615</w:t>
      </w:r>
      <w:r>
        <w:rPr>
          <w:rFonts w:hint="eastAsia"/>
          <w:bCs/>
        </w:rPr>
        <w:t>m</w:t>
      </w:r>
      <w:r>
        <w:rPr>
          <w:rFonts w:hint="eastAsia"/>
          <w:bCs/>
          <w:vertAlign w:val="superscript"/>
        </w:rPr>
        <w:t>3</w:t>
      </w:r>
      <w:r>
        <w:rPr>
          <w:rFonts w:hint="eastAsia"/>
          <w:bCs/>
        </w:rPr>
        <w:t>/d，废水主要污染物排放浓度为</w:t>
      </w:r>
      <w:r>
        <w:rPr>
          <w:rFonts w:hint="eastAsia"/>
        </w:rPr>
        <w:t xml:space="preserve">COD </w:t>
      </w:r>
      <w:r>
        <w:rPr>
          <w:rFonts w:hint="eastAsia"/>
          <w:lang w:val="en-US" w:eastAsia="zh-CN"/>
        </w:rPr>
        <w:t>92.6</w:t>
      </w:r>
      <w:r>
        <w:rPr>
          <w:rFonts w:hint="eastAsia"/>
        </w:rPr>
        <w:t>mg/L、</w:t>
      </w:r>
      <w:r>
        <w:rPr>
          <w:rFonts w:hint="eastAsia"/>
          <w:b w:val="0"/>
          <w:bCs w:val="0"/>
        </w:rPr>
        <w:t>S</w:t>
      </w:r>
      <w:r>
        <w:rPr>
          <w:b w:val="0"/>
          <w:bCs w:val="0"/>
        </w:rPr>
        <w:t>S</w:t>
      </w:r>
      <w:r>
        <w:rPr>
          <w:rFonts w:hint="eastAsia"/>
          <w:b w:val="0"/>
          <w:bCs w:val="0"/>
          <w:lang w:val="en-US" w:eastAsia="zh-CN"/>
        </w:rPr>
        <w:t xml:space="preserve"> 58.1</w:t>
      </w:r>
      <w:r>
        <w:rPr>
          <w:rFonts w:hint="eastAsia"/>
          <w:bCs/>
        </w:rPr>
        <w:t>mg/L</w:t>
      </w:r>
      <w:r>
        <w:rPr>
          <w:rFonts w:hint="eastAsia"/>
          <w:b/>
          <w:bCs/>
        </w:rPr>
        <w:t>、</w:t>
      </w:r>
      <w:r>
        <w:rPr>
          <w:rFonts w:hint="eastAsia"/>
        </w:rPr>
        <w:t>NH</w:t>
      </w:r>
      <w:r>
        <w:rPr>
          <w:rFonts w:hint="eastAsia"/>
          <w:vertAlign w:val="subscript"/>
        </w:rPr>
        <w:t>3</w:t>
      </w:r>
      <w:r>
        <w:rPr>
          <w:rFonts w:hint="eastAsia"/>
        </w:rPr>
        <w:t xml:space="preserve">-N </w:t>
      </w:r>
      <w:r>
        <w:rPr>
          <w:rFonts w:hint="eastAsia"/>
          <w:lang w:val="en-US" w:eastAsia="zh-CN"/>
        </w:rPr>
        <w:t>9.3</w:t>
      </w:r>
      <w:r>
        <w:rPr>
          <w:rFonts w:hint="eastAsia"/>
        </w:rPr>
        <w:t xml:space="preserve">mg/L、TP </w:t>
      </w:r>
      <w:r>
        <w:rPr>
          <w:rFonts w:hint="eastAsia"/>
          <w:lang w:val="en-US" w:eastAsia="zh-CN"/>
        </w:rPr>
        <w:t>0.7</w:t>
      </w:r>
      <w:r>
        <w:rPr>
          <w:rFonts w:hint="eastAsia"/>
        </w:rPr>
        <w:t xml:space="preserve">mg/L、TN </w:t>
      </w:r>
      <w:r>
        <w:rPr>
          <w:rFonts w:hint="eastAsia"/>
          <w:lang w:val="en-US" w:eastAsia="zh-CN"/>
        </w:rPr>
        <w:t>11</w:t>
      </w:r>
      <w:r>
        <w:rPr>
          <w:rFonts w:hint="eastAsia"/>
        </w:rPr>
        <w:t>mg/L</w:t>
      </w:r>
      <w:r>
        <w:rPr>
          <w:rFonts w:hint="eastAsia"/>
          <w:bCs/>
        </w:rPr>
        <w:t>，各污染因子均能</w:t>
      </w:r>
      <w:r>
        <w:rPr>
          <w:rFonts w:hint="eastAsia"/>
          <w:bCs/>
          <w:lang w:val="en-US" w:eastAsia="zh-CN"/>
        </w:rPr>
        <w:t>满足</w:t>
      </w:r>
      <w:r>
        <w:rPr>
          <w:rFonts w:hint="eastAsia"/>
        </w:rPr>
        <w:t>获嘉县同盟污水处理厂</w:t>
      </w:r>
      <w:r>
        <w:rPr>
          <w:rFonts w:hint="eastAsia"/>
          <w:bCs/>
        </w:rPr>
        <w:t>的收水水质要求，且项目排放废水量占其处理负荷量比例较小、总处理量未超出设计处理负荷量，不会对获嘉县同盟污水处理厂的出水水质产生影响。获嘉县同盟污水处理厂出水可满足《地表水环境质量标准》（GB3838-2002）IV类标准要</w:t>
      </w:r>
      <w:r>
        <w:rPr>
          <w:bCs/>
        </w:rPr>
        <w:t>求</w:t>
      </w:r>
      <w:r>
        <w:rPr>
          <w:rFonts w:hint="eastAsia"/>
          <w:bCs/>
        </w:rPr>
        <w:t>和</w:t>
      </w:r>
      <w:r>
        <w:rPr>
          <w:bCs/>
        </w:rPr>
        <w:t>《城镇污水处理厂污染物排放标准》（GB18918-2002）表1一</w:t>
      </w:r>
      <w:r>
        <w:rPr>
          <w:rFonts w:hint="eastAsia"/>
          <w:bCs/>
        </w:rPr>
        <w:t>级A的要求。因此评价认为：项目废水经处理后，对地表水环境的影响可接受</w:t>
      </w:r>
      <w:r>
        <w:rPr>
          <w:rFonts w:hint="eastAsia"/>
        </w:rPr>
        <w:t>。</w:t>
      </w:r>
    </w:p>
    <w:p w14:paraId="1896D2A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5.3.8废水排放信息</w:t>
      </w:r>
    </w:p>
    <w:p w14:paraId="425E0AC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5.3-2</w:t>
      </w:r>
      <w:r>
        <w:rPr>
          <w:rFonts w:hint="eastAsia" w:ascii="Times New Roman" w:hAnsi="Times New Roman"/>
          <w:b/>
          <w:bCs/>
        </w:rPr>
        <w:t xml:space="preserve">     </w:t>
      </w:r>
      <w:r>
        <w:rPr>
          <w:rFonts w:hint="eastAsia"/>
          <w:b/>
          <w:bCs/>
          <w:lang w:val="en-US" w:eastAsia="zh-CN"/>
        </w:rPr>
        <w:t>废水类别、污染物及污染治理设施信息表</w:t>
      </w:r>
      <w:r>
        <w:rPr>
          <w:rFonts w:hint="eastAsia" w:ascii="Times New Roman" w:hAnsi="Times New Roman"/>
          <w:b/>
          <w:bCs/>
        </w:rPr>
        <w:t xml:space="preserve">       单位：mg/L</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266"/>
        <w:gridCol w:w="740"/>
        <w:gridCol w:w="1489"/>
        <w:gridCol w:w="363"/>
        <w:gridCol w:w="551"/>
        <w:gridCol w:w="825"/>
        <w:gridCol w:w="938"/>
        <w:gridCol w:w="1336"/>
        <w:gridCol w:w="720"/>
        <w:gridCol w:w="454"/>
        <w:gridCol w:w="687"/>
      </w:tblGrid>
      <w:tr w14:paraId="4749E05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vMerge w:val="restart"/>
            <w:tcBorders>
              <w:tl2br w:val="nil"/>
              <w:tr2bl w:val="nil"/>
            </w:tcBorders>
            <w:noWrap w:val="0"/>
            <w:vAlign w:val="center"/>
          </w:tcPr>
          <w:p w14:paraId="32C2FA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序号</w:t>
            </w:r>
          </w:p>
        </w:tc>
        <w:tc>
          <w:tcPr>
            <w:tcW w:w="442" w:type="pct"/>
            <w:vMerge w:val="restart"/>
            <w:tcBorders>
              <w:tl2br w:val="nil"/>
              <w:tr2bl w:val="nil"/>
            </w:tcBorders>
            <w:noWrap w:val="0"/>
            <w:vAlign w:val="center"/>
          </w:tcPr>
          <w:p w14:paraId="2B9030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废水</w:t>
            </w:r>
          </w:p>
          <w:p w14:paraId="4F25D4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类别</w:t>
            </w:r>
          </w:p>
        </w:tc>
        <w:tc>
          <w:tcPr>
            <w:tcW w:w="889" w:type="pct"/>
            <w:vMerge w:val="restart"/>
            <w:tcBorders>
              <w:tl2br w:val="nil"/>
              <w:tr2bl w:val="nil"/>
            </w:tcBorders>
            <w:noWrap w:val="0"/>
            <w:vAlign w:val="center"/>
          </w:tcPr>
          <w:p w14:paraId="7280C7F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主要污染物种类</w:t>
            </w:r>
          </w:p>
        </w:tc>
        <w:tc>
          <w:tcPr>
            <w:tcW w:w="216" w:type="pct"/>
            <w:vMerge w:val="restart"/>
            <w:tcBorders>
              <w:tl2br w:val="nil"/>
              <w:tr2bl w:val="nil"/>
            </w:tcBorders>
            <w:noWrap w:val="0"/>
            <w:vAlign w:val="center"/>
          </w:tcPr>
          <w:p w14:paraId="22E7589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排放去向</w:t>
            </w:r>
          </w:p>
        </w:tc>
        <w:tc>
          <w:tcPr>
            <w:tcW w:w="329" w:type="pct"/>
            <w:vMerge w:val="restart"/>
            <w:tcBorders>
              <w:tl2br w:val="nil"/>
              <w:tr2bl w:val="nil"/>
            </w:tcBorders>
            <w:noWrap w:val="0"/>
            <w:vAlign w:val="center"/>
          </w:tcPr>
          <w:p w14:paraId="658A5E6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排放规律</w:t>
            </w:r>
          </w:p>
        </w:tc>
        <w:tc>
          <w:tcPr>
            <w:tcW w:w="1851" w:type="pct"/>
            <w:gridSpan w:val="3"/>
            <w:tcBorders>
              <w:tl2br w:val="nil"/>
              <w:tr2bl w:val="nil"/>
            </w:tcBorders>
            <w:noWrap w:val="0"/>
            <w:vAlign w:val="center"/>
          </w:tcPr>
          <w:p w14:paraId="1101BE1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污染治理措施</w:t>
            </w:r>
          </w:p>
        </w:tc>
        <w:tc>
          <w:tcPr>
            <w:tcW w:w="430" w:type="pct"/>
            <w:vMerge w:val="restart"/>
            <w:tcBorders>
              <w:tl2br w:val="nil"/>
              <w:tr2bl w:val="nil"/>
            </w:tcBorders>
            <w:noWrap w:val="0"/>
            <w:vAlign w:val="center"/>
          </w:tcPr>
          <w:p w14:paraId="11E4F9B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排放口编号</w:t>
            </w:r>
          </w:p>
        </w:tc>
        <w:tc>
          <w:tcPr>
            <w:tcW w:w="271" w:type="pct"/>
            <w:vMerge w:val="restart"/>
            <w:tcBorders>
              <w:tl2br w:val="nil"/>
              <w:tr2bl w:val="nil"/>
            </w:tcBorders>
            <w:noWrap w:val="0"/>
            <w:vAlign w:val="center"/>
          </w:tcPr>
          <w:p w14:paraId="7BD656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排放口设置是否符合要求</w:t>
            </w:r>
          </w:p>
        </w:tc>
        <w:tc>
          <w:tcPr>
            <w:tcW w:w="410" w:type="pct"/>
            <w:vMerge w:val="restart"/>
            <w:tcBorders>
              <w:tl2br w:val="nil"/>
              <w:tr2bl w:val="nil"/>
            </w:tcBorders>
            <w:noWrap w:val="0"/>
            <w:vAlign w:val="center"/>
          </w:tcPr>
          <w:p w14:paraId="478D88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排放口类型</w:t>
            </w:r>
          </w:p>
        </w:tc>
      </w:tr>
      <w:tr w14:paraId="6E30016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vMerge w:val="continue"/>
            <w:tcBorders>
              <w:tl2br w:val="nil"/>
              <w:tr2bl w:val="nil"/>
            </w:tcBorders>
            <w:noWrap w:val="0"/>
            <w:vAlign w:val="center"/>
          </w:tcPr>
          <w:p w14:paraId="697B87C1">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442" w:type="pct"/>
            <w:vMerge w:val="continue"/>
            <w:tcBorders>
              <w:tl2br w:val="nil"/>
              <w:tr2bl w:val="nil"/>
            </w:tcBorders>
            <w:noWrap w:val="0"/>
            <w:vAlign w:val="center"/>
          </w:tcPr>
          <w:p w14:paraId="2270302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889" w:type="pct"/>
            <w:vMerge w:val="continue"/>
            <w:tcBorders>
              <w:tl2br w:val="nil"/>
              <w:tr2bl w:val="nil"/>
            </w:tcBorders>
            <w:noWrap w:val="0"/>
            <w:vAlign w:val="center"/>
          </w:tcPr>
          <w:p w14:paraId="1A19BCDF">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216" w:type="pct"/>
            <w:vMerge w:val="continue"/>
            <w:tcBorders>
              <w:tl2br w:val="nil"/>
              <w:tr2bl w:val="nil"/>
            </w:tcBorders>
            <w:noWrap w:val="0"/>
            <w:vAlign w:val="center"/>
          </w:tcPr>
          <w:p w14:paraId="43BAFD3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329" w:type="pct"/>
            <w:vMerge w:val="continue"/>
            <w:tcBorders>
              <w:tl2br w:val="nil"/>
              <w:tr2bl w:val="nil"/>
            </w:tcBorders>
            <w:noWrap w:val="0"/>
            <w:vAlign w:val="center"/>
          </w:tcPr>
          <w:p w14:paraId="1C1A2C3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492" w:type="pct"/>
            <w:tcBorders>
              <w:tl2br w:val="nil"/>
              <w:tr2bl w:val="nil"/>
            </w:tcBorders>
            <w:noWrap w:val="0"/>
            <w:vAlign w:val="center"/>
          </w:tcPr>
          <w:p w14:paraId="2D5CBB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污染治理设施编号</w:t>
            </w:r>
          </w:p>
        </w:tc>
        <w:tc>
          <w:tcPr>
            <w:tcW w:w="560" w:type="pct"/>
            <w:tcBorders>
              <w:tl2br w:val="nil"/>
              <w:tr2bl w:val="nil"/>
            </w:tcBorders>
            <w:noWrap w:val="0"/>
            <w:vAlign w:val="center"/>
          </w:tcPr>
          <w:p w14:paraId="673449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污染治理设施名称</w:t>
            </w:r>
          </w:p>
        </w:tc>
        <w:tc>
          <w:tcPr>
            <w:tcW w:w="798" w:type="pct"/>
            <w:tcBorders>
              <w:tl2br w:val="nil"/>
              <w:tr2bl w:val="nil"/>
            </w:tcBorders>
            <w:noWrap w:val="0"/>
            <w:vAlign w:val="center"/>
          </w:tcPr>
          <w:p w14:paraId="70C4E66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污染治理设施工艺</w:t>
            </w:r>
          </w:p>
        </w:tc>
        <w:tc>
          <w:tcPr>
            <w:tcW w:w="430" w:type="pct"/>
            <w:vMerge w:val="continue"/>
            <w:tcBorders>
              <w:tl2br w:val="nil"/>
              <w:tr2bl w:val="nil"/>
            </w:tcBorders>
            <w:noWrap w:val="0"/>
            <w:vAlign w:val="center"/>
          </w:tcPr>
          <w:p w14:paraId="69D95D5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271" w:type="pct"/>
            <w:vMerge w:val="continue"/>
            <w:tcBorders>
              <w:tl2br w:val="nil"/>
              <w:tr2bl w:val="nil"/>
            </w:tcBorders>
            <w:noWrap w:val="0"/>
            <w:vAlign w:val="center"/>
          </w:tcPr>
          <w:p w14:paraId="69AADE3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410" w:type="pct"/>
            <w:vMerge w:val="continue"/>
            <w:tcBorders>
              <w:tl2br w:val="nil"/>
              <w:tr2bl w:val="nil"/>
            </w:tcBorders>
            <w:noWrap w:val="0"/>
            <w:vAlign w:val="center"/>
          </w:tcPr>
          <w:p w14:paraId="7D54B8F2">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r>
      <w:tr w14:paraId="2997797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158" w:type="pct"/>
            <w:tcBorders>
              <w:tl2br w:val="nil"/>
              <w:tr2bl w:val="nil"/>
            </w:tcBorders>
            <w:noWrap w:val="0"/>
            <w:vAlign w:val="center"/>
          </w:tcPr>
          <w:p w14:paraId="3A71F6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1</w:t>
            </w:r>
          </w:p>
        </w:tc>
        <w:tc>
          <w:tcPr>
            <w:tcW w:w="442" w:type="pct"/>
            <w:tcBorders>
              <w:tl2br w:val="nil"/>
              <w:tr2bl w:val="nil"/>
            </w:tcBorders>
            <w:noWrap w:val="0"/>
            <w:vAlign w:val="center"/>
          </w:tcPr>
          <w:p w14:paraId="45261C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含镍</w:t>
            </w:r>
          </w:p>
          <w:p w14:paraId="6988CA4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cs="Times New Roman"/>
                <w:spacing w:val="0"/>
                <w:kern w:val="21"/>
                <w:sz w:val="21"/>
                <w:szCs w:val="21"/>
              </w:rPr>
              <w:t>废水</w:t>
            </w:r>
          </w:p>
        </w:tc>
        <w:tc>
          <w:tcPr>
            <w:tcW w:w="889" w:type="pct"/>
            <w:tcBorders>
              <w:tl2br w:val="nil"/>
              <w:tr2bl w:val="nil"/>
            </w:tcBorders>
            <w:noWrap w:val="0"/>
            <w:vAlign w:val="center"/>
          </w:tcPr>
          <w:p w14:paraId="2C8E64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eastAsia="Times New Roman" w:cs="Times New Roman"/>
                <w:spacing w:val="0"/>
                <w:kern w:val="21"/>
                <w:sz w:val="21"/>
                <w:szCs w:val="21"/>
              </w:rPr>
              <w:t>pH</w:t>
            </w:r>
            <w:r>
              <w:rPr>
                <w:rFonts w:hint="default" w:ascii="Times New Roman" w:hAnsi="Times New Roman" w:cs="Times New Roman"/>
                <w:spacing w:val="0"/>
                <w:kern w:val="21"/>
                <w:sz w:val="21"/>
                <w:szCs w:val="21"/>
              </w:rPr>
              <w:t>、</w:t>
            </w:r>
            <w:r>
              <w:rPr>
                <w:rFonts w:hint="default" w:ascii="Times New Roman" w:hAnsi="Times New Roman" w:eastAsia="Times New Roman" w:cs="Times New Roman"/>
                <w:spacing w:val="0"/>
                <w:kern w:val="21"/>
                <w:sz w:val="21"/>
                <w:szCs w:val="21"/>
              </w:rPr>
              <w:t>COD</w:t>
            </w:r>
            <w:r>
              <w:rPr>
                <w:rFonts w:hint="default" w:ascii="Times New Roman" w:hAnsi="Times New Roman" w:cs="Times New Roman"/>
                <w:spacing w:val="0"/>
                <w:kern w:val="21"/>
                <w:sz w:val="21"/>
                <w:szCs w:val="21"/>
              </w:rPr>
              <w:t>、总镍</w:t>
            </w:r>
          </w:p>
        </w:tc>
        <w:tc>
          <w:tcPr>
            <w:tcW w:w="216" w:type="pct"/>
            <w:tcBorders>
              <w:tl2br w:val="nil"/>
              <w:tr2bl w:val="nil"/>
            </w:tcBorders>
            <w:noWrap w:val="0"/>
            <w:vAlign w:val="center"/>
          </w:tcPr>
          <w:p w14:paraId="62031AB2">
            <w:pPr>
              <w:bidi w:val="0"/>
              <w:spacing w:line="240" w:lineRule="auto"/>
              <w:rPr>
                <w:rFonts w:hint="default"/>
                <w:sz w:val="21"/>
                <w:szCs w:val="21"/>
              </w:rPr>
            </w:pPr>
            <w:r>
              <w:rPr>
                <w:rFonts w:hint="default"/>
                <w:sz w:val="21"/>
                <w:szCs w:val="21"/>
              </w:rPr>
              <w:t>不外排</w:t>
            </w:r>
          </w:p>
        </w:tc>
        <w:tc>
          <w:tcPr>
            <w:tcW w:w="329" w:type="pct"/>
            <w:tcBorders>
              <w:tl2br w:val="nil"/>
              <w:tr2bl w:val="nil"/>
            </w:tcBorders>
            <w:noWrap w:val="0"/>
            <w:vAlign w:val="center"/>
          </w:tcPr>
          <w:p w14:paraId="1B5E7E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sz w:val="21"/>
                <w:szCs w:val="21"/>
                <w:lang w:val="en-US" w:eastAsia="zh-CN"/>
              </w:rPr>
            </w:pPr>
            <w:r>
              <w:rPr>
                <w:rFonts w:hint="default"/>
                <w:sz w:val="21"/>
                <w:szCs w:val="21"/>
                <w:lang w:val="en-US" w:eastAsia="zh-CN"/>
              </w:rPr>
              <w:t>/</w:t>
            </w:r>
          </w:p>
        </w:tc>
        <w:tc>
          <w:tcPr>
            <w:tcW w:w="492" w:type="pct"/>
            <w:tcBorders>
              <w:tl2br w:val="nil"/>
              <w:tr2bl w:val="nil"/>
            </w:tcBorders>
            <w:noWrap w:val="0"/>
            <w:vAlign w:val="center"/>
          </w:tcPr>
          <w:p w14:paraId="4C8BE3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lang w:val="en-US" w:eastAsia="zh-CN"/>
              </w:rPr>
            </w:pPr>
            <w:r>
              <w:rPr>
                <w:rFonts w:hint="default"/>
                <w:sz w:val="21"/>
                <w:szCs w:val="21"/>
                <w:lang w:val="en-US" w:eastAsia="zh-CN"/>
              </w:rPr>
              <w:t>TW001</w:t>
            </w:r>
          </w:p>
        </w:tc>
        <w:tc>
          <w:tcPr>
            <w:tcW w:w="560" w:type="pct"/>
            <w:tcBorders>
              <w:tl2br w:val="nil"/>
              <w:tr2bl w:val="nil"/>
            </w:tcBorders>
            <w:noWrap w:val="0"/>
            <w:vAlign w:val="center"/>
          </w:tcPr>
          <w:p w14:paraId="128ACEF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cs="Times New Roman"/>
                <w:spacing w:val="0"/>
                <w:kern w:val="21"/>
                <w:sz w:val="21"/>
                <w:szCs w:val="21"/>
              </w:rPr>
              <w:t>含镍废水预处理</w:t>
            </w:r>
            <w:r>
              <w:rPr>
                <w:rFonts w:hint="default" w:ascii="Times New Roman" w:hAnsi="Times New Roman" w:eastAsia="Times New Roman" w:cs="Times New Roman"/>
                <w:spacing w:val="0"/>
                <w:kern w:val="21"/>
                <w:sz w:val="21"/>
                <w:szCs w:val="21"/>
              </w:rPr>
              <w:t>+</w:t>
            </w:r>
            <w:r>
              <w:rPr>
                <w:rFonts w:hint="default" w:ascii="Times New Roman" w:hAnsi="Times New Roman" w:cs="Times New Roman"/>
                <w:spacing w:val="0"/>
                <w:kern w:val="21"/>
                <w:sz w:val="21"/>
                <w:szCs w:val="21"/>
              </w:rPr>
              <w:t>零排系统</w:t>
            </w:r>
          </w:p>
        </w:tc>
        <w:tc>
          <w:tcPr>
            <w:tcW w:w="798" w:type="pct"/>
            <w:tcBorders>
              <w:tl2br w:val="nil"/>
              <w:tr2bl w:val="nil"/>
            </w:tcBorders>
            <w:noWrap w:val="0"/>
            <w:vAlign w:val="center"/>
          </w:tcPr>
          <w:p w14:paraId="0013754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eastAsia="Times New Roman" w:cs="Times New Roman"/>
                <w:snapToGrid w:val="0"/>
                <w:spacing w:val="0"/>
                <w:kern w:val="21"/>
                <w:sz w:val="21"/>
                <w:szCs w:val="21"/>
              </w:rPr>
              <w:t>调节+混凝沉淀+碳滤+超滤+反渗透+蒸发</w:t>
            </w:r>
          </w:p>
        </w:tc>
        <w:tc>
          <w:tcPr>
            <w:tcW w:w="430" w:type="pct"/>
            <w:tcBorders>
              <w:tl2br w:val="nil"/>
              <w:tr2bl w:val="nil"/>
            </w:tcBorders>
            <w:noWrap w:val="0"/>
            <w:vAlign w:val="center"/>
          </w:tcPr>
          <w:p w14:paraId="19B8131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271" w:type="pct"/>
            <w:tcBorders>
              <w:tl2br w:val="nil"/>
              <w:tr2bl w:val="nil"/>
            </w:tcBorders>
            <w:noWrap w:val="0"/>
            <w:vAlign w:val="center"/>
          </w:tcPr>
          <w:p w14:paraId="2DBE351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410" w:type="pct"/>
            <w:tcBorders>
              <w:tl2br w:val="nil"/>
              <w:tr2bl w:val="nil"/>
            </w:tcBorders>
            <w:noWrap w:val="0"/>
            <w:vAlign w:val="center"/>
          </w:tcPr>
          <w:p w14:paraId="670E6A4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r>
      <w:tr w14:paraId="032866C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tcBorders>
              <w:tl2br w:val="nil"/>
              <w:tr2bl w:val="nil"/>
            </w:tcBorders>
            <w:noWrap w:val="0"/>
            <w:vAlign w:val="center"/>
          </w:tcPr>
          <w:p w14:paraId="7B358FC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2</w:t>
            </w:r>
          </w:p>
        </w:tc>
        <w:tc>
          <w:tcPr>
            <w:tcW w:w="442" w:type="pct"/>
            <w:tcBorders>
              <w:tl2br w:val="nil"/>
              <w:tr2bl w:val="nil"/>
            </w:tcBorders>
            <w:noWrap w:val="0"/>
            <w:vAlign w:val="center"/>
          </w:tcPr>
          <w:p w14:paraId="72C08EE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含铬</w:t>
            </w:r>
          </w:p>
          <w:p w14:paraId="5B0B141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cs="Times New Roman"/>
                <w:spacing w:val="0"/>
                <w:kern w:val="21"/>
                <w:sz w:val="21"/>
                <w:szCs w:val="21"/>
              </w:rPr>
              <w:t>废水</w:t>
            </w:r>
          </w:p>
        </w:tc>
        <w:tc>
          <w:tcPr>
            <w:tcW w:w="889" w:type="pct"/>
            <w:tcBorders>
              <w:tl2br w:val="nil"/>
              <w:tr2bl w:val="nil"/>
            </w:tcBorders>
            <w:noWrap w:val="0"/>
            <w:vAlign w:val="center"/>
          </w:tcPr>
          <w:p w14:paraId="33EE3BF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eastAsia="Times New Roman" w:cs="Times New Roman"/>
                <w:spacing w:val="0"/>
                <w:kern w:val="21"/>
                <w:sz w:val="21"/>
                <w:szCs w:val="21"/>
              </w:rPr>
              <w:t>pH</w:t>
            </w:r>
            <w:r>
              <w:rPr>
                <w:rFonts w:hint="default" w:ascii="Times New Roman" w:hAnsi="Times New Roman" w:cs="Times New Roman"/>
                <w:spacing w:val="0"/>
                <w:kern w:val="21"/>
                <w:sz w:val="21"/>
                <w:szCs w:val="21"/>
              </w:rPr>
              <w:t>、总铬</w:t>
            </w:r>
          </w:p>
        </w:tc>
        <w:tc>
          <w:tcPr>
            <w:tcW w:w="216" w:type="pct"/>
            <w:tcBorders>
              <w:tl2br w:val="nil"/>
              <w:tr2bl w:val="nil"/>
            </w:tcBorders>
            <w:noWrap w:val="0"/>
            <w:vAlign w:val="center"/>
          </w:tcPr>
          <w:p w14:paraId="17F8CC09">
            <w:pPr>
              <w:bidi w:val="0"/>
              <w:spacing w:line="240" w:lineRule="auto"/>
              <w:rPr>
                <w:rFonts w:hint="default"/>
                <w:sz w:val="21"/>
                <w:szCs w:val="21"/>
                <w:lang w:val="en-US" w:eastAsia="zh-CN"/>
              </w:rPr>
            </w:pPr>
            <w:r>
              <w:rPr>
                <w:rFonts w:hint="default"/>
                <w:sz w:val="21"/>
                <w:szCs w:val="21"/>
                <w:lang w:val="en-US" w:eastAsia="zh-CN"/>
              </w:rPr>
              <w:t>不外排</w:t>
            </w:r>
          </w:p>
        </w:tc>
        <w:tc>
          <w:tcPr>
            <w:tcW w:w="329" w:type="pct"/>
            <w:tcBorders>
              <w:tl2br w:val="nil"/>
              <w:tr2bl w:val="nil"/>
            </w:tcBorders>
            <w:noWrap w:val="0"/>
            <w:vAlign w:val="center"/>
          </w:tcPr>
          <w:p w14:paraId="0521F2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sz w:val="21"/>
                <w:szCs w:val="21"/>
                <w:lang w:val="en-US" w:eastAsia="zh-CN"/>
              </w:rPr>
            </w:pPr>
            <w:r>
              <w:rPr>
                <w:rFonts w:hint="default"/>
                <w:sz w:val="21"/>
                <w:szCs w:val="21"/>
                <w:lang w:val="en-US" w:eastAsia="zh-CN"/>
              </w:rPr>
              <w:t>/</w:t>
            </w:r>
          </w:p>
        </w:tc>
        <w:tc>
          <w:tcPr>
            <w:tcW w:w="492" w:type="pct"/>
            <w:tcBorders>
              <w:tl2br w:val="nil"/>
              <w:tr2bl w:val="nil"/>
            </w:tcBorders>
            <w:noWrap w:val="0"/>
            <w:vAlign w:val="center"/>
          </w:tcPr>
          <w:p w14:paraId="4DAE23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lang w:val="en-US" w:eastAsia="zh-CN"/>
              </w:rPr>
            </w:pPr>
            <w:r>
              <w:rPr>
                <w:rFonts w:hint="default"/>
                <w:sz w:val="21"/>
                <w:szCs w:val="21"/>
                <w:lang w:val="en-US" w:eastAsia="zh-CN"/>
              </w:rPr>
              <w:t>TW002</w:t>
            </w:r>
          </w:p>
        </w:tc>
        <w:tc>
          <w:tcPr>
            <w:tcW w:w="560" w:type="pct"/>
            <w:tcBorders>
              <w:tl2br w:val="nil"/>
              <w:tr2bl w:val="nil"/>
            </w:tcBorders>
            <w:noWrap w:val="0"/>
            <w:vAlign w:val="center"/>
          </w:tcPr>
          <w:p w14:paraId="08C71F3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cs="Times New Roman"/>
                <w:spacing w:val="0"/>
                <w:kern w:val="21"/>
                <w:sz w:val="21"/>
                <w:szCs w:val="21"/>
              </w:rPr>
              <w:t>含铬废水预处理</w:t>
            </w:r>
            <w:r>
              <w:rPr>
                <w:rFonts w:hint="default" w:ascii="Times New Roman" w:hAnsi="Times New Roman" w:eastAsia="Times New Roman" w:cs="Times New Roman"/>
                <w:spacing w:val="0"/>
                <w:kern w:val="21"/>
                <w:sz w:val="21"/>
                <w:szCs w:val="21"/>
              </w:rPr>
              <w:t>+</w:t>
            </w:r>
            <w:r>
              <w:rPr>
                <w:rFonts w:hint="default" w:ascii="Times New Roman" w:hAnsi="Times New Roman" w:cs="Times New Roman"/>
                <w:spacing w:val="0"/>
                <w:kern w:val="21"/>
                <w:sz w:val="21"/>
                <w:szCs w:val="21"/>
              </w:rPr>
              <w:t>零排系统</w:t>
            </w:r>
          </w:p>
        </w:tc>
        <w:tc>
          <w:tcPr>
            <w:tcW w:w="798" w:type="pct"/>
            <w:tcBorders>
              <w:tl2br w:val="nil"/>
              <w:tr2bl w:val="nil"/>
            </w:tcBorders>
            <w:noWrap w:val="0"/>
            <w:vAlign w:val="center"/>
          </w:tcPr>
          <w:p w14:paraId="4B653BE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eastAsia" w:ascii="Times New Roman" w:hAnsi="Times New Roman" w:eastAsia="宋体" w:cs="Times New Roman"/>
                <w:snapToGrid w:val="0"/>
                <w:spacing w:val="0"/>
                <w:kern w:val="21"/>
                <w:sz w:val="21"/>
                <w:szCs w:val="21"/>
                <w:lang w:val="en-US" w:eastAsia="zh-CN"/>
              </w:rPr>
              <w:t>调</w:t>
            </w:r>
            <w:r>
              <w:rPr>
                <w:rFonts w:hint="default" w:ascii="Times New Roman" w:hAnsi="Times New Roman" w:eastAsia="Times New Roman" w:cs="Times New Roman"/>
                <w:snapToGrid w:val="0"/>
                <w:spacing w:val="0"/>
                <w:kern w:val="21"/>
                <w:sz w:val="21"/>
                <w:szCs w:val="21"/>
              </w:rPr>
              <w:t>节+混凝沉淀+碳滤+超滤+反渗透+蒸发</w:t>
            </w:r>
          </w:p>
        </w:tc>
        <w:tc>
          <w:tcPr>
            <w:tcW w:w="430" w:type="pct"/>
            <w:tcBorders>
              <w:tl2br w:val="nil"/>
              <w:tr2bl w:val="nil"/>
            </w:tcBorders>
            <w:noWrap w:val="0"/>
            <w:vAlign w:val="center"/>
          </w:tcPr>
          <w:p w14:paraId="5E78601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271" w:type="pct"/>
            <w:tcBorders>
              <w:tl2br w:val="nil"/>
              <w:tr2bl w:val="nil"/>
            </w:tcBorders>
            <w:noWrap w:val="0"/>
            <w:vAlign w:val="center"/>
          </w:tcPr>
          <w:p w14:paraId="074DA8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410" w:type="pct"/>
            <w:tcBorders>
              <w:tl2br w:val="nil"/>
              <w:tr2bl w:val="nil"/>
            </w:tcBorders>
            <w:noWrap w:val="0"/>
            <w:vAlign w:val="center"/>
          </w:tcPr>
          <w:p w14:paraId="157C9D0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r>
      <w:tr w14:paraId="1882A9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tcBorders>
              <w:tl2br w:val="nil"/>
              <w:tr2bl w:val="nil"/>
            </w:tcBorders>
            <w:noWrap w:val="0"/>
            <w:vAlign w:val="center"/>
          </w:tcPr>
          <w:p w14:paraId="51E88DB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3</w:t>
            </w:r>
          </w:p>
        </w:tc>
        <w:tc>
          <w:tcPr>
            <w:tcW w:w="442" w:type="pct"/>
            <w:tcBorders>
              <w:tl2br w:val="nil"/>
              <w:tr2bl w:val="nil"/>
            </w:tcBorders>
            <w:noWrap w:val="0"/>
            <w:vAlign w:val="center"/>
          </w:tcPr>
          <w:p w14:paraId="499ECF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除油</w:t>
            </w:r>
          </w:p>
          <w:p w14:paraId="4E39795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废水</w:t>
            </w:r>
          </w:p>
        </w:tc>
        <w:tc>
          <w:tcPr>
            <w:tcW w:w="889" w:type="pct"/>
            <w:tcBorders>
              <w:tl2br w:val="nil"/>
              <w:tr2bl w:val="nil"/>
            </w:tcBorders>
            <w:noWrap w:val="0"/>
            <w:vAlign w:val="center"/>
          </w:tcPr>
          <w:p w14:paraId="72C2EAF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pH、COD、NH</w:t>
            </w:r>
            <w:r>
              <w:rPr>
                <w:rFonts w:hint="default" w:ascii="Times New Roman" w:hAnsi="Times New Roman" w:eastAsia="Times New Roman" w:cs="Times New Roman"/>
                <w:spacing w:val="0"/>
                <w:kern w:val="21"/>
                <w:sz w:val="21"/>
                <w:szCs w:val="21"/>
                <w:vertAlign w:val="subscript"/>
              </w:rPr>
              <w:t>3</w:t>
            </w:r>
            <w:r>
              <w:rPr>
                <w:rFonts w:hint="default" w:ascii="Times New Roman" w:hAnsi="Times New Roman" w:eastAsia="Times New Roman" w:cs="Times New Roman"/>
                <w:spacing w:val="0"/>
                <w:kern w:val="21"/>
                <w:sz w:val="21"/>
                <w:szCs w:val="21"/>
              </w:rPr>
              <w:t>-N、TP、TN、石油类</w:t>
            </w:r>
          </w:p>
        </w:tc>
        <w:tc>
          <w:tcPr>
            <w:tcW w:w="546" w:type="pct"/>
            <w:gridSpan w:val="2"/>
            <w:tcBorders>
              <w:tl2br w:val="nil"/>
              <w:tr2bl w:val="nil"/>
            </w:tcBorders>
            <w:noWrap w:val="0"/>
            <w:vAlign w:val="center"/>
          </w:tcPr>
          <w:p w14:paraId="1DAD7D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rPr>
            </w:pPr>
            <w:r>
              <w:rPr>
                <w:rFonts w:hint="default"/>
                <w:sz w:val="21"/>
                <w:szCs w:val="21"/>
              </w:rPr>
              <w:t>废水经</w:t>
            </w:r>
            <w:r>
              <w:rPr>
                <w:rFonts w:hint="default"/>
                <w:sz w:val="21"/>
                <w:szCs w:val="21"/>
                <w:lang w:val="en-US" w:eastAsia="zh-CN"/>
              </w:rPr>
              <w:t>预</w:t>
            </w:r>
            <w:r>
              <w:rPr>
                <w:rFonts w:hint="default"/>
                <w:sz w:val="21"/>
                <w:szCs w:val="21"/>
              </w:rPr>
              <w:t>处理后，进入</w:t>
            </w:r>
            <w:r>
              <w:rPr>
                <w:rFonts w:hint="default"/>
                <w:sz w:val="21"/>
                <w:szCs w:val="21"/>
                <w:lang w:val="en-US" w:eastAsia="zh-CN"/>
              </w:rPr>
              <w:t>综合</w:t>
            </w:r>
            <w:r>
              <w:rPr>
                <w:rFonts w:hint="default"/>
                <w:sz w:val="21"/>
                <w:szCs w:val="21"/>
              </w:rPr>
              <w:t>废水</w:t>
            </w:r>
            <w:r>
              <w:rPr>
                <w:rFonts w:hint="default"/>
                <w:sz w:val="21"/>
                <w:szCs w:val="21"/>
                <w:lang w:val="en-US" w:eastAsia="zh-CN"/>
              </w:rPr>
              <w:t>预处理</w:t>
            </w:r>
            <w:r>
              <w:rPr>
                <w:rFonts w:hint="default"/>
                <w:sz w:val="21"/>
                <w:szCs w:val="21"/>
              </w:rPr>
              <w:t>系统进一步处理</w:t>
            </w:r>
          </w:p>
        </w:tc>
        <w:tc>
          <w:tcPr>
            <w:tcW w:w="492" w:type="pct"/>
            <w:tcBorders>
              <w:tl2br w:val="nil"/>
              <w:tr2bl w:val="nil"/>
            </w:tcBorders>
            <w:noWrap w:val="0"/>
            <w:vAlign w:val="center"/>
          </w:tcPr>
          <w:p w14:paraId="5D4BD0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TW00</w:t>
            </w:r>
            <w:r>
              <w:rPr>
                <w:rFonts w:hint="eastAsia" w:ascii="Times New Roman" w:hAnsi="Times New Roman" w:eastAsia="宋体" w:cs="Times New Roman"/>
                <w:spacing w:val="0"/>
                <w:kern w:val="21"/>
                <w:sz w:val="21"/>
                <w:szCs w:val="21"/>
                <w:lang w:val="en-US" w:eastAsia="zh-CN"/>
              </w:rPr>
              <w:t>3</w:t>
            </w:r>
          </w:p>
        </w:tc>
        <w:tc>
          <w:tcPr>
            <w:tcW w:w="560" w:type="pct"/>
            <w:tcBorders>
              <w:tl2br w:val="nil"/>
              <w:tr2bl w:val="nil"/>
            </w:tcBorders>
            <w:noWrap w:val="0"/>
            <w:vAlign w:val="center"/>
          </w:tcPr>
          <w:p w14:paraId="5E40D9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破乳+气浮池</w:t>
            </w:r>
          </w:p>
        </w:tc>
        <w:tc>
          <w:tcPr>
            <w:tcW w:w="798" w:type="pct"/>
            <w:tcBorders>
              <w:tl2br w:val="nil"/>
              <w:tr2bl w:val="nil"/>
            </w:tcBorders>
            <w:noWrap w:val="0"/>
            <w:vAlign w:val="center"/>
          </w:tcPr>
          <w:p w14:paraId="03E2021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破乳+气浮池</w:t>
            </w:r>
            <w:r>
              <w:rPr>
                <w:rFonts w:hint="default" w:ascii="Times New Roman" w:hAnsi="Times New Roman" w:cs="Times New Roman"/>
                <w:spacing w:val="0"/>
                <w:kern w:val="21"/>
                <w:sz w:val="21"/>
                <w:szCs w:val="21"/>
              </w:rPr>
              <w:t>预处理后进入综合废水处理系统</w:t>
            </w:r>
          </w:p>
        </w:tc>
        <w:tc>
          <w:tcPr>
            <w:tcW w:w="430" w:type="pct"/>
            <w:tcBorders>
              <w:tl2br w:val="nil"/>
              <w:tr2bl w:val="nil"/>
            </w:tcBorders>
            <w:noWrap w:val="0"/>
            <w:vAlign w:val="center"/>
          </w:tcPr>
          <w:p w14:paraId="21BB91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271" w:type="pct"/>
            <w:tcBorders>
              <w:tl2br w:val="nil"/>
              <w:tr2bl w:val="nil"/>
            </w:tcBorders>
            <w:noWrap w:val="0"/>
            <w:vAlign w:val="center"/>
          </w:tcPr>
          <w:p w14:paraId="6CB81F1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410" w:type="pct"/>
            <w:tcBorders>
              <w:tl2br w:val="nil"/>
              <w:tr2bl w:val="nil"/>
            </w:tcBorders>
            <w:noWrap w:val="0"/>
            <w:vAlign w:val="center"/>
          </w:tcPr>
          <w:p w14:paraId="654F94B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r>
      <w:tr w14:paraId="4BFA5E9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tcBorders>
              <w:tl2br w:val="nil"/>
              <w:tr2bl w:val="nil"/>
            </w:tcBorders>
            <w:noWrap w:val="0"/>
            <w:vAlign w:val="center"/>
          </w:tcPr>
          <w:p w14:paraId="73005BB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4</w:t>
            </w:r>
          </w:p>
        </w:tc>
        <w:tc>
          <w:tcPr>
            <w:tcW w:w="442" w:type="pct"/>
            <w:tcBorders>
              <w:tl2br w:val="nil"/>
              <w:tr2bl w:val="nil"/>
            </w:tcBorders>
            <w:noWrap w:val="0"/>
            <w:vAlign w:val="center"/>
          </w:tcPr>
          <w:p w14:paraId="2E0BC21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综合</w:t>
            </w:r>
          </w:p>
          <w:p w14:paraId="3099B5B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废水</w:t>
            </w:r>
          </w:p>
        </w:tc>
        <w:tc>
          <w:tcPr>
            <w:tcW w:w="889" w:type="pct"/>
            <w:tcBorders>
              <w:tl2br w:val="nil"/>
              <w:tr2bl w:val="nil"/>
            </w:tcBorders>
            <w:noWrap w:val="0"/>
            <w:vAlign w:val="center"/>
          </w:tcPr>
          <w:p w14:paraId="1762A56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Times New Roman" w:cs="Times New Roman"/>
                <w:spacing w:val="0"/>
                <w:kern w:val="21"/>
                <w:sz w:val="21"/>
                <w:szCs w:val="21"/>
              </w:rPr>
              <w:t>pH、COD、NH</w:t>
            </w:r>
            <w:r>
              <w:rPr>
                <w:rFonts w:hint="default" w:ascii="Times New Roman" w:hAnsi="Times New Roman" w:eastAsia="Times New Roman" w:cs="Times New Roman"/>
                <w:spacing w:val="0"/>
                <w:kern w:val="21"/>
                <w:sz w:val="21"/>
                <w:szCs w:val="21"/>
                <w:vertAlign w:val="subscript"/>
              </w:rPr>
              <w:t>3</w:t>
            </w:r>
            <w:r>
              <w:rPr>
                <w:rFonts w:hint="default" w:ascii="Times New Roman" w:hAnsi="Times New Roman" w:eastAsia="Times New Roman" w:cs="Times New Roman"/>
                <w:spacing w:val="0"/>
                <w:kern w:val="21"/>
                <w:sz w:val="21"/>
                <w:szCs w:val="21"/>
              </w:rPr>
              <w:t>-N、TP、TN、石油类</w:t>
            </w:r>
          </w:p>
        </w:tc>
        <w:tc>
          <w:tcPr>
            <w:tcW w:w="546" w:type="pct"/>
            <w:gridSpan w:val="2"/>
            <w:tcBorders>
              <w:tl2br w:val="nil"/>
              <w:tr2bl w:val="nil"/>
            </w:tcBorders>
            <w:noWrap w:val="0"/>
            <w:vAlign w:val="center"/>
          </w:tcPr>
          <w:p w14:paraId="36C1FC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lang w:val="en-US" w:eastAsia="zh-CN"/>
              </w:rPr>
            </w:pPr>
            <w:r>
              <w:rPr>
                <w:rFonts w:hint="default"/>
                <w:sz w:val="21"/>
                <w:szCs w:val="21"/>
                <w:lang w:val="en-US" w:eastAsia="zh-CN"/>
              </w:rPr>
              <w:t>综合废水经处理后进入生化处理系统</w:t>
            </w:r>
          </w:p>
        </w:tc>
        <w:tc>
          <w:tcPr>
            <w:tcW w:w="492" w:type="pct"/>
            <w:tcBorders>
              <w:tl2br w:val="nil"/>
              <w:tr2bl w:val="nil"/>
            </w:tcBorders>
            <w:noWrap w:val="0"/>
            <w:vAlign w:val="center"/>
          </w:tcPr>
          <w:p w14:paraId="04EB90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TW0</w:t>
            </w:r>
            <w:r>
              <w:rPr>
                <w:rFonts w:hint="default" w:ascii="Times New Roman" w:hAnsi="Times New Roman" w:eastAsia="宋体" w:cs="Times New Roman"/>
                <w:spacing w:val="0"/>
                <w:kern w:val="21"/>
                <w:sz w:val="21"/>
                <w:szCs w:val="21"/>
                <w:lang w:val="en-US" w:eastAsia="zh-CN"/>
              </w:rPr>
              <w:t>0</w:t>
            </w:r>
            <w:r>
              <w:rPr>
                <w:rFonts w:hint="eastAsia" w:ascii="Times New Roman" w:hAnsi="Times New Roman" w:eastAsia="宋体" w:cs="Times New Roman"/>
                <w:spacing w:val="0"/>
                <w:kern w:val="21"/>
                <w:sz w:val="21"/>
                <w:szCs w:val="21"/>
                <w:lang w:val="en-US" w:eastAsia="zh-CN"/>
              </w:rPr>
              <w:t>4</w:t>
            </w:r>
          </w:p>
        </w:tc>
        <w:tc>
          <w:tcPr>
            <w:tcW w:w="560" w:type="pct"/>
            <w:tcBorders>
              <w:tl2br w:val="nil"/>
              <w:tr2bl w:val="nil"/>
            </w:tcBorders>
            <w:noWrap w:val="0"/>
            <w:vAlign w:val="center"/>
          </w:tcPr>
          <w:p w14:paraId="3829D69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default" w:ascii="Times New Roman" w:hAnsi="Times New Roman" w:cs="Times New Roman"/>
                <w:spacing w:val="0"/>
                <w:kern w:val="21"/>
                <w:sz w:val="21"/>
                <w:szCs w:val="21"/>
              </w:rPr>
              <w:t>综合废水处理系统</w:t>
            </w:r>
            <w:r>
              <w:rPr>
                <w:rFonts w:hint="eastAsia" w:ascii="Times New Roman" w:hAnsi="Times New Roman" w:eastAsia="宋体" w:cs="Times New Roman"/>
                <w:spacing w:val="0"/>
                <w:kern w:val="21"/>
                <w:sz w:val="21"/>
                <w:szCs w:val="21"/>
                <w:lang w:val="en-US" w:eastAsia="zh-CN"/>
              </w:rPr>
              <w:t>预处理</w:t>
            </w:r>
          </w:p>
        </w:tc>
        <w:tc>
          <w:tcPr>
            <w:tcW w:w="798" w:type="pct"/>
            <w:tcBorders>
              <w:tl2br w:val="nil"/>
              <w:tr2bl w:val="nil"/>
            </w:tcBorders>
            <w:noWrap w:val="0"/>
            <w:vAlign w:val="center"/>
          </w:tcPr>
          <w:p w14:paraId="075042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default" w:ascii="Times New Roman" w:hAnsi="Times New Roman" w:cs="Times New Roman"/>
                <w:spacing w:val="0"/>
                <w:kern w:val="21"/>
                <w:sz w:val="21"/>
                <w:szCs w:val="21"/>
              </w:rPr>
              <w:t>调节+混凝沉淀</w:t>
            </w:r>
            <w:r>
              <w:rPr>
                <w:rFonts w:hint="eastAsia" w:ascii="Times New Roman" w:hAnsi="Times New Roman" w:eastAsia="宋体" w:cs="Times New Roman"/>
                <w:spacing w:val="0"/>
                <w:kern w:val="21"/>
                <w:sz w:val="21"/>
                <w:szCs w:val="21"/>
                <w:lang w:val="en-US" w:eastAsia="zh-CN"/>
              </w:rPr>
              <w:t>预处理</w:t>
            </w:r>
          </w:p>
        </w:tc>
        <w:tc>
          <w:tcPr>
            <w:tcW w:w="430" w:type="pct"/>
            <w:tcBorders>
              <w:tl2br w:val="nil"/>
              <w:tr2bl w:val="nil"/>
            </w:tcBorders>
            <w:noWrap w:val="0"/>
            <w:vAlign w:val="center"/>
          </w:tcPr>
          <w:p w14:paraId="358FFD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271" w:type="pct"/>
            <w:tcBorders>
              <w:tl2br w:val="nil"/>
              <w:tr2bl w:val="nil"/>
            </w:tcBorders>
            <w:noWrap w:val="0"/>
            <w:vAlign w:val="center"/>
          </w:tcPr>
          <w:p w14:paraId="65AA7F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410" w:type="pct"/>
            <w:tcBorders>
              <w:tl2br w:val="nil"/>
              <w:tr2bl w:val="nil"/>
            </w:tcBorders>
            <w:noWrap w:val="0"/>
            <w:vAlign w:val="center"/>
          </w:tcPr>
          <w:p w14:paraId="531785A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r>
      <w:tr w14:paraId="218D865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tcBorders>
              <w:tl2br w:val="nil"/>
              <w:tr2bl w:val="nil"/>
            </w:tcBorders>
            <w:noWrap w:val="0"/>
            <w:vAlign w:val="center"/>
          </w:tcPr>
          <w:p w14:paraId="07A8A72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5</w:t>
            </w:r>
          </w:p>
        </w:tc>
        <w:tc>
          <w:tcPr>
            <w:tcW w:w="442" w:type="pct"/>
            <w:tcBorders>
              <w:tl2br w:val="nil"/>
              <w:tr2bl w:val="nil"/>
            </w:tcBorders>
            <w:noWrap w:val="0"/>
            <w:vAlign w:val="center"/>
          </w:tcPr>
          <w:p w14:paraId="218B1BE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生化</w:t>
            </w:r>
          </w:p>
          <w:p w14:paraId="75A8E16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系统</w:t>
            </w:r>
          </w:p>
        </w:tc>
        <w:tc>
          <w:tcPr>
            <w:tcW w:w="889" w:type="pct"/>
            <w:tcBorders>
              <w:tl2br w:val="nil"/>
              <w:tr2bl w:val="nil"/>
            </w:tcBorders>
            <w:noWrap w:val="0"/>
            <w:vAlign w:val="center"/>
          </w:tcPr>
          <w:p w14:paraId="534B41E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pH、COD、NH</w:t>
            </w:r>
            <w:r>
              <w:rPr>
                <w:rFonts w:hint="default" w:ascii="Times New Roman" w:hAnsi="Times New Roman" w:eastAsia="Times New Roman" w:cs="Times New Roman"/>
                <w:spacing w:val="0"/>
                <w:kern w:val="21"/>
                <w:sz w:val="21"/>
                <w:szCs w:val="21"/>
                <w:vertAlign w:val="subscript"/>
              </w:rPr>
              <w:t>3</w:t>
            </w:r>
            <w:r>
              <w:rPr>
                <w:rFonts w:hint="default" w:ascii="Times New Roman" w:hAnsi="Times New Roman" w:eastAsia="Times New Roman" w:cs="Times New Roman"/>
                <w:spacing w:val="0"/>
                <w:kern w:val="21"/>
                <w:sz w:val="21"/>
                <w:szCs w:val="21"/>
              </w:rPr>
              <w:t>-N、TP、TN、石油类</w:t>
            </w:r>
          </w:p>
        </w:tc>
        <w:tc>
          <w:tcPr>
            <w:tcW w:w="216" w:type="pct"/>
            <w:vMerge w:val="restart"/>
            <w:tcBorders>
              <w:tl2br w:val="nil"/>
              <w:tr2bl w:val="nil"/>
            </w:tcBorders>
            <w:noWrap w:val="0"/>
            <w:vAlign w:val="center"/>
          </w:tcPr>
          <w:p w14:paraId="287A6D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distribute"/>
              <w:textAlignment w:val="baseline"/>
              <w:rPr>
                <w:rFonts w:hint="default"/>
                <w:sz w:val="21"/>
                <w:szCs w:val="21"/>
                <w:lang w:val="en-US" w:eastAsia="zh-CN"/>
              </w:rPr>
            </w:pPr>
            <w:r>
              <w:rPr>
                <w:rFonts w:hint="eastAsia"/>
                <w:sz w:val="21"/>
                <w:szCs w:val="21"/>
                <w:lang w:val="en-US" w:eastAsia="zh-CN"/>
              </w:rPr>
              <w:t>获嘉县同盟污水处理厂</w:t>
            </w:r>
          </w:p>
        </w:tc>
        <w:tc>
          <w:tcPr>
            <w:tcW w:w="329" w:type="pct"/>
            <w:vMerge w:val="restart"/>
            <w:tcBorders>
              <w:tl2br w:val="nil"/>
              <w:tr2bl w:val="nil"/>
            </w:tcBorders>
            <w:noWrap w:val="0"/>
            <w:vAlign w:val="center"/>
          </w:tcPr>
          <w:p w14:paraId="02D4D5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distribute"/>
              <w:textAlignment w:val="baseline"/>
              <w:rPr>
                <w:rFonts w:hint="default"/>
                <w:sz w:val="21"/>
                <w:szCs w:val="21"/>
                <w:lang w:val="en-US" w:eastAsia="zh-CN"/>
              </w:rPr>
            </w:pPr>
            <w:r>
              <w:rPr>
                <w:rFonts w:hint="default"/>
                <w:sz w:val="21"/>
                <w:szCs w:val="21"/>
                <w:lang w:val="en-US" w:eastAsia="zh-CN"/>
              </w:rPr>
              <w:t>连续 排放，流量 稳定</w:t>
            </w:r>
          </w:p>
        </w:tc>
        <w:tc>
          <w:tcPr>
            <w:tcW w:w="492" w:type="pct"/>
            <w:tcBorders>
              <w:tl2br w:val="nil"/>
              <w:tr2bl w:val="nil"/>
            </w:tcBorders>
            <w:noWrap w:val="0"/>
            <w:vAlign w:val="center"/>
          </w:tcPr>
          <w:p w14:paraId="14F11FE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TW0</w:t>
            </w:r>
            <w:r>
              <w:rPr>
                <w:rFonts w:hint="default" w:ascii="Times New Roman" w:hAnsi="Times New Roman" w:eastAsia="宋体" w:cs="Times New Roman"/>
                <w:spacing w:val="0"/>
                <w:kern w:val="21"/>
                <w:sz w:val="21"/>
                <w:szCs w:val="21"/>
                <w:lang w:val="en-US" w:eastAsia="zh-CN"/>
              </w:rPr>
              <w:t>0</w:t>
            </w:r>
            <w:r>
              <w:rPr>
                <w:rFonts w:hint="eastAsia" w:ascii="Times New Roman" w:hAnsi="Times New Roman" w:eastAsia="宋体" w:cs="Times New Roman"/>
                <w:spacing w:val="0"/>
                <w:kern w:val="21"/>
                <w:sz w:val="21"/>
                <w:szCs w:val="21"/>
                <w:lang w:val="en-US" w:eastAsia="zh-CN"/>
              </w:rPr>
              <w:t>5</w:t>
            </w:r>
          </w:p>
        </w:tc>
        <w:tc>
          <w:tcPr>
            <w:tcW w:w="560" w:type="pct"/>
            <w:tcBorders>
              <w:tl2br w:val="nil"/>
              <w:tr2bl w:val="nil"/>
            </w:tcBorders>
            <w:noWrap w:val="0"/>
            <w:vAlign w:val="center"/>
          </w:tcPr>
          <w:p w14:paraId="0E2011D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水解酸化+接触氧化+二沉池</w:t>
            </w:r>
          </w:p>
        </w:tc>
        <w:tc>
          <w:tcPr>
            <w:tcW w:w="798" w:type="pct"/>
            <w:tcBorders>
              <w:tl2br w:val="nil"/>
              <w:tr2bl w:val="nil"/>
            </w:tcBorders>
            <w:noWrap w:val="0"/>
            <w:vAlign w:val="center"/>
          </w:tcPr>
          <w:p w14:paraId="1EA58C6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水解酸化+接触氧化+二沉池</w:t>
            </w:r>
          </w:p>
        </w:tc>
        <w:tc>
          <w:tcPr>
            <w:tcW w:w="430" w:type="pct"/>
            <w:vMerge w:val="restart"/>
            <w:tcBorders>
              <w:tl2br w:val="nil"/>
              <w:tr2bl w:val="nil"/>
            </w:tcBorders>
            <w:noWrap w:val="0"/>
            <w:vAlign w:val="center"/>
          </w:tcPr>
          <w:p w14:paraId="1C2BD22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DW</w:t>
            </w:r>
          </w:p>
          <w:p w14:paraId="60DCB4B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001</w:t>
            </w:r>
          </w:p>
        </w:tc>
        <w:tc>
          <w:tcPr>
            <w:tcW w:w="271" w:type="pct"/>
            <w:vMerge w:val="restart"/>
            <w:tcBorders>
              <w:tl2br w:val="nil"/>
              <w:tr2bl w:val="nil"/>
            </w:tcBorders>
            <w:noWrap w:val="0"/>
            <w:vAlign w:val="center"/>
          </w:tcPr>
          <w:p w14:paraId="7E192B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FE"/>
            </w:r>
            <w:r>
              <w:rPr>
                <w:rFonts w:hint="default" w:ascii="Times New Roman" w:hAnsi="Times New Roman" w:cs="Times New Roman"/>
                <w:spacing w:val="0"/>
                <w:kern w:val="21"/>
                <w:sz w:val="21"/>
                <w:szCs w:val="21"/>
              </w:rPr>
              <w:t>是</w:t>
            </w:r>
          </w:p>
          <w:p w14:paraId="3442D6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A8"/>
            </w:r>
            <w:r>
              <w:rPr>
                <w:rFonts w:hint="default" w:ascii="Times New Roman" w:hAnsi="Times New Roman" w:cs="Times New Roman"/>
                <w:spacing w:val="0"/>
                <w:kern w:val="21"/>
                <w:sz w:val="21"/>
                <w:szCs w:val="21"/>
              </w:rPr>
              <w:t>否</w:t>
            </w:r>
          </w:p>
        </w:tc>
        <w:tc>
          <w:tcPr>
            <w:tcW w:w="410" w:type="pct"/>
            <w:vMerge w:val="restart"/>
            <w:tcBorders>
              <w:tl2br w:val="nil"/>
              <w:tr2bl w:val="nil"/>
            </w:tcBorders>
            <w:noWrap w:val="0"/>
            <w:vAlign w:val="center"/>
          </w:tcPr>
          <w:p w14:paraId="3D3510F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FE"/>
            </w:r>
            <w:r>
              <w:rPr>
                <w:rFonts w:hint="default" w:ascii="Times New Roman" w:hAnsi="Times New Roman" w:cs="Times New Roman"/>
                <w:spacing w:val="0"/>
                <w:kern w:val="21"/>
                <w:sz w:val="21"/>
                <w:szCs w:val="21"/>
              </w:rPr>
              <w:t>企业总排</w:t>
            </w:r>
          </w:p>
          <w:p w14:paraId="11000F2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A8"/>
            </w:r>
            <w:r>
              <w:rPr>
                <w:rFonts w:hint="default" w:ascii="Times New Roman" w:hAnsi="Times New Roman" w:cs="Times New Roman"/>
                <w:spacing w:val="0"/>
                <w:kern w:val="21"/>
                <w:sz w:val="21"/>
                <w:szCs w:val="21"/>
              </w:rPr>
              <w:t>雨水排放</w:t>
            </w:r>
          </w:p>
          <w:p w14:paraId="7D7903D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A8"/>
            </w:r>
            <w:r>
              <w:rPr>
                <w:rFonts w:hint="default" w:ascii="Times New Roman" w:hAnsi="Times New Roman" w:cs="Times New Roman"/>
                <w:spacing w:val="0"/>
                <w:kern w:val="21"/>
                <w:sz w:val="21"/>
                <w:szCs w:val="21"/>
              </w:rPr>
              <w:t>清净下水排放</w:t>
            </w:r>
          </w:p>
          <w:p w14:paraId="20ED84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A8"/>
            </w:r>
            <w:r>
              <w:rPr>
                <w:rFonts w:hint="default" w:ascii="Times New Roman" w:hAnsi="Times New Roman" w:cs="Times New Roman"/>
                <w:spacing w:val="0"/>
                <w:kern w:val="21"/>
                <w:sz w:val="21"/>
                <w:szCs w:val="21"/>
              </w:rPr>
              <w:t>温排水排放</w:t>
            </w:r>
          </w:p>
          <w:p w14:paraId="067E79C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sym w:font="Wingdings" w:char="00A8"/>
            </w:r>
            <w:r>
              <w:rPr>
                <w:rFonts w:hint="default" w:ascii="Times New Roman" w:hAnsi="Times New Roman" w:cs="Times New Roman"/>
                <w:spacing w:val="0"/>
                <w:kern w:val="21"/>
                <w:sz w:val="21"/>
                <w:szCs w:val="21"/>
              </w:rPr>
              <w:t>车间或车间处理设施排放</w:t>
            </w:r>
          </w:p>
        </w:tc>
      </w:tr>
      <w:tr w14:paraId="118F7A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8" w:type="pct"/>
            <w:tcBorders>
              <w:tl2br w:val="nil"/>
              <w:tr2bl w:val="nil"/>
            </w:tcBorders>
            <w:noWrap w:val="0"/>
            <w:vAlign w:val="center"/>
          </w:tcPr>
          <w:p w14:paraId="796967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eastAsia="zh-CN"/>
              </w:rPr>
            </w:pPr>
            <w:r>
              <w:rPr>
                <w:rFonts w:hint="eastAsia" w:ascii="Times New Roman" w:hAnsi="Times New Roman" w:eastAsia="宋体" w:cs="Times New Roman"/>
                <w:spacing w:val="0"/>
                <w:kern w:val="21"/>
                <w:sz w:val="21"/>
                <w:szCs w:val="21"/>
                <w:lang w:val="en-US" w:eastAsia="zh-CN"/>
              </w:rPr>
              <w:t>6</w:t>
            </w:r>
          </w:p>
        </w:tc>
        <w:tc>
          <w:tcPr>
            <w:tcW w:w="442" w:type="pct"/>
            <w:tcBorders>
              <w:tl2br w:val="nil"/>
              <w:tr2bl w:val="nil"/>
            </w:tcBorders>
            <w:noWrap w:val="0"/>
            <w:vAlign w:val="center"/>
          </w:tcPr>
          <w:p w14:paraId="3730D95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生活</w:t>
            </w:r>
          </w:p>
          <w:p w14:paraId="483C744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污水</w:t>
            </w:r>
          </w:p>
        </w:tc>
        <w:tc>
          <w:tcPr>
            <w:tcW w:w="889" w:type="pct"/>
            <w:tcBorders>
              <w:tl2br w:val="nil"/>
              <w:tr2bl w:val="nil"/>
            </w:tcBorders>
            <w:noWrap w:val="0"/>
            <w:vAlign w:val="center"/>
          </w:tcPr>
          <w:p w14:paraId="3787C7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lang w:val="en-US" w:eastAsia="zh-CN"/>
              </w:rPr>
            </w:pPr>
            <w:r>
              <w:rPr>
                <w:rFonts w:hint="default"/>
                <w:sz w:val="21"/>
                <w:szCs w:val="21"/>
              </w:rPr>
              <w:t>COD、SS、氨氮、总氮、总磷</w:t>
            </w:r>
          </w:p>
        </w:tc>
        <w:tc>
          <w:tcPr>
            <w:tcW w:w="216" w:type="pct"/>
            <w:vMerge w:val="continue"/>
            <w:tcBorders>
              <w:tl2br w:val="nil"/>
              <w:tr2bl w:val="nil"/>
            </w:tcBorders>
            <w:noWrap w:val="0"/>
            <w:vAlign w:val="center"/>
          </w:tcPr>
          <w:p w14:paraId="1C22253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329" w:type="pct"/>
            <w:vMerge w:val="continue"/>
            <w:tcBorders>
              <w:tl2br w:val="nil"/>
              <w:tr2bl w:val="nil"/>
            </w:tcBorders>
            <w:noWrap w:val="0"/>
            <w:vAlign w:val="center"/>
          </w:tcPr>
          <w:p w14:paraId="3FB8878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92" w:type="pct"/>
            <w:tcBorders>
              <w:tl2br w:val="nil"/>
              <w:tr2bl w:val="nil"/>
            </w:tcBorders>
            <w:noWrap w:val="0"/>
            <w:vAlign w:val="center"/>
          </w:tcPr>
          <w:p w14:paraId="0370E4C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Times New Roman" w:cs="Times New Roman"/>
                <w:spacing w:val="0"/>
                <w:kern w:val="21"/>
                <w:sz w:val="21"/>
                <w:szCs w:val="21"/>
              </w:rPr>
              <w:t>TW0</w:t>
            </w:r>
            <w:r>
              <w:rPr>
                <w:rFonts w:hint="default" w:ascii="Times New Roman" w:hAnsi="Times New Roman" w:eastAsia="宋体" w:cs="Times New Roman"/>
                <w:spacing w:val="0"/>
                <w:kern w:val="21"/>
                <w:sz w:val="21"/>
                <w:szCs w:val="21"/>
                <w:lang w:val="en-US" w:eastAsia="zh-CN"/>
              </w:rPr>
              <w:t>0</w:t>
            </w:r>
            <w:r>
              <w:rPr>
                <w:rFonts w:hint="eastAsia" w:ascii="Times New Roman" w:hAnsi="Times New Roman" w:eastAsia="宋体" w:cs="Times New Roman"/>
                <w:spacing w:val="0"/>
                <w:kern w:val="21"/>
                <w:sz w:val="21"/>
                <w:szCs w:val="21"/>
                <w:lang w:val="en-US" w:eastAsia="zh-CN"/>
              </w:rPr>
              <w:t>6</w:t>
            </w:r>
          </w:p>
        </w:tc>
        <w:tc>
          <w:tcPr>
            <w:tcW w:w="560" w:type="pct"/>
            <w:tcBorders>
              <w:tl2br w:val="nil"/>
              <w:tr2bl w:val="nil"/>
            </w:tcBorders>
            <w:noWrap w:val="0"/>
            <w:vAlign w:val="center"/>
          </w:tcPr>
          <w:p w14:paraId="458756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化粪池</w:t>
            </w:r>
          </w:p>
        </w:tc>
        <w:tc>
          <w:tcPr>
            <w:tcW w:w="798" w:type="pct"/>
            <w:tcBorders>
              <w:tl2br w:val="nil"/>
              <w:tr2bl w:val="nil"/>
            </w:tcBorders>
            <w:noWrap w:val="0"/>
            <w:vAlign w:val="center"/>
          </w:tcPr>
          <w:p w14:paraId="777928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化粪池</w:t>
            </w:r>
          </w:p>
        </w:tc>
        <w:tc>
          <w:tcPr>
            <w:tcW w:w="430" w:type="pct"/>
            <w:vMerge w:val="continue"/>
            <w:tcBorders>
              <w:tl2br w:val="nil"/>
              <w:tr2bl w:val="nil"/>
            </w:tcBorders>
            <w:noWrap w:val="0"/>
            <w:vAlign w:val="center"/>
          </w:tcPr>
          <w:p w14:paraId="4E98ED4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p>
        </w:tc>
        <w:tc>
          <w:tcPr>
            <w:tcW w:w="271" w:type="pct"/>
            <w:vMerge w:val="continue"/>
            <w:tcBorders>
              <w:tl2br w:val="nil"/>
              <w:tr2bl w:val="nil"/>
            </w:tcBorders>
            <w:noWrap w:val="0"/>
            <w:vAlign w:val="center"/>
          </w:tcPr>
          <w:p w14:paraId="43E59D2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p>
        </w:tc>
        <w:tc>
          <w:tcPr>
            <w:tcW w:w="410" w:type="pct"/>
            <w:vMerge w:val="continue"/>
            <w:tcBorders>
              <w:tl2br w:val="nil"/>
              <w:tr2bl w:val="nil"/>
            </w:tcBorders>
            <w:noWrap w:val="0"/>
            <w:vAlign w:val="center"/>
          </w:tcPr>
          <w:p w14:paraId="4794C4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p>
        </w:tc>
      </w:tr>
      <w:tr w14:paraId="2576B48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158" w:type="pct"/>
            <w:tcBorders>
              <w:tl2br w:val="nil"/>
              <w:tr2bl w:val="nil"/>
            </w:tcBorders>
            <w:noWrap w:val="0"/>
            <w:vAlign w:val="center"/>
          </w:tcPr>
          <w:p w14:paraId="202101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7</w:t>
            </w:r>
          </w:p>
        </w:tc>
        <w:tc>
          <w:tcPr>
            <w:tcW w:w="442" w:type="pct"/>
            <w:tcBorders>
              <w:tl2br w:val="nil"/>
              <w:tr2bl w:val="nil"/>
            </w:tcBorders>
            <w:noWrap w:val="0"/>
            <w:vAlign w:val="center"/>
          </w:tcPr>
          <w:p w14:paraId="6A531E0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eastAsia"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冲压</w:t>
            </w:r>
          </w:p>
          <w:p w14:paraId="27C4F1A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冷凝水</w:t>
            </w:r>
          </w:p>
        </w:tc>
        <w:tc>
          <w:tcPr>
            <w:tcW w:w="889" w:type="pct"/>
            <w:tcBorders>
              <w:tl2br w:val="nil"/>
              <w:tr2bl w:val="nil"/>
            </w:tcBorders>
            <w:noWrap w:val="0"/>
            <w:vAlign w:val="center"/>
          </w:tcPr>
          <w:p w14:paraId="37FADD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rPr>
            </w:pPr>
            <w:r>
              <w:rPr>
                <w:rFonts w:hint="default"/>
                <w:sz w:val="21"/>
                <w:szCs w:val="21"/>
              </w:rPr>
              <w:t>COD、SS</w:t>
            </w:r>
          </w:p>
        </w:tc>
        <w:tc>
          <w:tcPr>
            <w:tcW w:w="216" w:type="pct"/>
            <w:vMerge w:val="continue"/>
            <w:tcBorders>
              <w:tl2br w:val="nil"/>
              <w:tr2bl w:val="nil"/>
            </w:tcBorders>
            <w:noWrap w:val="0"/>
            <w:vAlign w:val="center"/>
          </w:tcPr>
          <w:p w14:paraId="28832A82">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329" w:type="pct"/>
            <w:vMerge w:val="continue"/>
            <w:tcBorders>
              <w:tl2br w:val="nil"/>
              <w:tr2bl w:val="nil"/>
            </w:tcBorders>
            <w:noWrap w:val="0"/>
            <w:vAlign w:val="center"/>
          </w:tcPr>
          <w:p w14:paraId="4485DDA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92" w:type="pct"/>
            <w:tcBorders>
              <w:tl2br w:val="nil"/>
              <w:tr2bl w:val="nil"/>
            </w:tcBorders>
            <w:noWrap w:val="0"/>
            <w:vAlign w:val="center"/>
          </w:tcPr>
          <w:p w14:paraId="1761D5C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eastAsia="zh-CN"/>
              </w:rPr>
            </w:pPr>
            <w:r>
              <w:rPr>
                <w:rFonts w:hint="default" w:ascii="Times New Roman" w:hAnsi="Times New Roman" w:eastAsia="Times New Roman" w:cs="Times New Roman"/>
                <w:spacing w:val="0"/>
                <w:kern w:val="21"/>
                <w:sz w:val="21"/>
                <w:szCs w:val="21"/>
              </w:rPr>
              <w:t>/</w:t>
            </w:r>
          </w:p>
        </w:tc>
        <w:tc>
          <w:tcPr>
            <w:tcW w:w="560" w:type="pct"/>
            <w:tcBorders>
              <w:tl2br w:val="nil"/>
              <w:tr2bl w:val="nil"/>
            </w:tcBorders>
            <w:noWrap w:val="0"/>
            <w:vAlign w:val="center"/>
          </w:tcPr>
          <w:p w14:paraId="42599A0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Times New Roman" w:cs="Times New Roman"/>
                <w:spacing w:val="0"/>
                <w:kern w:val="21"/>
                <w:sz w:val="21"/>
                <w:szCs w:val="21"/>
              </w:rPr>
              <w:t>/</w:t>
            </w:r>
          </w:p>
        </w:tc>
        <w:tc>
          <w:tcPr>
            <w:tcW w:w="798" w:type="pct"/>
            <w:tcBorders>
              <w:tl2br w:val="nil"/>
              <w:tr2bl w:val="nil"/>
            </w:tcBorders>
            <w:noWrap w:val="0"/>
            <w:vAlign w:val="center"/>
          </w:tcPr>
          <w:p w14:paraId="3849B9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Times New Roman" w:cs="Times New Roman"/>
                <w:spacing w:val="0"/>
                <w:kern w:val="21"/>
                <w:sz w:val="21"/>
                <w:szCs w:val="21"/>
              </w:rPr>
              <w:t>/</w:t>
            </w:r>
          </w:p>
        </w:tc>
        <w:tc>
          <w:tcPr>
            <w:tcW w:w="430" w:type="pct"/>
            <w:vMerge w:val="continue"/>
            <w:tcBorders>
              <w:tl2br w:val="nil"/>
              <w:tr2bl w:val="nil"/>
            </w:tcBorders>
            <w:noWrap w:val="0"/>
            <w:vAlign w:val="center"/>
          </w:tcPr>
          <w:p w14:paraId="745A9AA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271" w:type="pct"/>
            <w:vMerge w:val="continue"/>
            <w:tcBorders>
              <w:tl2br w:val="nil"/>
              <w:tr2bl w:val="nil"/>
            </w:tcBorders>
            <w:noWrap w:val="0"/>
            <w:vAlign w:val="center"/>
          </w:tcPr>
          <w:p w14:paraId="60354F7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10" w:type="pct"/>
            <w:vMerge w:val="continue"/>
            <w:tcBorders>
              <w:tl2br w:val="nil"/>
              <w:tr2bl w:val="nil"/>
            </w:tcBorders>
            <w:noWrap w:val="0"/>
            <w:vAlign w:val="center"/>
          </w:tcPr>
          <w:p w14:paraId="7807E03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r>
      <w:tr w14:paraId="3FC294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158" w:type="pct"/>
            <w:tcBorders>
              <w:tl2br w:val="nil"/>
              <w:tr2bl w:val="nil"/>
            </w:tcBorders>
            <w:noWrap w:val="0"/>
            <w:vAlign w:val="center"/>
          </w:tcPr>
          <w:p w14:paraId="16ADB04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eastAsia" w:ascii="Times New Roman" w:hAnsi="Times New Roman" w:eastAsia="宋体" w:cs="Times New Roman"/>
                <w:spacing w:val="0"/>
                <w:kern w:val="21"/>
                <w:sz w:val="21"/>
                <w:szCs w:val="21"/>
                <w:lang w:val="en-US" w:eastAsia="zh-CN"/>
              </w:rPr>
              <w:t>8</w:t>
            </w:r>
          </w:p>
        </w:tc>
        <w:tc>
          <w:tcPr>
            <w:tcW w:w="442" w:type="pct"/>
            <w:tcBorders>
              <w:tl2br w:val="nil"/>
              <w:tr2bl w:val="nil"/>
            </w:tcBorders>
            <w:noWrap w:val="0"/>
            <w:vAlign w:val="center"/>
          </w:tcPr>
          <w:p w14:paraId="23CBBA1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eastAsia="zh-CN"/>
              </w:rPr>
            </w:pPr>
            <w:r>
              <w:rPr>
                <w:rFonts w:hint="default" w:ascii="Times New Roman" w:hAnsi="Times New Roman" w:eastAsia="宋体" w:cs="Times New Roman"/>
                <w:spacing w:val="0"/>
                <w:kern w:val="21"/>
                <w:sz w:val="21"/>
                <w:szCs w:val="21"/>
                <w:lang w:eastAsia="zh-CN"/>
              </w:rPr>
              <w:t>纯水制备浓水</w:t>
            </w:r>
          </w:p>
        </w:tc>
        <w:tc>
          <w:tcPr>
            <w:tcW w:w="889" w:type="pct"/>
            <w:tcBorders>
              <w:tl2br w:val="nil"/>
              <w:tr2bl w:val="nil"/>
            </w:tcBorders>
            <w:noWrap w:val="0"/>
            <w:vAlign w:val="center"/>
          </w:tcPr>
          <w:p w14:paraId="56C189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sz w:val="21"/>
                <w:szCs w:val="21"/>
              </w:rPr>
            </w:pPr>
            <w:r>
              <w:rPr>
                <w:rFonts w:hint="default"/>
                <w:sz w:val="21"/>
                <w:szCs w:val="21"/>
              </w:rPr>
              <w:t>COD、SS</w:t>
            </w:r>
          </w:p>
        </w:tc>
        <w:tc>
          <w:tcPr>
            <w:tcW w:w="216" w:type="pct"/>
            <w:vMerge w:val="continue"/>
            <w:tcBorders>
              <w:tl2br w:val="nil"/>
              <w:tr2bl w:val="nil"/>
            </w:tcBorders>
            <w:noWrap w:val="0"/>
            <w:vAlign w:val="center"/>
          </w:tcPr>
          <w:p w14:paraId="731E9C1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329" w:type="pct"/>
            <w:vMerge w:val="continue"/>
            <w:tcBorders>
              <w:tl2br w:val="nil"/>
              <w:tr2bl w:val="nil"/>
            </w:tcBorders>
            <w:noWrap w:val="0"/>
            <w:vAlign w:val="center"/>
          </w:tcPr>
          <w:p w14:paraId="06A6DF3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92" w:type="pct"/>
            <w:tcBorders>
              <w:tl2br w:val="nil"/>
              <w:tr2bl w:val="nil"/>
            </w:tcBorders>
            <w:noWrap w:val="0"/>
            <w:vAlign w:val="center"/>
          </w:tcPr>
          <w:p w14:paraId="0D32439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560" w:type="pct"/>
            <w:tcBorders>
              <w:tl2br w:val="nil"/>
              <w:tr2bl w:val="nil"/>
            </w:tcBorders>
            <w:noWrap w:val="0"/>
            <w:vAlign w:val="center"/>
          </w:tcPr>
          <w:p w14:paraId="0C770F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798" w:type="pct"/>
            <w:tcBorders>
              <w:tl2br w:val="nil"/>
              <w:tr2bl w:val="nil"/>
            </w:tcBorders>
            <w:noWrap w:val="0"/>
            <w:vAlign w:val="center"/>
          </w:tcPr>
          <w:p w14:paraId="2BC4E2B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1"/>
              </w:rPr>
            </w:pPr>
            <w:r>
              <w:rPr>
                <w:rFonts w:hint="default" w:ascii="Times New Roman" w:hAnsi="Times New Roman" w:eastAsia="Times New Roman" w:cs="Times New Roman"/>
                <w:spacing w:val="0"/>
                <w:kern w:val="21"/>
                <w:sz w:val="21"/>
                <w:szCs w:val="21"/>
              </w:rPr>
              <w:t>/</w:t>
            </w:r>
          </w:p>
        </w:tc>
        <w:tc>
          <w:tcPr>
            <w:tcW w:w="430" w:type="pct"/>
            <w:vMerge w:val="continue"/>
            <w:tcBorders>
              <w:tl2br w:val="nil"/>
              <w:tr2bl w:val="nil"/>
            </w:tcBorders>
            <w:noWrap w:val="0"/>
            <w:vAlign w:val="center"/>
          </w:tcPr>
          <w:p w14:paraId="39A760A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271" w:type="pct"/>
            <w:vMerge w:val="continue"/>
            <w:tcBorders>
              <w:tl2br w:val="nil"/>
              <w:tr2bl w:val="nil"/>
            </w:tcBorders>
            <w:noWrap w:val="0"/>
            <w:vAlign w:val="center"/>
          </w:tcPr>
          <w:p w14:paraId="44F0BC1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10" w:type="pct"/>
            <w:vMerge w:val="continue"/>
            <w:tcBorders>
              <w:tl2br w:val="nil"/>
              <w:tr2bl w:val="nil"/>
            </w:tcBorders>
            <w:noWrap w:val="0"/>
            <w:vAlign w:val="center"/>
          </w:tcPr>
          <w:p w14:paraId="01A65668">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r>
    </w:tbl>
    <w:p w14:paraId="0D92CD8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b/>
          <w:bCs/>
        </w:rPr>
      </w:pPr>
      <w:r>
        <w:rPr>
          <w:rFonts w:hint="eastAsia" w:ascii="Times New Roman" w:hAnsi="Times New Roman"/>
          <w:b/>
          <w:bCs/>
        </w:rPr>
        <w:t>表</w:t>
      </w:r>
      <w:r>
        <w:rPr>
          <w:rFonts w:hint="eastAsia"/>
          <w:b/>
          <w:bCs/>
          <w:lang w:val="en-US" w:eastAsia="zh-CN"/>
        </w:rPr>
        <w:t>5.3-3</w:t>
      </w:r>
      <w:r>
        <w:rPr>
          <w:rFonts w:hint="eastAsia" w:ascii="Times New Roman" w:hAnsi="Times New Roman"/>
          <w:b/>
          <w:bCs/>
        </w:rPr>
        <w:t xml:space="preserve">     </w:t>
      </w:r>
      <w:r>
        <w:rPr>
          <w:rFonts w:hint="eastAsia"/>
          <w:b/>
          <w:bCs/>
          <w:lang w:val="en-US" w:eastAsia="zh-CN"/>
        </w:rPr>
        <w:t>废水间接排放口基本情况表</w:t>
      </w:r>
    </w:p>
    <w:tbl>
      <w:tblPr>
        <w:tblStyle w:val="39"/>
        <w:tblW w:w="4995"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387"/>
        <w:gridCol w:w="768"/>
        <w:gridCol w:w="857"/>
        <w:gridCol w:w="827"/>
        <w:gridCol w:w="822"/>
        <w:gridCol w:w="540"/>
        <w:gridCol w:w="397"/>
        <w:gridCol w:w="526"/>
        <w:gridCol w:w="762"/>
        <w:gridCol w:w="827"/>
        <w:gridCol w:w="1652"/>
      </w:tblGrid>
      <w:tr w14:paraId="5D184B5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restart"/>
            <w:tcBorders>
              <w:tl2br w:val="nil"/>
              <w:tr2bl w:val="nil"/>
            </w:tcBorders>
            <w:noWrap w:val="0"/>
            <w:vAlign w:val="center"/>
          </w:tcPr>
          <w:p w14:paraId="0A5749C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序号</w:t>
            </w:r>
          </w:p>
        </w:tc>
        <w:tc>
          <w:tcPr>
            <w:tcW w:w="459" w:type="pct"/>
            <w:vMerge w:val="restart"/>
            <w:tcBorders>
              <w:tl2br w:val="nil"/>
              <w:tr2bl w:val="nil"/>
            </w:tcBorders>
            <w:noWrap w:val="0"/>
            <w:vAlign w:val="center"/>
          </w:tcPr>
          <w:p w14:paraId="52B1749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排放口编号</w:t>
            </w:r>
          </w:p>
        </w:tc>
        <w:tc>
          <w:tcPr>
            <w:tcW w:w="1006" w:type="pct"/>
            <w:gridSpan w:val="2"/>
            <w:tcBorders>
              <w:tl2br w:val="nil"/>
              <w:tr2bl w:val="nil"/>
            </w:tcBorders>
            <w:noWrap w:val="0"/>
            <w:vAlign w:val="center"/>
          </w:tcPr>
          <w:p w14:paraId="0A7A9FF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排放口地理坐标</w:t>
            </w:r>
          </w:p>
        </w:tc>
        <w:tc>
          <w:tcPr>
            <w:tcW w:w="491" w:type="pct"/>
            <w:vMerge w:val="restart"/>
            <w:tcBorders>
              <w:tl2br w:val="nil"/>
              <w:tr2bl w:val="nil"/>
            </w:tcBorders>
            <w:noWrap w:val="0"/>
            <w:vAlign w:val="center"/>
          </w:tcPr>
          <w:p w14:paraId="6003B02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 xml:space="preserve">废水排放量（万 </w:t>
            </w:r>
            <w:r>
              <w:rPr>
                <w:rFonts w:hint="default" w:ascii="Times New Roman" w:hAnsi="Times New Roman" w:eastAsia="宋体" w:cs="Times New Roman"/>
                <w:b/>
                <w:bCs/>
                <w:spacing w:val="0"/>
                <w:kern w:val="21"/>
                <w:sz w:val="21"/>
                <w:szCs w:val="24"/>
                <w:lang w:val="en-US" w:eastAsia="zh-CN"/>
              </w:rPr>
              <w:t>m</w:t>
            </w:r>
            <w:r>
              <w:rPr>
                <w:rFonts w:hint="default" w:ascii="Times New Roman" w:hAnsi="Times New Roman" w:eastAsia="宋体" w:cs="Times New Roman"/>
                <w:b/>
                <w:bCs/>
                <w:spacing w:val="0"/>
                <w:kern w:val="21"/>
                <w:sz w:val="21"/>
                <w:szCs w:val="24"/>
                <w:vertAlign w:val="superscript"/>
                <w:lang w:val="en-US" w:eastAsia="zh-CN"/>
              </w:rPr>
              <w:t>3</w:t>
            </w:r>
            <w:r>
              <w:rPr>
                <w:rFonts w:hint="default" w:ascii="Times New Roman" w:hAnsi="Times New Roman" w:eastAsia="Times New Roman" w:cs="Times New Roman"/>
                <w:b/>
                <w:bCs/>
                <w:spacing w:val="0"/>
                <w:kern w:val="21"/>
                <w:sz w:val="21"/>
                <w:szCs w:val="24"/>
              </w:rPr>
              <w:t>/a</w:t>
            </w:r>
            <w:r>
              <w:rPr>
                <w:rFonts w:hint="default" w:ascii="Times New Roman" w:hAnsi="Times New Roman" w:cs="Times New Roman"/>
                <w:b/>
                <w:bCs/>
                <w:spacing w:val="0"/>
                <w:kern w:val="21"/>
                <w:sz w:val="21"/>
                <w:szCs w:val="24"/>
              </w:rPr>
              <w:t>）</w:t>
            </w:r>
          </w:p>
        </w:tc>
        <w:tc>
          <w:tcPr>
            <w:tcW w:w="322" w:type="pct"/>
            <w:vMerge w:val="restart"/>
            <w:tcBorders>
              <w:tl2br w:val="nil"/>
              <w:tr2bl w:val="nil"/>
            </w:tcBorders>
            <w:noWrap w:val="0"/>
            <w:vAlign w:val="center"/>
          </w:tcPr>
          <w:p w14:paraId="2A4F0B7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排放去向</w:t>
            </w:r>
          </w:p>
        </w:tc>
        <w:tc>
          <w:tcPr>
            <w:tcW w:w="237" w:type="pct"/>
            <w:vMerge w:val="restart"/>
            <w:tcBorders>
              <w:tl2br w:val="nil"/>
              <w:tr2bl w:val="nil"/>
            </w:tcBorders>
            <w:noWrap w:val="0"/>
            <w:vAlign w:val="center"/>
          </w:tcPr>
          <w:p w14:paraId="1E23D9C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排放规律</w:t>
            </w:r>
          </w:p>
        </w:tc>
        <w:tc>
          <w:tcPr>
            <w:tcW w:w="314" w:type="pct"/>
            <w:vMerge w:val="restart"/>
            <w:tcBorders>
              <w:tl2br w:val="nil"/>
              <w:tr2bl w:val="nil"/>
            </w:tcBorders>
            <w:noWrap w:val="0"/>
            <w:vAlign w:val="center"/>
          </w:tcPr>
          <w:p w14:paraId="2AC7E2C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间歇排放时段</w:t>
            </w:r>
          </w:p>
        </w:tc>
        <w:tc>
          <w:tcPr>
            <w:tcW w:w="1937" w:type="pct"/>
            <w:gridSpan w:val="3"/>
            <w:tcBorders>
              <w:tl2br w:val="nil"/>
              <w:tr2bl w:val="nil"/>
            </w:tcBorders>
            <w:noWrap w:val="0"/>
            <w:vAlign w:val="center"/>
          </w:tcPr>
          <w:p w14:paraId="172182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受纳污水处理厂</w:t>
            </w:r>
          </w:p>
        </w:tc>
      </w:tr>
      <w:tr w14:paraId="508E156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661EE61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459" w:type="pct"/>
            <w:vMerge w:val="continue"/>
            <w:tcBorders>
              <w:tl2br w:val="nil"/>
              <w:tr2bl w:val="nil"/>
            </w:tcBorders>
            <w:noWrap w:val="0"/>
            <w:vAlign w:val="center"/>
          </w:tcPr>
          <w:p w14:paraId="76579B0B">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512" w:type="pct"/>
            <w:tcBorders>
              <w:tl2br w:val="nil"/>
              <w:tr2bl w:val="nil"/>
            </w:tcBorders>
            <w:noWrap w:val="0"/>
            <w:vAlign w:val="center"/>
          </w:tcPr>
          <w:p w14:paraId="357D76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经度</w:t>
            </w:r>
          </w:p>
        </w:tc>
        <w:tc>
          <w:tcPr>
            <w:tcW w:w="494" w:type="pct"/>
            <w:tcBorders>
              <w:tl2br w:val="nil"/>
              <w:tr2bl w:val="nil"/>
            </w:tcBorders>
            <w:noWrap w:val="0"/>
            <w:vAlign w:val="center"/>
          </w:tcPr>
          <w:p w14:paraId="7115F53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纬度</w:t>
            </w:r>
          </w:p>
        </w:tc>
        <w:tc>
          <w:tcPr>
            <w:tcW w:w="491" w:type="pct"/>
            <w:vMerge w:val="continue"/>
            <w:tcBorders>
              <w:tl2br w:val="nil"/>
              <w:tr2bl w:val="nil"/>
            </w:tcBorders>
            <w:noWrap w:val="0"/>
            <w:vAlign w:val="center"/>
          </w:tcPr>
          <w:p w14:paraId="28FECD3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322" w:type="pct"/>
            <w:vMerge w:val="continue"/>
            <w:tcBorders>
              <w:tl2br w:val="nil"/>
              <w:tr2bl w:val="nil"/>
            </w:tcBorders>
            <w:noWrap w:val="0"/>
            <w:vAlign w:val="center"/>
          </w:tcPr>
          <w:p w14:paraId="47868E5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237" w:type="pct"/>
            <w:vMerge w:val="continue"/>
            <w:tcBorders>
              <w:tl2br w:val="nil"/>
              <w:tr2bl w:val="nil"/>
            </w:tcBorders>
            <w:noWrap w:val="0"/>
            <w:vAlign w:val="center"/>
          </w:tcPr>
          <w:p w14:paraId="7B247B0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314" w:type="pct"/>
            <w:vMerge w:val="continue"/>
            <w:tcBorders>
              <w:tl2br w:val="nil"/>
              <w:tr2bl w:val="nil"/>
            </w:tcBorders>
            <w:noWrap w:val="0"/>
            <w:vAlign w:val="center"/>
          </w:tcPr>
          <w:p w14:paraId="77B7AC2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
                <w:szCs w:val="24"/>
              </w:rPr>
            </w:pPr>
          </w:p>
        </w:tc>
        <w:tc>
          <w:tcPr>
            <w:tcW w:w="455" w:type="pct"/>
            <w:tcBorders>
              <w:tl2br w:val="nil"/>
              <w:tr2bl w:val="nil"/>
            </w:tcBorders>
            <w:noWrap w:val="0"/>
            <w:vAlign w:val="center"/>
          </w:tcPr>
          <w:p w14:paraId="427469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名称</w:t>
            </w:r>
          </w:p>
        </w:tc>
        <w:tc>
          <w:tcPr>
            <w:tcW w:w="494" w:type="pct"/>
            <w:tcBorders>
              <w:tl2br w:val="nil"/>
              <w:tr2bl w:val="nil"/>
            </w:tcBorders>
            <w:noWrap w:val="0"/>
            <w:vAlign w:val="center"/>
          </w:tcPr>
          <w:p w14:paraId="1D3749F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污染物种类</w:t>
            </w:r>
          </w:p>
        </w:tc>
        <w:tc>
          <w:tcPr>
            <w:tcW w:w="987" w:type="pct"/>
            <w:tcBorders>
              <w:tl2br w:val="nil"/>
              <w:tr2bl w:val="nil"/>
            </w:tcBorders>
            <w:noWrap w:val="0"/>
            <w:vAlign w:val="center"/>
          </w:tcPr>
          <w:p w14:paraId="02D4380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vertAlign w:val="superscript"/>
              </w:rPr>
            </w:pPr>
            <w:r>
              <w:rPr>
                <w:rFonts w:hint="default" w:ascii="Times New Roman" w:hAnsi="Times New Roman" w:cs="Times New Roman"/>
                <w:b/>
                <w:bCs/>
                <w:spacing w:val="0"/>
                <w:kern w:val="21"/>
                <w:sz w:val="21"/>
                <w:szCs w:val="24"/>
              </w:rPr>
              <w:t>国家或地方污染物排放标准浓度限值（</w:t>
            </w:r>
            <w:r>
              <w:rPr>
                <w:rFonts w:hint="default" w:ascii="Times New Roman" w:hAnsi="Times New Roman" w:eastAsia="Times New Roman" w:cs="Times New Roman"/>
                <w:b/>
                <w:bCs/>
                <w:spacing w:val="0"/>
                <w:kern w:val="21"/>
                <w:sz w:val="21"/>
                <w:szCs w:val="24"/>
              </w:rPr>
              <w:t>mg/L</w:t>
            </w:r>
            <w:r>
              <w:rPr>
                <w:rFonts w:hint="default" w:ascii="Times New Roman" w:hAnsi="Times New Roman" w:cs="Times New Roman"/>
                <w:b/>
                <w:bCs/>
                <w:spacing w:val="0"/>
                <w:kern w:val="21"/>
                <w:sz w:val="21"/>
                <w:szCs w:val="24"/>
              </w:rPr>
              <w:t>）</w:t>
            </w:r>
          </w:p>
        </w:tc>
      </w:tr>
      <w:tr w14:paraId="32B45E3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restart"/>
            <w:tcBorders>
              <w:tl2br w:val="nil"/>
              <w:tr2bl w:val="nil"/>
            </w:tcBorders>
            <w:noWrap w:val="0"/>
            <w:vAlign w:val="center"/>
          </w:tcPr>
          <w:p w14:paraId="6D6AC61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1</w:t>
            </w:r>
          </w:p>
        </w:tc>
        <w:tc>
          <w:tcPr>
            <w:tcW w:w="459" w:type="pct"/>
            <w:vMerge w:val="restart"/>
            <w:tcBorders>
              <w:tl2br w:val="nil"/>
              <w:tr2bl w:val="nil"/>
            </w:tcBorders>
            <w:noWrap w:val="0"/>
            <w:vAlign w:val="center"/>
          </w:tcPr>
          <w:p w14:paraId="3B56BD1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DW001</w:t>
            </w:r>
          </w:p>
        </w:tc>
        <w:tc>
          <w:tcPr>
            <w:tcW w:w="512" w:type="pct"/>
            <w:vMerge w:val="restart"/>
            <w:tcBorders>
              <w:tl2br w:val="nil"/>
              <w:tr2bl w:val="nil"/>
            </w:tcBorders>
            <w:noWrap w:val="0"/>
            <w:vAlign w:val="center"/>
          </w:tcPr>
          <w:p w14:paraId="4B9A8B3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kern w:val="21"/>
                <w:sz w:val="21"/>
                <w:szCs w:val="24"/>
                <w:lang w:eastAsia="zh-CN"/>
              </w:rPr>
            </w:pPr>
            <w:r>
              <w:rPr>
                <w:rFonts w:hint="default" w:ascii="Times New Roman" w:hAnsi="Times New Roman" w:eastAsia="Times New Roman" w:cs="Times New Roman"/>
                <w:spacing w:val="0"/>
                <w:kern w:val="21"/>
                <w:sz w:val="21"/>
                <w:szCs w:val="24"/>
              </w:rPr>
              <w:t xml:space="preserve">E113°42'31.74" </w:t>
            </w:r>
          </w:p>
        </w:tc>
        <w:tc>
          <w:tcPr>
            <w:tcW w:w="494" w:type="pct"/>
            <w:vMerge w:val="restart"/>
            <w:tcBorders>
              <w:tl2br w:val="nil"/>
              <w:tr2bl w:val="nil"/>
            </w:tcBorders>
            <w:noWrap w:val="0"/>
            <w:vAlign w:val="center"/>
          </w:tcPr>
          <w:p w14:paraId="4AF7A12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N35°15'58.80"</w:t>
            </w:r>
          </w:p>
        </w:tc>
        <w:tc>
          <w:tcPr>
            <w:tcW w:w="491" w:type="pct"/>
            <w:vMerge w:val="restart"/>
            <w:tcBorders>
              <w:tl2br w:val="nil"/>
              <w:tr2bl w:val="nil"/>
            </w:tcBorders>
            <w:noWrap w:val="0"/>
            <w:vAlign w:val="center"/>
          </w:tcPr>
          <w:p w14:paraId="7F6957D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52984.5</w:t>
            </w:r>
          </w:p>
        </w:tc>
        <w:tc>
          <w:tcPr>
            <w:tcW w:w="322" w:type="pct"/>
            <w:vMerge w:val="restart"/>
            <w:tcBorders>
              <w:tl2br w:val="nil"/>
              <w:tr2bl w:val="nil"/>
            </w:tcBorders>
            <w:noWrap w:val="0"/>
            <w:vAlign w:val="center"/>
          </w:tcPr>
          <w:p w14:paraId="6F620B8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获嘉县同盟污水处理厂</w:t>
            </w:r>
          </w:p>
        </w:tc>
        <w:tc>
          <w:tcPr>
            <w:tcW w:w="237" w:type="pct"/>
            <w:vMerge w:val="restart"/>
            <w:tcBorders>
              <w:tl2br w:val="nil"/>
              <w:tr2bl w:val="nil"/>
            </w:tcBorders>
            <w:noWrap w:val="0"/>
            <w:vAlign w:val="center"/>
          </w:tcPr>
          <w:p w14:paraId="57B20BD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连续稳定</w:t>
            </w:r>
          </w:p>
        </w:tc>
        <w:tc>
          <w:tcPr>
            <w:tcW w:w="314" w:type="pct"/>
            <w:vMerge w:val="restart"/>
            <w:tcBorders>
              <w:tl2br w:val="nil"/>
              <w:tr2bl w:val="nil"/>
            </w:tcBorders>
            <w:noWrap w:val="0"/>
            <w:vAlign w:val="center"/>
          </w:tcPr>
          <w:p w14:paraId="575AA81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w:t>
            </w:r>
          </w:p>
        </w:tc>
        <w:tc>
          <w:tcPr>
            <w:tcW w:w="455" w:type="pct"/>
            <w:vMerge w:val="restart"/>
            <w:tcBorders>
              <w:tl2br w:val="nil"/>
              <w:tr2bl w:val="nil"/>
            </w:tcBorders>
            <w:noWrap w:val="0"/>
            <w:vAlign w:val="center"/>
          </w:tcPr>
          <w:p w14:paraId="3CE6EFF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获嘉县同盟污水处理厂</w:t>
            </w:r>
          </w:p>
        </w:tc>
        <w:tc>
          <w:tcPr>
            <w:tcW w:w="494" w:type="pct"/>
            <w:tcBorders>
              <w:tl2br w:val="nil"/>
              <w:tr2bl w:val="nil"/>
            </w:tcBorders>
            <w:noWrap w:val="0"/>
            <w:vAlign w:val="center"/>
          </w:tcPr>
          <w:p w14:paraId="50A97B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COD</w:t>
            </w:r>
          </w:p>
        </w:tc>
        <w:tc>
          <w:tcPr>
            <w:tcW w:w="987" w:type="pct"/>
            <w:tcBorders>
              <w:tl2br w:val="nil"/>
              <w:tr2bl w:val="nil"/>
            </w:tcBorders>
            <w:noWrap w:val="0"/>
            <w:vAlign w:val="center"/>
          </w:tcPr>
          <w:p w14:paraId="12ECC7E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default" w:ascii="Times New Roman" w:hAnsi="Times New Roman" w:eastAsia="宋体" w:cs="Times New Roman"/>
                <w:spacing w:val="0"/>
                <w:kern w:val="21"/>
                <w:sz w:val="21"/>
                <w:szCs w:val="24"/>
                <w:lang w:val="en-US" w:eastAsia="zh-CN"/>
              </w:rPr>
              <w:t>30</w:t>
            </w:r>
          </w:p>
        </w:tc>
      </w:tr>
      <w:tr w14:paraId="3FCEED0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0AB8414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9" w:type="pct"/>
            <w:vMerge w:val="continue"/>
            <w:tcBorders>
              <w:tl2br w:val="nil"/>
              <w:tr2bl w:val="nil"/>
            </w:tcBorders>
            <w:noWrap w:val="0"/>
            <w:vAlign w:val="center"/>
          </w:tcPr>
          <w:p w14:paraId="318FD378">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512" w:type="pct"/>
            <w:vMerge w:val="continue"/>
            <w:tcBorders>
              <w:tl2br w:val="nil"/>
              <w:tr2bl w:val="nil"/>
            </w:tcBorders>
            <w:noWrap w:val="0"/>
            <w:vAlign w:val="center"/>
          </w:tcPr>
          <w:p w14:paraId="1B63A0D1">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vMerge w:val="continue"/>
            <w:tcBorders>
              <w:tl2br w:val="nil"/>
              <w:tr2bl w:val="nil"/>
            </w:tcBorders>
            <w:noWrap w:val="0"/>
            <w:vAlign w:val="center"/>
          </w:tcPr>
          <w:p w14:paraId="5E5022C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1" w:type="pct"/>
            <w:vMerge w:val="continue"/>
            <w:tcBorders>
              <w:tl2br w:val="nil"/>
              <w:tr2bl w:val="nil"/>
            </w:tcBorders>
            <w:noWrap w:val="0"/>
            <w:vAlign w:val="center"/>
          </w:tcPr>
          <w:p w14:paraId="5FB84E2B">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22" w:type="pct"/>
            <w:vMerge w:val="continue"/>
            <w:tcBorders>
              <w:tl2br w:val="nil"/>
              <w:tr2bl w:val="nil"/>
            </w:tcBorders>
            <w:noWrap w:val="0"/>
            <w:vAlign w:val="center"/>
          </w:tcPr>
          <w:p w14:paraId="3A9B21A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237" w:type="pct"/>
            <w:vMerge w:val="continue"/>
            <w:tcBorders>
              <w:tl2br w:val="nil"/>
              <w:tr2bl w:val="nil"/>
            </w:tcBorders>
            <w:noWrap w:val="0"/>
            <w:vAlign w:val="center"/>
          </w:tcPr>
          <w:p w14:paraId="000371A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14" w:type="pct"/>
            <w:vMerge w:val="continue"/>
            <w:tcBorders>
              <w:tl2br w:val="nil"/>
              <w:tr2bl w:val="nil"/>
            </w:tcBorders>
            <w:noWrap w:val="0"/>
            <w:vAlign w:val="center"/>
          </w:tcPr>
          <w:p w14:paraId="5A84DBB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5" w:type="pct"/>
            <w:vMerge w:val="continue"/>
            <w:tcBorders>
              <w:tl2br w:val="nil"/>
              <w:tr2bl w:val="nil"/>
            </w:tcBorders>
            <w:noWrap w:val="0"/>
            <w:vAlign w:val="center"/>
          </w:tcPr>
          <w:p w14:paraId="7DEFAAB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tcBorders>
              <w:tl2br w:val="nil"/>
              <w:tr2bl w:val="nil"/>
            </w:tcBorders>
            <w:noWrap w:val="0"/>
            <w:vAlign w:val="center"/>
          </w:tcPr>
          <w:p w14:paraId="4E20CDD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rPr>
            </w:pPr>
            <w:r>
              <w:rPr>
                <w:rFonts w:hint="default" w:ascii="Times New Roman" w:hAnsi="Times New Roman" w:eastAsia="Times New Roman" w:cs="Times New Roman"/>
                <w:spacing w:val="0"/>
                <w:kern w:val="21"/>
                <w:sz w:val="21"/>
                <w:szCs w:val="24"/>
              </w:rPr>
              <w:t>SS</w:t>
            </w:r>
          </w:p>
        </w:tc>
        <w:tc>
          <w:tcPr>
            <w:tcW w:w="987" w:type="pct"/>
            <w:tcBorders>
              <w:tl2br w:val="nil"/>
              <w:tr2bl w:val="nil"/>
            </w:tcBorders>
            <w:noWrap w:val="0"/>
            <w:vAlign w:val="center"/>
          </w:tcPr>
          <w:p w14:paraId="5B8793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lang w:val="en-US" w:eastAsia="zh-CN"/>
              </w:rPr>
            </w:pPr>
            <w:r>
              <w:rPr>
                <w:rFonts w:hint="default" w:ascii="Times New Roman" w:hAnsi="Times New Roman" w:eastAsia="Times New Roman" w:cs="Times New Roman"/>
                <w:spacing w:val="0"/>
                <w:kern w:val="21"/>
                <w:sz w:val="21"/>
                <w:szCs w:val="24"/>
              </w:rPr>
              <w:t>10</w:t>
            </w:r>
          </w:p>
        </w:tc>
      </w:tr>
      <w:tr w14:paraId="76EA8D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2F4D966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9" w:type="pct"/>
            <w:vMerge w:val="continue"/>
            <w:tcBorders>
              <w:tl2br w:val="nil"/>
              <w:tr2bl w:val="nil"/>
            </w:tcBorders>
            <w:noWrap w:val="0"/>
            <w:vAlign w:val="center"/>
          </w:tcPr>
          <w:p w14:paraId="5FE8048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512" w:type="pct"/>
            <w:vMerge w:val="continue"/>
            <w:tcBorders>
              <w:tl2br w:val="nil"/>
              <w:tr2bl w:val="nil"/>
            </w:tcBorders>
            <w:noWrap w:val="0"/>
            <w:vAlign w:val="center"/>
          </w:tcPr>
          <w:p w14:paraId="0BCE7CA1">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vMerge w:val="continue"/>
            <w:tcBorders>
              <w:tl2br w:val="nil"/>
              <w:tr2bl w:val="nil"/>
            </w:tcBorders>
            <w:noWrap w:val="0"/>
            <w:vAlign w:val="center"/>
          </w:tcPr>
          <w:p w14:paraId="73BB780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1" w:type="pct"/>
            <w:vMerge w:val="continue"/>
            <w:tcBorders>
              <w:tl2br w:val="nil"/>
              <w:tr2bl w:val="nil"/>
            </w:tcBorders>
            <w:noWrap w:val="0"/>
            <w:vAlign w:val="center"/>
          </w:tcPr>
          <w:p w14:paraId="6A4A097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22" w:type="pct"/>
            <w:vMerge w:val="continue"/>
            <w:tcBorders>
              <w:tl2br w:val="nil"/>
              <w:tr2bl w:val="nil"/>
            </w:tcBorders>
            <w:noWrap w:val="0"/>
            <w:vAlign w:val="center"/>
          </w:tcPr>
          <w:p w14:paraId="321FDC5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237" w:type="pct"/>
            <w:vMerge w:val="continue"/>
            <w:tcBorders>
              <w:tl2br w:val="nil"/>
              <w:tr2bl w:val="nil"/>
            </w:tcBorders>
            <w:noWrap w:val="0"/>
            <w:vAlign w:val="center"/>
          </w:tcPr>
          <w:p w14:paraId="16AC91F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14" w:type="pct"/>
            <w:vMerge w:val="continue"/>
            <w:tcBorders>
              <w:tl2br w:val="nil"/>
              <w:tr2bl w:val="nil"/>
            </w:tcBorders>
            <w:noWrap w:val="0"/>
            <w:vAlign w:val="center"/>
          </w:tcPr>
          <w:p w14:paraId="2D26D7E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5" w:type="pct"/>
            <w:vMerge w:val="continue"/>
            <w:tcBorders>
              <w:tl2br w:val="nil"/>
              <w:tr2bl w:val="nil"/>
            </w:tcBorders>
            <w:noWrap w:val="0"/>
            <w:vAlign w:val="center"/>
          </w:tcPr>
          <w:p w14:paraId="10E83B92">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tcBorders>
              <w:tl2br w:val="nil"/>
              <w:tr2bl w:val="nil"/>
            </w:tcBorders>
            <w:noWrap w:val="0"/>
            <w:vAlign w:val="center"/>
          </w:tcPr>
          <w:p w14:paraId="22EBDC9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rPr>
            </w:pPr>
            <w:r>
              <w:rPr>
                <w:rFonts w:hint="default" w:ascii="Times New Roman" w:hAnsi="Times New Roman" w:cs="Times New Roman"/>
                <w:spacing w:val="0"/>
                <w:kern w:val="21"/>
                <w:sz w:val="21"/>
                <w:szCs w:val="24"/>
              </w:rPr>
              <w:t>氨氮</w:t>
            </w:r>
          </w:p>
        </w:tc>
        <w:tc>
          <w:tcPr>
            <w:tcW w:w="987" w:type="pct"/>
            <w:tcBorders>
              <w:tl2br w:val="nil"/>
              <w:tr2bl w:val="nil"/>
            </w:tcBorders>
            <w:noWrap w:val="0"/>
            <w:vAlign w:val="center"/>
          </w:tcPr>
          <w:p w14:paraId="1D50E91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sz w:val="21"/>
                <w:szCs w:val="24"/>
                <w:vertAlign w:val="superscript"/>
                <w:lang w:val="en-US" w:eastAsia="zh-CN"/>
              </w:rPr>
            </w:pPr>
            <w:r>
              <w:rPr>
                <w:rFonts w:hint="default" w:ascii="Times New Roman" w:hAnsi="Times New Roman" w:eastAsia="宋体" w:cs="Times New Roman"/>
                <w:spacing w:val="0"/>
                <w:kern w:val="21"/>
                <w:sz w:val="21"/>
                <w:szCs w:val="24"/>
                <w:lang w:val="en-US" w:eastAsia="zh-CN"/>
              </w:rPr>
              <w:t>1.5</w:t>
            </w:r>
          </w:p>
        </w:tc>
      </w:tr>
      <w:tr w14:paraId="53F40D5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5B9A36A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9" w:type="pct"/>
            <w:vMerge w:val="continue"/>
            <w:tcBorders>
              <w:tl2br w:val="nil"/>
              <w:tr2bl w:val="nil"/>
            </w:tcBorders>
            <w:noWrap w:val="0"/>
            <w:vAlign w:val="center"/>
          </w:tcPr>
          <w:p w14:paraId="5113D758">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512" w:type="pct"/>
            <w:vMerge w:val="continue"/>
            <w:tcBorders>
              <w:tl2br w:val="nil"/>
              <w:tr2bl w:val="nil"/>
            </w:tcBorders>
            <w:noWrap w:val="0"/>
            <w:vAlign w:val="center"/>
          </w:tcPr>
          <w:p w14:paraId="507CC95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vMerge w:val="continue"/>
            <w:tcBorders>
              <w:tl2br w:val="nil"/>
              <w:tr2bl w:val="nil"/>
            </w:tcBorders>
            <w:noWrap w:val="0"/>
            <w:vAlign w:val="center"/>
          </w:tcPr>
          <w:p w14:paraId="1362393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1" w:type="pct"/>
            <w:vMerge w:val="continue"/>
            <w:tcBorders>
              <w:tl2br w:val="nil"/>
              <w:tr2bl w:val="nil"/>
            </w:tcBorders>
            <w:noWrap w:val="0"/>
            <w:vAlign w:val="center"/>
          </w:tcPr>
          <w:p w14:paraId="6D7035C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22" w:type="pct"/>
            <w:vMerge w:val="continue"/>
            <w:tcBorders>
              <w:tl2br w:val="nil"/>
              <w:tr2bl w:val="nil"/>
            </w:tcBorders>
            <w:noWrap w:val="0"/>
            <w:vAlign w:val="center"/>
          </w:tcPr>
          <w:p w14:paraId="1615A77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237" w:type="pct"/>
            <w:vMerge w:val="continue"/>
            <w:tcBorders>
              <w:tl2br w:val="nil"/>
              <w:tr2bl w:val="nil"/>
            </w:tcBorders>
            <w:noWrap w:val="0"/>
            <w:vAlign w:val="center"/>
          </w:tcPr>
          <w:p w14:paraId="2AAD3C2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14" w:type="pct"/>
            <w:vMerge w:val="continue"/>
            <w:tcBorders>
              <w:tl2br w:val="nil"/>
              <w:tr2bl w:val="nil"/>
            </w:tcBorders>
            <w:noWrap w:val="0"/>
            <w:vAlign w:val="center"/>
          </w:tcPr>
          <w:p w14:paraId="06C3336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5" w:type="pct"/>
            <w:vMerge w:val="continue"/>
            <w:tcBorders>
              <w:tl2br w:val="nil"/>
              <w:tr2bl w:val="nil"/>
            </w:tcBorders>
            <w:noWrap w:val="0"/>
            <w:vAlign w:val="center"/>
          </w:tcPr>
          <w:p w14:paraId="4AC00904">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tcBorders>
              <w:tl2br w:val="nil"/>
              <w:tr2bl w:val="nil"/>
            </w:tcBorders>
            <w:noWrap w:val="0"/>
            <w:vAlign w:val="center"/>
          </w:tcPr>
          <w:p w14:paraId="48EB86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TP</w:t>
            </w:r>
          </w:p>
        </w:tc>
        <w:tc>
          <w:tcPr>
            <w:tcW w:w="987" w:type="pct"/>
            <w:tcBorders>
              <w:tl2br w:val="nil"/>
              <w:tr2bl w:val="nil"/>
            </w:tcBorders>
            <w:noWrap w:val="0"/>
            <w:vAlign w:val="center"/>
          </w:tcPr>
          <w:p w14:paraId="019248C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eastAsia="zh-CN"/>
              </w:rPr>
            </w:pPr>
            <w:r>
              <w:rPr>
                <w:rFonts w:hint="default" w:ascii="Times New Roman" w:hAnsi="Times New Roman" w:eastAsia="Times New Roman" w:cs="Times New Roman"/>
                <w:spacing w:val="0"/>
                <w:kern w:val="21"/>
                <w:sz w:val="21"/>
                <w:szCs w:val="24"/>
              </w:rPr>
              <w:t>0.</w:t>
            </w:r>
            <w:r>
              <w:rPr>
                <w:rFonts w:hint="default" w:ascii="Times New Roman" w:hAnsi="Times New Roman" w:eastAsia="宋体" w:cs="Times New Roman"/>
                <w:spacing w:val="0"/>
                <w:kern w:val="21"/>
                <w:sz w:val="21"/>
                <w:szCs w:val="24"/>
                <w:lang w:val="en-US" w:eastAsia="zh-CN"/>
              </w:rPr>
              <w:t>3</w:t>
            </w:r>
          </w:p>
        </w:tc>
      </w:tr>
      <w:tr w14:paraId="10F2585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1F869D5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9" w:type="pct"/>
            <w:vMerge w:val="continue"/>
            <w:tcBorders>
              <w:tl2br w:val="nil"/>
              <w:tr2bl w:val="nil"/>
            </w:tcBorders>
            <w:noWrap w:val="0"/>
            <w:vAlign w:val="center"/>
          </w:tcPr>
          <w:p w14:paraId="3160591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512" w:type="pct"/>
            <w:vMerge w:val="continue"/>
            <w:tcBorders>
              <w:tl2br w:val="nil"/>
              <w:tr2bl w:val="nil"/>
            </w:tcBorders>
            <w:noWrap w:val="0"/>
            <w:vAlign w:val="center"/>
          </w:tcPr>
          <w:p w14:paraId="5BD48AE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vMerge w:val="continue"/>
            <w:tcBorders>
              <w:tl2br w:val="nil"/>
              <w:tr2bl w:val="nil"/>
            </w:tcBorders>
            <w:noWrap w:val="0"/>
            <w:vAlign w:val="center"/>
          </w:tcPr>
          <w:p w14:paraId="06F6DBED">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1" w:type="pct"/>
            <w:vMerge w:val="continue"/>
            <w:tcBorders>
              <w:tl2br w:val="nil"/>
              <w:tr2bl w:val="nil"/>
            </w:tcBorders>
            <w:noWrap w:val="0"/>
            <w:vAlign w:val="center"/>
          </w:tcPr>
          <w:p w14:paraId="70E33D2B">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22" w:type="pct"/>
            <w:vMerge w:val="continue"/>
            <w:tcBorders>
              <w:tl2br w:val="nil"/>
              <w:tr2bl w:val="nil"/>
            </w:tcBorders>
            <w:noWrap w:val="0"/>
            <w:vAlign w:val="center"/>
          </w:tcPr>
          <w:p w14:paraId="78F76FE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237" w:type="pct"/>
            <w:vMerge w:val="continue"/>
            <w:tcBorders>
              <w:tl2br w:val="nil"/>
              <w:tr2bl w:val="nil"/>
            </w:tcBorders>
            <w:noWrap w:val="0"/>
            <w:vAlign w:val="center"/>
          </w:tcPr>
          <w:p w14:paraId="57AA021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14" w:type="pct"/>
            <w:vMerge w:val="continue"/>
            <w:tcBorders>
              <w:tl2br w:val="nil"/>
              <w:tr2bl w:val="nil"/>
            </w:tcBorders>
            <w:noWrap w:val="0"/>
            <w:vAlign w:val="center"/>
          </w:tcPr>
          <w:p w14:paraId="353E8CA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5" w:type="pct"/>
            <w:vMerge w:val="continue"/>
            <w:tcBorders>
              <w:tl2br w:val="nil"/>
              <w:tr2bl w:val="nil"/>
            </w:tcBorders>
            <w:noWrap w:val="0"/>
            <w:vAlign w:val="center"/>
          </w:tcPr>
          <w:p w14:paraId="065F0B0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tcBorders>
              <w:tl2br w:val="nil"/>
              <w:tr2bl w:val="nil"/>
            </w:tcBorders>
            <w:noWrap w:val="0"/>
            <w:vAlign w:val="center"/>
          </w:tcPr>
          <w:p w14:paraId="0245BDE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TN</w:t>
            </w:r>
          </w:p>
        </w:tc>
        <w:tc>
          <w:tcPr>
            <w:tcW w:w="987" w:type="pct"/>
            <w:tcBorders>
              <w:tl2br w:val="nil"/>
              <w:tr2bl w:val="nil"/>
            </w:tcBorders>
            <w:noWrap w:val="0"/>
            <w:vAlign w:val="center"/>
          </w:tcPr>
          <w:p w14:paraId="2BC23E5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15</w:t>
            </w:r>
          </w:p>
        </w:tc>
      </w:tr>
      <w:tr w14:paraId="36B38F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31" w:type="pct"/>
            <w:vMerge w:val="continue"/>
            <w:tcBorders>
              <w:tl2br w:val="nil"/>
              <w:tr2bl w:val="nil"/>
            </w:tcBorders>
            <w:noWrap w:val="0"/>
            <w:vAlign w:val="center"/>
          </w:tcPr>
          <w:p w14:paraId="2FFB94C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9" w:type="pct"/>
            <w:vMerge w:val="continue"/>
            <w:tcBorders>
              <w:tl2br w:val="nil"/>
              <w:tr2bl w:val="nil"/>
            </w:tcBorders>
            <w:noWrap w:val="0"/>
            <w:vAlign w:val="center"/>
          </w:tcPr>
          <w:p w14:paraId="46F895BD">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512" w:type="pct"/>
            <w:vMerge w:val="continue"/>
            <w:tcBorders>
              <w:tl2br w:val="nil"/>
              <w:tr2bl w:val="nil"/>
            </w:tcBorders>
            <w:noWrap w:val="0"/>
            <w:vAlign w:val="center"/>
          </w:tcPr>
          <w:p w14:paraId="0555B92F">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vMerge w:val="continue"/>
            <w:tcBorders>
              <w:tl2br w:val="nil"/>
              <w:tr2bl w:val="nil"/>
            </w:tcBorders>
            <w:noWrap w:val="0"/>
            <w:vAlign w:val="center"/>
          </w:tcPr>
          <w:p w14:paraId="3DC80319">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1" w:type="pct"/>
            <w:vMerge w:val="continue"/>
            <w:tcBorders>
              <w:tl2br w:val="nil"/>
              <w:tr2bl w:val="nil"/>
            </w:tcBorders>
            <w:noWrap w:val="0"/>
            <w:vAlign w:val="center"/>
          </w:tcPr>
          <w:p w14:paraId="1278DFC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22" w:type="pct"/>
            <w:vMerge w:val="continue"/>
            <w:tcBorders>
              <w:tl2br w:val="nil"/>
              <w:tr2bl w:val="nil"/>
            </w:tcBorders>
            <w:noWrap w:val="0"/>
            <w:vAlign w:val="center"/>
          </w:tcPr>
          <w:p w14:paraId="4C06987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237" w:type="pct"/>
            <w:vMerge w:val="continue"/>
            <w:tcBorders>
              <w:tl2br w:val="nil"/>
              <w:tr2bl w:val="nil"/>
            </w:tcBorders>
            <w:noWrap w:val="0"/>
            <w:vAlign w:val="center"/>
          </w:tcPr>
          <w:p w14:paraId="33611F51">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314" w:type="pct"/>
            <w:vMerge w:val="continue"/>
            <w:tcBorders>
              <w:tl2br w:val="nil"/>
              <w:tr2bl w:val="nil"/>
            </w:tcBorders>
            <w:noWrap w:val="0"/>
            <w:vAlign w:val="center"/>
          </w:tcPr>
          <w:p w14:paraId="50195C59">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55" w:type="pct"/>
            <w:vMerge w:val="continue"/>
            <w:tcBorders>
              <w:tl2br w:val="nil"/>
              <w:tr2bl w:val="nil"/>
            </w:tcBorders>
            <w:noWrap w:val="0"/>
            <w:vAlign w:val="center"/>
          </w:tcPr>
          <w:p w14:paraId="318BBFB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
                <w:szCs w:val="24"/>
              </w:rPr>
            </w:pPr>
          </w:p>
        </w:tc>
        <w:tc>
          <w:tcPr>
            <w:tcW w:w="494" w:type="pct"/>
            <w:tcBorders>
              <w:tl2br w:val="nil"/>
              <w:tr2bl w:val="nil"/>
            </w:tcBorders>
            <w:noWrap w:val="0"/>
            <w:vAlign w:val="center"/>
          </w:tcPr>
          <w:p w14:paraId="75F3E3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default" w:ascii="Times New Roman" w:hAnsi="Times New Roman" w:eastAsia="宋体" w:cs="Times New Roman"/>
                <w:spacing w:val="0"/>
                <w:kern w:val="21"/>
                <w:sz w:val="21"/>
                <w:szCs w:val="24"/>
                <w:lang w:val="en-US" w:eastAsia="zh-CN"/>
              </w:rPr>
              <w:t>石油类</w:t>
            </w:r>
          </w:p>
        </w:tc>
        <w:tc>
          <w:tcPr>
            <w:tcW w:w="987" w:type="pct"/>
            <w:tcBorders>
              <w:tl2br w:val="nil"/>
              <w:tr2bl w:val="nil"/>
            </w:tcBorders>
            <w:noWrap w:val="0"/>
            <w:vAlign w:val="center"/>
          </w:tcPr>
          <w:p w14:paraId="6434DF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1.0</w:t>
            </w:r>
          </w:p>
        </w:tc>
      </w:tr>
    </w:tbl>
    <w:p w14:paraId="61E77E9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ascii="Times New Roman" w:hAnsi="Times New Roman"/>
          <w:b/>
          <w:bCs/>
          <w:lang w:val="en-US"/>
        </w:rPr>
      </w:pPr>
      <w:r>
        <w:rPr>
          <w:rFonts w:hint="eastAsia" w:ascii="Times New Roman" w:hAnsi="Times New Roman"/>
          <w:b/>
          <w:bCs/>
        </w:rPr>
        <w:t>表</w:t>
      </w:r>
      <w:r>
        <w:rPr>
          <w:rFonts w:hint="eastAsia"/>
          <w:b/>
          <w:bCs/>
          <w:lang w:val="en-US" w:eastAsia="zh-CN"/>
        </w:rPr>
        <w:t>5.3-4</w:t>
      </w:r>
      <w:r>
        <w:rPr>
          <w:rFonts w:hint="eastAsia" w:ascii="Times New Roman" w:hAnsi="Times New Roman"/>
          <w:b/>
          <w:bCs/>
        </w:rPr>
        <w:t xml:space="preserve">     </w:t>
      </w:r>
      <w:r>
        <w:rPr>
          <w:rFonts w:hint="eastAsia"/>
          <w:b/>
          <w:bCs/>
          <w:lang w:val="en-US" w:eastAsia="zh-CN"/>
        </w:rPr>
        <w:t>废水污染物排放执行标准表</w:t>
      </w:r>
    </w:p>
    <w:tbl>
      <w:tblPr>
        <w:tblStyle w:val="39"/>
        <w:tblW w:w="4999"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570"/>
        <w:gridCol w:w="1260"/>
        <w:gridCol w:w="1185"/>
        <w:gridCol w:w="3286"/>
        <w:gridCol w:w="2070"/>
      </w:tblGrid>
      <w:tr w14:paraId="2BD984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restart"/>
            <w:tcBorders>
              <w:tl2br w:val="nil"/>
              <w:tr2bl w:val="nil"/>
            </w:tcBorders>
            <w:noWrap w:val="0"/>
            <w:vAlign w:val="center"/>
          </w:tcPr>
          <w:p w14:paraId="4651815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序号</w:t>
            </w:r>
          </w:p>
        </w:tc>
        <w:tc>
          <w:tcPr>
            <w:tcW w:w="1260" w:type="dxa"/>
            <w:vMerge w:val="restart"/>
            <w:tcBorders>
              <w:tl2br w:val="nil"/>
              <w:tr2bl w:val="nil"/>
            </w:tcBorders>
            <w:noWrap w:val="0"/>
            <w:vAlign w:val="center"/>
          </w:tcPr>
          <w:p w14:paraId="4AF91C4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排放口编号</w:t>
            </w:r>
          </w:p>
        </w:tc>
        <w:tc>
          <w:tcPr>
            <w:tcW w:w="1185" w:type="dxa"/>
            <w:vMerge w:val="restart"/>
            <w:tcBorders>
              <w:tl2br w:val="nil"/>
              <w:tr2bl w:val="nil"/>
            </w:tcBorders>
            <w:noWrap w:val="0"/>
            <w:vAlign w:val="center"/>
          </w:tcPr>
          <w:p w14:paraId="633E8D2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污染物种类</w:t>
            </w:r>
          </w:p>
        </w:tc>
        <w:tc>
          <w:tcPr>
            <w:tcW w:w="5356" w:type="dxa"/>
            <w:gridSpan w:val="2"/>
            <w:tcBorders>
              <w:tl2br w:val="nil"/>
              <w:tr2bl w:val="nil"/>
            </w:tcBorders>
            <w:noWrap w:val="0"/>
            <w:vAlign w:val="center"/>
          </w:tcPr>
          <w:p w14:paraId="59834F4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国家或地方污染物排放标准</w:t>
            </w:r>
          </w:p>
        </w:tc>
      </w:tr>
      <w:tr w14:paraId="433549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7DC8D6D5">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textAlignment w:val="auto"/>
              <w:rPr>
                <w:rFonts w:hint="default" w:ascii="Times New Roman" w:hAnsi="Times New Roman" w:cs="Times New Roman"/>
                <w:b/>
                <w:bCs/>
                <w:spacing w:val="0"/>
                <w:kern w:val="21"/>
                <w:sz w:val="2"/>
                <w:szCs w:val="24"/>
              </w:rPr>
            </w:pPr>
          </w:p>
        </w:tc>
        <w:tc>
          <w:tcPr>
            <w:tcW w:w="1260" w:type="dxa"/>
            <w:vMerge w:val="continue"/>
            <w:tcBorders>
              <w:tl2br w:val="nil"/>
              <w:tr2bl w:val="nil"/>
            </w:tcBorders>
            <w:noWrap w:val="0"/>
            <w:vAlign w:val="center"/>
          </w:tcPr>
          <w:p w14:paraId="3F225F7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textAlignment w:val="auto"/>
              <w:rPr>
                <w:rFonts w:hint="default" w:ascii="Times New Roman" w:hAnsi="Times New Roman" w:cs="Times New Roman"/>
                <w:b/>
                <w:bCs/>
                <w:spacing w:val="0"/>
                <w:kern w:val="21"/>
                <w:sz w:val="2"/>
                <w:szCs w:val="24"/>
              </w:rPr>
            </w:pPr>
          </w:p>
        </w:tc>
        <w:tc>
          <w:tcPr>
            <w:tcW w:w="1185" w:type="dxa"/>
            <w:vMerge w:val="continue"/>
            <w:tcBorders>
              <w:tl2br w:val="nil"/>
              <w:tr2bl w:val="nil"/>
            </w:tcBorders>
            <w:noWrap w:val="0"/>
            <w:vAlign w:val="center"/>
          </w:tcPr>
          <w:p w14:paraId="05E9BADF">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textAlignment w:val="auto"/>
              <w:rPr>
                <w:rFonts w:hint="default" w:ascii="Times New Roman" w:hAnsi="Times New Roman" w:cs="Times New Roman"/>
                <w:b/>
                <w:bCs/>
                <w:spacing w:val="0"/>
                <w:kern w:val="21"/>
                <w:sz w:val="2"/>
                <w:szCs w:val="24"/>
              </w:rPr>
            </w:pPr>
          </w:p>
        </w:tc>
        <w:tc>
          <w:tcPr>
            <w:tcW w:w="3286" w:type="dxa"/>
            <w:tcBorders>
              <w:tl2br w:val="nil"/>
              <w:tr2bl w:val="nil"/>
            </w:tcBorders>
            <w:noWrap w:val="0"/>
            <w:vAlign w:val="center"/>
          </w:tcPr>
          <w:p w14:paraId="1DE47F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名称</w:t>
            </w:r>
          </w:p>
        </w:tc>
        <w:tc>
          <w:tcPr>
            <w:tcW w:w="2070" w:type="dxa"/>
            <w:tcBorders>
              <w:tl2br w:val="nil"/>
              <w:tr2bl w:val="nil"/>
            </w:tcBorders>
            <w:noWrap w:val="0"/>
            <w:vAlign w:val="center"/>
          </w:tcPr>
          <w:p w14:paraId="78C72D6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pacing w:val="0"/>
                <w:kern w:val="21"/>
                <w:sz w:val="21"/>
                <w:szCs w:val="24"/>
              </w:rPr>
            </w:pPr>
            <w:r>
              <w:rPr>
                <w:rFonts w:hint="default" w:ascii="Times New Roman" w:hAnsi="Times New Roman" w:cs="Times New Roman"/>
                <w:b/>
                <w:bCs/>
                <w:spacing w:val="0"/>
                <w:kern w:val="21"/>
                <w:sz w:val="21"/>
                <w:szCs w:val="24"/>
              </w:rPr>
              <w:t>浓度限值</w:t>
            </w:r>
            <w:r>
              <w:rPr>
                <w:rFonts w:hint="default" w:ascii="Times New Roman" w:hAnsi="Times New Roman" w:eastAsia="Times New Roman" w:cs="Times New Roman"/>
                <w:b/>
                <w:bCs/>
                <w:spacing w:val="0"/>
                <w:kern w:val="21"/>
                <w:sz w:val="21"/>
                <w:szCs w:val="24"/>
              </w:rPr>
              <w:t>/(mg/L)</w:t>
            </w:r>
          </w:p>
        </w:tc>
      </w:tr>
      <w:tr w14:paraId="056A55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restart"/>
            <w:tcBorders>
              <w:tl2br w:val="nil"/>
              <w:tr2bl w:val="nil"/>
            </w:tcBorders>
            <w:noWrap w:val="0"/>
            <w:vAlign w:val="center"/>
          </w:tcPr>
          <w:p w14:paraId="6BA004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1</w:t>
            </w:r>
          </w:p>
        </w:tc>
        <w:tc>
          <w:tcPr>
            <w:tcW w:w="1260" w:type="dxa"/>
            <w:vMerge w:val="restart"/>
            <w:tcBorders>
              <w:tl2br w:val="nil"/>
              <w:tr2bl w:val="nil"/>
            </w:tcBorders>
            <w:noWrap w:val="0"/>
            <w:vAlign w:val="center"/>
          </w:tcPr>
          <w:p w14:paraId="2C6108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DW001</w:t>
            </w:r>
          </w:p>
        </w:tc>
        <w:tc>
          <w:tcPr>
            <w:tcW w:w="1185" w:type="dxa"/>
            <w:tcBorders>
              <w:tl2br w:val="nil"/>
              <w:tr2bl w:val="nil"/>
            </w:tcBorders>
            <w:noWrap w:val="0"/>
            <w:vAlign w:val="center"/>
          </w:tcPr>
          <w:p w14:paraId="0B22569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COD</w:t>
            </w:r>
          </w:p>
        </w:tc>
        <w:tc>
          <w:tcPr>
            <w:tcW w:w="3286" w:type="dxa"/>
            <w:vMerge w:val="restart"/>
            <w:tcBorders>
              <w:tl2br w:val="nil"/>
              <w:tr2bl w:val="nil"/>
            </w:tcBorders>
            <w:noWrap w:val="0"/>
            <w:vAlign w:val="center"/>
          </w:tcPr>
          <w:p w14:paraId="7D057E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cs="Times New Roman"/>
                <w:spacing w:val="0"/>
                <w:kern w:val="21"/>
                <w:sz w:val="21"/>
                <w:szCs w:val="24"/>
                <w:lang w:val="en-US"/>
              </w:rPr>
            </w:pPr>
            <w:r>
              <w:rPr>
                <w:rFonts w:hint="default" w:ascii="Times New Roman" w:hAnsi="Times New Roman" w:cs="Times New Roman"/>
                <w:spacing w:val="0"/>
                <w:kern w:val="21"/>
                <w:sz w:val="21"/>
                <w:szCs w:val="24"/>
              </w:rPr>
              <w:t>《电镀污染物排放标准》（</w:t>
            </w:r>
            <w:r>
              <w:rPr>
                <w:rFonts w:hint="default" w:ascii="Times New Roman" w:hAnsi="Times New Roman" w:eastAsia="Times New Roman" w:cs="Times New Roman"/>
                <w:spacing w:val="0"/>
                <w:kern w:val="21"/>
                <w:sz w:val="21"/>
                <w:szCs w:val="24"/>
              </w:rPr>
              <w:t>GB21900-2008</w:t>
            </w:r>
            <w:r>
              <w:rPr>
                <w:rFonts w:hint="default" w:ascii="Times New Roman" w:hAnsi="Times New Roman" w:cs="Times New Roman"/>
                <w:spacing w:val="0"/>
                <w:kern w:val="21"/>
                <w:sz w:val="21"/>
                <w:szCs w:val="24"/>
              </w:rPr>
              <w:t xml:space="preserve">）表 </w:t>
            </w:r>
            <w:r>
              <w:rPr>
                <w:rFonts w:hint="default" w:ascii="Times New Roman" w:hAnsi="Times New Roman" w:eastAsia="Times New Roman" w:cs="Times New Roman"/>
                <w:spacing w:val="0"/>
                <w:kern w:val="21"/>
                <w:sz w:val="21"/>
                <w:szCs w:val="24"/>
              </w:rPr>
              <w:t>2</w:t>
            </w:r>
            <w:r>
              <w:rPr>
                <w:rFonts w:hint="default" w:ascii="Times New Roman" w:hAnsi="Times New Roman" w:cs="Times New Roman"/>
                <w:spacing w:val="0"/>
                <w:kern w:val="21"/>
                <w:sz w:val="21"/>
                <w:szCs w:val="24"/>
              </w:rPr>
              <w:t>及</w:t>
            </w:r>
            <w:r>
              <w:rPr>
                <w:rFonts w:hint="eastAsia" w:ascii="Times New Roman" w:hAnsi="Times New Roman" w:eastAsia="宋体" w:cs="Times New Roman"/>
                <w:spacing w:val="0"/>
                <w:kern w:val="21"/>
                <w:sz w:val="21"/>
                <w:szCs w:val="24"/>
                <w:lang w:val="en-US" w:eastAsia="zh-CN"/>
              </w:rPr>
              <w:t>获嘉县同盟污水处理厂收水水质要求</w:t>
            </w:r>
          </w:p>
        </w:tc>
        <w:tc>
          <w:tcPr>
            <w:tcW w:w="2070" w:type="dxa"/>
            <w:tcBorders>
              <w:tl2br w:val="nil"/>
              <w:tr2bl w:val="nil"/>
            </w:tcBorders>
            <w:noWrap w:val="0"/>
            <w:vAlign w:val="center"/>
          </w:tcPr>
          <w:p w14:paraId="0B83818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350</w:t>
            </w:r>
          </w:p>
        </w:tc>
      </w:tr>
      <w:tr w14:paraId="140334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3A2CD4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18"/>
                <w:szCs w:val="24"/>
              </w:rPr>
            </w:pPr>
          </w:p>
        </w:tc>
        <w:tc>
          <w:tcPr>
            <w:tcW w:w="1260" w:type="dxa"/>
            <w:vMerge w:val="continue"/>
            <w:tcBorders>
              <w:tl2br w:val="nil"/>
              <w:tr2bl w:val="nil"/>
            </w:tcBorders>
            <w:noWrap w:val="0"/>
            <w:vAlign w:val="center"/>
          </w:tcPr>
          <w:p w14:paraId="1CE5602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18"/>
                <w:szCs w:val="24"/>
              </w:rPr>
            </w:pPr>
          </w:p>
        </w:tc>
        <w:tc>
          <w:tcPr>
            <w:tcW w:w="1185" w:type="dxa"/>
            <w:tcBorders>
              <w:tl2br w:val="nil"/>
              <w:tr2bl w:val="nil"/>
            </w:tcBorders>
            <w:noWrap w:val="0"/>
            <w:vAlign w:val="center"/>
          </w:tcPr>
          <w:p w14:paraId="29CCAF3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SS</w:t>
            </w:r>
          </w:p>
        </w:tc>
        <w:tc>
          <w:tcPr>
            <w:tcW w:w="3286" w:type="dxa"/>
            <w:vMerge w:val="continue"/>
            <w:tcBorders>
              <w:tl2br w:val="nil"/>
              <w:tr2bl w:val="nil"/>
            </w:tcBorders>
            <w:noWrap w:val="0"/>
            <w:vAlign w:val="center"/>
          </w:tcPr>
          <w:p w14:paraId="0DB32E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18"/>
                <w:szCs w:val="24"/>
              </w:rPr>
            </w:pPr>
          </w:p>
        </w:tc>
        <w:tc>
          <w:tcPr>
            <w:tcW w:w="2070" w:type="dxa"/>
            <w:tcBorders>
              <w:tl2br w:val="nil"/>
              <w:tr2bl w:val="nil"/>
            </w:tcBorders>
            <w:noWrap w:val="0"/>
            <w:vAlign w:val="center"/>
          </w:tcPr>
          <w:p w14:paraId="2701E9A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230</w:t>
            </w:r>
          </w:p>
        </w:tc>
      </w:tr>
      <w:tr w14:paraId="4280D0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57FCBFE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260" w:type="dxa"/>
            <w:vMerge w:val="continue"/>
            <w:tcBorders>
              <w:tl2br w:val="nil"/>
              <w:tr2bl w:val="nil"/>
            </w:tcBorders>
            <w:noWrap w:val="0"/>
            <w:vAlign w:val="center"/>
          </w:tcPr>
          <w:p w14:paraId="333FFFA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185" w:type="dxa"/>
            <w:tcBorders>
              <w:tl2br w:val="nil"/>
              <w:tr2bl w:val="nil"/>
            </w:tcBorders>
            <w:noWrap w:val="0"/>
            <w:vAlign w:val="center"/>
          </w:tcPr>
          <w:p w14:paraId="51AF522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氨氮</w:t>
            </w:r>
          </w:p>
        </w:tc>
        <w:tc>
          <w:tcPr>
            <w:tcW w:w="3286" w:type="dxa"/>
            <w:vMerge w:val="continue"/>
            <w:tcBorders>
              <w:tl2br w:val="nil"/>
              <w:tr2bl w:val="nil"/>
            </w:tcBorders>
            <w:noWrap w:val="0"/>
            <w:vAlign w:val="center"/>
          </w:tcPr>
          <w:p w14:paraId="51409C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2070" w:type="dxa"/>
            <w:tcBorders>
              <w:tl2br w:val="nil"/>
              <w:tr2bl w:val="nil"/>
            </w:tcBorders>
            <w:noWrap w:val="0"/>
            <w:vAlign w:val="center"/>
          </w:tcPr>
          <w:p w14:paraId="4EEFC8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default" w:ascii="Times New Roman" w:hAnsi="Times New Roman" w:eastAsia="宋体" w:cs="Times New Roman"/>
                <w:spacing w:val="0"/>
                <w:kern w:val="21"/>
                <w:sz w:val="21"/>
                <w:szCs w:val="24"/>
                <w:lang w:val="en-US" w:eastAsia="zh-CN"/>
              </w:rPr>
              <w:t>35</w:t>
            </w:r>
          </w:p>
        </w:tc>
      </w:tr>
      <w:tr w14:paraId="4932330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3F0723F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260" w:type="dxa"/>
            <w:vMerge w:val="continue"/>
            <w:tcBorders>
              <w:tl2br w:val="nil"/>
              <w:tr2bl w:val="nil"/>
            </w:tcBorders>
            <w:noWrap w:val="0"/>
            <w:vAlign w:val="center"/>
          </w:tcPr>
          <w:p w14:paraId="7CCBE9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185" w:type="dxa"/>
            <w:tcBorders>
              <w:tl2br w:val="nil"/>
              <w:tr2bl w:val="nil"/>
            </w:tcBorders>
            <w:noWrap w:val="0"/>
            <w:vAlign w:val="center"/>
          </w:tcPr>
          <w:p w14:paraId="07B76D2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总磷</w:t>
            </w:r>
          </w:p>
        </w:tc>
        <w:tc>
          <w:tcPr>
            <w:tcW w:w="3286" w:type="dxa"/>
            <w:vMerge w:val="continue"/>
            <w:tcBorders>
              <w:tl2br w:val="nil"/>
              <w:tr2bl w:val="nil"/>
            </w:tcBorders>
            <w:noWrap w:val="0"/>
            <w:vAlign w:val="center"/>
          </w:tcPr>
          <w:p w14:paraId="75AAF6E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2070" w:type="dxa"/>
            <w:tcBorders>
              <w:tl2br w:val="nil"/>
              <w:tr2bl w:val="nil"/>
            </w:tcBorders>
            <w:noWrap w:val="0"/>
            <w:vAlign w:val="center"/>
          </w:tcPr>
          <w:p w14:paraId="663DFA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3.5</w:t>
            </w:r>
          </w:p>
        </w:tc>
      </w:tr>
      <w:tr w14:paraId="0776F8A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136E2BD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260" w:type="dxa"/>
            <w:vMerge w:val="continue"/>
            <w:tcBorders>
              <w:tl2br w:val="nil"/>
              <w:tr2bl w:val="nil"/>
            </w:tcBorders>
            <w:noWrap w:val="0"/>
            <w:vAlign w:val="center"/>
          </w:tcPr>
          <w:p w14:paraId="3B6D717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185" w:type="dxa"/>
            <w:tcBorders>
              <w:tl2br w:val="nil"/>
              <w:tr2bl w:val="nil"/>
            </w:tcBorders>
            <w:noWrap w:val="0"/>
            <w:vAlign w:val="center"/>
          </w:tcPr>
          <w:p w14:paraId="153D86B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总氮</w:t>
            </w:r>
          </w:p>
        </w:tc>
        <w:tc>
          <w:tcPr>
            <w:tcW w:w="3286" w:type="dxa"/>
            <w:vMerge w:val="continue"/>
            <w:tcBorders>
              <w:tl2br w:val="nil"/>
              <w:tr2bl w:val="nil"/>
            </w:tcBorders>
            <w:noWrap w:val="0"/>
            <w:vAlign w:val="center"/>
          </w:tcPr>
          <w:p w14:paraId="3A7A125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2070" w:type="dxa"/>
            <w:tcBorders>
              <w:tl2br w:val="nil"/>
              <w:tr2bl w:val="nil"/>
            </w:tcBorders>
            <w:noWrap w:val="0"/>
            <w:vAlign w:val="center"/>
          </w:tcPr>
          <w:p w14:paraId="4C7B151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eastAsia" w:ascii="Times New Roman" w:hAnsi="Times New Roman" w:eastAsia="宋体" w:cs="Times New Roman"/>
                <w:spacing w:val="0"/>
                <w:kern w:val="21"/>
                <w:sz w:val="21"/>
                <w:szCs w:val="24"/>
                <w:lang w:val="en-US" w:eastAsia="zh-CN"/>
              </w:rPr>
              <w:t>50</w:t>
            </w:r>
          </w:p>
        </w:tc>
      </w:tr>
      <w:tr w14:paraId="3AA77D0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4BCD5E7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260" w:type="dxa"/>
            <w:vMerge w:val="continue"/>
            <w:tcBorders>
              <w:tl2br w:val="nil"/>
              <w:tr2bl w:val="nil"/>
            </w:tcBorders>
            <w:noWrap w:val="0"/>
            <w:vAlign w:val="center"/>
          </w:tcPr>
          <w:p w14:paraId="7641FF9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185" w:type="dxa"/>
            <w:tcBorders>
              <w:tl2br w:val="nil"/>
              <w:tr2bl w:val="nil"/>
            </w:tcBorders>
            <w:noWrap w:val="0"/>
            <w:vAlign w:val="center"/>
          </w:tcPr>
          <w:p w14:paraId="30340C3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snapToGrid w:val="0"/>
                <w:spacing w:val="0"/>
                <w:kern w:val="21"/>
                <w:sz w:val="21"/>
                <w:szCs w:val="24"/>
                <w:lang w:eastAsia="zh-CN"/>
              </w:rPr>
            </w:pPr>
            <w:r>
              <w:rPr>
                <w:rFonts w:hint="default" w:ascii="Times New Roman" w:hAnsi="Times New Roman" w:cs="Times New Roman"/>
                <w:spacing w:val="0"/>
                <w:kern w:val="21"/>
                <w:sz w:val="21"/>
                <w:szCs w:val="24"/>
              </w:rPr>
              <w:t>总</w:t>
            </w:r>
            <w:r>
              <w:rPr>
                <w:rFonts w:hint="eastAsia" w:ascii="Times New Roman" w:hAnsi="Times New Roman" w:eastAsia="宋体" w:cs="Times New Roman"/>
                <w:spacing w:val="0"/>
                <w:kern w:val="21"/>
                <w:sz w:val="21"/>
                <w:szCs w:val="24"/>
                <w:lang w:val="en-US" w:eastAsia="zh-CN"/>
              </w:rPr>
              <w:t>镍</w:t>
            </w:r>
          </w:p>
        </w:tc>
        <w:tc>
          <w:tcPr>
            <w:tcW w:w="3286" w:type="dxa"/>
            <w:vMerge w:val="continue"/>
            <w:tcBorders>
              <w:tl2br w:val="nil"/>
              <w:tr2bl w:val="nil"/>
            </w:tcBorders>
            <w:noWrap w:val="0"/>
            <w:vAlign w:val="center"/>
          </w:tcPr>
          <w:p w14:paraId="634235E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textAlignment w:val="auto"/>
              <w:rPr>
                <w:rFonts w:hint="default" w:ascii="Times New Roman" w:hAnsi="Times New Roman" w:eastAsia="Times New Roman" w:cs="Times New Roman"/>
                <w:snapToGrid w:val="0"/>
                <w:spacing w:val="0"/>
                <w:kern w:val="21"/>
                <w:sz w:val="20"/>
                <w:szCs w:val="24"/>
              </w:rPr>
            </w:pPr>
          </w:p>
        </w:tc>
        <w:tc>
          <w:tcPr>
            <w:tcW w:w="2070" w:type="dxa"/>
            <w:tcBorders>
              <w:tl2br w:val="nil"/>
              <w:tr2bl w:val="nil"/>
            </w:tcBorders>
            <w:noWrap w:val="0"/>
            <w:vAlign w:val="center"/>
          </w:tcPr>
          <w:p w14:paraId="53B454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rPr>
            </w:pPr>
            <w:r>
              <w:rPr>
                <w:rFonts w:hint="default" w:ascii="Times New Roman" w:hAnsi="Times New Roman" w:eastAsia="Times New Roman" w:cs="Times New Roman"/>
                <w:spacing w:val="0"/>
                <w:kern w:val="21"/>
                <w:sz w:val="21"/>
                <w:szCs w:val="24"/>
              </w:rPr>
              <w:t>0.5</w:t>
            </w:r>
          </w:p>
        </w:tc>
      </w:tr>
      <w:tr w14:paraId="3C8B7B7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70" w:type="dxa"/>
            <w:vMerge w:val="continue"/>
            <w:tcBorders>
              <w:tl2br w:val="nil"/>
              <w:tr2bl w:val="nil"/>
            </w:tcBorders>
            <w:noWrap w:val="0"/>
            <w:vAlign w:val="center"/>
          </w:tcPr>
          <w:p w14:paraId="508ACA8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260" w:type="dxa"/>
            <w:vMerge w:val="continue"/>
            <w:tcBorders>
              <w:tl2br w:val="nil"/>
              <w:tr2bl w:val="nil"/>
            </w:tcBorders>
            <w:noWrap w:val="0"/>
            <w:vAlign w:val="center"/>
          </w:tcPr>
          <w:p w14:paraId="1A5B9E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eastAsia="Times New Roman" w:cs="Times New Roman"/>
                <w:spacing w:val="0"/>
                <w:kern w:val="21"/>
                <w:sz w:val="20"/>
                <w:szCs w:val="24"/>
              </w:rPr>
            </w:pPr>
          </w:p>
        </w:tc>
        <w:tc>
          <w:tcPr>
            <w:tcW w:w="1185" w:type="dxa"/>
            <w:tcBorders>
              <w:tl2br w:val="nil"/>
              <w:tr2bl w:val="nil"/>
            </w:tcBorders>
            <w:noWrap w:val="0"/>
            <w:vAlign w:val="center"/>
          </w:tcPr>
          <w:p w14:paraId="0E8D42C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rPr>
            </w:pPr>
            <w:r>
              <w:rPr>
                <w:rFonts w:hint="default" w:ascii="Times New Roman" w:hAnsi="Times New Roman" w:cs="Times New Roman"/>
                <w:spacing w:val="0"/>
                <w:kern w:val="21"/>
                <w:sz w:val="21"/>
                <w:szCs w:val="24"/>
              </w:rPr>
              <w:t>石油类</w:t>
            </w:r>
          </w:p>
        </w:tc>
        <w:tc>
          <w:tcPr>
            <w:tcW w:w="3286" w:type="dxa"/>
            <w:vMerge w:val="continue"/>
            <w:tcBorders>
              <w:tl2br w:val="nil"/>
              <w:tr2bl w:val="nil"/>
            </w:tcBorders>
            <w:noWrap w:val="0"/>
            <w:vAlign w:val="center"/>
          </w:tcPr>
          <w:p w14:paraId="7ED8768F">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leftChars="0" w:right="0" w:rightChars="0" w:firstLine="0" w:firstLineChars="0"/>
              <w:textAlignment w:val="auto"/>
              <w:rPr>
                <w:rFonts w:hint="default" w:ascii="Times New Roman" w:hAnsi="Times New Roman" w:eastAsia="宋体" w:cs="Times New Roman"/>
                <w:b/>
                <w:snapToGrid w:val="0"/>
                <w:spacing w:val="0"/>
                <w:kern w:val="21"/>
                <w:sz w:val="2"/>
                <w:szCs w:val="24"/>
              </w:rPr>
            </w:pPr>
          </w:p>
        </w:tc>
        <w:tc>
          <w:tcPr>
            <w:tcW w:w="2070" w:type="dxa"/>
            <w:tcBorders>
              <w:tl2br w:val="nil"/>
              <w:tr2bl w:val="nil"/>
            </w:tcBorders>
            <w:noWrap w:val="0"/>
            <w:vAlign w:val="center"/>
          </w:tcPr>
          <w:p w14:paraId="7F4FDF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4"/>
              </w:rPr>
            </w:pPr>
            <w:r>
              <w:rPr>
                <w:rFonts w:hint="default" w:ascii="Times New Roman" w:hAnsi="Times New Roman" w:eastAsia="Times New Roman" w:cs="Times New Roman"/>
                <w:spacing w:val="0"/>
                <w:kern w:val="21"/>
                <w:sz w:val="21"/>
                <w:szCs w:val="24"/>
              </w:rPr>
              <w:t>3.0</w:t>
            </w:r>
          </w:p>
        </w:tc>
      </w:tr>
    </w:tbl>
    <w:p w14:paraId="317F24F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ascii="Times New Roman" w:hAnsi="Times New Roman"/>
          <w:b/>
          <w:bCs/>
          <w:lang w:val="en-US"/>
        </w:rPr>
      </w:pPr>
      <w:r>
        <w:rPr>
          <w:rFonts w:hint="eastAsia" w:ascii="Times New Roman" w:hAnsi="Times New Roman"/>
          <w:b/>
          <w:bCs/>
        </w:rPr>
        <w:t>表</w:t>
      </w:r>
      <w:r>
        <w:rPr>
          <w:rFonts w:hint="eastAsia"/>
          <w:b/>
          <w:bCs/>
          <w:lang w:val="en-US" w:eastAsia="zh-CN"/>
        </w:rPr>
        <w:t>5.3-5</w:t>
      </w:r>
      <w:r>
        <w:rPr>
          <w:rFonts w:hint="eastAsia" w:ascii="Times New Roman" w:hAnsi="Times New Roman"/>
          <w:b/>
          <w:bCs/>
        </w:rPr>
        <w:t xml:space="preserve">     </w:t>
      </w:r>
      <w:r>
        <w:rPr>
          <w:rFonts w:hint="eastAsia"/>
          <w:b/>
          <w:bCs/>
          <w:lang w:val="en-US" w:eastAsia="zh-CN"/>
        </w:rPr>
        <w:t>废水污染物排放信息表</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725"/>
        <w:gridCol w:w="1346"/>
        <w:gridCol w:w="1143"/>
        <w:gridCol w:w="1629"/>
        <w:gridCol w:w="1766"/>
        <w:gridCol w:w="1760"/>
      </w:tblGrid>
      <w:tr w14:paraId="505571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tcBorders>
              <w:tl2br w:val="nil"/>
              <w:tr2bl w:val="nil"/>
            </w:tcBorders>
            <w:noWrap w:val="0"/>
            <w:vAlign w:val="center"/>
          </w:tcPr>
          <w:p w14:paraId="27C1653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序号</w:t>
            </w:r>
          </w:p>
        </w:tc>
        <w:tc>
          <w:tcPr>
            <w:tcW w:w="1346" w:type="dxa"/>
            <w:tcBorders>
              <w:tl2br w:val="nil"/>
              <w:tr2bl w:val="nil"/>
            </w:tcBorders>
            <w:noWrap w:val="0"/>
            <w:vAlign w:val="center"/>
          </w:tcPr>
          <w:p w14:paraId="1D6BD53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排放口编号</w:t>
            </w:r>
          </w:p>
        </w:tc>
        <w:tc>
          <w:tcPr>
            <w:tcW w:w="1143" w:type="dxa"/>
            <w:tcBorders>
              <w:tl2br w:val="nil"/>
              <w:tr2bl w:val="nil"/>
            </w:tcBorders>
            <w:noWrap w:val="0"/>
            <w:vAlign w:val="center"/>
          </w:tcPr>
          <w:p w14:paraId="04EF8CB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污染物种类</w:t>
            </w:r>
          </w:p>
        </w:tc>
        <w:tc>
          <w:tcPr>
            <w:tcW w:w="1629" w:type="dxa"/>
            <w:tcBorders>
              <w:tl2br w:val="nil"/>
              <w:tr2bl w:val="nil"/>
            </w:tcBorders>
            <w:noWrap w:val="0"/>
            <w:vAlign w:val="center"/>
          </w:tcPr>
          <w:p w14:paraId="7103B9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排放浓度</w:t>
            </w:r>
            <w:r>
              <w:rPr>
                <w:rFonts w:hint="default" w:ascii="Times New Roman" w:hAnsi="Times New Roman" w:cs="Times New Roman"/>
                <w:spacing w:val="0"/>
                <w:kern w:val="21"/>
                <w:sz w:val="21"/>
                <w:szCs w:val="21"/>
              </w:rPr>
              <w:t>/</w:t>
            </w:r>
            <w:r>
              <w:rPr>
                <w:rFonts w:hint="default" w:ascii="Times New Roman" w:hAnsi="Times New Roman" w:eastAsia="宋体" w:cs="Times New Roman"/>
                <w:spacing w:val="0"/>
                <w:kern w:val="21"/>
                <w:sz w:val="21"/>
                <w:szCs w:val="21"/>
              </w:rPr>
              <w:t>（</w:t>
            </w:r>
            <w:r>
              <w:rPr>
                <w:rFonts w:hint="default" w:ascii="Times New Roman" w:hAnsi="Times New Roman" w:cs="Times New Roman"/>
                <w:spacing w:val="0"/>
                <w:kern w:val="21"/>
                <w:sz w:val="21"/>
                <w:szCs w:val="21"/>
              </w:rPr>
              <w:t>mg/L</w:t>
            </w:r>
            <w:r>
              <w:rPr>
                <w:rFonts w:hint="default" w:ascii="Times New Roman" w:hAnsi="Times New Roman" w:eastAsia="宋体" w:cs="Times New Roman"/>
                <w:spacing w:val="0"/>
                <w:kern w:val="21"/>
                <w:sz w:val="21"/>
                <w:szCs w:val="21"/>
              </w:rPr>
              <w:t>）</w:t>
            </w:r>
          </w:p>
        </w:tc>
        <w:tc>
          <w:tcPr>
            <w:tcW w:w="1766" w:type="dxa"/>
            <w:tcBorders>
              <w:tl2br w:val="nil"/>
              <w:tr2bl w:val="nil"/>
            </w:tcBorders>
            <w:noWrap w:val="0"/>
            <w:vAlign w:val="center"/>
          </w:tcPr>
          <w:p w14:paraId="278A64B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日排放量</w:t>
            </w:r>
            <w:r>
              <w:rPr>
                <w:rFonts w:hint="default" w:ascii="Times New Roman" w:hAnsi="Times New Roman" w:cs="Times New Roman"/>
                <w:spacing w:val="0"/>
                <w:kern w:val="21"/>
                <w:sz w:val="21"/>
                <w:szCs w:val="21"/>
              </w:rPr>
              <w:t>/</w:t>
            </w:r>
            <w:r>
              <w:rPr>
                <w:rFonts w:hint="default" w:ascii="Times New Roman" w:hAnsi="Times New Roman" w:eastAsia="宋体" w:cs="Times New Roman"/>
                <w:spacing w:val="0"/>
                <w:kern w:val="21"/>
                <w:sz w:val="21"/>
                <w:szCs w:val="21"/>
              </w:rPr>
              <w:t>（</w:t>
            </w:r>
            <w:r>
              <w:rPr>
                <w:rFonts w:hint="default" w:ascii="Times New Roman" w:hAnsi="Times New Roman" w:cs="Times New Roman"/>
                <w:spacing w:val="0"/>
                <w:kern w:val="21"/>
                <w:sz w:val="21"/>
                <w:szCs w:val="21"/>
              </w:rPr>
              <w:t>t/d</w:t>
            </w:r>
            <w:r>
              <w:rPr>
                <w:rFonts w:hint="default" w:ascii="Times New Roman" w:hAnsi="Times New Roman" w:eastAsia="宋体" w:cs="Times New Roman"/>
                <w:spacing w:val="0"/>
                <w:kern w:val="21"/>
                <w:sz w:val="21"/>
                <w:szCs w:val="21"/>
              </w:rPr>
              <w:t>）</w:t>
            </w:r>
          </w:p>
        </w:tc>
        <w:tc>
          <w:tcPr>
            <w:tcW w:w="1760" w:type="dxa"/>
            <w:tcBorders>
              <w:tl2br w:val="nil"/>
              <w:tr2bl w:val="nil"/>
            </w:tcBorders>
            <w:noWrap w:val="0"/>
            <w:vAlign w:val="center"/>
          </w:tcPr>
          <w:p w14:paraId="4E6F49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年排放量</w:t>
            </w:r>
            <w:r>
              <w:rPr>
                <w:rFonts w:hint="default" w:ascii="Times New Roman" w:hAnsi="Times New Roman" w:cs="Times New Roman"/>
                <w:spacing w:val="0"/>
                <w:kern w:val="21"/>
                <w:sz w:val="21"/>
                <w:szCs w:val="21"/>
              </w:rPr>
              <w:t>/</w:t>
            </w:r>
            <w:r>
              <w:rPr>
                <w:rFonts w:hint="default" w:ascii="Times New Roman" w:hAnsi="Times New Roman" w:eastAsia="宋体" w:cs="Times New Roman"/>
                <w:spacing w:val="0"/>
                <w:kern w:val="21"/>
                <w:sz w:val="21"/>
                <w:szCs w:val="21"/>
              </w:rPr>
              <w:t>（</w:t>
            </w:r>
            <w:r>
              <w:rPr>
                <w:rFonts w:hint="default" w:ascii="Times New Roman" w:hAnsi="Times New Roman" w:cs="Times New Roman"/>
                <w:spacing w:val="0"/>
                <w:kern w:val="21"/>
                <w:sz w:val="21"/>
                <w:szCs w:val="21"/>
              </w:rPr>
              <w:t>t/a</w:t>
            </w:r>
            <w:r>
              <w:rPr>
                <w:rFonts w:hint="default" w:ascii="Times New Roman" w:hAnsi="Times New Roman" w:eastAsia="宋体" w:cs="Times New Roman"/>
                <w:spacing w:val="0"/>
                <w:kern w:val="21"/>
                <w:sz w:val="21"/>
                <w:szCs w:val="21"/>
              </w:rPr>
              <w:t>）</w:t>
            </w:r>
          </w:p>
        </w:tc>
      </w:tr>
      <w:tr w14:paraId="52AFD90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restart"/>
            <w:tcBorders>
              <w:tl2br w:val="nil"/>
              <w:tr2bl w:val="nil"/>
            </w:tcBorders>
            <w:noWrap w:val="0"/>
            <w:vAlign w:val="center"/>
          </w:tcPr>
          <w:p w14:paraId="43D74C9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1</w:t>
            </w:r>
          </w:p>
        </w:tc>
        <w:tc>
          <w:tcPr>
            <w:tcW w:w="1346" w:type="dxa"/>
            <w:vMerge w:val="restart"/>
            <w:tcBorders>
              <w:tl2br w:val="nil"/>
              <w:tr2bl w:val="nil"/>
            </w:tcBorders>
            <w:noWrap w:val="0"/>
            <w:vAlign w:val="center"/>
          </w:tcPr>
          <w:p w14:paraId="72F0560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DW001</w:t>
            </w:r>
          </w:p>
        </w:tc>
        <w:tc>
          <w:tcPr>
            <w:tcW w:w="1143" w:type="dxa"/>
            <w:tcBorders>
              <w:tl2br w:val="nil"/>
              <w:tr2bl w:val="nil"/>
            </w:tcBorders>
            <w:noWrap w:val="0"/>
            <w:vAlign w:val="center"/>
          </w:tcPr>
          <w:p w14:paraId="7F9C689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COD</w:t>
            </w:r>
          </w:p>
        </w:tc>
        <w:tc>
          <w:tcPr>
            <w:tcW w:w="1629" w:type="dxa"/>
            <w:tcBorders>
              <w:tl2br w:val="nil"/>
              <w:tr2bl w:val="nil"/>
            </w:tcBorders>
            <w:noWrap w:val="0"/>
            <w:vAlign w:val="center"/>
          </w:tcPr>
          <w:p w14:paraId="59C70E9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92.6</w:t>
            </w:r>
          </w:p>
        </w:tc>
        <w:tc>
          <w:tcPr>
            <w:tcW w:w="1766" w:type="dxa"/>
            <w:tcBorders>
              <w:tl2br w:val="nil"/>
              <w:tr2bl w:val="nil"/>
            </w:tcBorders>
            <w:noWrap w:val="0"/>
            <w:vAlign w:val="center"/>
          </w:tcPr>
          <w:p w14:paraId="59D2DF1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0.0164</w:t>
            </w:r>
          </w:p>
        </w:tc>
        <w:tc>
          <w:tcPr>
            <w:tcW w:w="1760" w:type="dxa"/>
            <w:tcBorders>
              <w:tl2br w:val="nil"/>
              <w:tr2bl w:val="nil"/>
            </w:tcBorders>
            <w:shd w:val="clear" w:color="auto" w:fill="auto"/>
            <w:noWrap w:val="0"/>
            <w:vAlign w:val="center"/>
          </w:tcPr>
          <w:p w14:paraId="01D81F5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4.9064</w:t>
            </w:r>
          </w:p>
        </w:tc>
      </w:tr>
      <w:tr w14:paraId="469E1EB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continue"/>
            <w:tcBorders>
              <w:tl2br w:val="nil"/>
              <w:tr2bl w:val="nil"/>
            </w:tcBorders>
            <w:noWrap w:val="0"/>
            <w:vAlign w:val="center"/>
          </w:tcPr>
          <w:p w14:paraId="671BAD59">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346" w:type="dxa"/>
            <w:vMerge w:val="continue"/>
            <w:tcBorders>
              <w:tl2br w:val="nil"/>
              <w:tr2bl w:val="nil"/>
            </w:tcBorders>
            <w:noWrap w:val="0"/>
            <w:vAlign w:val="center"/>
          </w:tcPr>
          <w:p w14:paraId="6992E909">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143" w:type="dxa"/>
            <w:tcBorders>
              <w:tl2br w:val="nil"/>
              <w:tr2bl w:val="nil"/>
            </w:tcBorders>
            <w:noWrap w:val="0"/>
            <w:vAlign w:val="center"/>
          </w:tcPr>
          <w:p w14:paraId="038462F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SS</w:t>
            </w:r>
          </w:p>
        </w:tc>
        <w:tc>
          <w:tcPr>
            <w:tcW w:w="1629" w:type="dxa"/>
            <w:tcBorders>
              <w:tl2br w:val="nil"/>
              <w:tr2bl w:val="nil"/>
            </w:tcBorders>
            <w:noWrap w:val="0"/>
            <w:vAlign w:val="center"/>
          </w:tcPr>
          <w:p w14:paraId="1C0A46A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58.1</w:t>
            </w:r>
          </w:p>
        </w:tc>
        <w:tc>
          <w:tcPr>
            <w:tcW w:w="1766" w:type="dxa"/>
            <w:tcBorders>
              <w:tl2br w:val="nil"/>
              <w:tr2bl w:val="nil"/>
            </w:tcBorders>
            <w:noWrap w:val="0"/>
            <w:vAlign w:val="center"/>
          </w:tcPr>
          <w:p w14:paraId="0E2F23A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0.0103</w:t>
            </w:r>
          </w:p>
        </w:tc>
        <w:tc>
          <w:tcPr>
            <w:tcW w:w="1760" w:type="dxa"/>
            <w:tcBorders>
              <w:tl2br w:val="nil"/>
              <w:tr2bl w:val="nil"/>
            </w:tcBorders>
            <w:noWrap w:val="0"/>
            <w:vAlign w:val="center"/>
          </w:tcPr>
          <w:p w14:paraId="68F221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3.0784</w:t>
            </w:r>
          </w:p>
        </w:tc>
      </w:tr>
      <w:tr w14:paraId="47D6602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continue"/>
            <w:tcBorders>
              <w:tl2br w:val="nil"/>
              <w:tr2bl w:val="nil"/>
            </w:tcBorders>
            <w:noWrap w:val="0"/>
            <w:vAlign w:val="center"/>
          </w:tcPr>
          <w:p w14:paraId="5CFC73F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346" w:type="dxa"/>
            <w:vMerge w:val="continue"/>
            <w:tcBorders>
              <w:tl2br w:val="nil"/>
              <w:tr2bl w:val="nil"/>
            </w:tcBorders>
            <w:noWrap w:val="0"/>
            <w:vAlign w:val="center"/>
          </w:tcPr>
          <w:p w14:paraId="1DFCC52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143" w:type="dxa"/>
            <w:tcBorders>
              <w:tl2br w:val="nil"/>
              <w:tr2bl w:val="nil"/>
            </w:tcBorders>
            <w:noWrap w:val="0"/>
            <w:vAlign w:val="center"/>
          </w:tcPr>
          <w:p w14:paraId="02E4F8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氨氮</w:t>
            </w:r>
          </w:p>
        </w:tc>
        <w:tc>
          <w:tcPr>
            <w:tcW w:w="1629" w:type="dxa"/>
            <w:tcBorders>
              <w:tl2br w:val="nil"/>
              <w:tr2bl w:val="nil"/>
            </w:tcBorders>
            <w:noWrap w:val="0"/>
            <w:vAlign w:val="center"/>
          </w:tcPr>
          <w:p w14:paraId="7A39494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9.3</w:t>
            </w:r>
          </w:p>
        </w:tc>
        <w:tc>
          <w:tcPr>
            <w:tcW w:w="1766" w:type="dxa"/>
            <w:tcBorders>
              <w:tl2br w:val="nil"/>
              <w:tr2bl w:val="nil"/>
            </w:tcBorders>
            <w:noWrap w:val="0"/>
            <w:vAlign w:val="center"/>
          </w:tcPr>
          <w:p w14:paraId="7D17812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default" w:ascii="Times New Roman" w:hAnsi="Times New Roman" w:cs="Times New Roman"/>
                <w:i w:val="0"/>
                <w:iCs w:val="0"/>
                <w:color w:val="000000"/>
                <w:kern w:val="0"/>
                <w:sz w:val="21"/>
                <w:szCs w:val="21"/>
                <w:u w:val="none"/>
                <w:lang w:val="en-US" w:eastAsia="zh-CN" w:bidi="ar"/>
              </w:rPr>
              <w:t>6</w:t>
            </w:r>
          </w:p>
        </w:tc>
        <w:tc>
          <w:tcPr>
            <w:tcW w:w="1760" w:type="dxa"/>
            <w:tcBorders>
              <w:tl2br w:val="nil"/>
              <w:tr2bl w:val="nil"/>
            </w:tcBorders>
            <w:noWrap w:val="0"/>
            <w:vAlign w:val="center"/>
          </w:tcPr>
          <w:p w14:paraId="4F9544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0.4928</w:t>
            </w:r>
          </w:p>
        </w:tc>
      </w:tr>
      <w:tr w14:paraId="32C838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continue"/>
            <w:tcBorders>
              <w:tl2br w:val="nil"/>
              <w:tr2bl w:val="nil"/>
            </w:tcBorders>
            <w:noWrap w:val="0"/>
            <w:vAlign w:val="center"/>
          </w:tcPr>
          <w:p w14:paraId="569F6298">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346" w:type="dxa"/>
            <w:vMerge w:val="continue"/>
            <w:tcBorders>
              <w:tl2br w:val="nil"/>
              <w:tr2bl w:val="nil"/>
            </w:tcBorders>
            <w:noWrap w:val="0"/>
            <w:vAlign w:val="center"/>
          </w:tcPr>
          <w:p w14:paraId="0786E60A">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143" w:type="dxa"/>
            <w:tcBorders>
              <w:tl2br w:val="nil"/>
              <w:tr2bl w:val="nil"/>
            </w:tcBorders>
            <w:noWrap w:val="0"/>
            <w:vAlign w:val="center"/>
          </w:tcPr>
          <w:p w14:paraId="5BF8457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TN</w:t>
            </w:r>
          </w:p>
        </w:tc>
        <w:tc>
          <w:tcPr>
            <w:tcW w:w="1629" w:type="dxa"/>
            <w:tcBorders>
              <w:tl2br w:val="nil"/>
              <w:tr2bl w:val="nil"/>
            </w:tcBorders>
            <w:noWrap w:val="0"/>
            <w:vAlign w:val="center"/>
          </w:tcPr>
          <w:p w14:paraId="4F17D15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11</w:t>
            </w:r>
          </w:p>
        </w:tc>
        <w:tc>
          <w:tcPr>
            <w:tcW w:w="1766" w:type="dxa"/>
            <w:tcBorders>
              <w:tl2br w:val="nil"/>
              <w:tr2bl w:val="nil"/>
            </w:tcBorders>
            <w:noWrap w:val="0"/>
            <w:vAlign w:val="center"/>
          </w:tcPr>
          <w:p w14:paraId="18FDD71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0.0019</w:t>
            </w:r>
          </w:p>
        </w:tc>
        <w:tc>
          <w:tcPr>
            <w:tcW w:w="1760" w:type="dxa"/>
            <w:tcBorders>
              <w:tl2br w:val="nil"/>
              <w:tr2bl w:val="nil"/>
            </w:tcBorders>
            <w:noWrap w:val="0"/>
            <w:vAlign w:val="center"/>
          </w:tcPr>
          <w:p w14:paraId="5DFB59F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05C1003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continue"/>
            <w:tcBorders>
              <w:tl2br w:val="nil"/>
              <w:tr2bl w:val="nil"/>
            </w:tcBorders>
            <w:noWrap w:val="0"/>
            <w:vAlign w:val="center"/>
          </w:tcPr>
          <w:p w14:paraId="773FECA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346" w:type="dxa"/>
            <w:vMerge w:val="continue"/>
            <w:tcBorders>
              <w:tl2br w:val="nil"/>
              <w:tr2bl w:val="nil"/>
            </w:tcBorders>
            <w:noWrap w:val="0"/>
            <w:vAlign w:val="center"/>
          </w:tcPr>
          <w:p w14:paraId="48BAB9D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143" w:type="dxa"/>
            <w:tcBorders>
              <w:tl2br w:val="nil"/>
              <w:tr2bl w:val="nil"/>
            </w:tcBorders>
            <w:noWrap w:val="0"/>
            <w:vAlign w:val="center"/>
          </w:tcPr>
          <w:p w14:paraId="32D46F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TP</w:t>
            </w:r>
          </w:p>
        </w:tc>
        <w:tc>
          <w:tcPr>
            <w:tcW w:w="1629" w:type="dxa"/>
            <w:tcBorders>
              <w:tl2br w:val="nil"/>
              <w:tr2bl w:val="nil"/>
            </w:tcBorders>
            <w:noWrap w:val="0"/>
            <w:vAlign w:val="center"/>
          </w:tcPr>
          <w:p w14:paraId="3B945F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0.7</w:t>
            </w:r>
          </w:p>
        </w:tc>
        <w:tc>
          <w:tcPr>
            <w:tcW w:w="1766" w:type="dxa"/>
            <w:tcBorders>
              <w:tl2br w:val="nil"/>
              <w:tr2bl w:val="nil"/>
            </w:tcBorders>
            <w:noWrap w:val="0"/>
            <w:vAlign w:val="center"/>
          </w:tcPr>
          <w:p w14:paraId="4EC9DF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1760" w:type="dxa"/>
            <w:tcBorders>
              <w:tl2br w:val="nil"/>
              <w:tr2bl w:val="nil"/>
            </w:tcBorders>
            <w:noWrap w:val="0"/>
            <w:vAlign w:val="center"/>
          </w:tcPr>
          <w:p w14:paraId="44AE0B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0.0371</w:t>
            </w:r>
          </w:p>
        </w:tc>
      </w:tr>
      <w:tr w14:paraId="743DB11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5" w:type="dxa"/>
            <w:vMerge w:val="continue"/>
            <w:tcBorders>
              <w:tl2br w:val="nil"/>
              <w:tr2bl w:val="nil"/>
            </w:tcBorders>
            <w:noWrap w:val="0"/>
            <w:vAlign w:val="center"/>
          </w:tcPr>
          <w:p w14:paraId="7BC39EF2">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346" w:type="dxa"/>
            <w:vMerge w:val="continue"/>
            <w:tcBorders>
              <w:tl2br w:val="nil"/>
              <w:tr2bl w:val="nil"/>
            </w:tcBorders>
            <w:noWrap w:val="0"/>
            <w:vAlign w:val="center"/>
          </w:tcPr>
          <w:p w14:paraId="7661D660">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143" w:type="dxa"/>
            <w:tcBorders>
              <w:tl2br w:val="nil"/>
              <w:tr2bl w:val="nil"/>
            </w:tcBorders>
            <w:noWrap w:val="0"/>
            <w:vAlign w:val="center"/>
          </w:tcPr>
          <w:p w14:paraId="70EF83A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石油类</w:t>
            </w:r>
          </w:p>
        </w:tc>
        <w:tc>
          <w:tcPr>
            <w:tcW w:w="1629" w:type="dxa"/>
            <w:tcBorders>
              <w:tl2br w:val="nil"/>
              <w:tr2bl w:val="nil"/>
            </w:tcBorders>
            <w:noWrap w:val="0"/>
            <w:vAlign w:val="center"/>
          </w:tcPr>
          <w:p w14:paraId="04C770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color w:val="000000"/>
                <w:spacing w:val="0"/>
                <w:kern w:val="21"/>
                <w:sz w:val="21"/>
                <w:szCs w:val="21"/>
                <w:lang w:val="en-US" w:eastAsia="zh-CN"/>
              </w:rPr>
            </w:pPr>
            <w:r>
              <w:rPr>
                <w:rFonts w:hint="eastAsia" w:ascii="Times New Roman" w:hAnsi="Times New Roman" w:eastAsia="宋体" w:cs="Times New Roman"/>
                <w:color w:val="000000"/>
                <w:spacing w:val="0"/>
                <w:kern w:val="21"/>
                <w:sz w:val="21"/>
                <w:szCs w:val="21"/>
                <w:lang w:val="en-US" w:eastAsia="zh-CN"/>
              </w:rPr>
              <w:t>0.9</w:t>
            </w:r>
          </w:p>
        </w:tc>
        <w:tc>
          <w:tcPr>
            <w:tcW w:w="1766" w:type="dxa"/>
            <w:tcBorders>
              <w:tl2br w:val="nil"/>
              <w:tr2bl w:val="nil"/>
            </w:tcBorders>
            <w:noWrap w:val="0"/>
            <w:vAlign w:val="center"/>
          </w:tcPr>
          <w:p w14:paraId="6D61E3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0.0002</w:t>
            </w:r>
          </w:p>
        </w:tc>
        <w:tc>
          <w:tcPr>
            <w:tcW w:w="1760" w:type="dxa"/>
            <w:tcBorders>
              <w:tl2br w:val="nil"/>
              <w:tr2bl w:val="nil"/>
            </w:tcBorders>
            <w:noWrap w:val="0"/>
            <w:vAlign w:val="center"/>
          </w:tcPr>
          <w:p w14:paraId="080E263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0.0477</w:t>
            </w:r>
          </w:p>
        </w:tc>
      </w:tr>
      <w:tr w14:paraId="317893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restart"/>
            <w:tcBorders>
              <w:tl2br w:val="nil"/>
              <w:tr2bl w:val="nil"/>
            </w:tcBorders>
            <w:noWrap w:val="0"/>
            <w:vAlign w:val="center"/>
          </w:tcPr>
          <w:p w14:paraId="53C8DB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全厂排放口合计</w:t>
            </w:r>
          </w:p>
        </w:tc>
        <w:tc>
          <w:tcPr>
            <w:tcW w:w="4538" w:type="dxa"/>
            <w:gridSpan w:val="3"/>
            <w:tcBorders>
              <w:tl2br w:val="nil"/>
              <w:tr2bl w:val="nil"/>
            </w:tcBorders>
            <w:noWrap w:val="0"/>
            <w:vAlign w:val="center"/>
          </w:tcPr>
          <w:p w14:paraId="0BBE3B9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COD</w:t>
            </w:r>
          </w:p>
        </w:tc>
        <w:tc>
          <w:tcPr>
            <w:tcW w:w="1760" w:type="dxa"/>
            <w:tcBorders>
              <w:tl2br w:val="nil"/>
              <w:tr2bl w:val="nil"/>
            </w:tcBorders>
            <w:shd w:val="clear" w:color="auto" w:fill="auto"/>
            <w:noWrap w:val="0"/>
            <w:vAlign w:val="center"/>
          </w:tcPr>
          <w:p w14:paraId="0D5B930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4.9064</w:t>
            </w:r>
          </w:p>
        </w:tc>
      </w:tr>
      <w:tr w14:paraId="45C18AF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continue"/>
            <w:tcBorders>
              <w:tl2br w:val="nil"/>
              <w:tr2bl w:val="nil"/>
            </w:tcBorders>
            <w:noWrap w:val="0"/>
            <w:vAlign w:val="center"/>
          </w:tcPr>
          <w:p w14:paraId="458600CB">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538" w:type="dxa"/>
            <w:gridSpan w:val="3"/>
            <w:tcBorders>
              <w:tl2br w:val="nil"/>
              <w:tr2bl w:val="nil"/>
            </w:tcBorders>
            <w:noWrap w:val="0"/>
            <w:vAlign w:val="center"/>
          </w:tcPr>
          <w:p w14:paraId="3502C6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SS</w:t>
            </w:r>
          </w:p>
        </w:tc>
        <w:tc>
          <w:tcPr>
            <w:tcW w:w="1760" w:type="dxa"/>
            <w:tcBorders>
              <w:tl2br w:val="nil"/>
              <w:tr2bl w:val="nil"/>
            </w:tcBorders>
            <w:shd w:val="clear" w:color="auto" w:fill="auto"/>
            <w:noWrap w:val="0"/>
            <w:vAlign w:val="center"/>
          </w:tcPr>
          <w:p w14:paraId="5DC21EA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3.0784</w:t>
            </w:r>
          </w:p>
        </w:tc>
      </w:tr>
      <w:tr w14:paraId="352CFF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continue"/>
            <w:tcBorders>
              <w:tl2br w:val="nil"/>
              <w:tr2bl w:val="nil"/>
            </w:tcBorders>
            <w:noWrap w:val="0"/>
            <w:vAlign w:val="center"/>
          </w:tcPr>
          <w:p w14:paraId="4057EAF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538" w:type="dxa"/>
            <w:gridSpan w:val="3"/>
            <w:tcBorders>
              <w:tl2br w:val="nil"/>
              <w:tr2bl w:val="nil"/>
            </w:tcBorders>
            <w:noWrap w:val="0"/>
            <w:vAlign w:val="center"/>
          </w:tcPr>
          <w:p w14:paraId="33A634B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pacing w:val="0"/>
                <w:kern w:val="21"/>
                <w:sz w:val="21"/>
                <w:szCs w:val="21"/>
              </w:rPr>
            </w:pPr>
            <w:r>
              <w:rPr>
                <w:rFonts w:hint="default" w:ascii="Times New Roman" w:hAnsi="Times New Roman" w:eastAsia="宋体" w:cs="Times New Roman"/>
                <w:spacing w:val="0"/>
                <w:kern w:val="21"/>
                <w:sz w:val="21"/>
                <w:szCs w:val="21"/>
              </w:rPr>
              <w:t>氨氮</w:t>
            </w:r>
          </w:p>
        </w:tc>
        <w:tc>
          <w:tcPr>
            <w:tcW w:w="1760" w:type="dxa"/>
            <w:tcBorders>
              <w:tl2br w:val="nil"/>
              <w:tr2bl w:val="nil"/>
            </w:tcBorders>
            <w:shd w:val="clear" w:color="auto" w:fill="auto"/>
            <w:noWrap w:val="0"/>
            <w:vAlign w:val="center"/>
          </w:tcPr>
          <w:p w14:paraId="682DD9E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0.4928</w:t>
            </w:r>
          </w:p>
        </w:tc>
      </w:tr>
      <w:tr w14:paraId="07759DC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continue"/>
            <w:tcBorders>
              <w:tl2br w:val="nil"/>
              <w:tr2bl w:val="nil"/>
            </w:tcBorders>
            <w:noWrap w:val="0"/>
            <w:vAlign w:val="center"/>
          </w:tcPr>
          <w:p w14:paraId="780DEE5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538" w:type="dxa"/>
            <w:gridSpan w:val="3"/>
            <w:tcBorders>
              <w:tl2br w:val="nil"/>
              <w:tr2bl w:val="nil"/>
            </w:tcBorders>
            <w:noWrap w:val="0"/>
            <w:vAlign w:val="center"/>
          </w:tcPr>
          <w:p w14:paraId="4B7EDD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TN</w:t>
            </w:r>
          </w:p>
        </w:tc>
        <w:tc>
          <w:tcPr>
            <w:tcW w:w="1760" w:type="dxa"/>
            <w:tcBorders>
              <w:tl2br w:val="nil"/>
              <w:tr2bl w:val="nil"/>
            </w:tcBorders>
            <w:shd w:val="clear" w:color="auto" w:fill="auto"/>
            <w:noWrap w:val="0"/>
            <w:vAlign w:val="center"/>
          </w:tcPr>
          <w:p w14:paraId="5235F3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7F7754E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continue"/>
            <w:tcBorders>
              <w:tl2br w:val="nil"/>
              <w:tr2bl w:val="nil"/>
            </w:tcBorders>
            <w:noWrap w:val="0"/>
            <w:vAlign w:val="center"/>
          </w:tcPr>
          <w:p w14:paraId="6B76950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538" w:type="dxa"/>
            <w:gridSpan w:val="3"/>
            <w:tcBorders>
              <w:tl2br w:val="nil"/>
              <w:tr2bl w:val="nil"/>
            </w:tcBorders>
            <w:noWrap w:val="0"/>
            <w:vAlign w:val="center"/>
          </w:tcPr>
          <w:p w14:paraId="40FF1DB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sz w:val="21"/>
                <w:szCs w:val="21"/>
              </w:rPr>
            </w:pPr>
            <w:r>
              <w:rPr>
                <w:rFonts w:hint="default" w:ascii="Times New Roman" w:hAnsi="Times New Roman" w:cs="Times New Roman"/>
                <w:spacing w:val="0"/>
                <w:kern w:val="21"/>
                <w:sz w:val="21"/>
                <w:szCs w:val="21"/>
              </w:rPr>
              <w:t>TP</w:t>
            </w:r>
          </w:p>
        </w:tc>
        <w:tc>
          <w:tcPr>
            <w:tcW w:w="1760" w:type="dxa"/>
            <w:tcBorders>
              <w:tl2br w:val="nil"/>
              <w:tr2bl w:val="nil"/>
            </w:tcBorders>
            <w:shd w:val="clear" w:color="auto" w:fill="auto"/>
            <w:noWrap w:val="0"/>
            <w:vAlign w:val="center"/>
          </w:tcPr>
          <w:p w14:paraId="07588ED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0.0371</w:t>
            </w:r>
          </w:p>
        </w:tc>
      </w:tr>
      <w:tr w14:paraId="12D0CA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071" w:type="dxa"/>
            <w:gridSpan w:val="2"/>
            <w:vMerge w:val="continue"/>
            <w:tcBorders>
              <w:tl2br w:val="nil"/>
              <w:tr2bl w:val="nil"/>
            </w:tcBorders>
            <w:noWrap w:val="0"/>
            <w:vAlign w:val="center"/>
          </w:tcPr>
          <w:p w14:paraId="46A867FB">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4538" w:type="dxa"/>
            <w:gridSpan w:val="3"/>
            <w:tcBorders>
              <w:tl2br w:val="nil"/>
              <w:tr2bl w:val="nil"/>
            </w:tcBorders>
            <w:noWrap w:val="0"/>
            <w:vAlign w:val="center"/>
          </w:tcPr>
          <w:p w14:paraId="2703002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sz w:val="21"/>
                <w:szCs w:val="21"/>
              </w:rPr>
            </w:pPr>
            <w:r>
              <w:rPr>
                <w:rFonts w:hint="default" w:ascii="Times New Roman" w:hAnsi="Times New Roman" w:eastAsia="宋体" w:cs="Times New Roman"/>
                <w:spacing w:val="0"/>
                <w:kern w:val="21"/>
                <w:sz w:val="21"/>
                <w:szCs w:val="21"/>
                <w:lang w:val="en-US" w:eastAsia="zh-CN"/>
              </w:rPr>
              <w:t>石油类</w:t>
            </w:r>
          </w:p>
        </w:tc>
        <w:tc>
          <w:tcPr>
            <w:tcW w:w="1760" w:type="dxa"/>
            <w:tcBorders>
              <w:tl2br w:val="nil"/>
              <w:tr2bl w:val="nil"/>
            </w:tcBorders>
            <w:shd w:val="clear" w:color="auto" w:fill="auto"/>
            <w:noWrap w:val="0"/>
            <w:vAlign w:val="center"/>
          </w:tcPr>
          <w:p w14:paraId="4B94D12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0.0477</w:t>
            </w:r>
          </w:p>
        </w:tc>
      </w:tr>
    </w:tbl>
    <w:p w14:paraId="59638A1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r>
        <w:rPr>
          <w:rFonts w:hint="eastAsia" w:ascii="Times New Roman" w:hAnsi="Times New Roman"/>
          <w:lang w:val="en-US" w:eastAsia="zh-CN"/>
        </w:rPr>
        <w:t>5.3.9地表水环境影响自查表</w:t>
      </w:r>
    </w:p>
    <w:p w14:paraId="0B2EB5AE">
      <w:pPr>
        <w:keepNext w:val="0"/>
        <w:keepLines w:val="0"/>
        <w:pageBreakBefore w:val="0"/>
        <w:widowControl/>
        <w:kinsoku/>
        <w:wordWrap/>
        <w:overflowPunct/>
        <w:topLinePunct w:val="0"/>
        <w:autoSpaceDE w:val="0"/>
        <w:autoSpaceDN w:val="0"/>
        <w:bidi w:val="0"/>
        <w:adjustRightInd w:val="0"/>
        <w:snapToGrid w:val="0"/>
        <w:spacing w:line="500" w:lineRule="exact"/>
        <w:ind w:left="0" w:right="0" w:firstLine="480" w:firstLineChars="200"/>
        <w:textAlignment w:val="auto"/>
        <w:outlineLvl w:val="9"/>
        <w:rPr>
          <w:rFonts w:hint="default" w:ascii="Times New Roman" w:hAnsi="Times New Roman" w:eastAsia="宋体" w:cs="Times New Roman"/>
          <w:snapToGrid w:val="0"/>
          <w:spacing w:val="0"/>
          <w:w w:val="100"/>
          <w:kern w:val="21"/>
          <w:position w:val="0"/>
          <w:sz w:val="24"/>
          <w:szCs w:val="24"/>
          <w:lang w:val="en-US" w:eastAsia="zh-CN" w:bidi="zh-CN"/>
        </w:rPr>
      </w:pPr>
      <w:bookmarkStart w:id="558" w:name="_Toc21522"/>
      <w:r>
        <w:rPr>
          <w:rFonts w:hint="default" w:ascii="Times New Roman" w:hAnsi="Times New Roman" w:eastAsia="宋体" w:cs="Times New Roman"/>
          <w:snapToGrid w:val="0"/>
          <w:spacing w:val="0"/>
          <w:w w:val="100"/>
          <w:kern w:val="21"/>
          <w:position w:val="0"/>
          <w:sz w:val="24"/>
          <w:szCs w:val="24"/>
          <w:lang w:val="zh-CN" w:eastAsia="zh-CN" w:bidi="zh-CN"/>
        </w:rPr>
        <w:t>项目地表水</w:t>
      </w:r>
      <w:r>
        <w:rPr>
          <w:rFonts w:hint="default" w:ascii="Times New Roman" w:hAnsi="Times New Roman" w:eastAsia="宋体" w:cs="Times New Roman"/>
          <w:snapToGrid w:val="0"/>
          <w:spacing w:val="0"/>
          <w:w w:val="100"/>
          <w:kern w:val="21"/>
          <w:position w:val="0"/>
          <w:sz w:val="24"/>
          <w:szCs w:val="24"/>
          <w:lang w:val="en-US" w:eastAsia="zh-CN" w:bidi="zh-CN"/>
        </w:rPr>
        <w:t>环境影响自查表见下表。</w:t>
      </w:r>
      <w:bookmarkEnd w:id="558"/>
    </w:p>
    <w:p w14:paraId="74F5AF2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ascii="Times New Roman" w:hAnsi="Times New Roman" w:eastAsia="宋体"/>
          <w:b/>
          <w:bCs/>
          <w:lang w:val="en-US" w:eastAsia="zh-CN"/>
        </w:rPr>
      </w:pPr>
      <w:r>
        <w:rPr>
          <w:rFonts w:hint="eastAsia" w:ascii="Times New Roman" w:hAnsi="Times New Roman"/>
          <w:b/>
          <w:bCs/>
        </w:rPr>
        <w:t>表</w:t>
      </w:r>
      <w:r>
        <w:rPr>
          <w:rFonts w:hint="eastAsia"/>
          <w:b/>
          <w:bCs/>
          <w:lang w:val="en-US" w:eastAsia="zh-CN"/>
        </w:rPr>
        <w:t>5.3-6</w:t>
      </w:r>
      <w:r>
        <w:rPr>
          <w:rFonts w:hint="eastAsia" w:ascii="Times New Roman" w:hAnsi="Times New Roman"/>
          <w:b/>
          <w:bCs/>
        </w:rPr>
        <w:t xml:space="preserve">     </w:t>
      </w:r>
      <w:r>
        <w:rPr>
          <w:rFonts w:hint="eastAsia" w:ascii="Times New Roman" w:hAnsi="Times New Roman"/>
          <w:b/>
          <w:bCs/>
          <w:lang w:val="en-US" w:eastAsia="zh-CN"/>
        </w:rPr>
        <w:t>地表水环境影响自查表</w:t>
      </w:r>
    </w:p>
    <w:tbl>
      <w:tblPr>
        <w:tblStyle w:val="39"/>
        <w:tblW w:w="842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499"/>
        <w:gridCol w:w="1242"/>
        <w:gridCol w:w="913"/>
        <w:gridCol w:w="756"/>
        <w:gridCol w:w="296"/>
        <w:gridCol w:w="54"/>
        <w:gridCol w:w="145"/>
        <w:gridCol w:w="737"/>
        <w:gridCol w:w="239"/>
        <w:gridCol w:w="394"/>
        <w:gridCol w:w="599"/>
        <w:gridCol w:w="92"/>
        <w:gridCol w:w="170"/>
        <w:gridCol w:w="995"/>
        <w:gridCol w:w="137"/>
        <w:gridCol w:w="58"/>
        <w:gridCol w:w="1101"/>
      </w:tblGrid>
      <w:tr w14:paraId="34319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741" w:type="dxa"/>
            <w:gridSpan w:val="2"/>
            <w:tcBorders>
              <w:tl2br w:val="nil"/>
              <w:tr2bl w:val="nil"/>
            </w:tcBorders>
            <w:noWrap w:val="0"/>
            <w:vAlign w:val="center"/>
          </w:tcPr>
          <w:p w14:paraId="223F666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kern w:val="2"/>
                <w:sz w:val="21"/>
                <w:szCs w:val="21"/>
              </w:rPr>
            </w:pPr>
            <w:r>
              <w:rPr>
                <w:rFonts w:hint="default" w:ascii="Times New Roman" w:hAnsi="Times New Roman" w:eastAsia="宋体" w:cs="Times New Roman"/>
                <w:b/>
                <w:bCs/>
                <w:kern w:val="2"/>
                <w:sz w:val="21"/>
                <w:szCs w:val="21"/>
              </w:rPr>
              <w:t>工作内容</w:t>
            </w:r>
          </w:p>
        </w:tc>
        <w:tc>
          <w:tcPr>
            <w:tcW w:w="6686" w:type="dxa"/>
            <w:gridSpan w:val="15"/>
            <w:tcBorders>
              <w:tl2br w:val="nil"/>
              <w:tr2bl w:val="nil"/>
            </w:tcBorders>
            <w:noWrap w:val="0"/>
            <w:vAlign w:val="center"/>
          </w:tcPr>
          <w:p w14:paraId="661BDF6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kern w:val="2"/>
                <w:sz w:val="21"/>
                <w:szCs w:val="21"/>
              </w:rPr>
            </w:pPr>
            <w:r>
              <w:rPr>
                <w:rFonts w:hint="default" w:ascii="Times New Roman" w:hAnsi="Times New Roman" w:eastAsia="宋体" w:cs="Times New Roman"/>
                <w:b/>
                <w:bCs/>
                <w:kern w:val="2"/>
                <w:sz w:val="21"/>
                <w:szCs w:val="21"/>
              </w:rPr>
              <w:t>自查项目</w:t>
            </w:r>
          </w:p>
        </w:tc>
      </w:tr>
      <w:tr w14:paraId="68559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73F34E0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w:t>
            </w:r>
          </w:p>
          <w:p w14:paraId="426E7CD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响</w:t>
            </w:r>
          </w:p>
          <w:p w14:paraId="59EA88F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识</w:t>
            </w:r>
          </w:p>
          <w:p w14:paraId="0D01F78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别</w:t>
            </w:r>
          </w:p>
        </w:tc>
        <w:tc>
          <w:tcPr>
            <w:tcW w:w="1242" w:type="dxa"/>
            <w:tcBorders>
              <w:tl2br w:val="nil"/>
              <w:tr2bl w:val="nil"/>
            </w:tcBorders>
            <w:noWrap w:val="0"/>
            <w:vAlign w:val="center"/>
          </w:tcPr>
          <w:p w14:paraId="26109FD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影响类型</w:t>
            </w:r>
          </w:p>
        </w:tc>
        <w:tc>
          <w:tcPr>
            <w:tcW w:w="6686" w:type="dxa"/>
            <w:gridSpan w:val="15"/>
            <w:tcBorders>
              <w:tl2br w:val="nil"/>
              <w:tr2bl w:val="nil"/>
            </w:tcBorders>
            <w:noWrap w:val="0"/>
            <w:vAlign w:val="center"/>
          </w:tcPr>
          <w:p w14:paraId="2A4536F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水污染影响型</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；水文要素影响型 □</w:t>
            </w:r>
          </w:p>
        </w:tc>
      </w:tr>
      <w:tr w14:paraId="1ABAC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751287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3FF842C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水环境保护</w:t>
            </w:r>
          </w:p>
          <w:p w14:paraId="06234FE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目标</w:t>
            </w:r>
          </w:p>
        </w:tc>
        <w:tc>
          <w:tcPr>
            <w:tcW w:w="6686" w:type="dxa"/>
            <w:gridSpan w:val="15"/>
            <w:tcBorders>
              <w:tl2br w:val="nil"/>
              <w:tr2bl w:val="nil"/>
            </w:tcBorders>
            <w:noWrap w:val="0"/>
            <w:vAlign w:val="center"/>
          </w:tcPr>
          <w:p w14:paraId="3322FE5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饮用水水源保护区□；饮用水取水口□；涉水的自然保护区□；重要湿地□；重点保护与珍稀水生生物的栖息地□；重要水生生物的自然产卵场及索饵场、越冬场和洄游通道、天然渔场等渔业水体□；涉水的风景名胜区□；其他</w:t>
            </w:r>
            <w:r>
              <w:rPr>
                <w:rFonts w:hint="default" w:ascii="Times New Roman" w:hAnsi="Times New Roman" w:eastAsia="宋体" w:cs="Times New Roman"/>
                <w:kern w:val="2"/>
                <w:sz w:val="21"/>
                <w:szCs w:val="21"/>
              </w:rPr>
              <w:sym w:font="Wingdings 2" w:char="0052"/>
            </w:r>
          </w:p>
        </w:tc>
      </w:tr>
      <w:tr w14:paraId="5DC047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04036B5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49A0055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影响途径</w:t>
            </w:r>
          </w:p>
        </w:tc>
        <w:tc>
          <w:tcPr>
            <w:tcW w:w="3534" w:type="dxa"/>
            <w:gridSpan w:val="8"/>
            <w:tcBorders>
              <w:tl2br w:val="nil"/>
              <w:tr2bl w:val="nil"/>
            </w:tcBorders>
            <w:noWrap w:val="0"/>
            <w:vAlign w:val="center"/>
          </w:tcPr>
          <w:p w14:paraId="7226E01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水污染影响型</w:t>
            </w:r>
          </w:p>
        </w:tc>
        <w:tc>
          <w:tcPr>
            <w:tcW w:w="3152" w:type="dxa"/>
            <w:gridSpan w:val="7"/>
            <w:tcBorders>
              <w:tl2br w:val="nil"/>
              <w:tr2bl w:val="nil"/>
            </w:tcBorders>
            <w:noWrap w:val="0"/>
            <w:vAlign w:val="center"/>
          </w:tcPr>
          <w:p w14:paraId="11CDB41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水文要素影响型</w:t>
            </w:r>
          </w:p>
        </w:tc>
      </w:tr>
      <w:tr w14:paraId="70609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42AF431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0C45246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3534" w:type="dxa"/>
            <w:gridSpan w:val="8"/>
            <w:tcBorders>
              <w:tl2br w:val="nil"/>
              <w:tr2bl w:val="nil"/>
            </w:tcBorders>
            <w:noWrap w:val="0"/>
            <w:vAlign w:val="center"/>
          </w:tcPr>
          <w:p w14:paraId="50CA78C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直接排放□；间接排放</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；其他□</w:t>
            </w:r>
          </w:p>
        </w:tc>
        <w:tc>
          <w:tcPr>
            <w:tcW w:w="3152" w:type="dxa"/>
            <w:gridSpan w:val="7"/>
            <w:tcBorders>
              <w:tl2br w:val="nil"/>
              <w:tr2bl w:val="nil"/>
            </w:tcBorders>
            <w:noWrap w:val="0"/>
            <w:vAlign w:val="center"/>
          </w:tcPr>
          <w:p w14:paraId="42D5295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水温□；径流□；水域面积□</w:t>
            </w:r>
          </w:p>
        </w:tc>
      </w:tr>
      <w:tr w14:paraId="44E3F0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273D027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118CD87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影响因子</w:t>
            </w:r>
          </w:p>
        </w:tc>
        <w:tc>
          <w:tcPr>
            <w:tcW w:w="3534" w:type="dxa"/>
            <w:gridSpan w:val="8"/>
            <w:tcBorders>
              <w:tl2br w:val="nil"/>
              <w:tr2bl w:val="nil"/>
            </w:tcBorders>
            <w:noWrap w:val="0"/>
            <w:vAlign w:val="center"/>
          </w:tcPr>
          <w:p w14:paraId="5FD2468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持久性污染物□；有毒有害污染物□；非持久性污染物</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□；pH值□；热污染□；富营养化□；其他□</w:t>
            </w:r>
          </w:p>
        </w:tc>
        <w:tc>
          <w:tcPr>
            <w:tcW w:w="3152" w:type="dxa"/>
            <w:gridSpan w:val="7"/>
            <w:tcBorders>
              <w:tl2br w:val="nil"/>
              <w:tr2bl w:val="nil"/>
            </w:tcBorders>
            <w:noWrap w:val="0"/>
            <w:vAlign w:val="center"/>
          </w:tcPr>
          <w:p w14:paraId="5ACD9E9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水温□；水位（水深）□；流速□；流量□；其他□</w:t>
            </w:r>
          </w:p>
        </w:tc>
      </w:tr>
      <w:tr w14:paraId="59ADDC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741" w:type="dxa"/>
            <w:gridSpan w:val="2"/>
            <w:vMerge w:val="restart"/>
            <w:tcBorders>
              <w:tl2br w:val="nil"/>
              <w:tr2bl w:val="nil"/>
            </w:tcBorders>
            <w:noWrap w:val="0"/>
            <w:vAlign w:val="center"/>
          </w:tcPr>
          <w:p w14:paraId="7EC2D8B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评价等级</w:t>
            </w:r>
          </w:p>
        </w:tc>
        <w:tc>
          <w:tcPr>
            <w:tcW w:w="3534" w:type="dxa"/>
            <w:gridSpan w:val="8"/>
            <w:tcBorders>
              <w:tl2br w:val="nil"/>
              <w:tr2bl w:val="nil"/>
            </w:tcBorders>
            <w:noWrap w:val="0"/>
            <w:vAlign w:val="center"/>
          </w:tcPr>
          <w:p w14:paraId="1033339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水污染影响型</w:t>
            </w:r>
          </w:p>
        </w:tc>
        <w:tc>
          <w:tcPr>
            <w:tcW w:w="3152" w:type="dxa"/>
            <w:gridSpan w:val="7"/>
            <w:tcBorders>
              <w:tl2br w:val="nil"/>
              <w:tr2bl w:val="nil"/>
            </w:tcBorders>
            <w:noWrap w:val="0"/>
            <w:vAlign w:val="center"/>
          </w:tcPr>
          <w:p w14:paraId="50A112A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水文要素影响型</w:t>
            </w:r>
          </w:p>
        </w:tc>
      </w:tr>
      <w:tr w14:paraId="1E5CBA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741" w:type="dxa"/>
            <w:gridSpan w:val="2"/>
            <w:vMerge w:val="continue"/>
            <w:tcBorders>
              <w:tl2br w:val="nil"/>
              <w:tr2bl w:val="nil"/>
            </w:tcBorders>
            <w:noWrap w:val="0"/>
            <w:vAlign w:val="center"/>
          </w:tcPr>
          <w:p w14:paraId="2CA4110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3534" w:type="dxa"/>
            <w:gridSpan w:val="8"/>
            <w:tcBorders>
              <w:tl2br w:val="nil"/>
              <w:tr2bl w:val="nil"/>
            </w:tcBorders>
            <w:noWrap w:val="0"/>
            <w:vAlign w:val="center"/>
          </w:tcPr>
          <w:p w14:paraId="5C65A36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一级□；二级□；三级A□；三级B</w:t>
            </w:r>
            <w:r>
              <w:rPr>
                <w:rFonts w:hint="default" w:ascii="Times New Roman" w:hAnsi="Times New Roman" w:eastAsia="宋体" w:cs="Times New Roman"/>
                <w:kern w:val="2"/>
                <w:sz w:val="21"/>
                <w:szCs w:val="21"/>
              </w:rPr>
              <w:sym w:font="Wingdings 2" w:char="0052"/>
            </w:r>
          </w:p>
        </w:tc>
        <w:tc>
          <w:tcPr>
            <w:tcW w:w="3152" w:type="dxa"/>
            <w:gridSpan w:val="7"/>
            <w:tcBorders>
              <w:tl2br w:val="nil"/>
              <w:tr2bl w:val="nil"/>
            </w:tcBorders>
            <w:noWrap w:val="0"/>
            <w:vAlign w:val="center"/>
          </w:tcPr>
          <w:p w14:paraId="12507D6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一级□；二级□；三级□</w:t>
            </w:r>
          </w:p>
        </w:tc>
      </w:tr>
      <w:tr w14:paraId="1B1382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1A51235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w:t>
            </w:r>
          </w:p>
          <w:p w14:paraId="78EF87D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状</w:t>
            </w:r>
          </w:p>
          <w:p w14:paraId="654EBC8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调</w:t>
            </w:r>
          </w:p>
          <w:p w14:paraId="6858251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查</w:t>
            </w:r>
          </w:p>
        </w:tc>
        <w:tc>
          <w:tcPr>
            <w:tcW w:w="1242" w:type="dxa"/>
            <w:vMerge w:val="restart"/>
            <w:tcBorders>
              <w:tl2br w:val="nil"/>
              <w:tr2bl w:val="nil"/>
            </w:tcBorders>
            <w:noWrap w:val="0"/>
            <w:vAlign w:val="center"/>
          </w:tcPr>
          <w:p w14:paraId="4A90A26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区域污染源</w:t>
            </w:r>
          </w:p>
        </w:tc>
        <w:tc>
          <w:tcPr>
            <w:tcW w:w="3534" w:type="dxa"/>
            <w:gridSpan w:val="8"/>
            <w:tcBorders>
              <w:tl2br w:val="nil"/>
              <w:tr2bl w:val="nil"/>
            </w:tcBorders>
            <w:noWrap w:val="0"/>
            <w:vAlign w:val="center"/>
          </w:tcPr>
          <w:p w14:paraId="6D21097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调查项目</w:t>
            </w:r>
          </w:p>
        </w:tc>
        <w:tc>
          <w:tcPr>
            <w:tcW w:w="3152" w:type="dxa"/>
            <w:gridSpan w:val="7"/>
            <w:tcBorders>
              <w:tl2br w:val="nil"/>
              <w:tr2bl w:val="nil"/>
            </w:tcBorders>
            <w:noWrap w:val="0"/>
            <w:vAlign w:val="center"/>
          </w:tcPr>
          <w:p w14:paraId="351E823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数据来源</w:t>
            </w:r>
          </w:p>
        </w:tc>
      </w:tr>
      <w:tr w14:paraId="2E76BD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B45683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488DF3F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965" w:type="dxa"/>
            <w:gridSpan w:val="3"/>
            <w:tcBorders>
              <w:tl2br w:val="nil"/>
              <w:tr2bl w:val="nil"/>
            </w:tcBorders>
            <w:noWrap w:val="0"/>
            <w:vAlign w:val="center"/>
          </w:tcPr>
          <w:p w14:paraId="2D6C432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已建□；在建□；拟建□；其他□</w:t>
            </w:r>
          </w:p>
        </w:tc>
        <w:tc>
          <w:tcPr>
            <w:tcW w:w="1569" w:type="dxa"/>
            <w:gridSpan w:val="5"/>
            <w:tcBorders>
              <w:tl2br w:val="nil"/>
              <w:tr2bl w:val="nil"/>
            </w:tcBorders>
            <w:noWrap w:val="0"/>
            <w:vAlign w:val="center"/>
          </w:tcPr>
          <w:p w14:paraId="4F58C93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拟替代的污染源□</w:t>
            </w:r>
          </w:p>
        </w:tc>
        <w:tc>
          <w:tcPr>
            <w:tcW w:w="3152" w:type="dxa"/>
            <w:gridSpan w:val="7"/>
            <w:tcBorders>
              <w:tl2br w:val="nil"/>
              <w:tr2bl w:val="nil"/>
            </w:tcBorders>
            <w:noWrap w:val="0"/>
            <w:vAlign w:val="center"/>
          </w:tcPr>
          <w:p w14:paraId="5060D14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排污许可证□；环评□；环保验收□；既有实测□；现场监测□；入河排放口数据□；其他□</w:t>
            </w:r>
          </w:p>
        </w:tc>
      </w:tr>
      <w:tr w14:paraId="7A745D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0246F5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018A329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受影响水体水环境质量</w:t>
            </w:r>
          </w:p>
        </w:tc>
        <w:tc>
          <w:tcPr>
            <w:tcW w:w="3534" w:type="dxa"/>
            <w:gridSpan w:val="8"/>
            <w:tcBorders>
              <w:tl2br w:val="nil"/>
              <w:tr2bl w:val="nil"/>
            </w:tcBorders>
            <w:noWrap w:val="0"/>
            <w:vAlign w:val="center"/>
          </w:tcPr>
          <w:p w14:paraId="1463BE6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调查时期</w:t>
            </w:r>
          </w:p>
        </w:tc>
        <w:tc>
          <w:tcPr>
            <w:tcW w:w="3152" w:type="dxa"/>
            <w:gridSpan w:val="7"/>
            <w:tcBorders>
              <w:tl2br w:val="nil"/>
              <w:tr2bl w:val="nil"/>
            </w:tcBorders>
            <w:noWrap w:val="0"/>
            <w:vAlign w:val="center"/>
          </w:tcPr>
          <w:p w14:paraId="59A4AFD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数据来源</w:t>
            </w:r>
          </w:p>
        </w:tc>
      </w:tr>
      <w:tr w14:paraId="534E8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28F45B3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2F51BA8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3534" w:type="dxa"/>
            <w:gridSpan w:val="8"/>
            <w:tcBorders>
              <w:tl2br w:val="nil"/>
              <w:tr2bl w:val="nil"/>
            </w:tcBorders>
            <w:noWrap w:val="0"/>
            <w:vAlign w:val="center"/>
          </w:tcPr>
          <w:p w14:paraId="45CA0FB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丰水期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；平水期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；枯水期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；冰封期□；春季□；夏季□；秋季□；冬季□</w:t>
            </w:r>
          </w:p>
        </w:tc>
        <w:tc>
          <w:tcPr>
            <w:tcW w:w="3152" w:type="dxa"/>
            <w:gridSpan w:val="7"/>
            <w:tcBorders>
              <w:tl2br w:val="nil"/>
              <w:tr2bl w:val="nil"/>
            </w:tcBorders>
            <w:noWrap w:val="0"/>
            <w:vAlign w:val="center"/>
          </w:tcPr>
          <w:p w14:paraId="3BE7D25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生态环境保护主管部门</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；补充监测□；其他□</w:t>
            </w:r>
          </w:p>
        </w:tc>
      </w:tr>
      <w:tr w14:paraId="641A2C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11162F7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43F0ECB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区域水资源开发利用状况</w:t>
            </w:r>
          </w:p>
        </w:tc>
        <w:tc>
          <w:tcPr>
            <w:tcW w:w="6686" w:type="dxa"/>
            <w:gridSpan w:val="15"/>
            <w:tcBorders>
              <w:tl2br w:val="nil"/>
              <w:tr2bl w:val="nil"/>
            </w:tcBorders>
            <w:noWrap w:val="0"/>
            <w:vAlign w:val="center"/>
          </w:tcPr>
          <w:p w14:paraId="6A6F968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未开发□；开发量40%以下□；开发量40%以上□</w:t>
            </w:r>
          </w:p>
        </w:tc>
      </w:tr>
      <w:tr w14:paraId="3D12CA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E14D30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3BBFA20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水文情势调查</w:t>
            </w:r>
          </w:p>
        </w:tc>
        <w:tc>
          <w:tcPr>
            <w:tcW w:w="3534" w:type="dxa"/>
            <w:gridSpan w:val="8"/>
            <w:tcBorders>
              <w:tl2br w:val="nil"/>
              <w:tr2bl w:val="nil"/>
            </w:tcBorders>
            <w:noWrap w:val="0"/>
            <w:vAlign w:val="center"/>
          </w:tcPr>
          <w:p w14:paraId="2F0699B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调查时期</w:t>
            </w:r>
          </w:p>
        </w:tc>
        <w:tc>
          <w:tcPr>
            <w:tcW w:w="3152" w:type="dxa"/>
            <w:gridSpan w:val="7"/>
            <w:tcBorders>
              <w:tl2br w:val="nil"/>
              <w:tr2bl w:val="nil"/>
            </w:tcBorders>
            <w:noWrap w:val="0"/>
            <w:vAlign w:val="center"/>
          </w:tcPr>
          <w:p w14:paraId="386739D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数据来源</w:t>
            </w:r>
          </w:p>
        </w:tc>
      </w:tr>
      <w:tr w14:paraId="709834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6C0C890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6709DB2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3534" w:type="dxa"/>
            <w:gridSpan w:val="8"/>
            <w:tcBorders>
              <w:tl2br w:val="nil"/>
              <w:tr2bl w:val="nil"/>
            </w:tcBorders>
            <w:noWrap w:val="0"/>
            <w:vAlign w:val="center"/>
          </w:tcPr>
          <w:p w14:paraId="0A59168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丰水期□；平水期□；枯水期□；冰封期；春季□；夏季□；秋季□；冬季□</w:t>
            </w:r>
          </w:p>
        </w:tc>
        <w:tc>
          <w:tcPr>
            <w:tcW w:w="3152" w:type="dxa"/>
            <w:gridSpan w:val="7"/>
            <w:tcBorders>
              <w:tl2br w:val="nil"/>
              <w:tr2bl w:val="nil"/>
            </w:tcBorders>
            <w:noWrap w:val="0"/>
            <w:vAlign w:val="center"/>
          </w:tcPr>
          <w:p w14:paraId="34BA194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水行政主管部门□；补充监测□；其他□</w:t>
            </w:r>
          </w:p>
        </w:tc>
      </w:tr>
      <w:tr w14:paraId="44D6B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63192EC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3291DE9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补充监测</w:t>
            </w:r>
          </w:p>
        </w:tc>
        <w:tc>
          <w:tcPr>
            <w:tcW w:w="2019" w:type="dxa"/>
            <w:gridSpan w:val="4"/>
            <w:tcBorders>
              <w:tl2br w:val="nil"/>
              <w:tr2bl w:val="nil"/>
            </w:tcBorders>
            <w:noWrap w:val="0"/>
            <w:vAlign w:val="center"/>
          </w:tcPr>
          <w:p w14:paraId="5E55A16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监测时期</w:t>
            </w:r>
          </w:p>
        </w:tc>
        <w:tc>
          <w:tcPr>
            <w:tcW w:w="2206" w:type="dxa"/>
            <w:gridSpan w:val="6"/>
            <w:tcBorders>
              <w:tl2br w:val="nil"/>
              <w:tr2bl w:val="nil"/>
            </w:tcBorders>
            <w:noWrap w:val="0"/>
            <w:vAlign w:val="center"/>
          </w:tcPr>
          <w:p w14:paraId="56C4BC1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监测因子</w:t>
            </w:r>
          </w:p>
        </w:tc>
        <w:tc>
          <w:tcPr>
            <w:tcW w:w="2461" w:type="dxa"/>
            <w:gridSpan w:val="5"/>
            <w:tcBorders>
              <w:tl2br w:val="nil"/>
              <w:tr2bl w:val="nil"/>
            </w:tcBorders>
            <w:noWrap w:val="0"/>
            <w:vAlign w:val="center"/>
          </w:tcPr>
          <w:p w14:paraId="49D8871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监测断面或点位</w:t>
            </w:r>
          </w:p>
        </w:tc>
      </w:tr>
      <w:tr w14:paraId="1246A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738EF42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37CCDDB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019" w:type="dxa"/>
            <w:gridSpan w:val="4"/>
            <w:tcBorders>
              <w:tl2br w:val="nil"/>
              <w:tr2bl w:val="nil"/>
            </w:tcBorders>
            <w:noWrap w:val="0"/>
            <w:vAlign w:val="center"/>
          </w:tcPr>
          <w:p w14:paraId="46C43B9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丰水期□；平水期□；枯水期□；冰封期□春季□；夏季□；秋季□；冬季□</w:t>
            </w:r>
          </w:p>
        </w:tc>
        <w:tc>
          <w:tcPr>
            <w:tcW w:w="2206" w:type="dxa"/>
            <w:gridSpan w:val="6"/>
            <w:tcBorders>
              <w:tl2br w:val="nil"/>
              <w:tr2bl w:val="nil"/>
            </w:tcBorders>
            <w:noWrap w:val="0"/>
            <w:vAlign w:val="center"/>
          </w:tcPr>
          <w:p w14:paraId="2632540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lang w:val="en-US" w:eastAsia="zh-CN"/>
              </w:rPr>
              <w:t>/</w:t>
            </w:r>
          </w:p>
        </w:tc>
        <w:tc>
          <w:tcPr>
            <w:tcW w:w="2461" w:type="dxa"/>
            <w:gridSpan w:val="5"/>
            <w:tcBorders>
              <w:tl2br w:val="nil"/>
              <w:tr2bl w:val="nil"/>
            </w:tcBorders>
            <w:noWrap w:val="0"/>
            <w:vAlign w:val="center"/>
          </w:tcPr>
          <w:p w14:paraId="7248E05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lang w:val="en-US" w:eastAsia="zh-CN"/>
              </w:rPr>
              <w:t>/</w:t>
            </w:r>
          </w:p>
        </w:tc>
      </w:tr>
      <w:tr w14:paraId="0D8E5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1192118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w:t>
            </w:r>
          </w:p>
          <w:p w14:paraId="6CD664B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状</w:t>
            </w:r>
          </w:p>
          <w:p w14:paraId="2B5754E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w:t>
            </w:r>
          </w:p>
          <w:p w14:paraId="3D0957F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价</w:t>
            </w:r>
          </w:p>
        </w:tc>
        <w:tc>
          <w:tcPr>
            <w:tcW w:w="1242" w:type="dxa"/>
            <w:tcBorders>
              <w:tl2br w:val="nil"/>
              <w:tr2bl w:val="nil"/>
            </w:tcBorders>
            <w:noWrap w:val="0"/>
            <w:vAlign w:val="center"/>
          </w:tcPr>
          <w:p w14:paraId="426E912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评价范围</w:t>
            </w:r>
          </w:p>
        </w:tc>
        <w:tc>
          <w:tcPr>
            <w:tcW w:w="6686" w:type="dxa"/>
            <w:gridSpan w:val="15"/>
            <w:tcBorders>
              <w:tl2br w:val="nil"/>
              <w:tr2bl w:val="nil"/>
            </w:tcBorders>
            <w:noWrap w:val="0"/>
            <w:vAlign w:val="center"/>
          </w:tcPr>
          <w:p w14:paraId="7058DEB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河流：长度（</w:t>
            </w:r>
            <w:r>
              <w:rPr>
                <w:rFonts w:hint="default" w:ascii="Times New Roman" w:hAnsi="Times New Roman" w:cs="Times New Roman"/>
                <w:kern w:val="2"/>
                <w:sz w:val="21"/>
                <w:szCs w:val="21"/>
                <w:lang w:val="en-US" w:eastAsia="zh-CN"/>
              </w:rPr>
              <w:t>/</w:t>
            </w:r>
            <w:r>
              <w:rPr>
                <w:rFonts w:hint="default" w:ascii="Times New Roman" w:hAnsi="Times New Roman" w:eastAsia="宋体" w:cs="Times New Roman"/>
                <w:kern w:val="2"/>
                <w:sz w:val="21"/>
                <w:szCs w:val="21"/>
              </w:rPr>
              <w:t>）km；湖库、河口及近岸海域：面积（/）km</w:t>
            </w:r>
            <w:r>
              <w:rPr>
                <w:rFonts w:hint="default" w:ascii="Times New Roman" w:hAnsi="Times New Roman" w:eastAsia="宋体" w:cs="Times New Roman"/>
                <w:kern w:val="2"/>
                <w:sz w:val="21"/>
                <w:szCs w:val="21"/>
                <w:vertAlign w:val="superscript"/>
              </w:rPr>
              <w:t>2</w:t>
            </w:r>
          </w:p>
        </w:tc>
      </w:tr>
      <w:tr w14:paraId="5F766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708AA27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1ECA971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评价因子</w:t>
            </w:r>
          </w:p>
        </w:tc>
        <w:tc>
          <w:tcPr>
            <w:tcW w:w="6686" w:type="dxa"/>
            <w:gridSpan w:val="15"/>
            <w:tcBorders>
              <w:tl2br w:val="nil"/>
              <w:tr2bl w:val="nil"/>
            </w:tcBorders>
            <w:noWrap w:val="0"/>
            <w:vAlign w:val="center"/>
          </w:tcPr>
          <w:p w14:paraId="3B577FC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rPr>
            </w:pPr>
            <w:r>
              <w:rPr>
                <w:rFonts w:hint="default" w:ascii="Times New Roman" w:hAnsi="Times New Roman" w:eastAsia="宋体" w:cs="Times New Roman"/>
                <w:kern w:val="2"/>
                <w:sz w:val="21"/>
                <w:szCs w:val="21"/>
              </w:rPr>
              <w:t>COD、</w:t>
            </w:r>
            <w:r>
              <w:rPr>
                <w:rFonts w:hint="default" w:ascii="Times New Roman" w:hAnsi="Times New Roman" w:eastAsia="宋体" w:cs="Times New Roman"/>
                <w:kern w:val="2"/>
                <w:sz w:val="21"/>
                <w:szCs w:val="21"/>
                <w:lang w:val="en-US" w:eastAsia="zh-CN"/>
              </w:rPr>
              <w:t>氨氮、总磷</w:t>
            </w:r>
          </w:p>
        </w:tc>
      </w:tr>
      <w:tr w14:paraId="3F2C0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36FF59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0724D4C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评价标准</w:t>
            </w:r>
          </w:p>
        </w:tc>
        <w:tc>
          <w:tcPr>
            <w:tcW w:w="6686" w:type="dxa"/>
            <w:gridSpan w:val="15"/>
            <w:tcBorders>
              <w:tl2br w:val="nil"/>
              <w:tr2bl w:val="nil"/>
            </w:tcBorders>
            <w:noWrap w:val="0"/>
            <w:vAlign w:val="center"/>
          </w:tcPr>
          <w:p w14:paraId="707F69A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河流、湖库、河口：Ⅰ类□；Ⅱ类□；Ⅲ类□；Ⅳ类</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；Ⅴ类</w:t>
            </w:r>
            <w:r>
              <w:rPr>
                <w:rFonts w:hint="default" w:ascii="Times New Roman" w:hAnsi="Times New Roman" w:eastAsia="宋体" w:cs="Times New Roman"/>
                <w:kern w:val="2"/>
                <w:sz w:val="21"/>
                <w:szCs w:val="21"/>
              </w:rPr>
              <w:sym w:font="Wingdings 2" w:char="00A3"/>
            </w:r>
          </w:p>
          <w:p w14:paraId="4FB5710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近岸海域：第一类□；第二类□；第三类□；第四类□</w:t>
            </w:r>
          </w:p>
          <w:p w14:paraId="065DA72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规划年评价标准（/）</w:t>
            </w:r>
          </w:p>
        </w:tc>
      </w:tr>
      <w:tr w14:paraId="7B222D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47E75B6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55C7E33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评价时期</w:t>
            </w:r>
          </w:p>
        </w:tc>
        <w:tc>
          <w:tcPr>
            <w:tcW w:w="6686" w:type="dxa"/>
            <w:gridSpan w:val="15"/>
            <w:tcBorders>
              <w:tl2br w:val="nil"/>
              <w:tr2bl w:val="nil"/>
            </w:tcBorders>
            <w:noWrap w:val="0"/>
            <w:vAlign w:val="center"/>
          </w:tcPr>
          <w:p w14:paraId="5EBFBC4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丰水期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；平水期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；枯水期</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；冰封期□</w:t>
            </w:r>
          </w:p>
          <w:p w14:paraId="745B284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春季□；夏季□；秋季□；冬季□</w:t>
            </w:r>
          </w:p>
        </w:tc>
      </w:tr>
      <w:tr w14:paraId="490CF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1F117B7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3A7D4E8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评价结论</w:t>
            </w:r>
          </w:p>
        </w:tc>
        <w:tc>
          <w:tcPr>
            <w:tcW w:w="5527" w:type="dxa"/>
            <w:gridSpan w:val="13"/>
            <w:tcBorders>
              <w:tl2br w:val="nil"/>
              <w:tr2bl w:val="nil"/>
            </w:tcBorders>
            <w:noWrap w:val="0"/>
            <w:vAlign w:val="center"/>
          </w:tcPr>
          <w:p w14:paraId="3802184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水环境功能区或水功能区、近岸海域环境功能区水质达标状况□：达标</w:t>
            </w:r>
            <w:r>
              <w:rPr>
                <w:rFonts w:hint="default" w:ascii="Times New Roman" w:hAnsi="Times New Roman" w:cs="Times New Roman"/>
                <w:kern w:val="2"/>
                <w:sz w:val="21"/>
                <w:szCs w:val="21"/>
                <w:highlight w:val="none"/>
                <w:lang w:eastAsia="zh-CN"/>
              </w:rPr>
              <w:t>☑</w:t>
            </w:r>
            <w:r>
              <w:rPr>
                <w:rFonts w:hint="default" w:ascii="Times New Roman" w:hAnsi="Times New Roman" w:eastAsia="宋体" w:cs="Times New Roman"/>
                <w:kern w:val="2"/>
                <w:sz w:val="21"/>
                <w:szCs w:val="21"/>
                <w:highlight w:val="none"/>
              </w:rPr>
              <w:t>；不达标</w:t>
            </w:r>
            <w:r>
              <w:rPr>
                <w:rFonts w:hint="default" w:ascii="Times New Roman" w:hAnsi="Times New Roman" w:eastAsia="宋体" w:cs="Times New Roman"/>
                <w:kern w:val="2"/>
                <w:sz w:val="21"/>
                <w:szCs w:val="21"/>
                <w:highlight w:val="none"/>
              </w:rPr>
              <w:sym w:font="Wingdings 2" w:char="00A3"/>
            </w:r>
          </w:p>
          <w:p w14:paraId="6026BF0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水环境控制单元或断面水质达标状况□：达标</w:t>
            </w:r>
            <w:r>
              <w:rPr>
                <w:rFonts w:hint="default" w:ascii="Times New Roman" w:hAnsi="Times New Roman" w:cs="Times New Roman"/>
                <w:kern w:val="2"/>
                <w:sz w:val="21"/>
                <w:szCs w:val="21"/>
                <w:highlight w:val="none"/>
                <w:lang w:eastAsia="zh-CN"/>
              </w:rPr>
              <w:t>☑</w:t>
            </w:r>
            <w:r>
              <w:rPr>
                <w:rFonts w:hint="default" w:ascii="Times New Roman" w:hAnsi="Times New Roman" w:eastAsia="宋体" w:cs="Times New Roman"/>
                <w:kern w:val="2"/>
                <w:sz w:val="21"/>
                <w:szCs w:val="21"/>
                <w:highlight w:val="none"/>
              </w:rPr>
              <w:t>；不达标</w:t>
            </w:r>
            <w:r>
              <w:rPr>
                <w:rFonts w:hint="default" w:ascii="Times New Roman" w:hAnsi="Times New Roman" w:eastAsia="宋体" w:cs="Times New Roman"/>
                <w:kern w:val="2"/>
                <w:sz w:val="21"/>
                <w:szCs w:val="21"/>
                <w:highlight w:val="none"/>
              </w:rPr>
              <w:sym w:font="Wingdings 2" w:char="00A3"/>
            </w:r>
          </w:p>
          <w:p w14:paraId="1097CD7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highlight w:val="none"/>
              </w:rPr>
              <w:t>水环境保护目标质量状况□：达标□；不达标</w:t>
            </w:r>
            <w:r>
              <w:rPr>
                <w:rFonts w:hint="default" w:ascii="Times New Roman" w:hAnsi="Times New Roman" w:eastAsia="宋体" w:cs="Times New Roman"/>
                <w:kern w:val="2"/>
                <w:sz w:val="21"/>
                <w:szCs w:val="21"/>
              </w:rPr>
              <w:t>□</w:t>
            </w:r>
          </w:p>
          <w:p w14:paraId="232BC62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对照断面、控制断面等代表性断面的水质状况□：达标□；不达标</w:t>
            </w:r>
            <w:r>
              <w:rPr>
                <w:rFonts w:hint="default" w:ascii="Times New Roman" w:hAnsi="Times New Roman" w:eastAsia="宋体" w:cs="Times New Roman"/>
                <w:kern w:val="2"/>
                <w:sz w:val="21"/>
                <w:szCs w:val="21"/>
              </w:rPr>
              <w:t>□</w:t>
            </w:r>
          </w:p>
          <w:p w14:paraId="0F89E7B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rPr>
              <w:t>底泥污染评价□</w:t>
            </w:r>
          </w:p>
          <w:p w14:paraId="70792D0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rPr>
              <w:t>水资源与开发利用程度及其水文情势评价□</w:t>
            </w:r>
          </w:p>
          <w:p w14:paraId="1FD51E9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rPr>
              <w:t>水环境质量回顾评价□</w:t>
            </w:r>
          </w:p>
          <w:p w14:paraId="76B70DF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流域（区域）水资源（包括水能资源）与开发利用总体状况、生态流量管理要求与现状满足程度、建设项目占用水域空间的水流状况与河湖演变状况□</w:t>
            </w:r>
          </w:p>
        </w:tc>
        <w:tc>
          <w:tcPr>
            <w:tcW w:w="1159" w:type="dxa"/>
            <w:gridSpan w:val="2"/>
            <w:tcBorders>
              <w:tl2br w:val="nil"/>
              <w:tr2bl w:val="nil"/>
            </w:tcBorders>
            <w:noWrap w:val="0"/>
            <w:vAlign w:val="center"/>
          </w:tcPr>
          <w:p w14:paraId="776BC54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rPr>
              <w:t>达标区</w:t>
            </w:r>
            <w:r>
              <w:rPr>
                <w:rFonts w:hint="default" w:ascii="Times New Roman" w:hAnsi="Times New Roman" w:cs="Times New Roman"/>
                <w:kern w:val="2"/>
                <w:sz w:val="21"/>
                <w:szCs w:val="21"/>
                <w:highlight w:val="none"/>
                <w:lang w:eastAsia="zh-CN"/>
              </w:rPr>
              <w:t>☑</w:t>
            </w:r>
          </w:p>
          <w:p w14:paraId="7CAAC61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不达标区</w:t>
            </w:r>
            <w:r>
              <w:rPr>
                <w:rFonts w:hint="default" w:ascii="Times New Roman" w:hAnsi="Times New Roman" w:eastAsia="宋体" w:cs="Times New Roman"/>
                <w:kern w:val="2"/>
                <w:sz w:val="21"/>
                <w:szCs w:val="21"/>
                <w:highlight w:val="none"/>
              </w:rPr>
              <w:sym w:font="Wingdings 2" w:char="00A3"/>
            </w:r>
          </w:p>
        </w:tc>
      </w:tr>
      <w:tr w14:paraId="710CF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77A45A2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w:t>
            </w:r>
          </w:p>
          <w:p w14:paraId="221CC2C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响</w:t>
            </w:r>
          </w:p>
          <w:p w14:paraId="5E1EB2F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w:t>
            </w:r>
          </w:p>
          <w:p w14:paraId="53B94E3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测</w:t>
            </w:r>
          </w:p>
        </w:tc>
        <w:tc>
          <w:tcPr>
            <w:tcW w:w="1242" w:type="dxa"/>
            <w:tcBorders>
              <w:tl2br w:val="nil"/>
              <w:tr2bl w:val="nil"/>
            </w:tcBorders>
            <w:noWrap w:val="0"/>
            <w:vAlign w:val="center"/>
          </w:tcPr>
          <w:p w14:paraId="48D3988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预测范围</w:t>
            </w:r>
          </w:p>
        </w:tc>
        <w:tc>
          <w:tcPr>
            <w:tcW w:w="6686" w:type="dxa"/>
            <w:gridSpan w:val="15"/>
            <w:tcBorders>
              <w:tl2br w:val="nil"/>
              <w:tr2bl w:val="nil"/>
            </w:tcBorders>
            <w:noWrap w:val="0"/>
            <w:vAlign w:val="center"/>
          </w:tcPr>
          <w:p w14:paraId="33369DE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河流：长度（/）km；湖库、河口及近岸海域：面积（/）km</w:t>
            </w:r>
            <w:r>
              <w:rPr>
                <w:rFonts w:hint="default" w:ascii="Times New Roman" w:hAnsi="Times New Roman" w:eastAsia="宋体" w:cs="Times New Roman"/>
                <w:kern w:val="2"/>
                <w:sz w:val="21"/>
                <w:szCs w:val="21"/>
                <w:vertAlign w:val="superscript"/>
              </w:rPr>
              <w:t>2</w:t>
            </w:r>
          </w:p>
        </w:tc>
      </w:tr>
      <w:tr w14:paraId="76D5D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8D7E1F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09D8489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预测因子</w:t>
            </w:r>
          </w:p>
        </w:tc>
        <w:tc>
          <w:tcPr>
            <w:tcW w:w="6686" w:type="dxa"/>
            <w:gridSpan w:val="15"/>
            <w:tcBorders>
              <w:tl2br w:val="nil"/>
              <w:tr2bl w:val="nil"/>
            </w:tcBorders>
            <w:noWrap w:val="0"/>
            <w:vAlign w:val="center"/>
          </w:tcPr>
          <w:p w14:paraId="7A2F4AA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r>
      <w:tr w14:paraId="445EFC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195762D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18DC799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预测时期</w:t>
            </w:r>
          </w:p>
        </w:tc>
        <w:tc>
          <w:tcPr>
            <w:tcW w:w="6686" w:type="dxa"/>
            <w:gridSpan w:val="15"/>
            <w:tcBorders>
              <w:tl2br w:val="nil"/>
              <w:tr2bl w:val="nil"/>
            </w:tcBorders>
            <w:noWrap w:val="0"/>
            <w:vAlign w:val="center"/>
          </w:tcPr>
          <w:p w14:paraId="59C3306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丰水期□；平水期□；枯水期□；冰封期□</w:t>
            </w:r>
          </w:p>
          <w:p w14:paraId="741B20E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春季□；夏季□；秋季□；冬季□</w:t>
            </w:r>
          </w:p>
          <w:p w14:paraId="5298AC5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设计水文条件□</w:t>
            </w:r>
          </w:p>
        </w:tc>
      </w:tr>
      <w:tr w14:paraId="222D4D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2721A52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0A309EA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预测情景</w:t>
            </w:r>
          </w:p>
        </w:tc>
        <w:tc>
          <w:tcPr>
            <w:tcW w:w="6686" w:type="dxa"/>
            <w:gridSpan w:val="15"/>
            <w:tcBorders>
              <w:tl2br w:val="nil"/>
              <w:tr2bl w:val="nil"/>
            </w:tcBorders>
            <w:noWrap w:val="0"/>
            <w:vAlign w:val="center"/>
          </w:tcPr>
          <w:p w14:paraId="35FF466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建设期□；生产运行期□；服务期满后□</w:t>
            </w:r>
          </w:p>
          <w:p w14:paraId="53BB1A8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正常工况□；非正常工况□</w:t>
            </w:r>
          </w:p>
          <w:p w14:paraId="1D7D72E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污染控制和减缓措施方案□</w:t>
            </w:r>
          </w:p>
          <w:p w14:paraId="04EE11E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区（流）域环境质量改善目标要求情景□</w:t>
            </w:r>
          </w:p>
        </w:tc>
      </w:tr>
      <w:tr w14:paraId="525D1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1E092F5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42E0510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预测方法</w:t>
            </w:r>
          </w:p>
        </w:tc>
        <w:tc>
          <w:tcPr>
            <w:tcW w:w="6686" w:type="dxa"/>
            <w:gridSpan w:val="15"/>
            <w:tcBorders>
              <w:tl2br w:val="nil"/>
              <w:tr2bl w:val="nil"/>
            </w:tcBorders>
            <w:noWrap w:val="0"/>
            <w:vAlign w:val="center"/>
          </w:tcPr>
          <w:p w14:paraId="0977E45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数值解□：解析解□；其他□</w:t>
            </w:r>
          </w:p>
          <w:p w14:paraId="7CB1FDC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导则推荐模式□：其他□</w:t>
            </w:r>
          </w:p>
        </w:tc>
      </w:tr>
      <w:tr w14:paraId="29199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5818898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影</w:t>
            </w:r>
          </w:p>
          <w:p w14:paraId="4CEC427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响</w:t>
            </w:r>
          </w:p>
          <w:p w14:paraId="7E1B616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w:t>
            </w:r>
          </w:p>
          <w:p w14:paraId="1BD259B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价</w:t>
            </w:r>
          </w:p>
        </w:tc>
        <w:tc>
          <w:tcPr>
            <w:tcW w:w="1242" w:type="dxa"/>
            <w:tcBorders>
              <w:tl2br w:val="nil"/>
              <w:tr2bl w:val="nil"/>
            </w:tcBorders>
            <w:noWrap w:val="0"/>
            <w:vAlign w:val="center"/>
          </w:tcPr>
          <w:p w14:paraId="63DAAA8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水污染控制和水环境影响减缓措施有效性评价</w:t>
            </w:r>
          </w:p>
        </w:tc>
        <w:tc>
          <w:tcPr>
            <w:tcW w:w="6686" w:type="dxa"/>
            <w:gridSpan w:val="15"/>
            <w:tcBorders>
              <w:tl2br w:val="nil"/>
              <w:tr2bl w:val="nil"/>
            </w:tcBorders>
            <w:noWrap w:val="0"/>
            <w:vAlign w:val="center"/>
          </w:tcPr>
          <w:p w14:paraId="101CBFA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区（流）域水环境质量改善目标</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；替代削减源□</w:t>
            </w:r>
          </w:p>
        </w:tc>
      </w:tr>
      <w:tr w14:paraId="709B8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6525CA9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177A390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水环境影响</w:t>
            </w:r>
          </w:p>
          <w:p w14:paraId="3D0DB0D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w:t>
            </w:r>
          </w:p>
        </w:tc>
        <w:tc>
          <w:tcPr>
            <w:tcW w:w="6686" w:type="dxa"/>
            <w:gridSpan w:val="15"/>
            <w:tcBorders>
              <w:tl2br w:val="nil"/>
              <w:tr2bl w:val="nil"/>
            </w:tcBorders>
            <w:noWrap w:val="0"/>
            <w:vAlign w:val="center"/>
          </w:tcPr>
          <w:p w14:paraId="79B588C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排放口混合区外满足水环境管理要求</w:t>
            </w:r>
            <w:r>
              <w:rPr>
                <w:rFonts w:hint="default" w:ascii="Times New Roman" w:hAnsi="Times New Roman" w:eastAsia="宋体" w:cs="Times New Roman"/>
                <w:kern w:val="2"/>
                <w:sz w:val="21"/>
                <w:szCs w:val="21"/>
              </w:rPr>
              <w:sym w:font="Wingdings 2" w:char="0052"/>
            </w:r>
          </w:p>
          <w:p w14:paraId="48B4210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水环境功能区或水功能区、近岸海域环境功能区水质达标□</w:t>
            </w:r>
          </w:p>
          <w:p w14:paraId="5CDEF7F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满足水环境保护目标水域水环境质量要求□</w:t>
            </w:r>
          </w:p>
          <w:p w14:paraId="322A9EB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水环境控制单元或断面水质达标□</w:t>
            </w:r>
          </w:p>
          <w:p w14:paraId="0905650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满足重点水污染物排放总量控制指标要求，重点行业建设项目，主要污染物排放满足等量或减量替代要求□</w:t>
            </w:r>
          </w:p>
          <w:p w14:paraId="0D23AC0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满足区（流）域水环境质量改善目标要求□</w:t>
            </w:r>
          </w:p>
          <w:p w14:paraId="55EF06F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水文要素影响型建设项目同时应包括水文情势变化评价、主要水文特征值影响评价、生态流量符合性评价□</w:t>
            </w:r>
          </w:p>
          <w:p w14:paraId="4D291E1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对于新设或调整入河（湖库、近岸海域）排放口的建设项目，应包括排放口设置的环境合理性评价□</w:t>
            </w:r>
          </w:p>
          <w:p w14:paraId="6A9D347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满足生态保护红线、水环境质量底线、资源利用上线和环境准入清单管理要求□</w:t>
            </w:r>
          </w:p>
        </w:tc>
      </w:tr>
      <w:tr w14:paraId="5E0D07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7C40C3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31BF342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污染源排放量核算</w:t>
            </w:r>
          </w:p>
        </w:tc>
        <w:tc>
          <w:tcPr>
            <w:tcW w:w="2164" w:type="dxa"/>
            <w:gridSpan w:val="5"/>
            <w:tcBorders>
              <w:tl2br w:val="nil"/>
              <w:tr2bl w:val="nil"/>
            </w:tcBorders>
            <w:noWrap w:val="0"/>
            <w:vAlign w:val="center"/>
          </w:tcPr>
          <w:p w14:paraId="7B7EFBC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污染物名称</w:t>
            </w:r>
          </w:p>
        </w:tc>
        <w:tc>
          <w:tcPr>
            <w:tcW w:w="2231" w:type="dxa"/>
            <w:gridSpan w:val="6"/>
            <w:tcBorders>
              <w:tl2br w:val="nil"/>
              <w:tr2bl w:val="nil"/>
            </w:tcBorders>
            <w:noWrap w:val="0"/>
            <w:vAlign w:val="center"/>
          </w:tcPr>
          <w:p w14:paraId="22E243E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排放量/（t/a）</w:t>
            </w:r>
          </w:p>
        </w:tc>
        <w:tc>
          <w:tcPr>
            <w:tcW w:w="2291" w:type="dxa"/>
            <w:gridSpan w:val="4"/>
            <w:tcBorders>
              <w:tl2br w:val="nil"/>
              <w:tr2bl w:val="nil"/>
            </w:tcBorders>
            <w:noWrap w:val="0"/>
            <w:vAlign w:val="center"/>
          </w:tcPr>
          <w:p w14:paraId="14F8270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排放浓度/（mg/L）</w:t>
            </w:r>
          </w:p>
        </w:tc>
      </w:tr>
      <w:tr w14:paraId="064B4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2352C9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7819E4B6">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164" w:type="dxa"/>
            <w:gridSpan w:val="5"/>
            <w:tcBorders>
              <w:tl2br w:val="nil"/>
              <w:tr2bl w:val="nil"/>
            </w:tcBorders>
            <w:noWrap w:val="0"/>
            <w:vAlign w:val="center"/>
          </w:tcPr>
          <w:p w14:paraId="39154AB6">
            <w:pPr>
              <w:pStyle w:val="8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kern w:val="2"/>
                <w:sz w:val="21"/>
                <w:szCs w:val="21"/>
              </w:rPr>
            </w:pPr>
            <w:r>
              <w:rPr>
                <w:rFonts w:hint="default" w:ascii="Times New Roman" w:hAnsi="Times New Roman" w:cs="Times New Roman"/>
                <w:b w:val="0"/>
                <w:bCs/>
                <w:color w:val="auto"/>
                <w:szCs w:val="20"/>
                <w:highlight w:val="none"/>
              </w:rPr>
              <w:t>COD</w:t>
            </w:r>
          </w:p>
        </w:tc>
        <w:tc>
          <w:tcPr>
            <w:tcW w:w="2231" w:type="dxa"/>
            <w:gridSpan w:val="6"/>
            <w:tcBorders>
              <w:tl2br w:val="nil"/>
              <w:tr2bl w:val="nil"/>
            </w:tcBorders>
            <w:shd w:val="clear" w:color="auto" w:fill="auto"/>
            <w:noWrap w:val="0"/>
            <w:vAlign w:val="center"/>
          </w:tcPr>
          <w:p w14:paraId="3F8E1F9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4.9064</w:t>
            </w:r>
          </w:p>
        </w:tc>
        <w:tc>
          <w:tcPr>
            <w:tcW w:w="2291" w:type="dxa"/>
            <w:gridSpan w:val="4"/>
            <w:tcBorders>
              <w:tl2br w:val="nil"/>
              <w:tr2bl w:val="nil"/>
            </w:tcBorders>
            <w:noWrap w:val="0"/>
            <w:vAlign w:val="center"/>
          </w:tcPr>
          <w:p w14:paraId="44572BE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w:t>
            </w:r>
            <w:r>
              <w:rPr>
                <w:rFonts w:hint="eastAsia" w:cs="Times New Roman"/>
                <w:i w:val="0"/>
                <w:iCs w:val="0"/>
                <w:color w:val="000000"/>
                <w:kern w:val="0"/>
                <w:sz w:val="21"/>
                <w:szCs w:val="21"/>
                <w:u w:val="none"/>
                <w:lang w:val="en-US" w:eastAsia="zh-CN" w:bidi="ar"/>
              </w:rPr>
              <w:t>2.6</w:t>
            </w:r>
          </w:p>
        </w:tc>
      </w:tr>
      <w:tr w14:paraId="7062F1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2435C46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5193899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164" w:type="dxa"/>
            <w:gridSpan w:val="5"/>
            <w:tcBorders>
              <w:tl2br w:val="nil"/>
              <w:tr2bl w:val="nil"/>
            </w:tcBorders>
            <w:noWrap w:val="0"/>
            <w:vAlign w:val="center"/>
          </w:tcPr>
          <w:p w14:paraId="23CEABA2">
            <w:pPr>
              <w:pStyle w:val="8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kern w:val="2"/>
                <w:sz w:val="21"/>
                <w:szCs w:val="21"/>
              </w:rPr>
            </w:pPr>
            <w:r>
              <w:rPr>
                <w:rFonts w:hint="default" w:ascii="Times New Roman" w:hAnsi="Times New Roman" w:cs="Times New Roman"/>
                <w:b w:val="0"/>
                <w:bCs/>
                <w:color w:val="auto"/>
                <w:szCs w:val="20"/>
                <w:highlight w:val="none"/>
              </w:rPr>
              <w:t>SS</w:t>
            </w:r>
          </w:p>
        </w:tc>
        <w:tc>
          <w:tcPr>
            <w:tcW w:w="2231" w:type="dxa"/>
            <w:gridSpan w:val="6"/>
            <w:tcBorders>
              <w:tl2br w:val="nil"/>
              <w:tr2bl w:val="nil"/>
            </w:tcBorders>
            <w:shd w:val="clear" w:color="auto" w:fill="auto"/>
            <w:noWrap w:val="0"/>
            <w:vAlign w:val="center"/>
          </w:tcPr>
          <w:p w14:paraId="26C69D0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3.0784</w:t>
            </w:r>
          </w:p>
        </w:tc>
        <w:tc>
          <w:tcPr>
            <w:tcW w:w="2291" w:type="dxa"/>
            <w:gridSpan w:val="4"/>
            <w:tcBorders>
              <w:tl2br w:val="nil"/>
              <w:tr2bl w:val="nil"/>
            </w:tcBorders>
            <w:noWrap w:val="0"/>
            <w:vAlign w:val="center"/>
          </w:tcPr>
          <w:p w14:paraId="6D8DF7F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w:t>
            </w:r>
            <w:r>
              <w:rPr>
                <w:rFonts w:hint="eastAsia" w:cs="Times New Roman"/>
                <w:i w:val="0"/>
                <w:iCs w:val="0"/>
                <w:color w:val="000000"/>
                <w:kern w:val="0"/>
                <w:sz w:val="21"/>
                <w:szCs w:val="21"/>
                <w:u w:val="none"/>
                <w:lang w:val="en-US" w:eastAsia="zh-CN" w:bidi="ar"/>
              </w:rPr>
              <w:t>1</w:t>
            </w:r>
          </w:p>
        </w:tc>
      </w:tr>
      <w:tr w14:paraId="21B2A9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D6F5CB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6BF28F1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164" w:type="dxa"/>
            <w:gridSpan w:val="5"/>
            <w:tcBorders>
              <w:tl2br w:val="nil"/>
              <w:tr2bl w:val="nil"/>
            </w:tcBorders>
            <w:noWrap w:val="0"/>
            <w:vAlign w:val="center"/>
          </w:tcPr>
          <w:p w14:paraId="29B031E9">
            <w:pPr>
              <w:pStyle w:val="8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kern w:val="2"/>
                <w:sz w:val="21"/>
                <w:szCs w:val="21"/>
              </w:rPr>
            </w:pPr>
            <w:r>
              <w:rPr>
                <w:rFonts w:hint="default" w:ascii="Times New Roman" w:hAnsi="Times New Roman" w:cs="Times New Roman"/>
                <w:b w:val="0"/>
                <w:bCs/>
                <w:color w:val="auto"/>
                <w:szCs w:val="20"/>
                <w:highlight w:val="none"/>
              </w:rPr>
              <w:t>NH</w:t>
            </w:r>
            <w:r>
              <w:rPr>
                <w:rFonts w:hint="default" w:ascii="Times New Roman" w:hAnsi="Times New Roman" w:cs="Times New Roman"/>
                <w:b w:val="0"/>
                <w:bCs/>
                <w:color w:val="auto"/>
                <w:szCs w:val="20"/>
                <w:highlight w:val="none"/>
                <w:vertAlign w:val="subscript"/>
              </w:rPr>
              <w:t>3</w:t>
            </w:r>
            <w:r>
              <w:rPr>
                <w:rFonts w:hint="default" w:ascii="Times New Roman" w:hAnsi="Times New Roman" w:cs="Times New Roman"/>
                <w:b w:val="0"/>
                <w:bCs/>
                <w:color w:val="auto"/>
                <w:szCs w:val="20"/>
                <w:highlight w:val="none"/>
              </w:rPr>
              <w:t>-N</w:t>
            </w:r>
          </w:p>
        </w:tc>
        <w:tc>
          <w:tcPr>
            <w:tcW w:w="2231" w:type="dxa"/>
            <w:gridSpan w:val="6"/>
            <w:tcBorders>
              <w:tl2br w:val="nil"/>
              <w:tr2bl w:val="nil"/>
            </w:tcBorders>
            <w:shd w:val="clear" w:color="auto" w:fill="auto"/>
            <w:noWrap w:val="0"/>
            <w:vAlign w:val="center"/>
          </w:tcPr>
          <w:p w14:paraId="67F722B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0.4928</w:t>
            </w:r>
          </w:p>
        </w:tc>
        <w:tc>
          <w:tcPr>
            <w:tcW w:w="2291" w:type="dxa"/>
            <w:gridSpan w:val="4"/>
            <w:tcBorders>
              <w:tl2br w:val="nil"/>
              <w:tr2bl w:val="nil"/>
            </w:tcBorders>
            <w:noWrap w:val="0"/>
            <w:vAlign w:val="center"/>
          </w:tcPr>
          <w:p w14:paraId="6EC546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w:t>
            </w:r>
            <w:r>
              <w:rPr>
                <w:rFonts w:hint="eastAsia" w:cs="Times New Roman"/>
                <w:i w:val="0"/>
                <w:iCs w:val="0"/>
                <w:color w:val="000000"/>
                <w:kern w:val="0"/>
                <w:sz w:val="21"/>
                <w:szCs w:val="21"/>
                <w:u w:val="none"/>
                <w:lang w:val="en-US" w:eastAsia="zh-CN" w:bidi="ar"/>
              </w:rPr>
              <w:t>3</w:t>
            </w:r>
          </w:p>
        </w:tc>
      </w:tr>
      <w:tr w14:paraId="726C6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201A0F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36ECCF1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164" w:type="dxa"/>
            <w:gridSpan w:val="5"/>
            <w:tcBorders>
              <w:tl2br w:val="nil"/>
              <w:tr2bl w:val="nil"/>
            </w:tcBorders>
            <w:noWrap w:val="0"/>
            <w:vAlign w:val="center"/>
          </w:tcPr>
          <w:p w14:paraId="66084D09">
            <w:pPr>
              <w:pStyle w:val="8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kern w:val="2"/>
                <w:sz w:val="21"/>
                <w:szCs w:val="21"/>
              </w:rPr>
            </w:pPr>
            <w:r>
              <w:rPr>
                <w:rFonts w:hint="default" w:ascii="Times New Roman" w:hAnsi="Times New Roman" w:cs="Times New Roman"/>
                <w:b w:val="0"/>
                <w:bCs/>
                <w:color w:val="auto"/>
                <w:szCs w:val="20"/>
                <w:highlight w:val="none"/>
              </w:rPr>
              <w:t>TN</w:t>
            </w:r>
          </w:p>
        </w:tc>
        <w:tc>
          <w:tcPr>
            <w:tcW w:w="2231" w:type="dxa"/>
            <w:gridSpan w:val="6"/>
            <w:tcBorders>
              <w:tl2br w:val="nil"/>
              <w:tr2bl w:val="nil"/>
            </w:tcBorders>
            <w:shd w:val="clear" w:color="auto" w:fill="auto"/>
            <w:noWrap w:val="0"/>
            <w:vAlign w:val="center"/>
          </w:tcPr>
          <w:p w14:paraId="19A4708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0.5828</w:t>
            </w:r>
          </w:p>
        </w:tc>
        <w:tc>
          <w:tcPr>
            <w:tcW w:w="2291" w:type="dxa"/>
            <w:gridSpan w:val="4"/>
            <w:tcBorders>
              <w:tl2br w:val="nil"/>
              <w:tr2bl w:val="nil"/>
            </w:tcBorders>
            <w:noWrap w:val="0"/>
            <w:vAlign w:val="center"/>
          </w:tcPr>
          <w:p w14:paraId="0F65CD4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11</w:t>
            </w:r>
          </w:p>
        </w:tc>
      </w:tr>
      <w:tr w14:paraId="31DEC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04B7EE1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717A883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164" w:type="dxa"/>
            <w:gridSpan w:val="5"/>
            <w:tcBorders>
              <w:tl2br w:val="nil"/>
              <w:tr2bl w:val="nil"/>
            </w:tcBorders>
            <w:noWrap w:val="0"/>
            <w:vAlign w:val="center"/>
          </w:tcPr>
          <w:p w14:paraId="19B4D337">
            <w:pPr>
              <w:pStyle w:val="81"/>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kern w:val="2"/>
                <w:sz w:val="21"/>
                <w:szCs w:val="21"/>
              </w:rPr>
            </w:pPr>
            <w:r>
              <w:rPr>
                <w:rFonts w:hint="default" w:ascii="Times New Roman" w:hAnsi="Times New Roman" w:cs="Times New Roman"/>
                <w:b w:val="0"/>
                <w:bCs/>
                <w:color w:val="auto"/>
                <w:szCs w:val="20"/>
                <w:highlight w:val="none"/>
              </w:rPr>
              <w:t>TP</w:t>
            </w:r>
          </w:p>
        </w:tc>
        <w:tc>
          <w:tcPr>
            <w:tcW w:w="2231" w:type="dxa"/>
            <w:gridSpan w:val="6"/>
            <w:tcBorders>
              <w:tl2br w:val="nil"/>
              <w:tr2bl w:val="nil"/>
            </w:tcBorders>
            <w:shd w:val="clear" w:color="auto" w:fill="auto"/>
            <w:noWrap w:val="0"/>
            <w:vAlign w:val="center"/>
          </w:tcPr>
          <w:p w14:paraId="582FC1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val="0"/>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0.0371</w:t>
            </w:r>
          </w:p>
        </w:tc>
        <w:tc>
          <w:tcPr>
            <w:tcW w:w="2291" w:type="dxa"/>
            <w:gridSpan w:val="4"/>
            <w:tcBorders>
              <w:tl2br w:val="nil"/>
              <w:tr2bl w:val="nil"/>
            </w:tcBorders>
            <w:noWrap w:val="0"/>
            <w:vAlign w:val="center"/>
          </w:tcPr>
          <w:p w14:paraId="61E7B7D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w:t>
            </w:r>
          </w:p>
        </w:tc>
      </w:tr>
      <w:tr w14:paraId="15EF5E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1A99F33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5B567BA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替代源排放</w:t>
            </w:r>
          </w:p>
          <w:p w14:paraId="6A836A4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情况</w:t>
            </w:r>
          </w:p>
        </w:tc>
        <w:tc>
          <w:tcPr>
            <w:tcW w:w="1669" w:type="dxa"/>
            <w:gridSpan w:val="2"/>
            <w:tcBorders>
              <w:tl2br w:val="nil"/>
              <w:tr2bl w:val="nil"/>
            </w:tcBorders>
            <w:noWrap w:val="0"/>
            <w:vAlign w:val="center"/>
          </w:tcPr>
          <w:p w14:paraId="17D35B7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污染源名称</w:t>
            </w:r>
          </w:p>
        </w:tc>
        <w:tc>
          <w:tcPr>
            <w:tcW w:w="1232" w:type="dxa"/>
            <w:gridSpan w:val="4"/>
            <w:tcBorders>
              <w:tl2br w:val="nil"/>
              <w:tr2bl w:val="nil"/>
            </w:tcBorders>
            <w:noWrap w:val="0"/>
            <w:vAlign w:val="center"/>
          </w:tcPr>
          <w:p w14:paraId="1DC6FA4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pacing w:val="-10"/>
                <w:kern w:val="2"/>
                <w:sz w:val="21"/>
                <w:szCs w:val="21"/>
              </w:rPr>
            </w:pPr>
            <w:r>
              <w:rPr>
                <w:rFonts w:hint="default" w:ascii="Times New Roman" w:hAnsi="Times New Roman" w:eastAsia="宋体" w:cs="Times New Roman"/>
                <w:spacing w:val="-10"/>
                <w:kern w:val="2"/>
                <w:sz w:val="21"/>
                <w:szCs w:val="21"/>
              </w:rPr>
              <w:t>排污许可证编号</w:t>
            </w:r>
          </w:p>
        </w:tc>
        <w:tc>
          <w:tcPr>
            <w:tcW w:w="1232" w:type="dxa"/>
            <w:gridSpan w:val="3"/>
            <w:tcBorders>
              <w:tl2br w:val="nil"/>
              <w:tr2bl w:val="nil"/>
            </w:tcBorders>
            <w:noWrap w:val="0"/>
            <w:vAlign w:val="center"/>
          </w:tcPr>
          <w:p w14:paraId="00DABFD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污染物名称</w:t>
            </w:r>
          </w:p>
        </w:tc>
        <w:tc>
          <w:tcPr>
            <w:tcW w:w="1257" w:type="dxa"/>
            <w:gridSpan w:val="3"/>
            <w:tcBorders>
              <w:tl2br w:val="nil"/>
              <w:tr2bl w:val="nil"/>
            </w:tcBorders>
            <w:noWrap w:val="0"/>
            <w:vAlign w:val="center"/>
          </w:tcPr>
          <w:p w14:paraId="1085828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排放量/（t/a）</w:t>
            </w:r>
          </w:p>
        </w:tc>
        <w:tc>
          <w:tcPr>
            <w:tcW w:w="1296" w:type="dxa"/>
            <w:gridSpan w:val="3"/>
            <w:tcBorders>
              <w:tl2br w:val="nil"/>
              <w:tr2bl w:val="nil"/>
            </w:tcBorders>
            <w:noWrap w:val="0"/>
            <w:vAlign w:val="center"/>
          </w:tcPr>
          <w:p w14:paraId="6D2D041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排放浓度/（mg/L）</w:t>
            </w:r>
          </w:p>
        </w:tc>
      </w:tr>
      <w:tr w14:paraId="5B4E2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255BD92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3F6C085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669" w:type="dxa"/>
            <w:gridSpan w:val="2"/>
            <w:tcBorders>
              <w:tl2br w:val="nil"/>
              <w:tr2bl w:val="nil"/>
            </w:tcBorders>
            <w:noWrap w:val="0"/>
            <w:vAlign w:val="top"/>
          </w:tcPr>
          <w:p w14:paraId="114D4B6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232" w:type="dxa"/>
            <w:gridSpan w:val="4"/>
            <w:tcBorders>
              <w:tl2br w:val="nil"/>
              <w:tr2bl w:val="nil"/>
            </w:tcBorders>
            <w:noWrap w:val="0"/>
            <w:vAlign w:val="top"/>
          </w:tcPr>
          <w:p w14:paraId="3A7737B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232" w:type="dxa"/>
            <w:gridSpan w:val="3"/>
            <w:tcBorders>
              <w:tl2br w:val="nil"/>
              <w:tr2bl w:val="nil"/>
            </w:tcBorders>
            <w:noWrap w:val="0"/>
            <w:vAlign w:val="top"/>
          </w:tcPr>
          <w:p w14:paraId="6840418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257" w:type="dxa"/>
            <w:gridSpan w:val="3"/>
            <w:tcBorders>
              <w:tl2br w:val="nil"/>
              <w:tr2bl w:val="nil"/>
            </w:tcBorders>
            <w:noWrap w:val="0"/>
            <w:vAlign w:val="top"/>
          </w:tcPr>
          <w:p w14:paraId="2E1A802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296" w:type="dxa"/>
            <w:gridSpan w:val="3"/>
            <w:tcBorders>
              <w:tl2br w:val="nil"/>
              <w:tr2bl w:val="nil"/>
            </w:tcBorders>
            <w:noWrap w:val="0"/>
            <w:vAlign w:val="top"/>
          </w:tcPr>
          <w:p w14:paraId="027AB41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r>
      <w:tr w14:paraId="274C14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6082C0E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115F887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生态流量确定</w:t>
            </w:r>
          </w:p>
        </w:tc>
        <w:tc>
          <w:tcPr>
            <w:tcW w:w="6686" w:type="dxa"/>
            <w:gridSpan w:val="15"/>
            <w:tcBorders>
              <w:tl2br w:val="nil"/>
              <w:tr2bl w:val="nil"/>
            </w:tcBorders>
            <w:noWrap w:val="0"/>
            <w:vAlign w:val="center"/>
          </w:tcPr>
          <w:p w14:paraId="256B871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生态流量：一般水期（）m</w:t>
            </w:r>
            <w:r>
              <w:rPr>
                <w:rFonts w:hint="default" w:ascii="Times New Roman" w:hAnsi="Times New Roman" w:eastAsia="宋体" w:cs="Times New Roman"/>
                <w:kern w:val="2"/>
                <w:sz w:val="21"/>
                <w:szCs w:val="21"/>
                <w:vertAlign w:val="superscript"/>
              </w:rPr>
              <w:t>3</w:t>
            </w:r>
            <w:r>
              <w:rPr>
                <w:rFonts w:hint="default" w:ascii="Times New Roman" w:hAnsi="Times New Roman" w:eastAsia="宋体" w:cs="Times New Roman"/>
                <w:kern w:val="2"/>
                <w:sz w:val="21"/>
                <w:szCs w:val="21"/>
              </w:rPr>
              <w:t>/s；鱼类繁殖期（）m</w:t>
            </w:r>
            <w:r>
              <w:rPr>
                <w:rFonts w:hint="default" w:ascii="Times New Roman" w:hAnsi="Times New Roman" w:eastAsia="宋体" w:cs="Times New Roman"/>
                <w:kern w:val="2"/>
                <w:sz w:val="21"/>
                <w:szCs w:val="21"/>
                <w:vertAlign w:val="superscript"/>
              </w:rPr>
              <w:t>3</w:t>
            </w:r>
            <w:r>
              <w:rPr>
                <w:rFonts w:hint="default" w:ascii="Times New Roman" w:hAnsi="Times New Roman" w:eastAsia="宋体" w:cs="Times New Roman"/>
                <w:kern w:val="2"/>
                <w:sz w:val="21"/>
                <w:szCs w:val="21"/>
              </w:rPr>
              <w:t>/s；其他（）m</w:t>
            </w:r>
            <w:r>
              <w:rPr>
                <w:rFonts w:hint="default" w:ascii="Times New Roman" w:hAnsi="Times New Roman" w:eastAsia="宋体" w:cs="Times New Roman"/>
                <w:kern w:val="2"/>
                <w:sz w:val="21"/>
                <w:szCs w:val="21"/>
                <w:vertAlign w:val="superscript"/>
              </w:rPr>
              <w:t>3</w:t>
            </w:r>
            <w:r>
              <w:rPr>
                <w:rFonts w:hint="default" w:ascii="Times New Roman" w:hAnsi="Times New Roman" w:eastAsia="宋体" w:cs="Times New Roman"/>
                <w:kern w:val="2"/>
                <w:sz w:val="21"/>
                <w:szCs w:val="21"/>
              </w:rPr>
              <w:t>/s</w:t>
            </w:r>
          </w:p>
          <w:p w14:paraId="0C7001E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生态水位：一般水期（）m；鱼类繁殖期（）m；其他（）m</w:t>
            </w:r>
          </w:p>
        </w:tc>
      </w:tr>
      <w:tr w14:paraId="31D4C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restart"/>
            <w:tcBorders>
              <w:tl2br w:val="nil"/>
              <w:tr2bl w:val="nil"/>
            </w:tcBorders>
            <w:noWrap w:val="0"/>
            <w:vAlign w:val="center"/>
          </w:tcPr>
          <w:p w14:paraId="11784B21">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防</w:t>
            </w:r>
          </w:p>
          <w:p w14:paraId="058D7FB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治</w:t>
            </w:r>
          </w:p>
          <w:p w14:paraId="785C95F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措</w:t>
            </w:r>
          </w:p>
          <w:p w14:paraId="5C10592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施</w:t>
            </w:r>
          </w:p>
        </w:tc>
        <w:tc>
          <w:tcPr>
            <w:tcW w:w="1242" w:type="dxa"/>
            <w:tcBorders>
              <w:tl2br w:val="nil"/>
              <w:tr2bl w:val="nil"/>
            </w:tcBorders>
            <w:noWrap w:val="0"/>
            <w:vAlign w:val="center"/>
          </w:tcPr>
          <w:p w14:paraId="6D6C4B1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环保措施</w:t>
            </w:r>
          </w:p>
        </w:tc>
        <w:tc>
          <w:tcPr>
            <w:tcW w:w="6686" w:type="dxa"/>
            <w:gridSpan w:val="15"/>
            <w:tcBorders>
              <w:tl2br w:val="nil"/>
              <w:tr2bl w:val="nil"/>
            </w:tcBorders>
            <w:noWrap w:val="0"/>
            <w:vAlign w:val="center"/>
          </w:tcPr>
          <w:p w14:paraId="4DBCC17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污水处理设施</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；水文减缓设施□；生态流量保障设施□；区域削减□；依托其他工程措施□；其他□</w:t>
            </w:r>
          </w:p>
        </w:tc>
      </w:tr>
      <w:tr w14:paraId="0AC1C5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4900C37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restart"/>
            <w:tcBorders>
              <w:tl2br w:val="nil"/>
              <w:tr2bl w:val="nil"/>
            </w:tcBorders>
            <w:noWrap w:val="0"/>
            <w:vAlign w:val="center"/>
          </w:tcPr>
          <w:p w14:paraId="4EA807D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监测计划</w:t>
            </w:r>
          </w:p>
        </w:tc>
        <w:tc>
          <w:tcPr>
            <w:tcW w:w="913" w:type="dxa"/>
            <w:tcBorders>
              <w:tl2br w:val="nil"/>
              <w:tr2bl w:val="nil"/>
            </w:tcBorders>
            <w:noWrap w:val="0"/>
            <w:vAlign w:val="center"/>
          </w:tcPr>
          <w:p w14:paraId="4999CEC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2227" w:type="dxa"/>
            <w:gridSpan w:val="6"/>
            <w:tcBorders>
              <w:tl2br w:val="nil"/>
              <w:tr2bl w:val="nil"/>
            </w:tcBorders>
            <w:noWrap w:val="0"/>
            <w:vAlign w:val="center"/>
          </w:tcPr>
          <w:p w14:paraId="12365F5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环境质量</w:t>
            </w:r>
          </w:p>
        </w:tc>
        <w:tc>
          <w:tcPr>
            <w:tcW w:w="3546" w:type="dxa"/>
            <w:gridSpan w:val="8"/>
            <w:tcBorders>
              <w:tl2br w:val="nil"/>
              <w:tr2bl w:val="nil"/>
            </w:tcBorders>
            <w:noWrap w:val="0"/>
            <w:vAlign w:val="center"/>
          </w:tcPr>
          <w:p w14:paraId="0D82247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污染源</w:t>
            </w:r>
          </w:p>
        </w:tc>
      </w:tr>
      <w:tr w14:paraId="0CCA5F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B869CA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2CD52C8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913" w:type="dxa"/>
            <w:tcBorders>
              <w:tl2br w:val="nil"/>
              <w:tr2bl w:val="nil"/>
            </w:tcBorders>
            <w:noWrap w:val="0"/>
            <w:vAlign w:val="center"/>
          </w:tcPr>
          <w:p w14:paraId="68A66C3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监测方式</w:t>
            </w:r>
          </w:p>
        </w:tc>
        <w:tc>
          <w:tcPr>
            <w:tcW w:w="2227" w:type="dxa"/>
            <w:gridSpan w:val="6"/>
            <w:tcBorders>
              <w:tl2br w:val="nil"/>
              <w:tr2bl w:val="nil"/>
            </w:tcBorders>
            <w:noWrap w:val="0"/>
            <w:vAlign w:val="center"/>
          </w:tcPr>
          <w:p w14:paraId="7B27E7C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手动□；自动</w:t>
            </w:r>
            <w:r>
              <w:rPr>
                <w:rFonts w:hint="default" w:ascii="Times New Roman" w:hAnsi="Times New Roman" w:eastAsia="宋体" w:cs="Times New Roman"/>
                <w:kern w:val="2"/>
                <w:sz w:val="21"/>
                <w:szCs w:val="21"/>
              </w:rPr>
              <w:sym w:font="Wingdings 2" w:char="00A3"/>
            </w:r>
            <w:r>
              <w:rPr>
                <w:rFonts w:hint="default" w:ascii="Times New Roman" w:hAnsi="Times New Roman" w:eastAsia="宋体" w:cs="Times New Roman"/>
                <w:kern w:val="2"/>
                <w:sz w:val="21"/>
                <w:szCs w:val="21"/>
              </w:rPr>
              <w:t>；无监测</w:t>
            </w:r>
            <w:r>
              <w:rPr>
                <w:rFonts w:hint="default" w:ascii="Times New Roman" w:hAnsi="Times New Roman" w:cs="Times New Roman"/>
                <w:kern w:val="2"/>
                <w:sz w:val="21"/>
                <w:szCs w:val="21"/>
                <w:lang w:eastAsia="zh-CN"/>
              </w:rPr>
              <w:t>☑</w:t>
            </w:r>
          </w:p>
        </w:tc>
        <w:tc>
          <w:tcPr>
            <w:tcW w:w="3546" w:type="dxa"/>
            <w:gridSpan w:val="8"/>
            <w:tcBorders>
              <w:tl2br w:val="nil"/>
              <w:tr2bl w:val="nil"/>
            </w:tcBorders>
            <w:noWrap w:val="0"/>
            <w:vAlign w:val="center"/>
          </w:tcPr>
          <w:p w14:paraId="6FB8C17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手动</w:t>
            </w:r>
            <w:r>
              <w:rPr>
                <w:rFonts w:hint="default" w:ascii="Times New Roman" w:hAnsi="Times New Roman" w:eastAsia="宋体" w:cs="Times New Roman"/>
                <w:kern w:val="2"/>
                <w:sz w:val="21"/>
                <w:szCs w:val="21"/>
              </w:rPr>
              <w:sym w:font="Wingdings 2" w:char="00A3"/>
            </w:r>
            <w:r>
              <w:rPr>
                <w:rFonts w:hint="default" w:ascii="Times New Roman" w:hAnsi="Times New Roman" w:eastAsia="宋体" w:cs="Times New Roman"/>
                <w:kern w:val="2"/>
                <w:sz w:val="21"/>
                <w:szCs w:val="21"/>
              </w:rPr>
              <w:t>；自动</w:t>
            </w:r>
            <w:r>
              <w:rPr>
                <w:rFonts w:hint="default" w:ascii="Times New Roman" w:hAnsi="Times New Roman" w:cs="Times New Roman"/>
                <w:kern w:val="2"/>
                <w:sz w:val="21"/>
                <w:szCs w:val="21"/>
                <w:lang w:eastAsia="zh-CN"/>
              </w:rPr>
              <w:t>☑</w:t>
            </w:r>
            <w:r>
              <w:rPr>
                <w:rFonts w:hint="default" w:ascii="Times New Roman" w:hAnsi="Times New Roman" w:eastAsia="宋体" w:cs="Times New Roman"/>
                <w:kern w:val="2"/>
                <w:sz w:val="21"/>
                <w:szCs w:val="21"/>
              </w:rPr>
              <w:t>；无监测□</w:t>
            </w:r>
          </w:p>
        </w:tc>
      </w:tr>
      <w:tr w14:paraId="6745BE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36CA9663">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79238A60">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913" w:type="dxa"/>
            <w:tcBorders>
              <w:tl2br w:val="nil"/>
              <w:tr2bl w:val="nil"/>
            </w:tcBorders>
            <w:noWrap w:val="0"/>
            <w:vAlign w:val="center"/>
          </w:tcPr>
          <w:p w14:paraId="395DBD4E">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监测点位</w:t>
            </w:r>
          </w:p>
        </w:tc>
        <w:tc>
          <w:tcPr>
            <w:tcW w:w="2227" w:type="dxa"/>
            <w:gridSpan w:val="6"/>
            <w:tcBorders>
              <w:tl2br w:val="nil"/>
              <w:tr2bl w:val="nil"/>
            </w:tcBorders>
            <w:noWrap w:val="0"/>
            <w:vAlign w:val="center"/>
          </w:tcPr>
          <w:p w14:paraId="2EA43D6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cs="Times New Roman"/>
                <w:kern w:val="2"/>
                <w:sz w:val="21"/>
                <w:szCs w:val="21"/>
                <w:lang w:val="en-US" w:eastAsia="zh-CN"/>
              </w:rPr>
              <w:t>/</w:t>
            </w:r>
          </w:p>
        </w:tc>
        <w:tc>
          <w:tcPr>
            <w:tcW w:w="2445" w:type="dxa"/>
            <w:gridSpan w:val="7"/>
            <w:tcBorders>
              <w:tl2br w:val="nil"/>
              <w:tr2bl w:val="nil"/>
            </w:tcBorders>
            <w:noWrap w:val="0"/>
            <w:vAlign w:val="center"/>
          </w:tcPr>
          <w:p w14:paraId="7B7F61DF">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废水总排</w:t>
            </w:r>
            <w:r>
              <w:rPr>
                <w:rFonts w:hint="default" w:ascii="Times New Roman" w:hAnsi="Times New Roman" w:cs="Times New Roman"/>
                <w:kern w:val="2"/>
                <w:sz w:val="21"/>
                <w:szCs w:val="21"/>
                <w:lang w:val="en-US" w:eastAsia="zh-CN"/>
              </w:rPr>
              <w:t>口</w:t>
            </w:r>
            <w:r>
              <w:rPr>
                <w:rFonts w:hint="default" w:ascii="Times New Roman" w:hAnsi="Times New Roman" w:eastAsia="宋体" w:cs="Times New Roman"/>
                <w:kern w:val="2"/>
                <w:sz w:val="21"/>
                <w:szCs w:val="21"/>
              </w:rPr>
              <w:sym w:font="Wingdings 2" w:char="0052"/>
            </w:r>
          </w:p>
        </w:tc>
        <w:tc>
          <w:tcPr>
            <w:tcW w:w="1101" w:type="dxa"/>
            <w:tcBorders>
              <w:tl2br w:val="nil"/>
              <w:tr2bl w:val="nil"/>
            </w:tcBorders>
            <w:noWrap w:val="0"/>
            <w:vAlign w:val="center"/>
          </w:tcPr>
          <w:p w14:paraId="1E82170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雨水排放口</w:t>
            </w:r>
            <w:r>
              <w:rPr>
                <w:rFonts w:hint="default" w:ascii="Times New Roman" w:hAnsi="Times New Roman" w:eastAsia="宋体" w:cs="Times New Roman"/>
                <w:kern w:val="2"/>
                <w:sz w:val="21"/>
                <w:szCs w:val="21"/>
              </w:rPr>
              <w:sym w:font="Wingdings 2" w:char="0052"/>
            </w:r>
          </w:p>
        </w:tc>
      </w:tr>
      <w:tr w14:paraId="0E5C58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499" w:type="dxa"/>
            <w:vMerge w:val="continue"/>
            <w:tcBorders>
              <w:tl2br w:val="nil"/>
              <w:tr2bl w:val="nil"/>
            </w:tcBorders>
            <w:noWrap w:val="0"/>
            <w:vAlign w:val="center"/>
          </w:tcPr>
          <w:p w14:paraId="50745A8B">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vMerge w:val="continue"/>
            <w:tcBorders>
              <w:tl2br w:val="nil"/>
              <w:tr2bl w:val="nil"/>
            </w:tcBorders>
            <w:noWrap w:val="0"/>
            <w:vAlign w:val="center"/>
          </w:tcPr>
          <w:p w14:paraId="1FD7365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913" w:type="dxa"/>
            <w:tcBorders>
              <w:tl2br w:val="nil"/>
              <w:tr2bl w:val="nil"/>
            </w:tcBorders>
            <w:noWrap w:val="0"/>
            <w:vAlign w:val="center"/>
          </w:tcPr>
          <w:p w14:paraId="0B1EBAC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监测因子</w:t>
            </w:r>
          </w:p>
        </w:tc>
        <w:tc>
          <w:tcPr>
            <w:tcW w:w="2227" w:type="dxa"/>
            <w:gridSpan w:val="6"/>
            <w:tcBorders>
              <w:tl2br w:val="nil"/>
              <w:tr2bl w:val="nil"/>
            </w:tcBorders>
            <w:noWrap w:val="0"/>
            <w:vAlign w:val="center"/>
          </w:tcPr>
          <w:p w14:paraId="1F0DAE2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cs="Times New Roman"/>
                <w:kern w:val="2"/>
                <w:sz w:val="21"/>
                <w:szCs w:val="21"/>
                <w:lang w:val="en-US" w:eastAsia="zh-CN"/>
              </w:rPr>
              <w:t>/</w:t>
            </w:r>
          </w:p>
        </w:tc>
        <w:tc>
          <w:tcPr>
            <w:tcW w:w="2445" w:type="dxa"/>
            <w:gridSpan w:val="7"/>
            <w:tcBorders>
              <w:tl2br w:val="nil"/>
              <w:tr2bl w:val="nil"/>
            </w:tcBorders>
            <w:noWrap w:val="0"/>
            <w:vAlign w:val="center"/>
          </w:tcPr>
          <w:p w14:paraId="1D8DBA0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COD、NH</w:t>
            </w:r>
            <w:r>
              <w:rPr>
                <w:rFonts w:hint="default" w:ascii="Times New Roman" w:hAnsi="Times New Roman" w:eastAsia="宋体" w:cs="Times New Roman"/>
                <w:kern w:val="2"/>
                <w:sz w:val="21"/>
                <w:szCs w:val="21"/>
                <w:vertAlign w:val="subscript"/>
              </w:rPr>
              <w:t>3</w:t>
            </w:r>
            <w:r>
              <w:rPr>
                <w:rFonts w:hint="default" w:ascii="Times New Roman" w:hAnsi="Times New Roman" w:eastAsia="宋体" w:cs="Times New Roman"/>
                <w:kern w:val="2"/>
                <w:sz w:val="21"/>
                <w:szCs w:val="21"/>
              </w:rPr>
              <w:t>-N、总磷、SS流量等</w:t>
            </w:r>
          </w:p>
        </w:tc>
        <w:tc>
          <w:tcPr>
            <w:tcW w:w="1101" w:type="dxa"/>
            <w:tcBorders>
              <w:tl2br w:val="nil"/>
              <w:tr2bl w:val="nil"/>
            </w:tcBorders>
            <w:noWrap w:val="0"/>
            <w:vAlign w:val="center"/>
          </w:tcPr>
          <w:p w14:paraId="292BDA0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pH、COD、</w:t>
            </w:r>
          </w:p>
          <w:p w14:paraId="7A34086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氨氮</w:t>
            </w:r>
          </w:p>
        </w:tc>
      </w:tr>
      <w:tr w14:paraId="04516B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99" w:type="dxa"/>
            <w:vMerge w:val="continue"/>
            <w:tcBorders>
              <w:tl2br w:val="nil"/>
              <w:tr2bl w:val="nil"/>
            </w:tcBorders>
            <w:noWrap w:val="0"/>
            <w:vAlign w:val="center"/>
          </w:tcPr>
          <w:p w14:paraId="06187F2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p>
        </w:tc>
        <w:tc>
          <w:tcPr>
            <w:tcW w:w="1242" w:type="dxa"/>
            <w:tcBorders>
              <w:tl2br w:val="nil"/>
              <w:tr2bl w:val="nil"/>
            </w:tcBorders>
            <w:noWrap w:val="0"/>
            <w:vAlign w:val="center"/>
          </w:tcPr>
          <w:p w14:paraId="5B887DE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污染物排放</w:t>
            </w:r>
          </w:p>
          <w:p w14:paraId="38239C35">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清单</w:t>
            </w:r>
          </w:p>
        </w:tc>
        <w:tc>
          <w:tcPr>
            <w:tcW w:w="6686" w:type="dxa"/>
            <w:gridSpan w:val="15"/>
            <w:tcBorders>
              <w:tl2br w:val="nil"/>
              <w:tr2bl w:val="nil"/>
            </w:tcBorders>
            <w:noWrap w:val="0"/>
            <w:vAlign w:val="center"/>
          </w:tcPr>
          <w:p w14:paraId="36D066E9">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sym w:font="Wingdings 2" w:char="0052"/>
            </w:r>
          </w:p>
        </w:tc>
      </w:tr>
      <w:tr w14:paraId="6757F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741" w:type="dxa"/>
            <w:gridSpan w:val="2"/>
            <w:tcBorders>
              <w:tl2br w:val="nil"/>
              <w:tr2bl w:val="nil"/>
            </w:tcBorders>
            <w:noWrap w:val="0"/>
            <w:vAlign w:val="center"/>
          </w:tcPr>
          <w:p w14:paraId="24C0B8DA">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评价结论</w:t>
            </w:r>
          </w:p>
        </w:tc>
        <w:tc>
          <w:tcPr>
            <w:tcW w:w="6686" w:type="dxa"/>
            <w:gridSpan w:val="15"/>
            <w:tcBorders>
              <w:tl2br w:val="nil"/>
              <w:tr2bl w:val="nil"/>
            </w:tcBorders>
            <w:noWrap w:val="0"/>
            <w:vAlign w:val="center"/>
          </w:tcPr>
          <w:p w14:paraId="49166F22">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可以接受</w:t>
            </w:r>
            <w:r>
              <w:rPr>
                <w:rFonts w:hint="default" w:ascii="Times New Roman" w:hAnsi="Times New Roman" w:eastAsia="宋体" w:cs="Times New Roman"/>
                <w:kern w:val="2"/>
                <w:sz w:val="21"/>
                <w:szCs w:val="21"/>
              </w:rPr>
              <w:sym w:font="Wingdings 2" w:char="0052"/>
            </w:r>
            <w:r>
              <w:rPr>
                <w:rFonts w:hint="default" w:ascii="Times New Roman" w:hAnsi="Times New Roman" w:eastAsia="宋体" w:cs="Times New Roman"/>
                <w:kern w:val="2"/>
                <w:sz w:val="21"/>
                <w:szCs w:val="21"/>
              </w:rPr>
              <w:t>；不可以接受□</w:t>
            </w:r>
          </w:p>
        </w:tc>
      </w:tr>
      <w:tr w14:paraId="041D3F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8427" w:type="dxa"/>
            <w:gridSpan w:val="17"/>
            <w:tcBorders>
              <w:tl2br w:val="nil"/>
              <w:tr2bl w:val="nil"/>
            </w:tcBorders>
            <w:noWrap w:val="0"/>
            <w:vAlign w:val="center"/>
          </w:tcPr>
          <w:p w14:paraId="1396306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注：“□”为勾选项，可√；“（）”为内容填写项；“备注”为其他补充内容。</w:t>
            </w:r>
          </w:p>
        </w:tc>
      </w:tr>
    </w:tbl>
    <w:p w14:paraId="791BAA9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559" w:name="_Toc198193463"/>
      <w:bookmarkStart w:id="560" w:name="_Toc311812650"/>
      <w:bookmarkStart w:id="561" w:name="_Toc324839623"/>
      <w:bookmarkStart w:id="562" w:name="_Toc227946421"/>
      <w:bookmarkStart w:id="563" w:name="_Toc324839326"/>
      <w:bookmarkStart w:id="564" w:name="_Toc3840"/>
      <w:bookmarkStart w:id="565" w:name="_Toc51319872"/>
      <w:bookmarkStart w:id="566" w:name="_Toc7146"/>
      <w:r>
        <w:rPr>
          <w:rFonts w:hint="eastAsia"/>
          <w:lang w:val="en-US" w:eastAsia="zh-CN"/>
        </w:rPr>
        <w:t>5.4声环境影响</w:t>
      </w:r>
      <w:bookmarkEnd w:id="559"/>
      <w:bookmarkEnd w:id="560"/>
      <w:bookmarkEnd w:id="561"/>
      <w:bookmarkEnd w:id="562"/>
      <w:bookmarkEnd w:id="563"/>
      <w:r>
        <w:rPr>
          <w:rFonts w:hint="eastAsia"/>
          <w:lang w:val="en-US" w:eastAsia="zh-CN"/>
        </w:rPr>
        <w:t>评价</w:t>
      </w:r>
      <w:bookmarkEnd w:id="564"/>
      <w:bookmarkEnd w:id="565"/>
      <w:bookmarkEnd w:id="566"/>
    </w:p>
    <w:p w14:paraId="769962B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67" w:name="_Toc108122567"/>
      <w:r>
        <w:rPr>
          <w:rFonts w:hint="eastAsia" w:ascii="Times New Roman" w:hAnsi="Times New Roman"/>
          <w:lang w:val="en-US" w:eastAsia="zh-CN"/>
        </w:rPr>
        <w:t>5.4.1预测等级及预测范围</w:t>
      </w:r>
      <w:bookmarkEnd w:id="567"/>
    </w:p>
    <w:p w14:paraId="65458158">
      <w:pPr>
        <w:pStyle w:val="72"/>
      </w:pPr>
      <w:r>
        <w:rPr>
          <w:rFonts w:hint="eastAsia"/>
        </w:rPr>
        <w:t>根据《环境影响评价技术导则  声环境》（HJ2.4-2021）相关规定</w:t>
      </w:r>
      <w:r>
        <w:t>，本次声环境评价等级为</w:t>
      </w:r>
      <w:r>
        <w:rPr>
          <w:rFonts w:hint="eastAsia"/>
        </w:rPr>
        <w:t>三</w:t>
      </w:r>
      <w:r>
        <w:t>级。声环境影响预测范围为厂址四周厂界外200m，详见</w:t>
      </w:r>
      <w:r>
        <w:rPr>
          <w:rFonts w:hint="eastAsia"/>
        </w:rPr>
        <w:t>下表</w:t>
      </w:r>
      <w:r>
        <w:t>。</w:t>
      </w:r>
    </w:p>
    <w:p w14:paraId="698B8042">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r>
        <w:rPr>
          <w:color w:val="000000"/>
        </w:rPr>
        <w:t>表</w:t>
      </w:r>
      <w:r>
        <w:rPr>
          <w:rFonts w:hint="eastAsia"/>
          <w:color w:val="000000"/>
          <w:lang w:val="en-US" w:eastAsia="zh-CN"/>
        </w:rPr>
        <w:t>5.4-1</w:t>
      </w:r>
      <w:r>
        <w:rPr>
          <w:rFonts w:hint="eastAsia"/>
          <w:color w:val="000000"/>
        </w:rPr>
        <w:t xml:space="preserve">    </w:t>
      </w:r>
      <w:r>
        <w:rPr>
          <w:color w:val="000000"/>
        </w:rPr>
        <w:t>声环境影响评价等级判别表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02"/>
        <w:gridCol w:w="3730"/>
      </w:tblGrid>
      <w:tr w14:paraId="16DC70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140C8F84">
            <w:pPr>
              <w:pStyle w:val="81"/>
              <w:rPr>
                <w:color w:val="auto"/>
              </w:rPr>
            </w:pPr>
            <w:r>
              <w:rPr>
                <w:color w:val="auto"/>
              </w:rPr>
              <w:t>项目</w:t>
            </w:r>
          </w:p>
        </w:tc>
        <w:tc>
          <w:tcPr>
            <w:tcW w:w="0" w:type="auto"/>
            <w:vAlign w:val="center"/>
          </w:tcPr>
          <w:p w14:paraId="55A18708">
            <w:pPr>
              <w:pStyle w:val="81"/>
              <w:rPr>
                <w:color w:val="auto"/>
              </w:rPr>
            </w:pPr>
            <w:r>
              <w:rPr>
                <w:color w:val="auto"/>
              </w:rPr>
              <w:t>指标</w:t>
            </w:r>
          </w:p>
        </w:tc>
      </w:tr>
      <w:tr w14:paraId="3DC854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482D3038">
            <w:pPr>
              <w:pStyle w:val="75"/>
            </w:pPr>
            <w:r>
              <w:t>项目所处的声环境功能区</w:t>
            </w:r>
          </w:p>
        </w:tc>
        <w:tc>
          <w:tcPr>
            <w:tcW w:w="0" w:type="auto"/>
            <w:vAlign w:val="center"/>
          </w:tcPr>
          <w:p w14:paraId="4161F547">
            <w:pPr>
              <w:pStyle w:val="75"/>
            </w:pPr>
            <w:r>
              <w:rPr>
                <w:rFonts w:hint="eastAsia"/>
              </w:rPr>
              <w:t>《</w:t>
            </w:r>
            <w:r>
              <w:t>GB3096-2008</w:t>
            </w:r>
            <w:r>
              <w:rPr>
                <w:rFonts w:hint="eastAsia"/>
              </w:rPr>
              <w:t>》</w:t>
            </w:r>
            <w:r>
              <w:t>3类</w:t>
            </w:r>
          </w:p>
        </w:tc>
      </w:tr>
      <w:tr w14:paraId="53FDC1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05EE961E">
            <w:pPr>
              <w:pStyle w:val="75"/>
            </w:pPr>
            <w:r>
              <w:rPr>
                <w:rFonts w:hint="eastAsia"/>
              </w:rPr>
              <w:t>建设</w:t>
            </w:r>
            <w:r>
              <w:t>前后敏感目标噪声级增加量</w:t>
            </w:r>
          </w:p>
        </w:tc>
        <w:tc>
          <w:tcPr>
            <w:tcW w:w="0" w:type="auto"/>
            <w:vAlign w:val="center"/>
          </w:tcPr>
          <w:p w14:paraId="223D338A">
            <w:pPr>
              <w:pStyle w:val="75"/>
            </w:pPr>
            <w:r>
              <w:rPr>
                <w:rFonts w:hint="eastAsia"/>
              </w:rPr>
              <w:t>最大增加小于3dB（A）</w:t>
            </w:r>
          </w:p>
        </w:tc>
      </w:tr>
      <w:tr w14:paraId="1BBED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632B8480">
            <w:pPr>
              <w:pStyle w:val="75"/>
            </w:pPr>
            <w:r>
              <w:rPr>
                <w:rFonts w:hint="eastAsia"/>
              </w:rPr>
              <w:t>建设</w:t>
            </w:r>
            <w:r>
              <w:t>前后受影响人口变化情况</w:t>
            </w:r>
          </w:p>
        </w:tc>
        <w:tc>
          <w:tcPr>
            <w:tcW w:w="0" w:type="auto"/>
            <w:vAlign w:val="center"/>
          </w:tcPr>
          <w:p w14:paraId="2C3BCA37">
            <w:pPr>
              <w:pStyle w:val="75"/>
            </w:pPr>
            <w:r>
              <w:t>受噪声影响人口少</w:t>
            </w:r>
          </w:p>
        </w:tc>
      </w:tr>
      <w:tr w14:paraId="3BF543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Align w:val="center"/>
          </w:tcPr>
          <w:p w14:paraId="59A977BB">
            <w:pPr>
              <w:pStyle w:val="75"/>
            </w:pPr>
            <w:r>
              <w:t>评价等级</w:t>
            </w:r>
          </w:p>
        </w:tc>
        <w:tc>
          <w:tcPr>
            <w:tcW w:w="0" w:type="auto"/>
            <w:vAlign w:val="center"/>
          </w:tcPr>
          <w:p w14:paraId="6B369869">
            <w:pPr>
              <w:pStyle w:val="75"/>
            </w:pPr>
            <w:r>
              <w:t>三级</w:t>
            </w:r>
          </w:p>
        </w:tc>
      </w:tr>
    </w:tbl>
    <w:p w14:paraId="4519316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r>
        <w:rPr>
          <w:rFonts w:hint="eastAsia" w:ascii="Times New Roman" w:hAnsi="Times New Roman"/>
          <w:lang w:val="en-US" w:eastAsia="zh-CN"/>
        </w:rPr>
        <w:t>5.4.2预测范围</w:t>
      </w:r>
    </w:p>
    <w:p w14:paraId="7669E01A">
      <w:pPr>
        <w:ind w:left="0" w:leftChars="0" w:firstLine="480" w:firstLineChars="200"/>
        <w:rPr>
          <w:rFonts w:hint="eastAsia"/>
        </w:rPr>
      </w:pPr>
      <w:bookmarkStart w:id="568" w:name="_Toc6174"/>
      <w:r>
        <w:rPr>
          <w:rFonts w:hint="default" w:ascii="Times New Roman" w:hAnsi="Times New Roman" w:eastAsia="宋体" w:cs="Times New Roman"/>
          <w:snapToGrid w:val="0"/>
          <w:kern w:val="21"/>
          <w:sz w:val="24"/>
          <w:szCs w:val="24"/>
          <w:highlight w:val="none"/>
        </w:rPr>
        <w:t>根据现场调查，本项目周边200m范围内无声环境保护目标，本次声环境评价范围为厂址四周厂界（厂界外1m）。</w:t>
      </w:r>
      <w:bookmarkEnd w:id="568"/>
    </w:p>
    <w:p w14:paraId="7ED84ED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5.4.3评价标准</w:t>
      </w:r>
    </w:p>
    <w:p w14:paraId="3A101476">
      <w:pPr>
        <w:rPr>
          <w:rFonts w:hint="default" w:ascii="Times New Roman" w:hAnsi="Times New Roman" w:cs="Times New Roman"/>
          <w:highlight w:val="none"/>
        </w:rPr>
      </w:pPr>
      <w:r>
        <w:rPr>
          <w:rFonts w:hint="default" w:ascii="Times New Roman" w:hAnsi="Times New Roman" w:cs="Times New Roman"/>
          <w:highlight w:val="none"/>
        </w:rPr>
        <w:t>据本次工程厂界声环境执行《声环境质量标准》（GB3096-2008）</w:t>
      </w:r>
      <w:r>
        <w:rPr>
          <w:rFonts w:hint="eastAsia" w:cs="Times New Roman"/>
          <w:highlight w:val="none"/>
          <w:lang w:val="en-US" w:eastAsia="zh-CN"/>
        </w:rPr>
        <w:t>3</w:t>
      </w:r>
      <w:r>
        <w:rPr>
          <w:rFonts w:hint="default" w:ascii="Times New Roman" w:hAnsi="Times New Roman" w:cs="Times New Roman"/>
          <w:highlight w:val="none"/>
        </w:rPr>
        <w:t xml:space="preserve"> 类标准：昼间</w:t>
      </w:r>
      <w:r>
        <w:rPr>
          <w:rFonts w:hint="eastAsia" w:cs="Times New Roman"/>
          <w:highlight w:val="none"/>
          <w:lang w:val="en-US" w:eastAsia="zh-CN"/>
        </w:rPr>
        <w:t>65</w:t>
      </w:r>
      <w:r>
        <w:rPr>
          <w:rFonts w:hint="default" w:ascii="Times New Roman" w:hAnsi="Times New Roman" w:cs="Times New Roman"/>
          <w:highlight w:val="none"/>
        </w:rPr>
        <w:t>dB(A)，夜间5</w:t>
      </w:r>
      <w:r>
        <w:rPr>
          <w:rFonts w:hint="eastAsia" w:cs="Times New Roman"/>
          <w:highlight w:val="none"/>
          <w:lang w:val="en-US" w:eastAsia="zh-CN"/>
        </w:rPr>
        <w:t>5</w:t>
      </w:r>
      <w:r>
        <w:rPr>
          <w:rFonts w:hint="default" w:ascii="Times New Roman" w:hAnsi="Times New Roman" w:cs="Times New Roman"/>
          <w:highlight w:val="none"/>
        </w:rPr>
        <w:t>dB(A)。</w:t>
      </w:r>
    </w:p>
    <w:p w14:paraId="38BE684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69" w:name="_Toc108122568"/>
      <w:r>
        <w:rPr>
          <w:rFonts w:hint="eastAsia" w:ascii="Times New Roman" w:hAnsi="Times New Roman"/>
          <w:lang w:val="en-US" w:eastAsia="zh-CN"/>
        </w:rPr>
        <w:t>5.4.4预测点</w:t>
      </w:r>
    </w:p>
    <w:p w14:paraId="3D808055">
      <w:pPr>
        <w:keepNext w:val="0"/>
        <w:keepLines w:val="0"/>
        <w:pageBreakBefore w:val="0"/>
        <w:widowControl/>
        <w:tabs>
          <w:tab w:val="left" w:pos="960"/>
          <w:tab w:val="left" w:pos="1200"/>
        </w:tabs>
        <w:kinsoku/>
        <w:wordWrap/>
        <w:overflowPunct/>
        <w:topLinePunct/>
        <w:autoSpaceDE w:val="0"/>
        <w:autoSpaceDN/>
        <w:bidi w:val="0"/>
        <w:adjustRightInd w:val="0"/>
        <w:snapToGrid w:val="0"/>
        <w:ind w:left="0" w:leftChars="0" w:firstLine="480" w:firstLineChars="200"/>
        <w:textAlignment w:val="auto"/>
        <w:outlineLvl w:val="9"/>
        <w:rPr>
          <w:rFonts w:hint="default" w:ascii="Times New Roman" w:hAnsi="Times New Roman" w:eastAsia="宋体" w:cs="Times New Roman"/>
          <w:sz w:val="24"/>
          <w:szCs w:val="22"/>
          <w:highlight w:val="none"/>
          <w:lang w:val="en-US" w:eastAsia="zh-CN"/>
        </w:rPr>
      </w:pPr>
      <w:bookmarkStart w:id="570" w:name="_Toc18185"/>
      <w:r>
        <w:rPr>
          <w:rFonts w:hint="default" w:ascii="Times New Roman" w:hAnsi="Times New Roman" w:eastAsia="宋体" w:cs="Times New Roman"/>
          <w:sz w:val="24"/>
          <w:szCs w:val="22"/>
          <w:highlight w:val="none"/>
          <w:lang w:val="en-US" w:eastAsia="zh-CN"/>
        </w:rPr>
        <w:t>根据工程特点及区域环境特征，本次评价声环境影响预测点位为四周厂界，即四个预测点。</w:t>
      </w:r>
      <w:bookmarkEnd w:id="570"/>
    </w:p>
    <w:p w14:paraId="264CBF9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r>
        <w:rPr>
          <w:rFonts w:hint="eastAsia" w:ascii="Times New Roman" w:hAnsi="Times New Roman"/>
          <w:lang w:val="en-US" w:eastAsia="zh-CN"/>
        </w:rPr>
        <w:t>5.4.5预测参数</w:t>
      </w:r>
    </w:p>
    <w:bookmarkEnd w:id="569"/>
    <w:p w14:paraId="14AF68BB">
      <w:pPr>
        <w:pStyle w:val="72"/>
      </w:pPr>
      <w:r>
        <w:t>工程</w:t>
      </w:r>
      <w:r>
        <w:rPr>
          <w:rFonts w:hint="eastAsia"/>
        </w:rPr>
        <w:t>主要</w:t>
      </w:r>
      <w:r>
        <w:t>噪声源分布及源强情况见</w:t>
      </w:r>
      <w:r>
        <w:rPr>
          <w:rFonts w:hint="eastAsia"/>
        </w:rPr>
        <w:t>表</w:t>
      </w:r>
      <w:r>
        <w:rPr>
          <w:rFonts w:hint="eastAsia"/>
          <w:lang w:val="en-US" w:eastAsia="zh-CN"/>
        </w:rPr>
        <w:t>5.4-2</w:t>
      </w:r>
      <w:r>
        <w:rPr>
          <w:rFonts w:hint="eastAsia"/>
        </w:rPr>
        <w:t>和表</w:t>
      </w:r>
      <w:r>
        <w:rPr>
          <w:rFonts w:hint="eastAsia"/>
          <w:lang w:val="en-US" w:eastAsia="zh-CN"/>
        </w:rPr>
        <w:t>5.4-3</w:t>
      </w:r>
      <w:r>
        <w:rPr>
          <w:rFonts w:hint="eastAsia"/>
        </w:rPr>
        <w:t>。</w:t>
      </w:r>
    </w:p>
    <w:p w14:paraId="29B9C8B7">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rFonts w:hint="eastAsia"/>
          <w:color w:val="000000"/>
        </w:rPr>
      </w:pPr>
      <w:r>
        <w:rPr>
          <w:color w:val="000000"/>
        </w:rPr>
        <w:t>表</w:t>
      </w:r>
      <w:r>
        <w:rPr>
          <w:rFonts w:hint="eastAsia"/>
          <w:color w:val="000000"/>
          <w:lang w:val="en-US" w:eastAsia="zh-CN"/>
        </w:rPr>
        <w:t>5.4-2</w:t>
      </w:r>
      <w:r>
        <w:rPr>
          <w:color w:val="000000"/>
        </w:rPr>
        <w:t xml:space="preserve">  </w:t>
      </w:r>
      <w:r>
        <w:rPr>
          <w:rFonts w:hint="eastAsia"/>
          <w:color w:val="000000"/>
        </w:rPr>
        <w:t xml:space="preserve">   工业企业</w:t>
      </w:r>
      <w:r>
        <w:rPr>
          <w:color w:val="000000"/>
        </w:rPr>
        <w:t>噪声源强调查清单</w:t>
      </w:r>
      <w:r>
        <w:rPr>
          <w:rFonts w:hint="eastAsia"/>
          <w:color w:val="000000"/>
        </w:rPr>
        <w:t>（室外声源）</w:t>
      </w:r>
    </w:p>
    <w:tbl>
      <w:tblPr>
        <w:tblStyle w:val="39"/>
        <w:tblW w:w="516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7"/>
        <w:gridCol w:w="1149"/>
        <w:gridCol w:w="525"/>
        <w:gridCol w:w="1680"/>
        <w:gridCol w:w="645"/>
        <w:gridCol w:w="1020"/>
        <w:gridCol w:w="975"/>
        <w:gridCol w:w="575"/>
        <w:gridCol w:w="575"/>
        <w:gridCol w:w="575"/>
        <w:gridCol w:w="700"/>
      </w:tblGrid>
      <w:tr w14:paraId="0BDFEA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dxa"/>
            <w:vMerge w:val="restart"/>
            <w:shd w:val="clear" w:color="auto" w:fill="auto"/>
            <w:vAlign w:val="center"/>
          </w:tcPr>
          <w:p w14:paraId="4703520B">
            <w:pPr>
              <w:pStyle w:val="13"/>
              <w:spacing w:line="240" w:lineRule="auto"/>
              <w:ind w:firstLine="0" w:firstLineChars="0"/>
              <w:jc w:val="center"/>
              <w:rPr>
                <w:szCs w:val="21"/>
              </w:rPr>
            </w:pPr>
            <w:r>
              <w:rPr>
                <w:rFonts w:hint="eastAsia"/>
                <w:szCs w:val="21"/>
              </w:rPr>
              <w:t>序号</w:t>
            </w:r>
          </w:p>
        </w:tc>
        <w:tc>
          <w:tcPr>
            <w:tcW w:w="1149" w:type="dxa"/>
            <w:vMerge w:val="restart"/>
            <w:shd w:val="clear" w:color="auto" w:fill="auto"/>
            <w:vAlign w:val="center"/>
          </w:tcPr>
          <w:p w14:paraId="7CAE194C">
            <w:pPr>
              <w:pStyle w:val="13"/>
              <w:spacing w:line="240" w:lineRule="auto"/>
              <w:ind w:firstLine="0" w:firstLineChars="0"/>
              <w:jc w:val="center"/>
              <w:rPr>
                <w:szCs w:val="21"/>
              </w:rPr>
            </w:pPr>
            <w:r>
              <w:rPr>
                <w:szCs w:val="21"/>
              </w:rPr>
              <w:t>声源名称</w:t>
            </w:r>
          </w:p>
        </w:tc>
        <w:tc>
          <w:tcPr>
            <w:tcW w:w="525" w:type="dxa"/>
            <w:vMerge w:val="restart"/>
            <w:shd w:val="clear" w:color="auto" w:fill="auto"/>
            <w:vAlign w:val="center"/>
          </w:tcPr>
          <w:p w14:paraId="7C766A44">
            <w:pPr>
              <w:pStyle w:val="13"/>
              <w:spacing w:line="240" w:lineRule="auto"/>
              <w:ind w:firstLine="0" w:firstLineChars="0"/>
              <w:jc w:val="center"/>
              <w:rPr>
                <w:szCs w:val="21"/>
              </w:rPr>
            </w:pPr>
            <w:r>
              <w:rPr>
                <w:szCs w:val="21"/>
              </w:rPr>
              <w:t>型号</w:t>
            </w:r>
          </w:p>
        </w:tc>
        <w:tc>
          <w:tcPr>
            <w:tcW w:w="1680" w:type="dxa"/>
            <w:vMerge w:val="restart"/>
            <w:shd w:val="clear" w:color="auto" w:fill="auto"/>
            <w:vAlign w:val="center"/>
          </w:tcPr>
          <w:p w14:paraId="3FED4B49">
            <w:pPr>
              <w:pStyle w:val="81"/>
              <w:adjustRightInd w:val="0"/>
              <w:snapToGrid w:val="0"/>
              <w:rPr>
                <w:rFonts w:cs="Times New Roman"/>
                <w:color w:val="auto"/>
                <w:szCs w:val="21"/>
              </w:rPr>
            </w:pPr>
            <w:r>
              <w:rPr>
                <w:rFonts w:cs="Times New Roman"/>
                <w:color w:val="auto"/>
                <w:szCs w:val="21"/>
              </w:rPr>
              <w:t>(声压级/距声源距)/([dB(A)]/m)</w:t>
            </w:r>
          </w:p>
        </w:tc>
        <w:tc>
          <w:tcPr>
            <w:tcW w:w="645" w:type="dxa"/>
            <w:vMerge w:val="restart"/>
            <w:shd w:val="clear" w:color="auto" w:fill="auto"/>
            <w:vAlign w:val="center"/>
          </w:tcPr>
          <w:p w14:paraId="009425F7">
            <w:pPr>
              <w:pStyle w:val="81"/>
              <w:adjustRightInd w:val="0"/>
              <w:snapToGrid w:val="0"/>
              <w:rPr>
                <w:rFonts w:cs="Times New Roman"/>
                <w:color w:val="auto"/>
                <w:szCs w:val="21"/>
              </w:rPr>
            </w:pPr>
            <w:r>
              <w:rPr>
                <w:rFonts w:cs="Times New Roman"/>
                <w:color w:val="auto"/>
                <w:szCs w:val="21"/>
              </w:rPr>
              <w:t>数量(台)</w:t>
            </w:r>
          </w:p>
        </w:tc>
        <w:tc>
          <w:tcPr>
            <w:tcW w:w="1020" w:type="dxa"/>
            <w:vMerge w:val="restart"/>
            <w:shd w:val="clear" w:color="auto" w:fill="auto"/>
            <w:vAlign w:val="center"/>
          </w:tcPr>
          <w:p w14:paraId="7D87C41B">
            <w:pPr>
              <w:pStyle w:val="81"/>
              <w:adjustRightInd w:val="0"/>
              <w:snapToGrid w:val="0"/>
              <w:rPr>
                <w:rFonts w:cs="Times New Roman"/>
                <w:color w:val="auto"/>
                <w:szCs w:val="21"/>
              </w:rPr>
            </w:pPr>
            <w:r>
              <w:rPr>
                <w:rFonts w:cs="Times New Roman"/>
                <w:color w:val="auto"/>
                <w:szCs w:val="21"/>
              </w:rPr>
              <w:t>声源控制措施</w:t>
            </w:r>
          </w:p>
        </w:tc>
        <w:tc>
          <w:tcPr>
            <w:tcW w:w="975" w:type="dxa"/>
            <w:vMerge w:val="restart"/>
            <w:shd w:val="clear" w:color="auto" w:fill="auto"/>
            <w:vAlign w:val="center"/>
          </w:tcPr>
          <w:p w14:paraId="537FC86D">
            <w:pPr>
              <w:pStyle w:val="81"/>
              <w:adjustRightInd w:val="0"/>
              <w:snapToGrid w:val="0"/>
              <w:rPr>
                <w:rFonts w:cs="Times New Roman"/>
                <w:color w:val="auto"/>
                <w:szCs w:val="21"/>
              </w:rPr>
            </w:pPr>
            <w:r>
              <w:rPr>
                <w:rFonts w:cs="Times New Roman"/>
                <w:color w:val="auto"/>
                <w:szCs w:val="21"/>
              </w:rPr>
              <w:t>治理后声压级[dB(A)]</w:t>
            </w:r>
          </w:p>
        </w:tc>
        <w:tc>
          <w:tcPr>
            <w:tcW w:w="1725" w:type="dxa"/>
            <w:gridSpan w:val="3"/>
            <w:shd w:val="clear" w:color="auto" w:fill="auto"/>
            <w:vAlign w:val="center"/>
          </w:tcPr>
          <w:p w14:paraId="53B2A364">
            <w:pPr>
              <w:pStyle w:val="81"/>
              <w:adjustRightInd w:val="0"/>
              <w:snapToGrid w:val="0"/>
              <w:rPr>
                <w:rFonts w:cs="Times New Roman"/>
                <w:color w:val="auto"/>
                <w:szCs w:val="21"/>
              </w:rPr>
            </w:pPr>
            <w:r>
              <w:rPr>
                <w:rFonts w:cs="Times New Roman"/>
                <w:color w:val="auto"/>
                <w:szCs w:val="21"/>
              </w:rPr>
              <w:t>空间相对位置/m</w:t>
            </w:r>
          </w:p>
        </w:tc>
        <w:tc>
          <w:tcPr>
            <w:tcW w:w="700" w:type="dxa"/>
            <w:vMerge w:val="restart"/>
            <w:shd w:val="clear" w:color="auto" w:fill="auto"/>
            <w:vAlign w:val="center"/>
          </w:tcPr>
          <w:p w14:paraId="5313441F">
            <w:pPr>
              <w:pStyle w:val="81"/>
              <w:adjustRightInd w:val="0"/>
              <w:snapToGrid w:val="0"/>
              <w:rPr>
                <w:color w:val="auto"/>
                <w:szCs w:val="21"/>
              </w:rPr>
            </w:pPr>
            <w:r>
              <w:rPr>
                <w:rFonts w:cs="Times New Roman"/>
                <w:color w:val="auto"/>
                <w:szCs w:val="21"/>
              </w:rPr>
              <w:t>运行时段</w:t>
            </w:r>
          </w:p>
        </w:tc>
      </w:tr>
      <w:tr w14:paraId="683921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dxa"/>
            <w:vMerge w:val="continue"/>
            <w:shd w:val="clear" w:color="auto" w:fill="auto"/>
            <w:vAlign w:val="center"/>
          </w:tcPr>
          <w:p w14:paraId="3EBCAEC3">
            <w:pPr>
              <w:pStyle w:val="13"/>
              <w:spacing w:line="240" w:lineRule="auto"/>
              <w:ind w:firstLine="0" w:firstLineChars="0"/>
              <w:jc w:val="center"/>
              <w:rPr>
                <w:b w:val="0"/>
                <w:szCs w:val="21"/>
              </w:rPr>
            </w:pPr>
          </w:p>
        </w:tc>
        <w:tc>
          <w:tcPr>
            <w:tcW w:w="1149" w:type="dxa"/>
            <w:vMerge w:val="continue"/>
            <w:shd w:val="clear" w:color="auto" w:fill="auto"/>
            <w:vAlign w:val="center"/>
          </w:tcPr>
          <w:p w14:paraId="1B167517">
            <w:pPr>
              <w:pStyle w:val="13"/>
              <w:spacing w:line="240" w:lineRule="auto"/>
              <w:ind w:firstLine="0" w:firstLineChars="0"/>
              <w:jc w:val="center"/>
              <w:rPr>
                <w:b w:val="0"/>
                <w:szCs w:val="21"/>
              </w:rPr>
            </w:pPr>
          </w:p>
        </w:tc>
        <w:tc>
          <w:tcPr>
            <w:tcW w:w="525" w:type="dxa"/>
            <w:vMerge w:val="continue"/>
            <w:shd w:val="clear" w:color="auto" w:fill="auto"/>
            <w:vAlign w:val="center"/>
          </w:tcPr>
          <w:p w14:paraId="04A07765">
            <w:pPr>
              <w:pStyle w:val="13"/>
              <w:spacing w:line="240" w:lineRule="auto"/>
              <w:ind w:firstLine="0" w:firstLineChars="0"/>
              <w:jc w:val="center"/>
              <w:rPr>
                <w:b w:val="0"/>
                <w:szCs w:val="21"/>
              </w:rPr>
            </w:pPr>
          </w:p>
        </w:tc>
        <w:tc>
          <w:tcPr>
            <w:tcW w:w="1680" w:type="dxa"/>
            <w:vMerge w:val="continue"/>
            <w:shd w:val="clear" w:color="auto" w:fill="auto"/>
            <w:vAlign w:val="center"/>
          </w:tcPr>
          <w:p w14:paraId="0CB0EF21">
            <w:pPr>
              <w:pStyle w:val="81"/>
              <w:adjustRightInd w:val="0"/>
              <w:snapToGrid w:val="0"/>
              <w:rPr>
                <w:rFonts w:cs="Times New Roman"/>
                <w:b w:val="0"/>
                <w:color w:val="auto"/>
                <w:szCs w:val="21"/>
              </w:rPr>
            </w:pPr>
          </w:p>
        </w:tc>
        <w:tc>
          <w:tcPr>
            <w:tcW w:w="645" w:type="dxa"/>
            <w:vMerge w:val="continue"/>
            <w:shd w:val="clear" w:color="auto" w:fill="auto"/>
            <w:vAlign w:val="center"/>
          </w:tcPr>
          <w:p w14:paraId="0D07DCA4">
            <w:pPr>
              <w:pStyle w:val="81"/>
              <w:adjustRightInd w:val="0"/>
              <w:snapToGrid w:val="0"/>
              <w:rPr>
                <w:rFonts w:cs="Times New Roman"/>
                <w:b w:val="0"/>
                <w:color w:val="auto"/>
                <w:szCs w:val="21"/>
              </w:rPr>
            </w:pPr>
          </w:p>
        </w:tc>
        <w:tc>
          <w:tcPr>
            <w:tcW w:w="1020" w:type="dxa"/>
            <w:vMerge w:val="continue"/>
            <w:shd w:val="clear" w:color="auto" w:fill="auto"/>
            <w:vAlign w:val="center"/>
          </w:tcPr>
          <w:p w14:paraId="6E69DB46">
            <w:pPr>
              <w:pStyle w:val="81"/>
              <w:adjustRightInd w:val="0"/>
              <w:snapToGrid w:val="0"/>
              <w:rPr>
                <w:rFonts w:cs="Times New Roman"/>
                <w:b w:val="0"/>
                <w:color w:val="auto"/>
                <w:szCs w:val="21"/>
              </w:rPr>
            </w:pPr>
          </w:p>
        </w:tc>
        <w:tc>
          <w:tcPr>
            <w:tcW w:w="975" w:type="dxa"/>
            <w:vMerge w:val="continue"/>
            <w:shd w:val="clear" w:color="auto" w:fill="auto"/>
            <w:vAlign w:val="center"/>
          </w:tcPr>
          <w:p w14:paraId="50009E6F">
            <w:pPr>
              <w:pStyle w:val="81"/>
              <w:adjustRightInd w:val="0"/>
              <w:snapToGrid w:val="0"/>
              <w:rPr>
                <w:rFonts w:cs="Times New Roman"/>
                <w:b w:val="0"/>
                <w:color w:val="auto"/>
                <w:szCs w:val="21"/>
              </w:rPr>
            </w:pPr>
          </w:p>
        </w:tc>
        <w:tc>
          <w:tcPr>
            <w:tcW w:w="575" w:type="dxa"/>
            <w:shd w:val="clear" w:color="auto" w:fill="auto"/>
            <w:vAlign w:val="center"/>
          </w:tcPr>
          <w:p w14:paraId="0C027001">
            <w:pPr>
              <w:pStyle w:val="81"/>
              <w:adjustRightInd w:val="0"/>
              <w:snapToGrid w:val="0"/>
              <w:rPr>
                <w:rFonts w:cs="Times New Roman"/>
                <w:color w:val="auto"/>
                <w:szCs w:val="21"/>
              </w:rPr>
            </w:pPr>
            <w:r>
              <w:rPr>
                <w:rFonts w:cs="Times New Roman"/>
                <w:color w:val="auto"/>
                <w:szCs w:val="21"/>
              </w:rPr>
              <w:t>X</w:t>
            </w:r>
          </w:p>
        </w:tc>
        <w:tc>
          <w:tcPr>
            <w:tcW w:w="575" w:type="dxa"/>
            <w:shd w:val="clear" w:color="auto" w:fill="auto"/>
            <w:vAlign w:val="center"/>
          </w:tcPr>
          <w:p w14:paraId="01189F1C">
            <w:pPr>
              <w:pStyle w:val="81"/>
              <w:adjustRightInd w:val="0"/>
              <w:snapToGrid w:val="0"/>
              <w:rPr>
                <w:rFonts w:cs="Times New Roman"/>
                <w:color w:val="auto"/>
                <w:szCs w:val="21"/>
              </w:rPr>
            </w:pPr>
            <w:r>
              <w:rPr>
                <w:rFonts w:cs="Times New Roman"/>
                <w:color w:val="auto"/>
                <w:szCs w:val="21"/>
              </w:rPr>
              <w:t>Y</w:t>
            </w:r>
          </w:p>
        </w:tc>
        <w:tc>
          <w:tcPr>
            <w:tcW w:w="575" w:type="dxa"/>
            <w:shd w:val="clear" w:color="auto" w:fill="auto"/>
            <w:vAlign w:val="center"/>
          </w:tcPr>
          <w:p w14:paraId="3885414E">
            <w:pPr>
              <w:pStyle w:val="81"/>
              <w:adjustRightInd w:val="0"/>
              <w:snapToGrid w:val="0"/>
              <w:rPr>
                <w:rFonts w:cs="Times New Roman"/>
                <w:color w:val="auto"/>
                <w:szCs w:val="21"/>
              </w:rPr>
            </w:pPr>
            <w:r>
              <w:rPr>
                <w:rFonts w:cs="Times New Roman"/>
                <w:color w:val="auto"/>
                <w:szCs w:val="21"/>
              </w:rPr>
              <w:t>Z</w:t>
            </w:r>
          </w:p>
        </w:tc>
        <w:tc>
          <w:tcPr>
            <w:tcW w:w="700" w:type="dxa"/>
            <w:vMerge w:val="continue"/>
            <w:shd w:val="clear" w:color="auto" w:fill="auto"/>
            <w:vAlign w:val="center"/>
          </w:tcPr>
          <w:p w14:paraId="2D87C64E">
            <w:pPr>
              <w:pStyle w:val="81"/>
              <w:adjustRightInd w:val="0"/>
              <w:snapToGrid w:val="0"/>
              <w:rPr>
                <w:rFonts w:cs="Times New Roman"/>
                <w:b w:val="0"/>
                <w:color w:val="auto"/>
                <w:szCs w:val="21"/>
              </w:rPr>
            </w:pPr>
          </w:p>
        </w:tc>
      </w:tr>
      <w:tr w14:paraId="50D55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dxa"/>
            <w:shd w:val="clear" w:color="auto" w:fill="auto"/>
            <w:vAlign w:val="center"/>
          </w:tcPr>
          <w:p w14:paraId="0304F25E">
            <w:pPr>
              <w:pStyle w:val="13"/>
              <w:spacing w:line="240" w:lineRule="auto"/>
              <w:ind w:firstLine="0" w:firstLineChars="0"/>
              <w:jc w:val="center"/>
              <w:rPr>
                <w:b w:val="0"/>
                <w:szCs w:val="21"/>
              </w:rPr>
            </w:pPr>
            <w:r>
              <w:rPr>
                <w:b w:val="0"/>
                <w:szCs w:val="21"/>
              </w:rPr>
              <w:t>1</w:t>
            </w:r>
          </w:p>
        </w:tc>
        <w:tc>
          <w:tcPr>
            <w:tcW w:w="1149" w:type="dxa"/>
            <w:shd w:val="clear" w:color="auto" w:fill="auto"/>
            <w:vAlign w:val="center"/>
          </w:tcPr>
          <w:p w14:paraId="2D0A9F98">
            <w:pPr>
              <w:pStyle w:val="75"/>
              <w:adjustRightInd w:val="0"/>
              <w:snapToGrid w:val="0"/>
              <w:contextualSpacing w:val="0"/>
            </w:pPr>
            <w:r>
              <w:rPr>
                <w:rFonts w:hint="eastAsia"/>
              </w:rPr>
              <w:t>环保</w:t>
            </w:r>
            <w:r>
              <w:t>风机</w:t>
            </w:r>
          </w:p>
        </w:tc>
        <w:tc>
          <w:tcPr>
            <w:tcW w:w="525" w:type="dxa"/>
            <w:shd w:val="clear" w:color="auto" w:fill="auto"/>
            <w:vAlign w:val="center"/>
          </w:tcPr>
          <w:p w14:paraId="682CA010">
            <w:pPr>
              <w:pStyle w:val="75"/>
              <w:adjustRightInd w:val="0"/>
              <w:snapToGrid w:val="0"/>
              <w:contextualSpacing w:val="0"/>
            </w:pPr>
            <w:r>
              <w:t>/</w:t>
            </w:r>
          </w:p>
        </w:tc>
        <w:tc>
          <w:tcPr>
            <w:tcW w:w="1680" w:type="dxa"/>
            <w:shd w:val="clear" w:color="auto" w:fill="auto"/>
            <w:vAlign w:val="center"/>
          </w:tcPr>
          <w:p w14:paraId="1020C99D">
            <w:pPr>
              <w:pStyle w:val="75"/>
              <w:adjustRightInd w:val="0"/>
              <w:snapToGrid w:val="0"/>
              <w:contextualSpacing w:val="0"/>
            </w:pPr>
            <w:r>
              <w:rPr>
                <w:rFonts w:hint="eastAsia"/>
                <w:lang w:val="en-US" w:eastAsia="zh-CN"/>
              </w:rPr>
              <w:t>75/</w:t>
            </w:r>
            <w:r>
              <w:t>1</w:t>
            </w:r>
          </w:p>
        </w:tc>
        <w:tc>
          <w:tcPr>
            <w:tcW w:w="645" w:type="dxa"/>
            <w:shd w:val="clear" w:color="auto" w:fill="auto"/>
            <w:vAlign w:val="center"/>
          </w:tcPr>
          <w:p w14:paraId="34014745">
            <w:pPr>
              <w:pStyle w:val="75"/>
              <w:adjustRightInd w:val="0"/>
              <w:snapToGrid w:val="0"/>
              <w:contextualSpacing w:val="0"/>
              <w:rPr>
                <w:rFonts w:hint="eastAsia" w:eastAsia="宋体"/>
                <w:lang w:eastAsia="zh-CN"/>
              </w:rPr>
            </w:pPr>
            <w:r>
              <w:rPr>
                <w:rFonts w:hint="eastAsia"/>
                <w:lang w:val="en-US" w:eastAsia="zh-CN"/>
              </w:rPr>
              <w:t>1</w:t>
            </w:r>
          </w:p>
        </w:tc>
        <w:tc>
          <w:tcPr>
            <w:tcW w:w="1020" w:type="dxa"/>
            <w:vMerge w:val="restart"/>
            <w:shd w:val="clear" w:color="auto" w:fill="auto"/>
            <w:vAlign w:val="center"/>
          </w:tcPr>
          <w:p w14:paraId="2CCC8E77">
            <w:pPr>
              <w:spacing w:line="240" w:lineRule="auto"/>
              <w:ind w:firstLine="0" w:firstLineChars="0"/>
              <w:jc w:val="center"/>
              <w:rPr>
                <w:sz w:val="21"/>
                <w:szCs w:val="21"/>
              </w:rPr>
            </w:pPr>
            <w:r>
              <w:rPr>
                <w:sz w:val="21"/>
                <w:szCs w:val="21"/>
              </w:rPr>
              <w:t>进风口消音器</w:t>
            </w:r>
            <w:r>
              <w:rPr>
                <w:rFonts w:hint="eastAsia"/>
                <w:sz w:val="21"/>
                <w:szCs w:val="21"/>
              </w:rPr>
              <w:t>、管道外壳阻尼</w:t>
            </w:r>
          </w:p>
        </w:tc>
        <w:tc>
          <w:tcPr>
            <w:tcW w:w="975" w:type="dxa"/>
            <w:vMerge w:val="restart"/>
            <w:shd w:val="clear" w:color="auto" w:fill="auto"/>
            <w:vAlign w:val="center"/>
          </w:tcPr>
          <w:p w14:paraId="637F7B14">
            <w:pPr>
              <w:spacing w:line="240" w:lineRule="auto"/>
              <w:ind w:firstLine="0" w:firstLineChars="0"/>
              <w:jc w:val="center"/>
              <w:rPr>
                <w:rFonts w:hint="default" w:ascii="Times New Roman" w:hAnsi="Times New Roman" w:eastAsia="宋体" w:cs="Times New Roman"/>
                <w:sz w:val="21"/>
                <w:szCs w:val="21"/>
                <w:lang w:val="en-US" w:eastAsia="zh-CN" w:bidi="ar-SA"/>
              </w:rPr>
            </w:pPr>
            <w:r>
              <w:rPr>
                <w:rFonts w:hint="eastAsia" w:cs="Times New Roman"/>
                <w:sz w:val="21"/>
                <w:szCs w:val="21"/>
                <w:lang w:val="en-US" w:eastAsia="zh-CN" w:bidi="ar-SA"/>
              </w:rPr>
              <w:t>49.7</w:t>
            </w:r>
          </w:p>
        </w:tc>
        <w:tc>
          <w:tcPr>
            <w:tcW w:w="575" w:type="dxa"/>
            <w:shd w:val="clear" w:color="auto" w:fill="auto"/>
            <w:vAlign w:val="center"/>
          </w:tcPr>
          <w:p w14:paraId="7F67943C">
            <w:pPr>
              <w:spacing w:line="240" w:lineRule="auto"/>
              <w:ind w:firstLine="0" w:firstLineChars="0"/>
              <w:jc w:val="center"/>
              <w:rPr>
                <w:rFonts w:hint="default"/>
                <w:sz w:val="21"/>
                <w:szCs w:val="21"/>
                <w:lang w:val="en-US" w:eastAsia="zh-CN"/>
              </w:rPr>
            </w:pPr>
            <w:r>
              <w:rPr>
                <w:rFonts w:hint="eastAsia"/>
                <w:sz w:val="21"/>
                <w:szCs w:val="21"/>
                <w:lang w:val="en-US" w:eastAsia="zh-CN"/>
              </w:rPr>
              <w:t>67</w:t>
            </w:r>
          </w:p>
        </w:tc>
        <w:tc>
          <w:tcPr>
            <w:tcW w:w="575" w:type="dxa"/>
            <w:shd w:val="clear" w:color="auto" w:fill="auto"/>
            <w:vAlign w:val="center"/>
          </w:tcPr>
          <w:p w14:paraId="5C68FC4C">
            <w:pPr>
              <w:spacing w:line="240" w:lineRule="auto"/>
              <w:ind w:firstLine="0" w:firstLineChars="0"/>
              <w:jc w:val="center"/>
              <w:rPr>
                <w:rFonts w:hint="default"/>
                <w:sz w:val="21"/>
                <w:szCs w:val="21"/>
                <w:lang w:val="en-US" w:eastAsia="zh-CN"/>
              </w:rPr>
            </w:pPr>
            <w:r>
              <w:rPr>
                <w:rFonts w:hint="eastAsia"/>
                <w:sz w:val="21"/>
                <w:szCs w:val="21"/>
                <w:lang w:val="en-US" w:eastAsia="zh-CN"/>
              </w:rPr>
              <w:t>81</w:t>
            </w:r>
          </w:p>
        </w:tc>
        <w:tc>
          <w:tcPr>
            <w:tcW w:w="575" w:type="dxa"/>
            <w:shd w:val="clear" w:color="auto" w:fill="auto"/>
            <w:vAlign w:val="center"/>
          </w:tcPr>
          <w:p w14:paraId="00EFBBA4">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0.5</w:t>
            </w:r>
          </w:p>
        </w:tc>
        <w:tc>
          <w:tcPr>
            <w:tcW w:w="700" w:type="dxa"/>
            <w:vMerge w:val="restart"/>
            <w:shd w:val="clear" w:color="auto" w:fill="auto"/>
            <w:vAlign w:val="center"/>
          </w:tcPr>
          <w:p w14:paraId="5E57EAF1">
            <w:pPr>
              <w:pStyle w:val="13"/>
              <w:spacing w:line="240" w:lineRule="auto"/>
              <w:ind w:firstLine="0" w:firstLineChars="0"/>
              <w:jc w:val="center"/>
              <w:rPr>
                <w:b w:val="0"/>
                <w:szCs w:val="21"/>
              </w:rPr>
            </w:pPr>
            <w:r>
              <w:rPr>
                <w:b w:val="0"/>
                <w:szCs w:val="21"/>
              </w:rPr>
              <w:t>持续运行</w:t>
            </w:r>
          </w:p>
        </w:tc>
      </w:tr>
      <w:tr w14:paraId="610083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dxa"/>
            <w:shd w:val="clear" w:color="auto" w:fill="auto"/>
            <w:vAlign w:val="center"/>
          </w:tcPr>
          <w:p w14:paraId="717B3E27">
            <w:pPr>
              <w:pStyle w:val="13"/>
              <w:spacing w:line="240" w:lineRule="auto"/>
              <w:ind w:firstLine="0" w:firstLineChars="0"/>
              <w:jc w:val="center"/>
              <w:rPr>
                <w:rFonts w:hint="eastAsia" w:eastAsia="宋体"/>
                <w:b w:val="0"/>
                <w:szCs w:val="21"/>
                <w:lang w:val="en-US" w:eastAsia="zh-CN"/>
              </w:rPr>
            </w:pPr>
            <w:r>
              <w:rPr>
                <w:rFonts w:hint="eastAsia"/>
                <w:b w:val="0"/>
                <w:szCs w:val="21"/>
                <w:lang w:val="en-US" w:eastAsia="zh-CN"/>
              </w:rPr>
              <w:t>2</w:t>
            </w:r>
          </w:p>
        </w:tc>
        <w:tc>
          <w:tcPr>
            <w:tcW w:w="1149" w:type="dxa"/>
            <w:shd w:val="clear" w:color="auto" w:fill="auto"/>
            <w:vAlign w:val="center"/>
          </w:tcPr>
          <w:p w14:paraId="4348533B">
            <w:pPr>
              <w:pStyle w:val="75"/>
              <w:adjustRightInd w:val="0"/>
              <w:snapToGrid w:val="0"/>
              <w:contextualSpacing w:val="0"/>
              <w:rPr>
                <w:rFonts w:hint="eastAsia" w:eastAsia="宋体"/>
                <w:lang w:val="en-US" w:eastAsia="zh-CN"/>
              </w:rPr>
            </w:pPr>
            <w:r>
              <w:rPr>
                <w:rFonts w:hint="eastAsia"/>
                <w:lang w:val="en-US" w:eastAsia="zh-CN"/>
              </w:rPr>
              <w:t>环保风机</w:t>
            </w:r>
          </w:p>
        </w:tc>
        <w:tc>
          <w:tcPr>
            <w:tcW w:w="525" w:type="dxa"/>
            <w:shd w:val="clear" w:color="auto" w:fill="auto"/>
            <w:vAlign w:val="center"/>
          </w:tcPr>
          <w:p w14:paraId="66F9F2EE">
            <w:pPr>
              <w:pStyle w:val="75"/>
              <w:adjustRightInd w:val="0"/>
              <w:snapToGrid w:val="0"/>
              <w:contextualSpacing w:val="0"/>
              <w:rPr>
                <w:rFonts w:hint="eastAsia" w:eastAsia="宋体"/>
                <w:lang w:val="en-US" w:eastAsia="zh-CN"/>
              </w:rPr>
            </w:pPr>
            <w:r>
              <w:rPr>
                <w:rFonts w:hint="eastAsia"/>
                <w:lang w:val="en-US" w:eastAsia="zh-CN"/>
              </w:rPr>
              <w:t>/</w:t>
            </w:r>
          </w:p>
        </w:tc>
        <w:tc>
          <w:tcPr>
            <w:tcW w:w="1680" w:type="dxa"/>
            <w:shd w:val="clear" w:color="auto" w:fill="auto"/>
            <w:vAlign w:val="center"/>
          </w:tcPr>
          <w:p w14:paraId="1E35E36E">
            <w:pPr>
              <w:pStyle w:val="75"/>
              <w:adjustRightInd w:val="0"/>
              <w:snapToGrid w:val="0"/>
              <w:contextualSpacing w:val="0"/>
              <w:rPr>
                <w:rFonts w:hint="eastAsia"/>
                <w:lang w:val="en-US" w:eastAsia="zh-CN"/>
              </w:rPr>
            </w:pPr>
            <w:r>
              <w:rPr>
                <w:rFonts w:hint="eastAsia"/>
                <w:lang w:val="en-US" w:eastAsia="zh-CN"/>
              </w:rPr>
              <w:t>75/1</w:t>
            </w:r>
          </w:p>
        </w:tc>
        <w:tc>
          <w:tcPr>
            <w:tcW w:w="645" w:type="dxa"/>
            <w:shd w:val="clear" w:color="auto" w:fill="auto"/>
            <w:vAlign w:val="center"/>
          </w:tcPr>
          <w:p w14:paraId="6B111029">
            <w:pPr>
              <w:pStyle w:val="75"/>
              <w:adjustRightInd w:val="0"/>
              <w:snapToGrid w:val="0"/>
              <w:contextualSpacing w:val="0"/>
              <w:rPr>
                <w:rFonts w:hint="eastAsia" w:eastAsia="宋体"/>
                <w:lang w:val="en-US" w:eastAsia="zh-CN"/>
              </w:rPr>
            </w:pPr>
            <w:r>
              <w:rPr>
                <w:rFonts w:hint="eastAsia"/>
                <w:lang w:val="en-US" w:eastAsia="zh-CN"/>
              </w:rPr>
              <w:t>1</w:t>
            </w:r>
          </w:p>
        </w:tc>
        <w:tc>
          <w:tcPr>
            <w:tcW w:w="1020" w:type="dxa"/>
            <w:vMerge w:val="continue"/>
            <w:shd w:val="clear" w:color="auto" w:fill="auto"/>
            <w:vAlign w:val="center"/>
          </w:tcPr>
          <w:p w14:paraId="03C6B4F3">
            <w:pPr>
              <w:spacing w:line="240" w:lineRule="auto"/>
              <w:ind w:firstLine="0" w:firstLineChars="0"/>
              <w:jc w:val="center"/>
              <w:rPr>
                <w:sz w:val="21"/>
                <w:szCs w:val="21"/>
              </w:rPr>
            </w:pPr>
          </w:p>
        </w:tc>
        <w:tc>
          <w:tcPr>
            <w:tcW w:w="975" w:type="dxa"/>
            <w:vMerge w:val="continue"/>
            <w:shd w:val="clear" w:color="auto" w:fill="auto"/>
            <w:vAlign w:val="center"/>
          </w:tcPr>
          <w:p w14:paraId="737C82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sz w:val="21"/>
                <w:szCs w:val="21"/>
                <w:lang w:val="en-US" w:eastAsia="zh-CN"/>
              </w:rPr>
            </w:pPr>
          </w:p>
        </w:tc>
        <w:tc>
          <w:tcPr>
            <w:tcW w:w="575" w:type="dxa"/>
            <w:shd w:val="clear" w:color="auto" w:fill="auto"/>
            <w:vAlign w:val="center"/>
          </w:tcPr>
          <w:p w14:paraId="77E53685">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68</w:t>
            </w:r>
          </w:p>
        </w:tc>
        <w:tc>
          <w:tcPr>
            <w:tcW w:w="575" w:type="dxa"/>
            <w:shd w:val="clear" w:color="auto" w:fill="auto"/>
            <w:vAlign w:val="center"/>
          </w:tcPr>
          <w:p w14:paraId="11C6E170">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66</w:t>
            </w:r>
          </w:p>
        </w:tc>
        <w:tc>
          <w:tcPr>
            <w:tcW w:w="575" w:type="dxa"/>
            <w:shd w:val="clear" w:color="auto" w:fill="auto"/>
            <w:vAlign w:val="center"/>
          </w:tcPr>
          <w:p w14:paraId="29404C5F">
            <w:pPr>
              <w:spacing w:line="240" w:lineRule="auto"/>
              <w:ind w:firstLine="0" w:firstLineChars="0"/>
              <w:jc w:val="center"/>
              <w:rPr>
                <w:sz w:val="21"/>
                <w:szCs w:val="21"/>
              </w:rPr>
            </w:pPr>
            <w:r>
              <w:rPr>
                <w:rFonts w:hint="eastAsia"/>
                <w:sz w:val="21"/>
                <w:szCs w:val="21"/>
                <w:lang w:val="en-US" w:eastAsia="zh-CN"/>
              </w:rPr>
              <w:t>0.5</w:t>
            </w:r>
          </w:p>
        </w:tc>
        <w:tc>
          <w:tcPr>
            <w:tcW w:w="700" w:type="dxa"/>
            <w:vMerge w:val="continue"/>
            <w:shd w:val="clear" w:color="auto" w:fill="auto"/>
            <w:vAlign w:val="center"/>
          </w:tcPr>
          <w:p w14:paraId="22CDB362">
            <w:pPr>
              <w:pStyle w:val="13"/>
              <w:spacing w:line="240" w:lineRule="auto"/>
              <w:ind w:firstLine="0" w:firstLineChars="0"/>
              <w:jc w:val="center"/>
              <w:rPr>
                <w:b w:val="0"/>
                <w:szCs w:val="21"/>
              </w:rPr>
            </w:pPr>
          </w:p>
        </w:tc>
      </w:tr>
      <w:tr w14:paraId="57F55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dxa"/>
            <w:shd w:val="clear" w:color="auto" w:fill="auto"/>
            <w:vAlign w:val="center"/>
          </w:tcPr>
          <w:p w14:paraId="03489ACB">
            <w:pPr>
              <w:pStyle w:val="13"/>
              <w:spacing w:line="240" w:lineRule="auto"/>
              <w:ind w:firstLine="0" w:firstLineChars="0"/>
              <w:jc w:val="center"/>
              <w:rPr>
                <w:rFonts w:hint="eastAsia" w:eastAsia="宋体"/>
                <w:b w:val="0"/>
                <w:szCs w:val="21"/>
                <w:lang w:val="en-US" w:eastAsia="zh-CN"/>
              </w:rPr>
            </w:pPr>
            <w:r>
              <w:rPr>
                <w:rFonts w:hint="eastAsia"/>
                <w:b w:val="0"/>
                <w:szCs w:val="21"/>
                <w:lang w:val="en-US" w:eastAsia="zh-CN"/>
              </w:rPr>
              <w:t>3</w:t>
            </w:r>
          </w:p>
        </w:tc>
        <w:tc>
          <w:tcPr>
            <w:tcW w:w="1149" w:type="dxa"/>
            <w:shd w:val="clear" w:color="auto" w:fill="auto"/>
            <w:vAlign w:val="center"/>
          </w:tcPr>
          <w:p w14:paraId="268CA901">
            <w:pPr>
              <w:pStyle w:val="75"/>
              <w:adjustRightInd w:val="0"/>
              <w:snapToGrid w:val="0"/>
              <w:contextualSpacing w:val="0"/>
              <w:rPr>
                <w:rFonts w:hint="eastAsia"/>
              </w:rPr>
            </w:pPr>
            <w:r>
              <w:rPr>
                <w:rFonts w:hint="eastAsia"/>
              </w:rPr>
              <w:t>环保</w:t>
            </w:r>
            <w:r>
              <w:t>风机</w:t>
            </w:r>
          </w:p>
        </w:tc>
        <w:tc>
          <w:tcPr>
            <w:tcW w:w="525" w:type="dxa"/>
            <w:shd w:val="clear" w:color="auto" w:fill="auto"/>
            <w:vAlign w:val="center"/>
          </w:tcPr>
          <w:p w14:paraId="20A08096">
            <w:pPr>
              <w:pStyle w:val="75"/>
              <w:adjustRightInd w:val="0"/>
              <w:snapToGrid w:val="0"/>
              <w:contextualSpacing w:val="0"/>
              <w:rPr>
                <w:rFonts w:hint="eastAsia" w:eastAsia="宋体"/>
                <w:lang w:val="en-US" w:eastAsia="zh-CN"/>
              </w:rPr>
            </w:pPr>
            <w:r>
              <w:rPr>
                <w:rFonts w:hint="eastAsia"/>
                <w:lang w:val="en-US" w:eastAsia="zh-CN"/>
              </w:rPr>
              <w:t>/</w:t>
            </w:r>
          </w:p>
        </w:tc>
        <w:tc>
          <w:tcPr>
            <w:tcW w:w="1680" w:type="dxa"/>
            <w:shd w:val="clear" w:color="auto" w:fill="auto"/>
            <w:vAlign w:val="center"/>
          </w:tcPr>
          <w:p w14:paraId="72E56EAA">
            <w:pPr>
              <w:pStyle w:val="75"/>
              <w:adjustRightInd w:val="0"/>
              <w:snapToGrid w:val="0"/>
              <w:contextualSpacing w:val="0"/>
              <w:rPr>
                <w:rFonts w:hint="eastAsia"/>
                <w:lang w:val="en-US" w:eastAsia="zh-CN"/>
              </w:rPr>
            </w:pPr>
            <w:r>
              <w:rPr>
                <w:rFonts w:hint="eastAsia"/>
                <w:lang w:val="en-US" w:eastAsia="zh-CN"/>
              </w:rPr>
              <w:t>75/1</w:t>
            </w:r>
          </w:p>
        </w:tc>
        <w:tc>
          <w:tcPr>
            <w:tcW w:w="645" w:type="dxa"/>
            <w:shd w:val="clear" w:color="auto" w:fill="auto"/>
            <w:vAlign w:val="center"/>
          </w:tcPr>
          <w:p w14:paraId="4EA1CEE4">
            <w:pPr>
              <w:pStyle w:val="75"/>
              <w:adjustRightInd w:val="0"/>
              <w:snapToGrid w:val="0"/>
              <w:contextualSpacing w:val="0"/>
              <w:rPr>
                <w:rFonts w:hint="default" w:eastAsia="宋体"/>
                <w:lang w:val="en-US" w:eastAsia="zh-CN"/>
              </w:rPr>
            </w:pPr>
            <w:r>
              <w:rPr>
                <w:rFonts w:hint="eastAsia"/>
                <w:lang w:val="en-US" w:eastAsia="zh-CN"/>
              </w:rPr>
              <w:t>1</w:t>
            </w:r>
          </w:p>
        </w:tc>
        <w:tc>
          <w:tcPr>
            <w:tcW w:w="1020" w:type="dxa"/>
            <w:vMerge w:val="continue"/>
            <w:shd w:val="clear" w:color="auto" w:fill="auto"/>
            <w:vAlign w:val="center"/>
          </w:tcPr>
          <w:p w14:paraId="79751E4F">
            <w:pPr>
              <w:spacing w:line="240" w:lineRule="auto"/>
              <w:ind w:firstLine="0" w:firstLineChars="0"/>
              <w:jc w:val="center"/>
              <w:rPr>
                <w:sz w:val="21"/>
                <w:szCs w:val="21"/>
              </w:rPr>
            </w:pPr>
          </w:p>
        </w:tc>
        <w:tc>
          <w:tcPr>
            <w:tcW w:w="975" w:type="dxa"/>
            <w:vMerge w:val="continue"/>
            <w:shd w:val="clear" w:color="auto" w:fill="auto"/>
            <w:vAlign w:val="center"/>
          </w:tcPr>
          <w:p w14:paraId="2B5BE3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eastAsia"/>
                <w:sz w:val="21"/>
                <w:szCs w:val="21"/>
                <w:lang w:val="en-US" w:eastAsia="zh-CN"/>
              </w:rPr>
            </w:pPr>
          </w:p>
        </w:tc>
        <w:tc>
          <w:tcPr>
            <w:tcW w:w="575" w:type="dxa"/>
            <w:shd w:val="clear" w:color="auto" w:fill="auto"/>
            <w:vAlign w:val="center"/>
          </w:tcPr>
          <w:p w14:paraId="66DD403D">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68</w:t>
            </w:r>
          </w:p>
        </w:tc>
        <w:tc>
          <w:tcPr>
            <w:tcW w:w="575" w:type="dxa"/>
            <w:shd w:val="clear" w:color="auto" w:fill="auto"/>
            <w:vAlign w:val="center"/>
          </w:tcPr>
          <w:p w14:paraId="13888AA6">
            <w:pPr>
              <w:widowControl/>
              <w:spacing w:line="240" w:lineRule="auto"/>
              <w:ind w:firstLine="0" w:firstLineChars="0"/>
              <w:jc w:val="center"/>
              <w:rPr>
                <w:rFonts w:hint="default" w:eastAsia="宋体"/>
                <w:sz w:val="21"/>
                <w:szCs w:val="21"/>
                <w:lang w:val="en-US" w:eastAsia="zh-CN"/>
              </w:rPr>
            </w:pPr>
            <w:r>
              <w:rPr>
                <w:rFonts w:hint="eastAsia"/>
                <w:sz w:val="21"/>
                <w:szCs w:val="21"/>
                <w:lang w:val="en-US" w:eastAsia="zh-CN"/>
              </w:rPr>
              <w:t>53</w:t>
            </w:r>
          </w:p>
        </w:tc>
        <w:tc>
          <w:tcPr>
            <w:tcW w:w="575" w:type="dxa"/>
            <w:shd w:val="clear" w:color="auto" w:fill="auto"/>
            <w:vAlign w:val="center"/>
          </w:tcPr>
          <w:p w14:paraId="4FB4C31C">
            <w:pPr>
              <w:spacing w:line="240" w:lineRule="auto"/>
              <w:ind w:firstLine="0" w:firstLineChars="0"/>
              <w:jc w:val="center"/>
              <w:rPr>
                <w:sz w:val="21"/>
                <w:szCs w:val="21"/>
              </w:rPr>
            </w:pPr>
            <w:r>
              <w:rPr>
                <w:rFonts w:hint="eastAsia"/>
                <w:sz w:val="21"/>
                <w:szCs w:val="21"/>
                <w:lang w:val="en-US" w:eastAsia="zh-CN"/>
              </w:rPr>
              <w:t>0.5</w:t>
            </w:r>
          </w:p>
        </w:tc>
        <w:tc>
          <w:tcPr>
            <w:tcW w:w="700" w:type="dxa"/>
            <w:vMerge w:val="continue"/>
            <w:shd w:val="clear" w:color="auto" w:fill="auto"/>
            <w:vAlign w:val="center"/>
          </w:tcPr>
          <w:p w14:paraId="585E60C9">
            <w:pPr>
              <w:pStyle w:val="13"/>
              <w:spacing w:line="240" w:lineRule="auto"/>
              <w:ind w:firstLine="0" w:firstLineChars="0"/>
              <w:jc w:val="center"/>
              <w:rPr>
                <w:b w:val="0"/>
                <w:szCs w:val="21"/>
              </w:rPr>
            </w:pPr>
          </w:p>
        </w:tc>
      </w:tr>
    </w:tbl>
    <w:p w14:paraId="369B2307">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rFonts w:hint="eastAsia"/>
          <w:color w:val="000000"/>
        </w:rPr>
      </w:pPr>
      <w:r>
        <w:rPr>
          <w:color w:val="000000"/>
        </w:rPr>
        <w:t>表</w:t>
      </w:r>
      <w:r>
        <w:rPr>
          <w:rFonts w:hint="eastAsia"/>
          <w:color w:val="000000"/>
          <w:lang w:val="en-US" w:eastAsia="zh-CN"/>
        </w:rPr>
        <w:t>5.4-3</w:t>
      </w:r>
      <w:r>
        <w:rPr>
          <w:color w:val="000000"/>
        </w:rPr>
        <w:t xml:space="preserve">  </w:t>
      </w:r>
      <w:r>
        <w:rPr>
          <w:rFonts w:hint="eastAsia"/>
          <w:color w:val="000000"/>
        </w:rPr>
        <w:t xml:space="preserve">  </w:t>
      </w:r>
      <w:r>
        <w:rPr>
          <w:rFonts w:hint="eastAsia"/>
          <w:color w:val="000000"/>
          <w:lang w:val="en-US" w:eastAsia="zh-CN"/>
        </w:rPr>
        <w:t xml:space="preserve"> </w:t>
      </w:r>
      <w:r>
        <w:rPr>
          <w:rFonts w:hint="eastAsia"/>
          <w:color w:val="000000"/>
        </w:rPr>
        <w:t>工业企业</w:t>
      </w:r>
      <w:r>
        <w:rPr>
          <w:color w:val="000000"/>
        </w:rPr>
        <w:t>噪声源强调查清单</w:t>
      </w:r>
      <w:r>
        <w:rPr>
          <w:rFonts w:hint="eastAsia"/>
          <w:color w:val="000000"/>
        </w:rPr>
        <w:t>（室内声源）</w:t>
      </w:r>
    </w:p>
    <w:tbl>
      <w:tblPr>
        <w:tblStyle w:val="39"/>
        <w:tblW w:w="521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690"/>
        <w:gridCol w:w="511"/>
        <w:gridCol w:w="511"/>
        <w:gridCol w:w="426"/>
        <w:gridCol w:w="681"/>
        <w:gridCol w:w="340"/>
        <w:gridCol w:w="511"/>
        <w:gridCol w:w="511"/>
        <w:gridCol w:w="340"/>
        <w:gridCol w:w="340"/>
        <w:gridCol w:w="340"/>
        <w:gridCol w:w="511"/>
        <w:gridCol w:w="511"/>
        <w:gridCol w:w="340"/>
        <w:gridCol w:w="596"/>
        <w:gridCol w:w="623"/>
        <w:gridCol w:w="955"/>
      </w:tblGrid>
      <w:tr w14:paraId="2A1872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restart"/>
            <w:tcMar>
              <w:left w:w="28" w:type="dxa"/>
              <w:right w:w="28" w:type="dxa"/>
            </w:tcMar>
            <w:vAlign w:val="center"/>
          </w:tcPr>
          <w:p w14:paraId="4698F73B">
            <w:pPr>
              <w:pStyle w:val="81"/>
              <w:adjustRightInd w:val="0"/>
              <w:snapToGrid w:val="0"/>
              <w:rPr>
                <w:rFonts w:cs="Times New Roman"/>
                <w:color w:val="auto"/>
                <w:szCs w:val="21"/>
              </w:rPr>
            </w:pPr>
            <w:r>
              <w:rPr>
                <w:rFonts w:cs="Times New Roman"/>
                <w:color w:val="auto"/>
                <w:szCs w:val="21"/>
              </w:rPr>
              <w:t>序号</w:t>
            </w:r>
          </w:p>
        </w:tc>
        <w:tc>
          <w:tcPr>
            <w:tcW w:w="511" w:type="dxa"/>
            <w:vMerge w:val="restart"/>
            <w:tcMar>
              <w:left w:w="28" w:type="dxa"/>
              <w:right w:w="28" w:type="dxa"/>
            </w:tcMar>
            <w:vAlign w:val="center"/>
          </w:tcPr>
          <w:p w14:paraId="6DE66E23">
            <w:pPr>
              <w:pStyle w:val="81"/>
              <w:adjustRightInd w:val="0"/>
              <w:snapToGrid w:val="0"/>
              <w:rPr>
                <w:rFonts w:cs="Times New Roman"/>
                <w:color w:val="auto"/>
                <w:szCs w:val="21"/>
              </w:rPr>
            </w:pPr>
            <w:r>
              <w:rPr>
                <w:rFonts w:cs="Times New Roman"/>
                <w:color w:val="auto"/>
                <w:szCs w:val="21"/>
              </w:rPr>
              <w:t>建筑物名称</w:t>
            </w:r>
          </w:p>
        </w:tc>
        <w:tc>
          <w:tcPr>
            <w:tcW w:w="511" w:type="dxa"/>
            <w:vMerge w:val="restart"/>
            <w:tcMar>
              <w:left w:w="28" w:type="dxa"/>
              <w:right w:w="28" w:type="dxa"/>
            </w:tcMar>
            <w:vAlign w:val="center"/>
          </w:tcPr>
          <w:p w14:paraId="7F08846D">
            <w:pPr>
              <w:pStyle w:val="81"/>
              <w:adjustRightInd w:val="0"/>
              <w:snapToGrid w:val="0"/>
              <w:rPr>
                <w:rFonts w:cs="Times New Roman"/>
                <w:color w:val="auto"/>
                <w:szCs w:val="21"/>
              </w:rPr>
            </w:pPr>
            <w:r>
              <w:rPr>
                <w:rFonts w:cs="Times New Roman"/>
                <w:color w:val="auto"/>
                <w:szCs w:val="21"/>
              </w:rPr>
              <w:t>声源</w:t>
            </w:r>
          </w:p>
          <w:p w14:paraId="16192213">
            <w:pPr>
              <w:pStyle w:val="81"/>
              <w:adjustRightInd w:val="0"/>
              <w:snapToGrid w:val="0"/>
              <w:rPr>
                <w:rFonts w:cs="Times New Roman"/>
                <w:color w:val="auto"/>
                <w:szCs w:val="21"/>
              </w:rPr>
            </w:pPr>
            <w:r>
              <w:rPr>
                <w:rFonts w:cs="Times New Roman"/>
                <w:color w:val="auto"/>
                <w:szCs w:val="21"/>
              </w:rPr>
              <w:t>名称</w:t>
            </w:r>
          </w:p>
        </w:tc>
        <w:tc>
          <w:tcPr>
            <w:tcW w:w="426" w:type="dxa"/>
            <w:vMerge w:val="restart"/>
            <w:tcMar>
              <w:left w:w="28" w:type="dxa"/>
              <w:right w:w="28" w:type="dxa"/>
            </w:tcMar>
            <w:vAlign w:val="center"/>
          </w:tcPr>
          <w:p w14:paraId="2D27780A">
            <w:pPr>
              <w:pStyle w:val="81"/>
              <w:adjustRightInd w:val="0"/>
              <w:snapToGrid w:val="0"/>
              <w:rPr>
                <w:rFonts w:cs="Times New Roman"/>
                <w:color w:val="auto"/>
                <w:szCs w:val="21"/>
              </w:rPr>
            </w:pPr>
            <w:r>
              <w:rPr>
                <w:rFonts w:cs="Times New Roman"/>
                <w:color w:val="auto"/>
                <w:szCs w:val="21"/>
              </w:rPr>
              <w:t>型号</w:t>
            </w:r>
          </w:p>
        </w:tc>
        <w:tc>
          <w:tcPr>
            <w:tcW w:w="681" w:type="dxa"/>
            <w:vMerge w:val="restart"/>
            <w:tcMar>
              <w:left w:w="28" w:type="dxa"/>
              <w:right w:w="28" w:type="dxa"/>
            </w:tcMar>
            <w:vAlign w:val="center"/>
          </w:tcPr>
          <w:p w14:paraId="34A302EB">
            <w:pPr>
              <w:pStyle w:val="81"/>
              <w:adjustRightInd w:val="0"/>
              <w:snapToGrid w:val="0"/>
              <w:rPr>
                <w:rFonts w:cs="Times New Roman"/>
                <w:color w:val="auto"/>
                <w:szCs w:val="21"/>
              </w:rPr>
            </w:pPr>
            <w:r>
              <w:rPr>
                <w:rFonts w:cs="Times New Roman"/>
                <w:color w:val="auto"/>
                <w:szCs w:val="21"/>
              </w:rPr>
              <w:t>(声压级/距声源距离)/</w:t>
            </w:r>
          </w:p>
          <w:p w14:paraId="07B2EF1F">
            <w:pPr>
              <w:pStyle w:val="81"/>
              <w:adjustRightInd w:val="0"/>
              <w:snapToGrid w:val="0"/>
              <w:rPr>
                <w:rFonts w:cs="Times New Roman"/>
                <w:color w:val="auto"/>
                <w:szCs w:val="21"/>
              </w:rPr>
            </w:pPr>
            <w:r>
              <w:rPr>
                <w:rFonts w:cs="Times New Roman"/>
                <w:color w:val="auto"/>
                <w:szCs w:val="21"/>
              </w:rPr>
              <w:t>([dB(A)]/m)</w:t>
            </w:r>
          </w:p>
        </w:tc>
        <w:tc>
          <w:tcPr>
            <w:tcW w:w="340" w:type="dxa"/>
            <w:vMerge w:val="restart"/>
            <w:tcMar>
              <w:left w:w="28" w:type="dxa"/>
              <w:right w:w="28" w:type="dxa"/>
            </w:tcMar>
            <w:vAlign w:val="center"/>
          </w:tcPr>
          <w:p w14:paraId="64BC703D">
            <w:pPr>
              <w:pStyle w:val="81"/>
              <w:adjustRightInd w:val="0"/>
              <w:snapToGrid w:val="0"/>
              <w:rPr>
                <w:rFonts w:cs="Times New Roman"/>
                <w:color w:val="auto"/>
                <w:szCs w:val="21"/>
              </w:rPr>
            </w:pPr>
            <w:r>
              <w:rPr>
                <w:rFonts w:cs="Times New Roman"/>
                <w:color w:val="auto"/>
                <w:szCs w:val="21"/>
              </w:rPr>
              <w:t>数量(台)</w:t>
            </w:r>
          </w:p>
        </w:tc>
        <w:tc>
          <w:tcPr>
            <w:tcW w:w="511" w:type="dxa"/>
            <w:vMerge w:val="restart"/>
            <w:tcMar>
              <w:left w:w="28" w:type="dxa"/>
              <w:right w:w="28" w:type="dxa"/>
            </w:tcMar>
            <w:vAlign w:val="center"/>
          </w:tcPr>
          <w:p w14:paraId="11EDD6D8">
            <w:pPr>
              <w:pStyle w:val="81"/>
              <w:adjustRightInd w:val="0"/>
              <w:snapToGrid w:val="0"/>
              <w:rPr>
                <w:rFonts w:cs="Times New Roman"/>
                <w:color w:val="auto"/>
                <w:szCs w:val="21"/>
              </w:rPr>
            </w:pPr>
            <w:r>
              <w:rPr>
                <w:rFonts w:cs="Times New Roman"/>
                <w:color w:val="auto"/>
                <w:szCs w:val="21"/>
              </w:rPr>
              <w:t>声源控制措施</w:t>
            </w:r>
          </w:p>
        </w:tc>
        <w:tc>
          <w:tcPr>
            <w:tcW w:w="511" w:type="dxa"/>
            <w:vMerge w:val="restart"/>
            <w:tcMar>
              <w:left w:w="28" w:type="dxa"/>
              <w:right w:w="28" w:type="dxa"/>
            </w:tcMar>
            <w:vAlign w:val="center"/>
          </w:tcPr>
          <w:p w14:paraId="2AF84833">
            <w:pPr>
              <w:pStyle w:val="81"/>
              <w:adjustRightInd w:val="0"/>
              <w:snapToGrid w:val="0"/>
              <w:rPr>
                <w:rFonts w:cs="Times New Roman"/>
                <w:color w:val="auto"/>
                <w:szCs w:val="21"/>
              </w:rPr>
            </w:pPr>
            <w:r>
              <w:rPr>
                <w:rFonts w:cs="Times New Roman"/>
                <w:color w:val="auto"/>
                <w:szCs w:val="21"/>
              </w:rPr>
              <w:t>声压级叠加值[dB(A)]</w:t>
            </w:r>
          </w:p>
        </w:tc>
        <w:tc>
          <w:tcPr>
            <w:tcW w:w="1020" w:type="dxa"/>
            <w:gridSpan w:val="3"/>
            <w:tcMar>
              <w:left w:w="28" w:type="dxa"/>
              <w:right w:w="28" w:type="dxa"/>
            </w:tcMar>
            <w:vAlign w:val="center"/>
          </w:tcPr>
          <w:p w14:paraId="0A4458D4">
            <w:pPr>
              <w:pStyle w:val="81"/>
              <w:adjustRightInd w:val="0"/>
              <w:snapToGrid w:val="0"/>
              <w:rPr>
                <w:rFonts w:cs="Times New Roman"/>
                <w:color w:val="auto"/>
                <w:szCs w:val="21"/>
              </w:rPr>
            </w:pPr>
            <w:r>
              <w:rPr>
                <w:rFonts w:cs="Times New Roman"/>
                <w:color w:val="auto"/>
                <w:szCs w:val="21"/>
              </w:rPr>
              <w:t>空间相对位置/m</w:t>
            </w:r>
          </w:p>
        </w:tc>
        <w:tc>
          <w:tcPr>
            <w:tcW w:w="511" w:type="dxa"/>
            <w:vMerge w:val="restart"/>
            <w:tcMar>
              <w:left w:w="28" w:type="dxa"/>
              <w:right w:w="28" w:type="dxa"/>
            </w:tcMar>
            <w:vAlign w:val="center"/>
          </w:tcPr>
          <w:p w14:paraId="32BACBB1">
            <w:pPr>
              <w:pStyle w:val="81"/>
              <w:adjustRightInd w:val="0"/>
              <w:snapToGrid w:val="0"/>
              <w:rPr>
                <w:rFonts w:cs="Times New Roman"/>
                <w:color w:val="auto"/>
                <w:szCs w:val="21"/>
              </w:rPr>
            </w:pPr>
            <w:r>
              <w:rPr>
                <w:rFonts w:cs="Times New Roman"/>
                <w:color w:val="auto"/>
                <w:szCs w:val="21"/>
              </w:rPr>
              <w:t>距室内边界距离/m</w:t>
            </w:r>
          </w:p>
        </w:tc>
        <w:tc>
          <w:tcPr>
            <w:tcW w:w="511" w:type="dxa"/>
            <w:vMerge w:val="restart"/>
            <w:tcMar>
              <w:left w:w="28" w:type="dxa"/>
              <w:right w:w="28" w:type="dxa"/>
            </w:tcMar>
            <w:vAlign w:val="center"/>
          </w:tcPr>
          <w:p w14:paraId="0002EFC6">
            <w:pPr>
              <w:pStyle w:val="81"/>
              <w:adjustRightInd w:val="0"/>
              <w:snapToGrid w:val="0"/>
              <w:rPr>
                <w:rFonts w:cs="Times New Roman"/>
                <w:color w:val="auto"/>
                <w:szCs w:val="21"/>
              </w:rPr>
            </w:pPr>
            <w:r>
              <w:rPr>
                <w:rFonts w:cs="Times New Roman"/>
                <w:color w:val="auto"/>
                <w:szCs w:val="21"/>
              </w:rPr>
              <w:t>室内边界声级/dB(A)</w:t>
            </w:r>
          </w:p>
        </w:tc>
        <w:tc>
          <w:tcPr>
            <w:tcW w:w="340" w:type="dxa"/>
            <w:vMerge w:val="restart"/>
            <w:tcMar>
              <w:left w:w="28" w:type="dxa"/>
              <w:right w:w="28" w:type="dxa"/>
            </w:tcMar>
            <w:vAlign w:val="center"/>
          </w:tcPr>
          <w:p w14:paraId="6ECDDB89">
            <w:pPr>
              <w:pStyle w:val="81"/>
              <w:adjustRightInd w:val="0"/>
              <w:snapToGrid w:val="0"/>
              <w:rPr>
                <w:rFonts w:cs="Times New Roman"/>
                <w:color w:val="auto"/>
                <w:szCs w:val="21"/>
              </w:rPr>
            </w:pPr>
            <w:r>
              <w:rPr>
                <w:rFonts w:cs="Times New Roman"/>
                <w:color w:val="auto"/>
                <w:szCs w:val="21"/>
              </w:rPr>
              <w:t>运行时段</w:t>
            </w:r>
          </w:p>
        </w:tc>
        <w:tc>
          <w:tcPr>
            <w:tcW w:w="596" w:type="dxa"/>
            <w:vMerge w:val="restart"/>
            <w:tcMar>
              <w:left w:w="28" w:type="dxa"/>
              <w:right w:w="28" w:type="dxa"/>
            </w:tcMar>
            <w:vAlign w:val="center"/>
          </w:tcPr>
          <w:p w14:paraId="20D98DF6">
            <w:pPr>
              <w:pStyle w:val="81"/>
              <w:adjustRightInd w:val="0"/>
              <w:snapToGrid w:val="0"/>
              <w:rPr>
                <w:rFonts w:cs="Times New Roman"/>
                <w:color w:val="auto"/>
                <w:szCs w:val="21"/>
              </w:rPr>
            </w:pPr>
            <w:r>
              <w:rPr>
                <w:rFonts w:cs="Times New Roman"/>
                <w:color w:val="auto"/>
                <w:szCs w:val="21"/>
              </w:rPr>
              <w:t>建筑物插入损失/dB(A)</w:t>
            </w:r>
          </w:p>
        </w:tc>
        <w:tc>
          <w:tcPr>
            <w:tcW w:w="1578" w:type="dxa"/>
            <w:gridSpan w:val="2"/>
            <w:tcMar>
              <w:left w:w="28" w:type="dxa"/>
              <w:right w:w="28" w:type="dxa"/>
            </w:tcMar>
            <w:vAlign w:val="center"/>
          </w:tcPr>
          <w:p w14:paraId="1E620D46">
            <w:pPr>
              <w:pStyle w:val="81"/>
              <w:adjustRightInd w:val="0"/>
              <w:snapToGrid w:val="0"/>
              <w:rPr>
                <w:rFonts w:cs="Times New Roman"/>
                <w:color w:val="auto"/>
                <w:szCs w:val="21"/>
              </w:rPr>
            </w:pPr>
            <w:r>
              <w:rPr>
                <w:rFonts w:cs="Times New Roman"/>
                <w:color w:val="auto"/>
                <w:szCs w:val="21"/>
              </w:rPr>
              <w:t>建筑物外噪声</w:t>
            </w:r>
          </w:p>
        </w:tc>
      </w:tr>
      <w:tr w14:paraId="52AE5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72FC5D39">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7AE50415">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36A7E2AD">
            <w:pPr>
              <w:pStyle w:val="81"/>
              <w:adjustRightInd w:val="0"/>
              <w:snapToGrid w:val="0"/>
              <w:rPr>
                <w:rFonts w:cs="Times New Roman"/>
                <w:color w:val="auto"/>
                <w:szCs w:val="21"/>
              </w:rPr>
            </w:pPr>
          </w:p>
        </w:tc>
        <w:tc>
          <w:tcPr>
            <w:tcW w:w="426" w:type="dxa"/>
            <w:vMerge w:val="continue"/>
            <w:tcMar>
              <w:left w:w="28" w:type="dxa"/>
              <w:right w:w="28" w:type="dxa"/>
            </w:tcMar>
            <w:vAlign w:val="center"/>
          </w:tcPr>
          <w:p w14:paraId="2B3188C0">
            <w:pPr>
              <w:pStyle w:val="81"/>
              <w:adjustRightInd w:val="0"/>
              <w:snapToGrid w:val="0"/>
              <w:rPr>
                <w:rFonts w:cs="Times New Roman"/>
                <w:color w:val="auto"/>
                <w:szCs w:val="21"/>
              </w:rPr>
            </w:pPr>
          </w:p>
        </w:tc>
        <w:tc>
          <w:tcPr>
            <w:tcW w:w="681" w:type="dxa"/>
            <w:vMerge w:val="continue"/>
            <w:tcMar>
              <w:left w:w="28" w:type="dxa"/>
              <w:right w:w="28" w:type="dxa"/>
            </w:tcMar>
            <w:vAlign w:val="center"/>
          </w:tcPr>
          <w:p w14:paraId="0FD739EF">
            <w:pPr>
              <w:pStyle w:val="81"/>
              <w:adjustRightInd w:val="0"/>
              <w:snapToGrid w:val="0"/>
              <w:rPr>
                <w:rFonts w:cs="Times New Roman"/>
                <w:color w:val="auto"/>
                <w:szCs w:val="21"/>
              </w:rPr>
            </w:pPr>
          </w:p>
        </w:tc>
        <w:tc>
          <w:tcPr>
            <w:tcW w:w="340" w:type="dxa"/>
            <w:vMerge w:val="continue"/>
            <w:tcMar>
              <w:left w:w="28" w:type="dxa"/>
              <w:right w:w="28" w:type="dxa"/>
            </w:tcMar>
            <w:vAlign w:val="center"/>
          </w:tcPr>
          <w:p w14:paraId="60DD5988">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640E4560">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2B111030">
            <w:pPr>
              <w:pStyle w:val="81"/>
              <w:adjustRightInd w:val="0"/>
              <w:snapToGrid w:val="0"/>
              <w:rPr>
                <w:rFonts w:cs="Times New Roman"/>
                <w:color w:val="auto"/>
                <w:szCs w:val="21"/>
              </w:rPr>
            </w:pPr>
          </w:p>
        </w:tc>
        <w:tc>
          <w:tcPr>
            <w:tcW w:w="340" w:type="dxa"/>
            <w:tcMar>
              <w:left w:w="28" w:type="dxa"/>
              <w:right w:w="28" w:type="dxa"/>
            </w:tcMar>
            <w:vAlign w:val="center"/>
          </w:tcPr>
          <w:p w14:paraId="6DBCFCE9">
            <w:pPr>
              <w:pStyle w:val="81"/>
              <w:adjustRightInd w:val="0"/>
              <w:snapToGrid w:val="0"/>
              <w:rPr>
                <w:rFonts w:cs="Times New Roman"/>
                <w:color w:val="auto"/>
                <w:szCs w:val="21"/>
              </w:rPr>
            </w:pPr>
            <w:r>
              <w:rPr>
                <w:rFonts w:cs="Times New Roman"/>
                <w:color w:val="auto"/>
                <w:szCs w:val="21"/>
              </w:rPr>
              <w:t>X</w:t>
            </w:r>
          </w:p>
        </w:tc>
        <w:tc>
          <w:tcPr>
            <w:tcW w:w="340" w:type="dxa"/>
            <w:tcMar>
              <w:left w:w="28" w:type="dxa"/>
              <w:right w:w="28" w:type="dxa"/>
            </w:tcMar>
            <w:vAlign w:val="center"/>
          </w:tcPr>
          <w:p w14:paraId="0C69B32A">
            <w:pPr>
              <w:pStyle w:val="81"/>
              <w:adjustRightInd w:val="0"/>
              <w:snapToGrid w:val="0"/>
              <w:rPr>
                <w:rFonts w:cs="Times New Roman"/>
                <w:color w:val="auto"/>
                <w:szCs w:val="21"/>
              </w:rPr>
            </w:pPr>
            <w:r>
              <w:rPr>
                <w:rFonts w:cs="Times New Roman"/>
                <w:color w:val="auto"/>
                <w:szCs w:val="21"/>
              </w:rPr>
              <w:t>Y</w:t>
            </w:r>
          </w:p>
        </w:tc>
        <w:tc>
          <w:tcPr>
            <w:tcW w:w="340" w:type="dxa"/>
            <w:tcMar>
              <w:left w:w="28" w:type="dxa"/>
              <w:right w:w="28" w:type="dxa"/>
            </w:tcMar>
            <w:vAlign w:val="center"/>
          </w:tcPr>
          <w:p w14:paraId="337DB9E9">
            <w:pPr>
              <w:pStyle w:val="81"/>
              <w:adjustRightInd w:val="0"/>
              <w:snapToGrid w:val="0"/>
              <w:rPr>
                <w:rFonts w:cs="Times New Roman"/>
                <w:color w:val="auto"/>
                <w:szCs w:val="21"/>
              </w:rPr>
            </w:pPr>
            <w:r>
              <w:rPr>
                <w:rFonts w:cs="Times New Roman"/>
                <w:color w:val="auto"/>
                <w:szCs w:val="21"/>
              </w:rPr>
              <w:t>Z</w:t>
            </w:r>
          </w:p>
        </w:tc>
        <w:tc>
          <w:tcPr>
            <w:tcW w:w="511" w:type="dxa"/>
            <w:vMerge w:val="continue"/>
            <w:tcMar>
              <w:left w:w="28" w:type="dxa"/>
              <w:right w:w="28" w:type="dxa"/>
            </w:tcMar>
            <w:vAlign w:val="center"/>
          </w:tcPr>
          <w:p w14:paraId="541DE4C4">
            <w:pPr>
              <w:pStyle w:val="81"/>
              <w:adjustRightInd w:val="0"/>
              <w:snapToGrid w:val="0"/>
              <w:rPr>
                <w:rFonts w:cs="Times New Roman"/>
                <w:color w:val="auto"/>
                <w:szCs w:val="21"/>
              </w:rPr>
            </w:pPr>
          </w:p>
        </w:tc>
        <w:tc>
          <w:tcPr>
            <w:tcW w:w="511" w:type="dxa"/>
            <w:vMerge w:val="continue"/>
            <w:tcMar>
              <w:left w:w="28" w:type="dxa"/>
              <w:right w:w="28" w:type="dxa"/>
            </w:tcMar>
            <w:vAlign w:val="center"/>
          </w:tcPr>
          <w:p w14:paraId="5FBAECA0">
            <w:pPr>
              <w:pStyle w:val="81"/>
              <w:adjustRightInd w:val="0"/>
              <w:snapToGrid w:val="0"/>
              <w:rPr>
                <w:rFonts w:cs="Times New Roman"/>
                <w:color w:val="auto"/>
                <w:szCs w:val="21"/>
              </w:rPr>
            </w:pPr>
          </w:p>
        </w:tc>
        <w:tc>
          <w:tcPr>
            <w:tcW w:w="340" w:type="dxa"/>
            <w:vMerge w:val="continue"/>
            <w:tcMar>
              <w:left w:w="28" w:type="dxa"/>
              <w:right w:w="28" w:type="dxa"/>
            </w:tcMar>
            <w:vAlign w:val="center"/>
          </w:tcPr>
          <w:p w14:paraId="1E0A6423">
            <w:pPr>
              <w:pStyle w:val="81"/>
              <w:adjustRightInd w:val="0"/>
              <w:snapToGrid w:val="0"/>
              <w:rPr>
                <w:rFonts w:cs="Times New Roman"/>
                <w:color w:val="auto"/>
                <w:szCs w:val="21"/>
              </w:rPr>
            </w:pPr>
          </w:p>
        </w:tc>
        <w:tc>
          <w:tcPr>
            <w:tcW w:w="596" w:type="dxa"/>
            <w:vMerge w:val="continue"/>
            <w:tcMar>
              <w:left w:w="28" w:type="dxa"/>
              <w:right w:w="28" w:type="dxa"/>
            </w:tcMar>
            <w:vAlign w:val="center"/>
          </w:tcPr>
          <w:p w14:paraId="59D5122B">
            <w:pPr>
              <w:pStyle w:val="81"/>
              <w:adjustRightInd w:val="0"/>
              <w:snapToGrid w:val="0"/>
              <w:rPr>
                <w:rFonts w:cs="Times New Roman"/>
                <w:color w:val="auto"/>
                <w:szCs w:val="21"/>
              </w:rPr>
            </w:pPr>
          </w:p>
        </w:tc>
        <w:tc>
          <w:tcPr>
            <w:tcW w:w="623" w:type="dxa"/>
            <w:tcMar>
              <w:left w:w="28" w:type="dxa"/>
              <w:right w:w="28" w:type="dxa"/>
            </w:tcMar>
            <w:vAlign w:val="center"/>
          </w:tcPr>
          <w:p w14:paraId="5F706CBE">
            <w:pPr>
              <w:pStyle w:val="81"/>
              <w:adjustRightInd w:val="0"/>
              <w:snapToGrid w:val="0"/>
              <w:rPr>
                <w:rFonts w:cs="Times New Roman"/>
                <w:color w:val="auto"/>
                <w:szCs w:val="21"/>
              </w:rPr>
            </w:pPr>
            <w:r>
              <w:rPr>
                <w:rFonts w:cs="Times New Roman"/>
                <w:color w:val="auto"/>
                <w:szCs w:val="21"/>
              </w:rPr>
              <w:t>声压级/dB(A)</w:t>
            </w:r>
          </w:p>
        </w:tc>
        <w:tc>
          <w:tcPr>
            <w:tcW w:w="955" w:type="dxa"/>
            <w:tcMar>
              <w:left w:w="28" w:type="dxa"/>
              <w:right w:w="28" w:type="dxa"/>
            </w:tcMar>
            <w:vAlign w:val="center"/>
          </w:tcPr>
          <w:p w14:paraId="5386784F">
            <w:pPr>
              <w:pStyle w:val="81"/>
              <w:adjustRightInd w:val="0"/>
              <w:snapToGrid w:val="0"/>
              <w:rPr>
                <w:rFonts w:cs="Times New Roman"/>
                <w:color w:val="auto"/>
                <w:szCs w:val="21"/>
              </w:rPr>
            </w:pPr>
            <w:r>
              <w:rPr>
                <w:rFonts w:cs="Times New Roman"/>
                <w:color w:val="auto"/>
                <w:szCs w:val="21"/>
              </w:rPr>
              <w:t>建筑物外距离</w:t>
            </w:r>
          </w:p>
        </w:tc>
      </w:tr>
      <w:tr w14:paraId="249D20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restart"/>
            <w:tcMar>
              <w:left w:w="28" w:type="dxa"/>
              <w:right w:w="28" w:type="dxa"/>
            </w:tcMar>
            <w:vAlign w:val="center"/>
          </w:tcPr>
          <w:p w14:paraId="2AA1248F">
            <w:pPr>
              <w:pStyle w:val="75"/>
              <w:adjustRightInd w:val="0"/>
              <w:snapToGrid w:val="0"/>
              <w:contextualSpacing w:val="0"/>
            </w:pPr>
            <w:r>
              <w:rPr>
                <w:rFonts w:hint="eastAsia"/>
              </w:rPr>
              <w:t>1</w:t>
            </w:r>
          </w:p>
        </w:tc>
        <w:tc>
          <w:tcPr>
            <w:tcW w:w="511" w:type="dxa"/>
            <w:vMerge w:val="restart"/>
            <w:tcMar>
              <w:left w:w="28" w:type="dxa"/>
              <w:right w:w="28" w:type="dxa"/>
            </w:tcMar>
            <w:vAlign w:val="center"/>
          </w:tcPr>
          <w:p w14:paraId="73CB67AD">
            <w:pPr>
              <w:pStyle w:val="75"/>
              <w:adjustRightInd w:val="0"/>
              <w:snapToGrid w:val="0"/>
              <w:contextualSpacing w:val="0"/>
            </w:pPr>
            <w:r>
              <w:rPr>
                <w:rFonts w:hint="eastAsia"/>
              </w:rPr>
              <w:t>生产车间</w:t>
            </w:r>
          </w:p>
        </w:tc>
        <w:tc>
          <w:tcPr>
            <w:tcW w:w="511" w:type="dxa"/>
            <w:vMerge w:val="restart"/>
            <w:tcMar>
              <w:left w:w="28" w:type="dxa"/>
              <w:right w:w="28" w:type="dxa"/>
            </w:tcMar>
            <w:vAlign w:val="center"/>
          </w:tcPr>
          <w:p w14:paraId="2E679933">
            <w:pPr>
              <w:pStyle w:val="75"/>
              <w:adjustRightInd w:val="0"/>
              <w:snapToGrid w:val="0"/>
              <w:contextualSpacing w:val="0"/>
            </w:pPr>
            <w:r>
              <w:rPr>
                <w:rFonts w:hint="eastAsia"/>
              </w:rPr>
              <w:t>冲床</w:t>
            </w:r>
          </w:p>
        </w:tc>
        <w:tc>
          <w:tcPr>
            <w:tcW w:w="426" w:type="dxa"/>
            <w:vMerge w:val="restart"/>
            <w:tcMar>
              <w:left w:w="28" w:type="dxa"/>
              <w:right w:w="28" w:type="dxa"/>
            </w:tcMar>
            <w:vAlign w:val="center"/>
          </w:tcPr>
          <w:p w14:paraId="6854140C">
            <w:pPr>
              <w:pStyle w:val="75"/>
              <w:adjustRightInd w:val="0"/>
              <w:snapToGrid w:val="0"/>
              <w:contextualSpacing w:val="0"/>
              <w:rPr>
                <w:rFonts w:hint="default" w:eastAsiaTheme="minorEastAsia"/>
                <w:lang w:val="en-US" w:eastAsia="zh-CN"/>
              </w:rPr>
            </w:pPr>
            <w:r>
              <w:rPr>
                <w:rFonts w:hint="eastAsia" w:eastAsiaTheme="minorEastAsia"/>
                <w:lang w:val="en-US" w:eastAsia="zh-CN"/>
              </w:rPr>
              <w:t>20t/40t/80t</w:t>
            </w:r>
          </w:p>
        </w:tc>
        <w:tc>
          <w:tcPr>
            <w:tcW w:w="681" w:type="dxa"/>
            <w:vMerge w:val="restart"/>
            <w:tcMar>
              <w:left w:w="28" w:type="dxa"/>
              <w:right w:w="28" w:type="dxa"/>
            </w:tcMar>
            <w:vAlign w:val="center"/>
          </w:tcPr>
          <w:p w14:paraId="07348C0A">
            <w:pPr>
              <w:pStyle w:val="75"/>
              <w:adjustRightInd w:val="0"/>
              <w:snapToGrid w:val="0"/>
              <w:contextualSpacing w:val="0"/>
            </w:pPr>
            <w:r>
              <w:rPr>
                <w:rFonts w:hint="eastAsia"/>
                <w:lang w:val="en-US" w:eastAsia="zh-CN"/>
              </w:rPr>
              <w:t>80</w:t>
            </w:r>
            <w:r>
              <w:t>/1</w:t>
            </w:r>
          </w:p>
        </w:tc>
        <w:tc>
          <w:tcPr>
            <w:tcW w:w="340" w:type="dxa"/>
            <w:vMerge w:val="restart"/>
            <w:tcMar>
              <w:left w:w="28" w:type="dxa"/>
              <w:right w:w="28" w:type="dxa"/>
            </w:tcMar>
            <w:vAlign w:val="center"/>
          </w:tcPr>
          <w:p w14:paraId="20A42954">
            <w:pPr>
              <w:pStyle w:val="75"/>
              <w:adjustRightInd w:val="0"/>
              <w:snapToGrid w:val="0"/>
              <w:contextualSpacing w:val="0"/>
              <w:rPr>
                <w:rFonts w:hint="default" w:eastAsia="宋体"/>
                <w:lang w:val="en-US" w:eastAsia="zh-CN"/>
              </w:rPr>
            </w:pPr>
            <w:r>
              <w:rPr>
                <w:rFonts w:hint="eastAsia"/>
                <w:lang w:val="en-US" w:eastAsia="zh-CN"/>
              </w:rPr>
              <w:t>30</w:t>
            </w:r>
          </w:p>
        </w:tc>
        <w:tc>
          <w:tcPr>
            <w:tcW w:w="511" w:type="dxa"/>
            <w:vMerge w:val="restart"/>
            <w:tcMar>
              <w:left w:w="28" w:type="dxa"/>
              <w:right w:w="28" w:type="dxa"/>
            </w:tcMar>
            <w:vAlign w:val="center"/>
          </w:tcPr>
          <w:p w14:paraId="56170E8C">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17AECBB3">
            <w:pPr>
              <w:pStyle w:val="75"/>
              <w:adjustRightInd w:val="0"/>
              <w:snapToGrid w:val="0"/>
              <w:contextualSpacing w:val="0"/>
              <w:rPr>
                <w:rFonts w:hint="default" w:eastAsia="宋体"/>
                <w:lang w:val="en-US" w:eastAsia="zh-CN"/>
              </w:rPr>
            </w:pPr>
            <w:r>
              <w:rPr>
                <w:rFonts w:hint="eastAsia"/>
                <w:lang w:val="en-US" w:eastAsia="zh-CN"/>
              </w:rPr>
              <w:t>94.8</w:t>
            </w:r>
          </w:p>
        </w:tc>
        <w:tc>
          <w:tcPr>
            <w:tcW w:w="340" w:type="dxa"/>
            <w:vMerge w:val="restart"/>
            <w:tcMar>
              <w:left w:w="28" w:type="dxa"/>
              <w:right w:w="28" w:type="dxa"/>
            </w:tcMar>
            <w:vAlign w:val="center"/>
          </w:tcPr>
          <w:p w14:paraId="2F1EB319">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19</w:t>
            </w:r>
          </w:p>
        </w:tc>
        <w:tc>
          <w:tcPr>
            <w:tcW w:w="340" w:type="dxa"/>
            <w:vMerge w:val="restart"/>
            <w:tcMar>
              <w:left w:w="28" w:type="dxa"/>
              <w:right w:w="28" w:type="dxa"/>
            </w:tcMar>
            <w:vAlign w:val="center"/>
          </w:tcPr>
          <w:p w14:paraId="5E4A6FB7">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96</w:t>
            </w:r>
          </w:p>
        </w:tc>
        <w:tc>
          <w:tcPr>
            <w:tcW w:w="340" w:type="dxa"/>
            <w:vMerge w:val="restart"/>
            <w:tcMar>
              <w:left w:w="28" w:type="dxa"/>
              <w:right w:w="28" w:type="dxa"/>
            </w:tcMar>
            <w:vAlign w:val="center"/>
          </w:tcPr>
          <w:p w14:paraId="5C71B6E9">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0.5</w:t>
            </w:r>
          </w:p>
        </w:tc>
        <w:tc>
          <w:tcPr>
            <w:tcW w:w="511" w:type="dxa"/>
            <w:tcMar>
              <w:left w:w="28" w:type="dxa"/>
              <w:right w:w="28" w:type="dxa"/>
            </w:tcMar>
            <w:vAlign w:val="center"/>
          </w:tcPr>
          <w:p w14:paraId="4ABC459E">
            <w:pPr>
              <w:spacing w:line="240" w:lineRule="auto"/>
              <w:ind w:firstLine="0" w:firstLineChars="0"/>
              <w:jc w:val="center"/>
              <w:rPr>
                <w:rFonts w:hint="default"/>
                <w:sz w:val="21"/>
                <w:szCs w:val="21"/>
                <w:lang w:val="en-US"/>
              </w:rPr>
            </w:pPr>
            <w:r>
              <w:rPr>
                <w:sz w:val="21"/>
                <w:szCs w:val="21"/>
              </w:rPr>
              <w:t>东</w:t>
            </w:r>
            <w:r>
              <w:rPr>
                <w:rFonts w:hint="eastAsia"/>
                <w:sz w:val="21"/>
                <w:szCs w:val="21"/>
                <w:lang w:val="en-US" w:eastAsia="zh-CN"/>
              </w:rPr>
              <w:t>50</w:t>
            </w:r>
          </w:p>
        </w:tc>
        <w:tc>
          <w:tcPr>
            <w:tcW w:w="511" w:type="dxa"/>
            <w:tcMar>
              <w:left w:w="28" w:type="dxa"/>
              <w:right w:w="28" w:type="dxa"/>
            </w:tcMar>
            <w:vAlign w:val="center"/>
          </w:tcPr>
          <w:p w14:paraId="26BC29C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55.8</w:t>
            </w:r>
          </w:p>
        </w:tc>
        <w:tc>
          <w:tcPr>
            <w:tcW w:w="340" w:type="dxa"/>
            <w:vMerge w:val="restart"/>
            <w:tcMar>
              <w:left w:w="28" w:type="dxa"/>
              <w:right w:w="28" w:type="dxa"/>
            </w:tcMar>
            <w:vAlign w:val="center"/>
          </w:tcPr>
          <w:p w14:paraId="3B117A47">
            <w:pPr>
              <w:pStyle w:val="75"/>
              <w:adjustRightInd w:val="0"/>
              <w:snapToGrid w:val="0"/>
              <w:contextualSpacing w:val="0"/>
            </w:pPr>
            <w:r>
              <w:t>持续运行</w:t>
            </w:r>
          </w:p>
        </w:tc>
        <w:tc>
          <w:tcPr>
            <w:tcW w:w="596" w:type="dxa"/>
            <w:vMerge w:val="restart"/>
            <w:tcMar>
              <w:left w:w="28" w:type="dxa"/>
              <w:right w:w="28" w:type="dxa"/>
            </w:tcMar>
            <w:vAlign w:val="center"/>
          </w:tcPr>
          <w:p w14:paraId="740B1AED">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1E23DC01">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35.8</w:t>
            </w:r>
          </w:p>
        </w:tc>
        <w:tc>
          <w:tcPr>
            <w:tcW w:w="955" w:type="dxa"/>
            <w:tcMar>
              <w:left w:w="28" w:type="dxa"/>
              <w:right w:w="28" w:type="dxa"/>
            </w:tcMar>
            <w:vAlign w:val="center"/>
          </w:tcPr>
          <w:p w14:paraId="2AFDF818">
            <w:pPr>
              <w:pStyle w:val="75"/>
              <w:adjustRightInd w:val="0"/>
              <w:snapToGrid w:val="0"/>
              <w:contextualSpacing w:val="0"/>
            </w:pPr>
            <w:r>
              <w:t>1m</w:t>
            </w:r>
          </w:p>
        </w:tc>
      </w:tr>
      <w:tr w14:paraId="25DB0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5F86E6B4">
            <w:pPr>
              <w:pStyle w:val="75"/>
              <w:adjustRightInd w:val="0"/>
              <w:snapToGrid w:val="0"/>
              <w:contextualSpacing w:val="0"/>
            </w:pPr>
          </w:p>
        </w:tc>
        <w:tc>
          <w:tcPr>
            <w:tcW w:w="511" w:type="dxa"/>
            <w:vMerge w:val="continue"/>
            <w:tcMar>
              <w:left w:w="28" w:type="dxa"/>
              <w:right w:w="28" w:type="dxa"/>
            </w:tcMar>
            <w:vAlign w:val="center"/>
          </w:tcPr>
          <w:p w14:paraId="19D6BEDE">
            <w:pPr>
              <w:pStyle w:val="75"/>
              <w:adjustRightInd w:val="0"/>
              <w:snapToGrid w:val="0"/>
              <w:contextualSpacing w:val="0"/>
            </w:pPr>
          </w:p>
        </w:tc>
        <w:tc>
          <w:tcPr>
            <w:tcW w:w="511" w:type="dxa"/>
            <w:vMerge w:val="continue"/>
            <w:tcMar>
              <w:left w:w="28" w:type="dxa"/>
              <w:right w:w="28" w:type="dxa"/>
            </w:tcMar>
            <w:vAlign w:val="center"/>
          </w:tcPr>
          <w:p w14:paraId="55DA1F5C">
            <w:pPr>
              <w:pStyle w:val="75"/>
              <w:adjustRightInd w:val="0"/>
              <w:snapToGrid w:val="0"/>
              <w:contextualSpacing w:val="0"/>
            </w:pPr>
          </w:p>
        </w:tc>
        <w:tc>
          <w:tcPr>
            <w:tcW w:w="426" w:type="dxa"/>
            <w:vMerge w:val="continue"/>
            <w:tcMar>
              <w:left w:w="28" w:type="dxa"/>
              <w:right w:w="28" w:type="dxa"/>
            </w:tcMar>
            <w:vAlign w:val="center"/>
          </w:tcPr>
          <w:p w14:paraId="5C89A8F3">
            <w:pPr>
              <w:pStyle w:val="75"/>
              <w:adjustRightInd w:val="0"/>
              <w:snapToGrid w:val="0"/>
              <w:contextualSpacing w:val="0"/>
              <w:rPr>
                <w:rFonts w:eastAsia="MS Gothic"/>
              </w:rPr>
            </w:pPr>
          </w:p>
        </w:tc>
        <w:tc>
          <w:tcPr>
            <w:tcW w:w="681" w:type="dxa"/>
            <w:vMerge w:val="continue"/>
            <w:tcMar>
              <w:left w:w="28" w:type="dxa"/>
              <w:right w:w="28" w:type="dxa"/>
            </w:tcMar>
            <w:vAlign w:val="center"/>
          </w:tcPr>
          <w:p w14:paraId="774202E5">
            <w:pPr>
              <w:pStyle w:val="75"/>
              <w:adjustRightInd w:val="0"/>
              <w:snapToGrid w:val="0"/>
              <w:contextualSpacing w:val="0"/>
            </w:pPr>
          </w:p>
        </w:tc>
        <w:tc>
          <w:tcPr>
            <w:tcW w:w="340" w:type="dxa"/>
            <w:vMerge w:val="continue"/>
            <w:tcMar>
              <w:left w:w="28" w:type="dxa"/>
              <w:right w:w="28" w:type="dxa"/>
            </w:tcMar>
            <w:vAlign w:val="center"/>
          </w:tcPr>
          <w:p w14:paraId="623CECCB">
            <w:pPr>
              <w:pStyle w:val="75"/>
              <w:adjustRightInd w:val="0"/>
              <w:snapToGrid w:val="0"/>
              <w:contextualSpacing w:val="0"/>
            </w:pPr>
          </w:p>
        </w:tc>
        <w:tc>
          <w:tcPr>
            <w:tcW w:w="511" w:type="dxa"/>
            <w:vMerge w:val="continue"/>
            <w:tcMar>
              <w:left w:w="28" w:type="dxa"/>
              <w:right w:w="28" w:type="dxa"/>
            </w:tcMar>
            <w:vAlign w:val="center"/>
          </w:tcPr>
          <w:p w14:paraId="4BA7F0E9">
            <w:pPr>
              <w:spacing w:line="240" w:lineRule="auto"/>
              <w:ind w:firstLine="0" w:firstLineChars="0"/>
              <w:jc w:val="center"/>
              <w:rPr>
                <w:sz w:val="21"/>
                <w:szCs w:val="21"/>
              </w:rPr>
            </w:pPr>
          </w:p>
        </w:tc>
        <w:tc>
          <w:tcPr>
            <w:tcW w:w="511" w:type="dxa"/>
            <w:vMerge w:val="continue"/>
            <w:tcMar>
              <w:left w:w="28" w:type="dxa"/>
              <w:right w:w="28" w:type="dxa"/>
            </w:tcMar>
            <w:vAlign w:val="center"/>
          </w:tcPr>
          <w:p w14:paraId="1E47E2DA">
            <w:pPr>
              <w:pStyle w:val="75"/>
              <w:adjustRightInd w:val="0"/>
              <w:snapToGrid w:val="0"/>
              <w:contextualSpacing w:val="0"/>
            </w:pPr>
          </w:p>
        </w:tc>
        <w:tc>
          <w:tcPr>
            <w:tcW w:w="340" w:type="dxa"/>
            <w:vMerge w:val="continue"/>
            <w:tcMar>
              <w:left w:w="28" w:type="dxa"/>
              <w:right w:w="28" w:type="dxa"/>
            </w:tcMar>
            <w:vAlign w:val="center"/>
          </w:tcPr>
          <w:p w14:paraId="5DC710C4">
            <w:pPr>
              <w:spacing w:line="240" w:lineRule="auto"/>
              <w:ind w:firstLine="0" w:firstLineChars="0"/>
              <w:jc w:val="center"/>
              <w:rPr>
                <w:sz w:val="21"/>
                <w:szCs w:val="21"/>
              </w:rPr>
            </w:pPr>
          </w:p>
        </w:tc>
        <w:tc>
          <w:tcPr>
            <w:tcW w:w="340" w:type="dxa"/>
            <w:vMerge w:val="continue"/>
            <w:tcMar>
              <w:left w:w="28" w:type="dxa"/>
              <w:right w:w="28" w:type="dxa"/>
            </w:tcMar>
            <w:vAlign w:val="center"/>
          </w:tcPr>
          <w:p w14:paraId="74A867CA">
            <w:pPr>
              <w:spacing w:line="240" w:lineRule="auto"/>
              <w:ind w:firstLine="0" w:firstLineChars="0"/>
              <w:jc w:val="center"/>
              <w:rPr>
                <w:sz w:val="21"/>
                <w:szCs w:val="21"/>
              </w:rPr>
            </w:pPr>
          </w:p>
        </w:tc>
        <w:tc>
          <w:tcPr>
            <w:tcW w:w="340" w:type="dxa"/>
            <w:vMerge w:val="continue"/>
            <w:tcMar>
              <w:left w:w="28" w:type="dxa"/>
              <w:right w:w="28" w:type="dxa"/>
            </w:tcMar>
            <w:vAlign w:val="center"/>
          </w:tcPr>
          <w:p w14:paraId="76C7052B">
            <w:pPr>
              <w:spacing w:line="240" w:lineRule="auto"/>
              <w:ind w:firstLine="0" w:firstLineChars="0"/>
              <w:jc w:val="center"/>
              <w:rPr>
                <w:sz w:val="21"/>
                <w:szCs w:val="21"/>
              </w:rPr>
            </w:pPr>
          </w:p>
        </w:tc>
        <w:tc>
          <w:tcPr>
            <w:tcW w:w="511" w:type="dxa"/>
            <w:tcMar>
              <w:left w:w="28" w:type="dxa"/>
              <w:right w:w="28" w:type="dxa"/>
            </w:tcMar>
            <w:vAlign w:val="center"/>
          </w:tcPr>
          <w:p w14:paraId="4E0711AB">
            <w:pPr>
              <w:spacing w:line="240" w:lineRule="auto"/>
              <w:ind w:firstLine="0" w:firstLineChars="0"/>
              <w:jc w:val="center"/>
              <w:rPr>
                <w:sz w:val="21"/>
                <w:szCs w:val="21"/>
              </w:rPr>
            </w:pPr>
            <w:r>
              <w:rPr>
                <w:sz w:val="21"/>
                <w:szCs w:val="21"/>
              </w:rPr>
              <w:t>南</w:t>
            </w:r>
            <w:r>
              <w:rPr>
                <w:rFonts w:hint="eastAsia"/>
                <w:sz w:val="21"/>
                <w:szCs w:val="21"/>
                <w:lang w:val="en-US" w:eastAsia="zh-CN"/>
              </w:rPr>
              <w:t>94</w:t>
            </w:r>
          </w:p>
        </w:tc>
        <w:tc>
          <w:tcPr>
            <w:tcW w:w="511" w:type="dxa"/>
            <w:tcMar>
              <w:left w:w="28" w:type="dxa"/>
              <w:right w:w="28" w:type="dxa"/>
            </w:tcMar>
            <w:vAlign w:val="center"/>
          </w:tcPr>
          <w:p w14:paraId="125048E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50.3</w:t>
            </w:r>
          </w:p>
        </w:tc>
        <w:tc>
          <w:tcPr>
            <w:tcW w:w="340" w:type="dxa"/>
            <w:vMerge w:val="continue"/>
            <w:tcMar>
              <w:left w:w="28" w:type="dxa"/>
              <w:right w:w="28" w:type="dxa"/>
            </w:tcMar>
            <w:vAlign w:val="center"/>
          </w:tcPr>
          <w:p w14:paraId="5AF78A7D">
            <w:pPr>
              <w:pStyle w:val="75"/>
              <w:adjustRightInd w:val="0"/>
              <w:snapToGrid w:val="0"/>
              <w:contextualSpacing w:val="0"/>
            </w:pPr>
          </w:p>
        </w:tc>
        <w:tc>
          <w:tcPr>
            <w:tcW w:w="596" w:type="dxa"/>
            <w:vMerge w:val="continue"/>
            <w:tcMar>
              <w:left w:w="28" w:type="dxa"/>
              <w:right w:w="28" w:type="dxa"/>
            </w:tcMar>
            <w:vAlign w:val="center"/>
          </w:tcPr>
          <w:p w14:paraId="135B0FEA">
            <w:pPr>
              <w:pStyle w:val="75"/>
              <w:adjustRightInd w:val="0"/>
              <w:snapToGrid w:val="0"/>
              <w:contextualSpacing w:val="0"/>
            </w:pPr>
          </w:p>
        </w:tc>
        <w:tc>
          <w:tcPr>
            <w:tcW w:w="623" w:type="dxa"/>
            <w:tcMar>
              <w:left w:w="28" w:type="dxa"/>
              <w:right w:w="28" w:type="dxa"/>
            </w:tcMar>
            <w:vAlign w:val="center"/>
          </w:tcPr>
          <w:p w14:paraId="2D32F324">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30.3</w:t>
            </w:r>
          </w:p>
        </w:tc>
        <w:tc>
          <w:tcPr>
            <w:tcW w:w="955" w:type="dxa"/>
            <w:tcMar>
              <w:left w:w="28" w:type="dxa"/>
              <w:right w:w="28" w:type="dxa"/>
            </w:tcMar>
            <w:vAlign w:val="center"/>
          </w:tcPr>
          <w:p w14:paraId="7F0D4AC7">
            <w:pPr>
              <w:pStyle w:val="75"/>
              <w:adjustRightInd w:val="0"/>
              <w:snapToGrid w:val="0"/>
              <w:contextualSpacing w:val="0"/>
            </w:pPr>
            <w:r>
              <w:t>1m</w:t>
            </w:r>
          </w:p>
        </w:tc>
      </w:tr>
      <w:tr w14:paraId="4C4988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55B3B6B4">
            <w:pPr>
              <w:pStyle w:val="75"/>
              <w:adjustRightInd w:val="0"/>
              <w:snapToGrid w:val="0"/>
              <w:contextualSpacing w:val="0"/>
            </w:pPr>
          </w:p>
        </w:tc>
        <w:tc>
          <w:tcPr>
            <w:tcW w:w="511" w:type="dxa"/>
            <w:vMerge w:val="continue"/>
            <w:tcMar>
              <w:left w:w="28" w:type="dxa"/>
              <w:right w:w="28" w:type="dxa"/>
            </w:tcMar>
            <w:vAlign w:val="center"/>
          </w:tcPr>
          <w:p w14:paraId="154861DE">
            <w:pPr>
              <w:pStyle w:val="75"/>
              <w:adjustRightInd w:val="0"/>
              <w:snapToGrid w:val="0"/>
              <w:contextualSpacing w:val="0"/>
            </w:pPr>
          </w:p>
        </w:tc>
        <w:tc>
          <w:tcPr>
            <w:tcW w:w="511" w:type="dxa"/>
            <w:vMerge w:val="continue"/>
            <w:tcMar>
              <w:left w:w="28" w:type="dxa"/>
              <w:right w:w="28" w:type="dxa"/>
            </w:tcMar>
            <w:vAlign w:val="center"/>
          </w:tcPr>
          <w:p w14:paraId="4A5FFF4B">
            <w:pPr>
              <w:pStyle w:val="75"/>
              <w:adjustRightInd w:val="0"/>
              <w:snapToGrid w:val="0"/>
              <w:contextualSpacing w:val="0"/>
            </w:pPr>
          </w:p>
        </w:tc>
        <w:tc>
          <w:tcPr>
            <w:tcW w:w="426" w:type="dxa"/>
            <w:vMerge w:val="continue"/>
            <w:tcMar>
              <w:left w:w="28" w:type="dxa"/>
              <w:right w:w="28" w:type="dxa"/>
            </w:tcMar>
            <w:vAlign w:val="center"/>
          </w:tcPr>
          <w:p w14:paraId="225C4306">
            <w:pPr>
              <w:pStyle w:val="75"/>
              <w:adjustRightInd w:val="0"/>
              <w:snapToGrid w:val="0"/>
              <w:contextualSpacing w:val="0"/>
              <w:rPr>
                <w:rFonts w:eastAsia="MS Gothic"/>
              </w:rPr>
            </w:pPr>
          </w:p>
        </w:tc>
        <w:tc>
          <w:tcPr>
            <w:tcW w:w="681" w:type="dxa"/>
            <w:vMerge w:val="continue"/>
            <w:tcMar>
              <w:left w:w="28" w:type="dxa"/>
              <w:right w:w="28" w:type="dxa"/>
            </w:tcMar>
            <w:vAlign w:val="center"/>
          </w:tcPr>
          <w:p w14:paraId="71694CF2">
            <w:pPr>
              <w:pStyle w:val="75"/>
              <w:adjustRightInd w:val="0"/>
              <w:snapToGrid w:val="0"/>
              <w:contextualSpacing w:val="0"/>
            </w:pPr>
          </w:p>
        </w:tc>
        <w:tc>
          <w:tcPr>
            <w:tcW w:w="340" w:type="dxa"/>
            <w:vMerge w:val="continue"/>
            <w:tcMar>
              <w:left w:w="28" w:type="dxa"/>
              <w:right w:w="28" w:type="dxa"/>
            </w:tcMar>
            <w:vAlign w:val="center"/>
          </w:tcPr>
          <w:p w14:paraId="1D50DF27">
            <w:pPr>
              <w:pStyle w:val="75"/>
              <w:adjustRightInd w:val="0"/>
              <w:snapToGrid w:val="0"/>
              <w:contextualSpacing w:val="0"/>
            </w:pPr>
          </w:p>
        </w:tc>
        <w:tc>
          <w:tcPr>
            <w:tcW w:w="511" w:type="dxa"/>
            <w:vMerge w:val="continue"/>
            <w:tcMar>
              <w:left w:w="28" w:type="dxa"/>
              <w:right w:w="28" w:type="dxa"/>
            </w:tcMar>
            <w:vAlign w:val="center"/>
          </w:tcPr>
          <w:p w14:paraId="3F2D7DAA">
            <w:pPr>
              <w:spacing w:line="240" w:lineRule="auto"/>
              <w:ind w:firstLine="0" w:firstLineChars="0"/>
              <w:jc w:val="center"/>
              <w:rPr>
                <w:sz w:val="21"/>
                <w:szCs w:val="21"/>
              </w:rPr>
            </w:pPr>
          </w:p>
        </w:tc>
        <w:tc>
          <w:tcPr>
            <w:tcW w:w="511" w:type="dxa"/>
            <w:vMerge w:val="continue"/>
            <w:tcMar>
              <w:left w:w="28" w:type="dxa"/>
              <w:right w:w="28" w:type="dxa"/>
            </w:tcMar>
            <w:vAlign w:val="center"/>
          </w:tcPr>
          <w:p w14:paraId="76CF3F78">
            <w:pPr>
              <w:pStyle w:val="75"/>
              <w:adjustRightInd w:val="0"/>
              <w:snapToGrid w:val="0"/>
              <w:contextualSpacing w:val="0"/>
            </w:pPr>
          </w:p>
        </w:tc>
        <w:tc>
          <w:tcPr>
            <w:tcW w:w="340" w:type="dxa"/>
            <w:vMerge w:val="continue"/>
            <w:tcMar>
              <w:left w:w="28" w:type="dxa"/>
              <w:right w:w="28" w:type="dxa"/>
            </w:tcMar>
            <w:vAlign w:val="center"/>
          </w:tcPr>
          <w:p w14:paraId="61DCBAF7">
            <w:pPr>
              <w:spacing w:line="240" w:lineRule="auto"/>
              <w:ind w:firstLine="0" w:firstLineChars="0"/>
              <w:jc w:val="center"/>
              <w:rPr>
                <w:sz w:val="21"/>
                <w:szCs w:val="21"/>
              </w:rPr>
            </w:pPr>
          </w:p>
        </w:tc>
        <w:tc>
          <w:tcPr>
            <w:tcW w:w="340" w:type="dxa"/>
            <w:vMerge w:val="continue"/>
            <w:tcMar>
              <w:left w:w="28" w:type="dxa"/>
              <w:right w:w="28" w:type="dxa"/>
            </w:tcMar>
            <w:vAlign w:val="center"/>
          </w:tcPr>
          <w:p w14:paraId="530F255B">
            <w:pPr>
              <w:spacing w:line="240" w:lineRule="auto"/>
              <w:ind w:firstLine="0" w:firstLineChars="0"/>
              <w:jc w:val="center"/>
              <w:rPr>
                <w:sz w:val="21"/>
                <w:szCs w:val="21"/>
              </w:rPr>
            </w:pPr>
          </w:p>
        </w:tc>
        <w:tc>
          <w:tcPr>
            <w:tcW w:w="340" w:type="dxa"/>
            <w:vMerge w:val="continue"/>
            <w:tcMar>
              <w:left w:w="28" w:type="dxa"/>
              <w:right w:w="28" w:type="dxa"/>
            </w:tcMar>
            <w:vAlign w:val="center"/>
          </w:tcPr>
          <w:p w14:paraId="74863C66">
            <w:pPr>
              <w:spacing w:line="240" w:lineRule="auto"/>
              <w:ind w:firstLine="0" w:firstLineChars="0"/>
              <w:jc w:val="center"/>
              <w:rPr>
                <w:sz w:val="21"/>
                <w:szCs w:val="21"/>
              </w:rPr>
            </w:pPr>
          </w:p>
        </w:tc>
        <w:tc>
          <w:tcPr>
            <w:tcW w:w="511" w:type="dxa"/>
            <w:tcMar>
              <w:left w:w="28" w:type="dxa"/>
              <w:right w:w="28" w:type="dxa"/>
            </w:tcMar>
            <w:vAlign w:val="center"/>
          </w:tcPr>
          <w:p w14:paraId="1DAFB967">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17</w:t>
            </w:r>
          </w:p>
        </w:tc>
        <w:tc>
          <w:tcPr>
            <w:tcW w:w="511" w:type="dxa"/>
            <w:tcMar>
              <w:left w:w="28" w:type="dxa"/>
              <w:right w:w="28" w:type="dxa"/>
            </w:tcMar>
            <w:vAlign w:val="center"/>
          </w:tcPr>
          <w:p w14:paraId="65028B4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65.2</w:t>
            </w:r>
          </w:p>
        </w:tc>
        <w:tc>
          <w:tcPr>
            <w:tcW w:w="340" w:type="dxa"/>
            <w:vMerge w:val="continue"/>
            <w:tcMar>
              <w:left w:w="28" w:type="dxa"/>
              <w:right w:w="28" w:type="dxa"/>
            </w:tcMar>
            <w:vAlign w:val="center"/>
          </w:tcPr>
          <w:p w14:paraId="282FE568">
            <w:pPr>
              <w:pStyle w:val="75"/>
              <w:adjustRightInd w:val="0"/>
              <w:snapToGrid w:val="0"/>
              <w:contextualSpacing w:val="0"/>
            </w:pPr>
          </w:p>
        </w:tc>
        <w:tc>
          <w:tcPr>
            <w:tcW w:w="596" w:type="dxa"/>
            <w:vMerge w:val="continue"/>
            <w:tcMar>
              <w:left w:w="28" w:type="dxa"/>
              <w:right w:w="28" w:type="dxa"/>
            </w:tcMar>
            <w:vAlign w:val="center"/>
          </w:tcPr>
          <w:p w14:paraId="03ACFC0F">
            <w:pPr>
              <w:pStyle w:val="75"/>
              <w:adjustRightInd w:val="0"/>
              <w:snapToGrid w:val="0"/>
              <w:contextualSpacing w:val="0"/>
            </w:pPr>
          </w:p>
        </w:tc>
        <w:tc>
          <w:tcPr>
            <w:tcW w:w="623" w:type="dxa"/>
            <w:tcMar>
              <w:left w:w="28" w:type="dxa"/>
              <w:right w:w="28" w:type="dxa"/>
            </w:tcMar>
            <w:vAlign w:val="center"/>
          </w:tcPr>
          <w:p w14:paraId="3A5ED067">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45.2</w:t>
            </w:r>
          </w:p>
        </w:tc>
        <w:tc>
          <w:tcPr>
            <w:tcW w:w="955" w:type="dxa"/>
            <w:tcMar>
              <w:left w:w="28" w:type="dxa"/>
              <w:right w:w="28" w:type="dxa"/>
            </w:tcMar>
            <w:vAlign w:val="center"/>
          </w:tcPr>
          <w:p w14:paraId="2D073646">
            <w:pPr>
              <w:pStyle w:val="75"/>
              <w:adjustRightInd w:val="0"/>
              <w:snapToGrid w:val="0"/>
              <w:contextualSpacing w:val="0"/>
            </w:pPr>
            <w:r>
              <w:t>1m</w:t>
            </w:r>
          </w:p>
        </w:tc>
      </w:tr>
      <w:tr w14:paraId="650E0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4DC37A22">
            <w:pPr>
              <w:pStyle w:val="75"/>
              <w:adjustRightInd w:val="0"/>
              <w:snapToGrid w:val="0"/>
              <w:contextualSpacing w:val="0"/>
            </w:pPr>
          </w:p>
        </w:tc>
        <w:tc>
          <w:tcPr>
            <w:tcW w:w="511" w:type="dxa"/>
            <w:vMerge w:val="continue"/>
            <w:tcMar>
              <w:left w:w="28" w:type="dxa"/>
              <w:right w:w="28" w:type="dxa"/>
            </w:tcMar>
            <w:vAlign w:val="center"/>
          </w:tcPr>
          <w:p w14:paraId="6DC0DA2B">
            <w:pPr>
              <w:pStyle w:val="75"/>
              <w:adjustRightInd w:val="0"/>
              <w:snapToGrid w:val="0"/>
              <w:contextualSpacing w:val="0"/>
            </w:pPr>
          </w:p>
        </w:tc>
        <w:tc>
          <w:tcPr>
            <w:tcW w:w="511" w:type="dxa"/>
            <w:vMerge w:val="continue"/>
            <w:tcMar>
              <w:left w:w="28" w:type="dxa"/>
              <w:right w:w="28" w:type="dxa"/>
            </w:tcMar>
            <w:vAlign w:val="center"/>
          </w:tcPr>
          <w:p w14:paraId="06661B8E">
            <w:pPr>
              <w:pStyle w:val="75"/>
              <w:adjustRightInd w:val="0"/>
              <w:snapToGrid w:val="0"/>
              <w:contextualSpacing w:val="0"/>
            </w:pPr>
          </w:p>
        </w:tc>
        <w:tc>
          <w:tcPr>
            <w:tcW w:w="426" w:type="dxa"/>
            <w:vMerge w:val="continue"/>
            <w:tcMar>
              <w:left w:w="28" w:type="dxa"/>
              <w:right w:w="28" w:type="dxa"/>
            </w:tcMar>
            <w:vAlign w:val="center"/>
          </w:tcPr>
          <w:p w14:paraId="780CCCBD">
            <w:pPr>
              <w:pStyle w:val="75"/>
              <w:adjustRightInd w:val="0"/>
              <w:snapToGrid w:val="0"/>
              <w:contextualSpacing w:val="0"/>
              <w:rPr>
                <w:rFonts w:eastAsia="MS Gothic"/>
              </w:rPr>
            </w:pPr>
          </w:p>
        </w:tc>
        <w:tc>
          <w:tcPr>
            <w:tcW w:w="681" w:type="dxa"/>
            <w:vMerge w:val="continue"/>
            <w:tcMar>
              <w:left w:w="28" w:type="dxa"/>
              <w:right w:w="28" w:type="dxa"/>
            </w:tcMar>
            <w:vAlign w:val="center"/>
          </w:tcPr>
          <w:p w14:paraId="55EF1FDA">
            <w:pPr>
              <w:pStyle w:val="75"/>
              <w:adjustRightInd w:val="0"/>
              <w:snapToGrid w:val="0"/>
              <w:contextualSpacing w:val="0"/>
            </w:pPr>
          </w:p>
        </w:tc>
        <w:tc>
          <w:tcPr>
            <w:tcW w:w="340" w:type="dxa"/>
            <w:vMerge w:val="continue"/>
            <w:tcMar>
              <w:left w:w="28" w:type="dxa"/>
              <w:right w:w="28" w:type="dxa"/>
            </w:tcMar>
            <w:vAlign w:val="center"/>
          </w:tcPr>
          <w:p w14:paraId="1053D683">
            <w:pPr>
              <w:pStyle w:val="75"/>
              <w:adjustRightInd w:val="0"/>
              <w:snapToGrid w:val="0"/>
              <w:contextualSpacing w:val="0"/>
            </w:pPr>
          </w:p>
        </w:tc>
        <w:tc>
          <w:tcPr>
            <w:tcW w:w="511" w:type="dxa"/>
            <w:vMerge w:val="continue"/>
            <w:tcMar>
              <w:left w:w="28" w:type="dxa"/>
              <w:right w:w="28" w:type="dxa"/>
            </w:tcMar>
            <w:vAlign w:val="center"/>
          </w:tcPr>
          <w:p w14:paraId="799CF645">
            <w:pPr>
              <w:spacing w:line="240" w:lineRule="auto"/>
              <w:ind w:firstLine="0" w:firstLineChars="0"/>
              <w:jc w:val="center"/>
              <w:rPr>
                <w:sz w:val="21"/>
                <w:szCs w:val="21"/>
              </w:rPr>
            </w:pPr>
          </w:p>
        </w:tc>
        <w:tc>
          <w:tcPr>
            <w:tcW w:w="511" w:type="dxa"/>
            <w:vMerge w:val="continue"/>
            <w:tcMar>
              <w:left w:w="28" w:type="dxa"/>
              <w:right w:w="28" w:type="dxa"/>
            </w:tcMar>
            <w:vAlign w:val="center"/>
          </w:tcPr>
          <w:p w14:paraId="165583E7">
            <w:pPr>
              <w:pStyle w:val="75"/>
              <w:adjustRightInd w:val="0"/>
              <w:snapToGrid w:val="0"/>
              <w:contextualSpacing w:val="0"/>
            </w:pPr>
          </w:p>
        </w:tc>
        <w:tc>
          <w:tcPr>
            <w:tcW w:w="340" w:type="dxa"/>
            <w:vMerge w:val="continue"/>
            <w:tcMar>
              <w:left w:w="28" w:type="dxa"/>
              <w:right w:w="28" w:type="dxa"/>
            </w:tcMar>
            <w:vAlign w:val="center"/>
          </w:tcPr>
          <w:p w14:paraId="34A03999">
            <w:pPr>
              <w:spacing w:line="240" w:lineRule="auto"/>
              <w:ind w:firstLine="0" w:firstLineChars="0"/>
              <w:jc w:val="center"/>
              <w:rPr>
                <w:sz w:val="21"/>
                <w:szCs w:val="21"/>
              </w:rPr>
            </w:pPr>
          </w:p>
        </w:tc>
        <w:tc>
          <w:tcPr>
            <w:tcW w:w="340" w:type="dxa"/>
            <w:vMerge w:val="continue"/>
            <w:tcMar>
              <w:left w:w="28" w:type="dxa"/>
              <w:right w:w="28" w:type="dxa"/>
            </w:tcMar>
            <w:vAlign w:val="center"/>
          </w:tcPr>
          <w:p w14:paraId="4289FC71">
            <w:pPr>
              <w:spacing w:line="240" w:lineRule="auto"/>
              <w:ind w:firstLine="0" w:firstLineChars="0"/>
              <w:jc w:val="center"/>
              <w:rPr>
                <w:sz w:val="21"/>
                <w:szCs w:val="21"/>
              </w:rPr>
            </w:pPr>
          </w:p>
        </w:tc>
        <w:tc>
          <w:tcPr>
            <w:tcW w:w="340" w:type="dxa"/>
            <w:vMerge w:val="continue"/>
            <w:tcMar>
              <w:left w:w="28" w:type="dxa"/>
              <w:right w:w="28" w:type="dxa"/>
            </w:tcMar>
            <w:vAlign w:val="center"/>
          </w:tcPr>
          <w:p w14:paraId="3CD94BE2">
            <w:pPr>
              <w:spacing w:line="240" w:lineRule="auto"/>
              <w:ind w:firstLine="0" w:firstLineChars="0"/>
              <w:jc w:val="center"/>
              <w:rPr>
                <w:sz w:val="21"/>
                <w:szCs w:val="21"/>
              </w:rPr>
            </w:pPr>
          </w:p>
        </w:tc>
        <w:tc>
          <w:tcPr>
            <w:tcW w:w="511" w:type="dxa"/>
            <w:tcMar>
              <w:left w:w="28" w:type="dxa"/>
              <w:right w:w="28" w:type="dxa"/>
            </w:tcMar>
            <w:vAlign w:val="center"/>
          </w:tcPr>
          <w:p w14:paraId="386F9929">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24</w:t>
            </w:r>
          </w:p>
        </w:tc>
        <w:tc>
          <w:tcPr>
            <w:tcW w:w="511" w:type="dxa"/>
            <w:tcMar>
              <w:left w:w="28" w:type="dxa"/>
              <w:right w:w="28" w:type="dxa"/>
            </w:tcMar>
            <w:vAlign w:val="center"/>
          </w:tcPr>
          <w:p w14:paraId="1E85A83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62.2</w:t>
            </w:r>
          </w:p>
        </w:tc>
        <w:tc>
          <w:tcPr>
            <w:tcW w:w="340" w:type="dxa"/>
            <w:vMerge w:val="continue"/>
            <w:tcMar>
              <w:left w:w="28" w:type="dxa"/>
              <w:right w:w="28" w:type="dxa"/>
            </w:tcMar>
            <w:vAlign w:val="center"/>
          </w:tcPr>
          <w:p w14:paraId="1930588B">
            <w:pPr>
              <w:pStyle w:val="75"/>
              <w:adjustRightInd w:val="0"/>
              <w:snapToGrid w:val="0"/>
              <w:contextualSpacing w:val="0"/>
            </w:pPr>
          </w:p>
        </w:tc>
        <w:tc>
          <w:tcPr>
            <w:tcW w:w="596" w:type="dxa"/>
            <w:vMerge w:val="continue"/>
            <w:tcMar>
              <w:left w:w="28" w:type="dxa"/>
              <w:right w:w="28" w:type="dxa"/>
            </w:tcMar>
            <w:vAlign w:val="center"/>
          </w:tcPr>
          <w:p w14:paraId="6202B96C">
            <w:pPr>
              <w:pStyle w:val="75"/>
              <w:adjustRightInd w:val="0"/>
              <w:snapToGrid w:val="0"/>
              <w:contextualSpacing w:val="0"/>
            </w:pPr>
          </w:p>
        </w:tc>
        <w:tc>
          <w:tcPr>
            <w:tcW w:w="623" w:type="dxa"/>
            <w:tcMar>
              <w:left w:w="28" w:type="dxa"/>
              <w:right w:w="28" w:type="dxa"/>
            </w:tcMar>
            <w:vAlign w:val="center"/>
          </w:tcPr>
          <w:p w14:paraId="14FD0FF8">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42.2</w:t>
            </w:r>
          </w:p>
        </w:tc>
        <w:tc>
          <w:tcPr>
            <w:tcW w:w="955" w:type="dxa"/>
            <w:tcMar>
              <w:left w:w="28" w:type="dxa"/>
              <w:right w:w="28" w:type="dxa"/>
            </w:tcMar>
            <w:vAlign w:val="center"/>
          </w:tcPr>
          <w:p w14:paraId="4BC59356">
            <w:pPr>
              <w:pStyle w:val="75"/>
              <w:adjustRightInd w:val="0"/>
              <w:snapToGrid w:val="0"/>
              <w:contextualSpacing w:val="0"/>
            </w:pPr>
            <w:r>
              <w:t>1m</w:t>
            </w:r>
          </w:p>
        </w:tc>
      </w:tr>
      <w:tr w14:paraId="6C0292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restart"/>
            <w:tcMar>
              <w:left w:w="28" w:type="dxa"/>
              <w:right w:w="28" w:type="dxa"/>
            </w:tcMar>
            <w:vAlign w:val="center"/>
          </w:tcPr>
          <w:p w14:paraId="6883024C">
            <w:pPr>
              <w:pStyle w:val="75"/>
              <w:adjustRightInd w:val="0"/>
              <w:snapToGrid w:val="0"/>
              <w:contextualSpacing w:val="0"/>
            </w:pPr>
            <w:r>
              <w:rPr>
                <w:rFonts w:hint="eastAsia"/>
              </w:rPr>
              <w:t>2</w:t>
            </w:r>
          </w:p>
        </w:tc>
        <w:tc>
          <w:tcPr>
            <w:tcW w:w="511" w:type="dxa"/>
            <w:vMerge w:val="continue"/>
            <w:tcMar>
              <w:left w:w="28" w:type="dxa"/>
              <w:right w:w="28" w:type="dxa"/>
            </w:tcMar>
            <w:vAlign w:val="center"/>
          </w:tcPr>
          <w:p w14:paraId="3989095E">
            <w:pPr>
              <w:pStyle w:val="75"/>
              <w:adjustRightInd w:val="0"/>
              <w:snapToGrid w:val="0"/>
              <w:contextualSpacing w:val="0"/>
            </w:pPr>
          </w:p>
        </w:tc>
        <w:tc>
          <w:tcPr>
            <w:tcW w:w="511" w:type="dxa"/>
            <w:vMerge w:val="restart"/>
            <w:tcMar>
              <w:left w:w="28" w:type="dxa"/>
              <w:right w:w="28" w:type="dxa"/>
            </w:tcMar>
            <w:vAlign w:val="center"/>
          </w:tcPr>
          <w:p w14:paraId="7CCB0269">
            <w:pPr>
              <w:pStyle w:val="75"/>
              <w:adjustRightInd w:val="0"/>
              <w:snapToGrid w:val="0"/>
              <w:contextualSpacing w:val="0"/>
              <w:rPr>
                <w:rFonts w:hint="eastAsia"/>
              </w:rPr>
            </w:pPr>
            <w:r>
              <w:rPr>
                <w:rFonts w:hint="eastAsia"/>
              </w:rPr>
              <w:t>分</w:t>
            </w:r>
          </w:p>
          <w:p w14:paraId="50841BA3">
            <w:pPr>
              <w:pStyle w:val="75"/>
              <w:adjustRightInd w:val="0"/>
              <w:snapToGrid w:val="0"/>
              <w:contextualSpacing w:val="0"/>
              <w:rPr>
                <w:rFonts w:hint="eastAsia"/>
              </w:rPr>
            </w:pPr>
            <w:r>
              <w:rPr>
                <w:rFonts w:hint="eastAsia"/>
              </w:rPr>
              <w:t>切</w:t>
            </w:r>
          </w:p>
          <w:p w14:paraId="0980574C">
            <w:pPr>
              <w:pStyle w:val="75"/>
              <w:adjustRightInd w:val="0"/>
              <w:snapToGrid w:val="0"/>
              <w:contextualSpacing w:val="0"/>
            </w:pPr>
            <w:r>
              <w:rPr>
                <w:rFonts w:hint="eastAsia"/>
              </w:rPr>
              <w:t>机</w:t>
            </w:r>
          </w:p>
        </w:tc>
        <w:tc>
          <w:tcPr>
            <w:tcW w:w="426" w:type="dxa"/>
            <w:vMerge w:val="restart"/>
            <w:tcMar>
              <w:left w:w="28" w:type="dxa"/>
              <w:right w:w="28" w:type="dxa"/>
            </w:tcMar>
            <w:vAlign w:val="center"/>
          </w:tcPr>
          <w:p w14:paraId="09425FFE">
            <w:pPr>
              <w:pStyle w:val="75"/>
              <w:adjustRightInd w:val="0"/>
              <w:snapToGrid w:val="0"/>
              <w:contextualSpacing w:val="0"/>
            </w:pPr>
            <w:r>
              <w:rPr>
                <w:rFonts w:hint="eastAsia"/>
              </w:rPr>
              <w:t>/</w:t>
            </w:r>
          </w:p>
        </w:tc>
        <w:tc>
          <w:tcPr>
            <w:tcW w:w="681" w:type="dxa"/>
            <w:vMerge w:val="restart"/>
            <w:tcMar>
              <w:left w:w="28" w:type="dxa"/>
              <w:right w:w="28" w:type="dxa"/>
            </w:tcMar>
            <w:vAlign w:val="center"/>
          </w:tcPr>
          <w:p w14:paraId="41A23EB5">
            <w:pPr>
              <w:pStyle w:val="75"/>
              <w:adjustRightInd w:val="0"/>
              <w:snapToGrid w:val="0"/>
              <w:contextualSpacing w:val="0"/>
            </w:pPr>
            <w:r>
              <w:rPr>
                <w:rFonts w:hint="eastAsia"/>
                <w:lang w:val="en-US" w:eastAsia="zh-CN"/>
              </w:rPr>
              <w:t>75</w:t>
            </w:r>
            <w:r>
              <w:t>/1</w:t>
            </w:r>
          </w:p>
        </w:tc>
        <w:tc>
          <w:tcPr>
            <w:tcW w:w="340" w:type="dxa"/>
            <w:vMerge w:val="restart"/>
            <w:tcMar>
              <w:left w:w="28" w:type="dxa"/>
              <w:right w:w="28" w:type="dxa"/>
            </w:tcMar>
            <w:vAlign w:val="center"/>
          </w:tcPr>
          <w:p w14:paraId="648ED8A8">
            <w:pPr>
              <w:pStyle w:val="75"/>
              <w:adjustRightInd w:val="0"/>
              <w:snapToGrid w:val="0"/>
              <w:contextualSpacing w:val="0"/>
              <w:rPr>
                <w:rFonts w:hint="eastAsia" w:eastAsia="宋体"/>
                <w:lang w:eastAsia="zh-CN"/>
              </w:rPr>
            </w:pPr>
            <w:r>
              <w:rPr>
                <w:rFonts w:hint="eastAsia"/>
                <w:lang w:val="en-US" w:eastAsia="zh-CN"/>
              </w:rPr>
              <w:t>4</w:t>
            </w:r>
          </w:p>
        </w:tc>
        <w:tc>
          <w:tcPr>
            <w:tcW w:w="511" w:type="dxa"/>
            <w:vMerge w:val="restart"/>
            <w:tcMar>
              <w:left w:w="28" w:type="dxa"/>
              <w:right w:w="28" w:type="dxa"/>
            </w:tcMar>
            <w:vAlign w:val="center"/>
          </w:tcPr>
          <w:p w14:paraId="1F003188">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72DF6435">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81.0</w:t>
            </w:r>
          </w:p>
        </w:tc>
        <w:tc>
          <w:tcPr>
            <w:tcW w:w="340" w:type="dxa"/>
            <w:vMerge w:val="restart"/>
            <w:tcMar>
              <w:left w:w="28" w:type="dxa"/>
              <w:right w:w="28" w:type="dxa"/>
            </w:tcMar>
            <w:vAlign w:val="center"/>
          </w:tcPr>
          <w:p w14:paraId="02DF4B8A">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13</w:t>
            </w:r>
          </w:p>
        </w:tc>
        <w:tc>
          <w:tcPr>
            <w:tcW w:w="340" w:type="dxa"/>
            <w:vMerge w:val="restart"/>
            <w:tcMar>
              <w:left w:w="28" w:type="dxa"/>
              <w:right w:w="28" w:type="dxa"/>
            </w:tcMar>
            <w:vAlign w:val="center"/>
          </w:tcPr>
          <w:p w14:paraId="40D49180">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92</w:t>
            </w:r>
          </w:p>
        </w:tc>
        <w:tc>
          <w:tcPr>
            <w:tcW w:w="340" w:type="dxa"/>
            <w:vMerge w:val="restart"/>
            <w:tcMar>
              <w:left w:w="28" w:type="dxa"/>
              <w:right w:w="28" w:type="dxa"/>
            </w:tcMar>
            <w:vAlign w:val="center"/>
          </w:tcPr>
          <w:p w14:paraId="4C23301F">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555C7A9F">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60</w:t>
            </w:r>
          </w:p>
        </w:tc>
        <w:tc>
          <w:tcPr>
            <w:tcW w:w="511" w:type="dxa"/>
            <w:tcMar>
              <w:left w:w="28" w:type="dxa"/>
              <w:right w:w="28" w:type="dxa"/>
            </w:tcMar>
            <w:vAlign w:val="center"/>
          </w:tcPr>
          <w:p w14:paraId="4D43FA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40.5</w:t>
            </w:r>
          </w:p>
        </w:tc>
        <w:tc>
          <w:tcPr>
            <w:tcW w:w="340" w:type="dxa"/>
            <w:vMerge w:val="restart"/>
            <w:tcMar>
              <w:left w:w="28" w:type="dxa"/>
              <w:right w:w="28" w:type="dxa"/>
            </w:tcMar>
            <w:vAlign w:val="center"/>
          </w:tcPr>
          <w:p w14:paraId="3E8D624D">
            <w:pPr>
              <w:pStyle w:val="75"/>
              <w:adjustRightInd w:val="0"/>
              <w:snapToGrid w:val="0"/>
              <w:contextualSpacing w:val="0"/>
            </w:pPr>
            <w:r>
              <w:t>持续运行</w:t>
            </w:r>
          </w:p>
        </w:tc>
        <w:tc>
          <w:tcPr>
            <w:tcW w:w="596" w:type="dxa"/>
            <w:vMerge w:val="restart"/>
            <w:tcMar>
              <w:left w:w="28" w:type="dxa"/>
              <w:right w:w="28" w:type="dxa"/>
            </w:tcMar>
            <w:vAlign w:val="center"/>
          </w:tcPr>
          <w:p w14:paraId="08DB689C">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09CA207C">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20.5</w:t>
            </w:r>
          </w:p>
        </w:tc>
        <w:tc>
          <w:tcPr>
            <w:tcW w:w="955" w:type="dxa"/>
            <w:tcMar>
              <w:left w:w="28" w:type="dxa"/>
              <w:right w:w="28" w:type="dxa"/>
            </w:tcMar>
            <w:vAlign w:val="center"/>
          </w:tcPr>
          <w:p w14:paraId="26F0F77F">
            <w:pPr>
              <w:pStyle w:val="75"/>
              <w:adjustRightInd w:val="0"/>
              <w:snapToGrid w:val="0"/>
              <w:contextualSpacing w:val="0"/>
            </w:pPr>
            <w:r>
              <w:t>1m</w:t>
            </w:r>
          </w:p>
        </w:tc>
      </w:tr>
      <w:tr w14:paraId="044CA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0D548BA8">
            <w:pPr>
              <w:pStyle w:val="75"/>
              <w:adjustRightInd w:val="0"/>
              <w:snapToGrid w:val="0"/>
              <w:contextualSpacing w:val="0"/>
            </w:pPr>
          </w:p>
        </w:tc>
        <w:tc>
          <w:tcPr>
            <w:tcW w:w="511" w:type="dxa"/>
            <w:vMerge w:val="continue"/>
            <w:tcMar>
              <w:left w:w="28" w:type="dxa"/>
              <w:right w:w="28" w:type="dxa"/>
            </w:tcMar>
            <w:vAlign w:val="center"/>
          </w:tcPr>
          <w:p w14:paraId="79BAE6B9">
            <w:pPr>
              <w:pStyle w:val="75"/>
              <w:adjustRightInd w:val="0"/>
              <w:snapToGrid w:val="0"/>
              <w:contextualSpacing w:val="0"/>
            </w:pPr>
          </w:p>
        </w:tc>
        <w:tc>
          <w:tcPr>
            <w:tcW w:w="511" w:type="dxa"/>
            <w:vMerge w:val="continue"/>
            <w:tcMar>
              <w:left w:w="28" w:type="dxa"/>
              <w:right w:w="28" w:type="dxa"/>
            </w:tcMar>
            <w:vAlign w:val="center"/>
          </w:tcPr>
          <w:p w14:paraId="4478D665">
            <w:pPr>
              <w:pStyle w:val="75"/>
              <w:adjustRightInd w:val="0"/>
              <w:snapToGrid w:val="0"/>
              <w:contextualSpacing w:val="0"/>
            </w:pPr>
          </w:p>
        </w:tc>
        <w:tc>
          <w:tcPr>
            <w:tcW w:w="426" w:type="dxa"/>
            <w:vMerge w:val="continue"/>
            <w:tcMar>
              <w:left w:w="28" w:type="dxa"/>
              <w:right w:w="28" w:type="dxa"/>
            </w:tcMar>
            <w:vAlign w:val="center"/>
          </w:tcPr>
          <w:p w14:paraId="1920D3FC">
            <w:pPr>
              <w:pStyle w:val="75"/>
              <w:adjustRightInd w:val="0"/>
              <w:snapToGrid w:val="0"/>
              <w:contextualSpacing w:val="0"/>
            </w:pPr>
          </w:p>
        </w:tc>
        <w:tc>
          <w:tcPr>
            <w:tcW w:w="681" w:type="dxa"/>
            <w:vMerge w:val="continue"/>
            <w:tcMar>
              <w:left w:w="28" w:type="dxa"/>
              <w:right w:w="28" w:type="dxa"/>
            </w:tcMar>
            <w:vAlign w:val="center"/>
          </w:tcPr>
          <w:p w14:paraId="0F74FB82">
            <w:pPr>
              <w:pStyle w:val="75"/>
              <w:adjustRightInd w:val="0"/>
              <w:snapToGrid w:val="0"/>
              <w:contextualSpacing w:val="0"/>
            </w:pPr>
          </w:p>
        </w:tc>
        <w:tc>
          <w:tcPr>
            <w:tcW w:w="340" w:type="dxa"/>
            <w:vMerge w:val="continue"/>
            <w:tcMar>
              <w:left w:w="28" w:type="dxa"/>
              <w:right w:w="28" w:type="dxa"/>
            </w:tcMar>
            <w:vAlign w:val="center"/>
          </w:tcPr>
          <w:p w14:paraId="3AFE39B8">
            <w:pPr>
              <w:pStyle w:val="75"/>
              <w:adjustRightInd w:val="0"/>
              <w:snapToGrid w:val="0"/>
              <w:contextualSpacing w:val="0"/>
            </w:pPr>
          </w:p>
        </w:tc>
        <w:tc>
          <w:tcPr>
            <w:tcW w:w="511" w:type="dxa"/>
            <w:vMerge w:val="continue"/>
            <w:tcMar>
              <w:left w:w="28" w:type="dxa"/>
              <w:right w:w="28" w:type="dxa"/>
            </w:tcMar>
            <w:vAlign w:val="center"/>
          </w:tcPr>
          <w:p w14:paraId="13F0DF3E">
            <w:pPr>
              <w:spacing w:line="240" w:lineRule="auto"/>
              <w:ind w:firstLine="0" w:firstLineChars="0"/>
              <w:jc w:val="center"/>
              <w:rPr>
                <w:sz w:val="21"/>
                <w:szCs w:val="21"/>
              </w:rPr>
            </w:pPr>
          </w:p>
        </w:tc>
        <w:tc>
          <w:tcPr>
            <w:tcW w:w="511" w:type="dxa"/>
            <w:vMerge w:val="continue"/>
            <w:tcMar>
              <w:left w:w="28" w:type="dxa"/>
              <w:right w:w="28" w:type="dxa"/>
            </w:tcMar>
            <w:vAlign w:val="center"/>
          </w:tcPr>
          <w:p w14:paraId="2DC9839C">
            <w:pPr>
              <w:pStyle w:val="75"/>
              <w:adjustRightInd w:val="0"/>
              <w:snapToGrid w:val="0"/>
              <w:contextualSpacing w:val="0"/>
            </w:pPr>
          </w:p>
        </w:tc>
        <w:tc>
          <w:tcPr>
            <w:tcW w:w="340" w:type="dxa"/>
            <w:vMerge w:val="continue"/>
            <w:tcMar>
              <w:left w:w="28" w:type="dxa"/>
              <w:right w:w="28" w:type="dxa"/>
            </w:tcMar>
            <w:vAlign w:val="center"/>
          </w:tcPr>
          <w:p w14:paraId="712BF4F5">
            <w:pPr>
              <w:spacing w:line="240" w:lineRule="auto"/>
              <w:ind w:firstLine="0" w:firstLineChars="0"/>
              <w:jc w:val="center"/>
              <w:rPr>
                <w:sz w:val="21"/>
                <w:szCs w:val="21"/>
              </w:rPr>
            </w:pPr>
          </w:p>
        </w:tc>
        <w:tc>
          <w:tcPr>
            <w:tcW w:w="340" w:type="dxa"/>
            <w:vMerge w:val="continue"/>
            <w:tcMar>
              <w:left w:w="28" w:type="dxa"/>
              <w:right w:w="28" w:type="dxa"/>
            </w:tcMar>
            <w:vAlign w:val="center"/>
          </w:tcPr>
          <w:p w14:paraId="35AE3FDE">
            <w:pPr>
              <w:spacing w:line="240" w:lineRule="auto"/>
              <w:ind w:firstLine="0" w:firstLineChars="0"/>
              <w:jc w:val="center"/>
              <w:rPr>
                <w:sz w:val="21"/>
                <w:szCs w:val="21"/>
              </w:rPr>
            </w:pPr>
          </w:p>
        </w:tc>
        <w:tc>
          <w:tcPr>
            <w:tcW w:w="340" w:type="dxa"/>
            <w:vMerge w:val="continue"/>
            <w:tcMar>
              <w:left w:w="28" w:type="dxa"/>
              <w:right w:w="28" w:type="dxa"/>
            </w:tcMar>
            <w:vAlign w:val="center"/>
          </w:tcPr>
          <w:p w14:paraId="2F2FB40C">
            <w:pPr>
              <w:spacing w:line="240" w:lineRule="auto"/>
              <w:ind w:firstLine="0" w:firstLineChars="0"/>
              <w:jc w:val="center"/>
              <w:rPr>
                <w:sz w:val="21"/>
                <w:szCs w:val="21"/>
              </w:rPr>
            </w:pPr>
          </w:p>
        </w:tc>
        <w:tc>
          <w:tcPr>
            <w:tcW w:w="511" w:type="dxa"/>
            <w:tcMar>
              <w:left w:w="28" w:type="dxa"/>
              <w:right w:w="28" w:type="dxa"/>
            </w:tcMar>
            <w:vAlign w:val="center"/>
          </w:tcPr>
          <w:p w14:paraId="0C42B6CE">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90</w:t>
            </w:r>
          </w:p>
        </w:tc>
        <w:tc>
          <w:tcPr>
            <w:tcW w:w="511" w:type="dxa"/>
            <w:tcMar>
              <w:left w:w="28" w:type="dxa"/>
              <w:right w:w="28" w:type="dxa"/>
            </w:tcMar>
            <w:vAlign w:val="center"/>
          </w:tcPr>
          <w:p w14:paraId="45563DF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36.9</w:t>
            </w:r>
          </w:p>
        </w:tc>
        <w:tc>
          <w:tcPr>
            <w:tcW w:w="340" w:type="dxa"/>
            <w:vMerge w:val="continue"/>
            <w:tcMar>
              <w:left w:w="28" w:type="dxa"/>
              <w:right w:w="28" w:type="dxa"/>
            </w:tcMar>
            <w:vAlign w:val="center"/>
          </w:tcPr>
          <w:p w14:paraId="516C9EF8">
            <w:pPr>
              <w:pStyle w:val="75"/>
              <w:adjustRightInd w:val="0"/>
              <w:snapToGrid w:val="0"/>
              <w:contextualSpacing w:val="0"/>
            </w:pPr>
          </w:p>
        </w:tc>
        <w:tc>
          <w:tcPr>
            <w:tcW w:w="596" w:type="dxa"/>
            <w:vMerge w:val="continue"/>
            <w:tcMar>
              <w:left w:w="28" w:type="dxa"/>
              <w:right w:w="28" w:type="dxa"/>
            </w:tcMar>
            <w:vAlign w:val="center"/>
          </w:tcPr>
          <w:p w14:paraId="658BA7AE">
            <w:pPr>
              <w:pStyle w:val="75"/>
              <w:adjustRightInd w:val="0"/>
              <w:snapToGrid w:val="0"/>
              <w:contextualSpacing w:val="0"/>
            </w:pPr>
          </w:p>
        </w:tc>
        <w:tc>
          <w:tcPr>
            <w:tcW w:w="623" w:type="dxa"/>
            <w:tcMar>
              <w:left w:w="28" w:type="dxa"/>
              <w:right w:w="28" w:type="dxa"/>
            </w:tcMar>
            <w:vAlign w:val="center"/>
          </w:tcPr>
          <w:p w14:paraId="4F10321C">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16.9</w:t>
            </w:r>
          </w:p>
        </w:tc>
        <w:tc>
          <w:tcPr>
            <w:tcW w:w="955" w:type="dxa"/>
            <w:tcMar>
              <w:left w:w="28" w:type="dxa"/>
              <w:right w:w="28" w:type="dxa"/>
            </w:tcMar>
            <w:vAlign w:val="center"/>
          </w:tcPr>
          <w:p w14:paraId="55F67817">
            <w:pPr>
              <w:pStyle w:val="75"/>
              <w:adjustRightInd w:val="0"/>
              <w:snapToGrid w:val="0"/>
              <w:contextualSpacing w:val="0"/>
            </w:pPr>
            <w:r>
              <w:t>1m</w:t>
            </w:r>
          </w:p>
        </w:tc>
      </w:tr>
      <w:tr w14:paraId="2E2BC8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7C1F3812">
            <w:pPr>
              <w:pStyle w:val="75"/>
              <w:adjustRightInd w:val="0"/>
              <w:snapToGrid w:val="0"/>
              <w:contextualSpacing w:val="0"/>
            </w:pPr>
          </w:p>
        </w:tc>
        <w:tc>
          <w:tcPr>
            <w:tcW w:w="511" w:type="dxa"/>
            <w:vMerge w:val="continue"/>
            <w:tcMar>
              <w:left w:w="28" w:type="dxa"/>
              <w:right w:w="28" w:type="dxa"/>
            </w:tcMar>
            <w:vAlign w:val="center"/>
          </w:tcPr>
          <w:p w14:paraId="67426A8F">
            <w:pPr>
              <w:pStyle w:val="75"/>
              <w:adjustRightInd w:val="0"/>
              <w:snapToGrid w:val="0"/>
              <w:contextualSpacing w:val="0"/>
            </w:pPr>
          </w:p>
        </w:tc>
        <w:tc>
          <w:tcPr>
            <w:tcW w:w="511" w:type="dxa"/>
            <w:vMerge w:val="continue"/>
            <w:tcMar>
              <w:left w:w="28" w:type="dxa"/>
              <w:right w:w="28" w:type="dxa"/>
            </w:tcMar>
            <w:vAlign w:val="center"/>
          </w:tcPr>
          <w:p w14:paraId="454A51C2">
            <w:pPr>
              <w:pStyle w:val="75"/>
              <w:adjustRightInd w:val="0"/>
              <w:snapToGrid w:val="0"/>
              <w:contextualSpacing w:val="0"/>
            </w:pPr>
          </w:p>
        </w:tc>
        <w:tc>
          <w:tcPr>
            <w:tcW w:w="426" w:type="dxa"/>
            <w:vMerge w:val="continue"/>
            <w:tcMar>
              <w:left w:w="28" w:type="dxa"/>
              <w:right w:w="28" w:type="dxa"/>
            </w:tcMar>
            <w:vAlign w:val="center"/>
          </w:tcPr>
          <w:p w14:paraId="3A1FD47D">
            <w:pPr>
              <w:pStyle w:val="75"/>
              <w:adjustRightInd w:val="0"/>
              <w:snapToGrid w:val="0"/>
              <w:contextualSpacing w:val="0"/>
            </w:pPr>
          </w:p>
        </w:tc>
        <w:tc>
          <w:tcPr>
            <w:tcW w:w="681" w:type="dxa"/>
            <w:vMerge w:val="continue"/>
            <w:tcMar>
              <w:left w:w="28" w:type="dxa"/>
              <w:right w:w="28" w:type="dxa"/>
            </w:tcMar>
            <w:vAlign w:val="center"/>
          </w:tcPr>
          <w:p w14:paraId="59A5CE40">
            <w:pPr>
              <w:pStyle w:val="75"/>
              <w:adjustRightInd w:val="0"/>
              <w:snapToGrid w:val="0"/>
              <w:contextualSpacing w:val="0"/>
            </w:pPr>
          </w:p>
        </w:tc>
        <w:tc>
          <w:tcPr>
            <w:tcW w:w="340" w:type="dxa"/>
            <w:vMerge w:val="continue"/>
            <w:tcMar>
              <w:left w:w="28" w:type="dxa"/>
              <w:right w:w="28" w:type="dxa"/>
            </w:tcMar>
            <w:vAlign w:val="center"/>
          </w:tcPr>
          <w:p w14:paraId="7AC6EA17">
            <w:pPr>
              <w:pStyle w:val="75"/>
              <w:adjustRightInd w:val="0"/>
              <w:snapToGrid w:val="0"/>
              <w:contextualSpacing w:val="0"/>
            </w:pPr>
          </w:p>
        </w:tc>
        <w:tc>
          <w:tcPr>
            <w:tcW w:w="511" w:type="dxa"/>
            <w:vMerge w:val="continue"/>
            <w:tcMar>
              <w:left w:w="28" w:type="dxa"/>
              <w:right w:w="28" w:type="dxa"/>
            </w:tcMar>
            <w:vAlign w:val="center"/>
          </w:tcPr>
          <w:p w14:paraId="0D4F935A">
            <w:pPr>
              <w:spacing w:line="240" w:lineRule="auto"/>
              <w:ind w:firstLine="0" w:firstLineChars="0"/>
              <w:jc w:val="center"/>
              <w:rPr>
                <w:sz w:val="21"/>
                <w:szCs w:val="21"/>
              </w:rPr>
            </w:pPr>
          </w:p>
        </w:tc>
        <w:tc>
          <w:tcPr>
            <w:tcW w:w="511" w:type="dxa"/>
            <w:vMerge w:val="continue"/>
            <w:tcMar>
              <w:left w:w="28" w:type="dxa"/>
              <w:right w:w="28" w:type="dxa"/>
            </w:tcMar>
            <w:vAlign w:val="center"/>
          </w:tcPr>
          <w:p w14:paraId="006A0E36">
            <w:pPr>
              <w:pStyle w:val="75"/>
              <w:adjustRightInd w:val="0"/>
              <w:snapToGrid w:val="0"/>
              <w:contextualSpacing w:val="0"/>
            </w:pPr>
          </w:p>
        </w:tc>
        <w:tc>
          <w:tcPr>
            <w:tcW w:w="340" w:type="dxa"/>
            <w:vMerge w:val="continue"/>
            <w:tcMar>
              <w:left w:w="28" w:type="dxa"/>
              <w:right w:w="28" w:type="dxa"/>
            </w:tcMar>
            <w:vAlign w:val="center"/>
          </w:tcPr>
          <w:p w14:paraId="0444C580">
            <w:pPr>
              <w:spacing w:line="240" w:lineRule="auto"/>
              <w:ind w:firstLine="0" w:firstLineChars="0"/>
              <w:jc w:val="center"/>
              <w:rPr>
                <w:sz w:val="21"/>
                <w:szCs w:val="21"/>
              </w:rPr>
            </w:pPr>
          </w:p>
        </w:tc>
        <w:tc>
          <w:tcPr>
            <w:tcW w:w="340" w:type="dxa"/>
            <w:vMerge w:val="continue"/>
            <w:tcMar>
              <w:left w:w="28" w:type="dxa"/>
              <w:right w:w="28" w:type="dxa"/>
            </w:tcMar>
            <w:vAlign w:val="center"/>
          </w:tcPr>
          <w:p w14:paraId="657DBC5E">
            <w:pPr>
              <w:spacing w:line="240" w:lineRule="auto"/>
              <w:ind w:firstLine="0" w:firstLineChars="0"/>
              <w:jc w:val="center"/>
              <w:rPr>
                <w:sz w:val="21"/>
                <w:szCs w:val="21"/>
              </w:rPr>
            </w:pPr>
          </w:p>
        </w:tc>
        <w:tc>
          <w:tcPr>
            <w:tcW w:w="340" w:type="dxa"/>
            <w:vMerge w:val="continue"/>
            <w:tcMar>
              <w:left w:w="28" w:type="dxa"/>
              <w:right w:w="28" w:type="dxa"/>
            </w:tcMar>
            <w:vAlign w:val="center"/>
          </w:tcPr>
          <w:p w14:paraId="68B89766">
            <w:pPr>
              <w:spacing w:line="240" w:lineRule="auto"/>
              <w:ind w:firstLine="0" w:firstLineChars="0"/>
              <w:jc w:val="center"/>
              <w:rPr>
                <w:sz w:val="21"/>
                <w:szCs w:val="21"/>
              </w:rPr>
            </w:pPr>
          </w:p>
        </w:tc>
        <w:tc>
          <w:tcPr>
            <w:tcW w:w="511" w:type="dxa"/>
            <w:tcMar>
              <w:left w:w="28" w:type="dxa"/>
              <w:right w:w="28" w:type="dxa"/>
            </w:tcMar>
            <w:vAlign w:val="center"/>
          </w:tcPr>
          <w:p w14:paraId="49018A69">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11</w:t>
            </w:r>
          </w:p>
        </w:tc>
        <w:tc>
          <w:tcPr>
            <w:tcW w:w="511" w:type="dxa"/>
            <w:tcMar>
              <w:left w:w="28" w:type="dxa"/>
              <w:right w:w="28" w:type="dxa"/>
            </w:tcMar>
            <w:vAlign w:val="center"/>
          </w:tcPr>
          <w:p w14:paraId="4793222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55.2</w:t>
            </w:r>
          </w:p>
        </w:tc>
        <w:tc>
          <w:tcPr>
            <w:tcW w:w="340" w:type="dxa"/>
            <w:vMerge w:val="continue"/>
            <w:tcMar>
              <w:left w:w="28" w:type="dxa"/>
              <w:right w:w="28" w:type="dxa"/>
            </w:tcMar>
            <w:vAlign w:val="center"/>
          </w:tcPr>
          <w:p w14:paraId="241FED88">
            <w:pPr>
              <w:pStyle w:val="75"/>
              <w:adjustRightInd w:val="0"/>
              <w:snapToGrid w:val="0"/>
              <w:contextualSpacing w:val="0"/>
            </w:pPr>
          </w:p>
        </w:tc>
        <w:tc>
          <w:tcPr>
            <w:tcW w:w="596" w:type="dxa"/>
            <w:vMerge w:val="continue"/>
            <w:tcMar>
              <w:left w:w="28" w:type="dxa"/>
              <w:right w:w="28" w:type="dxa"/>
            </w:tcMar>
            <w:vAlign w:val="center"/>
          </w:tcPr>
          <w:p w14:paraId="51BB7D36">
            <w:pPr>
              <w:pStyle w:val="75"/>
              <w:adjustRightInd w:val="0"/>
              <w:snapToGrid w:val="0"/>
              <w:contextualSpacing w:val="0"/>
            </w:pPr>
          </w:p>
        </w:tc>
        <w:tc>
          <w:tcPr>
            <w:tcW w:w="623" w:type="dxa"/>
            <w:tcMar>
              <w:left w:w="28" w:type="dxa"/>
              <w:right w:w="28" w:type="dxa"/>
            </w:tcMar>
            <w:vAlign w:val="center"/>
          </w:tcPr>
          <w:p w14:paraId="135EEC9E">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35.2</w:t>
            </w:r>
          </w:p>
        </w:tc>
        <w:tc>
          <w:tcPr>
            <w:tcW w:w="955" w:type="dxa"/>
            <w:tcMar>
              <w:left w:w="28" w:type="dxa"/>
              <w:right w:w="28" w:type="dxa"/>
            </w:tcMar>
            <w:vAlign w:val="center"/>
          </w:tcPr>
          <w:p w14:paraId="11945EB6">
            <w:pPr>
              <w:pStyle w:val="75"/>
              <w:adjustRightInd w:val="0"/>
              <w:snapToGrid w:val="0"/>
              <w:contextualSpacing w:val="0"/>
            </w:pPr>
            <w:r>
              <w:t>1m</w:t>
            </w:r>
          </w:p>
        </w:tc>
      </w:tr>
      <w:tr w14:paraId="3E295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26F68352">
            <w:pPr>
              <w:pStyle w:val="75"/>
              <w:adjustRightInd w:val="0"/>
              <w:snapToGrid w:val="0"/>
              <w:contextualSpacing w:val="0"/>
            </w:pPr>
          </w:p>
        </w:tc>
        <w:tc>
          <w:tcPr>
            <w:tcW w:w="511" w:type="dxa"/>
            <w:vMerge w:val="continue"/>
            <w:tcMar>
              <w:left w:w="28" w:type="dxa"/>
              <w:right w:w="28" w:type="dxa"/>
            </w:tcMar>
            <w:vAlign w:val="center"/>
          </w:tcPr>
          <w:p w14:paraId="00694660">
            <w:pPr>
              <w:pStyle w:val="75"/>
              <w:adjustRightInd w:val="0"/>
              <w:snapToGrid w:val="0"/>
              <w:contextualSpacing w:val="0"/>
            </w:pPr>
          </w:p>
        </w:tc>
        <w:tc>
          <w:tcPr>
            <w:tcW w:w="511" w:type="dxa"/>
            <w:vMerge w:val="continue"/>
            <w:tcMar>
              <w:left w:w="28" w:type="dxa"/>
              <w:right w:w="28" w:type="dxa"/>
            </w:tcMar>
            <w:vAlign w:val="center"/>
          </w:tcPr>
          <w:p w14:paraId="7A53488B">
            <w:pPr>
              <w:pStyle w:val="75"/>
              <w:adjustRightInd w:val="0"/>
              <w:snapToGrid w:val="0"/>
              <w:contextualSpacing w:val="0"/>
            </w:pPr>
          </w:p>
        </w:tc>
        <w:tc>
          <w:tcPr>
            <w:tcW w:w="426" w:type="dxa"/>
            <w:vMerge w:val="continue"/>
            <w:tcMar>
              <w:left w:w="28" w:type="dxa"/>
              <w:right w:w="28" w:type="dxa"/>
            </w:tcMar>
            <w:vAlign w:val="center"/>
          </w:tcPr>
          <w:p w14:paraId="0AC300EE">
            <w:pPr>
              <w:pStyle w:val="75"/>
              <w:adjustRightInd w:val="0"/>
              <w:snapToGrid w:val="0"/>
              <w:contextualSpacing w:val="0"/>
            </w:pPr>
          </w:p>
        </w:tc>
        <w:tc>
          <w:tcPr>
            <w:tcW w:w="681" w:type="dxa"/>
            <w:vMerge w:val="continue"/>
            <w:tcMar>
              <w:left w:w="28" w:type="dxa"/>
              <w:right w:w="28" w:type="dxa"/>
            </w:tcMar>
            <w:vAlign w:val="center"/>
          </w:tcPr>
          <w:p w14:paraId="3C0F061E">
            <w:pPr>
              <w:pStyle w:val="75"/>
              <w:adjustRightInd w:val="0"/>
              <w:snapToGrid w:val="0"/>
              <w:contextualSpacing w:val="0"/>
            </w:pPr>
          </w:p>
        </w:tc>
        <w:tc>
          <w:tcPr>
            <w:tcW w:w="340" w:type="dxa"/>
            <w:vMerge w:val="continue"/>
            <w:tcMar>
              <w:left w:w="28" w:type="dxa"/>
              <w:right w:w="28" w:type="dxa"/>
            </w:tcMar>
            <w:vAlign w:val="center"/>
          </w:tcPr>
          <w:p w14:paraId="750A29CF">
            <w:pPr>
              <w:pStyle w:val="75"/>
              <w:adjustRightInd w:val="0"/>
              <w:snapToGrid w:val="0"/>
              <w:contextualSpacing w:val="0"/>
            </w:pPr>
          </w:p>
        </w:tc>
        <w:tc>
          <w:tcPr>
            <w:tcW w:w="511" w:type="dxa"/>
            <w:vMerge w:val="continue"/>
            <w:tcMar>
              <w:left w:w="28" w:type="dxa"/>
              <w:right w:w="28" w:type="dxa"/>
            </w:tcMar>
            <w:vAlign w:val="center"/>
          </w:tcPr>
          <w:p w14:paraId="23C3E1AD">
            <w:pPr>
              <w:spacing w:line="240" w:lineRule="auto"/>
              <w:ind w:firstLine="0" w:firstLineChars="0"/>
              <w:jc w:val="center"/>
              <w:rPr>
                <w:sz w:val="21"/>
                <w:szCs w:val="21"/>
              </w:rPr>
            </w:pPr>
          </w:p>
        </w:tc>
        <w:tc>
          <w:tcPr>
            <w:tcW w:w="511" w:type="dxa"/>
            <w:vMerge w:val="continue"/>
            <w:tcMar>
              <w:left w:w="28" w:type="dxa"/>
              <w:right w:w="28" w:type="dxa"/>
            </w:tcMar>
            <w:vAlign w:val="center"/>
          </w:tcPr>
          <w:p w14:paraId="1ABAB625">
            <w:pPr>
              <w:pStyle w:val="75"/>
              <w:adjustRightInd w:val="0"/>
              <w:snapToGrid w:val="0"/>
              <w:contextualSpacing w:val="0"/>
            </w:pPr>
          </w:p>
        </w:tc>
        <w:tc>
          <w:tcPr>
            <w:tcW w:w="340" w:type="dxa"/>
            <w:vMerge w:val="continue"/>
            <w:tcMar>
              <w:left w:w="28" w:type="dxa"/>
              <w:right w:w="28" w:type="dxa"/>
            </w:tcMar>
            <w:vAlign w:val="center"/>
          </w:tcPr>
          <w:p w14:paraId="132477BF">
            <w:pPr>
              <w:spacing w:line="240" w:lineRule="auto"/>
              <w:ind w:firstLine="0" w:firstLineChars="0"/>
              <w:jc w:val="center"/>
              <w:rPr>
                <w:sz w:val="21"/>
                <w:szCs w:val="21"/>
              </w:rPr>
            </w:pPr>
          </w:p>
        </w:tc>
        <w:tc>
          <w:tcPr>
            <w:tcW w:w="340" w:type="dxa"/>
            <w:vMerge w:val="continue"/>
            <w:tcMar>
              <w:left w:w="28" w:type="dxa"/>
              <w:right w:w="28" w:type="dxa"/>
            </w:tcMar>
            <w:vAlign w:val="center"/>
          </w:tcPr>
          <w:p w14:paraId="43C07D0C">
            <w:pPr>
              <w:spacing w:line="240" w:lineRule="auto"/>
              <w:ind w:firstLine="0" w:firstLineChars="0"/>
              <w:jc w:val="center"/>
              <w:rPr>
                <w:sz w:val="21"/>
                <w:szCs w:val="21"/>
              </w:rPr>
            </w:pPr>
          </w:p>
        </w:tc>
        <w:tc>
          <w:tcPr>
            <w:tcW w:w="340" w:type="dxa"/>
            <w:vMerge w:val="continue"/>
            <w:tcMar>
              <w:left w:w="28" w:type="dxa"/>
              <w:right w:w="28" w:type="dxa"/>
            </w:tcMar>
            <w:vAlign w:val="center"/>
          </w:tcPr>
          <w:p w14:paraId="24B70E21">
            <w:pPr>
              <w:spacing w:line="240" w:lineRule="auto"/>
              <w:ind w:firstLine="0" w:firstLineChars="0"/>
              <w:jc w:val="center"/>
              <w:rPr>
                <w:sz w:val="21"/>
                <w:szCs w:val="21"/>
              </w:rPr>
            </w:pPr>
          </w:p>
        </w:tc>
        <w:tc>
          <w:tcPr>
            <w:tcW w:w="511" w:type="dxa"/>
            <w:tcMar>
              <w:left w:w="28" w:type="dxa"/>
              <w:right w:w="28" w:type="dxa"/>
            </w:tcMar>
            <w:vAlign w:val="center"/>
          </w:tcPr>
          <w:p w14:paraId="3C80FCE7">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28</w:t>
            </w:r>
          </w:p>
        </w:tc>
        <w:tc>
          <w:tcPr>
            <w:tcW w:w="511" w:type="dxa"/>
            <w:tcMar>
              <w:left w:w="28" w:type="dxa"/>
              <w:right w:w="28" w:type="dxa"/>
            </w:tcMar>
            <w:vAlign w:val="center"/>
          </w:tcPr>
          <w:p w14:paraId="19B26A4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47.1</w:t>
            </w:r>
          </w:p>
        </w:tc>
        <w:tc>
          <w:tcPr>
            <w:tcW w:w="340" w:type="dxa"/>
            <w:vMerge w:val="continue"/>
            <w:tcMar>
              <w:left w:w="28" w:type="dxa"/>
              <w:right w:w="28" w:type="dxa"/>
            </w:tcMar>
            <w:vAlign w:val="center"/>
          </w:tcPr>
          <w:p w14:paraId="0B22C28E">
            <w:pPr>
              <w:pStyle w:val="75"/>
              <w:adjustRightInd w:val="0"/>
              <w:snapToGrid w:val="0"/>
              <w:contextualSpacing w:val="0"/>
            </w:pPr>
          </w:p>
        </w:tc>
        <w:tc>
          <w:tcPr>
            <w:tcW w:w="596" w:type="dxa"/>
            <w:vMerge w:val="continue"/>
            <w:tcMar>
              <w:left w:w="28" w:type="dxa"/>
              <w:right w:w="28" w:type="dxa"/>
            </w:tcMar>
            <w:vAlign w:val="center"/>
          </w:tcPr>
          <w:p w14:paraId="374249C1">
            <w:pPr>
              <w:pStyle w:val="75"/>
              <w:adjustRightInd w:val="0"/>
              <w:snapToGrid w:val="0"/>
              <w:contextualSpacing w:val="0"/>
            </w:pPr>
          </w:p>
        </w:tc>
        <w:tc>
          <w:tcPr>
            <w:tcW w:w="623" w:type="dxa"/>
            <w:tcMar>
              <w:left w:w="28" w:type="dxa"/>
              <w:right w:w="28" w:type="dxa"/>
            </w:tcMar>
            <w:vAlign w:val="center"/>
          </w:tcPr>
          <w:p w14:paraId="06653D3B">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27.1</w:t>
            </w:r>
          </w:p>
        </w:tc>
        <w:tc>
          <w:tcPr>
            <w:tcW w:w="955" w:type="dxa"/>
            <w:tcMar>
              <w:left w:w="28" w:type="dxa"/>
              <w:right w:w="28" w:type="dxa"/>
            </w:tcMar>
            <w:vAlign w:val="center"/>
          </w:tcPr>
          <w:p w14:paraId="4A906D61">
            <w:pPr>
              <w:pStyle w:val="75"/>
              <w:adjustRightInd w:val="0"/>
              <w:snapToGrid w:val="0"/>
              <w:contextualSpacing w:val="0"/>
            </w:pPr>
            <w:r>
              <w:t>1m</w:t>
            </w:r>
          </w:p>
        </w:tc>
      </w:tr>
      <w:tr w14:paraId="6BC473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restart"/>
            <w:tcMar>
              <w:left w:w="28" w:type="dxa"/>
              <w:right w:w="28" w:type="dxa"/>
            </w:tcMar>
            <w:vAlign w:val="center"/>
          </w:tcPr>
          <w:p w14:paraId="3C3E4182">
            <w:pPr>
              <w:pStyle w:val="75"/>
              <w:adjustRightInd w:val="0"/>
              <w:snapToGrid w:val="0"/>
              <w:contextualSpacing w:val="0"/>
            </w:pPr>
            <w:r>
              <w:rPr>
                <w:rFonts w:hint="eastAsia"/>
              </w:rPr>
              <w:t>3</w:t>
            </w:r>
          </w:p>
        </w:tc>
        <w:tc>
          <w:tcPr>
            <w:tcW w:w="511" w:type="dxa"/>
            <w:vMerge w:val="continue"/>
            <w:tcMar>
              <w:left w:w="28" w:type="dxa"/>
              <w:right w:w="28" w:type="dxa"/>
            </w:tcMar>
            <w:vAlign w:val="center"/>
          </w:tcPr>
          <w:p w14:paraId="36778CA6">
            <w:pPr>
              <w:pStyle w:val="75"/>
              <w:adjustRightInd w:val="0"/>
              <w:snapToGrid w:val="0"/>
              <w:contextualSpacing w:val="0"/>
            </w:pPr>
          </w:p>
        </w:tc>
        <w:tc>
          <w:tcPr>
            <w:tcW w:w="511" w:type="dxa"/>
            <w:vMerge w:val="restart"/>
            <w:tcMar>
              <w:left w:w="28" w:type="dxa"/>
              <w:right w:w="28" w:type="dxa"/>
            </w:tcMar>
            <w:vAlign w:val="center"/>
          </w:tcPr>
          <w:p w14:paraId="3F5251A6">
            <w:pPr>
              <w:pStyle w:val="75"/>
              <w:adjustRightInd w:val="0"/>
              <w:snapToGrid w:val="0"/>
              <w:contextualSpacing w:val="0"/>
              <w:rPr>
                <w:rFonts w:hint="eastAsia"/>
              </w:rPr>
            </w:pPr>
            <w:r>
              <w:rPr>
                <w:rFonts w:hint="eastAsia"/>
              </w:rPr>
              <w:t>包</w:t>
            </w:r>
          </w:p>
          <w:p w14:paraId="52A3DA7F">
            <w:pPr>
              <w:pStyle w:val="75"/>
              <w:adjustRightInd w:val="0"/>
              <w:snapToGrid w:val="0"/>
              <w:contextualSpacing w:val="0"/>
              <w:rPr>
                <w:rFonts w:hint="eastAsia"/>
              </w:rPr>
            </w:pPr>
            <w:r>
              <w:rPr>
                <w:rFonts w:hint="eastAsia"/>
              </w:rPr>
              <w:t>装</w:t>
            </w:r>
          </w:p>
          <w:p w14:paraId="6FC05390">
            <w:pPr>
              <w:pStyle w:val="75"/>
              <w:adjustRightInd w:val="0"/>
              <w:snapToGrid w:val="0"/>
              <w:contextualSpacing w:val="0"/>
            </w:pPr>
            <w:r>
              <w:rPr>
                <w:rFonts w:hint="eastAsia"/>
              </w:rPr>
              <w:t>机</w:t>
            </w:r>
          </w:p>
        </w:tc>
        <w:tc>
          <w:tcPr>
            <w:tcW w:w="426" w:type="dxa"/>
            <w:vMerge w:val="restart"/>
            <w:tcMar>
              <w:left w:w="28" w:type="dxa"/>
              <w:right w:w="28" w:type="dxa"/>
            </w:tcMar>
            <w:vAlign w:val="center"/>
          </w:tcPr>
          <w:p w14:paraId="1E77B075">
            <w:pPr>
              <w:pStyle w:val="75"/>
              <w:adjustRightInd w:val="0"/>
              <w:snapToGrid w:val="0"/>
              <w:contextualSpacing w:val="0"/>
            </w:pPr>
            <w:r>
              <w:rPr>
                <w:rFonts w:hint="eastAsia"/>
              </w:rPr>
              <w:t>/</w:t>
            </w:r>
          </w:p>
        </w:tc>
        <w:tc>
          <w:tcPr>
            <w:tcW w:w="681" w:type="dxa"/>
            <w:vMerge w:val="restart"/>
            <w:tcMar>
              <w:left w:w="28" w:type="dxa"/>
              <w:right w:w="28" w:type="dxa"/>
            </w:tcMar>
            <w:vAlign w:val="center"/>
          </w:tcPr>
          <w:p w14:paraId="144F1E7A">
            <w:pPr>
              <w:pStyle w:val="75"/>
              <w:adjustRightInd w:val="0"/>
              <w:snapToGrid w:val="0"/>
              <w:contextualSpacing w:val="0"/>
            </w:pPr>
            <w:r>
              <w:rPr>
                <w:rFonts w:hint="eastAsia"/>
                <w:lang w:val="en-US" w:eastAsia="zh-CN"/>
              </w:rPr>
              <w:t>70</w:t>
            </w:r>
            <w:r>
              <w:t>/1</w:t>
            </w:r>
          </w:p>
        </w:tc>
        <w:tc>
          <w:tcPr>
            <w:tcW w:w="340" w:type="dxa"/>
            <w:vMerge w:val="restart"/>
            <w:tcMar>
              <w:left w:w="28" w:type="dxa"/>
              <w:right w:w="28" w:type="dxa"/>
            </w:tcMar>
            <w:vAlign w:val="center"/>
          </w:tcPr>
          <w:p w14:paraId="2E55A854">
            <w:pPr>
              <w:pStyle w:val="75"/>
              <w:adjustRightInd w:val="0"/>
              <w:snapToGrid w:val="0"/>
              <w:contextualSpacing w:val="0"/>
            </w:pPr>
            <w:r>
              <w:rPr>
                <w:rFonts w:hint="eastAsia"/>
              </w:rPr>
              <w:t>10</w:t>
            </w:r>
          </w:p>
        </w:tc>
        <w:tc>
          <w:tcPr>
            <w:tcW w:w="511" w:type="dxa"/>
            <w:vMerge w:val="restart"/>
            <w:tcMar>
              <w:left w:w="28" w:type="dxa"/>
              <w:right w:w="28" w:type="dxa"/>
            </w:tcMar>
            <w:vAlign w:val="center"/>
          </w:tcPr>
          <w:p w14:paraId="2995296F">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073D36A8">
            <w:pPr>
              <w:pStyle w:val="75"/>
              <w:adjustRightInd w:val="0"/>
              <w:snapToGrid w:val="0"/>
              <w:contextualSpacing w:val="0"/>
              <w:rPr>
                <w:rFonts w:hint="default" w:eastAsia="宋体"/>
                <w:lang w:val="en-US" w:eastAsia="zh-CN"/>
              </w:rPr>
            </w:pPr>
            <w:r>
              <w:rPr>
                <w:rFonts w:hint="eastAsia"/>
                <w:lang w:val="en-US" w:eastAsia="zh-CN"/>
              </w:rPr>
              <w:t>85</w:t>
            </w:r>
          </w:p>
        </w:tc>
        <w:tc>
          <w:tcPr>
            <w:tcW w:w="340" w:type="dxa"/>
            <w:vMerge w:val="restart"/>
            <w:tcMar>
              <w:left w:w="28" w:type="dxa"/>
              <w:right w:w="28" w:type="dxa"/>
            </w:tcMar>
            <w:vAlign w:val="center"/>
          </w:tcPr>
          <w:p w14:paraId="1C6E25FF">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12</w:t>
            </w:r>
          </w:p>
        </w:tc>
        <w:tc>
          <w:tcPr>
            <w:tcW w:w="340" w:type="dxa"/>
            <w:vMerge w:val="restart"/>
            <w:tcMar>
              <w:left w:w="28" w:type="dxa"/>
              <w:right w:w="28" w:type="dxa"/>
            </w:tcMar>
            <w:vAlign w:val="center"/>
          </w:tcPr>
          <w:p w14:paraId="0F2F5DBA">
            <w:pPr>
              <w:spacing w:line="240" w:lineRule="auto"/>
              <w:ind w:firstLine="0" w:firstLineChars="0"/>
              <w:contextualSpacing/>
              <w:jc w:val="center"/>
              <w:rPr>
                <w:rFonts w:hint="default" w:eastAsia="宋体"/>
                <w:sz w:val="21"/>
                <w:szCs w:val="21"/>
                <w:lang w:val="en-US" w:eastAsia="zh-CN"/>
              </w:rPr>
            </w:pPr>
            <w:r>
              <w:rPr>
                <w:rFonts w:hint="eastAsia"/>
                <w:sz w:val="21"/>
                <w:szCs w:val="21"/>
                <w:lang w:val="en-US" w:eastAsia="zh-CN"/>
              </w:rPr>
              <w:t>32</w:t>
            </w:r>
          </w:p>
        </w:tc>
        <w:tc>
          <w:tcPr>
            <w:tcW w:w="340" w:type="dxa"/>
            <w:vMerge w:val="restart"/>
            <w:tcMar>
              <w:left w:w="28" w:type="dxa"/>
              <w:right w:w="28" w:type="dxa"/>
            </w:tcMar>
            <w:vAlign w:val="center"/>
          </w:tcPr>
          <w:p w14:paraId="45C2DD4E">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11FF21ED">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58</w:t>
            </w:r>
          </w:p>
        </w:tc>
        <w:tc>
          <w:tcPr>
            <w:tcW w:w="511" w:type="dxa"/>
            <w:tcMar>
              <w:left w:w="28" w:type="dxa"/>
              <w:right w:w="28" w:type="dxa"/>
            </w:tcMar>
            <w:vAlign w:val="center"/>
          </w:tcPr>
          <w:p w14:paraId="225349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39.7</w:t>
            </w:r>
          </w:p>
        </w:tc>
        <w:tc>
          <w:tcPr>
            <w:tcW w:w="340" w:type="dxa"/>
            <w:vMerge w:val="restart"/>
            <w:tcMar>
              <w:left w:w="28" w:type="dxa"/>
              <w:right w:w="28" w:type="dxa"/>
            </w:tcMar>
            <w:vAlign w:val="center"/>
          </w:tcPr>
          <w:p w14:paraId="361B4C23">
            <w:pPr>
              <w:pStyle w:val="75"/>
              <w:adjustRightInd w:val="0"/>
              <w:snapToGrid w:val="0"/>
              <w:contextualSpacing w:val="0"/>
            </w:pPr>
            <w:r>
              <w:t>持续运行</w:t>
            </w:r>
          </w:p>
        </w:tc>
        <w:tc>
          <w:tcPr>
            <w:tcW w:w="596" w:type="dxa"/>
            <w:vMerge w:val="restart"/>
            <w:tcMar>
              <w:left w:w="28" w:type="dxa"/>
              <w:right w:w="28" w:type="dxa"/>
            </w:tcMar>
            <w:vAlign w:val="center"/>
          </w:tcPr>
          <w:p w14:paraId="4ACF9A66">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270AAA66">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19.7</w:t>
            </w:r>
          </w:p>
        </w:tc>
        <w:tc>
          <w:tcPr>
            <w:tcW w:w="955" w:type="dxa"/>
            <w:tcMar>
              <w:left w:w="28" w:type="dxa"/>
              <w:right w:w="28" w:type="dxa"/>
            </w:tcMar>
            <w:vAlign w:val="center"/>
          </w:tcPr>
          <w:p w14:paraId="139A4ED0">
            <w:pPr>
              <w:pStyle w:val="75"/>
              <w:adjustRightInd w:val="0"/>
              <w:snapToGrid w:val="0"/>
              <w:contextualSpacing w:val="0"/>
            </w:pPr>
            <w:r>
              <w:t>1m</w:t>
            </w:r>
          </w:p>
        </w:tc>
      </w:tr>
      <w:tr w14:paraId="77C4B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90" w:type="dxa"/>
            <w:vMerge w:val="continue"/>
            <w:tcMar>
              <w:left w:w="28" w:type="dxa"/>
              <w:right w:w="28" w:type="dxa"/>
            </w:tcMar>
            <w:vAlign w:val="center"/>
          </w:tcPr>
          <w:p w14:paraId="7471F753">
            <w:pPr>
              <w:pStyle w:val="75"/>
              <w:adjustRightInd w:val="0"/>
              <w:snapToGrid w:val="0"/>
              <w:contextualSpacing w:val="0"/>
            </w:pPr>
          </w:p>
        </w:tc>
        <w:tc>
          <w:tcPr>
            <w:tcW w:w="511" w:type="dxa"/>
            <w:vMerge w:val="continue"/>
            <w:tcMar>
              <w:left w:w="28" w:type="dxa"/>
              <w:right w:w="28" w:type="dxa"/>
            </w:tcMar>
            <w:vAlign w:val="center"/>
          </w:tcPr>
          <w:p w14:paraId="01022812">
            <w:pPr>
              <w:pStyle w:val="75"/>
              <w:adjustRightInd w:val="0"/>
              <w:snapToGrid w:val="0"/>
              <w:contextualSpacing w:val="0"/>
            </w:pPr>
          </w:p>
        </w:tc>
        <w:tc>
          <w:tcPr>
            <w:tcW w:w="511" w:type="dxa"/>
            <w:vMerge w:val="continue"/>
            <w:tcMar>
              <w:left w:w="28" w:type="dxa"/>
              <w:right w:w="28" w:type="dxa"/>
            </w:tcMar>
            <w:vAlign w:val="center"/>
          </w:tcPr>
          <w:p w14:paraId="48ED0B46">
            <w:pPr>
              <w:pStyle w:val="75"/>
              <w:adjustRightInd w:val="0"/>
              <w:snapToGrid w:val="0"/>
              <w:contextualSpacing w:val="0"/>
            </w:pPr>
          </w:p>
        </w:tc>
        <w:tc>
          <w:tcPr>
            <w:tcW w:w="426" w:type="dxa"/>
            <w:vMerge w:val="continue"/>
            <w:tcMar>
              <w:left w:w="28" w:type="dxa"/>
              <w:right w:w="28" w:type="dxa"/>
            </w:tcMar>
            <w:vAlign w:val="center"/>
          </w:tcPr>
          <w:p w14:paraId="06E4B4AC">
            <w:pPr>
              <w:pStyle w:val="75"/>
              <w:adjustRightInd w:val="0"/>
              <w:snapToGrid w:val="0"/>
              <w:contextualSpacing w:val="0"/>
              <w:rPr>
                <w:rFonts w:eastAsia="MS Gothic"/>
              </w:rPr>
            </w:pPr>
          </w:p>
        </w:tc>
        <w:tc>
          <w:tcPr>
            <w:tcW w:w="681" w:type="dxa"/>
            <w:vMerge w:val="continue"/>
            <w:tcMar>
              <w:left w:w="28" w:type="dxa"/>
              <w:right w:w="28" w:type="dxa"/>
            </w:tcMar>
            <w:vAlign w:val="center"/>
          </w:tcPr>
          <w:p w14:paraId="608E66F3">
            <w:pPr>
              <w:pStyle w:val="75"/>
              <w:adjustRightInd w:val="0"/>
              <w:snapToGrid w:val="0"/>
              <w:contextualSpacing w:val="0"/>
            </w:pPr>
          </w:p>
        </w:tc>
        <w:tc>
          <w:tcPr>
            <w:tcW w:w="340" w:type="dxa"/>
            <w:vMerge w:val="continue"/>
            <w:tcMar>
              <w:left w:w="28" w:type="dxa"/>
              <w:right w:w="28" w:type="dxa"/>
            </w:tcMar>
            <w:vAlign w:val="center"/>
          </w:tcPr>
          <w:p w14:paraId="6AA739A3">
            <w:pPr>
              <w:pStyle w:val="75"/>
              <w:adjustRightInd w:val="0"/>
              <w:snapToGrid w:val="0"/>
              <w:contextualSpacing w:val="0"/>
            </w:pPr>
          </w:p>
        </w:tc>
        <w:tc>
          <w:tcPr>
            <w:tcW w:w="511" w:type="dxa"/>
            <w:vMerge w:val="continue"/>
            <w:tcMar>
              <w:left w:w="28" w:type="dxa"/>
              <w:right w:w="28" w:type="dxa"/>
            </w:tcMar>
            <w:vAlign w:val="center"/>
          </w:tcPr>
          <w:p w14:paraId="705B7DF7">
            <w:pPr>
              <w:spacing w:line="240" w:lineRule="auto"/>
              <w:ind w:firstLine="0" w:firstLineChars="0"/>
              <w:jc w:val="center"/>
              <w:rPr>
                <w:sz w:val="21"/>
                <w:szCs w:val="21"/>
              </w:rPr>
            </w:pPr>
          </w:p>
        </w:tc>
        <w:tc>
          <w:tcPr>
            <w:tcW w:w="511" w:type="dxa"/>
            <w:vMerge w:val="continue"/>
            <w:tcMar>
              <w:left w:w="28" w:type="dxa"/>
              <w:right w:w="28" w:type="dxa"/>
            </w:tcMar>
            <w:vAlign w:val="center"/>
          </w:tcPr>
          <w:p w14:paraId="7726B31A">
            <w:pPr>
              <w:pStyle w:val="75"/>
              <w:adjustRightInd w:val="0"/>
              <w:snapToGrid w:val="0"/>
              <w:contextualSpacing w:val="0"/>
            </w:pPr>
          </w:p>
        </w:tc>
        <w:tc>
          <w:tcPr>
            <w:tcW w:w="340" w:type="dxa"/>
            <w:vMerge w:val="continue"/>
            <w:tcMar>
              <w:left w:w="28" w:type="dxa"/>
              <w:right w:w="28" w:type="dxa"/>
            </w:tcMar>
            <w:vAlign w:val="center"/>
          </w:tcPr>
          <w:p w14:paraId="141EF5DD">
            <w:pPr>
              <w:spacing w:line="240" w:lineRule="auto"/>
              <w:ind w:firstLine="0" w:firstLineChars="0"/>
              <w:jc w:val="center"/>
              <w:rPr>
                <w:sz w:val="21"/>
                <w:szCs w:val="21"/>
              </w:rPr>
            </w:pPr>
          </w:p>
        </w:tc>
        <w:tc>
          <w:tcPr>
            <w:tcW w:w="340" w:type="dxa"/>
            <w:vMerge w:val="continue"/>
            <w:tcMar>
              <w:left w:w="28" w:type="dxa"/>
              <w:right w:w="28" w:type="dxa"/>
            </w:tcMar>
            <w:vAlign w:val="center"/>
          </w:tcPr>
          <w:p w14:paraId="3FCCFBAA">
            <w:pPr>
              <w:spacing w:line="240" w:lineRule="auto"/>
              <w:ind w:firstLine="0" w:firstLineChars="0"/>
              <w:jc w:val="center"/>
              <w:rPr>
                <w:sz w:val="21"/>
                <w:szCs w:val="21"/>
              </w:rPr>
            </w:pPr>
          </w:p>
        </w:tc>
        <w:tc>
          <w:tcPr>
            <w:tcW w:w="340" w:type="dxa"/>
            <w:vMerge w:val="continue"/>
            <w:tcMar>
              <w:left w:w="28" w:type="dxa"/>
              <w:right w:w="28" w:type="dxa"/>
            </w:tcMar>
            <w:vAlign w:val="center"/>
          </w:tcPr>
          <w:p w14:paraId="0B01C567">
            <w:pPr>
              <w:spacing w:line="240" w:lineRule="auto"/>
              <w:ind w:firstLine="0" w:firstLineChars="0"/>
              <w:jc w:val="center"/>
              <w:rPr>
                <w:sz w:val="21"/>
                <w:szCs w:val="21"/>
              </w:rPr>
            </w:pPr>
          </w:p>
        </w:tc>
        <w:tc>
          <w:tcPr>
            <w:tcW w:w="511" w:type="dxa"/>
            <w:tcMar>
              <w:left w:w="28" w:type="dxa"/>
              <w:right w:w="28" w:type="dxa"/>
            </w:tcMar>
            <w:vAlign w:val="center"/>
          </w:tcPr>
          <w:p w14:paraId="74CB1F4A">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30</w:t>
            </w:r>
          </w:p>
        </w:tc>
        <w:tc>
          <w:tcPr>
            <w:tcW w:w="511" w:type="dxa"/>
            <w:tcMar>
              <w:left w:w="28" w:type="dxa"/>
              <w:right w:w="28" w:type="dxa"/>
            </w:tcMar>
            <w:vAlign w:val="center"/>
          </w:tcPr>
          <w:p w14:paraId="7BEE35D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45.5</w:t>
            </w:r>
          </w:p>
        </w:tc>
        <w:tc>
          <w:tcPr>
            <w:tcW w:w="340" w:type="dxa"/>
            <w:vMerge w:val="continue"/>
            <w:tcMar>
              <w:left w:w="28" w:type="dxa"/>
              <w:right w:w="28" w:type="dxa"/>
            </w:tcMar>
            <w:vAlign w:val="center"/>
          </w:tcPr>
          <w:p w14:paraId="3F75C0AC">
            <w:pPr>
              <w:pStyle w:val="75"/>
              <w:adjustRightInd w:val="0"/>
              <w:snapToGrid w:val="0"/>
              <w:contextualSpacing w:val="0"/>
            </w:pPr>
          </w:p>
        </w:tc>
        <w:tc>
          <w:tcPr>
            <w:tcW w:w="596" w:type="dxa"/>
            <w:vMerge w:val="continue"/>
            <w:tcMar>
              <w:left w:w="28" w:type="dxa"/>
              <w:right w:w="28" w:type="dxa"/>
            </w:tcMar>
            <w:vAlign w:val="center"/>
          </w:tcPr>
          <w:p w14:paraId="4F18AAB7">
            <w:pPr>
              <w:pStyle w:val="75"/>
              <w:adjustRightInd w:val="0"/>
              <w:snapToGrid w:val="0"/>
              <w:contextualSpacing w:val="0"/>
            </w:pPr>
          </w:p>
        </w:tc>
        <w:tc>
          <w:tcPr>
            <w:tcW w:w="623" w:type="dxa"/>
            <w:tcMar>
              <w:left w:w="28" w:type="dxa"/>
              <w:right w:w="28" w:type="dxa"/>
            </w:tcMar>
            <w:vAlign w:val="center"/>
          </w:tcPr>
          <w:p w14:paraId="5D44B8B0">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25.5</w:t>
            </w:r>
          </w:p>
        </w:tc>
        <w:tc>
          <w:tcPr>
            <w:tcW w:w="955" w:type="dxa"/>
            <w:tcMar>
              <w:left w:w="28" w:type="dxa"/>
              <w:right w:w="28" w:type="dxa"/>
            </w:tcMar>
            <w:vAlign w:val="center"/>
          </w:tcPr>
          <w:p w14:paraId="706D6F54">
            <w:pPr>
              <w:pStyle w:val="75"/>
              <w:adjustRightInd w:val="0"/>
              <w:snapToGrid w:val="0"/>
              <w:contextualSpacing w:val="0"/>
            </w:pPr>
            <w:r>
              <w:t>1m</w:t>
            </w:r>
          </w:p>
        </w:tc>
      </w:tr>
      <w:tr w14:paraId="5E07D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76621F74">
            <w:pPr>
              <w:pStyle w:val="75"/>
              <w:adjustRightInd w:val="0"/>
              <w:snapToGrid w:val="0"/>
              <w:contextualSpacing w:val="0"/>
            </w:pPr>
          </w:p>
        </w:tc>
        <w:tc>
          <w:tcPr>
            <w:tcW w:w="511" w:type="dxa"/>
            <w:vMerge w:val="continue"/>
            <w:tcMar>
              <w:left w:w="28" w:type="dxa"/>
              <w:right w:w="28" w:type="dxa"/>
            </w:tcMar>
            <w:vAlign w:val="center"/>
          </w:tcPr>
          <w:p w14:paraId="4C80DE21">
            <w:pPr>
              <w:pStyle w:val="75"/>
              <w:adjustRightInd w:val="0"/>
              <w:snapToGrid w:val="0"/>
              <w:contextualSpacing w:val="0"/>
            </w:pPr>
          </w:p>
        </w:tc>
        <w:tc>
          <w:tcPr>
            <w:tcW w:w="511" w:type="dxa"/>
            <w:vMerge w:val="continue"/>
            <w:tcMar>
              <w:left w:w="28" w:type="dxa"/>
              <w:right w:w="28" w:type="dxa"/>
            </w:tcMar>
            <w:vAlign w:val="center"/>
          </w:tcPr>
          <w:p w14:paraId="129B6B83">
            <w:pPr>
              <w:pStyle w:val="75"/>
              <w:adjustRightInd w:val="0"/>
              <w:snapToGrid w:val="0"/>
              <w:contextualSpacing w:val="0"/>
            </w:pPr>
          </w:p>
        </w:tc>
        <w:tc>
          <w:tcPr>
            <w:tcW w:w="426" w:type="dxa"/>
            <w:vMerge w:val="continue"/>
            <w:tcMar>
              <w:left w:w="28" w:type="dxa"/>
              <w:right w:w="28" w:type="dxa"/>
            </w:tcMar>
            <w:vAlign w:val="center"/>
          </w:tcPr>
          <w:p w14:paraId="67BEBEEE">
            <w:pPr>
              <w:pStyle w:val="75"/>
              <w:adjustRightInd w:val="0"/>
              <w:snapToGrid w:val="0"/>
              <w:contextualSpacing w:val="0"/>
              <w:rPr>
                <w:rFonts w:eastAsia="MS Gothic"/>
              </w:rPr>
            </w:pPr>
          </w:p>
        </w:tc>
        <w:tc>
          <w:tcPr>
            <w:tcW w:w="681" w:type="dxa"/>
            <w:vMerge w:val="continue"/>
            <w:tcMar>
              <w:left w:w="28" w:type="dxa"/>
              <w:right w:w="28" w:type="dxa"/>
            </w:tcMar>
            <w:vAlign w:val="center"/>
          </w:tcPr>
          <w:p w14:paraId="3B3D32BF">
            <w:pPr>
              <w:pStyle w:val="75"/>
              <w:adjustRightInd w:val="0"/>
              <w:snapToGrid w:val="0"/>
              <w:contextualSpacing w:val="0"/>
            </w:pPr>
          </w:p>
        </w:tc>
        <w:tc>
          <w:tcPr>
            <w:tcW w:w="340" w:type="dxa"/>
            <w:vMerge w:val="continue"/>
            <w:tcMar>
              <w:left w:w="28" w:type="dxa"/>
              <w:right w:w="28" w:type="dxa"/>
            </w:tcMar>
            <w:vAlign w:val="center"/>
          </w:tcPr>
          <w:p w14:paraId="4A60DCE6">
            <w:pPr>
              <w:pStyle w:val="75"/>
              <w:adjustRightInd w:val="0"/>
              <w:snapToGrid w:val="0"/>
              <w:contextualSpacing w:val="0"/>
            </w:pPr>
          </w:p>
        </w:tc>
        <w:tc>
          <w:tcPr>
            <w:tcW w:w="511" w:type="dxa"/>
            <w:vMerge w:val="continue"/>
            <w:tcMar>
              <w:left w:w="28" w:type="dxa"/>
              <w:right w:w="28" w:type="dxa"/>
            </w:tcMar>
            <w:vAlign w:val="center"/>
          </w:tcPr>
          <w:p w14:paraId="3DDE3B3A">
            <w:pPr>
              <w:spacing w:line="240" w:lineRule="auto"/>
              <w:ind w:firstLine="0" w:firstLineChars="0"/>
              <w:jc w:val="center"/>
              <w:rPr>
                <w:sz w:val="21"/>
                <w:szCs w:val="21"/>
              </w:rPr>
            </w:pPr>
          </w:p>
        </w:tc>
        <w:tc>
          <w:tcPr>
            <w:tcW w:w="511" w:type="dxa"/>
            <w:vMerge w:val="continue"/>
            <w:tcMar>
              <w:left w:w="28" w:type="dxa"/>
              <w:right w:w="28" w:type="dxa"/>
            </w:tcMar>
            <w:vAlign w:val="center"/>
          </w:tcPr>
          <w:p w14:paraId="1202850A">
            <w:pPr>
              <w:pStyle w:val="75"/>
              <w:adjustRightInd w:val="0"/>
              <w:snapToGrid w:val="0"/>
              <w:contextualSpacing w:val="0"/>
            </w:pPr>
          </w:p>
        </w:tc>
        <w:tc>
          <w:tcPr>
            <w:tcW w:w="340" w:type="dxa"/>
            <w:vMerge w:val="continue"/>
            <w:tcMar>
              <w:left w:w="28" w:type="dxa"/>
              <w:right w:w="28" w:type="dxa"/>
            </w:tcMar>
            <w:vAlign w:val="center"/>
          </w:tcPr>
          <w:p w14:paraId="773CB409">
            <w:pPr>
              <w:spacing w:line="240" w:lineRule="auto"/>
              <w:ind w:firstLine="0" w:firstLineChars="0"/>
              <w:jc w:val="center"/>
              <w:rPr>
                <w:sz w:val="21"/>
                <w:szCs w:val="21"/>
              </w:rPr>
            </w:pPr>
          </w:p>
        </w:tc>
        <w:tc>
          <w:tcPr>
            <w:tcW w:w="340" w:type="dxa"/>
            <w:vMerge w:val="continue"/>
            <w:tcMar>
              <w:left w:w="28" w:type="dxa"/>
              <w:right w:w="28" w:type="dxa"/>
            </w:tcMar>
            <w:vAlign w:val="center"/>
          </w:tcPr>
          <w:p w14:paraId="7E66351E">
            <w:pPr>
              <w:spacing w:line="240" w:lineRule="auto"/>
              <w:ind w:firstLine="0" w:firstLineChars="0"/>
              <w:jc w:val="center"/>
              <w:rPr>
                <w:sz w:val="21"/>
                <w:szCs w:val="21"/>
              </w:rPr>
            </w:pPr>
          </w:p>
        </w:tc>
        <w:tc>
          <w:tcPr>
            <w:tcW w:w="340" w:type="dxa"/>
            <w:vMerge w:val="continue"/>
            <w:tcMar>
              <w:left w:w="28" w:type="dxa"/>
              <w:right w:w="28" w:type="dxa"/>
            </w:tcMar>
            <w:vAlign w:val="center"/>
          </w:tcPr>
          <w:p w14:paraId="47D95D92">
            <w:pPr>
              <w:spacing w:line="240" w:lineRule="auto"/>
              <w:ind w:firstLine="0" w:firstLineChars="0"/>
              <w:jc w:val="center"/>
              <w:rPr>
                <w:sz w:val="21"/>
                <w:szCs w:val="21"/>
              </w:rPr>
            </w:pPr>
          </w:p>
        </w:tc>
        <w:tc>
          <w:tcPr>
            <w:tcW w:w="511" w:type="dxa"/>
            <w:tcMar>
              <w:left w:w="28" w:type="dxa"/>
              <w:right w:w="28" w:type="dxa"/>
            </w:tcMar>
            <w:vAlign w:val="center"/>
          </w:tcPr>
          <w:p w14:paraId="110AA417">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11</w:t>
            </w:r>
          </w:p>
        </w:tc>
        <w:tc>
          <w:tcPr>
            <w:tcW w:w="511" w:type="dxa"/>
            <w:tcMar>
              <w:left w:w="28" w:type="dxa"/>
              <w:right w:w="28" w:type="dxa"/>
            </w:tcMar>
            <w:vAlign w:val="center"/>
          </w:tcPr>
          <w:p w14:paraId="320609C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54.2</w:t>
            </w:r>
          </w:p>
        </w:tc>
        <w:tc>
          <w:tcPr>
            <w:tcW w:w="340" w:type="dxa"/>
            <w:vMerge w:val="continue"/>
            <w:tcMar>
              <w:left w:w="28" w:type="dxa"/>
              <w:right w:w="28" w:type="dxa"/>
            </w:tcMar>
            <w:vAlign w:val="center"/>
          </w:tcPr>
          <w:p w14:paraId="1EA693E6">
            <w:pPr>
              <w:pStyle w:val="75"/>
              <w:adjustRightInd w:val="0"/>
              <w:snapToGrid w:val="0"/>
              <w:contextualSpacing w:val="0"/>
            </w:pPr>
          </w:p>
        </w:tc>
        <w:tc>
          <w:tcPr>
            <w:tcW w:w="596" w:type="dxa"/>
            <w:vMerge w:val="continue"/>
            <w:tcMar>
              <w:left w:w="28" w:type="dxa"/>
              <w:right w:w="28" w:type="dxa"/>
            </w:tcMar>
            <w:vAlign w:val="center"/>
          </w:tcPr>
          <w:p w14:paraId="464A0BEC">
            <w:pPr>
              <w:pStyle w:val="75"/>
              <w:adjustRightInd w:val="0"/>
              <w:snapToGrid w:val="0"/>
              <w:contextualSpacing w:val="0"/>
            </w:pPr>
          </w:p>
        </w:tc>
        <w:tc>
          <w:tcPr>
            <w:tcW w:w="623" w:type="dxa"/>
            <w:tcMar>
              <w:left w:w="28" w:type="dxa"/>
              <w:right w:w="28" w:type="dxa"/>
            </w:tcMar>
            <w:vAlign w:val="center"/>
          </w:tcPr>
          <w:p w14:paraId="5F0C6040">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34.2</w:t>
            </w:r>
          </w:p>
        </w:tc>
        <w:tc>
          <w:tcPr>
            <w:tcW w:w="955" w:type="dxa"/>
            <w:tcMar>
              <w:left w:w="28" w:type="dxa"/>
              <w:right w:w="28" w:type="dxa"/>
            </w:tcMar>
            <w:vAlign w:val="center"/>
          </w:tcPr>
          <w:p w14:paraId="29A88CAE">
            <w:pPr>
              <w:pStyle w:val="75"/>
              <w:adjustRightInd w:val="0"/>
              <w:snapToGrid w:val="0"/>
              <w:contextualSpacing w:val="0"/>
            </w:pPr>
            <w:r>
              <w:t>1m</w:t>
            </w:r>
          </w:p>
        </w:tc>
      </w:tr>
      <w:tr w14:paraId="79CE2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2ED4413B">
            <w:pPr>
              <w:pStyle w:val="75"/>
              <w:adjustRightInd w:val="0"/>
              <w:snapToGrid w:val="0"/>
              <w:contextualSpacing w:val="0"/>
            </w:pPr>
          </w:p>
        </w:tc>
        <w:tc>
          <w:tcPr>
            <w:tcW w:w="511" w:type="dxa"/>
            <w:vMerge w:val="continue"/>
            <w:tcMar>
              <w:left w:w="28" w:type="dxa"/>
              <w:right w:w="28" w:type="dxa"/>
            </w:tcMar>
            <w:vAlign w:val="center"/>
          </w:tcPr>
          <w:p w14:paraId="532E7A37">
            <w:pPr>
              <w:pStyle w:val="75"/>
              <w:adjustRightInd w:val="0"/>
              <w:snapToGrid w:val="0"/>
              <w:contextualSpacing w:val="0"/>
            </w:pPr>
          </w:p>
        </w:tc>
        <w:tc>
          <w:tcPr>
            <w:tcW w:w="511" w:type="dxa"/>
            <w:vMerge w:val="continue"/>
            <w:tcMar>
              <w:left w:w="28" w:type="dxa"/>
              <w:right w:w="28" w:type="dxa"/>
            </w:tcMar>
            <w:vAlign w:val="center"/>
          </w:tcPr>
          <w:p w14:paraId="3B6CDC39">
            <w:pPr>
              <w:pStyle w:val="75"/>
              <w:adjustRightInd w:val="0"/>
              <w:snapToGrid w:val="0"/>
              <w:contextualSpacing w:val="0"/>
            </w:pPr>
          </w:p>
        </w:tc>
        <w:tc>
          <w:tcPr>
            <w:tcW w:w="426" w:type="dxa"/>
            <w:vMerge w:val="continue"/>
            <w:tcMar>
              <w:left w:w="28" w:type="dxa"/>
              <w:right w:w="28" w:type="dxa"/>
            </w:tcMar>
            <w:vAlign w:val="center"/>
          </w:tcPr>
          <w:p w14:paraId="13F18604">
            <w:pPr>
              <w:pStyle w:val="75"/>
              <w:adjustRightInd w:val="0"/>
              <w:snapToGrid w:val="0"/>
              <w:contextualSpacing w:val="0"/>
              <w:rPr>
                <w:rFonts w:eastAsia="MS Gothic"/>
              </w:rPr>
            </w:pPr>
          </w:p>
        </w:tc>
        <w:tc>
          <w:tcPr>
            <w:tcW w:w="681" w:type="dxa"/>
            <w:vMerge w:val="continue"/>
            <w:tcMar>
              <w:left w:w="28" w:type="dxa"/>
              <w:right w:w="28" w:type="dxa"/>
            </w:tcMar>
            <w:vAlign w:val="center"/>
          </w:tcPr>
          <w:p w14:paraId="0242FB18">
            <w:pPr>
              <w:pStyle w:val="75"/>
              <w:adjustRightInd w:val="0"/>
              <w:snapToGrid w:val="0"/>
              <w:contextualSpacing w:val="0"/>
            </w:pPr>
          </w:p>
        </w:tc>
        <w:tc>
          <w:tcPr>
            <w:tcW w:w="340" w:type="dxa"/>
            <w:vMerge w:val="continue"/>
            <w:tcMar>
              <w:left w:w="28" w:type="dxa"/>
              <w:right w:w="28" w:type="dxa"/>
            </w:tcMar>
            <w:vAlign w:val="center"/>
          </w:tcPr>
          <w:p w14:paraId="7514523B">
            <w:pPr>
              <w:pStyle w:val="75"/>
              <w:adjustRightInd w:val="0"/>
              <w:snapToGrid w:val="0"/>
              <w:contextualSpacing w:val="0"/>
            </w:pPr>
          </w:p>
        </w:tc>
        <w:tc>
          <w:tcPr>
            <w:tcW w:w="511" w:type="dxa"/>
            <w:vMerge w:val="continue"/>
            <w:tcMar>
              <w:left w:w="28" w:type="dxa"/>
              <w:right w:w="28" w:type="dxa"/>
            </w:tcMar>
            <w:vAlign w:val="center"/>
          </w:tcPr>
          <w:p w14:paraId="15A451EB">
            <w:pPr>
              <w:spacing w:line="240" w:lineRule="auto"/>
              <w:ind w:firstLine="0" w:firstLineChars="0"/>
              <w:jc w:val="center"/>
              <w:rPr>
                <w:sz w:val="21"/>
                <w:szCs w:val="21"/>
              </w:rPr>
            </w:pPr>
          </w:p>
        </w:tc>
        <w:tc>
          <w:tcPr>
            <w:tcW w:w="511" w:type="dxa"/>
            <w:vMerge w:val="continue"/>
            <w:tcMar>
              <w:left w:w="28" w:type="dxa"/>
              <w:right w:w="28" w:type="dxa"/>
            </w:tcMar>
            <w:vAlign w:val="center"/>
          </w:tcPr>
          <w:p w14:paraId="7F5D01B2">
            <w:pPr>
              <w:pStyle w:val="75"/>
              <w:adjustRightInd w:val="0"/>
              <w:snapToGrid w:val="0"/>
              <w:contextualSpacing w:val="0"/>
            </w:pPr>
          </w:p>
        </w:tc>
        <w:tc>
          <w:tcPr>
            <w:tcW w:w="340" w:type="dxa"/>
            <w:vMerge w:val="continue"/>
            <w:tcMar>
              <w:left w:w="28" w:type="dxa"/>
              <w:right w:w="28" w:type="dxa"/>
            </w:tcMar>
            <w:vAlign w:val="center"/>
          </w:tcPr>
          <w:p w14:paraId="7D13901F">
            <w:pPr>
              <w:spacing w:line="240" w:lineRule="auto"/>
              <w:ind w:firstLine="0" w:firstLineChars="0"/>
              <w:jc w:val="center"/>
              <w:rPr>
                <w:sz w:val="21"/>
                <w:szCs w:val="21"/>
              </w:rPr>
            </w:pPr>
          </w:p>
        </w:tc>
        <w:tc>
          <w:tcPr>
            <w:tcW w:w="340" w:type="dxa"/>
            <w:vMerge w:val="continue"/>
            <w:tcMar>
              <w:left w:w="28" w:type="dxa"/>
              <w:right w:w="28" w:type="dxa"/>
            </w:tcMar>
            <w:vAlign w:val="center"/>
          </w:tcPr>
          <w:p w14:paraId="0582FB45">
            <w:pPr>
              <w:spacing w:line="240" w:lineRule="auto"/>
              <w:ind w:firstLine="0" w:firstLineChars="0"/>
              <w:jc w:val="center"/>
              <w:rPr>
                <w:sz w:val="21"/>
                <w:szCs w:val="21"/>
              </w:rPr>
            </w:pPr>
          </w:p>
        </w:tc>
        <w:tc>
          <w:tcPr>
            <w:tcW w:w="340" w:type="dxa"/>
            <w:vMerge w:val="continue"/>
            <w:tcMar>
              <w:left w:w="28" w:type="dxa"/>
              <w:right w:w="28" w:type="dxa"/>
            </w:tcMar>
            <w:vAlign w:val="center"/>
          </w:tcPr>
          <w:p w14:paraId="3E40A01B">
            <w:pPr>
              <w:spacing w:line="240" w:lineRule="auto"/>
              <w:ind w:firstLine="0" w:firstLineChars="0"/>
              <w:jc w:val="center"/>
              <w:rPr>
                <w:sz w:val="21"/>
                <w:szCs w:val="21"/>
              </w:rPr>
            </w:pPr>
          </w:p>
        </w:tc>
        <w:tc>
          <w:tcPr>
            <w:tcW w:w="511" w:type="dxa"/>
            <w:tcMar>
              <w:left w:w="28" w:type="dxa"/>
              <w:right w:w="28" w:type="dxa"/>
            </w:tcMar>
            <w:vAlign w:val="center"/>
          </w:tcPr>
          <w:p w14:paraId="5E8E815B">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88</w:t>
            </w:r>
          </w:p>
        </w:tc>
        <w:tc>
          <w:tcPr>
            <w:tcW w:w="511" w:type="dxa"/>
            <w:tcMar>
              <w:left w:w="28" w:type="dxa"/>
              <w:right w:w="28" w:type="dxa"/>
            </w:tcMar>
            <w:vAlign w:val="center"/>
          </w:tcPr>
          <w:p w14:paraId="5EB2C48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36.1</w:t>
            </w:r>
          </w:p>
        </w:tc>
        <w:tc>
          <w:tcPr>
            <w:tcW w:w="340" w:type="dxa"/>
            <w:vMerge w:val="continue"/>
            <w:tcMar>
              <w:left w:w="28" w:type="dxa"/>
              <w:right w:w="28" w:type="dxa"/>
            </w:tcMar>
            <w:vAlign w:val="center"/>
          </w:tcPr>
          <w:p w14:paraId="480EFA19">
            <w:pPr>
              <w:pStyle w:val="75"/>
              <w:adjustRightInd w:val="0"/>
              <w:snapToGrid w:val="0"/>
              <w:contextualSpacing w:val="0"/>
            </w:pPr>
          </w:p>
        </w:tc>
        <w:tc>
          <w:tcPr>
            <w:tcW w:w="596" w:type="dxa"/>
            <w:vMerge w:val="continue"/>
            <w:tcMar>
              <w:left w:w="28" w:type="dxa"/>
              <w:right w:w="28" w:type="dxa"/>
            </w:tcMar>
            <w:vAlign w:val="center"/>
          </w:tcPr>
          <w:p w14:paraId="1B0F5DC8">
            <w:pPr>
              <w:pStyle w:val="75"/>
              <w:adjustRightInd w:val="0"/>
              <w:snapToGrid w:val="0"/>
              <w:contextualSpacing w:val="0"/>
            </w:pPr>
          </w:p>
        </w:tc>
        <w:tc>
          <w:tcPr>
            <w:tcW w:w="623" w:type="dxa"/>
            <w:tcMar>
              <w:left w:w="28" w:type="dxa"/>
              <w:right w:w="28" w:type="dxa"/>
            </w:tcMar>
            <w:vAlign w:val="center"/>
          </w:tcPr>
          <w:p w14:paraId="46D4AF11">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16.1</w:t>
            </w:r>
          </w:p>
        </w:tc>
        <w:tc>
          <w:tcPr>
            <w:tcW w:w="955" w:type="dxa"/>
            <w:tcMar>
              <w:left w:w="28" w:type="dxa"/>
              <w:right w:w="28" w:type="dxa"/>
            </w:tcMar>
            <w:vAlign w:val="center"/>
          </w:tcPr>
          <w:p w14:paraId="0A8C4609">
            <w:pPr>
              <w:pStyle w:val="75"/>
              <w:adjustRightInd w:val="0"/>
              <w:snapToGrid w:val="0"/>
              <w:contextualSpacing w:val="0"/>
            </w:pPr>
            <w:r>
              <w:t>1m</w:t>
            </w:r>
          </w:p>
        </w:tc>
      </w:tr>
      <w:tr w14:paraId="632F4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restart"/>
            <w:tcMar>
              <w:left w:w="28" w:type="dxa"/>
              <w:right w:w="28" w:type="dxa"/>
            </w:tcMar>
            <w:vAlign w:val="center"/>
          </w:tcPr>
          <w:p w14:paraId="17E2A071">
            <w:pPr>
              <w:pStyle w:val="75"/>
              <w:adjustRightInd w:val="0"/>
              <w:snapToGrid w:val="0"/>
              <w:contextualSpacing w:val="0"/>
            </w:pPr>
            <w:r>
              <w:rPr>
                <w:rFonts w:hint="eastAsia"/>
              </w:rPr>
              <w:t>4</w:t>
            </w:r>
          </w:p>
        </w:tc>
        <w:tc>
          <w:tcPr>
            <w:tcW w:w="511" w:type="dxa"/>
            <w:vMerge w:val="continue"/>
            <w:tcMar>
              <w:left w:w="28" w:type="dxa"/>
              <w:right w:w="28" w:type="dxa"/>
            </w:tcMar>
            <w:vAlign w:val="center"/>
          </w:tcPr>
          <w:p w14:paraId="11ED4805">
            <w:pPr>
              <w:pStyle w:val="75"/>
              <w:adjustRightInd w:val="0"/>
              <w:snapToGrid w:val="0"/>
              <w:contextualSpacing w:val="0"/>
            </w:pPr>
          </w:p>
        </w:tc>
        <w:tc>
          <w:tcPr>
            <w:tcW w:w="511" w:type="dxa"/>
            <w:vMerge w:val="restart"/>
            <w:tcMar>
              <w:left w:w="28" w:type="dxa"/>
              <w:right w:w="28" w:type="dxa"/>
            </w:tcMar>
            <w:vAlign w:val="center"/>
          </w:tcPr>
          <w:p w14:paraId="5EC84303">
            <w:pPr>
              <w:pStyle w:val="75"/>
              <w:adjustRightInd w:val="0"/>
              <w:snapToGrid w:val="0"/>
              <w:contextualSpacing w:val="0"/>
              <w:rPr>
                <w:rFonts w:hint="eastAsia"/>
              </w:rPr>
            </w:pPr>
            <w:r>
              <w:rPr>
                <w:rFonts w:hint="eastAsia"/>
              </w:rPr>
              <w:t>空</w:t>
            </w:r>
          </w:p>
          <w:p w14:paraId="0006C36C">
            <w:pPr>
              <w:pStyle w:val="75"/>
              <w:adjustRightInd w:val="0"/>
              <w:snapToGrid w:val="0"/>
              <w:contextualSpacing w:val="0"/>
              <w:rPr>
                <w:rFonts w:hint="eastAsia"/>
              </w:rPr>
            </w:pPr>
            <w:r>
              <w:rPr>
                <w:rFonts w:hint="eastAsia"/>
              </w:rPr>
              <w:t>压</w:t>
            </w:r>
          </w:p>
          <w:p w14:paraId="733E66B8">
            <w:pPr>
              <w:pStyle w:val="75"/>
              <w:adjustRightInd w:val="0"/>
              <w:snapToGrid w:val="0"/>
              <w:contextualSpacing w:val="0"/>
            </w:pPr>
            <w:r>
              <w:rPr>
                <w:rFonts w:hint="eastAsia"/>
              </w:rPr>
              <w:t>机</w:t>
            </w:r>
          </w:p>
        </w:tc>
        <w:tc>
          <w:tcPr>
            <w:tcW w:w="426" w:type="dxa"/>
            <w:vMerge w:val="restart"/>
            <w:tcMar>
              <w:left w:w="28" w:type="dxa"/>
              <w:right w:w="28" w:type="dxa"/>
            </w:tcMar>
            <w:vAlign w:val="center"/>
          </w:tcPr>
          <w:p w14:paraId="12536C9F">
            <w:pPr>
              <w:pStyle w:val="75"/>
              <w:adjustRightInd w:val="0"/>
              <w:snapToGrid w:val="0"/>
              <w:contextualSpacing w:val="0"/>
              <w:rPr>
                <w:rFonts w:eastAsiaTheme="minorEastAsia"/>
              </w:rPr>
            </w:pPr>
            <w:r>
              <w:rPr>
                <w:rFonts w:hint="eastAsia" w:eastAsiaTheme="minorEastAsia"/>
              </w:rPr>
              <w:t>/</w:t>
            </w:r>
          </w:p>
        </w:tc>
        <w:tc>
          <w:tcPr>
            <w:tcW w:w="681" w:type="dxa"/>
            <w:vMerge w:val="restart"/>
            <w:tcMar>
              <w:left w:w="28" w:type="dxa"/>
              <w:right w:w="28" w:type="dxa"/>
            </w:tcMar>
            <w:vAlign w:val="center"/>
          </w:tcPr>
          <w:p w14:paraId="36D56802">
            <w:pPr>
              <w:pStyle w:val="75"/>
              <w:adjustRightInd w:val="0"/>
              <w:snapToGrid w:val="0"/>
              <w:contextualSpacing w:val="0"/>
            </w:pPr>
            <w:r>
              <w:rPr>
                <w:rFonts w:hint="eastAsia"/>
                <w:lang w:val="en-US" w:eastAsia="zh-CN"/>
              </w:rPr>
              <w:t>80</w:t>
            </w:r>
            <w:r>
              <w:rPr>
                <w:rFonts w:hint="eastAsia"/>
              </w:rPr>
              <w:t>/1</w:t>
            </w:r>
          </w:p>
        </w:tc>
        <w:tc>
          <w:tcPr>
            <w:tcW w:w="340" w:type="dxa"/>
            <w:vMerge w:val="restart"/>
            <w:tcMar>
              <w:left w:w="28" w:type="dxa"/>
              <w:right w:w="28" w:type="dxa"/>
            </w:tcMar>
            <w:vAlign w:val="center"/>
          </w:tcPr>
          <w:p w14:paraId="45680A17">
            <w:pPr>
              <w:pStyle w:val="75"/>
              <w:adjustRightInd w:val="0"/>
              <w:snapToGrid w:val="0"/>
              <w:contextualSpacing w:val="0"/>
            </w:pPr>
            <w:r>
              <w:rPr>
                <w:rFonts w:hint="eastAsia"/>
              </w:rPr>
              <w:t>2</w:t>
            </w:r>
          </w:p>
        </w:tc>
        <w:tc>
          <w:tcPr>
            <w:tcW w:w="511" w:type="dxa"/>
            <w:vMerge w:val="restart"/>
            <w:tcMar>
              <w:left w:w="28" w:type="dxa"/>
              <w:right w:w="28" w:type="dxa"/>
            </w:tcMar>
            <w:vAlign w:val="center"/>
          </w:tcPr>
          <w:p w14:paraId="01AC945A">
            <w:pPr>
              <w:spacing w:line="240" w:lineRule="auto"/>
              <w:ind w:firstLine="0" w:firstLineChars="0"/>
              <w:jc w:val="center"/>
              <w:rPr>
                <w:sz w:val="21"/>
                <w:szCs w:val="21"/>
              </w:rPr>
            </w:pPr>
            <w:r>
              <w:rPr>
                <w:rFonts w:hint="eastAsia"/>
                <w:sz w:val="21"/>
                <w:szCs w:val="21"/>
              </w:rPr>
              <w:t>基础减振、</w:t>
            </w:r>
            <w:r>
              <w:rPr>
                <w:sz w:val="21"/>
                <w:szCs w:val="21"/>
              </w:rPr>
              <w:t>厂房隔声</w:t>
            </w:r>
          </w:p>
        </w:tc>
        <w:tc>
          <w:tcPr>
            <w:tcW w:w="511" w:type="dxa"/>
            <w:vMerge w:val="restart"/>
            <w:tcMar>
              <w:left w:w="28" w:type="dxa"/>
              <w:right w:w="28" w:type="dxa"/>
            </w:tcMar>
            <w:vAlign w:val="center"/>
          </w:tcPr>
          <w:p w14:paraId="5AD2B8CB">
            <w:pPr>
              <w:pStyle w:val="75"/>
              <w:adjustRightInd w:val="0"/>
              <w:snapToGrid w:val="0"/>
              <w:contextualSpacing w:val="0"/>
              <w:rPr>
                <w:rFonts w:hint="default" w:eastAsia="宋体"/>
                <w:lang w:val="en-US" w:eastAsia="zh-CN"/>
              </w:rPr>
            </w:pPr>
            <w:r>
              <w:rPr>
                <w:rFonts w:hint="eastAsia"/>
                <w:lang w:val="en-US" w:eastAsia="zh-CN"/>
              </w:rPr>
              <w:t>88.0</w:t>
            </w:r>
          </w:p>
        </w:tc>
        <w:tc>
          <w:tcPr>
            <w:tcW w:w="340" w:type="dxa"/>
            <w:vMerge w:val="restart"/>
            <w:tcMar>
              <w:left w:w="28" w:type="dxa"/>
              <w:right w:w="28" w:type="dxa"/>
            </w:tcMar>
            <w:vAlign w:val="center"/>
          </w:tcPr>
          <w:p w14:paraId="22ECCE78">
            <w:pPr>
              <w:spacing w:line="240" w:lineRule="auto"/>
              <w:ind w:firstLine="0" w:firstLineChars="0"/>
              <w:contextualSpacing/>
              <w:jc w:val="center"/>
              <w:rPr>
                <w:rFonts w:hint="default"/>
                <w:sz w:val="21"/>
                <w:szCs w:val="21"/>
                <w:lang w:val="en-US"/>
              </w:rPr>
            </w:pPr>
            <w:r>
              <w:rPr>
                <w:rFonts w:hint="eastAsia"/>
                <w:sz w:val="21"/>
                <w:szCs w:val="21"/>
                <w:lang w:val="en-US" w:eastAsia="zh-CN"/>
              </w:rPr>
              <w:t>38</w:t>
            </w:r>
          </w:p>
        </w:tc>
        <w:tc>
          <w:tcPr>
            <w:tcW w:w="340" w:type="dxa"/>
            <w:vMerge w:val="restart"/>
            <w:tcMar>
              <w:left w:w="28" w:type="dxa"/>
              <w:right w:w="28" w:type="dxa"/>
            </w:tcMar>
            <w:vAlign w:val="center"/>
          </w:tcPr>
          <w:p w14:paraId="397F99C8">
            <w:pPr>
              <w:spacing w:line="240" w:lineRule="auto"/>
              <w:ind w:firstLine="0" w:firstLineChars="0"/>
              <w:contextualSpacing/>
              <w:jc w:val="center"/>
              <w:rPr>
                <w:sz w:val="21"/>
                <w:szCs w:val="21"/>
              </w:rPr>
            </w:pPr>
            <w:r>
              <w:rPr>
                <w:rFonts w:hint="eastAsia"/>
                <w:sz w:val="21"/>
                <w:szCs w:val="21"/>
                <w:lang w:val="en-US" w:eastAsia="zh-CN"/>
              </w:rPr>
              <w:t>94</w:t>
            </w:r>
          </w:p>
        </w:tc>
        <w:tc>
          <w:tcPr>
            <w:tcW w:w="340" w:type="dxa"/>
            <w:vMerge w:val="restart"/>
            <w:tcMar>
              <w:left w:w="28" w:type="dxa"/>
              <w:right w:w="28" w:type="dxa"/>
            </w:tcMar>
            <w:vAlign w:val="center"/>
          </w:tcPr>
          <w:p w14:paraId="3426E48F">
            <w:pPr>
              <w:spacing w:line="240" w:lineRule="auto"/>
              <w:ind w:firstLine="0" w:firstLineChars="0"/>
              <w:jc w:val="center"/>
              <w:rPr>
                <w:sz w:val="21"/>
                <w:szCs w:val="21"/>
              </w:rPr>
            </w:pPr>
            <w:r>
              <w:rPr>
                <w:rFonts w:hint="eastAsia"/>
                <w:sz w:val="21"/>
                <w:szCs w:val="21"/>
                <w:lang w:val="en-US" w:eastAsia="zh-CN"/>
              </w:rPr>
              <w:t>0.5</w:t>
            </w:r>
          </w:p>
        </w:tc>
        <w:tc>
          <w:tcPr>
            <w:tcW w:w="511" w:type="dxa"/>
            <w:tcMar>
              <w:left w:w="28" w:type="dxa"/>
              <w:right w:w="28" w:type="dxa"/>
            </w:tcMar>
            <w:vAlign w:val="center"/>
          </w:tcPr>
          <w:p w14:paraId="216DC544">
            <w:pPr>
              <w:spacing w:line="240" w:lineRule="auto"/>
              <w:ind w:firstLine="0" w:firstLineChars="0"/>
              <w:jc w:val="center"/>
              <w:rPr>
                <w:rFonts w:hint="default" w:eastAsia="宋体"/>
                <w:sz w:val="21"/>
                <w:szCs w:val="21"/>
                <w:lang w:val="en-US" w:eastAsia="zh-CN"/>
              </w:rPr>
            </w:pPr>
            <w:r>
              <w:rPr>
                <w:sz w:val="21"/>
                <w:szCs w:val="21"/>
              </w:rPr>
              <w:t>东</w:t>
            </w:r>
            <w:r>
              <w:rPr>
                <w:rFonts w:hint="eastAsia"/>
                <w:sz w:val="21"/>
                <w:szCs w:val="21"/>
                <w:lang w:val="en-US" w:eastAsia="zh-CN"/>
              </w:rPr>
              <w:t>33</w:t>
            </w:r>
          </w:p>
        </w:tc>
        <w:tc>
          <w:tcPr>
            <w:tcW w:w="511" w:type="dxa"/>
            <w:tcMar>
              <w:left w:w="28" w:type="dxa"/>
              <w:right w:w="28" w:type="dxa"/>
            </w:tcMar>
            <w:vAlign w:val="center"/>
          </w:tcPr>
          <w:p w14:paraId="788323B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47.6</w:t>
            </w:r>
          </w:p>
        </w:tc>
        <w:tc>
          <w:tcPr>
            <w:tcW w:w="340" w:type="dxa"/>
            <w:vMerge w:val="restart"/>
            <w:tcMar>
              <w:left w:w="28" w:type="dxa"/>
              <w:right w:w="28" w:type="dxa"/>
            </w:tcMar>
            <w:vAlign w:val="center"/>
          </w:tcPr>
          <w:p w14:paraId="2CDAB44B">
            <w:pPr>
              <w:pStyle w:val="75"/>
              <w:adjustRightInd w:val="0"/>
              <w:snapToGrid w:val="0"/>
              <w:contextualSpacing w:val="0"/>
            </w:pPr>
            <w:r>
              <w:t>持续运行</w:t>
            </w:r>
          </w:p>
        </w:tc>
        <w:tc>
          <w:tcPr>
            <w:tcW w:w="596" w:type="dxa"/>
            <w:vMerge w:val="restart"/>
            <w:tcMar>
              <w:left w:w="28" w:type="dxa"/>
              <w:right w:w="28" w:type="dxa"/>
            </w:tcMar>
            <w:vAlign w:val="center"/>
          </w:tcPr>
          <w:p w14:paraId="140E225E">
            <w:pPr>
              <w:pStyle w:val="75"/>
              <w:adjustRightInd w:val="0"/>
              <w:snapToGrid w:val="0"/>
              <w:contextualSpacing w:val="0"/>
              <w:rPr>
                <w:rFonts w:hint="default" w:eastAsia="宋体"/>
                <w:lang w:val="en-US" w:eastAsia="zh-CN"/>
              </w:rPr>
            </w:pPr>
            <w:r>
              <w:rPr>
                <w:rFonts w:hint="eastAsia"/>
                <w:lang w:val="en-US" w:eastAsia="zh-CN"/>
              </w:rPr>
              <w:t>25</w:t>
            </w:r>
          </w:p>
        </w:tc>
        <w:tc>
          <w:tcPr>
            <w:tcW w:w="623" w:type="dxa"/>
            <w:tcMar>
              <w:left w:w="28" w:type="dxa"/>
              <w:right w:w="28" w:type="dxa"/>
            </w:tcMar>
            <w:vAlign w:val="center"/>
          </w:tcPr>
          <w:p w14:paraId="0E1907CF">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27.6</w:t>
            </w:r>
          </w:p>
        </w:tc>
        <w:tc>
          <w:tcPr>
            <w:tcW w:w="955" w:type="dxa"/>
            <w:tcMar>
              <w:left w:w="28" w:type="dxa"/>
              <w:right w:w="28" w:type="dxa"/>
            </w:tcMar>
            <w:vAlign w:val="center"/>
          </w:tcPr>
          <w:p w14:paraId="2F1360C9">
            <w:pPr>
              <w:pStyle w:val="75"/>
              <w:adjustRightInd w:val="0"/>
              <w:snapToGrid w:val="0"/>
              <w:contextualSpacing w:val="0"/>
            </w:pPr>
            <w:r>
              <w:t>1m</w:t>
            </w:r>
          </w:p>
        </w:tc>
      </w:tr>
      <w:tr w14:paraId="63A761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05CAC296">
            <w:pPr>
              <w:pStyle w:val="75"/>
              <w:adjustRightInd w:val="0"/>
              <w:snapToGrid w:val="0"/>
              <w:contextualSpacing w:val="0"/>
            </w:pPr>
          </w:p>
        </w:tc>
        <w:tc>
          <w:tcPr>
            <w:tcW w:w="511" w:type="dxa"/>
            <w:vMerge w:val="continue"/>
            <w:tcMar>
              <w:left w:w="28" w:type="dxa"/>
              <w:right w:w="28" w:type="dxa"/>
            </w:tcMar>
            <w:vAlign w:val="center"/>
          </w:tcPr>
          <w:p w14:paraId="2D5C336F">
            <w:pPr>
              <w:pStyle w:val="75"/>
              <w:adjustRightInd w:val="0"/>
              <w:snapToGrid w:val="0"/>
              <w:contextualSpacing w:val="0"/>
            </w:pPr>
          </w:p>
        </w:tc>
        <w:tc>
          <w:tcPr>
            <w:tcW w:w="511" w:type="dxa"/>
            <w:vMerge w:val="continue"/>
            <w:tcMar>
              <w:left w:w="28" w:type="dxa"/>
              <w:right w:w="28" w:type="dxa"/>
            </w:tcMar>
            <w:vAlign w:val="center"/>
          </w:tcPr>
          <w:p w14:paraId="6DE0C21A">
            <w:pPr>
              <w:pStyle w:val="75"/>
              <w:adjustRightInd w:val="0"/>
              <w:snapToGrid w:val="0"/>
              <w:contextualSpacing w:val="0"/>
            </w:pPr>
          </w:p>
        </w:tc>
        <w:tc>
          <w:tcPr>
            <w:tcW w:w="426" w:type="dxa"/>
            <w:vMerge w:val="continue"/>
            <w:tcMar>
              <w:left w:w="28" w:type="dxa"/>
              <w:right w:w="28" w:type="dxa"/>
            </w:tcMar>
            <w:vAlign w:val="center"/>
          </w:tcPr>
          <w:p w14:paraId="45F9FFD9">
            <w:pPr>
              <w:pStyle w:val="75"/>
              <w:adjustRightInd w:val="0"/>
              <w:snapToGrid w:val="0"/>
              <w:contextualSpacing w:val="0"/>
              <w:rPr>
                <w:rFonts w:eastAsia="MS Gothic"/>
              </w:rPr>
            </w:pPr>
          </w:p>
        </w:tc>
        <w:tc>
          <w:tcPr>
            <w:tcW w:w="681" w:type="dxa"/>
            <w:vMerge w:val="continue"/>
            <w:tcMar>
              <w:left w:w="28" w:type="dxa"/>
              <w:right w:w="28" w:type="dxa"/>
            </w:tcMar>
            <w:vAlign w:val="center"/>
          </w:tcPr>
          <w:p w14:paraId="3E80CCFE">
            <w:pPr>
              <w:pStyle w:val="75"/>
              <w:adjustRightInd w:val="0"/>
              <w:snapToGrid w:val="0"/>
              <w:contextualSpacing w:val="0"/>
            </w:pPr>
          </w:p>
        </w:tc>
        <w:tc>
          <w:tcPr>
            <w:tcW w:w="340" w:type="dxa"/>
            <w:vMerge w:val="continue"/>
            <w:tcMar>
              <w:left w:w="28" w:type="dxa"/>
              <w:right w:w="28" w:type="dxa"/>
            </w:tcMar>
            <w:vAlign w:val="center"/>
          </w:tcPr>
          <w:p w14:paraId="6AF3D840">
            <w:pPr>
              <w:pStyle w:val="75"/>
              <w:adjustRightInd w:val="0"/>
              <w:snapToGrid w:val="0"/>
              <w:contextualSpacing w:val="0"/>
            </w:pPr>
          </w:p>
        </w:tc>
        <w:tc>
          <w:tcPr>
            <w:tcW w:w="511" w:type="dxa"/>
            <w:vMerge w:val="continue"/>
            <w:tcMar>
              <w:left w:w="28" w:type="dxa"/>
              <w:right w:w="28" w:type="dxa"/>
            </w:tcMar>
            <w:vAlign w:val="center"/>
          </w:tcPr>
          <w:p w14:paraId="03E011D9">
            <w:pPr>
              <w:spacing w:line="240" w:lineRule="auto"/>
              <w:ind w:firstLine="0" w:firstLineChars="0"/>
              <w:jc w:val="center"/>
              <w:rPr>
                <w:sz w:val="21"/>
                <w:szCs w:val="21"/>
              </w:rPr>
            </w:pPr>
          </w:p>
        </w:tc>
        <w:tc>
          <w:tcPr>
            <w:tcW w:w="511" w:type="dxa"/>
            <w:vMerge w:val="continue"/>
            <w:tcMar>
              <w:left w:w="28" w:type="dxa"/>
              <w:right w:w="28" w:type="dxa"/>
            </w:tcMar>
            <w:vAlign w:val="center"/>
          </w:tcPr>
          <w:p w14:paraId="68BA7804">
            <w:pPr>
              <w:pStyle w:val="75"/>
              <w:adjustRightInd w:val="0"/>
              <w:snapToGrid w:val="0"/>
              <w:contextualSpacing w:val="0"/>
            </w:pPr>
          </w:p>
        </w:tc>
        <w:tc>
          <w:tcPr>
            <w:tcW w:w="340" w:type="dxa"/>
            <w:vMerge w:val="continue"/>
            <w:tcMar>
              <w:left w:w="28" w:type="dxa"/>
              <w:right w:w="28" w:type="dxa"/>
            </w:tcMar>
            <w:vAlign w:val="center"/>
          </w:tcPr>
          <w:p w14:paraId="5D9EFA2C">
            <w:pPr>
              <w:spacing w:line="240" w:lineRule="auto"/>
              <w:ind w:firstLine="0" w:firstLineChars="0"/>
              <w:jc w:val="center"/>
              <w:rPr>
                <w:sz w:val="21"/>
                <w:szCs w:val="21"/>
              </w:rPr>
            </w:pPr>
          </w:p>
        </w:tc>
        <w:tc>
          <w:tcPr>
            <w:tcW w:w="340" w:type="dxa"/>
            <w:vMerge w:val="continue"/>
            <w:tcMar>
              <w:left w:w="28" w:type="dxa"/>
              <w:right w:w="28" w:type="dxa"/>
            </w:tcMar>
            <w:vAlign w:val="center"/>
          </w:tcPr>
          <w:p w14:paraId="55B2F30F">
            <w:pPr>
              <w:spacing w:line="240" w:lineRule="auto"/>
              <w:ind w:firstLine="0" w:firstLineChars="0"/>
              <w:jc w:val="center"/>
              <w:rPr>
                <w:sz w:val="21"/>
                <w:szCs w:val="21"/>
              </w:rPr>
            </w:pPr>
          </w:p>
        </w:tc>
        <w:tc>
          <w:tcPr>
            <w:tcW w:w="340" w:type="dxa"/>
            <w:vMerge w:val="continue"/>
            <w:tcMar>
              <w:left w:w="28" w:type="dxa"/>
              <w:right w:w="28" w:type="dxa"/>
            </w:tcMar>
            <w:vAlign w:val="center"/>
          </w:tcPr>
          <w:p w14:paraId="43735218">
            <w:pPr>
              <w:spacing w:line="240" w:lineRule="auto"/>
              <w:ind w:firstLine="0" w:firstLineChars="0"/>
              <w:jc w:val="center"/>
              <w:rPr>
                <w:sz w:val="21"/>
                <w:szCs w:val="21"/>
              </w:rPr>
            </w:pPr>
          </w:p>
        </w:tc>
        <w:tc>
          <w:tcPr>
            <w:tcW w:w="511" w:type="dxa"/>
            <w:tcMar>
              <w:left w:w="28" w:type="dxa"/>
              <w:right w:w="28" w:type="dxa"/>
            </w:tcMar>
            <w:vAlign w:val="center"/>
          </w:tcPr>
          <w:p w14:paraId="44D94D21">
            <w:pPr>
              <w:spacing w:line="240" w:lineRule="auto"/>
              <w:ind w:firstLine="0" w:firstLineChars="0"/>
              <w:jc w:val="center"/>
              <w:rPr>
                <w:rFonts w:hint="default" w:eastAsia="宋体"/>
                <w:sz w:val="21"/>
                <w:szCs w:val="21"/>
                <w:lang w:val="en-US" w:eastAsia="zh-CN"/>
              </w:rPr>
            </w:pPr>
            <w:r>
              <w:rPr>
                <w:sz w:val="21"/>
                <w:szCs w:val="21"/>
              </w:rPr>
              <w:t>南</w:t>
            </w:r>
            <w:r>
              <w:rPr>
                <w:rFonts w:hint="eastAsia"/>
                <w:sz w:val="21"/>
                <w:szCs w:val="21"/>
                <w:lang w:val="en-US" w:eastAsia="zh-CN"/>
              </w:rPr>
              <w:t>90</w:t>
            </w:r>
          </w:p>
        </w:tc>
        <w:tc>
          <w:tcPr>
            <w:tcW w:w="511" w:type="dxa"/>
            <w:tcMar>
              <w:left w:w="28" w:type="dxa"/>
              <w:right w:w="28" w:type="dxa"/>
            </w:tcMar>
            <w:vAlign w:val="center"/>
          </w:tcPr>
          <w:p w14:paraId="79B76F2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38.9</w:t>
            </w:r>
          </w:p>
        </w:tc>
        <w:tc>
          <w:tcPr>
            <w:tcW w:w="340" w:type="dxa"/>
            <w:vMerge w:val="continue"/>
            <w:tcMar>
              <w:left w:w="28" w:type="dxa"/>
              <w:right w:w="28" w:type="dxa"/>
            </w:tcMar>
            <w:vAlign w:val="center"/>
          </w:tcPr>
          <w:p w14:paraId="2EB80361">
            <w:pPr>
              <w:pStyle w:val="75"/>
              <w:adjustRightInd w:val="0"/>
              <w:snapToGrid w:val="0"/>
              <w:contextualSpacing w:val="0"/>
            </w:pPr>
          </w:p>
        </w:tc>
        <w:tc>
          <w:tcPr>
            <w:tcW w:w="596" w:type="dxa"/>
            <w:vMerge w:val="continue"/>
            <w:tcMar>
              <w:left w:w="28" w:type="dxa"/>
              <w:right w:w="28" w:type="dxa"/>
            </w:tcMar>
            <w:vAlign w:val="center"/>
          </w:tcPr>
          <w:p w14:paraId="16308752">
            <w:pPr>
              <w:pStyle w:val="75"/>
              <w:adjustRightInd w:val="0"/>
              <w:snapToGrid w:val="0"/>
              <w:contextualSpacing w:val="0"/>
            </w:pPr>
          </w:p>
        </w:tc>
        <w:tc>
          <w:tcPr>
            <w:tcW w:w="623" w:type="dxa"/>
            <w:tcMar>
              <w:left w:w="28" w:type="dxa"/>
              <w:right w:w="28" w:type="dxa"/>
            </w:tcMar>
            <w:vAlign w:val="center"/>
          </w:tcPr>
          <w:p w14:paraId="389AD5A3">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18.9</w:t>
            </w:r>
          </w:p>
        </w:tc>
        <w:tc>
          <w:tcPr>
            <w:tcW w:w="955" w:type="dxa"/>
            <w:tcMar>
              <w:left w:w="28" w:type="dxa"/>
              <w:right w:w="28" w:type="dxa"/>
            </w:tcMar>
            <w:vAlign w:val="center"/>
          </w:tcPr>
          <w:p w14:paraId="2E259E95">
            <w:pPr>
              <w:pStyle w:val="75"/>
              <w:adjustRightInd w:val="0"/>
              <w:snapToGrid w:val="0"/>
              <w:contextualSpacing w:val="0"/>
            </w:pPr>
            <w:r>
              <w:t>1m</w:t>
            </w:r>
          </w:p>
        </w:tc>
      </w:tr>
      <w:tr w14:paraId="7E3944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76462F41">
            <w:pPr>
              <w:pStyle w:val="75"/>
              <w:adjustRightInd w:val="0"/>
              <w:snapToGrid w:val="0"/>
              <w:contextualSpacing w:val="0"/>
            </w:pPr>
          </w:p>
        </w:tc>
        <w:tc>
          <w:tcPr>
            <w:tcW w:w="511" w:type="dxa"/>
            <w:vMerge w:val="continue"/>
            <w:tcMar>
              <w:left w:w="28" w:type="dxa"/>
              <w:right w:w="28" w:type="dxa"/>
            </w:tcMar>
            <w:vAlign w:val="center"/>
          </w:tcPr>
          <w:p w14:paraId="528B0C93">
            <w:pPr>
              <w:pStyle w:val="75"/>
              <w:adjustRightInd w:val="0"/>
              <w:snapToGrid w:val="0"/>
              <w:contextualSpacing w:val="0"/>
            </w:pPr>
          </w:p>
        </w:tc>
        <w:tc>
          <w:tcPr>
            <w:tcW w:w="511" w:type="dxa"/>
            <w:vMerge w:val="continue"/>
            <w:tcMar>
              <w:left w:w="28" w:type="dxa"/>
              <w:right w:w="28" w:type="dxa"/>
            </w:tcMar>
            <w:vAlign w:val="center"/>
          </w:tcPr>
          <w:p w14:paraId="0D7F416E">
            <w:pPr>
              <w:pStyle w:val="75"/>
              <w:adjustRightInd w:val="0"/>
              <w:snapToGrid w:val="0"/>
              <w:contextualSpacing w:val="0"/>
            </w:pPr>
          </w:p>
        </w:tc>
        <w:tc>
          <w:tcPr>
            <w:tcW w:w="426" w:type="dxa"/>
            <w:vMerge w:val="continue"/>
            <w:tcMar>
              <w:left w:w="28" w:type="dxa"/>
              <w:right w:w="28" w:type="dxa"/>
            </w:tcMar>
            <w:vAlign w:val="center"/>
          </w:tcPr>
          <w:p w14:paraId="68838C1F">
            <w:pPr>
              <w:pStyle w:val="75"/>
              <w:adjustRightInd w:val="0"/>
              <w:snapToGrid w:val="0"/>
              <w:contextualSpacing w:val="0"/>
              <w:rPr>
                <w:rFonts w:eastAsia="MS Gothic"/>
              </w:rPr>
            </w:pPr>
          </w:p>
        </w:tc>
        <w:tc>
          <w:tcPr>
            <w:tcW w:w="681" w:type="dxa"/>
            <w:vMerge w:val="continue"/>
            <w:tcMar>
              <w:left w:w="28" w:type="dxa"/>
              <w:right w:w="28" w:type="dxa"/>
            </w:tcMar>
            <w:vAlign w:val="center"/>
          </w:tcPr>
          <w:p w14:paraId="799BB947">
            <w:pPr>
              <w:pStyle w:val="75"/>
              <w:adjustRightInd w:val="0"/>
              <w:snapToGrid w:val="0"/>
              <w:contextualSpacing w:val="0"/>
            </w:pPr>
          </w:p>
        </w:tc>
        <w:tc>
          <w:tcPr>
            <w:tcW w:w="340" w:type="dxa"/>
            <w:vMerge w:val="continue"/>
            <w:tcMar>
              <w:left w:w="28" w:type="dxa"/>
              <w:right w:w="28" w:type="dxa"/>
            </w:tcMar>
            <w:vAlign w:val="center"/>
          </w:tcPr>
          <w:p w14:paraId="2C765F94">
            <w:pPr>
              <w:pStyle w:val="75"/>
              <w:adjustRightInd w:val="0"/>
              <w:snapToGrid w:val="0"/>
              <w:contextualSpacing w:val="0"/>
            </w:pPr>
          </w:p>
        </w:tc>
        <w:tc>
          <w:tcPr>
            <w:tcW w:w="511" w:type="dxa"/>
            <w:vMerge w:val="continue"/>
            <w:tcMar>
              <w:left w:w="28" w:type="dxa"/>
              <w:right w:w="28" w:type="dxa"/>
            </w:tcMar>
            <w:vAlign w:val="center"/>
          </w:tcPr>
          <w:p w14:paraId="647102C5">
            <w:pPr>
              <w:spacing w:line="240" w:lineRule="auto"/>
              <w:ind w:firstLine="0" w:firstLineChars="0"/>
              <w:jc w:val="center"/>
              <w:rPr>
                <w:sz w:val="21"/>
                <w:szCs w:val="21"/>
              </w:rPr>
            </w:pPr>
          </w:p>
        </w:tc>
        <w:tc>
          <w:tcPr>
            <w:tcW w:w="511" w:type="dxa"/>
            <w:vMerge w:val="continue"/>
            <w:tcMar>
              <w:left w:w="28" w:type="dxa"/>
              <w:right w:w="28" w:type="dxa"/>
            </w:tcMar>
            <w:vAlign w:val="center"/>
          </w:tcPr>
          <w:p w14:paraId="01B07F11">
            <w:pPr>
              <w:pStyle w:val="75"/>
              <w:adjustRightInd w:val="0"/>
              <w:snapToGrid w:val="0"/>
              <w:contextualSpacing w:val="0"/>
            </w:pPr>
          </w:p>
        </w:tc>
        <w:tc>
          <w:tcPr>
            <w:tcW w:w="340" w:type="dxa"/>
            <w:vMerge w:val="continue"/>
            <w:tcMar>
              <w:left w:w="28" w:type="dxa"/>
              <w:right w:w="28" w:type="dxa"/>
            </w:tcMar>
            <w:vAlign w:val="center"/>
          </w:tcPr>
          <w:p w14:paraId="08AE7976">
            <w:pPr>
              <w:spacing w:line="240" w:lineRule="auto"/>
              <w:ind w:firstLine="0" w:firstLineChars="0"/>
              <w:jc w:val="center"/>
              <w:rPr>
                <w:sz w:val="21"/>
                <w:szCs w:val="21"/>
              </w:rPr>
            </w:pPr>
          </w:p>
        </w:tc>
        <w:tc>
          <w:tcPr>
            <w:tcW w:w="340" w:type="dxa"/>
            <w:vMerge w:val="continue"/>
            <w:tcMar>
              <w:left w:w="28" w:type="dxa"/>
              <w:right w:w="28" w:type="dxa"/>
            </w:tcMar>
            <w:vAlign w:val="center"/>
          </w:tcPr>
          <w:p w14:paraId="03C8AF9D">
            <w:pPr>
              <w:spacing w:line="240" w:lineRule="auto"/>
              <w:ind w:firstLine="0" w:firstLineChars="0"/>
              <w:jc w:val="center"/>
              <w:rPr>
                <w:sz w:val="21"/>
                <w:szCs w:val="21"/>
              </w:rPr>
            </w:pPr>
          </w:p>
        </w:tc>
        <w:tc>
          <w:tcPr>
            <w:tcW w:w="340" w:type="dxa"/>
            <w:vMerge w:val="continue"/>
            <w:tcMar>
              <w:left w:w="28" w:type="dxa"/>
              <w:right w:w="28" w:type="dxa"/>
            </w:tcMar>
            <w:vAlign w:val="center"/>
          </w:tcPr>
          <w:p w14:paraId="7E181F6C">
            <w:pPr>
              <w:spacing w:line="240" w:lineRule="auto"/>
              <w:ind w:firstLine="0" w:firstLineChars="0"/>
              <w:jc w:val="center"/>
              <w:rPr>
                <w:sz w:val="21"/>
                <w:szCs w:val="21"/>
              </w:rPr>
            </w:pPr>
          </w:p>
        </w:tc>
        <w:tc>
          <w:tcPr>
            <w:tcW w:w="511" w:type="dxa"/>
            <w:tcMar>
              <w:left w:w="28" w:type="dxa"/>
              <w:right w:w="28" w:type="dxa"/>
            </w:tcMar>
            <w:vAlign w:val="center"/>
          </w:tcPr>
          <w:p w14:paraId="32E02F54">
            <w:pPr>
              <w:spacing w:line="240" w:lineRule="auto"/>
              <w:ind w:firstLine="0" w:firstLineChars="0"/>
              <w:jc w:val="center"/>
              <w:rPr>
                <w:rFonts w:hint="default" w:eastAsia="宋体"/>
                <w:sz w:val="21"/>
                <w:szCs w:val="21"/>
                <w:lang w:val="en-US" w:eastAsia="zh-CN"/>
              </w:rPr>
            </w:pPr>
            <w:r>
              <w:rPr>
                <w:sz w:val="21"/>
                <w:szCs w:val="21"/>
              </w:rPr>
              <w:t>西</w:t>
            </w:r>
            <w:r>
              <w:rPr>
                <w:rFonts w:hint="eastAsia"/>
                <w:sz w:val="21"/>
                <w:szCs w:val="21"/>
                <w:lang w:val="en-US" w:eastAsia="zh-CN"/>
              </w:rPr>
              <w:t>35</w:t>
            </w:r>
          </w:p>
        </w:tc>
        <w:tc>
          <w:tcPr>
            <w:tcW w:w="511" w:type="dxa"/>
            <w:tcMar>
              <w:left w:w="28" w:type="dxa"/>
              <w:right w:w="28" w:type="dxa"/>
            </w:tcMar>
            <w:vAlign w:val="center"/>
          </w:tcPr>
          <w:p w14:paraId="4049DA4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47.1</w:t>
            </w:r>
          </w:p>
        </w:tc>
        <w:tc>
          <w:tcPr>
            <w:tcW w:w="340" w:type="dxa"/>
            <w:vMerge w:val="continue"/>
            <w:tcMar>
              <w:left w:w="28" w:type="dxa"/>
              <w:right w:w="28" w:type="dxa"/>
            </w:tcMar>
            <w:vAlign w:val="center"/>
          </w:tcPr>
          <w:p w14:paraId="75881DE6">
            <w:pPr>
              <w:pStyle w:val="75"/>
              <w:adjustRightInd w:val="0"/>
              <w:snapToGrid w:val="0"/>
              <w:contextualSpacing w:val="0"/>
            </w:pPr>
          </w:p>
        </w:tc>
        <w:tc>
          <w:tcPr>
            <w:tcW w:w="596" w:type="dxa"/>
            <w:vMerge w:val="continue"/>
            <w:tcMar>
              <w:left w:w="28" w:type="dxa"/>
              <w:right w:w="28" w:type="dxa"/>
            </w:tcMar>
            <w:vAlign w:val="center"/>
          </w:tcPr>
          <w:p w14:paraId="6C3C6F18">
            <w:pPr>
              <w:pStyle w:val="75"/>
              <w:adjustRightInd w:val="0"/>
              <w:snapToGrid w:val="0"/>
              <w:contextualSpacing w:val="0"/>
            </w:pPr>
          </w:p>
        </w:tc>
        <w:tc>
          <w:tcPr>
            <w:tcW w:w="623" w:type="dxa"/>
            <w:tcMar>
              <w:left w:w="28" w:type="dxa"/>
              <w:right w:w="28" w:type="dxa"/>
            </w:tcMar>
            <w:vAlign w:val="center"/>
          </w:tcPr>
          <w:p w14:paraId="1BC8A83E">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27.1</w:t>
            </w:r>
          </w:p>
        </w:tc>
        <w:tc>
          <w:tcPr>
            <w:tcW w:w="955" w:type="dxa"/>
            <w:tcMar>
              <w:left w:w="28" w:type="dxa"/>
              <w:right w:w="28" w:type="dxa"/>
            </w:tcMar>
            <w:vAlign w:val="center"/>
          </w:tcPr>
          <w:p w14:paraId="29B52053">
            <w:pPr>
              <w:pStyle w:val="75"/>
              <w:adjustRightInd w:val="0"/>
              <w:snapToGrid w:val="0"/>
              <w:contextualSpacing w:val="0"/>
            </w:pPr>
            <w:r>
              <w:t>1m</w:t>
            </w:r>
          </w:p>
        </w:tc>
      </w:tr>
      <w:tr w14:paraId="7367E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690" w:type="dxa"/>
            <w:vMerge w:val="continue"/>
            <w:tcMar>
              <w:left w:w="28" w:type="dxa"/>
              <w:right w:w="28" w:type="dxa"/>
            </w:tcMar>
            <w:vAlign w:val="center"/>
          </w:tcPr>
          <w:p w14:paraId="46F84F6F">
            <w:pPr>
              <w:pStyle w:val="75"/>
              <w:adjustRightInd w:val="0"/>
              <w:snapToGrid w:val="0"/>
              <w:contextualSpacing w:val="0"/>
            </w:pPr>
          </w:p>
        </w:tc>
        <w:tc>
          <w:tcPr>
            <w:tcW w:w="511" w:type="dxa"/>
            <w:vMerge w:val="continue"/>
            <w:tcMar>
              <w:left w:w="28" w:type="dxa"/>
              <w:right w:w="28" w:type="dxa"/>
            </w:tcMar>
            <w:vAlign w:val="center"/>
          </w:tcPr>
          <w:p w14:paraId="2A69EE3B">
            <w:pPr>
              <w:pStyle w:val="75"/>
              <w:adjustRightInd w:val="0"/>
              <w:snapToGrid w:val="0"/>
              <w:contextualSpacing w:val="0"/>
            </w:pPr>
          </w:p>
        </w:tc>
        <w:tc>
          <w:tcPr>
            <w:tcW w:w="511" w:type="dxa"/>
            <w:vMerge w:val="continue"/>
            <w:tcMar>
              <w:left w:w="28" w:type="dxa"/>
              <w:right w:w="28" w:type="dxa"/>
            </w:tcMar>
            <w:vAlign w:val="center"/>
          </w:tcPr>
          <w:p w14:paraId="77A5BE4F">
            <w:pPr>
              <w:pStyle w:val="75"/>
              <w:adjustRightInd w:val="0"/>
              <w:snapToGrid w:val="0"/>
              <w:contextualSpacing w:val="0"/>
            </w:pPr>
          </w:p>
        </w:tc>
        <w:tc>
          <w:tcPr>
            <w:tcW w:w="426" w:type="dxa"/>
            <w:vMerge w:val="continue"/>
            <w:tcMar>
              <w:left w:w="28" w:type="dxa"/>
              <w:right w:w="28" w:type="dxa"/>
            </w:tcMar>
            <w:vAlign w:val="center"/>
          </w:tcPr>
          <w:p w14:paraId="2DAB026A">
            <w:pPr>
              <w:pStyle w:val="75"/>
              <w:adjustRightInd w:val="0"/>
              <w:snapToGrid w:val="0"/>
              <w:contextualSpacing w:val="0"/>
              <w:rPr>
                <w:rFonts w:eastAsia="MS Gothic"/>
              </w:rPr>
            </w:pPr>
          </w:p>
        </w:tc>
        <w:tc>
          <w:tcPr>
            <w:tcW w:w="681" w:type="dxa"/>
            <w:vMerge w:val="continue"/>
            <w:tcMar>
              <w:left w:w="28" w:type="dxa"/>
              <w:right w:w="28" w:type="dxa"/>
            </w:tcMar>
            <w:vAlign w:val="center"/>
          </w:tcPr>
          <w:p w14:paraId="523B8DBC">
            <w:pPr>
              <w:pStyle w:val="75"/>
              <w:adjustRightInd w:val="0"/>
              <w:snapToGrid w:val="0"/>
              <w:contextualSpacing w:val="0"/>
            </w:pPr>
          </w:p>
        </w:tc>
        <w:tc>
          <w:tcPr>
            <w:tcW w:w="340" w:type="dxa"/>
            <w:vMerge w:val="continue"/>
            <w:tcMar>
              <w:left w:w="28" w:type="dxa"/>
              <w:right w:w="28" w:type="dxa"/>
            </w:tcMar>
            <w:vAlign w:val="center"/>
          </w:tcPr>
          <w:p w14:paraId="42E1EEEE">
            <w:pPr>
              <w:pStyle w:val="75"/>
              <w:adjustRightInd w:val="0"/>
              <w:snapToGrid w:val="0"/>
              <w:contextualSpacing w:val="0"/>
            </w:pPr>
          </w:p>
        </w:tc>
        <w:tc>
          <w:tcPr>
            <w:tcW w:w="511" w:type="dxa"/>
            <w:vMerge w:val="continue"/>
            <w:tcMar>
              <w:left w:w="28" w:type="dxa"/>
              <w:right w:w="28" w:type="dxa"/>
            </w:tcMar>
            <w:vAlign w:val="center"/>
          </w:tcPr>
          <w:p w14:paraId="6DD8C778">
            <w:pPr>
              <w:spacing w:line="240" w:lineRule="auto"/>
              <w:ind w:firstLine="0" w:firstLineChars="0"/>
              <w:jc w:val="center"/>
              <w:rPr>
                <w:sz w:val="21"/>
                <w:szCs w:val="21"/>
              </w:rPr>
            </w:pPr>
          </w:p>
        </w:tc>
        <w:tc>
          <w:tcPr>
            <w:tcW w:w="511" w:type="dxa"/>
            <w:vMerge w:val="continue"/>
            <w:tcMar>
              <w:left w:w="28" w:type="dxa"/>
              <w:right w:w="28" w:type="dxa"/>
            </w:tcMar>
            <w:vAlign w:val="center"/>
          </w:tcPr>
          <w:p w14:paraId="23E5BAFB">
            <w:pPr>
              <w:pStyle w:val="75"/>
              <w:adjustRightInd w:val="0"/>
              <w:snapToGrid w:val="0"/>
              <w:contextualSpacing w:val="0"/>
            </w:pPr>
          </w:p>
        </w:tc>
        <w:tc>
          <w:tcPr>
            <w:tcW w:w="340" w:type="dxa"/>
            <w:vMerge w:val="continue"/>
            <w:tcMar>
              <w:left w:w="28" w:type="dxa"/>
              <w:right w:w="28" w:type="dxa"/>
            </w:tcMar>
            <w:vAlign w:val="center"/>
          </w:tcPr>
          <w:p w14:paraId="0AFC05D9">
            <w:pPr>
              <w:spacing w:line="240" w:lineRule="auto"/>
              <w:ind w:firstLine="0" w:firstLineChars="0"/>
              <w:jc w:val="center"/>
              <w:rPr>
                <w:sz w:val="21"/>
                <w:szCs w:val="21"/>
              </w:rPr>
            </w:pPr>
          </w:p>
        </w:tc>
        <w:tc>
          <w:tcPr>
            <w:tcW w:w="340" w:type="dxa"/>
            <w:vMerge w:val="continue"/>
            <w:tcMar>
              <w:left w:w="28" w:type="dxa"/>
              <w:right w:w="28" w:type="dxa"/>
            </w:tcMar>
            <w:vAlign w:val="center"/>
          </w:tcPr>
          <w:p w14:paraId="095E24F3">
            <w:pPr>
              <w:spacing w:line="240" w:lineRule="auto"/>
              <w:ind w:firstLine="0" w:firstLineChars="0"/>
              <w:jc w:val="center"/>
              <w:rPr>
                <w:sz w:val="21"/>
                <w:szCs w:val="21"/>
              </w:rPr>
            </w:pPr>
          </w:p>
        </w:tc>
        <w:tc>
          <w:tcPr>
            <w:tcW w:w="340" w:type="dxa"/>
            <w:vMerge w:val="continue"/>
            <w:tcMar>
              <w:left w:w="28" w:type="dxa"/>
              <w:right w:w="28" w:type="dxa"/>
            </w:tcMar>
            <w:vAlign w:val="center"/>
          </w:tcPr>
          <w:p w14:paraId="49C8FF66">
            <w:pPr>
              <w:spacing w:line="240" w:lineRule="auto"/>
              <w:ind w:firstLine="0" w:firstLineChars="0"/>
              <w:jc w:val="center"/>
              <w:rPr>
                <w:sz w:val="21"/>
                <w:szCs w:val="21"/>
              </w:rPr>
            </w:pPr>
          </w:p>
        </w:tc>
        <w:tc>
          <w:tcPr>
            <w:tcW w:w="511" w:type="dxa"/>
            <w:tcMar>
              <w:left w:w="28" w:type="dxa"/>
              <w:right w:w="28" w:type="dxa"/>
            </w:tcMar>
            <w:vAlign w:val="center"/>
          </w:tcPr>
          <w:p w14:paraId="02497CB2">
            <w:pPr>
              <w:spacing w:line="240" w:lineRule="auto"/>
              <w:ind w:firstLine="0" w:firstLineChars="0"/>
              <w:jc w:val="center"/>
              <w:rPr>
                <w:rFonts w:hint="default" w:eastAsia="宋体"/>
                <w:sz w:val="21"/>
                <w:szCs w:val="21"/>
                <w:lang w:val="en-US" w:eastAsia="zh-CN"/>
              </w:rPr>
            </w:pPr>
            <w:r>
              <w:rPr>
                <w:sz w:val="21"/>
                <w:szCs w:val="21"/>
              </w:rPr>
              <w:t>北</w:t>
            </w:r>
            <w:r>
              <w:rPr>
                <w:rFonts w:hint="eastAsia"/>
                <w:sz w:val="21"/>
                <w:szCs w:val="21"/>
                <w:lang w:val="en-US" w:eastAsia="zh-CN"/>
              </w:rPr>
              <w:t>26</w:t>
            </w:r>
          </w:p>
        </w:tc>
        <w:tc>
          <w:tcPr>
            <w:tcW w:w="511" w:type="dxa"/>
            <w:tcMar>
              <w:left w:w="28" w:type="dxa"/>
              <w:right w:w="28" w:type="dxa"/>
            </w:tcMar>
            <w:vAlign w:val="center"/>
          </w:tcPr>
          <w:p w14:paraId="435A50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54.7</w:t>
            </w:r>
          </w:p>
        </w:tc>
        <w:tc>
          <w:tcPr>
            <w:tcW w:w="340" w:type="dxa"/>
            <w:vMerge w:val="continue"/>
            <w:tcMar>
              <w:left w:w="28" w:type="dxa"/>
              <w:right w:w="28" w:type="dxa"/>
            </w:tcMar>
            <w:vAlign w:val="center"/>
          </w:tcPr>
          <w:p w14:paraId="7DA2A45A">
            <w:pPr>
              <w:pStyle w:val="75"/>
              <w:adjustRightInd w:val="0"/>
              <w:snapToGrid w:val="0"/>
              <w:contextualSpacing w:val="0"/>
            </w:pPr>
          </w:p>
        </w:tc>
        <w:tc>
          <w:tcPr>
            <w:tcW w:w="596" w:type="dxa"/>
            <w:vMerge w:val="continue"/>
            <w:tcMar>
              <w:left w:w="28" w:type="dxa"/>
              <w:right w:w="28" w:type="dxa"/>
            </w:tcMar>
            <w:vAlign w:val="center"/>
          </w:tcPr>
          <w:p w14:paraId="59EF9B19">
            <w:pPr>
              <w:pStyle w:val="75"/>
              <w:adjustRightInd w:val="0"/>
              <w:snapToGrid w:val="0"/>
              <w:contextualSpacing w:val="0"/>
            </w:pPr>
          </w:p>
        </w:tc>
        <w:tc>
          <w:tcPr>
            <w:tcW w:w="623" w:type="dxa"/>
            <w:tcMar>
              <w:left w:w="28" w:type="dxa"/>
              <w:right w:w="28" w:type="dxa"/>
            </w:tcMar>
            <w:vAlign w:val="center"/>
          </w:tcPr>
          <w:p w14:paraId="548FFA1C">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34.7</w:t>
            </w:r>
          </w:p>
        </w:tc>
        <w:tc>
          <w:tcPr>
            <w:tcW w:w="955" w:type="dxa"/>
            <w:tcMar>
              <w:left w:w="28" w:type="dxa"/>
              <w:right w:w="28" w:type="dxa"/>
            </w:tcMar>
            <w:vAlign w:val="center"/>
          </w:tcPr>
          <w:p w14:paraId="55134F20">
            <w:pPr>
              <w:pStyle w:val="75"/>
              <w:adjustRightInd w:val="0"/>
              <w:snapToGrid w:val="0"/>
              <w:contextualSpacing w:val="0"/>
            </w:pPr>
            <w:r>
              <w:t>1m</w:t>
            </w:r>
          </w:p>
        </w:tc>
      </w:tr>
    </w:tbl>
    <w:p w14:paraId="5BBADF8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bookmarkStart w:id="571" w:name="_Toc108122571"/>
      <w:r>
        <w:rPr>
          <w:rFonts w:hint="eastAsia" w:ascii="Times New Roman" w:hAnsi="Times New Roman"/>
          <w:lang w:val="en-US" w:eastAsia="zh-CN"/>
        </w:rPr>
        <w:t>5.4.6预测模式</w:t>
      </w:r>
    </w:p>
    <w:p w14:paraId="58B50028">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根据《环境影响评价技术导则声环境》（HJ 2.4-2021）中规定，本项目选用导则中附录A（规范性附录）户外声传播的衰减和附录B（规范性附录）中</w:t>
      </w: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rPr>
        <w:t>B.1工业噪声预测计算模型</w:t>
      </w: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rPr>
        <w:t>。</w:t>
      </w:r>
    </w:p>
    <w:p w14:paraId="539E04CD">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firstLine="480" w:firstLineChars="200"/>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lang w:val="en-US" w:eastAsia="zh-CN"/>
        </w:rPr>
        <w:t>1</w:t>
      </w:r>
      <w:r>
        <w:rPr>
          <w:rFonts w:hint="default" w:ascii="Times New Roman" w:hAnsi="Times New Roman" w:cs="Times New Roman"/>
          <w:b w:val="0"/>
          <w:bCs w:val="0"/>
          <w:highlight w:val="none"/>
          <w:u w:val="none"/>
          <w:lang w:eastAsia="zh-CN"/>
        </w:rPr>
        <w:t>）室内声源</w:t>
      </w:r>
    </w:p>
    <w:p w14:paraId="4D3BA980">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firstLine="480" w:firstLineChars="200"/>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声源位于室内，室内声源可采用等效室外声源声功率级法进行计算。设靠近开口处（或窗户）室内、室外某倍频带的声压级分别为L</w:t>
      </w:r>
      <w:r>
        <w:rPr>
          <w:rFonts w:hint="default" w:ascii="Times New Roman" w:hAnsi="Times New Roman" w:cs="Times New Roman"/>
          <w:b w:val="0"/>
          <w:bCs w:val="0"/>
          <w:i/>
          <w:iCs/>
          <w:highlight w:val="none"/>
          <w:u w:val="none"/>
          <w:vertAlign w:val="subscript"/>
          <w:lang w:val="en-US" w:eastAsia="zh-CN"/>
        </w:rPr>
        <w:t>P</w:t>
      </w:r>
      <w:r>
        <w:rPr>
          <w:rFonts w:hint="default" w:ascii="Times New Roman" w:hAnsi="Times New Roman" w:cs="Times New Roman"/>
          <w:b w:val="0"/>
          <w:bCs w:val="0"/>
          <w:highlight w:val="none"/>
          <w:u w:val="none"/>
          <w:vertAlign w:val="subscript"/>
          <w:lang w:val="en-US" w:eastAsia="zh-CN"/>
        </w:rPr>
        <w:t>1</w:t>
      </w:r>
      <w:r>
        <w:rPr>
          <w:rFonts w:hint="default" w:ascii="Times New Roman" w:hAnsi="Times New Roman" w:cs="Times New Roman"/>
          <w:b w:val="0"/>
          <w:bCs w:val="0"/>
          <w:highlight w:val="none"/>
          <w:u w:val="none"/>
          <w:lang w:eastAsia="zh-CN"/>
        </w:rPr>
        <w:t>和L</w:t>
      </w:r>
      <w:r>
        <w:rPr>
          <w:rFonts w:hint="default" w:ascii="Times New Roman" w:hAnsi="Times New Roman" w:cs="Times New Roman"/>
          <w:b w:val="0"/>
          <w:bCs w:val="0"/>
          <w:i/>
          <w:iCs/>
          <w:highlight w:val="none"/>
          <w:u w:val="none"/>
          <w:vertAlign w:val="subscript"/>
          <w:lang w:val="en-US" w:eastAsia="zh-CN"/>
        </w:rPr>
        <w:t>P</w:t>
      </w:r>
      <w:r>
        <w:rPr>
          <w:rFonts w:hint="default" w:ascii="Times New Roman" w:hAnsi="Times New Roman" w:cs="Times New Roman"/>
          <w:b w:val="0"/>
          <w:bCs w:val="0"/>
          <w:highlight w:val="none"/>
          <w:u w:val="none"/>
          <w:vertAlign w:val="subscript"/>
          <w:lang w:eastAsia="zh-CN"/>
        </w:rPr>
        <w:t>2</w:t>
      </w:r>
      <w:r>
        <w:rPr>
          <w:rFonts w:hint="default" w:ascii="Times New Roman" w:hAnsi="Times New Roman" w:cs="Times New Roman"/>
          <w:b w:val="0"/>
          <w:bCs w:val="0"/>
          <w:highlight w:val="none"/>
          <w:u w:val="none"/>
          <w:lang w:eastAsia="zh-CN"/>
        </w:rPr>
        <w:t>。若声源所在室内声场为近似扩散声场，则室外的倍频带声压级可按下式近似求出：</w:t>
      </w:r>
    </w:p>
    <w:p w14:paraId="128FBDCE">
      <w:pPr>
        <w:keepNext w:val="0"/>
        <w:keepLines w:val="0"/>
        <w:pageBreakBefore w:val="0"/>
        <w:widowControl/>
        <w:kinsoku/>
        <w:wordWrap/>
        <w:overflowPunct/>
        <w:topLinePunct/>
        <w:autoSpaceDE/>
        <w:autoSpaceDN/>
        <w:bidi w:val="0"/>
        <w:adjustRightInd w:val="0"/>
        <w:snapToGrid w:val="0"/>
        <w:spacing w:line="520" w:lineRule="exact"/>
        <w:ind w:firstLine="480"/>
        <w:jc w:val="center"/>
        <w:textAlignment w:val="auto"/>
        <w:rPr>
          <w:rFonts w:hint="default" w:ascii="Times New Roman" w:hAnsi="Times New Roman" w:cs="Times New Roman"/>
          <w:b w:val="0"/>
          <w:bCs w:val="0"/>
          <w:sz w:val="24"/>
          <w:highlight w:val="none"/>
          <w:u w:val="none"/>
          <w:lang w:eastAsia="zh-CN"/>
        </w:rPr>
      </w:pPr>
      <w:r>
        <w:rPr>
          <w:rFonts w:hint="default" w:ascii="Times New Roman" w:hAnsi="Times New Roman" w:cs="Times New Roman"/>
          <w:b w:val="0"/>
          <w:bCs w:val="0"/>
          <w:sz w:val="24"/>
          <w:highlight w:val="none"/>
          <w:u w:val="none"/>
          <w:lang w:eastAsia="zh-CN"/>
        </w:rPr>
        <w:t>L</w:t>
      </w:r>
      <w:r>
        <w:rPr>
          <w:rFonts w:hint="default" w:ascii="Times New Roman" w:hAnsi="Times New Roman" w:cs="Times New Roman"/>
          <w:b w:val="0"/>
          <w:bCs w:val="0"/>
          <w:i/>
          <w:iCs/>
          <w:sz w:val="24"/>
          <w:highlight w:val="none"/>
          <w:u w:val="none"/>
          <w:vertAlign w:val="subscript"/>
          <w:lang w:val="en-US" w:eastAsia="zh-CN"/>
        </w:rPr>
        <w:t>P</w:t>
      </w:r>
      <w:r>
        <w:rPr>
          <w:rFonts w:hint="default" w:ascii="Times New Roman" w:hAnsi="Times New Roman" w:cs="Times New Roman"/>
          <w:b w:val="0"/>
          <w:bCs w:val="0"/>
          <w:sz w:val="24"/>
          <w:highlight w:val="none"/>
          <w:u w:val="none"/>
          <w:vertAlign w:val="subscript"/>
          <w:lang w:val="en-US" w:eastAsia="zh-CN"/>
        </w:rPr>
        <w:t>1</w:t>
      </w:r>
      <w:r>
        <w:rPr>
          <w:rFonts w:hint="default" w:ascii="Times New Roman" w:hAnsi="Times New Roman" w:cs="Times New Roman"/>
          <w:b w:val="0"/>
          <w:bCs w:val="0"/>
          <w:sz w:val="24"/>
          <w:highlight w:val="none"/>
          <w:u w:val="none"/>
          <w:lang w:eastAsia="zh-CN"/>
        </w:rPr>
        <w:t>= L</w:t>
      </w:r>
      <w:r>
        <w:rPr>
          <w:rFonts w:hint="default" w:ascii="Times New Roman" w:hAnsi="Times New Roman" w:cs="Times New Roman"/>
          <w:b w:val="0"/>
          <w:bCs w:val="0"/>
          <w:i/>
          <w:iCs/>
          <w:sz w:val="24"/>
          <w:highlight w:val="none"/>
          <w:u w:val="none"/>
          <w:vertAlign w:val="subscript"/>
          <w:lang w:val="en-US" w:eastAsia="zh-CN"/>
        </w:rPr>
        <w:t>P</w:t>
      </w:r>
      <w:r>
        <w:rPr>
          <w:rFonts w:hint="default" w:ascii="Times New Roman" w:hAnsi="Times New Roman" w:cs="Times New Roman"/>
          <w:b w:val="0"/>
          <w:bCs w:val="0"/>
          <w:sz w:val="24"/>
          <w:highlight w:val="none"/>
          <w:u w:val="none"/>
          <w:vertAlign w:val="subscript"/>
          <w:lang w:val="en-US" w:eastAsia="zh-CN"/>
        </w:rPr>
        <w:t>2</w:t>
      </w:r>
      <w:r>
        <w:rPr>
          <w:rFonts w:hint="default" w:ascii="Times New Roman" w:hAnsi="Times New Roman" w:eastAsia="宋体" w:cs="Times New Roman"/>
          <w:b w:val="0"/>
          <w:bCs w:val="0"/>
          <w:sz w:val="24"/>
          <w:highlight w:val="none"/>
          <w:u w:val="none"/>
          <w:vertAlign w:val="baseline"/>
          <w:lang w:val="en-US" w:eastAsia="zh-CN"/>
        </w:rPr>
        <w:t>－</w:t>
      </w:r>
      <w:r>
        <w:rPr>
          <w:rFonts w:hint="default" w:ascii="Times New Roman" w:hAnsi="Times New Roman" w:cs="Times New Roman"/>
          <w:b w:val="0"/>
          <w:bCs w:val="0"/>
          <w:sz w:val="24"/>
          <w:highlight w:val="none"/>
          <w:u w:val="none"/>
          <w:lang w:eastAsia="zh-CN"/>
        </w:rPr>
        <w:t>（TL+6）</w:t>
      </w:r>
    </w:p>
    <w:p w14:paraId="52E51E0A">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式中：</w:t>
      </w:r>
      <w:r>
        <w:rPr>
          <w:rFonts w:hint="default" w:ascii="Times New Roman" w:hAnsi="Times New Roman" w:cs="Times New Roman"/>
          <w:b w:val="0"/>
          <w:bCs w:val="0"/>
          <w:sz w:val="24"/>
          <w:highlight w:val="none"/>
          <w:u w:val="none"/>
          <w:lang w:eastAsia="zh-CN"/>
        </w:rPr>
        <w:t>L</w:t>
      </w:r>
      <w:r>
        <w:rPr>
          <w:rFonts w:hint="default" w:ascii="Times New Roman" w:hAnsi="Times New Roman" w:cs="Times New Roman"/>
          <w:b w:val="0"/>
          <w:bCs w:val="0"/>
          <w:i/>
          <w:iCs/>
          <w:sz w:val="24"/>
          <w:highlight w:val="none"/>
          <w:u w:val="none"/>
          <w:vertAlign w:val="subscript"/>
          <w:lang w:val="en-US" w:eastAsia="zh-CN"/>
        </w:rPr>
        <w:t>P</w:t>
      </w:r>
      <w:r>
        <w:rPr>
          <w:rFonts w:hint="default" w:ascii="Times New Roman" w:hAnsi="Times New Roman" w:cs="Times New Roman"/>
          <w:b w:val="0"/>
          <w:bCs w:val="0"/>
          <w:sz w:val="24"/>
          <w:highlight w:val="none"/>
          <w:u w:val="none"/>
          <w:vertAlign w:val="subscript"/>
          <w:lang w:val="en-US" w:eastAsia="zh-CN"/>
        </w:rPr>
        <w:t>1</w:t>
      </w:r>
      <w:r>
        <w:rPr>
          <w:rFonts w:hint="default" w:ascii="Times New Roman" w:hAnsi="Times New Roman" w:cs="Times New Roman"/>
          <w:b w:val="0"/>
          <w:bCs w:val="0"/>
          <w:highlight w:val="none"/>
          <w:u w:val="none"/>
          <w:lang w:eastAsia="zh-CN"/>
        </w:rPr>
        <w:t xml:space="preserve">—靠近开口处（或窗户）室内某倍频带的声压级或 A 声级，dB； </w:t>
      </w:r>
      <w:r>
        <w:rPr>
          <w:rFonts w:hint="default" w:ascii="Times New Roman" w:hAnsi="Times New Roman" w:cs="Times New Roman"/>
          <w:b w:val="0"/>
          <w:bCs w:val="0"/>
          <w:sz w:val="24"/>
          <w:highlight w:val="none"/>
          <w:u w:val="none"/>
          <w:lang w:eastAsia="zh-CN"/>
        </w:rPr>
        <w:t>L</w:t>
      </w:r>
      <w:r>
        <w:rPr>
          <w:rFonts w:hint="default" w:ascii="Times New Roman" w:hAnsi="Times New Roman" w:cs="Times New Roman"/>
          <w:b w:val="0"/>
          <w:bCs w:val="0"/>
          <w:i/>
          <w:iCs/>
          <w:sz w:val="24"/>
          <w:highlight w:val="none"/>
          <w:u w:val="none"/>
          <w:vertAlign w:val="subscript"/>
          <w:lang w:val="en-US" w:eastAsia="zh-CN"/>
        </w:rPr>
        <w:t>P</w:t>
      </w:r>
      <w:r>
        <w:rPr>
          <w:rFonts w:hint="default" w:ascii="Times New Roman" w:hAnsi="Times New Roman" w:cs="Times New Roman"/>
          <w:b w:val="0"/>
          <w:bCs w:val="0"/>
          <w:sz w:val="24"/>
          <w:highlight w:val="none"/>
          <w:u w:val="none"/>
          <w:vertAlign w:val="subscript"/>
          <w:lang w:val="en-US" w:eastAsia="zh-CN"/>
        </w:rPr>
        <w:t>2</w:t>
      </w:r>
      <w:r>
        <w:rPr>
          <w:rFonts w:hint="default" w:ascii="Times New Roman" w:hAnsi="Times New Roman" w:cs="Times New Roman"/>
          <w:b w:val="0"/>
          <w:bCs w:val="0"/>
          <w:highlight w:val="none"/>
          <w:u w:val="none"/>
          <w:lang w:eastAsia="zh-CN"/>
        </w:rPr>
        <w:t>—靠近开口处（或窗户）室外某倍频带的声压级或 A 声级，dB； TL—隔墙（或窗户）倍频带或 A 声级的隔声量，dB。</w:t>
      </w:r>
    </w:p>
    <w:p w14:paraId="79460A75">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eastAsia="宋体" w:cs="Times New Roman"/>
          <w:b w:val="0"/>
          <w:bCs w:val="0"/>
          <w:highlight w:val="none"/>
          <w:u w:val="none"/>
          <w:lang w:eastAsia="zh-CN"/>
        </w:rPr>
      </w:pPr>
      <w:r>
        <w:rPr>
          <w:rFonts w:hint="default" w:ascii="Times New Roman" w:hAnsi="Times New Roman" w:cs="Times New Roman"/>
          <w:b w:val="0"/>
          <w:bCs w:val="0"/>
          <w:highlight w:val="none"/>
          <w:u w:val="none"/>
          <w:lang w:eastAsia="zh-CN"/>
        </w:rPr>
        <w:t>①计算某一室内声源靠近围护结构处产生的倍频带声压级或 A 声级：</w:t>
      </w:r>
    </w:p>
    <w:p w14:paraId="4E2A64E4">
      <w:pPr>
        <w:keepNext w:val="0"/>
        <w:keepLines w:val="0"/>
        <w:pageBreakBefore w:val="0"/>
        <w:kinsoku/>
        <w:wordWrap/>
        <w:overflowPunct/>
        <w:autoSpaceDN/>
        <w:bidi w:val="0"/>
        <w:adjustRightInd w:val="0"/>
        <w:snapToGrid w:val="0"/>
        <w:spacing w:line="520" w:lineRule="exact"/>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sz w:val="20"/>
          <w:szCs w:val="24"/>
          <w:u w:val="none"/>
        </w:rPr>
        <w:drawing>
          <wp:anchor distT="0" distB="0" distL="114300" distR="114300" simplePos="0" relativeHeight="251694080" behindDoc="1" locked="0" layoutInCell="1" allowOverlap="1">
            <wp:simplePos x="0" y="0"/>
            <wp:positionH relativeFrom="column">
              <wp:posOffset>1640840</wp:posOffset>
            </wp:positionH>
            <wp:positionV relativeFrom="paragraph">
              <wp:posOffset>109220</wp:posOffset>
            </wp:positionV>
            <wp:extent cx="2038350" cy="476250"/>
            <wp:effectExtent l="0" t="0" r="0" b="0"/>
            <wp:wrapNone/>
            <wp:docPr id="12" name="图片 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18"/>
                    <pic:cNvPicPr>
                      <a:picLocks noChangeAspect="1"/>
                    </pic:cNvPicPr>
                  </pic:nvPicPr>
                  <pic:blipFill>
                    <a:blip r:embed="rId42"/>
                    <a:stretch>
                      <a:fillRect/>
                    </a:stretch>
                  </pic:blipFill>
                  <pic:spPr>
                    <a:xfrm>
                      <a:off x="0" y="0"/>
                      <a:ext cx="2038350" cy="476250"/>
                    </a:xfrm>
                    <a:prstGeom prst="rect">
                      <a:avLst/>
                    </a:prstGeom>
                    <a:noFill/>
                    <a:ln>
                      <a:noFill/>
                    </a:ln>
                  </pic:spPr>
                </pic:pic>
              </a:graphicData>
            </a:graphic>
          </wp:anchor>
        </w:drawing>
      </w:r>
    </w:p>
    <w:p w14:paraId="1306ADAB">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p>
    <w:p w14:paraId="494AE06D">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式中：L</w:t>
      </w:r>
      <w:r>
        <w:rPr>
          <w:rFonts w:hint="default" w:ascii="Times New Roman" w:hAnsi="Times New Roman" w:cs="Times New Roman"/>
          <w:b w:val="0"/>
          <w:bCs w:val="0"/>
          <w:i/>
          <w:iCs/>
          <w:highlight w:val="none"/>
          <w:u w:val="none"/>
          <w:vertAlign w:val="subscript"/>
        </w:rPr>
        <w:t>P</w:t>
      </w:r>
      <w:r>
        <w:rPr>
          <w:rFonts w:hint="default" w:ascii="Times New Roman" w:hAnsi="Times New Roman" w:cs="Times New Roman"/>
          <w:b w:val="0"/>
          <w:bCs w:val="0"/>
          <w:i w:val="0"/>
          <w:iCs w:val="0"/>
          <w:highlight w:val="none"/>
          <w:u w:val="none"/>
          <w:vertAlign w:val="subscript"/>
        </w:rPr>
        <w:t>1</w:t>
      </w:r>
      <w:r>
        <w:rPr>
          <w:rFonts w:hint="default" w:ascii="Times New Roman" w:hAnsi="Times New Roman" w:cs="Times New Roman"/>
          <w:b w:val="0"/>
          <w:bCs w:val="0"/>
          <w:highlight w:val="none"/>
          <w:u w:val="none"/>
        </w:rPr>
        <w:t>—靠近开口处（或窗户）室内某倍频带的声压级或A声级；</w:t>
      </w:r>
    </w:p>
    <w:p w14:paraId="48DD695B">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Lw—点声源声功率级（A 计权或倍频带）；</w:t>
      </w:r>
    </w:p>
    <w:p w14:paraId="322BDD98">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Q—指向性因数；通常对无指向性声源，当声源放在房间中心时，Q=1；当放在一面墙的中心时，Q=2；当放在两面墙夹角处时，Q=4；当放在三面墙夹角处时，Q=8；</w:t>
      </w:r>
    </w:p>
    <w:p w14:paraId="3E34277F">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R—房间常数 R=Sα/（1-α），S 房间内表面面积，m</w:t>
      </w:r>
      <w:r>
        <w:rPr>
          <w:rFonts w:hint="default" w:ascii="Times New Roman" w:hAnsi="Times New Roman" w:cs="Times New Roman"/>
          <w:b w:val="0"/>
          <w:bCs w:val="0"/>
          <w:highlight w:val="none"/>
          <w:u w:val="none"/>
          <w:vertAlign w:val="superscript"/>
        </w:rPr>
        <w:t>2</w:t>
      </w:r>
      <w:r>
        <w:rPr>
          <w:rFonts w:hint="default" w:ascii="Times New Roman" w:hAnsi="Times New Roman" w:cs="Times New Roman"/>
          <w:b w:val="0"/>
          <w:bCs w:val="0"/>
          <w:highlight w:val="none"/>
          <w:u w:val="none"/>
        </w:rPr>
        <w:t>；α 平均吸声系数；</w:t>
      </w:r>
    </w:p>
    <w:p w14:paraId="6B2D16CD">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r —声源到靠近围护结构某点处的距离，（m）。</w:t>
      </w:r>
    </w:p>
    <w:p w14:paraId="7139BCAD">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②计算出所有室内声源在围护结构处产生的 i 倍频带叠加声压级：</w:t>
      </w:r>
    </w:p>
    <w:p w14:paraId="077770A3">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sz w:val="20"/>
          <w:szCs w:val="24"/>
          <w:u w:val="none"/>
        </w:rPr>
        <w:drawing>
          <wp:anchor distT="0" distB="0" distL="114300" distR="114300" simplePos="0" relativeHeight="251695104" behindDoc="0" locked="0" layoutInCell="1" allowOverlap="1">
            <wp:simplePos x="0" y="0"/>
            <wp:positionH relativeFrom="column">
              <wp:posOffset>1562735</wp:posOffset>
            </wp:positionH>
            <wp:positionV relativeFrom="paragraph">
              <wp:posOffset>70485</wp:posOffset>
            </wp:positionV>
            <wp:extent cx="2095500" cy="605790"/>
            <wp:effectExtent l="0" t="0" r="0" b="3810"/>
            <wp:wrapTopAndBottom/>
            <wp:docPr id="13" name="图片 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19"/>
                    <pic:cNvPicPr>
                      <a:picLocks noChangeAspect="1"/>
                    </pic:cNvPicPr>
                  </pic:nvPicPr>
                  <pic:blipFill>
                    <a:blip r:embed="rId43"/>
                    <a:stretch>
                      <a:fillRect/>
                    </a:stretch>
                  </pic:blipFill>
                  <pic:spPr>
                    <a:xfrm>
                      <a:off x="0" y="0"/>
                      <a:ext cx="2095500" cy="605790"/>
                    </a:xfrm>
                    <a:prstGeom prst="rect">
                      <a:avLst/>
                    </a:prstGeom>
                    <a:noFill/>
                    <a:ln>
                      <a:noFill/>
                    </a:ln>
                  </pic:spPr>
                </pic:pic>
              </a:graphicData>
            </a:graphic>
          </wp:anchor>
        </w:drawing>
      </w:r>
      <w:r>
        <w:rPr>
          <w:rFonts w:hint="default" w:ascii="Times New Roman" w:hAnsi="Times New Roman" w:cs="Times New Roman"/>
          <w:b w:val="0"/>
          <w:bCs w:val="0"/>
          <w:highlight w:val="none"/>
          <w:u w:val="none"/>
        </w:rPr>
        <w:t>式中：L</w:t>
      </w:r>
      <w:r>
        <w:rPr>
          <w:rFonts w:hint="default" w:ascii="Times New Roman" w:hAnsi="Times New Roman" w:cs="Times New Roman"/>
          <w:b w:val="0"/>
          <w:bCs w:val="0"/>
          <w:highlight w:val="none"/>
          <w:u w:val="none"/>
          <w:vertAlign w:val="subscript"/>
        </w:rPr>
        <w:t>pli</w:t>
      </w:r>
      <w:r>
        <w:rPr>
          <w:rFonts w:hint="default" w:ascii="Times New Roman" w:hAnsi="Times New Roman" w:cs="Times New Roman"/>
          <w:b w:val="0"/>
          <w:bCs w:val="0"/>
          <w:highlight w:val="none"/>
          <w:u w:val="none"/>
        </w:rPr>
        <w:t>（T）—靠近围护结构处室内 N 个声源 i 倍频带的叠加声压级；</w:t>
      </w:r>
    </w:p>
    <w:p w14:paraId="56D28CCC">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L</w:t>
      </w:r>
      <w:r>
        <w:rPr>
          <w:rFonts w:hint="default" w:ascii="Times New Roman" w:hAnsi="Times New Roman" w:cs="Times New Roman"/>
          <w:b w:val="0"/>
          <w:bCs w:val="0"/>
          <w:highlight w:val="none"/>
          <w:u w:val="none"/>
          <w:vertAlign w:val="subscript"/>
        </w:rPr>
        <w:t>plij</w:t>
      </w:r>
      <w:r>
        <w:rPr>
          <w:rFonts w:hint="default" w:ascii="Times New Roman" w:hAnsi="Times New Roman" w:cs="Times New Roman"/>
          <w:b w:val="0"/>
          <w:bCs w:val="0"/>
          <w:highlight w:val="none"/>
          <w:u w:val="none"/>
        </w:rPr>
        <w:t>—室内j声源i倍频带的声压级；</w:t>
      </w:r>
    </w:p>
    <w:p w14:paraId="1F35CBD8">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N—室内声源总数。</w:t>
      </w:r>
    </w:p>
    <w:p w14:paraId="7D8BEB2B">
      <w:pPr>
        <w:keepNext w:val="0"/>
        <w:keepLines w:val="0"/>
        <w:pageBreakBefore w:val="0"/>
        <w:widowControl/>
        <w:kinsoku/>
        <w:wordWrap/>
        <w:overflowPunct/>
        <w:topLinePunct/>
        <w:autoSpaceDE/>
        <w:autoSpaceDN/>
        <w:bidi w:val="0"/>
        <w:adjustRightInd w:val="0"/>
        <w:snapToGrid w:val="0"/>
        <w:spacing w:line="520" w:lineRule="exact"/>
        <w:ind w:leftChars="0"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③将室外声源的声压级和透过面积换算成等效的室外声源，计算出中心位置位于透声面积（S）处的等效声源的倍频带声功率级：</w:t>
      </w:r>
    </w:p>
    <w:p w14:paraId="3E94137D">
      <w:pPr>
        <w:keepNext w:val="0"/>
        <w:keepLines w:val="0"/>
        <w:pageBreakBefore w:val="0"/>
        <w:widowControl/>
        <w:kinsoku/>
        <w:wordWrap/>
        <w:overflowPunct/>
        <w:topLinePunct/>
        <w:autoSpaceDE/>
        <w:autoSpaceDN/>
        <w:bidi w:val="0"/>
        <w:adjustRightInd w:val="0"/>
        <w:snapToGrid w:val="0"/>
        <w:spacing w:line="520" w:lineRule="exact"/>
        <w:ind w:leftChars="0" w:firstLine="480"/>
        <w:jc w:val="center"/>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Lw=L</w:t>
      </w:r>
      <w:r>
        <w:rPr>
          <w:rFonts w:hint="default" w:ascii="Times New Roman" w:hAnsi="Times New Roman" w:cs="Times New Roman"/>
          <w:b w:val="0"/>
          <w:bCs w:val="0"/>
          <w:i/>
          <w:iCs/>
          <w:highlight w:val="none"/>
          <w:u w:val="none"/>
          <w:vertAlign w:val="subscript"/>
          <w:lang w:val="en-US" w:eastAsia="zh-CN"/>
        </w:rPr>
        <w:t>P</w:t>
      </w:r>
      <w:r>
        <w:rPr>
          <w:rFonts w:hint="default" w:ascii="Times New Roman" w:hAnsi="Times New Roman" w:cs="Times New Roman"/>
          <w:b w:val="0"/>
          <w:bCs w:val="0"/>
          <w:highlight w:val="none"/>
          <w:u w:val="none"/>
          <w:vertAlign w:val="subscript"/>
        </w:rPr>
        <w:t>2</w:t>
      </w:r>
      <w:r>
        <w:rPr>
          <w:rFonts w:hint="default" w:ascii="Times New Roman" w:hAnsi="Times New Roman" w:cs="Times New Roman"/>
          <w:b w:val="0"/>
          <w:bCs w:val="0"/>
          <w:highlight w:val="none"/>
          <w:u w:val="none"/>
          <w:vertAlign w:val="subscript"/>
          <w:lang w:eastAsia="zh-CN"/>
        </w:rPr>
        <w:t>（</w:t>
      </w:r>
      <w:r>
        <w:rPr>
          <w:rFonts w:hint="default" w:ascii="Times New Roman" w:hAnsi="Times New Roman" w:cs="Times New Roman"/>
          <w:b w:val="0"/>
          <w:bCs w:val="0"/>
          <w:highlight w:val="none"/>
          <w:u w:val="none"/>
          <w:vertAlign w:val="subscript"/>
        </w:rPr>
        <w:t>T</w:t>
      </w:r>
      <w:r>
        <w:rPr>
          <w:rFonts w:hint="default" w:ascii="Times New Roman" w:hAnsi="Times New Roman" w:cs="Times New Roman"/>
          <w:b w:val="0"/>
          <w:bCs w:val="0"/>
          <w:highlight w:val="none"/>
          <w:u w:val="none"/>
          <w:vertAlign w:val="subscript"/>
          <w:lang w:eastAsia="zh-CN"/>
        </w:rPr>
        <w:t>）</w:t>
      </w:r>
      <w:r>
        <w:rPr>
          <w:rFonts w:hint="default" w:ascii="Times New Roman" w:hAnsi="Times New Roman" w:cs="Times New Roman"/>
          <w:b w:val="0"/>
          <w:bCs w:val="0"/>
          <w:highlight w:val="none"/>
          <w:u w:val="none"/>
        </w:rPr>
        <w:t>+10lgS</w:t>
      </w:r>
    </w:p>
    <w:p w14:paraId="3C632606">
      <w:pPr>
        <w:keepNext w:val="0"/>
        <w:keepLines w:val="0"/>
        <w:pageBreakBefore w:val="0"/>
        <w:widowControl/>
        <w:kinsoku/>
        <w:wordWrap/>
        <w:overflowPunct/>
        <w:topLinePunct/>
        <w:autoSpaceDE/>
        <w:autoSpaceDN/>
        <w:bidi w:val="0"/>
        <w:adjustRightInd w:val="0"/>
        <w:snapToGrid w:val="0"/>
        <w:spacing w:line="520" w:lineRule="exact"/>
        <w:ind w:leftChars="0"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式中：Lw—中心位置位于透声面积（S）处的等效声源的倍频带声功率级，dB；</w:t>
      </w:r>
    </w:p>
    <w:p w14:paraId="4B947A5E">
      <w:pPr>
        <w:keepNext w:val="0"/>
        <w:keepLines w:val="0"/>
        <w:pageBreakBefore w:val="0"/>
        <w:widowControl/>
        <w:kinsoku/>
        <w:wordWrap/>
        <w:overflowPunct/>
        <w:topLinePunct/>
        <w:autoSpaceDE/>
        <w:autoSpaceDN/>
        <w:bidi w:val="0"/>
        <w:adjustRightInd w:val="0"/>
        <w:snapToGrid w:val="0"/>
        <w:spacing w:line="520" w:lineRule="exact"/>
        <w:ind w:leftChars="0"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L</w:t>
      </w:r>
      <w:r>
        <w:rPr>
          <w:rFonts w:hint="default" w:ascii="Times New Roman" w:hAnsi="Times New Roman" w:cs="Times New Roman"/>
          <w:b w:val="0"/>
          <w:bCs w:val="0"/>
          <w:i/>
          <w:iCs/>
          <w:highlight w:val="none"/>
          <w:u w:val="none"/>
          <w:vertAlign w:val="subscript"/>
          <w:lang w:val="en-US" w:eastAsia="zh-CN"/>
        </w:rPr>
        <w:t>P</w:t>
      </w:r>
      <w:r>
        <w:rPr>
          <w:rFonts w:hint="default" w:ascii="Times New Roman" w:hAnsi="Times New Roman" w:cs="Times New Roman"/>
          <w:b w:val="0"/>
          <w:bCs w:val="0"/>
          <w:highlight w:val="none"/>
          <w:u w:val="none"/>
          <w:vertAlign w:val="subscript"/>
        </w:rPr>
        <w:t>2（T）</w:t>
      </w:r>
      <w:r>
        <w:rPr>
          <w:rFonts w:hint="default" w:ascii="Times New Roman" w:hAnsi="Times New Roman" w:cs="Times New Roman"/>
          <w:b w:val="0"/>
          <w:bCs w:val="0"/>
          <w:highlight w:val="none"/>
          <w:u w:val="none"/>
        </w:rPr>
        <w:t>—靠近围护结构处室外声源的声压级，dB；</w:t>
      </w:r>
    </w:p>
    <w:p w14:paraId="197E9D6F">
      <w:pPr>
        <w:keepNext w:val="0"/>
        <w:keepLines w:val="0"/>
        <w:pageBreakBefore w:val="0"/>
        <w:widowControl/>
        <w:kinsoku/>
        <w:wordWrap/>
        <w:overflowPunct/>
        <w:topLinePunct/>
        <w:autoSpaceDE/>
        <w:autoSpaceDN/>
        <w:bidi w:val="0"/>
        <w:adjustRightInd w:val="0"/>
        <w:snapToGrid w:val="0"/>
        <w:spacing w:line="520" w:lineRule="exact"/>
        <w:ind w:leftChars="0"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S—透声面积，m</w:t>
      </w:r>
      <w:r>
        <w:rPr>
          <w:rFonts w:hint="default" w:ascii="Times New Roman" w:hAnsi="Times New Roman" w:cs="Times New Roman"/>
          <w:b w:val="0"/>
          <w:bCs w:val="0"/>
          <w:highlight w:val="none"/>
          <w:u w:val="none"/>
          <w:vertAlign w:val="superscript"/>
        </w:rPr>
        <w:t>2</w:t>
      </w:r>
      <w:r>
        <w:rPr>
          <w:rFonts w:hint="default" w:ascii="Times New Roman" w:hAnsi="Times New Roman" w:cs="Times New Roman"/>
          <w:b w:val="0"/>
          <w:bCs w:val="0"/>
          <w:highlight w:val="none"/>
          <w:u w:val="none"/>
        </w:rPr>
        <w:t>。</w:t>
      </w:r>
    </w:p>
    <w:p w14:paraId="1168C2ED">
      <w:pPr>
        <w:keepNext w:val="0"/>
        <w:keepLines w:val="0"/>
        <w:pageBreakBefore w:val="0"/>
        <w:widowControl/>
        <w:kinsoku/>
        <w:wordWrap/>
        <w:overflowPunct/>
        <w:topLinePunct/>
        <w:autoSpaceDE/>
        <w:autoSpaceDN/>
        <w:bidi w:val="0"/>
        <w:adjustRightInd w:val="0"/>
        <w:snapToGrid w:val="0"/>
        <w:spacing w:line="520" w:lineRule="exact"/>
        <w:ind w:leftChars="0" w:firstLine="480"/>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lang w:val="en-US" w:eastAsia="zh-CN"/>
        </w:rPr>
        <w:t>2</w:t>
      </w:r>
      <w:r>
        <w:rPr>
          <w:rFonts w:hint="default" w:ascii="Times New Roman" w:hAnsi="Times New Roman" w:cs="Times New Roman"/>
          <w:b w:val="0"/>
          <w:bCs w:val="0"/>
          <w:highlight w:val="none"/>
          <w:u w:val="none"/>
          <w:lang w:eastAsia="zh-CN"/>
        </w:rPr>
        <w:t>）室外声源</w:t>
      </w:r>
    </w:p>
    <w:p w14:paraId="726A12C4">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jc w:val="center"/>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Lp(r)=Lp(r</w:t>
      </w:r>
      <w:r>
        <w:rPr>
          <w:rFonts w:hint="default" w:ascii="Times New Roman" w:hAnsi="Times New Roman" w:cs="Times New Roman"/>
          <w:b w:val="0"/>
          <w:bCs w:val="0"/>
          <w:highlight w:val="none"/>
          <w:u w:val="none"/>
          <w:vertAlign w:val="subscript"/>
          <w:lang w:eastAsia="zh-CN"/>
        </w:rPr>
        <w:t>0</w:t>
      </w: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div</w:t>
      </w: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bar</w:t>
      </w: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atm</w:t>
      </w: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exe</w:t>
      </w:r>
      <w:r>
        <w:rPr>
          <w:rFonts w:hint="default" w:ascii="Times New Roman" w:hAnsi="Times New Roman" w:cs="Times New Roman"/>
          <w:b w:val="0"/>
          <w:bCs w:val="0"/>
          <w:highlight w:val="none"/>
          <w:u w:val="none"/>
          <w:lang w:eastAsia="zh-CN"/>
        </w:rPr>
        <w:t>)</w:t>
      </w:r>
    </w:p>
    <w:p w14:paraId="43A854D3">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left"/>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式中：Lp（r）—预测点处声压级；</w:t>
      </w:r>
    </w:p>
    <w:p w14:paraId="1FAB05FC">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Lp（r</w:t>
      </w:r>
      <w:r>
        <w:rPr>
          <w:rFonts w:hint="default" w:ascii="Times New Roman" w:hAnsi="Times New Roman" w:cs="Times New Roman"/>
          <w:b w:val="0"/>
          <w:bCs w:val="0"/>
          <w:highlight w:val="none"/>
          <w:u w:val="none"/>
          <w:vertAlign w:val="subscript"/>
          <w:lang w:val="en-US" w:eastAsia="zh-CN"/>
        </w:rPr>
        <w:t>0</w:t>
      </w:r>
      <w:r>
        <w:rPr>
          <w:rFonts w:hint="default" w:ascii="Times New Roman" w:hAnsi="Times New Roman" w:cs="Times New Roman"/>
          <w:b w:val="0"/>
          <w:bCs w:val="0"/>
          <w:highlight w:val="none"/>
          <w:u w:val="none"/>
          <w:lang w:eastAsia="zh-CN"/>
        </w:rPr>
        <w:t>）—参考位置r</w:t>
      </w:r>
      <w:r>
        <w:rPr>
          <w:rFonts w:hint="default" w:ascii="Times New Roman" w:hAnsi="Times New Roman" w:cs="Times New Roman"/>
          <w:b w:val="0"/>
          <w:bCs w:val="0"/>
          <w:highlight w:val="none"/>
          <w:u w:val="none"/>
          <w:vertAlign w:val="subscript"/>
          <w:lang w:val="en-US" w:eastAsia="zh-CN"/>
        </w:rPr>
        <w:t>0</w:t>
      </w:r>
      <w:r>
        <w:rPr>
          <w:rFonts w:hint="default" w:ascii="Times New Roman" w:hAnsi="Times New Roman" w:cs="Times New Roman"/>
          <w:b w:val="0"/>
          <w:bCs w:val="0"/>
          <w:highlight w:val="none"/>
          <w:u w:val="none"/>
          <w:lang w:eastAsia="zh-CN"/>
        </w:rPr>
        <w:t>处声压级；</w:t>
      </w:r>
    </w:p>
    <w:p w14:paraId="0ADFFF8D">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div</w:t>
      </w:r>
      <w:r>
        <w:rPr>
          <w:rFonts w:hint="default" w:ascii="Times New Roman" w:hAnsi="Times New Roman" w:cs="Times New Roman"/>
          <w:b w:val="0"/>
          <w:bCs w:val="0"/>
          <w:highlight w:val="none"/>
          <w:u w:val="none"/>
          <w:lang w:eastAsia="zh-CN"/>
        </w:rPr>
        <w:t>—几何发散；</w:t>
      </w:r>
    </w:p>
    <w:p w14:paraId="2331FC42">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bar</w:t>
      </w:r>
      <w:r>
        <w:rPr>
          <w:rFonts w:hint="default" w:ascii="Times New Roman" w:hAnsi="Times New Roman" w:cs="Times New Roman"/>
          <w:b w:val="0"/>
          <w:bCs w:val="0"/>
          <w:highlight w:val="none"/>
          <w:u w:val="none"/>
          <w:lang w:eastAsia="zh-CN"/>
        </w:rPr>
        <w:t>—遮挡物衰减；</w:t>
      </w:r>
    </w:p>
    <w:p w14:paraId="6BFE5927">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atm</w:t>
      </w:r>
      <w:r>
        <w:rPr>
          <w:rFonts w:hint="default" w:ascii="Times New Roman" w:hAnsi="Times New Roman" w:cs="Times New Roman"/>
          <w:b w:val="0"/>
          <w:bCs w:val="0"/>
          <w:highlight w:val="none"/>
          <w:u w:val="none"/>
          <w:lang w:eastAsia="zh-CN"/>
        </w:rPr>
        <w:t>—大气吸收；</w:t>
      </w:r>
    </w:p>
    <w:p w14:paraId="6F25F183">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A</w:t>
      </w:r>
      <w:r>
        <w:rPr>
          <w:rFonts w:hint="default" w:ascii="Times New Roman" w:hAnsi="Times New Roman" w:cs="Times New Roman"/>
          <w:b w:val="0"/>
          <w:bCs w:val="0"/>
          <w:highlight w:val="none"/>
          <w:u w:val="none"/>
          <w:vertAlign w:val="subscript"/>
          <w:lang w:eastAsia="zh-CN"/>
        </w:rPr>
        <w:t>exe</w:t>
      </w:r>
      <w:r>
        <w:rPr>
          <w:rFonts w:hint="default" w:ascii="Times New Roman" w:hAnsi="Times New Roman" w:cs="Times New Roman"/>
          <w:b w:val="0"/>
          <w:bCs w:val="0"/>
          <w:highlight w:val="none"/>
          <w:u w:val="none"/>
          <w:lang w:eastAsia="zh-CN"/>
        </w:rPr>
        <w:t>—附加衰减。</w:t>
      </w:r>
    </w:p>
    <w:p w14:paraId="795DD699">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00" w:firstLineChars="200"/>
        <w:jc w:val="both"/>
        <w:textAlignment w:val="auto"/>
        <w:rPr>
          <w:rFonts w:hint="default" w:ascii="Times New Roman" w:hAnsi="Times New Roman" w:eastAsia="宋体" w:cs="Times New Roman"/>
          <w:b w:val="0"/>
          <w:bCs w:val="0"/>
          <w:highlight w:val="none"/>
          <w:u w:val="none"/>
          <w:lang w:eastAsia="zh-CN"/>
        </w:rPr>
      </w:pPr>
      <w:r>
        <w:rPr>
          <w:rFonts w:hint="default" w:ascii="Times New Roman" w:hAnsi="Times New Roman" w:cs="Times New Roman"/>
          <w:b w:val="0"/>
          <w:bCs w:val="0"/>
          <w:sz w:val="20"/>
          <w:szCs w:val="24"/>
          <w:u w:val="none"/>
        </w:rPr>
        <w:drawing>
          <wp:anchor distT="0" distB="0" distL="114300" distR="114300" simplePos="0" relativeHeight="251696128" behindDoc="0" locked="0" layoutInCell="1" allowOverlap="1">
            <wp:simplePos x="0" y="0"/>
            <wp:positionH relativeFrom="column">
              <wp:posOffset>1381125</wp:posOffset>
            </wp:positionH>
            <wp:positionV relativeFrom="paragraph">
              <wp:posOffset>521335</wp:posOffset>
            </wp:positionV>
            <wp:extent cx="2743200" cy="523240"/>
            <wp:effectExtent l="0" t="0" r="0" b="10160"/>
            <wp:wrapTopAndBottom/>
            <wp:docPr id="11" name="图片 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820"/>
                    <pic:cNvPicPr>
                      <a:picLocks noChangeAspect="1"/>
                    </pic:cNvPicPr>
                  </pic:nvPicPr>
                  <pic:blipFill>
                    <a:blip r:embed="rId44"/>
                    <a:stretch>
                      <a:fillRect/>
                    </a:stretch>
                  </pic:blipFill>
                  <pic:spPr>
                    <a:xfrm>
                      <a:off x="0" y="0"/>
                      <a:ext cx="2743200" cy="523240"/>
                    </a:xfrm>
                    <a:prstGeom prst="rect">
                      <a:avLst/>
                    </a:prstGeom>
                    <a:noFill/>
                    <a:ln>
                      <a:noFill/>
                    </a:ln>
                  </pic:spPr>
                </pic:pic>
              </a:graphicData>
            </a:graphic>
          </wp:anchor>
        </w:drawing>
      </w: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lang w:val="en-US" w:eastAsia="zh-CN"/>
        </w:rPr>
        <w:t>3</w:t>
      </w:r>
      <w:r>
        <w:rPr>
          <w:rFonts w:hint="default" w:ascii="Times New Roman" w:hAnsi="Times New Roman" w:cs="Times New Roman"/>
          <w:b w:val="0"/>
          <w:bCs w:val="0"/>
          <w:highlight w:val="none"/>
          <w:u w:val="none"/>
          <w:lang w:eastAsia="zh-CN"/>
        </w:rPr>
        <w:t>）贡献值计算</w:t>
      </w:r>
    </w:p>
    <w:p w14:paraId="6094BB15">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式中：L</w:t>
      </w:r>
      <w:r>
        <w:rPr>
          <w:rFonts w:hint="default" w:ascii="Times New Roman" w:hAnsi="Times New Roman" w:cs="Times New Roman"/>
          <w:b w:val="0"/>
          <w:bCs w:val="0"/>
          <w:highlight w:val="none"/>
          <w:u w:val="none"/>
          <w:vertAlign w:val="subscript"/>
        </w:rPr>
        <w:t>eqg</w:t>
      </w:r>
      <w:r>
        <w:rPr>
          <w:rFonts w:hint="default" w:ascii="Times New Roman" w:hAnsi="Times New Roman" w:cs="Times New Roman"/>
          <w:b w:val="0"/>
          <w:bCs w:val="0"/>
          <w:highlight w:val="none"/>
          <w:u w:val="none"/>
        </w:rPr>
        <w:t>—建设项目声源在预测点产生的噪声贡献值，dB；</w:t>
      </w:r>
    </w:p>
    <w:p w14:paraId="0352613A">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T—用于计算等效声级的时间，s；</w:t>
      </w:r>
    </w:p>
    <w:p w14:paraId="7B51C78F">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N—室外声源个数；</w:t>
      </w:r>
    </w:p>
    <w:p w14:paraId="46BF961E">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ti—在T时间内i声源工作时间，s；</w:t>
      </w:r>
    </w:p>
    <w:p w14:paraId="6644E876">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M—等效室外声源个数；</w:t>
      </w:r>
    </w:p>
    <w:p w14:paraId="50AA202D">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tj—在T时间内j声源工作时间，s。</w:t>
      </w:r>
    </w:p>
    <w:p w14:paraId="312890B2">
      <w:pPr>
        <w:keepNext w:val="0"/>
        <w:keepLines w:val="0"/>
        <w:pageBreakBefore w:val="0"/>
        <w:widowControl/>
        <w:numPr>
          <w:ilvl w:val="0"/>
          <w:numId w:val="0"/>
        </w:numPr>
        <w:kinsoku/>
        <w:wordWrap/>
        <w:overflowPunct/>
        <w:topLinePunct/>
        <w:autoSpaceDE/>
        <w:autoSpaceDN/>
        <w:bidi w:val="0"/>
        <w:adjustRightInd w:val="0"/>
        <w:snapToGrid w:val="0"/>
        <w:spacing w:line="520" w:lineRule="exact"/>
        <w:ind w:leftChars="0" w:firstLine="480" w:firstLineChars="200"/>
        <w:jc w:val="both"/>
        <w:textAlignment w:val="auto"/>
        <w:rPr>
          <w:rFonts w:hint="default" w:ascii="Times New Roman" w:hAnsi="Times New Roman" w:cs="Times New Roman"/>
          <w:b w:val="0"/>
          <w:bCs w:val="0"/>
          <w:highlight w:val="none"/>
          <w:u w:val="none"/>
          <w:lang w:eastAsia="zh-CN"/>
        </w:rPr>
      </w:pPr>
      <w:r>
        <w:rPr>
          <w:rFonts w:hint="default" w:ascii="Times New Roman" w:hAnsi="Times New Roman" w:cs="Times New Roman"/>
          <w:b w:val="0"/>
          <w:bCs w:val="0"/>
          <w:highlight w:val="none"/>
          <w:u w:val="none"/>
          <w:lang w:eastAsia="zh-CN"/>
        </w:rPr>
        <w:t>（</w:t>
      </w:r>
      <w:r>
        <w:rPr>
          <w:rFonts w:hint="default" w:ascii="Times New Roman" w:hAnsi="Times New Roman" w:cs="Times New Roman"/>
          <w:b w:val="0"/>
          <w:bCs w:val="0"/>
          <w:highlight w:val="none"/>
          <w:u w:val="none"/>
          <w:lang w:val="en-US" w:eastAsia="zh-CN"/>
        </w:rPr>
        <w:t>4</w:t>
      </w:r>
      <w:r>
        <w:rPr>
          <w:rFonts w:hint="default" w:ascii="Times New Roman" w:hAnsi="Times New Roman" w:cs="Times New Roman"/>
          <w:b w:val="0"/>
          <w:bCs w:val="0"/>
          <w:highlight w:val="none"/>
          <w:u w:val="none"/>
          <w:lang w:eastAsia="zh-CN"/>
        </w:rPr>
        <w:t>）预测值计算</w:t>
      </w:r>
    </w:p>
    <w:p w14:paraId="28532425">
      <w:pPr>
        <w:keepNext w:val="0"/>
        <w:keepLines w:val="0"/>
        <w:pageBreakBefore w:val="0"/>
        <w:kinsoku/>
        <w:wordWrap/>
        <w:overflowPunct/>
        <w:autoSpaceDN/>
        <w:bidi w:val="0"/>
        <w:adjustRightInd w:val="0"/>
        <w:snapToGrid w:val="0"/>
        <w:spacing w:line="360" w:lineRule="auto"/>
        <w:ind w:firstLine="480"/>
        <w:jc w:val="center"/>
        <w:rPr>
          <w:rFonts w:hint="default" w:ascii="Times New Roman" w:hAnsi="Times New Roman" w:cs="Times New Roman"/>
          <w:b w:val="0"/>
          <w:bCs w:val="0"/>
          <w:highlight w:val="none"/>
          <w:u w:val="none"/>
        </w:rPr>
      </w:pPr>
      <w:r>
        <w:rPr>
          <w:rFonts w:hint="default" w:ascii="Times New Roman" w:hAnsi="Times New Roman" w:cs="Times New Roman"/>
          <w:b/>
          <w:bCs/>
          <w:sz w:val="24"/>
          <w:szCs w:val="24"/>
          <w:u w:val="none"/>
        </w:rPr>
        <w:drawing>
          <wp:anchor distT="0" distB="0" distL="114300" distR="114300" simplePos="0" relativeHeight="251701248" behindDoc="0" locked="0" layoutInCell="1" allowOverlap="1">
            <wp:simplePos x="0" y="0"/>
            <wp:positionH relativeFrom="column">
              <wp:posOffset>1554480</wp:posOffset>
            </wp:positionH>
            <wp:positionV relativeFrom="paragraph">
              <wp:posOffset>0</wp:posOffset>
            </wp:positionV>
            <wp:extent cx="2466975" cy="387985"/>
            <wp:effectExtent l="0" t="0" r="9525" b="12065"/>
            <wp:wrapNone/>
            <wp:docPr id="1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8"/>
                    <pic:cNvPicPr>
                      <a:picLocks noChangeAspect="1"/>
                    </pic:cNvPicPr>
                  </pic:nvPicPr>
                  <pic:blipFill>
                    <a:blip r:embed="rId45"/>
                    <a:stretch>
                      <a:fillRect/>
                    </a:stretch>
                  </pic:blipFill>
                  <pic:spPr>
                    <a:xfrm>
                      <a:off x="0" y="0"/>
                      <a:ext cx="2466975" cy="387985"/>
                    </a:xfrm>
                    <a:prstGeom prst="rect">
                      <a:avLst/>
                    </a:prstGeom>
                    <a:noFill/>
                    <a:ln>
                      <a:noFill/>
                    </a:ln>
                  </pic:spPr>
                </pic:pic>
              </a:graphicData>
            </a:graphic>
          </wp:anchor>
        </w:drawing>
      </w:r>
    </w:p>
    <w:p w14:paraId="10524213">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p>
    <w:p w14:paraId="6F7C443A">
      <w:pPr>
        <w:keepNext w:val="0"/>
        <w:keepLines w:val="0"/>
        <w:pageBreakBefore w:val="0"/>
        <w:widowControl/>
        <w:kinsoku/>
        <w:wordWrap/>
        <w:overflowPunct/>
        <w:topLinePunct/>
        <w:autoSpaceDE w:val="0"/>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式中，Leq—预测点的噪声预测值，dB；</w:t>
      </w:r>
    </w:p>
    <w:p w14:paraId="7D712EFA">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eastAsia="宋体" w:cs="Times New Roman"/>
          <w:b w:val="0"/>
          <w:bCs w:val="0"/>
          <w:highlight w:val="none"/>
          <w:u w:val="none"/>
          <w:lang w:eastAsia="zh-CN"/>
        </w:rPr>
      </w:pPr>
      <w:r>
        <w:rPr>
          <w:rFonts w:hint="default" w:ascii="Times New Roman" w:hAnsi="Times New Roman" w:cs="Times New Roman"/>
          <w:b w:val="0"/>
          <w:bCs w:val="0"/>
          <w:highlight w:val="none"/>
          <w:u w:val="none"/>
        </w:rPr>
        <w:t>Leqg—建设项目声源在预测点产生的噪声贡献值，dB；</w:t>
      </w:r>
    </w:p>
    <w:p w14:paraId="4FB9CB00">
      <w:pPr>
        <w:keepNext w:val="0"/>
        <w:keepLines w:val="0"/>
        <w:pageBreakBefore w:val="0"/>
        <w:widowControl/>
        <w:kinsoku/>
        <w:wordWrap/>
        <w:overflowPunct/>
        <w:topLinePunct/>
        <w:autoSpaceDE/>
        <w:autoSpaceDN/>
        <w:bidi w:val="0"/>
        <w:adjustRightInd w:val="0"/>
        <w:snapToGrid w:val="0"/>
        <w:spacing w:line="520" w:lineRule="exact"/>
        <w:ind w:firstLine="480"/>
        <w:textAlignment w:val="auto"/>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Leqb—预测点的背景噪声值，dB。</w:t>
      </w:r>
    </w:p>
    <w:p w14:paraId="5D3C5BA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r>
        <w:rPr>
          <w:rFonts w:hint="eastAsia" w:ascii="Times New Roman" w:hAnsi="Times New Roman"/>
          <w:lang w:val="en-US" w:eastAsia="zh-CN"/>
        </w:rPr>
        <w:t>5.4.7预测内容</w:t>
      </w:r>
    </w:p>
    <w:p w14:paraId="60FA3CE0">
      <w:pPr>
        <w:ind w:firstLine="480"/>
        <w:rPr>
          <w:rFonts w:hint="eastAsia"/>
        </w:rPr>
      </w:pPr>
      <w:r>
        <w:rPr>
          <w:rFonts w:hint="eastAsia"/>
        </w:rPr>
        <w:t>（1）预测建设项目运营期厂界噪声贡献值、预测值，评价其超标和达标情况。</w:t>
      </w:r>
    </w:p>
    <w:p w14:paraId="3FC973DB">
      <w:pPr>
        <w:ind w:firstLine="480"/>
        <w:rPr>
          <w:rFonts w:hint="eastAsia"/>
        </w:rPr>
      </w:pPr>
      <w:r>
        <w:rPr>
          <w:rFonts w:hint="eastAsia"/>
        </w:rPr>
        <w:t>（2）由于厂界200m范围内无声环境敏感目标，因此不再预测建设项目运营期声环境保护目标处的噪声贡献值和预测值。</w:t>
      </w:r>
    </w:p>
    <w:p w14:paraId="6992218C">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r>
        <w:rPr>
          <w:color w:val="000000"/>
        </w:rPr>
        <w:t>表</w:t>
      </w:r>
      <w:r>
        <w:rPr>
          <w:rFonts w:hint="eastAsia"/>
          <w:color w:val="000000"/>
          <w:lang w:val="en-US" w:eastAsia="zh-CN"/>
        </w:rPr>
        <w:t>5.4-4</w:t>
      </w:r>
      <w:r>
        <w:rPr>
          <w:rFonts w:hint="eastAsia"/>
          <w:color w:val="000000"/>
        </w:rPr>
        <w:t xml:space="preserve"> </w:t>
      </w:r>
      <w:r>
        <w:rPr>
          <w:color w:val="000000"/>
        </w:rPr>
        <w:t xml:space="preserve">   </w:t>
      </w:r>
      <w:r>
        <w:rPr>
          <w:rFonts w:hint="eastAsia"/>
          <w:color w:val="000000"/>
        </w:rPr>
        <w:t>噪声参数取值一览表</w:t>
      </w:r>
    </w:p>
    <w:tbl>
      <w:tblPr>
        <w:tblStyle w:val="125"/>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1425"/>
        <w:gridCol w:w="1425"/>
        <w:gridCol w:w="1407"/>
        <w:gridCol w:w="1444"/>
        <w:gridCol w:w="1364"/>
      </w:tblGrid>
      <w:tr w14:paraId="3A676EC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Merge w:val="restart"/>
            <w:vAlign w:val="center"/>
          </w:tcPr>
          <w:p w14:paraId="77B41514">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ascii="Times New Roman" w:hAnsi="Times New Roman" w:eastAsia="宋体" w:cs="Times New Roman"/>
                <w:b/>
                <w:bCs w:val="0"/>
                <w:color w:val="000000" w:themeColor="text1"/>
                <w:sz w:val="21"/>
                <w:szCs w:val="21"/>
                <w:lang w:eastAsia="en-US"/>
                <w14:textFill>
                  <w14:solidFill>
                    <w14:schemeClr w14:val="tx1"/>
                  </w14:solidFill>
                </w14:textFill>
              </w:rPr>
              <w:t>设备名称</w:t>
            </w:r>
          </w:p>
        </w:tc>
        <w:tc>
          <w:tcPr>
            <w:tcW w:w="1418" w:type="dxa"/>
            <w:vMerge w:val="restart"/>
            <w:vAlign w:val="center"/>
          </w:tcPr>
          <w:p w14:paraId="2A581202">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i/>
                <w:iCs/>
                <w:color w:val="000000" w:themeColor="text1"/>
                <w:sz w:val="21"/>
                <w:szCs w:val="21"/>
                <w:lang w:eastAsia="zh-CN"/>
                <w14:textFill>
                  <w14:solidFill>
                    <w14:schemeClr w14:val="tx1"/>
                  </w14:solidFill>
                </w14:textFill>
              </w:rPr>
              <w:t>L</w:t>
            </w:r>
            <w:r>
              <w:rPr>
                <w:rFonts w:hint="eastAsia" w:ascii="Times New Roman" w:hAnsi="Times New Roman" w:eastAsia="宋体" w:cs="Times New Roman"/>
                <w:b/>
                <w:bCs w:val="0"/>
                <w:color w:val="000000" w:themeColor="text1"/>
                <w:sz w:val="21"/>
                <w:szCs w:val="21"/>
                <w:vertAlign w:val="subscript"/>
                <w:lang w:eastAsia="zh-CN"/>
                <w14:textFill>
                  <w14:solidFill>
                    <w14:schemeClr w14:val="tx1"/>
                  </w14:solidFill>
                </w14:textFill>
              </w:rPr>
              <w:t>0</w:t>
            </w: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声压级</w:t>
            </w:r>
          </w:p>
          <w:p w14:paraId="3C98504A">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ascii="Times New Roman" w:hAnsi="Times New Roman" w:eastAsia="宋体" w:cs="Times New Roman"/>
                <w:b/>
                <w:bCs w:val="0"/>
                <w:color w:val="000000" w:themeColor="text1"/>
                <w:sz w:val="21"/>
                <w:szCs w:val="21"/>
                <w:lang w:eastAsia="en-US"/>
                <w14:textFill>
                  <w14:solidFill>
                    <w14:schemeClr w14:val="tx1"/>
                  </w14:solidFill>
                </w14:textFill>
              </w:rPr>
              <w:t>dB(A)</w:t>
            </w:r>
          </w:p>
        </w:tc>
        <w:tc>
          <w:tcPr>
            <w:tcW w:w="5609" w:type="dxa"/>
            <w:gridSpan w:val="4"/>
            <w:vAlign w:val="center"/>
          </w:tcPr>
          <w:p w14:paraId="53E7D46B">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ascii="Times New Roman" w:hAnsi="Times New Roman" w:eastAsia="宋体" w:cs="Times New Roman"/>
                <w:b/>
                <w:bCs w:val="0"/>
                <w:color w:val="000000" w:themeColor="text1"/>
                <w:sz w:val="21"/>
                <w:szCs w:val="21"/>
                <w:lang w:eastAsia="zh-CN"/>
                <w14:textFill>
                  <w14:solidFill>
                    <w14:schemeClr w14:val="tx1"/>
                  </w14:solidFill>
                </w14:textFill>
              </w:rPr>
              <w:t>r</w:t>
            </w: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噪声源</w:t>
            </w:r>
            <w:r>
              <w:rPr>
                <w:rFonts w:ascii="Times New Roman" w:hAnsi="Times New Roman" w:eastAsia="宋体" w:cs="Times New Roman"/>
                <w:b/>
                <w:bCs w:val="0"/>
                <w:color w:val="000000" w:themeColor="text1"/>
                <w:sz w:val="21"/>
                <w:szCs w:val="21"/>
                <w:lang w:eastAsia="en-US"/>
                <w14:textFill>
                  <w14:solidFill>
                    <w14:schemeClr w14:val="tx1"/>
                  </w14:solidFill>
                </w14:textFill>
              </w:rPr>
              <w:t>距离（m）</w:t>
            </w:r>
          </w:p>
        </w:tc>
      </w:tr>
      <w:tr w14:paraId="429E6B6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Merge w:val="continue"/>
            <w:vAlign w:val="center"/>
          </w:tcPr>
          <w:p w14:paraId="137CD0C0">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p>
        </w:tc>
        <w:tc>
          <w:tcPr>
            <w:tcW w:w="1418" w:type="dxa"/>
            <w:vMerge w:val="continue"/>
            <w:vAlign w:val="center"/>
          </w:tcPr>
          <w:p w14:paraId="2C639E08">
            <w:pPr>
              <w:pStyle w:val="126"/>
              <w:ind w:left="0"/>
              <w:jc w:val="center"/>
              <w:rPr>
                <w:rFonts w:ascii="Times New Roman" w:hAnsi="Times New Roman" w:eastAsia="宋体" w:cs="Times New Roman"/>
                <w:b/>
                <w:bCs w:val="0"/>
                <w:i/>
                <w:iCs/>
                <w:color w:val="000000" w:themeColor="text1"/>
                <w:sz w:val="21"/>
                <w:szCs w:val="21"/>
                <w:lang w:eastAsia="en-US"/>
                <w14:textFill>
                  <w14:solidFill>
                    <w14:schemeClr w14:val="tx1"/>
                  </w14:solidFill>
                </w14:textFill>
              </w:rPr>
            </w:pPr>
          </w:p>
        </w:tc>
        <w:tc>
          <w:tcPr>
            <w:tcW w:w="1417" w:type="dxa"/>
            <w:vAlign w:val="center"/>
          </w:tcPr>
          <w:p w14:paraId="301E71D3">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东</w:t>
            </w:r>
          </w:p>
        </w:tc>
        <w:tc>
          <w:tcPr>
            <w:tcW w:w="1399" w:type="dxa"/>
            <w:vAlign w:val="center"/>
          </w:tcPr>
          <w:p w14:paraId="4A084929">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南</w:t>
            </w:r>
          </w:p>
        </w:tc>
        <w:tc>
          <w:tcPr>
            <w:tcW w:w="1436" w:type="dxa"/>
            <w:vAlign w:val="center"/>
          </w:tcPr>
          <w:p w14:paraId="6A4855EB">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西</w:t>
            </w:r>
          </w:p>
        </w:tc>
        <w:tc>
          <w:tcPr>
            <w:tcW w:w="1357" w:type="dxa"/>
            <w:vAlign w:val="center"/>
          </w:tcPr>
          <w:p w14:paraId="38E432C5">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北</w:t>
            </w:r>
          </w:p>
        </w:tc>
      </w:tr>
      <w:tr w14:paraId="2BFD448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Align w:val="center"/>
          </w:tcPr>
          <w:p w14:paraId="1E225220">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冲床</w:t>
            </w:r>
          </w:p>
        </w:tc>
        <w:tc>
          <w:tcPr>
            <w:tcW w:w="1418" w:type="dxa"/>
            <w:vAlign w:val="center"/>
          </w:tcPr>
          <w:p w14:paraId="55C3761B">
            <w:pPr>
              <w:pStyle w:val="126"/>
              <w:ind w:lef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80</w:t>
            </w:r>
          </w:p>
        </w:tc>
        <w:tc>
          <w:tcPr>
            <w:tcW w:w="1417" w:type="dxa"/>
            <w:vAlign w:val="center"/>
          </w:tcPr>
          <w:p w14:paraId="63615A18">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1399" w:type="dxa"/>
            <w:vAlign w:val="center"/>
          </w:tcPr>
          <w:p w14:paraId="00EFE2EA">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94</w:t>
            </w:r>
          </w:p>
        </w:tc>
        <w:tc>
          <w:tcPr>
            <w:tcW w:w="1436" w:type="dxa"/>
            <w:vAlign w:val="center"/>
          </w:tcPr>
          <w:p w14:paraId="3EF6D1DD">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1357" w:type="dxa"/>
            <w:vAlign w:val="center"/>
          </w:tcPr>
          <w:p w14:paraId="5CAA92C1">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24</w:t>
            </w:r>
          </w:p>
        </w:tc>
      </w:tr>
      <w:tr w14:paraId="5E588C8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Align w:val="center"/>
          </w:tcPr>
          <w:p w14:paraId="605BC1B7">
            <w:pPr>
              <w:autoSpaceDE w:val="0"/>
              <w:autoSpaceDN w:val="0"/>
              <w:spacing w:line="240" w:lineRule="auto"/>
              <w:ind w:firstLine="0" w:firstLineChars="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分切机</w:t>
            </w:r>
          </w:p>
        </w:tc>
        <w:tc>
          <w:tcPr>
            <w:tcW w:w="1418" w:type="dxa"/>
            <w:vAlign w:val="center"/>
          </w:tcPr>
          <w:p w14:paraId="40B7301F">
            <w:pPr>
              <w:pStyle w:val="126"/>
              <w:ind w:lef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75</w:t>
            </w:r>
          </w:p>
        </w:tc>
        <w:tc>
          <w:tcPr>
            <w:tcW w:w="1417" w:type="dxa"/>
            <w:vAlign w:val="center"/>
          </w:tcPr>
          <w:p w14:paraId="1898AD9B">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399" w:type="dxa"/>
            <w:vAlign w:val="center"/>
          </w:tcPr>
          <w:p w14:paraId="2D9A248F">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90</w:t>
            </w:r>
          </w:p>
        </w:tc>
        <w:tc>
          <w:tcPr>
            <w:tcW w:w="1436" w:type="dxa"/>
            <w:vAlign w:val="center"/>
          </w:tcPr>
          <w:p w14:paraId="109B1A24">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357" w:type="dxa"/>
            <w:vAlign w:val="center"/>
          </w:tcPr>
          <w:p w14:paraId="25B763DA">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28</w:t>
            </w:r>
          </w:p>
        </w:tc>
      </w:tr>
      <w:tr w14:paraId="4F2C6C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Align w:val="center"/>
          </w:tcPr>
          <w:p w14:paraId="4CBBB69F">
            <w:pPr>
              <w:pStyle w:val="126"/>
              <w:ind w:left="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包装机</w:t>
            </w:r>
          </w:p>
        </w:tc>
        <w:tc>
          <w:tcPr>
            <w:tcW w:w="1418" w:type="dxa"/>
            <w:vAlign w:val="center"/>
          </w:tcPr>
          <w:p w14:paraId="7DEF32CA">
            <w:pPr>
              <w:pStyle w:val="126"/>
              <w:ind w:lef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75</w:t>
            </w:r>
          </w:p>
        </w:tc>
        <w:tc>
          <w:tcPr>
            <w:tcW w:w="1417" w:type="dxa"/>
            <w:vAlign w:val="center"/>
          </w:tcPr>
          <w:p w14:paraId="46A27FD1">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1399" w:type="dxa"/>
            <w:vAlign w:val="center"/>
          </w:tcPr>
          <w:p w14:paraId="53BCFAC4">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436" w:type="dxa"/>
            <w:vAlign w:val="center"/>
          </w:tcPr>
          <w:p w14:paraId="7C5F0907">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357" w:type="dxa"/>
            <w:vAlign w:val="center"/>
          </w:tcPr>
          <w:p w14:paraId="150318C2">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88</w:t>
            </w:r>
          </w:p>
        </w:tc>
      </w:tr>
      <w:tr w14:paraId="667269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66" w:type="dxa"/>
            <w:vAlign w:val="center"/>
          </w:tcPr>
          <w:p w14:paraId="2FD1D11A">
            <w:pPr>
              <w:autoSpaceDE w:val="0"/>
              <w:autoSpaceDN w:val="0"/>
              <w:spacing w:line="240" w:lineRule="auto"/>
              <w:ind w:firstLine="0" w:firstLineChars="0"/>
              <w:jc w:val="center"/>
              <w:rPr>
                <w:rFonts w:ascii="Times New Roman" w:hAnsi="Times New Roman" w:eastAsia="宋体" w:cs="Times New Roman"/>
                <w:b/>
                <w:bCs w:val="0"/>
                <w:color w:val="000000" w:themeColor="text1"/>
                <w:sz w:val="21"/>
                <w:szCs w:val="21"/>
                <w:lang w:eastAsia="en-US"/>
                <w14:textFill>
                  <w14:solidFill>
                    <w14:schemeClr w14:val="tx1"/>
                  </w14:solidFill>
                </w14:textFill>
              </w:rPr>
            </w:pPr>
            <w:r>
              <w:rPr>
                <w:rFonts w:hint="eastAsia" w:ascii="Times New Roman" w:hAnsi="Times New Roman" w:eastAsia="宋体" w:cs="Times New Roman"/>
                <w:b/>
                <w:bCs w:val="0"/>
                <w:color w:val="000000" w:themeColor="text1"/>
                <w:sz w:val="21"/>
                <w:szCs w:val="21"/>
                <w:lang w:eastAsia="zh-CN"/>
                <w14:textFill>
                  <w14:solidFill>
                    <w14:schemeClr w14:val="tx1"/>
                  </w14:solidFill>
                </w14:textFill>
              </w:rPr>
              <w:t>空压机</w:t>
            </w:r>
          </w:p>
        </w:tc>
        <w:tc>
          <w:tcPr>
            <w:tcW w:w="1418" w:type="dxa"/>
            <w:vAlign w:val="center"/>
          </w:tcPr>
          <w:p w14:paraId="5754952A">
            <w:pPr>
              <w:pStyle w:val="126"/>
              <w:ind w:left="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80</w:t>
            </w:r>
          </w:p>
        </w:tc>
        <w:tc>
          <w:tcPr>
            <w:tcW w:w="1417" w:type="dxa"/>
            <w:vAlign w:val="center"/>
          </w:tcPr>
          <w:p w14:paraId="1E6255A1">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33</w:t>
            </w:r>
          </w:p>
        </w:tc>
        <w:tc>
          <w:tcPr>
            <w:tcW w:w="1399" w:type="dxa"/>
            <w:vAlign w:val="center"/>
          </w:tcPr>
          <w:p w14:paraId="11E41A7E">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90</w:t>
            </w:r>
          </w:p>
        </w:tc>
        <w:tc>
          <w:tcPr>
            <w:tcW w:w="1436" w:type="dxa"/>
            <w:vAlign w:val="center"/>
          </w:tcPr>
          <w:p w14:paraId="1F6E56F6">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35</w:t>
            </w:r>
          </w:p>
        </w:tc>
        <w:tc>
          <w:tcPr>
            <w:tcW w:w="1357" w:type="dxa"/>
            <w:vAlign w:val="center"/>
          </w:tcPr>
          <w:p w14:paraId="1598ADAF">
            <w:pPr>
              <w:keepNext w:val="0"/>
              <w:keepLines w:val="0"/>
              <w:pageBreakBefore w:val="0"/>
              <w:widowControl/>
              <w:suppressLineNumbers w:val="0"/>
              <w:kinsoku/>
              <w:wordWrap/>
              <w:overflowPunct/>
              <w:topLinePunct w:val="0"/>
              <w:autoSpaceDE w:val="0"/>
              <w:autoSpaceDN w:val="0"/>
              <w:bidi w:val="0"/>
              <w:adjustRightInd w:val="0"/>
              <w:snapToGrid w:val="0"/>
              <w:spacing w:line="240" w:lineRule="auto"/>
              <w:ind w:firstLine="0" w:firstLineChars="0"/>
              <w:jc w:val="center"/>
              <w:textAlignment w:val="center"/>
              <w:rPr>
                <w:rFonts w:ascii="Times New Roman" w:hAnsi="Times New Roman" w:eastAsia="宋体" w:cs="Times New Roman"/>
                <w:b w:val="0"/>
                <w:bCs/>
                <w:color w:val="000000" w:themeColor="text1"/>
                <w:sz w:val="21"/>
                <w:szCs w:val="2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26</w:t>
            </w:r>
          </w:p>
        </w:tc>
      </w:tr>
      <w:bookmarkEnd w:id="571"/>
    </w:tbl>
    <w:p w14:paraId="07EEE26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szCs w:val="21"/>
        </w:rPr>
      </w:pPr>
      <w:r>
        <w:t>表</w:t>
      </w:r>
      <w:r>
        <w:rPr>
          <w:rFonts w:hint="eastAsia"/>
          <w:lang w:val="en-US" w:eastAsia="zh-CN"/>
        </w:rPr>
        <w:t>5.4-5</w:t>
      </w:r>
      <w:r>
        <w:rPr>
          <w:rFonts w:hint="eastAsia"/>
        </w:rPr>
        <w:t xml:space="preserve"> </w:t>
      </w:r>
      <w:r>
        <w:t xml:space="preserve">   本项目噪声预测分析    </w:t>
      </w:r>
      <w:r>
        <w:rPr>
          <w:rFonts w:hint="eastAsia"/>
        </w:rPr>
        <w:t xml:space="preserve">     </w:t>
      </w:r>
      <w:r>
        <w:t xml:space="preserve">  </w:t>
      </w:r>
      <w:r>
        <w:rPr>
          <w:szCs w:val="21"/>
        </w:rPr>
        <w:t>单位：dB(A)</w:t>
      </w:r>
    </w:p>
    <w:tbl>
      <w:tblPr>
        <w:tblStyle w:val="40"/>
        <w:tblW w:w="8295" w:type="dxa"/>
        <w:tblInd w:w="-11"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45"/>
        <w:gridCol w:w="1945"/>
        <w:gridCol w:w="1946"/>
        <w:gridCol w:w="2459"/>
      </w:tblGrid>
      <w:tr w14:paraId="293957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945" w:type="dxa"/>
            <w:tcBorders>
              <w:tl2br w:val="nil"/>
              <w:tr2bl w:val="nil"/>
            </w:tcBorders>
            <w:noWrap w:val="0"/>
            <w:vAlign w:val="center"/>
          </w:tcPr>
          <w:p w14:paraId="092DE780">
            <w:pPr>
              <w:pStyle w:val="81"/>
              <w:rPr>
                <w:rFonts w:hint="eastAsia" w:ascii="Times New Roman" w:hAnsi="Times New Roman" w:eastAsia="宋体" w:cs="Times New Roman"/>
                <w:sz w:val="21"/>
                <w:szCs w:val="21"/>
                <w:vertAlign w:val="baseline"/>
                <w:lang w:eastAsia="zh-CN"/>
              </w:rPr>
            </w:pPr>
            <w:r>
              <w:rPr>
                <w:rFonts w:hint="eastAsia" w:ascii="Times New Roman" w:hAnsi="Times New Roman" w:cs="Times New Roman"/>
                <w:sz w:val="21"/>
                <w:szCs w:val="21"/>
                <w:lang w:val="en-US" w:eastAsia="zh-CN"/>
              </w:rPr>
              <w:t>厂界</w:t>
            </w:r>
          </w:p>
        </w:tc>
        <w:tc>
          <w:tcPr>
            <w:tcW w:w="1945" w:type="dxa"/>
            <w:tcBorders>
              <w:tl2br w:val="nil"/>
              <w:tr2bl w:val="nil"/>
            </w:tcBorders>
            <w:noWrap w:val="0"/>
            <w:vAlign w:val="center"/>
          </w:tcPr>
          <w:p w14:paraId="6D24C399">
            <w:pPr>
              <w:pStyle w:val="81"/>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lang w:val="en-US" w:eastAsia="zh-CN"/>
              </w:rPr>
              <w:t>设备名称</w:t>
            </w:r>
          </w:p>
        </w:tc>
        <w:tc>
          <w:tcPr>
            <w:tcW w:w="1946" w:type="dxa"/>
            <w:tcBorders>
              <w:tl2br w:val="nil"/>
              <w:tr2bl w:val="nil"/>
            </w:tcBorders>
            <w:noWrap w:val="0"/>
            <w:vAlign w:val="center"/>
          </w:tcPr>
          <w:p w14:paraId="4252917C">
            <w:pPr>
              <w:pStyle w:val="81"/>
              <w:rPr>
                <w:rFonts w:hint="eastAsia" w:ascii="Times New Roman" w:hAnsi="Times New Roman" w:eastAsia="宋体" w:cs="Times New Roman"/>
                <w:sz w:val="21"/>
                <w:szCs w:val="21"/>
                <w:vertAlign w:val="baseline"/>
                <w:lang w:eastAsia="zh-CN"/>
              </w:rPr>
            </w:pPr>
            <w:r>
              <w:rPr>
                <w:rFonts w:hint="eastAsia" w:ascii="Times New Roman" w:hAnsi="Times New Roman" w:cs="Times New Roman"/>
                <w:sz w:val="21"/>
                <w:szCs w:val="21"/>
                <w:lang w:val="en-US" w:eastAsia="zh-CN"/>
              </w:rPr>
              <w:t>贡献值</w:t>
            </w:r>
          </w:p>
        </w:tc>
        <w:tc>
          <w:tcPr>
            <w:tcW w:w="2459" w:type="dxa"/>
            <w:tcBorders>
              <w:tl2br w:val="nil"/>
              <w:tr2bl w:val="nil"/>
            </w:tcBorders>
            <w:noWrap w:val="0"/>
            <w:vAlign w:val="center"/>
          </w:tcPr>
          <w:p w14:paraId="4A696DFA">
            <w:pPr>
              <w:pStyle w:val="81"/>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贡献叠加值</w:t>
            </w:r>
          </w:p>
        </w:tc>
      </w:tr>
      <w:tr w14:paraId="3DA866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trPr>
        <w:tc>
          <w:tcPr>
            <w:tcW w:w="1945" w:type="dxa"/>
            <w:vMerge w:val="restart"/>
            <w:tcBorders>
              <w:tl2br w:val="nil"/>
              <w:tr2bl w:val="nil"/>
            </w:tcBorders>
            <w:noWrap w:val="0"/>
            <w:vAlign w:val="center"/>
          </w:tcPr>
          <w:p w14:paraId="708A6004">
            <w:pPr>
              <w:pStyle w:val="75"/>
              <w:keepNext w:val="0"/>
              <w:keepLines w:val="0"/>
              <w:pageBreakBefore w:val="0"/>
              <w:kinsoku/>
              <w:wordWrap/>
              <w:overflowPunct/>
              <w:topLinePunct w:val="0"/>
              <w:autoSpaceDE/>
              <w:autoSpaceDN/>
              <w:bidi w:val="0"/>
              <w:adjustRightInd/>
              <w:spacing w:line="240" w:lineRule="auto"/>
              <w:ind w:left="0" w:right="0" w:firstLine="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东厂</w:t>
            </w:r>
            <w:r>
              <w:rPr>
                <w:rFonts w:hint="default" w:ascii="Times New Roman" w:hAnsi="Times New Roman" w:eastAsia="宋体" w:cs="Times New Roman"/>
                <w:sz w:val="21"/>
                <w:szCs w:val="21"/>
                <w:lang w:val="en-US" w:eastAsia="zh-CN"/>
              </w:rPr>
              <w:t>房边</w:t>
            </w:r>
            <w:r>
              <w:rPr>
                <w:rFonts w:hint="default" w:ascii="Times New Roman" w:hAnsi="Times New Roman" w:eastAsia="宋体" w:cs="Times New Roman"/>
                <w:sz w:val="21"/>
                <w:szCs w:val="21"/>
              </w:rPr>
              <w:t>界</w:t>
            </w:r>
          </w:p>
        </w:tc>
        <w:tc>
          <w:tcPr>
            <w:tcW w:w="1945" w:type="dxa"/>
            <w:tcBorders>
              <w:tl2br w:val="nil"/>
              <w:tr2bl w:val="nil"/>
            </w:tcBorders>
            <w:noWrap w:val="0"/>
            <w:vAlign w:val="center"/>
          </w:tcPr>
          <w:p w14:paraId="33C5BB87">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生产车间</w:t>
            </w:r>
          </w:p>
        </w:tc>
        <w:tc>
          <w:tcPr>
            <w:tcW w:w="1946" w:type="dxa"/>
            <w:tcBorders>
              <w:tl2br w:val="nil"/>
              <w:tr2bl w:val="nil"/>
            </w:tcBorders>
            <w:noWrap w:val="0"/>
            <w:vAlign w:val="center"/>
          </w:tcPr>
          <w:p w14:paraId="5DCA5FCB">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36.6</w:t>
            </w:r>
          </w:p>
        </w:tc>
        <w:tc>
          <w:tcPr>
            <w:tcW w:w="2459" w:type="dxa"/>
            <w:vMerge w:val="restart"/>
            <w:tcBorders>
              <w:tl2br w:val="nil"/>
              <w:tr2bl w:val="nil"/>
            </w:tcBorders>
            <w:noWrap w:val="0"/>
            <w:vAlign w:val="center"/>
          </w:tcPr>
          <w:p w14:paraId="20873335">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49.9</w:t>
            </w:r>
          </w:p>
        </w:tc>
      </w:tr>
      <w:tr w14:paraId="49AEC3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trPr>
        <w:tc>
          <w:tcPr>
            <w:tcW w:w="1945" w:type="dxa"/>
            <w:vMerge w:val="continue"/>
            <w:tcBorders>
              <w:tl2br w:val="nil"/>
              <w:tr2bl w:val="nil"/>
            </w:tcBorders>
            <w:noWrap w:val="0"/>
            <w:vAlign w:val="center"/>
          </w:tcPr>
          <w:p w14:paraId="05584D95">
            <w:pPr>
              <w:pStyle w:val="75"/>
              <w:keepNext w:val="0"/>
              <w:keepLines w:val="0"/>
              <w:pageBreakBefore w:val="0"/>
              <w:kinsoku/>
              <w:wordWrap/>
              <w:overflowPunct/>
              <w:topLinePunct w:val="0"/>
              <w:autoSpaceDE/>
              <w:autoSpaceDN/>
              <w:bidi w:val="0"/>
              <w:adjustRightInd/>
              <w:spacing w:line="240" w:lineRule="auto"/>
              <w:ind w:left="0" w:right="0" w:firstLine="0"/>
              <w:jc w:val="center"/>
              <w:rPr>
                <w:rFonts w:hint="default" w:ascii="Times New Roman" w:hAnsi="Times New Roman" w:eastAsia="宋体" w:cs="Times New Roman"/>
                <w:sz w:val="21"/>
                <w:szCs w:val="21"/>
              </w:rPr>
            </w:pPr>
          </w:p>
        </w:tc>
        <w:tc>
          <w:tcPr>
            <w:tcW w:w="1945" w:type="dxa"/>
            <w:tcBorders>
              <w:tl2br w:val="nil"/>
              <w:tr2bl w:val="nil"/>
            </w:tcBorders>
            <w:noWrap w:val="0"/>
            <w:vAlign w:val="center"/>
          </w:tcPr>
          <w:p w14:paraId="5B4172C0">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环保风机</w:t>
            </w:r>
          </w:p>
        </w:tc>
        <w:tc>
          <w:tcPr>
            <w:tcW w:w="1946" w:type="dxa"/>
            <w:tcBorders>
              <w:tl2br w:val="nil"/>
              <w:tr2bl w:val="nil"/>
            </w:tcBorders>
            <w:noWrap w:val="0"/>
            <w:vAlign w:val="center"/>
          </w:tcPr>
          <w:p w14:paraId="797F3F14">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49.7</w:t>
            </w:r>
          </w:p>
        </w:tc>
        <w:tc>
          <w:tcPr>
            <w:tcW w:w="2459" w:type="dxa"/>
            <w:vMerge w:val="continue"/>
            <w:tcBorders>
              <w:tl2br w:val="nil"/>
              <w:tr2bl w:val="nil"/>
            </w:tcBorders>
            <w:noWrap w:val="0"/>
            <w:vAlign w:val="center"/>
          </w:tcPr>
          <w:p w14:paraId="3467CAE7">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p>
        </w:tc>
      </w:tr>
      <w:tr w14:paraId="49E5B2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945" w:type="dxa"/>
            <w:vMerge w:val="restart"/>
            <w:tcBorders>
              <w:tl2br w:val="nil"/>
              <w:tr2bl w:val="nil"/>
            </w:tcBorders>
            <w:noWrap w:val="0"/>
            <w:vAlign w:val="center"/>
          </w:tcPr>
          <w:p w14:paraId="35D3279F">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rPr>
              <w:t>南厂</w:t>
            </w:r>
            <w:r>
              <w:rPr>
                <w:rFonts w:hint="default" w:ascii="Times New Roman" w:hAnsi="Times New Roman" w:eastAsia="宋体" w:cs="Times New Roman"/>
                <w:sz w:val="21"/>
                <w:szCs w:val="21"/>
                <w:lang w:val="en-US" w:eastAsia="zh-CN"/>
              </w:rPr>
              <w:t>房边</w:t>
            </w:r>
            <w:r>
              <w:rPr>
                <w:rFonts w:hint="default" w:ascii="Times New Roman" w:hAnsi="Times New Roman" w:eastAsia="宋体" w:cs="Times New Roman"/>
                <w:sz w:val="21"/>
                <w:szCs w:val="21"/>
              </w:rPr>
              <w:t>界</w:t>
            </w:r>
          </w:p>
        </w:tc>
        <w:tc>
          <w:tcPr>
            <w:tcW w:w="1945" w:type="dxa"/>
            <w:tcBorders>
              <w:tl2br w:val="nil"/>
              <w:tr2bl w:val="nil"/>
            </w:tcBorders>
            <w:noWrap w:val="0"/>
            <w:vAlign w:val="center"/>
          </w:tcPr>
          <w:p w14:paraId="24A6FDCC">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生产车间</w:t>
            </w:r>
          </w:p>
        </w:tc>
        <w:tc>
          <w:tcPr>
            <w:tcW w:w="1946" w:type="dxa"/>
            <w:tcBorders>
              <w:tl2br w:val="nil"/>
              <w:tr2bl w:val="nil"/>
            </w:tcBorders>
            <w:noWrap w:val="0"/>
            <w:vAlign w:val="center"/>
          </w:tcPr>
          <w:p w14:paraId="47782247">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31.9</w:t>
            </w:r>
          </w:p>
        </w:tc>
        <w:tc>
          <w:tcPr>
            <w:tcW w:w="2459" w:type="dxa"/>
            <w:vMerge w:val="restart"/>
            <w:tcBorders>
              <w:tl2br w:val="nil"/>
              <w:tr2bl w:val="nil"/>
            </w:tcBorders>
            <w:noWrap w:val="0"/>
            <w:vAlign w:val="center"/>
          </w:tcPr>
          <w:p w14:paraId="05A9225E">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49.8</w:t>
            </w:r>
          </w:p>
        </w:tc>
      </w:tr>
      <w:tr w14:paraId="6BD1D2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945" w:type="dxa"/>
            <w:vMerge w:val="continue"/>
            <w:tcBorders>
              <w:tl2br w:val="nil"/>
              <w:tr2bl w:val="nil"/>
            </w:tcBorders>
            <w:noWrap w:val="0"/>
            <w:vAlign w:val="center"/>
          </w:tcPr>
          <w:p w14:paraId="3B222EBE">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sz w:val="21"/>
                <w:szCs w:val="21"/>
              </w:rPr>
            </w:pPr>
          </w:p>
        </w:tc>
        <w:tc>
          <w:tcPr>
            <w:tcW w:w="1945" w:type="dxa"/>
            <w:tcBorders>
              <w:tl2br w:val="nil"/>
              <w:tr2bl w:val="nil"/>
            </w:tcBorders>
            <w:noWrap w:val="0"/>
            <w:vAlign w:val="center"/>
          </w:tcPr>
          <w:p w14:paraId="548B6FCB">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环保风机</w:t>
            </w:r>
          </w:p>
        </w:tc>
        <w:tc>
          <w:tcPr>
            <w:tcW w:w="1946" w:type="dxa"/>
            <w:tcBorders>
              <w:tl2br w:val="nil"/>
              <w:tr2bl w:val="nil"/>
            </w:tcBorders>
            <w:noWrap w:val="0"/>
            <w:vAlign w:val="center"/>
          </w:tcPr>
          <w:p w14:paraId="169E8A01">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49.7</w:t>
            </w:r>
          </w:p>
        </w:tc>
        <w:tc>
          <w:tcPr>
            <w:tcW w:w="2459" w:type="dxa"/>
            <w:vMerge w:val="continue"/>
            <w:tcBorders>
              <w:tl2br w:val="nil"/>
              <w:tr2bl w:val="nil"/>
            </w:tcBorders>
            <w:noWrap w:val="0"/>
            <w:vAlign w:val="center"/>
          </w:tcPr>
          <w:p w14:paraId="2470993A">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p>
        </w:tc>
      </w:tr>
      <w:tr w14:paraId="105B91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945" w:type="dxa"/>
            <w:vMerge w:val="restart"/>
            <w:tcBorders>
              <w:tl2br w:val="nil"/>
              <w:tr2bl w:val="nil"/>
            </w:tcBorders>
            <w:noWrap w:val="0"/>
            <w:vAlign w:val="center"/>
          </w:tcPr>
          <w:p w14:paraId="0B102FC1">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西厂</w:t>
            </w:r>
            <w:r>
              <w:rPr>
                <w:rFonts w:hint="default" w:ascii="Times New Roman" w:hAnsi="Times New Roman" w:eastAsia="宋体" w:cs="Times New Roman"/>
                <w:sz w:val="21"/>
                <w:szCs w:val="21"/>
                <w:lang w:val="en-US" w:eastAsia="zh-CN"/>
              </w:rPr>
              <w:t>房边</w:t>
            </w:r>
            <w:r>
              <w:rPr>
                <w:rFonts w:hint="default" w:ascii="Times New Roman" w:hAnsi="Times New Roman" w:eastAsia="宋体" w:cs="Times New Roman"/>
                <w:sz w:val="21"/>
                <w:szCs w:val="21"/>
              </w:rPr>
              <w:t>界</w:t>
            </w:r>
          </w:p>
        </w:tc>
        <w:tc>
          <w:tcPr>
            <w:tcW w:w="1945" w:type="dxa"/>
            <w:tcBorders>
              <w:tl2br w:val="nil"/>
              <w:tr2bl w:val="nil"/>
            </w:tcBorders>
            <w:noWrap w:val="0"/>
            <w:vAlign w:val="center"/>
          </w:tcPr>
          <w:p w14:paraId="307DC601">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eastAsia"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生产车间</w:t>
            </w:r>
          </w:p>
        </w:tc>
        <w:tc>
          <w:tcPr>
            <w:tcW w:w="1946" w:type="dxa"/>
            <w:tcBorders>
              <w:tl2br w:val="nil"/>
              <w:tr2bl w:val="nil"/>
            </w:tcBorders>
            <w:noWrap w:val="0"/>
            <w:vAlign w:val="center"/>
          </w:tcPr>
          <w:p w14:paraId="3E17B22F">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45.9</w:t>
            </w:r>
          </w:p>
        </w:tc>
        <w:tc>
          <w:tcPr>
            <w:tcW w:w="2459" w:type="dxa"/>
            <w:vMerge w:val="restart"/>
            <w:tcBorders>
              <w:tl2br w:val="nil"/>
              <w:tr2bl w:val="nil"/>
            </w:tcBorders>
            <w:noWrap w:val="0"/>
            <w:vAlign w:val="center"/>
          </w:tcPr>
          <w:p w14:paraId="1E119AA0">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51.2</w:t>
            </w:r>
          </w:p>
        </w:tc>
      </w:tr>
      <w:tr w14:paraId="7540E2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1" w:hRule="atLeast"/>
        </w:trPr>
        <w:tc>
          <w:tcPr>
            <w:tcW w:w="1945" w:type="dxa"/>
            <w:vMerge w:val="continue"/>
            <w:tcBorders>
              <w:tl2br w:val="nil"/>
              <w:tr2bl w:val="nil"/>
            </w:tcBorders>
            <w:noWrap w:val="0"/>
            <w:vAlign w:val="center"/>
          </w:tcPr>
          <w:p w14:paraId="41DCB78D">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sz w:val="21"/>
                <w:szCs w:val="21"/>
                <w:vertAlign w:val="baseline"/>
              </w:rPr>
            </w:pPr>
          </w:p>
        </w:tc>
        <w:tc>
          <w:tcPr>
            <w:tcW w:w="1945" w:type="dxa"/>
            <w:tcBorders>
              <w:tl2br w:val="nil"/>
              <w:tr2bl w:val="nil"/>
            </w:tcBorders>
            <w:noWrap w:val="0"/>
            <w:vAlign w:val="center"/>
          </w:tcPr>
          <w:p w14:paraId="0487D49F">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环保风机</w:t>
            </w:r>
          </w:p>
        </w:tc>
        <w:tc>
          <w:tcPr>
            <w:tcW w:w="1946" w:type="dxa"/>
            <w:tcBorders>
              <w:tl2br w:val="nil"/>
              <w:tr2bl w:val="nil"/>
            </w:tcBorders>
            <w:noWrap w:val="0"/>
            <w:vAlign w:val="center"/>
          </w:tcPr>
          <w:p w14:paraId="03A8A6D5">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49.7</w:t>
            </w:r>
          </w:p>
        </w:tc>
        <w:tc>
          <w:tcPr>
            <w:tcW w:w="2459" w:type="dxa"/>
            <w:vMerge w:val="continue"/>
            <w:tcBorders>
              <w:tl2br w:val="nil"/>
              <w:tr2bl w:val="nil"/>
            </w:tcBorders>
            <w:noWrap w:val="0"/>
            <w:vAlign w:val="center"/>
          </w:tcPr>
          <w:p w14:paraId="631573DF">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p>
        </w:tc>
      </w:tr>
      <w:tr w14:paraId="31580E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trPr>
        <w:tc>
          <w:tcPr>
            <w:tcW w:w="1945" w:type="dxa"/>
            <w:vMerge w:val="restart"/>
            <w:tcBorders>
              <w:tl2br w:val="nil"/>
              <w:tr2bl w:val="nil"/>
            </w:tcBorders>
            <w:noWrap w:val="0"/>
            <w:vAlign w:val="center"/>
          </w:tcPr>
          <w:p w14:paraId="170D0D7D">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rPr>
              <w:t>北厂</w:t>
            </w:r>
            <w:r>
              <w:rPr>
                <w:rFonts w:hint="default" w:ascii="Times New Roman" w:hAnsi="Times New Roman" w:eastAsia="宋体" w:cs="Times New Roman"/>
                <w:sz w:val="21"/>
                <w:szCs w:val="21"/>
                <w:lang w:val="en-US" w:eastAsia="zh-CN"/>
              </w:rPr>
              <w:t>房边</w:t>
            </w:r>
            <w:r>
              <w:rPr>
                <w:rFonts w:hint="default" w:ascii="Times New Roman" w:hAnsi="Times New Roman" w:eastAsia="宋体" w:cs="Times New Roman"/>
                <w:sz w:val="21"/>
                <w:szCs w:val="21"/>
              </w:rPr>
              <w:t>界</w:t>
            </w:r>
          </w:p>
        </w:tc>
        <w:tc>
          <w:tcPr>
            <w:tcW w:w="1945" w:type="dxa"/>
            <w:tcBorders>
              <w:tl2br w:val="nil"/>
              <w:tr2bl w:val="nil"/>
            </w:tcBorders>
            <w:noWrap w:val="0"/>
            <w:vAlign w:val="center"/>
          </w:tcPr>
          <w:p w14:paraId="4F31F496">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生产车间</w:t>
            </w:r>
          </w:p>
        </w:tc>
        <w:tc>
          <w:tcPr>
            <w:tcW w:w="1946" w:type="dxa"/>
            <w:tcBorders>
              <w:tl2br w:val="nil"/>
              <w:tr2bl w:val="nil"/>
            </w:tcBorders>
            <w:noWrap w:val="0"/>
            <w:vAlign w:val="center"/>
          </w:tcPr>
          <w:p w14:paraId="2614373D">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43.0</w:t>
            </w:r>
          </w:p>
        </w:tc>
        <w:tc>
          <w:tcPr>
            <w:tcW w:w="2459" w:type="dxa"/>
            <w:vMerge w:val="restart"/>
            <w:tcBorders>
              <w:tl2br w:val="nil"/>
              <w:tr2bl w:val="nil"/>
            </w:tcBorders>
            <w:noWrap w:val="0"/>
            <w:vAlign w:val="center"/>
          </w:tcPr>
          <w:p w14:paraId="038CAD5F">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50.5</w:t>
            </w:r>
          </w:p>
        </w:tc>
      </w:tr>
      <w:tr w14:paraId="20791B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6" w:hRule="atLeast"/>
        </w:trPr>
        <w:tc>
          <w:tcPr>
            <w:tcW w:w="1945" w:type="dxa"/>
            <w:vMerge w:val="continue"/>
            <w:tcBorders>
              <w:tl2br w:val="nil"/>
              <w:tr2bl w:val="nil"/>
            </w:tcBorders>
            <w:noWrap w:val="0"/>
            <w:vAlign w:val="center"/>
          </w:tcPr>
          <w:p w14:paraId="37F165C7">
            <w:pPr>
              <w:pStyle w:val="75"/>
              <w:keepNext w:val="0"/>
              <w:keepLines w:val="0"/>
              <w:pageBreakBefore w:val="0"/>
              <w:kinsoku/>
              <w:wordWrap/>
              <w:overflowPunct/>
              <w:topLinePunct w:val="0"/>
              <w:autoSpaceDE/>
              <w:autoSpaceDN/>
              <w:bidi w:val="0"/>
              <w:adjustRightInd/>
              <w:spacing w:line="240" w:lineRule="auto"/>
              <w:ind w:left="0" w:right="0" w:firstLine="0"/>
              <w:rPr>
                <w:rFonts w:hint="default" w:ascii="Times New Roman" w:hAnsi="Times New Roman" w:eastAsia="宋体" w:cs="Times New Roman"/>
                <w:sz w:val="21"/>
                <w:szCs w:val="21"/>
              </w:rPr>
            </w:pPr>
          </w:p>
        </w:tc>
        <w:tc>
          <w:tcPr>
            <w:tcW w:w="1945" w:type="dxa"/>
            <w:tcBorders>
              <w:tl2br w:val="nil"/>
              <w:tr2bl w:val="nil"/>
            </w:tcBorders>
            <w:noWrap w:val="0"/>
            <w:vAlign w:val="center"/>
          </w:tcPr>
          <w:p w14:paraId="31E3EB11">
            <w:pPr>
              <w:pStyle w:val="21"/>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环保风机</w:t>
            </w:r>
          </w:p>
        </w:tc>
        <w:tc>
          <w:tcPr>
            <w:tcW w:w="1946" w:type="dxa"/>
            <w:tcBorders>
              <w:tl2br w:val="nil"/>
              <w:tr2bl w:val="nil"/>
            </w:tcBorders>
            <w:noWrap w:val="0"/>
            <w:vAlign w:val="center"/>
          </w:tcPr>
          <w:p w14:paraId="5A45BE67">
            <w:pPr>
              <w:pStyle w:val="21"/>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r>
              <w:rPr>
                <w:rFonts w:hint="eastAsia" w:ascii="Times New Roman" w:hAnsi="Times New Roman" w:cs="Times New Roman"/>
                <w:sz w:val="21"/>
                <w:szCs w:val="21"/>
                <w:vertAlign w:val="baseline"/>
                <w:lang w:val="en-US" w:eastAsia="zh-CN"/>
              </w:rPr>
              <w:t>49.7</w:t>
            </w:r>
          </w:p>
        </w:tc>
        <w:tc>
          <w:tcPr>
            <w:tcW w:w="2459" w:type="dxa"/>
            <w:vMerge w:val="continue"/>
            <w:tcBorders>
              <w:tl2br w:val="nil"/>
              <w:tr2bl w:val="nil"/>
            </w:tcBorders>
            <w:noWrap w:val="0"/>
            <w:vAlign w:val="center"/>
          </w:tcPr>
          <w:p w14:paraId="0F59BBFA">
            <w:pPr>
              <w:keepNext w:val="0"/>
              <w:keepLines w:val="0"/>
              <w:pageBreakBefore w:val="0"/>
              <w:widowControl w:val="0"/>
              <w:kinsoku/>
              <w:wordWrap/>
              <w:overflowPunct/>
              <w:topLinePunct w:val="0"/>
              <w:autoSpaceDE/>
              <w:autoSpaceDN/>
              <w:bidi w:val="0"/>
              <w:adjustRightInd/>
              <w:snapToGrid w:val="0"/>
              <w:spacing w:line="240" w:lineRule="auto"/>
              <w:ind w:left="0" w:right="0" w:firstLine="0" w:firstLineChars="0"/>
              <w:jc w:val="center"/>
              <w:textAlignment w:val="baseline"/>
              <w:rPr>
                <w:rFonts w:hint="default" w:ascii="Times New Roman" w:hAnsi="Times New Roman" w:eastAsia="宋体" w:cs="Times New Roman"/>
                <w:sz w:val="21"/>
                <w:szCs w:val="21"/>
                <w:vertAlign w:val="baseline"/>
              </w:rPr>
            </w:pPr>
          </w:p>
        </w:tc>
      </w:tr>
    </w:tbl>
    <w:p w14:paraId="0633115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ascii="Times New Roman" w:hAnsi="Times New Roman"/>
        </w:rPr>
        <w:t>表</w:t>
      </w:r>
      <w:r>
        <w:rPr>
          <w:rFonts w:hint="eastAsia"/>
          <w:lang w:val="en-US" w:eastAsia="zh-CN"/>
        </w:rPr>
        <w:t>5.4-6</w:t>
      </w:r>
      <w:r>
        <w:rPr>
          <w:rFonts w:ascii="Times New Roman" w:hAnsi="Times New Roman"/>
        </w:rPr>
        <w:t xml:space="preserve">     噪声叠加</w:t>
      </w:r>
      <w:r>
        <w:rPr>
          <w:rFonts w:hint="eastAsia" w:ascii="Times New Roman" w:hAnsi="Times New Roman"/>
        </w:rPr>
        <w:t>预测</w:t>
      </w:r>
      <w:r>
        <w:rPr>
          <w:rFonts w:ascii="Times New Roman" w:hAnsi="Times New Roman"/>
        </w:rPr>
        <w:t>结果一览表             单位：dB(A)</w:t>
      </w:r>
    </w:p>
    <w:tbl>
      <w:tblPr>
        <w:tblStyle w:val="39"/>
        <w:tblW w:w="491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728"/>
        <w:gridCol w:w="1312"/>
        <w:gridCol w:w="1312"/>
        <w:gridCol w:w="1312"/>
        <w:gridCol w:w="1311"/>
        <w:gridCol w:w="1398"/>
      </w:tblGrid>
      <w:tr w14:paraId="06EE6F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9" w:type="dxa"/>
            <w:gridSpan w:val="2"/>
            <w:shd w:val="clear" w:color="auto" w:fill="auto"/>
            <w:vAlign w:val="center"/>
          </w:tcPr>
          <w:p w14:paraId="7FFED441">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预测点</w:t>
            </w:r>
          </w:p>
        </w:tc>
        <w:tc>
          <w:tcPr>
            <w:tcW w:w="1312" w:type="dxa"/>
            <w:shd w:val="clear" w:color="auto" w:fill="auto"/>
            <w:vAlign w:val="center"/>
          </w:tcPr>
          <w:p w14:paraId="38CE0CA1">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东厂界</w:t>
            </w:r>
          </w:p>
        </w:tc>
        <w:tc>
          <w:tcPr>
            <w:tcW w:w="1312" w:type="dxa"/>
            <w:shd w:val="clear" w:color="auto" w:fill="auto"/>
            <w:vAlign w:val="center"/>
          </w:tcPr>
          <w:p w14:paraId="3F1E9563">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南厂界</w:t>
            </w:r>
          </w:p>
        </w:tc>
        <w:tc>
          <w:tcPr>
            <w:tcW w:w="1312" w:type="dxa"/>
            <w:shd w:val="clear" w:color="auto" w:fill="auto"/>
            <w:vAlign w:val="center"/>
          </w:tcPr>
          <w:p w14:paraId="40445C48">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西厂界</w:t>
            </w:r>
          </w:p>
        </w:tc>
        <w:tc>
          <w:tcPr>
            <w:tcW w:w="1311" w:type="dxa"/>
            <w:shd w:val="clear" w:color="auto" w:fill="auto"/>
            <w:vAlign w:val="center"/>
          </w:tcPr>
          <w:p w14:paraId="686A6B65">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北厂界</w:t>
            </w:r>
          </w:p>
        </w:tc>
        <w:tc>
          <w:tcPr>
            <w:tcW w:w="1398" w:type="dxa"/>
            <w:vAlign w:val="center"/>
          </w:tcPr>
          <w:p w14:paraId="35D8FC52">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评价标准</w:t>
            </w:r>
          </w:p>
        </w:tc>
      </w:tr>
      <w:tr w14:paraId="6AB7CA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9" w:type="dxa"/>
            <w:gridSpan w:val="2"/>
            <w:shd w:val="clear" w:color="auto" w:fill="auto"/>
            <w:vAlign w:val="center"/>
          </w:tcPr>
          <w:p w14:paraId="089D154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贡献值</w:t>
            </w:r>
          </w:p>
        </w:tc>
        <w:tc>
          <w:tcPr>
            <w:tcW w:w="1312" w:type="dxa"/>
            <w:shd w:val="clear" w:color="auto" w:fill="auto"/>
            <w:vAlign w:val="center"/>
          </w:tcPr>
          <w:p w14:paraId="7FBF1FF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49.9</w:t>
            </w:r>
          </w:p>
        </w:tc>
        <w:tc>
          <w:tcPr>
            <w:tcW w:w="1312" w:type="dxa"/>
            <w:shd w:val="clear" w:color="auto" w:fill="auto"/>
            <w:vAlign w:val="center"/>
          </w:tcPr>
          <w:p w14:paraId="1E16860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49.8</w:t>
            </w:r>
          </w:p>
        </w:tc>
        <w:tc>
          <w:tcPr>
            <w:tcW w:w="1312" w:type="dxa"/>
            <w:shd w:val="clear" w:color="auto" w:fill="auto"/>
            <w:vAlign w:val="center"/>
          </w:tcPr>
          <w:p w14:paraId="6B5221F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51.2</w:t>
            </w:r>
          </w:p>
        </w:tc>
        <w:tc>
          <w:tcPr>
            <w:tcW w:w="1311" w:type="dxa"/>
            <w:shd w:val="clear" w:color="auto" w:fill="auto"/>
            <w:vAlign w:val="center"/>
          </w:tcPr>
          <w:p w14:paraId="6EA2D56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50.5</w:t>
            </w:r>
          </w:p>
        </w:tc>
        <w:tc>
          <w:tcPr>
            <w:tcW w:w="1398" w:type="dxa"/>
            <w:vMerge w:val="restart"/>
            <w:vAlign w:val="center"/>
          </w:tcPr>
          <w:p w14:paraId="0819B0FE">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《工业企业厂界环境噪声排放标准》（GB12348-2008）3类标准：昼间65dB(A)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夜间55dB(A)</w:t>
            </w:r>
          </w:p>
        </w:tc>
      </w:tr>
      <w:tr w14:paraId="10C6FA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shd w:val="clear" w:color="auto" w:fill="auto"/>
            <w:vAlign w:val="center"/>
          </w:tcPr>
          <w:p w14:paraId="5BA1BB8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现状值</w:t>
            </w:r>
          </w:p>
        </w:tc>
        <w:tc>
          <w:tcPr>
            <w:tcW w:w="728" w:type="dxa"/>
            <w:vMerge w:val="restart"/>
            <w:shd w:val="clear" w:color="auto" w:fill="auto"/>
            <w:vAlign w:val="center"/>
          </w:tcPr>
          <w:p w14:paraId="794D09E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312" w:type="dxa"/>
            <w:shd w:val="clear" w:color="auto" w:fill="auto"/>
            <w:vAlign w:val="center"/>
          </w:tcPr>
          <w:p w14:paraId="3FEE46A2">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1312" w:type="dxa"/>
            <w:shd w:val="clear" w:color="auto" w:fill="auto"/>
            <w:vAlign w:val="center"/>
          </w:tcPr>
          <w:p w14:paraId="6CB649C8">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1312" w:type="dxa"/>
            <w:shd w:val="clear" w:color="auto" w:fill="auto"/>
            <w:vAlign w:val="center"/>
          </w:tcPr>
          <w:p w14:paraId="0086782F">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1311" w:type="dxa"/>
            <w:shd w:val="clear" w:color="auto" w:fill="auto"/>
            <w:vAlign w:val="center"/>
          </w:tcPr>
          <w:p w14:paraId="28196C7F">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1398" w:type="dxa"/>
            <w:vMerge w:val="continue"/>
            <w:vAlign w:val="center"/>
          </w:tcPr>
          <w:p w14:paraId="54D2122E">
            <w:pPr>
              <w:spacing w:line="240" w:lineRule="auto"/>
              <w:ind w:firstLine="0" w:firstLineChars="0"/>
              <w:jc w:val="center"/>
              <w:rPr>
                <w:color w:val="000000" w:themeColor="text1"/>
                <w:sz w:val="21"/>
                <w:szCs w:val="21"/>
                <w14:textFill>
                  <w14:solidFill>
                    <w14:schemeClr w14:val="tx1"/>
                  </w14:solidFill>
                </w14:textFill>
              </w:rPr>
            </w:pPr>
          </w:p>
        </w:tc>
      </w:tr>
      <w:tr w14:paraId="6F11B9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shd w:val="clear" w:color="auto" w:fill="auto"/>
            <w:vAlign w:val="center"/>
          </w:tcPr>
          <w:p w14:paraId="60EC895F">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预测值</w:t>
            </w:r>
          </w:p>
        </w:tc>
        <w:tc>
          <w:tcPr>
            <w:tcW w:w="728" w:type="dxa"/>
            <w:vMerge w:val="continue"/>
            <w:shd w:val="clear" w:color="auto" w:fill="auto"/>
            <w:vAlign w:val="center"/>
          </w:tcPr>
          <w:p w14:paraId="4770FB2A">
            <w:pPr>
              <w:spacing w:line="240" w:lineRule="auto"/>
              <w:ind w:firstLine="0" w:firstLineChars="0"/>
              <w:jc w:val="center"/>
              <w:rPr>
                <w:color w:val="000000" w:themeColor="text1"/>
                <w:sz w:val="21"/>
                <w:szCs w:val="21"/>
                <w14:textFill>
                  <w14:solidFill>
                    <w14:schemeClr w14:val="tx1"/>
                  </w14:solidFill>
                </w14:textFill>
              </w:rPr>
            </w:pPr>
          </w:p>
        </w:tc>
        <w:tc>
          <w:tcPr>
            <w:tcW w:w="1312" w:type="dxa"/>
            <w:shd w:val="clear" w:color="auto" w:fill="auto"/>
            <w:vAlign w:val="center"/>
          </w:tcPr>
          <w:p w14:paraId="33949A98">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54.08</w:t>
            </w:r>
          </w:p>
        </w:tc>
        <w:tc>
          <w:tcPr>
            <w:tcW w:w="1312" w:type="dxa"/>
            <w:shd w:val="clear" w:color="auto" w:fill="auto"/>
            <w:vAlign w:val="center"/>
          </w:tcPr>
          <w:p w14:paraId="4D37C9E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54.05</w:t>
            </w:r>
          </w:p>
        </w:tc>
        <w:tc>
          <w:tcPr>
            <w:tcW w:w="1312" w:type="dxa"/>
            <w:shd w:val="clear" w:color="auto" w:fill="auto"/>
            <w:vAlign w:val="center"/>
          </w:tcPr>
          <w:p w14:paraId="7B27605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54.63</w:t>
            </w:r>
          </w:p>
        </w:tc>
        <w:tc>
          <w:tcPr>
            <w:tcW w:w="1311" w:type="dxa"/>
            <w:shd w:val="clear" w:color="auto" w:fill="auto"/>
            <w:vAlign w:val="center"/>
          </w:tcPr>
          <w:p w14:paraId="7F59C3D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54.32</w:t>
            </w:r>
          </w:p>
        </w:tc>
        <w:tc>
          <w:tcPr>
            <w:tcW w:w="1398" w:type="dxa"/>
            <w:vMerge w:val="continue"/>
            <w:vAlign w:val="center"/>
          </w:tcPr>
          <w:p w14:paraId="706BD691">
            <w:pPr>
              <w:spacing w:line="240" w:lineRule="auto"/>
              <w:ind w:firstLine="0" w:firstLineChars="0"/>
              <w:jc w:val="center"/>
              <w:rPr>
                <w:color w:val="000000" w:themeColor="text1"/>
                <w:sz w:val="21"/>
                <w:szCs w:val="21"/>
                <w14:textFill>
                  <w14:solidFill>
                    <w14:schemeClr w14:val="tx1"/>
                  </w14:solidFill>
                </w14:textFill>
              </w:rPr>
            </w:pPr>
          </w:p>
        </w:tc>
      </w:tr>
      <w:tr w14:paraId="54E02E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shd w:val="clear" w:color="auto" w:fill="auto"/>
            <w:vAlign w:val="center"/>
          </w:tcPr>
          <w:p w14:paraId="1F98B050">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现状值</w:t>
            </w:r>
          </w:p>
        </w:tc>
        <w:tc>
          <w:tcPr>
            <w:tcW w:w="728" w:type="dxa"/>
            <w:vMerge w:val="restart"/>
            <w:shd w:val="clear" w:color="auto" w:fill="auto"/>
            <w:vAlign w:val="center"/>
          </w:tcPr>
          <w:p w14:paraId="6DDDB487">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夜间</w:t>
            </w:r>
          </w:p>
        </w:tc>
        <w:tc>
          <w:tcPr>
            <w:tcW w:w="1312" w:type="dxa"/>
            <w:shd w:val="clear" w:color="auto" w:fill="auto"/>
            <w:vAlign w:val="center"/>
          </w:tcPr>
          <w:p w14:paraId="1B838F99">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1312" w:type="dxa"/>
            <w:shd w:val="clear" w:color="auto" w:fill="auto"/>
            <w:vAlign w:val="center"/>
          </w:tcPr>
          <w:p w14:paraId="0358C1A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1312" w:type="dxa"/>
            <w:shd w:val="clear" w:color="auto" w:fill="auto"/>
            <w:vAlign w:val="center"/>
          </w:tcPr>
          <w:p w14:paraId="1CC8639B">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1311" w:type="dxa"/>
            <w:shd w:val="clear" w:color="auto" w:fill="auto"/>
            <w:vAlign w:val="center"/>
          </w:tcPr>
          <w:p w14:paraId="76EBAA9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1398" w:type="dxa"/>
            <w:vMerge w:val="continue"/>
            <w:vAlign w:val="center"/>
          </w:tcPr>
          <w:p w14:paraId="71C3830D">
            <w:pPr>
              <w:spacing w:line="240" w:lineRule="auto"/>
              <w:ind w:firstLine="0" w:firstLineChars="0"/>
              <w:jc w:val="center"/>
              <w:rPr>
                <w:color w:val="000000" w:themeColor="text1"/>
                <w:sz w:val="21"/>
                <w:szCs w:val="21"/>
                <w14:textFill>
                  <w14:solidFill>
                    <w14:schemeClr w14:val="tx1"/>
                  </w14:solidFill>
                </w14:textFill>
              </w:rPr>
            </w:pPr>
          </w:p>
        </w:tc>
      </w:tr>
      <w:tr w14:paraId="1D5E39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1" w:type="dxa"/>
            <w:shd w:val="clear" w:color="auto" w:fill="auto"/>
            <w:vAlign w:val="center"/>
          </w:tcPr>
          <w:p w14:paraId="55742B3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预测值</w:t>
            </w:r>
          </w:p>
        </w:tc>
        <w:tc>
          <w:tcPr>
            <w:tcW w:w="728" w:type="dxa"/>
            <w:vMerge w:val="continue"/>
            <w:shd w:val="clear" w:color="auto" w:fill="auto"/>
            <w:vAlign w:val="center"/>
          </w:tcPr>
          <w:p w14:paraId="5738F4BB">
            <w:pPr>
              <w:spacing w:line="240" w:lineRule="auto"/>
              <w:ind w:firstLine="0" w:firstLineChars="0"/>
              <w:jc w:val="center"/>
              <w:rPr>
                <w:color w:val="000000" w:themeColor="text1"/>
                <w:sz w:val="21"/>
                <w:szCs w:val="21"/>
                <w14:textFill>
                  <w14:solidFill>
                    <w14:schemeClr w14:val="tx1"/>
                  </w14:solidFill>
                </w14:textFill>
              </w:rPr>
            </w:pPr>
          </w:p>
        </w:tc>
        <w:tc>
          <w:tcPr>
            <w:tcW w:w="1312" w:type="dxa"/>
            <w:shd w:val="clear" w:color="auto" w:fill="auto"/>
            <w:vAlign w:val="center"/>
          </w:tcPr>
          <w:p w14:paraId="2C43FCDC">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50.43</w:t>
            </w:r>
          </w:p>
        </w:tc>
        <w:tc>
          <w:tcPr>
            <w:tcW w:w="1312" w:type="dxa"/>
            <w:shd w:val="clear" w:color="auto" w:fill="auto"/>
            <w:vAlign w:val="center"/>
          </w:tcPr>
          <w:p w14:paraId="189B07D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50.34</w:t>
            </w:r>
          </w:p>
        </w:tc>
        <w:tc>
          <w:tcPr>
            <w:tcW w:w="1312" w:type="dxa"/>
            <w:shd w:val="clear" w:color="auto" w:fill="auto"/>
            <w:vAlign w:val="center"/>
          </w:tcPr>
          <w:p w14:paraId="05B87F2A">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51.52</w:t>
            </w:r>
          </w:p>
        </w:tc>
        <w:tc>
          <w:tcPr>
            <w:tcW w:w="1311" w:type="dxa"/>
            <w:shd w:val="clear" w:color="auto" w:fill="auto"/>
            <w:vAlign w:val="center"/>
          </w:tcPr>
          <w:p w14:paraId="43303428">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50.87</w:t>
            </w:r>
          </w:p>
        </w:tc>
        <w:tc>
          <w:tcPr>
            <w:tcW w:w="1398" w:type="dxa"/>
            <w:vMerge w:val="continue"/>
            <w:vAlign w:val="center"/>
          </w:tcPr>
          <w:p w14:paraId="37947D07">
            <w:pPr>
              <w:spacing w:line="240" w:lineRule="auto"/>
              <w:ind w:firstLine="0" w:firstLineChars="0"/>
              <w:jc w:val="center"/>
              <w:rPr>
                <w:color w:val="000000" w:themeColor="text1"/>
                <w:sz w:val="21"/>
                <w:szCs w:val="21"/>
                <w14:textFill>
                  <w14:solidFill>
                    <w14:schemeClr w14:val="tx1"/>
                  </w14:solidFill>
                </w14:textFill>
              </w:rPr>
            </w:pPr>
          </w:p>
        </w:tc>
      </w:tr>
      <w:tr w14:paraId="102549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39" w:type="dxa"/>
            <w:gridSpan w:val="2"/>
            <w:shd w:val="clear" w:color="auto" w:fill="auto"/>
            <w:vAlign w:val="center"/>
          </w:tcPr>
          <w:p w14:paraId="2C32C29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达标情况</w:t>
            </w:r>
          </w:p>
        </w:tc>
        <w:tc>
          <w:tcPr>
            <w:tcW w:w="1312" w:type="dxa"/>
            <w:shd w:val="clear" w:color="auto" w:fill="auto"/>
            <w:vAlign w:val="center"/>
          </w:tcPr>
          <w:p w14:paraId="00BE8BB2">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c>
          <w:tcPr>
            <w:tcW w:w="1312" w:type="dxa"/>
            <w:shd w:val="clear" w:color="auto" w:fill="auto"/>
            <w:vAlign w:val="center"/>
          </w:tcPr>
          <w:p w14:paraId="2C13479D">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c>
          <w:tcPr>
            <w:tcW w:w="1312" w:type="dxa"/>
            <w:shd w:val="clear" w:color="auto" w:fill="auto"/>
            <w:vAlign w:val="center"/>
          </w:tcPr>
          <w:p w14:paraId="62535D72">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c>
          <w:tcPr>
            <w:tcW w:w="1311" w:type="dxa"/>
            <w:shd w:val="clear" w:color="auto" w:fill="auto"/>
            <w:vAlign w:val="center"/>
          </w:tcPr>
          <w:p w14:paraId="1A3BF292">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c>
          <w:tcPr>
            <w:tcW w:w="1398" w:type="dxa"/>
            <w:vMerge w:val="continue"/>
            <w:vAlign w:val="center"/>
          </w:tcPr>
          <w:p w14:paraId="742C6128">
            <w:pPr>
              <w:spacing w:line="240" w:lineRule="auto"/>
              <w:ind w:firstLine="0" w:firstLineChars="0"/>
              <w:jc w:val="center"/>
              <w:rPr>
                <w:color w:val="000000" w:themeColor="text1"/>
                <w:sz w:val="21"/>
                <w:szCs w:val="21"/>
                <w14:textFill>
                  <w14:solidFill>
                    <w14:schemeClr w14:val="tx1"/>
                  </w14:solidFill>
                </w14:textFill>
              </w:rPr>
            </w:pPr>
          </w:p>
        </w:tc>
      </w:tr>
    </w:tbl>
    <w:p w14:paraId="0647B916">
      <w:pPr>
        <w:pStyle w:val="75"/>
        <w:spacing w:line="520" w:lineRule="exact"/>
        <w:ind w:firstLine="480" w:firstLineChars="200"/>
        <w:jc w:val="left"/>
        <w:rPr>
          <w:rFonts w:cs="宋体"/>
          <w:sz w:val="24"/>
          <w:szCs w:val="20"/>
        </w:rPr>
      </w:pPr>
      <w:r>
        <w:rPr>
          <w:rFonts w:hint="eastAsia" w:cs="宋体"/>
          <w:sz w:val="24"/>
          <w:szCs w:val="20"/>
        </w:rPr>
        <w:t>由上表可知：本项目生产期间高噪声设备经基础减振、厂房隔声并</w:t>
      </w:r>
      <w:r>
        <w:rPr>
          <w:rFonts w:hint="eastAsia" w:cs="宋体"/>
          <w:sz w:val="24"/>
          <w:szCs w:val="20"/>
          <w:lang w:val="en-US" w:eastAsia="zh-CN"/>
        </w:rPr>
        <w:t>与背景值</w:t>
      </w:r>
      <w:r>
        <w:rPr>
          <w:rFonts w:hint="eastAsia" w:cs="宋体"/>
          <w:sz w:val="24"/>
          <w:szCs w:val="20"/>
        </w:rPr>
        <w:t>叠加后，项目厂区四周噪声贡献值能够满足《工业企业厂界环境噪声排放标准》（GB12348-2008）3类昼间65dB(A)、夜间55dB(A)标准的要求，项目周边200m范围内无敏感点，不会出现噪声扰民现象，该项目建设对区域声环境影响较小。</w:t>
      </w:r>
    </w:p>
    <w:p w14:paraId="2F7C799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lang w:val="en-US" w:eastAsia="zh-CN"/>
        </w:rPr>
      </w:pPr>
      <w:r>
        <w:rPr>
          <w:rFonts w:hint="eastAsia" w:ascii="Times New Roman" w:hAnsi="Times New Roman"/>
          <w:lang w:val="en-US" w:eastAsia="zh-CN"/>
        </w:rPr>
        <w:t>5.4.8声环境影响评价自查表</w:t>
      </w:r>
    </w:p>
    <w:p w14:paraId="7573B6C9">
      <w:pPr>
        <w:keepNext w:val="0"/>
        <w:keepLines w:val="0"/>
        <w:pageBreakBefore w:val="0"/>
        <w:widowControl/>
        <w:kinsoku/>
        <w:wordWrap/>
        <w:overflowPunct/>
        <w:topLinePunct/>
        <w:autoSpaceDN/>
        <w:bidi w:val="0"/>
        <w:adjustRightInd w:val="0"/>
        <w:snapToGrid w:val="0"/>
        <w:ind w:firstLine="480"/>
        <w:textAlignment w:val="auto"/>
        <w:rPr>
          <w:rFonts w:hint="default" w:ascii="Times New Roman" w:hAnsi="Times New Roman" w:eastAsia="宋体" w:cs="Times New Roman"/>
          <w:b w:val="0"/>
          <w:kern w:val="0"/>
          <w:sz w:val="24"/>
          <w:szCs w:val="20"/>
          <w:highlight w:val="none"/>
          <w:u w:val="none"/>
          <w:lang w:val="en-US" w:eastAsia="zh-CN" w:bidi="ar-SA"/>
        </w:rPr>
      </w:pPr>
      <w:r>
        <w:rPr>
          <w:rFonts w:hint="default" w:ascii="Times New Roman" w:hAnsi="Times New Roman" w:eastAsia="宋体" w:cs="Times New Roman"/>
          <w:b w:val="0"/>
          <w:kern w:val="0"/>
          <w:sz w:val="24"/>
          <w:szCs w:val="20"/>
          <w:highlight w:val="none"/>
          <w:u w:val="none"/>
          <w:lang w:val="en-US" w:eastAsia="zh-CN" w:bidi="ar-SA"/>
        </w:rPr>
        <w:t>声环境影响评价自查表见</w:t>
      </w:r>
      <w:r>
        <w:rPr>
          <w:rFonts w:hint="default" w:ascii="Times New Roman" w:hAnsi="Times New Roman" w:cs="Times New Roman"/>
          <w:b w:val="0"/>
          <w:kern w:val="0"/>
          <w:sz w:val="24"/>
          <w:szCs w:val="20"/>
          <w:highlight w:val="none"/>
          <w:u w:val="none"/>
          <w:lang w:val="en-US" w:eastAsia="zh-CN" w:bidi="ar-SA"/>
        </w:rPr>
        <w:t>下</w:t>
      </w:r>
      <w:r>
        <w:rPr>
          <w:rFonts w:hint="default" w:ascii="Times New Roman" w:hAnsi="Times New Roman" w:eastAsia="宋体" w:cs="Times New Roman"/>
          <w:b w:val="0"/>
          <w:kern w:val="0"/>
          <w:sz w:val="24"/>
          <w:szCs w:val="20"/>
          <w:highlight w:val="none"/>
          <w:u w:val="none"/>
          <w:lang w:val="en-US" w:eastAsia="zh-CN" w:bidi="ar-SA"/>
        </w:rPr>
        <w:t>表。</w:t>
      </w:r>
    </w:p>
    <w:p w14:paraId="39F3920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ascii="Times New Roman" w:hAnsi="Times New Roman"/>
        </w:rPr>
        <w:t>表</w:t>
      </w:r>
      <w:r>
        <w:rPr>
          <w:rFonts w:hint="eastAsia"/>
          <w:lang w:val="en-US" w:eastAsia="zh-CN"/>
        </w:rPr>
        <w:t>5.4-7</w:t>
      </w:r>
      <w:r>
        <w:rPr>
          <w:rFonts w:ascii="Times New Roman" w:hAnsi="Times New Roman"/>
        </w:rPr>
        <w:t xml:space="preserve">     </w:t>
      </w:r>
      <w:r>
        <w:rPr>
          <w:rFonts w:hint="eastAsia" w:ascii="Times New Roman" w:hAnsi="Times New Roman"/>
        </w:rPr>
        <w:t>本项目声环境影响评价自查表</w:t>
      </w:r>
    </w:p>
    <w:tbl>
      <w:tblPr>
        <w:tblStyle w:val="39"/>
        <w:tblW w:w="50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340"/>
        <w:gridCol w:w="1034"/>
        <w:gridCol w:w="521"/>
        <w:gridCol w:w="305"/>
        <w:gridCol w:w="215"/>
        <w:gridCol w:w="6"/>
        <w:gridCol w:w="104"/>
        <w:gridCol w:w="444"/>
        <w:gridCol w:w="444"/>
        <w:gridCol w:w="55"/>
        <w:gridCol w:w="628"/>
        <w:gridCol w:w="39"/>
        <w:gridCol w:w="362"/>
        <w:gridCol w:w="109"/>
        <w:gridCol w:w="411"/>
        <w:gridCol w:w="50"/>
        <w:gridCol w:w="224"/>
        <w:gridCol w:w="244"/>
        <w:gridCol w:w="1048"/>
      </w:tblGrid>
      <w:tr w14:paraId="058D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287" w:type="dxa"/>
            <w:gridSpan w:val="2"/>
            <w:noWrap w:val="0"/>
            <w:vAlign w:val="center"/>
          </w:tcPr>
          <w:p w14:paraId="2814712F">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b/>
                <w:bCs/>
                <w:kern w:val="2"/>
                <w:sz w:val="21"/>
                <w:szCs w:val="21"/>
              </w:rPr>
            </w:pPr>
            <w:r>
              <w:rPr>
                <w:rFonts w:hint="default" w:ascii="Times New Roman" w:hAnsi="Times New Roman" w:eastAsia="宋体" w:cs="Times New Roman"/>
                <w:b/>
                <w:bCs/>
                <w:kern w:val="2"/>
                <w:sz w:val="21"/>
                <w:szCs w:val="21"/>
              </w:rPr>
              <w:t>工作内容</w:t>
            </w:r>
          </w:p>
        </w:tc>
        <w:tc>
          <w:tcPr>
            <w:tcW w:w="6238" w:type="dxa"/>
            <w:gridSpan w:val="18"/>
            <w:noWrap w:val="0"/>
            <w:vAlign w:val="center"/>
          </w:tcPr>
          <w:p w14:paraId="3F631CB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b/>
                <w:bCs/>
                <w:kern w:val="2"/>
                <w:sz w:val="21"/>
                <w:szCs w:val="21"/>
              </w:rPr>
            </w:pPr>
            <w:r>
              <w:rPr>
                <w:rFonts w:hint="default" w:ascii="Times New Roman" w:hAnsi="Times New Roman" w:eastAsia="宋体" w:cs="Times New Roman"/>
                <w:b/>
                <w:bCs/>
                <w:kern w:val="2"/>
                <w:sz w:val="21"/>
                <w:szCs w:val="21"/>
              </w:rPr>
              <w:t>自查项目</w:t>
            </w:r>
          </w:p>
        </w:tc>
      </w:tr>
      <w:tr w14:paraId="0753C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restart"/>
            <w:noWrap w:val="0"/>
            <w:vAlign w:val="center"/>
          </w:tcPr>
          <w:p w14:paraId="77689A57">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评价等级与范围</w:t>
            </w:r>
          </w:p>
        </w:tc>
        <w:tc>
          <w:tcPr>
            <w:tcW w:w="1339" w:type="dxa"/>
            <w:noWrap w:val="0"/>
            <w:vAlign w:val="center"/>
          </w:tcPr>
          <w:p w14:paraId="4D600B78">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评价等级</w:t>
            </w:r>
          </w:p>
        </w:tc>
        <w:tc>
          <w:tcPr>
            <w:tcW w:w="6238" w:type="dxa"/>
            <w:gridSpan w:val="18"/>
            <w:noWrap w:val="0"/>
            <w:vAlign w:val="center"/>
          </w:tcPr>
          <w:p w14:paraId="1550C9E1">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一级</w:t>
            </w:r>
            <w:r>
              <w:rPr>
                <w:rFonts w:hint="default" w:ascii="Times New Roman" w:hAnsi="Times New Roman" w:cs="Times New Roman"/>
                <w:kern w:val="2"/>
                <w:sz w:val="21"/>
                <w:szCs w:val="21"/>
                <w:lang w:eastAsia="zh-CN"/>
              </w:rPr>
              <w:t>□</w:t>
            </w:r>
            <w:r>
              <w:rPr>
                <w:rFonts w:hint="default" w:ascii="Times New Roman" w:hAnsi="Times New Roman" w:eastAsia="宋体" w:cs="Times New Roman"/>
                <w:kern w:val="2"/>
                <w:sz w:val="21"/>
                <w:szCs w:val="21"/>
              </w:rPr>
              <w:t xml:space="preserve">           二级</w:t>
            </w:r>
            <w:r>
              <w:rPr>
                <w:rFonts w:hint="eastAsia" w:cs="Times New Roman"/>
                <w:kern w:val="2"/>
                <w:sz w:val="21"/>
                <w:szCs w:val="21"/>
                <w:lang w:eastAsia="zh-CN"/>
              </w:rPr>
              <w:t>□</w:t>
            </w:r>
            <w:r>
              <w:rPr>
                <w:rFonts w:hint="default" w:ascii="Times New Roman" w:hAnsi="Times New Roman" w:eastAsia="宋体" w:cs="Times New Roman"/>
                <w:kern w:val="2"/>
                <w:sz w:val="21"/>
                <w:szCs w:val="21"/>
              </w:rPr>
              <w:t xml:space="preserve">           三级</w:t>
            </w:r>
            <w:r>
              <w:rPr>
                <w:rFonts w:hint="default" w:ascii="Times New Roman" w:hAnsi="Times New Roman" w:eastAsia="宋体" w:cs="Times New Roman"/>
                <w:kern w:val="21"/>
                <w:sz w:val="21"/>
                <w:szCs w:val="21"/>
              </w:rPr>
              <w:sym w:font="Wingdings 2" w:char="0052"/>
            </w:r>
          </w:p>
        </w:tc>
      </w:tr>
      <w:tr w14:paraId="3D041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48" w:type="dxa"/>
            <w:vMerge w:val="continue"/>
            <w:noWrap w:val="0"/>
            <w:vAlign w:val="center"/>
          </w:tcPr>
          <w:p w14:paraId="598FF35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16D56CC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评价范围</w:t>
            </w:r>
          </w:p>
        </w:tc>
        <w:tc>
          <w:tcPr>
            <w:tcW w:w="6238" w:type="dxa"/>
            <w:gridSpan w:val="18"/>
            <w:noWrap w:val="0"/>
            <w:vAlign w:val="center"/>
          </w:tcPr>
          <w:p w14:paraId="5D57012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200m</w:t>
            </w:r>
            <w:r>
              <w:rPr>
                <w:rFonts w:hint="default" w:ascii="Times New Roman" w:hAnsi="Times New Roman" w:eastAsia="宋体" w:cs="Times New Roman"/>
                <w:kern w:val="21"/>
                <w:sz w:val="21"/>
                <w:szCs w:val="21"/>
              </w:rPr>
              <w:sym w:font="Wingdings 2" w:char="00A3"/>
            </w:r>
            <w:r>
              <w:rPr>
                <w:rFonts w:hint="default" w:ascii="Times New Roman" w:hAnsi="Times New Roman" w:eastAsia="宋体" w:cs="Times New Roman"/>
                <w:kern w:val="2"/>
                <w:sz w:val="21"/>
                <w:szCs w:val="21"/>
              </w:rPr>
              <w:t xml:space="preserve">         </w:t>
            </w:r>
            <w:r>
              <w:rPr>
                <w:rFonts w:hint="default" w:ascii="Times New Roman" w:hAnsi="Times New Roman" w:eastAsia="宋体" w:cs="Times New Roman"/>
                <w:kern w:val="2"/>
                <w:sz w:val="21"/>
                <w:szCs w:val="21"/>
                <w:lang w:val="en-US" w:eastAsia="zh-CN"/>
              </w:rPr>
              <w:t xml:space="preserve">  </w:t>
            </w:r>
            <w:r>
              <w:rPr>
                <w:rFonts w:hint="default" w:ascii="Times New Roman" w:hAnsi="Times New Roman" w:eastAsia="宋体" w:cs="Times New Roman"/>
                <w:kern w:val="2"/>
                <w:sz w:val="21"/>
                <w:szCs w:val="21"/>
              </w:rPr>
              <w:t>大于200m</w:t>
            </w:r>
            <w:r>
              <w:rPr>
                <w:rFonts w:hint="default" w:ascii="Times New Roman" w:hAnsi="Times New Roman" w:cs="Times New Roman"/>
                <w:kern w:val="2"/>
                <w:sz w:val="21"/>
                <w:szCs w:val="21"/>
                <w:lang w:eastAsia="zh-CN"/>
              </w:rPr>
              <w:t>□</w:t>
            </w:r>
            <w:r>
              <w:rPr>
                <w:rFonts w:hint="default" w:ascii="Times New Roman" w:hAnsi="Times New Roman" w:eastAsia="宋体" w:cs="Times New Roman"/>
                <w:kern w:val="2"/>
                <w:sz w:val="21"/>
                <w:szCs w:val="21"/>
              </w:rPr>
              <w:t xml:space="preserve">           小于200m</w:t>
            </w:r>
            <w:r>
              <w:rPr>
                <w:rFonts w:hint="default" w:ascii="Times New Roman" w:hAnsi="Times New Roman" w:cs="Times New Roman"/>
                <w:kern w:val="2"/>
                <w:sz w:val="21"/>
                <w:szCs w:val="21"/>
                <w:lang w:eastAsia="zh-CN"/>
              </w:rPr>
              <w:t>☑</w:t>
            </w:r>
          </w:p>
        </w:tc>
      </w:tr>
      <w:tr w14:paraId="1555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948" w:type="dxa"/>
            <w:noWrap w:val="0"/>
            <w:vAlign w:val="center"/>
          </w:tcPr>
          <w:p w14:paraId="01D6B4DC">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评价因子</w:t>
            </w:r>
          </w:p>
        </w:tc>
        <w:tc>
          <w:tcPr>
            <w:tcW w:w="1339" w:type="dxa"/>
            <w:noWrap w:val="0"/>
            <w:vAlign w:val="center"/>
          </w:tcPr>
          <w:p w14:paraId="5ADCBF8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评价因子</w:t>
            </w:r>
          </w:p>
        </w:tc>
        <w:tc>
          <w:tcPr>
            <w:tcW w:w="2182" w:type="dxa"/>
            <w:gridSpan w:val="6"/>
            <w:noWrap w:val="0"/>
            <w:vAlign w:val="center"/>
          </w:tcPr>
          <w:p w14:paraId="6B164D4C">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等效连续A声级</w:t>
            </w:r>
            <w:r>
              <w:rPr>
                <w:rFonts w:hint="default" w:ascii="Times New Roman" w:hAnsi="Times New Roman" w:eastAsia="宋体" w:cs="Times New Roman"/>
                <w:kern w:val="21"/>
                <w:sz w:val="21"/>
                <w:szCs w:val="21"/>
              </w:rPr>
              <w:sym w:font="Wingdings 2" w:char="0052"/>
            </w:r>
          </w:p>
        </w:tc>
        <w:tc>
          <w:tcPr>
            <w:tcW w:w="1609" w:type="dxa"/>
            <w:gridSpan w:val="5"/>
            <w:noWrap w:val="0"/>
            <w:vAlign w:val="center"/>
          </w:tcPr>
          <w:p w14:paraId="1DF54978">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最大A声级</w:t>
            </w:r>
            <w:r>
              <w:rPr>
                <w:rFonts w:hint="default" w:ascii="Times New Roman" w:hAnsi="Times New Roman" w:cs="Times New Roman"/>
                <w:kern w:val="2"/>
                <w:sz w:val="21"/>
                <w:szCs w:val="21"/>
                <w:lang w:eastAsia="zh-CN"/>
              </w:rPr>
              <w:t>□</w:t>
            </w:r>
          </w:p>
        </w:tc>
        <w:tc>
          <w:tcPr>
            <w:tcW w:w="2447" w:type="dxa"/>
            <w:gridSpan w:val="7"/>
            <w:noWrap w:val="0"/>
            <w:vAlign w:val="center"/>
          </w:tcPr>
          <w:p w14:paraId="4D2E4D9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计权等效连续感觉噪声级</w:t>
            </w:r>
            <w:r>
              <w:rPr>
                <w:rFonts w:hint="default" w:ascii="Times New Roman" w:hAnsi="Times New Roman" w:cs="Times New Roman"/>
                <w:kern w:val="2"/>
                <w:sz w:val="21"/>
                <w:szCs w:val="21"/>
                <w:lang w:eastAsia="zh-CN"/>
              </w:rPr>
              <w:t>□</w:t>
            </w:r>
          </w:p>
        </w:tc>
      </w:tr>
      <w:tr w14:paraId="73786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948" w:type="dxa"/>
            <w:noWrap w:val="0"/>
            <w:vAlign w:val="center"/>
          </w:tcPr>
          <w:p w14:paraId="59019700">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评价标准</w:t>
            </w:r>
          </w:p>
        </w:tc>
        <w:tc>
          <w:tcPr>
            <w:tcW w:w="1339" w:type="dxa"/>
            <w:noWrap w:val="0"/>
            <w:vAlign w:val="center"/>
          </w:tcPr>
          <w:p w14:paraId="2D1F719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评价标准</w:t>
            </w:r>
          </w:p>
        </w:tc>
        <w:tc>
          <w:tcPr>
            <w:tcW w:w="2182" w:type="dxa"/>
            <w:gridSpan w:val="6"/>
            <w:noWrap w:val="0"/>
            <w:vAlign w:val="center"/>
          </w:tcPr>
          <w:p w14:paraId="30FB6033">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国家标准</w:t>
            </w:r>
            <w:r>
              <w:rPr>
                <w:rFonts w:hint="default" w:ascii="Times New Roman" w:hAnsi="Times New Roman" w:eastAsia="宋体" w:cs="Times New Roman"/>
                <w:kern w:val="21"/>
                <w:sz w:val="21"/>
                <w:szCs w:val="21"/>
              </w:rPr>
              <w:sym w:font="Wingdings 2" w:char="0052"/>
            </w:r>
          </w:p>
        </w:tc>
        <w:tc>
          <w:tcPr>
            <w:tcW w:w="1609" w:type="dxa"/>
            <w:gridSpan w:val="5"/>
            <w:noWrap w:val="0"/>
            <w:vAlign w:val="center"/>
          </w:tcPr>
          <w:p w14:paraId="5E45F7D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地方标准□</w:t>
            </w:r>
          </w:p>
        </w:tc>
        <w:tc>
          <w:tcPr>
            <w:tcW w:w="1156" w:type="dxa"/>
            <w:gridSpan w:val="5"/>
            <w:noWrap w:val="0"/>
            <w:vAlign w:val="center"/>
          </w:tcPr>
          <w:p w14:paraId="577D383A">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291" w:type="dxa"/>
            <w:gridSpan w:val="2"/>
            <w:noWrap w:val="0"/>
            <w:vAlign w:val="center"/>
          </w:tcPr>
          <w:p w14:paraId="54FFF12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国外标准□</w:t>
            </w:r>
          </w:p>
        </w:tc>
      </w:tr>
      <w:tr w14:paraId="2ED7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restart"/>
            <w:noWrap w:val="0"/>
            <w:vAlign w:val="center"/>
          </w:tcPr>
          <w:p w14:paraId="0C7F1C47">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现状评价</w:t>
            </w:r>
          </w:p>
        </w:tc>
        <w:tc>
          <w:tcPr>
            <w:tcW w:w="1339" w:type="dxa"/>
            <w:noWrap w:val="0"/>
            <w:vAlign w:val="center"/>
          </w:tcPr>
          <w:p w14:paraId="0483AA8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环境功能区</w:t>
            </w:r>
          </w:p>
        </w:tc>
        <w:tc>
          <w:tcPr>
            <w:tcW w:w="1040" w:type="dxa"/>
            <w:noWrap w:val="0"/>
            <w:vAlign w:val="center"/>
          </w:tcPr>
          <w:p w14:paraId="7C72B9F3">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0类区□</w:t>
            </w:r>
          </w:p>
        </w:tc>
        <w:tc>
          <w:tcPr>
            <w:tcW w:w="1042" w:type="dxa"/>
            <w:gridSpan w:val="3"/>
            <w:noWrap w:val="0"/>
            <w:vAlign w:val="center"/>
          </w:tcPr>
          <w:p w14:paraId="43BBC5B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1类区□</w:t>
            </w:r>
          </w:p>
        </w:tc>
        <w:tc>
          <w:tcPr>
            <w:tcW w:w="1043" w:type="dxa"/>
            <w:gridSpan w:val="5"/>
            <w:noWrap w:val="0"/>
            <w:vAlign w:val="center"/>
          </w:tcPr>
          <w:p w14:paraId="502D725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2类区</w:t>
            </w:r>
            <w:r>
              <w:rPr>
                <w:rFonts w:hint="eastAsia" w:cs="Times New Roman"/>
                <w:kern w:val="2"/>
                <w:sz w:val="21"/>
                <w:szCs w:val="21"/>
                <w:lang w:eastAsia="zh-CN"/>
              </w:rPr>
              <w:t>□</w:t>
            </w:r>
          </w:p>
        </w:tc>
        <w:tc>
          <w:tcPr>
            <w:tcW w:w="1042" w:type="dxa"/>
            <w:gridSpan w:val="3"/>
            <w:noWrap w:val="0"/>
            <w:vAlign w:val="center"/>
          </w:tcPr>
          <w:p w14:paraId="408EF34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3类区</w:t>
            </w:r>
            <w:r>
              <w:rPr>
                <w:rFonts w:hint="default" w:ascii="Times New Roman" w:hAnsi="Times New Roman" w:eastAsia="宋体" w:cs="Times New Roman"/>
                <w:kern w:val="21"/>
                <w:sz w:val="21"/>
                <w:szCs w:val="21"/>
              </w:rPr>
              <w:sym w:font="Wingdings 2" w:char="0052"/>
            </w:r>
          </w:p>
        </w:tc>
        <w:tc>
          <w:tcPr>
            <w:tcW w:w="1040" w:type="dxa"/>
            <w:gridSpan w:val="5"/>
            <w:noWrap w:val="0"/>
            <w:vAlign w:val="center"/>
          </w:tcPr>
          <w:p w14:paraId="00FF37DD">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4a类区□</w:t>
            </w:r>
          </w:p>
        </w:tc>
        <w:tc>
          <w:tcPr>
            <w:tcW w:w="1031" w:type="dxa"/>
            <w:noWrap w:val="0"/>
            <w:vAlign w:val="center"/>
          </w:tcPr>
          <w:p w14:paraId="519AFAAA">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4b类区□</w:t>
            </w:r>
          </w:p>
        </w:tc>
      </w:tr>
      <w:tr w14:paraId="1803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continue"/>
            <w:noWrap w:val="0"/>
            <w:vAlign w:val="center"/>
          </w:tcPr>
          <w:p w14:paraId="4603C823">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7192C1B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评价年度</w:t>
            </w:r>
          </w:p>
        </w:tc>
        <w:tc>
          <w:tcPr>
            <w:tcW w:w="1561" w:type="dxa"/>
            <w:gridSpan w:val="2"/>
            <w:noWrap w:val="0"/>
            <w:vAlign w:val="center"/>
          </w:tcPr>
          <w:p w14:paraId="50A3D762">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初期□</w:t>
            </w:r>
          </w:p>
        </w:tc>
        <w:tc>
          <w:tcPr>
            <w:tcW w:w="1564" w:type="dxa"/>
            <w:gridSpan w:val="7"/>
            <w:noWrap w:val="0"/>
            <w:vAlign w:val="center"/>
          </w:tcPr>
          <w:p w14:paraId="37C410C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近期□</w:t>
            </w:r>
          </w:p>
        </w:tc>
        <w:tc>
          <w:tcPr>
            <w:tcW w:w="1563" w:type="dxa"/>
            <w:gridSpan w:val="5"/>
            <w:noWrap w:val="0"/>
            <w:vAlign w:val="center"/>
          </w:tcPr>
          <w:p w14:paraId="0F97E7F2">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中期□</w:t>
            </w:r>
          </w:p>
        </w:tc>
        <w:tc>
          <w:tcPr>
            <w:tcW w:w="1550" w:type="dxa"/>
            <w:gridSpan w:val="4"/>
            <w:noWrap w:val="0"/>
            <w:vAlign w:val="center"/>
          </w:tcPr>
          <w:p w14:paraId="166DA03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远期□</w:t>
            </w:r>
          </w:p>
        </w:tc>
      </w:tr>
      <w:tr w14:paraId="3AA2C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48" w:type="dxa"/>
            <w:vMerge w:val="continue"/>
            <w:noWrap w:val="0"/>
            <w:vAlign w:val="center"/>
          </w:tcPr>
          <w:p w14:paraId="44FA6608">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7A753E7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现状调查方法</w:t>
            </w:r>
          </w:p>
        </w:tc>
        <w:tc>
          <w:tcPr>
            <w:tcW w:w="2637" w:type="dxa"/>
            <w:gridSpan w:val="7"/>
            <w:noWrap w:val="0"/>
            <w:vAlign w:val="center"/>
          </w:tcPr>
          <w:p w14:paraId="6024466C">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现场实测法</w:t>
            </w:r>
            <w:r>
              <w:rPr>
                <w:rFonts w:hint="default" w:ascii="Times New Roman" w:hAnsi="Times New Roman" w:eastAsia="宋体" w:cs="Times New Roman"/>
                <w:kern w:val="21"/>
                <w:sz w:val="21"/>
                <w:szCs w:val="21"/>
              </w:rPr>
              <w:sym w:font="Wingdings 2" w:char="0052"/>
            </w:r>
          </w:p>
        </w:tc>
        <w:tc>
          <w:tcPr>
            <w:tcW w:w="2101" w:type="dxa"/>
            <w:gridSpan w:val="8"/>
            <w:noWrap w:val="0"/>
            <w:vAlign w:val="center"/>
          </w:tcPr>
          <w:p w14:paraId="5F18A7B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现场实测加模型计算法□</w:t>
            </w:r>
          </w:p>
        </w:tc>
        <w:tc>
          <w:tcPr>
            <w:tcW w:w="1500" w:type="dxa"/>
            <w:gridSpan w:val="3"/>
            <w:noWrap w:val="0"/>
            <w:vAlign w:val="center"/>
          </w:tcPr>
          <w:p w14:paraId="244EAEA2">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收集资料□</w:t>
            </w:r>
          </w:p>
        </w:tc>
      </w:tr>
      <w:tr w14:paraId="176BE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continue"/>
            <w:noWrap w:val="0"/>
            <w:vAlign w:val="center"/>
          </w:tcPr>
          <w:p w14:paraId="75878C80">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71F57671">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现状评价</w:t>
            </w:r>
          </w:p>
        </w:tc>
        <w:tc>
          <w:tcPr>
            <w:tcW w:w="1858" w:type="dxa"/>
            <w:gridSpan w:val="3"/>
            <w:noWrap w:val="0"/>
            <w:vAlign w:val="center"/>
          </w:tcPr>
          <w:p w14:paraId="55E4847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达标百分比</w:t>
            </w:r>
          </w:p>
        </w:tc>
        <w:tc>
          <w:tcPr>
            <w:tcW w:w="4380" w:type="dxa"/>
            <w:gridSpan w:val="15"/>
            <w:noWrap w:val="0"/>
            <w:vAlign w:val="center"/>
          </w:tcPr>
          <w:p w14:paraId="74E3DA9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100%</w:t>
            </w:r>
          </w:p>
        </w:tc>
      </w:tr>
      <w:tr w14:paraId="509B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948" w:type="dxa"/>
            <w:noWrap w:val="0"/>
            <w:vAlign w:val="center"/>
          </w:tcPr>
          <w:p w14:paraId="6971894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噪声源</w:t>
            </w:r>
          </w:p>
          <w:p w14:paraId="707270B8">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调查</w:t>
            </w:r>
          </w:p>
        </w:tc>
        <w:tc>
          <w:tcPr>
            <w:tcW w:w="1339" w:type="dxa"/>
            <w:noWrap w:val="0"/>
            <w:vAlign w:val="center"/>
          </w:tcPr>
          <w:p w14:paraId="515394DF">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噪声源调查方法</w:t>
            </w:r>
          </w:p>
        </w:tc>
        <w:tc>
          <w:tcPr>
            <w:tcW w:w="1858" w:type="dxa"/>
            <w:gridSpan w:val="3"/>
            <w:noWrap w:val="0"/>
            <w:vAlign w:val="center"/>
          </w:tcPr>
          <w:p w14:paraId="5C743796">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现场实测□</w:t>
            </w:r>
          </w:p>
        </w:tc>
        <w:tc>
          <w:tcPr>
            <w:tcW w:w="2418" w:type="dxa"/>
            <w:gridSpan w:val="10"/>
            <w:noWrap w:val="0"/>
            <w:vAlign w:val="center"/>
          </w:tcPr>
          <w:p w14:paraId="5053F96D">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已有资料</w:t>
            </w:r>
            <w:r>
              <w:rPr>
                <w:rFonts w:hint="default" w:ascii="Times New Roman" w:hAnsi="Times New Roman" w:eastAsia="宋体" w:cs="Times New Roman"/>
                <w:kern w:val="21"/>
                <w:sz w:val="21"/>
                <w:szCs w:val="21"/>
              </w:rPr>
              <w:sym w:font="Wingdings 2" w:char="0052"/>
            </w:r>
          </w:p>
        </w:tc>
        <w:tc>
          <w:tcPr>
            <w:tcW w:w="1962" w:type="dxa"/>
            <w:gridSpan w:val="5"/>
            <w:noWrap w:val="0"/>
            <w:vAlign w:val="center"/>
          </w:tcPr>
          <w:p w14:paraId="0A65CA8D">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研究成果□</w:t>
            </w:r>
          </w:p>
        </w:tc>
      </w:tr>
      <w:tr w14:paraId="7187C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948" w:type="dxa"/>
            <w:vMerge w:val="restart"/>
            <w:noWrap w:val="0"/>
            <w:vAlign w:val="center"/>
          </w:tcPr>
          <w:p w14:paraId="0676361D">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声环境影响预测与评价</w:t>
            </w:r>
          </w:p>
        </w:tc>
        <w:tc>
          <w:tcPr>
            <w:tcW w:w="1339" w:type="dxa"/>
            <w:noWrap w:val="0"/>
            <w:vAlign w:val="center"/>
          </w:tcPr>
          <w:p w14:paraId="2162407D">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预测模型</w:t>
            </w:r>
          </w:p>
        </w:tc>
        <w:tc>
          <w:tcPr>
            <w:tcW w:w="1858" w:type="dxa"/>
            <w:gridSpan w:val="3"/>
            <w:noWrap w:val="0"/>
            <w:vAlign w:val="center"/>
          </w:tcPr>
          <w:p w14:paraId="71A225F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导则推荐模型</w:t>
            </w:r>
            <w:r>
              <w:rPr>
                <w:rFonts w:hint="default" w:ascii="Times New Roman" w:hAnsi="Times New Roman" w:eastAsia="宋体" w:cs="Times New Roman"/>
                <w:kern w:val="21"/>
                <w:sz w:val="21"/>
                <w:szCs w:val="21"/>
              </w:rPr>
              <w:sym w:font="Wingdings 2" w:char="0052"/>
            </w:r>
          </w:p>
        </w:tc>
        <w:tc>
          <w:tcPr>
            <w:tcW w:w="4380" w:type="dxa"/>
            <w:gridSpan w:val="15"/>
            <w:noWrap w:val="0"/>
            <w:vAlign w:val="center"/>
          </w:tcPr>
          <w:p w14:paraId="4C0E49B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其他□</w:t>
            </w:r>
            <w:r>
              <w:rPr>
                <w:rFonts w:hint="default" w:ascii="Times New Roman" w:hAnsi="Times New Roman" w:eastAsia="宋体" w:cs="Times New Roman"/>
                <w:kern w:val="2"/>
                <w:sz w:val="21"/>
                <w:szCs w:val="21"/>
                <w:u w:val="single"/>
              </w:rPr>
              <w:t xml:space="preserve">           </w:t>
            </w:r>
            <w:r>
              <w:rPr>
                <w:rFonts w:hint="default" w:ascii="Times New Roman" w:hAnsi="Times New Roman" w:eastAsia="宋体" w:cs="Times New Roman"/>
                <w:kern w:val="2"/>
                <w:sz w:val="21"/>
                <w:szCs w:val="21"/>
              </w:rPr>
              <w:t xml:space="preserve"> </w:t>
            </w:r>
          </w:p>
        </w:tc>
      </w:tr>
      <w:tr w14:paraId="50FA8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continue"/>
            <w:noWrap w:val="0"/>
            <w:vAlign w:val="center"/>
          </w:tcPr>
          <w:p w14:paraId="10F1C6E3">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3C4DFB2A">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预测范围</w:t>
            </w:r>
          </w:p>
        </w:tc>
        <w:tc>
          <w:tcPr>
            <w:tcW w:w="2088" w:type="dxa"/>
            <w:gridSpan w:val="5"/>
            <w:noWrap w:val="0"/>
            <w:vAlign w:val="center"/>
          </w:tcPr>
          <w:p w14:paraId="6793529F">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200m□</w:t>
            </w:r>
          </w:p>
        </w:tc>
        <w:tc>
          <w:tcPr>
            <w:tcW w:w="1664" w:type="dxa"/>
            <w:gridSpan w:val="5"/>
            <w:noWrap w:val="0"/>
            <w:vAlign w:val="center"/>
          </w:tcPr>
          <w:p w14:paraId="522A32E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大于200m□</w:t>
            </w:r>
          </w:p>
        </w:tc>
        <w:tc>
          <w:tcPr>
            <w:tcW w:w="2486" w:type="dxa"/>
            <w:gridSpan w:val="8"/>
            <w:noWrap w:val="0"/>
            <w:vAlign w:val="center"/>
          </w:tcPr>
          <w:p w14:paraId="5A75F150">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小于200m</w:t>
            </w:r>
            <w:r>
              <w:rPr>
                <w:rFonts w:hint="default" w:ascii="Times New Roman" w:hAnsi="Times New Roman" w:cs="Times New Roman"/>
                <w:kern w:val="2"/>
                <w:sz w:val="21"/>
                <w:szCs w:val="21"/>
                <w:lang w:eastAsia="zh-CN"/>
              </w:rPr>
              <w:t>☑</w:t>
            </w:r>
          </w:p>
        </w:tc>
      </w:tr>
      <w:tr w14:paraId="2F23E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948" w:type="dxa"/>
            <w:vMerge w:val="continue"/>
            <w:noWrap w:val="0"/>
            <w:vAlign w:val="center"/>
          </w:tcPr>
          <w:p w14:paraId="771626E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1AB523D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预测因子</w:t>
            </w:r>
          </w:p>
        </w:tc>
        <w:tc>
          <w:tcPr>
            <w:tcW w:w="1858" w:type="dxa"/>
            <w:gridSpan w:val="3"/>
            <w:noWrap w:val="0"/>
            <w:vAlign w:val="center"/>
          </w:tcPr>
          <w:p w14:paraId="388C3D91">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等效连续A声级</w:t>
            </w:r>
            <w:r>
              <w:rPr>
                <w:rFonts w:hint="default" w:ascii="Times New Roman" w:hAnsi="Times New Roman" w:eastAsia="宋体" w:cs="Times New Roman"/>
                <w:kern w:val="21"/>
                <w:sz w:val="21"/>
                <w:szCs w:val="21"/>
              </w:rPr>
              <w:sym w:font="Wingdings 2" w:char="0052"/>
            </w:r>
          </w:p>
        </w:tc>
        <w:tc>
          <w:tcPr>
            <w:tcW w:w="1894" w:type="dxa"/>
            <w:gridSpan w:val="7"/>
            <w:noWrap w:val="0"/>
            <w:vAlign w:val="center"/>
          </w:tcPr>
          <w:p w14:paraId="0C1BC98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最大A声级□</w:t>
            </w:r>
          </w:p>
        </w:tc>
        <w:tc>
          <w:tcPr>
            <w:tcW w:w="2486" w:type="dxa"/>
            <w:gridSpan w:val="8"/>
            <w:noWrap w:val="0"/>
            <w:vAlign w:val="center"/>
          </w:tcPr>
          <w:p w14:paraId="4F8413C0">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计权等效连续感觉噪声级□</w:t>
            </w:r>
          </w:p>
        </w:tc>
      </w:tr>
      <w:tr w14:paraId="05EF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48" w:type="dxa"/>
            <w:vMerge w:val="continue"/>
            <w:noWrap w:val="0"/>
            <w:vAlign w:val="center"/>
          </w:tcPr>
          <w:p w14:paraId="5E38AF67">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3C84FC78">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厂界噪声贡献值</w:t>
            </w:r>
          </w:p>
        </w:tc>
        <w:tc>
          <w:tcPr>
            <w:tcW w:w="3070" w:type="dxa"/>
            <w:gridSpan w:val="8"/>
            <w:noWrap w:val="0"/>
            <w:vAlign w:val="center"/>
          </w:tcPr>
          <w:p w14:paraId="3908AC0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达标</w:t>
            </w:r>
            <w:r>
              <w:rPr>
                <w:rFonts w:hint="default" w:ascii="Times New Roman" w:hAnsi="Times New Roman" w:eastAsia="宋体" w:cs="Times New Roman"/>
                <w:kern w:val="21"/>
                <w:sz w:val="21"/>
                <w:szCs w:val="21"/>
              </w:rPr>
              <w:sym w:font="Wingdings 2" w:char="0052"/>
            </w:r>
          </w:p>
        </w:tc>
        <w:tc>
          <w:tcPr>
            <w:tcW w:w="3168" w:type="dxa"/>
            <w:gridSpan w:val="10"/>
            <w:noWrap w:val="0"/>
            <w:vAlign w:val="center"/>
          </w:tcPr>
          <w:p w14:paraId="75C0537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不达标□</w:t>
            </w:r>
          </w:p>
        </w:tc>
      </w:tr>
      <w:tr w14:paraId="27445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48" w:type="dxa"/>
            <w:vMerge w:val="continue"/>
            <w:noWrap w:val="0"/>
            <w:vAlign w:val="center"/>
          </w:tcPr>
          <w:p w14:paraId="2D91348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22C1B722">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声环境保护目标处噪声值</w:t>
            </w:r>
          </w:p>
        </w:tc>
        <w:tc>
          <w:tcPr>
            <w:tcW w:w="3070" w:type="dxa"/>
            <w:gridSpan w:val="8"/>
            <w:noWrap w:val="0"/>
            <w:vAlign w:val="center"/>
          </w:tcPr>
          <w:p w14:paraId="32B4928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达标□</w:t>
            </w:r>
          </w:p>
        </w:tc>
        <w:tc>
          <w:tcPr>
            <w:tcW w:w="3168" w:type="dxa"/>
            <w:gridSpan w:val="10"/>
            <w:noWrap w:val="0"/>
            <w:vAlign w:val="center"/>
          </w:tcPr>
          <w:p w14:paraId="7CE9EC7C">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不达标□</w:t>
            </w:r>
          </w:p>
        </w:tc>
      </w:tr>
      <w:tr w14:paraId="558FE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restart"/>
            <w:noWrap w:val="0"/>
            <w:vAlign w:val="center"/>
          </w:tcPr>
          <w:p w14:paraId="1DCE7D53">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环境监测计划</w:t>
            </w:r>
          </w:p>
        </w:tc>
        <w:tc>
          <w:tcPr>
            <w:tcW w:w="1339" w:type="dxa"/>
            <w:noWrap w:val="0"/>
            <w:vAlign w:val="center"/>
          </w:tcPr>
          <w:p w14:paraId="72DDDFC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排放监测</w:t>
            </w:r>
          </w:p>
        </w:tc>
        <w:tc>
          <w:tcPr>
            <w:tcW w:w="3070" w:type="dxa"/>
            <w:gridSpan w:val="8"/>
            <w:noWrap w:val="0"/>
            <w:vAlign w:val="center"/>
          </w:tcPr>
          <w:p w14:paraId="5A9BB177">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厂界监测</w:t>
            </w:r>
            <w:r>
              <w:rPr>
                <w:rFonts w:hint="default" w:ascii="Times New Roman" w:hAnsi="Times New Roman" w:eastAsia="宋体" w:cs="Times New Roman"/>
                <w:kern w:val="21"/>
                <w:sz w:val="21"/>
                <w:szCs w:val="21"/>
              </w:rPr>
              <w:sym w:font="Wingdings 2" w:char="0052"/>
            </w:r>
            <w:r>
              <w:rPr>
                <w:rFonts w:hint="default" w:ascii="Times New Roman" w:hAnsi="Times New Roman" w:eastAsia="宋体" w:cs="Times New Roman"/>
                <w:kern w:val="2"/>
                <w:sz w:val="21"/>
                <w:szCs w:val="21"/>
              </w:rPr>
              <w:t xml:space="preserve">    固定位置监测□</w:t>
            </w:r>
          </w:p>
        </w:tc>
        <w:tc>
          <w:tcPr>
            <w:tcW w:w="1877" w:type="dxa"/>
            <w:gridSpan w:val="8"/>
            <w:noWrap w:val="0"/>
            <w:vAlign w:val="center"/>
          </w:tcPr>
          <w:p w14:paraId="45C5B007">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lang w:eastAsia="zh-CN"/>
              </w:rPr>
            </w:pPr>
            <w:r>
              <w:rPr>
                <w:rFonts w:hint="default" w:ascii="Times New Roman" w:hAnsi="Times New Roman" w:eastAsia="宋体" w:cs="Times New Roman"/>
                <w:kern w:val="2"/>
                <w:sz w:val="21"/>
                <w:szCs w:val="21"/>
              </w:rPr>
              <w:t>自动监测□手动监测</w:t>
            </w:r>
            <w:r>
              <w:rPr>
                <w:rFonts w:hint="default" w:ascii="Times New Roman" w:hAnsi="Times New Roman" w:cs="Times New Roman"/>
                <w:kern w:val="2"/>
                <w:sz w:val="21"/>
                <w:szCs w:val="21"/>
                <w:lang w:eastAsia="zh-CN"/>
              </w:rPr>
              <w:t>☑</w:t>
            </w:r>
          </w:p>
        </w:tc>
        <w:tc>
          <w:tcPr>
            <w:tcW w:w="1291" w:type="dxa"/>
            <w:gridSpan w:val="2"/>
            <w:noWrap w:val="0"/>
            <w:vAlign w:val="center"/>
          </w:tcPr>
          <w:p w14:paraId="7AB1F3E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无监测□</w:t>
            </w:r>
          </w:p>
        </w:tc>
      </w:tr>
      <w:tr w14:paraId="65797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48" w:type="dxa"/>
            <w:vMerge w:val="continue"/>
            <w:noWrap w:val="0"/>
            <w:vAlign w:val="center"/>
          </w:tcPr>
          <w:p w14:paraId="3F59305A">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p>
        </w:tc>
        <w:tc>
          <w:tcPr>
            <w:tcW w:w="1339" w:type="dxa"/>
            <w:noWrap w:val="0"/>
            <w:vAlign w:val="center"/>
          </w:tcPr>
          <w:p w14:paraId="4F7BEF34">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声环境保护目标处噪声监测</w:t>
            </w:r>
          </w:p>
        </w:tc>
        <w:tc>
          <w:tcPr>
            <w:tcW w:w="3070" w:type="dxa"/>
            <w:gridSpan w:val="8"/>
            <w:noWrap w:val="0"/>
            <w:vAlign w:val="center"/>
          </w:tcPr>
          <w:p w14:paraId="159EB355">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监测因子：（     ）</w:t>
            </w:r>
          </w:p>
        </w:tc>
        <w:tc>
          <w:tcPr>
            <w:tcW w:w="1877" w:type="dxa"/>
            <w:gridSpan w:val="8"/>
            <w:noWrap w:val="0"/>
            <w:vAlign w:val="center"/>
          </w:tcPr>
          <w:p w14:paraId="3156BC8E">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监测点位数（     ）</w:t>
            </w:r>
          </w:p>
        </w:tc>
        <w:tc>
          <w:tcPr>
            <w:tcW w:w="1291" w:type="dxa"/>
            <w:gridSpan w:val="2"/>
            <w:noWrap w:val="0"/>
            <w:vAlign w:val="center"/>
          </w:tcPr>
          <w:p w14:paraId="0E191001">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无监测□</w:t>
            </w:r>
          </w:p>
        </w:tc>
      </w:tr>
      <w:tr w14:paraId="26940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948" w:type="dxa"/>
            <w:noWrap w:val="0"/>
            <w:vAlign w:val="center"/>
          </w:tcPr>
          <w:p w14:paraId="6841631B">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评价结论</w:t>
            </w:r>
          </w:p>
        </w:tc>
        <w:tc>
          <w:tcPr>
            <w:tcW w:w="1339" w:type="dxa"/>
            <w:noWrap w:val="0"/>
            <w:vAlign w:val="center"/>
          </w:tcPr>
          <w:p w14:paraId="46CC7EBF">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环境影响</w:t>
            </w:r>
          </w:p>
        </w:tc>
        <w:tc>
          <w:tcPr>
            <w:tcW w:w="6238" w:type="dxa"/>
            <w:gridSpan w:val="18"/>
            <w:noWrap w:val="0"/>
            <w:vAlign w:val="center"/>
          </w:tcPr>
          <w:p w14:paraId="17E13089">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center"/>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可行</w:t>
            </w:r>
            <w:r>
              <w:rPr>
                <w:rFonts w:hint="default" w:ascii="Times New Roman" w:hAnsi="Times New Roman" w:eastAsia="宋体" w:cs="Times New Roman"/>
                <w:kern w:val="21"/>
                <w:sz w:val="21"/>
                <w:szCs w:val="21"/>
              </w:rPr>
              <w:sym w:font="Wingdings 2" w:char="0052"/>
            </w:r>
            <w:r>
              <w:rPr>
                <w:rFonts w:hint="default" w:ascii="Times New Roman" w:hAnsi="Times New Roman" w:eastAsia="宋体" w:cs="Times New Roman"/>
                <w:kern w:val="2"/>
                <w:sz w:val="21"/>
                <w:szCs w:val="21"/>
              </w:rPr>
              <w:t xml:space="preserve">       不可行□</w:t>
            </w:r>
          </w:p>
        </w:tc>
      </w:tr>
      <w:tr w14:paraId="445BB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8525" w:type="dxa"/>
            <w:gridSpan w:val="20"/>
            <w:noWrap w:val="0"/>
            <w:vAlign w:val="center"/>
          </w:tcPr>
          <w:p w14:paraId="3D037A2C">
            <w:pPr>
              <w:keepNext w:val="0"/>
              <w:keepLines w:val="0"/>
              <w:widowControl/>
              <w:suppressLineNumbers w:val="0"/>
              <w:adjustRightInd/>
              <w:snapToGrid/>
              <w:spacing w:before="24" w:beforeLines="10" w:beforeAutospacing="0" w:after="24" w:afterLines="10" w:afterAutospacing="0" w:line="0" w:lineRule="atLeast"/>
              <w:ind w:left="0" w:right="0" w:firstLine="0" w:firstLineChars="0"/>
              <w:jc w:val="left"/>
              <w:textAlignment w:val="auto"/>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注：“□”为勾选项，可√；“（   ）”为内容填写项。</w:t>
            </w:r>
          </w:p>
        </w:tc>
      </w:tr>
    </w:tbl>
    <w:p w14:paraId="4ED3E6A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572" w:name="_Toc15438"/>
      <w:bookmarkStart w:id="573" w:name="_Toc1587"/>
      <w:bookmarkStart w:id="574" w:name="_Toc324839624"/>
      <w:bookmarkStart w:id="575" w:name="_Toc311812651"/>
      <w:bookmarkStart w:id="576" w:name="_Toc324839327"/>
      <w:bookmarkStart w:id="577" w:name="_Toc51319873"/>
      <w:r>
        <w:rPr>
          <w:rFonts w:hint="eastAsia"/>
          <w:lang w:val="en-US" w:eastAsia="zh-CN"/>
        </w:rPr>
        <w:t>5.5固体废物环境影响分析</w:t>
      </w:r>
      <w:bookmarkEnd w:id="572"/>
      <w:bookmarkEnd w:id="573"/>
    </w:p>
    <w:p w14:paraId="3441D22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5.5.1本项目固体废物产生情况</w:t>
      </w:r>
    </w:p>
    <w:p w14:paraId="0C08CC85">
      <w:pPr>
        <w:keepNext w:val="0"/>
        <w:keepLines w:val="0"/>
        <w:pageBreakBefore w:val="0"/>
        <w:widowControl/>
        <w:tabs>
          <w:tab w:val="left" w:pos="960"/>
          <w:tab w:val="left" w:pos="1200"/>
        </w:tabs>
        <w:kinsoku/>
        <w:wordWrap/>
        <w:overflowPunct/>
        <w:topLinePunct/>
        <w:autoSpaceDE w:val="0"/>
        <w:autoSpaceDN/>
        <w:bidi w:val="0"/>
        <w:adjustRightInd w:val="0"/>
        <w:snapToGrid w:val="0"/>
        <w:ind w:left="0" w:firstLine="301"/>
        <w:textAlignment w:val="auto"/>
        <w:outlineLvl w:val="9"/>
        <w:rPr>
          <w:rFonts w:hint="default" w:ascii="Times New Roman" w:hAnsi="Times New Roman" w:eastAsia="宋体" w:cs="Times New Roman"/>
          <w:snapToGrid w:val="0"/>
          <w:kern w:val="21"/>
          <w:sz w:val="24"/>
          <w:szCs w:val="24"/>
          <w:highlight w:val="none"/>
        </w:rPr>
      </w:pPr>
      <w:bookmarkStart w:id="578" w:name="_Toc23089"/>
      <w:r>
        <w:rPr>
          <w:rFonts w:hint="default" w:ascii="Times New Roman" w:hAnsi="Times New Roman" w:eastAsia="宋体" w:cs="Times New Roman"/>
          <w:snapToGrid w:val="0"/>
          <w:kern w:val="21"/>
          <w:sz w:val="24"/>
          <w:szCs w:val="24"/>
          <w:highlight w:val="none"/>
        </w:rPr>
        <w:t>本项目固体废物产生情况见</w:t>
      </w:r>
      <w:r>
        <w:rPr>
          <w:rFonts w:hint="default" w:ascii="Times New Roman" w:hAnsi="Times New Roman" w:cs="Times New Roman"/>
          <w:snapToGrid w:val="0"/>
          <w:kern w:val="21"/>
          <w:sz w:val="24"/>
          <w:szCs w:val="24"/>
          <w:highlight w:val="none"/>
          <w:lang w:val="en-US" w:eastAsia="zh-CN"/>
        </w:rPr>
        <w:t>下表</w:t>
      </w:r>
      <w:r>
        <w:rPr>
          <w:rFonts w:hint="default" w:ascii="Times New Roman" w:hAnsi="Times New Roman" w:eastAsia="宋体" w:cs="Times New Roman"/>
          <w:snapToGrid w:val="0"/>
          <w:kern w:val="21"/>
          <w:sz w:val="24"/>
          <w:szCs w:val="24"/>
          <w:highlight w:val="none"/>
        </w:rPr>
        <w:t>。</w:t>
      </w:r>
      <w:bookmarkEnd w:id="578"/>
    </w:p>
    <w:p w14:paraId="76F97371">
      <w:pPr>
        <w:ind w:left="0" w:leftChars="0" w:firstLine="0" w:firstLineChars="0"/>
        <w:jc w:val="center"/>
        <w:rPr>
          <w:rFonts w:hint="eastAsia"/>
          <w:b/>
          <w:bCs/>
          <w:lang w:val="en-US" w:eastAsia="zh-CN"/>
        </w:rPr>
      </w:pPr>
      <w:r>
        <w:rPr>
          <w:rFonts w:ascii="Times New Roman" w:hAnsi="Times New Roman"/>
          <w:b/>
          <w:bCs/>
        </w:rPr>
        <w:t>表</w:t>
      </w:r>
      <w:r>
        <w:rPr>
          <w:rFonts w:hint="eastAsia"/>
          <w:b/>
          <w:bCs/>
          <w:lang w:val="en-US" w:eastAsia="zh-CN"/>
        </w:rPr>
        <w:t>5.5-1</w:t>
      </w:r>
      <w:r>
        <w:rPr>
          <w:rFonts w:ascii="Times New Roman" w:hAnsi="Times New Roman"/>
          <w:b/>
          <w:bCs/>
        </w:rPr>
        <w:t xml:space="preserve">     </w:t>
      </w:r>
      <w:r>
        <w:rPr>
          <w:rFonts w:hint="eastAsia" w:ascii="Times New Roman" w:hAnsi="Times New Roman"/>
          <w:b/>
          <w:bCs/>
        </w:rPr>
        <w:t>本项目固体废物产生情况一览表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633"/>
        <w:gridCol w:w="2090"/>
        <w:gridCol w:w="1123"/>
        <w:gridCol w:w="1121"/>
        <w:gridCol w:w="925"/>
        <w:gridCol w:w="2480"/>
      </w:tblGrid>
      <w:tr w14:paraId="7F484D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66B811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序号</w:t>
            </w:r>
          </w:p>
        </w:tc>
        <w:tc>
          <w:tcPr>
            <w:tcW w:w="2090" w:type="dxa"/>
            <w:tcBorders>
              <w:tl2br w:val="nil"/>
              <w:tr2bl w:val="nil"/>
            </w:tcBorders>
            <w:noWrap w:val="0"/>
            <w:vAlign w:val="center"/>
          </w:tcPr>
          <w:p w14:paraId="73E213F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固废名称</w:t>
            </w:r>
          </w:p>
        </w:tc>
        <w:tc>
          <w:tcPr>
            <w:tcW w:w="1123" w:type="dxa"/>
            <w:tcBorders>
              <w:tl2br w:val="nil"/>
              <w:tr2bl w:val="nil"/>
            </w:tcBorders>
            <w:noWrap w:val="0"/>
            <w:vAlign w:val="center"/>
          </w:tcPr>
          <w:p w14:paraId="5A71912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性质</w:t>
            </w:r>
          </w:p>
        </w:tc>
        <w:tc>
          <w:tcPr>
            <w:tcW w:w="1121" w:type="dxa"/>
            <w:tcBorders>
              <w:tl2br w:val="nil"/>
              <w:tr2bl w:val="nil"/>
            </w:tcBorders>
            <w:noWrap w:val="0"/>
            <w:vAlign w:val="center"/>
          </w:tcPr>
          <w:p w14:paraId="7DE93E3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属性类别</w:t>
            </w:r>
          </w:p>
        </w:tc>
        <w:tc>
          <w:tcPr>
            <w:tcW w:w="925" w:type="dxa"/>
            <w:tcBorders>
              <w:tl2br w:val="nil"/>
              <w:tr2bl w:val="nil"/>
            </w:tcBorders>
            <w:noWrap w:val="0"/>
            <w:vAlign w:val="center"/>
          </w:tcPr>
          <w:p w14:paraId="40A61BA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排放量</w:t>
            </w:r>
          </w:p>
        </w:tc>
        <w:tc>
          <w:tcPr>
            <w:tcW w:w="2480" w:type="dxa"/>
            <w:tcBorders>
              <w:tl2br w:val="nil"/>
              <w:tr2bl w:val="nil"/>
            </w:tcBorders>
            <w:noWrap w:val="0"/>
            <w:vAlign w:val="center"/>
          </w:tcPr>
          <w:p w14:paraId="26E3B0A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position w:val="0"/>
                <w:sz w:val="21"/>
                <w:szCs w:val="21"/>
              </w:rPr>
            </w:pPr>
            <w:r>
              <w:rPr>
                <w:rFonts w:hint="default" w:ascii="Times New Roman" w:hAnsi="Times New Roman" w:cs="Times New Roman"/>
                <w:b/>
                <w:bCs/>
                <w:spacing w:val="0"/>
                <w:kern w:val="21"/>
                <w:position w:val="0"/>
                <w:sz w:val="21"/>
                <w:szCs w:val="21"/>
              </w:rPr>
              <w:t>处理去向</w:t>
            </w:r>
          </w:p>
        </w:tc>
      </w:tr>
      <w:tr w14:paraId="0684194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2CB4625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1</w:t>
            </w:r>
          </w:p>
        </w:tc>
        <w:tc>
          <w:tcPr>
            <w:tcW w:w="2090" w:type="dxa"/>
            <w:tcBorders>
              <w:tl2br w:val="nil"/>
              <w:tr2bl w:val="nil"/>
            </w:tcBorders>
            <w:noWrap w:val="0"/>
            <w:vAlign w:val="center"/>
          </w:tcPr>
          <w:p w14:paraId="381E3D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spacing w:val="0"/>
                <w:kern w:val="21"/>
                <w:position w:val="0"/>
                <w:sz w:val="21"/>
                <w:szCs w:val="21"/>
              </w:rPr>
            </w:pPr>
            <w:r>
              <w:rPr>
                <w:rFonts w:hint="eastAsia" w:ascii="宋体" w:hAnsi="宋体" w:eastAsia="宋体" w:cs="宋体"/>
                <w:i w:val="0"/>
                <w:iCs w:val="0"/>
                <w:color w:val="000000"/>
                <w:kern w:val="0"/>
                <w:sz w:val="21"/>
                <w:szCs w:val="21"/>
                <w:u w:val="none"/>
                <w:lang w:val="en-US" w:eastAsia="zh-CN" w:bidi="ar"/>
              </w:rPr>
              <w:t>废包装物</w:t>
            </w:r>
          </w:p>
        </w:tc>
        <w:tc>
          <w:tcPr>
            <w:tcW w:w="1123" w:type="dxa"/>
            <w:tcBorders>
              <w:tl2br w:val="nil"/>
              <w:tr2bl w:val="nil"/>
            </w:tcBorders>
            <w:noWrap w:val="0"/>
            <w:vAlign w:val="center"/>
          </w:tcPr>
          <w:p w14:paraId="5A5B6B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3931936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noWrap w:val="0"/>
            <w:vAlign w:val="center"/>
          </w:tcPr>
          <w:p w14:paraId="16B53D1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pacing w:val="0"/>
                <w:kern w:val="21"/>
                <w:position w:val="0"/>
                <w:sz w:val="21"/>
                <w:szCs w:val="21"/>
                <w:lang w:val="en-US"/>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2480" w:type="dxa"/>
            <w:vMerge w:val="restart"/>
            <w:tcBorders>
              <w:tl2br w:val="nil"/>
              <w:tr2bl w:val="nil"/>
            </w:tcBorders>
            <w:noWrap w:val="0"/>
            <w:vAlign w:val="center"/>
          </w:tcPr>
          <w:p w14:paraId="645CAAC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在危废库</w:t>
            </w:r>
            <w:r>
              <w:rPr>
                <w:rFonts w:hint="default" w:ascii="Times New Roman" w:hAnsi="Times New Roman" w:eastAsia="Times New Roman" w:cs="Times New Roman"/>
                <w:spacing w:val="0"/>
                <w:kern w:val="21"/>
                <w:position w:val="0"/>
                <w:sz w:val="21"/>
                <w:szCs w:val="21"/>
              </w:rPr>
              <w:t>(</w:t>
            </w:r>
            <w:r>
              <w:rPr>
                <w:rFonts w:hint="eastAsia" w:ascii="Times New Roman" w:hAnsi="Times New Roman" w:eastAsia="宋体" w:cs="Times New Roman"/>
                <w:spacing w:val="0"/>
                <w:kern w:val="21"/>
                <w:position w:val="0"/>
                <w:sz w:val="21"/>
                <w:szCs w:val="21"/>
                <w:lang w:val="en-US" w:eastAsia="zh-CN"/>
              </w:rPr>
              <w:t>50</w:t>
            </w:r>
            <w:r>
              <w:rPr>
                <w:rFonts w:hint="default" w:ascii="Times New Roman" w:hAnsi="Times New Roman" w:eastAsia="Times New Roman" w:cs="Times New Roman"/>
                <w:spacing w:val="0"/>
                <w:kern w:val="21"/>
                <w:position w:val="0"/>
                <w:sz w:val="21"/>
                <w:szCs w:val="21"/>
              </w:rPr>
              <w:t>m</w:t>
            </w:r>
            <w:r>
              <w:rPr>
                <w:rFonts w:hint="default" w:ascii="Times New Roman" w:hAnsi="Times New Roman" w:eastAsia="Times New Roman" w:cs="Times New Roman"/>
                <w:spacing w:val="0"/>
                <w:kern w:val="21"/>
                <w:position w:val="0"/>
                <w:sz w:val="21"/>
                <w:szCs w:val="21"/>
                <w:vertAlign w:val="superscript"/>
              </w:rPr>
              <w:t>2</w:t>
            </w:r>
            <w:r>
              <w:rPr>
                <w:rFonts w:hint="default" w:ascii="Times New Roman" w:hAnsi="Times New Roman" w:eastAsia="Times New Roman" w:cs="Times New Roman"/>
                <w:spacing w:val="0"/>
                <w:kern w:val="21"/>
                <w:position w:val="0"/>
                <w:sz w:val="21"/>
                <w:szCs w:val="21"/>
              </w:rPr>
              <w:t>)</w:t>
            </w:r>
            <w:r>
              <w:rPr>
                <w:rFonts w:hint="default" w:ascii="Times New Roman" w:hAnsi="Times New Roman" w:cs="Times New Roman"/>
                <w:spacing w:val="0"/>
                <w:kern w:val="21"/>
                <w:position w:val="0"/>
                <w:sz w:val="21"/>
                <w:szCs w:val="21"/>
              </w:rPr>
              <w:t>内分类暂存，定期交有资质单位处置</w:t>
            </w:r>
          </w:p>
        </w:tc>
      </w:tr>
      <w:tr w14:paraId="56107E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6228153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2</w:t>
            </w:r>
          </w:p>
        </w:tc>
        <w:tc>
          <w:tcPr>
            <w:tcW w:w="2090" w:type="dxa"/>
            <w:tcBorders>
              <w:tl2br w:val="nil"/>
              <w:tr2bl w:val="nil"/>
            </w:tcBorders>
            <w:noWrap w:val="0"/>
            <w:vAlign w:val="center"/>
          </w:tcPr>
          <w:p w14:paraId="214254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spacing w:val="0"/>
                <w:kern w:val="21"/>
                <w:position w:val="0"/>
                <w:sz w:val="21"/>
                <w:szCs w:val="21"/>
              </w:rPr>
            </w:pPr>
            <w:r>
              <w:rPr>
                <w:rFonts w:hint="eastAsia" w:ascii="宋体" w:hAnsi="宋体" w:eastAsia="宋体" w:cs="宋体"/>
                <w:i w:val="0"/>
                <w:iCs w:val="0"/>
                <w:color w:val="000000"/>
                <w:kern w:val="0"/>
                <w:sz w:val="21"/>
                <w:szCs w:val="21"/>
                <w:u w:val="none"/>
                <w:lang w:val="en-US" w:eastAsia="zh-CN" w:bidi="ar"/>
              </w:rPr>
              <w:t>废液压油</w:t>
            </w:r>
          </w:p>
        </w:tc>
        <w:tc>
          <w:tcPr>
            <w:tcW w:w="1123" w:type="dxa"/>
            <w:tcBorders>
              <w:tl2br w:val="nil"/>
              <w:tr2bl w:val="nil"/>
            </w:tcBorders>
            <w:noWrap w:val="0"/>
            <w:vAlign w:val="center"/>
          </w:tcPr>
          <w:p w14:paraId="15247A6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2923DD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HW08</w:t>
            </w:r>
          </w:p>
        </w:tc>
        <w:tc>
          <w:tcPr>
            <w:tcW w:w="925" w:type="dxa"/>
            <w:tcBorders>
              <w:tl2br w:val="nil"/>
              <w:tr2bl w:val="nil"/>
            </w:tcBorders>
            <w:noWrap w:val="0"/>
            <w:vAlign w:val="center"/>
          </w:tcPr>
          <w:p w14:paraId="10A1334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2480" w:type="dxa"/>
            <w:vMerge w:val="continue"/>
            <w:tcBorders>
              <w:tl2br w:val="nil"/>
              <w:tr2bl w:val="nil"/>
            </w:tcBorders>
            <w:noWrap w:val="0"/>
            <w:vAlign w:val="center"/>
          </w:tcPr>
          <w:p w14:paraId="1679595D">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7119237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0B7F91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3</w:t>
            </w:r>
          </w:p>
        </w:tc>
        <w:tc>
          <w:tcPr>
            <w:tcW w:w="2090" w:type="dxa"/>
            <w:tcBorders>
              <w:tl2br w:val="nil"/>
              <w:tr2bl w:val="nil"/>
            </w:tcBorders>
            <w:noWrap w:val="0"/>
            <w:vAlign w:val="center"/>
          </w:tcPr>
          <w:p w14:paraId="3EEC0D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Times New Roman" w:cs="Times New Roman"/>
                <w:snapToGrid w:val="0"/>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废滤芯和废活性炭</w:t>
            </w:r>
          </w:p>
        </w:tc>
        <w:tc>
          <w:tcPr>
            <w:tcW w:w="1123" w:type="dxa"/>
            <w:tcBorders>
              <w:tl2br w:val="nil"/>
              <w:tr2bl w:val="nil"/>
            </w:tcBorders>
            <w:noWrap w:val="0"/>
            <w:vAlign w:val="center"/>
          </w:tcPr>
          <w:p w14:paraId="36FE261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6491A25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noWrap w:val="0"/>
            <w:vAlign w:val="center"/>
          </w:tcPr>
          <w:p w14:paraId="26E37B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2480" w:type="dxa"/>
            <w:vMerge w:val="continue"/>
            <w:tcBorders>
              <w:tl2br w:val="nil"/>
              <w:tr2bl w:val="nil"/>
            </w:tcBorders>
            <w:noWrap w:val="0"/>
            <w:vAlign w:val="center"/>
          </w:tcPr>
          <w:p w14:paraId="575D164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7331F8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59360BD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4</w:t>
            </w:r>
          </w:p>
        </w:tc>
        <w:tc>
          <w:tcPr>
            <w:tcW w:w="2090" w:type="dxa"/>
            <w:tcBorders>
              <w:tl2br w:val="nil"/>
              <w:tr2bl w:val="nil"/>
            </w:tcBorders>
            <w:noWrap w:val="0"/>
            <w:vAlign w:val="center"/>
          </w:tcPr>
          <w:p w14:paraId="25DFCF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废槽渣</w:t>
            </w:r>
          </w:p>
        </w:tc>
        <w:tc>
          <w:tcPr>
            <w:tcW w:w="1123" w:type="dxa"/>
            <w:tcBorders>
              <w:tl2br w:val="nil"/>
              <w:tr2bl w:val="nil"/>
            </w:tcBorders>
            <w:noWrap w:val="0"/>
            <w:vAlign w:val="center"/>
          </w:tcPr>
          <w:p w14:paraId="360FFC0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000374D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HW17</w:t>
            </w:r>
          </w:p>
        </w:tc>
        <w:tc>
          <w:tcPr>
            <w:tcW w:w="925" w:type="dxa"/>
            <w:tcBorders>
              <w:tl2br w:val="nil"/>
              <w:tr2bl w:val="nil"/>
            </w:tcBorders>
            <w:shd w:val="clear" w:color="auto" w:fill="auto"/>
            <w:noWrap w:val="0"/>
            <w:vAlign w:val="center"/>
          </w:tcPr>
          <w:p w14:paraId="516D635B">
            <w:pPr>
              <w:pStyle w:val="75"/>
              <w:ind w:firstLine="0" w:firstLineChars="0"/>
              <w:rPr>
                <w:rFonts w:hint="default" w:ascii="Times New Roman" w:hAnsi="Times New Roman" w:eastAsia="宋体" w:cs="Times New Roman"/>
                <w:sz w:val="21"/>
                <w:szCs w:val="21"/>
                <w:highlight w:val="none"/>
                <w:lang w:val="en-US" w:eastAsia="zh-CN" w:bidi="ar-SA"/>
              </w:rPr>
            </w:pPr>
            <w:r>
              <w:rPr>
                <w:rFonts w:hint="eastAsia" w:cs="宋体"/>
                <w:highlight w:val="none"/>
                <w:lang w:val="en-US" w:eastAsia="zh-CN"/>
              </w:rPr>
              <w:t>6.7518</w:t>
            </w:r>
          </w:p>
        </w:tc>
        <w:tc>
          <w:tcPr>
            <w:tcW w:w="2480" w:type="dxa"/>
            <w:vMerge w:val="continue"/>
            <w:tcBorders>
              <w:tl2br w:val="nil"/>
              <w:tr2bl w:val="nil"/>
            </w:tcBorders>
            <w:noWrap w:val="0"/>
            <w:vAlign w:val="center"/>
          </w:tcPr>
          <w:p w14:paraId="0A801DBD">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42AF862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7C1B8F5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5</w:t>
            </w:r>
          </w:p>
        </w:tc>
        <w:tc>
          <w:tcPr>
            <w:tcW w:w="2090" w:type="dxa"/>
            <w:tcBorders>
              <w:tl2br w:val="nil"/>
              <w:tr2bl w:val="nil"/>
            </w:tcBorders>
            <w:noWrap w:val="0"/>
            <w:vAlign w:val="center"/>
          </w:tcPr>
          <w:p w14:paraId="42B826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废油渣</w:t>
            </w:r>
          </w:p>
        </w:tc>
        <w:tc>
          <w:tcPr>
            <w:tcW w:w="1123" w:type="dxa"/>
            <w:tcBorders>
              <w:tl2br w:val="nil"/>
              <w:tr2bl w:val="nil"/>
            </w:tcBorders>
            <w:noWrap w:val="0"/>
            <w:vAlign w:val="center"/>
          </w:tcPr>
          <w:p w14:paraId="05531CA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39A8B88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HW08</w:t>
            </w:r>
          </w:p>
        </w:tc>
        <w:tc>
          <w:tcPr>
            <w:tcW w:w="925" w:type="dxa"/>
            <w:tcBorders>
              <w:tl2br w:val="nil"/>
              <w:tr2bl w:val="nil"/>
            </w:tcBorders>
            <w:shd w:val="clear" w:color="auto" w:fill="auto"/>
            <w:noWrap w:val="0"/>
            <w:vAlign w:val="center"/>
          </w:tcPr>
          <w:p w14:paraId="33BF6798">
            <w:pPr>
              <w:pStyle w:val="75"/>
              <w:ind w:firstLine="0" w:firstLineChars="0"/>
              <w:rPr>
                <w:rFonts w:hint="default" w:ascii="Times New Roman" w:hAnsi="Times New Roman" w:eastAsia="宋体" w:cs="Times New Roman"/>
                <w:sz w:val="21"/>
                <w:szCs w:val="21"/>
                <w:lang w:val="en-US" w:eastAsia="zh-CN" w:bidi="ar-SA"/>
              </w:rPr>
            </w:pPr>
            <w:r>
              <w:rPr>
                <w:rFonts w:hint="eastAsia"/>
              </w:rPr>
              <w:t>1.5</w:t>
            </w:r>
          </w:p>
        </w:tc>
        <w:tc>
          <w:tcPr>
            <w:tcW w:w="2480" w:type="dxa"/>
            <w:vMerge w:val="continue"/>
            <w:tcBorders>
              <w:tl2br w:val="nil"/>
              <w:tr2bl w:val="nil"/>
            </w:tcBorders>
            <w:noWrap w:val="0"/>
            <w:vAlign w:val="center"/>
          </w:tcPr>
          <w:p w14:paraId="0CB4B3C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1DC8DC3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409E600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6</w:t>
            </w:r>
          </w:p>
        </w:tc>
        <w:tc>
          <w:tcPr>
            <w:tcW w:w="2090" w:type="dxa"/>
            <w:tcBorders>
              <w:tl2br w:val="nil"/>
              <w:tr2bl w:val="nil"/>
            </w:tcBorders>
            <w:noWrap w:val="0"/>
            <w:vAlign w:val="center"/>
          </w:tcPr>
          <w:p w14:paraId="3F8238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含镍污泥</w:t>
            </w:r>
          </w:p>
        </w:tc>
        <w:tc>
          <w:tcPr>
            <w:tcW w:w="1123" w:type="dxa"/>
            <w:tcBorders>
              <w:tl2br w:val="nil"/>
              <w:tr2bl w:val="nil"/>
            </w:tcBorders>
            <w:noWrap w:val="0"/>
            <w:vAlign w:val="center"/>
          </w:tcPr>
          <w:p w14:paraId="5C2AB03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508FDA5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HW17</w:t>
            </w:r>
          </w:p>
        </w:tc>
        <w:tc>
          <w:tcPr>
            <w:tcW w:w="925" w:type="dxa"/>
            <w:tcBorders>
              <w:tl2br w:val="nil"/>
              <w:tr2bl w:val="nil"/>
            </w:tcBorders>
            <w:shd w:val="clear" w:color="auto" w:fill="auto"/>
            <w:noWrap w:val="0"/>
            <w:vAlign w:val="center"/>
          </w:tcPr>
          <w:p w14:paraId="048A8A0B">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37.9515</w:t>
            </w:r>
          </w:p>
        </w:tc>
        <w:tc>
          <w:tcPr>
            <w:tcW w:w="2480" w:type="dxa"/>
            <w:vMerge w:val="continue"/>
            <w:tcBorders>
              <w:tl2br w:val="nil"/>
              <w:tr2bl w:val="nil"/>
            </w:tcBorders>
            <w:noWrap w:val="0"/>
            <w:vAlign w:val="center"/>
          </w:tcPr>
          <w:p w14:paraId="05C6657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6894EC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767FD7F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7</w:t>
            </w:r>
          </w:p>
        </w:tc>
        <w:tc>
          <w:tcPr>
            <w:tcW w:w="2090" w:type="dxa"/>
            <w:tcBorders>
              <w:tl2br w:val="nil"/>
              <w:tr2bl w:val="nil"/>
            </w:tcBorders>
            <w:noWrap w:val="0"/>
            <w:vAlign w:val="center"/>
          </w:tcPr>
          <w:p w14:paraId="28DD3F8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含镍废活性炭</w:t>
            </w:r>
          </w:p>
        </w:tc>
        <w:tc>
          <w:tcPr>
            <w:tcW w:w="1123" w:type="dxa"/>
            <w:tcBorders>
              <w:tl2br w:val="nil"/>
              <w:tr2bl w:val="nil"/>
            </w:tcBorders>
            <w:noWrap w:val="0"/>
            <w:vAlign w:val="center"/>
          </w:tcPr>
          <w:p w14:paraId="4E7FF22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4928CCA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shd w:val="clear" w:color="auto" w:fill="auto"/>
            <w:noWrap w:val="0"/>
            <w:vAlign w:val="center"/>
          </w:tcPr>
          <w:p w14:paraId="6CADA18E">
            <w:pPr>
              <w:pStyle w:val="75"/>
              <w:ind w:firstLine="0" w:firstLineChars="0"/>
              <w:rPr>
                <w:rFonts w:hint="default" w:ascii="Times New Roman" w:hAnsi="Times New Roman" w:eastAsia="宋体" w:cs="Times New Roman"/>
                <w:sz w:val="21"/>
                <w:szCs w:val="21"/>
                <w:lang w:val="en-US" w:eastAsia="zh-CN" w:bidi="ar-SA"/>
              </w:rPr>
            </w:pPr>
            <w:r>
              <w:rPr>
                <w:rFonts w:hint="eastAsia"/>
              </w:rPr>
              <w:t>0.1</w:t>
            </w:r>
          </w:p>
        </w:tc>
        <w:tc>
          <w:tcPr>
            <w:tcW w:w="2480" w:type="dxa"/>
            <w:vMerge w:val="continue"/>
            <w:tcBorders>
              <w:tl2br w:val="nil"/>
              <w:tr2bl w:val="nil"/>
            </w:tcBorders>
            <w:noWrap w:val="0"/>
            <w:vAlign w:val="center"/>
          </w:tcPr>
          <w:p w14:paraId="6964BE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p>
        </w:tc>
      </w:tr>
      <w:tr w14:paraId="71D4261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572FF0A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position w:val="0"/>
                <w:sz w:val="21"/>
                <w:szCs w:val="21"/>
                <w:lang w:eastAsia="zh-CN"/>
              </w:rPr>
            </w:pPr>
            <w:r>
              <w:rPr>
                <w:rFonts w:hint="default" w:ascii="Times New Roman" w:hAnsi="Times New Roman" w:eastAsia="宋体" w:cs="Times New Roman"/>
                <w:spacing w:val="0"/>
                <w:kern w:val="21"/>
                <w:position w:val="0"/>
                <w:sz w:val="21"/>
                <w:szCs w:val="21"/>
                <w:lang w:val="en-US" w:eastAsia="zh-CN"/>
              </w:rPr>
              <w:t>8</w:t>
            </w:r>
          </w:p>
        </w:tc>
        <w:tc>
          <w:tcPr>
            <w:tcW w:w="2090" w:type="dxa"/>
            <w:tcBorders>
              <w:tl2br w:val="nil"/>
              <w:tr2bl w:val="nil"/>
            </w:tcBorders>
            <w:noWrap w:val="0"/>
            <w:vAlign w:val="center"/>
          </w:tcPr>
          <w:p w14:paraId="60D942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含镍废过滤膜</w:t>
            </w:r>
          </w:p>
        </w:tc>
        <w:tc>
          <w:tcPr>
            <w:tcW w:w="1123" w:type="dxa"/>
            <w:tcBorders>
              <w:tl2br w:val="nil"/>
              <w:tr2bl w:val="nil"/>
            </w:tcBorders>
            <w:noWrap w:val="0"/>
            <w:vAlign w:val="center"/>
          </w:tcPr>
          <w:p w14:paraId="1C11146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11D22B1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shd w:val="clear" w:color="auto" w:fill="auto"/>
            <w:noWrap w:val="0"/>
            <w:vAlign w:val="center"/>
          </w:tcPr>
          <w:p w14:paraId="4327435A">
            <w:pPr>
              <w:pStyle w:val="75"/>
              <w:ind w:firstLine="0" w:firstLineChars="0"/>
              <w:rPr>
                <w:rFonts w:hint="default" w:ascii="Times New Roman" w:hAnsi="Times New Roman" w:eastAsia="宋体" w:cs="Times New Roman"/>
                <w:sz w:val="21"/>
                <w:szCs w:val="21"/>
                <w:lang w:val="en-US" w:eastAsia="zh-CN" w:bidi="ar-SA"/>
              </w:rPr>
            </w:pPr>
            <w:r>
              <w:rPr>
                <w:rFonts w:hint="eastAsia"/>
              </w:rPr>
              <w:t>0.05</w:t>
            </w:r>
          </w:p>
        </w:tc>
        <w:tc>
          <w:tcPr>
            <w:tcW w:w="2480" w:type="dxa"/>
            <w:vMerge w:val="continue"/>
            <w:tcBorders>
              <w:tl2br w:val="nil"/>
              <w:tr2bl w:val="nil"/>
            </w:tcBorders>
            <w:noWrap w:val="0"/>
            <w:vAlign w:val="center"/>
          </w:tcPr>
          <w:p w14:paraId="066ACF43">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1B9AC1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1411B86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position w:val="0"/>
                <w:sz w:val="21"/>
                <w:szCs w:val="21"/>
                <w:lang w:eastAsia="zh-CN"/>
              </w:rPr>
            </w:pPr>
            <w:r>
              <w:rPr>
                <w:rFonts w:hint="default" w:ascii="Times New Roman" w:hAnsi="Times New Roman" w:eastAsia="宋体" w:cs="Times New Roman"/>
                <w:spacing w:val="0"/>
                <w:kern w:val="21"/>
                <w:position w:val="0"/>
                <w:sz w:val="21"/>
                <w:szCs w:val="21"/>
                <w:lang w:val="en-US" w:eastAsia="zh-CN"/>
              </w:rPr>
              <w:t>9</w:t>
            </w:r>
          </w:p>
        </w:tc>
        <w:tc>
          <w:tcPr>
            <w:tcW w:w="2090" w:type="dxa"/>
            <w:tcBorders>
              <w:tl2br w:val="nil"/>
              <w:tr2bl w:val="nil"/>
            </w:tcBorders>
            <w:noWrap w:val="0"/>
            <w:vAlign w:val="center"/>
          </w:tcPr>
          <w:p w14:paraId="431930E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含铬污泥</w:t>
            </w:r>
          </w:p>
        </w:tc>
        <w:tc>
          <w:tcPr>
            <w:tcW w:w="1123" w:type="dxa"/>
            <w:tcBorders>
              <w:tl2br w:val="nil"/>
              <w:tr2bl w:val="nil"/>
            </w:tcBorders>
            <w:noWrap w:val="0"/>
            <w:vAlign w:val="center"/>
          </w:tcPr>
          <w:p w14:paraId="3B3F0D8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16A8881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HW17</w:t>
            </w:r>
          </w:p>
        </w:tc>
        <w:tc>
          <w:tcPr>
            <w:tcW w:w="925" w:type="dxa"/>
            <w:tcBorders>
              <w:tl2br w:val="nil"/>
              <w:tr2bl w:val="nil"/>
            </w:tcBorders>
            <w:shd w:val="clear" w:color="auto" w:fill="auto"/>
            <w:noWrap w:val="0"/>
            <w:vAlign w:val="center"/>
          </w:tcPr>
          <w:p w14:paraId="5E883AAA">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1.0643</w:t>
            </w:r>
          </w:p>
        </w:tc>
        <w:tc>
          <w:tcPr>
            <w:tcW w:w="2480" w:type="dxa"/>
            <w:vMerge w:val="continue"/>
            <w:tcBorders>
              <w:tl2br w:val="nil"/>
              <w:tr2bl w:val="nil"/>
            </w:tcBorders>
            <w:noWrap w:val="0"/>
            <w:vAlign w:val="center"/>
          </w:tcPr>
          <w:p w14:paraId="756D2742">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1172D1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15EFFA3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10</w:t>
            </w:r>
          </w:p>
        </w:tc>
        <w:tc>
          <w:tcPr>
            <w:tcW w:w="2090" w:type="dxa"/>
            <w:tcBorders>
              <w:tl2br w:val="nil"/>
              <w:tr2bl w:val="nil"/>
            </w:tcBorders>
            <w:noWrap w:val="0"/>
            <w:vAlign w:val="center"/>
          </w:tcPr>
          <w:p w14:paraId="2275B23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含铬废活性炭</w:t>
            </w:r>
          </w:p>
        </w:tc>
        <w:tc>
          <w:tcPr>
            <w:tcW w:w="1123" w:type="dxa"/>
            <w:tcBorders>
              <w:tl2br w:val="nil"/>
              <w:tr2bl w:val="nil"/>
            </w:tcBorders>
            <w:noWrap w:val="0"/>
            <w:vAlign w:val="center"/>
          </w:tcPr>
          <w:p w14:paraId="46A3FCE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3B8F49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shd w:val="clear" w:color="auto" w:fill="auto"/>
            <w:noWrap w:val="0"/>
            <w:vAlign w:val="center"/>
          </w:tcPr>
          <w:p w14:paraId="6E1BC60F">
            <w:pPr>
              <w:pStyle w:val="75"/>
              <w:ind w:firstLine="0" w:firstLineChars="0"/>
              <w:rPr>
                <w:rFonts w:hint="default" w:ascii="Times New Roman" w:hAnsi="Times New Roman" w:eastAsia="宋体" w:cs="Times New Roman"/>
                <w:sz w:val="21"/>
                <w:szCs w:val="21"/>
                <w:lang w:val="en-US" w:eastAsia="zh-CN" w:bidi="ar-SA"/>
              </w:rPr>
            </w:pPr>
            <w:r>
              <w:rPr>
                <w:rFonts w:hint="eastAsia"/>
              </w:rPr>
              <w:t>0.1</w:t>
            </w:r>
          </w:p>
        </w:tc>
        <w:tc>
          <w:tcPr>
            <w:tcW w:w="2480" w:type="dxa"/>
            <w:vMerge w:val="continue"/>
            <w:tcBorders>
              <w:tl2br w:val="nil"/>
              <w:tr2bl w:val="nil"/>
            </w:tcBorders>
            <w:noWrap w:val="0"/>
            <w:vAlign w:val="center"/>
          </w:tcPr>
          <w:p w14:paraId="11D7D598">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01EA37A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2C93737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11</w:t>
            </w:r>
          </w:p>
        </w:tc>
        <w:tc>
          <w:tcPr>
            <w:tcW w:w="2090" w:type="dxa"/>
            <w:tcBorders>
              <w:tl2br w:val="nil"/>
              <w:tr2bl w:val="nil"/>
            </w:tcBorders>
            <w:noWrap w:val="0"/>
            <w:vAlign w:val="center"/>
          </w:tcPr>
          <w:p w14:paraId="4C9BECB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napToGrid w:val="0"/>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含铬废过滤膜</w:t>
            </w:r>
          </w:p>
        </w:tc>
        <w:tc>
          <w:tcPr>
            <w:tcW w:w="1123" w:type="dxa"/>
            <w:tcBorders>
              <w:tl2br w:val="nil"/>
              <w:tr2bl w:val="nil"/>
            </w:tcBorders>
            <w:noWrap w:val="0"/>
            <w:vAlign w:val="center"/>
          </w:tcPr>
          <w:p w14:paraId="7150B26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4E32FB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HW49</w:t>
            </w:r>
          </w:p>
        </w:tc>
        <w:tc>
          <w:tcPr>
            <w:tcW w:w="925" w:type="dxa"/>
            <w:tcBorders>
              <w:tl2br w:val="nil"/>
              <w:tr2bl w:val="nil"/>
            </w:tcBorders>
            <w:shd w:val="clear" w:color="auto" w:fill="auto"/>
            <w:noWrap w:val="0"/>
            <w:vAlign w:val="center"/>
          </w:tcPr>
          <w:p w14:paraId="3C6B4899">
            <w:pPr>
              <w:pStyle w:val="75"/>
              <w:ind w:firstLine="0" w:firstLineChars="0"/>
              <w:rPr>
                <w:rFonts w:hint="default" w:ascii="Times New Roman" w:hAnsi="Times New Roman" w:eastAsia="宋体" w:cs="Times New Roman"/>
                <w:sz w:val="21"/>
                <w:szCs w:val="21"/>
                <w:lang w:val="en-US" w:eastAsia="zh-CN" w:bidi="ar-SA"/>
              </w:rPr>
            </w:pPr>
            <w:r>
              <w:rPr>
                <w:rFonts w:hint="eastAsia"/>
              </w:rPr>
              <w:t>0.05</w:t>
            </w:r>
          </w:p>
        </w:tc>
        <w:tc>
          <w:tcPr>
            <w:tcW w:w="2480" w:type="dxa"/>
            <w:vMerge w:val="continue"/>
            <w:tcBorders>
              <w:tl2br w:val="nil"/>
              <w:tr2bl w:val="nil"/>
            </w:tcBorders>
            <w:noWrap w:val="0"/>
            <w:vAlign w:val="center"/>
          </w:tcPr>
          <w:p w14:paraId="22BDAF08">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06E38F6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73FBB50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12</w:t>
            </w:r>
          </w:p>
        </w:tc>
        <w:tc>
          <w:tcPr>
            <w:tcW w:w="2090" w:type="dxa"/>
            <w:tcBorders>
              <w:tl2br w:val="nil"/>
              <w:tr2bl w:val="nil"/>
            </w:tcBorders>
            <w:noWrap w:val="0"/>
            <w:vAlign w:val="center"/>
          </w:tcPr>
          <w:p w14:paraId="378E23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蒸发浓液</w:t>
            </w:r>
          </w:p>
        </w:tc>
        <w:tc>
          <w:tcPr>
            <w:tcW w:w="1123" w:type="dxa"/>
            <w:tcBorders>
              <w:tl2br w:val="nil"/>
              <w:tr2bl w:val="nil"/>
            </w:tcBorders>
            <w:noWrap w:val="0"/>
            <w:vAlign w:val="center"/>
          </w:tcPr>
          <w:p w14:paraId="5EC79F9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危险废物</w:t>
            </w:r>
          </w:p>
        </w:tc>
        <w:tc>
          <w:tcPr>
            <w:tcW w:w="1121" w:type="dxa"/>
            <w:tcBorders>
              <w:tl2br w:val="nil"/>
              <w:tr2bl w:val="nil"/>
            </w:tcBorders>
            <w:noWrap w:val="0"/>
            <w:vAlign w:val="center"/>
          </w:tcPr>
          <w:p w14:paraId="206B337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HW17</w:t>
            </w:r>
          </w:p>
        </w:tc>
        <w:tc>
          <w:tcPr>
            <w:tcW w:w="925" w:type="dxa"/>
            <w:tcBorders>
              <w:tl2br w:val="nil"/>
              <w:tr2bl w:val="nil"/>
            </w:tcBorders>
            <w:shd w:val="clear" w:color="auto" w:fill="auto"/>
            <w:noWrap w:val="0"/>
            <w:vAlign w:val="center"/>
          </w:tcPr>
          <w:p w14:paraId="422C4CF0">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95.1204</w:t>
            </w:r>
          </w:p>
        </w:tc>
        <w:tc>
          <w:tcPr>
            <w:tcW w:w="2480" w:type="dxa"/>
            <w:vMerge w:val="continue"/>
            <w:tcBorders>
              <w:tl2br w:val="nil"/>
              <w:tr2bl w:val="nil"/>
            </w:tcBorders>
            <w:noWrap w:val="0"/>
            <w:vAlign w:val="center"/>
          </w:tcPr>
          <w:p w14:paraId="21C930AD">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7BA03BA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232E22A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13</w:t>
            </w:r>
          </w:p>
        </w:tc>
        <w:tc>
          <w:tcPr>
            <w:tcW w:w="2090" w:type="dxa"/>
            <w:tcBorders>
              <w:tl2br w:val="nil"/>
              <w:tr2bl w:val="nil"/>
            </w:tcBorders>
            <w:noWrap w:val="0"/>
            <w:vAlign w:val="center"/>
          </w:tcPr>
          <w:p w14:paraId="1285E1E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废边角料</w:t>
            </w:r>
          </w:p>
        </w:tc>
        <w:tc>
          <w:tcPr>
            <w:tcW w:w="1123" w:type="dxa"/>
            <w:tcBorders>
              <w:tl2br w:val="nil"/>
              <w:tr2bl w:val="nil"/>
            </w:tcBorders>
            <w:noWrap w:val="0"/>
            <w:vAlign w:val="center"/>
          </w:tcPr>
          <w:p w14:paraId="1308C9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一般固废</w:t>
            </w:r>
          </w:p>
        </w:tc>
        <w:tc>
          <w:tcPr>
            <w:tcW w:w="1121" w:type="dxa"/>
            <w:tcBorders>
              <w:tl2br w:val="nil"/>
              <w:tr2bl w:val="nil"/>
            </w:tcBorders>
            <w:noWrap w:val="0"/>
            <w:vAlign w:val="center"/>
          </w:tcPr>
          <w:p w14:paraId="3FA7C4B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w:t>
            </w:r>
          </w:p>
        </w:tc>
        <w:tc>
          <w:tcPr>
            <w:tcW w:w="925" w:type="dxa"/>
            <w:tcBorders>
              <w:tl2br w:val="nil"/>
              <w:tr2bl w:val="nil"/>
            </w:tcBorders>
            <w:noWrap w:val="0"/>
            <w:vAlign w:val="center"/>
          </w:tcPr>
          <w:p w14:paraId="0CBE3B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1100</w:t>
            </w:r>
          </w:p>
        </w:tc>
        <w:tc>
          <w:tcPr>
            <w:tcW w:w="2480" w:type="dxa"/>
            <w:vMerge w:val="restart"/>
            <w:tcBorders>
              <w:tl2br w:val="nil"/>
              <w:tr2bl w:val="nil"/>
            </w:tcBorders>
            <w:noWrap w:val="0"/>
            <w:vAlign w:val="center"/>
          </w:tcPr>
          <w:p w14:paraId="2F97B53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position w:val="0"/>
                <w:sz w:val="21"/>
                <w:szCs w:val="21"/>
                <w:lang w:val="en-US" w:eastAsia="zh-CN"/>
              </w:rPr>
            </w:pPr>
            <w:r>
              <w:rPr>
                <w:rFonts w:hint="default" w:ascii="Times New Roman" w:hAnsi="Times New Roman" w:cs="Times New Roman"/>
                <w:spacing w:val="0"/>
                <w:kern w:val="21"/>
                <w:position w:val="0"/>
                <w:sz w:val="21"/>
                <w:szCs w:val="21"/>
              </w:rPr>
              <w:t>一般固废间暂存，定期外售综合利用或委托</w:t>
            </w:r>
            <w:r>
              <w:rPr>
                <w:rFonts w:hint="default" w:ascii="Times New Roman" w:hAnsi="Times New Roman" w:eastAsia="宋体" w:cs="Times New Roman"/>
                <w:spacing w:val="0"/>
                <w:kern w:val="21"/>
                <w:position w:val="0"/>
                <w:sz w:val="21"/>
                <w:szCs w:val="21"/>
                <w:lang w:val="en-US" w:eastAsia="zh-CN"/>
              </w:rPr>
              <w:t>处理</w:t>
            </w:r>
          </w:p>
        </w:tc>
      </w:tr>
      <w:tr w14:paraId="791F543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13A08B6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14</w:t>
            </w:r>
          </w:p>
        </w:tc>
        <w:tc>
          <w:tcPr>
            <w:tcW w:w="2090" w:type="dxa"/>
            <w:tcBorders>
              <w:tl2br w:val="nil"/>
              <w:tr2bl w:val="nil"/>
            </w:tcBorders>
            <w:noWrap w:val="0"/>
            <w:vAlign w:val="center"/>
          </w:tcPr>
          <w:p w14:paraId="3E16A5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不合格残次品</w:t>
            </w:r>
          </w:p>
        </w:tc>
        <w:tc>
          <w:tcPr>
            <w:tcW w:w="1123" w:type="dxa"/>
            <w:tcBorders>
              <w:tl2br w:val="nil"/>
              <w:tr2bl w:val="nil"/>
            </w:tcBorders>
            <w:noWrap w:val="0"/>
            <w:vAlign w:val="center"/>
          </w:tcPr>
          <w:p w14:paraId="0ADB903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一般固废</w:t>
            </w:r>
          </w:p>
        </w:tc>
        <w:tc>
          <w:tcPr>
            <w:tcW w:w="1121" w:type="dxa"/>
            <w:tcBorders>
              <w:tl2br w:val="nil"/>
              <w:tr2bl w:val="nil"/>
            </w:tcBorders>
            <w:noWrap w:val="0"/>
            <w:vAlign w:val="center"/>
          </w:tcPr>
          <w:p w14:paraId="524DAAE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w:t>
            </w:r>
          </w:p>
        </w:tc>
        <w:tc>
          <w:tcPr>
            <w:tcW w:w="925" w:type="dxa"/>
            <w:tcBorders>
              <w:tl2br w:val="nil"/>
              <w:tr2bl w:val="nil"/>
            </w:tcBorders>
            <w:noWrap w:val="0"/>
            <w:vAlign w:val="center"/>
          </w:tcPr>
          <w:p w14:paraId="50FC17F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600</w:t>
            </w:r>
          </w:p>
        </w:tc>
        <w:tc>
          <w:tcPr>
            <w:tcW w:w="2480" w:type="dxa"/>
            <w:vMerge w:val="continue"/>
            <w:tcBorders>
              <w:tl2br w:val="nil"/>
              <w:tr2bl w:val="nil"/>
            </w:tcBorders>
            <w:noWrap w:val="0"/>
            <w:vAlign w:val="center"/>
          </w:tcPr>
          <w:p w14:paraId="00B2C573">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4C8C818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7D4D30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15</w:t>
            </w:r>
          </w:p>
        </w:tc>
        <w:tc>
          <w:tcPr>
            <w:tcW w:w="2090" w:type="dxa"/>
            <w:tcBorders>
              <w:tl2br w:val="nil"/>
              <w:tr2bl w:val="nil"/>
            </w:tcBorders>
            <w:noWrap w:val="0"/>
            <w:vAlign w:val="center"/>
          </w:tcPr>
          <w:p w14:paraId="737F2D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污泥</w:t>
            </w:r>
          </w:p>
        </w:tc>
        <w:tc>
          <w:tcPr>
            <w:tcW w:w="1123" w:type="dxa"/>
            <w:tcBorders>
              <w:tl2br w:val="nil"/>
              <w:tr2bl w:val="nil"/>
            </w:tcBorders>
            <w:noWrap w:val="0"/>
            <w:vAlign w:val="center"/>
          </w:tcPr>
          <w:p w14:paraId="67C11E3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一般固废</w:t>
            </w:r>
          </w:p>
        </w:tc>
        <w:tc>
          <w:tcPr>
            <w:tcW w:w="1121" w:type="dxa"/>
            <w:tcBorders>
              <w:tl2br w:val="nil"/>
              <w:tr2bl w:val="nil"/>
            </w:tcBorders>
            <w:noWrap w:val="0"/>
            <w:vAlign w:val="center"/>
          </w:tcPr>
          <w:p w14:paraId="5CC0B9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position w:val="0"/>
                <w:sz w:val="21"/>
                <w:szCs w:val="21"/>
              </w:rPr>
            </w:pPr>
            <w:r>
              <w:rPr>
                <w:rFonts w:hint="default" w:ascii="Times New Roman" w:hAnsi="Times New Roman" w:eastAsia="Times New Roman" w:cs="Times New Roman"/>
                <w:spacing w:val="0"/>
                <w:kern w:val="21"/>
                <w:position w:val="0"/>
                <w:sz w:val="21"/>
                <w:szCs w:val="21"/>
              </w:rPr>
              <w:t>/</w:t>
            </w:r>
          </w:p>
        </w:tc>
        <w:tc>
          <w:tcPr>
            <w:tcW w:w="925" w:type="dxa"/>
            <w:tcBorders>
              <w:tl2br w:val="nil"/>
              <w:tr2bl w:val="nil"/>
            </w:tcBorders>
            <w:noWrap w:val="0"/>
            <w:vAlign w:val="center"/>
          </w:tcPr>
          <w:p w14:paraId="04997C6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pacing w:val="0"/>
                <w:kern w:val="21"/>
                <w:position w:val="0"/>
                <w:sz w:val="21"/>
                <w:szCs w:val="21"/>
                <w:lang w:val="en-US" w:eastAsia="zh-CN"/>
              </w:rPr>
            </w:pPr>
            <w:r>
              <w:rPr>
                <w:rFonts w:hint="eastAsia" w:cs="Times New Roman"/>
                <w:i w:val="0"/>
                <w:iCs w:val="0"/>
                <w:color w:val="000000"/>
                <w:kern w:val="0"/>
                <w:sz w:val="21"/>
                <w:szCs w:val="21"/>
                <w:u w:val="none"/>
                <w:lang w:val="en-US" w:eastAsia="zh-CN" w:bidi="ar"/>
              </w:rPr>
              <w:t>4.30</w:t>
            </w:r>
          </w:p>
        </w:tc>
        <w:tc>
          <w:tcPr>
            <w:tcW w:w="2480" w:type="dxa"/>
            <w:vMerge w:val="continue"/>
            <w:tcBorders>
              <w:tl2br w:val="nil"/>
              <w:tr2bl w:val="nil"/>
            </w:tcBorders>
            <w:noWrap w:val="0"/>
            <w:vAlign w:val="center"/>
          </w:tcPr>
          <w:p w14:paraId="326455D0">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r w14:paraId="1F0686D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33" w:type="dxa"/>
            <w:tcBorders>
              <w:tl2br w:val="nil"/>
              <w:tr2bl w:val="nil"/>
            </w:tcBorders>
            <w:noWrap w:val="0"/>
            <w:vAlign w:val="center"/>
          </w:tcPr>
          <w:p w14:paraId="4486210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spacing w:val="0"/>
                <w:kern w:val="21"/>
                <w:position w:val="0"/>
                <w:sz w:val="21"/>
                <w:szCs w:val="21"/>
                <w:lang w:val="en-US" w:eastAsia="zh-CN"/>
              </w:rPr>
              <w:t>16</w:t>
            </w:r>
          </w:p>
        </w:tc>
        <w:tc>
          <w:tcPr>
            <w:tcW w:w="2090" w:type="dxa"/>
            <w:tcBorders>
              <w:tl2br w:val="nil"/>
              <w:tr2bl w:val="nil"/>
            </w:tcBorders>
            <w:noWrap w:val="0"/>
            <w:vAlign w:val="center"/>
          </w:tcPr>
          <w:p w14:paraId="1EE7E41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napToGrid w:val="0"/>
                <w:spacing w:val="0"/>
                <w:kern w:val="21"/>
                <w:positio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废反渗透膜</w:t>
            </w:r>
          </w:p>
        </w:tc>
        <w:tc>
          <w:tcPr>
            <w:tcW w:w="1123" w:type="dxa"/>
            <w:tcBorders>
              <w:tl2br w:val="nil"/>
              <w:tr2bl w:val="nil"/>
            </w:tcBorders>
            <w:noWrap w:val="0"/>
            <w:vAlign w:val="center"/>
          </w:tcPr>
          <w:p w14:paraId="5BAD982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cs="Times New Roman"/>
                <w:spacing w:val="0"/>
                <w:kern w:val="21"/>
                <w:position w:val="0"/>
                <w:sz w:val="21"/>
                <w:szCs w:val="21"/>
              </w:rPr>
              <w:t>一般固废</w:t>
            </w:r>
          </w:p>
        </w:tc>
        <w:tc>
          <w:tcPr>
            <w:tcW w:w="1121" w:type="dxa"/>
            <w:tcBorders>
              <w:tl2br w:val="nil"/>
              <w:tr2bl w:val="nil"/>
            </w:tcBorders>
            <w:noWrap w:val="0"/>
            <w:vAlign w:val="center"/>
          </w:tcPr>
          <w:p w14:paraId="34B39D7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snapToGrid w:val="0"/>
                <w:spacing w:val="0"/>
                <w:kern w:val="21"/>
                <w:position w:val="0"/>
                <w:sz w:val="21"/>
                <w:szCs w:val="21"/>
              </w:rPr>
            </w:pPr>
            <w:r>
              <w:rPr>
                <w:rFonts w:hint="default" w:ascii="Times New Roman" w:hAnsi="Times New Roman" w:eastAsia="Times New Roman" w:cs="Times New Roman"/>
                <w:spacing w:val="0"/>
                <w:kern w:val="21"/>
                <w:position w:val="0"/>
                <w:sz w:val="21"/>
                <w:szCs w:val="21"/>
              </w:rPr>
              <w:t>/</w:t>
            </w:r>
          </w:p>
        </w:tc>
        <w:tc>
          <w:tcPr>
            <w:tcW w:w="925" w:type="dxa"/>
            <w:tcBorders>
              <w:tl2br w:val="nil"/>
              <w:tr2bl w:val="nil"/>
            </w:tcBorders>
            <w:noWrap w:val="0"/>
            <w:vAlign w:val="center"/>
          </w:tcPr>
          <w:p w14:paraId="5F7AE12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snapToGrid w:val="0"/>
                <w:spacing w:val="0"/>
                <w:kern w:val="21"/>
                <w:position w:val="0"/>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0.1</w:t>
            </w:r>
          </w:p>
        </w:tc>
        <w:tc>
          <w:tcPr>
            <w:tcW w:w="2480" w:type="dxa"/>
            <w:vMerge w:val="continue"/>
            <w:tcBorders>
              <w:tl2br w:val="nil"/>
              <w:tr2bl w:val="nil"/>
            </w:tcBorders>
            <w:noWrap w:val="0"/>
            <w:vAlign w:val="center"/>
          </w:tcPr>
          <w:p w14:paraId="4ABBA4E5">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p>
        </w:tc>
      </w:tr>
    </w:tbl>
    <w:p w14:paraId="5842CBB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eastAsia" w:ascii="Times New Roman" w:hAnsi="Times New Roman"/>
          <w:lang w:val="en-US" w:eastAsia="zh-CN"/>
        </w:rPr>
        <w:t>5.5.2本项目固体废物处置及环境影响分析</w:t>
      </w:r>
    </w:p>
    <w:p w14:paraId="22D73FE7">
      <w:pPr>
        <w:ind w:left="0" w:leftChars="0" w:firstLine="480" w:firstLineChars="200"/>
        <w:rPr>
          <w:rFonts w:hint="eastAsia"/>
          <w:lang w:val="en-US" w:eastAsia="zh-CN"/>
        </w:rPr>
      </w:pPr>
      <w:bookmarkStart w:id="579" w:name="_Toc20479"/>
      <w:r>
        <w:rPr>
          <w:rFonts w:hint="default" w:ascii="Times New Roman" w:hAnsi="Times New Roman" w:eastAsia="宋体" w:cs="Times New Roman"/>
          <w:sz w:val="24"/>
          <w:szCs w:val="22"/>
          <w:highlight w:val="none"/>
        </w:rPr>
        <w:t>本项目按照《建设项目危险废物环境影响评价指南》相关要求从固废产生、收集、贮存、运输、利用和处置全过程进行影响分析。</w:t>
      </w:r>
      <w:bookmarkEnd w:id="579"/>
    </w:p>
    <w:p w14:paraId="32EE3C9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lang w:val="en-US" w:eastAsia="zh-CN"/>
        </w:rPr>
      </w:pPr>
      <w:r>
        <w:rPr>
          <w:rFonts w:hint="eastAsia"/>
          <w:lang w:val="en-US" w:eastAsia="zh-CN"/>
        </w:rPr>
        <w:t>5.5.2.1本项目固体废物产生及处置情况</w:t>
      </w:r>
    </w:p>
    <w:p w14:paraId="5D33B55F">
      <w:pPr>
        <w:keepNext w:val="0"/>
        <w:keepLines w:val="0"/>
        <w:pageBreakBefore w:val="0"/>
        <w:widowControl/>
        <w:tabs>
          <w:tab w:val="left" w:pos="960"/>
          <w:tab w:val="left" w:pos="1200"/>
        </w:tabs>
        <w:kinsoku/>
        <w:wordWrap/>
        <w:overflowPunct/>
        <w:topLinePunct/>
        <w:autoSpaceDE w:val="0"/>
        <w:autoSpaceDN/>
        <w:bidi w:val="0"/>
        <w:adjustRightInd w:val="0"/>
        <w:snapToGrid w:val="0"/>
        <w:ind w:firstLine="301"/>
        <w:textAlignment w:val="auto"/>
        <w:outlineLvl w:val="9"/>
        <w:rPr>
          <w:rFonts w:hint="default" w:ascii="Times New Roman" w:hAnsi="Times New Roman" w:eastAsia="宋体" w:cs="Times New Roman"/>
          <w:sz w:val="24"/>
          <w:szCs w:val="22"/>
          <w:highlight w:val="none"/>
        </w:rPr>
      </w:pPr>
      <w:r>
        <w:rPr>
          <w:rFonts w:hint="eastAsia"/>
        </w:rPr>
        <w:t>该工程营运期间产生的固废包括一般固废和危险废物两大类，其中一般固废包括废边角料、不合格残次品、污泥和废反渗透膜；危险废物主要包括废包装物、废槽渣，废滤芯和废活性炭，废油渣，废液压油，含镍废水处理系统产生的污泥、废活性炭、废过滤膜，含铬废水处理系统产生的污泥、废活性炭、废过滤膜，蒸发系统产生的蒸发浓液</w:t>
      </w:r>
      <w:r>
        <w:rPr>
          <w:rFonts w:hint="eastAsia"/>
          <w:lang w:val="en-US" w:eastAsia="zh-CN"/>
        </w:rPr>
        <w:t>；一般固体废物主要有废边角料、不合格残次品、污泥以及废反渗透膜。</w:t>
      </w:r>
      <w:r>
        <w:rPr>
          <w:rFonts w:hint="default" w:ascii="Times New Roman" w:hAnsi="Times New Roman" w:eastAsia="宋体" w:cs="Times New Roman"/>
          <w:sz w:val="24"/>
          <w:szCs w:val="22"/>
          <w:highlight w:val="none"/>
        </w:rPr>
        <w:t>具体处置情况见表</w:t>
      </w:r>
      <w:r>
        <w:rPr>
          <w:rFonts w:hint="eastAsia" w:cs="Times New Roman"/>
          <w:sz w:val="24"/>
          <w:szCs w:val="22"/>
          <w:highlight w:val="none"/>
          <w:lang w:val="en-US" w:eastAsia="zh-CN"/>
        </w:rPr>
        <w:t>5-32</w:t>
      </w:r>
      <w:r>
        <w:rPr>
          <w:rFonts w:hint="default" w:ascii="Times New Roman" w:hAnsi="Times New Roman" w:eastAsia="宋体" w:cs="Times New Roman"/>
          <w:sz w:val="24"/>
          <w:szCs w:val="22"/>
          <w:highlight w:val="none"/>
        </w:rPr>
        <w:t>。</w:t>
      </w:r>
    </w:p>
    <w:p w14:paraId="40FB8C11">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5.5.2.2固废废物贮存场所（设施）环境影响分析</w:t>
      </w:r>
    </w:p>
    <w:p w14:paraId="5CE41432">
      <w:pPr>
        <w:pStyle w:val="72"/>
        <w:rPr>
          <w:rFonts w:hint="eastAsia"/>
        </w:rPr>
      </w:pPr>
      <w:r>
        <w:rPr>
          <w:rFonts w:hint="eastAsia"/>
        </w:rPr>
        <w:t>（1）一般固废暂存措施</w:t>
      </w:r>
    </w:p>
    <w:p w14:paraId="12D13A68">
      <w:pPr>
        <w:pStyle w:val="72"/>
        <w:rPr>
          <w:rFonts w:hint="eastAsia"/>
        </w:rPr>
      </w:pPr>
      <w:r>
        <w:rPr>
          <w:rFonts w:hint="eastAsia"/>
        </w:rPr>
        <w:t>根据本项目固废特点，评价建议按照《一般工业固体废物贮存和填埋污染控制标准》（GB18599-2020）的要求规范建设50m</w:t>
      </w:r>
      <w:r>
        <w:rPr>
          <w:rFonts w:hint="eastAsia"/>
          <w:vertAlign w:val="superscript"/>
        </w:rPr>
        <w:t>2</w:t>
      </w:r>
      <w:r>
        <w:rPr>
          <w:rFonts w:hint="eastAsia"/>
        </w:rPr>
        <w:t>的全密闭一般固废堆存间1座。</w:t>
      </w:r>
    </w:p>
    <w:p w14:paraId="75C16ABB">
      <w:pPr>
        <w:pStyle w:val="72"/>
        <w:rPr>
          <w:rFonts w:hint="eastAsia"/>
        </w:rPr>
      </w:pPr>
      <w:r>
        <w:rPr>
          <w:rFonts w:hint="eastAsia"/>
        </w:rPr>
        <w:t>（2）危险废物暂存措施</w:t>
      </w:r>
    </w:p>
    <w:p w14:paraId="70CB98F3">
      <w:pPr>
        <w:pStyle w:val="72"/>
        <w:rPr>
          <w:rFonts w:hint="eastAsia"/>
        </w:rPr>
      </w:pPr>
      <w:r>
        <w:rPr>
          <w:rFonts w:hint="eastAsia"/>
        </w:rPr>
        <w:t>为了保证本项目完成后全厂危险废物在厂内的临时贮存满足规范要求，拟建设1座</w:t>
      </w:r>
      <w:r>
        <w:rPr>
          <w:rFonts w:hint="eastAsia"/>
          <w:lang w:val="en-US" w:eastAsia="zh-CN"/>
        </w:rPr>
        <w:t>50</w:t>
      </w:r>
      <w:r>
        <w:rPr>
          <w:rFonts w:hint="eastAsia"/>
        </w:rPr>
        <w:t>m</w:t>
      </w:r>
      <w:r>
        <w:rPr>
          <w:rFonts w:hint="eastAsia"/>
          <w:vertAlign w:val="superscript"/>
        </w:rPr>
        <w:t>2</w:t>
      </w:r>
      <w:r>
        <w:rPr>
          <w:rFonts w:hint="eastAsia"/>
        </w:rPr>
        <w:t>危险废物暂存间，对各类危废按规范要求分类堆放并设置明显的标示牌，不同类别危废采用隔断分隔，不同属性的危废应该分区堆存。危废暂存间满足“四防”（防风、防雨、防晒、防渗漏）设计要求，具备防渗措施和渗漏收集措施。</w:t>
      </w:r>
    </w:p>
    <w:p w14:paraId="7EB037D6">
      <w:pPr>
        <w:pStyle w:val="72"/>
        <w:rPr>
          <w:rFonts w:hint="eastAsia"/>
        </w:rPr>
      </w:pPr>
      <w:r>
        <w:rPr>
          <w:rFonts w:hint="eastAsia"/>
        </w:rPr>
        <w:t>（3）危废暂存间贮存能力分析</w:t>
      </w:r>
    </w:p>
    <w:p w14:paraId="046E2710">
      <w:pPr>
        <w:pStyle w:val="72"/>
        <w:rPr>
          <w:rFonts w:hint="eastAsia"/>
        </w:rPr>
      </w:pPr>
      <w:r>
        <w:rPr>
          <w:rFonts w:hint="eastAsia"/>
        </w:rPr>
        <w:t>本项目危险废物最大贮存周期为90天，危险废物均采用专用包装容器，不得混放，暂存间面积</w:t>
      </w:r>
      <w:r>
        <w:rPr>
          <w:rFonts w:hint="eastAsia"/>
          <w:lang w:val="en-US" w:eastAsia="zh-CN"/>
        </w:rPr>
        <w:t>50</w:t>
      </w:r>
      <w:r>
        <w:rPr>
          <w:rFonts w:hint="eastAsia"/>
        </w:rPr>
        <w:t>m</w:t>
      </w:r>
      <w:r>
        <w:rPr>
          <w:rFonts w:hint="eastAsia"/>
          <w:vertAlign w:val="superscript"/>
        </w:rPr>
        <w:t>2</w:t>
      </w:r>
      <w:r>
        <w:rPr>
          <w:rFonts w:hint="eastAsia"/>
        </w:rPr>
        <w:t>，满足项目危废周转、暂存需要。</w:t>
      </w:r>
    </w:p>
    <w:p w14:paraId="47241549">
      <w:pPr>
        <w:pStyle w:val="72"/>
        <w:rPr>
          <w:rFonts w:hint="eastAsia"/>
        </w:rPr>
      </w:pPr>
      <w:r>
        <w:rPr>
          <w:rFonts w:hint="eastAsia"/>
        </w:rPr>
        <w:t>（4）危险废物贮存场选址的可行性分析</w:t>
      </w:r>
    </w:p>
    <w:p w14:paraId="431E4C5D">
      <w:pPr>
        <w:pStyle w:val="72"/>
        <w:rPr>
          <w:rFonts w:hint="eastAsia"/>
        </w:rPr>
      </w:pPr>
      <w:r>
        <w:rPr>
          <w:rFonts w:hint="eastAsia"/>
        </w:rPr>
        <w:t>对照《危险废物贮存污染控制标准》（GB18597-2023）的要求，结合区域环境条件，本项目危险废物贮存场选址的可行性，见下表。</w:t>
      </w:r>
    </w:p>
    <w:p w14:paraId="1E106E0B">
      <w:pPr>
        <w:ind w:left="0" w:leftChars="0" w:firstLine="0" w:firstLineChars="0"/>
        <w:jc w:val="center"/>
        <w:rPr>
          <w:rFonts w:hint="eastAsia"/>
          <w:b/>
          <w:bCs/>
          <w:lang w:val="en-US" w:eastAsia="zh-CN"/>
        </w:rPr>
      </w:pPr>
      <w:r>
        <w:rPr>
          <w:rFonts w:ascii="Times New Roman" w:hAnsi="Times New Roman"/>
          <w:b/>
          <w:bCs/>
        </w:rPr>
        <w:t>表</w:t>
      </w:r>
      <w:r>
        <w:rPr>
          <w:rFonts w:hint="eastAsia"/>
          <w:b/>
          <w:bCs/>
          <w:lang w:val="en-US" w:eastAsia="zh-CN"/>
        </w:rPr>
        <w:t>5.5-2</w:t>
      </w:r>
      <w:r>
        <w:rPr>
          <w:rFonts w:ascii="Times New Roman" w:hAnsi="Times New Roman"/>
          <w:b/>
          <w:bCs/>
        </w:rPr>
        <w:t xml:space="preserve">    </w:t>
      </w:r>
      <w:r>
        <w:rPr>
          <w:rFonts w:hint="eastAsia" w:ascii="Times New Roman" w:hAnsi="Times New Roman"/>
          <w:b/>
          <w:bCs/>
        </w:rPr>
        <w:t>与《危险废物贮存污染控制标准》（GB18597-2023）的相符性分析</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508"/>
        <w:gridCol w:w="3560"/>
        <w:gridCol w:w="3457"/>
        <w:gridCol w:w="846"/>
      </w:tblGrid>
      <w:tr w14:paraId="12B4CA3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7" w:type="dxa"/>
            <w:tcBorders>
              <w:tl2br w:val="nil"/>
              <w:tr2bl w:val="nil"/>
            </w:tcBorders>
            <w:noWrap w:val="0"/>
            <w:vAlign w:val="center"/>
          </w:tcPr>
          <w:p w14:paraId="06A1DAE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序号</w:t>
            </w:r>
          </w:p>
        </w:tc>
        <w:tc>
          <w:tcPr>
            <w:tcW w:w="3556" w:type="dxa"/>
            <w:tcBorders>
              <w:tl2br w:val="nil"/>
              <w:tr2bl w:val="nil"/>
            </w:tcBorders>
            <w:noWrap w:val="0"/>
            <w:vAlign w:val="center"/>
          </w:tcPr>
          <w:p w14:paraId="3534644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选址条件</w:t>
            </w:r>
          </w:p>
        </w:tc>
        <w:tc>
          <w:tcPr>
            <w:tcW w:w="3454" w:type="dxa"/>
            <w:tcBorders>
              <w:tl2br w:val="nil"/>
              <w:tr2bl w:val="nil"/>
            </w:tcBorders>
            <w:noWrap w:val="0"/>
            <w:vAlign w:val="center"/>
          </w:tcPr>
          <w:p w14:paraId="5B28B3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本项目危废暂存间指标</w:t>
            </w:r>
          </w:p>
        </w:tc>
        <w:tc>
          <w:tcPr>
            <w:tcW w:w="846" w:type="dxa"/>
            <w:tcBorders>
              <w:tl2br w:val="nil"/>
              <w:tr2bl w:val="nil"/>
            </w:tcBorders>
            <w:noWrap w:val="0"/>
            <w:vAlign w:val="center"/>
          </w:tcPr>
          <w:p w14:paraId="1DE3D0A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rPr>
            </w:pPr>
            <w:r>
              <w:rPr>
                <w:rFonts w:hint="default" w:ascii="Times New Roman" w:hAnsi="Times New Roman" w:cs="Times New Roman"/>
                <w:b/>
                <w:bCs/>
                <w:spacing w:val="0"/>
                <w:kern w:val="21"/>
                <w:sz w:val="21"/>
                <w:szCs w:val="24"/>
              </w:rPr>
              <w:t>符合性分析</w:t>
            </w:r>
          </w:p>
        </w:tc>
      </w:tr>
      <w:tr w14:paraId="398765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7" w:type="dxa"/>
            <w:tcBorders>
              <w:tl2br w:val="nil"/>
              <w:tr2bl w:val="nil"/>
            </w:tcBorders>
            <w:noWrap w:val="0"/>
            <w:vAlign w:val="center"/>
          </w:tcPr>
          <w:p w14:paraId="268002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1</w:t>
            </w:r>
          </w:p>
        </w:tc>
        <w:tc>
          <w:tcPr>
            <w:tcW w:w="3556" w:type="dxa"/>
            <w:tcBorders>
              <w:tl2br w:val="nil"/>
              <w:tr2bl w:val="nil"/>
            </w:tcBorders>
            <w:noWrap w:val="0"/>
            <w:vAlign w:val="center"/>
          </w:tcPr>
          <w:p w14:paraId="7517765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贮存设施选址应满足生态环境保护法律法规、规划和“三线一单”生态环境分区管控的要求，建设项目应依法进行环境影响评价。</w:t>
            </w:r>
          </w:p>
        </w:tc>
        <w:tc>
          <w:tcPr>
            <w:tcW w:w="3454" w:type="dxa"/>
            <w:tcBorders>
              <w:tl2br w:val="nil"/>
              <w:tr2bl w:val="nil"/>
            </w:tcBorders>
            <w:noWrap w:val="0"/>
            <w:vAlign w:val="center"/>
          </w:tcPr>
          <w:p w14:paraId="3AE9F9B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本项目危废暂存间位于</w:t>
            </w:r>
            <w:r>
              <w:rPr>
                <w:rFonts w:hint="eastAsia" w:ascii="Times New Roman" w:hAnsi="Times New Roman" w:eastAsia="宋体" w:cs="Times New Roman"/>
                <w:spacing w:val="0"/>
                <w:kern w:val="21"/>
                <w:sz w:val="21"/>
                <w:szCs w:val="24"/>
                <w:lang w:val="en-US" w:eastAsia="zh-CN"/>
              </w:rPr>
              <w:t>新乡市获嘉县先进制造业开发区内</w:t>
            </w:r>
            <w:r>
              <w:rPr>
                <w:rFonts w:hint="default" w:ascii="Times New Roman" w:hAnsi="Times New Roman" w:cs="Times New Roman"/>
                <w:spacing w:val="0"/>
                <w:kern w:val="21"/>
                <w:sz w:val="21"/>
                <w:szCs w:val="24"/>
              </w:rPr>
              <w:t>，满足生态环境保护法律法规、规划和“三线一单”生态环境分区管控的要求，并依法进行了环境影响评价。</w:t>
            </w:r>
          </w:p>
        </w:tc>
        <w:tc>
          <w:tcPr>
            <w:tcW w:w="846" w:type="dxa"/>
            <w:tcBorders>
              <w:tl2br w:val="nil"/>
              <w:tr2bl w:val="nil"/>
            </w:tcBorders>
            <w:noWrap w:val="0"/>
            <w:vAlign w:val="center"/>
          </w:tcPr>
          <w:p w14:paraId="25F0BF2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相符</w:t>
            </w:r>
          </w:p>
        </w:tc>
      </w:tr>
      <w:tr w14:paraId="50298A4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7" w:type="dxa"/>
            <w:tcBorders>
              <w:tl2br w:val="nil"/>
              <w:tr2bl w:val="nil"/>
            </w:tcBorders>
            <w:noWrap w:val="0"/>
            <w:vAlign w:val="center"/>
          </w:tcPr>
          <w:p w14:paraId="6DB8BC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2</w:t>
            </w:r>
          </w:p>
        </w:tc>
        <w:tc>
          <w:tcPr>
            <w:tcW w:w="3556" w:type="dxa"/>
            <w:tcBorders>
              <w:tl2br w:val="nil"/>
              <w:tr2bl w:val="nil"/>
            </w:tcBorders>
            <w:noWrap w:val="0"/>
            <w:vAlign w:val="center"/>
          </w:tcPr>
          <w:p w14:paraId="7A506BB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集中贮存设施不应选在生态保护红线区域、永久基本农田和其他需要特别保护的区域内，不应建在溶洞区或易遭受洪水、滑坡、泥石流、潮汐等严重自然灾害影响的地区。</w:t>
            </w:r>
          </w:p>
        </w:tc>
        <w:tc>
          <w:tcPr>
            <w:tcW w:w="3454" w:type="dxa"/>
            <w:tcBorders>
              <w:tl2br w:val="nil"/>
              <w:tr2bl w:val="nil"/>
            </w:tcBorders>
            <w:noWrap w:val="0"/>
            <w:vAlign w:val="center"/>
          </w:tcPr>
          <w:p w14:paraId="35C2038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本项目危废暂存间位于</w:t>
            </w:r>
            <w:r>
              <w:rPr>
                <w:rFonts w:hint="eastAsia" w:ascii="Times New Roman" w:hAnsi="Times New Roman" w:eastAsia="宋体" w:cs="Times New Roman"/>
                <w:spacing w:val="0"/>
                <w:kern w:val="21"/>
                <w:sz w:val="21"/>
                <w:szCs w:val="24"/>
                <w:lang w:val="en-US" w:eastAsia="zh-CN"/>
              </w:rPr>
              <w:t>新乡市获嘉县先进制造业开发区内</w:t>
            </w:r>
            <w:r>
              <w:rPr>
                <w:rFonts w:hint="default" w:ascii="Times New Roman" w:hAnsi="Times New Roman" w:cs="Times New Roman"/>
                <w:spacing w:val="0"/>
                <w:kern w:val="21"/>
                <w:sz w:val="21"/>
                <w:szCs w:val="24"/>
              </w:rPr>
              <w:t>，不在生态保护红线区域、永久基本农田和其他需要特别保护的区域内，不在溶洞区或易遭受洪水、滑坡、泥石流、潮汐等严重自然灾害影响的地区。</w:t>
            </w:r>
          </w:p>
        </w:tc>
        <w:tc>
          <w:tcPr>
            <w:tcW w:w="846" w:type="dxa"/>
            <w:tcBorders>
              <w:tl2br w:val="nil"/>
              <w:tr2bl w:val="nil"/>
            </w:tcBorders>
            <w:noWrap w:val="0"/>
            <w:vAlign w:val="center"/>
          </w:tcPr>
          <w:p w14:paraId="41FB827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相符</w:t>
            </w:r>
          </w:p>
        </w:tc>
      </w:tr>
      <w:tr w14:paraId="47972B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7" w:type="dxa"/>
            <w:tcBorders>
              <w:tl2br w:val="nil"/>
              <w:tr2bl w:val="nil"/>
            </w:tcBorders>
            <w:noWrap w:val="0"/>
            <w:vAlign w:val="center"/>
          </w:tcPr>
          <w:p w14:paraId="3BFF9D8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3</w:t>
            </w:r>
          </w:p>
        </w:tc>
        <w:tc>
          <w:tcPr>
            <w:tcW w:w="3556" w:type="dxa"/>
            <w:tcBorders>
              <w:tl2br w:val="nil"/>
              <w:tr2bl w:val="nil"/>
            </w:tcBorders>
            <w:noWrap w:val="0"/>
            <w:vAlign w:val="center"/>
          </w:tcPr>
          <w:p w14:paraId="2D7C9DA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贮存设施不应选在江河、湖泊、运河、渠道、水库及其最高水位线以下的滩地和岸坡，以及法律法规规定禁止贮存危险废物的其他地点。</w:t>
            </w:r>
          </w:p>
        </w:tc>
        <w:tc>
          <w:tcPr>
            <w:tcW w:w="3454" w:type="dxa"/>
            <w:tcBorders>
              <w:tl2br w:val="nil"/>
              <w:tr2bl w:val="nil"/>
            </w:tcBorders>
            <w:noWrap w:val="0"/>
            <w:vAlign w:val="center"/>
          </w:tcPr>
          <w:p w14:paraId="47909A6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本项目危废暂存间不在江河、湖泊、运河、渠道、水库及其最高水位线以下的滩地和岸坡，以及法律法规规定禁止贮存危险废物的其他地点。</w:t>
            </w:r>
          </w:p>
        </w:tc>
        <w:tc>
          <w:tcPr>
            <w:tcW w:w="846" w:type="dxa"/>
            <w:tcBorders>
              <w:tl2br w:val="nil"/>
              <w:tr2bl w:val="nil"/>
            </w:tcBorders>
            <w:noWrap w:val="0"/>
            <w:vAlign w:val="center"/>
          </w:tcPr>
          <w:p w14:paraId="6174DEC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相符</w:t>
            </w:r>
          </w:p>
        </w:tc>
      </w:tr>
      <w:tr w14:paraId="54A970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7" w:type="dxa"/>
            <w:tcBorders>
              <w:tl2br w:val="nil"/>
              <w:tr2bl w:val="nil"/>
            </w:tcBorders>
            <w:noWrap w:val="0"/>
            <w:vAlign w:val="center"/>
          </w:tcPr>
          <w:p w14:paraId="3B81ED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4</w:t>
            </w:r>
          </w:p>
        </w:tc>
        <w:tc>
          <w:tcPr>
            <w:tcW w:w="3556" w:type="dxa"/>
            <w:tcBorders>
              <w:tl2br w:val="nil"/>
              <w:tr2bl w:val="nil"/>
            </w:tcBorders>
            <w:noWrap w:val="0"/>
            <w:vAlign w:val="center"/>
          </w:tcPr>
          <w:p w14:paraId="1ACA775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贮存设施场址的位置以及其与周围环境敏感目标的距离应依据环境影响评价文件确定</w:t>
            </w:r>
          </w:p>
        </w:tc>
        <w:tc>
          <w:tcPr>
            <w:tcW w:w="3454" w:type="dxa"/>
            <w:tcBorders>
              <w:tl2br w:val="nil"/>
              <w:tr2bl w:val="nil"/>
            </w:tcBorders>
            <w:noWrap w:val="0"/>
            <w:vAlign w:val="center"/>
          </w:tcPr>
          <w:p w14:paraId="58AC8D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根据项目大气环境影响预测结果，本项目不需设置大气防护距离，距离</w:t>
            </w:r>
            <w:r>
              <w:rPr>
                <w:rFonts w:hint="eastAsia" w:ascii="Times New Roman" w:hAnsi="Times New Roman" w:eastAsia="宋体" w:cs="Times New Roman"/>
                <w:spacing w:val="0"/>
                <w:kern w:val="21"/>
                <w:sz w:val="21"/>
                <w:szCs w:val="24"/>
                <w:lang w:val="en-US" w:eastAsia="zh-CN"/>
              </w:rPr>
              <w:t>本项目</w:t>
            </w:r>
            <w:r>
              <w:rPr>
                <w:rFonts w:hint="default" w:ascii="Times New Roman" w:hAnsi="Times New Roman" w:cs="Times New Roman"/>
                <w:spacing w:val="0"/>
                <w:kern w:val="21"/>
                <w:sz w:val="21"/>
                <w:szCs w:val="24"/>
              </w:rPr>
              <w:t>最近的</w:t>
            </w:r>
            <w:r>
              <w:rPr>
                <w:rFonts w:hint="default" w:ascii="Times New Roman" w:hAnsi="Times New Roman" w:eastAsia="宋体" w:cs="Times New Roman"/>
                <w:spacing w:val="0"/>
                <w:kern w:val="21"/>
                <w:sz w:val="21"/>
                <w:szCs w:val="24"/>
                <w:lang w:val="en-US" w:eastAsia="zh-CN"/>
              </w:rPr>
              <w:t>敏感目标</w:t>
            </w:r>
            <w:r>
              <w:rPr>
                <w:rFonts w:hint="default" w:ascii="Times New Roman" w:hAnsi="Times New Roman" w:cs="Times New Roman"/>
                <w:spacing w:val="0"/>
                <w:kern w:val="21"/>
                <w:sz w:val="21"/>
                <w:szCs w:val="24"/>
              </w:rPr>
              <w:t>为</w:t>
            </w:r>
            <w:r>
              <w:rPr>
                <w:rFonts w:hint="eastAsia" w:ascii="Times New Roman" w:hAnsi="Times New Roman" w:eastAsia="宋体" w:cs="Times New Roman"/>
                <w:spacing w:val="0"/>
                <w:kern w:val="21"/>
                <w:sz w:val="21"/>
                <w:szCs w:val="24"/>
                <w:lang w:val="en-US" w:eastAsia="zh-CN"/>
              </w:rPr>
              <w:t>323</w:t>
            </w:r>
            <w:r>
              <w:rPr>
                <w:rFonts w:hint="default" w:ascii="Times New Roman" w:hAnsi="Times New Roman" w:eastAsia="Times New Roman" w:cs="Times New Roman"/>
                <w:spacing w:val="0"/>
                <w:kern w:val="21"/>
                <w:sz w:val="21"/>
                <w:szCs w:val="24"/>
              </w:rPr>
              <w:t>m</w:t>
            </w:r>
            <w:r>
              <w:rPr>
                <w:rFonts w:hint="default" w:ascii="Times New Roman" w:hAnsi="Times New Roman" w:cs="Times New Roman"/>
                <w:spacing w:val="0"/>
                <w:kern w:val="21"/>
                <w:sz w:val="21"/>
                <w:szCs w:val="24"/>
              </w:rPr>
              <w:t>。</w:t>
            </w:r>
          </w:p>
        </w:tc>
        <w:tc>
          <w:tcPr>
            <w:tcW w:w="846" w:type="dxa"/>
            <w:tcBorders>
              <w:tl2br w:val="nil"/>
              <w:tr2bl w:val="nil"/>
            </w:tcBorders>
            <w:noWrap w:val="0"/>
            <w:vAlign w:val="center"/>
          </w:tcPr>
          <w:p w14:paraId="1DC0DF3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相符</w:t>
            </w:r>
          </w:p>
        </w:tc>
      </w:tr>
    </w:tbl>
    <w:p w14:paraId="0FF10B0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5.5.2.3本项目危废贮存对环境保护目标的影响</w:t>
      </w:r>
    </w:p>
    <w:p w14:paraId="26A9D853">
      <w:pPr>
        <w:pStyle w:val="72"/>
        <w:rPr>
          <w:rFonts w:hint="eastAsia"/>
        </w:rPr>
      </w:pPr>
      <w:r>
        <w:rPr>
          <w:rFonts w:hint="eastAsia"/>
        </w:rPr>
        <w:t>项目危废采用专用密闭容器储存，危废暂存间采取防渗和泄漏收集措施，贮存过程中一般情况下不会发生泄漏和渗漏。本项目液态危废在危废暂存间为小规格储存，一旦液态危废发生泄漏事故后，用活性炭纤维材料等吸附材料将泄漏的废液吸附，然后将吸附后的物品倒入专用桶内，存于危废暂存间，交由资质单位处置，由于危废暂存间采取了防渗和泄漏收集措施，可以将影响控制在危险品库内。</w:t>
      </w:r>
    </w:p>
    <w:p w14:paraId="5205C165">
      <w:pPr>
        <w:pStyle w:val="72"/>
        <w:rPr>
          <w:rFonts w:hint="eastAsia"/>
        </w:rPr>
      </w:pPr>
      <w:r>
        <w:rPr>
          <w:rFonts w:hint="eastAsia"/>
        </w:rPr>
        <w:t>本项目建设1座</w:t>
      </w:r>
      <w:r>
        <w:rPr>
          <w:rFonts w:hint="eastAsia"/>
          <w:lang w:val="en-US" w:eastAsia="zh-CN"/>
        </w:rPr>
        <w:t>50</w:t>
      </w:r>
      <w:r>
        <w:rPr>
          <w:rFonts w:hint="eastAsia"/>
        </w:rPr>
        <w:t>m</w:t>
      </w:r>
      <w:r>
        <w:rPr>
          <w:rFonts w:hint="eastAsia"/>
          <w:vertAlign w:val="superscript"/>
        </w:rPr>
        <w:t>2</w:t>
      </w:r>
      <w:r>
        <w:rPr>
          <w:rFonts w:hint="eastAsia"/>
        </w:rPr>
        <w:t>的全密闭危废暂存间，通过采取上述措施，项目产生的危险固废均可得到合理、安全处理，不会对周边环境造成不良环境影响。</w:t>
      </w:r>
    </w:p>
    <w:p w14:paraId="576071BF">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5.5.2.4危废在厂内运输环境影响分析</w:t>
      </w:r>
    </w:p>
    <w:p w14:paraId="4F91D12E">
      <w:pPr>
        <w:pStyle w:val="72"/>
        <w:rPr>
          <w:rFonts w:hint="eastAsia"/>
        </w:rPr>
      </w:pPr>
      <w:r>
        <w:rPr>
          <w:rFonts w:hint="eastAsia"/>
        </w:rPr>
        <w:t>本项目危险废物产生与贮存均在厂区内，运输距离短，运输路线避开了办公区和生活区，生产车间地面、运输线路和危废暂存间均采取硬化和防腐防渗措施，因此危险废物从产生工艺环节运输到贮存场所的过程中一旦产生散落、泄漏，固体泄漏物用铜铲铲起，倒入专用桶内，存于危废暂存间，液体泄漏采用活性炭纤维等吸附材料吸附，然后将吸附后的物品倒入专用桶内，存于危废暂存间，一起交由资质单位处置，均会将影响控制在厂区内，不会对周围环境产生不利影响。</w:t>
      </w:r>
    </w:p>
    <w:bookmarkEnd w:id="574"/>
    <w:bookmarkEnd w:id="575"/>
    <w:bookmarkEnd w:id="576"/>
    <w:bookmarkEnd w:id="577"/>
    <w:p w14:paraId="424C046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5.5.2.5委托利用或者处置的环境影响分析</w:t>
      </w:r>
    </w:p>
    <w:p w14:paraId="6513DC6B">
      <w:pPr>
        <w:pStyle w:val="72"/>
        <w:ind w:left="0" w:leftChars="0" w:firstLine="480" w:firstLineChars="200"/>
        <w:rPr>
          <w:rFonts w:hint="eastAsia"/>
        </w:rPr>
      </w:pPr>
      <w:r>
        <w:rPr>
          <w:rFonts w:hint="eastAsia"/>
        </w:rPr>
        <w:t>企业应对危险固废管理规范，选择项目周边有相应资质的危险废物处置单位，处置途径可行。</w:t>
      </w:r>
    </w:p>
    <w:p w14:paraId="16122CF8">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lang w:val="en-US" w:eastAsia="zh-CN"/>
        </w:rPr>
      </w:pPr>
      <w:r>
        <w:rPr>
          <w:rFonts w:hint="eastAsia"/>
          <w:lang w:val="en-US" w:eastAsia="zh-CN"/>
        </w:rPr>
        <w:t>5.5.2.6危废厂外运输</w:t>
      </w:r>
    </w:p>
    <w:p w14:paraId="2B85B824">
      <w:pPr>
        <w:pStyle w:val="72"/>
        <w:ind w:left="0" w:leftChars="0" w:firstLine="480" w:firstLineChars="200"/>
        <w:rPr>
          <w:rFonts w:hint="eastAsia"/>
        </w:rPr>
      </w:pPr>
      <w:r>
        <w:rPr>
          <w:rFonts w:hint="eastAsia"/>
        </w:rPr>
        <w:t>企业在危废运输处理过程中应严格按照《危险废物转移联单管理办法》及《危险化学品安全管理条例》、《中华人民共和国固体废物污染环境防治法》的规定制定危险废物管理计划，做好记录，办理危险废物转移联单，并向当地环保局申报危险废物的名称、种类、产生量、流向、贮存和处置等有关资料，主动接受当地环保部门及接收固废单位的环保管理的监督。</w:t>
      </w:r>
    </w:p>
    <w:p w14:paraId="0C8F6458">
      <w:pPr>
        <w:pStyle w:val="72"/>
        <w:ind w:left="0" w:leftChars="0" w:firstLine="480" w:firstLineChars="200"/>
        <w:rPr>
          <w:rFonts w:hint="eastAsia"/>
        </w:rPr>
      </w:pPr>
      <w:r>
        <w:rPr>
          <w:rFonts w:hint="eastAsia"/>
        </w:rPr>
        <w:t>综上所述，本工程固废能够有效利用或合理处置，并采取相应的固废污染防治措施，预计不会对周边环境产生明显的不良影响。</w:t>
      </w:r>
    </w:p>
    <w:p w14:paraId="009E3ADC">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580" w:name="_Toc14631"/>
      <w:bookmarkStart w:id="581" w:name="_Toc51319871"/>
      <w:bookmarkStart w:id="582" w:name="_Toc15043"/>
      <w:r>
        <w:rPr>
          <w:rFonts w:hint="eastAsia"/>
          <w:lang w:val="en-US" w:eastAsia="zh-CN"/>
        </w:rPr>
        <w:t>5.6地下水环境影响评价</w:t>
      </w:r>
      <w:bookmarkEnd w:id="580"/>
      <w:bookmarkEnd w:id="581"/>
      <w:bookmarkEnd w:id="582"/>
    </w:p>
    <w:p w14:paraId="6917E00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lang w:val="en-US" w:eastAsia="zh-CN"/>
        </w:rPr>
      </w:pPr>
      <w:r>
        <w:rPr>
          <w:rFonts w:hint="default" w:ascii="Times New Roman" w:hAnsi="Times New Roman"/>
          <w:lang w:val="en-US" w:eastAsia="zh-CN"/>
        </w:rPr>
        <w:t>5.6.1地下水评价工作等级</w:t>
      </w:r>
    </w:p>
    <w:p w14:paraId="3E635397">
      <w:pPr>
        <w:ind w:left="0" w:leftChars="0" w:firstLine="480" w:firstLineChars="200"/>
        <w:rPr>
          <w:rFonts w:hint="eastAsia"/>
          <w:lang w:val="en-US" w:eastAsia="zh-CN"/>
        </w:rPr>
      </w:pPr>
      <w:r>
        <w:rPr>
          <w:rFonts w:hint="eastAsia"/>
          <w:lang w:val="en-US" w:eastAsia="zh-CN"/>
        </w:rPr>
        <w:t>根据《环境影响评价技术导则  地下水环境》（HJ610-2016），地下水环境影响评价工作等级的划分应依据建设项目行业分类和地下水环境敏感程度分级进行判定。</w:t>
      </w:r>
    </w:p>
    <w:p w14:paraId="2313911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default" w:ascii="Times New Roman" w:hAnsi="Times New Roman" w:cs="Times New Roman"/>
          <w:lang w:val="en-US" w:eastAsia="zh-CN"/>
        </w:rPr>
        <w:t>5.6.</w:t>
      </w:r>
      <w:r>
        <w:rPr>
          <w:rFonts w:hint="eastAsia" w:ascii="Times New Roman" w:hAnsi="Times New Roman" w:cs="Times New Roman"/>
          <w:lang w:val="en-US" w:eastAsia="zh-CN"/>
        </w:rPr>
        <w:t>1.1建设项目行业分类</w:t>
      </w:r>
    </w:p>
    <w:p w14:paraId="4FDE49C6">
      <w:pPr>
        <w:keepNext w:val="0"/>
        <w:keepLines w:val="0"/>
        <w:pageBreakBefore w:val="0"/>
        <w:widowControl/>
        <w:tabs>
          <w:tab w:val="left" w:pos="1200"/>
          <w:tab w:val="left" w:pos="1680"/>
        </w:tabs>
        <w:kinsoku/>
        <w:wordWrap/>
        <w:overflowPunct/>
        <w:topLinePunct/>
        <w:autoSpaceDE w:val="0"/>
        <w:autoSpaceDN/>
        <w:bidi w:val="0"/>
        <w:adjustRightInd w:val="0"/>
        <w:snapToGrid w:val="0"/>
        <w:ind w:firstLine="480" w:firstLineChars="200"/>
        <w:textAlignment w:val="auto"/>
        <w:outlineLvl w:val="9"/>
        <w:rPr>
          <w:rFonts w:hint="default" w:ascii="Times New Roman" w:hAnsi="Times New Roman" w:eastAsia="宋体" w:cs="Times New Roman"/>
          <w:b w:val="0"/>
          <w:snapToGrid w:val="0"/>
          <w:kern w:val="21"/>
          <w:sz w:val="24"/>
          <w:szCs w:val="24"/>
          <w:highlight w:val="none"/>
          <w:lang w:val="en-US" w:eastAsia="zh-CN"/>
        </w:rPr>
      </w:pPr>
      <w:r>
        <w:rPr>
          <w:rFonts w:hint="eastAsia"/>
          <w:lang w:val="en-US" w:eastAsia="zh-CN"/>
        </w:rPr>
        <w:t>本项目属于电器器械及器材制造业，</w:t>
      </w:r>
      <w:r>
        <w:rPr>
          <w:rFonts w:hint="default" w:ascii="Times New Roman" w:hAnsi="Times New Roman" w:eastAsia="宋体" w:cs="Times New Roman"/>
          <w:b w:val="0"/>
          <w:snapToGrid w:val="0"/>
          <w:kern w:val="21"/>
          <w:sz w:val="24"/>
          <w:szCs w:val="24"/>
          <w:highlight w:val="none"/>
          <w:lang w:val="en-US" w:eastAsia="zh-CN"/>
        </w:rPr>
        <w:t>依据《环境影响评价技术导则-地下水环境》（HJ610-2016）附录A地下水环境影响评价行业分类表</w:t>
      </w:r>
      <w:r>
        <w:rPr>
          <w:rFonts w:hint="eastAsia" w:cs="Times New Roman"/>
          <w:b w:val="0"/>
          <w:snapToGrid w:val="0"/>
          <w:kern w:val="21"/>
          <w:sz w:val="24"/>
          <w:szCs w:val="24"/>
          <w:highlight w:val="none"/>
          <w:lang w:val="en-US" w:eastAsia="zh-CN"/>
        </w:rPr>
        <w:t>，</w:t>
      </w:r>
      <w:r>
        <w:rPr>
          <w:rFonts w:hint="default" w:ascii="Times New Roman" w:hAnsi="Times New Roman" w:eastAsia="宋体" w:cs="Times New Roman"/>
          <w:b w:val="0"/>
          <w:snapToGrid w:val="0"/>
          <w:kern w:val="21"/>
          <w:sz w:val="24"/>
          <w:szCs w:val="24"/>
          <w:highlight w:val="none"/>
          <w:lang w:val="en-US" w:eastAsia="zh-CN"/>
        </w:rPr>
        <w:t>项目类别属于“K机械、电子”中“</w:t>
      </w:r>
      <w:r>
        <w:rPr>
          <w:rFonts w:hint="eastAsia" w:cs="Times New Roman"/>
          <w:b w:val="0"/>
          <w:snapToGrid w:val="0"/>
          <w:kern w:val="21"/>
          <w:sz w:val="24"/>
          <w:szCs w:val="24"/>
          <w:highlight w:val="none"/>
          <w:lang w:val="en-US" w:eastAsia="zh-CN"/>
        </w:rPr>
        <w:t>78</w:t>
      </w:r>
      <w:r>
        <w:rPr>
          <w:rFonts w:hint="default" w:ascii="Times New Roman" w:hAnsi="Times New Roman" w:eastAsia="宋体" w:cs="Times New Roman"/>
          <w:b w:val="0"/>
          <w:snapToGrid w:val="0"/>
          <w:kern w:val="21"/>
          <w:sz w:val="24"/>
          <w:szCs w:val="24"/>
          <w:highlight w:val="none"/>
          <w:lang w:val="en-US" w:eastAsia="zh-CN"/>
        </w:rPr>
        <w:t>、电气机械及器材制造项目，综合判定，本项目地下水环境影响评价项目类别为III类。判定依据见下表。</w:t>
      </w:r>
    </w:p>
    <w:p w14:paraId="01A3A3D5">
      <w:pPr>
        <w:ind w:left="0" w:leftChars="0" w:firstLine="0" w:firstLineChars="0"/>
        <w:jc w:val="center"/>
        <w:rPr>
          <w:rFonts w:hint="eastAsia" w:ascii="Times New Roman" w:hAnsi="Times New Roman"/>
          <w:b/>
          <w:bCs/>
          <w:lang w:val="en-US" w:eastAsia="zh-CN"/>
        </w:rPr>
      </w:pPr>
      <w:r>
        <w:rPr>
          <w:rFonts w:ascii="Times New Roman" w:hAnsi="Times New Roman"/>
          <w:b/>
          <w:bCs/>
        </w:rPr>
        <w:t>表</w:t>
      </w:r>
      <w:r>
        <w:rPr>
          <w:rFonts w:hint="eastAsia"/>
          <w:b/>
          <w:bCs/>
          <w:lang w:val="en-US" w:eastAsia="zh-CN"/>
        </w:rPr>
        <w:t>5.6-1</w:t>
      </w:r>
      <w:r>
        <w:rPr>
          <w:rFonts w:ascii="Times New Roman" w:hAnsi="Times New Roman"/>
          <w:b/>
          <w:bCs/>
        </w:rPr>
        <w:t xml:space="preserve">     </w:t>
      </w:r>
      <w:r>
        <w:rPr>
          <w:rFonts w:hint="eastAsia" w:ascii="Times New Roman" w:hAnsi="Times New Roman"/>
          <w:b/>
          <w:bCs/>
        </w:rPr>
        <w:t>地下水环境影响评价行业分类表</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918"/>
        <w:gridCol w:w="2809"/>
        <w:gridCol w:w="794"/>
        <w:gridCol w:w="1413"/>
        <w:gridCol w:w="1438"/>
      </w:tblGrid>
      <w:tr w14:paraId="0864F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jc w:val="center"/>
        </w:trPr>
        <w:tc>
          <w:tcPr>
            <w:tcW w:w="1918" w:type="dxa"/>
            <w:vMerge w:val="restart"/>
            <w:tcBorders>
              <w:top w:val="single" w:color="000000" w:sz="8" w:space="0"/>
              <w:left w:val="single" w:color="000000" w:sz="8" w:space="0"/>
              <w:bottom w:val="single" w:color="000000" w:sz="4" w:space="0"/>
              <w:right w:val="single" w:color="000000" w:sz="8" w:space="0"/>
              <w:tl2br w:val="single" w:color="000000" w:sz="8" w:space="0"/>
            </w:tcBorders>
            <w:noWrap w:val="0"/>
            <w:vAlign w:val="center"/>
          </w:tcPr>
          <w:p w14:paraId="39BD5EA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right"/>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环评类别</w:t>
            </w:r>
          </w:p>
          <w:p w14:paraId="4727018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项目类别</w:t>
            </w:r>
          </w:p>
        </w:tc>
        <w:tc>
          <w:tcPr>
            <w:tcW w:w="2809" w:type="dxa"/>
            <w:vMerge w:val="restart"/>
            <w:tcBorders>
              <w:top w:val="single" w:color="000000" w:sz="8" w:space="0"/>
              <w:left w:val="single" w:color="000000" w:sz="8" w:space="0"/>
              <w:bottom w:val="single" w:color="000000" w:sz="4" w:space="0"/>
              <w:right w:val="single" w:color="000000" w:sz="4" w:space="0"/>
            </w:tcBorders>
            <w:noWrap w:val="0"/>
            <w:vAlign w:val="center"/>
          </w:tcPr>
          <w:p w14:paraId="57F3967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报告书</w:t>
            </w:r>
          </w:p>
        </w:tc>
        <w:tc>
          <w:tcPr>
            <w:tcW w:w="794" w:type="dxa"/>
            <w:vMerge w:val="restart"/>
            <w:tcBorders>
              <w:top w:val="single" w:color="000000" w:sz="8" w:space="0"/>
              <w:left w:val="single" w:color="000000" w:sz="4" w:space="0"/>
              <w:bottom w:val="single" w:color="000000" w:sz="4" w:space="0"/>
              <w:right w:val="single" w:color="000000" w:sz="4" w:space="0"/>
            </w:tcBorders>
            <w:noWrap w:val="0"/>
            <w:vAlign w:val="center"/>
          </w:tcPr>
          <w:p w14:paraId="28531A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报告表</w:t>
            </w:r>
          </w:p>
        </w:tc>
        <w:tc>
          <w:tcPr>
            <w:tcW w:w="2851" w:type="dxa"/>
            <w:gridSpan w:val="2"/>
            <w:tcBorders>
              <w:top w:val="single" w:color="000000" w:sz="8" w:space="0"/>
              <w:left w:val="single" w:color="000000" w:sz="4" w:space="0"/>
              <w:bottom w:val="single" w:color="000000" w:sz="4" w:space="0"/>
              <w:right w:val="single" w:color="000000" w:sz="8" w:space="0"/>
            </w:tcBorders>
            <w:noWrap w:val="0"/>
            <w:vAlign w:val="center"/>
          </w:tcPr>
          <w:p w14:paraId="64C0EA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地下水环境影响评价项目类别</w:t>
            </w:r>
          </w:p>
        </w:tc>
      </w:tr>
      <w:tr w14:paraId="6638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918" w:type="dxa"/>
            <w:vMerge w:val="continue"/>
            <w:tcBorders>
              <w:top w:val="single" w:color="000000" w:sz="4" w:space="0"/>
              <w:left w:val="single" w:color="000000" w:sz="8" w:space="0"/>
              <w:bottom w:val="single" w:color="000000" w:sz="4" w:space="0"/>
              <w:right w:val="single" w:color="000000" w:sz="8" w:space="0"/>
            </w:tcBorders>
            <w:noWrap w:val="0"/>
            <w:vAlign w:val="center"/>
          </w:tcPr>
          <w:p w14:paraId="30EA7D15">
            <w:pPr>
              <w:pStyle w:val="35"/>
              <w:keepNext w:val="0"/>
              <w:keepLines w:val="0"/>
              <w:pageBreakBefore w:val="0"/>
              <w:widowControl/>
              <w:kinsoku/>
              <w:wordWrap/>
              <w:overflowPunct/>
              <w:topLinePunct/>
              <w:autoSpaceDE/>
              <w:autoSpaceDN/>
              <w:bidi w:val="0"/>
              <w:adjustRightInd w:val="0"/>
              <w:snapToGrid w:val="0"/>
              <w:spacing w:before="0"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2809" w:type="dxa"/>
            <w:vMerge w:val="continue"/>
            <w:tcBorders>
              <w:top w:val="single" w:color="000000" w:sz="4" w:space="0"/>
              <w:left w:val="single" w:color="000000" w:sz="8" w:space="0"/>
              <w:bottom w:val="single" w:color="000000" w:sz="4" w:space="0"/>
              <w:right w:val="single" w:color="000000" w:sz="4" w:space="0"/>
            </w:tcBorders>
            <w:noWrap w:val="0"/>
            <w:vAlign w:val="center"/>
          </w:tcPr>
          <w:p w14:paraId="52144A2A">
            <w:pPr>
              <w:pStyle w:val="35"/>
              <w:keepNext w:val="0"/>
              <w:keepLines w:val="0"/>
              <w:pageBreakBefore w:val="0"/>
              <w:widowControl/>
              <w:kinsoku/>
              <w:wordWrap/>
              <w:overflowPunct/>
              <w:topLinePunct/>
              <w:autoSpaceDE/>
              <w:autoSpaceDN/>
              <w:bidi w:val="0"/>
              <w:adjustRightInd w:val="0"/>
              <w:snapToGrid w:val="0"/>
              <w:spacing w:before="0"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5F515F">
            <w:pPr>
              <w:pStyle w:val="35"/>
              <w:keepNext w:val="0"/>
              <w:keepLines w:val="0"/>
              <w:pageBreakBefore w:val="0"/>
              <w:widowControl/>
              <w:kinsoku/>
              <w:wordWrap/>
              <w:overflowPunct/>
              <w:topLinePunct/>
              <w:autoSpaceDE/>
              <w:autoSpaceDN/>
              <w:bidi w:val="0"/>
              <w:adjustRightInd w:val="0"/>
              <w:snapToGrid w:val="0"/>
              <w:spacing w:before="0"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p>
        </w:tc>
        <w:tc>
          <w:tcPr>
            <w:tcW w:w="1413" w:type="dxa"/>
            <w:tcBorders>
              <w:top w:val="single" w:color="000000" w:sz="4" w:space="0"/>
              <w:left w:val="single" w:color="000000" w:sz="4" w:space="0"/>
              <w:bottom w:val="single" w:color="000000" w:sz="4" w:space="0"/>
              <w:right w:val="single" w:color="000000" w:sz="4" w:space="0"/>
            </w:tcBorders>
            <w:noWrap w:val="0"/>
            <w:vAlign w:val="center"/>
          </w:tcPr>
          <w:p w14:paraId="5BE8356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报告书</w:t>
            </w:r>
          </w:p>
        </w:tc>
        <w:tc>
          <w:tcPr>
            <w:tcW w:w="1438" w:type="dxa"/>
            <w:tcBorders>
              <w:top w:val="single" w:color="000000" w:sz="4" w:space="0"/>
              <w:left w:val="single" w:color="000000" w:sz="4" w:space="0"/>
              <w:bottom w:val="single" w:color="000000" w:sz="4" w:space="0"/>
              <w:right w:val="single" w:color="000000" w:sz="8" w:space="0"/>
            </w:tcBorders>
            <w:noWrap w:val="0"/>
            <w:vAlign w:val="center"/>
          </w:tcPr>
          <w:p w14:paraId="5A965C0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0"/>
                <w:kern w:val="21"/>
                <w:sz w:val="21"/>
                <w:szCs w:val="21"/>
              </w:rPr>
            </w:pPr>
            <w:r>
              <w:rPr>
                <w:rFonts w:hint="default" w:ascii="Times New Roman" w:hAnsi="Times New Roman" w:cs="Times New Roman"/>
                <w:b/>
                <w:spacing w:val="0"/>
                <w:kern w:val="21"/>
                <w:sz w:val="21"/>
                <w:szCs w:val="21"/>
              </w:rPr>
              <w:t>报告表</w:t>
            </w:r>
          </w:p>
        </w:tc>
      </w:tr>
      <w:tr w14:paraId="49BF4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72" w:type="dxa"/>
            <w:gridSpan w:val="5"/>
            <w:tcBorders>
              <w:top w:val="single" w:color="000000" w:sz="4" w:space="0"/>
              <w:left w:val="single" w:color="000000" w:sz="8" w:space="0"/>
              <w:bottom w:val="single" w:color="000000" w:sz="4" w:space="0"/>
              <w:right w:val="single" w:color="000000" w:sz="8" w:space="0"/>
            </w:tcBorders>
            <w:noWrap w:val="0"/>
            <w:vAlign w:val="center"/>
          </w:tcPr>
          <w:p w14:paraId="2742B77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eastAsia="宋体" w:cs="Times New Roman"/>
                <w:b w:val="0"/>
                <w:bCs/>
                <w:spacing w:val="0"/>
                <w:kern w:val="21"/>
                <w:sz w:val="21"/>
                <w:szCs w:val="21"/>
                <w:lang w:val="en-US" w:eastAsia="zh-CN"/>
              </w:rPr>
            </w:pPr>
            <w:r>
              <w:rPr>
                <w:rFonts w:hint="default" w:ascii="Times New Roman" w:hAnsi="Times New Roman" w:eastAsia="宋体" w:cs="Times New Roman"/>
                <w:b w:val="0"/>
                <w:bCs/>
                <w:spacing w:val="0"/>
                <w:kern w:val="21"/>
                <w:sz w:val="21"/>
                <w:szCs w:val="21"/>
                <w:lang w:val="en-US" w:eastAsia="zh-CN"/>
              </w:rPr>
              <w:t>K机械、电子</w:t>
            </w:r>
          </w:p>
        </w:tc>
      </w:tr>
      <w:tr w14:paraId="5FBA4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918" w:type="dxa"/>
            <w:tcBorders>
              <w:top w:val="single" w:color="000000" w:sz="4" w:space="0"/>
              <w:left w:val="single" w:color="000000" w:sz="8" w:space="0"/>
              <w:bottom w:val="single" w:color="000000" w:sz="4" w:space="0"/>
              <w:right w:val="single" w:color="000000" w:sz="4" w:space="0"/>
            </w:tcBorders>
            <w:shd w:val="clear" w:color="auto" w:fill="auto"/>
            <w:noWrap w:val="0"/>
            <w:vAlign w:val="center"/>
          </w:tcPr>
          <w:p w14:paraId="0E38404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eastAsia="宋体" w:cs="Times New Roman"/>
                <w:b w:val="0"/>
                <w:bCs/>
                <w:spacing w:val="0"/>
                <w:kern w:val="21"/>
                <w:sz w:val="21"/>
                <w:szCs w:val="21"/>
                <w:lang w:val="en-US" w:eastAsia="zh-CN"/>
              </w:rPr>
              <w:t>7</w:t>
            </w:r>
            <w:r>
              <w:rPr>
                <w:rFonts w:hint="eastAsia" w:ascii="Times New Roman" w:hAnsi="Times New Roman" w:eastAsia="宋体" w:cs="Times New Roman"/>
                <w:b w:val="0"/>
                <w:bCs/>
                <w:spacing w:val="0"/>
                <w:kern w:val="21"/>
                <w:sz w:val="21"/>
                <w:szCs w:val="21"/>
                <w:lang w:val="en-US" w:eastAsia="zh-CN"/>
              </w:rPr>
              <w:t>8</w:t>
            </w:r>
            <w:r>
              <w:rPr>
                <w:rFonts w:hint="default" w:ascii="Times New Roman" w:hAnsi="Times New Roman" w:cs="Times New Roman"/>
                <w:b w:val="0"/>
                <w:bCs/>
                <w:spacing w:val="0"/>
                <w:kern w:val="21"/>
                <w:sz w:val="21"/>
                <w:szCs w:val="21"/>
              </w:rPr>
              <w:t>、通用、专用设备制造及维修</w:t>
            </w:r>
          </w:p>
        </w:tc>
        <w:tc>
          <w:tcPr>
            <w:tcW w:w="280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B2920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cs="Times New Roman"/>
                <w:b w:val="0"/>
                <w:bCs/>
                <w:spacing w:val="0"/>
                <w:kern w:val="21"/>
                <w:sz w:val="21"/>
                <w:szCs w:val="21"/>
              </w:rPr>
              <w:t>有电镀或喷漆工艺的；电池制造（无汞干电池除外）</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321DC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cs="Times New Roman"/>
                <w:b w:val="0"/>
                <w:bCs/>
                <w:spacing w:val="0"/>
                <w:kern w:val="21"/>
                <w:sz w:val="21"/>
                <w:szCs w:val="21"/>
              </w:rPr>
              <w:t>其他</w:t>
            </w:r>
          </w:p>
        </w:tc>
        <w:tc>
          <w:tcPr>
            <w:tcW w:w="1413"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3F9A436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eastAsia="宋体" w:cs="Times New Roman"/>
                <w:b w:val="0"/>
                <w:bCs/>
                <w:spacing w:val="0"/>
                <w:kern w:val="21"/>
                <w:sz w:val="21"/>
                <w:szCs w:val="21"/>
                <w:lang w:val="en-US" w:eastAsia="zh-CN"/>
              </w:rPr>
              <w:t>III</w:t>
            </w:r>
            <w:r>
              <w:rPr>
                <w:rFonts w:hint="default" w:ascii="Times New Roman" w:hAnsi="Times New Roman" w:cs="Times New Roman"/>
                <w:b w:val="0"/>
                <w:bCs/>
                <w:spacing w:val="0"/>
                <w:kern w:val="21"/>
                <w:sz w:val="21"/>
                <w:szCs w:val="21"/>
              </w:rPr>
              <w:t>类</w:t>
            </w:r>
          </w:p>
        </w:tc>
        <w:tc>
          <w:tcPr>
            <w:tcW w:w="1438" w:type="dxa"/>
            <w:tcBorders>
              <w:top w:val="single" w:color="000000" w:sz="4" w:space="0"/>
              <w:left w:val="single" w:color="000000" w:sz="4" w:space="0"/>
              <w:bottom w:val="single" w:color="000000" w:sz="4" w:space="0"/>
              <w:right w:val="single" w:color="000000" w:sz="8" w:space="0"/>
            </w:tcBorders>
            <w:noWrap w:val="0"/>
            <w:vAlign w:val="center"/>
          </w:tcPr>
          <w:p w14:paraId="0732915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cs="Times New Roman"/>
                <w:b w:val="0"/>
                <w:bCs/>
                <w:spacing w:val="0"/>
                <w:kern w:val="21"/>
                <w:sz w:val="21"/>
                <w:szCs w:val="21"/>
              </w:rPr>
              <w:t>Ⅳ类</w:t>
            </w:r>
          </w:p>
        </w:tc>
      </w:tr>
    </w:tbl>
    <w:p w14:paraId="59A34FA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default" w:ascii="Times New Roman" w:hAnsi="Times New Roman" w:cs="Times New Roman"/>
          <w:lang w:val="en-US" w:eastAsia="zh-CN"/>
        </w:rPr>
        <w:t>5.6.</w:t>
      </w:r>
      <w:r>
        <w:rPr>
          <w:rFonts w:hint="eastAsia" w:ascii="Times New Roman" w:hAnsi="Times New Roman" w:cs="Times New Roman"/>
          <w:lang w:val="en-US" w:eastAsia="zh-CN"/>
        </w:rPr>
        <w:t>1.2</w:t>
      </w:r>
      <w:r>
        <w:rPr>
          <w:rFonts w:hint="default" w:ascii="Times New Roman" w:hAnsi="Times New Roman" w:cs="Times New Roman"/>
          <w:lang w:val="en-US" w:eastAsia="zh-CN"/>
        </w:rPr>
        <w:t>地下水</w:t>
      </w:r>
      <w:r>
        <w:rPr>
          <w:rFonts w:hint="eastAsia" w:ascii="Times New Roman" w:hAnsi="Times New Roman" w:cs="Times New Roman"/>
          <w:lang w:val="en-US" w:eastAsia="zh-CN"/>
        </w:rPr>
        <w:t>敏感程度</w:t>
      </w:r>
    </w:p>
    <w:p w14:paraId="73FF46C3">
      <w:pPr>
        <w:ind w:left="0" w:leftChars="0" w:firstLine="480" w:firstLineChars="200"/>
        <w:rPr>
          <w:rFonts w:hint="default"/>
          <w:b w:val="0"/>
          <w:bCs w:val="0"/>
          <w:lang w:val="en-US" w:eastAsia="zh-CN"/>
        </w:rPr>
      </w:pPr>
      <w:r>
        <w:rPr>
          <w:rFonts w:hint="default"/>
          <w:b w:val="0"/>
          <w:bCs w:val="0"/>
          <w:lang w:val="en-US" w:eastAsia="zh-CN"/>
        </w:rPr>
        <w:t>根据《环境影响评价技术导则  地下水环境》（HJ610-2016），地下水环境敏感程度分级见表</w:t>
      </w:r>
      <w:r>
        <w:rPr>
          <w:rFonts w:hint="eastAsia"/>
          <w:b w:val="0"/>
          <w:bCs w:val="0"/>
          <w:lang w:val="en-US" w:eastAsia="zh-CN"/>
        </w:rPr>
        <w:t>5.6-2</w:t>
      </w:r>
      <w:r>
        <w:rPr>
          <w:rFonts w:hint="default"/>
          <w:b w:val="0"/>
          <w:bCs w:val="0"/>
          <w:lang w:val="en-US" w:eastAsia="zh-CN"/>
        </w:rPr>
        <w:t>，地下水评价等级判定依据见表</w:t>
      </w:r>
      <w:r>
        <w:rPr>
          <w:rFonts w:hint="eastAsia"/>
          <w:b w:val="0"/>
          <w:bCs w:val="0"/>
          <w:lang w:val="en-US" w:eastAsia="zh-CN"/>
        </w:rPr>
        <w:t>5.6-3</w:t>
      </w:r>
      <w:r>
        <w:rPr>
          <w:rFonts w:hint="default"/>
          <w:b w:val="0"/>
          <w:bCs w:val="0"/>
          <w:lang w:val="en-US" w:eastAsia="zh-CN"/>
        </w:rPr>
        <w:t>。</w:t>
      </w:r>
    </w:p>
    <w:p w14:paraId="7D9374D5">
      <w:pPr>
        <w:ind w:left="0" w:leftChars="0" w:firstLine="0" w:firstLineChars="0"/>
        <w:jc w:val="center"/>
        <w:rPr>
          <w:rFonts w:hint="eastAsia" w:ascii="Times New Roman" w:hAnsi="Times New Roman"/>
          <w:b/>
          <w:bCs/>
          <w:lang w:val="en-US" w:eastAsia="zh-CN"/>
        </w:rPr>
      </w:pPr>
      <w:r>
        <w:rPr>
          <w:rFonts w:ascii="Times New Roman" w:hAnsi="Times New Roman"/>
          <w:b/>
          <w:bCs/>
        </w:rPr>
        <w:t>表</w:t>
      </w:r>
      <w:r>
        <w:rPr>
          <w:rFonts w:hint="eastAsia"/>
          <w:b/>
          <w:bCs/>
          <w:lang w:val="en-US" w:eastAsia="zh-CN"/>
        </w:rPr>
        <w:t>5.6-2</w:t>
      </w:r>
      <w:r>
        <w:rPr>
          <w:rFonts w:ascii="Times New Roman" w:hAnsi="Times New Roman"/>
          <w:b/>
          <w:bCs/>
        </w:rPr>
        <w:t xml:space="preserve">     </w:t>
      </w:r>
      <w:r>
        <w:rPr>
          <w:rFonts w:hint="eastAsia" w:ascii="Times New Roman" w:hAnsi="Times New Roman"/>
          <w:b/>
          <w:bCs/>
        </w:rPr>
        <w:t>地下水环境敏感程度分级表</w:t>
      </w:r>
    </w:p>
    <w:tbl>
      <w:tblPr>
        <w:tblStyle w:val="39"/>
        <w:tblW w:w="5000" w:type="pct"/>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029"/>
        <w:gridCol w:w="7343"/>
      </w:tblGrid>
      <w:tr w14:paraId="5C03736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029" w:type="dxa"/>
            <w:tcBorders>
              <w:tl2br w:val="nil"/>
              <w:tr2bl w:val="nil"/>
            </w:tcBorders>
            <w:noWrap w:val="0"/>
            <w:vAlign w:val="center"/>
          </w:tcPr>
          <w:p w14:paraId="7C6146A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敏感程度</w:t>
            </w:r>
          </w:p>
        </w:tc>
        <w:tc>
          <w:tcPr>
            <w:tcW w:w="7343" w:type="dxa"/>
            <w:tcBorders>
              <w:tl2br w:val="nil"/>
              <w:tr2bl w:val="nil"/>
            </w:tcBorders>
            <w:noWrap w:val="0"/>
            <w:vAlign w:val="center"/>
          </w:tcPr>
          <w:p w14:paraId="53E5286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地下水环境敏感特征</w:t>
            </w:r>
          </w:p>
        </w:tc>
      </w:tr>
      <w:tr w14:paraId="38750E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029" w:type="dxa"/>
            <w:tcBorders>
              <w:tl2br w:val="nil"/>
              <w:tr2bl w:val="nil"/>
            </w:tcBorders>
            <w:noWrap w:val="0"/>
            <w:vAlign w:val="center"/>
          </w:tcPr>
          <w:p w14:paraId="63F4023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敏感</w:t>
            </w:r>
          </w:p>
        </w:tc>
        <w:tc>
          <w:tcPr>
            <w:tcW w:w="7343" w:type="dxa"/>
            <w:tcBorders>
              <w:tl2br w:val="nil"/>
              <w:tr2bl w:val="nil"/>
            </w:tcBorders>
            <w:noWrap w:val="0"/>
            <w:vAlign w:val="center"/>
          </w:tcPr>
          <w:p w14:paraId="63FE9AE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集中式饮用水水源（包括已建成的在用、备用、应急水源，在建和规划的饮用水水源）准保护区；除集中式饮用水水源以外的国家或地方政府设定的与地下水环境相关其它保护区，如热水、矿泉水、温泉等特殊地下水资源保护区。</w:t>
            </w:r>
          </w:p>
        </w:tc>
      </w:tr>
      <w:tr w14:paraId="63DECDA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029" w:type="dxa"/>
            <w:tcBorders>
              <w:tl2br w:val="nil"/>
              <w:tr2bl w:val="nil"/>
            </w:tcBorders>
            <w:noWrap w:val="0"/>
            <w:vAlign w:val="center"/>
          </w:tcPr>
          <w:p w14:paraId="0A3717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较敏感</w:t>
            </w:r>
          </w:p>
        </w:tc>
        <w:tc>
          <w:tcPr>
            <w:tcW w:w="7343" w:type="dxa"/>
            <w:tcBorders>
              <w:tl2br w:val="nil"/>
              <w:tr2bl w:val="nil"/>
            </w:tcBorders>
            <w:noWrap w:val="0"/>
            <w:vAlign w:val="center"/>
          </w:tcPr>
          <w:p w14:paraId="1BB714E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集中式饮用水水源（包括已建成的在用、备用、应急水源，在建和规划的饮用水水源）准保护区以外的补给径流区；未划定准保护区的集中水式饮用水水源，</w:t>
            </w:r>
            <w:r>
              <w:rPr>
                <w:rFonts w:hint="default" w:ascii="Times New Roman" w:hAnsi="Times New Roman" w:cs="Times New Roman"/>
                <w:color w:val="000000"/>
                <w:spacing w:val="0"/>
                <w:kern w:val="21"/>
                <w:sz w:val="21"/>
                <w:szCs w:val="21"/>
              </w:rPr>
              <w:t>其</w:t>
            </w:r>
            <w:r>
              <w:rPr>
                <w:rFonts w:hint="default" w:ascii="Times New Roman" w:hAnsi="Times New Roman" w:cs="Times New Roman"/>
                <w:spacing w:val="0"/>
                <w:kern w:val="21"/>
                <w:sz w:val="21"/>
                <w:szCs w:val="21"/>
              </w:rPr>
              <w:t>保护区以外的补给径流区；分散式饮用水水源地；特殊地下水资源（如矿泉水、温泉等）保护区以外的分布区等其他未列入上述敏感分级的环境敏感区</w:t>
            </w:r>
            <w:r>
              <w:rPr>
                <w:rFonts w:hint="default" w:ascii="Times New Roman" w:hAnsi="Times New Roman" w:eastAsia="Times New Roman" w:cs="Times New Roman"/>
                <w:spacing w:val="0"/>
                <w:kern w:val="21"/>
                <w:sz w:val="21"/>
                <w:szCs w:val="21"/>
                <w:vertAlign w:val="superscript"/>
              </w:rPr>
              <w:t>a</w:t>
            </w:r>
            <w:r>
              <w:rPr>
                <w:rFonts w:hint="default" w:ascii="Times New Roman" w:hAnsi="Times New Roman" w:cs="Times New Roman"/>
                <w:spacing w:val="0"/>
                <w:kern w:val="21"/>
                <w:sz w:val="21"/>
                <w:szCs w:val="21"/>
              </w:rPr>
              <w:t>。</w:t>
            </w:r>
          </w:p>
        </w:tc>
      </w:tr>
      <w:tr w14:paraId="6B367D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1029" w:type="dxa"/>
            <w:tcBorders>
              <w:tl2br w:val="nil"/>
              <w:tr2bl w:val="nil"/>
            </w:tcBorders>
            <w:noWrap w:val="0"/>
            <w:vAlign w:val="center"/>
          </w:tcPr>
          <w:p w14:paraId="535E92B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不敏感</w:t>
            </w:r>
          </w:p>
        </w:tc>
        <w:tc>
          <w:tcPr>
            <w:tcW w:w="7343" w:type="dxa"/>
            <w:tcBorders>
              <w:tl2br w:val="nil"/>
              <w:tr2bl w:val="nil"/>
            </w:tcBorders>
            <w:noWrap w:val="0"/>
            <w:vAlign w:val="center"/>
          </w:tcPr>
          <w:p w14:paraId="6870E66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上述地区之外的其他地区。</w:t>
            </w:r>
          </w:p>
        </w:tc>
      </w:tr>
      <w:tr w14:paraId="540F5C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244" w:hRule="atLeast"/>
        </w:trPr>
        <w:tc>
          <w:tcPr>
            <w:tcW w:w="8372" w:type="dxa"/>
            <w:gridSpan w:val="2"/>
            <w:tcBorders>
              <w:tl2br w:val="nil"/>
              <w:tr2bl w:val="nil"/>
            </w:tcBorders>
            <w:noWrap w:val="0"/>
            <w:vAlign w:val="center"/>
          </w:tcPr>
          <w:p w14:paraId="181E4AA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注：</w:t>
            </w:r>
            <w:r>
              <w:rPr>
                <w:rFonts w:hint="default" w:ascii="Times New Roman" w:hAnsi="Times New Roman" w:eastAsia="Times New Roman" w:cs="Times New Roman"/>
                <w:spacing w:val="0"/>
                <w:kern w:val="21"/>
                <w:sz w:val="21"/>
                <w:szCs w:val="21"/>
              </w:rPr>
              <w:t>a“</w:t>
            </w:r>
            <w:r>
              <w:rPr>
                <w:rFonts w:hint="default" w:ascii="Times New Roman" w:hAnsi="Times New Roman" w:cs="Times New Roman"/>
                <w:spacing w:val="0"/>
                <w:kern w:val="21"/>
                <w:sz w:val="21"/>
                <w:szCs w:val="21"/>
              </w:rPr>
              <w:t>环境敏感区</w:t>
            </w:r>
            <w:r>
              <w:rPr>
                <w:rFonts w:hint="default" w:ascii="Times New Roman" w:hAnsi="Times New Roman" w:eastAsia="Times New Roman" w:cs="Times New Roman"/>
                <w:spacing w:val="0"/>
                <w:kern w:val="21"/>
                <w:sz w:val="21"/>
                <w:szCs w:val="21"/>
              </w:rPr>
              <w:t>”</w:t>
            </w:r>
            <w:r>
              <w:rPr>
                <w:rFonts w:hint="default" w:ascii="Times New Roman" w:hAnsi="Times New Roman" w:cs="Times New Roman"/>
                <w:spacing w:val="0"/>
                <w:kern w:val="21"/>
                <w:sz w:val="21"/>
                <w:szCs w:val="21"/>
              </w:rPr>
              <w:t>是指《建设项目环境影响评价分类管理名录》中所界定涉及地下水的环境敏感区。</w:t>
            </w:r>
          </w:p>
        </w:tc>
      </w:tr>
    </w:tbl>
    <w:p w14:paraId="3DF1CF5E">
      <w:pPr>
        <w:ind w:firstLine="482"/>
        <w:rPr>
          <w:b w:val="0"/>
          <w:bCs w:val="0"/>
          <w:u w:val="none"/>
        </w:rPr>
      </w:pPr>
      <w:r>
        <w:rPr>
          <w:b w:val="0"/>
          <w:bCs w:val="0"/>
          <w:u w:val="none"/>
        </w:rPr>
        <w:t>本项目厂址距离获嘉县乡镇集中式饮用水水源保护区--照镜镇饮用水源地保护区距离最近，</w:t>
      </w:r>
      <w:r>
        <w:rPr>
          <w:rFonts w:hint="eastAsia"/>
          <w:b w:val="0"/>
          <w:bCs w:val="0"/>
          <w:u w:val="none"/>
        </w:rPr>
        <w:t>本项目在获嘉县乡镇集中式饮用水水源保护区-照镜镇饮用水源地地下水井保护区边界的外围，故本项目不在饮用水源保护区的范围内。</w:t>
      </w:r>
    </w:p>
    <w:p w14:paraId="0BEF8731">
      <w:pPr>
        <w:ind w:firstLine="482"/>
        <w:rPr>
          <w:rFonts w:hint="eastAsia"/>
        </w:rPr>
      </w:pPr>
      <w:r>
        <w:rPr>
          <w:rFonts w:hint="eastAsia"/>
        </w:rPr>
        <w:t>根据项目区周边水源地分析</w:t>
      </w:r>
      <w:r>
        <w:rPr>
          <w:rFonts w:hint="eastAsia"/>
          <w:lang w:eastAsia="zh-CN"/>
        </w:rPr>
        <w:t>，</w:t>
      </w:r>
      <w:r>
        <w:rPr>
          <w:rFonts w:hint="eastAsia"/>
          <w:b w:val="0"/>
          <w:bCs w:val="0"/>
          <w:u w:val="none"/>
        </w:rPr>
        <w:t>新乡市泓江润新能源有限公司</w:t>
      </w:r>
      <w:r>
        <w:rPr>
          <w:b w:val="0"/>
          <w:bCs w:val="0"/>
          <w:u w:val="none"/>
        </w:rPr>
        <w:t>厂址距离最近的前李村居民区</w:t>
      </w:r>
      <w:r>
        <w:rPr>
          <w:rFonts w:hint="eastAsia"/>
          <w:b w:val="0"/>
          <w:bCs w:val="0"/>
          <w:u w:val="none"/>
          <w:lang w:val="en-US" w:eastAsia="zh-CN"/>
        </w:rPr>
        <w:t>300</w:t>
      </w:r>
      <w:r>
        <w:rPr>
          <w:b w:val="0"/>
          <w:bCs w:val="0"/>
          <w:u w:val="none"/>
        </w:rPr>
        <w:t>米，村中仍有部分分散水源井分布。</w:t>
      </w:r>
      <w:r>
        <w:rPr>
          <w:rFonts w:hint="eastAsia"/>
        </w:rPr>
        <w:t>依据导则，将建设项目场地的地下水环境敏感程度分级确定为较敏感。</w:t>
      </w:r>
    </w:p>
    <w:p w14:paraId="6C803A0F">
      <w:pPr>
        <w:ind w:left="0" w:leftChars="0" w:firstLine="0" w:firstLineChars="0"/>
        <w:jc w:val="center"/>
        <w:rPr>
          <w:rFonts w:hint="eastAsia" w:ascii="Times New Roman" w:hAnsi="Times New Roman"/>
          <w:b/>
          <w:bCs/>
          <w:lang w:val="en-US" w:eastAsia="zh-CN"/>
        </w:rPr>
      </w:pPr>
      <w:r>
        <w:rPr>
          <w:rFonts w:ascii="Times New Roman" w:hAnsi="Times New Roman"/>
          <w:b/>
          <w:bCs/>
        </w:rPr>
        <w:t>表</w:t>
      </w:r>
      <w:r>
        <w:rPr>
          <w:rFonts w:hint="eastAsia"/>
          <w:b/>
          <w:bCs/>
          <w:lang w:val="en-US" w:eastAsia="zh-CN"/>
        </w:rPr>
        <w:t>5.6-3</w:t>
      </w:r>
      <w:r>
        <w:rPr>
          <w:rFonts w:ascii="Times New Roman" w:hAnsi="Times New Roman"/>
          <w:b/>
          <w:bCs/>
        </w:rPr>
        <w:t xml:space="preserve">     </w:t>
      </w:r>
      <w:r>
        <w:rPr>
          <w:rFonts w:hint="eastAsia" w:ascii="Times New Roman" w:hAnsi="Times New Roman"/>
          <w:b/>
          <w:bCs/>
        </w:rPr>
        <w:t>地下水环境评价工作等级分级表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2888"/>
        <w:gridCol w:w="1962"/>
        <w:gridCol w:w="1666"/>
        <w:gridCol w:w="1856"/>
      </w:tblGrid>
      <w:tr w14:paraId="41F0D64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3" w:type="dxa"/>
            <w:tcBorders>
              <w:tl2br w:val="single" w:color="auto" w:sz="4" w:space="0"/>
            </w:tcBorders>
            <w:noWrap w:val="0"/>
            <w:vAlign w:val="center"/>
          </w:tcPr>
          <w:p w14:paraId="129BC149">
            <w:pPr>
              <w:pStyle w:val="81"/>
              <w:rPr>
                <w:rFonts w:hint="default" w:ascii="Times New Roman" w:hAnsi="Times New Roman" w:cs="Times New Roman"/>
                <w:color w:val="auto"/>
              </w:rPr>
            </w:pPr>
            <w:r>
              <w:rPr>
                <w:rFonts w:hint="default" w:ascii="Times New Roman" w:hAnsi="Times New Roman" w:cs="Times New Roman"/>
                <w:color w:val="auto"/>
              </w:rPr>
              <w:t xml:space="preserve">                项目类别</w:t>
            </w:r>
          </w:p>
          <w:p w14:paraId="1548AA42">
            <w:pPr>
              <w:pStyle w:val="81"/>
              <w:jc w:val="both"/>
              <w:rPr>
                <w:rFonts w:hint="default" w:ascii="Times New Roman" w:hAnsi="Times New Roman" w:cs="Times New Roman"/>
                <w:color w:val="auto"/>
              </w:rPr>
            </w:pPr>
            <w:r>
              <w:rPr>
                <w:rFonts w:hint="default" w:ascii="Times New Roman" w:hAnsi="Times New Roman" w:cs="Times New Roman"/>
                <w:color w:val="auto"/>
              </w:rPr>
              <w:t>环境敏感程度</w:t>
            </w:r>
          </w:p>
        </w:tc>
        <w:tc>
          <w:tcPr>
            <w:tcW w:w="1998" w:type="dxa"/>
            <w:noWrap w:val="0"/>
            <w:vAlign w:val="center"/>
          </w:tcPr>
          <w:p w14:paraId="055AD63B">
            <w:pPr>
              <w:pStyle w:val="81"/>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1 \* ROMAN \* MERGEFORMAT </w:instrText>
            </w:r>
            <w:r>
              <w:rPr>
                <w:rFonts w:hint="default" w:ascii="Times New Roman" w:hAnsi="Times New Roman" w:cs="Times New Roman"/>
                <w:color w:val="auto"/>
              </w:rPr>
              <w:fldChar w:fldCharType="separate"/>
            </w:r>
            <w:r>
              <w:rPr>
                <w:rFonts w:hint="default" w:ascii="Times New Roman" w:hAnsi="Times New Roman" w:cs="Times New Roman"/>
                <w:color w:val="auto"/>
              </w:rPr>
              <w:t>I</w:t>
            </w:r>
            <w:r>
              <w:rPr>
                <w:rFonts w:hint="default" w:ascii="Times New Roman" w:hAnsi="Times New Roman" w:cs="Times New Roman"/>
                <w:color w:val="auto"/>
              </w:rPr>
              <w:fldChar w:fldCharType="end"/>
            </w:r>
            <w:r>
              <w:rPr>
                <w:rFonts w:hint="default" w:ascii="Times New Roman" w:hAnsi="Times New Roman" w:cs="Times New Roman"/>
                <w:color w:val="auto"/>
              </w:rPr>
              <w:t>类项目</w:t>
            </w:r>
          </w:p>
        </w:tc>
        <w:tc>
          <w:tcPr>
            <w:tcW w:w="1697" w:type="dxa"/>
            <w:noWrap w:val="0"/>
            <w:vAlign w:val="center"/>
          </w:tcPr>
          <w:p w14:paraId="2A4ECDB3">
            <w:pPr>
              <w:pStyle w:val="81"/>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2 \* ROMAN \* MERGEFORMAT </w:instrText>
            </w:r>
            <w:r>
              <w:rPr>
                <w:rFonts w:hint="default" w:ascii="Times New Roman" w:hAnsi="Times New Roman" w:cs="Times New Roman"/>
                <w:color w:val="auto"/>
              </w:rPr>
              <w:fldChar w:fldCharType="separate"/>
            </w:r>
            <w:r>
              <w:rPr>
                <w:rFonts w:hint="default" w:ascii="Times New Roman" w:hAnsi="Times New Roman" w:cs="Times New Roman"/>
                <w:color w:val="auto"/>
              </w:rPr>
              <w:t>II</w:t>
            </w:r>
            <w:r>
              <w:rPr>
                <w:rFonts w:hint="default" w:ascii="Times New Roman" w:hAnsi="Times New Roman" w:cs="Times New Roman"/>
                <w:color w:val="auto"/>
              </w:rPr>
              <w:fldChar w:fldCharType="end"/>
            </w:r>
            <w:r>
              <w:rPr>
                <w:rFonts w:hint="default" w:ascii="Times New Roman" w:hAnsi="Times New Roman" w:cs="Times New Roman"/>
                <w:color w:val="auto"/>
              </w:rPr>
              <w:t>类项目</w:t>
            </w:r>
          </w:p>
        </w:tc>
        <w:tc>
          <w:tcPr>
            <w:tcW w:w="1890" w:type="dxa"/>
            <w:noWrap w:val="0"/>
            <w:vAlign w:val="center"/>
          </w:tcPr>
          <w:p w14:paraId="0E859097">
            <w:pPr>
              <w:pStyle w:val="81"/>
              <w:rPr>
                <w:rFonts w:hint="default" w:ascii="Times New Roman" w:hAnsi="Times New Roman" w:cs="Times New Roman"/>
                <w:color w:val="auto"/>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 3 \* ROMAN \* MERGEFORMAT </w:instrText>
            </w:r>
            <w:r>
              <w:rPr>
                <w:rFonts w:hint="default" w:ascii="Times New Roman" w:hAnsi="Times New Roman" w:cs="Times New Roman"/>
                <w:color w:val="auto"/>
              </w:rPr>
              <w:fldChar w:fldCharType="separate"/>
            </w:r>
            <w:r>
              <w:rPr>
                <w:rFonts w:hint="default" w:ascii="Times New Roman" w:hAnsi="Times New Roman" w:cs="Times New Roman"/>
                <w:color w:val="auto"/>
              </w:rPr>
              <w:t>III</w:t>
            </w:r>
            <w:r>
              <w:rPr>
                <w:rFonts w:hint="default" w:ascii="Times New Roman" w:hAnsi="Times New Roman" w:cs="Times New Roman"/>
                <w:color w:val="auto"/>
              </w:rPr>
              <w:fldChar w:fldCharType="end"/>
            </w:r>
            <w:r>
              <w:rPr>
                <w:rFonts w:hint="default" w:ascii="Times New Roman" w:hAnsi="Times New Roman" w:cs="Times New Roman"/>
                <w:color w:val="auto"/>
              </w:rPr>
              <w:t>类项目</w:t>
            </w:r>
          </w:p>
        </w:tc>
      </w:tr>
      <w:tr w14:paraId="7F5710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3" w:type="dxa"/>
            <w:noWrap w:val="0"/>
            <w:vAlign w:val="center"/>
          </w:tcPr>
          <w:p w14:paraId="742058DC">
            <w:pPr>
              <w:pStyle w:val="75"/>
              <w:rPr>
                <w:rFonts w:hint="default" w:ascii="Times New Roman" w:hAnsi="Times New Roman" w:cs="Times New Roman"/>
              </w:rPr>
            </w:pPr>
            <w:r>
              <w:rPr>
                <w:rFonts w:hint="default" w:ascii="Times New Roman" w:hAnsi="Times New Roman" w:cs="Times New Roman"/>
              </w:rPr>
              <w:t>敏感</w:t>
            </w:r>
          </w:p>
        </w:tc>
        <w:tc>
          <w:tcPr>
            <w:tcW w:w="1998" w:type="dxa"/>
            <w:noWrap w:val="0"/>
            <w:vAlign w:val="center"/>
          </w:tcPr>
          <w:p w14:paraId="66684DFA">
            <w:pPr>
              <w:pStyle w:val="75"/>
              <w:rPr>
                <w:rFonts w:hint="default" w:ascii="Times New Roman" w:hAnsi="Times New Roman" w:cs="Times New Roman"/>
              </w:rPr>
            </w:pPr>
            <w:r>
              <w:rPr>
                <w:rFonts w:hint="default" w:ascii="Times New Roman" w:hAnsi="Times New Roman" w:cs="Times New Roman"/>
              </w:rPr>
              <w:t>一</w:t>
            </w:r>
          </w:p>
        </w:tc>
        <w:tc>
          <w:tcPr>
            <w:tcW w:w="1697" w:type="dxa"/>
            <w:noWrap w:val="0"/>
            <w:vAlign w:val="center"/>
          </w:tcPr>
          <w:p w14:paraId="3994A3E4">
            <w:pPr>
              <w:pStyle w:val="75"/>
              <w:rPr>
                <w:rFonts w:hint="default" w:ascii="Times New Roman" w:hAnsi="Times New Roman" w:cs="Times New Roman"/>
              </w:rPr>
            </w:pPr>
            <w:r>
              <w:rPr>
                <w:rFonts w:hint="default" w:ascii="Times New Roman" w:hAnsi="Times New Roman" w:cs="Times New Roman"/>
              </w:rPr>
              <w:t>一</w:t>
            </w:r>
          </w:p>
        </w:tc>
        <w:tc>
          <w:tcPr>
            <w:tcW w:w="1890" w:type="dxa"/>
            <w:noWrap w:val="0"/>
            <w:vAlign w:val="center"/>
          </w:tcPr>
          <w:p w14:paraId="1B19E989">
            <w:pPr>
              <w:pStyle w:val="75"/>
              <w:rPr>
                <w:rFonts w:hint="default" w:ascii="Times New Roman" w:hAnsi="Times New Roman" w:cs="Times New Roman"/>
              </w:rPr>
            </w:pPr>
            <w:r>
              <w:rPr>
                <w:rFonts w:hint="default" w:ascii="Times New Roman" w:hAnsi="Times New Roman" w:cs="Times New Roman"/>
              </w:rPr>
              <w:t>二</w:t>
            </w:r>
          </w:p>
        </w:tc>
      </w:tr>
      <w:tr w14:paraId="351373D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3" w:type="dxa"/>
            <w:shd w:val="clear" w:color="auto" w:fill="auto"/>
            <w:noWrap w:val="0"/>
            <w:vAlign w:val="center"/>
          </w:tcPr>
          <w:p w14:paraId="3036C7AC">
            <w:pPr>
              <w:pStyle w:val="75"/>
              <w:rPr>
                <w:rFonts w:hint="default" w:ascii="Times New Roman" w:hAnsi="Times New Roman" w:cs="Times New Roman"/>
              </w:rPr>
            </w:pPr>
            <w:r>
              <w:rPr>
                <w:rFonts w:hint="default" w:ascii="Times New Roman" w:hAnsi="Times New Roman" w:cs="Times New Roman"/>
              </w:rPr>
              <w:t>较敏感</w:t>
            </w:r>
          </w:p>
        </w:tc>
        <w:tc>
          <w:tcPr>
            <w:tcW w:w="1998" w:type="dxa"/>
            <w:shd w:val="clear" w:color="auto" w:fill="auto"/>
            <w:noWrap w:val="0"/>
            <w:vAlign w:val="center"/>
          </w:tcPr>
          <w:p w14:paraId="5869E135">
            <w:pPr>
              <w:pStyle w:val="75"/>
              <w:rPr>
                <w:rFonts w:hint="default" w:ascii="Times New Roman" w:hAnsi="Times New Roman" w:cs="Times New Roman"/>
              </w:rPr>
            </w:pPr>
            <w:r>
              <w:rPr>
                <w:rFonts w:hint="default" w:ascii="Times New Roman" w:hAnsi="Times New Roman" w:cs="Times New Roman"/>
              </w:rPr>
              <w:t>一</w:t>
            </w:r>
          </w:p>
        </w:tc>
        <w:tc>
          <w:tcPr>
            <w:tcW w:w="1697" w:type="dxa"/>
            <w:shd w:val="clear" w:color="auto" w:fill="auto"/>
            <w:noWrap w:val="0"/>
            <w:vAlign w:val="center"/>
          </w:tcPr>
          <w:p w14:paraId="268D7C98">
            <w:pPr>
              <w:pStyle w:val="75"/>
              <w:rPr>
                <w:rFonts w:hint="default" w:ascii="Times New Roman" w:hAnsi="Times New Roman" w:cs="Times New Roman"/>
              </w:rPr>
            </w:pPr>
            <w:r>
              <w:rPr>
                <w:rFonts w:hint="default" w:ascii="Times New Roman" w:hAnsi="Times New Roman" w:cs="Times New Roman"/>
              </w:rPr>
              <w:t>二</w:t>
            </w:r>
          </w:p>
        </w:tc>
        <w:tc>
          <w:tcPr>
            <w:tcW w:w="1890" w:type="dxa"/>
            <w:shd w:val="clear" w:color="auto" w:fill="D7D7D7"/>
            <w:noWrap w:val="0"/>
            <w:vAlign w:val="center"/>
          </w:tcPr>
          <w:p w14:paraId="6D7703A9">
            <w:pPr>
              <w:pStyle w:val="75"/>
              <w:rPr>
                <w:rFonts w:hint="default" w:ascii="Times New Roman" w:hAnsi="Times New Roman" w:cs="Times New Roman"/>
              </w:rPr>
            </w:pPr>
            <w:r>
              <w:rPr>
                <w:rFonts w:hint="default" w:ascii="Times New Roman" w:hAnsi="Times New Roman" w:cs="Times New Roman"/>
                <w:b w:val="0"/>
                <w:bCs w:val="0"/>
              </w:rPr>
              <w:t>三</w:t>
            </w:r>
          </w:p>
        </w:tc>
      </w:tr>
      <w:tr w14:paraId="1F0793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943" w:type="dxa"/>
            <w:noWrap w:val="0"/>
            <w:vAlign w:val="center"/>
          </w:tcPr>
          <w:p w14:paraId="0599F10A">
            <w:pPr>
              <w:pStyle w:val="75"/>
              <w:rPr>
                <w:rFonts w:hint="default" w:ascii="Times New Roman" w:hAnsi="Times New Roman" w:cs="Times New Roman"/>
              </w:rPr>
            </w:pPr>
            <w:r>
              <w:rPr>
                <w:rFonts w:hint="default" w:ascii="Times New Roman" w:hAnsi="Times New Roman" w:cs="Times New Roman"/>
              </w:rPr>
              <w:t>不敏感</w:t>
            </w:r>
          </w:p>
        </w:tc>
        <w:tc>
          <w:tcPr>
            <w:tcW w:w="1998" w:type="dxa"/>
            <w:noWrap w:val="0"/>
            <w:vAlign w:val="center"/>
          </w:tcPr>
          <w:p w14:paraId="5D9A7F68">
            <w:pPr>
              <w:pStyle w:val="75"/>
              <w:rPr>
                <w:rFonts w:hint="default" w:ascii="Times New Roman" w:hAnsi="Times New Roman" w:cs="Times New Roman"/>
              </w:rPr>
            </w:pPr>
            <w:r>
              <w:rPr>
                <w:rFonts w:hint="default" w:ascii="Times New Roman" w:hAnsi="Times New Roman" w:cs="Times New Roman"/>
              </w:rPr>
              <w:t>二</w:t>
            </w:r>
          </w:p>
        </w:tc>
        <w:tc>
          <w:tcPr>
            <w:tcW w:w="1697" w:type="dxa"/>
            <w:noWrap w:val="0"/>
            <w:vAlign w:val="center"/>
          </w:tcPr>
          <w:p w14:paraId="095AA257">
            <w:pPr>
              <w:pStyle w:val="75"/>
              <w:rPr>
                <w:rFonts w:hint="default" w:ascii="Times New Roman" w:hAnsi="Times New Roman" w:cs="Times New Roman"/>
              </w:rPr>
            </w:pPr>
            <w:r>
              <w:rPr>
                <w:rFonts w:hint="default" w:ascii="Times New Roman" w:hAnsi="Times New Roman" w:cs="Times New Roman"/>
              </w:rPr>
              <w:t>三</w:t>
            </w:r>
          </w:p>
        </w:tc>
        <w:tc>
          <w:tcPr>
            <w:tcW w:w="1890" w:type="dxa"/>
            <w:noWrap w:val="0"/>
            <w:vAlign w:val="center"/>
          </w:tcPr>
          <w:p w14:paraId="0D0D06F4">
            <w:pPr>
              <w:pStyle w:val="75"/>
              <w:rPr>
                <w:rFonts w:hint="default" w:ascii="Times New Roman" w:hAnsi="Times New Roman" w:cs="Times New Roman"/>
              </w:rPr>
            </w:pPr>
            <w:r>
              <w:rPr>
                <w:rFonts w:hint="default" w:ascii="Times New Roman" w:hAnsi="Times New Roman" w:cs="Times New Roman"/>
              </w:rPr>
              <w:t>三</w:t>
            </w:r>
          </w:p>
        </w:tc>
      </w:tr>
    </w:tbl>
    <w:p w14:paraId="6EB0A87D">
      <w:pPr>
        <w:ind w:firstLine="482"/>
        <w:rPr>
          <w:rFonts w:hint="eastAsia"/>
          <w:b w:val="0"/>
          <w:bCs w:val="0"/>
          <w:u w:val="none"/>
        </w:rPr>
      </w:pPr>
      <w:r>
        <w:rPr>
          <w:rFonts w:hint="eastAsia"/>
        </w:rPr>
        <w:t>地下水环境影响评价项目类别：根据《环境影响评价技术导则  地下水环境》（HJ610-2016）附录A“地下水环境影响评价行业分类表”，本项目行业类别属于“电气机械及器材制造”，环境影响评价文件类型为报告书，“电气机械及器材制造”地下水环境影响评价项目类别为III类，因此本项目地下水环境影响评价项目类别为III类</w:t>
      </w:r>
      <w:r>
        <w:t>。</w:t>
      </w:r>
    </w:p>
    <w:p w14:paraId="1F4A22BD">
      <w:pPr>
        <w:jc w:val="both"/>
        <w:rPr>
          <w:rFonts w:hint="default" w:ascii="Times New Roman" w:hAnsi="Times New Roman" w:eastAsia="宋体" w:cs="Times New Roman"/>
          <w:lang w:val="en-US" w:eastAsia="zh-CN"/>
        </w:rPr>
      </w:pPr>
      <w:r>
        <w:rPr>
          <w:rFonts w:hint="eastAsia"/>
          <w:b w:val="0"/>
          <w:bCs w:val="0"/>
          <w:u w:val="none"/>
          <w:lang w:val="en-US" w:eastAsia="zh-CN"/>
        </w:rPr>
        <w:t>综上，</w:t>
      </w:r>
      <w:r>
        <w:rPr>
          <w:rFonts w:hint="default" w:ascii="Times New Roman" w:hAnsi="Times New Roman" w:eastAsia="宋体" w:cs="Times New Roman"/>
          <w:lang w:val="en-US" w:eastAsia="zh-CN"/>
        </w:rPr>
        <w:t>按照《环境影响评价技术导则  地下水环境》（HJ610-2016）6.2.2建设项目评价工作等级，本项目评价等级为三级。</w:t>
      </w:r>
    </w:p>
    <w:p w14:paraId="4BB85D9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r>
        <w:rPr>
          <w:rFonts w:hint="default" w:ascii="Times New Roman" w:hAnsi="Times New Roman" w:cs="Times New Roman"/>
          <w:lang w:val="en-US" w:eastAsia="zh-CN"/>
        </w:rPr>
        <w:t>5.6.</w:t>
      </w:r>
      <w:r>
        <w:rPr>
          <w:rFonts w:hint="eastAsia" w:ascii="Times New Roman" w:hAnsi="Times New Roman" w:cs="Times New Roman"/>
          <w:lang w:val="en-US" w:eastAsia="zh-CN"/>
        </w:rPr>
        <w:t>2</w:t>
      </w:r>
      <w:r>
        <w:rPr>
          <w:rFonts w:hint="default" w:ascii="Times New Roman" w:hAnsi="Times New Roman" w:cs="Times New Roman"/>
          <w:lang w:val="en-US" w:eastAsia="zh-CN"/>
        </w:rPr>
        <w:t>调查评价范围及环境保护目标</w:t>
      </w:r>
    </w:p>
    <w:p w14:paraId="40F4DB5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default" w:ascii="Times New Roman" w:hAnsi="Times New Roman" w:cs="Times New Roman"/>
          <w:lang w:val="en-US" w:eastAsia="zh-CN"/>
        </w:rPr>
        <w:t>5.6.</w:t>
      </w:r>
      <w:r>
        <w:rPr>
          <w:rFonts w:hint="eastAsia" w:ascii="Times New Roman" w:hAnsi="Times New Roman" w:cs="Times New Roman"/>
          <w:lang w:val="en-US" w:eastAsia="zh-CN"/>
        </w:rPr>
        <w:t>2.1评价范围</w:t>
      </w:r>
    </w:p>
    <w:p w14:paraId="1FDE4526">
      <w:pPr>
        <w:ind w:firstLine="480"/>
      </w:pPr>
      <w:r>
        <w:t>本项目位于厂址位于黄河冲积平原，水文地质条件相对简单。本次评价范围确定先根据导则推荐公式计算出理论范围值，然后根据厂址区域地下水环境保护目标分布情况以及导则地下水环境现状调查评价范围参照表进行调整。</w:t>
      </w:r>
    </w:p>
    <w:p w14:paraId="132CC7E9">
      <w:pPr>
        <w:pStyle w:val="83"/>
        <w:spacing w:before="120" w:after="120"/>
      </w:pPr>
      <w:r>
        <w:t>L=а×κ×I×T/n</w:t>
      </w:r>
      <w:r>
        <w:rPr>
          <w:vertAlign w:val="subscript"/>
        </w:rPr>
        <w:t>e</w:t>
      </w:r>
    </w:p>
    <w:p w14:paraId="48447205">
      <w:pPr>
        <w:ind w:firstLine="480"/>
      </w:pPr>
      <w:r>
        <w:t>式中：L-下游迁移距离，m；</w:t>
      </w:r>
    </w:p>
    <w:p w14:paraId="1868E653">
      <w:pPr>
        <w:ind w:firstLine="1200" w:firstLineChars="500"/>
      </w:pPr>
      <w:r>
        <w:t>а-变化系数，а≥1，一般取2；</w:t>
      </w:r>
    </w:p>
    <w:p w14:paraId="59A26A8E">
      <w:pPr>
        <w:ind w:firstLine="1200" w:firstLineChars="500"/>
      </w:pPr>
      <w:r>
        <w:t>κ-渗透系数，m/d，常见渗透系数表见《环境影响评价技术导则地下水环境》（HJ610-2016）附录B表B</w:t>
      </w:r>
      <w:r>
        <w:rPr>
          <w:rFonts w:hint="eastAsia"/>
        </w:rPr>
        <w:t>.</w:t>
      </w:r>
      <w:r>
        <w:t>1；评价区含水层主要为</w:t>
      </w:r>
      <w:r>
        <w:rPr>
          <w:rFonts w:hint="eastAsia"/>
        </w:rPr>
        <w:t>粉质黏土</w:t>
      </w:r>
      <w:r>
        <w:t>，</w:t>
      </w:r>
      <w:r>
        <w:rPr>
          <w:rFonts w:hint="eastAsia"/>
        </w:rPr>
        <w:t>本项目按最不利原则取粉土的渗透系数进行计算，</w:t>
      </w:r>
      <w:r>
        <w:t>根据附录B取值为</w:t>
      </w:r>
      <w:r>
        <w:rPr>
          <w:rFonts w:hint="eastAsia"/>
        </w:rPr>
        <w:t>1.0</w:t>
      </w:r>
      <w:r>
        <w:t>m/d；</w:t>
      </w:r>
    </w:p>
    <w:p w14:paraId="2110078F">
      <w:pPr>
        <w:ind w:firstLine="1200" w:firstLineChars="500"/>
      </w:pPr>
      <w:r>
        <w:t>I-水力坡度，无量纲；</w:t>
      </w:r>
    </w:p>
    <w:p w14:paraId="098AA09D">
      <w:pPr>
        <w:ind w:firstLine="1200" w:firstLineChars="500"/>
      </w:pPr>
      <w:r>
        <w:t>T-质点迁移天数，取值不小于5000d；</w:t>
      </w:r>
    </w:p>
    <w:p w14:paraId="16ED4F28">
      <w:pPr>
        <w:pStyle w:val="72"/>
        <w:rPr>
          <w:rFonts w:ascii="Times New Roman" w:hAnsi="Times New Roman" w:eastAsia="宋体" w:cs="Times New Roman"/>
          <w:sz w:val="24"/>
          <w:lang w:val="en-US" w:eastAsia="zh-CN" w:bidi="ar-SA"/>
        </w:rPr>
      </w:pPr>
      <w:r>
        <w:rPr>
          <w:rFonts w:ascii="Times New Roman" w:hAnsi="Times New Roman" w:eastAsia="宋体" w:cs="Times New Roman"/>
          <w:sz w:val="24"/>
          <w:lang w:val="en-US" w:eastAsia="zh-CN" w:bidi="ar-SA"/>
        </w:rPr>
        <w:t>n</w:t>
      </w:r>
      <w:r>
        <w:rPr>
          <w:rFonts w:ascii="Times New Roman" w:hAnsi="Times New Roman" w:eastAsia="宋体" w:cs="Times New Roman"/>
          <w:sz w:val="24"/>
          <w:vertAlign w:val="subscript"/>
          <w:lang w:val="en-US" w:eastAsia="zh-CN" w:bidi="ar-SA"/>
        </w:rPr>
        <w:t>e</w:t>
      </w:r>
      <w:r>
        <w:rPr>
          <w:rFonts w:ascii="Times New Roman" w:hAnsi="Times New Roman" w:eastAsia="宋体" w:cs="Times New Roman"/>
          <w:sz w:val="24"/>
          <w:lang w:val="en-US" w:eastAsia="zh-CN" w:bidi="ar-SA"/>
        </w:rPr>
        <w:t>-有效孔隙度，无量纲。</w:t>
      </w:r>
      <w:r>
        <w:rPr>
          <w:rFonts w:hint="eastAsia" w:ascii="Times New Roman" w:hAnsi="Times New Roman" w:eastAsia="宋体" w:cs="Times New Roman"/>
          <w:sz w:val="24"/>
          <w:lang w:val="en-US" w:eastAsia="zh-CN" w:bidi="ar-SA"/>
        </w:rPr>
        <w:t>根据土壤现状监测报告，有效孔隙度取0.42。</w:t>
      </w:r>
    </w:p>
    <w:p w14:paraId="252B0563">
      <w:pPr>
        <w:pStyle w:val="72"/>
      </w:pPr>
      <w:r>
        <w:t>水力坡度根据区域村庄水平距离和地下水水面高程差计算确定，计算情况见</w:t>
      </w:r>
      <w:r>
        <w:rPr>
          <w:rFonts w:hint="eastAsia"/>
        </w:rPr>
        <w:t>下表</w:t>
      </w:r>
      <w:r>
        <w:t>。</w:t>
      </w:r>
    </w:p>
    <w:p w14:paraId="392B855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5.6-4</w:t>
      </w:r>
      <w:r>
        <w:rPr>
          <w:rFonts w:hint="eastAsia" w:ascii="Times New Roman" w:hAnsi="Times New Roman"/>
        </w:rPr>
        <w:t xml:space="preserve">    地下水水力坡度计算情况一览表</w:t>
      </w:r>
    </w:p>
    <w:tbl>
      <w:tblPr>
        <w:tblStyle w:val="39"/>
        <w:tblW w:w="8529"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808"/>
        <w:gridCol w:w="1134"/>
        <w:gridCol w:w="1158"/>
        <w:gridCol w:w="1999"/>
        <w:gridCol w:w="1334"/>
        <w:gridCol w:w="1096"/>
      </w:tblGrid>
      <w:tr w14:paraId="6E4449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08" w:type="dxa"/>
            <w:noWrap w:val="0"/>
            <w:vAlign w:val="center"/>
          </w:tcPr>
          <w:p w14:paraId="174A4AB7">
            <w:pPr>
              <w:pStyle w:val="81"/>
              <w:rPr>
                <w:rFonts w:cs="Times New Roman"/>
                <w:color w:val="auto"/>
              </w:rPr>
            </w:pPr>
            <w:r>
              <w:rPr>
                <w:rFonts w:cs="Times New Roman"/>
                <w:color w:val="auto"/>
              </w:rPr>
              <w:t>水井</w:t>
            </w:r>
          </w:p>
        </w:tc>
        <w:tc>
          <w:tcPr>
            <w:tcW w:w="1134" w:type="dxa"/>
            <w:noWrap w:val="0"/>
            <w:vAlign w:val="center"/>
          </w:tcPr>
          <w:p w14:paraId="00E74E24">
            <w:pPr>
              <w:pStyle w:val="81"/>
              <w:rPr>
                <w:rFonts w:cs="Times New Roman"/>
                <w:color w:val="auto"/>
              </w:rPr>
            </w:pPr>
            <w:r>
              <w:rPr>
                <w:rFonts w:cs="Times New Roman"/>
                <w:color w:val="auto"/>
              </w:rPr>
              <w:t>方向</w:t>
            </w:r>
          </w:p>
        </w:tc>
        <w:tc>
          <w:tcPr>
            <w:tcW w:w="1158" w:type="dxa"/>
            <w:noWrap w:val="0"/>
            <w:vAlign w:val="center"/>
          </w:tcPr>
          <w:p w14:paraId="35D2A650">
            <w:pPr>
              <w:pStyle w:val="81"/>
              <w:rPr>
                <w:rFonts w:cs="Times New Roman"/>
                <w:color w:val="auto"/>
              </w:rPr>
            </w:pPr>
            <w:r>
              <w:rPr>
                <w:rFonts w:cs="Times New Roman"/>
                <w:color w:val="auto"/>
              </w:rPr>
              <w:t>水平距离</w:t>
            </w:r>
          </w:p>
        </w:tc>
        <w:tc>
          <w:tcPr>
            <w:tcW w:w="1999" w:type="dxa"/>
            <w:noWrap w:val="0"/>
            <w:vAlign w:val="center"/>
          </w:tcPr>
          <w:p w14:paraId="2A2F37BB">
            <w:pPr>
              <w:pStyle w:val="81"/>
              <w:rPr>
                <w:rFonts w:cs="Times New Roman"/>
                <w:color w:val="auto"/>
              </w:rPr>
            </w:pPr>
            <w:r>
              <w:rPr>
                <w:rFonts w:cs="Times New Roman"/>
                <w:color w:val="auto"/>
              </w:rPr>
              <w:t>地下水水面高程差</w:t>
            </w:r>
          </w:p>
        </w:tc>
        <w:tc>
          <w:tcPr>
            <w:tcW w:w="1334" w:type="dxa"/>
            <w:noWrap w:val="0"/>
            <w:vAlign w:val="center"/>
          </w:tcPr>
          <w:p w14:paraId="3C1C984E">
            <w:pPr>
              <w:pStyle w:val="81"/>
              <w:rPr>
                <w:rFonts w:cs="Times New Roman"/>
                <w:color w:val="auto"/>
              </w:rPr>
            </w:pPr>
            <w:r>
              <w:rPr>
                <w:rFonts w:cs="Times New Roman"/>
                <w:color w:val="auto"/>
              </w:rPr>
              <w:t>水力坡度</w:t>
            </w:r>
          </w:p>
        </w:tc>
        <w:tc>
          <w:tcPr>
            <w:tcW w:w="1096" w:type="dxa"/>
            <w:noWrap w:val="0"/>
            <w:vAlign w:val="center"/>
          </w:tcPr>
          <w:p w14:paraId="7722ECF9">
            <w:pPr>
              <w:pStyle w:val="81"/>
              <w:rPr>
                <w:rFonts w:cs="Times New Roman"/>
                <w:color w:val="auto"/>
              </w:rPr>
            </w:pPr>
            <w:r>
              <w:rPr>
                <w:rFonts w:cs="Times New Roman"/>
                <w:color w:val="auto"/>
              </w:rPr>
              <w:t>平均值</w:t>
            </w:r>
          </w:p>
        </w:tc>
      </w:tr>
      <w:tr w14:paraId="2674C9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08" w:type="dxa"/>
            <w:noWrap w:val="0"/>
            <w:vAlign w:val="center"/>
          </w:tcPr>
          <w:p w14:paraId="69D28385">
            <w:pPr>
              <w:pStyle w:val="75"/>
            </w:pPr>
            <w:r>
              <w:t>陈孝村-前李村</w:t>
            </w:r>
          </w:p>
        </w:tc>
        <w:tc>
          <w:tcPr>
            <w:tcW w:w="1134" w:type="dxa"/>
            <w:noWrap w:val="0"/>
            <w:vAlign w:val="center"/>
          </w:tcPr>
          <w:p w14:paraId="0D64C128">
            <w:pPr>
              <w:pStyle w:val="75"/>
            </w:pPr>
            <w:r>
              <w:t>西南-东北</w:t>
            </w:r>
          </w:p>
        </w:tc>
        <w:tc>
          <w:tcPr>
            <w:tcW w:w="1158" w:type="dxa"/>
            <w:noWrap w:val="0"/>
            <w:vAlign w:val="center"/>
          </w:tcPr>
          <w:p w14:paraId="6EC38D6C">
            <w:pPr>
              <w:pStyle w:val="75"/>
            </w:pPr>
            <w:r>
              <w:t>3124m</w:t>
            </w:r>
          </w:p>
        </w:tc>
        <w:tc>
          <w:tcPr>
            <w:tcW w:w="1999" w:type="dxa"/>
            <w:noWrap w:val="0"/>
            <w:vAlign w:val="center"/>
          </w:tcPr>
          <w:p w14:paraId="5BE5E22D">
            <w:pPr>
              <w:pStyle w:val="75"/>
            </w:pPr>
            <w:r>
              <w:rPr>
                <w:rFonts w:hint="eastAsia"/>
              </w:rPr>
              <w:t>14</w:t>
            </w:r>
          </w:p>
        </w:tc>
        <w:tc>
          <w:tcPr>
            <w:tcW w:w="1334" w:type="dxa"/>
            <w:noWrap w:val="0"/>
            <w:vAlign w:val="center"/>
          </w:tcPr>
          <w:p w14:paraId="129127F6">
            <w:pPr>
              <w:pStyle w:val="75"/>
            </w:pPr>
            <w:r>
              <w:t>0.00</w:t>
            </w:r>
            <w:r>
              <w:rPr>
                <w:rFonts w:hint="eastAsia"/>
              </w:rPr>
              <w:t>45</w:t>
            </w:r>
          </w:p>
        </w:tc>
        <w:tc>
          <w:tcPr>
            <w:tcW w:w="1096" w:type="dxa"/>
            <w:vMerge w:val="restart"/>
            <w:noWrap w:val="0"/>
            <w:vAlign w:val="center"/>
          </w:tcPr>
          <w:p w14:paraId="4970CB86">
            <w:pPr>
              <w:pStyle w:val="75"/>
            </w:pPr>
            <w:r>
              <w:t>0.00</w:t>
            </w:r>
            <w:r>
              <w:rPr>
                <w:rFonts w:hint="eastAsia"/>
              </w:rPr>
              <w:t>24</w:t>
            </w:r>
          </w:p>
        </w:tc>
      </w:tr>
      <w:tr w14:paraId="790746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08" w:type="dxa"/>
            <w:noWrap w:val="0"/>
            <w:vAlign w:val="center"/>
          </w:tcPr>
          <w:p w14:paraId="7EC93F58">
            <w:pPr>
              <w:pStyle w:val="75"/>
            </w:pPr>
            <w:r>
              <w:t>孝合村-前寺庄村</w:t>
            </w:r>
          </w:p>
        </w:tc>
        <w:tc>
          <w:tcPr>
            <w:tcW w:w="1134" w:type="dxa"/>
            <w:noWrap w:val="0"/>
            <w:vAlign w:val="center"/>
          </w:tcPr>
          <w:p w14:paraId="6B95EF46">
            <w:pPr>
              <w:pStyle w:val="75"/>
            </w:pPr>
            <w:r>
              <w:t>西南-东北</w:t>
            </w:r>
          </w:p>
        </w:tc>
        <w:tc>
          <w:tcPr>
            <w:tcW w:w="1158" w:type="dxa"/>
            <w:noWrap w:val="0"/>
            <w:vAlign w:val="center"/>
          </w:tcPr>
          <w:p w14:paraId="04FC6CAB">
            <w:pPr>
              <w:pStyle w:val="75"/>
            </w:pPr>
            <w:r>
              <w:t>3655m</w:t>
            </w:r>
          </w:p>
        </w:tc>
        <w:tc>
          <w:tcPr>
            <w:tcW w:w="1999" w:type="dxa"/>
            <w:noWrap w:val="0"/>
            <w:vAlign w:val="center"/>
          </w:tcPr>
          <w:p w14:paraId="68CEE64C">
            <w:pPr>
              <w:pStyle w:val="75"/>
            </w:pPr>
            <w:r>
              <w:rPr>
                <w:rFonts w:hint="eastAsia"/>
              </w:rPr>
              <w:t>1</w:t>
            </w:r>
          </w:p>
        </w:tc>
        <w:tc>
          <w:tcPr>
            <w:tcW w:w="1334" w:type="dxa"/>
            <w:noWrap w:val="0"/>
            <w:vAlign w:val="center"/>
          </w:tcPr>
          <w:p w14:paraId="37A6C06F">
            <w:pPr>
              <w:pStyle w:val="75"/>
            </w:pPr>
            <w:r>
              <w:t>0.00</w:t>
            </w:r>
            <w:r>
              <w:rPr>
                <w:rFonts w:hint="eastAsia"/>
              </w:rPr>
              <w:t>03</w:t>
            </w:r>
          </w:p>
        </w:tc>
        <w:tc>
          <w:tcPr>
            <w:tcW w:w="1096" w:type="dxa"/>
            <w:vMerge w:val="continue"/>
            <w:noWrap w:val="0"/>
            <w:vAlign w:val="center"/>
          </w:tcPr>
          <w:p w14:paraId="4BEFB397">
            <w:pPr>
              <w:pStyle w:val="75"/>
            </w:pPr>
          </w:p>
        </w:tc>
      </w:tr>
    </w:tbl>
    <w:p w14:paraId="49582729">
      <w:pPr>
        <w:pStyle w:val="72"/>
        <w:rPr>
          <w:highlight w:val="yellow"/>
        </w:rPr>
      </w:pPr>
      <w:r>
        <w:rPr>
          <w:rFonts w:hint="eastAsia"/>
        </w:rPr>
        <w:t>不同地质孔隙度经验值一览表见下表，评价区含水介质主要为粉质黏土，</w:t>
      </w:r>
    </w:p>
    <w:p w14:paraId="16B101BD">
      <w:pPr>
        <w:ind w:firstLine="480"/>
        <w:jc w:val="both"/>
        <w:rPr>
          <w:rFonts w:hint="default" w:ascii="Times New Roman" w:hAnsi="Times New Roman" w:cs="Times New Roman"/>
        </w:rPr>
      </w:pPr>
      <w:r>
        <w:rPr>
          <w:rFonts w:hint="eastAsia"/>
        </w:rPr>
        <w:t>根据上述公式及参数计算，L=</w:t>
      </w:r>
      <w:r>
        <w:rPr>
          <w:rFonts w:hint="eastAsia"/>
          <w:lang w:val="en-US" w:eastAsia="zh-CN"/>
        </w:rPr>
        <w:t>57</w:t>
      </w:r>
      <w:r>
        <w:rPr>
          <w:rFonts w:hint="eastAsia"/>
        </w:rPr>
        <w:t>m，</w:t>
      </w:r>
      <w:r>
        <w:rPr>
          <w:rFonts w:hint="default" w:ascii="Times New Roman" w:hAnsi="Times New Roman" w:eastAsia="宋体" w:cs="Times New Roman"/>
          <w:lang w:val="en-US" w:eastAsia="zh-CN"/>
        </w:rPr>
        <w:t>结合项目区地形地貌特征、区域水文地质条件、地下水流场特征等，依据《环境影响评价技术导则地下水环境》（HJ610-2016）</w:t>
      </w:r>
      <w:r>
        <w:rPr>
          <w:rFonts w:hint="default" w:ascii="Times New Roman" w:hAnsi="Times New Roman" w:cs="Times New Roman"/>
          <w:lang w:eastAsia="zh-CN"/>
        </w:rPr>
        <w:t>三</w:t>
      </w:r>
      <w:r>
        <w:rPr>
          <w:rFonts w:hint="default" w:ascii="Times New Roman" w:hAnsi="Times New Roman" w:cs="Times New Roman"/>
        </w:rPr>
        <w:t>级调查评价面积≤6km</w:t>
      </w:r>
      <w:r>
        <w:rPr>
          <w:rFonts w:hint="default" w:ascii="Times New Roman" w:hAnsi="Times New Roman" w:cs="Times New Roman"/>
          <w:vertAlign w:val="superscript"/>
        </w:rPr>
        <w:t>2</w:t>
      </w:r>
      <w:r>
        <w:rPr>
          <w:rFonts w:hint="default" w:ascii="Times New Roman" w:hAnsi="Times New Roman" w:cs="Times New Roman"/>
          <w:lang w:eastAsia="zh-CN"/>
        </w:rPr>
        <w:t>，本项目综合考虑确定评价范围为6km</w:t>
      </w:r>
      <w:r>
        <w:rPr>
          <w:rFonts w:hint="default" w:ascii="Times New Roman" w:hAnsi="Times New Roman" w:cs="Times New Roman"/>
          <w:vertAlign w:val="superscript"/>
          <w:lang w:eastAsia="zh-CN"/>
        </w:rPr>
        <w:t>2</w:t>
      </w:r>
      <w:r>
        <w:rPr>
          <w:rFonts w:hint="default" w:ascii="Times New Roman" w:hAnsi="Times New Roman" w:cs="Times New Roman"/>
          <w:lang w:eastAsia="zh-CN"/>
        </w:rPr>
        <w:t>。</w:t>
      </w:r>
      <w:r>
        <w:rPr>
          <w:rFonts w:hint="default" w:ascii="Times New Roman" w:hAnsi="Times New Roman" w:cs="Times New Roman"/>
        </w:rPr>
        <w:t>项目地下水评价范围如下：</w:t>
      </w:r>
    </w:p>
    <w:p w14:paraId="2031E3E8">
      <w:pPr>
        <w:bidi w:val="0"/>
        <w:ind w:left="0" w:leftChars="0" w:firstLine="480" w:firstLineChars="200"/>
        <w:rPr>
          <w:rFonts w:hint="default"/>
          <w:lang w:val="en-US" w:eastAsia="zh-CN"/>
        </w:rPr>
      </w:pPr>
      <w:r>
        <w:rPr>
          <w:rFonts w:hint="eastAsia" w:eastAsia="宋体"/>
          <w:lang w:eastAsia="zh-CN"/>
        </w:rPr>
        <w:drawing>
          <wp:anchor distT="0" distB="0" distL="114300" distR="114300" simplePos="0" relativeHeight="251697152" behindDoc="0" locked="0" layoutInCell="1" allowOverlap="1">
            <wp:simplePos x="0" y="0"/>
            <wp:positionH relativeFrom="column">
              <wp:posOffset>77470</wp:posOffset>
            </wp:positionH>
            <wp:positionV relativeFrom="paragraph">
              <wp:posOffset>4445</wp:posOffset>
            </wp:positionV>
            <wp:extent cx="5132705" cy="4608195"/>
            <wp:effectExtent l="0" t="0" r="10795" b="1905"/>
            <wp:wrapNone/>
            <wp:docPr id="31" name="图片 31" descr="图汇总修改_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汇总修改_03(1)"/>
                    <pic:cNvPicPr>
                      <a:picLocks noChangeAspect="1"/>
                    </pic:cNvPicPr>
                  </pic:nvPicPr>
                  <pic:blipFill>
                    <a:blip r:embed="rId46"/>
                    <a:stretch>
                      <a:fillRect/>
                    </a:stretch>
                  </pic:blipFill>
                  <pic:spPr>
                    <a:xfrm>
                      <a:off x="0" y="0"/>
                      <a:ext cx="5132705" cy="4608195"/>
                    </a:xfrm>
                    <a:prstGeom prst="rect">
                      <a:avLst/>
                    </a:prstGeom>
                  </pic:spPr>
                </pic:pic>
              </a:graphicData>
            </a:graphic>
          </wp:anchor>
        </w:drawing>
      </w:r>
    </w:p>
    <w:p w14:paraId="021395DE">
      <w:pPr>
        <w:ind w:left="0" w:leftChars="0" w:firstLine="0" w:firstLineChars="0"/>
        <w:rPr>
          <w:rFonts w:hint="eastAsia" w:eastAsia="宋体"/>
          <w:b w:val="0"/>
          <w:bCs w:val="0"/>
          <w:u w:val="none"/>
          <w:lang w:val="en-US" w:eastAsia="zh-CN"/>
        </w:rPr>
      </w:pPr>
    </w:p>
    <w:p w14:paraId="5E8D5B33">
      <w:pPr>
        <w:ind w:left="0" w:leftChars="0" w:firstLine="0" w:firstLineChars="0"/>
        <w:rPr>
          <w:rFonts w:hint="default"/>
          <w:b/>
          <w:bCs/>
          <w:lang w:val="en-US" w:eastAsia="zh-CN"/>
        </w:rPr>
      </w:pPr>
    </w:p>
    <w:p w14:paraId="7FBDCB72">
      <w:pPr>
        <w:ind w:left="0" w:leftChars="0" w:firstLine="0" w:firstLineChars="0"/>
        <w:rPr>
          <w:rFonts w:hint="default"/>
          <w:b/>
          <w:bCs/>
          <w:lang w:val="en-US" w:eastAsia="zh-CN"/>
        </w:rPr>
      </w:pPr>
    </w:p>
    <w:p w14:paraId="1AF86B93">
      <w:pPr>
        <w:ind w:left="0" w:leftChars="0" w:firstLine="0" w:firstLineChars="0"/>
        <w:rPr>
          <w:rFonts w:hint="default"/>
          <w:b/>
          <w:bCs/>
          <w:lang w:val="en-US" w:eastAsia="zh-CN"/>
        </w:rPr>
      </w:pPr>
    </w:p>
    <w:p w14:paraId="1BF33AC3">
      <w:pPr>
        <w:ind w:left="0" w:leftChars="0" w:firstLine="0" w:firstLineChars="0"/>
        <w:rPr>
          <w:rFonts w:hint="default"/>
          <w:b/>
          <w:bCs/>
          <w:lang w:val="en-US" w:eastAsia="zh-CN"/>
        </w:rPr>
      </w:pPr>
    </w:p>
    <w:p w14:paraId="72A890A1">
      <w:pPr>
        <w:ind w:left="0" w:leftChars="0" w:firstLine="0" w:firstLineChars="0"/>
        <w:rPr>
          <w:rFonts w:hint="default"/>
          <w:b/>
          <w:bCs/>
          <w:lang w:val="en-US" w:eastAsia="zh-CN"/>
        </w:rPr>
      </w:pPr>
    </w:p>
    <w:p w14:paraId="055C7AD2">
      <w:pPr>
        <w:ind w:left="0" w:leftChars="0" w:firstLine="0" w:firstLineChars="0"/>
        <w:rPr>
          <w:rFonts w:hint="default"/>
          <w:b/>
          <w:bCs/>
          <w:lang w:val="en-US" w:eastAsia="zh-CN"/>
        </w:rPr>
      </w:pPr>
    </w:p>
    <w:p w14:paraId="5D37B3FE">
      <w:pPr>
        <w:ind w:left="0" w:leftChars="0" w:firstLine="0" w:firstLineChars="0"/>
        <w:rPr>
          <w:rFonts w:hint="default"/>
          <w:b/>
          <w:bCs/>
          <w:lang w:val="en-US" w:eastAsia="zh-CN"/>
        </w:rPr>
      </w:pPr>
    </w:p>
    <w:p w14:paraId="032DE4D3">
      <w:pPr>
        <w:ind w:left="0" w:leftChars="0" w:firstLine="0" w:firstLineChars="0"/>
        <w:rPr>
          <w:rFonts w:hint="default"/>
          <w:b/>
          <w:bCs/>
          <w:lang w:val="en-US" w:eastAsia="zh-CN"/>
        </w:rPr>
      </w:pPr>
    </w:p>
    <w:p w14:paraId="24668E9D">
      <w:pPr>
        <w:ind w:left="0" w:leftChars="0" w:firstLine="0" w:firstLineChars="0"/>
        <w:rPr>
          <w:rFonts w:hint="default"/>
          <w:b/>
          <w:bCs/>
          <w:lang w:val="en-US" w:eastAsia="zh-CN"/>
        </w:rPr>
      </w:pPr>
    </w:p>
    <w:p w14:paraId="48B3A2D0">
      <w:pPr>
        <w:ind w:left="0" w:leftChars="0" w:firstLine="0" w:firstLineChars="0"/>
        <w:rPr>
          <w:rFonts w:hint="default"/>
          <w:b/>
          <w:bCs/>
          <w:lang w:val="en-US" w:eastAsia="zh-CN"/>
        </w:rPr>
      </w:pPr>
    </w:p>
    <w:p w14:paraId="17FC7F04">
      <w:pPr>
        <w:ind w:left="0" w:leftChars="0" w:firstLine="0" w:firstLineChars="0"/>
        <w:rPr>
          <w:rFonts w:hint="default"/>
          <w:b/>
          <w:bCs/>
          <w:lang w:val="en-US" w:eastAsia="zh-CN"/>
        </w:rPr>
      </w:pPr>
    </w:p>
    <w:p w14:paraId="757BDC47">
      <w:pPr>
        <w:ind w:left="0" w:leftChars="0" w:firstLine="0" w:firstLineChars="0"/>
        <w:rPr>
          <w:rFonts w:hint="default"/>
          <w:b/>
          <w:bCs/>
          <w:lang w:val="en-US" w:eastAsia="zh-CN"/>
        </w:rPr>
      </w:pPr>
    </w:p>
    <w:p w14:paraId="485340F8">
      <w:pPr>
        <w:pStyle w:val="114"/>
        <w:rPr>
          <w:rFonts w:hint="default" w:ascii="Times New Roman" w:hAnsi="Times New Roman" w:cs="Times New Roman"/>
        </w:rPr>
      </w:pPr>
      <w:r>
        <w:rPr>
          <w:rFonts w:hint="default" w:ascii="Times New Roman" w:hAnsi="Times New Roman" w:cs="Times New Roman"/>
        </w:rPr>
        <w:t>图</w:t>
      </w:r>
      <w:r>
        <w:rPr>
          <w:rFonts w:hint="eastAsia" w:ascii="Times New Roman" w:hAnsi="Times New Roman" w:cs="Times New Roman"/>
          <w:lang w:val="en-US" w:eastAsia="zh-CN"/>
        </w:rPr>
        <w:t>5</w:t>
      </w:r>
      <w:r>
        <w:rPr>
          <w:rFonts w:hint="eastAsia" w:cs="Times New Roman"/>
          <w:lang w:val="en-US" w:eastAsia="zh-CN"/>
        </w:rPr>
        <w:t>.6</w:t>
      </w:r>
      <w:r>
        <w:rPr>
          <w:rFonts w:hint="eastAsia" w:ascii="Times New Roman" w:hAnsi="Times New Roman" w:cs="Times New Roman"/>
          <w:lang w:val="en-US" w:eastAsia="zh-CN"/>
        </w:rPr>
        <w:t>-1</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本项目地下水调查评价范围示意图</w:t>
      </w:r>
    </w:p>
    <w:p w14:paraId="4FF6045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r>
        <w:rPr>
          <w:rFonts w:hint="default" w:ascii="Times New Roman" w:hAnsi="Times New Roman" w:cs="Times New Roman"/>
          <w:lang w:val="en-US" w:eastAsia="zh-CN"/>
        </w:rPr>
        <w:t>5.6.</w:t>
      </w:r>
      <w:r>
        <w:rPr>
          <w:rFonts w:hint="eastAsia" w:ascii="Times New Roman" w:hAnsi="Times New Roman" w:cs="Times New Roman"/>
          <w:lang w:val="en-US" w:eastAsia="zh-CN"/>
        </w:rPr>
        <w:t>3</w:t>
      </w:r>
      <w:r>
        <w:rPr>
          <w:rFonts w:hint="default" w:ascii="Times New Roman" w:hAnsi="Times New Roman" w:cs="Times New Roman"/>
          <w:lang w:val="en-US" w:eastAsia="zh-CN"/>
        </w:rPr>
        <w:t>区域地质概况</w:t>
      </w:r>
    </w:p>
    <w:p w14:paraId="562E17B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5.6.3.1评价区水文地质情况</w:t>
      </w:r>
    </w:p>
    <w:p w14:paraId="21DB5007">
      <w:pPr>
        <w:ind w:firstLine="480"/>
      </w:pPr>
      <w:r>
        <w:t>厂</w:t>
      </w:r>
      <w:r>
        <w:rPr>
          <w:spacing w:val="2"/>
        </w:rPr>
        <w:t>区地表广为第四系覆盖，其余地层均为隐伏地层。根据收集周边资料，150m深度内为第四系上更新统和全新统的冲积地层</w:t>
      </w:r>
      <w:r>
        <w:t>。全新统(Qh)：①粉质粘土：灰黄色、浅黄色，为近代黄河冲积漫滩区地层。在调查区内分布不均，局部缺失，厚度0.0-9.0m。②中细砂：层底埋深38-49m，岩性以灰黄色的中细砂、细砂为主，局部央粉土，水平薄层理发育。</w:t>
      </w:r>
    </w:p>
    <w:p w14:paraId="3E48DAB6">
      <w:pPr>
        <w:ind w:firstLine="480"/>
        <w:rPr>
          <w:szCs w:val="24"/>
        </w:rPr>
      </w:pPr>
      <w:r>
        <w:rPr>
          <w:szCs w:val="24"/>
        </w:rPr>
        <w:t>调查区域主要含水层为第四系松散岩类孔隙含水层，根据埋藏条件和水动力特征可进一步分为浅层含水层组、中深层含水层组、深层含水层组。地下水开发的重点目的层为浅层含水层组和中深层含水层组。浅层含水层组：底板埋深37~65m，自东南向西北逐渐变浅，为潜水~微承压水，含水介质由全新统和上更新统冲积中沙、细砂、粗砂组成，可见2~4层，单层厚度7~30m，总厚度15~33m，由南向北变薄。中深层含水层组：中深层含水组顶板埋深75~95m，底板埋深90~120m，地下水具承压性。含水介质以中更新统细砂、中砂为主，一般可见1~2层，单层厚度5~30m，总厚度20~55m，由南向北渐薄。单井涌水量＜1000m</w:t>
      </w:r>
      <w:r>
        <w:rPr>
          <w:szCs w:val="24"/>
          <w:vertAlign w:val="superscript"/>
        </w:rPr>
        <w:t>3</w:t>
      </w:r>
      <w:r>
        <w:rPr>
          <w:szCs w:val="24"/>
        </w:rPr>
        <w:t>/d（15m降深），渗透系数3.9~8.5m/d。城区一带，含水组顶板埋深40m左右，上部弱透层(粉土、粉质粘土）厚40m左右，下部含水砂层（细砂、粉砂）厚30~40rn ，单井涌水量800~900m</w:t>
      </w:r>
      <w:r>
        <w:rPr>
          <w:szCs w:val="24"/>
          <w:vertAlign w:val="superscript"/>
        </w:rPr>
        <w:t>3</w:t>
      </w:r>
      <w:r>
        <w:rPr>
          <w:szCs w:val="24"/>
        </w:rPr>
        <w:t>/d。</w:t>
      </w:r>
    </w:p>
    <w:p w14:paraId="31E06A3F">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5.6.3.2评价区水文地质情况</w:t>
      </w:r>
    </w:p>
    <w:p w14:paraId="42FBBCFF">
      <w:pPr>
        <w:pStyle w:val="72"/>
        <w:rPr>
          <w:rFonts w:hint="eastAsia"/>
        </w:rPr>
      </w:pPr>
      <w:r>
        <w:rPr>
          <w:rFonts w:hint="eastAsia"/>
        </w:rPr>
        <w:t>本项目位于新乡市获嘉县先进制造业开发区安王路与梧桐路交叉口西100米1号，距离河南大成包装材料有限公司约</w:t>
      </w:r>
      <w:r>
        <w:rPr>
          <w:rFonts w:hint="eastAsia"/>
          <w:lang w:val="en-US" w:eastAsia="zh-CN"/>
        </w:rPr>
        <w:t>560</w:t>
      </w:r>
      <w:r>
        <w:rPr>
          <w:rFonts w:hint="eastAsia"/>
        </w:rPr>
        <w:t>m，距离较近，因此项目场地水文地质情况引用《河南大成包装材料有限公司新厂区岩土工程勘察报告》中的数据，具体如下：</w:t>
      </w:r>
    </w:p>
    <w:p w14:paraId="0991B61C">
      <w:pPr>
        <w:pStyle w:val="72"/>
        <w:rPr>
          <w:rFonts w:hint="eastAsia"/>
        </w:rPr>
      </w:pPr>
      <w:r>
        <w:rPr>
          <w:rFonts w:hint="eastAsia"/>
        </w:rPr>
        <w:t>根据河南大成包装材料有限公司新厂区岩土工程勘察报告，场地地貌单元属黄河冲积平原，地面平坦，孔口相对最大高差0.85m。根据钻探揭露及原位测试和土工试验结果，勘探深度范围内地层除第1单元层耕土外均为第四纪冲积生成的第四系全新统，主要岩性为粘性土、粉土和砂土。根据地质时代、成因、岩性及物理力学性质，将勘探深度范围内的地基土由上至下划分为5个工程地质单元层，分述如下：</w:t>
      </w:r>
    </w:p>
    <w:p w14:paraId="61C9A563">
      <w:pPr>
        <w:ind w:firstLine="480"/>
      </w:pPr>
      <w:r>
        <w:t>第1单元层：耕土</w:t>
      </w:r>
    </w:p>
    <w:p w14:paraId="448EBE01">
      <w:pPr>
        <w:ind w:firstLine="480"/>
      </w:pPr>
      <w:r>
        <w:t>黄褐色，不均匀，稍密，稍湿，包含植物根。层厚0.4~0.5m，平均厚度0.45m。</w:t>
      </w:r>
    </w:p>
    <w:p w14:paraId="631274AB">
      <w:pPr>
        <w:ind w:firstLine="480"/>
      </w:pPr>
      <w:r>
        <w:t>第2单元层：粉质粘土</w:t>
      </w:r>
    </w:p>
    <w:p w14:paraId="54C96F47">
      <w:pPr>
        <w:ind w:firstLine="480"/>
      </w:pPr>
      <w:r>
        <w:t>黄褐色，可塑，包含锈染、碳膜，局部夹粉土薄层，稍有光泽，干强度中等，韧性中等，无摇振反应。层底埋深2.39~4.48m，层底标高-4.96~-3.15m，层厚1.99~3.98m，平均厚度2.93m。</w:t>
      </w:r>
    </w:p>
    <w:p w14:paraId="7A773972">
      <w:pPr>
        <w:ind w:firstLine="480"/>
      </w:pPr>
      <w:r>
        <w:t>第3单元层：粉质粘土</w:t>
      </w:r>
    </w:p>
    <w:p w14:paraId="08E4ED55">
      <w:pPr>
        <w:ind w:firstLine="480"/>
      </w:pPr>
      <w:r>
        <w:t>黄褐色，可塑，局部硬塑，包含锈染、碳膜、少量姜石，局部夹粉土薄层，稍有光泽，干强度中等，韧性中等，无摇振反应。层底埋深4.49~7.0m，层底标高-7.38~-5.74m，层厚1.13~3.65m，平均厚度2.80m。</w:t>
      </w:r>
    </w:p>
    <w:p w14:paraId="59EA6DFF">
      <w:pPr>
        <w:ind w:firstLine="480"/>
      </w:pPr>
      <w:r>
        <w:t>第4</w:t>
      </w:r>
      <w:r>
        <w:rPr>
          <w:vertAlign w:val="subscript"/>
        </w:rPr>
        <w:t>1</w:t>
      </w:r>
      <w:r>
        <w:t>单元层：粉土</w:t>
      </w:r>
    </w:p>
    <w:p w14:paraId="7940B996">
      <w:pPr>
        <w:ind w:firstLine="480"/>
      </w:pPr>
      <w:r>
        <w:t>黄褐色，中密，湿，包含锈染、碳膜，局部夹粉质粘土、砂土薄层。摇振反应中等，干强度低，韧性低，无光泽反应。粒径大于0.075mm的颗粒含量平均值是全重的2.7%，粘粒百分含量平均值为13.0%，塑性指数Ip=8.9。本层粉土分布不均匀，在31</w:t>
      </w:r>
      <w:r>
        <w:rPr>
          <w:vertAlign w:val="superscript"/>
        </w:rPr>
        <w:t>#</w:t>
      </w:r>
      <w:r>
        <w:t>~34</w:t>
      </w:r>
      <w:r>
        <w:rPr>
          <w:vertAlign w:val="superscript"/>
        </w:rPr>
        <w:t>#</w:t>
      </w:r>
      <w:r>
        <w:t>、49</w:t>
      </w:r>
      <w:r>
        <w:rPr>
          <w:vertAlign w:val="superscript"/>
        </w:rPr>
        <w:t>#</w:t>
      </w:r>
      <w:r>
        <w:t>~55</w:t>
      </w:r>
      <w:r>
        <w:rPr>
          <w:vertAlign w:val="superscript"/>
        </w:rPr>
        <w:t>#</w:t>
      </w:r>
      <w:r>
        <w:t>、60</w:t>
      </w:r>
      <w:r>
        <w:rPr>
          <w:vertAlign w:val="superscript"/>
        </w:rPr>
        <w:t>#</w:t>
      </w:r>
      <w:r>
        <w:t>~63</w:t>
      </w:r>
      <w:r>
        <w:rPr>
          <w:vertAlign w:val="superscript"/>
        </w:rPr>
        <w:t>#</w:t>
      </w:r>
      <w:r>
        <w:t>、67</w:t>
      </w:r>
      <w:r>
        <w:rPr>
          <w:vertAlign w:val="superscript"/>
        </w:rPr>
        <w:t>#</w:t>
      </w:r>
      <w:r>
        <w:t>~71</w:t>
      </w:r>
      <w:r>
        <w:rPr>
          <w:vertAlign w:val="superscript"/>
        </w:rPr>
        <w:t>#</w:t>
      </w:r>
      <w:r>
        <w:t>孔存在，其他孔缺失。在所见该层的钻孔内层底埋深6.10~8.99m，层底标高-9.74~-6.85m，层厚0.90~3.27m，平均厚度1.91m。</w:t>
      </w:r>
    </w:p>
    <w:p w14:paraId="1AF1EF76">
      <w:pPr>
        <w:ind w:firstLine="480"/>
      </w:pPr>
      <w:r>
        <w:t>第4单元层：粉质粘土</w:t>
      </w:r>
    </w:p>
    <w:p w14:paraId="23DB734F">
      <w:pPr>
        <w:ind w:firstLine="480"/>
      </w:pPr>
      <w:r>
        <w:t>黄褐色~灰褐色，硬塑，局部可塑，包含锈染、碳膜、姜石，局部夹粉土薄层，稍有光泽，干强度中等，韧性中等，无摇振反应。层底埋深10.50~11.50m，层底标高-11.89~-10.61m，层厚2.10~5.70m，平均厚度4.19m。</w:t>
      </w:r>
    </w:p>
    <w:p w14:paraId="697BCCF6">
      <w:pPr>
        <w:ind w:firstLine="480"/>
      </w:pPr>
      <w:r>
        <w:t>第5单元层：细砂</w:t>
      </w:r>
    </w:p>
    <w:p w14:paraId="0C49A693">
      <w:pPr>
        <w:ind w:firstLine="480"/>
      </w:pPr>
      <w:r>
        <w:t>黄褐色，密实，饱和，粒度均质，矿粒成分为石英、长石为主。粒径大于0.075mm的颗粒含量平均值是全重的92.4%。孔深20.0m未穿透，最大揭露厚度9.50m左右。</w:t>
      </w:r>
    </w:p>
    <w:p w14:paraId="0424DBB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5.6.4评价区域地下水水质现状</w:t>
      </w:r>
    </w:p>
    <w:p w14:paraId="6BB934B1">
      <w:pPr>
        <w:ind w:firstLine="480"/>
        <w:rPr>
          <w:rFonts w:hint="eastAsia"/>
        </w:rPr>
      </w:pPr>
      <w:r>
        <w:t>根据本次评价委托</w:t>
      </w:r>
      <w:r>
        <w:rPr>
          <w:rFonts w:hint="eastAsia"/>
          <w:color w:val="000000" w:themeColor="text1"/>
          <w:lang w:val="en-US" w:eastAsia="zh-CN"/>
          <w14:textFill>
            <w14:solidFill>
              <w14:schemeClr w14:val="tx1"/>
            </w14:solidFill>
          </w14:textFill>
        </w:rPr>
        <w:t>河南碧之霄检测技术有限公司于2025</w:t>
      </w:r>
      <w:r>
        <w:rPr>
          <w:rFonts w:hint="eastAsia" w:ascii="Times New Roman" w:hAnsi="Times New Roman" w:eastAsia="宋体" w:cs="Times New Roman"/>
          <w:szCs w:val="24"/>
          <w:lang w:val="en-US" w:eastAsia="zh-CN"/>
        </w:rPr>
        <w:t>年3月</w:t>
      </w:r>
      <w:r>
        <w:rPr>
          <w:rFonts w:ascii="Times New Roman" w:hAnsi="Times New Roman" w:eastAsia="宋体" w:cs="Times New Roman"/>
          <w:szCs w:val="24"/>
        </w:rPr>
        <w:t>对评价区域进行的监测的统计结果，</w:t>
      </w:r>
      <w:r>
        <w:rPr>
          <w:rFonts w:hint="eastAsia" w:ascii="Times New Roman" w:hAnsi="Times New Roman" w:eastAsia="宋体" w:cs="Times New Roman"/>
          <w:szCs w:val="24"/>
        </w:rPr>
        <w:t>评价区域内3个监测点位的地下水水质因子</w:t>
      </w:r>
      <w:r>
        <w:rPr>
          <w:rFonts w:hint="eastAsia" w:ascii="Times New Roman" w:hAnsi="Times New Roman" w:eastAsia="宋体" w:cs="Times New Roman"/>
          <w:szCs w:val="24"/>
          <w:lang w:val="en-US" w:eastAsia="zh-CN"/>
        </w:rPr>
        <w:t xml:space="preserve"> </w:t>
      </w:r>
      <w:r>
        <w:rPr>
          <w:rFonts w:hint="eastAsia" w:ascii="Times New Roman" w:hAnsi="Times New Roman" w:eastAsia="宋体" w:cs="Times New Roman"/>
          <w:szCs w:val="24"/>
        </w:rPr>
        <w:t>pH、氨氮、总硬度、溶解性总固体</w:t>
      </w:r>
      <w:r>
        <w:rPr>
          <w:rFonts w:hint="eastAsia" w:ascii="Times New Roman" w:hAnsi="Times New Roman" w:eastAsia="宋体" w:cs="Times New Roman"/>
          <w:szCs w:val="24"/>
          <w:lang w:eastAsia="zh-CN"/>
        </w:rPr>
        <w:t>、高锰酸盐指数（以O</w:t>
      </w:r>
      <w:r>
        <w:rPr>
          <w:rFonts w:hint="eastAsia" w:ascii="Times New Roman" w:hAnsi="Times New Roman" w:eastAsia="宋体" w:cs="Times New Roman"/>
          <w:szCs w:val="24"/>
          <w:vertAlign w:val="subscript"/>
          <w:lang w:eastAsia="zh-CN"/>
        </w:rPr>
        <w:t>2</w:t>
      </w:r>
      <w:r>
        <w:rPr>
          <w:rFonts w:hint="eastAsia" w:ascii="Times New Roman" w:hAnsi="Times New Roman" w:eastAsia="宋体" w:cs="Times New Roman"/>
          <w:szCs w:val="24"/>
          <w:lang w:eastAsia="zh-CN"/>
        </w:rPr>
        <w:t>计）、硝酸盐（以N计）、</w:t>
      </w:r>
      <w:r>
        <w:rPr>
          <w:rFonts w:hint="eastAsia" w:ascii="Times New Roman" w:hAnsi="Times New Roman" w:eastAsia="宋体" w:cs="Times New Roman"/>
          <w:szCs w:val="24"/>
        </w:rPr>
        <w:t>亚硝</w:t>
      </w:r>
      <w:r>
        <w:rPr>
          <w:rFonts w:hint="eastAsia"/>
        </w:rPr>
        <w:t>酸盐</w:t>
      </w:r>
      <w:r>
        <w:rPr>
          <w:rFonts w:hint="eastAsia"/>
          <w:lang w:eastAsia="zh-CN"/>
        </w:rPr>
        <w:t>、</w:t>
      </w:r>
      <w:r>
        <w:rPr>
          <w:rFonts w:hint="eastAsia"/>
        </w:rPr>
        <w:t>氯化物</w:t>
      </w:r>
      <w:r>
        <w:rPr>
          <w:rFonts w:hint="eastAsia"/>
          <w:lang w:eastAsia="zh-CN"/>
        </w:rPr>
        <w:t>、</w:t>
      </w:r>
      <w:r>
        <w:rPr>
          <w:rFonts w:hint="eastAsia"/>
          <w:lang w:val="en-US" w:eastAsia="zh-CN"/>
        </w:rPr>
        <w:t>硫酸盐、</w:t>
      </w:r>
      <w:r>
        <w:rPr>
          <w:rFonts w:hint="eastAsia"/>
        </w:rPr>
        <w:t>挥发性酚类</w:t>
      </w:r>
      <w:r>
        <w:rPr>
          <w:rFonts w:hint="eastAsia"/>
          <w:lang w:eastAsia="zh-CN"/>
        </w:rPr>
        <w:t>、氰化物、总大肠菌群、菌落总数、硫化物、砷、汞、铬（六价）、铅、镉、</w:t>
      </w:r>
      <w:r>
        <w:rPr>
          <w:rFonts w:hint="eastAsia"/>
        </w:rPr>
        <w:t>锰、铁、K</w:t>
      </w:r>
      <w:r>
        <w:rPr>
          <w:rFonts w:hint="eastAsia"/>
          <w:vertAlign w:val="superscript"/>
        </w:rPr>
        <w:t>+</w:t>
      </w:r>
      <w:r>
        <w:rPr>
          <w:rFonts w:hint="eastAsia"/>
        </w:rPr>
        <w:t>、Na</w:t>
      </w:r>
      <w:r>
        <w:rPr>
          <w:rFonts w:hint="eastAsia"/>
          <w:vertAlign w:val="superscript"/>
        </w:rPr>
        <w:t>+</w:t>
      </w:r>
      <w:r>
        <w:rPr>
          <w:rFonts w:hint="eastAsia"/>
        </w:rPr>
        <w:t>、Ca</w:t>
      </w:r>
      <w:r>
        <w:rPr>
          <w:rFonts w:hint="eastAsia"/>
          <w:vertAlign w:val="superscript"/>
        </w:rPr>
        <w:t>2+</w:t>
      </w:r>
      <w:r>
        <w:rPr>
          <w:rFonts w:hint="eastAsia"/>
          <w:vertAlign w:val="baseline"/>
          <w:lang w:eastAsia="zh-CN"/>
        </w:rPr>
        <w:t>、</w:t>
      </w:r>
      <w:r>
        <w:rPr>
          <w:rFonts w:hint="eastAsia"/>
        </w:rPr>
        <w:t>Mg</w:t>
      </w:r>
      <w:r>
        <w:rPr>
          <w:rFonts w:hint="eastAsia"/>
          <w:vertAlign w:val="superscript"/>
        </w:rPr>
        <w:t>2+</w:t>
      </w:r>
      <w:r>
        <w:rPr>
          <w:rFonts w:hint="eastAsia"/>
        </w:rPr>
        <w:t>、碳酸根</w:t>
      </w:r>
      <w:r>
        <w:rPr>
          <w:rFonts w:hint="eastAsia"/>
          <w:lang w:eastAsia="zh-CN"/>
        </w:rPr>
        <w:t>、重碳酸根、氟化物、镍、阴离子表面活性剂</w:t>
      </w:r>
      <w:r>
        <w:rPr>
          <w:rFonts w:hint="eastAsia"/>
        </w:rPr>
        <w:t>均能满足《地下水质量标准》（GB/T14843-201</w:t>
      </w:r>
      <w:r>
        <w:rPr>
          <w:rFonts w:cs="Times New Roman"/>
        </w:rPr>
        <w:t>7）Ⅲ类</w:t>
      </w:r>
      <w:r>
        <w:rPr>
          <w:rFonts w:hint="eastAsia"/>
        </w:rPr>
        <w:t>标准的要求。</w:t>
      </w:r>
    </w:p>
    <w:p w14:paraId="42590FA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5.6.5地下水环境影响预测评价</w:t>
      </w:r>
    </w:p>
    <w:p w14:paraId="4B966CD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5.6.5.1预测情景、因子</w:t>
      </w:r>
    </w:p>
    <w:p w14:paraId="70E343CC">
      <w:pPr>
        <w:ind w:left="0" w:leftChars="0" w:firstLine="480" w:firstLineChars="200"/>
        <w:rPr>
          <w:rFonts w:hint="eastAsia"/>
        </w:rPr>
      </w:pPr>
      <w:r>
        <w:rPr>
          <w:rFonts w:hint="eastAsia" w:cs="Times New Roman"/>
        </w:rPr>
        <w:t>根据《环境影响评价技术导则  地下水环境》（HJ610-2016），一般情况下，建设项目需对正常工况和非正常工况的情景分别进行预测，但已依据GB16889、GB18597、GB18598、GB18599、GB/T50934设计地下水污染防渗措施的建设项目，可不进行正常状况情景下的预测。本项目已根据《一般工业固体废物贮存、处置污染控制控制标准》（GB18599-2020）、《危险废物贮存污染控制标准》（GB18599-2023）、《石油化工工程防渗技术规范》（GB/T50934-2013）的要求对全厂地下水污染防渗措施进行了设计，正常工况下，含镍、含铬废水经处理后回用，综合废水、员工生活污水分别经处理后与纯水制备浓水、冲压冷凝水一同经厂区总排口排放，</w:t>
      </w:r>
      <w:r>
        <w:rPr>
          <w:rFonts w:hint="eastAsia" w:cs="Times New Roman"/>
          <w:lang w:val="en-US" w:eastAsia="zh-CN"/>
        </w:rPr>
        <w:t>最终经</w:t>
      </w:r>
      <w:r>
        <w:rPr>
          <w:rFonts w:hint="eastAsia"/>
          <w:bCs/>
        </w:rPr>
        <w:t>获嘉县同盟污水处理厂</w:t>
      </w:r>
      <w:r>
        <w:rPr>
          <w:rFonts w:hint="eastAsia"/>
          <w:bCs/>
          <w:lang w:val="en-US" w:eastAsia="zh-CN"/>
        </w:rPr>
        <w:t>进一步处理</w:t>
      </w:r>
      <w:r>
        <w:rPr>
          <w:rFonts w:hint="eastAsia" w:cs="Times New Roman"/>
        </w:rPr>
        <w:t>。厂区各场地均设置了防渗措施及事故应急措施，正常工况条件下不会对地下水环境造成明显不利影响，不再对正常工况下进行预测</w:t>
      </w:r>
      <w:r>
        <w:rPr>
          <w:rFonts w:hint="eastAsia"/>
        </w:rPr>
        <w:t>。因此本次评价不在对正常工况下的情景开展预测，只对非正常工况下污水处理站调节池防渗层因老化、破损等原因引起的泄露开展地下水影响预测评价。</w:t>
      </w:r>
    </w:p>
    <w:p w14:paraId="55890861">
      <w:pPr>
        <w:ind w:left="0" w:leftChars="0" w:firstLine="480" w:firstLineChars="200"/>
        <w:rPr>
          <w:rFonts w:hint="eastAsia"/>
        </w:rPr>
      </w:pPr>
      <w:r>
        <w:rPr>
          <w:rFonts w:hint="eastAsia"/>
        </w:rPr>
        <w:t>根据工程分析及项目特点，本次地下水环境影响分析选取总镍、总铬为预测因子。</w:t>
      </w:r>
    </w:p>
    <w:p w14:paraId="5F99B6C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bookmarkStart w:id="583" w:name="OLE_LINK72"/>
      <w:r>
        <w:rPr>
          <w:rFonts w:hint="eastAsia" w:ascii="Times New Roman" w:hAnsi="Times New Roman" w:cs="Times New Roman"/>
          <w:lang w:val="en-US" w:eastAsia="zh-CN"/>
        </w:rPr>
        <w:t>5.6.5.2预测时段</w:t>
      </w:r>
    </w:p>
    <w:p w14:paraId="1A12ED97">
      <w:pPr>
        <w:keepNext w:val="0"/>
        <w:keepLines w:val="0"/>
        <w:pageBreakBefore w:val="0"/>
        <w:widowControl/>
        <w:kinsoku/>
        <w:wordWrap/>
        <w:overflowPunct/>
        <w:topLinePunct/>
        <w:autoSpaceDE w:val="0"/>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考虑项目建设期、运营期和服务期满，本次预测时段为污染发生100d、500d和1000d污染物迁移情况。</w:t>
      </w:r>
    </w:p>
    <w:p w14:paraId="6357EC0E">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5.6.5.3预测源强</w:t>
      </w:r>
    </w:p>
    <w:p w14:paraId="51FFDEA6">
      <w:pPr>
        <w:ind w:firstLine="480"/>
      </w:pPr>
      <w:r>
        <w:t>（1）事故情景设置</w:t>
      </w:r>
    </w:p>
    <w:p w14:paraId="600D5940">
      <w:pPr>
        <w:ind w:firstLine="480"/>
      </w:pPr>
      <w:r>
        <w:t>本项目生产过程中产生的废水中含有</w:t>
      </w:r>
      <w:r>
        <w:rPr>
          <w:rFonts w:hint="eastAsia"/>
        </w:rPr>
        <w:t>镍、铬</w:t>
      </w:r>
      <w:r>
        <w:t>等</w:t>
      </w:r>
      <w:r>
        <w:rPr>
          <w:rFonts w:hint="eastAsia"/>
        </w:rPr>
        <w:t>重金属</w:t>
      </w:r>
      <w:r>
        <w:t>污染物，这些污染物一旦进入地下水，会对地下水环境造成污染</w:t>
      </w:r>
      <w:r>
        <w:rPr>
          <w:rFonts w:hint="eastAsia"/>
        </w:rPr>
        <w:t>。</w:t>
      </w:r>
      <w:r>
        <w:t>为提前预知污染可能的运行途径及污染程度，必须对可能的污染进行预测分析，并提出污染防治措施。</w:t>
      </w:r>
    </w:p>
    <w:p w14:paraId="0209B15C">
      <w:pPr>
        <w:ind w:firstLine="480"/>
        <w:rPr>
          <w:color w:val="FF0000"/>
        </w:rPr>
      </w:pPr>
      <w:r>
        <w:rPr>
          <w:rFonts w:hint="eastAsia"/>
        </w:rPr>
        <w:t>非正常工况下，</w:t>
      </w:r>
      <w:r>
        <w:t>如果是装置区等可视场所发生硬化面破损，即使有物料或污水等泄漏，建设单位</w:t>
      </w:r>
      <w:r>
        <w:rPr>
          <w:rFonts w:hint="eastAsia"/>
        </w:rPr>
        <w:t>可以</w:t>
      </w:r>
      <w:r>
        <w:t>及时采取措施，不可能任由物料或污水漫流渗漏，使其渗入地下水。因此，只在污水管道、污水站池体等地下/半地下非可视部位因腐蚀或硬化面破损等原因发生小面积渗漏时，可能有少量物料或污水通过漏点，逐步渗入包气带并可能进入地下水。通过工程分析，全厂废水最复杂的节点为</w:t>
      </w:r>
      <w:r>
        <w:rPr>
          <w:rFonts w:hint="eastAsia"/>
        </w:rPr>
        <w:t>各种废水处理系统的调节池。</w:t>
      </w:r>
      <w:r>
        <w:t>由于其处理的废水种类多，且</w:t>
      </w:r>
      <w:r>
        <w:rPr>
          <w:rFonts w:hint="eastAsia"/>
        </w:rPr>
        <w:t>水量较大</w:t>
      </w:r>
      <w:r>
        <w:t>，很可能由于防渗不当或破损导致污染物污染地下水，并且难以发现。本项目调节池废水浓度最高，</w:t>
      </w:r>
      <w:r>
        <w:rPr>
          <w:rFonts w:hint="eastAsia"/>
        </w:rPr>
        <w:t>非正常工况下，</w:t>
      </w:r>
      <w:r>
        <w:t>泄漏造成污染也最为严重</w:t>
      </w:r>
      <w:r>
        <w:rPr>
          <w:rFonts w:ascii="Times New Roman" w:hAnsi="Times New Roman" w:eastAsia="宋体" w:cs="Times New Roman"/>
        </w:rPr>
        <w:t>。因此综合以上分析，厂区溶质运移模拟以调节池底部防渗系统破裂废水泄漏进行预测。</w:t>
      </w:r>
      <w:r>
        <w:rPr>
          <w:rFonts w:hint="eastAsia"/>
          <w:lang w:val="en-US" w:eastAsia="zh-CN"/>
        </w:rPr>
        <w:t>本</w:t>
      </w:r>
      <w:r>
        <w:rPr>
          <w:rFonts w:hint="eastAsia"/>
        </w:rPr>
        <w:t>项目选取含镍废水（总镍）</w:t>
      </w:r>
      <w:r>
        <w:rPr>
          <w:rFonts w:hint="eastAsia"/>
          <w:lang w:val="en-US" w:eastAsia="zh-CN"/>
        </w:rPr>
        <w:t>及</w:t>
      </w:r>
      <w:r>
        <w:rPr>
          <w:rFonts w:hint="eastAsia"/>
        </w:rPr>
        <w:t>含铬废水（总铬）作为本次预测源强。</w:t>
      </w:r>
    </w:p>
    <w:p w14:paraId="63BBECF4">
      <w:pPr>
        <w:ind w:firstLine="480"/>
        <w:rPr>
          <w:rFonts w:hint="eastAsia" w:ascii="Times New Roman" w:hAnsi="Times New Roman" w:eastAsia="宋体" w:cs="Times New Roman"/>
        </w:rPr>
      </w:pPr>
      <w:r>
        <w:rPr>
          <w:rFonts w:hint="eastAsia" w:ascii="Times New Roman" w:hAnsi="Times New Roman" w:eastAsia="宋体" w:cs="Times New Roman"/>
        </w:rPr>
        <w:t>根据《给水排水建筑物工程施工及验收规范》（GB50141-2008）中关于钢筋混凝土的满水试验验收标准，钢筋混凝土结构水池渗水量的验收标准为2L/m</w:t>
      </w:r>
      <w:r>
        <w:rPr>
          <w:rFonts w:hint="eastAsia" w:ascii="Times New Roman" w:hAnsi="Times New Roman" w:eastAsia="宋体" w:cs="Times New Roman"/>
          <w:vertAlign w:val="superscript"/>
        </w:rPr>
        <w:t>2</w:t>
      </w:r>
      <w:r>
        <w:rPr>
          <w:rFonts w:hint="eastAsia" w:ascii="Times New Roman" w:hAnsi="Times New Roman" w:eastAsia="宋体" w:cs="Times New Roman"/>
        </w:rPr>
        <w:t>d，结合项目污水处理站设计情况，各调节池废水泄露情况见下表。非正常情况下，污水处理站防渗层因老化或腐蚀等原因破损后，污染物泄露量取正常情况下渗漏量的10倍。</w:t>
      </w:r>
    </w:p>
    <w:p w14:paraId="5680DCC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5.6-5</w:t>
      </w:r>
      <w:r>
        <w:rPr>
          <w:rFonts w:hint="eastAsia" w:ascii="Times New Roman" w:hAnsi="Times New Roman"/>
        </w:rPr>
        <w:t xml:space="preserve">    污水处理站各调节池泄漏情况一览表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617"/>
        <w:gridCol w:w="1941"/>
        <w:gridCol w:w="1550"/>
        <w:gridCol w:w="2094"/>
        <w:gridCol w:w="2171"/>
      </w:tblGrid>
      <w:tr w14:paraId="508F73B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17" w:type="dxa"/>
            <w:tcBorders>
              <w:tl2br w:val="nil"/>
              <w:tr2bl w:val="nil"/>
            </w:tcBorders>
            <w:noWrap w:val="0"/>
            <w:vAlign w:val="center"/>
          </w:tcPr>
          <w:p w14:paraId="724E933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0"/>
                <w:kern w:val="21"/>
                <w:sz w:val="21"/>
                <w:szCs w:val="21"/>
              </w:rPr>
            </w:pPr>
            <w:r>
              <w:rPr>
                <w:rFonts w:hint="default" w:ascii="Times New Roman" w:hAnsi="Times New Roman" w:eastAsia="宋体" w:cs="Times New Roman"/>
                <w:b/>
                <w:spacing w:val="0"/>
                <w:kern w:val="21"/>
                <w:sz w:val="21"/>
                <w:szCs w:val="21"/>
              </w:rPr>
              <w:t>序号</w:t>
            </w:r>
          </w:p>
        </w:tc>
        <w:tc>
          <w:tcPr>
            <w:tcW w:w="1941" w:type="dxa"/>
            <w:tcBorders>
              <w:tl2br w:val="nil"/>
              <w:tr2bl w:val="nil"/>
            </w:tcBorders>
            <w:noWrap w:val="0"/>
            <w:vAlign w:val="center"/>
          </w:tcPr>
          <w:p w14:paraId="0B8FB0C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0"/>
                <w:kern w:val="21"/>
                <w:sz w:val="21"/>
                <w:szCs w:val="21"/>
              </w:rPr>
            </w:pPr>
            <w:r>
              <w:rPr>
                <w:rFonts w:hint="default" w:ascii="Times New Roman" w:hAnsi="Times New Roman" w:eastAsia="宋体" w:cs="Times New Roman"/>
                <w:b/>
                <w:spacing w:val="0"/>
                <w:kern w:val="21"/>
                <w:sz w:val="21"/>
                <w:szCs w:val="21"/>
              </w:rPr>
              <w:t>污水种类</w:t>
            </w:r>
          </w:p>
        </w:tc>
        <w:tc>
          <w:tcPr>
            <w:tcW w:w="1550" w:type="dxa"/>
            <w:tcBorders>
              <w:tl2br w:val="nil"/>
              <w:tr2bl w:val="nil"/>
            </w:tcBorders>
            <w:noWrap w:val="0"/>
            <w:vAlign w:val="center"/>
          </w:tcPr>
          <w:p w14:paraId="66D02AC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0"/>
                <w:kern w:val="21"/>
                <w:sz w:val="21"/>
                <w:szCs w:val="21"/>
              </w:rPr>
            </w:pPr>
            <w:r>
              <w:rPr>
                <w:rFonts w:hint="default" w:ascii="Times New Roman" w:hAnsi="Times New Roman" w:eastAsia="宋体" w:cs="Times New Roman"/>
                <w:b/>
                <w:spacing w:val="0"/>
                <w:kern w:val="21"/>
                <w:sz w:val="21"/>
                <w:szCs w:val="21"/>
              </w:rPr>
              <w:t>调节池占地面积（</w:t>
            </w:r>
            <w:r>
              <w:rPr>
                <w:rFonts w:hint="default" w:ascii="Times New Roman" w:hAnsi="Times New Roman" w:cs="Times New Roman"/>
                <w:b/>
                <w:spacing w:val="0"/>
                <w:kern w:val="21"/>
                <w:sz w:val="21"/>
                <w:szCs w:val="21"/>
              </w:rPr>
              <w:t>m</w:t>
            </w:r>
            <w:r>
              <w:rPr>
                <w:rFonts w:hint="default" w:ascii="Times New Roman" w:hAnsi="Times New Roman" w:cs="Times New Roman"/>
                <w:b/>
                <w:spacing w:val="0"/>
                <w:kern w:val="21"/>
                <w:sz w:val="21"/>
                <w:szCs w:val="21"/>
                <w:vertAlign w:val="superscript"/>
              </w:rPr>
              <w:t>2</w:t>
            </w:r>
            <w:r>
              <w:rPr>
                <w:rFonts w:hint="default" w:ascii="Times New Roman" w:hAnsi="Times New Roman" w:eastAsia="宋体" w:cs="Times New Roman"/>
                <w:b/>
                <w:spacing w:val="0"/>
                <w:kern w:val="21"/>
                <w:sz w:val="21"/>
                <w:szCs w:val="21"/>
              </w:rPr>
              <w:t>）</w:t>
            </w:r>
          </w:p>
        </w:tc>
        <w:tc>
          <w:tcPr>
            <w:tcW w:w="2094" w:type="dxa"/>
            <w:tcBorders>
              <w:tl2br w:val="nil"/>
              <w:tr2bl w:val="nil"/>
            </w:tcBorders>
            <w:noWrap w:val="0"/>
            <w:vAlign w:val="center"/>
          </w:tcPr>
          <w:p w14:paraId="141AEDA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0"/>
                <w:kern w:val="21"/>
                <w:sz w:val="21"/>
                <w:szCs w:val="21"/>
              </w:rPr>
            </w:pPr>
            <w:r>
              <w:rPr>
                <w:rFonts w:hint="default" w:ascii="Times New Roman" w:hAnsi="Times New Roman" w:eastAsia="宋体" w:cs="Times New Roman"/>
                <w:b/>
                <w:spacing w:val="0"/>
                <w:kern w:val="21"/>
                <w:sz w:val="21"/>
                <w:szCs w:val="21"/>
              </w:rPr>
              <w:t>正常情况下废水泄漏量（</w:t>
            </w:r>
            <w:r>
              <w:rPr>
                <w:rFonts w:hint="default" w:ascii="Times New Roman" w:hAnsi="Times New Roman" w:cs="Times New Roman"/>
                <w:b/>
                <w:spacing w:val="0"/>
                <w:kern w:val="21"/>
                <w:sz w:val="21"/>
                <w:szCs w:val="21"/>
              </w:rPr>
              <w:t>m</w:t>
            </w:r>
            <w:r>
              <w:rPr>
                <w:rFonts w:hint="default" w:ascii="Times New Roman" w:hAnsi="Times New Roman" w:cs="Times New Roman"/>
                <w:b/>
                <w:spacing w:val="0"/>
                <w:kern w:val="21"/>
                <w:sz w:val="21"/>
                <w:szCs w:val="21"/>
                <w:vertAlign w:val="superscript"/>
              </w:rPr>
              <w:t>3</w:t>
            </w:r>
            <w:r>
              <w:rPr>
                <w:rFonts w:hint="default" w:ascii="Times New Roman" w:hAnsi="Times New Roman" w:cs="Times New Roman"/>
                <w:b/>
                <w:spacing w:val="0"/>
                <w:kern w:val="21"/>
                <w:sz w:val="21"/>
                <w:szCs w:val="21"/>
              </w:rPr>
              <w:t>/d</w:t>
            </w:r>
            <w:r>
              <w:rPr>
                <w:rFonts w:hint="default" w:ascii="Times New Roman" w:hAnsi="Times New Roman" w:eastAsia="宋体" w:cs="Times New Roman"/>
                <w:b/>
                <w:spacing w:val="0"/>
                <w:kern w:val="21"/>
                <w:sz w:val="21"/>
                <w:szCs w:val="21"/>
              </w:rPr>
              <w:t>）</w:t>
            </w:r>
          </w:p>
        </w:tc>
        <w:tc>
          <w:tcPr>
            <w:tcW w:w="2171" w:type="dxa"/>
            <w:tcBorders>
              <w:tl2br w:val="nil"/>
              <w:tr2bl w:val="nil"/>
            </w:tcBorders>
            <w:noWrap w:val="0"/>
            <w:vAlign w:val="center"/>
          </w:tcPr>
          <w:p w14:paraId="1B617C5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0"/>
                <w:kern w:val="21"/>
                <w:sz w:val="21"/>
                <w:szCs w:val="21"/>
              </w:rPr>
            </w:pPr>
            <w:r>
              <w:rPr>
                <w:rFonts w:hint="default" w:ascii="Times New Roman" w:hAnsi="Times New Roman" w:eastAsia="宋体" w:cs="Times New Roman"/>
                <w:b/>
                <w:spacing w:val="0"/>
                <w:kern w:val="21"/>
                <w:sz w:val="21"/>
                <w:szCs w:val="21"/>
              </w:rPr>
              <w:t>非正常情况下废水泄漏量（</w:t>
            </w:r>
            <w:r>
              <w:rPr>
                <w:rFonts w:hint="default" w:ascii="Times New Roman" w:hAnsi="Times New Roman" w:cs="Times New Roman"/>
                <w:b/>
                <w:spacing w:val="0"/>
                <w:kern w:val="21"/>
                <w:sz w:val="21"/>
                <w:szCs w:val="21"/>
              </w:rPr>
              <w:t>m</w:t>
            </w:r>
            <w:r>
              <w:rPr>
                <w:rFonts w:hint="default" w:ascii="Times New Roman" w:hAnsi="Times New Roman" w:cs="Times New Roman"/>
                <w:b/>
                <w:spacing w:val="0"/>
                <w:kern w:val="21"/>
                <w:sz w:val="21"/>
                <w:szCs w:val="21"/>
                <w:vertAlign w:val="superscript"/>
              </w:rPr>
              <w:t>3</w:t>
            </w:r>
            <w:r>
              <w:rPr>
                <w:rFonts w:hint="default" w:ascii="Times New Roman" w:hAnsi="Times New Roman" w:cs="Times New Roman"/>
                <w:b/>
                <w:spacing w:val="0"/>
                <w:kern w:val="21"/>
                <w:sz w:val="21"/>
                <w:szCs w:val="21"/>
              </w:rPr>
              <w:t>/d</w:t>
            </w:r>
            <w:r>
              <w:rPr>
                <w:rFonts w:hint="default" w:ascii="Times New Roman" w:hAnsi="Times New Roman" w:eastAsia="宋体" w:cs="Times New Roman"/>
                <w:b/>
                <w:spacing w:val="0"/>
                <w:kern w:val="21"/>
                <w:sz w:val="21"/>
                <w:szCs w:val="21"/>
              </w:rPr>
              <w:t>）</w:t>
            </w:r>
          </w:p>
        </w:tc>
      </w:tr>
      <w:tr w14:paraId="42F9B6F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17" w:type="dxa"/>
            <w:tcBorders>
              <w:tl2br w:val="nil"/>
              <w:tr2bl w:val="nil"/>
            </w:tcBorders>
            <w:noWrap w:val="0"/>
            <w:vAlign w:val="center"/>
          </w:tcPr>
          <w:p w14:paraId="59E5049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cs="Times New Roman"/>
                <w:b w:val="0"/>
                <w:bCs/>
                <w:spacing w:val="0"/>
                <w:kern w:val="21"/>
                <w:sz w:val="21"/>
                <w:szCs w:val="21"/>
              </w:rPr>
              <w:t>1</w:t>
            </w:r>
          </w:p>
        </w:tc>
        <w:tc>
          <w:tcPr>
            <w:tcW w:w="1941" w:type="dxa"/>
            <w:tcBorders>
              <w:tl2br w:val="nil"/>
              <w:tr2bl w:val="nil"/>
            </w:tcBorders>
            <w:noWrap w:val="0"/>
            <w:vAlign w:val="center"/>
          </w:tcPr>
          <w:p w14:paraId="21A794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rPr>
            </w:pPr>
            <w:r>
              <w:rPr>
                <w:rFonts w:hint="default" w:ascii="Times New Roman" w:hAnsi="Times New Roman" w:eastAsia="宋体" w:cs="Times New Roman"/>
                <w:b w:val="0"/>
                <w:bCs/>
                <w:spacing w:val="0"/>
                <w:kern w:val="21"/>
                <w:sz w:val="21"/>
                <w:szCs w:val="21"/>
              </w:rPr>
              <w:t>含镍废水</w:t>
            </w:r>
          </w:p>
        </w:tc>
        <w:tc>
          <w:tcPr>
            <w:tcW w:w="1550" w:type="dxa"/>
            <w:tcBorders>
              <w:tl2br w:val="nil"/>
              <w:tr2bl w:val="nil"/>
            </w:tcBorders>
            <w:noWrap w:val="0"/>
            <w:vAlign w:val="center"/>
          </w:tcPr>
          <w:p w14:paraId="2EFC213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10</w:t>
            </w:r>
          </w:p>
        </w:tc>
        <w:tc>
          <w:tcPr>
            <w:tcW w:w="2094" w:type="dxa"/>
            <w:tcBorders>
              <w:tl2br w:val="nil"/>
              <w:tr2bl w:val="nil"/>
            </w:tcBorders>
            <w:noWrap w:val="0"/>
            <w:vAlign w:val="center"/>
          </w:tcPr>
          <w:p w14:paraId="302948B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0.02</w:t>
            </w:r>
          </w:p>
        </w:tc>
        <w:tc>
          <w:tcPr>
            <w:tcW w:w="2171" w:type="dxa"/>
            <w:tcBorders>
              <w:tl2br w:val="nil"/>
              <w:tr2bl w:val="nil"/>
            </w:tcBorders>
            <w:noWrap w:val="0"/>
            <w:vAlign w:val="center"/>
          </w:tcPr>
          <w:p w14:paraId="1C7C9C1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0.2</w:t>
            </w:r>
          </w:p>
        </w:tc>
      </w:tr>
      <w:tr w14:paraId="59DAD5A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17" w:type="dxa"/>
            <w:tcBorders>
              <w:tl2br w:val="nil"/>
              <w:tr2bl w:val="nil"/>
            </w:tcBorders>
            <w:noWrap w:val="0"/>
            <w:vAlign w:val="center"/>
          </w:tcPr>
          <w:p w14:paraId="00C0B8A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0"/>
                <w:kern w:val="21"/>
                <w:sz w:val="21"/>
                <w:szCs w:val="21"/>
              </w:rPr>
            </w:pPr>
            <w:r>
              <w:rPr>
                <w:rFonts w:hint="default" w:ascii="Times New Roman" w:hAnsi="Times New Roman" w:cs="Times New Roman"/>
                <w:b w:val="0"/>
                <w:bCs/>
                <w:spacing w:val="0"/>
                <w:kern w:val="21"/>
                <w:sz w:val="21"/>
                <w:szCs w:val="21"/>
              </w:rPr>
              <w:t>2</w:t>
            </w:r>
          </w:p>
        </w:tc>
        <w:tc>
          <w:tcPr>
            <w:tcW w:w="1941" w:type="dxa"/>
            <w:tcBorders>
              <w:tl2br w:val="nil"/>
              <w:tr2bl w:val="nil"/>
            </w:tcBorders>
            <w:noWrap w:val="0"/>
            <w:vAlign w:val="center"/>
          </w:tcPr>
          <w:p w14:paraId="043C4D2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rPr>
            </w:pPr>
            <w:r>
              <w:rPr>
                <w:rFonts w:hint="default" w:ascii="Times New Roman" w:hAnsi="Times New Roman" w:eastAsia="宋体" w:cs="Times New Roman"/>
                <w:b w:val="0"/>
                <w:bCs/>
                <w:spacing w:val="0"/>
                <w:kern w:val="21"/>
                <w:sz w:val="21"/>
                <w:szCs w:val="21"/>
              </w:rPr>
              <w:t>含铬废水</w:t>
            </w:r>
          </w:p>
        </w:tc>
        <w:tc>
          <w:tcPr>
            <w:tcW w:w="1550" w:type="dxa"/>
            <w:tcBorders>
              <w:tl2br w:val="nil"/>
              <w:tr2bl w:val="nil"/>
            </w:tcBorders>
            <w:noWrap w:val="0"/>
            <w:vAlign w:val="center"/>
          </w:tcPr>
          <w:p w14:paraId="1DA20C3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6</w:t>
            </w:r>
          </w:p>
        </w:tc>
        <w:tc>
          <w:tcPr>
            <w:tcW w:w="2094" w:type="dxa"/>
            <w:tcBorders>
              <w:tl2br w:val="nil"/>
              <w:tr2bl w:val="nil"/>
            </w:tcBorders>
            <w:noWrap w:val="0"/>
            <w:vAlign w:val="center"/>
          </w:tcPr>
          <w:p w14:paraId="0418D16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0.012</w:t>
            </w:r>
          </w:p>
        </w:tc>
        <w:tc>
          <w:tcPr>
            <w:tcW w:w="2171" w:type="dxa"/>
            <w:tcBorders>
              <w:tl2br w:val="nil"/>
              <w:tr2bl w:val="nil"/>
            </w:tcBorders>
            <w:noWrap w:val="0"/>
            <w:vAlign w:val="center"/>
          </w:tcPr>
          <w:p w14:paraId="1F8106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0"/>
                <w:kern w:val="21"/>
                <w:sz w:val="21"/>
                <w:szCs w:val="21"/>
                <w:lang w:val="en-US" w:eastAsia="zh-CN"/>
              </w:rPr>
            </w:pPr>
            <w:r>
              <w:rPr>
                <w:rFonts w:hint="eastAsia" w:ascii="Times New Roman" w:hAnsi="Times New Roman" w:eastAsia="宋体" w:cs="Times New Roman"/>
                <w:b w:val="0"/>
                <w:bCs/>
                <w:spacing w:val="0"/>
                <w:kern w:val="21"/>
                <w:sz w:val="21"/>
                <w:szCs w:val="21"/>
                <w:lang w:val="en-US" w:eastAsia="zh-CN"/>
              </w:rPr>
              <w:t>0.12</w:t>
            </w:r>
          </w:p>
        </w:tc>
      </w:tr>
    </w:tbl>
    <w:p w14:paraId="2957F28F">
      <w:pPr>
        <w:ind w:firstLine="480"/>
        <w:jc w:val="both"/>
        <w:rPr>
          <w:rFonts w:hint="default" w:ascii="Times New Roman" w:hAnsi="Times New Roman" w:cs="Times New Roman"/>
        </w:rPr>
      </w:pPr>
      <w:r>
        <w:rPr>
          <w:rFonts w:hint="default" w:ascii="Times New Roman" w:hAnsi="Times New Roman" w:cs="Times New Roman"/>
        </w:rPr>
        <w:t>结合上表，按照标准指数法，污水处理站各调节池主要特征污染因子为总镍、</w:t>
      </w:r>
      <w:r>
        <w:rPr>
          <w:rFonts w:hint="eastAsia" w:ascii="Times New Roman" w:hAnsi="Times New Roman" w:cs="Times New Roman"/>
          <w:lang w:val="en-US" w:eastAsia="zh-CN"/>
        </w:rPr>
        <w:t>及</w:t>
      </w:r>
      <w:r>
        <w:rPr>
          <w:rFonts w:hint="default" w:ascii="Times New Roman" w:hAnsi="Times New Roman" w:cs="Times New Roman"/>
        </w:rPr>
        <w:t>总铬，浓度分别为</w:t>
      </w:r>
      <w:r>
        <w:rPr>
          <w:rFonts w:hint="eastAsia" w:ascii="Times New Roman" w:hAnsi="Times New Roman" w:cs="Times New Roman"/>
          <w:lang w:val="en-US" w:eastAsia="zh-CN"/>
        </w:rPr>
        <w:t>204</w:t>
      </w:r>
      <w:r>
        <w:rPr>
          <w:rFonts w:hint="default" w:ascii="Times New Roman" w:hAnsi="Times New Roman" w:cs="Times New Roman"/>
        </w:rPr>
        <w:t>mg/L（含镍废水）、</w:t>
      </w:r>
      <w:r>
        <w:rPr>
          <w:rFonts w:hint="eastAsia" w:ascii="Times New Roman" w:hAnsi="Times New Roman" w:cs="Times New Roman"/>
          <w:lang w:val="en-US" w:eastAsia="zh-CN"/>
        </w:rPr>
        <w:t>32.7</w:t>
      </w:r>
      <w:r>
        <w:rPr>
          <w:rFonts w:hint="default" w:ascii="Times New Roman" w:hAnsi="Times New Roman" w:cs="Times New Roman"/>
        </w:rPr>
        <w:t>mg/L（含铬废水），则项目地下水预测因子最大泄露量为：</w:t>
      </w:r>
    </w:p>
    <w:p w14:paraId="2A64A332">
      <w:pPr>
        <w:ind w:firstLine="480"/>
        <w:rPr>
          <w:rFonts w:hint="default" w:ascii="Times New Roman" w:hAnsi="Times New Roman" w:cs="Times New Roman"/>
        </w:rPr>
      </w:pPr>
      <w:r>
        <w:rPr>
          <w:rFonts w:hint="default" w:ascii="Times New Roman" w:hAnsi="Times New Roman" w:cs="Times New Roman"/>
        </w:rPr>
        <w:t>总镍：</w:t>
      </w:r>
      <w:r>
        <w:rPr>
          <w:rFonts w:hint="eastAsia" w:ascii="Times New Roman" w:hAnsi="Times New Roman" w:cs="Times New Roman"/>
          <w:lang w:val="en-US" w:eastAsia="zh-CN"/>
        </w:rPr>
        <w:t>0.2</w:t>
      </w:r>
      <w:r>
        <w:rPr>
          <w:rFonts w:hint="default" w:ascii="Times New Roman" w:hAnsi="Times New Roman" w:cs="Times New Roman"/>
        </w:rPr>
        <w:t>m</w:t>
      </w:r>
      <w:r>
        <w:rPr>
          <w:rFonts w:hint="default" w:ascii="Times New Roman" w:hAnsi="Times New Roman" w:cs="Times New Roman"/>
          <w:vertAlign w:val="superscript"/>
        </w:rPr>
        <w:t>3</w:t>
      </w:r>
      <w:r>
        <w:rPr>
          <w:rFonts w:hint="default" w:ascii="Times New Roman" w:hAnsi="Times New Roman" w:cs="Times New Roman"/>
        </w:rPr>
        <w:t>/d×</w:t>
      </w:r>
      <w:r>
        <w:rPr>
          <w:rFonts w:hint="eastAsia" w:ascii="Times New Roman" w:hAnsi="Times New Roman" w:cs="Times New Roman"/>
          <w:lang w:val="en-US" w:eastAsia="zh-CN"/>
        </w:rPr>
        <w:t>204</w:t>
      </w:r>
      <w:r>
        <w:rPr>
          <w:rFonts w:hint="default" w:ascii="Times New Roman" w:hAnsi="Times New Roman" w:cs="Times New Roman"/>
        </w:rPr>
        <w:t>mg/L×1000/10</w:t>
      </w:r>
      <w:r>
        <w:rPr>
          <w:rFonts w:hint="default" w:ascii="Times New Roman" w:hAnsi="Times New Roman" w:cs="Times New Roman"/>
          <w:vertAlign w:val="superscript"/>
        </w:rPr>
        <w:t>6</w:t>
      </w:r>
      <w:r>
        <w:rPr>
          <w:rFonts w:hint="default" w:ascii="Times New Roman" w:hAnsi="Times New Roman" w:cs="Times New Roman"/>
        </w:rPr>
        <w:t>=</w:t>
      </w:r>
      <w:r>
        <w:rPr>
          <w:rFonts w:hint="eastAsia" w:ascii="Times New Roman" w:hAnsi="Times New Roman" w:cs="Times New Roman"/>
          <w:lang w:val="en-US" w:eastAsia="zh-CN"/>
        </w:rPr>
        <w:t>0.0408</w:t>
      </w:r>
      <w:r>
        <w:rPr>
          <w:rFonts w:hint="default" w:ascii="Times New Roman" w:hAnsi="Times New Roman" w:cs="Times New Roman"/>
        </w:rPr>
        <w:t>kg/d</w:t>
      </w:r>
    </w:p>
    <w:p w14:paraId="25B3A43A">
      <w:pPr>
        <w:ind w:firstLine="480"/>
        <w:rPr>
          <w:rFonts w:hint="default" w:ascii="Times New Roman" w:hAnsi="Times New Roman" w:cs="Times New Roman"/>
        </w:rPr>
      </w:pPr>
      <w:r>
        <w:rPr>
          <w:rFonts w:hint="default" w:ascii="Times New Roman" w:hAnsi="Times New Roman" w:cs="Times New Roman"/>
        </w:rPr>
        <w:t>总铬：</w:t>
      </w:r>
      <w:r>
        <w:rPr>
          <w:rFonts w:hint="eastAsia" w:ascii="Times New Roman" w:hAnsi="Times New Roman" w:cs="Times New Roman"/>
          <w:lang w:val="en-US" w:eastAsia="zh-CN"/>
        </w:rPr>
        <w:t>0.12</w:t>
      </w:r>
      <w:r>
        <w:rPr>
          <w:rFonts w:hint="default" w:ascii="Times New Roman" w:hAnsi="Times New Roman" w:cs="Times New Roman"/>
        </w:rPr>
        <w:t>m</w:t>
      </w:r>
      <w:r>
        <w:rPr>
          <w:rFonts w:hint="default" w:ascii="Times New Roman" w:hAnsi="Times New Roman" w:cs="Times New Roman"/>
          <w:vertAlign w:val="superscript"/>
        </w:rPr>
        <w:t>3</w:t>
      </w:r>
      <w:r>
        <w:rPr>
          <w:rFonts w:hint="default" w:ascii="Times New Roman" w:hAnsi="Times New Roman" w:cs="Times New Roman"/>
        </w:rPr>
        <w:t>/d×</w:t>
      </w:r>
      <w:r>
        <w:rPr>
          <w:rFonts w:hint="eastAsia" w:ascii="Times New Roman" w:hAnsi="Times New Roman" w:cs="Times New Roman"/>
          <w:lang w:val="en-US" w:eastAsia="zh-CN"/>
        </w:rPr>
        <w:t>32.7</w:t>
      </w:r>
      <w:r>
        <w:rPr>
          <w:rFonts w:hint="default" w:ascii="Times New Roman" w:hAnsi="Times New Roman" w:cs="Times New Roman"/>
        </w:rPr>
        <w:t>mg/L×1000/10</w:t>
      </w:r>
      <w:r>
        <w:rPr>
          <w:rFonts w:hint="default" w:ascii="Times New Roman" w:hAnsi="Times New Roman" w:cs="Times New Roman"/>
          <w:vertAlign w:val="superscript"/>
        </w:rPr>
        <w:t>6</w:t>
      </w:r>
      <w:r>
        <w:rPr>
          <w:rFonts w:hint="default" w:ascii="Times New Roman" w:hAnsi="Times New Roman" w:cs="Times New Roman"/>
        </w:rPr>
        <w:t>=</w:t>
      </w:r>
      <w:r>
        <w:rPr>
          <w:rFonts w:hint="eastAsia" w:ascii="Times New Roman" w:hAnsi="Times New Roman" w:cs="Times New Roman"/>
          <w:lang w:val="en-US" w:eastAsia="zh-CN"/>
        </w:rPr>
        <w:t>0.0039</w:t>
      </w:r>
      <w:r>
        <w:rPr>
          <w:rFonts w:hint="default" w:ascii="Times New Roman" w:hAnsi="Times New Roman" w:cs="Times New Roman"/>
        </w:rPr>
        <w:t>kg/d</w:t>
      </w:r>
    </w:p>
    <w:p w14:paraId="405ECE35">
      <w:pPr>
        <w:ind w:firstLine="480"/>
        <w:rPr>
          <w:color w:val="FF0000"/>
        </w:rPr>
      </w:pPr>
      <w:r>
        <w:rPr>
          <w:rFonts w:hint="default" w:ascii="Times New Roman" w:hAnsi="Times New Roman" w:cs="Times New Roman"/>
        </w:rPr>
        <w:t>考虑到污染物装置泄露难以控制程度以及企业对地下水的质量监测频次，污水处理站废水因防渗层老化或腐蚀等原因破损造成的泄漏，一时之间难以发现，因此污水处理站废水调节池泄漏设定为点源持续泄漏，则非正常工况下污染物预测源强见</w:t>
      </w:r>
      <w:r>
        <w:rPr>
          <w:rFonts w:hint="default" w:ascii="Times New Roman" w:hAnsi="Times New Roman" w:cs="Times New Roman"/>
          <w:lang w:val="en-US" w:eastAsia="zh-CN"/>
        </w:rPr>
        <w:t>下表</w:t>
      </w:r>
      <w:r>
        <w:rPr>
          <w:rFonts w:hint="default" w:ascii="Times New Roman" w:hAnsi="Times New Roman" w:cs="Times New Roman"/>
        </w:rPr>
        <w:t>。</w:t>
      </w:r>
    </w:p>
    <w:p w14:paraId="15C8D8B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5.6-6</w:t>
      </w:r>
      <w:r>
        <w:rPr>
          <w:rFonts w:hint="eastAsia" w:ascii="Times New Roman" w:hAnsi="Times New Roman"/>
        </w:rPr>
        <w:t xml:space="preserve">    非正常状况下污染预测源强</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269"/>
        <w:gridCol w:w="1782"/>
        <w:gridCol w:w="1286"/>
        <w:gridCol w:w="1439"/>
        <w:gridCol w:w="1439"/>
        <w:gridCol w:w="1157"/>
      </w:tblGrid>
      <w:tr w14:paraId="37615C3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69" w:type="dxa"/>
            <w:tcBorders>
              <w:tl2br w:val="nil"/>
              <w:tr2bl w:val="nil"/>
            </w:tcBorders>
            <w:noWrap w:val="0"/>
            <w:vAlign w:val="center"/>
          </w:tcPr>
          <w:p w14:paraId="7C3EB21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4"/>
                <w:sz w:val="21"/>
                <w:szCs w:val="24"/>
              </w:rPr>
            </w:pPr>
            <w:r>
              <w:rPr>
                <w:rFonts w:hint="default" w:ascii="Times New Roman" w:hAnsi="Times New Roman" w:cs="Times New Roman"/>
                <w:b/>
                <w:spacing w:val="-4"/>
                <w:sz w:val="21"/>
                <w:szCs w:val="24"/>
              </w:rPr>
              <w:t>情景设定</w:t>
            </w:r>
          </w:p>
        </w:tc>
        <w:tc>
          <w:tcPr>
            <w:tcW w:w="1782" w:type="dxa"/>
            <w:tcBorders>
              <w:tl2br w:val="nil"/>
              <w:tr2bl w:val="nil"/>
            </w:tcBorders>
            <w:noWrap w:val="0"/>
            <w:vAlign w:val="center"/>
          </w:tcPr>
          <w:p w14:paraId="1F3D718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4"/>
                <w:sz w:val="21"/>
                <w:szCs w:val="24"/>
              </w:rPr>
            </w:pPr>
            <w:r>
              <w:rPr>
                <w:rFonts w:hint="default" w:ascii="Times New Roman" w:hAnsi="Times New Roman" w:cs="Times New Roman"/>
                <w:b/>
                <w:spacing w:val="-4"/>
                <w:sz w:val="21"/>
                <w:szCs w:val="24"/>
              </w:rPr>
              <w:t>泄漏点</w:t>
            </w:r>
          </w:p>
        </w:tc>
        <w:tc>
          <w:tcPr>
            <w:tcW w:w="1286" w:type="dxa"/>
            <w:tcBorders>
              <w:tl2br w:val="nil"/>
              <w:tr2bl w:val="nil"/>
            </w:tcBorders>
            <w:noWrap w:val="0"/>
            <w:vAlign w:val="center"/>
          </w:tcPr>
          <w:p w14:paraId="23697F2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2"/>
                <w:sz w:val="21"/>
                <w:szCs w:val="24"/>
              </w:rPr>
            </w:pPr>
            <w:r>
              <w:rPr>
                <w:rFonts w:hint="default" w:ascii="Times New Roman" w:hAnsi="Times New Roman" w:cs="Times New Roman"/>
                <w:b/>
                <w:spacing w:val="-2"/>
                <w:sz w:val="21"/>
                <w:szCs w:val="24"/>
              </w:rPr>
              <w:t>特征污染物</w:t>
            </w:r>
          </w:p>
        </w:tc>
        <w:tc>
          <w:tcPr>
            <w:tcW w:w="1439" w:type="dxa"/>
            <w:tcBorders>
              <w:tl2br w:val="nil"/>
              <w:tr2bl w:val="nil"/>
            </w:tcBorders>
            <w:noWrap w:val="0"/>
            <w:vAlign w:val="center"/>
          </w:tcPr>
          <w:p w14:paraId="1BA8AE8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2"/>
                <w:sz w:val="21"/>
                <w:szCs w:val="24"/>
              </w:rPr>
            </w:pPr>
            <w:r>
              <w:rPr>
                <w:rFonts w:hint="default" w:ascii="Times New Roman" w:hAnsi="Times New Roman" w:cs="Times New Roman"/>
                <w:b/>
                <w:spacing w:val="-2"/>
                <w:sz w:val="21"/>
                <w:szCs w:val="24"/>
              </w:rPr>
              <w:t>泄漏量</w:t>
            </w:r>
            <w:r>
              <w:rPr>
                <w:rFonts w:hint="default" w:ascii="Times New Roman" w:hAnsi="Times New Roman" w:eastAsia="Times New Roman" w:cs="Times New Roman"/>
                <w:b/>
                <w:spacing w:val="-2"/>
                <w:sz w:val="24"/>
                <w:szCs w:val="24"/>
              </w:rPr>
              <w:t>kg/d</w:t>
            </w:r>
          </w:p>
        </w:tc>
        <w:tc>
          <w:tcPr>
            <w:tcW w:w="1439" w:type="dxa"/>
            <w:tcBorders>
              <w:tl2br w:val="nil"/>
              <w:tr2bl w:val="nil"/>
            </w:tcBorders>
            <w:noWrap w:val="0"/>
            <w:vAlign w:val="center"/>
          </w:tcPr>
          <w:p w14:paraId="2FA7249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2"/>
                <w:sz w:val="21"/>
                <w:szCs w:val="24"/>
              </w:rPr>
            </w:pPr>
            <w:r>
              <w:rPr>
                <w:rFonts w:hint="default" w:ascii="Times New Roman" w:hAnsi="Times New Roman" w:cs="Times New Roman"/>
                <w:b/>
                <w:spacing w:val="-2"/>
                <w:sz w:val="21"/>
                <w:szCs w:val="24"/>
              </w:rPr>
              <w:t>浓度</w:t>
            </w:r>
            <w:r>
              <w:rPr>
                <w:rFonts w:hint="default" w:ascii="Times New Roman" w:hAnsi="Times New Roman" w:eastAsia="Times New Roman" w:cs="Times New Roman"/>
                <w:b/>
                <w:spacing w:val="-2"/>
                <w:sz w:val="21"/>
                <w:szCs w:val="24"/>
              </w:rPr>
              <w:t>mg/L</w:t>
            </w:r>
          </w:p>
        </w:tc>
        <w:tc>
          <w:tcPr>
            <w:tcW w:w="1157" w:type="dxa"/>
            <w:tcBorders>
              <w:tl2br w:val="nil"/>
              <w:tr2bl w:val="nil"/>
            </w:tcBorders>
            <w:noWrap w:val="0"/>
            <w:vAlign w:val="center"/>
          </w:tcPr>
          <w:p w14:paraId="06B5F85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4"/>
                <w:sz w:val="21"/>
                <w:szCs w:val="24"/>
              </w:rPr>
            </w:pPr>
            <w:r>
              <w:rPr>
                <w:rFonts w:hint="default" w:ascii="Times New Roman" w:hAnsi="Times New Roman" w:cs="Times New Roman"/>
                <w:b/>
                <w:spacing w:val="-4"/>
                <w:sz w:val="21"/>
                <w:szCs w:val="24"/>
              </w:rPr>
              <w:t>泄漏时间</w:t>
            </w:r>
          </w:p>
        </w:tc>
      </w:tr>
      <w:tr w14:paraId="3A9E5FA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69" w:type="dxa"/>
            <w:vMerge w:val="restart"/>
            <w:tcBorders>
              <w:tl2br w:val="nil"/>
              <w:tr2bl w:val="nil"/>
            </w:tcBorders>
            <w:noWrap w:val="0"/>
            <w:vAlign w:val="center"/>
          </w:tcPr>
          <w:p w14:paraId="13CB264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非正常工况</w:t>
            </w:r>
          </w:p>
          <w:p w14:paraId="3E5BB39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防渗层老化</w:t>
            </w:r>
          </w:p>
          <w:p w14:paraId="323CC59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引起的</w:t>
            </w:r>
            <w:r>
              <w:rPr>
                <w:rFonts w:hint="default" w:ascii="Times New Roman" w:hAnsi="Times New Roman" w:eastAsia="Times New Roman" w:cs="Times New Roman"/>
                <w:b w:val="0"/>
                <w:bCs/>
                <w:spacing w:val="-2"/>
                <w:sz w:val="21"/>
                <w:szCs w:val="24"/>
              </w:rPr>
              <w:t>“</w:t>
            </w:r>
            <w:r>
              <w:rPr>
                <w:rFonts w:hint="default" w:ascii="Times New Roman" w:hAnsi="Times New Roman" w:cs="Times New Roman"/>
                <w:b w:val="0"/>
                <w:bCs/>
                <w:spacing w:val="-2"/>
                <w:sz w:val="21"/>
                <w:szCs w:val="24"/>
              </w:rPr>
              <w:t>跑</w:t>
            </w:r>
          </w:p>
          <w:p w14:paraId="1582464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rPr>
            </w:pPr>
            <w:r>
              <w:rPr>
                <w:rFonts w:hint="default" w:ascii="Times New Roman" w:hAnsi="Times New Roman" w:cs="Times New Roman"/>
                <w:b w:val="0"/>
                <w:bCs/>
                <w:spacing w:val="-4"/>
                <w:sz w:val="21"/>
                <w:szCs w:val="24"/>
              </w:rPr>
              <w:t>冒滴漏</w:t>
            </w:r>
            <w:r>
              <w:rPr>
                <w:rFonts w:hint="default" w:ascii="Times New Roman" w:hAnsi="Times New Roman" w:eastAsia="Times New Roman" w:cs="Times New Roman"/>
                <w:b w:val="0"/>
                <w:bCs/>
                <w:spacing w:val="-4"/>
                <w:sz w:val="21"/>
                <w:szCs w:val="24"/>
              </w:rPr>
              <w:t>”</w:t>
            </w:r>
          </w:p>
        </w:tc>
        <w:tc>
          <w:tcPr>
            <w:tcW w:w="1782" w:type="dxa"/>
            <w:tcBorders>
              <w:tl2br w:val="nil"/>
              <w:tr2bl w:val="nil"/>
            </w:tcBorders>
            <w:noWrap w:val="0"/>
            <w:vAlign w:val="center"/>
          </w:tcPr>
          <w:p w14:paraId="7948DD7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含镍废水调节池</w:t>
            </w:r>
          </w:p>
        </w:tc>
        <w:tc>
          <w:tcPr>
            <w:tcW w:w="1286" w:type="dxa"/>
            <w:tcBorders>
              <w:tl2br w:val="nil"/>
              <w:tr2bl w:val="nil"/>
            </w:tcBorders>
            <w:noWrap w:val="0"/>
            <w:vAlign w:val="center"/>
          </w:tcPr>
          <w:p w14:paraId="1251DB6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6"/>
                <w:sz w:val="21"/>
                <w:szCs w:val="24"/>
              </w:rPr>
            </w:pPr>
            <w:r>
              <w:rPr>
                <w:rFonts w:hint="default" w:ascii="Times New Roman" w:hAnsi="Times New Roman" w:cs="Times New Roman"/>
                <w:b w:val="0"/>
                <w:bCs/>
                <w:spacing w:val="-6"/>
                <w:sz w:val="21"/>
                <w:szCs w:val="24"/>
              </w:rPr>
              <w:t>总镍</w:t>
            </w:r>
          </w:p>
        </w:tc>
        <w:tc>
          <w:tcPr>
            <w:tcW w:w="1439" w:type="dxa"/>
            <w:tcBorders>
              <w:tl2br w:val="nil"/>
              <w:tr2bl w:val="nil"/>
            </w:tcBorders>
            <w:noWrap w:val="0"/>
            <w:vAlign w:val="center"/>
          </w:tcPr>
          <w:p w14:paraId="2D2ED27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spacing w:val="-4"/>
                <w:sz w:val="21"/>
                <w:szCs w:val="24"/>
                <w:lang w:val="en-US" w:eastAsia="zh-CN"/>
              </w:rPr>
            </w:pPr>
            <w:r>
              <w:rPr>
                <w:rFonts w:hint="eastAsia" w:ascii="Times New Roman" w:hAnsi="Times New Roman" w:eastAsia="宋体" w:cs="Times New Roman"/>
                <w:b w:val="0"/>
                <w:bCs/>
                <w:spacing w:val="-4"/>
                <w:sz w:val="21"/>
                <w:szCs w:val="24"/>
                <w:lang w:val="en-US" w:eastAsia="zh-CN"/>
              </w:rPr>
              <w:t>0.0408</w:t>
            </w:r>
          </w:p>
        </w:tc>
        <w:tc>
          <w:tcPr>
            <w:tcW w:w="1439" w:type="dxa"/>
            <w:tcBorders>
              <w:tl2br w:val="nil"/>
              <w:tr2bl w:val="nil"/>
            </w:tcBorders>
            <w:noWrap w:val="0"/>
            <w:vAlign w:val="center"/>
          </w:tcPr>
          <w:p w14:paraId="5AC2C03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spacing w:val="-4"/>
                <w:sz w:val="21"/>
                <w:szCs w:val="24"/>
                <w:lang w:val="en-US" w:eastAsia="zh-CN"/>
              </w:rPr>
            </w:pPr>
            <w:r>
              <w:rPr>
                <w:rFonts w:hint="eastAsia" w:ascii="Times New Roman" w:hAnsi="Times New Roman" w:eastAsia="宋体" w:cs="Times New Roman"/>
                <w:b w:val="0"/>
                <w:bCs/>
                <w:spacing w:val="-4"/>
                <w:sz w:val="21"/>
                <w:szCs w:val="24"/>
                <w:lang w:val="en-US" w:eastAsia="zh-CN"/>
              </w:rPr>
              <w:t>207</w:t>
            </w:r>
          </w:p>
        </w:tc>
        <w:tc>
          <w:tcPr>
            <w:tcW w:w="1157" w:type="dxa"/>
            <w:vMerge w:val="restart"/>
            <w:tcBorders>
              <w:tl2br w:val="nil"/>
              <w:tr2bl w:val="nil"/>
            </w:tcBorders>
            <w:noWrap w:val="0"/>
            <w:vAlign w:val="center"/>
          </w:tcPr>
          <w:p w14:paraId="4DCDBA0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rPr>
            </w:pPr>
            <w:r>
              <w:rPr>
                <w:rFonts w:hint="default" w:ascii="Times New Roman" w:hAnsi="Times New Roman" w:cs="Times New Roman"/>
                <w:b w:val="0"/>
                <w:bCs/>
                <w:spacing w:val="-4"/>
                <w:sz w:val="21"/>
                <w:szCs w:val="24"/>
              </w:rPr>
              <w:t>点源持续</w:t>
            </w:r>
          </w:p>
          <w:p w14:paraId="0E5F838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spacing w:val="-6"/>
                <w:sz w:val="21"/>
                <w:szCs w:val="24"/>
              </w:rPr>
            </w:pPr>
            <w:r>
              <w:rPr>
                <w:rFonts w:hint="default" w:ascii="Times New Roman" w:hAnsi="Times New Roman" w:cs="Times New Roman"/>
                <w:b w:val="0"/>
                <w:bCs/>
                <w:spacing w:val="-6"/>
                <w:sz w:val="21"/>
                <w:szCs w:val="24"/>
              </w:rPr>
              <w:t>泄漏</w:t>
            </w:r>
          </w:p>
        </w:tc>
      </w:tr>
      <w:tr w14:paraId="3EBB9C4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69" w:type="dxa"/>
            <w:vMerge w:val="continue"/>
            <w:tcBorders>
              <w:tl2br w:val="nil"/>
              <w:tr2bl w:val="nil"/>
            </w:tcBorders>
            <w:noWrap w:val="0"/>
            <w:vAlign w:val="center"/>
          </w:tcPr>
          <w:p w14:paraId="4371A9A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p>
        </w:tc>
        <w:tc>
          <w:tcPr>
            <w:tcW w:w="1782" w:type="dxa"/>
            <w:tcBorders>
              <w:tl2br w:val="nil"/>
              <w:tr2bl w:val="nil"/>
            </w:tcBorders>
            <w:noWrap w:val="0"/>
            <w:vAlign w:val="center"/>
          </w:tcPr>
          <w:p w14:paraId="3AC7975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含铬废水调节池</w:t>
            </w:r>
          </w:p>
        </w:tc>
        <w:tc>
          <w:tcPr>
            <w:tcW w:w="1286" w:type="dxa"/>
            <w:tcBorders>
              <w:tl2br w:val="nil"/>
              <w:tr2bl w:val="nil"/>
            </w:tcBorders>
            <w:noWrap w:val="0"/>
            <w:vAlign w:val="center"/>
          </w:tcPr>
          <w:p w14:paraId="2BBCB275">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6"/>
                <w:sz w:val="21"/>
                <w:szCs w:val="24"/>
              </w:rPr>
            </w:pPr>
            <w:r>
              <w:rPr>
                <w:rFonts w:hint="default" w:ascii="Times New Roman" w:hAnsi="Times New Roman" w:cs="Times New Roman"/>
                <w:b w:val="0"/>
                <w:bCs/>
                <w:spacing w:val="-6"/>
                <w:sz w:val="21"/>
                <w:szCs w:val="24"/>
              </w:rPr>
              <w:t>总铬</w:t>
            </w:r>
          </w:p>
        </w:tc>
        <w:tc>
          <w:tcPr>
            <w:tcW w:w="1439" w:type="dxa"/>
            <w:tcBorders>
              <w:tl2br w:val="nil"/>
              <w:tr2bl w:val="nil"/>
            </w:tcBorders>
            <w:noWrap w:val="0"/>
            <w:vAlign w:val="center"/>
          </w:tcPr>
          <w:p w14:paraId="23CDBFFC">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spacing w:val="-4"/>
                <w:sz w:val="21"/>
                <w:szCs w:val="24"/>
                <w:lang w:val="en-US" w:eastAsia="zh-CN"/>
              </w:rPr>
            </w:pPr>
            <w:r>
              <w:rPr>
                <w:rFonts w:hint="eastAsia" w:ascii="Times New Roman" w:hAnsi="Times New Roman" w:eastAsia="宋体" w:cs="Times New Roman"/>
                <w:b w:val="0"/>
                <w:bCs/>
                <w:spacing w:val="-4"/>
                <w:sz w:val="21"/>
                <w:szCs w:val="24"/>
                <w:lang w:val="en-US" w:eastAsia="zh-CN"/>
              </w:rPr>
              <w:t>0.0039</w:t>
            </w:r>
          </w:p>
        </w:tc>
        <w:tc>
          <w:tcPr>
            <w:tcW w:w="1439" w:type="dxa"/>
            <w:tcBorders>
              <w:tl2br w:val="nil"/>
              <w:tr2bl w:val="nil"/>
            </w:tcBorders>
            <w:noWrap w:val="0"/>
            <w:vAlign w:val="center"/>
          </w:tcPr>
          <w:p w14:paraId="260E19D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spacing w:val="-4"/>
                <w:sz w:val="21"/>
                <w:szCs w:val="24"/>
                <w:lang w:val="en-US" w:eastAsia="zh-CN"/>
              </w:rPr>
            </w:pPr>
            <w:r>
              <w:rPr>
                <w:rFonts w:hint="eastAsia" w:ascii="Times New Roman" w:hAnsi="Times New Roman" w:eastAsia="宋体" w:cs="Times New Roman"/>
                <w:b w:val="0"/>
                <w:bCs/>
                <w:spacing w:val="-4"/>
                <w:sz w:val="21"/>
                <w:szCs w:val="24"/>
                <w:lang w:val="en-US" w:eastAsia="zh-CN"/>
              </w:rPr>
              <w:t>32.7</w:t>
            </w:r>
          </w:p>
        </w:tc>
        <w:tc>
          <w:tcPr>
            <w:tcW w:w="1157" w:type="dxa"/>
            <w:vMerge w:val="continue"/>
            <w:tcBorders>
              <w:tl2br w:val="nil"/>
              <w:tr2bl w:val="nil"/>
            </w:tcBorders>
            <w:noWrap w:val="0"/>
            <w:vAlign w:val="center"/>
          </w:tcPr>
          <w:p w14:paraId="61B127D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z w:val="20"/>
                <w:szCs w:val="24"/>
              </w:rPr>
            </w:pPr>
          </w:p>
        </w:tc>
      </w:tr>
    </w:tbl>
    <w:p w14:paraId="1752B1F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5.6.5.4预测模型</w:t>
      </w:r>
    </w:p>
    <w:p w14:paraId="67319D6F">
      <w:pPr>
        <w:ind w:firstLine="480"/>
      </w:pPr>
      <w:r>
        <w:t>本项目采用地下水溶质运移解析法中的一维稳定流动一维水动力弥散模式进行预测及评价，预测模型如下：</w:t>
      </w:r>
    </w:p>
    <w:p w14:paraId="75718C6E">
      <w:pPr>
        <w:pStyle w:val="83"/>
        <w:spacing w:before="120" w:after="120"/>
        <w:ind w:left="480" w:firstLine="480"/>
        <w:rPr>
          <w:szCs w:val="24"/>
        </w:rPr>
      </w:pPr>
      <w:r>
        <w:drawing>
          <wp:anchor distT="0" distB="0" distL="114300" distR="114300" simplePos="0" relativeHeight="251670528" behindDoc="0" locked="0" layoutInCell="1" allowOverlap="1">
            <wp:simplePos x="0" y="0"/>
            <wp:positionH relativeFrom="margin">
              <wp:align>center</wp:align>
            </wp:positionH>
            <wp:positionV relativeFrom="paragraph">
              <wp:posOffset>86995</wp:posOffset>
            </wp:positionV>
            <wp:extent cx="2584450" cy="549275"/>
            <wp:effectExtent l="0" t="0" r="6985" b="3810"/>
            <wp:wrapNone/>
            <wp:docPr id="27"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94"/>
                    <pic:cNvPicPr>
                      <a:picLocks noChangeAspect="1" noChangeArrowheads="1"/>
                    </pic:cNvPicPr>
                  </pic:nvPicPr>
                  <pic:blipFill>
                    <a:blip r:embed="rId47" cstate="print">
                      <a:extLst>
                        <a:ext uri="{28A0092B-C50C-407E-A947-70E740481C1C}">
                          <a14:useLocalDpi xmlns:a14="http://schemas.microsoft.com/office/drawing/2010/main" val="0"/>
                        </a:ext>
                      </a:extLst>
                    </a:blip>
                    <a:srcRect t="15217"/>
                    <a:stretch>
                      <a:fillRect/>
                    </a:stretch>
                  </pic:blipFill>
                  <pic:spPr>
                    <a:xfrm>
                      <a:off x="0" y="0"/>
                      <a:ext cx="2584174" cy="549023"/>
                    </a:xfrm>
                    <a:prstGeom prst="rect">
                      <a:avLst/>
                    </a:prstGeom>
                    <a:noFill/>
                    <a:ln w="9525">
                      <a:noFill/>
                      <a:miter lim="800000"/>
                      <a:headEnd/>
                      <a:tailEnd/>
                    </a:ln>
                  </pic:spPr>
                </pic:pic>
              </a:graphicData>
            </a:graphic>
          </wp:anchor>
        </w:drawing>
      </w:r>
    </w:p>
    <w:p w14:paraId="7C58E657">
      <w:pPr>
        <w:ind w:firstLine="480"/>
      </w:pPr>
    </w:p>
    <w:p w14:paraId="20254163">
      <w:pPr>
        <w:ind w:firstLine="480"/>
      </w:pPr>
      <w:r>
        <w:t>式中：</w:t>
      </w:r>
    </w:p>
    <w:p w14:paraId="504A3C52">
      <w:pPr>
        <w:ind w:firstLine="1200" w:firstLineChars="500"/>
      </w:pPr>
      <w:r>
        <w:t>x—距注入点的距离，m；</w:t>
      </w:r>
    </w:p>
    <w:p w14:paraId="4AF8E8F6">
      <w:pPr>
        <w:ind w:firstLine="1200" w:firstLineChars="500"/>
      </w:pPr>
      <w:r>
        <w:t>t—时间，d；</w:t>
      </w:r>
    </w:p>
    <w:p w14:paraId="4A0DF0AB">
      <w:pPr>
        <w:ind w:firstLine="1200" w:firstLineChars="500"/>
      </w:pPr>
      <w:r>
        <w:t>C（x,t）—t时刻x处的示踪剂浓度，g/L；</w:t>
      </w:r>
    </w:p>
    <w:p w14:paraId="13D6BF05">
      <w:pPr>
        <w:ind w:firstLine="1200" w:firstLineChars="500"/>
      </w:pPr>
      <w:r>
        <w:t>C</w:t>
      </w:r>
      <w:r>
        <w:rPr>
          <w:vertAlign w:val="subscript"/>
        </w:rPr>
        <w:t>0</w:t>
      </w:r>
      <w:r>
        <w:t>—注入的示踪剂浓度，g/L；</w:t>
      </w:r>
    </w:p>
    <w:p w14:paraId="306ACFB3">
      <w:pPr>
        <w:ind w:firstLine="1200" w:firstLineChars="500"/>
      </w:pPr>
      <w:r>
        <w:t>u—水流速度，m/d；</w:t>
      </w:r>
    </w:p>
    <w:p w14:paraId="0CAED84D">
      <w:pPr>
        <w:ind w:firstLine="1200" w:firstLineChars="500"/>
      </w:pPr>
      <w:r>
        <w:t>DL—纵向弥散系数，m</w:t>
      </w:r>
      <w:r>
        <w:rPr>
          <w:vertAlign w:val="superscript"/>
        </w:rPr>
        <w:t>2</w:t>
      </w:r>
      <w:r>
        <w:t>/d；</w:t>
      </w:r>
    </w:p>
    <w:p w14:paraId="2AACC662">
      <w:pPr>
        <w:ind w:firstLine="1200" w:firstLineChars="500"/>
      </w:pPr>
      <w:r>
        <w:t>erfc( )—余误差函数。</w:t>
      </w:r>
    </w:p>
    <w:p w14:paraId="338659D0">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5.6.5.5参数确定</w:t>
      </w:r>
    </w:p>
    <w:p w14:paraId="535B6675">
      <w:pPr>
        <w:ind w:firstLine="480"/>
      </w:pPr>
      <w:r>
        <w:rPr>
          <w:rFonts w:hint="eastAsia"/>
        </w:rPr>
        <w:t>（1）</w:t>
      </w:r>
      <w:r>
        <w:t>地下水流速：地下水实际流速的确定按下列方法取得</w:t>
      </w:r>
      <w:r>
        <w:rPr>
          <w:rFonts w:hint="eastAsia"/>
        </w:rPr>
        <w:t>：</w:t>
      </w:r>
    </w:p>
    <w:p w14:paraId="74766CAB">
      <w:pPr>
        <w:pStyle w:val="83"/>
        <w:spacing w:before="120" w:after="120"/>
      </w:pPr>
      <w:r>
        <w:rPr>
          <w:rFonts w:hint="eastAsia"/>
        </w:rPr>
        <w:t>U=K×I</w:t>
      </w:r>
      <w:r>
        <w:t>/</w:t>
      </w:r>
      <w:r>
        <w:rPr>
          <w:rFonts w:hint="eastAsia"/>
        </w:rPr>
        <w:t>n</w:t>
      </w:r>
    </w:p>
    <w:p w14:paraId="7E33D7F9">
      <w:pPr>
        <w:ind w:firstLine="480"/>
      </w:pPr>
      <w:r>
        <w:t>其中：U—地下水实际流速，m/d；</w:t>
      </w:r>
    </w:p>
    <w:p w14:paraId="41F413FB">
      <w:pPr>
        <w:ind w:firstLine="1200" w:firstLineChars="500"/>
        <w:rPr>
          <w:rFonts w:hint="eastAsia"/>
        </w:rPr>
      </w:pPr>
      <w:r>
        <w:t>K—渗透系数，m/d；项目区地下水含水层岩性主要为</w:t>
      </w:r>
      <w:r>
        <w:rPr>
          <w:rFonts w:hint="eastAsia"/>
        </w:rPr>
        <w:t>粉质黏土</w:t>
      </w:r>
      <w:r>
        <w:rPr>
          <w:rFonts w:hint="eastAsia"/>
          <w:lang w:eastAsia="zh-CN"/>
        </w:rPr>
        <w:t>，</w:t>
      </w:r>
      <w:r>
        <w:rPr>
          <w:rFonts w:hint="eastAsia"/>
        </w:rPr>
        <w:t>根据《环境影响评价技术导则地下水环境》（HJ610-2016）附录B本项目渗透系数取值为1.0m/d；</w:t>
      </w:r>
    </w:p>
    <w:p w14:paraId="3B31B354">
      <w:pPr>
        <w:ind w:firstLine="1200" w:firstLineChars="500"/>
        <w:rPr>
          <w:rFonts w:hint="eastAsia" w:eastAsia="宋体"/>
          <w:lang w:eastAsia="zh-CN"/>
        </w:rPr>
      </w:pPr>
      <w:r>
        <w:t>I—水力坡度；</w:t>
      </w:r>
      <w:r>
        <w:rPr>
          <w:rFonts w:hint="eastAsia"/>
          <w:highlight w:val="none"/>
        </w:rPr>
        <w:t>根据区域村庄水平距离和地下水水面高程差进行计算得出水力坡度为0.0024</w:t>
      </w:r>
      <w:r>
        <w:rPr>
          <w:rFonts w:hint="eastAsia"/>
          <w:highlight w:val="none"/>
          <w:lang w:eastAsia="zh-CN"/>
        </w:rPr>
        <w:t>；</w:t>
      </w:r>
    </w:p>
    <w:p w14:paraId="7CB97F38">
      <w:pPr>
        <w:ind w:firstLine="1200" w:firstLineChars="500"/>
        <w:rPr>
          <w:rFonts w:hint="eastAsia" w:eastAsia="宋体"/>
          <w:lang w:eastAsia="zh-CN"/>
        </w:rPr>
      </w:pPr>
      <w:r>
        <w:t>n—孔隙度。</w:t>
      </w:r>
      <w:r>
        <w:rPr>
          <w:rFonts w:hint="eastAsia"/>
        </w:rPr>
        <w:t>根据土壤现状监测报告，取0.42</w:t>
      </w:r>
      <w:r>
        <w:rPr>
          <w:rFonts w:hint="eastAsia"/>
          <w:lang w:eastAsia="zh-CN"/>
        </w:rPr>
        <w:t>。</w:t>
      </w:r>
    </w:p>
    <w:p w14:paraId="1B245619">
      <w:pPr>
        <w:ind w:firstLine="480"/>
      </w:pPr>
      <w:r>
        <w:rPr>
          <w:rFonts w:hint="eastAsia"/>
        </w:rPr>
        <w:t>综上，</w:t>
      </w:r>
      <w:r>
        <w:t>可计算得出地下水流速为</w:t>
      </w:r>
      <w:r>
        <w:rPr>
          <w:rFonts w:hint="eastAsia"/>
          <w:lang w:val="en-US" w:eastAsia="zh-CN"/>
        </w:rPr>
        <w:t>0.006</w:t>
      </w:r>
      <w:r>
        <w:t>m/d。</w:t>
      </w:r>
    </w:p>
    <w:p w14:paraId="5C07CC81">
      <w:pPr>
        <w:ind w:firstLine="480"/>
        <w:rPr>
          <w:snapToGrid w:val="0"/>
        </w:rPr>
      </w:pPr>
      <w:r>
        <w:rPr>
          <w:rFonts w:hint="eastAsia"/>
        </w:rPr>
        <w:t>（2）</w:t>
      </w:r>
      <w:r>
        <w:rPr>
          <w:snapToGrid w:val="0"/>
        </w:rPr>
        <w:t>弥散系数</w:t>
      </w:r>
    </w:p>
    <w:p w14:paraId="323D5F62">
      <w:pPr>
        <w:ind w:firstLine="480"/>
        <w:rPr>
          <w:snapToGrid w:val="0"/>
        </w:rPr>
      </w:pPr>
      <w:r>
        <w:rPr>
          <w:snapToGrid w:val="0"/>
          <w:position w:val="-6"/>
        </w:rPr>
        <w:pict>
          <v:shape id="图片 101" o:spid="_x0000_s1028" o:spt="75" type="#_x0000_t75" style="position:absolute;left:0pt;margin-left:185.5pt;margin-top:28.25pt;height:16pt;width:62pt;mso-wrap-distance-bottom:0pt;mso-wrap-distance-top:0pt;z-index:251665408;mso-width-relative:page;mso-height-relative:page;" filled="f" o:preferrelative="t" stroked="f" coordsize="21600,21600">
            <v:path/>
            <v:fill on="f" focussize="0,0"/>
            <v:stroke on="f" joinstyle="miter"/>
            <v:imagedata r:id="rId48" o:title=""/>
            <o:lock v:ext="edit" aspectratio="t"/>
            <w10:wrap type="topAndBottom"/>
          </v:shape>
        </w:pict>
      </w:r>
      <w:r>
        <w:rPr>
          <w:snapToGrid w:val="0"/>
        </w:rPr>
        <w:t>地下水弥散系数的确定按下列方法取得：</w:t>
      </w:r>
    </w:p>
    <w:p w14:paraId="7781095E">
      <w:pPr>
        <w:ind w:firstLine="480"/>
        <w:rPr>
          <w:snapToGrid w:val="0"/>
        </w:rPr>
      </w:pPr>
      <w:r>
        <w:rPr>
          <w:snapToGrid w:val="0"/>
        </w:rPr>
        <w:t>其中：D—弥散系数，m</w:t>
      </w:r>
      <w:r>
        <w:rPr>
          <w:snapToGrid w:val="0"/>
          <w:vertAlign w:val="superscript"/>
        </w:rPr>
        <w:t>2</w:t>
      </w:r>
      <w:r>
        <w:rPr>
          <w:snapToGrid w:val="0"/>
        </w:rPr>
        <w:t>/d；</w:t>
      </w:r>
    </w:p>
    <w:p w14:paraId="2C514207">
      <w:pPr>
        <w:ind w:firstLine="1200" w:firstLineChars="500"/>
        <w:rPr>
          <w:snapToGrid w:val="0"/>
        </w:rPr>
      </w:pPr>
      <w:r>
        <w:rPr>
          <w:snapToGrid w:val="0"/>
        </w:rPr>
        <w:t>U—地下水实际流速，m/d；</w:t>
      </w:r>
    </w:p>
    <w:p w14:paraId="1E27905B">
      <w:pPr>
        <w:ind w:firstLine="1200" w:firstLineChars="500"/>
        <w:rPr>
          <w:snapToGrid w:val="0"/>
        </w:rPr>
      </w:pPr>
      <w:r>
        <w:rPr>
          <w:snapToGrid w:val="0"/>
        </w:rPr>
        <w:t>aL—弥散度；</w:t>
      </w:r>
    </w:p>
    <w:p w14:paraId="0357C95E">
      <w:pPr>
        <w:ind w:firstLine="1200" w:firstLineChars="500"/>
        <w:rPr>
          <w:snapToGrid w:val="0"/>
        </w:rPr>
      </w:pPr>
      <w:r>
        <w:rPr>
          <w:snapToGrid w:val="0"/>
        </w:rPr>
        <w:t>m—指数</w:t>
      </w:r>
      <w:r>
        <w:rPr>
          <w:rFonts w:hint="eastAsia" w:ascii="Times New Roman" w:hAnsi="Times New Roman" w:cs="Times New Roman"/>
          <w:snapToGrid w:val="0"/>
          <w:lang w:eastAsia="zh-CN"/>
        </w:rPr>
        <w:t>。</w:t>
      </w:r>
    </w:p>
    <w:p w14:paraId="59D4D9B6">
      <w:pPr>
        <w:ind w:firstLine="480"/>
        <w:rPr>
          <w:snapToGrid w:val="0"/>
        </w:rPr>
      </w:pPr>
      <w:r>
        <w:rPr>
          <w:rFonts w:hint="eastAsia"/>
        </w:rPr>
        <w:t>纵向弥散系数是表征流动水体中污染物在沿水流方向（或纵向）弥散的速率系数，本项目含水层地质沉积类型为粉质黏土</w:t>
      </w:r>
      <w:r>
        <w:rPr>
          <w:rFonts w:hint="eastAsia"/>
          <w:lang w:eastAsia="zh-CN"/>
        </w:rPr>
        <w:t>，</w:t>
      </w:r>
      <w:r>
        <w:rPr>
          <w:rFonts w:hint="eastAsia"/>
        </w:rPr>
        <w:t>本项目区域含水层的粒径范围约0.005~0.25mm</w:t>
      </w:r>
      <w:r>
        <w:t>，各含水层弥散度的具体数值详见</w:t>
      </w:r>
      <w:r>
        <w:rPr>
          <w:rFonts w:hint="eastAsia"/>
        </w:rPr>
        <w:t>下表</w:t>
      </w:r>
      <w:r>
        <w:t>。</w:t>
      </w:r>
    </w:p>
    <w:p w14:paraId="55B10EA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5.6-7</w:t>
      </w:r>
      <w:r>
        <w:rPr>
          <w:rFonts w:hint="eastAsia" w:ascii="Times New Roman" w:hAnsi="Times New Roman"/>
        </w:rPr>
        <w:t xml:space="preserve">    含水层弥散度类比取值表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77"/>
        <w:gridCol w:w="1987"/>
        <w:gridCol w:w="2127"/>
        <w:gridCol w:w="2041"/>
      </w:tblGrid>
      <w:tr w14:paraId="5A9C4C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048C2052">
            <w:pPr>
              <w:pStyle w:val="81"/>
              <w:rPr>
                <w:color w:val="auto"/>
              </w:rPr>
            </w:pPr>
            <w:r>
              <w:rPr>
                <w:color w:val="auto"/>
              </w:rPr>
              <w:t>粒径变化范围（mm）</w:t>
            </w:r>
          </w:p>
        </w:tc>
        <w:tc>
          <w:tcPr>
            <w:tcW w:w="1164" w:type="pct"/>
            <w:vAlign w:val="center"/>
          </w:tcPr>
          <w:p w14:paraId="0EC0A2BD">
            <w:pPr>
              <w:pStyle w:val="81"/>
              <w:rPr>
                <w:color w:val="auto"/>
              </w:rPr>
            </w:pPr>
            <w:r>
              <w:rPr>
                <w:color w:val="auto"/>
              </w:rPr>
              <w:t>均匀度系数</w:t>
            </w:r>
          </w:p>
        </w:tc>
        <w:tc>
          <w:tcPr>
            <w:tcW w:w="1246" w:type="pct"/>
            <w:vAlign w:val="center"/>
          </w:tcPr>
          <w:p w14:paraId="0F2FE1F0">
            <w:pPr>
              <w:pStyle w:val="81"/>
              <w:rPr>
                <w:color w:val="auto"/>
              </w:rPr>
            </w:pPr>
            <w:r>
              <w:rPr>
                <w:color w:val="auto"/>
              </w:rPr>
              <w:t>m指数</w:t>
            </w:r>
          </w:p>
        </w:tc>
        <w:tc>
          <w:tcPr>
            <w:tcW w:w="1196" w:type="pct"/>
            <w:vAlign w:val="center"/>
          </w:tcPr>
          <w:p w14:paraId="3AFB6D49">
            <w:pPr>
              <w:pStyle w:val="81"/>
              <w:rPr>
                <w:color w:val="auto"/>
              </w:rPr>
            </w:pPr>
            <w:r>
              <w:rPr>
                <w:color w:val="auto"/>
              </w:rPr>
              <w:t>弥散度</w:t>
            </w:r>
          </w:p>
        </w:tc>
      </w:tr>
      <w:tr w14:paraId="15009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39387927">
            <w:pPr>
              <w:pStyle w:val="75"/>
            </w:pPr>
            <w:r>
              <w:t>0.4-0.7</w:t>
            </w:r>
          </w:p>
        </w:tc>
        <w:tc>
          <w:tcPr>
            <w:tcW w:w="1164" w:type="pct"/>
            <w:vAlign w:val="center"/>
          </w:tcPr>
          <w:p w14:paraId="468C9121">
            <w:pPr>
              <w:pStyle w:val="75"/>
            </w:pPr>
            <w:r>
              <w:t>1.55</w:t>
            </w:r>
          </w:p>
        </w:tc>
        <w:tc>
          <w:tcPr>
            <w:tcW w:w="1246" w:type="pct"/>
            <w:vAlign w:val="center"/>
          </w:tcPr>
          <w:p w14:paraId="19A86F2A">
            <w:pPr>
              <w:pStyle w:val="75"/>
            </w:pPr>
            <w:r>
              <w:t>1.09</w:t>
            </w:r>
          </w:p>
        </w:tc>
        <w:tc>
          <w:tcPr>
            <w:tcW w:w="1196" w:type="pct"/>
            <w:vAlign w:val="center"/>
          </w:tcPr>
          <w:p w14:paraId="6DBD5F5E">
            <w:pPr>
              <w:pStyle w:val="75"/>
            </w:pPr>
            <w:r>
              <w:t>3.96e</w:t>
            </w:r>
            <w:r>
              <w:rPr>
                <w:vertAlign w:val="superscript"/>
              </w:rPr>
              <w:t>-3</w:t>
            </w:r>
          </w:p>
        </w:tc>
      </w:tr>
      <w:tr w14:paraId="7D255F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5224CD95">
            <w:pPr>
              <w:pStyle w:val="75"/>
            </w:pPr>
            <w:r>
              <w:t>0.5-1.5</w:t>
            </w:r>
          </w:p>
        </w:tc>
        <w:tc>
          <w:tcPr>
            <w:tcW w:w="1164" w:type="pct"/>
            <w:vAlign w:val="center"/>
          </w:tcPr>
          <w:p w14:paraId="68EFB92C">
            <w:pPr>
              <w:pStyle w:val="75"/>
            </w:pPr>
            <w:r>
              <w:t>1.85</w:t>
            </w:r>
          </w:p>
        </w:tc>
        <w:tc>
          <w:tcPr>
            <w:tcW w:w="1246" w:type="pct"/>
            <w:vAlign w:val="center"/>
          </w:tcPr>
          <w:p w14:paraId="4F9FCA57">
            <w:pPr>
              <w:pStyle w:val="75"/>
            </w:pPr>
            <w:r>
              <w:t>1.1</w:t>
            </w:r>
          </w:p>
        </w:tc>
        <w:tc>
          <w:tcPr>
            <w:tcW w:w="1196" w:type="pct"/>
            <w:vAlign w:val="center"/>
          </w:tcPr>
          <w:p w14:paraId="40224106">
            <w:pPr>
              <w:pStyle w:val="75"/>
            </w:pPr>
            <w:r>
              <w:t>5.78e</w:t>
            </w:r>
            <w:r>
              <w:rPr>
                <w:vertAlign w:val="superscript"/>
              </w:rPr>
              <w:t>-3</w:t>
            </w:r>
          </w:p>
        </w:tc>
      </w:tr>
      <w:tr w14:paraId="5CA2C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1DD5D5D6">
            <w:pPr>
              <w:pStyle w:val="75"/>
            </w:pPr>
            <w:r>
              <w:t>1-2</w:t>
            </w:r>
          </w:p>
        </w:tc>
        <w:tc>
          <w:tcPr>
            <w:tcW w:w="1164" w:type="pct"/>
            <w:vAlign w:val="center"/>
          </w:tcPr>
          <w:p w14:paraId="2F792B04">
            <w:pPr>
              <w:pStyle w:val="75"/>
            </w:pPr>
            <w:r>
              <w:t>1.6</w:t>
            </w:r>
          </w:p>
        </w:tc>
        <w:tc>
          <w:tcPr>
            <w:tcW w:w="1246" w:type="pct"/>
            <w:vAlign w:val="center"/>
          </w:tcPr>
          <w:p w14:paraId="5673FBBD">
            <w:pPr>
              <w:pStyle w:val="75"/>
            </w:pPr>
            <w:r>
              <w:t>1.1</w:t>
            </w:r>
          </w:p>
        </w:tc>
        <w:tc>
          <w:tcPr>
            <w:tcW w:w="1196" w:type="pct"/>
            <w:vAlign w:val="center"/>
          </w:tcPr>
          <w:p w14:paraId="3A8D5FD8">
            <w:pPr>
              <w:pStyle w:val="75"/>
            </w:pPr>
            <w:r>
              <w:t>8.8e</w:t>
            </w:r>
            <w:r>
              <w:rPr>
                <w:vertAlign w:val="superscript"/>
              </w:rPr>
              <w:t>-3</w:t>
            </w:r>
          </w:p>
        </w:tc>
      </w:tr>
      <w:tr w14:paraId="06B954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6BD2E208">
            <w:pPr>
              <w:pStyle w:val="75"/>
            </w:pPr>
            <w:r>
              <w:t>2-3</w:t>
            </w:r>
          </w:p>
        </w:tc>
        <w:tc>
          <w:tcPr>
            <w:tcW w:w="1164" w:type="pct"/>
            <w:vAlign w:val="center"/>
          </w:tcPr>
          <w:p w14:paraId="143630DD">
            <w:pPr>
              <w:pStyle w:val="75"/>
            </w:pPr>
            <w:r>
              <w:t>1.3</w:t>
            </w:r>
          </w:p>
        </w:tc>
        <w:tc>
          <w:tcPr>
            <w:tcW w:w="1246" w:type="pct"/>
            <w:vAlign w:val="center"/>
          </w:tcPr>
          <w:p w14:paraId="7DFD4DBF">
            <w:pPr>
              <w:pStyle w:val="75"/>
            </w:pPr>
            <w:r>
              <w:t>1.09</w:t>
            </w:r>
          </w:p>
        </w:tc>
        <w:tc>
          <w:tcPr>
            <w:tcW w:w="1196" w:type="pct"/>
            <w:vAlign w:val="center"/>
          </w:tcPr>
          <w:p w14:paraId="799C92D1">
            <w:pPr>
              <w:pStyle w:val="75"/>
            </w:pPr>
            <w:r>
              <w:t>1.3e</w:t>
            </w:r>
            <w:r>
              <w:rPr>
                <w:vertAlign w:val="superscript"/>
              </w:rPr>
              <w:t>-2</w:t>
            </w:r>
          </w:p>
        </w:tc>
      </w:tr>
      <w:tr w14:paraId="74BB3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0EF0BCAC">
            <w:pPr>
              <w:pStyle w:val="75"/>
            </w:pPr>
            <w:r>
              <w:t>5-7</w:t>
            </w:r>
          </w:p>
        </w:tc>
        <w:tc>
          <w:tcPr>
            <w:tcW w:w="1164" w:type="pct"/>
            <w:vAlign w:val="center"/>
          </w:tcPr>
          <w:p w14:paraId="4482C297">
            <w:pPr>
              <w:pStyle w:val="75"/>
            </w:pPr>
            <w:r>
              <w:t>1.3</w:t>
            </w:r>
          </w:p>
        </w:tc>
        <w:tc>
          <w:tcPr>
            <w:tcW w:w="1246" w:type="pct"/>
            <w:vAlign w:val="center"/>
          </w:tcPr>
          <w:p w14:paraId="676FE5DB">
            <w:pPr>
              <w:pStyle w:val="75"/>
            </w:pPr>
            <w:r>
              <w:t>1.09</w:t>
            </w:r>
          </w:p>
        </w:tc>
        <w:tc>
          <w:tcPr>
            <w:tcW w:w="1196" w:type="pct"/>
            <w:vAlign w:val="center"/>
          </w:tcPr>
          <w:p w14:paraId="4AD1FBF1">
            <w:pPr>
              <w:pStyle w:val="75"/>
            </w:pPr>
            <w:r>
              <w:t>1.67e</w:t>
            </w:r>
            <w:r>
              <w:rPr>
                <w:vertAlign w:val="superscript"/>
              </w:rPr>
              <w:t>-2</w:t>
            </w:r>
          </w:p>
        </w:tc>
      </w:tr>
      <w:tr w14:paraId="361B0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4C380AEE">
            <w:pPr>
              <w:pStyle w:val="75"/>
            </w:pPr>
            <w:r>
              <w:t>0.5-2</w:t>
            </w:r>
          </w:p>
        </w:tc>
        <w:tc>
          <w:tcPr>
            <w:tcW w:w="1164" w:type="pct"/>
            <w:vAlign w:val="center"/>
          </w:tcPr>
          <w:p w14:paraId="1D081F1C">
            <w:pPr>
              <w:pStyle w:val="75"/>
            </w:pPr>
            <w:r>
              <w:t>2</w:t>
            </w:r>
          </w:p>
        </w:tc>
        <w:tc>
          <w:tcPr>
            <w:tcW w:w="1246" w:type="pct"/>
            <w:vAlign w:val="center"/>
          </w:tcPr>
          <w:p w14:paraId="5B9E360F">
            <w:pPr>
              <w:pStyle w:val="75"/>
            </w:pPr>
            <w:r>
              <w:t>1.08</w:t>
            </w:r>
          </w:p>
        </w:tc>
        <w:tc>
          <w:tcPr>
            <w:tcW w:w="1196" w:type="pct"/>
            <w:vAlign w:val="center"/>
          </w:tcPr>
          <w:p w14:paraId="5F8CC2D3">
            <w:pPr>
              <w:pStyle w:val="75"/>
            </w:pPr>
            <w:r>
              <w:t>3.11e</w:t>
            </w:r>
            <w:r>
              <w:rPr>
                <w:vertAlign w:val="superscript"/>
              </w:rPr>
              <w:t>-3</w:t>
            </w:r>
          </w:p>
        </w:tc>
      </w:tr>
      <w:tr w14:paraId="116AA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4733CB23">
            <w:pPr>
              <w:pStyle w:val="75"/>
            </w:pPr>
            <w:r>
              <w:t>0.2-5</w:t>
            </w:r>
          </w:p>
        </w:tc>
        <w:tc>
          <w:tcPr>
            <w:tcW w:w="1164" w:type="pct"/>
            <w:vAlign w:val="center"/>
          </w:tcPr>
          <w:p w14:paraId="2904DF46">
            <w:pPr>
              <w:pStyle w:val="75"/>
            </w:pPr>
            <w:r>
              <w:t>5</w:t>
            </w:r>
          </w:p>
        </w:tc>
        <w:tc>
          <w:tcPr>
            <w:tcW w:w="1246" w:type="pct"/>
            <w:vAlign w:val="center"/>
          </w:tcPr>
          <w:p w14:paraId="3AF646F0">
            <w:pPr>
              <w:pStyle w:val="75"/>
            </w:pPr>
            <w:r>
              <w:t>1.08</w:t>
            </w:r>
          </w:p>
        </w:tc>
        <w:tc>
          <w:tcPr>
            <w:tcW w:w="1196" w:type="pct"/>
            <w:vAlign w:val="center"/>
          </w:tcPr>
          <w:p w14:paraId="150C3C1B">
            <w:pPr>
              <w:pStyle w:val="75"/>
            </w:pPr>
            <w:r>
              <w:t>8.3e</w:t>
            </w:r>
            <w:r>
              <w:rPr>
                <w:vertAlign w:val="superscript"/>
              </w:rPr>
              <w:t>-3</w:t>
            </w:r>
          </w:p>
        </w:tc>
      </w:tr>
      <w:tr w14:paraId="3FB49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437912A2">
            <w:pPr>
              <w:pStyle w:val="75"/>
            </w:pPr>
            <w:r>
              <w:t>0.1-10</w:t>
            </w:r>
          </w:p>
        </w:tc>
        <w:tc>
          <w:tcPr>
            <w:tcW w:w="1164" w:type="pct"/>
            <w:vAlign w:val="center"/>
          </w:tcPr>
          <w:p w14:paraId="16CCB6D5">
            <w:pPr>
              <w:pStyle w:val="75"/>
            </w:pPr>
            <w:r>
              <w:t>10</w:t>
            </w:r>
          </w:p>
        </w:tc>
        <w:tc>
          <w:tcPr>
            <w:tcW w:w="1246" w:type="pct"/>
            <w:vAlign w:val="center"/>
          </w:tcPr>
          <w:p w14:paraId="468EC506">
            <w:pPr>
              <w:pStyle w:val="75"/>
            </w:pPr>
            <w:r>
              <w:t>1.07</w:t>
            </w:r>
          </w:p>
        </w:tc>
        <w:tc>
          <w:tcPr>
            <w:tcW w:w="1196" w:type="pct"/>
            <w:vAlign w:val="center"/>
          </w:tcPr>
          <w:p w14:paraId="6E294122">
            <w:pPr>
              <w:pStyle w:val="75"/>
            </w:pPr>
            <w:r>
              <w:t>1.63e</w:t>
            </w:r>
            <w:r>
              <w:rPr>
                <w:vertAlign w:val="superscript"/>
              </w:rPr>
              <w:t>-2</w:t>
            </w:r>
          </w:p>
        </w:tc>
      </w:tr>
      <w:tr w14:paraId="335B8F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3" w:type="pct"/>
            <w:vAlign w:val="center"/>
          </w:tcPr>
          <w:p w14:paraId="0E812A22">
            <w:pPr>
              <w:pStyle w:val="75"/>
            </w:pPr>
            <w:r>
              <w:t>0.05-20</w:t>
            </w:r>
          </w:p>
        </w:tc>
        <w:tc>
          <w:tcPr>
            <w:tcW w:w="1164" w:type="pct"/>
            <w:vAlign w:val="center"/>
          </w:tcPr>
          <w:p w14:paraId="0C3A0D75">
            <w:pPr>
              <w:pStyle w:val="75"/>
            </w:pPr>
            <w:r>
              <w:t>20</w:t>
            </w:r>
          </w:p>
        </w:tc>
        <w:tc>
          <w:tcPr>
            <w:tcW w:w="1246" w:type="pct"/>
            <w:vAlign w:val="center"/>
          </w:tcPr>
          <w:p w14:paraId="2A22F056">
            <w:pPr>
              <w:pStyle w:val="75"/>
            </w:pPr>
            <w:r>
              <w:t>1.07</w:t>
            </w:r>
          </w:p>
        </w:tc>
        <w:tc>
          <w:tcPr>
            <w:tcW w:w="1196" w:type="pct"/>
            <w:vAlign w:val="center"/>
          </w:tcPr>
          <w:p w14:paraId="196ADAE0">
            <w:pPr>
              <w:pStyle w:val="75"/>
            </w:pPr>
            <w:r>
              <w:t>7.07e</w:t>
            </w:r>
            <w:r>
              <w:rPr>
                <w:vertAlign w:val="superscript"/>
              </w:rPr>
              <w:t>-2</w:t>
            </w:r>
          </w:p>
        </w:tc>
      </w:tr>
    </w:tbl>
    <w:p w14:paraId="5AA5AFEE">
      <w:pPr>
        <w:ind w:firstLine="480"/>
      </w:pPr>
      <w:r>
        <w:t>按上表计算，项目所在区域含水层弥散系数为</w:t>
      </w:r>
      <w:r>
        <w:rPr>
          <w:rFonts w:hint="eastAsia"/>
          <w:lang w:val="en-US" w:eastAsia="zh-CN"/>
        </w:rPr>
        <w:t>0.004</w:t>
      </w:r>
      <w:r>
        <w:t>m</w:t>
      </w:r>
      <w:r>
        <w:rPr>
          <w:vertAlign w:val="superscript"/>
        </w:rPr>
        <w:t>2</w:t>
      </w:r>
      <w:r>
        <w:t>/d。</w:t>
      </w:r>
    </w:p>
    <w:p w14:paraId="0537DDA8">
      <w:pPr>
        <w:ind w:firstLine="480"/>
        <w:rPr>
          <w:rFonts w:hint="default" w:ascii="Times New Roman" w:hAnsi="Times New Roman" w:eastAsia="宋体" w:cs="Times New Roman"/>
          <w:lang w:val="en-US" w:eastAsia="zh-CN"/>
        </w:rPr>
      </w:pP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3</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预测参数</w:t>
      </w:r>
    </w:p>
    <w:p w14:paraId="70C29F56">
      <w:pPr>
        <w:ind w:firstLine="480"/>
      </w:pPr>
      <w:r>
        <w:rPr>
          <w:rFonts w:hint="eastAsia"/>
        </w:rPr>
        <w:t>根据以上计算分析结果，确定本次地下水预测参数，见下表。</w:t>
      </w:r>
    </w:p>
    <w:p w14:paraId="05F9061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表5</w:t>
      </w:r>
      <w:r>
        <w:rPr>
          <w:rFonts w:hint="eastAsia"/>
          <w:lang w:val="en-US" w:eastAsia="zh-CN"/>
        </w:rPr>
        <w:t>.6-8</w:t>
      </w:r>
      <w:r>
        <w:rPr>
          <w:rFonts w:hint="eastAsia" w:ascii="Times New Roman" w:hAnsi="Times New Roman"/>
        </w:rPr>
        <w:t xml:space="preserve">    非正常状况下地下水预测参数选取汇总表</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729"/>
        <w:gridCol w:w="876"/>
        <w:gridCol w:w="1085"/>
        <w:gridCol w:w="1588"/>
        <w:gridCol w:w="1119"/>
        <w:gridCol w:w="936"/>
        <w:gridCol w:w="1036"/>
      </w:tblGrid>
      <w:tr w14:paraId="614A0DF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29" w:type="dxa"/>
            <w:tcBorders>
              <w:tl2br w:val="nil"/>
              <w:tr2bl w:val="nil"/>
            </w:tcBorders>
            <w:noWrap w:val="0"/>
            <w:vAlign w:val="center"/>
          </w:tcPr>
          <w:p w14:paraId="78F265D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4"/>
                <w:sz w:val="21"/>
                <w:szCs w:val="24"/>
              </w:rPr>
            </w:pPr>
            <w:r>
              <w:rPr>
                <w:rFonts w:hint="default" w:ascii="Times New Roman" w:hAnsi="Times New Roman" w:eastAsia="宋体" w:cs="Times New Roman"/>
                <w:b/>
                <w:spacing w:val="-4"/>
                <w:sz w:val="21"/>
                <w:szCs w:val="24"/>
              </w:rPr>
              <w:t>污染源</w:t>
            </w:r>
          </w:p>
        </w:tc>
        <w:tc>
          <w:tcPr>
            <w:tcW w:w="876" w:type="dxa"/>
            <w:tcBorders>
              <w:tl2br w:val="nil"/>
              <w:tr2bl w:val="nil"/>
            </w:tcBorders>
            <w:noWrap w:val="0"/>
            <w:vAlign w:val="center"/>
          </w:tcPr>
          <w:p w14:paraId="717BECF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6"/>
                <w:sz w:val="21"/>
                <w:szCs w:val="24"/>
              </w:rPr>
            </w:pPr>
            <w:r>
              <w:rPr>
                <w:rFonts w:hint="default" w:ascii="Times New Roman" w:hAnsi="Times New Roman" w:eastAsia="宋体" w:cs="Times New Roman"/>
                <w:b/>
                <w:spacing w:val="-6"/>
                <w:sz w:val="21"/>
                <w:szCs w:val="24"/>
              </w:rPr>
              <w:t>参数</w:t>
            </w:r>
          </w:p>
        </w:tc>
        <w:tc>
          <w:tcPr>
            <w:tcW w:w="1085" w:type="dxa"/>
            <w:tcBorders>
              <w:tl2br w:val="nil"/>
              <w:tr2bl w:val="nil"/>
            </w:tcBorders>
            <w:noWrap w:val="0"/>
            <w:vAlign w:val="center"/>
          </w:tcPr>
          <w:p w14:paraId="49CD0FC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4"/>
                <w:sz w:val="21"/>
                <w:szCs w:val="24"/>
              </w:rPr>
            </w:pPr>
            <w:r>
              <w:rPr>
                <w:rFonts w:hint="default" w:ascii="Times New Roman" w:hAnsi="Times New Roman" w:cs="Times New Roman"/>
                <w:b/>
                <w:spacing w:val="-4"/>
                <w:sz w:val="21"/>
                <w:szCs w:val="24"/>
              </w:rPr>
              <w:t>X</w:t>
            </w:r>
            <w:r>
              <w:rPr>
                <w:rFonts w:hint="default" w:ascii="Times New Roman" w:hAnsi="Times New Roman" w:eastAsia="宋体" w:cs="Times New Roman"/>
                <w:b/>
                <w:spacing w:val="-4"/>
                <w:sz w:val="21"/>
                <w:szCs w:val="24"/>
              </w:rPr>
              <w:t>（</w:t>
            </w:r>
            <w:r>
              <w:rPr>
                <w:rFonts w:hint="default" w:ascii="Times New Roman" w:hAnsi="Times New Roman" w:cs="Times New Roman"/>
                <w:b/>
                <w:spacing w:val="-4"/>
                <w:sz w:val="21"/>
                <w:szCs w:val="24"/>
              </w:rPr>
              <w:t>m</w:t>
            </w:r>
            <w:r>
              <w:rPr>
                <w:rFonts w:hint="default" w:ascii="Times New Roman" w:hAnsi="Times New Roman" w:eastAsia="宋体" w:cs="Times New Roman"/>
                <w:b/>
                <w:spacing w:val="-4"/>
                <w:sz w:val="21"/>
                <w:szCs w:val="24"/>
              </w:rPr>
              <w:t>）</w:t>
            </w:r>
          </w:p>
        </w:tc>
        <w:tc>
          <w:tcPr>
            <w:tcW w:w="1588" w:type="dxa"/>
            <w:tcBorders>
              <w:tl2br w:val="nil"/>
              <w:tr2bl w:val="nil"/>
            </w:tcBorders>
            <w:noWrap w:val="0"/>
            <w:vAlign w:val="center"/>
          </w:tcPr>
          <w:p w14:paraId="20BA446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2"/>
                <w:position w:val="2"/>
                <w:sz w:val="21"/>
                <w:szCs w:val="24"/>
              </w:rPr>
            </w:pPr>
            <w:r>
              <w:rPr>
                <w:rFonts w:hint="default" w:ascii="Times New Roman" w:hAnsi="Times New Roman" w:cs="Times New Roman"/>
                <w:b/>
                <w:spacing w:val="-2"/>
                <w:position w:val="2"/>
                <w:sz w:val="21"/>
                <w:szCs w:val="24"/>
              </w:rPr>
              <w:t>C</w:t>
            </w:r>
            <w:r>
              <w:rPr>
                <w:rFonts w:hint="default" w:ascii="Times New Roman" w:hAnsi="Times New Roman" w:cs="Times New Roman"/>
                <w:b/>
                <w:spacing w:val="-2"/>
                <w:sz w:val="14"/>
                <w:szCs w:val="24"/>
              </w:rPr>
              <w:t>0</w:t>
            </w:r>
            <w:r>
              <w:rPr>
                <w:rFonts w:hint="default" w:ascii="Times New Roman" w:hAnsi="Times New Roman" w:eastAsia="宋体" w:cs="Times New Roman"/>
                <w:b/>
                <w:spacing w:val="-2"/>
                <w:position w:val="2"/>
                <w:sz w:val="21"/>
                <w:szCs w:val="24"/>
              </w:rPr>
              <w:t>（</w:t>
            </w:r>
            <w:r>
              <w:rPr>
                <w:rFonts w:hint="default" w:ascii="Times New Roman" w:hAnsi="Times New Roman" w:cs="Times New Roman"/>
                <w:b/>
                <w:spacing w:val="-2"/>
                <w:position w:val="2"/>
                <w:sz w:val="21"/>
                <w:szCs w:val="24"/>
              </w:rPr>
              <w:t>mg/L</w:t>
            </w:r>
            <w:r>
              <w:rPr>
                <w:rFonts w:hint="default" w:ascii="Times New Roman" w:hAnsi="Times New Roman" w:eastAsia="宋体" w:cs="Times New Roman"/>
                <w:b/>
                <w:spacing w:val="-2"/>
                <w:position w:val="2"/>
                <w:sz w:val="21"/>
                <w:szCs w:val="24"/>
              </w:rPr>
              <w:t>）</w:t>
            </w:r>
          </w:p>
        </w:tc>
        <w:tc>
          <w:tcPr>
            <w:tcW w:w="1119" w:type="dxa"/>
            <w:tcBorders>
              <w:tl2br w:val="nil"/>
              <w:tr2bl w:val="nil"/>
            </w:tcBorders>
            <w:noWrap w:val="0"/>
            <w:vAlign w:val="center"/>
          </w:tcPr>
          <w:p w14:paraId="2137FD4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2"/>
                <w:sz w:val="21"/>
                <w:szCs w:val="24"/>
              </w:rPr>
            </w:pPr>
            <w:r>
              <w:rPr>
                <w:rFonts w:hint="default" w:ascii="Times New Roman" w:hAnsi="Times New Roman" w:cs="Times New Roman"/>
                <w:b/>
                <w:spacing w:val="-2"/>
                <w:sz w:val="21"/>
                <w:szCs w:val="24"/>
              </w:rPr>
              <w:t>D</w:t>
            </w:r>
            <w:r>
              <w:rPr>
                <w:rFonts w:hint="default" w:ascii="Times New Roman" w:hAnsi="Times New Roman" w:eastAsia="宋体" w:cs="Times New Roman"/>
                <w:b/>
                <w:spacing w:val="-2"/>
                <w:sz w:val="21"/>
                <w:szCs w:val="24"/>
              </w:rPr>
              <w:t>（</w:t>
            </w:r>
            <w:r>
              <w:rPr>
                <w:rFonts w:hint="default" w:ascii="Times New Roman" w:hAnsi="Times New Roman" w:cs="Times New Roman"/>
                <w:b/>
                <w:spacing w:val="-2"/>
                <w:sz w:val="21"/>
                <w:szCs w:val="24"/>
              </w:rPr>
              <w:t>m</w:t>
            </w:r>
            <w:r>
              <w:rPr>
                <w:rFonts w:hint="default" w:ascii="Times New Roman" w:hAnsi="Times New Roman" w:cs="Times New Roman"/>
                <w:b/>
                <w:spacing w:val="-2"/>
                <w:position w:val="7"/>
                <w:sz w:val="14"/>
                <w:szCs w:val="24"/>
              </w:rPr>
              <w:t>2</w:t>
            </w:r>
            <w:r>
              <w:rPr>
                <w:rFonts w:hint="default" w:ascii="Times New Roman" w:hAnsi="Times New Roman" w:cs="Times New Roman"/>
                <w:b/>
                <w:spacing w:val="-2"/>
                <w:sz w:val="21"/>
                <w:szCs w:val="24"/>
              </w:rPr>
              <w:t>/d</w:t>
            </w:r>
            <w:r>
              <w:rPr>
                <w:rFonts w:hint="default" w:ascii="Times New Roman" w:hAnsi="Times New Roman" w:eastAsia="宋体" w:cs="Times New Roman"/>
                <w:b/>
                <w:spacing w:val="-2"/>
                <w:sz w:val="21"/>
                <w:szCs w:val="24"/>
              </w:rPr>
              <w:t>）</w:t>
            </w:r>
          </w:p>
        </w:tc>
        <w:tc>
          <w:tcPr>
            <w:tcW w:w="936" w:type="dxa"/>
            <w:tcBorders>
              <w:tl2br w:val="nil"/>
              <w:tr2bl w:val="nil"/>
            </w:tcBorders>
            <w:noWrap w:val="0"/>
            <w:vAlign w:val="center"/>
          </w:tcPr>
          <w:p w14:paraId="5BE9BF8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spacing w:val="-4"/>
                <w:sz w:val="21"/>
                <w:szCs w:val="24"/>
              </w:rPr>
            </w:pPr>
            <w:r>
              <w:rPr>
                <w:rFonts w:hint="default" w:ascii="Times New Roman" w:hAnsi="Times New Roman" w:cs="Times New Roman"/>
                <w:b/>
                <w:spacing w:val="-4"/>
                <w:sz w:val="21"/>
                <w:szCs w:val="24"/>
              </w:rPr>
              <w:t>t</w:t>
            </w:r>
            <w:r>
              <w:rPr>
                <w:rFonts w:hint="default" w:ascii="Times New Roman" w:hAnsi="Times New Roman" w:eastAsia="宋体" w:cs="Times New Roman"/>
                <w:b/>
                <w:spacing w:val="-4"/>
                <w:sz w:val="21"/>
                <w:szCs w:val="24"/>
              </w:rPr>
              <w:t>（</w:t>
            </w:r>
            <w:r>
              <w:rPr>
                <w:rFonts w:hint="default" w:ascii="Times New Roman" w:hAnsi="Times New Roman" w:cs="Times New Roman"/>
                <w:b/>
                <w:spacing w:val="-4"/>
                <w:sz w:val="21"/>
                <w:szCs w:val="24"/>
              </w:rPr>
              <w:t>d</w:t>
            </w:r>
            <w:r>
              <w:rPr>
                <w:rFonts w:hint="default" w:ascii="Times New Roman" w:hAnsi="Times New Roman" w:eastAsia="宋体" w:cs="Times New Roman"/>
                <w:b/>
                <w:spacing w:val="-4"/>
                <w:sz w:val="21"/>
                <w:szCs w:val="24"/>
              </w:rPr>
              <w:t>）</w:t>
            </w:r>
          </w:p>
        </w:tc>
        <w:tc>
          <w:tcPr>
            <w:tcW w:w="1036" w:type="dxa"/>
            <w:tcBorders>
              <w:tl2br w:val="nil"/>
              <w:tr2bl w:val="nil"/>
            </w:tcBorders>
            <w:noWrap w:val="0"/>
            <w:vAlign w:val="center"/>
          </w:tcPr>
          <w:p w14:paraId="426959B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spacing w:val="-2"/>
                <w:sz w:val="21"/>
                <w:szCs w:val="24"/>
              </w:rPr>
            </w:pPr>
            <w:r>
              <w:rPr>
                <w:rFonts w:hint="default" w:ascii="Times New Roman" w:hAnsi="Times New Roman" w:cs="Times New Roman"/>
                <w:b/>
                <w:spacing w:val="-2"/>
                <w:sz w:val="21"/>
                <w:szCs w:val="24"/>
              </w:rPr>
              <w:t>U</w:t>
            </w:r>
            <w:r>
              <w:rPr>
                <w:rFonts w:hint="default" w:ascii="Times New Roman" w:hAnsi="Times New Roman" w:eastAsia="宋体" w:cs="Times New Roman"/>
                <w:b/>
                <w:spacing w:val="-2"/>
                <w:sz w:val="21"/>
                <w:szCs w:val="24"/>
              </w:rPr>
              <w:t>（</w:t>
            </w:r>
            <w:r>
              <w:rPr>
                <w:rFonts w:hint="default" w:ascii="Times New Roman" w:hAnsi="Times New Roman" w:cs="Times New Roman"/>
                <w:b/>
                <w:spacing w:val="-2"/>
                <w:sz w:val="21"/>
                <w:szCs w:val="24"/>
              </w:rPr>
              <w:t>m/d</w:t>
            </w:r>
            <w:r>
              <w:rPr>
                <w:rFonts w:hint="default" w:ascii="Times New Roman" w:hAnsi="Times New Roman" w:eastAsia="宋体" w:cs="Times New Roman"/>
                <w:b/>
                <w:spacing w:val="-2"/>
                <w:sz w:val="21"/>
                <w:szCs w:val="24"/>
              </w:rPr>
              <w:t>）</w:t>
            </w:r>
          </w:p>
        </w:tc>
      </w:tr>
      <w:tr w14:paraId="06D178D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29" w:type="dxa"/>
            <w:tcBorders>
              <w:tl2br w:val="nil"/>
              <w:tr2bl w:val="nil"/>
            </w:tcBorders>
            <w:noWrap w:val="0"/>
            <w:vAlign w:val="center"/>
          </w:tcPr>
          <w:p w14:paraId="5CBE592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4"/>
              </w:rPr>
            </w:pPr>
            <w:r>
              <w:rPr>
                <w:rFonts w:hint="default" w:ascii="Times New Roman" w:hAnsi="Times New Roman" w:eastAsia="宋体" w:cs="Times New Roman"/>
                <w:b w:val="0"/>
                <w:bCs/>
                <w:spacing w:val="-2"/>
                <w:sz w:val="21"/>
                <w:szCs w:val="24"/>
              </w:rPr>
              <w:t>含镍废水调节池</w:t>
            </w:r>
          </w:p>
        </w:tc>
        <w:tc>
          <w:tcPr>
            <w:tcW w:w="876" w:type="dxa"/>
            <w:tcBorders>
              <w:tl2br w:val="nil"/>
              <w:tr2bl w:val="nil"/>
            </w:tcBorders>
            <w:noWrap w:val="0"/>
            <w:vAlign w:val="center"/>
          </w:tcPr>
          <w:p w14:paraId="2C8B1D0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6"/>
                <w:sz w:val="21"/>
                <w:szCs w:val="24"/>
              </w:rPr>
            </w:pPr>
            <w:r>
              <w:rPr>
                <w:rFonts w:hint="default" w:ascii="Times New Roman" w:hAnsi="Times New Roman" w:eastAsia="宋体" w:cs="Times New Roman"/>
                <w:b w:val="0"/>
                <w:bCs/>
                <w:spacing w:val="-6"/>
                <w:sz w:val="21"/>
                <w:szCs w:val="24"/>
              </w:rPr>
              <w:t>取值</w:t>
            </w:r>
          </w:p>
        </w:tc>
        <w:tc>
          <w:tcPr>
            <w:tcW w:w="1085" w:type="dxa"/>
            <w:tcBorders>
              <w:tl2br w:val="nil"/>
              <w:tr2bl w:val="nil"/>
            </w:tcBorders>
            <w:noWrap w:val="0"/>
            <w:vAlign w:val="center"/>
          </w:tcPr>
          <w:p w14:paraId="6627BB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0~100</w:t>
            </w:r>
          </w:p>
        </w:tc>
        <w:tc>
          <w:tcPr>
            <w:tcW w:w="1588" w:type="dxa"/>
            <w:tcBorders>
              <w:tl2br w:val="nil"/>
              <w:tr2bl w:val="nil"/>
            </w:tcBorders>
            <w:noWrap w:val="0"/>
            <w:vAlign w:val="center"/>
          </w:tcPr>
          <w:p w14:paraId="2A0D65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4"/>
                <w:lang w:val="en-US" w:eastAsia="zh-CN"/>
              </w:rPr>
            </w:pPr>
            <w:r>
              <w:rPr>
                <w:rFonts w:hint="default" w:ascii="Times New Roman" w:hAnsi="Times New Roman" w:eastAsia="宋体" w:cs="Times New Roman"/>
                <w:b w:val="0"/>
                <w:bCs/>
                <w:spacing w:val="-2"/>
                <w:sz w:val="21"/>
                <w:szCs w:val="24"/>
              </w:rPr>
              <w:t>总镍：</w:t>
            </w:r>
            <w:r>
              <w:rPr>
                <w:rFonts w:hint="eastAsia" w:ascii="Times New Roman" w:hAnsi="Times New Roman" w:eastAsia="宋体" w:cs="Times New Roman"/>
                <w:b w:val="0"/>
                <w:bCs/>
                <w:spacing w:val="-2"/>
                <w:sz w:val="21"/>
                <w:szCs w:val="24"/>
                <w:lang w:val="en-US" w:eastAsia="zh-CN"/>
              </w:rPr>
              <w:t>204</w:t>
            </w:r>
          </w:p>
        </w:tc>
        <w:tc>
          <w:tcPr>
            <w:tcW w:w="1119" w:type="dxa"/>
            <w:tcBorders>
              <w:tl2br w:val="nil"/>
              <w:tr2bl w:val="nil"/>
            </w:tcBorders>
            <w:noWrap w:val="0"/>
            <w:vAlign w:val="center"/>
          </w:tcPr>
          <w:p w14:paraId="4491B259">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1"/>
                <w:lang w:val="en-US"/>
              </w:rPr>
            </w:pPr>
            <w:r>
              <w:rPr>
                <w:rFonts w:hint="default" w:ascii="Times New Roman" w:hAnsi="Times New Roman" w:cs="Times New Roman"/>
                <w:color w:val="auto"/>
                <w:sz w:val="21"/>
                <w:szCs w:val="21"/>
              </w:rPr>
              <w:t>0.</w:t>
            </w:r>
            <w:r>
              <w:rPr>
                <w:rFonts w:hint="default" w:ascii="Times New Roman" w:hAnsi="Times New Roman" w:cs="Times New Roman"/>
                <w:color w:val="auto"/>
                <w:sz w:val="21"/>
                <w:szCs w:val="21"/>
                <w:lang w:val="en-US" w:eastAsia="zh-CN"/>
              </w:rPr>
              <w:t>00</w:t>
            </w:r>
            <w:r>
              <w:rPr>
                <w:rFonts w:hint="eastAsia" w:ascii="Times New Roman" w:hAnsi="Times New Roman" w:cs="Times New Roman"/>
                <w:color w:val="auto"/>
                <w:sz w:val="21"/>
                <w:szCs w:val="21"/>
                <w:lang w:val="en-US" w:eastAsia="zh-CN"/>
              </w:rPr>
              <w:t>4</w:t>
            </w:r>
          </w:p>
        </w:tc>
        <w:tc>
          <w:tcPr>
            <w:tcW w:w="936" w:type="dxa"/>
            <w:tcBorders>
              <w:tl2br w:val="nil"/>
              <w:tr2bl w:val="nil"/>
            </w:tcBorders>
            <w:noWrap w:val="0"/>
            <w:vAlign w:val="center"/>
          </w:tcPr>
          <w:p w14:paraId="458CD0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0~1000</w:t>
            </w:r>
          </w:p>
        </w:tc>
        <w:tc>
          <w:tcPr>
            <w:tcW w:w="1036" w:type="dxa"/>
            <w:tcBorders>
              <w:tl2br w:val="nil"/>
              <w:tr2bl w:val="nil"/>
            </w:tcBorders>
            <w:noWrap w:val="0"/>
            <w:vAlign w:val="center"/>
          </w:tcPr>
          <w:p w14:paraId="007D85D6">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1"/>
                <w:lang w:val="en-US" w:eastAsia="zh-CN"/>
              </w:rPr>
            </w:pPr>
            <w:r>
              <w:rPr>
                <w:rFonts w:hint="eastAsia" w:ascii="Times New Roman" w:hAnsi="Times New Roman" w:cs="Times New Roman"/>
                <w:color w:val="000000"/>
                <w:sz w:val="21"/>
                <w:szCs w:val="21"/>
                <w:lang w:val="en-US" w:eastAsia="zh-CN"/>
              </w:rPr>
              <w:t>0.006</w:t>
            </w:r>
          </w:p>
        </w:tc>
      </w:tr>
      <w:tr w14:paraId="773C3F0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729" w:type="dxa"/>
            <w:tcBorders>
              <w:tl2br w:val="nil"/>
              <w:tr2bl w:val="nil"/>
            </w:tcBorders>
            <w:noWrap w:val="0"/>
            <w:vAlign w:val="center"/>
          </w:tcPr>
          <w:p w14:paraId="2FAD714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4"/>
              </w:rPr>
            </w:pPr>
            <w:r>
              <w:rPr>
                <w:rFonts w:hint="default" w:ascii="Times New Roman" w:hAnsi="Times New Roman" w:eastAsia="宋体" w:cs="Times New Roman"/>
                <w:b w:val="0"/>
                <w:bCs/>
                <w:spacing w:val="-2"/>
                <w:sz w:val="21"/>
                <w:szCs w:val="24"/>
              </w:rPr>
              <w:t>含铬废水调节池</w:t>
            </w:r>
          </w:p>
        </w:tc>
        <w:tc>
          <w:tcPr>
            <w:tcW w:w="876" w:type="dxa"/>
            <w:tcBorders>
              <w:tl2br w:val="nil"/>
              <w:tr2bl w:val="nil"/>
            </w:tcBorders>
            <w:noWrap w:val="0"/>
            <w:vAlign w:val="center"/>
          </w:tcPr>
          <w:p w14:paraId="13FBD4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6"/>
                <w:sz w:val="21"/>
                <w:szCs w:val="24"/>
              </w:rPr>
            </w:pPr>
            <w:r>
              <w:rPr>
                <w:rFonts w:hint="default" w:ascii="Times New Roman" w:hAnsi="Times New Roman" w:eastAsia="宋体" w:cs="Times New Roman"/>
                <w:b w:val="0"/>
                <w:bCs/>
                <w:spacing w:val="-6"/>
                <w:sz w:val="21"/>
                <w:szCs w:val="24"/>
              </w:rPr>
              <w:t>取值</w:t>
            </w:r>
          </w:p>
        </w:tc>
        <w:tc>
          <w:tcPr>
            <w:tcW w:w="1085" w:type="dxa"/>
            <w:tcBorders>
              <w:tl2br w:val="nil"/>
              <w:tr2bl w:val="nil"/>
            </w:tcBorders>
            <w:noWrap w:val="0"/>
            <w:vAlign w:val="center"/>
          </w:tcPr>
          <w:p w14:paraId="238CF3F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0~100</w:t>
            </w:r>
          </w:p>
        </w:tc>
        <w:tc>
          <w:tcPr>
            <w:tcW w:w="1588" w:type="dxa"/>
            <w:tcBorders>
              <w:tl2br w:val="nil"/>
              <w:tr2bl w:val="nil"/>
            </w:tcBorders>
            <w:noWrap w:val="0"/>
            <w:vAlign w:val="center"/>
          </w:tcPr>
          <w:p w14:paraId="58024C4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4"/>
                <w:lang w:val="en-US" w:eastAsia="zh-CN"/>
              </w:rPr>
            </w:pPr>
            <w:r>
              <w:rPr>
                <w:rFonts w:hint="default" w:ascii="Times New Roman" w:hAnsi="Times New Roman" w:eastAsia="宋体" w:cs="Times New Roman"/>
                <w:b w:val="0"/>
                <w:bCs/>
                <w:spacing w:val="-2"/>
                <w:sz w:val="21"/>
                <w:szCs w:val="24"/>
              </w:rPr>
              <w:t>总铬：</w:t>
            </w:r>
            <w:r>
              <w:rPr>
                <w:rFonts w:hint="eastAsia" w:ascii="Times New Roman" w:hAnsi="Times New Roman" w:eastAsia="宋体" w:cs="Times New Roman"/>
                <w:b w:val="0"/>
                <w:bCs/>
                <w:spacing w:val="-2"/>
                <w:sz w:val="21"/>
                <w:szCs w:val="24"/>
                <w:lang w:val="en-US" w:eastAsia="zh-CN"/>
              </w:rPr>
              <w:t>32.7</w:t>
            </w:r>
          </w:p>
        </w:tc>
        <w:tc>
          <w:tcPr>
            <w:tcW w:w="1119" w:type="dxa"/>
            <w:tcBorders>
              <w:tl2br w:val="nil"/>
              <w:tr2bl w:val="nil"/>
            </w:tcBorders>
            <w:noWrap w:val="0"/>
            <w:vAlign w:val="center"/>
          </w:tcPr>
          <w:p w14:paraId="7FC91760">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1"/>
                <w:lang w:val="en-US"/>
              </w:rPr>
            </w:pPr>
            <w:r>
              <w:rPr>
                <w:rFonts w:hint="default" w:ascii="Times New Roman" w:hAnsi="Times New Roman" w:cs="Times New Roman"/>
                <w:color w:val="auto"/>
                <w:sz w:val="21"/>
                <w:szCs w:val="21"/>
              </w:rPr>
              <w:t>0.</w:t>
            </w:r>
            <w:r>
              <w:rPr>
                <w:rFonts w:hint="default" w:ascii="Times New Roman" w:hAnsi="Times New Roman" w:cs="Times New Roman"/>
                <w:color w:val="auto"/>
                <w:sz w:val="21"/>
                <w:szCs w:val="21"/>
                <w:lang w:val="en-US" w:eastAsia="zh-CN"/>
              </w:rPr>
              <w:t>00</w:t>
            </w:r>
            <w:r>
              <w:rPr>
                <w:rFonts w:hint="eastAsia" w:ascii="Times New Roman" w:hAnsi="Times New Roman" w:cs="Times New Roman"/>
                <w:color w:val="auto"/>
                <w:sz w:val="21"/>
                <w:szCs w:val="21"/>
                <w:lang w:val="en-US" w:eastAsia="zh-CN"/>
              </w:rPr>
              <w:t>4</w:t>
            </w:r>
          </w:p>
        </w:tc>
        <w:tc>
          <w:tcPr>
            <w:tcW w:w="936" w:type="dxa"/>
            <w:tcBorders>
              <w:tl2br w:val="nil"/>
              <w:tr2bl w:val="nil"/>
            </w:tcBorders>
            <w:noWrap w:val="0"/>
            <w:vAlign w:val="center"/>
          </w:tcPr>
          <w:p w14:paraId="550600D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spacing w:val="-2"/>
                <w:sz w:val="21"/>
                <w:szCs w:val="24"/>
              </w:rPr>
            </w:pPr>
            <w:r>
              <w:rPr>
                <w:rFonts w:hint="default" w:ascii="Times New Roman" w:hAnsi="Times New Roman" w:cs="Times New Roman"/>
                <w:b w:val="0"/>
                <w:bCs/>
                <w:spacing w:val="-2"/>
                <w:sz w:val="21"/>
                <w:szCs w:val="24"/>
              </w:rPr>
              <w:t>0~1000</w:t>
            </w:r>
          </w:p>
        </w:tc>
        <w:tc>
          <w:tcPr>
            <w:tcW w:w="1036" w:type="dxa"/>
            <w:tcBorders>
              <w:tl2br w:val="nil"/>
              <w:tr2bl w:val="nil"/>
            </w:tcBorders>
            <w:noWrap w:val="0"/>
            <w:vAlign w:val="center"/>
          </w:tcPr>
          <w:p w14:paraId="6C0D87CC">
            <w:pPr>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2"/>
                <w:sz w:val="21"/>
                <w:szCs w:val="21"/>
                <w:lang w:val="en-US" w:eastAsia="zh-CN"/>
              </w:rPr>
            </w:pPr>
            <w:r>
              <w:rPr>
                <w:rFonts w:hint="eastAsia" w:ascii="Times New Roman" w:hAnsi="Times New Roman" w:cs="Times New Roman"/>
                <w:color w:val="000000"/>
                <w:sz w:val="21"/>
                <w:szCs w:val="21"/>
                <w:lang w:val="en-US" w:eastAsia="zh-CN"/>
              </w:rPr>
              <w:t>0.006</w:t>
            </w:r>
          </w:p>
        </w:tc>
      </w:tr>
    </w:tbl>
    <w:p w14:paraId="7F824790">
      <w:pPr>
        <w:ind w:firstLine="480"/>
        <w:rPr>
          <w:rFonts w:hint="eastAsia"/>
        </w:rPr>
      </w:pPr>
      <w:r>
        <w:rPr>
          <w:rFonts w:hint="eastAsia"/>
        </w:rPr>
        <w:t>（4）执行标准</w:t>
      </w:r>
    </w:p>
    <w:p w14:paraId="276376F9">
      <w:pPr>
        <w:ind w:firstLine="480"/>
      </w:pPr>
      <w:r>
        <w:rPr>
          <w:rFonts w:hint="eastAsia"/>
        </w:rPr>
        <w:t>根据本项目执行标准的意见，确定本次地下水环境质量评价执行《地下水质量标准》（GB/T14848-2017）Ⅲ类标准，具体标准限值见下表。</w:t>
      </w:r>
    </w:p>
    <w:p w14:paraId="05E1920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5.6-9</w:t>
      </w:r>
      <w:r>
        <w:rPr>
          <w:rFonts w:hint="eastAsia" w:ascii="Times New Roman" w:hAnsi="Times New Roman"/>
        </w:rPr>
        <w:t xml:space="preserve">    评价标准一览表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2785"/>
        <w:gridCol w:w="2802"/>
        <w:gridCol w:w="2785"/>
      </w:tblGrid>
      <w:tr w14:paraId="2F809E6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785" w:type="dxa"/>
            <w:tcBorders>
              <w:tl2br w:val="nil"/>
              <w:tr2bl w:val="nil"/>
            </w:tcBorders>
            <w:noWrap w:val="0"/>
            <w:vAlign w:val="center"/>
          </w:tcPr>
          <w:p w14:paraId="72608F0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b/>
                <w:bCs/>
                <w:spacing w:val="-4"/>
                <w:sz w:val="21"/>
                <w:szCs w:val="24"/>
              </w:rPr>
            </w:pPr>
            <w:r>
              <w:rPr>
                <w:rFonts w:hint="default" w:ascii="Times New Roman" w:hAnsi="Times New Roman" w:cs="Times New Roman"/>
                <w:b/>
                <w:bCs/>
                <w:spacing w:val="-4"/>
                <w:sz w:val="21"/>
                <w:szCs w:val="24"/>
              </w:rPr>
              <w:t>评价因子</w:t>
            </w:r>
          </w:p>
        </w:tc>
        <w:tc>
          <w:tcPr>
            <w:tcW w:w="2802" w:type="dxa"/>
            <w:tcBorders>
              <w:tl2br w:val="nil"/>
              <w:tr2bl w:val="nil"/>
            </w:tcBorders>
            <w:noWrap w:val="0"/>
            <w:vAlign w:val="center"/>
          </w:tcPr>
          <w:p w14:paraId="1D35B42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b/>
                <w:bCs/>
                <w:spacing w:val="-2"/>
                <w:sz w:val="21"/>
                <w:szCs w:val="24"/>
              </w:rPr>
            </w:pPr>
            <w:r>
              <w:rPr>
                <w:rFonts w:hint="default" w:ascii="Times New Roman" w:hAnsi="Times New Roman" w:cs="Times New Roman"/>
                <w:b/>
                <w:bCs/>
                <w:spacing w:val="-2"/>
                <w:sz w:val="21"/>
                <w:szCs w:val="24"/>
              </w:rPr>
              <w:t>评价标准（</w:t>
            </w:r>
            <w:r>
              <w:rPr>
                <w:rFonts w:hint="default" w:ascii="Times New Roman" w:hAnsi="Times New Roman" w:eastAsia="Times New Roman" w:cs="Times New Roman"/>
                <w:b/>
                <w:bCs/>
                <w:spacing w:val="-2"/>
                <w:sz w:val="21"/>
                <w:szCs w:val="24"/>
              </w:rPr>
              <w:t>mg/L</w:t>
            </w:r>
            <w:r>
              <w:rPr>
                <w:rFonts w:hint="default" w:ascii="Times New Roman" w:hAnsi="Times New Roman" w:cs="Times New Roman"/>
                <w:b/>
                <w:bCs/>
                <w:spacing w:val="-2"/>
                <w:sz w:val="21"/>
                <w:szCs w:val="24"/>
              </w:rPr>
              <w:t>）</w:t>
            </w:r>
          </w:p>
        </w:tc>
        <w:tc>
          <w:tcPr>
            <w:tcW w:w="2785" w:type="dxa"/>
            <w:tcBorders>
              <w:tl2br w:val="nil"/>
              <w:tr2bl w:val="nil"/>
            </w:tcBorders>
            <w:noWrap w:val="0"/>
            <w:vAlign w:val="center"/>
          </w:tcPr>
          <w:p w14:paraId="6F7B90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b/>
                <w:bCs/>
                <w:spacing w:val="-4"/>
                <w:sz w:val="21"/>
                <w:szCs w:val="24"/>
              </w:rPr>
            </w:pPr>
            <w:r>
              <w:rPr>
                <w:rFonts w:hint="default" w:ascii="Times New Roman" w:hAnsi="Times New Roman" w:cs="Times New Roman"/>
                <w:b/>
                <w:bCs/>
                <w:spacing w:val="-4"/>
                <w:sz w:val="21"/>
                <w:szCs w:val="24"/>
              </w:rPr>
              <w:t>标准来源</w:t>
            </w:r>
          </w:p>
        </w:tc>
      </w:tr>
      <w:tr w14:paraId="7EF6B92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785" w:type="dxa"/>
            <w:tcBorders>
              <w:tl2br w:val="nil"/>
              <w:tr2bl w:val="nil"/>
            </w:tcBorders>
            <w:noWrap w:val="0"/>
            <w:vAlign w:val="center"/>
          </w:tcPr>
          <w:p w14:paraId="59A4B0E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镍</w:t>
            </w:r>
          </w:p>
        </w:tc>
        <w:tc>
          <w:tcPr>
            <w:tcW w:w="2802" w:type="dxa"/>
            <w:tcBorders>
              <w:tl2br w:val="nil"/>
              <w:tr2bl w:val="nil"/>
            </w:tcBorders>
            <w:noWrap w:val="0"/>
            <w:vAlign w:val="center"/>
          </w:tcPr>
          <w:p w14:paraId="2CFE77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eastAsia="Times New Roman" w:cs="Times New Roman"/>
                <w:spacing w:val="-4"/>
                <w:sz w:val="21"/>
                <w:szCs w:val="24"/>
              </w:rPr>
            </w:pPr>
            <w:r>
              <w:rPr>
                <w:rFonts w:hint="default" w:ascii="Times New Roman" w:hAnsi="Times New Roman" w:eastAsia="Times New Roman" w:cs="Times New Roman"/>
                <w:spacing w:val="-4"/>
                <w:sz w:val="21"/>
                <w:szCs w:val="24"/>
              </w:rPr>
              <w:t>0.02</w:t>
            </w:r>
          </w:p>
        </w:tc>
        <w:tc>
          <w:tcPr>
            <w:tcW w:w="2785" w:type="dxa"/>
            <w:vMerge w:val="restart"/>
            <w:tcBorders>
              <w:tl2br w:val="nil"/>
              <w:tr2bl w:val="nil"/>
            </w:tcBorders>
            <w:noWrap w:val="0"/>
            <w:vAlign w:val="center"/>
          </w:tcPr>
          <w:p w14:paraId="409E62D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spacing w:val="-2"/>
                <w:sz w:val="21"/>
                <w:szCs w:val="24"/>
              </w:rPr>
            </w:pPr>
            <w:r>
              <w:rPr>
                <w:rFonts w:hint="default" w:ascii="Times New Roman" w:hAnsi="Times New Roman" w:cs="Times New Roman"/>
                <w:spacing w:val="-2"/>
                <w:sz w:val="21"/>
                <w:szCs w:val="24"/>
              </w:rPr>
              <w:t>《地下水质量标准》</w:t>
            </w:r>
          </w:p>
          <w:p w14:paraId="4CB454A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spacing w:val="-2"/>
                <w:sz w:val="21"/>
                <w:szCs w:val="24"/>
              </w:rPr>
            </w:pPr>
            <w:r>
              <w:rPr>
                <w:rFonts w:hint="default" w:ascii="Times New Roman" w:hAnsi="Times New Roman" w:cs="Times New Roman"/>
                <w:spacing w:val="-2"/>
                <w:sz w:val="21"/>
                <w:szCs w:val="24"/>
              </w:rPr>
              <w:t>（</w:t>
            </w:r>
            <w:r>
              <w:rPr>
                <w:rFonts w:hint="default" w:ascii="Times New Roman" w:hAnsi="Times New Roman" w:eastAsia="Times New Roman" w:cs="Times New Roman"/>
                <w:spacing w:val="-2"/>
                <w:sz w:val="21"/>
                <w:szCs w:val="24"/>
              </w:rPr>
              <w:t>GB/T14848-2017</w:t>
            </w:r>
            <w:r>
              <w:rPr>
                <w:rFonts w:hint="default" w:ascii="Times New Roman" w:hAnsi="Times New Roman" w:cs="Times New Roman"/>
                <w:spacing w:val="-2"/>
                <w:sz w:val="21"/>
                <w:szCs w:val="24"/>
              </w:rPr>
              <w:t>）Ⅲ类标准</w:t>
            </w:r>
          </w:p>
        </w:tc>
      </w:tr>
      <w:tr w14:paraId="495BDD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785" w:type="dxa"/>
            <w:tcBorders>
              <w:tl2br w:val="nil"/>
              <w:tr2bl w:val="nil"/>
            </w:tcBorders>
            <w:noWrap w:val="0"/>
            <w:vAlign w:val="center"/>
          </w:tcPr>
          <w:p w14:paraId="6F2DFC6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cs="Times New Roman"/>
                <w:spacing w:val="-2"/>
                <w:sz w:val="21"/>
                <w:szCs w:val="24"/>
              </w:rPr>
            </w:pPr>
            <w:r>
              <w:rPr>
                <w:rFonts w:hint="default" w:ascii="Times New Roman" w:hAnsi="Times New Roman" w:cs="Times New Roman"/>
                <w:spacing w:val="-2"/>
                <w:sz w:val="21"/>
                <w:szCs w:val="24"/>
              </w:rPr>
              <w:t>铬（六价）</w:t>
            </w:r>
          </w:p>
        </w:tc>
        <w:tc>
          <w:tcPr>
            <w:tcW w:w="2802" w:type="dxa"/>
            <w:tcBorders>
              <w:tl2br w:val="nil"/>
              <w:tr2bl w:val="nil"/>
            </w:tcBorders>
            <w:noWrap w:val="0"/>
            <w:vAlign w:val="center"/>
          </w:tcPr>
          <w:p w14:paraId="1FAFD17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jc w:val="center"/>
              <w:textAlignment w:val="auto"/>
              <w:rPr>
                <w:rFonts w:hint="default" w:ascii="Times New Roman" w:hAnsi="Times New Roman" w:eastAsia="Times New Roman" w:cs="Times New Roman"/>
                <w:spacing w:val="-4"/>
                <w:sz w:val="21"/>
                <w:szCs w:val="24"/>
              </w:rPr>
            </w:pPr>
            <w:r>
              <w:rPr>
                <w:rFonts w:hint="default" w:ascii="Times New Roman" w:hAnsi="Times New Roman" w:eastAsia="Times New Roman" w:cs="Times New Roman"/>
                <w:spacing w:val="-4"/>
                <w:sz w:val="21"/>
                <w:szCs w:val="24"/>
              </w:rPr>
              <w:t>0.05</w:t>
            </w:r>
          </w:p>
        </w:tc>
        <w:tc>
          <w:tcPr>
            <w:tcW w:w="2785" w:type="dxa"/>
            <w:vMerge w:val="continue"/>
            <w:tcBorders>
              <w:tl2br w:val="nil"/>
              <w:tr2bl w:val="nil"/>
            </w:tcBorders>
            <w:noWrap w:val="0"/>
            <w:vAlign w:val="center"/>
          </w:tcPr>
          <w:p w14:paraId="5FEAB61F">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jc w:val="center"/>
              <w:textAlignment w:val="auto"/>
              <w:rPr>
                <w:rFonts w:hint="default" w:ascii="Times New Roman" w:hAnsi="Times New Roman" w:cs="Times New Roman"/>
                <w:sz w:val="2"/>
                <w:szCs w:val="24"/>
              </w:rPr>
            </w:pPr>
          </w:p>
        </w:tc>
      </w:tr>
    </w:tbl>
    <w:p w14:paraId="0C86C97B">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5.6.5.6地下水环境影响预测结果</w:t>
      </w:r>
    </w:p>
    <w:p w14:paraId="2C85F4BE">
      <w:pPr>
        <w:ind w:left="0" w:leftChars="0" w:firstLine="720" w:firstLineChars="300"/>
        <w:rPr>
          <w:rFonts w:hint="default"/>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特征因子迁移预测</w:t>
      </w:r>
    </w:p>
    <w:p w14:paraId="1F817EA0">
      <w:pPr>
        <w:ind w:left="0" w:leftChars="0" w:firstLine="720" w:firstLineChars="300"/>
        <w:rPr>
          <w:highlight w:val="yellow"/>
        </w:rPr>
      </w:pPr>
      <w:r>
        <w:rPr>
          <w:rFonts w:hint="eastAsia"/>
        </w:rPr>
        <w:t>根据预测模型，计算非正常状况下污水处理站调节池防渗层因老化产生的“跑冒滴漏”对地下水环境的影响，预测结果见下表</w:t>
      </w:r>
      <w:r>
        <w:rPr>
          <w:rFonts w:hint="eastAsia"/>
          <w:lang w:eastAsia="zh-CN"/>
        </w:rPr>
        <w:t>。</w:t>
      </w:r>
    </w:p>
    <w:p w14:paraId="1F43AC02">
      <w:pPr>
        <w:ind w:firstLine="0" w:firstLineChars="0"/>
        <w:rPr>
          <w:highlight w:val="yellow"/>
        </w:rPr>
        <w:sectPr>
          <w:footerReference r:id="rId11" w:type="default"/>
          <w:pgSz w:w="11910" w:h="16840"/>
          <w:pgMar w:top="1440" w:right="1797" w:bottom="1440" w:left="1797" w:header="851" w:footer="1134" w:gutter="0"/>
          <w:pgBorders>
            <w:top w:val="none" w:sz="0" w:space="0"/>
            <w:left w:val="none" w:sz="0" w:space="0"/>
            <w:bottom w:val="none" w:sz="0" w:space="0"/>
            <w:right w:val="none" w:sz="0" w:space="0"/>
          </w:pgBorders>
          <w:pgNumType w:fmt="decimal"/>
          <w:cols w:space="720" w:num="1"/>
          <w:docGrid w:linePitch="299" w:charSpace="0"/>
        </w:sectPr>
      </w:pPr>
    </w:p>
    <w:p w14:paraId="30D8D0A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hint="eastAsia" w:ascii="Times New Roman" w:hAnsi="Times New Roman"/>
        </w:rPr>
        <w:t>表</w:t>
      </w:r>
      <w:r>
        <w:rPr>
          <w:rFonts w:hint="eastAsia"/>
          <w:lang w:val="en-US" w:eastAsia="zh-CN"/>
        </w:rPr>
        <w:t>5.6-10</w:t>
      </w:r>
      <w:r>
        <w:rPr>
          <w:rFonts w:hint="eastAsia" w:ascii="Times New Roman" w:hAnsi="Times New Roman"/>
        </w:rPr>
        <w:t xml:space="preserve">    项目污水泄漏对区域地下水贡献值预测结果一览表    单位：mg/L</w:t>
      </w:r>
    </w:p>
    <w:tbl>
      <w:tblPr>
        <w:tblStyle w:val="39"/>
        <w:tblW w:w="4996"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521"/>
        <w:gridCol w:w="1125"/>
        <w:gridCol w:w="827"/>
        <w:gridCol w:w="961"/>
        <w:gridCol w:w="894"/>
        <w:gridCol w:w="894"/>
        <w:gridCol w:w="894"/>
        <w:gridCol w:w="894"/>
        <w:gridCol w:w="894"/>
        <w:gridCol w:w="894"/>
        <w:gridCol w:w="894"/>
        <w:gridCol w:w="894"/>
        <w:gridCol w:w="894"/>
        <w:gridCol w:w="894"/>
        <w:gridCol w:w="894"/>
        <w:gridCol w:w="897"/>
      </w:tblGrid>
      <w:tr w14:paraId="7F181C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183" w:type="pct"/>
            <w:vMerge w:val="restart"/>
            <w:noWrap w:val="0"/>
            <w:vAlign w:val="center"/>
          </w:tcPr>
          <w:p w14:paraId="1FBABE2B">
            <w:pPr>
              <w:pStyle w:val="81"/>
              <w:rPr>
                <w:rFonts w:hint="default" w:ascii="Times New Roman" w:hAnsi="Times New Roman" w:cs="Times New Roman"/>
                <w:b/>
                <w:bCs w:val="0"/>
                <w:color w:val="auto"/>
                <w:kern w:val="0"/>
                <w:sz w:val="18"/>
                <w:szCs w:val="18"/>
                <w:u w:val="none"/>
              </w:rPr>
            </w:pPr>
            <w:r>
              <w:rPr>
                <w:rFonts w:hint="default" w:ascii="Times New Roman" w:hAnsi="Times New Roman" w:cs="Times New Roman"/>
                <w:b/>
                <w:bCs w:val="0"/>
                <w:color w:val="auto"/>
                <w:kern w:val="0"/>
                <w:sz w:val="18"/>
                <w:szCs w:val="18"/>
                <w:u w:val="none"/>
              </w:rPr>
              <w:t>因子</w:t>
            </w:r>
          </w:p>
        </w:tc>
        <w:tc>
          <w:tcPr>
            <w:tcW w:w="397" w:type="pct"/>
            <w:vMerge w:val="restart"/>
            <w:tcBorders>
              <w:tl2br w:val="single" w:color="auto" w:sz="4" w:space="0"/>
            </w:tcBorders>
            <w:noWrap w:val="0"/>
            <w:vAlign w:val="center"/>
          </w:tcPr>
          <w:p w14:paraId="69286EE7">
            <w:pPr>
              <w:pStyle w:val="81"/>
              <w:jc w:val="right"/>
              <w:rPr>
                <w:rFonts w:hint="default" w:ascii="Times New Roman" w:hAnsi="Times New Roman" w:cs="Times New Roman"/>
                <w:b/>
                <w:bCs w:val="0"/>
                <w:color w:val="auto"/>
                <w:kern w:val="0"/>
                <w:sz w:val="18"/>
                <w:szCs w:val="18"/>
                <w:u w:val="none"/>
              </w:rPr>
            </w:pPr>
            <w:r>
              <w:rPr>
                <w:rFonts w:hint="default" w:ascii="Times New Roman" w:hAnsi="Times New Roman" w:cs="Times New Roman"/>
                <w:b/>
                <w:bCs w:val="0"/>
                <w:color w:val="auto"/>
                <w:kern w:val="0"/>
                <w:sz w:val="18"/>
                <w:szCs w:val="18"/>
                <w:u w:val="none"/>
              </w:rPr>
              <w:t>时间</w:t>
            </w:r>
          </w:p>
          <w:p w14:paraId="18430111">
            <w:pPr>
              <w:pStyle w:val="81"/>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cs="Times New Roman"/>
                <w:b/>
                <w:bCs w:val="0"/>
                <w:color w:val="auto"/>
                <w:kern w:val="0"/>
                <w:sz w:val="18"/>
                <w:szCs w:val="18"/>
                <w:u w:val="none"/>
              </w:rPr>
            </w:pPr>
            <w:r>
              <w:rPr>
                <w:rFonts w:hint="default" w:ascii="Times New Roman" w:hAnsi="Times New Roman" w:cs="Times New Roman"/>
                <w:b/>
                <w:bCs w:val="0"/>
                <w:color w:val="auto"/>
                <w:kern w:val="0"/>
                <w:sz w:val="18"/>
                <w:szCs w:val="18"/>
                <w:u w:val="none"/>
              </w:rPr>
              <w:t>距离(m)</w:t>
            </w:r>
          </w:p>
        </w:tc>
        <w:tc>
          <w:tcPr>
            <w:tcW w:w="4418" w:type="pct"/>
            <w:gridSpan w:val="14"/>
            <w:noWrap w:val="0"/>
            <w:vAlign w:val="center"/>
          </w:tcPr>
          <w:p w14:paraId="5C68213D">
            <w:pPr>
              <w:pStyle w:val="81"/>
              <w:rPr>
                <w:rFonts w:hint="default" w:ascii="Times New Roman" w:hAnsi="Times New Roman" w:cs="Times New Roman"/>
                <w:b/>
                <w:bCs w:val="0"/>
                <w:color w:val="auto"/>
                <w:kern w:val="0"/>
                <w:sz w:val="18"/>
                <w:szCs w:val="18"/>
                <w:u w:val="none"/>
              </w:rPr>
            </w:pPr>
            <w:r>
              <w:rPr>
                <w:rFonts w:hint="default" w:ascii="Times New Roman" w:hAnsi="Times New Roman" w:cs="Times New Roman"/>
                <w:b/>
                <w:bCs w:val="0"/>
                <w:color w:val="auto"/>
                <w:kern w:val="0"/>
                <w:sz w:val="18"/>
                <w:szCs w:val="18"/>
                <w:u w:val="none"/>
              </w:rPr>
              <w:t>泄漏停止后</w:t>
            </w:r>
          </w:p>
        </w:tc>
      </w:tr>
      <w:tr w14:paraId="004B53D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8" w:hRule="atLeast"/>
          <w:tblHeader/>
          <w:jc w:val="center"/>
        </w:trPr>
        <w:tc>
          <w:tcPr>
            <w:tcW w:w="183" w:type="pct"/>
            <w:vMerge w:val="continue"/>
            <w:noWrap w:val="0"/>
            <w:vAlign w:val="center"/>
          </w:tcPr>
          <w:p w14:paraId="62A4C087">
            <w:pPr>
              <w:pStyle w:val="81"/>
              <w:rPr>
                <w:rFonts w:hint="default" w:ascii="Times New Roman" w:hAnsi="Times New Roman" w:cs="Times New Roman"/>
                <w:b/>
                <w:bCs w:val="0"/>
                <w:color w:val="auto"/>
                <w:kern w:val="0"/>
                <w:sz w:val="18"/>
                <w:szCs w:val="18"/>
                <w:u w:val="none"/>
              </w:rPr>
            </w:pPr>
          </w:p>
        </w:tc>
        <w:tc>
          <w:tcPr>
            <w:tcW w:w="397" w:type="pct"/>
            <w:vMerge w:val="continue"/>
            <w:noWrap w:val="0"/>
            <w:vAlign w:val="center"/>
          </w:tcPr>
          <w:p w14:paraId="1E1F9FD8">
            <w:pPr>
              <w:pStyle w:val="81"/>
              <w:rPr>
                <w:rFonts w:hint="default" w:ascii="Times New Roman" w:hAnsi="Times New Roman" w:cs="Times New Roman"/>
                <w:b/>
                <w:bCs w:val="0"/>
                <w:color w:val="auto"/>
                <w:kern w:val="0"/>
                <w:sz w:val="18"/>
                <w:szCs w:val="18"/>
                <w:u w:val="none"/>
              </w:rPr>
            </w:pPr>
          </w:p>
        </w:tc>
        <w:tc>
          <w:tcPr>
            <w:tcW w:w="291" w:type="pct"/>
            <w:noWrap w:val="0"/>
            <w:vAlign w:val="center"/>
          </w:tcPr>
          <w:p w14:paraId="0517D02E">
            <w:pPr>
              <w:pStyle w:val="81"/>
              <w:ind w:firstLine="0" w:firstLineChars="0"/>
              <w:rPr>
                <w:rFonts w:hint="default" w:ascii="Times New Roman" w:hAnsi="Times New Roman" w:eastAsia="宋体" w:cs="Times New Roman"/>
                <w:b/>
                <w:bCs w:val="0"/>
                <w:color w:val="auto"/>
                <w:kern w:val="0"/>
                <w:sz w:val="18"/>
                <w:szCs w:val="18"/>
                <w:u w:val="none"/>
                <w:lang w:val="en-US" w:eastAsia="zh-CN"/>
              </w:rPr>
            </w:pPr>
            <w:r>
              <w:rPr>
                <w:rFonts w:hint="default" w:ascii="Times New Roman" w:hAnsi="Times New Roman" w:cs="Times New Roman"/>
                <w:b/>
                <w:bCs w:val="0"/>
                <w:color w:val="auto"/>
                <w:kern w:val="0"/>
                <w:sz w:val="18"/>
                <w:szCs w:val="18"/>
                <w:u w:val="none"/>
                <w:lang w:val="en-US" w:eastAsia="zh-CN"/>
              </w:rPr>
              <w:t>10d</w:t>
            </w:r>
          </w:p>
        </w:tc>
        <w:tc>
          <w:tcPr>
            <w:tcW w:w="339" w:type="pct"/>
            <w:noWrap w:val="0"/>
            <w:vAlign w:val="center"/>
          </w:tcPr>
          <w:p w14:paraId="39459AEB">
            <w:pPr>
              <w:pStyle w:val="81"/>
              <w:ind w:firstLine="0" w:firstLineChars="0"/>
              <w:rPr>
                <w:rFonts w:hint="default" w:ascii="Times New Roman" w:hAnsi="Times New Roman" w:cs="Times New Roman"/>
                <w:b/>
                <w:bCs w:val="0"/>
                <w:color w:val="auto"/>
                <w:kern w:val="0"/>
                <w:sz w:val="18"/>
                <w:szCs w:val="18"/>
                <w:u w:val="none"/>
                <w:lang w:val="en-US" w:eastAsia="zh-CN"/>
              </w:rPr>
            </w:pPr>
            <w:r>
              <w:rPr>
                <w:rFonts w:hint="default" w:ascii="Times New Roman" w:hAnsi="Times New Roman" w:cs="Times New Roman"/>
                <w:b/>
                <w:bCs w:val="0"/>
                <w:color w:val="auto"/>
                <w:kern w:val="0"/>
                <w:sz w:val="18"/>
                <w:szCs w:val="18"/>
                <w:u w:val="none"/>
                <w:lang w:val="en-US" w:eastAsia="zh-CN"/>
              </w:rPr>
              <w:t>50d</w:t>
            </w:r>
          </w:p>
        </w:tc>
        <w:tc>
          <w:tcPr>
            <w:tcW w:w="315" w:type="pct"/>
            <w:noWrap w:val="0"/>
            <w:vAlign w:val="center"/>
          </w:tcPr>
          <w:p w14:paraId="3F1979FC">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100d</w:t>
            </w:r>
          </w:p>
        </w:tc>
        <w:tc>
          <w:tcPr>
            <w:tcW w:w="315" w:type="pct"/>
            <w:noWrap w:val="0"/>
            <w:vAlign w:val="center"/>
          </w:tcPr>
          <w:p w14:paraId="4A642B9C">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200d</w:t>
            </w:r>
          </w:p>
        </w:tc>
        <w:tc>
          <w:tcPr>
            <w:tcW w:w="315" w:type="pct"/>
            <w:noWrap w:val="0"/>
            <w:vAlign w:val="center"/>
          </w:tcPr>
          <w:p w14:paraId="0F5310C2">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300d</w:t>
            </w:r>
          </w:p>
        </w:tc>
        <w:tc>
          <w:tcPr>
            <w:tcW w:w="315" w:type="pct"/>
            <w:noWrap w:val="0"/>
            <w:vAlign w:val="center"/>
          </w:tcPr>
          <w:p w14:paraId="4CC2CFBD">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400d</w:t>
            </w:r>
          </w:p>
        </w:tc>
        <w:tc>
          <w:tcPr>
            <w:tcW w:w="315" w:type="pct"/>
            <w:noWrap w:val="0"/>
            <w:vAlign w:val="center"/>
          </w:tcPr>
          <w:p w14:paraId="38FCA6B1">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500d</w:t>
            </w:r>
          </w:p>
        </w:tc>
        <w:tc>
          <w:tcPr>
            <w:tcW w:w="315" w:type="pct"/>
            <w:noWrap w:val="0"/>
            <w:vAlign w:val="center"/>
          </w:tcPr>
          <w:p w14:paraId="49D4CB72">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1000d</w:t>
            </w:r>
          </w:p>
        </w:tc>
        <w:tc>
          <w:tcPr>
            <w:tcW w:w="315" w:type="pct"/>
            <w:noWrap w:val="0"/>
            <w:vAlign w:val="center"/>
          </w:tcPr>
          <w:p w14:paraId="656949B6">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1500d</w:t>
            </w:r>
          </w:p>
        </w:tc>
        <w:tc>
          <w:tcPr>
            <w:tcW w:w="315" w:type="pct"/>
            <w:noWrap w:val="0"/>
            <w:vAlign w:val="center"/>
          </w:tcPr>
          <w:p w14:paraId="42FD2734">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2000d</w:t>
            </w:r>
          </w:p>
        </w:tc>
        <w:tc>
          <w:tcPr>
            <w:tcW w:w="315" w:type="pct"/>
            <w:noWrap w:val="0"/>
            <w:vAlign w:val="center"/>
          </w:tcPr>
          <w:p w14:paraId="1EB4EA59">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lang w:val="en-US" w:eastAsia="zh-CN"/>
              </w:rPr>
              <w:t>2</w:t>
            </w:r>
            <w:r>
              <w:rPr>
                <w:rFonts w:hint="default" w:ascii="Times New Roman" w:hAnsi="Times New Roman" w:cs="Times New Roman"/>
                <w:b/>
                <w:bCs w:val="0"/>
                <w:color w:val="auto"/>
                <w:kern w:val="0"/>
                <w:sz w:val="18"/>
                <w:szCs w:val="18"/>
                <w:u w:val="none"/>
              </w:rPr>
              <w:t>500d</w:t>
            </w:r>
          </w:p>
        </w:tc>
        <w:tc>
          <w:tcPr>
            <w:tcW w:w="315" w:type="pct"/>
            <w:noWrap w:val="0"/>
            <w:vAlign w:val="center"/>
          </w:tcPr>
          <w:p w14:paraId="6D50EFEA">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lang w:val="en-US" w:eastAsia="zh-CN"/>
              </w:rPr>
              <w:t>3</w:t>
            </w:r>
            <w:r>
              <w:rPr>
                <w:rFonts w:hint="default" w:ascii="Times New Roman" w:hAnsi="Times New Roman" w:cs="Times New Roman"/>
                <w:b/>
                <w:bCs w:val="0"/>
                <w:color w:val="auto"/>
                <w:kern w:val="0"/>
                <w:sz w:val="18"/>
                <w:szCs w:val="18"/>
                <w:u w:val="none"/>
              </w:rPr>
              <w:t>000d</w:t>
            </w:r>
          </w:p>
        </w:tc>
        <w:tc>
          <w:tcPr>
            <w:tcW w:w="315" w:type="pct"/>
            <w:noWrap w:val="0"/>
            <w:vAlign w:val="center"/>
          </w:tcPr>
          <w:p w14:paraId="50701D33">
            <w:pPr>
              <w:pStyle w:val="81"/>
              <w:ind w:firstLine="0" w:firstLineChars="0"/>
              <w:rPr>
                <w:rFonts w:hint="default" w:ascii="Times New Roman" w:hAnsi="Times New Roman" w:eastAsia="宋体" w:cs="Times New Roman"/>
                <w:b/>
                <w:bCs w:val="0"/>
                <w:color w:val="auto"/>
                <w:kern w:val="0"/>
                <w:sz w:val="18"/>
                <w:szCs w:val="18"/>
                <w:u w:val="none"/>
                <w:lang w:val="en-US" w:eastAsia="zh-CN" w:bidi="ar-SA"/>
              </w:rPr>
            </w:pPr>
            <w:r>
              <w:rPr>
                <w:rFonts w:hint="default" w:ascii="Times New Roman" w:hAnsi="Times New Roman" w:cs="Times New Roman"/>
                <w:b/>
                <w:bCs w:val="0"/>
                <w:color w:val="auto"/>
                <w:kern w:val="0"/>
                <w:sz w:val="18"/>
                <w:szCs w:val="18"/>
                <w:u w:val="none"/>
              </w:rPr>
              <w:t>10年</w:t>
            </w:r>
          </w:p>
        </w:tc>
        <w:tc>
          <w:tcPr>
            <w:tcW w:w="316" w:type="pct"/>
            <w:noWrap w:val="0"/>
            <w:vAlign w:val="center"/>
          </w:tcPr>
          <w:p w14:paraId="6640CCAB">
            <w:pPr>
              <w:pStyle w:val="81"/>
              <w:rPr>
                <w:rFonts w:hint="default" w:ascii="Times New Roman" w:hAnsi="Times New Roman" w:cs="Times New Roman"/>
                <w:b/>
                <w:bCs w:val="0"/>
                <w:color w:val="auto"/>
                <w:kern w:val="0"/>
                <w:sz w:val="18"/>
                <w:szCs w:val="18"/>
                <w:u w:val="none"/>
              </w:rPr>
            </w:pPr>
            <w:r>
              <w:rPr>
                <w:rFonts w:hint="default" w:ascii="Times New Roman" w:hAnsi="Times New Roman" w:cs="Times New Roman"/>
                <w:b/>
                <w:bCs w:val="0"/>
                <w:color w:val="auto"/>
                <w:kern w:val="0"/>
                <w:sz w:val="18"/>
                <w:szCs w:val="18"/>
                <w:u w:val="none"/>
              </w:rPr>
              <w:t>20年</w:t>
            </w:r>
          </w:p>
        </w:tc>
      </w:tr>
      <w:tr w14:paraId="43E916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restart"/>
            <w:noWrap w:val="0"/>
            <w:vAlign w:val="center"/>
          </w:tcPr>
          <w:p w14:paraId="4F733960">
            <w:pPr>
              <w:pStyle w:val="75"/>
              <w:rPr>
                <w:rFonts w:hint="default" w:ascii="Times New Roman" w:hAnsi="Times New Roman" w:eastAsia="宋体" w:cs="Times New Roman"/>
                <w:b w:val="0"/>
                <w:bCs/>
                <w:sz w:val="18"/>
                <w:szCs w:val="18"/>
                <w:u w:val="none"/>
                <w:lang w:val="en-US" w:eastAsia="zh-CN"/>
              </w:rPr>
            </w:pPr>
            <w:r>
              <w:rPr>
                <w:rFonts w:hint="default" w:ascii="Times New Roman" w:hAnsi="Times New Roman" w:cs="Times New Roman"/>
                <w:b/>
                <w:bCs w:val="0"/>
                <w:sz w:val="18"/>
                <w:szCs w:val="18"/>
                <w:u w:val="none"/>
                <w:lang w:val="en-US" w:eastAsia="zh-CN"/>
              </w:rPr>
              <w:t>镍</w:t>
            </w:r>
          </w:p>
        </w:tc>
        <w:tc>
          <w:tcPr>
            <w:tcW w:w="397" w:type="pct"/>
            <w:noWrap w:val="0"/>
            <w:vAlign w:val="center"/>
          </w:tcPr>
          <w:p w14:paraId="2CE27E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1</w:t>
            </w:r>
          </w:p>
        </w:tc>
        <w:tc>
          <w:tcPr>
            <w:tcW w:w="291" w:type="pct"/>
            <w:noWrap w:val="0"/>
            <w:vAlign w:val="center"/>
          </w:tcPr>
          <w:p w14:paraId="3FE62C74">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0.1748</w:t>
            </w:r>
          </w:p>
        </w:tc>
        <w:tc>
          <w:tcPr>
            <w:tcW w:w="339" w:type="pct"/>
            <w:noWrap w:val="0"/>
            <w:vAlign w:val="center"/>
          </w:tcPr>
          <w:p w14:paraId="4BDDD825">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46.254</w:t>
            </w:r>
          </w:p>
        </w:tc>
        <w:tc>
          <w:tcPr>
            <w:tcW w:w="315" w:type="pct"/>
            <w:noWrap w:val="0"/>
            <w:vAlign w:val="center"/>
          </w:tcPr>
          <w:p w14:paraId="53CA8118">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101.921</w:t>
            </w:r>
          </w:p>
        </w:tc>
        <w:tc>
          <w:tcPr>
            <w:tcW w:w="315" w:type="pct"/>
            <w:noWrap w:val="0"/>
            <w:vAlign w:val="center"/>
          </w:tcPr>
          <w:p w14:paraId="06FF692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154.5346</w:t>
            </w:r>
          </w:p>
        </w:tc>
        <w:tc>
          <w:tcPr>
            <w:tcW w:w="315" w:type="pct"/>
            <w:noWrap w:val="0"/>
            <w:vAlign w:val="center"/>
          </w:tcPr>
          <w:p w14:paraId="04132052">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177.1178</w:t>
            </w:r>
          </w:p>
        </w:tc>
        <w:tc>
          <w:tcPr>
            <w:tcW w:w="315" w:type="pct"/>
            <w:noWrap w:val="0"/>
            <w:vAlign w:val="center"/>
          </w:tcPr>
          <w:p w14:paraId="58D2587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148.0779</w:t>
            </w:r>
          </w:p>
        </w:tc>
        <w:tc>
          <w:tcPr>
            <w:tcW w:w="315" w:type="pct"/>
            <w:noWrap w:val="0"/>
            <w:vAlign w:val="center"/>
          </w:tcPr>
          <w:p w14:paraId="75C3644D">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85.67276</w:t>
            </w:r>
          </w:p>
        </w:tc>
        <w:tc>
          <w:tcPr>
            <w:tcW w:w="315" w:type="pct"/>
            <w:noWrap w:val="0"/>
            <w:vAlign w:val="center"/>
          </w:tcPr>
          <w:p w14:paraId="239AC8B4">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14.0133</w:t>
            </w:r>
          </w:p>
        </w:tc>
        <w:tc>
          <w:tcPr>
            <w:tcW w:w="315" w:type="pct"/>
            <w:noWrap w:val="0"/>
            <w:vAlign w:val="center"/>
          </w:tcPr>
          <w:p w14:paraId="07DE5EA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3</w:t>
            </w:r>
            <w:r>
              <w:rPr>
                <w:rFonts w:hint="default" w:ascii="Times New Roman" w:hAnsi="Times New Roman" w:eastAsia="宋体" w:cs="Times New Roman"/>
                <w:b w:val="0"/>
                <w:bCs/>
                <w:sz w:val="18"/>
                <w:szCs w:val="18"/>
                <w:u w:val="none"/>
                <w:lang w:val="en-US" w:eastAsia="zh-CN"/>
              </w:rPr>
              <w:t>.4071</w:t>
            </w:r>
          </w:p>
        </w:tc>
        <w:tc>
          <w:tcPr>
            <w:tcW w:w="315" w:type="pct"/>
            <w:noWrap w:val="0"/>
            <w:vAlign w:val="center"/>
          </w:tcPr>
          <w:p w14:paraId="4D2A756D">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0.9203</w:t>
            </w:r>
          </w:p>
        </w:tc>
        <w:tc>
          <w:tcPr>
            <w:tcW w:w="315" w:type="pct"/>
            <w:noWrap w:val="0"/>
            <w:vAlign w:val="center"/>
          </w:tcPr>
          <w:p w14:paraId="4D2A0DE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0.2611</w:t>
            </w:r>
          </w:p>
        </w:tc>
        <w:tc>
          <w:tcPr>
            <w:tcW w:w="315" w:type="pct"/>
            <w:noWrap w:val="0"/>
            <w:vAlign w:val="center"/>
          </w:tcPr>
          <w:p w14:paraId="46CB5161">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0.07623</w:t>
            </w:r>
          </w:p>
        </w:tc>
        <w:tc>
          <w:tcPr>
            <w:tcW w:w="315" w:type="pct"/>
            <w:noWrap w:val="0"/>
            <w:vAlign w:val="center"/>
          </w:tcPr>
          <w:p w14:paraId="09FF7E15">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0.01580</w:t>
            </w:r>
          </w:p>
        </w:tc>
        <w:tc>
          <w:tcPr>
            <w:tcW w:w="316" w:type="pct"/>
            <w:noWrap w:val="0"/>
            <w:vAlign w:val="center"/>
          </w:tcPr>
          <w:p w14:paraId="5CD44805">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2.94762E-06</w:t>
            </w:r>
          </w:p>
        </w:tc>
      </w:tr>
      <w:tr w14:paraId="385228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1B35A030">
            <w:pPr>
              <w:pStyle w:val="75"/>
              <w:rPr>
                <w:rFonts w:hint="default" w:ascii="Times New Roman" w:hAnsi="Times New Roman" w:cs="Times New Roman"/>
                <w:b w:val="0"/>
                <w:bCs/>
                <w:sz w:val="18"/>
                <w:szCs w:val="18"/>
                <w:u w:val="none"/>
              </w:rPr>
            </w:pPr>
          </w:p>
        </w:tc>
        <w:tc>
          <w:tcPr>
            <w:tcW w:w="397" w:type="pct"/>
            <w:noWrap w:val="0"/>
            <w:vAlign w:val="center"/>
          </w:tcPr>
          <w:p w14:paraId="7F2108D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2</w:t>
            </w:r>
          </w:p>
        </w:tc>
        <w:tc>
          <w:tcPr>
            <w:tcW w:w="291" w:type="pct"/>
            <w:noWrap w:val="0"/>
            <w:vAlign w:val="center"/>
          </w:tcPr>
          <w:p w14:paraId="40395F5C">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6765A460">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1.3185</w:t>
            </w:r>
          </w:p>
        </w:tc>
        <w:tc>
          <w:tcPr>
            <w:tcW w:w="315" w:type="pct"/>
            <w:noWrap w:val="0"/>
            <w:vAlign w:val="center"/>
          </w:tcPr>
          <w:p w14:paraId="21EAFDC6">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19.7528</w:t>
            </w:r>
          </w:p>
        </w:tc>
        <w:tc>
          <w:tcPr>
            <w:tcW w:w="315" w:type="pct"/>
            <w:noWrap w:val="0"/>
            <w:vAlign w:val="center"/>
          </w:tcPr>
          <w:p w14:paraId="6C844A0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78.2778</w:t>
            </w:r>
          </w:p>
        </w:tc>
        <w:tc>
          <w:tcPr>
            <w:tcW w:w="315" w:type="pct"/>
            <w:noWrap w:val="0"/>
            <w:vAlign w:val="center"/>
          </w:tcPr>
          <w:p w14:paraId="3888EF11">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122.3286</w:t>
            </w:r>
          </w:p>
        </w:tc>
        <w:tc>
          <w:tcPr>
            <w:tcW w:w="315" w:type="pct"/>
            <w:noWrap w:val="0"/>
            <w:vAlign w:val="center"/>
          </w:tcPr>
          <w:p w14:paraId="6089B6B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w:t>
            </w:r>
            <w:r>
              <w:rPr>
                <w:rFonts w:hint="default" w:ascii="Times New Roman" w:hAnsi="Times New Roman" w:eastAsia="宋体" w:cs="Times New Roman"/>
                <w:b w:val="0"/>
                <w:bCs/>
                <w:sz w:val="18"/>
                <w:szCs w:val="18"/>
                <w:u w:val="none"/>
                <w:lang w:val="en-US" w:eastAsia="zh-CN"/>
              </w:rPr>
              <w:t>21.7387</w:t>
            </w:r>
          </w:p>
        </w:tc>
        <w:tc>
          <w:tcPr>
            <w:tcW w:w="315" w:type="pct"/>
            <w:noWrap w:val="0"/>
            <w:vAlign w:val="center"/>
          </w:tcPr>
          <w:p w14:paraId="5A3E7EBB">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117.0324</w:t>
            </w:r>
          </w:p>
        </w:tc>
        <w:tc>
          <w:tcPr>
            <w:tcW w:w="315" w:type="pct"/>
            <w:noWrap w:val="0"/>
            <w:vAlign w:val="center"/>
          </w:tcPr>
          <w:p w14:paraId="4F5B0AB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27.3904</w:t>
            </w:r>
          </w:p>
        </w:tc>
        <w:tc>
          <w:tcPr>
            <w:tcW w:w="315" w:type="pct"/>
            <w:noWrap w:val="0"/>
            <w:vAlign w:val="center"/>
          </w:tcPr>
          <w:p w14:paraId="0B1D321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6.9473</w:t>
            </w:r>
          </w:p>
        </w:tc>
        <w:tc>
          <w:tcPr>
            <w:tcW w:w="315" w:type="pct"/>
            <w:noWrap w:val="0"/>
            <w:vAlign w:val="center"/>
          </w:tcPr>
          <w:p w14:paraId="255775A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1.9038</w:t>
            </w:r>
          </w:p>
        </w:tc>
        <w:tc>
          <w:tcPr>
            <w:tcW w:w="315" w:type="pct"/>
            <w:noWrap w:val="0"/>
            <w:vAlign w:val="center"/>
          </w:tcPr>
          <w:p w14:paraId="79120320">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0.543</w:t>
            </w:r>
            <w:r>
              <w:rPr>
                <w:rFonts w:hint="eastAsia" w:ascii="Times New Roman" w:hAnsi="Times New Roman" w:eastAsia="宋体" w:cs="Times New Roman"/>
                <w:b w:val="0"/>
                <w:bCs/>
                <w:sz w:val="18"/>
                <w:szCs w:val="18"/>
                <w:u w:val="none"/>
                <w:lang w:val="en-US" w:eastAsia="zh-CN"/>
              </w:rPr>
              <w:t>9</w:t>
            </w:r>
          </w:p>
        </w:tc>
        <w:tc>
          <w:tcPr>
            <w:tcW w:w="315" w:type="pct"/>
            <w:noWrap w:val="0"/>
            <w:vAlign w:val="center"/>
          </w:tcPr>
          <w:p w14:paraId="323D2AEE">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0.159</w:t>
            </w:r>
            <w:r>
              <w:rPr>
                <w:rFonts w:hint="eastAsia" w:ascii="Times New Roman" w:hAnsi="Times New Roman" w:eastAsia="宋体" w:cs="Times New Roman"/>
                <w:b w:val="0"/>
                <w:bCs/>
                <w:sz w:val="18"/>
                <w:szCs w:val="18"/>
                <w:u w:val="none"/>
                <w:lang w:val="en-US" w:eastAsia="zh-CN"/>
              </w:rPr>
              <w:t>4</w:t>
            </w:r>
          </w:p>
        </w:tc>
        <w:tc>
          <w:tcPr>
            <w:tcW w:w="315" w:type="pct"/>
            <w:noWrap w:val="0"/>
            <w:vAlign w:val="center"/>
          </w:tcPr>
          <w:p w14:paraId="6361C24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0.03314</w:t>
            </w:r>
          </w:p>
        </w:tc>
        <w:tc>
          <w:tcPr>
            <w:tcW w:w="316" w:type="pct"/>
            <w:noWrap w:val="0"/>
            <w:vAlign w:val="center"/>
          </w:tcPr>
          <w:p w14:paraId="0BFF2F3D">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6.215308E-06</w:t>
            </w:r>
          </w:p>
        </w:tc>
      </w:tr>
      <w:tr w14:paraId="32502F4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2FA2854C">
            <w:pPr>
              <w:pStyle w:val="75"/>
              <w:rPr>
                <w:rFonts w:hint="default" w:ascii="Times New Roman" w:hAnsi="Times New Roman" w:cs="Times New Roman"/>
                <w:b w:val="0"/>
                <w:bCs/>
                <w:sz w:val="18"/>
                <w:szCs w:val="18"/>
                <w:u w:val="none"/>
              </w:rPr>
            </w:pPr>
          </w:p>
        </w:tc>
        <w:tc>
          <w:tcPr>
            <w:tcW w:w="397" w:type="pct"/>
            <w:noWrap w:val="0"/>
            <w:vAlign w:val="center"/>
          </w:tcPr>
          <w:p w14:paraId="68005FD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5</w:t>
            </w:r>
          </w:p>
        </w:tc>
        <w:tc>
          <w:tcPr>
            <w:tcW w:w="291" w:type="pct"/>
            <w:noWrap w:val="0"/>
            <w:vAlign w:val="center"/>
          </w:tcPr>
          <w:p w14:paraId="1BA191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7ABDE932">
            <w:pPr>
              <w:keepNext w:val="0"/>
              <w:keepLines w:val="0"/>
              <w:pageBreakBefore w:val="0"/>
              <w:kinsoku/>
              <w:wordWrap/>
              <w:overflowPunct/>
              <w:topLinePunct w:val="0"/>
              <w:autoSpaceDE/>
              <w:autoSpaceDN/>
              <w:bidi w:val="0"/>
              <w:adjustRightInd w:val="0"/>
              <w:snapToGrid w:val="0"/>
              <w:spacing w:line="240" w:lineRule="auto"/>
              <w:ind w:firstLine="360" w:firstLineChars="20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4805C6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0.00016</w:t>
            </w:r>
          </w:p>
        </w:tc>
        <w:tc>
          <w:tcPr>
            <w:tcW w:w="315" w:type="pct"/>
            <w:noWrap w:val="0"/>
            <w:vAlign w:val="center"/>
          </w:tcPr>
          <w:p w14:paraId="72C280E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0.4539</w:t>
            </w:r>
          </w:p>
        </w:tc>
        <w:tc>
          <w:tcPr>
            <w:tcW w:w="315" w:type="pct"/>
            <w:noWrap w:val="0"/>
            <w:vAlign w:val="center"/>
          </w:tcPr>
          <w:p w14:paraId="1AC64DFC">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6.1516</w:t>
            </w:r>
          </w:p>
        </w:tc>
        <w:tc>
          <w:tcPr>
            <w:tcW w:w="315" w:type="pct"/>
            <w:noWrap w:val="0"/>
            <w:vAlign w:val="center"/>
          </w:tcPr>
          <w:p w14:paraId="71FF7E5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w:t>
            </w:r>
            <w:r>
              <w:rPr>
                <w:rFonts w:hint="default" w:ascii="Times New Roman" w:hAnsi="Times New Roman" w:eastAsia="宋体" w:cs="Times New Roman"/>
                <w:b w:val="0"/>
                <w:bCs/>
                <w:sz w:val="18"/>
                <w:szCs w:val="18"/>
                <w:u w:val="none"/>
                <w:lang w:val="en-US" w:eastAsia="zh-CN"/>
              </w:rPr>
              <w:t>5.1214</w:t>
            </w:r>
          </w:p>
        </w:tc>
        <w:tc>
          <w:tcPr>
            <w:tcW w:w="315" w:type="pct"/>
            <w:noWrap w:val="0"/>
            <w:vAlign w:val="center"/>
          </w:tcPr>
          <w:p w14:paraId="15109E2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32.8359</w:t>
            </w:r>
          </w:p>
        </w:tc>
        <w:tc>
          <w:tcPr>
            <w:tcW w:w="315" w:type="pct"/>
            <w:noWrap w:val="0"/>
            <w:vAlign w:val="center"/>
          </w:tcPr>
          <w:p w14:paraId="0EC5AB57">
            <w:pPr>
              <w:pStyle w:val="75"/>
              <w:keepNext w:val="0"/>
              <w:keepLines w:val="0"/>
              <w:pageBreakBefore w:val="0"/>
              <w:kinsoku/>
              <w:wordWrap/>
              <w:overflowPunct/>
              <w:topLinePunct w:val="0"/>
              <w:autoSpaceDE/>
              <w:autoSpaceDN/>
              <w:bidi w:val="0"/>
              <w:adjustRightInd w:val="0"/>
              <w:snapToGrid w:val="0"/>
              <w:ind w:firstLine="0" w:firstLineChars="0"/>
              <w:jc w:val="both"/>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70.2569</w:t>
            </w:r>
          </w:p>
        </w:tc>
        <w:tc>
          <w:tcPr>
            <w:tcW w:w="315" w:type="pct"/>
            <w:noWrap w:val="0"/>
            <w:vAlign w:val="center"/>
          </w:tcPr>
          <w:p w14:paraId="62D99AD1">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31.0341</w:t>
            </w:r>
          </w:p>
        </w:tc>
        <w:tc>
          <w:tcPr>
            <w:tcW w:w="315" w:type="pct"/>
            <w:noWrap w:val="0"/>
            <w:vAlign w:val="center"/>
          </w:tcPr>
          <w:p w14:paraId="7D6AA249">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10.7030</w:t>
            </w:r>
          </w:p>
        </w:tc>
        <w:tc>
          <w:tcPr>
            <w:tcW w:w="315" w:type="pct"/>
            <w:noWrap w:val="0"/>
            <w:vAlign w:val="center"/>
          </w:tcPr>
          <w:p w14:paraId="5C7355F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3.461</w:t>
            </w:r>
            <w:r>
              <w:rPr>
                <w:rFonts w:hint="eastAsia" w:ascii="Times New Roman" w:hAnsi="Times New Roman" w:eastAsia="宋体" w:cs="Times New Roman"/>
                <w:b w:val="0"/>
                <w:bCs/>
                <w:sz w:val="18"/>
                <w:szCs w:val="18"/>
                <w:u w:val="none"/>
                <w:lang w:val="en-US" w:eastAsia="zh-CN"/>
              </w:rPr>
              <w:t>3</w:t>
            </w:r>
          </w:p>
        </w:tc>
        <w:tc>
          <w:tcPr>
            <w:tcW w:w="315" w:type="pct"/>
            <w:noWrap w:val="0"/>
            <w:vAlign w:val="center"/>
          </w:tcPr>
          <w:p w14:paraId="66249CC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1.0956</w:t>
            </w:r>
          </w:p>
        </w:tc>
        <w:tc>
          <w:tcPr>
            <w:tcW w:w="315" w:type="pct"/>
            <w:noWrap w:val="0"/>
            <w:vAlign w:val="center"/>
          </w:tcPr>
          <w:p w14:paraId="2D3FFBAD">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r>
              <w:rPr>
                <w:rFonts w:hint="default" w:ascii="Times New Roman" w:hAnsi="Times New Roman" w:eastAsia="宋体" w:cs="Times New Roman"/>
                <w:b w:val="0"/>
                <w:bCs/>
                <w:sz w:val="18"/>
                <w:szCs w:val="18"/>
                <w:u w:val="none"/>
                <w:lang w:val="en-US" w:eastAsia="zh-CN"/>
              </w:rPr>
              <w:t>.243</w:t>
            </w:r>
            <w:r>
              <w:rPr>
                <w:rFonts w:hint="eastAsia" w:ascii="Times New Roman" w:hAnsi="Times New Roman" w:eastAsia="宋体" w:cs="Times New Roman"/>
                <w:b w:val="0"/>
                <w:bCs/>
                <w:sz w:val="18"/>
                <w:szCs w:val="18"/>
                <w:u w:val="none"/>
                <w:lang w:val="en-US" w:eastAsia="zh-CN"/>
              </w:rPr>
              <w:t>1</w:t>
            </w:r>
          </w:p>
        </w:tc>
        <w:tc>
          <w:tcPr>
            <w:tcW w:w="316" w:type="pct"/>
            <w:noWrap w:val="0"/>
            <w:vAlign w:val="center"/>
          </w:tcPr>
          <w:p w14:paraId="4BA752C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5.227167E-05</w:t>
            </w:r>
          </w:p>
        </w:tc>
      </w:tr>
      <w:tr w14:paraId="18C0DB0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1CCA1D59">
            <w:pPr>
              <w:pStyle w:val="75"/>
              <w:rPr>
                <w:rFonts w:hint="default" w:ascii="Times New Roman" w:hAnsi="Times New Roman" w:cs="Times New Roman"/>
                <w:b w:val="0"/>
                <w:bCs/>
                <w:sz w:val="18"/>
                <w:szCs w:val="18"/>
                <w:u w:val="none"/>
              </w:rPr>
            </w:pPr>
          </w:p>
        </w:tc>
        <w:tc>
          <w:tcPr>
            <w:tcW w:w="397" w:type="pct"/>
            <w:noWrap w:val="0"/>
            <w:vAlign w:val="center"/>
          </w:tcPr>
          <w:p w14:paraId="389F641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10</w:t>
            </w:r>
          </w:p>
        </w:tc>
        <w:tc>
          <w:tcPr>
            <w:tcW w:w="291" w:type="pct"/>
            <w:noWrap w:val="0"/>
            <w:vAlign w:val="center"/>
          </w:tcPr>
          <w:p w14:paraId="6CCF24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3CA507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77680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B6FD0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B2611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36F2B2A">
            <w:pPr>
              <w:pStyle w:val="75"/>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0.00223</w:t>
            </w:r>
          </w:p>
        </w:tc>
        <w:tc>
          <w:tcPr>
            <w:tcW w:w="315" w:type="pct"/>
            <w:noWrap w:val="0"/>
            <w:vAlign w:val="center"/>
          </w:tcPr>
          <w:p w14:paraId="296A9137">
            <w:pPr>
              <w:pStyle w:val="75"/>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0.04816</w:t>
            </w:r>
          </w:p>
        </w:tc>
        <w:tc>
          <w:tcPr>
            <w:tcW w:w="315" w:type="pct"/>
            <w:noWrap w:val="0"/>
            <w:vAlign w:val="center"/>
          </w:tcPr>
          <w:p w14:paraId="4EE93EEF">
            <w:pPr>
              <w:pStyle w:val="75"/>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15.65679</w:t>
            </w:r>
          </w:p>
        </w:tc>
        <w:tc>
          <w:tcPr>
            <w:tcW w:w="315" w:type="pct"/>
            <w:noWrap w:val="0"/>
            <w:vAlign w:val="center"/>
          </w:tcPr>
          <w:p w14:paraId="292B203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49.9973</w:t>
            </w:r>
          </w:p>
        </w:tc>
        <w:tc>
          <w:tcPr>
            <w:tcW w:w="315" w:type="pct"/>
            <w:noWrap w:val="0"/>
            <w:vAlign w:val="center"/>
          </w:tcPr>
          <w:p w14:paraId="7894B9E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4</w:t>
            </w:r>
            <w:r>
              <w:rPr>
                <w:rFonts w:hint="default" w:ascii="Times New Roman" w:hAnsi="Times New Roman" w:eastAsia="宋体" w:cs="Times New Roman"/>
                <w:b w:val="0"/>
                <w:bCs/>
                <w:sz w:val="18"/>
                <w:szCs w:val="18"/>
                <w:u w:val="none"/>
                <w:lang w:val="en-US" w:eastAsia="zh-CN"/>
              </w:rPr>
              <w:t>3.9691</w:t>
            </w:r>
          </w:p>
        </w:tc>
        <w:tc>
          <w:tcPr>
            <w:tcW w:w="315" w:type="pct"/>
            <w:noWrap w:val="0"/>
            <w:vAlign w:val="center"/>
          </w:tcPr>
          <w:p w14:paraId="7CFBC69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24.115</w:t>
            </w:r>
          </w:p>
        </w:tc>
        <w:tc>
          <w:tcPr>
            <w:tcW w:w="315" w:type="pct"/>
            <w:noWrap w:val="0"/>
            <w:vAlign w:val="center"/>
          </w:tcPr>
          <w:p w14:paraId="776DA5F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10.6857</w:t>
            </w:r>
          </w:p>
        </w:tc>
        <w:tc>
          <w:tcPr>
            <w:tcW w:w="315" w:type="pct"/>
            <w:noWrap w:val="0"/>
            <w:vAlign w:val="center"/>
          </w:tcPr>
          <w:p w14:paraId="624CDC3B">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3.162</w:t>
            </w:r>
            <w:r>
              <w:rPr>
                <w:rFonts w:hint="eastAsia" w:ascii="Times New Roman" w:hAnsi="Times New Roman" w:eastAsia="宋体" w:cs="Times New Roman"/>
                <w:b w:val="0"/>
                <w:bCs/>
                <w:sz w:val="18"/>
                <w:szCs w:val="18"/>
                <w:u w:val="none"/>
                <w:lang w:val="en-US" w:eastAsia="zh-CN"/>
              </w:rPr>
              <w:t>8</w:t>
            </w:r>
          </w:p>
        </w:tc>
        <w:tc>
          <w:tcPr>
            <w:tcW w:w="316" w:type="pct"/>
            <w:noWrap w:val="0"/>
            <w:vAlign w:val="center"/>
          </w:tcPr>
          <w:p w14:paraId="4B0AFF84">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0.0012</w:t>
            </w:r>
            <w:r>
              <w:rPr>
                <w:rFonts w:hint="eastAsia" w:ascii="Times New Roman" w:hAnsi="Times New Roman" w:eastAsia="宋体" w:cs="Times New Roman"/>
                <w:b w:val="0"/>
                <w:bCs/>
                <w:sz w:val="18"/>
                <w:szCs w:val="18"/>
                <w:u w:val="none"/>
                <w:lang w:val="en-US" w:eastAsia="zh-CN"/>
              </w:rPr>
              <w:t>7</w:t>
            </w:r>
          </w:p>
        </w:tc>
      </w:tr>
      <w:tr w14:paraId="61E77A7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031A22D6">
            <w:pPr>
              <w:pStyle w:val="75"/>
              <w:rPr>
                <w:rFonts w:hint="default" w:ascii="Times New Roman" w:hAnsi="Times New Roman" w:cs="Times New Roman"/>
                <w:b w:val="0"/>
                <w:bCs/>
                <w:sz w:val="18"/>
                <w:szCs w:val="18"/>
                <w:u w:val="none"/>
              </w:rPr>
            </w:pPr>
          </w:p>
        </w:tc>
        <w:tc>
          <w:tcPr>
            <w:tcW w:w="397" w:type="pct"/>
            <w:noWrap w:val="0"/>
            <w:vAlign w:val="center"/>
          </w:tcPr>
          <w:p w14:paraId="6D70CF0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15</w:t>
            </w:r>
          </w:p>
        </w:tc>
        <w:tc>
          <w:tcPr>
            <w:tcW w:w="291" w:type="pct"/>
            <w:noWrap w:val="0"/>
            <w:vAlign w:val="center"/>
          </w:tcPr>
          <w:p w14:paraId="3DB2A3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41C23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28FA3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A211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BFBA3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074FB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E26A8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37CCB40">
            <w:pPr>
              <w:pStyle w:val="75"/>
              <w:keepNext w:val="0"/>
              <w:keepLines w:val="0"/>
              <w:pageBreakBefore w:val="0"/>
              <w:widowControl w:val="0"/>
              <w:kinsoku/>
              <w:wordWrap/>
              <w:overflowPunct/>
              <w:topLinePunct w:val="0"/>
              <w:autoSpaceDE/>
              <w:autoSpaceDN/>
              <w:bidi w:val="0"/>
              <w:adjustRightInd w:val="0"/>
              <w:snapToGrid w:val="0"/>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0.15133</w:t>
            </w:r>
          </w:p>
        </w:tc>
        <w:tc>
          <w:tcPr>
            <w:tcW w:w="315" w:type="pct"/>
            <w:noWrap w:val="0"/>
            <w:vAlign w:val="center"/>
          </w:tcPr>
          <w:p w14:paraId="47CF4CC5">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7.9379</w:t>
            </w:r>
          </w:p>
        </w:tc>
        <w:tc>
          <w:tcPr>
            <w:tcW w:w="315" w:type="pct"/>
            <w:noWrap w:val="0"/>
            <w:vAlign w:val="center"/>
          </w:tcPr>
          <w:p w14:paraId="3B8628D8">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31.254</w:t>
            </w:r>
            <w:r>
              <w:rPr>
                <w:rFonts w:hint="eastAsia" w:ascii="Times New Roman" w:hAnsi="Times New Roman" w:eastAsia="宋体" w:cs="Times New Roman"/>
                <w:b w:val="0"/>
                <w:bCs/>
                <w:sz w:val="18"/>
                <w:szCs w:val="18"/>
                <w:u w:val="none"/>
                <w:lang w:val="en-US" w:eastAsia="zh-CN"/>
              </w:rPr>
              <w:t>8</w:t>
            </w:r>
          </w:p>
        </w:tc>
        <w:tc>
          <w:tcPr>
            <w:tcW w:w="315" w:type="pct"/>
            <w:noWrap w:val="0"/>
            <w:vAlign w:val="center"/>
          </w:tcPr>
          <w:p w14:paraId="4BB39062">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41.79</w:t>
            </w:r>
            <w:r>
              <w:rPr>
                <w:rFonts w:hint="eastAsia" w:ascii="Times New Roman" w:hAnsi="Times New Roman" w:eastAsia="宋体" w:cs="Times New Roman"/>
                <w:b w:val="0"/>
                <w:bCs/>
                <w:sz w:val="18"/>
                <w:szCs w:val="18"/>
                <w:u w:val="none"/>
                <w:lang w:val="en-US" w:eastAsia="zh-CN"/>
              </w:rPr>
              <w:t>6</w:t>
            </w:r>
          </w:p>
        </w:tc>
        <w:tc>
          <w:tcPr>
            <w:tcW w:w="315" w:type="pct"/>
            <w:noWrap w:val="0"/>
            <w:vAlign w:val="center"/>
          </w:tcPr>
          <w:p w14:paraId="0367442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33.0860</w:t>
            </w:r>
          </w:p>
        </w:tc>
        <w:tc>
          <w:tcPr>
            <w:tcW w:w="315" w:type="pct"/>
            <w:noWrap w:val="0"/>
            <w:vAlign w:val="center"/>
          </w:tcPr>
          <w:p w14:paraId="49ED6CD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16.205</w:t>
            </w:r>
            <w:r>
              <w:rPr>
                <w:rFonts w:hint="eastAsia" w:ascii="Times New Roman" w:hAnsi="Times New Roman" w:eastAsia="宋体" w:cs="Times New Roman"/>
                <w:b w:val="0"/>
                <w:bCs/>
                <w:sz w:val="18"/>
                <w:szCs w:val="18"/>
                <w:u w:val="none"/>
                <w:lang w:val="en-US" w:eastAsia="zh-CN"/>
              </w:rPr>
              <w:t>7</w:t>
            </w:r>
          </w:p>
        </w:tc>
        <w:tc>
          <w:tcPr>
            <w:tcW w:w="316" w:type="pct"/>
            <w:noWrap w:val="0"/>
            <w:vAlign w:val="center"/>
          </w:tcPr>
          <w:p w14:paraId="12AF6E75">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0.01960</w:t>
            </w:r>
          </w:p>
        </w:tc>
      </w:tr>
      <w:tr w14:paraId="1F6A66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6E3E1432">
            <w:pPr>
              <w:pStyle w:val="75"/>
              <w:rPr>
                <w:rFonts w:hint="default" w:ascii="Times New Roman" w:hAnsi="Times New Roman" w:cs="Times New Roman"/>
                <w:b w:val="0"/>
                <w:bCs/>
                <w:sz w:val="18"/>
                <w:szCs w:val="18"/>
                <w:u w:val="none"/>
              </w:rPr>
            </w:pPr>
          </w:p>
        </w:tc>
        <w:tc>
          <w:tcPr>
            <w:tcW w:w="397" w:type="pct"/>
            <w:noWrap w:val="0"/>
            <w:vAlign w:val="center"/>
          </w:tcPr>
          <w:p w14:paraId="522AFFE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20</w:t>
            </w:r>
          </w:p>
        </w:tc>
        <w:tc>
          <w:tcPr>
            <w:tcW w:w="291" w:type="pct"/>
            <w:noWrap w:val="0"/>
            <w:vAlign w:val="center"/>
          </w:tcPr>
          <w:p w14:paraId="654651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337870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5B6D5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A215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4E02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F98ED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24A5C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9E807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75716F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0.05481</w:t>
            </w:r>
          </w:p>
        </w:tc>
        <w:tc>
          <w:tcPr>
            <w:tcW w:w="315" w:type="pct"/>
            <w:noWrap w:val="0"/>
            <w:vAlign w:val="center"/>
          </w:tcPr>
          <w:p w14:paraId="76DF5CA6">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4.208</w:t>
            </w:r>
            <w:r>
              <w:rPr>
                <w:rFonts w:hint="eastAsia" w:ascii="Times New Roman" w:hAnsi="Times New Roman" w:eastAsia="宋体" w:cs="Times New Roman"/>
                <w:b w:val="0"/>
                <w:bCs/>
                <w:sz w:val="18"/>
                <w:szCs w:val="18"/>
                <w:u w:val="none"/>
                <w:lang w:val="en-US" w:eastAsia="zh-CN"/>
              </w:rPr>
              <w:t>4</w:t>
            </w:r>
          </w:p>
        </w:tc>
        <w:tc>
          <w:tcPr>
            <w:tcW w:w="315" w:type="pct"/>
            <w:noWrap w:val="0"/>
            <w:vAlign w:val="center"/>
          </w:tcPr>
          <w:p w14:paraId="290D8C58">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18.8006</w:t>
            </w:r>
          </w:p>
        </w:tc>
        <w:tc>
          <w:tcPr>
            <w:tcW w:w="315" w:type="pct"/>
            <w:noWrap w:val="0"/>
            <w:vAlign w:val="center"/>
          </w:tcPr>
          <w:p w14:paraId="47DA15C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29.185</w:t>
            </w:r>
            <w:r>
              <w:rPr>
                <w:rFonts w:hint="eastAsia" w:ascii="Times New Roman" w:hAnsi="Times New Roman" w:eastAsia="宋体" w:cs="Times New Roman"/>
                <w:b w:val="0"/>
                <w:bCs/>
                <w:sz w:val="18"/>
                <w:szCs w:val="18"/>
                <w:u w:val="none"/>
                <w:lang w:val="en-US" w:eastAsia="zh-CN"/>
              </w:rPr>
              <w:t>3</w:t>
            </w:r>
          </w:p>
        </w:tc>
        <w:tc>
          <w:tcPr>
            <w:tcW w:w="315" w:type="pct"/>
            <w:noWrap w:val="0"/>
            <w:vAlign w:val="center"/>
          </w:tcPr>
          <w:p w14:paraId="5307F0D1">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33.1181</w:t>
            </w:r>
          </w:p>
        </w:tc>
        <w:tc>
          <w:tcPr>
            <w:tcW w:w="316" w:type="pct"/>
            <w:noWrap w:val="0"/>
            <w:vAlign w:val="center"/>
          </w:tcPr>
          <w:p w14:paraId="1DDABB6B">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0.193</w:t>
            </w:r>
            <w:r>
              <w:rPr>
                <w:rFonts w:hint="eastAsia" w:ascii="Times New Roman" w:hAnsi="Times New Roman" w:eastAsia="宋体" w:cs="Times New Roman"/>
                <w:b w:val="0"/>
                <w:bCs/>
                <w:sz w:val="18"/>
                <w:szCs w:val="18"/>
                <w:u w:val="none"/>
                <w:lang w:val="en-US" w:eastAsia="zh-CN"/>
              </w:rPr>
              <w:t>9</w:t>
            </w:r>
          </w:p>
        </w:tc>
      </w:tr>
      <w:tr w14:paraId="65B16A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5CC2C569">
            <w:pPr>
              <w:pStyle w:val="75"/>
              <w:rPr>
                <w:rFonts w:hint="default" w:ascii="Times New Roman" w:hAnsi="Times New Roman" w:cs="Times New Roman"/>
                <w:b w:val="0"/>
                <w:bCs/>
                <w:sz w:val="18"/>
                <w:szCs w:val="18"/>
                <w:u w:val="none"/>
              </w:rPr>
            </w:pPr>
          </w:p>
        </w:tc>
        <w:tc>
          <w:tcPr>
            <w:tcW w:w="397" w:type="pct"/>
            <w:noWrap w:val="0"/>
            <w:vAlign w:val="center"/>
          </w:tcPr>
          <w:p w14:paraId="1F62B8F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30</w:t>
            </w:r>
          </w:p>
        </w:tc>
        <w:tc>
          <w:tcPr>
            <w:tcW w:w="291" w:type="pct"/>
            <w:noWrap w:val="0"/>
            <w:vAlign w:val="center"/>
          </w:tcPr>
          <w:p w14:paraId="018FAC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51145E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37EF1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C5319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456B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97FFF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89762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865F0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6583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EFE9E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0.0007</w:t>
            </w:r>
          </w:p>
        </w:tc>
        <w:tc>
          <w:tcPr>
            <w:tcW w:w="315" w:type="pct"/>
            <w:noWrap w:val="0"/>
            <w:vAlign w:val="center"/>
          </w:tcPr>
          <w:p w14:paraId="60C19F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0.07911</w:t>
            </w:r>
          </w:p>
        </w:tc>
        <w:tc>
          <w:tcPr>
            <w:tcW w:w="315" w:type="pct"/>
            <w:noWrap w:val="0"/>
            <w:vAlign w:val="center"/>
          </w:tcPr>
          <w:p w14:paraId="75C1FB2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1.2739</w:t>
            </w:r>
          </w:p>
        </w:tc>
        <w:tc>
          <w:tcPr>
            <w:tcW w:w="315" w:type="pct"/>
            <w:noWrap w:val="0"/>
            <w:vAlign w:val="center"/>
          </w:tcPr>
          <w:p w14:paraId="53BE7D1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9.2279</w:t>
            </w:r>
          </w:p>
        </w:tc>
        <w:tc>
          <w:tcPr>
            <w:tcW w:w="316" w:type="pct"/>
            <w:noWrap w:val="0"/>
            <w:vAlign w:val="center"/>
          </w:tcPr>
          <w:p w14:paraId="3312745E">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4.980</w:t>
            </w:r>
            <w:r>
              <w:rPr>
                <w:rFonts w:hint="eastAsia" w:ascii="Times New Roman" w:hAnsi="Times New Roman" w:eastAsia="宋体" w:cs="Times New Roman"/>
                <w:b w:val="0"/>
                <w:bCs/>
                <w:sz w:val="18"/>
                <w:szCs w:val="18"/>
                <w:u w:val="none"/>
                <w:lang w:val="en-US" w:eastAsia="zh-CN"/>
              </w:rPr>
              <w:t>3</w:t>
            </w:r>
          </w:p>
        </w:tc>
      </w:tr>
      <w:tr w14:paraId="325422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3FEC900D">
            <w:pPr>
              <w:pStyle w:val="75"/>
              <w:rPr>
                <w:rFonts w:hint="default" w:ascii="Times New Roman" w:hAnsi="Times New Roman" w:cs="Times New Roman"/>
                <w:b w:val="0"/>
                <w:bCs/>
                <w:sz w:val="18"/>
                <w:szCs w:val="18"/>
                <w:u w:val="none"/>
              </w:rPr>
            </w:pPr>
          </w:p>
        </w:tc>
        <w:tc>
          <w:tcPr>
            <w:tcW w:w="397" w:type="pct"/>
            <w:noWrap w:val="0"/>
            <w:vAlign w:val="center"/>
          </w:tcPr>
          <w:p w14:paraId="31C1603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40</w:t>
            </w:r>
          </w:p>
        </w:tc>
        <w:tc>
          <w:tcPr>
            <w:tcW w:w="291" w:type="pct"/>
            <w:noWrap w:val="0"/>
            <w:vAlign w:val="center"/>
          </w:tcPr>
          <w:p w14:paraId="0B95F5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508B27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CFC1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2DCFD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27E00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8EC18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5E067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035B4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4BABB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FA449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857C2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33043EA">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0.000</w:t>
            </w:r>
            <w:r>
              <w:rPr>
                <w:rFonts w:hint="eastAsia" w:ascii="Times New Roman" w:hAnsi="Times New Roman" w:eastAsia="宋体" w:cs="Times New Roman"/>
                <w:b w:val="0"/>
                <w:bCs/>
                <w:sz w:val="18"/>
                <w:szCs w:val="18"/>
                <w:u w:val="none"/>
                <w:lang w:val="en-US" w:eastAsia="zh-CN"/>
              </w:rPr>
              <w:t>3</w:t>
            </w:r>
          </w:p>
        </w:tc>
        <w:tc>
          <w:tcPr>
            <w:tcW w:w="315" w:type="pct"/>
            <w:noWrap w:val="0"/>
            <w:vAlign w:val="center"/>
          </w:tcPr>
          <w:p w14:paraId="6B6333B2">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0.0759</w:t>
            </w:r>
          </w:p>
        </w:tc>
        <w:tc>
          <w:tcPr>
            <w:tcW w:w="316" w:type="pct"/>
            <w:noWrap w:val="0"/>
            <w:vAlign w:val="center"/>
          </w:tcPr>
          <w:p w14:paraId="2EDA6E6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21.7204</w:t>
            </w:r>
          </w:p>
        </w:tc>
      </w:tr>
      <w:tr w14:paraId="48DE58B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39AC3F0C">
            <w:pPr>
              <w:pStyle w:val="75"/>
              <w:rPr>
                <w:rFonts w:hint="default" w:ascii="Times New Roman" w:hAnsi="Times New Roman" w:cs="Times New Roman"/>
                <w:b w:val="0"/>
                <w:bCs/>
                <w:sz w:val="18"/>
                <w:szCs w:val="18"/>
                <w:u w:val="none"/>
              </w:rPr>
            </w:pPr>
          </w:p>
        </w:tc>
        <w:tc>
          <w:tcPr>
            <w:tcW w:w="397" w:type="pct"/>
            <w:noWrap w:val="0"/>
            <w:vAlign w:val="center"/>
          </w:tcPr>
          <w:p w14:paraId="4DE4244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60</w:t>
            </w:r>
          </w:p>
        </w:tc>
        <w:tc>
          <w:tcPr>
            <w:tcW w:w="291" w:type="pct"/>
            <w:noWrap w:val="0"/>
            <w:vAlign w:val="center"/>
          </w:tcPr>
          <w:p w14:paraId="2667DD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1B9B3B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0E2CB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13646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4512E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66710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DD4A3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62470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B1503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417E3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2369C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648A6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3E104E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napToGrid w:val="0"/>
                <w:kern w:val="21"/>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6" w:type="pct"/>
            <w:noWrap w:val="0"/>
            <w:vAlign w:val="center"/>
          </w:tcPr>
          <w:p w14:paraId="20AE2AFE">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bCs w:val="0"/>
                <w:sz w:val="18"/>
                <w:szCs w:val="18"/>
                <w:u w:val="none"/>
                <w:lang w:val="en-US" w:eastAsia="zh-CN"/>
              </w:rPr>
            </w:pPr>
            <w:r>
              <w:rPr>
                <w:rFonts w:hint="eastAsia" w:ascii="Times New Roman" w:hAnsi="Times New Roman" w:eastAsia="宋体" w:cs="Times New Roman"/>
                <w:b w:val="0"/>
                <w:bCs/>
                <w:sz w:val="18"/>
                <w:szCs w:val="18"/>
                <w:u w:val="none"/>
                <w:lang w:val="en-US" w:eastAsia="zh-CN"/>
              </w:rPr>
              <w:t>2</w:t>
            </w:r>
            <w:r>
              <w:rPr>
                <w:rFonts w:hint="default" w:ascii="Times New Roman" w:hAnsi="Times New Roman" w:eastAsia="宋体" w:cs="Times New Roman"/>
                <w:b w:val="0"/>
                <w:bCs/>
                <w:sz w:val="18"/>
                <w:szCs w:val="18"/>
                <w:u w:val="none"/>
                <w:lang w:val="en-US" w:eastAsia="zh-CN"/>
              </w:rPr>
              <w:t xml:space="preserve"> .118</w:t>
            </w:r>
            <w:r>
              <w:rPr>
                <w:rFonts w:hint="eastAsia" w:ascii="Times New Roman" w:hAnsi="Times New Roman" w:eastAsia="宋体" w:cs="Times New Roman"/>
                <w:b w:val="0"/>
                <w:bCs/>
                <w:sz w:val="18"/>
                <w:szCs w:val="18"/>
                <w:u w:val="none"/>
                <w:lang w:val="en-US" w:eastAsia="zh-CN"/>
              </w:rPr>
              <w:t>3</w:t>
            </w:r>
          </w:p>
        </w:tc>
      </w:tr>
      <w:tr w14:paraId="74B960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7" w:hRule="atLeast"/>
          <w:jc w:val="center"/>
        </w:trPr>
        <w:tc>
          <w:tcPr>
            <w:tcW w:w="183" w:type="pct"/>
            <w:vMerge w:val="continue"/>
            <w:noWrap w:val="0"/>
            <w:vAlign w:val="center"/>
          </w:tcPr>
          <w:p w14:paraId="0F07FBB4">
            <w:pPr>
              <w:pStyle w:val="75"/>
              <w:rPr>
                <w:rFonts w:hint="default" w:ascii="Times New Roman" w:hAnsi="Times New Roman" w:cs="Times New Roman"/>
                <w:b w:val="0"/>
                <w:bCs/>
                <w:sz w:val="18"/>
                <w:szCs w:val="18"/>
                <w:u w:val="none"/>
              </w:rPr>
            </w:pPr>
          </w:p>
        </w:tc>
        <w:tc>
          <w:tcPr>
            <w:tcW w:w="397" w:type="pct"/>
            <w:noWrap w:val="0"/>
            <w:vAlign w:val="center"/>
          </w:tcPr>
          <w:p w14:paraId="1DDB82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bidi="ar-SA"/>
              </w:rPr>
            </w:pPr>
            <w:r>
              <w:rPr>
                <w:rFonts w:hint="default" w:ascii="Times New Roman" w:hAnsi="Times New Roman" w:eastAsia="宋体" w:cs="Times New Roman"/>
                <w:b w:val="0"/>
                <w:bCs/>
                <w:sz w:val="18"/>
                <w:szCs w:val="18"/>
                <w:u w:val="none"/>
                <w:lang w:val="en-US" w:eastAsia="zh-CN" w:bidi="ar-SA"/>
              </w:rPr>
              <w:t>100</w:t>
            </w:r>
          </w:p>
        </w:tc>
        <w:tc>
          <w:tcPr>
            <w:tcW w:w="291" w:type="pct"/>
            <w:noWrap w:val="0"/>
            <w:vAlign w:val="center"/>
          </w:tcPr>
          <w:p w14:paraId="5F679D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0C7A92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E217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76010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ECFF5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07B1C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326AD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1618A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8FBC5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78661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8A40C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6F727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C5501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6" w:type="pct"/>
            <w:noWrap w:val="0"/>
            <w:vAlign w:val="center"/>
          </w:tcPr>
          <w:p w14:paraId="5C8F1627">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r>
      <w:tr w14:paraId="16D848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restart"/>
            <w:noWrap w:val="0"/>
            <w:vAlign w:val="center"/>
          </w:tcPr>
          <w:p w14:paraId="700CE388">
            <w:pPr>
              <w:pStyle w:val="75"/>
              <w:rPr>
                <w:rFonts w:hint="default" w:ascii="Times New Roman" w:hAnsi="Times New Roman" w:eastAsia="宋体" w:cs="Times New Roman"/>
                <w:b w:val="0"/>
                <w:bCs/>
                <w:sz w:val="18"/>
                <w:szCs w:val="18"/>
                <w:u w:val="none"/>
                <w:lang w:eastAsia="zh-CN"/>
              </w:rPr>
            </w:pPr>
            <w:r>
              <w:rPr>
                <w:rFonts w:hint="default" w:ascii="Times New Roman" w:hAnsi="Times New Roman" w:cs="Times New Roman"/>
                <w:b/>
                <w:bCs w:val="0"/>
                <w:sz w:val="18"/>
                <w:szCs w:val="18"/>
                <w:u w:val="none"/>
                <w:lang w:val="en-US" w:eastAsia="zh-CN"/>
              </w:rPr>
              <w:t>铬</w:t>
            </w:r>
          </w:p>
        </w:tc>
        <w:tc>
          <w:tcPr>
            <w:tcW w:w="397" w:type="pct"/>
            <w:noWrap w:val="0"/>
            <w:vAlign w:val="center"/>
          </w:tcPr>
          <w:p w14:paraId="63BA3AD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bidi="ar-SA"/>
              </w:rPr>
              <w:t>1</w:t>
            </w:r>
          </w:p>
        </w:tc>
        <w:tc>
          <w:tcPr>
            <w:tcW w:w="291" w:type="pct"/>
            <w:noWrap w:val="0"/>
            <w:vAlign w:val="center"/>
          </w:tcPr>
          <w:p w14:paraId="126E5F0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0.02762</w:t>
            </w:r>
          </w:p>
        </w:tc>
        <w:tc>
          <w:tcPr>
            <w:tcW w:w="339" w:type="pct"/>
            <w:noWrap w:val="0"/>
            <w:vAlign w:val="center"/>
          </w:tcPr>
          <w:p w14:paraId="03508205">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7.306</w:t>
            </w:r>
            <w:r>
              <w:rPr>
                <w:rFonts w:hint="eastAsia" w:ascii="Times New Roman" w:hAnsi="Times New Roman" w:eastAsia="宋体" w:cs="Times New Roman"/>
                <w:b w:val="0"/>
                <w:bCs/>
                <w:sz w:val="18"/>
                <w:szCs w:val="18"/>
                <w:u w:val="none"/>
                <w:lang w:val="en-US" w:eastAsia="zh-CN"/>
              </w:rPr>
              <w:t>8</w:t>
            </w:r>
          </w:p>
        </w:tc>
        <w:tc>
          <w:tcPr>
            <w:tcW w:w="315" w:type="pct"/>
            <w:noWrap w:val="0"/>
            <w:vAlign w:val="center"/>
          </w:tcPr>
          <w:p w14:paraId="6A37BB9D">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16.100</w:t>
            </w:r>
            <w:r>
              <w:rPr>
                <w:rFonts w:hint="eastAsia" w:ascii="Times New Roman" w:hAnsi="Times New Roman" w:eastAsia="宋体" w:cs="Times New Roman"/>
                <w:b w:val="0"/>
                <w:bCs/>
                <w:sz w:val="18"/>
                <w:szCs w:val="18"/>
                <w:u w:val="none"/>
                <w:lang w:val="en-US" w:eastAsia="zh-CN"/>
              </w:rPr>
              <w:t>1</w:t>
            </w:r>
          </w:p>
        </w:tc>
        <w:tc>
          <w:tcPr>
            <w:tcW w:w="315" w:type="pct"/>
            <w:noWrap w:val="0"/>
            <w:vAlign w:val="center"/>
          </w:tcPr>
          <w:p w14:paraId="08476CF8">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24.4119</w:t>
            </w:r>
          </w:p>
        </w:tc>
        <w:tc>
          <w:tcPr>
            <w:tcW w:w="315" w:type="pct"/>
            <w:noWrap w:val="0"/>
            <w:vAlign w:val="center"/>
          </w:tcPr>
          <w:p w14:paraId="26A9581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27.9794</w:t>
            </w:r>
          </w:p>
        </w:tc>
        <w:tc>
          <w:tcPr>
            <w:tcW w:w="315" w:type="pct"/>
            <w:noWrap w:val="0"/>
            <w:vAlign w:val="center"/>
          </w:tcPr>
          <w:p w14:paraId="4098481B">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23.3920</w:t>
            </w:r>
          </w:p>
        </w:tc>
        <w:tc>
          <w:tcPr>
            <w:tcW w:w="315" w:type="pct"/>
            <w:noWrap w:val="0"/>
            <w:vAlign w:val="center"/>
          </w:tcPr>
          <w:p w14:paraId="588EDA6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13.5338</w:t>
            </w:r>
          </w:p>
        </w:tc>
        <w:tc>
          <w:tcPr>
            <w:tcW w:w="315" w:type="pct"/>
            <w:noWrap w:val="0"/>
            <w:vAlign w:val="center"/>
          </w:tcPr>
          <w:p w14:paraId="2B6DB35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2.2137</w:t>
            </w:r>
          </w:p>
        </w:tc>
        <w:tc>
          <w:tcPr>
            <w:tcW w:w="315" w:type="pct"/>
            <w:noWrap w:val="0"/>
            <w:vAlign w:val="center"/>
          </w:tcPr>
          <w:p w14:paraId="78AF911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0.538</w:t>
            </w:r>
            <w:r>
              <w:rPr>
                <w:rFonts w:hint="eastAsia" w:ascii="Times New Roman" w:hAnsi="Times New Roman" w:eastAsia="宋体" w:cs="Times New Roman"/>
                <w:b w:val="0"/>
                <w:bCs/>
                <w:sz w:val="18"/>
                <w:szCs w:val="18"/>
                <w:u w:val="none"/>
                <w:lang w:val="en-US" w:eastAsia="zh-CN"/>
              </w:rPr>
              <w:t>3</w:t>
            </w:r>
          </w:p>
        </w:tc>
        <w:tc>
          <w:tcPr>
            <w:tcW w:w="315" w:type="pct"/>
            <w:noWrap w:val="0"/>
            <w:vAlign w:val="center"/>
          </w:tcPr>
          <w:p w14:paraId="511B8BB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0.145</w:t>
            </w:r>
            <w:r>
              <w:rPr>
                <w:rFonts w:hint="eastAsia" w:ascii="Times New Roman" w:hAnsi="Times New Roman" w:eastAsia="宋体" w:cs="Times New Roman"/>
                <w:b w:val="0"/>
                <w:bCs/>
                <w:sz w:val="18"/>
                <w:szCs w:val="18"/>
                <w:u w:val="none"/>
                <w:lang w:val="en-US" w:eastAsia="zh-CN"/>
              </w:rPr>
              <w:t>4</w:t>
            </w:r>
          </w:p>
        </w:tc>
        <w:tc>
          <w:tcPr>
            <w:tcW w:w="315" w:type="pct"/>
            <w:noWrap w:val="0"/>
            <w:vAlign w:val="center"/>
          </w:tcPr>
          <w:p w14:paraId="3E6FFD0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0.0412</w:t>
            </w:r>
            <w:r>
              <w:rPr>
                <w:rFonts w:hint="eastAsia" w:ascii="Times New Roman" w:hAnsi="Times New Roman" w:eastAsia="宋体" w:cs="Times New Roman"/>
                <w:b w:val="0"/>
                <w:bCs/>
                <w:sz w:val="18"/>
                <w:szCs w:val="18"/>
                <w:u w:val="none"/>
                <w:lang w:val="en-US" w:eastAsia="zh-CN"/>
              </w:rPr>
              <w:t>5</w:t>
            </w:r>
          </w:p>
        </w:tc>
        <w:tc>
          <w:tcPr>
            <w:tcW w:w="315" w:type="pct"/>
            <w:noWrap w:val="0"/>
            <w:vAlign w:val="center"/>
          </w:tcPr>
          <w:p w14:paraId="0F883AB8">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0.01204</w:t>
            </w:r>
          </w:p>
        </w:tc>
        <w:tc>
          <w:tcPr>
            <w:tcW w:w="315" w:type="pct"/>
            <w:noWrap w:val="0"/>
            <w:vAlign w:val="center"/>
          </w:tcPr>
          <w:p w14:paraId="59DC5EA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0.00249</w:t>
            </w:r>
          </w:p>
        </w:tc>
        <w:tc>
          <w:tcPr>
            <w:tcW w:w="316" w:type="pct"/>
            <w:noWrap w:val="0"/>
            <w:vAlign w:val="center"/>
          </w:tcPr>
          <w:p w14:paraId="38F63F8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4.656385E-07</w:t>
            </w:r>
          </w:p>
        </w:tc>
      </w:tr>
      <w:tr w14:paraId="0F33BAB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24DDFD4C">
            <w:pPr>
              <w:pStyle w:val="75"/>
              <w:rPr>
                <w:rFonts w:hint="default" w:ascii="Times New Roman" w:hAnsi="Times New Roman" w:cs="Times New Roman"/>
                <w:b w:val="0"/>
                <w:bCs/>
                <w:sz w:val="18"/>
                <w:szCs w:val="18"/>
                <w:u w:val="none"/>
              </w:rPr>
            </w:pPr>
          </w:p>
        </w:tc>
        <w:tc>
          <w:tcPr>
            <w:tcW w:w="397" w:type="pct"/>
            <w:noWrap w:val="0"/>
            <w:vAlign w:val="center"/>
          </w:tcPr>
          <w:p w14:paraId="0322A9D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2</w:t>
            </w:r>
          </w:p>
        </w:tc>
        <w:tc>
          <w:tcPr>
            <w:tcW w:w="291" w:type="pct"/>
            <w:noWrap w:val="0"/>
            <w:vAlign w:val="center"/>
          </w:tcPr>
          <w:p w14:paraId="35F7365D">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1D69709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0.208</w:t>
            </w:r>
            <w:r>
              <w:rPr>
                <w:rFonts w:hint="eastAsia" w:ascii="Times New Roman" w:hAnsi="Times New Roman" w:eastAsia="宋体" w:cs="Times New Roman"/>
                <w:b w:val="0"/>
                <w:bCs/>
                <w:sz w:val="18"/>
                <w:szCs w:val="18"/>
                <w:u w:val="none"/>
                <w:lang w:val="en-US" w:eastAsia="zh-CN"/>
              </w:rPr>
              <w:t>3</w:t>
            </w:r>
          </w:p>
        </w:tc>
        <w:tc>
          <w:tcPr>
            <w:tcW w:w="315" w:type="pct"/>
            <w:noWrap w:val="0"/>
            <w:vAlign w:val="center"/>
          </w:tcPr>
          <w:p w14:paraId="1B50FFE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3.120</w:t>
            </w:r>
            <w:r>
              <w:rPr>
                <w:rFonts w:hint="eastAsia" w:ascii="Times New Roman" w:hAnsi="Times New Roman" w:eastAsia="宋体" w:cs="Times New Roman"/>
                <w:b w:val="0"/>
                <w:bCs/>
                <w:sz w:val="18"/>
                <w:szCs w:val="18"/>
                <w:u w:val="none"/>
                <w:lang w:val="en-US" w:eastAsia="zh-CN"/>
              </w:rPr>
              <w:t>4</w:t>
            </w:r>
          </w:p>
        </w:tc>
        <w:tc>
          <w:tcPr>
            <w:tcW w:w="315" w:type="pct"/>
            <w:noWrap w:val="0"/>
            <w:vAlign w:val="center"/>
          </w:tcPr>
          <w:p w14:paraId="467F715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12.3656</w:t>
            </w:r>
          </w:p>
        </w:tc>
        <w:tc>
          <w:tcPr>
            <w:tcW w:w="315" w:type="pct"/>
            <w:noWrap w:val="0"/>
            <w:vAlign w:val="center"/>
          </w:tcPr>
          <w:p w14:paraId="3146F42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19.3243</w:t>
            </w:r>
          </w:p>
        </w:tc>
        <w:tc>
          <w:tcPr>
            <w:tcW w:w="315" w:type="pct"/>
            <w:noWrap w:val="0"/>
            <w:vAlign w:val="center"/>
          </w:tcPr>
          <w:p w14:paraId="4372E38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19.231</w:t>
            </w:r>
            <w:r>
              <w:rPr>
                <w:rFonts w:hint="eastAsia" w:ascii="Times New Roman" w:hAnsi="Times New Roman" w:eastAsia="宋体" w:cs="Times New Roman"/>
                <w:b w:val="0"/>
                <w:bCs/>
                <w:sz w:val="18"/>
                <w:szCs w:val="18"/>
                <w:u w:val="none"/>
                <w:lang w:val="en-US" w:eastAsia="zh-CN"/>
              </w:rPr>
              <w:t>2</w:t>
            </w:r>
          </w:p>
        </w:tc>
        <w:tc>
          <w:tcPr>
            <w:tcW w:w="315" w:type="pct"/>
            <w:noWrap w:val="0"/>
            <w:vAlign w:val="center"/>
          </w:tcPr>
          <w:p w14:paraId="4A71435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18.487</w:t>
            </w:r>
            <w:r>
              <w:rPr>
                <w:rFonts w:hint="eastAsia" w:ascii="Times New Roman" w:hAnsi="Times New Roman" w:eastAsia="宋体" w:cs="Times New Roman"/>
                <w:b w:val="0"/>
                <w:bCs/>
                <w:sz w:val="18"/>
                <w:szCs w:val="18"/>
                <w:u w:val="none"/>
                <w:lang w:val="en-US" w:eastAsia="zh-CN"/>
              </w:rPr>
              <w:t>8</w:t>
            </w:r>
          </w:p>
        </w:tc>
        <w:tc>
          <w:tcPr>
            <w:tcW w:w="315" w:type="pct"/>
            <w:noWrap w:val="0"/>
            <w:vAlign w:val="center"/>
          </w:tcPr>
          <w:p w14:paraId="5EBB235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4</w:t>
            </w:r>
            <w:r>
              <w:rPr>
                <w:rFonts w:hint="default" w:ascii="Times New Roman" w:hAnsi="Times New Roman" w:eastAsia="宋体" w:cs="Times New Roman"/>
                <w:b w:val="0"/>
                <w:bCs/>
                <w:sz w:val="18"/>
                <w:szCs w:val="18"/>
                <w:u w:val="none"/>
                <w:lang w:val="en-US" w:eastAsia="zh-CN"/>
              </w:rPr>
              <w:t>.326</w:t>
            </w:r>
            <w:r>
              <w:rPr>
                <w:rFonts w:hint="eastAsia" w:ascii="Times New Roman" w:hAnsi="Times New Roman" w:eastAsia="宋体" w:cs="Times New Roman"/>
                <w:b w:val="0"/>
                <w:bCs/>
                <w:sz w:val="18"/>
                <w:szCs w:val="18"/>
                <w:u w:val="none"/>
                <w:lang w:val="en-US" w:eastAsia="zh-CN"/>
              </w:rPr>
              <w:t>9</w:t>
            </w:r>
          </w:p>
        </w:tc>
        <w:tc>
          <w:tcPr>
            <w:tcW w:w="315" w:type="pct"/>
            <w:noWrap w:val="0"/>
            <w:vAlign w:val="center"/>
          </w:tcPr>
          <w:p w14:paraId="68971F4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1.0974</w:t>
            </w:r>
          </w:p>
        </w:tc>
        <w:tc>
          <w:tcPr>
            <w:tcW w:w="315" w:type="pct"/>
            <w:noWrap w:val="0"/>
            <w:vAlign w:val="center"/>
          </w:tcPr>
          <w:p w14:paraId="4F419A5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0.3007</w:t>
            </w:r>
          </w:p>
        </w:tc>
        <w:tc>
          <w:tcPr>
            <w:tcW w:w="315" w:type="pct"/>
            <w:noWrap w:val="0"/>
            <w:vAlign w:val="center"/>
          </w:tcPr>
          <w:p w14:paraId="7927D5DF">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0.0859</w:t>
            </w:r>
            <w:r>
              <w:rPr>
                <w:rFonts w:hint="eastAsia" w:ascii="Times New Roman" w:hAnsi="Times New Roman" w:eastAsia="宋体" w:cs="Times New Roman"/>
                <w:b w:val="0"/>
                <w:bCs/>
                <w:sz w:val="18"/>
                <w:szCs w:val="18"/>
                <w:u w:val="none"/>
                <w:lang w:val="en-US" w:eastAsia="zh-CN"/>
              </w:rPr>
              <w:t>2</w:t>
            </w:r>
          </w:p>
        </w:tc>
        <w:tc>
          <w:tcPr>
            <w:tcW w:w="315" w:type="pct"/>
            <w:noWrap w:val="0"/>
            <w:vAlign w:val="center"/>
          </w:tcPr>
          <w:p w14:paraId="04181DCB">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0.02518</w:t>
            </w:r>
          </w:p>
        </w:tc>
        <w:tc>
          <w:tcPr>
            <w:tcW w:w="315" w:type="pct"/>
            <w:noWrap w:val="0"/>
            <w:vAlign w:val="center"/>
          </w:tcPr>
          <w:p w14:paraId="5500132D">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0.00523</w:t>
            </w:r>
          </w:p>
        </w:tc>
        <w:tc>
          <w:tcPr>
            <w:tcW w:w="316" w:type="pct"/>
            <w:noWrap w:val="0"/>
            <w:vAlign w:val="center"/>
          </w:tcPr>
          <w:p w14:paraId="4BC7A35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9.818385E-07</w:t>
            </w:r>
          </w:p>
        </w:tc>
      </w:tr>
      <w:tr w14:paraId="5027AA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5FC177CD">
            <w:pPr>
              <w:pStyle w:val="75"/>
              <w:rPr>
                <w:rFonts w:hint="default" w:ascii="Times New Roman" w:hAnsi="Times New Roman" w:cs="Times New Roman"/>
                <w:b w:val="0"/>
                <w:bCs/>
                <w:sz w:val="18"/>
                <w:szCs w:val="18"/>
                <w:u w:val="none"/>
              </w:rPr>
            </w:pPr>
          </w:p>
        </w:tc>
        <w:tc>
          <w:tcPr>
            <w:tcW w:w="397" w:type="pct"/>
            <w:noWrap w:val="0"/>
            <w:vAlign w:val="center"/>
          </w:tcPr>
          <w:p w14:paraId="125E409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5</w:t>
            </w:r>
          </w:p>
        </w:tc>
        <w:tc>
          <w:tcPr>
            <w:tcW w:w="291" w:type="pct"/>
            <w:noWrap w:val="0"/>
            <w:vAlign w:val="center"/>
          </w:tcPr>
          <w:p w14:paraId="31663C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07AAD2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66DD7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5C8B75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0.07169</w:t>
            </w:r>
          </w:p>
        </w:tc>
        <w:tc>
          <w:tcPr>
            <w:tcW w:w="315" w:type="pct"/>
            <w:noWrap w:val="0"/>
            <w:vAlign w:val="center"/>
          </w:tcPr>
          <w:p w14:paraId="3C1E3535">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0.971</w:t>
            </w:r>
            <w:r>
              <w:rPr>
                <w:rFonts w:hint="eastAsia" w:ascii="Times New Roman" w:hAnsi="Times New Roman" w:eastAsia="宋体" w:cs="Times New Roman"/>
                <w:b w:val="0"/>
                <w:bCs/>
                <w:sz w:val="18"/>
                <w:szCs w:val="18"/>
                <w:u w:val="none"/>
                <w:lang w:val="en-US" w:eastAsia="zh-CN"/>
              </w:rPr>
              <w:t>8</w:t>
            </w:r>
          </w:p>
        </w:tc>
        <w:tc>
          <w:tcPr>
            <w:tcW w:w="315" w:type="pct"/>
            <w:noWrap w:val="0"/>
            <w:vAlign w:val="center"/>
          </w:tcPr>
          <w:p w14:paraId="3D72BC7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2.3887</w:t>
            </w:r>
          </w:p>
        </w:tc>
        <w:tc>
          <w:tcPr>
            <w:tcW w:w="315" w:type="pct"/>
            <w:noWrap w:val="0"/>
            <w:vAlign w:val="center"/>
          </w:tcPr>
          <w:p w14:paraId="3CE101B8">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5</w:t>
            </w:r>
            <w:r>
              <w:rPr>
                <w:rFonts w:hint="default" w:ascii="Times New Roman" w:hAnsi="Times New Roman" w:eastAsia="宋体" w:cs="Times New Roman"/>
                <w:b w:val="0"/>
                <w:bCs/>
                <w:sz w:val="18"/>
                <w:szCs w:val="18"/>
                <w:u w:val="none"/>
                <w:lang w:val="en-US" w:eastAsia="zh-CN"/>
              </w:rPr>
              <w:t>.1871</w:t>
            </w:r>
          </w:p>
        </w:tc>
        <w:tc>
          <w:tcPr>
            <w:tcW w:w="315" w:type="pct"/>
            <w:noWrap w:val="0"/>
            <w:vAlign w:val="center"/>
          </w:tcPr>
          <w:p w14:paraId="6E44741D">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1</w:t>
            </w:r>
            <w:r>
              <w:rPr>
                <w:rFonts w:hint="default" w:ascii="Times New Roman" w:hAnsi="Times New Roman" w:eastAsia="宋体" w:cs="Times New Roman"/>
                <w:b w:val="0"/>
                <w:bCs/>
                <w:sz w:val="18"/>
                <w:szCs w:val="18"/>
                <w:u w:val="none"/>
                <w:lang w:val="en-US" w:eastAsia="zh-CN"/>
              </w:rPr>
              <w:t>1.0985</w:t>
            </w:r>
          </w:p>
        </w:tc>
        <w:tc>
          <w:tcPr>
            <w:tcW w:w="315" w:type="pct"/>
            <w:noWrap w:val="0"/>
            <w:vAlign w:val="center"/>
          </w:tcPr>
          <w:p w14:paraId="1B6CCEDB">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2.008</w:t>
            </w:r>
            <w:r>
              <w:rPr>
                <w:rFonts w:hint="eastAsia" w:ascii="Times New Roman" w:hAnsi="Times New Roman" w:eastAsia="宋体" w:cs="Times New Roman"/>
                <w:b w:val="0"/>
                <w:bCs/>
                <w:sz w:val="18"/>
                <w:szCs w:val="18"/>
                <w:u w:val="none"/>
                <w:lang w:val="en-US" w:eastAsia="zh-CN"/>
              </w:rPr>
              <w:t>2</w:t>
            </w:r>
          </w:p>
        </w:tc>
        <w:tc>
          <w:tcPr>
            <w:tcW w:w="315" w:type="pct"/>
            <w:noWrap w:val="0"/>
            <w:vAlign w:val="center"/>
          </w:tcPr>
          <w:p w14:paraId="5B7C685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1.6907</w:t>
            </w:r>
          </w:p>
        </w:tc>
        <w:tc>
          <w:tcPr>
            <w:tcW w:w="315" w:type="pct"/>
            <w:noWrap w:val="0"/>
            <w:vAlign w:val="center"/>
          </w:tcPr>
          <w:p w14:paraId="6721A17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0.54678</w:t>
            </w:r>
          </w:p>
        </w:tc>
        <w:tc>
          <w:tcPr>
            <w:tcW w:w="315" w:type="pct"/>
            <w:noWrap w:val="0"/>
            <w:vAlign w:val="center"/>
          </w:tcPr>
          <w:p w14:paraId="39B5FD9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0.173</w:t>
            </w:r>
            <w:r>
              <w:rPr>
                <w:rFonts w:hint="eastAsia" w:ascii="Times New Roman" w:hAnsi="Times New Roman" w:eastAsia="宋体" w:cs="Times New Roman"/>
                <w:b w:val="0"/>
                <w:bCs/>
                <w:sz w:val="18"/>
                <w:szCs w:val="18"/>
                <w:u w:val="none"/>
                <w:lang w:val="en-US" w:eastAsia="zh-CN"/>
              </w:rPr>
              <w:t>1</w:t>
            </w:r>
          </w:p>
        </w:tc>
        <w:tc>
          <w:tcPr>
            <w:tcW w:w="315" w:type="pct"/>
            <w:noWrap w:val="0"/>
            <w:vAlign w:val="center"/>
          </w:tcPr>
          <w:p w14:paraId="120E30A5">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0.03840</w:t>
            </w:r>
          </w:p>
        </w:tc>
        <w:tc>
          <w:tcPr>
            <w:tcW w:w="316" w:type="pct"/>
            <w:noWrap w:val="0"/>
            <w:vAlign w:val="center"/>
          </w:tcPr>
          <w:p w14:paraId="1EA8BDA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8.257408E-06</w:t>
            </w:r>
          </w:p>
        </w:tc>
      </w:tr>
      <w:tr w14:paraId="7EA1E6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183" w:type="pct"/>
            <w:vMerge w:val="continue"/>
            <w:noWrap w:val="0"/>
            <w:vAlign w:val="center"/>
          </w:tcPr>
          <w:p w14:paraId="55DC7FE6">
            <w:pPr>
              <w:pStyle w:val="75"/>
              <w:rPr>
                <w:rFonts w:hint="default" w:ascii="Times New Roman" w:hAnsi="Times New Roman" w:cs="Times New Roman"/>
                <w:b w:val="0"/>
                <w:bCs/>
                <w:sz w:val="18"/>
                <w:szCs w:val="18"/>
                <w:u w:val="none"/>
              </w:rPr>
            </w:pPr>
          </w:p>
        </w:tc>
        <w:tc>
          <w:tcPr>
            <w:tcW w:w="397" w:type="pct"/>
            <w:noWrap w:val="0"/>
            <w:vAlign w:val="center"/>
          </w:tcPr>
          <w:p w14:paraId="747C687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10</w:t>
            </w:r>
          </w:p>
        </w:tc>
        <w:tc>
          <w:tcPr>
            <w:tcW w:w="291" w:type="pct"/>
            <w:noWrap w:val="0"/>
            <w:vAlign w:val="center"/>
          </w:tcPr>
          <w:p w14:paraId="5C2084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1A4AC8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D179D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BA792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C26C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FA936E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0.0003</w:t>
            </w:r>
          </w:p>
        </w:tc>
        <w:tc>
          <w:tcPr>
            <w:tcW w:w="315" w:type="pct"/>
            <w:noWrap w:val="0"/>
            <w:vAlign w:val="center"/>
          </w:tcPr>
          <w:p w14:paraId="2B89E61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0.007</w:t>
            </w:r>
            <w:r>
              <w:rPr>
                <w:rFonts w:hint="eastAsia" w:ascii="Times New Roman" w:hAnsi="Times New Roman" w:eastAsia="宋体" w:cs="Times New Roman"/>
                <w:b w:val="0"/>
                <w:bCs/>
                <w:sz w:val="18"/>
                <w:szCs w:val="18"/>
                <w:u w:val="none"/>
                <w:lang w:val="en-US" w:eastAsia="zh-CN"/>
              </w:rPr>
              <w:t>6</w:t>
            </w:r>
          </w:p>
        </w:tc>
        <w:tc>
          <w:tcPr>
            <w:tcW w:w="315" w:type="pct"/>
            <w:noWrap w:val="0"/>
            <w:vAlign w:val="center"/>
          </w:tcPr>
          <w:p w14:paraId="3A15D63B">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2</w:t>
            </w:r>
            <w:r>
              <w:rPr>
                <w:rFonts w:hint="default" w:ascii="Times New Roman" w:hAnsi="Times New Roman" w:eastAsia="宋体" w:cs="Times New Roman"/>
                <w:b w:val="0"/>
                <w:bCs/>
                <w:sz w:val="18"/>
                <w:szCs w:val="18"/>
                <w:u w:val="none"/>
                <w:lang w:val="en-US" w:eastAsia="zh-CN"/>
              </w:rPr>
              <w:t>.4733</w:t>
            </w:r>
          </w:p>
        </w:tc>
        <w:tc>
          <w:tcPr>
            <w:tcW w:w="315" w:type="pct"/>
            <w:noWrap w:val="0"/>
            <w:vAlign w:val="center"/>
          </w:tcPr>
          <w:p w14:paraId="08773370">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7.8981</w:t>
            </w:r>
          </w:p>
        </w:tc>
        <w:tc>
          <w:tcPr>
            <w:tcW w:w="315" w:type="pct"/>
            <w:noWrap w:val="0"/>
            <w:vAlign w:val="center"/>
          </w:tcPr>
          <w:p w14:paraId="7376CFB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6.9458</w:t>
            </w:r>
          </w:p>
        </w:tc>
        <w:tc>
          <w:tcPr>
            <w:tcW w:w="315" w:type="pct"/>
            <w:noWrap w:val="0"/>
            <w:vAlign w:val="center"/>
          </w:tcPr>
          <w:p w14:paraId="439E1E40">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3.8095</w:t>
            </w:r>
          </w:p>
        </w:tc>
        <w:tc>
          <w:tcPr>
            <w:tcW w:w="315" w:type="pct"/>
            <w:noWrap w:val="0"/>
            <w:vAlign w:val="center"/>
          </w:tcPr>
          <w:p w14:paraId="6D74459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1.688</w:t>
            </w: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433391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0.4996</w:t>
            </w:r>
          </w:p>
        </w:tc>
        <w:tc>
          <w:tcPr>
            <w:tcW w:w="316" w:type="pct"/>
            <w:noWrap w:val="0"/>
            <w:vAlign w:val="center"/>
          </w:tcPr>
          <w:p w14:paraId="6D3D330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0.00010</w:t>
            </w:r>
          </w:p>
        </w:tc>
      </w:tr>
      <w:tr w14:paraId="1060549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61C129EE">
            <w:pPr>
              <w:pStyle w:val="75"/>
              <w:rPr>
                <w:rFonts w:hint="default" w:ascii="Times New Roman" w:hAnsi="Times New Roman" w:cs="Times New Roman"/>
                <w:b w:val="0"/>
                <w:bCs/>
                <w:sz w:val="18"/>
                <w:szCs w:val="18"/>
                <w:u w:val="none"/>
              </w:rPr>
            </w:pPr>
          </w:p>
        </w:tc>
        <w:tc>
          <w:tcPr>
            <w:tcW w:w="397" w:type="pct"/>
            <w:noWrap w:val="0"/>
            <w:vAlign w:val="center"/>
          </w:tcPr>
          <w:p w14:paraId="6B5670F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15</w:t>
            </w:r>
          </w:p>
        </w:tc>
        <w:tc>
          <w:tcPr>
            <w:tcW w:w="291" w:type="pct"/>
            <w:noWrap w:val="0"/>
            <w:vAlign w:val="center"/>
          </w:tcPr>
          <w:p w14:paraId="183EA3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40D584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4A40A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35312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19FAB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2A2A7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8581A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81362E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0.0239</w:t>
            </w:r>
            <w:r>
              <w:rPr>
                <w:rFonts w:hint="eastAsia" w:ascii="Times New Roman" w:hAnsi="Times New Roman" w:eastAsia="宋体" w:cs="Times New Roman"/>
                <w:b w:val="0"/>
                <w:bCs/>
                <w:sz w:val="18"/>
                <w:szCs w:val="18"/>
                <w:u w:val="none"/>
                <w:lang w:val="en-US" w:eastAsia="zh-CN"/>
              </w:rPr>
              <w:t>1</w:t>
            </w:r>
          </w:p>
        </w:tc>
        <w:tc>
          <w:tcPr>
            <w:tcW w:w="315" w:type="pct"/>
            <w:noWrap w:val="0"/>
            <w:vAlign w:val="center"/>
          </w:tcPr>
          <w:p w14:paraId="41C753BF">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1.253</w:t>
            </w:r>
            <w:r>
              <w:rPr>
                <w:rFonts w:hint="eastAsia" w:ascii="Times New Roman" w:hAnsi="Times New Roman" w:eastAsia="宋体" w:cs="Times New Roman"/>
                <w:b w:val="0"/>
                <w:bCs/>
                <w:sz w:val="18"/>
                <w:szCs w:val="18"/>
                <w:u w:val="none"/>
                <w:lang w:val="en-US" w:eastAsia="zh-CN"/>
              </w:rPr>
              <w:t>9</w:t>
            </w:r>
          </w:p>
        </w:tc>
        <w:tc>
          <w:tcPr>
            <w:tcW w:w="315" w:type="pct"/>
            <w:noWrap w:val="0"/>
            <w:vAlign w:val="center"/>
          </w:tcPr>
          <w:p w14:paraId="41A3AC2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4.9373</w:t>
            </w:r>
          </w:p>
        </w:tc>
        <w:tc>
          <w:tcPr>
            <w:tcW w:w="315" w:type="pct"/>
            <w:noWrap w:val="0"/>
            <w:vAlign w:val="center"/>
          </w:tcPr>
          <w:p w14:paraId="642B8753">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3.8095</w:t>
            </w:r>
          </w:p>
        </w:tc>
        <w:tc>
          <w:tcPr>
            <w:tcW w:w="315" w:type="pct"/>
            <w:noWrap w:val="0"/>
            <w:vAlign w:val="center"/>
          </w:tcPr>
          <w:p w14:paraId="67ABD3E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5.2266</w:t>
            </w:r>
          </w:p>
        </w:tc>
        <w:tc>
          <w:tcPr>
            <w:tcW w:w="315" w:type="pct"/>
            <w:noWrap w:val="0"/>
            <w:vAlign w:val="center"/>
          </w:tcPr>
          <w:p w14:paraId="3FDE94B3">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2.5600</w:t>
            </w:r>
          </w:p>
        </w:tc>
        <w:tc>
          <w:tcPr>
            <w:tcW w:w="316" w:type="pct"/>
            <w:noWrap w:val="0"/>
            <w:vAlign w:val="center"/>
          </w:tcPr>
          <w:p w14:paraId="07A30EE4">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0.00309</w:t>
            </w:r>
          </w:p>
        </w:tc>
      </w:tr>
      <w:tr w14:paraId="1C01FE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3516623D">
            <w:pPr>
              <w:pStyle w:val="75"/>
              <w:rPr>
                <w:rFonts w:hint="default" w:ascii="Times New Roman" w:hAnsi="Times New Roman" w:cs="Times New Roman"/>
                <w:b w:val="0"/>
                <w:bCs/>
                <w:sz w:val="18"/>
                <w:szCs w:val="18"/>
                <w:u w:val="none"/>
              </w:rPr>
            </w:pPr>
          </w:p>
        </w:tc>
        <w:tc>
          <w:tcPr>
            <w:tcW w:w="397" w:type="pct"/>
            <w:noWrap w:val="0"/>
            <w:vAlign w:val="center"/>
          </w:tcPr>
          <w:p w14:paraId="2FD84A2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20</w:t>
            </w:r>
          </w:p>
        </w:tc>
        <w:tc>
          <w:tcPr>
            <w:tcW w:w="291" w:type="pct"/>
            <w:noWrap w:val="0"/>
            <w:vAlign w:val="center"/>
          </w:tcPr>
          <w:p w14:paraId="787D7D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087955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F798B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A0C03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9CB0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3CA9D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BDE27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24F0B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9335417">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0.0086</w:t>
            </w:r>
          </w:p>
        </w:tc>
        <w:tc>
          <w:tcPr>
            <w:tcW w:w="315" w:type="pct"/>
            <w:noWrap w:val="0"/>
            <w:vAlign w:val="center"/>
          </w:tcPr>
          <w:p w14:paraId="755D533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0.6648</w:t>
            </w:r>
          </w:p>
        </w:tc>
        <w:tc>
          <w:tcPr>
            <w:tcW w:w="315" w:type="pct"/>
            <w:noWrap w:val="0"/>
            <w:vAlign w:val="center"/>
          </w:tcPr>
          <w:p w14:paraId="7433824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2.9699</w:t>
            </w:r>
          </w:p>
        </w:tc>
        <w:tc>
          <w:tcPr>
            <w:tcW w:w="315" w:type="pct"/>
            <w:noWrap w:val="0"/>
            <w:vAlign w:val="center"/>
          </w:tcPr>
          <w:p w14:paraId="607E759F">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5.2587</w:t>
            </w:r>
          </w:p>
        </w:tc>
        <w:tc>
          <w:tcPr>
            <w:tcW w:w="315" w:type="pct"/>
            <w:noWrap w:val="0"/>
            <w:vAlign w:val="center"/>
          </w:tcPr>
          <w:p w14:paraId="2FD9C55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5.2317</w:t>
            </w:r>
          </w:p>
        </w:tc>
        <w:tc>
          <w:tcPr>
            <w:tcW w:w="316" w:type="pct"/>
            <w:noWrap w:val="0"/>
            <w:vAlign w:val="center"/>
          </w:tcPr>
          <w:p w14:paraId="4C7978C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0.0306</w:t>
            </w:r>
            <w:r>
              <w:rPr>
                <w:rFonts w:hint="eastAsia" w:ascii="Times New Roman" w:hAnsi="Times New Roman" w:eastAsia="宋体" w:cs="Times New Roman"/>
                <w:b w:val="0"/>
                <w:bCs/>
                <w:sz w:val="18"/>
                <w:szCs w:val="18"/>
                <w:u w:val="none"/>
                <w:lang w:val="en-US" w:eastAsia="zh-CN"/>
              </w:rPr>
              <w:t>3</w:t>
            </w:r>
          </w:p>
        </w:tc>
      </w:tr>
      <w:tr w14:paraId="2567679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57CD7E70">
            <w:pPr>
              <w:pStyle w:val="75"/>
              <w:rPr>
                <w:rFonts w:hint="default" w:ascii="Times New Roman" w:hAnsi="Times New Roman" w:cs="Times New Roman"/>
                <w:b w:val="0"/>
                <w:bCs/>
                <w:sz w:val="18"/>
                <w:szCs w:val="18"/>
                <w:u w:val="none"/>
              </w:rPr>
            </w:pPr>
          </w:p>
        </w:tc>
        <w:tc>
          <w:tcPr>
            <w:tcW w:w="397" w:type="pct"/>
            <w:noWrap w:val="0"/>
            <w:vAlign w:val="center"/>
          </w:tcPr>
          <w:p w14:paraId="6299A7A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30</w:t>
            </w:r>
          </w:p>
        </w:tc>
        <w:tc>
          <w:tcPr>
            <w:tcW w:w="291" w:type="pct"/>
            <w:noWrap w:val="0"/>
            <w:vAlign w:val="center"/>
          </w:tcPr>
          <w:p w14:paraId="0824AD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797439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7543F7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6B3F33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CA1FC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2184BB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10DD2C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5BF37C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04430AF7">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5" w:type="pct"/>
            <w:noWrap w:val="0"/>
            <w:vAlign w:val="center"/>
          </w:tcPr>
          <w:p w14:paraId="4C3B102B">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0.0001</w:t>
            </w:r>
          </w:p>
        </w:tc>
        <w:tc>
          <w:tcPr>
            <w:tcW w:w="315" w:type="pct"/>
            <w:noWrap w:val="0"/>
            <w:vAlign w:val="center"/>
          </w:tcPr>
          <w:p w14:paraId="4109C79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0.00549</w:t>
            </w:r>
          </w:p>
        </w:tc>
        <w:tc>
          <w:tcPr>
            <w:tcW w:w="315" w:type="pct"/>
            <w:noWrap w:val="0"/>
            <w:vAlign w:val="center"/>
          </w:tcPr>
          <w:p w14:paraId="5F2A4C33">
            <w:pPr>
              <w:pStyle w:val="75"/>
              <w:keepNext w:val="0"/>
              <w:keepLines w:val="0"/>
              <w:pageBreakBefore w:val="0"/>
              <w:kinsoku/>
              <w:wordWrap/>
              <w:overflowPunct/>
              <w:topLinePunct w:val="0"/>
              <w:autoSpaceDE/>
              <w:autoSpaceDN/>
              <w:bidi w:val="0"/>
              <w:adjustRightInd w:val="0"/>
              <w:snapToGrid w:val="0"/>
              <w:ind w:firstLine="0" w:firstLineChars="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0.114</w:t>
            </w:r>
            <w:r>
              <w:rPr>
                <w:rFonts w:hint="eastAsia" w:ascii="Times New Roman" w:hAnsi="Times New Roman" w:eastAsia="宋体" w:cs="Times New Roman"/>
                <w:b w:val="0"/>
                <w:bCs/>
                <w:sz w:val="18"/>
                <w:szCs w:val="18"/>
                <w:u w:val="none"/>
                <w:lang w:val="en-US" w:eastAsia="zh-CN"/>
              </w:rPr>
              <w:t>9</w:t>
            </w:r>
          </w:p>
        </w:tc>
        <w:tc>
          <w:tcPr>
            <w:tcW w:w="315" w:type="pct"/>
            <w:noWrap w:val="0"/>
            <w:vAlign w:val="center"/>
          </w:tcPr>
          <w:p w14:paraId="089CCB4F">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1.4577</w:t>
            </w:r>
          </w:p>
        </w:tc>
        <w:tc>
          <w:tcPr>
            <w:tcW w:w="316" w:type="pct"/>
            <w:noWrap w:val="0"/>
            <w:vAlign w:val="center"/>
          </w:tcPr>
          <w:p w14:paraId="3B676C32">
            <w:pPr>
              <w:pStyle w:val="75"/>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0.7867</w:t>
            </w:r>
          </w:p>
        </w:tc>
      </w:tr>
      <w:tr w14:paraId="7307893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5CF07BEF">
            <w:pPr>
              <w:pStyle w:val="75"/>
              <w:rPr>
                <w:rFonts w:hint="default" w:ascii="Times New Roman" w:hAnsi="Times New Roman" w:cs="Times New Roman"/>
                <w:b w:val="0"/>
                <w:bCs/>
                <w:sz w:val="18"/>
                <w:szCs w:val="18"/>
                <w:u w:val="none"/>
              </w:rPr>
            </w:pPr>
          </w:p>
        </w:tc>
        <w:tc>
          <w:tcPr>
            <w:tcW w:w="397" w:type="pct"/>
            <w:noWrap w:val="0"/>
            <w:vAlign w:val="center"/>
          </w:tcPr>
          <w:p w14:paraId="0442499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40</w:t>
            </w:r>
          </w:p>
        </w:tc>
        <w:tc>
          <w:tcPr>
            <w:tcW w:w="291" w:type="pct"/>
            <w:noWrap w:val="0"/>
            <w:vAlign w:val="center"/>
          </w:tcPr>
          <w:p w14:paraId="71E93E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32F3EB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99A533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697D14F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607F78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0A6BFD43">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507D2E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57C6E6E0">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6092F915">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3C99F31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42073997">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5E212D7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0.0001</w:t>
            </w:r>
          </w:p>
        </w:tc>
        <w:tc>
          <w:tcPr>
            <w:tcW w:w="315" w:type="pct"/>
            <w:noWrap w:val="0"/>
            <w:vAlign w:val="center"/>
          </w:tcPr>
          <w:p w14:paraId="43CFCBC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0.0061</w:t>
            </w:r>
          </w:p>
        </w:tc>
        <w:tc>
          <w:tcPr>
            <w:tcW w:w="316" w:type="pct"/>
            <w:noWrap w:val="0"/>
            <w:vAlign w:val="center"/>
          </w:tcPr>
          <w:p w14:paraId="6B41A75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3.431</w:t>
            </w:r>
            <w:r>
              <w:rPr>
                <w:rFonts w:hint="eastAsia" w:ascii="Times New Roman" w:hAnsi="Times New Roman" w:eastAsia="宋体" w:cs="Times New Roman"/>
                <w:b w:val="0"/>
                <w:bCs/>
                <w:sz w:val="18"/>
                <w:szCs w:val="18"/>
                <w:u w:val="none"/>
                <w:lang w:val="en-US" w:eastAsia="zh-CN"/>
              </w:rPr>
              <w:t>2</w:t>
            </w:r>
          </w:p>
        </w:tc>
      </w:tr>
      <w:tr w14:paraId="4B89C2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644CB16A">
            <w:pPr>
              <w:pStyle w:val="75"/>
              <w:rPr>
                <w:rFonts w:hint="default" w:ascii="Times New Roman" w:hAnsi="Times New Roman" w:cs="Times New Roman"/>
                <w:b w:val="0"/>
                <w:bCs/>
                <w:sz w:val="18"/>
                <w:szCs w:val="18"/>
                <w:u w:val="none"/>
              </w:rPr>
            </w:pPr>
          </w:p>
        </w:tc>
        <w:tc>
          <w:tcPr>
            <w:tcW w:w="397" w:type="pct"/>
            <w:noWrap w:val="0"/>
            <w:vAlign w:val="center"/>
          </w:tcPr>
          <w:p w14:paraId="1AD5EF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rPr>
            </w:pPr>
            <w:r>
              <w:rPr>
                <w:rFonts w:hint="default" w:ascii="Times New Roman" w:hAnsi="Times New Roman" w:eastAsia="宋体" w:cs="Times New Roman"/>
                <w:b w:val="0"/>
                <w:bCs/>
                <w:sz w:val="18"/>
                <w:szCs w:val="18"/>
                <w:u w:val="none"/>
                <w:lang w:val="en-US" w:eastAsia="zh-CN" w:bidi="ar-SA"/>
              </w:rPr>
              <w:t>60</w:t>
            </w:r>
          </w:p>
        </w:tc>
        <w:tc>
          <w:tcPr>
            <w:tcW w:w="291" w:type="pct"/>
            <w:noWrap w:val="0"/>
            <w:vAlign w:val="center"/>
          </w:tcPr>
          <w:p w14:paraId="0BD643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355695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42C215D">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78EA50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0BEFFFF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AC04310">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5F6D370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D482D3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491AF01C">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E8184FF">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0E7B0633">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D627B3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21EE6948">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16" w:type="pct"/>
            <w:noWrap w:val="0"/>
            <w:vAlign w:val="center"/>
          </w:tcPr>
          <w:p w14:paraId="2E0514AF">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0.180</w:t>
            </w:r>
            <w:r>
              <w:rPr>
                <w:rFonts w:hint="eastAsia" w:ascii="Times New Roman" w:hAnsi="Times New Roman" w:eastAsia="宋体" w:cs="Times New Roman"/>
                <w:b w:val="0"/>
                <w:bCs/>
                <w:sz w:val="18"/>
                <w:szCs w:val="18"/>
                <w:u w:val="none"/>
                <w:lang w:val="en-US" w:eastAsia="zh-CN"/>
              </w:rPr>
              <w:t>7</w:t>
            </w:r>
          </w:p>
        </w:tc>
      </w:tr>
      <w:tr w14:paraId="26645B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83" w:type="pct"/>
            <w:vMerge w:val="continue"/>
            <w:noWrap w:val="0"/>
            <w:vAlign w:val="center"/>
          </w:tcPr>
          <w:p w14:paraId="1E686CEF">
            <w:pPr>
              <w:pStyle w:val="75"/>
              <w:rPr>
                <w:rFonts w:hint="default" w:ascii="Times New Roman" w:hAnsi="Times New Roman" w:cs="Times New Roman"/>
                <w:b w:val="0"/>
                <w:bCs/>
                <w:sz w:val="18"/>
                <w:szCs w:val="18"/>
                <w:u w:val="none"/>
              </w:rPr>
            </w:pPr>
          </w:p>
        </w:tc>
        <w:tc>
          <w:tcPr>
            <w:tcW w:w="397" w:type="pct"/>
            <w:noWrap w:val="0"/>
            <w:vAlign w:val="center"/>
          </w:tcPr>
          <w:p w14:paraId="322A16B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b w:val="0"/>
                <w:bCs/>
                <w:sz w:val="18"/>
                <w:szCs w:val="18"/>
                <w:u w:val="none"/>
                <w:lang w:val="en-US"/>
              </w:rPr>
            </w:pPr>
            <w:r>
              <w:rPr>
                <w:rFonts w:hint="default" w:ascii="Times New Roman" w:hAnsi="Times New Roman" w:eastAsia="宋体" w:cs="Times New Roman"/>
                <w:b w:val="0"/>
                <w:bCs/>
                <w:sz w:val="18"/>
                <w:szCs w:val="18"/>
                <w:u w:val="none"/>
                <w:lang w:val="en-US" w:eastAsia="zh-CN" w:bidi="ar-SA"/>
              </w:rPr>
              <w:t>100</w:t>
            </w:r>
          </w:p>
        </w:tc>
        <w:tc>
          <w:tcPr>
            <w:tcW w:w="291" w:type="pct"/>
            <w:noWrap w:val="0"/>
            <w:vAlign w:val="center"/>
          </w:tcPr>
          <w:p w14:paraId="477E67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eastAsia" w:ascii="Times New Roman" w:hAnsi="Times New Roman" w:eastAsia="宋体" w:cs="Times New Roman"/>
                <w:b w:val="0"/>
                <w:bCs/>
                <w:sz w:val="18"/>
                <w:szCs w:val="18"/>
                <w:u w:val="none"/>
                <w:lang w:val="en-US" w:eastAsia="zh-CN"/>
              </w:rPr>
              <w:t>0</w:t>
            </w:r>
          </w:p>
        </w:tc>
        <w:tc>
          <w:tcPr>
            <w:tcW w:w="339" w:type="pct"/>
            <w:noWrap w:val="0"/>
            <w:vAlign w:val="center"/>
          </w:tcPr>
          <w:p w14:paraId="7550B3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C13F13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3E1CDFE">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6C85D9B7">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23D1BCA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0775581">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1AF7F6EB">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295889A9">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70E7AD3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031C797A">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660F8D56">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5" w:type="pct"/>
            <w:noWrap w:val="0"/>
            <w:vAlign w:val="center"/>
          </w:tcPr>
          <w:p w14:paraId="37C06950">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c>
          <w:tcPr>
            <w:tcW w:w="316" w:type="pct"/>
            <w:noWrap w:val="0"/>
            <w:vAlign w:val="center"/>
          </w:tcPr>
          <w:p w14:paraId="203B64B2">
            <w:pPr>
              <w:pStyle w:val="75"/>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b w:val="0"/>
                <w:bCs/>
                <w:sz w:val="18"/>
                <w:szCs w:val="18"/>
                <w:u w:val="none"/>
                <w:lang w:val="en-US" w:eastAsia="zh-CN"/>
              </w:rPr>
            </w:pPr>
            <w:r>
              <w:rPr>
                <w:rFonts w:hint="default" w:ascii="Times New Roman" w:hAnsi="Times New Roman" w:eastAsia="宋体" w:cs="Times New Roman"/>
                <w:b w:val="0"/>
                <w:bCs/>
                <w:sz w:val="18"/>
                <w:szCs w:val="18"/>
                <w:u w:val="none"/>
                <w:lang w:val="en-US" w:eastAsia="zh-CN"/>
              </w:rPr>
              <w:t>0</w:t>
            </w:r>
          </w:p>
        </w:tc>
      </w:tr>
    </w:tbl>
    <w:p w14:paraId="6B693E24">
      <w:pPr>
        <w:pStyle w:val="54"/>
        <w:ind w:firstLine="482"/>
        <w:rPr>
          <w:color w:val="FF0000"/>
          <w:highlight w:val="none"/>
        </w:rPr>
      </w:pPr>
    </w:p>
    <w:p w14:paraId="09A9AF10">
      <w:pPr>
        <w:pStyle w:val="54"/>
        <w:ind w:firstLine="482"/>
        <w:rPr>
          <w:color w:val="FF0000"/>
          <w:highlight w:val="none"/>
        </w:rPr>
      </w:pPr>
    </w:p>
    <w:p w14:paraId="1883FDE8">
      <w:pPr>
        <w:pStyle w:val="54"/>
        <w:ind w:firstLine="482"/>
        <w:rPr>
          <w:color w:val="FF0000"/>
          <w:highlight w:val="none"/>
        </w:rPr>
      </w:pPr>
    </w:p>
    <w:p w14:paraId="7BBC014D">
      <w:pPr>
        <w:pStyle w:val="54"/>
        <w:ind w:firstLine="482"/>
        <w:rPr>
          <w:color w:val="FF0000"/>
          <w:highlight w:val="none"/>
        </w:rPr>
      </w:pPr>
    </w:p>
    <w:p w14:paraId="47AB93ED">
      <w:pPr>
        <w:pStyle w:val="54"/>
        <w:ind w:firstLine="482"/>
        <w:rPr>
          <w:color w:val="FF0000"/>
          <w:highlight w:val="none"/>
        </w:rPr>
      </w:pPr>
    </w:p>
    <w:p w14:paraId="0F613977">
      <w:pPr>
        <w:ind w:firstLine="480"/>
        <w:rPr>
          <w:color w:val="FF0000"/>
          <w:highlight w:val="none"/>
        </w:rPr>
      </w:pPr>
    </w:p>
    <w:p w14:paraId="707D2936">
      <w:pPr>
        <w:ind w:firstLine="0" w:firstLineChars="0"/>
        <w:rPr>
          <w:color w:val="FF0000"/>
          <w:highlight w:val="none"/>
        </w:rPr>
        <w:sectPr>
          <w:pgSz w:w="16840" w:h="11910" w:orient="landscape"/>
          <w:pgMar w:top="1797" w:right="1440" w:bottom="1797" w:left="1440" w:header="851" w:footer="1134" w:gutter="0"/>
          <w:pgBorders>
            <w:top w:val="none" w:sz="0" w:space="0"/>
            <w:left w:val="none" w:sz="0" w:space="0"/>
            <w:bottom w:val="none" w:sz="0" w:space="0"/>
            <w:right w:val="none" w:sz="0" w:space="0"/>
          </w:pgBorders>
          <w:pgNumType w:fmt="decimal"/>
          <w:cols w:space="720" w:num="1"/>
          <w:docGrid w:linePitch="326" w:charSpace="0"/>
        </w:sectPr>
      </w:pPr>
    </w:p>
    <w:p w14:paraId="6E7809A3">
      <w:pPr>
        <w:pStyle w:val="78"/>
        <w:jc w:val="both"/>
        <w:rPr>
          <w:b w:val="0"/>
          <w:bCs/>
          <w:color w:val="000000" w:themeColor="text1"/>
          <w:highlight w:val="none"/>
          <w14:textFill>
            <w14:solidFill>
              <w14:schemeClr w14:val="tx1"/>
            </w14:solidFill>
          </w14:textFill>
        </w:rPr>
      </w:pPr>
      <w:r>
        <w:rPr>
          <w:rFonts w:hint="eastAsia"/>
          <w:b w:val="0"/>
          <w:bCs/>
          <w:color w:val="000000" w:themeColor="text1"/>
          <w:highlight w:val="none"/>
          <w14:textFill>
            <w14:solidFill>
              <w14:schemeClr w14:val="tx1"/>
            </w14:solidFill>
          </w14:textFill>
        </w:rPr>
        <w:t>非正常工况下总镍、铬对地下水的影响范围见下表：</w:t>
      </w:r>
    </w:p>
    <w:p w14:paraId="5F77EBC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5.6-11</w:t>
      </w:r>
      <w:r>
        <w:rPr>
          <w:rFonts w:hint="eastAsia" w:ascii="Times New Roman" w:hAnsi="Times New Roman"/>
          <w:color w:val="000000" w:themeColor="text1"/>
          <w14:textFill>
            <w14:solidFill>
              <w14:schemeClr w14:val="tx1"/>
            </w14:solidFill>
          </w14:textFill>
        </w:rPr>
        <w:t xml:space="preserve">    非正常工况下污染物对地下水的影响范围</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57" w:type="dxa"/>
          <w:bottom w:w="0" w:type="dxa"/>
          <w:right w:w="57" w:type="dxa"/>
        </w:tblCellMar>
      </w:tblPr>
      <w:tblGrid>
        <w:gridCol w:w="1822"/>
        <w:gridCol w:w="1259"/>
        <w:gridCol w:w="1467"/>
        <w:gridCol w:w="1468"/>
        <w:gridCol w:w="1273"/>
        <w:gridCol w:w="1138"/>
      </w:tblGrid>
      <w:tr w14:paraId="64C3788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vMerge w:val="restart"/>
            <w:noWrap w:val="0"/>
            <w:vAlign w:val="center"/>
          </w:tcPr>
          <w:p w14:paraId="6F9530FD">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时间</w:t>
            </w:r>
          </w:p>
        </w:tc>
        <w:tc>
          <w:tcPr>
            <w:tcW w:w="3918" w:type="pct"/>
            <w:gridSpan w:val="5"/>
            <w:noWrap w:val="0"/>
            <w:vAlign w:val="center"/>
          </w:tcPr>
          <w:p w14:paraId="7EF33298">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bCs/>
                <w:color w:val="auto"/>
                <w:u w:val="none"/>
                <w:lang w:val="en-US" w:eastAsia="zh-CN"/>
              </w:rPr>
            </w:pPr>
            <w:r>
              <w:rPr>
                <w:rFonts w:hint="default" w:ascii="Times New Roman" w:hAnsi="Times New Roman" w:cs="Times New Roman"/>
                <w:b/>
                <w:bCs/>
                <w:color w:val="auto"/>
                <w:u w:val="none"/>
                <w:lang w:val="en-US" w:eastAsia="zh-CN"/>
              </w:rPr>
              <w:t>镍</w:t>
            </w:r>
          </w:p>
        </w:tc>
      </w:tr>
      <w:tr w14:paraId="34AD01E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vMerge w:val="continue"/>
            <w:noWrap w:val="0"/>
            <w:vAlign w:val="center"/>
          </w:tcPr>
          <w:p w14:paraId="19494518">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p>
        </w:tc>
        <w:tc>
          <w:tcPr>
            <w:tcW w:w="747" w:type="pct"/>
            <w:noWrap w:val="0"/>
            <w:vAlign w:val="center"/>
          </w:tcPr>
          <w:p w14:paraId="0DF5FF6B">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达标距离m</w:t>
            </w:r>
          </w:p>
        </w:tc>
        <w:tc>
          <w:tcPr>
            <w:tcW w:w="870" w:type="pct"/>
            <w:noWrap w:val="0"/>
            <w:vAlign w:val="center"/>
          </w:tcPr>
          <w:p w14:paraId="243D41DD">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贡献值mg/L</w:t>
            </w:r>
          </w:p>
        </w:tc>
        <w:tc>
          <w:tcPr>
            <w:tcW w:w="871" w:type="pct"/>
            <w:noWrap w:val="0"/>
            <w:vAlign w:val="center"/>
          </w:tcPr>
          <w:p w14:paraId="723E126A">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u w:val="none"/>
              </w:rPr>
              <w:t>背景值</w:t>
            </w:r>
            <w:r>
              <w:rPr>
                <w:rFonts w:hint="default" w:ascii="Times New Roman" w:hAnsi="Times New Roman" w:cs="Times New Roman"/>
                <w:b/>
                <w:bCs/>
                <w:color w:val="auto"/>
                <w:u w:val="none"/>
              </w:rPr>
              <w:t>mg/L</w:t>
            </w:r>
          </w:p>
        </w:tc>
        <w:tc>
          <w:tcPr>
            <w:tcW w:w="755" w:type="pct"/>
            <w:noWrap w:val="0"/>
            <w:vAlign w:val="center"/>
          </w:tcPr>
          <w:p w14:paraId="2DE99B5B">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叠加值mg/L</w:t>
            </w:r>
          </w:p>
        </w:tc>
        <w:tc>
          <w:tcPr>
            <w:tcW w:w="675" w:type="pct"/>
            <w:noWrap w:val="0"/>
            <w:vAlign w:val="center"/>
          </w:tcPr>
          <w:p w14:paraId="5028FE0E">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标准mg/L</w:t>
            </w:r>
          </w:p>
        </w:tc>
      </w:tr>
      <w:tr w14:paraId="70E8B65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0F6B4AFC">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连续泄漏</w:t>
            </w:r>
            <w:r>
              <w:rPr>
                <w:rFonts w:hint="eastAsia" w:cs="Times New Roman"/>
                <w:b/>
                <w:bCs/>
                <w:u w:val="none"/>
                <w:lang w:val="en-US" w:eastAsia="zh-CN"/>
              </w:rPr>
              <w:t>365</w:t>
            </w:r>
            <w:r>
              <w:rPr>
                <w:rFonts w:hint="default" w:ascii="Times New Roman" w:hAnsi="Times New Roman" w:cs="Times New Roman"/>
                <w:b/>
                <w:bCs/>
                <w:u w:val="none"/>
              </w:rPr>
              <w:t>d</w:t>
            </w:r>
          </w:p>
        </w:tc>
        <w:tc>
          <w:tcPr>
            <w:tcW w:w="747" w:type="pct"/>
            <w:noWrap w:val="0"/>
            <w:vAlign w:val="center"/>
          </w:tcPr>
          <w:p w14:paraId="6F188C49">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8.8</w:t>
            </w:r>
          </w:p>
        </w:tc>
        <w:tc>
          <w:tcPr>
            <w:tcW w:w="870" w:type="pct"/>
            <w:noWrap w:val="0"/>
            <w:vAlign w:val="center"/>
          </w:tcPr>
          <w:p w14:paraId="58AC41C4">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871" w:type="pct"/>
            <w:vMerge w:val="restart"/>
            <w:noWrap w:val="0"/>
            <w:vAlign w:val="center"/>
          </w:tcPr>
          <w:p w14:paraId="7EE77114">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r>
              <w:rPr>
                <w:rFonts w:hint="default" w:ascii="Times New Roman" w:hAnsi="Times New Roman" w:cs="Times New Roman"/>
                <w:b w:val="0"/>
                <w:bCs w:val="0"/>
                <w:u w:val="none"/>
                <w:lang w:val="en-US" w:eastAsia="zh-CN"/>
              </w:rPr>
              <w:t>未检出</w:t>
            </w:r>
          </w:p>
        </w:tc>
        <w:tc>
          <w:tcPr>
            <w:tcW w:w="755" w:type="pct"/>
            <w:noWrap w:val="0"/>
            <w:vAlign w:val="center"/>
          </w:tcPr>
          <w:p w14:paraId="0FB3EE96">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675" w:type="pct"/>
            <w:noWrap w:val="0"/>
            <w:vAlign w:val="center"/>
          </w:tcPr>
          <w:p w14:paraId="0B0D3EBE">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0.02</w:t>
            </w:r>
          </w:p>
        </w:tc>
      </w:tr>
      <w:tr w14:paraId="590C03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0BAE6078">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泄漏停止后50d</w:t>
            </w:r>
          </w:p>
        </w:tc>
        <w:tc>
          <w:tcPr>
            <w:tcW w:w="747" w:type="pct"/>
            <w:noWrap w:val="0"/>
            <w:vAlign w:val="center"/>
          </w:tcPr>
          <w:p w14:paraId="6C37107D">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2.8</w:t>
            </w:r>
          </w:p>
        </w:tc>
        <w:tc>
          <w:tcPr>
            <w:tcW w:w="870" w:type="pct"/>
            <w:noWrap w:val="0"/>
            <w:vAlign w:val="center"/>
          </w:tcPr>
          <w:p w14:paraId="4503CD8A">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0.014</w:t>
            </w:r>
          </w:p>
        </w:tc>
        <w:tc>
          <w:tcPr>
            <w:tcW w:w="871" w:type="pct"/>
            <w:vMerge w:val="continue"/>
            <w:noWrap w:val="0"/>
            <w:vAlign w:val="center"/>
          </w:tcPr>
          <w:p w14:paraId="0458B2F9">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5F267BBE">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0.014</w:t>
            </w:r>
          </w:p>
        </w:tc>
        <w:tc>
          <w:tcPr>
            <w:tcW w:w="675" w:type="pct"/>
            <w:noWrap w:val="0"/>
            <w:vAlign w:val="center"/>
          </w:tcPr>
          <w:p w14:paraId="34378036">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0.02</w:t>
            </w:r>
          </w:p>
        </w:tc>
      </w:tr>
      <w:tr w14:paraId="744988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1582F143">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泄漏停止后100d</w:t>
            </w:r>
          </w:p>
        </w:tc>
        <w:tc>
          <w:tcPr>
            <w:tcW w:w="747" w:type="pct"/>
            <w:noWrap w:val="0"/>
            <w:vAlign w:val="center"/>
          </w:tcPr>
          <w:p w14:paraId="30BF8203">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4.1</w:t>
            </w:r>
          </w:p>
        </w:tc>
        <w:tc>
          <w:tcPr>
            <w:tcW w:w="870" w:type="pct"/>
            <w:noWrap w:val="0"/>
            <w:vAlign w:val="center"/>
          </w:tcPr>
          <w:p w14:paraId="529668E1">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0.016</w:t>
            </w:r>
          </w:p>
        </w:tc>
        <w:tc>
          <w:tcPr>
            <w:tcW w:w="871" w:type="pct"/>
            <w:vMerge w:val="continue"/>
            <w:noWrap w:val="0"/>
            <w:vAlign w:val="center"/>
          </w:tcPr>
          <w:p w14:paraId="5819A9BB">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6B9FC0DA">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0.016</w:t>
            </w:r>
          </w:p>
        </w:tc>
        <w:tc>
          <w:tcPr>
            <w:tcW w:w="675" w:type="pct"/>
            <w:noWrap w:val="0"/>
            <w:vAlign w:val="center"/>
          </w:tcPr>
          <w:p w14:paraId="2F2B6FEB">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0.02</w:t>
            </w:r>
          </w:p>
        </w:tc>
      </w:tr>
      <w:tr w14:paraId="44513CA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6BAF0315">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泄漏停止后500d</w:t>
            </w:r>
          </w:p>
        </w:tc>
        <w:tc>
          <w:tcPr>
            <w:tcW w:w="747" w:type="pct"/>
            <w:noWrap w:val="0"/>
            <w:vAlign w:val="center"/>
          </w:tcPr>
          <w:p w14:paraId="71E9EEDA">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10.5</w:t>
            </w:r>
          </w:p>
        </w:tc>
        <w:tc>
          <w:tcPr>
            <w:tcW w:w="870" w:type="pct"/>
            <w:noWrap w:val="0"/>
            <w:vAlign w:val="center"/>
          </w:tcPr>
          <w:p w14:paraId="49874A96">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871" w:type="pct"/>
            <w:vMerge w:val="continue"/>
            <w:noWrap w:val="0"/>
            <w:vAlign w:val="center"/>
          </w:tcPr>
          <w:p w14:paraId="181C56A6">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1E12A16D">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675" w:type="pct"/>
            <w:noWrap w:val="0"/>
            <w:vAlign w:val="center"/>
          </w:tcPr>
          <w:p w14:paraId="39656D7F">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0.02</w:t>
            </w:r>
          </w:p>
        </w:tc>
      </w:tr>
      <w:tr w14:paraId="1720FA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75649703">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泄漏停止后1000d</w:t>
            </w:r>
          </w:p>
        </w:tc>
        <w:tc>
          <w:tcPr>
            <w:tcW w:w="1259" w:type="dxa"/>
            <w:noWrap w:val="0"/>
            <w:vAlign w:val="center"/>
          </w:tcPr>
          <w:p w14:paraId="71754DC3">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16.6</w:t>
            </w:r>
          </w:p>
        </w:tc>
        <w:tc>
          <w:tcPr>
            <w:tcW w:w="1467" w:type="dxa"/>
            <w:noWrap w:val="0"/>
            <w:vAlign w:val="center"/>
          </w:tcPr>
          <w:p w14:paraId="48F126E7">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871" w:type="pct"/>
            <w:vMerge w:val="continue"/>
            <w:noWrap w:val="0"/>
            <w:vAlign w:val="center"/>
          </w:tcPr>
          <w:p w14:paraId="7E633FFD">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3EF5710E">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0.018</w:t>
            </w:r>
          </w:p>
        </w:tc>
        <w:tc>
          <w:tcPr>
            <w:tcW w:w="675" w:type="pct"/>
            <w:noWrap w:val="0"/>
            <w:vAlign w:val="center"/>
          </w:tcPr>
          <w:p w14:paraId="3ABC66B1">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0.02</w:t>
            </w:r>
          </w:p>
        </w:tc>
      </w:tr>
      <w:tr w14:paraId="4AA82C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vMerge w:val="restart"/>
            <w:noWrap w:val="0"/>
            <w:vAlign w:val="center"/>
          </w:tcPr>
          <w:p w14:paraId="305355BD">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时间</w:t>
            </w:r>
          </w:p>
        </w:tc>
        <w:tc>
          <w:tcPr>
            <w:tcW w:w="3918" w:type="pct"/>
            <w:gridSpan w:val="5"/>
            <w:noWrap w:val="0"/>
            <w:vAlign w:val="center"/>
          </w:tcPr>
          <w:p w14:paraId="1167C4C2">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color w:val="auto"/>
                <w:u w:val="none"/>
                <w:lang w:eastAsia="zh-CN"/>
              </w:rPr>
            </w:pPr>
            <w:r>
              <w:rPr>
                <w:rFonts w:hint="default" w:ascii="Times New Roman" w:hAnsi="Times New Roman" w:cs="Times New Roman"/>
                <w:b/>
                <w:bCs/>
                <w:color w:val="auto"/>
                <w:u w:val="none"/>
                <w:lang w:val="en-US" w:eastAsia="zh-CN"/>
              </w:rPr>
              <w:t>铬</w:t>
            </w:r>
          </w:p>
        </w:tc>
      </w:tr>
      <w:tr w14:paraId="071599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vMerge w:val="continue"/>
            <w:noWrap w:val="0"/>
            <w:vAlign w:val="center"/>
          </w:tcPr>
          <w:p w14:paraId="3E07ECAB">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p>
        </w:tc>
        <w:tc>
          <w:tcPr>
            <w:tcW w:w="747" w:type="pct"/>
            <w:noWrap w:val="0"/>
            <w:vAlign w:val="center"/>
          </w:tcPr>
          <w:p w14:paraId="136BC79D">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达标距离m</w:t>
            </w:r>
          </w:p>
        </w:tc>
        <w:tc>
          <w:tcPr>
            <w:tcW w:w="870" w:type="pct"/>
            <w:noWrap w:val="0"/>
            <w:vAlign w:val="center"/>
          </w:tcPr>
          <w:p w14:paraId="3531749B">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贡献值mg/L</w:t>
            </w:r>
          </w:p>
        </w:tc>
        <w:tc>
          <w:tcPr>
            <w:tcW w:w="871" w:type="pct"/>
            <w:noWrap w:val="0"/>
            <w:vAlign w:val="center"/>
          </w:tcPr>
          <w:p w14:paraId="0794ACBA">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u w:val="none"/>
              </w:rPr>
              <w:t>背景值</w:t>
            </w:r>
            <w:r>
              <w:rPr>
                <w:rFonts w:hint="default" w:ascii="Times New Roman" w:hAnsi="Times New Roman" w:cs="Times New Roman"/>
                <w:b/>
                <w:bCs/>
                <w:color w:val="auto"/>
                <w:u w:val="none"/>
              </w:rPr>
              <w:t>mg/L</w:t>
            </w:r>
          </w:p>
        </w:tc>
        <w:tc>
          <w:tcPr>
            <w:tcW w:w="755" w:type="pct"/>
            <w:noWrap w:val="0"/>
            <w:vAlign w:val="center"/>
          </w:tcPr>
          <w:p w14:paraId="41FC3439">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叠加值mg/L</w:t>
            </w:r>
          </w:p>
        </w:tc>
        <w:tc>
          <w:tcPr>
            <w:tcW w:w="675" w:type="pct"/>
            <w:noWrap w:val="0"/>
            <w:vAlign w:val="center"/>
          </w:tcPr>
          <w:p w14:paraId="26A3CAFA">
            <w:pPr>
              <w:pStyle w:val="81"/>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color w:val="auto"/>
                <w:u w:val="none"/>
              </w:rPr>
            </w:pPr>
            <w:r>
              <w:rPr>
                <w:rFonts w:hint="default" w:ascii="Times New Roman" w:hAnsi="Times New Roman" w:cs="Times New Roman"/>
                <w:b/>
                <w:bCs/>
                <w:color w:val="auto"/>
                <w:u w:val="none"/>
              </w:rPr>
              <w:t>标准mg/L</w:t>
            </w:r>
          </w:p>
        </w:tc>
      </w:tr>
      <w:tr w14:paraId="7A7FF8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091DE4E1">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连续泄漏</w:t>
            </w:r>
            <w:r>
              <w:rPr>
                <w:rFonts w:hint="eastAsia" w:cs="Times New Roman"/>
                <w:b/>
                <w:bCs/>
                <w:u w:val="none"/>
                <w:lang w:val="en-US" w:eastAsia="zh-CN"/>
              </w:rPr>
              <w:t>365</w:t>
            </w:r>
            <w:r>
              <w:rPr>
                <w:rFonts w:hint="default" w:ascii="Times New Roman" w:hAnsi="Times New Roman" w:cs="Times New Roman"/>
                <w:b/>
                <w:bCs/>
                <w:u w:val="none"/>
              </w:rPr>
              <w:t>d</w:t>
            </w:r>
          </w:p>
        </w:tc>
        <w:tc>
          <w:tcPr>
            <w:tcW w:w="747" w:type="pct"/>
            <w:noWrap w:val="0"/>
            <w:vAlign w:val="center"/>
          </w:tcPr>
          <w:p w14:paraId="3F44DFFC">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7.5</w:t>
            </w:r>
          </w:p>
        </w:tc>
        <w:tc>
          <w:tcPr>
            <w:tcW w:w="870" w:type="pct"/>
            <w:noWrap w:val="0"/>
            <w:vAlign w:val="center"/>
          </w:tcPr>
          <w:p w14:paraId="5F06430F">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0.048</w:t>
            </w:r>
          </w:p>
        </w:tc>
        <w:tc>
          <w:tcPr>
            <w:tcW w:w="871" w:type="pct"/>
            <w:vMerge w:val="restart"/>
            <w:noWrap w:val="0"/>
            <w:vAlign w:val="center"/>
          </w:tcPr>
          <w:p w14:paraId="1FC5D57E">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r>
              <w:rPr>
                <w:rFonts w:hint="default" w:ascii="Times New Roman" w:hAnsi="Times New Roman" w:cs="Times New Roman"/>
                <w:b w:val="0"/>
                <w:bCs w:val="0"/>
                <w:u w:val="none"/>
                <w:lang w:eastAsia="zh-CN"/>
              </w:rPr>
              <w:t>未检出</w:t>
            </w:r>
          </w:p>
        </w:tc>
        <w:tc>
          <w:tcPr>
            <w:tcW w:w="755" w:type="pct"/>
            <w:noWrap w:val="0"/>
            <w:vAlign w:val="center"/>
          </w:tcPr>
          <w:p w14:paraId="76A1438F">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0.048</w:t>
            </w:r>
          </w:p>
        </w:tc>
        <w:tc>
          <w:tcPr>
            <w:tcW w:w="675" w:type="pct"/>
            <w:noWrap w:val="0"/>
            <w:vAlign w:val="center"/>
          </w:tcPr>
          <w:p w14:paraId="22B926F7">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0.05</w:t>
            </w:r>
          </w:p>
        </w:tc>
      </w:tr>
      <w:tr w14:paraId="31FED8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45D0ADED">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泄漏停止后50d</w:t>
            </w:r>
          </w:p>
        </w:tc>
        <w:tc>
          <w:tcPr>
            <w:tcW w:w="747" w:type="pct"/>
            <w:noWrap w:val="0"/>
            <w:vAlign w:val="center"/>
          </w:tcPr>
          <w:p w14:paraId="6005DC44">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2.3</w:t>
            </w:r>
          </w:p>
        </w:tc>
        <w:tc>
          <w:tcPr>
            <w:tcW w:w="870" w:type="pct"/>
            <w:noWrap w:val="0"/>
            <w:vAlign w:val="center"/>
          </w:tcPr>
          <w:p w14:paraId="6357A3D3">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0.046</w:t>
            </w:r>
          </w:p>
        </w:tc>
        <w:tc>
          <w:tcPr>
            <w:tcW w:w="871" w:type="pct"/>
            <w:vMerge w:val="continue"/>
            <w:noWrap w:val="0"/>
            <w:vAlign w:val="center"/>
          </w:tcPr>
          <w:p w14:paraId="25B6B782">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17F39498">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0.046</w:t>
            </w:r>
          </w:p>
        </w:tc>
        <w:tc>
          <w:tcPr>
            <w:tcW w:w="675" w:type="pct"/>
            <w:noWrap w:val="0"/>
            <w:vAlign w:val="center"/>
          </w:tcPr>
          <w:p w14:paraId="18ABA421">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0.05</w:t>
            </w:r>
          </w:p>
        </w:tc>
      </w:tr>
      <w:tr w14:paraId="6717EE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62F3CD91">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泄漏停止后100d</w:t>
            </w:r>
          </w:p>
        </w:tc>
        <w:tc>
          <w:tcPr>
            <w:tcW w:w="747" w:type="pct"/>
            <w:noWrap w:val="0"/>
            <w:vAlign w:val="center"/>
          </w:tcPr>
          <w:p w14:paraId="7A1E9188">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3.4</w:t>
            </w:r>
          </w:p>
        </w:tc>
        <w:tc>
          <w:tcPr>
            <w:tcW w:w="870" w:type="pct"/>
            <w:noWrap w:val="0"/>
            <w:vAlign w:val="center"/>
          </w:tcPr>
          <w:p w14:paraId="03BC3C19">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0.049</w:t>
            </w:r>
          </w:p>
        </w:tc>
        <w:tc>
          <w:tcPr>
            <w:tcW w:w="871" w:type="pct"/>
            <w:vMerge w:val="continue"/>
            <w:noWrap w:val="0"/>
            <w:vAlign w:val="center"/>
          </w:tcPr>
          <w:p w14:paraId="7BFF9DFC">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3668F187">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0.049</w:t>
            </w:r>
          </w:p>
        </w:tc>
        <w:tc>
          <w:tcPr>
            <w:tcW w:w="675" w:type="pct"/>
            <w:noWrap w:val="0"/>
            <w:vAlign w:val="center"/>
          </w:tcPr>
          <w:p w14:paraId="3D32FA0D">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0.05</w:t>
            </w:r>
          </w:p>
        </w:tc>
      </w:tr>
      <w:tr w14:paraId="48C1B08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4FC12855">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泄漏停止后500d</w:t>
            </w:r>
          </w:p>
        </w:tc>
        <w:tc>
          <w:tcPr>
            <w:tcW w:w="747" w:type="pct"/>
            <w:noWrap w:val="0"/>
            <w:vAlign w:val="center"/>
          </w:tcPr>
          <w:p w14:paraId="741C7C7C">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9</w:t>
            </w:r>
          </w:p>
        </w:tc>
        <w:tc>
          <w:tcPr>
            <w:tcW w:w="870" w:type="pct"/>
            <w:noWrap w:val="0"/>
            <w:vAlign w:val="center"/>
          </w:tcPr>
          <w:p w14:paraId="22F7957E">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0.044</w:t>
            </w:r>
          </w:p>
        </w:tc>
        <w:tc>
          <w:tcPr>
            <w:tcW w:w="871" w:type="pct"/>
            <w:vMerge w:val="continue"/>
            <w:noWrap w:val="0"/>
            <w:vAlign w:val="center"/>
          </w:tcPr>
          <w:p w14:paraId="574F936D">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rPr>
            </w:pPr>
          </w:p>
        </w:tc>
        <w:tc>
          <w:tcPr>
            <w:tcW w:w="755" w:type="pct"/>
            <w:noWrap w:val="0"/>
            <w:vAlign w:val="center"/>
          </w:tcPr>
          <w:p w14:paraId="4B06FDA0">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0.044</w:t>
            </w:r>
          </w:p>
        </w:tc>
        <w:tc>
          <w:tcPr>
            <w:tcW w:w="675" w:type="pct"/>
            <w:noWrap w:val="0"/>
            <w:vAlign w:val="center"/>
          </w:tcPr>
          <w:p w14:paraId="4B6A4540">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0.05</w:t>
            </w:r>
          </w:p>
        </w:tc>
      </w:tr>
      <w:tr w14:paraId="080B6C7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1081" w:type="pct"/>
            <w:noWrap w:val="0"/>
            <w:vAlign w:val="center"/>
          </w:tcPr>
          <w:p w14:paraId="5EC871EB">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bCs/>
                <w:u w:val="none"/>
              </w:rPr>
            </w:pPr>
            <w:r>
              <w:rPr>
                <w:rFonts w:hint="default" w:ascii="Times New Roman" w:hAnsi="Times New Roman" w:cs="Times New Roman"/>
                <w:b/>
                <w:bCs/>
                <w:u w:val="none"/>
              </w:rPr>
              <w:t>泄漏停止后1000d</w:t>
            </w:r>
          </w:p>
        </w:tc>
        <w:tc>
          <w:tcPr>
            <w:tcW w:w="747" w:type="pct"/>
            <w:noWrap w:val="0"/>
            <w:vAlign w:val="center"/>
          </w:tcPr>
          <w:p w14:paraId="32F80715">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14.4</w:t>
            </w:r>
          </w:p>
        </w:tc>
        <w:tc>
          <w:tcPr>
            <w:tcW w:w="870" w:type="pct"/>
            <w:noWrap w:val="0"/>
            <w:vAlign w:val="center"/>
          </w:tcPr>
          <w:p w14:paraId="14B12964">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0.048</w:t>
            </w:r>
          </w:p>
        </w:tc>
        <w:tc>
          <w:tcPr>
            <w:tcW w:w="871" w:type="pct"/>
            <w:vMerge w:val="continue"/>
            <w:noWrap w:val="0"/>
            <w:vAlign w:val="center"/>
          </w:tcPr>
          <w:p w14:paraId="10BDCF3B">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cs="Times New Roman"/>
                <w:b w:val="0"/>
                <w:bCs w:val="0"/>
                <w:u w:val="none"/>
                <w:lang w:val="en-US" w:eastAsia="zh-CN"/>
              </w:rPr>
            </w:pPr>
          </w:p>
        </w:tc>
        <w:tc>
          <w:tcPr>
            <w:tcW w:w="755" w:type="pct"/>
            <w:noWrap w:val="0"/>
            <w:vAlign w:val="center"/>
          </w:tcPr>
          <w:p w14:paraId="62642D36">
            <w:pPr>
              <w:pStyle w:val="75"/>
              <w:keepNext w:val="0"/>
              <w:keepLines w:val="0"/>
              <w:pageBreakBefore w:val="0"/>
              <w:widowControl/>
              <w:kinsoku/>
              <w:wordWrap/>
              <w:overflowPunct/>
              <w:topLinePunct/>
              <w:autoSpaceDE/>
              <w:autoSpaceDN/>
              <w:bidi w:val="0"/>
              <w:adjustRightInd w:val="0"/>
              <w:snapToGrid w:val="0"/>
              <w:ind w:firstLine="0" w:firstLineChars="0"/>
              <w:rPr>
                <w:rFonts w:hint="default" w:ascii="Times New Roman" w:hAnsi="Times New Roman" w:eastAsia="宋体" w:cs="Times New Roman"/>
                <w:b w:val="0"/>
                <w:bCs w:val="0"/>
                <w:u w:val="none"/>
                <w:lang w:val="en-US" w:eastAsia="zh-CN"/>
              </w:rPr>
            </w:pPr>
            <w:r>
              <w:rPr>
                <w:rFonts w:hint="eastAsia" w:cs="Times New Roman"/>
                <w:b w:val="0"/>
                <w:bCs w:val="0"/>
                <w:u w:val="none"/>
                <w:lang w:val="en-US" w:eastAsia="zh-CN"/>
              </w:rPr>
              <w:t>0.048</w:t>
            </w:r>
          </w:p>
        </w:tc>
        <w:tc>
          <w:tcPr>
            <w:tcW w:w="675" w:type="pct"/>
            <w:noWrap w:val="0"/>
            <w:vAlign w:val="center"/>
          </w:tcPr>
          <w:p w14:paraId="1F48BFFB">
            <w:pPr>
              <w:pStyle w:val="75"/>
              <w:keepNext w:val="0"/>
              <w:keepLines w:val="0"/>
              <w:pageBreakBefore w:val="0"/>
              <w:widowControl/>
              <w:kinsoku/>
              <w:wordWrap/>
              <w:overflowPunct/>
              <w:topLinePunct/>
              <w:autoSpaceDE/>
              <w:autoSpaceDN/>
              <w:bidi w:val="0"/>
              <w:adjustRightInd w:val="0"/>
              <w:snapToGrid w:val="0"/>
              <w:rPr>
                <w:rFonts w:hint="default" w:ascii="Times New Roman" w:hAnsi="Times New Roman" w:eastAsia="宋体" w:cs="Times New Roman"/>
                <w:b w:val="0"/>
                <w:bCs w:val="0"/>
                <w:u w:val="none"/>
                <w:lang w:val="en-US" w:eastAsia="zh-CN"/>
              </w:rPr>
            </w:pPr>
            <w:r>
              <w:rPr>
                <w:rFonts w:hint="eastAsia" w:ascii="Times New Roman" w:hAnsi="Times New Roman" w:eastAsia="宋体" w:cs="Times New Roman"/>
                <w:b w:val="0"/>
                <w:bCs w:val="0"/>
                <w:u w:val="none"/>
                <w:lang w:val="en-US" w:eastAsia="zh-CN"/>
              </w:rPr>
              <w:t>0.05</w:t>
            </w:r>
          </w:p>
        </w:tc>
      </w:tr>
    </w:tbl>
    <w:p w14:paraId="1ECBEB8A">
      <w:pPr>
        <w:pStyle w:val="13"/>
        <w:ind w:firstLine="422"/>
        <w:rPr>
          <w:rFonts w:hint="default" w:ascii="Times New Roman" w:hAnsi="Times New Roman" w:cs="Times New Roman"/>
          <w:b/>
          <w:bCs/>
          <w:u w:val="none"/>
        </w:rPr>
      </w:pPr>
      <w:r>
        <w:rPr>
          <w:rFonts w:hint="default" w:ascii="Times New Roman" w:hAnsi="Times New Roman" w:cs="Times New Roman"/>
          <w:b/>
          <w:bCs/>
          <w:u w:val="none"/>
        </w:rPr>
        <w:t>注：总铬没有地下水环境质量标准，本次评价参照六价铬标准0.05mg/L进行预测。</w:t>
      </w:r>
    </w:p>
    <w:p w14:paraId="39D9C404">
      <w:pPr>
        <w:keepNext w:val="0"/>
        <w:keepLines w:val="0"/>
        <w:pageBreakBefore w:val="0"/>
        <w:widowControl w:val="0"/>
        <w:kinsoku/>
        <w:wordWrap/>
        <w:overflowPunct/>
        <w:topLinePunct w:val="0"/>
        <w:autoSpaceDE/>
        <w:autoSpaceDN/>
        <w:bidi w:val="0"/>
        <w:adjustRightInd w:val="0"/>
        <w:snapToGrid w:val="0"/>
        <w:ind w:firstLine="480"/>
        <w:textAlignment w:val="baseline"/>
        <w:rPr>
          <w:rFonts w:hint="default" w:ascii="Times New Roman" w:hAnsi="Times New Roman" w:cs="Times New Roman"/>
          <w:b w:val="0"/>
          <w:bCs w:val="0"/>
          <w:color w:val="000000" w:themeColor="text1"/>
          <w:u w:val="none"/>
          <w14:textFill>
            <w14:solidFill>
              <w14:schemeClr w14:val="tx1"/>
            </w14:solidFill>
          </w14:textFill>
        </w:rPr>
      </w:pPr>
      <w:r>
        <w:rPr>
          <w:rFonts w:hint="default" w:ascii="Times New Roman" w:hAnsi="Times New Roman" w:cs="Times New Roman"/>
          <w:b w:val="0"/>
          <w:bCs w:val="0"/>
          <w:color w:val="000000" w:themeColor="text1"/>
          <w:u w:val="none"/>
          <w14:textFill>
            <w14:solidFill>
              <w14:schemeClr w14:val="tx1"/>
            </w14:solidFill>
          </w14:textFill>
        </w:rPr>
        <w:t>在项目连续泄漏</w:t>
      </w:r>
      <w:r>
        <w:rPr>
          <w:rFonts w:hint="default" w:ascii="Times New Roman" w:hAnsi="Times New Roman" w:cs="Times New Roman"/>
          <w:b w:val="0"/>
          <w:bCs w:val="0"/>
          <w:color w:val="000000" w:themeColor="text1"/>
          <w:u w:val="none"/>
          <w:lang w:val="en-US" w:eastAsia="zh-CN"/>
          <w14:textFill>
            <w14:solidFill>
              <w14:schemeClr w14:val="tx1"/>
            </w14:solidFill>
          </w14:textFill>
        </w:rPr>
        <w:t>365</w:t>
      </w:r>
      <w:r>
        <w:rPr>
          <w:rFonts w:hint="default" w:ascii="Times New Roman" w:hAnsi="Times New Roman" w:cs="Times New Roman"/>
          <w:b w:val="0"/>
          <w:bCs w:val="0"/>
          <w:color w:val="000000" w:themeColor="text1"/>
          <w:u w:val="none"/>
          <w14:textFill>
            <w14:solidFill>
              <w14:schemeClr w14:val="tx1"/>
            </w14:solidFill>
          </w14:textFill>
        </w:rPr>
        <w:t>天停止后100d、500d、1000d，</w:t>
      </w:r>
      <w:r>
        <w:rPr>
          <w:rFonts w:hint="default" w:ascii="Times New Roman" w:hAnsi="Times New Roman" w:cs="Times New Roman"/>
          <w:b w:val="0"/>
          <w:bCs w:val="0"/>
          <w:color w:val="000000" w:themeColor="text1"/>
          <w:u w:val="none"/>
          <w:lang w:val="en-US" w:eastAsia="zh-CN"/>
          <w14:textFill>
            <w14:solidFill>
              <w14:schemeClr w14:val="tx1"/>
            </w14:solidFill>
          </w14:textFill>
        </w:rPr>
        <w:t>总镍</w:t>
      </w:r>
      <w:r>
        <w:rPr>
          <w:rFonts w:hint="default" w:ascii="Times New Roman" w:hAnsi="Times New Roman" w:cs="Times New Roman"/>
          <w:b w:val="0"/>
          <w:bCs w:val="0"/>
          <w:color w:val="000000" w:themeColor="text1"/>
          <w:u w:val="none"/>
          <w14:textFill>
            <w14:solidFill>
              <w14:schemeClr w14:val="tx1"/>
            </w14:solidFill>
          </w14:textFill>
        </w:rPr>
        <w:t>对区域地下水质量造成影响的范围为下游</w:t>
      </w:r>
      <w:r>
        <w:rPr>
          <w:rFonts w:hint="eastAsia" w:cs="Times New Roman"/>
          <w:b w:val="0"/>
          <w:bCs w:val="0"/>
          <w:color w:val="000000" w:themeColor="text1"/>
          <w:u w:val="none"/>
          <w:lang w:val="en-US" w:eastAsia="zh-CN"/>
          <w14:textFill>
            <w14:solidFill>
              <w14:schemeClr w14:val="tx1"/>
            </w14:solidFill>
          </w14:textFill>
        </w:rPr>
        <w:t>4.1</w:t>
      </w:r>
      <w:r>
        <w:rPr>
          <w:rFonts w:hint="default" w:ascii="Times New Roman" w:hAnsi="Times New Roman" w:cs="Times New Roman"/>
          <w:b w:val="0"/>
          <w:bCs w:val="0"/>
          <w:color w:val="000000" w:themeColor="text1"/>
          <w:u w:val="none"/>
          <w14:textFill>
            <w14:solidFill>
              <w14:schemeClr w14:val="tx1"/>
            </w14:solidFill>
          </w14:textFill>
        </w:rPr>
        <w:t>m、</w:t>
      </w:r>
      <w:r>
        <w:rPr>
          <w:rFonts w:hint="eastAsia" w:cs="Times New Roman"/>
          <w:b w:val="0"/>
          <w:bCs w:val="0"/>
          <w:color w:val="000000" w:themeColor="text1"/>
          <w:u w:val="none"/>
          <w:lang w:val="en-US" w:eastAsia="zh-CN"/>
          <w14:textFill>
            <w14:solidFill>
              <w14:schemeClr w14:val="tx1"/>
            </w14:solidFill>
          </w14:textFill>
        </w:rPr>
        <w:t>10.5</w:t>
      </w:r>
      <w:r>
        <w:rPr>
          <w:rFonts w:hint="default" w:ascii="Times New Roman" w:hAnsi="Times New Roman" w:cs="Times New Roman"/>
          <w:b w:val="0"/>
          <w:bCs w:val="0"/>
          <w:color w:val="000000" w:themeColor="text1"/>
          <w:u w:val="none"/>
          <w14:textFill>
            <w14:solidFill>
              <w14:schemeClr w14:val="tx1"/>
            </w14:solidFill>
          </w14:textFill>
        </w:rPr>
        <w:t>m和</w:t>
      </w:r>
      <w:r>
        <w:rPr>
          <w:rFonts w:hint="eastAsia" w:cs="Times New Roman"/>
          <w:b w:val="0"/>
          <w:bCs w:val="0"/>
          <w:color w:val="000000" w:themeColor="text1"/>
          <w:u w:val="none"/>
          <w:lang w:val="en-US" w:eastAsia="zh-CN"/>
          <w14:textFill>
            <w14:solidFill>
              <w14:schemeClr w14:val="tx1"/>
            </w14:solidFill>
          </w14:textFill>
        </w:rPr>
        <w:t>16.6</w:t>
      </w:r>
      <w:r>
        <w:rPr>
          <w:rFonts w:hint="default" w:ascii="Times New Roman" w:hAnsi="Times New Roman" w:cs="Times New Roman"/>
          <w:b w:val="0"/>
          <w:bCs w:val="0"/>
          <w:color w:val="000000" w:themeColor="text1"/>
          <w:u w:val="none"/>
          <w14:textFill>
            <w14:solidFill>
              <w14:schemeClr w14:val="tx1"/>
            </w14:solidFill>
          </w14:textFill>
        </w:rPr>
        <w:t>m；</w:t>
      </w:r>
      <w:r>
        <w:rPr>
          <w:rFonts w:hint="default" w:ascii="Times New Roman" w:hAnsi="Times New Roman" w:cs="Times New Roman"/>
          <w:b w:val="0"/>
          <w:bCs w:val="0"/>
          <w:color w:val="000000" w:themeColor="text1"/>
          <w:u w:val="none"/>
          <w:lang w:val="en-US" w:eastAsia="zh-CN"/>
          <w14:textFill>
            <w14:solidFill>
              <w14:schemeClr w14:val="tx1"/>
            </w14:solidFill>
          </w14:textFill>
        </w:rPr>
        <w:t>总铬</w:t>
      </w:r>
      <w:r>
        <w:rPr>
          <w:rFonts w:hint="default" w:ascii="Times New Roman" w:hAnsi="Times New Roman" w:cs="Times New Roman"/>
          <w:b w:val="0"/>
          <w:bCs w:val="0"/>
          <w:color w:val="000000" w:themeColor="text1"/>
          <w:u w:val="none"/>
          <w14:textFill>
            <w14:solidFill>
              <w14:schemeClr w14:val="tx1"/>
            </w14:solidFill>
          </w14:textFill>
        </w:rPr>
        <w:t>对区域地下水质量造成影响的范围为下游</w:t>
      </w:r>
      <w:r>
        <w:rPr>
          <w:rFonts w:hint="eastAsia" w:cs="Times New Roman"/>
          <w:b w:val="0"/>
          <w:bCs w:val="0"/>
          <w:color w:val="000000" w:themeColor="text1"/>
          <w:u w:val="none"/>
          <w:lang w:val="en-US" w:eastAsia="zh-CN"/>
          <w14:textFill>
            <w14:solidFill>
              <w14:schemeClr w14:val="tx1"/>
            </w14:solidFill>
          </w14:textFill>
        </w:rPr>
        <w:t>3.4</w:t>
      </w:r>
      <w:r>
        <w:rPr>
          <w:rFonts w:hint="default" w:ascii="Times New Roman" w:hAnsi="Times New Roman" w:cs="Times New Roman"/>
          <w:b w:val="0"/>
          <w:bCs w:val="0"/>
          <w:color w:val="000000" w:themeColor="text1"/>
          <w:u w:val="none"/>
          <w14:textFill>
            <w14:solidFill>
              <w14:schemeClr w14:val="tx1"/>
            </w14:solidFill>
          </w14:textFill>
        </w:rPr>
        <w:t>m、</w:t>
      </w:r>
      <w:r>
        <w:rPr>
          <w:rFonts w:hint="eastAsia" w:cs="Times New Roman"/>
          <w:b w:val="0"/>
          <w:bCs w:val="0"/>
          <w:color w:val="000000" w:themeColor="text1"/>
          <w:u w:val="none"/>
          <w:lang w:val="en-US" w:eastAsia="zh-CN"/>
          <w14:textFill>
            <w14:solidFill>
              <w14:schemeClr w14:val="tx1"/>
            </w14:solidFill>
          </w14:textFill>
        </w:rPr>
        <w:t>9</w:t>
      </w:r>
      <w:r>
        <w:rPr>
          <w:rFonts w:hint="default" w:ascii="Times New Roman" w:hAnsi="Times New Roman" w:cs="Times New Roman"/>
          <w:b w:val="0"/>
          <w:bCs w:val="0"/>
          <w:color w:val="000000" w:themeColor="text1"/>
          <w:u w:val="none"/>
          <w14:textFill>
            <w14:solidFill>
              <w14:schemeClr w14:val="tx1"/>
            </w14:solidFill>
          </w14:textFill>
        </w:rPr>
        <w:t>m和</w:t>
      </w:r>
      <w:r>
        <w:rPr>
          <w:rFonts w:hint="eastAsia" w:cs="Times New Roman"/>
          <w:b w:val="0"/>
          <w:bCs w:val="0"/>
          <w:color w:val="000000" w:themeColor="text1"/>
          <w:u w:val="none"/>
          <w:lang w:val="en-US" w:eastAsia="zh-CN"/>
          <w14:textFill>
            <w14:solidFill>
              <w14:schemeClr w14:val="tx1"/>
            </w14:solidFill>
          </w14:textFill>
        </w:rPr>
        <w:t>14.4</w:t>
      </w:r>
      <w:r>
        <w:rPr>
          <w:rFonts w:hint="default" w:ascii="Times New Roman" w:hAnsi="Times New Roman" w:cs="Times New Roman"/>
          <w:b w:val="0"/>
          <w:bCs w:val="0"/>
          <w:color w:val="000000" w:themeColor="text1"/>
          <w:u w:val="none"/>
          <w14:textFill>
            <w14:solidFill>
              <w14:schemeClr w14:val="tx1"/>
            </w14:solidFill>
          </w14:textFill>
        </w:rPr>
        <w:t>m；</w:t>
      </w:r>
    </w:p>
    <w:p w14:paraId="0DCE3BA0">
      <w:pPr>
        <w:keepNext w:val="0"/>
        <w:keepLines w:val="0"/>
        <w:pageBreakBefore w:val="0"/>
        <w:widowControl w:val="0"/>
        <w:kinsoku/>
        <w:wordWrap/>
        <w:overflowPunct/>
        <w:topLinePunct w:val="0"/>
        <w:autoSpaceDE/>
        <w:autoSpaceDN/>
        <w:bidi w:val="0"/>
        <w:adjustRightInd w:val="0"/>
        <w:snapToGrid w:val="0"/>
        <w:ind w:firstLine="480"/>
        <w:textAlignment w:val="baseline"/>
        <w:rPr>
          <w:rFonts w:hint="default" w:ascii="Times New Roman" w:hAnsi="Times New Roman" w:cs="Times New Roman"/>
          <w:b w:val="0"/>
          <w:bCs w:val="0"/>
          <w:color w:val="000000" w:themeColor="text1"/>
          <w:u w:val="none"/>
          <w14:textFill>
            <w14:solidFill>
              <w14:schemeClr w14:val="tx1"/>
            </w14:solidFill>
          </w14:textFill>
        </w:rPr>
      </w:pPr>
      <w:r>
        <w:rPr>
          <w:rFonts w:hint="default" w:ascii="Times New Roman" w:hAnsi="Times New Roman" w:cs="Times New Roman"/>
          <w:b w:val="0"/>
          <w:bCs w:val="0"/>
          <w:color w:val="000000" w:themeColor="text1"/>
          <w:u w:val="none"/>
          <w14:textFill>
            <w14:solidFill>
              <w14:schemeClr w14:val="tx1"/>
            </w14:solidFill>
          </w14:textFill>
        </w:rPr>
        <w:t>根据厂区平面布置，该范围内为项目厂区</w:t>
      </w:r>
      <w:r>
        <w:rPr>
          <w:rFonts w:hint="default" w:ascii="Times New Roman" w:hAnsi="Times New Roman" w:cs="Times New Roman"/>
          <w:b w:val="0"/>
          <w:bCs w:val="0"/>
          <w:color w:val="000000" w:themeColor="text1"/>
          <w:u w:val="none"/>
          <w:lang w:eastAsia="zh-CN"/>
          <w14:textFill>
            <w14:solidFill>
              <w14:schemeClr w14:val="tx1"/>
            </w14:solidFill>
          </w14:textFill>
        </w:rPr>
        <w:t>范围</w:t>
      </w:r>
      <w:r>
        <w:rPr>
          <w:rFonts w:hint="default" w:ascii="Times New Roman" w:hAnsi="Times New Roman" w:cs="Times New Roman"/>
          <w:b w:val="0"/>
          <w:bCs w:val="0"/>
          <w:color w:val="000000" w:themeColor="text1"/>
          <w:u w:val="none"/>
          <w14:textFill>
            <w14:solidFill>
              <w14:schemeClr w14:val="tx1"/>
            </w14:solidFill>
          </w14:textFill>
        </w:rPr>
        <w:t>，无敏感目标。</w:t>
      </w:r>
    </w:p>
    <w:p w14:paraId="0C661CBD">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（4）地下水环境影响预测评价结论</w:t>
      </w:r>
    </w:p>
    <w:p w14:paraId="236A46CC">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根据预测分析，在非正常状况下，污染物渗漏会对地下水造成一定程度的污染。因此，项目建设和生产也绝不能忽视非正常状况下地下水污染问题，应严格按照相关规范和要求制定防渗措施，并加强管理，杜绝跑冒滴漏，将对地下水环境的影响降至最低。</w:t>
      </w:r>
    </w:p>
    <w:p w14:paraId="2E60500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5.6.6地下水污染监控与应急措施</w:t>
      </w:r>
    </w:p>
    <w:p w14:paraId="17FCB83C">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在项目实施过程中，完全避免地下水环境质量受到影响是不可能的。如不采取合理的地下水污染防治措施，废水中的污染物有可能渗入地下潜水，从而影响地下水环境质量。只有采用先进的生产工艺，加强生产管理，防止或减少污染物通过各种污染途径污染地下水，才能减小工程建设对地下水环境的影响程度和影响范围。</w:t>
      </w:r>
    </w:p>
    <w:p w14:paraId="2047824E">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地下水环境保护措施与对策应符合《中华人民共和国水污染防治法》和《中华人民共和国环境影响评价法》的相关规定，按照“源头控制、分区防控、污染监控、应急响应”相结合的原则，从污染物的产生、入渗、扩散、应急响应进行控制。</w:t>
      </w:r>
    </w:p>
    <w:p w14:paraId="500585A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5.6.6.1地下水环境保护管理</w:t>
      </w:r>
    </w:p>
    <w:p w14:paraId="4201911B">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为了缓解项目区对地下水环境构成的影响，建设单位必须制订全面、长期的环境管理计划。根据环评提出的主要环境问题，环保措施，提出项目的环境管理计划，供各级部门对该项目进行环境管理时参考。</w:t>
      </w:r>
    </w:p>
    <w:p w14:paraId="0BCC29CA">
      <w:pPr>
        <w:keepNext w:val="0"/>
        <w:keepLines w:val="0"/>
        <w:pageBreakBefore w:val="0"/>
        <w:widowControl/>
        <w:kinsoku/>
        <w:wordWrap/>
        <w:overflowPunct/>
        <w:topLinePunct/>
        <w:autoSpaceDE/>
        <w:autoSpaceDN/>
        <w:bidi w:val="0"/>
        <w:adjustRightInd w:val="0"/>
        <w:snapToGrid w:val="0"/>
        <w:ind w:firstLine="480"/>
        <w:jc w:val="both"/>
        <w:textAlignment w:val="auto"/>
        <w:rPr>
          <w:rFonts w:hint="default" w:ascii="Times New Roman" w:hAnsi="Times New Roman" w:cs="Times New Roman"/>
        </w:rPr>
      </w:pPr>
      <w:r>
        <w:rPr>
          <w:rFonts w:hint="default" w:ascii="Times New Roman" w:hAnsi="Times New Roman" w:cs="Times New Roman"/>
        </w:rPr>
        <w:t>建设单位应按照“三同时”原则加强监督、建立和健全长效环境管理机制、项目区设置环保专员，运营开始同步开展工作、项目区管理人员定期进行汇总报告和总结等等。</w:t>
      </w:r>
    </w:p>
    <w:bookmarkEnd w:id="583"/>
    <w:p w14:paraId="6ECE69B4">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bookmarkStart w:id="584" w:name="_Toc2767"/>
      <w:bookmarkStart w:id="585" w:name="_Toc0"/>
      <w:bookmarkStart w:id="586" w:name="_Toc311812666"/>
      <w:bookmarkStart w:id="587" w:name="_Toc118981623"/>
      <w:bookmarkStart w:id="588" w:name="_Toc324839625"/>
      <w:bookmarkStart w:id="589" w:name="_Toc324839328"/>
      <w:bookmarkStart w:id="590" w:name="_Toc33416097"/>
      <w:bookmarkStart w:id="591" w:name="_Toc457301422"/>
      <w:bookmarkStart w:id="592" w:name="_Toc453042555"/>
      <w:bookmarkStart w:id="593" w:name="_Toc456001776"/>
      <w:r>
        <w:rPr>
          <w:rFonts w:hint="eastAsia" w:ascii="Times New Roman" w:hAnsi="Times New Roman" w:cs="Times New Roman"/>
          <w:lang w:val="en-US" w:eastAsia="zh-CN"/>
        </w:rPr>
        <w:t>5.6.6.2地下水污染防治措施</w:t>
      </w:r>
    </w:p>
    <w:p w14:paraId="656E576A">
      <w:pPr>
        <w:ind w:firstLine="480"/>
      </w:pPr>
      <w:r>
        <w:t>为减少和防止本项目生产过程中产生的废水污染物对地下水造成污染影响，项目在建设过程中应对生产车间、道路全部采用水泥硬化，对污水处理设施、输水沟渠及固废暂存间采取防渗处理，以防止各种构筑物渗漏对区域地下水造成污染。</w:t>
      </w:r>
    </w:p>
    <w:p w14:paraId="25AC9ED0">
      <w:pPr>
        <w:ind w:firstLine="480"/>
        <w:rPr>
          <w:b/>
          <w:bCs/>
        </w:rPr>
      </w:pPr>
      <w:r>
        <w:rPr>
          <w:rFonts w:hint="eastAsia"/>
          <w:b/>
          <w:bCs/>
          <w:lang w:val="en-US" w:eastAsia="zh-CN"/>
        </w:rPr>
        <w:t>一、</w:t>
      </w:r>
      <w:r>
        <w:rPr>
          <w:b/>
          <w:bCs/>
        </w:rPr>
        <w:t>防渗原则</w:t>
      </w:r>
    </w:p>
    <w:p w14:paraId="1F209C25">
      <w:pPr>
        <w:ind w:firstLine="480"/>
      </w:pPr>
      <w:r>
        <w:t>采取源头控制、末端防治、污染监控相结合的原则，具体如下：</w:t>
      </w:r>
    </w:p>
    <w:p w14:paraId="6357CE64">
      <w:pPr>
        <w:ind w:firstLine="480"/>
      </w:pPr>
      <w:r>
        <w:t>（1）源头控制措施主要包括在车间镀槽、清洗槽、管道、设备、污水储存及处理构筑物采取相应措施，工艺废水管线需采取地上明渠</w:t>
      </w:r>
      <w:r>
        <w:rPr>
          <w:rFonts w:hint="eastAsia"/>
        </w:rPr>
        <w:t>、</w:t>
      </w:r>
      <w:r>
        <w:t>明管或架空敷设（满足防腐、防渗要求），防止和降低污染物跑、冒、滴、漏，将污染物泄漏的环境风险事故降到最低程度；</w:t>
      </w:r>
    </w:p>
    <w:p w14:paraId="69F18BB5">
      <w:pPr>
        <w:ind w:firstLine="480"/>
      </w:pPr>
      <w:r>
        <w:t>（2）末端防治措施主要包括厂区防渗措施、污水收集措施，防治洒落地面的污染物渗入地下，同时对渗入地下的污染物及时收集，防止污染地下水；</w:t>
      </w:r>
    </w:p>
    <w:p w14:paraId="6C0AE268">
      <w:pPr>
        <w:ind w:firstLine="480"/>
      </w:pPr>
      <w:r>
        <w:t>（3）污染监控措施主要包括建立完善的监测制度、配备先进的监测仪器和设备，科学合理的设置地下水监控井，同时加强车间和各用排水单元的管理，避免跑冒滴漏现象的发生，增强员工的环境保护意识，及时对员工进行宣传教育。</w:t>
      </w:r>
    </w:p>
    <w:p w14:paraId="6F5781A7">
      <w:pPr>
        <w:ind w:firstLine="480"/>
      </w:pPr>
      <w:r>
        <w:t>（4）项目设置的固废暂存间应严格按照一般固废和危险废物暂存间建设要求，设置相应的围堰、排水设施等，并对厂区地面进行硬化。</w:t>
      </w:r>
    </w:p>
    <w:p w14:paraId="47C4C391">
      <w:pPr>
        <w:rPr>
          <w:rFonts w:hint="eastAsia"/>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二、厂区防渗要求</w:t>
      </w:r>
    </w:p>
    <w:p w14:paraId="7C30FB6F">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整个厂区划分为重点污染防渗区、一般污染防渗区、非污染防渗区：</w:t>
      </w:r>
    </w:p>
    <w:p w14:paraId="10EA9C90">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重点污染防渗区：位于地下或半地下的生产功能单元，污染地下水环境的物料或污染物泄漏后，不易及时发现和处理的区域或部位。本项目的重点污染防治区为：生产车间电镀区域、废污水处理设施及管道、废水事故池、危险废物暂存间。</w:t>
      </w:r>
    </w:p>
    <w:p w14:paraId="02E36536">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一般污染防渗区：裸漏于地面的生产功能单元，污染地下水环境的物料或污染物泄漏后，可及时发现和处理的区域或部位。本项目的一般污染防治区为：仓库、一般固废暂存间、生产车间除电镀外其他区域。</w:t>
      </w:r>
    </w:p>
    <w:p w14:paraId="7F2D3B2D">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非污染防渗区：没有物料或污染物泄漏，不会对地下水环境造成污染的区域或部位。本项目的非污染防治区为：厂区其他区域。</w:t>
      </w:r>
    </w:p>
    <w:p w14:paraId="1F4170B4">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针对不同的防渗区域，采取不同的污染防渗措施，具体如下：</w:t>
      </w:r>
    </w:p>
    <w:p w14:paraId="1A6A4D14">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1）重点污染防渗区：防渗性能应与6.0m厚粘土层（渗透系数1.0×10-7cm/s）等效。底层宜采用0.3m压实粘土层；上层采用合成高密度人工防渗膜，厚度不宜小于1.50mm膜铺设应由中心坡向四周，坡度不宜小于1.5％；膜上、膜下应设置保护层，保护层可采用长丝无纺土工布，膜下保护层也可采用不含尖锐颗粒的砂层，厚度不宜小于100mm；膜上保护层以上应设置砂石层，厚度不宜小于200mm。</w:t>
      </w:r>
    </w:p>
    <w:p w14:paraId="7837FD50">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一般污染防渗区：对一般污染防治区，防渗性能应与1.5m厚粘土层（渗透系数1.0×10-7cm/s）等效。建议使用1m厚黏土层（渗透系数不大于1×10-7m/s），或2mm厚高密度聚乙烯，或至少2mm厚的其它人工材料（渗透系数不大于1×10-10m/s）。做好防风、防雨及防渗的“三防”措施，并保证其贮存过程中不易老化、破损和变形。</w:t>
      </w:r>
    </w:p>
    <w:p w14:paraId="269D0F75">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（3）非污染防渗区：要求进行地面硬化，未硬化部分进行绿化。</w:t>
      </w:r>
    </w:p>
    <w:p w14:paraId="37A232BE">
      <w:pPr>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各污染防治区在满足上述防渗要求的前提下，厂区地面除绿化区外均要进行硬化处理；工程产生的固废必须堆放在固废贮存场内，贮存场必须有防雨、防渗、防流失的“三防”措施。综上所述，在落实环评所提的相关建议后，本项目产生的废水不会对区域地下水质量有较大影响，地下水质量仍维持现有水平。</w:t>
      </w:r>
    </w:p>
    <w:p w14:paraId="7EC17733">
      <w:pPr>
        <w:ind w:firstLine="482"/>
        <w:rPr>
          <w:b/>
        </w:rPr>
      </w:pPr>
      <w:r>
        <w:rPr>
          <w:b/>
        </w:rPr>
        <w:t>三、地下水跟踪监测计划</w:t>
      </w:r>
    </w:p>
    <w:p w14:paraId="2F827D63">
      <w:pPr>
        <w:ind w:firstLine="480"/>
      </w:pPr>
      <w:r>
        <w:t>本工程位于新乡市获嘉县</w:t>
      </w:r>
      <w:r>
        <w:rPr>
          <w:rFonts w:hint="eastAsia"/>
          <w:lang w:val="en-US" w:eastAsia="zh-CN"/>
        </w:rPr>
        <w:t>先进制造业开发区</w:t>
      </w:r>
      <w:r>
        <w:t>，根据工程分析内容，正常状况下，本项目无地下水污染源存在，对区域地下水环境影响较小，评价建议建立地下水污染监控制度和环境管理体系，制定监测计划，以便及时发现问题，采取措施。制定地下水风险事故应急预案，明确地下水风险事故状态下应采取封闭、截流等措施。</w:t>
      </w:r>
    </w:p>
    <w:p w14:paraId="1A143CF2">
      <w:pPr>
        <w:ind w:firstLine="480"/>
      </w:pPr>
      <w:r>
        <w:t>为了在发生污染物泄漏后及时发现地下水的污染程度，应在厂区地下水流向下游布设监测井，拟布设1个监测井监测污染物迁移程度。监测井每年取样一次，若发生污染物地下渗漏事故或发现地下水中污染物超标，应加强监测频次监测因子为</w:t>
      </w:r>
      <w:r>
        <w:rPr>
          <w:rFonts w:hint="eastAsia"/>
        </w:rPr>
        <w:t>pH、</w:t>
      </w:r>
      <w:r>
        <w:t>耗氧量、总铬、六价铬</w:t>
      </w:r>
      <w:r>
        <w:rPr>
          <w:rFonts w:hint="eastAsia"/>
        </w:rPr>
        <w:t>、镍</w:t>
      </w:r>
      <w:r>
        <w:t>，地下水跟踪监测点位及监测要求见下表：</w:t>
      </w:r>
    </w:p>
    <w:p w14:paraId="5CAAF01B">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r>
        <w:rPr>
          <w:color w:val="000000"/>
        </w:rPr>
        <w:t>表</w:t>
      </w:r>
      <w:r>
        <w:rPr>
          <w:rFonts w:hint="eastAsia"/>
          <w:color w:val="000000"/>
          <w:lang w:val="en-US" w:eastAsia="zh-CN"/>
        </w:rPr>
        <w:t>5.6-12</w:t>
      </w:r>
      <w:r>
        <w:rPr>
          <w:color w:val="000000"/>
        </w:rPr>
        <w:t xml:space="preserve">    地下水环境监测点位及跟踪监测要求</w:t>
      </w:r>
    </w:p>
    <w:tbl>
      <w:tblPr>
        <w:tblStyle w:val="39"/>
        <w:tblW w:w="8529"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46"/>
        <w:gridCol w:w="1455"/>
        <w:gridCol w:w="5928"/>
      </w:tblGrid>
      <w:tr w14:paraId="6B0ED4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6951367B">
            <w:pPr>
              <w:pStyle w:val="81"/>
              <w:rPr>
                <w:rFonts w:cs="Times New Roman"/>
                <w:color w:val="auto"/>
              </w:rPr>
            </w:pPr>
            <w:r>
              <w:rPr>
                <w:rFonts w:cs="Times New Roman"/>
                <w:color w:val="auto"/>
              </w:rPr>
              <w:t>序号</w:t>
            </w:r>
          </w:p>
        </w:tc>
        <w:tc>
          <w:tcPr>
            <w:tcW w:w="1455" w:type="dxa"/>
            <w:noWrap w:val="0"/>
            <w:vAlign w:val="center"/>
          </w:tcPr>
          <w:p w14:paraId="26FAF6B3">
            <w:pPr>
              <w:pStyle w:val="81"/>
              <w:rPr>
                <w:rFonts w:cs="Times New Roman"/>
                <w:color w:val="auto"/>
              </w:rPr>
            </w:pPr>
            <w:r>
              <w:rPr>
                <w:rFonts w:cs="Times New Roman"/>
                <w:color w:val="auto"/>
              </w:rPr>
              <w:t>类别</w:t>
            </w:r>
          </w:p>
        </w:tc>
        <w:tc>
          <w:tcPr>
            <w:tcW w:w="5928" w:type="dxa"/>
            <w:noWrap w:val="0"/>
            <w:vAlign w:val="center"/>
          </w:tcPr>
          <w:p w14:paraId="6D9A222F">
            <w:pPr>
              <w:pStyle w:val="81"/>
              <w:rPr>
                <w:rFonts w:cs="Times New Roman"/>
                <w:color w:val="auto"/>
              </w:rPr>
            </w:pPr>
            <w:r>
              <w:rPr>
                <w:rFonts w:cs="Times New Roman"/>
                <w:color w:val="auto"/>
              </w:rPr>
              <w:t>内容</w:t>
            </w:r>
          </w:p>
        </w:tc>
      </w:tr>
      <w:tr w14:paraId="6C3DD5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700CDC62">
            <w:pPr>
              <w:pStyle w:val="75"/>
            </w:pPr>
            <w:r>
              <w:t>1</w:t>
            </w:r>
          </w:p>
        </w:tc>
        <w:tc>
          <w:tcPr>
            <w:tcW w:w="1455" w:type="dxa"/>
            <w:noWrap w:val="0"/>
            <w:vAlign w:val="center"/>
          </w:tcPr>
          <w:p w14:paraId="59C7187E">
            <w:pPr>
              <w:pStyle w:val="75"/>
            </w:pPr>
            <w:r>
              <w:t>监测点位</w:t>
            </w:r>
          </w:p>
        </w:tc>
        <w:tc>
          <w:tcPr>
            <w:tcW w:w="5928" w:type="dxa"/>
            <w:noWrap w:val="0"/>
            <w:vAlign w:val="center"/>
          </w:tcPr>
          <w:p w14:paraId="7E3CABCC">
            <w:pPr>
              <w:pStyle w:val="75"/>
            </w:pPr>
            <w:r>
              <w:rPr>
                <w:rFonts w:hint="eastAsia"/>
              </w:rPr>
              <w:t>厂区污水处理站附近</w:t>
            </w:r>
            <w:r>
              <w:t>监测井</w:t>
            </w:r>
            <w:r>
              <w:rPr>
                <w:rFonts w:hint="eastAsia"/>
              </w:rPr>
              <w:t>（</w:t>
            </w:r>
            <w:r>
              <w:rPr>
                <w:rFonts w:hint="default" w:ascii="Times New Roman" w:hAnsi="Times New Roman" w:cs="Times New Roman"/>
              </w:rPr>
              <w:t>坐标：113°42′</w:t>
            </w:r>
            <w:r>
              <w:rPr>
                <w:rFonts w:hint="eastAsia" w:ascii="Times New Roman" w:hAnsi="Times New Roman" w:cs="Times New Roman"/>
                <w:lang w:val="en-US" w:eastAsia="zh-CN"/>
              </w:rPr>
              <w:t>53</w:t>
            </w:r>
            <w:r>
              <w:rPr>
                <w:rFonts w:hint="default" w:ascii="Times New Roman" w:hAnsi="Times New Roman" w:cs="Times New Roman"/>
              </w:rPr>
              <w:t>.</w:t>
            </w:r>
            <w:r>
              <w:rPr>
                <w:rFonts w:hint="eastAsia" w:ascii="Times New Roman" w:hAnsi="Times New Roman" w:cs="Times New Roman"/>
                <w:lang w:val="en-US" w:eastAsia="zh-CN"/>
              </w:rPr>
              <w:t>57</w:t>
            </w:r>
            <w:r>
              <w:rPr>
                <w:rFonts w:hint="default" w:ascii="Times New Roman" w:hAnsi="Times New Roman" w:cs="Times New Roman"/>
              </w:rPr>
              <w:t>″，35°</w:t>
            </w:r>
            <w:r>
              <w:rPr>
                <w:rFonts w:hint="eastAsia" w:ascii="Times New Roman" w:hAnsi="Times New Roman" w:cs="Times New Roman"/>
                <w:lang w:val="en-US" w:eastAsia="zh-CN"/>
              </w:rPr>
              <w:t>15</w:t>
            </w:r>
            <w:r>
              <w:rPr>
                <w:rFonts w:hint="default" w:ascii="Times New Roman" w:hAnsi="Times New Roman" w:cs="Times New Roman"/>
              </w:rPr>
              <w:t>′</w:t>
            </w:r>
            <w:r>
              <w:rPr>
                <w:rFonts w:hint="eastAsia" w:ascii="Times New Roman" w:hAnsi="Times New Roman" w:cs="Times New Roman"/>
                <w:lang w:val="en-US" w:eastAsia="zh-CN"/>
              </w:rPr>
              <w:t>56</w:t>
            </w:r>
            <w:r>
              <w:rPr>
                <w:rFonts w:hint="default" w:ascii="Times New Roman" w:hAnsi="Times New Roman" w:cs="Times New Roman"/>
              </w:rPr>
              <w:t>.</w:t>
            </w:r>
            <w:r>
              <w:rPr>
                <w:rFonts w:hint="eastAsia" w:ascii="Times New Roman" w:hAnsi="Times New Roman" w:cs="Times New Roman"/>
                <w:lang w:val="en-US" w:eastAsia="zh-CN"/>
              </w:rPr>
              <w:t>39</w:t>
            </w:r>
            <w:r>
              <w:rPr>
                <w:rFonts w:hint="default" w:ascii="Times New Roman" w:hAnsi="Times New Roman" w:cs="Times New Roman"/>
              </w:rPr>
              <w:t>″</w:t>
            </w:r>
            <w:r>
              <w:rPr>
                <w:rFonts w:hint="eastAsia"/>
              </w:rPr>
              <w:t>）</w:t>
            </w:r>
          </w:p>
        </w:tc>
      </w:tr>
      <w:tr w14:paraId="055487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51328CAB">
            <w:pPr>
              <w:pStyle w:val="75"/>
            </w:pPr>
            <w:r>
              <w:t>2</w:t>
            </w:r>
          </w:p>
        </w:tc>
        <w:tc>
          <w:tcPr>
            <w:tcW w:w="1455" w:type="dxa"/>
            <w:noWrap w:val="0"/>
            <w:vAlign w:val="center"/>
          </w:tcPr>
          <w:p w14:paraId="2FF85021">
            <w:pPr>
              <w:pStyle w:val="75"/>
            </w:pPr>
            <w:r>
              <w:t>功能</w:t>
            </w:r>
          </w:p>
        </w:tc>
        <w:tc>
          <w:tcPr>
            <w:tcW w:w="5928" w:type="dxa"/>
            <w:noWrap w:val="0"/>
            <w:vAlign w:val="center"/>
          </w:tcPr>
          <w:p w14:paraId="7CC5D5DF">
            <w:pPr>
              <w:pStyle w:val="75"/>
            </w:pPr>
            <w:r>
              <w:t>地下水跟踪监测点</w:t>
            </w:r>
          </w:p>
        </w:tc>
      </w:tr>
      <w:tr w14:paraId="30D4742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79A98606">
            <w:pPr>
              <w:pStyle w:val="75"/>
            </w:pPr>
            <w:r>
              <w:t>3</w:t>
            </w:r>
          </w:p>
        </w:tc>
        <w:tc>
          <w:tcPr>
            <w:tcW w:w="1455" w:type="dxa"/>
            <w:noWrap w:val="0"/>
            <w:vAlign w:val="center"/>
          </w:tcPr>
          <w:p w14:paraId="166790AD">
            <w:pPr>
              <w:pStyle w:val="75"/>
            </w:pPr>
            <w:r>
              <w:t>井结构</w:t>
            </w:r>
          </w:p>
        </w:tc>
        <w:tc>
          <w:tcPr>
            <w:tcW w:w="5928" w:type="dxa"/>
            <w:noWrap w:val="0"/>
            <w:vAlign w:val="center"/>
          </w:tcPr>
          <w:p w14:paraId="0F3197CD">
            <w:pPr>
              <w:pStyle w:val="75"/>
            </w:pPr>
            <w:r>
              <w:t>竖向圆形</w:t>
            </w:r>
          </w:p>
        </w:tc>
      </w:tr>
      <w:tr w14:paraId="1047A7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7E970D78">
            <w:pPr>
              <w:pStyle w:val="75"/>
            </w:pPr>
            <w:r>
              <w:t>4</w:t>
            </w:r>
          </w:p>
        </w:tc>
        <w:tc>
          <w:tcPr>
            <w:tcW w:w="1455" w:type="dxa"/>
            <w:noWrap w:val="0"/>
            <w:vAlign w:val="center"/>
          </w:tcPr>
          <w:p w14:paraId="71D2E133">
            <w:pPr>
              <w:pStyle w:val="75"/>
            </w:pPr>
            <w:r>
              <w:t>监测层位</w:t>
            </w:r>
          </w:p>
        </w:tc>
        <w:tc>
          <w:tcPr>
            <w:tcW w:w="5928" w:type="dxa"/>
            <w:noWrap w:val="0"/>
            <w:vAlign w:val="center"/>
          </w:tcPr>
          <w:p w14:paraId="56057DE9">
            <w:pPr>
              <w:pStyle w:val="75"/>
            </w:pPr>
            <w:r>
              <w:t>潜水层，水位线下1米</w:t>
            </w:r>
          </w:p>
        </w:tc>
      </w:tr>
      <w:tr w14:paraId="7DD3352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77FE1F02">
            <w:pPr>
              <w:pStyle w:val="75"/>
            </w:pPr>
            <w:r>
              <w:t>5</w:t>
            </w:r>
          </w:p>
        </w:tc>
        <w:tc>
          <w:tcPr>
            <w:tcW w:w="1455" w:type="dxa"/>
            <w:noWrap w:val="0"/>
            <w:vAlign w:val="center"/>
          </w:tcPr>
          <w:p w14:paraId="114BC888">
            <w:pPr>
              <w:pStyle w:val="75"/>
            </w:pPr>
            <w:r>
              <w:t>监测频次</w:t>
            </w:r>
          </w:p>
        </w:tc>
        <w:tc>
          <w:tcPr>
            <w:tcW w:w="5928" w:type="dxa"/>
            <w:noWrap w:val="0"/>
            <w:vAlign w:val="center"/>
          </w:tcPr>
          <w:p w14:paraId="6954E826">
            <w:pPr>
              <w:pStyle w:val="75"/>
            </w:pPr>
            <w:r>
              <w:t>每年1次</w:t>
            </w:r>
          </w:p>
        </w:tc>
      </w:tr>
      <w:tr w14:paraId="77D73EF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1146" w:type="dxa"/>
            <w:noWrap w:val="0"/>
            <w:vAlign w:val="center"/>
          </w:tcPr>
          <w:p w14:paraId="328DF94C">
            <w:pPr>
              <w:pStyle w:val="75"/>
            </w:pPr>
            <w:r>
              <w:t>6</w:t>
            </w:r>
          </w:p>
        </w:tc>
        <w:tc>
          <w:tcPr>
            <w:tcW w:w="1455" w:type="dxa"/>
            <w:noWrap w:val="0"/>
            <w:vAlign w:val="center"/>
          </w:tcPr>
          <w:p w14:paraId="67BE9607">
            <w:pPr>
              <w:pStyle w:val="75"/>
            </w:pPr>
            <w:r>
              <w:t>监测因子</w:t>
            </w:r>
          </w:p>
        </w:tc>
        <w:tc>
          <w:tcPr>
            <w:tcW w:w="5928" w:type="dxa"/>
            <w:noWrap w:val="0"/>
            <w:vAlign w:val="center"/>
          </w:tcPr>
          <w:p w14:paraId="16CBFEB1">
            <w:pPr>
              <w:pStyle w:val="75"/>
            </w:pPr>
            <w:r>
              <w:rPr>
                <w:rFonts w:hint="eastAsia"/>
              </w:rPr>
              <w:t>水位、pH、耗氧量</w:t>
            </w:r>
            <w:r>
              <w:t>、</w:t>
            </w:r>
            <w:r>
              <w:rPr>
                <w:rFonts w:hint="eastAsia"/>
              </w:rPr>
              <w:t>氨氮、</w:t>
            </w:r>
            <w:r>
              <w:t>总铬、六价铬</w:t>
            </w:r>
            <w:r>
              <w:rPr>
                <w:rFonts w:hint="eastAsia"/>
              </w:rPr>
              <w:t>、镍、氟化物</w:t>
            </w:r>
          </w:p>
        </w:tc>
      </w:tr>
    </w:tbl>
    <w:p w14:paraId="4D1F72D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r>
        <w:rPr>
          <w:rFonts w:hint="eastAsia"/>
          <w:lang w:val="en-US" w:eastAsia="zh-CN"/>
        </w:rPr>
        <w:t>5.7土壤环境影响预测</w:t>
      </w:r>
      <w:bookmarkEnd w:id="584"/>
    </w:p>
    <w:p w14:paraId="1185E46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5.7.1评价等级</w:t>
      </w:r>
    </w:p>
    <w:p w14:paraId="17C739FF">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snapToGrid w:val="0"/>
          <w:kern w:val="21"/>
          <w:sz w:val="24"/>
          <w:szCs w:val="24"/>
        </w:rPr>
      </w:pPr>
      <w:r>
        <w:rPr>
          <w:rFonts w:hint="default" w:ascii="Times New Roman" w:hAnsi="Times New Roman" w:eastAsia="宋体" w:cs="Times New Roman"/>
          <w:b w:val="0"/>
          <w:snapToGrid w:val="0"/>
          <w:kern w:val="21"/>
          <w:sz w:val="24"/>
          <w:szCs w:val="24"/>
        </w:rPr>
        <w:t xml:space="preserve">根据《环境影响评价技术导则 </w:t>
      </w:r>
      <w:r>
        <w:rPr>
          <w:rFonts w:hint="default" w:ascii="Times New Roman" w:hAnsi="Times New Roman" w:eastAsia="宋体" w:cs="Times New Roman"/>
          <w:b w:val="0"/>
          <w:snapToGrid w:val="0"/>
          <w:kern w:val="21"/>
          <w:sz w:val="24"/>
          <w:szCs w:val="24"/>
          <w:lang w:val="en-US" w:eastAsia="zh-CN"/>
        </w:rPr>
        <w:t xml:space="preserve"> </w:t>
      </w:r>
      <w:r>
        <w:rPr>
          <w:rFonts w:hint="default" w:ascii="Times New Roman" w:hAnsi="Times New Roman" w:eastAsia="宋体" w:cs="Times New Roman"/>
          <w:b w:val="0"/>
          <w:snapToGrid w:val="0"/>
          <w:kern w:val="21"/>
          <w:sz w:val="24"/>
          <w:szCs w:val="24"/>
        </w:rPr>
        <w:t>土壤环境（试行）》（HJ964-2018），本项目属于污染影响型，应按照土壤环境影响评价项目类别、占地规模与敏感程度划分评价工作等级。</w:t>
      </w:r>
    </w:p>
    <w:p w14:paraId="6D2DAC98">
      <w:pPr>
        <w:keepNext w:val="0"/>
        <w:keepLines w:val="0"/>
        <w:pageBreakBefore w:val="0"/>
        <w:widowControl w:val="0"/>
        <w:numPr>
          <w:ilvl w:val="0"/>
          <w:numId w:val="8"/>
        </w:numPr>
        <w:kinsoku/>
        <w:wordWrap/>
        <w:overflowPunct/>
        <w:topLinePunct w:val="0"/>
        <w:autoSpaceDE/>
        <w:autoSpaceDN/>
        <w:bidi w:val="0"/>
        <w:adjustRightInd w:val="0"/>
        <w:snapToGrid w:val="0"/>
        <w:ind w:left="0" w:leftChars="0" w:firstLine="480" w:firstLineChars="200"/>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项目类别</w:t>
      </w:r>
    </w:p>
    <w:p w14:paraId="72CEC707">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snapToGrid w:val="0"/>
          <w:kern w:val="21"/>
          <w:sz w:val="24"/>
          <w:szCs w:val="24"/>
        </w:rPr>
      </w:pPr>
      <w:r>
        <w:rPr>
          <w:rFonts w:hint="default" w:ascii="Times New Roman" w:hAnsi="Times New Roman" w:eastAsia="宋体" w:cs="Times New Roman"/>
          <w:b w:val="0"/>
          <w:snapToGrid w:val="0"/>
          <w:kern w:val="21"/>
          <w:sz w:val="24"/>
          <w:szCs w:val="24"/>
        </w:rPr>
        <w:t xml:space="preserve">根据《环境影响评价技术导则 </w:t>
      </w:r>
      <w:r>
        <w:rPr>
          <w:rFonts w:hint="default" w:ascii="Times New Roman" w:hAnsi="Times New Roman" w:eastAsia="宋体" w:cs="Times New Roman"/>
          <w:b w:val="0"/>
          <w:snapToGrid w:val="0"/>
          <w:kern w:val="21"/>
          <w:sz w:val="24"/>
          <w:szCs w:val="24"/>
          <w:lang w:val="en-US" w:eastAsia="zh-CN"/>
        </w:rPr>
        <w:t xml:space="preserve"> </w:t>
      </w:r>
      <w:r>
        <w:rPr>
          <w:rFonts w:hint="default" w:ascii="Times New Roman" w:hAnsi="Times New Roman" w:eastAsia="宋体" w:cs="Times New Roman"/>
          <w:b w:val="0"/>
          <w:snapToGrid w:val="0"/>
          <w:kern w:val="21"/>
          <w:sz w:val="24"/>
          <w:szCs w:val="24"/>
        </w:rPr>
        <w:t>土壤环境（试行）》（HJ964-2018）附录A表A.1土壤环境影响评价项目类别，本项目为</w:t>
      </w:r>
      <w:r>
        <w:rPr>
          <w:rFonts w:hint="default" w:ascii="Times New Roman" w:hAnsi="Times New Roman" w:eastAsia="宋体" w:cs="Times New Roman"/>
          <w:b w:val="0"/>
          <w:snapToGrid w:val="0"/>
          <w:kern w:val="21"/>
          <w:sz w:val="24"/>
          <w:szCs w:val="24"/>
          <w:lang w:eastAsia="zh-CN"/>
        </w:rPr>
        <w:t>“</w:t>
      </w:r>
      <w:r>
        <w:rPr>
          <w:rFonts w:hint="default" w:ascii="Times New Roman" w:hAnsi="Times New Roman" w:eastAsia="宋体" w:cs="Times New Roman"/>
          <w:b w:val="0"/>
          <w:snapToGrid w:val="0"/>
          <w:kern w:val="21"/>
          <w:sz w:val="24"/>
          <w:szCs w:val="24"/>
        </w:rPr>
        <w:t>设备制造、金属制品、汽车制造及其他用品制造</w:t>
      </w:r>
      <w:r>
        <w:rPr>
          <w:rFonts w:hint="default" w:ascii="Times New Roman" w:hAnsi="Times New Roman" w:eastAsia="宋体" w:cs="Times New Roman"/>
          <w:b w:val="0"/>
          <w:snapToGrid w:val="0"/>
          <w:kern w:val="21"/>
          <w:sz w:val="24"/>
          <w:szCs w:val="24"/>
          <w:lang w:eastAsia="zh-CN"/>
        </w:rPr>
        <w:t>”</w:t>
      </w:r>
      <w:r>
        <w:rPr>
          <w:rFonts w:hint="default" w:ascii="Times New Roman" w:hAnsi="Times New Roman" w:eastAsia="宋体" w:cs="Times New Roman"/>
          <w:b w:val="0"/>
          <w:snapToGrid w:val="0"/>
          <w:kern w:val="21"/>
          <w:sz w:val="24"/>
          <w:szCs w:val="24"/>
        </w:rPr>
        <w:t>行业，属于项目类别中的Ⅰ类项目，详见</w:t>
      </w:r>
      <w:r>
        <w:rPr>
          <w:rFonts w:hint="default" w:ascii="Times New Roman" w:hAnsi="Times New Roman" w:eastAsia="宋体" w:cs="Times New Roman"/>
          <w:b w:val="0"/>
          <w:snapToGrid w:val="0"/>
          <w:kern w:val="21"/>
          <w:sz w:val="24"/>
          <w:szCs w:val="24"/>
          <w:lang w:val="en-US" w:eastAsia="zh-CN"/>
        </w:rPr>
        <w:t>下表</w:t>
      </w:r>
      <w:r>
        <w:rPr>
          <w:rFonts w:hint="default" w:ascii="Times New Roman" w:hAnsi="Times New Roman" w:eastAsia="宋体" w:cs="Times New Roman"/>
          <w:b w:val="0"/>
          <w:snapToGrid w:val="0"/>
          <w:kern w:val="21"/>
          <w:sz w:val="24"/>
          <w:szCs w:val="24"/>
        </w:rPr>
        <w:t>。</w:t>
      </w:r>
    </w:p>
    <w:p w14:paraId="2536A031">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r>
        <w:rPr>
          <w:color w:val="000000"/>
        </w:rPr>
        <w:t>表</w:t>
      </w:r>
      <w:r>
        <w:rPr>
          <w:rFonts w:hint="eastAsia"/>
          <w:color w:val="000000"/>
          <w:lang w:val="en-US" w:eastAsia="zh-CN"/>
        </w:rPr>
        <w:t>5.7-1</w:t>
      </w:r>
      <w:r>
        <w:rPr>
          <w:color w:val="000000"/>
        </w:rPr>
        <w:t xml:space="preserve">    </w:t>
      </w:r>
      <w:r>
        <w:rPr>
          <w:rFonts w:hint="eastAsia"/>
          <w:color w:val="000000"/>
        </w:rPr>
        <w:t>土壤环境影响评价项目类别（</w:t>
      </w:r>
      <w:r>
        <w:rPr>
          <w:rFonts w:hint="eastAsia"/>
          <w:color w:val="000000"/>
          <w:lang w:val="en-US" w:eastAsia="zh-CN"/>
        </w:rPr>
        <w:t>部分</w:t>
      </w:r>
      <w:r>
        <w:rPr>
          <w:rFonts w:hint="eastAsia"/>
          <w:color w:val="000000"/>
        </w:rPr>
        <w:t>）</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425"/>
        <w:gridCol w:w="1702"/>
        <w:gridCol w:w="3955"/>
        <w:gridCol w:w="1010"/>
        <w:gridCol w:w="580"/>
        <w:gridCol w:w="697"/>
      </w:tblGrid>
      <w:tr w14:paraId="71E14A8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126" w:type="dxa"/>
            <w:gridSpan w:val="2"/>
            <w:vMerge w:val="restart"/>
            <w:tcBorders>
              <w:tl2br w:val="nil"/>
              <w:tr2bl w:val="nil"/>
            </w:tcBorders>
            <w:noWrap w:val="0"/>
            <w:vAlign w:val="center"/>
          </w:tcPr>
          <w:p w14:paraId="6D9E4BA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行业类别</w:t>
            </w:r>
          </w:p>
        </w:tc>
        <w:tc>
          <w:tcPr>
            <w:tcW w:w="6240" w:type="dxa"/>
            <w:gridSpan w:val="4"/>
            <w:tcBorders>
              <w:tl2br w:val="nil"/>
              <w:tr2bl w:val="nil"/>
            </w:tcBorders>
            <w:noWrap w:val="0"/>
            <w:vAlign w:val="center"/>
          </w:tcPr>
          <w:p w14:paraId="390C45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cs="Times New Roman"/>
                <w:b/>
                <w:bCs/>
                <w:spacing w:val="0"/>
                <w:kern w:val="21"/>
                <w:sz w:val="21"/>
                <w:szCs w:val="21"/>
              </w:rPr>
              <w:t>项目类别</w:t>
            </w:r>
          </w:p>
        </w:tc>
      </w:tr>
      <w:tr w14:paraId="7617FD0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2126" w:type="dxa"/>
            <w:gridSpan w:val="2"/>
            <w:vMerge w:val="continue"/>
            <w:tcBorders>
              <w:tl2br w:val="nil"/>
              <w:tr2bl w:val="nil"/>
            </w:tcBorders>
            <w:noWrap w:val="0"/>
            <w:vAlign w:val="center"/>
          </w:tcPr>
          <w:p w14:paraId="11255D92">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p>
        </w:tc>
        <w:tc>
          <w:tcPr>
            <w:tcW w:w="3954" w:type="dxa"/>
            <w:tcBorders>
              <w:tl2br w:val="nil"/>
              <w:tr2bl w:val="nil"/>
            </w:tcBorders>
            <w:noWrap w:val="0"/>
            <w:vAlign w:val="center"/>
          </w:tcPr>
          <w:p w14:paraId="2A657B1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eastAsia="宋体" w:cs="Times New Roman"/>
                <w:b/>
                <w:bCs/>
                <w:spacing w:val="0"/>
                <w:kern w:val="21"/>
                <w:sz w:val="21"/>
                <w:szCs w:val="21"/>
                <w:lang w:val="en-US" w:eastAsia="zh-CN"/>
              </w:rPr>
              <w:t>I</w:t>
            </w:r>
            <w:r>
              <w:rPr>
                <w:rFonts w:hint="default" w:ascii="Times New Roman" w:hAnsi="Times New Roman" w:cs="Times New Roman"/>
                <w:b/>
                <w:bCs/>
                <w:spacing w:val="0"/>
                <w:kern w:val="21"/>
                <w:sz w:val="21"/>
                <w:szCs w:val="21"/>
              </w:rPr>
              <w:t>类</w:t>
            </w:r>
          </w:p>
        </w:tc>
        <w:tc>
          <w:tcPr>
            <w:tcW w:w="1010" w:type="dxa"/>
            <w:tcBorders>
              <w:tl2br w:val="nil"/>
              <w:tr2bl w:val="nil"/>
            </w:tcBorders>
            <w:noWrap w:val="0"/>
            <w:vAlign w:val="center"/>
          </w:tcPr>
          <w:p w14:paraId="31AE8E3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eastAsia="宋体" w:cs="Times New Roman"/>
                <w:b/>
                <w:bCs/>
                <w:spacing w:val="0"/>
                <w:kern w:val="21"/>
                <w:sz w:val="21"/>
                <w:szCs w:val="21"/>
                <w:lang w:val="en-US" w:eastAsia="zh-CN"/>
              </w:rPr>
              <w:t>II</w:t>
            </w:r>
            <w:r>
              <w:rPr>
                <w:rFonts w:hint="default" w:ascii="Times New Roman" w:hAnsi="Times New Roman" w:cs="Times New Roman"/>
                <w:b/>
                <w:bCs/>
                <w:spacing w:val="0"/>
                <w:kern w:val="21"/>
                <w:sz w:val="21"/>
                <w:szCs w:val="21"/>
              </w:rPr>
              <w:t>类</w:t>
            </w:r>
          </w:p>
        </w:tc>
        <w:tc>
          <w:tcPr>
            <w:tcW w:w="580" w:type="dxa"/>
            <w:tcBorders>
              <w:tl2br w:val="nil"/>
              <w:tr2bl w:val="nil"/>
            </w:tcBorders>
            <w:noWrap w:val="0"/>
            <w:vAlign w:val="center"/>
          </w:tcPr>
          <w:p w14:paraId="402942A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eastAsia="宋体" w:cs="Times New Roman"/>
                <w:b/>
                <w:bCs/>
                <w:spacing w:val="0"/>
                <w:kern w:val="21"/>
                <w:sz w:val="21"/>
                <w:szCs w:val="21"/>
                <w:lang w:val="en-US" w:eastAsia="zh-CN"/>
              </w:rPr>
              <w:t>III</w:t>
            </w:r>
            <w:r>
              <w:rPr>
                <w:rFonts w:hint="default" w:ascii="Times New Roman" w:hAnsi="Times New Roman" w:cs="Times New Roman"/>
                <w:b/>
                <w:bCs/>
                <w:spacing w:val="0"/>
                <w:kern w:val="21"/>
                <w:sz w:val="21"/>
                <w:szCs w:val="21"/>
              </w:rPr>
              <w:t>类</w:t>
            </w:r>
          </w:p>
        </w:tc>
        <w:tc>
          <w:tcPr>
            <w:tcW w:w="696" w:type="dxa"/>
            <w:tcBorders>
              <w:tl2br w:val="nil"/>
              <w:tr2bl w:val="nil"/>
            </w:tcBorders>
            <w:noWrap w:val="0"/>
            <w:vAlign w:val="center"/>
          </w:tcPr>
          <w:p w14:paraId="400008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1"/>
              </w:rPr>
            </w:pPr>
            <w:r>
              <w:rPr>
                <w:rFonts w:hint="default" w:ascii="Times New Roman" w:hAnsi="Times New Roman" w:eastAsia="宋体" w:cs="Times New Roman"/>
                <w:b/>
                <w:bCs/>
                <w:spacing w:val="0"/>
                <w:kern w:val="21"/>
                <w:sz w:val="21"/>
                <w:szCs w:val="21"/>
                <w:lang w:val="en-US" w:eastAsia="zh-CN"/>
              </w:rPr>
              <w:t>IV</w:t>
            </w:r>
            <w:r>
              <w:rPr>
                <w:rFonts w:hint="default" w:ascii="Times New Roman" w:hAnsi="Times New Roman" w:cs="Times New Roman"/>
                <w:b/>
                <w:bCs/>
                <w:spacing w:val="0"/>
                <w:kern w:val="21"/>
                <w:sz w:val="21"/>
                <w:szCs w:val="21"/>
              </w:rPr>
              <w:t>类</w:t>
            </w:r>
          </w:p>
        </w:tc>
      </w:tr>
      <w:tr w14:paraId="4ECC78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425" w:type="dxa"/>
            <w:tcBorders>
              <w:tl2br w:val="nil"/>
              <w:tr2bl w:val="nil"/>
            </w:tcBorders>
            <w:noWrap w:val="0"/>
            <w:vAlign w:val="center"/>
          </w:tcPr>
          <w:p w14:paraId="2A377ED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制造业</w:t>
            </w:r>
          </w:p>
        </w:tc>
        <w:tc>
          <w:tcPr>
            <w:tcW w:w="1701" w:type="dxa"/>
            <w:tcBorders>
              <w:tl2br w:val="nil"/>
              <w:tr2bl w:val="nil"/>
            </w:tcBorders>
            <w:noWrap w:val="0"/>
            <w:vAlign w:val="center"/>
          </w:tcPr>
          <w:p w14:paraId="7492E3C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设备制造、金属制品、汽车制造及其他用品制造</w:t>
            </w:r>
          </w:p>
        </w:tc>
        <w:tc>
          <w:tcPr>
            <w:tcW w:w="3954" w:type="dxa"/>
            <w:tcBorders>
              <w:tl2br w:val="nil"/>
              <w:tr2bl w:val="nil"/>
            </w:tcBorders>
            <w:noWrap w:val="0"/>
            <w:vAlign w:val="center"/>
          </w:tcPr>
          <w:p w14:paraId="3D72069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b/>
                <w:bCs/>
                <w:spacing w:val="0"/>
                <w:kern w:val="21"/>
                <w:sz w:val="21"/>
                <w:szCs w:val="21"/>
              </w:rPr>
              <w:t>有电镀工艺的</w:t>
            </w:r>
            <w:r>
              <w:rPr>
                <w:rFonts w:hint="default" w:ascii="Times New Roman" w:hAnsi="Times New Roman" w:cs="Times New Roman"/>
                <w:spacing w:val="0"/>
                <w:kern w:val="21"/>
                <w:sz w:val="21"/>
                <w:szCs w:val="21"/>
              </w:rPr>
              <w:t>；金属制品表面处理及热处理加工的</w:t>
            </w:r>
            <w:r>
              <w:rPr>
                <w:rFonts w:hint="default" w:ascii="Times New Roman" w:hAnsi="Times New Roman" w:cs="Times New Roman"/>
                <w:color w:val="000000"/>
                <w:spacing w:val="0"/>
                <w:kern w:val="21"/>
                <w:sz w:val="21"/>
                <w:szCs w:val="21"/>
              </w:rPr>
              <w:t>；使用有机涂层的（喷粉、喷塑</w:t>
            </w:r>
            <w:r>
              <w:rPr>
                <w:rFonts w:hint="default" w:ascii="Times New Roman" w:hAnsi="Times New Roman" w:cs="Times New Roman"/>
                <w:spacing w:val="0"/>
                <w:kern w:val="21"/>
                <w:sz w:val="21"/>
                <w:szCs w:val="21"/>
              </w:rPr>
              <w:t>和电泳除外）；有钝化工艺的热镀锌</w:t>
            </w:r>
          </w:p>
        </w:tc>
        <w:tc>
          <w:tcPr>
            <w:tcW w:w="1010" w:type="dxa"/>
            <w:tcBorders>
              <w:tl2br w:val="nil"/>
              <w:tr2bl w:val="nil"/>
            </w:tcBorders>
            <w:noWrap w:val="0"/>
            <w:vAlign w:val="center"/>
          </w:tcPr>
          <w:p w14:paraId="0C488F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有化学处理工艺</w:t>
            </w:r>
          </w:p>
        </w:tc>
        <w:tc>
          <w:tcPr>
            <w:tcW w:w="580" w:type="dxa"/>
            <w:tcBorders>
              <w:tl2br w:val="nil"/>
              <w:tr2bl w:val="nil"/>
            </w:tcBorders>
            <w:noWrap w:val="0"/>
            <w:vAlign w:val="center"/>
          </w:tcPr>
          <w:p w14:paraId="55700C3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1"/>
              </w:rPr>
            </w:pPr>
            <w:r>
              <w:rPr>
                <w:rFonts w:hint="default" w:ascii="Times New Roman" w:hAnsi="Times New Roman" w:cs="Times New Roman"/>
                <w:spacing w:val="0"/>
                <w:kern w:val="21"/>
                <w:sz w:val="21"/>
                <w:szCs w:val="21"/>
              </w:rPr>
              <w:t>其他</w:t>
            </w:r>
          </w:p>
        </w:tc>
        <w:tc>
          <w:tcPr>
            <w:tcW w:w="696" w:type="dxa"/>
            <w:tcBorders>
              <w:tl2br w:val="nil"/>
              <w:tr2bl w:val="nil"/>
            </w:tcBorders>
            <w:noWrap w:val="0"/>
            <w:vAlign w:val="center"/>
          </w:tcPr>
          <w:p w14:paraId="3FB06CB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1"/>
                <w:lang w:val="en-US" w:eastAsia="zh-CN"/>
              </w:rPr>
            </w:pPr>
            <w:r>
              <w:rPr>
                <w:rFonts w:hint="default" w:ascii="Times New Roman" w:hAnsi="Times New Roman" w:eastAsia="宋体" w:cs="Times New Roman"/>
                <w:spacing w:val="0"/>
                <w:kern w:val="21"/>
                <w:sz w:val="21"/>
                <w:szCs w:val="21"/>
                <w:lang w:val="en-US" w:eastAsia="zh-CN"/>
              </w:rPr>
              <w:t>/</w:t>
            </w:r>
          </w:p>
        </w:tc>
      </w:tr>
    </w:tbl>
    <w:p w14:paraId="0151FB6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jc w:val="both"/>
        <w:textAlignment w:val="baseline"/>
        <w:rPr>
          <w:rFonts w:hint="default"/>
          <w:lang w:val="en-US" w:eastAsia="zh-CN"/>
        </w:rPr>
      </w:pPr>
      <w:r>
        <w:rPr>
          <w:rFonts w:hint="eastAsia"/>
          <w:lang w:val="en-US" w:eastAsia="zh-CN"/>
        </w:rPr>
        <w:t>（2）占地规模</w:t>
      </w:r>
    </w:p>
    <w:p w14:paraId="0FC08748">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snapToGrid w:val="0"/>
          <w:kern w:val="21"/>
          <w:sz w:val="24"/>
          <w:szCs w:val="24"/>
        </w:rPr>
      </w:pPr>
      <w:r>
        <w:rPr>
          <w:rFonts w:hint="default" w:ascii="Times New Roman" w:hAnsi="Times New Roman" w:eastAsia="宋体" w:cs="Times New Roman"/>
          <w:b w:val="0"/>
          <w:snapToGrid w:val="0"/>
          <w:kern w:val="21"/>
          <w:sz w:val="24"/>
          <w:szCs w:val="24"/>
        </w:rPr>
        <w:t>项目占地面积为</w:t>
      </w:r>
      <w:r>
        <w:rPr>
          <w:rFonts w:hint="eastAsia" w:cs="Times New Roman"/>
          <w:b w:val="0"/>
          <w:snapToGrid w:val="0"/>
          <w:kern w:val="21"/>
          <w:sz w:val="24"/>
          <w:szCs w:val="24"/>
          <w:lang w:val="en-US" w:eastAsia="zh-CN"/>
        </w:rPr>
        <w:t>17232.2</w:t>
      </w:r>
      <w:r>
        <w:rPr>
          <w:rFonts w:hint="default" w:ascii="Times New Roman" w:hAnsi="Times New Roman" w:eastAsia="宋体" w:cs="Times New Roman"/>
          <w:b w:val="0"/>
          <w:snapToGrid w:val="0"/>
          <w:kern w:val="21"/>
          <w:sz w:val="24"/>
          <w:szCs w:val="24"/>
        </w:rPr>
        <w:t>m</w:t>
      </w:r>
      <w:r>
        <w:rPr>
          <w:rFonts w:hint="default" w:ascii="Times New Roman" w:hAnsi="Times New Roman" w:eastAsia="宋体" w:cs="Times New Roman"/>
          <w:b w:val="0"/>
          <w:snapToGrid w:val="0"/>
          <w:kern w:val="21"/>
          <w:sz w:val="24"/>
          <w:szCs w:val="24"/>
          <w:vertAlign w:val="superscript"/>
        </w:rPr>
        <w:t>2</w:t>
      </w:r>
      <w:r>
        <w:rPr>
          <w:rFonts w:hint="eastAsia" w:cs="Times New Roman"/>
          <w:b w:val="0"/>
          <w:snapToGrid w:val="0"/>
          <w:kern w:val="21"/>
          <w:sz w:val="24"/>
          <w:szCs w:val="24"/>
          <w:vertAlign w:val="baseline"/>
          <w:lang w:eastAsia="zh-CN"/>
        </w:rPr>
        <w:t>（</w:t>
      </w:r>
      <w:r>
        <w:rPr>
          <w:rFonts w:hint="eastAsia" w:cs="Times New Roman"/>
          <w:b w:val="0"/>
          <w:snapToGrid w:val="0"/>
          <w:kern w:val="21"/>
          <w:sz w:val="24"/>
          <w:szCs w:val="24"/>
          <w:lang w:val="en-US" w:eastAsia="zh-CN"/>
        </w:rPr>
        <w:t>25.85亩</w:t>
      </w:r>
      <w:r>
        <w:rPr>
          <w:rFonts w:hint="eastAsia" w:cs="Times New Roman"/>
          <w:b w:val="0"/>
          <w:snapToGrid w:val="0"/>
          <w:kern w:val="21"/>
          <w:sz w:val="24"/>
          <w:szCs w:val="24"/>
          <w:vertAlign w:val="baseline"/>
          <w:lang w:eastAsia="zh-CN"/>
        </w:rPr>
        <w:t>）</w:t>
      </w:r>
      <w:r>
        <w:rPr>
          <w:rFonts w:hint="default" w:ascii="Times New Roman" w:hAnsi="Times New Roman" w:eastAsia="宋体" w:cs="Times New Roman"/>
          <w:b w:val="0"/>
          <w:snapToGrid w:val="0"/>
          <w:kern w:val="21"/>
          <w:sz w:val="24"/>
          <w:szCs w:val="24"/>
          <w:vertAlign w:val="baseline"/>
          <w:lang w:val="en-US" w:eastAsia="zh-CN"/>
        </w:rPr>
        <w:t>=</w:t>
      </w:r>
      <w:r>
        <w:rPr>
          <w:rFonts w:hint="eastAsia" w:cs="Times New Roman"/>
          <w:b w:val="0"/>
          <w:snapToGrid w:val="0"/>
          <w:kern w:val="21"/>
          <w:sz w:val="24"/>
          <w:szCs w:val="24"/>
          <w:lang w:val="en-US" w:eastAsia="zh-CN"/>
        </w:rPr>
        <w:t>1.72322</w:t>
      </w:r>
      <w:r>
        <w:rPr>
          <w:rFonts w:hint="default" w:ascii="Times New Roman" w:hAnsi="Times New Roman" w:eastAsia="宋体" w:cs="Times New Roman"/>
          <w:b w:val="0"/>
          <w:snapToGrid w:val="0"/>
          <w:kern w:val="21"/>
          <w:sz w:val="24"/>
          <w:szCs w:val="24"/>
        </w:rPr>
        <w:t>hm</w:t>
      </w:r>
      <w:r>
        <w:rPr>
          <w:rFonts w:hint="default" w:ascii="Times New Roman" w:hAnsi="Times New Roman" w:eastAsia="宋体" w:cs="Times New Roman"/>
          <w:b w:val="0"/>
          <w:snapToGrid w:val="0"/>
          <w:kern w:val="21"/>
          <w:sz w:val="24"/>
          <w:szCs w:val="24"/>
          <w:vertAlign w:val="superscript"/>
        </w:rPr>
        <w:t>2</w:t>
      </w:r>
      <w:r>
        <w:rPr>
          <w:rFonts w:hint="default" w:ascii="Times New Roman" w:hAnsi="Times New Roman" w:eastAsia="宋体" w:cs="Times New Roman"/>
          <w:b w:val="0"/>
          <w:snapToGrid w:val="0"/>
          <w:kern w:val="21"/>
          <w:sz w:val="24"/>
          <w:szCs w:val="24"/>
        </w:rPr>
        <w:t>，为中型规模（≤5hm</w:t>
      </w:r>
      <w:r>
        <w:rPr>
          <w:rFonts w:hint="default" w:ascii="Times New Roman" w:hAnsi="Times New Roman" w:eastAsia="宋体" w:cs="Times New Roman"/>
          <w:b w:val="0"/>
          <w:snapToGrid w:val="0"/>
          <w:kern w:val="21"/>
          <w:sz w:val="24"/>
          <w:szCs w:val="24"/>
          <w:vertAlign w:val="superscript"/>
        </w:rPr>
        <w:t>2</w:t>
      </w:r>
      <w:r>
        <w:rPr>
          <w:rFonts w:hint="default" w:ascii="Times New Roman" w:hAnsi="Times New Roman" w:eastAsia="宋体" w:cs="Times New Roman"/>
          <w:b w:val="0"/>
          <w:snapToGrid w:val="0"/>
          <w:kern w:val="21"/>
          <w:sz w:val="24"/>
          <w:szCs w:val="24"/>
        </w:rPr>
        <w:t>），划分依据详见</w:t>
      </w:r>
      <w:r>
        <w:rPr>
          <w:rFonts w:hint="default" w:ascii="Times New Roman" w:hAnsi="Times New Roman" w:eastAsia="宋体" w:cs="Times New Roman"/>
          <w:b w:val="0"/>
          <w:snapToGrid w:val="0"/>
          <w:kern w:val="21"/>
          <w:sz w:val="24"/>
          <w:szCs w:val="24"/>
          <w:lang w:val="en-US" w:eastAsia="zh-CN"/>
        </w:rPr>
        <w:t>下表</w:t>
      </w:r>
      <w:r>
        <w:rPr>
          <w:rFonts w:hint="default" w:ascii="Times New Roman" w:hAnsi="Times New Roman" w:eastAsia="宋体" w:cs="Times New Roman"/>
          <w:b w:val="0"/>
          <w:snapToGrid w:val="0"/>
          <w:kern w:val="21"/>
          <w:sz w:val="24"/>
          <w:szCs w:val="24"/>
        </w:rPr>
        <w:t>。</w:t>
      </w:r>
    </w:p>
    <w:p w14:paraId="55F62C04">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rFonts w:hint="eastAsia"/>
          <w:color w:val="000000"/>
        </w:rPr>
      </w:pPr>
      <w:r>
        <w:rPr>
          <w:color w:val="000000"/>
        </w:rPr>
        <w:t>表</w:t>
      </w:r>
      <w:r>
        <w:rPr>
          <w:rFonts w:hint="eastAsia"/>
          <w:color w:val="000000"/>
          <w:lang w:val="en-US" w:eastAsia="zh-CN"/>
        </w:rPr>
        <w:t>5.7-2</w:t>
      </w:r>
      <w:r>
        <w:rPr>
          <w:color w:val="000000"/>
        </w:rPr>
        <w:t xml:space="preserve">    </w:t>
      </w:r>
      <w:r>
        <w:rPr>
          <w:rFonts w:hint="eastAsia"/>
          <w:color w:val="000000"/>
        </w:rPr>
        <w:t>项目占地规模划分</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28" w:type="dxa"/>
          <w:bottom w:w="0" w:type="dxa"/>
          <w:right w:w="28" w:type="dxa"/>
        </w:tblCellMar>
      </w:tblPr>
      <w:tblGrid>
        <w:gridCol w:w="2633"/>
        <w:gridCol w:w="2519"/>
        <w:gridCol w:w="3217"/>
      </w:tblGrid>
      <w:tr w14:paraId="09389FD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73" w:type="pct"/>
            <w:tcBorders>
              <w:tl2br w:val="nil"/>
              <w:tr2bl w:val="nil"/>
            </w:tcBorders>
            <w:noWrap w:val="0"/>
            <w:vAlign w:val="center"/>
          </w:tcPr>
          <w:p w14:paraId="449C417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kern w:val="21"/>
                <w:position w:val="0"/>
                <w:sz w:val="21"/>
                <w:szCs w:val="21"/>
              </w:rPr>
            </w:pPr>
            <w:r>
              <w:rPr>
                <w:rFonts w:hint="default" w:ascii="Times New Roman" w:hAnsi="Times New Roman" w:eastAsia="宋体" w:cs="Times New Roman"/>
                <w:b/>
                <w:bCs/>
                <w:spacing w:val="0"/>
                <w:kern w:val="21"/>
                <w:position w:val="0"/>
                <w:sz w:val="21"/>
                <w:szCs w:val="21"/>
              </w:rPr>
              <w:t>大型</w:t>
            </w:r>
          </w:p>
        </w:tc>
        <w:tc>
          <w:tcPr>
            <w:tcW w:w="1505" w:type="pct"/>
            <w:tcBorders>
              <w:tl2br w:val="nil"/>
              <w:tr2bl w:val="nil"/>
            </w:tcBorders>
            <w:noWrap w:val="0"/>
            <w:vAlign w:val="center"/>
          </w:tcPr>
          <w:p w14:paraId="2CC7516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kern w:val="21"/>
                <w:position w:val="0"/>
                <w:sz w:val="21"/>
                <w:szCs w:val="21"/>
              </w:rPr>
            </w:pPr>
            <w:r>
              <w:rPr>
                <w:rFonts w:hint="default" w:ascii="Times New Roman" w:hAnsi="Times New Roman" w:eastAsia="宋体" w:cs="Times New Roman"/>
                <w:b/>
                <w:bCs/>
                <w:spacing w:val="0"/>
                <w:kern w:val="21"/>
                <w:position w:val="0"/>
                <w:sz w:val="21"/>
                <w:szCs w:val="21"/>
              </w:rPr>
              <w:t>中型</w:t>
            </w:r>
          </w:p>
        </w:tc>
        <w:tc>
          <w:tcPr>
            <w:tcW w:w="1920" w:type="pct"/>
            <w:tcBorders>
              <w:tl2br w:val="nil"/>
              <w:tr2bl w:val="nil"/>
            </w:tcBorders>
            <w:noWrap w:val="0"/>
            <w:vAlign w:val="center"/>
          </w:tcPr>
          <w:p w14:paraId="37FA65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0"/>
                <w:kern w:val="21"/>
                <w:position w:val="0"/>
                <w:sz w:val="21"/>
                <w:szCs w:val="21"/>
              </w:rPr>
            </w:pPr>
            <w:r>
              <w:rPr>
                <w:rFonts w:hint="default" w:ascii="Times New Roman" w:hAnsi="Times New Roman" w:eastAsia="宋体" w:cs="Times New Roman"/>
                <w:b/>
                <w:bCs/>
                <w:spacing w:val="0"/>
                <w:kern w:val="21"/>
                <w:position w:val="0"/>
                <w:sz w:val="21"/>
                <w:szCs w:val="21"/>
              </w:rPr>
              <w:t>小型</w:t>
            </w:r>
          </w:p>
        </w:tc>
      </w:tr>
      <w:tr w14:paraId="3105F0F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573" w:type="pct"/>
            <w:tcBorders>
              <w:tl2br w:val="nil"/>
              <w:tr2bl w:val="nil"/>
            </w:tcBorders>
            <w:noWrap w:val="0"/>
            <w:vAlign w:val="center"/>
          </w:tcPr>
          <w:p w14:paraId="6F61B1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≥50hm</w:t>
            </w:r>
            <w:r>
              <w:rPr>
                <w:rFonts w:hint="default" w:ascii="Times New Roman" w:hAnsi="Times New Roman" w:cs="Times New Roman"/>
                <w:spacing w:val="0"/>
                <w:kern w:val="21"/>
                <w:position w:val="0"/>
                <w:sz w:val="21"/>
                <w:szCs w:val="21"/>
                <w:vertAlign w:val="superscript"/>
              </w:rPr>
              <w:t>2</w:t>
            </w:r>
          </w:p>
        </w:tc>
        <w:tc>
          <w:tcPr>
            <w:tcW w:w="1505" w:type="pct"/>
            <w:tcBorders>
              <w:tl2br w:val="nil"/>
              <w:tr2bl w:val="nil"/>
            </w:tcBorders>
            <w:noWrap w:val="0"/>
            <w:vAlign w:val="center"/>
          </w:tcPr>
          <w:p w14:paraId="74E324F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spacing w:val="0"/>
                <w:kern w:val="21"/>
                <w:position w:val="0"/>
                <w:sz w:val="21"/>
                <w:szCs w:val="21"/>
              </w:rPr>
              <w:t>5</w:t>
            </w:r>
            <w:r>
              <w:rPr>
                <w:rFonts w:hint="default" w:ascii="Times New Roman" w:hAnsi="Times New Roman" w:eastAsia="宋体" w:cs="Times New Roman"/>
                <w:spacing w:val="0"/>
                <w:kern w:val="21"/>
                <w:position w:val="0"/>
                <w:sz w:val="21"/>
                <w:szCs w:val="21"/>
              </w:rPr>
              <w:t>～</w:t>
            </w:r>
            <w:r>
              <w:rPr>
                <w:rFonts w:hint="default" w:ascii="Times New Roman" w:hAnsi="Times New Roman" w:cs="Times New Roman"/>
                <w:spacing w:val="0"/>
                <w:kern w:val="21"/>
                <w:position w:val="0"/>
                <w:sz w:val="21"/>
                <w:szCs w:val="21"/>
              </w:rPr>
              <w:t>50hm</w:t>
            </w:r>
            <w:r>
              <w:rPr>
                <w:rFonts w:hint="default" w:ascii="Times New Roman" w:hAnsi="Times New Roman" w:cs="Times New Roman"/>
                <w:spacing w:val="0"/>
                <w:kern w:val="21"/>
                <w:position w:val="0"/>
                <w:sz w:val="21"/>
                <w:szCs w:val="21"/>
                <w:vertAlign w:val="superscript"/>
              </w:rPr>
              <w:t>2</w:t>
            </w:r>
          </w:p>
        </w:tc>
        <w:tc>
          <w:tcPr>
            <w:tcW w:w="1920" w:type="pct"/>
            <w:tcBorders>
              <w:tl2br w:val="nil"/>
              <w:tr2bl w:val="nil"/>
            </w:tcBorders>
            <w:noWrap w:val="0"/>
            <w:vAlign w:val="center"/>
          </w:tcPr>
          <w:p w14:paraId="2E27956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cs="Times New Roman"/>
                <w:b/>
                <w:bCs/>
                <w:spacing w:val="0"/>
                <w:kern w:val="21"/>
                <w:position w:val="0"/>
                <w:sz w:val="21"/>
                <w:szCs w:val="21"/>
              </w:rPr>
              <w:t>≤5hm</w:t>
            </w:r>
            <w:r>
              <w:rPr>
                <w:rFonts w:hint="default" w:ascii="Times New Roman" w:hAnsi="Times New Roman" w:cs="Times New Roman"/>
                <w:b/>
                <w:bCs/>
                <w:spacing w:val="0"/>
                <w:kern w:val="21"/>
                <w:position w:val="0"/>
                <w:sz w:val="21"/>
                <w:szCs w:val="21"/>
                <w:vertAlign w:val="superscript"/>
              </w:rPr>
              <w:t>2</w:t>
            </w:r>
          </w:p>
        </w:tc>
      </w:tr>
      <w:tr w14:paraId="664AA6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000" w:type="pct"/>
            <w:gridSpan w:val="3"/>
            <w:tcBorders>
              <w:tl2br w:val="nil"/>
              <w:tr2bl w:val="nil"/>
            </w:tcBorders>
            <w:noWrap w:val="0"/>
            <w:vAlign w:val="center"/>
          </w:tcPr>
          <w:p w14:paraId="709DB19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position w:val="0"/>
                <w:sz w:val="21"/>
                <w:szCs w:val="21"/>
              </w:rPr>
            </w:pPr>
            <w:r>
              <w:rPr>
                <w:rFonts w:hint="default" w:ascii="Times New Roman" w:hAnsi="Times New Roman" w:eastAsia="宋体" w:cs="Times New Roman"/>
                <w:spacing w:val="0"/>
                <w:kern w:val="21"/>
                <w:position w:val="0"/>
                <w:sz w:val="21"/>
                <w:szCs w:val="21"/>
              </w:rPr>
              <w:t>本项目占地规模1.72322</w:t>
            </w:r>
            <w:r>
              <w:rPr>
                <w:rFonts w:hint="default" w:ascii="Times New Roman" w:hAnsi="Times New Roman" w:cs="Times New Roman"/>
                <w:spacing w:val="0"/>
                <w:kern w:val="21"/>
                <w:position w:val="0"/>
                <w:sz w:val="21"/>
                <w:szCs w:val="21"/>
              </w:rPr>
              <w:t>hm</w:t>
            </w:r>
            <w:r>
              <w:rPr>
                <w:rFonts w:hint="default" w:ascii="Times New Roman" w:hAnsi="Times New Roman" w:cs="Times New Roman"/>
                <w:spacing w:val="0"/>
                <w:kern w:val="21"/>
                <w:position w:val="0"/>
                <w:sz w:val="21"/>
                <w:szCs w:val="21"/>
                <w:vertAlign w:val="superscript"/>
              </w:rPr>
              <w:t>2</w:t>
            </w:r>
          </w:p>
        </w:tc>
      </w:tr>
    </w:tbl>
    <w:p w14:paraId="4E3ECF7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jc w:val="both"/>
        <w:textAlignment w:val="baseline"/>
        <w:rPr>
          <w:rFonts w:hint="default"/>
          <w:lang w:val="en-US" w:eastAsia="zh-CN"/>
        </w:rPr>
      </w:pPr>
      <w:r>
        <w:rPr>
          <w:rFonts w:hint="eastAsia"/>
          <w:lang w:val="en-US" w:eastAsia="zh-CN"/>
        </w:rPr>
        <w:t>（3）环境敏感程度</w:t>
      </w:r>
    </w:p>
    <w:p w14:paraId="5AB3C884">
      <w:pPr>
        <w:pStyle w:val="72"/>
      </w:pPr>
      <w:r>
        <w:rPr>
          <w:rFonts w:hint="eastAsia"/>
        </w:rPr>
        <w:t>本项目位于</w:t>
      </w:r>
      <w:r>
        <w:rPr>
          <w:rFonts w:hint="eastAsia"/>
          <w:lang w:val="en-US" w:eastAsia="zh-CN"/>
        </w:rPr>
        <w:t>新乡市获嘉县先进制造业开发区安王路与梧桐路交叉口西100米1号</w:t>
      </w:r>
      <w:r>
        <w:rPr>
          <w:rFonts w:hint="eastAsia"/>
        </w:rPr>
        <w:t>，且本项目周边200m范围内无耕地、园地等敏感目标，项目北侧现状为</w:t>
      </w:r>
      <w:r>
        <w:rPr>
          <w:rFonts w:hint="eastAsia"/>
          <w:lang w:val="en-US" w:eastAsia="zh-CN"/>
        </w:rPr>
        <w:t>空地</w:t>
      </w:r>
      <w:r>
        <w:rPr>
          <w:rFonts w:hint="eastAsia"/>
        </w:rPr>
        <w:t>（规划用地性质为二类工业用地），最近的居民区为</w:t>
      </w:r>
      <w:r>
        <w:rPr>
          <w:rFonts w:hint="eastAsia"/>
          <w:lang w:val="en-US" w:eastAsia="zh-CN"/>
        </w:rPr>
        <w:t>东北侧300</w:t>
      </w:r>
      <w:r>
        <w:rPr>
          <w:rFonts w:hint="eastAsia"/>
        </w:rPr>
        <w:t>m处的</w:t>
      </w:r>
      <w:r>
        <w:rPr>
          <w:rFonts w:hint="eastAsia"/>
          <w:lang w:val="en-US" w:eastAsia="zh-CN"/>
        </w:rPr>
        <w:t>前李村</w:t>
      </w:r>
      <w:r>
        <w:rPr>
          <w:rFonts w:hint="eastAsia"/>
        </w:rPr>
        <w:t>，因此，本项目周边的土壤环境敏感程度为不敏感。</w:t>
      </w:r>
    </w:p>
    <w:p w14:paraId="2363FBCF">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p>
    <w:p w14:paraId="53B5B25E">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color w:val="000000"/>
        </w:rPr>
      </w:pPr>
    </w:p>
    <w:p w14:paraId="1F0A7E50">
      <w:pPr>
        <w:pStyle w:val="79"/>
        <w:keepNext w:val="0"/>
        <w:keepLines w:val="0"/>
        <w:pageBreakBefore w:val="0"/>
        <w:widowControl w:val="0"/>
        <w:kinsoku/>
        <w:wordWrap/>
        <w:overflowPunct/>
        <w:topLinePunct w:val="0"/>
        <w:autoSpaceDE/>
        <w:autoSpaceDN/>
        <w:bidi w:val="0"/>
        <w:adjustRightInd w:val="0"/>
        <w:snapToGrid w:val="0"/>
        <w:spacing w:beforeLines="0" w:afterLines="0" w:line="520" w:lineRule="exact"/>
        <w:ind w:firstLine="0" w:firstLineChars="0"/>
        <w:jc w:val="center"/>
        <w:textAlignment w:val="auto"/>
        <w:rPr>
          <w:rFonts w:hint="eastAsia"/>
          <w:color w:val="000000"/>
        </w:rPr>
      </w:pPr>
      <w:r>
        <w:rPr>
          <w:color w:val="000000"/>
        </w:rPr>
        <w:t>表</w:t>
      </w:r>
      <w:r>
        <w:rPr>
          <w:rFonts w:hint="eastAsia"/>
          <w:color w:val="000000"/>
          <w:lang w:val="en-US" w:eastAsia="zh-CN"/>
        </w:rPr>
        <w:t>5.7-3</w:t>
      </w:r>
      <w:r>
        <w:rPr>
          <w:color w:val="000000"/>
        </w:rPr>
        <w:t xml:space="preserve">    </w:t>
      </w:r>
      <w:r>
        <w:rPr>
          <w:rFonts w:hint="eastAsia"/>
          <w:color w:val="000000"/>
        </w:rPr>
        <w:t>项目占地规模划分</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015"/>
        <w:gridCol w:w="7354"/>
      </w:tblGrid>
      <w:tr w14:paraId="5FF6142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15" w:type="dxa"/>
            <w:tcBorders>
              <w:tl2br w:val="nil"/>
              <w:tr2bl w:val="nil"/>
            </w:tcBorders>
            <w:noWrap w:val="0"/>
            <w:vAlign w:val="center"/>
          </w:tcPr>
          <w:p w14:paraId="23B58C0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敏感程度</w:t>
            </w:r>
          </w:p>
        </w:tc>
        <w:tc>
          <w:tcPr>
            <w:tcW w:w="7351" w:type="dxa"/>
            <w:tcBorders>
              <w:tl2br w:val="nil"/>
              <w:tr2bl w:val="nil"/>
            </w:tcBorders>
            <w:noWrap w:val="0"/>
            <w:vAlign w:val="center"/>
          </w:tcPr>
          <w:p w14:paraId="65F43F8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判别依据</w:t>
            </w:r>
          </w:p>
        </w:tc>
      </w:tr>
      <w:tr w14:paraId="43924E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15" w:type="dxa"/>
            <w:tcBorders>
              <w:tl2br w:val="nil"/>
              <w:tr2bl w:val="nil"/>
            </w:tcBorders>
            <w:noWrap w:val="0"/>
            <w:vAlign w:val="center"/>
          </w:tcPr>
          <w:p w14:paraId="4BB6EBD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敏感</w:t>
            </w:r>
          </w:p>
        </w:tc>
        <w:tc>
          <w:tcPr>
            <w:tcW w:w="7351" w:type="dxa"/>
            <w:tcBorders>
              <w:tl2br w:val="nil"/>
              <w:tr2bl w:val="nil"/>
            </w:tcBorders>
            <w:noWrap w:val="0"/>
            <w:vAlign w:val="center"/>
          </w:tcPr>
          <w:p w14:paraId="5BBBBFE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建设项目周边存在耕地、园地、牧草地、饮用水源地或居民区、学校、医院、疗养院、养老院等土壤环境敏感目标</w:t>
            </w:r>
          </w:p>
        </w:tc>
      </w:tr>
      <w:tr w14:paraId="62C6666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15" w:type="dxa"/>
            <w:tcBorders>
              <w:tl2br w:val="nil"/>
              <w:tr2bl w:val="nil"/>
            </w:tcBorders>
            <w:noWrap w:val="0"/>
            <w:vAlign w:val="center"/>
          </w:tcPr>
          <w:p w14:paraId="655B64C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较敏感</w:t>
            </w:r>
          </w:p>
        </w:tc>
        <w:tc>
          <w:tcPr>
            <w:tcW w:w="7351" w:type="dxa"/>
            <w:tcBorders>
              <w:tl2br w:val="nil"/>
              <w:tr2bl w:val="nil"/>
            </w:tcBorders>
            <w:noWrap w:val="0"/>
            <w:vAlign w:val="center"/>
          </w:tcPr>
          <w:p w14:paraId="6824AD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建设项目周边存在其他土壤环境敏感目标的</w:t>
            </w:r>
          </w:p>
        </w:tc>
      </w:tr>
      <w:tr w14:paraId="197A711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15" w:type="dxa"/>
            <w:tcBorders>
              <w:tl2br w:val="nil"/>
              <w:tr2bl w:val="nil"/>
            </w:tcBorders>
            <w:noWrap w:val="0"/>
            <w:vAlign w:val="center"/>
          </w:tcPr>
          <w:p w14:paraId="64AC48E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不敏感</w:t>
            </w:r>
          </w:p>
        </w:tc>
        <w:tc>
          <w:tcPr>
            <w:tcW w:w="7351" w:type="dxa"/>
            <w:tcBorders>
              <w:tl2br w:val="nil"/>
              <w:tr2bl w:val="nil"/>
            </w:tcBorders>
            <w:noWrap w:val="0"/>
            <w:vAlign w:val="center"/>
          </w:tcPr>
          <w:p w14:paraId="5CFA78E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b/>
                <w:bCs/>
                <w:spacing w:val="0"/>
                <w:kern w:val="21"/>
                <w:sz w:val="21"/>
                <w:szCs w:val="24"/>
              </w:rPr>
              <w:t>其他情况</w:t>
            </w:r>
          </w:p>
        </w:tc>
      </w:tr>
    </w:tbl>
    <w:p w14:paraId="6EC5628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480" w:firstLineChars="200"/>
        <w:jc w:val="both"/>
        <w:textAlignment w:val="baseline"/>
        <w:rPr>
          <w:rFonts w:hint="default"/>
          <w:lang w:val="en-US" w:eastAsia="zh-CN"/>
        </w:rPr>
      </w:pPr>
      <w:r>
        <w:rPr>
          <w:rFonts w:hint="eastAsia"/>
          <w:lang w:val="en-US" w:eastAsia="zh-CN"/>
        </w:rPr>
        <w:t>（4）评价等级的确定</w:t>
      </w:r>
    </w:p>
    <w:p w14:paraId="25AB4DD7">
      <w:pPr>
        <w:pStyle w:val="16"/>
        <w:keepNext w:val="0"/>
        <w:keepLines w:val="0"/>
        <w:pageBreakBefore w:val="0"/>
        <w:widowControl/>
        <w:numPr>
          <w:ilvl w:val="0"/>
          <w:numId w:val="0"/>
        </w:numPr>
        <w:kinsoku/>
        <w:wordWrap/>
        <w:overflowPunct/>
        <w:topLinePunct/>
        <w:autoSpaceDE/>
        <w:autoSpaceDN/>
        <w:bidi w:val="0"/>
        <w:adjustRightInd w:val="0"/>
        <w:snapToGrid w:val="0"/>
        <w:spacing w:beforeLines="0" w:after="0" w:afterLines="0"/>
        <w:ind w:leftChars="0" w:firstLine="472" w:firstLineChars="200"/>
        <w:textAlignment w:val="auto"/>
        <w:rPr>
          <w:rFonts w:hint="default" w:ascii="Times New Roman" w:hAnsi="Times New Roman" w:cs="Times New Roman"/>
          <w:spacing w:val="-2"/>
          <w:sz w:val="24"/>
          <w:szCs w:val="24"/>
        </w:rPr>
      </w:pPr>
      <w:r>
        <w:rPr>
          <w:rFonts w:hint="default" w:ascii="Times New Roman" w:hAnsi="Times New Roman" w:cs="Times New Roman"/>
          <w:spacing w:val="-2"/>
          <w:sz w:val="24"/>
          <w:szCs w:val="24"/>
        </w:rPr>
        <w:t xml:space="preserve">对照根据《环境影响评价技术导则 </w:t>
      </w:r>
      <w:r>
        <w:rPr>
          <w:rFonts w:hint="default" w:ascii="Times New Roman" w:hAnsi="Times New Roman" w:cs="Times New Roman"/>
          <w:spacing w:val="-2"/>
          <w:sz w:val="24"/>
          <w:szCs w:val="24"/>
          <w:lang w:val="en-US" w:eastAsia="zh-CN"/>
        </w:rPr>
        <w:t xml:space="preserve"> </w:t>
      </w:r>
      <w:r>
        <w:rPr>
          <w:rFonts w:hint="default" w:ascii="Times New Roman" w:hAnsi="Times New Roman" w:cs="Times New Roman"/>
          <w:spacing w:val="-2"/>
          <w:sz w:val="24"/>
          <w:szCs w:val="24"/>
        </w:rPr>
        <w:t>土壤环境（试行）》（HJ964-2018）有关评价等级划分原则，确定本项目土壤环境影响评价等级为二级，详见</w:t>
      </w:r>
      <w:r>
        <w:rPr>
          <w:rFonts w:hint="default" w:ascii="Times New Roman" w:hAnsi="Times New Roman" w:cs="Times New Roman"/>
          <w:spacing w:val="-2"/>
          <w:sz w:val="24"/>
          <w:szCs w:val="24"/>
          <w:lang w:val="en-US" w:eastAsia="zh-CN"/>
        </w:rPr>
        <w:t>下表</w:t>
      </w:r>
      <w:r>
        <w:rPr>
          <w:rFonts w:hint="default" w:ascii="Times New Roman" w:hAnsi="Times New Roman" w:cs="Times New Roman"/>
          <w:spacing w:val="-2"/>
          <w:sz w:val="24"/>
          <w:szCs w:val="24"/>
        </w:rPr>
        <w:t>。</w:t>
      </w:r>
    </w:p>
    <w:p w14:paraId="6263B9D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ascii="Times New Roman" w:hAnsi="Times New Roman"/>
        </w:rPr>
        <w:t>表</w:t>
      </w:r>
      <w:r>
        <w:rPr>
          <w:rFonts w:hint="eastAsia"/>
          <w:lang w:val="en-US" w:eastAsia="zh-CN"/>
        </w:rPr>
        <w:t>5.7-4</w:t>
      </w:r>
      <w:r>
        <w:rPr>
          <w:rFonts w:hint="eastAsia" w:ascii="Times New Roman" w:hAnsi="Times New Roman"/>
        </w:rPr>
        <w:t xml:space="preserve">    污染影响型评价工作等级划分表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852"/>
        <w:gridCol w:w="704"/>
        <w:gridCol w:w="707"/>
        <w:gridCol w:w="710"/>
        <w:gridCol w:w="710"/>
        <w:gridCol w:w="712"/>
        <w:gridCol w:w="710"/>
        <w:gridCol w:w="707"/>
        <w:gridCol w:w="769"/>
      </w:tblGrid>
      <w:tr w14:paraId="0004D0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pct"/>
            <w:vMerge w:val="restart"/>
            <w:vAlign w:val="center"/>
          </w:tcPr>
          <w:p w14:paraId="22EC982E">
            <w:pPr>
              <w:pStyle w:val="75"/>
              <w:rPr>
                <w:highlight w:val="yellow"/>
              </w:rPr>
            </w:pPr>
            <w:r>
              <w:rPr>
                <w:sz w:val="21"/>
              </w:rPr>
              <mc:AlternateContent>
                <mc:Choice Requires="wpg">
                  <w:drawing>
                    <wp:anchor distT="0" distB="0" distL="114300" distR="114300" simplePos="0" relativeHeight="251698176" behindDoc="0" locked="0" layoutInCell="1" allowOverlap="1">
                      <wp:simplePos x="0" y="0"/>
                      <wp:positionH relativeFrom="column">
                        <wp:posOffset>-170180</wp:posOffset>
                      </wp:positionH>
                      <wp:positionV relativeFrom="paragraph">
                        <wp:posOffset>-635</wp:posOffset>
                      </wp:positionV>
                      <wp:extent cx="1393190" cy="638175"/>
                      <wp:effectExtent l="0" t="0" r="16510" b="0"/>
                      <wp:wrapNone/>
                      <wp:docPr id="10" name="组合 10"/>
                      <wp:cNvGraphicFramePr/>
                      <a:graphic xmlns:a="http://schemas.openxmlformats.org/drawingml/2006/main">
                        <a:graphicData uri="http://schemas.microsoft.com/office/word/2010/wordprocessingGroup">
                          <wpg:wgp>
                            <wpg:cNvGrpSpPr/>
                            <wpg:grpSpPr>
                              <a:xfrm>
                                <a:off x="0" y="0"/>
                                <a:ext cx="1393190" cy="638175"/>
                                <a:chOff x="2051" y="4072834"/>
                                <a:chExt cx="2194" cy="1005"/>
                              </a:xfrm>
                            </wpg:grpSpPr>
                            <wps:wsp>
                              <wps:cNvPr id="36" name="AutoShape 249"/>
                              <wps:cNvCnPr>
                                <a:cxnSpLocks noChangeShapeType="1"/>
                              </wps:cNvCnPr>
                              <wps:spPr bwMode="auto">
                                <a:xfrm>
                                  <a:off x="2236" y="4073328"/>
                                  <a:ext cx="1936" cy="326"/>
                                </a:xfrm>
                                <a:prstGeom prst="straightConnector1">
                                  <a:avLst/>
                                </a:prstGeom>
                                <a:noFill/>
                                <a:ln w="6350">
                                  <a:solidFill>
                                    <a:srgbClr val="000000"/>
                                  </a:solidFill>
                                  <a:round/>
                                </a:ln>
                              </wps:spPr>
                              <wps:bodyPr/>
                            </wps:wsp>
                            <wps:wsp>
                              <wps:cNvPr id="34" name="AutoShape 250"/>
                              <wps:cNvCnPr>
                                <a:cxnSpLocks noChangeShapeType="1"/>
                              </wps:cNvCnPr>
                              <wps:spPr bwMode="auto">
                                <a:xfrm>
                                  <a:off x="2868" y="4072844"/>
                                  <a:ext cx="1304" cy="800"/>
                                </a:xfrm>
                                <a:prstGeom prst="straightConnector1">
                                  <a:avLst/>
                                </a:prstGeom>
                                <a:noFill/>
                                <a:ln w="6350">
                                  <a:solidFill>
                                    <a:srgbClr val="000000"/>
                                  </a:solidFill>
                                  <a:round/>
                                </a:ln>
                              </wps:spPr>
                              <wps:bodyPr/>
                            </wps:wsp>
                            <wps:wsp>
                              <wps:cNvPr id="60" name="文本框 7937"/>
                              <wps:cNvSpPr txBox="1"/>
                              <wps:spPr>
                                <a:xfrm>
                                  <a:off x="2120" y="4073425"/>
                                  <a:ext cx="1222" cy="414"/>
                                </a:xfrm>
                                <a:prstGeom prst="rect">
                                  <a:avLst/>
                                </a:prstGeom>
                                <a:noFill/>
                                <a:ln>
                                  <a:noFill/>
                                </a:ln>
                              </wps:spPr>
                              <wps:txbx>
                                <w:txbxContent>
                                  <w:p w14:paraId="64EE1107">
                                    <w:pPr>
                                      <w:pStyle w:val="81"/>
                                    </w:pPr>
                                    <w:r>
                                      <w:rPr>
                                        <w:rFonts w:hint="eastAsia"/>
                                      </w:rPr>
                                      <w:t>敏感程度</w:t>
                                    </w:r>
                                  </w:p>
                                </w:txbxContent>
                              </wps:txbx>
                              <wps:bodyPr wrap="square" upright="1"/>
                            </wps:wsp>
                            <wps:wsp>
                              <wps:cNvPr id="59" name="文本框 7936"/>
                              <wps:cNvSpPr txBox="1"/>
                              <wps:spPr>
                                <a:xfrm>
                                  <a:off x="2051" y="4073064"/>
                                  <a:ext cx="1633" cy="414"/>
                                </a:xfrm>
                                <a:prstGeom prst="rect">
                                  <a:avLst/>
                                </a:prstGeom>
                                <a:noFill/>
                                <a:ln>
                                  <a:noFill/>
                                </a:ln>
                              </wps:spPr>
                              <wps:txbx>
                                <w:txbxContent>
                                  <w:p w14:paraId="121D16D5">
                                    <w:pPr>
                                      <w:pStyle w:val="81"/>
                                    </w:pPr>
                                    <w:r>
                                      <w:rPr>
                                        <w:rFonts w:hint="eastAsia"/>
                                      </w:rPr>
                                      <w:t>评价工作等级</w:t>
                                    </w:r>
                                  </w:p>
                                </w:txbxContent>
                              </wps:txbx>
                              <wps:bodyPr wrap="square" upright="1"/>
                            </wps:wsp>
                            <wps:wsp>
                              <wps:cNvPr id="58" name="文本框 7935"/>
                              <wps:cNvSpPr txBox="1"/>
                              <wps:spPr>
                                <a:xfrm>
                                  <a:off x="3023" y="4072834"/>
                                  <a:ext cx="1222" cy="414"/>
                                </a:xfrm>
                                <a:prstGeom prst="rect">
                                  <a:avLst/>
                                </a:prstGeom>
                                <a:noFill/>
                                <a:ln>
                                  <a:noFill/>
                                </a:ln>
                              </wps:spPr>
                              <wps:txbx>
                                <w:txbxContent>
                                  <w:p w14:paraId="74E29A24">
                                    <w:pPr>
                                      <w:pStyle w:val="81"/>
                                    </w:pPr>
                                    <w:r>
                                      <w:rPr>
                                        <w:rFonts w:hint="eastAsia"/>
                                      </w:rPr>
                                      <w:t>占地规模</w:t>
                                    </w:r>
                                  </w:p>
                                </w:txbxContent>
                              </wps:txbx>
                              <wps:bodyPr wrap="square" upright="1"/>
                            </wps:wsp>
                          </wpg:wgp>
                        </a:graphicData>
                      </a:graphic>
                    </wp:anchor>
                  </w:drawing>
                </mc:Choice>
                <mc:Fallback>
                  <w:pict>
                    <v:group id="_x0000_s1026" o:spid="_x0000_s1026" o:spt="203" style="position:absolute;left:0pt;margin-left:-13.4pt;margin-top:-0.05pt;height:50.25pt;width:109.7pt;z-index:251698176;mso-width-relative:page;mso-height-relative:page;" coordorigin="2051,4072834" coordsize="2194,1005" o:gfxdata="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">
                      <o:lock v:ext="edit" aspectratio="f"/>
                      <v:shape id="AutoShape 249" o:spid="_x0000_s1026" o:spt="32" type="#_x0000_t32" style="position:absolute;left:2236;top:4073328;height:326;width:1936;" filled="f" stroked="t" coordsize="21600,21600" o:gfxdata="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7dUO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shape>
                      <v:shape id="AutoShape 250" o:spid="_x0000_s1026" o:spt="32" type="#_x0000_t32" style="position:absolute;left:2868;top:4072844;height:800;width:1304;" filled="f" stroked="t" coordsize="21600,21600" o:gfxdata="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z7uK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shape>
                      <v:shape id="文本框 7937" o:spid="_x0000_s1026" o:spt="202" type="#_x0000_t202" style="position:absolute;left:2120;top:4073425;height:414;width:1222;" filled="f" stroked="f" coordsize="21600,21600" o:gfxdata="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u19Y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64EE1107">
                              <w:pPr>
                                <w:pStyle w:val="81"/>
                              </w:pPr>
                              <w:r>
                                <w:rPr>
                                  <w:rFonts w:hint="eastAsia"/>
                                </w:rPr>
                                <w:t>敏感程度</w:t>
                              </w:r>
                            </w:p>
                          </w:txbxContent>
                        </v:textbox>
                      </v:shape>
                      <v:shape id="文本框 7936" o:spid="_x0000_s1026" o:spt="202" type="#_x0000_t202" style="position:absolute;left:2051;top:4073064;height:414;width:1633;" filled="f" stroked="f" coordsize="21600,21600" o:gfxdata="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5ar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21D16D5">
                              <w:pPr>
                                <w:pStyle w:val="81"/>
                              </w:pPr>
                              <w:r>
                                <w:rPr>
                                  <w:rFonts w:hint="eastAsia"/>
                                </w:rPr>
                                <w:t>评价工作等级</w:t>
                              </w:r>
                            </w:p>
                          </w:txbxContent>
                        </v:textbox>
                      </v:shape>
                      <v:shape id="文本框 7935" o:spid="_x0000_s1026" o:spt="202" type="#_x0000_t202" style="position:absolute;left:3023;top:4072834;height:414;width:1222;" filled="f" stroked="f" coordsize="21600,21600" o:gfxdata="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rrzMw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14:paraId="74E29A24">
                              <w:pPr>
                                <w:pStyle w:val="81"/>
                              </w:pPr>
                              <w:r>
                                <w:rPr>
                                  <w:rFonts w:hint="eastAsia"/>
                                </w:rPr>
                                <w:t>占地规模</w:t>
                              </w:r>
                            </w:p>
                          </w:txbxContent>
                        </v:textbox>
                      </v:shape>
                    </v:group>
                  </w:pict>
                </mc:Fallback>
              </mc:AlternateContent>
            </w:r>
          </w:p>
        </w:tc>
        <w:tc>
          <w:tcPr>
            <w:tcW w:w="1327" w:type="pct"/>
            <w:gridSpan w:val="3"/>
            <w:vAlign w:val="center"/>
          </w:tcPr>
          <w:p w14:paraId="4B8B08E0">
            <w:pPr>
              <w:pStyle w:val="81"/>
              <w:rPr>
                <w:color w:val="auto"/>
              </w:rPr>
            </w:pPr>
            <w:r>
              <w:rPr>
                <w:rFonts w:hint="eastAsia"/>
                <w:color w:val="auto"/>
              </w:rPr>
              <w:t>Ⅰ类</w:t>
            </w:r>
          </w:p>
        </w:tc>
        <w:tc>
          <w:tcPr>
            <w:tcW w:w="1249" w:type="pct"/>
            <w:gridSpan w:val="3"/>
            <w:vAlign w:val="center"/>
          </w:tcPr>
          <w:p w14:paraId="46FCF363">
            <w:pPr>
              <w:pStyle w:val="81"/>
              <w:rPr>
                <w:color w:val="auto"/>
              </w:rPr>
            </w:pPr>
            <w:r>
              <w:rPr>
                <w:rFonts w:hint="eastAsia"/>
                <w:color w:val="auto"/>
              </w:rPr>
              <w:t>Ⅱ类</w:t>
            </w:r>
          </w:p>
        </w:tc>
        <w:tc>
          <w:tcPr>
            <w:tcW w:w="1280" w:type="pct"/>
            <w:gridSpan w:val="3"/>
            <w:vAlign w:val="center"/>
          </w:tcPr>
          <w:p w14:paraId="4B1871E0">
            <w:pPr>
              <w:pStyle w:val="81"/>
              <w:rPr>
                <w:color w:val="auto"/>
              </w:rPr>
            </w:pPr>
            <w:r>
              <w:rPr>
                <w:rFonts w:hint="eastAsia"/>
                <w:color w:val="auto"/>
              </w:rPr>
              <w:t>Ⅲ类</w:t>
            </w:r>
          </w:p>
        </w:tc>
      </w:tr>
      <w:tr w14:paraId="7E5C4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pct"/>
            <w:vMerge w:val="continue"/>
            <w:vAlign w:val="center"/>
          </w:tcPr>
          <w:p w14:paraId="79735A88">
            <w:pPr>
              <w:pStyle w:val="75"/>
              <w:rPr>
                <w:highlight w:val="yellow"/>
              </w:rPr>
            </w:pPr>
          </w:p>
        </w:tc>
        <w:tc>
          <w:tcPr>
            <w:tcW w:w="499" w:type="pct"/>
            <w:vAlign w:val="center"/>
          </w:tcPr>
          <w:p w14:paraId="38A3BE3E">
            <w:pPr>
              <w:pStyle w:val="81"/>
              <w:rPr>
                <w:color w:val="auto"/>
              </w:rPr>
            </w:pPr>
            <w:r>
              <w:rPr>
                <w:rFonts w:hint="eastAsia"/>
                <w:color w:val="auto"/>
              </w:rPr>
              <w:t>大</w:t>
            </w:r>
          </w:p>
        </w:tc>
        <w:tc>
          <w:tcPr>
            <w:tcW w:w="413" w:type="pct"/>
            <w:vAlign w:val="center"/>
          </w:tcPr>
          <w:p w14:paraId="7678734C">
            <w:pPr>
              <w:pStyle w:val="81"/>
              <w:rPr>
                <w:color w:val="auto"/>
              </w:rPr>
            </w:pPr>
            <w:r>
              <w:rPr>
                <w:rFonts w:hint="eastAsia"/>
                <w:color w:val="auto"/>
              </w:rPr>
              <w:t>中</w:t>
            </w:r>
          </w:p>
        </w:tc>
        <w:tc>
          <w:tcPr>
            <w:tcW w:w="415" w:type="pct"/>
            <w:vAlign w:val="center"/>
          </w:tcPr>
          <w:p w14:paraId="1B0E512B">
            <w:pPr>
              <w:pStyle w:val="81"/>
              <w:rPr>
                <w:color w:val="auto"/>
              </w:rPr>
            </w:pPr>
            <w:r>
              <w:rPr>
                <w:rFonts w:hint="eastAsia"/>
                <w:color w:val="auto"/>
              </w:rPr>
              <w:t>小</w:t>
            </w:r>
          </w:p>
        </w:tc>
        <w:tc>
          <w:tcPr>
            <w:tcW w:w="416" w:type="pct"/>
            <w:vAlign w:val="center"/>
          </w:tcPr>
          <w:p w14:paraId="2F0B809A">
            <w:pPr>
              <w:pStyle w:val="81"/>
              <w:rPr>
                <w:color w:val="auto"/>
              </w:rPr>
            </w:pPr>
            <w:r>
              <w:rPr>
                <w:rFonts w:hint="eastAsia"/>
                <w:color w:val="auto"/>
              </w:rPr>
              <w:t>大</w:t>
            </w:r>
          </w:p>
        </w:tc>
        <w:tc>
          <w:tcPr>
            <w:tcW w:w="416" w:type="pct"/>
            <w:vAlign w:val="center"/>
          </w:tcPr>
          <w:p w14:paraId="3B26F738">
            <w:pPr>
              <w:pStyle w:val="81"/>
              <w:rPr>
                <w:color w:val="auto"/>
              </w:rPr>
            </w:pPr>
            <w:r>
              <w:rPr>
                <w:rFonts w:hint="eastAsia"/>
                <w:color w:val="auto"/>
              </w:rPr>
              <w:t>中</w:t>
            </w:r>
          </w:p>
        </w:tc>
        <w:tc>
          <w:tcPr>
            <w:tcW w:w="417" w:type="pct"/>
            <w:vAlign w:val="center"/>
          </w:tcPr>
          <w:p w14:paraId="2FCBA978">
            <w:pPr>
              <w:pStyle w:val="81"/>
              <w:rPr>
                <w:color w:val="auto"/>
              </w:rPr>
            </w:pPr>
            <w:r>
              <w:rPr>
                <w:rFonts w:hint="eastAsia"/>
                <w:color w:val="auto"/>
              </w:rPr>
              <w:t>小</w:t>
            </w:r>
          </w:p>
        </w:tc>
        <w:tc>
          <w:tcPr>
            <w:tcW w:w="416" w:type="pct"/>
            <w:vAlign w:val="center"/>
          </w:tcPr>
          <w:p w14:paraId="10DEE0EC">
            <w:pPr>
              <w:pStyle w:val="81"/>
              <w:rPr>
                <w:color w:val="auto"/>
              </w:rPr>
            </w:pPr>
            <w:r>
              <w:rPr>
                <w:rFonts w:hint="eastAsia"/>
                <w:color w:val="auto"/>
              </w:rPr>
              <w:t>大</w:t>
            </w:r>
          </w:p>
        </w:tc>
        <w:tc>
          <w:tcPr>
            <w:tcW w:w="414" w:type="pct"/>
            <w:vAlign w:val="center"/>
          </w:tcPr>
          <w:p w14:paraId="506E0694">
            <w:pPr>
              <w:pStyle w:val="81"/>
              <w:rPr>
                <w:color w:val="auto"/>
              </w:rPr>
            </w:pPr>
            <w:r>
              <w:rPr>
                <w:rFonts w:hint="eastAsia"/>
                <w:color w:val="auto"/>
              </w:rPr>
              <w:t>中</w:t>
            </w:r>
          </w:p>
        </w:tc>
        <w:tc>
          <w:tcPr>
            <w:tcW w:w="450" w:type="pct"/>
            <w:vAlign w:val="center"/>
          </w:tcPr>
          <w:p w14:paraId="560EECFF">
            <w:pPr>
              <w:pStyle w:val="81"/>
              <w:rPr>
                <w:color w:val="auto"/>
              </w:rPr>
            </w:pPr>
            <w:r>
              <w:rPr>
                <w:rFonts w:hint="eastAsia"/>
                <w:color w:val="auto"/>
              </w:rPr>
              <w:t>小</w:t>
            </w:r>
          </w:p>
        </w:tc>
      </w:tr>
      <w:tr w14:paraId="27E3C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pct"/>
            <w:vAlign w:val="center"/>
          </w:tcPr>
          <w:p w14:paraId="42C99D26">
            <w:pPr>
              <w:pStyle w:val="75"/>
            </w:pPr>
            <w:r>
              <w:rPr>
                <w:rFonts w:hint="eastAsia"/>
              </w:rPr>
              <w:t>敏感</w:t>
            </w:r>
          </w:p>
        </w:tc>
        <w:tc>
          <w:tcPr>
            <w:tcW w:w="499" w:type="pct"/>
            <w:vAlign w:val="center"/>
          </w:tcPr>
          <w:p w14:paraId="49E3D5C3">
            <w:pPr>
              <w:pStyle w:val="75"/>
            </w:pPr>
            <w:r>
              <w:rPr>
                <w:rFonts w:hint="eastAsia"/>
              </w:rPr>
              <w:t>一级</w:t>
            </w:r>
          </w:p>
        </w:tc>
        <w:tc>
          <w:tcPr>
            <w:tcW w:w="413" w:type="pct"/>
            <w:vAlign w:val="center"/>
          </w:tcPr>
          <w:p w14:paraId="203BF46E">
            <w:pPr>
              <w:pStyle w:val="75"/>
            </w:pPr>
            <w:r>
              <w:rPr>
                <w:rFonts w:hint="eastAsia"/>
              </w:rPr>
              <w:t>一级</w:t>
            </w:r>
          </w:p>
        </w:tc>
        <w:tc>
          <w:tcPr>
            <w:tcW w:w="415" w:type="pct"/>
            <w:vAlign w:val="center"/>
          </w:tcPr>
          <w:p w14:paraId="7C18A8C4">
            <w:pPr>
              <w:pStyle w:val="75"/>
            </w:pPr>
            <w:r>
              <w:rPr>
                <w:rFonts w:hint="eastAsia"/>
              </w:rPr>
              <w:t>一级</w:t>
            </w:r>
          </w:p>
        </w:tc>
        <w:tc>
          <w:tcPr>
            <w:tcW w:w="416" w:type="pct"/>
            <w:vAlign w:val="center"/>
          </w:tcPr>
          <w:p w14:paraId="1047B4FD">
            <w:pPr>
              <w:pStyle w:val="75"/>
            </w:pPr>
            <w:r>
              <w:rPr>
                <w:rFonts w:hint="eastAsia"/>
              </w:rPr>
              <w:t>二级</w:t>
            </w:r>
          </w:p>
        </w:tc>
        <w:tc>
          <w:tcPr>
            <w:tcW w:w="416" w:type="pct"/>
            <w:vAlign w:val="center"/>
          </w:tcPr>
          <w:p w14:paraId="18510D0F">
            <w:pPr>
              <w:pStyle w:val="75"/>
            </w:pPr>
            <w:r>
              <w:rPr>
                <w:rFonts w:hint="eastAsia"/>
              </w:rPr>
              <w:t>二级</w:t>
            </w:r>
          </w:p>
        </w:tc>
        <w:tc>
          <w:tcPr>
            <w:tcW w:w="417" w:type="pct"/>
            <w:vAlign w:val="center"/>
          </w:tcPr>
          <w:p w14:paraId="33383995">
            <w:pPr>
              <w:pStyle w:val="75"/>
            </w:pPr>
            <w:r>
              <w:rPr>
                <w:rFonts w:hint="eastAsia"/>
              </w:rPr>
              <w:t>二级</w:t>
            </w:r>
          </w:p>
        </w:tc>
        <w:tc>
          <w:tcPr>
            <w:tcW w:w="416" w:type="pct"/>
            <w:vAlign w:val="center"/>
          </w:tcPr>
          <w:p w14:paraId="09D29CA4">
            <w:pPr>
              <w:pStyle w:val="75"/>
            </w:pPr>
            <w:r>
              <w:rPr>
                <w:rFonts w:hint="eastAsia"/>
              </w:rPr>
              <w:t>三级</w:t>
            </w:r>
          </w:p>
        </w:tc>
        <w:tc>
          <w:tcPr>
            <w:tcW w:w="414" w:type="pct"/>
            <w:vAlign w:val="center"/>
          </w:tcPr>
          <w:p w14:paraId="524F0C4F">
            <w:pPr>
              <w:pStyle w:val="75"/>
            </w:pPr>
            <w:r>
              <w:rPr>
                <w:rFonts w:hint="eastAsia"/>
              </w:rPr>
              <w:t>三级</w:t>
            </w:r>
          </w:p>
        </w:tc>
        <w:tc>
          <w:tcPr>
            <w:tcW w:w="450" w:type="pct"/>
            <w:vAlign w:val="center"/>
          </w:tcPr>
          <w:p w14:paraId="50DBBBC8">
            <w:pPr>
              <w:pStyle w:val="75"/>
            </w:pPr>
            <w:r>
              <w:rPr>
                <w:rFonts w:hint="eastAsia"/>
              </w:rPr>
              <w:t>三级</w:t>
            </w:r>
          </w:p>
        </w:tc>
      </w:tr>
      <w:tr w14:paraId="0A9D1D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pct"/>
            <w:vAlign w:val="center"/>
          </w:tcPr>
          <w:p w14:paraId="0B3BCF9E">
            <w:pPr>
              <w:pStyle w:val="75"/>
            </w:pPr>
            <w:r>
              <w:rPr>
                <w:rFonts w:hint="eastAsia"/>
              </w:rPr>
              <w:t>较敏感</w:t>
            </w:r>
          </w:p>
        </w:tc>
        <w:tc>
          <w:tcPr>
            <w:tcW w:w="499" w:type="pct"/>
            <w:vAlign w:val="center"/>
          </w:tcPr>
          <w:p w14:paraId="71A52C1A">
            <w:pPr>
              <w:pStyle w:val="75"/>
            </w:pPr>
            <w:r>
              <w:rPr>
                <w:rFonts w:hint="eastAsia"/>
              </w:rPr>
              <w:t>一级</w:t>
            </w:r>
          </w:p>
        </w:tc>
        <w:tc>
          <w:tcPr>
            <w:tcW w:w="413" w:type="pct"/>
            <w:vAlign w:val="center"/>
          </w:tcPr>
          <w:p w14:paraId="00B179AA">
            <w:pPr>
              <w:pStyle w:val="75"/>
            </w:pPr>
            <w:r>
              <w:rPr>
                <w:rFonts w:hint="eastAsia"/>
              </w:rPr>
              <w:t>一级</w:t>
            </w:r>
          </w:p>
        </w:tc>
        <w:tc>
          <w:tcPr>
            <w:tcW w:w="415" w:type="pct"/>
            <w:vAlign w:val="center"/>
          </w:tcPr>
          <w:p w14:paraId="6A215EBB">
            <w:pPr>
              <w:pStyle w:val="75"/>
            </w:pPr>
            <w:r>
              <w:rPr>
                <w:rFonts w:hint="eastAsia"/>
              </w:rPr>
              <w:t>二级</w:t>
            </w:r>
          </w:p>
        </w:tc>
        <w:tc>
          <w:tcPr>
            <w:tcW w:w="416" w:type="pct"/>
            <w:vAlign w:val="center"/>
          </w:tcPr>
          <w:p w14:paraId="7338E9F4">
            <w:pPr>
              <w:pStyle w:val="75"/>
            </w:pPr>
            <w:r>
              <w:rPr>
                <w:rFonts w:hint="eastAsia"/>
              </w:rPr>
              <w:t>二级</w:t>
            </w:r>
          </w:p>
        </w:tc>
        <w:tc>
          <w:tcPr>
            <w:tcW w:w="416" w:type="pct"/>
            <w:vAlign w:val="center"/>
          </w:tcPr>
          <w:p w14:paraId="501156F7">
            <w:pPr>
              <w:pStyle w:val="75"/>
            </w:pPr>
            <w:r>
              <w:rPr>
                <w:rFonts w:hint="eastAsia"/>
              </w:rPr>
              <w:t>二级</w:t>
            </w:r>
          </w:p>
        </w:tc>
        <w:tc>
          <w:tcPr>
            <w:tcW w:w="417" w:type="pct"/>
            <w:vAlign w:val="center"/>
          </w:tcPr>
          <w:p w14:paraId="11C19982">
            <w:pPr>
              <w:pStyle w:val="75"/>
            </w:pPr>
            <w:r>
              <w:rPr>
                <w:rFonts w:hint="eastAsia"/>
              </w:rPr>
              <w:t>三级</w:t>
            </w:r>
          </w:p>
        </w:tc>
        <w:tc>
          <w:tcPr>
            <w:tcW w:w="416" w:type="pct"/>
            <w:vAlign w:val="center"/>
          </w:tcPr>
          <w:p w14:paraId="512EFEE7">
            <w:pPr>
              <w:pStyle w:val="75"/>
            </w:pPr>
            <w:r>
              <w:rPr>
                <w:rFonts w:hint="eastAsia"/>
              </w:rPr>
              <w:t>三级</w:t>
            </w:r>
          </w:p>
        </w:tc>
        <w:tc>
          <w:tcPr>
            <w:tcW w:w="414" w:type="pct"/>
            <w:vAlign w:val="center"/>
          </w:tcPr>
          <w:p w14:paraId="1AAB6E04">
            <w:pPr>
              <w:pStyle w:val="75"/>
            </w:pPr>
            <w:r>
              <w:rPr>
                <w:rFonts w:hint="eastAsia"/>
              </w:rPr>
              <w:t>三级</w:t>
            </w:r>
          </w:p>
        </w:tc>
        <w:tc>
          <w:tcPr>
            <w:tcW w:w="450" w:type="pct"/>
            <w:vAlign w:val="center"/>
          </w:tcPr>
          <w:p w14:paraId="3344655F">
            <w:pPr>
              <w:pStyle w:val="75"/>
            </w:pPr>
            <w:r>
              <w:rPr>
                <w:rFonts w:hint="eastAsia"/>
              </w:rPr>
              <w:t>-</w:t>
            </w:r>
          </w:p>
        </w:tc>
      </w:tr>
      <w:tr w14:paraId="4B09E4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pct"/>
            <w:vAlign w:val="center"/>
          </w:tcPr>
          <w:p w14:paraId="251C14A3">
            <w:pPr>
              <w:pStyle w:val="75"/>
            </w:pPr>
            <w:r>
              <w:rPr>
                <w:rFonts w:hint="eastAsia"/>
              </w:rPr>
              <w:t>不敏感</w:t>
            </w:r>
          </w:p>
        </w:tc>
        <w:tc>
          <w:tcPr>
            <w:tcW w:w="499" w:type="pct"/>
            <w:vAlign w:val="center"/>
          </w:tcPr>
          <w:p w14:paraId="658B1162">
            <w:pPr>
              <w:pStyle w:val="75"/>
            </w:pPr>
            <w:r>
              <w:rPr>
                <w:rFonts w:hint="eastAsia"/>
              </w:rPr>
              <w:t>一级</w:t>
            </w:r>
          </w:p>
        </w:tc>
        <w:tc>
          <w:tcPr>
            <w:tcW w:w="413" w:type="pct"/>
            <w:vAlign w:val="center"/>
          </w:tcPr>
          <w:p w14:paraId="7B64BBF9">
            <w:pPr>
              <w:pStyle w:val="75"/>
            </w:pPr>
            <w:r>
              <w:rPr>
                <w:rFonts w:hint="eastAsia"/>
              </w:rPr>
              <w:t>二级</w:t>
            </w:r>
          </w:p>
        </w:tc>
        <w:tc>
          <w:tcPr>
            <w:tcW w:w="415" w:type="pct"/>
            <w:vAlign w:val="center"/>
          </w:tcPr>
          <w:p w14:paraId="64A275DA">
            <w:pPr>
              <w:pStyle w:val="75"/>
            </w:pPr>
            <w:r>
              <w:rPr>
                <w:rFonts w:hint="eastAsia"/>
                <w:b/>
                <w:bCs/>
              </w:rPr>
              <w:t>二级</w:t>
            </w:r>
          </w:p>
        </w:tc>
        <w:tc>
          <w:tcPr>
            <w:tcW w:w="416" w:type="pct"/>
            <w:vAlign w:val="center"/>
          </w:tcPr>
          <w:p w14:paraId="453EA1D5">
            <w:pPr>
              <w:pStyle w:val="75"/>
            </w:pPr>
            <w:r>
              <w:rPr>
                <w:rFonts w:hint="eastAsia"/>
              </w:rPr>
              <w:t>二级</w:t>
            </w:r>
          </w:p>
        </w:tc>
        <w:tc>
          <w:tcPr>
            <w:tcW w:w="416" w:type="pct"/>
            <w:vAlign w:val="center"/>
          </w:tcPr>
          <w:p w14:paraId="063660F9">
            <w:pPr>
              <w:pStyle w:val="75"/>
            </w:pPr>
            <w:r>
              <w:rPr>
                <w:rFonts w:hint="eastAsia"/>
              </w:rPr>
              <w:t>三级</w:t>
            </w:r>
          </w:p>
        </w:tc>
        <w:tc>
          <w:tcPr>
            <w:tcW w:w="417" w:type="pct"/>
            <w:vAlign w:val="center"/>
          </w:tcPr>
          <w:p w14:paraId="30A4A71B">
            <w:pPr>
              <w:pStyle w:val="75"/>
            </w:pPr>
            <w:r>
              <w:rPr>
                <w:rFonts w:hint="eastAsia"/>
              </w:rPr>
              <w:t>三级</w:t>
            </w:r>
          </w:p>
        </w:tc>
        <w:tc>
          <w:tcPr>
            <w:tcW w:w="416" w:type="pct"/>
            <w:vAlign w:val="center"/>
          </w:tcPr>
          <w:p w14:paraId="6827A2A3">
            <w:pPr>
              <w:pStyle w:val="75"/>
            </w:pPr>
            <w:r>
              <w:rPr>
                <w:rFonts w:hint="eastAsia"/>
              </w:rPr>
              <w:t>三级</w:t>
            </w:r>
          </w:p>
        </w:tc>
        <w:tc>
          <w:tcPr>
            <w:tcW w:w="414" w:type="pct"/>
            <w:vAlign w:val="center"/>
          </w:tcPr>
          <w:p w14:paraId="2160A712">
            <w:pPr>
              <w:pStyle w:val="75"/>
            </w:pPr>
            <w:r>
              <w:rPr>
                <w:rFonts w:hint="eastAsia"/>
              </w:rPr>
              <w:t>-</w:t>
            </w:r>
          </w:p>
        </w:tc>
        <w:tc>
          <w:tcPr>
            <w:tcW w:w="450" w:type="pct"/>
            <w:vAlign w:val="center"/>
          </w:tcPr>
          <w:p w14:paraId="5075CD2D">
            <w:pPr>
              <w:pStyle w:val="75"/>
            </w:pPr>
            <w:r>
              <w:rPr>
                <w:rFonts w:hint="eastAsia"/>
              </w:rPr>
              <w:t>-</w:t>
            </w:r>
          </w:p>
        </w:tc>
      </w:tr>
      <w:tr w14:paraId="07DD94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10"/>
            <w:vAlign w:val="center"/>
          </w:tcPr>
          <w:p w14:paraId="4BE372E1">
            <w:pPr>
              <w:pStyle w:val="75"/>
              <w:jc w:val="left"/>
            </w:pPr>
            <w:r>
              <w:rPr>
                <w:rFonts w:hint="eastAsia"/>
              </w:rPr>
              <w:t>注：“-”表示可不开展土壤环境影响评价工作。</w:t>
            </w:r>
          </w:p>
        </w:tc>
      </w:tr>
    </w:tbl>
    <w:p w14:paraId="214D2CE3">
      <w:pPr>
        <w:pStyle w:val="72"/>
      </w:pPr>
      <w:r>
        <w:rPr>
          <w:rFonts w:hint="eastAsia"/>
        </w:rPr>
        <w:t>综上所述，本项目的土壤环境影响评价等级为二级。</w:t>
      </w:r>
    </w:p>
    <w:p w14:paraId="5551095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5.7.1.2评价范围</w:t>
      </w:r>
    </w:p>
    <w:p w14:paraId="5AD40F17">
      <w:pPr>
        <w:widowControl w:val="0"/>
        <w:numPr>
          <w:ilvl w:val="0"/>
          <w:numId w:val="0"/>
        </w:numPr>
        <w:adjustRightInd w:val="0"/>
        <w:snapToGrid w:val="0"/>
        <w:spacing w:line="520" w:lineRule="exact"/>
        <w:ind w:firstLine="472" w:firstLineChars="200"/>
        <w:jc w:val="both"/>
        <w:textAlignment w:val="baseline"/>
        <w:rPr>
          <w:rFonts w:hint="default"/>
          <w:lang w:val="en-US" w:eastAsia="zh-CN"/>
        </w:rPr>
      </w:pPr>
      <w:r>
        <w:rPr>
          <w:rFonts w:hint="default" w:ascii="Times New Roman" w:hAnsi="Times New Roman" w:eastAsia="宋体" w:cs="Times New Roman"/>
          <w:b w:val="0"/>
          <w:snapToGrid w:val="0"/>
          <w:spacing w:val="-2"/>
          <w:kern w:val="21"/>
          <w:sz w:val="24"/>
          <w:szCs w:val="24"/>
        </w:rPr>
        <w:t xml:space="preserve">根据《环境影响评价技术导则 </w:t>
      </w:r>
      <w:r>
        <w:rPr>
          <w:rFonts w:hint="default" w:ascii="Times New Roman" w:hAnsi="Times New Roman" w:eastAsia="宋体" w:cs="Times New Roman"/>
          <w:b w:val="0"/>
          <w:snapToGrid w:val="0"/>
          <w:spacing w:val="-2"/>
          <w:kern w:val="21"/>
          <w:sz w:val="24"/>
          <w:szCs w:val="24"/>
          <w:lang w:val="en-US" w:eastAsia="zh-CN"/>
        </w:rPr>
        <w:t xml:space="preserve"> </w:t>
      </w:r>
      <w:r>
        <w:rPr>
          <w:rFonts w:hint="default" w:ascii="Times New Roman" w:hAnsi="Times New Roman" w:eastAsia="宋体" w:cs="Times New Roman"/>
          <w:b w:val="0"/>
          <w:snapToGrid w:val="0"/>
          <w:spacing w:val="-2"/>
          <w:kern w:val="21"/>
          <w:sz w:val="24"/>
          <w:szCs w:val="24"/>
        </w:rPr>
        <w:t>土壤环境（试行）》（HJ964-2018），确定本次土壤环境影响评价范围为全部占地范围及厂界外0.2km内的范围。</w:t>
      </w:r>
    </w:p>
    <w:bookmarkEnd w:id="585"/>
    <w:p w14:paraId="2F779249">
      <w:pPr>
        <w:pStyle w:val="72"/>
        <w:spacing w:line="240" w:lineRule="auto"/>
        <w:ind w:firstLine="0" w:firstLineChars="0"/>
        <w:jc w:val="center"/>
        <w:rPr>
          <w:rFonts w:hint="eastAsia" w:eastAsia="宋体"/>
          <w:lang w:eastAsia="zh-CN"/>
        </w:rPr>
      </w:pPr>
      <w:r>
        <w:rPr>
          <w:rFonts w:hint="eastAsia" w:eastAsia="宋体"/>
          <w:lang w:eastAsia="zh-CN"/>
        </w:rPr>
        <w:drawing>
          <wp:inline distT="0" distB="0" distL="114300" distR="114300">
            <wp:extent cx="4972050" cy="4387850"/>
            <wp:effectExtent l="0" t="0" r="0" b="12700"/>
            <wp:docPr id="1" name="图片 1" descr="图汇总修改_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汇总修改_02(4)"/>
                    <pic:cNvPicPr>
                      <a:picLocks noChangeAspect="1"/>
                    </pic:cNvPicPr>
                  </pic:nvPicPr>
                  <pic:blipFill>
                    <a:blip r:embed="rId49"/>
                    <a:stretch>
                      <a:fillRect/>
                    </a:stretch>
                  </pic:blipFill>
                  <pic:spPr>
                    <a:xfrm>
                      <a:off x="0" y="0"/>
                      <a:ext cx="4972050" cy="4387850"/>
                    </a:xfrm>
                    <a:prstGeom prst="rect">
                      <a:avLst/>
                    </a:prstGeom>
                  </pic:spPr>
                </pic:pic>
              </a:graphicData>
            </a:graphic>
          </wp:inline>
        </w:drawing>
      </w:r>
    </w:p>
    <w:p w14:paraId="2C4D98CB">
      <w:pPr>
        <w:pStyle w:val="78"/>
        <w:rPr>
          <w:rFonts w:hint="default" w:eastAsia="宋体"/>
          <w:lang w:val="en-US" w:eastAsia="zh-CN"/>
        </w:rPr>
      </w:pPr>
      <w:r>
        <w:rPr>
          <w:rFonts w:hint="eastAsia"/>
        </w:rPr>
        <w:t>图5</w:t>
      </w:r>
      <w:r>
        <w:rPr>
          <w:rFonts w:hint="eastAsia"/>
          <w:lang w:val="en-US" w:eastAsia="zh-CN"/>
        </w:rPr>
        <w:t>.7-1</w:t>
      </w:r>
      <w:r>
        <w:rPr>
          <w:rFonts w:hint="eastAsia"/>
        </w:rPr>
        <w:t xml:space="preserve">    本项目土壤</w:t>
      </w:r>
      <w:r>
        <w:rPr>
          <w:rFonts w:hint="eastAsia"/>
          <w:lang w:val="en-US" w:eastAsia="zh-CN"/>
        </w:rPr>
        <w:t>评价范围图</w:t>
      </w:r>
    </w:p>
    <w:p w14:paraId="7D97E4FD">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bookmarkStart w:id="594" w:name="_Toc108122576"/>
      <w:r>
        <w:rPr>
          <w:rFonts w:hint="eastAsia" w:ascii="Times New Roman" w:hAnsi="Times New Roman" w:cs="Times New Roman"/>
          <w:lang w:val="en-US" w:eastAsia="zh-CN"/>
        </w:rPr>
        <w:t>5.7.1.3土壤环境现状调查与评价</w:t>
      </w:r>
    </w:p>
    <w:p w14:paraId="6BED9041">
      <w:pPr>
        <w:rPr>
          <w:rFonts w:hint="eastAsia" w:ascii="Times New Roman" w:hAnsi="Times New Roman" w:eastAsia="宋体" w:cs="Times New Roman"/>
          <w:lang w:eastAsia="zh-CN"/>
        </w:rPr>
      </w:pP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1</w:t>
      </w:r>
      <w:r>
        <w:rPr>
          <w:rFonts w:hint="eastAsia" w:ascii="Times New Roman" w:hAnsi="Times New Roman" w:eastAsia="宋体" w:cs="Times New Roman"/>
          <w:lang w:eastAsia="zh-CN"/>
        </w:rPr>
        <w:t>）环境保护目标</w:t>
      </w:r>
    </w:p>
    <w:p w14:paraId="776250AD">
      <w:pPr>
        <w:rPr>
          <w:rFonts w:hint="eastAsia"/>
        </w:rPr>
      </w:pPr>
      <w:r>
        <w:rPr>
          <w:rFonts w:hint="eastAsia"/>
        </w:rPr>
        <w:t>本项目位于</w:t>
      </w:r>
      <w:r>
        <w:rPr>
          <w:rFonts w:hint="eastAsia"/>
          <w:lang w:val="en-US" w:eastAsia="zh-CN"/>
        </w:rPr>
        <w:t>获嘉县</w:t>
      </w:r>
      <w:r>
        <w:rPr>
          <w:rFonts w:hint="eastAsia"/>
        </w:rPr>
        <w:t>先进制造业开发区，用地性质为工业用地。根据《环境影响评价技术导则  土壤环境（试行）》（HJ964-2018）相关规定，本次评价土壤环境保护目标主要为厂区占地范围外200m范围内用地。</w:t>
      </w:r>
    </w:p>
    <w:p w14:paraId="0EA58123">
      <w:pPr>
        <w:rPr>
          <w:rFonts w:hint="default"/>
          <w:lang w:val="en-US"/>
        </w:rPr>
      </w:pP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2</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土地利用类型</w:t>
      </w:r>
    </w:p>
    <w:p w14:paraId="69A0096A">
      <w:pPr>
        <w:keepNext w:val="0"/>
        <w:keepLines w:val="0"/>
        <w:pageBreakBefore w:val="0"/>
        <w:widowControl/>
        <w:numPr>
          <w:ilvl w:val="0"/>
          <w:numId w:val="0"/>
        </w:numPr>
        <w:tabs>
          <w:tab w:val="left" w:pos="360"/>
          <w:tab w:val="left" w:pos="1200"/>
          <w:tab w:val="left" w:pos="1680"/>
        </w:tabs>
        <w:kinsoku/>
        <w:wordWrap/>
        <w:overflowPunct/>
        <w:topLinePunct/>
        <w:autoSpaceDE/>
        <w:autoSpaceDN/>
        <w:bidi w:val="0"/>
        <w:adjustRightInd w:val="0"/>
        <w:snapToGrid w:val="0"/>
        <w:ind w:firstLine="480" w:firstLineChars="200"/>
        <w:textAlignment w:val="auto"/>
        <w:outlineLvl w:val="9"/>
        <w:rPr>
          <w:rFonts w:hint="default" w:ascii="Times New Roman" w:hAnsi="Times New Roman" w:eastAsia="宋体" w:cs="Times New Roman"/>
          <w:b w:val="0"/>
          <w:snapToGrid w:val="0"/>
          <w:kern w:val="21"/>
          <w:sz w:val="24"/>
          <w:szCs w:val="24"/>
          <w:highlight w:val="none"/>
        </w:rPr>
      </w:pPr>
      <w:r>
        <w:rPr>
          <w:rFonts w:hint="default" w:ascii="Times New Roman" w:hAnsi="Times New Roman" w:eastAsia="宋体" w:cs="Times New Roman"/>
          <w:b w:val="0"/>
          <w:snapToGrid w:val="0"/>
          <w:kern w:val="21"/>
          <w:sz w:val="24"/>
          <w:szCs w:val="24"/>
          <w:highlight w:val="none"/>
        </w:rPr>
        <w:t>本项目评价范围内土地利用类型</w:t>
      </w:r>
      <w:r>
        <w:rPr>
          <w:rFonts w:hint="default" w:ascii="Times New Roman" w:hAnsi="Times New Roman" w:eastAsia="宋体" w:cs="Times New Roman"/>
          <w:b w:val="0"/>
          <w:snapToGrid w:val="0"/>
          <w:kern w:val="21"/>
          <w:sz w:val="24"/>
          <w:szCs w:val="24"/>
          <w:highlight w:val="none"/>
          <w:lang w:val="en-US" w:eastAsia="zh-CN"/>
        </w:rPr>
        <w:t>均为工业用地</w:t>
      </w:r>
      <w:r>
        <w:rPr>
          <w:rFonts w:hint="default" w:ascii="Times New Roman" w:hAnsi="Times New Roman" w:eastAsia="宋体" w:cs="Times New Roman"/>
          <w:b w:val="0"/>
          <w:snapToGrid w:val="0"/>
          <w:kern w:val="21"/>
          <w:sz w:val="24"/>
          <w:szCs w:val="24"/>
          <w:highlight w:val="none"/>
        </w:rPr>
        <w:t>。本项目位于获嘉县先进制造业开发区，占地为二类工业用地。</w:t>
      </w:r>
    </w:p>
    <w:p w14:paraId="3EFE2629">
      <w:pPr>
        <w:keepNext w:val="0"/>
        <w:keepLines w:val="0"/>
        <w:pageBreakBefore w:val="0"/>
        <w:widowControl/>
        <w:numPr>
          <w:ilvl w:val="0"/>
          <w:numId w:val="0"/>
        </w:numPr>
        <w:tabs>
          <w:tab w:val="left" w:pos="360"/>
          <w:tab w:val="left" w:pos="1200"/>
          <w:tab w:val="left" w:pos="1680"/>
        </w:tabs>
        <w:kinsoku/>
        <w:wordWrap/>
        <w:overflowPunct/>
        <w:topLinePunct/>
        <w:autoSpaceDE/>
        <w:autoSpaceDN/>
        <w:bidi w:val="0"/>
        <w:adjustRightInd w:val="0"/>
        <w:snapToGrid w:val="0"/>
        <w:ind w:leftChars="200"/>
        <w:textAlignment w:val="auto"/>
        <w:outlineLvl w:val="9"/>
        <w:rPr>
          <w:rFonts w:hint="default" w:ascii="Times New Roman" w:hAnsi="Times New Roman" w:eastAsia="宋体" w:cs="Times New Roman"/>
          <w:b w:val="0"/>
          <w:snapToGrid w:val="0"/>
          <w:kern w:val="21"/>
          <w:sz w:val="24"/>
          <w:szCs w:val="24"/>
          <w:highlight w:val="none"/>
        </w:rPr>
      </w:pPr>
      <w:r>
        <w:rPr>
          <w:rFonts w:hint="eastAsia"/>
          <w:lang w:eastAsia="zh-CN"/>
        </w:rPr>
        <w:t>（</w:t>
      </w:r>
      <w:r>
        <w:rPr>
          <w:rFonts w:hint="eastAsia"/>
          <w:lang w:val="en-US" w:eastAsia="zh-CN"/>
        </w:rPr>
        <w:t>3</w:t>
      </w:r>
      <w:r>
        <w:rPr>
          <w:rFonts w:hint="eastAsia"/>
          <w:lang w:eastAsia="zh-CN"/>
        </w:rPr>
        <w:t>）</w:t>
      </w:r>
      <w:r>
        <w:rPr>
          <w:rFonts w:hint="default" w:ascii="Times New Roman" w:hAnsi="Times New Roman" w:eastAsia="宋体" w:cs="Times New Roman"/>
          <w:b w:val="0"/>
          <w:snapToGrid w:val="0"/>
          <w:kern w:val="21"/>
          <w:sz w:val="24"/>
          <w:szCs w:val="24"/>
          <w:highlight w:val="none"/>
        </w:rPr>
        <w:t>土壤类型及土壤理化特性调查</w:t>
      </w:r>
    </w:p>
    <w:p w14:paraId="31CD0BF5">
      <w:pPr>
        <w:keepNext w:val="0"/>
        <w:keepLines w:val="0"/>
        <w:pageBreakBefore w:val="0"/>
        <w:widowControl/>
        <w:numPr>
          <w:ilvl w:val="0"/>
          <w:numId w:val="0"/>
        </w:numPr>
        <w:tabs>
          <w:tab w:val="left" w:pos="360"/>
          <w:tab w:val="left" w:pos="1200"/>
          <w:tab w:val="left" w:pos="1680"/>
        </w:tabs>
        <w:kinsoku/>
        <w:wordWrap/>
        <w:overflowPunct/>
        <w:topLinePunct/>
        <w:autoSpaceDE/>
        <w:autoSpaceDN/>
        <w:bidi w:val="0"/>
        <w:adjustRightInd w:val="0"/>
        <w:snapToGrid w:val="0"/>
        <w:ind w:firstLine="480" w:firstLineChars="200"/>
        <w:textAlignment w:val="auto"/>
        <w:outlineLvl w:val="9"/>
        <w:rPr>
          <w:rFonts w:hint="default" w:ascii="Times New Roman" w:hAnsi="Times New Roman" w:eastAsia="宋体" w:cs="Times New Roman"/>
          <w:b w:val="0"/>
          <w:snapToGrid w:val="0"/>
          <w:kern w:val="21"/>
          <w:sz w:val="24"/>
          <w:szCs w:val="24"/>
          <w:highlight w:val="none"/>
        </w:rPr>
      </w:pPr>
      <w:r>
        <w:rPr>
          <w:rFonts w:hint="default" w:ascii="Times New Roman" w:hAnsi="Times New Roman" w:eastAsia="宋体" w:cs="Times New Roman"/>
          <w:b w:val="0"/>
          <w:snapToGrid w:val="0"/>
          <w:kern w:val="21"/>
          <w:sz w:val="24"/>
          <w:szCs w:val="24"/>
          <w:highlight w:val="none"/>
        </w:rPr>
        <w:t xml:space="preserve">根据《环境影响评价技术导则 </w:t>
      </w:r>
      <w:r>
        <w:rPr>
          <w:rFonts w:hint="default" w:ascii="Times New Roman" w:hAnsi="Times New Roman" w:eastAsia="宋体" w:cs="Times New Roman"/>
          <w:b w:val="0"/>
          <w:snapToGrid w:val="0"/>
          <w:kern w:val="21"/>
          <w:sz w:val="24"/>
          <w:szCs w:val="24"/>
          <w:highlight w:val="none"/>
          <w:lang w:val="en-US" w:eastAsia="zh-CN"/>
        </w:rPr>
        <w:t xml:space="preserve"> </w:t>
      </w:r>
      <w:r>
        <w:rPr>
          <w:rFonts w:hint="default" w:ascii="Times New Roman" w:hAnsi="Times New Roman" w:eastAsia="宋体" w:cs="Times New Roman"/>
          <w:b w:val="0"/>
          <w:snapToGrid w:val="0"/>
          <w:kern w:val="21"/>
          <w:sz w:val="24"/>
          <w:szCs w:val="24"/>
          <w:highlight w:val="none"/>
        </w:rPr>
        <w:t>土壤环境（试行）》（HJ964-2018）相关要求，本次评价对土壤理化性质进行调查，详见</w:t>
      </w:r>
      <w:r>
        <w:rPr>
          <w:rFonts w:hint="default" w:ascii="Times New Roman" w:hAnsi="Times New Roman" w:eastAsia="宋体" w:cs="Times New Roman"/>
          <w:b w:val="0"/>
          <w:snapToGrid w:val="0"/>
          <w:kern w:val="21"/>
          <w:sz w:val="24"/>
          <w:szCs w:val="24"/>
          <w:highlight w:val="none"/>
          <w:lang w:val="en-US" w:eastAsia="zh-CN"/>
        </w:rPr>
        <w:t>下表。</w:t>
      </w:r>
    </w:p>
    <w:p w14:paraId="2AF0AD2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p>
    <w:p w14:paraId="2A8018B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ascii="Times New Roman" w:hAnsi="Times New Roman"/>
        </w:rPr>
        <w:t>表</w:t>
      </w:r>
      <w:r>
        <w:rPr>
          <w:rFonts w:hint="eastAsia"/>
          <w:lang w:val="en-US" w:eastAsia="zh-CN"/>
        </w:rPr>
        <w:t>5.7-5</w:t>
      </w:r>
      <w:r>
        <w:rPr>
          <w:rFonts w:hint="eastAsia" w:ascii="Times New Roman" w:hAnsi="Times New Roman"/>
        </w:rPr>
        <w:t xml:space="preserve">    污染影响型评价工作等级划分表</w:t>
      </w:r>
    </w:p>
    <w:tbl>
      <w:tblPr>
        <w:tblStyle w:val="3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2727"/>
        <w:gridCol w:w="1501"/>
        <w:gridCol w:w="1634"/>
        <w:gridCol w:w="1639"/>
      </w:tblGrid>
      <w:tr w14:paraId="1F6BCD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00" w:type="pct"/>
            <w:gridSpan w:val="2"/>
            <w:tcBorders>
              <w:tl2br w:val="nil"/>
              <w:tr2bl w:val="nil"/>
            </w:tcBorders>
            <w:noWrap w:val="0"/>
            <w:vAlign w:val="center"/>
          </w:tcPr>
          <w:p w14:paraId="6EFB77D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监测点位</w:t>
            </w:r>
          </w:p>
        </w:tc>
        <w:tc>
          <w:tcPr>
            <w:tcW w:w="880" w:type="pct"/>
            <w:tcBorders>
              <w:tl2br w:val="nil"/>
              <w:tr2bl w:val="nil"/>
            </w:tcBorders>
            <w:noWrap w:val="0"/>
            <w:vAlign w:val="center"/>
          </w:tcPr>
          <w:p w14:paraId="24A8B01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sz w:val="21"/>
                <w:szCs w:val="21"/>
                <w:lang w:val="en-US" w:eastAsia="zh-CN"/>
              </w:rPr>
              <w:t>拟建车间中部</w:t>
            </w:r>
          </w:p>
        </w:tc>
        <w:tc>
          <w:tcPr>
            <w:tcW w:w="958" w:type="pct"/>
            <w:tcBorders>
              <w:tl2br w:val="nil"/>
              <w:tr2bl w:val="nil"/>
            </w:tcBorders>
            <w:noWrap w:val="0"/>
            <w:vAlign w:val="center"/>
          </w:tcPr>
          <w:p w14:paraId="4D4C464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时间</w:t>
            </w:r>
          </w:p>
        </w:tc>
        <w:tc>
          <w:tcPr>
            <w:tcW w:w="960" w:type="pct"/>
            <w:tcBorders>
              <w:tl2br w:val="nil"/>
              <w:tr2bl w:val="nil"/>
            </w:tcBorders>
            <w:noWrap w:val="0"/>
            <w:vAlign w:val="center"/>
          </w:tcPr>
          <w:p w14:paraId="236B80B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2025-03-28</w:t>
            </w:r>
          </w:p>
        </w:tc>
      </w:tr>
      <w:tr w14:paraId="2CC2B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200" w:type="pct"/>
            <w:gridSpan w:val="2"/>
            <w:tcBorders>
              <w:tl2br w:val="nil"/>
              <w:tr2bl w:val="nil"/>
            </w:tcBorders>
            <w:noWrap w:val="0"/>
            <w:vAlign w:val="center"/>
          </w:tcPr>
          <w:p w14:paraId="7B34F8E1">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经度</w:t>
            </w:r>
          </w:p>
        </w:tc>
        <w:tc>
          <w:tcPr>
            <w:tcW w:w="880" w:type="pct"/>
            <w:tcBorders>
              <w:tl2br w:val="nil"/>
              <w:tr2bl w:val="nil"/>
            </w:tcBorders>
            <w:noWrap w:val="0"/>
            <w:vAlign w:val="center"/>
          </w:tcPr>
          <w:p w14:paraId="3181C72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113.714700</w:t>
            </w:r>
          </w:p>
        </w:tc>
        <w:tc>
          <w:tcPr>
            <w:tcW w:w="958" w:type="pct"/>
            <w:tcBorders>
              <w:tl2br w:val="nil"/>
              <w:tr2bl w:val="nil"/>
            </w:tcBorders>
            <w:noWrap w:val="0"/>
            <w:vAlign w:val="center"/>
          </w:tcPr>
          <w:p w14:paraId="5EDD39F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纬度</w:t>
            </w:r>
          </w:p>
        </w:tc>
        <w:tc>
          <w:tcPr>
            <w:tcW w:w="960" w:type="pct"/>
            <w:tcBorders>
              <w:tl2br w:val="nil"/>
              <w:tr2bl w:val="nil"/>
            </w:tcBorders>
            <w:noWrap w:val="0"/>
            <w:vAlign w:val="center"/>
          </w:tcPr>
          <w:p w14:paraId="2F1FAFB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35.266380</w:t>
            </w:r>
          </w:p>
        </w:tc>
      </w:tr>
      <w:tr w14:paraId="0F735E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00" w:type="pct"/>
            <w:gridSpan w:val="2"/>
            <w:tcBorders>
              <w:tl2br w:val="nil"/>
              <w:tr2bl w:val="nil"/>
            </w:tcBorders>
            <w:noWrap w:val="0"/>
            <w:vAlign w:val="center"/>
          </w:tcPr>
          <w:p w14:paraId="4B9ED88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层次（m）</w:t>
            </w:r>
          </w:p>
        </w:tc>
        <w:tc>
          <w:tcPr>
            <w:tcW w:w="2799" w:type="pct"/>
            <w:gridSpan w:val="3"/>
            <w:tcBorders>
              <w:tl2br w:val="nil"/>
              <w:tr2bl w:val="nil"/>
            </w:tcBorders>
            <w:noWrap w:val="0"/>
            <w:vAlign w:val="center"/>
          </w:tcPr>
          <w:p w14:paraId="14D2BB1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sz w:val="21"/>
                <w:szCs w:val="21"/>
                <w:highlight w:val="none"/>
                <w:lang w:val="en-US" w:eastAsia="zh-CN"/>
              </w:rPr>
              <w:t>0-0.5</w:t>
            </w:r>
          </w:p>
        </w:tc>
      </w:tr>
      <w:tr w14:paraId="31E60C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restart"/>
            <w:tcBorders>
              <w:tl2br w:val="nil"/>
              <w:tr2bl w:val="nil"/>
            </w:tcBorders>
            <w:noWrap w:val="0"/>
            <w:vAlign w:val="center"/>
          </w:tcPr>
          <w:p w14:paraId="4897469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现场</w:t>
            </w:r>
          </w:p>
          <w:p w14:paraId="681D1A9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记录</w:t>
            </w:r>
          </w:p>
        </w:tc>
        <w:tc>
          <w:tcPr>
            <w:tcW w:w="1598" w:type="pct"/>
            <w:tcBorders>
              <w:tl2br w:val="nil"/>
              <w:tr2bl w:val="nil"/>
            </w:tcBorders>
            <w:noWrap w:val="0"/>
            <w:vAlign w:val="center"/>
          </w:tcPr>
          <w:p w14:paraId="3EC1746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颜色（/）</w:t>
            </w:r>
          </w:p>
        </w:tc>
        <w:tc>
          <w:tcPr>
            <w:tcW w:w="2799" w:type="pct"/>
            <w:gridSpan w:val="3"/>
            <w:tcBorders>
              <w:tl2br w:val="nil"/>
              <w:tr2bl w:val="nil"/>
            </w:tcBorders>
            <w:noWrap w:val="0"/>
            <w:vAlign w:val="center"/>
          </w:tcPr>
          <w:p w14:paraId="73BBA57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棕</w:t>
            </w:r>
          </w:p>
        </w:tc>
      </w:tr>
      <w:tr w14:paraId="2D7AD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396840E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48E114B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结构（/）</w:t>
            </w:r>
          </w:p>
        </w:tc>
        <w:tc>
          <w:tcPr>
            <w:tcW w:w="2799" w:type="pct"/>
            <w:gridSpan w:val="3"/>
            <w:tcBorders>
              <w:tl2br w:val="nil"/>
              <w:tr2bl w:val="nil"/>
            </w:tcBorders>
            <w:noWrap w:val="0"/>
            <w:vAlign w:val="center"/>
          </w:tcPr>
          <w:p w14:paraId="33C7464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团粒</w:t>
            </w:r>
          </w:p>
        </w:tc>
      </w:tr>
      <w:tr w14:paraId="08F1C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0E3EE3F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5F0BA9E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质地（/）</w:t>
            </w:r>
          </w:p>
        </w:tc>
        <w:tc>
          <w:tcPr>
            <w:tcW w:w="2799" w:type="pct"/>
            <w:gridSpan w:val="3"/>
            <w:tcBorders>
              <w:tl2br w:val="nil"/>
              <w:tr2bl w:val="nil"/>
            </w:tcBorders>
            <w:noWrap w:val="0"/>
            <w:vAlign w:val="center"/>
          </w:tcPr>
          <w:p w14:paraId="4B611C8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轻</w:t>
            </w:r>
            <w:r>
              <w:rPr>
                <w:rFonts w:hint="default" w:ascii="Times New Roman" w:hAnsi="Times New Roman" w:eastAsia="宋体" w:cs="Times New Roman"/>
                <w:bCs/>
                <w:color w:val="auto"/>
                <w:sz w:val="21"/>
                <w:szCs w:val="21"/>
                <w:highlight w:val="none"/>
              </w:rPr>
              <w:t>壤</w:t>
            </w:r>
          </w:p>
        </w:tc>
      </w:tr>
      <w:tr w14:paraId="704E63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7878A91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302AEF1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砂砾含量（%）</w:t>
            </w:r>
          </w:p>
        </w:tc>
        <w:tc>
          <w:tcPr>
            <w:tcW w:w="2799" w:type="pct"/>
            <w:gridSpan w:val="3"/>
            <w:tcBorders>
              <w:tl2br w:val="nil"/>
              <w:tr2bl w:val="nil"/>
            </w:tcBorders>
            <w:noWrap w:val="0"/>
            <w:vAlign w:val="center"/>
          </w:tcPr>
          <w:p w14:paraId="4AC9605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&lt;</w:t>
            </w:r>
            <w:r>
              <w:rPr>
                <w:rFonts w:hint="default" w:ascii="Times New Roman" w:hAnsi="Times New Roman" w:eastAsia="宋体"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rPr>
              <w:t>0</w:t>
            </w:r>
          </w:p>
        </w:tc>
      </w:tr>
      <w:tr w14:paraId="26EB35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7F4DAE0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5F40FDE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其他异物（/）</w:t>
            </w:r>
          </w:p>
        </w:tc>
        <w:tc>
          <w:tcPr>
            <w:tcW w:w="2799" w:type="pct"/>
            <w:gridSpan w:val="3"/>
            <w:tcBorders>
              <w:tl2br w:val="nil"/>
              <w:tr2bl w:val="nil"/>
            </w:tcBorders>
            <w:noWrap w:val="0"/>
            <w:vAlign w:val="center"/>
          </w:tcPr>
          <w:p w14:paraId="4EDC14A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无</w:t>
            </w:r>
          </w:p>
        </w:tc>
      </w:tr>
      <w:tr w14:paraId="1F2561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jc w:val="center"/>
        </w:trPr>
        <w:tc>
          <w:tcPr>
            <w:tcW w:w="601" w:type="pct"/>
            <w:vMerge w:val="restart"/>
            <w:tcBorders>
              <w:tl2br w:val="nil"/>
              <w:tr2bl w:val="nil"/>
            </w:tcBorders>
            <w:noWrap w:val="0"/>
            <w:vAlign w:val="center"/>
          </w:tcPr>
          <w:p w14:paraId="2D97AC6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实验室测定</w:t>
            </w:r>
          </w:p>
        </w:tc>
        <w:tc>
          <w:tcPr>
            <w:tcW w:w="1598" w:type="pct"/>
            <w:tcBorders>
              <w:tl2br w:val="nil"/>
              <w:tr2bl w:val="nil"/>
            </w:tcBorders>
            <w:noWrap w:val="0"/>
            <w:vAlign w:val="center"/>
          </w:tcPr>
          <w:p w14:paraId="55ED385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pH值（无量纲）</w:t>
            </w:r>
          </w:p>
        </w:tc>
        <w:tc>
          <w:tcPr>
            <w:tcW w:w="2799" w:type="pct"/>
            <w:gridSpan w:val="3"/>
            <w:tcBorders>
              <w:tl2br w:val="nil"/>
              <w:tr2bl w:val="nil"/>
            </w:tcBorders>
            <w:noWrap w:val="0"/>
            <w:vAlign w:val="center"/>
          </w:tcPr>
          <w:p w14:paraId="70A0B0C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8.10</w:t>
            </w:r>
          </w:p>
        </w:tc>
      </w:tr>
      <w:tr w14:paraId="206F2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1D469BE8">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0579FF8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阳离子交换量（cmol/kg）</w:t>
            </w:r>
          </w:p>
        </w:tc>
        <w:tc>
          <w:tcPr>
            <w:tcW w:w="2799" w:type="pct"/>
            <w:gridSpan w:val="3"/>
            <w:tcBorders>
              <w:tl2br w:val="nil"/>
              <w:tr2bl w:val="nil"/>
            </w:tcBorders>
            <w:noWrap w:val="0"/>
            <w:vAlign w:val="center"/>
          </w:tcPr>
          <w:p w14:paraId="003A1D6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sz w:val="21"/>
                <w:szCs w:val="21"/>
                <w:highlight w:val="none"/>
                <w:lang w:val="en-US" w:eastAsia="zh-CN"/>
              </w:rPr>
              <w:t>12.0</w:t>
            </w:r>
          </w:p>
        </w:tc>
      </w:tr>
      <w:tr w14:paraId="392A9F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1524F4A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2882A70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氧化还原电位（mV）</w:t>
            </w:r>
          </w:p>
        </w:tc>
        <w:tc>
          <w:tcPr>
            <w:tcW w:w="2799" w:type="pct"/>
            <w:gridSpan w:val="3"/>
            <w:tcBorders>
              <w:tl2br w:val="nil"/>
              <w:tr2bl w:val="nil"/>
            </w:tcBorders>
            <w:noWrap w:val="0"/>
            <w:vAlign w:val="center"/>
          </w:tcPr>
          <w:p w14:paraId="14E173A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sz w:val="21"/>
                <w:szCs w:val="21"/>
                <w:highlight w:val="none"/>
                <w:lang w:val="en-US" w:eastAsia="zh-CN"/>
              </w:rPr>
              <w:t>233</w:t>
            </w:r>
          </w:p>
        </w:tc>
      </w:tr>
      <w:tr w14:paraId="4B58DC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11AB8D1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4E3F892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饱和导水率（</w:t>
            </w:r>
            <w:r>
              <w:rPr>
                <w:rFonts w:hint="default" w:ascii="Times New Roman" w:hAnsi="Times New Roman" w:eastAsia="宋体" w:cs="Times New Roman"/>
                <w:sz w:val="21"/>
                <w:szCs w:val="21"/>
                <w:highlight w:val="none"/>
                <w:lang w:val="en-US" w:eastAsia="zh-CN"/>
              </w:rPr>
              <w:t>cm</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lang w:val="en-US" w:eastAsia="zh-CN"/>
              </w:rPr>
              <w:t>s</w:t>
            </w:r>
            <w:r>
              <w:rPr>
                <w:rFonts w:hint="default" w:ascii="Times New Roman" w:hAnsi="Times New Roman" w:eastAsia="宋体" w:cs="Times New Roman"/>
                <w:sz w:val="21"/>
                <w:szCs w:val="21"/>
                <w:highlight w:val="none"/>
              </w:rPr>
              <w:t>）</w:t>
            </w:r>
          </w:p>
        </w:tc>
        <w:tc>
          <w:tcPr>
            <w:tcW w:w="2799" w:type="pct"/>
            <w:gridSpan w:val="3"/>
            <w:tcBorders>
              <w:tl2br w:val="nil"/>
              <w:tr2bl w:val="nil"/>
            </w:tcBorders>
            <w:noWrap w:val="0"/>
            <w:vAlign w:val="center"/>
          </w:tcPr>
          <w:p w14:paraId="70020A1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sz w:val="21"/>
                <w:szCs w:val="21"/>
                <w:highlight w:val="none"/>
                <w:lang w:val="en-US" w:eastAsia="zh-CN"/>
              </w:rPr>
              <w:t>5.91</w:t>
            </w:r>
            <w:r>
              <w:rPr>
                <w:rFonts w:hint="default" w:ascii="Times New Roman" w:hAnsi="Times New Roman" w:eastAsia="宋体" w:cs="Times New Roman"/>
                <w:bCs/>
                <w:color w:val="auto"/>
                <w:sz w:val="21"/>
                <w:szCs w:val="21"/>
                <w:highlight w:val="none"/>
                <w:lang w:val="en-US" w:eastAsia="zh-CN"/>
              </w:rPr>
              <w:t>×10</w:t>
            </w:r>
            <w:r>
              <w:rPr>
                <w:rFonts w:hint="default" w:ascii="Times New Roman" w:hAnsi="Times New Roman" w:eastAsia="宋体" w:cs="Times New Roman"/>
                <w:bCs/>
                <w:color w:val="auto"/>
                <w:sz w:val="21"/>
                <w:szCs w:val="21"/>
                <w:highlight w:val="none"/>
                <w:vertAlign w:val="superscript"/>
                <w:lang w:val="en-US" w:eastAsia="zh-CN"/>
              </w:rPr>
              <w:t>-4</w:t>
            </w:r>
          </w:p>
        </w:tc>
      </w:tr>
      <w:tr w14:paraId="3657B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7A31CCD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1D24BAE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土壤容重（</w:t>
            </w:r>
            <w:r>
              <w:rPr>
                <w:rFonts w:hint="default" w:ascii="Times New Roman" w:hAnsi="Times New Roman" w:eastAsia="宋体" w:cs="Times New Roman"/>
                <w:sz w:val="21"/>
                <w:szCs w:val="21"/>
                <w:highlight w:val="none"/>
                <w:lang w:val="en-US" w:eastAsia="zh-CN"/>
              </w:rPr>
              <w:t>k</w:t>
            </w:r>
            <w:r>
              <w:rPr>
                <w:rFonts w:hint="default" w:ascii="Times New Roman" w:hAnsi="Times New Roman" w:eastAsia="宋体" w:cs="Times New Roman"/>
                <w:sz w:val="21"/>
                <w:szCs w:val="21"/>
                <w:highlight w:val="none"/>
              </w:rPr>
              <w:t>g/m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w:t>
            </w:r>
          </w:p>
        </w:tc>
        <w:tc>
          <w:tcPr>
            <w:tcW w:w="2799" w:type="pct"/>
            <w:gridSpan w:val="3"/>
            <w:tcBorders>
              <w:tl2br w:val="nil"/>
              <w:tr2bl w:val="nil"/>
            </w:tcBorders>
            <w:noWrap w:val="0"/>
            <w:vAlign w:val="center"/>
          </w:tcPr>
          <w:p w14:paraId="183E2CD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bidi="ar-SA"/>
              </w:rPr>
              <w:t>1.40</w:t>
            </w:r>
          </w:p>
        </w:tc>
      </w:tr>
      <w:tr w14:paraId="3555E7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pct"/>
            <w:vMerge w:val="continue"/>
            <w:tcBorders>
              <w:tl2br w:val="nil"/>
              <w:tr2bl w:val="nil"/>
            </w:tcBorders>
            <w:noWrap w:val="0"/>
            <w:vAlign w:val="center"/>
          </w:tcPr>
          <w:p w14:paraId="14E5E0D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p>
        </w:tc>
        <w:tc>
          <w:tcPr>
            <w:tcW w:w="1598" w:type="pct"/>
            <w:tcBorders>
              <w:tl2br w:val="nil"/>
              <w:tr2bl w:val="nil"/>
            </w:tcBorders>
            <w:noWrap w:val="0"/>
            <w:vAlign w:val="center"/>
          </w:tcPr>
          <w:p w14:paraId="742E45A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总孔隙度（%）</w:t>
            </w:r>
          </w:p>
        </w:tc>
        <w:tc>
          <w:tcPr>
            <w:tcW w:w="2799" w:type="pct"/>
            <w:gridSpan w:val="3"/>
            <w:tcBorders>
              <w:tl2br w:val="nil"/>
              <w:tr2bl w:val="nil"/>
            </w:tcBorders>
            <w:noWrap w:val="0"/>
            <w:vAlign w:val="center"/>
          </w:tcPr>
          <w:p w14:paraId="7203A24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bidi="ar-SA"/>
              </w:rPr>
              <w:t>42.7</w:t>
            </w:r>
          </w:p>
        </w:tc>
      </w:tr>
    </w:tbl>
    <w:p w14:paraId="1F398EE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5.7.2土壤环境影响分析</w:t>
      </w:r>
    </w:p>
    <w:p w14:paraId="63645AD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5.7.2.1土壤环境影响类型与影响途径识别</w:t>
      </w:r>
    </w:p>
    <w:p w14:paraId="78AE439A">
      <w:pPr>
        <w:spacing w:beforeLines="0" w:afterLine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污染物进入土壤环境的途径主要有：①大气沉降形式进入土壤环境；②地面漫流形式进入土壤环境；③物料泄漏导致污染物以点源形式垂直入渗进入土壤环境。</w:t>
      </w:r>
    </w:p>
    <w:p w14:paraId="09DE69A1">
      <w:pPr>
        <w:spacing w:beforeLines="0" w:afterLines="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①大气沉降情景：根据项目工程分析，本项目废气污染物为</w:t>
      </w:r>
      <w:r>
        <w:rPr>
          <w:rFonts w:hint="eastAsia" w:ascii="Times New Roman" w:hAnsi="Times New Roman" w:eastAsia="宋体" w:cs="Times New Roman"/>
          <w:sz w:val="24"/>
          <w:szCs w:val="24"/>
          <w:lang w:val="en-US" w:eastAsia="zh-CN"/>
        </w:rPr>
        <w:t>硫酸雾</w:t>
      </w:r>
      <w:r>
        <w:rPr>
          <w:rFonts w:hint="default" w:ascii="Times New Roman" w:hAnsi="Times New Roman" w:eastAsia="宋体" w:cs="Times New Roman"/>
          <w:sz w:val="24"/>
          <w:szCs w:val="24"/>
        </w:rPr>
        <w:t>、</w:t>
      </w:r>
      <w:r>
        <w:rPr>
          <w:rFonts w:hint="default" w:ascii="Times New Roman" w:hAnsi="Times New Roman" w:eastAsia="Times New Roman" w:cs="Times New Roman"/>
          <w:sz w:val="24"/>
          <w:szCs w:val="24"/>
        </w:rPr>
        <w:t>PM</w:t>
      </w:r>
      <w:r>
        <w:rPr>
          <w:rFonts w:hint="default" w:ascii="Times New Roman" w:hAnsi="Times New Roman" w:eastAsia="Times New Roman" w:cs="Times New Roman"/>
          <w:sz w:val="21"/>
          <w:szCs w:val="21"/>
          <w:vertAlign w:val="subscript"/>
        </w:rPr>
        <w:t>10</w:t>
      </w:r>
      <w:r>
        <w:rPr>
          <w:rFonts w:hint="default" w:ascii="Times New Roman" w:hAnsi="Times New Roman" w:eastAsia="宋体" w:cs="Times New Roman"/>
          <w:sz w:val="24"/>
          <w:szCs w:val="24"/>
        </w:rPr>
        <w:t>、硫化氢及氨，项目建成后废气排放会通过大气沉降方式对土壤环境产生影响，</w:t>
      </w:r>
      <w:r>
        <w:rPr>
          <w:bCs/>
        </w:rPr>
        <w:t>鉴于</w:t>
      </w:r>
      <w:r>
        <w:t>土壤环境质量</w:t>
      </w:r>
      <w:r>
        <w:rPr>
          <w:bCs/>
        </w:rPr>
        <w:t>中</w:t>
      </w:r>
      <w:r>
        <w:rPr>
          <w:rFonts w:hint="eastAsia"/>
          <w:bCs/>
        </w:rPr>
        <w:t>无</w:t>
      </w:r>
      <w:r>
        <w:rPr>
          <w:bCs/>
        </w:rPr>
        <w:t>硫酸雾</w:t>
      </w:r>
      <w:r>
        <w:rPr>
          <w:rFonts w:hint="eastAsia"/>
          <w:bCs/>
          <w:lang w:eastAsia="zh-CN"/>
        </w:rPr>
        <w:t>、</w:t>
      </w:r>
      <w:r>
        <w:rPr>
          <w:rFonts w:hint="eastAsia"/>
          <w:bCs/>
        </w:rPr>
        <w:t>氮氧化物、</w:t>
      </w:r>
      <w:r>
        <w:rPr>
          <w:bCs/>
        </w:rPr>
        <w:t>颗粒物</w:t>
      </w:r>
      <w:r>
        <w:rPr>
          <w:rFonts w:hint="eastAsia"/>
          <w:bCs/>
          <w:lang w:val="en-US" w:eastAsia="zh-CN"/>
        </w:rPr>
        <w:t>等</w:t>
      </w:r>
      <w:r>
        <w:rPr>
          <w:bCs/>
        </w:rPr>
        <w:t>的标准值</w:t>
      </w:r>
      <w:r>
        <w:rPr>
          <w:rFonts w:hint="eastAsia"/>
          <w:bCs/>
          <w:lang w:eastAsia="zh-CN"/>
        </w:rPr>
        <w:t>，</w:t>
      </w:r>
      <w:r>
        <w:rPr>
          <w:rFonts w:hint="eastAsia"/>
          <w:bCs/>
          <w:lang w:val="en-US" w:eastAsia="zh-CN"/>
        </w:rPr>
        <w:t>本次项目不考虑大气沉降情景。</w:t>
      </w:r>
    </w:p>
    <w:p w14:paraId="24B67DFD">
      <w:pPr>
        <w:spacing w:beforeLines="0" w:afterLine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②地面漫流情景、垂直入渗情景：项目含镍、含铬废水经处理后全部回用，不外排，</w:t>
      </w:r>
      <w:r>
        <w:rPr>
          <w:rFonts w:hint="eastAsia" w:ascii="Times New Roman" w:hAnsi="Times New Roman" w:eastAsia="宋体" w:cs="Times New Roman"/>
          <w:sz w:val="24"/>
          <w:szCs w:val="24"/>
          <w:lang w:val="en-US" w:eastAsia="zh-CN"/>
        </w:rPr>
        <w:t>本项目经处理后的综合废水、经化粪池处理后的生活污水、纯水制备浓水、冲压冷凝水一并经厂区总排口排入获嘉县同盟污水厂处理后排入共产主义渠。</w:t>
      </w:r>
      <w:r>
        <w:rPr>
          <w:rFonts w:hint="default" w:ascii="Times New Roman" w:hAnsi="Times New Roman" w:eastAsia="宋体" w:cs="Times New Roman"/>
          <w:sz w:val="24"/>
          <w:szCs w:val="24"/>
        </w:rPr>
        <w:t>项目废水处理站及废水输送管道均按照相关规范进行防渗、防腐处理，正常工况下，本项目运营期内没有厂区废水经过地面漫流进入土壤的途径；本项目生产车间、罐区、仓库及公辅工程的地面均按照相关规范进行防渗处理，正常工况下，本项目运营期内没有垂直入渗进入土壤的途径。事故状态下，污水处理站防渗层发生破裂，废水可能发生泄漏，通过垂直入渗对土壤环境造成影响。</w:t>
      </w:r>
    </w:p>
    <w:p w14:paraId="3FB40622">
      <w:pPr>
        <w:spacing w:beforeLines="0" w:afterLine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本次评价结合《土壤环境质量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建设用地土壤污染风险管控标准（试行）》(GB36600—2018)评价标准，选取总镍</w:t>
      </w:r>
      <w:r>
        <w:rPr>
          <w:rFonts w:hint="eastAsia" w:ascii="Times New Roman" w:hAnsi="Times New Roman" w:eastAsia="宋体" w:cs="Times New Roman"/>
          <w:sz w:val="24"/>
          <w:szCs w:val="24"/>
          <w:lang w:val="en-US" w:eastAsia="zh-CN"/>
        </w:rPr>
        <w:t>及</w:t>
      </w:r>
      <w:r>
        <w:rPr>
          <w:rFonts w:hint="default" w:ascii="Times New Roman" w:hAnsi="Times New Roman" w:eastAsia="宋体" w:cs="Times New Roman"/>
          <w:sz w:val="24"/>
          <w:szCs w:val="24"/>
        </w:rPr>
        <w:t>总铬作为非正常工况下垂直入渗污染因子，因此本次垂直入渗评价对总镍</w:t>
      </w:r>
      <w:r>
        <w:rPr>
          <w:rFonts w:hint="eastAsia" w:ascii="Times New Roman" w:hAnsi="Times New Roman" w:eastAsia="宋体" w:cs="Times New Roman"/>
          <w:sz w:val="24"/>
          <w:szCs w:val="24"/>
          <w:lang w:val="en-US" w:eastAsia="zh-CN"/>
        </w:rPr>
        <w:t>及</w:t>
      </w:r>
      <w:r>
        <w:rPr>
          <w:rFonts w:hint="default" w:ascii="Times New Roman" w:hAnsi="Times New Roman" w:eastAsia="宋体" w:cs="Times New Roman"/>
          <w:sz w:val="24"/>
          <w:szCs w:val="24"/>
        </w:rPr>
        <w:t>总铬进入土壤环境进行预测分析。</w:t>
      </w:r>
    </w:p>
    <w:p w14:paraId="6AD56986">
      <w:pPr>
        <w:spacing w:beforeLines="0" w:afterLine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综上分析，本项目建设对土壤环境的影响主要发生在运营期，建设项目土壤环境影响类型与影响途径见</w:t>
      </w:r>
      <w:r>
        <w:rPr>
          <w:rFonts w:hint="default" w:ascii="Times New Roman" w:hAnsi="Times New Roman" w:cs="Times New Roman"/>
          <w:sz w:val="24"/>
          <w:szCs w:val="24"/>
          <w:lang w:val="en-US" w:eastAsia="zh-CN"/>
        </w:rPr>
        <w:t>下表</w:t>
      </w:r>
      <w:r>
        <w:rPr>
          <w:rFonts w:hint="default" w:ascii="Times New Roman" w:hAnsi="Times New Roman" w:eastAsia="宋体" w:cs="Times New Roman"/>
          <w:sz w:val="24"/>
          <w:szCs w:val="24"/>
        </w:rPr>
        <w:t>。</w:t>
      </w:r>
    </w:p>
    <w:p w14:paraId="09D2FFB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5.7-6</w:t>
      </w:r>
      <w:r>
        <w:rPr>
          <w:rFonts w:hint="eastAsia" w:ascii="Times New Roman" w:hAnsi="Times New Roman"/>
        </w:rPr>
        <w:t xml:space="preserve">    建设项目土壤环境影响类型与影响途径表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675"/>
        <w:gridCol w:w="1673"/>
        <w:gridCol w:w="1675"/>
        <w:gridCol w:w="1672"/>
        <w:gridCol w:w="1676"/>
      </w:tblGrid>
      <w:tr w14:paraId="4145B40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674" w:type="dxa"/>
            <w:vMerge w:val="restart"/>
            <w:tcBorders>
              <w:tl2br w:val="nil"/>
              <w:tr2bl w:val="nil"/>
            </w:tcBorders>
            <w:noWrap w:val="0"/>
            <w:vAlign w:val="center"/>
          </w:tcPr>
          <w:p w14:paraId="30EBC12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不同时段</w:t>
            </w:r>
          </w:p>
        </w:tc>
        <w:tc>
          <w:tcPr>
            <w:tcW w:w="6692" w:type="dxa"/>
            <w:gridSpan w:val="4"/>
            <w:tcBorders>
              <w:tl2br w:val="nil"/>
              <w:tr2bl w:val="nil"/>
            </w:tcBorders>
            <w:noWrap w:val="0"/>
            <w:vAlign w:val="center"/>
          </w:tcPr>
          <w:p w14:paraId="455AC96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污染影响类型</w:t>
            </w:r>
          </w:p>
        </w:tc>
      </w:tr>
      <w:tr w14:paraId="169492C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674" w:type="dxa"/>
            <w:vMerge w:val="continue"/>
            <w:tcBorders>
              <w:tl2br w:val="nil"/>
              <w:tr2bl w:val="nil"/>
            </w:tcBorders>
            <w:noWrap w:val="0"/>
            <w:vAlign w:val="center"/>
          </w:tcPr>
          <w:p w14:paraId="646116A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rPr>
                <w:rFonts w:hint="default" w:ascii="Times New Roman" w:hAnsi="Times New Roman" w:cs="Times New Roman"/>
                <w:b/>
                <w:bCs/>
                <w:kern w:val="21"/>
                <w:sz w:val="21"/>
                <w:szCs w:val="21"/>
              </w:rPr>
            </w:pPr>
          </w:p>
        </w:tc>
        <w:tc>
          <w:tcPr>
            <w:tcW w:w="1672" w:type="dxa"/>
            <w:tcBorders>
              <w:tl2br w:val="nil"/>
              <w:tr2bl w:val="nil"/>
            </w:tcBorders>
            <w:noWrap w:val="0"/>
            <w:vAlign w:val="center"/>
          </w:tcPr>
          <w:p w14:paraId="0159DFA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大气沉降</w:t>
            </w:r>
          </w:p>
        </w:tc>
        <w:tc>
          <w:tcPr>
            <w:tcW w:w="1674" w:type="dxa"/>
            <w:tcBorders>
              <w:tl2br w:val="nil"/>
              <w:tr2bl w:val="nil"/>
            </w:tcBorders>
            <w:noWrap w:val="0"/>
            <w:vAlign w:val="center"/>
          </w:tcPr>
          <w:p w14:paraId="504737A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地面漫流</w:t>
            </w:r>
          </w:p>
        </w:tc>
        <w:tc>
          <w:tcPr>
            <w:tcW w:w="1671" w:type="dxa"/>
            <w:tcBorders>
              <w:tl2br w:val="nil"/>
              <w:tr2bl w:val="nil"/>
            </w:tcBorders>
            <w:noWrap w:val="0"/>
            <w:vAlign w:val="center"/>
          </w:tcPr>
          <w:p w14:paraId="48B70C1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垂直入渗</w:t>
            </w:r>
          </w:p>
        </w:tc>
        <w:tc>
          <w:tcPr>
            <w:tcW w:w="1675" w:type="dxa"/>
            <w:tcBorders>
              <w:tl2br w:val="nil"/>
              <w:tr2bl w:val="nil"/>
            </w:tcBorders>
            <w:noWrap w:val="0"/>
            <w:vAlign w:val="center"/>
          </w:tcPr>
          <w:p w14:paraId="37C35FD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kern w:val="21"/>
                <w:sz w:val="21"/>
                <w:szCs w:val="21"/>
              </w:rPr>
            </w:pPr>
            <w:r>
              <w:rPr>
                <w:rFonts w:hint="default" w:ascii="Times New Roman" w:hAnsi="Times New Roman" w:cs="Times New Roman"/>
                <w:b/>
                <w:bCs/>
                <w:kern w:val="21"/>
                <w:sz w:val="21"/>
                <w:szCs w:val="21"/>
              </w:rPr>
              <w:t>其他</w:t>
            </w:r>
          </w:p>
        </w:tc>
      </w:tr>
      <w:tr w14:paraId="462DDA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674" w:type="dxa"/>
            <w:tcBorders>
              <w:tl2br w:val="nil"/>
              <w:tr2bl w:val="nil"/>
            </w:tcBorders>
            <w:noWrap w:val="0"/>
            <w:vAlign w:val="center"/>
          </w:tcPr>
          <w:p w14:paraId="195297A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kern w:val="21"/>
                <w:sz w:val="21"/>
                <w:szCs w:val="21"/>
              </w:rPr>
            </w:pPr>
            <w:r>
              <w:rPr>
                <w:rFonts w:hint="default" w:ascii="Times New Roman" w:hAnsi="Times New Roman" w:cs="Times New Roman"/>
                <w:kern w:val="21"/>
                <w:sz w:val="21"/>
                <w:szCs w:val="21"/>
              </w:rPr>
              <w:t>建设期</w:t>
            </w:r>
          </w:p>
        </w:tc>
        <w:tc>
          <w:tcPr>
            <w:tcW w:w="1672" w:type="dxa"/>
            <w:tcBorders>
              <w:tl2br w:val="nil"/>
              <w:tr2bl w:val="nil"/>
            </w:tcBorders>
            <w:noWrap w:val="0"/>
            <w:vAlign w:val="center"/>
          </w:tcPr>
          <w:p w14:paraId="4E124A0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c>
          <w:tcPr>
            <w:tcW w:w="1674" w:type="dxa"/>
            <w:tcBorders>
              <w:tl2br w:val="nil"/>
              <w:tr2bl w:val="nil"/>
            </w:tcBorders>
            <w:noWrap w:val="0"/>
            <w:vAlign w:val="center"/>
          </w:tcPr>
          <w:p w14:paraId="1F069C7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c>
          <w:tcPr>
            <w:tcW w:w="1671" w:type="dxa"/>
            <w:tcBorders>
              <w:tl2br w:val="nil"/>
              <w:tr2bl w:val="nil"/>
            </w:tcBorders>
            <w:noWrap w:val="0"/>
            <w:vAlign w:val="center"/>
          </w:tcPr>
          <w:p w14:paraId="6EC70B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c>
          <w:tcPr>
            <w:tcW w:w="1675" w:type="dxa"/>
            <w:tcBorders>
              <w:tl2br w:val="nil"/>
              <w:tr2bl w:val="nil"/>
            </w:tcBorders>
            <w:noWrap w:val="0"/>
            <w:vAlign w:val="center"/>
          </w:tcPr>
          <w:p w14:paraId="501A72B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r>
      <w:tr w14:paraId="152BCE7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674" w:type="dxa"/>
            <w:tcBorders>
              <w:tl2br w:val="nil"/>
              <w:tr2bl w:val="nil"/>
            </w:tcBorders>
            <w:noWrap w:val="0"/>
            <w:vAlign w:val="center"/>
          </w:tcPr>
          <w:p w14:paraId="70E35FF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kern w:val="21"/>
                <w:sz w:val="21"/>
                <w:szCs w:val="21"/>
              </w:rPr>
            </w:pPr>
            <w:r>
              <w:rPr>
                <w:rFonts w:hint="default" w:ascii="Times New Roman" w:hAnsi="Times New Roman" w:cs="Times New Roman"/>
                <w:kern w:val="21"/>
                <w:sz w:val="21"/>
                <w:szCs w:val="21"/>
              </w:rPr>
              <w:t>运营期</w:t>
            </w:r>
          </w:p>
        </w:tc>
        <w:tc>
          <w:tcPr>
            <w:tcW w:w="1672" w:type="dxa"/>
            <w:tcBorders>
              <w:tl2br w:val="nil"/>
              <w:tr2bl w:val="nil"/>
            </w:tcBorders>
            <w:noWrap w:val="0"/>
            <w:vAlign w:val="center"/>
          </w:tcPr>
          <w:p w14:paraId="13CC16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eastAsia" w:ascii="Times New Roman" w:hAnsi="Times New Roman" w:eastAsia="宋体" w:cs="Times New Roman"/>
                <w:kern w:val="21"/>
                <w:sz w:val="21"/>
                <w:szCs w:val="21"/>
                <w:lang w:eastAsia="zh-CN"/>
              </w:rPr>
            </w:pPr>
            <w:r>
              <w:rPr>
                <w:rFonts w:hint="eastAsia" w:ascii="Times New Roman" w:hAnsi="Times New Roman" w:eastAsia="宋体" w:cs="Times New Roman"/>
                <w:kern w:val="21"/>
                <w:sz w:val="21"/>
                <w:szCs w:val="21"/>
                <w:lang w:val="en-US" w:eastAsia="zh-CN"/>
              </w:rPr>
              <w:t>/</w:t>
            </w:r>
          </w:p>
        </w:tc>
        <w:tc>
          <w:tcPr>
            <w:tcW w:w="1674" w:type="dxa"/>
            <w:tcBorders>
              <w:tl2br w:val="nil"/>
              <w:tr2bl w:val="nil"/>
            </w:tcBorders>
            <w:noWrap w:val="0"/>
            <w:vAlign w:val="center"/>
          </w:tcPr>
          <w:p w14:paraId="2899957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c>
          <w:tcPr>
            <w:tcW w:w="1671" w:type="dxa"/>
            <w:tcBorders>
              <w:tl2br w:val="nil"/>
              <w:tr2bl w:val="nil"/>
            </w:tcBorders>
            <w:noWrap w:val="0"/>
            <w:vAlign w:val="center"/>
          </w:tcPr>
          <w:p w14:paraId="11A6B13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c>
          <w:tcPr>
            <w:tcW w:w="1675" w:type="dxa"/>
            <w:tcBorders>
              <w:tl2br w:val="nil"/>
              <w:tr2bl w:val="nil"/>
            </w:tcBorders>
            <w:noWrap w:val="0"/>
            <w:vAlign w:val="center"/>
          </w:tcPr>
          <w:p w14:paraId="4546D74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kern w:val="21"/>
                <w:sz w:val="21"/>
                <w:szCs w:val="21"/>
              </w:rPr>
            </w:pPr>
            <w:r>
              <w:rPr>
                <w:rFonts w:hint="default" w:ascii="Times New Roman" w:hAnsi="Times New Roman" w:eastAsia="Times New Roman" w:cs="Times New Roman"/>
                <w:kern w:val="21"/>
                <w:sz w:val="21"/>
                <w:szCs w:val="21"/>
              </w:rPr>
              <w:t>/</w:t>
            </w:r>
          </w:p>
        </w:tc>
      </w:tr>
    </w:tbl>
    <w:p w14:paraId="4F2FA07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5.7.2.2土壤环境影响源及影响因子识别</w:t>
      </w:r>
    </w:p>
    <w:p w14:paraId="141685A6">
      <w:pPr>
        <w:spacing w:beforeLines="0" w:afterLines="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建设项目土壤环境影响源及影响因子识别表见</w:t>
      </w:r>
      <w:r>
        <w:rPr>
          <w:rFonts w:hint="default" w:ascii="Times New Roman" w:hAnsi="Times New Roman" w:eastAsia="宋体" w:cs="Times New Roman"/>
          <w:sz w:val="24"/>
          <w:szCs w:val="24"/>
          <w:lang w:val="en-US" w:eastAsia="zh-CN"/>
        </w:rPr>
        <w:t>下表</w:t>
      </w:r>
      <w:r>
        <w:rPr>
          <w:rFonts w:hint="default" w:ascii="Times New Roman" w:hAnsi="Times New Roman" w:eastAsia="宋体" w:cs="Times New Roman"/>
          <w:sz w:val="24"/>
          <w:szCs w:val="24"/>
        </w:rPr>
        <w:t>。</w:t>
      </w:r>
    </w:p>
    <w:p w14:paraId="4200D3D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5.7-7</w:t>
      </w:r>
      <w:r>
        <w:rPr>
          <w:rFonts w:hint="eastAsia" w:ascii="Times New Roman" w:hAnsi="Times New Roman"/>
        </w:rPr>
        <w:t xml:space="preserve">    建设项目土壤环境影响类型与影响途径表</w:t>
      </w:r>
    </w:p>
    <w:tbl>
      <w:tblPr>
        <w:tblStyle w:val="39"/>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160"/>
        <w:gridCol w:w="993"/>
        <w:gridCol w:w="570"/>
        <w:gridCol w:w="2415"/>
        <w:gridCol w:w="1424"/>
        <w:gridCol w:w="1806"/>
      </w:tblGrid>
      <w:tr w14:paraId="639A0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160" w:type="dxa"/>
            <w:tcBorders>
              <w:top w:val="single" w:color="000000" w:sz="8" w:space="0"/>
              <w:left w:val="single" w:color="000000" w:sz="8" w:space="0"/>
              <w:bottom w:val="single" w:color="000000" w:sz="4" w:space="0"/>
              <w:right w:val="single" w:color="000000" w:sz="4" w:space="0"/>
            </w:tcBorders>
            <w:noWrap w:val="0"/>
            <w:vAlign w:val="center"/>
          </w:tcPr>
          <w:p w14:paraId="16CEE32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污染源</w:t>
            </w:r>
          </w:p>
        </w:tc>
        <w:tc>
          <w:tcPr>
            <w:tcW w:w="993" w:type="dxa"/>
            <w:tcBorders>
              <w:top w:val="single" w:color="000000" w:sz="8" w:space="0"/>
              <w:left w:val="single" w:color="000000" w:sz="4" w:space="0"/>
              <w:bottom w:val="single" w:color="000000" w:sz="4" w:space="0"/>
              <w:right w:val="single" w:color="000000" w:sz="4" w:space="0"/>
            </w:tcBorders>
            <w:noWrap w:val="0"/>
            <w:vAlign w:val="center"/>
          </w:tcPr>
          <w:p w14:paraId="3D14CEC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z w:val="21"/>
                <w:szCs w:val="21"/>
              </w:rPr>
            </w:pPr>
            <w:r>
              <w:rPr>
                <w:rFonts w:hint="default" w:ascii="Times New Roman" w:hAnsi="Times New Roman" w:cs="Times New Roman"/>
                <w:b/>
                <w:bCs/>
                <w:sz w:val="21"/>
                <w:szCs w:val="21"/>
              </w:rPr>
              <w:t>工艺流程</w:t>
            </w:r>
            <w:r>
              <w:rPr>
                <w:rFonts w:hint="default" w:ascii="Times New Roman" w:hAnsi="Times New Roman" w:eastAsia="Times New Roman" w:cs="Times New Roman"/>
                <w:b/>
                <w:bCs/>
                <w:sz w:val="21"/>
                <w:szCs w:val="21"/>
              </w:rPr>
              <w:t>/</w:t>
            </w:r>
          </w:p>
          <w:p w14:paraId="0BF38E8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节点</w:t>
            </w:r>
          </w:p>
        </w:tc>
        <w:tc>
          <w:tcPr>
            <w:tcW w:w="570" w:type="dxa"/>
            <w:tcBorders>
              <w:top w:val="single" w:color="000000" w:sz="8" w:space="0"/>
              <w:left w:val="single" w:color="000000" w:sz="4" w:space="0"/>
              <w:bottom w:val="single" w:color="000000" w:sz="4" w:space="0"/>
              <w:right w:val="single" w:color="000000" w:sz="4" w:space="0"/>
            </w:tcBorders>
            <w:noWrap w:val="0"/>
            <w:vAlign w:val="center"/>
          </w:tcPr>
          <w:p w14:paraId="44C0AF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污染</w:t>
            </w:r>
          </w:p>
          <w:p w14:paraId="543AF5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途径</w:t>
            </w:r>
          </w:p>
        </w:tc>
        <w:tc>
          <w:tcPr>
            <w:tcW w:w="2415" w:type="dxa"/>
            <w:tcBorders>
              <w:top w:val="single" w:color="000000" w:sz="8" w:space="0"/>
              <w:left w:val="single" w:color="000000" w:sz="4" w:space="0"/>
              <w:bottom w:val="single" w:color="000000" w:sz="4" w:space="0"/>
              <w:right w:val="single" w:color="000000" w:sz="4" w:space="0"/>
            </w:tcBorders>
            <w:noWrap w:val="0"/>
            <w:vAlign w:val="center"/>
          </w:tcPr>
          <w:p w14:paraId="3FCCEEE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z w:val="21"/>
                <w:szCs w:val="21"/>
                <w:vertAlign w:val="superscript"/>
              </w:rPr>
            </w:pPr>
            <w:r>
              <w:rPr>
                <w:rFonts w:hint="default" w:ascii="Times New Roman" w:hAnsi="Times New Roman" w:cs="Times New Roman"/>
                <w:b/>
                <w:bCs/>
                <w:spacing w:val="7"/>
                <w:sz w:val="21"/>
                <w:szCs w:val="21"/>
              </w:rPr>
              <w:t>全部污染物指标</w:t>
            </w:r>
            <w:r>
              <w:rPr>
                <w:rFonts w:hint="default" w:ascii="Times New Roman" w:hAnsi="Times New Roman" w:eastAsia="Times New Roman" w:cs="Times New Roman"/>
                <w:b/>
                <w:bCs/>
                <w:sz w:val="21"/>
                <w:szCs w:val="21"/>
                <w:vertAlign w:val="superscript"/>
              </w:rPr>
              <w:t>a</w:t>
            </w:r>
          </w:p>
        </w:tc>
        <w:tc>
          <w:tcPr>
            <w:tcW w:w="1424" w:type="dxa"/>
            <w:tcBorders>
              <w:top w:val="single" w:color="000000" w:sz="8" w:space="0"/>
              <w:left w:val="single" w:color="000000" w:sz="4" w:space="0"/>
              <w:bottom w:val="single" w:color="000000" w:sz="4" w:space="0"/>
              <w:right w:val="single" w:color="000000" w:sz="4" w:space="0"/>
            </w:tcBorders>
            <w:noWrap w:val="0"/>
            <w:vAlign w:val="center"/>
          </w:tcPr>
          <w:p w14:paraId="20629F7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特征因子</w:t>
            </w:r>
          </w:p>
        </w:tc>
        <w:tc>
          <w:tcPr>
            <w:tcW w:w="1806" w:type="dxa"/>
            <w:tcBorders>
              <w:top w:val="single" w:color="000000" w:sz="8" w:space="0"/>
              <w:left w:val="single" w:color="000000" w:sz="4" w:space="0"/>
              <w:bottom w:val="single" w:color="000000" w:sz="4" w:space="0"/>
              <w:right w:val="single" w:color="000000" w:sz="8" w:space="0"/>
            </w:tcBorders>
            <w:noWrap w:val="0"/>
            <w:vAlign w:val="center"/>
          </w:tcPr>
          <w:p w14:paraId="1E2BA2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z w:val="21"/>
                <w:szCs w:val="21"/>
                <w:vertAlign w:val="superscript"/>
              </w:rPr>
            </w:pPr>
            <w:r>
              <w:rPr>
                <w:rFonts w:hint="default" w:ascii="Times New Roman" w:hAnsi="Times New Roman" w:cs="Times New Roman"/>
                <w:b/>
                <w:bCs/>
                <w:spacing w:val="-18"/>
                <w:sz w:val="21"/>
                <w:szCs w:val="21"/>
              </w:rPr>
              <w:t xml:space="preserve">备注 </w:t>
            </w:r>
            <w:r>
              <w:rPr>
                <w:rFonts w:hint="default" w:ascii="Times New Roman" w:hAnsi="Times New Roman" w:eastAsia="Times New Roman" w:cs="Times New Roman"/>
                <w:b/>
                <w:bCs/>
                <w:sz w:val="21"/>
                <w:szCs w:val="21"/>
                <w:vertAlign w:val="superscript"/>
              </w:rPr>
              <w:t>b</w:t>
            </w:r>
          </w:p>
        </w:tc>
      </w:tr>
      <w:tr w14:paraId="65ABF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160" w:type="dxa"/>
            <w:tcBorders>
              <w:top w:val="single" w:color="000000" w:sz="4" w:space="0"/>
              <w:left w:val="single" w:color="000000" w:sz="8" w:space="0"/>
              <w:bottom w:val="single" w:color="000000" w:sz="4" w:space="0"/>
              <w:right w:val="single" w:color="000000" w:sz="4" w:space="0"/>
            </w:tcBorders>
            <w:noWrap w:val="0"/>
            <w:vAlign w:val="center"/>
          </w:tcPr>
          <w:p w14:paraId="4F7103A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污水处理站</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9C5B33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pacing w:val="-1"/>
                <w:sz w:val="21"/>
                <w:szCs w:val="21"/>
              </w:rPr>
              <w:t>废水调节</w:t>
            </w:r>
            <w:r>
              <w:rPr>
                <w:rFonts w:hint="default" w:ascii="Times New Roman" w:hAnsi="Times New Roman" w:cs="Times New Roman"/>
                <w:sz w:val="21"/>
                <w:szCs w:val="21"/>
              </w:rPr>
              <w:t>池泄漏</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14:paraId="1617FD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1"/>
                <w:sz w:val="21"/>
                <w:szCs w:val="21"/>
              </w:rPr>
            </w:pPr>
            <w:r>
              <w:rPr>
                <w:rFonts w:hint="default" w:ascii="Times New Roman" w:hAnsi="Times New Roman" w:cs="Times New Roman"/>
                <w:spacing w:val="-1"/>
                <w:sz w:val="21"/>
                <w:szCs w:val="21"/>
              </w:rPr>
              <w:t>垂直入渗</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14:paraId="7FB6AD4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含镍</w:t>
            </w:r>
            <w:r>
              <w:rPr>
                <w:rFonts w:hint="default" w:ascii="Times New Roman" w:hAnsi="Times New Roman" w:eastAsia="Times New Roman" w:cs="Times New Roman"/>
                <w:sz w:val="21"/>
                <w:szCs w:val="21"/>
              </w:rPr>
              <w:t>/</w:t>
            </w:r>
            <w:r>
              <w:rPr>
                <w:rFonts w:hint="default" w:ascii="Times New Roman" w:hAnsi="Times New Roman" w:cs="Times New Roman"/>
                <w:sz w:val="21"/>
                <w:szCs w:val="21"/>
              </w:rPr>
              <w:t>铬</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石油烃</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14:paraId="0474383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pacing w:val="-16"/>
                <w:sz w:val="21"/>
                <w:szCs w:val="21"/>
              </w:rPr>
              <w:t>总镍、总铬</w:t>
            </w:r>
          </w:p>
        </w:tc>
        <w:tc>
          <w:tcPr>
            <w:tcW w:w="1806" w:type="dxa"/>
            <w:tcBorders>
              <w:top w:val="single" w:color="000000" w:sz="4" w:space="0"/>
              <w:left w:val="single" w:color="000000" w:sz="4" w:space="0"/>
              <w:bottom w:val="single" w:color="000000" w:sz="4" w:space="0"/>
              <w:right w:val="single" w:color="000000" w:sz="8" w:space="0"/>
            </w:tcBorders>
            <w:noWrap w:val="0"/>
            <w:vAlign w:val="center"/>
          </w:tcPr>
          <w:p w14:paraId="029A072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事故状态</w:t>
            </w:r>
          </w:p>
        </w:tc>
      </w:tr>
    </w:tbl>
    <w:p w14:paraId="14DCD0A6">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5.7.2.3预测因子及预测时段</w:t>
      </w:r>
    </w:p>
    <w:p w14:paraId="77B5F263">
      <w:pPr>
        <w:spacing w:beforeLines="0" w:afterLines="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事故状态下，本项目污水处理站污水调节池发生泄漏，物料垂直入渗对土壤环境造成影响，特征因子为总镍</w:t>
      </w:r>
      <w:r>
        <w:rPr>
          <w:rFonts w:hint="eastAsia" w:cs="Times New Roman"/>
          <w:sz w:val="24"/>
          <w:szCs w:val="24"/>
          <w:lang w:val="en-US" w:eastAsia="zh-CN"/>
        </w:rPr>
        <w:t>及总</w:t>
      </w:r>
      <w:r>
        <w:rPr>
          <w:rFonts w:hint="default" w:ascii="Times New Roman" w:hAnsi="Times New Roman" w:eastAsia="宋体" w:cs="Times New Roman"/>
          <w:sz w:val="24"/>
          <w:szCs w:val="24"/>
        </w:rPr>
        <w:t xml:space="preserve">铬。根据《环境影响评价技术导则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土壤环境（试行）》（HJ964-2018），污染影响型建设项目，其中评价工作等级为一级、二级的，预测方法可参见附录E，本次评价污染物垂直入渗对土壤环境的影响拟采用附录E方法二，预测时段按20年考虑。</w:t>
      </w:r>
    </w:p>
    <w:p w14:paraId="347BAA7E">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default" w:ascii="Times New Roman" w:hAnsi="Times New Roman" w:cs="Times New Roman"/>
          <w:lang w:val="en-US" w:eastAsia="zh-CN"/>
        </w:rPr>
      </w:pPr>
      <w:r>
        <w:rPr>
          <w:rFonts w:hint="eastAsia" w:ascii="Times New Roman" w:hAnsi="Times New Roman" w:cs="Times New Roman"/>
          <w:lang w:val="en-US" w:eastAsia="zh-CN"/>
        </w:rPr>
        <w:t>5.7.2.4评价标准</w:t>
      </w:r>
    </w:p>
    <w:p w14:paraId="3FED2740">
      <w:pPr>
        <w:spacing w:beforeLines="0" w:afterLines="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本次预测评价标准为《土壤环境质量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建设用地土壤污染风险管控标准（试行）》（GB36600-2018）第二类用地土壤污染风险筛选值，各污染物浓度限值见</w:t>
      </w:r>
      <w:r>
        <w:rPr>
          <w:rFonts w:hint="default" w:ascii="Times New Roman" w:hAnsi="Times New Roman" w:eastAsia="宋体" w:cs="Times New Roman"/>
          <w:sz w:val="24"/>
          <w:szCs w:val="24"/>
          <w:lang w:val="en-US" w:eastAsia="zh-CN"/>
        </w:rPr>
        <w:t>下表</w:t>
      </w:r>
      <w:r>
        <w:rPr>
          <w:rFonts w:hint="default" w:ascii="Times New Roman" w:hAnsi="Times New Roman" w:eastAsia="宋体" w:cs="Times New Roman"/>
          <w:sz w:val="24"/>
          <w:szCs w:val="24"/>
        </w:rPr>
        <w:t>。</w:t>
      </w:r>
    </w:p>
    <w:p w14:paraId="6537A48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p>
    <w:p w14:paraId="7FD763E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5.7-8</w:t>
      </w:r>
      <w:r>
        <w:rPr>
          <w:rFonts w:hint="eastAsia" w:ascii="Times New Roman" w:hAnsi="Times New Roman"/>
        </w:rPr>
        <w:t xml:space="preserve">    建设用地土壤环境质量标准限值</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2429"/>
        <w:gridCol w:w="4132"/>
        <w:gridCol w:w="1808"/>
      </w:tblGrid>
      <w:tr w14:paraId="18D22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429" w:type="dxa"/>
            <w:tcBorders>
              <w:top w:val="single" w:color="000000" w:sz="8" w:space="0"/>
              <w:left w:val="single" w:color="000000" w:sz="8" w:space="0"/>
              <w:bottom w:val="single" w:color="000000" w:sz="4" w:space="0"/>
              <w:right w:val="single" w:color="000000" w:sz="4" w:space="0"/>
            </w:tcBorders>
            <w:noWrap w:val="0"/>
            <w:vAlign w:val="center"/>
          </w:tcPr>
          <w:p w14:paraId="306F950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污染物</w:t>
            </w:r>
          </w:p>
        </w:tc>
        <w:tc>
          <w:tcPr>
            <w:tcW w:w="4132" w:type="dxa"/>
            <w:tcBorders>
              <w:top w:val="single" w:color="000000" w:sz="8" w:space="0"/>
              <w:left w:val="single" w:color="000000" w:sz="4" w:space="0"/>
              <w:bottom w:val="single" w:color="000000" w:sz="4" w:space="0"/>
              <w:right w:val="single" w:color="000000" w:sz="4" w:space="0"/>
            </w:tcBorders>
            <w:noWrap w:val="0"/>
            <w:vAlign w:val="center"/>
          </w:tcPr>
          <w:p w14:paraId="5AC671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标准来源</w:t>
            </w:r>
          </w:p>
        </w:tc>
        <w:tc>
          <w:tcPr>
            <w:tcW w:w="1808" w:type="dxa"/>
            <w:tcBorders>
              <w:top w:val="single" w:color="000000" w:sz="8" w:space="0"/>
              <w:left w:val="single" w:color="000000" w:sz="4" w:space="0"/>
              <w:bottom w:val="single" w:color="000000" w:sz="4" w:space="0"/>
              <w:right w:val="single" w:color="000000" w:sz="8" w:space="0"/>
            </w:tcBorders>
            <w:noWrap w:val="0"/>
            <w:vAlign w:val="center"/>
          </w:tcPr>
          <w:p w14:paraId="5883BBE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标准限值（</w:t>
            </w:r>
            <w:r>
              <w:rPr>
                <w:rFonts w:hint="default" w:ascii="Times New Roman" w:hAnsi="Times New Roman" w:eastAsia="Times New Roman" w:cs="Times New Roman"/>
                <w:b/>
                <w:bCs/>
                <w:sz w:val="21"/>
                <w:szCs w:val="24"/>
              </w:rPr>
              <w:t>mg/kg</w:t>
            </w:r>
            <w:r>
              <w:rPr>
                <w:rFonts w:hint="default" w:ascii="Times New Roman" w:hAnsi="Times New Roman" w:cs="Times New Roman"/>
                <w:b/>
                <w:bCs/>
                <w:sz w:val="21"/>
                <w:szCs w:val="24"/>
              </w:rPr>
              <w:t>）</w:t>
            </w:r>
          </w:p>
        </w:tc>
      </w:tr>
      <w:tr w14:paraId="217F7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429" w:type="dxa"/>
            <w:tcBorders>
              <w:top w:val="single" w:color="000000" w:sz="4" w:space="0"/>
              <w:left w:val="single" w:color="000000" w:sz="8" w:space="0"/>
              <w:bottom w:val="single" w:color="000000" w:sz="4" w:space="0"/>
              <w:right w:val="single" w:color="000000" w:sz="4" w:space="0"/>
            </w:tcBorders>
            <w:noWrap w:val="0"/>
            <w:vAlign w:val="center"/>
          </w:tcPr>
          <w:p w14:paraId="6329F30B">
            <w:pPr>
              <w:pStyle w:val="126"/>
              <w:keepNext w:val="0"/>
              <w:keepLines w:val="0"/>
              <w:pageBreakBefore w:val="0"/>
              <w:widowControl/>
              <w:kinsoku/>
              <w:wordWrap/>
              <w:overflowPunct/>
              <w:topLinePunct/>
              <w:autoSpaceDE/>
              <w:autoSpaceDN/>
              <w:bidi w:val="0"/>
              <w:adjustRightInd w:val="0"/>
              <w:snapToGrid w:val="0"/>
              <w:spacing w:before="37"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镍</w:t>
            </w:r>
          </w:p>
        </w:tc>
        <w:tc>
          <w:tcPr>
            <w:tcW w:w="4132" w:type="dxa"/>
            <w:vMerge w:val="restart"/>
            <w:tcBorders>
              <w:top w:val="single" w:color="000000" w:sz="4" w:space="0"/>
              <w:left w:val="single" w:color="000000" w:sz="4" w:space="0"/>
              <w:right w:val="single" w:color="000000" w:sz="4" w:space="0"/>
            </w:tcBorders>
            <w:noWrap w:val="0"/>
            <w:vAlign w:val="center"/>
          </w:tcPr>
          <w:p w14:paraId="742D6589">
            <w:pPr>
              <w:bidi w:val="0"/>
              <w:spacing w:line="240" w:lineRule="auto"/>
              <w:rPr>
                <w:rFonts w:hint="default" w:ascii="Times New Roman" w:hAnsi="Times New Roman" w:cs="Times New Roman"/>
                <w:szCs w:val="24"/>
              </w:rPr>
            </w:pPr>
            <w:r>
              <w:rPr>
                <w:rFonts w:hint="default"/>
                <w:sz w:val="21"/>
                <w:szCs w:val="21"/>
              </w:rPr>
              <w:t xml:space="preserve">《土壤环境质量 </w:t>
            </w:r>
            <w:r>
              <w:rPr>
                <w:rFonts w:hint="default"/>
                <w:sz w:val="21"/>
                <w:szCs w:val="21"/>
                <w:lang w:val="en-US" w:eastAsia="zh-CN"/>
              </w:rPr>
              <w:t xml:space="preserve"> </w:t>
            </w:r>
            <w:r>
              <w:rPr>
                <w:rFonts w:hint="default"/>
                <w:sz w:val="21"/>
                <w:szCs w:val="21"/>
              </w:rPr>
              <w:t>建设用地土壤污染风险管控标准（试行）》（GB36600-2018）土壤污染筛选值（第二类用地）</w:t>
            </w:r>
          </w:p>
        </w:tc>
        <w:tc>
          <w:tcPr>
            <w:tcW w:w="1808" w:type="dxa"/>
            <w:tcBorders>
              <w:top w:val="single" w:color="000000" w:sz="4" w:space="0"/>
              <w:left w:val="single" w:color="000000" w:sz="4" w:space="0"/>
              <w:bottom w:val="single" w:color="000000" w:sz="4" w:space="0"/>
              <w:right w:val="single" w:color="000000" w:sz="8" w:space="0"/>
            </w:tcBorders>
            <w:noWrap w:val="0"/>
            <w:vAlign w:val="center"/>
          </w:tcPr>
          <w:p w14:paraId="3A5E7CFC">
            <w:pPr>
              <w:pStyle w:val="126"/>
              <w:keepNext w:val="0"/>
              <w:keepLines w:val="0"/>
              <w:pageBreakBefore w:val="0"/>
              <w:widowControl/>
              <w:kinsoku/>
              <w:wordWrap/>
              <w:overflowPunct/>
              <w:topLinePunct/>
              <w:autoSpaceDE/>
              <w:autoSpaceDN/>
              <w:bidi w:val="0"/>
              <w:adjustRightInd w:val="0"/>
              <w:snapToGrid w:val="0"/>
              <w:spacing w:before="43" w:beforeLines="0" w:afterLines="0" w:line="240" w:lineRule="auto"/>
              <w:ind w:left="0" w:right="0" w:firstLine="0" w:firstLineChars="0"/>
              <w:jc w:val="center"/>
              <w:textAlignment w:val="auto"/>
              <w:rPr>
                <w:rFonts w:hint="default" w:ascii="Times New Roman" w:hAnsi="Times New Roman" w:eastAsia="Times New Roman" w:cs="Times New Roman"/>
                <w:sz w:val="21"/>
                <w:szCs w:val="24"/>
              </w:rPr>
            </w:pPr>
            <w:r>
              <w:rPr>
                <w:rFonts w:hint="default" w:ascii="Times New Roman" w:hAnsi="Times New Roman" w:eastAsia="Times New Roman" w:cs="Times New Roman"/>
                <w:sz w:val="21"/>
                <w:szCs w:val="24"/>
              </w:rPr>
              <w:t>900</w:t>
            </w:r>
          </w:p>
        </w:tc>
      </w:tr>
      <w:tr w14:paraId="5F3A9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429" w:type="dxa"/>
            <w:tcBorders>
              <w:top w:val="single" w:color="000000" w:sz="4" w:space="0"/>
              <w:left w:val="single" w:color="000000" w:sz="8" w:space="0"/>
              <w:bottom w:val="single" w:color="000000" w:sz="4" w:space="0"/>
              <w:right w:val="single" w:color="000000" w:sz="4" w:space="0"/>
            </w:tcBorders>
            <w:noWrap w:val="0"/>
            <w:vAlign w:val="center"/>
          </w:tcPr>
          <w:p w14:paraId="4DA9F7F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铬（六价）</w:t>
            </w:r>
          </w:p>
        </w:tc>
        <w:tc>
          <w:tcPr>
            <w:tcW w:w="413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A4120A">
            <w:pPr>
              <w:pStyle w:val="35"/>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
                <w:szCs w:val="24"/>
              </w:rPr>
            </w:pPr>
          </w:p>
        </w:tc>
        <w:tc>
          <w:tcPr>
            <w:tcW w:w="1808" w:type="dxa"/>
            <w:tcBorders>
              <w:top w:val="single" w:color="000000" w:sz="4" w:space="0"/>
              <w:left w:val="single" w:color="000000" w:sz="4" w:space="0"/>
              <w:bottom w:val="single" w:color="000000" w:sz="4" w:space="0"/>
              <w:right w:val="single" w:color="000000" w:sz="8" w:space="0"/>
            </w:tcBorders>
            <w:noWrap w:val="0"/>
            <w:vAlign w:val="center"/>
          </w:tcPr>
          <w:p w14:paraId="261C1A07">
            <w:pPr>
              <w:pStyle w:val="126"/>
              <w:keepNext w:val="0"/>
              <w:keepLines w:val="0"/>
              <w:pageBreakBefore w:val="0"/>
              <w:widowControl/>
              <w:kinsoku/>
              <w:wordWrap/>
              <w:overflowPunct/>
              <w:topLinePunct/>
              <w:autoSpaceDE/>
              <w:autoSpaceDN/>
              <w:bidi w:val="0"/>
              <w:adjustRightInd w:val="0"/>
              <w:snapToGrid w:val="0"/>
              <w:spacing w:before="43" w:beforeLines="0" w:afterLines="0" w:line="240" w:lineRule="auto"/>
              <w:ind w:left="0" w:right="0" w:firstLine="0" w:firstLineChars="0"/>
              <w:jc w:val="center"/>
              <w:textAlignment w:val="auto"/>
              <w:rPr>
                <w:rFonts w:hint="default" w:ascii="Times New Roman" w:hAnsi="Times New Roman" w:eastAsia="Times New Roman" w:cs="Times New Roman"/>
                <w:sz w:val="21"/>
                <w:szCs w:val="24"/>
              </w:rPr>
            </w:pPr>
            <w:r>
              <w:rPr>
                <w:rFonts w:hint="default" w:ascii="Times New Roman" w:hAnsi="Times New Roman" w:eastAsia="Times New Roman" w:cs="Times New Roman"/>
                <w:sz w:val="21"/>
                <w:szCs w:val="24"/>
              </w:rPr>
              <w:t>5.7</w:t>
            </w:r>
          </w:p>
        </w:tc>
      </w:tr>
      <w:tr w14:paraId="5D251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429" w:type="dxa"/>
            <w:tcBorders>
              <w:top w:val="single" w:color="000000" w:sz="4" w:space="0"/>
              <w:left w:val="single" w:color="000000" w:sz="8" w:space="0"/>
              <w:bottom w:val="single" w:color="000000" w:sz="4" w:space="0"/>
              <w:right w:val="single" w:color="000000" w:sz="4" w:space="0"/>
            </w:tcBorders>
            <w:noWrap w:val="0"/>
            <w:vAlign w:val="center"/>
          </w:tcPr>
          <w:p w14:paraId="7F2DBCC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eastAsia" w:ascii="Times New Roman" w:hAnsi="Times New Roman" w:eastAsia="宋体" w:cs="Times New Roman"/>
                <w:sz w:val="21"/>
                <w:szCs w:val="24"/>
                <w:lang w:val="en-US" w:eastAsia="zh-CN"/>
              </w:rPr>
            </w:pPr>
            <w:r>
              <w:rPr>
                <w:rFonts w:hint="eastAsia" w:ascii="Times New Roman" w:hAnsi="Times New Roman" w:eastAsia="宋体" w:cs="Times New Roman"/>
                <w:sz w:val="21"/>
                <w:szCs w:val="24"/>
                <w:lang w:val="en-US" w:eastAsia="zh-CN"/>
              </w:rPr>
              <w:t>石油烃</w:t>
            </w:r>
          </w:p>
        </w:tc>
        <w:tc>
          <w:tcPr>
            <w:tcW w:w="4132"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E618C5">
            <w:pPr>
              <w:pStyle w:val="35"/>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
                <w:szCs w:val="24"/>
              </w:rPr>
            </w:pPr>
          </w:p>
        </w:tc>
        <w:tc>
          <w:tcPr>
            <w:tcW w:w="1808" w:type="dxa"/>
            <w:tcBorders>
              <w:top w:val="single" w:color="000000" w:sz="4" w:space="0"/>
              <w:left w:val="single" w:color="000000" w:sz="4" w:space="0"/>
              <w:bottom w:val="single" w:color="000000" w:sz="4" w:space="0"/>
              <w:right w:val="single" w:color="000000" w:sz="8" w:space="0"/>
            </w:tcBorders>
            <w:noWrap w:val="0"/>
            <w:vAlign w:val="center"/>
          </w:tcPr>
          <w:p w14:paraId="6A68ABBD">
            <w:pPr>
              <w:pStyle w:val="126"/>
              <w:keepNext w:val="0"/>
              <w:keepLines w:val="0"/>
              <w:pageBreakBefore w:val="0"/>
              <w:widowControl/>
              <w:kinsoku/>
              <w:wordWrap/>
              <w:overflowPunct/>
              <w:topLinePunct/>
              <w:autoSpaceDE/>
              <w:autoSpaceDN/>
              <w:bidi w:val="0"/>
              <w:adjustRightInd w:val="0"/>
              <w:snapToGrid w:val="0"/>
              <w:spacing w:before="43" w:beforeLines="0" w:afterLines="0" w:line="240" w:lineRule="auto"/>
              <w:ind w:left="0" w:right="0" w:firstLine="0" w:firstLineChars="0"/>
              <w:jc w:val="center"/>
              <w:textAlignment w:val="auto"/>
              <w:rPr>
                <w:rFonts w:hint="default" w:ascii="Times New Roman" w:hAnsi="Times New Roman" w:eastAsia="宋体" w:cs="Times New Roman"/>
                <w:sz w:val="21"/>
                <w:szCs w:val="24"/>
                <w:lang w:val="en-US" w:eastAsia="zh-CN"/>
              </w:rPr>
            </w:pPr>
            <w:r>
              <w:rPr>
                <w:rFonts w:hint="eastAsia" w:ascii="Times New Roman" w:hAnsi="Times New Roman" w:eastAsia="宋体" w:cs="Times New Roman"/>
                <w:sz w:val="21"/>
                <w:szCs w:val="24"/>
                <w:lang w:val="en-US" w:eastAsia="zh-CN"/>
              </w:rPr>
              <w:t>4500</w:t>
            </w:r>
          </w:p>
        </w:tc>
      </w:tr>
    </w:tbl>
    <w:p w14:paraId="2051252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5.7.2.5垂直入渗土壤环境影响预测与评价</w:t>
      </w:r>
    </w:p>
    <w:bookmarkEnd w:id="594"/>
    <w:p w14:paraId="26DC4136">
      <w:pPr>
        <w:pStyle w:val="72"/>
        <w:rPr>
          <w:rFonts w:hint="default" w:eastAsia="宋体"/>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预测模型</w:t>
      </w:r>
    </w:p>
    <w:p w14:paraId="7259DD92">
      <w:pPr>
        <w:pStyle w:val="72"/>
      </w:pPr>
      <w:r>
        <w:rPr>
          <w:rFonts w:hint="eastAsia"/>
        </w:rPr>
        <w:t xml:space="preserve">本项目为污染影响型项目，评价等级为二级，因此预测方法选择《环境影响评价技术导则 </w:t>
      </w:r>
      <w:r>
        <w:t xml:space="preserve"> </w:t>
      </w:r>
      <w:r>
        <w:rPr>
          <w:rFonts w:hint="eastAsia"/>
        </w:rPr>
        <w:t>土壤环境（试行）》（HJ964-2018）附录E的方法进行预测。</w:t>
      </w:r>
    </w:p>
    <w:p w14:paraId="7C960EBD">
      <w:pPr>
        <w:ind w:firstLine="480"/>
      </w:pPr>
      <w:r>
        <w:rPr>
          <w:rFonts w:hint="eastAsia"/>
        </w:rPr>
        <w:t>根据附录E，下渗影响采用E.2（方法二）进行预测，预测模式为：一维非饱和溶质运移模型，其控制方程为：</w:t>
      </w:r>
    </w:p>
    <w:p w14:paraId="23C06DA9">
      <w:pPr>
        <w:pStyle w:val="78"/>
        <w:ind w:firstLine="480"/>
      </w:pPr>
      <w:r>
        <w:object>
          <v:shape id="_x0000_i1029" o:spt="75" type="#_x0000_t75" style="height:35.25pt;width:158.25pt;" o:ole="t" filled="f" o:preferrelative="t" stroked="f" coordsize="21600,21600">
            <v:path/>
            <v:fill on="f" focussize="0,0"/>
            <v:stroke on="f" joinstyle="miter"/>
            <v:imagedata r:id="rId51" o:title=""/>
            <o:lock v:ext="edit" aspectratio="t"/>
            <w10:wrap type="none"/>
            <w10:anchorlock/>
          </v:shape>
          <o:OLEObject Type="Embed" ProgID="Equation.KSEE3" ShapeID="_x0000_i1029" DrawAspect="Content" ObjectID="_1468075732" r:id="rId50">
            <o:LockedField>false</o:LockedField>
          </o:OLEObject>
        </w:object>
      </w:r>
    </w:p>
    <w:p w14:paraId="1D62AA19">
      <w:pPr>
        <w:pStyle w:val="72"/>
        <w:rPr>
          <w:rFonts w:cs="Times New Roman"/>
          <w:szCs w:val="24"/>
        </w:rPr>
      </w:pPr>
    </w:p>
    <w:p w14:paraId="6878F16F">
      <w:pPr>
        <w:pStyle w:val="72"/>
        <w:rPr>
          <w:rFonts w:cs="Times New Roman"/>
          <w:szCs w:val="24"/>
        </w:rPr>
      </w:pPr>
      <w:r>
        <w:rPr>
          <w:rFonts w:cs="Times New Roman"/>
          <w:szCs w:val="24"/>
        </w:rPr>
        <w:t>式中：c—污染物介质中的浓度，mg/L；</w:t>
      </w:r>
      <w:r>
        <w:rPr>
          <w:rFonts w:hint="eastAsia"/>
        </w:rPr>
        <w:t>见预测与评价因子；</w:t>
      </w:r>
    </w:p>
    <w:p w14:paraId="278ADCEC">
      <w:pPr>
        <w:ind w:firstLine="1200" w:firstLineChars="500"/>
        <w:rPr>
          <w:szCs w:val="24"/>
        </w:rPr>
      </w:pPr>
      <w:r>
        <w:rPr>
          <w:szCs w:val="24"/>
        </w:rPr>
        <w:t>D—弥散系数，m</w:t>
      </w:r>
      <w:r>
        <w:rPr>
          <w:szCs w:val="24"/>
          <w:vertAlign w:val="superscript"/>
        </w:rPr>
        <w:t>2</w:t>
      </w:r>
      <w:r>
        <w:rPr>
          <w:szCs w:val="24"/>
        </w:rPr>
        <w:t>/d；</w:t>
      </w:r>
    </w:p>
    <w:p w14:paraId="7746C894">
      <w:pPr>
        <w:ind w:firstLine="1200" w:firstLineChars="500"/>
        <w:rPr>
          <w:szCs w:val="24"/>
        </w:rPr>
      </w:pPr>
      <w:r>
        <w:rPr>
          <w:szCs w:val="24"/>
        </w:rPr>
        <w:t>q—渗流速率，m/d；</w:t>
      </w:r>
      <w:r>
        <w:rPr>
          <w:rFonts w:hint="eastAsia"/>
          <w:szCs w:val="24"/>
        </w:rPr>
        <w:t>按照《给水排水构筑物工程施工及验收规范》（</w:t>
      </w:r>
      <w:r>
        <w:rPr>
          <w:szCs w:val="24"/>
        </w:rPr>
        <w:t>GB50141），钢筋混凝土结构水池正常状况下的渗水量不超过2L/（m</w:t>
      </w:r>
      <w:r>
        <w:rPr>
          <w:szCs w:val="24"/>
          <w:vertAlign w:val="superscript"/>
        </w:rPr>
        <w:t>2</w:t>
      </w:r>
      <w:r>
        <w:rPr>
          <w:szCs w:val="24"/>
        </w:rPr>
        <w:t>∙d），即0.002m/d，非正常工况按10倍计算，为0.02m/d；</w:t>
      </w:r>
    </w:p>
    <w:p w14:paraId="7189D36C">
      <w:pPr>
        <w:ind w:firstLine="1200" w:firstLineChars="500"/>
        <w:rPr>
          <w:b w:val="0"/>
          <w:bCs w:val="0"/>
          <w:color w:val="000000" w:themeColor="text1"/>
          <w:szCs w:val="24"/>
          <w14:textFill>
            <w14:solidFill>
              <w14:schemeClr w14:val="tx1"/>
            </w14:solidFill>
          </w14:textFill>
        </w:rPr>
      </w:pPr>
      <w:r>
        <w:rPr>
          <w:b w:val="0"/>
          <w:bCs w:val="0"/>
          <w:color w:val="000000" w:themeColor="text1"/>
          <w:szCs w:val="24"/>
          <w14:textFill>
            <w14:solidFill>
              <w14:schemeClr w14:val="tx1"/>
            </w14:solidFill>
          </w14:textFill>
        </w:rPr>
        <w:t>z—沿z轴的距离，m；</w:t>
      </w:r>
    </w:p>
    <w:p w14:paraId="3EC55D1D">
      <w:pPr>
        <w:ind w:firstLine="1200" w:firstLineChars="500"/>
        <w:rPr>
          <w:szCs w:val="24"/>
        </w:rPr>
      </w:pPr>
      <w:r>
        <w:rPr>
          <w:szCs w:val="24"/>
        </w:rPr>
        <w:t>t—时间变量，d；</w:t>
      </w:r>
    </w:p>
    <w:p w14:paraId="2338229F">
      <w:pPr>
        <w:ind w:firstLine="1200" w:firstLineChars="500"/>
        <w:rPr>
          <w:rFonts w:hint="eastAsia"/>
          <w:szCs w:val="24"/>
        </w:rPr>
      </w:pPr>
      <w:r>
        <w:rPr>
          <w:szCs w:val="24"/>
        </w:rPr>
        <w:t>θ—土壤含水率，%</w:t>
      </w:r>
      <w:r>
        <w:rPr>
          <w:rFonts w:hint="eastAsia"/>
          <w:szCs w:val="24"/>
        </w:rPr>
        <w:t>；</w:t>
      </w:r>
    </w:p>
    <w:p w14:paraId="513985CE">
      <w:pPr>
        <w:pStyle w:val="72"/>
        <w:rPr>
          <w:rFonts w:hint="default" w:eastAsia="宋体"/>
          <w:lang w:val="en-US" w:eastAsia="zh-CN"/>
        </w:rPr>
      </w:pPr>
      <w:r>
        <w:rPr>
          <w:rFonts w:hint="eastAsia"/>
          <w:lang w:eastAsia="zh-CN"/>
        </w:rPr>
        <w:t>（</w:t>
      </w:r>
      <w:r>
        <w:rPr>
          <w:rFonts w:hint="eastAsia"/>
          <w:lang w:val="en-US" w:eastAsia="zh-CN"/>
        </w:rPr>
        <w:t>2</w:t>
      </w:r>
      <w:r>
        <w:rPr>
          <w:rFonts w:hint="eastAsia"/>
          <w:lang w:eastAsia="zh-CN"/>
        </w:rPr>
        <w:t>）</w:t>
      </w:r>
      <w:r>
        <w:rPr>
          <w:rFonts w:hint="eastAsia"/>
          <w:lang w:val="en-US" w:eastAsia="zh-CN"/>
        </w:rPr>
        <w:t>污染物源强确定</w:t>
      </w:r>
    </w:p>
    <w:p w14:paraId="3D0A9117">
      <w:pPr>
        <w:ind w:left="0" w:leftChars="0" w:firstLine="480" w:firstLineChars="200"/>
        <w:rPr>
          <w:rFonts w:hint="eastAsia"/>
          <w:szCs w:val="24"/>
        </w:rPr>
      </w:pPr>
      <w:r>
        <w:rPr>
          <w:rFonts w:hint="eastAsia"/>
          <w:szCs w:val="24"/>
        </w:rPr>
        <w:t>根据工程分析，确定本项目事故状态下各污染物最大浓度，详见下表。</w:t>
      </w:r>
    </w:p>
    <w:p w14:paraId="75669A3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5.7-9</w:t>
      </w:r>
      <w:r>
        <w:rPr>
          <w:rFonts w:hint="eastAsia" w:ascii="Times New Roman" w:hAnsi="Times New Roman"/>
        </w:rPr>
        <w:t xml:space="preserve">    预测因子源强一览表</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328"/>
        <w:gridCol w:w="2540"/>
        <w:gridCol w:w="1810"/>
        <w:gridCol w:w="2691"/>
      </w:tblGrid>
      <w:tr w14:paraId="4D453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328" w:type="dxa"/>
            <w:tcBorders>
              <w:top w:val="single" w:color="000000" w:sz="8" w:space="0"/>
              <w:left w:val="single" w:color="000000" w:sz="8" w:space="0"/>
              <w:bottom w:val="single" w:color="000000" w:sz="4" w:space="0"/>
              <w:right w:val="single" w:color="000000" w:sz="4" w:space="0"/>
            </w:tcBorders>
            <w:noWrap w:val="0"/>
            <w:vAlign w:val="center"/>
          </w:tcPr>
          <w:p w14:paraId="5963941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序号</w:t>
            </w:r>
          </w:p>
        </w:tc>
        <w:tc>
          <w:tcPr>
            <w:tcW w:w="2540" w:type="dxa"/>
            <w:tcBorders>
              <w:top w:val="single" w:color="000000" w:sz="8" w:space="0"/>
              <w:left w:val="single" w:color="000000" w:sz="4" w:space="0"/>
              <w:bottom w:val="single" w:color="000000" w:sz="4" w:space="0"/>
              <w:right w:val="single" w:color="000000" w:sz="4" w:space="0"/>
            </w:tcBorders>
            <w:noWrap w:val="0"/>
            <w:vAlign w:val="center"/>
          </w:tcPr>
          <w:p w14:paraId="0A7A00E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污染源</w:t>
            </w:r>
          </w:p>
        </w:tc>
        <w:tc>
          <w:tcPr>
            <w:tcW w:w="1810" w:type="dxa"/>
            <w:tcBorders>
              <w:top w:val="single" w:color="000000" w:sz="8" w:space="0"/>
              <w:left w:val="single" w:color="000000" w:sz="4" w:space="0"/>
              <w:bottom w:val="single" w:color="000000" w:sz="4" w:space="0"/>
              <w:right w:val="single" w:color="000000" w:sz="4" w:space="0"/>
            </w:tcBorders>
            <w:noWrap w:val="0"/>
            <w:vAlign w:val="center"/>
          </w:tcPr>
          <w:p w14:paraId="06566B2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预测因子</w:t>
            </w:r>
          </w:p>
        </w:tc>
        <w:tc>
          <w:tcPr>
            <w:tcW w:w="2691" w:type="dxa"/>
            <w:tcBorders>
              <w:top w:val="single" w:color="000000" w:sz="8" w:space="0"/>
              <w:left w:val="single" w:color="000000" w:sz="4" w:space="0"/>
              <w:bottom w:val="single" w:color="000000" w:sz="4" w:space="0"/>
              <w:right w:val="single" w:color="000000" w:sz="8" w:space="0"/>
            </w:tcBorders>
            <w:noWrap w:val="0"/>
            <w:vAlign w:val="center"/>
          </w:tcPr>
          <w:p w14:paraId="2585172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污染物浓度（</w:t>
            </w:r>
            <w:r>
              <w:rPr>
                <w:rFonts w:hint="default" w:ascii="Times New Roman" w:hAnsi="Times New Roman" w:eastAsia="Times New Roman" w:cs="Times New Roman"/>
                <w:b/>
                <w:bCs/>
                <w:sz w:val="21"/>
                <w:szCs w:val="24"/>
                <w:u w:val="none"/>
              </w:rPr>
              <w:t>mg/L</w:t>
            </w:r>
            <w:r>
              <w:rPr>
                <w:rFonts w:hint="default" w:ascii="Times New Roman" w:hAnsi="Times New Roman" w:cs="Times New Roman"/>
                <w:b/>
                <w:bCs/>
                <w:sz w:val="21"/>
                <w:szCs w:val="24"/>
                <w:u w:val="none"/>
              </w:rPr>
              <w:t>）</w:t>
            </w:r>
          </w:p>
        </w:tc>
      </w:tr>
      <w:tr w14:paraId="7F0A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328" w:type="dxa"/>
            <w:tcBorders>
              <w:top w:val="single" w:color="000000" w:sz="4" w:space="0"/>
              <w:left w:val="single" w:color="000000" w:sz="8" w:space="0"/>
              <w:bottom w:val="single" w:color="000000" w:sz="4" w:space="0"/>
              <w:right w:val="single" w:color="000000" w:sz="4" w:space="0"/>
            </w:tcBorders>
            <w:noWrap w:val="0"/>
            <w:vAlign w:val="center"/>
          </w:tcPr>
          <w:p w14:paraId="3E8648A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val="0"/>
                <w:bCs w:val="0"/>
                <w:sz w:val="21"/>
                <w:szCs w:val="24"/>
                <w:u w:val="none"/>
              </w:rPr>
            </w:pPr>
            <w:r>
              <w:rPr>
                <w:rFonts w:hint="default" w:ascii="Times New Roman" w:hAnsi="Times New Roman" w:eastAsia="Times New Roman" w:cs="Times New Roman"/>
                <w:b w:val="0"/>
                <w:bCs w:val="0"/>
                <w:sz w:val="21"/>
                <w:szCs w:val="24"/>
                <w:u w:val="none"/>
              </w:rPr>
              <w:t>1</w:t>
            </w:r>
          </w:p>
        </w:tc>
        <w:tc>
          <w:tcPr>
            <w:tcW w:w="2540" w:type="dxa"/>
            <w:tcBorders>
              <w:top w:val="single" w:color="000000" w:sz="4" w:space="0"/>
              <w:left w:val="single" w:color="000000" w:sz="4" w:space="0"/>
              <w:bottom w:val="single" w:color="000000" w:sz="4" w:space="0"/>
              <w:right w:val="single" w:color="000000" w:sz="4" w:space="0"/>
            </w:tcBorders>
            <w:noWrap w:val="0"/>
            <w:vAlign w:val="center"/>
          </w:tcPr>
          <w:p w14:paraId="073471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含镍废水</w:t>
            </w:r>
          </w:p>
        </w:tc>
        <w:tc>
          <w:tcPr>
            <w:tcW w:w="1810" w:type="dxa"/>
            <w:tcBorders>
              <w:top w:val="single" w:color="000000" w:sz="4" w:space="0"/>
              <w:left w:val="single" w:color="000000" w:sz="4" w:space="0"/>
              <w:bottom w:val="single" w:color="000000" w:sz="4" w:space="0"/>
              <w:right w:val="single" w:color="000000" w:sz="4" w:space="0"/>
            </w:tcBorders>
            <w:noWrap w:val="0"/>
            <w:vAlign w:val="center"/>
          </w:tcPr>
          <w:p w14:paraId="0F50DC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总镍</w:t>
            </w:r>
          </w:p>
        </w:tc>
        <w:tc>
          <w:tcPr>
            <w:tcW w:w="2691" w:type="dxa"/>
            <w:tcBorders>
              <w:top w:val="single" w:color="000000" w:sz="4" w:space="0"/>
              <w:left w:val="single" w:color="000000" w:sz="4" w:space="0"/>
              <w:bottom w:val="single" w:color="000000" w:sz="4" w:space="0"/>
              <w:right w:val="single" w:color="000000" w:sz="8" w:space="0"/>
            </w:tcBorders>
            <w:noWrap w:val="0"/>
            <w:vAlign w:val="center"/>
          </w:tcPr>
          <w:p w14:paraId="2F1020E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204</w:t>
            </w:r>
          </w:p>
        </w:tc>
      </w:tr>
      <w:tr w14:paraId="7F027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328" w:type="dxa"/>
            <w:tcBorders>
              <w:top w:val="single" w:color="000000" w:sz="4" w:space="0"/>
              <w:left w:val="single" w:color="000000" w:sz="8" w:space="0"/>
              <w:bottom w:val="single" w:color="000000" w:sz="4" w:space="0"/>
              <w:right w:val="single" w:color="000000" w:sz="4" w:space="0"/>
            </w:tcBorders>
            <w:noWrap w:val="0"/>
            <w:vAlign w:val="center"/>
          </w:tcPr>
          <w:p w14:paraId="50DCBCD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val="0"/>
                <w:bCs w:val="0"/>
                <w:sz w:val="21"/>
                <w:szCs w:val="24"/>
                <w:u w:val="none"/>
              </w:rPr>
            </w:pPr>
            <w:r>
              <w:rPr>
                <w:rFonts w:hint="default" w:ascii="Times New Roman" w:hAnsi="Times New Roman" w:eastAsia="Times New Roman" w:cs="Times New Roman"/>
                <w:b w:val="0"/>
                <w:bCs w:val="0"/>
                <w:sz w:val="21"/>
                <w:szCs w:val="24"/>
                <w:u w:val="none"/>
              </w:rPr>
              <w:t>2</w:t>
            </w:r>
          </w:p>
        </w:tc>
        <w:tc>
          <w:tcPr>
            <w:tcW w:w="2540" w:type="dxa"/>
            <w:tcBorders>
              <w:top w:val="single" w:color="000000" w:sz="4" w:space="0"/>
              <w:left w:val="single" w:color="000000" w:sz="4" w:space="0"/>
              <w:bottom w:val="single" w:color="000000" w:sz="4" w:space="0"/>
              <w:right w:val="single" w:color="000000" w:sz="4" w:space="0"/>
            </w:tcBorders>
            <w:noWrap w:val="0"/>
            <w:vAlign w:val="center"/>
          </w:tcPr>
          <w:p w14:paraId="50CB93C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含铬废水</w:t>
            </w:r>
          </w:p>
        </w:tc>
        <w:tc>
          <w:tcPr>
            <w:tcW w:w="1810" w:type="dxa"/>
            <w:tcBorders>
              <w:top w:val="single" w:color="000000" w:sz="4" w:space="0"/>
              <w:left w:val="single" w:color="000000" w:sz="4" w:space="0"/>
              <w:bottom w:val="single" w:color="000000" w:sz="4" w:space="0"/>
              <w:right w:val="single" w:color="000000" w:sz="4" w:space="0"/>
            </w:tcBorders>
            <w:noWrap w:val="0"/>
            <w:vAlign w:val="center"/>
          </w:tcPr>
          <w:p w14:paraId="15EA900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总铬</w:t>
            </w:r>
          </w:p>
        </w:tc>
        <w:tc>
          <w:tcPr>
            <w:tcW w:w="2691" w:type="dxa"/>
            <w:tcBorders>
              <w:top w:val="single" w:color="000000" w:sz="4" w:space="0"/>
              <w:left w:val="single" w:color="000000" w:sz="4" w:space="0"/>
              <w:bottom w:val="single" w:color="000000" w:sz="4" w:space="0"/>
              <w:right w:val="single" w:color="000000" w:sz="8" w:space="0"/>
            </w:tcBorders>
            <w:noWrap w:val="0"/>
            <w:vAlign w:val="center"/>
          </w:tcPr>
          <w:p w14:paraId="0C385A3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32.7</w:t>
            </w:r>
          </w:p>
        </w:tc>
      </w:tr>
    </w:tbl>
    <w:p w14:paraId="659C9DC5">
      <w:pPr>
        <w:ind w:left="0" w:leftChars="0" w:firstLine="480" w:firstLineChars="200"/>
        <w:rPr>
          <w:rFonts w:hint="eastAsia"/>
          <w:szCs w:val="24"/>
        </w:rPr>
      </w:pPr>
      <w:r>
        <w:rPr>
          <w:rFonts w:hint="eastAsia"/>
          <w:szCs w:val="24"/>
        </w:rPr>
        <w:t>预测情景为废水调节池池底防渗层破裂，污染物排放规律简化为连续恒定排放的点源，运移时间为1年。</w:t>
      </w:r>
    </w:p>
    <w:p w14:paraId="2A4196B3">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（3）模型概化</w:t>
      </w:r>
    </w:p>
    <w:p w14:paraId="3CF5C8BB">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1）边界条件</w:t>
      </w:r>
    </w:p>
    <w:p w14:paraId="33F054A8">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模型上边界概化为稳定的污染物定通量补给边界，下边界为自由排水边界。</w:t>
      </w:r>
    </w:p>
    <w:p w14:paraId="59F275F7">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2）土壤概化</w:t>
      </w:r>
    </w:p>
    <w:p w14:paraId="633A9864">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结合本项目土壤现状监测，将土壤概化为一种类型，0~3m均为壤土，土壤相关参数见下表。</w:t>
      </w:r>
    </w:p>
    <w:p w14:paraId="3AE8CC4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5.7-10</w:t>
      </w:r>
      <w:r>
        <w:rPr>
          <w:rFonts w:hint="eastAsia" w:ascii="Times New Roman" w:hAnsi="Times New Roman"/>
        </w:rPr>
        <w:t xml:space="preserve">    场区土壤参数表</w:t>
      </w:r>
    </w:p>
    <w:tbl>
      <w:tblPr>
        <w:tblStyle w:val="39"/>
        <w:tblW w:w="500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194"/>
        <w:gridCol w:w="1197"/>
        <w:gridCol w:w="1196"/>
        <w:gridCol w:w="1196"/>
        <w:gridCol w:w="1316"/>
        <w:gridCol w:w="1080"/>
        <w:gridCol w:w="1192"/>
      </w:tblGrid>
      <w:tr w14:paraId="323D6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194" w:type="dxa"/>
            <w:tcBorders>
              <w:top w:val="single" w:color="000000" w:sz="8" w:space="0"/>
              <w:left w:val="single" w:color="000000" w:sz="8" w:space="0"/>
              <w:bottom w:val="single" w:color="000000" w:sz="4" w:space="0"/>
              <w:right w:val="single" w:color="000000" w:sz="4" w:space="0"/>
            </w:tcBorders>
            <w:noWrap w:val="0"/>
            <w:vAlign w:val="center"/>
          </w:tcPr>
          <w:p w14:paraId="1730E18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类别</w:t>
            </w:r>
          </w:p>
        </w:tc>
        <w:tc>
          <w:tcPr>
            <w:tcW w:w="1197" w:type="dxa"/>
            <w:tcBorders>
              <w:top w:val="single" w:color="000000" w:sz="8" w:space="0"/>
              <w:left w:val="single" w:color="000000" w:sz="4" w:space="0"/>
              <w:bottom w:val="single" w:color="000000" w:sz="4" w:space="0"/>
              <w:right w:val="single" w:color="000000" w:sz="4" w:space="0"/>
            </w:tcBorders>
            <w:noWrap w:val="0"/>
            <w:vAlign w:val="center"/>
          </w:tcPr>
          <w:p w14:paraId="54967EE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厚度（</w:t>
            </w:r>
            <w:r>
              <w:rPr>
                <w:rFonts w:hint="default" w:ascii="Times New Roman" w:hAnsi="Times New Roman" w:cs="Times New Roman"/>
                <w:b/>
                <w:bCs/>
                <w:sz w:val="21"/>
                <w:szCs w:val="24"/>
                <w:u w:val="none"/>
              </w:rPr>
              <w:t>m</w:t>
            </w:r>
            <w:r>
              <w:rPr>
                <w:rFonts w:hint="default" w:ascii="Times New Roman" w:hAnsi="Times New Roman" w:eastAsia="宋体" w:cs="Times New Roman"/>
                <w:b/>
                <w:bCs/>
                <w:sz w:val="21"/>
                <w:szCs w:val="24"/>
                <w:u w:val="none"/>
              </w:rPr>
              <w:t>）</w:t>
            </w:r>
          </w:p>
        </w:tc>
        <w:tc>
          <w:tcPr>
            <w:tcW w:w="1196" w:type="dxa"/>
            <w:tcBorders>
              <w:top w:val="single" w:color="000000" w:sz="8" w:space="0"/>
              <w:left w:val="single" w:color="000000" w:sz="4" w:space="0"/>
              <w:bottom w:val="single" w:color="000000" w:sz="4" w:space="0"/>
              <w:right w:val="single" w:color="000000" w:sz="4" w:space="0"/>
            </w:tcBorders>
            <w:noWrap w:val="0"/>
            <w:vAlign w:val="center"/>
          </w:tcPr>
          <w:p w14:paraId="305D03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渗透系数</w:t>
            </w:r>
          </w:p>
          <w:p w14:paraId="63A29E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w:t>
            </w:r>
            <w:r>
              <w:rPr>
                <w:rFonts w:hint="default" w:ascii="Times New Roman" w:hAnsi="Times New Roman" w:cs="Times New Roman"/>
                <w:b/>
                <w:bCs/>
                <w:color w:val="000000" w:themeColor="text1"/>
                <w:sz w:val="21"/>
                <w:szCs w:val="24"/>
                <w:u w:val="none"/>
                <w14:textFill>
                  <w14:solidFill>
                    <w14:schemeClr w14:val="tx1"/>
                  </w14:solidFill>
                </w14:textFill>
              </w:rPr>
              <w:t>cm/s</w:t>
            </w:r>
            <w:r>
              <w:rPr>
                <w:rFonts w:hint="default" w:ascii="Times New Roman" w:hAnsi="Times New Roman" w:eastAsia="宋体" w:cs="Times New Roman"/>
                <w:b/>
                <w:bCs/>
                <w:color w:val="000000" w:themeColor="text1"/>
                <w:sz w:val="21"/>
                <w:szCs w:val="24"/>
                <w:u w:val="none"/>
                <w14:textFill>
                  <w14:solidFill>
                    <w14:schemeClr w14:val="tx1"/>
                  </w14:solidFill>
                </w14:textFill>
              </w:rPr>
              <w:t>）</w:t>
            </w:r>
          </w:p>
        </w:tc>
        <w:tc>
          <w:tcPr>
            <w:tcW w:w="1196" w:type="dxa"/>
            <w:tcBorders>
              <w:top w:val="single" w:color="000000" w:sz="8" w:space="0"/>
              <w:left w:val="single" w:color="000000" w:sz="4" w:space="0"/>
              <w:bottom w:val="single" w:color="000000" w:sz="4" w:space="0"/>
              <w:right w:val="single" w:color="000000" w:sz="4" w:space="0"/>
            </w:tcBorders>
            <w:noWrap w:val="0"/>
            <w:vAlign w:val="center"/>
          </w:tcPr>
          <w:p w14:paraId="138BFBE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孔隙度</w:t>
            </w:r>
          </w:p>
          <w:p w14:paraId="1EF1D08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w:t>
            </w:r>
            <w:r>
              <w:rPr>
                <w:rFonts w:hint="default" w:ascii="Times New Roman" w:hAnsi="Times New Roman" w:cs="Times New Roman"/>
                <w:b/>
                <w:bCs/>
                <w:color w:val="000000" w:themeColor="text1"/>
                <w:sz w:val="21"/>
                <w:szCs w:val="24"/>
                <w:u w:val="none"/>
                <w14:textFill>
                  <w14:solidFill>
                    <w14:schemeClr w14:val="tx1"/>
                  </w14:solidFill>
                </w14:textFill>
              </w:rPr>
              <w:t>%</w:t>
            </w:r>
            <w:r>
              <w:rPr>
                <w:rFonts w:hint="default" w:ascii="Times New Roman" w:hAnsi="Times New Roman" w:eastAsia="宋体" w:cs="Times New Roman"/>
                <w:b/>
                <w:bCs/>
                <w:color w:val="000000" w:themeColor="text1"/>
                <w:sz w:val="21"/>
                <w:szCs w:val="24"/>
                <w:u w:val="none"/>
                <w14:textFill>
                  <w14:solidFill>
                    <w14:schemeClr w14:val="tx1"/>
                  </w14:solidFill>
                </w14:textFill>
              </w:rPr>
              <w:t>）</w:t>
            </w:r>
          </w:p>
        </w:tc>
        <w:tc>
          <w:tcPr>
            <w:tcW w:w="1316" w:type="dxa"/>
            <w:tcBorders>
              <w:top w:val="single" w:color="000000" w:sz="8" w:space="0"/>
              <w:left w:val="single" w:color="000000" w:sz="4" w:space="0"/>
              <w:bottom w:val="single" w:color="000000" w:sz="4" w:space="0"/>
              <w:right w:val="single" w:color="000000" w:sz="4" w:space="0"/>
            </w:tcBorders>
            <w:noWrap w:val="0"/>
            <w:vAlign w:val="center"/>
          </w:tcPr>
          <w:p w14:paraId="6001B02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土壤含水量</w:t>
            </w:r>
          </w:p>
          <w:p w14:paraId="04F576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w:t>
            </w:r>
          </w:p>
        </w:tc>
        <w:tc>
          <w:tcPr>
            <w:tcW w:w="1080" w:type="dxa"/>
            <w:tcBorders>
              <w:top w:val="single" w:color="000000" w:sz="8" w:space="0"/>
              <w:left w:val="single" w:color="000000" w:sz="4" w:space="0"/>
              <w:bottom w:val="single" w:color="000000" w:sz="4" w:space="0"/>
              <w:right w:val="single" w:color="000000" w:sz="4" w:space="0"/>
            </w:tcBorders>
            <w:noWrap w:val="0"/>
            <w:vAlign w:val="center"/>
          </w:tcPr>
          <w:p w14:paraId="7C93412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弥散度</w:t>
            </w:r>
          </w:p>
          <w:p w14:paraId="60F0A49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color w:val="000000" w:themeColor="text1"/>
                <w:sz w:val="21"/>
                <w:szCs w:val="24"/>
                <w:u w:val="none"/>
                <w14:textFill>
                  <w14:solidFill>
                    <w14:schemeClr w14:val="tx1"/>
                  </w14:solidFill>
                </w14:textFill>
              </w:rPr>
            </w:pPr>
            <w:r>
              <w:rPr>
                <w:rFonts w:hint="default" w:ascii="Times New Roman" w:hAnsi="Times New Roman" w:eastAsia="宋体" w:cs="Times New Roman"/>
                <w:b/>
                <w:bCs/>
                <w:color w:val="000000" w:themeColor="text1"/>
                <w:sz w:val="21"/>
                <w:szCs w:val="24"/>
                <w:u w:val="none"/>
                <w14:textFill>
                  <w14:solidFill>
                    <w14:schemeClr w14:val="tx1"/>
                  </w14:solidFill>
                </w14:textFill>
              </w:rPr>
              <w:t>（cm）</w:t>
            </w:r>
          </w:p>
        </w:tc>
        <w:tc>
          <w:tcPr>
            <w:tcW w:w="1192" w:type="dxa"/>
            <w:tcBorders>
              <w:top w:val="single" w:color="000000" w:sz="8" w:space="0"/>
              <w:left w:val="single" w:color="000000" w:sz="4" w:space="0"/>
              <w:bottom w:val="single" w:color="000000" w:sz="4" w:space="0"/>
              <w:right w:val="single" w:color="000000" w:sz="8" w:space="0"/>
            </w:tcBorders>
            <w:noWrap w:val="0"/>
            <w:vAlign w:val="center"/>
          </w:tcPr>
          <w:p w14:paraId="3F724A5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土壤容重</w:t>
            </w:r>
          </w:p>
          <w:p w14:paraId="029EEF9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w:t>
            </w:r>
            <w:r>
              <w:rPr>
                <w:rFonts w:hint="default" w:ascii="Times New Roman" w:hAnsi="Times New Roman" w:cs="Times New Roman"/>
                <w:b/>
                <w:bCs/>
                <w:sz w:val="21"/>
                <w:szCs w:val="24"/>
                <w:u w:val="none"/>
              </w:rPr>
              <w:t>kg/m</w:t>
            </w:r>
            <w:r>
              <w:rPr>
                <w:rFonts w:hint="default" w:ascii="Times New Roman" w:hAnsi="Times New Roman" w:cs="Times New Roman"/>
                <w:b/>
                <w:bCs/>
                <w:position w:val="7"/>
                <w:sz w:val="14"/>
                <w:szCs w:val="24"/>
                <w:u w:val="none"/>
              </w:rPr>
              <w:t>3</w:t>
            </w:r>
            <w:r>
              <w:rPr>
                <w:rFonts w:hint="default" w:ascii="Times New Roman" w:hAnsi="Times New Roman" w:eastAsia="宋体" w:cs="Times New Roman"/>
                <w:b/>
                <w:bCs/>
                <w:sz w:val="21"/>
                <w:szCs w:val="24"/>
                <w:u w:val="none"/>
              </w:rPr>
              <w:t>）</w:t>
            </w:r>
          </w:p>
        </w:tc>
      </w:tr>
      <w:tr w14:paraId="47F34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194" w:type="dxa"/>
            <w:tcBorders>
              <w:top w:val="single" w:color="000000" w:sz="4" w:space="0"/>
              <w:left w:val="single" w:color="000000" w:sz="8" w:space="0"/>
              <w:bottom w:val="single" w:color="000000" w:sz="4" w:space="0"/>
              <w:right w:val="single" w:color="000000" w:sz="4" w:space="0"/>
            </w:tcBorders>
            <w:noWrap w:val="0"/>
            <w:vAlign w:val="center"/>
          </w:tcPr>
          <w:p w14:paraId="7E6F30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rPr>
            </w:pPr>
            <w:r>
              <w:rPr>
                <w:rFonts w:hint="default" w:ascii="Times New Roman" w:hAnsi="Times New Roman" w:eastAsia="宋体" w:cs="Times New Roman"/>
                <w:b w:val="0"/>
                <w:bCs w:val="0"/>
                <w:sz w:val="21"/>
                <w:szCs w:val="24"/>
                <w:u w:val="none"/>
              </w:rPr>
              <w:t>壤土</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14:paraId="661C45D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0~0.5m</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14:paraId="09DFB41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0.83</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14:paraId="72B9539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42.7</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14:paraId="48C672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20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3587C2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0.35</w:t>
            </w:r>
          </w:p>
        </w:tc>
        <w:tc>
          <w:tcPr>
            <w:tcW w:w="1192" w:type="dxa"/>
            <w:tcBorders>
              <w:top w:val="single" w:color="000000" w:sz="4" w:space="0"/>
              <w:left w:val="single" w:color="000000" w:sz="4" w:space="0"/>
              <w:bottom w:val="single" w:color="000000" w:sz="4" w:space="0"/>
              <w:right w:val="single" w:color="000000" w:sz="8" w:space="0"/>
            </w:tcBorders>
            <w:noWrap w:val="0"/>
            <w:vAlign w:val="center"/>
          </w:tcPr>
          <w:p w14:paraId="697B4A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1.40</w:t>
            </w:r>
          </w:p>
        </w:tc>
      </w:tr>
    </w:tbl>
    <w:p w14:paraId="24E73EF8">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w:t>
      </w:r>
      <w:r>
        <w:rPr>
          <w:rFonts w:hint="eastAsia" w:cs="Times New Roman"/>
          <w:b w:val="0"/>
          <w:bCs w:val="0"/>
          <w:snapToGrid w:val="0"/>
          <w:kern w:val="21"/>
          <w:sz w:val="24"/>
          <w:szCs w:val="24"/>
          <w:highlight w:val="none"/>
          <w:u w:val="none"/>
          <w:lang w:val="en-US" w:eastAsia="zh-CN"/>
        </w:rPr>
        <w:t>4</w:t>
      </w:r>
      <w:r>
        <w:rPr>
          <w:rFonts w:hint="default" w:ascii="Times New Roman" w:hAnsi="Times New Roman" w:eastAsia="宋体" w:cs="Times New Roman"/>
          <w:b w:val="0"/>
          <w:bCs w:val="0"/>
          <w:snapToGrid w:val="0"/>
          <w:kern w:val="21"/>
          <w:sz w:val="24"/>
          <w:szCs w:val="24"/>
          <w:highlight w:val="none"/>
          <w:u w:val="none"/>
        </w:rPr>
        <w:t>）预测结果</w:t>
      </w:r>
    </w:p>
    <w:p w14:paraId="43B97425">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bookmarkStart w:id="595" w:name="_Toc1751"/>
      <w:bookmarkStart w:id="596" w:name="_Toc7677"/>
      <w:bookmarkStart w:id="597" w:name="_Toc16913"/>
      <w:bookmarkStart w:id="598" w:name="_Toc29640"/>
      <w:r>
        <w:rPr>
          <w:rFonts w:hint="default" w:ascii="Times New Roman" w:hAnsi="Times New Roman" w:eastAsia="宋体" w:cs="Times New Roman"/>
          <w:b w:val="0"/>
          <w:bCs w:val="0"/>
          <w:snapToGrid w:val="0"/>
          <w:kern w:val="21"/>
          <w:sz w:val="24"/>
          <w:szCs w:val="24"/>
          <w:highlight w:val="none"/>
          <w:u w:val="none"/>
        </w:rPr>
        <w:t>1）污染物迁移情况随时间变化特征</w:t>
      </w:r>
      <w:bookmarkEnd w:id="595"/>
      <w:bookmarkEnd w:id="596"/>
      <w:bookmarkEnd w:id="597"/>
      <w:bookmarkEnd w:id="598"/>
    </w:p>
    <w:p w14:paraId="767C35C0">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rPr>
          <w:rFonts w:hint="default" w:ascii="Times New Roman" w:hAnsi="Times New Roman" w:eastAsia="宋体" w:cs="Times New Roman"/>
          <w:b w:val="0"/>
          <w:bCs w:val="0"/>
          <w:snapToGrid w:val="0"/>
          <w:kern w:val="21"/>
          <w:sz w:val="24"/>
          <w:szCs w:val="24"/>
          <w:highlight w:val="none"/>
          <w:u w:val="none"/>
        </w:rPr>
        <w:t>根据观测孔线图可以看到</w:t>
      </w:r>
      <w:r>
        <w:rPr>
          <w:rFonts w:hint="eastAsia" w:cs="Times New Roman"/>
          <w:b w:val="0"/>
          <w:bCs w:val="0"/>
          <w:snapToGrid w:val="0"/>
          <w:kern w:val="21"/>
          <w:sz w:val="24"/>
          <w:szCs w:val="24"/>
          <w:highlight w:val="none"/>
          <w:u w:val="none"/>
          <w:lang w:val="en-US" w:eastAsia="zh-CN"/>
        </w:rPr>
        <w:t>在</w:t>
      </w:r>
      <w:r>
        <w:rPr>
          <w:rFonts w:hint="default" w:ascii="Times New Roman" w:hAnsi="Times New Roman" w:eastAsia="宋体" w:cs="Times New Roman"/>
          <w:b w:val="0"/>
          <w:bCs w:val="0"/>
          <w:snapToGrid w:val="0"/>
          <w:kern w:val="21"/>
          <w:sz w:val="24"/>
          <w:szCs w:val="24"/>
          <w:highlight w:val="none"/>
          <w:u w:val="none"/>
        </w:rPr>
        <w:t>模拟时间段内溶质浓度随时间的变化情况。根据一维非饱和溶质运移模型的原理，本次评价用Hydrus-1D模型进行预测。预测结果如下：</w:t>
      </w:r>
    </w:p>
    <w:p w14:paraId="0CC29BF4">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r>
        <w:drawing>
          <wp:anchor distT="0" distB="0" distL="114300" distR="114300" simplePos="0" relativeHeight="251699200" behindDoc="0" locked="0" layoutInCell="1" allowOverlap="1">
            <wp:simplePos x="0" y="0"/>
            <wp:positionH relativeFrom="column">
              <wp:posOffset>701040</wp:posOffset>
            </wp:positionH>
            <wp:positionV relativeFrom="paragraph">
              <wp:posOffset>32385</wp:posOffset>
            </wp:positionV>
            <wp:extent cx="3812540" cy="3023870"/>
            <wp:effectExtent l="0" t="0" r="16510" b="5080"/>
            <wp:wrapNone/>
            <wp:docPr id="1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9"/>
                    <pic:cNvPicPr>
                      <a:picLocks noChangeAspect="1"/>
                    </pic:cNvPicPr>
                  </pic:nvPicPr>
                  <pic:blipFill>
                    <a:blip r:embed="rId52"/>
                    <a:stretch>
                      <a:fillRect/>
                    </a:stretch>
                  </pic:blipFill>
                  <pic:spPr>
                    <a:xfrm>
                      <a:off x="0" y="0"/>
                      <a:ext cx="3812540" cy="3023870"/>
                    </a:xfrm>
                    <a:prstGeom prst="rect">
                      <a:avLst/>
                    </a:prstGeom>
                    <a:noFill/>
                    <a:ln>
                      <a:noFill/>
                    </a:ln>
                  </pic:spPr>
                </pic:pic>
              </a:graphicData>
            </a:graphic>
          </wp:anchor>
        </w:drawing>
      </w:r>
    </w:p>
    <w:p w14:paraId="035C17A7">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451E16B5">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07F020E5">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063C11B6">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403EE5D0">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2D24BAA7">
      <w:pPr>
        <w:keepNext w:val="0"/>
        <w:keepLines w:val="0"/>
        <w:pageBreakBefore w:val="0"/>
        <w:widowControl/>
        <w:tabs>
          <w:tab w:val="left" w:pos="360"/>
          <w:tab w:val="left" w:pos="1200"/>
          <w:tab w:val="left" w:pos="1680"/>
        </w:tabs>
        <w:kinsoku/>
        <w:wordWrap/>
        <w:overflowPunct/>
        <w:topLinePunct/>
        <w:autoSpaceDE/>
        <w:autoSpaceDN/>
        <w:bidi w:val="0"/>
        <w:adjustRightInd w:val="0"/>
        <w:snapToGrid w:val="0"/>
        <w:ind w:left="0" w:firstLine="480" w:firstLineChars="200"/>
        <w:textAlignment w:val="auto"/>
        <w:outlineLvl w:val="9"/>
        <w:rPr>
          <w:rFonts w:hint="default" w:ascii="Times New Roman" w:hAnsi="Times New Roman" w:eastAsia="宋体" w:cs="Times New Roman"/>
          <w:b w:val="0"/>
          <w:bCs w:val="0"/>
          <w:snapToGrid w:val="0"/>
          <w:kern w:val="21"/>
          <w:sz w:val="24"/>
          <w:szCs w:val="24"/>
          <w:highlight w:val="none"/>
          <w:u w:val="none"/>
        </w:rPr>
      </w:pPr>
    </w:p>
    <w:p w14:paraId="202B6D4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p>
    <w:p w14:paraId="0318884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p>
    <w:p w14:paraId="692F915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hint="eastAsia" w:ascii="Times New Roman" w:hAnsi="Times New Roman"/>
        </w:rPr>
        <w:t>图5</w:t>
      </w:r>
      <w:r>
        <w:rPr>
          <w:rFonts w:hint="eastAsia"/>
          <w:lang w:val="en-US" w:eastAsia="zh-CN"/>
        </w:rPr>
        <w:t>.7</w:t>
      </w:r>
      <w:r>
        <w:rPr>
          <w:rFonts w:hint="eastAsia" w:ascii="Times New Roman" w:hAnsi="Times New Roman"/>
        </w:rPr>
        <w:t>-</w:t>
      </w:r>
      <w:r>
        <w:rPr>
          <w:rFonts w:hint="eastAsia"/>
          <w:lang w:val="en-US" w:eastAsia="zh-CN"/>
        </w:rPr>
        <w:t>2</w:t>
      </w:r>
      <w:r>
        <w:rPr>
          <w:rFonts w:hint="eastAsia" w:ascii="Times New Roman" w:hAnsi="Times New Roman"/>
        </w:rPr>
        <w:t xml:space="preserve">  本项目土壤总镍的预测结果图</w:t>
      </w:r>
    </w:p>
    <w:p w14:paraId="76CF420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drawing>
          <wp:anchor distT="0" distB="0" distL="114300" distR="114300" simplePos="0" relativeHeight="251700224" behindDoc="0" locked="0" layoutInCell="1" allowOverlap="1">
            <wp:simplePos x="0" y="0"/>
            <wp:positionH relativeFrom="column">
              <wp:posOffset>663575</wp:posOffset>
            </wp:positionH>
            <wp:positionV relativeFrom="paragraph">
              <wp:posOffset>51435</wp:posOffset>
            </wp:positionV>
            <wp:extent cx="4069715" cy="3268345"/>
            <wp:effectExtent l="0" t="0" r="6985" b="8255"/>
            <wp:wrapNone/>
            <wp:docPr id="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pic:cNvPicPr>
                      <a:picLocks noChangeAspect="1"/>
                    </pic:cNvPicPr>
                  </pic:nvPicPr>
                  <pic:blipFill>
                    <a:blip r:embed="rId53"/>
                    <a:stretch>
                      <a:fillRect/>
                    </a:stretch>
                  </pic:blipFill>
                  <pic:spPr>
                    <a:xfrm>
                      <a:off x="0" y="0"/>
                      <a:ext cx="4069715" cy="3268345"/>
                    </a:xfrm>
                    <a:prstGeom prst="rect">
                      <a:avLst/>
                    </a:prstGeom>
                    <a:noFill/>
                    <a:ln>
                      <a:noFill/>
                    </a:ln>
                  </pic:spPr>
                </pic:pic>
              </a:graphicData>
            </a:graphic>
          </wp:anchor>
        </w:drawing>
      </w:r>
    </w:p>
    <w:p w14:paraId="596CE6B4">
      <w:pPr>
        <w:rPr>
          <w:rFonts w:ascii="Times New Roman" w:hAnsi="Times New Roman"/>
        </w:rPr>
      </w:pPr>
    </w:p>
    <w:p w14:paraId="387302DC">
      <w:pPr>
        <w:rPr>
          <w:rFonts w:ascii="Times New Roman" w:hAnsi="Times New Roman"/>
        </w:rPr>
      </w:pPr>
    </w:p>
    <w:p w14:paraId="47C45F2B">
      <w:pPr>
        <w:rPr>
          <w:rFonts w:ascii="Times New Roman" w:hAnsi="Times New Roman"/>
        </w:rPr>
      </w:pPr>
    </w:p>
    <w:p w14:paraId="49FE9A5E">
      <w:pPr>
        <w:rPr>
          <w:rFonts w:ascii="Times New Roman" w:hAnsi="Times New Roman"/>
        </w:rPr>
      </w:pPr>
    </w:p>
    <w:p w14:paraId="699C4EAB">
      <w:pPr>
        <w:rPr>
          <w:rFonts w:ascii="Times New Roman" w:hAnsi="Times New Roman"/>
        </w:rPr>
      </w:pPr>
    </w:p>
    <w:p w14:paraId="66E6FBD0">
      <w:pPr>
        <w:rPr>
          <w:rFonts w:ascii="Times New Roman" w:hAnsi="Times New Roman"/>
        </w:rPr>
      </w:pPr>
    </w:p>
    <w:p w14:paraId="49B7AD0C">
      <w:pPr>
        <w:rPr>
          <w:rFonts w:ascii="Times New Roman" w:hAnsi="Times New Roman"/>
        </w:rPr>
      </w:pPr>
    </w:p>
    <w:p w14:paraId="72CB8526">
      <w:pPr>
        <w:rPr>
          <w:rFonts w:ascii="Times New Roman" w:hAnsi="Times New Roman"/>
        </w:rPr>
      </w:pPr>
    </w:p>
    <w:p w14:paraId="644E967F">
      <w:pPr>
        <w:rPr>
          <w:rFonts w:ascii="Times New Roman" w:hAnsi="Times New Roman"/>
        </w:rPr>
      </w:pPr>
    </w:p>
    <w:p w14:paraId="6B9894A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ascii="Times New Roman" w:hAnsi="Times New Roman"/>
        </w:rPr>
      </w:pPr>
      <w:r>
        <w:rPr>
          <w:rFonts w:hint="eastAsia" w:ascii="Times New Roman" w:hAnsi="Times New Roman"/>
        </w:rPr>
        <w:t>图5</w:t>
      </w:r>
      <w:r>
        <w:rPr>
          <w:rFonts w:hint="eastAsia"/>
          <w:lang w:val="en-US" w:eastAsia="zh-CN"/>
        </w:rPr>
        <w:t>.7</w:t>
      </w:r>
      <w:r>
        <w:rPr>
          <w:rFonts w:hint="eastAsia" w:ascii="Times New Roman" w:hAnsi="Times New Roman"/>
          <w:lang w:val="en-US" w:eastAsia="zh-CN"/>
        </w:rPr>
        <w:t>-</w:t>
      </w:r>
      <w:r>
        <w:rPr>
          <w:rFonts w:hint="eastAsia"/>
          <w:lang w:val="en-US" w:eastAsia="zh-CN"/>
        </w:rPr>
        <w:t>3</w:t>
      </w:r>
      <w:r>
        <w:rPr>
          <w:rFonts w:hint="eastAsia" w:ascii="Times New Roman" w:hAnsi="Times New Roman"/>
        </w:rPr>
        <w:t xml:space="preserve">  本项目土壤总</w:t>
      </w:r>
      <w:r>
        <w:rPr>
          <w:rFonts w:hint="eastAsia"/>
          <w:lang w:val="en-US" w:eastAsia="zh-CN"/>
        </w:rPr>
        <w:t>铬</w:t>
      </w:r>
      <w:r>
        <w:rPr>
          <w:rFonts w:hint="eastAsia" w:ascii="Times New Roman" w:hAnsi="Times New Roman"/>
        </w:rPr>
        <w:t>的预测结果图</w:t>
      </w:r>
    </w:p>
    <w:p w14:paraId="296C2B82">
      <w:pPr>
        <w:ind w:left="0" w:leftChars="0" w:firstLine="480" w:firstLineChars="200"/>
        <w:rPr>
          <w:rFonts w:hint="eastAsia"/>
          <w:szCs w:val="24"/>
        </w:rPr>
      </w:pPr>
      <w:r>
        <w:rPr>
          <w:rFonts w:hint="eastAsia"/>
          <w:szCs w:val="24"/>
        </w:rPr>
        <w:t>2）预测总结论</w:t>
      </w:r>
    </w:p>
    <w:p w14:paraId="05A524FD">
      <w:pPr>
        <w:ind w:left="0" w:leftChars="0" w:firstLine="480" w:firstLineChars="200"/>
        <w:rPr>
          <w:rFonts w:hint="eastAsia"/>
          <w:szCs w:val="24"/>
        </w:rPr>
      </w:pPr>
      <w:r>
        <w:rPr>
          <w:rFonts w:hint="eastAsia"/>
          <w:color w:val="000000" w:themeColor="text1"/>
          <w:szCs w:val="24"/>
          <w14:textFill>
            <w14:solidFill>
              <w14:schemeClr w14:val="tx1"/>
            </w14:solidFill>
          </w14:textFill>
        </w:rPr>
        <w:t>由</w:t>
      </w:r>
      <w:r>
        <w:rPr>
          <w:rFonts w:hint="eastAsia"/>
          <w:color w:val="000000" w:themeColor="text1"/>
          <w:szCs w:val="24"/>
          <w:lang w:val="en-US" w:eastAsia="zh-CN"/>
          <w14:textFill>
            <w14:solidFill>
              <w14:schemeClr w14:val="tx1"/>
            </w14:solidFill>
          </w14:textFill>
        </w:rPr>
        <w:t>图5-3和5-4</w:t>
      </w:r>
      <w:r>
        <w:rPr>
          <w:rFonts w:hint="eastAsia"/>
          <w:color w:val="000000" w:themeColor="text1"/>
          <w:szCs w:val="24"/>
          <w14:textFill>
            <w14:solidFill>
              <w14:schemeClr w14:val="tx1"/>
            </w14:solidFill>
          </w14:textFill>
        </w:rPr>
        <w:t>可知，本项目镍</w:t>
      </w:r>
      <w:r>
        <w:rPr>
          <w:rFonts w:hint="eastAsia"/>
          <w:color w:val="000000" w:themeColor="text1"/>
          <w:szCs w:val="24"/>
          <w:lang w:val="en-US" w:eastAsia="zh-CN"/>
          <w14:textFill>
            <w14:solidFill>
              <w14:schemeClr w14:val="tx1"/>
            </w14:solidFill>
          </w14:textFill>
        </w:rPr>
        <w:t>垂直入渗的最大影响深度在0.25m左右，铬的垂直入渗最大影响深度在0.2m左右。</w:t>
      </w:r>
      <w:r>
        <w:rPr>
          <w:rFonts w:hint="eastAsia"/>
          <w:szCs w:val="24"/>
        </w:rPr>
        <w:t>综上所述，正常工况下企业经采取源头控制、过程防控及土壤污染跟踪监测等措施，项目运营期对土壤环境影响较小</w:t>
      </w:r>
      <w:r>
        <w:rPr>
          <w:rFonts w:hint="eastAsia"/>
          <w:szCs w:val="24"/>
          <w:lang w:eastAsia="zh-CN"/>
        </w:rPr>
        <w:t>。</w:t>
      </w:r>
      <w:r>
        <w:rPr>
          <w:rFonts w:hint="eastAsia"/>
          <w:szCs w:val="24"/>
        </w:rPr>
        <w:t>非正常工况下污染物因防渗层破裂垂直入渗</w:t>
      </w:r>
      <w:r>
        <w:rPr>
          <w:rFonts w:hint="eastAsia"/>
          <w:szCs w:val="24"/>
          <w:lang w:val="en-US" w:eastAsia="zh-CN"/>
        </w:rPr>
        <w:t>最大影响深度在0.2m左右，</w:t>
      </w:r>
      <w:r>
        <w:rPr>
          <w:rFonts w:hint="eastAsia"/>
          <w:szCs w:val="24"/>
        </w:rPr>
        <w:t>会对浅层土造成污染，但影响有限。</w:t>
      </w:r>
    </w:p>
    <w:p w14:paraId="5802DAD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5.7.3土壤污染防治措施及对策</w:t>
      </w:r>
    </w:p>
    <w:p w14:paraId="18B0AB15">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（1）源头控制</w:t>
      </w:r>
    </w:p>
    <w:p w14:paraId="20D68E50">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源头控制主要包括工艺、管道（明管、架空铺设）、罐区、污水处理站等采取相应的防渗、防腐措施，防止和降低污染物跑、冒、滴、漏，将污染物泄漏的环境风险事故降到最低程度。</w:t>
      </w:r>
    </w:p>
    <w:p w14:paraId="3D0A682E">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（2）过程防控措施</w:t>
      </w:r>
    </w:p>
    <w:p w14:paraId="51F44EC1">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过程防控措施主要包括阻断、污染物削减和分区防控措施，具体措施如下：</w:t>
      </w:r>
    </w:p>
    <w:p w14:paraId="3F0DE941">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①项目占地范围内应采取绿化措施，以种植具有较强吸附能力的植物为主，以减少污染物通过大气沉降方式对土壤造成影响。</w:t>
      </w:r>
    </w:p>
    <w:p w14:paraId="62AAE9C2">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②项目厂内原料输送管线、废水输送管线架空铺设，评价要求涉污管线均应设置在厂房中间的过道内，厂房中间过道的地面按要求进行防渗，防止因废水管道破裂导致污染物通过垂直入渗方式对土壤环境造成污染。</w:t>
      </w:r>
    </w:p>
    <w:p w14:paraId="570D7E4E">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③按照《环境影响评价技术导则 地下水环境》（HJ610-2016）和《危险废物贮存污染控制标准》（GB18597-20</w:t>
      </w:r>
      <w:r>
        <w:rPr>
          <w:rFonts w:hint="default" w:ascii="Times New Roman" w:hAnsi="Times New Roman" w:cs="Times New Roman"/>
          <w:b w:val="0"/>
          <w:bCs w:val="0"/>
          <w:highlight w:val="none"/>
          <w:u w:val="none"/>
          <w:lang w:val="en-US" w:eastAsia="zh-CN"/>
        </w:rPr>
        <w:t>23</w:t>
      </w:r>
      <w:r>
        <w:rPr>
          <w:rFonts w:hint="default" w:ascii="Times New Roman" w:hAnsi="Times New Roman" w:cs="Times New Roman"/>
          <w:b w:val="0"/>
          <w:bCs w:val="0"/>
          <w:highlight w:val="none"/>
          <w:u w:val="none"/>
        </w:rPr>
        <w:t>）要求采取防渗措施。遵循分区防渗原则，对厂区内污水处理站、化学品储罐区、生产车间地面、厂房中间过道等主要污染区采取重点防渗措施，防止和降低污染物跑、冒、滴、漏后通过下渗造成土壤环境污染。</w:t>
      </w:r>
    </w:p>
    <w:p w14:paraId="644A08B9">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（3）跟踪监测</w:t>
      </w:r>
    </w:p>
    <w:p w14:paraId="75C2C592">
      <w:pPr>
        <w:ind w:firstLine="480"/>
        <w:rPr>
          <w:rFonts w:hint="default" w:ascii="Times New Roman" w:hAnsi="Times New Roman" w:cs="Times New Roman"/>
          <w:b w:val="0"/>
          <w:bCs w:val="0"/>
          <w:highlight w:val="none"/>
          <w:u w:val="none"/>
        </w:rPr>
      </w:pPr>
      <w:r>
        <w:rPr>
          <w:rFonts w:hint="default" w:ascii="Times New Roman" w:hAnsi="Times New Roman" w:cs="Times New Roman"/>
          <w:b w:val="0"/>
          <w:bCs w:val="0"/>
          <w:highlight w:val="none"/>
          <w:u w:val="none"/>
        </w:rPr>
        <w:t>建立土壤污染跟踪监测制度和环境管理体系，制定监测计划，以便及时发现问题，采取措施。土壤跟踪监测计划见下表。</w:t>
      </w:r>
    </w:p>
    <w:p w14:paraId="5A3C97F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5.7-11</w:t>
      </w:r>
      <w:r>
        <w:rPr>
          <w:rFonts w:hint="eastAsia" w:ascii="Times New Roman" w:hAnsi="Times New Roman"/>
        </w:rPr>
        <w:t xml:space="preserve">     土壤跟踪监测计划一览表</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538"/>
        <w:gridCol w:w="1332"/>
        <w:gridCol w:w="1137"/>
        <w:gridCol w:w="994"/>
        <w:gridCol w:w="2704"/>
        <w:gridCol w:w="1664"/>
      </w:tblGrid>
      <w:tr w14:paraId="6B3CA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538" w:type="dxa"/>
            <w:tcBorders>
              <w:top w:val="single" w:color="000000" w:sz="8" w:space="0"/>
              <w:left w:val="single" w:color="000000" w:sz="8" w:space="0"/>
              <w:bottom w:val="single" w:color="000000" w:sz="4" w:space="0"/>
              <w:right w:val="single" w:color="000000" w:sz="4" w:space="0"/>
            </w:tcBorders>
            <w:noWrap w:val="0"/>
            <w:vAlign w:val="center"/>
          </w:tcPr>
          <w:p w14:paraId="1B8D9E4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项目</w:t>
            </w:r>
          </w:p>
        </w:tc>
        <w:tc>
          <w:tcPr>
            <w:tcW w:w="1332" w:type="dxa"/>
            <w:tcBorders>
              <w:top w:val="single" w:color="000000" w:sz="8" w:space="0"/>
              <w:left w:val="single" w:color="000000" w:sz="4" w:space="0"/>
              <w:bottom w:val="single" w:color="000000" w:sz="4" w:space="0"/>
              <w:right w:val="single" w:color="000000" w:sz="4" w:space="0"/>
            </w:tcBorders>
            <w:noWrap w:val="0"/>
            <w:vAlign w:val="center"/>
          </w:tcPr>
          <w:p w14:paraId="154F784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监测点位</w:t>
            </w:r>
          </w:p>
        </w:tc>
        <w:tc>
          <w:tcPr>
            <w:tcW w:w="1136" w:type="dxa"/>
            <w:tcBorders>
              <w:top w:val="single" w:color="000000" w:sz="8" w:space="0"/>
              <w:left w:val="single" w:color="000000" w:sz="4" w:space="0"/>
              <w:bottom w:val="single" w:color="000000" w:sz="4" w:space="0"/>
              <w:right w:val="single" w:color="000000" w:sz="4" w:space="0"/>
            </w:tcBorders>
            <w:noWrap w:val="0"/>
            <w:vAlign w:val="center"/>
          </w:tcPr>
          <w:p w14:paraId="261820D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监测因子</w:t>
            </w:r>
          </w:p>
        </w:tc>
        <w:tc>
          <w:tcPr>
            <w:tcW w:w="994" w:type="dxa"/>
            <w:tcBorders>
              <w:top w:val="single" w:color="000000" w:sz="8" w:space="0"/>
              <w:left w:val="single" w:color="000000" w:sz="4" w:space="0"/>
              <w:bottom w:val="single" w:color="000000" w:sz="4" w:space="0"/>
              <w:right w:val="single" w:color="000000" w:sz="4" w:space="0"/>
            </w:tcBorders>
            <w:noWrap w:val="0"/>
            <w:vAlign w:val="center"/>
          </w:tcPr>
          <w:p w14:paraId="4805A3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监测频率</w:t>
            </w:r>
          </w:p>
        </w:tc>
        <w:tc>
          <w:tcPr>
            <w:tcW w:w="2703" w:type="dxa"/>
            <w:tcBorders>
              <w:top w:val="single" w:color="000000" w:sz="8" w:space="0"/>
              <w:left w:val="single" w:color="000000" w:sz="4" w:space="0"/>
              <w:bottom w:val="single" w:color="000000" w:sz="4" w:space="0"/>
              <w:right w:val="single" w:color="000000" w:sz="4" w:space="0"/>
            </w:tcBorders>
            <w:noWrap w:val="0"/>
            <w:vAlign w:val="center"/>
          </w:tcPr>
          <w:p w14:paraId="2A99C7E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执行标准</w:t>
            </w:r>
          </w:p>
        </w:tc>
        <w:tc>
          <w:tcPr>
            <w:tcW w:w="1663" w:type="dxa"/>
            <w:tcBorders>
              <w:top w:val="single" w:color="000000" w:sz="8" w:space="0"/>
              <w:left w:val="single" w:color="000000" w:sz="4" w:space="0"/>
              <w:bottom w:val="single" w:color="000000" w:sz="4" w:space="0"/>
              <w:right w:val="single" w:color="000000" w:sz="8" w:space="0"/>
            </w:tcBorders>
            <w:noWrap w:val="0"/>
            <w:vAlign w:val="center"/>
          </w:tcPr>
          <w:p w14:paraId="261F3BB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0"/>
                <w:kern w:val="21"/>
                <w:sz w:val="21"/>
                <w:szCs w:val="24"/>
                <w:u w:val="none"/>
              </w:rPr>
            </w:pPr>
            <w:r>
              <w:rPr>
                <w:rFonts w:hint="default" w:ascii="Times New Roman" w:hAnsi="Times New Roman" w:cs="Times New Roman"/>
                <w:b/>
                <w:bCs/>
                <w:spacing w:val="0"/>
                <w:kern w:val="21"/>
                <w:sz w:val="21"/>
                <w:szCs w:val="24"/>
                <w:u w:val="none"/>
              </w:rPr>
              <w:t>依据</w:t>
            </w:r>
          </w:p>
        </w:tc>
      </w:tr>
      <w:tr w14:paraId="0ECF2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538" w:type="dxa"/>
            <w:tcBorders>
              <w:top w:val="single" w:color="000000" w:sz="4" w:space="0"/>
              <w:left w:val="single" w:color="000000" w:sz="8" w:space="0"/>
              <w:bottom w:val="single" w:color="000000" w:sz="8" w:space="0"/>
              <w:right w:val="single" w:color="000000" w:sz="4" w:space="0"/>
            </w:tcBorders>
            <w:noWrap w:val="0"/>
            <w:vAlign w:val="center"/>
          </w:tcPr>
          <w:p w14:paraId="10F643CA">
            <w:pPr>
              <w:pStyle w:val="126"/>
              <w:keepNext w:val="0"/>
              <w:keepLines w:val="0"/>
              <w:pageBreakBefore w:val="0"/>
              <w:widowControl/>
              <w:kinsoku/>
              <w:wordWrap/>
              <w:overflowPunct/>
              <w:topLinePunct/>
              <w:autoSpaceDE/>
              <w:autoSpaceDN/>
              <w:bidi w:val="0"/>
              <w:adjustRightInd w:val="0"/>
              <w:snapToGrid w:val="0"/>
              <w:spacing w:before="1"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cs="Times New Roman"/>
                <w:b w:val="0"/>
                <w:bCs w:val="0"/>
                <w:spacing w:val="0"/>
                <w:kern w:val="21"/>
                <w:sz w:val="21"/>
                <w:szCs w:val="24"/>
                <w:u w:val="none"/>
              </w:rPr>
              <w:t>土壤</w:t>
            </w:r>
          </w:p>
        </w:tc>
        <w:tc>
          <w:tcPr>
            <w:tcW w:w="1332" w:type="dxa"/>
            <w:tcBorders>
              <w:top w:val="single" w:color="000000" w:sz="4" w:space="0"/>
              <w:left w:val="single" w:color="000000" w:sz="4" w:space="0"/>
              <w:bottom w:val="single" w:color="000000" w:sz="8" w:space="0"/>
              <w:right w:val="single" w:color="000000" w:sz="4" w:space="0"/>
            </w:tcBorders>
            <w:noWrap w:val="0"/>
            <w:vAlign w:val="center"/>
          </w:tcPr>
          <w:p w14:paraId="4F4FB3AF">
            <w:pPr>
              <w:pStyle w:val="126"/>
              <w:keepNext w:val="0"/>
              <w:keepLines w:val="0"/>
              <w:pageBreakBefore w:val="0"/>
              <w:widowControl/>
              <w:kinsoku/>
              <w:wordWrap/>
              <w:overflowPunct/>
              <w:topLinePunct/>
              <w:autoSpaceDE/>
              <w:autoSpaceDN/>
              <w:bidi w:val="0"/>
              <w:adjustRightInd w:val="0"/>
              <w:snapToGrid w:val="0"/>
              <w:spacing w:before="19"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cs="Times New Roman"/>
                <w:b w:val="0"/>
                <w:bCs w:val="0"/>
                <w:spacing w:val="0"/>
                <w:kern w:val="21"/>
                <w:sz w:val="21"/>
                <w:szCs w:val="24"/>
                <w:u w:val="none"/>
              </w:rPr>
              <w:t>厂区内污水处理站</w:t>
            </w:r>
          </w:p>
        </w:tc>
        <w:tc>
          <w:tcPr>
            <w:tcW w:w="1136" w:type="dxa"/>
            <w:tcBorders>
              <w:top w:val="single" w:color="000000" w:sz="4" w:space="0"/>
              <w:left w:val="single" w:color="000000" w:sz="4" w:space="0"/>
              <w:bottom w:val="single" w:color="000000" w:sz="8" w:space="0"/>
              <w:right w:val="single" w:color="000000" w:sz="4" w:space="0"/>
            </w:tcBorders>
            <w:noWrap w:val="0"/>
            <w:vAlign w:val="center"/>
          </w:tcPr>
          <w:p w14:paraId="234BF528">
            <w:pPr>
              <w:pStyle w:val="126"/>
              <w:keepNext w:val="0"/>
              <w:keepLines w:val="0"/>
              <w:pageBreakBefore w:val="0"/>
              <w:widowControl/>
              <w:kinsoku/>
              <w:wordWrap/>
              <w:overflowPunct/>
              <w:topLinePunct/>
              <w:autoSpaceDE/>
              <w:autoSpaceDN/>
              <w:bidi w:val="0"/>
              <w:adjustRightInd w:val="0"/>
              <w:snapToGrid w:val="0"/>
              <w:spacing w:before="19"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eastAsia="Times New Roman" w:cs="Times New Roman"/>
                <w:b w:val="0"/>
                <w:bCs w:val="0"/>
                <w:spacing w:val="0"/>
                <w:kern w:val="21"/>
                <w:sz w:val="21"/>
                <w:szCs w:val="24"/>
                <w:u w:val="none"/>
              </w:rPr>
              <w:t>pH</w:t>
            </w:r>
            <w:r>
              <w:rPr>
                <w:rFonts w:hint="default" w:ascii="Times New Roman" w:hAnsi="Times New Roman" w:cs="Times New Roman"/>
                <w:b w:val="0"/>
                <w:bCs w:val="0"/>
                <w:spacing w:val="0"/>
                <w:kern w:val="21"/>
                <w:sz w:val="21"/>
                <w:szCs w:val="24"/>
                <w:u w:val="none"/>
              </w:rPr>
              <w:t>、镍、铬、</w:t>
            </w:r>
          </w:p>
        </w:tc>
        <w:tc>
          <w:tcPr>
            <w:tcW w:w="994" w:type="dxa"/>
            <w:tcBorders>
              <w:top w:val="single" w:color="000000" w:sz="4" w:space="0"/>
              <w:left w:val="single" w:color="000000" w:sz="4" w:space="0"/>
              <w:bottom w:val="single" w:color="000000" w:sz="8" w:space="0"/>
              <w:right w:val="single" w:color="000000" w:sz="4" w:space="0"/>
            </w:tcBorders>
            <w:noWrap w:val="0"/>
            <w:vAlign w:val="center"/>
          </w:tcPr>
          <w:p w14:paraId="495583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eastAsia="Times New Roman" w:cs="Times New Roman"/>
                <w:b w:val="0"/>
                <w:bCs w:val="0"/>
                <w:spacing w:val="0"/>
                <w:kern w:val="21"/>
                <w:sz w:val="21"/>
                <w:szCs w:val="24"/>
                <w:u w:val="none"/>
              </w:rPr>
              <w:t>1</w:t>
            </w:r>
            <w:r>
              <w:rPr>
                <w:rFonts w:hint="default" w:ascii="Times New Roman" w:hAnsi="Times New Roman" w:cs="Times New Roman"/>
                <w:b w:val="0"/>
                <w:bCs w:val="0"/>
                <w:spacing w:val="0"/>
                <w:kern w:val="21"/>
                <w:sz w:val="21"/>
                <w:szCs w:val="24"/>
                <w:u w:val="none"/>
              </w:rPr>
              <w:t>次</w:t>
            </w:r>
            <w:r>
              <w:rPr>
                <w:rFonts w:hint="default" w:ascii="Times New Roman" w:hAnsi="Times New Roman" w:eastAsia="Times New Roman" w:cs="Times New Roman"/>
                <w:b w:val="0"/>
                <w:bCs w:val="0"/>
                <w:spacing w:val="0"/>
                <w:kern w:val="21"/>
                <w:sz w:val="21"/>
                <w:szCs w:val="24"/>
                <w:u w:val="none"/>
              </w:rPr>
              <w:t>/1</w:t>
            </w:r>
            <w:r>
              <w:rPr>
                <w:rFonts w:hint="default" w:ascii="Times New Roman" w:hAnsi="Times New Roman" w:cs="Times New Roman"/>
                <w:b w:val="0"/>
                <w:bCs w:val="0"/>
                <w:spacing w:val="0"/>
                <w:kern w:val="21"/>
                <w:sz w:val="21"/>
                <w:szCs w:val="24"/>
                <w:u w:val="none"/>
              </w:rPr>
              <w:t>年</w:t>
            </w:r>
          </w:p>
        </w:tc>
        <w:tc>
          <w:tcPr>
            <w:tcW w:w="2703" w:type="dxa"/>
            <w:tcBorders>
              <w:top w:val="single" w:color="000000" w:sz="4" w:space="0"/>
              <w:left w:val="single" w:color="000000" w:sz="4" w:space="0"/>
              <w:bottom w:val="single" w:color="000000" w:sz="8" w:space="0"/>
              <w:right w:val="single" w:color="000000" w:sz="4" w:space="0"/>
            </w:tcBorders>
            <w:noWrap w:val="0"/>
            <w:vAlign w:val="center"/>
          </w:tcPr>
          <w:p w14:paraId="771B7051">
            <w:pPr>
              <w:pStyle w:val="126"/>
              <w:keepNext w:val="0"/>
              <w:keepLines w:val="0"/>
              <w:pageBreakBefore w:val="0"/>
              <w:widowControl/>
              <w:kinsoku/>
              <w:wordWrap/>
              <w:overflowPunct/>
              <w:topLinePunct/>
              <w:autoSpaceDE/>
              <w:autoSpaceDN/>
              <w:bidi w:val="0"/>
              <w:adjustRightInd w:val="0"/>
              <w:snapToGrid w:val="0"/>
              <w:spacing w:before="1"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cs="Times New Roman"/>
                <w:b w:val="0"/>
                <w:bCs w:val="0"/>
                <w:spacing w:val="0"/>
                <w:kern w:val="21"/>
                <w:sz w:val="21"/>
                <w:szCs w:val="24"/>
                <w:u w:val="none"/>
              </w:rPr>
              <w:t>《土壤环境质量标准 建设用地土壤污染风险管控标准（试行）》（</w:t>
            </w:r>
            <w:r>
              <w:rPr>
                <w:rFonts w:hint="default" w:ascii="Times New Roman" w:hAnsi="Times New Roman" w:eastAsia="Times New Roman" w:cs="Times New Roman"/>
                <w:b w:val="0"/>
                <w:bCs w:val="0"/>
                <w:spacing w:val="0"/>
                <w:kern w:val="21"/>
                <w:sz w:val="21"/>
                <w:szCs w:val="24"/>
                <w:u w:val="none"/>
              </w:rPr>
              <w:t>GB36600-2018</w:t>
            </w:r>
            <w:r>
              <w:rPr>
                <w:rFonts w:hint="default" w:ascii="Times New Roman" w:hAnsi="Times New Roman" w:cs="Times New Roman"/>
                <w:b w:val="0"/>
                <w:bCs w:val="0"/>
                <w:spacing w:val="0"/>
                <w:kern w:val="21"/>
                <w:sz w:val="21"/>
                <w:szCs w:val="24"/>
                <w:u w:val="none"/>
              </w:rPr>
              <w:t>）中第二类用地筛选值</w:t>
            </w:r>
          </w:p>
        </w:tc>
        <w:tc>
          <w:tcPr>
            <w:tcW w:w="1663" w:type="dxa"/>
            <w:tcBorders>
              <w:top w:val="single" w:color="000000" w:sz="4" w:space="0"/>
              <w:left w:val="single" w:color="000000" w:sz="4" w:space="0"/>
              <w:bottom w:val="single" w:color="000000" w:sz="8" w:space="0"/>
              <w:right w:val="single" w:color="000000" w:sz="8" w:space="0"/>
            </w:tcBorders>
            <w:noWrap w:val="0"/>
            <w:vAlign w:val="center"/>
          </w:tcPr>
          <w:p w14:paraId="4357B519">
            <w:pPr>
              <w:pStyle w:val="126"/>
              <w:keepNext w:val="0"/>
              <w:keepLines w:val="0"/>
              <w:pageBreakBefore w:val="0"/>
              <w:widowControl/>
              <w:kinsoku/>
              <w:wordWrap/>
              <w:overflowPunct/>
              <w:topLinePunct/>
              <w:autoSpaceDE/>
              <w:autoSpaceDN/>
              <w:bidi w:val="0"/>
              <w:adjustRightInd w:val="0"/>
              <w:snapToGrid w:val="0"/>
              <w:spacing w:before="1" w:beforeLines="0" w:afterLines="0" w:line="240" w:lineRule="auto"/>
              <w:ind w:left="0" w:right="0" w:firstLine="0" w:firstLineChars="0"/>
              <w:jc w:val="center"/>
              <w:textAlignment w:val="auto"/>
              <w:rPr>
                <w:rFonts w:hint="default" w:ascii="Times New Roman" w:hAnsi="Times New Roman" w:cs="Times New Roman"/>
                <w:b w:val="0"/>
                <w:bCs w:val="0"/>
                <w:spacing w:val="0"/>
                <w:kern w:val="21"/>
                <w:sz w:val="21"/>
                <w:szCs w:val="24"/>
                <w:u w:val="none"/>
              </w:rPr>
            </w:pPr>
            <w:r>
              <w:rPr>
                <w:rFonts w:hint="default" w:ascii="Times New Roman" w:hAnsi="Times New Roman" w:cs="Times New Roman"/>
                <w:b w:val="0"/>
                <w:bCs w:val="0"/>
                <w:spacing w:val="0"/>
                <w:kern w:val="21"/>
                <w:sz w:val="21"/>
                <w:szCs w:val="24"/>
                <w:u w:val="none"/>
              </w:rPr>
              <w:t xml:space="preserve">《环境影响评价技术导则 </w:t>
            </w:r>
            <w:r>
              <w:rPr>
                <w:rFonts w:hint="eastAsia" w:ascii="Times New Roman" w:hAnsi="Times New Roman" w:eastAsia="宋体" w:cs="Times New Roman"/>
                <w:b w:val="0"/>
                <w:bCs w:val="0"/>
                <w:spacing w:val="0"/>
                <w:kern w:val="21"/>
                <w:sz w:val="21"/>
                <w:szCs w:val="24"/>
                <w:u w:val="none"/>
                <w:lang w:val="en-US" w:eastAsia="zh-CN"/>
              </w:rPr>
              <w:t xml:space="preserve"> </w:t>
            </w:r>
            <w:r>
              <w:rPr>
                <w:rFonts w:hint="default" w:ascii="Times New Roman" w:hAnsi="Times New Roman" w:cs="Times New Roman"/>
                <w:b w:val="0"/>
                <w:bCs w:val="0"/>
                <w:spacing w:val="0"/>
                <w:kern w:val="21"/>
                <w:sz w:val="21"/>
                <w:szCs w:val="24"/>
                <w:u w:val="none"/>
              </w:rPr>
              <w:t>土壤环境（试行）》（</w:t>
            </w:r>
            <w:r>
              <w:rPr>
                <w:rFonts w:hint="default" w:ascii="Times New Roman" w:hAnsi="Times New Roman" w:eastAsia="Times New Roman" w:cs="Times New Roman"/>
                <w:b w:val="0"/>
                <w:bCs w:val="0"/>
                <w:spacing w:val="0"/>
                <w:kern w:val="21"/>
                <w:sz w:val="21"/>
                <w:szCs w:val="24"/>
                <w:u w:val="none"/>
              </w:rPr>
              <w:t>HJ964-2018</w:t>
            </w:r>
            <w:r>
              <w:rPr>
                <w:rFonts w:hint="default" w:ascii="Times New Roman" w:hAnsi="Times New Roman" w:cs="Times New Roman"/>
                <w:b w:val="0"/>
                <w:bCs w:val="0"/>
                <w:spacing w:val="0"/>
                <w:kern w:val="21"/>
                <w:sz w:val="21"/>
                <w:szCs w:val="24"/>
                <w:u w:val="none"/>
              </w:rPr>
              <w:t>）</w:t>
            </w:r>
          </w:p>
        </w:tc>
      </w:tr>
    </w:tbl>
    <w:p w14:paraId="0098F60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5.7.4土壤环境影响评价自查表</w:t>
      </w:r>
    </w:p>
    <w:p w14:paraId="0D6834EF">
      <w:pPr>
        <w:keepNext w:val="0"/>
        <w:keepLines w:val="0"/>
        <w:pageBreakBefore w:val="0"/>
        <w:kinsoku/>
        <w:wordWrap/>
        <w:overflowPunct/>
        <w:topLinePunct w:val="0"/>
        <w:bidi w:val="0"/>
        <w:adjustRightInd w:val="0"/>
        <w:snapToGrid w:val="0"/>
        <w:spacing w:line="500" w:lineRule="exact"/>
        <w:ind w:left="0" w:leftChars="0" w:firstLine="480" w:firstLineChars="200"/>
        <w:textAlignment w:val="auto"/>
        <w:rPr>
          <w:rFonts w:hint="default" w:ascii="Times New Roman" w:hAnsi="Times New Roman" w:eastAsia="宋体" w:cs="Times New Roman"/>
          <w:color w:val="000000"/>
          <w:spacing w:val="0"/>
          <w:w w:val="100"/>
          <w:kern w:val="21"/>
          <w:position w:val="0"/>
        </w:rPr>
      </w:pPr>
      <w:r>
        <w:rPr>
          <w:rFonts w:hint="default" w:ascii="Times New Roman" w:hAnsi="Times New Roman" w:eastAsia="宋体" w:cs="Times New Roman"/>
          <w:color w:val="000000"/>
          <w:spacing w:val="0"/>
          <w:w w:val="100"/>
          <w:kern w:val="21"/>
          <w:position w:val="0"/>
          <w:sz w:val="24"/>
          <w:szCs w:val="24"/>
        </w:rPr>
        <w:t>本项目土壤环境影响评价自查表见下表。</w:t>
      </w:r>
    </w:p>
    <w:p w14:paraId="432BF63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ascii="Times New Roman" w:hAnsi="Times New Roman"/>
        </w:rPr>
      </w:pPr>
      <w:r>
        <w:rPr>
          <w:rFonts w:ascii="Times New Roman" w:hAnsi="Times New Roman"/>
        </w:rPr>
        <w:t>表</w:t>
      </w:r>
      <w:r>
        <w:rPr>
          <w:rFonts w:hint="eastAsia"/>
          <w:lang w:val="en-US" w:eastAsia="zh-CN"/>
        </w:rPr>
        <w:t>5.7-12</w:t>
      </w:r>
      <w:r>
        <w:rPr>
          <w:rFonts w:hint="eastAsia" w:ascii="Times New Roman" w:hAnsi="Times New Roman"/>
        </w:rPr>
        <w:t xml:space="preserve">     土壤环境影响评价自查表</w:t>
      </w:r>
    </w:p>
    <w:tbl>
      <w:tblPr>
        <w:tblStyle w:val="39"/>
        <w:tblW w:w="842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332"/>
        <w:gridCol w:w="1529"/>
        <w:gridCol w:w="1244"/>
        <w:gridCol w:w="1209"/>
        <w:gridCol w:w="1726"/>
        <w:gridCol w:w="221"/>
        <w:gridCol w:w="1368"/>
        <w:gridCol w:w="798"/>
      </w:tblGrid>
      <w:tr w14:paraId="2BFB85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61" w:type="dxa"/>
            <w:gridSpan w:val="2"/>
            <w:shd w:val="clear" w:color="auto" w:fill="FFFFFF"/>
            <w:noWrap w:val="0"/>
            <w:tcMar>
              <w:top w:w="0" w:type="dxa"/>
              <w:left w:w="57" w:type="dxa"/>
              <w:bottom w:w="0" w:type="dxa"/>
              <w:right w:w="57" w:type="dxa"/>
            </w:tcMar>
            <w:vAlign w:val="center"/>
          </w:tcPr>
          <w:p w14:paraId="0DA9DEA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工作内容</w:t>
            </w:r>
          </w:p>
        </w:tc>
        <w:tc>
          <w:tcPr>
            <w:tcW w:w="5768" w:type="dxa"/>
            <w:gridSpan w:val="5"/>
            <w:shd w:val="clear" w:color="auto" w:fill="FFFFFF"/>
            <w:noWrap w:val="0"/>
            <w:tcMar>
              <w:top w:w="0" w:type="dxa"/>
              <w:left w:w="57" w:type="dxa"/>
              <w:bottom w:w="0" w:type="dxa"/>
              <w:right w:w="57" w:type="dxa"/>
            </w:tcMar>
            <w:vAlign w:val="center"/>
          </w:tcPr>
          <w:p w14:paraId="0A2AB49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完成情况</w:t>
            </w:r>
          </w:p>
        </w:tc>
        <w:tc>
          <w:tcPr>
            <w:tcW w:w="798" w:type="dxa"/>
            <w:shd w:val="clear" w:color="auto" w:fill="FFFFFF"/>
            <w:noWrap w:val="0"/>
            <w:tcMar>
              <w:top w:w="0" w:type="dxa"/>
              <w:left w:w="57" w:type="dxa"/>
              <w:bottom w:w="0" w:type="dxa"/>
              <w:right w:w="57" w:type="dxa"/>
            </w:tcMar>
            <w:vAlign w:val="center"/>
          </w:tcPr>
          <w:p w14:paraId="7C5100E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备注</w:t>
            </w:r>
          </w:p>
        </w:tc>
      </w:tr>
      <w:tr w14:paraId="280969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restart"/>
            <w:shd w:val="clear" w:color="auto" w:fill="FFFFFF"/>
            <w:noWrap w:val="0"/>
            <w:tcMar>
              <w:top w:w="0" w:type="dxa"/>
              <w:left w:w="57" w:type="dxa"/>
              <w:bottom w:w="0" w:type="dxa"/>
              <w:right w:w="57" w:type="dxa"/>
            </w:tcMar>
            <w:vAlign w:val="center"/>
          </w:tcPr>
          <w:p w14:paraId="5FD5F0B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影</w:t>
            </w:r>
          </w:p>
          <w:p w14:paraId="06C0C7A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响</w:t>
            </w:r>
          </w:p>
          <w:p w14:paraId="729D38E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识</w:t>
            </w:r>
          </w:p>
          <w:p w14:paraId="6860F2D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别</w:t>
            </w:r>
          </w:p>
        </w:tc>
        <w:tc>
          <w:tcPr>
            <w:tcW w:w="1529" w:type="dxa"/>
            <w:shd w:val="clear" w:color="auto" w:fill="FFFFFF"/>
            <w:noWrap w:val="0"/>
            <w:tcMar>
              <w:top w:w="0" w:type="dxa"/>
              <w:left w:w="57" w:type="dxa"/>
              <w:bottom w:w="0" w:type="dxa"/>
              <w:right w:w="57" w:type="dxa"/>
            </w:tcMar>
            <w:vAlign w:val="center"/>
          </w:tcPr>
          <w:p w14:paraId="30ACFF0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影响类型</w:t>
            </w:r>
          </w:p>
        </w:tc>
        <w:tc>
          <w:tcPr>
            <w:tcW w:w="5768" w:type="dxa"/>
            <w:gridSpan w:val="5"/>
            <w:shd w:val="clear" w:color="auto" w:fill="FFFFFF"/>
            <w:noWrap w:val="0"/>
            <w:tcMar>
              <w:top w:w="0" w:type="dxa"/>
              <w:left w:w="57" w:type="dxa"/>
              <w:bottom w:w="0" w:type="dxa"/>
              <w:right w:w="57" w:type="dxa"/>
            </w:tcMar>
            <w:vAlign w:val="center"/>
          </w:tcPr>
          <w:p w14:paraId="06B1187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污染影响型</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；生态影响型</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；两种兼有</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p>
        </w:tc>
        <w:tc>
          <w:tcPr>
            <w:tcW w:w="798" w:type="dxa"/>
            <w:shd w:val="clear" w:color="auto" w:fill="FFFFFF"/>
            <w:noWrap w:val="0"/>
            <w:tcMar>
              <w:top w:w="0" w:type="dxa"/>
              <w:left w:w="57" w:type="dxa"/>
              <w:bottom w:w="0" w:type="dxa"/>
              <w:right w:w="57" w:type="dxa"/>
            </w:tcMar>
            <w:vAlign w:val="center"/>
          </w:tcPr>
          <w:p w14:paraId="6E727FCC">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0F0A2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3E345DB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753717D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土地利用类型</w:t>
            </w:r>
          </w:p>
        </w:tc>
        <w:tc>
          <w:tcPr>
            <w:tcW w:w="5768" w:type="dxa"/>
            <w:gridSpan w:val="5"/>
            <w:shd w:val="clear" w:color="auto" w:fill="FFFFFF"/>
            <w:noWrap w:val="0"/>
            <w:tcMar>
              <w:top w:w="0" w:type="dxa"/>
              <w:left w:w="57" w:type="dxa"/>
              <w:bottom w:w="0" w:type="dxa"/>
              <w:right w:w="57" w:type="dxa"/>
            </w:tcMar>
            <w:vAlign w:val="center"/>
          </w:tcPr>
          <w:p w14:paraId="0DB1E0A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建设用地</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；农用地</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；未利用地</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p>
        </w:tc>
        <w:tc>
          <w:tcPr>
            <w:tcW w:w="798" w:type="dxa"/>
            <w:shd w:val="clear" w:color="auto" w:fill="FFFFFF"/>
            <w:noWrap w:val="0"/>
            <w:tcMar>
              <w:top w:w="0" w:type="dxa"/>
              <w:left w:w="57" w:type="dxa"/>
              <w:bottom w:w="0" w:type="dxa"/>
              <w:right w:w="57" w:type="dxa"/>
            </w:tcMar>
            <w:vAlign w:val="center"/>
          </w:tcPr>
          <w:p w14:paraId="1DDC371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土地利用类型图</w:t>
            </w:r>
          </w:p>
        </w:tc>
      </w:tr>
      <w:tr w14:paraId="50B3AE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3406541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0E73D5D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占地规模</w:t>
            </w:r>
          </w:p>
        </w:tc>
        <w:tc>
          <w:tcPr>
            <w:tcW w:w="5768" w:type="dxa"/>
            <w:gridSpan w:val="5"/>
            <w:shd w:val="clear" w:color="auto" w:fill="FFFFFF"/>
            <w:noWrap w:val="0"/>
            <w:tcMar>
              <w:top w:w="0" w:type="dxa"/>
              <w:left w:w="57" w:type="dxa"/>
              <w:bottom w:w="0" w:type="dxa"/>
              <w:right w:w="57" w:type="dxa"/>
            </w:tcMar>
            <w:vAlign w:val="center"/>
          </w:tcPr>
          <w:p w14:paraId="487FFC3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t>(</w:t>
            </w:r>
            <w:r>
              <w:rPr>
                <w:rFonts w:hint="eastAsia" w:cs="Times New Roman"/>
                <w:b w:val="0"/>
                <w:snapToGrid w:val="0"/>
                <w:color w:val="000000" w:themeColor="text1"/>
                <w:kern w:val="21"/>
                <w:sz w:val="24"/>
                <w:szCs w:val="24"/>
                <w:highlight w:val="none"/>
                <w:lang w:val="en-US" w:eastAsia="zh-CN"/>
                <w14:textFill>
                  <w14:solidFill>
                    <w14:schemeClr w14:val="tx1"/>
                  </w14:solidFill>
                </w14:textFill>
              </w:rPr>
              <w:t>1.72322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t>hm</w:t>
            </w:r>
            <w:r>
              <w:rPr>
                <w:rFonts w:hint="default" w:ascii="Times New Roman" w:hAnsi="Times New Roman" w:eastAsia="宋体" w:cs="Times New Roman"/>
                <w:color w:val="000000" w:themeColor="text1"/>
                <w:sz w:val="21"/>
                <w:szCs w:val="21"/>
                <w:highlight w:val="none"/>
                <w:vertAlign w:val="superscript"/>
                <w:lang w:val="en-US" w:eastAsia="en-US"/>
                <w14:textFill>
                  <w14:solidFill>
                    <w14:schemeClr w14:val="tx1"/>
                  </w14:solidFill>
                </w14:textFill>
              </w:rPr>
              <w:t>2</w:t>
            </w:r>
          </w:p>
        </w:tc>
        <w:tc>
          <w:tcPr>
            <w:tcW w:w="798" w:type="dxa"/>
            <w:shd w:val="clear" w:color="auto" w:fill="FFFFFF"/>
            <w:noWrap w:val="0"/>
            <w:tcMar>
              <w:top w:w="0" w:type="dxa"/>
              <w:left w:w="57" w:type="dxa"/>
              <w:bottom w:w="0" w:type="dxa"/>
              <w:right w:w="57" w:type="dxa"/>
            </w:tcMar>
            <w:vAlign w:val="center"/>
          </w:tcPr>
          <w:p w14:paraId="3C9BF31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F459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5D3AC92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558C923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敏感目标信息</w:t>
            </w:r>
          </w:p>
        </w:tc>
        <w:tc>
          <w:tcPr>
            <w:tcW w:w="5768" w:type="dxa"/>
            <w:gridSpan w:val="5"/>
            <w:shd w:val="clear" w:color="auto" w:fill="FFFFFF"/>
            <w:noWrap w:val="0"/>
            <w:tcMar>
              <w:top w:w="0" w:type="dxa"/>
              <w:left w:w="57" w:type="dxa"/>
              <w:bottom w:w="0" w:type="dxa"/>
              <w:right w:w="57" w:type="dxa"/>
            </w:tcMar>
            <w:vAlign w:val="center"/>
          </w:tcPr>
          <w:p w14:paraId="5C15200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敏感目标（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）、方位（</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）、距离（</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798" w:type="dxa"/>
            <w:shd w:val="clear" w:color="auto" w:fill="FFFFFF"/>
            <w:noWrap w:val="0"/>
            <w:tcMar>
              <w:top w:w="0" w:type="dxa"/>
              <w:left w:w="57" w:type="dxa"/>
              <w:bottom w:w="0" w:type="dxa"/>
              <w:right w:w="57" w:type="dxa"/>
            </w:tcMar>
            <w:vAlign w:val="center"/>
          </w:tcPr>
          <w:p w14:paraId="2957141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7FD1A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00B55E2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7FF8CB4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影响途径</w:t>
            </w:r>
          </w:p>
        </w:tc>
        <w:tc>
          <w:tcPr>
            <w:tcW w:w="5768" w:type="dxa"/>
            <w:gridSpan w:val="5"/>
            <w:shd w:val="clear" w:color="auto" w:fill="FFFFFF"/>
            <w:noWrap w:val="0"/>
            <w:tcMar>
              <w:top w:w="0" w:type="dxa"/>
              <w:left w:w="57" w:type="dxa"/>
              <w:bottom w:w="0" w:type="dxa"/>
              <w:right w:w="57" w:type="dxa"/>
            </w:tcMar>
            <w:vAlign w:val="center"/>
          </w:tcPr>
          <w:p w14:paraId="62D9CB4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大气沉降</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；地面漫流</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；垂直入渗</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；地下水位</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；其他</w:t>
            </w:r>
          </w:p>
        </w:tc>
        <w:tc>
          <w:tcPr>
            <w:tcW w:w="798" w:type="dxa"/>
            <w:shd w:val="clear" w:color="auto" w:fill="FFFFFF"/>
            <w:noWrap w:val="0"/>
            <w:tcMar>
              <w:top w:w="0" w:type="dxa"/>
              <w:left w:w="57" w:type="dxa"/>
              <w:bottom w:w="0" w:type="dxa"/>
              <w:right w:w="57" w:type="dxa"/>
            </w:tcMar>
            <w:vAlign w:val="center"/>
          </w:tcPr>
          <w:p w14:paraId="40C169F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54CE4D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5F96348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3D45A24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全部污染物</w:t>
            </w:r>
          </w:p>
        </w:tc>
        <w:tc>
          <w:tcPr>
            <w:tcW w:w="5768" w:type="dxa"/>
            <w:gridSpan w:val="5"/>
            <w:shd w:val="clear" w:color="auto" w:fill="FFFFFF"/>
            <w:noWrap w:val="0"/>
            <w:tcMar>
              <w:top w:w="0" w:type="dxa"/>
              <w:left w:w="57" w:type="dxa"/>
              <w:bottom w:w="0" w:type="dxa"/>
              <w:right w:w="57" w:type="dxa"/>
            </w:tcMar>
            <w:vAlign w:val="center"/>
          </w:tcPr>
          <w:p w14:paraId="552D1E3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5"/>
                <w:sz w:val="21"/>
                <w:szCs w:val="21"/>
                <w:highlight w:val="none"/>
                <w:lang w:val="en-US" w:eastAsia="zh-CN"/>
                <w14:textFill>
                  <w14:solidFill>
                    <w14:schemeClr w14:val="tx1"/>
                  </w14:solidFill>
                </w14:textFill>
              </w:rPr>
              <w:t>硫酸雾</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、PM</w:t>
            </w:r>
            <w:r>
              <w:rPr>
                <w:rFonts w:hint="default" w:ascii="Times New Roman" w:hAnsi="Times New Roman" w:eastAsia="宋体" w:cs="Times New Roman"/>
                <w:color w:val="000000" w:themeColor="text1"/>
                <w:spacing w:val="-5"/>
                <w:sz w:val="21"/>
                <w:szCs w:val="21"/>
                <w:highlight w:val="none"/>
                <w:vertAlign w:val="subscript"/>
                <w14:textFill>
                  <w14:solidFill>
                    <w14:schemeClr w14:val="tx1"/>
                  </w14:solidFill>
                </w14:textFill>
              </w:rPr>
              <w:t>10</w:t>
            </w:r>
            <w:r>
              <w:rPr>
                <w:rFonts w:hint="default" w:ascii="Times New Roman" w:hAnsi="Times New Roman" w:eastAsia="宋体" w:cs="Times New Roman"/>
                <w:color w:val="000000" w:themeColor="text1"/>
                <w:spacing w:val="-5"/>
                <w:sz w:val="21"/>
                <w:szCs w:val="21"/>
                <w:highlight w:val="none"/>
                <w14:textFill>
                  <w14:solidFill>
                    <w14:schemeClr w14:val="tx1"/>
                  </w14:solidFill>
                </w14:textFill>
              </w:rPr>
              <w:t>、硫化氢及氨、镍、铬、石油类</w:t>
            </w:r>
          </w:p>
        </w:tc>
        <w:tc>
          <w:tcPr>
            <w:tcW w:w="798" w:type="dxa"/>
            <w:shd w:val="clear" w:color="auto" w:fill="FFFFFF"/>
            <w:noWrap w:val="0"/>
            <w:tcMar>
              <w:top w:w="0" w:type="dxa"/>
              <w:left w:w="57" w:type="dxa"/>
              <w:bottom w:w="0" w:type="dxa"/>
              <w:right w:w="57" w:type="dxa"/>
            </w:tcMar>
            <w:vAlign w:val="center"/>
          </w:tcPr>
          <w:p w14:paraId="2E45C74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778E8B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49F10C7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5FA2678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特征因子</w:t>
            </w:r>
          </w:p>
        </w:tc>
        <w:tc>
          <w:tcPr>
            <w:tcW w:w="5768" w:type="dxa"/>
            <w:gridSpan w:val="5"/>
            <w:shd w:val="clear" w:color="auto" w:fill="FFFFFF"/>
            <w:noWrap w:val="0"/>
            <w:tcMar>
              <w:top w:w="0" w:type="dxa"/>
              <w:left w:w="57" w:type="dxa"/>
              <w:bottom w:w="0" w:type="dxa"/>
              <w:right w:w="57" w:type="dxa"/>
            </w:tcMar>
            <w:vAlign w:val="center"/>
          </w:tcPr>
          <w:p w14:paraId="67B21DA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总镍、总铬</w:t>
            </w:r>
          </w:p>
        </w:tc>
        <w:tc>
          <w:tcPr>
            <w:tcW w:w="798" w:type="dxa"/>
            <w:shd w:val="clear" w:color="auto" w:fill="FFFFFF"/>
            <w:noWrap w:val="0"/>
            <w:tcMar>
              <w:top w:w="0" w:type="dxa"/>
              <w:left w:w="57" w:type="dxa"/>
              <w:bottom w:w="0" w:type="dxa"/>
              <w:right w:w="57" w:type="dxa"/>
            </w:tcMar>
            <w:vAlign w:val="center"/>
          </w:tcPr>
          <w:p w14:paraId="5E53C8D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BDB8C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29B44DF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0CCF036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所属土壤环境影响评价项目类别</w:t>
            </w:r>
          </w:p>
        </w:tc>
        <w:tc>
          <w:tcPr>
            <w:tcW w:w="5768" w:type="dxa"/>
            <w:gridSpan w:val="5"/>
            <w:shd w:val="clear" w:color="auto" w:fill="FFFFFF"/>
            <w:noWrap w:val="0"/>
            <w:tcMar>
              <w:top w:w="0" w:type="dxa"/>
              <w:left w:w="57" w:type="dxa"/>
              <w:bottom w:w="0" w:type="dxa"/>
              <w:right w:w="57" w:type="dxa"/>
            </w:tcMar>
            <w:vAlign w:val="center"/>
          </w:tcPr>
          <w:p w14:paraId="6B9F13C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I类</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instrText xml:space="preserve"> = 2 \* ROMAN \* MERGEFORMAT </w:instrTex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separate"/>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II</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end"/>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类</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instrText xml:space="preserve"> = 3 \* ROMAN \* MERGEFORMAT </w:instrTex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separate"/>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III</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end"/>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类</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instrText xml:space="preserve"> = 4 \* ROMAN \* MERGEFORMAT </w:instrTex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separate"/>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IV</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fldChar w:fldCharType="end"/>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类</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p>
        </w:tc>
        <w:tc>
          <w:tcPr>
            <w:tcW w:w="798" w:type="dxa"/>
            <w:shd w:val="clear" w:color="auto" w:fill="FFFFFF"/>
            <w:noWrap w:val="0"/>
            <w:tcMar>
              <w:top w:w="0" w:type="dxa"/>
              <w:left w:w="57" w:type="dxa"/>
              <w:bottom w:w="0" w:type="dxa"/>
              <w:right w:w="57" w:type="dxa"/>
            </w:tcMar>
            <w:vAlign w:val="center"/>
          </w:tcPr>
          <w:p w14:paraId="048476D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685A5A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1A0818A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75FB852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敏感程度</w:t>
            </w:r>
          </w:p>
        </w:tc>
        <w:tc>
          <w:tcPr>
            <w:tcW w:w="5768" w:type="dxa"/>
            <w:gridSpan w:val="5"/>
            <w:shd w:val="clear" w:color="auto" w:fill="FFFFFF"/>
            <w:noWrap w:val="0"/>
            <w:tcMar>
              <w:top w:w="0" w:type="dxa"/>
              <w:left w:w="57" w:type="dxa"/>
              <w:bottom w:w="0" w:type="dxa"/>
              <w:right w:w="57" w:type="dxa"/>
            </w:tcMar>
            <w:vAlign w:val="center"/>
          </w:tcPr>
          <w:p w14:paraId="7FB502B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敏感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；较敏感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；不敏感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p>
        </w:tc>
        <w:tc>
          <w:tcPr>
            <w:tcW w:w="798" w:type="dxa"/>
            <w:shd w:val="clear" w:color="auto" w:fill="FFFFFF"/>
            <w:noWrap w:val="0"/>
            <w:tcMar>
              <w:top w:w="0" w:type="dxa"/>
              <w:left w:w="57" w:type="dxa"/>
              <w:bottom w:w="0" w:type="dxa"/>
              <w:right w:w="57" w:type="dxa"/>
            </w:tcMar>
            <w:vAlign w:val="center"/>
          </w:tcPr>
          <w:p w14:paraId="7E1BA11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F639C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61" w:type="dxa"/>
            <w:gridSpan w:val="2"/>
            <w:shd w:val="clear" w:color="auto" w:fill="FFFFFF"/>
            <w:noWrap w:val="0"/>
            <w:tcMar>
              <w:top w:w="0" w:type="dxa"/>
              <w:left w:w="57" w:type="dxa"/>
              <w:bottom w:w="0" w:type="dxa"/>
              <w:right w:w="57" w:type="dxa"/>
            </w:tcMar>
            <w:vAlign w:val="center"/>
          </w:tcPr>
          <w:p w14:paraId="2E3AA8A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评价工作等级</w:t>
            </w:r>
          </w:p>
        </w:tc>
        <w:tc>
          <w:tcPr>
            <w:tcW w:w="5768" w:type="dxa"/>
            <w:gridSpan w:val="5"/>
            <w:shd w:val="clear" w:color="auto" w:fill="FFFFFF"/>
            <w:noWrap w:val="0"/>
            <w:tcMar>
              <w:top w:w="0" w:type="dxa"/>
              <w:left w:w="57" w:type="dxa"/>
              <w:bottom w:w="0" w:type="dxa"/>
              <w:right w:w="57" w:type="dxa"/>
            </w:tcMar>
            <w:vAlign w:val="center"/>
          </w:tcPr>
          <w:p w14:paraId="492AA52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一级</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；二级</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；三级</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sym w:font="Wingdings 2" w:char="00A3"/>
            </w:r>
          </w:p>
        </w:tc>
        <w:tc>
          <w:tcPr>
            <w:tcW w:w="798" w:type="dxa"/>
            <w:shd w:val="clear" w:color="auto" w:fill="FFFFFF"/>
            <w:noWrap w:val="0"/>
            <w:tcMar>
              <w:top w:w="0" w:type="dxa"/>
              <w:left w:w="57" w:type="dxa"/>
              <w:bottom w:w="0" w:type="dxa"/>
              <w:right w:w="57" w:type="dxa"/>
            </w:tcMar>
            <w:vAlign w:val="center"/>
          </w:tcPr>
          <w:p w14:paraId="26CED18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E9F66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restart"/>
            <w:shd w:val="clear" w:color="auto" w:fill="FFFFFF"/>
            <w:noWrap w:val="0"/>
            <w:tcMar>
              <w:top w:w="0" w:type="dxa"/>
              <w:left w:w="57" w:type="dxa"/>
              <w:bottom w:w="0" w:type="dxa"/>
              <w:right w:w="57" w:type="dxa"/>
            </w:tcMar>
            <w:vAlign w:val="center"/>
          </w:tcPr>
          <w:p w14:paraId="66BC95B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现</w:t>
            </w:r>
          </w:p>
          <w:p w14:paraId="4B0DD87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状</w:t>
            </w:r>
          </w:p>
          <w:p w14:paraId="739F9EE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调</w:t>
            </w:r>
          </w:p>
          <w:p w14:paraId="53DE6DF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查</w:t>
            </w:r>
          </w:p>
          <w:p w14:paraId="629CBB4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内</w:t>
            </w:r>
          </w:p>
          <w:p w14:paraId="178C72D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容</w:t>
            </w:r>
          </w:p>
        </w:tc>
        <w:tc>
          <w:tcPr>
            <w:tcW w:w="1529" w:type="dxa"/>
            <w:shd w:val="clear" w:color="auto" w:fill="FFFFFF"/>
            <w:noWrap w:val="0"/>
            <w:tcMar>
              <w:top w:w="0" w:type="dxa"/>
              <w:left w:w="57" w:type="dxa"/>
              <w:bottom w:w="0" w:type="dxa"/>
              <w:right w:w="57" w:type="dxa"/>
            </w:tcMar>
            <w:vAlign w:val="center"/>
          </w:tcPr>
          <w:p w14:paraId="5BADCE2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资料收集</w:t>
            </w:r>
          </w:p>
        </w:tc>
        <w:tc>
          <w:tcPr>
            <w:tcW w:w="5768" w:type="dxa"/>
            <w:gridSpan w:val="5"/>
            <w:shd w:val="clear" w:color="auto" w:fill="FFFFFF"/>
            <w:noWrap w:val="0"/>
            <w:tcMar>
              <w:top w:w="0" w:type="dxa"/>
              <w:left w:w="57" w:type="dxa"/>
              <w:bottom w:w="0" w:type="dxa"/>
              <w:right w:w="57" w:type="dxa"/>
            </w:tcMar>
            <w:vAlign w:val="center"/>
          </w:tcPr>
          <w:p w14:paraId="5E9A7D6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；b）</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；c）□；d）□</w:t>
            </w:r>
          </w:p>
        </w:tc>
        <w:tc>
          <w:tcPr>
            <w:tcW w:w="798" w:type="dxa"/>
            <w:shd w:val="clear" w:color="auto" w:fill="FFFFFF"/>
            <w:noWrap w:val="0"/>
            <w:tcMar>
              <w:top w:w="0" w:type="dxa"/>
              <w:left w:w="57" w:type="dxa"/>
              <w:bottom w:w="0" w:type="dxa"/>
              <w:right w:w="57" w:type="dxa"/>
            </w:tcMar>
            <w:vAlign w:val="center"/>
          </w:tcPr>
          <w:p w14:paraId="53D293C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3D420C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4AE4456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76D3C83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理化特性</w:t>
            </w:r>
          </w:p>
        </w:tc>
        <w:tc>
          <w:tcPr>
            <w:tcW w:w="5768" w:type="dxa"/>
            <w:gridSpan w:val="5"/>
            <w:shd w:val="clear" w:color="auto" w:fill="FFFFFF"/>
            <w:noWrap w:val="0"/>
            <w:tcMar>
              <w:top w:w="0" w:type="dxa"/>
              <w:left w:w="57" w:type="dxa"/>
              <w:bottom w:w="0" w:type="dxa"/>
              <w:right w:w="57" w:type="dxa"/>
            </w:tcMar>
            <w:vAlign w:val="center"/>
          </w:tcPr>
          <w:p w14:paraId="2956C6A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798" w:type="dxa"/>
            <w:shd w:val="clear" w:color="auto" w:fill="FFFFFF"/>
            <w:noWrap w:val="0"/>
            <w:tcMar>
              <w:top w:w="0" w:type="dxa"/>
              <w:left w:w="57" w:type="dxa"/>
              <w:bottom w:w="0" w:type="dxa"/>
              <w:right w:w="57" w:type="dxa"/>
            </w:tcMar>
            <w:vAlign w:val="center"/>
          </w:tcPr>
          <w:p w14:paraId="23A0C50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同附录</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t>C</w:t>
            </w:r>
          </w:p>
        </w:tc>
      </w:tr>
      <w:tr w14:paraId="38ADB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0B6CAD9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vMerge w:val="restart"/>
            <w:shd w:val="clear" w:color="auto" w:fill="FFFFFF"/>
            <w:noWrap w:val="0"/>
            <w:tcMar>
              <w:top w:w="0" w:type="dxa"/>
              <w:left w:w="57" w:type="dxa"/>
              <w:bottom w:w="0" w:type="dxa"/>
              <w:right w:w="57" w:type="dxa"/>
            </w:tcMar>
            <w:vAlign w:val="center"/>
          </w:tcPr>
          <w:p w14:paraId="254DC53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现状监测点位</w:t>
            </w:r>
          </w:p>
        </w:tc>
        <w:tc>
          <w:tcPr>
            <w:tcW w:w="1244" w:type="dxa"/>
            <w:shd w:val="clear" w:color="auto" w:fill="FFFFFF"/>
            <w:noWrap w:val="0"/>
            <w:tcMar>
              <w:top w:w="0" w:type="dxa"/>
              <w:left w:w="57" w:type="dxa"/>
              <w:bottom w:w="0" w:type="dxa"/>
              <w:right w:w="57" w:type="dxa"/>
            </w:tcMar>
            <w:vAlign w:val="center"/>
          </w:tcPr>
          <w:p w14:paraId="6ABD93F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09" w:type="dxa"/>
            <w:shd w:val="clear" w:color="auto" w:fill="FFFFFF"/>
            <w:noWrap w:val="0"/>
            <w:tcMar>
              <w:top w:w="0" w:type="dxa"/>
              <w:left w:w="57" w:type="dxa"/>
              <w:bottom w:w="0" w:type="dxa"/>
              <w:right w:w="57" w:type="dxa"/>
            </w:tcMar>
            <w:vAlign w:val="center"/>
          </w:tcPr>
          <w:p w14:paraId="183E0B9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占地范围内</w:t>
            </w:r>
          </w:p>
        </w:tc>
        <w:tc>
          <w:tcPr>
            <w:tcW w:w="1947" w:type="dxa"/>
            <w:gridSpan w:val="2"/>
            <w:shd w:val="clear" w:color="auto" w:fill="FFFFFF"/>
            <w:noWrap w:val="0"/>
            <w:tcMar>
              <w:top w:w="0" w:type="dxa"/>
              <w:left w:w="57" w:type="dxa"/>
              <w:bottom w:w="0" w:type="dxa"/>
              <w:right w:w="57" w:type="dxa"/>
            </w:tcMar>
            <w:vAlign w:val="center"/>
          </w:tcPr>
          <w:p w14:paraId="014F865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占地范围外</w:t>
            </w:r>
          </w:p>
        </w:tc>
        <w:tc>
          <w:tcPr>
            <w:tcW w:w="1368" w:type="dxa"/>
            <w:shd w:val="clear" w:color="auto" w:fill="FFFFFF"/>
            <w:noWrap w:val="0"/>
            <w:tcMar>
              <w:top w:w="0" w:type="dxa"/>
              <w:left w:w="57" w:type="dxa"/>
              <w:bottom w:w="0" w:type="dxa"/>
              <w:right w:w="57" w:type="dxa"/>
            </w:tcMar>
            <w:vAlign w:val="center"/>
          </w:tcPr>
          <w:p w14:paraId="531FEE3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深度</w:t>
            </w:r>
          </w:p>
        </w:tc>
        <w:tc>
          <w:tcPr>
            <w:tcW w:w="798" w:type="dxa"/>
            <w:vMerge w:val="restart"/>
            <w:shd w:val="clear" w:color="auto" w:fill="FFFFFF"/>
            <w:noWrap w:val="0"/>
            <w:tcMar>
              <w:top w:w="0" w:type="dxa"/>
              <w:left w:w="57" w:type="dxa"/>
              <w:bottom w:w="0" w:type="dxa"/>
              <w:right w:w="57" w:type="dxa"/>
            </w:tcMar>
            <w:vAlign w:val="center"/>
          </w:tcPr>
          <w:p w14:paraId="468A950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点位布置图</w:t>
            </w:r>
          </w:p>
        </w:tc>
      </w:tr>
      <w:tr w14:paraId="47846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6B9BFE2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vMerge w:val="continue"/>
            <w:shd w:val="clear" w:color="auto" w:fill="FFFFFF"/>
            <w:noWrap w:val="0"/>
            <w:tcMar>
              <w:top w:w="0" w:type="dxa"/>
              <w:left w:w="57" w:type="dxa"/>
              <w:bottom w:w="0" w:type="dxa"/>
              <w:right w:w="57" w:type="dxa"/>
            </w:tcMar>
            <w:vAlign w:val="center"/>
          </w:tcPr>
          <w:p w14:paraId="646D622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44" w:type="dxa"/>
            <w:shd w:val="clear" w:color="auto" w:fill="FFFFFF"/>
            <w:noWrap w:val="0"/>
            <w:tcMar>
              <w:top w:w="0" w:type="dxa"/>
              <w:left w:w="57" w:type="dxa"/>
              <w:bottom w:w="0" w:type="dxa"/>
              <w:right w:w="57" w:type="dxa"/>
            </w:tcMar>
            <w:vAlign w:val="center"/>
          </w:tcPr>
          <w:p w14:paraId="628503C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表层样点数</w:t>
            </w:r>
          </w:p>
        </w:tc>
        <w:tc>
          <w:tcPr>
            <w:tcW w:w="1209" w:type="dxa"/>
            <w:shd w:val="clear" w:color="auto" w:fill="FFFFFF"/>
            <w:noWrap w:val="0"/>
            <w:tcMar>
              <w:top w:w="0" w:type="dxa"/>
              <w:left w:w="57" w:type="dxa"/>
              <w:bottom w:w="0" w:type="dxa"/>
              <w:right w:w="57" w:type="dxa"/>
            </w:tcMar>
            <w:vAlign w:val="center"/>
          </w:tcPr>
          <w:p w14:paraId="7D29585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1947" w:type="dxa"/>
            <w:gridSpan w:val="2"/>
            <w:shd w:val="clear" w:color="auto" w:fill="FFFFFF"/>
            <w:noWrap w:val="0"/>
            <w:tcMar>
              <w:top w:w="0" w:type="dxa"/>
              <w:left w:w="57" w:type="dxa"/>
              <w:bottom w:w="0" w:type="dxa"/>
              <w:right w:w="57" w:type="dxa"/>
            </w:tcMar>
            <w:vAlign w:val="center"/>
          </w:tcPr>
          <w:p w14:paraId="5F1EF37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个</w:t>
            </w:r>
          </w:p>
        </w:tc>
        <w:tc>
          <w:tcPr>
            <w:tcW w:w="1368" w:type="dxa"/>
            <w:shd w:val="clear" w:color="auto" w:fill="FFFFFF"/>
            <w:noWrap w:val="0"/>
            <w:tcMar>
              <w:top w:w="0" w:type="dxa"/>
              <w:left w:w="57" w:type="dxa"/>
              <w:bottom w:w="0" w:type="dxa"/>
              <w:right w:w="57" w:type="dxa"/>
            </w:tcMar>
            <w:vAlign w:val="center"/>
          </w:tcPr>
          <w:p w14:paraId="3FDAF18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0.2</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m</w:t>
            </w:r>
          </w:p>
        </w:tc>
        <w:tc>
          <w:tcPr>
            <w:tcW w:w="798" w:type="dxa"/>
            <w:vMerge w:val="continue"/>
            <w:shd w:val="clear" w:color="auto" w:fill="FFFFFF"/>
            <w:noWrap w:val="0"/>
            <w:tcMar>
              <w:top w:w="0" w:type="dxa"/>
              <w:left w:w="57" w:type="dxa"/>
              <w:bottom w:w="0" w:type="dxa"/>
              <w:right w:w="57" w:type="dxa"/>
            </w:tcMar>
            <w:vAlign w:val="center"/>
          </w:tcPr>
          <w:p w14:paraId="757E3D9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0361A7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072FDA4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vMerge w:val="continue"/>
            <w:shd w:val="clear" w:color="auto" w:fill="FFFFFF"/>
            <w:noWrap w:val="0"/>
            <w:tcMar>
              <w:top w:w="0" w:type="dxa"/>
              <w:left w:w="57" w:type="dxa"/>
              <w:bottom w:w="0" w:type="dxa"/>
              <w:right w:w="57" w:type="dxa"/>
            </w:tcMar>
            <w:vAlign w:val="center"/>
          </w:tcPr>
          <w:p w14:paraId="5832171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244" w:type="dxa"/>
            <w:shd w:val="clear" w:color="auto" w:fill="FFFFFF"/>
            <w:noWrap w:val="0"/>
            <w:tcMar>
              <w:top w:w="0" w:type="dxa"/>
              <w:left w:w="57" w:type="dxa"/>
              <w:bottom w:w="0" w:type="dxa"/>
              <w:right w:w="57" w:type="dxa"/>
            </w:tcMar>
            <w:vAlign w:val="center"/>
          </w:tcPr>
          <w:p w14:paraId="3C239F5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柱状样点数</w:t>
            </w:r>
          </w:p>
        </w:tc>
        <w:tc>
          <w:tcPr>
            <w:tcW w:w="1209" w:type="dxa"/>
            <w:shd w:val="clear" w:color="auto" w:fill="FFFFFF"/>
            <w:noWrap w:val="0"/>
            <w:tcMar>
              <w:top w:w="0" w:type="dxa"/>
              <w:left w:w="57" w:type="dxa"/>
              <w:bottom w:w="0" w:type="dxa"/>
              <w:right w:w="57" w:type="dxa"/>
            </w:tcMar>
            <w:vAlign w:val="center"/>
          </w:tcPr>
          <w:p w14:paraId="6FB180D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3</w:t>
            </w:r>
          </w:p>
        </w:tc>
        <w:tc>
          <w:tcPr>
            <w:tcW w:w="1947" w:type="dxa"/>
            <w:gridSpan w:val="2"/>
            <w:shd w:val="clear" w:color="auto" w:fill="FFFFFF"/>
            <w:noWrap w:val="0"/>
            <w:tcMar>
              <w:top w:w="0" w:type="dxa"/>
              <w:left w:w="57" w:type="dxa"/>
              <w:bottom w:w="0" w:type="dxa"/>
              <w:right w:w="57" w:type="dxa"/>
            </w:tcMar>
            <w:vAlign w:val="center"/>
          </w:tcPr>
          <w:p w14:paraId="282E7BB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1368" w:type="dxa"/>
            <w:shd w:val="clear" w:color="auto" w:fill="FFFFFF"/>
            <w:noWrap w:val="0"/>
            <w:tcMar>
              <w:top w:w="0" w:type="dxa"/>
              <w:left w:w="57" w:type="dxa"/>
              <w:bottom w:w="0" w:type="dxa"/>
              <w:right w:w="57" w:type="dxa"/>
            </w:tcMar>
            <w:vAlign w:val="center"/>
          </w:tcPr>
          <w:p w14:paraId="42E6FE2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0~0.5m、0.5~1.5m、</w:t>
            </w:r>
          </w:p>
          <w:p w14:paraId="5EDF8FAC">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1.5~3m</w:t>
            </w:r>
          </w:p>
        </w:tc>
        <w:tc>
          <w:tcPr>
            <w:tcW w:w="798" w:type="dxa"/>
            <w:vMerge w:val="continue"/>
            <w:shd w:val="clear" w:color="auto" w:fill="FFFFFF"/>
            <w:noWrap w:val="0"/>
            <w:tcMar>
              <w:top w:w="0" w:type="dxa"/>
              <w:left w:w="57" w:type="dxa"/>
              <w:bottom w:w="0" w:type="dxa"/>
              <w:right w:w="57" w:type="dxa"/>
            </w:tcMar>
            <w:vAlign w:val="center"/>
          </w:tcPr>
          <w:p w14:paraId="4052D7B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E310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273E086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25D36E4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现状监测因子</w:t>
            </w:r>
          </w:p>
        </w:tc>
        <w:tc>
          <w:tcPr>
            <w:tcW w:w="5768" w:type="dxa"/>
            <w:gridSpan w:val="5"/>
            <w:shd w:val="clear" w:color="auto" w:fill="FFFFFF"/>
            <w:noWrap w:val="0"/>
            <w:tcMar>
              <w:top w:w="0" w:type="dxa"/>
              <w:left w:w="57" w:type="dxa"/>
              <w:bottom w:w="0" w:type="dxa"/>
              <w:right w:w="57" w:type="dxa"/>
            </w:tcMar>
            <w:vAlign w:val="center"/>
          </w:tcPr>
          <w:p w14:paraId="1F1075A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GB36600-2018表1中45项因子、pH、石油烃</w:t>
            </w:r>
          </w:p>
        </w:tc>
        <w:tc>
          <w:tcPr>
            <w:tcW w:w="798" w:type="dxa"/>
            <w:shd w:val="clear" w:color="auto" w:fill="FFFFFF"/>
            <w:noWrap w:val="0"/>
            <w:tcMar>
              <w:top w:w="0" w:type="dxa"/>
              <w:left w:w="57" w:type="dxa"/>
              <w:bottom w:w="0" w:type="dxa"/>
              <w:right w:w="57" w:type="dxa"/>
            </w:tcMar>
            <w:vAlign w:val="center"/>
          </w:tcPr>
          <w:p w14:paraId="11EF23B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3BB09D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restart"/>
            <w:shd w:val="clear" w:color="auto" w:fill="FFFFFF"/>
            <w:noWrap w:val="0"/>
            <w:tcMar>
              <w:top w:w="0" w:type="dxa"/>
              <w:left w:w="57" w:type="dxa"/>
              <w:bottom w:w="0" w:type="dxa"/>
              <w:right w:w="57" w:type="dxa"/>
            </w:tcMar>
            <w:vAlign w:val="center"/>
          </w:tcPr>
          <w:p w14:paraId="488BD8CF">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现</w:t>
            </w:r>
          </w:p>
          <w:p w14:paraId="450C84D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状</w:t>
            </w:r>
          </w:p>
          <w:p w14:paraId="4504F3F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w:t>
            </w:r>
          </w:p>
          <w:p w14:paraId="7504047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价</w:t>
            </w:r>
          </w:p>
        </w:tc>
        <w:tc>
          <w:tcPr>
            <w:tcW w:w="1529" w:type="dxa"/>
            <w:shd w:val="clear" w:color="auto" w:fill="FFFFFF"/>
            <w:noWrap w:val="0"/>
            <w:tcMar>
              <w:top w:w="0" w:type="dxa"/>
              <w:left w:w="57" w:type="dxa"/>
              <w:bottom w:w="0" w:type="dxa"/>
              <w:right w:w="57" w:type="dxa"/>
            </w:tcMar>
            <w:vAlign w:val="center"/>
          </w:tcPr>
          <w:p w14:paraId="3C9306A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评价因子</w:t>
            </w:r>
          </w:p>
        </w:tc>
        <w:tc>
          <w:tcPr>
            <w:tcW w:w="5768" w:type="dxa"/>
            <w:gridSpan w:val="5"/>
            <w:shd w:val="clear" w:color="auto" w:fill="FFFFFF"/>
            <w:noWrap w:val="0"/>
            <w:tcMar>
              <w:top w:w="0" w:type="dxa"/>
              <w:left w:w="57" w:type="dxa"/>
              <w:bottom w:w="0" w:type="dxa"/>
              <w:right w:w="57" w:type="dxa"/>
            </w:tcMar>
            <w:vAlign w:val="center"/>
          </w:tcPr>
          <w:p w14:paraId="4D62915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GB36600-2018 表1 中45 项因子、pH、石油烃</w:t>
            </w:r>
          </w:p>
        </w:tc>
        <w:tc>
          <w:tcPr>
            <w:tcW w:w="798" w:type="dxa"/>
            <w:shd w:val="clear" w:color="auto" w:fill="FFFFFF"/>
            <w:noWrap w:val="0"/>
            <w:tcMar>
              <w:top w:w="0" w:type="dxa"/>
              <w:left w:w="57" w:type="dxa"/>
              <w:bottom w:w="0" w:type="dxa"/>
              <w:right w:w="57" w:type="dxa"/>
            </w:tcMar>
            <w:vAlign w:val="center"/>
          </w:tcPr>
          <w:p w14:paraId="0C08EB3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6AFB7D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1491B9C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368CB30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评价标准</w:t>
            </w:r>
          </w:p>
        </w:tc>
        <w:tc>
          <w:tcPr>
            <w:tcW w:w="5768" w:type="dxa"/>
            <w:gridSpan w:val="5"/>
            <w:shd w:val="clear" w:color="auto" w:fill="FFFFFF"/>
            <w:noWrap w:val="0"/>
            <w:tcMar>
              <w:top w:w="0" w:type="dxa"/>
              <w:left w:w="57" w:type="dxa"/>
              <w:bottom w:w="0" w:type="dxa"/>
              <w:right w:w="57" w:type="dxa"/>
            </w:tcMar>
            <w:vAlign w:val="center"/>
          </w:tcPr>
          <w:p w14:paraId="7FD98D7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GB15618</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；GB36600</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；表D.1</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；表D.2</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；其他（）</w:t>
            </w:r>
          </w:p>
        </w:tc>
        <w:tc>
          <w:tcPr>
            <w:tcW w:w="798" w:type="dxa"/>
            <w:shd w:val="clear" w:color="auto" w:fill="FFFFFF"/>
            <w:noWrap w:val="0"/>
            <w:tcMar>
              <w:top w:w="0" w:type="dxa"/>
              <w:left w:w="57" w:type="dxa"/>
              <w:bottom w:w="0" w:type="dxa"/>
              <w:right w:w="57" w:type="dxa"/>
            </w:tcMar>
            <w:vAlign w:val="center"/>
          </w:tcPr>
          <w:p w14:paraId="7A7E100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00536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0499538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67DC8DC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现状评价结论</w:t>
            </w:r>
          </w:p>
        </w:tc>
        <w:tc>
          <w:tcPr>
            <w:tcW w:w="5768" w:type="dxa"/>
            <w:gridSpan w:val="5"/>
            <w:shd w:val="clear" w:color="auto" w:fill="FFFFFF"/>
            <w:noWrap w:val="0"/>
            <w:tcMar>
              <w:top w:w="0" w:type="dxa"/>
              <w:left w:w="57" w:type="dxa"/>
              <w:bottom w:w="0" w:type="dxa"/>
              <w:right w:w="57" w:type="dxa"/>
            </w:tcMar>
            <w:vAlign w:val="center"/>
          </w:tcPr>
          <w:p w14:paraId="7E5EC09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评价因子满足相应标准要求</w:t>
            </w:r>
          </w:p>
        </w:tc>
        <w:tc>
          <w:tcPr>
            <w:tcW w:w="798" w:type="dxa"/>
            <w:shd w:val="clear" w:color="auto" w:fill="FFFFFF"/>
            <w:noWrap w:val="0"/>
            <w:tcMar>
              <w:top w:w="0" w:type="dxa"/>
              <w:left w:w="57" w:type="dxa"/>
              <w:bottom w:w="0" w:type="dxa"/>
              <w:right w:w="57" w:type="dxa"/>
            </w:tcMar>
            <w:vAlign w:val="center"/>
          </w:tcPr>
          <w:p w14:paraId="5FFA4C1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359747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restart"/>
            <w:shd w:val="clear" w:color="auto" w:fill="FFFFFF"/>
            <w:noWrap w:val="0"/>
            <w:tcMar>
              <w:top w:w="0" w:type="dxa"/>
              <w:left w:w="57" w:type="dxa"/>
              <w:bottom w:w="0" w:type="dxa"/>
              <w:right w:w="57" w:type="dxa"/>
            </w:tcMar>
            <w:vAlign w:val="center"/>
          </w:tcPr>
          <w:p w14:paraId="4A1DB20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影</w:t>
            </w:r>
          </w:p>
          <w:p w14:paraId="158E3AE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响</w:t>
            </w:r>
          </w:p>
          <w:p w14:paraId="0B18C52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预</w:t>
            </w:r>
          </w:p>
          <w:p w14:paraId="3EC336F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测</w:t>
            </w:r>
          </w:p>
        </w:tc>
        <w:tc>
          <w:tcPr>
            <w:tcW w:w="1529" w:type="dxa"/>
            <w:shd w:val="clear" w:color="auto" w:fill="FFFFFF"/>
            <w:noWrap w:val="0"/>
            <w:tcMar>
              <w:top w:w="0" w:type="dxa"/>
              <w:left w:w="57" w:type="dxa"/>
              <w:bottom w:w="0" w:type="dxa"/>
              <w:right w:w="57" w:type="dxa"/>
            </w:tcMar>
            <w:vAlign w:val="center"/>
          </w:tcPr>
          <w:p w14:paraId="0C8C434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预测因子</w:t>
            </w:r>
          </w:p>
        </w:tc>
        <w:tc>
          <w:tcPr>
            <w:tcW w:w="5768" w:type="dxa"/>
            <w:gridSpan w:val="5"/>
            <w:shd w:val="clear" w:color="auto" w:fill="FFFFFF"/>
            <w:noWrap w:val="0"/>
            <w:tcMar>
              <w:top w:w="0" w:type="dxa"/>
              <w:left w:w="57" w:type="dxa"/>
              <w:bottom w:w="0" w:type="dxa"/>
              <w:right w:w="57" w:type="dxa"/>
            </w:tcMar>
            <w:vAlign w:val="center"/>
          </w:tcPr>
          <w:p w14:paraId="48A5B2C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、总镍、总铬</w:t>
            </w:r>
          </w:p>
        </w:tc>
        <w:tc>
          <w:tcPr>
            <w:tcW w:w="798" w:type="dxa"/>
            <w:shd w:val="clear" w:color="auto" w:fill="FFFFFF"/>
            <w:noWrap w:val="0"/>
            <w:tcMar>
              <w:top w:w="0" w:type="dxa"/>
              <w:left w:w="57" w:type="dxa"/>
              <w:bottom w:w="0" w:type="dxa"/>
              <w:right w:w="57" w:type="dxa"/>
            </w:tcMar>
            <w:vAlign w:val="center"/>
          </w:tcPr>
          <w:p w14:paraId="236036C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A0129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3E39BB1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1E31A0A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预测方法</w:t>
            </w:r>
          </w:p>
        </w:tc>
        <w:tc>
          <w:tcPr>
            <w:tcW w:w="5768" w:type="dxa"/>
            <w:gridSpan w:val="5"/>
            <w:shd w:val="clear" w:color="auto" w:fill="FFFFFF"/>
            <w:noWrap w:val="0"/>
            <w:tcMar>
              <w:top w:w="0" w:type="dxa"/>
              <w:left w:w="57" w:type="dxa"/>
              <w:bottom w:w="0" w:type="dxa"/>
              <w:right w:w="57" w:type="dxa"/>
            </w:tcMar>
            <w:vAlign w:val="center"/>
          </w:tcPr>
          <w:p w14:paraId="3B6D3CD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附录E</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；附录F</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；其他（类比法）</w:t>
            </w:r>
          </w:p>
        </w:tc>
        <w:tc>
          <w:tcPr>
            <w:tcW w:w="798" w:type="dxa"/>
            <w:shd w:val="clear" w:color="auto" w:fill="FFFFFF"/>
            <w:noWrap w:val="0"/>
            <w:tcMar>
              <w:top w:w="0" w:type="dxa"/>
              <w:left w:w="57" w:type="dxa"/>
              <w:bottom w:w="0" w:type="dxa"/>
              <w:right w:w="57" w:type="dxa"/>
            </w:tcMar>
            <w:vAlign w:val="center"/>
          </w:tcPr>
          <w:p w14:paraId="4130AF7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51142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1E08B9E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34F34E0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预测分析内容</w:t>
            </w:r>
          </w:p>
        </w:tc>
        <w:tc>
          <w:tcPr>
            <w:tcW w:w="5768" w:type="dxa"/>
            <w:gridSpan w:val="5"/>
            <w:shd w:val="clear" w:color="auto" w:fill="FFFFFF"/>
            <w:noWrap w:val="0"/>
            <w:tcMar>
              <w:top w:w="0" w:type="dxa"/>
              <w:left w:w="57" w:type="dxa"/>
              <w:bottom w:w="0" w:type="dxa"/>
              <w:right w:w="57" w:type="dxa"/>
            </w:tcMar>
            <w:vAlign w:val="center"/>
          </w:tcPr>
          <w:p w14:paraId="393E017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影响范围（厂界范围内及周边0.2km 范围）影响程度（</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低</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798" w:type="dxa"/>
            <w:shd w:val="clear" w:color="auto" w:fill="FFFFFF"/>
            <w:noWrap w:val="0"/>
            <w:tcMar>
              <w:top w:w="0" w:type="dxa"/>
              <w:left w:w="57" w:type="dxa"/>
              <w:bottom w:w="0" w:type="dxa"/>
              <w:right w:w="57" w:type="dxa"/>
            </w:tcMar>
            <w:vAlign w:val="center"/>
          </w:tcPr>
          <w:p w14:paraId="71F89FC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D918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645AAE8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799897D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预测结论</w:t>
            </w:r>
          </w:p>
        </w:tc>
        <w:tc>
          <w:tcPr>
            <w:tcW w:w="5768" w:type="dxa"/>
            <w:gridSpan w:val="5"/>
            <w:shd w:val="clear" w:color="auto" w:fill="FFFFFF"/>
            <w:noWrap w:val="0"/>
            <w:tcMar>
              <w:top w:w="0" w:type="dxa"/>
              <w:left w:w="57" w:type="dxa"/>
              <w:bottom w:w="0" w:type="dxa"/>
              <w:right w:w="57" w:type="dxa"/>
            </w:tcMar>
            <w:vAlign w:val="center"/>
          </w:tcPr>
          <w:p w14:paraId="009DB33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达标结论：a）</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；b）</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；c）</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不达标结论：a）</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b）</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A3"/>
            </w:r>
          </w:p>
        </w:tc>
        <w:tc>
          <w:tcPr>
            <w:tcW w:w="798" w:type="dxa"/>
            <w:shd w:val="clear" w:color="auto" w:fill="FFFFFF"/>
            <w:noWrap w:val="0"/>
            <w:tcMar>
              <w:top w:w="0" w:type="dxa"/>
              <w:left w:w="57" w:type="dxa"/>
              <w:bottom w:w="0" w:type="dxa"/>
              <w:right w:w="57" w:type="dxa"/>
            </w:tcMar>
            <w:vAlign w:val="center"/>
          </w:tcPr>
          <w:p w14:paraId="1BF8AB6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D0BD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restart"/>
            <w:shd w:val="clear" w:color="auto" w:fill="FFFFFF"/>
            <w:noWrap w:val="0"/>
            <w:tcMar>
              <w:top w:w="0" w:type="dxa"/>
              <w:left w:w="57" w:type="dxa"/>
              <w:bottom w:w="0" w:type="dxa"/>
              <w:right w:w="57" w:type="dxa"/>
            </w:tcMar>
            <w:vAlign w:val="center"/>
          </w:tcPr>
          <w:p w14:paraId="30EA827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防</w:t>
            </w:r>
          </w:p>
          <w:p w14:paraId="093148E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治</w:t>
            </w:r>
          </w:p>
          <w:p w14:paraId="14CD8D3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措</w:t>
            </w:r>
          </w:p>
          <w:p w14:paraId="31F9F33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施</w:t>
            </w:r>
          </w:p>
        </w:tc>
        <w:tc>
          <w:tcPr>
            <w:tcW w:w="1529" w:type="dxa"/>
            <w:shd w:val="clear" w:color="auto" w:fill="FFFFFF"/>
            <w:noWrap w:val="0"/>
            <w:tcMar>
              <w:top w:w="0" w:type="dxa"/>
              <w:left w:w="57" w:type="dxa"/>
              <w:bottom w:w="0" w:type="dxa"/>
              <w:right w:w="57" w:type="dxa"/>
            </w:tcMar>
            <w:vAlign w:val="center"/>
          </w:tcPr>
          <w:p w14:paraId="32E9882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防控措施</w:t>
            </w:r>
          </w:p>
        </w:tc>
        <w:tc>
          <w:tcPr>
            <w:tcW w:w="5768" w:type="dxa"/>
            <w:gridSpan w:val="5"/>
            <w:shd w:val="clear" w:color="auto" w:fill="FFFFFF"/>
            <w:noWrap w:val="0"/>
            <w:tcMar>
              <w:top w:w="0" w:type="dxa"/>
              <w:left w:w="57" w:type="dxa"/>
              <w:bottom w:w="0" w:type="dxa"/>
              <w:right w:w="57" w:type="dxa"/>
            </w:tcMar>
            <w:vAlign w:val="center"/>
          </w:tcPr>
          <w:p w14:paraId="34C14A6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土壤环境质量现状保障</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源头控制</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；过程防控</w:t>
            </w:r>
            <w:r>
              <w:rPr>
                <w:rFonts w:hint="default" w:ascii="Times New Roman" w:hAnsi="Times New Roman" w:eastAsia="宋体" w:cs="Times New Roman"/>
                <w:color w:val="000000" w:themeColor="text1"/>
                <w:sz w:val="21"/>
                <w:szCs w:val="21"/>
                <w:highlight w:val="none"/>
                <w:lang w:val="en-US" w:eastAsia="en-US"/>
                <w14:textFill>
                  <w14:solidFill>
                    <w14:schemeClr w14:val="tx1"/>
                  </w14:solidFill>
                </w14:textFill>
              </w:rPr>
              <w:sym w:font="Wingdings 2" w:char="0052"/>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；其他（）</w:t>
            </w:r>
          </w:p>
        </w:tc>
        <w:tc>
          <w:tcPr>
            <w:tcW w:w="798" w:type="dxa"/>
            <w:shd w:val="clear" w:color="auto" w:fill="FFFFFF"/>
            <w:noWrap w:val="0"/>
            <w:tcMar>
              <w:top w:w="0" w:type="dxa"/>
              <w:left w:w="57" w:type="dxa"/>
              <w:bottom w:w="0" w:type="dxa"/>
              <w:right w:w="57" w:type="dxa"/>
            </w:tcMar>
            <w:vAlign w:val="center"/>
          </w:tcPr>
          <w:p w14:paraId="4ED75E84">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04A34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4EB5B62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vMerge w:val="restart"/>
            <w:shd w:val="clear" w:color="auto" w:fill="FFFFFF"/>
            <w:noWrap w:val="0"/>
            <w:tcMar>
              <w:top w:w="0" w:type="dxa"/>
              <w:left w:w="57" w:type="dxa"/>
              <w:bottom w:w="0" w:type="dxa"/>
              <w:right w:w="57" w:type="dxa"/>
            </w:tcMar>
            <w:vAlign w:val="center"/>
          </w:tcPr>
          <w:p w14:paraId="5FE5AD1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跟踪监测</w:t>
            </w:r>
          </w:p>
        </w:tc>
        <w:tc>
          <w:tcPr>
            <w:tcW w:w="2453" w:type="dxa"/>
            <w:gridSpan w:val="2"/>
            <w:shd w:val="clear" w:color="auto" w:fill="FFFFFF"/>
            <w:noWrap w:val="0"/>
            <w:tcMar>
              <w:top w:w="0" w:type="dxa"/>
              <w:left w:w="57" w:type="dxa"/>
              <w:bottom w:w="0" w:type="dxa"/>
              <w:right w:w="57" w:type="dxa"/>
            </w:tcMar>
            <w:vAlign w:val="center"/>
          </w:tcPr>
          <w:p w14:paraId="6E0E1E1C">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监测点数</w:t>
            </w:r>
          </w:p>
        </w:tc>
        <w:tc>
          <w:tcPr>
            <w:tcW w:w="1726" w:type="dxa"/>
            <w:shd w:val="clear" w:color="auto" w:fill="FFFFFF"/>
            <w:noWrap w:val="0"/>
            <w:tcMar>
              <w:top w:w="0" w:type="dxa"/>
              <w:left w:w="57" w:type="dxa"/>
              <w:bottom w:w="0" w:type="dxa"/>
              <w:right w:w="57" w:type="dxa"/>
            </w:tcMar>
            <w:vAlign w:val="center"/>
          </w:tcPr>
          <w:p w14:paraId="1C2FCF2D">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监测指标</w:t>
            </w:r>
          </w:p>
        </w:tc>
        <w:tc>
          <w:tcPr>
            <w:tcW w:w="1589" w:type="dxa"/>
            <w:gridSpan w:val="2"/>
            <w:shd w:val="clear" w:color="auto" w:fill="FFFFFF"/>
            <w:noWrap w:val="0"/>
            <w:tcMar>
              <w:top w:w="0" w:type="dxa"/>
              <w:left w:w="57" w:type="dxa"/>
              <w:bottom w:w="0" w:type="dxa"/>
              <w:right w:w="57" w:type="dxa"/>
            </w:tcMar>
            <w:vAlign w:val="center"/>
          </w:tcPr>
          <w:p w14:paraId="7073FE3A">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监测频次</w:t>
            </w:r>
          </w:p>
        </w:tc>
        <w:tc>
          <w:tcPr>
            <w:tcW w:w="798" w:type="dxa"/>
            <w:vMerge w:val="restart"/>
            <w:shd w:val="clear" w:color="auto" w:fill="FFFFFF"/>
            <w:noWrap w:val="0"/>
            <w:tcMar>
              <w:top w:w="0" w:type="dxa"/>
              <w:left w:w="57" w:type="dxa"/>
              <w:bottom w:w="0" w:type="dxa"/>
              <w:right w:w="57" w:type="dxa"/>
            </w:tcMar>
            <w:vAlign w:val="center"/>
          </w:tcPr>
          <w:p w14:paraId="4D769BB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33E2B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45E533E8">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vMerge w:val="continue"/>
            <w:shd w:val="clear" w:color="auto" w:fill="FFFFFF"/>
            <w:noWrap w:val="0"/>
            <w:tcMar>
              <w:top w:w="0" w:type="dxa"/>
              <w:left w:w="57" w:type="dxa"/>
              <w:bottom w:w="0" w:type="dxa"/>
              <w:right w:w="57" w:type="dxa"/>
            </w:tcMar>
            <w:vAlign w:val="center"/>
          </w:tcPr>
          <w:p w14:paraId="406A760B">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2453" w:type="dxa"/>
            <w:gridSpan w:val="2"/>
            <w:shd w:val="clear" w:color="auto" w:fill="FFFFFF"/>
            <w:noWrap w:val="0"/>
            <w:tcMar>
              <w:top w:w="0" w:type="dxa"/>
              <w:left w:w="57" w:type="dxa"/>
              <w:bottom w:w="0" w:type="dxa"/>
              <w:right w:w="57" w:type="dxa"/>
            </w:tcMar>
            <w:vAlign w:val="center"/>
          </w:tcPr>
          <w:p w14:paraId="60A8F6E0">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w:t>
            </w:r>
          </w:p>
        </w:tc>
        <w:tc>
          <w:tcPr>
            <w:tcW w:w="1726" w:type="dxa"/>
            <w:shd w:val="clear" w:color="auto" w:fill="FFFFFF"/>
            <w:noWrap w:val="0"/>
            <w:tcMar>
              <w:top w:w="0" w:type="dxa"/>
              <w:left w:w="57" w:type="dxa"/>
              <w:bottom w:w="0" w:type="dxa"/>
              <w:right w:w="57" w:type="dxa"/>
            </w:tcMar>
            <w:vAlign w:val="center"/>
          </w:tcPr>
          <w:p w14:paraId="2C11882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pH、镍、铬</w:t>
            </w:r>
          </w:p>
        </w:tc>
        <w:tc>
          <w:tcPr>
            <w:tcW w:w="1589" w:type="dxa"/>
            <w:gridSpan w:val="2"/>
            <w:shd w:val="clear" w:color="auto" w:fill="FFFFFF"/>
            <w:noWrap w:val="0"/>
            <w:tcMar>
              <w:top w:w="0" w:type="dxa"/>
              <w:left w:w="57" w:type="dxa"/>
              <w:bottom w:w="0" w:type="dxa"/>
              <w:right w:w="57" w:type="dxa"/>
            </w:tcMar>
            <w:vAlign w:val="center"/>
          </w:tcPr>
          <w:p w14:paraId="18F040F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每年1次</w:t>
            </w:r>
          </w:p>
        </w:tc>
        <w:tc>
          <w:tcPr>
            <w:tcW w:w="798" w:type="dxa"/>
            <w:vMerge w:val="continue"/>
            <w:shd w:val="clear" w:color="auto" w:fill="FFFFFF"/>
            <w:noWrap w:val="0"/>
            <w:tcMar>
              <w:top w:w="0" w:type="dxa"/>
              <w:left w:w="57" w:type="dxa"/>
              <w:bottom w:w="0" w:type="dxa"/>
              <w:right w:w="57" w:type="dxa"/>
            </w:tcMar>
            <w:vAlign w:val="center"/>
          </w:tcPr>
          <w:p w14:paraId="29609905">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178BFF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332" w:type="dxa"/>
            <w:vMerge w:val="continue"/>
            <w:shd w:val="clear" w:color="auto" w:fill="FFFFFF"/>
            <w:noWrap w:val="0"/>
            <w:tcMar>
              <w:top w:w="0" w:type="dxa"/>
              <w:left w:w="57" w:type="dxa"/>
              <w:bottom w:w="0" w:type="dxa"/>
              <w:right w:w="57" w:type="dxa"/>
            </w:tcMar>
            <w:vAlign w:val="center"/>
          </w:tcPr>
          <w:p w14:paraId="79B9248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529" w:type="dxa"/>
            <w:shd w:val="clear" w:color="auto" w:fill="FFFFFF"/>
            <w:noWrap w:val="0"/>
            <w:tcMar>
              <w:top w:w="0" w:type="dxa"/>
              <w:left w:w="57" w:type="dxa"/>
              <w:bottom w:w="0" w:type="dxa"/>
              <w:right w:w="57" w:type="dxa"/>
            </w:tcMar>
            <w:vAlign w:val="center"/>
          </w:tcPr>
          <w:p w14:paraId="4CEDF806">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信息公开指标</w:t>
            </w:r>
          </w:p>
        </w:tc>
        <w:tc>
          <w:tcPr>
            <w:tcW w:w="5768" w:type="dxa"/>
            <w:gridSpan w:val="5"/>
            <w:shd w:val="clear" w:color="auto" w:fill="FFFFFF"/>
            <w:noWrap w:val="0"/>
            <w:tcMar>
              <w:top w:w="0" w:type="dxa"/>
              <w:left w:w="57" w:type="dxa"/>
              <w:bottom w:w="0" w:type="dxa"/>
              <w:right w:w="57" w:type="dxa"/>
            </w:tcMar>
            <w:vAlign w:val="center"/>
          </w:tcPr>
          <w:p w14:paraId="00341D43">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798" w:type="dxa"/>
            <w:vMerge w:val="continue"/>
            <w:shd w:val="clear" w:color="auto" w:fill="FFFFFF"/>
            <w:noWrap w:val="0"/>
            <w:tcMar>
              <w:top w:w="0" w:type="dxa"/>
              <w:left w:w="57" w:type="dxa"/>
              <w:bottom w:w="0" w:type="dxa"/>
              <w:right w:w="57" w:type="dxa"/>
            </w:tcMar>
            <w:vAlign w:val="center"/>
          </w:tcPr>
          <w:p w14:paraId="16349722">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155EB6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61" w:type="dxa"/>
            <w:gridSpan w:val="2"/>
            <w:shd w:val="clear" w:color="auto" w:fill="FFFFFF"/>
            <w:noWrap w:val="0"/>
            <w:tcMar>
              <w:top w:w="0" w:type="dxa"/>
              <w:left w:w="57" w:type="dxa"/>
              <w:bottom w:w="0" w:type="dxa"/>
              <w:right w:w="57" w:type="dxa"/>
            </w:tcMar>
            <w:vAlign w:val="center"/>
          </w:tcPr>
          <w:p w14:paraId="2565D66E">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评价结论</w:t>
            </w:r>
          </w:p>
        </w:tc>
        <w:tc>
          <w:tcPr>
            <w:tcW w:w="5768" w:type="dxa"/>
            <w:gridSpan w:val="5"/>
            <w:shd w:val="clear" w:color="auto" w:fill="FFFFFF"/>
            <w:noWrap w:val="0"/>
            <w:tcMar>
              <w:top w:w="0" w:type="dxa"/>
              <w:left w:w="57" w:type="dxa"/>
              <w:bottom w:w="0" w:type="dxa"/>
              <w:right w:w="57" w:type="dxa"/>
            </w:tcMar>
            <w:vAlign w:val="center"/>
          </w:tcPr>
          <w:p w14:paraId="332F4E29">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建设单位按要求建设防渗措施及风险事故防范措施情况下，项目建设对土壤环境影响较小</w:t>
            </w:r>
          </w:p>
        </w:tc>
        <w:tc>
          <w:tcPr>
            <w:tcW w:w="798" w:type="dxa"/>
            <w:shd w:val="clear" w:color="auto" w:fill="FFFFFF"/>
            <w:noWrap w:val="0"/>
            <w:tcMar>
              <w:top w:w="0" w:type="dxa"/>
              <w:left w:w="57" w:type="dxa"/>
              <w:bottom w:w="0" w:type="dxa"/>
              <w:right w:w="57" w:type="dxa"/>
            </w:tcMar>
            <w:vAlign w:val="center"/>
          </w:tcPr>
          <w:p w14:paraId="059767A7">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55EFD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8427" w:type="dxa"/>
            <w:gridSpan w:val="8"/>
            <w:shd w:val="clear" w:color="auto" w:fill="FFFFFF"/>
            <w:noWrap w:val="0"/>
            <w:tcMar>
              <w:top w:w="0" w:type="dxa"/>
              <w:left w:w="57" w:type="dxa"/>
              <w:bottom w:w="0" w:type="dxa"/>
              <w:right w:w="57" w:type="dxa"/>
            </w:tcMar>
            <w:vAlign w:val="center"/>
          </w:tcPr>
          <w:p w14:paraId="1D63E701">
            <w:pPr>
              <w:keepNext w:val="0"/>
              <w:keepLines w:val="0"/>
              <w:widowControl/>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注1：“□”为勾选项，可心“（）”为内容填写项；“备注”为其他补充内容。注2：需要分别开展土壤环境影响评级工作的，分别填写自查表。</w:t>
            </w:r>
          </w:p>
        </w:tc>
      </w:tr>
    </w:tbl>
    <w:p w14:paraId="5527EAC6">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default"/>
          <w:lang w:val="en-US" w:eastAsia="zh-CN"/>
        </w:rPr>
      </w:pPr>
      <w:bookmarkStart w:id="599" w:name="_Toc22143"/>
      <w:r>
        <w:rPr>
          <w:rFonts w:hint="eastAsia"/>
          <w:lang w:val="en-US" w:eastAsia="zh-CN"/>
        </w:rPr>
        <w:t>5.8生态环境影响分析</w:t>
      </w:r>
      <w:bookmarkEnd w:id="599"/>
    </w:p>
    <w:p w14:paraId="6645770C">
      <w:pPr>
        <w:pStyle w:val="16"/>
        <w:widowControl/>
        <w:adjustRightInd w:val="0"/>
        <w:snapToGrid w:val="0"/>
        <w:spacing w:line="500" w:lineRule="exact"/>
        <w:ind w:firstLine="480" w:firstLineChars="200"/>
        <w:jc w:val="both"/>
        <w:rPr>
          <w:rFonts w:hint="default" w:ascii="Times New Roman" w:hAnsi="Times New Roman" w:eastAsia="宋体" w:cs="Times New Roman"/>
          <w:snapToGrid w:val="0"/>
          <w:color w:val="000000"/>
          <w:spacing w:val="0"/>
          <w:w w:val="100"/>
          <w:kern w:val="21"/>
          <w:position w:val="0"/>
        </w:rPr>
      </w:pPr>
      <w:r>
        <w:rPr>
          <w:rFonts w:hint="default" w:ascii="Times New Roman" w:hAnsi="Times New Roman" w:eastAsia="宋体" w:cs="Times New Roman"/>
          <w:color w:val="000000"/>
          <w:spacing w:val="0"/>
          <w:w w:val="100"/>
          <w:kern w:val="21"/>
          <w:position w:val="0"/>
        </w:rPr>
        <w:t>本项目位于</w:t>
      </w:r>
      <w:r>
        <w:rPr>
          <w:rFonts w:hint="eastAsia" w:ascii="Times New Roman" w:hAnsi="Times New Roman" w:cs="Times New Roman"/>
          <w:color w:val="000000"/>
          <w:spacing w:val="0"/>
          <w:w w:val="100"/>
          <w:kern w:val="21"/>
          <w:position w:val="0"/>
          <w:lang w:val="en-US" w:eastAsia="zh-CN"/>
        </w:rPr>
        <w:t>获嘉县</w:t>
      </w:r>
      <w:r>
        <w:rPr>
          <w:rFonts w:hint="default" w:ascii="Times New Roman" w:hAnsi="Times New Roman" w:cs="Times New Roman"/>
          <w:color w:val="000000"/>
          <w:spacing w:val="0"/>
          <w:w w:val="100"/>
          <w:kern w:val="21"/>
          <w:position w:val="0"/>
          <w:lang w:val="en-US" w:eastAsia="zh-CN"/>
        </w:rPr>
        <w:t>先进制造业开发区</w:t>
      </w:r>
      <w:r>
        <w:rPr>
          <w:rFonts w:hint="default" w:ascii="Times New Roman" w:hAnsi="Times New Roman" w:eastAsia="宋体" w:cs="Times New Roman"/>
          <w:color w:val="000000"/>
          <w:spacing w:val="0"/>
          <w:w w:val="100"/>
          <w:kern w:val="21"/>
          <w:position w:val="0"/>
        </w:rPr>
        <w:t>，</w:t>
      </w:r>
      <w:r>
        <w:rPr>
          <w:rFonts w:hint="default" w:ascii="Times New Roman" w:hAnsi="Times New Roman" w:eastAsia="宋体" w:cs="Times New Roman"/>
          <w:color w:val="000000"/>
          <w:spacing w:val="0"/>
          <w:w w:val="100"/>
          <w:kern w:val="21"/>
          <w:position w:val="0"/>
          <w:lang w:eastAsia="zh-CN"/>
        </w:rPr>
        <w:t>属于工业企业产业集聚区，</w:t>
      </w:r>
      <w:r>
        <w:rPr>
          <w:rFonts w:hint="default" w:ascii="Times New Roman" w:hAnsi="Times New Roman" w:eastAsia="宋体" w:cs="Times New Roman"/>
          <w:color w:val="000000"/>
          <w:spacing w:val="0"/>
          <w:w w:val="100"/>
          <w:kern w:val="21"/>
          <w:position w:val="0"/>
        </w:rPr>
        <w:t>所在区域无大面积的植被，也无珍贵陆生、水生动物。生产运营产生的废气经处理达标排放，废水经处理后纳管排放，采取一定的隔声降噪措施后，</w:t>
      </w:r>
      <w:r>
        <w:rPr>
          <w:rFonts w:hint="default" w:ascii="Times New Roman" w:hAnsi="Times New Roman" w:eastAsia="宋体" w:cs="Times New Roman"/>
          <w:snapToGrid w:val="0"/>
          <w:color w:val="000000"/>
          <w:spacing w:val="0"/>
          <w:w w:val="100"/>
          <w:kern w:val="21"/>
          <w:position w:val="0"/>
        </w:rPr>
        <w:t>噪声排放对周边环境影响不大，固废能够有效合理处置。本项目运营期基本不会对周围生态环境产生明显的不利影响。</w:t>
      </w:r>
    </w:p>
    <w:p w14:paraId="7E9F1425">
      <w:pPr>
        <w:ind w:left="0" w:leftChars="0" w:firstLine="0" w:firstLineChars="0"/>
        <w:rPr>
          <w:rFonts w:hint="eastAsia" w:ascii="Times New Roman" w:hAnsi="Times New Roman" w:cs="Times New Roman"/>
          <w:b w:val="0"/>
          <w:bCs w:val="0"/>
          <w:u w:val="none"/>
        </w:rPr>
      </w:pPr>
    </w:p>
    <w:p w14:paraId="7857BE62">
      <w:pPr>
        <w:pStyle w:val="72"/>
        <w:rPr>
          <w:snapToGrid w:val="0"/>
        </w:rPr>
      </w:pPr>
    </w:p>
    <w:p w14:paraId="7A162C98">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600" w:name="_Toc28901"/>
      <w:r>
        <w:rPr>
          <w:rFonts w:hint="eastAsia" w:ascii="Times New Roman" w:hAnsi="Times New Roman" w:cs="Times New Roman"/>
          <w:lang w:val="en-US" w:eastAsia="zh-CN"/>
        </w:rPr>
        <w:t>环境风险评价</w:t>
      </w:r>
      <w:bookmarkEnd w:id="600"/>
    </w:p>
    <w:bookmarkEnd w:id="586"/>
    <w:bookmarkEnd w:id="587"/>
    <w:bookmarkEnd w:id="588"/>
    <w:bookmarkEnd w:id="589"/>
    <w:p w14:paraId="4FCB5430">
      <w:pPr>
        <w:pStyle w:val="72"/>
      </w:pPr>
      <w:r>
        <w:t>根据《建设项目环境风险评价技术导则》（HJ169-20</w:t>
      </w:r>
      <w:r>
        <w:rPr>
          <w:rFonts w:hint="eastAsia"/>
        </w:rPr>
        <w:t>18</w:t>
      </w:r>
      <w:r>
        <w:t>），</w:t>
      </w:r>
      <w:r>
        <w:rPr>
          <w:rFonts w:hint="eastAsia"/>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46698BE8">
      <w:pPr>
        <w:pStyle w:val="72"/>
      </w:pPr>
      <w:r>
        <w:t>环境风险评价应把事故引起厂（场）界外人群的伤害、环境质量的恶化及对生态系统影响的预测和防护作为评价工作重点。</w:t>
      </w:r>
    </w:p>
    <w:p w14:paraId="5A290E48">
      <w:pPr>
        <w:pStyle w:val="72"/>
      </w:pPr>
      <w:r>
        <w:rPr>
          <w:rFonts w:hint="eastAsia"/>
        </w:rPr>
        <w:t>本项目主要风险源为化学品储存间（包括硫酸镍、氯化镍的存放处）</w:t>
      </w:r>
      <w:r>
        <w:rPr>
          <w:rFonts w:hint="eastAsia"/>
          <w:lang w:val="en-US" w:eastAsia="zh-CN"/>
        </w:rPr>
        <w:t>以及储罐区（硫酸储罐）</w:t>
      </w:r>
      <w:r>
        <w:rPr>
          <w:rFonts w:hint="eastAsia"/>
        </w:rPr>
        <w:t>。因此，本次风险评价通过认识本项目的风险程度、危险环节和事故后果影响大小，从中提高风险管理的意识，采取必要的防范措施以减少环境危害，并提出事故应急措施和预案，达到安全生产、发展经济的目的。</w:t>
      </w:r>
    </w:p>
    <w:p w14:paraId="054766DE">
      <w:pPr>
        <w:ind w:firstLine="480"/>
      </w:pPr>
      <w:bookmarkStart w:id="601" w:name="_Toc497299841"/>
      <w:bookmarkStart w:id="602" w:name="_Toc465270344"/>
      <w:bookmarkStart w:id="603" w:name="_Toc428286908"/>
      <w:bookmarkStart w:id="604" w:name="_Toc422317665"/>
      <w:bookmarkStart w:id="605" w:name="_Toc429318430"/>
      <w:bookmarkStart w:id="606" w:name="_Toc428287269"/>
      <w:r>
        <w:rPr>
          <w:rFonts w:hint="eastAsia"/>
        </w:rPr>
        <w:t>环境风险评价的工作程序见下图。</w:t>
      </w:r>
    </w:p>
    <w:p w14:paraId="3F4A96CC">
      <w:pPr>
        <w:ind w:firstLine="480"/>
      </w:pPr>
    </w:p>
    <w:p w14:paraId="16C270FD">
      <w:pPr>
        <w:ind w:firstLine="480"/>
      </w:pPr>
    </w:p>
    <w:p w14:paraId="7CECCC33">
      <w:pPr>
        <w:ind w:firstLine="480"/>
      </w:pPr>
    </w:p>
    <w:p w14:paraId="1E9F96A6">
      <w:pPr>
        <w:ind w:firstLine="480"/>
      </w:pPr>
    </w:p>
    <w:p w14:paraId="547702C4">
      <w:pPr>
        <w:ind w:firstLine="480"/>
      </w:pPr>
    </w:p>
    <w:p w14:paraId="6941849D">
      <w:pPr>
        <w:ind w:firstLine="480"/>
      </w:pPr>
    </w:p>
    <w:p w14:paraId="61E2297C">
      <w:pPr>
        <w:ind w:firstLine="480"/>
      </w:pPr>
    </w:p>
    <w:p w14:paraId="0EB0047F">
      <w:pPr>
        <w:ind w:firstLine="480"/>
      </w:pPr>
    </w:p>
    <w:p w14:paraId="22386FD9">
      <w:pPr>
        <w:ind w:firstLine="480"/>
      </w:pPr>
    </w:p>
    <w:p w14:paraId="0C8ACB2E">
      <w:pPr>
        <w:ind w:firstLine="480"/>
      </w:pPr>
    </w:p>
    <w:p w14:paraId="140CEAC0">
      <w:pPr>
        <w:spacing w:line="240" w:lineRule="auto"/>
        <w:ind w:firstLine="0" w:firstLineChars="0"/>
        <w:jc w:val="center"/>
      </w:pPr>
      <w:r>
        <w:drawing>
          <wp:inline distT="0" distB="0" distL="0" distR="0">
            <wp:extent cx="5272405" cy="6124575"/>
            <wp:effectExtent l="0" t="0" r="4445" b="0"/>
            <wp:docPr id="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9"/>
                    <pic:cNvPicPr>
                      <a:picLocks noChangeAspect="1" noChangeArrowheads="1"/>
                    </pic:cNvPicPr>
                  </pic:nvPicPr>
                  <pic:blipFill>
                    <a:blip r:embed="rId54" cstate="print">
                      <a:extLst>
                        <a:ext uri="{28A0092B-C50C-407E-A947-70E740481C1C}">
                          <a14:useLocalDpi xmlns:a14="http://schemas.microsoft.com/office/drawing/2010/main" val="0"/>
                        </a:ext>
                      </a:extLst>
                    </a:blip>
                    <a:srcRect t="1355"/>
                    <a:stretch>
                      <a:fillRect/>
                    </a:stretch>
                  </pic:blipFill>
                  <pic:spPr>
                    <a:xfrm>
                      <a:off x="0" y="0"/>
                      <a:ext cx="5272995" cy="6124575"/>
                    </a:xfrm>
                    <a:prstGeom prst="rect">
                      <a:avLst/>
                    </a:prstGeom>
                    <a:noFill/>
                    <a:ln w="9525">
                      <a:noFill/>
                      <a:miter lim="800000"/>
                      <a:headEnd/>
                      <a:tailEnd/>
                    </a:ln>
                  </pic:spPr>
                </pic:pic>
              </a:graphicData>
            </a:graphic>
          </wp:inline>
        </w:drawing>
      </w:r>
    </w:p>
    <w:p w14:paraId="6A0F01B4">
      <w:pPr>
        <w:pStyle w:val="78"/>
      </w:pPr>
      <w:r>
        <w:rPr>
          <w:rFonts w:hint="eastAsia"/>
        </w:rPr>
        <w:t>环境风险评价工作顺序图</w:t>
      </w:r>
    </w:p>
    <w:bookmarkEnd w:id="601"/>
    <w:bookmarkEnd w:id="602"/>
    <w:p w14:paraId="2C4B9BAB">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07" w:name="_Toc11013"/>
      <w:r>
        <w:rPr>
          <w:rFonts w:hint="eastAsia"/>
          <w:lang w:val="en-US" w:eastAsia="zh-CN"/>
        </w:rPr>
        <w:t>6.1风险调查</w:t>
      </w:r>
      <w:bookmarkEnd w:id="607"/>
    </w:p>
    <w:p w14:paraId="48D68E6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cs="Times New Roman"/>
          <w:lang w:val="en-US" w:eastAsia="zh-CN"/>
        </w:rPr>
        <w:t>6.1.1</w:t>
      </w:r>
      <w:r>
        <w:rPr>
          <w:rFonts w:hint="eastAsia" w:ascii="Times New Roman" w:hAnsi="Times New Roman" w:cs="Times New Roman"/>
          <w:lang w:val="en-US" w:eastAsia="zh-CN"/>
        </w:rPr>
        <w:t>项目风险源调查</w:t>
      </w:r>
    </w:p>
    <w:p w14:paraId="7C1065D5">
      <w:pPr>
        <w:pStyle w:val="72"/>
      </w:pPr>
      <w:r>
        <w:rPr>
          <w:rFonts w:hint="eastAsia"/>
        </w:rPr>
        <w:t>（1）风险源</w:t>
      </w:r>
    </w:p>
    <w:p w14:paraId="1C1F9BE9">
      <w:pPr>
        <w:pStyle w:val="72"/>
      </w:pPr>
      <w:r>
        <w:rPr>
          <w:rFonts w:hint="eastAsia"/>
        </w:rPr>
        <w:t>本项目建成后的危险物质主要为硫酸镍、氯化镍、硫酸、液压油、硝酸铬，其储存情况见下表。</w:t>
      </w:r>
    </w:p>
    <w:p w14:paraId="4B41CBB8">
      <w:pPr>
        <w:pStyle w:val="38"/>
        <w:spacing w:before="240" w:after="120"/>
        <w:ind w:firstLine="482"/>
        <w:rPr>
          <w:rFonts w:hint="eastAsia"/>
          <w:b/>
          <w:bCs w:val="0"/>
          <w:color w:val="000000" w:themeColor="text1"/>
          <w14:textFill>
            <w14:solidFill>
              <w14:schemeClr w14:val="tx1"/>
            </w14:solidFill>
          </w14:textFill>
        </w:rPr>
      </w:pPr>
    </w:p>
    <w:p w14:paraId="65E0045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03ACF31E">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表6</w:t>
      </w:r>
      <w:r>
        <w:rPr>
          <w:rFonts w:hint="eastAsia"/>
          <w:lang w:val="en-US" w:eastAsia="zh-CN"/>
        </w:rPr>
        <w:t>.1</w:t>
      </w:r>
      <w:r>
        <w:rPr>
          <w:rFonts w:hint="eastAsia"/>
        </w:rPr>
        <w:t>-1    风险物质最大存在量     单位：t</w:t>
      </w:r>
    </w:p>
    <w:tbl>
      <w:tblPr>
        <w:tblStyle w:val="39"/>
        <w:tblW w:w="4999"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667"/>
        <w:gridCol w:w="1813"/>
        <w:gridCol w:w="1006"/>
        <w:gridCol w:w="2549"/>
        <w:gridCol w:w="1292"/>
        <w:gridCol w:w="1041"/>
      </w:tblGrid>
      <w:tr w14:paraId="648ED2C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4EA9FE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813" w:type="dxa"/>
            <w:tcBorders>
              <w:tl2br w:val="nil"/>
              <w:tr2bl w:val="nil"/>
            </w:tcBorders>
            <w:noWrap w:val="0"/>
            <w:vAlign w:val="center"/>
          </w:tcPr>
          <w:p w14:paraId="2E98B4B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物料名称</w:t>
            </w:r>
          </w:p>
        </w:tc>
        <w:tc>
          <w:tcPr>
            <w:tcW w:w="1006" w:type="dxa"/>
            <w:tcBorders>
              <w:tl2br w:val="nil"/>
              <w:tr2bl w:val="nil"/>
            </w:tcBorders>
            <w:noWrap w:val="0"/>
            <w:vAlign w:val="center"/>
          </w:tcPr>
          <w:p w14:paraId="47A8A32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形态</w:t>
            </w:r>
          </w:p>
        </w:tc>
        <w:tc>
          <w:tcPr>
            <w:tcW w:w="2549" w:type="dxa"/>
            <w:tcBorders>
              <w:tl2br w:val="nil"/>
              <w:tr2bl w:val="nil"/>
            </w:tcBorders>
            <w:noWrap w:val="0"/>
            <w:vAlign w:val="center"/>
          </w:tcPr>
          <w:p w14:paraId="20A5C1F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包装规格、储存方式</w:t>
            </w:r>
          </w:p>
        </w:tc>
        <w:tc>
          <w:tcPr>
            <w:tcW w:w="1292" w:type="dxa"/>
            <w:tcBorders>
              <w:tl2br w:val="nil"/>
              <w:tr2bl w:val="nil"/>
            </w:tcBorders>
            <w:noWrap w:val="0"/>
            <w:vAlign w:val="center"/>
          </w:tcPr>
          <w:p w14:paraId="5135B13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最大存在量</w:t>
            </w:r>
          </w:p>
          <w:p w14:paraId="5E5E6F3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（含在线量）</w:t>
            </w:r>
          </w:p>
        </w:tc>
        <w:tc>
          <w:tcPr>
            <w:tcW w:w="1041" w:type="dxa"/>
            <w:tcBorders>
              <w:tl2br w:val="nil"/>
              <w:tr2bl w:val="nil"/>
            </w:tcBorders>
            <w:noWrap w:val="0"/>
            <w:vAlign w:val="center"/>
          </w:tcPr>
          <w:p w14:paraId="13F5846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14:paraId="0B49B4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2092174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13" w:type="dxa"/>
            <w:tcBorders>
              <w:tl2br w:val="nil"/>
              <w:tr2bl w:val="nil"/>
            </w:tcBorders>
            <w:noWrap w:val="0"/>
            <w:vAlign w:val="center"/>
          </w:tcPr>
          <w:p w14:paraId="0FE4237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硫酸镍</w:t>
            </w:r>
          </w:p>
        </w:tc>
        <w:tc>
          <w:tcPr>
            <w:tcW w:w="1006" w:type="dxa"/>
            <w:tcBorders>
              <w:tl2br w:val="nil"/>
              <w:tr2bl w:val="nil"/>
            </w:tcBorders>
            <w:noWrap w:val="0"/>
            <w:vAlign w:val="center"/>
          </w:tcPr>
          <w:p w14:paraId="45FCEA3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固态</w:t>
            </w:r>
          </w:p>
        </w:tc>
        <w:tc>
          <w:tcPr>
            <w:tcW w:w="2549" w:type="dxa"/>
            <w:tcBorders>
              <w:tl2br w:val="nil"/>
              <w:tr2bl w:val="nil"/>
            </w:tcBorders>
            <w:noWrap w:val="0"/>
            <w:vAlign w:val="center"/>
          </w:tcPr>
          <w:p w14:paraId="61112A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25kg/袋</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化学品仓库</w:t>
            </w:r>
          </w:p>
        </w:tc>
        <w:tc>
          <w:tcPr>
            <w:tcW w:w="1292" w:type="dxa"/>
            <w:tcBorders>
              <w:tl2br w:val="nil"/>
              <w:tr2bl w:val="nil"/>
            </w:tcBorders>
            <w:noWrap w:val="0"/>
            <w:vAlign w:val="center"/>
          </w:tcPr>
          <w:p w14:paraId="0C5F764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8.3</w:t>
            </w:r>
            <w:r>
              <w:rPr>
                <w:rFonts w:hint="default" w:ascii="Times New Roman" w:hAnsi="Times New Roman" w:eastAsia="宋体" w:cs="Times New Roman"/>
                <w:sz w:val="21"/>
                <w:szCs w:val="21"/>
              </w:rPr>
              <w:t>t</w:t>
            </w:r>
          </w:p>
        </w:tc>
        <w:tc>
          <w:tcPr>
            <w:tcW w:w="1041" w:type="dxa"/>
            <w:vMerge w:val="restart"/>
            <w:tcBorders>
              <w:tl2br w:val="nil"/>
              <w:tr2bl w:val="nil"/>
            </w:tcBorders>
            <w:noWrap w:val="0"/>
            <w:vAlign w:val="center"/>
          </w:tcPr>
          <w:p w14:paraId="5B0A1E6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原辅材料</w:t>
            </w:r>
          </w:p>
        </w:tc>
      </w:tr>
      <w:tr w14:paraId="5CCE657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462" w:hRule="atLeast"/>
          <w:jc w:val="center"/>
        </w:trPr>
        <w:tc>
          <w:tcPr>
            <w:tcW w:w="667" w:type="dxa"/>
            <w:tcBorders>
              <w:tl2br w:val="nil"/>
              <w:tr2bl w:val="nil"/>
            </w:tcBorders>
            <w:noWrap w:val="0"/>
            <w:vAlign w:val="center"/>
          </w:tcPr>
          <w:p w14:paraId="186261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13" w:type="dxa"/>
            <w:tcBorders>
              <w:tl2br w:val="nil"/>
              <w:tr2bl w:val="nil"/>
            </w:tcBorders>
            <w:noWrap w:val="0"/>
            <w:vAlign w:val="center"/>
          </w:tcPr>
          <w:p w14:paraId="76A921F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硫酸</w:t>
            </w:r>
          </w:p>
        </w:tc>
        <w:tc>
          <w:tcPr>
            <w:tcW w:w="1006" w:type="dxa"/>
            <w:tcBorders>
              <w:tl2br w:val="nil"/>
              <w:tr2bl w:val="nil"/>
            </w:tcBorders>
            <w:noWrap w:val="0"/>
            <w:vAlign w:val="center"/>
          </w:tcPr>
          <w:p w14:paraId="2EB22E7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2549" w:type="dxa"/>
            <w:tcBorders>
              <w:tl2br w:val="nil"/>
              <w:tr2bl w:val="nil"/>
            </w:tcBorders>
            <w:noWrap w:val="0"/>
            <w:vAlign w:val="center"/>
          </w:tcPr>
          <w:p w14:paraId="2F7E53B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rPr>
              <w:t>储罐</w:t>
            </w:r>
          </w:p>
        </w:tc>
        <w:tc>
          <w:tcPr>
            <w:tcW w:w="1292" w:type="dxa"/>
            <w:tcBorders>
              <w:tl2br w:val="nil"/>
              <w:tr2bl w:val="nil"/>
            </w:tcBorders>
            <w:noWrap w:val="0"/>
            <w:vAlign w:val="center"/>
          </w:tcPr>
          <w:p w14:paraId="002FACD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4.8t</w:t>
            </w:r>
          </w:p>
        </w:tc>
        <w:tc>
          <w:tcPr>
            <w:tcW w:w="1041" w:type="dxa"/>
            <w:vMerge w:val="continue"/>
            <w:tcBorders>
              <w:tl2br w:val="nil"/>
              <w:tr2bl w:val="nil"/>
            </w:tcBorders>
            <w:noWrap w:val="0"/>
            <w:vAlign w:val="center"/>
          </w:tcPr>
          <w:p w14:paraId="3D80A7FC">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eastAsia="宋体" w:cs="Times New Roman"/>
                <w:sz w:val="21"/>
                <w:szCs w:val="21"/>
              </w:rPr>
            </w:pPr>
          </w:p>
        </w:tc>
      </w:tr>
      <w:tr w14:paraId="1430FD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2DF67C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13" w:type="dxa"/>
            <w:tcBorders>
              <w:tl2br w:val="nil"/>
              <w:tr2bl w:val="nil"/>
            </w:tcBorders>
            <w:noWrap w:val="0"/>
            <w:vAlign w:val="center"/>
          </w:tcPr>
          <w:p w14:paraId="49CB1F7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氯化镍</w:t>
            </w:r>
          </w:p>
        </w:tc>
        <w:tc>
          <w:tcPr>
            <w:tcW w:w="1006" w:type="dxa"/>
            <w:tcBorders>
              <w:tl2br w:val="nil"/>
              <w:tr2bl w:val="nil"/>
            </w:tcBorders>
            <w:noWrap w:val="0"/>
            <w:vAlign w:val="center"/>
          </w:tcPr>
          <w:p w14:paraId="41107E6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固态</w:t>
            </w:r>
          </w:p>
        </w:tc>
        <w:tc>
          <w:tcPr>
            <w:tcW w:w="2549" w:type="dxa"/>
            <w:tcBorders>
              <w:tl2br w:val="nil"/>
              <w:tr2bl w:val="nil"/>
            </w:tcBorders>
            <w:noWrap w:val="0"/>
            <w:vAlign w:val="center"/>
          </w:tcPr>
          <w:p w14:paraId="1428E2F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25kg/袋</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化学品仓库</w:t>
            </w:r>
          </w:p>
        </w:tc>
        <w:tc>
          <w:tcPr>
            <w:tcW w:w="1292" w:type="dxa"/>
            <w:tcBorders>
              <w:tl2br w:val="nil"/>
              <w:tr2bl w:val="nil"/>
            </w:tcBorders>
            <w:noWrap w:val="0"/>
            <w:vAlign w:val="center"/>
          </w:tcPr>
          <w:p w14:paraId="253230C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r>
              <w:rPr>
                <w:rFonts w:hint="default" w:ascii="Times New Roman" w:hAnsi="Times New Roman" w:eastAsia="宋体" w:cs="Times New Roman"/>
                <w:sz w:val="21"/>
                <w:szCs w:val="21"/>
              </w:rPr>
              <w:t>t</w:t>
            </w:r>
          </w:p>
        </w:tc>
        <w:tc>
          <w:tcPr>
            <w:tcW w:w="1041" w:type="dxa"/>
            <w:vMerge w:val="continue"/>
            <w:tcBorders>
              <w:tl2br w:val="nil"/>
              <w:tr2bl w:val="nil"/>
            </w:tcBorders>
            <w:noWrap w:val="0"/>
            <w:vAlign w:val="center"/>
          </w:tcPr>
          <w:p w14:paraId="4400F9DE">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eastAsia="宋体" w:cs="Times New Roman"/>
                <w:sz w:val="21"/>
                <w:szCs w:val="21"/>
              </w:rPr>
            </w:pPr>
          </w:p>
        </w:tc>
      </w:tr>
      <w:tr w14:paraId="5FD15C2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56070F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813" w:type="dxa"/>
            <w:tcBorders>
              <w:tl2br w:val="nil"/>
              <w:tr2bl w:val="nil"/>
            </w:tcBorders>
            <w:noWrap w:val="0"/>
            <w:vAlign w:val="center"/>
          </w:tcPr>
          <w:p w14:paraId="2CF4CA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液压油</w:t>
            </w:r>
          </w:p>
        </w:tc>
        <w:tc>
          <w:tcPr>
            <w:tcW w:w="1006" w:type="dxa"/>
            <w:tcBorders>
              <w:tl2br w:val="nil"/>
              <w:tr2bl w:val="nil"/>
            </w:tcBorders>
            <w:noWrap w:val="0"/>
            <w:vAlign w:val="center"/>
          </w:tcPr>
          <w:p w14:paraId="0A7C013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2549" w:type="dxa"/>
            <w:tcBorders>
              <w:tl2br w:val="nil"/>
              <w:tr2bl w:val="nil"/>
            </w:tcBorders>
            <w:shd w:val="clear" w:color="auto" w:fill="auto"/>
            <w:noWrap w:val="0"/>
            <w:vAlign w:val="center"/>
          </w:tcPr>
          <w:p w14:paraId="5522FC88">
            <w:pPr>
              <w:keepNext w:val="0"/>
              <w:keepLines w:val="0"/>
              <w:widowControl/>
              <w:suppressLineNumbers w:val="0"/>
              <w:ind w:firstLine="420" w:firstLineChars="200"/>
              <w:jc w:val="center"/>
              <w:textAlignment w:val="center"/>
              <w:rPr>
                <w:rFonts w:hint="default" w:ascii="Times New Roman" w:hAnsi="Times New Roman" w:eastAsia="宋体" w:cs="Times New Roman"/>
                <w:i w:val="0"/>
                <w:iCs w:val="0"/>
                <w:color w:val="000000"/>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100kg/桶，</w:t>
            </w:r>
            <w:r>
              <w:rPr>
                <w:rFonts w:hint="default" w:ascii="Times New Roman" w:hAnsi="Times New Roman" w:eastAsia="宋体" w:cs="Times New Roman"/>
                <w:sz w:val="21"/>
                <w:szCs w:val="21"/>
                <w:lang w:val="en-US" w:eastAsia="zh-CN"/>
              </w:rPr>
              <w:t>化学品仓库</w:t>
            </w:r>
          </w:p>
        </w:tc>
        <w:tc>
          <w:tcPr>
            <w:tcW w:w="1292" w:type="dxa"/>
            <w:tcBorders>
              <w:tl2br w:val="nil"/>
              <w:tr2bl w:val="nil"/>
            </w:tcBorders>
            <w:noWrap w:val="0"/>
            <w:vAlign w:val="center"/>
          </w:tcPr>
          <w:p w14:paraId="51E5773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0.4t</w:t>
            </w:r>
          </w:p>
        </w:tc>
        <w:tc>
          <w:tcPr>
            <w:tcW w:w="1041" w:type="dxa"/>
            <w:vMerge w:val="continue"/>
            <w:tcBorders>
              <w:tl2br w:val="nil"/>
              <w:tr2bl w:val="nil"/>
            </w:tcBorders>
            <w:noWrap w:val="0"/>
            <w:vAlign w:val="center"/>
          </w:tcPr>
          <w:p w14:paraId="28211EB6">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eastAsia="宋体" w:cs="Times New Roman"/>
                <w:sz w:val="21"/>
                <w:szCs w:val="21"/>
              </w:rPr>
            </w:pPr>
          </w:p>
        </w:tc>
      </w:tr>
      <w:tr w14:paraId="7D1244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5B7AF93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813" w:type="dxa"/>
            <w:tcBorders>
              <w:tl2br w:val="nil"/>
              <w:tr2bl w:val="nil"/>
            </w:tcBorders>
            <w:noWrap w:val="0"/>
            <w:vAlign w:val="center"/>
          </w:tcPr>
          <w:p w14:paraId="1F04D9A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硝酸铬</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以铬计</w:t>
            </w:r>
            <w:r>
              <w:rPr>
                <w:rFonts w:hint="default" w:ascii="Times New Roman" w:hAnsi="Times New Roman" w:eastAsia="宋体" w:cs="Times New Roman"/>
                <w:sz w:val="21"/>
                <w:szCs w:val="21"/>
                <w:lang w:eastAsia="zh-CN"/>
              </w:rPr>
              <w:t>）</w:t>
            </w:r>
          </w:p>
        </w:tc>
        <w:tc>
          <w:tcPr>
            <w:tcW w:w="1006" w:type="dxa"/>
            <w:tcBorders>
              <w:tl2br w:val="nil"/>
              <w:tr2bl w:val="nil"/>
            </w:tcBorders>
            <w:noWrap w:val="0"/>
            <w:vAlign w:val="center"/>
          </w:tcPr>
          <w:p w14:paraId="15BBEC4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固态</w:t>
            </w:r>
          </w:p>
        </w:tc>
        <w:tc>
          <w:tcPr>
            <w:tcW w:w="2549" w:type="dxa"/>
            <w:tcBorders>
              <w:tl2br w:val="nil"/>
              <w:tr2bl w:val="nil"/>
            </w:tcBorders>
            <w:shd w:val="clear" w:color="auto" w:fill="auto"/>
            <w:noWrap w:val="0"/>
            <w:vAlign w:val="center"/>
          </w:tcPr>
          <w:p w14:paraId="68F702B2">
            <w:pPr>
              <w:keepNext w:val="0"/>
              <w:keepLines w:val="0"/>
              <w:widowControl/>
              <w:suppressLineNumbers w:val="0"/>
              <w:ind w:firstLine="420" w:firstLineChars="200"/>
              <w:jc w:val="center"/>
              <w:textAlignment w:val="center"/>
              <w:rPr>
                <w:rFonts w:hint="default" w:ascii="Times New Roman" w:hAnsi="Times New Roman" w:eastAsia="宋体" w:cs="Times New Roman"/>
                <w:i w:val="0"/>
                <w:iCs w:val="0"/>
                <w:color w:val="000000"/>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50kg/袋，</w:t>
            </w:r>
            <w:r>
              <w:rPr>
                <w:rFonts w:hint="default" w:ascii="Times New Roman" w:hAnsi="Times New Roman" w:eastAsia="宋体" w:cs="Times New Roman"/>
                <w:sz w:val="21"/>
                <w:szCs w:val="21"/>
                <w:lang w:val="en-US" w:eastAsia="zh-CN"/>
              </w:rPr>
              <w:t>化学品仓库</w:t>
            </w:r>
          </w:p>
        </w:tc>
        <w:tc>
          <w:tcPr>
            <w:tcW w:w="1292" w:type="dxa"/>
            <w:tcBorders>
              <w:tl2br w:val="nil"/>
              <w:tr2bl w:val="nil"/>
            </w:tcBorders>
            <w:noWrap w:val="0"/>
            <w:vAlign w:val="center"/>
          </w:tcPr>
          <w:p w14:paraId="08D7258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4.5t</w:t>
            </w:r>
          </w:p>
        </w:tc>
        <w:tc>
          <w:tcPr>
            <w:tcW w:w="1041" w:type="dxa"/>
            <w:vMerge w:val="continue"/>
            <w:tcBorders>
              <w:tl2br w:val="nil"/>
              <w:tr2bl w:val="nil"/>
            </w:tcBorders>
            <w:noWrap w:val="0"/>
            <w:vAlign w:val="center"/>
          </w:tcPr>
          <w:p w14:paraId="24C97C23">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eastAsia="宋体" w:cs="Times New Roman"/>
                <w:sz w:val="21"/>
                <w:szCs w:val="21"/>
              </w:rPr>
            </w:pPr>
          </w:p>
        </w:tc>
      </w:tr>
      <w:tr w14:paraId="7CD45BA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460C594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snapToGrid w:val="0"/>
                <w:kern w:val="21"/>
                <w:sz w:val="21"/>
                <w:szCs w:val="21"/>
                <w:lang w:val="en-US" w:eastAsia="zh-CN"/>
              </w:rPr>
              <w:t>6</w:t>
            </w:r>
          </w:p>
        </w:tc>
        <w:tc>
          <w:tcPr>
            <w:tcW w:w="1813" w:type="dxa"/>
            <w:tcBorders>
              <w:tl2br w:val="nil"/>
              <w:tr2bl w:val="nil"/>
            </w:tcBorders>
            <w:noWrap w:val="0"/>
            <w:vAlign w:val="center"/>
          </w:tcPr>
          <w:p w14:paraId="58F68CE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snapToGrid w:val="0"/>
                <w:kern w:val="21"/>
                <w:sz w:val="21"/>
                <w:szCs w:val="21"/>
                <w:lang w:val="en-US" w:eastAsia="zh-CN"/>
              </w:rPr>
              <w:t>双氧水</w:t>
            </w:r>
          </w:p>
        </w:tc>
        <w:tc>
          <w:tcPr>
            <w:tcW w:w="1006" w:type="dxa"/>
            <w:tcBorders>
              <w:tl2br w:val="nil"/>
              <w:tr2bl w:val="nil"/>
            </w:tcBorders>
            <w:noWrap w:val="0"/>
            <w:vAlign w:val="center"/>
          </w:tcPr>
          <w:p w14:paraId="0B38DA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rPr>
            </w:pPr>
            <w:r>
              <w:rPr>
                <w:rFonts w:hint="default" w:ascii="Times New Roman" w:hAnsi="Times New Roman" w:eastAsia="宋体" w:cs="Times New Roman"/>
                <w:sz w:val="21"/>
                <w:szCs w:val="21"/>
              </w:rPr>
              <w:t>液态</w:t>
            </w:r>
          </w:p>
        </w:tc>
        <w:tc>
          <w:tcPr>
            <w:tcW w:w="2549" w:type="dxa"/>
            <w:tcBorders>
              <w:tl2br w:val="nil"/>
              <w:tr2bl w:val="nil"/>
            </w:tcBorders>
            <w:noWrap w:val="0"/>
            <w:vAlign w:val="center"/>
          </w:tcPr>
          <w:p w14:paraId="5DA364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eastAsia="zh-CN"/>
              </w:rPr>
            </w:pPr>
            <w:r>
              <w:rPr>
                <w:rFonts w:hint="default" w:ascii="Times New Roman" w:hAnsi="Times New Roman" w:eastAsia="宋体" w:cs="Times New Roman"/>
                <w:snapToGrid w:val="0"/>
                <w:kern w:val="21"/>
                <w:sz w:val="21"/>
                <w:szCs w:val="21"/>
              </w:rPr>
              <w:t>25kg/桶装</w:t>
            </w:r>
            <w:r>
              <w:rPr>
                <w:rFonts w:hint="default" w:ascii="Times New Roman" w:hAnsi="Times New Roman" w:eastAsia="宋体" w:cs="Times New Roman"/>
                <w:snapToGrid w:val="0"/>
                <w:kern w:val="21"/>
                <w:sz w:val="21"/>
                <w:szCs w:val="21"/>
                <w:lang w:eastAsia="zh-CN"/>
              </w:rPr>
              <w:t>，</w:t>
            </w:r>
            <w:r>
              <w:rPr>
                <w:rFonts w:hint="default" w:ascii="Times New Roman" w:hAnsi="Times New Roman" w:eastAsia="宋体" w:cs="Times New Roman"/>
                <w:sz w:val="21"/>
                <w:szCs w:val="21"/>
                <w:lang w:val="en-US" w:eastAsia="zh-CN"/>
              </w:rPr>
              <w:t>化学品仓库</w:t>
            </w:r>
          </w:p>
        </w:tc>
        <w:tc>
          <w:tcPr>
            <w:tcW w:w="1292" w:type="dxa"/>
            <w:tcBorders>
              <w:tl2br w:val="nil"/>
              <w:tr2bl w:val="nil"/>
            </w:tcBorders>
            <w:noWrap w:val="0"/>
            <w:vAlign w:val="center"/>
          </w:tcPr>
          <w:p w14:paraId="2513F4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snapToGrid w:val="0"/>
                <w:kern w:val="21"/>
                <w:sz w:val="21"/>
                <w:szCs w:val="21"/>
                <w:lang w:val="en-US" w:eastAsia="zh-CN"/>
              </w:rPr>
              <w:t>2t</w:t>
            </w:r>
          </w:p>
        </w:tc>
        <w:tc>
          <w:tcPr>
            <w:tcW w:w="1041" w:type="dxa"/>
            <w:tcBorders>
              <w:tl2br w:val="nil"/>
              <w:tr2bl w:val="nil"/>
            </w:tcBorders>
            <w:noWrap w:val="0"/>
            <w:vAlign w:val="center"/>
          </w:tcPr>
          <w:p w14:paraId="595F2C4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污水处理站药剂</w:t>
            </w:r>
          </w:p>
        </w:tc>
      </w:tr>
      <w:tr w14:paraId="7EFC010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215083C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snapToGrid w:val="0"/>
                <w:kern w:val="21"/>
                <w:sz w:val="21"/>
                <w:szCs w:val="21"/>
                <w:lang w:val="en-US" w:eastAsia="zh-CN"/>
              </w:rPr>
              <w:t>7</w:t>
            </w:r>
          </w:p>
        </w:tc>
        <w:tc>
          <w:tcPr>
            <w:tcW w:w="1813" w:type="dxa"/>
            <w:tcBorders>
              <w:tl2br w:val="nil"/>
              <w:tr2bl w:val="nil"/>
            </w:tcBorders>
            <w:noWrap w:val="0"/>
            <w:vAlign w:val="center"/>
          </w:tcPr>
          <w:p w14:paraId="5C33D45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含镍废槽渣</w:t>
            </w:r>
          </w:p>
        </w:tc>
        <w:tc>
          <w:tcPr>
            <w:tcW w:w="1006" w:type="dxa"/>
            <w:tcBorders>
              <w:tl2br w:val="nil"/>
              <w:tr2bl w:val="nil"/>
            </w:tcBorders>
            <w:noWrap w:val="0"/>
            <w:vAlign w:val="center"/>
          </w:tcPr>
          <w:p w14:paraId="628B4DA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固液混合</w:t>
            </w:r>
          </w:p>
        </w:tc>
        <w:tc>
          <w:tcPr>
            <w:tcW w:w="2549" w:type="dxa"/>
            <w:tcBorders>
              <w:tl2br w:val="nil"/>
              <w:tr2bl w:val="nil"/>
            </w:tcBorders>
            <w:noWrap w:val="0"/>
            <w:vAlign w:val="center"/>
          </w:tcPr>
          <w:p w14:paraId="5569832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密闭桶装</w:t>
            </w:r>
          </w:p>
        </w:tc>
        <w:tc>
          <w:tcPr>
            <w:tcW w:w="1292" w:type="dxa"/>
            <w:tcBorders>
              <w:tl2br w:val="nil"/>
              <w:tr2bl w:val="nil"/>
            </w:tcBorders>
            <w:noWrap w:val="0"/>
            <w:vAlign w:val="center"/>
          </w:tcPr>
          <w:p w14:paraId="2A619D5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3t</w:t>
            </w:r>
          </w:p>
        </w:tc>
        <w:tc>
          <w:tcPr>
            <w:tcW w:w="1041" w:type="dxa"/>
            <w:vMerge w:val="restart"/>
            <w:tcBorders>
              <w:tl2br w:val="nil"/>
              <w:tr2bl w:val="nil"/>
            </w:tcBorders>
            <w:noWrap w:val="0"/>
            <w:vAlign w:val="center"/>
          </w:tcPr>
          <w:p w14:paraId="0A803FA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r>
      <w:tr w14:paraId="359D9EC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67" w:type="dxa"/>
            <w:tcBorders>
              <w:tl2br w:val="nil"/>
              <w:tr2bl w:val="nil"/>
            </w:tcBorders>
            <w:noWrap w:val="0"/>
            <w:vAlign w:val="center"/>
          </w:tcPr>
          <w:p w14:paraId="34FEF56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snapToGrid w:val="0"/>
                <w:kern w:val="21"/>
                <w:sz w:val="21"/>
                <w:szCs w:val="21"/>
                <w:lang w:val="en-US" w:eastAsia="zh-CN"/>
              </w:rPr>
            </w:pPr>
            <w:r>
              <w:rPr>
                <w:rFonts w:hint="default" w:ascii="Times New Roman" w:hAnsi="Times New Roman" w:eastAsia="宋体" w:cs="Times New Roman"/>
                <w:snapToGrid w:val="0"/>
                <w:kern w:val="21"/>
                <w:sz w:val="21"/>
                <w:szCs w:val="21"/>
                <w:lang w:val="en-US" w:eastAsia="zh-CN"/>
              </w:rPr>
              <w:t>8</w:t>
            </w:r>
          </w:p>
        </w:tc>
        <w:tc>
          <w:tcPr>
            <w:tcW w:w="1813" w:type="dxa"/>
            <w:tcBorders>
              <w:tl2br w:val="nil"/>
              <w:tr2bl w:val="nil"/>
            </w:tcBorders>
            <w:noWrap w:val="0"/>
            <w:vAlign w:val="center"/>
          </w:tcPr>
          <w:p w14:paraId="5D140CB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含铬废槽渣</w:t>
            </w:r>
          </w:p>
        </w:tc>
        <w:tc>
          <w:tcPr>
            <w:tcW w:w="1006" w:type="dxa"/>
            <w:tcBorders>
              <w:tl2br w:val="nil"/>
              <w:tr2bl w:val="nil"/>
            </w:tcBorders>
            <w:noWrap w:val="0"/>
            <w:vAlign w:val="center"/>
          </w:tcPr>
          <w:p w14:paraId="7ABD3DA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固液混合</w:t>
            </w:r>
          </w:p>
        </w:tc>
        <w:tc>
          <w:tcPr>
            <w:tcW w:w="2549" w:type="dxa"/>
            <w:tcBorders>
              <w:tl2br w:val="nil"/>
              <w:tr2bl w:val="nil"/>
            </w:tcBorders>
            <w:noWrap w:val="0"/>
            <w:vAlign w:val="center"/>
          </w:tcPr>
          <w:p w14:paraId="1FF6B18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密闭桶装</w:t>
            </w:r>
          </w:p>
        </w:tc>
        <w:tc>
          <w:tcPr>
            <w:tcW w:w="1292" w:type="dxa"/>
            <w:tcBorders>
              <w:tl2br w:val="nil"/>
              <w:tr2bl w:val="nil"/>
            </w:tcBorders>
            <w:noWrap w:val="0"/>
            <w:vAlign w:val="center"/>
          </w:tcPr>
          <w:p w14:paraId="5FADB1D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.6t</w:t>
            </w:r>
          </w:p>
        </w:tc>
        <w:tc>
          <w:tcPr>
            <w:tcW w:w="1041" w:type="dxa"/>
            <w:vMerge w:val="continue"/>
            <w:tcBorders>
              <w:tl2br w:val="nil"/>
              <w:tr2bl w:val="nil"/>
            </w:tcBorders>
            <w:noWrap w:val="0"/>
            <w:vAlign w:val="center"/>
          </w:tcPr>
          <w:p w14:paraId="686EAB97">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eastAsia="宋体" w:cs="Times New Roman"/>
                <w:sz w:val="21"/>
                <w:szCs w:val="21"/>
              </w:rPr>
            </w:pPr>
          </w:p>
        </w:tc>
      </w:tr>
      <w:tr w14:paraId="02DF1EB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368" w:type="dxa"/>
            <w:gridSpan w:val="6"/>
            <w:tcBorders>
              <w:tl2br w:val="nil"/>
              <w:tr2bl w:val="nil"/>
            </w:tcBorders>
            <w:noWrap w:val="0"/>
            <w:vAlign w:val="center"/>
          </w:tcPr>
          <w:p w14:paraId="46182D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baseline"/>
              <w:rPr>
                <w:rFonts w:hint="default" w:ascii="Times New Roman" w:hAnsi="Times New Roman" w:eastAsia="宋体" w:cs="Times New Roman"/>
                <w:szCs w:val="21"/>
                <w:lang w:val="en-US" w:eastAsia="zh-CN"/>
              </w:rPr>
            </w:pPr>
            <w:r>
              <w:rPr>
                <w:rFonts w:hint="default"/>
                <w:sz w:val="21"/>
                <w:szCs w:val="21"/>
                <w:lang w:val="en-US" w:eastAsia="zh-CN"/>
              </w:rPr>
              <w:t>备注：</w:t>
            </w:r>
            <w:r>
              <w:rPr>
                <w:rFonts w:hint="default"/>
                <w:sz w:val="21"/>
                <w:szCs w:val="21"/>
              </w:rPr>
              <w:t>本项目使用的硫酸镍、氯化镍均为六水合物，硝酸铬为九水合物，因此其储存量及生产在线量折算成纯物质计</w:t>
            </w:r>
            <w:r>
              <w:rPr>
                <w:rFonts w:hint="default"/>
                <w:sz w:val="21"/>
                <w:szCs w:val="21"/>
                <w:lang w:eastAsia="zh-CN"/>
              </w:rPr>
              <w:t>。</w:t>
            </w:r>
          </w:p>
        </w:tc>
      </w:tr>
    </w:tbl>
    <w:p w14:paraId="18A0F3F8">
      <w:pPr>
        <w:pStyle w:val="72"/>
        <w:rPr>
          <w:rFonts w:hint="eastAsia"/>
        </w:rPr>
      </w:pPr>
      <w:r>
        <w:rPr>
          <w:rFonts w:hint="eastAsia"/>
        </w:rPr>
        <w:t>（2）生产工艺特点</w:t>
      </w:r>
    </w:p>
    <w:p w14:paraId="4B6CD6BD">
      <w:pPr>
        <w:pStyle w:val="72"/>
        <w:rPr>
          <w:rFonts w:hint="eastAsia"/>
        </w:rPr>
      </w:pPr>
      <w:r>
        <w:rPr>
          <w:rFonts w:hint="eastAsia"/>
        </w:rPr>
        <w:t>项目生产不涉及高温、高压生产工艺，生产线自动化程度较高，且设置了有效的污染物收集系统，对环境友好，安全环保。</w:t>
      </w:r>
    </w:p>
    <w:p w14:paraId="6F55499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6.1.2环境敏感目标调查</w:t>
      </w:r>
    </w:p>
    <w:p w14:paraId="7A1884FA">
      <w:pPr>
        <w:rPr>
          <w:rFonts w:hint="default" w:ascii="Times New Roman" w:hAnsi="Times New Roman" w:cs="Times New Roman"/>
        </w:rPr>
      </w:pPr>
      <w:r>
        <w:rPr>
          <w:rFonts w:hint="default" w:ascii="Times New Roman" w:hAnsi="Times New Roman" w:cs="Times New Roman"/>
        </w:rPr>
        <w:t>厂区所在区域属大气环境二类功能区，执行大气环境质量标准的二级标准。大气环境风险受体主要为周边的居民点。</w:t>
      </w:r>
    </w:p>
    <w:p w14:paraId="731EB371">
      <w:pPr>
        <w:pStyle w:val="72"/>
        <w:rPr>
          <w:rFonts w:eastAsia="黑体"/>
        </w:rPr>
      </w:pPr>
      <w:r>
        <w:rPr>
          <w:rFonts w:hint="eastAsia"/>
        </w:rPr>
        <w:t>本项目周边环境敏感目标的相关信息如下图和表。</w:t>
      </w:r>
    </w:p>
    <w:p w14:paraId="7BD6DF2C">
      <w:pPr>
        <w:pStyle w:val="78"/>
        <w:rPr>
          <w:rFonts w:hint="eastAsia" w:eastAsia="黑体"/>
          <w:lang w:eastAsia="zh-CN"/>
        </w:rPr>
      </w:pPr>
      <w:r>
        <w:drawing>
          <wp:inline distT="0" distB="0" distL="114300" distR="114300">
            <wp:extent cx="5273040" cy="4560570"/>
            <wp:effectExtent l="0" t="0" r="3810" b="11430"/>
            <wp:docPr id="13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8"/>
                    <pic:cNvPicPr>
                      <a:picLocks noChangeAspect="1"/>
                    </pic:cNvPicPr>
                  </pic:nvPicPr>
                  <pic:blipFill>
                    <a:blip r:embed="rId55"/>
                    <a:stretch>
                      <a:fillRect/>
                    </a:stretch>
                  </pic:blipFill>
                  <pic:spPr>
                    <a:xfrm>
                      <a:off x="0" y="0"/>
                      <a:ext cx="5273040" cy="4560570"/>
                    </a:xfrm>
                    <a:prstGeom prst="rect">
                      <a:avLst/>
                    </a:prstGeom>
                    <a:noFill/>
                    <a:ln>
                      <a:noFill/>
                    </a:ln>
                  </pic:spPr>
                </pic:pic>
              </a:graphicData>
            </a:graphic>
          </wp:inline>
        </w:drawing>
      </w:r>
    </w:p>
    <w:p w14:paraId="505E2A5D">
      <w:pPr>
        <w:pStyle w:val="78"/>
      </w:pPr>
      <w:r>
        <w:rPr>
          <w:rFonts w:hint="eastAsia"/>
        </w:rPr>
        <w:t>图6</w:t>
      </w:r>
      <w:r>
        <w:rPr>
          <w:rFonts w:hint="eastAsia"/>
          <w:lang w:val="en-US" w:eastAsia="zh-CN"/>
        </w:rPr>
        <w:t>.1</w:t>
      </w:r>
      <w:r>
        <w:rPr>
          <w:rFonts w:hint="eastAsia"/>
        </w:rPr>
        <w:t>-</w:t>
      </w:r>
      <w:r>
        <w:rPr>
          <w:rFonts w:hint="eastAsia"/>
          <w:lang w:val="en-US" w:eastAsia="zh-CN"/>
        </w:rPr>
        <w:t>1</w:t>
      </w:r>
      <w:r>
        <w:t xml:space="preserve">  </w:t>
      </w:r>
      <w:r>
        <w:rPr>
          <w:rFonts w:hint="eastAsia"/>
        </w:rPr>
        <w:t xml:space="preserve">  本项目周围环境敏感点示意图</w:t>
      </w:r>
    </w:p>
    <w:p w14:paraId="478C05A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表6</w:t>
      </w:r>
      <w:r>
        <w:rPr>
          <w:rFonts w:hint="eastAsia"/>
          <w:lang w:val="en-US" w:eastAsia="zh-CN"/>
        </w:rPr>
        <w:t>.1</w:t>
      </w:r>
      <w:r>
        <w:rPr>
          <w:rFonts w:hint="eastAsia"/>
        </w:rPr>
        <w:t>-2    评价区域敏感点情况</w:t>
      </w:r>
    </w:p>
    <w:tbl>
      <w:tblPr>
        <w:tblStyle w:val="39"/>
        <w:tblW w:w="8332" w:type="dxa"/>
        <w:tblInd w:w="91"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890"/>
        <w:gridCol w:w="675"/>
        <w:gridCol w:w="1365"/>
        <w:gridCol w:w="855"/>
        <w:gridCol w:w="1067"/>
        <w:gridCol w:w="1305"/>
        <w:gridCol w:w="990"/>
        <w:gridCol w:w="1185"/>
      </w:tblGrid>
      <w:tr w14:paraId="4993EB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restart"/>
            <w:tcBorders>
              <w:tl2br w:val="nil"/>
              <w:tr2bl w:val="nil"/>
            </w:tcBorders>
            <w:noWrap w:val="0"/>
            <w:vAlign w:val="center"/>
          </w:tcPr>
          <w:p w14:paraId="594EB951">
            <w:pPr>
              <w:pStyle w:val="75"/>
              <w:rPr>
                <w:rFonts w:hint="default" w:eastAsia="宋体"/>
                <w:b/>
                <w:bCs/>
                <w:kern w:val="2"/>
                <w:lang w:val="en-US" w:eastAsia="zh-CN"/>
              </w:rPr>
            </w:pPr>
            <w:r>
              <w:rPr>
                <w:rFonts w:hint="eastAsia"/>
                <w:b/>
                <w:bCs/>
                <w:kern w:val="2"/>
                <w:lang w:val="en-US" w:eastAsia="zh-CN"/>
              </w:rPr>
              <w:t>类别</w:t>
            </w:r>
          </w:p>
        </w:tc>
        <w:tc>
          <w:tcPr>
            <w:tcW w:w="7442" w:type="dxa"/>
            <w:gridSpan w:val="7"/>
            <w:tcBorders>
              <w:tl2br w:val="nil"/>
              <w:tr2bl w:val="nil"/>
            </w:tcBorders>
            <w:noWrap w:val="0"/>
            <w:vAlign w:val="center"/>
          </w:tcPr>
          <w:p w14:paraId="66F8DDC0">
            <w:pPr>
              <w:pStyle w:val="75"/>
              <w:rPr>
                <w:rFonts w:hint="default" w:eastAsia="宋体"/>
                <w:b/>
                <w:bCs/>
                <w:kern w:val="2"/>
                <w:lang w:val="en-US" w:eastAsia="zh-CN"/>
              </w:rPr>
            </w:pPr>
            <w:r>
              <w:rPr>
                <w:rFonts w:hint="eastAsia"/>
                <w:b/>
                <w:bCs/>
                <w:kern w:val="2"/>
                <w:lang w:val="en-US" w:eastAsia="zh-CN"/>
              </w:rPr>
              <w:t>环境敏感特征</w:t>
            </w:r>
          </w:p>
        </w:tc>
      </w:tr>
      <w:tr w14:paraId="06A1642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noWrap w:val="0"/>
            <w:vAlign w:val="center"/>
          </w:tcPr>
          <w:p w14:paraId="143E1BA8">
            <w:pPr>
              <w:pStyle w:val="75"/>
              <w:rPr>
                <w:rFonts w:hint="eastAsia"/>
                <w:b/>
                <w:bCs/>
                <w:kern w:val="2"/>
                <w:lang w:val="en-US" w:eastAsia="zh-CN"/>
              </w:rPr>
            </w:pPr>
          </w:p>
        </w:tc>
        <w:tc>
          <w:tcPr>
            <w:tcW w:w="7442" w:type="dxa"/>
            <w:gridSpan w:val="7"/>
            <w:tcBorders>
              <w:tl2br w:val="nil"/>
              <w:tr2bl w:val="nil"/>
            </w:tcBorders>
            <w:noWrap w:val="0"/>
            <w:vAlign w:val="center"/>
          </w:tcPr>
          <w:p w14:paraId="166CFC2A">
            <w:pPr>
              <w:pStyle w:val="75"/>
              <w:rPr>
                <w:rFonts w:hint="default" w:eastAsia="宋体"/>
                <w:b/>
                <w:bCs/>
                <w:kern w:val="2"/>
                <w:lang w:val="en-US" w:eastAsia="zh-CN"/>
              </w:rPr>
            </w:pPr>
            <w:r>
              <w:rPr>
                <w:rFonts w:hint="eastAsia"/>
                <w:b/>
                <w:bCs/>
                <w:kern w:val="2"/>
                <w:lang w:val="en-US" w:eastAsia="zh-CN"/>
              </w:rPr>
              <w:t>厂址周边5km范围内</w:t>
            </w:r>
          </w:p>
        </w:tc>
      </w:tr>
      <w:tr w14:paraId="03B28BA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restart"/>
            <w:tcBorders>
              <w:tl2br w:val="nil"/>
              <w:tr2bl w:val="nil"/>
            </w:tcBorders>
            <w:noWrap w:val="0"/>
            <w:vAlign w:val="center"/>
          </w:tcPr>
          <w:p w14:paraId="15F5916A">
            <w:pPr>
              <w:pStyle w:val="75"/>
              <w:rPr>
                <w:rFonts w:hint="eastAsia"/>
                <w:b/>
                <w:bCs/>
                <w:kern w:val="2"/>
                <w:lang w:val="en-US" w:eastAsia="zh-CN"/>
              </w:rPr>
            </w:pPr>
            <w:r>
              <w:rPr>
                <w:rFonts w:hint="eastAsia"/>
                <w:b/>
                <w:bCs/>
                <w:kern w:val="2"/>
                <w:lang w:val="en-US" w:eastAsia="zh-CN"/>
              </w:rPr>
              <w:t>环境</w:t>
            </w:r>
          </w:p>
          <w:p w14:paraId="4E02B6B9">
            <w:pPr>
              <w:pStyle w:val="75"/>
              <w:rPr>
                <w:rFonts w:hint="default" w:eastAsia="宋体"/>
                <w:b/>
                <w:bCs/>
                <w:kern w:val="2"/>
                <w:lang w:val="en-US" w:eastAsia="zh-CN"/>
              </w:rPr>
            </w:pPr>
            <w:r>
              <w:rPr>
                <w:rFonts w:hint="eastAsia"/>
                <w:b/>
                <w:bCs/>
                <w:kern w:val="2"/>
                <w:lang w:val="en-US" w:eastAsia="zh-CN"/>
              </w:rPr>
              <w:t>空气</w:t>
            </w:r>
          </w:p>
        </w:tc>
        <w:tc>
          <w:tcPr>
            <w:tcW w:w="675" w:type="dxa"/>
            <w:tcBorders>
              <w:tl2br w:val="nil"/>
              <w:tr2bl w:val="nil"/>
            </w:tcBorders>
            <w:noWrap w:val="0"/>
            <w:vAlign w:val="center"/>
          </w:tcPr>
          <w:p w14:paraId="240EEF7B">
            <w:pPr>
              <w:pStyle w:val="75"/>
              <w:rPr>
                <w:rFonts w:hint="default" w:eastAsia="宋体"/>
                <w:b/>
                <w:bCs/>
                <w:kern w:val="2"/>
                <w:lang w:val="en-US" w:eastAsia="zh-CN"/>
              </w:rPr>
            </w:pPr>
            <w:r>
              <w:rPr>
                <w:rFonts w:hint="eastAsia"/>
                <w:b/>
                <w:bCs/>
                <w:kern w:val="2"/>
                <w:lang w:val="en-US" w:eastAsia="zh-CN"/>
              </w:rPr>
              <w:t>序号</w:t>
            </w:r>
          </w:p>
        </w:tc>
        <w:tc>
          <w:tcPr>
            <w:tcW w:w="2220" w:type="dxa"/>
            <w:gridSpan w:val="2"/>
            <w:tcBorders>
              <w:tl2br w:val="nil"/>
              <w:tr2bl w:val="nil"/>
            </w:tcBorders>
            <w:noWrap w:val="0"/>
            <w:vAlign w:val="center"/>
          </w:tcPr>
          <w:p w14:paraId="4D8D62EE">
            <w:pPr>
              <w:pStyle w:val="75"/>
              <w:rPr>
                <w:rFonts w:hint="default" w:eastAsia="宋体"/>
                <w:b/>
                <w:bCs/>
                <w:kern w:val="2"/>
                <w:lang w:val="en-US" w:eastAsia="zh-CN"/>
              </w:rPr>
            </w:pPr>
            <w:r>
              <w:rPr>
                <w:rFonts w:hint="eastAsia"/>
                <w:b/>
                <w:bCs/>
                <w:kern w:val="2"/>
                <w:lang w:val="en-US" w:eastAsia="zh-CN"/>
              </w:rPr>
              <w:t>敏感目标名称</w:t>
            </w:r>
          </w:p>
        </w:tc>
        <w:tc>
          <w:tcPr>
            <w:tcW w:w="1067" w:type="dxa"/>
            <w:tcBorders>
              <w:tl2br w:val="nil"/>
              <w:tr2bl w:val="nil"/>
            </w:tcBorders>
            <w:noWrap w:val="0"/>
            <w:vAlign w:val="center"/>
          </w:tcPr>
          <w:p w14:paraId="326F57D3">
            <w:pPr>
              <w:pStyle w:val="75"/>
              <w:rPr>
                <w:rFonts w:hint="eastAsia"/>
                <w:b/>
                <w:bCs/>
                <w:kern w:val="2"/>
              </w:rPr>
            </w:pPr>
            <w:r>
              <w:rPr>
                <w:b/>
                <w:bCs/>
                <w:kern w:val="2"/>
              </w:rPr>
              <w:t>相对方位</w:t>
            </w:r>
          </w:p>
        </w:tc>
        <w:tc>
          <w:tcPr>
            <w:tcW w:w="1305" w:type="dxa"/>
            <w:tcBorders>
              <w:tl2br w:val="nil"/>
              <w:tr2bl w:val="nil"/>
            </w:tcBorders>
            <w:noWrap w:val="0"/>
            <w:vAlign w:val="center"/>
          </w:tcPr>
          <w:p w14:paraId="0077C3DF">
            <w:pPr>
              <w:pStyle w:val="75"/>
              <w:rPr>
                <w:b/>
                <w:bCs/>
                <w:kern w:val="2"/>
              </w:rPr>
            </w:pPr>
            <w:r>
              <w:rPr>
                <w:rFonts w:hint="eastAsia"/>
                <w:b/>
                <w:bCs/>
                <w:kern w:val="2"/>
              </w:rPr>
              <w:t>距离（m）</w:t>
            </w:r>
          </w:p>
        </w:tc>
        <w:tc>
          <w:tcPr>
            <w:tcW w:w="990" w:type="dxa"/>
            <w:tcBorders>
              <w:tl2br w:val="nil"/>
              <w:tr2bl w:val="nil"/>
            </w:tcBorders>
            <w:noWrap w:val="0"/>
            <w:vAlign w:val="center"/>
          </w:tcPr>
          <w:p w14:paraId="6675C788">
            <w:pPr>
              <w:pStyle w:val="81"/>
              <w:rPr>
                <w:rFonts w:hint="eastAsia" w:eastAsia="宋体" w:cs="Times New Roman"/>
                <w:color w:val="auto"/>
                <w:lang w:val="en-US" w:eastAsia="zh-CN"/>
              </w:rPr>
            </w:pPr>
            <w:r>
              <w:rPr>
                <w:rFonts w:hint="eastAsia" w:cs="Times New Roman"/>
                <w:color w:val="auto"/>
                <w:lang w:val="en-US" w:eastAsia="zh-CN"/>
              </w:rPr>
              <w:t>属性</w:t>
            </w:r>
          </w:p>
        </w:tc>
        <w:tc>
          <w:tcPr>
            <w:tcW w:w="1185" w:type="dxa"/>
            <w:tcBorders>
              <w:tl2br w:val="nil"/>
              <w:tr2bl w:val="nil"/>
            </w:tcBorders>
            <w:noWrap w:val="0"/>
            <w:vAlign w:val="center"/>
          </w:tcPr>
          <w:p w14:paraId="033FDA80">
            <w:pPr>
              <w:pStyle w:val="75"/>
              <w:rPr>
                <w:rFonts w:hint="eastAsia" w:eastAsia="宋体"/>
                <w:b/>
                <w:bCs/>
                <w:kern w:val="2"/>
                <w:lang w:val="en-US" w:eastAsia="zh-CN"/>
              </w:rPr>
            </w:pPr>
            <w:r>
              <w:rPr>
                <w:rFonts w:hint="eastAsia"/>
                <w:b/>
                <w:bCs/>
                <w:kern w:val="2"/>
                <w:lang w:val="en-US" w:eastAsia="zh-CN"/>
              </w:rPr>
              <w:t>人口数</w:t>
            </w:r>
          </w:p>
        </w:tc>
      </w:tr>
      <w:tr w14:paraId="3B027D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80D5A61">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6A97420A">
            <w:pPr>
              <w:pStyle w:val="75"/>
              <w:ind w:firstLine="0" w:firstLineChars="0"/>
              <w:rPr>
                <w:kern w:val="2"/>
              </w:rPr>
            </w:pPr>
            <w:r>
              <w:rPr>
                <w:kern w:val="2"/>
              </w:rPr>
              <w:t>1</w:t>
            </w:r>
          </w:p>
        </w:tc>
        <w:tc>
          <w:tcPr>
            <w:tcW w:w="2220" w:type="dxa"/>
            <w:gridSpan w:val="2"/>
            <w:tcBorders>
              <w:tl2br w:val="nil"/>
              <w:tr2bl w:val="nil"/>
            </w:tcBorders>
            <w:noWrap w:val="0"/>
            <w:vAlign w:val="center"/>
          </w:tcPr>
          <w:p w14:paraId="20DA8293">
            <w:pPr>
              <w:pStyle w:val="75"/>
              <w:ind w:firstLine="0" w:firstLineChars="0"/>
              <w:rPr>
                <w:kern w:val="2"/>
              </w:rPr>
            </w:pPr>
            <w:r>
              <w:t>前李村</w:t>
            </w:r>
          </w:p>
        </w:tc>
        <w:tc>
          <w:tcPr>
            <w:tcW w:w="1067" w:type="dxa"/>
            <w:tcBorders>
              <w:tl2br w:val="nil"/>
              <w:tr2bl w:val="nil"/>
            </w:tcBorders>
            <w:noWrap w:val="0"/>
            <w:vAlign w:val="center"/>
          </w:tcPr>
          <w:p w14:paraId="3F51105C">
            <w:pPr>
              <w:pStyle w:val="75"/>
              <w:ind w:firstLine="0" w:firstLineChars="0"/>
            </w:pPr>
            <w:r>
              <w:t>东北</w:t>
            </w:r>
          </w:p>
        </w:tc>
        <w:tc>
          <w:tcPr>
            <w:tcW w:w="1305" w:type="dxa"/>
            <w:tcBorders>
              <w:tl2br w:val="nil"/>
              <w:tr2bl w:val="nil"/>
            </w:tcBorders>
            <w:noWrap w:val="0"/>
            <w:vAlign w:val="center"/>
          </w:tcPr>
          <w:p w14:paraId="183963CD">
            <w:pPr>
              <w:pStyle w:val="75"/>
              <w:ind w:firstLine="0" w:firstLineChars="0"/>
              <w:rPr>
                <w:rFonts w:hint="default"/>
                <w:lang w:val="en-US"/>
              </w:rPr>
            </w:pPr>
            <w:r>
              <w:rPr>
                <w:rFonts w:hint="eastAsia"/>
                <w:lang w:val="en-US" w:eastAsia="zh-CN"/>
              </w:rPr>
              <w:t>300</w:t>
            </w:r>
          </w:p>
        </w:tc>
        <w:tc>
          <w:tcPr>
            <w:tcW w:w="990" w:type="dxa"/>
            <w:tcBorders>
              <w:tl2br w:val="nil"/>
              <w:tr2bl w:val="nil"/>
            </w:tcBorders>
            <w:noWrap w:val="0"/>
            <w:vAlign w:val="center"/>
          </w:tcPr>
          <w:p w14:paraId="2F8716B9">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11660070">
            <w:pPr>
              <w:pStyle w:val="75"/>
              <w:ind w:firstLine="0" w:firstLineChars="0"/>
            </w:pPr>
            <w:r>
              <w:rPr>
                <w:rFonts w:hint="eastAsia"/>
              </w:rPr>
              <w:t>940</w:t>
            </w:r>
          </w:p>
        </w:tc>
      </w:tr>
      <w:tr w14:paraId="2678EB1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45656365">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0D98F23">
            <w:pPr>
              <w:pStyle w:val="75"/>
              <w:ind w:firstLine="0" w:firstLineChars="0"/>
              <w:rPr>
                <w:kern w:val="2"/>
              </w:rPr>
            </w:pPr>
            <w:r>
              <w:rPr>
                <w:kern w:val="2"/>
              </w:rPr>
              <w:t>2</w:t>
            </w:r>
          </w:p>
        </w:tc>
        <w:tc>
          <w:tcPr>
            <w:tcW w:w="2220" w:type="dxa"/>
            <w:gridSpan w:val="2"/>
            <w:tcBorders>
              <w:tl2br w:val="nil"/>
              <w:tr2bl w:val="nil"/>
            </w:tcBorders>
            <w:noWrap w:val="0"/>
            <w:vAlign w:val="center"/>
          </w:tcPr>
          <w:p w14:paraId="086E2D7F">
            <w:pPr>
              <w:pStyle w:val="75"/>
              <w:rPr>
                <w:kern w:val="2"/>
              </w:rPr>
            </w:pPr>
            <w:r>
              <w:t>后李村</w:t>
            </w:r>
          </w:p>
        </w:tc>
        <w:tc>
          <w:tcPr>
            <w:tcW w:w="1067" w:type="dxa"/>
            <w:tcBorders>
              <w:tl2br w:val="nil"/>
              <w:tr2bl w:val="nil"/>
            </w:tcBorders>
            <w:noWrap w:val="0"/>
            <w:vAlign w:val="center"/>
          </w:tcPr>
          <w:p w14:paraId="05123CEC">
            <w:pPr>
              <w:pStyle w:val="75"/>
              <w:ind w:firstLine="0" w:firstLineChars="0"/>
            </w:pPr>
            <w:r>
              <w:t>东北</w:t>
            </w:r>
          </w:p>
        </w:tc>
        <w:tc>
          <w:tcPr>
            <w:tcW w:w="1305" w:type="dxa"/>
            <w:tcBorders>
              <w:tl2br w:val="nil"/>
              <w:tr2bl w:val="nil"/>
            </w:tcBorders>
            <w:noWrap w:val="0"/>
            <w:vAlign w:val="center"/>
          </w:tcPr>
          <w:p w14:paraId="2020910D">
            <w:pPr>
              <w:pStyle w:val="75"/>
              <w:ind w:firstLine="0" w:firstLineChars="0"/>
            </w:pPr>
            <w:r>
              <w:rPr>
                <w:rFonts w:hint="eastAsia"/>
                <w:lang w:val="en-US" w:eastAsia="zh-CN"/>
              </w:rPr>
              <w:t>800</w:t>
            </w:r>
          </w:p>
        </w:tc>
        <w:tc>
          <w:tcPr>
            <w:tcW w:w="990" w:type="dxa"/>
            <w:tcBorders>
              <w:tl2br w:val="nil"/>
              <w:tr2bl w:val="nil"/>
            </w:tcBorders>
            <w:noWrap w:val="0"/>
            <w:vAlign w:val="center"/>
          </w:tcPr>
          <w:p w14:paraId="344968C6">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47432C2B">
            <w:pPr>
              <w:pStyle w:val="75"/>
            </w:pPr>
            <w:r>
              <w:rPr>
                <w:rFonts w:hint="eastAsia"/>
              </w:rPr>
              <w:t>230</w:t>
            </w:r>
          </w:p>
        </w:tc>
      </w:tr>
      <w:tr w14:paraId="34D8E17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D14FC9B">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0C0A0CC8">
            <w:pPr>
              <w:pStyle w:val="75"/>
              <w:ind w:firstLine="0" w:firstLineChars="0"/>
              <w:rPr>
                <w:kern w:val="2"/>
              </w:rPr>
            </w:pPr>
            <w:r>
              <w:rPr>
                <w:kern w:val="2"/>
              </w:rPr>
              <w:t>3</w:t>
            </w:r>
          </w:p>
        </w:tc>
        <w:tc>
          <w:tcPr>
            <w:tcW w:w="2220" w:type="dxa"/>
            <w:gridSpan w:val="2"/>
            <w:tcBorders>
              <w:tl2br w:val="nil"/>
              <w:tr2bl w:val="nil"/>
            </w:tcBorders>
            <w:noWrap w:val="0"/>
            <w:vAlign w:val="center"/>
          </w:tcPr>
          <w:p w14:paraId="35A95C56">
            <w:pPr>
              <w:pStyle w:val="75"/>
              <w:ind w:firstLine="0" w:firstLineChars="0"/>
              <w:rPr>
                <w:kern w:val="2"/>
              </w:rPr>
            </w:pPr>
            <w:r>
              <w:t>前寺庄村</w:t>
            </w:r>
          </w:p>
        </w:tc>
        <w:tc>
          <w:tcPr>
            <w:tcW w:w="1067" w:type="dxa"/>
            <w:tcBorders>
              <w:tl2br w:val="nil"/>
              <w:tr2bl w:val="nil"/>
            </w:tcBorders>
            <w:noWrap w:val="0"/>
            <w:vAlign w:val="center"/>
          </w:tcPr>
          <w:p w14:paraId="09D15F41">
            <w:pPr>
              <w:pStyle w:val="75"/>
              <w:ind w:firstLine="0" w:firstLineChars="0"/>
            </w:pPr>
            <w:r>
              <w:t>东北</w:t>
            </w:r>
          </w:p>
        </w:tc>
        <w:tc>
          <w:tcPr>
            <w:tcW w:w="1305" w:type="dxa"/>
            <w:tcBorders>
              <w:tl2br w:val="nil"/>
              <w:tr2bl w:val="nil"/>
            </w:tcBorders>
            <w:noWrap w:val="0"/>
            <w:vAlign w:val="center"/>
          </w:tcPr>
          <w:p w14:paraId="7553C9B2">
            <w:pPr>
              <w:pStyle w:val="75"/>
              <w:ind w:firstLine="0" w:firstLineChars="0"/>
            </w:pPr>
            <w:r>
              <w:rPr>
                <w:rFonts w:hint="eastAsia"/>
                <w:lang w:val="en-US" w:eastAsia="zh-CN"/>
              </w:rPr>
              <w:t>1640</w:t>
            </w:r>
          </w:p>
        </w:tc>
        <w:tc>
          <w:tcPr>
            <w:tcW w:w="990" w:type="dxa"/>
            <w:tcBorders>
              <w:tl2br w:val="nil"/>
              <w:tr2bl w:val="nil"/>
            </w:tcBorders>
            <w:noWrap w:val="0"/>
            <w:vAlign w:val="center"/>
          </w:tcPr>
          <w:p w14:paraId="1FFF6018">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3D3324CA">
            <w:pPr>
              <w:pStyle w:val="75"/>
              <w:ind w:firstLine="0" w:firstLineChars="0"/>
            </w:pPr>
            <w:r>
              <w:rPr>
                <w:rFonts w:hint="eastAsia"/>
              </w:rPr>
              <w:t>1076</w:t>
            </w:r>
          </w:p>
        </w:tc>
      </w:tr>
      <w:tr w14:paraId="70A4D6E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45" w:hRule="atLeast"/>
        </w:trPr>
        <w:tc>
          <w:tcPr>
            <w:tcW w:w="890" w:type="dxa"/>
            <w:vMerge w:val="continue"/>
            <w:tcBorders>
              <w:tl2br w:val="nil"/>
              <w:tr2bl w:val="nil"/>
            </w:tcBorders>
            <w:shd w:val="clear" w:color="auto" w:fill="auto"/>
            <w:noWrap w:val="0"/>
            <w:vAlign w:val="center"/>
          </w:tcPr>
          <w:p w14:paraId="7545EBE3">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9EAFBB0">
            <w:pPr>
              <w:pStyle w:val="75"/>
              <w:ind w:firstLine="0" w:firstLineChars="0"/>
              <w:rPr>
                <w:kern w:val="2"/>
              </w:rPr>
            </w:pPr>
            <w:r>
              <w:rPr>
                <w:kern w:val="2"/>
              </w:rPr>
              <w:t>4</w:t>
            </w:r>
          </w:p>
        </w:tc>
        <w:tc>
          <w:tcPr>
            <w:tcW w:w="2220" w:type="dxa"/>
            <w:gridSpan w:val="2"/>
            <w:tcBorders>
              <w:tl2br w:val="nil"/>
              <w:tr2bl w:val="nil"/>
            </w:tcBorders>
            <w:noWrap w:val="0"/>
            <w:vAlign w:val="center"/>
          </w:tcPr>
          <w:p w14:paraId="446FC3FB">
            <w:pPr>
              <w:pStyle w:val="75"/>
              <w:ind w:firstLine="0" w:firstLineChars="0"/>
              <w:rPr>
                <w:kern w:val="2"/>
              </w:rPr>
            </w:pPr>
            <w:r>
              <w:t>后寺庄村</w:t>
            </w:r>
          </w:p>
        </w:tc>
        <w:tc>
          <w:tcPr>
            <w:tcW w:w="1067" w:type="dxa"/>
            <w:tcBorders>
              <w:tl2br w:val="nil"/>
              <w:tr2bl w:val="nil"/>
            </w:tcBorders>
            <w:noWrap w:val="0"/>
            <w:vAlign w:val="center"/>
          </w:tcPr>
          <w:p w14:paraId="0E0D9C37">
            <w:pPr>
              <w:pStyle w:val="75"/>
              <w:ind w:firstLine="0" w:firstLineChars="0"/>
            </w:pPr>
            <w:r>
              <w:t>东北</w:t>
            </w:r>
          </w:p>
        </w:tc>
        <w:tc>
          <w:tcPr>
            <w:tcW w:w="1305" w:type="dxa"/>
            <w:tcBorders>
              <w:tl2br w:val="nil"/>
              <w:tr2bl w:val="nil"/>
            </w:tcBorders>
            <w:noWrap w:val="0"/>
            <w:vAlign w:val="center"/>
          </w:tcPr>
          <w:p w14:paraId="3DA4FDEE">
            <w:pPr>
              <w:pStyle w:val="75"/>
              <w:ind w:firstLine="0" w:firstLineChars="0"/>
            </w:pPr>
            <w:r>
              <w:rPr>
                <w:rFonts w:hint="eastAsia"/>
                <w:lang w:val="en-US" w:eastAsia="zh-CN"/>
              </w:rPr>
              <w:t>2344</w:t>
            </w:r>
          </w:p>
        </w:tc>
        <w:tc>
          <w:tcPr>
            <w:tcW w:w="990" w:type="dxa"/>
            <w:tcBorders>
              <w:tl2br w:val="nil"/>
              <w:tr2bl w:val="nil"/>
            </w:tcBorders>
            <w:noWrap w:val="0"/>
            <w:vAlign w:val="center"/>
          </w:tcPr>
          <w:p w14:paraId="59E2EA24">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CCDE240">
            <w:pPr>
              <w:pStyle w:val="75"/>
              <w:ind w:firstLine="0" w:firstLineChars="0"/>
            </w:pPr>
            <w:r>
              <w:rPr>
                <w:rFonts w:hint="eastAsia"/>
              </w:rPr>
              <w:t>940</w:t>
            </w:r>
          </w:p>
        </w:tc>
      </w:tr>
      <w:tr w14:paraId="3D2B86B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1DE4F798">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68811903">
            <w:pPr>
              <w:pStyle w:val="75"/>
              <w:ind w:firstLine="0" w:firstLineChars="0"/>
              <w:rPr>
                <w:kern w:val="2"/>
              </w:rPr>
            </w:pPr>
            <w:r>
              <w:rPr>
                <w:kern w:val="2"/>
              </w:rPr>
              <w:t>5</w:t>
            </w:r>
          </w:p>
        </w:tc>
        <w:tc>
          <w:tcPr>
            <w:tcW w:w="2220" w:type="dxa"/>
            <w:gridSpan w:val="2"/>
            <w:tcBorders>
              <w:tl2br w:val="nil"/>
              <w:tr2bl w:val="nil"/>
            </w:tcBorders>
            <w:noWrap w:val="0"/>
            <w:vAlign w:val="center"/>
          </w:tcPr>
          <w:p w14:paraId="37DDD7F5">
            <w:pPr>
              <w:pStyle w:val="75"/>
              <w:ind w:firstLine="0" w:firstLineChars="0"/>
              <w:rPr>
                <w:kern w:val="2"/>
              </w:rPr>
            </w:pPr>
            <w:r>
              <w:t>东仓村</w:t>
            </w:r>
          </w:p>
        </w:tc>
        <w:tc>
          <w:tcPr>
            <w:tcW w:w="1067" w:type="dxa"/>
            <w:tcBorders>
              <w:tl2br w:val="nil"/>
              <w:tr2bl w:val="nil"/>
            </w:tcBorders>
            <w:noWrap w:val="0"/>
            <w:vAlign w:val="center"/>
          </w:tcPr>
          <w:p w14:paraId="53D07110">
            <w:pPr>
              <w:pStyle w:val="75"/>
              <w:ind w:firstLine="0" w:firstLineChars="0"/>
            </w:pPr>
            <w:r>
              <w:t>东北</w:t>
            </w:r>
          </w:p>
        </w:tc>
        <w:tc>
          <w:tcPr>
            <w:tcW w:w="1305" w:type="dxa"/>
            <w:tcBorders>
              <w:tl2br w:val="nil"/>
              <w:tr2bl w:val="nil"/>
            </w:tcBorders>
            <w:noWrap w:val="0"/>
            <w:vAlign w:val="center"/>
          </w:tcPr>
          <w:p w14:paraId="5FA4235D">
            <w:pPr>
              <w:pStyle w:val="75"/>
              <w:ind w:firstLine="0" w:firstLineChars="0"/>
            </w:pPr>
            <w:r>
              <w:rPr>
                <w:rFonts w:hint="eastAsia"/>
                <w:lang w:val="en-US" w:eastAsia="zh-CN"/>
              </w:rPr>
              <w:t>2265</w:t>
            </w:r>
          </w:p>
        </w:tc>
        <w:tc>
          <w:tcPr>
            <w:tcW w:w="990" w:type="dxa"/>
            <w:tcBorders>
              <w:tl2br w:val="nil"/>
              <w:tr2bl w:val="nil"/>
            </w:tcBorders>
            <w:noWrap w:val="0"/>
            <w:vAlign w:val="center"/>
          </w:tcPr>
          <w:p w14:paraId="069DB500">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343F3F75">
            <w:pPr>
              <w:pStyle w:val="75"/>
              <w:ind w:firstLine="0" w:firstLineChars="0"/>
            </w:pPr>
            <w:r>
              <w:rPr>
                <w:rFonts w:hint="eastAsia"/>
              </w:rPr>
              <w:t>1485</w:t>
            </w:r>
          </w:p>
        </w:tc>
      </w:tr>
      <w:tr w14:paraId="507C199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4D4CAB7D">
            <w:pPr>
              <w:pStyle w:val="75"/>
              <w:ind w:firstLine="0" w:firstLineChars="0"/>
              <w:rPr>
                <w:rFonts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A705DCE">
            <w:pPr>
              <w:pStyle w:val="75"/>
              <w:ind w:firstLine="0" w:firstLineChars="0"/>
              <w:rPr>
                <w:kern w:val="2"/>
              </w:rPr>
            </w:pPr>
            <w:r>
              <w:rPr>
                <w:kern w:val="2"/>
              </w:rPr>
              <w:t>6</w:t>
            </w:r>
          </w:p>
        </w:tc>
        <w:tc>
          <w:tcPr>
            <w:tcW w:w="2220" w:type="dxa"/>
            <w:gridSpan w:val="2"/>
            <w:tcBorders>
              <w:tl2br w:val="nil"/>
              <w:tr2bl w:val="nil"/>
            </w:tcBorders>
            <w:noWrap w:val="0"/>
            <w:vAlign w:val="center"/>
          </w:tcPr>
          <w:p w14:paraId="66383B89">
            <w:pPr>
              <w:pStyle w:val="75"/>
              <w:rPr>
                <w:kern w:val="2"/>
              </w:rPr>
            </w:pPr>
            <w:r>
              <w:rPr>
                <w:rFonts w:hint="eastAsia"/>
                <w:lang w:val="en-US" w:eastAsia="zh-CN"/>
              </w:rPr>
              <w:t>桑庄村</w:t>
            </w:r>
          </w:p>
        </w:tc>
        <w:tc>
          <w:tcPr>
            <w:tcW w:w="1067" w:type="dxa"/>
            <w:tcBorders>
              <w:tl2br w:val="nil"/>
              <w:tr2bl w:val="nil"/>
            </w:tcBorders>
            <w:noWrap w:val="0"/>
            <w:vAlign w:val="center"/>
          </w:tcPr>
          <w:p w14:paraId="175ED4D2">
            <w:pPr>
              <w:pStyle w:val="75"/>
              <w:ind w:firstLine="0" w:firstLineChars="0"/>
            </w:pPr>
            <w:r>
              <w:rPr>
                <w:rFonts w:hint="eastAsia"/>
                <w:lang w:val="en-US" w:eastAsia="zh-CN"/>
              </w:rPr>
              <w:t>西北</w:t>
            </w:r>
          </w:p>
        </w:tc>
        <w:tc>
          <w:tcPr>
            <w:tcW w:w="1305" w:type="dxa"/>
            <w:tcBorders>
              <w:tl2br w:val="nil"/>
              <w:tr2bl w:val="nil"/>
            </w:tcBorders>
            <w:noWrap w:val="0"/>
            <w:vAlign w:val="center"/>
          </w:tcPr>
          <w:p w14:paraId="7B8A2439">
            <w:pPr>
              <w:pStyle w:val="75"/>
              <w:ind w:firstLine="0" w:firstLineChars="0"/>
              <w:rPr>
                <w:rFonts w:hint="eastAsia" w:eastAsia="宋体"/>
                <w:lang w:val="en-US" w:eastAsia="zh-CN"/>
              </w:rPr>
            </w:pPr>
            <w:r>
              <w:rPr>
                <w:rFonts w:hint="eastAsia"/>
                <w:lang w:val="en-US" w:eastAsia="zh-CN"/>
              </w:rPr>
              <w:t>2150</w:t>
            </w:r>
          </w:p>
        </w:tc>
        <w:tc>
          <w:tcPr>
            <w:tcW w:w="990" w:type="dxa"/>
            <w:tcBorders>
              <w:tl2br w:val="nil"/>
              <w:tr2bl w:val="nil"/>
            </w:tcBorders>
            <w:noWrap w:val="0"/>
            <w:vAlign w:val="center"/>
          </w:tcPr>
          <w:p w14:paraId="485787DD">
            <w:pPr>
              <w:pStyle w:val="75"/>
              <w:ind w:firstLine="0" w:firstLineChars="0"/>
            </w:pPr>
            <w:r>
              <w:t>居民区</w:t>
            </w:r>
          </w:p>
        </w:tc>
        <w:tc>
          <w:tcPr>
            <w:tcW w:w="1185" w:type="dxa"/>
            <w:tcBorders>
              <w:tl2br w:val="nil"/>
              <w:tr2bl w:val="nil"/>
            </w:tcBorders>
            <w:noWrap w:val="0"/>
            <w:vAlign w:val="center"/>
          </w:tcPr>
          <w:p w14:paraId="4BFBFA79">
            <w:pPr>
              <w:pStyle w:val="75"/>
            </w:pPr>
            <w:r>
              <w:rPr>
                <w:rFonts w:hint="eastAsia"/>
                <w:lang w:val="en-US" w:eastAsia="zh-CN"/>
              </w:rPr>
              <w:t>936</w:t>
            </w:r>
          </w:p>
        </w:tc>
      </w:tr>
      <w:tr w14:paraId="70C9119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301F665C">
            <w:pPr>
              <w:pStyle w:val="75"/>
              <w:ind w:firstLine="0" w:firstLineChars="0"/>
              <w:rPr>
                <w:rFonts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D0597D3">
            <w:pPr>
              <w:pStyle w:val="75"/>
              <w:ind w:firstLine="0" w:firstLineChars="0"/>
              <w:rPr>
                <w:kern w:val="2"/>
              </w:rPr>
            </w:pPr>
            <w:r>
              <w:rPr>
                <w:kern w:val="2"/>
              </w:rPr>
              <w:t>7</w:t>
            </w:r>
          </w:p>
        </w:tc>
        <w:tc>
          <w:tcPr>
            <w:tcW w:w="2220" w:type="dxa"/>
            <w:gridSpan w:val="2"/>
            <w:tcBorders>
              <w:tl2br w:val="nil"/>
              <w:tr2bl w:val="nil"/>
            </w:tcBorders>
            <w:noWrap w:val="0"/>
            <w:vAlign w:val="center"/>
          </w:tcPr>
          <w:p w14:paraId="34D376AA">
            <w:pPr>
              <w:pStyle w:val="75"/>
              <w:rPr>
                <w:kern w:val="2"/>
              </w:rPr>
            </w:pPr>
            <w:r>
              <w:t>陈固村</w:t>
            </w:r>
          </w:p>
        </w:tc>
        <w:tc>
          <w:tcPr>
            <w:tcW w:w="1067" w:type="dxa"/>
            <w:tcBorders>
              <w:tl2br w:val="nil"/>
              <w:tr2bl w:val="nil"/>
            </w:tcBorders>
            <w:noWrap w:val="0"/>
            <w:vAlign w:val="center"/>
          </w:tcPr>
          <w:p w14:paraId="41976FF1">
            <w:pPr>
              <w:pStyle w:val="75"/>
              <w:ind w:firstLine="0" w:firstLineChars="0"/>
            </w:pPr>
            <w:r>
              <w:t>东北</w:t>
            </w:r>
          </w:p>
        </w:tc>
        <w:tc>
          <w:tcPr>
            <w:tcW w:w="1305" w:type="dxa"/>
            <w:tcBorders>
              <w:tl2br w:val="nil"/>
              <w:tr2bl w:val="nil"/>
            </w:tcBorders>
            <w:noWrap w:val="0"/>
            <w:vAlign w:val="center"/>
          </w:tcPr>
          <w:p w14:paraId="42E83040">
            <w:pPr>
              <w:pStyle w:val="75"/>
              <w:ind w:firstLine="0" w:firstLineChars="0"/>
            </w:pPr>
            <w:r>
              <w:t>34</w:t>
            </w:r>
            <w:r>
              <w:rPr>
                <w:rFonts w:hint="eastAsia"/>
              </w:rPr>
              <w:t>3</w:t>
            </w:r>
            <w:r>
              <w:t>0</w:t>
            </w:r>
          </w:p>
        </w:tc>
        <w:tc>
          <w:tcPr>
            <w:tcW w:w="990" w:type="dxa"/>
            <w:tcBorders>
              <w:tl2br w:val="nil"/>
              <w:tr2bl w:val="nil"/>
            </w:tcBorders>
            <w:noWrap w:val="0"/>
            <w:vAlign w:val="center"/>
          </w:tcPr>
          <w:p w14:paraId="1B7DCABA">
            <w:pPr>
              <w:pStyle w:val="75"/>
              <w:ind w:firstLine="0" w:firstLineChars="0"/>
            </w:pPr>
            <w:r>
              <w:t>居民区</w:t>
            </w:r>
          </w:p>
        </w:tc>
        <w:tc>
          <w:tcPr>
            <w:tcW w:w="1185" w:type="dxa"/>
            <w:tcBorders>
              <w:tl2br w:val="nil"/>
              <w:tr2bl w:val="nil"/>
            </w:tcBorders>
            <w:noWrap w:val="0"/>
            <w:vAlign w:val="center"/>
          </w:tcPr>
          <w:p w14:paraId="12E8557B">
            <w:pPr>
              <w:pStyle w:val="75"/>
            </w:pPr>
            <w:r>
              <w:rPr>
                <w:rFonts w:hint="eastAsia"/>
              </w:rPr>
              <w:t>826</w:t>
            </w:r>
          </w:p>
        </w:tc>
      </w:tr>
      <w:tr w14:paraId="096CFCD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A33B485">
            <w:pPr>
              <w:pStyle w:val="75"/>
              <w:ind w:firstLine="0" w:firstLineChars="0"/>
              <w:rPr>
                <w:rFonts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8402636">
            <w:pPr>
              <w:pStyle w:val="75"/>
              <w:ind w:firstLine="0" w:firstLineChars="0"/>
              <w:rPr>
                <w:kern w:val="2"/>
              </w:rPr>
            </w:pPr>
            <w:r>
              <w:rPr>
                <w:kern w:val="2"/>
              </w:rPr>
              <w:t>8</w:t>
            </w:r>
          </w:p>
        </w:tc>
        <w:tc>
          <w:tcPr>
            <w:tcW w:w="2220" w:type="dxa"/>
            <w:gridSpan w:val="2"/>
            <w:tcBorders>
              <w:tl2br w:val="nil"/>
              <w:tr2bl w:val="nil"/>
            </w:tcBorders>
            <w:noWrap w:val="0"/>
            <w:vAlign w:val="center"/>
          </w:tcPr>
          <w:p w14:paraId="61376959">
            <w:pPr>
              <w:pStyle w:val="75"/>
              <w:ind w:firstLine="0" w:firstLineChars="0"/>
            </w:pPr>
            <w:r>
              <w:rPr>
                <w:rFonts w:hint="eastAsia"/>
                <w:lang w:val="en-US" w:eastAsia="zh-CN"/>
              </w:rPr>
              <w:t>南</w:t>
            </w:r>
            <w:r>
              <w:rPr>
                <w:rFonts w:hint="eastAsia"/>
              </w:rPr>
              <w:t>陈庄村</w:t>
            </w:r>
          </w:p>
        </w:tc>
        <w:tc>
          <w:tcPr>
            <w:tcW w:w="1067" w:type="dxa"/>
            <w:tcBorders>
              <w:tl2br w:val="nil"/>
              <w:tr2bl w:val="nil"/>
            </w:tcBorders>
            <w:noWrap w:val="0"/>
            <w:vAlign w:val="center"/>
          </w:tcPr>
          <w:p w14:paraId="251D5071">
            <w:pPr>
              <w:pStyle w:val="75"/>
              <w:ind w:firstLine="0" w:firstLineChars="0"/>
            </w:pPr>
            <w:r>
              <w:t>东北</w:t>
            </w:r>
          </w:p>
        </w:tc>
        <w:tc>
          <w:tcPr>
            <w:tcW w:w="1305" w:type="dxa"/>
            <w:tcBorders>
              <w:tl2br w:val="nil"/>
              <w:tr2bl w:val="nil"/>
            </w:tcBorders>
            <w:noWrap w:val="0"/>
            <w:vAlign w:val="center"/>
          </w:tcPr>
          <w:p w14:paraId="52FC51C2">
            <w:pPr>
              <w:pStyle w:val="75"/>
              <w:ind w:firstLine="0" w:firstLineChars="0"/>
            </w:pPr>
            <w:r>
              <w:rPr>
                <w:rFonts w:hint="eastAsia"/>
              </w:rPr>
              <w:t>404</w:t>
            </w:r>
            <w:r>
              <w:t>0</w:t>
            </w:r>
          </w:p>
        </w:tc>
        <w:tc>
          <w:tcPr>
            <w:tcW w:w="990" w:type="dxa"/>
            <w:tcBorders>
              <w:tl2br w:val="nil"/>
              <w:tr2bl w:val="nil"/>
            </w:tcBorders>
            <w:noWrap w:val="0"/>
            <w:vAlign w:val="center"/>
          </w:tcPr>
          <w:p w14:paraId="5B087DCB">
            <w:pPr>
              <w:pStyle w:val="75"/>
              <w:ind w:firstLine="0" w:firstLineChars="0"/>
            </w:pPr>
            <w:r>
              <w:t>居民区</w:t>
            </w:r>
          </w:p>
        </w:tc>
        <w:tc>
          <w:tcPr>
            <w:tcW w:w="1185" w:type="dxa"/>
            <w:tcBorders>
              <w:tl2br w:val="nil"/>
              <w:tr2bl w:val="nil"/>
            </w:tcBorders>
            <w:noWrap w:val="0"/>
            <w:vAlign w:val="center"/>
          </w:tcPr>
          <w:p w14:paraId="1A42A253">
            <w:pPr>
              <w:pStyle w:val="75"/>
              <w:ind w:firstLine="0" w:firstLineChars="0"/>
              <w:rPr>
                <w:rFonts w:hint="eastAsia"/>
              </w:rPr>
            </w:pPr>
            <w:r>
              <w:rPr>
                <w:rFonts w:hint="eastAsia"/>
              </w:rPr>
              <w:t>1112</w:t>
            </w:r>
          </w:p>
        </w:tc>
      </w:tr>
      <w:tr w14:paraId="1A3D941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2352C8CF">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4477A2B1">
            <w:pPr>
              <w:pStyle w:val="75"/>
              <w:ind w:firstLine="0" w:firstLineChars="0"/>
              <w:rPr>
                <w:kern w:val="2"/>
              </w:rPr>
            </w:pPr>
            <w:r>
              <w:rPr>
                <w:kern w:val="2"/>
              </w:rPr>
              <w:t>9</w:t>
            </w:r>
          </w:p>
        </w:tc>
        <w:tc>
          <w:tcPr>
            <w:tcW w:w="2220" w:type="dxa"/>
            <w:gridSpan w:val="2"/>
            <w:tcBorders>
              <w:tl2br w:val="nil"/>
              <w:tr2bl w:val="nil"/>
            </w:tcBorders>
            <w:noWrap w:val="0"/>
            <w:vAlign w:val="center"/>
          </w:tcPr>
          <w:p w14:paraId="2BD396A4">
            <w:pPr>
              <w:pStyle w:val="75"/>
              <w:rPr>
                <w:rFonts w:hint="default" w:eastAsia="宋体"/>
                <w:kern w:val="2"/>
                <w:lang w:val="en-US" w:eastAsia="zh-CN"/>
              </w:rPr>
            </w:pPr>
            <w:r>
              <w:rPr>
                <w:rFonts w:hint="eastAsia"/>
                <w:kern w:val="2"/>
                <w:lang w:val="en-US" w:eastAsia="zh-CN"/>
              </w:rPr>
              <w:t>店后营村</w:t>
            </w:r>
          </w:p>
        </w:tc>
        <w:tc>
          <w:tcPr>
            <w:tcW w:w="1067" w:type="dxa"/>
            <w:tcBorders>
              <w:tl2br w:val="nil"/>
              <w:tr2bl w:val="nil"/>
            </w:tcBorders>
            <w:noWrap w:val="0"/>
            <w:vAlign w:val="center"/>
          </w:tcPr>
          <w:p w14:paraId="439E9C89">
            <w:pPr>
              <w:pStyle w:val="75"/>
              <w:ind w:firstLine="0" w:firstLineChars="0"/>
            </w:pPr>
            <w:r>
              <w:t>东北</w:t>
            </w:r>
          </w:p>
        </w:tc>
        <w:tc>
          <w:tcPr>
            <w:tcW w:w="1305" w:type="dxa"/>
            <w:tcBorders>
              <w:tl2br w:val="nil"/>
              <w:tr2bl w:val="nil"/>
            </w:tcBorders>
            <w:noWrap w:val="0"/>
            <w:vAlign w:val="center"/>
          </w:tcPr>
          <w:p w14:paraId="4A53F544">
            <w:pPr>
              <w:pStyle w:val="75"/>
              <w:ind w:firstLine="0" w:firstLineChars="0"/>
            </w:pPr>
            <w:r>
              <w:rPr>
                <w:rFonts w:hint="eastAsia"/>
                <w:lang w:val="en-US" w:eastAsia="zh-CN"/>
              </w:rPr>
              <w:t>4150</w:t>
            </w:r>
          </w:p>
        </w:tc>
        <w:tc>
          <w:tcPr>
            <w:tcW w:w="990" w:type="dxa"/>
            <w:tcBorders>
              <w:tl2br w:val="nil"/>
              <w:tr2bl w:val="nil"/>
            </w:tcBorders>
            <w:noWrap w:val="0"/>
            <w:vAlign w:val="center"/>
          </w:tcPr>
          <w:p w14:paraId="7E3D9596">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57FDCB23">
            <w:pPr>
              <w:pStyle w:val="75"/>
              <w:rPr>
                <w:rFonts w:hint="default" w:eastAsia="宋体"/>
                <w:lang w:val="en-US" w:eastAsia="zh-CN"/>
              </w:rPr>
            </w:pPr>
            <w:r>
              <w:rPr>
                <w:rFonts w:hint="eastAsia"/>
                <w:lang w:val="en-US" w:eastAsia="zh-CN"/>
              </w:rPr>
              <w:t>2000</w:t>
            </w:r>
          </w:p>
        </w:tc>
      </w:tr>
      <w:tr w14:paraId="3D0625C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BD9193C">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549868A">
            <w:pPr>
              <w:pStyle w:val="75"/>
              <w:ind w:firstLine="0" w:firstLineChars="0"/>
              <w:rPr>
                <w:kern w:val="2"/>
              </w:rPr>
            </w:pPr>
            <w:r>
              <w:rPr>
                <w:kern w:val="2"/>
              </w:rPr>
              <w:t>10</w:t>
            </w:r>
          </w:p>
        </w:tc>
        <w:tc>
          <w:tcPr>
            <w:tcW w:w="2220" w:type="dxa"/>
            <w:gridSpan w:val="2"/>
            <w:tcBorders>
              <w:tl2br w:val="nil"/>
              <w:tr2bl w:val="nil"/>
            </w:tcBorders>
            <w:noWrap w:val="0"/>
            <w:vAlign w:val="center"/>
          </w:tcPr>
          <w:p w14:paraId="6E756978">
            <w:pPr>
              <w:pStyle w:val="75"/>
              <w:rPr>
                <w:rFonts w:hint="default"/>
                <w:kern w:val="2"/>
                <w:lang w:val="en-US" w:eastAsia="zh-CN"/>
              </w:rPr>
            </w:pPr>
            <w:r>
              <w:rPr>
                <w:rFonts w:hint="eastAsia"/>
                <w:kern w:val="2"/>
                <w:lang w:val="en-US" w:eastAsia="zh-CN"/>
              </w:rPr>
              <w:t>代店村</w:t>
            </w:r>
          </w:p>
        </w:tc>
        <w:tc>
          <w:tcPr>
            <w:tcW w:w="1067" w:type="dxa"/>
            <w:tcBorders>
              <w:tl2br w:val="nil"/>
              <w:tr2bl w:val="nil"/>
            </w:tcBorders>
            <w:noWrap w:val="0"/>
            <w:vAlign w:val="center"/>
          </w:tcPr>
          <w:p w14:paraId="7A623762">
            <w:pPr>
              <w:pStyle w:val="75"/>
              <w:ind w:firstLine="0" w:firstLineChars="0"/>
            </w:pPr>
            <w:r>
              <w:t>东北</w:t>
            </w:r>
          </w:p>
        </w:tc>
        <w:tc>
          <w:tcPr>
            <w:tcW w:w="1305" w:type="dxa"/>
            <w:tcBorders>
              <w:tl2br w:val="nil"/>
              <w:tr2bl w:val="nil"/>
            </w:tcBorders>
            <w:noWrap w:val="0"/>
            <w:vAlign w:val="center"/>
          </w:tcPr>
          <w:p w14:paraId="5E1FC476">
            <w:pPr>
              <w:pStyle w:val="75"/>
              <w:ind w:firstLine="0" w:firstLineChars="0"/>
            </w:pPr>
            <w:r>
              <w:rPr>
                <w:rFonts w:hint="eastAsia"/>
                <w:lang w:val="en-US" w:eastAsia="zh-CN"/>
              </w:rPr>
              <w:t>4480</w:t>
            </w:r>
          </w:p>
        </w:tc>
        <w:tc>
          <w:tcPr>
            <w:tcW w:w="990" w:type="dxa"/>
            <w:tcBorders>
              <w:tl2br w:val="nil"/>
              <w:tr2bl w:val="nil"/>
            </w:tcBorders>
            <w:noWrap w:val="0"/>
            <w:vAlign w:val="center"/>
          </w:tcPr>
          <w:p w14:paraId="0627D839">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B9DE8E8">
            <w:pPr>
              <w:pStyle w:val="75"/>
              <w:rPr>
                <w:rFonts w:hint="default" w:eastAsia="宋体"/>
                <w:lang w:val="en-US" w:eastAsia="zh-CN"/>
              </w:rPr>
            </w:pPr>
            <w:r>
              <w:rPr>
                <w:rFonts w:hint="eastAsia"/>
                <w:lang w:val="en-US" w:eastAsia="zh-CN"/>
              </w:rPr>
              <w:t>1150</w:t>
            </w:r>
          </w:p>
        </w:tc>
      </w:tr>
      <w:tr w14:paraId="79349B1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4CE868B9">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D3B4B83">
            <w:pPr>
              <w:pStyle w:val="75"/>
              <w:ind w:firstLine="0" w:firstLineChars="0"/>
              <w:rPr>
                <w:rFonts w:hint="eastAsia"/>
                <w:kern w:val="2"/>
                <w:lang w:val="en-US" w:eastAsia="zh-CN"/>
              </w:rPr>
            </w:pPr>
            <w:r>
              <w:rPr>
                <w:rFonts w:hint="eastAsia"/>
                <w:kern w:val="2"/>
                <w:lang w:val="en-US" w:eastAsia="zh-CN"/>
              </w:rPr>
              <w:t>11</w:t>
            </w:r>
          </w:p>
        </w:tc>
        <w:tc>
          <w:tcPr>
            <w:tcW w:w="2220" w:type="dxa"/>
            <w:gridSpan w:val="2"/>
            <w:tcBorders>
              <w:tl2br w:val="nil"/>
              <w:tr2bl w:val="nil"/>
            </w:tcBorders>
            <w:noWrap w:val="0"/>
            <w:vAlign w:val="center"/>
          </w:tcPr>
          <w:p w14:paraId="6A5F3D60">
            <w:pPr>
              <w:pStyle w:val="75"/>
              <w:ind w:firstLine="0" w:firstLineChars="0"/>
              <w:rPr>
                <w:rFonts w:hint="eastAsia"/>
                <w:kern w:val="2"/>
                <w:lang w:val="en-US" w:eastAsia="zh-CN"/>
              </w:rPr>
            </w:pPr>
            <w:r>
              <w:t>文营村</w:t>
            </w:r>
          </w:p>
        </w:tc>
        <w:tc>
          <w:tcPr>
            <w:tcW w:w="1067" w:type="dxa"/>
            <w:tcBorders>
              <w:tl2br w:val="nil"/>
              <w:tr2bl w:val="nil"/>
            </w:tcBorders>
            <w:noWrap w:val="0"/>
            <w:vAlign w:val="center"/>
          </w:tcPr>
          <w:p w14:paraId="384A2CCC">
            <w:pPr>
              <w:pStyle w:val="75"/>
              <w:ind w:firstLine="0" w:firstLineChars="0"/>
            </w:pPr>
            <w:r>
              <w:t>东南</w:t>
            </w:r>
          </w:p>
        </w:tc>
        <w:tc>
          <w:tcPr>
            <w:tcW w:w="1305" w:type="dxa"/>
            <w:tcBorders>
              <w:tl2br w:val="nil"/>
              <w:tr2bl w:val="nil"/>
            </w:tcBorders>
            <w:noWrap w:val="0"/>
            <w:vAlign w:val="center"/>
          </w:tcPr>
          <w:p w14:paraId="2A4C3C54">
            <w:pPr>
              <w:pStyle w:val="75"/>
              <w:ind w:firstLine="0" w:firstLineChars="0"/>
            </w:pPr>
            <w:r>
              <w:rPr>
                <w:rFonts w:hint="eastAsia"/>
                <w:lang w:val="en-US" w:eastAsia="zh-CN"/>
              </w:rPr>
              <w:t>3050</w:t>
            </w:r>
          </w:p>
        </w:tc>
        <w:tc>
          <w:tcPr>
            <w:tcW w:w="990" w:type="dxa"/>
            <w:tcBorders>
              <w:tl2br w:val="nil"/>
              <w:tr2bl w:val="nil"/>
            </w:tcBorders>
            <w:noWrap w:val="0"/>
            <w:vAlign w:val="center"/>
          </w:tcPr>
          <w:p w14:paraId="034A416E">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65132871">
            <w:pPr>
              <w:pStyle w:val="75"/>
              <w:ind w:firstLine="0" w:firstLineChars="0"/>
              <w:rPr>
                <w:rFonts w:hint="eastAsia"/>
                <w:lang w:val="en-US" w:eastAsia="zh-CN"/>
              </w:rPr>
            </w:pPr>
            <w:r>
              <w:rPr>
                <w:rFonts w:hint="eastAsia"/>
              </w:rPr>
              <w:t>1704</w:t>
            </w:r>
          </w:p>
        </w:tc>
      </w:tr>
      <w:tr w14:paraId="227E6C0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70F44580">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41DD1749">
            <w:pPr>
              <w:pStyle w:val="75"/>
              <w:ind w:firstLine="0" w:firstLineChars="0"/>
              <w:rPr>
                <w:rFonts w:hint="eastAsia"/>
                <w:kern w:val="2"/>
                <w:lang w:val="en-US" w:eastAsia="zh-CN"/>
              </w:rPr>
            </w:pPr>
            <w:r>
              <w:rPr>
                <w:rFonts w:hint="eastAsia"/>
                <w:kern w:val="2"/>
                <w:lang w:val="en-US" w:eastAsia="zh-CN"/>
              </w:rPr>
              <w:t>12</w:t>
            </w:r>
          </w:p>
        </w:tc>
        <w:tc>
          <w:tcPr>
            <w:tcW w:w="2220" w:type="dxa"/>
            <w:gridSpan w:val="2"/>
            <w:tcBorders>
              <w:tl2br w:val="nil"/>
              <w:tr2bl w:val="nil"/>
            </w:tcBorders>
            <w:noWrap w:val="0"/>
            <w:vAlign w:val="center"/>
          </w:tcPr>
          <w:p w14:paraId="0CE959A2">
            <w:pPr>
              <w:pStyle w:val="75"/>
              <w:ind w:firstLine="0" w:firstLineChars="0"/>
              <w:rPr>
                <w:kern w:val="2"/>
              </w:rPr>
            </w:pPr>
            <w:r>
              <w:t>马唐马村</w:t>
            </w:r>
          </w:p>
        </w:tc>
        <w:tc>
          <w:tcPr>
            <w:tcW w:w="1067" w:type="dxa"/>
            <w:tcBorders>
              <w:tl2br w:val="nil"/>
              <w:tr2bl w:val="nil"/>
            </w:tcBorders>
            <w:noWrap w:val="0"/>
            <w:vAlign w:val="center"/>
          </w:tcPr>
          <w:p w14:paraId="47101C7E">
            <w:pPr>
              <w:pStyle w:val="75"/>
              <w:ind w:firstLine="0" w:firstLineChars="0"/>
            </w:pPr>
            <w:r>
              <w:t>东南</w:t>
            </w:r>
          </w:p>
        </w:tc>
        <w:tc>
          <w:tcPr>
            <w:tcW w:w="1305" w:type="dxa"/>
            <w:tcBorders>
              <w:tl2br w:val="nil"/>
              <w:tr2bl w:val="nil"/>
            </w:tcBorders>
            <w:noWrap w:val="0"/>
            <w:vAlign w:val="center"/>
          </w:tcPr>
          <w:p w14:paraId="7BB0F7C0">
            <w:pPr>
              <w:pStyle w:val="75"/>
              <w:ind w:firstLine="0" w:firstLineChars="0"/>
            </w:pPr>
            <w:r>
              <w:rPr>
                <w:rFonts w:hint="eastAsia"/>
                <w:lang w:val="en-US" w:eastAsia="zh-CN"/>
              </w:rPr>
              <w:t>3000</w:t>
            </w:r>
          </w:p>
        </w:tc>
        <w:tc>
          <w:tcPr>
            <w:tcW w:w="990" w:type="dxa"/>
            <w:tcBorders>
              <w:tl2br w:val="nil"/>
              <w:tr2bl w:val="nil"/>
            </w:tcBorders>
            <w:noWrap w:val="0"/>
            <w:vAlign w:val="center"/>
          </w:tcPr>
          <w:p w14:paraId="2C5685BF">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539F17CF">
            <w:pPr>
              <w:pStyle w:val="75"/>
              <w:ind w:firstLine="0" w:firstLineChars="0"/>
            </w:pPr>
            <w:r>
              <w:rPr>
                <w:rFonts w:hint="eastAsia"/>
              </w:rPr>
              <w:t>829</w:t>
            </w:r>
          </w:p>
        </w:tc>
      </w:tr>
      <w:tr w14:paraId="49C7641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2911D0A1">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6519F6A8">
            <w:pPr>
              <w:pStyle w:val="75"/>
              <w:ind w:firstLine="0" w:firstLineChars="0"/>
              <w:rPr>
                <w:rFonts w:hint="eastAsia"/>
                <w:kern w:val="2"/>
                <w:lang w:val="en-US" w:eastAsia="zh-CN"/>
              </w:rPr>
            </w:pPr>
            <w:r>
              <w:rPr>
                <w:rFonts w:hint="eastAsia"/>
                <w:kern w:val="2"/>
                <w:lang w:val="en-US" w:eastAsia="zh-CN"/>
              </w:rPr>
              <w:t>13</w:t>
            </w:r>
          </w:p>
        </w:tc>
        <w:tc>
          <w:tcPr>
            <w:tcW w:w="2220" w:type="dxa"/>
            <w:gridSpan w:val="2"/>
            <w:tcBorders>
              <w:tl2br w:val="nil"/>
              <w:tr2bl w:val="nil"/>
            </w:tcBorders>
            <w:noWrap w:val="0"/>
            <w:vAlign w:val="center"/>
          </w:tcPr>
          <w:p w14:paraId="31C01DC7">
            <w:pPr>
              <w:pStyle w:val="75"/>
              <w:ind w:firstLine="0" w:firstLineChars="0"/>
              <w:rPr>
                <w:kern w:val="2"/>
              </w:rPr>
            </w:pPr>
            <w:r>
              <w:rPr>
                <w:rFonts w:hint="eastAsia"/>
              </w:rPr>
              <w:t>李唐马</w:t>
            </w:r>
            <w:r>
              <w:t>村</w:t>
            </w:r>
          </w:p>
        </w:tc>
        <w:tc>
          <w:tcPr>
            <w:tcW w:w="1067" w:type="dxa"/>
            <w:tcBorders>
              <w:tl2br w:val="nil"/>
              <w:tr2bl w:val="nil"/>
            </w:tcBorders>
            <w:noWrap w:val="0"/>
            <w:vAlign w:val="center"/>
          </w:tcPr>
          <w:p w14:paraId="6BF0CCB8">
            <w:pPr>
              <w:pStyle w:val="75"/>
              <w:ind w:firstLine="0" w:firstLineChars="0"/>
            </w:pPr>
            <w:r>
              <w:t>东南</w:t>
            </w:r>
          </w:p>
        </w:tc>
        <w:tc>
          <w:tcPr>
            <w:tcW w:w="1305" w:type="dxa"/>
            <w:tcBorders>
              <w:tl2br w:val="nil"/>
              <w:tr2bl w:val="nil"/>
            </w:tcBorders>
            <w:noWrap w:val="0"/>
            <w:vAlign w:val="center"/>
          </w:tcPr>
          <w:p w14:paraId="48D49808">
            <w:pPr>
              <w:pStyle w:val="75"/>
              <w:ind w:firstLine="0" w:firstLineChars="0"/>
            </w:pPr>
            <w:r>
              <w:rPr>
                <w:rFonts w:hint="eastAsia"/>
                <w:lang w:val="en-US" w:eastAsia="zh-CN"/>
              </w:rPr>
              <w:t>3600</w:t>
            </w:r>
          </w:p>
        </w:tc>
        <w:tc>
          <w:tcPr>
            <w:tcW w:w="990" w:type="dxa"/>
            <w:tcBorders>
              <w:tl2br w:val="nil"/>
              <w:tr2bl w:val="nil"/>
            </w:tcBorders>
            <w:noWrap w:val="0"/>
            <w:vAlign w:val="center"/>
          </w:tcPr>
          <w:p w14:paraId="631F0725">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1B59BCAD">
            <w:pPr>
              <w:pStyle w:val="75"/>
              <w:ind w:firstLine="0" w:firstLineChars="0"/>
            </w:pPr>
            <w:r>
              <w:rPr>
                <w:rFonts w:hint="eastAsia"/>
              </w:rPr>
              <w:t>2409</w:t>
            </w:r>
          </w:p>
        </w:tc>
      </w:tr>
      <w:tr w14:paraId="2D75436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11C94B2C">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5ACD15D2">
            <w:pPr>
              <w:pStyle w:val="75"/>
              <w:ind w:firstLine="0" w:firstLineChars="0"/>
              <w:rPr>
                <w:rFonts w:hint="eastAsia"/>
                <w:kern w:val="2"/>
                <w:lang w:val="en-US" w:eastAsia="zh-CN"/>
              </w:rPr>
            </w:pPr>
            <w:r>
              <w:rPr>
                <w:rFonts w:hint="eastAsia"/>
                <w:kern w:val="2"/>
                <w:lang w:val="en-US" w:eastAsia="zh-CN"/>
              </w:rPr>
              <w:t>14</w:t>
            </w:r>
          </w:p>
        </w:tc>
        <w:tc>
          <w:tcPr>
            <w:tcW w:w="2220" w:type="dxa"/>
            <w:gridSpan w:val="2"/>
            <w:tcBorders>
              <w:tl2br w:val="nil"/>
              <w:tr2bl w:val="nil"/>
            </w:tcBorders>
            <w:noWrap w:val="0"/>
            <w:vAlign w:val="center"/>
          </w:tcPr>
          <w:p w14:paraId="547D6877">
            <w:pPr>
              <w:pStyle w:val="75"/>
              <w:rPr>
                <w:rFonts w:hint="eastAsia" w:eastAsia="宋体"/>
                <w:kern w:val="2"/>
                <w:lang w:val="en-US" w:eastAsia="zh-CN"/>
              </w:rPr>
            </w:pPr>
            <w:r>
              <w:rPr>
                <w:rFonts w:hint="eastAsia"/>
                <w:kern w:val="2"/>
                <w:lang w:val="en-US" w:eastAsia="zh-CN"/>
              </w:rPr>
              <w:t>张唐马村</w:t>
            </w:r>
          </w:p>
        </w:tc>
        <w:tc>
          <w:tcPr>
            <w:tcW w:w="1067" w:type="dxa"/>
            <w:tcBorders>
              <w:tl2br w:val="nil"/>
              <w:tr2bl w:val="nil"/>
            </w:tcBorders>
            <w:noWrap w:val="0"/>
            <w:vAlign w:val="center"/>
          </w:tcPr>
          <w:p w14:paraId="04384FC5">
            <w:pPr>
              <w:pStyle w:val="75"/>
              <w:ind w:firstLine="0" w:firstLineChars="0"/>
            </w:pPr>
            <w:r>
              <w:t>东南</w:t>
            </w:r>
          </w:p>
        </w:tc>
        <w:tc>
          <w:tcPr>
            <w:tcW w:w="1305" w:type="dxa"/>
            <w:tcBorders>
              <w:tl2br w:val="nil"/>
              <w:tr2bl w:val="nil"/>
            </w:tcBorders>
            <w:noWrap w:val="0"/>
            <w:vAlign w:val="center"/>
          </w:tcPr>
          <w:p w14:paraId="47FE985B">
            <w:pPr>
              <w:pStyle w:val="75"/>
              <w:ind w:firstLine="0" w:firstLineChars="0"/>
            </w:pPr>
            <w:r>
              <w:rPr>
                <w:rFonts w:hint="eastAsia"/>
                <w:lang w:val="en-US" w:eastAsia="zh-CN"/>
              </w:rPr>
              <w:t>4180</w:t>
            </w:r>
          </w:p>
        </w:tc>
        <w:tc>
          <w:tcPr>
            <w:tcW w:w="990" w:type="dxa"/>
            <w:tcBorders>
              <w:tl2br w:val="nil"/>
              <w:tr2bl w:val="nil"/>
            </w:tcBorders>
            <w:noWrap w:val="0"/>
            <w:vAlign w:val="center"/>
          </w:tcPr>
          <w:p w14:paraId="3469991B">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5D49491C">
            <w:pPr>
              <w:pStyle w:val="75"/>
              <w:rPr>
                <w:rFonts w:hint="default" w:eastAsia="宋体"/>
                <w:lang w:val="en-US" w:eastAsia="zh-CN"/>
              </w:rPr>
            </w:pPr>
            <w:r>
              <w:rPr>
                <w:rFonts w:hint="eastAsia"/>
                <w:lang w:val="en-US" w:eastAsia="zh-CN"/>
              </w:rPr>
              <w:t>1250</w:t>
            </w:r>
          </w:p>
        </w:tc>
      </w:tr>
      <w:tr w14:paraId="14C5688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7CA3E601">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09D0C800">
            <w:pPr>
              <w:pStyle w:val="75"/>
              <w:ind w:firstLine="0" w:firstLineChars="0"/>
              <w:rPr>
                <w:rFonts w:hint="eastAsia"/>
                <w:kern w:val="2"/>
                <w:lang w:val="en-US" w:eastAsia="zh-CN"/>
              </w:rPr>
            </w:pPr>
            <w:r>
              <w:rPr>
                <w:rFonts w:hint="eastAsia"/>
                <w:kern w:val="2"/>
                <w:lang w:val="en-US" w:eastAsia="zh-CN"/>
              </w:rPr>
              <w:t>15</w:t>
            </w:r>
          </w:p>
        </w:tc>
        <w:tc>
          <w:tcPr>
            <w:tcW w:w="2220" w:type="dxa"/>
            <w:gridSpan w:val="2"/>
            <w:tcBorders>
              <w:tl2br w:val="nil"/>
              <w:tr2bl w:val="nil"/>
            </w:tcBorders>
            <w:noWrap w:val="0"/>
            <w:vAlign w:val="center"/>
          </w:tcPr>
          <w:p w14:paraId="20049367">
            <w:pPr>
              <w:pStyle w:val="75"/>
              <w:ind w:firstLine="0" w:firstLineChars="0"/>
              <w:rPr>
                <w:rFonts w:hint="eastAsia"/>
                <w:kern w:val="2"/>
                <w:lang w:val="en-US" w:eastAsia="zh-CN"/>
              </w:rPr>
            </w:pPr>
            <w:r>
              <w:t>武贾洲村</w:t>
            </w:r>
          </w:p>
        </w:tc>
        <w:tc>
          <w:tcPr>
            <w:tcW w:w="1067" w:type="dxa"/>
            <w:tcBorders>
              <w:tl2br w:val="nil"/>
              <w:tr2bl w:val="nil"/>
            </w:tcBorders>
            <w:noWrap w:val="0"/>
            <w:vAlign w:val="center"/>
          </w:tcPr>
          <w:p w14:paraId="07DC4DF7">
            <w:pPr>
              <w:pStyle w:val="75"/>
              <w:ind w:firstLine="0" w:firstLineChars="0"/>
            </w:pPr>
            <w:r>
              <w:t>东南</w:t>
            </w:r>
          </w:p>
        </w:tc>
        <w:tc>
          <w:tcPr>
            <w:tcW w:w="1305" w:type="dxa"/>
            <w:tcBorders>
              <w:tl2br w:val="nil"/>
              <w:tr2bl w:val="nil"/>
            </w:tcBorders>
            <w:noWrap w:val="0"/>
            <w:vAlign w:val="center"/>
          </w:tcPr>
          <w:p w14:paraId="3864A487">
            <w:pPr>
              <w:pStyle w:val="75"/>
              <w:ind w:firstLine="0" w:firstLineChars="0"/>
            </w:pPr>
            <w:r>
              <w:rPr>
                <w:rFonts w:hint="eastAsia"/>
                <w:lang w:val="en-US" w:eastAsia="zh-CN"/>
              </w:rPr>
              <w:t>2815</w:t>
            </w:r>
          </w:p>
        </w:tc>
        <w:tc>
          <w:tcPr>
            <w:tcW w:w="990" w:type="dxa"/>
            <w:tcBorders>
              <w:tl2br w:val="nil"/>
              <w:tr2bl w:val="nil"/>
            </w:tcBorders>
            <w:noWrap w:val="0"/>
            <w:vAlign w:val="center"/>
          </w:tcPr>
          <w:p w14:paraId="6385DE5D">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1A31C621">
            <w:pPr>
              <w:pStyle w:val="75"/>
              <w:ind w:firstLine="0" w:firstLineChars="0"/>
              <w:rPr>
                <w:rFonts w:hint="eastAsia"/>
                <w:lang w:val="en-US" w:eastAsia="zh-CN"/>
              </w:rPr>
            </w:pPr>
            <w:r>
              <w:rPr>
                <w:rFonts w:hint="eastAsia"/>
              </w:rPr>
              <w:t>580</w:t>
            </w:r>
          </w:p>
        </w:tc>
      </w:tr>
      <w:tr w14:paraId="313AB8F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74BFFD98">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4535C14B">
            <w:pPr>
              <w:pStyle w:val="75"/>
              <w:ind w:firstLine="0" w:firstLineChars="0"/>
              <w:rPr>
                <w:rFonts w:hint="eastAsia"/>
                <w:kern w:val="2"/>
                <w:lang w:val="en-US" w:eastAsia="zh-CN"/>
              </w:rPr>
            </w:pPr>
            <w:r>
              <w:rPr>
                <w:rFonts w:hint="eastAsia"/>
                <w:kern w:val="2"/>
                <w:lang w:val="en-US" w:eastAsia="zh-CN"/>
              </w:rPr>
              <w:t>16</w:t>
            </w:r>
          </w:p>
        </w:tc>
        <w:tc>
          <w:tcPr>
            <w:tcW w:w="2220" w:type="dxa"/>
            <w:gridSpan w:val="2"/>
            <w:tcBorders>
              <w:tl2br w:val="nil"/>
              <w:tr2bl w:val="nil"/>
            </w:tcBorders>
            <w:noWrap w:val="0"/>
            <w:vAlign w:val="center"/>
          </w:tcPr>
          <w:p w14:paraId="0152AD28">
            <w:pPr>
              <w:pStyle w:val="75"/>
              <w:ind w:firstLine="0" w:firstLineChars="0"/>
              <w:rPr>
                <w:rFonts w:hint="eastAsia"/>
                <w:kern w:val="2"/>
                <w:lang w:val="en-US" w:eastAsia="zh-CN"/>
              </w:rPr>
            </w:pPr>
            <w:r>
              <w:t>丁村</w:t>
            </w:r>
          </w:p>
        </w:tc>
        <w:tc>
          <w:tcPr>
            <w:tcW w:w="1067" w:type="dxa"/>
            <w:tcBorders>
              <w:tl2br w:val="nil"/>
              <w:tr2bl w:val="nil"/>
            </w:tcBorders>
            <w:noWrap w:val="0"/>
            <w:vAlign w:val="center"/>
          </w:tcPr>
          <w:p w14:paraId="58508E58">
            <w:pPr>
              <w:pStyle w:val="75"/>
              <w:ind w:firstLine="0" w:firstLineChars="0"/>
            </w:pPr>
            <w:r>
              <w:t>东南</w:t>
            </w:r>
          </w:p>
        </w:tc>
        <w:tc>
          <w:tcPr>
            <w:tcW w:w="1305" w:type="dxa"/>
            <w:tcBorders>
              <w:tl2br w:val="nil"/>
              <w:tr2bl w:val="nil"/>
            </w:tcBorders>
            <w:noWrap w:val="0"/>
            <w:vAlign w:val="center"/>
          </w:tcPr>
          <w:p w14:paraId="39DE78C9">
            <w:pPr>
              <w:pStyle w:val="75"/>
              <w:ind w:firstLine="0" w:firstLineChars="0"/>
            </w:pPr>
            <w:r>
              <w:rPr>
                <w:rFonts w:hint="eastAsia"/>
                <w:lang w:val="en-US" w:eastAsia="zh-CN"/>
              </w:rPr>
              <w:t>3520</w:t>
            </w:r>
          </w:p>
        </w:tc>
        <w:tc>
          <w:tcPr>
            <w:tcW w:w="990" w:type="dxa"/>
            <w:tcBorders>
              <w:tl2br w:val="nil"/>
              <w:tr2bl w:val="nil"/>
            </w:tcBorders>
            <w:noWrap w:val="0"/>
            <w:vAlign w:val="center"/>
          </w:tcPr>
          <w:p w14:paraId="453333DA">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A4233A4">
            <w:pPr>
              <w:pStyle w:val="75"/>
              <w:ind w:firstLine="0" w:firstLineChars="0"/>
            </w:pPr>
            <w:r>
              <w:rPr>
                <w:rFonts w:hint="eastAsia"/>
              </w:rPr>
              <w:t>2200</w:t>
            </w:r>
          </w:p>
        </w:tc>
      </w:tr>
      <w:tr w14:paraId="550A159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81BF49D">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616D4D87">
            <w:pPr>
              <w:pStyle w:val="75"/>
              <w:ind w:firstLine="0" w:firstLineChars="0"/>
              <w:rPr>
                <w:rFonts w:hint="eastAsia"/>
                <w:kern w:val="2"/>
                <w:lang w:val="en-US" w:eastAsia="zh-CN"/>
              </w:rPr>
            </w:pPr>
            <w:r>
              <w:rPr>
                <w:rFonts w:hint="eastAsia"/>
                <w:kern w:val="2"/>
                <w:lang w:val="en-US" w:eastAsia="zh-CN"/>
              </w:rPr>
              <w:t>17</w:t>
            </w:r>
          </w:p>
        </w:tc>
        <w:tc>
          <w:tcPr>
            <w:tcW w:w="2220" w:type="dxa"/>
            <w:gridSpan w:val="2"/>
            <w:tcBorders>
              <w:tl2br w:val="nil"/>
              <w:tr2bl w:val="nil"/>
            </w:tcBorders>
            <w:noWrap w:val="0"/>
            <w:vAlign w:val="center"/>
          </w:tcPr>
          <w:p w14:paraId="66AC3516">
            <w:pPr>
              <w:pStyle w:val="75"/>
              <w:ind w:firstLine="0" w:firstLineChars="0"/>
            </w:pPr>
            <w:r>
              <w:t>曹庄村</w:t>
            </w:r>
          </w:p>
        </w:tc>
        <w:tc>
          <w:tcPr>
            <w:tcW w:w="1067" w:type="dxa"/>
            <w:tcBorders>
              <w:tl2br w:val="nil"/>
              <w:tr2bl w:val="nil"/>
            </w:tcBorders>
            <w:noWrap w:val="0"/>
            <w:vAlign w:val="center"/>
          </w:tcPr>
          <w:p w14:paraId="5001F516">
            <w:pPr>
              <w:pStyle w:val="75"/>
              <w:ind w:firstLine="0" w:firstLineChars="0"/>
            </w:pPr>
            <w:r>
              <w:rPr>
                <w:rFonts w:hint="eastAsia"/>
                <w:lang w:val="en-US" w:eastAsia="zh-CN"/>
              </w:rPr>
              <w:t>南</w:t>
            </w:r>
          </w:p>
        </w:tc>
        <w:tc>
          <w:tcPr>
            <w:tcW w:w="1305" w:type="dxa"/>
            <w:tcBorders>
              <w:tl2br w:val="nil"/>
              <w:tr2bl w:val="nil"/>
            </w:tcBorders>
            <w:noWrap w:val="0"/>
            <w:vAlign w:val="center"/>
          </w:tcPr>
          <w:p w14:paraId="210AE14D">
            <w:pPr>
              <w:pStyle w:val="75"/>
              <w:ind w:firstLine="0" w:firstLineChars="0"/>
              <w:rPr>
                <w:rFonts w:hint="eastAsia" w:eastAsia="宋体"/>
                <w:lang w:eastAsia="zh-CN"/>
              </w:rPr>
            </w:pPr>
            <w:r>
              <w:rPr>
                <w:rFonts w:hint="eastAsia"/>
                <w:lang w:val="en-US" w:eastAsia="zh-CN"/>
              </w:rPr>
              <w:t>3700</w:t>
            </w:r>
          </w:p>
        </w:tc>
        <w:tc>
          <w:tcPr>
            <w:tcW w:w="990" w:type="dxa"/>
            <w:tcBorders>
              <w:tl2br w:val="nil"/>
              <w:tr2bl w:val="nil"/>
            </w:tcBorders>
            <w:noWrap w:val="0"/>
            <w:vAlign w:val="center"/>
          </w:tcPr>
          <w:p w14:paraId="289E9F71">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502B1B80">
            <w:pPr>
              <w:pStyle w:val="75"/>
              <w:ind w:firstLine="0" w:firstLineChars="0"/>
              <w:rPr>
                <w:rFonts w:hint="eastAsia"/>
              </w:rPr>
            </w:pPr>
            <w:r>
              <w:rPr>
                <w:rFonts w:hint="eastAsia"/>
              </w:rPr>
              <w:t>890</w:t>
            </w:r>
          </w:p>
        </w:tc>
      </w:tr>
      <w:tr w14:paraId="39E6CD4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9E4647A">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682C9C0F">
            <w:pPr>
              <w:pStyle w:val="75"/>
              <w:ind w:firstLine="0" w:firstLineChars="0"/>
              <w:rPr>
                <w:rFonts w:hint="eastAsia"/>
                <w:kern w:val="2"/>
                <w:lang w:val="en-US" w:eastAsia="zh-CN"/>
              </w:rPr>
            </w:pPr>
            <w:r>
              <w:rPr>
                <w:rFonts w:hint="eastAsia"/>
                <w:kern w:val="2"/>
                <w:lang w:val="en-US" w:eastAsia="zh-CN"/>
              </w:rPr>
              <w:t>18</w:t>
            </w:r>
          </w:p>
        </w:tc>
        <w:tc>
          <w:tcPr>
            <w:tcW w:w="2220" w:type="dxa"/>
            <w:gridSpan w:val="2"/>
            <w:tcBorders>
              <w:tl2br w:val="nil"/>
              <w:tr2bl w:val="nil"/>
            </w:tcBorders>
            <w:noWrap w:val="0"/>
            <w:vAlign w:val="center"/>
          </w:tcPr>
          <w:p w14:paraId="33B4BE53">
            <w:pPr>
              <w:pStyle w:val="75"/>
              <w:rPr>
                <w:rFonts w:hint="eastAsia" w:eastAsia="宋体"/>
                <w:kern w:val="2"/>
                <w:lang w:val="en-US" w:eastAsia="zh-CN"/>
              </w:rPr>
            </w:pPr>
            <w:r>
              <w:rPr>
                <w:rFonts w:hint="eastAsia"/>
                <w:kern w:val="2"/>
                <w:lang w:val="en-US" w:eastAsia="zh-CN"/>
              </w:rPr>
              <w:t>王石村</w:t>
            </w:r>
          </w:p>
        </w:tc>
        <w:tc>
          <w:tcPr>
            <w:tcW w:w="1067" w:type="dxa"/>
            <w:tcBorders>
              <w:tl2br w:val="nil"/>
              <w:tr2bl w:val="nil"/>
            </w:tcBorders>
            <w:noWrap w:val="0"/>
            <w:vAlign w:val="center"/>
          </w:tcPr>
          <w:p w14:paraId="647174AB">
            <w:pPr>
              <w:pStyle w:val="75"/>
              <w:ind w:firstLine="0" w:firstLineChars="0"/>
            </w:pPr>
            <w:r>
              <w:rPr>
                <w:rFonts w:hint="eastAsia"/>
                <w:lang w:val="en-US" w:eastAsia="zh-CN"/>
              </w:rPr>
              <w:t>南</w:t>
            </w:r>
          </w:p>
        </w:tc>
        <w:tc>
          <w:tcPr>
            <w:tcW w:w="1305" w:type="dxa"/>
            <w:tcBorders>
              <w:tl2br w:val="nil"/>
              <w:tr2bl w:val="nil"/>
            </w:tcBorders>
            <w:noWrap w:val="0"/>
            <w:vAlign w:val="center"/>
          </w:tcPr>
          <w:p w14:paraId="5F5C22B8">
            <w:pPr>
              <w:pStyle w:val="75"/>
              <w:ind w:firstLine="0" w:firstLineChars="0"/>
              <w:rPr>
                <w:rFonts w:hint="eastAsia" w:eastAsia="宋体"/>
                <w:lang w:val="en-US" w:eastAsia="zh-CN"/>
              </w:rPr>
            </w:pPr>
            <w:r>
              <w:rPr>
                <w:rFonts w:hint="eastAsia"/>
                <w:lang w:val="en-US" w:eastAsia="zh-CN"/>
              </w:rPr>
              <w:t>4350</w:t>
            </w:r>
          </w:p>
        </w:tc>
        <w:tc>
          <w:tcPr>
            <w:tcW w:w="990" w:type="dxa"/>
            <w:tcBorders>
              <w:tl2br w:val="nil"/>
              <w:tr2bl w:val="nil"/>
            </w:tcBorders>
            <w:noWrap w:val="0"/>
            <w:vAlign w:val="center"/>
          </w:tcPr>
          <w:p w14:paraId="2633D7A0">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CA71115">
            <w:pPr>
              <w:pStyle w:val="75"/>
              <w:rPr>
                <w:rFonts w:hint="default" w:eastAsia="宋体"/>
                <w:lang w:val="en-US" w:eastAsia="zh-CN"/>
              </w:rPr>
            </w:pPr>
            <w:r>
              <w:rPr>
                <w:rFonts w:hint="eastAsia"/>
                <w:lang w:val="en-US" w:eastAsia="zh-CN"/>
              </w:rPr>
              <w:t>450</w:t>
            </w:r>
          </w:p>
        </w:tc>
      </w:tr>
      <w:tr w14:paraId="0B40C8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3D8CD5DC">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39D82A5C">
            <w:pPr>
              <w:pStyle w:val="75"/>
              <w:ind w:firstLine="0" w:firstLineChars="0"/>
              <w:rPr>
                <w:kern w:val="2"/>
              </w:rPr>
            </w:pPr>
            <w:r>
              <w:rPr>
                <w:kern w:val="2"/>
              </w:rPr>
              <w:t>19</w:t>
            </w:r>
          </w:p>
        </w:tc>
        <w:tc>
          <w:tcPr>
            <w:tcW w:w="2220" w:type="dxa"/>
            <w:gridSpan w:val="2"/>
            <w:tcBorders>
              <w:tl2br w:val="nil"/>
              <w:tr2bl w:val="nil"/>
            </w:tcBorders>
            <w:noWrap w:val="0"/>
            <w:vAlign w:val="center"/>
          </w:tcPr>
          <w:p w14:paraId="132D022B">
            <w:pPr>
              <w:pStyle w:val="75"/>
              <w:ind w:firstLine="0" w:firstLineChars="0"/>
              <w:rPr>
                <w:kern w:val="2"/>
              </w:rPr>
            </w:pPr>
            <w:r>
              <w:t>陈孝村</w:t>
            </w:r>
          </w:p>
        </w:tc>
        <w:tc>
          <w:tcPr>
            <w:tcW w:w="1067" w:type="dxa"/>
            <w:tcBorders>
              <w:tl2br w:val="nil"/>
              <w:tr2bl w:val="nil"/>
            </w:tcBorders>
            <w:noWrap w:val="0"/>
            <w:vAlign w:val="center"/>
          </w:tcPr>
          <w:p w14:paraId="34FEF2E7">
            <w:pPr>
              <w:pStyle w:val="75"/>
              <w:ind w:firstLine="0" w:firstLineChars="0"/>
            </w:pPr>
            <w:r>
              <w:t>西南</w:t>
            </w:r>
          </w:p>
        </w:tc>
        <w:tc>
          <w:tcPr>
            <w:tcW w:w="1305" w:type="dxa"/>
            <w:tcBorders>
              <w:tl2br w:val="nil"/>
              <w:tr2bl w:val="nil"/>
            </w:tcBorders>
            <w:noWrap w:val="0"/>
            <w:vAlign w:val="center"/>
          </w:tcPr>
          <w:p w14:paraId="1BF7D461">
            <w:pPr>
              <w:pStyle w:val="75"/>
              <w:ind w:firstLine="0" w:firstLineChars="0"/>
            </w:pPr>
            <w:r>
              <w:rPr>
                <w:rFonts w:hint="eastAsia"/>
                <w:lang w:val="en-US" w:eastAsia="zh-CN"/>
              </w:rPr>
              <w:t>2564</w:t>
            </w:r>
          </w:p>
        </w:tc>
        <w:tc>
          <w:tcPr>
            <w:tcW w:w="990" w:type="dxa"/>
            <w:tcBorders>
              <w:tl2br w:val="nil"/>
              <w:tr2bl w:val="nil"/>
            </w:tcBorders>
            <w:noWrap w:val="0"/>
            <w:vAlign w:val="center"/>
          </w:tcPr>
          <w:p w14:paraId="15EC8E9E">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1B13C372">
            <w:pPr>
              <w:pStyle w:val="75"/>
              <w:ind w:firstLine="0" w:firstLineChars="0"/>
            </w:pPr>
            <w:r>
              <w:rPr>
                <w:rFonts w:hint="eastAsia"/>
              </w:rPr>
              <w:t>1080</w:t>
            </w:r>
          </w:p>
        </w:tc>
      </w:tr>
      <w:tr w14:paraId="239716C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6FEEAE4">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28E69A07">
            <w:pPr>
              <w:pStyle w:val="75"/>
              <w:ind w:firstLine="0" w:firstLineChars="0"/>
              <w:rPr>
                <w:kern w:val="2"/>
              </w:rPr>
            </w:pPr>
            <w:r>
              <w:rPr>
                <w:kern w:val="2"/>
              </w:rPr>
              <w:t>20</w:t>
            </w:r>
          </w:p>
        </w:tc>
        <w:tc>
          <w:tcPr>
            <w:tcW w:w="2220" w:type="dxa"/>
            <w:gridSpan w:val="2"/>
            <w:tcBorders>
              <w:tl2br w:val="nil"/>
              <w:tr2bl w:val="nil"/>
            </w:tcBorders>
            <w:noWrap w:val="0"/>
            <w:vAlign w:val="center"/>
          </w:tcPr>
          <w:p w14:paraId="614857E2">
            <w:pPr>
              <w:pStyle w:val="75"/>
              <w:rPr>
                <w:kern w:val="2"/>
              </w:rPr>
            </w:pPr>
            <w:r>
              <w:t>孝合村</w:t>
            </w:r>
          </w:p>
        </w:tc>
        <w:tc>
          <w:tcPr>
            <w:tcW w:w="1067" w:type="dxa"/>
            <w:tcBorders>
              <w:tl2br w:val="nil"/>
              <w:tr2bl w:val="nil"/>
            </w:tcBorders>
            <w:noWrap w:val="0"/>
            <w:vAlign w:val="center"/>
          </w:tcPr>
          <w:p w14:paraId="5D8B0D84">
            <w:pPr>
              <w:pStyle w:val="75"/>
              <w:ind w:firstLine="0" w:firstLineChars="0"/>
            </w:pPr>
            <w:r>
              <w:t>南</w:t>
            </w:r>
          </w:p>
        </w:tc>
        <w:tc>
          <w:tcPr>
            <w:tcW w:w="1305" w:type="dxa"/>
            <w:tcBorders>
              <w:tl2br w:val="nil"/>
              <w:tr2bl w:val="nil"/>
            </w:tcBorders>
            <w:noWrap w:val="0"/>
            <w:vAlign w:val="center"/>
          </w:tcPr>
          <w:p w14:paraId="6F099B74">
            <w:pPr>
              <w:pStyle w:val="75"/>
              <w:ind w:firstLine="0" w:firstLineChars="0"/>
            </w:pPr>
            <w:r>
              <w:rPr>
                <w:rFonts w:hint="eastAsia"/>
                <w:lang w:val="en-US" w:eastAsia="zh-CN"/>
              </w:rPr>
              <w:t>2150</w:t>
            </w:r>
          </w:p>
        </w:tc>
        <w:tc>
          <w:tcPr>
            <w:tcW w:w="990" w:type="dxa"/>
            <w:tcBorders>
              <w:tl2br w:val="nil"/>
              <w:tr2bl w:val="nil"/>
            </w:tcBorders>
            <w:noWrap w:val="0"/>
            <w:vAlign w:val="center"/>
          </w:tcPr>
          <w:p w14:paraId="013D9AAE">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5A6C0B74">
            <w:pPr>
              <w:pStyle w:val="75"/>
            </w:pPr>
            <w:r>
              <w:rPr>
                <w:rFonts w:hint="eastAsia"/>
              </w:rPr>
              <w:t>905</w:t>
            </w:r>
          </w:p>
        </w:tc>
      </w:tr>
      <w:tr w14:paraId="116C72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4CD54C9F">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2B25A91">
            <w:pPr>
              <w:pStyle w:val="75"/>
              <w:ind w:firstLine="0" w:firstLineChars="0"/>
              <w:rPr>
                <w:rFonts w:hint="eastAsia"/>
                <w:kern w:val="2"/>
                <w:lang w:val="en-US" w:eastAsia="zh-CN"/>
              </w:rPr>
            </w:pPr>
            <w:r>
              <w:rPr>
                <w:rFonts w:hint="eastAsia"/>
                <w:kern w:val="2"/>
                <w:lang w:val="en-US" w:eastAsia="zh-CN"/>
              </w:rPr>
              <w:t>21</w:t>
            </w:r>
          </w:p>
        </w:tc>
        <w:tc>
          <w:tcPr>
            <w:tcW w:w="2220" w:type="dxa"/>
            <w:gridSpan w:val="2"/>
            <w:tcBorders>
              <w:tl2br w:val="nil"/>
              <w:tr2bl w:val="nil"/>
            </w:tcBorders>
            <w:noWrap w:val="0"/>
            <w:vAlign w:val="center"/>
          </w:tcPr>
          <w:p w14:paraId="3C959CE2">
            <w:pPr>
              <w:pStyle w:val="75"/>
              <w:ind w:firstLine="0" w:firstLineChars="0"/>
            </w:pPr>
            <w:r>
              <w:t>西仓村</w:t>
            </w:r>
          </w:p>
        </w:tc>
        <w:tc>
          <w:tcPr>
            <w:tcW w:w="1067" w:type="dxa"/>
            <w:tcBorders>
              <w:tl2br w:val="nil"/>
              <w:tr2bl w:val="nil"/>
            </w:tcBorders>
            <w:noWrap w:val="0"/>
            <w:vAlign w:val="center"/>
          </w:tcPr>
          <w:p w14:paraId="622DC7A5">
            <w:pPr>
              <w:pStyle w:val="75"/>
              <w:ind w:firstLine="0" w:firstLineChars="0"/>
            </w:pPr>
            <w:r>
              <w:t>北</w:t>
            </w:r>
          </w:p>
        </w:tc>
        <w:tc>
          <w:tcPr>
            <w:tcW w:w="1305" w:type="dxa"/>
            <w:tcBorders>
              <w:tl2br w:val="nil"/>
              <w:tr2bl w:val="nil"/>
            </w:tcBorders>
            <w:noWrap w:val="0"/>
            <w:vAlign w:val="center"/>
          </w:tcPr>
          <w:p w14:paraId="63BC4611">
            <w:pPr>
              <w:pStyle w:val="75"/>
              <w:ind w:firstLine="0" w:firstLineChars="0"/>
            </w:pPr>
            <w:r>
              <w:rPr>
                <w:rFonts w:hint="eastAsia"/>
              </w:rPr>
              <w:t>29</w:t>
            </w:r>
            <w:r>
              <w:rPr>
                <w:rFonts w:hint="eastAsia"/>
                <w:lang w:val="en-US" w:eastAsia="zh-CN"/>
              </w:rPr>
              <w:t>80</w:t>
            </w:r>
          </w:p>
        </w:tc>
        <w:tc>
          <w:tcPr>
            <w:tcW w:w="990" w:type="dxa"/>
            <w:tcBorders>
              <w:tl2br w:val="nil"/>
              <w:tr2bl w:val="nil"/>
            </w:tcBorders>
            <w:noWrap w:val="0"/>
            <w:vAlign w:val="center"/>
          </w:tcPr>
          <w:p w14:paraId="452F308F">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6F5FA08">
            <w:pPr>
              <w:pStyle w:val="75"/>
              <w:ind w:firstLine="0" w:firstLineChars="0"/>
              <w:rPr>
                <w:rFonts w:hint="eastAsia"/>
              </w:rPr>
            </w:pPr>
            <w:r>
              <w:rPr>
                <w:rFonts w:hint="eastAsia"/>
              </w:rPr>
              <w:t>2268</w:t>
            </w:r>
          </w:p>
        </w:tc>
      </w:tr>
      <w:tr w14:paraId="7A2A8E9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35597857">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741E3C4">
            <w:pPr>
              <w:pStyle w:val="75"/>
              <w:ind w:firstLine="0" w:firstLineChars="0"/>
              <w:rPr>
                <w:rFonts w:hint="eastAsia"/>
                <w:kern w:val="2"/>
                <w:lang w:val="en-US" w:eastAsia="zh-CN"/>
              </w:rPr>
            </w:pPr>
            <w:r>
              <w:rPr>
                <w:rFonts w:hint="eastAsia"/>
                <w:kern w:val="2"/>
                <w:lang w:val="en-US" w:eastAsia="zh-CN"/>
              </w:rPr>
              <w:t>22</w:t>
            </w:r>
          </w:p>
        </w:tc>
        <w:tc>
          <w:tcPr>
            <w:tcW w:w="2220" w:type="dxa"/>
            <w:gridSpan w:val="2"/>
            <w:tcBorders>
              <w:tl2br w:val="nil"/>
              <w:tr2bl w:val="nil"/>
            </w:tcBorders>
            <w:noWrap w:val="0"/>
            <w:vAlign w:val="center"/>
          </w:tcPr>
          <w:p w14:paraId="505F6C6D">
            <w:pPr>
              <w:pStyle w:val="75"/>
              <w:ind w:firstLine="0" w:firstLineChars="0"/>
              <w:rPr>
                <w:kern w:val="2"/>
              </w:rPr>
            </w:pPr>
            <w:r>
              <w:rPr>
                <w:rFonts w:hint="eastAsia"/>
              </w:rPr>
              <w:t>照镜镇</w:t>
            </w:r>
          </w:p>
        </w:tc>
        <w:tc>
          <w:tcPr>
            <w:tcW w:w="1067" w:type="dxa"/>
            <w:tcBorders>
              <w:tl2br w:val="nil"/>
              <w:tr2bl w:val="nil"/>
            </w:tcBorders>
            <w:noWrap w:val="0"/>
            <w:vAlign w:val="center"/>
          </w:tcPr>
          <w:p w14:paraId="714769BE">
            <w:pPr>
              <w:pStyle w:val="75"/>
              <w:ind w:firstLine="0" w:firstLineChars="0"/>
            </w:pPr>
            <w:r>
              <w:rPr>
                <w:rFonts w:hint="eastAsia"/>
              </w:rPr>
              <w:t>西北</w:t>
            </w:r>
          </w:p>
        </w:tc>
        <w:tc>
          <w:tcPr>
            <w:tcW w:w="1305" w:type="dxa"/>
            <w:tcBorders>
              <w:tl2br w:val="nil"/>
              <w:tr2bl w:val="nil"/>
            </w:tcBorders>
            <w:noWrap w:val="0"/>
            <w:vAlign w:val="center"/>
          </w:tcPr>
          <w:p w14:paraId="238F4998">
            <w:pPr>
              <w:pStyle w:val="75"/>
              <w:ind w:firstLine="0" w:firstLineChars="0"/>
            </w:pPr>
            <w:r>
              <w:rPr>
                <w:rFonts w:hint="eastAsia"/>
                <w:lang w:val="en-US" w:eastAsia="zh-CN"/>
              </w:rPr>
              <w:t>2890</w:t>
            </w:r>
          </w:p>
        </w:tc>
        <w:tc>
          <w:tcPr>
            <w:tcW w:w="990" w:type="dxa"/>
            <w:tcBorders>
              <w:tl2br w:val="nil"/>
              <w:tr2bl w:val="nil"/>
            </w:tcBorders>
            <w:noWrap w:val="0"/>
            <w:vAlign w:val="center"/>
          </w:tcPr>
          <w:p w14:paraId="12F974B7">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399A3A1B">
            <w:pPr>
              <w:pStyle w:val="75"/>
              <w:ind w:firstLine="0" w:firstLineChars="0"/>
            </w:pPr>
            <w:r>
              <w:rPr>
                <w:rFonts w:hint="eastAsia"/>
              </w:rPr>
              <w:t>2948</w:t>
            </w:r>
          </w:p>
        </w:tc>
      </w:tr>
      <w:tr w14:paraId="423C27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08" w:hRule="atLeast"/>
        </w:trPr>
        <w:tc>
          <w:tcPr>
            <w:tcW w:w="890" w:type="dxa"/>
            <w:vMerge w:val="continue"/>
            <w:tcBorders>
              <w:tl2br w:val="nil"/>
              <w:tr2bl w:val="nil"/>
            </w:tcBorders>
            <w:shd w:val="clear" w:color="auto" w:fill="auto"/>
            <w:noWrap w:val="0"/>
            <w:vAlign w:val="center"/>
          </w:tcPr>
          <w:p w14:paraId="23FEF225">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38487B4B">
            <w:pPr>
              <w:pStyle w:val="75"/>
              <w:ind w:firstLine="0" w:firstLineChars="0"/>
              <w:rPr>
                <w:rFonts w:hint="eastAsia"/>
                <w:kern w:val="2"/>
                <w:lang w:val="en-US" w:eastAsia="zh-CN"/>
              </w:rPr>
            </w:pPr>
            <w:r>
              <w:rPr>
                <w:rFonts w:hint="eastAsia"/>
                <w:kern w:val="2"/>
                <w:lang w:val="en-US" w:eastAsia="zh-CN"/>
              </w:rPr>
              <w:t>23</w:t>
            </w:r>
          </w:p>
        </w:tc>
        <w:tc>
          <w:tcPr>
            <w:tcW w:w="2220" w:type="dxa"/>
            <w:gridSpan w:val="2"/>
            <w:tcBorders>
              <w:tl2br w:val="nil"/>
              <w:tr2bl w:val="nil"/>
            </w:tcBorders>
            <w:noWrap w:val="0"/>
            <w:vAlign w:val="center"/>
          </w:tcPr>
          <w:p w14:paraId="160C1051">
            <w:pPr>
              <w:pStyle w:val="75"/>
              <w:rPr>
                <w:rFonts w:hint="default" w:eastAsia="宋体"/>
                <w:kern w:val="2"/>
                <w:lang w:val="en-US" w:eastAsia="zh-CN"/>
              </w:rPr>
            </w:pPr>
            <w:r>
              <w:rPr>
                <w:rFonts w:hint="eastAsia"/>
                <w:kern w:val="2"/>
                <w:lang w:val="en-US" w:eastAsia="zh-CN"/>
              </w:rPr>
              <w:t>获嘉县照镜镇第一初级中学</w:t>
            </w:r>
          </w:p>
        </w:tc>
        <w:tc>
          <w:tcPr>
            <w:tcW w:w="1067" w:type="dxa"/>
            <w:tcBorders>
              <w:tl2br w:val="nil"/>
              <w:tr2bl w:val="nil"/>
            </w:tcBorders>
            <w:noWrap w:val="0"/>
            <w:vAlign w:val="center"/>
          </w:tcPr>
          <w:p w14:paraId="3E98EB17">
            <w:pPr>
              <w:pStyle w:val="75"/>
              <w:ind w:firstLine="0" w:firstLineChars="0"/>
              <w:rPr>
                <w:rFonts w:hint="eastAsia" w:eastAsia="宋体"/>
                <w:lang w:val="en-US" w:eastAsia="zh-CN"/>
              </w:rPr>
            </w:pPr>
            <w:r>
              <w:rPr>
                <w:rFonts w:hint="eastAsia"/>
              </w:rPr>
              <w:t>西北</w:t>
            </w:r>
          </w:p>
        </w:tc>
        <w:tc>
          <w:tcPr>
            <w:tcW w:w="1305" w:type="dxa"/>
            <w:tcBorders>
              <w:tl2br w:val="nil"/>
              <w:tr2bl w:val="nil"/>
            </w:tcBorders>
            <w:noWrap w:val="0"/>
            <w:vAlign w:val="center"/>
          </w:tcPr>
          <w:p w14:paraId="0720584A">
            <w:pPr>
              <w:pStyle w:val="75"/>
              <w:ind w:firstLine="0" w:firstLineChars="0"/>
              <w:rPr>
                <w:rFonts w:hint="eastAsia"/>
              </w:rPr>
            </w:pPr>
            <w:r>
              <w:rPr>
                <w:rFonts w:hint="eastAsia"/>
                <w:lang w:val="en-US" w:eastAsia="zh-CN"/>
              </w:rPr>
              <w:t>3140</w:t>
            </w:r>
          </w:p>
        </w:tc>
        <w:tc>
          <w:tcPr>
            <w:tcW w:w="990" w:type="dxa"/>
            <w:tcBorders>
              <w:tl2br w:val="nil"/>
              <w:tr2bl w:val="nil"/>
            </w:tcBorders>
            <w:noWrap w:val="0"/>
            <w:vAlign w:val="center"/>
          </w:tcPr>
          <w:p w14:paraId="31942A3A">
            <w:pPr>
              <w:pStyle w:val="75"/>
              <w:ind w:firstLine="0" w:firstLineChars="0"/>
              <w:rPr>
                <w:rFonts w:hint="default" w:eastAsia="宋体"/>
                <w:lang w:val="en-US" w:eastAsia="zh-CN"/>
              </w:rPr>
            </w:pPr>
            <w:r>
              <w:rPr>
                <w:rFonts w:hint="eastAsia"/>
                <w:lang w:val="en-US" w:eastAsia="zh-CN"/>
              </w:rPr>
              <w:t>学校</w:t>
            </w:r>
          </w:p>
        </w:tc>
        <w:tc>
          <w:tcPr>
            <w:tcW w:w="1185" w:type="dxa"/>
            <w:tcBorders>
              <w:tl2br w:val="nil"/>
              <w:tr2bl w:val="nil"/>
            </w:tcBorders>
            <w:noWrap w:val="0"/>
            <w:vAlign w:val="center"/>
          </w:tcPr>
          <w:p w14:paraId="6A9512D7">
            <w:pPr>
              <w:pStyle w:val="75"/>
              <w:rPr>
                <w:rFonts w:hint="default" w:eastAsia="宋体"/>
                <w:lang w:val="en-US" w:eastAsia="zh-CN"/>
              </w:rPr>
            </w:pPr>
            <w:r>
              <w:rPr>
                <w:rFonts w:hint="eastAsia"/>
                <w:lang w:val="en-US" w:eastAsia="zh-CN"/>
              </w:rPr>
              <w:t>2997</w:t>
            </w:r>
          </w:p>
        </w:tc>
      </w:tr>
      <w:tr w14:paraId="494FB6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8E93A19">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2002D95">
            <w:pPr>
              <w:pStyle w:val="75"/>
              <w:ind w:firstLine="0" w:firstLineChars="0"/>
              <w:rPr>
                <w:rFonts w:hint="eastAsia"/>
                <w:kern w:val="2"/>
                <w:lang w:val="en-US" w:eastAsia="zh-CN"/>
              </w:rPr>
            </w:pPr>
            <w:r>
              <w:rPr>
                <w:rFonts w:hint="eastAsia"/>
                <w:kern w:val="2"/>
                <w:lang w:val="en-US" w:eastAsia="zh-CN"/>
              </w:rPr>
              <w:t>24</w:t>
            </w:r>
          </w:p>
        </w:tc>
        <w:tc>
          <w:tcPr>
            <w:tcW w:w="2220" w:type="dxa"/>
            <w:gridSpan w:val="2"/>
            <w:tcBorders>
              <w:tl2br w:val="nil"/>
              <w:tr2bl w:val="nil"/>
            </w:tcBorders>
            <w:noWrap w:val="0"/>
            <w:vAlign w:val="center"/>
          </w:tcPr>
          <w:p w14:paraId="76587C44">
            <w:pPr>
              <w:pStyle w:val="75"/>
              <w:rPr>
                <w:rFonts w:hint="default"/>
                <w:kern w:val="2"/>
                <w:lang w:val="en-US" w:eastAsia="zh-CN"/>
              </w:rPr>
            </w:pPr>
            <w:r>
              <w:rPr>
                <w:rFonts w:hint="eastAsia"/>
                <w:kern w:val="2"/>
                <w:lang w:val="en-US" w:eastAsia="zh-CN"/>
              </w:rPr>
              <w:t>东郡温泉花园</w:t>
            </w:r>
          </w:p>
        </w:tc>
        <w:tc>
          <w:tcPr>
            <w:tcW w:w="1067" w:type="dxa"/>
            <w:tcBorders>
              <w:tl2br w:val="nil"/>
              <w:tr2bl w:val="nil"/>
            </w:tcBorders>
            <w:noWrap w:val="0"/>
            <w:vAlign w:val="center"/>
          </w:tcPr>
          <w:p w14:paraId="4688782A">
            <w:pPr>
              <w:pStyle w:val="75"/>
              <w:ind w:firstLine="0" w:firstLineChars="0"/>
              <w:rPr>
                <w:rFonts w:hint="default"/>
                <w:lang w:val="en-US" w:eastAsia="zh-CN"/>
              </w:rPr>
            </w:pPr>
            <w:r>
              <w:rPr>
                <w:rFonts w:hint="eastAsia"/>
              </w:rPr>
              <w:t>西北</w:t>
            </w:r>
          </w:p>
        </w:tc>
        <w:tc>
          <w:tcPr>
            <w:tcW w:w="1305" w:type="dxa"/>
            <w:tcBorders>
              <w:tl2br w:val="nil"/>
              <w:tr2bl w:val="nil"/>
            </w:tcBorders>
            <w:noWrap w:val="0"/>
            <w:vAlign w:val="center"/>
          </w:tcPr>
          <w:p w14:paraId="174886AD">
            <w:pPr>
              <w:pStyle w:val="75"/>
              <w:ind w:firstLine="0" w:firstLineChars="0"/>
              <w:rPr>
                <w:rFonts w:hint="eastAsia"/>
              </w:rPr>
            </w:pPr>
            <w:r>
              <w:rPr>
                <w:rFonts w:hint="eastAsia"/>
                <w:lang w:val="en-US" w:eastAsia="zh-CN"/>
              </w:rPr>
              <w:t>3300</w:t>
            </w:r>
          </w:p>
        </w:tc>
        <w:tc>
          <w:tcPr>
            <w:tcW w:w="990" w:type="dxa"/>
            <w:tcBorders>
              <w:tl2br w:val="nil"/>
              <w:tr2bl w:val="nil"/>
            </w:tcBorders>
            <w:noWrap w:val="0"/>
            <w:vAlign w:val="center"/>
          </w:tcPr>
          <w:p w14:paraId="5D986CE5">
            <w:pPr>
              <w:pStyle w:val="75"/>
              <w:ind w:firstLine="0" w:firstLineChars="0"/>
              <w:rPr>
                <w:rFonts w:hint="default" w:eastAsia="宋体"/>
                <w:lang w:val="en-US" w:eastAsia="zh-CN"/>
              </w:rPr>
            </w:pPr>
            <w:r>
              <w:rPr>
                <w:rFonts w:hint="eastAsia"/>
                <w:lang w:val="en-US" w:eastAsia="zh-CN"/>
              </w:rPr>
              <w:t>居民区</w:t>
            </w:r>
          </w:p>
        </w:tc>
        <w:tc>
          <w:tcPr>
            <w:tcW w:w="1185" w:type="dxa"/>
            <w:tcBorders>
              <w:tl2br w:val="nil"/>
              <w:tr2bl w:val="nil"/>
            </w:tcBorders>
            <w:noWrap w:val="0"/>
            <w:vAlign w:val="center"/>
          </w:tcPr>
          <w:p w14:paraId="270FB3EF">
            <w:pPr>
              <w:pStyle w:val="75"/>
              <w:rPr>
                <w:rFonts w:hint="default" w:eastAsia="宋体"/>
                <w:lang w:val="en-US" w:eastAsia="zh-CN"/>
              </w:rPr>
            </w:pPr>
            <w:r>
              <w:rPr>
                <w:rFonts w:hint="eastAsia"/>
                <w:lang w:val="en-US" w:eastAsia="zh-CN"/>
              </w:rPr>
              <w:t>2000</w:t>
            </w:r>
          </w:p>
        </w:tc>
      </w:tr>
      <w:tr w14:paraId="4BDF3F9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0CC3DD42">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430EC95E">
            <w:pPr>
              <w:pStyle w:val="75"/>
              <w:ind w:firstLine="0" w:firstLineChars="0"/>
              <w:rPr>
                <w:rFonts w:hint="eastAsia"/>
                <w:kern w:val="2"/>
                <w:lang w:val="en-US" w:eastAsia="zh-CN"/>
              </w:rPr>
            </w:pPr>
            <w:r>
              <w:rPr>
                <w:rFonts w:hint="eastAsia"/>
                <w:kern w:val="2"/>
                <w:lang w:val="en-US" w:eastAsia="zh-CN"/>
              </w:rPr>
              <w:t>25</w:t>
            </w:r>
          </w:p>
        </w:tc>
        <w:tc>
          <w:tcPr>
            <w:tcW w:w="2220" w:type="dxa"/>
            <w:gridSpan w:val="2"/>
            <w:tcBorders>
              <w:tl2br w:val="nil"/>
              <w:tr2bl w:val="nil"/>
            </w:tcBorders>
            <w:noWrap w:val="0"/>
            <w:vAlign w:val="center"/>
          </w:tcPr>
          <w:p w14:paraId="605BCA60">
            <w:pPr>
              <w:pStyle w:val="75"/>
              <w:ind w:firstLine="0" w:firstLineChars="0"/>
              <w:rPr>
                <w:rFonts w:hint="eastAsia"/>
                <w:kern w:val="2"/>
                <w:lang w:val="en-US" w:eastAsia="zh-CN"/>
              </w:rPr>
            </w:pPr>
            <w:r>
              <w:rPr>
                <w:kern w:val="2"/>
              </w:rPr>
              <w:t>东彰仪村</w:t>
            </w:r>
          </w:p>
        </w:tc>
        <w:tc>
          <w:tcPr>
            <w:tcW w:w="1067" w:type="dxa"/>
            <w:tcBorders>
              <w:tl2br w:val="nil"/>
              <w:tr2bl w:val="nil"/>
            </w:tcBorders>
            <w:noWrap w:val="0"/>
            <w:vAlign w:val="center"/>
          </w:tcPr>
          <w:p w14:paraId="1EE46004">
            <w:pPr>
              <w:pStyle w:val="75"/>
              <w:ind w:firstLine="0" w:firstLineChars="0"/>
              <w:rPr>
                <w:rFonts w:hint="eastAsia"/>
                <w:lang w:val="en-US" w:eastAsia="zh-CN"/>
              </w:rPr>
            </w:pPr>
            <w:r>
              <w:t>西北</w:t>
            </w:r>
          </w:p>
        </w:tc>
        <w:tc>
          <w:tcPr>
            <w:tcW w:w="1305" w:type="dxa"/>
            <w:tcBorders>
              <w:tl2br w:val="nil"/>
              <w:tr2bl w:val="nil"/>
            </w:tcBorders>
            <w:noWrap w:val="0"/>
            <w:vAlign w:val="center"/>
          </w:tcPr>
          <w:p w14:paraId="1198799D">
            <w:pPr>
              <w:pStyle w:val="75"/>
              <w:ind w:firstLine="0" w:firstLineChars="0"/>
              <w:rPr>
                <w:rFonts w:hint="eastAsia"/>
              </w:rPr>
            </w:pPr>
            <w:r>
              <w:rPr>
                <w:rFonts w:hint="eastAsia"/>
                <w:kern w:val="2"/>
                <w:lang w:val="en-US" w:eastAsia="zh-CN"/>
              </w:rPr>
              <w:t>4180</w:t>
            </w:r>
          </w:p>
        </w:tc>
        <w:tc>
          <w:tcPr>
            <w:tcW w:w="990" w:type="dxa"/>
            <w:tcBorders>
              <w:tl2br w:val="nil"/>
              <w:tr2bl w:val="nil"/>
            </w:tcBorders>
            <w:noWrap w:val="0"/>
            <w:vAlign w:val="center"/>
          </w:tcPr>
          <w:p w14:paraId="7DD34936">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02144D43">
            <w:pPr>
              <w:pStyle w:val="75"/>
              <w:ind w:firstLine="0" w:firstLineChars="0"/>
              <w:rPr>
                <w:rFonts w:hint="eastAsia"/>
                <w:lang w:val="en-US" w:eastAsia="zh-CN"/>
              </w:rPr>
            </w:pPr>
            <w:r>
              <w:rPr>
                <w:rFonts w:hint="eastAsia"/>
              </w:rPr>
              <w:t>864</w:t>
            </w:r>
          </w:p>
        </w:tc>
      </w:tr>
      <w:tr w14:paraId="444A4CD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0F813D75">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5FD8EF0B">
            <w:pPr>
              <w:pStyle w:val="75"/>
              <w:ind w:firstLine="0" w:firstLineChars="0"/>
              <w:rPr>
                <w:rFonts w:hint="eastAsia"/>
                <w:kern w:val="2"/>
                <w:lang w:val="en-US" w:eastAsia="zh-CN"/>
              </w:rPr>
            </w:pPr>
            <w:r>
              <w:rPr>
                <w:rFonts w:hint="eastAsia"/>
                <w:kern w:val="2"/>
                <w:lang w:val="en-US" w:eastAsia="zh-CN"/>
              </w:rPr>
              <w:t>26</w:t>
            </w:r>
          </w:p>
        </w:tc>
        <w:tc>
          <w:tcPr>
            <w:tcW w:w="2220" w:type="dxa"/>
            <w:gridSpan w:val="2"/>
            <w:tcBorders>
              <w:tl2br w:val="nil"/>
              <w:tr2bl w:val="nil"/>
            </w:tcBorders>
            <w:noWrap w:val="0"/>
            <w:vAlign w:val="center"/>
          </w:tcPr>
          <w:p w14:paraId="449AF53C">
            <w:pPr>
              <w:pStyle w:val="75"/>
              <w:ind w:firstLine="0" w:firstLineChars="0"/>
              <w:rPr>
                <w:rFonts w:hint="eastAsia"/>
                <w:kern w:val="2"/>
                <w:lang w:val="en-US" w:eastAsia="zh-CN"/>
              </w:rPr>
            </w:pPr>
            <w:r>
              <w:rPr>
                <w:kern w:val="2"/>
              </w:rPr>
              <w:t>小王庄村</w:t>
            </w:r>
          </w:p>
        </w:tc>
        <w:tc>
          <w:tcPr>
            <w:tcW w:w="1067" w:type="dxa"/>
            <w:tcBorders>
              <w:tl2br w:val="nil"/>
              <w:tr2bl w:val="nil"/>
            </w:tcBorders>
            <w:noWrap w:val="0"/>
            <w:vAlign w:val="center"/>
          </w:tcPr>
          <w:p w14:paraId="2EAE3262">
            <w:pPr>
              <w:pStyle w:val="75"/>
              <w:ind w:firstLine="0" w:firstLineChars="0"/>
              <w:rPr>
                <w:rFonts w:hint="eastAsia"/>
                <w:lang w:val="en-US" w:eastAsia="zh-CN"/>
              </w:rPr>
            </w:pPr>
            <w:r>
              <w:t>西北</w:t>
            </w:r>
          </w:p>
        </w:tc>
        <w:tc>
          <w:tcPr>
            <w:tcW w:w="1305" w:type="dxa"/>
            <w:tcBorders>
              <w:tl2br w:val="nil"/>
              <w:tr2bl w:val="nil"/>
            </w:tcBorders>
            <w:noWrap w:val="0"/>
            <w:vAlign w:val="center"/>
          </w:tcPr>
          <w:p w14:paraId="4BBFA82B">
            <w:pPr>
              <w:pStyle w:val="75"/>
              <w:ind w:firstLine="0" w:firstLineChars="0"/>
            </w:pPr>
            <w:r>
              <w:rPr>
                <w:rFonts w:hint="eastAsia"/>
                <w:lang w:val="en-US" w:eastAsia="zh-CN"/>
              </w:rPr>
              <w:t>3860</w:t>
            </w:r>
          </w:p>
        </w:tc>
        <w:tc>
          <w:tcPr>
            <w:tcW w:w="990" w:type="dxa"/>
            <w:tcBorders>
              <w:tl2br w:val="nil"/>
              <w:tr2bl w:val="nil"/>
            </w:tcBorders>
            <w:noWrap w:val="0"/>
            <w:vAlign w:val="center"/>
          </w:tcPr>
          <w:p w14:paraId="1BB5E345">
            <w:pPr>
              <w:pStyle w:val="75"/>
              <w:ind w:firstLine="0" w:firstLineChars="0"/>
              <w:rPr>
                <w:rFonts w:hint="default" w:eastAsia="宋体"/>
                <w:lang w:val="en-US" w:eastAsia="zh-CN"/>
              </w:rPr>
            </w:pPr>
            <w:r>
              <w:t>居民区</w:t>
            </w:r>
          </w:p>
        </w:tc>
        <w:tc>
          <w:tcPr>
            <w:tcW w:w="1185" w:type="dxa"/>
            <w:tcBorders>
              <w:tl2br w:val="nil"/>
              <w:tr2bl w:val="nil"/>
            </w:tcBorders>
            <w:noWrap w:val="0"/>
            <w:vAlign w:val="center"/>
          </w:tcPr>
          <w:p w14:paraId="4C5C4B91">
            <w:pPr>
              <w:pStyle w:val="75"/>
              <w:ind w:firstLine="0" w:firstLineChars="0"/>
            </w:pPr>
            <w:r>
              <w:rPr>
                <w:rFonts w:hint="eastAsia"/>
              </w:rPr>
              <w:t>400</w:t>
            </w:r>
          </w:p>
        </w:tc>
      </w:tr>
      <w:tr w14:paraId="22D2922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8380E5C">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shd w:val="clear" w:color="auto" w:fill="auto"/>
            <w:noWrap w:val="0"/>
            <w:vAlign w:val="center"/>
          </w:tcPr>
          <w:p w14:paraId="46245C74">
            <w:pPr>
              <w:pStyle w:val="75"/>
              <w:ind w:firstLine="0" w:firstLineChars="0"/>
              <w:rPr>
                <w:rFonts w:hint="eastAsia"/>
                <w:kern w:val="2"/>
                <w:lang w:val="en-US" w:eastAsia="zh-CN"/>
              </w:rPr>
            </w:pPr>
            <w:r>
              <w:rPr>
                <w:rFonts w:hint="eastAsia"/>
                <w:kern w:val="2"/>
                <w:lang w:val="en-US" w:eastAsia="zh-CN"/>
              </w:rPr>
              <w:t>27</w:t>
            </w:r>
          </w:p>
        </w:tc>
        <w:tc>
          <w:tcPr>
            <w:tcW w:w="2220" w:type="dxa"/>
            <w:gridSpan w:val="2"/>
            <w:tcBorders>
              <w:tl2br w:val="nil"/>
              <w:tr2bl w:val="nil"/>
            </w:tcBorders>
            <w:shd w:val="clear" w:color="auto" w:fill="auto"/>
            <w:noWrap w:val="0"/>
            <w:vAlign w:val="center"/>
          </w:tcPr>
          <w:p w14:paraId="12BD09BC">
            <w:pPr>
              <w:pStyle w:val="75"/>
              <w:ind w:firstLine="0" w:firstLineChars="0"/>
              <w:rPr>
                <w:rFonts w:hint="eastAsia" w:ascii="Times New Roman" w:hAnsi="Times New Roman" w:eastAsia="宋体" w:cs="Times New Roman"/>
                <w:kern w:val="2"/>
                <w:sz w:val="21"/>
                <w:szCs w:val="21"/>
                <w:lang w:val="en-US" w:eastAsia="zh-CN" w:bidi="ar-SA"/>
              </w:rPr>
            </w:pPr>
            <w:r>
              <w:rPr>
                <w:kern w:val="2"/>
              </w:rPr>
              <w:t>巨柏村</w:t>
            </w:r>
          </w:p>
        </w:tc>
        <w:tc>
          <w:tcPr>
            <w:tcW w:w="1067" w:type="dxa"/>
            <w:tcBorders>
              <w:tl2br w:val="nil"/>
              <w:tr2bl w:val="nil"/>
            </w:tcBorders>
            <w:shd w:val="clear" w:color="auto" w:fill="auto"/>
            <w:noWrap w:val="0"/>
            <w:vAlign w:val="center"/>
          </w:tcPr>
          <w:p w14:paraId="46525496">
            <w:pPr>
              <w:pStyle w:val="75"/>
              <w:ind w:firstLine="0" w:firstLineChars="0"/>
              <w:rPr>
                <w:rFonts w:ascii="Times New Roman" w:hAnsi="Times New Roman" w:eastAsia="宋体" w:cs="Times New Roman"/>
                <w:sz w:val="21"/>
                <w:szCs w:val="21"/>
                <w:lang w:val="en-US" w:eastAsia="zh-CN" w:bidi="ar-SA"/>
              </w:rPr>
            </w:pPr>
            <w:r>
              <w:t>西北</w:t>
            </w:r>
          </w:p>
        </w:tc>
        <w:tc>
          <w:tcPr>
            <w:tcW w:w="1305" w:type="dxa"/>
            <w:tcBorders>
              <w:tl2br w:val="nil"/>
              <w:tr2bl w:val="nil"/>
            </w:tcBorders>
            <w:shd w:val="clear" w:color="auto" w:fill="auto"/>
            <w:noWrap w:val="0"/>
            <w:vAlign w:val="center"/>
          </w:tcPr>
          <w:p w14:paraId="3BDF2621">
            <w:pPr>
              <w:pStyle w:val="75"/>
              <w:ind w:firstLine="0" w:firstLineChars="0"/>
              <w:rPr>
                <w:rFonts w:ascii="Times New Roman" w:hAnsi="Times New Roman" w:eastAsia="宋体" w:cs="Times New Roman"/>
                <w:sz w:val="21"/>
                <w:szCs w:val="21"/>
                <w:lang w:val="en-US" w:eastAsia="zh-CN" w:bidi="ar-SA"/>
              </w:rPr>
            </w:pPr>
            <w:r>
              <w:rPr>
                <w:rFonts w:hint="eastAsia"/>
                <w:kern w:val="2"/>
                <w:lang w:val="en-US" w:eastAsia="zh-CN"/>
              </w:rPr>
              <w:t>3780</w:t>
            </w:r>
          </w:p>
        </w:tc>
        <w:tc>
          <w:tcPr>
            <w:tcW w:w="990" w:type="dxa"/>
            <w:tcBorders>
              <w:tl2br w:val="nil"/>
              <w:tr2bl w:val="nil"/>
            </w:tcBorders>
            <w:shd w:val="clear" w:color="auto" w:fill="auto"/>
            <w:noWrap w:val="0"/>
            <w:vAlign w:val="center"/>
          </w:tcPr>
          <w:p w14:paraId="7E95E46F">
            <w:pPr>
              <w:pStyle w:val="75"/>
              <w:ind w:firstLine="0" w:firstLineChars="0"/>
              <w:rPr>
                <w:rFonts w:hint="default" w:ascii="Times New Roman" w:hAnsi="Times New Roman" w:eastAsia="宋体" w:cs="Times New Roman"/>
                <w:sz w:val="21"/>
                <w:szCs w:val="21"/>
                <w:lang w:val="en-US" w:eastAsia="zh-CN" w:bidi="ar-SA"/>
              </w:rPr>
            </w:pPr>
            <w:r>
              <w:t>居民区</w:t>
            </w:r>
          </w:p>
        </w:tc>
        <w:tc>
          <w:tcPr>
            <w:tcW w:w="1185" w:type="dxa"/>
            <w:tcBorders>
              <w:tl2br w:val="nil"/>
              <w:tr2bl w:val="nil"/>
            </w:tcBorders>
            <w:shd w:val="clear" w:color="auto" w:fill="auto"/>
            <w:noWrap w:val="0"/>
            <w:vAlign w:val="center"/>
          </w:tcPr>
          <w:p w14:paraId="0D6116F3">
            <w:pPr>
              <w:pStyle w:val="75"/>
              <w:ind w:firstLine="0" w:firstLineChars="0"/>
              <w:rPr>
                <w:rFonts w:ascii="Times New Roman" w:hAnsi="Times New Roman" w:eastAsia="宋体" w:cs="Times New Roman"/>
                <w:sz w:val="21"/>
                <w:szCs w:val="21"/>
                <w:lang w:val="en-US" w:eastAsia="zh-CN" w:bidi="ar-SA"/>
              </w:rPr>
            </w:pPr>
            <w:r>
              <w:rPr>
                <w:rFonts w:hint="eastAsia"/>
              </w:rPr>
              <w:t>1214</w:t>
            </w:r>
          </w:p>
        </w:tc>
      </w:tr>
      <w:tr w14:paraId="700410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6B29C51A">
            <w:pPr>
              <w:pStyle w:val="75"/>
              <w:ind w:firstLine="0" w:firstLineChars="0"/>
              <w:rPr>
                <w:rFonts w:hint="default" w:ascii="Times New Roman" w:hAnsi="Times New Roman" w:eastAsia="宋体" w:cs="Times New Roman"/>
                <w:kern w:val="2"/>
                <w:sz w:val="21"/>
                <w:szCs w:val="21"/>
                <w:lang w:val="en-US" w:eastAsia="zh-CN" w:bidi="ar-SA"/>
              </w:rPr>
            </w:pPr>
          </w:p>
        </w:tc>
        <w:tc>
          <w:tcPr>
            <w:tcW w:w="675" w:type="dxa"/>
            <w:tcBorders>
              <w:tl2br w:val="nil"/>
              <w:tr2bl w:val="nil"/>
            </w:tcBorders>
            <w:shd w:val="clear" w:color="auto" w:fill="auto"/>
            <w:noWrap w:val="0"/>
            <w:vAlign w:val="center"/>
          </w:tcPr>
          <w:p w14:paraId="28AFBF92">
            <w:pPr>
              <w:pStyle w:val="75"/>
              <w:ind w:firstLine="0" w:firstLineChars="0"/>
              <w:rPr>
                <w:rFonts w:hint="eastAsia"/>
                <w:kern w:val="2"/>
                <w:lang w:val="en-US" w:eastAsia="zh-CN"/>
              </w:rPr>
            </w:pPr>
            <w:r>
              <w:rPr>
                <w:rFonts w:hint="eastAsia"/>
                <w:kern w:val="2"/>
                <w:lang w:val="en-US" w:eastAsia="zh-CN"/>
              </w:rPr>
              <w:t>28</w:t>
            </w:r>
          </w:p>
        </w:tc>
        <w:tc>
          <w:tcPr>
            <w:tcW w:w="2220" w:type="dxa"/>
            <w:gridSpan w:val="2"/>
            <w:tcBorders>
              <w:tl2br w:val="nil"/>
              <w:tr2bl w:val="nil"/>
            </w:tcBorders>
            <w:shd w:val="clear" w:color="auto" w:fill="auto"/>
            <w:noWrap w:val="0"/>
            <w:vAlign w:val="center"/>
          </w:tcPr>
          <w:p w14:paraId="16CB3022">
            <w:pPr>
              <w:pStyle w:val="75"/>
              <w:ind w:firstLine="0" w:firstLineChars="0"/>
              <w:rPr>
                <w:kern w:val="2"/>
              </w:rPr>
            </w:pPr>
            <w:r>
              <w:rPr>
                <w:kern w:val="2"/>
              </w:rPr>
              <w:t>沈庄村</w:t>
            </w:r>
          </w:p>
        </w:tc>
        <w:tc>
          <w:tcPr>
            <w:tcW w:w="1067" w:type="dxa"/>
            <w:tcBorders>
              <w:tl2br w:val="nil"/>
              <w:tr2bl w:val="nil"/>
            </w:tcBorders>
            <w:shd w:val="clear" w:color="auto" w:fill="auto"/>
            <w:noWrap w:val="0"/>
            <w:vAlign w:val="center"/>
          </w:tcPr>
          <w:p w14:paraId="1A55117F">
            <w:pPr>
              <w:pStyle w:val="75"/>
              <w:ind w:firstLine="0" w:firstLineChars="0"/>
            </w:pPr>
            <w:r>
              <w:t>西北</w:t>
            </w:r>
          </w:p>
        </w:tc>
        <w:tc>
          <w:tcPr>
            <w:tcW w:w="1305" w:type="dxa"/>
            <w:tcBorders>
              <w:tl2br w:val="nil"/>
              <w:tr2bl w:val="nil"/>
            </w:tcBorders>
            <w:shd w:val="clear" w:color="auto" w:fill="auto"/>
            <w:noWrap w:val="0"/>
            <w:vAlign w:val="center"/>
          </w:tcPr>
          <w:p w14:paraId="6C5B9198">
            <w:pPr>
              <w:pStyle w:val="75"/>
              <w:ind w:firstLine="0" w:firstLineChars="0"/>
            </w:pPr>
            <w:r>
              <w:rPr>
                <w:rFonts w:hint="eastAsia"/>
                <w:kern w:val="2"/>
                <w:lang w:val="en-US" w:eastAsia="zh-CN"/>
              </w:rPr>
              <w:t>3360</w:t>
            </w:r>
          </w:p>
        </w:tc>
        <w:tc>
          <w:tcPr>
            <w:tcW w:w="990" w:type="dxa"/>
            <w:tcBorders>
              <w:tl2br w:val="nil"/>
              <w:tr2bl w:val="nil"/>
            </w:tcBorders>
            <w:shd w:val="clear" w:color="auto" w:fill="auto"/>
            <w:noWrap w:val="0"/>
            <w:vAlign w:val="center"/>
          </w:tcPr>
          <w:p w14:paraId="1613BA6A">
            <w:pPr>
              <w:pStyle w:val="75"/>
              <w:ind w:firstLine="0" w:firstLineChars="0"/>
              <w:rPr>
                <w:rFonts w:hint="default" w:eastAsia="宋体"/>
                <w:kern w:val="2"/>
                <w:lang w:val="en-US" w:eastAsia="zh-CN"/>
              </w:rPr>
            </w:pPr>
            <w:r>
              <w:t>居民区</w:t>
            </w:r>
          </w:p>
        </w:tc>
        <w:tc>
          <w:tcPr>
            <w:tcW w:w="1185" w:type="dxa"/>
            <w:tcBorders>
              <w:tl2br w:val="nil"/>
              <w:tr2bl w:val="nil"/>
            </w:tcBorders>
            <w:shd w:val="clear" w:color="auto" w:fill="auto"/>
            <w:noWrap w:val="0"/>
            <w:vAlign w:val="center"/>
          </w:tcPr>
          <w:p w14:paraId="2BF18068">
            <w:pPr>
              <w:pStyle w:val="75"/>
              <w:ind w:firstLine="0" w:firstLineChars="0"/>
              <w:rPr>
                <w:rFonts w:hint="eastAsia"/>
              </w:rPr>
            </w:pPr>
            <w:r>
              <w:rPr>
                <w:rFonts w:hint="eastAsia"/>
              </w:rPr>
              <w:t>700</w:t>
            </w:r>
          </w:p>
        </w:tc>
      </w:tr>
      <w:tr w14:paraId="4DDBFD5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7530B203">
            <w:pPr>
              <w:pStyle w:val="75"/>
              <w:ind w:firstLine="0" w:firstLineChars="0"/>
              <w:rPr>
                <w:rFonts w:hint="default" w:ascii="Times New Roman" w:hAnsi="Times New Roman" w:eastAsia="宋体" w:cs="Times New Roman"/>
                <w:kern w:val="2"/>
                <w:sz w:val="21"/>
                <w:szCs w:val="21"/>
                <w:lang w:val="en-US" w:eastAsia="zh-CN" w:bidi="ar-SA"/>
              </w:rPr>
            </w:pPr>
          </w:p>
        </w:tc>
        <w:tc>
          <w:tcPr>
            <w:tcW w:w="675" w:type="dxa"/>
            <w:tcBorders>
              <w:tl2br w:val="nil"/>
              <w:tr2bl w:val="nil"/>
            </w:tcBorders>
            <w:shd w:val="clear" w:color="auto" w:fill="auto"/>
            <w:noWrap w:val="0"/>
            <w:vAlign w:val="center"/>
          </w:tcPr>
          <w:p w14:paraId="53F488BF">
            <w:pPr>
              <w:pStyle w:val="75"/>
              <w:ind w:firstLine="0" w:firstLineChars="0"/>
              <w:rPr>
                <w:rFonts w:hint="eastAsia"/>
                <w:kern w:val="2"/>
                <w:lang w:val="en-US" w:eastAsia="zh-CN"/>
              </w:rPr>
            </w:pPr>
            <w:r>
              <w:rPr>
                <w:rFonts w:hint="eastAsia"/>
                <w:kern w:val="2"/>
                <w:lang w:val="en-US" w:eastAsia="zh-CN"/>
              </w:rPr>
              <w:t>29</w:t>
            </w:r>
          </w:p>
        </w:tc>
        <w:tc>
          <w:tcPr>
            <w:tcW w:w="2220" w:type="dxa"/>
            <w:gridSpan w:val="2"/>
            <w:tcBorders>
              <w:tl2br w:val="nil"/>
              <w:tr2bl w:val="nil"/>
            </w:tcBorders>
            <w:shd w:val="clear" w:color="auto" w:fill="auto"/>
            <w:noWrap w:val="0"/>
            <w:vAlign w:val="center"/>
          </w:tcPr>
          <w:p w14:paraId="1480CAEB">
            <w:pPr>
              <w:pStyle w:val="75"/>
              <w:ind w:firstLine="0" w:firstLineChars="0"/>
              <w:rPr>
                <w:kern w:val="2"/>
              </w:rPr>
            </w:pPr>
            <w:r>
              <w:t>彦当村</w:t>
            </w:r>
          </w:p>
        </w:tc>
        <w:tc>
          <w:tcPr>
            <w:tcW w:w="1067" w:type="dxa"/>
            <w:tcBorders>
              <w:tl2br w:val="nil"/>
              <w:tr2bl w:val="nil"/>
            </w:tcBorders>
            <w:shd w:val="clear" w:color="auto" w:fill="auto"/>
            <w:noWrap w:val="0"/>
            <w:vAlign w:val="center"/>
          </w:tcPr>
          <w:p w14:paraId="79A78D8E">
            <w:pPr>
              <w:pStyle w:val="75"/>
              <w:ind w:firstLine="0" w:firstLineChars="0"/>
            </w:pPr>
            <w:r>
              <w:t>西</w:t>
            </w:r>
          </w:p>
        </w:tc>
        <w:tc>
          <w:tcPr>
            <w:tcW w:w="1305" w:type="dxa"/>
            <w:tcBorders>
              <w:tl2br w:val="nil"/>
              <w:tr2bl w:val="nil"/>
            </w:tcBorders>
            <w:shd w:val="clear" w:color="auto" w:fill="auto"/>
            <w:noWrap w:val="0"/>
            <w:vAlign w:val="center"/>
          </w:tcPr>
          <w:p w14:paraId="42A3D30C">
            <w:pPr>
              <w:pStyle w:val="75"/>
              <w:ind w:firstLine="0" w:firstLineChars="0"/>
            </w:pPr>
            <w:r>
              <w:rPr>
                <w:rFonts w:hint="eastAsia"/>
                <w:lang w:val="en-US" w:eastAsia="zh-CN"/>
              </w:rPr>
              <w:t>1326</w:t>
            </w:r>
          </w:p>
        </w:tc>
        <w:tc>
          <w:tcPr>
            <w:tcW w:w="990" w:type="dxa"/>
            <w:tcBorders>
              <w:tl2br w:val="nil"/>
              <w:tr2bl w:val="nil"/>
            </w:tcBorders>
            <w:shd w:val="clear" w:color="auto" w:fill="auto"/>
            <w:noWrap w:val="0"/>
            <w:vAlign w:val="center"/>
          </w:tcPr>
          <w:p w14:paraId="7EDF670D">
            <w:pPr>
              <w:pStyle w:val="75"/>
              <w:ind w:firstLine="0" w:firstLineChars="0"/>
              <w:rPr>
                <w:rFonts w:hint="default" w:eastAsia="宋体"/>
                <w:kern w:val="2"/>
                <w:lang w:val="en-US" w:eastAsia="zh-CN"/>
              </w:rPr>
            </w:pPr>
            <w:r>
              <w:t>居民区</w:t>
            </w:r>
          </w:p>
        </w:tc>
        <w:tc>
          <w:tcPr>
            <w:tcW w:w="1185" w:type="dxa"/>
            <w:tcBorders>
              <w:tl2br w:val="nil"/>
              <w:tr2bl w:val="nil"/>
            </w:tcBorders>
            <w:shd w:val="clear" w:color="auto" w:fill="auto"/>
            <w:noWrap w:val="0"/>
            <w:vAlign w:val="center"/>
          </w:tcPr>
          <w:p w14:paraId="3F982E1B">
            <w:pPr>
              <w:pStyle w:val="75"/>
              <w:ind w:firstLine="0" w:firstLineChars="0"/>
              <w:rPr>
                <w:rFonts w:hint="eastAsia"/>
              </w:rPr>
            </w:pPr>
            <w:r>
              <w:rPr>
                <w:rFonts w:hint="eastAsia"/>
              </w:rPr>
              <w:t>2288</w:t>
            </w:r>
          </w:p>
        </w:tc>
      </w:tr>
      <w:tr w14:paraId="7B5B8E7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7E91769">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shd w:val="clear" w:color="auto" w:fill="auto"/>
            <w:noWrap w:val="0"/>
            <w:vAlign w:val="center"/>
          </w:tcPr>
          <w:p w14:paraId="4396CFF6">
            <w:pPr>
              <w:pStyle w:val="75"/>
              <w:ind w:firstLine="0" w:firstLineChars="0"/>
              <w:rPr>
                <w:rFonts w:hint="eastAsia"/>
                <w:kern w:val="2"/>
                <w:lang w:val="en-US" w:eastAsia="zh-CN"/>
              </w:rPr>
            </w:pPr>
            <w:r>
              <w:rPr>
                <w:rFonts w:hint="eastAsia"/>
                <w:kern w:val="2"/>
                <w:lang w:val="en-US" w:eastAsia="zh-CN"/>
              </w:rPr>
              <w:t>30</w:t>
            </w:r>
          </w:p>
        </w:tc>
        <w:tc>
          <w:tcPr>
            <w:tcW w:w="2220" w:type="dxa"/>
            <w:gridSpan w:val="2"/>
            <w:tcBorders>
              <w:tl2br w:val="nil"/>
              <w:tr2bl w:val="nil"/>
            </w:tcBorders>
            <w:shd w:val="clear" w:color="auto" w:fill="auto"/>
            <w:noWrap w:val="0"/>
            <w:vAlign w:val="center"/>
          </w:tcPr>
          <w:p w14:paraId="070CE909">
            <w:pPr>
              <w:pStyle w:val="75"/>
              <w:ind w:firstLine="0" w:firstLineChars="0"/>
            </w:pPr>
            <w:r>
              <w:rPr>
                <w:rFonts w:hint="eastAsia"/>
                <w:lang w:val="en-US" w:eastAsia="zh-CN"/>
              </w:rPr>
              <w:t>城东花园</w:t>
            </w:r>
          </w:p>
        </w:tc>
        <w:tc>
          <w:tcPr>
            <w:tcW w:w="1067" w:type="dxa"/>
            <w:tcBorders>
              <w:tl2br w:val="nil"/>
              <w:tr2bl w:val="nil"/>
            </w:tcBorders>
            <w:shd w:val="clear" w:color="auto" w:fill="auto"/>
            <w:noWrap w:val="0"/>
            <w:vAlign w:val="center"/>
          </w:tcPr>
          <w:p w14:paraId="343CD2B4">
            <w:pPr>
              <w:pStyle w:val="75"/>
              <w:ind w:firstLine="0" w:firstLineChars="0"/>
            </w:pPr>
            <w:r>
              <w:rPr>
                <w:rFonts w:hint="eastAsia"/>
                <w:lang w:val="en-US" w:eastAsia="zh-CN"/>
              </w:rPr>
              <w:t>西</w:t>
            </w:r>
          </w:p>
        </w:tc>
        <w:tc>
          <w:tcPr>
            <w:tcW w:w="1305" w:type="dxa"/>
            <w:tcBorders>
              <w:tl2br w:val="nil"/>
              <w:tr2bl w:val="nil"/>
            </w:tcBorders>
            <w:shd w:val="clear" w:color="auto" w:fill="auto"/>
            <w:noWrap w:val="0"/>
            <w:vAlign w:val="center"/>
          </w:tcPr>
          <w:p w14:paraId="1F91C532">
            <w:pPr>
              <w:pStyle w:val="75"/>
              <w:ind w:firstLine="0" w:firstLineChars="0"/>
            </w:pPr>
            <w:r>
              <w:rPr>
                <w:rFonts w:hint="eastAsia"/>
                <w:lang w:val="en-US" w:eastAsia="zh-CN"/>
              </w:rPr>
              <w:t>2175</w:t>
            </w:r>
          </w:p>
        </w:tc>
        <w:tc>
          <w:tcPr>
            <w:tcW w:w="990" w:type="dxa"/>
            <w:tcBorders>
              <w:tl2br w:val="nil"/>
              <w:tr2bl w:val="nil"/>
            </w:tcBorders>
            <w:shd w:val="clear" w:color="auto" w:fill="auto"/>
            <w:noWrap w:val="0"/>
            <w:vAlign w:val="center"/>
          </w:tcPr>
          <w:p w14:paraId="052BEE2B">
            <w:pPr>
              <w:pStyle w:val="75"/>
              <w:ind w:firstLine="0" w:firstLineChars="0"/>
              <w:rPr>
                <w:rFonts w:hint="eastAsia"/>
                <w:lang w:val="en-US" w:eastAsia="zh-CN"/>
              </w:rPr>
            </w:pPr>
            <w:r>
              <w:t>居民区</w:t>
            </w:r>
          </w:p>
        </w:tc>
        <w:tc>
          <w:tcPr>
            <w:tcW w:w="1185" w:type="dxa"/>
            <w:tcBorders>
              <w:tl2br w:val="nil"/>
              <w:tr2bl w:val="nil"/>
            </w:tcBorders>
            <w:shd w:val="clear" w:color="auto" w:fill="auto"/>
            <w:noWrap w:val="0"/>
            <w:vAlign w:val="center"/>
          </w:tcPr>
          <w:p w14:paraId="0176BFD3">
            <w:pPr>
              <w:pStyle w:val="75"/>
              <w:ind w:firstLine="0" w:firstLineChars="0"/>
              <w:rPr>
                <w:rFonts w:hint="eastAsia"/>
              </w:rPr>
            </w:pPr>
            <w:r>
              <w:rPr>
                <w:rFonts w:hint="eastAsia"/>
                <w:lang w:val="en-US" w:eastAsia="zh-CN"/>
              </w:rPr>
              <w:t>2335</w:t>
            </w:r>
          </w:p>
        </w:tc>
      </w:tr>
      <w:tr w14:paraId="179321A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3C6BEAEE">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shd w:val="clear" w:color="auto" w:fill="auto"/>
            <w:noWrap w:val="0"/>
            <w:vAlign w:val="center"/>
          </w:tcPr>
          <w:p w14:paraId="0EDA2EFF">
            <w:pPr>
              <w:pStyle w:val="75"/>
              <w:ind w:firstLine="0" w:firstLineChars="0"/>
              <w:rPr>
                <w:rFonts w:hint="eastAsia"/>
                <w:kern w:val="2"/>
                <w:lang w:val="en-US" w:eastAsia="zh-CN"/>
              </w:rPr>
            </w:pPr>
            <w:r>
              <w:rPr>
                <w:rFonts w:hint="eastAsia"/>
                <w:kern w:val="2"/>
                <w:lang w:val="en-US" w:eastAsia="zh-CN"/>
              </w:rPr>
              <w:t>31</w:t>
            </w:r>
          </w:p>
        </w:tc>
        <w:tc>
          <w:tcPr>
            <w:tcW w:w="2220" w:type="dxa"/>
            <w:gridSpan w:val="2"/>
            <w:tcBorders>
              <w:tl2br w:val="nil"/>
              <w:tr2bl w:val="nil"/>
            </w:tcBorders>
            <w:shd w:val="clear" w:color="auto" w:fill="auto"/>
            <w:noWrap w:val="0"/>
            <w:vAlign w:val="center"/>
          </w:tcPr>
          <w:p w14:paraId="18DE4BBD">
            <w:pPr>
              <w:pStyle w:val="75"/>
              <w:ind w:firstLine="0" w:firstLineChars="0"/>
            </w:pPr>
            <w:r>
              <w:t>福禄东苑</w:t>
            </w:r>
          </w:p>
        </w:tc>
        <w:tc>
          <w:tcPr>
            <w:tcW w:w="1067" w:type="dxa"/>
            <w:tcBorders>
              <w:tl2br w:val="nil"/>
              <w:tr2bl w:val="nil"/>
            </w:tcBorders>
            <w:shd w:val="clear" w:color="auto" w:fill="auto"/>
            <w:noWrap w:val="0"/>
            <w:vAlign w:val="center"/>
          </w:tcPr>
          <w:p w14:paraId="3BA076DE">
            <w:pPr>
              <w:pStyle w:val="75"/>
              <w:ind w:firstLine="0" w:firstLineChars="0"/>
            </w:pPr>
            <w:r>
              <w:t>西</w:t>
            </w:r>
          </w:p>
        </w:tc>
        <w:tc>
          <w:tcPr>
            <w:tcW w:w="1305" w:type="dxa"/>
            <w:tcBorders>
              <w:tl2br w:val="nil"/>
              <w:tr2bl w:val="nil"/>
            </w:tcBorders>
            <w:shd w:val="clear" w:color="auto" w:fill="auto"/>
            <w:noWrap w:val="0"/>
            <w:vAlign w:val="center"/>
          </w:tcPr>
          <w:p w14:paraId="1894DA48">
            <w:pPr>
              <w:pStyle w:val="75"/>
              <w:ind w:firstLine="0" w:firstLineChars="0"/>
            </w:pPr>
            <w:r>
              <w:rPr>
                <w:rFonts w:hint="eastAsia"/>
                <w:lang w:val="en-US" w:eastAsia="zh-CN"/>
              </w:rPr>
              <w:t>2429</w:t>
            </w:r>
          </w:p>
        </w:tc>
        <w:tc>
          <w:tcPr>
            <w:tcW w:w="990" w:type="dxa"/>
            <w:tcBorders>
              <w:tl2br w:val="nil"/>
              <w:tr2bl w:val="nil"/>
            </w:tcBorders>
            <w:shd w:val="clear" w:color="auto" w:fill="auto"/>
            <w:noWrap w:val="0"/>
            <w:vAlign w:val="center"/>
          </w:tcPr>
          <w:p w14:paraId="063F5137">
            <w:pPr>
              <w:pStyle w:val="75"/>
              <w:ind w:firstLine="0" w:firstLineChars="0"/>
              <w:rPr>
                <w:rFonts w:hint="default" w:eastAsia="宋体"/>
                <w:lang w:val="en-US" w:eastAsia="zh-CN"/>
              </w:rPr>
            </w:pPr>
            <w:r>
              <w:t>居民区</w:t>
            </w:r>
          </w:p>
        </w:tc>
        <w:tc>
          <w:tcPr>
            <w:tcW w:w="1185" w:type="dxa"/>
            <w:tcBorders>
              <w:tl2br w:val="nil"/>
              <w:tr2bl w:val="nil"/>
            </w:tcBorders>
            <w:shd w:val="clear" w:color="auto" w:fill="auto"/>
            <w:noWrap w:val="0"/>
            <w:vAlign w:val="center"/>
          </w:tcPr>
          <w:p w14:paraId="67888F80">
            <w:pPr>
              <w:pStyle w:val="75"/>
              <w:ind w:firstLine="0" w:firstLineChars="0"/>
              <w:rPr>
                <w:rFonts w:hint="eastAsia"/>
              </w:rPr>
            </w:pPr>
            <w:r>
              <w:rPr>
                <w:rFonts w:hint="eastAsia"/>
              </w:rPr>
              <w:t>3200</w:t>
            </w:r>
          </w:p>
        </w:tc>
      </w:tr>
      <w:tr w14:paraId="1932A65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33" w:hRule="atLeast"/>
        </w:trPr>
        <w:tc>
          <w:tcPr>
            <w:tcW w:w="890" w:type="dxa"/>
            <w:vMerge w:val="continue"/>
            <w:tcBorders>
              <w:tl2br w:val="nil"/>
              <w:tr2bl w:val="nil"/>
            </w:tcBorders>
            <w:shd w:val="clear" w:color="auto" w:fill="auto"/>
            <w:noWrap w:val="0"/>
            <w:vAlign w:val="center"/>
          </w:tcPr>
          <w:p w14:paraId="2434DB1F">
            <w:pPr>
              <w:pStyle w:val="75"/>
              <w:ind w:firstLine="0" w:firstLineChars="0"/>
              <w:rPr>
                <w:rFonts w:hint="default" w:ascii="Times New Roman" w:hAnsi="Times New Roman" w:eastAsia="宋体" w:cs="Times New Roman"/>
                <w:kern w:val="2"/>
                <w:sz w:val="21"/>
                <w:szCs w:val="21"/>
                <w:lang w:val="en-US" w:eastAsia="zh-CN" w:bidi="ar-SA"/>
              </w:rPr>
            </w:pPr>
          </w:p>
        </w:tc>
        <w:tc>
          <w:tcPr>
            <w:tcW w:w="675" w:type="dxa"/>
            <w:tcBorders>
              <w:tl2br w:val="nil"/>
              <w:tr2bl w:val="nil"/>
            </w:tcBorders>
            <w:shd w:val="clear" w:color="auto" w:fill="auto"/>
            <w:noWrap w:val="0"/>
            <w:vAlign w:val="center"/>
          </w:tcPr>
          <w:p w14:paraId="76F77537">
            <w:pPr>
              <w:pStyle w:val="75"/>
              <w:ind w:firstLine="0" w:firstLineChars="0"/>
              <w:rPr>
                <w:rFonts w:hint="eastAsia"/>
                <w:kern w:val="2"/>
                <w:lang w:val="en-US" w:eastAsia="zh-CN"/>
              </w:rPr>
            </w:pPr>
            <w:r>
              <w:rPr>
                <w:rFonts w:hint="eastAsia"/>
                <w:kern w:val="2"/>
                <w:lang w:val="en-US" w:eastAsia="zh-CN"/>
              </w:rPr>
              <w:t>32</w:t>
            </w:r>
          </w:p>
        </w:tc>
        <w:tc>
          <w:tcPr>
            <w:tcW w:w="2220" w:type="dxa"/>
            <w:gridSpan w:val="2"/>
            <w:tcBorders>
              <w:tl2br w:val="nil"/>
              <w:tr2bl w:val="nil"/>
            </w:tcBorders>
            <w:shd w:val="clear" w:color="auto" w:fill="auto"/>
            <w:noWrap w:val="0"/>
            <w:vAlign w:val="center"/>
          </w:tcPr>
          <w:p w14:paraId="14C95CA9">
            <w:pPr>
              <w:pStyle w:val="75"/>
              <w:ind w:firstLine="0" w:firstLineChars="0"/>
              <w:rPr>
                <w:kern w:val="2"/>
              </w:rPr>
            </w:pPr>
            <w:r>
              <w:rPr>
                <w:rFonts w:hint="eastAsia"/>
                <w:lang w:val="en-US" w:eastAsia="zh-CN"/>
              </w:rPr>
              <w:t>获嘉建业城</w:t>
            </w:r>
          </w:p>
        </w:tc>
        <w:tc>
          <w:tcPr>
            <w:tcW w:w="1067" w:type="dxa"/>
            <w:tcBorders>
              <w:tl2br w:val="nil"/>
              <w:tr2bl w:val="nil"/>
            </w:tcBorders>
            <w:shd w:val="clear" w:color="auto" w:fill="auto"/>
            <w:noWrap w:val="0"/>
            <w:vAlign w:val="center"/>
          </w:tcPr>
          <w:p w14:paraId="534CA8C2">
            <w:pPr>
              <w:pStyle w:val="75"/>
              <w:ind w:firstLine="0" w:firstLineChars="0"/>
              <w:rPr>
                <w:rFonts w:hint="eastAsia" w:eastAsia="宋体"/>
                <w:lang w:eastAsia="zh-CN"/>
              </w:rPr>
            </w:pPr>
            <w:r>
              <w:rPr>
                <w:rFonts w:hint="eastAsia"/>
                <w:lang w:val="en-US" w:eastAsia="zh-CN"/>
              </w:rPr>
              <w:t>西</w:t>
            </w:r>
          </w:p>
        </w:tc>
        <w:tc>
          <w:tcPr>
            <w:tcW w:w="1305" w:type="dxa"/>
            <w:tcBorders>
              <w:tl2br w:val="nil"/>
              <w:tr2bl w:val="nil"/>
            </w:tcBorders>
            <w:shd w:val="clear" w:color="auto" w:fill="auto"/>
            <w:noWrap w:val="0"/>
            <w:vAlign w:val="center"/>
          </w:tcPr>
          <w:p w14:paraId="6CDF257B">
            <w:pPr>
              <w:pStyle w:val="75"/>
              <w:ind w:firstLine="0" w:firstLineChars="0"/>
            </w:pPr>
            <w:r>
              <w:rPr>
                <w:rFonts w:hint="eastAsia"/>
                <w:lang w:val="en-US" w:eastAsia="zh-CN"/>
              </w:rPr>
              <w:t>2423</w:t>
            </w:r>
          </w:p>
        </w:tc>
        <w:tc>
          <w:tcPr>
            <w:tcW w:w="990" w:type="dxa"/>
            <w:tcBorders>
              <w:tl2br w:val="nil"/>
              <w:tr2bl w:val="nil"/>
            </w:tcBorders>
            <w:shd w:val="clear" w:color="auto" w:fill="auto"/>
            <w:noWrap w:val="0"/>
            <w:vAlign w:val="center"/>
          </w:tcPr>
          <w:p w14:paraId="1C7F0F58">
            <w:pPr>
              <w:pStyle w:val="75"/>
              <w:ind w:firstLine="0" w:firstLineChars="0"/>
              <w:rPr>
                <w:rFonts w:hint="eastAsia"/>
                <w:kern w:val="2"/>
              </w:rPr>
            </w:pPr>
            <w:r>
              <w:rPr>
                <w:rFonts w:hint="eastAsia"/>
                <w:lang w:val="en-US" w:eastAsia="zh-CN"/>
              </w:rPr>
              <w:t>居民区</w:t>
            </w:r>
          </w:p>
        </w:tc>
        <w:tc>
          <w:tcPr>
            <w:tcW w:w="1185" w:type="dxa"/>
            <w:tcBorders>
              <w:tl2br w:val="nil"/>
              <w:tr2bl w:val="nil"/>
            </w:tcBorders>
            <w:shd w:val="clear" w:color="auto" w:fill="auto"/>
            <w:noWrap w:val="0"/>
            <w:vAlign w:val="center"/>
          </w:tcPr>
          <w:p w14:paraId="73BE5453">
            <w:pPr>
              <w:pStyle w:val="75"/>
              <w:ind w:firstLine="0" w:firstLineChars="0"/>
              <w:rPr>
                <w:rFonts w:hint="eastAsia"/>
              </w:rPr>
            </w:pPr>
            <w:r>
              <w:rPr>
                <w:rFonts w:hint="eastAsia"/>
                <w:lang w:val="en-US" w:eastAsia="zh-CN"/>
              </w:rPr>
              <w:t>2300</w:t>
            </w:r>
          </w:p>
        </w:tc>
      </w:tr>
      <w:tr w14:paraId="6CEFD52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05B0470">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211C6102">
            <w:pPr>
              <w:pStyle w:val="75"/>
              <w:ind w:firstLine="0" w:firstLineChars="0"/>
              <w:rPr>
                <w:rFonts w:hint="eastAsia"/>
                <w:kern w:val="2"/>
                <w:lang w:val="en-US" w:eastAsia="zh-CN"/>
              </w:rPr>
            </w:pPr>
            <w:r>
              <w:rPr>
                <w:rFonts w:hint="eastAsia"/>
                <w:kern w:val="2"/>
                <w:lang w:val="en-US" w:eastAsia="zh-CN"/>
              </w:rPr>
              <w:t>33</w:t>
            </w:r>
          </w:p>
        </w:tc>
        <w:tc>
          <w:tcPr>
            <w:tcW w:w="2220" w:type="dxa"/>
            <w:gridSpan w:val="2"/>
            <w:tcBorders>
              <w:tl2br w:val="nil"/>
              <w:tr2bl w:val="nil"/>
            </w:tcBorders>
            <w:noWrap w:val="0"/>
            <w:vAlign w:val="center"/>
          </w:tcPr>
          <w:p w14:paraId="7287C8CD">
            <w:pPr>
              <w:pStyle w:val="75"/>
              <w:rPr>
                <w:kern w:val="2"/>
              </w:rPr>
            </w:pPr>
            <w:r>
              <w:rPr>
                <w:rFonts w:hint="eastAsia"/>
                <w:lang w:val="en-US" w:eastAsia="zh-CN"/>
              </w:rPr>
              <w:t>获嘉县职业教育中心</w:t>
            </w:r>
          </w:p>
        </w:tc>
        <w:tc>
          <w:tcPr>
            <w:tcW w:w="1067" w:type="dxa"/>
            <w:tcBorders>
              <w:tl2br w:val="nil"/>
              <w:tr2bl w:val="nil"/>
            </w:tcBorders>
            <w:noWrap w:val="0"/>
            <w:vAlign w:val="center"/>
          </w:tcPr>
          <w:p w14:paraId="3963CA3D">
            <w:pPr>
              <w:pStyle w:val="75"/>
              <w:ind w:firstLine="0" w:firstLineChars="0"/>
              <w:rPr>
                <w:rFonts w:hint="eastAsia" w:eastAsia="宋体"/>
                <w:lang w:val="en-US" w:eastAsia="zh-CN"/>
              </w:rPr>
            </w:pPr>
            <w:r>
              <w:rPr>
                <w:rFonts w:hint="eastAsia"/>
                <w:lang w:val="en-US" w:eastAsia="zh-CN"/>
              </w:rPr>
              <w:t>西</w:t>
            </w:r>
          </w:p>
        </w:tc>
        <w:tc>
          <w:tcPr>
            <w:tcW w:w="1305" w:type="dxa"/>
            <w:tcBorders>
              <w:tl2br w:val="nil"/>
              <w:tr2bl w:val="nil"/>
            </w:tcBorders>
            <w:noWrap w:val="0"/>
            <w:vAlign w:val="center"/>
          </w:tcPr>
          <w:p w14:paraId="21FA7BEA">
            <w:pPr>
              <w:pStyle w:val="75"/>
              <w:ind w:firstLine="0" w:firstLineChars="0"/>
              <w:rPr>
                <w:rFonts w:hint="eastAsia"/>
                <w:lang w:val="en-US" w:eastAsia="zh-CN"/>
              </w:rPr>
            </w:pPr>
            <w:r>
              <w:rPr>
                <w:rFonts w:hint="eastAsia"/>
                <w:lang w:val="en-US" w:eastAsia="zh-CN"/>
              </w:rPr>
              <w:t>1641</w:t>
            </w:r>
          </w:p>
        </w:tc>
        <w:tc>
          <w:tcPr>
            <w:tcW w:w="990" w:type="dxa"/>
            <w:tcBorders>
              <w:tl2br w:val="nil"/>
              <w:tr2bl w:val="nil"/>
            </w:tcBorders>
            <w:noWrap w:val="0"/>
            <w:vAlign w:val="center"/>
          </w:tcPr>
          <w:p w14:paraId="78BA9D4C">
            <w:pPr>
              <w:pStyle w:val="75"/>
              <w:ind w:firstLine="0" w:firstLineChars="0"/>
              <w:rPr>
                <w:rFonts w:hint="eastAsia"/>
                <w:lang w:val="en-US" w:eastAsia="zh-CN"/>
              </w:rPr>
            </w:pPr>
            <w:r>
              <w:rPr>
                <w:rFonts w:hint="eastAsia"/>
                <w:lang w:val="en-US" w:eastAsia="zh-CN"/>
              </w:rPr>
              <w:t>学校</w:t>
            </w:r>
          </w:p>
        </w:tc>
        <w:tc>
          <w:tcPr>
            <w:tcW w:w="1185" w:type="dxa"/>
            <w:tcBorders>
              <w:tl2br w:val="nil"/>
              <w:tr2bl w:val="nil"/>
            </w:tcBorders>
            <w:noWrap w:val="0"/>
            <w:vAlign w:val="center"/>
          </w:tcPr>
          <w:p w14:paraId="7A03C8A7">
            <w:pPr>
              <w:pStyle w:val="75"/>
              <w:ind w:firstLine="0" w:firstLineChars="0"/>
              <w:rPr>
                <w:rFonts w:hint="eastAsia"/>
                <w:lang w:val="en-US" w:eastAsia="zh-CN"/>
              </w:rPr>
            </w:pPr>
            <w:r>
              <w:rPr>
                <w:rFonts w:hint="eastAsia"/>
                <w:lang w:val="en-US" w:eastAsia="zh-CN"/>
              </w:rPr>
              <w:t>1400</w:t>
            </w:r>
          </w:p>
        </w:tc>
      </w:tr>
      <w:tr w14:paraId="68CC257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5A74EEF5">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3763F02A">
            <w:pPr>
              <w:pStyle w:val="75"/>
              <w:ind w:firstLine="0" w:firstLineChars="0"/>
              <w:rPr>
                <w:rFonts w:hint="eastAsia"/>
                <w:kern w:val="2"/>
                <w:lang w:val="en-US" w:eastAsia="zh-CN"/>
              </w:rPr>
            </w:pPr>
            <w:r>
              <w:rPr>
                <w:rFonts w:hint="eastAsia"/>
                <w:kern w:val="2"/>
                <w:lang w:val="en-US" w:eastAsia="zh-CN"/>
              </w:rPr>
              <w:t>34</w:t>
            </w:r>
          </w:p>
        </w:tc>
        <w:tc>
          <w:tcPr>
            <w:tcW w:w="2220" w:type="dxa"/>
            <w:gridSpan w:val="2"/>
            <w:tcBorders>
              <w:tl2br w:val="nil"/>
              <w:tr2bl w:val="nil"/>
            </w:tcBorders>
            <w:noWrap w:val="0"/>
            <w:vAlign w:val="center"/>
          </w:tcPr>
          <w:p w14:paraId="091B2216">
            <w:pPr>
              <w:pStyle w:val="75"/>
              <w:ind w:firstLine="0" w:firstLineChars="0"/>
              <w:rPr>
                <w:rFonts w:hint="eastAsia"/>
                <w:lang w:val="en-US" w:eastAsia="zh-CN"/>
              </w:rPr>
            </w:pPr>
            <w:r>
              <w:t>大洛纣村</w:t>
            </w:r>
          </w:p>
        </w:tc>
        <w:tc>
          <w:tcPr>
            <w:tcW w:w="1067" w:type="dxa"/>
            <w:tcBorders>
              <w:tl2br w:val="nil"/>
              <w:tr2bl w:val="nil"/>
            </w:tcBorders>
            <w:noWrap w:val="0"/>
            <w:vAlign w:val="center"/>
          </w:tcPr>
          <w:p w14:paraId="6CC6C031">
            <w:pPr>
              <w:pStyle w:val="75"/>
              <w:ind w:firstLine="0" w:firstLineChars="0"/>
              <w:rPr>
                <w:rFonts w:hint="eastAsia"/>
                <w:lang w:val="en-US" w:eastAsia="zh-CN"/>
              </w:rPr>
            </w:pPr>
            <w:r>
              <w:t>西北</w:t>
            </w:r>
          </w:p>
        </w:tc>
        <w:tc>
          <w:tcPr>
            <w:tcW w:w="1305" w:type="dxa"/>
            <w:tcBorders>
              <w:tl2br w:val="nil"/>
              <w:tr2bl w:val="nil"/>
            </w:tcBorders>
            <w:noWrap w:val="0"/>
            <w:vAlign w:val="center"/>
          </w:tcPr>
          <w:p w14:paraId="1475854A">
            <w:pPr>
              <w:pStyle w:val="75"/>
              <w:ind w:firstLine="0" w:firstLineChars="0"/>
              <w:rPr>
                <w:rFonts w:hint="eastAsia"/>
                <w:lang w:val="en-US" w:eastAsia="zh-CN"/>
              </w:rPr>
            </w:pPr>
            <w:r>
              <w:rPr>
                <w:rFonts w:hint="eastAsia"/>
                <w:lang w:val="en-US" w:eastAsia="zh-CN"/>
              </w:rPr>
              <w:t>3080</w:t>
            </w:r>
          </w:p>
        </w:tc>
        <w:tc>
          <w:tcPr>
            <w:tcW w:w="990" w:type="dxa"/>
            <w:tcBorders>
              <w:tl2br w:val="nil"/>
              <w:tr2bl w:val="nil"/>
            </w:tcBorders>
            <w:noWrap w:val="0"/>
            <w:vAlign w:val="center"/>
          </w:tcPr>
          <w:p w14:paraId="13AC9158">
            <w:pPr>
              <w:pStyle w:val="75"/>
              <w:ind w:firstLine="0" w:firstLineChars="0"/>
              <w:rPr>
                <w:rFonts w:hint="default"/>
                <w:lang w:val="en-US" w:eastAsia="zh-CN"/>
              </w:rPr>
            </w:pPr>
            <w:r>
              <w:t>居民区</w:t>
            </w:r>
          </w:p>
        </w:tc>
        <w:tc>
          <w:tcPr>
            <w:tcW w:w="1185" w:type="dxa"/>
            <w:tcBorders>
              <w:tl2br w:val="nil"/>
              <w:tr2bl w:val="nil"/>
            </w:tcBorders>
            <w:noWrap w:val="0"/>
            <w:vAlign w:val="center"/>
          </w:tcPr>
          <w:p w14:paraId="6AEDA039">
            <w:pPr>
              <w:pStyle w:val="75"/>
              <w:ind w:firstLine="0" w:firstLineChars="0"/>
              <w:rPr>
                <w:rFonts w:hint="eastAsia"/>
                <w:lang w:val="en-US" w:eastAsia="zh-CN"/>
              </w:rPr>
            </w:pPr>
            <w:r>
              <w:rPr>
                <w:rFonts w:hint="eastAsia"/>
              </w:rPr>
              <w:t>2950</w:t>
            </w:r>
          </w:p>
        </w:tc>
      </w:tr>
      <w:tr w14:paraId="12D4F2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890" w:type="dxa"/>
            <w:vMerge w:val="continue"/>
            <w:tcBorders>
              <w:tl2br w:val="nil"/>
              <w:tr2bl w:val="nil"/>
            </w:tcBorders>
            <w:shd w:val="clear" w:color="auto" w:fill="auto"/>
            <w:noWrap w:val="0"/>
            <w:vAlign w:val="center"/>
          </w:tcPr>
          <w:p w14:paraId="7ECE804C">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156C8CA8">
            <w:pPr>
              <w:pStyle w:val="75"/>
              <w:ind w:firstLine="0" w:firstLineChars="0"/>
              <w:rPr>
                <w:rFonts w:hint="eastAsia"/>
                <w:kern w:val="2"/>
                <w:lang w:val="en-US" w:eastAsia="zh-CN"/>
              </w:rPr>
            </w:pPr>
            <w:r>
              <w:rPr>
                <w:rFonts w:hint="eastAsia"/>
                <w:kern w:val="2"/>
                <w:lang w:val="en-US" w:eastAsia="zh-CN"/>
              </w:rPr>
              <w:t>35</w:t>
            </w:r>
          </w:p>
        </w:tc>
        <w:tc>
          <w:tcPr>
            <w:tcW w:w="2220" w:type="dxa"/>
            <w:gridSpan w:val="2"/>
            <w:tcBorders>
              <w:tl2br w:val="nil"/>
              <w:tr2bl w:val="nil"/>
            </w:tcBorders>
            <w:noWrap w:val="0"/>
            <w:vAlign w:val="center"/>
          </w:tcPr>
          <w:p w14:paraId="19DDBF30">
            <w:pPr>
              <w:pStyle w:val="75"/>
              <w:ind w:firstLine="0" w:firstLineChars="0"/>
              <w:rPr>
                <w:kern w:val="2"/>
              </w:rPr>
            </w:pPr>
            <w:r>
              <w:t>小洛纣村</w:t>
            </w:r>
          </w:p>
        </w:tc>
        <w:tc>
          <w:tcPr>
            <w:tcW w:w="1067" w:type="dxa"/>
            <w:tcBorders>
              <w:tl2br w:val="nil"/>
              <w:tr2bl w:val="nil"/>
            </w:tcBorders>
            <w:noWrap w:val="0"/>
            <w:vAlign w:val="center"/>
          </w:tcPr>
          <w:p w14:paraId="14DE0A19">
            <w:pPr>
              <w:pStyle w:val="75"/>
              <w:ind w:firstLine="0" w:firstLineChars="0"/>
            </w:pPr>
            <w:r>
              <w:t>西北</w:t>
            </w:r>
          </w:p>
        </w:tc>
        <w:tc>
          <w:tcPr>
            <w:tcW w:w="1305" w:type="dxa"/>
            <w:tcBorders>
              <w:tl2br w:val="nil"/>
              <w:tr2bl w:val="nil"/>
            </w:tcBorders>
            <w:noWrap w:val="0"/>
            <w:vAlign w:val="center"/>
          </w:tcPr>
          <w:p w14:paraId="64FE8633">
            <w:pPr>
              <w:pStyle w:val="75"/>
              <w:ind w:firstLine="0" w:firstLineChars="0"/>
            </w:pPr>
            <w:r>
              <w:rPr>
                <w:rFonts w:hint="eastAsia"/>
                <w:lang w:val="en-US" w:eastAsia="zh-CN"/>
              </w:rPr>
              <w:t>2730</w:t>
            </w:r>
          </w:p>
        </w:tc>
        <w:tc>
          <w:tcPr>
            <w:tcW w:w="990" w:type="dxa"/>
            <w:tcBorders>
              <w:tl2br w:val="nil"/>
              <w:tr2bl w:val="nil"/>
            </w:tcBorders>
            <w:noWrap w:val="0"/>
            <w:vAlign w:val="center"/>
          </w:tcPr>
          <w:p w14:paraId="3619B09C">
            <w:pPr>
              <w:pStyle w:val="75"/>
              <w:ind w:firstLine="0" w:firstLineChars="0"/>
            </w:pPr>
            <w:r>
              <w:t>居民区</w:t>
            </w:r>
          </w:p>
        </w:tc>
        <w:tc>
          <w:tcPr>
            <w:tcW w:w="1185" w:type="dxa"/>
            <w:tcBorders>
              <w:tl2br w:val="nil"/>
              <w:tr2bl w:val="nil"/>
            </w:tcBorders>
            <w:noWrap w:val="0"/>
            <w:vAlign w:val="center"/>
          </w:tcPr>
          <w:p w14:paraId="4B59294C">
            <w:pPr>
              <w:pStyle w:val="75"/>
              <w:ind w:firstLine="0" w:firstLineChars="0"/>
            </w:pPr>
            <w:r>
              <w:rPr>
                <w:rFonts w:hint="eastAsia"/>
              </w:rPr>
              <w:t>2330</w:t>
            </w:r>
          </w:p>
        </w:tc>
      </w:tr>
      <w:tr w14:paraId="2A06713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55313593">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40E149CA">
            <w:pPr>
              <w:pStyle w:val="75"/>
              <w:ind w:firstLine="0" w:firstLineChars="0"/>
              <w:rPr>
                <w:rFonts w:hint="eastAsia"/>
                <w:kern w:val="2"/>
                <w:lang w:val="en-US" w:eastAsia="zh-CN"/>
              </w:rPr>
            </w:pPr>
            <w:r>
              <w:rPr>
                <w:rFonts w:hint="eastAsia"/>
                <w:kern w:val="2"/>
                <w:lang w:val="en-US" w:eastAsia="zh-CN"/>
              </w:rPr>
              <w:t>36</w:t>
            </w:r>
          </w:p>
        </w:tc>
        <w:tc>
          <w:tcPr>
            <w:tcW w:w="2220" w:type="dxa"/>
            <w:gridSpan w:val="2"/>
            <w:tcBorders>
              <w:tl2br w:val="nil"/>
              <w:tr2bl w:val="nil"/>
            </w:tcBorders>
            <w:noWrap w:val="0"/>
            <w:vAlign w:val="center"/>
          </w:tcPr>
          <w:p w14:paraId="20DFBD5A">
            <w:pPr>
              <w:pStyle w:val="75"/>
              <w:ind w:firstLine="0" w:firstLineChars="0"/>
            </w:pPr>
            <w:r>
              <w:rPr>
                <w:rFonts w:hint="eastAsia"/>
                <w:kern w:val="2"/>
                <w:lang w:val="en-US" w:eastAsia="zh-CN"/>
              </w:rPr>
              <w:t>东城温泉花园</w:t>
            </w:r>
          </w:p>
        </w:tc>
        <w:tc>
          <w:tcPr>
            <w:tcW w:w="1067" w:type="dxa"/>
            <w:tcBorders>
              <w:tl2br w:val="nil"/>
              <w:tr2bl w:val="nil"/>
            </w:tcBorders>
            <w:noWrap w:val="0"/>
            <w:vAlign w:val="center"/>
          </w:tcPr>
          <w:p w14:paraId="74B88074">
            <w:pPr>
              <w:pStyle w:val="75"/>
              <w:ind w:firstLine="0" w:firstLineChars="0"/>
            </w:pPr>
            <w:r>
              <w:t>西</w:t>
            </w:r>
          </w:p>
        </w:tc>
        <w:tc>
          <w:tcPr>
            <w:tcW w:w="1305" w:type="dxa"/>
            <w:tcBorders>
              <w:tl2br w:val="nil"/>
              <w:tr2bl w:val="nil"/>
            </w:tcBorders>
            <w:noWrap w:val="0"/>
            <w:vAlign w:val="center"/>
          </w:tcPr>
          <w:p w14:paraId="7FF568B3">
            <w:pPr>
              <w:pStyle w:val="75"/>
              <w:ind w:firstLine="0" w:firstLineChars="0"/>
            </w:pPr>
            <w:r>
              <w:rPr>
                <w:rFonts w:hint="eastAsia"/>
                <w:lang w:val="en-US" w:eastAsia="zh-CN"/>
              </w:rPr>
              <w:t>3200</w:t>
            </w:r>
          </w:p>
        </w:tc>
        <w:tc>
          <w:tcPr>
            <w:tcW w:w="990" w:type="dxa"/>
            <w:tcBorders>
              <w:tl2br w:val="nil"/>
              <w:tr2bl w:val="nil"/>
            </w:tcBorders>
            <w:noWrap w:val="0"/>
            <w:vAlign w:val="center"/>
          </w:tcPr>
          <w:p w14:paraId="3B7F06EF">
            <w:pPr>
              <w:pStyle w:val="75"/>
              <w:ind w:firstLine="0" w:firstLineChars="0"/>
              <w:rPr>
                <w:rFonts w:hint="default"/>
                <w:lang w:val="en-US" w:eastAsia="zh-CN"/>
              </w:rPr>
            </w:pPr>
            <w:r>
              <w:t>居民区</w:t>
            </w:r>
          </w:p>
        </w:tc>
        <w:tc>
          <w:tcPr>
            <w:tcW w:w="1185" w:type="dxa"/>
            <w:tcBorders>
              <w:tl2br w:val="nil"/>
              <w:tr2bl w:val="nil"/>
            </w:tcBorders>
            <w:noWrap w:val="0"/>
            <w:vAlign w:val="center"/>
          </w:tcPr>
          <w:p w14:paraId="52568CAF">
            <w:pPr>
              <w:pStyle w:val="75"/>
              <w:ind w:firstLine="0" w:firstLineChars="0"/>
              <w:rPr>
                <w:rFonts w:hint="default" w:eastAsia="宋体"/>
                <w:lang w:val="en-US" w:eastAsia="zh-CN"/>
              </w:rPr>
            </w:pPr>
            <w:r>
              <w:rPr>
                <w:rFonts w:hint="eastAsia"/>
                <w:lang w:val="en-US" w:eastAsia="zh-CN"/>
              </w:rPr>
              <w:t>3000</w:t>
            </w:r>
          </w:p>
        </w:tc>
      </w:tr>
      <w:tr w14:paraId="5855AF0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39CE45BF">
            <w:pPr>
              <w:pStyle w:val="75"/>
              <w:ind w:firstLine="0" w:firstLineChars="0"/>
              <w:rPr>
                <w:rFonts w:hint="default" w:ascii="Times New Roman" w:hAnsi="Times New Roman" w:eastAsia="宋体" w:cs="Times New Roman"/>
                <w:sz w:val="21"/>
                <w:szCs w:val="21"/>
                <w:lang w:val="en-US" w:eastAsia="zh-CN" w:bidi="ar-SA"/>
              </w:rPr>
            </w:pPr>
          </w:p>
        </w:tc>
        <w:tc>
          <w:tcPr>
            <w:tcW w:w="675" w:type="dxa"/>
            <w:tcBorders>
              <w:tl2br w:val="nil"/>
              <w:tr2bl w:val="nil"/>
            </w:tcBorders>
            <w:noWrap w:val="0"/>
            <w:vAlign w:val="center"/>
          </w:tcPr>
          <w:p w14:paraId="7C11C188">
            <w:pPr>
              <w:pStyle w:val="75"/>
              <w:ind w:firstLine="0" w:firstLineChars="0"/>
              <w:rPr>
                <w:rFonts w:hint="eastAsia"/>
                <w:kern w:val="2"/>
                <w:lang w:val="en-US" w:eastAsia="zh-CN"/>
              </w:rPr>
            </w:pPr>
            <w:r>
              <w:rPr>
                <w:rFonts w:hint="eastAsia"/>
                <w:kern w:val="2"/>
                <w:lang w:val="en-US" w:eastAsia="zh-CN"/>
              </w:rPr>
              <w:t>37</w:t>
            </w:r>
          </w:p>
        </w:tc>
        <w:tc>
          <w:tcPr>
            <w:tcW w:w="2220" w:type="dxa"/>
            <w:gridSpan w:val="2"/>
            <w:tcBorders>
              <w:tl2br w:val="nil"/>
              <w:tr2bl w:val="nil"/>
            </w:tcBorders>
            <w:noWrap w:val="0"/>
            <w:vAlign w:val="center"/>
          </w:tcPr>
          <w:p w14:paraId="63A9CA58">
            <w:pPr>
              <w:pStyle w:val="75"/>
              <w:ind w:firstLine="0" w:firstLineChars="0"/>
              <w:rPr>
                <w:rFonts w:hint="default"/>
                <w:kern w:val="2"/>
                <w:lang w:val="en-US" w:eastAsia="zh-CN"/>
              </w:rPr>
            </w:pPr>
            <w:r>
              <w:rPr>
                <w:rFonts w:hint="eastAsia"/>
                <w:kern w:val="2"/>
                <w:lang w:val="en-US" w:eastAsia="zh-CN"/>
              </w:rPr>
              <w:t>获嘉县城（部分）</w:t>
            </w:r>
          </w:p>
        </w:tc>
        <w:tc>
          <w:tcPr>
            <w:tcW w:w="1067" w:type="dxa"/>
            <w:tcBorders>
              <w:tl2br w:val="nil"/>
              <w:tr2bl w:val="nil"/>
            </w:tcBorders>
            <w:noWrap w:val="0"/>
            <w:vAlign w:val="center"/>
          </w:tcPr>
          <w:p w14:paraId="60252840">
            <w:pPr>
              <w:pStyle w:val="75"/>
              <w:ind w:firstLine="0" w:firstLineChars="0"/>
            </w:pPr>
            <w:r>
              <w:rPr>
                <w:rFonts w:hint="eastAsia"/>
                <w:lang w:val="en-US" w:eastAsia="zh-CN"/>
              </w:rPr>
              <w:t>西</w:t>
            </w:r>
          </w:p>
        </w:tc>
        <w:tc>
          <w:tcPr>
            <w:tcW w:w="1305" w:type="dxa"/>
            <w:tcBorders>
              <w:tl2br w:val="nil"/>
              <w:tr2bl w:val="nil"/>
            </w:tcBorders>
            <w:noWrap w:val="0"/>
            <w:vAlign w:val="center"/>
          </w:tcPr>
          <w:p w14:paraId="6669CB5C">
            <w:pPr>
              <w:pStyle w:val="75"/>
              <w:ind w:firstLine="0" w:firstLineChars="0"/>
              <w:rPr>
                <w:rFonts w:hint="eastAsia" w:eastAsia="宋体"/>
                <w:lang w:val="en-US" w:eastAsia="zh-CN"/>
              </w:rPr>
            </w:pPr>
            <w:r>
              <w:rPr>
                <w:rFonts w:hint="eastAsia"/>
                <w:lang w:val="en-US" w:eastAsia="zh-CN"/>
              </w:rPr>
              <w:t>3490</w:t>
            </w:r>
          </w:p>
        </w:tc>
        <w:tc>
          <w:tcPr>
            <w:tcW w:w="990" w:type="dxa"/>
            <w:tcBorders>
              <w:tl2br w:val="nil"/>
              <w:tr2bl w:val="nil"/>
            </w:tcBorders>
            <w:noWrap w:val="0"/>
            <w:vAlign w:val="center"/>
          </w:tcPr>
          <w:p w14:paraId="4253E1BE">
            <w:pPr>
              <w:pStyle w:val="75"/>
              <w:ind w:firstLine="0" w:firstLineChars="0"/>
              <w:rPr>
                <w:rFonts w:hint="default"/>
                <w:lang w:val="en-US" w:eastAsia="zh-CN"/>
              </w:rPr>
            </w:pPr>
            <w:r>
              <w:t>居民区</w:t>
            </w:r>
          </w:p>
        </w:tc>
        <w:tc>
          <w:tcPr>
            <w:tcW w:w="1185" w:type="dxa"/>
            <w:tcBorders>
              <w:tl2br w:val="nil"/>
              <w:tr2bl w:val="nil"/>
            </w:tcBorders>
            <w:noWrap w:val="0"/>
            <w:vAlign w:val="center"/>
          </w:tcPr>
          <w:p w14:paraId="6A49CCF1">
            <w:pPr>
              <w:pStyle w:val="75"/>
              <w:ind w:firstLine="0" w:firstLineChars="0"/>
              <w:rPr>
                <w:rFonts w:hint="default"/>
                <w:lang w:val="en-US" w:eastAsia="zh-CN"/>
              </w:rPr>
            </w:pPr>
            <w:r>
              <w:rPr>
                <w:rFonts w:hint="eastAsia"/>
                <w:lang w:val="en-US" w:eastAsia="zh-CN"/>
              </w:rPr>
              <w:t>8000</w:t>
            </w:r>
          </w:p>
        </w:tc>
      </w:tr>
      <w:tr w14:paraId="38F577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134D8B1D">
            <w:pPr>
              <w:pStyle w:val="75"/>
              <w:ind w:firstLine="0" w:firstLineChars="0"/>
            </w:pPr>
          </w:p>
        </w:tc>
        <w:tc>
          <w:tcPr>
            <w:tcW w:w="6257" w:type="dxa"/>
            <w:gridSpan w:val="6"/>
            <w:tcBorders>
              <w:tl2br w:val="nil"/>
              <w:tr2bl w:val="nil"/>
            </w:tcBorders>
            <w:shd w:val="clear" w:color="auto" w:fill="auto"/>
            <w:noWrap w:val="0"/>
            <w:vAlign w:val="center"/>
          </w:tcPr>
          <w:p w14:paraId="514E70F9">
            <w:pPr>
              <w:pStyle w:val="75"/>
              <w:ind w:firstLine="0" w:firstLineChars="0"/>
              <w:rPr>
                <w:rFonts w:hint="eastAsia" w:ascii="Times New Roman" w:hAnsi="Times New Roman" w:eastAsia="宋体" w:cs="Times New Roman"/>
                <w:sz w:val="21"/>
                <w:szCs w:val="21"/>
                <w:lang w:val="en-US" w:eastAsia="zh-CN" w:bidi="ar-SA"/>
              </w:rPr>
            </w:pPr>
            <w:r>
              <w:rPr>
                <w:rFonts w:hint="eastAsia"/>
                <w:lang w:val="en-US" w:eastAsia="zh-CN"/>
              </w:rPr>
              <w:t>厂址周边500m范围内人口数小计</w:t>
            </w:r>
          </w:p>
        </w:tc>
        <w:tc>
          <w:tcPr>
            <w:tcW w:w="1185" w:type="dxa"/>
            <w:tcBorders>
              <w:tl2br w:val="nil"/>
              <w:tr2bl w:val="nil"/>
            </w:tcBorders>
            <w:noWrap w:val="0"/>
            <w:vAlign w:val="center"/>
          </w:tcPr>
          <w:p w14:paraId="420EDCAE">
            <w:pPr>
              <w:pStyle w:val="75"/>
              <w:ind w:firstLine="0" w:firstLineChars="0"/>
              <w:rPr>
                <w:rFonts w:hint="eastAsia"/>
                <w:lang w:val="en-US" w:eastAsia="zh-CN"/>
              </w:rPr>
            </w:pPr>
            <w:r>
              <w:rPr>
                <w:rFonts w:hint="eastAsia"/>
                <w:lang w:val="en-US" w:eastAsia="zh-CN"/>
              </w:rPr>
              <w:t>940</w:t>
            </w:r>
          </w:p>
        </w:tc>
      </w:tr>
      <w:tr w14:paraId="2752C1C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4C40EBF9">
            <w:pPr>
              <w:pStyle w:val="75"/>
              <w:ind w:firstLine="0" w:firstLineChars="0"/>
              <w:rPr>
                <w:rFonts w:hint="eastAsia"/>
                <w:lang w:val="en-US" w:eastAsia="zh-CN"/>
              </w:rPr>
            </w:pPr>
          </w:p>
        </w:tc>
        <w:tc>
          <w:tcPr>
            <w:tcW w:w="6257" w:type="dxa"/>
            <w:gridSpan w:val="6"/>
            <w:tcBorders>
              <w:tl2br w:val="nil"/>
              <w:tr2bl w:val="nil"/>
            </w:tcBorders>
            <w:shd w:val="clear" w:color="auto" w:fill="auto"/>
            <w:noWrap w:val="0"/>
            <w:vAlign w:val="center"/>
          </w:tcPr>
          <w:p w14:paraId="34E9F61D">
            <w:pPr>
              <w:pStyle w:val="75"/>
              <w:ind w:firstLine="0" w:firstLineChars="0"/>
              <w:rPr>
                <w:rFonts w:hint="eastAsia"/>
                <w:lang w:val="en-US" w:eastAsia="zh-CN"/>
              </w:rPr>
            </w:pPr>
            <w:r>
              <w:rPr>
                <w:rFonts w:hint="eastAsia"/>
                <w:lang w:val="en-US" w:eastAsia="zh-CN"/>
              </w:rPr>
              <w:t>厂址周边5km范围内人口数小计</w:t>
            </w:r>
          </w:p>
        </w:tc>
        <w:tc>
          <w:tcPr>
            <w:tcW w:w="1185" w:type="dxa"/>
            <w:tcBorders>
              <w:tl2br w:val="nil"/>
              <w:tr2bl w:val="nil"/>
            </w:tcBorders>
            <w:noWrap w:val="0"/>
            <w:vAlign w:val="center"/>
          </w:tcPr>
          <w:p w14:paraId="6999C8E3">
            <w:pPr>
              <w:pStyle w:val="75"/>
              <w:ind w:firstLine="0" w:firstLineChars="0"/>
              <w:rPr>
                <w:rFonts w:hint="eastAsia"/>
                <w:lang w:val="en-US" w:eastAsia="zh-CN"/>
              </w:rPr>
            </w:pPr>
            <w:r>
              <w:rPr>
                <w:rFonts w:hint="eastAsia"/>
                <w:lang w:val="en-US" w:eastAsia="zh-CN"/>
              </w:rPr>
              <w:t>64186</w:t>
            </w:r>
          </w:p>
        </w:tc>
      </w:tr>
      <w:tr w14:paraId="2AE3067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36F8112E">
            <w:pPr>
              <w:pStyle w:val="75"/>
              <w:ind w:firstLine="0" w:firstLineChars="0"/>
              <w:rPr>
                <w:rFonts w:hint="eastAsia"/>
                <w:lang w:val="en-US" w:eastAsia="zh-CN"/>
              </w:rPr>
            </w:pPr>
          </w:p>
        </w:tc>
        <w:tc>
          <w:tcPr>
            <w:tcW w:w="6257" w:type="dxa"/>
            <w:gridSpan w:val="6"/>
            <w:tcBorders>
              <w:tl2br w:val="nil"/>
              <w:tr2bl w:val="nil"/>
            </w:tcBorders>
            <w:shd w:val="clear" w:color="auto" w:fill="auto"/>
            <w:noWrap w:val="0"/>
            <w:vAlign w:val="center"/>
          </w:tcPr>
          <w:p w14:paraId="7A34ADE3">
            <w:pPr>
              <w:pStyle w:val="75"/>
              <w:ind w:firstLine="0" w:firstLineChars="0"/>
              <w:rPr>
                <w:rFonts w:hint="eastAsia"/>
                <w:lang w:val="en-US" w:eastAsia="zh-CN"/>
              </w:rPr>
            </w:pPr>
            <w:r>
              <w:rPr>
                <w:rFonts w:hint="default" w:ascii="Times New Roman" w:hAnsi="Times New Roman" w:eastAsia="宋体" w:cs="Times New Roman"/>
                <w:snapToGrid w:val="0"/>
                <w:spacing w:val="0"/>
                <w:w w:val="100"/>
                <w:kern w:val="21"/>
                <w:sz w:val="21"/>
                <w:szCs w:val="24"/>
              </w:rPr>
              <w:t>大气环境敏感程度E 值</w:t>
            </w:r>
          </w:p>
        </w:tc>
        <w:tc>
          <w:tcPr>
            <w:tcW w:w="1185" w:type="dxa"/>
            <w:tcBorders>
              <w:tl2br w:val="nil"/>
              <w:tr2bl w:val="nil"/>
            </w:tcBorders>
            <w:noWrap w:val="0"/>
            <w:vAlign w:val="center"/>
          </w:tcPr>
          <w:p w14:paraId="64105A14">
            <w:pPr>
              <w:pStyle w:val="75"/>
              <w:ind w:firstLine="0" w:firstLineChars="0"/>
              <w:rPr>
                <w:rFonts w:hint="eastAsia"/>
                <w:lang w:val="en-US" w:eastAsia="zh-CN"/>
              </w:rPr>
            </w:pPr>
            <w:r>
              <w:rPr>
                <w:rFonts w:hint="default" w:ascii="Times New Roman" w:hAnsi="Times New Roman" w:eastAsia="宋体" w:cs="Times New Roman"/>
                <w:snapToGrid w:val="0"/>
                <w:spacing w:val="0"/>
                <w:w w:val="100"/>
                <w:kern w:val="21"/>
                <w:sz w:val="21"/>
                <w:szCs w:val="24"/>
              </w:rPr>
              <w:t>E1</w:t>
            </w:r>
          </w:p>
        </w:tc>
      </w:tr>
      <w:tr w14:paraId="50F9E9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restart"/>
            <w:tcBorders>
              <w:tl2br w:val="nil"/>
              <w:tr2bl w:val="nil"/>
            </w:tcBorders>
            <w:shd w:val="clear" w:color="auto" w:fill="auto"/>
            <w:noWrap w:val="0"/>
            <w:vAlign w:val="center"/>
          </w:tcPr>
          <w:p w14:paraId="4B60CDFE">
            <w:pPr>
              <w:pStyle w:val="75"/>
              <w:ind w:firstLine="0" w:firstLineChars="0"/>
              <w:rPr>
                <w:rFonts w:hint="default" w:ascii="Times New Roman" w:hAnsi="Times New Roman" w:eastAsia="宋体" w:cs="Times New Roman"/>
                <w:sz w:val="21"/>
                <w:szCs w:val="21"/>
                <w:lang w:val="en-US" w:eastAsia="zh-CN" w:bidi="ar-SA"/>
              </w:rPr>
            </w:pPr>
            <w:r>
              <w:rPr>
                <w:rFonts w:hint="eastAsia" w:cs="Times New Roman"/>
                <w:b/>
                <w:bCs/>
                <w:sz w:val="21"/>
                <w:szCs w:val="21"/>
                <w:lang w:val="en-US" w:eastAsia="zh-CN" w:bidi="ar-SA"/>
              </w:rPr>
              <w:t>地表水</w:t>
            </w:r>
          </w:p>
        </w:tc>
        <w:tc>
          <w:tcPr>
            <w:tcW w:w="675" w:type="dxa"/>
            <w:tcBorders>
              <w:tl2br w:val="nil"/>
              <w:tr2bl w:val="nil"/>
            </w:tcBorders>
            <w:noWrap w:val="0"/>
            <w:vAlign w:val="center"/>
          </w:tcPr>
          <w:p w14:paraId="1DDF7065">
            <w:pPr>
              <w:pStyle w:val="75"/>
              <w:ind w:firstLine="0" w:firstLineChars="0"/>
              <w:rPr>
                <w:rFonts w:hint="default"/>
                <w:b/>
                <w:bCs/>
                <w:kern w:val="2"/>
                <w:lang w:val="en-US" w:eastAsia="zh-CN"/>
              </w:rPr>
            </w:pPr>
            <w:r>
              <w:rPr>
                <w:rFonts w:hint="eastAsia"/>
                <w:b/>
                <w:bCs/>
                <w:kern w:val="2"/>
                <w:lang w:val="en-US" w:eastAsia="zh-CN"/>
              </w:rPr>
              <w:t>序号</w:t>
            </w:r>
          </w:p>
        </w:tc>
        <w:tc>
          <w:tcPr>
            <w:tcW w:w="1365" w:type="dxa"/>
            <w:tcBorders>
              <w:tl2br w:val="nil"/>
              <w:tr2bl w:val="nil"/>
            </w:tcBorders>
            <w:noWrap w:val="0"/>
            <w:vAlign w:val="center"/>
          </w:tcPr>
          <w:p w14:paraId="4E6CD399">
            <w:pPr>
              <w:pStyle w:val="75"/>
              <w:ind w:firstLine="0" w:firstLineChars="0"/>
              <w:rPr>
                <w:rFonts w:hint="eastAsia"/>
                <w:b/>
                <w:bCs/>
                <w:lang w:val="en-US" w:eastAsia="zh-CN"/>
              </w:rPr>
            </w:pPr>
            <w:r>
              <w:rPr>
                <w:rFonts w:hint="eastAsia"/>
                <w:b/>
                <w:bCs/>
                <w:kern w:val="2"/>
                <w:lang w:val="en-US" w:eastAsia="zh-CN"/>
              </w:rPr>
              <w:t>受纳水体</w:t>
            </w:r>
          </w:p>
        </w:tc>
        <w:tc>
          <w:tcPr>
            <w:tcW w:w="1922" w:type="dxa"/>
            <w:gridSpan w:val="2"/>
            <w:tcBorders>
              <w:tl2br w:val="nil"/>
              <w:tr2bl w:val="nil"/>
            </w:tcBorders>
            <w:noWrap w:val="0"/>
            <w:vAlign w:val="center"/>
          </w:tcPr>
          <w:p w14:paraId="46FCDB69">
            <w:pPr>
              <w:pStyle w:val="75"/>
              <w:ind w:firstLine="0" w:firstLineChars="0"/>
              <w:rPr>
                <w:rFonts w:hint="eastAsia"/>
                <w:b/>
                <w:bCs/>
                <w:kern w:val="2"/>
                <w:lang w:val="en-US" w:eastAsia="zh-CN"/>
              </w:rPr>
            </w:pPr>
            <w:r>
              <w:rPr>
                <w:rFonts w:hint="default" w:ascii="Times New Roman" w:hAnsi="Times New Roman" w:eastAsia="宋体" w:cs="Times New Roman"/>
                <w:b/>
                <w:bCs/>
                <w:snapToGrid w:val="0"/>
                <w:spacing w:val="0"/>
                <w:w w:val="100"/>
                <w:kern w:val="21"/>
                <w:sz w:val="21"/>
                <w:szCs w:val="24"/>
              </w:rPr>
              <w:t>排放点水域环境功能</w:t>
            </w:r>
          </w:p>
        </w:tc>
        <w:tc>
          <w:tcPr>
            <w:tcW w:w="3480" w:type="dxa"/>
            <w:gridSpan w:val="3"/>
            <w:tcBorders>
              <w:tl2br w:val="nil"/>
              <w:tr2bl w:val="nil"/>
            </w:tcBorders>
            <w:noWrap w:val="0"/>
            <w:vAlign w:val="center"/>
          </w:tcPr>
          <w:p w14:paraId="5406FC82">
            <w:pPr>
              <w:pStyle w:val="75"/>
              <w:ind w:firstLine="0" w:firstLineChars="0"/>
              <w:rPr>
                <w:rFonts w:hint="default"/>
                <w:b/>
                <w:bCs/>
                <w:lang w:val="en-US" w:eastAsia="zh-CN"/>
              </w:rPr>
            </w:pPr>
            <w:r>
              <w:rPr>
                <w:rFonts w:hint="eastAsia"/>
                <w:b/>
                <w:bCs/>
                <w:lang w:val="en-US" w:eastAsia="zh-CN"/>
              </w:rPr>
              <w:t>项目情况</w:t>
            </w:r>
          </w:p>
        </w:tc>
      </w:tr>
      <w:tr w14:paraId="6AA3E06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71D27993">
            <w:pPr>
              <w:pStyle w:val="75"/>
              <w:ind w:firstLine="0" w:firstLineChars="0"/>
              <w:rPr>
                <w:rFonts w:hint="eastAsia" w:cs="Times New Roman"/>
                <w:sz w:val="21"/>
                <w:szCs w:val="21"/>
                <w:lang w:val="en-US" w:eastAsia="zh-CN" w:bidi="ar-SA"/>
              </w:rPr>
            </w:pPr>
          </w:p>
        </w:tc>
        <w:tc>
          <w:tcPr>
            <w:tcW w:w="675" w:type="dxa"/>
            <w:tcBorders>
              <w:tl2br w:val="nil"/>
              <w:tr2bl w:val="nil"/>
            </w:tcBorders>
            <w:noWrap w:val="0"/>
            <w:vAlign w:val="center"/>
          </w:tcPr>
          <w:p w14:paraId="3CF3848B">
            <w:pPr>
              <w:pStyle w:val="75"/>
              <w:ind w:firstLine="0" w:firstLineChars="0"/>
              <w:rPr>
                <w:rFonts w:hint="default"/>
                <w:kern w:val="2"/>
                <w:lang w:val="en-US" w:eastAsia="zh-CN"/>
              </w:rPr>
            </w:pPr>
            <w:r>
              <w:rPr>
                <w:rFonts w:hint="eastAsia"/>
                <w:kern w:val="2"/>
                <w:lang w:val="en-US" w:eastAsia="zh-CN"/>
              </w:rPr>
              <w:t>1</w:t>
            </w:r>
          </w:p>
        </w:tc>
        <w:tc>
          <w:tcPr>
            <w:tcW w:w="1365" w:type="dxa"/>
            <w:tcBorders>
              <w:tl2br w:val="nil"/>
              <w:tr2bl w:val="nil"/>
            </w:tcBorders>
            <w:noWrap w:val="0"/>
            <w:vAlign w:val="center"/>
          </w:tcPr>
          <w:p w14:paraId="2D396DAC">
            <w:pPr>
              <w:pStyle w:val="75"/>
              <w:ind w:firstLine="0" w:firstLineChars="0"/>
              <w:rPr>
                <w:rFonts w:hint="default"/>
                <w:lang w:val="en-US" w:eastAsia="zh-CN"/>
              </w:rPr>
            </w:pPr>
            <w:r>
              <w:rPr>
                <w:rFonts w:hint="eastAsia"/>
                <w:lang w:val="en-US" w:eastAsia="zh-CN"/>
              </w:rPr>
              <w:t>共产主义渠</w:t>
            </w:r>
          </w:p>
        </w:tc>
        <w:tc>
          <w:tcPr>
            <w:tcW w:w="1922" w:type="dxa"/>
            <w:gridSpan w:val="2"/>
            <w:tcBorders>
              <w:tl2br w:val="nil"/>
              <w:tr2bl w:val="nil"/>
            </w:tcBorders>
            <w:noWrap w:val="0"/>
            <w:vAlign w:val="center"/>
          </w:tcPr>
          <w:p w14:paraId="15E9D056">
            <w:pPr>
              <w:pStyle w:val="75"/>
              <w:ind w:firstLine="0" w:firstLineChars="0"/>
              <w:rPr>
                <w:rFonts w:hint="eastAsia"/>
                <w:lang w:val="en-US" w:eastAsia="zh-CN"/>
              </w:rPr>
            </w:pPr>
            <w:r>
              <w:rPr>
                <w:rFonts w:hint="default" w:ascii="Times New Roman" w:hAnsi="Times New Roman" w:eastAsia="宋体" w:cs="Times New Roman"/>
                <w:snapToGrid w:val="0"/>
                <w:spacing w:val="0"/>
                <w:w w:val="100"/>
                <w:kern w:val="21"/>
                <w:sz w:val="21"/>
                <w:szCs w:val="24"/>
              </w:rPr>
              <w:t>Ⅳ类</w:t>
            </w:r>
          </w:p>
        </w:tc>
        <w:tc>
          <w:tcPr>
            <w:tcW w:w="3480" w:type="dxa"/>
            <w:gridSpan w:val="3"/>
            <w:tcBorders>
              <w:tl2br w:val="nil"/>
              <w:tr2bl w:val="nil"/>
            </w:tcBorders>
            <w:noWrap w:val="0"/>
            <w:vAlign w:val="center"/>
          </w:tcPr>
          <w:p w14:paraId="351A676F">
            <w:pPr>
              <w:pStyle w:val="75"/>
              <w:ind w:firstLine="0" w:firstLineChars="0"/>
              <w:jc w:val="left"/>
              <w:rPr>
                <w:rFonts w:hint="default"/>
                <w:lang w:val="en-US" w:eastAsia="zh-CN"/>
              </w:rPr>
            </w:pPr>
            <w:r>
              <w:rPr>
                <w:rFonts w:hint="eastAsia"/>
                <w:bCs/>
              </w:rPr>
              <w:t>以发生事故时危险物质泄漏到水体的排放点算起，排放进入受纳河流最大流速时，24h流经范围内不跨省界；排放点下游(顺水流向)10km范围内无类型1和类型2包括的敏感保护目标。</w:t>
            </w:r>
          </w:p>
        </w:tc>
      </w:tr>
      <w:tr w14:paraId="5441CF2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90" w:type="dxa"/>
            <w:vMerge w:val="continue"/>
            <w:tcBorders>
              <w:tl2br w:val="nil"/>
              <w:tr2bl w:val="nil"/>
            </w:tcBorders>
            <w:shd w:val="clear" w:color="auto" w:fill="auto"/>
            <w:noWrap w:val="0"/>
            <w:vAlign w:val="center"/>
          </w:tcPr>
          <w:p w14:paraId="2F0A32C3">
            <w:pPr>
              <w:pStyle w:val="75"/>
              <w:ind w:firstLine="0" w:firstLineChars="0"/>
              <w:rPr>
                <w:rFonts w:hint="eastAsia" w:cs="Times New Roman"/>
                <w:sz w:val="21"/>
                <w:szCs w:val="21"/>
                <w:lang w:val="en-US" w:eastAsia="zh-CN" w:bidi="ar-SA"/>
              </w:rPr>
            </w:pPr>
          </w:p>
        </w:tc>
        <w:tc>
          <w:tcPr>
            <w:tcW w:w="6257" w:type="dxa"/>
            <w:gridSpan w:val="6"/>
            <w:tcBorders>
              <w:tl2br w:val="nil"/>
              <w:tr2bl w:val="nil"/>
            </w:tcBorders>
            <w:noWrap w:val="0"/>
            <w:vAlign w:val="center"/>
          </w:tcPr>
          <w:p w14:paraId="49F58E8F">
            <w:pPr>
              <w:pStyle w:val="75"/>
              <w:ind w:firstLine="0" w:firstLineChars="0"/>
            </w:pPr>
            <w:r>
              <w:rPr>
                <w:rFonts w:hint="default" w:ascii="Times New Roman" w:hAnsi="Times New Roman" w:eastAsia="宋体" w:cs="Times New Roman"/>
                <w:snapToGrid w:val="0"/>
                <w:spacing w:val="0"/>
                <w:w w:val="100"/>
                <w:kern w:val="21"/>
                <w:sz w:val="21"/>
                <w:szCs w:val="24"/>
              </w:rPr>
              <w:t>地表水环境敏感程度E 值</w:t>
            </w:r>
          </w:p>
        </w:tc>
        <w:tc>
          <w:tcPr>
            <w:tcW w:w="1185" w:type="dxa"/>
            <w:tcBorders>
              <w:tl2br w:val="nil"/>
              <w:tr2bl w:val="nil"/>
            </w:tcBorders>
            <w:noWrap w:val="0"/>
            <w:vAlign w:val="center"/>
          </w:tcPr>
          <w:p w14:paraId="06D4984C">
            <w:pPr>
              <w:pStyle w:val="75"/>
              <w:ind w:firstLine="0" w:firstLineChars="0"/>
              <w:rPr>
                <w:rFonts w:hint="eastAsia"/>
                <w:lang w:val="en-US" w:eastAsia="zh-CN"/>
              </w:rPr>
            </w:pPr>
            <w:r>
              <w:rPr>
                <w:rFonts w:hint="default" w:ascii="Times New Roman" w:hAnsi="Times New Roman" w:eastAsia="宋体" w:cs="Times New Roman"/>
                <w:snapToGrid w:val="0"/>
                <w:spacing w:val="0"/>
                <w:w w:val="100"/>
                <w:kern w:val="21"/>
                <w:sz w:val="21"/>
                <w:szCs w:val="24"/>
              </w:rPr>
              <w:t>E3</w:t>
            </w:r>
          </w:p>
        </w:tc>
      </w:tr>
    </w:tbl>
    <w:p w14:paraId="3509253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08" w:name="_Toc7070"/>
      <w:bookmarkStart w:id="609" w:name="_Toc108122584"/>
      <w:r>
        <w:rPr>
          <w:rFonts w:hint="eastAsia"/>
          <w:lang w:val="en-US" w:eastAsia="zh-CN"/>
        </w:rPr>
        <w:t>6.2本项目环境风险潜势调查</w:t>
      </w:r>
      <w:bookmarkEnd w:id="608"/>
    </w:p>
    <w:bookmarkEnd w:id="609"/>
    <w:p w14:paraId="4E53AA3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6.2.1危险物质及工艺系统危险性（P）分级确定</w:t>
      </w:r>
    </w:p>
    <w:p w14:paraId="7AB59661">
      <w:pPr>
        <w:bidi w:val="0"/>
        <w:rPr>
          <w:b/>
          <w:bCs/>
        </w:rPr>
      </w:pPr>
      <w:r>
        <w:rPr>
          <w:rFonts w:hint="eastAsia"/>
          <w:b/>
          <w:bCs/>
          <w:lang w:eastAsia="zh-CN"/>
        </w:rPr>
        <w:t>（</w:t>
      </w:r>
      <w:r>
        <w:rPr>
          <w:rFonts w:hint="eastAsia"/>
          <w:b/>
          <w:bCs/>
          <w:lang w:val="en-US" w:eastAsia="zh-CN"/>
        </w:rPr>
        <w:t>1</w:t>
      </w:r>
      <w:r>
        <w:rPr>
          <w:rFonts w:hint="eastAsia"/>
          <w:b/>
          <w:bCs/>
          <w:lang w:eastAsia="zh-CN"/>
        </w:rPr>
        <w:t>）</w:t>
      </w:r>
      <w:r>
        <w:rPr>
          <w:rFonts w:hint="eastAsia"/>
          <w:b/>
          <w:bCs/>
        </w:rPr>
        <w:t>危险物质数量与临界量比值Q</w:t>
      </w:r>
    </w:p>
    <w:p w14:paraId="2357135B">
      <w:pPr>
        <w:pStyle w:val="72"/>
        <w:rPr>
          <w:rFonts w:hint="eastAsia"/>
        </w:rPr>
      </w:pPr>
      <w:r>
        <w:rPr>
          <w:rFonts w:hint="eastAsia"/>
        </w:rPr>
        <w:t>依据《建设项目环境风险评价技术导则》（HJ/T169-2018）附录B，本项目涉及的危险物质，并且以危险物质使用情况和贮存情况为基础，根据导则附录C 进行危险物质存在量（如存在量呈动态变化，则按年度内最大存在量计算）与临界量比值（Q）的定量估算。</w:t>
      </w:r>
    </w:p>
    <w:p w14:paraId="054D38AA">
      <w:pPr>
        <w:pStyle w:val="72"/>
        <w:rPr>
          <w:rFonts w:hint="eastAsia"/>
        </w:rPr>
      </w:pPr>
      <w:r>
        <w:rPr>
          <w:rFonts w:hint="eastAsia"/>
        </w:rPr>
        <w:t>①当只涉及一种危险物质时，计算该物质的总量与其临界量的比值，即为Q。</w:t>
      </w:r>
    </w:p>
    <w:p w14:paraId="4C12DC9B">
      <w:pPr>
        <w:pStyle w:val="72"/>
        <w:rPr>
          <w:rFonts w:hint="eastAsia"/>
        </w:rPr>
      </w:pPr>
      <w:r>
        <w:rPr>
          <w:rFonts w:hint="eastAsia"/>
        </w:rPr>
        <w:t>②当存在多种危险物质时，则按（C.1）式计算物质数量与临界量比值（Q）：</w:t>
      </w:r>
    </w:p>
    <w:p w14:paraId="73E4CA02">
      <w:pPr>
        <w:pStyle w:val="72"/>
        <w:keepNext w:val="0"/>
        <w:keepLines w:val="0"/>
        <w:pageBreakBefore w:val="0"/>
        <w:widowControl w:val="0"/>
        <w:kinsoku/>
        <w:wordWrap/>
        <w:overflowPunct/>
        <w:topLinePunct w:val="0"/>
        <w:autoSpaceDE/>
        <w:autoSpaceDN/>
        <w:bidi w:val="0"/>
        <w:adjustRightInd w:val="0"/>
        <w:snapToGrid w:val="0"/>
        <w:spacing w:line="360" w:lineRule="auto"/>
        <w:textAlignment w:val="baseline"/>
        <w:rPr>
          <w:rFonts w:hint="eastAsia"/>
        </w:rPr>
      </w:pPr>
      <w:r>
        <w:rPr>
          <w:rFonts w:hint="eastAsia"/>
        </w:rPr>
        <w:t xml:space="preserve">     </w:t>
      </w:r>
      <w:r>
        <w:rPr>
          <w:rFonts w:hint="eastAsia"/>
          <w:lang w:val="en-US" w:eastAsia="zh-CN"/>
        </w:rPr>
        <w:t xml:space="preserve">           </w:t>
      </w:r>
      <w:r>
        <w:rPr>
          <w:rFonts w:hint="eastAsia"/>
        </w:rPr>
        <w:t xml:space="preserve">  </w:t>
      </w:r>
      <w:r>
        <w:rPr>
          <w:rFonts w:hint="default" w:ascii="Times New Roman" w:hAnsi="Times New Roman" w:eastAsia="黑体" w:cs="Times New Roman"/>
          <w:b w:val="0"/>
          <w:bCs/>
          <w:position w:val="-30"/>
          <w:sz w:val="28"/>
          <w:szCs w:val="24"/>
          <w:u w:val="none"/>
          <w:lang w:eastAsia="zh-CN"/>
        </w:rPr>
        <w:object>
          <v:shape id="_x0000_i1030" o:spt="75" type="#_x0000_t75" style="height:34pt;width:101pt;" o:ole="t" filled="f" o:preferrelative="t" stroked="f" coordsize="21600,21600">
            <v:path/>
            <v:fill on="f" focussize="0,0"/>
            <v:stroke on="f"/>
            <v:imagedata r:id="rId57" o:title=""/>
            <o:lock v:ext="edit" aspectratio="t"/>
            <w10:wrap type="none"/>
            <w10:anchorlock/>
          </v:shape>
          <o:OLEObject Type="Embed" ProgID="Equation.KSEE3" ShapeID="_x0000_i1030" DrawAspect="Content" ObjectID="_1468075733" r:id="rId56">
            <o:LockedField>false</o:LockedField>
          </o:OLEObject>
        </w:object>
      </w:r>
      <w:r>
        <w:rPr>
          <w:rFonts w:hint="eastAsia"/>
        </w:rPr>
        <w:t xml:space="preserve"> （C.1）</w:t>
      </w:r>
    </w:p>
    <w:p w14:paraId="582C523D">
      <w:pPr>
        <w:pStyle w:val="72"/>
        <w:keepNext w:val="0"/>
        <w:keepLines w:val="0"/>
        <w:pageBreakBefore w:val="0"/>
        <w:widowControl w:val="0"/>
        <w:kinsoku/>
        <w:wordWrap/>
        <w:overflowPunct/>
        <w:topLinePunct w:val="0"/>
        <w:autoSpaceDE/>
        <w:autoSpaceDN/>
        <w:bidi w:val="0"/>
        <w:adjustRightInd w:val="0"/>
        <w:snapToGrid w:val="0"/>
        <w:spacing w:line="360" w:lineRule="auto"/>
        <w:textAlignment w:val="baseline"/>
        <w:rPr>
          <w:rFonts w:hint="eastAsia"/>
        </w:rPr>
      </w:pPr>
      <w:r>
        <w:rPr>
          <w:rFonts w:hint="eastAsia"/>
        </w:rPr>
        <w:t>式中：q</w:t>
      </w:r>
      <w:r>
        <w:rPr>
          <w:rFonts w:hint="eastAsia"/>
          <w:vertAlign w:val="subscript"/>
        </w:rPr>
        <w:t>1</w:t>
      </w:r>
      <w:r>
        <w:rPr>
          <w:rFonts w:hint="eastAsia"/>
        </w:rPr>
        <w:t>，q</w:t>
      </w:r>
      <w:r>
        <w:rPr>
          <w:rFonts w:hint="eastAsia"/>
          <w:vertAlign w:val="subscript"/>
        </w:rPr>
        <w:t>2</w:t>
      </w:r>
      <w:r>
        <w:rPr>
          <w:rFonts w:hint="eastAsia"/>
        </w:rPr>
        <w:t>……q</w:t>
      </w:r>
      <w:r>
        <w:rPr>
          <w:rFonts w:hint="eastAsia"/>
          <w:vertAlign w:val="subscript"/>
        </w:rPr>
        <w:t>n</w:t>
      </w:r>
      <w:r>
        <w:rPr>
          <w:rFonts w:hint="eastAsia"/>
        </w:rPr>
        <w:t>—每种危险物质的最大存在量，t；</w:t>
      </w:r>
    </w:p>
    <w:p w14:paraId="6C758FD1">
      <w:pPr>
        <w:pStyle w:val="72"/>
        <w:keepNext w:val="0"/>
        <w:keepLines w:val="0"/>
        <w:pageBreakBefore w:val="0"/>
        <w:widowControl w:val="0"/>
        <w:kinsoku/>
        <w:wordWrap/>
        <w:overflowPunct/>
        <w:topLinePunct w:val="0"/>
        <w:autoSpaceDE/>
        <w:autoSpaceDN/>
        <w:bidi w:val="0"/>
        <w:adjustRightInd w:val="0"/>
        <w:snapToGrid w:val="0"/>
        <w:spacing w:line="360" w:lineRule="auto"/>
        <w:textAlignment w:val="baseline"/>
        <w:rPr>
          <w:rFonts w:hint="eastAsia"/>
        </w:rPr>
      </w:pPr>
      <w:r>
        <w:rPr>
          <w:rFonts w:hint="eastAsia"/>
        </w:rPr>
        <w:t>Q</w:t>
      </w:r>
      <w:r>
        <w:rPr>
          <w:rFonts w:hint="eastAsia"/>
          <w:vertAlign w:val="subscript"/>
        </w:rPr>
        <w:t>1</w:t>
      </w:r>
      <w:r>
        <w:rPr>
          <w:rFonts w:hint="eastAsia"/>
        </w:rPr>
        <w:t>，Q</w:t>
      </w:r>
      <w:r>
        <w:rPr>
          <w:rFonts w:hint="eastAsia"/>
          <w:vertAlign w:val="subscript"/>
        </w:rPr>
        <w:t>2</w:t>
      </w:r>
      <w:r>
        <w:rPr>
          <w:rFonts w:hint="eastAsia"/>
        </w:rPr>
        <w:t>…Q</w:t>
      </w:r>
      <w:r>
        <w:rPr>
          <w:rFonts w:hint="eastAsia"/>
          <w:vertAlign w:val="subscript"/>
        </w:rPr>
        <w:t>n</w:t>
      </w:r>
      <w:r>
        <w:rPr>
          <w:rFonts w:hint="eastAsia"/>
        </w:rPr>
        <w:t>—每种危险物质的临界量，t。</w:t>
      </w:r>
    </w:p>
    <w:p w14:paraId="609BD7D2">
      <w:pPr>
        <w:pStyle w:val="72"/>
        <w:spacing w:line="360" w:lineRule="auto"/>
        <w:rPr>
          <w:rFonts w:hint="eastAsia"/>
        </w:rPr>
      </w:pPr>
      <w:r>
        <w:rPr>
          <w:rFonts w:hint="eastAsia"/>
        </w:rPr>
        <w:t>当Q﹤1时，该项目环境风险潜势为I。</w:t>
      </w:r>
    </w:p>
    <w:p w14:paraId="209D70B3">
      <w:pPr>
        <w:pStyle w:val="72"/>
        <w:spacing w:line="360" w:lineRule="auto"/>
        <w:rPr>
          <w:rFonts w:hint="eastAsia"/>
        </w:rPr>
      </w:pPr>
      <w:r>
        <w:rPr>
          <w:rFonts w:hint="eastAsia"/>
        </w:rPr>
        <w:t>当Q≥1时，将Q值划分为：（1）1≤Q﹤10；（2）10≤Q﹤100；（3）Q≥100。</w:t>
      </w:r>
    </w:p>
    <w:p w14:paraId="65C50792">
      <w:pPr>
        <w:pStyle w:val="72"/>
        <w:spacing w:line="360" w:lineRule="auto"/>
        <w:rPr>
          <w:rFonts w:hint="eastAsia"/>
        </w:rPr>
      </w:pPr>
      <w:r>
        <w:rPr>
          <w:rFonts w:hint="eastAsia"/>
        </w:rPr>
        <w:t>根据《建设项目环境风险评价技术导则》（HJ 169-2018）附录B及《化学品分类和标签规范  第18部分：急性毒性》（GB 30000.18）、《化学品分类和标签规范 第28部分：对水生环境的危害》（GB 30000.28），项目生产中涉及的危险物质对应临界量对照情况见下表。</w:t>
      </w:r>
    </w:p>
    <w:p w14:paraId="5E8E574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6.2-1</w:t>
      </w:r>
      <w:r>
        <w:rPr>
          <w:rFonts w:hint="eastAsia"/>
        </w:rPr>
        <w:t xml:space="preserve">    风险物质最大存在量及临界量     单位：t</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847"/>
        <w:gridCol w:w="1581"/>
        <w:gridCol w:w="1164"/>
        <w:gridCol w:w="1421"/>
        <w:gridCol w:w="1554"/>
        <w:gridCol w:w="1803"/>
      </w:tblGrid>
      <w:tr w14:paraId="7537DCC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47" w:type="dxa"/>
            <w:tcBorders>
              <w:tl2br w:val="nil"/>
              <w:tr2bl w:val="nil"/>
            </w:tcBorders>
            <w:noWrap w:val="0"/>
            <w:vAlign w:val="center"/>
          </w:tcPr>
          <w:p w14:paraId="54E432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z w:val="21"/>
                <w:szCs w:val="21"/>
                <w:u w:val="none"/>
              </w:rPr>
              <w:t>序号</w:t>
            </w:r>
          </w:p>
        </w:tc>
        <w:tc>
          <w:tcPr>
            <w:tcW w:w="1581" w:type="dxa"/>
            <w:tcBorders>
              <w:tl2br w:val="nil"/>
              <w:tr2bl w:val="nil"/>
            </w:tcBorders>
            <w:noWrap w:val="0"/>
            <w:vAlign w:val="center"/>
          </w:tcPr>
          <w:p w14:paraId="20AABD3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z w:val="21"/>
                <w:szCs w:val="21"/>
                <w:u w:val="none"/>
              </w:rPr>
              <w:t>危险物质名称</w:t>
            </w:r>
          </w:p>
        </w:tc>
        <w:tc>
          <w:tcPr>
            <w:tcW w:w="1164" w:type="dxa"/>
            <w:tcBorders>
              <w:tl2br w:val="nil"/>
              <w:tr2bl w:val="nil"/>
            </w:tcBorders>
            <w:noWrap w:val="0"/>
            <w:vAlign w:val="center"/>
          </w:tcPr>
          <w:p w14:paraId="21832A7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z w:val="21"/>
                <w:szCs w:val="21"/>
                <w:u w:val="none"/>
              </w:rPr>
              <w:t>CAS 号</w:t>
            </w:r>
          </w:p>
        </w:tc>
        <w:tc>
          <w:tcPr>
            <w:tcW w:w="1421" w:type="dxa"/>
            <w:tcBorders>
              <w:tl2br w:val="nil"/>
              <w:tr2bl w:val="nil"/>
            </w:tcBorders>
            <w:noWrap w:val="0"/>
            <w:vAlign w:val="center"/>
          </w:tcPr>
          <w:p w14:paraId="0BE353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z w:val="21"/>
                <w:szCs w:val="21"/>
                <w:u w:val="none"/>
              </w:rPr>
              <w:t>最大存在量</w:t>
            </w:r>
          </w:p>
          <w:p w14:paraId="4054A6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z w:val="21"/>
                <w:szCs w:val="21"/>
                <w:u w:val="none"/>
              </w:rPr>
              <w:t>（含在线量）/t</w:t>
            </w:r>
          </w:p>
        </w:tc>
        <w:tc>
          <w:tcPr>
            <w:tcW w:w="1554" w:type="dxa"/>
            <w:tcBorders>
              <w:tl2br w:val="nil"/>
              <w:tr2bl w:val="nil"/>
            </w:tcBorders>
            <w:noWrap w:val="0"/>
            <w:vAlign w:val="center"/>
          </w:tcPr>
          <w:p w14:paraId="431D653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pacing w:val="-14"/>
                <w:sz w:val="21"/>
                <w:szCs w:val="21"/>
                <w:u w:val="none"/>
              </w:rPr>
              <w:t xml:space="preserve">临界量 </w:t>
            </w:r>
            <w:r>
              <w:rPr>
                <w:rFonts w:hint="default" w:ascii="Times New Roman" w:hAnsi="Times New Roman" w:eastAsia="宋体" w:cs="Times New Roman"/>
                <w:b/>
                <w:bCs/>
                <w:sz w:val="21"/>
                <w:szCs w:val="21"/>
                <w:u w:val="none"/>
              </w:rPr>
              <w:t>Qn/t</w:t>
            </w:r>
          </w:p>
        </w:tc>
        <w:tc>
          <w:tcPr>
            <w:tcW w:w="1803" w:type="dxa"/>
            <w:tcBorders>
              <w:tl2br w:val="nil"/>
              <w:tr2bl w:val="nil"/>
            </w:tcBorders>
            <w:noWrap w:val="0"/>
            <w:vAlign w:val="center"/>
          </w:tcPr>
          <w:p w14:paraId="501F306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8"/>
                <w:sz w:val="21"/>
                <w:szCs w:val="21"/>
                <w:u w:val="none"/>
              </w:rPr>
            </w:pPr>
            <w:r>
              <w:rPr>
                <w:rFonts w:hint="default" w:ascii="Times New Roman" w:hAnsi="Times New Roman" w:eastAsia="宋体" w:cs="Times New Roman"/>
                <w:b/>
                <w:bCs/>
                <w:spacing w:val="8"/>
                <w:sz w:val="21"/>
                <w:szCs w:val="21"/>
                <w:u w:val="none"/>
              </w:rPr>
              <w:t>该种危险</w:t>
            </w:r>
          </w:p>
          <w:p w14:paraId="0B21FC7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1"/>
                <w:u w:val="none"/>
              </w:rPr>
            </w:pPr>
            <w:r>
              <w:rPr>
                <w:rFonts w:hint="default" w:ascii="Times New Roman" w:hAnsi="Times New Roman" w:eastAsia="宋体" w:cs="Times New Roman"/>
                <w:b/>
                <w:bCs/>
                <w:spacing w:val="8"/>
                <w:sz w:val="21"/>
                <w:szCs w:val="21"/>
                <w:u w:val="none"/>
              </w:rPr>
              <w:t>物质</w:t>
            </w:r>
            <w:r>
              <w:rPr>
                <w:rFonts w:hint="default" w:ascii="Times New Roman" w:hAnsi="Times New Roman" w:eastAsia="宋体" w:cs="Times New Roman"/>
                <w:b/>
                <w:bCs/>
                <w:sz w:val="21"/>
                <w:szCs w:val="21"/>
                <w:u w:val="none"/>
              </w:rPr>
              <w:t>Q</w:t>
            </w:r>
            <w:r>
              <w:rPr>
                <w:rFonts w:hint="default" w:ascii="Times New Roman" w:hAnsi="Times New Roman" w:eastAsia="宋体" w:cs="Times New Roman"/>
                <w:b/>
                <w:bCs/>
                <w:spacing w:val="-1"/>
                <w:sz w:val="21"/>
                <w:szCs w:val="21"/>
                <w:u w:val="none"/>
              </w:rPr>
              <w:t xml:space="preserve"> </w:t>
            </w:r>
            <w:r>
              <w:rPr>
                <w:rFonts w:hint="default" w:ascii="Times New Roman" w:hAnsi="Times New Roman" w:eastAsia="宋体" w:cs="Times New Roman"/>
                <w:b/>
                <w:bCs/>
                <w:sz w:val="21"/>
                <w:szCs w:val="21"/>
                <w:u w:val="none"/>
              </w:rPr>
              <w:t>值</w:t>
            </w:r>
          </w:p>
        </w:tc>
      </w:tr>
      <w:tr w14:paraId="5E239E5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73" w:hRule="atLeast"/>
          <w:jc w:val="center"/>
        </w:trPr>
        <w:tc>
          <w:tcPr>
            <w:tcW w:w="847" w:type="dxa"/>
            <w:tcBorders>
              <w:tl2br w:val="nil"/>
              <w:tr2bl w:val="nil"/>
            </w:tcBorders>
            <w:noWrap w:val="0"/>
            <w:vAlign w:val="center"/>
          </w:tcPr>
          <w:p w14:paraId="784F591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1</w:t>
            </w:r>
          </w:p>
        </w:tc>
        <w:tc>
          <w:tcPr>
            <w:tcW w:w="1581" w:type="dxa"/>
            <w:tcBorders>
              <w:tl2br w:val="nil"/>
              <w:tr2bl w:val="nil"/>
            </w:tcBorders>
            <w:noWrap w:val="0"/>
            <w:vAlign w:val="center"/>
          </w:tcPr>
          <w:p w14:paraId="395F605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color w:val="auto"/>
                <w:sz w:val="21"/>
                <w:szCs w:val="21"/>
              </w:rPr>
              <w:t>硫酸镍</w:t>
            </w:r>
          </w:p>
        </w:tc>
        <w:tc>
          <w:tcPr>
            <w:tcW w:w="1164" w:type="dxa"/>
            <w:tcBorders>
              <w:tl2br w:val="nil"/>
              <w:tr2bl w:val="nil"/>
            </w:tcBorders>
            <w:noWrap w:val="0"/>
            <w:vAlign w:val="center"/>
          </w:tcPr>
          <w:p w14:paraId="0E2B9F8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7786-81-4</w:t>
            </w:r>
          </w:p>
        </w:tc>
        <w:tc>
          <w:tcPr>
            <w:tcW w:w="1421" w:type="dxa"/>
            <w:tcBorders>
              <w:tl2br w:val="nil"/>
              <w:tr2bl w:val="nil"/>
            </w:tcBorders>
            <w:noWrap w:val="0"/>
            <w:vAlign w:val="center"/>
          </w:tcPr>
          <w:p w14:paraId="1765C9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8.3</w:t>
            </w:r>
          </w:p>
        </w:tc>
        <w:tc>
          <w:tcPr>
            <w:tcW w:w="1554" w:type="dxa"/>
            <w:tcBorders>
              <w:tl2br w:val="nil"/>
              <w:tr2bl w:val="nil"/>
            </w:tcBorders>
            <w:noWrap w:val="0"/>
            <w:vAlign w:val="center"/>
          </w:tcPr>
          <w:p w14:paraId="615B8B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0.25</w:t>
            </w:r>
          </w:p>
        </w:tc>
        <w:tc>
          <w:tcPr>
            <w:tcW w:w="1803" w:type="dxa"/>
            <w:tcBorders>
              <w:tl2br w:val="nil"/>
              <w:tr2bl w:val="nil"/>
            </w:tcBorders>
            <w:noWrap w:val="0"/>
            <w:vAlign w:val="center"/>
          </w:tcPr>
          <w:p w14:paraId="583A290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33.2</w:t>
            </w:r>
          </w:p>
        </w:tc>
      </w:tr>
      <w:tr w14:paraId="0FB92CD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47" w:type="dxa"/>
            <w:tcBorders>
              <w:tl2br w:val="nil"/>
              <w:tr2bl w:val="nil"/>
            </w:tcBorders>
            <w:noWrap w:val="0"/>
            <w:vAlign w:val="center"/>
          </w:tcPr>
          <w:p w14:paraId="2A79053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2</w:t>
            </w:r>
          </w:p>
        </w:tc>
        <w:tc>
          <w:tcPr>
            <w:tcW w:w="1581" w:type="dxa"/>
            <w:tcBorders>
              <w:tl2br w:val="nil"/>
              <w:tr2bl w:val="nil"/>
            </w:tcBorders>
            <w:noWrap w:val="0"/>
            <w:vAlign w:val="center"/>
          </w:tcPr>
          <w:p w14:paraId="28DD694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sz w:val="21"/>
                <w:szCs w:val="21"/>
              </w:rPr>
              <w:t>硫酸</w:t>
            </w:r>
          </w:p>
        </w:tc>
        <w:tc>
          <w:tcPr>
            <w:tcW w:w="1164" w:type="dxa"/>
            <w:tcBorders>
              <w:tl2br w:val="nil"/>
              <w:tr2bl w:val="nil"/>
            </w:tcBorders>
            <w:noWrap w:val="0"/>
            <w:vAlign w:val="center"/>
          </w:tcPr>
          <w:p w14:paraId="6F65F13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lang w:val="en-US" w:eastAsia="zh-CN"/>
              </w:rPr>
              <w:t>7664-93-9</w:t>
            </w:r>
          </w:p>
        </w:tc>
        <w:tc>
          <w:tcPr>
            <w:tcW w:w="1421" w:type="dxa"/>
            <w:tcBorders>
              <w:tl2br w:val="nil"/>
              <w:tr2bl w:val="nil"/>
            </w:tcBorders>
            <w:noWrap w:val="0"/>
            <w:vAlign w:val="center"/>
          </w:tcPr>
          <w:p w14:paraId="3D9F741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4.8</w:t>
            </w:r>
          </w:p>
        </w:tc>
        <w:tc>
          <w:tcPr>
            <w:tcW w:w="1554" w:type="dxa"/>
            <w:tcBorders>
              <w:tl2br w:val="nil"/>
              <w:tr2bl w:val="nil"/>
            </w:tcBorders>
            <w:noWrap w:val="0"/>
            <w:vAlign w:val="center"/>
          </w:tcPr>
          <w:p w14:paraId="6919977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10</w:t>
            </w:r>
          </w:p>
        </w:tc>
        <w:tc>
          <w:tcPr>
            <w:tcW w:w="1803" w:type="dxa"/>
            <w:tcBorders>
              <w:tl2br w:val="nil"/>
              <w:tr2bl w:val="nil"/>
            </w:tcBorders>
            <w:noWrap w:val="0"/>
            <w:vAlign w:val="center"/>
          </w:tcPr>
          <w:p w14:paraId="2580D86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0.48</w:t>
            </w:r>
          </w:p>
        </w:tc>
      </w:tr>
      <w:tr w14:paraId="5BEB28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47" w:type="dxa"/>
            <w:tcBorders>
              <w:tl2br w:val="nil"/>
              <w:tr2bl w:val="nil"/>
            </w:tcBorders>
            <w:noWrap w:val="0"/>
            <w:vAlign w:val="center"/>
          </w:tcPr>
          <w:p w14:paraId="649304A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3</w:t>
            </w:r>
          </w:p>
        </w:tc>
        <w:tc>
          <w:tcPr>
            <w:tcW w:w="1581" w:type="dxa"/>
            <w:tcBorders>
              <w:tl2br w:val="nil"/>
              <w:tr2bl w:val="nil"/>
            </w:tcBorders>
            <w:noWrap w:val="0"/>
            <w:vAlign w:val="center"/>
          </w:tcPr>
          <w:p w14:paraId="4DC04DC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sz w:val="21"/>
                <w:szCs w:val="21"/>
              </w:rPr>
              <w:t>氯化镍</w:t>
            </w:r>
          </w:p>
        </w:tc>
        <w:tc>
          <w:tcPr>
            <w:tcW w:w="1164" w:type="dxa"/>
            <w:tcBorders>
              <w:tl2br w:val="nil"/>
              <w:tr2bl w:val="nil"/>
            </w:tcBorders>
            <w:noWrap w:val="0"/>
            <w:vAlign w:val="center"/>
          </w:tcPr>
          <w:p w14:paraId="113348E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7718-54-9</w:t>
            </w:r>
          </w:p>
        </w:tc>
        <w:tc>
          <w:tcPr>
            <w:tcW w:w="1421" w:type="dxa"/>
            <w:tcBorders>
              <w:tl2br w:val="nil"/>
              <w:tr2bl w:val="nil"/>
            </w:tcBorders>
            <w:noWrap w:val="0"/>
            <w:vAlign w:val="center"/>
          </w:tcPr>
          <w:p w14:paraId="07337CE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2.1</w:t>
            </w:r>
          </w:p>
        </w:tc>
        <w:tc>
          <w:tcPr>
            <w:tcW w:w="1554" w:type="dxa"/>
            <w:tcBorders>
              <w:tl2br w:val="nil"/>
              <w:tr2bl w:val="nil"/>
            </w:tcBorders>
            <w:noWrap w:val="0"/>
            <w:vAlign w:val="center"/>
          </w:tcPr>
          <w:p w14:paraId="5D6A449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0.25</w:t>
            </w:r>
          </w:p>
        </w:tc>
        <w:tc>
          <w:tcPr>
            <w:tcW w:w="1803" w:type="dxa"/>
            <w:tcBorders>
              <w:tl2br w:val="nil"/>
              <w:tr2bl w:val="nil"/>
            </w:tcBorders>
            <w:noWrap w:val="0"/>
            <w:vAlign w:val="center"/>
          </w:tcPr>
          <w:p w14:paraId="7E6AE0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8.4</w:t>
            </w:r>
          </w:p>
        </w:tc>
      </w:tr>
      <w:tr w14:paraId="6B834FA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47" w:type="dxa"/>
            <w:tcBorders>
              <w:tl2br w:val="nil"/>
              <w:tr2bl w:val="nil"/>
            </w:tcBorders>
            <w:noWrap w:val="0"/>
            <w:vAlign w:val="center"/>
          </w:tcPr>
          <w:p w14:paraId="720724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4</w:t>
            </w:r>
          </w:p>
        </w:tc>
        <w:tc>
          <w:tcPr>
            <w:tcW w:w="1581" w:type="dxa"/>
            <w:tcBorders>
              <w:tl2br w:val="nil"/>
              <w:tr2bl w:val="nil"/>
            </w:tcBorders>
            <w:noWrap w:val="0"/>
            <w:vAlign w:val="center"/>
          </w:tcPr>
          <w:p w14:paraId="07E941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sz w:val="21"/>
                <w:szCs w:val="21"/>
              </w:rPr>
              <w:t>液压油</w:t>
            </w:r>
          </w:p>
        </w:tc>
        <w:tc>
          <w:tcPr>
            <w:tcW w:w="1164" w:type="dxa"/>
            <w:tcBorders>
              <w:tl2br w:val="nil"/>
              <w:tr2bl w:val="nil"/>
            </w:tcBorders>
            <w:noWrap w:val="0"/>
            <w:vAlign w:val="center"/>
          </w:tcPr>
          <w:p w14:paraId="604098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w:t>
            </w:r>
          </w:p>
        </w:tc>
        <w:tc>
          <w:tcPr>
            <w:tcW w:w="1421" w:type="dxa"/>
            <w:tcBorders>
              <w:tl2br w:val="nil"/>
              <w:tr2bl w:val="nil"/>
            </w:tcBorders>
            <w:noWrap w:val="0"/>
            <w:vAlign w:val="center"/>
          </w:tcPr>
          <w:p w14:paraId="3CD643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0.4</w:t>
            </w:r>
          </w:p>
        </w:tc>
        <w:tc>
          <w:tcPr>
            <w:tcW w:w="1554" w:type="dxa"/>
            <w:tcBorders>
              <w:tl2br w:val="nil"/>
              <w:tr2bl w:val="nil"/>
            </w:tcBorders>
            <w:noWrap w:val="0"/>
            <w:vAlign w:val="center"/>
          </w:tcPr>
          <w:p w14:paraId="614987A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2500</w:t>
            </w:r>
          </w:p>
        </w:tc>
        <w:tc>
          <w:tcPr>
            <w:tcW w:w="1803" w:type="dxa"/>
            <w:tcBorders>
              <w:tl2br w:val="nil"/>
              <w:tr2bl w:val="nil"/>
            </w:tcBorders>
            <w:noWrap w:val="0"/>
            <w:vAlign w:val="center"/>
          </w:tcPr>
          <w:p w14:paraId="512054F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0.0002</w:t>
            </w:r>
          </w:p>
        </w:tc>
      </w:tr>
      <w:tr w14:paraId="2D51CAE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847" w:type="dxa"/>
            <w:tcBorders>
              <w:tl2br w:val="nil"/>
              <w:tr2bl w:val="nil"/>
            </w:tcBorders>
            <w:noWrap w:val="0"/>
            <w:vAlign w:val="center"/>
          </w:tcPr>
          <w:p w14:paraId="368F495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5</w:t>
            </w:r>
          </w:p>
        </w:tc>
        <w:tc>
          <w:tcPr>
            <w:tcW w:w="1581" w:type="dxa"/>
            <w:tcBorders>
              <w:tl2br w:val="nil"/>
              <w:tr2bl w:val="nil"/>
            </w:tcBorders>
            <w:noWrap w:val="0"/>
            <w:vAlign w:val="center"/>
          </w:tcPr>
          <w:p w14:paraId="7410E69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u w:val="none"/>
                <w:lang w:eastAsia="zh-CN"/>
              </w:rPr>
            </w:pPr>
            <w:r>
              <w:rPr>
                <w:rFonts w:hint="default" w:ascii="Times New Roman" w:hAnsi="Times New Roman" w:eastAsia="宋体" w:cs="Times New Roman"/>
                <w:sz w:val="21"/>
                <w:szCs w:val="21"/>
              </w:rPr>
              <w:t>硝酸铬</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以铬计</w:t>
            </w:r>
            <w:r>
              <w:rPr>
                <w:rFonts w:hint="default" w:ascii="Times New Roman" w:hAnsi="Times New Roman" w:eastAsia="宋体" w:cs="Times New Roman"/>
                <w:sz w:val="21"/>
                <w:szCs w:val="21"/>
                <w:lang w:eastAsia="zh-CN"/>
              </w:rPr>
              <w:t>）</w:t>
            </w:r>
          </w:p>
        </w:tc>
        <w:tc>
          <w:tcPr>
            <w:tcW w:w="1164" w:type="dxa"/>
            <w:tcBorders>
              <w:tl2br w:val="nil"/>
              <w:tr2bl w:val="nil"/>
            </w:tcBorders>
            <w:noWrap w:val="0"/>
            <w:vAlign w:val="center"/>
          </w:tcPr>
          <w:p w14:paraId="58E25FB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w:t>
            </w:r>
          </w:p>
        </w:tc>
        <w:tc>
          <w:tcPr>
            <w:tcW w:w="1421" w:type="dxa"/>
            <w:tcBorders>
              <w:tl2br w:val="nil"/>
              <w:tr2bl w:val="nil"/>
            </w:tcBorders>
            <w:noWrap w:val="0"/>
            <w:vAlign w:val="center"/>
          </w:tcPr>
          <w:p w14:paraId="28427D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4.5</w:t>
            </w:r>
          </w:p>
        </w:tc>
        <w:tc>
          <w:tcPr>
            <w:tcW w:w="1554" w:type="dxa"/>
            <w:tcBorders>
              <w:tl2br w:val="nil"/>
              <w:tr2bl w:val="nil"/>
            </w:tcBorders>
            <w:noWrap w:val="0"/>
            <w:vAlign w:val="center"/>
          </w:tcPr>
          <w:p w14:paraId="5DB47C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0.25</w:t>
            </w:r>
          </w:p>
        </w:tc>
        <w:tc>
          <w:tcPr>
            <w:tcW w:w="1803" w:type="dxa"/>
            <w:tcBorders>
              <w:tl2br w:val="nil"/>
              <w:tr2bl w:val="nil"/>
            </w:tcBorders>
            <w:noWrap w:val="0"/>
            <w:vAlign w:val="center"/>
          </w:tcPr>
          <w:p w14:paraId="5062D26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18</w:t>
            </w:r>
          </w:p>
        </w:tc>
      </w:tr>
      <w:tr w14:paraId="692E4AE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67" w:type="dxa"/>
            <w:gridSpan w:val="5"/>
            <w:tcBorders>
              <w:tl2br w:val="nil"/>
              <w:tr2bl w:val="nil"/>
            </w:tcBorders>
            <w:noWrap w:val="0"/>
            <w:vAlign w:val="center"/>
          </w:tcPr>
          <w:p w14:paraId="5C1CBDB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合计</w:t>
            </w:r>
          </w:p>
        </w:tc>
        <w:tc>
          <w:tcPr>
            <w:tcW w:w="1803" w:type="dxa"/>
            <w:tcBorders>
              <w:tl2br w:val="nil"/>
              <w:tr2bl w:val="nil"/>
            </w:tcBorders>
            <w:noWrap w:val="0"/>
            <w:vAlign w:val="center"/>
          </w:tcPr>
          <w:p w14:paraId="431A3AF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60.0802</w:t>
            </w:r>
          </w:p>
        </w:tc>
      </w:tr>
    </w:tbl>
    <w:p w14:paraId="45662202">
      <w:pPr>
        <w:keepNext w:val="0"/>
        <w:keepLines w:val="0"/>
        <w:pageBreakBefore w:val="0"/>
        <w:widowControl/>
        <w:numPr>
          <w:ilvl w:val="0"/>
          <w:numId w:val="0"/>
        </w:numPr>
        <w:tabs>
          <w:tab w:val="left" w:pos="719"/>
        </w:tabs>
        <w:kinsoku/>
        <w:wordWrap/>
        <w:overflowPunct/>
        <w:topLinePunct/>
        <w:autoSpaceDE/>
        <w:autoSpaceDN/>
        <w:bidi w:val="0"/>
        <w:adjustRightInd w:val="0"/>
        <w:snapToGrid w:val="0"/>
        <w:spacing w:line="500" w:lineRule="exact"/>
        <w:ind w:right="0" w:rightChars="0" w:firstLine="480" w:firstLineChars="200"/>
        <w:textAlignment w:val="auto"/>
        <w:outlineLvl w:val="9"/>
        <w:rPr>
          <w:rFonts w:hint="default" w:ascii="Times New Roman" w:hAnsi="Times New Roman" w:eastAsia="宋体" w:cs="Times New Roman"/>
          <w:b w:val="0"/>
          <w:bCs/>
          <w:sz w:val="24"/>
          <w:szCs w:val="22"/>
        </w:rPr>
      </w:pPr>
      <w:r>
        <w:rPr>
          <w:rFonts w:hint="default" w:ascii="Times New Roman" w:hAnsi="Times New Roman" w:eastAsia="宋体" w:cs="Times New Roman"/>
          <w:b w:val="0"/>
          <w:bCs/>
          <w:sz w:val="24"/>
          <w:szCs w:val="22"/>
        </w:rPr>
        <w:t>本项目Q=</w:t>
      </w:r>
      <w:r>
        <w:rPr>
          <w:rFonts w:hint="eastAsia" w:cs="Times New Roman"/>
          <w:b w:val="0"/>
          <w:bCs/>
          <w:sz w:val="24"/>
          <w:szCs w:val="22"/>
          <w:lang w:val="en-US" w:eastAsia="zh-CN"/>
        </w:rPr>
        <w:t>60.0802</w:t>
      </w:r>
      <w:r>
        <w:rPr>
          <w:rFonts w:hint="default" w:ascii="Times New Roman" w:hAnsi="Times New Roman" w:eastAsia="宋体" w:cs="Times New Roman"/>
          <w:b w:val="0"/>
          <w:bCs/>
          <w:sz w:val="24"/>
          <w:szCs w:val="22"/>
        </w:rPr>
        <w:t>，10≤Q&lt;100。</w:t>
      </w:r>
    </w:p>
    <w:p w14:paraId="1425612E">
      <w:pPr>
        <w:bidi w:val="0"/>
        <w:rPr>
          <w:rFonts w:hint="eastAsia"/>
          <w:b/>
          <w:bCs/>
          <w:lang w:eastAsia="zh-CN"/>
        </w:rPr>
      </w:pPr>
      <w:r>
        <w:rPr>
          <w:rFonts w:hint="eastAsia"/>
          <w:b/>
          <w:bCs/>
          <w:lang w:eastAsia="zh-CN"/>
        </w:rPr>
        <w:t>（</w:t>
      </w:r>
      <w:r>
        <w:rPr>
          <w:rFonts w:hint="eastAsia"/>
          <w:b/>
          <w:bCs/>
          <w:lang w:val="en-US" w:eastAsia="zh-CN"/>
        </w:rPr>
        <w:t>2</w:t>
      </w:r>
      <w:r>
        <w:rPr>
          <w:rFonts w:hint="eastAsia"/>
          <w:b/>
          <w:bCs/>
          <w:lang w:eastAsia="zh-CN"/>
        </w:rPr>
        <w:t>）行业及生产工艺M</w:t>
      </w:r>
    </w:p>
    <w:p w14:paraId="34C8DC0B">
      <w:pPr>
        <w:pStyle w:val="72"/>
        <w:rPr>
          <w:szCs w:val="24"/>
        </w:rPr>
      </w:pPr>
      <w:r>
        <w:rPr>
          <w:rFonts w:hint="eastAsia"/>
          <w:szCs w:val="24"/>
        </w:rPr>
        <w:t>根据</w:t>
      </w:r>
      <w:r>
        <w:rPr>
          <w:bCs/>
          <w:szCs w:val="24"/>
        </w:rPr>
        <w:t>《建设项目环境风险评价技术导则》（HJ/T169-20</w:t>
      </w:r>
      <w:r>
        <w:rPr>
          <w:rFonts w:hint="eastAsia"/>
          <w:bCs/>
          <w:szCs w:val="24"/>
        </w:rPr>
        <w:t>18</w:t>
      </w:r>
      <w:r>
        <w:rPr>
          <w:bCs/>
          <w:szCs w:val="24"/>
        </w:rPr>
        <w:t>）</w:t>
      </w:r>
      <w:r>
        <w:rPr>
          <w:rFonts w:hint="eastAsia"/>
          <w:bCs/>
          <w:szCs w:val="24"/>
        </w:rPr>
        <w:t>附录C中的</w:t>
      </w:r>
      <w:r>
        <w:rPr>
          <w:rFonts w:hint="eastAsia"/>
          <w:szCs w:val="24"/>
        </w:rPr>
        <w:t>C.1.2行业及生产工艺（M），本项目属于表C.1行业及生产工艺中其他，分值为5分，属于（4）M=5，用M4表示，具体见下表。</w:t>
      </w:r>
    </w:p>
    <w:p w14:paraId="1A1BBAF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6.2-2</w:t>
      </w:r>
      <w:r>
        <w:rPr>
          <w:rFonts w:hint="eastAsia"/>
        </w:rPr>
        <w:t xml:space="preserve">    行业及生产工艺（M）</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800"/>
        <w:gridCol w:w="4620"/>
        <w:gridCol w:w="1140"/>
        <w:gridCol w:w="867"/>
      </w:tblGrid>
      <w:tr w14:paraId="02CAEB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Align w:val="center"/>
          </w:tcPr>
          <w:p w14:paraId="34E0F83D">
            <w:pPr>
              <w:widowControl/>
              <w:spacing w:line="240" w:lineRule="auto"/>
              <w:ind w:firstLine="0" w:firstLineChars="0"/>
              <w:jc w:val="center"/>
              <w:rPr>
                <w:b/>
                <w:sz w:val="21"/>
                <w:szCs w:val="21"/>
              </w:rPr>
            </w:pPr>
            <w:r>
              <w:rPr>
                <w:rFonts w:hint="eastAsia"/>
                <w:b/>
                <w:sz w:val="21"/>
                <w:szCs w:val="21"/>
              </w:rPr>
              <w:t>行业</w:t>
            </w:r>
          </w:p>
        </w:tc>
        <w:tc>
          <w:tcPr>
            <w:tcW w:w="4620" w:type="dxa"/>
            <w:vAlign w:val="center"/>
          </w:tcPr>
          <w:p w14:paraId="35A019D2">
            <w:pPr>
              <w:widowControl/>
              <w:spacing w:line="240" w:lineRule="auto"/>
              <w:ind w:firstLine="0" w:firstLineChars="0"/>
              <w:jc w:val="center"/>
              <w:rPr>
                <w:b/>
                <w:sz w:val="21"/>
                <w:szCs w:val="21"/>
              </w:rPr>
            </w:pPr>
            <w:r>
              <w:rPr>
                <w:rFonts w:hint="eastAsia"/>
                <w:b/>
                <w:sz w:val="21"/>
                <w:szCs w:val="21"/>
              </w:rPr>
              <w:t>评估依据</w:t>
            </w:r>
          </w:p>
        </w:tc>
        <w:tc>
          <w:tcPr>
            <w:tcW w:w="1140" w:type="dxa"/>
            <w:vAlign w:val="center"/>
          </w:tcPr>
          <w:p w14:paraId="5A0B6913">
            <w:pPr>
              <w:widowControl/>
              <w:spacing w:line="240" w:lineRule="auto"/>
              <w:ind w:firstLine="0" w:firstLineChars="0"/>
              <w:jc w:val="center"/>
              <w:rPr>
                <w:b/>
                <w:sz w:val="21"/>
                <w:szCs w:val="21"/>
              </w:rPr>
            </w:pPr>
            <w:r>
              <w:rPr>
                <w:rFonts w:hint="eastAsia"/>
                <w:b/>
                <w:sz w:val="21"/>
                <w:szCs w:val="21"/>
              </w:rPr>
              <w:t>分值</w:t>
            </w:r>
          </w:p>
        </w:tc>
        <w:tc>
          <w:tcPr>
            <w:tcW w:w="867" w:type="dxa"/>
            <w:vAlign w:val="center"/>
          </w:tcPr>
          <w:p w14:paraId="08B72239">
            <w:pPr>
              <w:widowControl/>
              <w:spacing w:line="240" w:lineRule="auto"/>
              <w:ind w:firstLine="0" w:firstLineChars="0"/>
              <w:jc w:val="center"/>
              <w:rPr>
                <w:b/>
                <w:sz w:val="21"/>
                <w:szCs w:val="21"/>
              </w:rPr>
            </w:pPr>
            <w:r>
              <w:rPr>
                <w:rFonts w:hint="eastAsia"/>
                <w:b/>
                <w:sz w:val="21"/>
                <w:szCs w:val="21"/>
              </w:rPr>
              <w:t>本项目</w:t>
            </w:r>
          </w:p>
        </w:tc>
      </w:tr>
      <w:tr w14:paraId="70E9EE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Merge w:val="restart"/>
            <w:vAlign w:val="center"/>
          </w:tcPr>
          <w:p w14:paraId="3DB1A3F1">
            <w:pPr>
              <w:widowControl/>
              <w:spacing w:line="240" w:lineRule="auto"/>
              <w:ind w:firstLine="0" w:firstLineChars="0"/>
              <w:jc w:val="center"/>
              <w:rPr>
                <w:bCs/>
                <w:sz w:val="21"/>
                <w:szCs w:val="21"/>
              </w:rPr>
            </w:pPr>
            <w:r>
              <w:rPr>
                <w:rFonts w:hint="eastAsia"/>
                <w:bCs/>
                <w:sz w:val="21"/>
                <w:szCs w:val="21"/>
              </w:rPr>
              <w:t>石油、化工、医药、轻工、化纤、有色冶炼等</w:t>
            </w:r>
          </w:p>
        </w:tc>
        <w:tc>
          <w:tcPr>
            <w:tcW w:w="4620" w:type="dxa"/>
            <w:vAlign w:val="center"/>
          </w:tcPr>
          <w:p w14:paraId="62EB2C84">
            <w:pPr>
              <w:widowControl/>
              <w:spacing w:line="240" w:lineRule="auto"/>
              <w:ind w:firstLine="0" w:firstLineChars="0"/>
              <w:rPr>
                <w:bCs/>
                <w:sz w:val="21"/>
                <w:szCs w:val="21"/>
              </w:rPr>
            </w:pPr>
            <w:r>
              <w:rPr>
                <w:rFonts w:hint="eastAsia"/>
                <w:bCs/>
                <w:sz w:val="21"/>
                <w:szCs w:val="21"/>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1140" w:type="dxa"/>
            <w:vAlign w:val="center"/>
          </w:tcPr>
          <w:p w14:paraId="7317BE3C">
            <w:pPr>
              <w:widowControl/>
              <w:spacing w:line="240" w:lineRule="auto"/>
              <w:ind w:firstLine="0" w:firstLineChars="0"/>
              <w:jc w:val="center"/>
              <w:rPr>
                <w:bCs/>
                <w:sz w:val="21"/>
                <w:szCs w:val="21"/>
              </w:rPr>
            </w:pPr>
            <w:r>
              <w:rPr>
                <w:bCs/>
                <w:sz w:val="21"/>
                <w:szCs w:val="21"/>
              </w:rPr>
              <w:t>10/</w:t>
            </w:r>
            <w:r>
              <w:rPr>
                <w:rFonts w:hint="eastAsia"/>
                <w:bCs/>
                <w:sz w:val="21"/>
                <w:szCs w:val="21"/>
              </w:rPr>
              <w:t>套</w:t>
            </w:r>
          </w:p>
        </w:tc>
        <w:tc>
          <w:tcPr>
            <w:tcW w:w="867" w:type="dxa"/>
            <w:vMerge w:val="restart"/>
            <w:vAlign w:val="center"/>
          </w:tcPr>
          <w:p w14:paraId="05FC710E">
            <w:pPr>
              <w:widowControl/>
              <w:spacing w:line="240" w:lineRule="auto"/>
              <w:ind w:firstLine="0" w:firstLineChars="0"/>
              <w:jc w:val="center"/>
              <w:rPr>
                <w:bCs/>
                <w:sz w:val="21"/>
                <w:szCs w:val="21"/>
              </w:rPr>
            </w:pPr>
            <w:r>
              <w:rPr>
                <w:rFonts w:hint="eastAsia"/>
                <w:bCs/>
                <w:sz w:val="21"/>
                <w:szCs w:val="21"/>
              </w:rPr>
              <w:t>本项目属于涉及危险物质使用、贮存的项目，则M=5</w:t>
            </w:r>
          </w:p>
        </w:tc>
      </w:tr>
      <w:tr w14:paraId="739E02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Merge w:val="continue"/>
            <w:vAlign w:val="center"/>
          </w:tcPr>
          <w:p w14:paraId="596C6AFE">
            <w:pPr>
              <w:widowControl/>
              <w:adjustRightInd/>
              <w:snapToGrid/>
              <w:spacing w:line="240" w:lineRule="auto"/>
              <w:ind w:firstLine="0" w:firstLineChars="0"/>
              <w:jc w:val="left"/>
              <w:rPr>
                <w:bCs/>
                <w:sz w:val="21"/>
                <w:szCs w:val="21"/>
              </w:rPr>
            </w:pPr>
          </w:p>
        </w:tc>
        <w:tc>
          <w:tcPr>
            <w:tcW w:w="4620" w:type="dxa"/>
            <w:vAlign w:val="center"/>
          </w:tcPr>
          <w:p w14:paraId="2F51704F">
            <w:pPr>
              <w:widowControl/>
              <w:spacing w:line="240" w:lineRule="auto"/>
              <w:ind w:firstLine="0" w:firstLineChars="0"/>
              <w:rPr>
                <w:bCs/>
                <w:sz w:val="21"/>
                <w:szCs w:val="21"/>
              </w:rPr>
            </w:pPr>
            <w:r>
              <w:rPr>
                <w:rFonts w:hint="eastAsia"/>
                <w:bCs/>
                <w:sz w:val="21"/>
                <w:szCs w:val="21"/>
              </w:rPr>
              <w:t>无机酸只算工艺、焦化工艺</w:t>
            </w:r>
          </w:p>
        </w:tc>
        <w:tc>
          <w:tcPr>
            <w:tcW w:w="1140" w:type="dxa"/>
            <w:vAlign w:val="center"/>
          </w:tcPr>
          <w:p w14:paraId="624E5EF7">
            <w:pPr>
              <w:widowControl/>
              <w:spacing w:line="240" w:lineRule="auto"/>
              <w:ind w:firstLine="0" w:firstLineChars="0"/>
              <w:jc w:val="center"/>
              <w:rPr>
                <w:bCs/>
                <w:sz w:val="21"/>
                <w:szCs w:val="21"/>
              </w:rPr>
            </w:pPr>
            <w:r>
              <w:rPr>
                <w:bCs/>
                <w:sz w:val="21"/>
                <w:szCs w:val="21"/>
              </w:rPr>
              <w:t>5/</w:t>
            </w:r>
            <w:r>
              <w:rPr>
                <w:rFonts w:hint="eastAsia"/>
                <w:bCs/>
                <w:sz w:val="21"/>
                <w:szCs w:val="21"/>
              </w:rPr>
              <w:t>套</w:t>
            </w:r>
          </w:p>
        </w:tc>
        <w:tc>
          <w:tcPr>
            <w:tcW w:w="867" w:type="dxa"/>
            <w:vMerge w:val="continue"/>
            <w:vAlign w:val="center"/>
          </w:tcPr>
          <w:p w14:paraId="0566243A">
            <w:pPr>
              <w:widowControl/>
              <w:spacing w:line="240" w:lineRule="auto"/>
              <w:ind w:firstLine="0" w:firstLineChars="0"/>
              <w:jc w:val="center"/>
              <w:rPr>
                <w:bCs/>
                <w:sz w:val="21"/>
                <w:szCs w:val="21"/>
              </w:rPr>
            </w:pPr>
          </w:p>
        </w:tc>
      </w:tr>
      <w:tr w14:paraId="26392F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Merge w:val="continue"/>
            <w:vAlign w:val="center"/>
          </w:tcPr>
          <w:p w14:paraId="0FD38B86">
            <w:pPr>
              <w:widowControl/>
              <w:adjustRightInd/>
              <w:snapToGrid/>
              <w:spacing w:line="240" w:lineRule="auto"/>
              <w:ind w:firstLine="0" w:firstLineChars="0"/>
              <w:jc w:val="left"/>
              <w:rPr>
                <w:bCs/>
                <w:sz w:val="21"/>
                <w:szCs w:val="21"/>
              </w:rPr>
            </w:pPr>
          </w:p>
        </w:tc>
        <w:tc>
          <w:tcPr>
            <w:tcW w:w="4620" w:type="dxa"/>
            <w:vAlign w:val="center"/>
          </w:tcPr>
          <w:p w14:paraId="419C5A0A">
            <w:pPr>
              <w:widowControl/>
              <w:spacing w:line="240" w:lineRule="auto"/>
              <w:ind w:firstLine="0" w:firstLineChars="0"/>
              <w:rPr>
                <w:bCs/>
                <w:sz w:val="21"/>
                <w:szCs w:val="21"/>
              </w:rPr>
            </w:pPr>
            <w:r>
              <w:rPr>
                <w:rFonts w:hint="eastAsia"/>
                <w:bCs/>
                <w:sz w:val="21"/>
                <w:szCs w:val="21"/>
              </w:rPr>
              <w:t>其他高温或高压，且涉及危险物质的工艺过程</w:t>
            </w:r>
            <w:r>
              <w:rPr>
                <w:rFonts w:hint="eastAsia"/>
                <w:bCs/>
                <w:sz w:val="21"/>
                <w:szCs w:val="21"/>
                <w:vertAlign w:val="superscript"/>
              </w:rPr>
              <w:t>a</w:t>
            </w:r>
            <w:r>
              <w:rPr>
                <w:rFonts w:hint="eastAsia"/>
                <w:bCs/>
                <w:sz w:val="21"/>
                <w:szCs w:val="21"/>
              </w:rPr>
              <w:t>、危险物质贮存罐区</w:t>
            </w:r>
          </w:p>
        </w:tc>
        <w:tc>
          <w:tcPr>
            <w:tcW w:w="1140" w:type="dxa"/>
            <w:vAlign w:val="center"/>
          </w:tcPr>
          <w:p w14:paraId="2636FA9D">
            <w:pPr>
              <w:widowControl/>
              <w:spacing w:line="240" w:lineRule="auto"/>
              <w:ind w:firstLine="0" w:firstLineChars="0"/>
              <w:jc w:val="center"/>
              <w:rPr>
                <w:bCs/>
                <w:sz w:val="21"/>
                <w:szCs w:val="21"/>
              </w:rPr>
            </w:pPr>
            <w:r>
              <w:rPr>
                <w:bCs/>
                <w:sz w:val="21"/>
                <w:szCs w:val="21"/>
              </w:rPr>
              <w:t>5/</w:t>
            </w:r>
            <w:r>
              <w:rPr>
                <w:rFonts w:hint="eastAsia"/>
                <w:bCs/>
                <w:sz w:val="21"/>
                <w:szCs w:val="21"/>
              </w:rPr>
              <w:t>套（罐区）</w:t>
            </w:r>
          </w:p>
        </w:tc>
        <w:tc>
          <w:tcPr>
            <w:tcW w:w="867" w:type="dxa"/>
            <w:vMerge w:val="continue"/>
            <w:vAlign w:val="center"/>
          </w:tcPr>
          <w:p w14:paraId="20FE1F1A">
            <w:pPr>
              <w:widowControl/>
              <w:spacing w:line="240" w:lineRule="auto"/>
              <w:ind w:firstLine="0" w:firstLineChars="0"/>
              <w:jc w:val="center"/>
              <w:rPr>
                <w:bCs/>
                <w:sz w:val="21"/>
                <w:szCs w:val="21"/>
              </w:rPr>
            </w:pPr>
          </w:p>
        </w:tc>
      </w:tr>
      <w:tr w14:paraId="0E1E81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Align w:val="center"/>
          </w:tcPr>
          <w:p w14:paraId="7AE8D27A">
            <w:pPr>
              <w:widowControl/>
              <w:spacing w:line="240" w:lineRule="auto"/>
              <w:ind w:firstLine="0" w:firstLineChars="0"/>
              <w:jc w:val="center"/>
              <w:rPr>
                <w:bCs/>
                <w:sz w:val="21"/>
                <w:szCs w:val="21"/>
              </w:rPr>
            </w:pPr>
            <w:r>
              <w:rPr>
                <w:rFonts w:hint="eastAsia"/>
                <w:bCs/>
                <w:sz w:val="21"/>
                <w:szCs w:val="21"/>
              </w:rPr>
              <w:t>管道、港口</w:t>
            </w:r>
            <w:r>
              <w:rPr>
                <w:bCs/>
                <w:sz w:val="21"/>
                <w:szCs w:val="21"/>
              </w:rPr>
              <w:t>/</w:t>
            </w:r>
            <w:r>
              <w:rPr>
                <w:rFonts w:hint="eastAsia"/>
                <w:bCs/>
                <w:sz w:val="21"/>
                <w:szCs w:val="21"/>
              </w:rPr>
              <w:t>码头等</w:t>
            </w:r>
          </w:p>
        </w:tc>
        <w:tc>
          <w:tcPr>
            <w:tcW w:w="4620" w:type="dxa"/>
            <w:vAlign w:val="center"/>
          </w:tcPr>
          <w:p w14:paraId="50DF7F57">
            <w:pPr>
              <w:widowControl/>
              <w:spacing w:line="240" w:lineRule="auto"/>
              <w:ind w:firstLine="0" w:firstLineChars="0"/>
              <w:rPr>
                <w:bCs/>
                <w:sz w:val="21"/>
                <w:szCs w:val="21"/>
              </w:rPr>
            </w:pPr>
            <w:r>
              <w:rPr>
                <w:rFonts w:hint="eastAsia"/>
                <w:bCs/>
                <w:sz w:val="21"/>
                <w:szCs w:val="21"/>
              </w:rPr>
              <w:t>涉及危险物质管道运输项目、港口</w:t>
            </w:r>
            <w:r>
              <w:rPr>
                <w:bCs/>
                <w:sz w:val="21"/>
                <w:szCs w:val="21"/>
              </w:rPr>
              <w:t>/</w:t>
            </w:r>
            <w:r>
              <w:rPr>
                <w:rFonts w:hint="eastAsia"/>
                <w:bCs/>
                <w:sz w:val="21"/>
                <w:szCs w:val="21"/>
              </w:rPr>
              <w:t>码头等</w:t>
            </w:r>
          </w:p>
        </w:tc>
        <w:tc>
          <w:tcPr>
            <w:tcW w:w="1140" w:type="dxa"/>
            <w:vAlign w:val="center"/>
          </w:tcPr>
          <w:p w14:paraId="29251189">
            <w:pPr>
              <w:widowControl/>
              <w:spacing w:line="240" w:lineRule="auto"/>
              <w:ind w:firstLine="0" w:firstLineChars="0"/>
              <w:jc w:val="center"/>
              <w:rPr>
                <w:bCs/>
                <w:sz w:val="21"/>
                <w:szCs w:val="21"/>
              </w:rPr>
            </w:pPr>
            <w:r>
              <w:rPr>
                <w:bCs/>
                <w:sz w:val="21"/>
                <w:szCs w:val="21"/>
              </w:rPr>
              <w:t>10</w:t>
            </w:r>
          </w:p>
        </w:tc>
        <w:tc>
          <w:tcPr>
            <w:tcW w:w="867" w:type="dxa"/>
            <w:vMerge w:val="continue"/>
            <w:vAlign w:val="center"/>
          </w:tcPr>
          <w:p w14:paraId="0EEE1EDB">
            <w:pPr>
              <w:widowControl/>
              <w:spacing w:line="240" w:lineRule="auto"/>
              <w:ind w:firstLine="0" w:firstLineChars="0"/>
              <w:jc w:val="center"/>
              <w:rPr>
                <w:bCs/>
                <w:sz w:val="21"/>
                <w:szCs w:val="21"/>
              </w:rPr>
            </w:pPr>
          </w:p>
        </w:tc>
      </w:tr>
      <w:tr w14:paraId="53F95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Align w:val="center"/>
          </w:tcPr>
          <w:p w14:paraId="436BFE33">
            <w:pPr>
              <w:widowControl/>
              <w:spacing w:line="240" w:lineRule="auto"/>
              <w:ind w:firstLine="0" w:firstLineChars="0"/>
              <w:jc w:val="center"/>
              <w:rPr>
                <w:bCs/>
                <w:sz w:val="21"/>
                <w:szCs w:val="21"/>
              </w:rPr>
            </w:pPr>
            <w:r>
              <w:rPr>
                <w:rFonts w:hint="eastAsia"/>
                <w:bCs/>
                <w:sz w:val="21"/>
                <w:szCs w:val="21"/>
              </w:rPr>
              <w:t>石油天然气</w:t>
            </w:r>
          </w:p>
        </w:tc>
        <w:tc>
          <w:tcPr>
            <w:tcW w:w="4620" w:type="dxa"/>
            <w:vAlign w:val="center"/>
          </w:tcPr>
          <w:p w14:paraId="2103C9D7">
            <w:pPr>
              <w:widowControl/>
              <w:spacing w:line="240" w:lineRule="auto"/>
              <w:ind w:firstLine="0" w:firstLineChars="0"/>
              <w:rPr>
                <w:bCs/>
                <w:sz w:val="21"/>
                <w:szCs w:val="21"/>
              </w:rPr>
            </w:pPr>
            <w:r>
              <w:rPr>
                <w:rFonts w:hint="eastAsia"/>
                <w:bCs/>
                <w:sz w:val="21"/>
                <w:szCs w:val="21"/>
              </w:rPr>
              <w:t>石油、天然气、页岩气开采（含净化），气库（不含加气站的气库），油库（不含加气站的油库）、油气管线</w:t>
            </w:r>
            <w:r>
              <w:rPr>
                <w:bCs/>
                <w:sz w:val="21"/>
                <w:szCs w:val="21"/>
                <w:vertAlign w:val="superscript"/>
              </w:rPr>
              <w:t>b</w:t>
            </w:r>
            <w:r>
              <w:rPr>
                <w:rFonts w:hint="eastAsia"/>
                <w:bCs/>
                <w:sz w:val="21"/>
                <w:szCs w:val="21"/>
              </w:rPr>
              <w:t>（不含城镇燃气管线）</w:t>
            </w:r>
          </w:p>
        </w:tc>
        <w:tc>
          <w:tcPr>
            <w:tcW w:w="1140" w:type="dxa"/>
            <w:vAlign w:val="center"/>
          </w:tcPr>
          <w:p w14:paraId="2962F262">
            <w:pPr>
              <w:widowControl/>
              <w:spacing w:line="240" w:lineRule="auto"/>
              <w:ind w:firstLine="0" w:firstLineChars="0"/>
              <w:jc w:val="center"/>
              <w:rPr>
                <w:bCs/>
                <w:sz w:val="21"/>
                <w:szCs w:val="21"/>
              </w:rPr>
            </w:pPr>
            <w:r>
              <w:rPr>
                <w:bCs/>
                <w:sz w:val="21"/>
                <w:szCs w:val="21"/>
              </w:rPr>
              <w:t>10</w:t>
            </w:r>
          </w:p>
        </w:tc>
        <w:tc>
          <w:tcPr>
            <w:tcW w:w="867" w:type="dxa"/>
            <w:vMerge w:val="continue"/>
            <w:vAlign w:val="center"/>
          </w:tcPr>
          <w:p w14:paraId="222958B0">
            <w:pPr>
              <w:widowControl/>
              <w:spacing w:line="240" w:lineRule="auto"/>
              <w:ind w:firstLine="0" w:firstLineChars="0"/>
              <w:jc w:val="center"/>
              <w:rPr>
                <w:bCs/>
                <w:sz w:val="21"/>
                <w:szCs w:val="21"/>
              </w:rPr>
            </w:pPr>
          </w:p>
        </w:tc>
      </w:tr>
      <w:tr w14:paraId="7A7E6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800" w:type="dxa"/>
            <w:vAlign w:val="center"/>
          </w:tcPr>
          <w:p w14:paraId="1EE6603E">
            <w:pPr>
              <w:widowControl/>
              <w:spacing w:line="240" w:lineRule="auto"/>
              <w:ind w:firstLine="0" w:firstLineChars="0"/>
              <w:jc w:val="center"/>
              <w:rPr>
                <w:bCs/>
                <w:sz w:val="21"/>
                <w:szCs w:val="21"/>
              </w:rPr>
            </w:pPr>
            <w:r>
              <w:rPr>
                <w:rFonts w:hint="eastAsia"/>
                <w:bCs/>
                <w:sz w:val="21"/>
                <w:szCs w:val="21"/>
              </w:rPr>
              <w:t>其他</w:t>
            </w:r>
          </w:p>
        </w:tc>
        <w:tc>
          <w:tcPr>
            <w:tcW w:w="4620" w:type="dxa"/>
            <w:vAlign w:val="center"/>
          </w:tcPr>
          <w:p w14:paraId="0706DB61">
            <w:pPr>
              <w:widowControl/>
              <w:spacing w:line="240" w:lineRule="auto"/>
              <w:ind w:firstLine="0" w:firstLineChars="0"/>
              <w:rPr>
                <w:bCs/>
                <w:sz w:val="21"/>
                <w:szCs w:val="21"/>
              </w:rPr>
            </w:pPr>
            <w:r>
              <w:rPr>
                <w:rFonts w:hint="eastAsia"/>
                <w:bCs/>
                <w:sz w:val="21"/>
                <w:szCs w:val="21"/>
              </w:rPr>
              <w:t>涉及危险物质使用、贮存的项目</w:t>
            </w:r>
          </w:p>
        </w:tc>
        <w:tc>
          <w:tcPr>
            <w:tcW w:w="1140" w:type="dxa"/>
            <w:vAlign w:val="center"/>
          </w:tcPr>
          <w:p w14:paraId="2D1ADC33">
            <w:pPr>
              <w:widowControl/>
              <w:spacing w:line="240" w:lineRule="auto"/>
              <w:ind w:firstLine="0" w:firstLineChars="0"/>
              <w:jc w:val="center"/>
              <w:rPr>
                <w:bCs/>
                <w:sz w:val="21"/>
                <w:szCs w:val="21"/>
              </w:rPr>
            </w:pPr>
            <w:r>
              <w:rPr>
                <w:bCs/>
                <w:sz w:val="21"/>
                <w:szCs w:val="21"/>
              </w:rPr>
              <w:t>5</w:t>
            </w:r>
          </w:p>
        </w:tc>
        <w:tc>
          <w:tcPr>
            <w:tcW w:w="867" w:type="dxa"/>
            <w:vMerge w:val="continue"/>
            <w:vAlign w:val="center"/>
          </w:tcPr>
          <w:p w14:paraId="46E7A3A9">
            <w:pPr>
              <w:widowControl/>
              <w:spacing w:line="240" w:lineRule="auto"/>
              <w:ind w:firstLine="0" w:firstLineChars="0"/>
              <w:jc w:val="center"/>
              <w:rPr>
                <w:bCs/>
                <w:sz w:val="21"/>
                <w:szCs w:val="21"/>
              </w:rPr>
            </w:pPr>
          </w:p>
        </w:tc>
      </w:tr>
      <w:tr w14:paraId="67C735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7560" w:type="dxa"/>
            <w:gridSpan w:val="3"/>
            <w:vAlign w:val="center"/>
          </w:tcPr>
          <w:p w14:paraId="5D509A80">
            <w:pPr>
              <w:widowControl/>
              <w:spacing w:line="240" w:lineRule="auto"/>
              <w:ind w:firstLine="0" w:firstLineChars="0"/>
              <w:rPr>
                <w:bCs/>
                <w:sz w:val="21"/>
                <w:szCs w:val="21"/>
              </w:rPr>
            </w:pPr>
            <w:r>
              <w:rPr>
                <w:bCs/>
                <w:sz w:val="21"/>
                <w:szCs w:val="21"/>
                <w:vertAlign w:val="superscript"/>
              </w:rPr>
              <w:t>a</w:t>
            </w:r>
            <w:r>
              <w:rPr>
                <w:bCs/>
                <w:sz w:val="21"/>
                <w:szCs w:val="21"/>
              </w:rPr>
              <w:t>高温指工艺温度≥300℃，高压指压力容器的设计压力（P）≥10.0Mpa；</w:t>
            </w:r>
          </w:p>
          <w:p w14:paraId="78441ADB">
            <w:pPr>
              <w:widowControl/>
              <w:spacing w:line="240" w:lineRule="auto"/>
              <w:ind w:firstLine="0" w:firstLineChars="0"/>
              <w:rPr>
                <w:bCs/>
                <w:sz w:val="21"/>
                <w:szCs w:val="21"/>
              </w:rPr>
            </w:pPr>
            <w:r>
              <w:rPr>
                <w:bCs/>
                <w:sz w:val="21"/>
                <w:szCs w:val="21"/>
                <w:vertAlign w:val="superscript"/>
              </w:rPr>
              <w:t>b</w:t>
            </w:r>
            <w:r>
              <w:rPr>
                <w:bCs/>
                <w:sz w:val="21"/>
                <w:szCs w:val="21"/>
              </w:rPr>
              <w:t>长输管道运输项目应按站场、管线分段评价</w:t>
            </w:r>
          </w:p>
        </w:tc>
        <w:tc>
          <w:tcPr>
            <w:tcW w:w="867" w:type="dxa"/>
            <w:vAlign w:val="center"/>
          </w:tcPr>
          <w:p w14:paraId="6F67DD00">
            <w:pPr>
              <w:widowControl/>
              <w:spacing w:line="240" w:lineRule="auto"/>
              <w:ind w:firstLine="0" w:firstLineChars="0"/>
              <w:jc w:val="center"/>
              <w:rPr>
                <w:bCs/>
                <w:sz w:val="21"/>
                <w:szCs w:val="21"/>
                <w:vertAlign w:val="superscript"/>
              </w:rPr>
            </w:pPr>
            <w:r>
              <w:rPr>
                <w:rFonts w:hint="eastAsia"/>
                <w:bCs/>
                <w:sz w:val="21"/>
                <w:szCs w:val="21"/>
                <w:vertAlign w:val="superscript"/>
              </w:rPr>
              <w:t>/</w:t>
            </w:r>
          </w:p>
        </w:tc>
      </w:tr>
    </w:tbl>
    <w:p w14:paraId="7E9FA33A">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由上表可知，本项目属于其他类，涉及危险物质使用、贮存的项目</w:t>
      </w:r>
      <w:r>
        <w:rPr>
          <w:rFonts w:hint="default" w:ascii="Times New Roman" w:hAnsi="Times New Roman" w:cs="Times New Roman"/>
          <w:sz w:val="24"/>
          <w:szCs w:val="24"/>
          <w:lang w:eastAsia="zh-CN"/>
        </w:rPr>
        <w:t>，</w:t>
      </w:r>
      <w:r>
        <w:rPr>
          <w:rFonts w:hint="default" w:ascii="Times New Roman" w:hAnsi="Times New Roman" w:cs="Times New Roman"/>
          <w:sz w:val="24"/>
          <w:szCs w:val="24"/>
        </w:rPr>
        <w:t>判定本项目</w:t>
      </w:r>
      <w:r>
        <w:rPr>
          <w:rFonts w:hint="default" w:ascii="Times New Roman" w:hAnsi="Times New Roman" w:eastAsia="Times New Roman" w:cs="Times New Roman"/>
          <w:sz w:val="24"/>
          <w:szCs w:val="24"/>
        </w:rPr>
        <w:t>M</w:t>
      </w:r>
      <w:r>
        <w:rPr>
          <w:rFonts w:hint="default" w:ascii="Times New Roman" w:hAnsi="Times New Roman" w:cs="Times New Roman"/>
          <w:sz w:val="24"/>
          <w:szCs w:val="24"/>
        </w:rPr>
        <w:t>值为</w:t>
      </w:r>
      <w:r>
        <w:rPr>
          <w:rFonts w:hint="default" w:ascii="Times New Roman" w:hAnsi="Times New Roman" w:eastAsia="Times New Roman" w:cs="Times New Roman"/>
          <w:sz w:val="24"/>
          <w:szCs w:val="24"/>
        </w:rPr>
        <w:t>5</w:t>
      </w:r>
      <w:r>
        <w:rPr>
          <w:rFonts w:hint="default" w:ascii="Times New Roman" w:hAnsi="Times New Roman" w:cs="Times New Roman"/>
          <w:sz w:val="24"/>
          <w:szCs w:val="24"/>
        </w:rPr>
        <w:t>，用</w:t>
      </w:r>
      <w:r>
        <w:rPr>
          <w:rFonts w:hint="default" w:ascii="Times New Roman" w:hAnsi="Times New Roman" w:eastAsia="Times New Roman" w:cs="Times New Roman"/>
          <w:sz w:val="24"/>
          <w:szCs w:val="24"/>
        </w:rPr>
        <w:t>M4</w:t>
      </w:r>
      <w:r>
        <w:rPr>
          <w:rFonts w:hint="default" w:ascii="Times New Roman" w:hAnsi="Times New Roman" w:cs="Times New Roman"/>
          <w:sz w:val="24"/>
          <w:szCs w:val="24"/>
        </w:rPr>
        <w:t>表示。</w:t>
      </w:r>
    </w:p>
    <w:p w14:paraId="21511447">
      <w:pPr>
        <w:keepNext w:val="0"/>
        <w:keepLines w:val="0"/>
        <w:pageBreakBefore w:val="0"/>
        <w:kinsoku/>
        <w:wordWrap/>
        <w:overflowPunct/>
        <w:autoSpaceDN/>
        <w:bidi w:val="0"/>
        <w:adjustRightInd w:val="0"/>
        <w:snapToGrid w:val="0"/>
        <w:spacing w:line="520" w:lineRule="exact"/>
        <w:rPr>
          <w:rFonts w:hint="eastAsia"/>
          <w:b/>
          <w:bCs/>
          <w:lang w:eastAsia="zh-CN"/>
        </w:rPr>
      </w:pPr>
      <w:r>
        <w:rPr>
          <w:rFonts w:hint="eastAsia"/>
          <w:b/>
          <w:bCs/>
          <w:lang w:eastAsia="zh-CN"/>
        </w:rPr>
        <w:t>（</w:t>
      </w:r>
      <w:r>
        <w:rPr>
          <w:rFonts w:hint="eastAsia"/>
          <w:b/>
          <w:bCs/>
          <w:lang w:val="en-US" w:eastAsia="zh-CN"/>
        </w:rPr>
        <w:t>3</w:t>
      </w:r>
      <w:r>
        <w:rPr>
          <w:rFonts w:hint="eastAsia"/>
          <w:b/>
          <w:bCs/>
          <w:lang w:eastAsia="zh-CN"/>
        </w:rPr>
        <w:t>）危险物质及工艺系统危险性P</w:t>
      </w:r>
    </w:p>
    <w:p w14:paraId="7CBE9493">
      <w:pPr>
        <w:keepNext w:val="0"/>
        <w:keepLines w:val="0"/>
        <w:pageBreakBefore w:val="0"/>
        <w:kinsoku/>
        <w:wordWrap/>
        <w:overflowPunct/>
        <w:autoSpaceDN/>
        <w:bidi w:val="0"/>
        <w:adjustRightInd w:val="0"/>
        <w:snapToGrid w:val="0"/>
        <w:spacing w:line="520" w:lineRule="exact"/>
        <w:ind w:firstLine="480"/>
      </w:pPr>
      <w:r>
        <w:rPr>
          <w:rFonts w:hint="eastAsia"/>
        </w:rPr>
        <w:t>根据Q和M，按照《建设项目环境风险评价技术导则》（</w:t>
      </w:r>
      <w:r>
        <w:t>HJ/T169-2018</w:t>
      </w:r>
      <w:r>
        <w:rPr>
          <w:rFonts w:hint="eastAsia"/>
        </w:rPr>
        <w:t>）附录C中表C.2确定危险物质及工艺系统危险性等级（P），分别以P1、P2、P3、P4表示。</w:t>
      </w:r>
    </w:p>
    <w:p w14:paraId="5DC498C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表6</w:t>
      </w:r>
      <w:r>
        <w:rPr>
          <w:rFonts w:hint="eastAsia"/>
          <w:lang w:val="en-US" w:eastAsia="zh-CN"/>
        </w:rPr>
        <w:t>.2-3</w:t>
      </w:r>
      <w:r>
        <w:rPr>
          <w:rFonts w:hint="eastAsia"/>
        </w:rPr>
        <w:t xml:space="preserve">    危险物质及工艺系统危险性等级判断（P）</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1559"/>
        <w:gridCol w:w="1560"/>
        <w:gridCol w:w="1560"/>
        <w:gridCol w:w="1618"/>
      </w:tblGrid>
      <w:tr w14:paraId="25281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dxa"/>
            <w:vMerge w:val="restart"/>
            <w:vAlign w:val="center"/>
          </w:tcPr>
          <w:p w14:paraId="5A25A86A">
            <w:pPr>
              <w:widowControl/>
              <w:spacing w:line="240" w:lineRule="auto"/>
              <w:ind w:firstLine="0" w:firstLineChars="0"/>
              <w:jc w:val="center"/>
              <w:rPr>
                <w:b/>
                <w:sz w:val="21"/>
                <w:szCs w:val="21"/>
              </w:rPr>
            </w:pPr>
            <w:r>
              <w:rPr>
                <w:b/>
                <w:sz w:val="21"/>
                <w:szCs w:val="21"/>
              </w:rPr>
              <w:t>危险物质数量与临界值比值（Q）</w:t>
            </w:r>
          </w:p>
        </w:tc>
        <w:tc>
          <w:tcPr>
            <w:tcW w:w="6294" w:type="dxa"/>
            <w:gridSpan w:val="4"/>
            <w:vAlign w:val="center"/>
          </w:tcPr>
          <w:p w14:paraId="71BAC518">
            <w:pPr>
              <w:widowControl/>
              <w:spacing w:line="240" w:lineRule="auto"/>
              <w:ind w:firstLine="0" w:firstLineChars="0"/>
              <w:jc w:val="center"/>
              <w:rPr>
                <w:b/>
                <w:sz w:val="21"/>
                <w:szCs w:val="21"/>
              </w:rPr>
            </w:pPr>
            <w:r>
              <w:rPr>
                <w:b/>
                <w:sz w:val="21"/>
                <w:szCs w:val="21"/>
              </w:rPr>
              <w:t>行业及生产工艺（M）</w:t>
            </w:r>
          </w:p>
        </w:tc>
      </w:tr>
      <w:tr w14:paraId="2CF680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dxa"/>
            <w:vMerge w:val="continue"/>
            <w:vAlign w:val="center"/>
          </w:tcPr>
          <w:p w14:paraId="0E958EAA">
            <w:pPr>
              <w:widowControl/>
              <w:spacing w:line="240" w:lineRule="auto"/>
              <w:ind w:firstLine="0" w:firstLineChars="0"/>
              <w:jc w:val="center"/>
              <w:rPr>
                <w:b/>
                <w:sz w:val="21"/>
                <w:szCs w:val="21"/>
              </w:rPr>
            </w:pPr>
          </w:p>
        </w:tc>
        <w:tc>
          <w:tcPr>
            <w:tcW w:w="1559" w:type="dxa"/>
            <w:vAlign w:val="center"/>
          </w:tcPr>
          <w:p w14:paraId="1A8EBB5E">
            <w:pPr>
              <w:spacing w:line="240" w:lineRule="auto"/>
              <w:ind w:firstLine="0" w:firstLineChars="0"/>
              <w:jc w:val="center"/>
              <w:rPr>
                <w:rFonts w:cs="宋体" w:eastAsiaTheme="minorEastAsia"/>
                <w:b/>
                <w:kern w:val="2"/>
                <w:sz w:val="21"/>
                <w:szCs w:val="21"/>
              </w:rPr>
            </w:pPr>
            <w:r>
              <w:rPr>
                <w:rFonts w:hint="eastAsia" w:cs="宋体" w:eastAsiaTheme="minorEastAsia"/>
                <w:b/>
                <w:kern w:val="2"/>
                <w:sz w:val="21"/>
                <w:szCs w:val="21"/>
              </w:rPr>
              <w:t>M1</w:t>
            </w:r>
          </w:p>
        </w:tc>
        <w:tc>
          <w:tcPr>
            <w:tcW w:w="1559" w:type="dxa"/>
            <w:vAlign w:val="center"/>
          </w:tcPr>
          <w:p w14:paraId="70B6D40C">
            <w:pPr>
              <w:widowControl/>
              <w:spacing w:line="240" w:lineRule="auto"/>
              <w:ind w:firstLine="0" w:firstLineChars="0"/>
              <w:jc w:val="center"/>
              <w:rPr>
                <w:b/>
                <w:sz w:val="21"/>
                <w:szCs w:val="21"/>
              </w:rPr>
            </w:pPr>
            <w:r>
              <w:rPr>
                <w:rFonts w:hint="eastAsia"/>
                <w:b/>
                <w:sz w:val="21"/>
                <w:szCs w:val="21"/>
              </w:rPr>
              <w:t>M2</w:t>
            </w:r>
          </w:p>
        </w:tc>
        <w:tc>
          <w:tcPr>
            <w:tcW w:w="1559" w:type="dxa"/>
            <w:vAlign w:val="center"/>
          </w:tcPr>
          <w:p w14:paraId="30F1B477">
            <w:pPr>
              <w:widowControl/>
              <w:spacing w:line="240" w:lineRule="auto"/>
              <w:ind w:firstLine="0" w:firstLineChars="0"/>
              <w:jc w:val="center"/>
              <w:rPr>
                <w:b/>
                <w:sz w:val="21"/>
                <w:szCs w:val="21"/>
              </w:rPr>
            </w:pPr>
            <w:r>
              <w:rPr>
                <w:rFonts w:hint="eastAsia"/>
                <w:b/>
                <w:sz w:val="21"/>
                <w:szCs w:val="21"/>
              </w:rPr>
              <w:t>M3</w:t>
            </w:r>
          </w:p>
        </w:tc>
        <w:tc>
          <w:tcPr>
            <w:tcW w:w="1617" w:type="dxa"/>
            <w:vAlign w:val="center"/>
          </w:tcPr>
          <w:p w14:paraId="43A5067B">
            <w:pPr>
              <w:widowControl/>
              <w:spacing w:line="240" w:lineRule="auto"/>
              <w:ind w:firstLine="0" w:firstLineChars="0"/>
              <w:jc w:val="center"/>
              <w:rPr>
                <w:b/>
                <w:sz w:val="21"/>
                <w:szCs w:val="21"/>
              </w:rPr>
            </w:pPr>
            <w:r>
              <w:rPr>
                <w:rFonts w:hint="eastAsia"/>
                <w:b/>
                <w:sz w:val="21"/>
                <w:szCs w:val="21"/>
              </w:rPr>
              <w:t>M4</w:t>
            </w:r>
          </w:p>
        </w:tc>
      </w:tr>
      <w:tr w14:paraId="0013D0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dxa"/>
            <w:vAlign w:val="center"/>
          </w:tcPr>
          <w:p w14:paraId="07BD5261">
            <w:pPr>
              <w:widowControl/>
              <w:spacing w:line="240" w:lineRule="auto"/>
              <w:ind w:firstLine="0" w:firstLineChars="0"/>
              <w:jc w:val="center"/>
              <w:rPr>
                <w:bCs/>
                <w:sz w:val="21"/>
                <w:szCs w:val="21"/>
              </w:rPr>
            </w:pPr>
            <w:r>
              <w:rPr>
                <w:bCs/>
                <w:sz w:val="21"/>
                <w:szCs w:val="21"/>
              </w:rPr>
              <w:t>Q≥100</w:t>
            </w:r>
          </w:p>
        </w:tc>
        <w:tc>
          <w:tcPr>
            <w:tcW w:w="1559" w:type="dxa"/>
            <w:vAlign w:val="center"/>
          </w:tcPr>
          <w:p w14:paraId="050E08E4">
            <w:pPr>
              <w:spacing w:line="240" w:lineRule="auto"/>
              <w:ind w:firstLine="0" w:firstLineChars="0"/>
              <w:jc w:val="center"/>
              <w:rPr>
                <w:bCs/>
                <w:sz w:val="21"/>
                <w:szCs w:val="21"/>
              </w:rPr>
            </w:pPr>
            <w:r>
              <w:rPr>
                <w:rFonts w:hint="eastAsia"/>
                <w:bCs/>
                <w:sz w:val="21"/>
                <w:szCs w:val="21"/>
              </w:rPr>
              <w:t>P1</w:t>
            </w:r>
          </w:p>
        </w:tc>
        <w:tc>
          <w:tcPr>
            <w:tcW w:w="1559" w:type="dxa"/>
            <w:vAlign w:val="center"/>
          </w:tcPr>
          <w:p w14:paraId="0677C868">
            <w:pPr>
              <w:widowControl/>
              <w:spacing w:line="240" w:lineRule="auto"/>
              <w:ind w:firstLine="0" w:firstLineChars="0"/>
              <w:jc w:val="center"/>
              <w:rPr>
                <w:bCs/>
                <w:sz w:val="21"/>
                <w:szCs w:val="21"/>
              </w:rPr>
            </w:pPr>
            <w:r>
              <w:rPr>
                <w:rFonts w:hint="eastAsia"/>
                <w:bCs/>
                <w:sz w:val="21"/>
                <w:szCs w:val="21"/>
              </w:rPr>
              <w:t>P1</w:t>
            </w:r>
          </w:p>
        </w:tc>
        <w:tc>
          <w:tcPr>
            <w:tcW w:w="1559" w:type="dxa"/>
            <w:vAlign w:val="center"/>
          </w:tcPr>
          <w:p w14:paraId="3C4FEC63">
            <w:pPr>
              <w:widowControl/>
              <w:spacing w:line="240" w:lineRule="auto"/>
              <w:ind w:firstLine="0" w:firstLineChars="0"/>
              <w:jc w:val="center"/>
              <w:rPr>
                <w:bCs/>
                <w:sz w:val="21"/>
                <w:szCs w:val="21"/>
              </w:rPr>
            </w:pPr>
            <w:r>
              <w:rPr>
                <w:rFonts w:hint="eastAsia"/>
                <w:bCs/>
                <w:sz w:val="21"/>
                <w:szCs w:val="21"/>
              </w:rPr>
              <w:t>P2</w:t>
            </w:r>
          </w:p>
        </w:tc>
        <w:tc>
          <w:tcPr>
            <w:tcW w:w="1617" w:type="dxa"/>
            <w:vAlign w:val="center"/>
          </w:tcPr>
          <w:p w14:paraId="612C6B0E">
            <w:pPr>
              <w:widowControl/>
              <w:spacing w:line="240" w:lineRule="auto"/>
              <w:ind w:firstLine="0" w:firstLineChars="0"/>
              <w:jc w:val="center"/>
              <w:rPr>
                <w:bCs/>
                <w:sz w:val="21"/>
                <w:szCs w:val="21"/>
              </w:rPr>
            </w:pPr>
            <w:r>
              <w:rPr>
                <w:rFonts w:hint="eastAsia"/>
                <w:bCs/>
                <w:sz w:val="21"/>
                <w:szCs w:val="21"/>
              </w:rPr>
              <w:t>P3</w:t>
            </w:r>
          </w:p>
        </w:tc>
      </w:tr>
      <w:tr w14:paraId="5BBF5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dxa"/>
            <w:vAlign w:val="center"/>
          </w:tcPr>
          <w:p w14:paraId="133E24B6">
            <w:pPr>
              <w:widowControl/>
              <w:spacing w:line="240" w:lineRule="auto"/>
              <w:ind w:firstLine="0" w:firstLineChars="0"/>
              <w:jc w:val="center"/>
              <w:rPr>
                <w:bCs/>
                <w:sz w:val="21"/>
                <w:szCs w:val="21"/>
              </w:rPr>
            </w:pPr>
            <w:r>
              <w:rPr>
                <w:bCs/>
                <w:sz w:val="21"/>
                <w:szCs w:val="21"/>
              </w:rPr>
              <w:t>10≤Q＜100</w:t>
            </w:r>
          </w:p>
        </w:tc>
        <w:tc>
          <w:tcPr>
            <w:tcW w:w="1559" w:type="dxa"/>
            <w:vAlign w:val="center"/>
          </w:tcPr>
          <w:p w14:paraId="52132499">
            <w:pPr>
              <w:spacing w:line="240" w:lineRule="auto"/>
              <w:ind w:firstLine="0" w:firstLineChars="0"/>
              <w:jc w:val="center"/>
              <w:rPr>
                <w:bCs/>
                <w:sz w:val="21"/>
                <w:szCs w:val="21"/>
              </w:rPr>
            </w:pPr>
            <w:r>
              <w:rPr>
                <w:rFonts w:hint="eastAsia"/>
                <w:bCs/>
                <w:sz w:val="21"/>
                <w:szCs w:val="21"/>
              </w:rPr>
              <w:t>P1</w:t>
            </w:r>
          </w:p>
        </w:tc>
        <w:tc>
          <w:tcPr>
            <w:tcW w:w="1559" w:type="dxa"/>
            <w:vAlign w:val="center"/>
          </w:tcPr>
          <w:p w14:paraId="436FD7D8">
            <w:pPr>
              <w:widowControl/>
              <w:spacing w:line="240" w:lineRule="auto"/>
              <w:ind w:firstLine="0" w:firstLineChars="0"/>
              <w:jc w:val="center"/>
              <w:rPr>
                <w:bCs/>
                <w:sz w:val="21"/>
                <w:szCs w:val="21"/>
              </w:rPr>
            </w:pPr>
            <w:r>
              <w:rPr>
                <w:rFonts w:hint="eastAsia"/>
                <w:bCs/>
                <w:sz w:val="21"/>
                <w:szCs w:val="21"/>
              </w:rPr>
              <w:t>P2</w:t>
            </w:r>
          </w:p>
        </w:tc>
        <w:tc>
          <w:tcPr>
            <w:tcW w:w="1559" w:type="dxa"/>
            <w:vAlign w:val="center"/>
          </w:tcPr>
          <w:p w14:paraId="34B84E10">
            <w:pPr>
              <w:widowControl/>
              <w:spacing w:line="240" w:lineRule="auto"/>
              <w:ind w:firstLine="0" w:firstLineChars="0"/>
              <w:jc w:val="center"/>
              <w:rPr>
                <w:bCs/>
                <w:sz w:val="21"/>
                <w:szCs w:val="21"/>
              </w:rPr>
            </w:pPr>
            <w:r>
              <w:rPr>
                <w:rFonts w:hint="eastAsia"/>
                <w:bCs/>
                <w:sz w:val="21"/>
                <w:szCs w:val="21"/>
              </w:rPr>
              <w:t>P3</w:t>
            </w:r>
          </w:p>
        </w:tc>
        <w:tc>
          <w:tcPr>
            <w:tcW w:w="1617" w:type="dxa"/>
            <w:vAlign w:val="center"/>
          </w:tcPr>
          <w:p w14:paraId="1D97986D">
            <w:pPr>
              <w:widowControl/>
              <w:spacing w:line="240" w:lineRule="auto"/>
              <w:ind w:firstLine="0" w:firstLineChars="0"/>
              <w:jc w:val="center"/>
              <w:rPr>
                <w:bCs/>
                <w:sz w:val="21"/>
                <w:szCs w:val="21"/>
              </w:rPr>
            </w:pPr>
            <w:r>
              <w:rPr>
                <w:rFonts w:hint="eastAsia"/>
                <w:bCs/>
                <w:sz w:val="21"/>
                <w:szCs w:val="21"/>
              </w:rPr>
              <w:t>P4</w:t>
            </w:r>
          </w:p>
        </w:tc>
      </w:tr>
      <w:tr w14:paraId="7A54DB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35" w:type="dxa"/>
            <w:vAlign w:val="center"/>
          </w:tcPr>
          <w:p w14:paraId="561BA5F3">
            <w:pPr>
              <w:widowControl/>
              <w:spacing w:line="240" w:lineRule="auto"/>
              <w:ind w:firstLine="0" w:firstLineChars="0"/>
              <w:jc w:val="center"/>
              <w:rPr>
                <w:bCs/>
                <w:sz w:val="21"/>
                <w:szCs w:val="21"/>
              </w:rPr>
            </w:pPr>
            <w:r>
              <w:rPr>
                <w:bCs/>
                <w:sz w:val="21"/>
                <w:szCs w:val="21"/>
              </w:rPr>
              <w:t>1≤Q＜10</w:t>
            </w:r>
          </w:p>
        </w:tc>
        <w:tc>
          <w:tcPr>
            <w:tcW w:w="1559" w:type="dxa"/>
            <w:vAlign w:val="center"/>
          </w:tcPr>
          <w:p w14:paraId="7DBA375C">
            <w:pPr>
              <w:spacing w:line="240" w:lineRule="auto"/>
              <w:ind w:firstLine="0" w:firstLineChars="0"/>
              <w:jc w:val="center"/>
              <w:rPr>
                <w:rFonts w:eastAsiaTheme="minorEastAsia"/>
                <w:bCs/>
                <w:sz w:val="21"/>
                <w:szCs w:val="21"/>
              </w:rPr>
            </w:pPr>
            <w:r>
              <w:rPr>
                <w:rFonts w:hint="eastAsia" w:eastAsiaTheme="minorEastAsia"/>
                <w:bCs/>
                <w:sz w:val="21"/>
                <w:szCs w:val="21"/>
              </w:rPr>
              <w:t>P3</w:t>
            </w:r>
          </w:p>
        </w:tc>
        <w:tc>
          <w:tcPr>
            <w:tcW w:w="1559" w:type="dxa"/>
            <w:vAlign w:val="center"/>
          </w:tcPr>
          <w:p w14:paraId="6BEACDB0">
            <w:pPr>
              <w:widowControl/>
              <w:spacing w:line="240" w:lineRule="auto"/>
              <w:ind w:firstLine="0" w:firstLineChars="0"/>
              <w:jc w:val="center"/>
              <w:rPr>
                <w:bCs/>
                <w:sz w:val="21"/>
                <w:szCs w:val="21"/>
              </w:rPr>
            </w:pPr>
            <w:r>
              <w:rPr>
                <w:rFonts w:hint="eastAsia"/>
                <w:bCs/>
                <w:sz w:val="21"/>
                <w:szCs w:val="21"/>
              </w:rPr>
              <w:t>P3</w:t>
            </w:r>
          </w:p>
        </w:tc>
        <w:tc>
          <w:tcPr>
            <w:tcW w:w="1559" w:type="dxa"/>
            <w:vAlign w:val="center"/>
          </w:tcPr>
          <w:p w14:paraId="29E1D026">
            <w:pPr>
              <w:widowControl/>
              <w:spacing w:line="240" w:lineRule="auto"/>
              <w:ind w:firstLine="0" w:firstLineChars="0"/>
              <w:jc w:val="center"/>
              <w:rPr>
                <w:bCs/>
                <w:sz w:val="21"/>
                <w:szCs w:val="21"/>
              </w:rPr>
            </w:pPr>
            <w:r>
              <w:rPr>
                <w:rFonts w:hint="eastAsia"/>
                <w:bCs/>
                <w:sz w:val="21"/>
                <w:szCs w:val="21"/>
              </w:rPr>
              <w:t>P4</w:t>
            </w:r>
          </w:p>
        </w:tc>
        <w:tc>
          <w:tcPr>
            <w:tcW w:w="1617" w:type="dxa"/>
            <w:vAlign w:val="center"/>
          </w:tcPr>
          <w:p w14:paraId="56FB1B58">
            <w:pPr>
              <w:widowControl/>
              <w:spacing w:line="240" w:lineRule="auto"/>
              <w:ind w:firstLine="0" w:firstLineChars="0"/>
              <w:jc w:val="center"/>
              <w:rPr>
                <w:bCs/>
                <w:sz w:val="21"/>
                <w:szCs w:val="21"/>
              </w:rPr>
            </w:pPr>
            <w:r>
              <w:rPr>
                <w:rFonts w:hint="eastAsia"/>
                <w:bCs/>
                <w:sz w:val="21"/>
                <w:szCs w:val="21"/>
              </w:rPr>
              <w:t>P4</w:t>
            </w:r>
          </w:p>
        </w:tc>
      </w:tr>
    </w:tbl>
    <w:p w14:paraId="46A131E2">
      <w:pPr>
        <w:keepNext w:val="0"/>
        <w:keepLines w:val="0"/>
        <w:pageBreakBefore w:val="0"/>
        <w:widowControl/>
        <w:numPr>
          <w:ilvl w:val="0"/>
          <w:numId w:val="0"/>
        </w:numPr>
        <w:tabs>
          <w:tab w:val="left" w:pos="719"/>
        </w:tabs>
        <w:kinsoku/>
        <w:wordWrap/>
        <w:overflowPunct/>
        <w:topLinePunct/>
        <w:autoSpaceDE w:val="0"/>
        <w:autoSpaceDN/>
        <w:bidi w:val="0"/>
        <w:adjustRightInd w:val="0"/>
        <w:snapToGrid w:val="0"/>
        <w:spacing w:line="500" w:lineRule="exact"/>
        <w:ind w:right="0" w:rightChars="0" w:firstLine="480" w:firstLineChars="200"/>
        <w:textAlignment w:val="auto"/>
        <w:outlineLvl w:val="9"/>
        <w:rPr>
          <w:rFonts w:hint="default" w:ascii="Times New Roman" w:hAnsi="Times New Roman" w:eastAsia="宋体" w:cs="Times New Roman"/>
          <w:b w:val="0"/>
          <w:snapToGrid w:val="0"/>
          <w:kern w:val="21"/>
          <w:sz w:val="24"/>
          <w:szCs w:val="24"/>
        </w:rPr>
      </w:pPr>
      <w:r>
        <w:rPr>
          <w:rFonts w:hint="eastAsia"/>
        </w:rPr>
        <w:t>本项目M=5</w:t>
      </w:r>
      <w:r>
        <w:rPr>
          <w:rFonts w:hint="eastAsia"/>
          <w:lang w:eastAsia="zh-CN"/>
        </w:rPr>
        <w:t>，10≤Q＜100，</w:t>
      </w:r>
      <w:r>
        <w:rPr>
          <w:rFonts w:hint="default" w:ascii="Times New Roman" w:hAnsi="Times New Roman" w:eastAsia="宋体" w:cs="Times New Roman"/>
          <w:b w:val="0"/>
          <w:snapToGrid w:val="0"/>
          <w:kern w:val="21"/>
          <w:sz w:val="24"/>
          <w:szCs w:val="24"/>
        </w:rPr>
        <w:t>本项目危险物质及工艺系统危险性等级为P4。</w:t>
      </w:r>
    </w:p>
    <w:p w14:paraId="73A8E2B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6.2.2环境敏感程度（E）的确定</w:t>
      </w:r>
    </w:p>
    <w:p w14:paraId="7522EBA6">
      <w:pPr>
        <w:ind w:firstLine="480"/>
      </w:pPr>
      <w:r>
        <w:rPr>
          <w:rFonts w:hint="eastAsia"/>
        </w:rPr>
        <w:t>（1）大气环境</w:t>
      </w:r>
    </w:p>
    <w:p w14:paraId="6BBD45A3">
      <w:pPr>
        <w:ind w:firstLine="480"/>
      </w:pPr>
      <w:r>
        <w:rPr>
          <w:rFonts w:hint="eastAsia"/>
        </w:rPr>
        <w:t>根据《建设项目环境风险评价技术导则》（</w:t>
      </w:r>
      <w:r>
        <w:t>HJ169-2018</w:t>
      </w:r>
      <w:r>
        <w:rPr>
          <w:rFonts w:hint="eastAsia"/>
        </w:rPr>
        <w:t>）附录D，依据环境敏感性及人口密度划分环境风险受体的敏感性，共分为三种类型，E1为环境高度敏感区，E2为环境中度敏感区，E3为环境低度敏感区，</w:t>
      </w:r>
      <w:r>
        <w:rPr>
          <w:rFonts w:hint="eastAsia"/>
          <w:bCs/>
        </w:rPr>
        <w:t>分级原则见表</w:t>
      </w:r>
      <w:r>
        <w:rPr>
          <w:rFonts w:hint="eastAsia"/>
          <w:bCs/>
          <w:lang w:val="en-US" w:eastAsia="zh-CN"/>
        </w:rPr>
        <w:t>6.2-4</w:t>
      </w:r>
      <w:r>
        <w:rPr>
          <w:rFonts w:hint="eastAsia"/>
          <w:bCs/>
        </w:rPr>
        <w:t>~表</w:t>
      </w:r>
      <w:r>
        <w:rPr>
          <w:rFonts w:hint="eastAsia"/>
          <w:bCs/>
          <w:lang w:val="en-US" w:eastAsia="zh-CN"/>
        </w:rPr>
        <w:t>6.2-5</w:t>
      </w:r>
      <w:r>
        <w:rPr>
          <w:rFonts w:hint="eastAsia"/>
          <w:bCs/>
        </w:rPr>
        <w:t>。</w:t>
      </w:r>
    </w:p>
    <w:p w14:paraId="112AB8A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6.2-4</w:t>
      </w:r>
      <w:r>
        <w:rPr>
          <w:rFonts w:hint="eastAsia"/>
        </w:rPr>
        <w:t xml:space="preserve">    大气环境敏感程度分级</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43"/>
        <w:gridCol w:w="6290"/>
        <w:gridCol w:w="1396"/>
      </w:tblGrid>
      <w:tr w14:paraId="2CE9CA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EF9DA7F">
            <w:pPr>
              <w:spacing w:line="240" w:lineRule="auto"/>
              <w:ind w:firstLine="0" w:firstLineChars="0"/>
              <w:jc w:val="center"/>
              <w:rPr>
                <w:rFonts w:eastAsiaTheme="minorEastAsia"/>
                <w:b/>
                <w:sz w:val="21"/>
                <w:szCs w:val="21"/>
              </w:rPr>
            </w:pPr>
            <w:r>
              <w:rPr>
                <w:rFonts w:eastAsiaTheme="minorEastAsia"/>
                <w:b/>
                <w:sz w:val="21"/>
                <w:szCs w:val="21"/>
              </w:rPr>
              <w:t>分级</w:t>
            </w:r>
          </w:p>
        </w:tc>
        <w:tc>
          <w:tcPr>
            <w:tcW w:w="6116" w:type="dxa"/>
            <w:vAlign w:val="center"/>
          </w:tcPr>
          <w:p w14:paraId="21445B12">
            <w:pPr>
              <w:spacing w:line="240" w:lineRule="auto"/>
              <w:ind w:firstLine="0" w:firstLineChars="0"/>
              <w:jc w:val="center"/>
              <w:rPr>
                <w:rFonts w:eastAsiaTheme="minorEastAsia"/>
                <w:b/>
                <w:sz w:val="21"/>
                <w:szCs w:val="21"/>
              </w:rPr>
            </w:pPr>
            <w:r>
              <w:rPr>
                <w:rFonts w:eastAsiaTheme="minorEastAsia"/>
                <w:b/>
                <w:sz w:val="21"/>
                <w:szCs w:val="21"/>
              </w:rPr>
              <w:t>大气环境敏感性</w:t>
            </w:r>
          </w:p>
        </w:tc>
        <w:tc>
          <w:tcPr>
            <w:tcW w:w="1357" w:type="dxa"/>
            <w:vAlign w:val="center"/>
          </w:tcPr>
          <w:p w14:paraId="42400417">
            <w:pPr>
              <w:spacing w:line="240" w:lineRule="auto"/>
              <w:ind w:firstLine="0" w:firstLineChars="0"/>
              <w:jc w:val="center"/>
              <w:rPr>
                <w:rFonts w:eastAsiaTheme="minorEastAsia"/>
                <w:b/>
                <w:sz w:val="21"/>
                <w:szCs w:val="21"/>
              </w:rPr>
            </w:pPr>
            <w:r>
              <w:rPr>
                <w:rFonts w:hint="eastAsia" w:eastAsiaTheme="minorEastAsia"/>
                <w:b/>
                <w:sz w:val="21"/>
                <w:szCs w:val="21"/>
              </w:rPr>
              <w:t>本项目</w:t>
            </w:r>
          </w:p>
        </w:tc>
      </w:tr>
      <w:tr w14:paraId="6DBBD9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01A1D58">
            <w:pPr>
              <w:spacing w:line="240" w:lineRule="auto"/>
              <w:ind w:firstLine="0" w:firstLineChars="0"/>
              <w:jc w:val="center"/>
              <w:rPr>
                <w:rFonts w:eastAsiaTheme="minorEastAsia"/>
                <w:bCs/>
                <w:sz w:val="21"/>
                <w:szCs w:val="21"/>
              </w:rPr>
            </w:pPr>
            <w:r>
              <w:rPr>
                <w:rFonts w:eastAsiaTheme="minorEastAsia"/>
                <w:bCs/>
                <w:sz w:val="21"/>
                <w:szCs w:val="21"/>
              </w:rPr>
              <w:t>E1</w:t>
            </w:r>
          </w:p>
        </w:tc>
        <w:tc>
          <w:tcPr>
            <w:tcW w:w="6116" w:type="dxa"/>
            <w:vAlign w:val="center"/>
          </w:tcPr>
          <w:p w14:paraId="28E16284">
            <w:pPr>
              <w:spacing w:line="240" w:lineRule="auto"/>
              <w:ind w:firstLine="0" w:firstLineChars="0"/>
              <w:rPr>
                <w:rFonts w:eastAsiaTheme="minorEastAsia"/>
                <w:bCs/>
                <w:sz w:val="21"/>
                <w:szCs w:val="21"/>
              </w:rPr>
            </w:pPr>
            <w:r>
              <w:rPr>
                <w:rFonts w:eastAsiaTheme="minorEastAsia"/>
                <w:bCs/>
                <w:sz w:val="21"/>
                <w:szCs w:val="21"/>
              </w:rPr>
              <w:t>周边5km范围内居住区、医疗卫生、文化教育、科研、行政办公等机构人口总数大于5万人，或其他需要特殊保护区域</w:t>
            </w:r>
            <w:r>
              <w:rPr>
                <w:rFonts w:hint="eastAsia" w:eastAsiaTheme="minorEastAsia"/>
                <w:bCs/>
                <w:sz w:val="21"/>
                <w:szCs w:val="21"/>
              </w:rPr>
              <w:t>；</w:t>
            </w:r>
            <w:r>
              <w:rPr>
                <w:rFonts w:eastAsiaTheme="minorEastAsia"/>
                <w:bCs/>
                <w:sz w:val="21"/>
                <w:szCs w:val="21"/>
              </w:rPr>
              <w:t>或周边500m范围内人口总数大于1000人</w:t>
            </w:r>
            <w:r>
              <w:rPr>
                <w:rFonts w:hint="eastAsia" w:eastAsiaTheme="minorEastAsia"/>
                <w:bCs/>
                <w:sz w:val="21"/>
                <w:szCs w:val="21"/>
              </w:rPr>
              <w:t>；</w:t>
            </w:r>
            <w:r>
              <w:rPr>
                <w:rFonts w:eastAsiaTheme="minorEastAsia"/>
                <w:bCs/>
                <w:sz w:val="21"/>
                <w:szCs w:val="21"/>
              </w:rPr>
              <w:t>油气、化学品输送管线管段周边200m范围内，每千米管段人口数大于200人</w:t>
            </w:r>
          </w:p>
        </w:tc>
        <w:tc>
          <w:tcPr>
            <w:tcW w:w="1357" w:type="dxa"/>
            <w:vMerge w:val="restart"/>
            <w:vAlign w:val="center"/>
          </w:tcPr>
          <w:p w14:paraId="24E48480">
            <w:pPr>
              <w:spacing w:line="240" w:lineRule="auto"/>
              <w:ind w:firstLine="0" w:firstLineChars="0"/>
              <w:jc w:val="center"/>
              <w:rPr>
                <w:rFonts w:eastAsiaTheme="minorEastAsia"/>
                <w:bCs/>
                <w:sz w:val="21"/>
                <w:szCs w:val="21"/>
              </w:rPr>
            </w:pPr>
            <w:r>
              <w:rPr>
                <w:rFonts w:hint="eastAsia" w:eastAsiaTheme="minorEastAsia"/>
                <w:bCs/>
                <w:sz w:val="21"/>
                <w:szCs w:val="21"/>
              </w:rPr>
              <w:t>本项目5km范围内总人数约</w:t>
            </w:r>
            <w:r>
              <w:rPr>
                <w:rFonts w:hint="eastAsia" w:eastAsiaTheme="minorEastAsia"/>
                <w:bCs/>
                <w:sz w:val="21"/>
                <w:szCs w:val="21"/>
                <w:lang w:val="en-US" w:eastAsia="zh-CN"/>
              </w:rPr>
              <w:t>6.4</w:t>
            </w:r>
            <w:r>
              <w:rPr>
                <w:rFonts w:hint="eastAsia" w:eastAsiaTheme="minorEastAsia"/>
                <w:bCs/>
                <w:sz w:val="21"/>
                <w:szCs w:val="21"/>
              </w:rPr>
              <w:t>万人，大于5万人。因此本项目大气环境敏感程度为环境高度敏感区E1</w:t>
            </w:r>
          </w:p>
        </w:tc>
      </w:tr>
      <w:tr w14:paraId="6D668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A96A349">
            <w:pPr>
              <w:spacing w:line="240" w:lineRule="auto"/>
              <w:ind w:firstLine="0" w:firstLineChars="0"/>
              <w:jc w:val="center"/>
              <w:rPr>
                <w:rFonts w:eastAsiaTheme="minorEastAsia"/>
                <w:bCs/>
                <w:sz w:val="21"/>
                <w:szCs w:val="21"/>
              </w:rPr>
            </w:pPr>
            <w:r>
              <w:rPr>
                <w:rFonts w:eastAsiaTheme="minorEastAsia"/>
                <w:bCs/>
                <w:sz w:val="21"/>
                <w:szCs w:val="21"/>
              </w:rPr>
              <w:t>E2</w:t>
            </w:r>
          </w:p>
        </w:tc>
        <w:tc>
          <w:tcPr>
            <w:tcW w:w="6116" w:type="dxa"/>
            <w:vAlign w:val="center"/>
          </w:tcPr>
          <w:p w14:paraId="4279C169">
            <w:pPr>
              <w:spacing w:line="240" w:lineRule="auto"/>
              <w:ind w:firstLine="0" w:firstLineChars="0"/>
              <w:rPr>
                <w:rFonts w:eastAsiaTheme="minorEastAsia"/>
                <w:bCs/>
                <w:sz w:val="21"/>
                <w:szCs w:val="21"/>
              </w:rPr>
            </w:pPr>
            <w:r>
              <w:rPr>
                <w:rFonts w:eastAsiaTheme="minorEastAsia"/>
                <w:bCs/>
                <w:sz w:val="21"/>
                <w:szCs w:val="21"/>
              </w:rPr>
              <w:t>周边5km范围内居住区、医疗卫生、文化教育、科研、行政办公等机构人口总数大于万人，小于5万人;或周边500m范围内人口总数大于500人，小于1000人</w:t>
            </w:r>
            <w:r>
              <w:rPr>
                <w:rFonts w:hint="eastAsia" w:eastAsiaTheme="minorEastAsia"/>
                <w:bCs/>
                <w:sz w:val="21"/>
                <w:szCs w:val="21"/>
              </w:rPr>
              <w:t>：</w:t>
            </w:r>
            <w:r>
              <w:rPr>
                <w:rFonts w:eastAsiaTheme="minorEastAsia"/>
                <w:bCs/>
                <w:sz w:val="21"/>
                <w:szCs w:val="21"/>
              </w:rPr>
              <w:t>油气、化学品输送管线管段周边200m范围内，每千米管段人口数大于100人，小于200人</w:t>
            </w:r>
          </w:p>
        </w:tc>
        <w:tc>
          <w:tcPr>
            <w:tcW w:w="1357" w:type="dxa"/>
            <w:vMerge w:val="continue"/>
            <w:vAlign w:val="center"/>
          </w:tcPr>
          <w:p w14:paraId="6002FB10">
            <w:pPr>
              <w:spacing w:line="240" w:lineRule="auto"/>
              <w:ind w:firstLine="0" w:firstLineChars="0"/>
              <w:rPr>
                <w:rFonts w:eastAsiaTheme="minorEastAsia"/>
                <w:b/>
                <w:sz w:val="21"/>
                <w:szCs w:val="21"/>
              </w:rPr>
            </w:pPr>
          </w:p>
        </w:tc>
      </w:tr>
      <w:tr w14:paraId="0510A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0BACB4C">
            <w:pPr>
              <w:spacing w:line="240" w:lineRule="auto"/>
              <w:ind w:firstLine="0" w:firstLineChars="0"/>
              <w:jc w:val="center"/>
              <w:rPr>
                <w:rFonts w:eastAsiaTheme="minorEastAsia"/>
                <w:bCs/>
                <w:sz w:val="21"/>
                <w:szCs w:val="21"/>
              </w:rPr>
            </w:pPr>
            <w:r>
              <w:rPr>
                <w:rFonts w:eastAsiaTheme="minorEastAsia"/>
                <w:bCs/>
                <w:sz w:val="21"/>
                <w:szCs w:val="21"/>
              </w:rPr>
              <w:t>E3</w:t>
            </w:r>
          </w:p>
        </w:tc>
        <w:tc>
          <w:tcPr>
            <w:tcW w:w="6116" w:type="dxa"/>
            <w:vAlign w:val="center"/>
          </w:tcPr>
          <w:p w14:paraId="211C1B02">
            <w:pPr>
              <w:spacing w:line="240" w:lineRule="auto"/>
              <w:ind w:firstLine="0" w:firstLineChars="0"/>
              <w:rPr>
                <w:rFonts w:eastAsiaTheme="minorEastAsia"/>
                <w:bCs/>
                <w:sz w:val="21"/>
                <w:szCs w:val="21"/>
              </w:rPr>
            </w:pPr>
            <w:r>
              <w:rPr>
                <w:rFonts w:eastAsiaTheme="minorEastAsia"/>
                <w:bCs/>
                <w:sz w:val="21"/>
                <w:szCs w:val="21"/>
              </w:rPr>
              <w:t>周边5km范围内居住区、医疗卫生、文化教育、科研、行政办公等机构人口总数小于1万人</w:t>
            </w:r>
            <w:r>
              <w:rPr>
                <w:rFonts w:hint="eastAsia" w:eastAsiaTheme="minorEastAsia"/>
                <w:bCs/>
                <w:sz w:val="21"/>
                <w:szCs w:val="21"/>
              </w:rPr>
              <w:t>：</w:t>
            </w:r>
            <w:r>
              <w:rPr>
                <w:rFonts w:eastAsiaTheme="minorEastAsia"/>
                <w:bCs/>
                <w:sz w:val="21"/>
                <w:szCs w:val="21"/>
              </w:rPr>
              <w:t>或周边500m范围内人口总数小于500人</w:t>
            </w:r>
            <w:r>
              <w:rPr>
                <w:rFonts w:hint="eastAsia" w:eastAsiaTheme="minorEastAsia"/>
                <w:bCs/>
                <w:sz w:val="21"/>
                <w:szCs w:val="21"/>
              </w:rPr>
              <w:t>；</w:t>
            </w:r>
            <w:r>
              <w:rPr>
                <w:rFonts w:eastAsiaTheme="minorEastAsia"/>
                <w:bCs/>
                <w:sz w:val="21"/>
                <w:szCs w:val="21"/>
              </w:rPr>
              <w:t>油气、化学品输送管线管段周边200m范围内，每千米管段人口数小于100人</w:t>
            </w:r>
          </w:p>
        </w:tc>
        <w:tc>
          <w:tcPr>
            <w:tcW w:w="1357" w:type="dxa"/>
            <w:vMerge w:val="continue"/>
            <w:vAlign w:val="center"/>
          </w:tcPr>
          <w:p w14:paraId="6915D170">
            <w:pPr>
              <w:spacing w:line="240" w:lineRule="auto"/>
              <w:ind w:firstLine="0" w:firstLineChars="0"/>
              <w:rPr>
                <w:rFonts w:eastAsiaTheme="minorEastAsia"/>
                <w:b/>
                <w:sz w:val="21"/>
                <w:szCs w:val="21"/>
              </w:rPr>
            </w:pPr>
          </w:p>
        </w:tc>
      </w:tr>
    </w:tbl>
    <w:p w14:paraId="57B73757">
      <w:pPr>
        <w:ind w:firstLine="480"/>
      </w:pPr>
      <w:r>
        <w:rPr>
          <w:rFonts w:hint="eastAsia"/>
        </w:rPr>
        <w:t>本项目5km范围内总人数约</w:t>
      </w:r>
      <w:r>
        <w:rPr>
          <w:rFonts w:hint="eastAsia"/>
          <w:lang w:val="en-US" w:eastAsia="zh-CN"/>
        </w:rPr>
        <w:t>6.4</w:t>
      </w:r>
      <w:r>
        <w:rPr>
          <w:rFonts w:hint="eastAsia"/>
        </w:rPr>
        <w:t>万人，大于5万人。依据《建设项目环境风险评价技术导则》（HJ169-2018）附录D中的要求，本项目大气环境敏感程度为环境高度敏感区E1</w:t>
      </w:r>
      <w:r>
        <w:t>。</w:t>
      </w:r>
    </w:p>
    <w:p w14:paraId="2AD2DE25">
      <w:pPr>
        <w:ind w:firstLine="480"/>
      </w:pPr>
      <w:r>
        <w:rPr>
          <w:rFonts w:hint="eastAsia"/>
        </w:rPr>
        <w:t>（2）地表水环境</w:t>
      </w:r>
    </w:p>
    <w:p w14:paraId="65AFB169">
      <w:pPr>
        <w:ind w:firstLine="480"/>
      </w:pPr>
      <w:r>
        <w:rPr>
          <w:rFonts w:hint="eastAsia"/>
        </w:rPr>
        <w:t>本项目</w:t>
      </w:r>
      <w:r>
        <w:rPr>
          <w:rFonts w:hint="eastAsia"/>
          <w:lang w:val="en-US" w:eastAsia="zh-CN"/>
        </w:rPr>
        <w:t>西</w:t>
      </w:r>
      <w:r>
        <w:rPr>
          <w:rFonts w:hint="eastAsia"/>
        </w:rPr>
        <w:t>侧</w:t>
      </w:r>
      <w:r>
        <w:rPr>
          <w:rFonts w:hint="eastAsia"/>
          <w:lang w:val="en-US" w:eastAsia="zh-CN"/>
        </w:rPr>
        <w:t>1320</w:t>
      </w:r>
      <w:r>
        <w:rPr>
          <w:rFonts w:hint="eastAsia"/>
        </w:rPr>
        <w:t>m处为</w:t>
      </w:r>
      <w:r>
        <w:rPr>
          <w:rFonts w:hint="eastAsia"/>
          <w:lang w:val="en-US" w:eastAsia="zh-CN"/>
        </w:rPr>
        <w:t>共产主义渠</w:t>
      </w:r>
      <w:r>
        <w:rPr>
          <w:rFonts w:hint="eastAsia"/>
        </w:rPr>
        <w:t>，项目厂区污水经处理达标后经管网排入</w:t>
      </w:r>
      <w:r>
        <w:rPr>
          <w:rFonts w:hint="eastAsia" w:hAnsi="宋体"/>
        </w:rPr>
        <w:t>获嘉县同盟污水处理厂</w:t>
      </w:r>
      <w:r>
        <w:rPr>
          <w:rFonts w:hint="eastAsia" w:hAnsi="宋体"/>
          <w:lang w:val="en-US" w:eastAsia="zh-CN"/>
        </w:rPr>
        <w:t>进一步处理</w:t>
      </w:r>
      <w:r>
        <w:rPr>
          <w:rFonts w:hint="eastAsia"/>
        </w:rPr>
        <w:t>，不直接进入地表水体；且项目设置有事故废水收集设施，一般情况下不存在危险物质泄漏到水体的情况；且</w:t>
      </w:r>
      <w:r>
        <w:rPr>
          <w:rFonts w:hint="eastAsia"/>
          <w:lang w:val="en-US" w:eastAsia="zh-CN"/>
        </w:rPr>
        <w:t>共产主义渠</w:t>
      </w:r>
      <w:r>
        <w:rPr>
          <w:rFonts w:hint="eastAsia"/>
        </w:rPr>
        <w:t>规划功能为</w:t>
      </w:r>
      <w:r>
        <w:t>Ⅳ</w:t>
      </w:r>
      <w:r>
        <w:rPr>
          <w:rFonts w:hint="eastAsia"/>
        </w:rPr>
        <w:t>类水体，本项目周边其水流24h流经范围不会跨省界或国界，因此，本项目地表水功能敏感程度属于低敏感F3</w:t>
      </w:r>
      <w:r>
        <w:t>。</w:t>
      </w:r>
    </w:p>
    <w:p w14:paraId="02B351CD">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0C53BD76">
      <w:pPr>
        <w:rPr>
          <w:rFonts w:hint="eastAsia"/>
        </w:rPr>
      </w:pPr>
    </w:p>
    <w:p w14:paraId="3E756A1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6.2-5</w:t>
      </w:r>
      <w:r>
        <w:rPr>
          <w:rFonts w:hint="eastAsia"/>
        </w:rPr>
        <w:t xml:space="preserve">    地表水功能敏感性分区</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5178"/>
        <w:gridCol w:w="2103"/>
      </w:tblGrid>
      <w:tr w14:paraId="0C059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8" w:type="dxa"/>
            <w:vAlign w:val="center"/>
          </w:tcPr>
          <w:p w14:paraId="3973FA41">
            <w:pPr>
              <w:spacing w:line="240" w:lineRule="auto"/>
              <w:ind w:firstLine="0" w:firstLineChars="0"/>
              <w:jc w:val="center"/>
              <w:rPr>
                <w:b/>
                <w:sz w:val="21"/>
                <w:szCs w:val="21"/>
              </w:rPr>
            </w:pPr>
            <w:r>
              <w:rPr>
                <w:b/>
                <w:sz w:val="21"/>
                <w:szCs w:val="21"/>
              </w:rPr>
              <w:t>敏感性</w:t>
            </w:r>
          </w:p>
        </w:tc>
        <w:tc>
          <w:tcPr>
            <w:tcW w:w="5178" w:type="dxa"/>
            <w:vAlign w:val="center"/>
          </w:tcPr>
          <w:p w14:paraId="2C98791A">
            <w:pPr>
              <w:spacing w:line="240" w:lineRule="auto"/>
              <w:ind w:firstLine="0" w:firstLineChars="0"/>
              <w:jc w:val="center"/>
              <w:rPr>
                <w:b/>
                <w:sz w:val="21"/>
                <w:szCs w:val="21"/>
              </w:rPr>
            </w:pPr>
            <w:r>
              <w:rPr>
                <w:b/>
                <w:sz w:val="21"/>
                <w:szCs w:val="21"/>
              </w:rPr>
              <w:t>地表水环境敏感特征</w:t>
            </w:r>
          </w:p>
        </w:tc>
        <w:tc>
          <w:tcPr>
            <w:tcW w:w="2103" w:type="dxa"/>
            <w:vAlign w:val="center"/>
          </w:tcPr>
          <w:p w14:paraId="315459CB">
            <w:pPr>
              <w:spacing w:line="240" w:lineRule="auto"/>
              <w:ind w:firstLine="0" w:firstLineChars="0"/>
              <w:jc w:val="center"/>
              <w:rPr>
                <w:b/>
                <w:sz w:val="21"/>
                <w:szCs w:val="21"/>
              </w:rPr>
            </w:pPr>
            <w:r>
              <w:rPr>
                <w:rFonts w:hint="eastAsia"/>
                <w:b/>
                <w:sz w:val="21"/>
                <w:szCs w:val="21"/>
              </w:rPr>
              <w:t>本项目</w:t>
            </w:r>
          </w:p>
        </w:tc>
      </w:tr>
      <w:tr w14:paraId="3BDC3E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8" w:type="dxa"/>
            <w:vAlign w:val="center"/>
          </w:tcPr>
          <w:p w14:paraId="4D0589CE">
            <w:pPr>
              <w:spacing w:line="240" w:lineRule="auto"/>
              <w:ind w:firstLine="0" w:firstLineChars="0"/>
              <w:jc w:val="center"/>
              <w:rPr>
                <w:bCs/>
                <w:sz w:val="21"/>
                <w:szCs w:val="21"/>
              </w:rPr>
            </w:pPr>
            <w:r>
              <w:rPr>
                <w:bCs/>
                <w:sz w:val="21"/>
                <w:szCs w:val="21"/>
              </w:rPr>
              <w:t>敏感F1</w:t>
            </w:r>
          </w:p>
        </w:tc>
        <w:tc>
          <w:tcPr>
            <w:tcW w:w="5178" w:type="dxa"/>
            <w:vAlign w:val="center"/>
          </w:tcPr>
          <w:p w14:paraId="69095F49">
            <w:pPr>
              <w:spacing w:line="240" w:lineRule="auto"/>
              <w:ind w:firstLine="0" w:firstLineChars="0"/>
              <w:rPr>
                <w:bCs/>
                <w:sz w:val="21"/>
                <w:szCs w:val="21"/>
              </w:rPr>
            </w:pPr>
            <w:r>
              <w:rPr>
                <w:bCs/>
                <w:sz w:val="21"/>
                <w:szCs w:val="21"/>
              </w:rPr>
              <w:t>排放点进入地表水水域环境功能为Ⅱ类及以上，或海水水质分类第一类；或以发生事故时，危险物质泄漏到水体的排放点算起，排放进入收纳河流最大流速时，24h流经范围内跨国界的</w:t>
            </w:r>
          </w:p>
        </w:tc>
        <w:tc>
          <w:tcPr>
            <w:tcW w:w="2103" w:type="dxa"/>
            <w:vMerge w:val="restart"/>
            <w:vAlign w:val="center"/>
          </w:tcPr>
          <w:p w14:paraId="6884707C">
            <w:pPr>
              <w:spacing w:line="240" w:lineRule="auto"/>
              <w:ind w:firstLine="0" w:firstLineChars="0"/>
              <w:jc w:val="left"/>
              <w:rPr>
                <w:bCs/>
                <w:sz w:val="21"/>
                <w:szCs w:val="21"/>
              </w:rPr>
            </w:pPr>
            <w:r>
              <w:rPr>
                <w:bCs/>
                <w:sz w:val="21"/>
                <w:szCs w:val="21"/>
              </w:rPr>
              <w:t>本项目最近地表水</w:t>
            </w:r>
            <w:r>
              <w:rPr>
                <w:rFonts w:hint="eastAsia"/>
                <w:bCs/>
                <w:sz w:val="21"/>
                <w:szCs w:val="21"/>
                <w:lang w:val="en-US" w:eastAsia="zh-CN"/>
              </w:rPr>
              <w:t>共产主义渠</w:t>
            </w:r>
            <w:r>
              <w:rPr>
                <w:bCs/>
                <w:sz w:val="21"/>
                <w:szCs w:val="21"/>
              </w:rPr>
              <w:t>规划功能为Ⅳ类水体，且项目周边其水流24h流经范围不会跨省界或国界，因此，本项目地表水功能敏感程度属于低敏感F3</w:t>
            </w:r>
          </w:p>
        </w:tc>
      </w:tr>
      <w:tr w14:paraId="789B72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8" w:type="dxa"/>
            <w:vAlign w:val="center"/>
          </w:tcPr>
          <w:p w14:paraId="0B4E25F4">
            <w:pPr>
              <w:spacing w:line="240" w:lineRule="auto"/>
              <w:ind w:firstLine="0" w:firstLineChars="0"/>
              <w:jc w:val="center"/>
              <w:rPr>
                <w:bCs/>
                <w:sz w:val="21"/>
                <w:szCs w:val="21"/>
              </w:rPr>
            </w:pPr>
            <w:r>
              <w:rPr>
                <w:bCs/>
                <w:sz w:val="21"/>
                <w:szCs w:val="21"/>
              </w:rPr>
              <w:t>较敏感F2</w:t>
            </w:r>
          </w:p>
        </w:tc>
        <w:tc>
          <w:tcPr>
            <w:tcW w:w="5178" w:type="dxa"/>
            <w:vAlign w:val="center"/>
          </w:tcPr>
          <w:p w14:paraId="0F03CDC9">
            <w:pPr>
              <w:spacing w:line="240" w:lineRule="auto"/>
              <w:ind w:firstLine="0" w:firstLineChars="0"/>
              <w:rPr>
                <w:bCs/>
                <w:sz w:val="21"/>
                <w:szCs w:val="21"/>
              </w:rPr>
            </w:pPr>
            <w:r>
              <w:rPr>
                <w:bCs/>
                <w:sz w:val="21"/>
                <w:szCs w:val="21"/>
              </w:rPr>
              <w:t>排放点进入地表水水域环境功能为Ⅲ类，或海水水质分类第二类；或以发生事故时，危险物质泄漏到水体的排放点算起，排放进入收纳河流最大流速时，24h流经范围内涉跨省界的</w:t>
            </w:r>
          </w:p>
        </w:tc>
        <w:tc>
          <w:tcPr>
            <w:tcW w:w="2103" w:type="dxa"/>
            <w:vMerge w:val="continue"/>
            <w:vAlign w:val="center"/>
          </w:tcPr>
          <w:p w14:paraId="5012B44B">
            <w:pPr>
              <w:spacing w:line="240" w:lineRule="auto"/>
              <w:ind w:firstLine="0" w:firstLineChars="0"/>
              <w:rPr>
                <w:b/>
                <w:sz w:val="21"/>
                <w:szCs w:val="21"/>
              </w:rPr>
            </w:pPr>
          </w:p>
        </w:tc>
      </w:tr>
      <w:tr w14:paraId="4055BC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8" w:type="dxa"/>
            <w:vAlign w:val="center"/>
          </w:tcPr>
          <w:p w14:paraId="7E975AA1">
            <w:pPr>
              <w:spacing w:line="240" w:lineRule="auto"/>
              <w:ind w:firstLine="0" w:firstLineChars="0"/>
              <w:jc w:val="center"/>
              <w:rPr>
                <w:bCs/>
                <w:sz w:val="21"/>
                <w:szCs w:val="21"/>
              </w:rPr>
            </w:pPr>
            <w:r>
              <w:rPr>
                <w:bCs/>
                <w:sz w:val="21"/>
                <w:szCs w:val="21"/>
              </w:rPr>
              <w:t>低敏感F3</w:t>
            </w:r>
          </w:p>
        </w:tc>
        <w:tc>
          <w:tcPr>
            <w:tcW w:w="5178" w:type="dxa"/>
            <w:vAlign w:val="center"/>
          </w:tcPr>
          <w:p w14:paraId="1330E611">
            <w:pPr>
              <w:spacing w:line="240" w:lineRule="auto"/>
              <w:ind w:firstLine="0" w:firstLineChars="0"/>
              <w:rPr>
                <w:bCs/>
                <w:sz w:val="21"/>
                <w:szCs w:val="21"/>
              </w:rPr>
            </w:pPr>
            <w:r>
              <w:rPr>
                <w:bCs/>
                <w:sz w:val="21"/>
                <w:szCs w:val="21"/>
              </w:rPr>
              <w:t>上述地区之外的其他地区</w:t>
            </w:r>
          </w:p>
        </w:tc>
        <w:tc>
          <w:tcPr>
            <w:tcW w:w="2103" w:type="dxa"/>
            <w:vMerge w:val="continue"/>
            <w:vAlign w:val="center"/>
          </w:tcPr>
          <w:p w14:paraId="0F7CC31C">
            <w:pPr>
              <w:spacing w:line="240" w:lineRule="auto"/>
              <w:ind w:firstLine="0" w:firstLineChars="0"/>
              <w:rPr>
                <w:b/>
                <w:sz w:val="21"/>
                <w:szCs w:val="21"/>
              </w:rPr>
            </w:pPr>
          </w:p>
        </w:tc>
      </w:tr>
    </w:tbl>
    <w:p w14:paraId="343E7D7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6.2-6</w:t>
      </w:r>
      <w:r>
        <w:rPr>
          <w:rFonts w:hint="eastAsia"/>
        </w:rPr>
        <w:t xml:space="preserve">    环境敏感目标分级</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43"/>
        <w:gridCol w:w="6438"/>
        <w:gridCol w:w="1248"/>
      </w:tblGrid>
      <w:tr w14:paraId="377D79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 w:type="dxa"/>
            <w:vAlign w:val="center"/>
          </w:tcPr>
          <w:p w14:paraId="5C5FE0C5">
            <w:pPr>
              <w:spacing w:line="240" w:lineRule="auto"/>
              <w:ind w:firstLine="0" w:firstLineChars="0"/>
              <w:jc w:val="center"/>
              <w:rPr>
                <w:rFonts w:eastAsiaTheme="minorEastAsia"/>
                <w:b/>
                <w:sz w:val="21"/>
                <w:szCs w:val="21"/>
              </w:rPr>
            </w:pPr>
            <w:r>
              <w:rPr>
                <w:rFonts w:eastAsiaTheme="minorEastAsia"/>
                <w:b/>
                <w:sz w:val="21"/>
                <w:szCs w:val="21"/>
              </w:rPr>
              <w:t>分级</w:t>
            </w:r>
          </w:p>
        </w:tc>
        <w:tc>
          <w:tcPr>
            <w:tcW w:w="6438" w:type="dxa"/>
            <w:vAlign w:val="center"/>
          </w:tcPr>
          <w:p w14:paraId="385887DA">
            <w:pPr>
              <w:spacing w:line="240" w:lineRule="auto"/>
              <w:ind w:firstLine="0" w:firstLineChars="0"/>
              <w:jc w:val="center"/>
              <w:rPr>
                <w:rFonts w:eastAsiaTheme="minorEastAsia"/>
                <w:b/>
                <w:sz w:val="21"/>
                <w:szCs w:val="21"/>
              </w:rPr>
            </w:pPr>
            <w:r>
              <w:rPr>
                <w:rFonts w:eastAsiaTheme="minorEastAsia"/>
                <w:b/>
                <w:sz w:val="21"/>
                <w:szCs w:val="21"/>
              </w:rPr>
              <w:t>环境敏感目标</w:t>
            </w:r>
          </w:p>
        </w:tc>
        <w:tc>
          <w:tcPr>
            <w:tcW w:w="1248" w:type="dxa"/>
            <w:vAlign w:val="center"/>
          </w:tcPr>
          <w:p w14:paraId="653EDBA7">
            <w:pPr>
              <w:spacing w:line="240" w:lineRule="auto"/>
              <w:ind w:firstLine="0" w:firstLineChars="0"/>
              <w:jc w:val="center"/>
              <w:rPr>
                <w:rFonts w:eastAsiaTheme="minorEastAsia"/>
                <w:b/>
                <w:sz w:val="21"/>
                <w:szCs w:val="21"/>
              </w:rPr>
            </w:pPr>
            <w:r>
              <w:rPr>
                <w:rFonts w:hint="eastAsia" w:eastAsiaTheme="minorEastAsia"/>
                <w:b/>
                <w:sz w:val="21"/>
                <w:szCs w:val="21"/>
              </w:rPr>
              <w:t>本项目</w:t>
            </w:r>
          </w:p>
        </w:tc>
      </w:tr>
      <w:tr w14:paraId="2B6E94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 w:type="dxa"/>
            <w:vAlign w:val="center"/>
          </w:tcPr>
          <w:p w14:paraId="63B28E4F">
            <w:pPr>
              <w:spacing w:line="240" w:lineRule="auto"/>
              <w:ind w:firstLine="0" w:firstLineChars="0"/>
              <w:jc w:val="center"/>
              <w:rPr>
                <w:rFonts w:eastAsiaTheme="minorEastAsia"/>
                <w:bCs/>
                <w:sz w:val="21"/>
                <w:szCs w:val="21"/>
              </w:rPr>
            </w:pPr>
            <w:r>
              <w:rPr>
                <w:rFonts w:eastAsiaTheme="minorEastAsia"/>
                <w:bCs/>
                <w:sz w:val="21"/>
                <w:szCs w:val="21"/>
              </w:rPr>
              <w:t>S1</w:t>
            </w:r>
          </w:p>
        </w:tc>
        <w:tc>
          <w:tcPr>
            <w:tcW w:w="6438" w:type="dxa"/>
            <w:vAlign w:val="center"/>
          </w:tcPr>
          <w:p w14:paraId="723FA694">
            <w:pPr>
              <w:spacing w:line="240" w:lineRule="auto"/>
              <w:ind w:firstLine="0" w:firstLineChars="0"/>
              <w:rPr>
                <w:rFonts w:eastAsiaTheme="minorEastAsia"/>
                <w:bCs/>
                <w:sz w:val="21"/>
                <w:szCs w:val="21"/>
              </w:rPr>
            </w:pPr>
            <w:r>
              <w:rPr>
                <w:rFonts w:eastAsiaTheme="minorEastAsia"/>
                <w:bCs/>
                <w:sz w:val="21"/>
                <w:szCs w:val="21"/>
              </w:rPr>
              <w:t>发生事故时，危险物质泄漏到内陆水体的排放点下游（顺水流向）10km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w:t>
            </w:r>
          </w:p>
        </w:tc>
        <w:tc>
          <w:tcPr>
            <w:tcW w:w="1248" w:type="dxa"/>
            <w:vMerge w:val="restart"/>
            <w:vAlign w:val="center"/>
          </w:tcPr>
          <w:p w14:paraId="540A5513">
            <w:pPr>
              <w:spacing w:line="240" w:lineRule="auto"/>
              <w:ind w:firstLine="0" w:firstLineChars="0"/>
              <w:jc w:val="left"/>
              <w:rPr>
                <w:rFonts w:eastAsiaTheme="minorEastAsia"/>
                <w:bCs/>
                <w:sz w:val="21"/>
                <w:szCs w:val="21"/>
              </w:rPr>
            </w:pPr>
            <w:r>
              <w:rPr>
                <w:rFonts w:hint="eastAsia" w:eastAsiaTheme="minorEastAsia"/>
                <w:bCs/>
                <w:sz w:val="21"/>
                <w:szCs w:val="21"/>
              </w:rPr>
              <w:t>本项目发生事故时，危险物质泄漏到内陆水体的排放点下游（顺水流向）10km范围内无环境敏感目标，环境敏感目标分级为S3</w:t>
            </w:r>
          </w:p>
        </w:tc>
      </w:tr>
      <w:tr w14:paraId="6B3CA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 w:type="dxa"/>
            <w:vAlign w:val="center"/>
          </w:tcPr>
          <w:p w14:paraId="4C4C1003">
            <w:pPr>
              <w:spacing w:line="240" w:lineRule="auto"/>
              <w:ind w:firstLine="0" w:firstLineChars="0"/>
              <w:jc w:val="center"/>
              <w:rPr>
                <w:rFonts w:eastAsiaTheme="minorEastAsia"/>
                <w:bCs/>
                <w:sz w:val="21"/>
                <w:szCs w:val="21"/>
              </w:rPr>
            </w:pPr>
            <w:r>
              <w:rPr>
                <w:rFonts w:eastAsiaTheme="minorEastAsia"/>
                <w:bCs/>
                <w:sz w:val="21"/>
                <w:szCs w:val="21"/>
              </w:rPr>
              <w:t>S2</w:t>
            </w:r>
          </w:p>
        </w:tc>
        <w:tc>
          <w:tcPr>
            <w:tcW w:w="6438" w:type="dxa"/>
            <w:vAlign w:val="center"/>
          </w:tcPr>
          <w:p w14:paraId="04EF5D63">
            <w:pPr>
              <w:spacing w:line="240" w:lineRule="auto"/>
              <w:ind w:firstLine="0" w:firstLineChars="0"/>
              <w:rPr>
                <w:rFonts w:eastAsiaTheme="minorEastAsia"/>
                <w:bCs/>
                <w:sz w:val="21"/>
                <w:szCs w:val="21"/>
              </w:rPr>
            </w:pPr>
            <w:r>
              <w:rPr>
                <w:rFonts w:eastAsiaTheme="minorEastAsia"/>
                <w:bCs/>
                <w:sz w:val="21"/>
                <w:szCs w:val="21"/>
              </w:rPr>
              <w:t>发生事故时，危险物质泄漏到内陆水体的排放点下游（顺水流向）10km范围内、近岸海域一个朝周期水质点可能达到的最大水平距离的两倍范围内，有如下一类或多类环境风险受体的；水产养殖区；天然渔场；森林公园；地质公园；海滨风景游览区；具有重要经济价值的海洋生物生存区域</w:t>
            </w:r>
          </w:p>
        </w:tc>
        <w:tc>
          <w:tcPr>
            <w:tcW w:w="1248" w:type="dxa"/>
            <w:vMerge w:val="continue"/>
            <w:vAlign w:val="center"/>
          </w:tcPr>
          <w:p w14:paraId="1D0F33A2">
            <w:pPr>
              <w:spacing w:line="240" w:lineRule="auto"/>
              <w:ind w:firstLine="0" w:firstLineChars="0"/>
              <w:rPr>
                <w:rFonts w:eastAsiaTheme="minorEastAsia"/>
                <w:b/>
                <w:sz w:val="21"/>
                <w:szCs w:val="21"/>
              </w:rPr>
            </w:pPr>
          </w:p>
        </w:tc>
      </w:tr>
      <w:tr w14:paraId="2B6D97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 w:type="dxa"/>
            <w:vAlign w:val="center"/>
          </w:tcPr>
          <w:p w14:paraId="0FF74E9D">
            <w:pPr>
              <w:spacing w:line="240" w:lineRule="auto"/>
              <w:ind w:firstLine="0" w:firstLineChars="0"/>
              <w:jc w:val="center"/>
              <w:rPr>
                <w:rFonts w:eastAsiaTheme="minorEastAsia"/>
                <w:bCs/>
                <w:sz w:val="21"/>
                <w:szCs w:val="21"/>
              </w:rPr>
            </w:pPr>
            <w:r>
              <w:rPr>
                <w:rFonts w:eastAsiaTheme="minorEastAsia"/>
                <w:bCs/>
                <w:sz w:val="21"/>
                <w:szCs w:val="21"/>
              </w:rPr>
              <w:t>S3</w:t>
            </w:r>
          </w:p>
        </w:tc>
        <w:tc>
          <w:tcPr>
            <w:tcW w:w="6438" w:type="dxa"/>
            <w:vAlign w:val="center"/>
          </w:tcPr>
          <w:p w14:paraId="7764E22E">
            <w:pPr>
              <w:spacing w:line="240" w:lineRule="auto"/>
              <w:ind w:firstLine="0" w:firstLineChars="0"/>
              <w:rPr>
                <w:rFonts w:eastAsiaTheme="minorEastAsia"/>
                <w:bCs/>
                <w:sz w:val="21"/>
                <w:szCs w:val="21"/>
              </w:rPr>
            </w:pPr>
            <w:r>
              <w:rPr>
                <w:rFonts w:eastAsiaTheme="minorEastAsia"/>
                <w:bCs/>
                <w:sz w:val="21"/>
                <w:szCs w:val="21"/>
              </w:rPr>
              <w:t>排放点下游（顺水流向）10km范围、近岸海域一个潮周期水质点可能达到的最大水平距离的两倍范围内无上述类型1和类型2包括的敏感保护目标</w:t>
            </w:r>
          </w:p>
        </w:tc>
        <w:tc>
          <w:tcPr>
            <w:tcW w:w="1248" w:type="dxa"/>
            <w:vMerge w:val="continue"/>
            <w:vAlign w:val="center"/>
          </w:tcPr>
          <w:p w14:paraId="1D8FA9B0">
            <w:pPr>
              <w:spacing w:line="240" w:lineRule="auto"/>
              <w:ind w:firstLine="0" w:firstLineChars="0"/>
              <w:rPr>
                <w:rFonts w:eastAsiaTheme="minorEastAsia"/>
                <w:b/>
                <w:sz w:val="21"/>
                <w:szCs w:val="21"/>
              </w:rPr>
            </w:pPr>
          </w:p>
        </w:tc>
      </w:tr>
    </w:tbl>
    <w:p w14:paraId="4EC9B85F">
      <w:pPr>
        <w:ind w:firstLine="480"/>
      </w:pPr>
      <w:r>
        <w:t>本项目</w:t>
      </w:r>
      <w:r>
        <w:rPr>
          <w:rFonts w:hint="eastAsia"/>
        </w:rPr>
        <w:t>发生事故时，危险物质泄漏到内陆水体的排放点下游（顺水流向）10km范围内</w:t>
      </w:r>
      <w:r>
        <w:t>无《建设项目环境风险评价技术导则》（HJ169-2018）附录D表D.4中所列环境敏感目标，环境敏感目标分级为S3。</w:t>
      </w:r>
    </w:p>
    <w:p w14:paraId="65B307B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6.2-7</w:t>
      </w:r>
      <w:r>
        <w:rPr>
          <w:rFonts w:hint="eastAsia"/>
        </w:rPr>
        <w:t xml:space="preserve">    地表水环境敏感程度分级</w:t>
      </w:r>
    </w:p>
    <w:tbl>
      <w:tblPr>
        <w:tblStyle w:val="39"/>
        <w:tblW w:w="501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282"/>
        <w:gridCol w:w="2152"/>
        <w:gridCol w:w="1957"/>
        <w:gridCol w:w="1962"/>
      </w:tblGrid>
      <w:tr w14:paraId="61AF18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66" w:type="pct"/>
            <w:vMerge w:val="restart"/>
            <w:vAlign w:val="center"/>
          </w:tcPr>
          <w:p w14:paraId="203C1163">
            <w:pPr>
              <w:spacing w:line="240" w:lineRule="auto"/>
              <w:ind w:firstLine="0" w:firstLineChars="0"/>
              <w:jc w:val="center"/>
              <w:rPr>
                <w:rFonts w:eastAsiaTheme="minorEastAsia"/>
                <w:b/>
                <w:sz w:val="21"/>
                <w:szCs w:val="21"/>
              </w:rPr>
            </w:pPr>
            <w:r>
              <w:rPr>
                <w:rFonts w:eastAsiaTheme="minorEastAsia"/>
                <w:b/>
                <w:sz w:val="21"/>
                <w:szCs w:val="21"/>
              </w:rPr>
              <w:t>环境敏感目标</w:t>
            </w:r>
          </w:p>
        </w:tc>
        <w:tc>
          <w:tcPr>
            <w:tcW w:w="3633" w:type="pct"/>
            <w:gridSpan w:val="3"/>
            <w:vAlign w:val="center"/>
          </w:tcPr>
          <w:p w14:paraId="3B73B9E3">
            <w:pPr>
              <w:spacing w:line="240" w:lineRule="auto"/>
              <w:ind w:firstLine="0" w:firstLineChars="0"/>
              <w:jc w:val="center"/>
              <w:rPr>
                <w:rFonts w:eastAsiaTheme="minorEastAsia"/>
                <w:b/>
                <w:sz w:val="21"/>
                <w:szCs w:val="21"/>
              </w:rPr>
            </w:pPr>
            <w:r>
              <w:rPr>
                <w:rFonts w:eastAsiaTheme="minorEastAsia"/>
                <w:b/>
                <w:sz w:val="21"/>
                <w:szCs w:val="21"/>
              </w:rPr>
              <w:t>地表水功能敏感性</w:t>
            </w:r>
          </w:p>
        </w:tc>
      </w:tr>
      <w:tr w14:paraId="70CB30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66" w:type="pct"/>
            <w:vMerge w:val="continue"/>
            <w:vAlign w:val="center"/>
          </w:tcPr>
          <w:p w14:paraId="15563F92">
            <w:pPr>
              <w:spacing w:line="240" w:lineRule="auto"/>
              <w:ind w:firstLine="0" w:firstLineChars="0"/>
              <w:jc w:val="center"/>
              <w:rPr>
                <w:rFonts w:eastAsiaTheme="minorEastAsia"/>
                <w:b/>
                <w:sz w:val="21"/>
                <w:szCs w:val="21"/>
              </w:rPr>
            </w:pPr>
          </w:p>
        </w:tc>
        <w:tc>
          <w:tcPr>
            <w:tcW w:w="1288" w:type="pct"/>
            <w:vAlign w:val="center"/>
          </w:tcPr>
          <w:p w14:paraId="28D17D23">
            <w:pPr>
              <w:spacing w:line="240" w:lineRule="auto"/>
              <w:ind w:firstLine="0" w:firstLineChars="0"/>
              <w:jc w:val="center"/>
              <w:rPr>
                <w:rFonts w:eastAsiaTheme="minorEastAsia"/>
                <w:b/>
                <w:sz w:val="21"/>
                <w:szCs w:val="21"/>
              </w:rPr>
            </w:pPr>
            <w:r>
              <w:rPr>
                <w:rFonts w:eastAsiaTheme="minorEastAsia"/>
                <w:b/>
                <w:sz w:val="21"/>
                <w:szCs w:val="21"/>
              </w:rPr>
              <w:t>F1</w:t>
            </w:r>
          </w:p>
        </w:tc>
        <w:tc>
          <w:tcPr>
            <w:tcW w:w="1171" w:type="pct"/>
            <w:vAlign w:val="center"/>
          </w:tcPr>
          <w:p w14:paraId="07BA6AEE">
            <w:pPr>
              <w:spacing w:line="240" w:lineRule="auto"/>
              <w:ind w:firstLine="0" w:firstLineChars="0"/>
              <w:jc w:val="center"/>
              <w:rPr>
                <w:rFonts w:eastAsiaTheme="minorEastAsia"/>
                <w:b/>
                <w:sz w:val="21"/>
                <w:szCs w:val="21"/>
              </w:rPr>
            </w:pPr>
            <w:r>
              <w:rPr>
                <w:rFonts w:eastAsiaTheme="minorEastAsia"/>
                <w:b/>
                <w:sz w:val="21"/>
                <w:szCs w:val="21"/>
              </w:rPr>
              <w:t>F2</w:t>
            </w:r>
          </w:p>
        </w:tc>
        <w:tc>
          <w:tcPr>
            <w:tcW w:w="1173" w:type="pct"/>
            <w:vAlign w:val="center"/>
          </w:tcPr>
          <w:p w14:paraId="15A4DD51">
            <w:pPr>
              <w:spacing w:line="240" w:lineRule="auto"/>
              <w:ind w:firstLine="0" w:firstLineChars="0"/>
              <w:jc w:val="center"/>
              <w:rPr>
                <w:rFonts w:eastAsiaTheme="minorEastAsia"/>
                <w:b/>
                <w:sz w:val="21"/>
                <w:szCs w:val="21"/>
              </w:rPr>
            </w:pPr>
            <w:r>
              <w:rPr>
                <w:rFonts w:eastAsiaTheme="minorEastAsia"/>
                <w:b/>
                <w:sz w:val="21"/>
                <w:szCs w:val="21"/>
              </w:rPr>
              <w:t>F3</w:t>
            </w:r>
          </w:p>
        </w:tc>
      </w:tr>
      <w:tr w14:paraId="095801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66" w:type="pct"/>
            <w:vAlign w:val="center"/>
          </w:tcPr>
          <w:p w14:paraId="3E0C1623">
            <w:pPr>
              <w:spacing w:line="240" w:lineRule="auto"/>
              <w:ind w:firstLine="0" w:firstLineChars="0"/>
              <w:jc w:val="center"/>
              <w:rPr>
                <w:rFonts w:eastAsiaTheme="minorEastAsia"/>
                <w:bCs/>
                <w:sz w:val="21"/>
                <w:szCs w:val="21"/>
              </w:rPr>
            </w:pPr>
            <w:r>
              <w:rPr>
                <w:rFonts w:eastAsiaTheme="minorEastAsia"/>
                <w:bCs/>
                <w:sz w:val="21"/>
                <w:szCs w:val="21"/>
              </w:rPr>
              <w:t>S1</w:t>
            </w:r>
          </w:p>
        </w:tc>
        <w:tc>
          <w:tcPr>
            <w:tcW w:w="1288" w:type="pct"/>
            <w:vAlign w:val="center"/>
          </w:tcPr>
          <w:p w14:paraId="70BA2457">
            <w:pPr>
              <w:spacing w:line="240" w:lineRule="auto"/>
              <w:ind w:firstLine="0" w:firstLineChars="0"/>
              <w:jc w:val="center"/>
              <w:rPr>
                <w:rFonts w:eastAsiaTheme="minorEastAsia"/>
                <w:bCs/>
                <w:sz w:val="21"/>
                <w:szCs w:val="21"/>
              </w:rPr>
            </w:pPr>
            <w:r>
              <w:rPr>
                <w:rFonts w:eastAsiaTheme="minorEastAsia"/>
                <w:bCs/>
                <w:sz w:val="21"/>
                <w:szCs w:val="21"/>
              </w:rPr>
              <w:t>E1</w:t>
            </w:r>
          </w:p>
        </w:tc>
        <w:tc>
          <w:tcPr>
            <w:tcW w:w="1171" w:type="pct"/>
            <w:vAlign w:val="center"/>
          </w:tcPr>
          <w:p w14:paraId="3010FF77">
            <w:pPr>
              <w:spacing w:line="240" w:lineRule="auto"/>
              <w:ind w:firstLine="0" w:firstLineChars="0"/>
              <w:jc w:val="center"/>
              <w:rPr>
                <w:rFonts w:eastAsiaTheme="minorEastAsia"/>
                <w:bCs/>
                <w:sz w:val="21"/>
                <w:szCs w:val="21"/>
              </w:rPr>
            </w:pPr>
            <w:r>
              <w:rPr>
                <w:rFonts w:eastAsiaTheme="minorEastAsia"/>
                <w:bCs/>
                <w:sz w:val="21"/>
                <w:szCs w:val="21"/>
              </w:rPr>
              <w:t>E1</w:t>
            </w:r>
          </w:p>
        </w:tc>
        <w:tc>
          <w:tcPr>
            <w:tcW w:w="1173" w:type="pct"/>
            <w:vAlign w:val="center"/>
          </w:tcPr>
          <w:p w14:paraId="17253467">
            <w:pPr>
              <w:spacing w:line="240" w:lineRule="auto"/>
              <w:ind w:firstLine="0" w:firstLineChars="0"/>
              <w:jc w:val="center"/>
              <w:rPr>
                <w:rFonts w:eastAsiaTheme="minorEastAsia"/>
                <w:bCs/>
                <w:sz w:val="21"/>
                <w:szCs w:val="21"/>
              </w:rPr>
            </w:pPr>
            <w:r>
              <w:rPr>
                <w:rFonts w:eastAsiaTheme="minorEastAsia"/>
                <w:bCs/>
                <w:sz w:val="21"/>
                <w:szCs w:val="21"/>
              </w:rPr>
              <w:t>E2</w:t>
            </w:r>
          </w:p>
        </w:tc>
      </w:tr>
      <w:tr w14:paraId="58676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66" w:type="pct"/>
            <w:vAlign w:val="center"/>
          </w:tcPr>
          <w:p w14:paraId="103B7A4F">
            <w:pPr>
              <w:spacing w:line="240" w:lineRule="auto"/>
              <w:ind w:firstLine="0" w:firstLineChars="0"/>
              <w:jc w:val="center"/>
              <w:rPr>
                <w:rFonts w:eastAsiaTheme="minorEastAsia"/>
                <w:bCs/>
                <w:sz w:val="21"/>
                <w:szCs w:val="21"/>
              </w:rPr>
            </w:pPr>
            <w:r>
              <w:rPr>
                <w:rFonts w:eastAsiaTheme="minorEastAsia"/>
                <w:bCs/>
                <w:sz w:val="21"/>
                <w:szCs w:val="21"/>
              </w:rPr>
              <w:t>S2</w:t>
            </w:r>
          </w:p>
        </w:tc>
        <w:tc>
          <w:tcPr>
            <w:tcW w:w="1288" w:type="pct"/>
            <w:vAlign w:val="center"/>
          </w:tcPr>
          <w:p w14:paraId="54CFD5A8">
            <w:pPr>
              <w:spacing w:line="240" w:lineRule="auto"/>
              <w:ind w:firstLine="0" w:firstLineChars="0"/>
              <w:jc w:val="center"/>
              <w:rPr>
                <w:rFonts w:eastAsiaTheme="minorEastAsia"/>
                <w:bCs/>
                <w:sz w:val="21"/>
                <w:szCs w:val="21"/>
              </w:rPr>
            </w:pPr>
            <w:r>
              <w:rPr>
                <w:rFonts w:eastAsiaTheme="minorEastAsia"/>
                <w:bCs/>
                <w:sz w:val="21"/>
                <w:szCs w:val="21"/>
              </w:rPr>
              <w:t>E1</w:t>
            </w:r>
          </w:p>
        </w:tc>
        <w:tc>
          <w:tcPr>
            <w:tcW w:w="1171" w:type="pct"/>
            <w:vAlign w:val="center"/>
          </w:tcPr>
          <w:p w14:paraId="44446745">
            <w:pPr>
              <w:spacing w:line="240" w:lineRule="auto"/>
              <w:ind w:firstLine="0" w:firstLineChars="0"/>
              <w:jc w:val="center"/>
              <w:rPr>
                <w:rFonts w:eastAsiaTheme="minorEastAsia"/>
                <w:bCs/>
                <w:sz w:val="21"/>
                <w:szCs w:val="21"/>
              </w:rPr>
            </w:pPr>
            <w:r>
              <w:rPr>
                <w:rFonts w:eastAsiaTheme="minorEastAsia"/>
                <w:bCs/>
                <w:sz w:val="21"/>
                <w:szCs w:val="21"/>
              </w:rPr>
              <w:t>E2</w:t>
            </w:r>
          </w:p>
        </w:tc>
        <w:tc>
          <w:tcPr>
            <w:tcW w:w="1173" w:type="pct"/>
            <w:vAlign w:val="center"/>
          </w:tcPr>
          <w:p w14:paraId="0F3AA8B9">
            <w:pPr>
              <w:spacing w:line="240" w:lineRule="auto"/>
              <w:ind w:firstLine="0" w:firstLineChars="0"/>
              <w:jc w:val="center"/>
              <w:rPr>
                <w:rFonts w:eastAsiaTheme="minorEastAsia"/>
                <w:bCs/>
                <w:sz w:val="21"/>
                <w:szCs w:val="21"/>
              </w:rPr>
            </w:pPr>
            <w:r>
              <w:rPr>
                <w:rFonts w:eastAsiaTheme="minorEastAsia"/>
                <w:bCs/>
                <w:sz w:val="21"/>
                <w:szCs w:val="21"/>
              </w:rPr>
              <w:t>E3</w:t>
            </w:r>
          </w:p>
        </w:tc>
      </w:tr>
      <w:tr w14:paraId="5D9D2A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366" w:type="pct"/>
            <w:vAlign w:val="center"/>
          </w:tcPr>
          <w:p w14:paraId="1313F956">
            <w:pPr>
              <w:spacing w:line="240" w:lineRule="auto"/>
              <w:ind w:firstLine="0" w:firstLineChars="0"/>
              <w:jc w:val="center"/>
              <w:rPr>
                <w:rFonts w:eastAsiaTheme="minorEastAsia"/>
                <w:bCs/>
                <w:sz w:val="21"/>
                <w:szCs w:val="21"/>
              </w:rPr>
            </w:pPr>
            <w:r>
              <w:rPr>
                <w:rFonts w:eastAsiaTheme="minorEastAsia"/>
                <w:bCs/>
                <w:sz w:val="21"/>
                <w:szCs w:val="21"/>
              </w:rPr>
              <w:t>S3</w:t>
            </w:r>
          </w:p>
        </w:tc>
        <w:tc>
          <w:tcPr>
            <w:tcW w:w="1288" w:type="pct"/>
            <w:vAlign w:val="center"/>
          </w:tcPr>
          <w:p w14:paraId="005119CF">
            <w:pPr>
              <w:spacing w:line="240" w:lineRule="auto"/>
              <w:ind w:firstLine="0" w:firstLineChars="0"/>
              <w:jc w:val="center"/>
              <w:rPr>
                <w:rFonts w:eastAsiaTheme="minorEastAsia"/>
                <w:bCs/>
                <w:sz w:val="21"/>
                <w:szCs w:val="21"/>
              </w:rPr>
            </w:pPr>
            <w:r>
              <w:rPr>
                <w:rFonts w:eastAsiaTheme="minorEastAsia"/>
                <w:bCs/>
                <w:sz w:val="21"/>
                <w:szCs w:val="21"/>
              </w:rPr>
              <w:t>E1</w:t>
            </w:r>
          </w:p>
        </w:tc>
        <w:tc>
          <w:tcPr>
            <w:tcW w:w="1171" w:type="pct"/>
            <w:vAlign w:val="center"/>
          </w:tcPr>
          <w:p w14:paraId="4257CB34">
            <w:pPr>
              <w:spacing w:line="240" w:lineRule="auto"/>
              <w:ind w:firstLine="0" w:firstLineChars="0"/>
              <w:jc w:val="center"/>
              <w:rPr>
                <w:rFonts w:eastAsiaTheme="minorEastAsia"/>
                <w:bCs/>
                <w:sz w:val="21"/>
                <w:szCs w:val="21"/>
              </w:rPr>
            </w:pPr>
            <w:r>
              <w:rPr>
                <w:rFonts w:eastAsiaTheme="minorEastAsia"/>
                <w:bCs/>
                <w:sz w:val="21"/>
                <w:szCs w:val="21"/>
              </w:rPr>
              <w:t>E2</w:t>
            </w:r>
          </w:p>
        </w:tc>
        <w:tc>
          <w:tcPr>
            <w:tcW w:w="1173" w:type="pct"/>
            <w:vAlign w:val="center"/>
          </w:tcPr>
          <w:p w14:paraId="3D1B5BCA">
            <w:pPr>
              <w:spacing w:line="240" w:lineRule="auto"/>
              <w:ind w:firstLine="0" w:firstLineChars="0"/>
              <w:jc w:val="center"/>
              <w:rPr>
                <w:rFonts w:eastAsiaTheme="minorEastAsia"/>
                <w:bCs/>
                <w:sz w:val="21"/>
                <w:szCs w:val="21"/>
              </w:rPr>
            </w:pPr>
            <w:r>
              <w:rPr>
                <w:rFonts w:eastAsiaTheme="minorEastAsia"/>
                <w:b/>
                <w:bCs w:val="0"/>
                <w:sz w:val="21"/>
                <w:szCs w:val="21"/>
              </w:rPr>
              <w:t>E3</w:t>
            </w:r>
          </w:p>
        </w:tc>
      </w:tr>
      <w:tr w14:paraId="615F45F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4998" w:type="pct"/>
            <w:gridSpan w:val="4"/>
            <w:vAlign w:val="center"/>
          </w:tcPr>
          <w:p w14:paraId="6ED0F54C">
            <w:pPr>
              <w:spacing w:line="240" w:lineRule="auto"/>
              <w:ind w:firstLine="0" w:firstLineChars="0"/>
              <w:rPr>
                <w:bCs/>
                <w:sz w:val="21"/>
                <w:szCs w:val="21"/>
              </w:rPr>
            </w:pPr>
            <w:r>
              <w:rPr>
                <w:bCs/>
                <w:sz w:val="21"/>
                <w:szCs w:val="21"/>
              </w:rPr>
              <w:t>注：Ⅳ</w:t>
            </w:r>
            <w:r>
              <w:rPr>
                <w:bCs/>
                <w:sz w:val="21"/>
                <w:szCs w:val="21"/>
                <w:vertAlign w:val="superscript"/>
              </w:rPr>
              <w:t>+</w:t>
            </w:r>
            <w:r>
              <w:rPr>
                <w:bCs/>
                <w:sz w:val="21"/>
                <w:szCs w:val="21"/>
              </w:rPr>
              <w:t>为极高环境风险。</w:t>
            </w:r>
          </w:p>
        </w:tc>
      </w:tr>
    </w:tbl>
    <w:p w14:paraId="76A10D9A">
      <w:pPr>
        <w:ind w:firstLine="480"/>
      </w:pPr>
      <w:r>
        <w:rPr>
          <w:rFonts w:hint="eastAsia"/>
        </w:rPr>
        <w:t>根据上表，</w:t>
      </w:r>
      <w:r>
        <w:t>本项目地表水环境敏感程度为E3。</w:t>
      </w:r>
    </w:p>
    <w:p w14:paraId="1B93B6D2">
      <w:pPr>
        <w:ind w:firstLine="480"/>
        <w:rPr>
          <w:rFonts w:hint="default" w:eastAsia="宋体"/>
          <w:lang w:val="en-US" w:eastAsia="zh-CN"/>
        </w:rPr>
      </w:pPr>
      <w:r>
        <w:rPr>
          <w:rFonts w:hint="eastAsia"/>
        </w:rPr>
        <w:t>（3）地下水环境</w:t>
      </w:r>
      <w:r>
        <w:rPr>
          <w:rFonts w:hint="eastAsia"/>
          <w:lang w:val="en-US" w:eastAsia="zh-CN"/>
        </w:rPr>
        <w:t>环境敏感程度分级</w:t>
      </w:r>
    </w:p>
    <w:p w14:paraId="2EE3F763">
      <w:pPr>
        <w:bidi w:val="0"/>
        <w:rPr>
          <w:rFonts w:hint="default"/>
          <w:lang w:val="en-US" w:eastAsia="zh-CN"/>
        </w:rPr>
      </w:pPr>
      <w:r>
        <w:rPr>
          <w:rFonts w:hint="default"/>
          <w:lang w:val="en-US" w:eastAsia="zh-CN"/>
        </w:rPr>
        <w:t>依据地下水功能敏感性与包气带防污性能，共分为三种类型，分级原则见表</w:t>
      </w:r>
      <w:r>
        <w:rPr>
          <w:rFonts w:hint="eastAsia"/>
          <w:lang w:val="en-US" w:eastAsia="zh-CN"/>
        </w:rPr>
        <w:t>6-12。</w:t>
      </w:r>
      <w:r>
        <w:rPr>
          <w:rFonts w:hint="default"/>
          <w:lang w:val="en-US" w:eastAsia="zh-CN"/>
        </w:rPr>
        <w:t>其中地下水功能敏感性分区和包气带防污性能分级分别见表</w:t>
      </w:r>
      <w:r>
        <w:rPr>
          <w:rFonts w:hint="eastAsia"/>
          <w:lang w:val="en-US" w:eastAsia="zh-CN"/>
        </w:rPr>
        <w:t>6.1-10</w:t>
      </w:r>
      <w:r>
        <w:rPr>
          <w:rFonts w:hint="default"/>
          <w:lang w:val="en-US" w:eastAsia="zh-CN"/>
        </w:rPr>
        <w:t xml:space="preserve"> 和</w:t>
      </w:r>
      <w:r>
        <w:rPr>
          <w:rFonts w:hint="eastAsia"/>
          <w:lang w:val="en-US" w:eastAsia="zh-CN"/>
        </w:rPr>
        <w:t>6.1-11</w:t>
      </w:r>
      <w:r>
        <w:rPr>
          <w:rFonts w:hint="default"/>
          <w:lang w:val="en-US" w:eastAsia="zh-CN"/>
        </w:rPr>
        <w:t>当同一建设项目涉及两个G 分区或D 分级及以上时，取相对高值。</w:t>
      </w:r>
    </w:p>
    <w:p w14:paraId="01BA0A8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6.2-8</w:t>
      </w:r>
      <w:r>
        <w:rPr>
          <w:rFonts w:hint="eastAsia"/>
        </w:rPr>
        <w:t xml:space="preserve">    地下水功能敏感性分区</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058"/>
        <w:gridCol w:w="7311"/>
      </w:tblGrid>
      <w:tr w14:paraId="51697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058" w:type="dxa"/>
            <w:tcBorders>
              <w:top w:val="single" w:color="000000" w:sz="8" w:space="0"/>
              <w:left w:val="single" w:color="000000" w:sz="8" w:space="0"/>
              <w:bottom w:val="single" w:color="000000" w:sz="4" w:space="0"/>
              <w:right w:val="single" w:color="000000" w:sz="4" w:space="0"/>
            </w:tcBorders>
            <w:noWrap w:val="0"/>
            <w:vAlign w:val="center"/>
          </w:tcPr>
          <w:p w14:paraId="5504D15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敏感性</w:t>
            </w:r>
          </w:p>
        </w:tc>
        <w:tc>
          <w:tcPr>
            <w:tcW w:w="7308" w:type="dxa"/>
            <w:tcBorders>
              <w:top w:val="single" w:color="000000" w:sz="8" w:space="0"/>
              <w:left w:val="single" w:color="000000" w:sz="4" w:space="0"/>
              <w:bottom w:val="single" w:color="000000" w:sz="4" w:space="0"/>
              <w:right w:val="single" w:color="000000" w:sz="8" w:space="0"/>
            </w:tcBorders>
            <w:noWrap w:val="0"/>
            <w:vAlign w:val="center"/>
          </w:tcPr>
          <w:p w14:paraId="311CE9E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地下水环境敏感特征</w:t>
            </w:r>
          </w:p>
        </w:tc>
      </w:tr>
      <w:tr w14:paraId="2449A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058" w:type="dxa"/>
            <w:tcBorders>
              <w:top w:val="single" w:color="000000" w:sz="4" w:space="0"/>
              <w:left w:val="single" w:color="000000" w:sz="8" w:space="0"/>
              <w:bottom w:val="single" w:color="000000" w:sz="4" w:space="0"/>
              <w:right w:val="single" w:color="000000" w:sz="4" w:space="0"/>
            </w:tcBorders>
            <w:noWrap w:val="0"/>
            <w:vAlign w:val="center"/>
          </w:tcPr>
          <w:p w14:paraId="01FD234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z w:val="21"/>
                <w:szCs w:val="24"/>
              </w:rPr>
            </w:pPr>
            <w:r>
              <w:rPr>
                <w:rFonts w:hint="default" w:ascii="Times New Roman" w:hAnsi="Times New Roman" w:cs="Times New Roman"/>
                <w:spacing w:val="25"/>
                <w:sz w:val="21"/>
                <w:szCs w:val="24"/>
              </w:rPr>
              <w:t>敏感</w:t>
            </w:r>
            <w:r>
              <w:rPr>
                <w:rFonts w:hint="default" w:ascii="Times New Roman" w:hAnsi="Times New Roman" w:eastAsia="Times New Roman" w:cs="Times New Roman"/>
                <w:sz w:val="21"/>
                <w:szCs w:val="24"/>
              </w:rPr>
              <w:t>G1</w:t>
            </w:r>
          </w:p>
        </w:tc>
        <w:tc>
          <w:tcPr>
            <w:tcW w:w="7308" w:type="dxa"/>
            <w:tcBorders>
              <w:top w:val="single" w:color="000000" w:sz="4" w:space="0"/>
              <w:left w:val="single" w:color="000000" w:sz="4" w:space="0"/>
              <w:bottom w:val="single" w:color="000000" w:sz="4" w:space="0"/>
              <w:right w:val="single" w:color="000000" w:sz="8" w:space="0"/>
            </w:tcBorders>
            <w:noWrap w:val="0"/>
            <w:vAlign w:val="top"/>
          </w:tcPr>
          <w:p w14:paraId="47ACB36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cs="Times New Roman"/>
                <w:sz w:val="21"/>
                <w:szCs w:val="24"/>
              </w:rPr>
            </w:pPr>
            <w:r>
              <w:rPr>
                <w:rFonts w:hint="default" w:ascii="Times New Roman" w:hAnsi="Times New Roman" w:cs="Times New Roman"/>
                <w:sz w:val="21"/>
                <w:szCs w:val="24"/>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14:paraId="365DE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058" w:type="dxa"/>
            <w:tcBorders>
              <w:top w:val="single" w:color="000000" w:sz="4" w:space="0"/>
              <w:left w:val="single" w:color="000000" w:sz="8" w:space="0"/>
              <w:bottom w:val="single" w:color="000000" w:sz="4" w:space="0"/>
              <w:right w:val="single" w:color="000000" w:sz="4" w:space="0"/>
            </w:tcBorders>
            <w:noWrap w:val="0"/>
            <w:vAlign w:val="center"/>
          </w:tcPr>
          <w:p w14:paraId="2111C16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z w:val="21"/>
                <w:szCs w:val="24"/>
              </w:rPr>
            </w:pPr>
            <w:r>
              <w:rPr>
                <w:rFonts w:hint="default" w:ascii="Times New Roman" w:hAnsi="Times New Roman" w:cs="Times New Roman"/>
                <w:sz w:val="21"/>
                <w:szCs w:val="24"/>
              </w:rPr>
              <w:t>较敏感</w:t>
            </w:r>
            <w:r>
              <w:rPr>
                <w:rFonts w:hint="default" w:ascii="Times New Roman" w:hAnsi="Times New Roman" w:eastAsia="Times New Roman" w:cs="Times New Roman"/>
                <w:sz w:val="21"/>
                <w:szCs w:val="24"/>
              </w:rPr>
              <w:t>G2</w:t>
            </w:r>
          </w:p>
        </w:tc>
        <w:tc>
          <w:tcPr>
            <w:tcW w:w="7308" w:type="dxa"/>
            <w:tcBorders>
              <w:top w:val="single" w:color="000000" w:sz="4" w:space="0"/>
              <w:left w:val="single" w:color="000000" w:sz="4" w:space="0"/>
              <w:bottom w:val="single" w:color="000000" w:sz="4" w:space="0"/>
              <w:right w:val="single" w:color="000000" w:sz="8" w:space="0"/>
            </w:tcBorders>
            <w:noWrap w:val="0"/>
            <w:vAlign w:val="top"/>
          </w:tcPr>
          <w:p w14:paraId="7F77471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both"/>
              <w:textAlignment w:val="auto"/>
              <w:rPr>
                <w:rFonts w:hint="default" w:ascii="Times New Roman" w:hAnsi="Times New Roman" w:eastAsia="Times New Roman" w:cs="Times New Roman"/>
                <w:sz w:val="21"/>
                <w:szCs w:val="24"/>
              </w:rPr>
            </w:pPr>
            <w:r>
              <w:rPr>
                <w:rFonts w:hint="default" w:ascii="Times New Roman" w:hAnsi="Times New Roman" w:cs="Times New Roman"/>
                <w:sz w:val="21"/>
                <w:szCs w:val="24"/>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a</w:t>
            </w:r>
          </w:p>
        </w:tc>
      </w:tr>
      <w:tr w14:paraId="56889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1058" w:type="dxa"/>
            <w:tcBorders>
              <w:top w:val="single" w:color="000000" w:sz="4" w:space="0"/>
              <w:left w:val="single" w:color="000000" w:sz="8" w:space="0"/>
              <w:bottom w:val="single" w:color="000000" w:sz="4" w:space="0"/>
              <w:right w:val="single" w:color="000000" w:sz="4" w:space="0"/>
            </w:tcBorders>
            <w:noWrap w:val="0"/>
            <w:vAlign w:val="center"/>
          </w:tcPr>
          <w:p w14:paraId="2A5998A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z w:val="21"/>
                <w:szCs w:val="24"/>
              </w:rPr>
            </w:pPr>
            <w:r>
              <w:rPr>
                <w:rFonts w:hint="default" w:ascii="Times New Roman" w:hAnsi="Times New Roman" w:cs="Times New Roman"/>
                <w:sz w:val="21"/>
                <w:szCs w:val="24"/>
              </w:rPr>
              <w:t>不敏感</w:t>
            </w:r>
            <w:r>
              <w:rPr>
                <w:rFonts w:hint="default" w:ascii="Times New Roman" w:hAnsi="Times New Roman" w:eastAsia="Times New Roman" w:cs="Times New Roman"/>
                <w:sz w:val="21"/>
                <w:szCs w:val="24"/>
              </w:rPr>
              <w:t>G3</w:t>
            </w:r>
          </w:p>
        </w:tc>
        <w:tc>
          <w:tcPr>
            <w:tcW w:w="7308" w:type="dxa"/>
            <w:tcBorders>
              <w:top w:val="single" w:color="000000" w:sz="4" w:space="0"/>
              <w:left w:val="single" w:color="000000" w:sz="4" w:space="0"/>
              <w:bottom w:val="single" w:color="000000" w:sz="4" w:space="0"/>
              <w:right w:val="single" w:color="000000" w:sz="8" w:space="0"/>
            </w:tcBorders>
            <w:noWrap w:val="0"/>
            <w:vAlign w:val="center"/>
          </w:tcPr>
          <w:p w14:paraId="55679E7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cs="Times New Roman"/>
                <w:sz w:val="21"/>
                <w:szCs w:val="24"/>
              </w:rPr>
            </w:pPr>
            <w:r>
              <w:rPr>
                <w:rFonts w:hint="default" w:ascii="Times New Roman" w:hAnsi="Times New Roman" w:cs="Times New Roman"/>
                <w:sz w:val="21"/>
                <w:szCs w:val="24"/>
              </w:rPr>
              <w:t>上述地区之外的其他地区</w:t>
            </w:r>
          </w:p>
        </w:tc>
      </w:tr>
      <w:tr w14:paraId="64D66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66" w:type="dxa"/>
            <w:gridSpan w:val="2"/>
            <w:tcBorders>
              <w:top w:val="single" w:color="000000" w:sz="4" w:space="0"/>
              <w:left w:val="single" w:color="000000" w:sz="8" w:space="0"/>
              <w:bottom w:val="single" w:color="000000" w:sz="8" w:space="0"/>
              <w:right w:val="single" w:color="000000" w:sz="8" w:space="0"/>
            </w:tcBorders>
            <w:noWrap w:val="0"/>
            <w:vAlign w:val="top"/>
          </w:tcPr>
          <w:p w14:paraId="29CEBAC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textAlignment w:val="auto"/>
              <w:rPr>
                <w:rFonts w:hint="default" w:ascii="Times New Roman" w:hAnsi="Times New Roman" w:cs="Times New Roman"/>
                <w:sz w:val="21"/>
                <w:szCs w:val="24"/>
              </w:rPr>
            </w:pPr>
            <w:r>
              <w:rPr>
                <w:rFonts w:hint="default" w:ascii="Times New Roman" w:hAnsi="Times New Roman" w:eastAsia="Times New Roman" w:cs="Times New Roman"/>
                <w:sz w:val="21"/>
                <w:szCs w:val="24"/>
              </w:rPr>
              <w:t>a“</w:t>
            </w:r>
            <w:r>
              <w:rPr>
                <w:rFonts w:hint="default" w:ascii="Times New Roman" w:hAnsi="Times New Roman" w:cs="Times New Roman"/>
                <w:sz w:val="21"/>
                <w:szCs w:val="24"/>
              </w:rPr>
              <w:t>环境敏感区</w:t>
            </w:r>
            <w:r>
              <w:rPr>
                <w:rFonts w:hint="default" w:ascii="Times New Roman" w:hAnsi="Times New Roman" w:eastAsia="Times New Roman" w:cs="Times New Roman"/>
                <w:sz w:val="21"/>
                <w:szCs w:val="24"/>
              </w:rPr>
              <w:t>”</w:t>
            </w:r>
            <w:r>
              <w:rPr>
                <w:rFonts w:hint="default" w:ascii="Times New Roman" w:hAnsi="Times New Roman" w:cs="Times New Roman"/>
                <w:sz w:val="21"/>
                <w:szCs w:val="24"/>
              </w:rPr>
              <w:t>是指《建设项目环境影响评价分类管理名录》所界定的涉及地下水的环境敏感区</w:t>
            </w:r>
          </w:p>
        </w:tc>
      </w:tr>
    </w:tbl>
    <w:p w14:paraId="62C30575">
      <w:pPr>
        <w:ind w:firstLine="480"/>
        <w:rPr>
          <w:rFonts w:hint="eastAsia"/>
        </w:rPr>
      </w:pPr>
      <w:r>
        <w:rPr>
          <w:rFonts w:hint="eastAsia"/>
        </w:rPr>
        <w:t>根据收集资料和现场调查，距离本项目最近的饮用水井群为</w:t>
      </w:r>
      <w:r>
        <w:rPr>
          <w:rFonts w:hint="eastAsia"/>
          <w:lang w:val="en-US" w:eastAsia="zh-CN"/>
        </w:rPr>
        <w:t>西北侧</w:t>
      </w:r>
      <w:r>
        <w:rPr>
          <w:rFonts w:hint="eastAsia" w:ascii="宋体" w:hAnsi="宋体" w:eastAsia="宋体" w:cs="宋体"/>
          <w:color w:val="000000"/>
          <w:kern w:val="0"/>
          <w:sz w:val="24"/>
          <w:szCs w:val="24"/>
          <w:lang w:val="en-US" w:eastAsia="zh-CN" w:bidi="ar"/>
        </w:rPr>
        <w:t>约</w:t>
      </w:r>
      <w:r>
        <w:rPr>
          <w:rFonts w:hint="eastAsia" w:ascii="Times New Roman" w:hAnsi="Times New Roman" w:eastAsia="宋体" w:cs="Times New Roman"/>
          <w:color w:val="000000"/>
          <w:kern w:val="0"/>
          <w:sz w:val="24"/>
          <w:szCs w:val="24"/>
          <w:lang w:val="en-US" w:eastAsia="zh-CN" w:bidi="ar"/>
        </w:rPr>
        <w:t>3.7k</w:t>
      </w:r>
      <w:r>
        <w:rPr>
          <w:rFonts w:hint="default" w:ascii="Times New Roman" w:hAnsi="Times New Roman" w:eastAsia="宋体" w:cs="Times New Roman"/>
          <w:color w:val="000000"/>
          <w:kern w:val="0"/>
          <w:sz w:val="24"/>
          <w:szCs w:val="24"/>
          <w:lang w:val="en-US" w:eastAsia="zh-CN" w:bidi="ar"/>
        </w:rPr>
        <w:t>m</w:t>
      </w:r>
      <w:r>
        <w:rPr>
          <w:rFonts w:hint="eastAsia" w:ascii="宋体" w:hAnsi="宋体" w:eastAsia="宋体" w:cs="宋体"/>
          <w:color w:val="000000"/>
          <w:kern w:val="0"/>
          <w:sz w:val="24"/>
          <w:szCs w:val="24"/>
          <w:lang w:val="en-US" w:eastAsia="zh-CN" w:bidi="ar"/>
        </w:rPr>
        <w:t>处的照镜镇水厂地下水井</w:t>
      </w:r>
      <w:r>
        <w:rPr>
          <w:rFonts w:hint="eastAsia"/>
        </w:rPr>
        <w:t>，本项目不在其保护区范围内；但厂区</w:t>
      </w:r>
      <w:r>
        <w:rPr>
          <w:rFonts w:hint="eastAsia"/>
          <w:lang w:val="en-US" w:eastAsia="zh-CN"/>
        </w:rPr>
        <w:t>东北侧300m处的前李村仍存在</w:t>
      </w:r>
      <w:r>
        <w:rPr>
          <w:rFonts w:hint="eastAsia"/>
        </w:rPr>
        <w:t>分散式饮用水源，因此本次地下水功能敏感性分区为G2。</w:t>
      </w:r>
    </w:p>
    <w:p w14:paraId="76F58BB7">
      <w:pPr>
        <w:ind w:firstLine="480"/>
        <w:rPr>
          <w:rFonts w:hint="eastAsia" w:eastAsia="宋体"/>
          <w:lang w:eastAsia="zh-CN"/>
        </w:rPr>
      </w:pPr>
      <w:r>
        <w:t>本项目地下水敏感性属于较敏感G2</w:t>
      </w:r>
      <w:r>
        <w:rPr>
          <w:rFonts w:hint="eastAsia"/>
          <w:lang w:eastAsia="zh-CN"/>
        </w:rPr>
        <w:t>。</w:t>
      </w:r>
    </w:p>
    <w:p w14:paraId="331F075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eastAsiaTheme="minorEastAsia"/>
          <w:lang w:val="en-US" w:eastAsia="zh-CN"/>
        </w:rPr>
      </w:pPr>
      <w:r>
        <w:rPr>
          <w:rFonts w:hint="eastAsia"/>
        </w:rPr>
        <w:t>表</w:t>
      </w:r>
      <w:r>
        <w:rPr>
          <w:rFonts w:hint="eastAsia"/>
          <w:lang w:val="en-US" w:eastAsia="zh-CN"/>
        </w:rPr>
        <w:t>6.2-9</w:t>
      </w:r>
      <w:r>
        <w:rPr>
          <w:rFonts w:hint="eastAsia"/>
        </w:rPr>
        <w:t xml:space="preserve">    </w:t>
      </w:r>
      <w:r>
        <w:rPr>
          <w:rFonts w:hint="eastAsia"/>
          <w:lang w:val="en-US" w:eastAsia="zh-CN"/>
        </w:rPr>
        <w:t>包气带防污性能分级</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058"/>
        <w:gridCol w:w="7311"/>
      </w:tblGrid>
      <w:tr w14:paraId="1955A2B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58" w:type="dxa"/>
            <w:tcBorders>
              <w:tl2br w:val="nil"/>
              <w:tr2bl w:val="nil"/>
            </w:tcBorders>
            <w:noWrap w:val="0"/>
            <w:vAlign w:val="center"/>
          </w:tcPr>
          <w:p w14:paraId="59CCE54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rPr>
            </w:pPr>
            <w:r>
              <w:rPr>
                <w:rFonts w:hint="default" w:ascii="Times New Roman" w:hAnsi="Times New Roman" w:eastAsia="宋体" w:cs="Times New Roman"/>
                <w:b/>
                <w:bCs/>
                <w:sz w:val="21"/>
                <w:szCs w:val="24"/>
              </w:rPr>
              <w:t>分级</w:t>
            </w:r>
          </w:p>
        </w:tc>
        <w:tc>
          <w:tcPr>
            <w:tcW w:w="7308" w:type="dxa"/>
            <w:tcBorders>
              <w:tl2br w:val="nil"/>
              <w:tr2bl w:val="nil"/>
            </w:tcBorders>
            <w:noWrap w:val="0"/>
            <w:vAlign w:val="center"/>
          </w:tcPr>
          <w:p w14:paraId="0135B82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rPr>
            </w:pPr>
            <w:r>
              <w:rPr>
                <w:rFonts w:hint="default" w:ascii="Times New Roman" w:hAnsi="Times New Roman" w:eastAsia="宋体" w:cs="Times New Roman"/>
                <w:b/>
                <w:bCs/>
                <w:sz w:val="21"/>
                <w:szCs w:val="24"/>
              </w:rPr>
              <w:t>包气带岩土的渗透性能</w:t>
            </w:r>
          </w:p>
        </w:tc>
      </w:tr>
      <w:tr w14:paraId="438768D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58" w:type="dxa"/>
            <w:tcBorders>
              <w:tl2br w:val="nil"/>
              <w:tr2bl w:val="nil"/>
            </w:tcBorders>
            <w:noWrap w:val="0"/>
            <w:vAlign w:val="center"/>
          </w:tcPr>
          <w:p w14:paraId="720DC05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D3</w:t>
            </w:r>
          </w:p>
        </w:tc>
        <w:tc>
          <w:tcPr>
            <w:tcW w:w="7308" w:type="dxa"/>
            <w:tcBorders>
              <w:tl2br w:val="nil"/>
              <w:tr2bl w:val="nil"/>
            </w:tcBorders>
            <w:noWrap w:val="0"/>
            <w:vAlign w:val="center"/>
          </w:tcPr>
          <w:p w14:paraId="191D104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4"/>
              </w:rPr>
            </w:pPr>
            <w:r>
              <w:rPr>
                <w:rFonts w:hint="default" w:ascii="Times New Roman" w:hAnsi="Times New Roman" w:cs="Times New Roman"/>
                <w:sz w:val="21"/>
                <w:szCs w:val="24"/>
              </w:rPr>
              <w:t>Mb≥1.0m</w:t>
            </w:r>
            <w:r>
              <w:rPr>
                <w:rFonts w:hint="default" w:ascii="Times New Roman" w:hAnsi="Times New Roman" w:eastAsia="宋体" w:cs="Times New Roman"/>
                <w:sz w:val="21"/>
                <w:szCs w:val="24"/>
              </w:rPr>
              <w:t>，</w:t>
            </w:r>
            <w:r>
              <w:rPr>
                <w:rFonts w:hint="default" w:ascii="Times New Roman" w:hAnsi="Times New Roman" w:cs="Times New Roman"/>
                <w:i/>
                <w:sz w:val="21"/>
                <w:szCs w:val="24"/>
              </w:rPr>
              <w:t>K</w:t>
            </w:r>
            <w:r>
              <w:rPr>
                <w:rFonts w:hint="default" w:ascii="Times New Roman" w:hAnsi="Times New Roman" w:cs="Times New Roman"/>
                <w:sz w:val="21"/>
                <w:szCs w:val="24"/>
              </w:rPr>
              <w:t>≤1.0×10</w:t>
            </w:r>
            <w:r>
              <w:rPr>
                <w:rFonts w:hint="default" w:ascii="Times New Roman" w:hAnsi="Times New Roman" w:cs="Times New Roman"/>
                <w:position w:val="7"/>
                <w:sz w:val="14"/>
                <w:szCs w:val="24"/>
              </w:rPr>
              <w:t>-6</w:t>
            </w:r>
            <w:r>
              <w:rPr>
                <w:rFonts w:hint="default" w:ascii="Times New Roman" w:hAnsi="Times New Roman" w:cs="Times New Roman"/>
                <w:sz w:val="21"/>
                <w:szCs w:val="24"/>
              </w:rPr>
              <w:t>cm/s</w:t>
            </w:r>
            <w:r>
              <w:rPr>
                <w:rFonts w:hint="default" w:ascii="Times New Roman" w:hAnsi="Times New Roman" w:eastAsia="宋体" w:cs="Times New Roman"/>
                <w:sz w:val="21"/>
                <w:szCs w:val="24"/>
              </w:rPr>
              <w:t>，且分布连续、稳定</w:t>
            </w:r>
          </w:p>
        </w:tc>
      </w:tr>
      <w:tr w14:paraId="341F2CE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58" w:type="dxa"/>
            <w:tcBorders>
              <w:tl2br w:val="nil"/>
              <w:tr2bl w:val="nil"/>
            </w:tcBorders>
            <w:noWrap w:val="0"/>
            <w:vAlign w:val="center"/>
          </w:tcPr>
          <w:p w14:paraId="13E393C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D2</w:t>
            </w:r>
          </w:p>
        </w:tc>
        <w:tc>
          <w:tcPr>
            <w:tcW w:w="7308" w:type="dxa"/>
            <w:tcBorders>
              <w:tl2br w:val="nil"/>
              <w:tr2bl w:val="nil"/>
            </w:tcBorders>
            <w:noWrap w:val="0"/>
            <w:vAlign w:val="center"/>
          </w:tcPr>
          <w:p w14:paraId="15C4593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1"/>
                <w:sz w:val="21"/>
                <w:szCs w:val="24"/>
              </w:rPr>
            </w:pPr>
            <w:r>
              <w:rPr>
                <w:rFonts w:hint="default" w:ascii="Times New Roman" w:hAnsi="Times New Roman" w:cs="Times New Roman"/>
                <w:b w:val="0"/>
                <w:bCs w:val="0"/>
                <w:sz w:val="21"/>
                <w:szCs w:val="24"/>
                <w:u w:val="none"/>
              </w:rPr>
              <w:t>0.5m≤Mb&lt;1.0m</w:t>
            </w:r>
            <w:r>
              <w:rPr>
                <w:rFonts w:hint="default" w:ascii="Times New Roman" w:hAnsi="Times New Roman" w:eastAsia="宋体" w:cs="Times New Roman"/>
                <w:b w:val="0"/>
                <w:bCs w:val="0"/>
                <w:sz w:val="21"/>
                <w:szCs w:val="24"/>
                <w:u w:val="none"/>
              </w:rPr>
              <w:t>，</w:t>
            </w:r>
            <w:r>
              <w:rPr>
                <w:rFonts w:hint="default" w:ascii="Times New Roman" w:hAnsi="Times New Roman" w:cs="Times New Roman"/>
                <w:b w:val="0"/>
                <w:bCs w:val="0"/>
                <w:i/>
                <w:sz w:val="21"/>
                <w:szCs w:val="24"/>
                <w:u w:val="none"/>
              </w:rPr>
              <w:t>K</w:t>
            </w:r>
            <w:r>
              <w:rPr>
                <w:rFonts w:hint="default" w:ascii="Times New Roman" w:hAnsi="Times New Roman" w:cs="Times New Roman"/>
                <w:b w:val="0"/>
                <w:bCs w:val="0"/>
                <w:sz w:val="21"/>
                <w:szCs w:val="24"/>
                <w:u w:val="none"/>
              </w:rPr>
              <w:t>≤1.0×10</w:t>
            </w:r>
            <w:r>
              <w:rPr>
                <w:rFonts w:hint="default" w:ascii="Times New Roman" w:hAnsi="Times New Roman" w:cs="Times New Roman"/>
                <w:b w:val="0"/>
                <w:bCs w:val="0"/>
                <w:position w:val="7"/>
                <w:sz w:val="14"/>
                <w:szCs w:val="24"/>
                <w:u w:val="none"/>
              </w:rPr>
              <w:t>-6</w:t>
            </w:r>
            <w:r>
              <w:rPr>
                <w:rFonts w:hint="default" w:ascii="Times New Roman" w:hAnsi="Times New Roman" w:cs="Times New Roman"/>
                <w:b w:val="0"/>
                <w:bCs w:val="0"/>
                <w:sz w:val="21"/>
                <w:szCs w:val="24"/>
                <w:u w:val="none"/>
              </w:rPr>
              <w:t>cm/s</w:t>
            </w:r>
            <w:r>
              <w:rPr>
                <w:rFonts w:hint="default" w:ascii="Times New Roman" w:hAnsi="Times New Roman" w:eastAsia="宋体" w:cs="Times New Roman"/>
                <w:b w:val="0"/>
                <w:bCs w:val="0"/>
                <w:sz w:val="21"/>
                <w:szCs w:val="24"/>
                <w:u w:val="none"/>
              </w:rPr>
              <w:t>，且分布连续、稳定</w:t>
            </w:r>
            <w:r>
              <w:rPr>
                <w:rFonts w:hint="default" w:ascii="Times New Roman" w:hAnsi="Times New Roman" w:cs="Times New Roman"/>
                <w:b w:val="0"/>
                <w:bCs w:val="0"/>
                <w:spacing w:val="-1"/>
                <w:sz w:val="21"/>
                <w:szCs w:val="24"/>
                <w:u w:val="none"/>
              </w:rPr>
              <w:t>Mb≥1.0m</w:t>
            </w:r>
            <w:r>
              <w:rPr>
                <w:rFonts w:hint="default" w:ascii="Times New Roman" w:hAnsi="Times New Roman" w:eastAsia="宋体" w:cs="Times New Roman"/>
                <w:b w:val="0"/>
                <w:bCs w:val="0"/>
                <w:spacing w:val="-1"/>
                <w:sz w:val="21"/>
                <w:szCs w:val="24"/>
                <w:u w:val="none"/>
              </w:rPr>
              <w:t>，</w:t>
            </w:r>
            <w:r>
              <w:rPr>
                <w:rFonts w:hint="default" w:ascii="Times New Roman" w:hAnsi="Times New Roman" w:cs="Times New Roman"/>
                <w:b w:val="0"/>
                <w:bCs w:val="0"/>
                <w:spacing w:val="-1"/>
                <w:sz w:val="21"/>
                <w:szCs w:val="24"/>
                <w:u w:val="none"/>
              </w:rPr>
              <w:t>1.0×10</w:t>
            </w:r>
            <w:r>
              <w:rPr>
                <w:rFonts w:hint="default" w:ascii="Times New Roman" w:hAnsi="Times New Roman" w:cs="Times New Roman"/>
                <w:b w:val="0"/>
                <w:bCs w:val="0"/>
                <w:spacing w:val="-28"/>
                <w:sz w:val="21"/>
                <w:szCs w:val="24"/>
                <w:u w:val="none"/>
              </w:rPr>
              <w:t xml:space="preserve"> </w:t>
            </w:r>
            <w:r>
              <w:rPr>
                <w:rFonts w:hint="default" w:ascii="Times New Roman" w:hAnsi="Times New Roman" w:cs="Times New Roman"/>
                <w:b w:val="0"/>
                <w:bCs w:val="0"/>
                <w:spacing w:val="-1"/>
                <w:position w:val="7"/>
                <w:sz w:val="14"/>
                <w:szCs w:val="24"/>
                <w:u w:val="none"/>
              </w:rPr>
              <w:t>-6</w:t>
            </w:r>
            <w:r>
              <w:rPr>
                <w:rFonts w:hint="default" w:ascii="Times New Roman" w:hAnsi="Times New Roman" w:cs="Times New Roman"/>
                <w:b w:val="0"/>
                <w:bCs w:val="0"/>
                <w:spacing w:val="-1"/>
                <w:sz w:val="21"/>
                <w:szCs w:val="24"/>
                <w:u w:val="none"/>
              </w:rPr>
              <w:t>cm/s</w:t>
            </w:r>
            <w:r>
              <w:rPr>
                <w:rFonts w:hint="default" w:ascii="Times New Roman" w:hAnsi="Times New Roman" w:eastAsia="宋体" w:cs="Times New Roman"/>
                <w:b w:val="0"/>
                <w:bCs w:val="0"/>
                <w:spacing w:val="-1"/>
                <w:sz w:val="21"/>
                <w:szCs w:val="24"/>
                <w:u w:val="none"/>
              </w:rPr>
              <w:t>＜</w:t>
            </w:r>
            <w:r>
              <w:rPr>
                <w:rFonts w:hint="default" w:ascii="Times New Roman" w:hAnsi="Times New Roman" w:cs="Times New Roman"/>
                <w:b w:val="0"/>
                <w:bCs w:val="0"/>
                <w:i/>
                <w:spacing w:val="-1"/>
                <w:sz w:val="21"/>
                <w:szCs w:val="24"/>
                <w:u w:val="none"/>
              </w:rPr>
              <w:t>K</w:t>
            </w:r>
            <w:r>
              <w:rPr>
                <w:rFonts w:hint="default" w:ascii="Times New Roman" w:hAnsi="Times New Roman" w:cs="Times New Roman"/>
                <w:b w:val="0"/>
                <w:bCs w:val="0"/>
                <w:spacing w:val="-1"/>
                <w:sz w:val="21"/>
                <w:szCs w:val="24"/>
                <w:u w:val="none"/>
              </w:rPr>
              <w:t>≤1.0×10</w:t>
            </w:r>
            <w:r>
              <w:rPr>
                <w:rFonts w:hint="default" w:ascii="Times New Roman" w:hAnsi="Times New Roman" w:cs="Times New Roman"/>
                <w:b w:val="0"/>
                <w:bCs w:val="0"/>
                <w:spacing w:val="-1"/>
                <w:position w:val="7"/>
                <w:sz w:val="14"/>
                <w:szCs w:val="24"/>
                <w:u w:val="none"/>
              </w:rPr>
              <w:t>-4</w:t>
            </w:r>
            <w:r>
              <w:rPr>
                <w:rFonts w:hint="default" w:ascii="Times New Roman" w:hAnsi="Times New Roman" w:cs="Times New Roman"/>
                <w:b w:val="0"/>
                <w:bCs w:val="0"/>
                <w:spacing w:val="-1"/>
                <w:sz w:val="21"/>
                <w:szCs w:val="24"/>
                <w:u w:val="none"/>
              </w:rPr>
              <w:t>cm/s</w:t>
            </w:r>
            <w:r>
              <w:rPr>
                <w:rFonts w:hint="default" w:ascii="Times New Roman" w:hAnsi="Times New Roman" w:eastAsia="宋体" w:cs="Times New Roman"/>
                <w:b w:val="0"/>
                <w:bCs w:val="0"/>
                <w:spacing w:val="-1"/>
                <w:sz w:val="21"/>
                <w:szCs w:val="24"/>
                <w:u w:val="none"/>
              </w:rPr>
              <w:t>，且分布连续、稳定</w:t>
            </w:r>
          </w:p>
        </w:tc>
      </w:tr>
      <w:tr w14:paraId="224E15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058" w:type="dxa"/>
            <w:tcBorders>
              <w:tl2br w:val="nil"/>
              <w:tr2bl w:val="nil"/>
            </w:tcBorders>
            <w:noWrap w:val="0"/>
            <w:vAlign w:val="center"/>
          </w:tcPr>
          <w:p w14:paraId="6688D9B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D1</w:t>
            </w:r>
          </w:p>
        </w:tc>
        <w:tc>
          <w:tcPr>
            <w:tcW w:w="7308" w:type="dxa"/>
            <w:tcBorders>
              <w:tl2br w:val="nil"/>
              <w:tr2bl w:val="nil"/>
            </w:tcBorders>
            <w:noWrap w:val="0"/>
            <w:vAlign w:val="center"/>
          </w:tcPr>
          <w:p w14:paraId="4BB04D5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岩（土）层不满足上述</w:t>
            </w:r>
            <w:r>
              <w:rPr>
                <w:rFonts w:hint="default" w:ascii="Times New Roman" w:hAnsi="Times New Roman" w:cs="Times New Roman"/>
                <w:sz w:val="21"/>
                <w:szCs w:val="24"/>
              </w:rPr>
              <w:t>“D2”</w:t>
            </w:r>
            <w:r>
              <w:rPr>
                <w:rFonts w:hint="default" w:ascii="Times New Roman" w:hAnsi="Times New Roman" w:eastAsia="宋体" w:cs="Times New Roman"/>
                <w:sz w:val="21"/>
                <w:szCs w:val="24"/>
              </w:rPr>
              <w:t>和</w:t>
            </w:r>
            <w:r>
              <w:rPr>
                <w:rFonts w:hint="default" w:ascii="Times New Roman" w:hAnsi="Times New Roman" w:cs="Times New Roman"/>
                <w:sz w:val="21"/>
                <w:szCs w:val="24"/>
              </w:rPr>
              <w:t>“D3”</w:t>
            </w:r>
            <w:r>
              <w:rPr>
                <w:rFonts w:hint="default" w:ascii="Times New Roman" w:hAnsi="Times New Roman" w:eastAsia="宋体" w:cs="Times New Roman"/>
                <w:sz w:val="21"/>
                <w:szCs w:val="24"/>
              </w:rPr>
              <w:t>条件</w:t>
            </w:r>
          </w:p>
        </w:tc>
      </w:tr>
    </w:tbl>
    <w:p w14:paraId="0BD9C7EC">
      <w:pPr>
        <w:ind w:firstLine="480"/>
        <w:rPr>
          <w:rFonts w:hint="eastAsia"/>
        </w:rPr>
      </w:pPr>
      <w:r>
        <w:rPr>
          <w:rFonts w:hint="eastAsia"/>
        </w:rPr>
        <w:t>根据本次评价期间的调查结果可知，项目包气带防污性能分区为D</w:t>
      </w:r>
      <w:r>
        <w:rPr>
          <w:rFonts w:hint="eastAsia"/>
          <w:lang w:val="en-US" w:eastAsia="zh-CN"/>
        </w:rPr>
        <w:t>1</w:t>
      </w:r>
      <w:r>
        <w:rPr>
          <w:rFonts w:hint="eastAsia"/>
        </w:rPr>
        <w:t>。</w:t>
      </w:r>
    </w:p>
    <w:p w14:paraId="6797630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default"/>
        </w:rPr>
        <w:t>表</w:t>
      </w:r>
      <w:r>
        <w:rPr>
          <w:rFonts w:hint="eastAsia"/>
          <w:lang w:val="en-US" w:eastAsia="zh-CN"/>
        </w:rPr>
        <w:t>6.2-10</w:t>
      </w:r>
      <w:r>
        <w:rPr>
          <w:rFonts w:hint="default"/>
          <w:lang w:val="en-US" w:eastAsia="zh-CN"/>
        </w:rPr>
        <w:t xml:space="preserve">     </w:t>
      </w:r>
      <w:r>
        <w:rPr>
          <w:rFonts w:hint="default"/>
        </w:rPr>
        <w:t>地下水环境敏感程度分级</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453"/>
        <w:gridCol w:w="1871"/>
        <w:gridCol w:w="1725"/>
        <w:gridCol w:w="3320"/>
      </w:tblGrid>
      <w:tr w14:paraId="3D553E3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453" w:type="dxa"/>
            <w:vMerge w:val="restart"/>
            <w:tcBorders>
              <w:tl2br w:val="nil"/>
              <w:tr2bl w:val="nil"/>
            </w:tcBorders>
            <w:noWrap w:val="0"/>
            <w:vAlign w:val="center"/>
          </w:tcPr>
          <w:p w14:paraId="65F73FF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4"/>
              </w:rPr>
            </w:pPr>
            <w:r>
              <w:rPr>
                <w:rFonts w:hint="default" w:ascii="Times New Roman" w:hAnsi="Times New Roman" w:eastAsia="宋体" w:cs="Times New Roman"/>
                <w:sz w:val="21"/>
                <w:szCs w:val="24"/>
              </w:rPr>
              <w:t>环境敏感目标</w:t>
            </w:r>
          </w:p>
        </w:tc>
        <w:tc>
          <w:tcPr>
            <w:tcW w:w="6916" w:type="dxa"/>
            <w:gridSpan w:val="3"/>
            <w:tcBorders>
              <w:tl2br w:val="nil"/>
              <w:tr2bl w:val="nil"/>
            </w:tcBorders>
            <w:noWrap w:val="0"/>
            <w:vAlign w:val="center"/>
          </w:tcPr>
          <w:p w14:paraId="36CBE8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z w:val="21"/>
                <w:szCs w:val="24"/>
              </w:rPr>
            </w:pPr>
            <w:r>
              <w:rPr>
                <w:rFonts w:hint="default" w:ascii="Times New Roman" w:hAnsi="Times New Roman" w:eastAsia="宋体" w:cs="Times New Roman"/>
                <w:sz w:val="21"/>
                <w:szCs w:val="24"/>
              </w:rPr>
              <w:t>地下水功能敏感性</w:t>
            </w:r>
          </w:p>
        </w:tc>
      </w:tr>
      <w:tr w14:paraId="059602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453" w:type="dxa"/>
            <w:vMerge w:val="continue"/>
            <w:tcBorders>
              <w:tl2br w:val="nil"/>
              <w:tr2bl w:val="nil"/>
            </w:tcBorders>
            <w:noWrap w:val="0"/>
            <w:vAlign w:val="center"/>
          </w:tcPr>
          <w:p w14:paraId="6D30BB71">
            <w:pPr>
              <w:pStyle w:val="35"/>
              <w:keepNext w:val="0"/>
              <w:keepLines w:val="0"/>
              <w:pageBreakBefore w:val="0"/>
              <w:widowControl/>
              <w:kinsoku/>
              <w:wordWrap/>
              <w:overflowPunct/>
              <w:topLinePunct/>
              <w:autoSpaceDE/>
              <w:autoSpaceDN/>
              <w:bidi w:val="0"/>
              <w:adjustRightInd w:val="0"/>
              <w:snapToGrid w:val="0"/>
              <w:spacing w:before="0" w:beforeLines="0" w:after="0" w:afterLines="0" w:line="240" w:lineRule="auto"/>
              <w:ind w:left="0" w:right="0" w:firstLine="0" w:firstLineChars="0"/>
              <w:jc w:val="center"/>
              <w:textAlignment w:val="auto"/>
              <w:outlineLvl w:val="9"/>
              <w:rPr>
                <w:rFonts w:hint="default" w:ascii="Times New Roman" w:hAnsi="Times New Roman" w:cs="Times New Roman"/>
                <w:sz w:val="2"/>
                <w:szCs w:val="24"/>
              </w:rPr>
            </w:pPr>
          </w:p>
        </w:tc>
        <w:tc>
          <w:tcPr>
            <w:tcW w:w="1871" w:type="dxa"/>
            <w:tcBorders>
              <w:tl2br w:val="nil"/>
              <w:tr2bl w:val="nil"/>
            </w:tcBorders>
            <w:noWrap w:val="0"/>
            <w:vAlign w:val="center"/>
          </w:tcPr>
          <w:p w14:paraId="0FB6449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G1</w:t>
            </w:r>
          </w:p>
        </w:tc>
        <w:tc>
          <w:tcPr>
            <w:tcW w:w="1725" w:type="dxa"/>
            <w:tcBorders>
              <w:tl2br w:val="nil"/>
              <w:tr2bl w:val="nil"/>
            </w:tcBorders>
            <w:noWrap w:val="0"/>
            <w:vAlign w:val="center"/>
          </w:tcPr>
          <w:p w14:paraId="71DE99B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G2</w:t>
            </w:r>
          </w:p>
        </w:tc>
        <w:tc>
          <w:tcPr>
            <w:tcW w:w="3320" w:type="dxa"/>
            <w:tcBorders>
              <w:tl2br w:val="nil"/>
              <w:tr2bl w:val="nil"/>
            </w:tcBorders>
            <w:noWrap w:val="0"/>
            <w:vAlign w:val="center"/>
          </w:tcPr>
          <w:p w14:paraId="4F3EFC7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G3</w:t>
            </w:r>
          </w:p>
        </w:tc>
      </w:tr>
      <w:tr w14:paraId="2406EC9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453" w:type="dxa"/>
            <w:tcBorders>
              <w:tl2br w:val="nil"/>
              <w:tr2bl w:val="nil"/>
            </w:tcBorders>
            <w:noWrap w:val="0"/>
            <w:vAlign w:val="center"/>
          </w:tcPr>
          <w:p w14:paraId="154302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D1</w:t>
            </w:r>
          </w:p>
        </w:tc>
        <w:tc>
          <w:tcPr>
            <w:tcW w:w="1871" w:type="dxa"/>
            <w:tcBorders>
              <w:tl2br w:val="nil"/>
              <w:tr2bl w:val="nil"/>
            </w:tcBorders>
            <w:noWrap w:val="0"/>
            <w:vAlign w:val="center"/>
          </w:tcPr>
          <w:p w14:paraId="668EFD6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E1</w:t>
            </w:r>
          </w:p>
        </w:tc>
        <w:tc>
          <w:tcPr>
            <w:tcW w:w="1725" w:type="dxa"/>
            <w:tcBorders>
              <w:tl2br w:val="nil"/>
              <w:tr2bl w:val="nil"/>
            </w:tcBorders>
            <w:noWrap w:val="0"/>
            <w:vAlign w:val="center"/>
          </w:tcPr>
          <w:p w14:paraId="2859B48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bCs/>
                <w:sz w:val="21"/>
                <w:szCs w:val="24"/>
              </w:rPr>
              <w:t>E1</w:t>
            </w:r>
          </w:p>
        </w:tc>
        <w:tc>
          <w:tcPr>
            <w:tcW w:w="3320" w:type="dxa"/>
            <w:tcBorders>
              <w:tl2br w:val="nil"/>
              <w:tr2bl w:val="nil"/>
            </w:tcBorders>
            <w:noWrap w:val="0"/>
            <w:vAlign w:val="center"/>
          </w:tcPr>
          <w:p w14:paraId="5679F01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E2</w:t>
            </w:r>
          </w:p>
        </w:tc>
      </w:tr>
      <w:tr w14:paraId="5FCF51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453" w:type="dxa"/>
            <w:tcBorders>
              <w:tl2br w:val="nil"/>
              <w:tr2bl w:val="nil"/>
            </w:tcBorders>
            <w:noWrap w:val="0"/>
            <w:vAlign w:val="center"/>
          </w:tcPr>
          <w:p w14:paraId="03B5350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D2</w:t>
            </w:r>
          </w:p>
        </w:tc>
        <w:tc>
          <w:tcPr>
            <w:tcW w:w="1871" w:type="dxa"/>
            <w:tcBorders>
              <w:tl2br w:val="nil"/>
              <w:tr2bl w:val="nil"/>
            </w:tcBorders>
            <w:noWrap w:val="0"/>
            <w:vAlign w:val="center"/>
          </w:tcPr>
          <w:p w14:paraId="28E714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E1</w:t>
            </w:r>
          </w:p>
        </w:tc>
        <w:tc>
          <w:tcPr>
            <w:tcW w:w="1725" w:type="dxa"/>
            <w:tcBorders>
              <w:tl2br w:val="nil"/>
              <w:tr2bl w:val="nil"/>
            </w:tcBorders>
            <w:noWrap w:val="0"/>
            <w:vAlign w:val="center"/>
          </w:tcPr>
          <w:p w14:paraId="2352CE1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E2</w:t>
            </w:r>
          </w:p>
        </w:tc>
        <w:tc>
          <w:tcPr>
            <w:tcW w:w="3320" w:type="dxa"/>
            <w:tcBorders>
              <w:tl2br w:val="nil"/>
              <w:tr2bl w:val="nil"/>
            </w:tcBorders>
            <w:noWrap w:val="0"/>
            <w:vAlign w:val="center"/>
          </w:tcPr>
          <w:p w14:paraId="0D37DD9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E3</w:t>
            </w:r>
          </w:p>
        </w:tc>
      </w:tr>
      <w:tr w14:paraId="2336F07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453" w:type="dxa"/>
            <w:tcBorders>
              <w:tl2br w:val="nil"/>
              <w:tr2bl w:val="nil"/>
            </w:tcBorders>
            <w:noWrap w:val="0"/>
            <w:vAlign w:val="center"/>
          </w:tcPr>
          <w:p w14:paraId="306981B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D3</w:t>
            </w:r>
          </w:p>
        </w:tc>
        <w:tc>
          <w:tcPr>
            <w:tcW w:w="1871" w:type="dxa"/>
            <w:tcBorders>
              <w:tl2br w:val="nil"/>
              <w:tr2bl w:val="nil"/>
            </w:tcBorders>
            <w:noWrap w:val="0"/>
            <w:vAlign w:val="center"/>
          </w:tcPr>
          <w:p w14:paraId="5EAAD0C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E2</w:t>
            </w:r>
          </w:p>
        </w:tc>
        <w:tc>
          <w:tcPr>
            <w:tcW w:w="1725" w:type="dxa"/>
            <w:tcBorders>
              <w:tl2br w:val="nil"/>
              <w:tr2bl w:val="nil"/>
            </w:tcBorders>
            <w:noWrap w:val="0"/>
            <w:vAlign w:val="center"/>
          </w:tcPr>
          <w:p w14:paraId="145C04B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E3</w:t>
            </w:r>
          </w:p>
        </w:tc>
        <w:tc>
          <w:tcPr>
            <w:tcW w:w="3320" w:type="dxa"/>
            <w:tcBorders>
              <w:tl2br w:val="nil"/>
              <w:tr2bl w:val="nil"/>
            </w:tcBorders>
            <w:noWrap w:val="0"/>
            <w:vAlign w:val="center"/>
          </w:tcPr>
          <w:p w14:paraId="6A2D0E8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E3</w:t>
            </w:r>
          </w:p>
        </w:tc>
      </w:tr>
    </w:tbl>
    <w:p w14:paraId="7081635E">
      <w:pPr>
        <w:pStyle w:val="94"/>
        <w:keepNext w:val="0"/>
        <w:keepLines w:val="0"/>
        <w:pageBreakBefore w:val="0"/>
        <w:widowControl/>
        <w:numPr>
          <w:ilvl w:val="0"/>
          <w:numId w:val="0"/>
        </w:numPr>
        <w:tabs>
          <w:tab w:val="left" w:pos="1310"/>
        </w:tabs>
        <w:kinsoku/>
        <w:wordWrap/>
        <w:overflowPunct/>
        <w:topLinePunct/>
        <w:autoSpaceDE/>
        <w:autoSpaceDN/>
        <w:bidi w:val="0"/>
        <w:adjustRightInd w:val="0"/>
        <w:snapToGrid w:val="0"/>
        <w:spacing w:after="0" w:line="520" w:lineRule="exact"/>
        <w:ind w:leftChars="0" w:right="0" w:rightChars="0" w:firstLine="464" w:firstLineChars="200"/>
        <w:jc w:val="both"/>
        <w:textAlignment w:val="auto"/>
        <w:rPr>
          <w:rFonts w:hint="default" w:ascii="Times New Roman" w:hAnsi="Times New Roman" w:eastAsia="宋体" w:cs="Times New Roman"/>
          <w:spacing w:val="-4"/>
          <w:sz w:val="24"/>
          <w:szCs w:val="20"/>
          <w:lang w:val="en-US" w:eastAsia="zh-CN" w:bidi="ar-SA"/>
        </w:rPr>
      </w:pPr>
      <w:r>
        <w:rPr>
          <w:rFonts w:hint="default" w:ascii="Times New Roman" w:hAnsi="Times New Roman" w:eastAsia="宋体" w:cs="Times New Roman"/>
          <w:spacing w:val="-4"/>
          <w:sz w:val="24"/>
          <w:szCs w:val="20"/>
          <w:lang w:val="en-US" w:eastAsia="zh-CN" w:bidi="ar-SA"/>
        </w:rPr>
        <w:t>综上分析，本项目地下水环境敏感程度分级为E</w:t>
      </w:r>
      <w:r>
        <w:rPr>
          <w:rFonts w:hint="eastAsia" w:ascii="Times New Roman" w:hAnsi="Times New Roman" w:eastAsia="宋体" w:cs="Times New Roman"/>
          <w:spacing w:val="-4"/>
          <w:sz w:val="24"/>
          <w:szCs w:val="20"/>
          <w:lang w:val="en-US" w:eastAsia="zh-CN" w:bidi="ar-SA"/>
        </w:rPr>
        <w:t>1</w:t>
      </w:r>
      <w:r>
        <w:rPr>
          <w:rFonts w:hint="default" w:ascii="Times New Roman" w:hAnsi="Times New Roman" w:eastAsia="宋体" w:cs="Times New Roman"/>
          <w:spacing w:val="-4"/>
          <w:sz w:val="24"/>
          <w:szCs w:val="20"/>
          <w:lang w:val="en-US" w:eastAsia="zh-CN" w:bidi="ar-SA"/>
        </w:rPr>
        <w:t>。</w:t>
      </w:r>
    </w:p>
    <w:p w14:paraId="0E26140D">
      <w:pPr>
        <w:keepNext w:val="0"/>
        <w:keepLines w:val="0"/>
        <w:pageBreakBefore w:val="0"/>
        <w:kinsoku/>
        <w:wordWrap/>
        <w:overflowPunct/>
        <w:autoSpaceDE/>
        <w:autoSpaceDN/>
        <w:bidi w:val="0"/>
        <w:adjustRightInd w:val="0"/>
        <w:snapToGrid w:val="0"/>
        <w:spacing w:line="520" w:lineRule="exact"/>
        <w:ind w:firstLine="480"/>
        <w:rPr>
          <w:rFonts w:hint="eastAsia" w:ascii="Times New Roman" w:hAnsi="Times New Roman" w:eastAsia="宋体" w:cs="Times New Roman"/>
          <w:spacing w:val="-4"/>
          <w:sz w:val="24"/>
          <w:szCs w:val="20"/>
          <w:lang w:val="en-US" w:eastAsia="zh-CN" w:bidi="ar-SA"/>
        </w:rPr>
      </w:pPr>
      <w:r>
        <w:rPr>
          <w:rFonts w:hint="eastAsia" w:ascii="Times New Roman" w:hAnsi="Times New Roman" w:eastAsia="宋体" w:cs="Times New Roman"/>
          <w:spacing w:val="-4"/>
          <w:sz w:val="24"/>
          <w:szCs w:val="20"/>
          <w:lang w:val="en-US" w:eastAsia="zh-CN" w:bidi="ar-SA"/>
        </w:rPr>
        <w:t>根据现状调查，本项目各环境要素的风险敏感程度判定见下表。</w:t>
      </w:r>
    </w:p>
    <w:p w14:paraId="64EFE531">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default"/>
        </w:rPr>
        <w:t>表</w:t>
      </w:r>
      <w:r>
        <w:rPr>
          <w:rFonts w:hint="eastAsia"/>
          <w:lang w:val="en-US" w:eastAsia="zh-CN"/>
        </w:rPr>
        <w:t>6.2-11</w:t>
      </w:r>
      <w:r>
        <w:rPr>
          <w:rFonts w:hint="default"/>
          <w:lang w:val="en-US" w:eastAsia="zh-CN"/>
        </w:rPr>
        <w:t xml:space="preserve">    </w:t>
      </w:r>
      <w:r>
        <w:rPr>
          <w:rFonts w:hint="eastAsia"/>
          <w:lang w:val="en-US" w:eastAsia="zh-CN"/>
        </w:rPr>
        <w:t xml:space="preserve"> </w:t>
      </w:r>
      <w:r>
        <w:rPr>
          <w:rFonts w:hint="default"/>
        </w:rPr>
        <w:t>项目环境敏感程度分级</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1201"/>
        <w:gridCol w:w="5620"/>
        <w:gridCol w:w="1548"/>
      </w:tblGrid>
      <w:tr w14:paraId="185D19F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01" w:type="dxa"/>
            <w:tcBorders>
              <w:tl2br w:val="nil"/>
              <w:tr2bl w:val="nil"/>
            </w:tcBorders>
            <w:noWrap w:val="0"/>
            <w:vAlign w:val="center"/>
          </w:tcPr>
          <w:p w14:paraId="66A76CD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环境要素</w:t>
            </w:r>
          </w:p>
        </w:tc>
        <w:tc>
          <w:tcPr>
            <w:tcW w:w="5620" w:type="dxa"/>
            <w:tcBorders>
              <w:tl2br w:val="nil"/>
              <w:tr2bl w:val="nil"/>
            </w:tcBorders>
            <w:noWrap w:val="0"/>
            <w:vAlign w:val="center"/>
          </w:tcPr>
          <w:p w14:paraId="4F28A2D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判定依据</w:t>
            </w:r>
          </w:p>
        </w:tc>
        <w:tc>
          <w:tcPr>
            <w:tcW w:w="1548" w:type="dxa"/>
            <w:tcBorders>
              <w:tl2br w:val="nil"/>
              <w:tr2bl w:val="nil"/>
            </w:tcBorders>
            <w:noWrap w:val="0"/>
            <w:vAlign w:val="center"/>
          </w:tcPr>
          <w:p w14:paraId="71ED200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敏感程度（</w:t>
            </w:r>
            <w:r>
              <w:rPr>
                <w:rFonts w:hint="default" w:ascii="Times New Roman" w:hAnsi="Times New Roman" w:eastAsia="Times New Roman" w:cs="Times New Roman"/>
                <w:spacing w:val="0"/>
                <w:kern w:val="21"/>
                <w:sz w:val="21"/>
                <w:szCs w:val="24"/>
              </w:rPr>
              <w:t>E</w:t>
            </w:r>
            <w:r>
              <w:rPr>
                <w:rFonts w:hint="default" w:ascii="Times New Roman" w:hAnsi="Times New Roman" w:cs="Times New Roman"/>
                <w:spacing w:val="0"/>
                <w:kern w:val="21"/>
                <w:sz w:val="21"/>
                <w:szCs w:val="24"/>
              </w:rPr>
              <w:t>）</w:t>
            </w:r>
          </w:p>
        </w:tc>
      </w:tr>
      <w:tr w14:paraId="0CD182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01" w:type="dxa"/>
            <w:tcBorders>
              <w:tl2br w:val="nil"/>
              <w:tr2bl w:val="nil"/>
            </w:tcBorders>
            <w:noWrap w:val="0"/>
            <w:vAlign w:val="center"/>
          </w:tcPr>
          <w:p w14:paraId="566398D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大气环境</w:t>
            </w:r>
          </w:p>
        </w:tc>
        <w:tc>
          <w:tcPr>
            <w:tcW w:w="5620" w:type="dxa"/>
            <w:tcBorders>
              <w:tl2br w:val="nil"/>
              <w:tr2bl w:val="nil"/>
            </w:tcBorders>
            <w:noWrap w:val="0"/>
            <w:vAlign w:val="center"/>
          </w:tcPr>
          <w:p w14:paraId="5CCB312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周边</w:t>
            </w:r>
            <w:r>
              <w:rPr>
                <w:rFonts w:hint="default" w:ascii="Times New Roman" w:hAnsi="Times New Roman" w:eastAsia="Times New Roman" w:cs="Times New Roman"/>
                <w:spacing w:val="0"/>
                <w:kern w:val="21"/>
                <w:sz w:val="21"/>
                <w:szCs w:val="24"/>
              </w:rPr>
              <w:t>5km</w:t>
            </w:r>
            <w:r>
              <w:rPr>
                <w:rFonts w:hint="default" w:ascii="Times New Roman" w:hAnsi="Times New Roman" w:cs="Times New Roman"/>
                <w:spacing w:val="0"/>
                <w:kern w:val="21"/>
                <w:sz w:val="21"/>
                <w:szCs w:val="24"/>
              </w:rPr>
              <w:t>范围内居住区、医疗卫生、文化教育、科研、行政办公等机构人口总数大于</w:t>
            </w:r>
            <w:r>
              <w:rPr>
                <w:rFonts w:hint="default" w:ascii="Times New Roman" w:hAnsi="Times New Roman" w:eastAsia="Times New Roman" w:cs="Times New Roman"/>
                <w:spacing w:val="0"/>
                <w:kern w:val="21"/>
                <w:sz w:val="21"/>
                <w:szCs w:val="24"/>
              </w:rPr>
              <w:t>5</w:t>
            </w:r>
            <w:r>
              <w:rPr>
                <w:rFonts w:hint="default" w:ascii="Times New Roman" w:hAnsi="Times New Roman" w:cs="Times New Roman"/>
                <w:spacing w:val="0"/>
                <w:kern w:val="21"/>
                <w:sz w:val="21"/>
                <w:szCs w:val="24"/>
              </w:rPr>
              <w:t>万人</w:t>
            </w:r>
          </w:p>
        </w:tc>
        <w:tc>
          <w:tcPr>
            <w:tcW w:w="1548" w:type="dxa"/>
            <w:tcBorders>
              <w:tl2br w:val="nil"/>
              <w:tr2bl w:val="nil"/>
            </w:tcBorders>
            <w:noWrap w:val="0"/>
            <w:vAlign w:val="center"/>
          </w:tcPr>
          <w:p w14:paraId="66F2D91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spacing w:val="0"/>
                <w:kern w:val="21"/>
                <w:sz w:val="21"/>
                <w:szCs w:val="24"/>
              </w:rPr>
            </w:pPr>
            <w:r>
              <w:rPr>
                <w:rFonts w:hint="default" w:ascii="Times New Roman" w:hAnsi="Times New Roman" w:eastAsia="Times New Roman" w:cs="Times New Roman"/>
                <w:spacing w:val="0"/>
                <w:kern w:val="21"/>
                <w:sz w:val="21"/>
                <w:szCs w:val="24"/>
              </w:rPr>
              <w:t>E1</w:t>
            </w:r>
          </w:p>
        </w:tc>
      </w:tr>
      <w:tr w14:paraId="50A6DD1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01" w:type="dxa"/>
            <w:tcBorders>
              <w:tl2br w:val="nil"/>
              <w:tr2bl w:val="nil"/>
            </w:tcBorders>
            <w:noWrap w:val="0"/>
            <w:vAlign w:val="center"/>
          </w:tcPr>
          <w:p w14:paraId="4E4C4BA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地表水环境</w:t>
            </w:r>
          </w:p>
        </w:tc>
        <w:tc>
          <w:tcPr>
            <w:tcW w:w="5620" w:type="dxa"/>
            <w:tcBorders>
              <w:tl2br w:val="nil"/>
              <w:tr2bl w:val="nil"/>
            </w:tcBorders>
            <w:noWrap w:val="0"/>
            <w:vAlign w:val="center"/>
          </w:tcPr>
          <w:p w14:paraId="58E5569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周边水体属</w:t>
            </w:r>
            <w:r>
              <w:rPr>
                <w:rFonts w:hint="default" w:ascii="Times New Roman" w:hAnsi="Times New Roman" w:eastAsia="宋体" w:cs="Times New Roman"/>
                <w:spacing w:val="0"/>
                <w:kern w:val="21"/>
                <w:sz w:val="21"/>
                <w:szCs w:val="24"/>
                <w:lang w:val="en-US" w:eastAsia="zh-CN"/>
              </w:rPr>
              <w:t>IV</w:t>
            </w:r>
            <w:r>
              <w:rPr>
                <w:rFonts w:hint="default" w:ascii="Times New Roman" w:hAnsi="Times New Roman" w:cs="Times New Roman"/>
                <w:spacing w:val="0"/>
                <w:kern w:val="21"/>
                <w:sz w:val="21"/>
                <w:szCs w:val="24"/>
              </w:rPr>
              <w:t>类功能区（</w:t>
            </w:r>
            <w:r>
              <w:rPr>
                <w:rFonts w:hint="default" w:ascii="Times New Roman" w:hAnsi="Times New Roman" w:eastAsia="Times New Roman" w:cs="Times New Roman"/>
                <w:spacing w:val="0"/>
                <w:kern w:val="21"/>
                <w:sz w:val="21"/>
                <w:szCs w:val="24"/>
              </w:rPr>
              <w:t>F</w:t>
            </w:r>
            <w:r>
              <w:rPr>
                <w:rFonts w:hint="default" w:ascii="Times New Roman" w:hAnsi="Times New Roman" w:eastAsia="宋体" w:cs="Times New Roman"/>
                <w:spacing w:val="0"/>
                <w:kern w:val="21"/>
                <w:sz w:val="21"/>
                <w:szCs w:val="24"/>
                <w:lang w:val="en-US" w:eastAsia="zh-CN"/>
              </w:rPr>
              <w:t>3</w:t>
            </w:r>
            <w:r>
              <w:rPr>
                <w:rFonts w:hint="default" w:ascii="Times New Roman" w:hAnsi="Times New Roman" w:cs="Times New Roman"/>
                <w:spacing w:val="0"/>
                <w:kern w:val="21"/>
                <w:sz w:val="21"/>
                <w:szCs w:val="24"/>
              </w:rPr>
              <w:t>类较敏感功能区），可能事故影响范围内存在敏感目标（</w:t>
            </w:r>
            <w:r>
              <w:rPr>
                <w:rFonts w:hint="default" w:ascii="Times New Roman" w:hAnsi="Times New Roman" w:eastAsia="Times New Roman" w:cs="Times New Roman"/>
                <w:spacing w:val="0"/>
                <w:kern w:val="21"/>
                <w:sz w:val="21"/>
                <w:szCs w:val="24"/>
              </w:rPr>
              <w:t>S3</w:t>
            </w:r>
            <w:r>
              <w:rPr>
                <w:rFonts w:hint="default" w:ascii="Times New Roman" w:hAnsi="Times New Roman" w:cs="Times New Roman"/>
                <w:spacing w:val="0"/>
                <w:kern w:val="21"/>
                <w:sz w:val="21"/>
                <w:szCs w:val="24"/>
              </w:rPr>
              <w:t>类敏感目标区域）；</w:t>
            </w:r>
          </w:p>
        </w:tc>
        <w:tc>
          <w:tcPr>
            <w:tcW w:w="1548" w:type="dxa"/>
            <w:tcBorders>
              <w:tl2br w:val="nil"/>
              <w:tr2bl w:val="nil"/>
            </w:tcBorders>
            <w:noWrap w:val="0"/>
            <w:vAlign w:val="center"/>
          </w:tcPr>
          <w:p w14:paraId="5ADC2F9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eastAsia="zh-CN"/>
              </w:rPr>
            </w:pPr>
            <w:r>
              <w:rPr>
                <w:rFonts w:hint="default" w:ascii="Times New Roman" w:hAnsi="Times New Roman" w:eastAsia="Times New Roman" w:cs="Times New Roman"/>
                <w:spacing w:val="0"/>
                <w:kern w:val="21"/>
                <w:sz w:val="21"/>
                <w:szCs w:val="24"/>
              </w:rPr>
              <w:t>E</w:t>
            </w:r>
            <w:r>
              <w:rPr>
                <w:rFonts w:hint="default" w:ascii="Times New Roman" w:hAnsi="Times New Roman" w:eastAsia="宋体" w:cs="Times New Roman"/>
                <w:spacing w:val="0"/>
                <w:kern w:val="21"/>
                <w:sz w:val="21"/>
                <w:szCs w:val="24"/>
                <w:lang w:val="en-US" w:eastAsia="zh-CN"/>
              </w:rPr>
              <w:t>3</w:t>
            </w:r>
          </w:p>
        </w:tc>
      </w:tr>
      <w:tr w14:paraId="704333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1201" w:type="dxa"/>
            <w:tcBorders>
              <w:tl2br w:val="nil"/>
              <w:tr2bl w:val="nil"/>
            </w:tcBorders>
            <w:noWrap w:val="0"/>
            <w:vAlign w:val="center"/>
          </w:tcPr>
          <w:p w14:paraId="3511AF9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pacing w:val="0"/>
                <w:kern w:val="21"/>
                <w:sz w:val="21"/>
                <w:szCs w:val="24"/>
              </w:rPr>
            </w:pPr>
            <w:r>
              <w:rPr>
                <w:rFonts w:hint="default" w:ascii="Times New Roman" w:hAnsi="Times New Roman" w:cs="Times New Roman"/>
                <w:spacing w:val="0"/>
                <w:kern w:val="21"/>
                <w:sz w:val="21"/>
                <w:szCs w:val="24"/>
              </w:rPr>
              <w:t>地下水环境</w:t>
            </w:r>
          </w:p>
        </w:tc>
        <w:tc>
          <w:tcPr>
            <w:tcW w:w="5620" w:type="dxa"/>
            <w:tcBorders>
              <w:tl2br w:val="nil"/>
              <w:tr2bl w:val="nil"/>
            </w:tcBorders>
            <w:noWrap w:val="0"/>
            <w:vAlign w:val="center"/>
          </w:tcPr>
          <w:p w14:paraId="4F24934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eastAsia" w:ascii="Times New Roman" w:hAnsi="Times New Roman" w:eastAsia="宋体" w:cs="Times New Roman"/>
                <w:spacing w:val="0"/>
                <w:kern w:val="21"/>
                <w:sz w:val="21"/>
                <w:szCs w:val="24"/>
                <w:lang w:eastAsia="zh-CN"/>
              </w:rPr>
            </w:pPr>
            <w:r>
              <w:rPr>
                <w:rFonts w:hint="default" w:ascii="Times New Roman" w:hAnsi="Times New Roman" w:cs="Times New Roman"/>
                <w:spacing w:val="0"/>
                <w:kern w:val="21"/>
                <w:sz w:val="21"/>
                <w:szCs w:val="24"/>
              </w:rPr>
              <w:t>属于地下水较敏感功能区（</w:t>
            </w:r>
            <w:r>
              <w:rPr>
                <w:rFonts w:hint="default" w:ascii="Times New Roman" w:hAnsi="Times New Roman" w:eastAsia="Times New Roman" w:cs="Times New Roman"/>
                <w:spacing w:val="0"/>
                <w:kern w:val="21"/>
                <w:sz w:val="21"/>
                <w:szCs w:val="24"/>
              </w:rPr>
              <w:t>G2</w:t>
            </w:r>
            <w:r>
              <w:rPr>
                <w:rFonts w:hint="default" w:ascii="Times New Roman" w:hAnsi="Times New Roman" w:cs="Times New Roman"/>
                <w:spacing w:val="0"/>
                <w:kern w:val="21"/>
                <w:sz w:val="21"/>
                <w:szCs w:val="24"/>
              </w:rPr>
              <w:t>），包气带防污性能分级为</w:t>
            </w:r>
            <w:r>
              <w:rPr>
                <w:rFonts w:hint="default" w:ascii="Times New Roman" w:hAnsi="Times New Roman" w:eastAsia="Times New Roman" w:cs="Times New Roman"/>
                <w:spacing w:val="0"/>
                <w:kern w:val="21"/>
                <w:sz w:val="21"/>
                <w:szCs w:val="24"/>
              </w:rPr>
              <w:t>D</w:t>
            </w:r>
            <w:r>
              <w:rPr>
                <w:rFonts w:hint="eastAsia" w:ascii="Times New Roman" w:hAnsi="Times New Roman" w:eastAsia="宋体" w:cs="Times New Roman"/>
                <w:spacing w:val="0"/>
                <w:kern w:val="21"/>
                <w:sz w:val="21"/>
                <w:szCs w:val="24"/>
                <w:lang w:val="en-US" w:eastAsia="zh-CN"/>
              </w:rPr>
              <w:t>1</w:t>
            </w:r>
          </w:p>
        </w:tc>
        <w:tc>
          <w:tcPr>
            <w:tcW w:w="1548" w:type="dxa"/>
            <w:tcBorders>
              <w:tl2br w:val="nil"/>
              <w:tr2bl w:val="nil"/>
            </w:tcBorders>
            <w:noWrap w:val="0"/>
            <w:vAlign w:val="center"/>
          </w:tcPr>
          <w:p w14:paraId="1E60CF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spacing w:val="0"/>
                <w:kern w:val="21"/>
                <w:sz w:val="21"/>
                <w:szCs w:val="24"/>
                <w:lang w:val="en-US" w:eastAsia="zh-CN"/>
              </w:rPr>
            </w:pPr>
            <w:r>
              <w:rPr>
                <w:rFonts w:hint="default" w:ascii="Times New Roman" w:hAnsi="Times New Roman" w:eastAsia="Times New Roman" w:cs="Times New Roman"/>
                <w:spacing w:val="0"/>
                <w:kern w:val="21"/>
                <w:sz w:val="21"/>
                <w:szCs w:val="24"/>
              </w:rPr>
              <w:t>E</w:t>
            </w:r>
            <w:r>
              <w:rPr>
                <w:rFonts w:hint="eastAsia" w:ascii="Times New Roman" w:hAnsi="Times New Roman" w:eastAsia="宋体" w:cs="Times New Roman"/>
                <w:spacing w:val="0"/>
                <w:kern w:val="21"/>
                <w:sz w:val="21"/>
                <w:szCs w:val="24"/>
                <w:lang w:val="en-US" w:eastAsia="zh-CN"/>
              </w:rPr>
              <w:t>1</w:t>
            </w:r>
          </w:p>
        </w:tc>
      </w:tr>
    </w:tbl>
    <w:p w14:paraId="6638C9B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6.2.3环境风险潜势判断</w:t>
      </w:r>
    </w:p>
    <w:p w14:paraId="33582DE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textAlignment w:val="baseline"/>
        <w:rPr>
          <w:rFonts w:hint="eastAsia"/>
        </w:rPr>
      </w:pPr>
      <w:r>
        <w:rPr>
          <w:rFonts w:hint="eastAsia"/>
        </w:rPr>
        <w:t>根据建设项目涉及的物质和工艺系统的危险性及其所在地的环境敏感程度，结合事故情形下环境影响途径，对建设项目潜在环境危害程度进行概化分析，见下表。</w:t>
      </w:r>
    </w:p>
    <w:p w14:paraId="3C54F26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default"/>
        </w:rPr>
        <w:t>表</w:t>
      </w:r>
      <w:r>
        <w:rPr>
          <w:rFonts w:hint="eastAsia"/>
          <w:lang w:val="en-US" w:eastAsia="zh-CN"/>
        </w:rPr>
        <w:t>6.2-12</w:t>
      </w:r>
      <w:r>
        <w:rPr>
          <w:rFonts w:hint="default"/>
          <w:lang w:val="en-US" w:eastAsia="zh-CN"/>
        </w:rPr>
        <w:t xml:space="preserve">        </w:t>
      </w:r>
      <w:r>
        <w:rPr>
          <w:rFonts w:hint="default"/>
        </w:rPr>
        <w:t>建设项目环境风险潜势划分</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2169"/>
        <w:gridCol w:w="1552"/>
        <w:gridCol w:w="1549"/>
        <w:gridCol w:w="1551"/>
        <w:gridCol w:w="1549"/>
      </w:tblGrid>
      <w:tr w14:paraId="18CE2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vMerge w:val="restart"/>
            <w:tcBorders>
              <w:top w:val="single" w:color="000000" w:sz="8" w:space="0"/>
              <w:left w:val="single" w:color="000000" w:sz="8" w:space="0"/>
              <w:bottom w:val="single" w:color="000000" w:sz="4" w:space="0"/>
              <w:right w:val="single" w:color="000000" w:sz="4" w:space="0"/>
            </w:tcBorders>
            <w:noWrap w:val="0"/>
            <w:vAlign w:val="center"/>
          </w:tcPr>
          <w:p w14:paraId="6455013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环境敏感程度（</w:t>
            </w:r>
            <w:r>
              <w:rPr>
                <w:rFonts w:hint="default" w:ascii="Times New Roman" w:hAnsi="Times New Roman" w:eastAsia="Times New Roman" w:cs="Times New Roman"/>
                <w:sz w:val="21"/>
                <w:szCs w:val="24"/>
              </w:rPr>
              <w:t>E</w:t>
            </w:r>
            <w:r>
              <w:rPr>
                <w:rFonts w:hint="default" w:ascii="Times New Roman" w:hAnsi="Times New Roman" w:cs="Times New Roman"/>
                <w:sz w:val="21"/>
                <w:szCs w:val="24"/>
              </w:rPr>
              <w:t>）</w:t>
            </w:r>
          </w:p>
        </w:tc>
        <w:tc>
          <w:tcPr>
            <w:tcW w:w="6201" w:type="dxa"/>
            <w:gridSpan w:val="4"/>
            <w:tcBorders>
              <w:top w:val="single" w:color="000000" w:sz="8" w:space="0"/>
              <w:left w:val="single" w:color="000000" w:sz="4" w:space="0"/>
              <w:bottom w:val="single" w:color="000000" w:sz="4" w:space="0"/>
              <w:right w:val="single" w:color="000000" w:sz="8" w:space="0"/>
            </w:tcBorders>
            <w:noWrap w:val="0"/>
            <w:vAlign w:val="center"/>
          </w:tcPr>
          <w:p w14:paraId="37AB69B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危险物质及工艺系统危险性（</w:t>
            </w:r>
            <w:r>
              <w:rPr>
                <w:rFonts w:hint="default" w:ascii="Times New Roman" w:hAnsi="Times New Roman" w:eastAsia="Times New Roman" w:cs="Times New Roman"/>
                <w:sz w:val="21"/>
                <w:szCs w:val="24"/>
              </w:rPr>
              <w:t>P</w:t>
            </w:r>
            <w:r>
              <w:rPr>
                <w:rFonts w:hint="default" w:ascii="Times New Roman" w:hAnsi="Times New Roman" w:cs="Times New Roman"/>
                <w:sz w:val="21"/>
                <w:szCs w:val="24"/>
              </w:rPr>
              <w:t>）</w:t>
            </w:r>
          </w:p>
        </w:tc>
      </w:tr>
      <w:tr w14:paraId="1FCA9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vMerge w:val="continue"/>
            <w:tcBorders>
              <w:top w:val="single" w:color="000000" w:sz="4" w:space="0"/>
              <w:left w:val="single" w:color="000000" w:sz="8" w:space="0"/>
              <w:bottom w:val="single" w:color="000000" w:sz="4" w:space="0"/>
              <w:right w:val="single" w:color="000000" w:sz="4" w:space="0"/>
            </w:tcBorders>
            <w:noWrap w:val="0"/>
            <w:vAlign w:val="center"/>
          </w:tcPr>
          <w:p w14:paraId="244BE120">
            <w:pPr>
              <w:pStyle w:val="35"/>
              <w:keepNext w:val="0"/>
              <w:keepLines w:val="0"/>
              <w:pageBreakBefore w:val="0"/>
              <w:widowControl/>
              <w:kinsoku/>
              <w:wordWrap/>
              <w:overflowPunct/>
              <w:topLinePunct/>
              <w:autoSpaceDE/>
              <w:autoSpaceDN/>
              <w:bidi w:val="0"/>
              <w:adjustRightInd w:val="0"/>
              <w:snapToGrid w:val="0"/>
              <w:spacing w:before="0" w:beforeLines="0" w:afterLines="0" w:line="240" w:lineRule="auto"/>
              <w:ind w:left="0" w:firstLine="0" w:firstLineChars="0"/>
              <w:jc w:val="center"/>
              <w:textAlignment w:val="auto"/>
              <w:outlineLvl w:val="9"/>
              <w:rPr>
                <w:rFonts w:hint="default" w:ascii="Times New Roman" w:hAnsi="Times New Roman" w:cs="Times New Roman"/>
                <w:sz w:val="2"/>
                <w:szCs w:val="24"/>
              </w:rPr>
            </w:pP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04525AA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8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极高危害（</w:t>
            </w:r>
            <w:r>
              <w:rPr>
                <w:rFonts w:hint="default" w:ascii="Times New Roman" w:hAnsi="Times New Roman" w:eastAsia="Times New Roman" w:cs="Times New Roman"/>
                <w:sz w:val="21"/>
                <w:szCs w:val="24"/>
              </w:rPr>
              <w:t>P1</w:t>
            </w:r>
            <w:r>
              <w:rPr>
                <w:rFonts w:hint="default" w:ascii="Times New Roman" w:hAnsi="Times New Roman" w:cs="Times New Roman"/>
                <w:sz w:val="21"/>
                <w:szCs w:val="24"/>
              </w:rPr>
              <w:t>）</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54FDE7D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7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高度危害（</w:t>
            </w:r>
            <w:r>
              <w:rPr>
                <w:rFonts w:hint="default" w:ascii="Times New Roman" w:hAnsi="Times New Roman" w:eastAsia="Times New Roman" w:cs="Times New Roman"/>
                <w:sz w:val="21"/>
                <w:szCs w:val="24"/>
              </w:rPr>
              <w:t>P2</w:t>
            </w:r>
            <w:r>
              <w:rPr>
                <w:rFonts w:hint="default" w:ascii="Times New Roman" w:hAnsi="Times New Roman" w:cs="Times New Roman"/>
                <w:sz w:val="21"/>
                <w:szCs w:val="24"/>
              </w:rPr>
              <w:t>）</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14046F7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7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中度危害（</w:t>
            </w:r>
            <w:r>
              <w:rPr>
                <w:rFonts w:hint="default" w:ascii="Times New Roman" w:hAnsi="Times New Roman" w:eastAsia="Times New Roman" w:cs="Times New Roman"/>
                <w:sz w:val="21"/>
                <w:szCs w:val="24"/>
              </w:rPr>
              <w:t>P3</w:t>
            </w:r>
            <w:r>
              <w:rPr>
                <w:rFonts w:hint="default" w:ascii="Times New Roman" w:hAnsi="Times New Roman" w:cs="Times New Roman"/>
                <w:sz w:val="21"/>
                <w:szCs w:val="24"/>
              </w:rPr>
              <w:t>）</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7DF90E6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78"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轻度危害（</w:t>
            </w:r>
            <w:r>
              <w:rPr>
                <w:rFonts w:hint="default" w:ascii="Times New Roman" w:hAnsi="Times New Roman" w:eastAsia="Times New Roman" w:cs="Times New Roman"/>
                <w:sz w:val="21"/>
                <w:szCs w:val="24"/>
              </w:rPr>
              <w:t>P4</w:t>
            </w:r>
            <w:r>
              <w:rPr>
                <w:rFonts w:hint="default" w:ascii="Times New Roman" w:hAnsi="Times New Roman" w:cs="Times New Roman"/>
                <w:sz w:val="21"/>
                <w:szCs w:val="24"/>
              </w:rPr>
              <w:t>）</w:t>
            </w:r>
          </w:p>
        </w:tc>
      </w:tr>
      <w:tr w14:paraId="27C1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6855B0A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一</w:t>
            </w:r>
          </w:p>
        </w:tc>
        <w:tc>
          <w:tcPr>
            <w:tcW w:w="6201" w:type="dxa"/>
            <w:gridSpan w:val="4"/>
            <w:tcBorders>
              <w:top w:val="single" w:color="000000" w:sz="4" w:space="0"/>
              <w:left w:val="single" w:color="000000" w:sz="4" w:space="0"/>
              <w:bottom w:val="single" w:color="000000" w:sz="4" w:space="0"/>
              <w:right w:val="single" w:color="000000" w:sz="8" w:space="0"/>
            </w:tcBorders>
            <w:noWrap w:val="0"/>
            <w:vAlign w:val="center"/>
          </w:tcPr>
          <w:p w14:paraId="60BF880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大气环境</w:t>
            </w:r>
          </w:p>
        </w:tc>
      </w:tr>
      <w:tr w14:paraId="3E2CF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0B608D4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环境高度敏感区（</w:t>
            </w:r>
            <w:r>
              <w:rPr>
                <w:rFonts w:hint="default" w:ascii="Times New Roman" w:hAnsi="Times New Roman" w:eastAsia="Times New Roman" w:cs="Times New Roman"/>
                <w:sz w:val="21"/>
                <w:szCs w:val="24"/>
              </w:rPr>
              <w:t>E1</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36DFE43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Times New Roman" w:cs="Times New Roman"/>
                <w:sz w:val="14"/>
                <w:szCs w:val="24"/>
              </w:rPr>
            </w:pPr>
            <w:r>
              <w:rPr>
                <w:rFonts w:hint="default" w:ascii="Times New Roman" w:hAnsi="Times New Roman" w:cs="Times New Roman"/>
                <w:sz w:val="21"/>
                <w:szCs w:val="24"/>
              </w:rPr>
              <w:t>Ⅳ</w:t>
            </w:r>
            <w:r>
              <w:rPr>
                <w:rFonts w:hint="default" w:ascii="Times New Roman" w:hAnsi="Times New Roman" w:cs="Times New Roman"/>
                <w:sz w:val="21"/>
                <w:szCs w:val="24"/>
                <w:vertAlign w:val="superscript"/>
              </w:rPr>
              <w:t>+</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039A96B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69E0D90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654B0F1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bCs/>
                <w:sz w:val="21"/>
                <w:szCs w:val="24"/>
              </w:rPr>
              <w:t>Ⅲ</w:t>
            </w:r>
          </w:p>
        </w:tc>
      </w:tr>
      <w:tr w14:paraId="4DB43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582DD83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环境中度敏感区（</w:t>
            </w:r>
            <w:r>
              <w:rPr>
                <w:rFonts w:hint="default" w:ascii="Times New Roman" w:hAnsi="Times New Roman" w:eastAsia="Times New Roman" w:cs="Times New Roman"/>
                <w:sz w:val="21"/>
                <w:szCs w:val="24"/>
              </w:rPr>
              <w:t>E2</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561E4B8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5BC32F9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703813E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44EA04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Ⅱ</w:t>
            </w:r>
          </w:p>
        </w:tc>
      </w:tr>
      <w:tr w14:paraId="6F2E5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0B7B9C6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环境低度敏感区（</w:t>
            </w:r>
            <w:r>
              <w:rPr>
                <w:rFonts w:hint="default" w:ascii="Times New Roman" w:hAnsi="Times New Roman" w:eastAsia="Times New Roman" w:cs="Times New Roman"/>
                <w:sz w:val="21"/>
                <w:szCs w:val="24"/>
              </w:rPr>
              <w:t>E3</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14CF26B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7BCB777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0438D07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Ⅱ</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534BBE8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Ⅰ</w:t>
            </w:r>
          </w:p>
        </w:tc>
      </w:tr>
      <w:tr w14:paraId="5F43D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739564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二</w:t>
            </w:r>
          </w:p>
        </w:tc>
        <w:tc>
          <w:tcPr>
            <w:tcW w:w="6201" w:type="dxa"/>
            <w:gridSpan w:val="4"/>
            <w:tcBorders>
              <w:top w:val="single" w:color="000000" w:sz="4" w:space="0"/>
              <w:left w:val="single" w:color="000000" w:sz="4" w:space="0"/>
              <w:bottom w:val="single" w:color="000000" w:sz="4" w:space="0"/>
              <w:right w:val="single" w:color="000000" w:sz="8" w:space="0"/>
            </w:tcBorders>
            <w:noWrap w:val="0"/>
            <w:vAlign w:val="center"/>
          </w:tcPr>
          <w:p w14:paraId="33FC3C6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eastAsia="Times New Roman" w:cs="Times New Roman"/>
                <w:sz w:val="21"/>
                <w:szCs w:val="24"/>
              </w:rPr>
              <w:t>地表水环境</w:t>
            </w:r>
          </w:p>
        </w:tc>
      </w:tr>
      <w:tr w14:paraId="559A1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2"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5649930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环境高度敏感区（</w:t>
            </w:r>
            <w:r>
              <w:rPr>
                <w:rFonts w:hint="default" w:ascii="Times New Roman" w:hAnsi="Times New Roman" w:eastAsia="Times New Roman" w:cs="Times New Roman"/>
                <w:sz w:val="21"/>
                <w:szCs w:val="24"/>
              </w:rPr>
              <w:t>E1</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05BAA3E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77" w:firstLine="0" w:firstLineChars="0"/>
              <w:jc w:val="center"/>
              <w:textAlignment w:val="auto"/>
              <w:rPr>
                <w:rFonts w:hint="default" w:ascii="Times New Roman" w:hAnsi="Times New Roman" w:eastAsia="Times New Roman" w:cs="Times New Roman"/>
                <w:sz w:val="14"/>
                <w:szCs w:val="24"/>
              </w:rPr>
            </w:pPr>
            <w:r>
              <w:rPr>
                <w:rFonts w:hint="default" w:ascii="Times New Roman" w:hAnsi="Times New Roman" w:cs="Times New Roman"/>
                <w:position w:val="-7"/>
                <w:sz w:val="21"/>
                <w:szCs w:val="24"/>
              </w:rPr>
              <w:t>Ⅳ</w:t>
            </w:r>
            <w:r>
              <w:rPr>
                <w:rFonts w:hint="default" w:ascii="Times New Roman" w:hAnsi="Times New Roman" w:eastAsia="Times New Roman" w:cs="Times New Roman"/>
                <w:sz w:val="14"/>
                <w:szCs w:val="24"/>
              </w:rPr>
              <w:t>+</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64D1E5D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20FFF7A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5FA74AC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r>
      <w:tr w14:paraId="6EE10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16A417D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环境中度敏感区（</w:t>
            </w:r>
            <w:r>
              <w:rPr>
                <w:rFonts w:hint="default" w:ascii="Times New Roman" w:hAnsi="Times New Roman" w:eastAsia="Times New Roman" w:cs="Times New Roman"/>
                <w:sz w:val="21"/>
                <w:szCs w:val="24"/>
              </w:rPr>
              <w:t>E2</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05A6483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073C87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057E666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1171DCA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Ⅱ</w:t>
            </w:r>
          </w:p>
        </w:tc>
      </w:tr>
      <w:tr w14:paraId="1057F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0CCCD06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环境低度敏感区（</w:t>
            </w:r>
            <w:r>
              <w:rPr>
                <w:rFonts w:hint="default" w:ascii="Times New Roman" w:hAnsi="Times New Roman" w:eastAsia="Times New Roman" w:cs="Times New Roman"/>
                <w:sz w:val="21"/>
                <w:szCs w:val="24"/>
              </w:rPr>
              <w:t>E3</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31CE65D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289EEA9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559240C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Ⅱ</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54C3450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bCs/>
                <w:sz w:val="21"/>
                <w:szCs w:val="24"/>
              </w:rPr>
              <w:t>Ⅰ</w:t>
            </w:r>
          </w:p>
        </w:tc>
      </w:tr>
      <w:tr w14:paraId="44CB1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788CB62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三</w:t>
            </w:r>
          </w:p>
        </w:tc>
        <w:tc>
          <w:tcPr>
            <w:tcW w:w="6201" w:type="dxa"/>
            <w:gridSpan w:val="4"/>
            <w:tcBorders>
              <w:top w:val="single" w:color="000000" w:sz="4" w:space="0"/>
              <w:left w:val="single" w:color="000000" w:sz="4" w:space="0"/>
              <w:bottom w:val="single" w:color="000000" w:sz="4" w:space="0"/>
              <w:right w:val="single" w:color="000000" w:sz="8" w:space="0"/>
            </w:tcBorders>
            <w:noWrap w:val="0"/>
            <w:vAlign w:val="center"/>
          </w:tcPr>
          <w:p w14:paraId="76FA79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地下水环境</w:t>
            </w:r>
          </w:p>
        </w:tc>
      </w:tr>
      <w:tr w14:paraId="0A511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5CECA5B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环境高度敏感区（</w:t>
            </w:r>
            <w:r>
              <w:rPr>
                <w:rFonts w:hint="default" w:ascii="Times New Roman" w:hAnsi="Times New Roman" w:eastAsia="Times New Roman" w:cs="Times New Roman"/>
                <w:sz w:val="21"/>
                <w:szCs w:val="24"/>
              </w:rPr>
              <w:t>E1</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34B592F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77" w:firstLine="0" w:firstLineChars="0"/>
              <w:jc w:val="center"/>
              <w:textAlignment w:val="auto"/>
              <w:rPr>
                <w:rFonts w:hint="default" w:ascii="Times New Roman" w:hAnsi="Times New Roman" w:eastAsia="Times New Roman" w:cs="Times New Roman"/>
                <w:sz w:val="14"/>
                <w:szCs w:val="24"/>
              </w:rPr>
            </w:pPr>
            <w:r>
              <w:rPr>
                <w:rFonts w:hint="default" w:ascii="Times New Roman" w:hAnsi="Times New Roman" w:cs="Times New Roman"/>
                <w:position w:val="-7"/>
                <w:sz w:val="21"/>
                <w:szCs w:val="24"/>
              </w:rPr>
              <w:t>Ⅳ</w:t>
            </w:r>
            <w:r>
              <w:rPr>
                <w:rFonts w:hint="default" w:ascii="Times New Roman" w:hAnsi="Times New Roman" w:eastAsia="Times New Roman" w:cs="Times New Roman"/>
                <w:sz w:val="14"/>
                <w:szCs w:val="24"/>
              </w:rPr>
              <w:t>+</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4CC6E12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2405464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31EA25A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bCs/>
                <w:sz w:val="21"/>
                <w:szCs w:val="24"/>
              </w:rPr>
              <w:t>Ⅲ</w:t>
            </w:r>
          </w:p>
        </w:tc>
      </w:tr>
      <w:tr w14:paraId="7E2E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3547B41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环境中度敏感区（</w:t>
            </w:r>
            <w:r>
              <w:rPr>
                <w:rFonts w:hint="default" w:ascii="Times New Roman" w:hAnsi="Times New Roman" w:eastAsia="Times New Roman" w:cs="Times New Roman"/>
                <w:sz w:val="21"/>
                <w:szCs w:val="24"/>
              </w:rPr>
              <w:t>E2</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0F7F2D4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Ⅳ</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3927402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32C68D5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Ⅲ</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070F496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b w:val="0"/>
                <w:bCs w:val="0"/>
                <w:sz w:val="21"/>
                <w:szCs w:val="24"/>
              </w:rPr>
              <w:t>Ⅱ</w:t>
            </w:r>
          </w:p>
        </w:tc>
      </w:tr>
      <w:tr w14:paraId="2512C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169" w:type="dxa"/>
            <w:tcBorders>
              <w:top w:val="single" w:color="000000" w:sz="4" w:space="0"/>
              <w:left w:val="single" w:color="000000" w:sz="8" w:space="0"/>
              <w:bottom w:val="single" w:color="000000" w:sz="4" w:space="0"/>
              <w:right w:val="single" w:color="000000" w:sz="4" w:space="0"/>
            </w:tcBorders>
            <w:noWrap w:val="0"/>
            <w:vAlign w:val="center"/>
          </w:tcPr>
          <w:p w14:paraId="171AB9A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99"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环境低度敏感区（</w:t>
            </w:r>
            <w:r>
              <w:rPr>
                <w:rFonts w:hint="default" w:ascii="Times New Roman" w:hAnsi="Times New Roman" w:eastAsia="Times New Roman" w:cs="Times New Roman"/>
                <w:sz w:val="21"/>
                <w:szCs w:val="24"/>
              </w:rPr>
              <w:t>E3</w:t>
            </w:r>
            <w:r>
              <w:rPr>
                <w:rFonts w:hint="default" w:ascii="Times New Roman" w:hAnsi="Times New Roman" w:cs="Times New Roman"/>
                <w:sz w:val="21"/>
                <w:szCs w:val="24"/>
              </w:rPr>
              <w:t>）</w:t>
            </w:r>
          </w:p>
        </w:tc>
        <w:tc>
          <w:tcPr>
            <w:tcW w:w="1552" w:type="dxa"/>
            <w:tcBorders>
              <w:top w:val="single" w:color="000000" w:sz="4" w:space="0"/>
              <w:left w:val="single" w:color="000000" w:sz="4" w:space="0"/>
              <w:bottom w:val="single" w:color="000000" w:sz="4" w:space="0"/>
              <w:right w:val="single" w:color="000000" w:sz="4" w:space="0"/>
            </w:tcBorders>
            <w:noWrap w:val="0"/>
            <w:vAlign w:val="center"/>
          </w:tcPr>
          <w:p w14:paraId="2F79FBE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14:paraId="4D6614A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Ⅲ</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14:paraId="5CC8A72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Ⅱ</w:t>
            </w:r>
          </w:p>
        </w:tc>
        <w:tc>
          <w:tcPr>
            <w:tcW w:w="1549" w:type="dxa"/>
            <w:tcBorders>
              <w:top w:val="single" w:color="000000" w:sz="4" w:space="0"/>
              <w:left w:val="single" w:color="000000" w:sz="4" w:space="0"/>
              <w:bottom w:val="single" w:color="000000" w:sz="4" w:space="0"/>
              <w:right w:val="single" w:color="000000" w:sz="8" w:space="0"/>
            </w:tcBorders>
            <w:noWrap w:val="0"/>
            <w:vAlign w:val="center"/>
          </w:tcPr>
          <w:p w14:paraId="4840082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Ⅰ</w:t>
            </w:r>
          </w:p>
        </w:tc>
      </w:tr>
      <w:tr w14:paraId="5C183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8370" w:type="dxa"/>
            <w:gridSpan w:val="5"/>
            <w:tcBorders>
              <w:top w:val="single" w:color="000000" w:sz="4" w:space="0"/>
              <w:left w:val="single" w:color="000000" w:sz="8" w:space="0"/>
              <w:bottom w:val="single" w:color="000000" w:sz="8" w:space="0"/>
              <w:right w:val="single" w:color="000000" w:sz="8" w:space="0"/>
            </w:tcBorders>
            <w:noWrap w:val="0"/>
            <w:vAlign w:val="center"/>
          </w:tcPr>
          <w:p w14:paraId="2D8338D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注：Ⅳ</w:t>
            </w:r>
            <w:r>
              <w:rPr>
                <w:rFonts w:hint="default" w:ascii="Times New Roman" w:hAnsi="Times New Roman" w:eastAsia="Times New Roman" w:cs="Times New Roman"/>
                <w:sz w:val="21"/>
                <w:szCs w:val="24"/>
                <w:vertAlign w:val="superscript"/>
              </w:rPr>
              <w:t>+</w:t>
            </w:r>
            <w:r>
              <w:rPr>
                <w:rFonts w:hint="default" w:ascii="Times New Roman" w:hAnsi="Times New Roman" w:cs="Times New Roman"/>
                <w:sz w:val="21"/>
                <w:szCs w:val="24"/>
              </w:rPr>
              <w:t>为极高环境风险</w:t>
            </w:r>
          </w:p>
        </w:tc>
      </w:tr>
    </w:tbl>
    <w:p w14:paraId="6F1C4DBC">
      <w:pPr>
        <w:pStyle w:val="94"/>
        <w:keepNext w:val="0"/>
        <w:keepLines w:val="0"/>
        <w:pageBreakBefore w:val="0"/>
        <w:widowControl/>
        <w:numPr>
          <w:ilvl w:val="0"/>
          <w:numId w:val="0"/>
        </w:numPr>
        <w:tabs>
          <w:tab w:val="left" w:pos="1310"/>
        </w:tabs>
        <w:kinsoku/>
        <w:wordWrap/>
        <w:overflowPunct/>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0"/>
          <w:lang w:val="en-US" w:eastAsia="zh-CN" w:bidi="ar-SA"/>
        </w:rPr>
      </w:pPr>
      <w:r>
        <w:rPr>
          <w:rFonts w:hint="default" w:ascii="Times New Roman" w:hAnsi="Times New Roman" w:eastAsia="宋体" w:cs="Times New Roman"/>
          <w:sz w:val="24"/>
          <w:szCs w:val="20"/>
          <w:lang w:val="en-US" w:eastAsia="zh-CN" w:bidi="ar-SA"/>
        </w:rPr>
        <w:t>根据判断，本项目环境空气环境风险潜势为Ⅲ级，本项目地表水环境风险潜势均为</w:t>
      </w:r>
      <w:r>
        <w:rPr>
          <w:rFonts w:hint="default" w:ascii="Times New Roman" w:hAnsi="Times New Roman" w:cs="Times New Roman"/>
          <w:b/>
          <w:bCs/>
          <w:sz w:val="21"/>
          <w:szCs w:val="24"/>
        </w:rPr>
        <w:t>Ⅰ</w:t>
      </w:r>
      <w:r>
        <w:rPr>
          <w:rFonts w:hint="default" w:ascii="Times New Roman" w:hAnsi="Times New Roman" w:eastAsia="宋体" w:cs="Times New Roman"/>
          <w:sz w:val="24"/>
          <w:szCs w:val="20"/>
          <w:lang w:val="en-US" w:eastAsia="zh-CN" w:bidi="ar-SA"/>
        </w:rPr>
        <w:t>级，地下水环境风险潜势均为</w:t>
      </w:r>
      <w:r>
        <w:rPr>
          <w:rFonts w:hint="default" w:ascii="Times New Roman" w:hAnsi="Times New Roman" w:cs="Times New Roman"/>
          <w:b/>
          <w:bCs/>
          <w:sz w:val="21"/>
          <w:szCs w:val="24"/>
        </w:rPr>
        <w:t>Ⅲ</w:t>
      </w:r>
      <w:r>
        <w:rPr>
          <w:rFonts w:hint="default" w:ascii="Times New Roman" w:hAnsi="Times New Roman" w:eastAsia="宋体" w:cs="Times New Roman"/>
          <w:sz w:val="24"/>
          <w:szCs w:val="20"/>
          <w:lang w:val="en-US" w:eastAsia="zh-CN" w:bidi="ar-SA"/>
        </w:rPr>
        <w:t>级。</w:t>
      </w:r>
    </w:p>
    <w:p w14:paraId="1BF3EB4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6.2.4环境风险评价工作等级</w:t>
      </w:r>
    </w:p>
    <w:p w14:paraId="6DC1EA1F">
      <w:pPr>
        <w:pStyle w:val="94"/>
        <w:keepNext w:val="0"/>
        <w:keepLines w:val="0"/>
        <w:pageBreakBefore w:val="0"/>
        <w:widowControl/>
        <w:numPr>
          <w:ilvl w:val="0"/>
          <w:numId w:val="0"/>
        </w:numPr>
        <w:tabs>
          <w:tab w:val="left" w:pos="1310"/>
        </w:tabs>
        <w:kinsoku/>
        <w:wordWrap/>
        <w:overflowPunct/>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根据《建设项目环境风险评价技术导则》（HJ169-2018）的要求，环境风险评价工作级别划依据见</w:t>
      </w:r>
      <w:r>
        <w:rPr>
          <w:rFonts w:hint="default" w:ascii="Times New Roman" w:hAnsi="Times New Roman" w:eastAsia="宋体" w:cs="Times New Roman"/>
          <w:sz w:val="24"/>
          <w:szCs w:val="24"/>
          <w:lang w:val="en-US" w:eastAsia="zh-CN"/>
        </w:rPr>
        <w:t>下表</w:t>
      </w:r>
      <w:r>
        <w:rPr>
          <w:rFonts w:hint="default" w:ascii="Times New Roman" w:hAnsi="Times New Roman" w:eastAsia="宋体" w:cs="Times New Roman"/>
          <w:sz w:val="24"/>
          <w:szCs w:val="24"/>
        </w:rPr>
        <w:t>。</w:t>
      </w:r>
    </w:p>
    <w:p w14:paraId="7050868E">
      <w:pPr>
        <w:pStyle w:val="94"/>
        <w:keepNext w:val="0"/>
        <w:keepLines w:val="0"/>
        <w:pageBreakBefore w:val="0"/>
        <w:widowControl/>
        <w:numPr>
          <w:ilvl w:val="0"/>
          <w:numId w:val="0"/>
        </w:numPr>
        <w:tabs>
          <w:tab w:val="left" w:pos="1310"/>
        </w:tabs>
        <w:kinsoku/>
        <w:wordWrap/>
        <w:overflowPunct/>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0"/>
          <w:lang w:val="en-US" w:eastAsia="zh-CN" w:bidi="ar-SA"/>
        </w:rPr>
      </w:pPr>
      <w:r>
        <w:rPr>
          <w:rFonts w:hint="eastAsia" w:ascii="Times New Roman" w:hAnsi="Times New Roman" w:eastAsia="宋体" w:cs="Times New Roman"/>
          <w:sz w:val="24"/>
          <w:szCs w:val="20"/>
          <w:lang w:val="en-US" w:eastAsia="zh-CN" w:bidi="ar-SA"/>
        </w:rPr>
        <w:t>根</w:t>
      </w:r>
      <w:r>
        <w:rPr>
          <w:rFonts w:hint="default" w:ascii="Times New Roman" w:hAnsi="Times New Roman" w:eastAsia="宋体" w:cs="Times New Roman"/>
          <w:sz w:val="24"/>
          <w:szCs w:val="20"/>
          <w:lang w:val="en-US" w:eastAsia="zh-CN" w:bidi="ar-SA"/>
        </w:rPr>
        <w:t>据建设项目涉及的物质及工艺系统危险性和所在地的环境敏感性确定环境风险潜势，按照</w:t>
      </w:r>
      <w:r>
        <w:rPr>
          <w:rFonts w:hint="eastAsia" w:ascii="Times New Roman" w:hAnsi="Times New Roman" w:eastAsia="宋体" w:cs="Times New Roman"/>
          <w:sz w:val="24"/>
          <w:szCs w:val="20"/>
          <w:lang w:val="en-US" w:eastAsia="zh-CN" w:bidi="ar-SA"/>
        </w:rPr>
        <w:t>下</w:t>
      </w:r>
      <w:r>
        <w:rPr>
          <w:rFonts w:hint="default" w:ascii="Times New Roman" w:hAnsi="Times New Roman" w:eastAsia="宋体" w:cs="Times New Roman"/>
          <w:sz w:val="24"/>
          <w:szCs w:val="20"/>
          <w:lang w:val="en-US" w:eastAsia="zh-CN" w:bidi="ar-SA"/>
        </w:rPr>
        <w:t>表确定评价工作等级。风险潜势为Ⅳ及以上，进行一级评价；风险潜势为Ⅲ，进行二级评价；风险潜势为Ⅱ，进行三级评价；风险潜势为Ⅰ，可开展简单分析。</w:t>
      </w:r>
    </w:p>
    <w:p w14:paraId="5C4E9A1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6.2-13</w:t>
      </w:r>
      <w:r>
        <w:rPr>
          <w:rFonts w:hint="eastAsia"/>
        </w:rPr>
        <w:t xml:space="preserve">    评价工作等级划分</w:t>
      </w:r>
    </w:p>
    <w:tbl>
      <w:tblPr>
        <w:tblStyle w:val="3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1"/>
        <w:gridCol w:w="1220"/>
        <w:gridCol w:w="836"/>
        <w:gridCol w:w="1299"/>
        <w:gridCol w:w="1299"/>
        <w:gridCol w:w="1304"/>
      </w:tblGrid>
      <w:tr w14:paraId="7E79C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trPr>
        <w:tc>
          <w:tcPr>
            <w:tcW w:w="2571" w:type="dxa"/>
            <w:noWrap w:val="0"/>
            <w:vAlign w:val="center"/>
          </w:tcPr>
          <w:p w14:paraId="5A1B15A2">
            <w:pPr>
              <w:pStyle w:val="75"/>
              <w:rPr>
                <w:b/>
                <w:bCs/>
              </w:rPr>
            </w:pPr>
            <w:r>
              <w:rPr>
                <w:b/>
                <w:bCs/>
              </w:rPr>
              <mc:AlternateContent>
                <mc:Choice Requires="wps">
                  <w:drawing>
                    <wp:anchor distT="0" distB="0" distL="114300" distR="114300" simplePos="0" relativeHeight="251686912" behindDoc="0" locked="0" layoutInCell="1" allowOverlap="1">
                      <wp:simplePos x="0" y="0"/>
                      <wp:positionH relativeFrom="column">
                        <wp:posOffset>-71755</wp:posOffset>
                      </wp:positionH>
                      <wp:positionV relativeFrom="paragraph">
                        <wp:posOffset>10160</wp:posOffset>
                      </wp:positionV>
                      <wp:extent cx="1635760" cy="367665"/>
                      <wp:effectExtent l="1270" t="4445" r="1270" b="8890"/>
                      <wp:wrapNone/>
                      <wp:docPr id="149" name="直接连接符 149"/>
                      <wp:cNvGraphicFramePr/>
                      <a:graphic xmlns:a="http://schemas.openxmlformats.org/drawingml/2006/main">
                        <a:graphicData uri="http://schemas.microsoft.com/office/word/2010/wordprocessingShape">
                          <wps:wsp>
                            <wps:cNvCnPr/>
                            <wps:spPr>
                              <a:xfrm>
                                <a:off x="0" y="0"/>
                                <a:ext cx="1635760" cy="36766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5.65pt;margin-top:0.8pt;height:28.95pt;width:128.8pt;z-index:251686912;mso-width-relative:page;mso-height-relative:page;" filled="f" stroked="t" coordsize="21600,21600" o:gfxdata="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ATw4nWAAAACAEAAA8AAAAAAAAAAQAgAAAAIgAAAGRycy9kb3ducmV2LnhtbFBL&#10;AQIUABQAAAAIAIdO4kCuqJlo+AEAAO8DAAAOAAAAAAAAAAEAIAAAACUBAABkcnMvZTJvRG9jLnht&#10;bFBLBQYAAAAABgAGAFkBAACPBQAAAAA=&#10;">
                      <v:fill on="f" focussize="0,0"/>
                      <v:stroke color="#000000" joinstyle="round"/>
                      <v:imagedata o:title=""/>
                      <o:lock v:ext="edit" aspectratio="f"/>
                    </v:line>
                  </w:pict>
                </mc:Fallback>
              </mc:AlternateContent>
            </w:r>
            <w:r>
              <w:rPr>
                <w:b/>
                <w:bCs/>
              </w:rPr>
              <w:t xml:space="preserve">       环境风险潜势</w:t>
            </w:r>
          </w:p>
          <w:p w14:paraId="71E4CD9E">
            <w:pPr>
              <w:pStyle w:val="75"/>
              <w:jc w:val="both"/>
              <w:rPr>
                <w:b/>
                <w:bCs/>
              </w:rPr>
            </w:pPr>
            <w:r>
              <w:rPr>
                <w:b/>
                <w:bCs/>
              </w:rPr>
              <w:t>评价工作等级</w:t>
            </w:r>
          </w:p>
        </w:tc>
        <w:tc>
          <w:tcPr>
            <w:tcW w:w="1220" w:type="dxa"/>
            <w:noWrap w:val="0"/>
            <w:vAlign w:val="center"/>
          </w:tcPr>
          <w:p w14:paraId="70E78A50">
            <w:pPr>
              <w:pStyle w:val="75"/>
              <w:rPr>
                <w:b/>
                <w:bCs/>
              </w:rPr>
            </w:pPr>
            <w:r>
              <w:rPr>
                <w:b/>
                <w:bCs/>
              </w:rPr>
              <w:t>Ⅳ</w:t>
            </w:r>
            <w:r>
              <w:rPr>
                <w:b/>
                <w:bCs/>
                <w:vertAlign w:val="superscript"/>
              </w:rPr>
              <w:t>+</w:t>
            </w:r>
            <w:r>
              <w:rPr>
                <w:b/>
                <w:bCs/>
              </w:rPr>
              <w:t>、Ⅳ</w:t>
            </w:r>
          </w:p>
        </w:tc>
        <w:tc>
          <w:tcPr>
            <w:tcW w:w="836" w:type="dxa"/>
            <w:noWrap w:val="0"/>
            <w:vAlign w:val="center"/>
          </w:tcPr>
          <w:p w14:paraId="24650D19">
            <w:pPr>
              <w:pStyle w:val="75"/>
              <w:rPr>
                <w:b/>
                <w:bCs/>
              </w:rPr>
            </w:pPr>
            <w:r>
              <w:rPr>
                <w:b/>
                <w:bCs/>
              </w:rPr>
              <w:t>Ⅲ</w:t>
            </w:r>
          </w:p>
        </w:tc>
        <w:tc>
          <w:tcPr>
            <w:tcW w:w="1299" w:type="dxa"/>
            <w:noWrap w:val="0"/>
            <w:vAlign w:val="center"/>
          </w:tcPr>
          <w:p w14:paraId="498311C0">
            <w:pPr>
              <w:pStyle w:val="75"/>
              <w:rPr>
                <w:b/>
                <w:bCs/>
              </w:rPr>
            </w:pPr>
            <w:r>
              <w:rPr>
                <w:b/>
                <w:bCs/>
              </w:rPr>
              <w:t>Ⅱ</w:t>
            </w:r>
          </w:p>
        </w:tc>
        <w:tc>
          <w:tcPr>
            <w:tcW w:w="1299" w:type="dxa"/>
            <w:noWrap w:val="0"/>
            <w:vAlign w:val="center"/>
          </w:tcPr>
          <w:p w14:paraId="75CC68F9">
            <w:pPr>
              <w:pStyle w:val="75"/>
              <w:rPr>
                <w:b/>
                <w:bCs/>
              </w:rPr>
            </w:pPr>
            <w:r>
              <w:rPr>
                <w:b/>
                <w:bCs/>
              </w:rPr>
              <w:t>Ⅰ</w:t>
            </w:r>
          </w:p>
        </w:tc>
        <w:tc>
          <w:tcPr>
            <w:tcW w:w="1304" w:type="dxa"/>
            <w:noWrap w:val="0"/>
            <w:vAlign w:val="center"/>
          </w:tcPr>
          <w:p w14:paraId="04B222DE">
            <w:pPr>
              <w:pStyle w:val="75"/>
              <w:rPr>
                <w:b/>
                <w:bCs/>
              </w:rPr>
            </w:pPr>
            <w:r>
              <w:rPr>
                <w:b/>
                <w:bCs/>
              </w:rPr>
              <w:t>本项目</w:t>
            </w:r>
          </w:p>
        </w:tc>
      </w:tr>
      <w:tr w14:paraId="50366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571" w:type="dxa"/>
            <w:noWrap w:val="0"/>
            <w:vAlign w:val="center"/>
          </w:tcPr>
          <w:p w14:paraId="7303FB21">
            <w:pPr>
              <w:pStyle w:val="75"/>
            </w:pPr>
            <w:r>
              <w:t>环境空气</w:t>
            </w:r>
          </w:p>
        </w:tc>
        <w:tc>
          <w:tcPr>
            <w:tcW w:w="1220" w:type="dxa"/>
            <w:noWrap w:val="0"/>
            <w:vAlign w:val="center"/>
          </w:tcPr>
          <w:p w14:paraId="6943170A">
            <w:pPr>
              <w:pStyle w:val="75"/>
            </w:pPr>
            <w:r>
              <w:t>一级</w:t>
            </w:r>
          </w:p>
        </w:tc>
        <w:tc>
          <w:tcPr>
            <w:tcW w:w="836" w:type="dxa"/>
            <w:noWrap w:val="0"/>
            <w:vAlign w:val="center"/>
          </w:tcPr>
          <w:p w14:paraId="4F680B14">
            <w:pPr>
              <w:pStyle w:val="75"/>
            </w:pPr>
            <w:r>
              <w:t>二级</w:t>
            </w:r>
          </w:p>
        </w:tc>
        <w:tc>
          <w:tcPr>
            <w:tcW w:w="1299" w:type="dxa"/>
            <w:noWrap w:val="0"/>
            <w:vAlign w:val="center"/>
          </w:tcPr>
          <w:p w14:paraId="010BBCC5">
            <w:pPr>
              <w:pStyle w:val="75"/>
            </w:pPr>
            <w:r>
              <w:t>三级</w:t>
            </w:r>
          </w:p>
        </w:tc>
        <w:tc>
          <w:tcPr>
            <w:tcW w:w="1299" w:type="dxa"/>
            <w:noWrap w:val="0"/>
            <w:vAlign w:val="center"/>
          </w:tcPr>
          <w:p w14:paraId="7C07B5D9">
            <w:pPr>
              <w:pStyle w:val="75"/>
            </w:pPr>
            <w:r>
              <w:t>简单分析</w:t>
            </w:r>
          </w:p>
        </w:tc>
        <w:tc>
          <w:tcPr>
            <w:tcW w:w="1304" w:type="dxa"/>
            <w:noWrap w:val="0"/>
            <w:vAlign w:val="center"/>
          </w:tcPr>
          <w:p w14:paraId="08D4337C">
            <w:pPr>
              <w:pStyle w:val="75"/>
            </w:pPr>
            <w:r>
              <w:t>二级</w:t>
            </w:r>
          </w:p>
        </w:tc>
      </w:tr>
      <w:tr w14:paraId="08AAB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571" w:type="dxa"/>
            <w:noWrap w:val="0"/>
            <w:vAlign w:val="center"/>
          </w:tcPr>
          <w:p w14:paraId="4CFB6E30">
            <w:pPr>
              <w:pStyle w:val="75"/>
            </w:pPr>
            <w:r>
              <w:t>地表水</w:t>
            </w:r>
          </w:p>
        </w:tc>
        <w:tc>
          <w:tcPr>
            <w:tcW w:w="1220" w:type="dxa"/>
            <w:noWrap w:val="0"/>
            <w:vAlign w:val="center"/>
          </w:tcPr>
          <w:p w14:paraId="681F1F28">
            <w:pPr>
              <w:pStyle w:val="75"/>
            </w:pPr>
            <w:r>
              <w:t>一级</w:t>
            </w:r>
          </w:p>
        </w:tc>
        <w:tc>
          <w:tcPr>
            <w:tcW w:w="836" w:type="dxa"/>
            <w:noWrap w:val="0"/>
            <w:vAlign w:val="center"/>
          </w:tcPr>
          <w:p w14:paraId="61B562AA">
            <w:pPr>
              <w:pStyle w:val="75"/>
            </w:pPr>
            <w:r>
              <w:t>二级</w:t>
            </w:r>
          </w:p>
        </w:tc>
        <w:tc>
          <w:tcPr>
            <w:tcW w:w="1299" w:type="dxa"/>
            <w:noWrap w:val="0"/>
            <w:vAlign w:val="center"/>
          </w:tcPr>
          <w:p w14:paraId="482375F9">
            <w:pPr>
              <w:pStyle w:val="75"/>
            </w:pPr>
            <w:r>
              <w:t>三级</w:t>
            </w:r>
          </w:p>
        </w:tc>
        <w:tc>
          <w:tcPr>
            <w:tcW w:w="1299" w:type="dxa"/>
            <w:noWrap w:val="0"/>
            <w:vAlign w:val="center"/>
          </w:tcPr>
          <w:p w14:paraId="7648FA0B">
            <w:pPr>
              <w:pStyle w:val="75"/>
            </w:pPr>
            <w:r>
              <w:t>简单分析</w:t>
            </w:r>
          </w:p>
        </w:tc>
        <w:tc>
          <w:tcPr>
            <w:tcW w:w="1304" w:type="dxa"/>
            <w:noWrap w:val="0"/>
            <w:vAlign w:val="center"/>
          </w:tcPr>
          <w:p w14:paraId="0DC6DCF4">
            <w:pPr>
              <w:pStyle w:val="75"/>
              <w:rPr>
                <w:rFonts w:hint="eastAsia" w:eastAsia="宋体"/>
                <w:lang w:val="en-US" w:eastAsia="zh-CN"/>
              </w:rPr>
            </w:pPr>
            <w:r>
              <w:rPr>
                <w:rFonts w:hint="eastAsia"/>
                <w:lang w:val="en-US" w:eastAsia="zh-CN"/>
              </w:rPr>
              <w:t>简单分析</w:t>
            </w:r>
          </w:p>
        </w:tc>
      </w:tr>
      <w:tr w14:paraId="1C229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571" w:type="dxa"/>
            <w:noWrap w:val="0"/>
            <w:vAlign w:val="center"/>
          </w:tcPr>
          <w:p w14:paraId="0F868817">
            <w:pPr>
              <w:pStyle w:val="75"/>
            </w:pPr>
            <w:r>
              <w:t>地下水</w:t>
            </w:r>
          </w:p>
        </w:tc>
        <w:tc>
          <w:tcPr>
            <w:tcW w:w="1220" w:type="dxa"/>
            <w:noWrap w:val="0"/>
            <w:vAlign w:val="center"/>
          </w:tcPr>
          <w:p w14:paraId="0C520703">
            <w:pPr>
              <w:pStyle w:val="75"/>
            </w:pPr>
            <w:r>
              <w:t>一级</w:t>
            </w:r>
          </w:p>
        </w:tc>
        <w:tc>
          <w:tcPr>
            <w:tcW w:w="836" w:type="dxa"/>
            <w:noWrap w:val="0"/>
            <w:vAlign w:val="center"/>
          </w:tcPr>
          <w:p w14:paraId="2A63C0AD">
            <w:pPr>
              <w:pStyle w:val="75"/>
            </w:pPr>
            <w:r>
              <w:t>二级</w:t>
            </w:r>
          </w:p>
        </w:tc>
        <w:tc>
          <w:tcPr>
            <w:tcW w:w="1299" w:type="dxa"/>
            <w:noWrap w:val="0"/>
            <w:vAlign w:val="center"/>
          </w:tcPr>
          <w:p w14:paraId="6D58FEEC">
            <w:pPr>
              <w:pStyle w:val="75"/>
            </w:pPr>
            <w:r>
              <w:t>三级</w:t>
            </w:r>
          </w:p>
        </w:tc>
        <w:tc>
          <w:tcPr>
            <w:tcW w:w="1299" w:type="dxa"/>
            <w:noWrap w:val="0"/>
            <w:vAlign w:val="center"/>
          </w:tcPr>
          <w:p w14:paraId="0F2120B8">
            <w:pPr>
              <w:pStyle w:val="75"/>
            </w:pPr>
            <w:r>
              <w:t>简单分析</w:t>
            </w:r>
          </w:p>
        </w:tc>
        <w:tc>
          <w:tcPr>
            <w:tcW w:w="1304" w:type="dxa"/>
            <w:noWrap w:val="0"/>
            <w:vAlign w:val="center"/>
          </w:tcPr>
          <w:p w14:paraId="6BF7B8C9">
            <w:pPr>
              <w:pStyle w:val="75"/>
            </w:pPr>
            <w:r>
              <w:t>二级</w:t>
            </w:r>
          </w:p>
        </w:tc>
      </w:tr>
      <w:tr w14:paraId="16F9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571" w:type="dxa"/>
            <w:noWrap w:val="0"/>
            <w:vAlign w:val="center"/>
          </w:tcPr>
          <w:p w14:paraId="3EF5EA51">
            <w:pPr>
              <w:pStyle w:val="75"/>
            </w:pPr>
            <w:r>
              <w:t>综合</w:t>
            </w:r>
          </w:p>
        </w:tc>
        <w:tc>
          <w:tcPr>
            <w:tcW w:w="1220" w:type="dxa"/>
            <w:noWrap w:val="0"/>
            <w:vAlign w:val="center"/>
          </w:tcPr>
          <w:p w14:paraId="21AE816A">
            <w:pPr>
              <w:pStyle w:val="75"/>
            </w:pPr>
            <w:r>
              <w:t>/</w:t>
            </w:r>
          </w:p>
        </w:tc>
        <w:tc>
          <w:tcPr>
            <w:tcW w:w="836" w:type="dxa"/>
            <w:noWrap w:val="0"/>
            <w:vAlign w:val="center"/>
          </w:tcPr>
          <w:p w14:paraId="787A584E">
            <w:pPr>
              <w:pStyle w:val="75"/>
            </w:pPr>
            <w:r>
              <w:t>/</w:t>
            </w:r>
          </w:p>
        </w:tc>
        <w:tc>
          <w:tcPr>
            <w:tcW w:w="1299" w:type="dxa"/>
            <w:noWrap w:val="0"/>
            <w:vAlign w:val="center"/>
          </w:tcPr>
          <w:p w14:paraId="16486DAB">
            <w:pPr>
              <w:pStyle w:val="75"/>
            </w:pPr>
            <w:r>
              <w:t>/</w:t>
            </w:r>
          </w:p>
        </w:tc>
        <w:tc>
          <w:tcPr>
            <w:tcW w:w="1299" w:type="dxa"/>
            <w:noWrap w:val="0"/>
            <w:vAlign w:val="center"/>
          </w:tcPr>
          <w:p w14:paraId="410F8F57">
            <w:pPr>
              <w:pStyle w:val="75"/>
            </w:pPr>
            <w:r>
              <w:t>/</w:t>
            </w:r>
          </w:p>
        </w:tc>
        <w:tc>
          <w:tcPr>
            <w:tcW w:w="1304" w:type="dxa"/>
            <w:noWrap w:val="0"/>
            <w:vAlign w:val="center"/>
          </w:tcPr>
          <w:p w14:paraId="68A55337">
            <w:pPr>
              <w:pStyle w:val="75"/>
            </w:pPr>
            <w:r>
              <w:t>二级</w:t>
            </w:r>
          </w:p>
        </w:tc>
      </w:tr>
    </w:tbl>
    <w:p w14:paraId="2B216C13">
      <w:pPr>
        <w:ind w:firstLine="480"/>
      </w:pPr>
      <w:r>
        <w:rPr>
          <w:bCs/>
          <w:szCs w:val="24"/>
        </w:rPr>
        <w:t>根据导则，建设项目环境风险潜势综合等级取各要素等级的相对高值。因此，本项目环境风险评价工作等级为</w:t>
      </w:r>
      <w:r>
        <w:rPr>
          <w:rFonts w:hint="eastAsia"/>
          <w:bCs/>
          <w:szCs w:val="24"/>
        </w:rPr>
        <w:t>“二</w:t>
      </w:r>
      <w:r>
        <w:rPr>
          <w:bCs/>
          <w:szCs w:val="24"/>
        </w:rPr>
        <w:t>级</w:t>
      </w:r>
      <w:r>
        <w:rPr>
          <w:rFonts w:hint="eastAsia"/>
          <w:bCs/>
          <w:szCs w:val="24"/>
        </w:rPr>
        <w:t>”。</w:t>
      </w:r>
    </w:p>
    <w:bookmarkEnd w:id="603"/>
    <w:bookmarkEnd w:id="604"/>
    <w:bookmarkEnd w:id="605"/>
    <w:bookmarkEnd w:id="606"/>
    <w:p w14:paraId="2E00827B">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10" w:name="_Toc31766"/>
      <w:r>
        <w:rPr>
          <w:rFonts w:hint="eastAsia"/>
          <w:lang w:val="en-US" w:eastAsia="zh-CN"/>
        </w:rPr>
        <w:t>6.3环境风险识别</w:t>
      </w:r>
      <w:bookmarkEnd w:id="610"/>
    </w:p>
    <w:p w14:paraId="3000599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6.3.1物质危险识别</w:t>
      </w:r>
    </w:p>
    <w:p w14:paraId="4543BE6F">
      <w:pPr>
        <w:pStyle w:val="72"/>
      </w:pPr>
      <w:r>
        <w:rPr>
          <w:rFonts w:hint="eastAsia"/>
        </w:rPr>
        <w:t>企业生产过程中涉及的风险物质为硫酸、硫酸镍、氯化镍、液压油、硝酸铬，其物理性质和毒理性质见表</w:t>
      </w:r>
      <w:r>
        <w:rPr>
          <w:rFonts w:hint="eastAsia"/>
          <w:lang w:val="en-US" w:eastAsia="zh-CN"/>
        </w:rPr>
        <w:t>6.3-1</w:t>
      </w:r>
      <w:r>
        <w:rPr>
          <w:rFonts w:hint="eastAsia"/>
        </w:rPr>
        <w:t>~表</w:t>
      </w:r>
      <w:r>
        <w:rPr>
          <w:rFonts w:hint="eastAsia"/>
          <w:lang w:val="en-US" w:eastAsia="zh-CN"/>
        </w:rPr>
        <w:t>6.3-5</w:t>
      </w:r>
      <w:r>
        <w:rPr>
          <w:rFonts w:hint="eastAsia"/>
        </w:rPr>
        <w:t>。</w:t>
      </w:r>
    </w:p>
    <w:p w14:paraId="52ED85D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表6</w:t>
      </w:r>
      <w:r>
        <w:rPr>
          <w:rFonts w:hint="eastAsia"/>
          <w:lang w:val="en-US" w:eastAsia="zh-CN"/>
        </w:rPr>
        <w:t>.3-1</w:t>
      </w:r>
      <w:r>
        <w:rPr>
          <w:rFonts w:hint="eastAsia"/>
        </w:rPr>
        <w:t xml:space="preserve">    硫酸的理化性质及危险特性表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077"/>
        <w:gridCol w:w="940"/>
        <w:gridCol w:w="886"/>
        <w:gridCol w:w="769"/>
        <w:gridCol w:w="52"/>
        <w:gridCol w:w="932"/>
        <w:gridCol w:w="432"/>
        <w:gridCol w:w="247"/>
        <w:gridCol w:w="373"/>
        <w:gridCol w:w="303"/>
        <w:gridCol w:w="689"/>
        <w:gridCol w:w="142"/>
        <w:gridCol w:w="1051"/>
      </w:tblGrid>
      <w:tr w14:paraId="1935C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restart"/>
            <w:vAlign w:val="center"/>
          </w:tcPr>
          <w:p w14:paraId="7D343097">
            <w:pPr>
              <w:pStyle w:val="75"/>
            </w:pPr>
            <w:r>
              <w:t>标</w:t>
            </w:r>
          </w:p>
          <w:p w14:paraId="5639067E">
            <w:pPr>
              <w:pStyle w:val="75"/>
            </w:pPr>
            <w:r>
              <w:t>识</w:t>
            </w:r>
          </w:p>
        </w:tc>
        <w:tc>
          <w:tcPr>
            <w:tcW w:w="631" w:type="pct"/>
            <w:vAlign w:val="center"/>
          </w:tcPr>
          <w:p w14:paraId="64BAF081">
            <w:pPr>
              <w:pStyle w:val="81"/>
              <w:rPr>
                <w:rFonts w:cs="Times New Roman"/>
                <w:color w:val="auto"/>
              </w:rPr>
            </w:pPr>
            <w:r>
              <w:rPr>
                <w:rFonts w:cs="Times New Roman"/>
                <w:color w:val="auto"/>
              </w:rPr>
              <w:t>中文名</w:t>
            </w:r>
          </w:p>
        </w:tc>
        <w:tc>
          <w:tcPr>
            <w:tcW w:w="551" w:type="pct"/>
            <w:vAlign w:val="center"/>
          </w:tcPr>
          <w:p w14:paraId="72A971CE">
            <w:pPr>
              <w:pStyle w:val="81"/>
              <w:rPr>
                <w:rFonts w:cs="Times New Roman"/>
                <w:color w:val="auto"/>
              </w:rPr>
            </w:pPr>
            <w:r>
              <w:rPr>
                <w:rFonts w:cs="Times New Roman"/>
                <w:color w:val="auto"/>
              </w:rPr>
              <w:t>硫酸</w:t>
            </w:r>
          </w:p>
        </w:tc>
        <w:tc>
          <w:tcPr>
            <w:tcW w:w="519" w:type="pct"/>
            <w:vAlign w:val="center"/>
          </w:tcPr>
          <w:p w14:paraId="697FF015">
            <w:pPr>
              <w:pStyle w:val="81"/>
              <w:rPr>
                <w:rFonts w:cs="Times New Roman"/>
                <w:color w:val="auto"/>
              </w:rPr>
            </w:pPr>
            <w:r>
              <w:rPr>
                <w:rFonts w:cs="Times New Roman"/>
                <w:color w:val="auto"/>
              </w:rPr>
              <w:t>英文名</w:t>
            </w:r>
          </w:p>
        </w:tc>
        <w:tc>
          <w:tcPr>
            <w:tcW w:w="1028" w:type="pct"/>
            <w:gridSpan w:val="3"/>
            <w:vAlign w:val="center"/>
          </w:tcPr>
          <w:p w14:paraId="6C2A4665">
            <w:pPr>
              <w:pStyle w:val="81"/>
              <w:rPr>
                <w:rFonts w:cs="Times New Roman"/>
                <w:color w:val="auto"/>
              </w:rPr>
            </w:pPr>
            <w:r>
              <w:rPr>
                <w:rFonts w:cs="Times New Roman"/>
                <w:color w:val="auto"/>
              </w:rPr>
              <w:t>Slfuric acid</w:t>
            </w:r>
          </w:p>
        </w:tc>
        <w:tc>
          <w:tcPr>
            <w:tcW w:w="1199" w:type="pct"/>
            <w:gridSpan w:val="5"/>
            <w:vAlign w:val="center"/>
          </w:tcPr>
          <w:p w14:paraId="2CDB78B2">
            <w:pPr>
              <w:pStyle w:val="81"/>
              <w:rPr>
                <w:rFonts w:cs="Times New Roman"/>
                <w:color w:val="auto"/>
              </w:rPr>
            </w:pPr>
            <w:r>
              <w:rPr>
                <w:rFonts w:cs="Times New Roman"/>
                <w:color w:val="auto"/>
              </w:rPr>
              <w:t>危险货物编号</w:t>
            </w:r>
          </w:p>
        </w:tc>
        <w:tc>
          <w:tcPr>
            <w:tcW w:w="699" w:type="pct"/>
            <w:gridSpan w:val="2"/>
            <w:vAlign w:val="center"/>
          </w:tcPr>
          <w:p w14:paraId="7AB1FCA2">
            <w:pPr>
              <w:pStyle w:val="81"/>
              <w:rPr>
                <w:rFonts w:cs="Times New Roman"/>
                <w:color w:val="auto"/>
              </w:rPr>
            </w:pPr>
            <w:r>
              <w:rPr>
                <w:rFonts w:cs="Times New Roman"/>
                <w:color w:val="auto"/>
              </w:rPr>
              <w:t>81007</w:t>
            </w:r>
          </w:p>
        </w:tc>
      </w:tr>
      <w:tr w14:paraId="446A9B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3F1FC6BB">
            <w:pPr>
              <w:pStyle w:val="75"/>
            </w:pPr>
          </w:p>
        </w:tc>
        <w:tc>
          <w:tcPr>
            <w:tcW w:w="631" w:type="pct"/>
            <w:vAlign w:val="center"/>
          </w:tcPr>
          <w:p w14:paraId="4117C036">
            <w:pPr>
              <w:pStyle w:val="75"/>
            </w:pPr>
            <w:r>
              <w:t>分子式</w:t>
            </w:r>
          </w:p>
        </w:tc>
        <w:tc>
          <w:tcPr>
            <w:tcW w:w="551" w:type="pct"/>
            <w:vAlign w:val="center"/>
          </w:tcPr>
          <w:p w14:paraId="4735AE02">
            <w:pPr>
              <w:pStyle w:val="75"/>
            </w:pPr>
            <w:r>
              <w:t>H</w:t>
            </w:r>
            <w:r>
              <w:rPr>
                <w:vertAlign w:val="subscript"/>
              </w:rPr>
              <w:t>2</w:t>
            </w:r>
            <w:r>
              <w:t>SO</w:t>
            </w:r>
            <w:r>
              <w:rPr>
                <w:vertAlign w:val="subscript"/>
              </w:rPr>
              <w:t>4</w:t>
            </w:r>
          </w:p>
        </w:tc>
        <w:tc>
          <w:tcPr>
            <w:tcW w:w="519" w:type="pct"/>
            <w:vAlign w:val="center"/>
          </w:tcPr>
          <w:p w14:paraId="71616D1F">
            <w:pPr>
              <w:pStyle w:val="75"/>
            </w:pPr>
            <w:r>
              <w:t>分子量</w:t>
            </w:r>
          </w:p>
        </w:tc>
        <w:tc>
          <w:tcPr>
            <w:tcW w:w="451" w:type="pct"/>
            <w:vAlign w:val="center"/>
          </w:tcPr>
          <w:p w14:paraId="41A43BC4">
            <w:pPr>
              <w:pStyle w:val="75"/>
            </w:pPr>
            <w:r>
              <w:t>98.08</w:t>
            </w:r>
          </w:p>
        </w:tc>
        <w:tc>
          <w:tcPr>
            <w:tcW w:w="577" w:type="pct"/>
            <w:gridSpan w:val="2"/>
            <w:vAlign w:val="center"/>
          </w:tcPr>
          <w:p w14:paraId="5495B1A2">
            <w:pPr>
              <w:pStyle w:val="75"/>
            </w:pPr>
            <w:r>
              <w:t>UN编号</w:t>
            </w:r>
          </w:p>
        </w:tc>
        <w:tc>
          <w:tcPr>
            <w:tcW w:w="398" w:type="pct"/>
            <w:gridSpan w:val="2"/>
            <w:vAlign w:val="center"/>
          </w:tcPr>
          <w:p w14:paraId="0DCC6F1E">
            <w:pPr>
              <w:pStyle w:val="75"/>
            </w:pPr>
            <w:r>
              <w:t>1830</w:t>
            </w:r>
          </w:p>
        </w:tc>
        <w:tc>
          <w:tcPr>
            <w:tcW w:w="801" w:type="pct"/>
            <w:gridSpan w:val="3"/>
            <w:vAlign w:val="center"/>
          </w:tcPr>
          <w:p w14:paraId="76CF8E83">
            <w:pPr>
              <w:pStyle w:val="75"/>
            </w:pPr>
            <w:r>
              <w:t>CAS编号</w:t>
            </w:r>
          </w:p>
        </w:tc>
        <w:tc>
          <w:tcPr>
            <w:tcW w:w="699" w:type="pct"/>
            <w:gridSpan w:val="2"/>
            <w:vAlign w:val="center"/>
          </w:tcPr>
          <w:p w14:paraId="139B35C6">
            <w:pPr>
              <w:pStyle w:val="75"/>
            </w:pPr>
            <w:r>
              <w:t>7664-93-9</w:t>
            </w:r>
          </w:p>
        </w:tc>
      </w:tr>
      <w:tr w14:paraId="5538A1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48EC0F36">
            <w:pPr>
              <w:pStyle w:val="75"/>
            </w:pPr>
          </w:p>
        </w:tc>
        <w:tc>
          <w:tcPr>
            <w:tcW w:w="631" w:type="pct"/>
            <w:vAlign w:val="center"/>
          </w:tcPr>
          <w:p w14:paraId="23107518">
            <w:pPr>
              <w:pStyle w:val="75"/>
            </w:pPr>
            <w:r>
              <w:t>危险类别</w:t>
            </w:r>
          </w:p>
        </w:tc>
        <w:tc>
          <w:tcPr>
            <w:tcW w:w="3996" w:type="pct"/>
            <w:gridSpan w:val="12"/>
            <w:vAlign w:val="center"/>
          </w:tcPr>
          <w:p w14:paraId="4968D177">
            <w:pPr>
              <w:pStyle w:val="75"/>
            </w:pPr>
            <w:r>
              <w:t>第8.1类   酸性腐蚀品</w:t>
            </w:r>
          </w:p>
        </w:tc>
      </w:tr>
      <w:tr w14:paraId="5DC80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373" w:type="pct"/>
            <w:vMerge w:val="restart"/>
            <w:vAlign w:val="center"/>
          </w:tcPr>
          <w:p w14:paraId="789726E5">
            <w:pPr>
              <w:pStyle w:val="75"/>
            </w:pPr>
            <w:r>
              <w:t>理</w:t>
            </w:r>
          </w:p>
          <w:p w14:paraId="59BC2922">
            <w:pPr>
              <w:pStyle w:val="75"/>
            </w:pPr>
            <w:r>
              <w:t>化</w:t>
            </w:r>
          </w:p>
          <w:p w14:paraId="2282E6A1">
            <w:pPr>
              <w:pStyle w:val="75"/>
            </w:pPr>
            <w:r>
              <w:t>性</w:t>
            </w:r>
          </w:p>
          <w:p w14:paraId="12D669D6">
            <w:pPr>
              <w:pStyle w:val="75"/>
            </w:pPr>
            <w:r>
              <w:t>质</w:t>
            </w:r>
          </w:p>
        </w:tc>
        <w:tc>
          <w:tcPr>
            <w:tcW w:w="631" w:type="pct"/>
            <w:vAlign w:val="center"/>
          </w:tcPr>
          <w:p w14:paraId="46A6E4D3">
            <w:pPr>
              <w:pStyle w:val="75"/>
            </w:pPr>
            <w:r>
              <w:t>性状</w:t>
            </w:r>
          </w:p>
        </w:tc>
        <w:tc>
          <w:tcPr>
            <w:tcW w:w="3996" w:type="pct"/>
            <w:gridSpan w:val="12"/>
            <w:vAlign w:val="center"/>
          </w:tcPr>
          <w:p w14:paraId="0BA54155">
            <w:pPr>
              <w:pStyle w:val="75"/>
            </w:pPr>
            <w:r>
              <w:t>纯品为无色透明油状液体，无臭</w:t>
            </w:r>
          </w:p>
        </w:tc>
      </w:tr>
      <w:tr w14:paraId="0DFAB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5D1D0018">
            <w:pPr>
              <w:pStyle w:val="75"/>
            </w:pPr>
          </w:p>
        </w:tc>
        <w:tc>
          <w:tcPr>
            <w:tcW w:w="631" w:type="pct"/>
            <w:vAlign w:val="center"/>
          </w:tcPr>
          <w:p w14:paraId="3C997BD9">
            <w:pPr>
              <w:pStyle w:val="75"/>
            </w:pPr>
            <w:r>
              <w:t>熔点（℃）</w:t>
            </w:r>
          </w:p>
        </w:tc>
        <w:tc>
          <w:tcPr>
            <w:tcW w:w="1521" w:type="pct"/>
            <w:gridSpan w:val="3"/>
            <w:vAlign w:val="center"/>
          </w:tcPr>
          <w:p w14:paraId="67311995">
            <w:pPr>
              <w:pStyle w:val="75"/>
            </w:pPr>
            <w:r>
              <w:t>10.5</w:t>
            </w:r>
          </w:p>
        </w:tc>
        <w:tc>
          <w:tcPr>
            <w:tcW w:w="1372" w:type="pct"/>
            <w:gridSpan w:val="6"/>
            <w:vAlign w:val="center"/>
          </w:tcPr>
          <w:p w14:paraId="61AF5C97">
            <w:pPr>
              <w:pStyle w:val="75"/>
            </w:pPr>
            <w:r>
              <w:t>临界压力（Mpa）</w:t>
            </w:r>
          </w:p>
        </w:tc>
        <w:tc>
          <w:tcPr>
            <w:tcW w:w="1103" w:type="pct"/>
            <w:gridSpan w:val="3"/>
            <w:vAlign w:val="center"/>
          </w:tcPr>
          <w:p w14:paraId="1F80098A">
            <w:pPr>
              <w:pStyle w:val="75"/>
            </w:pPr>
            <w:r>
              <w:t>/</w:t>
            </w:r>
          </w:p>
        </w:tc>
      </w:tr>
      <w:tr w14:paraId="1A182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65466FCA">
            <w:pPr>
              <w:pStyle w:val="75"/>
            </w:pPr>
          </w:p>
        </w:tc>
        <w:tc>
          <w:tcPr>
            <w:tcW w:w="631" w:type="pct"/>
            <w:vAlign w:val="center"/>
          </w:tcPr>
          <w:p w14:paraId="5A3B7B5D">
            <w:pPr>
              <w:pStyle w:val="75"/>
            </w:pPr>
            <w:r>
              <w:t>沸点（℃）</w:t>
            </w:r>
          </w:p>
        </w:tc>
        <w:tc>
          <w:tcPr>
            <w:tcW w:w="1521" w:type="pct"/>
            <w:gridSpan w:val="3"/>
            <w:vAlign w:val="center"/>
          </w:tcPr>
          <w:p w14:paraId="36F8769A">
            <w:pPr>
              <w:pStyle w:val="75"/>
            </w:pPr>
            <w:r>
              <w:t>330.0</w:t>
            </w:r>
          </w:p>
        </w:tc>
        <w:tc>
          <w:tcPr>
            <w:tcW w:w="1372" w:type="pct"/>
            <w:gridSpan w:val="6"/>
            <w:vAlign w:val="center"/>
          </w:tcPr>
          <w:p w14:paraId="74EAC749">
            <w:pPr>
              <w:pStyle w:val="75"/>
            </w:pPr>
            <w:r>
              <w:t>相对密度（水＝1）</w:t>
            </w:r>
          </w:p>
        </w:tc>
        <w:tc>
          <w:tcPr>
            <w:tcW w:w="1103" w:type="pct"/>
            <w:gridSpan w:val="3"/>
            <w:vAlign w:val="center"/>
          </w:tcPr>
          <w:p w14:paraId="6DEC3773">
            <w:pPr>
              <w:pStyle w:val="75"/>
            </w:pPr>
            <w:r>
              <w:t>1.83</w:t>
            </w:r>
          </w:p>
        </w:tc>
      </w:tr>
      <w:tr w14:paraId="4A516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373" w:type="pct"/>
            <w:vMerge w:val="continue"/>
            <w:vAlign w:val="center"/>
          </w:tcPr>
          <w:p w14:paraId="2AC6322E">
            <w:pPr>
              <w:pStyle w:val="75"/>
            </w:pPr>
          </w:p>
        </w:tc>
        <w:tc>
          <w:tcPr>
            <w:tcW w:w="631" w:type="pct"/>
            <w:vAlign w:val="center"/>
          </w:tcPr>
          <w:p w14:paraId="107FC650">
            <w:pPr>
              <w:pStyle w:val="75"/>
            </w:pPr>
            <w:r>
              <w:t>饱和蒸汽压（kpa）</w:t>
            </w:r>
          </w:p>
        </w:tc>
        <w:tc>
          <w:tcPr>
            <w:tcW w:w="1521" w:type="pct"/>
            <w:gridSpan w:val="3"/>
            <w:vAlign w:val="center"/>
          </w:tcPr>
          <w:p w14:paraId="10E79600">
            <w:pPr>
              <w:pStyle w:val="75"/>
            </w:pPr>
            <w:r>
              <w:t>0.13（145.8℃）</w:t>
            </w:r>
          </w:p>
        </w:tc>
        <w:tc>
          <w:tcPr>
            <w:tcW w:w="1372" w:type="pct"/>
            <w:gridSpan w:val="6"/>
            <w:vAlign w:val="center"/>
          </w:tcPr>
          <w:p w14:paraId="1F72348D">
            <w:pPr>
              <w:pStyle w:val="75"/>
            </w:pPr>
            <w:r>
              <w:t>相对密度（空气＝1）</w:t>
            </w:r>
          </w:p>
        </w:tc>
        <w:tc>
          <w:tcPr>
            <w:tcW w:w="1103" w:type="pct"/>
            <w:gridSpan w:val="3"/>
            <w:vAlign w:val="center"/>
          </w:tcPr>
          <w:p w14:paraId="7B56C1B0">
            <w:pPr>
              <w:pStyle w:val="75"/>
            </w:pPr>
            <w:r>
              <w:t>3.4</w:t>
            </w:r>
          </w:p>
        </w:tc>
      </w:tr>
      <w:tr w14:paraId="2F7A6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30D65B73">
            <w:pPr>
              <w:pStyle w:val="75"/>
            </w:pPr>
          </w:p>
        </w:tc>
        <w:tc>
          <w:tcPr>
            <w:tcW w:w="631" w:type="pct"/>
            <w:vAlign w:val="center"/>
          </w:tcPr>
          <w:p w14:paraId="2A7F072C">
            <w:pPr>
              <w:pStyle w:val="75"/>
            </w:pPr>
            <w:r>
              <w:t>溶解性</w:t>
            </w:r>
          </w:p>
        </w:tc>
        <w:tc>
          <w:tcPr>
            <w:tcW w:w="3996" w:type="pct"/>
            <w:gridSpan w:val="12"/>
            <w:vAlign w:val="center"/>
          </w:tcPr>
          <w:p w14:paraId="6642E5E5">
            <w:pPr>
              <w:pStyle w:val="75"/>
            </w:pPr>
            <w:r>
              <w:t>与水混溶</w:t>
            </w:r>
          </w:p>
        </w:tc>
      </w:tr>
      <w:tr w14:paraId="24472C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restart"/>
            <w:vAlign w:val="center"/>
          </w:tcPr>
          <w:p w14:paraId="05574301">
            <w:pPr>
              <w:pStyle w:val="75"/>
            </w:pPr>
            <w:r>
              <w:t>燃</w:t>
            </w:r>
          </w:p>
          <w:p w14:paraId="7FB225AC">
            <w:pPr>
              <w:pStyle w:val="75"/>
            </w:pPr>
            <w:r>
              <w:t>烧</w:t>
            </w:r>
          </w:p>
          <w:p w14:paraId="705C2D0B">
            <w:pPr>
              <w:pStyle w:val="75"/>
            </w:pPr>
            <w:r>
              <w:t>爆</w:t>
            </w:r>
          </w:p>
          <w:p w14:paraId="1B38FF0D">
            <w:pPr>
              <w:pStyle w:val="75"/>
            </w:pPr>
            <w:r>
              <w:t>炸</w:t>
            </w:r>
          </w:p>
          <w:p w14:paraId="749D5988">
            <w:pPr>
              <w:pStyle w:val="75"/>
            </w:pPr>
            <w:r>
              <w:t>危</w:t>
            </w:r>
          </w:p>
          <w:p w14:paraId="53809F01">
            <w:pPr>
              <w:pStyle w:val="75"/>
            </w:pPr>
            <w:r>
              <w:t>险</w:t>
            </w:r>
          </w:p>
          <w:p w14:paraId="0860D916">
            <w:pPr>
              <w:pStyle w:val="75"/>
            </w:pPr>
            <w:r>
              <w:t>性</w:t>
            </w:r>
          </w:p>
        </w:tc>
        <w:tc>
          <w:tcPr>
            <w:tcW w:w="631" w:type="pct"/>
            <w:vAlign w:val="center"/>
          </w:tcPr>
          <w:p w14:paraId="0674CDCE">
            <w:pPr>
              <w:pStyle w:val="75"/>
            </w:pPr>
            <w:r>
              <w:t>燃烧性</w:t>
            </w:r>
          </w:p>
        </w:tc>
        <w:tc>
          <w:tcPr>
            <w:tcW w:w="1521" w:type="pct"/>
            <w:gridSpan w:val="3"/>
            <w:vAlign w:val="center"/>
          </w:tcPr>
          <w:p w14:paraId="4A07FCC6">
            <w:pPr>
              <w:pStyle w:val="75"/>
            </w:pPr>
            <w:r>
              <w:t>不燃</w:t>
            </w:r>
          </w:p>
        </w:tc>
        <w:tc>
          <w:tcPr>
            <w:tcW w:w="1372" w:type="pct"/>
            <w:gridSpan w:val="6"/>
            <w:vAlign w:val="center"/>
          </w:tcPr>
          <w:p w14:paraId="2F7926D3">
            <w:pPr>
              <w:pStyle w:val="75"/>
            </w:pPr>
            <w:r>
              <w:t>闪点（℃）</w:t>
            </w:r>
          </w:p>
        </w:tc>
        <w:tc>
          <w:tcPr>
            <w:tcW w:w="1103" w:type="pct"/>
            <w:gridSpan w:val="3"/>
            <w:vAlign w:val="center"/>
          </w:tcPr>
          <w:p w14:paraId="55D33FE6">
            <w:pPr>
              <w:pStyle w:val="75"/>
            </w:pPr>
            <w:r>
              <w:t>无意义</w:t>
            </w:r>
          </w:p>
        </w:tc>
      </w:tr>
      <w:tr w14:paraId="7E35BF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598F856D">
            <w:pPr>
              <w:pStyle w:val="75"/>
            </w:pPr>
          </w:p>
        </w:tc>
        <w:tc>
          <w:tcPr>
            <w:tcW w:w="631" w:type="pct"/>
            <w:vAlign w:val="center"/>
          </w:tcPr>
          <w:p w14:paraId="71FE7A37">
            <w:pPr>
              <w:pStyle w:val="75"/>
            </w:pPr>
            <w:r>
              <w:t>危险特性</w:t>
            </w:r>
          </w:p>
        </w:tc>
        <w:tc>
          <w:tcPr>
            <w:tcW w:w="3996" w:type="pct"/>
            <w:gridSpan w:val="12"/>
            <w:vAlign w:val="center"/>
          </w:tcPr>
          <w:p w14:paraId="4AA38518">
            <w:pPr>
              <w:pStyle w:val="77"/>
              <w:ind w:firstLine="0" w:firstLineChars="0"/>
            </w:pPr>
            <w:r>
              <w:t>遇水大量放热，可发生沸溅，与燃烧物（如苯）和可燃物（如糖、纤维素等）接触会发生剧烈反应，甚至引起燃烧；遇电石、高锰酸盐、硝酸盐、苦味酸盐、金属粉末等发生猛烈反应，发生爆炸或燃烧，有强烈腐蚀性和吸水性。</w:t>
            </w:r>
          </w:p>
        </w:tc>
      </w:tr>
      <w:tr w14:paraId="4CA383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6F121CD3">
            <w:pPr>
              <w:pStyle w:val="75"/>
            </w:pPr>
          </w:p>
        </w:tc>
        <w:tc>
          <w:tcPr>
            <w:tcW w:w="631" w:type="pct"/>
            <w:vAlign w:val="center"/>
          </w:tcPr>
          <w:p w14:paraId="24E8D08D">
            <w:pPr>
              <w:pStyle w:val="75"/>
            </w:pPr>
            <w:r>
              <w:t>灭火方法</w:t>
            </w:r>
          </w:p>
        </w:tc>
        <w:tc>
          <w:tcPr>
            <w:tcW w:w="3996" w:type="pct"/>
            <w:gridSpan w:val="12"/>
            <w:vAlign w:val="center"/>
          </w:tcPr>
          <w:p w14:paraId="12957B7B">
            <w:pPr>
              <w:pStyle w:val="77"/>
              <w:ind w:firstLine="0" w:firstLineChars="0"/>
            </w:pPr>
            <w:r>
              <w:t>消防人员必须穿全身耐酸碱消防服；</w:t>
            </w:r>
          </w:p>
          <w:p w14:paraId="0BAED163">
            <w:pPr>
              <w:pStyle w:val="77"/>
              <w:ind w:firstLine="0" w:firstLineChars="0"/>
            </w:pPr>
            <w:r>
              <w:t>灭火剂：干粉、二氧化碳、砂土，避免水流冲击物品</w:t>
            </w:r>
          </w:p>
        </w:tc>
      </w:tr>
      <w:tr w14:paraId="250ED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37EC48BD">
            <w:pPr>
              <w:pStyle w:val="75"/>
            </w:pPr>
          </w:p>
        </w:tc>
        <w:tc>
          <w:tcPr>
            <w:tcW w:w="631" w:type="pct"/>
            <w:vAlign w:val="center"/>
          </w:tcPr>
          <w:p w14:paraId="7EAF4A01">
            <w:pPr>
              <w:pStyle w:val="75"/>
            </w:pPr>
            <w:r>
              <w:t>禁忌物</w:t>
            </w:r>
          </w:p>
        </w:tc>
        <w:tc>
          <w:tcPr>
            <w:tcW w:w="2715" w:type="pct"/>
            <w:gridSpan w:val="8"/>
            <w:vAlign w:val="center"/>
          </w:tcPr>
          <w:p w14:paraId="25B71648">
            <w:pPr>
              <w:pStyle w:val="75"/>
            </w:pPr>
            <w:r>
              <w:t>碱类、碱金属、水、强还原剂、易燃或可燃物</w:t>
            </w:r>
          </w:p>
        </w:tc>
        <w:tc>
          <w:tcPr>
            <w:tcW w:w="665" w:type="pct"/>
            <w:gridSpan w:val="3"/>
            <w:vAlign w:val="center"/>
          </w:tcPr>
          <w:p w14:paraId="7BDE7CD4">
            <w:pPr>
              <w:pStyle w:val="75"/>
            </w:pPr>
            <w:r>
              <w:t>稳定性</w:t>
            </w:r>
          </w:p>
        </w:tc>
        <w:tc>
          <w:tcPr>
            <w:tcW w:w="616" w:type="pct"/>
            <w:vAlign w:val="center"/>
          </w:tcPr>
          <w:p w14:paraId="2167C575">
            <w:pPr>
              <w:pStyle w:val="75"/>
            </w:pPr>
            <w:r>
              <w:t>稳定</w:t>
            </w:r>
          </w:p>
        </w:tc>
      </w:tr>
      <w:tr w14:paraId="244A4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456CF8C0">
            <w:pPr>
              <w:pStyle w:val="75"/>
            </w:pPr>
          </w:p>
        </w:tc>
        <w:tc>
          <w:tcPr>
            <w:tcW w:w="631" w:type="pct"/>
            <w:vAlign w:val="center"/>
          </w:tcPr>
          <w:p w14:paraId="008FB5A5">
            <w:pPr>
              <w:pStyle w:val="75"/>
            </w:pPr>
            <w:r>
              <w:t>燃烧产物</w:t>
            </w:r>
          </w:p>
        </w:tc>
        <w:tc>
          <w:tcPr>
            <w:tcW w:w="2715" w:type="pct"/>
            <w:gridSpan w:val="8"/>
            <w:vAlign w:val="center"/>
          </w:tcPr>
          <w:p w14:paraId="243830E4">
            <w:pPr>
              <w:pStyle w:val="75"/>
            </w:pPr>
            <w:r>
              <w:t>氧化硫</w:t>
            </w:r>
          </w:p>
        </w:tc>
        <w:tc>
          <w:tcPr>
            <w:tcW w:w="665" w:type="pct"/>
            <w:gridSpan w:val="3"/>
            <w:vAlign w:val="center"/>
          </w:tcPr>
          <w:p w14:paraId="1AB86C47">
            <w:pPr>
              <w:pStyle w:val="75"/>
            </w:pPr>
            <w:r>
              <w:t>聚合危害</w:t>
            </w:r>
          </w:p>
        </w:tc>
        <w:tc>
          <w:tcPr>
            <w:tcW w:w="616" w:type="pct"/>
            <w:vAlign w:val="center"/>
          </w:tcPr>
          <w:p w14:paraId="301EAFC8">
            <w:pPr>
              <w:pStyle w:val="75"/>
            </w:pPr>
            <w:r>
              <w:t>不聚合</w:t>
            </w:r>
          </w:p>
        </w:tc>
      </w:tr>
      <w:tr w14:paraId="44E894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restart"/>
            <w:vAlign w:val="center"/>
          </w:tcPr>
          <w:p w14:paraId="51B38272">
            <w:pPr>
              <w:pStyle w:val="75"/>
            </w:pPr>
            <w:r>
              <w:t>毒性及健康危害</w:t>
            </w:r>
          </w:p>
        </w:tc>
        <w:tc>
          <w:tcPr>
            <w:tcW w:w="631" w:type="pct"/>
            <w:vAlign w:val="center"/>
          </w:tcPr>
          <w:p w14:paraId="6EA03919">
            <w:pPr>
              <w:pStyle w:val="75"/>
            </w:pPr>
            <w:r>
              <w:t>急性毒性</w:t>
            </w:r>
          </w:p>
        </w:tc>
        <w:tc>
          <w:tcPr>
            <w:tcW w:w="1552" w:type="pct"/>
            <w:gridSpan w:val="4"/>
            <w:vAlign w:val="center"/>
          </w:tcPr>
          <w:p w14:paraId="13BB68F9">
            <w:pPr>
              <w:pStyle w:val="75"/>
            </w:pPr>
            <w:r>
              <w:t>LD</w:t>
            </w:r>
            <w:r>
              <w:rPr>
                <w:vertAlign w:val="subscript"/>
              </w:rPr>
              <w:t>50</w:t>
            </w:r>
            <w:r>
              <w:t>（mg/kg，大鼠经口）</w:t>
            </w:r>
          </w:p>
        </w:tc>
        <w:tc>
          <w:tcPr>
            <w:tcW w:w="799" w:type="pct"/>
            <w:gridSpan w:val="2"/>
            <w:vAlign w:val="center"/>
          </w:tcPr>
          <w:p w14:paraId="17B6D9B9">
            <w:pPr>
              <w:pStyle w:val="75"/>
            </w:pPr>
            <w:r>
              <w:t>2140</w:t>
            </w:r>
          </w:p>
        </w:tc>
        <w:tc>
          <w:tcPr>
            <w:tcW w:w="1029" w:type="pct"/>
            <w:gridSpan w:val="5"/>
            <w:vAlign w:val="center"/>
          </w:tcPr>
          <w:p w14:paraId="5CCB49B3">
            <w:pPr>
              <w:pStyle w:val="75"/>
            </w:pPr>
            <w:r>
              <w:t>LD</w:t>
            </w:r>
            <w:r>
              <w:rPr>
                <w:vertAlign w:val="subscript"/>
              </w:rPr>
              <w:t>50</w:t>
            </w:r>
            <w:r>
              <w:t>（mg/kg）</w:t>
            </w:r>
          </w:p>
        </w:tc>
        <w:tc>
          <w:tcPr>
            <w:tcW w:w="616" w:type="pct"/>
            <w:vAlign w:val="center"/>
          </w:tcPr>
          <w:p w14:paraId="7DD73A68">
            <w:pPr>
              <w:pStyle w:val="75"/>
            </w:pPr>
            <w:r>
              <w:t>510 2h</w:t>
            </w:r>
          </w:p>
        </w:tc>
      </w:tr>
      <w:tr w14:paraId="6DEED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Merge w:val="continue"/>
            <w:vAlign w:val="center"/>
          </w:tcPr>
          <w:p w14:paraId="2998C1B7">
            <w:pPr>
              <w:pStyle w:val="75"/>
            </w:pPr>
          </w:p>
        </w:tc>
        <w:tc>
          <w:tcPr>
            <w:tcW w:w="631" w:type="pct"/>
            <w:vMerge w:val="restart"/>
            <w:vAlign w:val="center"/>
          </w:tcPr>
          <w:p w14:paraId="644C5C0D">
            <w:pPr>
              <w:pStyle w:val="75"/>
            </w:pPr>
            <w:r>
              <w:t>健康危害</w:t>
            </w:r>
          </w:p>
        </w:tc>
        <w:tc>
          <w:tcPr>
            <w:tcW w:w="2351" w:type="pct"/>
            <w:gridSpan w:val="6"/>
            <w:vAlign w:val="center"/>
          </w:tcPr>
          <w:p w14:paraId="60743F01">
            <w:pPr>
              <w:pStyle w:val="75"/>
            </w:pPr>
            <w:r>
              <w:t>车间卫生标准</w:t>
            </w:r>
          </w:p>
        </w:tc>
        <w:tc>
          <w:tcPr>
            <w:tcW w:w="1646" w:type="pct"/>
            <w:gridSpan w:val="6"/>
            <w:vAlign w:val="center"/>
          </w:tcPr>
          <w:p w14:paraId="66A1F2DC">
            <w:pPr>
              <w:pStyle w:val="75"/>
            </w:pPr>
            <w:r>
              <w:t>2</w:t>
            </w:r>
          </w:p>
        </w:tc>
      </w:tr>
      <w:tr w14:paraId="251062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373" w:type="pct"/>
            <w:vMerge w:val="continue"/>
            <w:vAlign w:val="center"/>
          </w:tcPr>
          <w:p w14:paraId="7EF5C7D9">
            <w:pPr>
              <w:pStyle w:val="75"/>
            </w:pPr>
          </w:p>
        </w:tc>
        <w:tc>
          <w:tcPr>
            <w:tcW w:w="631" w:type="pct"/>
            <w:vMerge w:val="continue"/>
            <w:vAlign w:val="center"/>
          </w:tcPr>
          <w:p w14:paraId="3600C625">
            <w:pPr>
              <w:pStyle w:val="77"/>
              <w:ind w:firstLine="0" w:firstLineChars="0"/>
            </w:pPr>
          </w:p>
        </w:tc>
        <w:tc>
          <w:tcPr>
            <w:tcW w:w="3996" w:type="pct"/>
            <w:gridSpan w:val="12"/>
            <w:vAlign w:val="center"/>
          </w:tcPr>
          <w:p w14:paraId="56BE4C16">
            <w:pPr>
              <w:pStyle w:val="77"/>
              <w:ind w:firstLine="0" w:firstLineChars="0"/>
            </w:pPr>
            <w:r>
              <w:t>侵入途径：吸如、食入；</w:t>
            </w:r>
          </w:p>
          <w:p w14:paraId="5D79CF3E">
            <w:pPr>
              <w:pStyle w:val="77"/>
              <w:ind w:firstLine="0" w:firstLineChars="0"/>
            </w:pPr>
            <w:r>
              <w:t>对皮肤黏膜等组织有强烈的刺激和腐蚀作用；或雾可引起结膜炎、结膜水肿、角膜混浊，以致失明；可引起呼吸道刺激，重者发送呼吸困难和肺水肿而窒息死亡；口服后引起消化道烧伤以致溃疡形成，严重者可能有胃穿空、腹膜炎、肾损害、休克等；皮肤的灼伤，轻者出现红斑，重者形成溃疡，愈后瘢痕收缩影响功能；溅入眼内可造成灼伤，甚至角膜穿孔，全眼炎以致失明；慢性影响：牙齿酸蚀病、慢性支气管炎、肺气肿和肺硬化。</w:t>
            </w:r>
          </w:p>
        </w:tc>
      </w:tr>
      <w:tr w14:paraId="034901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Align w:val="center"/>
          </w:tcPr>
          <w:p w14:paraId="00AF088C">
            <w:pPr>
              <w:pStyle w:val="75"/>
            </w:pPr>
            <w:r>
              <w:t>急救</w:t>
            </w:r>
          </w:p>
        </w:tc>
        <w:tc>
          <w:tcPr>
            <w:tcW w:w="4627" w:type="pct"/>
            <w:gridSpan w:val="13"/>
            <w:vAlign w:val="center"/>
          </w:tcPr>
          <w:p w14:paraId="55E7810E">
            <w:pPr>
              <w:pStyle w:val="77"/>
              <w:ind w:firstLine="0" w:firstLineChars="0"/>
            </w:pPr>
            <w:r>
              <w:t>皮肤接触：立即脱去被污染的衣着，用大量清水冲洗至少15分钟，就医；</w:t>
            </w:r>
          </w:p>
          <w:p w14:paraId="2D4ED7A5">
            <w:pPr>
              <w:pStyle w:val="77"/>
              <w:ind w:firstLine="0" w:firstLineChars="0"/>
            </w:pPr>
            <w:r>
              <w:t>眼睛接触：立即提起眼睑，用大量流动清水或生理盐水彻底冲洗至少15分钟，就医；</w:t>
            </w:r>
          </w:p>
          <w:p w14:paraId="44B3A6EA">
            <w:pPr>
              <w:pStyle w:val="77"/>
              <w:ind w:firstLine="0" w:firstLineChars="0"/>
            </w:pPr>
            <w:r>
              <w:t>吸入：迅速脱离现场至空气新鲜处，保持呼吸道通畅，如呼吸困难，给输氧；如呼吸停止，立即进行人工呼吸，就医；</w:t>
            </w:r>
          </w:p>
          <w:p w14:paraId="3B172DE8">
            <w:pPr>
              <w:pStyle w:val="77"/>
              <w:ind w:firstLine="0" w:firstLineChars="0"/>
            </w:pPr>
            <w:r>
              <w:t>食入：误服者用水漱口，给饮牛奶或蛋清，就医。</w:t>
            </w:r>
          </w:p>
        </w:tc>
      </w:tr>
      <w:tr w14:paraId="16908D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Align w:val="center"/>
          </w:tcPr>
          <w:p w14:paraId="22C70038">
            <w:pPr>
              <w:pStyle w:val="75"/>
            </w:pPr>
            <w:r>
              <w:t>防护</w:t>
            </w:r>
          </w:p>
        </w:tc>
        <w:tc>
          <w:tcPr>
            <w:tcW w:w="4627" w:type="pct"/>
            <w:gridSpan w:val="13"/>
            <w:vAlign w:val="center"/>
          </w:tcPr>
          <w:p w14:paraId="4760223D">
            <w:pPr>
              <w:pStyle w:val="77"/>
              <w:ind w:firstLine="0" w:firstLineChars="0"/>
            </w:pPr>
            <w:r>
              <w:t>工程控制：密闭操作，注意通风，尽可能机械化、自动化，提供安全淋浴和洗眼设备；</w:t>
            </w:r>
          </w:p>
          <w:p w14:paraId="4E0E49FD">
            <w:pPr>
              <w:pStyle w:val="77"/>
              <w:ind w:firstLine="0" w:firstLineChars="0"/>
            </w:pPr>
            <w:r>
              <w:t>呼吸系统防护：可能接触其烟雾时，佩戴自给式防毒面具（全面罩）或空气呼吸器；紧急事态抢救或撤离时，建议佩戴氧气呼吸器。</w:t>
            </w:r>
          </w:p>
          <w:p w14:paraId="153941DC">
            <w:pPr>
              <w:pStyle w:val="77"/>
              <w:ind w:firstLine="0" w:firstLineChars="0"/>
            </w:pPr>
            <w:r>
              <w:t>眼睛防护：呼吸系统防护中已作防护；</w:t>
            </w:r>
          </w:p>
          <w:p w14:paraId="50A04B52">
            <w:pPr>
              <w:pStyle w:val="77"/>
              <w:ind w:firstLine="0" w:firstLineChars="0"/>
            </w:pPr>
            <w:r>
              <w:t>身体防护：穿橡胶耐酸碱服；</w:t>
            </w:r>
          </w:p>
          <w:p w14:paraId="30765DAF">
            <w:pPr>
              <w:pStyle w:val="77"/>
              <w:ind w:firstLine="0" w:firstLineChars="0"/>
            </w:pPr>
            <w:r>
              <w:t>手防护：带橡胶耐酸碱手套；</w:t>
            </w:r>
          </w:p>
          <w:p w14:paraId="47F4D4B2">
            <w:pPr>
              <w:pStyle w:val="77"/>
              <w:ind w:firstLine="0" w:firstLineChars="0"/>
            </w:pPr>
            <w:r>
              <w:t>其他：工作场所禁止吸烟、进食和饮水，工作毕淋浴更衣，单独存放被毒物污染的衣物，洗净后备用，保持良好的卫生习惯。</w:t>
            </w:r>
          </w:p>
        </w:tc>
      </w:tr>
      <w:tr w14:paraId="1B8B5E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Align w:val="center"/>
          </w:tcPr>
          <w:p w14:paraId="4291435D">
            <w:pPr>
              <w:pStyle w:val="75"/>
            </w:pPr>
            <w:r>
              <w:t>泄漏处理</w:t>
            </w:r>
          </w:p>
        </w:tc>
        <w:tc>
          <w:tcPr>
            <w:tcW w:w="4627" w:type="pct"/>
            <w:gridSpan w:val="13"/>
            <w:vAlign w:val="center"/>
          </w:tcPr>
          <w:p w14:paraId="59D214C9">
            <w:pPr>
              <w:pStyle w:val="77"/>
              <w:ind w:firstLine="0" w:firstLineChars="0"/>
            </w:pPr>
            <w:r>
              <w:t>迅速撤离泄漏区人员至安全区，并进行隔离，严格限制出入，建议应急处理人员佩戴自给正压呼吸器，穿防酸碱工作服，不要直接接触泄漏物，尽可能切断泄漏源，防止进入下水道、排洪沟等限制性空间；</w:t>
            </w:r>
          </w:p>
          <w:p w14:paraId="6B74403A">
            <w:pPr>
              <w:pStyle w:val="77"/>
              <w:ind w:firstLine="0" w:firstLineChars="0"/>
            </w:pPr>
            <w:r>
              <w:t>小量泄漏：用砂土、干燥石灰或苏打灰混合，也可以用大量水冲洗，洗水稀释后排入废水系统；</w:t>
            </w:r>
          </w:p>
          <w:p w14:paraId="65D0EFC6">
            <w:pPr>
              <w:pStyle w:val="77"/>
              <w:ind w:firstLine="0" w:firstLineChars="0"/>
            </w:pPr>
            <w:r>
              <w:t>大量泄漏：构筑围堤或挖坑收容，用泵转移至槽车或专用收集器内，回收或运至废物处理场所处置。</w:t>
            </w:r>
          </w:p>
        </w:tc>
      </w:tr>
      <w:tr w14:paraId="2B77EF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vAlign w:val="center"/>
          </w:tcPr>
          <w:p w14:paraId="4CBF44E4">
            <w:pPr>
              <w:pStyle w:val="75"/>
            </w:pPr>
            <w:r>
              <w:t>储运</w:t>
            </w:r>
          </w:p>
        </w:tc>
        <w:tc>
          <w:tcPr>
            <w:tcW w:w="4627" w:type="pct"/>
            <w:gridSpan w:val="13"/>
            <w:vAlign w:val="center"/>
          </w:tcPr>
          <w:p w14:paraId="60C2C7CD">
            <w:pPr>
              <w:pStyle w:val="77"/>
              <w:ind w:firstLine="0" w:firstLineChars="0"/>
            </w:pPr>
            <w:r>
              <w:t>储存于阴凉、干燥、通风良好的仓间，应与易燃物、可燃物、碱类、金属粉末等分开存放，不可混储、混运。搬运时要轻装轻卸，防止包装及容器损坏，分装和搬运作业要注意个人防护。</w:t>
            </w:r>
          </w:p>
        </w:tc>
      </w:tr>
    </w:tbl>
    <w:p w14:paraId="416D52F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70702A94">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6.3-2</w:t>
      </w:r>
      <w:r>
        <w:rPr>
          <w:rFonts w:hint="eastAsia"/>
        </w:rPr>
        <w:t xml:space="preserve">    氯化镍的物化及毒理性质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052"/>
        <w:gridCol w:w="991"/>
        <w:gridCol w:w="1274"/>
        <w:gridCol w:w="998"/>
        <w:gridCol w:w="1262"/>
        <w:gridCol w:w="839"/>
        <w:gridCol w:w="2011"/>
      </w:tblGrid>
      <w:tr w14:paraId="2FF187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1A1E7032">
            <w:pPr>
              <w:pStyle w:val="81"/>
              <w:rPr>
                <w:rFonts w:cs="Times New Roman"/>
                <w:color w:val="auto"/>
              </w:rPr>
            </w:pPr>
            <w:r>
              <w:rPr>
                <w:rFonts w:cs="Times New Roman"/>
                <w:color w:val="auto"/>
              </w:rPr>
              <w:t>物质名称</w:t>
            </w:r>
          </w:p>
        </w:tc>
        <w:tc>
          <w:tcPr>
            <w:tcW w:w="588" w:type="pct"/>
            <w:vAlign w:val="center"/>
          </w:tcPr>
          <w:p w14:paraId="1CC2EE88">
            <w:pPr>
              <w:pStyle w:val="81"/>
              <w:rPr>
                <w:rFonts w:cs="Times New Roman"/>
                <w:color w:val="auto"/>
              </w:rPr>
            </w:pPr>
            <w:r>
              <w:rPr>
                <w:rFonts w:cs="Times New Roman"/>
                <w:color w:val="auto"/>
              </w:rPr>
              <w:t>氯化镍</w:t>
            </w:r>
          </w:p>
        </w:tc>
        <w:tc>
          <w:tcPr>
            <w:tcW w:w="756" w:type="pct"/>
            <w:vAlign w:val="center"/>
          </w:tcPr>
          <w:p w14:paraId="7D458C01">
            <w:pPr>
              <w:pStyle w:val="81"/>
              <w:rPr>
                <w:rFonts w:cs="Times New Roman"/>
                <w:color w:val="auto"/>
              </w:rPr>
            </w:pPr>
            <w:r>
              <w:rPr>
                <w:rFonts w:cs="Times New Roman"/>
                <w:color w:val="auto"/>
              </w:rPr>
              <w:t>别名</w:t>
            </w:r>
          </w:p>
        </w:tc>
        <w:tc>
          <w:tcPr>
            <w:tcW w:w="592" w:type="pct"/>
            <w:vAlign w:val="center"/>
          </w:tcPr>
          <w:p w14:paraId="7018EFD5">
            <w:pPr>
              <w:pStyle w:val="81"/>
              <w:rPr>
                <w:rFonts w:cs="Times New Roman"/>
                <w:color w:val="auto"/>
              </w:rPr>
            </w:pPr>
            <w:r>
              <w:rPr>
                <w:rFonts w:cs="Times New Roman"/>
                <w:color w:val="auto"/>
              </w:rPr>
              <w:t>/</w:t>
            </w:r>
          </w:p>
        </w:tc>
        <w:tc>
          <w:tcPr>
            <w:tcW w:w="1247" w:type="pct"/>
            <w:gridSpan w:val="2"/>
            <w:vAlign w:val="center"/>
          </w:tcPr>
          <w:p w14:paraId="07B5A6C2">
            <w:pPr>
              <w:pStyle w:val="81"/>
              <w:rPr>
                <w:rFonts w:cs="Times New Roman"/>
                <w:color w:val="auto"/>
              </w:rPr>
            </w:pPr>
            <w:r>
              <w:rPr>
                <w:rFonts w:cs="Times New Roman"/>
                <w:color w:val="auto"/>
              </w:rPr>
              <w:t>英文名</w:t>
            </w:r>
          </w:p>
        </w:tc>
        <w:tc>
          <w:tcPr>
            <w:tcW w:w="1193" w:type="pct"/>
            <w:vAlign w:val="center"/>
          </w:tcPr>
          <w:p w14:paraId="5ECB1500">
            <w:pPr>
              <w:pStyle w:val="81"/>
              <w:rPr>
                <w:rFonts w:cs="Times New Roman"/>
                <w:color w:val="auto"/>
              </w:rPr>
            </w:pPr>
            <w:r>
              <w:rPr>
                <w:rFonts w:cs="Times New Roman"/>
                <w:color w:val="auto"/>
              </w:rPr>
              <w:t>Nickelchioride hexahydrate</w:t>
            </w:r>
          </w:p>
        </w:tc>
      </w:tr>
      <w:tr w14:paraId="481DA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Merge w:val="restart"/>
            <w:vAlign w:val="center"/>
          </w:tcPr>
          <w:p w14:paraId="5FE825EB">
            <w:pPr>
              <w:pStyle w:val="75"/>
            </w:pPr>
            <w:r>
              <w:t>理化</w:t>
            </w:r>
          </w:p>
          <w:p w14:paraId="6803A234">
            <w:pPr>
              <w:pStyle w:val="75"/>
            </w:pPr>
            <w:r>
              <w:t>性质</w:t>
            </w:r>
          </w:p>
        </w:tc>
        <w:tc>
          <w:tcPr>
            <w:tcW w:w="588" w:type="pct"/>
            <w:vAlign w:val="center"/>
          </w:tcPr>
          <w:p w14:paraId="6E728C10">
            <w:pPr>
              <w:pStyle w:val="75"/>
            </w:pPr>
            <w:r>
              <w:t>分子式</w:t>
            </w:r>
          </w:p>
        </w:tc>
        <w:tc>
          <w:tcPr>
            <w:tcW w:w="756" w:type="pct"/>
            <w:vAlign w:val="center"/>
          </w:tcPr>
          <w:p w14:paraId="3B744696">
            <w:pPr>
              <w:pStyle w:val="75"/>
            </w:pPr>
            <w:r>
              <w:t>NiCl</w:t>
            </w:r>
            <w:r>
              <w:rPr>
                <w:vertAlign w:val="subscript"/>
              </w:rPr>
              <w:t>2</w:t>
            </w:r>
          </w:p>
        </w:tc>
        <w:tc>
          <w:tcPr>
            <w:tcW w:w="592" w:type="pct"/>
            <w:vAlign w:val="center"/>
          </w:tcPr>
          <w:p w14:paraId="76C4BD3C">
            <w:pPr>
              <w:pStyle w:val="75"/>
            </w:pPr>
            <w:r>
              <w:t>分子量</w:t>
            </w:r>
          </w:p>
        </w:tc>
        <w:tc>
          <w:tcPr>
            <w:tcW w:w="749" w:type="pct"/>
            <w:vAlign w:val="center"/>
          </w:tcPr>
          <w:p w14:paraId="749C9158">
            <w:pPr>
              <w:pStyle w:val="75"/>
            </w:pPr>
            <w:r>
              <w:t>129.6</w:t>
            </w:r>
          </w:p>
        </w:tc>
        <w:tc>
          <w:tcPr>
            <w:tcW w:w="498" w:type="pct"/>
            <w:vAlign w:val="center"/>
          </w:tcPr>
          <w:p w14:paraId="3580C233">
            <w:pPr>
              <w:pStyle w:val="75"/>
            </w:pPr>
            <w:r>
              <w:t>熔点</w:t>
            </w:r>
          </w:p>
        </w:tc>
        <w:tc>
          <w:tcPr>
            <w:tcW w:w="1193" w:type="pct"/>
            <w:vAlign w:val="center"/>
          </w:tcPr>
          <w:p w14:paraId="27A6E14A">
            <w:pPr>
              <w:pStyle w:val="75"/>
            </w:pPr>
            <w:r>
              <w:t>1001℃</w:t>
            </w:r>
          </w:p>
        </w:tc>
      </w:tr>
      <w:tr w14:paraId="6A356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Merge w:val="continue"/>
            <w:vAlign w:val="center"/>
          </w:tcPr>
          <w:p w14:paraId="34B58E5B">
            <w:pPr>
              <w:pStyle w:val="75"/>
            </w:pPr>
          </w:p>
        </w:tc>
        <w:tc>
          <w:tcPr>
            <w:tcW w:w="588" w:type="pct"/>
            <w:vAlign w:val="center"/>
          </w:tcPr>
          <w:p w14:paraId="342306FC">
            <w:pPr>
              <w:pStyle w:val="75"/>
            </w:pPr>
            <w:r>
              <w:t>沸点</w:t>
            </w:r>
          </w:p>
        </w:tc>
        <w:tc>
          <w:tcPr>
            <w:tcW w:w="756" w:type="pct"/>
            <w:vAlign w:val="center"/>
          </w:tcPr>
          <w:p w14:paraId="3ECFC7CA">
            <w:pPr>
              <w:pStyle w:val="75"/>
            </w:pPr>
            <w:r>
              <w:t>987℃</w:t>
            </w:r>
          </w:p>
        </w:tc>
        <w:tc>
          <w:tcPr>
            <w:tcW w:w="592" w:type="pct"/>
            <w:vAlign w:val="center"/>
          </w:tcPr>
          <w:p w14:paraId="44306CD8">
            <w:pPr>
              <w:pStyle w:val="75"/>
            </w:pPr>
            <w:r>
              <w:t>相对密度</w:t>
            </w:r>
          </w:p>
        </w:tc>
        <w:tc>
          <w:tcPr>
            <w:tcW w:w="749" w:type="pct"/>
            <w:vAlign w:val="center"/>
          </w:tcPr>
          <w:p w14:paraId="10CC79DB">
            <w:pPr>
              <w:pStyle w:val="75"/>
            </w:pPr>
            <w:r>
              <w:t>1.921（水）</w:t>
            </w:r>
          </w:p>
        </w:tc>
        <w:tc>
          <w:tcPr>
            <w:tcW w:w="498" w:type="pct"/>
            <w:vAlign w:val="center"/>
          </w:tcPr>
          <w:p w14:paraId="0F6B82CE">
            <w:pPr>
              <w:pStyle w:val="75"/>
            </w:pPr>
            <w:r>
              <w:t>蒸汽压</w:t>
            </w:r>
          </w:p>
        </w:tc>
        <w:tc>
          <w:tcPr>
            <w:tcW w:w="1193" w:type="pct"/>
            <w:vAlign w:val="center"/>
          </w:tcPr>
          <w:p w14:paraId="2A85CDD0">
            <w:pPr>
              <w:pStyle w:val="75"/>
            </w:pPr>
            <w:r>
              <w:t>1.33hPa（671℃)</w:t>
            </w:r>
          </w:p>
        </w:tc>
      </w:tr>
      <w:tr w14:paraId="53A215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Merge w:val="continue"/>
            <w:vAlign w:val="center"/>
          </w:tcPr>
          <w:p w14:paraId="1DE94D81">
            <w:pPr>
              <w:pStyle w:val="75"/>
            </w:pPr>
          </w:p>
        </w:tc>
        <w:tc>
          <w:tcPr>
            <w:tcW w:w="588" w:type="pct"/>
            <w:vAlign w:val="center"/>
          </w:tcPr>
          <w:p w14:paraId="1A4EFD38">
            <w:pPr>
              <w:pStyle w:val="75"/>
            </w:pPr>
            <w:r>
              <w:t>外观气味</w:t>
            </w:r>
          </w:p>
        </w:tc>
        <w:tc>
          <w:tcPr>
            <w:tcW w:w="3788" w:type="pct"/>
            <w:gridSpan w:val="5"/>
            <w:vAlign w:val="center"/>
          </w:tcPr>
          <w:p w14:paraId="63551F63">
            <w:pPr>
              <w:pStyle w:val="75"/>
            </w:pPr>
            <w:r>
              <w:t>无水氯化镍为黄色固体，带结晶水的水合氯化镍为绿色固体。</w:t>
            </w:r>
          </w:p>
        </w:tc>
      </w:tr>
      <w:tr w14:paraId="035E9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Merge w:val="continue"/>
            <w:vAlign w:val="center"/>
          </w:tcPr>
          <w:p w14:paraId="0C13FF27">
            <w:pPr>
              <w:pStyle w:val="75"/>
            </w:pPr>
          </w:p>
        </w:tc>
        <w:tc>
          <w:tcPr>
            <w:tcW w:w="588" w:type="pct"/>
            <w:vAlign w:val="center"/>
          </w:tcPr>
          <w:p w14:paraId="7630226D">
            <w:pPr>
              <w:pStyle w:val="75"/>
            </w:pPr>
            <w:r>
              <w:t>溶解性</w:t>
            </w:r>
          </w:p>
        </w:tc>
        <w:tc>
          <w:tcPr>
            <w:tcW w:w="3788" w:type="pct"/>
            <w:gridSpan w:val="5"/>
            <w:vAlign w:val="center"/>
          </w:tcPr>
          <w:p w14:paraId="2FA5B6B2">
            <w:pPr>
              <w:pStyle w:val="75"/>
            </w:pPr>
            <w:r>
              <w:t>溶于水、醇，不溶于大多数有机溶剂。</w:t>
            </w:r>
          </w:p>
        </w:tc>
      </w:tr>
      <w:tr w14:paraId="2D8E0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5DF9DBA4">
            <w:pPr>
              <w:pStyle w:val="75"/>
            </w:pPr>
            <w:r>
              <w:t>稳定性和危险性</w:t>
            </w:r>
          </w:p>
        </w:tc>
        <w:tc>
          <w:tcPr>
            <w:tcW w:w="4376" w:type="pct"/>
            <w:gridSpan w:val="6"/>
            <w:vAlign w:val="center"/>
          </w:tcPr>
          <w:p w14:paraId="556C0F26">
            <w:pPr>
              <w:pStyle w:val="77"/>
              <w:ind w:firstLine="420"/>
            </w:pPr>
            <w:r>
              <w:t>稳定，接触者可发生接触性皮炎或过敏性湿疹。吸入本品粉尘，可发生支气管炎或支气管肺炎、过敏性肺炎，并可并发肾上腺皮质功能不全。镍化合物属致癌物。</w:t>
            </w:r>
          </w:p>
        </w:tc>
      </w:tr>
      <w:tr w14:paraId="2F4A8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3C91248D">
            <w:pPr>
              <w:pStyle w:val="75"/>
            </w:pPr>
            <w:r>
              <w:t>毒理学</w:t>
            </w:r>
          </w:p>
          <w:p w14:paraId="27341462">
            <w:pPr>
              <w:pStyle w:val="75"/>
            </w:pPr>
            <w:r>
              <w:t>资料</w:t>
            </w:r>
          </w:p>
        </w:tc>
        <w:tc>
          <w:tcPr>
            <w:tcW w:w="4376" w:type="pct"/>
            <w:gridSpan w:val="6"/>
            <w:vAlign w:val="center"/>
          </w:tcPr>
          <w:p w14:paraId="13FEC14E">
            <w:pPr>
              <w:pStyle w:val="77"/>
              <w:ind w:firstLine="420"/>
            </w:pPr>
            <w:r>
              <w:t>本品不燃，与钾发生剧烈反应，受高热分解，放出有毒的烟气。LD</w:t>
            </w:r>
            <w:r>
              <w:rPr>
                <w:vertAlign w:val="subscript"/>
              </w:rPr>
              <w:t>50</w:t>
            </w:r>
            <w:r>
              <w:t>：175mg/kg（大鼠经口），186mg/kg（兔经口）。</w:t>
            </w:r>
          </w:p>
        </w:tc>
      </w:tr>
      <w:tr w14:paraId="44DA3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5A50454F">
            <w:pPr>
              <w:pStyle w:val="75"/>
            </w:pPr>
            <w:r>
              <w:t>主要用途</w:t>
            </w:r>
          </w:p>
        </w:tc>
        <w:tc>
          <w:tcPr>
            <w:tcW w:w="4376" w:type="pct"/>
            <w:gridSpan w:val="6"/>
            <w:vAlign w:val="center"/>
          </w:tcPr>
          <w:p w14:paraId="547FC5F5">
            <w:pPr>
              <w:pStyle w:val="77"/>
              <w:ind w:firstLine="420"/>
            </w:pPr>
            <w:r>
              <w:t>用于镀镍和作氨吸收剂、催化剂等。</w:t>
            </w:r>
          </w:p>
        </w:tc>
      </w:tr>
      <w:tr w14:paraId="70D179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0236CBC7">
            <w:pPr>
              <w:pStyle w:val="75"/>
            </w:pPr>
            <w:r>
              <w:t>泄漏应急处理</w:t>
            </w:r>
          </w:p>
        </w:tc>
        <w:tc>
          <w:tcPr>
            <w:tcW w:w="4376" w:type="pct"/>
            <w:gridSpan w:val="6"/>
            <w:vAlign w:val="center"/>
          </w:tcPr>
          <w:p w14:paraId="0B344F43">
            <w:pPr>
              <w:pStyle w:val="77"/>
              <w:ind w:firstLine="420"/>
            </w:pPr>
            <w:r>
              <w:t>隔离泄漏污染区，周围设警告标志，建议应急处理人员戴自给式呼吸器，穿化学防护服。不要直接接触泄漏物，避免扬尘，置于袋中转移至安全场所。用水刷洗泄漏污染区，对污染地带进行通风。</w:t>
            </w:r>
          </w:p>
        </w:tc>
      </w:tr>
      <w:tr w14:paraId="116E59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2F20FC3D">
            <w:pPr>
              <w:pStyle w:val="75"/>
            </w:pPr>
            <w:r>
              <w:rPr>
                <w:szCs w:val="17"/>
              </w:rPr>
              <w:t>储运注意事项</w:t>
            </w:r>
          </w:p>
        </w:tc>
        <w:tc>
          <w:tcPr>
            <w:tcW w:w="4376" w:type="pct"/>
            <w:gridSpan w:val="6"/>
            <w:vAlign w:val="center"/>
          </w:tcPr>
          <w:p w14:paraId="1F797446">
            <w:pPr>
              <w:pStyle w:val="77"/>
              <w:ind w:firstLine="420"/>
              <w:rPr>
                <w:szCs w:val="15"/>
              </w:rPr>
            </w:pPr>
            <w:r>
              <w:rPr>
                <w:szCs w:val="15"/>
              </w:rPr>
              <w:t>储存于阴凉、干燥、通风良好的库房。远离火种、热源。保持容器密封。防止受潮和雨淋。应与碱金属、氧化剂、食用化工原料等分开存放。操作现场不得吸烟、饮水、进食。搬运时要轻装轻卸，防止包装及容器损坏。分装和搬运作业要注意个人防护。</w:t>
            </w:r>
          </w:p>
        </w:tc>
      </w:tr>
      <w:tr w14:paraId="76DFF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515FF295">
            <w:pPr>
              <w:pStyle w:val="75"/>
              <w:rPr>
                <w:szCs w:val="17"/>
              </w:rPr>
            </w:pPr>
            <w:r>
              <w:rPr>
                <w:szCs w:val="17"/>
              </w:rPr>
              <w:t>废弃处置方法</w:t>
            </w:r>
          </w:p>
        </w:tc>
        <w:tc>
          <w:tcPr>
            <w:tcW w:w="4376" w:type="pct"/>
            <w:gridSpan w:val="6"/>
            <w:vAlign w:val="center"/>
          </w:tcPr>
          <w:p w14:paraId="68EA12CC">
            <w:pPr>
              <w:pStyle w:val="77"/>
              <w:ind w:firstLine="420"/>
              <w:rPr>
                <w:szCs w:val="15"/>
              </w:rPr>
            </w:pPr>
            <w:r>
              <w:rPr>
                <w:szCs w:val="15"/>
              </w:rPr>
              <w:t>根据国家和地方有关法规的要求处置。或与厂商或制造商联系，确定处置方法。</w:t>
            </w:r>
          </w:p>
        </w:tc>
      </w:tr>
      <w:tr w14:paraId="39AB27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0A60EC24">
            <w:pPr>
              <w:pStyle w:val="75"/>
            </w:pPr>
            <w:r>
              <w:t>防护措施</w:t>
            </w:r>
          </w:p>
        </w:tc>
        <w:tc>
          <w:tcPr>
            <w:tcW w:w="4376" w:type="pct"/>
            <w:gridSpan w:val="6"/>
            <w:vAlign w:val="center"/>
          </w:tcPr>
          <w:p w14:paraId="434FD574">
            <w:pPr>
              <w:pStyle w:val="77"/>
              <w:ind w:firstLine="420"/>
            </w:pPr>
            <w:r>
              <w:rPr>
                <w:szCs w:val="17"/>
              </w:rPr>
              <w:t>工程控制</w:t>
            </w:r>
            <w:r>
              <w:t>：</w:t>
            </w:r>
            <w:r>
              <w:rPr>
                <w:szCs w:val="15"/>
              </w:rPr>
              <w:t>严加密闭，提供充分的局部排风或全面通风。</w:t>
            </w:r>
          </w:p>
          <w:p w14:paraId="68BC9BB4">
            <w:pPr>
              <w:pStyle w:val="77"/>
              <w:ind w:firstLine="420"/>
            </w:pPr>
            <w:r>
              <w:rPr>
                <w:szCs w:val="17"/>
              </w:rPr>
              <w:t>呼吸系统防护</w:t>
            </w:r>
            <w:r>
              <w:t>：作业工人应该佩戴防毒口罩。</w:t>
            </w:r>
          </w:p>
          <w:p w14:paraId="26AE3D0E">
            <w:pPr>
              <w:pStyle w:val="77"/>
              <w:ind w:firstLine="420"/>
              <w:rPr>
                <w:szCs w:val="17"/>
              </w:rPr>
            </w:pPr>
            <w:r>
              <w:rPr>
                <w:szCs w:val="17"/>
              </w:rPr>
              <w:t>眼睛防护：戴化学安全防护眼镜。</w:t>
            </w:r>
          </w:p>
          <w:p w14:paraId="056914D0">
            <w:pPr>
              <w:pStyle w:val="77"/>
              <w:ind w:firstLine="420"/>
            </w:pPr>
            <w:r>
              <w:rPr>
                <w:szCs w:val="17"/>
              </w:rPr>
              <w:t>身体防护</w:t>
            </w:r>
            <w:r>
              <w:t>：</w:t>
            </w:r>
            <w:r>
              <w:rPr>
                <w:szCs w:val="15"/>
              </w:rPr>
              <w:t>穿相应的防护服。</w:t>
            </w:r>
          </w:p>
          <w:p w14:paraId="2B50110F">
            <w:pPr>
              <w:pStyle w:val="77"/>
              <w:ind w:firstLine="420"/>
            </w:pPr>
            <w:r>
              <w:rPr>
                <w:szCs w:val="17"/>
              </w:rPr>
              <w:t>手防护：</w:t>
            </w:r>
            <w:r>
              <w:rPr>
                <w:szCs w:val="15"/>
              </w:rPr>
              <w:t>戴防化学品手套。</w:t>
            </w:r>
          </w:p>
        </w:tc>
      </w:tr>
      <w:tr w14:paraId="62A105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76112BF7">
            <w:pPr>
              <w:pStyle w:val="75"/>
            </w:pPr>
            <w:r>
              <w:t>急救措施</w:t>
            </w:r>
          </w:p>
        </w:tc>
        <w:tc>
          <w:tcPr>
            <w:tcW w:w="4376" w:type="pct"/>
            <w:gridSpan w:val="6"/>
            <w:vAlign w:val="center"/>
          </w:tcPr>
          <w:p w14:paraId="0BD08A23">
            <w:pPr>
              <w:pStyle w:val="77"/>
              <w:ind w:firstLine="420"/>
            </w:pPr>
            <w:r>
              <w:t>皮肤接触：</w:t>
            </w:r>
            <w:r>
              <w:rPr>
                <w:szCs w:val="15"/>
              </w:rPr>
              <w:t>用肥皂水及清水彻底冲洗。就医</w:t>
            </w:r>
            <w:r>
              <w:t>。</w:t>
            </w:r>
          </w:p>
          <w:p w14:paraId="5A50074D">
            <w:pPr>
              <w:pStyle w:val="77"/>
              <w:ind w:firstLine="420"/>
            </w:pPr>
            <w:r>
              <w:rPr>
                <w:szCs w:val="17"/>
              </w:rPr>
              <w:t>眼睛接触：</w:t>
            </w:r>
            <w:r>
              <w:rPr>
                <w:szCs w:val="15"/>
              </w:rPr>
              <w:t>拉开眼睑，用流动清水冲洗15分钟。就医。</w:t>
            </w:r>
          </w:p>
          <w:p w14:paraId="4B3503B7">
            <w:pPr>
              <w:pStyle w:val="77"/>
              <w:ind w:firstLine="420"/>
            </w:pPr>
            <w:r>
              <w:t>吸入：</w:t>
            </w:r>
            <w:r>
              <w:rPr>
                <w:szCs w:val="15"/>
              </w:rPr>
              <w:t>脱离现场至空气新鲜处。就医</w:t>
            </w:r>
            <w:r>
              <w:t>。</w:t>
            </w:r>
          </w:p>
          <w:p w14:paraId="4BDC6F27">
            <w:pPr>
              <w:pStyle w:val="77"/>
              <w:ind w:firstLine="420"/>
            </w:pPr>
            <w:r>
              <w:t>食入：误服者，口服牛奶、豆浆或蛋清，洗胃</w:t>
            </w:r>
            <w:r>
              <w:rPr>
                <w:szCs w:val="15"/>
              </w:rPr>
              <w:t>。就医</w:t>
            </w:r>
            <w:r>
              <w:t>。</w:t>
            </w:r>
          </w:p>
        </w:tc>
      </w:tr>
      <w:tr w14:paraId="6590B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624" w:type="pct"/>
            <w:vAlign w:val="center"/>
          </w:tcPr>
          <w:p w14:paraId="5663CE3C">
            <w:pPr>
              <w:pStyle w:val="75"/>
            </w:pPr>
            <w:r>
              <w:t>灭火方法</w:t>
            </w:r>
          </w:p>
        </w:tc>
        <w:tc>
          <w:tcPr>
            <w:tcW w:w="4376" w:type="pct"/>
            <w:gridSpan w:val="6"/>
            <w:vAlign w:val="center"/>
          </w:tcPr>
          <w:p w14:paraId="4DEBAE76">
            <w:pPr>
              <w:pStyle w:val="77"/>
              <w:ind w:firstLine="420"/>
            </w:pPr>
            <w:r>
              <w:rPr>
                <w:szCs w:val="20"/>
              </w:rPr>
              <w:t>不燃</w:t>
            </w:r>
          </w:p>
        </w:tc>
      </w:tr>
    </w:tbl>
    <w:p w14:paraId="02387E6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6.3-3</w:t>
      </w:r>
      <w:r>
        <w:rPr>
          <w:rFonts w:hint="eastAsia"/>
        </w:rPr>
        <w:t xml:space="preserve">    硫酸镍的理化性质及危险特性表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56"/>
        <w:gridCol w:w="1020"/>
        <w:gridCol w:w="1556"/>
        <w:gridCol w:w="546"/>
        <w:gridCol w:w="1017"/>
        <w:gridCol w:w="281"/>
        <w:gridCol w:w="909"/>
        <w:gridCol w:w="227"/>
        <w:gridCol w:w="1755"/>
      </w:tblGrid>
      <w:tr w14:paraId="2FB3A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4C554EFE">
            <w:pPr>
              <w:pStyle w:val="81"/>
              <w:rPr>
                <w:rFonts w:cs="Times New Roman"/>
                <w:color w:val="auto"/>
              </w:rPr>
            </w:pPr>
            <w:r>
              <w:rPr>
                <w:rFonts w:cs="Times New Roman"/>
                <w:color w:val="auto"/>
              </w:rPr>
              <w:t>物质名称：硫酸镍</w:t>
            </w:r>
          </w:p>
        </w:tc>
        <w:tc>
          <w:tcPr>
            <w:tcW w:w="1993" w:type="pct"/>
            <w:gridSpan w:val="4"/>
            <w:vAlign w:val="center"/>
          </w:tcPr>
          <w:p w14:paraId="7FC4347F">
            <w:pPr>
              <w:pStyle w:val="81"/>
              <w:rPr>
                <w:rFonts w:cs="Times New Roman"/>
                <w:color w:val="auto"/>
              </w:rPr>
            </w:pPr>
            <w:r>
              <w:rPr>
                <w:rFonts w:cs="Times New Roman"/>
                <w:color w:val="auto"/>
              </w:rPr>
              <w:t>英文名称：Nickel sulfate</w:t>
            </w:r>
          </w:p>
        </w:tc>
        <w:tc>
          <w:tcPr>
            <w:tcW w:w="1695" w:type="pct"/>
            <w:gridSpan w:val="3"/>
            <w:vAlign w:val="center"/>
          </w:tcPr>
          <w:p w14:paraId="251EF542">
            <w:pPr>
              <w:pStyle w:val="81"/>
              <w:rPr>
                <w:rFonts w:cs="Times New Roman"/>
                <w:color w:val="auto"/>
              </w:rPr>
            </w:pPr>
            <w:r>
              <w:rPr>
                <w:rFonts w:cs="Times New Roman"/>
                <w:color w:val="auto"/>
              </w:rPr>
              <w:t>CAS NO:7786-81-4</w:t>
            </w:r>
          </w:p>
        </w:tc>
      </w:tr>
      <w:tr w14:paraId="5083A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1A4250EA">
            <w:pPr>
              <w:pStyle w:val="75"/>
            </w:pPr>
            <w:r>
              <w:t>分子式：NiSO</w:t>
            </w:r>
            <w:r>
              <w:rPr>
                <w:vertAlign w:val="subscript"/>
              </w:rPr>
              <w:t>4</w:t>
            </w:r>
          </w:p>
        </w:tc>
        <w:tc>
          <w:tcPr>
            <w:tcW w:w="1993" w:type="pct"/>
            <w:gridSpan w:val="4"/>
            <w:vAlign w:val="center"/>
          </w:tcPr>
          <w:p w14:paraId="7D26ED35">
            <w:pPr>
              <w:pStyle w:val="75"/>
            </w:pPr>
            <w:r>
              <w:t>分子量：154.7</w:t>
            </w:r>
          </w:p>
        </w:tc>
        <w:tc>
          <w:tcPr>
            <w:tcW w:w="1695" w:type="pct"/>
            <w:gridSpan w:val="3"/>
            <w:vAlign w:val="center"/>
          </w:tcPr>
          <w:p w14:paraId="5F796E27">
            <w:pPr>
              <w:pStyle w:val="75"/>
            </w:pPr>
            <w:r>
              <w:t>危险性类别：皮肤腐蚀/刺激，类别2</w:t>
            </w:r>
            <w:r>
              <w:rPr>
                <w:rFonts w:hint="eastAsia"/>
                <w:lang w:val="en-US" w:eastAsia="zh-CN"/>
              </w:rPr>
              <w:t xml:space="preserve"> </w:t>
            </w:r>
            <w:r>
              <w:t>呼吸道致敏物</w:t>
            </w:r>
            <w:r>
              <w:rPr>
                <w:rFonts w:hint="eastAsia"/>
              </w:rPr>
              <w:t>，</w:t>
            </w:r>
            <w:r>
              <w:t>类别</w:t>
            </w:r>
            <w:r>
              <w:rPr>
                <w:rFonts w:hint="eastAsia"/>
              </w:rPr>
              <w:t>1</w:t>
            </w:r>
          </w:p>
        </w:tc>
      </w:tr>
      <w:tr w14:paraId="319E1F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655B4BB3">
            <w:pPr>
              <w:pStyle w:val="75"/>
            </w:pPr>
            <w:r>
              <w:t>沸点（℃）</w:t>
            </w:r>
          </w:p>
        </w:tc>
        <w:tc>
          <w:tcPr>
            <w:tcW w:w="912" w:type="pct"/>
            <w:vAlign w:val="center"/>
          </w:tcPr>
          <w:p w14:paraId="7A73FAEC">
            <w:pPr>
              <w:pStyle w:val="75"/>
            </w:pPr>
            <w:r>
              <w:t>840</w:t>
            </w:r>
          </w:p>
        </w:tc>
        <w:tc>
          <w:tcPr>
            <w:tcW w:w="1081" w:type="pct"/>
            <w:gridSpan w:val="3"/>
            <w:vAlign w:val="center"/>
          </w:tcPr>
          <w:p w14:paraId="4E6E3B53">
            <w:pPr>
              <w:pStyle w:val="75"/>
            </w:pPr>
            <w:r>
              <w:t>相对密度（水＝1）</w:t>
            </w:r>
          </w:p>
        </w:tc>
        <w:tc>
          <w:tcPr>
            <w:tcW w:w="1695" w:type="pct"/>
            <w:gridSpan w:val="3"/>
            <w:vAlign w:val="center"/>
          </w:tcPr>
          <w:p w14:paraId="75E6C846">
            <w:pPr>
              <w:pStyle w:val="75"/>
            </w:pPr>
            <w:r>
              <w:t>2.07</w:t>
            </w:r>
          </w:p>
        </w:tc>
      </w:tr>
      <w:tr w14:paraId="4B6A4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1A2DB427">
            <w:pPr>
              <w:pStyle w:val="75"/>
            </w:pPr>
            <w:r>
              <w:t>饱和蒸气压（kPa）</w:t>
            </w:r>
          </w:p>
        </w:tc>
        <w:tc>
          <w:tcPr>
            <w:tcW w:w="912" w:type="pct"/>
            <w:vAlign w:val="center"/>
          </w:tcPr>
          <w:p w14:paraId="6664F1AA">
            <w:pPr>
              <w:pStyle w:val="75"/>
            </w:pPr>
            <w:r>
              <w:t>5.33(19℃)</w:t>
            </w:r>
          </w:p>
        </w:tc>
        <w:tc>
          <w:tcPr>
            <w:tcW w:w="1081" w:type="pct"/>
            <w:gridSpan w:val="3"/>
            <w:vAlign w:val="center"/>
          </w:tcPr>
          <w:p w14:paraId="4997FB1F">
            <w:pPr>
              <w:pStyle w:val="75"/>
            </w:pPr>
            <w:r>
              <w:t>熔点（℃）</w:t>
            </w:r>
          </w:p>
        </w:tc>
        <w:tc>
          <w:tcPr>
            <w:tcW w:w="1695" w:type="pct"/>
            <w:gridSpan w:val="3"/>
            <w:vAlign w:val="center"/>
          </w:tcPr>
          <w:p w14:paraId="6689B178">
            <w:pPr>
              <w:pStyle w:val="75"/>
            </w:pPr>
            <w:r>
              <w:t>31.5</w:t>
            </w:r>
          </w:p>
        </w:tc>
      </w:tr>
      <w:tr w14:paraId="5AE1EF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473E0E5E">
            <w:pPr>
              <w:pStyle w:val="75"/>
            </w:pPr>
            <w:r>
              <w:t>蒸气密度（空气＝1）</w:t>
            </w:r>
          </w:p>
        </w:tc>
        <w:tc>
          <w:tcPr>
            <w:tcW w:w="912" w:type="pct"/>
            <w:vAlign w:val="center"/>
          </w:tcPr>
          <w:p w14:paraId="32BA0B3C">
            <w:pPr>
              <w:pStyle w:val="75"/>
            </w:pPr>
            <w:r>
              <w:t>1.59</w:t>
            </w:r>
          </w:p>
        </w:tc>
        <w:tc>
          <w:tcPr>
            <w:tcW w:w="1081" w:type="pct"/>
            <w:gridSpan w:val="3"/>
            <w:vAlign w:val="center"/>
          </w:tcPr>
          <w:p w14:paraId="264DC388">
            <w:pPr>
              <w:pStyle w:val="75"/>
            </w:pPr>
            <w:r>
              <w:t>溶解性</w:t>
            </w:r>
          </w:p>
        </w:tc>
        <w:tc>
          <w:tcPr>
            <w:tcW w:w="1695" w:type="pct"/>
            <w:gridSpan w:val="3"/>
            <w:vAlign w:val="center"/>
          </w:tcPr>
          <w:p w14:paraId="1052FDDE">
            <w:pPr>
              <w:pStyle w:val="75"/>
            </w:pPr>
            <w:r>
              <w:t>易溶于水，微溶于乙醇、甲醇，其水溶液呈酸性，微溶于酸、氨水。</w:t>
            </w:r>
          </w:p>
        </w:tc>
      </w:tr>
      <w:tr w14:paraId="24F8B8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2" w:type="pct"/>
            <w:gridSpan w:val="3"/>
            <w:vAlign w:val="center"/>
          </w:tcPr>
          <w:p w14:paraId="28B6E114">
            <w:pPr>
              <w:pStyle w:val="75"/>
            </w:pPr>
            <w:r>
              <w:t>外观与气味</w:t>
            </w:r>
          </w:p>
        </w:tc>
        <w:tc>
          <w:tcPr>
            <w:tcW w:w="3688" w:type="pct"/>
            <w:gridSpan w:val="7"/>
            <w:vAlign w:val="center"/>
          </w:tcPr>
          <w:p w14:paraId="0AE597AF">
            <w:pPr>
              <w:pStyle w:val="75"/>
            </w:pPr>
            <w:r>
              <w:t>绿色结晶，正方晶系。</w:t>
            </w:r>
          </w:p>
        </w:tc>
      </w:tr>
      <w:tr w14:paraId="2B71D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0"/>
            <w:vAlign w:val="center"/>
          </w:tcPr>
          <w:p w14:paraId="74D506C6">
            <w:pPr>
              <w:pStyle w:val="75"/>
            </w:pPr>
            <w:r>
              <w:t>火灾爆炸危险数据</w:t>
            </w:r>
          </w:p>
        </w:tc>
      </w:tr>
      <w:tr w14:paraId="79B7A4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493A6290">
            <w:pPr>
              <w:pStyle w:val="75"/>
            </w:pPr>
            <w:r>
              <w:t>闪点（℃）</w:t>
            </w:r>
          </w:p>
        </w:tc>
        <w:tc>
          <w:tcPr>
            <w:tcW w:w="631" w:type="pct"/>
            <w:gridSpan w:val="2"/>
            <w:vAlign w:val="center"/>
          </w:tcPr>
          <w:p w14:paraId="5FE41CE8">
            <w:pPr>
              <w:pStyle w:val="75"/>
            </w:pPr>
            <w:r>
              <w:t>/</w:t>
            </w:r>
          </w:p>
        </w:tc>
        <w:tc>
          <w:tcPr>
            <w:tcW w:w="912" w:type="pct"/>
            <w:vAlign w:val="center"/>
          </w:tcPr>
          <w:p w14:paraId="4D35CE04">
            <w:pPr>
              <w:pStyle w:val="75"/>
            </w:pPr>
            <w:r>
              <w:t>爆炸极限</w:t>
            </w:r>
          </w:p>
        </w:tc>
        <w:tc>
          <w:tcPr>
            <w:tcW w:w="2776" w:type="pct"/>
            <w:gridSpan w:val="6"/>
            <w:vAlign w:val="center"/>
          </w:tcPr>
          <w:p w14:paraId="242D5236">
            <w:pPr>
              <w:pStyle w:val="75"/>
            </w:pPr>
            <w:r>
              <w:t>/</w:t>
            </w:r>
          </w:p>
        </w:tc>
      </w:tr>
      <w:tr w14:paraId="4D6E6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152FB0C1">
            <w:pPr>
              <w:pStyle w:val="75"/>
            </w:pPr>
            <w:r>
              <w:t>灭火方法</w:t>
            </w:r>
          </w:p>
        </w:tc>
        <w:tc>
          <w:tcPr>
            <w:tcW w:w="4319" w:type="pct"/>
            <w:gridSpan w:val="9"/>
            <w:vAlign w:val="center"/>
          </w:tcPr>
          <w:p w14:paraId="619C8A31">
            <w:pPr>
              <w:pStyle w:val="75"/>
            </w:pPr>
            <w:r>
              <w:t>不燃，火场周围可用的灭火介质。</w:t>
            </w:r>
          </w:p>
        </w:tc>
      </w:tr>
      <w:tr w14:paraId="580EB7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209EFD4F">
            <w:pPr>
              <w:pStyle w:val="75"/>
            </w:pPr>
            <w:r>
              <w:t>危险特性</w:t>
            </w:r>
          </w:p>
        </w:tc>
        <w:tc>
          <w:tcPr>
            <w:tcW w:w="4319" w:type="pct"/>
            <w:gridSpan w:val="9"/>
            <w:vAlign w:val="center"/>
          </w:tcPr>
          <w:p w14:paraId="0E6872F4">
            <w:pPr>
              <w:pStyle w:val="75"/>
            </w:pPr>
            <w:r>
              <w:t>受高热分解产生有毒的硫化物烟气。</w:t>
            </w:r>
          </w:p>
        </w:tc>
      </w:tr>
      <w:tr w14:paraId="3864B2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0"/>
            <w:vAlign w:val="center"/>
          </w:tcPr>
          <w:p w14:paraId="479EF689">
            <w:pPr>
              <w:pStyle w:val="75"/>
            </w:pPr>
            <w:r>
              <w:t>反应活性数据</w:t>
            </w:r>
          </w:p>
        </w:tc>
      </w:tr>
      <w:tr w14:paraId="53777A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gridSpan w:val="2"/>
            <w:vAlign w:val="center"/>
          </w:tcPr>
          <w:p w14:paraId="0A2EEB55">
            <w:pPr>
              <w:pStyle w:val="75"/>
            </w:pPr>
            <w:r>
              <w:t>稳定性</w:t>
            </w:r>
          </w:p>
        </w:tc>
        <w:tc>
          <w:tcPr>
            <w:tcW w:w="1830" w:type="pct"/>
            <w:gridSpan w:val="3"/>
            <w:vAlign w:val="center"/>
          </w:tcPr>
          <w:p w14:paraId="4506D8F2">
            <w:pPr>
              <w:pStyle w:val="75"/>
            </w:pPr>
            <w:r>
              <w:t>稳定</w:t>
            </w:r>
          </w:p>
        </w:tc>
        <w:tc>
          <w:tcPr>
            <w:tcW w:w="1427" w:type="pct"/>
            <w:gridSpan w:val="4"/>
            <w:vAlign w:val="center"/>
          </w:tcPr>
          <w:p w14:paraId="32BD972E">
            <w:pPr>
              <w:pStyle w:val="75"/>
            </w:pPr>
            <w:r>
              <w:t>聚合危险</w:t>
            </w:r>
          </w:p>
        </w:tc>
        <w:tc>
          <w:tcPr>
            <w:tcW w:w="1029" w:type="pct"/>
            <w:vAlign w:val="center"/>
          </w:tcPr>
          <w:p w14:paraId="2E5D7C54">
            <w:pPr>
              <w:pStyle w:val="75"/>
            </w:pPr>
            <w:r>
              <w:t>不能出现</w:t>
            </w:r>
          </w:p>
        </w:tc>
      </w:tr>
      <w:tr w14:paraId="605DF1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14" w:type="pct"/>
            <w:gridSpan w:val="2"/>
            <w:vAlign w:val="center"/>
          </w:tcPr>
          <w:p w14:paraId="299CE439">
            <w:pPr>
              <w:pStyle w:val="75"/>
            </w:pPr>
            <w:r>
              <w:t>禁忌物</w:t>
            </w:r>
          </w:p>
        </w:tc>
        <w:tc>
          <w:tcPr>
            <w:tcW w:w="1830" w:type="pct"/>
            <w:gridSpan w:val="3"/>
            <w:vAlign w:val="center"/>
          </w:tcPr>
          <w:p w14:paraId="02EC3447">
            <w:pPr>
              <w:pStyle w:val="75"/>
            </w:pPr>
            <w:r>
              <w:t>强氧化剂</w:t>
            </w:r>
          </w:p>
        </w:tc>
        <w:tc>
          <w:tcPr>
            <w:tcW w:w="1427" w:type="pct"/>
            <w:gridSpan w:val="4"/>
            <w:vAlign w:val="center"/>
          </w:tcPr>
          <w:p w14:paraId="3A9E4BE7">
            <w:pPr>
              <w:pStyle w:val="75"/>
            </w:pPr>
            <w:r>
              <w:t>燃烧性</w:t>
            </w:r>
          </w:p>
        </w:tc>
        <w:tc>
          <w:tcPr>
            <w:tcW w:w="1029" w:type="pct"/>
            <w:vAlign w:val="center"/>
          </w:tcPr>
          <w:p w14:paraId="65D2BB07">
            <w:pPr>
              <w:pStyle w:val="75"/>
            </w:pPr>
            <w:r>
              <w:t>不燃</w:t>
            </w:r>
          </w:p>
        </w:tc>
      </w:tr>
      <w:tr w14:paraId="26673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0"/>
            <w:vAlign w:val="center"/>
          </w:tcPr>
          <w:p w14:paraId="0F115143">
            <w:pPr>
              <w:pStyle w:val="75"/>
            </w:pPr>
            <w:r>
              <w:t>健康危害数据</w:t>
            </w:r>
          </w:p>
        </w:tc>
      </w:tr>
      <w:tr w14:paraId="16EF86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6077B35C">
            <w:pPr>
              <w:pStyle w:val="75"/>
            </w:pPr>
            <w:r>
              <w:t>侵入途径</w:t>
            </w:r>
          </w:p>
        </w:tc>
        <w:tc>
          <w:tcPr>
            <w:tcW w:w="4319" w:type="pct"/>
            <w:gridSpan w:val="9"/>
            <w:vAlign w:val="center"/>
          </w:tcPr>
          <w:p w14:paraId="6B28CA8D">
            <w:pPr>
              <w:pStyle w:val="75"/>
            </w:pPr>
            <w:r>
              <w:t>吸入、食入、经皮吸收</w:t>
            </w:r>
          </w:p>
        </w:tc>
      </w:tr>
      <w:tr w14:paraId="41F946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7DFEF96D">
            <w:pPr>
              <w:pStyle w:val="75"/>
            </w:pPr>
            <w:r>
              <w:t>职业接触限值</w:t>
            </w:r>
          </w:p>
        </w:tc>
        <w:tc>
          <w:tcPr>
            <w:tcW w:w="4319" w:type="pct"/>
            <w:gridSpan w:val="9"/>
            <w:vAlign w:val="center"/>
          </w:tcPr>
          <w:p w14:paraId="39B3CE2C">
            <w:pPr>
              <w:pStyle w:val="75"/>
            </w:pPr>
            <w:r>
              <w:t>中国MAC：0.5mg[Ni]/m</w:t>
            </w:r>
            <w:r>
              <w:rPr>
                <w:vertAlign w:val="superscript"/>
              </w:rPr>
              <w:t>3</w:t>
            </w:r>
            <w:r>
              <w:t>，美国TLV-TWA：ACGIH 0.1mg[Ni]/m</w:t>
            </w:r>
            <w:r>
              <w:rPr>
                <w:vertAlign w:val="superscript"/>
              </w:rPr>
              <w:t>3</w:t>
            </w:r>
          </w:p>
        </w:tc>
      </w:tr>
      <w:tr w14:paraId="351B36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130BBDEA">
            <w:pPr>
              <w:pStyle w:val="75"/>
            </w:pPr>
            <w:r>
              <w:t>健康危害</w:t>
            </w:r>
          </w:p>
        </w:tc>
        <w:tc>
          <w:tcPr>
            <w:tcW w:w="4319" w:type="pct"/>
            <w:gridSpan w:val="9"/>
            <w:vAlign w:val="center"/>
          </w:tcPr>
          <w:p w14:paraId="448172BB">
            <w:pPr>
              <w:pStyle w:val="75"/>
              <w:jc w:val="both"/>
            </w:pPr>
            <w:r>
              <w:t>吸入后对呼吸道有刺激性。对本品敏感的个体，可引起哮喘和肺嗜酸细胞增多症，可致支气管炎。粉尘对眼睛有刺激性。皮肤接触可一期变应性皮肤损害，主要表现为皮炎和湿疹。皮损多局限于局部，亦可蔓延至全身，常伴有剧烈的瘙痒，故称为“镍痒症”。摄入大量本品可引起恶心、呕吐和眩晕。镍及其盐类为确认的职业性</w:t>
            </w:r>
            <w:r>
              <w:rPr>
                <w:rFonts w:hint="eastAsia"/>
                <w:lang w:val="en-US" w:eastAsia="zh-CN"/>
              </w:rPr>
              <w:t>致癌</w:t>
            </w:r>
            <w:r>
              <w:t>物。</w:t>
            </w:r>
          </w:p>
        </w:tc>
      </w:tr>
      <w:tr w14:paraId="103F15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700D0394">
            <w:pPr>
              <w:pStyle w:val="75"/>
            </w:pPr>
            <w:r>
              <w:t>急救措施</w:t>
            </w:r>
          </w:p>
        </w:tc>
        <w:tc>
          <w:tcPr>
            <w:tcW w:w="4319" w:type="pct"/>
            <w:gridSpan w:val="9"/>
            <w:vAlign w:val="center"/>
          </w:tcPr>
          <w:p w14:paraId="3E4F2D37">
            <w:pPr>
              <w:pStyle w:val="75"/>
              <w:jc w:val="both"/>
            </w:pPr>
            <w:r>
              <w:t>皮肤接触：脱去污染的衣着，用大量流动清水彻底冲洗。</w:t>
            </w:r>
          </w:p>
          <w:p w14:paraId="7E8678E9">
            <w:pPr>
              <w:pStyle w:val="75"/>
              <w:jc w:val="both"/>
            </w:pPr>
            <w:r>
              <w:t>眼睛接触：立即翻开上下眼睑，用流动清水或生理盐水冲洗。就医。</w:t>
            </w:r>
          </w:p>
          <w:p w14:paraId="07D96BFF">
            <w:pPr>
              <w:pStyle w:val="75"/>
              <w:jc w:val="both"/>
            </w:pPr>
            <w:r>
              <w:t>吸入：迅速脱离现场至空气新鲜处。保持呼吸道通畅。呼吸困难时给输氧。呼吸停止时，立即进行人工呼吸。就医。</w:t>
            </w:r>
          </w:p>
          <w:p w14:paraId="3B10D819">
            <w:pPr>
              <w:pStyle w:val="75"/>
              <w:jc w:val="both"/>
            </w:pPr>
            <w:r>
              <w:t>食入：误服者漱口，给饮牛奶或蛋清，就医。</w:t>
            </w:r>
          </w:p>
        </w:tc>
      </w:tr>
      <w:tr w14:paraId="31BB6C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5F2297C6">
            <w:pPr>
              <w:pStyle w:val="75"/>
            </w:pPr>
            <w:r>
              <w:t>储运注意事项</w:t>
            </w:r>
          </w:p>
        </w:tc>
        <w:tc>
          <w:tcPr>
            <w:tcW w:w="4319" w:type="pct"/>
            <w:gridSpan w:val="9"/>
            <w:vAlign w:val="center"/>
          </w:tcPr>
          <w:p w14:paraId="4D2579B8">
            <w:pPr>
              <w:pStyle w:val="75"/>
              <w:jc w:val="both"/>
            </w:pPr>
            <w:r>
              <w:t>存储于阴凉、干燥、通风良好的库房。远离火种、热源。包装必须完整密封，防止吸潮。应与氧化剂分开存放。搬运时要</w:t>
            </w:r>
            <w:r>
              <w:rPr>
                <w:szCs w:val="15"/>
              </w:rPr>
              <w:t>轻装轻卸，防止包装及容器损坏。</w:t>
            </w:r>
          </w:p>
        </w:tc>
      </w:tr>
      <w:tr w14:paraId="381FB8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7E31B623">
            <w:pPr>
              <w:pStyle w:val="75"/>
            </w:pPr>
            <w:r>
              <w:t>泄漏应急处理</w:t>
            </w:r>
          </w:p>
        </w:tc>
        <w:tc>
          <w:tcPr>
            <w:tcW w:w="4319" w:type="pct"/>
            <w:gridSpan w:val="9"/>
            <w:vAlign w:val="center"/>
          </w:tcPr>
          <w:p w14:paraId="54255AF8">
            <w:pPr>
              <w:pStyle w:val="75"/>
              <w:jc w:val="both"/>
            </w:pPr>
            <w:r>
              <w:t>戴好防毒面具和手套。用大量水冲洗，经稀释的洗液放入废水系统。如大量泄漏，收集回用或无害化处理后废弃。</w:t>
            </w:r>
          </w:p>
        </w:tc>
      </w:tr>
      <w:tr w14:paraId="4D0E28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33F51F1A">
            <w:pPr>
              <w:pStyle w:val="75"/>
            </w:pPr>
            <w:r>
              <w:t>工程控制</w:t>
            </w:r>
          </w:p>
        </w:tc>
        <w:tc>
          <w:tcPr>
            <w:tcW w:w="4319" w:type="pct"/>
            <w:gridSpan w:val="9"/>
            <w:vAlign w:val="center"/>
          </w:tcPr>
          <w:p w14:paraId="5DB6E8CF">
            <w:pPr>
              <w:pStyle w:val="75"/>
              <w:jc w:val="both"/>
            </w:pPr>
            <w:r>
              <w:t>生产过程密闭，加强通风。</w:t>
            </w:r>
          </w:p>
        </w:tc>
      </w:tr>
      <w:tr w14:paraId="68EB5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33279A5E">
            <w:pPr>
              <w:pStyle w:val="75"/>
            </w:pPr>
            <w:r>
              <w:t>呼吸系统防护</w:t>
            </w:r>
          </w:p>
        </w:tc>
        <w:tc>
          <w:tcPr>
            <w:tcW w:w="2459" w:type="pct"/>
            <w:gridSpan w:val="5"/>
            <w:vAlign w:val="center"/>
          </w:tcPr>
          <w:p w14:paraId="1159CA17">
            <w:pPr>
              <w:pStyle w:val="75"/>
            </w:pPr>
            <w:r>
              <w:t>作业工人应戴口罩。</w:t>
            </w:r>
          </w:p>
        </w:tc>
        <w:tc>
          <w:tcPr>
            <w:tcW w:w="698" w:type="pct"/>
            <w:gridSpan w:val="2"/>
            <w:vAlign w:val="center"/>
          </w:tcPr>
          <w:p w14:paraId="3CAA81D6">
            <w:pPr>
              <w:pStyle w:val="75"/>
              <w:jc w:val="both"/>
            </w:pPr>
            <w:r>
              <w:t>身体防护</w:t>
            </w:r>
          </w:p>
        </w:tc>
        <w:tc>
          <w:tcPr>
            <w:tcW w:w="1162" w:type="pct"/>
            <w:gridSpan w:val="2"/>
            <w:vAlign w:val="center"/>
          </w:tcPr>
          <w:p w14:paraId="7443D265">
            <w:pPr>
              <w:pStyle w:val="75"/>
            </w:pPr>
            <w:r>
              <w:t>穿工作服。</w:t>
            </w:r>
          </w:p>
        </w:tc>
      </w:tr>
      <w:tr w14:paraId="0D12DA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1" w:type="pct"/>
            <w:vAlign w:val="center"/>
          </w:tcPr>
          <w:p w14:paraId="28563A9E">
            <w:pPr>
              <w:pStyle w:val="75"/>
            </w:pPr>
            <w:r>
              <w:t>手防护</w:t>
            </w:r>
          </w:p>
        </w:tc>
        <w:tc>
          <w:tcPr>
            <w:tcW w:w="2459" w:type="pct"/>
            <w:gridSpan w:val="5"/>
            <w:vAlign w:val="center"/>
          </w:tcPr>
          <w:p w14:paraId="0F1378F2">
            <w:pPr>
              <w:pStyle w:val="75"/>
            </w:pPr>
            <w:r>
              <w:t>必要时戴防护手套。</w:t>
            </w:r>
          </w:p>
        </w:tc>
        <w:tc>
          <w:tcPr>
            <w:tcW w:w="698" w:type="pct"/>
            <w:gridSpan w:val="2"/>
            <w:vAlign w:val="center"/>
          </w:tcPr>
          <w:p w14:paraId="7913A291">
            <w:pPr>
              <w:pStyle w:val="75"/>
            </w:pPr>
            <w:r>
              <w:t>眼睛防护</w:t>
            </w:r>
          </w:p>
        </w:tc>
        <w:tc>
          <w:tcPr>
            <w:tcW w:w="1162" w:type="pct"/>
            <w:gridSpan w:val="2"/>
            <w:vAlign w:val="center"/>
          </w:tcPr>
          <w:p w14:paraId="01509FE6">
            <w:pPr>
              <w:pStyle w:val="75"/>
            </w:pPr>
            <w:r>
              <w:t>可采用安全面罩。</w:t>
            </w:r>
          </w:p>
        </w:tc>
      </w:tr>
    </w:tbl>
    <w:p w14:paraId="62CAF44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6.3-4</w:t>
      </w:r>
      <w:r>
        <w:rPr>
          <w:rFonts w:hint="eastAsia"/>
        </w:rPr>
        <w:t xml:space="preserve">    硝酸铬的物化及毒理性质</w:t>
      </w:r>
    </w:p>
    <w:tbl>
      <w:tblPr>
        <w:tblStyle w:val="39"/>
        <w:tblW w:w="506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89"/>
        <w:gridCol w:w="1036"/>
        <w:gridCol w:w="2973"/>
        <w:gridCol w:w="1199"/>
        <w:gridCol w:w="2283"/>
      </w:tblGrid>
      <w:tr w14:paraId="1CE5CF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193" w:type="pct"/>
            <w:gridSpan w:val="2"/>
            <w:vAlign w:val="center"/>
          </w:tcPr>
          <w:p w14:paraId="1F09F461">
            <w:pPr>
              <w:pStyle w:val="81"/>
              <w:rPr>
                <w:color w:val="auto"/>
              </w:rPr>
            </w:pPr>
            <w:r>
              <w:rPr>
                <w:rFonts w:hint="eastAsia"/>
                <w:color w:val="auto"/>
              </w:rPr>
              <w:t>品名</w:t>
            </w:r>
          </w:p>
        </w:tc>
        <w:tc>
          <w:tcPr>
            <w:tcW w:w="1752" w:type="pct"/>
            <w:vAlign w:val="center"/>
          </w:tcPr>
          <w:p w14:paraId="5BF0E3A3">
            <w:pPr>
              <w:pStyle w:val="81"/>
              <w:rPr>
                <w:color w:val="auto"/>
              </w:rPr>
            </w:pPr>
            <w:r>
              <w:rPr>
                <w:rFonts w:hint="eastAsia"/>
                <w:color w:val="auto"/>
              </w:rPr>
              <w:t>九水硝酸铬</w:t>
            </w:r>
          </w:p>
        </w:tc>
        <w:tc>
          <w:tcPr>
            <w:tcW w:w="706" w:type="pct"/>
            <w:vAlign w:val="center"/>
          </w:tcPr>
          <w:p w14:paraId="4359B91C">
            <w:pPr>
              <w:pStyle w:val="81"/>
              <w:rPr>
                <w:color w:val="auto"/>
              </w:rPr>
            </w:pPr>
            <w:r>
              <w:rPr>
                <w:rFonts w:hint="eastAsia"/>
                <w:color w:val="auto"/>
              </w:rPr>
              <w:t>分子式</w:t>
            </w:r>
          </w:p>
        </w:tc>
        <w:tc>
          <w:tcPr>
            <w:tcW w:w="1346" w:type="pct"/>
            <w:vAlign w:val="center"/>
          </w:tcPr>
          <w:p w14:paraId="641F394B">
            <w:pPr>
              <w:pStyle w:val="81"/>
              <w:rPr>
                <w:color w:val="auto"/>
              </w:rPr>
            </w:pPr>
            <w:r>
              <w:rPr>
                <w:color w:val="auto"/>
              </w:rPr>
              <w:t>Cr(NO</w:t>
            </w:r>
            <w:r>
              <w:rPr>
                <w:color w:val="auto"/>
                <w:vertAlign w:val="subscript"/>
              </w:rPr>
              <w:t>3</w:t>
            </w:r>
            <w:r>
              <w:rPr>
                <w:color w:val="auto"/>
              </w:rPr>
              <w:t>)</w:t>
            </w:r>
            <w:r>
              <w:rPr>
                <w:color w:val="auto"/>
                <w:vertAlign w:val="subscript"/>
              </w:rPr>
              <w:t>3</w:t>
            </w:r>
            <w:r>
              <w:rPr>
                <w:color w:val="auto"/>
              </w:rPr>
              <w:t>·9H</w:t>
            </w:r>
            <w:r>
              <w:rPr>
                <w:color w:val="auto"/>
                <w:vertAlign w:val="subscript"/>
              </w:rPr>
              <w:t>2</w:t>
            </w:r>
            <w:r>
              <w:rPr>
                <w:color w:val="auto"/>
              </w:rPr>
              <w:t>O</w:t>
            </w:r>
          </w:p>
        </w:tc>
      </w:tr>
      <w:tr w14:paraId="7EC1DC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Merge w:val="restart"/>
            <w:vAlign w:val="center"/>
          </w:tcPr>
          <w:p w14:paraId="3746347E">
            <w:pPr>
              <w:pStyle w:val="75"/>
              <w:rPr>
                <w:bCs/>
              </w:rPr>
            </w:pPr>
            <w:r>
              <w:rPr>
                <w:rFonts w:hint="eastAsia"/>
                <w:bCs/>
              </w:rPr>
              <w:t>理化性质</w:t>
            </w:r>
          </w:p>
        </w:tc>
        <w:tc>
          <w:tcPr>
            <w:tcW w:w="610" w:type="pct"/>
            <w:vAlign w:val="center"/>
          </w:tcPr>
          <w:p w14:paraId="1B5893C7">
            <w:pPr>
              <w:pStyle w:val="75"/>
              <w:rPr>
                <w:bCs/>
              </w:rPr>
            </w:pPr>
            <w:r>
              <w:rPr>
                <w:rFonts w:hint="eastAsia"/>
                <w:bCs/>
              </w:rPr>
              <w:t>分子量</w:t>
            </w:r>
          </w:p>
        </w:tc>
        <w:tc>
          <w:tcPr>
            <w:tcW w:w="1752" w:type="pct"/>
            <w:vAlign w:val="center"/>
          </w:tcPr>
          <w:p w14:paraId="3029F024">
            <w:pPr>
              <w:pStyle w:val="75"/>
              <w:rPr>
                <w:bCs/>
              </w:rPr>
            </w:pPr>
            <w:r>
              <w:rPr>
                <w:rFonts w:hint="eastAsia"/>
                <w:bCs/>
              </w:rPr>
              <w:t>400.15</w:t>
            </w:r>
          </w:p>
        </w:tc>
        <w:tc>
          <w:tcPr>
            <w:tcW w:w="706" w:type="pct"/>
            <w:vAlign w:val="center"/>
          </w:tcPr>
          <w:p w14:paraId="53EE6D6B">
            <w:pPr>
              <w:pStyle w:val="75"/>
              <w:rPr>
                <w:bCs/>
              </w:rPr>
            </w:pPr>
            <w:r>
              <w:rPr>
                <w:rFonts w:hint="eastAsia"/>
                <w:bCs/>
              </w:rPr>
              <w:t>熔点</w:t>
            </w:r>
          </w:p>
        </w:tc>
        <w:tc>
          <w:tcPr>
            <w:tcW w:w="1346" w:type="pct"/>
            <w:vAlign w:val="center"/>
          </w:tcPr>
          <w:p w14:paraId="7CE881A0">
            <w:pPr>
              <w:pStyle w:val="75"/>
              <w:rPr>
                <w:bCs/>
              </w:rPr>
            </w:pPr>
            <w:r>
              <w:rPr>
                <w:rFonts w:hint="eastAsia"/>
                <w:bCs/>
              </w:rPr>
              <w:t>60</w:t>
            </w:r>
            <w:r>
              <w:rPr>
                <w:bCs/>
              </w:rPr>
              <w:t>°C</w:t>
            </w:r>
          </w:p>
        </w:tc>
      </w:tr>
      <w:tr w14:paraId="51DCB9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Merge w:val="continue"/>
            <w:vAlign w:val="center"/>
          </w:tcPr>
          <w:p w14:paraId="79014249">
            <w:pPr>
              <w:pStyle w:val="75"/>
              <w:rPr>
                <w:bCs/>
              </w:rPr>
            </w:pPr>
          </w:p>
        </w:tc>
        <w:tc>
          <w:tcPr>
            <w:tcW w:w="610" w:type="pct"/>
            <w:vAlign w:val="center"/>
          </w:tcPr>
          <w:p w14:paraId="4058DD29">
            <w:pPr>
              <w:pStyle w:val="75"/>
              <w:rPr>
                <w:bCs/>
              </w:rPr>
            </w:pPr>
            <w:r>
              <w:rPr>
                <w:rFonts w:hint="eastAsia"/>
                <w:bCs/>
              </w:rPr>
              <w:t>沸点</w:t>
            </w:r>
          </w:p>
        </w:tc>
        <w:tc>
          <w:tcPr>
            <w:tcW w:w="1752" w:type="pct"/>
            <w:vAlign w:val="center"/>
          </w:tcPr>
          <w:p w14:paraId="2C294470">
            <w:pPr>
              <w:pStyle w:val="75"/>
              <w:rPr>
                <w:bCs/>
              </w:rPr>
            </w:pPr>
            <w:r>
              <w:rPr>
                <w:rFonts w:hint="eastAsia"/>
                <w:bCs/>
              </w:rPr>
              <w:t>100</w:t>
            </w:r>
            <w:r>
              <w:rPr>
                <w:bCs/>
              </w:rPr>
              <w:t>°C</w:t>
            </w:r>
          </w:p>
        </w:tc>
        <w:tc>
          <w:tcPr>
            <w:tcW w:w="706" w:type="pct"/>
            <w:vAlign w:val="center"/>
          </w:tcPr>
          <w:p w14:paraId="46334EA9">
            <w:pPr>
              <w:pStyle w:val="75"/>
              <w:rPr>
                <w:bCs/>
              </w:rPr>
            </w:pPr>
            <w:r>
              <w:rPr>
                <w:rFonts w:hint="eastAsia"/>
                <w:bCs/>
              </w:rPr>
              <w:t>C</w:t>
            </w:r>
            <w:r>
              <w:rPr>
                <w:bCs/>
              </w:rPr>
              <w:t>AS</w:t>
            </w:r>
          </w:p>
        </w:tc>
        <w:tc>
          <w:tcPr>
            <w:tcW w:w="1346" w:type="pct"/>
            <w:vAlign w:val="center"/>
          </w:tcPr>
          <w:p w14:paraId="395D784B">
            <w:pPr>
              <w:pStyle w:val="75"/>
              <w:rPr>
                <w:bCs/>
              </w:rPr>
            </w:pPr>
            <w:r>
              <w:rPr>
                <w:rFonts w:hint="eastAsia"/>
                <w:bCs/>
              </w:rPr>
              <w:t>7789-02-8</w:t>
            </w:r>
          </w:p>
        </w:tc>
      </w:tr>
      <w:tr w14:paraId="504864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Merge w:val="continue"/>
            <w:vAlign w:val="center"/>
          </w:tcPr>
          <w:p w14:paraId="6E37BA35">
            <w:pPr>
              <w:pStyle w:val="75"/>
              <w:rPr>
                <w:bCs/>
              </w:rPr>
            </w:pPr>
          </w:p>
        </w:tc>
        <w:tc>
          <w:tcPr>
            <w:tcW w:w="610" w:type="pct"/>
            <w:vAlign w:val="center"/>
          </w:tcPr>
          <w:p w14:paraId="6AEF761E">
            <w:pPr>
              <w:pStyle w:val="75"/>
              <w:rPr>
                <w:bCs/>
              </w:rPr>
            </w:pPr>
            <w:r>
              <w:rPr>
                <w:rFonts w:hint="eastAsia"/>
                <w:bCs/>
              </w:rPr>
              <w:t>外观</w:t>
            </w:r>
          </w:p>
        </w:tc>
        <w:tc>
          <w:tcPr>
            <w:tcW w:w="3806" w:type="pct"/>
            <w:gridSpan w:val="3"/>
            <w:vAlign w:val="center"/>
          </w:tcPr>
          <w:p w14:paraId="7F934844">
            <w:pPr>
              <w:pStyle w:val="75"/>
              <w:rPr>
                <w:bCs/>
              </w:rPr>
            </w:pPr>
            <w:r>
              <w:rPr>
                <w:rFonts w:hint="eastAsia"/>
                <w:bCs/>
              </w:rPr>
              <w:t>紫罗兰色结晶性粉末</w:t>
            </w:r>
          </w:p>
        </w:tc>
      </w:tr>
      <w:tr w14:paraId="7141A0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0436BAA2">
            <w:pPr>
              <w:pStyle w:val="75"/>
              <w:rPr>
                <w:bCs/>
                <w:spacing w:val="-4"/>
              </w:rPr>
            </w:pPr>
            <w:r>
              <w:rPr>
                <w:rFonts w:hint="eastAsia"/>
                <w:bCs/>
                <w:spacing w:val="-4"/>
              </w:rPr>
              <w:t>溶解性</w:t>
            </w:r>
          </w:p>
        </w:tc>
        <w:tc>
          <w:tcPr>
            <w:tcW w:w="4416" w:type="pct"/>
            <w:gridSpan w:val="4"/>
            <w:vAlign w:val="center"/>
          </w:tcPr>
          <w:p w14:paraId="42A28E80">
            <w:pPr>
              <w:pStyle w:val="75"/>
              <w:rPr>
                <w:bCs/>
                <w:spacing w:val="-4"/>
              </w:rPr>
            </w:pPr>
            <w:r>
              <w:rPr>
                <w:rFonts w:hint="eastAsia"/>
                <w:bCs/>
                <w:spacing w:val="-4"/>
              </w:rPr>
              <w:t>易溶于水，溶于酸和碱、乙醇、丙酮</w:t>
            </w:r>
          </w:p>
        </w:tc>
      </w:tr>
      <w:tr w14:paraId="29E832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3222D6B6">
            <w:pPr>
              <w:pStyle w:val="75"/>
              <w:rPr>
                <w:bCs/>
                <w:spacing w:val="-4"/>
              </w:rPr>
            </w:pPr>
            <w:r>
              <w:rPr>
                <w:rFonts w:hint="eastAsia"/>
                <w:bCs/>
                <w:spacing w:val="-4"/>
              </w:rPr>
              <w:t>危险性</w:t>
            </w:r>
          </w:p>
        </w:tc>
        <w:tc>
          <w:tcPr>
            <w:tcW w:w="4416" w:type="pct"/>
            <w:gridSpan w:val="4"/>
            <w:vAlign w:val="center"/>
          </w:tcPr>
          <w:p w14:paraId="7D93CB39">
            <w:pPr>
              <w:pStyle w:val="75"/>
              <w:rPr>
                <w:bCs/>
              </w:rPr>
            </w:pPr>
            <w:r>
              <w:rPr>
                <w:rFonts w:hint="eastAsia"/>
                <w:bCs/>
              </w:rPr>
              <w:t>与有机物、还原剂、易燃物如硫、磷等接触或混合时有引起燃烧爆炸的危险。遇高热分解释出高毒烟气。</w:t>
            </w:r>
          </w:p>
        </w:tc>
      </w:tr>
      <w:tr w14:paraId="32C11E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13E90637">
            <w:pPr>
              <w:pStyle w:val="75"/>
              <w:rPr>
                <w:bCs/>
                <w:spacing w:val="-4"/>
              </w:rPr>
            </w:pPr>
            <w:r>
              <w:rPr>
                <w:rFonts w:hint="eastAsia"/>
                <w:bCs/>
                <w:spacing w:val="-4"/>
              </w:rPr>
              <w:t>健康危害</w:t>
            </w:r>
          </w:p>
        </w:tc>
        <w:tc>
          <w:tcPr>
            <w:tcW w:w="4416" w:type="pct"/>
            <w:gridSpan w:val="4"/>
            <w:vAlign w:val="center"/>
          </w:tcPr>
          <w:p w14:paraId="6DA01E8E">
            <w:pPr>
              <w:pStyle w:val="75"/>
              <w:jc w:val="both"/>
              <w:rPr>
                <w:bCs/>
              </w:rPr>
            </w:pPr>
            <w:r>
              <w:rPr>
                <w:rFonts w:hint="eastAsia"/>
                <w:bCs/>
              </w:rPr>
              <w:t>恶心、呕吐、腹痛、呼吸急促、紫绀、肾功能衰竭、休克、昏迷等。对皮肤可引起接触性皮炎和湿疹。</w:t>
            </w:r>
          </w:p>
        </w:tc>
      </w:tr>
      <w:tr w14:paraId="3AD8CB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35C4AA33">
            <w:pPr>
              <w:pStyle w:val="75"/>
              <w:rPr>
                <w:bCs/>
              </w:rPr>
            </w:pPr>
            <w:r>
              <w:rPr>
                <w:bCs/>
              </w:rPr>
              <w:t>泄漏应急处理</w:t>
            </w:r>
          </w:p>
        </w:tc>
        <w:tc>
          <w:tcPr>
            <w:tcW w:w="4416" w:type="pct"/>
            <w:gridSpan w:val="4"/>
            <w:vAlign w:val="center"/>
          </w:tcPr>
          <w:p w14:paraId="0002BEB2">
            <w:pPr>
              <w:pStyle w:val="77"/>
              <w:ind w:firstLine="0" w:firstLineChars="0"/>
              <w:rPr>
                <w:bCs/>
              </w:rPr>
            </w:pPr>
            <w:r>
              <w:rPr>
                <w:rFonts w:hint="eastAsia"/>
                <w:bCs/>
              </w:rPr>
              <w:t>隔离泄漏污染区，限制出入。切断火源。建议应急处理人员戴防尘口罩，穿防毒服。不要直接接触泄漏物。</w:t>
            </w:r>
          </w:p>
          <w:p w14:paraId="53DD1BAC">
            <w:pPr>
              <w:pStyle w:val="77"/>
              <w:ind w:firstLine="0" w:firstLineChars="0"/>
              <w:rPr>
                <w:bCs/>
              </w:rPr>
            </w:pPr>
            <w:r>
              <w:rPr>
                <w:rFonts w:hint="eastAsia"/>
                <w:bCs/>
              </w:rPr>
              <w:t>小量泄漏：用干燥的砂土、蛭石或其他惰性材料覆盖。用洁净的铲子收集于密闭容器中。</w:t>
            </w:r>
          </w:p>
          <w:p w14:paraId="54C23E31">
            <w:pPr>
              <w:pStyle w:val="77"/>
              <w:ind w:firstLine="0" w:firstLineChars="0"/>
              <w:rPr>
                <w:bCs/>
              </w:rPr>
            </w:pPr>
            <w:r>
              <w:rPr>
                <w:rFonts w:hint="eastAsia"/>
                <w:bCs/>
              </w:rPr>
              <w:t>大量泄漏：收集回收或运至废物处理场所处置。</w:t>
            </w:r>
          </w:p>
        </w:tc>
      </w:tr>
      <w:tr w14:paraId="7BF5E0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2A067DDA">
            <w:pPr>
              <w:pStyle w:val="75"/>
              <w:rPr>
                <w:bCs/>
              </w:rPr>
            </w:pPr>
            <w:r>
              <w:rPr>
                <w:bCs/>
                <w:spacing w:val="-4"/>
              </w:rPr>
              <w:t>急救措施</w:t>
            </w:r>
          </w:p>
        </w:tc>
        <w:tc>
          <w:tcPr>
            <w:tcW w:w="4416" w:type="pct"/>
            <w:gridSpan w:val="4"/>
            <w:vAlign w:val="center"/>
          </w:tcPr>
          <w:p w14:paraId="5616D78E">
            <w:pPr>
              <w:pStyle w:val="77"/>
              <w:ind w:firstLine="0" w:firstLineChars="0"/>
              <w:rPr>
                <w:bCs/>
              </w:rPr>
            </w:pPr>
            <w:r>
              <w:rPr>
                <w:rFonts w:hint="eastAsia"/>
                <w:bCs/>
              </w:rPr>
              <w:t>皮肤接触</w:t>
            </w:r>
            <w:r>
              <w:rPr>
                <w:bCs/>
              </w:rPr>
              <w:t>：</w:t>
            </w:r>
            <w:r>
              <w:rPr>
                <w:rFonts w:hint="eastAsia"/>
                <w:bCs/>
              </w:rPr>
              <w:t>用肥皂水及清水彻底冲洗。就医</w:t>
            </w:r>
            <w:r>
              <w:rPr>
                <w:bCs/>
              </w:rPr>
              <w:t>。</w:t>
            </w:r>
          </w:p>
          <w:p w14:paraId="455847BD">
            <w:pPr>
              <w:pStyle w:val="77"/>
              <w:ind w:firstLine="0" w:firstLineChars="0"/>
              <w:rPr>
                <w:bCs/>
              </w:rPr>
            </w:pPr>
            <w:r>
              <w:rPr>
                <w:rFonts w:hint="eastAsia"/>
                <w:bCs/>
              </w:rPr>
              <w:t>眼睛接触</w:t>
            </w:r>
            <w:r>
              <w:rPr>
                <w:bCs/>
              </w:rPr>
              <w:t>：</w:t>
            </w:r>
            <w:r>
              <w:rPr>
                <w:rFonts w:hint="eastAsia"/>
                <w:bCs/>
              </w:rPr>
              <w:t>拉开眼睑，用流动清水冲洗15分钟。就医</w:t>
            </w:r>
            <w:r>
              <w:rPr>
                <w:bCs/>
              </w:rPr>
              <w:t>。</w:t>
            </w:r>
          </w:p>
          <w:p w14:paraId="66C4FFBD">
            <w:pPr>
              <w:pStyle w:val="77"/>
              <w:ind w:firstLine="0" w:firstLineChars="0"/>
              <w:rPr>
                <w:bCs/>
              </w:rPr>
            </w:pPr>
            <w:r>
              <w:rPr>
                <w:rFonts w:hint="eastAsia"/>
                <w:bCs/>
              </w:rPr>
              <w:t>吸入</w:t>
            </w:r>
            <w:r>
              <w:rPr>
                <w:bCs/>
              </w:rPr>
              <w:t>：</w:t>
            </w:r>
            <w:r>
              <w:rPr>
                <w:rFonts w:hint="eastAsia"/>
                <w:bCs/>
              </w:rPr>
              <w:t>脱离现场至空气新鲜处。呼吸困难时给输氧。呼吸停止时，立即进行人工呼吸。就医</w:t>
            </w:r>
            <w:r>
              <w:rPr>
                <w:bCs/>
              </w:rPr>
              <w:t>。</w:t>
            </w:r>
          </w:p>
          <w:p w14:paraId="2E93ECF3">
            <w:pPr>
              <w:pStyle w:val="77"/>
              <w:ind w:firstLine="0" w:firstLineChars="0"/>
              <w:rPr>
                <w:bCs/>
              </w:rPr>
            </w:pPr>
            <w:r>
              <w:rPr>
                <w:rFonts w:hint="eastAsia"/>
                <w:bCs/>
              </w:rPr>
              <w:t>食入</w:t>
            </w:r>
            <w:r>
              <w:rPr>
                <w:bCs/>
              </w:rPr>
              <w:t>：</w:t>
            </w:r>
            <w:r>
              <w:rPr>
                <w:rFonts w:hint="eastAsia"/>
                <w:bCs/>
              </w:rPr>
              <w:t>误服者，口服牛奶、豆浆或蛋清，就医。</w:t>
            </w:r>
          </w:p>
        </w:tc>
      </w:tr>
      <w:tr w14:paraId="7C6D95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22AC8768">
            <w:pPr>
              <w:pStyle w:val="75"/>
              <w:rPr>
                <w:bCs/>
                <w:spacing w:val="-4"/>
              </w:rPr>
            </w:pPr>
            <w:r>
              <w:rPr>
                <w:rFonts w:hint="eastAsia"/>
                <w:bCs/>
                <w:spacing w:val="-4"/>
              </w:rPr>
              <w:t>操作注意事项</w:t>
            </w:r>
          </w:p>
        </w:tc>
        <w:tc>
          <w:tcPr>
            <w:tcW w:w="4416" w:type="pct"/>
            <w:gridSpan w:val="4"/>
            <w:vAlign w:val="center"/>
          </w:tcPr>
          <w:p w14:paraId="4FD368F0">
            <w:pPr>
              <w:pStyle w:val="77"/>
              <w:ind w:firstLine="0" w:firstLineChars="0"/>
              <w:rPr>
                <w:bCs/>
              </w:rPr>
            </w:pPr>
            <w:r>
              <w:rPr>
                <w:rFonts w:hint="eastAsia"/>
                <w:bCs/>
              </w:rPr>
              <w:t>密闭操作，提供充分的局部排风。防止粉尘释放到车间空气中。操作人员必须经过专门培训，严格遵守操作规程。建议操作人员佩戴防尘面具（全面罩），穿连衣式胶布防毒衣，戴橡胶手套。远离火种、热源，工作场所严禁吸烟。远离易燃、可燃物。避免产生粉尘。避免与还原剂接触。配备相应品种和数量的消防器材及泄漏应急处理设备。倒空的容器可能残留有害物。</w:t>
            </w:r>
          </w:p>
        </w:tc>
      </w:tr>
      <w:tr w14:paraId="516DB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83" w:type="pct"/>
            <w:vAlign w:val="center"/>
          </w:tcPr>
          <w:p w14:paraId="131E9885">
            <w:pPr>
              <w:pStyle w:val="75"/>
              <w:rPr>
                <w:bCs/>
              </w:rPr>
            </w:pPr>
            <w:r>
              <w:rPr>
                <w:rFonts w:hint="eastAsia"/>
                <w:bCs/>
                <w:spacing w:val="-4"/>
              </w:rPr>
              <w:t>储存注意事项</w:t>
            </w:r>
          </w:p>
        </w:tc>
        <w:tc>
          <w:tcPr>
            <w:tcW w:w="4416" w:type="pct"/>
            <w:gridSpan w:val="4"/>
            <w:vAlign w:val="center"/>
          </w:tcPr>
          <w:p w14:paraId="17CDE8EE">
            <w:pPr>
              <w:pStyle w:val="77"/>
              <w:ind w:firstLine="0" w:firstLineChars="0"/>
              <w:rPr>
                <w:bCs/>
              </w:rPr>
            </w:pPr>
            <w:r>
              <w:rPr>
                <w:rFonts w:hint="eastAsia"/>
                <w:bCs/>
              </w:rPr>
              <w:t>储存于阴凉、通风的库房。远离火种、热源。防止阳光直射。包装密封。应与还原剂、易（可）燃物、食用化学品分开存放，切忌混储。配备相应品种和数量的消防器材。储区应备有合适的材料收容泄漏物。</w:t>
            </w:r>
          </w:p>
        </w:tc>
      </w:tr>
    </w:tbl>
    <w:p w14:paraId="39AD01A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6.3-5</w:t>
      </w:r>
      <w:r>
        <w:rPr>
          <w:rFonts w:hint="eastAsia"/>
        </w:rPr>
        <w:t xml:space="preserve">    液压油的物化及毒理性质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19"/>
        <w:gridCol w:w="1767"/>
        <w:gridCol w:w="1875"/>
        <w:gridCol w:w="1833"/>
        <w:gridCol w:w="1875"/>
      </w:tblGrid>
      <w:tr w14:paraId="64D8E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Align w:val="center"/>
          </w:tcPr>
          <w:p w14:paraId="3D251ABE">
            <w:pPr>
              <w:pStyle w:val="81"/>
              <w:rPr>
                <w:color w:val="auto"/>
              </w:rPr>
            </w:pPr>
            <w:r>
              <w:rPr>
                <w:rFonts w:hint="eastAsia"/>
                <w:color w:val="auto"/>
              </w:rPr>
              <w:t>物质名称</w:t>
            </w:r>
          </w:p>
        </w:tc>
        <w:tc>
          <w:tcPr>
            <w:tcW w:w="4391" w:type="pct"/>
            <w:gridSpan w:val="4"/>
            <w:vAlign w:val="center"/>
          </w:tcPr>
          <w:p w14:paraId="537FB1E8">
            <w:pPr>
              <w:pStyle w:val="81"/>
              <w:rPr>
                <w:color w:val="auto"/>
              </w:rPr>
            </w:pPr>
            <w:r>
              <w:rPr>
                <w:rFonts w:hint="eastAsia"/>
                <w:color w:val="auto"/>
              </w:rPr>
              <w:t>液压油</w:t>
            </w:r>
          </w:p>
        </w:tc>
      </w:tr>
      <w:tr w14:paraId="4979F1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restart"/>
            <w:vAlign w:val="center"/>
          </w:tcPr>
          <w:p w14:paraId="6FC9A10E">
            <w:pPr>
              <w:pStyle w:val="75"/>
              <w:rPr>
                <w:bCs/>
              </w:rPr>
            </w:pPr>
            <w:r>
              <w:rPr>
                <w:bCs/>
              </w:rPr>
              <w:t>理化性质</w:t>
            </w:r>
          </w:p>
        </w:tc>
        <w:tc>
          <w:tcPr>
            <w:tcW w:w="1056" w:type="pct"/>
            <w:vAlign w:val="center"/>
          </w:tcPr>
          <w:p w14:paraId="2534789E">
            <w:pPr>
              <w:pStyle w:val="75"/>
              <w:rPr>
                <w:bCs/>
              </w:rPr>
            </w:pPr>
            <w:r>
              <w:rPr>
                <w:rFonts w:hint="eastAsia"/>
                <w:bCs/>
              </w:rPr>
              <w:t>外观与性状</w:t>
            </w:r>
          </w:p>
        </w:tc>
        <w:tc>
          <w:tcPr>
            <w:tcW w:w="1120" w:type="pct"/>
            <w:vAlign w:val="center"/>
          </w:tcPr>
          <w:p w14:paraId="690419D7">
            <w:pPr>
              <w:pStyle w:val="75"/>
              <w:rPr>
                <w:bCs/>
              </w:rPr>
            </w:pPr>
            <w:r>
              <w:rPr>
                <w:rFonts w:hint="eastAsia"/>
                <w:bCs/>
              </w:rPr>
              <w:t>无色液体</w:t>
            </w:r>
          </w:p>
        </w:tc>
        <w:tc>
          <w:tcPr>
            <w:tcW w:w="1095" w:type="pct"/>
            <w:vAlign w:val="center"/>
          </w:tcPr>
          <w:p w14:paraId="5D604224">
            <w:pPr>
              <w:pStyle w:val="75"/>
              <w:rPr>
                <w:bCs/>
              </w:rPr>
            </w:pPr>
            <w:r>
              <w:rPr>
                <w:bCs/>
              </w:rPr>
              <w:t>比重（20℃）</w:t>
            </w:r>
          </w:p>
        </w:tc>
        <w:tc>
          <w:tcPr>
            <w:tcW w:w="1119" w:type="pct"/>
            <w:vAlign w:val="center"/>
          </w:tcPr>
          <w:p w14:paraId="50D654A4">
            <w:pPr>
              <w:pStyle w:val="75"/>
              <w:rPr>
                <w:bCs/>
              </w:rPr>
            </w:pPr>
            <w:r>
              <w:rPr>
                <w:rFonts w:hint="eastAsia"/>
                <w:bCs/>
              </w:rPr>
              <w:t>0.82mg/L</w:t>
            </w:r>
          </w:p>
        </w:tc>
      </w:tr>
      <w:tr w14:paraId="1A849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6626C7EE">
            <w:pPr>
              <w:pStyle w:val="75"/>
              <w:rPr>
                <w:bCs/>
              </w:rPr>
            </w:pPr>
          </w:p>
        </w:tc>
        <w:tc>
          <w:tcPr>
            <w:tcW w:w="1056" w:type="pct"/>
            <w:vAlign w:val="center"/>
          </w:tcPr>
          <w:p w14:paraId="78D0DB36">
            <w:pPr>
              <w:pStyle w:val="75"/>
              <w:rPr>
                <w:bCs/>
              </w:rPr>
            </w:pPr>
            <w:r>
              <w:rPr>
                <w:rFonts w:hint="eastAsia"/>
                <w:bCs/>
              </w:rPr>
              <w:t>溶解性</w:t>
            </w:r>
          </w:p>
        </w:tc>
        <w:tc>
          <w:tcPr>
            <w:tcW w:w="1120" w:type="pct"/>
            <w:vAlign w:val="center"/>
          </w:tcPr>
          <w:p w14:paraId="7F769A14">
            <w:pPr>
              <w:pStyle w:val="75"/>
              <w:rPr>
                <w:bCs/>
              </w:rPr>
            </w:pPr>
            <w:r>
              <w:rPr>
                <w:rFonts w:hint="eastAsia"/>
                <w:bCs/>
              </w:rPr>
              <w:t>不溶于水</w:t>
            </w:r>
          </w:p>
        </w:tc>
        <w:tc>
          <w:tcPr>
            <w:tcW w:w="1095" w:type="pct"/>
            <w:vAlign w:val="center"/>
          </w:tcPr>
          <w:p w14:paraId="0401EE06">
            <w:pPr>
              <w:pStyle w:val="75"/>
              <w:rPr>
                <w:bCs/>
              </w:rPr>
            </w:pPr>
            <w:r>
              <w:rPr>
                <w:bCs/>
              </w:rPr>
              <w:t>闪点</w:t>
            </w:r>
          </w:p>
        </w:tc>
        <w:tc>
          <w:tcPr>
            <w:tcW w:w="1119" w:type="pct"/>
            <w:vAlign w:val="center"/>
          </w:tcPr>
          <w:p w14:paraId="5915204A">
            <w:pPr>
              <w:pStyle w:val="75"/>
              <w:rPr>
                <w:bCs/>
              </w:rPr>
            </w:pPr>
            <w:r>
              <w:rPr>
                <w:rFonts w:hint="eastAsia"/>
                <w:bCs/>
              </w:rPr>
              <w:t>180</w:t>
            </w:r>
            <w:r>
              <w:rPr>
                <w:bCs/>
              </w:rPr>
              <w:t>℃</w:t>
            </w:r>
          </w:p>
        </w:tc>
      </w:tr>
      <w:tr w14:paraId="02AFE3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6B54B381">
            <w:pPr>
              <w:pStyle w:val="75"/>
              <w:rPr>
                <w:bCs/>
              </w:rPr>
            </w:pPr>
          </w:p>
        </w:tc>
        <w:tc>
          <w:tcPr>
            <w:tcW w:w="1056" w:type="pct"/>
            <w:vAlign w:val="center"/>
          </w:tcPr>
          <w:p w14:paraId="2B7756E6">
            <w:pPr>
              <w:pStyle w:val="75"/>
              <w:rPr>
                <w:bCs/>
              </w:rPr>
            </w:pPr>
            <w:r>
              <w:rPr>
                <w:rFonts w:hint="eastAsia"/>
                <w:bCs/>
              </w:rPr>
              <w:t>运动粘度（4</w:t>
            </w:r>
            <w:r>
              <w:rPr>
                <w:bCs/>
              </w:rPr>
              <w:t>0℃</w:t>
            </w:r>
            <w:r>
              <w:rPr>
                <w:rFonts w:hint="eastAsia"/>
                <w:bCs/>
              </w:rPr>
              <w:t>）</w:t>
            </w:r>
          </w:p>
        </w:tc>
        <w:tc>
          <w:tcPr>
            <w:tcW w:w="1120" w:type="pct"/>
            <w:vAlign w:val="center"/>
          </w:tcPr>
          <w:p w14:paraId="1C4D72EC">
            <w:pPr>
              <w:pStyle w:val="75"/>
              <w:rPr>
                <w:bCs/>
              </w:rPr>
            </w:pPr>
            <w:r>
              <w:rPr>
                <w:rFonts w:hint="eastAsia"/>
                <w:bCs/>
              </w:rPr>
              <w:t>320mm</w:t>
            </w:r>
            <w:r>
              <w:rPr>
                <w:rFonts w:hint="eastAsia"/>
                <w:bCs/>
                <w:vertAlign w:val="superscript"/>
              </w:rPr>
              <w:t>2</w:t>
            </w:r>
            <w:r>
              <w:rPr>
                <w:rFonts w:hint="eastAsia"/>
                <w:bCs/>
              </w:rPr>
              <w:t>/s</w:t>
            </w:r>
          </w:p>
        </w:tc>
        <w:tc>
          <w:tcPr>
            <w:tcW w:w="1095" w:type="pct"/>
            <w:vAlign w:val="center"/>
          </w:tcPr>
          <w:p w14:paraId="623E9881">
            <w:pPr>
              <w:pStyle w:val="75"/>
              <w:rPr>
                <w:bCs/>
              </w:rPr>
            </w:pPr>
            <w:r>
              <w:rPr>
                <w:bCs/>
              </w:rPr>
              <w:t>铜腐（</w:t>
            </w:r>
            <w:r>
              <w:rPr>
                <w:rFonts w:hint="eastAsia"/>
                <w:bCs/>
              </w:rPr>
              <w:t>100</w:t>
            </w:r>
            <w:r>
              <w:rPr>
                <w:bCs/>
              </w:rPr>
              <w:t>℃，</w:t>
            </w:r>
            <w:r>
              <w:rPr>
                <w:rFonts w:hint="eastAsia"/>
                <w:bCs/>
              </w:rPr>
              <w:t>3h</w:t>
            </w:r>
            <w:r>
              <w:rPr>
                <w:bCs/>
              </w:rPr>
              <w:t>）</w:t>
            </w:r>
          </w:p>
        </w:tc>
        <w:tc>
          <w:tcPr>
            <w:tcW w:w="1119" w:type="pct"/>
            <w:vAlign w:val="center"/>
          </w:tcPr>
          <w:p w14:paraId="166D85BA">
            <w:pPr>
              <w:pStyle w:val="75"/>
              <w:rPr>
                <w:bCs/>
              </w:rPr>
            </w:pPr>
            <w:r>
              <w:rPr>
                <w:rFonts w:hint="eastAsia"/>
                <w:bCs/>
              </w:rPr>
              <w:t>1B</w:t>
            </w:r>
          </w:p>
        </w:tc>
      </w:tr>
      <w:tr w14:paraId="3C93F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restart"/>
            <w:vAlign w:val="center"/>
          </w:tcPr>
          <w:p w14:paraId="30B852F0">
            <w:pPr>
              <w:pStyle w:val="75"/>
              <w:rPr>
                <w:bCs/>
              </w:rPr>
            </w:pPr>
            <w:r>
              <w:rPr>
                <w:bCs/>
              </w:rPr>
              <w:t>危险性</w:t>
            </w:r>
          </w:p>
        </w:tc>
        <w:tc>
          <w:tcPr>
            <w:tcW w:w="4391" w:type="pct"/>
            <w:gridSpan w:val="4"/>
            <w:vAlign w:val="center"/>
          </w:tcPr>
          <w:p w14:paraId="2A529111">
            <w:pPr>
              <w:pStyle w:val="75"/>
              <w:rPr>
                <w:bCs/>
              </w:rPr>
            </w:pPr>
            <w:r>
              <w:rPr>
                <w:rFonts w:hint="eastAsia"/>
                <w:bCs/>
              </w:rPr>
              <w:t>禁忌物：强氧化剂、强酸、强碱</w:t>
            </w:r>
          </w:p>
        </w:tc>
      </w:tr>
      <w:tr w14:paraId="7978F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133AE536">
            <w:pPr>
              <w:pStyle w:val="75"/>
              <w:rPr>
                <w:bCs/>
              </w:rPr>
            </w:pPr>
          </w:p>
        </w:tc>
        <w:tc>
          <w:tcPr>
            <w:tcW w:w="4391" w:type="pct"/>
            <w:gridSpan w:val="4"/>
            <w:vAlign w:val="center"/>
          </w:tcPr>
          <w:p w14:paraId="55780C34">
            <w:pPr>
              <w:pStyle w:val="75"/>
              <w:rPr>
                <w:bCs/>
              </w:rPr>
            </w:pPr>
            <w:r>
              <w:rPr>
                <w:rFonts w:hint="eastAsia"/>
                <w:bCs/>
              </w:rPr>
              <w:t>危险特性：避免与明火接触</w:t>
            </w:r>
          </w:p>
        </w:tc>
      </w:tr>
      <w:tr w14:paraId="0DCBA6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restart"/>
            <w:vAlign w:val="center"/>
          </w:tcPr>
          <w:p w14:paraId="31322236">
            <w:pPr>
              <w:pStyle w:val="75"/>
              <w:rPr>
                <w:bCs/>
              </w:rPr>
            </w:pPr>
            <w:r>
              <w:rPr>
                <w:bCs/>
              </w:rPr>
              <w:t>生态健康危害</w:t>
            </w:r>
          </w:p>
        </w:tc>
        <w:tc>
          <w:tcPr>
            <w:tcW w:w="4391" w:type="pct"/>
            <w:gridSpan w:val="4"/>
            <w:vAlign w:val="center"/>
          </w:tcPr>
          <w:p w14:paraId="6B5743A9">
            <w:pPr>
              <w:pStyle w:val="75"/>
              <w:jc w:val="both"/>
              <w:rPr>
                <w:bCs/>
              </w:rPr>
            </w:pPr>
            <w:r>
              <w:rPr>
                <w:rFonts w:hint="eastAsia"/>
                <w:bCs/>
              </w:rPr>
              <w:t>生态危害：排入水中会水体污染，对水中生物有危害，应加以回收。</w:t>
            </w:r>
          </w:p>
        </w:tc>
      </w:tr>
      <w:tr w14:paraId="2E4A51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58C42842">
            <w:pPr>
              <w:pStyle w:val="75"/>
              <w:rPr>
                <w:bCs/>
              </w:rPr>
            </w:pPr>
          </w:p>
        </w:tc>
        <w:tc>
          <w:tcPr>
            <w:tcW w:w="4391" w:type="pct"/>
            <w:gridSpan w:val="4"/>
            <w:vAlign w:val="center"/>
          </w:tcPr>
          <w:p w14:paraId="78494789">
            <w:pPr>
              <w:pStyle w:val="75"/>
              <w:jc w:val="both"/>
              <w:rPr>
                <w:bCs/>
              </w:rPr>
            </w:pPr>
            <w:r>
              <w:rPr>
                <w:rFonts w:hint="eastAsia"/>
                <w:bCs/>
              </w:rPr>
              <w:t>健康危害：批复长时间接触可能导致发炎，批复过敏者或有划擦伤者可能引发皮肤感染。</w:t>
            </w:r>
          </w:p>
        </w:tc>
      </w:tr>
      <w:tr w14:paraId="109728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609" w:type="pct"/>
            <w:vMerge w:val="continue"/>
            <w:vAlign w:val="center"/>
          </w:tcPr>
          <w:p w14:paraId="742A2E87">
            <w:pPr>
              <w:pStyle w:val="75"/>
              <w:rPr>
                <w:bCs/>
              </w:rPr>
            </w:pPr>
          </w:p>
        </w:tc>
        <w:tc>
          <w:tcPr>
            <w:tcW w:w="4391" w:type="pct"/>
            <w:gridSpan w:val="4"/>
            <w:vAlign w:val="center"/>
          </w:tcPr>
          <w:p w14:paraId="1147F538">
            <w:pPr>
              <w:pStyle w:val="75"/>
              <w:jc w:val="both"/>
              <w:rPr>
                <w:bCs/>
              </w:rPr>
            </w:pPr>
            <w:r>
              <w:rPr>
                <w:bCs/>
              </w:rPr>
              <w:t>侵入途径：接触或吞食</w:t>
            </w:r>
          </w:p>
        </w:tc>
      </w:tr>
      <w:tr w14:paraId="3CCD3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restart"/>
            <w:vAlign w:val="center"/>
          </w:tcPr>
          <w:p w14:paraId="1201668C">
            <w:pPr>
              <w:pStyle w:val="75"/>
              <w:rPr>
                <w:bCs/>
              </w:rPr>
            </w:pPr>
            <w:r>
              <w:rPr>
                <w:bCs/>
              </w:rPr>
              <w:t>储存及使用时应注意事项</w:t>
            </w:r>
          </w:p>
        </w:tc>
        <w:tc>
          <w:tcPr>
            <w:tcW w:w="4391" w:type="pct"/>
            <w:gridSpan w:val="4"/>
            <w:vAlign w:val="center"/>
          </w:tcPr>
          <w:p w14:paraId="5AC7C493">
            <w:pPr>
              <w:pStyle w:val="75"/>
              <w:jc w:val="both"/>
              <w:rPr>
                <w:bCs/>
              </w:rPr>
            </w:pPr>
            <w:r>
              <w:rPr>
                <w:bCs/>
              </w:rPr>
              <w:t>储存注意事项：储存地点应防火、防水，空桶可能含有残留物质，仍需作危害标示。</w:t>
            </w:r>
          </w:p>
        </w:tc>
      </w:tr>
      <w:tr w14:paraId="390835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271E6A5F">
            <w:pPr>
              <w:pStyle w:val="75"/>
              <w:rPr>
                <w:bCs/>
              </w:rPr>
            </w:pPr>
          </w:p>
        </w:tc>
        <w:tc>
          <w:tcPr>
            <w:tcW w:w="4391" w:type="pct"/>
            <w:gridSpan w:val="4"/>
            <w:vAlign w:val="center"/>
          </w:tcPr>
          <w:p w14:paraId="54E38F95">
            <w:pPr>
              <w:pStyle w:val="75"/>
              <w:jc w:val="both"/>
              <w:rPr>
                <w:bCs/>
              </w:rPr>
            </w:pPr>
            <w:r>
              <w:rPr>
                <w:bCs/>
              </w:rPr>
              <w:t>使用注意事项：油箱开启使用后，需盖紧桶盖，以防异物混入。</w:t>
            </w:r>
          </w:p>
        </w:tc>
      </w:tr>
      <w:tr w14:paraId="212D78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restart"/>
            <w:vAlign w:val="center"/>
          </w:tcPr>
          <w:p w14:paraId="0AF93855">
            <w:pPr>
              <w:pStyle w:val="75"/>
              <w:rPr>
                <w:bCs/>
              </w:rPr>
            </w:pPr>
            <w:r>
              <w:rPr>
                <w:bCs/>
              </w:rPr>
              <w:t>应急处置方法</w:t>
            </w:r>
          </w:p>
        </w:tc>
        <w:tc>
          <w:tcPr>
            <w:tcW w:w="4391" w:type="pct"/>
            <w:gridSpan w:val="4"/>
            <w:vAlign w:val="center"/>
          </w:tcPr>
          <w:p w14:paraId="15F2DDA3">
            <w:pPr>
              <w:pStyle w:val="75"/>
              <w:jc w:val="both"/>
              <w:rPr>
                <w:bCs/>
              </w:rPr>
            </w:pPr>
            <w:r>
              <w:rPr>
                <w:bCs/>
              </w:rPr>
              <w:t>灭火方法：灭火剂、二氧化碳、化学干粉、泡沫灭火器。</w:t>
            </w:r>
          </w:p>
        </w:tc>
      </w:tr>
      <w:tr w14:paraId="399EC3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68618445">
            <w:pPr>
              <w:pStyle w:val="75"/>
              <w:rPr>
                <w:bCs/>
              </w:rPr>
            </w:pPr>
          </w:p>
        </w:tc>
        <w:tc>
          <w:tcPr>
            <w:tcW w:w="4391" w:type="pct"/>
            <w:gridSpan w:val="4"/>
            <w:vAlign w:val="center"/>
          </w:tcPr>
          <w:p w14:paraId="001C36F8">
            <w:pPr>
              <w:pStyle w:val="75"/>
              <w:jc w:val="both"/>
              <w:rPr>
                <w:bCs/>
              </w:rPr>
            </w:pPr>
            <w:r>
              <w:rPr>
                <w:bCs/>
              </w:rPr>
              <w:t>应急措施：</w:t>
            </w:r>
            <w:r>
              <w:rPr>
                <w:rFonts w:hint="eastAsia"/>
                <w:bCs/>
              </w:rPr>
              <w:t>1、皮肤接触用肥皂和水彻底清洗患部，脱除油迹渗透的衣服；</w:t>
            </w:r>
          </w:p>
          <w:p w14:paraId="55756AC9">
            <w:pPr>
              <w:pStyle w:val="75"/>
              <w:ind w:firstLine="1050" w:firstLineChars="500"/>
              <w:jc w:val="both"/>
              <w:rPr>
                <w:bCs/>
              </w:rPr>
            </w:pPr>
            <w:r>
              <w:rPr>
                <w:rFonts w:hint="eastAsia"/>
                <w:bCs/>
              </w:rPr>
              <w:t>2、眼睛接触者以清水冲洗后寻求医生诊治；</w:t>
            </w:r>
          </w:p>
          <w:p w14:paraId="148E7EAF">
            <w:pPr>
              <w:pStyle w:val="75"/>
              <w:ind w:firstLine="1050" w:firstLineChars="500"/>
              <w:jc w:val="both"/>
              <w:rPr>
                <w:bCs/>
              </w:rPr>
            </w:pPr>
            <w:r>
              <w:rPr>
                <w:rFonts w:hint="eastAsia"/>
                <w:bCs/>
              </w:rPr>
              <w:t>3、吞食者寻求医生诊治。</w:t>
            </w:r>
          </w:p>
        </w:tc>
      </w:tr>
      <w:tr w14:paraId="4A061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09" w:type="pct"/>
            <w:vMerge w:val="continue"/>
            <w:vAlign w:val="center"/>
          </w:tcPr>
          <w:p w14:paraId="1ABA6F34">
            <w:pPr>
              <w:pStyle w:val="75"/>
              <w:rPr>
                <w:bCs/>
              </w:rPr>
            </w:pPr>
          </w:p>
        </w:tc>
        <w:tc>
          <w:tcPr>
            <w:tcW w:w="4391" w:type="pct"/>
            <w:gridSpan w:val="4"/>
            <w:vAlign w:val="center"/>
          </w:tcPr>
          <w:p w14:paraId="7D48E73E">
            <w:pPr>
              <w:pStyle w:val="75"/>
              <w:jc w:val="both"/>
              <w:rPr>
                <w:bCs/>
              </w:rPr>
            </w:pPr>
            <w:r>
              <w:rPr>
                <w:bCs/>
              </w:rPr>
              <w:t>泄漏处置：</w:t>
            </w:r>
            <w:r>
              <w:rPr>
                <w:rFonts w:hint="eastAsia"/>
                <w:bCs/>
              </w:rPr>
              <w:t>1、远离火源，处理人员佩戴充分的个人防护用具；</w:t>
            </w:r>
          </w:p>
          <w:p w14:paraId="70DC2F0E">
            <w:pPr>
              <w:pStyle w:val="75"/>
              <w:ind w:firstLine="1050" w:firstLineChars="500"/>
              <w:jc w:val="both"/>
              <w:rPr>
                <w:bCs/>
              </w:rPr>
            </w:pPr>
            <w:r>
              <w:rPr>
                <w:rFonts w:hint="eastAsia"/>
                <w:bCs/>
              </w:rPr>
              <w:t>2、少量泄漏时，需用纸张或吸附物吸去泄漏液，大量泄漏需抽取至储存桶，残留部分以吸附物处理。</w:t>
            </w:r>
          </w:p>
        </w:tc>
      </w:tr>
    </w:tbl>
    <w:p w14:paraId="2394EAB8">
      <w:pPr>
        <w:pStyle w:val="72"/>
        <w:rPr>
          <w:highlight w:val="yellow"/>
        </w:rPr>
      </w:pPr>
      <w:r>
        <w:rPr>
          <w:rFonts w:hint="eastAsia"/>
        </w:rPr>
        <w:t>根据以上理化性质，硫酸、硫酸镍、氯化镍、液压油、硝酸铬均为低毒物质；液压油为可燃物质，其中硫酸溶液均有腐蚀性，其主要危害为泄漏后进入大气并对周围人群产生吸入危害。液压油可燃，泄漏后如遇明火会发生火灾/爆炸，产生的燃烧废气进入大气并对周围人群产生吸入危害。因此，本次环境风险的危险物质为硫酸、硫酸镍、氯化镍、液压油、硝酸铬。</w:t>
      </w:r>
    </w:p>
    <w:p w14:paraId="7ED0CD8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6.3.2生产系统危险性识别</w:t>
      </w:r>
    </w:p>
    <w:p w14:paraId="12D8D733">
      <w:pPr>
        <w:pStyle w:val="94"/>
        <w:keepNext w:val="0"/>
        <w:keepLines w:val="0"/>
        <w:pageBreakBefore w:val="0"/>
        <w:widowControl/>
        <w:numPr>
          <w:ilvl w:val="0"/>
          <w:numId w:val="0"/>
        </w:numPr>
        <w:tabs>
          <w:tab w:val="left" w:pos="1262"/>
        </w:tabs>
        <w:kinsoku/>
        <w:wordWrap w:val="0"/>
        <w:overflowPunct w:val="0"/>
        <w:topLinePunct/>
        <w:autoSpaceDE/>
        <w:autoSpaceDN/>
        <w:bidi w:val="0"/>
        <w:adjustRightInd w:val="0"/>
        <w:snapToGrid w:val="0"/>
        <w:spacing w:beforeLines="0" w:after="0" w:afterLines="0" w:line="520" w:lineRule="exact"/>
        <w:ind w:leftChars="0" w:right="0" w:rightChars="0" w:firstLine="480" w:firstLineChars="200"/>
        <w:jc w:val="both"/>
        <w:textAlignment w:val="auto"/>
        <w:rPr>
          <w:rFonts w:hint="default" w:ascii="Times New Roman" w:hAnsi="Times New Roman" w:eastAsia="宋体" w:cs="宋体"/>
          <w:sz w:val="24"/>
          <w:szCs w:val="20"/>
          <w:lang w:val="en-US" w:eastAsia="zh-CN" w:bidi="ar-SA"/>
        </w:rPr>
      </w:pPr>
      <w:r>
        <w:rPr>
          <w:rFonts w:hint="default" w:ascii="Times New Roman" w:hAnsi="Times New Roman" w:eastAsia="宋体" w:cs="宋体"/>
          <w:sz w:val="24"/>
          <w:szCs w:val="20"/>
          <w:lang w:val="en-US" w:eastAsia="zh-CN" w:bidi="ar-SA"/>
        </w:rPr>
        <w:t>（1）生产过程风险识别</w:t>
      </w:r>
    </w:p>
    <w:p w14:paraId="3091D0B9">
      <w:pPr>
        <w:pStyle w:val="16"/>
        <w:keepNext w:val="0"/>
        <w:keepLines w:val="0"/>
        <w:pageBreakBefore w:val="0"/>
        <w:widowControl/>
        <w:kinsoku/>
        <w:wordWrap w:val="0"/>
        <w:overflowPunct w:val="0"/>
        <w:topLinePunct/>
        <w:autoSpaceDE/>
        <w:autoSpaceDN/>
        <w:bidi w:val="0"/>
        <w:adjustRightInd w:val="0"/>
        <w:snapToGrid w:val="0"/>
        <w:spacing w:beforeLines="0" w:after="0" w:afterLines="0" w:line="520" w:lineRule="exact"/>
        <w:ind w:left="0" w:leftChars="0" w:right="0" w:firstLine="480" w:firstLineChars="200"/>
        <w:jc w:val="both"/>
        <w:textAlignment w:val="auto"/>
        <w:rPr>
          <w:rFonts w:hint="default" w:ascii="Times New Roman" w:hAnsi="Times New Roman" w:eastAsia="宋体" w:cs="宋体"/>
          <w:sz w:val="24"/>
          <w:szCs w:val="20"/>
          <w:lang w:val="en-US" w:eastAsia="zh-CN" w:bidi="ar-SA"/>
        </w:rPr>
      </w:pPr>
      <w:r>
        <w:rPr>
          <w:rFonts w:hint="default" w:ascii="Times New Roman" w:hAnsi="Times New Roman" w:eastAsia="宋体" w:cs="宋体"/>
          <w:sz w:val="24"/>
          <w:szCs w:val="20"/>
          <w:lang w:val="en-US" w:eastAsia="zh-CN" w:bidi="ar-SA"/>
        </w:rPr>
        <w:t>根据《建设项目环境风险评价技术导则》（HJ169-2019），生产系统危险性识别包括主要生产装置、储运设施、公用工程、辅助生产设施以及环境保护设施等。</w:t>
      </w:r>
    </w:p>
    <w:p w14:paraId="70E041B8">
      <w:pPr>
        <w:pStyle w:val="16"/>
        <w:keepNext w:val="0"/>
        <w:keepLines w:val="0"/>
        <w:pageBreakBefore w:val="0"/>
        <w:widowControl/>
        <w:kinsoku/>
        <w:wordWrap w:val="0"/>
        <w:overflowPunct w:val="0"/>
        <w:topLinePunct/>
        <w:autoSpaceDE/>
        <w:autoSpaceDN/>
        <w:bidi w:val="0"/>
        <w:adjustRightInd w:val="0"/>
        <w:snapToGrid w:val="0"/>
        <w:spacing w:beforeLines="0" w:after="0" w:afterLines="0" w:line="520" w:lineRule="exact"/>
        <w:ind w:left="0" w:leftChars="0" w:right="0" w:firstLine="480" w:firstLineChars="200"/>
        <w:jc w:val="both"/>
        <w:textAlignment w:val="auto"/>
        <w:rPr>
          <w:rFonts w:hint="default" w:ascii="Times New Roman" w:hAnsi="Times New Roman" w:eastAsia="宋体" w:cs="宋体"/>
          <w:sz w:val="24"/>
          <w:szCs w:val="20"/>
          <w:lang w:val="en-US" w:eastAsia="zh-CN" w:bidi="ar-SA"/>
        </w:rPr>
      </w:pPr>
      <w:r>
        <w:rPr>
          <w:rFonts w:hint="default" w:ascii="Times New Roman" w:hAnsi="Times New Roman" w:eastAsia="宋体" w:cs="宋体"/>
          <w:sz w:val="24"/>
          <w:szCs w:val="20"/>
          <w:lang w:val="en-US" w:eastAsia="zh-CN" w:bidi="ar-SA"/>
        </w:rPr>
        <w:t>项目生产过程的危险单元主要为电镀生产线镀液槽、车间污水管线，风险类型为生产线镀槽槽液泄漏以及车间污水管线破裂导致废水泄漏。发生环境风险事故时，可能会对周围地表水、地下水、土壤等产生不利影响，同时酸液泄漏可能会导致酸雾进入大气对周围居民产生不利影响。</w:t>
      </w:r>
    </w:p>
    <w:p w14:paraId="2B3A657B">
      <w:pPr>
        <w:pStyle w:val="94"/>
        <w:keepNext w:val="0"/>
        <w:keepLines w:val="0"/>
        <w:pageBreakBefore w:val="0"/>
        <w:widowControl/>
        <w:numPr>
          <w:ilvl w:val="0"/>
          <w:numId w:val="0"/>
        </w:numPr>
        <w:tabs>
          <w:tab w:val="left" w:pos="1262"/>
        </w:tabs>
        <w:kinsoku/>
        <w:wordWrap w:val="0"/>
        <w:overflowPunct w:val="0"/>
        <w:topLinePunct/>
        <w:autoSpaceDE/>
        <w:autoSpaceDN/>
        <w:bidi w:val="0"/>
        <w:adjustRightInd w:val="0"/>
        <w:snapToGrid w:val="0"/>
        <w:spacing w:beforeLines="0" w:after="0" w:afterLines="0" w:line="520" w:lineRule="exact"/>
        <w:ind w:leftChars="0" w:right="0" w:rightChars="0" w:firstLine="480" w:firstLineChars="200"/>
        <w:jc w:val="both"/>
        <w:textAlignment w:val="auto"/>
        <w:rPr>
          <w:rFonts w:hint="default" w:ascii="Times New Roman" w:hAnsi="Times New Roman" w:eastAsia="宋体" w:cs="宋体"/>
          <w:sz w:val="24"/>
          <w:szCs w:val="20"/>
          <w:lang w:val="en-US" w:eastAsia="zh-CN" w:bidi="ar-SA"/>
        </w:rPr>
      </w:pPr>
      <w:r>
        <w:rPr>
          <w:rFonts w:hint="default" w:ascii="Times New Roman" w:hAnsi="Times New Roman" w:eastAsia="宋体" w:cs="宋体"/>
          <w:sz w:val="24"/>
          <w:szCs w:val="20"/>
          <w:lang w:val="en-US" w:eastAsia="zh-CN" w:bidi="ar-SA"/>
        </w:rPr>
        <w:t>（2）储存过程风险识别</w:t>
      </w:r>
    </w:p>
    <w:p w14:paraId="24CDC977">
      <w:pPr>
        <w:pStyle w:val="16"/>
        <w:keepNext w:val="0"/>
        <w:keepLines w:val="0"/>
        <w:pageBreakBefore w:val="0"/>
        <w:kinsoku w:val="0"/>
        <w:overflowPunct w:val="0"/>
        <w:autoSpaceDE/>
        <w:autoSpaceDN/>
        <w:bidi w:val="0"/>
        <w:adjustRightInd w:val="0"/>
        <w:snapToGrid w:val="0"/>
        <w:spacing w:beforeLines="0" w:after="0" w:afterLines="0" w:line="520" w:lineRule="exact"/>
        <w:ind w:leftChars="0" w:firstLine="480" w:firstLineChars="200"/>
        <w:jc w:val="left"/>
        <w:rPr>
          <w:rFonts w:hint="default" w:ascii="Times New Roman" w:hAnsi="Times New Roman" w:eastAsia="宋体" w:cs="宋体"/>
          <w:sz w:val="24"/>
          <w:szCs w:val="20"/>
          <w:lang w:val="en-US" w:eastAsia="zh-CN" w:bidi="ar-SA"/>
        </w:rPr>
      </w:pPr>
      <w:r>
        <w:rPr>
          <w:rFonts w:hint="default" w:ascii="Times New Roman" w:hAnsi="Times New Roman" w:eastAsia="宋体" w:cs="宋体"/>
          <w:sz w:val="24"/>
          <w:szCs w:val="20"/>
          <w:lang w:val="en-US" w:eastAsia="zh-CN" w:bidi="ar-SA"/>
        </w:rPr>
        <w:t>根据本项目储运的物质的危害性分析，风险特征见下表：</w:t>
      </w:r>
    </w:p>
    <w:p w14:paraId="77BF23E5">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6.3-6</w:t>
      </w:r>
      <w:r>
        <w:rPr>
          <w:rFonts w:hint="eastAsia"/>
        </w:rPr>
        <w:t xml:space="preserve">     储存系统危险性识别</w:t>
      </w:r>
    </w:p>
    <w:tbl>
      <w:tblPr>
        <w:tblStyle w:val="39"/>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611"/>
        <w:gridCol w:w="1533"/>
        <w:gridCol w:w="2349"/>
        <w:gridCol w:w="2250"/>
        <w:gridCol w:w="1625"/>
      </w:tblGrid>
      <w:tr w14:paraId="68402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vMerge w:val="restart"/>
            <w:tcBorders>
              <w:top w:val="single" w:color="000000" w:sz="8" w:space="0"/>
              <w:left w:val="single" w:color="000000" w:sz="8" w:space="0"/>
              <w:bottom w:val="single" w:color="000000" w:sz="4" w:space="0"/>
              <w:right w:val="single" w:color="000000" w:sz="4" w:space="0"/>
            </w:tcBorders>
            <w:noWrap w:val="0"/>
            <w:vAlign w:val="center"/>
          </w:tcPr>
          <w:p w14:paraId="680BDF0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bCs w:val="0"/>
                <w:sz w:val="21"/>
                <w:szCs w:val="21"/>
                <w:u w:val="none"/>
              </w:rPr>
            </w:pPr>
            <w:r>
              <w:rPr>
                <w:rFonts w:hint="default" w:ascii="Times New Roman" w:hAnsi="Times New Roman" w:eastAsia="宋体" w:cs="Times New Roman"/>
                <w:b/>
                <w:bCs w:val="0"/>
                <w:sz w:val="21"/>
                <w:szCs w:val="21"/>
                <w:u w:val="none"/>
              </w:rPr>
              <w:t>序号</w:t>
            </w:r>
          </w:p>
        </w:tc>
        <w:tc>
          <w:tcPr>
            <w:tcW w:w="915" w:type="pct"/>
            <w:vMerge w:val="restart"/>
            <w:tcBorders>
              <w:top w:val="single" w:color="000000" w:sz="8" w:space="0"/>
              <w:left w:val="single" w:color="000000" w:sz="4" w:space="0"/>
              <w:bottom w:val="single" w:color="000000" w:sz="4" w:space="0"/>
              <w:right w:val="single" w:color="000000" w:sz="4" w:space="0"/>
            </w:tcBorders>
            <w:noWrap w:val="0"/>
            <w:vAlign w:val="center"/>
          </w:tcPr>
          <w:p w14:paraId="64F6ACB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bCs w:val="0"/>
                <w:sz w:val="21"/>
                <w:szCs w:val="21"/>
                <w:u w:val="none"/>
              </w:rPr>
            </w:pPr>
            <w:r>
              <w:rPr>
                <w:rFonts w:hint="default" w:ascii="Times New Roman" w:hAnsi="Times New Roman" w:eastAsia="宋体" w:cs="Times New Roman"/>
                <w:b/>
                <w:bCs w:val="0"/>
                <w:sz w:val="21"/>
                <w:szCs w:val="21"/>
                <w:u w:val="none"/>
              </w:rPr>
              <w:t>储运设施</w:t>
            </w:r>
          </w:p>
        </w:tc>
        <w:tc>
          <w:tcPr>
            <w:tcW w:w="1403" w:type="pct"/>
            <w:vMerge w:val="restart"/>
            <w:tcBorders>
              <w:top w:val="single" w:color="000000" w:sz="8" w:space="0"/>
              <w:left w:val="single" w:color="000000" w:sz="4" w:space="0"/>
              <w:bottom w:val="single" w:color="000000" w:sz="4" w:space="0"/>
              <w:right w:val="single" w:color="000000" w:sz="4" w:space="0"/>
            </w:tcBorders>
            <w:noWrap w:val="0"/>
            <w:vAlign w:val="center"/>
          </w:tcPr>
          <w:p w14:paraId="0ADCCF7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bCs w:val="0"/>
                <w:sz w:val="21"/>
                <w:szCs w:val="21"/>
                <w:u w:val="none"/>
              </w:rPr>
            </w:pPr>
            <w:r>
              <w:rPr>
                <w:rFonts w:hint="default" w:ascii="Times New Roman" w:hAnsi="Times New Roman" w:eastAsia="宋体" w:cs="Times New Roman"/>
                <w:b/>
                <w:bCs w:val="0"/>
                <w:sz w:val="21"/>
                <w:szCs w:val="21"/>
                <w:u w:val="none"/>
              </w:rPr>
              <w:t>重要部位和薄弱环节</w:t>
            </w:r>
          </w:p>
        </w:tc>
        <w:tc>
          <w:tcPr>
            <w:tcW w:w="2315" w:type="pct"/>
            <w:gridSpan w:val="2"/>
            <w:tcBorders>
              <w:top w:val="single" w:color="000000" w:sz="8" w:space="0"/>
              <w:left w:val="single" w:color="000000" w:sz="4" w:space="0"/>
              <w:bottom w:val="single" w:color="000000" w:sz="4" w:space="0"/>
              <w:right w:val="single" w:color="000000" w:sz="8" w:space="0"/>
            </w:tcBorders>
            <w:noWrap w:val="0"/>
            <w:vAlign w:val="center"/>
          </w:tcPr>
          <w:p w14:paraId="0688C8C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bCs w:val="0"/>
                <w:sz w:val="21"/>
                <w:szCs w:val="21"/>
                <w:u w:val="none"/>
              </w:rPr>
            </w:pPr>
            <w:r>
              <w:rPr>
                <w:rFonts w:hint="default" w:ascii="Times New Roman" w:hAnsi="Times New Roman" w:eastAsia="宋体" w:cs="Times New Roman"/>
                <w:b/>
                <w:bCs w:val="0"/>
                <w:sz w:val="21"/>
                <w:szCs w:val="21"/>
                <w:u w:val="none"/>
              </w:rPr>
              <w:t>风险因素分析</w:t>
            </w:r>
          </w:p>
        </w:tc>
      </w:tr>
      <w:tr w14:paraId="245F9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vMerge w:val="continue"/>
            <w:tcBorders>
              <w:top w:val="single" w:color="000000" w:sz="4" w:space="0"/>
              <w:left w:val="single" w:color="000000" w:sz="8" w:space="0"/>
              <w:bottom w:val="single" w:color="000000" w:sz="4" w:space="0"/>
              <w:right w:val="single" w:color="000000" w:sz="4" w:space="0"/>
            </w:tcBorders>
            <w:noWrap w:val="0"/>
            <w:vAlign w:val="center"/>
          </w:tcPr>
          <w:p w14:paraId="19330E19">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p>
        </w:tc>
        <w:tc>
          <w:tcPr>
            <w:tcW w:w="91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95F94C">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p>
        </w:tc>
        <w:tc>
          <w:tcPr>
            <w:tcW w:w="14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E29E04">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p>
        </w:tc>
        <w:tc>
          <w:tcPr>
            <w:tcW w:w="1344" w:type="pct"/>
            <w:tcBorders>
              <w:top w:val="single" w:color="000000" w:sz="4" w:space="0"/>
              <w:left w:val="single" w:color="000000" w:sz="4" w:space="0"/>
              <w:bottom w:val="single" w:color="000000" w:sz="4" w:space="0"/>
              <w:right w:val="single" w:color="000000" w:sz="4" w:space="0"/>
            </w:tcBorders>
            <w:noWrap w:val="0"/>
            <w:vAlign w:val="center"/>
          </w:tcPr>
          <w:p w14:paraId="0DEC17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可能发生的事故</w:t>
            </w:r>
          </w:p>
        </w:tc>
        <w:tc>
          <w:tcPr>
            <w:tcW w:w="970" w:type="pct"/>
            <w:tcBorders>
              <w:top w:val="single" w:color="000000" w:sz="4" w:space="0"/>
              <w:left w:val="single" w:color="000000" w:sz="4" w:space="0"/>
              <w:bottom w:val="single" w:color="000000" w:sz="4" w:space="0"/>
              <w:right w:val="single" w:color="000000" w:sz="8" w:space="0"/>
            </w:tcBorders>
            <w:noWrap w:val="0"/>
            <w:vAlign w:val="center"/>
          </w:tcPr>
          <w:p w14:paraId="74DFF74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潜在危害</w:t>
            </w:r>
          </w:p>
        </w:tc>
      </w:tr>
      <w:tr w14:paraId="4BEE3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tcBorders>
              <w:top w:val="single" w:color="000000" w:sz="4" w:space="0"/>
              <w:left w:val="single" w:color="000000" w:sz="8" w:space="0"/>
              <w:bottom w:val="single" w:color="000000" w:sz="4" w:space="0"/>
              <w:right w:val="single" w:color="000000" w:sz="4" w:space="0"/>
            </w:tcBorders>
            <w:noWrap w:val="0"/>
            <w:vAlign w:val="center"/>
          </w:tcPr>
          <w:p w14:paraId="307293FD">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1</w:t>
            </w:r>
          </w:p>
        </w:tc>
        <w:tc>
          <w:tcPr>
            <w:tcW w:w="915" w:type="pct"/>
            <w:tcBorders>
              <w:top w:val="single" w:color="000000" w:sz="4" w:space="0"/>
              <w:left w:val="single" w:color="000000" w:sz="4" w:space="0"/>
              <w:bottom w:val="single" w:color="000000" w:sz="4" w:space="0"/>
              <w:right w:val="single" w:color="000000" w:sz="4" w:space="0"/>
            </w:tcBorders>
            <w:noWrap w:val="0"/>
            <w:vAlign w:val="center"/>
          </w:tcPr>
          <w:p w14:paraId="6EFBAC30">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lang w:val="en-US" w:eastAsia="zh-CN"/>
              </w:rPr>
            </w:pPr>
            <w:r>
              <w:rPr>
                <w:rFonts w:hint="default" w:ascii="Times New Roman" w:hAnsi="Times New Roman" w:eastAsia="宋体" w:cs="Times New Roman"/>
                <w:b w:val="0"/>
                <w:bCs/>
                <w:sz w:val="21"/>
                <w:szCs w:val="21"/>
                <w:u w:val="none"/>
                <w:lang w:val="en-US" w:eastAsia="zh-CN"/>
              </w:rPr>
              <w:t>危险化学品库</w:t>
            </w:r>
          </w:p>
        </w:tc>
        <w:tc>
          <w:tcPr>
            <w:tcW w:w="1403" w:type="pct"/>
            <w:tcBorders>
              <w:top w:val="single" w:color="000000" w:sz="4" w:space="0"/>
              <w:left w:val="single" w:color="000000" w:sz="4" w:space="0"/>
              <w:bottom w:val="single" w:color="000000" w:sz="4" w:space="0"/>
              <w:right w:val="single" w:color="000000" w:sz="4" w:space="0"/>
            </w:tcBorders>
            <w:noWrap w:val="0"/>
            <w:vAlign w:val="center"/>
          </w:tcPr>
          <w:p w14:paraId="1FDD09AC">
            <w:pPr>
              <w:pStyle w:val="1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left"/>
              <w:textAlignment w:val="auto"/>
              <w:rPr>
                <w:rFonts w:hint="default" w:ascii="Times New Roman" w:hAnsi="Times New Roman" w:eastAsia="宋体" w:cs="Times New Roman"/>
                <w:b w:val="0"/>
                <w:bCs/>
                <w:sz w:val="21"/>
                <w:szCs w:val="21"/>
                <w:u w:val="none"/>
                <w:lang w:val="en-US" w:eastAsia="zh-CN"/>
              </w:rPr>
            </w:pPr>
            <w:r>
              <w:rPr>
                <w:rFonts w:hint="default" w:ascii="Times New Roman" w:hAnsi="Times New Roman" w:eastAsia="宋体" w:cs="Times New Roman"/>
                <w:b w:val="0"/>
                <w:bCs/>
                <w:sz w:val="21"/>
                <w:szCs w:val="21"/>
                <w:u w:val="none"/>
              </w:rPr>
              <w:t>储桶/</w:t>
            </w:r>
            <w:r>
              <w:rPr>
                <w:rFonts w:hint="default" w:ascii="Times New Roman" w:hAnsi="Times New Roman" w:eastAsia="宋体" w:cs="Times New Roman"/>
                <w:b w:val="0"/>
                <w:bCs/>
                <w:sz w:val="21"/>
                <w:szCs w:val="21"/>
                <w:u w:val="none"/>
                <w:lang w:val="en-US" w:eastAsia="zh-CN"/>
              </w:rPr>
              <w:t>包装袋</w:t>
            </w:r>
            <w:r>
              <w:rPr>
                <w:rFonts w:hint="default" w:ascii="Times New Roman" w:hAnsi="Times New Roman" w:eastAsia="宋体" w:cs="Times New Roman"/>
                <w:b w:val="0"/>
                <w:bCs/>
                <w:sz w:val="21"/>
                <w:szCs w:val="21"/>
                <w:u w:val="none"/>
              </w:rPr>
              <w:t>开口部位</w:t>
            </w:r>
          </w:p>
        </w:tc>
        <w:tc>
          <w:tcPr>
            <w:tcW w:w="1344" w:type="pct"/>
            <w:tcBorders>
              <w:top w:val="single" w:color="000000" w:sz="4" w:space="0"/>
              <w:left w:val="single" w:color="000000" w:sz="4" w:space="0"/>
              <w:bottom w:val="single" w:color="000000" w:sz="4" w:space="0"/>
              <w:right w:val="single" w:color="000000" w:sz="4" w:space="0"/>
            </w:tcBorders>
            <w:noWrap w:val="0"/>
            <w:vAlign w:val="center"/>
          </w:tcPr>
          <w:p w14:paraId="4A2861A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left"/>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①储桶/</w:t>
            </w:r>
            <w:r>
              <w:rPr>
                <w:rFonts w:hint="default" w:ascii="Times New Roman" w:hAnsi="Times New Roman" w:eastAsia="宋体" w:cs="Times New Roman"/>
                <w:b w:val="0"/>
                <w:bCs/>
                <w:sz w:val="21"/>
                <w:szCs w:val="21"/>
                <w:u w:val="none"/>
                <w:lang w:val="en-US" w:eastAsia="zh-CN"/>
              </w:rPr>
              <w:t>包装袋</w:t>
            </w:r>
            <w:r>
              <w:rPr>
                <w:rFonts w:hint="default" w:ascii="Times New Roman" w:hAnsi="Times New Roman" w:eastAsia="宋体" w:cs="Times New Roman"/>
                <w:b w:val="0"/>
                <w:bCs/>
                <w:sz w:val="21"/>
                <w:szCs w:val="21"/>
                <w:u w:val="none"/>
              </w:rPr>
              <w:t>破损</w:t>
            </w:r>
          </w:p>
        </w:tc>
        <w:tc>
          <w:tcPr>
            <w:tcW w:w="970" w:type="pct"/>
            <w:tcBorders>
              <w:top w:val="single" w:color="000000" w:sz="4" w:space="0"/>
              <w:left w:val="single" w:color="000000" w:sz="4" w:space="0"/>
              <w:bottom w:val="single" w:color="000000" w:sz="4" w:space="0"/>
              <w:right w:val="single" w:color="000000" w:sz="8" w:space="0"/>
            </w:tcBorders>
            <w:noWrap w:val="0"/>
            <w:vAlign w:val="center"/>
          </w:tcPr>
          <w:p w14:paraId="34F074C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储桶/</w:t>
            </w:r>
            <w:r>
              <w:rPr>
                <w:rFonts w:hint="default" w:ascii="Times New Roman" w:hAnsi="Times New Roman" w:eastAsia="宋体" w:cs="Times New Roman"/>
                <w:b w:val="0"/>
                <w:bCs/>
                <w:sz w:val="21"/>
                <w:szCs w:val="21"/>
                <w:u w:val="none"/>
                <w:lang w:val="en-US" w:eastAsia="zh-CN"/>
              </w:rPr>
              <w:t>包装袋</w:t>
            </w:r>
          </w:p>
        </w:tc>
      </w:tr>
      <w:tr w14:paraId="4D0D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tcBorders>
              <w:top w:val="single" w:color="000000" w:sz="4" w:space="0"/>
              <w:left w:val="single" w:color="000000" w:sz="8" w:space="0"/>
              <w:bottom w:val="single" w:color="000000" w:sz="4" w:space="0"/>
              <w:right w:val="single" w:color="000000" w:sz="4" w:space="0"/>
            </w:tcBorders>
            <w:noWrap w:val="0"/>
            <w:vAlign w:val="center"/>
          </w:tcPr>
          <w:p w14:paraId="307E1A7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lang w:val="en-US" w:eastAsia="zh-CN"/>
              </w:rPr>
            </w:pPr>
            <w:r>
              <w:rPr>
                <w:rFonts w:hint="default" w:ascii="Times New Roman" w:hAnsi="Times New Roman" w:eastAsia="宋体" w:cs="Times New Roman"/>
                <w:b w:val="0"/>
                <w:bCs/>
                <w:spacing w:val="-1"/>
                <w:sz w:val="21"/>
                <w:szCs w:val="21"/>
                <w:u w:val="none"/>
                <w:lang w:val="en-US" w:eastAsia="zh-CN"/>
              </w:rPr>
              <w:t>2</w:t>
            </w:r>
          </w:p>
        </w:tc>
        <w:tc>
          <w:tcPr>
            <w:tcW w:w="915" w:type="pct"/>
            <w:tcBorders>
              <w:top w:val="single" w:color="000000" w:sz="4" w:space="0"/>
              <w:left w:val="single" w:color="000000" w:sz="4" w:space="0"/>
              <w:bottom w:val="single" w:color="000000" w:sz="4" w:space="0"/>
              <w:right w:val="single" w:color="000000" w:sz="4" w:space="0"/>
            </w:tcBorders>
            <w:noWrap w:val="0"/>
            <w:vAlign w:val="center"/>
          </w:tcPr>
          <w:p w14:paraId="1CB492B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lang w:val="en-US" w:eastAsia="zh-CN"/>
              </w:rPr>
            </w:pPr>
            <w:r>
              <w:rPr>
                <w:rFonts w:hint="default" w:ascii="Times New Roman" w:hAnsi="Times New Roman" w:eastAsia="宋体" w:cs="Times New Roman"/>
                <w:b w:val="0"/>
                <w:bCs/>
                <w:spacing w:val="-1"/>
                <w:sz w:val="21"/>
                <w:szCs w:val="21"/>
                <w:u w:val="none"/>
                <w:lang w:val="en-US" w:eastAsia="zh-CN"/>
              </w:rPr>
              <w:t>储罐区</w:t>
            </w:r>
          </w:p>
        </w:tc>
        <w:tc>
          <w:tcPr>
            <w:tcW w:w="1403" w:type="pct"/>
            <w:tcBorders>
              <w:top w:val="single" w:color="000000" w:sz="4" w:space="0"/>
              <w:left w:val="single" w:color="000000" w:sz="4" w:space="0"/>
              <w:bottom w:val="single" w:color="000000" w:sz="4" w:space="0"/>
              <w:right w:val="single" w:color="000000" w:sz="4" w:space="0"/>
            </w:tcBorders>
            <w:noWrap w:val="0"/>
            <w:vAlign w:val="center"/>
          </w:tcPr>
          <w:p w14:paraId="2309895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①储罐管件和开口部位</w:t>
            </w:r>
          </w:p>
          <w:p w14:paraId="28DD32F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②储罐裂纹</w:t>
            </w:r>
          </w:p>
        </w:tc>
        <w:tc>
          <w:tcPr>
            <w:tcW w:w="1344" w:type="pct"/>
            <w:tcBorders>
              <w:top w:val="single" w:color="000000" w:sz="4" w:space="0"/>
              <w:left w:val="single" w:color="000000" w:sz="4" w:space="0"/>
              <w:bottom w:val="single" w:color="000000" w:sz="4" w:space="0"/>
              <w:right w:val="single" w:color="000000" w:sz="4" w:space="0"/>
            </w:tcBorders>
            <w:noWrap w:val="0"/>
            <w:vAlign w:val="center"/>
          </w:tcPr>
          <w:p w14:paraId="3D9A178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firstLine="0" w:firstLineChars="0"/>
              <w:jc w:val="left"/>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z w:val="21"/>
                <w:szCs w:val="21"/>
                <w:u w:val="none"/>
              </w:rPr>
              <w:t>①储存容器破损</w:t>
            </w:r>
          </w:p>
        </w:tc>
        <w:tc>
          <w:tcPr>
            <w:tcW w:w="970" w:type="pct"/>
            <w:tcBorders>
              <w:top w:val="single" w:color="000000" w:sz="4" w:space="0"/>
              <w:left w:val="single" w:color="000000" w:sz="4" w:space="0"/>
              <w:bottom w:val="single" w:color="000000" w:sz="4" w:space="0"/>
              <w:right w:val="single" w:color="000000" w:sz="8" w:space="0"/>
            </w:tcBorders>
            <w:noWrap w:val="0"/>
            <w:vAlign w:val="center"/>
          </w:tcPr>
          <w:p w14:paraId="4084DD2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z w:val="21"/>
                <w:szCs w:val="21"/>
                <w:u w:val="none"/>
              </w:rPr>
            </w:pPr>
            <w:r>
              <w:rPr>
                <w:rFonts w:hint="default" w:ascii="Times New Roman" w:hAnsi="Times New Roman" w:eastAsia="宋体" w:cs="Times New Roman"/>
                <w:b w:val="0"/>
                <w:bCs/>
                <w:spacing w:val="-1"/>
                <w:sz w:val="21"/>
                <w:szCs w:val="21"/>
                <w:u w:val="none"/>
              </w:rPr>
              <w:t>泄漏火灾、爆</w:t>
            </w:r>
            <w:r>
              <w:rPr>
                <w:rFonts w:hint="default" w:ascii="Times New Roman" w:hAnsi="Times New Roman" w:eastAsia="宋体" w:cs="Times New Roman"/>
                <w:b w:val="0"/>
                <w:bCs/>
                <w:sz w:val="21"/>
                <w:szCs w:val="21"/>
                <w:u w:val="none"/>
              </w:rPr>
              <w:t>炸</w:t>
            </w:r>
          </w:p>
        </w:tc>
      </w:tr>
      <w:tr w14:paraId="2A9A9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tcBorders>
              <w:top w:val="single" w:color="000000" w:sz="4" w:space="0"/>
              <w:left w:val="single" w:color="000000" w:sz="8" w:space="0"/>
              <w:bottom w:val="single" w:color="000000" w:sz="4" w:space="0"/>
              <w:right w:val="single" w:color="000000" w:sz="4" w:space="0"/>
            </w:tcBorders>
            <w:noWrap w:val="0"/>
            <w:vAlign w:val="center"/>
          </w:tcPr>
          <w:p w14:paraId="28FC2C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lang w:eastAsia="zh-CN"/>
              </w:rPr>
            </w:pPr>
            <w:r>
              <w:rPr>
                <w:rFonts w:hint="default" w:ascii="Times New Roman" w:hAnsi="Times New Roman" w:eastAsia="宋体" w:cs="Times New Roman"/>
                <w:b w:val="0"/>
                <w:bCs/>
                <w:spacing w:val="-1"/>
                <w:sz w:val="21"/>
                <w:szCs w:val="21"/>
                <w:u w:val="none"/>
                <w:lang w:val="en-US" w:eastAsia="zh-CN"/>
              </w:rPr>
              <w:t>3</w:t>
            </w:r>
          </w:p>
        </w:tc>
        <w:tc>
          <w:tcPr>
            <w:tcW w:w="915" w:type="pct"/>
            <w:tcBorders>
              <w:top w:val="single" w:color="000000" w:sz="4" w:space="0"/>
              <w:left w:val="single" w:color="000000" w:sz="4" w:space="0"/>
              <w:bottom w:val="single" w:color="000000" w:sz="4" w:space="0"/>
              <w:right w:val="single" w:color="000000" w:sz="4" w:space="0"/>
            </w:tcBorders>
            <w:noWrap w:val="0"/>
            <w:vAlign w:val="center"/>
          </w:tcPr>
          <w:p w14:paraId="5A2C5C4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装卸区</w:t>
            </w:r>
          </w:p>
        </w:tc>
        <w:tc>
          <w:tcPr>
            <w:tcW w:w="1403" w:type="pct"/>
            <w:tcBorders>
              <w:top w:val="single" w:color="000000" w:sz="4" w:space="0"/>
              <w:left w:val="single" w:color="000000" w:sz="4" w:space="0"/>
              <w:bottom w:val="single" w:color="000000" w:sz="4" w:space="0"/>
              <w:right w:val="single" w:color="000000" w:sz="4" w:space="0"/>
            </w:tcBorders>
            <w:noWrap w:val="0"/>
            <w:vAlign w:val="center"/>
          </w:tcPr>
          <w:p w14:paraId="36357D7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①装卸泵</w:t>
            </w:r>
          </w:p>
          <w:p w14:paraId="099B2FB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②罐车罐和连接的软管及阀门</w:t>
            </w:r>
          </w:p>
          <w:p w14:paraId="3B5D32D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③罐车罐管件和开口部位</w:t>
            </w:r>
          </w:p>
        </w:tc>
        <w:tc>
          <w:tcPr>
            <w:tcW w:w="1344" w:type="pct"/>
            <w:tcBorders>
              <w:top w:val="single" w:color="000000" w:sz="4" w:space="0"/>
              <w:left w:val="single" w:color="000000" w:sz="4" w:space="0"/>
              <w:bottom w:val="single" w:color="000000" w:sz="4" w:space="0"/>
              <w:right w:val="single" w:color="000000" w:sz="4" w:space="0"/>
            </w:tcBorders>
            <w:noWrap w:val="0"/>
            <w:vAlign w:val="center"/>
          </w:tcPr>
          <w:p w14:paraId="6078464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①装卸泵密封损坏，造成泄漏；</w:t>
            </w:r>
          </w:p>
          <w:p w14:paraId="455A3A4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②连接软管破裂，造成物料泄漏；</w:t>
            </w:r>
          </w:p>
          <w:p w14:paraId="62BA6E0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③接地不良，静电火花</w:t>
            </w:r>
          </w:p>
        </w:tc>
        <w:tc>
          <w:tcPr>
            <w:tcW w:w="970" w:type="pct"/>
            <w:tcBorders>
              <w:top w:val="single" w:color="000000" w:sz="4" w:space="0"/>
              <w:left w:val="single" w:color="000000" w:sz="4" w:space="0"/>
              <w:bottom w:val="single" w:color="000000" w:sz="4" w:space="0"/>
              <w:right w:val="single" w:color="000000" w:sz="8" w:space="0"/>
            </w:tcBorders>
            <w:noWrap w:val="0"/>
            <w:vAlign w:val="center"/>
          </w:tcPr>
          <w:p w14:paraId="21F6706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泄漏火灾、爆炸</w:t>
            </w:r>
          </w:p>
        </w:tc>
      </w:tr>
      <w:tr w14:paraId="58888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365" w:type="pct"/>
            <w:tcBorders>
              <w:top w:val="single" w:color="000000" w:sz="4" w:space="0"/>
              <w:left w:val="single" w:color="000000" w:sz="8" w:space="0"/>
              <w:bottom w:val="single" w:color="000000" w:sz="8" w:space="0"/>
              <w:right w:val="single" w:color="000000" w:sz="4" w:space="0"/>
            </w:tcBorders>
            <w:noWrap w:val="0"/>
            <w:vAlign w:val="center"/>
          </w:tcPr>
          <w:p w14:paraId="7DFD463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lang w:eastAsia="zh-CN"/>
              </w:rPr>
            </w:pPr>
            <w:r>
              <w:rPr>
                <w:rFonts w:hint="default" w:ascii="Times New Roman" w:hAnsi="Times New Roman" w:eastAsia="宋体" w:cs="Times New Roman"/>
                <w:b w:val="0"/>
                <w:bCs/>
                <w:spacing w:val="-1"/>
                <w:sz w:val="21"/>
                <w:szCs w:val="21"/>
                <w:u w:val="none"/>
                <w:lang w:val="en-US" w:eastAsia="zh-CN"/>
              </w:rPr>
              <w:t>4</w:t>
            </w:r>
          </w:p>
        </w:tc>
        <w:tc>
          <w:tcPr>
            <w:tcW w:w="915" w:type="pct"/>
            <w:tcBorders>
              <w:top w:val="single" w:color="000000" w:sz="4" w:space="0"/>
              <w:left w:val="single" w:color="000000" w:sz="4" w:space="0"/>
              <w:bottom w:val="single" w:color="000000" w:sz="8" w:space="0"/>
              <w:right w:val="single" w:color="000000" w:sz="4" w:space="0"/>
            </w:tcBorders>
            <w:noWrap w:val="0"/>
            <w:vAlign w:val="center"/>
          </w:tcPr>
          <w:p w14:paraId="30DB0ED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lang w:val="en-US" w:eastAsia="zh-CN"/>
              </w:rPr>
              <w:t>厂区</w:t>
            </w:r>
            <w:r>
              <w:rPr>
                <w:rFonts w:hint="default" w:ascii="Times New Roman" w:hAnsi="Times New Roman" w:eastAsia="宋体" w:cs="Times New Roman"/>
                <w:b w:val="0"/>
                <w:bCs/>
                <w:spacing w:val="-1"/>
                <w:sz w:val="21"/>
                <w:szCs w:val="21"/>
                <w:u w:val="none"/>
              </w:rPr>
              <w:t>运输过程</w:t>
            </w:r>
          </w:p>
        </w:tc>
        <w:tc>
          <w:tcPr>
            <w:tcW w:w="1403" w:type="pct"/>
            <w:tcBorders>
              <w:top w:val="single" w:color="000000" w:sz="4" w:space="0"/>
              <w:left w:val="single" w:color="000000" w:sz="4" w:space="0"/>
              <w:bottom w:val="single" w:color="000000" w:sz="8" w:space="0"/>
              <w:right w:val="single" w:color="000000" w:sz="4" w:space="0"/>
            </w:tcBorders>
            <w:noWrap w:val="0"/>
            <w:vAlign w:val="center"/>
          </w:tcPr>
          <w:p w14:paraId="3B50558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①装卸泵</w:t>
            </w:r>
          </w:p>
          <w:p w14:paraId="3559FA3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②罐车罐和连接的软管及阀门</w:t>
            </w:r>
          </w:p>
          <w:p w14:paraId="1621489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③罐车罐管件和开口部位</w:t>
            </w:r>
          </w:p>
        </w:tc>
        <w:tc>
          <w:tcPr>
            <w:tcW w:w="1344" w:type="pct"/>
            <w:tcBorders>
              <w:top w:val="single" w:color="000000" w:sz="4" w:space="0"/>
              <w:left w:val="single" w:color="000000" w:sz="4" w:space="0"/>
              <w:bottom w:val="single" w:color="000000" w:sz="8" w:space="0"/>
              <w:right w:val="single" w:color="000000" w:sz="4" w:space="0"/>
            </w:tcBorders>
            <w:noWrap w:val="0"/>
            <w:vAlign w:val="center"/>
          </w:tcPr>
          <w:p w14:paraId="3676F50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①发生交通事故</w:t>
            </w:r>
          </w:p>
          <w:p w14:paraId="5574346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②连接软管破裂，造成</w:t>
            </w:r>
          </w:p>
          <w:p w14:paraId="097A776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物料泄漏</w:t>
            </w:r>
          </w:p>
        </w:tc>
        <w:tc>
          <w:tcPr>
            <w:tcW w:w="970" w:type="pct"/>
            <w:tcBorders>
              <w:top w:val="single" w:color="000000" w:sz="4" w:space="0"/>
              <w:left w:val="single" w:color="000000" w:sz="4" w:space="0"/>
              <w:bottom w:val="single" w:color="000000" w:sz="8" w:space="0"/>
              <w:right w:val="single" w:color="000000" w:sz="8" w:space="0"/>
            </w:tcBorders>
            <w:noWrap w:val="0"/>
            <w:vAlign w:val="center"/>
          </w:tcPr>
          <w:p w14:paraId="3F5CF32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left"/>
              <w:textAlignment w:val="auto"/>
              <w:rPr>
                <w:rFonts w:hint="default" w:ascii="Times New Roman" w:hAnsi="Times New Roman" w:eastAsia="宋体" w:cs="Times New Roman"/>
                <w:b w:val="0"/>
                <w:bCs/>
                <w:spacing w:val="-1"/>
                <w:sz w:val="21"/>
                <w:szCs w:val="21"/>
                <w:u w:val="none"/>
              </w:rPr>
            </w:pPr>
            <w:r>
              <w:rPr>
                <w:rFonts w:hint="default" w:ascii="Times New Roman" w:hAnsi="Times New Roman" w:eastAsia="宋体" w:cs="Times New Roman"/>
                <w:b w:val="0"/>
                <w:bCs/>
                <w:spacing w:val="-1"/>
                <w:sz w:val="21"/>
                <w:szCs w:val="21"/>
                <w:u w:val="none"/>
              </w:rPr>
              <w:t>泄漏火灾、爆炸</w:t>
            </w:r>
          </w:p>
        </w:tc>
      </w:tr>
    </w:tbl>
    <w:p w14:paraId="108A21CD">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（3）环保设施及辅助生产设施事故因素分析</w:t>
      </w:r>
    </w:p>
    <w:p w14:paraId="393B2699">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①厂区污水处理站</w:t>
      </w:r>
    </w:p>
    <w:p w14:paraId="0279CC52">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项目废水经厂区污水处理站处理后经污水管网排入</w:t>
      </w:r>
      <w:r>
        <w:rPr>
          <w:rFonts w:hint="eastAsia" w:eastAsia="宋体" w:cs="宋体"/>
          <w:b w:val="0"/>
          <w:kern w:val="0"/>
          <w:sz w:val="24"/>
          <w:szCs w:val="20"/>
          <w:lang w:val="en-US" w:eastAsia="zh-CN" w:bidi="ar-SA"/>
        </w:rPr>
        <w:t>获嘉县同盟污水处理厂</w:t>
      </w:r>
      <w:r>
        <w:rPr>
          <w:rFonts w:hint="eastAsia" w:ascii="Times New Roman" w:hAnsi="Times New Roman" w:eastAsia="宋体" w:cs="宋体"/>
          <w:b w:val="0"/>
          <w:kern w:val="0"/>
          <w:sz w:val="24"/>
          <w:szCs w:val="20"/>
          <w:lang w:val="en-US" w:eastAsia="zh-CN" w:bidi="ar-SA"/>
        </w:rPr>
        <w:t>进一步处理，当项目污水处理站非正常运转时，出水未能达标，从而可能对下游污水处理厂造成一定的影响。</w:t>
      </w:r>
    </w:p>
    <w:p w14:paraId="424AEF47">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此外，如果污水处理站的构筑物发生破损，将会导致废水泄漏，会对土壤和地下水造成污染。</w:t>
      </w:r>
    </w:p>
    <w:p w14:paraId="04E6FAD1">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②废气处理设施</w:t>
      </w:r>
    </w:p>
    <w:p w14:paraId="35E17EE5">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废气处理设施非正常运转时，生产过程中所产生的废气将直接排入大气中，造成附近区域短时间内污染物浓度超标，对环境造成一定程度的污染。</w:t>
      </w:r>
    </w:p>
    <w:p w14:paraId="250E6655">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（4）运输过程风险识别</w:t>
      </w:r>
    </w:p>
    <w:p w14:paraId="6A496338">
      <w:pPr>
        <w:pStyle w:val="54"/>
        <w:rPr>
          <w:rFonts w:hint="eastAsia" w:ascii="Times New Roman" w:hAnsi="Times New Roman" w:eastAsia="宋体" w:cs="宋体"/>
          <w:b w:val="0"/>
          <w:kern w:val="0"/>
          <w:sz w:val="24"/>
          <w:szCs w:val="20"/>
          <w:lang w:val="en-US" w:eastAsia="zh-CN" w:bidi="ar-SA"/>
        </w:rPr>
      </w:pPr>
      <w:r>
        <w:rPr>
          <w:rFonts w:hint="eastAsia" w:ascii="Times New Roman" w:hAnsi="Times New Roman" w:eastAsia="宋体" w:cs="宋体"/>
          <w:b w:val="0"/>
          <w:kern w:val="0"/>
          <w:sz w:val="24"/>
          <w:szCs w:val="20"/>
          <w:lang w:val="en-US" w:eastAsia="zh-CN" w:bidi="ar-SA"/>
        </w:rPr>
        <w:t>本项目原辅材料主要通过汽车运输进厂，运输是造成环境风险事故的一个主要环节。运输过程中可能会由于瓶阀松动或破裂、装卸设备故障以及碰撞、翻车等原因造成危险化学品的泄漏，对周边环境造成一定的影响。公路运输存在的风险见下表。</w:t>
      </w:r>
    </w:p>
    <w:p w14:paraId="6513699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6.3-7</w:t>
      </w:r>
      <w:r>
        <w:rPr>
          <w:rFonts w:hint="eastAsia"/>
        </w:rPr>
        <w:t xml:space="preserve">     输过程风险识别</w:t>
      </w:r>
    </w:p>
    <w:tbl>
      <w:tblPr>
        <w:tblStyle w:val="3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963"/>
        <w:gridCol w:w="1523"/>
        <w:gridCol w:w="2206"/>
        <w:gridCol w:w="3676"/>
      </w:tblGrid>
      <w:tr w14:paraId="65ACA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9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4D73FBC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运输方式</w:t>
            </w:r>
          </w:p>
        </w:tc>
        <w:tc>
          <w:tcPr>
            <w:tcW w:w="15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EA9530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风险类型</w:t>
            </w:r>
          </w:p>
        </w:tc>
        <w:tc>
          <w:tcPr>
            <w:tcW w:w="22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15E1F3CE">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危害</w:t>
            </w:r>
          </w:p>
        </w:tc>
        <w:tc>
          <w:tcPr>
            <w:tcW w:w="36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30B3841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rPr>
            </w:pPr>
            <w:r>
              <w:rPr>
                <w:rFonts w:hint="default" w:ascii="Times New Roman" w:hAnsi="Times New Roman" w:cs="Times New Roman"/>
                <w:b/>
                <w:bCs/>
                <w:sz w:val="21"/>
                <w:szCs w:val="24"/>
              </w:rPr>
              <w:t>原因简析</w:t>
            </w:r>
          </w:p>
        </w:tc>
      </w:tr>
      <w:tr w14:paraId="75D2B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96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64D69E9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公路运输</w:t>
            </w:r>
          </w:p>
        </w:tc>
        <w:tc>
          <w:tcPr>
            <w:tcW w:w="15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2569002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泄漏</w:t>
            </w:r>
          </w:p>
        </w:tc>
        <w:tc>
          <w:tcPr>
            <w:tcW w:w="22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48C217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污染陆域、污染地表水</w:t>
            </w:r>
          </w:p>
        </w:tc>
        <w:tc>
          <w:tcPr>
            <w:tcW w:w="36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14:paraId="58D9978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sz w:val="21"/>
                <w:szCs w:val="24"/>
              </w:rPr>
            </w:pPr>
            <w:r>
              <w:rPr>
                <w:rFonts w:hint="default" w:ascii="Times New Roman" w:hAnsi="Times New Roman" w:cs="Times New Roman"/>
                <w:sz w:val="21"/>
                <w:szCs w:val="24"/>
              </w:rPr>
              <w:t>碰撞翻车、装卸设备故障、操作失误</w:t>
            </w:r>
          </w:p>
        </w:tc>
      </w:tr>
    </w:tbl>
    <w:p w14:paraId="6756A464">
      <w:pPr>
        <w:pStyle w:val="16"/>
        <w:keepNext w:val="0"/>
        <w:keepLines w:val="0"/>
        <w:pageBreakBefore w:val="0"/>
        <w:widowControl/>
        <w:kinsoku/>
        <w:wordWrap/>
        <w:overflowPunct/>
        <w:topLinePunct/>
        <w:autoSpaceDE/>
        <w:autoSpaceDN/>
        <w:bidi w:val="0"/>
        <w:adjustRightInd w:val="0"/>
        <w:snapToGrid w:val="0"/>
        <w:spacing w:beforeLines="0" w:afterLines="0" w:line="50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运输车辆、设备、从业人员等需严格按照《危险货物运输规则》和《汽车危险货物运输规则》的要求执行，以降低危险物品运输过程中风险事故的发生概率。</w:t>
      </w:r>
    </w:p>
    <w:p w14:paraId="7169821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6.3.3危险物质向环境转移途径识别</w:t>
      </w:r>
    </w:p>
    <w:p w14:paraId="523F3B01">
      <w:pPr>
        <w:ind w:firstLine="480"/>
      </w:pPr>
      <w:r>
        <w:rPr>
          <w:rFonts w:hint="eastAsia"/>
        </w:rPr>
        <w:t>硫酸、硫酸镍、氯化镍、液压油、硝酸铬在运输过程中，从装卸、运输到贮存，工序长，参与人员多，这些复杂、众多的外界因素是运输过程造成风险的诱发条件。硫酸、硫酸镍、氯化镍、硝酸铬这些物质本身不可燃，因此一般不会发生火灾或爆炸。但这些物质均含有一定毒性，泄漏后会蒸发至大气中并通过大气扩散至周边，通过吸入对人体造成伤害。液压油泄漏挥发性小、迁移性低，可及时被收集。在采取了防治措施后，项目生产不存在液压油进入大气和地表水的情况，但可能会随地面入渗进入地下水；项目不存在硫酸</w:t>
      </w:r>
      <w:r>
        <w:rPr>
          <w:rFonts w:hint="eastAsia"/>
          <w:lang w:eastAsia="zh-CN"/>
        </w:rPr>
        <w:t>、</w:t>
      </w:r>
      <w:r>
        <w:rPr>
          <w:rFonts w:hint="eastAsia"/>
        </w:rPr>
        <w:t>硫酸镍、氯化镍、硝酸铬进入地下水和地表水的情况。因此，本厂的风险类型为泄漏、火灾/爆炸。</w:t>
      </w:r>
    </w:p>
    <w:p w14:paraId="68E050E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6.3.4风险识别结果</w:t>
      </w:r>
    </w:p>
    <w:p w14:paraId="275D68E5">
      <w:pPr>
        <w:ind w:firstLine="480"/>
      </w:pPr>
      <w:r>
        <w:rPr>
          <w:rFonts w:hint="eastAsia"/>
        </w:rPr>
        <w:t>通过详细的分析，项目风险识别结果见下表。</w:t>
      </w:r>
    </w:p>
    <w:p w14:paraId="2258E00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458DEE0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6.3-8</w:t>
      </w:r>
      <w:r>
        <w:rPr>
          <w:rFonts w:hint="eastAsia"/>
        </w:rPr>
        <w:t xml:space="preserve">   本项目危险物质储存情况及分布一览表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390"/>
        <w:gridCol w:w="910"/>
        <w:gridCol w:w="996"/>
        <w:gridCol w:w="1418"/>
        <w:gridCol w:w="994"/>
        <w:gridCol w:w="990"/>
        <w:gridCol w:w="1586"/>
        <w:gridCol w:w="1085"/>
      </w:tblGrid>
      <w:tr w14:paraId="03020C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0" w:type="auto"/>
            <w:vAlign w:val="center"/>
          </w:tcPr>
          <w:p w14:paraId="70F0B43E">
            <w:pPr>
              <w:pStyle w:val="81"/>
              <w:rPr>
                <w:color w:val="auto"/>
              </w:rPr>
            </w:pPr>
            <w:r>
              <w:rPr>
                <w:rFonts w:hint="eastAsia"/>
                <w:color w:val="auto"/>
              </w:rPr>
              <w:t>序号</w:t>
            </w:r>
          </w:p>
        </w:tc>
        <w:tc>
          <w:tcPr>
            <w:tcW w:w="902" w:type="dxa"/>
            <w:vAlign w:val="center"/>
          </w:tcPr>
          <w:p w14:paraId="5D3F8F7B">
            <w:pPr>
              <w:pStyle w:val="81"/>
              <w:rPr>
                <w:color w:val="auto"/>
              </w:rPr>
            </w:pPr>
            <w:r>
              <w:rPr>
                <w:rFonts w:hint="eastAsia"/>
                <w:color w:val="auto"/>
              </w:rPr>
              <w:t>危险单元</w:t>
            </w:r>
          </w:p>
        </w:tc>
        <w:tc>
          <w:tcPr>
            <w:tcW w:w="987" w:type="dxa"/>
            <w:vAlign w:val="center"/>
          </w:tcPr>
          <w:p w14:paraId="6A703D52">
            <w:pPr>
              <w:pStyle w:val="81"/>
              <w:rPr>
                <w:color w:val="auto"/>
              </w:rPr>
            </w:pPr>
            <w:r>
              <w:rPr>
                <w:rFonts w:hint="eastAsia"/>
                <w:color w:val="auto"/>
              </w:rPr>
              <w:t>风险源</w:t>
            </w:r>
          </w:p>
        </w:tc>
        <w:tc>
          <w:tcPr>
            <w:tcW w:w="1405" w:type="dxa"/>
            <w:vAlign w:val="center"/>
          </w:tcPr>
          <w:p w14:paraId="6EED523F">
            <w:pPr>
              <w:pStyle w:val="81"/>
              <w:rPr>
                <w:color w:val="auto"/>
              </w:rPr>
            </w:pPr>
            <w:r>
              <w:rPr>
                <w:rFonts w:hint="eastAsia"/>
                <w:color w:val="auto"/>
              </w:rPr>
              <w:t>危险物质</w:t>
            </w:r>
          </w:p>
        </w:tc>
        <w:tc>
          <w:tcPr>
            <w:tcW w:w="985" w:type="dxa"/>
            <w:vAlign w:val="center"/>
          </w:tcPr>
          <w:p w14:paraId="21792476">
            <w:pPr>
              <w:pStyle w:val="81"/>
              <w:rPr>
                <w:color w:val="auto"/>
              </w:rPr>
            </w:pPr>
            <w:r>
              <w:rPr>
                <w:rFonts w:hint="eastAsia"/>
                <w:color w:val="auto"/>
              </w:rPr>
              <w:t>环境风险类型</w:t>
            </w:r>
          </w:p>
        </w:tc>
        <w:tc>
          <w:tcPr>
            <w:tcW w:w="981" w:type="dxa"/>
            <w:vAlign w:val="center"/>
          </w:tcPr>
          <w:p w14:paraId="3F789A29">
            <w:pPr>
              <w:pStyle w:val="81"/>
              <w:rPr>
                <w:color w:val="auto"/>
              </w:rPr>
            </w:pPr>
            <w:r>
              <w:rPr>
                <w:rFonts w:hint="eastAsia"/>
                <w:color w:val="auto"/>
              </w:rPr>
              <w:t>环境影响途径</w:t>
            </w:r>
          </w:p>
        </w:tc>
        <w:tc>
          <w:tcPr>
            <w:tcW w:w="1572" w:type="dxa"/>
            <w:vAlign w:val="center"/>
          </w:tcPr>
          <w:p w14:paraId="10BEE1D3">
            <w:pPr>
              <w:pStyle w:val="81"/>
              <w:rPr>
                <w:color w:val="auto"/>
              </w:rPr>
            </w:pPr>
            <w:r>
              <w:rPr>
                <w:rFonts w:hint="eastAsia"/>
                <w:color w:val="auto"/>
              </w:rPr>
              <w:t>可能受影响的环境敏感目标</w:t>
            </w:r>
          </w:p>
        </w:tc>
        <w:tc>
          <w:tcPr>
            <w:tcW w:w="0" w:type="auto"/>
            <w:vAlign w:val="center"/>
          </w:tcPr>
          <w:p w14:paraId="05EA27B5">
            <w:pPr>
              <w:pStyle w:val="81"/>
              <w:rPr>
                <w:color w:val="auto"/>
              </w:rPr>
            </w:pPr>
            <w:r>
              <w:rPr>
                <w:rFonts w:hint="eastAsia"/>
                <w:color w:val="auto"/>
              </w:rPr>
              <w:t>风险源主要参数</w:t>
            </w:r>
          </w:p>
        </w:tc>
      </w:tr>
      <w:tr w14:paraId="4FB6E5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6" w:type="dxa"/>
            <w:vMerge w:val="restart"/>
            <w:vAlign w:val="center"/>
          </w:tcPr>
          <w:p w14:paraId="009C76ED">
            <w:pPr>
              <w:pStyle w:val="75"/>
              <w:rPr>
                <w:szCs w:val="20"/>
              </w:rPr>
            </w:pPr>
            <w:r>
              <w:t>1</w:t>
            </w:r>
          </w:p>
        </w:tc>
        <w:tc>
          <w:tcPr>
            <w:tcW w:w="902" w:type="dxa"/>
            <w:vMerge w:val="restart"/>
            <w:vAlign w:val="center"/>
          </w:tcPr>
          <w:p w14:paraId="0D8B11C2">
            <w:pPr>
              <w:pStyle w:val="75"/>
              <w:rPr>
                <w:szCs w:val="20"/>
              </w:rPr>
            </w:pPr>
            <w:r>
              <w:rPr>
                <w:rFonts w:hint="eastAsia"/>
              </w:rPr>
              <w:t>化学品库</w:t>
            </w:r>
          </w:p>
        </w:tc>
        <w:tc>
          <w:tcPr>
            <w:tcW w:w="987" w:type="dxa"/>
            <w:vMerge w:val="restart"/>
            <w:vAlign w:val="center"/>
          </w:tcPr>
          <w:p w14:paraId="2B34F7AB">
            <w:pPr>
              <w:pStyle w:val="75"/>
              <w:rPr>
                <w:szCs w:val="20"/>
              </w:rPr>
            </w:pPr>
            <w:r>
              <w:rPr>
                <w:rFonts w:hint="eastAsia"/>
              </w:rPr>
              <w:t>危险物质储存区</w:t>
            </w:r>
          </w:p>
        </w:tc>
        <w:tc>
          <w:tcPr>
            <w:tcW w:w="1405" w:type="dxa"/>
            <w:vAlign w:val="center"/>
          </w:tcPr>
          <w:p w14:paraId="2A0E2AAE">
            <w:pPr>
              <w:pStyle w:val="75"/>
              <w:jc w:val="left"/>
              <w:rPr>
                <w:szCs w:val="20"/>
              </w:rPr>
            </w:pPr>
            <w:r>
              <w:rPr>
                <w:rFonts w:hint="eastAsia"/>
              </w:rPr>
              <w:t>硫酸、硫酸镍、氯化镍、硝酸铬</w:t>
            </w:r>
          </w:p>
        </w:tc>
        <w:tc>
          <w:tcPr>
            <w:tcW w:w="985" w:type="dxa"/>
            <w:vAlign w:val="center"/>
          </w:tcPr>
          <w:p w14:paraId="7C880CCE">
            <w:pPr>
              <w:pStyle w:val="75"/>
              <w:rPr>
                <w:szCs w:val="20"/>
              </w:rPr>
            </w:pPr>
            <w:r>
              <w:rPr>
                <w:rFonts w:hint="eastAsia"/>
              </w:rPr>
              <w:t>泄漏</w:t>
            </w:r>
          </w:p>
        </w:tc>
        <w:tc>
          <w:tcPr>
            <w:tcW w:w="981" w:type="dxa"/>
            <w:vMerge w:val="restart"/>
            <w:vAlign w:val="center"/>
          </w:tcPr>
          <w:p w14:paraId="0A603280">
            <w:pPr>
              <w:pStyle w:val="75"/>
              <w:rPr>
                <w:szCs w:val="20"/>
              </w:rPr>
            </w:pPr>
            <w:r>
              <w:rPr>
                <w:rFonts w:hint="eastAsia"/>
              </w:rPr>
              <w:t>空气传播</w:t>
            </w:r>
          </w:p>
        </w:tc>
        <w:tc>
          <w:tcPr>
            <w:tcW w:w="1572" w:type="dxa"/>
            <w:vMerge w:val="restart"/>
            <w:vAlign w:val="center"/>
          </w:tcPr>
          <w:p w14:paraId="277E0F20">
            <w:pPr>
              <w:pStyle w:val="75"/>
              <w:jc w:val="left"/>
            </w:pPr>
            <w:r>
              <w:rPr>
                <w:rFonts w:hint="eastAsia"/>
              </w:rPr>
              <w:t>厂区</w:t>
            </w:r>
            <w:r>
              <w:t>5km</w:t>
            </w:r>
            <w:r>
              <w:rPr>
                <w:rFonts w:hint="eastAsia"/>
              </w:rPr>
              <w:t>范围内的大气环境敏感点</w:t>
            </w:r>
            <w:r>
              <w:t xml:space="preserve"> </w:t>
            </w:r>
          </w:p>
        </w:tc>
        <w:tc>
          <w:tcPr>
            <w:tcW w:w="1075" w:type="dxa"/>
            <w:vMerge w:val="restart"/>
            <w:vAlign w:val="center"/>
          </w:tcPr>
          <w:p w14:paraId="2A170210">
            <w:pPr>
              <w:pStyle w:val="75"/>
            </w:pPr>
            <w:r>
              <w:rPr>
                <w:rFonts w:hint="eastAsia"/>
              </w:rPr>
              <w:t>常温、常压</w:t>
            </w:r>
          </w:p>
        </w:tc>
      </w:tr>
      <w:tr w14:paraId="61A52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6" w:type="dxa"/>
            <w:vMerge w:val="continue"/>
            <w:vAlign w:val="center"/>
          </w:tcPr>
          <w:p w14:paraId="3691F000">
            <w:pPr>
              <w:pStyle w:val="75"/>
            </w:pPr>
          </w:p>
        </w:tc>
        <w:tc>
          <w:tcPr>
            <w:tcW w:w="902" w:type="dxa"/>
            <w:vMerge w:val="continue"/>
            <w:vAlign w:val="center"/>
          </w:tcPr>
          <w:p w14:paraId="17B1014D">
            <w:pPr>
              <w:pStyle w:val="75"/>
            </w:pPr>
          </w:p>
        </w:tc>
        <w:tc>
          <w:tcPr>
            <w:tcW w:w="987" w:type="dxa"/>
            <w:vMerge w:val="continue"/>
            <w:vAlign w:val="center"/>
          </w:tcPr>
          <w:p w14:paraId="7C8B9D84">
            <w:pPr>
              <w:pStyle w:val="75"/>
            </w:pPr>
          </w:p>
        </w:tc>
        <w:tc>
          <w:tcPr>
            <w:tcW w:w="1405" w:type="dxa"/>
            <w:vAlign w:val="center"/>
          </w:tcPr>
          <w:p w14:paraId="1326DA26">
            <w:pPr>
              <w:pStyle w:val="75"/>
            </w:pPr>
            <w:r>
              <w:rPr>
                <w:rFonts w:hint="eastAsia"/>
              </w:rPr>
              <w:t>液压油</w:t>
            </w:r>
          </w:p>
        </w:tc>
        <w:tc>
          <w:tcPr>
            <w:tcW w:w="985" w:type="dxa"/>
            <w:vAlign w:val="center"/>
          </w:tcPr>
          <w:p w14:paraId="548BADC2">
            <w:pPr>
              <w:pStyle w:val="75"/>
            </w:pPr>
            <w:r>
              <w:rPr>
                <w:rFonts w:hint="eastAsia"/>
              </w:rPr>
              <w:t>泄漏、火灾/爆炸</w:t>
            </w:r>
          </w:p>
        </w:tc>
        <w:tc>
          <w:tcPr>
            <w:tcW w:w="981" w:type="dxa"/>
            <w:vMerge w:val="continue"/>
            <w:vAlign w:val="center"/>
          </w:tcPr>
          <w:p w14:paraId="0D95D009">
            <w:pPr>
              <w:pStyle w:val="75"/>
            </w:pPr>
          </w:p>
        </w:tc>
        <w:tc>
          <w:tcPr>
            <w:tcW w:w="1572" w:type="dxa"/>
            <w:vMerge w:val="continue"/>
            <w:vAlign w:val="center"/>
          </w:tcPr>
          <w:p w14:paraId="475A939B">
            <w:pPr>
              <w:pStyle w:val="75"/>
            </w:pPr>
          </w:p>
        </w:tc>
        <w:tc>
          <w:tcPr>
            <w:tcW w:w="1075" w:type="dxa"/>
            <w:vMerge w:val="continue"/>
            <w:vAlign w:val="center"/>
          </w:tcPr>
          <w:p w14:paraId="78DD6CD5">
            <w:pPr>
              <w:pStyle w:val="75"/>
            </w:pPr>
          </w:p>
        </w:tc>
      </w:tr>
    </w:tbl>
    <w:p w14:paraId="7C57D3CE">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11" w:name="_Toc22104"/>
      <w:bookmarkStart w:id="612" w:name="_Toc108122586"/>
      <w:bookmarkStart w:id="613" w:name="_Toc170108259"/>
      <w:r>
        <w:rPr>
          <w:rFonts w:hint="eastAsia"/>
          <w:lang w:val="en-US" w:eastAsia="zh-CN"/>
        </w:rPr>
        <w:t>6.4风险事故情形分析</w:t>
      </w:r>
      <w:bookmarkEnd w:id="611"/>
    </w:p>
    <w:bookmarkEnd w:id="612"/>
    <w:bookmarkEnd w:id="613"/>
    <w:p w14:paraId="7A53BD1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6.4.1风险事故情形设定</w:t>
      </w:r>
    </w:p>
    <w:p w14:paraId="65E11406">
      <w:pPr>
        <w:pStyle w:val="72"/>
        <w:rPr>
          <w:rFonts w:hint="default" w:eastAsia="宋体"/>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危险物质泄漏</w:t>
      </w:r>
    </w:p>
    <w:p w14:paraId="1A494839">
      <w:pPr>
        <w:pStyle w:val="72"/>
      </w:pPr>
      <w:r>
        <w:rPr>
          <w:rFonts w:hint="eastAsia"/>
        </w:rPr>
        <w:t>化学品库</w:t>
      </w:r>
      <w:r>
        <w:t>内</w:t>
      </w:r>
      <w:r>
        <w:rPr>
          <w:rFonts w:hint="eastAsia"/>
        </w:rPr>
        <w:t>固体</w:t>
      </w:r>
      <w:r>
        <w:t>类化学品</w:t>
      </w:r>
      <w:r>
        <w:rPr>
          <w:rFonts w:hint="eastAsia"/>
        </w:rPr>
        <w:t>为硫酸镍、氯化镍、硝酸铬，破损后能够及时发现。小量泄漏用洁净的铲子收集于干燥、洁净、有盖的不发生反应的容器中，之后用大量水冲洗，废水放入含镍废水处理系统；大量泄漏收集</w:t>
      </w:r>
      <w:r>
        <w:t>作为危险废物处理</w:t>
      </w:r>
      <w:r>
        <w:rPr>
          <w:rFonts w:hint="eastAsia"/>
        </w:rPr>
        <w:t>或进入事故水池待含镍废水处理系统处理后回用。硫酸镍、氯化镍、硝酸铬为固体</w:t>
      </w:r>
      <w:r>
        <w:t>类化学品</w:t>
      </w:r>
      <w:r>
        <w:rPr>
          <w:rFonts w:hint="eastAsia"/>
        </w:rPr>
        <w:t>，在严格按照规范处理后，不会对周围环境产生影响。</w:t>
      </w:r>
    </w:p>
    <w:p w14:paraId="103743FA">
      <w:pPr>
        <w:pStyle w:val="72"/>
      </w:pPr>
      <w:r>
        <w:rPr>
          <w:rFonts w:hint="eastAsia"/>
        </w:rPr>
        <w:t>液体类化学品：硫酸储罐最大含液量为4t；液压油单桶最大含液体为100kg，则最大泄漏量为</w:t>
      </w:r>
      <w:r>
        <w:rPr>
          <w:rFonts w:hint="eastAsia"/>
          <w:lang w:val="en-US" w:eastAsia="zh-CN"/>
        </w:rPr>
        <w:t>4</w:t>
      </w:r>
      <w:r>
        <w:rPr>
          <w:rFonts w:hint="eastAsia"/>
        </w:rPr>
        <w:t>t的</w:t>
      </w:r>
      <w:r>
        <w:rPr>
          <w:rFonts w:hint="eastAsia"/>
          <w:lang w:val="en-US" w:eastAsia="zh-CN"/>
        </w:rPr>
        <w:t>硫酸</w:t>
      </w:r>
      <w:r>
        <w:rPr>
          <w:rFonts w:hint="eastAsia"/>
        </w:rPr>
        <w:t>储罐。储罐采用抗腐蚀、耐高压的玻璃钢制作。化学品库</w:t>
      </w:r>
      <w:r>
        <w:t>地面应采取防渗防腐处理，并设置</w:t>
      </w:r>
      <w:r>
        <w:rPr>
          <w:rFonts w:hint="eastAsia"/>
        </w:rPr>
        <w:t>围堰和</w:t>
      </w:r>
      <w:r>
        <w:t>托盘，能防止泄漏液体渗漏和腐蚀，</w:t>
      </w:r>
      <w:r>
        <w:rPr>
          <w:rFonts w:hint="eastAsia"/>
        </w:rPr>
        <w:t>化学品库</w:t>
      </w:r>
      <w:r>
        <w:t>内应配备吸收棉对泄漏液体进行围堵和吸收，处理后的泄漏物放置于防渗漏桶内作为危险废物处理</w:t>
      </w:r>
      <w:r>
        <w:rPr>
          <w:rFonts w:hint="eastAsia"/>
        </w:rPr>
        <w:t>或进入事故水池待处理后达标排放。</w:t>
      </w:r>
    </w:p>
    <w:p w14:paraId="76B52C42">
      <w:pPr>
        <w:pStyle w:val="72"/>
        <w:rPr>
          <w:rFonts w:hint="eastAsia"/>
        </w:rPr>
      </w:pPr>
      <w:r>
        <w:rPr>
          <w:rFonts w:hint="eastAsia"/>
        </w:rPr>
        <w:t>液压油的粘度较大，不容易下渗，渗漏污染物通过包气带时间较长，污染物在包气带中的吸附、降解量较大，仅会有小部分污染物继续向下迁移。本项目位于冲积平原区，地下水补给主要靠纵向的大气降水和地表水沉降，受地下水横向流向补给微弱，且考虑到液压油发生泄漏可以及时发现并处理，泄漏的物料不会直接下渗进入土壤和地下水。</w:t>
      </w:r>
    </w:p>
    <w:p w14:paraId="7A38A026">
      <w:pPr>
        <w:pStyle w:val="72"/>
      </w:pPr>
      <w:r>
        <w:rPr>
          <w:rFonts w:hint="eastAsia"/>
        </w:rPr>
        <w:t>因此，本项目运营期液压油泄漏对项目所在区域地下水的影响较小；但泄漏液体硫酸在处理之前会不断蒸发出气体并扩散，造成大气污染。</w:t>
      </w:r>
    </w:p>
    <w:p w14:paraId="6078E6D2">
      <w:pPr>
        <w:pStyle w:val="72"/>
        <w:rPr>
          <w:rFonts w:hint="eastAsia"/>
        </w:rPr>
      </w:pPr>
      <w:r>
        <w:rPr>
          <w:rFonts w:hint="eastAsia"/>
        </w:rPr>
        <w:t>（2）生产线槽液泄漏</w:t>
      </w:r>
    </w:p>
    <w:p w14:paraId="248D4D4B">
      <w:pPr>
        <w:pStyle w:val="72"/>
        <w:rPr>
          <w:rFonts w:hint="eastAsia"/>
        </w:rPr>
      </w:pPr>
      <w:r>
        <w:rPr>
          <w:rFonts w:hint="eastAsia"/>
        </w:rPr>
        <w:t>本项目生产线槽液中含有硫酸、重金属等危险物质，当电镀槽、水洗槽密封不严、维修不及时及操作不当都可能引起槽液泄漏。项目电镀槽下设置有托盘，同时车间地面均做防腐防渗处理，评价建议在每个电镀车间设置导流明渠和备用空槽。槽液泄漏时，导流明渠可有效对泄漏镀液进行收集，收集的槽液及时抽入备用空槽，可有效保证泄漏的槽液不会流入雨水和污水管网，避免槽液流出厂外对当地水环境质量产生影响。</w:t>
      </w:r>
    </w:p>
    <w:p w14:paraId="657F263A">
      <w:pPr>
        <w:pStyle w:val="72"/>
        <w:rPr>
          <w:rFonts w:hint="eastAsia"/>
        </w:rPr>
      </w:pPr>
      <w:r>
        <w:rPr>
          <w:rFonts w:hint="eastAsia"/>
        </w:rPr>
        <w:t>（3）环保设施运行异常</w:t>
      </w:r>
    </w:p>
    <w:p w14:paraId="5BD97DDB">
      <w:pPr>
        <w:pStyle w:val="72"/>
        <w:rPr>
          <w:rFonts w:hint="eastAsia"/>
        </w:rPr>
      </w:pPr>
      <w:r>
        <w:rPr>
          <w:rFonts w:hint="eastAsia"/>
        </w:rPr>
        <w:t>当废水、废气治理设施运行异常，可能导致大气、水污染物超标排放，对周围环境造成影响。非正常工况已在工程分析章节及预测章节进行分析，本章节不再进行赘述。</w:t>
      </w:r>
    </w:p>
    <w:p w14:paraId="30B94EB9">
      <w:pPr>
        <w:pStyle w:val="72"/>
      </w:pPr>
      <w:r>
        <w:rPr>
          <w:rFonts w:hint="eastAsia"/>
        </w:rPr>
        <w:t>根据《</w:t>
      </w:r>
      <w:r>
        <w:t>建设项目环境风险评价技术导则</w:t>
      </w:r>
      <w:r>
        <w:rPr>
          <w:rFonts w:hint="eastAsia"/>
        </w:rPr>
        <w:t>》（HJ169-2018）中附录E中的推荐值，泄漏频率如下表。</w:t>
      </w:r>
    </w:p>
    <w:p w14:paraId="101599A8">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w:t>
      </w:r>
      <w:r>
        <w:rPr>
          <w:rFonts w:hint="eastAsia"/>
          <w:lang w:val="en-US" w:eastAsia="zh-CN"/>
        </w:rPr>
        <w:t>6.4-1</w:t>
      </w:r>
      <w:r>
        <w:rPr>
          <w:rFonts w:hint="eastAsia"/>
        </w:rPr>
        <w:t xml:space="preserve">    </w:t>
      </w:r>
      <w:r>
        <w:rPr>
          <w:rFonts w:hint="eastAsia"/>
          <w:lang w:val="en-US" w:eastAsia="zh-CN"/>
        </w:rPr>
        <w:t>事</w:t>
      </w:r>
      <w:r>
        <w:rPr>
          <w:rFonts w:hint="eastAsia"/>
        </w:rPr>
        <w:t>故原因频率一览表</w:t>
      </w:r>
    </w:p>
    <w:tbl>
      <w:tblPr>
        <w:tblStyle w:val="39"/>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99"/>
        <w:gridCol w:w="2762"/>
        <w:gridCol w:w="2543"/>
      </w:tblGrid>
      <w:tr w14:paraId="6F83A6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Align w:val="center"/>
          </w:tcPr>
          <w:p w14:paraId="0A3AD1ED">
            <w:pPr>
              <w:pStyle w:val="132"/>
              <w:spacing w:line="240" w:lineRule="auto"/>
              <w:ind w:firstLine="0"/>
              <w:jc w:val="center"/>
              <w:rPr>
                <w:rFonts w:hAnsi="Times New Roman"/>
                <w:b/>
                <w:bCs/>
                <w:kern w:val="21"/>
                <w:sz w:val="21"/>
                <w:szCs w:val="21"/>
              </w:rPr>
            </w:pPr>
            <w:r>
              <w:rPr>
                <w:rFonts w:hAnsi="Times New Roman"/>
                <w:b/>
                <w:bCs/>
                <w:kern w:val="21"/>
                <w:sz w:val="21"/>
                <w:szCs w:val="21"/>
              </w:rPr>
              <w:t>部件类型</w:t>
            </w:r>
          </w:p>
        </w:tc>
        <w:tc>
          <w:tcPr>
            <w:tcW w:w="2762" w:type="dxa"/>
            <w:vAlign w:val="center"/>
          </w:tcPr>
          <w:p w14:paraId="0D9417B0">
            <w:pPr>
              <w:pStyle w:val="132"/>
              <w:spacing w:line="240" w:lineRule="auto"/>
              <w:ind w:firstLine="0"/>
              <w:jc w:val="center"/>
              <w:rPr>
                <w:rFonts w:hAnsi="Times New Roman"/>
                <w:b/>
                <w:bCs/>
                <w:kern w:val="21"/>
                <w:sz w:val="21"/>
                <w:szCs w:val="21"/>
              </w:rPr>
            </w:pPr>
            <w:r>
              <w:rPr>
                <w:rFonts w:hAnsi="Times New Roman"/>
                <w:b/>
                <w:bCs/>
                <w:kern w:val="21"/>
                <w:sz w:val="21"/>
                <w:szCs w:val="21"/>
              </w:rPr>
              <w:t>泄漏模式</w:t>
            </w:r>
          </w:p>
        </w:tc>
        <w:tc>
          <w:tcPr>
            <w:tcW w:w="2543" w:type="dxa"/>
            <w:vAlign w:val="center"/>
          </w:tcPr>
          <w:p w14:paraId="055D8352">
            <w:pPr>
              <w:pStyle w:val="132"/>
              <w:spacing w:line="240" w:lineRule="auto"/>
              <w:ind w:firstLine="0"/>
              <w:jc w:val="center"/>
              <w:rPr>
                <w:rFonts w:hAnsi="Times New Roman"/>
                <w:b/>
                <w:bCs/>
                <w:kern w:val="21"/>
                <w:sz w:val="21"/>
                <w:szCs w:val="21"/>
              </w:rPr>
            </w:pPr>
            <w:r>
              <w:rPr>
                <w:rFonts w:hAnsi="Times New Roman"/>
                <w:b/>
                <w:bCs/>
                <w:kern w:val="21"/>
                <w:sz w:val="21"/>
                <w:szCs w:val="21"/>
              </w:rPr>
              <w:t>泄漏频率</w:t>
            </w:r>
          </w:p>
        </w:tc>
      </w:tr>
      <w:tr w14:paraId="4F6FF0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restart"/>
            <w:vAlign w:val="center"/>
          </w:tcPr>
          <w:p w14:paraId="2887E799">
            <w:pPr>
              <w:pStyle w:val="132"/>
              <w:spacing w:line="240" w:lineRule="auto"/>
              <w:ind w:firstLine="0"/>
              <w:jc w:val="center"/>
              <w:rPr>
                <w:rFonts w:hAnsi="Times New Roman"/>
                <w:kern w:val="21"/>
                <w:sz w:val="21"/>
                <w:szCs w:val="21"/>
              </w:rPr>
            </w:pPr>
            <w:r>
              <w:rPr>
                <w:rFonts w:hAnsi="Times New Roman"/>
                <w:kern w:val="21"/>
                <w:sz w:val="21"/>
                <w:szCs w:val="21"/>
              </w:rPr>
              <w:t>反应器/工艺储罐/气体储罐/塔器</w:t>
            </w:r>
          </w:p>
        </w:tc>
        <w:tc>
          <w:tcPr>
            <w:tcW w:w="2762" w:type="dxa"/>
            <w:vAlign w:val="center"/>
          </w:tcPr>
          <w:p w14:paraId="00CC9C3F">
            <w:pPr>
              <w:pStyle w:val="132"/>
              <w:spacing w:line="240" w:lineRule="auto"/>
              <w:ind w:firstLine="0"/>
              <w:jc w:val="center"/>
              <w:rPr>
                <w:rFonts w:hAnsi="Times New Roman"/>
                <w:kern w:val="21"/>
                <w:sz w:val="21"/>
                <w:szCs w:val="21"/>
              </w:rPr>
            </w:pPr>
            <w:r>
              <w:rPr>
                <w:rFonts w:hAnsi="Times New Roman"/>
                <w:kern w:val="21"/>
                <w:sz w:val="21"/>
                <w:szCs w:val="21"/>
              </w:rPr>
              <w:t>泄漏孔径为10mm孔径</w:t>
            </w:r>
          </w:p>
        </w:tc>
        <w:tc>
          <w:tcPr>
            <w:tcW w:w="2543" w:type="dxa"/>
            <w:vAlign w:val="center"/>
          </w:tcPr>
          <w:p w14:paraId="4492D130">
            <w:pPr>
              <w:pStyle w:val="132"/>
              <w:spacing w:line="240" w:lineRule="auto"/>
              <w:ind w:firstLine="0"/>
              <w:jc w:val="center"/>
              <w:rPr>
                <w:rFonts w:hAnsi="Times New Roman"/>
                <w:kern w:val="21"/>
                <w:sz w:val="21"/>
                <w:szCs w:val="21"/>
              </w:rPr>
            </w:pPr>
            <w:r>
              <w:rPr>
                <w:rFonts w:hAnsi="Times New Roman"/>
                <w:kern w:val="21"/>
                <w:sz w:val="21"/>
                <w:szCs w:val="21"/>
              </w:rPr>
              <w:t>1×10</w:t>
            </w:r>
            <w:r>
              <w:rPr>
                <w:rFonts w:hAnsi="Times New Roman"/>
                <w:kern w:val="21"/>
                <w:sz w:val="21"/>
                <w:szCs w:val="21"/>
                <w:vertAlign w:val="superscript"/>
              </w:rPr>
              <w:t>-4</w:t>
            </w:r>
            <w:r>
              <w:rPr>
                <w:rFonts w:hAnsi="Times New Roman"/>
                <w:kern w:val="21"/>
                <w:sz w:val="21"/>
                <w:szCs w:val="21"/>
              </w:rPr>
              <w:t>/a</w:t>
            </w:r>
          </w:p>
        </w:tc>
      </w:tr>
      <w:tr w14:paraId="7B81F6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continue"/>
            <w:vAlign w:val="center"/>
          </w:tcPr>
          <w:p w14:paraId="14586728">
            <w:pPr>
              <w:pStyle w:val="132"/>
              <w:spacing w:line="240" w:lineRule="auto"/>
              <w:ind w:firstLine="0"/>
              <w:jc w:val="center"/>
              <w:rPr>
                <w:rFonts w:hAnsi="Times New Roman"/>
                <w:kern w:val="21"/>
                <w:sz w:val="21"/>
                <w:szCs w:val="21"/>
              </w:rPr>
            </w:pPr>
          </w:p>
        </w:tc>
        <w:tc>
          <w:tcPr>
            <w:tcW w:w="2762" w:type="dxa"/>
            <w:vAlign w:val="center"/>
          </w:tcPr>
          <w:p w14:paraId="1E7A33DD">
            <w:pPr>
              <w:pStyle w:val="132"/>
              <w:spacing w:line="240" w:lineRule="auto"/>
              <w:ind w:firstLine="0"/>
              <w:jc w:val="center"/>
              <w:rPr>
                <w:rFonts w:hAnsi="Times New Roman"/>
                <w:kern w:val="21"/>
                <w:sz w:val="21"/>
                <w:szCs w:val="21"/>
              </w:rPr>
            </w:pPr>
            <w:r>
              <w:rPr>
                <w:rFonts w:hAnsi="Times New Roman"/>
                <w:kern w:val="21"/>
                <w:sz w:val="21"/>
                <w:szCs w:val="21"/>
              </w:rPr>
              <w:t>10min内储罐泄漏完</w:t>
            </w:r>
          </w:p>
        </w:tc>
        <w:tc>
          <w:tcPr>
            <w:tcW w:w="2543" w:type="dxa"/>
            <w:vAlign w:val="center"/>
          </w:tcPr>
          <w:p w14:paraId="51245FF4">
            <w:pPr>
              <w:pStyle w:val="132"/>
              <w:spacing w:line="240" w:lineRule="auto"/>
              <w:ind w:firstLine="0"/>
              <w:jc w:val="center"/>
              <w:rPr>
                <w:rFonts w:hAnsi="Times New Roman"/>
                <w:kern w:val="21"/>
                <w:sz w:val="21"/>
                <w:szCs w:val="21"/>
              </w:rPr>
            </w:pPr>
            <w:r>
              <w:rPr>
                <w:rFonts w:hAnsi="Times New Roman"/>
                <w:kern w:val="21"/>
                <w:sz w:val="21"/>
                <w:szCs w:val="21"/>
              </w:rPr>
              <w:t>5×10</w:t>
            </w:r>
            <w:r>
              <w:rPr>
                <w:rFonts w:hAnsi="Times New Roman"/>
                <w:kern w:val="21"/>
                <w:sz w:val="21"/>
                <w:szCs w:val="21"/>
                <w:vertAlign w:val="superscript"/>
              </w:rPr>
              <w:t>-6</w:t>
            </w:r>
            <w:r>
              <w:rPr>
                <w:rFonts w:hAnsi="Times New Roman"/>
                <w:kern w:val="21"/>
                <w:sz w:val="21"/>
                <w:szCs w:val="21"/>
              </w:rPr>
              <w:t>/a</w:t>
            </w:r>
          </w:p>
        </w:tc>
      </w:tr>
      <w:tr w14:paraId="195AD6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continue"/>
            <w:vAlign w:val="center"/>
          </w:tcPr>
          <w:p w14:paraId="43CAEA7C">
            <w:pPr>
              <w:pStyle w:val="132"/>
              <w:spacing w:line="240" w:lineRule="auto"/>
              <w:ind w:firstLine="0"/>
              <w:jc w:val="center"/>
              <w:rPr>
                <w:rFonts w:hAnsi="Times New Roman"/>
                <w:kern w:val="21"/>
                <w:sz w:val="21"/>
                <w:szCs w:val="21"/>
              </w:rPr>
            </w:pPr>
          </w:p>
        </w:tc>
        <w:tc>
          <w:tcPr>
            <w:tcW w:w="2762" w:type="dxa"/>
            <w:vAlign w:val="center"/>
          </w:tcPr>
          <w:p w14:paraId="5A9262F3">
            <w:pPr>
              <w:pStyle w:val="132"/>
              <w:spacing w:line="240" w:lineRule="auto"/>
              <w:ind w:firstLine="0"/>
              <w:jc w:val="center"/>
              <w:rPr>
                <w:rFonts w:hAnsi="Times New Roman"/>
                <w:kern w:val="21"/>
                <w:sz w:val="21"/>
                <w:szCs w:val="21"/>
              </w:rPr>
            </w:pPr>
            <w:r>
              <w:rPr>
                <w:rFonts w:hAnsi="Times New Roman"/>
                <w:kern w:val="21"/>
                <w:sz w:val="21"/>
                <w:szCs w:val="21"/>
              </w:rPr>
              <w:t>储罐全破裂</w:t>
            </w:r>
          </w:p>
        </w:tc>
        <w:tc>
          <w:tcPr>
            <w:tcW w:w="2543" w:type="dxa"/>
            <w:vAlign w:val="center"/>
          </w:tcPr>
          <w:p w14:paraId="3CEADE31">
            <w:pPr>
              <w:pStyle w:val="132"/>
              <w:spacing w:line="240" w:lineRule="auto"/>
              <w:ind w:firstLine="0"/>
              <w:jc w:val="center"/>
              <w:rPr>
                <w:rFonts w:hAnsi="Times New Roman"/>
                <w:kern w:val="21"/>
                <w:sz w:val="21"/>
                <w:szCs w:val="21"/>
              </w:rPr>
            </w:pPr>
            <w:r>
              <w:rPr>
                <w:rFonts w:hAnsi="Times New Roman"/>
                <w:kern w:val="21"/>
                <w:sz w:val="21"/>
                <w:szCs w:val="21"/>
              </w:rPr>
              <w:t>5×10</w:t>
            </w:r>
            <w:r>
              <w:rPr>
                <w:rFonts w:hAnsi="Times New Roman"/>
                <w:kern w:val="21"/>
                <w:sz w:val="21"/>
                <w:szCs w:val="21"/>
                <w:vertAlign w:val="superscript"/>
              </w:rPr>
              <w:t>-6</w:t>
            </w:r>
            <w:r>
              <w:rPr>
                <w:rFonts w:hAnsi="Times New Roman"/>
                <w:kern w:val="21"/>
                <w:sz w:val="21"/>
                <w:szCs w:val="21"/>
              </w:rPr>
              <w:t>/a</w:t>
            </w:r>
          </w:p>
        </w:tc>
      </w:tr>
      <w:tr w14:paraId="1CB3E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restart"/>
            <w:vAlign w:val="center"/>
          </w:tcPr>
          <w:p w14:paraId="4CE18252">
            <w:pPr>
              <w:pStyle w:val="132"/>
              <w:spacing w:line="240" w:lineRule="auto"/>
              <w:ind w:firstLine="0"/>
              <w:jc w:val="center"/>
              <w:rPr>
                <w:rFonts w:hAnsi="Times New Roman"/>
                <w:kern w:val="21"/>
                <w:sz w:val="21"/>
                <w:szCs w:val="21"/>
              </w:rPr>
            </w:pPr>
            <w:r>
              <w:rPr>
                <w:rFonts w:hAnsi="Times New Roman"/>
                <w:kern w:val="21"/>
                <w:sz w:val="21"/>
                <w:szCs w:val="21"/>
              </w:rPr>
              <w:t>常压单包容储罐</w:t>
            </w:r>
          </w:p>
        </w:tc>
        <w:tc>
          <w:tcPr>
            <w:tcW w:w="2762" w:type="dxa"/>
            <w:vAlign w:val="center"/>
          </w:tcPr>
          <w:p w14:paraId="02515265">
            <w:pPr>
              <w:pStyle w:val="132"/>
              <w:spacing w:line="240" w:lineRule="auto"/>
              <w:ind w:firstLine="0"/>
              <w:jc w:val="center"/>
              <w:rPr>
                <w:rFonts w:hAnsi="Times New Roman"/>
                <w:kern w:val="21"/>
                <w:sz w:val="21"/>
                <w:szCs w:val="21"/>
              </w:rPr>
            </w:pPr>
            <w:r>
              <w:rPr>
                <w:rFonts w:hAnsi="Times New Roman"/>
                <w:kern w:val="21"/>
                <w:sz w:val="21"/>
                <w:szCs w:val="21"/>
              </w:rPr>
              <w:t>泄漏孔径为10mm孔径</w:t>
            </w:r>
          </w:p>
        </w:tc>
        <w:tc>
          <w:tcPr>
            <w:tcW w:w="2543" w:type="dxa"/>
            <w:vAlign w:val="center"/>
          </w:tcPr>
          <w:p w14:paraId="04D28E90">
            <w:pPr>
              <w:pStyle w:val="132"/>
              <w:spacing w:line="240" w:lineRule="auto"/>
              <w:ind w:firstLine="0"/>
              <w:jc w:val="center"/>
              <w:rPr>
                <w:rFonts w:hAnsi="Times New Roman"/>
                <w:kern w:val="21"/>
                <w:sz w:val="21"/>
                <w:szCs w:val="21"/>
              </w:rPr>
            </w:pPr>
            <w:r>
              <w:rPr>
                <w:rFonts w:hAnsi="Times New Roman"/>
                <w:kern w:val="21"/>
                <w:sz w:val="21"/>
                <w:szCs w:val="21"/>
              </w:rPr>
              <w:t>1×10</w:t>
            </w:r>
            <w:r>
              <w:rPr>
                <w:rFonts w:hAnsi="Times New Roman"/>
                <w:kern w:val="21"/>
                <w:sz w:val="21"/>
                <w:szCs w:val="21"/>
                <w:vertAlign w:val="superscript"/>
              </w:rPr>
              <w:t>-4</w:t>
            </w:r>
            <w:r>
              <w:rPr>
                <w:rFonts w:hAnsi="Times New Roman"/>
                <w:kern w:val="21"/>
                <w:sz w:val="21"/>
                <w:szCs w:val="21"/>
              </w:rPr>
              <w:t>/a</w:t>
            </w:r>
          </w:p>
        </w:tc>
      </w:tr>
      <w:tr w14:paraId="06394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continue"/>
            <w:vAlign w:val="center"/>
          </w:tcPr>
          <w:p w14:paraId="3BE5F053">
            <w:pPr>
              <w:pStyle w:val="132"/>
              <w:spacing w:line="240" w:lineRule="auto"/>
              <w:ind w:firstLine="0"/>
              <w:jc w:val="center"/>
              <w:rPr>
                <w:rFonts w:hAnsi="Times New Roman"/>
                <w:kern w:val="21"/>
                <w:sz w:val="21"/>
                <w:szCs w:val="21"/>
              </w:rPr>
            </w:pPr>
          </w:p>
        </w:tc>
        <w:tc>
          <w:tcPr>
            <w:tcW w:w="2762" w:type="dxa"/>
            <w:vAlign w:val="center"/>
          </w:tcPr>
          <w:p w14:paraId="7F41711C">
            <w:pPr>
              <w:pStyle w:val="132"/>
              <w:spacing w:line="240" w:lineRule="auto"/>
              <w:ind w:firstLine="0"/>
              <w:jc w:val="center"/>
              <w:rPr>
                <w:rFonts w:hAnsi="Times New Roman"/>
                <w:kern w:val="21"/>
                <w:sz w:val="21"/>
                <w:szCs w:val="21"/>
              </w:rPr>
            </w:pPr>
            <w:r>
              <w:rPr>
                <w:rFonts w:hAnsi="Times New Roman"/>
                <w:kern w:val="21"/>
                <w:sz w:val="21"/>
                <w:szCs w:val="21"/>
              </w:rPr>
              <w:t>10min内储罐泄漏完</w:t>
            </w:r>
          </w:p>
        </w:tc>
        <w:tc>
          <w:tcPr>
            <w:tcW w:w="2543" w:type="dxa"/>
            <w:vAlign w:val="center"/>
          </w:tcPr>
          <w:p w14:paraId="0C9D3650">
            <w:pPr>
              <w:pStyle w:val="132"/>
              <w:spacing w:line="240" w:lineRule="auto"/>
              <w:ind w:firstLine="0"/>
              <w:jc w:val="center"/>
              <w:rPr>
                <w:rFonts w:hAnsi="Times New Roman"/>
                <w:kern w:val="21"/>
                <w:sz w:val="21"/>
                <w:szCs w:val="21"/>
              </w:rPr>
            </w:pPr>
            <w:r>
              <w:rPr>
                <w:rFonts w:hAnsi="Times New Roman"/>
                <w:kern w:val="21"/>
                <w:sz w:val="21"/>
                <w:szCs w:val="21"/>
              </w:rPr>
              <w:t>5×10</w:t>
            </w:r>
            <w:r>
              <w:rPr>
                <w:rFonts w:hAnsi="Times New Roman"/>
                <w:kern w:val="21"/>
                <w:sz w:val="21"/>
                <w:szCs w:val="21"/>
                <w:vertAlign w:val="superscript"/>
              </w:rPr>
              <w:t>-6</w:t>
            </w:r>
            <w:r>
              <w:rPr>
                <w:rFonts w:hAnsi="Times New Roman"/>
                <w:kern w:val="21"/>
                <w:sz w:val="21"/>
                <w:szCs w:val="21"/>
              </w:rPr>
              <w:t>/a</w:t>
            </w:r>
          </w:p>
        </w:tc>
      </w:tr>
      <w:tr w14:paraId="4DA62F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9" w:type="dxa"/>
            <w:vMerge w:val="continue"/>
            <w:vAlign w:val="center"/>
          </w:tcPr>
          <w:p w14:paraId="5E72E238">
            <w:pPr>
              <w:pStyle w:val="132"/>
              <w:spacing w:line="240" w:lineRule="auto"/>
              <w:ind w:firstLine="0"/>
              <w:jc w:val="center"/>
              <w:rPr>
                <w:rFonts w:hAnsi="Times New Roman"/>
                <w:kern w:val="21"/>
                <w:sz w:val="21"/>
                <w:szCs w:val="21"/>
              </w:rPr>
            </w:pPr>
          </w:p>
        </w:tc>
        <w:tc>
          <w:tcPr>
            <w:tcW w:w="2762" w:type="dxa"/>
            <w:vAlign w:val="center"/>
          </w:tcPr>
          <w:p w14:paraId="785D63B8">
            <w:pPr>
              <w:pStyle w:val="132"/>
              <w:spacing w:line="240" w:lineRule="auto"/>
              <w:ind w:firstLine="0"/>
              <w:jc w:val="center"/>
              <w:rPr>
                <w:rFonts w:hAnsi="Times New Roman"/>
                <w:kern w:val="21"/>
                <w:sz w:val="21"/>
                <w:szCs w:val="21"/>
              </w:rPr>
            </w:pPr>
            <w:r>
              <w:rPr>
                <w:rFonts w:hAnsi="Times New Roman"/>
                <w:kern w:val="21"/>
                <w:sz w:val="21"/>
                <w:szCs w:val="21"/>
              </w:rPr>
              <w:t>储罐全破裂</w:t>
            </w:r>
          </w:p>
        </w:tc>
        <w:tc>
          <w:tcPr>
            <w:tcW w:w="2543" w:type="dxa"/>
            <w:vAlign w:val="center"/>
          </w:tcPr>
          <w:p w14:paraId="31C780D5">
            <w:pPr>
              <w:pStyle w:val="132"/>
              <w:spacing w:line="240" w:lineRule="auto"/>
              <w:ind w:firstLine="0"/>
              <w:jc w:val="center"/>
              <w:rPr>
                <w:rFonts w:hAnsi="Times New Roman"/>
                <w:kern w:val="21"/>
                <w:sz w:val="21"/>
                <w:szCs w:val="21"/>
              </w:rPr>
            </w:pPr>
            <w:r>
              <w:rPr>
                <w:rFonts w:hAnsi="Times New Roman"/>
                <w:kern w:val="21"/>
                <w:sz w:val="21"/>
                <w:szCs w:val="21"/>
              </w:rPr>
              <w:t>5×10</w:t>
            </w:r>
            <w:r>
              <w:rPr>
                <w:rFonts w:hAnsi="Times New Roman"/>
                <w:kern w:val="21"/>
                <w:sz w:val="21"/>
                <w:szCs w:val="21"/>
                <w:vertAlign w:val="superscript"/>
              </w:rPr>
              <w:t>-6</w:t>
            </w:r>
            <w:r>
              <w:rPr>
                <w:rFonts w:hAnsi="Times New Roman"/>
                <w:kern w:val="21"/>
                <w:sz w:val="21"/>
                <w:szCs w:val="21"/>
              </w:rPr>
              <w:t>/a</w:t>
            </w:r>
          </w:p>
        </w:tc>
      </w:tr>
    </w:tbl>
    <w:p w14:paraId="3F22C082">
      <w:pPr>
        <w:pStyle w:val="72"/>
        <w:rPr>
          <w:szCs w:val="24"/>
        </w:rPr>
      </w:pPr>
      <w:r>
        <w:rPr>
          <w:rFonts w:hint="eastAsia"/>
        </w:rPr>
        <w:t>考虑项目生产过程中，相比繁杂的管路系统，液体原料储罐因破损而发生的泄漏事故较易察觉，可及时得到控制与修复，事故可能造成的影响相对较小，则储罐泄漏为最大可信事故。根据导则可知，储罐泄漏孔径为10mm的泄漏频率为</w:t>
      </w:r>
      <w:r>
        <w:rPr>
          <w:rFonts w:hint="eastAsia" w:cs="Times New Roman"/>
          <w:kern w:val="21"/>
          <w:szCs w:val="24"/>
        </w:rPr>
        <w:t>1</w:t>
      </w:r>
      <w:r>
        <w:rPr>
          <w:rFonts w:cs="Times New Roman"/>
          <w:kern w:val="21"/>
          <w:szCs w:val="24"/>
        </w:rPr>
        <w:t>×10</w:t>
      </w:r>
      <w:r>
        <w:rPr>
          <w:rFonts w:cs="Times New Roman"/>
          <w:kern w:val="21"/>
          <w:szCs w:val="24"/>
          <w:vertAlign w:val="superscript"/>
        </w:rPr>
        <w:t>-</w:t>
      </w:r>
      <w:r>
        <w:rPr>
          <w:rFonts w:hint="eastAsia" w:cs="Times New Roman"/>
          <w:kern w:val="21"/>
          <w:szCs w:val="24"/>
          <w:vertAlign w:val="superscript"/>
        </w:rPr>
        <w:t>4</w:t>
      </w:r>
      <w:r>
        <w:rPr>
          <w:rFonts w:cs="Times New Roman"/>
          <w:kern w:val="21"/>
          <w:szCs w:val="24"/>
        </w:rPr>
        <w:t>/a</w:t>
      </w:r>
      <w:r>
        <w:rPr>
          <w:rFonts w:hint="eastAsia" w:cs="Times New Roman"/>
          <w:kern w:val="21"/>
          <w:szCs w:val="24"/>
        </w:rPr>
        <w:t>大于</w:t>
      </w:r>
      <w:r>
        <w:t>10</w:t>
      </w:r>
      <w:r>
        <w:rPr>
          <w:vertAlign w:val="superscript"/>
        </w:rPr>
        <w:t>-6</w:t>
      </w:r>
      <w:r>
        <w:t>/a</w:t>
      </w:r>
      <w:r>
        <w:rPr>
          <w:rFonts w:hint="eastAsia"/>
        </w:rPr>
        <w:t>，因此本项目最大可信事故为硫酸储罐中液体发生泄漏。</w:t>
      </w:r>
    </w:p>
    <w:p w14:paraId="2D2237D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6.4.2源项分析</w:t>
      </w:r>
    </w:p>
    <w:p w14:paraId="712EC41A">
      <w:pPr>
        <w:pStyle w:val="72"/>
      </w:pPr>
      <w:r>
        <w:rPr>
          <w:rFonts w:hint="eastAsia"/>
        </w:rPr>
        <w:t>根据《</w:t>
      </w:r>
      <w:r>
        <w:t>建设项目环境风险评价技术导则</w:t>
      </w:r>
      <w:r>
        <w:rPr>
          <w:rFonts w:hint="eastAsia"/>
        </w:rPr>
        <w:t>》（HJ169-2018）附录F，泄漏液体的蒸发分为闪蒸蒸发、热量蒸发和质量蒸发三种，其蒸发总量为这三种蒸发之和。本项目硫酸</w:t>
      </w:r>
      <w:r>
        <w:t>在常温、常压条件下贮存，</w:t>
      </w:r>
      <w:r>
        <w:rPr>
          <w:rFonts w:hint="eastAsia"/>
        </w:rPr>
        <w:t>发生泄漏时，物料温度与环境温度基本相同，而本项目液体风险物质沸点高于环境温度，通常不会发生闪蒸和热量蒸发，因此本项目主要为质量蒸发。</w:t>
      </w:r>
    </w:p>
    <w:p w14:paraId="2A25FE9A">
      <w:pPr>
        <w:pStyle w:val="72"/>
      </w:pPr>
      <w:r>
        <w:rPr>
          <w:rFonts w:hint="eastAsia"/>
        </w:rPr>
        <w:t>由于泄漏发生后液体流落到围堰内，液面不断蒸发出气体并扩散，造成大气污染。根据导则，有围堰隔离系统的预计泄漏发生后10min能被发现并处理。</w:t>
      </w:r>
    </w:p>
    <w:p w14:paraId="36DB94AA">
      <w:pPr>
        <w:pStyle w:val="72"/>
        <w:ind w:firstLine="482"/>
        <w:rPr>
          <w:b/>
          <w:bCs/>
        </w:rPr>
      </w:pPr>
      <w:r>
        <w:rPr>
          <w:rFonts w:hint="eastAsia"/>
          <w:b/>
          <w:bCs/>
        </w:rPr>
        <w:t>（1）液体泄漏</w:t>
      </w:r>
    </w:p>
    <w:p w14:paraId="174DE215">
      <w:pPr>
        <w:ind w:firstLine="480"/>
      </w:pPr>
      <w:r>
        <w:rPr>
          <w:rFonts w:hint="eastAsia"/>
        </w:rPr>
        <w:t>根据《建设项目环境风险评价技术导则》（</w:t>
      </w:r>
      <w:r>
        <w:t>HJ169-2018</w:t>
      </w:r>
      <w:r>
        <w:rPr>
          <w:rFonts w:hint="eastAsia"/>
        </w:rPr>
        <w:t>）中相关要求，项目硫酸储罐为常温常压储罐，为液体，采用液体泄露公式进行计算。且沸点均大于环境温度，故液体泄漏不会发生闪蒸及热量蒸发，本次泄漏只考虑质量蒸发。</w:t>
      </w:r>
    </w:p>
    <w:p w14:paraId="21E6F461">
      <w:pPr>
        <w:ind w:firstLine="480"/>
      </w:pPr>
      <w:r>
        <w:rPr>
          <w:rFonts w:hint="eastAsia"/>
        </w:rPr>
        <w:t>液体泄漏速率</w:t>
      </w:r>
      <w:r>
        <w:t>Q</w:t>
      </w:r>
      <w:r>
        <w:rPr>
          <w:vertAlign w:val="subscript"/>
        </w:rPr>
        <w:t>L</w:t>
      </w:r>
      <w:r>
        <w:rPr>
          <w:rFonts w:hint="eastAsia"/>
        </w:rPr>
        <w:t>采用伯努利方程（限制条件为液体在喷口不应有急骤蒸发）</w:t>
      </w:r>
    </w:p>
    <w:p w14:paraId="343A0248">
      <w:pPr>
        <w:adjustRightInd/>
        <w:snapToGrid/>
        <w:spacing w:before="240" w:beforeLines="100" w:after="120" w:afterLines="50" w:line="240" w:lineRule="auto"/>
        <w:ind w:firstLine="0" w:firstLineChars="0"/>
        <w:jc w:val="center"/>
        <w:rPr>
          <w:kern w:val="2"/>
          <w:szCs w:val="28"/>
        </w:rPr>
      </w:pPr>
      <w:r>
        <w:rPr>
          <w:rFonts w:hint="default" w:ascii="Times New Roman" w:hAnsi="Times New Roman" w:eastAsia="宋体" w:cs="Times New Roman"/>
          <w:b/>
          <w:bCs/>
          <w:position w:val="-40"/>
          <w:sz w:val="28"/>
          <w:szCs w:val="28"/>
          <w:u w:val="none"/>
          <w:lang w:eastAsia="zh-CN"/>
        </w:rPr>
        <w:object>
          <v:shape id="_x0000_i1031" o:spt="75" type="#_x0000_t75" style="height:45.35pt;width:195.55pt;" o:ole="t" filled="f" o:preferrelative="t" stroked="f" coordsize="21600,21600">
            <v:path/>
            <v:fill on="f" focussize="0,0"/>
            <v:stroke on="f"/>
            <v:imagedata r:id="rId59" o:title=""/>
            <o:lock v:ext="edit" aspectratio="t"/>
            <w10:wrap type="none"/>
            <w10:anchorlock/>
          </v:shape>
          <o:OLEObject Type="Embed" ProgID="Equation.KSEE3" ShapeID="_x0000_i1031" DrawAspect="Content" ObjectID="_1468075734" r:id="rId58">
            <o:LockedField>false</o:LockedField>
          </o:OLEObject>
        </w:object>
      </w:r>
    </w:p>
    <w:p w14:paraId="30766437">
      <w:pPr>
        <w:ind w:firstLine="480"/>
        <w:rPr>
          <w:rFonts w:hint="eastAsia"/>
        </w:rPr>
      </w:pPr>
      <w:r>
        <w:rPr>
          <w:rFonts w:hint="eastAsia"/>
        </w:rPr>
        <w:t>式中：</w:t>
      </w:r>
      <w:r>
        <w:rPr>
          <w:i/>
        </w:rPr>
        <w:t>Q</w:t>
      </w:r>
      <w:r>
        <w:rPr>
          <w:i/>
          <w:vertAlign w:val="subscript"/>
        </w:rPr>
        <w:t>L</w:t>
      </w:r>
      <w:r>
        <w:t>——</w:t>
      </w:r>
      <w:r>
        <w:rPr>
          <w:rFonts w:hint="eastAsia"/>
        </w:rPr>
        <w:t>液体泄漏速度，</w:t>
      </w:r>
      <w:r>
        <w:t>kg/s</w:t>
      </w:r>
      <w:r>
        <w:rPr>
          <w:rFonts w:hint="eastAsia"/>
        </w:rPr>
        <w:t>；</w:t>
      </w:r>
    </w:p>
    <w:p w14:paraId="15942400">
      <w:pPr>
        <w:ind w:firstLine="1132" w:firstLineChars="472"/>
      </w:pPr>
      <w:r>
        <w:rPr>
          <w:i/>
        </w:rPr>
        <w:t>P</w:t>
      </w:r>
      <w:r>
        <w:rPr>
          <w:rFonts w:hint="eastAsia"/>
          <w:i/>
          <w:vertAlign w:val="subscript"/>
          <w:lang w:val="en-US" w:eastAsia="zh-CN"/>
        </w:rPr>
        <w:t>1</w:t>
      </w:r>
      <w:r>
        <w:rPr>
          <w:i/>
        </w:rPr>
        <w:t xml:space="preserve"> </w:t>
      </w:r>
      <w:r>
        <w:t>——</w:t>
      </w:r>
      <w:r>
        <w:rPr>
          <w:rFonts w:hint="eastAsia"/>
        </w:rPr>
        <w:t>容器内介质压力，</w:t>
      </w:r>
      <w:r>
        <w:t>Pa</w:t>
      </w:r>
      <w:r>
        <w:rPr>
          <w:rFonts w:hint="eastAsia"/>
        </w:rPr>
        <w:t>；</w:t>
      </w:r>
    </w:p>
    <w:p w14:paraId="48EF6693">
      <w:pPr>
        <w:ind w:firstLine="1132" w:firstLineChars="472"/>
      </w:pPr>
      <w:r>
        <w:rPr>
          <w:i/>
        </w:rPr>
        <w:t>C</w:t>
      </w:r>
      <w:r>
        <w:rPr>
          <w:i/>
          <w:vertAlign w:val="subscript"/>
        </w:rPr>
        <w:t>d</w:t>
      </w:r>
      <w:r>
        <w:t>——</w:t>
      </w:r>
      <w:r>
        <w:rPr>
          <w:rFonts w:hint="eastAsia"/>
        </w:rPr>
        <w:t>液体泄漏系数，本次评价</w:t>
      </w:r>
      <w:r>
        <w:t>C</w:t>
      </w:r>
      <w:r>
        <w:rPr>
          <w:vertAlign w:val="subscript"/>
        </w:rPr>
        <w:t>d</w:t>
      </w:r>
      <w:r>
        <w:rPr>
          <w:rFonts w:hint="eastAsia"/>
        </w:rPr>
        <w:t>取</w:t>
      </w:r>
      <w:r>
        <w:t>0.65</w:t>
      </w:r>
      <w:r>
        <w:rPr>
          <w:rFonts w:hint="eastAsia"/>
        </w:rPr>
        <w:t>；</w:t>
      </w:r>
    </w:p>
    <w:p w14:paraId="233EF204">
      <w:pPr>
        <w:ind w:firstLine="1132" w:firstLineChars="472"/>
      </w:pPr>
      <w:r>
        <w:rPr>
          <w:i/>
        </w:rPr>
        <w:t xml:space="preserve">A </w:t>
      </w:r>
      <w:r>
        <w:t>——</w:t>
      </w:r>
      <w:r>
        <w:rPr>
          <w:rFonts w:hint="eastAsia"/>
        </w:rPr>
        <w:t>裂口面积，</w:t>
      </w:r>
      <w:r>
        <w:t>m</w:t>
      </w:r>
      <w:r>
        <w:rPr>
          <w:vertAlign w:val="superscript"/>
        </w:rPr>
        <w:t>2</w:t>
      </w:r>
      <w:r>
        <w:rPr>
          <w:rFonts w:hint="eastAsia"/>
        </w:rPr>
        <w:t>；项目储罐</w:t>
      </w:r>
      <w:r>
        <w:t>10mm</w:t>
      </w:r>
      <w:r>
        <w:rPr>
          <w:rFonts w:hint="eastAsia"/>
          <w:bCs/>
        </w:rPr>
        <w:t>孔径泄漏面积为</w:t>
      </w:r>
      <w:r>
        <w:t>A=7.85</w:t>
      </w:r>
      <w:r>
        <w:rPr>
          <w:rFonts w:ascii="Arial" w:hAnsi="Arial" w:cs="Arial"/>
        </w:rPr>
        <w:t>×</w:t>
      </w:r>
      <w:r>
        <w:t>10</w:t>
      </w:r>
      <w:r>
        <w:rPr>
          <w:vertAlign w:val="superscript"/>
        </w:rPr>
        <w:t>-5</w:t>
      </w:r>
      <w:r>
        <w:t>m</w:t>
      </w:r>
      <w:r>
        <w:rPr>
          <w:vertAlign w:val="superscript"/>
        </w:rPr>
        <w:t>2</w:t>
      </w:r>
      <w:r>
        <w:rPr>
          <w:rFonts w:hint="eastAsia"/>
        </w:rPr>
        <w:t>；</w:t>
      </w:r>
    </w:p>
    <w:p w14:paraId="40D74A69">
      <w:pPr>
        <w:ind w:firstLine="1132" w:firstLineChars="472"/>
      </w:pPr>
      <w:r>
        <w:t>ρ</w:t>
      </w:r>
      <w:r>
        <w:rPr>
          <w:rFonts w:hint="eastAsia"/>
          <w:vertAlign w:val="subscript"/>
          <w:lang w:val="en-US" w:eastAsia="zh-CN"/>
        </w:rPr>
        <w:t>1</w:t>
      </w:r>
      <w:r>
        <w:t>——</w:t>
      </w:r>
      <w:r>
        <w:rPr>
          <w:rFonts w:hint="eastAsia"/>
        </w:rPr>
        <w:t>泄漏液体密度，</w:t>
      </w:r>
      <w:r>
        <w:t>kg/m</w:t>
      </w:r>
      <w:r>
        <w:rPr>
          <w:vertAlign w:val="superscript"/>
        </w:rPr>
        <w:t>3</w:t>
      </w:r>
      <w:r>
        <w:rPr>
          <w:rFonts w:hint="eastAsia"/>
        </w:rPr>
        <w:t>；</w:t>
      </w:r>
    </w:p>
    <w:p w14:paraId="4371EF50">
      <w:pPr>
        <w:ind w:firstLine="1132" w:firstLineChars="472"/>
      </w:pPr>
      <w:r>
        <w:rPr>
          <w:i/>
        </w:rPr>
        <w:t>P</w:t>
      </w:r>
      <w:r>
        <w:rPr>
          <w:rFonts w:hint="eastAsia"/>
          <w:i/>
          <w:vertAlign w:val="subscript"/>
          <w:lang w:val="en-US" w:eastAsia="zh-CN"/>
        </w:rPr>
        <w:t>a</w:t>
      </w:r>
      <w:r>
        <w:t>——</w:t>
      </w:r>
      <w:r>
        <w:rPr>
          <w:rFonts w:hint="eastAsia"/>
        </w:rPr>
        <w:t>环境压力</w:t>
      </w:r>
      <w:r>
        <w:rPr>
          <w:rFonts w:hint="eastAsia"/>
          <w:lang w:eastAsia="zh-CN"/>
        </w:rPr>
        <w:t>（</w:t>
      </w:r>
      <w:r>
        <w:t>Pa</w:t>
      </w:r>
      <w:r>
        <w:rPr>
          <w:rFonts w:hint="eastAsia"/>
          <w:lang w:eastAsia="zh-CN"/>
        </w:rPr>
        <w:t>），常压储存容器内P</w:t>
      </w:r>
      <w:r>
        <w:rPr>
          <w:rFonts w:hint="eastAsia"/>
          <w:vertAlign w:val="subscript"/>
          <w:lang w:eastAsia="zh-CN"/>
        </w:rPr>
        <w:t>1</w:t>
      </w:r>
      <w:r>
        <w:rPr>
          <w:rFonts w:hint="eastAsia"/>
          <w:lang w:eastAsia="zh-CN"/>
        </w:rPr>
        <w:t>=P</w:t>
      </w:r>
      <w:r>
        <w:rPr>
          <w:rFonts w:hint="eastAsia"/>
          <w:vertAlign w:val="subscript"/>
          <w:lang w:val="en-US" w:eastAsia="zh-CN"/>
        </w:rPr>
        <w:t>a</w:t>
      </w:r>
      <w:r>
        <w:rPr>
          <w:rFonts w:hint="eastAsia"/>
        </w:rPr>
        <w:t>；</w:t>
      </w:r>
    </w:p>
    <w:p w14:paraId="04F6B2F9">
      <w:pPr>
        <w:ind w:firstLine="1132" w:firstLineChars="472"/>
      </w:pPr>
      <w:r>
        <w:rPr>
          <w:i/>
        </w:rPr>
        <w:t>g</w:t>
      </w:r>
      <w:r>
        <w:t>——</w:t>
      </w:r>
      <w:r>
        <w:rPr>
          <w:rFonts w:hint="eastAsia"/>
        </w:rPr>
        <w:t>重力加速度，</w:t>
      </w:r>
      <w:r>
        <w:t>9.81m/s</w:t>
      </w:r>
      <w:r>
        <w:rPr>
          <w:vertAlign w:val="superscript"/>
        </w:rPr>
        <w:t>2</w:t>
      </w:r>
      <w:r>
        <w:rPr>
          <w:rFonts w:hint="eastAsia"/>
        </w:rPr>
        <w:t>；</w:t>
      </w:r>
    </w:p>
    <w:p w14:paraId="073CA4F2">
      <w:pPr>
        <w:keepNext w:val="0"/>
        <w:keepLines w:val="0"/>
        <w:pageBreakBefore w:val="0"/>
        <w:widowControl w:val="0"/>
        <w:kinsoku/>
        <w:wordWrap/>
        <w:overflowPunct/>
        <w:topLinePunct w:val="0"/>
        <w:autoSpaceDE/>
        <w:autoSpaceDN/>
        <w:bidi w:val="0"/>
        <w:spacing w:line="520" w:lineRule="exact"/>
        <w:ind w:firstLine="1132" w:firstLineChars="472"/>
        <w:rPr>
          <w:rFonts w:hint="eastAsia"/>
        </w:rPr>
      </w:pPr>
      <w:r>
        <w:rPr>
          <w:i/>
        </w:rPr>
        <w:t>h</w:t>
      </w:r>
      <w:r>
        <w:t>——</w:t>
      </w:r>
      <w:r>
        <w:rPr>
          <w:rFonts w:hint="eastAsia"/>
        </w:rPr>
        <w:t>裂口之上液位高度，</w:t>
      </w:r>
      <w:r>
        <w:t>m</w:t>
      </w:r>
      <w:r>
        <w:rPr>
          <w:rFonts w:hint="eastAsia"/>
        </w:rPr>
        <w:t>。</w:t>
      </w:r>
    </w:p>
    <w:p w14:paraId="4CF6E2A6">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lang w:val="en-US" w:eastAsia="zh-CN"/>
        </w:rPr>
      </w:pPr>
      <w:r>
        <w:rPr>
          <w:rFonts w:hint="eastAsia"/>
        </w:rPr>
        <w:t>表</w:t>
      </w:r>
      <w:r>
        <w:rPr>
          <w:rFonts w:hint="eastAsia"/>
          <w:lang w:val="en-US" w:eastAsia="zh-CN"/>
        </w:rPr>
        <w:t>6.4-2</w:t>
      </w:r>
      <w:r>
        <w:rPr>
          <w:rFonts w:hint="eastAsia"/>
        </w:rPr>
        <w:t xml:space="preserve">    </w:t>
      </w:r>
      <w:r>
        <w:rPr>
          <w:rFonts w:hint="eastAsia"/>
          <w:lang w:val="en-US" w:eastAsia="zh-CN"/>
        </w:rPr>
        <w:t>液体泄漏参数（</w:t>
      </w:r>
      <w:r>
        <w:rPr>
          <w:rFonts w:hint="eastAsia"/>
        </w:rPr>
        <w:t>Cd</w:t>
      </w:r>
      <w:r>
        <w:rPr>
          <w:rFonts w:hint="eastAsia"/>
          <w:lang w:val="en-US" w:eastAsia="zh-CN"/>
        </w:rPr>
        <w:t>）</w:t>
      </w:r>
    </w:p>
    <w:tbl>
      <w:tblPr>
        <w:tblStyle w:val="39"/>
        <w:tblW w:w="516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2374"/>
        <w:gridCol w:w="2091"/>
        <w:gridCol w:w="2093"/>
        <w:gridCol w:w="2093"/>
      </w:tblGrid>
      <w:tr w14:paraId="48D57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374" w:type="dxa"/>
            <w:vMerge w:val="restart"/>
            <w:tcBorders>
              <w:top w:val="single" w:color="000000" w:sz="8" w:space="0"/>
              <w:left w:val="single" w:color="000000" w:sz="8" w:space="0"/>
              <w:bottom w:val="single" w:color="000000" w:sz="4" w:space="0"/>
              <w:right w:val="single" w:color="000000" w:sz="4" w:space="0"/>
            </w:tcBorders>
            <w:noWrap w:val="0"/>
            <w:vAlign w:val="center"/>
          </w:tcPr>
          <w:p w14:paraId="34C1153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eastAsia="宋体" w:cs="Times New Roman"/>
                <w:b/>
                <w:bCs/>
                <w:sz w:val="21"/>
                <w:szCs w:val="24"/>
                <w:u w:val="none"/>
              </w:rPr>
              <w:t>雷诺数</w:t>
            </w:r>
            <w:r>
              <w:rPr>
                <w:rFonts w:hint="default" w:ascii="Times New Roman" w:hAnsi="Times New Roman" w:cs="Times New Roman"/>
                <w:b/>
                <w:bCs/>
                <w:sz w:val="21"/>
                <w:szCs w:val="24"/>
                <w:u w:val="none"/>
              </w:rPr>
              <w:t>Re</w:t>
            </w:r>
          </w:p>
        </w:tc>
        <w:tc>
          <w:tcPr>
            <w:tcW w:w="6277" w:type="dxa"/>
            <w:gridSpan w:val="3"/>
            <w:tcBorders>
              <w:top w:val="single" w:color="000000" w:sz="8" w:space="0"/>
              <w:left w:val="single" w:color="000000" w:sz="4" w:space="0"/>
              <w:bottom w:val="single" w:color="000000" w:sz="4" w:space="0"/>
              <w:right w:val="single" w:color="000000" w:sz="8" w:space="0"/>
            </w:tcBorders>
            <w:noWrap w:val="0"/>
            <w:vAlign w:val="center"/>
          </w:tcPr>
          <w:p w14:paraId="447795C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裂口形状</w:t>
            </w:r>
          </w:p>
        </w:tc>
      </w:tr>
      <w:tr w14:paraId="3AEA6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374" w:type="dxa"/>
            <w:vMerge w:val="continue"/>
            <w:tcBorders>
              <w:top w:val="single" w:color="000000" w:sz="4" w:space="0"/>
              <w:left w:val="single" w:color="000000" w:sz="8" w:space="0"/>
              <w:bottom w:val="single" w:color="000000" w:sz="4" w:space="0"/>
              <w:right w:val="single" w:color="000000" w:sz="4" w:space="0"/>
            </w:tcBorders>
            <w:noWrap w:val="0"/>
            <w:vAlign w:val="center"/>
          </w:tcPr>
          <w:p w14:paraId="2A28E38C">
            <w:pPr>
              <w:pStyle w:val="35"/>
              <w:keepNext w:val="0"/>
              <w:keepLines w:val="0"/>
              <w:pageBreakBefore w:val="0"/>
              <w:widowControl/>
              <w:kinsoku/>
              <w:wordWrap/>
              <w:overflowPunct/>
              <w:topLinePunct/>
              <w:autoSpaceDE/>
              <w:autoSpaceDN/>
              <w:bidi w:val="0"/>
              <w:adjustRightInd w:val="0"/>
              <w:snapToGrid w:val="0"/>
              <w:spacing w:before="0" w:beforeLines="0" w:afterLines="0" w:line="240" w:lineRule="auto"/>
              <w:ind w:left="0" w:right="0" w:firstLine="0" w:firstLineChars="0"/>
              <w:jc w:val="center"/>
              <w:textAlignment w:val="auto"/>
              <w:outlineLvl w:val="9"/>
              <w:rPr>
                <w:rFonts w:hint="default" w:ascii="Times New Roman" w:hAnsi="Times New Roman" w:cs="Times New Roman"/>
                <w:b/>
                <w:bCs/>
                <w:sz w:val="2"/>
                <w:szCs w:val="24"/>
                <w:u w:val="none"/>
              </w:rPr>
            </w:pPr>
          </w:p>
        </w:tc>
        <w:tc>
          <w:tcPr>
            <w:tcW w:w="2091" w:type="dxa"/>
            <w:tcBorders>
              <w:top w:val="single" w:color="000000" w:sz="4" w:space="0"/>
              <w:left w:val="single" w:color="000000" w:sz="4" w:space="0"/>
              <w:bottom w:val="single" w:color="000000" w:sz="4" w:space="0"/>
              <w:right w:val="single" w:color="000000" w:sz="4" w:space="0"/>
            </w:tcBorders>
            <w:noWrap w:val="0"/>
            <w:vAlign w:val="center"/>
          </w:tcPr>
          <w:p w14:paraId="245D80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圆形（多边形）</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5CCB9AB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三角形</w:t>
            </w:r>
          </w:p>
        </w:tc>
        <w:tc>
          <w:tcPr>
            <w:tcW w:w="2093" w:type="dxa"/>
            <w:tcBorders>
              <w:top w:val="single" w:color="000000" w:sz="4" w:space="0"/>
              <w:left w:val="single" w:color="000000" w:sz="4" w:space="0"/>
              <w:bottom w:val="single" w:color="000000" w:sz="4" w:space="0"/>
              <w:right w:val="single" w:color="000000" w:sz="8" w:space="0"/>
            </w:tcBorders>
            <w:noWrap w:val="0"/>
            <w:vAlign w:val="center"/>
          </w:tcPr>
          <w:p w14:paraId="138A18E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长方形</w:t>
            </w:r>
          </w:p>
        </w:tc>
      </w:tr>
      <w:tr w14:paraId="3F9A3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374" w:type="dxa"/>
            <w:tcBorders>
              <w:top w:val="single" w:color="000000" w:sz="4" w:space="0"/>
              <w:left w:val="single" w:color="000000" w:sz="8" w:space="0"/>
              <w:bottom w:val="single" w:color="000000" w:sz="4" w:space="0"/>
              <w:right w:val="single" w:color="000000" w:sz="4" w:space="0"/>
            </w:tcBorders>
            <w:noWrap w:val="0"/>
            <w:vAlign w:val="center"/>
          </w:tcPr>
          <w:p w14:paraId="6A0F1CF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&gt;100</w:t>
            </w:r>
          </w:p>
        </w:tc>
        <w:tc>
          <w:tcPr>
            <w:tcW w:w="2091" w:type="dxa"/>
            <w:tcBorders>
              <w:top w:val="single" w:color="000000" w:sz="4" w:space="0"/>
              <w:left w:val="single" w:color="000000" w:sz="4" w:space="0"/>
              <w:bottom w:val="single" w:color="000000" w:sz="4" w:space="0"/>
              <w:right w:val="single" w:color="000000" w:sz="4" w:space="0"/>
            </w:tcBorders>
            <w:noWrap w:val="0"/>
            <w:vAlign w:val="center"/>
          </w:tcPr>
          <w:p w14:paraId="538ECD8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0.65</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4A3BA11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0.60</w:t>
            </w:r>
          </w:p>
        </w:tc>
        <w:tc>
          <w:tcPr>
            <w:tcW w:w="2093" w:type="dxa"/>
            <w:tcBorders>
              <w:top w:val="single" w:color="000000" w:sz="4" w:space="0"/>
              <w:left w:val="single" w:color="000000" w:sz="4" w:space="0"/>
              <w:bottom w:val="single" w:color="000000" w:sz="4" w:space="0"/>
              <w:right w:val="single" w:color="000000" w:sz="8" w:space="0"/>
            </w:tcBorders>
            <w:noWrap w:val="0"/>
            <w:vAlign w:val="center"/>
          </w:tcPr>
          <w:p w14:paraId="41B737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0.55</w:t>
            </w:r>
          </w:p>
        </w:tc>
      </w:tr>
      <w:tr w14:paraId="4DA65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397" w:hRule="atLeast"/>
          <w:jc w:val="center"/>
        </w:trPr>
        <w:tc>
          <w:tcPr>
            <w:tcW w:w="2374" w:type="dxa"/>
            <w:tcBorders>
              <w:top w:val="single" w:color="000000" w:sz="4" w:space="0"/>
              <w:left w:val="single" w:color="000000" w:sz="8" w:space="0"/>
              <w:bottom w:val="single" w:color="000000" w:sz="8" w:space="0"/>
              <w:right w:val="single" w:color="000000" w:sz="4" w:space="0"/>
            </w:tcBorders>
            <w:noWrap w:val="0"/>
            <w:vAlign w:val="center"/>
          </w:tcPr>
          <w:p w14:paraId="3DA8413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≤100</w:t>
            </w:r>
          </w:p>
        </w:tc>
        <w:tc>
          <w:tcPr>
            <w:tcW w:w="2091" w:type="dxa"/>
            <w:tcBorders>
              <w:top w:val="single" w:color="000000" w:sz="4" w:space="0"/>
              <w:left w:val="single" w:color="000000" w:sz="4" w:space="0"/>
              <w:bottom w:val="single" w:color="000000" w:sz="8" w:space="0"/>
              <w:right w:val="single" w:color="000000" w:sz="4" w:space="0"/>
            </w:tcBorders>
            <w:noWrap w:val="0"/>
            <w:vAlign w:val="center"/>
          </w:tcPr>
          <w:p w14:paraId="75018FD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0.50</w:t>
            </w:r>
          </w:p>
        </w:tc>
        <w:tc>
          <w:tcPr>
            <w:tcW w:w="2093" w:type="dxa"/>
            <w:tcBorders>
              <w:top w:val="single" w:color="000000" w:sz="4" w:space="0"/>
              <w:left w:val="single" w:color="000000" w:sz="4" w:space="0"/>
              <w:bottom w:val="single" w:color="000000" w:sz="8" w:space="0"/>
              <w:right w:val="single" w:color="000000" w:sz="4" w:space="0"/>
            </w:tcBorders>
            <w:noWrap w:val="0"/>
            <w:vAlign w:val="center"/>
          </w:tcPr>
          <w:p w14:paraId="35AFA9F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0.45</w:t>
            </w:r>
          </w:p>
        </w:tc>
        <w:tc>
          <w:tcPr>
            <w:tcW w:w="2093" w:type="dxa"/>
            <w:tcBorders>
              <w:top w:val="single" w:color="000000" w:sz="4" w:space="0"/>
              <w:left w:val="single" w:color="000000" w:sz="4" w:space="0"/>
              <w:bottom w:val="single" w:color="000000" w:sz="8" w:space="0"/>
              <w:right w:val="single" w:color="000000" w:sz="8" w:space="0"/>
            </w:tcBorders>
            <w:noWrap w:val="0"/>
            <w:vAlign w:val="center"/>
          </w:tcPr>
          <w:p w14:paraId="7F54E08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0.40</w:t>
            </w:r>
          </w:p>
        </w:tc>
      </w:tr>
    </w:tbl>
    <w:p w14:paraId="3058147B">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default"/>
        </w:rPr>
        <w:t>表</w:t>
      </w:r>
      <w:r>
        <w:rPr>
          <w:rFonts w:hint="eastAsia"/>
          <w:lang w:val="en-US" w:eastAsia="zh-CN"/>
        </w:rPr>
        <w:t>6.4-3</w:t>
      </w:r>
      <w:r>
        <w:rPr>
          <w:rFonts w:hint="default"/>
          <w:lang w:val="en-US" w:eastAsia="zh-CN"/>
        </w:rPr>
        <w:t xml:space="preserve">    </w:t>
      </w:r>
      <w:r>
        <w:rPr>
          <w:rFonts w:hint="default"/>
        </w:rPr>
        <w:t>液体泄漏参数</w:t>
      </w:r>
    </w:p>
    <w:tbl>
      <w:tblPr>
        <w:tblStyle w:val="39"/>
        <w:tblW w:w="516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472"/>
        <w:gridCol w:w="1128"/>
        <w:gridCol w:w="1062"/>
        <w:gridCol w:w="1010"/>
        <w:gridCol w:w="1050"/>
        <w:gridCol w:w="1485"/>
        <w:gridCol w:w="885"/>
        <w:gridCol w:w="1545"/>
      </w:tblGrid>
      <w:tr w14:paraId="3522A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75" w:hRule="atLeast"/>
          <w:jc w:val="center"/>
        </w:trPr>
        <w:tc>
          <w:tcPr>
            <w:tcW w:w="1600" w:type="dxa"/>
            <w:gridSpan w:val="2"/>
            <w:tcBorders>
              <w:top w:val="single" w:color="000000" w:sz="8" w:space="0"/>
              <w:left w:val="single" w:color="000000" w:sz="8" w:space="0"/>
              <w:bottom w:val="single" w:color="000000" w:sz="4" w:space="0"/>
              <w:right w:val="single" w:color="000000" w:sz="4" w:space="0"/>
            </w:tcBorders>
            <w:noWrap w:val="0"/>
            <w:vAlign w:val="center"/>
          </w:tcPr>
          <w:p w14:paraId="2A7C645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泄漏事故</w:t>
            </w:r>
          </w:p>
        </w:tc>
        <w:tc>
          <w:tcPr>
            <w:tcW w:w="1062" w:type="dxa"/>
            <w:tcBorders>
              <w:top w:val="single" w:color="000000" w:sz="8" w:space="0"/>
              <w:left w:val="single" w:color="000000" w:sz="4" w:space="0"/>
              <w:bottom w:val="single" w:color="000000" w:sz="4" w:space="0"/>
              <w:right w:val="single" w:color="000000" w:sz="4" w:space="0"/>
            </w:tcBorders>
            <w:noWrap w:val="0"/>
            <w:vAlign w:val="center"/>
          </w:tcPr>
          <w:p w14:paraId="2170AD2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泄漏口径</w:t>
            </w:r>
          </w:p>
        </w:tc>
        <w:tc>
          <w:tcPr>
            <w:tcW w:w="1010" w:type="dxa"/>
            <w:tcBorders>
              <w:top w:val="single" w:color="000000" w:sz="8" w:space="0"/>
              <w:left w:val="single" w:color="000000" w:sz="4" w:space="0"/>
              <w:bottom w:val="single" w:color="000000" w:sz="4" w:space="0"/>
              <w:right w:val="single" w:color="000000" w:sz="4" w:space="0"/>
            </w:tcBorders>
            <w:noWrap w:val="0"/>
            <w:vAlign w:val="center"/>
          </w:tcPr>
          <w:p w14:paraId="58D391DB">
            <w:pPr>
              <w:pStyle w:val="81"/>
              <w:rPr>
                <w:rFonts w:cs="Times New Roman"/>
                <w:color w:val="auto"/>
                <w:spacing w:val="-4"/>
              </w:rPr>
            </w:pPr>
            <w:r>
              <w:rPr>
                <w:rFonts w:hint="eastAsia" w:cs="Times New Roman"/>
                <w:color w:val="auto"/>
                <w:spacing w:val="-4"/>
              </w:rPr>
              <w:t>密度</w:t>
            </w:r>
          </w:p>
          <w:p w14:paraId="21E3D403">
            <w:pPr>
              <w:pStyle w:val="81"/>
              <w:ind w:firstLine="0" w:firstLineChars="0"/>
              <w:rPr>
                <w:rFonts w:hint="default" w:ascii="Times New Roman" w:hAnsi="Times New Roman" w:cs="Times New Roman"/>
                <w:b/>
                <w:bCs/>
                <w:sz w:val="21"/>
                <w:szCs w:val="24"/>
                <w:u w:val="none"/>
              </w:rPr>
            </w:pPr>
            <w:r>
              <w:rPr>
                <w:rFonts w:cs="Times New Roman"/>
                <w:color w:val="auto"/>
                <w:spacing w:val="-4"/>
              </w:rPr>
              <w:t>kg/m</w:t>
            </w:r>
            <w:r>
              <w:rPr>
                <w:rFonts w:cs="Times New Roman"/>
                <w:color w:val="auto"/>
                <w:spacing w:val="-4"/>
                <w:vertAlign w:val="superscript"/>
              </w:rPr>
              <w:t>3</w:t>
            </w:r>
          </w:p>
        </w:tc>
        <w:tc>
          <w:tcPr>
            <w:tcW w:w="1050" w:type="dxa"/>
            <w:tcBorders>
              <w:top w:val="single" w:color="000000" w:sz="8" w:space="0"/>
              <w:left w:val="single" w:color="000000" w:sz="4" w:space="0"/>
              <w:bottom w:val="single" w:color="000000" w:sz="4" w:space="0"/>
              <w:right w:val="single" w:color="000000" w:sz="4" w:space="0"/>
            </w:tcBorders>
            <w:noWrap w:val="0"/>
            <w:vAlign w:val="center"/>
          </w:tcPr>
          <w:p w14:paraId="014386F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泄漏速率（</w:t>
            </w:r>
            <w:r>
              <w:rPr>
                <w:rFonts w:hint="default" w:ascii="Times New Roman" w:hAnsi="Times New Roman" w:eastAsia="Times New Roman" w:cs="Times New Roman"/>
                <w:b/>
                <w:bCs/>
                <w:sz w:val="21"/>
                <w:szCs w:val="24"/>
                <w:u w:val="none"/>
              </w:rPr>
              <w:t>kg/s</w:t>
            </w:r>
            <w:r>
              <w:rPr>
                <w:rFonts w:hint="default" w:ascii="Times New Roman" w:hAnsi="Times New Roman" w:cs="Times New Roman"/>
                <w:b/>
                <w:bCs/>
                <w:sz w:val="21"/>
                <w:szCs w:val="24"/>
                <w:u w:val="none"/>
              </w:rPr>
              <w:t>）</w:t>
            </w:r>
          </w:p>
        </w:tc>
        <w:tc>
          <w:tcPr>
            <w:tcW w:w="1485" w:type="dxa"/>
            <w:tcBorders>
              <w:top w:val="single" w:color="000000" w:sz="8" w:space="0"/>
              <w:left w:val="single" w:color="000000" w:sz="4" w:space="0"/>
              <w:bottom w:val="single" w:color="000000" w:sz="4" w:space="0"/>
              <w:right w:val="single" w:color="000000" w:sz="4" w:space="0"/>
            </w:tcBorders>
            <w:noWrap w:val="0"/>
            <w:vAlign w:val="center"/>
          </w:tcPr>
          <w:p w14:paraId="18FFA2C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持续泄漏时间（</w:t>
            </w:r>
            <w:r>
              <w:rPr>
                <w:rFonts w:hint="default" w:ascii="Times New Roman" w:hAnsi="Times New Roman" w:eastAsia="Times New Roman" w:cs="Times New Roman"/>
                <w:b/>
                <w:bCs/>
                <w:sz w:val="21"/>
                <w:szCs w:val="24"/>
                <w:u w:val="none"/>
              </w:rPr>
              <w:t>min</w:t>
            </w:r>
            <w:r>
              <w:rPr>
                <w:rFonts w:hint="default" w:ascii="Times New Roman" w:hAnsi="Times New Roman" w:cs="Times New Roman"/>
                <w:b/>
                <w:bCs/>
                <w:sz w:val="21"/>
                <w:szCs w:val="24"/>
                <w:u w:val="none"/>
              </w:rPr>
              <w:t>）</w:t>
            </w:r>
          </w:p>
        </w:tc>
        <w:tc>
          <w:tcPr>
            <w:tcW w:w="885" w:type="dxa"/>
            <w:tcBorders>
              <w:top w:val="single" w:color="000000" w:sz="8" w:space="0"/>
              <w:left w:val="single" w:color="000000" w:sz="4" w:space="0"/>
              <w:bottom w:val="single" w:color="000000" w:sz="4" w:space="0"/>
              <w:right w:val="single" w:color="000000" w:sz="4" w:space="0"/>
            </w:tcBorders>
            <w:noWrap w:val="0"/>
            <w:vAlign w:val="center"/>
          </w:tcPr>
          <w:p w14:paraId="557B35B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泄漏量（</w:t>
            </w:r>
            <w:r>
              <w:rPr>
                <w:rFonts w:hint="default" w:ascii="Times New Roman" w:hAnsi="Times New Roman" w:eastAsia="Times New Roman" w:cs="Times New Roman"/>
                <w:b/>
                <w:bCs/>
                <w:sz w:val="21"/>
                <w:szCs w:val="24"/>
                <w:u w:val="none"/>
              </w:rPr>
              <w:t>kg</w:t>
            </w:r>
            <w:r>
              <w:rPr>
                <w:rFonts w:hint="default" w:ascii="Times New Roman" w:hAnsi="Times New Roman" w:cs="Times New Roman"/>
                <w:b/>
                <w:bCs/>
                <w:sz w:val="21"/>
                <w:szCs w:val="24"/>
                <w:u w:val="none"/>
              </w:rPr>
              <w:t>）</w:t>
            </w:r>
          </w:p>
        </w:tc>
        <w:tc>
          <w:tcPr>
            <w:tcW w:w="1545" w:type="dxa"/>
            <w:tcBorders>
              <w:top w:val="single" w:color="000000" w:sz="8" w:space="0"/>
              <w:left w:val="single" w:color="000000" w:sz="4" w:space="0"/>
              <w:bottom w:val="single" w:color="000000" w:sz="4" w:space="0"/>
              <w:right w:val="single" w:color="000000" w:sz="8" w:space="0"/>
            </w:tcBorders>
            <w:noWrap w:val="0"/>
            <w:vAlign w:val="center"/>
          </w:tcPr>
          <w:p w14:paraId="62C3471A">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1"/>
                <w:sz w:val="21"/>
                <w:szCs w:val="24"/>
                <w:u w:val="none"/>
              </w:rPr>
            </w:pPr>
            <w:r>
              <w:rPr>
                <w:rFonts w:hint="default" w:ascii="Times New Roman" w:hAnsi="Times New Roman" w:cs="Times New Roman"/>
                <w:b/>
                <w:bCs/>
                <w:spacing w:val="-1"/>
                <w:sz w:val="21"/>
                <w:szCs w:val="24"/>
                <w:u w:val="none"/>
              </w:rPr>
              <w:t>液面距排放点的</w:t>
            </w:r>
            <w:r>
              <w:rPr>
                <w:rFonts w:hint="default" w:ascii="Times New Roman" w:hAnsi="Times New Roman" w:cs="Times New Roman"/>
                <w:b/>
                <w:bCs/>
                <w:sz w:val="21"/>
                <w:szCs w:val="24"/>
                <w:u w:val="none"/>
              </w:rPr>
              <w:t xml:space="preserve">                  高度（</w:t>
            </w:r>
            <w:r>
              <w:rPr>
                <w:rFonts w:hint="default" w:ascii="Times New Roman" w:hAnsi="Times New Roman" w:eastAsia="Times New Roman" w:cs="Times New Roman"/>
                <w:b/>
                <w:bCs/>
                <w:sz w:val="21"/>
                <w:szCs w:val="24"/>
                <w:u w:val="none"/>
              </w:rPr>
              <w:t>m</w:t>
            </w:r>
            <w:r>
              <w:rPr>
                <w:rFonts w:hint="default" w:ascii="Times New Roman" w:hAnsi="Times New Roman" w:cs="Times New Roman"/>
                <w:b/>
                <w:bCs/>
                <w:sz w:val="21"/>
                <w:szCs w:val="24"/>
                <w:u w:val="none"/>
              </w:rPr>
              <w:t>）</w:t>
            </w:r>
          </w:p>
        </w:tc>
      </w:tr>
      <w:tr w14:paraId="3110F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75" w:hRule="atLeast"/>
          <w:jc w:val="center"/>
        </w:trPr>
        <w:tc>
          <w:tcPr>
            <w:tcW w:w="472" w:type="dxa"/>
            <w:tcBorders>
              <w:top w:val="single" w:color="000000" w:sz="4" w:space="0"/>
              <w:left w:val="single" w:color="000000" w:sz="8" w:space="0"/>
              <w:bottom w:val="single" w:color="000000" w:sz="4" w:space="0"/>
              <w:right w:val="single" w:color="000000" w:sz="4" w:space="0"/>
            </w:tcBorders>
            <w:noWrap w:val="0"/>
            <w:vAlign w:val="center"/>
          </w:tcPr>
          <w:p w14:paraId="04042B7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pacing w:val="-2"/>
                <w:sz w:val="21"/>
                <w:szCs w:val="24"/>
                <w:u w:val="none"/>
              </w:rPr>
            </w:pPr>
            <w:r>
              <w:rPr>
                <w:rFonts w:hint="default" w:ascii="Times New Roman" w:hAnsi="Times New Roman" w:cs="Times New Roman"/>
                <w:b w:val="0"/>
                <w:bCs w:val="0"/>
                <w:spacing w:val="-2"/>
                <w:sz w:val="21"/>
                <w:szCs w:val="24"/>
                <w:u w:val="none"/>
              </w:rPr>
              <w:t>储罐泄漏</w:t>
            </w:r>
          </w:p>
        </w:tc>
        <w:tc>
          <w:tcPr>
            <w:tcW w:w="1128" w:type="dxa"/>
            <w:tcBorders>
              <w:top w:val="single" w:color="000000" w:sz="4" w:space="0"/>
              <w:left w:val="single" w:color="000000" w:sz="4" w:space="0"/>
              <w:bottom w:val="single" w:color="000000" w:sz="4" w:space="0"/>
              <w:right w:val="single" w:color="000000" w:sz="4" w:space="0"/>
            </w:tcBorders>
            <w:noWrap w:val="0"/>
            <w:vAlign w:val="center"/>
          </w:tcPr>
          <w:p w14:paraId="2D0B235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硫酸</w:t>
            </w:r>
          </w:p>
        </w:tc>
        <w:tc>
          <w:tcPr>
            <w:tcW w:w="1062" w:type="dxa"/>
            <w:tcBorders>
              <w:top w:val="single" w:color="000000" w:sz="4" w:space="0"/>
              <w:left w:val="single" w:color="000000" w:sz="4" w:space="0"/>
              <w:bottom w:val="single" w:color="000000" w:sz="4" w:space="0"/>
              <w:right w:val="single" w:color="000000" w:sz="4" w:space="0"/>
            </w:tcBorders>
            <w:noWrap w:val="0"/>
            <w:vAlign w:val="center"/>
          </w:tcPr>
          <w:p w14:paraId="61C746F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b w:val="0"/>
                <w:bCs w:val="0"/>
                <w:sz w:val="21"/>
                <w:szCs w:val="24"/>
                <w:u w:val="none"/>
              </w:rPr>
            </w:pPr>
            <w:r>
              <w:rPr>
                <w:rFonts w:hint="default" w:ascii="Times New Roman" w:hAnsi="Times New Roman" w:eastAsia="Times New Roman" w:cs="Times New Roman"/>
                <w:b w:val="0"/>
                <w:bCs w:val="0"/>
                <w:sz w:val="21"/>
                <w:szCs w:val="24"/>
                <w:u w:val="none"/>
              </w:rPr>
              <w:t>10mm</w:t>
            </w:r>
          </w:p>
        </w:tc>
        <w:tc>
          <w:tcPr>
            <w:tcW w:w="1010" w:type="dxa"/>
            <w:tcBorders>
              <w:top w:val="single" w:color="000000" w:sz="4" w:space="0"/>
              <w:left w:val="single" w:color="000000" w:sz="4" w:space="0"/>
              <w:bottom w:val="single" w:color="000000" w:sz="4" w:space="0"/>
              <w:right w:val="single" w:color="000000" w:sz="4" w:space="0"/>
            </w:tcBorders>
            <w:noWrap w:val="0"/>
            <w:vAlign w:val="center"/>
          </w:tcPr>
          <w:p w14:paraId="6A46576D">
            <w:pPr>
              <w:adjustRightInd/>
              <w:snapToGrid/>
              <w:spacing w:line="240" w:lineRule="auto"/>
              <w:ind w:firstLine="0" w:firstLineChars="0"/>
              <w:jc w:val="center"/>
              <w:rPr>
                <w:rFonts w:hint="default" w:ascii="Times New Roman" w:hAnsi="Times New Roman" w:eastAsia="Times New Roman" w:cs="Times New Roman"/>
                <w:b w:val="0"/>
                <w:bCs w:val="0"/>
                <w:sz w:val="21"/>
                <w:szCs w:val="24"/>
                <w:u w:val="none"/>
              </w:rPr>
            </w:pPr>
            <w:r>
              <w:rPr>
                <w:rFonts w:hint="eastAsia"/>
                <w:sz w:val="21"/>
                <w:szCs w:val="21"/>
              </w:rPr>
              <w:t>1830.5</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3E3E8A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0.39</w:t>
            </w:r>
          </w:p>
        </w:tc>
        <w:tc>
          <w:tcPr>
            <w:tcW w:w="1485" w:type="dxa"/>
            <w:tcBorders>
              <w:top w:val="single" w:color="000000" w:sz="4" w:space="0"/>
              <w:left w:val="single" w:color="000000" w:sz="4" w:space="0"/>
              <w:bottom w:val="single" w:color="000000" w:sz="4" w:space="0"/>
              <w:right w:val="single" w:color="000000" w:sz="4" w:space="0"/>
            </w:tcBorders>
            <w:noWrap w:val="0"/>
            <w:vAlign w:val="center"/>
          </w:tcPr>
          <w:p w14:paraId="769E226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Times New Roman" w:cs="Times New Roman"/>
                <w:b w:val="0"/>
                <w:bCs w:val="0"/>
                <w:sz w:val="21"/>
                <w:szCs w:val="24"/>
                <w:u w:val="none"/>
              </w:rPr>
            </w:pPr>
            <w:r>
              <w:rPr>
                <w:rFonts w:hint="default" w:ascii="Times New Roman" w:hAnsi="Times New Roman" w:eastAsia="Times New Roman" w:cs="Times New Roman"/>
                <w:b w:val="0"/>
                <w:bCs w:val="0"/>
                <w:sz w:val="21"/>
                <w:szCs w:val="24"/>
                <w:u w:val="none"/>
              </w:rPr>
              <w:t>10</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28B5646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234</w:t>
            </w:r>
          </w:p>
        </w:tc>
        <w:tc>
          <w:tcPr>
            <w:tcW w:w="1545" w:type="dxa"/>
            <w:tcBorders>
              <w:top w:val="single" w:color="000000" w:sz="4" w:space="0"/>
              <w:left w:val="single" w:color="000000" w:sz="4" w:space="0"/>
              <w:bottom w:val="single" w:color="000000" w:sz="4" w:space="0"/>
              <w:right w:val="single" w:color="000000" w:sz="8" w:space="0"/>
            </w:tcBorders>
            <w:noWrap w:val="0"/>
            <w:vAlign w:val="center"/>
          </w:tcPr>
          <w:p w14:paraId="73D1549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eastAsia" w:ascii="Times New Roman" w:hAnsi="Times New Roman" w:eastAsia="宋体" w:cs="Times New Roman"/>
                <w:b w:val="0"/>
                <w:bCs w:val="0"/>
                <w:sz w:val="21"/>
                <w:szCs w:val="24"/>
                <w:u w:val="none"/>
                <w:lang w:eastAsia="zh-CN"/>
              </w:rPr>
            </w:pPr>
            <w:r>
              <w:rPr>
                <w:rFonts w:hint="eastAsia" w:ascii="Times New Roman" w:hAnsi="Times New Roman" w:eastAsia="宋体" w:cs="Times New Roman"/>
                <w:b w:val="0"/>
                <w:bCs w:val="0"/>
                <w:sz w:val="21"/>
                <w:szCs w:val="24"/>
                <w:u w:val="none"/>
                <w:lang w:val="en-US" w:eastAsia="zh-CN"/>
              </w:rPr>
              <w:t>1</w:t>
            </w:r>
          </w:p>
        </w:tc>
      </w:tr>
    </w:tbl>
    <w:p w14:paraId="29BC1491">
      <w:pPr>
        <w:pStyle w:val="72"/>
        <w:ind w:firstLine="482"/>
        <w:rPr>
          <w:b/>
          <w:bCs/>
        </w:rPr>
      </w:pPr>
      <w:r>
        <w:rPr>
          <w:rFonts w:hint="eastAsia"/>
          <w:b/>
          <w:bCs/>
        </w:rPr>
        <w:t>（2）泄漏液体蒸发量计算</w:t>
      </w:r>
    </w:p>
    <w:p w14:paraId="0EA515D1">
      <w:pPr>
        <w:pStyle w:val="72"/>
      </w:pPr>
      <w:r>
        <w:t>根据</w:t>
      </w:r>
      <w:r>
        <w:rPr>
          <w:rFonts w:hint="eastAsia"/>
        </w:rPr>
        <w:t>《</w:t>
      </w:r>
      <w:r>
        <w:t>建设项目环境风险评价技术导则</w:t>
      </w:r>
      <w:r>
        <w:rPr>
          <w:rFonts w:hint="eastAsia"/>
        </w:rPr>
        <w:t>》（HJ169-2018）</w:t>
      </w:r>
      <w:r>
        <w:t>的规定，</w:t>
      </w:r>
      <w:r>
        <w:rPr>
          <w:rFonts w:hint="eastAsia"/>
        </w:rPr>
        <w:t>本项目硫酸质量蒸发速度计算如下。</w:t>
      </w:r>
    </w:p>
    <w:p w14:paraId="0EB7266E">
      <w:pPr>
        <w:pStyle w:val="83"/>
        <w:spacing w:before="120" w:after="120"/>
        <w:ind w:firstLine="361"/>
      </w:pPr>
      <m:oMathPara>
        <m:oMath>
          <m:sSub>
            <m:sSubPr>
              <m:ctrlPr>
                <w:rPr>
                  <w:rFonts w:ascii="Cambria Math" w:hAnsi="Cambria Math"/>
                </w:rPr>
              </m:ctrlPr>
            </m:sSubPr>
            <m:e>
              <m:r>
                <m:rPr>
                  <m:sty m:val="p"/>
                </m:rPr>
                <w:rPr>
                  <w:rFonts w:ascii="Cambria Math" w:hAnsi="Cambria Math"/>
                </w:rPr>
                <m:t>Q</m:t>
              </m:r>
              <m:ctrlPr>
                <w:rPr>
                  <w:rFonts w:ascii="Cambria Math" w:hAnsi="Cambria Math"/>
                </w:rPr>
              </m:ctrlPr>
            </m:e>
            <m:sub>
              <m:r>
                <m:rPr>
                  <m:sty m:val="p"/>
                </m:rPr>
                <w:rPr>
                  <w:rFonts w:ascii="Cambria Math" w:hAnsi="Cambria Math"/>
                </w:rPr>
                <m:t>3</m:t>
              </m:r>
              <m:ctrlPr>
                <w:rPr>
                  <w:rFonts w:ascii="Cambria Math" w:hAnsi="Cambria Math"/>
                </w:rPr>
              </m:ctrlPr>
            </m:sub>
          </m:sSub>
          <m:r>
            <m:rPr>
              <m:sty m:val="p"/>
            </m:rPr>
            <w:rPr>
              <w:rFonts w:ascii="Cambria Math" w:hAnsi="Cambria Math"/>
            </w:rPr>
            <m:t>=αp</m:t>
          </m:r>
          <m:f>
            <m:fPr>
              <m:ctrlPr>
                <w:rPr>
                  <w:rFonts w:ascii="Cambria Math" w:hAnsi="Cambria Math"/>
                </w:rPr>
              </m:ctrlPr>
            </m:fPr>
            <m:num>
              <m:r>
                <m:rPr>
                  <m:sty m:val="p"/>
                </m:rPr>
                <w:rPr>
                  <w:rFonts w:ascii="Cambria Math" w:hAnsi="Cambria Math"/>
                </w:rPr>
                <m:t>M</m:t>
              </m:r>
              <m:ctrlPr>
                <w:rPr>
                  <w:rFonts w:ascii="Cambria Math" w:hAnsi="Cambria Math"/>
                </w:rPr>
              </m:ctrlPr>
            </m:num>
            <m:den>
              <m:r>
                <m:rPr>
                  <m:sty m:val="p"/>
                </m:rPr>
                <w:rPr>
                  <w:rFonts w:ascii="Cambria Math" w:hAnsi="Cambria Math"/>
                </w:rPr>
                <m:t>R</m:t>
              </m:r>
              <m:sSub>
                <m:sSubPr>
                  <m:ctrlPr>
                    <w:rPr>
                      <w:rFonts w:ascii="Cambria Math" w:hAnsi="Cambria Math"/>
                    </w:rPr>
                  </m:ctrlPr>
                </m:sSubPr>
                <m:e>
                  <m:r>
                    <m:rPr>
                      <m:sty m:val="p"/>
                    </m:rPr>
                    <w:rPr>
                      <w:rFonts w:ascii="Cambria Math" w:hAnsi="Cambria Math"/>
                    </w:rPr>
                    <m:t>T</m:t>
                  </m:r>
                  <m:ctrlPr>
                    <w:rPr>
                      <w:rFonts w:ascii="Cambria Math" w:hAnsi="Cambria Math"/>
                    </w:rPr>
                  </m:ctrlPr>
                </m:e>
                <m:sub>
                  <m:r>
                    <m:rPr>
                      <m:sty m:val="p"/>
                    </m:rPr>
                    <w:rPr>
                      <w:rFonts w:ascii="Cambria Math" w:hAnsi="Cambria Math"/>
                    </w:rPr>
                    <m:t>0</m:t>
                  </m:r>
                  <m:ctrlPr>
                    <w:rPr>
                      <w:rFonts w:ascii="Cambria Math" w:hAnsi="Cambria Math"/>
                    </w:rPr>
                  </m:ctrlPr>
                </m:sub>
              </m:sSub>
              <m:ctrlPr>
                <w:rPr>
                  <w:rFonts w:ascii="Cambria Math" w:hAnsi="Cambria Math"/>
                </w:rPr>
              </m:ctrlPr>
            </m:den>
          </m:f>
          <m:sSup>
            <m:sSupPr>
              <m:ctrlPr>
                <w:rPr>
                  <w:rFonts w:ascii="Cambria Math" w:hAnsi="Cambria Math"/>
                </w:rPr>
              </m:ctrlPr>
            </m:sSupPr>
            <m:e>
              <m:r>
                <m:rPr>
                  <m:sty m:val="p"/>
                </m:rPr>
                <w:rPr>
                  <w:rFonts w:ascii="Cambria Math" w:hAnsi="Cambria Math"/>
                </w:rPr>
                <m:t>u</m:t>
              </m:r>
              <m:ctrlPr>
                <w:rPr>
                  <w:rFonts w:ascii="Cambria Math" w:hAnsi="Cambria Math"/>
                </w:rPr>
              </m:ctrlPr>
            </m:e>
            <m:sup>
              <m:f>
                <m:fPr>
                  <m:ctrlPr>
                    <w:rPr>
                      <w:rFonts w:ascii="Cambria Math" w:hAnsi="Cambria Math"/>
                    </w:rPr>
                  </m:ctrlPr>
                </m:fPr>
                <m:num>
                  <m:d>
                    <m:dPr>
                      <m:ctrlPr>
                        <w:rPr>
                          <w:rFonts w:ascii="Cambria Math" w:hAnsi="Cambria Math"/>
                        </w:rPr>
                      </m:ctrlPr>
                    </m:dPr>
                    <m:e>
                      <m:r>
                        <m:rPr>
                          <m:sty m:val="p"/>
                        </m:rPr>
                        <w:rPr>
                          <w:rFonts w:ascii="Cambria Math" w:hAnsi="Cambria Math"/>
                        </w:rPr>
                        <m:t>2−n</m:t>
                      </m:r>
                      <m:ctrlPr>
                        <w:rPr>
                          <w:rFonts w:ascii="Cambria Math" w:hAnsi="Cambria Math"/>
                        </w:rPr>
                      </m:ctrlPr>
                    </m:e>
                  </m:d>
                  <m:ctrlPr>
                    <w:rPr>
                      <w:rFonts w:ascii="Cambria Math" w:hAnsi="Cambria Math"/>
                    </w:rPr>
                  </m:ctrlPr>
                </m:num>
                <m:den>
                  <m:d>
                    <m:dPr>
                      <m:ctrlPr>
                        <w:rPr>
                          <w:rFonts w:ascii="Cambria Math" w:hAnsi="Cambria Math"/>
                        </w:rPr>
                      </m:ctrlPr>
                    </m:dPr>
                    <m:e>
                      <m:r>
                        <m:rPr>
                          <m:sty m:val="p"/>
                        </m:rPr>
                        <w:rPr>
                          <w:rFonts w:ascii="Cambria Math" w:hAnsi="Cambria Math"/>
                        </w:rPr>
                        <m:t>2+n</m:t>
                      </m:r>
                      <m:ctrlPr>
                        <w:rPr>
                          <w:rFonts w:ascii="Cambria Math" w:hAnsi="Cambria Math"/>
                        </w:rPr>
                      </m:ctrlPr>
                    </m:e>
                  </m:d>
                  <m:ctrlPr>
                    <w:rPr>
                      <w:rFonts w:ascii="Cambria Math" w:hAnsi="Cambria Math"/>
                    </w:rPr>
                  </m:ctrlPr>
                </m:den>
              </m:f>
              <m:ctrlPr>
                <w:rPr>
                  <w:rFonts w:ascii="Cambria Math" w:hAnsi="Cambria Math"/>
                </w:rPr>
              </m:ctrlPr>
            </m:sup>
          </m:sSup>
          <m:sSup>
            <m:sSupPr>
              <m:ctrlPr>
                <w:rPr>
                  <w:rFonts w:ascii="Cambria Math" w:hAnsi="Cambria Math"/>
                </w:rPr>
              </m:ctrlPr>
            </m:sSupPr>
            <m:e>
              <m:r>
                <m:rPr>
                  <m:sty m:val="p"/>
                </m:rPr>
                <w:rPr>
                  <w:rFonts w:ascii="Cambria Math" w:hAnsi="Cambria Math"/>
                </w:rPr>
                <m:t>r</m:t>
              </m:r>
              <m:ctrlPr>
                <w:rPr>
                  <w:rFonts w:ascii="Cambria Math" w:hAnsi="Cambria Math"/>
                </w:rPr>
              </m:ctrlPr>
            </m:e>
            <m:sup>
              <m:f>
                <m:fPr>
                  <m:ctrlPr>
                    <w:rPr>
                      <w:rFonts w:ascii="Cambria Math" w:hAnsi="Cambria Math"/>
                    </w:rPr>
                  </m:ctrlPr>
                </m:fPr>
                <m:num>
                  <m:d>
                    <m:dPr>
                      <m:ctrlPr>
                        <w:rPr>
                          <w:rFonts w:ascii="Cambria Math" w:hAnsi="Cambria Math"/>
                        </w:rPr>
                      </m:ctrlPr>
                    </m:dPr>
                    <m:e>
                      <m:r>
                        <m:rPr>
                          <m:sty m:val="p"/>
                        </m:rPr>
                        <w:rPr>
                          <w:rFonts w:ascii="Cambria Math" w:hAnsi="Cambria Math"/>
                        </w:rPr>
                        <m:t>4+n</m:t>
                      </m:r>
                      <m:ctrlPr>
                        <w:rPr>
                          <w:rFonts w:ascii="Cambria Math" w:hAnsi="Cambria Math"/>
                        </w:rPr>
                      </m:ctrlPr>
                    </m:e>
                  </m:d>
                  <m:ctrlPr>
                    <w:rPr>
                      <w:rFonts w:ascii="Cambria Math" w:hAnsi="Cambria Math"/>
                    </w:rPr>
                  </m:ctrlPr>
                </m:num>
                <m:den>
                  <m:d>
                    <m:dPr>
                      <m:ctrlPr>
                        <w:rPr>
                          <w:rFonts w:ascii="Cambria Math" w:hAnsi="Cambria Math"/>
                        </w:rPr>
                      </m:ctrlPr>
                    </m:dPr>
                    <m:e>
                      <m:r>
                        <m:rPr>
                          <m:sty m:val="p"/>
                        </m:rPr>
                        <w:rPr>
                          <w:rFonts w:ascii="Cambria Math" w:hAnsi="Cambria Math"/>
                        </w:rPr>
                        <m:t>2+n</m:t>
                      </m:r>
                      <m:ctrlPr>
                        <w:rPr>
                          <w:rFonts w:ascii="Cambria Math" w:hAnsi="Cambria Math"/>
                        </w:rPr>
                      </m:ctrlPr>
                    </m:e>
                  </m:d>
                  <m:ctrlPr>
                    <w:rPr>
                      <w:rFonts w:ascii="Cambria Math" w:hAnsi="Cambria Math"/>
                    </w:rPr>
                  </m:ctrlPr>
                </m:den>
              </m:f>
              <m:ctrlPr>
                <w:rPr>
                  <w:rFonts w:ascii="Cambria Math" w:hAnsi="Cambria Math"/>
                </w:rPr>
              </m:ctrlPr>
            </m:sup>
          </m:sSup>
        </m:oMath>
      </m:oMathPara>
    </w:p>
    <w:p w14:paraId="2349F57F">
      <w:pPr>
        <w:ind w:firstLine="480"/>
      </w:pPr>
      <w:r>
        <w:t>式中，Q</w:t>
      </w:r>
      <w:r>
        <w:rPr>
          <w:vertAlign w:val="subscript"/>
        </w:rPr>
        <w:t>3</w:t>
      </w:r>
      <w:r>
        <w:rPr>
          <w:rFonts w:hint="eastAsia"/>
        </w:rPr>
        <w:t>—</w:t>
      </w:r>
      <w:r>
        <w:t>质量蒸发速度，kg/s；</w:t>
      </w:r>
    </w:p>
    <w:p w14:paraId="675BD111">
      <w:pPr>
        <w:ind w:firstLine="1200" w:firstLineChars="500"/>
      </w:pPr>
      <w:r>
        <w:t>α，n</w:t>
      </w:r>
      <w:r>
        <w:rPr>
          <w:rFonts w:hint="eastAsia"/>
        </w:rPr>
        <w:t>—</w:t>
      </w:r>
      <w:r>
        <w:t>大气稳定度系数</w:t>
      </w:r>
      <w:r>
        <w:rPr>
          <w:rFonts w:hint="eastAsia"/>
        </w:rPr>
        <w:t>，</w:t>
      </w:r>
      <w:r>
        <w:t>最不利气象：α取5.285×10</w:t>
      </w:r>
      <w:r>
        <w:rPr>
          <w:vertAlign w:val="superscript"/>
        </w:rPr>
        <w:t>-3</w:t>
      </w:r>
      <w:r>
        <w:t>，n取0.3；</w:t>
      </w:r>
    </w:p>
    <w:p w14:paraId="48706167">
      <w:pPr>
        <w:ind w:firstLine="1200" w:firstLineChars="500"/>
      </w:pPr>
      <w:r>
        <w:t>p</w:t>
      </w:r>
      <w:r>
        <w:rPr>
          <w:rFonts w:hint="eastAsia"/>
        </w:rPr>
        <w:t>—</w:t>
      </w:r>
      <w:r>
        <w:t>液体表面蒸气压，Pa；</w:t>
      </w:r>
    </w:p>
    <w:p w14:paraId="1A55794C">
      <w:pPr>
        <w:pStyle w:val="72"/>
        <w:ind w:firstLine="1200" w:firstLineChars="500"/>
      </w:pPr>
      <w:r>
        <w:rPr>
          <w:rFonts w:hint="eastAsia"/>
        </w:rPr>
        <w:t>M—物质的摩尔质量，kg/mol；</w:t>
      </w:r>
    </w:p>
    <w:p w14:paraId="5C1B1A05">
      <w:pPr>
        <w:ind w:firstLine="1200" w:firstLineChars="500"/>
      </w:pPr>
      <w:r>
        <w:t>R</w:t>
      </w:r>
      <w:r>
        <w:rPr>
          <w:rFonts w:hint="eastAsia"/>
        </w:rPr>
        <w:t>—</w:t>
      </w:r>
      <w:r>
        <w:t>气体常数</w:t>
      </w:r>
      <w:r>
        <w:rPr>
          <w:rFonts w:hint="eastAsia"/>
        </w:rPr>
        <w:t>，</w:t>
      </w:r>
      <w:r>
        <w:t>J/(mol</w:t>
      </w:r>
      <w:r>
        <w:rPr>
          <w:rFonts w:hint="eastAsia"/>
        </w:rPr>
        <w:t>·</w:t>
      </w:r>
      <w:r>
        <w:t>K)；</w:t>
      </w:r>
    </w:p>
    <w:p w14:paraId="16C2219D">
      <w:pPr>
        <w:ind w:firstLine="1200" w:firstLineChars="500"/>
      </w:pPr>
      <w:r>
        <w:t>T</w:t>
      </w:r>
      <w:r>
        <w:rPr>
          <w:vertAlign w:val="subscript"/>
        </w:rPr>
        <w:t>0</w:t>
      </w:r>
      <w:r>
        <w:rPr>
          <w:rFonts w:hint="eastAsia"/>
        </w:rPr>
        <w:t>—</w:t>
      </w:r>
      <w:r>
        <w:t>环境温度，k；</w:t>
      </w:r>
    </w:p>
    <w:p w14:paraId="309037D0">
      <w:pPr>
        <w:ind w:firstLine="1200" w:firstLineChars="500"/>
        <w:rPr>
          <w:rFonts w:ascii="宋体"/>
        </w:rPr>
      </w:pPr>
      <w:r>
        <w:t>u</w:t>
      </w:r>
      <w:r>
        <w:rPr>
          <w:rFonts w:ascii="宋体"/>
        </w:rPr>
        <w:t>—风速，</w:t>
      </w:r>
      <w:r>
        <w:t>m/s</w:t>
      </w:r>
      <w:r>
        <w:rPr>
          <w:rFonts w:ascii="宋体"/>
        </w:rPr>
        <w:t>；</w:t>
      </w:r>
    </w:p>
    <w:p w14:paraId="27B9EDBF">
      <w:pPr>
        <w:ind w:firstLine="1200" w:firstLineChars="500"/>
        <w:rPr>
          <w:rFonts w:ascii="宋体"/>
        </w:rPr>
      </w:pPr>
      <w:r>
        <w:t>r</w:t>
      </w:r>
      <w:r>
        <w:rPr>
          <w:rFonts w:ascii="宋体"/>
        </w:rPr>
        <w:t>—液池半径，</w:t>
      </w:r>
      <w:r>
        <w:t>m</w:t>
      </w:r>
      <w:r>
        <w:rPr>
          <w:rFonts w:ascii="宋体"/>
        </w:rPr>
        <w:t>。</w:t>
      </w:r>
    </w:p>
    <w:p w14:paraId="0DEBD0EF">
      <w:pPr>
        <w:keepNext w:val="0"/>
        <w:keepLines w:val="0"/>
        <w:pageBreakBefore w:val="0"/>
        <w:widowControl w:val="0"/>
        <w:kinsoku/>
        <w:wordWrap/>
        <w:overflowPunct/>
        <w:topLinePunct w:val="0"/>
        <w:autoSpaceDE/>
        <w:autoSpaceDN/>
        <w:bidi w:val="0"/>
        <w:adjustRightInd w:val="0"/>
        <w:snapToGrid w:val="0"/>
        <w:textAlignment w:val="baseline"/>
        <w:rPr>
          <w:rFonts w:hint="eastAsia" w:ascii="Times New Roman" w:hAnsi="Times New Roman" w:eastAsia="宋体" w:cs="Times New Roman"/>
          <w:lang w:eastAsia="zh-CN"/>
        </w:rPr>
      </w:pPr>
      <w:r>
        <w:rPr>
          <w:rFonts w:hint="default" w:ascii="Times New Roman" w:hAnsi="Times New Roman" w:eastAsia="宋体" w:cs="Times New Roman"/>
        </w:rPr>
        <w:t>根据工程情况，泄漏物料泄漏后进入罐区围堰，泄漏后形成的液池半径为</w:t>
      </w:r>
      <w:r>
        <w:rPr>
          <w:rFonts w:hint="eastAsia" w:ascii="Times New Roman" w:hAnsi="Times New Roman" w:eastAsia="宋体" w:cs="Times New Roman"/>
          <w:lang w:val="en-US" w:eastAsia="zh-CN"/>
        </w:rPr>
        <w:t>1.8</w:t>
      </w:r>
      <w:r>
        <w:rPr>
          <w:rFonts w:hint="default" w:ascii="Times New Roman" w:hAnsi="Times New Roman" w:eastAsia="宋体" w:cs="Times New Roman"/>
        </w:rPr>
        <w:t>m</w:t>
      </w:r>
      <w:r>
        <w:rPr>
          <w:rFonts w:hint="eastAsia" w:ascii="Times New Roman" w:hAnsi="Times New Roman" w:eastAsia="宋体" w:cs="Times New Roman"/>
          <w:lang w:eastAsia="zh-CN"/>
        </w:rPr>
        <w:t>，根据上式计算出的本项目物料泄漏的质量蒸发速率见下表。</w:t>
      </w:r>
    </w:p>
    <w:p w14:paraId="3D2271A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default"/>
        </w:rPr>
      </w:pPr>
      <w:r>
        <w:rPr>
          <w:rFonts w:hint="eastAsia"/>
          <w:lang w:val="en-US" w:eastAsia="zh-CN"/>
        </w:rPr>
        <w:t>表6.4-4</w:t>
      </w:r>
      <w:r>
        <w:rPr>
          <w:rFonts w:hint="default"/>
          <w:lang w:val="en-US" w:eastAsia="zh-CN"/>
        </w:rPr>
        <w:t xml:space="preserve">    </w:t>
      </w:r>
      <w:r>
        <w:rPr>
          <w:rFonts w:hint="default"/>
        </w:rPr>
        <w:t>本项目最不利气象条件下泄漏事故时的质量蒸发速率计算一览表</w:t>
      </w:r>
    </w:p>
    <w:tbl>
      <w:tblPr>
        <w:tblStyle w:val="39"/>
        <w:tblW w:w="508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777"/>
        <w:gridCol w:w="778"/>
        <w:gridCol w:w="778"/>
        <w:gridCol w:w="1064"/>
        <w:gridCol w:w="776"/>
        <w:gridCol w:w="861"/>
        <w:gridCol w:w="819"/>
        <w:gridCol w:w="1138"/>
        <w:gridCol w:w="562"/>
        <w:gridCol w:w="964"/>
      </w:tblGrid>
      <w:tr w14:paraId="5D6BDA4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77" w:type="dxa"/>
            <w:tcBorders>
              <w:tl2br w:val="nil"/>
              <w:tr2bl w:val="nil"/>
            </w:tcBorders>
            <w:noWrap w:val="0"/>
            <w:vAlign w:val="center"/>
          </w:tcPr>
          <w:p w14:paraId="290AA44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指标</w:t>
            </w:r>
          </w:p>
        </w:tc>
        <w:tc>
          <w:tcPr>
            <w:tcW w:w="778" w:type="dxa"/>
            <w:tcBorders>
              <w:tl2br w:val="nil"/>
              <w:tr2bl w:val="nil"/>
            </w:tcBorders>
            <w:noWrap w:val="0"/>
            <w:vAlign w:val="center"/>
          </w:tcPr>
          <w:p w14:paraId="2A9F40C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大气稳</w:t>
            </w:r>
          </w:p>
          <w:p w14:paraId="63C847E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eastAsia="宋体" w:cs="Times New Roman"/>
                <w:b/>
                <w:bCs/>
                <w:sz w:val="21"/>
                <w:szCs w:val="24"/>
                <w:u w:val="none"/>
              </w:rPr>
              <w:t>定度</w:t>
            </w:r>
          </w:p>
        </w:tc>
        <w:tc>
          <w:tcPr>
            <w:tcW w:w="778" w:type="dxa"/>
            <w:tcBorders>
              <w:tl2br w:val="nil"/>
              <w:tr2bl w:val="nil"/>
            </w:tcBorders>
            <w:noWrap w:val="0"/>
            <w:vAlign w:val="center"/>
          </w:tcPr>
          <w:p w14:paraId="39860B5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cs="Times New Roman"/>
                <w:b/>
                <w:bCs/>
                <w:sz w:val="21"/>
                <w:szCs w:val="24"/>
                <w:u w:val="none"/>
              </w:rPr>
              <w:t>P</w:t>
            </w:r>
            <w:r>
              <w:rPr>
                <w:rFonts w:hint="default" w:ascii="Times New Roman" w:hAnsi="Times New Roman" w:eastAsia="宋体" w:cs="Times New Roman"/>
                <w:b/>
                <w:bCs/>
                <w:sz w:val="21"/>
                <w:szCs w:val="24"/>
                <w:u w:val="none"/>
              </w:rPr>
              <w:t>（</w:t>
            </w:r>
            <w:r>
              <w:rPr>
                <w:rFonts w:hint="default" w:ascii="Times New Roman" w:hAnsi="Times New Roman" w:cs="Times New Roman"/>
                <w:b/>
                <w:bCs/>
                <w:sz w:val="21"/>
                <w:szCs w:val="24"/>
                <w:u w:val="none"/>
              </w:rPr>
              <w:t>Pa</w:t>
            </w:r>
            <w:r>
              <w:rPr>
                <w:rFonts w:hint="default" w:ascii="Times New Roman" w:hAnsi="Times New Roman" w:eastAsia="宋体" w:cs="Times New Roman"/>
                <w:b/>
                <w:bCs/>
                <w:sz w:val="21"/>
                <w:szCs w:val="24"/>
                <w:u w:val="none"/>
              </w:rPr>
              <w:t>）</w:t>
            </w:r>
          </w:p>
        </w:tc>
        <w:tc>
          <w:tcPr>
            <w:tcW w:w="1064" w:type="dxa"/>
            <w:tcBorders>
              <w:tl2br w:val="nil"/>
              <w:tr2bl w:val="nil"/>
            </w:tcBorders>
            <w:noWrap w:val="0"/>
            <w:vAlign w:val="center"/>
          </w:tcPr>
          <w:p w14:paraId="0CC1C89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pacing w:val="-9"/>
                <w:sz w:val="21"/>
                <w:szCs w:val="24"/>
                <w:u w:val="none"/>
              </w:rPr>
            </w:pPr>
            <w:r>
              <w:rPr>
                <w:rFonts w:hint="default" w:ascii="Times New Roman" w:hAnsi="Times New Roman" w:cs="Times New Roman"/>
                <w:b/>
                <w:bCs/>
                <w:spacing w:val="-9"/>
                <w:sz w:val="21"/>
                <w:szCs w:val="24"/>
                <w:u w:val="none"/>
              </w:rPr>
              <w:t>M</w:t>
            </w:r>
            <w:r>
              <w:rPr>
                <w:rFonts w:hint="default" w:ascii="Times New Roman" w:hAnsi="Times New Roman" w:eastAsia="宋体" w:cs="Times New Roman"/>
                <w:b/>
                <w:bCs/>
                <w:spacing w:val="-9"/>
                <w:sz w:val="21"/>
                <w:szCs w:val="24"/>
                <w:u w:val="none"/>
              </w:rPr>
              <w:t>（</w:t>
            </w:r>
            <w:r>
              <w:rPr>
                <w:rFonts w:hint="default" w:ascii="Times New Roman" w:hAnsi="Times New Roman" w:cs="Times New Roman"/>
                <w:b/>
                <w:bCs/>
                <w:spacing w:val="-9"/>
                <w:sz w:val="21"/>
                <w:szCs w:val="24"/>
                <w:u w:val="none"/>
              </w:rPr>
              <w:t>kg/mol</w:t>
            </w:r>
            <w:r>
              <w:rPr>
                <w:rFonts w:hint="default" w:ascii="Times New Roman" w:hAnsi="Times New Roman" w:eastAsia="宋体" w:cs="Times New Roman"/>
                <w:b/>
                <w:bCs/>
                <w:spacing w:val="-9"/>
                <w:sz w:val="21"/>
                <w:szCs w:val="24"/>
                <w:u w:val="none"/>
              </w:rPr>
              <w:t>）</w:t>
            </w:r>
          </w:p>
        </w:tc>
        <w:tc>
          <w:tcPr>
            <w:tcW w:w="776" w:type="dxa"/>
            <w:tcBorders>
              <w:tl2br w:val="nil"/>
              <w:tr2bl w:val="nil"/>
            </w:tcBorders>
            <w:noWrap w:val="0"/>
            <w:vAlign w:val="center"/>
          </w:tcPr>
          <w:p w14:paraId="0EC33AF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position w:val="2"/>
                <w:sz w:val="21"/>
                <w:szCs w:val="24"/>
                <w:u w:val="none"/>
              </w:rPr>
            </w:pPr>
            <w:r>
              <w:rPr>
                <w:rFonts w:hint="default" w:ascii="Times New Roman" w:hAnsi="Times New Roman" w:cs="Times New Roman"/>
                <w:b/>
                <w:bCs/>
                <w:position w:val="2"/>
                <w:sz w:val="21"/>
                <w:szCs w:val="24"/>
                <w:u w:val="none"/>
              </w:rPr>
              <w:t>T</w:t>
            </w:r>
            <w:r>
              <w:rPr>
                <w:rFonts w:hint="default" w:ascii="Times New Roman" w:hAnsi="Times New Roman" w:cs="Times New Roman"/>
                <w:b/>
                <w:bCs/>
                <w:sz w:val="14"/>
                <w:szCs w:val="24"/>
                <w:u w:val="none"/>
              </w:rPr>
              <w:t>0</w:t>
            </w:r>
            <w:r>
              <w:rPr>
                <w:rFonts w:hint="default" w:ascii="Times New Roman" w:hAnsi="Times New Roman" w:eastAsia="宋体" w:cs="Times New Roman"/>
                <w:b/>
                <w:bCs/>
                <w:position w:val="2"/>
                <w:sz w:val="21"/>
                <w:szCs w:val="24"/>
                <w:u w:val="none"/>
              </w:rPr>
              <w:t>（</w:t>
            </w:r>
            <w:r>
              <w:rPr>
                <w:rFonts w:hint="default" w:ascii="Times New Roman" w:hAnsi="Times New Roman" w:cs="Times New Roman"/>
                <w:b/>
                <w:bCs/>
                <w:position w:val="2"/>
                <w:sz w:val="21"/>
                <w:szCs w:val="24"/>
                <w:u w:val="none"/>
              </w:rPr>
              <w:t>K</w:t>
            </w:r>
            <w:r>
              <w:rPr>
                <w:rFonts w:hint="default" w:ascii="Times New Roman" w:hAnsi="Times New Roman" w:eastAsia="宋体" w:cs="Times New Roman"/>
                <w:b/>
                <w:bCs/>
                <w:position w:val="2"/>
                <w:sz w:val="21"/>
                <w:szCs w:val="24"/>
                <w:u w:val="none"/>
              </w:rPr>
              <w:t>）</w:t>
            </w:r>
          </w:p>
        </w:tc>
        <w:tc>
          <w:tcPr>
            <w:tcW w:w="861" w:type="dxa"/>
            <w:tcBorders>
              <w:tl2br w:val="nil"/>
              <w:tr2bl w:val="nil"/>
            </w:tcBorders>
            <w:noWrap w:val="0"/>
            <w:vAlign w:val="center"/>
          </w:tcPr>
          <w:p w14:paraId="7973286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rPr>
            </w:pPr>
            <w:r>
              <w:rPr>
                <w:rFonts w:hint="default" w:ascii="Times New Roman" w:hAnsi="Times New Roman" w:cs="Times New Roman"/>
                <w:b/>
                <w:bCs/>
                <w:sz w:val="21"/>
                <w:szCs w:val="24"/>
                <w:u w:val="none"/>
              </w:rPr>
              <w:t>U</w:t>
            </w:r>
            <w:r>
              <w:rPr>
                <w:rFonts w:hint="default" w:ascii="Times New Roman" w:hAnsi="Times New Roman" w:eastAsia="宋体" w:cs="Times New Roman"/>
                <w:b/>
                <w:bCs/>
                <w:sz w:val="21"/>
                <w:szCs w:val="24"/>
                <w:u w:val="none"/>
              </w:rPr>
              <w:t>（</w:t>
            </w:r>
            <w:r>
              <w:rPr>
                <w:rFonts w:hint="default" w:ascii="Times New Roman" w:hAnsi="Times New Roman" w:cs="Times New Roman"/>
                <w:b/>
                <w:bCs/>
                <w:sz w:val="21"/>
                <w:szCs w:val="24"/>
                <w:u w:val="none"/>
              </w:rPr>
              <w:t>m/s</w:t>
            </w:r>
            <w:r>
              <w:rPr>
                <w:rFonts w:hint="default" w:ascii="Times New Roman" w:hAnsi="Times New Roman" w:eastAsia="宋体" w:cs="Times New Roman"/>
                <w:b/>
                <w:bCs/>
                <w:sz w:val="21"/>
                <w:szCs w:val="24"/>
                <w:u w:val="none"/>
              </w:rPr>
              <w:t>）</w:t>
            </w:r>
          </w:p>
        </w:tc>
        <w:tc>
          <w:tcPr>
            <w:tcW w:w="819" w:type="dxa"/>
            <w:tcBorders>
              <w:tl2br w:val="nil"/>
              <w:tr2bl w:val="nil"/>
            </w:tcBorders>
            <w:noWrap w:val="0"/>
            <w:vAlign w:val="center"/>
          </w:tcPr>
          <w:p w14:paraId="3E5D661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bCs/>
                <w:sz w:val="21"/>
                <w:szCs w:val="24"/>
                <w:u w:val="none"/>
                <w:lang w:val="en-US" w:eastAsia="zh-CN"/>
              </w:rPr>
            </w:pPr>
            <w:r>
              <w:rPr>
                <w:rFonts w:hint="eastAsia" w:ascii="Times New Roman" w:hAnsi="Times New Roman" w:eastAsia="宋体" w:cs="Times New Roman"/>
                <w:b/>
                <w:bCs/>
                <w:sz w:val="21"/>
                <w:szCs w:val="24"/>
                <w:u w:val="none"/>
                <w:lang w:val="en-US" w:eastAsia="zh-CN"/>
              </w:rPr>
              <w:t>液池面积（m</w:t>
            </w:r>
            <w:r>
              <w:rPr>
                <w:rFonts w:hint="eastAsia" w:ascii="Times New Roman" w:hAnsi="Times New Roman" w:eastAsia="宋体" w:cs="Times New Roman"/>
                <w:b/>
                <w:bCs/>
                <w:sz w:val="21"/>
                <w:szCs w:val="24"/>
                <w:u w:val="none"/>
                <w:vertAlign w:val="superscript"/>
                <w:lang w:val="en-US" w:eastAsia="zh-CN"/>
              </w:rPr>
              <w:t>2</w:t>
            </w:r>
            <w:r>
              <w:rPr>
                <w:rFonts w:hint="eastAsia" w:ascii="Times New Roman" w:hAnsi="Times New Roman" w:eastAsia="宋体" w:cs="Times New Roman"/>
                <w:b/>
                <w:bCs/>
                <w:sz w:val="21"/>
                <w:szCs w:val="24"/>
                <w:u w:val="none"/>
                <w:lang w:val="en-US" w:eastAsia="zh-CN"/>
              </w:rPr>
              <w:t>）</w:t>
            </w:r>
          </w:p>
        </w:tc>
        <w:tc>
          <w:tcPr>
            <w:tcW w:w="1138" w:type="dxa"/>
            <w:tcBorders>
              <w:tl2br w:val="nil"/>
              <w:tr2bl w:val="nil"/>
            </w:tcBorders>
            <w:noWrap w:val="0"/>
            <w:vAlign w:val="center"/>
          </w:tcPr>
          <w:p w14:paraId="37B6768F">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i/>
                <w:w w:val="101"/>
                <w:sz w:val="21"/>
                <w:szCs w:val="24"/>
                <w:u w:val="none"/>
              </w:rPr>
            </w:pPr>
            <w:r>
              <w:rPr>
                <w:rFonts w:hint="default" w:ascii="Times New Roman" w:hAnsi="Times New Roman" w:cs="Times New Roman"/>
                <w:b/>
                <w:bCs/>
                <w:i/>
                <w:w w:val="101"/>
                <w:sz w:val="21"/>
                <w:szCs w:val="24"/>
                <w:u w:val="none"/>
              </w:rPr>
              <w:t>α</w:t>
            </w:r>
          </w:p>
        </w:tc>
        <w:tc>
          <w:tcPr>
            <w:tcW w:w="562" w:type="dxa"/>
            <w:tcBorders>
              <w:tl2br w:val="nil"/>
              <w:tr2bl w:val="nil"/>
            </w:tcBorders>
            <w:noWrap w:val="0"/>
            <w:vAlign w:val="center"/>
          </w:tcPr>
          <w:p w14:paraId="6E78935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n</w:t>
            </w:r>
          </w:p>
        </w:tc>
        <w:tc>
          <w:tcPr>
            <w:tcW w:w="964" w:type="dxa"/>
            <w:tcBorders>
              <w:tl2br w:val="nil"/>
              <w:tr2bl w:val="nil"/>
            </w:tcBorders>
            <w:noWrap w:val="0"/>
            <w:vAlign w:val="center"/>
          </w:tcPr>
          <w:p w14:paraId="2BA8476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Q</w:t>
            </w:r>
            <w:r>
              <w:rPr>
                <w:rFonts w:hint="eastAsia" w:ascii="Times New Roman" w:hAnsi="Times New Roman" w:eastAsia="宋体" w:cs="Times New Roman"/>
                <w:b/>
                <w:bCs/>
                <w:sz w:val="21"/>
                <w:szCs w:val="24"/>
                <w:u w:val="none"/>
                <w:vertAlign w:val="subscript"/>
                <w:lang w:val="en-US" w:eastAsia="zh-CN"/>
              </w:rPr>
              <w:t>3</w:t>
            </w:r>
            <w:r>
              <w:rPr>
                <w:rFonts w:hint="default" w:ascii="Times New Roman" w:hAnsi="Times New Roman" w:eastAsia="宋体" w:cs="Times New Roman"/>
                <w:b/>
                <w:bCs/>
                <w:sz w:val="21"/>
                <w:szCs w:val="24"/>
                <w:u w:val="none"/>
              </w:rPr>
              <w:t>（</w:t>
            </w:r>
            <w:r>
              <w:rPr>
                <w:rFonts w:hint="default" w:ascii="Times New Roman" w:hAnsi="Times New Roman" w:cs="Times New Roman"/>
                <w:b/>
                <w:bCs/>
                <w:sz w:val="21"/>
                <w:szCs w:val="24"/>
                <w:u w:val="none"/>
              </w:rPr>
              <w:t>kg/s</w:t>
            </w:r>
            <w:r>
              <w:rPr>
                <w:rFonts w:hint="default" w:ascii="Times New Roman" w:hAnsi="Times New Roman" w:eastAsia="宋体" w:cs="Times New Roman"/>
                <w:b/>
                <w:bCs/>
                <w:sz w:val="21"/>
                <w:szCs w:val="24"/>
                <w:u w:val="none"/>
              </w:rPr>
              <w:t>）</w:t>
            </w:r>
          </w:p>
        </w:tc>
      </w:tr>
      <w:tr w14:paraId="3C6E398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77" w:type="dxa"/>
            <w:tcBorders>
              <w:tl2br w:val="nil"/>
              <w:tr2bl w:val="nil"/>
            </w:tcBorders>
            <w:noWrap w:val="0"/>
            <w:vAlign w:val="center"/>
          </w:tcPr>
          <w:p w14:paraId="1AC9665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rPr>
            </w:pPr>
            <w:r>
              <w:rPr>
                <w:rFonts w:hint="default" w:ascii="Times New Roman" w:hAnsi="Times New Roman" w:eastAsia="宋体" w:cs="Times New Roman"/>
                <w:b w:val="0"/>
                <w:bCs w:val="0"/>
                <w:sz w:val="21"/>
                <w:szCs w:val="24"/>
                <w:u w:val="none"/>
              </w:rPr>
              <w:t>硫酸</w:t>
            </w:r>
          </w:p>
        </w:tc>
        <w:tc>
          <w:tcPr>
            <w:tcW w:w="778" w:type="dxa"/>
            <w:tcBorders>
              <w:tl2br w:val="nil"/>
              <w:tr2bl w:val="nil"/>
            </w:tcBorders>
            <w:noWrap w:val="0"/>
            <w:vAlign w:val="center"/>
          </w:tcPr>
          <w:p w14:paraId="4610E5F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F</w:t>
            </w:r>
          </w:p>
        </w:tc>
        <w:tc>
          <w:tcPr>
            <w:tcW w:w="778" w:type="dxa"/>
            <w:tcBorders>
              <w:tl2br w:val="nil"/>
              <w:tr2bl w:val="nil"/>
            </w:tcBorders>
            <w:noWrap w:val="0"/>
            <w:vAlign w:val="center"/>
          </w:tcPr>
          <w:p w14:paraId="48EF73B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11</w:t>
            </w:r>
          </w:p>
        </w:tc>
        <w:tc>
          <w:tcPr>
            <w:tcW w:w="1064" w:type="dxa"/>
            <w:tcBorders>
              <w:tl2br w:val="nil"/>
              <w:tr2bl w:val="nil"/>
            </w:tcBorders>
            <w:noWrap w:val="0"/>
            <w:vAlign w:val="center"/>
          </w:tcPr>
          <w:p w14:paraId="55149A8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0.098</w:t>
            </w:r>
          </w:p>
        </w:tc>
        <w:tc>
          <w:tcPr>
            <w:tcW w:w="776" w:type="dxa"/>
            <w:tcBorders>
              <w:tl2br w:val="nil"/>
              <w:tr2bl w:val="nil"/>
            </w:tcBorders>
            <w:noWrap w:val="0"/>
            <w:vAlign w:val="center"/>
          </w:tcPr>
          <w:p w14:paraId="298BBBA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298.15</w:t>
            </w:r>
          </w:p>
        </w:tc>
        <w:tc>
          <w:tcPr>
            <w:tcW w:w="861" w:type="dxa"/>
            <w:tcBorders>
              <w:tl2br w:val="nil"/>
              <w:tr2bl w:val="nil"/>
            </w:tcBorders>
            <w:noWrap w:val="0"/>
            <w:vAlign w:val="center"/>
          </w:tcPr>
          <w:p w14:paraId="15022ED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1.5</w:t>
            </w:r>
          </w:p>
        </w:tc>
        <w:tc>
          <w:tcPr>
            <w:tcW w:w="819" w:type="dxa"/>
            <w:tcBorders>
              <w:tl2br w:val="nil"/>
              <w:tr2bl w:val="nil"/>
            </w:tcBorders>
            <w:noWrap w:val="0"/>
            <w:vAlign w:val="center"/>
          </w:tcPr>
          <w:p w14:paraId="67B8412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12.8</w:t>
            </w:r>
          </w:p>
        </w:tc>
        <w:tc>
          <w:tcPr>
            <w:tcW w:w="1138" w:type="dxa"/>
            <w:tcBorders>
              <w:tl2br w:val="nil"/>
              <w:tr2bl w:val="nil"/>
            </w:tcBorders>
            <w:noWrap w:val="0"/>
            <w:vAlign w:val="center"/>
          </w:tcPr>
          <w:p w14:paraId="636AAC7D">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position w:val="7"/>
                <w:sz w:val="14"/>
                <w:szCs w:val="24"/>
                <w:u w:val="none"/>
              </w:rPr>
            </w:pPr>
            <w:r>
              <w:rPr>
                <w:rFonts w:hint="default" w:ascii="Times New Roman" w:hAnsi="Times New Roman" w:cs="Times New Roman"/>
                <w:b w:val="0"/>
                <w:bCs w:val="0"/>
                <w:sz w:val="21"/>
                <w:szCs w:val="24"/>
                <w:u w:val="none"/>
              </w:rPr>
              <w:t>5.285×10</w:t>
            </w:r>
            <w:r>
              <w:rPr>
                <w:rFonts w:hint="default" w:ascii="Times New Roman" w:hAnsi="Times New Roman" w:cs="Times New Roman"/>
                <w:b w:val="0"/>
                <w:bCs w:val="0"/>
                <w:position w:val="7"/>
                <w:sz w:val="14"/>
                <w:szCs w:val="24"/>
                <w:u w:val="none"/>
              </w:rPr>
              <w:t>-3</w:t>
            </w:r>
          </w:p>
        </w:tc>
        <w:tc>
          <w:tcPr>
            <w:tcW w:w="562" w:type="dxa"/>
            <w:tcBorders>
              <w:tl2br w:val="nil"/>
              <w:tr2bl w:val="nil"/>
            </w:tcBorders>
            <w:noWrap w:val="0"/>
            <w:vAlign w:val="center"/>
          </w:tcPr>
          <w:p w14:paraId="2B9E9D2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0.3</w:t>
            </w:r>
          </w:p>
        </w:tc>
        <w:tc>
          <w:tcPr>
            <w:tcW w:w="964" w:type="dxa"/>
            <w:tcBorders>
              <w:tl2br w:val="nil"/>
              <w:tr2bl w:val="nil"/>
            </w:tcBorders>
            <w:noWrap w:val="0"/>
            <w:vAlign w:val="center"/>
          </w:tcPr>
          <w:p w14:paraId="73AB835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0.000009</w:t>
            </w:r>
          </w:p>
        </w:tc>
      </w:tr>
    </w:tbl>
    <w:p w14:paraId="23392B05">
      <w:pPr>
        <w:pStyle w:val="94"/>
        <w:keepNext w:val="0"/>
        <w:keepLines w:val="0"/>
        <w:pageBreakBefore w:val="0"/>
        <w:widowControl/>
        <w:numPr>
          <w:ilvl w:val="0"/>
          <w:numId w:val="0"/>
        </w:numPr>
        <w:tabs>
          <w:tab w:val="left" w:pos="1310"/>
        </w:tabs>
        <w:kinsoku/>
        <w:wordWrap/>
        <w:overflowPunct/>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b w:val="0"/>
          <w:bCs w:val="0"/>
          <w:sz w:val="24"/>
          <w:szCs w:val="24"/>
          <w:u w:val="none"/>
        </w:rPr>
      </w:pPr>
      <w:r>
        <w:rPr>
          <w:rFonts w:hint="default" w:ascii="Times New Roman" w:hAnsi="Times New Roman" w:eastAsia="宋体" w:cs="Times New Roman"/>
          <w:b w:val="0"/>
          <w:bCs w:val="0"/>
          <w:sz w:val="24"/>
          <w:szCs w:val="24"/>
          <w:u w:val="none"/>
        </w:rPr>
        <w:t>根据《建设项目环境风险评价技术导则》（HJ169-2018）附录J要求，本项目事故源强统计见下表。</w:t>
      </w:r>
    </w:p>
    <w:p w14:paraId="4D1F2A78">
      <w:pPr>
        <w:keepNext w:val="0"/>
        <w:keepLines w:val="0"/>
        <w:pageBreakBefore w:val="0"/>
        <w:kinsoku/>
        <w:wordWrap/>
        <w:overflowPunct/>
        <w:autoSpaceDN/>
        <w:bidi w:val="0"/>
        <w:adjustRightInd w:val="0"/>
        <w:snapToGrid w:val="0"/>
        <w:spacing w:line="520" w:lineRule="exact"/>
        <w:jc w:val="center"/>
        <w:rPr>
          <w:rFonts w:hint="default" w:ascii="Times New Roman" w:hAnsi="Times New Roman" w:cs="宋体" w:eastAsiaTheme="minorEastAsia"/>
          <w:b/>
          <w:kern w:val="2"/>
          <w:sz w:val="24"/>
          <w:szCs w:val="24"/>
          <w:lang w:val="en-US" w:eastAsia="zh-CN" w:bidi="ar-SA"/>
        </w:rPr>
      </w:pPr>
      <w:r>
        <w:rPr>
          <w:rFonts w:hint="default"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6.4-5</w:t>
      </w:r>
      <w:r>
        <w:rPr>
          <w:rFonts w:hint="default" w:ascii="Times New Roman" w:hAnsi="Times New Roman" w:cs="宋体" w:eastAsiaTheme="minorEastAsia"/>
          <w:b/>
          <w:kern w:val="2"/>
          <w:sz w:val="24"/>
          <w:szCs w:val="24"/>
          <w:lang w:val="en-US" w:eastAsia="zh-CN" w:bidi="ar-SA"/>
        </w:rPr>
        <w:t xml:space="preserve">    本项目事故源强统计一览表</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548"/>
        <w:gridCol w:w="914"/>
        <w:gridCol w:w="529"/>
        <w:gridCol w:w="522"/>
        <w:gridCol w:w="651"/>
        <w:gridCol w:w="1046"/>
        <w:gridCol w:w="1044"/>
        <w:gridCol w:w="915"/>
        <w:gridCol w:w="1254"/>
        <w:gridCol w:w="944"/>
      </w:tblGrid>
      <w:tr w14:paraId="05FEF6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48" w:type="dxa"/>
            <w:tcBorders>
              <w:tl2br w:val="nil"/>
              <w:tr2bl w:val="nil"/>
            </w:tcBorders>
            <w:noWrap w:val="0"/>
            <w:vAlign w:val="center"/>
          </w:tcPr>
          <w:p w14:paraId="6BFC9CF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序号</w:t>
            </w:r>
          </w:p>
        </w:tc>
        <w:tc>
          <w:tcPr>
            <w:tcW w:w="914" w:type="dxa"/>
            <w:tcBorders>
              <w:tl2br w:val="nil"/>
              <w:tr2bl w:val="nil"/>
            </w:tcBorders>
            <w:noWrap w:val="0"/>
            <w:vAlign w:val="center"/>
          </w:tcPr>
          <w:p w14:paraId="3C0CCCF8">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1"/>
                <w:sz w:val="21"/>
                <w:szCs w:val="24"/>
                <w:u w:val="none"/>
              </w:rPr>
            </w:pPr>
            <w:r>
              <w:rPr>
                <w:rFonts w:hint="default" w:ascii="Times New Roman" w:hAnsi="Times New Roman" w:cs="Times New Roman"/>
                <w:b/>
                <w:bCs/>
                <w:spacing w:val="-1"/>
                <w:sz w:val="21"/>
                <w:szCs w:val="24"/>
                <w:u w:val="none"/>
              </w:rPr>
              <w:t>风险事故情形描述</w:t>
            </w:r>
          </w:p>
        </w:tc>
        <w:tc>
          <w:tcPr>
            <w:tcW w:w="529" w:type="dxa"/>
            <w:tcBorders>
              <w:tl2br w:val="nil"/>
              <w:tr2bl w:val="nil"/>
            </w:tcBorders>
            <w:noWrap w:val="0"/>
            <w:vAlign w:val="center"/>
          </w:tcPr>
          <w:p w14:paraId="2A95662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1"/>
                <w:sz w:val="21"/>
                <w:szCs w:val="24"/>
                <w:u w:val="none"/>
              </w:rPr>
            </w:pPr>
            <w:r>
              <w:rPr>
                <w:rFonts w:hint="default" w:ascii="Times New Roman" w:hAnsi="Times New Roman" w:cs="Times New Roman"/>
                <w:b/>
                <w:bCs/>
                <w:spacing w:val="-1"/>
                <w:sz w:val="21"/>
                <w:szCs w:val="24"/>
                <w:u w:val="none"/>
              </w:rPr>
              <w:t>危险单元</w:t>
            </w:r>
          </w:p>
        </w:tc>
        <w:tc>
          <w:tcPr>
            <w:tcW w:w="522" w:type="dxa"/>
            <w:tcBorders>
              <w:tl2br w:val="nil"/>
              <w:tr2bl w:val="nil"/>
            </w:tcBorders>
            <w:noWrap w:val="0"/>
            <w:vAlign w:val="center"/>
          </w:tcPr>
          <w:p w14:paraId="3717378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1"/>
                <w:sz w:val="21"/>
                <w:szCs w:val="24"/>
                <w:u w:val="none"/>
              </w:rPr>
            </w:pPr>
            <w:r>
              <w:rPr>
                <w:rFonts w:hint="default" w:ascii="Times New Roman" w:hAnsi="Times New Roman" w:cs="Times New Roman"/>
                <w:b/>
                <w:bCs/>
                <w:spacing w:val="-1"/>
                <w:sz w:val="21"/>
                <w:szCs w:val="24"/>
                <w:u w:val="none"/>
              </w:rPr>
              <w:t>危险物质</w:t>
            </w:r>
          </w:p>
        </w:tc>
        <w:tc>
          <w:tcPr>
            <w:tcW w:w="651" w:type="dxa"/>
            <w:tcBorders>
              <w:tl2br w:val="nil"/>
              <w:tr2bl w:val="nil"/>
            </w:tcBorders>
            <w:noWrap w:val="0"/>
            <w:vAlign w:val="center"/>
          </w:tcPr>
          <w:p w14:paraId="2886D53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z w:val="21"/>
                <w:szCs w:val="24"/>
                <w:u w:val="none"/>
              </w:rPr>
              <w:t>影响途径</w:t>
            </w:r>
          </w:p>
        </w:tc>
        <w:tc>
          <w:tcPr>
            <w:tcW w:w="1046" w:type="dxa"/>
            <w:tcBorders>
              <w:tl2br w:val="nil"/>
              <w:tr2bl w:val="nil"/>
            </w:tcBorders>
            <w:noWrap w:val="0"/>
            <w:vAlign w:val="center"/>
          </w:tcPr>
          <w:p w14:paraId="34B99A26">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6"/>
                <w:sz w:val="21"/>
                <w:szCs w:val="24"/>
                <w:u w:val="none"/>
              </w:rPr>
            </w:pPr>
            <w:r>
              <w:rPr>
                <w:rFonts w:hint="default" w:ascii="Times New Roman" w:hAnsi="Times New Roman" w:cs="Times New Roman"/>
                <w:b/>
                <w:bCs/>
                <w:sz w:val="21"/>
                <w:szCs w:val="24"/>
                <w:u w:val="none"/>
              </w:rPr>
              <w:t>释放或泄漏</w:t>
            </w:r>
            <w:r>
              <w:rPr>
                <w:rFonts w:hint="default" w:ascii="Times New Roman" w:hAnsi="Times New Roman" w:cs="Times New Roman"/>
                <w:b/>
                <w:bCs/>
                <w:spacing w:val="-7"/>
                <w:sz w:val="21"/>
                <w:szCs w:val="24"/>
                <w:u w:val="none"/>
              </w:rPr>
              <w:t>速率</w:t>
            </w:r>
            <w:r>
              <w:rPr>
                <w:rFonts w:hint="default" w:ascii="Times New Roman" w:hAnsi="Times New Roman" w:cs="Times New Roman"/>
                <w:b/>
                <w:bCs/>
                <w:spacing w:val="-6"/>
                <w:sz w:val="21"/>
                <w:szCs w:val="24"/>
                <w:u w:val="none"/>
              </w:rPr>
              <w:t>（</w:t>
            </w:r>
            <w:r>
              <w:rPr>
                <w:rFonts w:hint="default" w:ascii="Times New Roman" w:hAnsi="Times New Roman" w:eastAsia="Times New Roman" w:cs="Times New Roman"/>
                <w:b/>
                <w:bCs/>
                <w:spacing w:val="-6"/>
                <w:sz w:val="21"/>
                <w:szCs w:val="24"/>
                <w:u w:val="none"/>
              </w:rPr>
              <w:t>kg/s</w:t>
            </w:r>
            <w:r>
              <w:rPr>
                <w:rFonts w:hint="default" w:ascii="Times New Roman" w:hAnsi="Times New Roman" w:cs="Times New Roman"/>
                <w:b/>
                <w:bCs/>
                <w:spacing w:val="-6"/>
                <w:sz w:val="21"/>
                <w:szCs w:val="24"/>
                <w:u w:val="none"/>
              </w:rPr>
              <w:t>）</w:t>
            </w:r>
          </w:p>
        </w:tc>
        <w:tc>
          <w:tcPr>
            <w:tcW w:w="1044" w:type="dxa"/>
            <w:tcBorders>
              <w:tl2br w:val="nil"/>
              <w:tr2bl w:val="nil"/>
            </w:tcBorders>
            <w:noWrap w:val="0"/>
            <w:vAlign w:val="center"/>
          </w:tcPr>
          <w:p w14:paraId="42C568A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pacing w:val="-1"/>
                <w:sz w:val="21"/>
                <w:szCs w:val="24"/>
                <w:u w:val="none"/>
              </w:rPr>
            </w:pPr>
            <w:r>
              <w:rPr>
                <w:rFonts w:hint="default" w:ascii="Times New Roman" w:hAnsi="Times New Roman" w:cs="Times New Roman"/>
                <w:b/>
                <w:bCs/>
                <w:sz w:val="21"/>
                <w:szCs w:val="24"/>
                <w:u w:val="none"/>
              </w:rPr>
              <w:t>释放或泄漏</w:t>
            </w:r>
            <w:r>
              <w:rPr>
                <w:rFonts w:hint="default" w:ascii="Times New Roman" w:hAnsi="Times New Roman" w:cs="Times New Roman"/>
                <w:b/>
                <w:bCs/>
                <w:spacing w:val="-1"/>
                <w:sz w:val="21"/>
                <w:szCs w:val="24"/>
                <w:u w:val="none"/>
              </w:rPr>
              <w:t>时间（</w:t>
            </w:r>
            <w:r>
              <w:rPr>
                <w:rFonts w:hint="default" w:ascii="Times New Roman" w:hAnsi="Times New Roman" w:eastAsia="Times New Roman" w:cs="Times New Roman"/>
                <w:b/>
                <w:bCs/>
                <w:spacing w:val="-1"/>
                <w:sz w:val="21"/>
                <w:szCs w:val="24"/>
                <w:u w:val="none"/>
              </w:rPr>
              <w:t>min</w:t>
            </w:r>
            <w:r>
              <w:rPr>
                <w:rFonts w:hint="default" w:ascii="Times New Roman" w:hAnsi="Times New Roman" w:cs="Times New Roman"/>
                <w:b/>
                <w:bCs/>
                <w:spacing w:val="-1"/>
                <w:sz w:val="21"/>
                <w:szCs w:val="24"/>
                <w:u w:val="none"/>
              </w:rPr>
              <w:t>）</w:t>
            </w:r>
          </w:p>
        </w:tc>
        <w:tc>
          <w:tcPr>
            <w:tcW w:w="915" w:type="dxa"/>
            <w:tcBorders>
              <w:tl2br w:val="nil"/>
              <w:tr2bl w:val="nil"/>
            </w:tcBorders>
            <w:noWrap w:val="0"/>
            <w:vAlign w:val="center"/>
          </w:tcPr>
          <w:p w14:paraId="28F0B72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pacing w:val="-1"/>
                <w:sz w:val="21"/>
                <w:szCs w:val="24"/>
                <w:u w:val="none"/>
              </w:rPr>
              <w:t>最大释放或泄漏量</w:t>
            </w:r>
            <w:r>
              <w:rPr>
                <w:rFonts w:hint="default" w:ascii="Times New Roman" w:hAnsi="Times New Roman" w:cs="Times New Roman"/>
                <w:b/>
                <w:bCs/>
                <w:sz w:val="21"/>
                <w:szCs w:val="24"/>
                <w:u w:val="none"/>
              </w:rPr>
              <w:t>（</w:t>
            </w:r>
            <w:r>
              <w:rPr>
                <w:rFonts w:hint="default" w:ascii="Times New Roman" w:hAnsi="Times New Roman" w:eastAsia="Times New Roman" w:cs="Times New Roman"/>
                <w:b/>
                <w:bCs/>
                <w:sz w:val="21"/>
                <w:szCs w:val="24"/>
                <w:u w:val="none"/>
              </w:rPr>
              <w:t>kg</w:t>
            </w:r>
            <w:r>
              <w:rPr>
                <w:rFonts w:hint="default" w:ascii="Times New Roman" w:hAnsi="Times New Roman" w:cs="Times New Roman"/>
                <w:b/>
                <w:bCs/>
                <w:sz w:val="21"/>
                <w:szCs w:val="24"/>
                <w:u w:val="none"/>
              </w:rPr>
              <w:t>）</w:t>
            </w:r>
          </w:p>
        </w:tc>
        <w:tc>
          <w:tcPr>
            <w:tcW w:w="1254" w:type="dxa"/>
            <w:tcBorders>
              <w:tl2br w:val="nil"/>
              <w:tr2bl w:val="nil"/>
            </w:tcBorders>
            <w:noWrap w:val="0"/>
            <w:vAlign w:val="center"/>
          </w:tcPr>
          <w:p w14:paraId="133DB96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cs="Times New Roman"/>
                <w:b/>
                <w:bCs/>
                <w:sz w:val="21"/>
                <w:szCs w:val="24"/>
                <w:u w:val="none"/>
              </w:rPr>
            </w:pPr>
            <w:r>
              <w:rPr>
                <w:rFonts w:hint="default" w:ascii="Times New Roman" w:hAnsi="Times New Roman" w:cs="Times New Roman"/>
                <w:b/>
                <w:bCs/>
                <w:spacing w:val="-1"/>
                <w:sz w:val="21"/>
                <w:szCs w:val="24"/>
                <w:u w:val="none"/>
              </w:rPr>
              <w:t>泄漏液体蒸发</w:t>
            </w:r>
            <w:r>
              <w:rPr>
                <w:rFonts w:hint="default" w:ascii="Times New Roman" w:hAnsi="Times New Roman" w:cs="Times New Roman"/>
                <w:b/>
                <w:bCs/>
                <w:sz w:val="21"/>
                <w:szCs w:val="24"/>
                <w:u w:val="none"/>
              </w:rPr>
              <w:t>速率（</w:t>
            </w:r>
            <w:r>
              <w:rPr>
                <w:rFonts w:hint="default" w:ascii="Times New Roman" w:hAnsi="Times New Roman" w:eastAsia="Times New Roman" w:cs="Times New Roman"/>
                <w:b/>
                <w:bCs/>
                <w:sz w:val="21"/>
                <w:szCs w:val="24"/>
                <w:u w:val="none"/>
              </w:rPr>
              <w:t>kg/s</w:t>
            </w:r>
            <w:r>
              <w:rPr>
                <w:rFonts w:hint="default" w:ascii="Times New Roman" w:hAnsi="Times New Roman" w:cs="Times New Roman"/>
                <w:b/>
                <w:bCs/>
                <w:sz w:val="21"/>
                <w:szCs w:val="24"/>
                <w:u w:val="none"/>
              </w:rPr>
              <w:t>）</w:t>
            </w:r>
          </w:p>
        </w:tc>
        <w:tc>
          <w:tcPr>
            <w:tcW w:w="944" w:type="dxa"/>
            <w:tcBorders>
              <w:tl2br w:val="nil"/>
              <w:tr2bl w:val="nil"/>
            </w:tcBorders>
            <w:noWrap w:val="0"/>
            <w:vAlign w:val="center"/>
          </w:tcPr>
          <w:p w14:paraId="08D4F31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bCs/>
                <w:sz w:val="21"/>
                <w:szCs w:val="24"/>
                <w:u w:val="none"/>
              </w:rPr>
            </w:pPr>
            <w:r>
              <w:rPr>
                <w:rFonts w:hint="default" w:ascii="Times New Roman" w:hAnsi="Times New Roman" w:cs="Times New Roman"/>
                <w:b/>
                <w:bCs/>
                <w:sz w:val="21"/>
                <w:szCs w:val="24"/>
                <w:u w:val="none"/>
              </w:rPr>
              <w:t>泄漏液体</w:t>
            </w:r>
            <w:r>
              <w:rPr>
                <w:rFonts w:hint="default" w:ascii="Times New Roman" w:hAnsi="Times New Roman" w:cs="Times New Roman"/>
                <w:b/>
                <w:bCs/>
                <w:spacing w:val="-1"/>
                <w:sz w:val="21"/>
                <w:szCs w:val="24"/>
                <w:u w:val="none"/>
              </w:rPr>
              <w:t>蒸发量</w:t>
            </w:r>
            <w:r>
              <w:rPr>
                <w:rFonts w:hint="default" w:ascii="Times New Roman" w:hAnsi="Times New Roman" w:eastAsia="Times New Roman" w:cs="Times New Roman"/>
                <w:b/>
                <w:bCs/>
                <w:sz w:val="21"/>
                <w:szCs w:val="24"/>
                <w:u w:val="none"/>
              </w:rPr>
              <w:t>/kg</w:t>
            </w:r>
          </w:p>
        </w:tc>
      </w:tr>
      <w:tr w14:paraId="532099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548" w:type="dxa"/>
            <w:tcBorders>
              <w:tl2br w:val="nil"/>
              <w:tr2bl w:val="nil"/>
            </w:tcBorders>
            <w:noWrap w:val="0"/>
            <w:vAlign w:val="center"/>
          </w:tcPr>
          <w:p w14:paraId="5468CE44">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right="0" w:firstLine="0" w:firstLineChars="0"/>
              <w:jc w:val="center"/>
              <w:textAlignment w:val="auto"/>
              <w:rPr>
                <w:rFonts w:hint="default" w:ascii="Times New Roman" w:hAnsi="Times New Roman" w:eastAsia="Times New Roman" w:cs="Times New Roman"/>
                <w:b w:val="0"/>
                <w:bCs w:val="0"/>
                <w:sz w:val="21"/>
                <w:szCs w:val="24"/>
                <w:u w:val="none"/>
              </w:rPr>
            </w:pPr>
            <w:r>
              <w:rPr>
                <w:rFonts w:hint="default" w:ascii="Times New Roman" w:hAnsi="Times New Roman" w:eastAsia="Times New Roman" w:cs="Times New Roman"/>
                <w:b w:val="0"/>
                <w:bCs w:val="0"/>
                <w:sz w:val="21"/>
                <w:szCs w:val="24"/>
                <w:u w:val="none"/>
              </w:rPr>
              <w:t>1</w:t>
            </w:r>
          </w:p>
        </w:tc>
        <w:tc>
          <w:tcPr>
            <w:tcW w:w="914" w:type="dxa"/>
            <w:tcBorders>
              <w:tl2br w:val="nil"/>
              <w:tr2bl w:val="nil"/>
            </w:tcBorders>
            <w:noWrap w:val="0"/>
            <w:vAlign w:val="center"/>
          </w:tcPr>
          <w:p w14:paraId="749DD0E7">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硫酸泄漏</w:t>
            </w:r>
          </w:p>
        </w:tc>
        <w:tc>
          <w:tcPr>
            <w:tcW w:w="529" w:type="dxa"/>
            <w:tcBorders>
              <w:tl2br w:val="nil"/>
              <w:tr2bl w:val="nil"/>
            </w:tcBorders>
            <w:noWrap w:val="0"/>
            <w:vAlign w:val="center"/>
          </w:tcPr>
          <w:p w14:paraId="3D8E2401">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罐区</w:t>
            </w:r>
          </w:p>
        </w:tc>
        <w:tc>
          <w:tcPr>
            <w:tcW w:w="522" w:type="dxa"/>
            <w:tcBorders>
              <w:tl2br w:val="nil"/>
              <w:tr2bl w:val="nil"/>
            </w:tcBorders>
            <w:noWrap w:val="0"/>
            <w:vAlign w:val="center"/>
          </w:tcPr>
          <w:p w14:paraId="7387D59C">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硫酸</w:t>
            </w:r>
          </w:p>
        </w:tc>
        <w:tc>
          <w:tcPr>
            <w:tcW w:w="651" w:type="dxa"/>
            <w:tcBorders>
              <w:tl2br w:val="nil"/>
              <w:tr2bl w:val="nil"/>
            </w:tcBorders>
            <w:noWrap w:val="0"/>
            <w:vAlign w:val="center"/>
          </w:tcPr>
          <w:p w14:paraId="7A59DB70">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cs="Times New Roman"/>
                <w:b w:val="0"/>
                <w:bCs w:val="0"/>
                <w:sz w:val="21"/>
                <w:szCs w:val="24"/>
                <w:u w:val="none"/>
              </w:rPr>
            </w:pPr>
            <w:r>
              <w:rPr>
                <w:rFonts w:hint="default" w:ascii="Times New Roman" w:hAnsi="Times New Roman" w:cs="Times New Roman"/>
                <w:b w:val="0"/>
                <w:bCs w:val="0"/>
                <w:sz w:val="21"/>
                <w:szCs w:val="24"/>
                <w:u w:val="none"/>
              </w:rPr>
              <w:t>大气</w:t>
            </w:r>
          </w:p>
        </w:tc>
        <w:tc>
          <w:tcPr>
            <w:tcW w:w="1046" w:type="dxa"/>
            <w:tcBorders>
              <w:tl2br w:val="nil"/>
              <w:tr2bl w:val="nil"/>
            </w:tcBorders>
            <w:noWrap w:val="0"/>
            <w:vAlign w:val="center"/>
          </w:tcPr>
          <w:p w14:paraId="205FB6C2">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0.39</w:t>
            </w:r>
          </w:p>
        </w:tc>
        <w:tc>
          <w:tcPr>
            <w:tcW w:w="1044" w:type="dxa"/>
            <w:tcBorders>
              <w:tl2br w:val="nil"/>
              <w:tr2bl w:val="nil"/>
            </w:tcBorders>
            <w:noWrap w:val="0"/>
            <w:vAlign w:val="center"/>
          </w:tcPr>
          <w:p w14:paraId="53F08E13">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10</w:t>
            </w:r>
          </w:p>
        </w:tc>
        <w:tc>
          <w:tcPr>
            <w:tcW w:w="915" w:type="dxa"/>
            <w:tcBorders>
              <w:tl2br w:val="nil"/>
              <w:tr2bl w:val="nil"/>
            </w:tcBorders>
            <w:noWrap w:val="0"/>
            <w:vAlign w:val="center"/>
          </w:tcPr>
          <w:p w14:paraId="00466CB5">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234</w:t>
            </w:r>
          </w:p>
        </w:tc>
        <w:tc>
          <w:tcPr>
            <w:tcW w:w="1254" w:type="dxa"/>
            <w:tcBorders>
              <w:tl2br w:val="nil"/>
              <w:tr2bl w:val="nil"/>
            </w:tcBorders>
            <w:noWrap w:val="0"/>
            <w:vAlign w:val="center"/>
          </w:tcPr>
          <w:p w14:paraId="678DEC79">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default" w:ascii="Times New Roman" w:hAnsi="Times New Roman" w:eastAsia="宋体" w:cs="Times New Roman"/>
                <w:b w:val="0"/>
                <w:bCs w:val="0"/>
                <w:sz w:val="21"/>
                <w:szCs w:val="24"/>
                <w:u w:val="none"/>
                <w:lang w:val="en-US" w:eastAsia="zh-CN"/>
              </w:rPr>
              <w:t>4.</w:t>
            </w:r>
            <w:r>
              <w:rPr>
                <w:rFonts w:hint="eastAsia" w:ascii="Times New Roman" w:hAnsi="Times New Roman" w:eastAsia="宋体" w:cs="Times New Roman"/>
                <w:b w:val="0"/>
                <w:bCs w:val="0"/>
                <w:sz w:val="21"/>
                <w:szCs w:val="24"/>
                <w:u w:val="none"/>
                <w:lang w:val="en-US" w:eastAsia="zh-CN"/>
              </w:rPr>
              <w:t>6</w:t>
            </w:r>
            <w:r>
              <w:rPr>
                <w:rFonts w:hint="default" w:ascii="Times New Roman" w:hAnsi="Times New Roman" w:eastAsia="宋体" w:cs="Times New Roman"/>
                <w:b w:val="0"/>
                <w:bCs w:val="0"/>
                <w:sz w:val="21"/>
                <w:szCs w:val="24"/>
                <w:u w:val="none"/>
                <w:lang w:val="en-US" w:eastAsia="zh-CN"/>
              </w:rPr>
              <w:t>×10</w:t>
            </w:r>
            <w:r>
              <w:rPr>
                <w:rFonts w:hint="default" w:ascii="Times New Roman" w:hAnsi="Times New Roman" w:eastAsia="宋体" w:cs="Times New Roman"/>
                <w:b w:val="0"/>
                <w:bCs w:val="0"/>
                <w:sz w:val="21"/>
                <w:szCs w:val="24"/>
                <w:u w:val="none"/>
                <w:vertAlign w:val="superscript"/>
                <w:lang w:val="en-US" w:eastAsia="zh-CN"/>
              </w:rPr>
              <w:t>-6</w:t>
            </w:r>
          </w:p>
        </w:tc>
        <w:tc>
          <w:tcPr>
            <w:tcW w:w="944" w:type="dxa"/>
            <w:tcBorders>
              <w:tl2br w:val="nil"/>
              <w:tr2bl w:val="nil"/>
            </w:tcBorders>
            <w:noWrap w:val="0"/>
            <w:vAlign w:val="center"/>
          </w:tcPr>
          <w:p w14:paraId="579E0A5B">
            <w:pPr>
              <w:pStyle w:val="126"/>
              <w:keepNext w:val="0"/>
              <w:keepLines w:val="0"/>
              <w:pageBreakBefore w:val="0"/>
              <w:widowControl/>
              <w:kinsoku/>
              <w:wordWrap/>
              <w:overflowPunct/>
              <w:topLinePunct/>
              <w:autoSpaceDE/>
              <w:autoSpaceDN/>
              <w:bidi w:val="0"/>
              <w:adjustRightInd w:val="0"/>
              <w:snapToGrid w:val="0"/>
              <w:spacing w:beforeLines="0" w:afterLines="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4"/>
                <w:u w:val="none"/>
                <w:lang w:val="en-US" w:eastAsia="zh-CN"/>
              </w:rPr>
            </w:pPr>
            <w:r>
              <w:rPr>
                <w:rFonts w:hint="eastAsia" w:ascii="Times New Roman" w:hAnsi="Times New Roman" w:eastAsia="宋体" w:cs="Times New Roman"/>
                <w:b w:val="0"/>
                <w:bCs w:val="0"/>
                <w:sz w:val="21"/>
                <w:szCs w:val="24"/>
                <w:u w:val="none"/>
                <w:lang w:val="en-US" w:eastAsia="zh-CN"/>
              </w:rPr>
              <w:t>0.003</w:t>
            </w:r>
          </w:p>
        </w:tc>
      </w:tr>
    </w:tbl>
    <w:p w14:paraId="0D2B3F56">
      <w:pPr>
        <w:pStyle w:val="72"/>
      </w:pPr>
      <w:r>
        <w:t>由</w:t>
      </w:r>
      <w:r>
        <w:rPr>
          <w:rFonts w:hint="eastAsia"/>
        </w:rPr>
        <w:t>上表</w:t>
      </w:r>
      <w:r>
        <w:t>可知：</w:t>
      </w:r>
      <w:r>
        <w:rPr>
          <w:rFonts w:hint="eastAsia"/>
        </w:rPr>
        <w:t>硫酸</w:t>
      </w:r>
      <w:r>
        <w:t>在稳定条件下的</w:t>
      </w:r>
      <w:r>
        <w:rPr>
          <w:rFonts w:hint="eastAsia"/>
        </w:rPr>
        <w:t>蒸发量分别为</w:t>
      </w:r>
      <w:r>
        <w:rPr>
          <w:rFonts w:hint="eastAsia"/>
          <w:lang w:val="en-US" w:eastAsia="zh-CN"/>
        </w:rPr>
        <w:t>0.003</w:t>
      </w:r>
      <w:r>
        <w:rPr>
          <w:rFonts w:hint="eastAsia"/>
        </w:rPr>
        <w:t>kg</w:t>
      </w:r>
      <w:r>
        <w:t>。</w:t>
      </w:r>
    </w:p>
    <w:p w14:paraId="1F9BEF90">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default"/>
          <w:lang w:val="en-US" w:eastAsia="zh-CN"/>
        </w:rPr>
      </w:pPr>
      <w:bookmarkStart w:id="614" w:name="_Toc23875"/>
      <w:r>
        <w:rPr>
          <w:rFonts w:hint="eastAsia"/>
          <w:lang w:val="en-US" w:eastAsia="zh-CN"/>
        </w:rPr>
        <w:t>6.5风险预测与评价</w:t>
      </w:r>
      <w:bookmarkEnd w:id="614"/>
    </w:p>
    <w:p w14:paraId="0FBEED6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6.5.1预测模型筛选</w:t>
      </w:r>
    </w:p>
    <w:p w14:paraId="29BB33C6">
      <w:pPr>
        <w:ind w:firstLine="480"/>
      </w:pPr>
      <w:r>
        <w:rPr>
          <w:rFonts w:hint="eastAsia"/>
        </w:rPr>
        <w:t>根据《建设项目环境风险评价技术导则》（HJ169-2018）附录G中的要求，预测计算时，应区分重质气体与轻质气体排放选择合适的大气风险预测模型。判断依据可采用导则附录G中G.2推荐的理查德森数进行判断。</w:t>
      </w:r>
    </w:p>
    <w:p w14:paraId="09925C37">
      <w:pPr>
        <w:ind w:firstLine="480"/>
        <w:rPr>
          <w:rFonts w:hint="eastAsia"/>
        </w:rPr>
      </w:pPr>
      <w:r>
        <w:rPr>
          <w:rFonts w:hint="eastAsia"/>
        </w:rPr>
        <w:t>本次评价采用以2018年版中国大气环境影响评价导则和风险导则为依据开发的EIAPro2018专业软件对硫酸泄漏情况理查德森数Ri值进行了计算。</w:t>
      </w:r>
    </w:p>
    <w:p w14:paraId="37E1FDEE">
      <w:pPr>
        <w:ind w:firstLine="480"/>
        <w:rPr>
          <w:rFonts w:hint="eastAsia"/>
        </w:rPr>
      </w:pPr>
      <w:r>
        <w:rPr>
          <w:rFonts w:hint="eastAsia"/>
        </w:rPr>
        <w:t>导则规定判断标准为：对于连续排放，Ri</w:t>
      </w:r>
      <w:r>
        <w:t>≥</w:t>
      </w:r>
      <w:r>
        <w:rPr>
          <w:rFonts w:hint="eastAsia"/>
        </w:rPr>
        <w:t>1/6为重质气体。项目环境风险属于连续排放，本项目泄漏蒸发理查德森数（Ri）计算结果为：</w:t>
      </w:r>
    </w:p>
    <w:p w14:paraId="3FBC2E10">
      <w:pPr>
        <w:ind w:firstLine="480"/>
        <w:rPr>
          <w:rFonts w:hint="eastAsia"/>
        </w:rPr>
      </w:pPr>
      <w:r>
        <w:drawing>
          <wp:anchor distT="0" distB="0" distL="114300" distR="114300" simplePos="0" relativeHeight="251687936" behindDoc="0" locked="0" layoutInCell="1" allowOverlap="1">
            <wp:simplePos x="0" y="0"/>
            <wp:positionH relativeFrom="column">
              <wp:posOffset>264795</wp:posOffset>
            </wp:positionH>
            <wp:positionV relativeFrom="paragraph">
              <wp:posOffset>7620</wp:posOffset>
            </wp:positionV>
            <wp:extent cx="4848225" cy="2019300"/>
            <wp:effectExtent l="0" t="0" r="9525" b="0"/>
            <wp:wrapNone/>
            <wp:docPr id="7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2"/>
                    <pic:cNvPicPr>
                      <a:picLocks noChangeAspect="1"/>
                    </pic:cNvPicPr>
                  </pic:nvPicPr>
                  <pic:blipFill>
                    <a:blip r:embed="rId60"/>
                    <a:stretch>
                      <a:fillRect/>
                    </a:stretch>
                  </pic:blipFill>
                  <pic:spPr>
                    <a:xfrm>
                      <a:off x="0" y="0"/>
                      <a:ext cx="4848225" cy="2019300"/>
                    </a:xfrm>
                    <a:prstGeom prst="rect">
                      <a:avLst/>
                    </a:prstGeom>
                    <a:noFill/>
                    <a:ln>
                      <a:noFill/>
                    </a:ln>
                  </pic:spPr>
                </pic:pic>
              </a:graphicData>
            </a:graphic>
          </wp:anchor>
        </w:drawing>
      </w:r>
    </w:p>
    <w:p w14:paraId="2F74A33E">
      <w:pPr>
        <w:ind w:firstLine="480"/>
        <w:rPr>
          <w:rFonts w:hint="eastAsia"/>
        </w:rPr>
      </w:pPr>
    </w:p>
    <w:p w14:paraId="55373602">
      <w:pPr>
        <w:ind w:firstLine="480"/>
        <w:rPr>
          <w:rFonts w:hint="eastAsia"/>
        </w:rPr>
      </w:pPr>
    </w:p>
    <w:p w14:paraId="0B368864">
      <w:pPr>
        <w:ind w:firstLine="480"/>
        <w:rPr>
          <w:rFonts w:hint="eastAsia"/>
        </w:rPr>
      </w:pPr>
    </w:p>
    <w:p w14:paraId="3E767BDF">
      <w:pPr>
        <w:ind w:firstLine="480"/>
        <w:rPr>
          <w:rFonts w:hint="eastAsia"/>
        </w:rPr>
      </w:pPr>
    </w:p>
    <w:p w14:paraId="0F1D794A">
      <w:pPr>
        <w:ind w:firstLine="480"/>
        <w:rPr>
          <w:rFonts w:hint="eastAsia"/>
        </w:rPr>
      </w:pPr>
    </w:p>
    <w:p w14:paraId="0547A0BD">
      <w:pPr>
        <w:ind w:firstLine="480"/>
        <w:jc w:val="center"/>
        <w:rPr>
          <w:rFonts w:hint="eastAsia"/>
          <w:b/>
          <w:bCs/>
        </w:rPr>
      </w:pPr>
      <w:r>
        <w:rPr>
          <w:rFonts w:hint="eastAsia"/>
          <w:b/>
          <w:bCs/>
        </w:rPr>
        <w:t>图</w:t>
      </w:r>
      <w:r>
        <w:rPr>
          <w:rFonts w:hint="eastAsia"/>
          <w:b/>
          <w:bCs/>
          <w:lang w:val="en-US" w:eastAsia="zh-CN"/>
        </w:rPr>
        <w:t>6.5-1</w:t>
      </w:r>
      <w:r>
        <w:rPr>
          <w:rFonts w:hint="eastAsia"/>
          <w:b/>
          <w:bCs/>
        </w:rPr>
        <w:t xml:space="preserve">    本项目硫酸预测结果</w:t>
      </w:r>
    </w:p>
    <w:p w14:paraId="2B0B73AB">
      <w:pPr>
        <w:ind w:firstLine="960" w:firstLineChars="400"/>
        <w:rPr>
          <w:rFonts w:hint="default" w:eastAsia="宋体"/>
          <w:lang w:val="en-US" w:eastAsia="zh-CN"/>
        </w:rPr>
      </w:pPr>
      <w:r>
        <w:rPr>
          <w:rFonts w:hint="eastAsia"/>
          <w:lang w:val="en-US" w:eastAsia="zh-CN"/>
        </w:rPr>
        <w:t>由上图可知，本项目硫酸采用AFTOX模式进行预测。</w:t>
      </w:r>
    </w:p>
    <w:p w14:paraId="4743CC3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6.5.2大气环境风险预测</w:t>
      </w:r>
    </w:p>
    <w:p w14:paraId="420B3B84">
      <w:pPr>
        <w:ind w:firstLine="480"/>
      </w:pPr>
      <w:r>
        <w:rPr>
          <w:rFonts w:hint="eastAsia"/>
        </w:rPr>
        <w:t>（1）危险物质大气毒性终点浓度</w:t>
      </w:r>
    </w:p>
    <w:p w14:paraId="43F72120">
      <w:pPr>
        <w:ind w:firstLine="480"/>
      </w:pPr>
      <w:r>
        <w:t>大气毒性终点浓度即预测评价标准</w:t>
      </w:r>
      <w:r>
        <w:rPr>
          <w:rFonts w:hint="eastAsia"/>
        </w:rPr>
        <w:t>。</w:t>
      </w:r>
      <w:r>
        <w:t>大气毒性终点浓度值选取参见风险导则附录</w:t>
      </w:r>
      <w:r>
        <w:rPr>
          <w:rFonts w:hint="eastAsia"/>
        </w:rPr>
        <w:t>H，分为1、2级。本项目需要预测的危险物质</w:t>
      </w:r>
      <w:r>
        <w:rPr>
          <w:rFonts w:hint="eastAsia"/>
          <w:lang w:val="en-US" w:eastAsia="zh-CN"/>
        </w:rPr>
        <w:t>为</w:t>
      </w:r>
      <w:r>
        <w:rPr>
          <w:rFonts w:hint="eastAsia"/>
        </w:rPr>
        <w:t>硫酸（参照发烟硫酸），按照附录H中标准选取风险物质毒性终点浓度值，见下表。</w:t>
      </w:r>
    </w:p>
    <w:p w14:paraId="596C73D7">
      <w:pPr>
        <w:keepNext w:val="0"/>
        <w:keepLines w:val="0"/>
        <w:pageBreakBefore w:val="0"/>
        <w:kinsoku/>
        <w:wordWrap/>
        <w:overflowPunct/>
        <w:autoSpaceDN/>
        <w:bidi w:val="0"/>
        <w:adjustRightInd w:val="0"/>
        <w:snapToGrid w:val="0"/>
        <w:spacing w:line="520" w:lineRule="exact"/>
        <w:jc w:val="center"/>
        <w:rPr>
          <w:rFonts w:hint="default"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表6</w:t>
      </w:r>
      <w:r>
        <w:rPr>
          <w:rFonts w:hint="eastAsia" w:cs="宋体" w:eastAsiaTheme="minorEastAsia"/>
          <w:b/>
          <w:kern w:val="2"/>
          <w:sz w:val="24"/>
          <w:szCs w:val="24"/>
          <w:lang w:val="en-US" w:eastAsia="zh-CN" w:bidi="ar-SA"/>
        </w:rPr>
        <w:t>.5-1</w:t>
      </w:r>
      <w:r>
        <w:rPr>
          <w:rFonts w:hint="default" w:ascii="Times New Roman" w:hAnsi="Times New Roman" w:cs="宋体" w:eastAsiaTheme="minorEastAsia"/>
          <w:b/>
          <w:kern w:val="2"/>
          <w:sz w:val="24"/>
          <w:szCs w:val="24"/>
          <w:lang w:val="en-US" w:eastAsia="zh-CN" w:bidi="ar-SA"/>
        </w:rPr>
        <w:t xml:space="preserve">    </w:t>
      </w:r>
      <w:r>
        <w:rPr>
          <w:rFonts w:hint="eastAsia" w:ascii="Times New Roman" w:hAnsi="Times New Roman" w:cs="宋体" w:eastAsiaTheme="minorEastAsia"/>
          <w:b/>
          <w:kern w:val="2"/>
          <w:sz w:val="24"/>
          <w:szCs w:val="24"/>
          <w:lang w:val="en-US" w:eastAsia="zh-CN" w:bidi="ar-SA"/>
        </w:rPr>
        <w:t>项目风险物质毒性终点浓度</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01"/>
        <w:gridCol w:w="1358"/>
        <w:gridCol w:w="2916"/>
        <w:gridCol w:w="2854"/>
      </w:tblGrid>
      <w:tr w14:paraId="0E487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vAlign w:val="center"/>
          </w:tcPr>
          <w:p w14:paraId="30A4F7BE">
            <w:pPr>
              <w:pStyle w:val="81"/>
              <w:rPr>
                <w:color w:val="auto"/>
              </w:rPr>
            </w:pPr>
            <w:r>
              <w:rPr>
                <w:rFonts w:hint="eastAsia"/>
                <w:color w:val="auto"/>
              </w:rPr>
              <w:t>风险物质</w:t>
            </w:r>
          </w:p>
        </w:tc>
        <w:tc>
          <w:tcPr>
            <w:tcW w:w="796" w:type="pct"/>
            <w:vAlign w:val="center"/>
          </w:tcPr>
          <w:p w14:paraId="43C103E6">
            <w:pPr>
              <w:pStyle w:val="81"/>
              <w:rPr>
                <w:color w:val="auto"/>
              </w:rPr>
            </w:pPr>
            <w:r>
              <w:rPr>
                <w:color w:val="auto"/>
              </w:rPr>
              <w:t>CAS</w:t>
            </w:r>
          </w:p>
        </w:tc>
        <w:tc>
          <w:tcPr>
            <w:tcW w:w="1709" w:type="pct"/>
            <w:vAlign w:val="center"/>
          </w:tcPr>
          <w:p w14:paraId="5EBF5A28">
            <w:pPr>
              <w:pStyle w:val="81"/>
              <w:rPr>
                <w:color w:val="auto"/>
              </w:rPr>
            </w:pPr>
            <w:r>
              <w:rPr>
                <w:rFonts w:hint="eastAsia"/>
                <w:color w:val="auto"/>
              </w:rPr>
              <w:t>毒性终点浓度</w:t>
            </w:r>
            <w:r>
              <w:rPr>
                <w:color w:val="auto"/>
              </w:rPr>
              <w:t>-1/</w:t>
            </w:r>
            <w:r>
              <w:rPr>
                <w:rFonts w:hint="eastAsia"/>
                <w:color w:val="auto"/>
              </w:rPr>
              <w:t>（</w:t>
            </w:r>
            <w:r>
              <w:rPr>
                <w:color w:val="auto"/>
              </w:rPr>
              <w:t>mg/m</w:t>
            </w:r>
            <w:r>
              <w:rPr>
                <w:rFonts w:hint="eastAsia"/>
                <w:color w:val="auto"/>
              </w:rPr>
              <w:t>³）</w:t>
            </w:r>
          </w:p>
        </w:tc>
        <w:tc>
          <w:tcPr>
            <w:tcW w:w="1672" w:type="pct"/>
            <w:vAlign w:val="center"/>
          </w:tcPr>
          <w:p w14:paraId="6DF294EF">
            <w:pPr>
              <w:pStyle w:val="81"/>
              <w:rPr>
                <w:color w:val="auto"/>
              </w:rPr>
            </w:pPr>
            <w:r>
              <w:rPr>
                <w:rFonts w:hint="eastAsia"/>
                <w:color w:val="auto"/>
              </w:rPr>
              <w:t>毒性终点浓度</w:t>
            </w:r>
            <w:r>
              <w:rPr>
                <w:color w:val="auto"/>
              </w:rPr>
              <w:t>-2/</w:t>
            </w:r>
            <w:r>
              <w:rPr>
                <w:rFonts w:hint="eastAsia"/>
                <w:color w:val="auto"/>
              </w:rPr>
              <w:t>（</w:t>
            </w:r>
            <w:r>
              <w:rPr>
                <w:color w:val="auto"/>
              </w:rPr>
              <w:t>mg/m</w:t>
            </w:r>
            <w:r>
              <w:rPr>
                <w:rFonts w:hint="eastAsia"/>
                <w:color w:val="auto"/>
              </w:rPr>
              <w:t>³）</w:t>
            </w:r>
          </w:p>
        </w:tc>
      </w:tr>
      <w:tr w14:paraId="61596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vAlign w:val="center"/>
          </w:tcPr>
          <w:p w14:paraId="0E14A720">
            <w:pPr>
              <w:pStyle w:val="75"/>
              <w:ind w:firstLine="0" w:firstLineChars="0"/>
              <w:rPr>
                <w:kern w:val="2"/>
                <w:szCs w:val="24"/>
              </w:rPr>
            </w:pPr>
            <w:r>
              <w:rPr>
                <w:rFonts w:hint="eastAsia"/>
              </w:rPr>
              <w:t>硫酸*</w:t>
            </w:r>
          </w:p>
        </w:tc>
        <w:tc>
          <w:tcPr>
            <w:tcW w:w="796" w:type="pct"/>
            <w:vAlign w:val="center"/>
          </w:tcPr>
          <w:p w14:paraId="495C33EB">
            <w:pPr>
              <w:pStyle w:val="75"/>
              <w:ind w:firstLine="0" w:firstLineChars="0"/>
              <w:rPr>
                <w:kern w:val="2"/>
                <w:szCs w:val="24"/>
              </w:rPr>
            </w:pPr>
            <w:r>
              <w:t>7664-93-9</w:t>
            </w:r>
          </w:p>
        </w:tc>
        <w:tc>
          <w:tcPr>
            <w:tcW w:w="1709" w:type="pct"/>
            <w:vAlign w:val="center"/>
          </w:tcPr>
          <w:p w14:paraId="7140882C">
            <w:pPr>
              <w:pStyle w:val="75"/>
              <w:ind w:firstLine="0" w:firstLineChars="0"/>
              <w:rPr>
                <w:kern w:val="2"/>
                <w:szCs w:val="24"/>
              </w:rPr>
            </w:pPr>
            <w:r>
              <w:rPr>
                <w:rFonts w:hint="eastAsia"/>
              </w:rPr>
              <w:t>160</w:t>
            </w:r>
          </w:p>
        </w:tc>
        <w:tc>
          <w:tcPr>
            <w:tcW w:w="1672" w:type="pct"/>
            <w:vAlign w:val="center"/>
          </w:tcPr>
          <w:p w14:paraId="53B4FCF7">
            <w:pPr>
              <w:pStyle w:val="75"/>
              <w:ind w:firstLine="0" w:firstLineChars="0"/>
              <w:rPr>
                <w:kern w:val="2"/>
                <w:szCs w:val="24"/>
              </w:rPr>
            </w:pPr>
            <w:r>
              <w:rPr>
                <w:rFonts w:hint="eastAsia"/>
              </w:rPr>
              <w:t>8.7</w:t>
            </w:r>
          </w:p>
        </w:tc>
      </w:tr>
    </w:tbl>
    <w:p w14:paraId="3F35F5CD">
      <w:pPr>
        <w:pStyle w:val="13"/>
        <w:spacing w:line="240" w:lineRule="auto"/>
        <w:ind w:firstLine="420"/>
        <w:rPr>
          <w:rFonts w:hint="default" w:ascii="Times New Roman" w:hAnsi="Times New Roman" w:eastAsia="宋体" w:cs="Times New Roman"/>
          <w:b/>
          <w:bCs w:val="0"/>
        </w:rPr>
      </w:pPr>
      <w:r>
        <w:rPr>
          <w:rFonts w:hint="default" w:ascii="Times New Roman" w:hAnsi="Times New Roman" w:eastAsia="宋体" w:cs="Times New Roman"/>
          <w:b/>
          <w:bCs w:val="0"/>
        </w:rPr>
        <w:t>注*：导则附录H中无硫酸的毒性终点浓度，因此本次评价根据导则要求，查阅国家环境保护环境影响评价数值模拟重点实验室发布的危险物质大气毒性终点浓度得出硫酸的大气毒性终点浓度。</w:t>
      </w:r>
    </w:p>
    <w:p w14:paraId="1423890D">
      <w:pPr>
        <w:ind w:firstLine="480"/>
      </w:pPr>
      <w:r>
        <w:rPr>
          <w:rFonts w:hint="eastAsia"/>
        </w:rPr>
        <w:t>（2）大气风险预测模型主要参数</w:t>
      </w:r>
    </w:p>
    <w:p w14:paraId="324D6774">
      <w:pPr>
        <w:ind w:firstLine="480"/>
      </w:pPr>
      <w:r>
        <w:rPr>
          <w:rFonts w:hint="eastAsia"/>
        </w:rPr>
        <w:t>本次评价危险物质大气风险预测模型主要参数见下表。</w:t>
      </w:r>
    </w:p>
    <w:p w14:paraId="5E869BAA">
      <w:pPr>
        <w:keepNext w:val="0"/>
        <w:keepLines w:val="0"/>
        <w:pageBreakBefore w:val="0"/>
        <w:kinsoku/>
        <w:wordWrap/>
        <w:overflowPunct/>
        <w:autoSpaceDN/>
        <w:bidi w:val="0"/>
        <w:adjustRightInd w:val="0"/>
        <w:snapToGrid w:val="0"/>
        <w:spacing w:line="520" w:lineRule="exact"/>
        <w:jc w:val="center"/>
        <w:rPr>
          <w:rFonts w:hint="eastAsia"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6.5-2</w:t>
      </w:r>
      <w:r>
        <w:rPr>
          <w:rFonts w:hint="eastAsia" w:ascii="Times New Roman" w:hAnsi="Times New Roman" w:cs="宋体" w:eastAsiaTheme="minorEastAsia"/>
          <w:b/>
          <w:kern w:val="2"/>
          <w:sz w:val="24"/>
          <w:szCs w:val="24"/>
          <w:lang w:val="en-US" w:eastAsia="zh-CN" w:bidi="ar-SA"/>
        </w:rPr>
        <w:t xml:space="preserve">    风险预测模型参数表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2199"/>
        <w:gridCol w:w="2369"/>
        <w:gridCol w:w="3802"/>
      </w:tblGrid>
      <w:tr w14:paraId="757855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Align w:val="center"/>
          </w:tcPr>
          <w:p w14:paraId="6D0EB062">
            <w:pPr>
              <w:pStyle w:val="81"/>
              <w:rPr>
                <w:rFonts w:cs="Times New Roman"/>
                <w:color w:val="auto"/>
              </w:rPr>
            </w:pPr>
            <w:r>
              <w:rPr>
                <w:rFonts w:cs="Times New Roman"/>
                <w:color w:val="auto"/>
              </w:rPr>
              <w:t>参数类型</w:t>
            </w:r>
          </w:p>
        </w:tc>
        <w:tc>
          <w:tcPr>
            <w:tcW w:w="2368" w:type="dxa"/>
            <w:vAlign w:val="center"/>
          </w:tcPr>
          <w:p w14:paraId="67918175">
            <w:pPr>
              <w:pStyle w:val="81"/>
              <w:rPr>
                <w:rFonts w:cs="Times New Roman"/>
                <w:color w:val="auto"/>
              </w:rPr>
            </w:pPr>
            <w:r>
              <w:rPr>
                <w:rFonts w:cs="Times New Roman"/>
                <w:color w:val="auto"/>
              </w:rPr>
              <w:t>选项</w:t>
            </w:r>
          </w:p>
        </w:tc>
        <w:tc>
          <w:tcPr>
            <w:tcW w:w="3802" w:type="dxa"/>
            <w:vAlign w:val="center"/>
          </w:tcPr>
          <w:p w14:paraId="54204809">
            <w:pPr>
              <w:pStyle w:val="81"/>
              <w:rPr>
                <w:rFonts w:cs="Times New Roman"/>
                <w:color w:val="auto"/>
              </w:rPr>
            </w:pPr>
            <w:r>
              <w:rPr>
                <w:rFonts w:cs="Times New Roman"/>
                <w:color w:val="auto"/>
              </w:rPr>
              <w:t>参数</w:t>
            </w:r>
          </w:p>
        </w:tc>
      </w:tr>
      <w:tr w14:paraId="1027F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restart"/>
            <w:vAlign w:val="center"/>
          </w:tcPr>
          <w:p w14:paraId="247A3C49">
            <w:pPr>
              <w:pStyle w:val="75"/>
            </w:pPr>
            <w:r>
              <w:t>基本情况</w:t>
            </w:r>
          </w:p>
        </w:tc>
        <w:tc>
          <w:tcPr>
            <w:tcW w:w="2368" w:type="dxa"/>
            <w:vAlign w:val="center"/>
          </w:tcPr>
          <w:p w14:paraId="00678FEB">
            <w:pPr>
              <w:pStyle w:val="75"/>
            </w:pPr>
            <w:r>
              <w:t>事故源经度/（°）</w:t>
            </w:r>
          </w:p>
        </w:tc>
        <w:tc>
          <w:tcPr>
            <w:tcW w:w="3802" w:type="dxa"/>
            <w:vAlign w:val="center"/>
          </w:tcPr>
          <w:p w14:paraId="2008E438">
            <w:pPr>
              <w:pStyle w:val="75"/>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113°42'30.29"</w:t>
            </w:r>
          </w:p>
        </w:tc>
      </w:tr>
      <w:tr w14:paraId="6E2B10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67DC2858">
            <w:pPr>
              <w:pStyle w:val="75"/>
            </w:pPr>
          </w:p>
        </w:tc>
        <w:tc>
          <w:tcPr>
            <w:tcW w:w="2368" w:type="dxa"/>
            <w:vAlign w:val="center"/>
          </w:tcPr>
          <w:p w14:paraId="0404A13F">
            <w:pPr>
              <w:pStyle w:val="75"/>
            </w:pPr>
            <w:r>
              <w:t>事故源纬度/（°）</w:t>
            </w:r>
          </w:p>
        </w:tc>
        <w:tc>
          <w:tcPr>
            <w:tcW w:w="3802" w:type="dxa"/>
            <w:vAlign w:val="center"/>
          </w:tcPr>
          <w:p w14:paraId="40AAA93B">
            <w:pPr>
              <w:pStyle w:val="75"/>
              <w:rPr>
                <w:rFonts w:hint="default" w:ascii="Times New Roman" w:hAnsi="Times New Roman" w:eastAsia="宋体" w:cs="Times New Roman"/>
              </w:rPr>
            </w:pPr>
            <w:r>
              <w:rPr>
                <w:rFonts w:hint="default" w:ascii="Times New Roman" w:hAnsi="Times New Roman" w:eastAsia="宋体" w:cs="Times New Roman"/>
              </w:rPr>
              <w:t>35°16'1.15"</w:t>
            </w:r>
          </w:p>
        </w:tc>
      </w:tr>
      <w:tr w14:paraId="6287E9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0533566B">
            <w:pPr>
              <w:pStyle w:val="75"/>
            </w:pPr>
          </w:p>
        </w:tc>
        <w:tc>
          <w:tcPr>
            <w:tcW w:w="2368" w:type="dxa"/>
            <w:vAlign w:val="center"/>
          </w:tcPr>
          <w:p w14:paraId="1D86EFDC">
            <w:pPr>
              <w:pStyle w:val="75"/>
            </w:pPr>
            <w:r>
              <w:t>事故源类型</w:t>
            </w:r>
          </w:p>
        </w:tc>
        <w:tc>
          <w:tcPr>
            <w:tcW w:w="3802" w:type="dxa"/>
            <w:vAlign w:val="center"/>
          </w:tcPr>
          <w:p w14:paraId="5CAC8C1C">
            <w:pPr>
              <w:pStyle w:val="75"/>
            </w:pPr>
            <w:r>
              <w:t>泄漏</w:t>
            </w:r>
          </w:p>
        </w:tc>
      </w:tr>
      <w:tr w14:paraId="664DB5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restart"/>
            <w:vAlign w:val="center"/>
          </w:tcPr>
          <w:p w14:paraId="1304CAF4">
            <w:pPr>
              <w:pStyle w:val="75"/>
            </w:pPr>
            <w:r>
              <w:t>气象参数</w:t>
            </w:r>
          </w:p>
        </w:tc>
        <w:tc>
          <w:tcPr>
            <w:tcW w:w="2368" w:type="dxa"/>
            <w:vAlign w:val="center"/>
          </w:tcPr>
          <w:p w14:paraId="39EAB8B3">
            <w:pPr>
              <w:pStyle w:val="75"/>
            </w:pPr>
            <w:r>
              <w:t>气象条件类型</w:t>
            </w:r>
          </w:p>
        </w:tc>
        <w:tc>
          <w:tcPr>
            <w:tcW w:w="3802" w:type="dxa"/>
            <w:vAlign w:val="center"/>
          </w:tcPr>
          <w:p w14:paraId="7CBC7E7E">
            <w:pPr>
              <w:pStyle w:val="75"/>
            </w:pPr>
            <w:r>
              <w:t>最不利气象</w:t>
            </w:r>
          </w:p>
        </w:tc>
      </w:tr>
      <w:tr w14:paraId="6FB217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4E319C8C">
            <w:pPr>
              <w:pStyle w:val="75"/>
            </w:pPr>
          </w:p>
        </w:tc>
        <w:tc>
          <w:tcPr>
            <w:tcW w:w="2368" w:type="dxa"/>
            <w:vAlign w:val="center"/>
          </w:tcPr>
          <w:p w14:paraId="604F8292">
            <w:pPr>
              <w:pStyle w:val="75"/>
            </w:pPr>
            <w:r>
              <w:t>风速/（m/s）</w:t>
            </w:r>
          </w:p>
        </w:tc>
        <w:tc>
          <w:tcPr>
            <w:tcW w:w="3802" w:type="dxa"/>
            <w:vAlign w:val="center"/>
          </w:tcPr>
          <w:p w14:paraId="65510177">
            <w:pPr>
              <w:pStyle w:val="75"/>
            </w:pPr>
            <w:r>
              <w:t>1.5</w:t>
            </w:r>
          </w:p>
        </w:tc>
      </w:tr>
      <w:tr w14:paraId="207437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1E436C2B">
            <w:pPr>
              <w:pStyle w:val="75"/>
            </w:pPr>
          </w:p>
        </w:tc>
        <w:tc>
          <w:tcPr>
            <w:tcW w:w="2368" w:type="dxa"/>
            <w:vAlign w:val="center"/>
          </w:tcPr>
          <w:p w14:paraId="1B996E23">
            <w:pPr>
              <w:pStyle w:val="75"/>
            </w:pPr>
            <w:r>
              <w:t>环境温度/（℃）</w:t>
            </w:r>
          </w:p>
        </w:tc>
        <w:tc>
          <w:tcPr>
            <w:tcW w:w="3802" w:type="dxa"/>
            <w:vAlign w:val="center"/>
          </w:tcPr>
          <w:p w14:paraId="6822F740">
            <w:pPr>
              <w:pStyle w:val="75"/>
            </w:pPr>
            <w:r>
              <w:t>25</w:t>
            </w:r>
          </w:p>
        </w:tc>
      </w:tr>
      <w:tr w14:paraId="02C96E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25812C5F">
            <w:pPr>
              <w:pStyle w:val="75"/>
            </w:pPr>
          </w:p>
        </w:tc>
        <w:tc>
          <w:tcPr>
            <w:tcW w:w="2368" w:type="dxa"/>
            <w:vAlign w:val="center"/>
          </w:tcPr>
          <w:p w14:paraId="67900550">
            <w:pPr>
              <w:pStyle w:val="75"/>
            </w:pPr>
            <w:r>
              <w:t>相对湿度/%</w:t>
            </w:r>
          </w:p>
        </w:tc>
        <w:tc>
          <w:tcPr>
            <w:tcW w:w="3802" w:type="dxa"/>
            <w:vAlign w:val="center"/>
          </w:tcPr>
          <w:p w14:paraId="1B28AEDF">
            <w:pPr>
              <w:pStyle w:val="75"/>
            </w:pPr>
            <w:r>
              <w:t>50</w:t>
            </w:r>
          </w:p>
        </w:tc>
      </w:tr>
      <w:tr w14:paraId="73E77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04A36415">
            <w:pPr>
              <w:pStyle w:val="75"/>
            </w:pPr>
          </w:p>
        </w:tc>
        <w:tc>
          <w:tcPr>
            <w:tcW w:w="2368" w:type="dxa"/>
            <w:vAlign w:val="center"/>
          </w:tcPr>
          <w:p w14:paraId="0B431DFA">
            <w:pPr>
              <w:pStyle w:val="75"/>
            </w:pPr>
            <w:r>
              <w:t>稳定度</w:t>
            </w:r>
          </w:p>
        </w:tc>
        <w:tc>
          <w:tcPr>
            <w:tcW w:w="3802" w:type="dxa"/>
            <w:vAlign w:val="center"/>
          </w:tcPr>
          <w:p w14:paraId="28E1A79A">
            <w:pPr>
              <w:pStyle w:val="75"/>
            </w:pPr>
            <w:r>
              <w:t>F</w:t>
            </w:r>
          </w:p>
        </w:tc>
      </w:tr>
      <w:tr w14:paraId="28AEBE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restart"/>
            <w:vAlign w:val="center"/>
          </w:tcPr>
          <w:p w14:paraId="116C1B61">
            <w:pPr>
              <w:pStyle w:val="75"/>
            </w:pPr>
            <w:r>
              <w:t>其他参数</w:t>
            </w:r>
          </w:p>
        </w:tc>
        <w:tc>
          <w:tcPr>
            <w:tcW w:w="2368" w:type="dxa"/>
            <w:vAlign w:val="center"/>
          </w:tcPr>
          <w:p w14:paraId="7B630E68">
            <w:pPr>
              <w:pStyle w:val="75"/>
            </w:pPr>
            <w:r>
              <w:t>风向</w:t>
            </w:r>
          </w:p>
        </w:tc>
        <w:tc>
          <w:tcPr>
            <w:tcW w:w="3802" w:type="dxa"/>
            <w:vAlign w:val="center"/>
          </w:tcPr>
          <w:p w14:paraId="222CB880">
            <w:pPr>
              <w:pStyle w:val="75"/>
            </w:pPr>
            <w:r>
              <w:t>东北</w:t>
            </w:r>
          </w:p>
        </w:tc>
      </w:tr>
      <w:tr w14:paraId="784391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52D97537">
            <w:pPr>
              <w:pStyle w:val="75"/>
            </w:pPr>
          </w:p>
        </w:tc>
        <w:tc>
          <w:tcPr>
            <w:tcW w:w="2368" w:type="dxa"/>
            <w:vAlign w:val="center"/>
          </w:tcPr>
          <w:p w14:paraId="7B729D29">
            <w:pPr>
              <w:pStyle w:val="75"/>
            </w:pPr>
            <w:r>
              <w:t>测风向地表粗糙度cm</w:t>
            </w:r>
          </w:p>
        </w:tc>
        <w:tc>
          <w:tcPr>
            <w:tcW w:w="3802" w:type="dxa"/>
            <w:vAlign w:val="center"/>
          </w:tcPr>
          <w:p w14:paraId="77043A75">
            <w:pPr>
              <w:pStyle w:val="75"/>
            </w:pPr>
            <w:r>
              <w:t>0.5</w:t>
            </w:r>
          </w:p>
        </w:tc>
      </w:tr>
      <w:tr w14:paraId="678ED7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199" w:type="dxa"/>
            <w:vMerge w:val="continue"/>
            <w:vAlign w:val="center"/>
          </w:tcPr>
          <w:p w14:paraId="532E7389">
            <w:pPr>
              <w:pStyle w:val="75"/>
            </w:pPr>
          </w:p>
        </w:tc>
        <w:tc>
          <w:tcPr>
            <w:tcW w:w="2368" w:type="dxa"/>
            <w:vAlign w:val="center"/>
          </w:tcPr>
          <w:p w14:paraId="38133B7E">
            <w:pPr>
              <w:pStyle w:val="75"/>
            </w:pPr>
            <w:r>
              <w:t>事故处地表粗糙度cm</w:t>
            </w:r>
          </w:p>
        </w:tc>
        <w:tc>
          <w:tcPr>
            <w:tcW w:w="3802" w:type="dxa"/>
            <w:vAlign w:val="center"/>
          </w:tcPr>
          <w:p w14:paraId="54DE19C1">
            <w:pPr>
              <w:pStyle w:val="75"/>
            </w:pPr>
            <w:r>
              <w:t>3</w:t>
            </w:r>
          </w:p>
        </w:tc>
      </w:tr>
    </w:tbl>
    <w:p w14:paraId="6DF9D9BE">
      <w:pPr>
        <w:ind w:firstLine="480"/>
      </w:pPr>
      <w:r>
        <w:rPr>
          <w:rFonts w:hint="eastAsia"/>
        </w:rPr>
        <w:t>（3）预测结果</w:t>
      </w:r>
    </w:p>
    <w:p w14:paraId="25233B0C">
      <w:pPr>
        <w:ind w:firstLine="480"/>
      </w:pPr>
      <w:r>
        <w:rPr>
          <w:rFonts w:hint="eastAsia"/>
        </w:rPr>
        <w:t>本次评价采用EIAPro专业软件对硫酸泄漏后的蒸发进行预测，预测模型采用</w:t>
      </w:r>
      <w:r>
        <w:t>AFTOX</w:t>
      </w:r>
      <w:r>
        <w:rPr>
          <w:rFonts w:hint="eastAsia"/>
        </w:rPr>
        <w:t>模型进行预测，在最不利气象条件下，预测结果如下表。</w:t>
      </w:r>
    </w:p>
    <w:p w14:paraId="539CF9EC">
      <w:pPr>
        <w:keepNext w:val="0"/>
        <w:keepLines w:val="0"/>
        <w:pageBreakBefore w:val="0"/>
        <w:kinsoku/>
        <w:wordWrap/>
        <w:overflowPunct/>
        <w:autoSpaceDN/>
        <w:bidi w:val="0"/>
        <w:adjustRightInd w:val="0"/>
        <w:snapToGrid w:val="0"/>
        <w:spacing w:line="520" w:lineRule="exact"/>
        <w:jc w:val="center"/>
        <w:rPr>
          <w:rFonts w:hint="eastAsia"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 xml:space="preserve">6.5-3 </w:t>
      </w:r>
      <w:r>
        <w:rPr>
          <w:rFonts w:hint="eastAsia" w:ascii="Times New Roman" w:hAnsi="Times New Roman" w:cs="宋体" w:eastAsiaTheme="minorEastAsia"/>
          <w:b/>
          <w:kern w:val="2"/>
          <w:sz w:val="24"/>
          <w:szCs w:val="24"/>
          <w:lang w:val="en-US" w:eastAsia="zh-CN" w:bidi="ar-SA"/>
        </w:rPr>
        <w:t xml:space="preserve">   最不利气象条件下下风向不同距离处风险物质的最大浓度</w:t>
      </w:r>
    </w:p>
    <w:tbl>
      <w:tblPr>
        <w:tblStyle w:val="39"/>
        <w:tblW w:w="48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2849"/>
        <w:gridCol w:w="3429"/>
      </w:tblGrid>
      <w:tr w14:paraId="647B8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244" w:type="pct"/>
            <w:vMerge w:val="restart"/>
            <w:vAlign w:val="center"/>
          </w:tcPr>
          <w:p w14:paraId="1CFA1362">
            <w:pPr>
              <w:pStyle w:val="81"/>
              <w:rPr>
                <w:rFonts w:cs="Times New Roman"/>
                <w:color w:val="auto"/>
              </w:rPr>
            </w:pPr>
            <w:r>
              <w:rPr>
                <w:rFonts w:cs="Times New Roman"/>
                <w:color w:val="auto"/>
              </w:rPr>
              <w:t>下风向距离m</w:t>
            </w:r>
          </w:p>
        </w:tc>
        <w:tc>
          <w:tcPr>
            <w:tcW w:w="3755" w:type="pct"/>
            <w:gridSpan w:val="2"/>
            <w:vAlign w:val="center"/>
          </w:tcPr>
          <w:p w14:paraId="12766E8B">
            <w:pPr>
              <w:pStyle w:val="81"/>
              <w:rPr>
                <w:rFonts w:cs="Times New Roman"/>
                <w:color w:val="auto"/>
              </w:rPr>
            </w:pPr>
            <w:r>
              <w:rPr>
                <w:rFonts w:cs="Times New Roman"/>
                <w:color w:val="auto"/>
              </w:rPr>
              <w:t>硫酸</w:t>
            </w:r>
          </w:p>
        </w:tc>
      </w:tr>
      <w:tr w14:paraId="55F8A4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244" w:type="pct"/>
            <w:vMerge w:val="continue"/>
            <w:vAlign w:val="center"/>
          </w:tcPr>
          <w:p w14:paraId="728AF4E2">
            <w:pPr>
              <w:pStyle w:val="81"/>
              <w:rPr>
                <w:rFonts w:cs="Times New Roman"/>
                <w:color w:val="auto"/>
              </w:rPr>
            </w:pPr>
          </w:p>
        </w:tc>
        <w:tc>
          <w:tcPr>
            <w:tcW w:w="1704" w:type="pct"/>
            <w:vAlign w:val="center"/>
          </w:tcPr>
          <w:p w14:paraId="65D71054">
            <w:pPr>
              <w:pStyle w:val="81"/>
              <w:rPr>
                <w:rFonts w:cs="Times New Roman"/>
                <w:color w:val="auto"/>
              </w:rPr>
            </w:pPr>
            <w:r>
              <w:rPr>
                <w:rFonts w:cs="Times New Roman"/>
                <w:color w:val="auto"/>
              </w:rPr>
              <w:t>浓度出现时间min</w:t>
            </w:r>
          </w:p>
        </w:tc>
        <w:tc>
          <w:tcPr>
            <w:tcW w:w="2050" w:type="pct"/>
            <w:vAlign w:val="center"/>
          </w:tcPr>
          <w:p w14:paraId="6B667DE5">
            <w:pPr>
              <w:pStyle w:val="81"/>
              <w:rPr>
                <w:rFonts w:cs="Times New Roman"/>
                <w:color w:val="auto"/>
              </w:rPr>
            </w:pPr>
            <w:r>
              <w:rPr>
                <w:rFonts w:cs="Times New Roman"/>
                <w:color w:val="auto"/>
              </w:rPr>
              <w:t>高峰浓度</w:t>
            </w:r>
            <w:r>
              <w:rPr>
                <w:rFonts w:eastAsia="黑体" w:cs="Times New Roman"/>
                <w:bCs/>
                <w:color w:val="auto"/>
              </w:rPr>
              <w:t>mg/m</w:t>
            </w:r>
            <w:r>
              <w:rPr>
                <w:rFonts w:eastAsia="黑体" w:cs="Times New Roman"/>
                <w:bCs/>
                <w:color w:val="auto"/>
                <w:vertAlign w:val="superscript"/>
              </w:rPr>
              <w:t>3</w:t>
            </w:r>
          </w:p>
        </w:tc>
      </w:tr>
      <w:tr w14:paraId="4245A2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3EDD6B6D">
            <w:pPr>
              <w:pStyle w:val="75"/>
            </w:pPr>
            <w:r>
              <w:t>10</w:t>
            </w:r>
          </w:p>
        </w:tc>
        <w:tc>
          <w:tcPr>
            <w:tcW w:w="1704" w:type="pct"/>
            <w:vAlign w:val="center"/>
          </w:tcPr>
          <w:p w14:paraId="761ED2D2">
            <w:pPr>
              <w:pStyle w:val="75"/>
              <w:ind w:firstLine="0" w:firstLineChars="0"/>
              <w:rPr>
                <w:rFonts w:hint="default" w:eastAsia="宋体"/>
                <w:lang w:val="en-US" w:eastAsia="zh-CN"/>
              </w:rPr>
            </w:pPr>
            <w:r>
              <w:rPr>
                <w:rFonts w:hint="eastAsia"/>
              </w:rPr>
              <w:t>0.11111</w:t>
            </w:r>
          </w:p>
        </w:tc>
        <w:tc>
          <w:tcPr>
            <w:tcW w:w="2050" w:type="pct"/>
            <w:vAlign w:val="center"/>
          </w:tcPr>
          <w:p w14:paraId="178AC8CA">
            <w:pPr>
              <w:pStyle w:val="75"/>
              <w:rPr>
                <w:rFonts w:hint="default"/>
                <w:lang w:val="en-US"/>
              </w:rPr>
            </w:pPr>
            <w:r>
              <w:rPr>
                <w:rFonts w:hint="eastAsia"/>
              </w:rPr>
              <w:t>7.4789</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-10</w:t>
            </w:r>
          </w:p>
        </w:tc>
      </w:tr>
      <w:tr w14:paraId="238DB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222DAB2C">
            <w:pPr>
              <w:pStyle w:val="75"/>
              <w:rPr>
                <w:rFonts w:hint="default" w:eastAsia="宋体"/>
                <w:lang w:val="en-US" w:eastAsia="zh-CN"/>
              </w:rPr>
            </w:pPr>
            <w:r>
              <w:rPr>
                <w:rFonts w:hint="eastAsia"/>
                <w:lang w:val="en-US" w:eastAsia="zh-CN"/>
              </w:rPr>
              <w:t>20</w:t>
            </w:r>
          </w:p>
        </w:tc>
        <w:tc>
          <w:tcPr>
            <w:tcW w:w="1704" w:type="pct"/>
            <w:vAlign w:val="center"/>
          </w:tcPr>
          <w:p w14:paraId="7597A594">
            <w:pPr>
              <w:pStyle w:val="75"/>
              <w:ind w:firstLine="0" w:firstLineChars="0"/>
              <w:rPr>
                <w:rFonts w:hint="default" w:eastAsia="宋体"/>
                <w:lang w:val="en-US" w:eastAsia="zh-CN"/>
              </w:rPr>
            </w:pPr>
            <w:r>
              <w:rPr>
                <w:rFonts w:hint="eastAsia"/>
                <w:lang w:val="en-US" w:eastAsia="zh-CN"/>
              </w:rPr>
              <w:t>0.22222</w:t>
            </w:r>
          </w:p>
        </w:tc>
        <w:tc>
          <w:tcPr>
            <w:tcW w:w="2050" w:type="pct"/>
            <w:vAlign w:val="center"/>
          </w:tcPr>
          <w:p w14:paraId="6C2A3527">
            <w:pPr>
              <w:pStyle w:val="75"/>
              <w:rPr>
                <w:rFonts w:hint="default"/>
                <w:lang w:val="en-US"/>
              </w:rPr>
            </w:pPr>
            <w:r>
              <w:rPr>
                <w:rFonts w:hint="eastAsia"/>
              </w:rPr>
              <w:t>3.7568</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239081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047DE67E">
            <w:pPr>
              <w:pStyle w:val="75"/>
            </w:pPr>
            <w:r>
              <w:t>30</w:t>
            </w:r>
          </w:p>
        </w:tc>
        <w:tc>
          <w:tcPr>
            <w:tcW w:w="1704" w:type="pct"/>
            <w:vAlign w:val="center"/>
          </w:tcPr>
          <w:p w14:paraId="0779572B">
            <w:pPr>
              <w:pStyle w:val="75"/>
              <w:ind w:firstLine="0" w:firstLineChars="0"/>
            </w:pPr>
            <w:r>
              <w:rPr>
                <w:rFonts w:hint="eastAsia"/>
              </w:rPr>
              <w:t>0.33333</w:t>
            </w:r>
          </w:p>
        </w:tc>
        <w:tc>
          <w:tcPr>
            <w:tcW w:w="2050" w:type="pct"/>
            <w:vAlign w:val="center"/>
          </w:tcPr>
          <w:p w14:paraId="5511B66E">
            <w:pPr>
              <w:pStyle w:val="75"/>
              <w:rPr>
                <w:rFonts w:hint="default" w:eastAsia="宋体"/>
                <w:lang w:val="en-US" w:eastAsia="zh-CN"/>
              </w:rPr>
            </w:pPr>
            <w:r>
              <w:rPr>
                <w:rFonts w:hint="default" w:eastAsia="宋体"/>
                <w:lang w:val="en-US" w:eastAsia="zh-CN"/>
              </w:rPr>
              <w:t>6.0334</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-3</w:t>
            </w:r>
          </w:p>
        </w:tc>
      </w:tr>
      <w:tr w14:paraId="4F6E4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4B2A6839">
            <w:pPr>
              <w:pStyle w:val="75"/>
              <w:rPr>
                <w:rFonts w:hint="default" w:eastAsia="宋体"/>
                <w:lang w:val="en-US" w:eastAsia="zh-CN"/>
              </w:rPr>
            </w:pPr>
            <w:r>
              <w:rPr>
                <w:rFonts w:hint="eastAsia"/>
                <w:lang w:val="en-US" w:eastAsia="zh-CN"/>
              </w:rPr>
              <w:t>40</w:t>
            </w:r>
          </w:p>
        </w:tc>
        <w:tc>
          <w:tcPr>
            <w:tcW w:w="1704" w:type="pct"/>
            <w:vAlign w:val="center"/>
          </w:tcPr>
          <w:p w14:paraId="025F4FB1">
            <w:pPr>
              <w:pStyle w:val="75"/>
              <w:ind w:firstLine="0" w:firstLineChars="0"/>
              <w:rPr>
                <w:rFonts w:hint="default" w:eastAsia="宋体"/>
                <w:lang w:val="en-US" w:eastAsia="zh-CN"/>
              </w:rPr>
            </w:pPr>
            <w:r>
              <w:rPr>
                <w:rFonts w:hint="eastAsia"/>
                <w:lang w:val="en-US" w:eastAsia="zh-CN"/>
              </w:rPr>
              <w:t>0.44444</w:t>
            </w:r>
          </w:p>
        </w:tc>
        <w:tc>
          <w:tcPr>
            <w:tcW w:w="2050" w:type="pct"/>
            <w:vAlign w:val="center"/>
          </w:tcPr>
          <w:p w14:paraId="2D37C64A">
            <w:pPr>
              <w:pStyle w:val="75"/>
              <w:rPr>
                <w:rFonts w:hint="default" w:eastAsia="宋体"/>
                <w:lang w:val="en-US" w:eastAsia="zh-CN"/>
              </w:rPr>
            </w:pPr>
            <w:r>
              <w:rPr>
                <w:rFonts w:hint="default" w:eastAsia="宋体"/>
                <w:lang w:val="en-US" w:eastAsia="zh-CN"/>
              </w:rPr>
              <w:t>1.5442</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0C92D3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79C2799B">
            <w:pPr>
              <w:pStyle w:val="75"/>
            </w:pPr>
            <w:r>
              <w:t>50</w:t>
            </w:r>
          </w:p>
        </w:tc>
        <w:tc>
          <w:tcPr>
            <w:tcW w:w="1704" w:type="pct"/>
            <w:vAlign w:val="center"/>
          </w:tcPr>
          <w:p w14:paraId="16565118">
            <w:pPr>
              <w:pStyle w:val="75"/>
              <w:ind w:firstLine="0" w:firstLineChars="0"/>
            </w:pPr>
            <w:r>
              <w:rPr>
                <w:rFonts w:hint="eastAsia"/>
              </w:rPr>
              <w:t>0.55556</w:t>
            </w:r>
          </w:p>
        </w:tc>
        <w:tc>
          <w:tcPr>
            <w:tcW w:w="2050" w:type="pct"/>
            <w:vAlign w:val="center"/>
          </w:tcPr>
          <w:p w14:paraId="0871B0A8">
            <w:pPr>
              <w:pStyle w:val="75"/>
              <w:rPr>
                <w:rFonts w:hint="default"/>
                <w:lang w:val="en-US"/>
              </w:rPr>
            </w:pPr>
            <w:r>
              <w:rPr>
                <w:rFonts w:hint="eastAsia"/>
              </w:rPr>
              <w:t>2.2284</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719F0A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339031F0">
            <w:pPr>
              <w:pStyle w:val="75"/>
              <w:rPr>
                <w:rFonts w:hint="default" w:eastAsia="宋体"/>
                <w:lang w:val="en-US" w:eastAsia="zh-CN"/>
              </w:rPr>
            </w:pPr>
            <w:r>
              <w:rPr>
                <w:rFonts w:hint="eastAsia"/>
                <w:lang w:val="en-US" w:eastAsia="zh-CN"/>
              </w:rPr>
              <w:t>60</w:t>
            </w:r>
          </w:p>
        </w:tc>
        <w:tc>
          <w:tcPr>
            <w:tcW w:w="1704" w:type="pct"/>
            <w:vAlign w:val="center"/>
          </w:tcPr>
          <w:p w14:paraId="73F2911A">
            <w:pPr>
              <w:pStyle w:val="75"/>
              <w:ind w:firstLine="0" w:firstLineChars="0"/>
              <w:rPr>
                <w:rFonts w:hint="default" w:eastAsia="宋体"/>
                <w:lang w:val="en-US" w:eastAsia="zh-CN"/>
              </w:rPr>
            </w:pPr>
            <w:r>
              <w:rPr>
                <w:rFonts w:hint="eastAsia"/>
                <w:lang w:val="en-US" w:eastAsia="zh-CN"/>
              </w:rPr>
              <w:t>0.66667</w:t>
            </w:r>
          </w:p>
        </w:tc>
        <w:tc>
          <w:tcPr>
            <w:tcW w:w="2050" w:type="pct"/>
            <w:vAlign w:val="center"/>
          </w:tcPr>
          <w:p w14:paraId="4D6CF3D4">
            <w:pPr>
              <w:pStyle w:val="75"/>
              <w:rPr>
                <w:rFonts w:hint="default"/>
                <w:lang w:val="en-US"/>
              </w:rPr>
            </w:pPr>
            <w:r>
              <w:rPr>
                <w:rFonts w:hint="default"/>
                <w:lang w:val="en-US"/>
              </w:rPr>
              <w:t>2.5591</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58086B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77CBB798">
            <w:pPr>
              <w:pStyle w:val="75"/>
            </w:pPr>
            <w:r>
              <w:t>70</w:t>
            </w:r>
          </w:p>
        </w:tc>
        <w:tc>
          <w:tcPr>
            <w:tcW w:w="1704" w:type="pct"/>
            <w:vAlign w:val="center"/>
          </w:tcPr>
          <w:p w14:paraId="071D14B4">
            <w:pPr>
              <w:pStyle w:val="75"/>
              <w:ind w:firstLine="0" w:firstLineChars="0"/>
            </w:pPr>
            <w:r>
              <w:rPr>
                <w:rFonts w:hint="eastAsia"/>
              </w:rPr>
              <w:t>0.77778</w:t>
            </w:r>
          </w:p>
        </w:tc>
        <w:tc>
          <w:tcPr>
            <w:tcW w:w="2050" w:type="pct"/>
            <w:vAlign w:val="center"/>
          </w:tcPr>
          <w:p w14:paraId="01B0004E">
            <w:pPr>
              <w:pStyle w:val="75"/>
            </w:pPr>
            <w:r>
              <w:rPr>
                <w:rFonts w:hint="eastAsia"/>
              </w:rPr>
              <w:t>2.6540</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2BFD3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7983C2F9">
            <w:pPr>
              <w:pStyle w:val="75"/>
              <w:rPr>
                <w:rFonts w:hint="default" w:eastAsia="宋体"/>
                <w:lang w:val="en-US" w:eastAsia="zh-CN"/>
              </w:rPr>
            </w:pPr>
            <w:r>
              <w:rPr>
                <w:rFonts w:hint="eastAsia"/>
                <w:lang w:val="en-US" w:eastAsia="zh-CN"/>
              </w:rPr>
              <w:t>80</w:t>
            </w:r>
          </w:p>
        </w:tc>
        <w:tc>
          <w:tcPr>
            <w:tcW w:w="1704" w:type="pct"/>
            <w:vAlign w:val="center"/>
          </w:tcPr>
          <w:p w14:paraId="516EBE69">
            <w:pPr>
              <w:pStyle w:val="75"/>
              <w:ind w:firstLine="0" w:firstLineChars="0"/>
              <w:rPr>
                <w:rFonts w:hint="default" w:eastAsia="宋体"/>
                <w:lang w:val="en-US" w:eastAsia="zh-CN"/>
              </w:rPr>
            </w:pPr>
            <w:r>
              <w:rPr>
                <w:rFonts w:hint="eastAsia"/>
                <w:lang w:val="en-US" w:eastAsia="zh-CN"/>
              </w:rPr>
              <w:t>0.88889</w:t>
            </w:r>
          </w:p>
        </w:tc>
        <w:tc>
          <w:tcPr>
            <w:tcW w:w="2050" w:type="pct"/>
            <w:vAlign w:val="center"/>
          </w:tcPr>
          <w:p w14:paraId="3AA74212">
            <w:pPr>
              <w:pStyle w:val="75"/>
              <w:rPr>
                <w:rFonts w:hint="eastAsia"/>
              </w:rPr>
            </w:pPr>
            <w:r>
              <w:rPr>
                <w:rFonts w:hint="eastAsia"/>
              </w:rPr>
              <w:t>2.6258</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1F35BD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5617C6A8">
            <w:pPr>
              <w:pStyle w:val="75"/>
            </w:pPr>
            <w:r>
              <w:t>90</w:t>
            </w:r>
          </w:p>
        </w:tc>
        <w:tc>
          <w:tcPr>
            <w:tcW w:w="1704" w:type="pct"/>
            <w:vAlign w:val="center"/>
          </w:tcPr>
          <w:p w14:paraId="37BFCDB0">
            <w:pPr>
              <w:pStyle w:val="75"/>
              <w:ind w:firstLine="0" w:firstLineChars="0"/>
            </w:pPr>
            <w:r>
              <w:rPr>
                <w:rFonts w:hint="eastAsia"/>
              </w:rPr>
              <w:t>1</w:t>
            </w:r>
          </w:p>
        </w:tc>
        <w:tc>
          <w:tcPr>
            <w:tcW w:w="2050" w:type="pct"/>
            <w:vAlign w:val="center"/>
          </w:tcPr>
          <w:p w14:paraId="5442BC11">
            <w:pPr>
              <w:pStyle w:val="75"/>
            </w:pPr>
            <w:r>
              <w:rPr>
                <w:rFonts w:hint="eastAsia"/>
              </w:rPr>
              <w:t>2.5423</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76AC0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6BC4208F">
            <w:pPr>
              <w:pStyle w:val="75"/>
              <w:rPr>
                <w:rFonts w:hint="default" w:eastAsia="宋体"/>
                <w:lang w:val="en-US" w:eastAsia="zh-CN"/>
              </w:rPr>
            </w:pPr>
            <w:r>
              <w:rPr>
                <w:rFonts w:hint="eastAsia"/>
                <w:lang w:val="en-US" w:eastAsia="zh-CN"/>
              </w:rPr>
              <w:t>100</w:t>
            </w:r>
          </w:p>
        </w:tc>
        <w:tc>
          <w:tcPr>
            <w:tcW w:w="1704" w:type="pct"/>
            <w:vAlign w:val="center"/>
          </w:tcPr>
          <w:p w14:paraId="763003A1">
            <w:pPr>
              <w:pStyle w:val="75"/>
              <w:ind w:firstLine="0" w:firstLineChars="0"/>
            </w:pPr>
            <w:r>
              <w:rPr>
                <w:rFonts w:hint="eastAsia"/>
              </w:rPr>
              <w:t>1.1111</w:t>
            </w:r>
          </w:p>
        </w:tc>
        <w:tc>
          <w:tcPr>
            <w:tcW w:w="2050" w:type="pct"/>
            <w:vAlign w:val="center"/>
          </w:tcPr>
          <w:p w14:paraId="2B0840D5">
            <w:pPr>
              <w:pStyle w:val="75"/>
            </w:pPr>
            <w:r>
              <w:rPr>
                <w:rFonts w:hint="eastAsia"/>
              </w:rPr>
              <w:t>2.4377</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-2</w:t>
            </w:r>
          </w:p>
        </w:tc>
      </w:tr>
      <w:tr w14:paraId="5CD986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40064A61">
            <w:pPr>
              <w:pStyle w:val="75"/>
              <w:rPr>
                <w:rFonts w:hint="default" w:eastAsia="宋体"/>
                <w:lang w:val="en-US" w:eastAsia="zh-CN"/>
              </w:rPr>
            </w:pPr>
            <w:r>
              <w:rPr>
                <w:rFonts w:hint="eastAsia"/>
                <w:lang w:val="en-US" w:eastAsia="zh-CN"/>
              </w:rPr>
              <w:t>500</w:t>
            </w:r>
          </w:p>
        </w:tc>
        <w:tc>
          <w:tcPr>
            <w:tcW w:w="1704" w:type="pct"/>
            <w:vAlign w:val="center"/>
          </w:tcPr>
          <w:p w14:paraId="0F8839D3">
            <w:pPr>
              <w:pStyle w:val="75"/>
              <w:ind w:firstLine="0" w:firstLineChars="0"/>
            </w:pPr>
            <w:r>
              <w:rPr>
                <w:rFonts w:hint="eastAsia" w:ascii="Times New Roman" w:hAnsi="Times New Roman" w:eastAsia="宋体" w:cs="Times New Roman"/>
                <w:lang w:val="zh-CN"/>
              </w:rPr>
              <w:t>5.5556</w:t>
            </w:r>
          </w:p>
        </w:tc>
        <w:tc>
          <w:tcPr>
            <w:tcW w:w="2050" w:type="pct"/>
            <w:vAlign w:val="center"/>
          </w:tcPr>
          <w:p w14:paraId="781F1E47">
            <w:pPr>
              <w:pStyle w:val="75"/>
              <w:rPr>
                <w:rFonts w:hint="default"/>
                <w:lang w:val="en-US"/>
              </w:rPr>
            </w:pPr>
            <w:r>
              <w:rPr>
                <w:rFonts w:hint="eastAsia"/>
              </w:rPr>
              <w:t>4.8693</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-3</w:t>
            </w:r>
          </w:p>
        </w:tc>
      </w:tr>
      <w:tr w14:paraId="0044DE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7AB6593A">
            <w:pPr>
              <w:pStyle w:val="75"/>
              <w:rPr>
                <w:rFonts w:hint="default" w:eastAsia="宋体"/>
                <w:kern w:val="2"/>
                <w:lang w:val="en-US" w:eastAsia="zh-CN"/>
              </w:rPr>
            </w:pPr>
            <w:r>
              <w:rPr>
                <w:rFonts w:hint="eastAsia"/>
                <w:kern w:val="2"/>
                <w:lang w:val="en-US" w:eastAsia="zh-CN"/>
              </w:rPr>
              <w:t>1000</w:t>
            </w:r>
          </w:p>
        </w:tc>
        <w:tc>
          <w:tcPr>
            <w:tcW w:w="1704" w:type="pct"/>
            <w:vAlign w:val="center"/>
          </w:tcPr>
          <w:p w14:paraId="461945DE">
            <w:pPr>
              <w:pStyle w:val="75"/>
              <w:ind w:firstLine="0" w:firstLineChars="0"/>
              <w:rPr>
                <w:rFonts w:hint="default" w:eastAsia="宋体"/>
                <w:lang w:val="en-US" w:eastAsia="zh-CN"/>
              </w:rPr>
            </w:pPr>
            <w:r>
              <w:rPr>
                <w:rFonts w:hint="eastAsia"/>
                <w:lang w:val="en-US" w:eastAsia="zh-CN"/>
              </w:rPr>
              <w:t>13.</w:t>
            </w:r>
            <w:r>
              <w:rPr>
                <w:rFonts w:hint="default" w:eastAsia="宋体"/>
                <w:lang w:val="en-US" w:eastAsia="zh-CN"/>
              </w:rPr>
              <w:t>111</w:t>
            </w:r>
          </w:p>
        </w:tc>
        <w:tc>
          <w:tcPr>
            <w:tcW w:w="2050" w:type="pct"/>
            <w:vAlign w:val="center"/>
          </w:tcPr>
          <w:p w14:paraId="529A3089">
            <w:pPr>
              <w:pStyle w:val="75"/>
            </w:pPr>
            <w:r>
              <w:rPr>
                <w:rFonts w:hint="eastAsia"/>
              </w:rPr>
              <w:t>1.6539</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-3</w:t>
            </w:r>
          </w:p>
        </w:tc>
      </w:tr>
      <w:tr w14:paraId="283B78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1B713F60">
            <w:pPr>
              <w:pStyle w:val="75"/>
              <w:rPr>
                <w:rFonts w:hint="default"/>
                <w:kern w:val="2"/>
                <w:lang w:val="en-US" w:eastAsia="zh-CN"/>
              </w:rPr>
            </w:pPr>
            <w:r>
              <w:rPr>
                <w:rFonts w:hint="eastAsia"/>
                <w:kern w:val="2"/>
                <w:lang w:val="en-US" w:eastAsia="zh-CN"/>
              </w:rPr>
              <w:t>1500</w:t>
            </w:r>
          </w:p>
        </w:tc>
        <w:tc>
          <w:tcPr>
            <w:tcW w:w="1704" w:type="pct"/>
            <w:vAlign w:val="center"/>
          </w:tcPr>
          <w:p w14:paraId="2A1523E3">
            <w:pPr>
              <w:pStyle w:val="75"/>
              <w:ind w:firstLine="0" w:firstLineChars="0"/>
              <w:rPr>
                <w:rFonts w:hint="default"/>
                <w:lang w:val="en-US" w:eastAsia="zh-CN"/>
              </w:rPr>
            </w:pPr>
            <w:r>
              <w:rPr>
                <w:rFonts w:hint="eastAsia"/>
                <w:lang w:val="en-US" w:eastAsia="zh-CN"/>
              </w:rPr>
              <w:t>19.667</w:t>
            </w:r>
          </w:p>
        </w:tc>
        <w:tc>
          <w:tcPr>
            <w:tcW w:w="2050" w:type="pct"/>
            <w:vAlign w:val="center"/>
          </w:tcPr>
          <w:p w14:paraId="6940A283">
            <w:pPr>
              <w:pStyle w:val="75"/>
              <w:rPr>
                <w:rFonts w:hint="default"/>
                <w:lang w:val="en-US"/>
              </w:rPr>
            </w:pPr>
            <w:r>
              <w:rPr>
                <w:rFonts w:hint="eastAsia"/>
              </w:rPr>
              <w:t>8.8463</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0CD54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6D0FE97C">
            <w:pPr>
              <w:pStyle w:val="75"/>
              <w:rPr>
                <w:rFonts w:hint="default" w:eastAsia="宋体"/>
                <w:kern w:val="2"/>
                <w:lang w:val="en-US" w:eastAsia="zh-CN"/>
              </w:rPr>
            </w:pPr>
            <w:r>
              <w:rPr>
                <w:rFonts w:hint="eastAsia"/>
                <w:kern w:val="2"/>
                <w:lang w:val="en-US" w:eastAsia="zh-CN"/>
              </w:rPr>
              <w:t>2000</w:t>
            </w:r>
          </w:p>
        </w:tc>
        <w:tc>
          <w:tcPr>
            <w:tcW w:w="1704" w:type="pct"/>
            <w:vAlign w:val="center"/>
          </w:tcPr>
          <w:p w14:paraId="0CAF4797">
            <w:pPr>
              <w:pStyle w:val="75"/>
              <w:ind w:firstLine="0" w:firstLineChars="0"/>
              <w:rPr>
                <w:rFonts w:hint="default" w:eastAsia="宋体"/>
                <w:lang w:val="en-US" w:eastAsia="zh-CN"/>
              </w:rPr>
            </w:pPr>
            <w:r>
              <w:rPr>
                <w:rFonts w:hint="eastAsia"/>
                <w:lang w:val="en-US" w:eastAsia="zh-CN"/>
              </w:rPr>
              <w:t>25.222</w:t>
            </w:r>
          </w:p>
        </w:tc>
        <w:tc>
          <w:tcPr>
            <w:tcW w:w="2050" w:type="pct"/>
            <w:vAlign w:val="center"/>
          </w:tcPr>
          <w:p w14:paraId="3B5A289F">
            <w:pPr>
              <w:pStyle w:val="75"/>
              <w:rPr>
                <w:rFonts w:hint="default"/>
                <w:lang w:val="en-US"/>
              </w:rPr>
            </w:pPr>
            <w:r>
              <w:rPr>
                <w:rFonts w:hint="default"/>
                <w:lang w:val="en-US"/>
              </w:rPr>
              <w:t>6.0651</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7E42C4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2CA60DC2">
            <w:pPr>
              <w:pStyle w:val="75"/>
              <w:rPr>
                <w:rFonts w:hint="default"/>
                <w:kern w:val="2"/>
                <w:lang w:val="en-US" w:eastAsia="zh-CN"/>
              </w:rPr>
            </w:pPr>
            <w:r>
              <w:rPr>
                <w:rFonts w:hint="eastAsia"/>
                <w:kern w:val="2"/>
                <w:lang w:val="en-US" w:eastAsia="zh-CN"/>
              </w:rPr>
              <w:t>2500</w:t>
            </w:r>
          </w:p>
        </w:tc>
        <w:tc>
          <w:tcPr>
            <w:tcW w:w="1704" w:type="pct"/>
            <w:vAlign w:val="center"/>
          </w:tcPr>
          <w:p w14:paraId="1B7E43EC">
            <w:pPr>
              <w:pStyle w:val="75"/>
              <w:ind w:firstLine="0" w:firstLineChars="0"/>
              <w:rPr>
                <w:rFonts w:hint="default"/>
                <w:lang w:val="en-US" w:eastAsia="zh-CN"/>
              </w:rPr>
            </w:pPr>
            <w:r>
              <w:rPr>
                <w:rFonts w:hint="eastAsia"/>
                <w:lang w:val="en-US" w:eastAsia="zh-CN"/>
              </w:rPr>
              <w:t>31.778</w:t>
            </w:r>
          </w:p>
        </w:tc>
        <w:tc>
          <w:tcPr>
            <w:tcW w:w="2050" w:type="pct"/>
            <w:vAlign w:val="center"/>
          </w:tcPr>
          <w:p w14:paraId="32DB81ED">
            <w:pPr>
              <w:pStyle w:val="75"/>
              <w:rPr>
                <w:rFonts w:hint="default"/>
                <w:lang w:val="en-US"/>
              </w:rPr>
            </w:pPr>
            <w:r>
              <w:rPr>
                <w:rFonts w:hint="default"/>
                <w:lang w:val="en-US"/>
              </w:rPr>
              <w:t>4.5205</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2B17BC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6C3F320D">
            <w:pPr>
              <w:pStyle w:val="75"/>
              <w:rPr>
                <w:rFonts w:hint="default" w:eastAsia="宋体"/>
                <w:kern w:val="2"/>
                <w:lang w:val="en-US" w:eastAsia="zh-CN"/>
              </w:rPr>
            </w:pPr>
            <w:r>
              <w:rPr>
                <w:rFonts w:hint="eastAsia"/>
                <w:kern w:val="2"/>
                <w:lang w:val="en-US" w:eastAsia="zh-CN"/>
              </w:rPr>
              <w:t>3000</w:t>
            </w:r>
          </w:p>
        </w:tc>
        <w:tc>
          <w:tcPr>
            <w:tcW w:w="1704" w:type="pct"/>
            <w:vAlign w:val="center"/>
          </w:tcPr>
          <w:p w14:paraId="711BCB18">
            <w:pPr>
              <w:pStyle w:val="75"/>
              <w:ind w:firstLine="0" w:firstLineChars="0"/>
              <w:rPr>
                <w:rFonts w:hint="default" w:eastAsia="宋体"/>
                <w:lang w:val="en-US" w:eastAsia="zh-CN"/>
              </w:rPr>
            </w:pPr>
            <w:r>
              <w:rPr>
                <w:rFonts w:hint="eastAsia"/>
                <w:lang w:val="en-US" w:eastAsia="zh-CN"/>
              </w:rPr>
              <w:t>37.444</w:t>
            </w:r>
          </w:p>
        </w:tc>
        <w:tc>
          <w:tcPr>
            <w:tcW w:w="2050" w:type="pct"/>
            <w:vAlign w:val="center"/>
          </w:tcPr>
          <w:p w14:paraId="524B3AB3">
            <w:pPr>
              <w:pStyle w:val="75"/>
            </w:pPr>
            <w:r>
              <w:rPr>
                <w:rFonts w:hint="eastAsia"/>
              </w:rPr>
              <w:t>3.5532</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5F1035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0FFEF77F">
            <w:pPr>
              <w:pStyle w:val="75"/>
              <w:rPr>
                <w:rFonts w:hint="default"/>
                <w:kern w:val="2"/>
                <w:lang w:val="en-US" w:eastAsia="zh-CN"/>
              </w:rPr>
            </w:pPr>
            <w:r>
              <w:rPr>
                <w:rFonts w:hint="eastAsia"/>
                <w:kern w:val="2"/>
                <w:lang w:val="en-US" w:eastAsia="zh-CN"/>
              </w:rPr>
              <w:t>3500</w:t>
            </w:r>
          </w:p>
        </w:tc>
        <w:tc>
          <w:tcPr>
            <w:tcW w:w="1704" w:type="pct"/>
            <w:vAlign w:val="center"/>
          </w:tcPr>
          <w:p w14:paraId="3AACDB9C">
            <w:pPr>
              <w:pStyle w:val="75"/>
              <w:ind w:firstLine="0" w:firstLineChars="0"/>
              <w:rPr>
                <w:rFonts w:hint="default"/>
                <w:lang w:val="en-US" w:eastAsia="zh-CN"/>
              </w:rPr>
            </w:pPr>
            <w:r>
              <w:rPr>
                <w:rFonts w:hint="eastAsia"/>
                <w:lang w:val="en-US" w:eastAsia="zh-CN"/>
              </w:rPr>
              <w:t>43.889</w:t>
            </w:r>
          </w:p>
        </w:tc>
        <w:tc>
          <w:tcPr>
            <w:tcW w:w="2050" w:type="pct"/>
            <w:vAlign w:val="center"/>
          </w:tcPr>
          <w:p w14:paraId="07F1265E">
            <w:pPr>
              <w:pStyle w:val="75"/>
              <w:rPr>
                <w:rFonts w:hint="eastAsia"/>
              </w:rPr>
            </w:pPr>
            <w:r>
              <w:rPr>
                <w:rFonts w:hint="eastAsia"/>
              </w:rPr>
              <w:t>2.8976</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3D738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48B75FAF">
            <w:pPr>
              <w:pStyle w:val="75"/>
              <w:rPr>
                <w:rFonts w:hint="default" w:eastAsia="宋体"/>
                <w:kern w:val="2"/>
                <w:lang w:val="en-US" w:eastAsia="zh-CN"/>
              </w:rPr>
            </w:pPr>
            <w:r>
              <w:rPr>
                <w:rFonts w:hint="eastAsia"/>
                <w:kern w:val="2"/>
                <w:lang w:val="en-US" w:eastAsia="zh-CN"/>
              </w:rPr>
              <w:t>4000</w:t>
            </w:r>
          </w:p>
        </w:tc>
        <w:tc>
          <w:tcPr>
            <w:tcW w:w="1704" w:type="pct"/>
            <w:vAlign w:val="center"/>
          </w:tcPr>
          <w:p w14:paraId="4AEC9459">
            <w:pPr>
              <w:pStyle w:val="75"/>
              <w:ind w:firstLine="0" w:firstLineChars="0"/>
              <w:rPr>
                <w:rFonts w:hint="default" w:eastAsia="宋体"/>
                <w:lang w:val="en-US" w:eastAsia="zh-CN"/>
              </w:rPr>
            </w:pPr>
            <w:r>
              <w:rPr>
                <w:rFonts w:hint="eastAsia"/>
                <w:lang w:val="en-US" w:eastAsia="zh-CN"/>
              </w:rPr>
              <w:t>49.444</w:t>
            </w:r>
          </w:p>
        </w:tc>
        <w:tc>
          <w:tcPr>
            <w:tcW w:w="2050" w:type="pct"/>
            <w:vAlign w:val="center"/>
          </w:tcPr>
          <w:p w14:paraId="7103E4F5">
            <w:pPr>
              <w:pStyle w:val="75"/>
            </w:pPr>
            <w:r>
              <w:rPr>
                <w:rFonts w:hint="eastAsia"/>
              </w:rPr>
              <w:t>2.4278</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3FB4A0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5DAD0948">
            <w:pPr>
              <w:pStyle w:val="75"/>
              <w:rPr>
                <w:rFonts w:hint="default"/>
                <w:kern w:val="2"/>
                <w:lang w:val="en-US" w:eastAsia="zh-CN"/>
              </w:rPr>
            </w:pPr>
            <w:r>
              <w:rPr>
                <w:rFonts w:hint="eastAsia"/>
                <w:kern w:val="2"/>
                <w:lang w:val="en-US" w:eastAsia="zh-CN"/>
              </w:rPr>
              <w:t>4500</w:t>
            </w:r>
          </w:p>
        </w:tc>
        <w:tc>
          <w:tcPr>
            <w:tcW w:w="1704" w:type="pct"/>
            <w:vAlign w:val="center"/>
          </w:tcPr>
          <w:p w14:paraId="04FFA82F">
            <w:pPr>
              <w:pStyle w:val="75"/>
              <w:ind w:firstLine="0" w:firstLineChars="0"/>
              <w:rPr>
                <w:rFonts w:hint="default" w:eastAsia="宋体"/>
                <w:lang w:val="en-US" w:eastAsia="zh-CN"/>
              </w:rPr>
            </w:pPr>
            <w:r>
              <w:rPr>
                <w:rFonts w:hint="eastAsia"/>
                <w:lang w:val="en-US" w:eastAsia="zh-CN"/>
              </w:rPr>
              <w:t>55</w:t>
            </w:r>
          </w:p>
        </w:tc>
        <w:tc>
          <w:tcPr>
            <w:tcW w:w="2050" w:type="pct"/>
            <w:vAlign w:val="center"/>
          </w:tcPr>
          <w:p w14:paraId="10E2EA94">
            <w:pPr>
              <w:pStyle w:val="75"/>
            </w:pPr>
            <w:r>
              <w:rPr>
                <w:rFonts w:hint="eastAsia"/>
              </w:rPr>
              <w:t>2.0760</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r w14:paraId="3C94E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4" w:type="pct"/>
            <w:vAlign w:val="center"/>
          </w:tcPr>
          <w:p w14:paraId="1431C7B2">
            <w:pPr>
              <w:pStyle w:val="75"/>
              <w:rPr>
                <w:rFonts w:hint="default" w:eastAsia="宋体"/>
                <w:kern w:val="2"/>
                <w:lang w:val="en-US" w:eastAsia="zh-CN"/>
              </w:rPr>
            </w:pPr>
            <w:r>
              <w:rPr>
                <w:rFonts w:hint="eastAsia"/>
                <w:kern w:val="2"/>
                <w:lang w:val="en-US" w:eastAsia="zh-CN"/>
              </w:rPr>
              <w:t>5000</w:t>
            </w:r>
          </w:p>
        </w:tc>
        <w:tc>
          <w:tcPr>
            <w:tcW w:w="1704" w:type="pct"/>
            <w:vAlign w:val="center"/>
          </w:tcPr>
          <w:p w14:paraId="217293F0">
            <w:pPr>
              <w:pStyle w:val="75"/>
              <w:ind w:firstLine="0" w:firstLineChars="0"/>
              <w:rPr>
                <w:rFonts w:hint="default" w:eastAsia="宋体"/>
                <w:lang w:val="en-US" w:eastAsia="zh-CN"/>
              </w:rPr>
            </w:pPr>
            <w:r>
              <w:rPr>
                <w:rFonts w:hint="eastAsia"/>
                <w:lang w:val="en-US" w:eastAsia="zh-CN"/>
              </w:rPr>
              <w:t>60.555</w:t>
            </w:r>
          </w:p>
        </w:tc>
        <w:tc>
          <w:tcPr>
            <w:tcW w:w="2050" w:type="pct"/>
            <w:vAlign w:val="center"/>
          </w:tcPr>
          <w:p w14:paraId="43A2188F">
            <w:pPr>
              <w:pStyle w:val="75"/>
            </w:pPr>
            <w:r>
              <w:rPr>
                <w:rFonts w:hint="eastAsia"/>
              </w:rPr>
              <w:t>1.8035</w:t>
            </w:r>
            <w:r>
              <w:rPr>
                <w:rFonts w:hint="default" w:ascii="Times New Roman" w:hAnsi="Times New Roman" w:eastAsia="宋体" w:cs="Times New Roman"/>
                <w:b w:val="0"/>
                <w:bCs w:val="0"/>
                <w:sz w:val="21"/>
                <w:szCs w:val="24"/>
                <w:u w:val="none"/>
                <w:lang w:val="en-US" w:eastAsia="zh-CN"/>
              </w:rPr>
              <w:t>×10</w:t>
            </w:r>
            <w:r>
              <w:rPr>
                <w:rFonts w:hint="eastAsia" w:ascii="Times New Roman" w:hAnsi="Times New Roman" w:eastAsia="宋体" w:cs="Times New Roman"/>
                <w:b w:val="0"/>
                <w:bCs w:val="0"/>
                <w:sz w:val="21"/>
                <w:szCs w:val="24"/>
                <w:u w:val="none"/>
                <w:vertAlign w:val="superscript"/>
                <w:lang w:val="en-US" w:eastAsia="zh-CN"/>
              </w:rPr>
              <w:t>-4</w:t>
            </w:r>
          </w:p>
        </w:tc>
      </w:tr>
    </w:tbl>
    <w:p w14:paraId="02CA2E9F">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r>
        <w:drawing>
          <wp:anchor distT="0" distB="0" distL="114300" distR="114300" simplePos="0" relativeHeight="251688960" behindDoc="0" locked="0" layoutInCell="1" allowOverlap="1">
            <wp:simplePos x="0" y="0"/>
            <wp:positionH relativeFrom="column">
              <wp:posOffset>40005</wp:posOffset>
            </wp:positionH>
            <wp:positionV relativeFrom="paragraph">
              <wp:posOffset>102235</wp:posOffset>
            </wp:positionV>
            <wp:extent cx="5168900" cy="2597785"/>
            <wp:effectExtent l="0" t="0" r="12700" b="12065"/>
            <wp:wrapNone/>
            <wp:docPr id="7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3"/>
                    <pic:cNvPicPr>
                      <a:picLocks noChangeAspect="1"/>
                    </pic:cNvPicPr>
                  </pic:nvPicPr>
                  <pic:blipFill>
                    <a:blip r:embed="rId61"/>
                    <a:stretch>
                      <a:fillRect/>
                    </a:stretch>
                  </pic:blipFill>
                  <pic:spPr>
                    <a:xfrm>
                      <a:off x="0" y="0"/>
                      <a:ext cx="5168900" cy="2597785"/>
                    </a:xfrm>
                    <a:prstGeom prst="rect">
                      <a:avLst/>
                    </a:prstGeom>
                    <a:noFill/>
                    <a:ln>
                      <a:noFill/>
                    </a:ln>
                  </pic:spPr>
                </pic:pic>
              </a:graphicData>
            </a:graphic>
          </wp:anchor>
        </w:drawing>
      </w:r>
    </w:p>
    <w:p w14:paraId="0AEFEBE7">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656AB7D7">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043426D0">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0B7E45D8">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68E040FC">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0600CF90">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47DCFDDE">
      <w:pPr>
        <w:pStyle w:val="78"/>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14:paraId="6B2A986C">
      <w:pPr>
        <w:pStyle w:val="78"/>
        <w:keepNext w:val="0"/>
        <w:keepLines w:val="0"/>
        <w:pageBreakBefore w:val="0"/>
        <w:widowControl w:val="0"/>
        <w:kinsoku/>
        <w:wordWrap/>
        <w:overflowPunct/>
        <w:topLinePunct w:val="0"/>
        <w:autoSpaceDE/>
        <w:autoSpaceDN/>
        <w:bidi w:val="0"/>
        <w:adjustRightInd/>
        <w:snapToGrid/>
        <w:spacing w:line="520" w:lineRule="exact"/>
        <w:textAlignment w:val="auto"/>
      </w:pPr>
      <w:r>
        <w:rPr>
          <w:rFonts w:hint="eastAsia"/>
          <w:lang w:val="en-US" w:eastAsia="zh-CN"/>
        </w:rPr>
        <w:t>6.5-2</w:t>
      </w:r>
      <w:r>
        <w:t xml:space="preserve">   </w:t>
      </w:r>
      <w:r>
        <w:rPr>
          <w:rFonts w:hint="eastAsia"/>
        </w:rPr>
        <w:t xml:space="preserve"> </w:t>
      </w:r>
      <w:r>
        <w:t>下风向硫酸最大浓度-距离曲线</w:t>
      </w:r>
    </w:p>
    <w:p w14:paraId="5C2647AA">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6.5-4</w:t>
      </w:r>
      <w:r>
        <w:rPr>
          <w:rFonts w:hint="eastAsia" w:ascii="Times New Roman" w:hAnsi="Times New Roman" w:cs="宋体" w:eastAsiaTheme="minorEastAsia"/>
          <w:b/>
          <w:kern w:val="2"/>
          <w:sz w:val="24"/>
          <w:szCs w:val="24"/>
          <w:lang w:val="en-US" w:eastAsia="zh-CN" w:bidi="ar-SA"/>
        </w:rPr>
        <w:t xml:space="preserve">    阈值范围内最大影响范围</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81"/>
        <w:gridCol w:w="1171"/>
        <w:gridCol w:w="1155"/>
        <w:gridCol w:w="1313"/>
        <w:gridCol w:w="1356"/>
        <w:gridCol w:w="2293"/>
      </w:tblGrid>
      <w:tr w14:paraId="6B0694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81" w:type="dxa"/>
            <w:vAlign w:val="center"/>
          </w:tcPr>
          <w:p w14:paraId="43983C45">
            <w:pPr>
              <w:pStyle w:val="81"/>
              <w:rPr>
                <w:color w:val="auto"/>
              </w:rPr>
            </w:pPr>
            <w:r>
              <w:rPr>
                <w:rFonts w:hint="eastAsia"/>
                <w:color w:val="auto"/>
              </w:rPr>
              <w:t>风险物质</w:t>
            </w:r>
          </w:p>
        </w:tc>
        <w:tc>
          <w:tcPr>
            <w:tcW w:w="1171" w:type="dxa"/>
            <w:vAlign w:val="center"/>
          </w:tcPr>
          <w:p w14:paraId="1CEE54B5">
            <w:pPr>
              <w:pStyle w:val="81"/>
              <w:rPr>
                <w:rFonts w:hint="eastAsia" w:eastAsia="宋体"/>
                <w:color w:val="auto"/>
                <w:lang w:eastAsia="zh-CN"/>
              </w:rPr>
            </w:pPr>
            <w:r>
              <w:rPr>
                <w:rFonts w:hint="eastAsia"/>
                <w:color w:val="auto"/>
              </w:rPr>
              <w:t>阈值</w:t>
            </w:r>
            <w:r>
              <w:rPr>
                <w:color w:val="auto"/>
              </w:rPr>
              <w:t>mg/m</w:t>
            </w:r>
            <w:r>
              <w:rPr>
                <w:rFonts w:hint="eastAsia"/>
                <w:color w:val="auto"/>
                <w:vertAlign w:val="superscript"/>
                <w:lang w:val="en-US" w:eastAsia="zh-CN"/>
              </w:rPr>
              <w:t>3</w:t>
            </w:r>
          </w:p>
        </w:tc>
        <w:tc>
          <w:tcPr>
            <w:tcW w:w="1155" w:type="dxa"/>
            <w:vAlign w:val="center"/>
          </w:tcPr>
          <w:p w14:paraId="3C41FEBB">
            <w:pPr>
              <w:pStyle w:val="81"/>
              <w:rPr>
                <w:color w:val="auto"/>
              </w:rPr>
            </w:pPr>
            <w:r>
              <w:rPr>
                <w:color w:val="auto"/>
              </w:rPr>
              <w:t>X</w:t>
            </w:r>
            <w:r>
              <w:rPr>
                <w:rFonts w:hint="eastAsia"/>
                <w:color w:val="auto"/>
              </w:rPr>
              <w:t>起点</w:t>
            </w:r>
            <w:r>
              <w:rPr>
                <w:color w:val="auto"/>
              </w:rPr>
              <w:t>m</w:t>
            </w:r>
          </w:p>
        </w:tc>
        <w:tc>
          <w:tcPr>
            <w:tcW w:w="1313" w:type="dxa"/>
            <w:vAlign w:val="center"/>
          </w:tcPr>
          <w:p w14:paraId="1423723A">
            <w:pPr>
              <w:pStyle w:val="81"/>
              <w:rPr>
                <w:color w:val="auto"/>
              </w:rPr>
            </w:pPr>
            <w:r>
              <w:rPr>
                <w:color w:val="auto"/>
              </w:rPr>
              <w:t>X</w:t>
            </w:r>
            <w:r>
              <w:rPr>
                <w:rFonts w:hint="eastAsia"/>
                <w:color w:val="auto"/>
              </w:rPr>
              <w:t>终点</w:t>
            </w:r>
            <w:r>
              <w:rPr>
                <w:color w:val="auto"/>
              </w:rPr>
              <w:t>m</w:t>
            </w:r>
          </w:p>
        </w:tc>
        <w:tc>
          <w:tcPr>
            <w:tcW w:w="1356" w:type="dxa"/>
            <w:vAlign w:val="center"/>
          </w:tcPr>
          <w:p w14:paraId="27B7E2CB">
            <w:pPr>
              <w:pStyle w:val="81"/>
              <w:rPr>
                <w:color w:val="auto"/>
              </w:rPr>
            </w:pPr>
            <w:r>
              <w:rPr>
                <w:rFonts w:hint="eastAsia"/>
                <w:color w:val="auto"/>
              </w:rPr>
              <w:t>最大半宽</w:t>
            </w:r>
            <w:r>
              <w:rPr>
                <w:color w:val="auto"/>
              </w:rPr>
              <w:t>m</w:t>
            </w:r>
          </w:p>
        </w:tc>
        <w:tc>
          <w:tcPr>
            <w:tcW w:w="2293" w:type="dxa"/>
            <w:vAlign w:val="center"/>
          </w:tcPr>
          <w:p w14:paraId="70BF03ED">
            <w:pPr>
              <w:pStyle w:val="81"/>
              <w:rPr>
                <w:color w:val="auto"/>
              </w:rPr>
            </w:pPr>
            <w:r>
              <w:rPr>
                <w:rFonts w:hint="eastAsia"/>
                <w:color w:val="auto"/>
              </w:rPr>
              <w:t>最大半宽对应</w:t>
            </w:r>
            <w:r>
              <w:rPr>
                <w:color w:val="auto"/>
              </w:rPr>
              <w:t>X</w:t>
            </w:r>
            <w:r>
              <w:rPr>
                <w:rFonts w:hint="eastAsia"/>
                <w:color w:val="auto"/>
                <w:lang w:val="en-US" w:eastAsia="zh-CN"/>
              </w:rPr>
              <w:t xml:space="preserve"> </w:t>
            </w:r>
            <w:r>
              <w:rPr>
                <w:color w:val="auto"/>
              </w:rPr>
              <w:t>m</w:t>
            </w:r>
          </w:p>
        </w:tc>
      </w:tr>
      <w:tr w14:paraId="47421E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81" w:type="dxa"/>
            <w:vAlign w:val="center"/>
          </w:tcPr>
          <w:p w14:paraId="2BB520BB">
            <w:pPr>
              <w:pStyle w:val="75"/>
              <w:rPr>
                <w:kern w:val="2"/>
              </w:rPr>
            </w:pPr>
            <w:r>
              <w:rPr>
                <w:rFonts w:hint="eastAsia"/>
                <w:kern w:val="2"/>
              </w:rPr>
              <w:t>硫酸</w:t>
            </w:r>
          </w:p>
        </w:tc>
        <w:tc>
          <w:tcPr>
            <w:tcW w:w="1171" w:type="dxa"/>
            <w:vAlign w:val="center"/>
          </w:tcPr>
          <w:p w14:paraId="5EB56FA9">
            <w:pPr>
              <w:pStyle w:val="75"/>
              <w:rPr>
                <w:kern w:val="2"/>
              </w:rPr>
            </w:pPr>
            <w:r>
              <w:rPr>
                <w:rFonts w:hint="eastAsia"/>
                <w:kern w:val="2"/>
              </w:rPr>
              <w:t>8.7</w:t>
            </w:r>
          </w:p>
        </w:tc>
        <w:tc>
          <w:tcPr>
            <w:tcW w:w="6117" w:type="dxa"/>
            <w:gridSpan w:val="4"/>
            <w:vAlign w:val="center"/>
          </w:tcPr>
          <w:p w14:paraId="71899C67">
            <w:pPr>
              <w:pStyle w:val="75"/>
              <w:rPr>
                <w:rFonts w:hint="default" w:eastAsia="宋体"/>
                <w:spacing w:val="-4"/>
                <w:kern w:val="2"/>
                <w:lang w:val="en-US" w:eastAsia="zh-CN"/>
              </w:rPr>
            </w:pPr>
            <w:r>
              <w:rPr>
                <w:rFonts w:hint="eastAsia"/>
                <w:spacing w:val="-4"/>
                <w:kern w:val="2"/>
                <w:lang w:val="en-US" w:eastAsia="zh-CN"/>
              </w:rPr>
              <w:t>预测浓度小于此阈值</w:t>
            </w:r>
          </w:p>
        </w:tc>
      </w:tr>
    </w:tbl>
    <w:p w14:paraId="27A349BD">
      <w:pPr>
        <w:ind w:firstLine="480"/>
        <w:rPr>
          <w:rFonts w:hint="eastAsia"/>
        </w:rPr>
      </w:pPr>
      <w:r>
        <w:rPr>
          <w:rFonts w:hint="eastAsia"/>
        </w:rPr>
        <w:t>根据预测，在最不利气象条件下对硫酸风险物质事故泄漏情形进行预测，当罐区发生泄漏事故时：①下风向硫酸浓度轴线高峰值最大为</w:t>
      </w:r>
      <w:r>
        <w:rPr>
          <w:rFonts w:hint="eastAsia"/>
          <w:lang w:val="en-US" w:eastAsia="zh-CN"/>
        </w:rPr>
        <w:t>0.02654</w:t>
      </w:r>
      <w:r>
        <w:rPr>
          <w:rFonts w:hint="eastAsia"/>
        </w:rPr>
        <w:t>mg/m</w:t>
      </w:r>
      <w:r>
        <w:rPr>
          <w:rFonts w:hint="eastAsia"/>
          <w:vertAlign w:val="superscript"/>
        </w:rPr>
        <w:t>3</w:t>
      </w:r>
      <w:r>
        <w:rPr>
          <w:rFonts w:hint="eastAsia"/>
        </w:rPr>
        <w:t>，影响距离为</w:t>
      </w:r>
      <w:r>
        <w:rPr>
          <w:rFonts w:hint="eastAsia"/>
          <w:lang w:val="en-US" w:eastAsia="zh-CN"/>
        </w:rPr>
        <w:t>70</w:t>
      </w:r>
      <w:r>
        <w:rPr>
          <w:rFonts w:hint="eastAsia"/>
        </w:rPr>
        <w:t>m，出现时间为</w:t>
      </w:r>
      <w:r>
        <w:rPr>
          <w:rFonts w:hint="eastAsia"/>
          <w:lang w:val="en-US" w:eastAsia="zh-CN"/>
        </w:rPr>
        <w:t>0.77778</w:t>
      </w:r>
      <w:r>
        <w:rPr>
          <w:rFonts w:hint="eastAsia"/>
        </w:rPr>
        <w:t>min；②硫酸储罐泄漏时，未达到大气毒性终点浓度-1和大气毒性终点浓度-2。硫酸泄漏后会挥发少量硫酸雾，主要在厂区范围内，因此硫酸泄漏对周围环境影响较小。但硫酸具有腐蚀性，会对罐区内设备进行腐蚀，发生硫酸泄漏后，应及时对泄漏的硫酸进行收容，并用碱液对无法收容的硫酸进行中和。</w:t>
      </w:r>
    </w:p>
    <w:p w14:paraId="3CE98FA3">
      <w:pPr>
        <w:ind w:firstLine="480"/>
      </w:pPr>
      <w:r>
        <w:rPr>
          <w:rFonts w:hint="eastAsia"/>
        </w:rPr>
        <w:t>（4）对敏感点的预测</w:t>
      </w:r>
    </w:p>
    <w:p w14:paraId="673833E8">
      <w:pPr>
        <w:ind w:firstLine="480"/>
      </w:pPr>
      <w:r>
        <w:rPr>
          <w:rFonts w:hint="eastAsia"/>
        </w:rPr>
        <w:t>硫酸发生泄漏风险时，周边不存在</w:t>
      </w:r>
      <w:r>
        <w:t>风险超标点，</w:t>
      </w:r>
      <w:r>
        <w:rPr>
          <w:rFonts w:hint="eastAsia"/>
        </w:rPr>
        <w:t>因此敏感点不存在风险物质超过毒性终点浓度的情况。</w:t>
      </w:r>
    </w:p>
    <w:p w14:paraId="722C475C">
      <w:pPr>
        <w:ind w:firstLine="480"/>
      </w:pPr>
      <w:r>
        <w:rPr>
          <w:rFonts w:hint="eastAsia"/>
        </w:rPr>
        <w:t>（5）大气环境风险结论</w:t>
      </w:r>
    </w:p>
    <w:p w14:paraId="3AB99D53">
      <w:pPr>
        <w:ind w:firstLine="480"/>
      </w:pPr>
      <w:r>
        <w:rPr>
          <w:rFonts w:hint="eastAsia"/>
        </w:rPr>
        <w:t>项目硫酸发生泄漏风险时，周边不存在</w:t>
      </w:r>
      <w:r>
        <w:t>风险超标点，</w:t>
      </w:r>
      <w:r>
        <w:rPr>
          <w:rFonts w:hint="eastAsia"/>
        </w:rPr>
        <w:t>因此硫酸泄漏无明显环境影响。在发生泄漏的情况下，及时疏散下风向的人员，不会造成人员死亡等重大环境事故。项目泄漏发生概率较小，且发生泄漏后可及时采取措施疏散人群，一般不会造成人员损失。因此评价项目大气环境风险可接受。</w:t>
      </w:r>
    </w:p>
    <w:p w14:paraId="0F69BD1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6.5.3地表水环境风险预测评价</w:t>
      </w:r>
    </w:p>
    <w:p w14:paraId="7814F786">
      <w:pPr>
        <w:ind w:firstLine="480"/>
        <w:rPr>
          <w:highlight w:val="yellow"/>
        </w:rPr>
      </w:pPr>
      <w:r>
        <w:rPr>
          <w:rFonts w:hint="eastAsia"/>
        </w:rPr>
        <w:t>项目生产期间或者事故风险产生的废水经处理达标后</w:t>
      </w:r>
      <w:r>
        <w:rPr>
          <w:rFonts w:hint="eastAsia"/>
          <w:lang w:val="en-US" w:eastAsia="zh-CN"/>
        </w:rPr>
        <w:t>最终</w:t>
      </w:r>
      <w:r>
        <w:rPr>
          <w:rFonts w:hint="eastAsia"/>
        </w:rPr>
        <w:t>排入</w:t>
      </w:r>
      <w:r>
        <w:rPr>
          <w:rFonts w:hint="eastAsia"/>
          <w:lang w:val="en-US" w:eastAsia="zh-CN"/>
        </w:rPr>
        <w:t>获嘉县同盟污水处理厂进一步处理</w:t>
      </w:r>
      <w:r>
        <w:rPr>
          <w:rFonts w:hint="eastAsia"/>
        </w:rPr>
        <w:t>，污水处理厂进一步深度治理后达标排放，不会对最近</w:t>
      </w:r>
      <w:r>
        <w:rPr>
          <w:rFonts w:hint="eastAsia"/>
          <w:lang w:val="en-US" w:eastAsia="zh-CN"/>
        </w:rPr>
        <w:t>地表水体共产主义渠</w:t>
      </w:r>
      <w:r>
        <w:rPr>
          <w:rFonts w:hint="eastAsia"/>
        </w:rPr>
        <w:t>造成不利影响；另外项目厂区设置有事故水池，可及时收集事故废水，不存在因事故情况废水或者风险物质进入河流等地表水的情况，因此本次评价认为项目地表水风险程度可接受。</w:t>
      </w:r>
    </w:p>
    <w:p w14:paraId="2790C99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6.5.4地下水环境风险预测评价</w:t>
      </w:r>
    </w:p>
    <w:p w14:paraId="6C15962C">
      <w:pPr>
        <w:ind w:firstLine="480"/>
      </w:pPr>
      <w:r>
        <w:rPr>
          <w:rFonts w:hint="eastAsia"/>
        </w:rPr>
        <w:t>硫酸镍、氯化镍为固体，不会发生泄漏，若发生包装破损等情况造成洒落，可及时发现并及时收集至备用桶内，之后加盖密闭存放，不存在进入地下水的途径。</w:t>
      </w:r>
    </w:p>
    <w:p w14:paraId="132F087A">
      <w:pPr>
        <w:ind w:firstLine="480"/>
        <w:rPr>
          <w:rFonts w:hAnsi="宋体"/>
        </w:rPr>
      </w:pPr>
      <w:r>
        <w:rPr>
          <w:rFonts w:hint="eastAsia" w:hAnsi="宋体"/>
        </w:rPr>
        <w:t>项目硫酸等化学品区的地面均采取了防渗措施，且硫酸存放均设置有围堰，在发生泄漏风险事故的情况下，物料可被围堰收集并及时回收至备用桶内，液体与地面接触时间较短，不存在短时间内进入包气带的可能性。泄漏状态下回收的物品由生产厂家回收进行净化或委托有资质的单位处理，厂区内不进行处置。</w:t>
      </w:r>
    </w:p>
    <w:p w14:paraId="0E64F8C8">
      <w:pPr>
        <w:ind w:firstLine="480"/>
        <w:rPr>
          <w:rFonts w:hAnsi="宋体"/>
        </w:rPr>
      </w:pPr>
      <w:r>
        <w:rPr>
          <w:rFonts w:hint="eastAsia"/>
        </w:rPr>
        <w:t>若生产线发生泄漏，物料中含有硫酸镍、氯化镍、硫酸，则泄漏后的硫酸、硫酸镍、氯化镍废水收集至事故池，分批次送入含镍废水处理系统中进行处置。</w:t>
      </w:r>
    </w:p>
    <w:p w14:paraId="4E764189">
      <w:pPr>
        <w:ind w:firstLine="480"/>
        <w:rPr>
          <w:color w:val="000000" w:themeColor="text1"/>
          <w14:textFill>
            <w14:solidFill>
              <w14:schemeClr w14:val="tx1"/>
            </w14:solidFill>
          </w14:textFill>
        </w:rPr>
      </w:pPr>
      <w:r>
        <w:rPr>
          <w:rFonts w:hint="eastAsia"/>
        </w:rPr>
        <w:t>由于项目泄漏的物质量较少，对调节池水质影响不大。</w:t>
      </w:r>
      <w:r>
        <w:rPr>
          <w:rFonts w:hint="eastAsia"/>
          <w:color w:val="000000" w:themeColor="text1"/>
          <w14:textFill>
            <w14:solidFill>
              <w14:schemeClr w14:val="tx1"/>
            </w14:solidFill>
          </w14:textFill>
        </w:rPr>
        <w:t>本次评价已在</w:t>
      </w:r>
      <w:r>
        <w:rPr>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章节对调节池泄漏对地下水的影响进行了详细评价，根据预测结果，</w:t>
      </w:r>
      <w:r>
        <w:rPr>
          <w:color w:val="000000" w:themeColor="text1"/>
          <w14:textFill>
            <w14:solidFill>
              <w14:schemeClr w14:val="tx1"/>
            </w14:solidFill>
          </w14:textFill>
        </w:rPr>
        <w:t>项目地下水风险可以接受。</w:t>
      </w:r>
    </w:p>
    <w:p w14:paraId="59E2C9A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15" w:name="_Toc11615"/>
      <w:r>
        <w:rPr>
          <w:rFonts w:hint="eastAsia"/>
          <w:lang w:val="en-US" w:eastAsia="zh-CN"/>
        </w:rPr>
        <w:t>6.6环境风险管理</w:t>
      </w:r>
      <w:bookmarkEnd w:id="615"/>
    </w:p>
    <w:p w14:paraId="7EE361DC">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napToGrid w:val="0"/>
          <w:spacing w:val="0"/>
          <w:w w:val="100"/>
          <w:kern w:val="21"/>
          <w:position w:val="0"/>
          <w:sz w:val="24"/>
          <w:szCs w:val="24"/>
        </w:rPr>
      </w:pPr>
      <w:r>
        <w:rPr>
          <w:rFonts w:hint="default" w:ascii="Times New Roman" w:hAnsi="Times New Roman" w:cs="Times New Roman"/>
          <w:snapToGrid w:val="0"/>
          <w:spacing w:val="0"/>
          <w:w w:val="100"/>
          <w:kern w:val="21"/>
          <w:position w:val="0"/>
          <w:sz w:val="24"/>
          <w:szCs w:val="24"/>
        </w:rPr>
        <w:t>环境风险管理目标是采用最低合理可行原则管控环境风险采取的环境风险防范措施应与社会经济技术发展水平相适应，运用科学的技术手段和管理方法，对环境风险进行有效的预防、监控、响应。</w:t>
      </w:r>
    </w:p>
    <w:p w14:paraId="3A041ED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6.6.1车间及生产过程风险事故防范措施</w:t>
      </w:r>
    </w:p>
    <w:p w14:paraId="65AA6B65">
      <w:pPr>
        <w:pStyle w:val="72"/>
        <w:pageBreakBefore w:val="0"/>
        <w:kinsoku/>
        <w:wordWrap/>
        <w:overflowPunct/>
        <w:autoSpaceDE/>
        <w:autoSpaceDN/>
        <w:bidi w:val="0"/>
        <w:adjustRightInd w:val="0"/>
        <w:snapToGrid w:val="0"/>
        <w:spacing w:line="520" w:lineRule="exact"/>
        <w:rPr>
          <w:rFonts w:hint="eastAsia"/>
        </w:rPr>
      </w:pPr>
      <w:r>
        <w:rPr>
          <w:rFonts w:hint="eastAsia"/>
        </w:rPr>
        <w:t>（1）</w:t>
      </w:r>
      <w:r>
        <w:rPr>
          <w:rFonts w:hint="eastAsia"/>
          <w:lang w:val="en-US" w:eastAsia="zh-CN"/>
        </w:rPr>
        <w:t>电镀车间</w:t>
      </w:r>
      <w:r>
        <w:rPr>
          <w:rFonts w:hint="eastAsia"/>
        </w:rPr>
        <w:t>设置有防渗托盘、备用空槽、废液暂存罐，收集电镀槽破损后产生的物料，废液暂存罐收集的废槽液作危废处置。泄漏的废电镀液作危废处置，不得进入污水处理站。根据电镀行业清洁生产要求，企业应设有相应的废镀液存储设施：指企业备有足够大的备用空槽，能在一旦发生镀液泄漏时储存镀液和储存待处理的废镀液。评价要求企业设置备用空槽，用于倒槽；设置废液暂存罐，用于收集泄漏的废槽液。</w:t>
      </w:r>
    </w:p>
    <w:p w14:paraId="6A84F7D5">
      <w:pPr>
        <w:pStyle w:val="72"/>
        <w:rPr>
          <w:rFonts w:hint="eastAsia"/>
        </w:rPr>
      </w:pPr>
      <w:r>
        <w:rPr>
          <w:rFonts w:hint="eastAsia"/>
        </w:rPr>
        <w:t>（2）密闭操作，注意通风。操作尽可能机械化、自动化；操作人员必须经过专门的培训，严格遵守操作规程；建议操作人员佩戴自吸过滤式防毒面具（全面罩）；穿橡胶耐酸碱服，戴橡胶耐酸碱手套；远离易燃、可燃物，防止蒸汽泄漏到工作场所空气中。避免与碱类、胺类、碱金属接触；搬运时要轻装轻卸，防止包装及容器损害。</w:t>
      </w:r>
    </w:p>
    <w:p w14:paraId="32E17A5E">
      <w:pPr>
        <w:pStyle w:val="72"/>
        <w:rPr>
          <w:rFonts w:hint="eastAsia"/>
        </w:rPr>
      </w:pPr>
      <w:r>
        <w:rPr>
          <w:rFonts w:hint="eastAsia"/>
        </w:rPr>
        <w:t>（3）落实岗位安全制，分工明确，各负其职，及时发现并有效消除安全隐患。</w:t>
      </w:r>
    </w:p>
    <w:p w14:paraId="381137B5">
      <w:pPr>
        <w:pStyle w:val="72"/>
        <w:rPr>
          <w:rFonts w:hint="eastAsia"/>
        </w:rPr>
      </w:pPr>
      <w:r>
        <w:rPr>
          <w:rFonts w:hint="eastAsia"/>
        </w:rPr>
        <w:t>（4）装卸时尽量采用机械操作，搬运时，不得撞击、翻滚和摔落。</w:t>
      </w:r>
    </w:p>
    <w:p w14:paraId="2A3F5F7D">
      <w:pPr>
        <w:pStyle w:val="72"/>
        <w:rPr>
          <w:rFonts w:hint="eastAsia"/>
        </w:rPr>
      </w:pPr>
      <w:r>
        <w:rPr>
          <w:rFonts w:hint="eastAsia"/>
        </w:rPr>
        <w:t>（5）电镀车间地面及生产设施必须符合《工业建筑防腐蚀设计规范》（GB50046-2018）的要求，车间内实行干湿区分离，湿区地面敷设网格板，湿镀件上下挂具作业必须在湿区内进行。</w:t>
      </w:r>
    </w:p>
    <w:p w14:paraId="42E7FA35">
      <w:pPr>
        <w:pStyle w:val="72"/>
        <w:rPr>
          <w:rFonts w:hint="eastAsia"/>
        </w:rPr>
      </w:pPr>
      <w:r>
        <w:rPr>
          <w:rFonts w:hint="eastAsia"/>
        </w:rPr>
        <w:t>（6）车间地面进行防腐防渗处理，自下而上至少设基础层、土工布、高密度聚乙烯、砂层、混凝土地面进行防渗，环氧薄涂漆进行防腐，防止生产区槽液泄漏污染地下水。</w:t>
      </w:r>
    </w:p>
    <w:p w14:paraId="0E518915">
      <w:pPr>
        <w:pStyle w:val="72"/>
        <w:rPr>
          <w:rFonts w:hint="eastAsia"/>
        </w:rPr>
      </w:pPr>
      <w:r>
        <w:rPr>
          <w:rFonts w:hint="eastAsia"/>
        </w:rPr>
        <w:t>（7）项目电镀车间工艺管线采取地上明管或架空敷设，废水管道应满足防腐、防渗漏；生产区管道、设备均应设静电接地设施。在有危险的部位设置安全警示标志。</w:t>
      </w:r>
    </w:p>
    <w:p w14:paraId="7C337837">
      <w:pPr>
        <w:pStyle w:val="72"/>
        <w:rPr>
          <w:rFonts w:hint="eastAsia"/>
        </w:rPr>
      </w:pPr>
      <w:r>
        <w:rPr>
          <w:rFonts w:hint="eastAsia"/>
        </w:rPr>
        <w:t>（8）加强工艺设备保养，对生产设备进行定期检查、维修，及时更换出现问题的管件，预防跑、冒、滴、漏现象的发生。</w:t>
      </w:r>
    </w:p>
    <w:p w14:paraId="79621277">
      <w:pPr>
        <w:pStyle w:val="72"/>
        <w:rPr>
          <w:rFonts w:hint="eastAsia"/>
        </w:rPr>
      </w:pPr>
      <w:r>
        <w:rPr>
          <w:rFonts w:hint="eastAsia"/>
        </w:rPr>
        <w:t>（9）车间仪表按防爆要求选择，并充分考虑被测介质的腐蚀性以及温度、压力等工况，采用耐腐蚀材料或采取衬、涂防腐材料的措施。</w:t>
      </w:r>
    </w:p>
    <w:p w14:paraId="70554007">
      <w:pPr>
        <w:pStyle w:val="72"/>
        <w:rPr>
          <w:rFonts w:hint="eastAsia"/>
        </w:rPr>
      </w:pPr>
      <w:r>
        <w:rPr>
          <w:rFonts w:hint="eastAsia"/>
        </w:rPr>
        <w:t>（10）其他安全防范措施</w:t>
      </w:r>
    </w:p>
    <w:p w14:paraId="7D3C4013">
      <w:pPr>
        <w:pStyle w:val="72"/>
      </w:pPr>
      <w:r>
        <w:rPr>
          <w:rFonts w:hint="eastAsia"/>
        </w:rPr>
        <w:t>生产设计中尽量采用自动化控制，减少操作人员接触有毒化学品的机会，设计紧急切断及紧急停车系统。具有火灾危险设备、容器、管道、贮罐等安装安全阀，配备水消防和便携式灭火器，用于扑救局部小型火灾。设置安全消防通道，一旦发生事故，确保员工安全撤离现场，生产现场设置事故照明、安全疏散指示标志。</w:t>
      </w:r>
    </w:p>
    <w:p w14:paraId="006DEDB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6.6.2物料储存风险事故防范措施</w:t>
      </w:r>
    </w:p>
    <w:p w14:paraId="45600AF5">
      <w:pPr>
        <w:rPr>
          <w:rFonts w:hint="eastAsia"/>
        </w:rPr>
      </w:pPr>
      <w:r>
        <w:rPr>
          <w:rFonts w:hint="eastAsia"/>
        </w:rPr>
        <w:t>（1）储罐区设置酸雾报警装置，确保第一时间发现硫酸等泄漏事故，及时采取措施。</w:t>
      </w:r>
    </w:p>
    <w:p w14:paraId="6141F169">
      <w:pPr>
        <w:rPr>
          <w:rFonts w:hint="eastAsia"/>
        </w:rPr>
      </w:pPr>
      <w:r>
        <w:rPr>
          <w:rFonts w:hint="eastAsia"/>
        </w:rPr>
        <w:t>（2）罐区设置硫酸等备用储罐，在储罐四周设置围堰，围堰高度须高于1.2m，围堰容积大于储罐容积。围堰内设置耐酸泵等物料收集设施，并设置导排设施。事故情况下，一方面积极采取措施封堵泄漏口，另一方面将泄漏储罐内的物料倒入备用储罐内。为进一步降低泄漏硫酸的挥发，罐区附近常备一定的石灰，泄漏事故发生后，将粉状石灰撒入围堰内，再用水稀释中和，产生的废水再分批次送厂区综合废水处理系统处理。</w:t>
      </w:r>
    </w:p>
    <w:p w14:paraId="00C7C3D2">
      <w:pPr>
        <w:rPr>
          <w:rFonts w:hint="eastAsia"/>
        </w:rPr>
      </w:pPr>
      <w:r>
        <w:rPr>
          <w:rFonts w:hint="eastAsia"/>
        </w:rPr>
        <w:t>（3）单独建设危化品库，分类存放硫酸等危险化学品。危化品库地面需进行安全保护、防腐、防渗等处理，设置腐蚀性物质安全标志牌，并配备相应的防毒呼吸面具及应急设备。并安排人员定期检查，发现问题及时解决。</w:t>
      </w:r>
    </w:p>
    <w:p w14:paraId="675C39F0">
      <w:pPr>
        <w:rPr>
          <w:rFonts w:hint="eastAsia"/>
        </w:rPr>
      </w:pPr>
      <w:r>
        <w:rPr>
          <w:rFonts w:hint="eastAsia"/>
        </w:rPr>
        <w:t>（4）危化品库地面保持阴凉、干燥和通风，分类存放，严禁吸烟和使用明火，防止火源进入；化学品的贮运及使用实施严格的数量台账管理，专人看管。</w:t>
      </w:r>
    </w:p>
    <w:p w14:paraId="55722C62">
      <w:pPr>
        <w:rPr>
          <w:rFonts w:hint="eastAsia"/>
        </w:rPr>
      </w:pPr>
      <w:r>
        <w:rPr>
          <w:rFonts w:hint="eastAsia"/>
        </w:rPr>
        <w:t>（5）危化品库采用高标准设计，加强耐腐蚀、阻燃性、封闭性。防止物料的泄漏对外环境的影响.</w:t>
      </w:r>
    </w:p>
    <w:p w14:paraId="33D66937">
      <w:pPr>
        <w:rPr>
          <w:rFonts w:hint="eastAsia"/>
        </w:rPr>
      </w:pPr>
      <w:r>
        <w:rPr>
          <w:rFonts w:hint="eastAsia"/>
        </w:rPr>
        <w:t>（6）危化品库设置0.5m高围堰、导流沟、应急事故池，发生泄漏后，泄漏物可以顺利流进应急事故池内，再转运至污水处理站处理或委托给第三方单位处置。储罐设置围堰，围堰有效容积应不小于储罐容积。</w:t>
      </w:r>
    </w:p>
    <w:p w14:paraId="1BB91C66">
      <w:pPr>
        <w:rPr>
          <w:rFonts w:hint="eastAsia"/>
        </w:rPr>
      </w:pPr>
      <w:r>
        <w:rPr>
          <w:rFonts w:hint="eastAsia"/>
        </w:rPr>
        <w:t>（7）每个危险物料储存区设置相应的防毒呼吸面具及应急设备。</w:t>
      </w:r>
    </w:p>
    <w:p w14:paraId="3AB6AF88">
      <w:pPr>
        <w:rPr>
          <w:rFonts w:hint="eastAsia"/>
        </w:rPr>
      </w:pPr>
      <w:r>
        <w:rPr>
          <w:rFonts w:hint="eastAsia"/>
        </w:rPr>
        <w:t>（8）仓库设置所贮存物料的铭牌（包括物料的性质、应急措施等）。</w:t>
      </w:r>
    </w:p>
    <w:p w14:paraId="6E1744CB">
      <w:pPr>
        <w:rPr>
          <w:rFonts w:hint="eastAsia"/>
        </w:rPr>
      </w:pPr>
      <w:r>
        <w:rPr>
          <w:rFonts w:hint="eastAsia"/>
        </w:rPr>
        <w:t>（9）化学品库内应设置备用桶，用于收集可能因包装破损或人为原因导致泄漏而引发环境风险的原辅材料；危险化学品仓库采用高标准设计，加强耐腐蚀、阻燃性、封闭性，防止物料泄漏对外环境的影响。</w:t>
      </w:r>
    </w:p>
    <w:p w14:paraId="3FB7DE79">
      <w:pPr>
        <w:rPr>
          <w:rFonts w:hint="eastAsia"/>
        </w:rPr>
      </w:pPr>
      <w:r>
        <w:rPr>
          <w:rFonts w:hint="eastAsia"/>
        </w:rPr>
        <w:t>（10）化学品库设置专用应急救援通道、事故照明、安全疏散指示标志等。并在物料储存区禁烟、禁火，防止带火源进入，悬挂醒目的警示标志。</w:t>
      </w:r>
    </w:p>
    <w:p w14:paraId="6639AB6F">
      <w:pPr>
        <w:rPr>
          <w:rFonts w:hint="eastAsia"/>
        </w:rPr>
      </w:pPr>
      <w:r>
        <w:rPr>
          <w:rFonts w:hint="eastAsia"/>
        </w:rPr>
        <w:t>（11）严格化学品库库房管理，危险化学品仓库采取双锁管理，台账管理制度应由专人负责。</w:t>
      </w:r>
    </w:p>
    <w:p w14:paraId="0BAB0A86">
      <w:pPr>
        <w:rPr>
          <w:rFonts w:hint="eastAsia"/>
        </w:rPr>
      </w:pPr>
      <w:r>
        <w:rPr>
          <w:rFonts w:hint="eastAsia"/>
        </w:rPr>
        <w:t>（12）剧毒化学品风险防范措施还包括以下几个方面：严格执行“双人保管、双人收发、双人领用、双账、双锁”的剧毒化学品管理制度；按照剧毒化学品存储与使用注意要点制定操作规程并严格执行；配备专用的劳动防护用品，定期检查，保持完好；配备一定的应急解毒药品。</w:t>
      </w:r>
    </w:p>
    <w:p w14:paraId="3A9801F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6.6.3初期雨水收集措施</w:t>
      </w:r>
    </w:p>
    <w:p w14:paraId="1957F30A">
      <w:pPr>
        <w:pStyle w:val="72"/>
        <w:ind w:firstLineChars="0"/>
      </w:pPr>
      <w:r>
        <w:rPr>
          <w:rFonts w:hint="eastAsia"/>
        </w:rPr>
        <w:t>本项目利用现有车间进行生产，厂区内道路已全部硬化，生产设备设施均位于封闭车间内，车间外无生产设备，物料和危化品均在封闭车间或仓库内进行贮存和运输。若物料进出厂在厂区内短暂运输出现散落情况时，应及时进行收集处理，同时应避免在雨天运输，故不会存在物料随雨水流入外环境对区域水环境造成影响。因此本项目不再考虑初期雨水的收集。</w:t>
      </w:r>
    </w:p>
    <w:p w14:paraId="335C28B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6.6.4事故废水及消防废水环境风险防范</w:t>
      </w:r>
    </w:p>
    <w:p w14:paraId="2D903EF9">
      <w:pPr>
        <w:ind w:firstLine="480"/>
        <w:rPr>
          <w:rFonts w:hint="default" w:eastAsia="宋体"/>
          <w:lang w:val="en-US" w:eastAsia="zh-CN"/>
        </w:rPr>
      </w:pPr>
      <w:r>
        <w:rPr>
          <w:rFonts w:hint="eastAsia"/>
          <w:lang w:val="en-US" w:eastAsia="zh-CN"/>
        </w:rPr>
        <w:t>1、事故水池容量确定</w:t>
      </w:r>
    </w:p>
    <w:p w14:paraId="1A4ACAA8">
      <w:pPr>
        <w:ind w:firstLine="480"/>
      </w:pPr>
      <w:r>
        <w:rPr>
          <w:rFonts w:hint="eastAsia"/>
        </w:rPr>
        <w:t>项目火灾、爆炸事故产生的消防废水含有有毒有害物质，必须加以收集处理；另外，泄漏物料也应及时收集，故必须建设事故废水收集系统。</w:t>
      </w:r>
    </w:p>
    <w:p w14:paraId="599D1C42">
      <w:pPr>
        <w:ind w:firstLine="480"/>
      </w:pPr>
      <w:r>
        <w:t>根据《事故状态下水体污染的预防与控制技术要求》（QSY1190-2019），计算本项目事故储存设施总有效容积。</w:t>
      </w:r>
    </w:p>
    <w:p w14:paraId="12320B88">
      <w:pPr>
        <w:ind w:firstLine="0" w:firstLineChars="0"/>
        <w:jc w:val="center"/>
        <w:rPr>
          <w:szCs w:val="28"/>
          <w:vertAlign w:val="subscript"/>
        </w:rPr>
      </w:pPr>
      <w:r>
        <w:rPr>
          <w:szCs w:val="28"/>
        </w:rPr>
        <w:t>V</w:t>
      </w:r>
      <w:r>
        <w:rPr>
          <w:szCs w:val="28"/>
          <w:vertAlign w:val="subscript"/>
        </w:rPr>
        <w:t>总</w:t>
      </w:r>
      <w:r>
        <w:rPr>
          <w:szCs w:val="28"/>
        </w:rPr>
        <w:t>=（V</w:t>
      </w:r>
      <w:r>
        <w:rPr>
          <w:szCs w:val="28"/>
          <w:vertAlign w:val="subscript"/>
        </w:rPr>
        <w:t>1</w:t>
      </w:r>
      <w:r>
        <w:rPr>
          <w:szCs w:val="28"/>
        </w:rPr>
        <w:t>+V</w:t>
      </w:r>
      <w:r>
        <w:rPr>
          <w:szCs w:val="28"/>
          <w:vertAlign w:val="subscript"/>
        </w:rPr>
        <w:t>2</w:t>
      </w:r>
      <w:r>
        <w:rPr>
          <w:szCs w:val="28"/>
        </w:rPr>
        <w:t>-V</w:t>
      </w:r>
      <w:r>
        <w:rPr>
          <w:szCs w:val="28"/>
          <w:vertAlign w:val="subscript"/>
        </w:rPr>
        <w:t>3</w:t>
      </w:r>
      <w:r>
        <w:rPr>
          <w:szCs w:val="28"/>
        </w:rPr>
        <w:t>）</w:t>
      </w:r>
      <w:r>
        <w:rPr>
          <w:szCs w:val="28"/>
          <w:vertAlign w:val="subscript"/>
        </w:rPr>
        <w:t>max</w:t>
      </w:r>
      <w:r>
        <w:rPr>
          <w:szCs w:val="28"/>
        </w:rPr>
        <w:t>+V</w:t>
      </w:r>
      <w:r>
        <w:rPr>
          <w:szCs w:val="28"/>
          <w:vertAlign w:val="subscript"/>
        </w:rPr>
        <w:t>4</w:t>
      </w:r>
      <w:r>
        <w:rPr>
          <w:szCs w:val="28"/>
        </w:rPr>
        <w:t>+V</w:t>
      </w:r>
      <w:r>
        <w:rPr>
          <w:szCs w:val="28"/>
          <w:vertAlign w:val="subscript"/>
        </w:rPr>
        <w:t>5</w:t>
      </w:r>
    </w:p>
    <w:p w14:paraId="79E53DDD">
      <w:pPr>
        <w:ind w:firstLine="422"/>
        <w:textAlignment w:val="auto"/>
        <w:rPr>
          <w:b w:val="0"/>
          <w:bCs/>
          <w:sz w:val="24"/>
          <w:szCs w:val="24"/>
          <w:u w:val="none"/>
        </w:rPr>
      </w:pPr>
      <w:r>
        <w:rPr>
          <w:rFonts w:hint="eastAsia"/>
          <w:b w:val="0"/>
          <w:bCs/>
          <w:sz w:val="24"/>
          <w:szCs w:val="24"/>
          <w:u w:val="none"/>
        </w:rPr>
        <w:t>注：（</w:t>
      </w:r>
      <w:r>
        <w:rPr>
          <w:b w:val="0"/>
          <w:bCs/>
          <w:sz w:val="24"/>
          <w:szCs w:val="24"/>
          <w:u w:val="none"/>
        </w:rPr>
        <w:t>V</w:t>
      </w:r>
      <w:r>
        <w:rPr>
          <w:b w:val="0"/>
          <w:bCs/>
          <w:sz w:val="24"/>
          <w:szCs w:val="24"/>
          <w:u w:val="none"/>
          <w:vertAlign w:val="subscript"/>
        </w:rPr>
        <w:t>1</w:t>
      </w:r>
      <w:r>
        <w:rPr>
          <w:b w:val="0"/>
          <w:bCs/>
          <w:sz w:val="24"/>
          <w:szCs w:val="24"/>
          <w:u w:val="none"/>
        </w:rPr>
        <w:t>+V</w:t>
      </w:r>
      <w:r>
        <w:rPr>
          <w:b w:val="0"/>
          <w:bCs/>
          <w:sz w:val="24"/>
          <w:szCs w:val="24"/>
          <w:u w:val="none"/>
          <w:vertAlign w:val="subscript"/>
        </w:rPr>
        <w:t>2</w:t>
      </w:r>
      <w:r>
        <w:rPr>
          <w:b w:val="0"/>
          <w:bCs/>
          <w:sz w:val="24"/>
          <w:szCs w:val="24"/>
          <w:u w:val="none"/>
        </w:rPr>
        <w:t>-V</w:t>
      </w:r>
      <w:r>
        <w:rPr>
          <w:b w:val="0"/>
          <w:bCs/>
          <w:sz w:val="24"/>
          <w:szCs w:val="24"/>
          <w:u w:val="none"/>
          <w:vertAlign w:val="subscript"/>
        </w:rPr>
        <w:t>3</w:t>
      </w:r>
      <w:r>
        <w:rPr>
          <w:rFonts w:hint="eastAsia"/>
          <w:b w:val="0"/>
          <w:bCs/>
          <w:sz w:val="24"/>
          <w:szCs w:val="24"/>
          <w:u w:val="none"/>
        </w:rPr>
        <w:t>）</w:t>
      </w:r>
      <w:r>
        <w:rPr>
          <w:b w:val="0"/>
          <w:bCs/>
          <w:sz w:val="24"/>
          <w:szCs w:val="24"/>
          <w:u w:val="none"/>
          <w:vertAlign w:val="subscript"/>
        </w:rPr>
        <w:t>max</w:t>
      </w:r>
      <w:r>
        <w:rPr>
          <w:rFonts w:hint="eastAsia"/>
          <w:b w:val="0"/>
          <w:bCs/>
          <w:sz w:val="24"/>
          <w:szCs w:val="24"/>
          <w:u w:val="none"/>
        </w:rPr>
        <w:t>是指对收集系统范围内不同罐组或装置分别计算</w:t>
      </w:r>
      <w:r>
        <w:rPr>
          <w:b w:val="0"/>
          <w:bCs/>
          <w:sz w:val="24"/>
          <w:szCs w:val="24"/>
          <w:u w:val="none"/>
        </w:rPr>
        <w:t>V</w:t>
      </w:r>
      <w:r>
        <w:rPr>
          <w:b w:val="0"/>
          <w:bCs/>
          <w:sz w:val="24"/>
          <w:szCs w:val="24"/>
          <w:u w:val="none"/>
          <w:vertAlign w:val="subscript"/>
        </w:rPr>
        <w:t>1</w:t>
      </w:r>
      <w:r>
        <w:rPr>
          <w:b w:val="0"/>
          <w:bCs/>
          <w:sz w:val="24"/>
          <w:szCs w:val="24"/>
          <w:u w:val="none"/>
        </w:rPr>
        <w:t>+V</w:t>
      </w:r>
      <w:r>
        <w:rPr>
          <w:b w:val="0"/>
          <w:bCs/>
          <w:sz w:val="24"/>
          <w:szCs w:val="24"/>
          <w:u w:val="none"/>
          <w:vertAlign w:val="subscript"/>
        </w:rPr>
        <w:t>2</w:t>
      </w:r>
      <w:r>
        <w:rPr>
          <w:b w:val="0"/>
          <w:bCs/>
          <w:sz w:val="24"/>
          <w:szCs w:val="24"/>
          <w:u w:val="none"/>
        </w:rPr>
        <w:t>-V</w:t>
      </w:r>
      <w:r>
        <w:rPr>
          <w:b w:val="0"/>
          <w:bCs/>
          <w:sz w:val="24"/>
          <w:szCs w:val="24"/>
          <w:u w:val="none"/>
          <w:vertAlign w:val="subscript"/>
        </w:rPr>
        <w:t>3</w:t>
      </w:r>
      <w:r>
        <w:rPr>
          <w:rFonts w:hint="eastAsia"/>
          <w:b w:val="0"/>
          <w:bCs/>
          <w:sz w:val="24"/>
          <w:szCs w:val="24"/>
          <w:u w:val="none"/>
        </w:rPr>
        <w:t>，取其中最大值。</w:t>
      </w:r>
    </w:p>
    <w:p w14:paraId="74A099AF">
      <w:pPr>
        <w:ind w:firstLine="482"/>
        <w:textAlignment w:val="auto"/>
        <w:rPr>
          <w:b w:val="0"/>
          <w:bCs/>
          <w:u w:val="none"/>
        </w:rPr>
      </w:pPr>
      <w:r>
        <w:rPr>
          <w:b w:val="0"/>
          <w:bCs/>
          <w:u w:val="none"/>
        </w:rPr>
        <w:t>V</w:t>
      </w:r>
      <w:r>
        <w:rPr>
          <w:b w:val="0"/>
          <w:bCs/>
          <w:u w:val="none"/>
          <w:vertAlign w:val="subscript"/>
        </w:rPr>
        <w:t>1</w:t>
      </w:r>
      <w:r>
        <w:rPr>
          <w:rFonts w:hint="eastAsia"/>
          <w:b w:val="0"/>
          <w:bCs/>
          <w:u w:val="none"/>
        </w:rPr>
        <w:t>——收集系统范围内发生事故的一个罐组或一套装置的物料量；</w:t>
      </w:r>
    </w:p>
    <w:p w14:paraId="5A5C4DC7">
      <w:pPr>
        <w:ind w:firstLine="482"/>
        <w:textAlignment w:val="auto"/>
        <w:rPr>
          <w:b w:val="0"/>
          <w:bCs/>
          <w:u w:val="none"/>
        </w:rPr>
      </w:pPr>
      <w:r>
        <w:rPr>
          <w:b w:val="0"/>
          <w:bCs/>
          <w:u w:val="none"/>
        </w:rPr>
        <w:t>V</w:t>
      </w:r>
      <w:r>
        <w:rPr>
          <w:b w:val="0"/>
          <w:bCs/>
          <w:u w:val="none"/>
          <w:vertAlign w:val="subscript"/>
        </w:rPr>
        <w:t>2</w:t>
      </w:r>
      <w:r>
        <w:rPr>
          <w:rFonts w:hint="eastAsia"/>
          <w:b w:val="0"/>
          <w:bCs/>
          <w:u w:val="none"/>
        </w:rPr>
        <w:t>——收集事故储罐或装置的消防水量，</w:t>
      </w:r>
      <w:r>
        <w:rPr>
          <w:b w:val="0"/>
          <w:bCs/>
          <w:u w:val="none"/>
        </w:rPr>
        <w:t>m</w:t>
      </w:r>
      <w:r>
        <w:rPr>
          <w:b w:val="0"/>
          <w:bCs/>
          <w:u w:val="none"/>
          <w:vertAlign w:val="superscript"/>
        </w:rPr>
        <w:t>3</w:t>
      </w:r>
      <w:r>
        <w:rPr>
          <w:rFonts w:hint="eastAsia"/>
          <w:b w:val="0"/>
          <w:bCs/>
          <w:u w:val="none"/>
        </w:rPr>
        <w:t>；</w:t>
      </w:r>
    </w:p>
    <w:p w14:paraId="49DF168A">
      <w:pPr>
        <w:ind w:firstLine="482"/>
        <w:textAlignment w:val="auto"/>
        <w:rPr>
          <w:b w:val="0"/>
          <w:bCs/>
          <w:u w:val="none"/>
        </w:rPr>
      </w:pPr>
      <w:r>
        <w:rPr>
          <w:b w:val="0"/>
          <w:bCs/>
          <w:u w:val="none"/>
        </w:rPr>
        <w:t>V</w:t>
      </w:r>
      <w:r>
        <w:rPr>
          <w:b w:val="0"/>
          <w:bCs/>
          <w:u w:val="none"/>
          <w:vertAlign w:val="subscript"/>
        </w:rPr>
        <w:t>3</w:t>
      </w:r>
      <w:r>
        <w:rPr>
          <w:rFonts w:hint="eastAsia"/>
          <w:b w:val="0"/>
          <w:bCs/>
          <w:u w:val="none"/>
        </w:rPr>
        <w:t>——发生事故时可以利用的系统储存量或转移的物料量，</w:t>
      </w:r>
      <w:r>
        <w:rPr>
          <w:b w:val="0"/>
          <w:bCs/>
          <w:u w:val="none"/>
        </w:rPr>
        <w:t>m</w:t>
      </w:r>
      <w:r>
        <w:rPr>
          <w:rFonts w:ascii="ZWAdobeF" w:hAnsi="ZWAdobeF" w:cs="ZWAdobeF"/>
          <w:b w:val="0"/>
          <w:bCs/>
          <w:sz w:val="2"/>
          <w:u w:val="none"/>
        </w:rPr>
        <w:t>P</w:t>
      </w:r>
      <w:r>
        <w:rPr>
          <w:b w:val="0"/>
          <w:bCs/>
          <w:u w:val="none"/>
          <w:vertAlign w:val="superscript"/>
        </w:rPr>
        <w:t>3</w:t>
      </w:r>
      <w:r>
        <w:rPr>
          <w:rFonts w:hint="eastAsia"/>
          <w:b w:val="0"/>
          <w:bCs/>
          <w:u w:val="none"/>
        </w:rPr>
        <w:t>；</w:t>
      </w:r>
    </w:p>
    <w:p w14:paraId="1B6F9E33">
      <w:pPr>
        <w:ind w:firstLine="482"/>
        <w:textAlignment w:val="auto"/>
        <w:rPr>
          <w:b w:val="0"/>
          <w:bCs/>
          <w:u w:val="none"/>
        </w:rPr>
      </w:pPr>
      <w:r>
        <w:rPr>
          <w:b w:val="0"/>
          <w:bCs/>
          <w:u w:val="none"/>
        </w:rPr>
        <w:t>V</w:t>
      </w:r>
      <w:r>
        <w:rPr>
          <w:b w:val="0"/>
          <w:bCs/>
          <w:u w:val="none"/>
          <w:vertAlign w:val="subscript"/>
        </w:rPr>
        <w:t>4</w:t>
      </w:r>
      <w:r>
        <w:rPr>
          <w:rFonts w:hint="eastAsia"/>
          <w:b w:val="0"/>
          <w:bCs/>
          <w:u w:val="none"/>
        </w:rPr>
        <w:t>——发生事故时仍必须进入该收集系统的生产废水量，</w:t>
      </w:r>
      <w:r>
        <w:rPr>
          <w:b w:val="0"/>
          <w:bCs/>
          <w:u w:val="none"/>
        </w:rPr>
        <w:t>0m</w:t>
      </w:r>
      <w:r>
        <w:rPr>
          <w:rFonts w:ascii="ZWAdobeF" w:hAnsi="ZWAdobeF" w:cs="ZWAdobeF"/>
          <w:b w:val="0"/>
          <w:bCs/>
          <w:sz w:val="2"/>
          <w:u w:val="none"/>
        </w:rPr>
        <w:t>P</w:t>
      </w:r>
      <w:r>
        <w:rPr>
          <w:b w:val="0"/>
          <w:bCs/>
          <w:u w:val="none"/>
          <w:vertAlign w:val="superscript"/>
        </w:rPr>
        <w:t>3</w:t>
      </w:r>
      <w:r>
        <w:rPr>
          <w:rFonts w:hint="eastAsia"/>
          <w:b w:val="0"/>
          <w:bCs/>
          <w:u w:val="none"/>
        </w:rPr>
        <w:t>；</w:t>
      </w:r>
    </w:p>
    <w:p w14:paraId="48AC548B">
      <w:pPr>
        <w:ind w:firstLine="482"/>
        <w:textAlignment w:val="auto"/>
        <w:rPr>
          <w:b w:val="0"/>
          <w:bCs/>
          <w:u w:val="none"/>
        </w:rPr>
      </w:pPr>
      <w:r>
        <w:rPr>
          <w:b w:val="0"/>
          <w:bCs/>
          <w:u w:val="none"/>
        </w:rPr>
        <w:t>V</w:t>
      </w:r>
      <w:r>
        <w:rPr>
          <w:b w:val="0"/>
          <w:bCs/>
          <w:u w:val="none"/>
          <w:vertAlign w:val="subscript"/>
        </w:rPr>
        <w:t>5</w:t>
      </w:r>
      <w:r>
        <w:rPr>
          <w:rFonts w:hint="eastAsia"/>
          <w:b w:val="0"/>
          <w:bCs/>
          <w:u w:val="none"/>
        </w:rPr>
        <w:t>——发生事故时可能进入该收集系统的降雨量，</w:t>
      </w:r>
      <w:r>
        <w:rPr>
          <w:b w:val="0"/>
          <w:bCs/>
          <w:u w:val="none"/>
        </w:rPr>
        <w:t>m</w:t>
      </w:r>
      <w:r>
        <w:rPr>
          <w:rFonts w:ascii="ZWAdobeF" w:hAnsi="ZWAdobeF" w:cs="ZWAdobeF"/>
          <w:b w:val="0"/>
          <w:bCs/>
          <w:sz w:val="2"/>
          <w:u w:val="none"/>
        </w:rPr>
        <w:t>P</w:t>
      </w:r>
      <w:r>
        <w:rPr>
          <w:b w:val="0"/>
          <w:bCs/>
          <w:u w:val="none"/>
          <w:vertAlign w:val="superscript"/>
        </w:rPr>
        <w:t>3</w:t>
      </w:r>
      <w:r>
        <w:rPr>
          <w:rFonts w:hint="eastAsia"/>
          <w:b w:val="0"/>
          <w:bCs/>
          <w:u w:val="none"/>
        </w:rPr>
        <w:t>。</w:t>
      </w:r>
    </w:p>
    <w:p w14:paraId="581FEC51">
      <w:pPr>
        <w:ind w:firstLine="480"/>
        <w:rPr>
          <w:rFonts w:hint="eastAsia"/>
          <w:u w:val="none"/>
        </w:rPr>
      </w:pPr>
      <w:r>
        <w:rPr>
          <w:rFonts w:hint="eastAsia"/>
          <w:u w:val="none"/>
        </w:rPr>
        <w:t>（1）收集系统范围内发生事故的一个罐组或一套装置的物料量（V</w:t>
      </w:r>
      <w:r>
        <w:rPr>
          <w:rFonts w:hint="eastAsia"/>
          <w:u w:val="none"/>
          <w:vertAlign w:val="subscript"/>
        </w:rPr>
        <w:t>1</w:t>
      </w:r>
      <w:r>
        <w:rPr>
          <w:rFonts w:hint="eastAsia"/>
          <w:u w:val="none"/>
        </w:rPr>
        <w:t>）</w:t>
      </w:r>
    </w:p>
    <w:p w14:paraId="315858CA">
      <w:pPr>
        <w:ind w:firstLine="480"/>
        <w:rPr>
          <w:rFonts w:hint="eastAsia"/>
          <w:u w:val="none"/>
        </w:rPr>
      </w:pPr>
      <w:r>
        <w:rPr>
          <w:rFonts w:hint="eastAsia"/>
          <w:u w:val="none"/>
        </w:rPr>
        <w:t>镀槽槽液如发生泄漏，及时堵漏，若泄漏量较大则进入事故废水池。按最不利情况镀槽泄露计算，按最大渡槽电镀镍单槽体积</w:t>
      </w:r>
      <w:r>
        <w:rPr>
          <w:rFonts w:hint="eastAsia"/>
          <w:u w:val="none"/>
          <w:lang w:val="en-US" w:eastAsia="zh-CN"/>
        </w:rPr>
        <w:t>2.09</w:t>
      </w:r>
      <w:r>
        <w:rPr>
          <w:rFonts w:hint="eastAsia"/>
          <w:u w:val="none"/>
        </w:rPr>
        <w:t>m</w:t>
      </w:r>
      <w:r>
        <w:rPr>
          <w:rFonts w:hint="eastAsia"/>
          <w:u w:val="none"/>
          <w:vertAlign w:val="superscript"/>
        </w:rPr>
        <w:t>3</w:t>
      </w:r>
      <w:r>
        <w:rPr>
          <w:rFonts w:hint="eastAsia"/>
          <w:u w:val="none"/>
        </w:rPr>
        <w:t>，</w:t>
      </w:r>
      <w:r>
        <w:rPr>
          <w:rFonts w:hint="eastAsia"/>
          <w:u w:val="none"/>
          <w:lang w:val="en-US" w:eastAsia="zh-CN"/>
        </w:rPr>
        <w:t>考虑不利情形按照单槽全部泄漏</w:t>
      </w:r>
      <w:r>
        <w:rPr>
          <w:rFonts w:hint="eastAsia"/>
          <w:u w:val="none"/>
        </w:rPr>
        <w:t>，则</w:t>
      </w:r>
      <w:r>
        <w:rPr>
          <w:rFonts w:hint="eastAsia"/>
          <w:u w:val="none"/>
          <w:lang w:val="en-US" w:eastAsia="zh-CN"/>
        </w:rPr>
        <w:t>泄漏量</w:t>
      </w:r>
      <w:r>
        <w:rPr>
          <w:rFonts w:hint="eastAsia"/>
          <w:u w:val="none"/>
        </w:rPr>
        <w:t>为</w:t>
      </w:r>
      <w:r>
        <w:rPr>
          <w:rFonts w:hint="eastAsia"/>
          <w:u w:val="none"/>
          <w:lang w:val="en-US" w:eastAsia="zh-CN"/>
        </w:rPr>
        <w:t>2.09</w:t>
      </w:r>
      <w:r>
        <w:rPr>
          <w:rFonts w:hint="eastAsia"/>
          <w:u w:val="none"/>
        </w:rPr>
        <w:t>m</w:t>
      </w:r>
      <w:r>
        <w:rPr>
          <w:rFonts w:hint="eastAsia"/>
          <w:u w:val="none"/>
          <w:vertAlign w:val="superscript"/>
        </w:rPr>
        <w:t>3</w:t>
      </w:r>
      <w:r>
        <w:rPr>
          <w:rFonts w:hint="eastAsia"/>
          <w:u w:val="none"/>
        </w:rPr>
        <w:t>。因此取V</w:t>
      </w:r>
      <w:r>
        <w:rPr>
          <w:rFonts w:hint="eastAsia"/>
          <w:u w:val="none"/>
          <w:vertAlign w:val="subscript"/>
        </w:rPr>
        <w:t>1</w:t>
      </w:r>
      <w:r>
        <w:rPr>
          <w:rFonts w:hint="eastAsia"/>
          <w:u w:val="none"/>
        </w:rPr>
        <w:t>=</w:t>
      </w:r>
      <w:r>
        <w:rPr>
          <w:rFonts w:hint="eastAsia"/>
          <w:u w:val="none"/>
          <w:lang w:val="en-US" w:eastAsia="zh-CN"/>
        </w:rPr>
        <w:t>2.09</w:t>
      </w:r>
      <w:r>
        <w:rPr>
          <w:rFonts w:hint="eastAsia"/>
          <w:u w:val="none"/>
        </w:rPr>
        <w:t>m</w:t>
      </w:r>
      <w:r>
        <w:rPr>
          <w:rFonts w:hint="eastAsia"/>
          <w:u w:val="none"/>
          <w:vertAlign w:val="superscript"/>
        </w:rPr>
        <w:t>3</w:t>
      </w:r>
      <w:r>
        <w:rPr>
          <w:rFonts w:hint="eastAsia"/>
          <w:u w:val="none"/>
        </w:rPr>
        <w:t>。</w:t>
      </w:r>
    </w:p>
    <w:p w14:paraId="5435FED9">
      <w:pPr>
        <w:ind w:firstLine="480"/>
        <w:rPr>
          <w:rFonts w:hint="eastAsia"/>
        </w:rPr>
      </w:pPr>
      <w:r>
        <w:rPr>
          <w:rFonts w:hint="eastAsia"/>
        </w:rPr>
        <w:t>（2）消防水量（V</w:t>
      </w:r>
      <w:r>
        <w:rPr>
          <w:rFonts w:hint="eastAsia"/>
          <w:vertAlign w:val="subscript"/>
          <w:lang w:val="en-US" w:eastAsia="zh-CN"/>
        </w:rPr>
        <w:t>2</w:t>
      </w:r>
      <w:r>
        <w:rPr>
          <w:rFonts w:hint="eastAsia"/>
        </w:rPr>
        <w:t>）</w:t>
      </w:r>
    </w:p>
    <w:p w14:paraId="687E5C24">
      <w:pPr>
        <w:ind w:firstLine="480"/>
        <w:rPr>
          <w:rFonts w:hint="eastAsia"/>
        </w:rPr>
      </w:pPr>
      <w:r>
        <w:rPr>
          <w:rFonts w:hint="eastAsia"/>
        </w:rPr>
        <w:t>当厂区发生火灾事故时，消防灭火产生的废水将流入厂区雨水管网。厂区雨水管网与</w:t>
      </w:r>
      <w:r>
        <w:rPr>
          <w:rFonts w:hint="eastAsia"/>
          <w:lang w:val="en-US" w:eastAsia="zh-CN"/>
        </w:rPr>
        <w:t>园区</w:t>
      </w:r>
      <w:r>
        <w:rPr>
          <w:rFonts w:hint="eastAsia"/>
        </w:rPr>
        <w:t>雨水管网连接处设置清污切换阀，一旦发生火灾事故时，排入集</w:t>
      </w:r>
      <w:r>
        <w:rPr>
          <w:rFonts w:hint="eastAsia"/>
          <w:lang w:val="en-US" w:eastAsia="zh-CN"/>
        </w:rPr>
        <w:t>园区</w:t>
      </w:r>
      <w:r>
        <w:rPr>
          <w:rFonts w:hint="eastAsia"/>
        </w:rPr>
        <w:t>管网方向的阀门立即关闭，消防废水流入厂区内设置的事故废水收集池暂存。</w:t>
      </w:r>
    </w:p>
    <w:p w14:paraId="14219D36">
      <w:pPr>
        <w:ind w:firstLine="480"/>
        <w:rPr>
          <w:rFonts w:hint="eastAsia"/>
        </w:rPr>
      </w:pPr>
      <w:r>
        <w:rPr>
          <w:rFonts w:hint="eastAsia"/>
        </w:rPr>
        <w:t>参考《石油化工企业设计防火规范》(GB50160-2008)中的相关要求进行计算，消防用水量为60L/s，火灾延续时间为0.5h，则消防废水量为108m</w:t>
      </w:r>
      <w:r>
        <w:rPr>
          <w:rFonts w:hint="eastAsia"/>
          <w:vertAlign w:val="superscript"/>
        </w:rPr>
        <w:t>3</w:t>
      </w:r>
      <w:r>
        <w:rPr>
          <w:rFonts w:hint="eastAsia"/>
        </w:rPr>
        <w:t>，因此V</w:t>
      </w:r>
      <w:r>
        <w:rPr>
          <w:rFonts w:hint="eastAsia"/>
          <w:vertAlign w:val="subscript"/>
        </w:rPr>
        <w:t>2</w:t>
      </w:r>
      <w:r>
        <w:rPr>
          <w:rFonts w:hint="eastAsia"/>
        </w:rPr>
        <w:t>取值为108m</w:t>
      </w:r>
      <w:r>
        <w:rPr>
          <w:rFonts w:hint="eastAsia"/>
          <w:vertAlign w:val="superscript"/>
          <w:lang w:val="en-US" w:eastAsia="zh-CN"/>
        </w:rPr>
        <w:t>3</w:t>
      </w:r>
      <w:r>
        <w:rPr>
          <w:rFonts w:hint="eastAsia"/>
        </w:rPr>
        <w:t>。</w:t>
      </w:r>
    </w:p>
    <w:p w14:paraId="6ABBC832">
      <w:pPr>
        <w:ind w:firstLine="480"/>
        <w:rPr>
          <w:rFonts w:hint="eastAsia"/>
        </w:rPr>
      </w:pPr>
      <w:r>
        <w:rPr>
          <w:rFonts w:hint="eastAsia"/>
        </w:rPr>
        <w:t>（3）可转到其他设施水量（V</w:t>
      </w:r>
      <w:r>
        <w:rPr>
          <w:rFonts w:hint="eastAsia"/>
          <w:vertAlign w:val="subscript"/>
        </w:rPr>
        <w:t>3</w:t>
      </w:r>
      <w:r>
        <w:rPr>
          <w:rFonts w:hint="eastAsia"/>
        </w:rPr>
        <w:t>）</w:t>
      </w:r>
    </w:p>
    <w:p w14:paraId="27933B03">
      <w:pPr>
        <w:ind w:firstLine="480"/>
        <w:rPr>
          <w:rFonts w:hint="eastAsia"/>
        </w:rPr>
      </w:pPr>
      <w:r>
        <w:rPr>
          <w:rFonts w:hint="eastAsia"/>
        </w:rPr>
        <w:t>桶装物料区围堰可以满足各物料泄漏的最大量，同时桶装物料区设置备用桶用于临时储存泄漏的物料，能够满足其他所有桶装物料的泄漏量，项目物料泄漏量较小，最大</w:t>
      </w:r>
      <w:r>
        <w:rPr>
          <w:rFonts w:hint="eastAsia"/>
          <w:lang w:val="en-US" w:eastAsia="zh-CN"/>
        </w:rPr>
        <w:t>234</w:t>
      </w:r>
      <w:r>
        <w:rPr>
          <w:rFonts w:hint="eastAsia"/>
        </w:rPr>
        <w:t>kg，可以砂土吸收后做危废处理，一般不需要进入事故废水池。因此评价按照V</w:t>
      </w:r>
      <w:r>
        <w:rPr>
          <w:rFonts w:hint="eastAsia"/>
          <w:vertAlign w:val="subscript"/>
        </w:rPr>
        <w:t>3</w:t>
      </w:r>
      <w:r>
        <w:rPr>
          <w:rFonts w:hint="eastAsia"/>
        </w:rPr>
        <w:t>为0进行考虑。</w:t>
      </w:r>
    </w:p>
    <w:p w14:paraId="55F51EDC">
      <w:pPr>
        <w:ind w:firstLine="480"/>
        <w:rPr>
          <w:rFonts w:hint="eastAsia"/>
        </w:rPr>
      </w:pPr>
      <w:r>
        <w:rPr>
          <w:rFonts w:hint="eastAsia"/>
        </w:rPr>
        <w:t>（4）事故时仍必须进入收集系统水量（V</w:t>
      </w:r>
      <w:r>
        <w:rPr>
          <w:rFonts w:hint="eastAsia"/>
          <w:vertAlign w:val="subscript"/>
        </w:rPr>
        <w:t>4</w:t>
      </w:r>
      <w:r>
        <w:rPr>
          <w:rFonts w:hint="eastAsia"/>
        </w:rPr>
        <w:t>）</w:t>
      </w:r>
    </w:p>
    <w:p w14:paraId="3B93E4CF">
      <w:pPr>
        <w:ind w:firstLine="480"/>
        <w:rPr>
          <w:rFonts w:hint="eastAsia"/>
        </w:rPr>
      </w:pPr>
      <w:r>
        <w:rPr>
          <w:rFonts w:hint="eastAsia"/>
        </w:rPr>
        <w:t>发生事故时仍必须进入该收集系统的生产废水量。装置发生事故时将停止排放生产废水量，V</w:t>
      </w:r>
      <w:r>
        <w:rPr>
          <w:rFonts w:hint="eastAsia"/>
          <w:vertAlign w:val="subscript"/>
        </w:rPr>
        <w:t>4</w:t>
      </w:r>
      <w:r>
        <w:rPr>
          <w:rFonts w:hint="eastAsia"/>
        </w:rPr>
        <w:t>=0。</w:t>
      </w:r>
    </w:p>
    <w:p w14:paraId="70B4F098">
      <w:pPr>
        <w:ind w:firstLine="480"/>
        <w:rPr>
          <w:rFonts w:hint="eastAsia"/>
        </w:rPr>
      </w:pPr>
      <w:r>
        <w:rPr>
          <w:rFonts w:hint="eastAsia"/>
        </w:rPr>
        <w:t>（5）发生事故时可能进入该收集系统的降雨量（V</w:t>
      </w:r>
      <w:r>
        <w:rPr>
          <w:rFonts w:hint="eastAsia"/>
          <w:vertAlign w:val="subscript"/>
          <w:lang w:val="en-US" w:eastAsia="zh-CN"/>
        </w:rPr>
        <w:t>5</w:t>
      </w:r>
      <w:r>
        <w:rPr>
          <w:rFonts w:hint="eastAsia"/>
        </w:rPr>
        <w:t>）</w:t>
      </w:r>
    </w:p>
    <w:p w14:paraId="7B3B2D0A">
      <w:pPr>
        <w:ind w:firstLine="0" w:firstLineChars="0"/>
        <w:jc w:val="center"/>
        <w:rPr>
          <w:szCs w:val="24"/>
        </w:rPr>
      </w:pPr>
      <w:r>
        <w:rPr>
          <w:szCs w:val="24"/>
        </w:rPr>
        <w:t>V</w:t>
      </w:r>
      <w:r>
        <w:rPr>
          <w:szCs w:val="24"/>
          <w:vertAlign w:val="subscript"/>
        </w:rPr>
        <w:t>5</w:t>
      </w:r>
      <w:r>
        <w:rPr>
          <w:szCs w:val="24"/>
        </w:rPr>
        <w:t>=10×q×f</w:t>
      </w:r>
    </w:p>
    <w:p w14:paraId="7B86AB23">
      <w:pPr>
        <w:ind w:firstLine="0" w:firstLineChars="0"/>
        <w:jc w:val="center"/>
        <w:rPr>
          <w:rFonts w:hint="eastAsia"/>
          <w:szCs w:val="24"/>
        </w:rPr>
      </w:pPr>
      <w:r>
        <w:rPr>
          <w:rFonts w:hint="eastAsia"/>
          <w:szCs w:val="24"/>
        </w:rPr>
        <w:t>q=qa/n</w:t>
      </w:r>
    </w:p>
    <w:p w14:paraId="2B4BF3EC">
      <w:pPr>
        <w:ind w:firstLine="480"/>
        <w:rPr>
          <w:szCs w:val="24"/>
        </w:rPr>
      </w:pPr>
      <w:r>
        <w:rPr>
          <w:rFonts w:hint="eastAsia"/>
          <w:szCs w:val="24"/>
        </w:rPr>
        <w:t>式中：q——降雨强度，按平均日降雨量，单位毫米（mm）；</w:t>
      </w:r>
    </w:p>
    <w:p w14:paraId="585AE318">
      <w:pPr>
        <w:ind w:firstLine="480"/>
        <w:rPr>
          <w:rFonts w:hint="eastAsia"/>
          <w:szCs w:val="24"/>
          <w:lang w:eastAsia="zh-CN"/>
        </w:rPr>
      </w:pPr>
      <w:r>
        <w:rPr>
          <w:rFonts w:hint="eastAsia"/>
          <w:szCs w:val="24"/>
        </w:rPr>
        <w:t>f——必须进入事故废水收集系统的雨水汇水面积，单位为公顷（ha）</w:t>
      </w:r>
      <w:r>
        <w:rPr>
          <w:rFonts w:hint="eastAsia"/>
          <w:szCs w:val="24"/>
          <w:lang w:eastAsia="zh-CN"/>
        </w:rPr>
        <w:t>；</w:t>
      </w:r>
    </w:p>
    <w:p w14:paraId="5D991FD1">
      <w:pPr>
        <w:ind w:firstLine="480"/>
        <w:rPr>
          <w:rFonts w:hint="eastAsia"/>
          <w:szCs w:val="24"/>
          <w:lang w:eastAsia="zh-CN"/>
        </w:rPr>
      </w:pPr>
      <w:r>
        <w:rPr>
          <w:rFonts w:hint="eastAsia"/>
          <w:szCs w:val="24"/>
          <w:lang w:eastAsia="zh-CN"/>
        </w:rPr>
        <w:t>qa——年平均降雨量，mm；</w:t>
      </w:r>
    </w:p>
    <w:p w14:paraId="2998C1F9">
      <w:pPr>
        <w:ind w:firstLine="480"/>
        <w:rPr>
          <w:rFonts w:hint="eastAsia"/>
          <w:szCs w:val="24"/>
          <w:lang w:eastAsia="zh-CN"/>
        </w:rPr>
      </w:pPr>
      <w:r>
        <w:rPr>
          <w:rFonts w:hint="eastAsia"/>
          <w:szCs w:val="24"/>
          <w:lang w:eastAsia="zh-CN"/>
        </w:rPr>
        <w:t>n——年平均降雨日数。</w:t>
      </w:r>
    </w:p>
    <w:p w14:paraId="6FC8FCE8">
      <w:pPr>
        <w:ind w:firstLine="480"/>
        <w:rPr>
          <w:szCs w:val="24"/>
        </w:rPr>
      </w:pPr>
      <w:r>
        <w:rPr>
          <w:rFonts w:hint="eastAsia"/>
          <w:szCs w:val="24"/>
          <w:lang w:val="en-US" w:eastAsia="zh-CN"/>
        </w:rPr>
        <w:t>经查阅资料，本项目地区</w:t>
      </w:r>
      <w:r>
        <w:rPr>
          <w:rFonts w:hint="eastAsia"/>
          <w:szCs w:val="24"/>
          <w:lang w:eastAsia="zh-CN"/>
        </w:rPr>
        <w:t>qa</w:t>
      </w:r>
      <w:r>
        <w:rPr>
          <w:rFonts w:hint="eastAsia"/>
          <w:szCs w:val="24"/>
          <w:lang w:val="en-US" w:eastAsia="zh-CN"/>
        </w:rPr>
        <w:t>=448.4mm，n=71日，F=1.72322ha，经计算本项目</w:t>
      </w:r>
      <w:r>
        <w:rPr>
          <w:rFonts w:hint="eastAsia"/>
          <w:szCs w:val="24"/>
        </w:rPr>
        <w:t>V</w:t>
      </w:r>
      <w:r>
        <w:rPr>
          <w:rFonts w:hint="eastAsia"/>
          <w:szCs w:val="24"/>
          <w:vertAlign w:val="subscript"/>
        </w:rPr>
        <w:t>5</w:t>
      </w:r>
      <w:r>
        <w:rPr>
          <w:rFonts w:hint="eastAsia"/>
          <w:szCs w:val="24"/>
        </w:rPr>
        <w:t>=</w:t>
      </w:r>
      <w:r>
        <w:rPr>
          <w:rFonts w:hint="eastAsia"/>
          <w:szCs w:val="24"/>
          <w:lang w:val="en-US" w:eastAsia="zh-CN"/>
        </w:rPr>
        <w:t>108.5</w:t>
      </w:r>
      <w:r>
        <w:rPr>
          <w:rFonts w:hint="eastAsia"/>
          <w:szCs w:val="24"/>
        </w:rPr>
        <w:t>m</w:t>
      </w:r>
      <w:r>
        <w:rPr>
          <w:rFonts w:hint="eastAsia"/>
          <w:szCs w:val="24"/>
          <w:vertAlign w:val="superscript"/>
        </w:rPr>
        <w:t>3</w:t>
      </w:r>
      <w:r>
        <w:rPr>
          <w:rFonts w:hint="eastAsia"/>
          <w:szCs w:val="24"/>
        </w:rPr>
        <w:t>。</w:t>
      </w:r>
    </w:p>
    <w:p w14:paraId="23ECE813">
      <w:pPr>
        <w:ind w:firstLine="480"/>
        <w:rPr>
          <w:szCs w:val="24"/>
        </w:rPr>
      </w:pPr>
      <w:r>
        <w:rPr>
          <w:rFonts w:hint="eastAsia" w:ascii="宋体" w:hAnsi="宋体" w:cs="宋体"/>
          <w:szCs w:val="24"/>
        </w:rPr>
        <w:t>⑥</w:t>
      </w:r>
      <w:r>
        <w:rPr>
          <w:szCs w:val="24"/>
        </w:rPr>
        <w:t>事故储池池容</w:t>
      </w:r>
    </w:p>
    <w:p w14:paraId="306F9CBB">
      <w:pPr>
        <w:ind w:firstLine="480"/>
        <w:rPr>
          <w:szCs w:val="24"/>
        </w:rPr>
      </w:pPr>
      <w:r>
        <w:rPr>
          <w:szCs w:val="24"/>
        </w:rPr>
        <w:t>本项目完成后事故储池所需有效容积至少为：</w:t>
      </w:r>
    </w:p>
    <w:p w14:paraId="3530BBCF">
      <w:pPr>
        <w:ind w:firstLine="480"/>
        <w:rPr>
          <w:szCs w:val="24"/>
        </w:rPr>
      </w:pPr>
      <w:r>
        <w:rPr>
          <w:szCs w:val="24"/>
        </w:rPr>
        <w:t>V=（V</w:t>
      </w:r>
      <w:r>
        <w:rPr>
          <w:szCs w:val="24"/>
          <w:vertAlign w:val="subscript"/>
        </w:rPr>
        <w:t>1</w:t>
      </w:r>
      <w:r>
        <w:rPr>
          <w:szCs w:val="24"/>
        </w:rPr>
        <w:t>+V</w:t>
      </w:r>
      <w:r>
        <w:rPr>
          <w:szCs w:val="24"/>
          <w:vertAlign w:val="subscript"/>
        </w:rPr>
        <w:t>2</w:t>
      </w:r>
      <w:r>
        <w:rPr>
          <w:szCs w:val="24"/>
        </w:rPr>
        <w:t>-V</w:t>
      </w:r>
      <w:r>
        <w:rPr>
          <w:szCs w:val="24"/>
          <w:vertAlign w:val="subscript"/>
        </w:rPr>
        <w:t>3</w:t>
      </w:r>
      <w:r>
        <w:rPr>
          <w:szCs w:val="24"/>
        </w:rPr>
        <w:t>）+V</w:t>
      </w:r>
      <w:r>
        <w:rPr>
          <w:szCs w:val="24"/>
          <w:vertAlign w:val="subscript"/>
        </w:rPr>
        <w:t>4</w:t>
      </w:r>
      <w:r>
        <w:rPr>
          <w:szCs w:val="24"/>
        </w:rPr>
        <w:t>+V</w:t>
      </w:r>
      <w:r>
        <w:rPr>
          <w:szCs w:val="24"/>
          <w:vertAlign w:val="subscript"/>
        </w:rPr>
        <w:t>5</w:t>
      </w:r>
      <w:r>
        <w:rPr>
          <w:szCs w:val="24"/>
        </w:rPr>
        <w:t>=（</w:t>
      </w:r>
      <w:r>
        <w:rPr>
          <w:rFonts w:hint="eastAsia"/>
          <w:szCs w:val="24"/>
          <w:lang w:val="en-US" w:eastAsia="zh-CN"/>
        </w:rPr>
        <w:t>2.09</w:t>
      </w:r>
      <w:r>
        <w:rPr>
          <w:szCs w:val="24"/>
        </w:rPr>
        <w:t>+</w:t>
      </w:r>
      <w:r>
        <w:rPr>
          <w:rFonts w:hint="eastAsia"/>
          <w:szCs w:val="24"/>
          <w:lang w:val="en-US" w:eastAsia="zh-CN"/>
        </w:rPr>
        <w:t>108</w:t>
      </w:r>
      <w:r>
        <w:rPr>
          <w:szCs w:val="24"/>
        </w:rPr>
        <w:t>-0）+0+</w:t>
      </w:r>
      <w:r>
        <w:rPr>
          <w:rFonts w:hint="eastAsia"/>
          <w:szCs w:val="24"/>
          <w:lang w:val="en-US" w:eastAsia="zh-CN"/>
        </w:rPr>
        <w:t>108.5</w:t>
      </w:r>
      <w:r>
        <w:rPr>
          <w:szCs w:val="24"/>
        </w:rPr>
        <w:t>=</w:t>
      </w:r>
      <w:r>
        <w:rPr>
          <w:rFonts w:hint="eastAsia"/>
          <w:szCs w:val="24"/>
          <w:lang w:val="en-US" w:eastAsia="zh-CN"/>
        </w:rPr>
        <w:t>218.59</w:t>
      </w:r>
      <w:r>
        <w:rPr>
          <w:szCs w:val="24"/>
        </w:rPr>
        <w:t>m</w:t>
      </w:r>
      <w:r>
        <w:rPr>
          <w:szCs w:val="24"/>
          <w:vertAlign w:val="superscript"/>
        </w:rPr>
        <w:t>3</w:t>
      </w:r>
    </w:p>
    <w:p w14:paraId="0BC0B0CF">
      <w:pPr>
        <w:pStyle w:val="72"/>
      </w:pPr>
      <w:r>
        <w:rPr>
          <w:rFonts w:hint="eastAsia"/>
        </w:rPr>
        <w:t>经计算，项目事故水池容积应不小于</w:t>
      </w:r>
      <w:r>
        <w:rPr>
          <w:rFonts w:hint="eastAsia"/>
          <w:lang w:val="en-US" w:eastAsia="zh-CN"/>
        </w:rPr>
        <w:t>218.59</w:t>
      </w:r>
      <w:r>
        <w:t>m</w:t>
      </w:r>
      <w:r>
        <w:rPr>
          <w:vertAlign w:val="superscript"/>
        </w:rPr>
        <w:t>3</w:t>
      </w:r>
      <w:r>
        <w:rPr>
          <w:rFonts w:hint="eastAsia"/>
        </w:rPr>
        <w:t>，为了保证事故水池的有效作用，本项目拟设置事故水池</w:t>
      </w:r>
      <w:r>
        <w:rPr>
          <w:rFonts w:hint="eastAsia"/>
          <w:lang w:val="en-US" w:eastAsia="zh-CN"/>
        </w:rPr>
        <w:t>300</w:t>
      </w:r>
      <w:r>
        <w:t>m</w:t>
      </w:r>
      <w:r>
        <w:rPr>
          <w:vertAlign w:val="superscript"/>
        </w:rPr>
        <w:t>3</w:t>
      </w:r>
      <w:r>
        <w:rPr>
          <w:rFonts w:hint="eastAsia"/>
        </w:rPr>
        <w:t>。同时，事故水池应建设在厂区最低水位处，以确保事故废水能够自行汇流至事故水池内。事故水池收集的废水应逐步进入厂区污水处理站，防止冲击污水处理系统，确保达标排放</w:t>
      </w:r>
      <w:r>
        <w:t>。</w:t>
      </w:r>
    </w:p>
    <w:p w14:paraId="624D2110">
      <w:pPr>
        <w:pStyle w:val="72"/>
        <w:rPr>
          <w:rFonts w:hint="default"/>
        </w:rPr>
      </w:pPr>
      <w:r>
        <w:rPr>
          <w:rFonts w:hint="eastAsia"/>
          <w:lang w:val="en-US" w:eastAsia="zh-CN"/>
        </w:rPr>
        <w:t>2、</w:t>
      </w:r>
      <w:r>
        <w:rPr>
          <w:rFonts w:hint="default"/>
        </w:rPr>
        <w:t>事故废水排放环境风险防范措施</w:t>
      </w:r>
    </w:p>
    <w:p w14:paraId="31DF375B">
      <w:pPr>
        <w:pStyle w:val="72"/>
        <w:rPr>
          <w:rFonts w:hint="default"/>
        </w:rPr>
      </w:pPr>
      <w:r>
        <w:rPr>
          <w:rFonts w:hint="default"/>
        </w:rPr>
        <w:t>①项目厂区污水管网和污水处理站、厂区事故废水收集池相连，设置2个控制闸阀。平时关闭事故废水收集池闸阀，打开污水处理站闸阀，正常工况污水流入污水处理站处理。事故状态时，关闭与污水处理站的闸阀，打开与事故收集池的闸阀，提升泵控制事故废水流入事故废水收集池</w:t>
      </w:r>
      <w:r>
        <w:rPr>
          <w:rFonts w:hint="default"/>
          <w:color w:val="000000" w:themeColor="text1"/>
          <w14:textFill>
            <w14:solidFill>
              <w14:schemeClr w14:val="tx1"/>
            </w14:solidFill>
          </w14:textFill>
        </w:rPr>
        <w:t>。设置一个污水总排口，通过泵与园区污水管网连接。在污水总排口设置在线检测仪，</w:t>
      </w:r>
      <w:r>
        <w:rPr>
          <w:rFonts w:hint="default"/>
        </w:rPr>
        <w:t>保证污水不达标不外排，目的是将被污染的事故废水控制在厂区内，而不排入外环境。</w:t>
      </w:r>
    </w:p>
    <w:p w14:paraId="45F2FBE4">
      <w:pPr>
        <w:pStyle w:val="72"/>
        <w:rPr>
          <w:rFonts w:hint="default"/>
        </w:rPr>
      </w:pPr>
      <w:r>
        <w:rPr>
          <w:rFonts w:hint="default"/>
        </w:rPr>
        <w:t>②厂区雨水管网并设置1个控制闸阀；平时关闭雨水总排口收集闸阀，降雨条件下，打开控制闸阀。发生事故时，关闭雨水总排闸阀，打开事故废水收集池闸阀，杜绝事故情况下泄漏物料或事故废水经雨水管外排。</w:t>
      </w:r>
    </w:p>
    <w:p w14:paraId="25463B46">
      <w:pPr>
        <w:pStyle w:val="72"/>
        <w:rPr>
          <w:rFonts w:hint="default"/>
        </w:rPr>
      </w:pPr>
      <w:r>
        <w:rPr>
          <w:rFonts w:hint="default"/>
        </w:rPr>
        <w:t>③当发生液体物料泄漏事故时，迅速关闭进料阀门，切断火源、切断泄漏源，用防爆泵转移至专用收集器内处置。液态污染物可进入围堰、事故池等暂时存贮。当发生事故消防水系统启用时，应打开消防水导排系统，将消防废水引入事故储池，待事故结束后对其进行有效处理。</w:t>
      </w:r>
    </w:p>
    <w:p w14:paraId="4F0CEE84">
      <w:pPr>
        <w:pStyle w:val="72"/>
        <w:numPr>
          <w:ilvl w:val="0"/>
          <w:numId w:val="0"/>
        </w:numPr>
        <w:ind w:left="480" w:leftChars="0"/>
        <w:rPr>
          <w:rFonts w:hint="eastAsia"/>
          <w:lang w:val="en-US" w:eastAsia="zh-CN"/>
        </w:rPr>
      </w:pPr>
      <w:r>
        <w:rPr>
          <w:rFonts w:hint="eastAsia"/>
          <w:lang w:val="en-US" w:eastAsia="zh-CN"/>
        </w:rPr>
        <w:t>3、“单元-厂区-园区”风险防控体系</w:t>
      </w:r>
    </w:p>
    <w:p w14:paraId="06707E69">
      <w:pPr>
        <w:pStyle w:val="72"/>
        <w:rPr>
          <w:rFonts w:hint="eastAsia"/>
          <w:lang w:val="en-US" w:eastAsia="zh-CN"/>
        </w:rPr>
      </w:pPr>
      <w:r>
        <w:rPr>
          <w:rFonts w:hint="eastAsia"/>
          <w:lang w:val="en-US" w:eastAsia="zh-CN"/>
        </w:rPr>
        <w:t>本项目罐区设置有围堰，厂区设置事故池，确保项目单元-厂区事故废水不出厂界。根据园区跟踪评价，园区配套污水处理厂运行正常，园区配套污水处理厂设置有事故池缓冲池，在突发环境事故状态下，确保废水纳入园区配套污水厂设置的事故池，以确保共产主义渠水体安全，确保园区水环境风险防控到位。</w:t>
      </w:r>
    </w:p>
    <w:p w14:paraId="7D86F0F3">
      <w:pPr>
        <w:pStyle w:val="72"/>
        <w:rPr>
          <w:rFonts w:hint="eastAsia"/>
          <w:lang w:val="en-US" w:eastAsia="zh-CN"/>
        </w:rPr>
      </w:pPr>
      <w:r>
        <w:rPr>
          <w:rFonts w:hint="eastAsia"/>
          <w:lang w:val="en-US" w:eastAsia="zh-CN"/>
        </w:rPr>
        <w:t>根据园区水环境风险设置情况，本项目与园区可形成“单元-厂区-园区”水环境风险防空体系，确保共产主义渠水环境安全。</w:t>
      </w:r>
    </w:p>
    <w:p w14:paraId="2A7C7DB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16" w:name="_Toc311812668"/>
      <w:bookmarkStart w:id="617" w:name="_Toc324839330"/>
      <w:bookmarkStart w:id="618" w:name="_Toc324839627"/>
      <w:r>
        <w:rPr>
          <w:rFonts w:hint="eastAsia" w:cs="Times New Roman"/>
          <w:lang w:val="en-US" w:eastAsia="zh-CN"/>
        </w:rPr>
        <w:t>6.6.5污水处理站设置及风险防范措施</w:t>
      </w:r>
    </w:p>
    <w:p w14:paraId="446328DB">
      <w:pPr>
        <w:pStyle w:val="72"/>
        <w:rPr>
          <w:rFonts w:hint="eastAsia"/>
        </w:rPr>
      </w:pPr>
      <w:r>
        <w:rPr>
          <w:rFonts w:hint="eastAsia"/>
        </w:rPr>
        <w:t>本项目污水处理站主要包括含镍污水处理系统（</w:t>
      </w:r>
      <w:r>
        <w:rPr>
          <w:rFonts w:hint="eastAsia"/>
          <w:lang w:val="en-US" w:eastAsia="zh-CN"/>
        </w:rPr>
        <w:t>150</w:t>
      </w:r>
      <w:r>
        <w:t>t/d</w:t>
      </w:r>
      <w:r>
        <w:rPr>
          <w:rFonts w:hint="eastAsia"/>
        </w:rPr>
        <w:t>）、含铬污水处理系统（</w:t>
      </w:r>
      <w:r>
        <w:rPr>
          <w:rFonts w:hint="eastAsia"/>
          <w:lang w:val="en-US" w:eastAsia="zh-CN"/>
        </w:rPr>
        <w:t>90</w:t>
      </w:r>
      <w:r>
        <w:t>t/d</w:t>
      </w:r>
      <w:r>
        <w:rPr>
          <w:rFonts w:hint="eastAsia"/>
        </w:rPr>
        <w:t>）和综合污水处理系统（</w:t>
      </w:r>
      <w:r>
        <w:rPr>
          <w:rFonts w:hint="eastAsia"/>
          <w:lang w:val="en-US" w:eastAsia="zh-CN"/>
        </w:rPr>
        <w:t>120</w:t>
      </w:r>
      <w:r>
        <w:t>t/d</w:t>
      </w:r>
      <w:r>
        <w:rPr>
          <w:rFonts w:hint="eastAsia"/>
        </w:rPr>
        <w:t>），建设位于厂区</w:t>
      </w:r>
      <w:r>
        <w:rPr>
          <w:rFonts w:hint="eastAsia"/>
          <w:lang w:val="en-US" w:eastAsia="zh-CN"/>
        </w:rPr>
        <w:t>东南侧</w:t>
      </w:r>
      <w:r>
        <w:rPr>
          <w:rFonts w:hint="eastAsia"/>
        </w:rPr>
        <w:t>，按照就近原则缩短管道布置区域和废水运输距离，减少废水运输过程中存在的风险，因此本项目污水处理站设计合理。项目污水处理系统均设有调节池，对进水进行水质和水量的调节，本项目考虑到若污水处理系统发生事故时，短时间污水处理事故废水将进入调节池进行暂存，若事故发生周期较长，评价要求企业停产停工，待事故处理后再进行生产。本项目以最大污水处理系统——综合污水处理系统进行评价，同时考虑事故废水分批进入污水处理站进行处理和槽液废水分批进入污水处理站进行处理情况下，故项目设计综合污水处理系统调节池为</w:t>
      </w:r>
      <w:r>
        <w:rPr>
          <w:rFonts w:hint="eastAsia"/>
          <w:lang w:val="en-US" w:eastAsia="zh-CN"/>
        </w:rPr>
        <w:t>500</w:t>
      </w:r>
      <w:r>
        <w:t>m</w:t>
      </w:r>
      <w:r>
        <w:rPr>
          <w:vertAlign w:val="superscript"/>
        </w:rPr>
        <w:t>3</w:t>
      </w:r>
      <w:r>
        <w:rPr>
          <w:rFonts w:hint="eastAsia"/>
        </w:rPr>
        <w:t>，若发生事故时，废水全部泄漏进入调节池，本项目拟设置的调节池能够满足所需。</w:t>
      </w:r>
    </w:p>
    <w:p w14:paraId="47F0C65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6.6.6废气治理措施风险防范措施</w:t>
      </w:r>
    </w:p>
    <w:p w14:paraId="3650DA05">
      <w:pPr>
        <w:pStyle w:val="72"/>
        <w:rPr>
          <w:rFonts w:hint="eastAsia"/>
        </w:rPr>
      </w:pPr>
      <w:r>
        <w:rPr>
          <w:rFonts w:hint="eastAsia"/>
        </w:rPr>
        <w:t>（1）每套废气治理设施进出口应留有监测孔，定期对废气治理措施进行监测，保证去除效率满足要求，确保废气治理设施稳定运行、达标排放；废气集气管道不应发生破裂、堵塞等现象。</w:t>
      </w:r>
    </w:p>
    <w:p w14:paraId="119E309D">
      <w:pPr>
        <w:pStyle w:val="72"/>
        <w:rPr>
          <w:rFonts w:hint="eastAsia"/>
        </w:rPr>
      </w:pPr>
      <w:r>
        <w:rPr>
          <w:rFonts w:hint="eastAsia"/>
        </w:rPr>
        <w:t>（2）建设单位环保部门制定污染治理措施操作运行规章制度，安排专人定期对废气治理设备进行维护，发现问题及时处理。</w:t>
      </w:r>
    </w:p>
    <w:p w14:paraId="5B78658E">
      <w:pPr>
        <w:pStyle w:val="72"/>
        <w:rPr>
          <w:rFonts w:hint="eastAsia"/>
        </w:rPr>
      </w:pPr>
      <w:r>
        <w:rPr>
          <w:rFonts w:hint="eastAsia"/>
        </w:rPr>
        <w:t>（3）一旦发现废气处理设备运行异常，立即关闭对应生产线，及时维修。</w:t>
      </w:r>
    </w:p>
    <w:p w14:paraId="20D4AB2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6.6.7地下水环境风险防范措施</w:t>
      </w:r>
    </w:p>
    <w:p w14:paraId="39DE2605">
      <w:pPr>
        <w:pStyle w:val="16"/>
        <w:keepNext w:val="0"/>
        <w:keepLines w:val="0"/>
        <w:pageBreakBefore w:val="0"/>
        <w:widowControl/>
        <w:kinsoku/>
        <w:wordWrap/>
        <w:overflowPunct/>
        <w:topLinePunct/>
        <w:autoSpaceDE/>
        <w:autoSpaceDN/>
        <w:bidi w:val="0"/>
        <w:adjustRightInd w:val="0"/>
        <w:snapToGrid w:val="0"/>
        <w:spacing w:line="500" w:lineRule="exact"/>
        <w:ind w:left="0" w:right="0" w:firstLine="480" w:firstLineChars="200"/>
        <w:jc w:val="both"/>
        <w:textAlignment w:val="auto"/>
        <w:rPr>
          <w:rFonts w:hint="default" w:ascii="Times New Roman" w:hAnsi="Times New Roman" w:cs="Times New Roman"/>
          <w:snapToGrid w:val="0"/>
          <w:spacing w:val="0"/>
          <w:w w:val="100"/>
          <w:kern w:val="21"/>
          <w:position w:val="0"/>
          <w:sz w:val="24"/>
          <w:szCs w:val="24"/>
        </w:rPr>
      </w:pPr>
      <w:r>
        <w:rPr>
          <w:rFonts w:hint="default" w:ascii="Times New Roman" w:hAnsi="Times New Roman" w:cs="Times New Roman"/>
          <w:snapToGrid w:val="0"/>
          <w:spacing w:val="0"/>
          <w:w w:val="100"/>
          <w:kern w:val="21"/>
          <w:position w:val="0"/>
          <w:sz w:val="24"/>
          <w:szCs w:val="24"/>
        </w:rPr>
        <w:t>项目生产过程中涉及到腐蚀性的酸碱和重金属等物质，对土壤和地下水会产生污染，应重点采取源头控制和分区防渗措施。因此，本次项目生产车间和污水处理站均应采取相应的防渗措施，防止污染物通过土壤渗透到地下水从而造成地下水污染。分区防渗要求详见</w:t>
      </w:r>
      <w:r>
        <w:rPr>
          <w:rFonts w:hint="default" w:ascii="Times New Roman" w:hAnsi="Times New Roman" w:cs="Times New Roman"/>
          <w:snapToGrid w:val="0"/>
          <w:spacing w:val="0"/>
          <w:w w:val="100"/>
          <w:kern w:val="21"/>
          <w:position w:val="0"/>
          <w:sz w:val="24"/>
          <w:szCs w:val="24"/>
          <w:lang w:eastAsia="zh-CN"/>
        </w:rPr>
        <w:t>“</w:t>
      </w:r>
      <w:r>
        <w:rPr>
          <w:rFonts w:hint="default" w:ascii="Times New Roman" w:hAnsi="Times New Roman" w:cs="Times New Roman"/>
          <w:snapToGrid w:val="0"/>
          <w:spacing w:val="0"/>
          <w:w w:val="100"/>
          <w:kern w:val="21"/>
          <w:position w:val="0"/>
          <w:sz w:val="24"/>
          <w:szCs w:val="24"/>
        </w:rPr>
        <w:t>环境保护措施及其可行性分析</w:t>
      </w:r>
      <w:r>
        <w:rPr>
          <w:rFonts w:hint="default" w:ascii="Times New Roman" w:hAnsi="Times New Roman" w:cs="Times New Roman"/>
          <w:snapToGrid w:val="0"/>
          <w:spacing w:val="0"/>
          <w:w w:val="100"/>
          <w:kern w:val="21"/>
          <w:position w:val="0"/>
          <w:sz w:val="24"/>
          <w:szCs w:val="24"/>
          <w:lang w:eastAsia="zh-CN"/>
        </w:rPr>
        <w:t>”</w:t>
      </w:r>
      <w:r>
        <w:rPr>
          <w:rFonts w:hint="default" w:ascii="Times New Roman" w:hAnsi="Times New Roman" w:cs="Times New Roman"/>
          <w:snapToGrid w:val="0"/>
          <w:spacing w:val="0"/>
          <w:w w:val="100"/>
          <w:kern w:val="21"/>
          <w:position w:val="0"/>
          <w:sz w:val="24"/>
          <w:szCs w:val="24"/>
        </w:rPr>
        <w:t>章节</w:t>
      </w:r>
      <w:r>
        <w:rPr>
          <w:rFonts w:hint="default" w:ascii="Times New Roman" w:hAnsi="Times New Roman" w:cs="Times New Roman"/>
          <w:snapToGrid w:val="0"/>
          <w:spacing w:val="0"/>
          <w:w w:val="100"/>
          <w:kern w:val="21"/>
          <w:position w:val="0"/>
          <w:sz w:val="24"/>
          <w:szCs w:val="24"/>
          <w:lang w:eastAsia="zh-CN"/>
        </w:rPr>
        <w:t>“</w:t>
      </w:r>
      <w:r>
        <w:rPr>
          <w:rFonts w:hint="eastAsia" w:ascii="Times New Roman" w:hAnsi="Times New Roman" w:cs="Times New Roman"/>
          <w:snapToGrid w:val="0"/>
          <w:spacing w:val="0"/>
          <w:w w:val="100"/>
          <w:kern w:val="21"/>
          <w:position w:val="0"/>
          <w:sz w:val="24"/>
          <w:szCs w:val="24"/>
          <w:lang w:val="en-US" w:eastAsia="zh-CN"/>
        </w:rPr>
        <w:t>7</w:t>
      </w:r>
      <w:r>
        <w:rPr>
          <w:rFonts w:hint="default" w:ascii="Times New Roman" w:hAnsi="Times New Roman" w:eastAsia="Times New Roman" w:cs="Times New Roman"/>
          <w:snapToGrid w:val="0"/>
          <w:spacing w:val="0"/>
          <w:w w:val="100"/>
          <w:kern w:val="21"/>
          <w:position w:val="0"/>
          <w:sz w:val="24"/>
          <w:szCs w:val="24"/>
        </w:rPr>
        <w:t>.6</w:t>
      </w:r>
      <w:r>
        <w:rPr>
          <w:rFonts w:hint="default" w:ascii="Times New Roman" w:hAnsi="Times New Roman" w:cs="Times New Roman"/>
          <w:snapToGrid w:val="0"/>
          <w:spacing w:val="0"/>
          <w:w w:val="100"/>
          <w:kern w:val="21"/>
          <w:position w:val="0"/>
          <w:sz w:val="24"/>
          <w:szCs w:val="24"/>
        </w:rPr>
        <w:t>地下水污染防治措施</w:t>
      </w:r>
      <w:r>
        <w:rPr>
          <w:rFonts w:hint="default" w:ascii="Times New Roman" w:hAnsi="Times New Roman" w:cs="Times New Roman"/>
          <w:snapToGrid w:val="0"/>
          <w:spacing w:val="0"/>
          <w:w w:val="100"/>
          <w:kern w:val="21"/>
          <w:position w:val="0"/>
          <w:sz w:val="24"/>
          <w:szCs w:val="24"/>
          <w:lang w:eastAsia="zh-CN"/>
        </w:rPr>
        <w:t>”</w:t>
      </w:r>
      <w:r>
        <w:rPr>
          <w:rFonts w:hint="default" w:ascii="Times New Roman" w:hAnsi="Times New Roman" w:cs="Times New Roman"/>
          <w:snapToGrid w:val="0"/>
          <w:spacing w:val="0"/>
          <w:w w:val="100"/>
          <w:kern w:val="21"/>
          <w:position w:val="0"/>
          <w:sz w:val="24"/>
          <w:szCs w:val="24"/>
        </w:rPr>
        <w:t>相关内容。</w:t>
      </w:r>
    </w:p>
    <w:p w14:paraId="090F42F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6.6.8事故应急预案要求及区域风险防范应急联动</w:t>
      </w:r>
    </w:p>
    <w:p w14:paraId="2B83BB73">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eastAsia" w:ascii="Times New Roman" w:hAnsi="Times New Roman" w:cs="Times New Roman"/>
          <w:snapToGrid w:val="0"/>
          <w:spacing w:val="0"/>
          <w:w w:val="100"/>
          <w:kern w:val="21"/>
          <w:position w:val="0"/>
          <w:sz w:val="24"/>
          <w:szCs w:val="24"/>
          <w:lang w:val="en-US" w:eastAsia="zh-CN"/>
        </w:rPr>
      </w:pPr>
      <w:r>
        <w:rPr>
          <w:rFonts w:hint="eastAsia" w:cs="Times New Roman"/>
          <w:snapToGrid w:val="0"/>
          <w:spacing w:val="0"/>
          <w:w w:val="100"/>
          <w:kern w:val="21"/>
          <w:position w:val="0"/>
          <w:sz w:val="24"/>
          <w:szCs w:val="24"/>
          <w:lang w:val="en-US" w:eastAsia="zh-CN"/>
        </w:rPr>
        <w:t>1、</w:t>
      </w:r>
      <w:r>
        <w:rPr>
          <w:rFonts w:hint="eastAsia" w:ascii="Times New Roman" w:hAnsi="Times New Roman" w:cs="Times New Roman"/>
          <w:snapToGrid w:val="0"/>
          <w:spacing w:val="0"/>
          <w:w w:val="100"/>
          <w:kern w:val="21"/>
          <w:position w:val="0"/>
          <w:sz w:val="24"/>
          <w:szCs w:val="24"/>
          <w:lang w:val="en-US" w:eastAsia="zh-CN"/>
        </w:rPr>
        <w:t>事故应急预案要求</w:t>
      </w:r>
    </w:p>
    <w:p w14:paraId="2DEF7ADD">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napToGrid w:val="0"/>
          <w:spacing w:val="0"/>
          <w:w w:val="100"/>
          <w:kern w:val="21"/>
          <w:position w:val="0"/>
          <w:sz w:val="24"/>
          <w:szCs w:val="24"/>
          <w:lang w:val="en-US" w:eastAsia="zh-CN"/>
        </w:rPr>
      </w:pPr>
      <w:r>
        <w:rPr>
          <w:rFonts w:hint="default" w:ascii="Times New Roman" w:hAnsi="Times New Roman" w:cs="Times New Roman"/>
          <w:snapToGrid w:val="0"/>
          <w:spacing w:val="0"/>
          <w:w w:val="100"/>
          <w:kern w:val="21"/>
          <w:position w:val="0"/>
          <w:sz w:val="24"/>
          <w:szCs w:val="24"/>
          <w:lang w:val="en-US" w:eastAsia="zh-CN"/>
        </w:rPr>
        <w:t>根据环发[2012]77号文的要求，企业应建设并完善日常和应急监测系统，配备大气、水环境特征污染物监控设备，编制日常和应急监测方案，提高监控水平、应急响应速度和应急处理能力；建立完善的环境信息平台，定期向社会公布企业环境信息，接受公众监督。企业应将突发环境事件应急预案演练和应急物资管理作为日常工作任务，不断提升环境风险防范应急保障能力。企业应积极配合当地政府建设和完善项目所在集聚区环境风险预警体系、环境风险防控工程、环境应急保障体系。企业突发环境事件应急预案应与当地政府和相关部门以及周边企业、集聚区的应急预案相衔接，加强区域应急物资调配管理，构建区域环境风险联控机制。</w:t>
      </w:r>
    </w:p>
    <w:p w14:paraId="4D2D8212">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napToGrid w:val="0"/>
          <w:spacing w:val="0"/>
          <w:w w:val="100"/>
          <w:kern w:val="21"/>
          <w:position w:val="0"/>
          <w:sz w:val="24"/>
          <w:szCs w:val="24"/>
          <w:lang w:val="en-US" w:eastAsia="zh-CN"/>
        </w:rPr>
      </w:pPr>
      <w:r>
        <w:rPr>
          <w:rFonts w:hint="default" w:ascii="Times New Roman" w:hAnsi="Times New Roman" w:cs="Times New Roman"/>
          <w:snapToGrid w:val="0"/>
          <w:spacing w:val="0"/>
          <w:w w:val="100"/>
          <w:kern w:val="21"/>
          <w:position w:val="0"/>
          <w:sz w:val="24"/>
          <w:szCs w:val="24"/>
          <w:lang w:val="en-US" w:eastAsia="zh-CN"/>
        </w:rPr>
        <w:t>作为事故风险防范和应急对策的重要组成部分，应急组织机构应制定应急计划，其基本内容应包括应急组织、应急设施(设备器材)、应急通讯联络、应急监测、应急安全保卫、应急撤离措施、应急救援、应急状态终止、事故后果评价、应急报告等。</w:t>
      </w:r>
    </w:p>
    <w:p w14:paraId="00A069E7">
      <w:pPr>
        <w:ind w:firstLine="480"/>
        <w:jc w:val="both"/>
        <w:rPr>
          <w:rFonts w:hint="default" w:ascii="Times New Roman" w:hAnsi="Times New Roman" w:cs="Times New Roman"/>
          <w:snapToGrid w:val="0"/>
          <w:spacing w:val="0"/>
          <w:w w:val="100"/>
          <w:kern w:val="21"/>
          <w:position w:val="0"/>
          <w:sz w:val="24"/>
          <w:szCs w:val="24"/>
          <w:lang w:val="en-US" w:eastAsia="zh-CN"/>
        </w:rPr>
      </w:pPr>
      <w:r>
        <w:rPr>
          <w:rFonts w:hint="default" w:ascii="Times New Roman" w:hAnsi="Times New Roman" w:cs="Times New Roman"/>
          <w:snapToGrid w:val="0"/>
          <w:spacing w:val="0"/>
          <w:w w:val="100"/>
          <w:kern w:val="21"/>
          <w:position w:val="0"/>
          <w:sz w:val="24"/>
          <w:szCs w:val="24"/>
          <w:lang w:val="en-US" w:eastAsia="zh-CN"/>
        </w:rPr>
        <w:t>根据导则要求，结合项目特点，制定项目的相关环境保护应急预案内容见下表。</w:t>
      </w:r>
      <w:bookmarkEnd w:id="616"/>
      <w:bookmarkEnd w:id="617"/>
      <w:bookmarkEnd w:id="618"/>
    </w:p>
    <w:p w14:paraId="4450E6A9">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default"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6.6-1</w:t>
      </w:r>
      <w:r>
        <w:rPr>
          <w:rFonts w:hint="eastAsia" w:ascii="Times New Roman" w:hAnsi="Times New Roman" w:cs="宋体" w:eastAsiaTheme="minorEastAsia"/>
          <w:b/>
          <w:kern w:val="2"/>
          <w:sz w:val="24"/>
          <w:szCs w:val="24"/>
          <w:lang w:val="en-US" w:eastAsia="zh-CN" w:bidi="ar-SA"/>
        </w:rPr>
        <w:t xml:space="preserve">    企业突发事故应急预案一览表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782"/>
        <w:gridCol w:w="1282"/>
        <w:gridCol w:w="6305"/>
      </w:tblGrid>
      <w:tr w14:paraId="419EA3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397" w:hRule="atLeast"/>
          <w:jc w:val="center"/>
        </w:trPr>
        <w:tc>
          <w:tcPr>
            <w:tcW w:w="781" w:type="dxa"/>
            <w:tcBorders>
              <w:tl2br w:val="nil"/>
              <w:tr2bl w:val="nil"/>
            </w:tcBorders>
            <w:noWrap w:val="0"/>
            <w:vAlign w:val="center"/>
          </w:tcPr>
          <w:p w14:paraId="6980186E">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Times New Roman" w:cs="Times New Roman"/>
                <w:b/>
                <w:bCs/>
                <w:snapToGrid w:val="0"/>
                <w:spacing w:val="0"/>
                <w:w w:val="100"/>
                <w:kern w:val="21"/>
                <w:position w:val="0"/>
                <w:sz w:val="21"/>
                <w:szCs w:val="24"/>
              </w:rPr>
            </w:pPr>
            <w:r>
              <w:rPr>
                <w:rFonts w:hint="default" w:ascii="Times New Roman" w:hAnsi="Times New Roman" w:cs="Times New Roman"/>
                <w:b/>
                <w:bCs/>
                <w:snapToGrid w:val="0"/>
                <w:spacing w:val="0"/>
                <w:w w:val="100"/>
                <w:kern w:val="21"/>
                <w:position w:val="0"/>
                <w:sz w:val="21"/>
                <w:szCs w:val="24"/>
              </w:rPr>
              <w:t>序号</w:t>
            </w:r>
          </w:p>
        </w:tc>
        <w:tc>
          <w:tcPr>
            <w:tcW w:w="1281" w:type="dxa"/>
            <w:tcBorders>
              <w:tl2br w:val="nil"/>
              <w:tr2bl w:val="nil"/>
            </w:tcBorders>
            <w:noWrap w:val="0"/>
            <w:vAlign w:val="center"/>
          </w:tcPr>
          <w:p w14:paraId="49ED3DF9">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napToGrid w:val="0"/>
                <w:spacing w:val="0"/>
                <w:w w:val="100"/>
                <w:kern w:val="21"/>
                <w:position w:val="0"/>
                <w:sz w:val="21"/>
                <w:szCs w:val="24"/>
              </w:rPr>
            </w:pPr>
            <w:r>
              <w:rPr>
                <w:rFonts w:hint="default" w:ascii="Times New Roman" w:hAnsi="Times New Roman" w:cs="Times New Roman"/>
                <w:b/>
                <w:bCs/>
                <w:snapToGrid w:val="0"/>
                <w:spacing w:val="0"/>
                <w:w w:val="100"/>
                <w:kern w:val="21"/>
                <w:position w:val="0"/>
                <w:sz w:val="21"/>
                <w:szCs w:val="24"/>
              </w:rPr>
              <w:t>项目</w:t>
            </w:r>
          </w:p>
        </w:tc>
        <w:tc>
          <w:tcPr>
            <w:tcW w:w="6304" w:type="dxa"/>
            <w:tcBorders>
              <w:tl2br w:val="nil"/>
              <w:tr2bl w:val="nil"/>
            </w:tcBorders>
            <w:noWrap w:val="0"/>
            <w:vAlign w:val="center"/>
          </w:tcPr>
          <w:p w14:paraId="67FE7AC0">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napToGrid w:val="0"/>
                <w:spacing w:val="0"/>
                <w:w w:val="100"/>
                <w:kern w:val="21"/>
                <w:position w:val="0"/>
                <w:sz w:val="21"/>
                <w:szCs w:val="24"/>
              </w:rPr>
            </w:pPr>
            <w:r>
              <w:rPr>
                <w:rFonts w:hint="default" w:ascii="Times New Roman" w:hAnsi="Times New Roman" w:cs="Times New Roman"/>
                <w:b/>
                <w:bCs/>
                <w:snapToGrid w:val="0"/>
                <w:spacing w:val="0"/>
                <w:w w:val="100"/>
                <w:kern w:val="21"/>
                <w:position w:val="0"/>
                <w:sz w:val="21"/>
                <w:szCs w:val="24"/>
              </w:rPr>
              <w:t>内容及要求</w:t>
            </w:r>
          </w:p>
        </w:tc>
      </w:tr>
      <w:tr w14:paraId="1B79C2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7269405E">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1</w:t>
            </w:r>
          </w:p>
        </w:tc>
        <w:tc>
          <w:tcPr>
            <w:tcW w:w="1281" w:type="dxa"/>
            <w:tcBorders>
              <w:tl2br w:val="nil"/>
              <w:tr2bl w:val="nil"/>
            </w:tcBorders>
            <w:noWrap w:val="0"/>
            <w:vAlign w:val="center"/>
          </w:tcPr>
          <w:p w14:paraId="0F0F2D9A">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总则</w:t>
            </w:r>
          </w:p>
        </w:tc>
        <w:tc>
          <w:tcPr>
            <w:tcW w:w="6304" w:type="dxa"/>
            <w:tcBorders>
              <w:tl2br w:val="nil"/>
              <w:tr2bl w:val="nil"/>
            </w:tcBorders>
            <w:noWrap w:val="0"/>
            <w:vAlign w:val="center"/>
          </w:tcPr>
          <w:p w14:paraId="78CCC23E">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简述预案编制的目的、依据、工作原则等，生产过程中涉及物料性质及可能产生的突发事故</w:t>
            </w:r>
          </w:p>
        </w:tc>
      </w:tr>
      <w:tr w14:paraId="0E70C6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5CFAB30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2</w:t>
            </w:r>
          </w:p>
        </w:tc>
        <w:tc>
          <w:tcPr>
            <w:tcW w:w="1281" w:type="dxa"/>
            <w:tcBorders>
              <w:tl2br w:val="nil"/>
              <w:tr2bl w:val="nil"/>
            </w:tcBorders>
            <w:noWrap w:val="0"/>
            <w:vAlign w:val="center"/>
          </w:tcPr>
          <w:p w14:paraId="49CD744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适用范围</w:t>
            </w:r>
          </w:p>
        </w:tc>
        <w:tc>
          <w:tcPr>
            <w:tcW w:w="6304" w:type="dxa"/>
            <w:tcBorders>
              <w:tl2br w:val="nil"/>
              <w:tr2bl w:val="nil"/>
            </w:tcBorders>
            <w:noWrap w:val="0"/>
            <w:vAlign w:val="center"/>
          </w:tcPr>
          <w:p w14:paraId="76FBF81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说明预案适用的范围以及突发环境事件的类型、级别</w:t>
            </w:r>
          </w:p>
        </w:tc>
      </w:tr>
      <w:tr w14:paraId="31ECF26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5B02640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3</w:t>
            </w:r>
          </w:p>
        </w:tc>
        <w:tc>
          <w:tcPr>
            <w:tcW w:w="1281" w:type="dxa"/>
            <w:tcBorders>
              <w:tl2br w:val="nil"/>
              <w:tr2bl w:val="nil"/>
            </w:tcBorders>
            <w:noWrap w:val="0"/>
            <w:vAlign w:val="center"/>
          </w:tcPr>
          <w:p w14:paraId="4200626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环境事件分类与分级</w:t>
            </w:r>
          </w:p>
        </w:tc>
        <w:tc>
          <w:tcPr>
            <w:tcW w:w="6304" w:type="dxa"/>
            <w:tcBorders>
              <w:tl2br w:val="nil"/>
              <w:tr2bl w:val="nil"/>
            </w:tcBorders>
            <w:noWrap w:val="0"/>
            <w:vAlign w:val="center"/>
          </w:tcPr>
          <w:p w14:paraId="6BD2C60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参照《国家突发环境事件应急预案》，根据环境污染发生过程、性质和机理，划分环境污染事件的类别；按照环境污染事件的严重性、紧急程度及危害程度，划分环境污染事件的级别</w:t>
            </w:r>
          </w:p>
        </w:tc>
      </w:tr>
      <w:tr w14:paraId="740DD7F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527465F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4</w:t>
            </w:r>
          </w:p>
        </w:tc>
        <w:tc>
          <w:tcPr>
            <w:tcW w:w="1281" w:type="dxa"/>
            <w:tcBorders>
              <w:tl2br w:val="nil"/>
              <w:tr2bl w:val="nil"/>
            </w:tcBorders>
            <w:noWrap w:val="0"/>
            <w:vAlign w:val="center"/>
          </w:tcPr>
          <w:p w14:paraId="572B47A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组织机构与职责</w:t>
            </w:r>
          </w:p>
        </w:tc>
        <w:tc>
          <w:tcPr>
            <w:tcW w:w="6304" w:type="dxa"/>
            <w:tcBorders>
              <w:tl2br w:val="nil"/>
              <w:tr2bl w:val="nil"/>
            </w:tcBorders>
            <w:noWrap w:val="0"/>
            <w:vAlign w:val="center"/>
          </w:tcPr>
          <w:p w14:paraId="27164AF6">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明确应急组织机构的构成。一般由应急领导小组、应急指挥中心、办事机构和工作机构、应急工作主要部门、应急工作支持部门、信息组、专家组、现场应急指挥部等构成，并尽可能以结构图的形式将构成单位或人员表示出来。应急救援指挥机构根据事件类型和应急工作需要，设置相应的应急救援工作小组，并明确各小组的工作职责。在明确企业应急救援指挥机构职责的基础上，应进一步明确总指挥、副总指挥及各成员的具体职责。规定应急组织体系中各部门的应急工作职责、协调管理范畴、负责解决的主要问题和具体操作步骤等</w:t>
            </w:r>
          </w:p>
        </w:tc>
      </w:tr>
      <w:tr w14:paraId="3706E5B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5A65A38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5</w:t>
            </w:r>
          </w:p>
        </w:tc>
        <w:tc>
          <w:tcPr>
            <w:tcW w:w="1281" w:type="dxa"/>
            <w:tcBorders>
              <w:tl2br w:val="nil"/>
              <w:tr2bl w:val="nil"/>
            </w:tcBorders>
            <w:noWrap w:val="0"/>
            <w:vAlign w:val="center"/>
          </w:tcPr>
          <w:p w14:paraId="2B2003C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监控和预警</w:t>
            </w:r>
          </w:p>
        </w:tc>
        <w:tc>
          <w:tcPr>
            <w:tcW w:w="6304" w:type="dxa"/>
            <w:tcBorders>
              <w:tl2br w:val="nil"/>
              <w:tr2bl w:val="nil"/>
            </w:tcBorders>
            <w:noWrap w:val="0"/>
            <w:vAlign w:val="center"/>
          </w:tcPr>
          <w:p w14:paraId="4D6FFC2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环境风险源监控：明确厂区内监控设备设施、监控内容、监控人员、物资配备等内容；明确厂区内生产、储存、运输、管理及操作、职业卫生等环境风险预防措施内容。预警：明确事件预警的条件、方式、方法以及进入预警状态后企业各部门，以及报请政府相关部门应当采取的措施等</w:t>
            </w:r>
          </w:p>
        </w:tc>
      </w:tr>
      <w:tr w14:paraId="5A01F5A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27EABD4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6</w:t>
            </w:r>
          </w:p>
        </w:tc>
        <w:tc>
          <w:tcPr>
            <w:tcW w:w="1281" w:type="dxa"/>
            <w:tcBorders>
              <w:tl2br w:val="nil"/>
              <w:tr2bl w:val="nil"/>
            </w:tcBorders>
            <w:noWrap w:val="0"/>
            <w:vAlign w:val="center"/>
          </w:tcPr>
          <w:p w14:paraId="6401649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应急状态分类及应急响应程序</w:t>
            </w:r>
          </w:p>
        </w:tc>
        <w:tc>
          <w:tcPr>
            <w:tcW w:w="6304" w:type="dxa"/>
            <w:tcBorders>
              <w:tl2br w:val="nil"/>
              <w:tr2bl w:val="nil"/>
            </w:tcBorders>
            <w:noWrap w:val="0"/>
            <w:vAlign w:val="center"/>
          </w:tcPr>
          <w:p w14:paraId="6603CAB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响应分级：按照分级响应的原则，明确应急响应级别，确定不同级别的现场负责人，指挥调度应急救援工作和开展事件应急响应；应急程序：根据不同响应级别，分别阐述应急程序；给出应急响应程序示意图；应急措施： 在环境应急专家组未抵达现场前，企业自身救援队伍和当地其他应急救援队伍应根据制定的应急措施做好厂区内现场、厂区外应急工作以及受伤人员现场救护、救治与医院救治等工作；待应急专家抵达后，根据专家指导意见进行处理；应急监测：发生突发环境事件时，企业内部环境应急监测组或当地环境应急监测部门应迅速组织监测人员赶赴事件现场，根据实际情况，迅速确定监测方案（包括废水和废气监测布点、频次、项目和方法等），及时开展应急监测工作，以便对事件及时、正确进行处理；在政府部门到达后，则配合政府部门相关机构进行监测；信息报告：突发环境事件发生后，要及时发布准确、权威的信息，正确引导社会舆论。应明确内部报告程序、信息上报、信息通报和事件报告内容等应急终止：明确应急终止的条件、程序和措施以及终止后，继续进行跟踪环境监测和评过的方案</w:t>
            </w:r>
          </w:p>
        </w:tc>
      </w:tr>
      <w:tr w14:paraId="375358B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0A1042C2">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7</w:t>
            </w:r>
          </w:p>
        </w:tc>
        <w:tc>
          <w:tcPr>
            <w:tcW w:w="1281" w:type="dxa"/>
            <w:tcBorders>
              <w:tl2br w:val="nil"/>
              <w:tr2bl w:val="nil"/>
            </w:tcBorders>
            <w:noWrap w:val="0"/>
            <w:vAlign w:val="center"/>
          </w:tcPr>
          <w:p w14:paraId="1AC09E08">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应急保障</w:t>
            </w:r>
          </w:p>
        </w:tc>
        <w:tc>
          <w:tcPr>
            <w:tcW w:w="6304" w:type="dxa"/>
            <w:tcBorders>
              <w:tl2br w:val="nil"/>
              <w:tr2bl w:val="nil"/>
            </w:tcBorders>
            <w:noWrap w:val="0"/>
            <w:vAlign w:val="center"/>
          </w:tcPr>
          <w:p w14:paraId="3F0E53BA">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制定应急保障计划，包括以下内容：通信与信息保障：明确与应急工作相关联的单位或人员通信联系方式，并提供备用方案；建立信息通信系统及维护方案，确保应急期间信息通畅；应急队伍保障：明确各类应急队伍的组成，包括专业应急队伍、兼职应急队伍及志愿者等社会团体的组织与保障方案；应急物资装备保障：明确应急救援需要使用的应急物资和装备的类型、数量、性能、存放位置、管理责任人及其联系方式等内容；经费保障：明确应急专项经费（如培训、演练经费，应急物资购置、维护费用和事件处置费用等）来源、使用范围、数量和监督管理措施，保障应急状态时单位应急经费的及时到位；应急技术：阐述应急处置技术手段、技术机构等内容；其它保障：根据本单位应急工作需求而确定的其他相关保障措施，如：交通运输保障、治安保障、技术保障、医疗保障、后勤保障等</w:t>
            </w:r>
          </w:p>
        </w:tc>
      </w:tr>
      <w:tr w14:paraId="386F11D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097CBCC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8</w:t>
            </w:r>
          </w:p>
        </w:tc>
        <w:tc>
          <w:tcPr>
            <w:tcW w:w="1281" w:type="dxa"/>
            <w:tcBorders>
              <w:tl2br w:val="nil"/>
              <w:tr2bl w:val="nil"/>
            </w:tcBorders>
            <w:noWrap w:val="0"/>
            <w:vAlign w:val="center"/>
          </w:tcPr>
          <w:p w14:paraId="1065AE2F">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应急通讯、通知和交通</w:t>
            </w:r>
          </w:p>
        </w:tc>
        <w:tc>
          <w:tcPr>
            <w:tcW w:w="6304" w:type="dxa"/>
            <w:tcBorders>
              <w:tl2br w:val="nil"/>
              <w:tr2bl w:val="nil"/>
            </w:tcBorders>
            <w:noWrap w:val="0"/>
            <w:vAlign w:val="center"/>
          </w:tcPr>
          <w:p w14:paraId="7F21F713">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规定应急状态下的通讯方式、通知方式和交通保障、管制。厂区若发生泄漏或爆炸事故，应立即通知当地消防部门、安全部门及环保部门，三方联合行动。</w:t>
            </w:r>
          </w:p>
        </w:tc>
      </w:tr>
      <w:tr w14:paraId="4B166A5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5E490FBD">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9</w:t>
            </w:r>
          </w:p>
        </w:tc>
        <w:tc>
          <w:tcPr>
            <w:tcW w:w="1281" w:type="dxa"/>
            <w:tcBorders>
              <w:tl2br w:val="nil"/>
              <w:tr2bl w:val="nil"/>
            </w:tcBorders>
            <w:noWrap w:val="0"/>
            <w:vAlign w:val="center"/>
          </w:tcPr>
          <w:p w14:paraId="19E7F07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善后处理</w:t>
            </w:r>
          </w:p>
        </w:tc>
        <w:tc>
          <w:tcPr>
            <w:tcW w:w="6304" w:type="dxa"/>
            <w:tcBorders>
              <w:tl2br w:val="nil"/>
              <w:tr2bl w:val="nil"/>
            </w:tcBorders>
            <w:noWrap w:val="0"/>
            <w:vAlign w:val="center"/>
          </w:tcPr>
          <w:p w14:paraId="733C134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应明确以下内容：受灾人员的安置及损失赔偿；组织专家对突发环境事件中长期环境影响进行评估，提出生态补偿和对遭受污染的生态环境进行恢复的建议；企业应根据专家建议，对生态环境进行恢复；应急过程评价； 事件原因、损失调查与责任认定；提出事件应急救援工作总结报告；环境应急预案的修订；维护、保养、增补应急物资及仪器设备</w:t>
            </w:r>
          </w:p>
        </w:tc>
      </w:tr>
      <w:tr w14:paraId="0398F54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01F6A860">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10</w:t>
            </w:r>
          </w:p>
        </w:tc>
        <w:tc>
          <w:tcPr>
            <w:tcW w:w="1281" w:type="dxa"/>
            <w:tcBorders>
              <w:tl2br w:val="nil"/>
              <w:tr2bl w:val="nil"/>
            </w:tcBorders>
            <w:noWrap w:val="0"/>
            <w:vAlign w:val="center"/>
          </w:tcPr>
          <w:p w14:paraId="66549B07">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预案管理与演练</w:t>
            </w:r>
          </w:p>
        </w:tc>
        <w:tc>
          <w:tcPr>
            <w:tcW w:w="6304" w:type="dxa"/>
            <w:tcBorders>
              <w:tl2br w:val="nil"/>
              <w:tr2bl w:val="nil"/>
            </w:tcBorders>
            <w:noWrap w:val="0"/>
            <w:vAlign w:val="center"/>
          </w:tcPr>
          <w:p w14:paraId="1D69F10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依据对本企业员工、周边企业和村落人员情况的分析结果，制定培训计划，明确各类人员培训内容方法、时间地点和频次等。必要时可以聘请外部人员（如消防专家）进行培训；明确企业单位根据环境应急预案进行演练的内容、范围和频次等内容；明确预案的修订条件、评估方式方法、备案部门与时限等要求</w:t>
            </w:r>
          </w:p>
        </w:tc>
      </w:tr>
      <w:tr w14:paraId="45B1A2F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219DA0D9">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11</w:t>
            </w:r>
          </w:p>
        </w:tc>
        <w:tc>
          <w:tcPr>
            <w:tcW w:w="1281" w:type="dxa"/>
            <w:tcBorders>
              <w:tl2br w:val="nil"/>
              <w:tr2bl w:val="nil"/>
            </w:tcBorders>
            <w:noWrap w:val="0"/>
            <w:vAlign w:val="center"/>
          </w:tcPr>
          <w:p w14:paraId="22F7894B">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附则</w:t>
            </w:r>
          </w:p>
        </w:tc>
        <w:tc>
          <w:tcPr>
            <w:tcW w:w="6304" w:type="dxa"/>
            <w:tcBorders>
              <w:tl2br w:val="nil"/>
              <w:tr2bl w:val="nil"/>
            </w:tcBorders>
            <w:noWrap w:val="0"/>
            <w:vAlign w:val="center"/>
          </w:tcPr>
          <w:p w14:paraId="37129F7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包括名词与术语定义、列出预案实施和生效的具体时间；预案更新的发布和通知，抄送的部门、园区和企业等</w:t>
            </w:r>
          </w:p>
        </w:tc>
      </w:tr>
      <w:tr w14:paraId="2754CC1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81" w:type="dxa"/>
            <w:tcBorders>
              <w:tl2br w:val="nil"/>
              <w:tr2bl w:val="nil"/>
            </w:tcBorders>
            <w:noWrap w:val="0"/>
            <w:vAlign w:val="center"/>
          </w:tcPr>
          <w:p w14:paraId="61D0A9D1">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snapToGrid w:val="0"/>
                <w:spacing w:val="0"/>
                <w:w w:val="100"/>
                <w:kern w:val="21"/>
                <w:position w:val="0"/>
                <w:sz w:val="21"/>
                <w:szCs w:val="24"/>
              </w:rPr>
            </w:pPr>
            <w:r>
              <w:rPr>
                <w:rFonts w:hint="default" w:ascii="Times New Roman" w:hAnsi="Times New Roman" w:eastAsia="Times New Roman" w:cs="Times New Roman"/>
                <w:snapToGrid w:val="0"/>
                <w:spacing w:val="0"/>
                <w:w w:val="100"/>
                <w:kern w:val="21"/>
                <w:position w:val="0"/>
                <w:sz w:val="21"/>
                <w:szCs w:val="24"/>
              </w:rPr>
              <w:t>12</w:t>
            </w:r>
          </w:p>
        </w:tc>
        <w:tc>
          <w:tcPr>
            <w:tcW w:w="1281" w:type="dxa"/>
            <w:tcBorders>
              <w:tl2br w:val="nil"/>
              <w:tr2bl w:val="nil"/>
            </w:tcBorders>
            <w:noWrap w:val="0"/>
            <w:vAlign w:val="center"/>
          </w:tcPr>
          <w:p w14:paraId="5DF5665E">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附图附件</w:t>
            </w:r>
          </w:p>
        </w:tc>
        <w:tc>
          <w:tcPr>
            <w:tcW w:w="6304" w:type="dxa"/>
            <w:tcBorders>
              <w:tl2br w:val="nil"/>
              <w:tr2bl w:val="nil"/>
            </w:tcBorders>
            <w:noWrap w:val="0"/>
            <w:vAlign w:val="center"/>
          </w:tcPr>
          <w:p w14:paraId="047483A4">
            <w:pPr>
              <w:pStyle w:val="126"/>
              <w:keepNext w:val="0"/>
              <w:keepLines w:val="0"/>
              <w:pageBreakBefore w:val="0"/>
              <w:widowControl/>
              <w:kinsoku/>
              <w:wordWrap/>
              <w:overflowPunct/>
              <w:topLinePunct/>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snapToGrid w:val="0"/>
                <w:spacing w:val="0"/>
                <w:w w:val="100"/>
                <w:kern w:val="21"/>
                <w:position w:val="0"/>
                <w:sz w:val="21"/>
                <w:szCs w:val="24"/>
              </w:rPr>
            </w:pPr>
            <w:r>
              <w:rPr>
                <w:rFonts w:hint="default" w:ascii="Times New Roman" w:hAnsi="Times New Roman" w:cs="Times New Roman"/>
                <w:snapToGrid w:val="0"/>
                <w:spacing w:val="0"/>
                <w:w w:val="100"/>
                <w:kern w:val="21"/>
                <w:position w:val="0"/>
                <w:sz w:val="21"/>
                <w:szCs w:val="24"/>
              </w:rPr>
              <w:t>与应急事故有关的多种附件材料的准备和形成</w:t>
            </w:r>
          </w:p>
        </w:tc>
      </w:tr>
    </w:tbl>
    <w:p w14:paraId="474CADC6">
      <w:pPr>
        <w:pStyle w:val="54"/>
        <w:keepNext w:val="0"/>
        <w:keepLines w:val="0"/>
        <w:pageBreakBefore w:val="0"/>
        <w:numPr>
          <w:ilvl w:val="0"/>
          <w:numId w:val="9"/>
        </w:numPr>
        <w:kinsoku/>
        <w:wordWrap/>
        <w:overflowPunct/>
        <w:autoSpaceDE/>
        <w:autoSpaceDN/>
        <w:bidi w:val="0"/>
        <w:spacing w:line="520" w:lineRule="exact"/>
        <w:textAlignment w:val="auto"/>
        <w:rPr>
          <w:rFonts w:hint="eastAsia"/>
          <w:b/>
          <w:bCs w:val="0"/>
          <w:lang w:val="en-US" w:eastAsia="zh-CN"/>
        </w:rPr>
      </w:pPr>
      <w:r>
        <w:rPr>
          <w:rFonts w:hint="eastAsia"/>
          <w:b/>
          <w:bCs w:val="0"/>
          <w:lang w:val="en-US" w:eastAsia="zh-CN"/>
        </w:rPr>
        <w:t>区域联动三级防范应急预案</w:t>
      </w:r>
    </w:p>
    <w:p w14:paraId="16C7C0D8">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napToGrid w:val="0"/>
          <w:spacing w:val="0"/>
          <w:w w:val="100"/>
          <w:kern w:val="21"/>
          <w:position w:val="0"/>
          <w:sz w:val="24"/>
          <w:szCs w:val="24"/>
        </w:rPr>
      </w:pPr>
      <w:r>
        <w:rPr>
          <w:rFonts w:hint="default" w:ascii="Times New Roman" w:hAnsi="Times New Roman" w:cs="Times New Roman"/>
          <w:snapToGrid w:val="0"/>
          <w:spacing w:val="0"/>
          <w:w w:val="100"/>
          <w:kern w:val="21"/>
          <w:position w:val="0"/>
          <w:sz w:val="24"/>
          <w:szCs w:val="24"/>
        </w:rPr>
        <w:t>本项目一旦发生风险事故，可能会对</w:t>
      </w:r>
      <w:r>
        <w:rPr>
          <w:rFonts w:hint="eastAsia" w:cs="Times New Roman"/>
          <w:snapToGrid w:val="0"/>
          <w:spacing w:val="0"/>
          <w:w w:val="100"/>
          <w:kern w:val="21"/>
          <w:position w:val="0"/>
          <w:sz w:val="24"/>
          <w:szCs w:val="24"/>
          <w:lang w:val="en-US" w:eastAsia="zh-CN"/>
        </w:rPr>
        <w:t>园区</w:t>
      </w:r>
      <w:r>
        <w:rPr>
          <w:rFonts w:hint="default" w:ascii="Times New Roman" w:hAnsi="Times New Roman" w:cs="Times New Roman"/>
          <w:snapToGrid w:val="0"/>
          <w:spacing w:val="0"/>
          <w:w w:val="100"/>
          <w:kern w:val="21"/>
          <w:position w:val="0"/>
          <w:sz w:val="24"/>
          <w:szCs w:val="24"/>
        </w:rPr>
        <w:t>和周围环境造成影响，因此建议企业积极配合当地政府建设和完善</w:t>
      </w:r>
      <w:r>
        <w:rPr>
          <w:rFonts w:hint="eastAsia" w:cs="Times New Roman"/>
          <w:snapToGrid w:val="0"/>
          <w:spacing w:val="0"/>
          <w:w w:val="100"/>
          <w:kern w:val="21"/>
          <w:position w:val="0"/>
          <w:sz w:val="24"/>
          <w:szCs w:val="24"/>
          <w:lang w:val="en-US" w:eastAsia="zh-CN"/>
        </w:rPr>
        <w:t>园区</w:t>
      </w:r>
      <w:r>
        <w:rPr>
          <w:rFonts w:hint="default" w:ascii="Times New Roman" w:hAnsi="Times New Roman" w:cs="Times New Roman"/>
          <w:snapToGrid w:val="0"/>
          <w:spacing w:val="0"/>
          <w:w w:val="100"/>
          <w:kern w:val="21"/>
          <w:position w:val="0"/>
          <w:sz w:val="24"/>
          <w:szCs w:val="24"/>
        </w:rPr>
        <w:t>环境风险预警体系、环境风险防控工程、环境应急保障体系。企业突发环境事件应急预案与当地政府和相关部门及周边企业的应急预案相衔接，加强区域应急物资调配管理，构建区域环境风险联控机制。具体为：</w:t>
      </w:r>
    </w:p>
    <w:p w14:paraId="298E7A71">
      <w:pPr>
        <w:pStyle w:val="54"/>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 w:val="0"/>
          <w:snapToGrid w:val="0"/>
          <w:spacing w:val="0"/>
          <w:w w:val="100"/>
          <w:kern w:val="21"/>
          <w:position w:val="0"/>
          <w:sz w:val="24"/>
          <w:szCs w:val="24"/>
          <w:lang w:val="en-US" w:eastAsia="zh-CN" w:bidi="ar-SA"/>
        </w:rPr>
      </w:pPr>
      <w:r>
        <w:rPr>
          <w:rFonts w:hint="eastAsia" w:ascii="Times New Roman" w:hAnsi="Times New Roman" w:eastAsia="宋体" w:cs="Times New Roman"/>
          <w:b w:val="0"/>
          <w:snapToGrid w:val="0"/>
          <w:spacing w:val="0"/>
          <w:w w:val="100"/>
          <w:kern w:val="21"/>
          <w:position w:val="0"/>
          <w:sz w:val="24"/>
          <w:szCs w:val="24"/>
          <w:lang w:val="en-US" w:eastAsia="zh-CN" w:bidi="ar-SA"/>
        </w:rPr>
        <w:t>（1）建议企业牵头，由</w:t>
      </w:r>
      <w:r>
        <w:rPr>
          <w:rFonts w:hint="eastAsia" w:eastAsia="宋体" w:cs="Times New Roman"/>
          <w:b w:val="0"/>
          <w:snapToGrid w:val="0"/>
          <w:spacing w:val="0"/>
          <w:w w:val="100"/>
          <w:kern w:val="21"/>
          <w:position w:val="0"/>
          <w:sz w:val="24"/>
          <w:szCs w:val="24"/>
          <w:lang w:val="en-US" w:eastAsia="zh-CN" w:bidi="ar-SA"/>
        </w:rPr>
        <w:t>园区</w:t>
      </w:r>
      <w:r>
        <w:rPr>
          <w:rFonts w:hint="eastAsia" w:ascii="Times New Roman" w:hAnsi="Times New Roman" w:eastAsia="宋体" w:cs="Times New Roman"/>
          <w:b w:val="0"/>
          <w:snapToGrid w:val="0"/>
          <w:spacing w:val="0"/>
          <w:w w:val="100"/>
          <w:kern w:val="21"/>
          <w:position w:val="0"/>
          <w:sz w:val="24"/>
          <w:szCs w:val="24"/>
          <w:lang w:val="en-US" w:eastAsia="zh-CN" w:bidi="ar-SA"/>
        </w:rPr>
        <w:t>、当地政府相关单位，如公安局、消防大队、环保局等有关人员共同参与成立危险化学品运输事故应急小组，由该小组落实危险品运输车辆运输管理及事故处理的保证措施。</w:t>
      </w:r>
    </w:p>
    <w:p w14:paraId="0DB684A4">
      <w:pPr>
        <w:pStyle w:val="54"/>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 w:val="0"/>
          <w:snapToGrid w:val="0"/>
          <w:spacing w:val="0"/>
          <w:w w:val="100"/>
          <w:kern w:val="21"/>
          <w:position w:val="0"/>
          <w:sz w:val="24"/>
          <w:szCs w:val="24"/>
          <w:lang w:val="en-US" w:eastAsia="zh-CN" w:bidi="ar-SA"/>
        </w:rPr>
      </w:pPr>
      <w:r>
        <w:rPr>
          <w:rFonts w:hint="eastAsia" w:ascii="Times New Roman" w:hAnsi="Times New Roman" w:eastAsia="宋体" w:cs="Times New Roman"/>
          <w:b w:val="0"/>
          <w:snapToGrid w:val="0"/>
          <w:spacing w:val="0"/>
          <w:w w:val="100"/>
          <w:kern w:val="21"/>
          <w:position w:val="0"/>
          <w:sz w:val="24"/>
          <w:szCs w:val="24"/>
          <w:lang w:val="en-US" w:eastAsia="zh-CN" w:bidi="ar-SA"/>
        </w:rPr>
        <w:t>（2）企业应制定和建立安全组织、安全检查、安全教育培训、安全检修、事故调查处理、安全隐患治理等管理制度和台帐，并配备专兼职安全管理人员。</w:t>
      </w:r>
    </w:p>
    <w:p w14:paraId="242756D2">
      <w:pPr>
        <w:pStyle w:val="54"/>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 w:val="0"/>
          <w:snapToGrid w:val="0"/>
          <w:spacing w:val="0"/>
          <w:w w:val="100"/>
          <w:kern w:val="21"/>
          <w:position w:val="0"/>
          <w:sz w:val="24"/>
          <w:szCs w:val="24"/>
          <w:lang w:val="en-US" w:eastAsia="zh-CN" w:bidi="ar-SA"/>
        </w:rPr>
      </w:pPr>
      <w:r>
        <w:rPr>
          <w:rFonts w:hint="eastAsia" w:ascii="Times New Roman" w:hAnsi="Times New Roman" w:eastAsia="宋体" w:cs="Times New Roman"/>
          <w:b w:val="0"/>
          <w:snapToGrid w:val="0"/>
          <w:spacing w:val="0"/>
          <w:w w:val="100"/>
          <w:kern w:val="21"/>
          <w:position w:val="0"/>
          <w:sz w:val="24"/>
          <w:szCs w:val="24"/>
          <w:lang w:val="en-US" w:eastAsia="zh-CN" w:bidi="ar-SA"/>
        </w:rPr>
        <w:t>（3）企业应配合</w:t>
      </w:r>
      <w:r>
        <w:rPr>
          <w:rFonts w:hint="eastAsia" w:eastAsia="宋体" w:cs="Times New Roman"/>
          <w:b w:val="0"/>
          <w:snapToGrid w:val="0"/>
          <w:spacing w:val="0"/>
          <w:w w:val="100"/>
          <w:kern w:val="21"/>
          <w:position w:val="0"/>
          <w:sz w:val="24"/>
          <w:szCs w:val="24"/>
          <w:lang w:val="en-US" w:eastAsia="zh-CN" w:bidi="ar-SA"/>
        </w:rPr>
        <w:t>园区</w:t>
      </w:r>
      <w:r>
        <w:rPr>
          <w:rFonts w:hint="eastAsia" w:ascii="Times New Roman" w:hAnsi="Times New Roman" w:eastAsia="宋体" w:cs="Times New Roman"/>
          <w:b w:val="0"/>
          <w:snapToGrid w:val="0"/>
          <w:spacing w:val="0"/>
          <w:w w:val="100"/>
          <w:kern w:val="21"/>
          <w:position w:val="0"/>
          <w:sz w:val="24"/>
          <w:szCs w:val="24"/>
          <w:lang w:val="en-US" w:eastAsia="zh-CN" w:bidi="ar-SA"/>
        </w:rPr>
        <w:t>和当地地方对其进行全面分析，对潜在的危险事故类型及发生火灾、爆炸危险指数，毒性气体扩散潜在的危险性等进行系统分析和评估。并加强环境风险的日常防范，对有毒物品的分布、流向、数量加以监控和必要的限制，对入厂和出厂的危险品向</w:t>
      </w:r>
      <w:r>
        <w:rPr>
          <w:rFonts w:hint="eastAsia" w:eastAsia="宋体" w:cs="Times New Roman"/>
          <w:b w:val="0"/>
          <w:snapToGrid w:val="0"/>
          <w:spacing w:val="0"/>
          <w:w w:val="100"/>
          <w:kern w:val="21"/>
          <w:position w:val="0"/>
          <w:sz w:val="24"/>
          <w:szCs w:val="24"/>
          <w:lang w:val="en-US" w:eastAsia="zh-CN" w:bidi="ar-SA"/>
        </w:rPr>
        <w:t>获嘉县先进制造业开发区管委会</w:t>
      </w:r>
      <w:r>
        <w:rPr>
          <w:rFonts w:hint="eastAsia" w:ascii="Times New Roman" w:hAnsi="Times New Roman" w:eastAsia="宋体" w:cs="Times New Roman"/>
          <w:b w:val="0"/>
          <w:snapToGrid w:val="0"/>
          <w:spacing w:val="0"/>
          <w:w w:val="100"/>
          <w:kern w:val="21"/>
          <w:position w:val="0"/>
          <w:sz w:val="24"/>
          <w:szCs w:val="24"/>
          <w:lang w:val="en-US" w:eastAsia="zh-CN" w:bidi="ar-SA"/>
        </w:rPr>
        <w:t>和当地政府及时上报备案，以便管委会和当地政府对区域内危险品的种类、数量做到心中有数。</w:t>
      </w:r>
    </w:p>
    <w:p w14:paraId="1AD0AC92">
      <w:pPr>
        <w:pStyle w:val="54"/>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 w:val="0"/>
          <w:snapToGrid w:val="0"/>
          <w:spacing w:val="0"/>
          <w:w w:val="100"/>
          <w:kern w:val="21"/>
          <w:position w:val="0"/>
          <w:sz w:val="24"/>
          <w:szCs w:val="24"/>
          <w:lang w:val="en-US" w:eastAsia="zh-CN" w:bidi="ar-SA"/>
        </w:rPr>
      </w:pPr>
      <w:r>
        <w:rPr>
          <w:rFonts w:hint="eastAsia" w:ascii="Times New Roman" w:hAnsi="Times New Roman" w:eastAsia="宋体" w:cs="Times New Roman"/>
          <w:b w:val="0"/>
          <w:snapToGrid w:val="0"/>
          <w:spacing w:val="0"/>
          <w:w w:val="100"/>
          <w:kern w:val="21"/>
          <w:position w:val="0"/>
          <w:sz w:val="24"/>
          <w:szCs w:val="24"/>
          <w:lang w:val="en-US" w:eastAsia="zh-CN" w:bidi="ar-SA"/>
        </w:rPr>
        <w:t>（4）企业应配合</w:t>
      </w:r>
      <w:r>
        <w:rPr>
          <w:rFonts w:hint="eastAsia" w:eastAsia="宋体" w:cs="Times New Roman"/>
          <w:b w:val="0"/>
          <w:snapToGrid w:val="0"/>
          <w:spacing w:val="0"/>
          <w:w w:val="100"/>
          <w:kern w:val="21"/>
          <w:position w:val="0"/>
          <w:sz w:val="24"/>
          <w:szCs w:val="24"/>
          <w:lang w:val="en-US" w:eastAsia="zh-CN" w:bidi="ar-SA"/>
        </w:rPr>
        <w:t>获嘉县先进制造业</w:t>
      </w:r>
      <w:r>
        <w:rPr>
          <w:rFonts w:hint="eastAsia" w:ascii="Times New Roman" w:hAnsi="Times New Roman" w:eastAsia="宋体" w:cs="Times New Roman"/>
          <w:b w:val="0"/>
          <w:snapToGrid w:val="0"/>
          <w:spacing w:val="0"/>
          <w:w w:val="100"/>
          <w:kern w:val="21"/>
          <w:position w:val="0"/>
          <w:sz w:val="24"/>
          <w:szCs w:val="24"/>
          <w:lang w:val="en-US" w:eastAsia="zh-CN" w:bidi="ar-SA"/>
        </w:rPr>
        <w:t>开发区及当地政府对重点风险源进行定期排查，在平时生产过程中要经常对自动监控装置、消防灭火设施、事故废水储池等设备进行定期检查和维修。</w:t>
      </w:r>
    </w:p>
    <w:p w14:paraId="6609AF39">
      <w:pPr>
        <w:pStyle w:val="54"/>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b w:val="0"/>
          <w:snapToGrid w:val="0"/>
          <w:spacing w:val="0"/>
          <w:w w:val="100"/>
          <w:kern w:val="21"/>
          <w:position w:val="0"/>
          <w:sz w:val="24"/>
          <w:szCs w:val="24"/>
          <w:lang w:val="en-US" w:eastAsia="zh-CN" w:bidi="ar-SA"/>
        </w:rPr>
      </w:pPr>
      <w:r>
        <w:rPr>
          <w:rFonts w:hint="eastAsia" w:ascii="Times New Roman" w:hAnsi="Times New Roman" w:eastAsia="宋体" w:cs="Times New Roman"/>
          <w:b w:val="0"/>
          <w:snapToGrid w:val="0"/>
          <w:spacing w:val="0"/>
          <w:w w:val="100"/>
          <w:kern w:val="21"/>
          <w:position w:val="0"/>
          <w:sz w:val="24"/>
          <w:szCs w:val="24"/>
          <w:lang w:val="en-US" w:eastAsia="zh-CN" w:bidi="ar-SA"/>
        </w:rPr>
        <w:t>（5）项目厂区一旦发生泄漏事故等，应立即通知应急指挥部，由其依据应急预案联络</w:t>
      </w:r>
      <w:r>
        <w:rPr>
          <w:rFonts w:hint="eastAsia" w:eastAsia="宋体" w:cs="Times New Roman"/>
          <w:b w:val="0"/>
          <w:snapToGrid w:val="0"/>
          <w:spacing w:val="0"/>
          <w:w w:val="100"/>
          <w:kern w:val="21"/>
          <w:position w:val="0"/>
          <w:sz w:val="24"/>
          <w:szCs w:val="24"/>
          <w:lang w:val="en-US" w:eastAsia="zh-CN" w:bidi="ar-SA"/>
        </w:rPr>
        <w:t>获嘉县先进制造业</w:t>
      </w:r>
      <w:r>
        <w:rPr>
          <w:rFonts w:hint="eastAsia" w:ascii="Times New Roman" w:hAnsi="Times New Roman" w:eastAsia="宋体" w:cs="Times New Roman"/>
          <w:b w:val="0"/>
          <w:snapToGrid w:val="0"/>
          <w:spacing w:val="0"/>
          <w:w w:val="100"/>
          <w:kern w:val="21"/>
          <w:position w:val="0"/>
          <w:sz w:val="24"/>
          <w:szCs w:val="24"/>
          <w:lang w:val="en-US" w:eastAsia="zh-CN" w:bidi="ar-SA"/>
        </w:rPr>
        <w:t>开发区及当地政府环保部门、消防部门及其他有应急事故处理能力的部门，及时采取应急行动，确保在最短的时间将事故控制，依据物料性质及风向及时对可能受到影响的附近居民进行疏散，以减少对环境和人员的危害。</w:t>
      </w:r>
    </w:p>
    <w:p w14:paraId="0B09E874">
      <w:pPr>
        <w:pStyle w:val="16"/>
        <w:kinsoku w:val="0"/>
        <w:overflowPunct w:val="0"/>
        <w:spacing w:before="11"/>
        <w:ind w:left="0" w:leftChars="0" w:firstLine="0" w:firstLineChars="0"/>
        <w:rPr>
          <w:rFonts w:hint="default" w:ascii="Times New Roman" w:hAnsi="Times New Roman" w:cs="Times New Roman"/>
          <w:snapToGrid w:val="0"/>
          <w:spacing w:val="0"/>
          <w:w w:val="100"/>
          <w:kern w:val="21"/>
          <w:position w:val="0"/>
          <w:sz w:val="18"/>
          <w:szCs w:val="24"/>
        </w:rPr>
      </w:pPr>
      <w:r>
        <w:rPr>
          <w:sz w:val="20"/>
        </w:rPr>
        <mc:AlternateContent>
          <mc:Choice Requires="wpg">
            <w:drawing>
              <wp:anchor distT="0" distB="0" distL="114300" distR="114300" simplePos="0" relativeHeight="251685888" behindDoc="0" locked="0" layoutInCell="1" allowOverlap="1">
                <wp:simplePos x="0" y="0"/>
                <wp:positionH relativeFrom="column">
                  <wp:posOffset>548005</wp:posOffset>
                </wp:positionH>
                <wp:positionV relativeFrom="paragraph">
                  <wp:posOffset>52070</wp:posOffset>
                </wp:positionV>
                <wp:extent cx="4344035" cy="2435860"/>
                <wp:effectExtent l="5080" t="4445" r="13335" b="17145"/>
                <wp:wrapNone/>
                <wp:docPr id="147" name="组合 147"/>
                <wp:cNvGraphicFramePr/>
                <a:graphic xmlns:a="http://schemas.openxmlformats.org/drawingml/2006/main">
                  <a:graphicData uri="http://schemas.microsoft.com/office/word/2010/wordprocessingGroup">
                    <wpg:wgp>
                      <wpg:cNvGrpSpPr/>
                      <wpg:grpSpPr>
                        <a:xfrm>
                          <a:off x="0" y="0"/>
                          <a:ext cx="4343961" cy="2436109"/>
                          <a:chOff x="3031" y="6638128"/>
                          <a:chExt cx="7740" cy="4516"/>
                        </a:xfrm>
                      </wpg:grpSpPr>
                      <wps:wsp>
                        <wps:cNvPr id="7" name="矩形 7"/>
                        <wps:cNvSpPr/>
                        <wps:spPr>
                          <a:xfrm>
                            <a:off x="3770" y="6640317"/>
                            <a:ext cx="3011" cy="928"/>
                          </a:xfrm>
                          <a:prstGeom prst="rect">
                            <a:avLst/>
                          </a:prstGeom>
                          <a:noFill/>
                          <a:ln w="9525" cap="flat" cmpd="sng">
                            <a:solidFill>
                              <a:srgbClr val="000000"/>
                            </a:solidFill>
                            <a:prstDash val="solid"/>
                            <a:miter/>
                            <a:headEnd type="none" w="med" len="med"/>
                            <a:tailEnd type="none" w="med" len="med"/>
                          </a:ln>
                        </wps:spPr>
                        <wps:txbx>
                          <w:txbxContent>
                            <w:p w14:paraId="7E888712">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lang w:val="en-US" w:eastAsia="zh-CN"/>
                                </w:rPr>
                                <w:t>企业突发环境事件应急预案</w:t>
                              </w:r>
                            </w:p>
                          </w:txbxContent>
                        </wps:txbx>
                        <wps:bodyPr upright="1"/>
                      </wps:wsp>
                      <wps:wsp>
                        <wps:cNvPr id="17" name="矩形 17"/>
                        <wps:cNvSpPr/>
                        <wps:spPr>
                          <a:xfrm>
                            <a:off x="4096" y="6638128"/>
                            <a:ext cx="3404" cy="1154"/>
                          </a:xfrm>
                          <a:prstGeom prst="rect">
                            <a:avLst/>
                          </a:prstGeom>
                          <a:noFill/>
                          <a:ln w="9525" cap="flat" cmpd="sng">
                            <a:solidFill>
                              <a:srgbClr val="000000"/>
                            </a:solidFill>
                            <a:prstDash val="solid"/>
                            <a:miter/>
                            <a:headEnd type="none" w="med" len="med"/>
                            <a:tailEnd type="none" w="med" len="med"/>
                          </a:ln>
                        </wps:spPr>
                        <wps:txbx>
                          <w:txbxContent>
                            <w:p w14:paraId="5411EFBC">
                              <w:pPr>
                                <w:keepNext w:val="0"/>
                                <w:keepLines w:val="0"/>
                                <w:pageBreakBefore w:val="0"/>
                                <w:widowControl/>
                                <w:kinsoku/>
                                <w:wordWrap/>
                                <w:overflowPunct/>
                                <w:topLinePunct/>
                                <w:autoSpaceDE/>
                                <w:autoSpaceDN/>
                                <w:bidi w:val="0"/>
                                <w:adjustRightInd w:val="0"/>
                                <w:snapToGrid w:val="0"/>
                                <w:spacing w:line="360" w:lineRule="auto"/>
                                <w:ind w:firstLine="0" w:firstLineChars="0"/>
                                <w:jc w:val="center"/>
                                <w:textAlignment w:val="auto"/>
                                <w:rPr>
                                  <w:rFonts w:hint="default" w:eastAsia="宋体"/>
                                  <w:sz w:val="24"/>
                                  <w:szCs w:val="24"/>
                                  <w:lang w:val="en-US" w:eastAsia="zh-CN"/>
                                </w:rPr>
                              </w:pPr>
                              <w:r>
                                <w:rPr>
                                  <w:rFonts w:hint="eastAsia"/>
                                  <w:sz w:val="24"/>
                                  <w:szCs w:val="24"/>
                                  <w:lang w:val="en-US" w:eastAsia="zh-CN"/>
                                </w:rPr>
                                <w:t>获嘉县先进制造业开发区突发环境事件应急预案</w:t>
                              </w:r>
                            </w:p>
                          </w:txbxContent>
                        </wps:txbx>
                        <wps:bodyPr upright="1"/>
                      </wps:wsp>
                      <wps:wsp>
                        <wps:cNvPr id="26" name="矩形 26"/>
                        <wps:cNvSpPr/>
                        <wps:spPr>
                          <a:xfrm>
                            <a:off x="8086" y="6640318"/>
                            <a:ext cx="2685" cy="795"/>
                          </a:xfrm>
                          <a:prstGeom prst="rect">
                            <a:avLst/>
                          </a:prstGeom>
                          <a:noFill/>
                          <a:ln w="9525" cap="flat" cmpd="sng">
                            <a:solidFill>
                              <a:srgbClr val="000000"/>
                            </a:solidFill>
                            <a:prstDash val="solid"/>
                            <a:miter/>
                            <a:headEnd type="none" w="med" len="med"/>
                            <a:tailEnd type="none" w="med" len="med"/>
                          </a:ln>
                        </wps:spPr>
                        <wps:txbx>
                          <w:txbxContent>
                            <w:p w14:paraId="7AF58976">
                              <w:pPr>
                                <w:keepNext w:val="0"/>
                                <w:keepLines w:val="0"/>
                                <w:pageBreakBefore w:val="0"/>
                                <w:widowControl/>
                                <w:kinsoku/>
                                <w:wordWrap/>
                                <w:overflowPunct/>
                                <w:topLinePunct/>
                                <w:autoSpaceDE/>
                                <w:autoSpaceDN/>
                                <w:bidi w:val="0"/>
                                <w:adjustRightInd w:val="0"/>
                                <w:snapToGrid w:val="0"/>
                                <w:spacing w:before="0" w:beforeLines="50" w:line="240" w:lineRule="auto"/>
                                <w:ind w:firstLine="0" w:firstLineChars="0"/>
                                <w:jc w:val="center"/>
                                <w:textAlignment w:val="auto"/>
                                <w:rPr>
                                  <w:rFonts w:hint="default" w:eastAsia="宋体"/>
                                  <w:lang w:val="en-US" w:eastAsia="zh-CN"/>
                                </w:rPr>
                              </w:pPr>
                              <w:r>
                                <w:rPr>
                                  <w:rFonts w:hint="eastAsia" w:eastAsia="宋体"/>
                                  <w:lang w:val="en-US" w:eastAsia="zh-CN"/>
                                </w:rPr>
                                <w:t>周边企业应急预案</w:t>
                              </w:r>
                            </w:p>
                          </w:txbxContent>
                        </wps:txbx>
                        <wps:bodyPr upright="1"/>
                      </wps:wsp>
                      <wps:wsp>
                        <wps:cNvPr id="33" name="矩形 33"/>
                        <wps:cNvSpPr/>
                        <wps:spPr>
                          <a:xfrm>
                            <a:off x="4096" y="6642073"/>
                            <a:ext cx="2685" cy="571"/>
                          </a:xfrm>
                          <a:prstGeom prst="rect">
                            <a:avLst/>
                          </a:prstGeom>
                          <a:noFill/>
                          <a:ln w="9525" cap="flat" cmpd="sng">
                            <a:solidFill>
                              <a:srgbClr val="000000"/>
                            </a:solidFill>
                            <a:prstDash val="solid"/>
                            <a:miter/>
                            <a:headEnd type="none" w="med" len="med"/>
                            <a:tailEnd type="none" w="med" len="med"/>
                          </a:ln>
                        </wps:spPr>
                        <wps:txbx>
                          <w:txbxContent>
                            <w:p w14:paraId="53B047E3">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lang w:val="en-US" w:eastAsia="zh-CN"/>
                                </w:rPr>
                                <w:t>及时上报</w:t>
                              </w:r>
                            </w:p>
                          </w:txbxContent>
                        </wps:txbx>
                        <wps:bodyPr upright="1"/>
                      </wps:wsp>
                      <wps:wsp>
                        <wps:cNvPr id="109" name="任意多边形 109"/>
                        <wps:cNvSpPr/>
                        <wps:spPr>
                          <a:xfrm>
                            <a:off x="3031" y="6638715"/>
                            <a:ext cx="1065" cy="3585"/>
                          </a:xfrm>
                          <a:custGeom>
                            <a:avLst/>
                            <a:gdLst/>
                            <a:ahLst/>
                            <a:cxnLst/>
                            <a:pathLst>
                              <a:path w="1065" h="3585">
                                <a:moveTo>
                                  <a:pt x="1065" y="3585"/>
                                </a:moveTo>
                                <a:lnTo>
                                  <a:pt x="0" y="3585"/>
                                </a:lnTo>
                                <a:lnTo>
                                  <a:pt x="0" y="15"/>
                                </a:lnTo>
                                <a:lnTo>
                                  <a:pt x="1050" y="0"/>
                                </a:lnTo>
                              </a:path>
                            </a:pathLst>
                          </a:custGeom>
                          <a:noFill/>
                          <a:ln w="9525" cap="flat" cmpd="sng">
                            <a:solidFill>
                              <a:srgbClr val="000000"/>
                            </a:solidFill>
                            <a:prstDash val="solid"/>
                            <a:headEnd type="none" w="med" len="med"/>
                            <a:tailEnd type="triangle" w="med" len="med"/>
                          </a:ln>
                        </wps:spPr>
                        <wps:bodyPr upright="1"/>
                      </wps:wsp>
                      <wps:wsp>
                        <wps:cNvPr id="126" name="直接连接符 126"/>
                        <wps:cNvCnPr/>
                        <wps:spPr>
                          <a:xfrm>
                            <a:off x="5431" y="6639315"/>
                            <a:ext cx="1" cy="1005"/>
                          </a:xfrm>
                          <a:prstGeom prst="line">
                            <a:avLst/>
                          </a:prstGeom>
                          <a:ln w="9525" cap="flat" cmpd="sng">
                            <a:solidFill>
                              <a:srgbClr val="000000"/>
                            </a:solidFill>
                            <a:prstDash val="solid"/>
                            <a:headEnd type="none" w="med" len="med"/>
                            <a:tailEnd type="triangle" w="med" len="med"/>
                          </a:ln>
                        </wps:spPr>
                        <wps:bodyPr upright="1"/>
                      </wps:wsp>
                      <wps:wsp>
                        <wps:cNvPr id="143" name="直接连接符 143"/>
                        <wps:cNvCnPr/>
                        <wps:spPr>
                          <a:xfrm rot="-5400000">
                            <a:off x="7438" y="6640348"/>
                            <a:ext cx="1" cy="1244"/>
                          </a:xfrm>
                          <a:prstGeom prst="line">
                            <a:avLst/>
                          </a:prstGeom>
                          <a:ln w="9525" cap="flat" cmpd="sng">
                            <a:solidFill>
                              <a:srgbClr val="000000"/>
                            </a:solidFill>
                            <a:prstDash val="solid"/>
                            <a:headEnd type="none" w="med" len="med"/>
                            <a:tailEnd type="triangle" w="med" len="med"/>
                          </a:ln>
                        </wps:spPr>
                        <wps:bodyPr upright="1"/>
                      </wps:wsp>
                      <wps:wsp>
                        <wps:cNvPr id="144" name="直接连接符 144"/>
                        <wps:cNvCnPr/>
                        <wps:spPr>
                          <a:xfrm rot="5400000" flipH="1">
                            <a:off x="7438" y="6639913"/>
                            <a:ext cx="1" cy="1244"/>
                          </a:xfrm>
                          <a:prstGeom prst="line">
                            <a:avLst/>
                          </a:prstGeom>
                          <a:ln w="9525" cap="flat" cmpd="sng">
                            <a:solidFill>
                              <a:srgbClr val="000000"/>
                            </a:solidFill>
                            <a:prstDash val="solid"/>
                            <a:headEnd type="none" w="med" len="med"/>
                            <a:tailEnd type="triangle" w="med" len="med"/>
                          </a:ln>
                        </wps:spPr>
                        <wps:bodyPr upright="1"/>
                      </wps:wsp>
                      <wps:wsp>
                        <wps:cNvPr id="145" name="文本框 145"/>
                        <wps:cNvSpPr txBox="1"/>
                        <wps:spPr>
                          <a:xfrm>
                            <a:off x="5536" y="6639660"/>
                            <a:ext cx="1440" cy="451"/>
                          </a:xfrm>
                          <a:prstGeom prst="rect">
                            <a:avLst/>
                          </a:prstGeom>
                          <a:noFill/>
                          <a:ln>
                            <a:noFill/>
                          </a:ln>
                        </wps:spPr>
                        <wps:txbx>
                          <w:txbxContent>
                            <w:p w14:paraId="71A34C41">
                              <w:pPr>
                                <w:keepNext w:val="0"/>
                                <w:keepLines w:val="0"/>
                                <w:pageBreakBefore w:val="0"/>
                                <w:widowControl/>
                                <w:kinsoku/>
                                <w:wordWrap/>
                                <w:overflowPunct/>
                                <w:topLinePunct/>
                                <w:autoSpaceDE/>
                                <w:autoSpaceDN/>
                                <w:bidi w:val="0"/>
                                <w:adjustRightInd w:val="0"/>
                                <w:snapToGrid w:val="0"/>
                                <w:spacing w:line="240" w:lineRule="auto"/>
                                <w:ind w:firstLine="0" w:firstLineChars="0"/>
                                <w:textAlignment w:val="auto"/>
                                <w:rPr>
                                  <w:rFonts w:hint="default" w:eastAsia="宋体"/>
                                  <w:lang w:val="en-US" w:eastAsia="zh-CN"/>
                                </w:rPr>
                              </w:pPr>
                              <w:r>
                                <w:rPr>
                                  <w:rFonts w:hint="eastAsia"/>
                                  <w:lang w:val="en-US" w:eastAsia="zh-CN"/>
                                </w:rPr>
                                <w:t>指导</w:t>
                              </w:r>
                            </w:p>
                          </w:txbxContent>
                        </wps:txbx>
                        <wps:bodyPr lIns="0" tIns="0" rIns="0" bIns="0" upright="1"/>
                      </wps:wsp>
                      <wps:wsp>
                        <wps:cNvPr id="146" name="文本框 146"/>
                        <wps:cNvSpPr txBox="1"/>
                        <wps:spPr>
                          <a:xfrm>
                            <a:off x="6706" y="6640620"/>
                            <a:ext cx="1440" cy="301"/>
                          </a:xfrm>
                          <a:prstGeom prst="rect">
                            <a:avLst/>
                          </a:prstGeom>
                          <a:noFill/>
                          <a:ln>
                            <a:noFill/>
                          </a:ln>
                        </wps:spPr>
                        <wps:txbx>
                          <w:txbxContent>
                            <w:p w14:paraId="1C1E7396">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eastAsia="宋体"/>
                                  <w:lang w:val="en-US" w:eastAsia="zh-CN"/>
                                </w:rPr>
                                <w:t>互相支持</w:t>
                              </w:r>
                            </w:p>
                          </w:txbxContent>
                        </wps:txbx>
                        <wps:bodyPr lIns="0" tIns="0" rIns="0" bIns="0" upright="1"/>
                      </wps:wsp>
                    </wpg:wgp>
                  </a:graphicData>
                </a:graphic>
              </wp:anchor>
            </w:drawing>
          </mc:Choice>
          <mc:Fallback>
            <w:pict>
              <v:group id="_x0000_s1026" o:spid="_x0000_s1026" o:spt="203" style="position:absolute;left:0pt;margin-left:43.15pt;margin-top:4.1pt;height:191.8pt;width:342.05pt;z-index:251685888;mso-width-relative:page;mso-height-relative:page;" coordorigin="3031,6638128" coordsize="7740,4516" o:gfxdata="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">
                <o:lock v:ext="edit" aspectratio="f"/>
                <v:rect id="_x0000_s1026" o:spid="_x0000_s1026" o:spt="1" style="position:absolute;left:3770;top:6640317;height:928;width:3011;" filled="f" stroked="t" coordsize="21600,21600" o:gfxdata="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0DfzugAAANo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w:txbxContent>
                      <w:p w14:paraId="7E888712">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lang w:val="en-US" w:eastAsia="zh-CN"/>
                          </w:rPr>
                          <w:t>企业突发环境事件应急预案</w:t>
                        </w:r>
                      </w:p>
                    </w:txbxContent>
                  </v:textbox>
                </v:rect>
                <v:rect id="_x0000_s1026" o:spid="_x0000_s1026" o:spt="1" style="position:absolute;left:4096;top:6638128;height:1154;width:3404;" filled="f" stroked="t" coordsize="21600,21600" o:gfxdata="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AHsiu5AAAA2wAA&#10;AA8AAAAAAAAAAQAgAAAAIgAAAGRycy9kb3ducmV2LnhtbFBLAQIUABQAAAAIAIdO4kAzLwWeOwAA&#10;ADkAAAAQAAAAAAAAAAEAIAAAAAgBAABkcnMvc2hhcGV4bWwueG1sUEsFBgAAAAAGAAYAWwEAALID&#10;AAAAAA==&#10;">
                  <v:fill on="f" focussize="0,0"/>
                  <v:stroke color="#000000" joinstyle="miter"/>
                  <v:imagedata o:title=""/>
                  <o:lock v:ext="edit" aspectratio="f"/>
                  <v:textbox>
                    <w:txbxContent>
                      <w:p w14:paraId="5411EFBC">
                        <w:pPr>
                          <w:keepNext w:val="0"/>
                          <w:keepLines w:val="0"/>
                          <w:pageBreakBefore w:val="0"/>
                          <w:widowControl/>
                          <w:kinsoku/>
                          <w:wordWrap/>
                          <w:overflowPunct/>
                          <w:topLinePunct/>
                          <w:autoSpaceDE/>
                          <w:autoSpaceDN/>
                          <w:bidi w:val="0"/>
                          <w:adjustRightInd w:val="0"/>
                          <w:snapToGrid w:val="0"/>
                          <w:spacing w:line="360" w:lineRule="auto"/>
                          <w:ind w:firstLine="0" w:firstLineChars="0"/>
                          <w:jc w:val="center"/>
                          <w:textAlignment w:val="auto"/>
                          <w:rPr>
                            <w:rFonts w:hint="default" w:eastAsia="宋体"/>
                            <w:sz w:val="24"/>
                            <w:szCs w:val="24"/>
                            <w:lang w:val="en-US" w:eastAsia="zh-CN"/>
                          </w:rPr>
                        </w:pPr>
                        <w:r>
                          <w:rPr>
                            <w:rFonts w:hint="eastAsia"/>
                            <w:sz w:val="24"/>
                            <w:szCs w:val="24"/>
                            <w:lang w:val="en-US" w:eastAsia="zh-CN"/>
                          </w:rPr>
                          <w:t>获嘉县先进制造业开发区突发环境事件应急预案</w:t>
                        </w:r>
                      </w:p>
                    </w:txbxContent>
                  </v:textbox>
                </v:rect>
                <v:rect id="_x0000_s1026" o:spid="_x0000_s1026" o:spt="1" style="position:absolute;left:8086;top:6640318;height:795;width:2685;" filled="f" stroked="t" coordsize="21600,21600" o:gfxdata="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n3Q2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14:paraId="7AF58976">
                        <w:pPr>
                          <w:keepNext w:val="0"/>
                          <w:keepLines w:val="0"/>
                          <w:pageBreakBefore w:val="0"/>
                          <w:widowControl/>
                          <w:kinsoku/>
                          <w:wordWrap/>
                          <w:overflowPunct/>
                          <w:topLinePunct/>
                          <w:autoSpaceDE/>
                          <w:autoSpaceDN/>
                          <w:bidi w:val="0"/>
                          <w:adjustRightInd w:val="0"/>
                          <w:snapToGrid w:val="0"/>
                          <w:spacing w:before="0" w:beforeLines="50" w:line="240" w:lineRule="auto"/>
                          <w:ind w:firstLine="0" w:firstLineChars="0"/>
                          <w:jc w:val="center"/>
                          <w:textAlignment w:val="auto"/>
                          <w:rPr>
                            <w:rFonts w:hint="default" w:eastAsia="宋体"/>
                            <w:lang w:val="en-US" w:eastAsia="zh-CN"/>
                          </w:rPr>
                        </w:pPr>
                        <w:r>
                          <w:rPr>
                            <w:rFonts w:hint="eastAsia" w:eastAsia="宋体"/>
                            <w:lang w:val="en-US" w:eastAsia="zh-CN"/>
                          </w:rPr>
                          <w:t>周边企业应急预案</w:t>
                        </w:r>
                      </w:p>
                    </w:txbxContent>
                  </v:textbox>
                </v:rect>
                <v:rect id="_x0000_s1026" o:spid="_x0000_s1026" o:spt="1" style="position:absolute;left:4096;top:6642073;height:571;width:2685;" filled="f" stroked="t" coordsize="21600,21600" o:gfxdata="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InoSLsAAADb&#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14:paraId="53B047E3">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lang w:val="en-US" w:eastAsia="zh-CN"/>
                          </w:rPr>
                          <w:t>及时上报</w:t>
                        </w:r>
                      </w:p>
                    </w:txbxContent>
                  </v:textbox>
                </v:rect>
                <v:shape id="_x0000_s1026" o:spid="_x0000_s1026" o:spt="100" style="position:absolute;left:3031;top:6638715;height:3585;width:1065;" filled="f" stroked="t" coordsize="1065,3585" o:gfxdata="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ji8O8AAAA&#10;3AAAAA8AAAAAAAAAAQAgAAAAIgAAAGRycy9kb3ducmV2LnhtbFBLAQIUABQAAAAIAIdO4kAzLwWe&#10;OwAAADkAAAAQAAAAAAAAAAEAIAAAAAsBAABkcnMvc2hhcGV4bWwueG1sUEsFBgAAAAAGAAYAWwEA&#10;ALUDAAAAAA==&#10;" path="m1065,3585l0,3585,0,15,1050,0e">
                  <v:fill on="f" focussize="0,0"/>
                  <v:stroke color="#000000" joinstyle="round" endarrow="block"/>
                  <v:imagedata o:title=""/>
                  <o:lock v:ext="edit" aspectratio="f"/>
                </v:shape>
                <v:line id="_x0000_s1026" o:spid="_x0000_s1026" o:spt="20" style="position:absolute;left:5431;top:6639315;height:1005;width:1;" filled="f" stroked="t" coordsize="21600,21600" o:gfxdata="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tnz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7438;top:6640348;height:1244;width:1;rotation:-5898240f;" filled="f" stroked="t" coordsize="21600,21600" o:gfxdata="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qU5a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7438;top:6639913;flip:x;height:1244;width:1;rotation:-5898240f;" filled="f" stroked="t" coordsize="21600,21600" o:gfxdata="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lsR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5536;top:6639660;height:451;width:1440;" filled="f" stroked="f" coordsize="21600,21600" o:gfxdata="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nUw6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1A34C41">
                        <w:pPr>
                          <w:keepNext w:val="0"/>
                          <w:keepLines w:val="0"/>
                          <w:pageBreakBefore w:val="0"/>
                          <w:widowControl/>
                          <w:kinsoku/>
                          <w:wordWrap/>
                          <w:overflowPunct/>
                          <w:topLinePunct/>
                          <w:autoSpaceDE/>
                          <w:autoSpaceDN/>
                          <w:bidi w:val="0"/>
                          <w:adjustRightInd w:val="0"/>
                          <w:snapToGrid w:val="0"/>
                          <w:spacing w:line="240" w:lineRule="auto"/>
                          <w:ind w:firstLine="0" w:firstLineChars="0"/>
                          <w:textAlignment w:val="auto"/>
                          <w:rPr>
                            <w:rFonts w:hint="default" w:eastAsia="宋体"/>
                            <w:lang w:val="en-US" w:eastAsia="zh-CN"/>
                          </w:rPr>
                        </w:pPr>
                        <w:r>
                          <w:rPr>
                            <w:rFonts w:hint="eastAsia"/>
                            <w:lang w:val="en-US" w:eastAsia="zh-CN"/>
                          </w:rPr>
                          <w:t>指导</w:t>
                        </w:r>
                      </w:p>
                    </w:txbxContent>
                  </v:textbox>
                </v:shape>
                <v:shape id="_x0000_s1026" o:spid="_x0000_s1026" o:spt="202" type="#_x0000_t202" style="position:absolute;left:6706;top:6640620;height:301;width:1440;" filled="f" stroked="f" coordsize="21600,21600" o:gfxdata="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P0k2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C1E7396">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eastAsia="宋体"/>
                            <w:lang w:val="en-US" w:eastAsia="zh-CN"/>
                          </w:rPr>
                        </w:pPr>
                        <w:r>
                          <w:rPr>
                            <w:rFonts w:hint="eastAsia" w:eastAsia="宋体"/>
                            <w:lang w:val="en-US" w:eastAsia="zh-CN"/>
                          </w:rPr>
                          <w:t>互相支持</w:t>
                        </w:r>
                      </w:p>
                    </w:txbxContent>
                  </v:textbox>
                </v:shape>
              </v:group>
            </w:pict>
          </mc:Fallback>
        </mc:AlternateContent>
      </w:r>
    </w:p>
    <w:p w14:paraId="51E3C720">
      <w:pPr>
        <w:pStyle w:val="16"/>
        <w:kinsoku w:val="0"/>
        <w:overflowPunct w:val="0"/>
        <w:rPr>
          <w:rFonts w:hint="default" w:ascii="Times New Roman" w:hAnsi="Times New Roman" w:cs="Times New Roman"/>
          <w:snapToGrid w:val="0"/>
          <w:spacing w:val="0"/>
          <w:w w:val="100"/>
          <w:kern w:val="21"/>
          <w:position w:val="0"/>
          <w:sz w:val="20"/>
          <w:szCs w:val="24"/>
        </w:rPr>
      </w:pPr>
    </w:p>
    <w:p w14:paraId="524B0060">
      <w:pPr>
        <w:pStyle w:val="16"/>
        <w:kinsoku w:val="0"/>
        <w:overflowPunct w:val="0"/>
        <w:rPr>
          <w:rFonts w:hint="default" w:ascii="Times New Roman" w:hAnsi="Times New Roman" w:cs="Times New Roman"/>
          <w:snapToGrid w:val="0"/>
          <w:spacing w:val="0"/>
          <w:w w:val="100"/>
          <w:kern w:val="21"/>
          <w:position w:val="0"/>
          <w:sz w:val="20"/>
          <w:szCs w:val="24"/>
        </w:rPr>
      </w:pPr>
    </w:p>
    <w:p w14:paraId="1159FD43">
      <w:pPr>
        <w:pStyle w:val="16"/>
        <w:kinsoku w:val="0"/>
        <w:overflowPunct w:val="0"/>
        <w:rPr>
          <w:rFonts w:hint="default" w:ascii="Times New Roman" w:hAnsi="Times New Roman" w:cs="Times New Roman"/>
          <w:snapToGrid w:val="0"/>
          <w:spacing w:val="0"/>
          <w:w w:val="100"/>
          <w:kern w:val="21"/>
          <w:position w:val="0"/>
          <w:sz w:val="20"/>
          <w:szCs w:val="24"/>
        </w:rPr>
      </w:pPr>
    </w:p>
    <w:p w14:paraId="2314600C">
      <w:pPr>
        <w:pStyle w:val="16"/>
        <w:kinsoku w:val="0"/>
        <w:overflowPunct w:val="0"/>
        <w:spacing w:before="9"/>
        <w:rPr>
          <w:rFonts w:hint="default" w:ascii="Times New Roman" w:hAnsi="Times New Roman" w:cs="Times New Roman"/>
          <w:snapToGrid w:val="0"/>
          <w:spacing w:val="0"/>
          <w:w w:val="100"/>
          <w:kern w:val="21"/>
          <w:position w:val="0"/>
          <w:sz w:val="25"/>
          <w:szCs w:val="24"/>
        </w:rPr>
      </w:pPr>
      <w:r>
        <mc:AlternateContent>
          <mc:Choice Requires="wps">
            <w:drawing>
              <wp:anchor distT="0" distB="0" distL="114300" distR="114300" simplePos="0" relativeHeight="251689984" behindDoc="0" locked="0" layoutInCell="1" allowOverlap="1">
                <wp:simplePos x="0" y="0"/>
                <wp:positionH relativeFrom="column">
                  <wp:posOffset>1582420</wp:posOffset>
                </wp:positionH>
                <wp:positionV relativeFrom="paragraph">
                  <wp:posOffset>190500</wp:posOffset>
                </wp:positionV>
                <wp:extent cx="4445" cy="437515"/>
                <wp:effectExtent l="34290" t="0" r="37465" b="635"/>
                <wp:wrapNone/>
                <wp:docPr id="74" name="直接连接符 74"/>
                <wp:cNvGraphicFramePr/>
                <a:graphic xmlns:a="http://schemas.openxmlformats.org/drawingml/2006/main">
                  <a:graphicData uri="http://schemas.microsoft.com/office/word/2010/wordprocessingShape">
                    <wps:wsp>
                      <wps:cNvCnPr/>
                      <wps:spPr>
                        <a:xfrm>
                          <a:off x="0" y="0"/>
                          <a:ext cx="4445" cy="4375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4.6pt;margin-top:15pt;height:34.45pt;width:0.35pt;z-index:251689984;mso-width-relative:page;mso-height-relative:page;" filled="f" stroked="t" coordsize="21600,21600" o:gfxdata="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VFtxXZAAAACQEAAA8AAAAAAAAAAQAgAAAAIgAAAGRycy9kb3du&#10;cmV2LnhtbFBLAQIUABQAAAAIAIdO4kB7bLYO/gEAAOwDAAAOAAAAAAAAAAEAIAAAACgBAABkcnMv&#10;ZTJvRG9jLnhtbFBLBQYAAAAABgAGAFkBAACYBQAAAAA=&#10;">
                <v:fill on="f" focussize="0,0"/>
                <v:stroke color="#000000" joinstyle="round" endarrow="block"/>
                <v:imagedata o:title=""/>
                <o:lock v:ext="edit" aspectratio="f"/>
              </v:line>
            </w:pict>
          </mc:Fallback>
        </mc:AlternateContent>
      </w:r>
    </w:p>
    <w:p w14:paraId="34C8E16D">
      <w:pPr>
        <w:pStyle w:val="16"/>
        <w:kinsoku w:val="0"/>
        <w:overflowPunct w:val="0"/>
        <w:spacing w:before="9"/>
        <w:rPr>
          <w:rFonts w:hint="default" w:ascii="Times New Roman" w:hAnsi="Times New Roman" w:cs="Times New Roman"/>
          <w:snapToGrid w:val="0"/>
          <w:spacing w:val="0"/>
          <w:w w:val="100"/>
          <w:kern w:val="21"/>
          <w:position w:val="0"/>
          <w:sz w:val="25"/>
          <w:szCs w:val="24"/>
        </w:rPr>
      </w:pPr>
    </w:p>
    <w:p w14:paraId="58E74C9F">
      <w:pPr>
        <w:pStyle w:val="16"/>
        <w:keepNext w:val="0"/>
        <w:keepLines w:val="0"/>
        <w:pageBreakBefore w:val="0"/>
        <w:widowControl/>
        <w:tabs>
          <w:tab w:val="left" w:pos="3623"/>
        </w:tabs>
        <w:kinsoku/>
        <w:wordWrap/>
        <w:overflowPunct/>
        <w:topLinePunct/>
        <w:autoSpaceDE/>
        <w:autoSpaceDN/>
        <w:bidi w:val="0"/>
        <w:adjustRightInd w:val="0"/>
        <w:snapToGrid w:val="0"/>
        <w:spacing w:after="0"/>
        <w:ind w:left="0" w:firstLine="0" w:firstLineChars="0"/>
        <w:jc w:val="center"/>
        <w:textAlignment w:val="auto"/>
        <w:rPr>
          <w:rFonts w:hint="default" w:ascii="Times New Roman" w:hAnsi="Times New Roman" w:eastAsia="宋体" w:cs="Times New Roman"/>
          <w:b/>
          <w:bCs w:val="0"/>
          <w:snapToGrid w:val="0"/>
          <w:spacing w:val="0"/>
          <w:w w:val="100"/>
          <w:kern w:val="21"/>
          <w:position w:val="0"/>
          <w:sz w:val="24"/>
          <w:szCs w:val="24"/>
          <w:u w:val="none"/>
        </w:rPr>
      </w:pPr>
      <w:r>
        <w:rPr>
          <w:rFonts w:hint="default" w:ascii="Times New Roman" w:hAnsi="Times New Roman" w:eastAsia="宋体" w:cs="Times New Roman"/>
          <w:b/>
          <w:bCs w:val="0"/>
          <w:snapToGrid w:val="0"/>
          <w:spacing w:val="0"/>
          <w:w w:val="100"/>
          <w:kern w:val="21"/>
          <w:position w:val="0"/>
          <w:sz w:val="24"/>
          <w:szCs w:val="24"/>
          <w:u w:val="none"/>
        </w:rPr>
        <w:t>图</w:t>
      </w:r>
      <w:r>
        <w:rPr>
          <w:rFonts w:hint="eastAsia" w:cs="Times New Roman"/>
          <w:b/>
          <w:bCs w:val="0"/>
          <w:snapToGrid w:val="0"/>
          <w:spacing w:val="0"/>
          <w:w w:val="100"/>
          <w:kern w:val="21"/>
          <w:position w:val="0"/>
          <w:sz w:val="24"/>
          <w:szCs w:val="24"/>
          <w:u w:val="none"/>
          <w:lang w:val="en-US" w:eastAsia="zh-CN"/>
        </w:rPr>
        <w:t xml:space="preserve">6.6-1    </w:t>
      </w:r>
      <w:r>
        <w:rPr>
          <w:rFonts w:hint="default" w:ascii="Times New Roman" w:hAnsi="Times New Roman" w:eastAsia="宋体" w:cs="Times New Roman"/>
          <w:b/>
          <w:bCs w:val="0"/>
          <w:snapToGrid w:val="0"/>
          <w:spacing w:val="0"/>
          <w:w w:val="100"/>
          <w:kern w:val="21"/>
          <w:position w:val="0"/>
          <w:sz w:val="24"/>
          <w:szCs w:val="24"/>
          <w:u w:val="none"/>
        </w:rPr>
        <w:t>区域三级防范联动体系图</w:t>
      </w:r>
    </w:p>
    <w:p w14:paraId="5230917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6.6.9风险事故应急监测及投资费用估算</w:t>
      </w:r>
    </w:p>
    <w:p w14:paraId="1AB9319B">
      <w:pPr>
        <w:ind w:firstLine="480"/>
        <w:rPr>
          <w:highlight w:val="yellow"/>
        </w:rPr>
      </w:pPr>
      <w:r>
        <w:rPr>
          <w:rFonts w:hint="eastAsia"/>
        </w:rPr>
        <w:t>项目一旦发生环境风险事故，应立即组织事故应急监测。环境风险应急监测应按照《突发环境事件应急监测技术规范》（</w:t>
      </w:r>
      <w:r>
        <w:t>HJ589-20</w:t>
      </w:r>
      <w:r>
        <w:rPr>
          <w:rFonts w:hint="eastAsia"/>
        </w:rPr>
        <w:t>21）规定的布点原则、布点方法及其他规定要求进行，具体应急监测方案详见下表。</w:t>
      </w:r>
    </w:p>
    <w:p w14:paraId="4DB0C7AC">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6.6-2</w:t>
      </w:r>
      <w:r>
        <w:rPr>
          <w:rFonts w:hint="eastAsia" w:ascii="Times New Roman" w:hAnsi="Times New Roman" w:cs="宋体" w:eastAsiaTheme="minorEastAsia"/>
          <w:b/>
          <w:kern w:val="2"/>
          <w:sz w:val="24"/>
          <w:szCs w:val="24"/>
          <w:lang w:val="en-US" w:eastAsia="zh-CN" w:bidi="ar-SA"/>
        </w:rPr>
        <w:t xml:space="preserve">     应急监测布点原则</w:t>
      </w:r>
    </w:p>
    <w:tbl>
      <w:tblPr>
        <w:tblStyle w:val="3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43"/>
        <w:gridCol w:w="1970"/>
        <w:gridCol w:w="2236"/>
        <w:gridCol w:w="1741"/>
        <w:gridCol w:w="1741"/>
      </w:tblGrid>
      <w:tr w14:paraId="747C68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568" w:type="pct"/>
            <w:gridSpan w:val="2"/>
            <w:vAlign w:val="center"/>
          </w:tcPr>
          <w:p w14:paraId="11E8EC73">
            <w:pPr>
              <w:pStyle w:val="81"/>
              <w:rPr>
                <w:color w:val="auto"/>
              </w:rPr>
            </w:pPr>
            <w:r>
              <w:rPr>
                <w:rFonts w:hint="eastAsia"/>
                <w:color w:val="auto"/>
              </w:rPr>
              <w:t>事故类型</w:t>
            </w:r>
          </w:p>
        </w:tc>
        <w:tc>
          <w:tcPr>
            <w:tcW w:w="1341" w:type="pct"/>
            <w:vAlign w:val="center"/>
          </w:tcPr>
          <w:p w14:paraId="2FC3BEE3">
            <w:pPr>
              <w:pStyle w:val="81"/>
              <w:rPr>
                <w:color w:val="auto"/>
              </w:rPr>
            </w:pPr>
            <w:r>
              <w:rPr>
                <w:rFonts w:hint="eastAsia"/>
                <w:color w:val="auto"/>
              </w:rPr>
              <w:t>监测因子</w:t>
            </w:r>
          </w:p>
        </w:tc>
        <w:tc>
          <w:tcPr>
            <w:tcW w:w="1044" w:type="pct"/>
            <w:vAlign w:val="center"/>
          </w:tcPr>
          <w:p w14:paraId="037ECC68">
            <w:pPr>
              <w:pStyle w:val="81"/>
              <w:rPr>
                <w:color w:val="auto"/>
              </w:rPr>
            </w:pPr>
            <w:r>
              <w:rPr>
                <w:rFonts w:hint="eastAsia"/>
                <w:color w:val="auto"/>
              </w:rPr>
              <w:t>监测布点</w:t>
            </w:r>
          </w:p>
        </w:tc>
        <w:tc>
          <w:tcPr>
            <w:tcW w:w="1044" w:type="pct"/>
            <w:vAlign w:val="center"/>
          </w:tcPr>
          <w:p w14:paraId="3E4B01E4">
            <w:pPr>
              <w:pStyle w:val="81"/>
              <w:rPr>
                <w:rFonts w:hint="eastAsia" w:eastAsia="宋体"/>
                <w:color w:val="auto"/>
                <w:lang w:val="en-US" w:eastAsia="zh-CN"/>
              </w:rPr>
            </w:pPr>
            <w:r>
              <w:rPr>
                <w:rFonts w:hint="eastAsia"/>
                <w:color w:val="auto"/>
                <w:lang w:val="en-US" w:eastAsia="zh-CN"/>
              </w:rPr>
              <w:t>备注</w:t>
            </w:r>
          </w:p>
        </w:tc>
      </w:tr>
      <w:tr w14:paraId="702346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6" w:type="pct"/>
            <w:vAlign w:val="center"/>
          </w:tcPr>
          <w:p w14:paraId="357770FF">
            <w:pPr>
              <w:pStyle w:val="75"/>
              <w:rPr>
                <w:kern w:val="2"/>
              </w:rPr>
            </w:pPr>
            <w:r>
              <w:rPr>
                <w:rFonts w:hint="eastAsia"/>
              </w:rPr>
              <w:t>废水</w:t>
            </w:r>
          </w:p>
        </w:tc>
        <w:tc>
          <w:tcPr>
            <w:tcW w:w="1182" w:type="pct"/>
            <w:vAlign w:val="center"/>
          </w:tcPr>
          <w:p w14:paraId="4236B071">
            <w:pPr>
              <w:pStyle w:val="75"/>
              <w:rPr>
                <w:kern w:val="2"/>
              </w:rPr>
            </w:pPr>
            <w:r>
              <w:rPr>
                <w:rFonts w:hint="eastAsia"/>
              </w:rPr>
              <w:t>事故废水</w:t>
            </w:r>
          </w:p>
        </w:tc>
        <w:tc>
          <w:tcPr>
            <w:tcW w:w="1341" w:type="pct"/>
            <w:vAlign w:val="center"/>
          </w:tcPr>
          <w:p w14:paraId="471BB5AB">
            <w:pPr>
              <w:pStyle w:val="75"/>
              <w:rPr>
                <w:spacing w:val="-10"/>
                <w:kern w:val="2"/>
              </w:rPr>
            </w:pPr>
            <w:r>
              <w:rPr>
                <w:spacing w:val="-10"/>
              </w:rPr>
              <w:t>pH</w:t>
            </w:r>
            <w:r>
              <w:rPr>
                <w:rFonts w:hint="eastAsia"/>
                <w:spacing w:val="-10"/>
              </w:rPr>
              <w:t>、</w:t>
            </w:r>
            <w:r>
              <w:rPr>
                <w:spacing w:val="-10"/>
              </w:rPr>
              <w:t>COD</w:t>
            </w:r>
            <w:r>
              <w:rPr>
                <w:rFonts w:hint="eastAsia"/>
                <w:spacing w:val="-10"/>
              </w:rPr>
              <w:t>、氨氮、总氮、总磷、镍、总铬</w:t>
            </w:r>
          </w:p>
        </w:tc>
        <w:tc>
          <w:tcPr>
            <w:tcW w:w="1044" w:type="pct"/>
            <w:vAlign w:val="center"/>
          </w:tcPr>
          <w:p w14:paraId="0D153A10">
            <w:pPr>
              <w:pStyle w:val="75"/>
              <w:rPr>
                <w:kern w:val="2"/>
              </w:rPr>
            </w:pPr>
            <w:r>
              <w:rPr>
                <w:rFonts w:hint="eastAsia"/>
              </w:rPr>
              <w:t>厂区总排口</w:t>
            </w:r>
          </w:p>
        </w:tc>
        <w:tc>
          <w:tcPr>
            <w:tcW w:w="1044" w:type="pct"/>
            <w:vAlign w:val="center"/>
          </w:tcPr>
          <w:p w14:paraId="6F5682DA">
            <w:pPr>
              <w:pStyle w:val="75"/>
              <w:rPr>
                <w:rFonts w:hint="default" w:eastAsia="宋体"/>
                <w:lang w:val="en-US" w:eastAsia="zh-CN"/>
              </w:rPr>
            </w:pPr>
            <w:r>
              <w:rPr>
                <w:rFonts w:hint="eastAsia"/>
                <w:lang w:val="en-US" w:eastAsia="zh-CN"/>
              </w:rPr>
              <w:t>即时监测</w:t>
            </w:r>
          </w:p>
        </w:tc>
      </w:tr>
      <w:tr w14:paraId="79088D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86" w:type="pct"/>
            <w:vAlign w:val="center"/>
          </w:tcPr>
          <w:p w14:paraId="68447F55">
            <w:pPr>
              <w:pStyle w:val="75"/>
              <w:rPr>
                <w:kern w:val="2"/>
              </w:rPr>
            </w:pPr>
            <w:r>
              <w:rPr>
                <w:rFonts w:hint="eastAsia"/>
              </w:rPr>
              <w:t>废气</w:t>
            </w:r>
          </w:p>
        </w:tc>
        <w:tc>
          <w:tcPr>
            <w:tcW w:w="1182" w:type="pct"/>
            <w:vAlign w:val="center"/>
          </w:tcPr>
          <w:p w14:paraId="26D5CFFA">
            <w:pPr>
              <w:pStyle w:val="75"/>
              <w:rPr>
                <w:kern w:val="2"/>
              </w:rPr>
            </w:pPr>
            <w:r>
              <w:rPr>
                <w:rFonts w:hint="eastAsia"/>
              </w:rPr>
              <w:t>化学品库化学品泄漏</w:t>
            </w:r>
          </w:p>
        </w:tc>
        <w:tc>
          <w:tcPr>
            <w:tcW w:w="1341" w:type="pct"/>
            <w:vAlign w:val="center"/>
          </w:tcPr>
          <w:p w14:paraId="73986A1B">
            <w:pPr>
              <w:pStyle w:val="75"/>
              <w:rPr>
                <w:spacing w:val="-10"/>
                <w:kern w:val="2"/>
              </w:rPr>
            </w:pPr>
            <w:r>
              <w:rPr>
                <w:rFonts w:hint="eastAsia"/>
              </w:rPr>
              <w:t>硫酸</w:t>
            </w:r>
          </w:p>
        </w:tc>
        <w:tc>
          <w:tcPr>
            <w:tcW w:w="1044" w:type="pct"/>
            <w:vAlign w:val="center"/>
          </w:tcPr>
          <w:p w14:paraId="392B882B">
            <w:pPr>
              <w:pStyle w:val="75"/>
              <w:rPr>
                <w:rFonts w:hint="eastAsia" w:eastAsia="宋体"/>
                <w:kern w:val="2"/>
                <w:lang w:val="en-US" w:eastAsia="zh-CN"/>
              </w:rPr>
            </w:pPr>
            <w:r>
              <w:rPr>
                <w:rFonts w:hint="eastAsia"/>
                <w:kern w:val="2"/>
                <w:lang w:val="en-US" w:eastAsia="zh-CN"/>
              </w:rPr>
              <w:t>前寺庄村</w:t>
            </w:r>
          </w:p>
        </w:tc>
        <w:tc>
          <w:tcPr>
            <w:tcW w:w="1044" w:type="pct"/>
            <w:vAlign w:val="center"/>
          </w:tcPr>
          <w:p w14:paraId="612BCE2A">
            <w:pPr>
              <w:pStyle w:val="75"/>
              <w:rPr>
                <w:rFonts w:hint="eastAsia"/>
              </w:rPr>
            </w:pPr>
            <w:r>
              <w:rPr>
                <w:rFonts w:hint="eastAsia"/>
                <w:lang w:val="en-US" w:eastAsia="zh-CN"/>
              </w:rPr>
              <w:t>即时监测</w:t>
            </w:r>
          </w:p>
        </w:tc>
      </w:tr>
    </w:tbl>
    <w:p w14:paraId="187853BD">
      <w:pPr>
        <w:ind w:firstLine="480"/>
        <w:rPr>
          <w:rFonts w:hAnsi="宋体"/>
        </w:rPr>
      </w:pPr>
      <w:r>
        <w:rPr>
          <w:rFonts w:hint="eastAsia" w:hAnsi="宋体"/>
        </w:rPr>
        <w:t>项目环境风险防范措施及投资见</w:t>
      </w:r>
      <w:r>
        <w:rPr>
          <w:rFonts w:hint="eastAsia"/>
        </w:rPr>
        <w:t>下表</w:t>
      </w:r>
      <w:r>
        <w:rPr>
          <w:rFonts w:hint="eastAsia" w:hAnsi="宋体"/>
        </w:rPr>
        <w:t>。</w:t>
      </w:r>
    </w:p>
    <w:p w14:paraId="1423D0CF">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eastAsia"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6.6-3</w:t>
      </w:r>
      <w:r>
        <w:rPr>
          <w:rFonts w:hint="eastAsia" w:ascii="Times New Roman" w:hAnsi="Times New Roman" w:cs="宋体" w:eastAsiaTheme="minorEastAsia"/>
          <w:b/>
          <w:kern w:val="2"/>
          <w:sz w:val="24"/>
          <w:szCs w:val="24"/>
          <w:lang w:val="en-US" w:eastAsia="zh-CN" w:bidi="ar-SA"/>
        </w:rPr>
        <w:t xml:space="preserve">    环境风险防范措施投资表</w:t>
      </w:r>
    </w:p>
    <w:tbl>
      <w:tblPr>
        <w:tblStyle w:val="39"/>
        <w:tblW w:w="486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538"/>
        <w:gridCol w:w="4599"/>
        <w:gridCol w:w="1512"/>
      </w:tblGrid>
      <w:tr w14:paraId="113775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441905CA">
            <w:pPr>
              <w:pStyle w:val="81"/>
              <w:ind w:firstLine="0" w:firstLineChars="0"/>
              <w:rPr>
                <w:rFonts w:hint="eastAsia"/>
                <w:color w:val="auto"/>
              </w:rPr>
            </w:pPr>
            <w:r>
              <w:rPr>
                <w:rFonts w:hint="eastAsia"/>
                <w:color w:val="auto"/>
              </w:rPr>
              <w:t>序号</w:t>
            </w:r>
          </w:p>
        </w:tc>
        <w:tc>
          <w:tcPr>
            <w:tcW w:w="1538" w:type="dxa"/>
            <w:vAlign w:val="center"/>
          </w:tcPr>
          <w:p w14:paraId="35F2A911">
            <w:pPr>
              <w:pStyle w:val="81"/>
              <w:ind w:firstLine="0" w:firstLineChars="0"/>
              <w:rPr>
                <w:rFonts w:hint="default" w:eastAsia="宋体"/>
                <w:color w:val="auto"/>
                <w:lang w:val="en-US" w:eastAsia="zh-CN"/>
              </w:rPr>
            </w:pPr>
            <w:r>
              <w:rPr>
                <w:rFonts w:hint="eastAsia"/>
                <w:color w:val="auto"/>
                <w:lang w:val="en-US" w:eastAsia="zh-CN"/>
              </w:rPr>
              <w:t>主要设施</w:t>
            </w:r>
          </w:p>
        </w:tc>
        <w:tc>
          <w:tcPr>
            <w:tcW w:w="4599" w:type="dxa"/>
            <w:vAlign w:val="center"/>
          </w:tcPr>
          <w:p w14:paraId="677A0CDB">
            <w:pPr>
              <w:pStyle w:val="81"/>
              <w:rPr>
                <w:color w:val="auto"/>
              </w:rPr>
            </w:pPr>
            <w:r>
              <w:rPr>
                <w:rFonts w:hint="eastAsia"/>
                <w:color w:val="auto"/>
              </w:rPr>
              <w:t>风险防范措施</w:t>
            </w:r>
          </w:p>
        </w:tc>
        <w:tc>
          <w:tcPr>
            <w:tcW w:w="1512" w:type="dxa"/>
            <w:vAlign w:val="center"/>
          </w:tcPr>
          <w:p w14:paraId="504C1110">
            <w:pPr>
              <w:pStyle w:val="81"/>
              <w:rPr>
                <w:color w:val="auto"/>
              </w:rPr>
            </w:pPr>
            <w:r>
              <w:rPr>
                <w:rFonts w:hint="eastAsia"/>
                <w:color w:val="auto"/>
              </w:rPr>
              <w:t>投资（万元）</w:t>
            </w:r>
          </w:p>
        </w:tc>
      </w:tr>
      <w:tr w14:paraId="72096D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50" w:type="dxa"/>
            <w:vAlign w:val="center"/>
          </w:tcPr>
          <w:p w14:paraId="54D99DE5">
            <w:pPr>
              <w:pStyle w:val="75"/>
              <w:ind w:firstLine="0" w:firstLineChars="0"/>
            </w:pPr>
            <w:r>
              <w:t>1</w:t>
            </w:r>
          </w:p>
        </w:tc>
        <w:tc>
          <w:tcPr>
            <w:tcW w:w="1538" w:type="dxa"/>
            <w:vAlign w:val="center"/>
          </w:tcPr>
          <w:p w14:paraId="4334ABE4">
            <w:pPr>
              <w:pStyle w:val="75"/>
              <w:ind w:firstLine="0" w:firstLineChars="0"/>
              <w:rPr>
                <w:rFonts w:hint="default" w:eastAsia="宋体"/>
                <w:lang w:val="en-US" w:eastAsia="zh-CN"/>
              </w:rPr>
            </w:pPr>
            <w:r>
              <w:rPr>
                <w:rFonts w:hint="eastAsia"/>
                <w:lang w:val="en-US" w:eastAsia="zh-CN"/>
              </w:rPr>
              <w:t>罐区</w:t>
            </w:r>
          </w:p>
        </w:tc>
        <w:tc>
          <w:tcPr>
            <w:tcW w:w="4599" w:type="dxa"/>
            <w:vAlign w:val="center"/>
          </w:tcPr>
          <w:p w14:paraId="57F77AC0">
            <w:pPr>
              <w:pStyle w:val="75"/>
              <w:ind w:firstLine="0" w:firstLineChars="0"/>
              <w:rPr>
                <w:rFonts w:hint="default"/>
                <w:lang w:val="en-US" w:eastAsia="zh-CN"/>
              </w:rPr>
            </w:pPr>
            <w:r>
              <w:rPr>
                <w:rFonts w:hint="eastAsia"/>
                <w:lang w:val="en-US" w:eastAsia="zh-CN"/>
              </w:rPr>
              <w:t>罐区设围堰（1.2m）；备用收集桶等</w:t>
            </w:r>
          </w:p>
        </w:tc>
        <w:tc>
          <w:tcPr>
            <w:tcW w:w="1512" w:type="dxa"/>
            <w:vAlign w:val="center"/>
          </w:tcPr>
          <w:p w14:paraId="4C2CE992">
            <w:pPr>
              <w:pStyle w:val="75"/>
              <w:rPr>
                <w:rFonts w:hint="default" w:eastAsia="宋体"/>
                <w:lang w:val="en-US" w:eastAsia="zh-CN"/>
              </w:rPr>
            </w:pPr>
            <w:r>
              <w:rPr>
                <w:rFonts w:hint="eastAsia"/>
                <w:lang w:val="en-US" w:eastAsia="zh-CN"/>
              </w:rPr>
              <w:t>5</w:t>
            </w:r>
          </w:p>
        </w:tc>
      </w:tr>
      <w:tr w14:paraId="40EB7E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0C40D589">
            <w:pPr>
              <w:pStyle w:val="75"/>
              <w:ind w:firstLine="0" w:firstLineChars="0"/>
              <w:rPr>
                <w:rFonts w:hint="eastAsia" w:eastAsia="宋体"/>
                <w:lang w:val="en-US" w:eastAsia="zh-CN"/>
              </w:rPr>
            </w:pPr>
            <w:r>
              <w:rPr>
                <w:rFonts w:hint="eastAsia"/>
                <w:lang w:val="en-US" w:eastAsia="zh-CN"/>
              </w:rPr>
              <w:t>2</w:t>
            </w:r>
          </w:p>
        </w:tc>
        <w:tc>
          <w:tcPr>
            <w:tcW w:w="1538" w:type="dxa"/>
            <w:vAlign w:val="center"/>
          </w:tcPr>
          <w:p w14:paraId="1935525E">
            <w:pPr>
              <w:pStyle w:val="75"/>
              <w:ind w:firstLine="0" w:firstLineChars="0"/>
              <w:rPr>
                <w:rFonts w:hint="eastAsia"/>
                <w:lang w:val="en-US" w:eastAsia="zh-CN"/>
              </w:rPr>
            </w:pPr>
            <w:r>
              <w:rPr>
                <w:rFonts w:hint="eastAsia"/>
                <w:lang w:val="en-US" w:eastAsia="zh-CN"/>
              </w:rPr>
              <w:t>化学品库</w:t>
            </w:r>
          </w:p>
        </w:tc>
        <w:tc>
          <w:tcPr>
            <w:tcW w:w="4599" w:type="dxa"/>
            <w:vAlign w:val="center"/>
          </w:tcPr>
          <w:p w14:paraId="3A4F0EFD">
            <w:pPr>
              <w:pStyle w:val="75"/>
              <w:ind w:firstLine="0" w:firstLineChars="0"/>
              <w:rPr>
                <w:rFonts w:hint="eastAsia"/>
                <w:lang w:val="en-US" w:eastAsia="zh-CN"/>
              </w:rPr>
            </w:pPr>
            <w:r>
              <w:rPr>
                <w:rFonts w:hint="eastAsia"/>
                <w:lang w:val="en-US" w:eastAsia="zh-CN"/>
              </w:rPr>
              <w:t>化学品库化学品储存设置托盘、围堰、液体收集桶</w:t>
            </w:r>
          </w:p>
        </w:tc>
        <w:tc>
          <w:tcPr>
            <w:tcW w:w="1512" w:type="dxa"/>
            <w:vAlign w:val="center"/>
          </w:tcPr>
          <w:p w14:paraId="79F580C6">
            <w:pPr>
              <w:pStyle w:val="75"/>
              <w:rPr>
                <w:rFonts w:hint="default"/>
                <w:lang w:val="en-US" w:eastAsia="zh-CN"/>
              </w:rPr>
            </w:pPr>
            <w:r>
              <w:rPr>
                <w:rFonts w:hint="eastAsia"/>
                <w:lang w:val="en-US" w:eastAsia="zh-CN"/>
              </w:rPr>
              <w:t>3</w:t>
            </w:r>
          </w:p>
        </w:tc>
      </w:tr>
      <w:tr w14:paraId="023C98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0AE3F7CD">
            <w:pPr>
              <w:pStyle w:val="75"/>
              <w:ind w:firstLine="0" w:firstLineChars="0"/>
            </w:pPr>
            <w:r>
              <w:t>3</w:t>
            </w:r>
          </w:p>
        </w:tc>
        <w:tc>
          <w:tcPr>
            <w:tcW w:w="1538" w:type="dxa"/>
            <w:vAlign w:val="center"/>
          </w:tcPr>
          <w:p w14:paraId="270F49C3">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lang w:val="en-US" w:eastAsia="zh-CN"/>
              </w:rPr>
            </w:pPr>
            <w:r>
              <w:rPr>
                <w:rFonts w:hint="default" w:ascii="Times New Roman" w:hAnsi="Times New Roman" w:cs="Times New Roman"/>
                <w:snapToGrid w:val="0"/>
                <w:spacing w:val="0"/>
                <w:w w:val="100"/>
                <w:kern w:val="21"/>
                <w:position w:val="0"/>
                <w:sz w:val="21"/>
                <w:szCs w:val="21"/>
              </w:rPr>
              <w:t>厂区防渗</w:t>
            </w:r>
          </w:p>
        </w:tc>
        <w:tc>
          <w:tcPr>
            <w:tcW w:w="4599" w:type="dxa"/>
            <w:vAlign w:val="center"/>
          </w:tcPr>
          <w:p w14:paraId="38DEAEA4">
            <w:pPr>
              <w:pStyle w:val="75"/>
              <w:ind w:firstLine="0" w:firstLineChars="0"/>
              <w:rPr>
                <w:rFonts w:hint="eastAsia"/>
                <w:lang w:val="en-US" w:eastAsia="zh-CN"/>
              </w:rPr>
            </w:pPr>
            <w:r>
              <w:rPr>
                <w:rFonts w:hint="eastAsia"/>
                <w:lang w:val="en-US" w:eastAsia="zh-CN"/>
              </w:rPr>
              <w:t>生产车间和污水处理措施设导流槽、围堰</w:t>
            </w:r>
          </w:p>
        </w:tc>
        <w:tc>
          <w:tcPr>
            <w:tcW w:w="1512" w:type="dxa"/>
            <w:vAlign w:val="center"/>
          </w:tcPr>
          <w:p w14:paraId="502AF14A">
            <w:pPr>
              <w:pStyle w:val="75"/>
              <w:rPr>
                <w:rFonts w:hint="default"/>
                <w:lang w:val="en-US" w:eastAsia="zh-CN"/>
              </w:rPr>
            </w:pPr>
            <w:r>
              <w:rPr>
                <w:rFonts w:hint="eastAsia"/>
                <w:lang w:val="en-US" w:eastAsia="zh-CN"/>
              </w:rPr>
              <w:t>10</w:t>
            </w:r>
          </w:p>
        </w:tc>
      </w:tr>
      <w:tr w14:paraId="4652E4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650" w:type="dxa"/>
            <w:vAlign w:val="center"/>
          </w:tcPr>
          <w:p w14:paraId="675FB730">
            <w:pPr>
              <w:pStyle w:val="75"/>
              <w:ind w:firstLine="0" w:firstLineChars="0"/>
            </w:pPr>
            <w:r>
              <w:t>4</w:t>
            </w:r>
          </w:p>
        </w:tc>
        <w:tc>
          <w:tcPr>
            <w:tcW w:w="1538" w:type="dxa"/>
            <w:vAlign w:val="center"/>
          </w:tcPr>
          <w:p w14:paraId="1CED8F0C">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snapToGrid w:val="0"/>
                <w:spacing w:val="0"/>
                <w:w w:val="100"/>
                <w:kern w:val="21"/>
                <w:position w:val="0"/>
                <w:sz w:val="21"/>
                <w:szCs w:val="21"/>
                <w:lang w:val="en-US" w:eastAsia="zh-CN"/>
              </w:rPr>
            </w:pPr>
            <w:r>
              <w:rPr>
                <w:rFonts w:hint="eastAsia" w:ascii="Times New Roman" w:hAnsi="Times New Roman" w:eastAsia="宋体" w:cs="Times New Roman"/>
                <w:snapToGrid w:val="0"/>
                <w:spacing w:val="0"/>
                <w:w w:val="100"/>
                <w:kern w:val="21"/>
                <w:position w:val="0"/>
                <w:sz w:val="21"/>
                <w:szCs w:val="21"/>
                <w:lang w:val="en-US" w:eastAsia="zh-CN"/>
              </w:rPr>
              <w:t>事故水池</w:t>
            </w:r>
          </w:p>
        </w:tc>
        <w:tc>
          <w:tcPr>
            <w:tcW w:w="4599" w:type="dxa"/>
            <w:vAlign w:val="center"/>
          </w:tcPr>
          <w:p w14:paraId="645FCC22">
            <w:pPr>
              <w:pStyle w:val="75"/>
              <w:ind w:firstLine="0" w:firstLineChars="0"/>
              <w:rPr>
                <w:rFonts w:hint="default"/>
                <w:lang w:val="en-US" w:eastAsia="zh-CN"/>
              </w:rPr>
            </w:pPr>
            <w:r>
              <w:rPr>
                <w:rFonts w:hint="default"/>
                <w:lang w:val="en-US" w:eastAsia="zh-CN"/>
              </w:rPr>
              <w:t>事故水池（不小于</w:t>
            </w:r>
            <w:r>
              <w:rPr>
                <w:rFonts w:hint="eastAsia"/>
                <w:lang w:val="en-US" w:eastAsia="zh-CN"/>
              </w:rPr>
              <w:t>300</w:t>
            </w:r>
            <w:r>
              <w:rPr>
                <w:rFonts w:hint="default"/>
                <w:lang w:val="en-US" w:eastAsia="zh-CN"/>
              </w:rPr>
              <w:t>m</w:t>
            </w:r>
            <w:r>
              <w:rPr>
                <w:rFonts w:hint="default"/>
                <w:vertAlign w:val="superscript"/>
                <w:lang w:val="en-US" w:eastAsia="zh-CN"/>
              </w:rPr>
              <w:t>3</w:t>
            </w:r>
            <w:r>
              <w:rPr>
                <w:rFonts w:hint="default"/>
                <w:lang w:val="en-US" w:eastAsia="zh-CN"/>
              </w:rPr>
              <w:t>）</w:t>
            </w:r>
          </w:p>
        </w:tc>
        <w:tc>
          <w:tcPr>
            <w:tcW w:w="1512" w:type="dxa"/>
            <w:vAlign w:val="center"/>
          </w:tcPr>
          <w:p w14:paraId="380D9215">
            <w:pPr>
              <w:pStyle w:val="75"/>
              <w:rPr>
                <w:rFonts w:hint="default"/>
                <w:lang w:val="en-US" w:eastAsia="zh-CN"/>
              </w:rPr>
            </w:pPr>
            <w:r>
              <w:rPr>
                <w:rFonts w:hint="eastAsia"/>
                <w:lang w:val="en-US" w:eastAsia="zh-CN"/>
              </w:rPr>
              <w:t>10</w:t>
            </w:r>
          </w:p>
        </w:tc>
      </w:tr>
      <w:tr w14:paraId="4FFCE6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26FA8F10">
            <w:pPr>
              <w:pStyle w:val="75"/>
              <w:ind w:firstLine="0" w:firstLineChars="0"/>
            </w:pPr>
            <w:r>
              <w:t>5</w:t>
            </w:r>
          </w:p>
        </w:tc>
        <w:tc>
          <w:tcPr>
            <w:tcW w:w="1538" w:type="dxa"/>
            <w:vAlign w:val="center"/>
          </w:tcPr>
          <w:p w14:paraId="0077A21F">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eastAsia"/>
                <w:lang w:val="en-US" w:eastAsia="zh-CN"/>
              </w:rPr>
            </w:pPr>
            <w:r>
              <w:rPr>
                <w:rFonts w:hint="default" w:ascii="Times New Roman" w:hAnsi="Times New Roman" w:cs="Times New Roman"/>
                <w:snapToGrid w:val="0"/>
                <w:spacing w:val="0"/>
                <w:w w:val="100"/>
                <w:kern w:val="21"/>
                <w:position w:val="0"/>
                <w:sz w:val="21"/>
                <w:szCs w:val="21"/>
              </w:rPr>
              <w:t>消防设施</w:t>
            </w:r>
          </w:p>
        </w:tc>
        <w:tc>
          <w:tcPr>
            <w:tcW w:w="4599" w:type="dxa"/>
            <w:vAlign w:val="center"/>
          </w:tcPr>
          <w:p w14:paraId="74CDE74C">
            <w:pPr>
              <w:pStyle w:val="75"/>
              <w:ind w:firstLine="0" w:firstLineChars="0"/>
              <w:rPr>
                <w:rFonts w:hint="eastAsia"/>
                <w:lang w:val="en-US" w:eastAsia="zh-CN"/>
              </w:rPr>
            </w:pPr>
            <w:r>
              <w:rPr>
                <w:rFonts w:hint="default"/>
                <w:lang w:val="en-US" w:eastAsia="zh-CN"/>
              </w:rPr>
              <w:t>灭火器及消防栓，泡沫、干粉消防系统等</w:t>
            </w:r>
          </w:p>
        </w:tc>
        <w:tc>
          <w:tcPr>
            <w:tcW w:w="1512" w:type="dxa"/>
            <w:vAlign w:val="center"/>
          </w:tcPr>
          <w:p w14:paraId="07FC7990">
            <w:pPr>
              <w:pStyle w:val="75"/>
              <w:rPr>
                <w:rFonts w:hint="eastAsia" w:eastAsia="宋体"/>
                <w:lang w:val="en-US" w:eastAsia="zh-CN"/>
              </w:rPr>
            </w:pPr>
            <w:r>
              <w:rPr>
                <w:rFonts w:hint="eastAsia"/>
                <w:lang w:val="en-US" w:eastAsia="zh-CN"/>
              </w:rPr>
              <w:t>5</w:t>
            </w:r>
          </w:p>
        </w:tc>
      </w:tr>
      <w:tr w14:paraId="149A2C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3D20CA1">
            <w:pPr>
              <w:pStyle w:val="75"/>
              <w:ind w:firstLine="0" w:firstLineChars="0"/>
            </w:pPr>
            <w:r>
              <w:rPr>
                <w:rFonts w:hint="eastAsia"/>
              </w:rPr>
              <w:t>6</w:t>
            </w:r>
          </w:p>
        </w:tc>
        <w:tc>
          <w:tcPr>
            <w:tcW w:w="1538" w:type="dxa"/>
            <w:vAlign w:val="center"/>
          </w:tcPr>
          <w:p w14:paraId="4B6190AF">
            <w:pPr>
              <w:pStyle w:val="126"/>
              <w:keepNext w:val="0"/>
              <w:keepLines w:val="0"/>
              <w:pageBreakBefore w:val="0"/>
              <w:widowControl/>
              <w:kinsoku/>
              <w:wordWrap/>
              <w:overflowPunct/>
              <w:topLinePunct/>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spacing w:val="0"/>
                <w:w w:val="100"/>
                <w:kern w:val="21"/>
                <w:position w:val="0"/>
                <w:sz w:val="21"/>
                <w:szCs w:val="21"/>
                <w:lang w:val="en-US" w:eastAsia="zh-CN"/>
              </w:rPr>
            </w:pPr>
            <w:r>
              <w:rPr>
                <w:rFonts w:hint="eastAsia" w:ascii="Times New Roman" w:hAnsi="Times New Roman" w:eastAsia="宋体" w:cs="Times New Roman"/>
                <w:snapToGrid w:val="0"/>
                <w:spacing w:val="0"/>
                <w:w w:val="100"/>
                <w:kern w:val="21"/>
                <w:position w:val="0"/>
                <w:sz w:val="21"/>
                <w:szCs w:val="21"/>
                <w:lang w:val="en-US" w:eastAsia="zh-CN"/>
              </w:rPr>
              <w:t>安全设施</w:t>
            </w:r>
          </w:p>
        </w:tc>
        <w:tc>
          <w:tcPr>
            <w:tcW w:w="4599" w:type="dxa"/>
            <w:vAlign w:val="center"/>
          </w:tcPr>
          <w:p w14:paraId="2241D555">
            <w:pPr>
              <w:pStyle w:val="75"/>
              <w:ind w:firstLine="0" w:firstLineChars="0"/>
              <w:rPr>
                <w:rFonts w:hint="eastAsia"/>
                <w:lang w:val="en-US" w:eastAsia="zh-CN"/>
              </w:rPr>
            </w:pPr>
            <w:r>
              <w:rPr>
                <w:rFonts w:hint="eastAsia"/>
                <w:lang w:val="en-US" w:eastAsia="zh-CN"/>
              </w:rPr>
              <w:t>个人防护装备、洗眼器，事故应急柜，急救药品</w:t>
            </w:r>
          </w:p>
        </w:tc>
        <w:tc>
          <w:tcPr>
            <w:tcW w:w="1512" w:type="dxa"/>
            <w:vAlign w:val="center"/>
          </w:tcPr>
          <w:p w14:paraId="71D057C6">
            <w:pPr>
              <w:pStyle w:val="75"/>
              <w:rPr>
                <w:rFonts w:hint="default"/>
                <w:lang w:val="en-US" w:eastAsia="zh-CN"/>
              </w:rPr>
            </w:pPr>
            <w:r>
              <w:rPr>
                <w:rFonts w:hint="eastAsia"/>
                <w:lang w:val="en-US" w:eastAsia="zh-CN"/>
              </w:rPr>
              <w:t>5</w:t>
            </w:r>
          </w:p>
        </w:tc>
      </w:tr>
      <w:tr w14:paraId="09D63E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17F9F7F2">
            <w:pPr>
              <w:pStyle w:val="75"/>
              <w:ind w:firstLine="0" w:firstLineChars="0"/>
              <w:rPr>
                <w:rFonts w:hint="eastAsia" w:eastAsia="宋体"/>
                <w:lang w:val="en-US" w:eastAsia="zh-CN"/>
              </w:rPr>
            </w:pPr>
            <w:r>
              <w:rPr>
                <w:rFonts w:hint="eastAsia"/>
                <w:lang w:val="en-US" w:eastAsia="zh-CN"/>
              </w:rPr>
              <w:t>7</w:t>
            </w:r>
          </w:p>
        </w:tc>
        <w:tc>
          <w:tcPr>
            <w:tcW w:w="1538" w:type="dxa"/>
            <w:vAlign w:val="center"/>
          </w:tcPr>
          <w:p w14:paraId="0AB1F111">
            <w:pPr>
              <w:pStyle w:val="75"/>
              <w:ind w:firstLine="0" w:firstLineChars="0"/>
              <w:rPr>
                <w:rFonts w:hint="default" w:eastAsia="宋体"/>
                <w:lang w:val="en-US" w:eastAsia="zh-CN"/>
              </w:rPr>
            </w:pPr>
            <w:r>
              <w:rPr>
                <w:rFonts w:hint="eastAsia"/>
                <w:lang w:val="en-US" w:eastAsia="zh-CN"/>
              </w:rPr>
              <w:t>事故应急预案</w:t>
            </w:r>
          </w:p>
        </w:tc>
        <w:tc>
          <w:tcPr>
            <w:tcW w:w="4599" w:type="dxa"/>
            <w:vAlign w:val="center"/>
          </w:tcPr>
          <w:p w14:paraId="425B6601">
            <w:pPr>
              <w:pStyle w:val="75"/>
              <w:ind w:firstLine="0" w:firstLineChars="0"/>
              <w:rPr>
                <w:rFonts w:hint="eastAsia"/>
                <w:lang w:val="en-US" w:eastAsia="zh-CN"/>
              </w:rPr>
            </w:pPr>
            <w:r>
              <w:rPr>
                <w:rFonts w:hint="default"/>
                <w:lang w:val="en-US" w:eastAsia="zh-CN"/>
              </w:rPr>
              <w:t>完善突发事故应急预案，并进行培训和演练</w:t>
            </w:r>
          </w:p>
        </w:tc>
        <w:tc>
          <w:tcPr>
            <w:tcW w:w="1512" w:type="dxa"/>
            <w:vAlign w:val="center"/>
          </w:tcPr>
          <w:p w14:paraId="4765074F">
            <w:pPr>
              <w:pStyle w:val="75"/>
              <w:rPr>
                <w:rFonts w:hint="eastAsia" w:eastAsia="宋体"/>
                <w:lang w:val="en-US" w:eastAsia="zh-CN"/>
              </w:rPr>
            </w:pPr>
            <w:r>
              <w:rPr>
                <w:rFonts w:hint="eastAsia"/>
                <w:lang w:val="en-US" w:eastAsia="zh-CN"/>
              </w:rPr>
              <w:t>2</w:t>
            </w:r>
          </w:p>
        </w:tc>
      </w:tr>
      <w:tr w14:paraId="2C0F2F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7" w:type="dxa"/>
            <w:gridSpan w:val="3"/>
            <w:vAlign w:val="center"/>
          </w:tcPr>
          <w:p w14:paraId="2621BBF4">
            <w:pPr>
              <w:pStyle w:val="75"/>
            </w:pPr>
            <w:r>
              <w:rPr>
                <w:rFonts w:hint="eastAsia"/>
              </w:rPr>
              <w:t>合计</w:t>
            </w:r>
          </w:p>
        </w:tc>
        <w:tc>
          <w:tcPr>
            <w:tcW w:w="1512" w:type="dxa"/>
            <w:vAlign w:val="center"/>
          </w:tcPr>
          <w:p w14:paraId="77344A31">
            <w:pPr>
              <w:pStyle w:val="75"/>
              <w:rPr>
                <w:rFonts w:hint="default" w:eastAsia="宋体"/>
                <w:lang w:val="en-US" w:eastAsia="zh-CN"/>
              </w:rPr>
            </w:pPr>
            <w:r>
              <w:rPr>
                <w:rFonts w:hint="eastAsia"/>
                <w:lang w:val="en-US" w:eastAsia="zh-CN"/>
              </w:rPr>
              <w:t>40</w:t>
            </w:r>
          </w:p>
        </w:tc>
      </w:tr>
    </w:tbl>
    <w:p w14:paraId="4F6D585D">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19" w:name="_Toc23713"/>
      <w:bookmarkStart w:id="620" w:name="_Toc108122590"/>
      <w:r>
        <w:rPr>
          <w:rFonts w:hint="eastAsia"/>
          <w:lang w:val="en-US" w:eastAsia="zh-CN"/>
        </w:rPr>
        <w:t>6.7环境风险评价结论</w:t>
      </w:r>
      <w:bookmarkEnd w:id="619"/>
    </w:p>
    <w:p w14:paraId="5D140E7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6.7.1项目环境风险</w:t>
      </w:r>
      <w:bookmarkEnd w:id="620"/>
      <w:r>
        <w:rPr>
          <w:rFonts w:hint="eastAsia" w:cs="Times New Roman"/>
          <w:lang w:val="en-US" w:eastAsia="zh-CN"/>
        </w:rPr>
        <w:t>因素</w:t>
      </w:r>
    </w:p>
    <w:p w14:paraId="20232D68">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rPr>
        <w:t>本项目生产过程中涉及到硫酸、铬及其化合物、镍及其化合物等危险物质，在生产过程中存在一定的环境风险。本次评价从环境敏感程度、工程所涉及的危险物质和工</w:t>
      </w:r>
      <w:r>
        <w:rPr>
          <w:rFonts w:hint="eastAsia"/>
          <w:color w:val="000000" w:themeColor="text1"/>
          <w:highlight w:val="none"/>
          <w14:textFill>
            <w14:solidFill>
              <w14:schemeClr w14:val="tx1"/>
            </w14:solidFill>
          </w14:textFill>
        </w:rPr>
        <w:t>艺特性等分析，判断项目大气环境风险评价等级为二级评价，地表水为</w:t>
      </w:r>
      <w:r>
        <w:rPr>
          <w:rFonts w:hint="eastAsia"/>
          <w:color w:val="000000" w:themeColor="text1"/>
          <w:highlight w:val="none"/>
          <w:lang w:val="en-US" w:eastAsia="zh-CN"/>
          <w14:textFill>
            <w14:solidFill>
              <w14:schemeClr w14:val="tx1"/>
            </w14:solidFill>
          </w14:textFill>
        </w:rPr>
        <w:t>三级评价</w:t>
      </w:r>
      <w:r>
        <w:rPr>
          <w:rFonts w:hint="eastAsia"/>
          <w:color w:val="000000" w:themeColor="text1"/>
          <w:highlight w:val="none"/>
          <w14:textFill>
            <w14:solidFill>
              <w14:schemeClr w14:val="tx1"/>
            </w14:solidFill>
          </w14:textFill>
        </w:rPr>
        <w:t>，地下水环境风险评价等级为三级评价。评价按照导则要求对大气、地表水及地下水环境风险进行了预测分析，并提出相应的防范措施。</w:t>
      </w:r>
    </w:p>
    <w:p w14:paraId="64BADA45">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6.7.2事故环境影响评价</w:t>
      </w:r>
    </w:p>
    <w:p w14:paraId="0F30BECF">
      <w:pPr>
        <w:keepNext w:val="0"/>
        <w:keepLines w:val="0"/>
        <w:pageBreakBefore w:val="0"/>
        <w:kinsoku/>
        <w:wordWrap/>
        <w:overflowPunct/>
        <w:autoSpaceDE/>
        <w:autoSpaceDN/>
        <w:bidi w:val="0"/>
        <w:adjustRightInd w:val="0"/>
        <w:snapToGrid w:val="0"/>
        <w:spacing w:line="520" w:lineRule="exact"/>
        <w:ind w:leftChars="0" w:firstLine="480" w:firstLineChars="200"/>
        <w:rPr>
          <w:rFonts w:hint="eastAsia" w:hAnsi="宋体"/>
          <w:color w:val="auto"/>
          <w:highlight w:val="none"/>
        </w:rPr>
      </w:pPr>
      <w:r>
        <w:rPr>
          <w:rFonts w:hint="eastAsia" w:hAnsi="宋体"/>
          <w:color w:val="auto"/>
          <w:highlight w:val="none"/>
        </w:rPr>
        <w:t>（1）大气环境</w:t>
      </w:r>
    </w:p>
    <w:p w14:paraId="51870BE7">
      <w:pPr>
        <w:keepNext w:val="0"/>
        <w:keepLines w:val="0"/>
        <w:pageBreakBefore w:val="0"/>
        <w:kinsoku/>
        <w:wordWrap/>
        <w:overflowPunct/>
        <w:autoSpaceDE/>
        <w:autoSpaceDN/>
        <w:bidi w:val="0"/>
        <w:adjustRightInd w:val="0"/>
        <w:snapToGrid w:val="0"/>
        <w:spacing w:line="520" w:lineRule="exact"/>
        <w:ind w:leftChars="0" w:firstLine="480" w:firstLineChars="200"/>
        <w:rPr>
          <w:rFonts w:hint="eastAsia"/>
          <w:color w:val="auto"/>
          <w:highlight w:val="none"/>
        </w:rPr>
      </w:pPr>
      <w:r>
        <w:rPr>
          <w:rFonts w:hint="eastAsia"/>
          <w:color w:val="auto"/>
          <w:highlight w:val="none"/>
        </w:rPr>
        <w:t>最不利气象条件下，硫酸泄漏时未出现大气毒性终点浓度-1（160mg/m</w:t>
      </w:r>
      <w:r>
        <w:rPr>
          <w:rFonts w:hint="eastAsia"/>
          <w:color w:val="auto"/>
          <w:highlight w:val="none"/>
          <w:vertAlign w:val="superscript"/>
        </w:rPr>
        <w:t>3</w:t>
      </w:r>
      <w:r>
        <w:rPr>
          <w:rFonts w:hint="eastAsia"/>
          <w:color w:val="auto"/>
          <w:highlight w:val="none"/>
        </w:rPr>
        <w:t>）和大气毒性终点浓度-2（8.7mg/m</w:t>
      </w:r>
      <w:r>
        <w:rPr>
          <w:rFonts w:hint="eastAsia"/>
          <w:color w:val="auto"/>
          <w:highlight w:val="none"/>
          <w:vertAlign w:val="superscript"/>
        </w:rPr>
        <w:t>3</w:t>
      </w:r>
      <w:r>
        <w:rPr>
          <w:rFonts w:hint="eastAsia"/>
          <w:color w:val="auto"/>
          <w:highlight w:val="none"/>
        </w:rPr>
        <w:t>），泄漏后会挥发少量硫酸雾，对周围环境影响较小。由于本项目硫酸储罐发生泄漏后能在短时间内得到控制和处理，因此其环境风险可以接受。</w:t>
      </w:r>
    </w:p>
    <w:p w14:paraId="1584CE70">
      <w:pPr>
        <w:keepNext w:val="0"/>
        <w:keepLines w:val="0"/>
        <w:pageBreakBefore w:val="0"/>
        <w:kinsoku/>
        <w:wordWrap/>
        <w:overflowPunct/>
        <w:autoSpaceDE/>
        <w:autoSpaceDN/>
        <w:bidi w:val="0"/>
        <w:adjustRightInd w:val="0"/>
        <w:snapToGrid w:val="0"/>
        <w:spacing w:line="520" w:lineRule="exact"/>
        <w:ind w:leftChars="0" w:firstLine="480" w:firstLineChars="20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综上所述，在事故发生时，应采取以下应急措施：及时切断泄漏源；现场抢修施工人员要做好防护措施；在最短时间内，下风向环境敏感点居民应迅速撤离至安全区。</w:t>
      </w:r>
    </w:p>
    <w:p w14:paraId="54F86D31">
      <w:pPr>
        <w:pStyle w:val="94"/>
        <w:keepNext w:val="0"/>
        <w:keepLines w:val="0"/>
        <w:pageBreakBefore w:val="0"/>
        <w:widowControl/>
        <w:numPr>
          <w:ilvl w:val="0"/>
          <w:numId w:val="0"/>
        </w:numPr>
        <w:tabs>
          <w:tab w:val="left" w:pos="950"/>
        </w:tabs>
        <w:kinsoku/>
        <w:wordWrap/>
        <w:overflowPunct/>
        <w:topLinePunct/>
        <w:autoSpaceDE/>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t>（2）地表水环境</w:t>
      </w:r>
    </w:p>
    <w:p w14:paraId="4CDA349D">
      <w:pPr>
        <w:pStyle w:val="16"/>
        <w:keepNext w:val="0"/>
        <w:keepLines w:val="0"/>
        <w:pageBreakBefore w:val="0"/>
        <w:widowControl/>
        <w:kinsoku/>
        <w:wordWrap/>
        <w:overflowPunct/>
        <w:topLinePunct/>
        <w:autoSpaceDE/>
        <w:autoSpaceDN/>
        <w:bidi w:val="0"/>
        <w:adjustRightInd w:val="0"/>
        <w:snapToGrid w:val="0"/>
        <w:spacing w:after="0" w:line="520" w:lineRule="exact"/>
        <w:ind w:left="0" w:leftChars="0" w:right="0" w:firstLine="480" w:firstLineChars="200"/>
        <w:jc w:val="both"/>
        <w:textAlignment w:val="auto"/>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t>在做好各项污染防治措施后，项目厂区废水、液态物料、消防废水在事故状态没有直接进入地表水体的途径，同时项目距离周围地表水体距离较远，因此，本项目事故状态下对周围地表水体产生的影响较小。</w:t>
      </w:r>
    </w:p>
    <w:p w14:paraId="56651802">
      <w:pPr>
        <w:pStyle w:val="94"/>
        <w:keepNext w:val="0"/>
        <w:keepLines w:val="0"/>
        <w:pageBreakBefore w:val="0"/>
        <w:widowControl/>
        <w:numPr>
          <w:ilvl w:val="0"/>
          <w:numId w:val="0"/>
        </w:numPr>
        <w:tabs>
          <w:tab w:val="left" w:pos="950"/>
        </w:tabs>
        <w:kinsoku/>
        <w:wordWrap/>
        <w:overflowPunct/>
        <w:topLinePunct/>
        <w:autoSpaceDE/>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t>（3）地下水环境</w:t>
      </w:r>
    </w:p>
    <w:p w14:paraId="310788DF">
      <w:pPr>
        <w:keepNext w:val="0"/>
        <w:keepLines w:val="0"/>
        <w:pageBreakBefore w:val="0"/>
        <w:widowControl w:val="0"/>
        <w:kinsoku/>
        <w:wordWrap/>
        <w:overflowPunct/>
        <w:topLinePunct w:val="0"/>
        <w:autoSpaceDE/>
        <w:autoSpaceDN/>
        <w:bidi w:val="0"/>
        <w:adjustRightInd w:val="0"/>
        <w:snapToGrid w:val="0"/>
        <w:ind w:firstLine="480"/>
        <w:textAlignment w:val="baseline"/>
        <w:rPr>
          <w:rFonts w:hint="default" w:ascii="Times New Roman" w:hAnsi="Times New Roman" w:cs="Times New Roman"/>
          <w:b w:val="0"/>
          <w:bCs w:val="0"/>
          <w:color w:val="000000" w:themeColor="text1"/>
          <w:u w:val="none"/>
          <w14:textFill>
            <w14:solidFill>
              <w14:schemeClr w14:val="tx1"/>
            </w14:solidFill>
          </w14:textFill>
        </w:rPr>
      </w:pPr>
      <w:r>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t>根据地下水预测结果可知本项目发生泄漏事故后，</w:t>
      </w:r>
      <w:r>
        <w:rPr>
          <w:rFonts w:hint="default" w:ascii="Times New Roman" w:hAnsi="Times New Roman" w:cs="Times New Roman"/>
          <w:b w:val="0"/>
          <w:bCs w:val="0"/>
          <w:color w:val="000000" w:themeColor="text1"/>
          <w:u w:val="none"/>
          <w14:textFill>
            <w14:solidFill>
              <w14:schemeClr w14:val="tx1"/>
            </w14:solidFill>
          </w14:textFill>
        </w:rPr>
        <w:t>在项目连续泄漏</w:t>
      </w:r>
      <w:r>
        <w:rPr>
          <w:rFonts w:hint="default" w:ascii="Times New Roman" w:hAnsi="Times New Roman" w:cs="Times New Roman"/>
          <w:b w:val="0"/>
          <w:bCs w:val="0"/>
          <w:color w:val="000000" w:themeColor="text1"/>
          <w:u w:val="none"/>
          <w:lang w:val="en-US" w:eastAsia="zh-CN"/>
          <w14:textFill>
            <w14:solidFill>
              <w14:schemeClr w14:val="tx1"/>
            </w14:solidFill>
          </w14:textFill>
        </w:rPr>
        <w:t>365</w:t>
      </w:r>
      <w:r>
        <w:rPr>
          <w:rFonts w:hint="default" w:ascii="Times New Roman" w:hAnsi="Times New Roman" w:cs="Times New Roman"/>
          <w:b w:val="0"/>
          <w:bCs w:val="0"/>
          <w:color w:val="000000" w:themeColor="text1"/>
          <w:u w:val="none"/>
          <w14:textFill>
            <w14:solidFill>
              <w14:schemeClr w14:val="tx1"/>
            </w14:solidFill>
          </w14:textFill>
        </w:rPr>
        <w:t>天停止后100d、500d、1000d，</w:t>
      </w:r>
      <w:r>
        <w:rPr>
          <w:rFonts w:hint="default" w:ascii="Times New Roman" w:hAnsi="Times New Roman" w:cs="Times New Roman"/>
          <w:b w:val="0"/>
          <w:bCs w:val="0"/>
          <w:color w:val="000000" w:themeColor="text1"/>
          <w:u w:val="none"/>
          <w:lang w:val="en-US" w:eastAsia="zh-CN"/>
          <w14:textFill>
            <w14:solidFill>
              <w14:schemeClr w14:val="tx1"/>
            </w14:solidFill>
          </w14:textFill>
        </w:rPr>
        <w:t>总镍</w:t>
      </w:r>
      <w:r>
        <w:rPr>
          <w:rFonts w:hint="default" w:ascii="Times New Roman" w:hAnsi="Times New Roman" w:cs="Times New Roman"/>
          <w:b w:val="0"/>
          <w:bCs w:val="0"/>
          <w:color w:val="000000" w:themeColor="text1"/>
          <w:u w:val="none"/>
          <w14:textFill>
            <w14:solidFill>
              <w14:schemeClr w14:val="tx1"/>
            </w14:solidFill>
          </w14:textFill>
        </w:rPr>
        <w:t>对区域地下水质量造成影响的范围为下游</w:t>
      </w:r>
      <w:r>
        <w:rPr>
          <w:rFonts w:hint="eastAsia" w:cs="Times New Roman"/>
          <w:b w:val="0"/>
          <w:bCs w:val="0"/>
          <w:color w:val="000000" w:themeColor="text1"/>
          <w:u w:val="none"/>
          <w:lang w:val="en-US" w:eastAsia="zh-CN"/>
          <w14:textFill>
            <w14:solidFill>
              <w14:schemeClr w14:val="tx1"/>
            </w14:solidFill>
          </w14:textFill>
        </w:rPr>
        <w:t>4.1</w:t>
      </w:r>
      <w:r>
        <w:rPr>
          <w:rFonts w:hint="default" w:ascii="Times New Roman" w:hAnsi="Times New Roman" w:cs="Times New Roman"/>
          <w:b w:val="0"/>
          <w:bCs w:val="0"/>
          <w:color w:val="000000" w:themeColor="text1"/>
          <w:u w:val="none"/>
          <w14:textFill>
            <w14:solidFill>
              <w14:schemeClr w14:val="tx1"/>
            </w14:solidFill>
          </w14:textFill>
        </w:rPr>
        <w:t>m、</w:t>
      </w:r>
      <w:r>
        <w:rPr>
          <w:rFonts w:hint="eastAsia" w:cs="Times New Roman"/>
          <w:b w:val="0"/>
          <w:bCs w:val="0"/>
          <w:color w:val="000000" w:themeColor="text1"/>
          <w:u w:val="none"/>
          <w:lang w:val="en-US" w:eastAsia="zh-CN"/>
          <w14:textFill>
            <w14:solidFill>
              <w14:schemeClr w14:val="tx1"/>
            </w14:solidFill>
          </w14:textFill>
        </w:rPr>
        <w:t>10.5</w:t>
      </w:r>
      <w:r>
        <w:rPr>
          <w:rFonts w:hint="default" w:ascii="Times New Roman" w:hAnsi="Times New Roman" w:cs="Times New Roman"/>
          <w:b w:val="0"/>
          <w:bCs w:val="0"/>
          <w:color w:val="000000" w:themeColor="text1"/>
          <w:u w:val="none"/>
          <w14:textFill>
            <w14:solidFill>
              <w14:schemeClr w14:val="tx1"/>
            </w14:solidFill>
          </w14:textFill>
        </w:rPr>
        <w:t>m和</w:t>
      </w:r>
      <w:r>
        <w:rPr>
          <w:rFonts w:hint="eastAsia" w:cs="Times New Roman"/>
          <w:b w:val="0"/>
          <w:bCs w:val="0"/>
          <w:color w:val="000000" w:themeColor="text1"/>
          <w:u w:val="none"/>
          <w:lang w:val="en-US" w:eastAsia="zh-CN"/>
          <w14:textFill>
            <w14:solidFill>
              <w14:schemeClr w14:val="tx1"/>
            </w14:solidFill>
          </w14:textFill>
        </w:rPr>
        <w:t>16.6</w:t>
      </w:r>
      <w:r>
        <w:rPr>
          <w:rFonts w:hint="default" w:ascii="Times New Roman" w:hAnsi="Times New Roman" w:cs="Times New Roman"/>
          <w:b w:val="0"/>
          <w:bCs w:val="0"/>
          <w:color w:val="000000" w:themeColor="text1"/>
          <w:u w:val="none"/>
          <w14:textFill>
            <w14:solidFill>
              <w14:schemeClr w14:val="tx1"/>
            </w14:solidFill>
          </w14:textFill>
        </w:rPr>
        <w:t>m；</w:t>
      </w:r>
      <w:r>
        <w:rPr>
          <w:rFonts w:hint="default" w:ascii="Times New Roman" w:hAnsi="Times New Roman" w:cs="Times New Roman"/>
          <w:b w:val="0"/>
          <w:bCs w:val="0"/>
          <w:color w:val="000000" w:themeColor="text1"/>
          <w:u w:val="none"/>
          <w:lang w:val="en-US" w:eastAsia="zh-CN"/>
          <w14:textFill>
            <w14:solidFill>
              <w14:schemeClr w14:val="tx1"/>
            </w14:solidFill>
          </w14:textFill>
        </w:rPr>
        <w:t>总铬</w:t>
      </w:r>
      <w:r>
        <w:rPr>
          <w:rFonts w:hint="default" w:ascii="Times New Roman" w:hAnsi="Times New Roman" w:cs="Times New Roman"/>
          <w:b w:val="0"/>
          <w:bCs w:val="0"/>
          <w:color w:val="000000" w:themeColor="text1"/>
          <w:u w:val="none"/>
          <w14:textFill>
            <w14:solidFill>
              <w14:schemeClr w14:val="tx1"/>
            </w14:solidFill>
          </w14:textFill>
        </w:rPr>
        <w:t>对区域地下水质量造成影响的范围为下游</w:t>
      </w:r>
      <w:r>
        <w:rPr>
          <w:rFonts w:hint="eastAsia" w:cs="Times New Roman"/>
          <w:b w:val="0"/>
          <w:bCs w:val="0"/>
          <w:color w:val="000000" w:themeColor="text1"/>
          <w:u w:val="none"/>
          <w:lang w:val="en-US" w:eastAsia="zh-CN"/>
          <w14:textFill>
            <w14:solidFill>
              <w14:schemeClr w14:val="tx1"/>
            </w14:solidFill>
          </w14:textFill>
        </w:rPr>
        <w:t>3.4</w:t>
      </w:r>
      <w:r>
        <w:rPr>
          <w:rFonts w:hint="default" w:ascii="Times New Roman" w:hAnsi="Times New Roman" w:cs="Times New Roman"/>
          <w:b w:val="0"/>
          <w:bCs w:val="0"/>
          <w:color w:val="000000" w:themeColor="text1"/>
          <w:u w:val="none"/>
          <w14:textFill>
            <w14:solidFill>
              <w14:schemeClr w14:val="tx1"/>
            </w14:solidFill>
          </w14:textFill>
        </w:rPr>
        <w:t>m、</w:t>
      </w:r>
      <w:r>
        <w:rPr>
          <w:rFonts w:hint="eastAsia" w:cs="Times New Roman"/>
          <w:b w:val="0"/>
          <w:bCs w:val="0"/>
          <w:color w:val="000000" w:themeColor="text1"/>
          <w:u w:val="none"/>
          <w:lang w:val="en-US" w:eastAsia="zh-CN"/>
          <w14:textFill>
            <w14:solidFill>
              <w14:schemeClr w14:val="tx1"/>
            </w14:solidFill>
          </w14:textFill>
        </w:rPr>
        <w:t>9</w:t>
      </w:r>
      <w:r>
        <w:rPr>
          <w:rFonts w:hint="default" w:ascii="Times New Roman" w:hAnsi="Times New Roman" w:cs="Times New Roman"/>
          <w:b w:val="0"/>
          <w:bCs w:val="0"/>
          <w:color w:val="000000" w:themeColor="text1"/>
          <w:u w:val="none"/>
          <w14:textFill>
            <w14:solidFill>
              <w14:schemeClr w14:val="tx1"/>
            </w14:solidFill>
          </w14:textFill>
        </w:rPr>
        <w:t>m和</w:t>
      </w:r>
      <w:r>
        <w:rPr>
          <w:rFonts w:hint="eastAsia" w:cs="Times New Roman"/>
          <w:b w:val="0"/>
          <w:bCs w:val="0"/>
          <w:color w:val="000000" w:themeColor="text1"/>
          <w:u w:val="none"/>
          <w:lang w:val="en-US" w:eastAsia="zh-CN"/>
          <w14:textFill>
            <w14:solidFill>
              <w14:schemeClr w14:val="tx1"/>
            </w14:solidFill>
          </w14:textFill>
        </w:rPr>
        <w:t>14.4</w:t>
      </w:r>
      <w:r>
        <w:rPr>
          <w:rFonts w:hint="default" w:ascii="Times New Roman" w:hAnsi="Times New Roman" w:cs="Times New Roman"/>
          <w:b w:val="0"/>
          <w:bCs w:val="0"/>
          <w:color w:val="000000" w:themeColor="text1"/>
          <w:u w:val="none"/>
          <w14:textFill>
            <w14:solidFill>
              <w14:schemeClr w14:val="tx1"/>
            </w14:solidFill>
          </w14:textFill>
        </w:rPr>
        <w:t>m；</w:t>
      </w:r>
    </w:p>
    <w:p w14:paraId="56730A78">
      <w:pPr>
        <w:pStyle w:val="16"/>
        <w:keepNext w:val="0"/>
        <w:keepLines w:val="0"/>
        <w:pageBreakBefore w:val="0"/>
        <w:widowControl/>
        <w:kinsoku/>
        <w:wordWrap/>
        <w:overflowPunct/>
        <w:topLinePunct/>
        <w:autoSpaceDE/>
        <w:autoSpaceDN/>
        <w:bidi w:val="0"/>
        <w:adjustRightInd w:val="0"/>
        <w:snapToGrid w:val="0"/>
        <w:spacing w:after="0" w:line="520" w:lineRule="exact"/>
        <w:ind w:left="0" w:leftChars="0" w:right="0" w:firstLine="0" w:firstLineChars="0"/>
        <w:textAlignment w:val="auto"/>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0"/>
          <w:highlight w:val="none"/>
          <w:lang w:val="en-US" w:eastAsia="zh-CN" w:bidi="ar-SA"/>
          <w14:textFill>
            <w14:solidFill>
              <w14:schemeClr w14:val="tx1"/>
            </w14:solidFill>
          </w14:textFill>
        </w:rPr>
        <w:t>此范围内无饮用水源井等地下水敏感目标，且地面均做防渗防腐措施，基本不会对地下水造成影响。</w:t>
      </w:r>
    </w:p>
    <w:p w14:paraId="65E1F33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21" w:name="_Toc27566"/>
      <w:bookmarkStart w:id="622" w:name="_Toc30041"/>
      <w:bookmarkStart w:id="623" w:name="_Toc31806"/>
      <w:bookmarkStart w:id="624" w:name="_Toc10857"/>
      <w:r>
        <w:rPr>
          <w:rFonts w:hint="eastAsia" w:cs="Times New Roman"/>
          <w:lang w:val="en-US" w:eastAsia="zh-CN"/>
        </w:rPr>
        <w:t>6.7.3环境风险防范设施和应急预案</w:t>
      </w:r>
    </w:p>
    <w:bookmarkEnd w:id="621"/>
    <w:bookmarkEnd w:id="622"/>
    <w:bookmarkEnd w:id="623"/>
    <w:bookmarkEnd w:id="624"/>
    <w:p w14:paraId="5452DAE9">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textAlignment w:val="auto"/>
        <w:rPr>
          <w:rFonts w:hint="default" w:ascii="Times New Roman" w:hAnsi="Times New Roman" w:eastAsia="宋体" w:cs="Times New Roman"/>
          <w:color w:val="000000" w:themeColor="text1"/>
          <w:sz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bidi="ar-SA"/>
          <w14:textFill>
            <w14:solidFill>
              <w14:schemeClr w14:val="tx1"/>
            </w14:solidFill>
          </w14:textFill>
        </w:rPr>
        <w:t>本次环境风险评价从风险防范、事故处置、应急预案三个层面，建立、制定风险管理体系。建设单位在严格落实本次评价提出的各项风险防范及应急措施的同时，应不断完善风险管理体系，定期对应急预案进行演练、完善修订，本项目建成后应结合</w:t>
      </w:r>
      <w:r>
        <w:rPr>
          <w:rFonts w:hint="eastAsia" w:cs="Times New Roman"/>
          <w:color w:val="000000" w:themeColor="text1"/>
          <w:sz w:val="24"/>
          <w:highlight w:val="none"/>
          <w:lang w:val="en-US" w:eastAsia="zh-CN" w:bidi="ar-SA"/>
          <w14:textFill>
            <w14:solidFill>
              <w14:schemeClr w14:val="tx1"/>
            </w14:solidFill>
          </w14:textFill>
        </w:rPr>
        <w:t>获嘉县</w:t>
      </w:r>
      <w:r>
        <w:rPr>
          <w:rFonts w:hint="default" w:ascii="Times New Roman" w:hAnsi="Times New Roman" w:eastAsia="宋体" w:cs="Times New Roman"/>
          <w:color w:val="000000" w:themeColor="text1"/>
          <w:sz w:val="24"/>
          <w:highlight w:val="none"/>
          <w:lang w:val="en-US" w:eastAsia="zh-CN" w:bidi="ar-SA"/>
          <w14:textFill>
            <w14:solidFill>
              <w14:schemeClr w14:val="tx1"/>
            </w14:solidFill>
          </w14:textFill>
        </w:rPr>
        <w:t>先进制造业开发区的环境风险防控要求，将项目风险与区域环境风险相互联动。</w:t>
      </w:r>
    </w:p>
    <w:p w14:paraId="0D8E972E">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6.7.4环境风险评价结论与建议</w:t>
      </w:r>
    </w:p>
    <w:p w14:paraId="2204D321">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从环境敏感程度、工程所涉及的危险物质和工艺特性分析，判断项目环境风险评价等级为二级评价，经对危险物质对环境影响途径进行定量预测分析并出提出相关风险防范措施的基础上，评价认为，本项目环境风险是可控的。</w:t>
      </w:r>
    </w:p>
    <w:p w14:paraId="0F9F82CC">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为进一步防范建设项目发生环境风险事故，评价提出以下建议：</w:t>
      </w:r>
    </w:p>
    <w:p w14:paraId="556D0064">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（1）企业生产过程中应严格执行国家及有关部门颁布的标准、规范和规定，严格执行安全操作规程，加强工艺管理，严格控制工艺指标，保证系统处于正常状态。</w:t>
      </w:r>
    </w:p>
    <w:p w14:paraId="2C946398">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（2）评价建议企业应加强储罐及生产区生产设施的安全检修、操作，将泄漏事故发生的概率降至最低，尽量减小废气排放对大气环境的影响。</w:t>
      </w:r>
    </w:p>
    <w:p w14:paraId="02B96BA7">
      <w:pPr>
        <w:keepNext w:val="0"/>
        <w:keepLines w:val="0"/>
        <w:pageBreakBefore w:val="0"/>
        <w:widowControl w:val="0"/>
        <w:kinsoku/>
        <w:wordWrap/>
        <w:overflowPunct/>
        <w:topLinePunct w:val="0"/>
        <w:autoSpaceDE/>
        <w:autoSpaceDN/>
        <w:bidi w:val="0"/>
        <w:adjustRightInd w:val="0"/>
        <w:snapToGrid w:val="0"/>
        <w:textAlignment w:val="baseline"/>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严格落实专人巡检制度，如发现存在安全隐患的设施应及时上报并尽快进行更换，杜绝生产设施、管道、阀门等带病运行，切不可因追求生产效益而忽视安全、环保问题。将职工安全、环保培训落到实处，在职工中形成强烈的安全环保意识，将人为失误操作引发的环境风险事故概率降到最低。</w:t>
      </w:r>
    </w:p>
    <w:p w14:paraId="7571EDD0">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25" w:name="_Toc17800"/>
      <w:r>
        <w:rPr>
          <w:rFonts w:hint="eastAsia"/>
          <w:lang w:val="en-US" w:eastAsia="zh-CN"/>
        </w:rPr>
        <w:t>6.8环境风险自查</w:t>
      </w:r>
      <w:bookmarkEnd w:id="625"/>
    </w:p>
    <w:p w14:paraId="055FD4BB">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textAlignment w:val="auto"/>
        <w:rPr>
          <w:rFonts w:hint="default" w:ascii="Times New Roman" w:hAnsi="Times New Roman" w:cs="Times New Roman"/>
          <w:snapToGrid w:val="0"/>
          <w:spacing w:val="0"/>
          <w:w w:val="100"/>
          <w:kern w:val="21"/>
          <w:position w:val="0"/>
          <w:sz w:val="24"/>
          <w:szCs w:val="24"/>
        </w:rPr>
      </w:pPr>
      <w:r>
        <w:rPr>
          <w:rFonts w:hint="default" w:ascii="Times New Roman" w:hAnsi="Times New Roman" w:cs="Times New Roman"/>
          <w:snapToGrid w:val="0"/>
          <w:spacing w:val="0"/>
          <w:w w:val="100"/>
          <w:kern w:val="21"/>
          <w:position w:val="0"/>
          <w:sz w:val="24"/>
          <w:szCs w:val="24"/>
        </w:rPr>
        <w:t>项目环境风险自查情况见下表。</w:t>
      </w:r>
    </w:p>
    <w:p w14:paraId="238DD510">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center"/>
        <w:textAlignment w:val="baseline"/>
        <w:rPr>
          <w:rFonts w:hint="default" w:ascii="Times New Roman" w:hAnsi="Times New Roman" w:cs="宋体" w:eastAsiaTheme="minorEastAsia"/>
          <w:b/>
          <w:kern w:val="2"/>
          <w:sz w:val="24"/>
          <w:szCs w:val="24"/>
          <w:lang w:val="en-US" w:eastAsia="zh-CN" w:bidi="ar-SA"/>
        </w:rPr>
      </w:pPr>
      <w:r>
        <w:rPr>
          <w:rFonts w:hint="eastAsia" w:ascii="Times New Roman" w:hAnsi="Times New Roman" w:cs="宋体" w:eastAsiaTheme="minorEastAsia"/>
          <w:b/>
          <w:kern w:val="2"/>
          <w:sz w:val="24"/>
          <w:szCs w:val="24"/>
          <w:lang w:val="en-US" w:eastAsia="zh-CN" w:bidi="ar-SA"/>
        </w:rPr>
        <w:t>表</w:t>
      </w:r>
      <w:r>
        <w:rPr>
          <w:rFonts w:hint="eastAsia" w:cs="宋体" w:eastAsiaTheme="minorEastAsia"/>
          <w:b/>
          <w:kern w:val="2"/>
          <w:sz w:val="24"/>
          <w:szCs w:val="24"/>
          <w:lang w:val="en-US" w:eastAsia="zh-CN" w:bidi="ar-SA"/>
        </w:rPr>
        <w:t>6.8-1</w:t>
      </w:r>
      <w:r>
        <w:rPr>
          <w:rFonts w:hint="eastAsia" w:ascii="Times New Roman" w:hAnsi="Times New Roman" w:cs="宋体" w:eastAsiaTheme="minorEastAsia"/>
          <w:b/>
          <w:kern w:val="2"/>
          <w:sz w:val="24"/>
          <w:szCs w:val="24"/>
          <w:lang w:val="en-US" w:eastAsia="zh-CN" w:bidi="ar-SA"/>
        </w:rPr>
        <w:t xml:space="preserve">    环境风险评价自查表</w:t>
      </w:r>
    </w:p>
    <w:tbl>
      <w:tblPr>
        <w:tblStyle w:val="39"/>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6"/>
        <w:gridCol w:w="1090"/>
        <w:gridCol w:w="1042"/>
        <w:gridCol w:w="395"/>
        <w:gridCol w:w="353"/>
        <w:gridCol w:w="424"/>
        <w:gridCol w:w="326"/>
        <w:gridCol w:w="309"/>
        <w:gridCol w:w="363"/>
        <w:gridCol w:w="175"/>
        <w:gridCol w:w="588"/>
        <w:gridCol w:w="215"/>
        <w:gridCol w:w="421"/>
        <w:gridCol w:w="834"/>
        <w:gridCol w:w="179"/>
        <w:gridCol w:w="115"/>
        <w:gridCol w:w="1181"/>
      </w:tblGrid>
      <w:tr w14:paraId="6D8D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noWrap/>
            <w:vAlign w:val="center"/>
          </w:tcPr>
          <w:p w14:paraId="199C45D0">
            <w:pPr>
              <w:pStyle w:val="75"/>
              <w:rPr>
                <w:b/>
                <w:bCs/>
              </w:rPr>
            </w:pPr>
            <w:r>
              <w:rPr>
                <w:b/>
                <w:bCs/>
              </w:rPr>
              <w:t>工作内容</w:t>
            </w:r>
          </w:p>
        </w:tc>
        <w:tc>
          <w:tcPr>
            <w:tcW w:w="6920" w:type="dxa"/>
            <w:gridSpan w:val="15"/>
            <w:noWrap/>
            <w:vAlign w:val="center"/>
          </w:tcPr>
          <w:p w14:paraId="18D6C88E">
            <w:pPr>
              <w:pStyle w:val="75"/>
              <w:rPr>
                <w:b/>
                <w:bCs/>
              </w:rPr>
            </w:pPr>
            <w:r>
              <w:rPr>
                <w:b/>
                <w:bCs/>
              </w:rPr>
              <w:t>完成情况</w:t>
            </w:r>
          </w:p>
        </w:tc>
      </w:tr>
      <w:tr w14:paraId="5F0C6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restart"/>
            <w:noWrap/>
            <w:vAlign w:val="center"/>
          </w:tcPr>
          <w:p w14:paraId="69E9C18F">
            <w:pPr>
              <w:pStyle w:val="75"/>
            </w:pPr>
            <w:r>
              <w:t>风险调查</w:t>
            </w:r>
          </w:p>
        </w:tc>
        <w:tc>
          <w:tcPr>
            <w:tcW w:w="1090" w:type="dxa"/>
            <w:vMerge w:val="restart"/>
            <w:noWrap/>
            <w:vAlign w:val="center"/>
          </w:tcPr>
          <w:p w14:paraId="07531AE7">
            <w:pPr>
              <w:pStyle w:val="75"/>
            </w:pPr>
            <w:r>
              <w:t>危险物质</w:t>
            </w:r>
          </w:p>
        </w:tc>
        <w:tc>
          <w:tcPr>
            <w:tcW w:w="1042" w:type="dxa"/>
            <w:noWrap/>
            <w:vAlign w:val="center"/>
          </w:tcPr>
          <w:p w14:paraId="0020274D">
            <w:pPr>
              <w:pStyle w:val="75"/>
            </w:pPr>
            <w:r>
              <w:t>名称</w:t>
            </w:r>
          </w:p>
        </w:tc>
        <w:tc>
          <w:tcPr>
            <w:tcW w:w="748" w:type="dxa"/>
            <w:gridSpan w:val="2"/>
            <w:noWrap/>
            <w:vAlign w:val="center"/>
          </w:tcPr>
          <w:p w14:paraId="1E4235F7">
            <w:pPr>
              <w:pStyle w:val="75"/>
            </w:pPr>
            <w:r>
              <w:rPr>
                <w:rFonts w:hint="eastAsia"/>
              </w:rPr>
              <w:t>硫酸镍</w:t>
            </w:r>
          </w:p>
        </w:tc>
        <w:tc>
          <w:tcPr>
            <w:tcW w:w="750" w:type="dxa"/>
            <w:gridSpan w:val="2"/>
            <w:noWrap/>
            <w:vAlign w:val="center"/>
          </w:tcPr>
          <w:p w14:paraId="51421C7C">
            <w:pPr>
              <w:pStyle w:val="75"/>
            </w:pPr>
            <w:r>
              <w:rPr>
                <w:rFonts w:hint="eastAsia"/>
              </w:rPr>
              <w:t>硫酸</w:t>
            </w:r>
          </w:p>
        </w:tc>
        <w:tc>
          <w:tcPr>
            <w:tcW w:w="672" w:type="dxa"/>
            <w:gridSpan w:val="2"/>
            <w:noWrap/>
            <w:vAlign w:val="center"/>
          </w:tcPr>
          <w:p w14:paraId="7D2D7301">
            <w:pPr>
              <w:pStyle w:val="75"/>
            </w:pPr>
            <w:r>
              <w:rPr>
                <w:rFonts w:hint="eastAsia"/>
              </w:rPr>
              <w:t>氯化镍</w:t>
            </w:r>
          </w:p>
        </w:tc>
        <w:tc>
          <w:tcPr>
            <w:tcW w:w="978" w:type="dxa"/>
            <w:gridSpan w:val="3"/>
            <w:noWrap/>
            <w:vAlign w:val="center"/>
          </w:tcPr>
          <w:p w14:paraId="354ED2C0">
            <w:pPr>
              <w:pStyle w:val="75"/>
              <w:rPr>
                <w:rFonts w:hint="eastAsia" w:eastAsia="宋体"/>
                <w:lang w:val="en-US" w:eastAsia="zh-CN"/>
              </w:rPr>
            </w:pPr>
            <w:r>
              <w:rPr>
                <w:rFonts w:hint="eastAsia"/>
                <w:lang w:val="en-US" w:eastAsia="zh-CN"/>
              </w:rPr>
              <w:t>液压油</w:t>
            </w:r>
          </w:p>
        </w:tc>
        <w:tc>
          <w:tcPr>
            <w:tcW w:w="2730" w:type="dxa"/>
            <w:gridSpan w:val="5"/>
            <w:noWrap/>
            <w:vAlign w:val="center"/>
          </w:tcPr>
          <w:p w14:paraId="2BE8049B">
            <w:pPr>
              <w:pStyle w:val="75"/>
            </w:pPr>
            <w:r>
              <w:rPr>
                <w:rFonts w:hint="eastAsia"/>
                <w:lang w:val="en-US" w:eastAsia="zh-CN"/>
              </w:rPr>
              <w:t>硝酸铬</w:t>
            </w:r>
          </w:p>
        </w:tc>
      </w:tr>
      <w:tr w14:paraId="0E5D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75CB01D7">
            <w:pPr>
              <w:pStyle w:val="75"/>
            </w:pPr>
          </w:p>
        </w:tc>
        <w:tc>
          <w:tcPr>
            <w:tcW w:w="1090" w:type="dxa"/>
            <w:vMerge w:val="continue"/>
            <w:noWrap/>
            <w:vAlign w:val="center"/>
          </w:tcPr>
          <w:p w14:paraId="688B4F9F">
            <w:pPr>
              <w:pStyle w:val="75"/>
            </w:pPr>
          </w:p>
        </w:tc>
        <w:tc>
          <w:tcPr>
            <w:tcW w:w="1042" w:type="dxa"/>
            <w:noWrap/>
            <w:vAlign w:val="center"/>
          </w:tcPr>
          <w:p w14:paraId="2B619E46">
            <w:pPr>
              <w:pStyle w:val="75"/>
            </w:pPr>
            <w:r>
              <w:t>存在总</w:t>
            </w:r>
            <w:r>
              <w:rPr>
                <w:rFonts w:hint="eastAsia"/>
              </w:rPr>
              <w:t>量</w:t>
            </w:r>
            <w:r>
              <w:t>/t</w:t>
            </w:r>
          </w:p>
        </w:tc>
        <w:tc>
          <w:tcPr>
            <w:tcW w:w="748" w:type="dxa"/>
            <w:gridSpan w:val="2"/>
            <w:noWrap/>
            <w:vAlign w:val="center"/>
          </w:tcPr>
          <w:p w14:paraId="6F351020">
            <w:pPr>
              <w:pStyle w:val="75"/>
              <w:rPr>
                <w:rFonts w:hint="default" w:eastAsia="宋体"/>
                <w:lang w:val="en-US" w:eastAsia="zh-CN"/>
              </w:rPr>
            </w:pPr>
            <w:r>
              <w:rPr>
                <w:rFonts w:hint="eastAsia"/>
                <w:lang w:val="en-US" w:eastAsia="zh-CN"/>
              </w:rPr>
              <w:t>8.3</w:t>
            </w:r>
          </w:p>
        </w:tc>
        <w:tc>
          <w:tcPr>
            <w:tcW w:w="750" w:type="dxa"/>
            <w:gridSpan w:val="2"/>
            <w:noWrap/>
            <w:vAlign w:val="center"/>
          </w:tcPr>
          <w:p w14:paraId="2D318531">
            <w:pPr>
              <w:pStyle w:val="75"/>
              <w:rPr>
                <w:rFonts w:hint="default" w:eastAsia="宋体"/>
                <w:lang w:val="en-US" w:eastAsia="zh-CN"/>
              </w:rPr>
            </w:pPr>
            <w:r>
              <w:rPr>
                <w:rFonts w:hint="eastAsia"/>
                <w:lang w:val="en-US" w:eastAsia="zh-CN"/>
              </w:rPr>
              <w:t>4.8</w:t>
            </w:r>
          </w:p>
        </w:tc>
        <w:tc>
          <w:tcPr>
            <w:tcW w:w="672" w:type="dxa"/>
            <w:gridSpan w:val="2"/>
            <w:noWrap/>
            <w:vAlign w:val="center"/>
          </w:tcPr>
          <w:p w14:paraId="1458C556">
            <w:pPr>
              <w:pStyle w:val="75"/>
              <w:rPr>
                <w:rFonts w:hint="default" w:eastAsia="宋体"/>
                <w:lang w:val="en-US" w:eastAsia="zh-CN"/>
              </w:rPr>
            </w:pPr>
            <w:r>
              <w:rPr>
                <w:rFonts w:hint="eastAsia"/>
                <w:lang w:val="en-US" w:eastAsia="zh-CN"/>
              </w:rPr>
              <w:t>2.1</w:t>
            </w:r>
          </w:p>
        </w:tc>
        <w:tc>
          <w:tcPr>
            <w:tcW w:w="978" w:type="dxa"/>
            <w:gridSpan w:val="3"/>
            <w:noWrap/>
            <w:vAlign w:val="center"/>
          </w:tcPr>
          <w:p w14:paraId="1C8C7266">
            <w:pPr>
              <w:pStyle w:val="75"/>
              <w:rPr>
                <w:rFonts w:hint="default" w:eastAsia="宋体"/>
                <w:lang w:val="en-US" w:eastAsia="zh-CN"/>
              </w:rPr>
            </w:pPr>
            <w:r>
              <w:rPr>
                <w:rFonts w:hint="eastAsia"/>
                <w:lang w:val="en-US" w:eastAsia="zh-CN"/>
              </w:rPr>
              <w:t>0.4</w:t>
            </w:r>
          </w:p>
        </w:tc>
        <w:tc>
          <w:tcPr>
            <w:tcW w:w="2730" w:type="dxa"/>
            <w:gridSpan w:val="5"/>
            <w:noWrap/>
            <w:vAlign w:val="center"/>
          </w:tcPr>
          <w:p w14:paraId="64F166B4">
            <w:pPr>
              <w:pStyle w:val="75"/>
            </w:pPr>
            <w:r>
              <w:rPr>
                <w:rFonts w:hint="eastAsia"/>
                <w:lang w:val="en-US" w:eastAsia="zh-CN"/>
              </w:rPr>
              <w:t>4.5</w:t>
            </w:r>
          </w:p>
        </w:tc>
      </w:tr>
      <w:tr w14:paraId="3B3FB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5B947DAD">
            <w:pPr>
              <w:pStyle w:val="75"/>
            </w:pPr>
          </w:p>
        </w:tc>
        <w:tc>
          <w:tcPr>
            <w:tcW w:w="1090" w:type="dxa"/>
            <w:vMerge w:val="restart"/>
            <w:noWrap/>
            <w:vAlign w:val="center"/>
          </w:tcPr>
          <w:p w14:paraId="14D178E7">
            <w:pPr>
              <w:pStyle w:val="75"/>
            </w:pPr>
            <w:r>
              <w:t>环境敏感性</w:t>
            </w:r>
          </w:p>
        </w:tc>
        <w:tc>
          <w:tcPr>
            <w:tcW w:w="1042" w:type="dxa"/>
            <w:vMerge w:val="restart"/>
            <w:noWrap/>
            <w:vAlign w:val="center"/>
          </w:tcPr>
          <w:p w14:paraId="035840A0">
            <w:pPr>
              <w:pStyle w:val="75"/>
            </w:pPr>
            <w:r>
              <w:t>大气</w:t>
            </w:r>
          </w:p>
        </w:tc>
        <w:tc>
          <w:tcPr>
            <w:tcW w:w="3148" w:type="dxa"/>
            <w:gridSpan w:val="9"/>
            <w:noWrap/>
            <w:vAlign w:val="center"/>
          </w:tcPr>
          <w:p w14:paraId="6A8DA2CD">
            <w:pPr>
              <w:pStyle w:val="75"/>
            </w:pPr>
            <w:r>
              <w:t>500 m 范围内人口数</w:t>
            </w:r>
            <w:r>
              <w:rPr>
                <w:rFonts w:hint="eastAsia"/>
                <w:lang w:val="en-US" w:eastAsia="zh-CN"/>
              </w:rPr>
              <w:t>940</w:t>
            </w:r>
            <w:r>
              <w:tab/>
            </w:r>
            <w:r>
              <w:t>人</w:t>
            </w:r>
          </w:p>
        </w:tc>
        <w:tc>
          <w:tcPr>
            <w:tcW w:w="2730" w:type="dxa"/>
            <w:gridSpan w:val="5"/>
            <w:noWrap/>
            <w:vAlign w:val="center"/>
          </w:tcPr>
          <w:p w14:paraId="03764482">
            <w:pPr>
              <w:pStyle w:val="75"/>
            </w:pPr>
            <w:r>
              <w:t>5 km 范围内人口数</w:t>
            </w:r>
            <w:r>
              <w:rPr>
                <w:rFonts w:hint="eastAsia"/>
                <w:color w:val="000000" w:themeColor="text1"/>
                <w:lang w:val="en-US" w:eastAsia="zh-CN"/>
                <w14:textFill>
                  <w14:solidFill>
                    <w14:schemeClr w14:val="tx1"/>
                  </w14:solidFill>
                </w14:textFill>
              </w:rPr>
              <w:t>64186</w:t>
            </w:r>
            <w:r>
              <w:t>人</w:t>
            </w:r>
          </w:p>
        </w:tc>
      </w:tr>
      <w:tr w14:paraId="535A6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19CA4510">
            <w:pPr>
              <w:pStyle w:val="75"/>
            </w:pPr>
          </w:p>
        </w:tc>
        <w:tc>
          <w:tcPr>
            <w:tcW w:w="1090" w:type="dxa"/>
            <w:vMerge w:val="continue"/>
            <w:noWrap/>
            <w:vAlign w:val="center"/>
          </w:tcPr>
          <w:p w14:paraId="28CDC19B">
            <w:pPr>
              <w:pStyle w:val="75"/>
            </w:pPr>
          </w:p>
        </w:tc>
        <w:tc>
          <w:tcPr>
            <w:tcW w:w="1042" w:type="dxa"/>
            <w:vMerge w:val="continue"/>
            <w:noWrap/>
            <w:vAlign w:val="center"/>
          </w:tcPr>
          <w:p w14:paraId="39715C28">
            <w:pPr>
              <w:pStyle w:val="75"/>
            </w:pPr>
          </w:p>
        </w:tc>
        <w:tc>
          <w:tcPr>
            <w:tcW w:w="4582" w:type="dxa"/>
            <w:gridSpan w:val="12"/>
            <w:noWrap/>
            <w:vAlign w:val="center"/>
          </w:tcPr>
          <w:p w14:paraId="0BF8204E">
            <w:pPr>
              <w:pStyle w:val="75"/>
            </w:pPr>
            <w:r>
              <w:t>每公里管段周边 200 m 范围内人口数（最大）</w:t>
            </w:r>
          </w:p>
        </w:tc>
        <w:tc>
          <w:tcPr>
            <w:tcW w:w="1296" w:type="dxa"/>
            <w:gridSpan w:val="2"/>
            <w:noWrap/>
            <w:vAlign w:val="center"/>
          </w:tcPr>
          <w:p w14:paraId="43AA4366">
            <w:pPr>
              <w:pStyle w:val="75"/>
            </w:pPr>
            <w:r>
              <w:t>人</w:t>
            </w:r>
          </w:p>
        </w:tc>
      </w:tr>
      <w:tr w14:paraId="4526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12EA8DE6">
            <w:pPr>
              <w:pStyle w:val="75"/>
            </w:pPr>
          </w:p>
        </w:tc>
        <w:tc>
          <w:tcPr>
            <w:tcW w:w="1090" w:type="dxa"/>
            <w:vMerge w:val="continue"/>
            <w:noWrap/>
            <w:vAlign w:val="center"/>
          </w:tcPr>
          <w:p w14:paraId="0F6DCD5C">
            <w:pPr>
              <w:pStyle w:val="75"/>
            </w:pPr>
          </w:p>
        </w:tc>
        <w:tc>
          <w:tcPr>
            <w:tcW w:w="1042" w:type="dxa"/>
            <w:vMerge w:val="restart"/>
            <w:noWrap/>
            <w:vAlign w:val="center"/>
          </w:tcPr>
          <w:p w14:paraId="351B249D">
            <w:pPr>
              <w:pStyle w:val="75"/>
            </w:pPr>
            <w:r>
              <w:t>地表水</w:t>
            </w:r>
          </w:p>
        </w:tc>
        <w:tc>
          <w:tcPr>
            <w:tcW w:w="1807" w:type="dxa"/>
            <w:gridSpan w:val="5"/>
            <w:noWrap/>
            <w:vAlign w:val="center"/>
          </w:tcPr>
          <w:p w14:paraId="30F815E3">
            <w:pPr>
              <w:pStyle w:val="75"/>
            </w:pPr>
            <w:r>
              <w:t>地表水功能敏感性</w:t>
            </w:r>
          </w:p>
        </w:tc>
        <w:tc>
          <w:tcPr>
            <w:tcW w:w="1341" w:type="dxa"/>
            <w:gridSpan w:val="4"/>
            <w:noWrap/>
            <w:vAlign w:val="center"/>
          </w:tcPr>
          <w:p w14:paraId="7A30E86F">
            <w:pPr>
              <w:pStyle w:val="75"/>
            </w:pPr>
            <w:r>
              <w:t>F1 □</w:t>
            </w:r>
          </w:p>
        </w:tc>
        <w:tc>
          <w:tcPr>
            <w:tcW w:w="1434" w:type="dxa"/>
            <w:gridSpan w:val="3"/>
            <w:noWrap/>
            <w:vAlign w:val="center"/>
          </w:tcPr>
          <w:p w14:paraId="65EEEB94">
            <w:pPr>
              <w:pStyle w:val="75"/>
            </w:pPr>
            <w:r>
              <w:t>F2 □</w:t>
            </w:r>
          </w:p>
        </w:tc>
        <w:tc>
          <w:tcPr>
            <w:tcW w:w="1296" w:type="dxa"/>
            <w:gridSpan w:val="2"/>
            <w:noWrap/>
            <w:vAlign w:val="center"/>
          </w:tcPr>
          <w:p w14:paraId="4C82D92C">
            <w:pPr>
              <w:pStyle w:val="75"/>
            </w:pPr>
            <w:r>
              <w:t xml:space="preserve">F3 </w:t>
            </w:r>
            <w:r>
              <w:rPr/>
              <w:sym w:font="Wingdings 2" w:char="0052"/>
            </w:r>
          </w:p>
        </w:tc>
      </w:tr>
      <w:tr w14:paraId="4FC5B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36B17F3E">
            <w:pPr>
              <w:pStyle w:val="75"/>
            </w:pPr>
          </w:p>
        </w:tc>
        <w:tc>
          <w:tcPr>
            <w:tcW w:w="1090" w:type="dxa"/>
            <w:vMerge w:val="continue"/>
            <w:noWrap/>
            <w:vAlign w:val="center"/>
          </w:tcPr>
          <w:p w14:paraId="6AD21554">
            <w:pPr>
              <w:pStyle w:val="75"/>
            </w:pPr>
          </w:p>
        </w:tc>
        <w:tc>
          <w:tcPr>
            <w:tcW w:w="1042" w:type="dxa"/>
            <w:vMerge w:val="continue"/>
            <w:noWrap/>
            <w:vAlign w:val="center"/>
          </w:tcPr>
          <w:p w14:paraId="58CCFCCD">
            <w:pPr>
              <w:pStyle w:val="75"/>
            </w:pPr>
          </w:p>
        </w:tc>
        <w:tc>
          <w:tcPr>
            <w:tcW w:w="1807" w:type="dxa"/>
            <w:gridSpan w:val="5"/>
            <w:noWrap/>
            <w:vAlign w:val="center"/>
          </w:tcPr>
          <w:p w14:paraId="6FE4B26B">
            <w:pPr>
              <w:pStyle w:val="75"/>
            </w:pPr>
            <w:r>
              <w:t>环境敏感目标分级</w:t>
            </w:r>
          </w:p>
        </w:tc>
        <w:tc>
          <w:tcPr>
            <w:tcW w:w="1341" w:type="dxa"/>
            <w:gridSpan w:val="4"/>
            <w:noWrap/>
            <w:vAlign w:val="center"/>
          </w:tcPr>
          <w:p w14:paraId="65143185">
            <w:pPr>
              <w:pStyle w:val="75"/>
            </w:pPr>
            <w:r>
              <w:t>S1 □</w:t>
            </w:r>
          </w:p>
        </w:tc>
        <w:tc>
          <w:tcPr>
            <w:tcW w:w="1434" w:type="dxa"/>
            <w:gridSpan w:val="3"/>
            <w:noWrap/>
            <w:vAlign w:val="center"/>
          </w:tcPr>
          <w:p w14:paraId="3498E5ED">
            <w:pPr>
              <w:pStyle w:val="75"/>
            </w:pPr>
            <w:r>
              <w:t>S2 □</w:t>
            </w:r>
          </w:p>
        </w:tc>
        <w:tc>
          <w:tcPr>
            <w:tcW w:w="1296" w:type="dxa"/>
            <w:gridSpan w:val="2"/>
            <w:noWrap/>
            <w:vAlign w:val="center"/>
          </w:tcPr>
          <w:p w14:paraId="45EDB637">
            <w:pPr>
              <w:pStyle w:val="75"/>
            </w:pPr>
            <w:r>
              <w:t xml:space="preserve">S3 </w:t>
            </w:r>
            <w:r>
              <w:rPr/>
              <w:sym w:font="Wingdings 2" w:char="0052"/>
            </w:r>
          </w:p>
        </w:tc>
      </w:tr>
      <w:tr w14:paraId="0A3A3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1CCECC77">
            <w:pPr>
              <w:pStyle w:val="75"/>
            </w:pPr>
          </w:p>
        </w:tc>
        <w:tc>
          <w:tcPr>
            <w:tcW w:w="1090" w:type="dxa"/>
            <w:vMerge w:val="continue"/>
            <w:noWrap/>
            <w:vAlign w:val="center"/>
          </w:tcPr>
          <w:p w14:paraId="7AE397C8">
            <w:pPr>
              <w:pStyle w:val="75"/>
            </w:pPr>
          </w:p>
        </w:tc>
        <w:tc>
          <w:tcPr>
            <w:tcW w:w="1042" w:type="dxa"/>
            <w:vMerge w:val="restart"/>
            <w:noWrap/>
            <w:vAlign w:val="center"/>
          </w:tcPr>
          <w:p w14:paraId="423424D8">
            <w:pPr>
              <w:pStyle w:val="75"/>
            </w:pPr>
            <w:r>
              <w:t>地下水</w:t>
            </w:r>
          </w:p>
        </w:tc>
        <w:tc>
          <w:tcPr>
            <w:tcW w:w="1807" w:type="dxa"/>
            <w:gridSpan w:val="5"/>
            <w:noWrap/>
            <w:vAlign w:val="center"/>
          </w:tcPr>
          <w:p w14:paraId="5BD71D97">
            <w:pPr>
              <w:pStyle w:val="75"/>
            </w:pPr>
            <w:r>
              <w:t>地下水功能敏感性</w:t>
            </w:r>
          </w:p>
        </w:tc>
        <w:tc>
          <w:tcPr>
            <w:tcW w:w="1341" w:type="dxa"/>
            <w:gridSpan w:val="4"/>
            <w:noWrap/>
            <w:vAlign w:val="center"/>
          </w:tcPr>
          <w:p w14:paraId="7FF88618">
            <w:pPr>
              <w:pStyle w:val="75"/>
            </w:pPr>
            <w:r>
              <w:t>G1□</w:t>
            </w:r>
          </w:p>
        </w:tc>
        <w:tc>
          <w:tcPr>
            <w:tcW w:w="1434" w:type="dxa"/>
            <w:gridSpan w:val="3"/>
            <w:noWrap/>
            <w:vAlign w:val="center"/>
          </w:tcPr>
          <w:p w14:paraId="18DCE2CD">
            <w:pPr>
              <w:pStyle w:val="75"/>
            </w:pPr>
            <w:r>
              <w:t xml:space="preserve">G2 </w:t>
            </w:r>
            <w:r>
              <w:rPr/>
              <w:sym w:font="Wingdings 2" w:char="0052"/>
            </w:r>
          </w:p>
        </w:tc>
        <w:tc>
          <w:tcPr>
            <w:tcW w:w="1296" w:type="dxa"/>
            <w:gridSpan w:val="2"/>
            <w:noWrap/>
            <w:vAlign w:val="center"/>
          </w:tcPr>
          <w:p w14:paraId="2241E84D">
            <w:pPr>
              <w:pStyle w:val="75"/>
              <w:rPr>
                <w:rFonts w:hint="eastAsia" w:eastAsia="宋体"/>
                <w:lang w:eastAsia="zh-CN"/>
              </w:rPr>
            </w:pPr>
            <w:r>
              <w:t>G3</w:t>
            </w:r>
            <w:r>
              <w:rPr>
                <w:rFonts w:hint="eastAsia"/>
                <w:lang w:eastAsia="zh-CN"/>
              </w:rPr>
              <w:t>□</w:t>
            </w:r>
          </w:p>
        </w:tc>
      </w:tr>
      <w:tr w14:paraId="0CDCA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471DF4DA">
            <w:pPr>
              <w:pStyle w:val="75"/>
            </w:pPr>
          </w:p>
        </w:tc>
        <w:tc>
          <w:tcPr>
            <w:tcW w:w="1090" w:type="dxa"/>
            <w:vMerge w:val="continue"/>
            <w:noWrap/>
            <w:vAlign w:val="center"/>
          </w:tcPr>
          <w:p w14:paraId="08664B02">
            <w:pPr>
              <w:pStyle w:val="75"/>
            </w:pPr>
          </w:p>
        </w:tc>
        <w:tc>
          <w:tcPr>
            <w:tcW w:w="1042" w:type="dxa"/>
            <w:vMerge w:val="continue"/>
            <w:noWrap/>
            <w:vAlign w:val="center"/>
          </w:tcPr>
          <w:p w14:paraId="44376485">
            <w:pPr>
              <w:pStyle w:val="75"/>
            </w:pPr>
          </w:p>
        </w:tc>
        <w:tc>
          <w:tcPr>
            <w:tcW w:w="1807" w:type="dxa"/>
            <w:gridSpan w:val="5"/>
            <w:noWrap/>
            <w:vAlign w:val="center"/>
          </w:tcPr>
          <w:p w14:paraId="3E071A4B">
            <w:pPr>
              <w:pStyle w:val="75"/>
            </w:pPr>
            <w:r>
              <w:t>包气带防污性能</w:t>
            </w:r>
          </w:p>
        </w:tc>
        <w:tc>
          <w:tcPr>
            <w:tcW w:w="1341" w:type="dxa"/>
            <w:gridSpan w:val="4"/>
            <w:noWrap/>
            <w:vAlign w:val="center"/>
          </w:tcPr>
          <w:p w14:paraId="7AEE700A">
            <w:pPr>
              <w:pStyle w:val="75"/>
            </w:pPr>
            <w:r>
              <w:t xml:space="preserve">D1 </w:t>
            </w:r>
            <w:r>
              <w:rPr/>
              <w:sym w:font="Wingdings 2" w:char="0052"/>
            </w:r>
          </w:p>
        </w:tc>
        <w:tc>
          <w:tcPr>
            <w:tcW w:w="1434" w:type="dxa"/>
            <w:gridSpan w:val="3"/>
            <w:noWrap/>
            <w:vAlign w:val="center"/>
          </w:tcPr>
          <w:p w14:paraId="4DCA908E">
            <w:pPr>
              <w:pStyle w:val="75"/>
            </w:pPr>
            <w:r>
              <w:t>D2 □</w:t>
            </w:r>
          </w:p>
        </w:tc>
        <w:tc>
          <w:tcPr>
            <w:tcW w:w="1296" w:type="dxa"/>
            <w:gridSpan w:val="2"/>
            <w:noWrap/>
            <w:vAlign w:val="center"/>
          </w:tcPr>
          <w:p w14:paraId="43AC87B1">
            <w:pPr>
              <w:pStyle w:val="75"/>
            </w:pPr>
            <w:r>
              <w:t>D3 □</w:t>
            </w:r>
          </w:p>
        </w:tc>
      </w:tr>
      <w:tr w14:paraId="0A260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restart"/>
            <w:noWrap/>
            <w:vAlign w:val="center"/>
          </w:tcPr>
          <w:p w14:paraId="09571F02">
            <w:pPr>
              <w:pStyle w:val="75"/>
            </w:pPr>
            <w:r>
              <w:t>物质及工艺系统危险性</w:t>
            </w:r>
          </w:p>
        </w:tc>
        <w:tc>
          <w:tcPr>
            <w:tcW w:w="1042" w:type="dxa"/>
            <w:noWrap/>
            <w:vAlign w:val="center"/>
          </w:tcPr>
          <w:p w14:paraId="51A2F9E9">
            <w:pPr>
              <w:pStyle w:val="75"/>
            </w:pPr>
            <w:r>
              <w:t>Q 值</w:t>
            </w:r>
          </w:p>
        </w:tc>
        <w:tc>
          <w:tcPr>
            <w:tcW w:w="1807" w:type="dxa"/>
            <w:gridSpan w:val="5"/>
            <w:noWrap/>
            <w:vAlign w:val="center"/>
          </w:tcPr>
          <w:p w14:paraId="0E06485F">
            <w:pPr>
              <w:pStyle w:val="75"/>
            </w:pPr>
            <w:r>
              <w:t>Q＜1 □</w:t>
            </w:r>
          </w:p>
        </w:tc>
        <w:tc>
          <w:tcPr>
            <w:tcW w:w="1341" w:type="dxa"/>
            <w:gridSpan w:val="4"/>
            <w:noWrap/>
            <w:vAlign w:val="center"/>
          </w:tcPr>
          <w:p w14:paraId="3994657F">
            <w:pPr>
              <w:pStyle w:val="75"/>
            </w:pPr>
            <w:r>
              <w:t xml:space="preserve">1≤Q＜10 </w:t>
            </w:r>
            <w:r>
              <w:rPr/>
              <w:sym w:font="Wingdings 2" w:char="00A3"/>
            </w:r>
          </w:p>
        </w:tc>
        <w:tc>
          <w:tcPr>
            <w:tcW w:w="1434" w:type="dxa"/>
            <w:gridSpan w:val="3"/>
            <w:noWrap/>
            <w:vAlign w:val="center"/>
          </w:tcPr>
          <w:p w14:paraId="390CBE74">
            <w:pPr>
              <w:pStyle w:val="75"/>
              <w:rPr>
                <w:rFonts w:hint="eastAsia" w:eastAsia="宋体"/>
                <w:lang w:eastAsia="zh-CN"/>
              </w:rPr>
            </w:pPr>
            <w:r>
              <w:t xml:space="preserve">10≤Q＜100 </w:t>
            </w:r>
            <w:r>
              <w:rPr>
                <w:rFonts w:hint="eastAsia"/>
                <w:lang w:eastAsia="zh-CN"/>
              </w:rPr>
              <w:t>☑</w:t>
            </w:r>
          </w:p>
        </w:tc>
        <w:tc>
          <w:tcPr>
            <w:tcW w:w="1296" w:type="dxa"/>
            <w:gridSpan w:val="2"/>
            <w:noWrap/>
            <w:vAlign w:val="center"/>
          </w:tcPr>
          <w:p w14:paraId="0D0A1B96">
            <w:pPr>
              <w:pStyle w:val="75"/>
            </w:pPr>
            <w:r>
              <w:t xml:space="preserve">Q＞100 </w:t>
            </w:r>
            <w:r>
              <w:rPr/>
              <w:sym w:font="Wingdings 2" w:char="00A3"/>
            </w:r>
          </w:p>
        </w:tc>
      </w:tr>
      <w:tr w14:paraId="71A17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718B10F2">
            <w:pPr>
              <w:pStyle w:val="75"/>
            </w:pPr>
          </w:p>
        </w:tc>
        <w:tc>
          <w:tcPr>
            <w:tcW w:w="1042" w:type="dxa"/>
            <w:noWrap/>
            <w:vAlign w:val="center"/>
          </w:tcPr>
          <w:p w14:paraId="4FE1C6D5">
            <w:pPr>
              <w:pStyle w:val="75"/>
            </w:pPr>
            <w:r>
              <w:t>M 值</w:t>
            </w:r>
          </w:p>
        </w:tc>
        <w:tc>
          <w:tcPr>
            <w:tcW w:w="1807" w:type="dxa"/>
            <w:gridSpan w:val="5"/>
            <w:noWrap/>
            <w:vAlign w:val="center"/>
          </w:tcPr>
          <w:p w14:paraId="5C766731">
            <w:pPr>
              <w:pStyle w:val="75"/>
            </w:pPr>
            <w:r>
              <w:t>M1 □</w:t>
            </w:r>
          </w:p>
        </w:tc>
        <w:tc>
          <w:tcPr>
            <w:tcW w:w="1341" w:type="dxa"/>
            <w:gridSpan w:val="4"/>
            <w:noWrap/>
            <w:vAlign w:val="center"/>
          </w:tcPr>
          <w:p w14:paraId="7DF6A63E">
            <w:pPr>
              <w:pStyle w:val="75"/>
            </w:pPr>
            <w:r>
              <w:t>M2 □</w:t>
            </w:r>
          </w:p>
        </w:tc>
        <w:tc>
          <w:tcPr>
            <w:tcW w:w="1434" w:type="dxa"/>
            <w:gridSpan w:val="3"/>
            <w:noWrap/>
            <w:vAlign w:val="center"/>
          </w:tcPr>
          <w:p w14:paraId="5B82CE0F">
            <w:pPr>
              <w:pStyle w:val="75"/>
            </w:pPr>
            <w:r>
              <w:t>M3 □</w:t>
            </w:r>
          </w:p>
        </w:tc>
        <w:tc>
          <w:tcPr>
            <w:tcW w:w="1296" w:type="dxa"/>
            <w:gridSpan w:val="2"/>
            <w:noWrap/>
            <w:vAlign w:val="center"/>
          </w:tcPr>
          <w:p w14:paraId="32046EB5">
            <w:pPr>
              <w:pStyle w:val="75"/>
            </w:pPr>
            <w:r>
              <w:t xml:space="preserve">M4 </w:t>
            </w:r>
            <w:r>
              <w:rPr/>
              <w:sym w:font="Wingdings 2" w:char="0052"/>
            </w:r>
          </w:p>
        </w:tc>
      </w:tr>
      <w:tr w14:paraId="2883B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2E8B6C13">
            <w:pPr>
              <w:pStyle w:val="75"/>
            </w:pPr>
          </w:p>
        </w:tc>
        <w:tc>
          <w:tcPr>
            <w:tcW w:w="1042" w:type="dxa"/>
            <w:noWrap/>
            <w:vAlign w:val="center"/>
          </w:tcPr>
          <w:p w14:paraId="2B5B944B">
            <w:pPr>
              <w:pStyle w:val="75"/>
            </w:pPr>
            <w:r>
              <w:t>P 值</w:t>
            </w:r>
          </w:p>
        </w:tc>
        <w:tc>
          <w:tcPr>
            <w:tcW w:w="1807" w:type="dxa"/>
            <w:gridSpan w:val="5"/>
            <w:noWrap/>
            <w:vAlign w:val="center"/>
          </w:tcPr>
          <w:p w14:paraId="0CC7A77F">
            <w:pPr>
              <w:pStyle w:val="75"/>
            </w:pPr>
            <w:r>
              <w:t>P1 □</w:t>
            </w:r>
          </w:p>
        </w:tc>
        <w:tc>
          <w:tcPr>
            <w:tcW w:w="1341" w:type="dxa"/>
            <w:gridSpan w:val="4"/>
            <w:noWrap/>
            <w:vAlign w:val="center"/>
          </w:tcPr>
          <w:p w14:paraId="389E5D84">
            <w:pPr>
              <w:pStyle w:val="75"/>
            </w:pPr>
            <w:r>
              <w:t>P2 □</w:t>
            </w:r>
          </w:p>
        </w:tc>
        <w:tc>
          <w:tcPr>
            <w:tcW w:w="1434" w:type="dxa"/>
            <w:gridSpan w:val="3"/>
            <w:noWrap/>
            <w:vAlign w:val="center"/>
          </w:tcPr>
          <w:p w14:paraId="4E8723E8">
            <w:pPr>
              <w:pStyle w:val="75"/>
            </w:pPr>
            <w:r>
              <w:t xml:space="preserve">P3 </w:t>
            </w:r>
            <w:r>
              <w:rPr/>
              <w:sym w:font="Wingdings 2" w:char="00A3"/>
            </w:r>
          </w:p>
        </w:tc>
        <w:tc>
          <w:tcPr>
            <w:tcW w:w="1296" w:type="dxa"/>
            <w:gridSpan w:val="2"/>
            <w:noWrap/>
            <w:vAlign w:val="center"/>
          </w:tcPr>
          <w:p w14:paraId="3C9983F1">
            <w:pPr>
              <w:pStyle w:val="75"/>
            </w:pPr>
            <w:r>
              <w:t xml:space="preserve">P4 </w:t>
            </w:r>
            <w:r>
              <w:rPr/>
              <w:sym w:font="Wingdings 2" w:char="0052"/>
            </w:r>
          </w:p>
        </w:tc>
      </w:tr>
      <w:tr w14:paraId="23032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restart"/>
            <w:noWrap/>
            <w:vAlign w:val="center"/>
          </w:tcPr>
          <w:p w14:paraId="21F296CB">
            <w:pPr>
              <w:pStyle w:val="75"/>
            </w:pPr>
            <w:r>
              <w:t>环境敏感程度</w:t>
            </w:r>
          </w:p>
        </w:tc>
        <w:tc>
          <w:tcPr>
            <w:tcW w:w="1042" w:type="dxa"/>
            <w:noWrap/>
            <w:vAlign w:val="center"/>
          </w:tcPr>
          <w:p w14:paraId="7060B99F">
            <w:pPr>
              <w:pStyle w:val="75"/>
            </w:pPr>
            <w:r>
              <w:t>大气</w:t>
            </w:r>
          </w:p>
        </w:tc>
        <w:tc>
          <w:tcPr>
            <w:tcW w:w="1807" w:type="dxa"/>
            <w:gridSpan w:val="5"/>
            <w:noWrap/>
            <w:vAlign w:val="center"/>
          </w:tcPr>
          <w:p w14:paraId="5DAD3A04">
            <w:pPr>
              <w:pStyle w:val="75"/>
            </w:pPr>
            <w:r>
              <w:t xml:space="preserve">E1 </w:t>
            </w:r>
            <w:r>
              <w:rPr/>
              <w:sym w:font="Wingdings 2" w:char="0052"/>
            </w:r>
          </w:p>
        </w:tc>
        <w:tc>
          <w:tcPr>
            <w:tcW w:w="1762" w:type="dxa"/>
            <w:gridSpan w:val="5"/>
            <w:noWrap/>
            <w:vAlign w:val="center"/>
          </w:tcPr>
          <w:p w14:paraId="204543DC">
            <w:pPr>
              <w:pStyle w:val="75"/>
            </w:pPr>
            <w:r>
              <w:t>E2  □</w:t>
            </w:r>
          </w:p>
        </w:tc>
        <w:tc>
          <w:tcPr>
            <w:tcW w:w="2309" w:type="dxa"/>
            <w:gridSpan w:val="4"/>
            <w:noWrap/>
            <w:vAlign w:val="center"/>
          </w:tcPr>
          <w:p w14:paraId="41FA8C01">
            <w:pPr>
              <w:pStyle w:val="75"/>
            </w:pPr>
            <w:r>
              <w:t>E3 □</w:t>
            </w:r>
          </w:p>
        </w:tc>
      </w:tr>
      <w:tr w14:paraId="7BCBE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2282D8D6">
            <w:pPr>
              <w:pStyle w:val="75"/>
            </w:pPr>
          </w:p>
        </w:tc>
        <w:tc>
          <w:tcPr>
            <w:tcW w:w="1042" w:type="dxa"/>
            <w:noWrap/>
            <w:vAlign w:val="center"/>
          </w:tcPr>
          <w:p w14:paraId="1853D343">
            <w:pPr>
              <w:pStyle w:val="75"/>
            </w:pPr>
            <w:r>
              <w:t>地表水</w:t>
            </w:r>
          </w:p>
        </w:tc>
        <w:tc>
          <w:tcPr>
            <w:tcW w:w="1807" w:type="dxa"/>
            <w:gridSpan w:val="5"/>
            <w:noWrap/>
            <w:vAlign w:val="center"/>
          </w:tcPr>
          <w:p w14:paraId="7AD72751">
            <w:pPr>
              <w:pStyle w:val="75"/>
            </w:pPr>
            <w:r>
              <w:t>E1□</w:t>
            </w:r>
          </w:p>
        </w:tc>
        <w:tc>
          <w:tcPr>
            <w:tcW w:w="1762" w:type="dxa"/>
            <w:gridSpan w:val="5"/>
            <w:noWrap/>
            <w:vAlign w:val="center"/>
          </w:tcPr>
          <w:p w14:paraId="2ADBA41A">
            <w:pPr>
              <w:pStyle w:val="75"/>
            </w:pPr>
            <w:r>
              <w:t>E2□</w:t>
            </w:r>
          </w:p>
        </w:tc>
        <w:tc>
          <w:tcPr>
            <w:tcW w:w="2309" w:type="dxa"/>
            <w:gridSpan w:val="4"/>
            <w:noWrap/>
            <w:vAlign w:val="center"/>
          </w:tcPr>
          <w:p w14:paraId="12A53729">
            <w:pPr>
              <w:pStyle w:val="75"/>
            </w:pPr>
            <w:r>
              <w:t xml:space="preserve">E3 </w:t>
            </w:r>
            <w:r>
              <w:rPr/>
              <w:sym w:font="Wingdings 2" w:char="0052"/>
            </w:r>
          </w:p>
        </w:tc>
      </w:tr>
      <w:tr w14:paraId="5784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6154FEFC">
            <w:pPr>
              <w:pStyle w:val="75"/>
            </w:pPr>
          </w:p>
        </w:tc>
        <w:tc>
          <w:tcPr>
            <w:tcW w:w="1042" w:type="dxa"/>
            <w:noWrap/>
            <w:vAlign w:val="center"/>
          </w:tcPr>
          <w:p w14:paraId="47D1C235">
            <w:pPr>
              <w:pStyle w:val="75"/>
            </w:pPr>
            <w:r>
              <w:t>地下水</w:t>
            </w:r>
          </w:p>
        </w:tc>
        <w:tc>
          <w:tcPr>
            <w:tcW w:w="1807" w:type="dxa"/>
            <w:gridSpan w:val="5"/>
            <w:noWrap/>
            <w:vAlign w:val="center"/>
          </w:tcPr>
          <w:p w14:paraId="308C53EE">
            <w:pPr>
              <w:pStyle w:val="75"/>
            </w:pPr>
            <w:r>
              <w:t xml:space="preserve">E1 </w:t>
            </w:r>
            <w:r>
              <w:rPr/>
              <w:sym w:font="Wingdings 2" w:char="0052"/>
            </w:r>
          </w:p>
        </w:tc>
        <w:tc>
          <w:tcPr>
            <w:tcW w:w="1762" w:type="dxa"/>
            <w:gridSpan w:val="5"/>
            <w:noWrap/>
            <w:vAlign w:val="center"/>
          </w:tcPr>
          <w:p w14:paraId="6404B38A">
            <w:pPr>
              <w:pStyle w:val="75"/>
            </w:pPr>
            <w:r>
              <w:t>E2 □</w:t>
            </w:r>
          </w:p>
        </w:tc>
        <w:tc>
          <w:tcPr>
            <w:tcW w:w="2309" w:type="dxa"/>
            <w:gridSpan w:val="4"/>
            <w:noWrap/>
            <w:vAlign w:val="center"/>
          </w:tcPr>
          <w:p w14:paraId="21D2E759">
            <w:pPr>
              <w:pStyle w:val="75"/>
            </w:pPr>
            <w:r>
              <w:t>E3 □</w:t>
            </w:r>
          </w:p>
        </w:tc>
      </w:tr>
      <w:tr w14:paraId="1679A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restart"/>
            <w:noWrap/>
            <w:vAlign w:val="center"/>
          </w:tcPr>
          <w:p w14:paraId="06EA8F69">
            <w:pPr>
              <w:pStyle w:val="75"/>
            </w:pPr>
            <w:r>
              <w:t>环境风险潜势</w:t>
            </w:r>
          </w:p>
        </w:tc>
        <w:tc>
          <w:tcPr>
            <w:tcW w:w="1042" w:type="dxa"/>
            <w:noWrap/>
            <w:vAlign w:val="center"/>
          </w:tcPr>
          <w:p w14:paraId="60860E15">
            <w:pPr>
              <w:pStyle w:val="75"/>
            </w:pPr>
            <w:r>
              <w:t>大气</w:t>
            </w:r>
          </w:p>
        </w:tc>
        <w:tc>
          <w:tcPr>
            <w:tcW w:w="1172" w:type="dxa"/>
            <w:gridSpan w:val="3"/>
            <w:noWrap/>
            <w:vAlign w:val="center"/>
          </w:tcPr>
          <w:p w14:paraId="31937BED">
            <w:pPr>
              <w:pStyle w:val="75"/>
            </w:pPr>
            <w:r>
              <w:t>Ⅳ+ □</w:t>
            </w:r>
          </w:p>
        </w:tc>
        <w:tc>
          <w:tcPr>
            <w:tcW w:w="1173" w:type="dxa"/>
            <w:gridSpan w:val="4"/>
            <w:noWrap/>
            <w:vAlign w:val="center"/>
          </w:tcPr>
          <w:p w14:paraId="60ED0D0A">
            <w:pPr>
              <w:pStyle w:val="75"/>
            </w:pPr>
            <w:r>
              <w:t>Ⅳ□</w:t>
            </w:r>
          </w:p>
        </w:tc>
        <w:tc>
          <w:tcPr>
            <w:tcW w:w="1224" w:type="dxa"/>
            <w:gridSpan w:val="3"/>
            <w:noWrap/>
            <w:vAlign w:val="center"/>
          </w:tcPr>
          <w:p w14:paraId="4DDF2285">
            <w:pPr>
              <w:pStyle w:val="75"/>
            </w:pPr>
            <w:r>
              <w:t xml:space="preserve">Ⅲ </w:t>
            </w:r>
            <w:r>
              <w:rPr/>
              <w:sym w:font="Wingdings 2" w:char="0052"/>
            </w:r>
          </w:p>
        </w:tc>
        <w:tc>
          <w:tcPr>
            <w:tcW w:w="1128" w:type="dxa"/>
            <w:gridSpan w:val="3"/>
            <w:noWrap/>
            <w:vAlign w:val="center"/>
          </w:tcPr>
          <w:p w14:paraId="04BDD9D0">
            <w:pPr>
              <w:pStyle w:val="75"/>
            </w:pPr>
            <w:r>
              <w:t>Ⅱ□</w:t>
            </w:r>
          </w:p>
        </w:tc>
        <w:tc>
          <w:tcPr>
            <w:tcW w:w="1181" w:type="dxa"/>
            <w:noWrap/>
            <w:vAlign w:val="center"/>
          </w:tcPr>
          <w:p w14:paraId="317C880D">
            <w:pPr>
              <w:pStyle w:val="75"/>
            </w:pPr>
            <w:r>
              <w:t>I □</w:t>
            </w:r>
          </w:p>
        </w:tc>
      </w:tr>
      <w:tr w14:paraId="5A07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1D4CDEC9">
            <w:pPr>
              <w:pStyle w:val="75"/>
            </w:pPr>
          </w:p>
        </w:tc>
        <w:tc>
          <w:tcPr>
            <w:tcW w:w="1042" w:type="dxa"/>
            <w:noWrap/>
            <w:vAlign w:val="center"/>
          </w:tcPr>
          <w:p w14:paraId="19169198">
            <w:pPr>
              <w:pStyle w:val="75"/>
            </w:pPr>
            <w:r>
              <w:t>地表水</w:t>
            </w:r>
          </w:p>
        </w:tc>
        <w:tc>
          <w:tcPr>
            <w:tcW w:w="1172" w:type="dxa"/>
            <w:gridSpan w:val="3"/>
            <w:noWrap/>
            <w:vAlign w:val="center"/>
          </w:tcPr>
          <w:p w14:paraId="6638924A">
            <w:pPr>
              <w:pStyle w:val="75"/>
            </w:pPr>
            <w:r>
              <w:t>Ⅳ+ □</w:t>
            </w:r>
          </w:p>
        </w:tc>
        <w:tc>
          <w:tcPr>
            <w:tcW w:w="1173" w:type="dxa"/>
            <w:gridSpan w:val="4"/>
            <w:noWrap/>
            <w:vAlign w:val="center"/>
          </w:tcPr>
          <w:p w14:paraId="15210D87">
            <w:pPr>
              <w:pStyle w:val="75"/>
            </w:pPr>
            <w:r>
              <w:t>Ⅳ □</w:t>
            </w:r>
          </w:p>
        </w:tc>
        <w:tc>
          <w:tcPr>
            <w:tcW w:w="1224" w:type="dxa"/>
            <w:gridSpan w:val="3"/>
            <w:noWrap/>
            <w:vAlign w:val="center"/>
          </w:tcPr>
          <w:p w14:paraId="62E2EA13">
            <w:pPr>
              <w:pStyle w:val="75"/>
            </w:pPr>
            <w:r>
              <w:t>Ⅲ □</w:t>
            </w:r>
          </w:p>
        </w:tc>
        <w:tc>
          <w:tcPr>
            <w:tcW w:w="1128" w:type="dxa"/>
            <w:gridSpan w:val="3"/>
            <w:noWrap/>
            <w:vAlign w:val="center"/>
          </w:tcPr>
          <w:p w14:paraId="4048582B">
            <w:pPr>
              <w:pStyle w:val="75"/>
            </w:pPr>
            <w:r>
              <w:t>Ⅱ</w:t>
            </w:r>
            <w:r>
              <w:rPr/>
              <w:sym w:font="Wingdings 2" w:char="00A3"/>
            </w:r>
          </w:p>
        </w:tc>
        <w:tc>
          <w:tcPr>
            <w:tcW w:w="1181" w:type="dxa"/>
            <w:noWrap/>
            <w:vAlign w:val="center"/>
          </w:tcPr>
          <w:p w14:paraId="3B2FE13F">
            <w:pPr>
              <w:pStyle w:val="75"/>
            </w:pPr>
            <w:r>
              <w:t>I</w:t>
            </w:r>
            <w:r>
              <w:rPr/>
              <w:sym w:font="Wingdings 2" w:char="0052"/>
            </w:r>
          </w:p>
        </w:tc>
      </w:tr>
      <w:tr w14:paraId="74695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33700642">
            <w:pPr>
              <w:pStyle w:val="75"/>
            </w:pPr>
          </w:p>
        </w:tc>
        <w:tc>
          <w:tcPr>
            <w:tcW w:w="1042" w:type="dxa"/>
            <w:noWrap/>
            <w:vAlign w:val="center"/>
          </w:tcPr>
          <w:p w14:paraId="587F05D1">
            <w:pPr>
              <w:pStyle w:val="75"/>
            </w:pPr>
            <w:r>
              <w:t>地下水</w:t>
            </w:r>
          </w:p>
        </w:tc>
        <w:tc>
          <w:tcPr>
            <w:tcW w:w="1172" w:type="dxa"/>
            <w:gridSpan w:val="3"/>
            <w:noWrap/>
            <w:vAlign w:val="center"/>
          </w:tcPr>
          <w:p w14:paraId="79A536EF">
            <w:pPr>
              <w:pStyle w:val="75"/>
            </w:pPr>
            <w:r>
              <w:t>Ⅳ+ □</w:t>
            </w:r>
          </w:p>
        </w:tc>
        <w:tc>
          <w:tcPr>
            <w:tcW w:w="1173" w:type="dxa"/>
            <w:gridSpan w:val="4"/>
            <w:noWrap/>
            <w:vAlign w:val="center"/>
          </w:tcPr>
          <w:p w14:paraId="1FC3334D">
            <w:pPr>
              <w:pStyle w:val="75"/>
            </w:pPr>
            <w:r>
              <w:t>Ⅳ □</w:t>
            </w:r>
          </w:p>
        </w:tc>
        <w:tc>
          <w:tcPr>
            <w:tcW w:w="1224" w:type="dxa"/>
            <w:gridSpan w:val="3"/>
            <w:noWrap/>
            <w:vAlign w:val="center"/>
          </w:tcPr>
          <w:p w14:paraId="557D4850">
            <w:pPr>
              <w:pStyle w:val="75"/>
            </w:pPr>
            <w:r>
              <w:t xml:space="preserve">Ⅲ </w:t>
            </w:r>
            <w:r>
              <w:rPr/>
              <w:sym w:font="Wingdings 2" w:char="0052"/>
            </w:r>
          </w:p>
        </w:tc>
        <w:tc>
          <w:tcPr>
            <w:tcW w:w="1128" w:type="dxa"/>
            <w:gridSpan w:val="3"/>
            <w:noWrap/>
            <w:vAlign w:val="center"/>
          </w:tcPr>
          <w:p w14:paraId="3AB3CF55">
            <w:pPr>
              <w:pStyle w:val="75"/>
            </w:pPr>
            <w:r>
              <w:t>Ⅱ □</w:t>
            </w:r>
          </w:p>
        </w:tc>
        <w:tc>
          <w:tcPr>
            <w:tcW w:w="1181" w:type="dxa"/>
            <w:noWrap/>
            <w:vAlign w:val="center"/>
          </w:tcPr>
          <w:p w14:paraId="6C8A9707">
            <w:pPr>
              <w:pStyle w:val="75"/>
            </w:pPr>
            <w:r>
              <w:t>I□</w:t>
            </w:r>
          </w:p>
        </w:tc>
      </w:tr>
      <w:tr w14:paraId="7B47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restart"/>
            <w:noWrap/>
            <w:vAlign w:val="center"/>
          </w:tcPr>
          <w:p w14:paraId="71D1E78A">
            <w:pPr>
              <w:pStyle w:val="75"/>
            </w:pPr>
            <w:r>
              <w:t>评价等级</w:t>
            </w:r>
          </w:p>
        </w:tc>
        <w:tc>
          <w:tcPr>
            <w:tcW w:w="1042" w:type="dxa"/>
            <w:noWrap/>
            <w:vAlign w:val="center"/>
          </w:tcPr>
          <w:p w14:paraId="5BC9082E">
            <w:pPr>
              <w:pStyle w:val="75"/>
            </w:pPr>
            <w:r>
              <w:t>大气</w:t>
            </w:r>
          </w:p>
        </w:tc>
        <w:tc>
          <w:tcPr>
            <w:tcW w:w="1172" w:type="dxa"/>
            <w:gridSpan w:val="3"/>
            <w:noWrap/>
            <w:vAlign w:val="center"/>
          </w:tcPr>
          <w:p w14:paraId="5CACFA63">
            <w:pPr>
              <w:pStyle w:val="75"/>
            </w:pPr>
            <w:r>
              <w:t>一级□</w:t>
            </w:r>
          </w:p>
        </w:tc>
        <w:tc>
          <w:tcPr>
            <w:tcW w:w="1761" w:type="dxa"/>
            <w:gridSpan w:val="5"/>
            <w:noWrap/>
            <w:vAlign w:val="center"/>
          </w:tcPr>
          <w:p w14:paraId="38B85D0C">
            <w:pPr>
              <w:pStyle w:val="75"/>
            </w:pPr>
            <w:r>
              <w:t xml:space="preserve">二级 </w:t>
            </w:r>
            <w:r>
              <w:rPr/>
              <w:sym w:font="Wingdings 2" w:char="0052"/>
            </w:r>
          </w:p>
        </w:tc>
        <w:tc>
          <w:tcPr>
            <w:tcW w:w="1470" w:type="dxa"/>
            <w:gridSpan w:val="3"/>
            <w:noWrap/>
            <w:vAlign w:val="center"/>
          </w:tcPr>
          <w:p w14:paraId="602960CC">
            <w:pPr>
              <w:pStyle w:val="75"/>
            </w:pPr>
            <w:r>
              <w:t>三级 □</w:t>
            </w:r>
          </w:p>
        </w:tc>
        <w:tc>
          <w:tcPr>
            <w:tcW w:w="1475" w:type="dxa"/>
            <w:gridSpan w:val="3"/>
            <w:noWrap/>
            <w:vAlign w:val="center"/>
          </w:tcPr>
          <w:p w14:paraId="1473D629">
            <w:pPr>
              <w:pStyle w:val="75"/>
            </w:pPr>
            <w:r>
              <w:t>简单分析 □</w:t>
            </w:r>
          </w:p>
        </w:tc>
      </w:tr>
      <w:tr w14:paraId="02E1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5F4B3FB6">
            <w:pPr>
              <w:pStyle w:val="75"/>
            </w:pPr>
          </w:p>
        </w:tc>
        <w:tc>
          <w:tcPr>
            <w:tcW w:w="1042" w:type="dxa"/>
            <w:noWrap/>
            <w:vAlign w:val="center"/>
          </w:tcPr>
          <w:p w14:paraId="358D9D59">
            <w:pPr>
              <w:pStyle w:val="75"/>
            </w:pPr>
            <w:r>
              <w:t>地表水</w:t>
            </w:r>
          </w:p>
        </w:tc>
        <w:tc>
          <w:tcPr>
            <w:tcW w:w="1172" w:type="dxa"/>
            <w:gridSpan w:val="3"/>
            <w:noWrap/>
            <w:vAlign w:val="center"/>
          </w:tcPr>
          <w:p w14:paraId="4E9AF1A3">
            <w:pPr>
              <w:pStyle w:val="75"/>
            </w:pPr>
            <w:r>
              <w:t>一级□</w:t>
            </w:r>
          </w:p>
        </w:tc>
        <w:tc>
          <w:tcPr>
            <w:tcW w:w="1761" w:type="dxa"/>
            <w:gridSpan w:val="5"/>
            <w:noWrap/>
            <w:vAlign w:val="center"/>
          </w:tcPr>
          <w:p w14:paraId="2CA9F337">
            <w:pPr>
              <w:pStyle w:val="75"/>
            </w:pPr>
            <w:r>
              <w:t>二级 □</w:t>
            </w:r>
          </w:p>
        </w:tc>
        <w:tc>
          <w:tcPr>
            <w:tcW w:w="1470" w:type="dxa"/>
            <w:gridSpan w:val="3"/>
            <w:noWrap/>
            <w:vAlign w:val="center"/>
          </w:tcPr>
          <w:p w14:paraId="0C4B4C8E">
            <w:pPr>
              <w:pStyle w:val="75"/>
            </w:pPr>
            <w:r>
              <w:t xml:space="preserve">三级 </w:t>
            </w:r>
            <w:r>
              <w:rPr/>
              <w:sym w:font="Wingdings 2" w:char="00A3"/>
            </w:r>
          </w:p>
        </w:tc>
        <w:tc>
          <w:tcPr>
            <w:tcW w:w="1475" w:type="dxa"/>
            <w:gridSpan w:val="3"/>
            <w:noWrap/>
            <w:vAlign w:val="center"/>
          </w:tcPr>
          <w:p w14:paraId="2D69B5AE">
            <w:pPr>
              <w:pStyle w:val="75"/>
            </w:pPr>
            <w:r>
              <w:t xml:space="preserve">简单分析 </w:t>
            </w:r>
            <w:r>
              <w:rPr/>
              <w:sym w:font="Wingdings 2" w:char="0052"/>
            </w:r>
          </w:p>
        </w:tc>
      </w:tr>
      <w:tr w14:paraId="461AA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vMerge w:val="continue"/>
            <w:noWrap/>
            <w:vAlign w:val="center"/>
          </w:tcPr>
          <w:p w14:paraId="6FF83094">
            <w:pPr>
              <w:pStyle w:val="75"/>
            </w:pPr>
          </w:p>
        </w:tc>
        <w:tc>
          <w:tcPr>
            <w:tcW w:w="1042" w:type="dxa"/>
            <w:noWrap/>
            <w:vAlign w:val="center"/>
          </w:tcPr>
          <w:p w14:paraId="69F1D652">
            <w:pPr>
              <w:pStyle w:val="75"/>
            </w:pPr>
            <w:r>
              <w:t>地下水</w:t>
            </w:r>
          </w:p>
        </w:tc>
        <w:tc>
          <w:tcPr>
            <w:tcW w:w="1172" w:type="dxa"/>
            <w:gridSpan w:val="3"/>
            <w:noWrap/>
            <w:vAlign w:val="center"/>
          </w:tcPr>
          <w:p w14:paraId="0E57FA71">
            <w:pPr>
              <w:pStyle w:val="75"/>
            </w:pPr>
            <w:r>
              <w:t>一级□</w:t>
            </w:r>
          </w:p>
        </w:tc>
        <w:tc>
          <w:tcPr>
            <w:tcW w:w="1761" w:type="dxa"/>
            <w:gridSpan w:val="5"/>
            <w:noWrap/>
            <w:vAlign w:val="center"/>
          </w:tcPr>
          <w:p w14:paraId="5F819364">
            <w:pPr>
              <w:pStyle w:val="75"/>
            </w:pPr>
            <w:r>
              <w:t xml:space="preserve">二级 </w:t>
            </w:r>
            <w:r>
              <w:rPr/>
              <w:sym w:font="Wingdings 2" w:char="00A3"/>
            </w:r>
          </w:p>
        </w:tc>
        <w:tc>
          <w:tcPr>
            <w:tcW w:w="1470" w:type="dxa"/>
            <w:gridSpan w:val="3"/>
            <w:noWrap/>
            <w:vAlign w:val="center"/>
          </w:tcPr>
          <w:p w14:paraId="6D43BE96">
            <w:pPr>
              <w:pStyle w:val="75"/>
              <w:rPr>
                <w:rFonts w:hint="eastAsia" w:eastAsia="宋体"/>
                <w:lang w:eastAsia="zh-CN"/>
              </w:rPr>
            </w:pPr>
            <w:r>
              <w:t xml:space="preserve">三级 </w:t>
            </w:r>
            <w:r>
              <w:rPr>
                <w:rFonts w:hint="eastAsia"/>
                <w:lang w:eastAsia="zh-CN"/>
              </w:rPr>
              <w:t>☑</w:t>
            </w:r>
          </w:p>
        </w:tc>
        <w:tc>
          <w:tcPr>
            <w:tcW w:w="1475" w:type="dxa"/>
            <w:gridSpan w:val="3"/>
            <w:noWrap/>
            <w:vAlign w:val="center"/>
          </w:tcPr>
          <w:p w14:paraId="2B68F7A9">
            <w:pPr>
              <w:pStyle w:val="75"/>
            </w:pPr>
            <w:r>
              <w:t>简单分析 □</w:t>
            </w:r>
          </w:p>
        </w:tc>
      </w:tr>
      <w:tr w14:paraId="3D80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restart"/>
            <w:noWrap/>
            <w:vAlign w:val="center"/>
          </w:tcPr>
          <w:p w14:paraId="30145CE2">
            <w:pPr>
              <w:pStyle w:val="75"/>
            </w:pPr>
            <w:r>
              <w:t>风险识别</w:t>
            </w:r>
          </w:p>
        </w:tc>
        <w:tc>
          <w:tcPr>
            <w:tcW w:w="1090" w:type="dxa"/>
            <w:noWrap/>
            <w:vAlign w:val="center"/>
          </w:tcPr>
          <w:p w14:paraId="71BC8F7D">
            <w:pPr>
              <w:pStyle w:val="75"/>
            </w:pPr>
            <w:r>
              <w:t>物质危险性</w:t>
            </w:r>
          </w:p>
        </w:tc>
        <w:tc>
          <w:tcPr>
            <w:tcW w:w="3212" w:type="dxa"/>
            <w:gridSpan w:val="7"/>
            <w:noWrap/>
            <w:vAlign w:val="center"/>
          </w:tcPr>
          <w:p w14:paraId="5779BAA3">
            <w:pPr>
              <w:pStyle w:val="75"/>
            </w:pPr>
            <w:r>
              <w:t xml:space="preserve">有毒有害 </w:t>
            </w:r>
            <w:r>
              <w:rPr/>
              <w:sym w:font="Wingdings 2" w:char="0052"/>
            </w:r>
          </w:p>
        </w:tc>
        <w:tc>
          <w:tcPr>
            <w:tcW w:w="3708" w:type="dxa"/>
            <w:gridSpan w:val="8"/>
            <w:noWrap/>
            <w:vAlign w:val="center"/>
          </w:tcPr>
          <w:p w14:paraId="4B02633A">
            <w:pPr>
              <w:pStyle w:val="75"/>
            </w:pPr>
            <w:r>
              <w:t xml:space="preserve">易燃易爆 </w:t>
            </w:r>
            <w:r>
              <w:rPr/>
              <w:sym w:font="Wingdings 2" w:char="00A3"/>
            </w:r>
          </w:p>
        </w:tc>
      </w:tr>
      <w:tr w14:paraId="30F21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79D8D72B">
            <w:pPr>
              <w:pStyle w:val="75"/>
            </w:pPr>
          </w:p>
        </w:tc>
        <w:tc>
          <w:tcPr>
            <w:tcW w:w="1090" w:type="dxa"/>
            <w:noWrap/>
            <w:vAlign w:val="center"/>
          </w:tcPr>
          <w:p w14:paraId="1009847C">
            <w:pPr>
              <w:pStyle w:val="75"/>
            </w:pPr>
            <w:r>
              <w:t>环境风险</w:t>
            </w:r>
          </w:p>
          <w:p w14:paraId="3F9D5F45">
            <w:pPr>
              <w:pStyle w:val="75"/>
            </w:pPr>
            <w:r>
              <w:t>类型</w:t>
            </w:r>
          </w:p>
        </w:tc>
        <w:tc>
          <w:tcPr>
            <w:tcW w:w="2849" w:type="dxa"/>
            <w:gridSpan w:val="6"/>
            <w:noWrap/>
            <w:vAlign w:val="center"/>
          </w:tcPr>
          <w:p w14:paraId="72D7D981">
            <w:pPr>
              <w:pStyle w:val="75"/>
            </w:pPr>
            <w:r>
              <w:t xml:space="preserve">泄漏 </w:t>
            </w:r>
            <w:r>
              <w:rPr/>
              <w:sym w:font="Wingdings 2" w:char="0052"/>
            </w:r>
          </w:p>
        </w:tc>
        <w:tc>
          <w:tcPr>
            <w:tcW w:w="4071" w:type="dxa"/>
            <w:gridSpan w:val="9"/>
            <w:noWrap/>
            <w:vAlign w:val="center"/>
          </w:tcPr>
          <w:p w14:paraId="156C64E0">
            <w:pPr>
              <w:pStyle w:val="75"/>
            </w:pPr>
            <w:r>
              <w:t xml:space="preserve">火灾、爆炸引发伴生/次生污染物排放 </w:t>
            </w:r>
            <w:r>
              <w:rPr/>
              <w:sym w:font="Wingdings 2" w:char="00A3"/>
            </w:r>
          </w:p>
        </w:tc>
      </w:tr>
      <w:tr w14:paraId="0E42F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2418823B">
            <w:pPr>
              <w:pStyle w:val="75"/>
            </w:pPr>
          </w:p>
        </w:tc>
        <w:tc>
          <w:tcPr>
            <w:tcW w:w="1090" w:type="dxa"/>
            <w:noWrap/>
            <w:vAlign w:val="center"/>
          </w:tcPr>
          <w:p w14:paraId="33F328BD">
            <w:pPr>
              <w:pStyle w:val="75"/>
            </w:pPr>
            <w:r>
              <w:t>影响途径</w:t>
            </w:r>
          </w:p>
        </w:tc>
        <w:tc>
          <w:tcPr>
            <w:tcW w:w="2849" w:type="dxa"/>
            <w:gridSpan w:val="6"/>
            <w:noWrap/>
            <w:vAlign w:val="center"/>
          </w:tcPr>
          <w:p w14:paraId="6B6296A5">
            <w:pPr>
              <w:pStyle w:val="75"/>
            </w:pPr>
            <w:r>
              <w:t xml:space="preserve">大气 </w:t>
            </w:r>
            <w:r>
              <w:rPr/>
              <w:sym w:font="Wingdings 2" w:char="0052"/>
            </w:r>
          </w:p>
        </w:tc>
        <w:tc>
          <w:tcPr>
            <w:tcW w:w="1762" w:type="dxa"/>
            <w:gridSpan w:val="5"/>
            <w:noWrap/>
            <w:vAlign w:val="center"/>
          </w:tcPr>
          <w:p w14:paraId="50715FE9">
            <w:pPr>
              <w:pStyle w:val="75"/>
            </w:pPr>
            <w:r>
              <w:t xml:space="preserve">地表水 </w:t>
            </w:r>
            <w:r>
              <w:rPr/>
              <w:sym w:font="Wingdings 2" w:char="0052"/>
            </w:r>
          </w:p>
        </w:tc>
        <w:tc>
          <w:tcPr>
            <w:tcW w:w="2309" w:type="dxa"/>
            <w:gridSpan w:val="4"/>
            <w:noWrap/>
            <w:vAlign w:val="center"/>
          </w:tcPr>
          <w:p w14:paraId="61473575">
            <w:pPr>
              <w:pStyle w:val="75"/>
            </w:pPr>
            <w:r>
              <w:t xml:space="preserve">地下水 </w:t>
            </w:r>
            <w:r>
              <w:rPr/>
              <w:sym w:font="Wingdings 2" w:char="0052"/>
            </w:r>
          </w:p>
        </w:tc>
      </w:tr>
      <w:tr w14:paraId="4C602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noWrap/>
            <w:vAlign w:val="center"/>
          </w:tcPr>
          <w:p w14:paraId="75E9580F">
            <w:pPr>
              <w:pStyle w:val="75"/>
            </w:pPr>
            <w:r>
              <w:t>事故情形分析</w:t>
            </w:r>
          </w:p>
        </w:tc>
        <w:tc>
          <w:tcPr>
            <w:tcW w:w="1437" w:type="dxa"/>
            <w:gridSpan w:val="2"/>
            <w:noWrap/>
            <w:vAlign w:val="center"/>
          </w:tcPr>
          <w:p w14:paraId="10659134">
            <w:pPr>
              <w:pStyle w:val="75"/>
            </w:pPr>
            <w:r>
              <w:t>源强设定方法</w:t>
            </w:r>
          </w:p>
        </w:tc>
        <w:tc>
          <w:tcPr>
            <w:tcW w:w="1412" w:type="dxa"/>
            <w:gridSpan w:val="4"/>
            <w:noWrap/>
            <w:vAlign w:val="center"/>
          </w:tcPr>
          <w:p w14:paraId="3EAE0423">
            <w:pPr>
              <w:pStyle w:val="75"/>
            </w:pPr>
            <w:r>
              <w:t xml:space="preserve">计算法 </w:t>
            </w:r>
            <w:r>
              <w:rPr/>
              <w:sym w:font="Wingdings 2" w:char="0052"/>
            </w:r>
          </w:p>
        </w:tc>
        <w:tc>
          <w:tcPr>
            <w:tcW w:w="1762" w:type="dxa"/>
            <w:gridSpan w:val="5"/>
            <w:noWrap/>
            <w:vAlign w:val="center"/>
          </w:tcPr>
          <w:p w14:paraId="12D28E9F">
            <w:pPr>
              <w:pStyle w:val="75"/>
            </w:pPr>
            <w:r>
              <w:t>经验估算法 □</w:t>
            </w:r>
          </w:p>
        </w:tc>
        <w:tc>
          <w:tcPr>
            <w:tcW w:w="2309" w:type="dxa"/>
            <w:gridSpan w:val="4"/>
            <w:noWrap/>
            <w:vAlign w:val="center"/>
          </w:tcPr>
          <w:p w14:paraId="7DD5720B">
            <w:pPr>
              <w:pStyle w:val="75"/>
            </w:pPr>
            <w:r>
              <w:t>其他估算法 □</w:t>
            </w:r>
          </w:p>
        </w:tc>
      </w:tr>
      <w:tr w14:paraId="009B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restart"/>
            <w:noWrap/>
            <w:vAlign w:val="center"/>
          </w:tcPr>
          <w:p w14:paraId="2C05A9C3">
            <w:pPr>
              <w:pStyle w:val="75"/>
            </w:pPr>
            <w:r>
              <w:t>风险预测与评价</w:t>
            </w:r>
          </w:p>
        </w:tc>
        <w:tc>
          <w:tcPr>
            <w:tcW w:w="1090" w:type="dxa"/>
            <w:vMerge w:val="restart"/>
            <w:noWrap/>
            <w:vAlign w:val="center"/>
          </w:tcPr>
          <w:p w14:paraId="2C4CF8FA">
            <w:pPr>
              <w:pStyle w:val="75"/>
            </w:pPr>
            <w:r>
              <w:t>大气</w:t>
            </w:r>
          </w:p>
        </w:tc>
        <w:tc>
          <w:tcPr>
            <w:tcW w:w="1437" w:type="dxa"/>
            <w:gridSpan w:val="2"/>
            <w:noWrap/>
            <w:vAlign w:val="center"/>
          </w:tcPr>
          <w:p w14:paraId="7805D301">
            <w:pPr>
              <w:pStyle w:val="75"/>
            </w:pPr>
            <w:r>
              <w:t>预测模型</w:t>
            </w:r>
          </w:p>
        </w:tc>
        <w:tc>
          <w:tcPr>
            <w:tcW w:w="1412" w:type="dxa"/>
            <w:gridSpan w:val="4"/>
            <w:noWrap/>
            <w:vAlign w:val="center"/>
          </w:tcPr>
          <w:p w14:paraId="29228596">
            <w:pPr>
              <w:pStyle w:val="75"/>
            </w:pPr>
            <w:r>
              <w:t>SLAB □</w:t>
            </w:r>
          </w:p>
        </w:tc>
        <w:tc>
          <w:tcPr>
            <w:tcW w:w="1762" w:type="dxa"/>
            <w:gridSpan w:val="5"/>
            <w:noWrap/>
            <w:vAlign w:val="center"/>
          </w:tcPr>
          <w:p w14:paraId="5D5B7CF7">
            <w:pPr>
              <w:pStyle w:val="75"/>
            </w:pPr>
            <w:r>
              <w:t xml:space="preserve">AFTOX </w:t>
            </w:r>
            <w:r>
              <w:rPr/>
              <w:sym w:font="Wingdings 2" w:char="0052"/>
            </w:r>
          </w:p>
        </w:tc>
        <w:tc>
          <w:tcPr>
            <w:tcW w:w="2309" w:type="dxa"/>
            <w:gridSpan w:val="4"/>
            <w:noWrap/>
            <w:vAlign w:val="center"/>
          </w:tcPr>
          <w:p w14:paraId="2E722071">
            <w:pPr>
              <w:pStyle w:val="75"/>
            </w:pPr>
            <w:r>
              <w:t xml:space="preserve">其他 </w:t>
            </w:r>
            <w:r>
              <w:rPr/>
              <w:sym w:font="Wingdings 2" w:char="00A3"/>
            </w:r>
          </w:p>
        </w:tc>
      </w:tr>
      <w:tr w14:paraId="14FED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346" w:type="dxa"/>
            <w:vMerge w:val="continue"/>
            <w:noWrap/>
            <w:vAlign w:val="center"/>
          </w:tcPr>
          <w:p w14:paraId="340E1C31">
            <w:pPr>
              <w:pStyle w:val="75"/>
            </w:pPr>
          </w:p>
        </w:tc>
        <w:tc>
          <w:tcPr>
            <w:tcW w:w="1090" w:type="dxa"/>
            <w:vMerge w:val="continue"/>
            <w:noWrap/>
            <w:vAlign w:val="center"/>
          </w:tcPr>
          <w:p w14:paraId="5C5DDE38">
            <w:pPr>
              <w:pStyle w:val="75"/>
            </w:pPr>
          </w:p>
        </w:tc>
        <w:tc>
          <w:tcPr>
            <w:tcW w:w="1437" w:type="dxa"/>
            <w:gridSpan w:val="2"/>
            <w:vMerge w:val="restart"/>
            <w:noWrap/>
            <w:vAlign w:val="center"/>
          </w:tcPr>
          <w:p w14:paraId="19E5B29D">
            <w:pPr>
              <w:pStyle w:val="75"/>
            </w:pPr>
            <w:r>
              <w:t>预测结果</w:t>
            </w:r>
          </w:p>
        </w:tc>
        <w:tc>
          <w:tcPr>
            <w:tcW w:w="5483" w:type="dxa"/>
            <w:gridSpan w:val="13"/>
            <w:noWrap/>
            <w:vAlign w:val="center"/>
          </w:tcPr>
          <w:p w14:paraId="74C77EBF">
            <w:pPr>
              <w:pStyle w:val="75"/>
            </w:pPr>
            <w:r>
              <w:t xml:space="preserve">大气毒性终点浓度-1  最大影响范围 </w:t>
            </w:r>
            <w:r>
              <w:rPr>
                <w:rFonts w:hint="eastAsia"/>
              </w:rPr>
              <w:t>/</w:t>
            </w:r>
            <w:r>
              <w:tab/>
            </w:r>
            <w:r>
              <w:t>m</w:t>
            </w:r>
          </w:p>
        </w:tc>
      </w:tr>
      <w:tr w14:paraId="6DEC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346" w:type="dxa"/>
            <w:vMerge w:val="continue"/>
            <w:noWrap/>
            <w:vAlign w:val="center"/>
          </w:tcPr>
          <w:p w14:paraId="5219B0A9">
            <w:pPr>
              <w:pStyle w:val="75"/>
            </w:pPr>
          </w:p>
        </w:tc>
        <w:tc>
          <w:tcPr>
            <w:tcW w:w="1090" w:type="dxa"/>
            <w:vMerge w:val="continue"/>
            <w:noWrap/>
            <w:vAlign w:val="center"/>
          </w:tcPr>
          <w:p w14:paraId="78DA1A1E">
            <w:pPr>
              <w:pStyle w:val="75"/>
            </w:pPr>
          </w:p>
        </w:tc>
        <w:tc>
          <w:tcPr>
            <w:tcW w:w="1437" w:type="dxa"/>
            <w:gridSpan w:val="2"/>
            <w:vMerge w:val="continue"/>
            <w:noWrap/>
            <w:vAlign w:val="center"/>
          </w:tcPr>
          <w:p w14:paraId="725288D6">
            <w:pPr>
              <w:pStyle w:val="75"/>
            </w:pPr>
          </w:p>
        </w:tc>
        <w:tc>
          <w:tcPr>
            <w:tcW w:w="5483" w:type="dxa"/>
            <w:gridSpan w:val="13"/>
            <w:noWrap/>
            <w:vAlign w:val="center"/>
          </w:tcPr>
          <w:p w14:paraId="2757BAA1">
            <w:pPr>
              <w:pStyle w:val="75"/>
            </w:pPr>
            <w:r>
              <w:t>大气毒性终点浓度-2  最大影响范围</w:t>
            </w:r>
            <w:r>
              <w:tab/>
            </w:r>
            <w:r>
              <w:rPr>
                <w:rFonts w:hint="eastAsia"/>
              </w:rPr>
              <w:t>/</w:t>
            </w:r>
            <w:r>
              <w:t>m</w:t>
            </w:r>
          </w:p>
        </w:tc>
      </w:tr>
      <w:tr w14:paraId="3D23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6" w:type="dxa"/>
            <w:vMerge w:val="continue"/>
            <w:noWrap/>
            <w:vAlign w:val="center"/>
          </w:tcPr>
          <w:p w14:paraId="633E98E7">
            <w:pPr>
              <w:pStyle w:val="75"/>
            </w:pPr>
          </w:p>
        </w:tc>
        <w:tc>
          <w:tcPr>
            <w:tcW w:w="1090" w:type="dxa"/>
            <w:noWrap/>
            <w:vAlign w:val="center"/>
          </w:tcPr>
          <w:p w14:paraId="414DCC05">
            <w:pPr>
              <w:pStyle w:val="75"/>
            </w:pPr>
            <w:r>
              <w:t>地表水</w:t>
            </w:r>
          </w:p>
        </w:tc>
        <w:tc>
          <w:tcPr>
            <w:tcW w:w="6920" w:type="dxa"/>
            <w:gridSpan w:val="15"/>
            <w:noWrap/>
            <w:vAlign w:val="center"/>
          </w:tcPr>
          <w:p w14:paraId="5DB60C9F">
            <w:pPr>
              <w:pStyle w:val="75"/>
            </w:pPr>
            <w:r>
              <w:t xml:space="preserve">最近环境敏感目标 </w:t>
            </w:r>
            <w:r>
              <w:tab/>
            </w:r>
            <w:r>
              <w:t xml:space="preserve">，到达时间 </w:t>
            </w:r>
            <w:r>
              <w:tab/>
            </w:r>
            <w:r>
              <w:t>h</w:t>
            </w:r>
          </w:p>
        </w:tc>
      </w:tr>
      <w:tr w14:paraId="32A79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346" w:type="dxa"/>
            <w:vMerge w:val="continue"/>
            <w:noWrap/>
            <w:vAlign w:val="center"/>
          </w:tcPr>
          <w:p w14:paraId="5C45F642">
            <w:pPr>
              <w:pStyle w:val="75"/>
            </w:pPr>
          </w:p>
        </w:tc>
        <w:tc>
          <w:tcPr>
            <w:tcW w:w="1090" w:type="dxa"/>
            <w:vMerge w:val="restart"/>
            <w:noWrap/>
            <w:vAlign w:val="center"/>
          </w:tcPr>
          <w:p w14:paraId="42EED1FB">
            <w:pPr>
              <w:pStyle w:val="75"/>
            </w:pPr>
            <w:r>
              <w:t>地下水</w:t>
            </w:r>
          </w:p>
        </w:tc>
        <w:tc>
          <w:tcPr>
            <w:tcW w:w="6920" w:type="dxa"/>
            <w:gridSpan w:val="15"/>
            <w:noWrap/>
            <w:vAlign w:val="center"/>
          </w:tcPr>
          <w:p w14:paraId="78205C95">
            <w:pPr>
              <w:pStyle w:val="75"/>
            </w:pPr>
            <w:r>
              <w:t xml:space="preserve">下游厂区边界到达时间 </w:t>
            </w:r>
            <w:r>
              <w:tab/>
            </w:r>
            <w:r>
              <w:t>d</w:t>
            </w:r>
          </w:p>
        </w:tc>
      </w:tr>
      <w:tr w14:paraId="0490B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346" w:type="dxa"/>
            <w:vMerge w:val="continue"/>
            <w:noWrap/>
            <w:vAlign w:val="center"/>
          </w:tcPr>
          <w:p w14:paraId="5B814547">
            <w:pPr>
              <w:pStyle w:val="75"/>
            </w:pPr>
          </w:p>
        </w:tc>
        <w:tc>
          <w:tcPr>
            <w:tcW w:w="1090" w:type="dxa"/>
            <w:vMerge w:val="continue"/>
            <w:noWrap/>
            <w:vAlign w:val="center"/>
          </w:tcPr>
          <w:p w14:paraId="12DE65D9">
            <w:pPr>
              <w:pStyle w:val="75"/>
            </w:pPr>
          </w:p>
        </w:tc>
        <w:tc>
          <w:tcPr>
            <w:tcW w:w="6920" w:type="dxa"/>
            <w:gridSpan w:val="15"/>
            <w:noWrap/>
            <w:vAlign w:val="center"/>
          </w:tcPr>
          <w:p w14:paraId="4784B319">
            <w:pPr>
              <w:pStyle w:val="75"/>
            </w:pPr>
            <w:r>
              <w:t xml:space="preserve">最近环境敏感目标 </w:t>
            </w:r>
            <w:r>
              <w:tab/>
            </w:r>
            <w:r>
              <w:t xml:space="preserve">，到达时间 </w:t>
            </w:r>
            <w:r>
              <w:tab/>
            </w:r>
            <w:r>
              <w:t>d</w:t>
            </w:r>
          </w:p>
        </w:tc>
      </w:tr>
      <w:tr w14:paraId="0975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436" w:type="dxa"/>
            <w:gridSpan w:val="2"/>
            <w:noWrap/>
            <w:vAlign w:val="center"/>
          </w:tcPr>
          <w:p w14:paraId="0B85E9E3">
            <w:pPr>
              <w:pStyle w:val="75"/>
            </w:pPr>
            <w:r>
              <w:t>重点风险防范措施</w:t>
            </w:r>
          </w:p>
        </w:tc>
        <w:tc>
          <w:tcPr>
            <w:tcW w:w="6920" w:type="dxa"/>
            <w:gridSpan w:val="15"/>
            <w:noWrap/>
            <w:vAlign w:val="center"/>
          </w:tcPr>
          <w:p w14:paraId="12306CD5">
            <w:pPr>
              <w:pStyle w:val="75"/>
            </w:pPr>
            <w:r>
              <w:rPr>
                <w:rFonts w:hint="eastAsia"/>
                <w:lang w:val="en-US" w:eastAsia="zh-CN"/>
              </w:rPr>
              <w:t>罐区围堰、</w:t>
            </w:r>
            <w:r>
              <w:rPr>
                <w:rFonts w:hint="eastAsia"/>
              </w:rPr>
              <w:t>事故水池（不小于</w:t>
            </w:r>
            <w:r>
              <w:rPr>
                <w:rFonts w:hint="eastAsia"/>
                <w:lang w:val="en-US" w:eastAsia="zh-CN"/>
              </w:rPr>
              <w:t>300</w:t>
            </w:r>
            <w:r>
              <w:rPr>
                <w:rFonts w:hint="eastAsia"/>
              </w:rPr>
              <w:t>m</w:t>
            </w:r>
            <w:r>
              <w:rPr>
                <w:rFonts w:hint="eastAsia"/>
                <w:vertAlign w:val="superscript"/>
              </w:rPr>
              <w:t>3</w:t>
            </w:r>
            <w:r>
              <w:rPr>
                <w:rFonts w:hint="eastAsia"/>
              </w:rPr>
              <w:t>）；应急器材、消防器材等。</w:t>
            </w:r>
          </w:p>
        </w:tc>
      </w:tr>
      <w:tr w14:paraId="2AC8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436" w:type="dxa"/>
            <w:gridSpan w:val="2"/>
            <w:noWrap/>
            <w:vAlign w:val="center"/>
          </w:tcPr>
          <w:p w14:paraId="2F20BED3">
            <w:pPr>
              <w:pStyle w:val="75"/>
            </w:pPr>
            <w:r>
              <w:t>评价结论与建议</w:t>
            </w:r>
          </w:p>
        </w:tc>
        <w:tc>
          <w:tcPr>
            <w:tcW w:w="6920" w:type="dxa"/>
            <w:gridSpan w:val="15"/>
            <w:noWrap/>
            <w:vAlign w:val="center"/>
          </w:tcPr>
          <w:p w14:paraId="772834B6">
            <w:pPr>
              <w:pStyle w:val="75"/>
              <w:jc w:val="both"/>
              <w:rPr>
                <w:rFonts w:hint="eastAsia" w:eastAsia="宋体"/>
                <w:lang w:eastAsia="zh-CN"/>
              </w:rPr>
            </w:pPr>
            <w:r>
              <w:rPr>
                <w:rFonts w:hint="default" w:ascii="Times New Roman" w:hAnsi="Times New Roman" w:cs="Times New Roman"/>
                <w:snapToGrid w:val="0"/>
                <w:spacing w:val="0"/>
                <w:w w:val="100"/>
                <w:kern w:val="21"/>
                <w:position w:val="0"/>
                <w:sz w:val="21"/>
                <w:szCs w:val="24"/>
              </w:rPr>
              <w:t>环境风险结论：本项目从环境敏感程度、工程所涉及的危险物质和工艺特性分析，判断项目环境风险评价等级为二级评价，通过对危险物质环境影响途径进行定量预测分析并出提出相关风险防范措施的基础上，评价认为，企业在严格落实消防安全方面的各项管理规定，同时制定并落实切实可行的事故防范措施和应急预案的前提下，环境风险可防控</w:t>
            </w:r>
            <w:r>
              <w:rPr>
                <w:rFonts w:hint="eastAsia" w:cs="Times New Roman"/>
                <w:snapToGrid w:val="0"/>
                <w:spacing w:val="0"/>
                <w:w w:val="100"/>
                <w:kern w:val="21"/>
                <w:position w:val="0"/>
                <w:sz w:val="21"/>
                <w:szCs w:val="24"/>
                <w:lang w:eastAsia="zh-CN"/>
              </w:rPr>
              <w:t>。</w:t>
            </w:r>
          </w:p>
        </w:tc>
      </w:tr>
      <w:tr w14:paraId="42924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356" w:type="dxa"/>
            <w:gridSpan w:val="17"/>
            <w:noWrap/>
            <w:vAlign w:val="center"/>
          </w:tcPr>
          <w:p w14:paraId="34AB5F23">
            <w:pPr>
              <w:pStyle w:val="75"/>
            </w:pPr>
            <w:r>
              <w:t xml:space="preserve">注：“□”为勾选项，“ </w:t>
            </w:r>
            <w:r>
              <w:tab/>
            </w:r>
            <w:r>
              <w:t>”为填写项。</w:t>
            </w:r>
          </w:p>
        </w:tc>
      </w:tr>
      <w:bookmarkEnd w:id="590"/>
    </w:tbl>
    <w:p w14:paraId="2CF1D2F7">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626" w:name="_Toc324839281"/>
      <w:bookmarkStart w:id="627" w:name="_Toc311812653"/>
      <w:bookmarkStart w:id="628" w:name="_Toc324839578"/>
      <w:bookmarkStart w:id="629" w:name="_Toc51319876"/>
      <w:bookmarkStart w:id="630" w:name="_Toc26237"/>
      <w:bookmarkStart w:id="631" w:name="_Toc11474"/>
      <w:bookmarkStart w:id="632" w:name="_Toc304300483"/>
      <w:r>
        <w:rPr>
          <w:rFonts w:hint="eastAsia" w:ascii="Times New Roman" w:hAnsi="Times New Roman" w:cs="Times New Roman"/>
          <w:lang w:val="en-US" w:eastAsia="zh-CN"/>
        </w:rPr>
        <w:t>环境保护措施及其可行性</w:t>
      </w:r>
      <w:bookmarkEnd w:id="626"/>
      <w:bookmarkEnd w:id="627"/>
      <w:bookmarkEnd w:id="628"/>
      <w:r>
        <w:rPr>
          <w:rFonts w:hint="eastAsia" w:ascii="Times New Roman" w:hAnsi="Times New Roman" w:cs="Times New Roman"/>
          <w:lang w:val="en-US" w:eastAsia="zh-CN"/>
        </w:rPr>
        <w:t>论证</w:t>
      </w:r>
      <w:bookmarkEnd w:id="629"/>
      <w:bookmarkEnd w:id="630"/>
      <w:bookmarkEnd w:id="631"/>
    </w:p>
    <w:p w14:paraId="5437276B">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33" w:name="_Toc311812655"/>
      <w:bookmarkStart w:id="634" w:name="_Toc324839580"/>
      <w:bookmarkStart w:id="635" w:name="_Toc51319878"/>
      <w:bookmarkStart w:id="636" w:name="_Toc31560"/>
      <w:bookmarkStart w:id="637" w:name="_Toc324839283"/>
      <w:bookmarkStart w:id="638" w:name="_Toc29069"/>
      <w:r>
        <w:rPr>
          <w:rFonts w:hint="eastAsia"/>
          <w:lang w:val="en-US" w:eastAsia="zh-CN"/>
        </w:rPr>
        <w:t>7.1废水污染防治措施</w:t>
      </w:r>
      <w:bookmarkEnd w:id="633"/>
      <w:r>
        <w:rPr>
          <w:rFonts w:hint="eastAsia"/>
          <w:lang w:val="en-US" w:eastAsia="zh-CN"/>
        </w:rPr>
        <w:t>分析</w:t>
      </w:r>
      <w:bookmarkEnd w:id="634"/>
      <w:bookmarkEnd w:id="635"/>
      <w:bookmarkEnd w:id="636"/>
      <w:bookmarkEnd w:id="637"/>
      <w:bookmarkEnd w:id="638"/>
    </w:p>
    <w:p w14:paraId="6330F056">
      <w:pPr>
        <w:ind w:firstLine="480"/>
        <w:rPr>
          <w:bCs/>
        </w:rPr>
      </w:pPr>
      <w:r>
        <w:rPr>
          <w:rFonts w:hint="eastAsia"/>
          <w:bCs/>
        </w:rPr>
        <w:t xml:space="preserve">根据《排污许可证申请与核发技术规范 </w:t>
      </w:r>
      <w:r>
        <w:rPr>
          <w:bCs/>
        </w:rPr>
        <w:t xml:space="preserve"> </w:t>
      </w:r>
      <w:r>
        <w:rPr>
          <w:rFonts w:hint="eastAsia"/>
          <w:bCs/>
        </w:rPr>
        <w:t>电镀工业》（HJ855-2017）要求：电镀生产设施、废水收集系统以及废水治理设施应同步运行，电镀生产废水地下收集输送管路应逐步改造为地上明管或架空管路。因此，评价提出，电镀生产废水收集输送管路设置为地上明管或架空管路。管道全部地上施工，管道满足防腐、防渗漏要求。各类槽体按照“生产设施不落地”原则进行建设，生产线应有槽液回收、逆流漂洗及必要的喷淋装置，并使用托盘、围堰等设施防止生产过程中废水、镀液滴落地面。</w:t>
      </w:r>
    </w:p>
    <w:p w14:paraId="62F01DF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39" w:name="_Toc108122593"/>
      <w:r>
        <w:rPr>
          <w:rFonts w:hint="eastAsia" w:cs="Times New Roman"/>
          <w:lang w:val="en-US" w:eastAsia="zh-CN"/>
        </w:rPr>
        <w:t>7.1.1工程废水特点及适合的处理工艺</w:t>
      </w:r>
      <w:bookmarkEnd w:id="639"/>
    </w:p>
    <w:p w14:paraId="30BA94BA">
      <w:pPr>
        <w:ind w:firstLine="480"/>
      </w:pPr>
      <w:r>
        <w:rPr>
          <w:rFonts w:hint="eastAsia"/>
        </w:rPr>
        <w:t>本工程废水主要有：</w:t>
      </w:r>
    </w:p>
    <w:p w14:paraId="00E8710D">
      <w:pPr>
        <w:ind w:firstLine="482"/>
      </w:pPr>
      <w:r>
        <w:rPr>
          <w:rFonts w:hint="eastAsia"/>
          <w:b/>
        </w:rPr>
        <w:t>（1）含镍废水：</w:t>
      </w:r>
      <w:r>
        <w:rPr>
          <w:rFonts w:hint="eastAsia"/>
        </w:rPr>
        <w:t>镀镍后水洗废水、镀镍后水洗槽定期更换水、</w:t>
      </w:r>
      <w:r>
        <w:rPr>
          <w:rFonts w:hint="eastAsia"/>
          <w:lang w:val="en-US" w:eastAsia="zh-CN"/>
        </w:rPr>
        <w:t>漂白废槽液、漂白后水洗废水、</w:t>
      </w:r>
      <w:r>
        <w:rPr>
          <w:rFonts w:hint="eastAsia"/>
        </w:rPr>
        <w:t>漂白后</w:t>
      </w:r>
      <w:r>
        <w:rPr>
          <w:rFonts w:hint="eastAsia"/>
          <w:lang w:val="en-US" w:eastAsia="zh-CN"/>
        </w:rPr>
        <w:t>水洗槽定期换水、</w:t>
      </w:r>
      <w:r>
        <w:rPr>
          <w:rFonts w:hint="eastAsia"/>
        </w:rPr>
        <w:t>中和废槽液、中和后水洗废水和中和后水洗槽定期更换水。</w:t>
      </w:r>
    </w:p>
    <w:p w14:paraId="7045AC27">
      <w:pPr>
        <w:ind w:firstLine="480"/>
      </w:pPr>
      <w:r>
        <w:rPr>
          <w:rFonts w:hint="eastAsia"/>
        </w:rPr>
        <w:t>含镍废水含有重金属镍，按照“分质分流”原则需要单独处理。本项目单独设置含镍废水处理系统，采用“调节+混凝沉淀+碳滤+超滤+反渗透+蒸发”工艺进行处理。</w:t>
      </w:r>
    </w:p>
    <w:p w14:paraId="3BEA495C">
      <w:pPr>
        <w:ind w:firstLine="480"/>
      </w:pPr>
      <w:r>
        <w:rPr>
          <w:rFonts w:hint="eastAsia"/>
        </w:rPr>
        <w:t>本项目设计通过采用调节池调节水量和pH值，使镍形成金属氢氧化物沉淀，之后进行混凝沉淀处理；混凝沉淀是去除重金属的成熟技术，对重金属有很好的处理效果。本项目为了保证处理效果，后续还增加了碳滤、超滤、反渗透和蒸发保证处理效果，处理后水质较好，可以回用于镀镍后水洗和中和后水洗工段。</w:t>
      </w:r>
    </w:p>
    <w:p w14:paraId="260D10BC">
      <w:pPr>
        <w:ind w:firstLine="482"/>
      </w:pPr>
      <w:r>
        <w:rPr>
          <w:rFonts w:hint="eastAsia"/>
          <w:b/>
          <w:bCs/>
        </w:rPr>
        <w:t>（2）含铬废水：</w:t>
      </w:r>
      <w:r>
        <w:rPr>
          <w:rFonts w:hint="eastAsia"/>
        </w:rPr>
        <w:t>钝化槽液、钝化后水洗废水、钝化后水洗槽定期更换水、中和废槽液、中和后水洗废水和中和后水洗槽定期更换水、碱喷淋吸收塔（TA001~TA003）更换废水、车间地面清洗水。</w:t>
      </w:r>
    </w:p>
    <w:p w14:paraId="5E47CC9E">
      <w:pPr>
        <w:ind w:firstLine="480"/>
      </w:pPr>
      <w:r>
        <w:rPr>
          <w:rFonts w:hint="eastAsia"/>
        </w:rPr>
        <w:t>含铬废水含有重金属铬，按照“分质分流”原则需要单独处理。本项目单独设置含铬废水处理系统，采用“调节+混凝沉淀+碳滤+超滤+反渗透+蒸发”工艺进行处理。</w:t>
      </w:r>
    </w:p>
    <w:p w14:paraId="0381BED1">
      <w:pPr>
        <w:ind w:firstLine="480"/>
      </w:pPr>
      <w:r>
        <w:rPr>
          <w:rFonts w:hint="eastAsia"/>
        </w:rPr>
        <w:t>本项目设计通过采用调节池调节水量和pH值，</w:t>
      </w:r>
      <w:r>
        <w:rPr>
          <w:rFonts w:hint="eastAsia"/>
          <w:szCs w:val="24"/>
        </w:rPr>
        <w:t>使铬形成金属氢氧化物沉淀</w:t>
      </w:r>
      <w:r>
        <w:rPr>
          <w:rFonts w:hint="eastAsia"/>
        </w:rPr>
        <w:t>，使其更容易产生沉淀被去除掉，之后进行混凝沉淀处理。混凝沉淀是去除重金属的成熟技术，对重金属有很好的处理效果，本项目为了保证处理效果，后续还增加了碳滤、超滤、反渗透和蒸发保证处理效果，处理后水质较好，可以回用于钝化后水洗和中和后水洗工段。</w:t>
      </w:r>
    </w:p>
    <w:p w14:paraId="2381FD3E">
      <w:pPr>
        <w:ind w:firstLine="482"/>
        <w:rPr>
          <w:b/>
        </w:rPr>
      </w:pPr>
      <w:r>
        <w:rPr>
          <w:rFonts w:hint="eastAsia"/>
          <w:b/>
        </w:rPr>
        <w:t>（</w:t>
      </w:r>
      <w:r>
        <w:rPr>
          <w:rFonts w:hint="eastAsia"/>
          <w:b/>
          <w:lang w:val="en-US" w:eastAsia="zh-CN"/>
        </w:rPr>
        <w:t>3</w:t>
      </w:r>
      <w:r>
        <w:rPr>
          <w:rFonts w:hint="eastAsia"/>
          <w:b/>
        </w:rPr>
        <w:t>）综合废水</w:t>
      </w:r>
    </w:p>
    <w:p w14:paraId="4CDCF888">
      <w:pPr>
        <w:ind w:firstLine="480"/>
      </w:pPr>
      <w:r>
        <w:rPr>
          <w:rFonts w:hint="eastAsia"/>
        </w:rPr>
        <w:t>综合废水有：除油废槽液、除油后水洗废水、酸洗废槽液、酸洗后水洗废水、酸洗后水洗槽定期更换水、封闭废槽液、封闭后水洗废水以及封闭后水洗废水定期更换水。</w:t>
      </w:r>
    </w:p>
    <w:p w14:paraId="576FFDA0">
      <w:pPr>
        <w:ind w:firstLine="480"/>
      </w:pPr>
      <w:r>
        <w:rPr>
          <w:rFonts w:hint="eastAsia"/>
        </w:rPr>
        <w:t>综合废水按照“分质分流”原则需要单独处理。本项目单独设置综合废水处理系统，采用“破乳+气浮+调节+混凝沉淀+水解酸化+接触氧化+二沉池”工艺进行处理。</w:t>
      </w:r>
    </w:p>
    <w:p w14:paraId="54375E69">
      <w:pPr>
        <w:ind w:firstLine="480"/>
      </w:pPr>
      <w:r>
        <w:rPr>
          <w:rFonts w:hint="eastAsia"/>
        </w:rPr>
        <w:t>除油废槽液、除油后水洗废水经破乳、气浮处理后和其他的综合废水采用“调节+混凝沉淀+水解酸化+接触氧化+二沉池”相结合的处理工艺进行处理。综合废水主要为酸碱废水，首先将pH值调节为反应合适范围，之后进行混凝沉淀去除水中的COD、SS、石油类等污染物，之后设置“水解酸化+接触氧化+二沉池”对废水进一步去除COD、SS、氨氮、TP、TN、石油类，保证出水水质，处理后经厂区总排口排放。</w:t>
      </w:r>
    </w:p>
    <w:p w14:paraId="6B2DB649">
      <w:pPr>
        <w:ind w:firstLine="482"/>
      </w:pPr>
      <w:r>
        <w:rPr>
          <w:rFonts w:hint="eastAsia"/>
          <w:b/>
        </w:rPr>
        <w:t>（4）其他废水：</w:t>
      </w:r>
      <w:r>
        <w:rPr>
          <w:rFonts w:hint="eastAsia"/>
        </w:rPr>
        <w:t>生活污水、纯水制备浓水和冲压冷凝水。</w:t>
      </w:r>
    </w:p>
    <w:p w14:paraId="41BB5ED9">
      <w:pPr>
        <w:ind w:firstLine="480"/>
      </w:pPr>
      <w:r>
        <w:rPr>
          <w:rFonts w:hint="eastAsia"/>
        </w:rPr>
        <w:t>生活污水经化粪池处理后与纯水制备浓水、冲压冷凝水一起经厂区总排口排放。</w:t>
      </w:r>
    </w:p>
    <w:p w14:paraId="30A2C232">
      <w:pPr>
        <w:ind w:firstLine="480"/>
      </w:pPr>
      <w:r>
        <w:rPr>
          <w:rFonts w:hint="eastAsia"/>
        </w:rPr>
        <w:t>根据污水处理工程分析核算，本项目外排废水经处理后，水质能够满足《电镀污染物排放标准》（GB21900-2008</w:t>
      </w:r>
      <w:r>
        <w:rPr>
          <w:rFonts w:hint="eastAsia"/>
          <w:lang w:eastAsia="zh-CN"/>
        </w:rPr>
        <w:t>）</w:t>
      </w:r>
      <w:r>
        <w:rPr>
          <w:rFonts w:hint="eastAsia"/>
          <w:lang w:val="en-US" w:eastAsia="zh-CN"/>
        </w:rPr>
        <w:t>以及获嘉县同盟污水处理厂</w:t>
      </w:r>
      <w:r>
        <w:rPr>
          <w:rFonts w:hint="eastAsia"/>
        </w:rPr>
        <w:t>收水标准。评价认为本项目污水处理站的处理工艺是可行的</w:t>
      </w:r>
      <w:r>
        <w:rPr>
          <w:rFonts w:hint="eastAsia"/>
          <w:snapToGrid w:val="0"/>
        </w:rPr>
        <w:t>。</w:t>
      </w:r>
    </w:p>
    <w:p w14:paraId="6F00B7D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40" w:name="_Toc108122594"/>
      <w:r>
        <w:rPr>
          <w:rFonts w:hint="eastAsia" w:cs="Times New Roman"/>
          <w:lang w:val="en-US" w:eastAsia="zh-CN"/>
        </w:rPr>
        <w:t>7.1.2污水处理站及处理工艺情况介绍</w:t>
      </w:r>
      <w:bookmarkEnd w:id="640"/>
    </w:p>
    <w:p w14:paraId="099A0F2C">
      <w:pPr>
        <w:ind w:firstLine="480"/>
      </w:pPr>
      <w:r>
        <w:rPr>
          <w:rFonts w:hint="eastAsia"/>
        </w:rPr>
        <w:t>企业厂区建设污水处理措施</w:t>
      </w:r>
      <w:r>
        <w:rPr>
          <w:rFonts w:hint="eastAsia"/>
          <w:lang w:val="en-US" w:eastAsia="zh-CN"/>
        </w:rPr>
        <w:t>3</w:t>
      </w:r>
      <w:r>
        <w:rPr>
          <w:rFonts w:hint="eastAsia"/>
        </w:rPr>
        <w:t>套，分为含镍废水处理系统、含铬废水处理系统和综合废水处理系统，对废水分类进行处理。</w:t>
      </w:r>
    </w:p>
    <w:p w14:paraId="7644D0E4">
      <w:pPr>
        <w:ind w:firstLine="482"/>
        <w:rPr>
          <w:b/>
        </w:rPr>
      </w:pPr>
      <w:r>
        <w:rPr>
          <w:rFonts w:hint="eastAsia"/>
          <w:b/>
        </w:rPr>
        <w:t>（1）废水种类及处理设施</w:t>
      </w:r>
    </w:p>
    <w:p w14:paraId="490EA6BA">
      <w:pPr>
        <w:ind w:firstLine="482"/>
        <w:rPr>
          <w:b/>
        </w:rPr>
      </w:pPr>
      <w:r>
        <w:rPr>
          <w:rFonts w:hint="eastAsia"/>
          <w:b/>
        </w:rPr>
        <w:t>①含镍废水</w:t>
      </w:r>
    </w:p>
    <w:p w14:paraId="521EF6A0">
      <w:pPr>
        <w:ind w:firstLine="480"/>
      </w:pPr>
      <w:r>
        <w:rPr>
          <w:rFonts w:hint="eastAsia"/>
        </w:rPr>
        <w:t>含镍废水处理工艺流程如下图所示。</w:t>
      </w:r>
    </w:p>
    <w:p w14:paraId="13119C47">
      <w:pPr>
        <w:spacing w:line="240" w:lineRule="auto"/>
        <w:ind w:firstLine="0" w:firstLineChars="0"/>
        <w:jc w:val="center"/>
      </w:pPr>
      <w:r>
        <w:object>
          <v:shape id="_x0000_i1032" o:spt="75" type="#_x0000_t75" style="height:421.5pt;width:279pt;" o:ole="t" filled="f" o:preferrelative="t" stroked="f" coordsize="21600,21600">
            <v:path/>
            <v:fill on="f" focussize="0,0"/>
            <v:stroke on="f"/>
            <v:imagedata r:id="rId63" o:title=""/>
            <o:lock v:ext="edit" aspectratio="t"/>
            <w10:wrap type="none"/>
            <w10:anchorlock/>
          </v:shape>
          <o:OLEObject Type="Embed" ProgID="Visio.Drawing.11" ShapeID="_x0000_i1032" DrawAspect="Content" ObjectID="_1468075735" r:id="rId62">
            <o:LockedField>false</o:LockedField>
          </o:OLEObject>
        </w:object>
      </w:r>
    </w:p>
    <w:p w14:paraId="2001854A">
      <w:pPr>
        <w:spacing w:line="240" w:lineRule="auto"/>
        <w:ind w:firstLine="0" w:firstLineChars="0"/>
        <w:jc w:val="center"/>
      </w:pPr>
    </w:p>
    <w:p w14:paraId="21F927E9">
      <w:pPr>
        <w:pStyle w:val="78"/>
      </w:pPr>
    </w:p>
    <w:p w14:paraId="013211E1">
      <w:pPr>
        <w:pStyle w:val="78"/>
      </w:pPr>
      <w:r>
        <w:rPr>
          <w:rFonts w:hint="eastAsia"/>
        </w:rPr>
        <w:t>图7</w:t>
      </w:r>
      <w:r>
        <w:rPr>
          <w:rFonts w:hint="eastAsia"/>
          <w:lang w:val="en-US" w:eastAsia="zh-CN"/>
        </w:rPr>
        <w:t>.1</w:t>
      </w:r>
      <w:r>
        <w:rPr>
          <w:rFonts w:hint="eastAsia"/>
        </w:rPr>
        <w:t xml:space="preserve">-1  </w:t>
      </w:r>
      <w:r>
        <w:t xml:space="preserve">  </w:t>
      </w:r>
      <w:r>
        <w:rPr>
          <w:rFonts w:hint="eastAsia"/>
        </w:rPr>
        <w:t>含镍废水处理工艺流程图</w:t>
      </w:r>
    </w:p>
    <w:p w14:paraId="78E48FBF">
      <w:pPr>
        <w:ind w:firstLine="480"/>
        <w:rPr>
          <w:rFonts w:ascii="宋体" w:hAnsi="宋体"/>
          <w:b/>
          <w:szCs w:val="24"/>
          <w:highlight w:val="yellow"/>
        </w:rPr>
      </w:pPr>
      <w:r>
        <w:rPr>
          <w:rFonts w:hint="eastAsia"/>
        </w:rPr>
        <w:t>根据《排污许可证申请与核发技术规范  电镀工业》（HJ855-2017）和《电镀废水治理工程技术规范》（HJ2002-2010），含镍废水治理的可行技术有：化学沉淀法处理技术、化学法+膜分离法处理技术。本项目采用“调节+混凝沉淀+碳滤+超滤+反渗透+蒸发”属于“化学沉淀法、膜分离法处理技术”，属于可行技术，符合要求。</w:t>
      </w:r>
    </w:p>
    <w:p w14:paraId="736B81C3">
      <w:pPr>
        <w:ind w:firstLine="482"/>
        <w:rPr>
          <w:rFonts w:ascii="宋体" w:hAnsi="宋体"/>
          <w:b/>
          <w:szCs w:val="24"/>
          <w:highlight w:val="yellow"/>
        </w:rPr>
      </w:pPr>
      <w:r>
        <w:rPr>
          <w:rFonts w:hint="eastAsia" w:ascii="宋体" w:hAnsi="宋体"/>
          <w:b/>
          <w:szCs w:val="24"/>
        </w:rPr>
        <w:t>含镍废水处理流程说明：</w:t>
      </w:r>
    </w:p>
    <w:p w14:paraId="1200CA7D">
      <w:pPr>
        <w:ind w:firstLine="480"/>
      </w:pPr>
      <w:r>
        <w:rPr>
          <w:rFonts w:hint="eastAsia"/>
        </w:rPr>
        <w:t>调节池：废水首先进入调节池进行水质水量的调节，使后续处理能够连续稳定进行。废水添加氢氧化钠进行pH调节，反应pH值应大于9，反应时间不宜少于20min，使废水中的金属镍反应生产氢氧化物沉淀，酸碱调节加药量采用在线pH计控制。</w:t>
      </w:r>
    </w:p>
    <w:p w14:paraId="4364CECA">
      <w:pPr>
        <w:ind w:firstLine="480"/>
      </w:pPr>
      <w:r>
        <w:rPr>
          <w:rFonts w:hint="eastAsia"/>
        </w:rPr>
        <w:t>混凝沉淀：之后废水自流进入混凝沉淀池，添加PAC、PAM和重捕剂，使废水中金属氢氧化物沉淀形成大的絮体和矾花沉淀，易于进行固液分离，上清液自流进入后续处理，污泥进入压滤机，滤液返回调节池，含镍污泥委托有资质的单位处理。</w:t>
      </w:r>
    </w:p>
    <w:p w14:paraId="54E02253">
      <w:pPr>
        <w:ind w:firstLine="480"/>
        <w:rPr>
          <w:b/>
          <w:bCs/>
          <w:u w:val="single"/>
        </w:rPr>
      </w:pPr>
      <w:r>
        <w:rPr>
          <w:rFonts w:hint="eastAsia"/>
        </w:rPr>
        <w:t>碳滤、超滤、反渗透、蒸发：为了减少废水中氯对反渗透膜的化学损伤，含镍废水经絮凝沉淀后先进行碳滤和超滤处理；同时大部分镍污染物以沉淀形式进入污泥及废过滤膜等固废中，少量镍污染物随废水进入反渗透进一步处理，最后经反渗透处理后进入反渗透浓水中。含镍废水经“调节+混凝沉淀+碳滤+超滤+反渗透”处理，处理后可以达到总镍未检出。反渗透浓水则进入蒸发系统进行蒸发处理，蒸发系统采用蒸汽加热，蒸发浓液属于危废。</w:t>
      </w:r>
    </w:p>
    <w:p w14:paraId="76584258">
      <w:pPr>
        <w:ind w:firstLine="480"/>
      </w:pPr>
      <w:r>
        <w:rPr>
          <w:rFonts w:hint="eastAsia"/>
        </w:rPr>
        <w:t>蒸发器工作原理：本项目所使用的蒸发技术为多效蒸发器脱盐法，其原理是利用浓缩结晶系统将废液中的无机盐通过蒸发的方式加以去掉。具体为需要蒸发的废水经进料泵进入多效加热器进行加热，然后进入蒸发室，进行蒸发；在分离器中进行气液分离，溶液从分离器底部流入循环泵吸入口，利用循环泵送入加热器、分离器进行循环流动与蒸发，蒸发出来的蒸汽进入冷凝器被全部冷凝。在蒸发换热室内，外接蒸汽液化产生汽化潜热，对废水进行加热。由于蒸发换热室内压力较大，废水在蒸发换热室中高于正常液体沸点压力下加热至过热。加热后的液体进入结晶蒸发室后，废水的压力迅速下降，导致部分废水水溶液闪蒸或者沸腾。</w:t>
      </w:r>
    </w:p>
    <w:p w14:paraId="5445D347">
      <w:pPr>
        <w:ind w:firstLine="480"/>
      </w:pPr>
      <w:r>
        <w:rPr>
          <w:rFonts w:hint="eastAsia"/>
        </w:rPr>
        <w:t>废水蒸发后的蒸汽进入多效蒸发器作为动力蒸发器进行加热，未蒸发废水和盐分暂存在结晶蒸发室。多效蒸发器之间通过平衡管相通，在负压所用下，高含盐废水由一效向多效依次流动，废水不断被蒸发，废水中盐的浓度越来越高，当废水中的盐分超过饱和状态时，水中盐分就会不断地析出，进入蒸发结晶室的下部的集盐室，整个过程周而复始，实现盐水分离。冷凝器链接有真空系统，真空系统抽掉蒸发系统内产生的未冷凝气体，使冷凝器和蒸发器保持负压状态，提高蒸发系统的蒸发效率。在负压作用下，多效蒸发器中的废水产生的二次蒸汽自动进入冷凝器，在循环冷却水的冷却下，废水产生的二次蒸汽迅速转变成冷凝水。</w:t>
      </w:r>
    </w:p>
    <w:p w14:paraId="3591A1AB">
      <w:pPr>
        <w:ind w:firstLine="480"/>
      </w:pPr>
      <w:r>
        <w:rPr>
          <w:rFonts w:hint="eastAsia"/>
        </w:rPr>
        <w:t>本部分废水处理设施设置有pH监测装置，能及时调节pH值，保证出水的pH值保持在需要的值之间。</w:t>
      </w:r>
    </w:p>
    <w:p w14:paraId="2EF3FCF5">
      <w:pPr>
        <w:ind w:firstLine="480"/>
      </w:pPr>
      <w:r>
        <w:rPr>
          <w:rFonts w:hint="eastAsia"/>
        </w:rPr>
        <w:t>根据企业设备厂家提供的实验数据及实际工程数据，反渗透淡水和蒸发冷凝水水质可达到总镍未检出水平，因此可回用于镀后水洗和中和后水洗工序，不外排。</w:t>
      </w:r>
    </w:p>
    <w:p w14:paraId="613C02B1">
      <w:pPr>
        <w:ind w:firstLine="482"/>
        <w:rPr>
          <w:b/>
        </w:rPr>
      </w:pPr>
      <w:r>
        <w:rPr>
          <w:rFonts w:hint="eastAsia"/>
          <w:b/>
        </w:rPr>
        <w:t>②含铬废水</w:t>
      </w:r>
    </w:p>
    <w:p w14:paraId="56402946">
      <w:pPr>
        <w:ind w:firstLine="480"/>
      </w:pPr>
      <w:r>
        <w:rPr>
          <w:rFonts w:hint="eastAsia"/>
        </w:rPr>
        <w:t>含铬废水处理工艺流程如下图所示。</w:t>
      </w:r>
    </w:p>
    <w:p w14:paraId="57F0650D">
      <w:pPr>
        <w:spacing w:line="240" w:lineRule="auto"/>
        <w:ind w:firstLine="0" w:firstLineChars="0"/>
        <w:jc w:val="center"/>
      </w:pPr>
      <w:r>
        <w:object>
          <v:shape id="_x0000_i1033" o:spt="75" type="#_x0000_t75" style="height:402pt;width:275.25pt;" o:ole="t" filled="f" o:preferrelative="t" stroked="f" coordsize="21600,21600">
            <v:path/>
            <v:fill on="f" focussize="0,0"/>
            <v:stroke on="f"/>
            <v:imagedata r:id="rId65" o:title=""/>
            <o:lock v:ext="edit" aspectratio="t"/>
            <w10:wrap type="none"/>
            <w10:anchorlock/>
          </v:shape>
          <o:OLEObject Type="Embed" ProgID="Visio.Drawing.11" ShapeID="_x0000_i1033" DrawAspect="Content" ObjectID="_1468075736" r:id="rId64">
            <o:LockedField>false</o:LockedField>
          </o:OLEObject>
        </w:object>
      </w:r>
    </w:p>
    <w:p w14:paraId="142B511F">
      <w:pPr>
        <w:pStyle w:val="78"/>
      </w:pPr>
      <w:r>
        <w:rPr>
          <w:rFonts w:hint="eastAsia"/>
        </w:rPr>
        <w:t>图7</w:t>
      </w:r>
      <w:r>
        <w:rPr>
          <w:rFonts w:hint="eastAsia"/>
          <w:lang w:val="en-US" w:eastAsia="zh-CN"/>
        </w:rPr>
        <w:t>.1</w:t>
      </w:r>
      <w:r>
        <w:rPr>
          <w:rFonts w:hint="eastAsia"/>
        </w:rPr>
        <w:t xml:space="preserve">-2  </w:t>
      </w:r>
      <w:r>
        <w:t xml:space="preserve">  </w:t>
      </w:r>
      <w:r>
        <w:rPr>
          <w:rFonts w:hint="eastAsia"/>
        </w:rPr>
        <w:t>含铬废水处理工艺流程图</w:t>
      </w:r>
    </w:p>
    <w:p w14:paraId="5CD3C463">
      <w:pPr>
        <w:ind w:firstLine="480"/>
        <w:rPr>
          <w:rFonts w:ascii="宋体" w:hAnsi="宋体"/>
          <w:b/>
          <w:szCs w:val="24"/>
          <w:highlight w:val="yellow"/>
        </w:rPr>
      </w:pPr>
      <w:r>
        <w:rPr>
          <w:rFonts w:hint="eastAsia"/>
        </w:rPr>
        <w:t>根据《排污许可证申请与核发技术规范 电镀工业》（HJ855-2017）和《电镀废水治理工程技术规范》（HJ2002-2010），含铬废水治理的可行技术有：化学还原法处理技术、电解法处理工艺及其他。本项目为三价铬，采用“调节+混凝沉淀+碳滤+超滤+反渗透+蒸发”进行处理，属于可行技术，符合要求。</w:t>
      </w:r>
    </w:p>
    <w:p w14:paraId="4321F7A9">
      <w:pPr>
        <w:ind w:firstLine="482"/>
        <w:rPr>
          <w:rFonts w:ascii="宋体" w:hAnsi="宋体"/>
          <w:b/>
          <w:szCs w:val="24"/>
          <w:highlight w:val="yellow"/>
        </w:rPr>
      </w:pPr>
      <w:r>
        <w:rPr>
          <w:rFonts w:hint="eastAsia" w:ascii="宋体" w:hAnsi="宋体"/>
          <w:b/>
          <w:szCs w:val="24"/>
        </w:rPr>
        <w:t>含铬废水处理流程说明：</w:t>
      </w:r>
    </w:p>
    <w:p w14:paraId="466FE0DD">
      <w:pPr>
        <w:ind w:firstLine="480"/>
        <w:rPr>
          <w:rFonts w:ascii="宋体" w:hAnsi="宋体"/>
          <w:szCs w:val="24"/>
        </w:rPr>
      </w:pPr>
      <w:r>
        <w:rPr>
          <w:rFonts w:hint="eastAsia"/>
        </w:rPr>
        <w:t>调节池：废水首先进入调节池进行水质水量的调节，使后续处理能够连续稳定进行。废水添加氢氧化钠进行pH调节，反应pH值应大于9，反应时间不宜少于20min，使废水中的金属铬反应生产氢氧化物沉淀，酸碱调节加药量采用在线pH计控制</w:t>
      </w:r>
    </w:p>
    <w:p w14:paraId="34351CA5">
      <w:pPr>
        <w:ind w:firstLine="480"/>
      </w:pPr>
      <w:r>
        <w:rPr>
          <w:rFonts w:hint="eastAsia"/>
        </w:rPr>
        <w:t>含铬废水处理</w:t>
      </w:r>
      <w:r>
        <w:t>反应</w:t>
      </w:r>
      <w:r>
        <w:rPr>
          <w:rFonts w:hint="eastAsia"/>
        </w:rPr>
        <w:t>方程式</w:t>
      </w:r>
      <w:r>
        <w:t>如下：</w:t>
      </w:r>
    </w:p>
    <w:p w14:paraId="730E5A26">
      <w:pPr>
        <w:ind w:firstLine="0" w:firstLineChars="0"/>
        <w:jc w:val="center"/>
      </w:pPr>
      <w:r>
        <w:rPr>
          <w:szCs w:val="24"/>
          <w:lang w:val="pt-BR"/>
        </w:rPr>
        <w:t>Cr</w:t>
      </w:r>
      <w:r>
        <w:rPr>
          <w:rFonts w:hint="eastAsia"/>
          <w:szCs w:val="24"/>
        </w:rPr>
        <w:t>(N</w:t>
      </w:r>
      <w:r>
        <w:rPr>
          <w:szCs w:val="24"/>
          <w:lang w:val="pt-BR"/>
        </w:rPr>
        <w:t>O</w:t>
      </w:r>
      <w:r>
        <w:rPr>
          <w:rFonts w:hint="eastAsia"/>
          <w:szCs w:val="24"/>
          <w:vertAlign w:val="subscript"/>
        </w:rPr>
        <w:t>3</w:t>
      </w:r>
      <w:r>
        <w:rPr>
          <w:rFonts w:hint="eastAsia"/>
          <w:szCs w:val="24"/>
        </w:rPr>
        <w:t>)</w:t>
      </w:r>
      <w:r>
        <w:rPr>
          <w:szCs w:val="24"/>
          <w:vertAlign w:val="subscript"/>
          <w:lang w:val="pt-BR"/>
        </w:rPr>
        <w:t>3</w:t>
      </w:r>
      <w:r>
        <w:rPr>
          <w:szCs w:val="24"/>
          <w:lang w:val="pt-BR"/>
        </w:rPr>
        <w:t>+</w:t>
      </w:r>
      <w:r>
        <w:rPr>
          <w:rFonts w:hint="eastAsia"/>
          <w:szCs w:val="24"/>
        </w:rPr>
        <w:t>3</w:t>
      </w:r>
      <w:r>
        <w:rPr>
          <w:szCs w:val="24"/>
          <w:lang w:val="pt-BR"/>
        </w:rPr>
        <w:t>NaOH→Cr</w:t>
      </w:r>
      <w:r>
        <w:rPr>
          <w:rFonts w:hint="eastAsia"/>
          <w:szCs w:val="24"/>
        </w:rPr>
        <w:t>(</w:t>
      </w:r>
      <w:r>
        <w:rPr>
          <w:szCs w:val="24"/>
          <w:lang w:val="pt-BR"/>
        </w:rPr>
        <w:t>OH</w:t>
      </w:r>
      <w:r>
        <w:rPr>
          <w:rFonts w:hint="eastAsia"/>
          <w:szCs w:val="24"/>
        </w:rPr>
        <w:t>)</w:t>
      </w:r>
      <w:r>
        <w:rPr>
          <w:szCs w:val="24"/>
          <w:vertAlign w:val="subscript"/>
          <w:lang w:val="pt-BR"/>
        </w:rPr>
        <w:t>3</w:t>
      </w:r>
      <w:r>
        <w:rPr>
          <w:szCs w:val="24"/>
          <w:lang w:val="pt-BR"/>
        </w:rPr>
        <w:t>↓+3Na</w:t>
      </w:r>
      <w:r>
        <w:rPr>
          <w:rFonts w:hint="eastAsia"/>
          <w:szCs w:val="24"/>
        </w:rPr>
        <w:t>N</w:t>
      </w:r>
      <w:r>
        <w:rPr>
          <w:szCs w:val="24"/>
          <w:lang w:val="pt-BR"/>
        </w:rPr>
        <w:t>O</w:t>
      </w:r>
      <w:r>
        <w:rPr>
          <w:rFonts w:hint="eastAsia"/>
          <w:szCs w:val="24"/>
          <w:vertAlign w:val="subscript"/>
        </w:rPr>
        <w:t>3</w:t>
      </w:r>
    </w:p>
    <w:p w14:paraId="693E7013">
      <w:pPr>
        <w:ind w:firstLine="480"/>
      </w:pPr>
      <w:r>
        <w:rPr>
          <w:rFonts w:hint="eastAsia"/>
        </w:rPr>
        <w:t>废水中的铬（三价）通过混凝沉淀，添加碱、PAC、PAM和重捕剂沉淀去除废水中的铬，大部分的铬以沉淀形式进入污泥中，少量铬污染物随废水进入后续碳滤和超滤处理工段，最后经反渗透处理后进入反渗透浓水中。含铬废水经“调节+混凝沉淀+碳滤+超滤+反渗透”处理后，处理后可以达到总铬未检出。反渗透浓水则进入蒸发系统进行处理，蒸发系统采用蒸汽加热，蒸发浓液属于危废。</w:t>
      </w:r>
    </w:p>
    <w:p w14:paraId="1B5E7926">
      <w:pPr>
        <w:ind w:firstLine="480"/>
      </w:pPr>
      <w:r>
        <w:rPr>
          <w:rFonts w:hint="eastAsia"/>
        </w:rPr>
        <w:t>本部分废水处理设施设置有pH监测装置，能及时调节pH值，保证出水的pH值保持在需要的值之间。</w:t>
      </w:r>
    </w:p>
    <w:p w14:paraId="125A5E08">
      <w:pPr>
        <w:ind w:firstLine="480"/>
      </w:pPr>
      <w:r>
        <w:rPr>
          <w:rFonts w:hint="eastAsia"/>
        </w:rPr>
        <w:t>根据企业设备厂家提供的实验数据及实际工程数据，反渗透淡水和蒸发冷凝水水质可达到总铬未检出水平，因此可回用于钝化后水洗和中和后水洗工序，不外排。</w:t>
      </w:r>
    </w:p>
    <w:p w14:paraId="4F2EC4BD">
      <w:pPr>
        <w:ind w:firstLine="482"/>
        <w:rPr>
          <w:rFonts w:hint="default" w:eastAsia="宋体"/>
          <w:lang w:val="en-US" w:eastAsia="zh-CN"/>
        </w:rPr>
      </w:pPr>
      <w:r>
        <w:rPr>
          <w:rFonts w:hint="eastAsia" w:ascii="宋体" w:hAnsi="宋体"/>
          <w:b/>
        </w:rPr>
        <w:t>③</w:t>
      </w:r>
      <w:r>
        <w:rPr>
          <w:rFonts w:hint="eastAsia" w:ascii="宋体" w:hAnsi="宋体"/>
          <w:b/>
          <w:lang w:val="en-US" w:eastAsia="zh-CN"/>
        </w:rPr>
        <w:t>综合废水</w:t>
      </w:r>
    </w:p>
    <w:p w14:paraId="40E545F0">
      <w:pPr>
        <w:ind w:firstLine="480"/>
        <w:rPr>
          <w:highlight w:val="yellow"/>
        </w:rPr>
      </w:pPr>
      <w:r>
        <w:rPr>
          <w:rFonts w:hint="eastAsia" w:ascii="宋体" w:hAnsi="宋体"/>
          <w:szCs w:val="24"/>
        </w:rPr>
        <w:t>综合废水包括</w:t>
      </w:r>
      <w:r>
        <w:rPr>
          <w:rFonts w:hint="eastAsia"/>
        </w:rPr>
        <w:t>除油废槽液、除油后水洗废水、酸洗废槽液、酸洗后水洗废水、酸洗后水洗槽定期更换水</w:t>
      </w:r>
      <w:r>
        <w:rPr>
          <w:rFonts w:hint="eastAsia"/>
          <w:lang w:eastAsia="zh-CN"/>
        </w:rPr>
        <w:t>、</w:t>
      </w:r>
      <w:r>
        <w:rPr>
          <w:rFonts w:hint="eastAsia"/>
          <w:lang w:val="en-US" w:eastAsia="zh-CN"/>
        </w:rPr>
        <w:t>封闭废槽液、封闭后水洗废水以及封闭后水洗废水定期更换水</w:t>
      </w:r>
      <w:r>
        <w:rPr>
          <w:rFonts w:hint="eastAsia" w:ascii="宋体" w:hAnsi="宋体"/>
          <w:szCs w:val="24"/>
        </w:rPr>
        <w:t>。含油废水经槽体破乳、气浮后和其他酸碱废水一同进入综合废水处理系统</w:t>
      </w:r>
      <w:r>
        <w:rPr>
          <w:rFonts w:hint="eastAsia"/>
        </w:rPr>
        <w:t>。</w:t>
      </w:r>
    </w:p>
    <w:p w14:paraId="36B8E925">
      <w:pPr>
        <w:ind w:firstLine="480"/>
      </w:pPr>
      <w:r>
        <w:rPr>
          <w:rFonts w:hint="eastAsia"/>
        </w:rPr>
        <w:t>根据《排污许可证申请与核发技术规范  电镀工业》（HJ855-2017），综合废水治理的可行技术有：“A/O生物处理技术”、“A</w:t>
      </w:r>
      <w:r>
        <w:rPr>
          <w:rFonts w:hint="eastAsia"/>
          <w:vertAlign w:val="superscript"/>
        </w:rPr>
        <w:t>2</w:t>
      </w:r>
      <w:r>
        <w:rPr>
          <w:rFonts w:hint="eastAsia"/>
        </w:rPr>
        <w:t>/O生物处理技术”、“好氧膜生物处理技术”、“缺氧（或兼氧）膜生物处理技术”、“厌氧-缺氧（或兼氧）膜生物处理技术”。本项目采用“破乳+气浮+调节+混凝沉淀+水解酸化+接触氧化+二沉池”的处理工艺进行处理，属于可行技术，符合要求。</w:t>
      </w:r>
    </w:p>
    <w:p w14:paraId="6ED50BED">
      <w:pPr>
        <w:ind w:firstLine="480"/>
      </w:pPr>
      <w:r>
        <w:rPr>
          <w:rFonts w:hint="eastAsia"/>
        </w:rPr>
        <w:t>综合废水处理工艺流程如下图所示。</w:t>
      </w:r>
    </w:p>
    <w:p w14:paraId="36ED697E">
      <w:pPr>
        <w:spacing w:line="240" w:lineRule="auto"/>
        <w:ind w:firstLine="0" w:firstLineChars="0"/>
        <w:jc w:val="center"/>
      </w:pPr>
      <w:r>
        <w:object>
          <v:shape id="_x0000_i1034" o:spt="75" type="#_x0000_t75" style="height:407.25pt;width:256.5pt;" o:ole="t" filled="f" o:preferrelative="t" stroked="f" coordsize="21600,21600">
            <v:path/>
            <v:fill on="f" focussize="0,0"/>
            <v:stroke on="f"/>
            <v:imagedata r:id="rId67" o:title=""/>
            <o:lock v:ext="edit" aspectratio="t"/>
            <w10:wrap type="none"/>
            <w10:anchorlock/>
          </v:shape>
          <o:OLEObject Type="Embed" ProgID="Visio.Drawing.11" ShapeID="_x0000_i1034" DrawAspect="Content" ObjectID="_1468075737" r:id="rId66">
            <o:LockedField>false</o:LockedField>
          </o:OLEObject>
        </w:object>
      </w:r>
    </w:p>
    <w:p w14:paraId="02BB21B8">
      <w:pPr>
        <w:pStyle w:val="78"/>
        <w:rPr>
          <w:rFonts w:hint="eastAsia"/>
        </w:rPr>
      </w:pPr>
    </w:p>
    <w:p w14:paraId="47002D6D">
      <w:pPr>
        <w:pStyle w:val="78"/>
      </w:pPr>
      <w:r>
        <w:rPr>
          <w:rFonts w:hint="eastAsia"/>
        </w:rPr>
        <w:t>图7</w:t>
      </w:r>
      <w:r>
        <w:rPr>
          <w:rFonts w:hint="eastAsia"/>
          <w:lang w:val="en-US" w:eastAsia="zh-CN"/>
        </w:rPr>
        <w:t>.1</w:t>
      </w:r>
      <w:r>
        <w:rPr>
          <w:rFonts w:hint="eastAsia"/>
        </w:rPr>
        <w:t>-</w:t>
      </w:r>
      <w:r>
        <w:rPr>
          <w:rFonts w:hint="eastAsia"/>
          <w:lang w:val="en-US" w:eastAsia="zh-CN"/>
        </w:rPr>
        <w:t>3</w:t>
      </w:r>
      <w:r>
        <w:rPr>
          <w:rFonts w:hint="eastAsia"/>
        </w:rPr>
        <w:t xml:space="preserve">  </w:t>
      </w:r>
      <w:r>
        <w:t xml:space="preserve">  </w:t>
      </w:r>
      <w:r>
        <w:rPr>
          <w:rFonts w:hint="eastAsia"/>
        </w:rPr>
        <w:t>综合废水处理工艺流程图</w:t>
      </w:r>
    </w:p>
    <w:p w14:paraId="6CDB8A88">
      <w:pPr>
        <w:ind w:firstLine="482"/>
        <w:rPr>
          <w:b/>
        </w:rPr>
      </w:pPr>
      <w:r>
        <w:rPr>
          <w:b/>
        </w:rPr>
        <w:t>工艺过程</w:t>
      </w:r>
      <w:r>
        <w:rPr>
          <w:rFonts w:hint="eastAsia"/>
          <w:b/>
        </w:rPr>
        <w:t>：</w:t>
      </w:r>
    </w:p>
    <w:p w14:paraId="757B44A1">
      <w:pPr>
        <w:ind w:firstLine="480"/>
      </w:pPr>
      <w:r>
        <w:rPr>
          <w:rFonts w:hint="eastAsia"/>
        </w:rPr>
        <w:t>（1）向含油废水中加入破乳剂对废油进行破乳，破乳后的废油由气浮顶部的刮渣机刮出池外作为危废处理；经过破乳、气浮装置处理后的废水和其他酸碱废水自流进收集池，然后泵入综合调节池，调节池内设置水质/水量均化装置，酸碱调节加药量采用在线pH计控制，将调节池的废水水质/水量进行均匀化处理。</w:t>
      </w:r>
    </w:p>
    <w:p w14:paraId="1504C08A">
      <w:pPr>
        <w:ind w:firstLine="480"/>
      </w:pPr>
      <w:r>
        <w:rPr>
          <w:rFonts w:hint="eastAsia"/>
        </w:rPr>
        <w:t>（2）调节完水质/水量后的废水进入混凝反应槽，并投加混凝剂及助凝剂以进行混凝反应，去除水中的COD、石油类等污染物，完成混凝反应后的废水进入沉淀池进行沉淀，完成固液分离处理。</w:t>
      </w:r>
    </w:p>
    <w:p w14:paraId="725B1EE9">
      <w:pPr>
        <w:ind w:firstLine="480"/>
      </w:pPr>
      <w:r>
        <w:rPr>
          <w:rFonts w:hint="eastAsia"/>
        </w:rPr>
        <w:t>（3）混凝沉淀后的废水连续进入水解酸化池、接触氧化池和二沉池对废水进一步进行处理，进一步去除COD、氨氮、TP、TN、石油类，保证出水水质。水解酸化+接触氧化+二沉池对废水中各污染物的去除效率为</w:t>
      </w:r>
      <w:r>
        <w:t>COD≥60%、</w:t>
      </w:r>
      <w:r>
        <w:rPr>
          <w:rFonts w:hint="eastAsia"/>
        </w:rPr>
        <w:t>S</w:t>
      </w:r>
      <w:r>
        <w:t>S≥20%、氨氮≥20%、TP≥50%、TN≥20%、石油类≥20%。</w:t>
      </w:r>
    </w:p>
    <w:p w14:paraId="04AF3873">
      <w:pPr>
        <w:ind w:firstLine="480"/>
      </w:pPr>
      <w:r>
        <w:rPr>
          <w:rFonts w:hint="eastAsia"/>
        </w:rPr>
        <w:t>本部分废水处理设施设置有pH监测装置，能及时调节pH值，保证出水的pH值保持在需要的值之间。</w:t>
      </w:r>
    </w:p>
    <w:p w14:paraId="7AB93637">
      <w:pPr>
        <w:ind w:firstLine="480"/>
      </w:pPr>
      <w:r>
        <w:rPr>
          <w:rFonts w:hint="eastAsia"/>
        </w:rPr>
        <w:t>根据企业设备厂家提供的实验数据及实际工程数据，废水经处理后出水水质能够满足排放标准要求，处理后经厂区总排口排放。</w:t>
      </w:r>
    </w:p>
    <w:p w14:paraId="62E5A95B">
      <w:pPr>
        <w:ind w:firstLine="482"/>
        <w:rPr>
          <w:b/>
          <w:bCs/>
        </w:rPr>
      </w:pPr>
      <w:r>
        <w:rPr>
          <w:rFonts w:hint="eastAsia"/>
          <w:b/>
          <w:bCs/>
        </w:rPr>
        <w:t>④其他废水</w:t>
      </w:r>
    </w:p>
    <w:p w14:paraId="3CFEF856">
      <w:pPr>
        <w:ind w:firstLine="480"/>
      </w:pPr>
      <w:r>
        <w:rPr>
          <w:rFonts w:hint="eastAsia"/>
        </w:rPr>
        <w:t>本项目其他废水主要为员工生活污水、纯水制备浓水和冲压冷凝水，员工生活污水经化粪池处理与纯水制备浓水、冲压冷凝水一同经厂区总排口一起排放。</w:t>
      </w:r>
    </w:p>
    <w:p w14:paraId="6FFC91B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41" w:name="_Toc108122595"/>
      <w:r>
        <w:rPr>
          <w:rFonts w:hint="eastAsia" w:cs="Times New Roman"/>
          <w:lang w:val="en-US" w:eastAsia="zh-CN"/>
        </w:rPr>
        <w:t>7.1.3达标分析</w:t>
      </w:r>
      <w:bookmarkEnd w:id="641"/>
    </w:p>
    <w:p w14:paraId="14960CC7">
      <w:pPr>
        <w:ind w:firstLine="482"/>
        <w:rPr>
          <w:b/>
          <w:bCs/>
          <w:szCs w:val="24"/>
        </w:rPr>
      </w:pPr>
      <w:r>
        <w:rPr>
          <w:b/>
          <w:bCs/>
          <w:szCs w:val="24"/>
        </w:rPr>
        <w:t>1、含镍废水</w:t>
      </w:r>
    </w:p>
    <w:p w14:paraId="7FB2CD58">
      <w:pPr>
        <w:ind w:firstLine="480"/>
        <w:rPr>
          <w:rFonts w:ascii="宋体" w:hAnsi="宋体"/>
          <w:szCs w:val="24"/>
        </w:rPr>
      </w:pPr>
      <w:r>
        <w:rPr>
          <w:rFonts w:hint="eastAsia" w:ascii="宋体" w:hAnsi="宋体"/>
          <w:szCs w:val="24"/>
        </w:rPr>
        <w:t>根据工程分析，含镍废水经处理后水质较好，可回用于镀镍生产线镀镍后的水洗</w:t>
      </w:r>
      <w:r>
        <w:rPr>
          <w:rFonts w:hint="eastAsia" w:ascii="宋体" w:hAnsi="宋体"/>
          <w:szCs w:val="24"/>
          <w:lang w:eastAsia="zh-CN"/>
        </w:rPr>
        <w:t>、</w:t>
      </w:r>
      <w:r>
        <w:rPr>
          <w:rFonts w:hint="eastAsia" w:ascii="宋体" w:hAnsi="宋体"/>
          <w:szCs w:val="24"/>
          <w:lang w:val="en-US" w:eastAsia="zh-CN"/>
        </w:rPr>
        <w:t>漂白水洗</w:t>
      </w:r>
      <w:r>
        <w:rPr>
          <w:rFonts w:hint="eastAsia"/>
        </w:rPr>
        <w:t>和中和后水洗</w:t>
      </w:r>
      <w:r>
        <w:rPr>
          <w:rFonts w:hint="eastAsia" w:ascii="宋体" w:hAnsi="宋体"/>
          <w:szCs w:val="24"/>
        </w:rPr>
        <w:t>工序，不外排。本项目含镍废水进入含镍废水处理系统的处理效果及达标情况见下表。</w:t>
      </w:r>
    </w:p>
    <w:p w14:paraId="505F1A39">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表7</w:t>
      </w:r>
      <w:r>
        <w:rPr>
          <w:rFonts w:hint="eastAsia"/>
          <w:lang w:val="en-US" w:eastAsia="zh-CN"/>
        </w:rPr>
        <w:t>.1</w:t>
      </w:r>
      <w:r>
        <w:rPr>
          <w:rFonts w:hint="eastAsia"/>
        </w:rPr>
        <w:t>-1    含镍废水处理效果及排放情况一览表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99"/>
        <w:gridCol w:w="1232"/>
        <w:gridCol w:w="1634"/>
        <w:gridCol w:w="1312"/>
        <w:gridCol w:w="1457"/>
        <w:gridCol w:w="1395"/>
      </w:tblGrid>
      <w:tr w14:paraId="542F4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79" w:type="pct"/>
            <w:vAlign w:val="center"/>
          </w:tcPr>
          <w:p w14:paraId="795D3AB8">
            <w:pPr>
              <w:pStyle w:val="81"/>
              <w:rPr>
                <w:color w:val="auto"/>
              </w:rPr>
            </w:pPr>
            <w:r>
              <w:rPr>
                <w:rFonts w:hint="eastAsia"/>
                <w:color w:val="auto"/>
              </w:rPr>
              <w:t>处理工段</w:t>
            </w:r>
          </w:p>
        </w:tc>
        <w:tc>
          <w:tcPr>
            <w:tcW w:w="722" w:type="pct"/>
            <w:vAlign w:val="center"/>
          </w:tcPr>
          <w:p w14:paraId="08A2A07B">
            <w:pPr>
              <w:pStyle w:val="81"/>
              <w:rPr>
                <w:color w:val="auto"/>
              </w:rPr>
            </w:pPr>
            <w:r>
              <w:rPr>
                <w:rFonts w:hint="eastAsia"/>
                <w:color w:val="auto"/>
              </w:rPr>
              <w:t>废水来源</w:t>
            </w:r>
          </w:p>
        </w:tc>
        <w:tc>
          <w:tcPr>
            <w:tcW w:w="958" w:type="pct"/>
            <w:vAlign w:val="center"/>
          </w:tcPr>
          <w:p w14:paraId="61F33711">
            <w:pPr>
              <w:pStyle w:val="81"/>
              <w:rPr>
                <w:color w:val="auto"/>
              </w:rPr>
            </w:pPr>
            <w:r>
              <w:rPr>
                <w:rFonts w:hint="eastAsia"/>
                <w:color w:val="auto"/>
              </w:rPr>
              <w:t>水量(m</w:t>
            </w:r>
            <w:r>
              <w:rPr>
                <w:rFonts w:hint="eastAsia"/>
                <w:color w:val="auto"/>
                <w:vertAlign w:val="superscript"/>
              </w:rPr>
              <w:t>3</w:t>
            </w:r>
            <w:r>
              <w:rPr>
                <w:rFonts w:hint="eastAsia"/>
                <w:color w:val="auto"/>
              </w:rPr>
              <w:t>/d</w:t>
            </w:r>
            <w:r>
              <w:rPr>
                <w:color w:val="auto"/>
              </w:rPr>
              <w:t>)</w:t>
            </w:r>
          </w:p>
        </w:tc>
        <w:tc>
          <w:tcPr>
            <w:tcW w:w="769" w:type="pct"/>
            <w:vAlign w:val="center"/>
          </w:tcPr>
          <w:p w14:paraId="4A9483B5">
            <w:pPr>
              <w:pStyle w:val="81"/>
              <w:rPr>
                <w:color w:val="auto"/>
              </w:rPr>
            </w:pPr>
            <w:r>
              <w:rPr>
                <w:rFonts w:hint="eastAsia"/>
                <w:color w:val="auto"/>
              </w:rPr>
              <w:t>p</w:t>
            </w:r>
            <w:r>
              <w:rPr>
                <w:color w:val="auto"/>
              </w:rPr>
              <w:t>H</w:t>
            </w:r>
          </w:p>
        </w:tc>
        <w:tc>
          <w:tcPr>
            <w:tcW w:w="854" w:type="pct"/>
            <w:vAlign w:val="center"/>
          </w:tcPr>
          <w:p w14:paraId="3E8D8C3F">
            <w:pPr>
              <w:pStyle w:val="81"/>
              <w:rPr>
                <w:color w:val="auto"/>
              </w:rPr>
            </w:pPr>
            <w:r>
              <w:rPr>
                <w:rFonts w:hint="eastAsia"/>
                <w:color w:val="auto"/>
              </w:rPr>
              <w:t>COD</w:t>
            </w:r>
          </w:p>
        </w:tc>
        <w:tc>
          <w:tcPr>
            <w:tcW w:w="818" w:type="pct"/>
            <w:vAlign w:val="center"/>
          </w:tcPr>
          <w:p w14:paraId="574A3064">
            <w:pPr>
              <w:pStyle w:val="81"/>
              <w:rPr>
                <w:color w:val="auto"/>
              </w:rPr>
            </w:pPr>
            <w:r>
              <w:rPr>
                <w:rFonts w:hint="eastAsia"/>
                <w:color w:val="auto"/>
              </w:rPr>
              <w:t>总镍</w:t>
            </w:r>
          </w:p>
        </w:tc>
      </w:tr>
      <w:tr w14:paraId="27D3DB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Align w:val="center"/>
          </w:tcPr>
          <w:p w14:paraId="35E5A2CF">
            <w:pPr>
              <w:pStyle w:val="75"/>
            </w:pPr>
            <w:r>
              <w:rPr>
                <w:rFonts w:hint="eastAsia"/>
              </w:rPr>
              <w:t>调节池</w:t>
            </w:r>
          </w:p>
        </w:tc>
        <w:tc>
          <w:tcPr>
            <w:tcW w:w="722" w:type="pct"/>
            <w:vAlign w:val="center"/>
          </w:tcPr>
          <w:p w14:paraId="45A3B764">
            <w:pPr>
              <w:pStyle w:val="75"/>
            </w:pPr>
            <w:r>
              <w:rPr>
                <w:rFonts w:hint="eastAsia"/>
              </w:rPr>
              <w:t>含镍废水</w:t>
            </w:r>
          </w:p>
        </w:tc>
        <w:tc>
          <w:tcPr>
            <w:tcW w:w="958" w:type="pct"/>
            <w:vAlign w:val="center"/>
          </w:tcPr>
          <w:p w14:paraId="34BF4927">
            <w:pPr>
              <w:pStyle w:val="75"/>
              <w:rPr>
                <w:rFonts w:hint="default" w:eastAsia="宋体"/>
                <w:lang w:val="en-US" w:eastAsia="zh-CN"/>
              </w:rPr>
            </w:pPr>
            <w:r>
              <w:rPr>
                <w:rFonts w:hint="eastAsia"/>
                <w:lang w:val="en-US" w:eastAsia="zh-CN"/>
              </w:rPr>
              <w:t>135.757</w:t>
            </w:r>
          </w:p>
        </w:tc>
        <w:tc>
          <w:tcPr>
            <w:tcW w:w="769" w:type="pct"/>
            <w:vAlign w:val="center"/>
          </w:tcPr>
          <w:p w14:paraId="29661E22">
            <w:pPr>
              <w:pStyle w:val="75"/>
            </w:pPr>
            <w:r>
              <w:rPr>
                <w:rFonts w:hint="eastAsia"/>
              </w:rPr>
              <w:t>6</w:t>
            </w:r>
            <w:r>
              <w:t>.3</w:t>
            </w:r>
          </w:p>
        </w:tc>
        <w:tc>
          <w:tcPr>
            <w:tcW w:w="854" w:type="pct"/>
            <w:vAlign w:val="center"/>
          </w:tcPr>
          <w:p w14:paraId="4D9EC456">
            <w:pPr>
              <w:pStyle w:val="75"/>
            </w:pPr>
            <w:r>
              <w:rPr>
                <w:rFonts w:hint="eastAsia"/>
              </w:rPr>
              <w:t>180</w:t>
            </w:r>
          </w:p>
        </w:tc>
        <w:tc>
          <w:tcPr>
            <w:tcW w:w="818" w:type="pct"/>
            <w:vAlign w:val="center"/>
          </w:tcPr>
          <w:p w14:paraId="5EDEE3BE">
            <w:pPr>
              <w:pStyle w:val="75"/>
            </w:pPr>
            <w:r>
              <w:rPr>
                <w:rFonts w:hint="eastAsia"/>
              </w:rPr>
              <w:t>204</w:t>
            </w:r>
          </w:p>
        </w:tc>
      </w:tr>
      <w:tr w14:paraId="1E5F52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Merge w:val="restart"/>
            <w:vAlign w:val="center"/>
          </w:tcPr>
          <w:p w14:paraId="0591B6D4">
            <w:pPr>
              <w:pStyle w:val="75"/>
            </w:pPr>
            <w:r>
              <w:rPr>
                <w:rFonts w:hint="eastAsia"/>
              </w:rPr>
              <w:t>混凝沉淀+砂滤+超滤+反渗透+蒸发</w:t>
            </w:r>
          </w:p>
        </w:tc>
        <w:tc>
          <w:tcPr>
            <w:tcW w:w="722" w:type="pct"/>
            <w:vAlign w:val="center"/>
          </w:tcPr>
          <w:p w14:paraId="421F94EB">
            <w:pPr>
              <w:pStyle w:val="75"/>
            </w:pPr>
            <w:r>
              <w:rPr>
                <w:rFonts w:hint="eastAsia"/>
              </w:rPr>
              <w:t>去除率(%</w:t>
            </w:r>
            <w:r>
              <w:t>)</w:t>
            </w:r>
          </w:p>
        </w:tc>
        <w:tc>
          <w:tcPr>
            <w:tcW w:w="958" w:type="pct"/>
            <w:vAlign w:val="center"/>
          </w:tcPr>
          <w:p w14:paraId="50A0D429">
            <w:pPr>
              <w:pStyle w:val="75"/>
            </w:pPr>
            <w:r>
              <w:rPr>
                <w:rFonts w:hint="eastAsia"/>
              </w:rPr>
              <w:t>/</w:t>
            </w:r>
          </w:p>
        </w:tc>
        <w:tc>
          <w:tcPr>
            <w:tcW w:w="769" w:type="pct"/>
            <w:vAlign w:val="center"/>
          </w:tcPr>
          <w:p w14:paraId="44F80C1A">
            <w:pPr>
              <w:pStyle w:val="75"/>
            </w:pPr>
            <w:r>
              <w:rPr>
                <w:rFonts w:hint="eastAsia"/>
              </w:rPr>
              <w:t>/</w:t>
            </w:r>
          </w:p>
        </w:tc>
        <w:tc>
          <w:tcPr>
            <w:tcW w:w="854" w:type="pct"/>
            <w:vAlign w:val="center"/>
          </w:tcPr>
          <w:p w14:paraId="7AF507CD">
            <w:pPr>
              <w:pStyle w:val="75"/>
            </w:pPr>
            <w:r>
              <w:rPr>
                <w:rFonts w:hint="eastAsia"/>
              </w:rPr>
              <w:t>90</w:t>
            </w:r>
          </w:p>
        </w:tc>
        <w:tc>
          <w:tcPr>
            <w:tcW w:w="818" w:type="pct"/>
            <w:vAlign w:val="center"/>
          </w:tcPr>
          <w:p w14:paraId="253932D1">
            <w:pPr>
              <w:pStyle w:val="75"/>
            </w:pPr>
            <w:r>
              <w:rPr>
                <w:rFonts w:hint="eastAsia"/>
              </w:rPr>
              <w:t>100</w:t>
            </w:r>
          </w:p>
        </w:tc>
      </w:tr>
      <w:tr w14:paraId="4EC6AD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9" w:type="pct"/>
            <w:vMerge w:val="continue"/>
            <w:vAlign w:val="center"/>
          </w:tcPr>
          <w:p w14:paraId="49F7170C">
            <w:pPr>
              <w:pStyle w:val="75"/>
            </w:pPr>
          </w:p>
        </w:tc>
        <w:tc>
          <w:tcPr>
            <w:tcW w:w="722" w:type="pct"/>
            <w:vAlign w:val="center"/>
          </w:tcPr>
          <w:p w14:paraId="273C0C24">
            <w:pPr>
              <w:pStyle w:val="75"/>
            </w:pPr>
            <w:r>
              <w:rPr>
                <w:rFonts w:hint="eastAsia"/>
              </w:rPr>
              <w:t>出水</w:t>
            </w:r>
          </w:p>
        </w:tc>
        <w:tc>
          <w:tcPr>
            <w:tcW w:w="958" w:type="pct"/>
            <w:vAlign w:val="center"/>
          </w:tcPr>
          <w:p w14:paraId="45AA8051">
            <w:pPr>
              <w:pStyle w:val="75"/>
            </w:pPr>
            <w:r>
              <w:rPr>
                <w:rFonts w:hint="eastAsia"/>
              </w:rPr>
              <w:t>/</w:t>
            </w:r>
          </w:p>
        </w:tc>
        <w:tc>
          <w:tcPr>
            <w:tcW w:w="769" w:type="pct"/>
            <w:vAlign w:val="center"/>
          </w:tcPr>
          <w:p w14:paraId="390988F4">
            <w:pPr>
              <w:pStyle w:val="75"/>
            </w:pPr>
            <w:r>
              <w:rPr>
                <w:rFonts w:hint="eastAsia"/>
              </w:rPr>
              <w:t>7</w:t>
            </w:r>
            <w:r>
              <w:t>.0</w:t>
            </w:r>
          </w:p>
        </w:tc>
        <w:tc>
          <w:tcPr>
            <w:tcW w:w="854" w:type="pct"/>
            <w:vAlign w:val="center"/>
          </w:tcPr>
          <w:p w14:paraId="3DD7D733">
            <w:pPr>
              <w:pStyle w:val="75"/>
            </w:pPr>
            <w:r>
              <w:rPr>
                <w:rFonts w:hint="eastAsia"/>
              </w:rPr>
              <w:t>18</w:t>
            </w:r>
          </w:p>
        </w:tc>
        <w:tc>
          <w:tcPr>
            <w:tcW w:w="818" w:type="pct"/>
            <w:vAlign w:val="center"/>
          </w:tcPr>
          <w:p w14:paraId="1C67A236">
            <w:pPr>
              <w:pStyle w:val="75"/>
            </w:pPr>
            <w:r>
              <w:t>0</w:t>
            </w:r>
          </w:p>
        </w:tc>
      </w:tr>
    </w:tbl>
    <w:p w14:paraId="067621E1">
      <w:pPr>
        <w:pStyle w:val="54"/>
        <w:ind w:firstLine="480"/>
        <w:rPr>
          <w:b w:val="0"/>
          <w:bCs/>
        </w:rPr>
      </w:pPr>
      <w:r>
        <w:rPr>
          <w:rFonts w:cs="Times New Roman"/>
          <w:b w:val="0"/>
          <w:bCs/>
        </w:rPr>
        <w:t>根据企业设备厂家提供实验数据及实际工程数据，反渗透和蒸发器的淡水水质可达到总镍未检出、电导率在100μS/cm，满足电镀用水要求</w:t>
      </w:r>
      <w:r>
        <w:rPr>
          <w:rFonts w:hint="eastAsia"/>
          <w:b w:val="0"/>
          <w:bCs/>
        </w:rPr>
        <w:t>。</w:t>
      </w:r>
    </w:p>
    <w:p w14:paraId="69BAF18E">
      <w:pPr>
        <w:pStyle w:val="54"/>
        <w:ind w:firstLine="482"/>
      </w:pPr>
      <w:r>
        <w:rPr>
          <w:rFonts w:hint="eastAsia"/>
        </w:rPr>
        <w:t>2、含铬废水</w:t>
      </w:r>
    </w:p>
    <w:p w14:paraId="47F0AC24">
      <w:pPr>
        <w:pStyle w:val="54"/>
        <w:ind w:firstLine="480"/>
        <w:rPr>
          <w:b w:val="0"/>
          <w:bCs/>
        </w:rPr>
      </w:pPr>
      <w:r>
        <w:rPr>
          <w:rFonts w:hint="eastAsia"/>
          <w:b w:val="0"/>
          <w:bCs/>
        </w:rPr>
        <w:t>根据工程分析，含铬废水经处理后水质较好，可回用于镀镍生产线钝化后水洗</w:t>
      </w:r>
      <w:r>
        <w:rPr>
          <w:rFonts w:hint="eastAsia" w:cs="Times New Roman"/>
          <w:b w:val="0"/>
          <w:bCs/>
        </w:rPr>
        <w:t>和中和后水洗</w:t>
      </w:r>
      <w:r>
        <w:rPr>
          <w:rFonts w:hint="eastAsia"/>
          <w:b w:val="0"/>
          <w:bCs/>
        </w:rPr>
        <w:t>工序，不外排。本项目含铬废水进入含铬废水处理系统的处理效果及达标情况见下表。</w:t>
      </w:r>
    </w:p>
    <w:p w14:paraId="4D0DAF66">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p>
    <w:p w14:paraId="44C7907F">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p>
    <w:p w14:paraId="29243133">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表7</w:t>
      </w:r>
      <w:r>
        <w:rPr>
          <w:rFonts w:hint="eastAsia"/>
          <w:lang w:val="en-US" w:eastAsia="zh-CN"/>
        </w:rPr>
        <w:t>.1</w:t>
      </w:r>
      <w:r>
        <w:rPr>
          <w:rFonts w:hint="eastAsia"/>
        </w:rPr>
        <w:t>-2     含铬废水处理效果及排放情况一览表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47"/>
        <w:gridCol w:w="1603"/>
        <w:gridCol w:w="1897"/>
        <w:gridCol w:w="1605"/>
        <w:gridCol w:w="1977"/>
      </w:tblGrid>
      <w:tr w14:paraId="66DC1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48" w:type="pct"/>
            <w:vAlign w:val="center"/>
          </w:tcPr>
          <w:p w14:paraId="7E837418">
            <w:pPr>
              <w:pStyle w:val="81"/>
              <w:rPr>
                <w:color w:val="auto"/>
              </w:rPr>
            </w:pPr>
            <w:r>
              <w:rPr>
                <w:rFonts w:hint="eastAsia"/>
                <w:color w:val="auto"/>
              </w:rPr>
              <w:t>处理工段</w:t>
            </w:r>
          </w:p>
        </w:tc>
        <w:tc>
          <w:tcPr>
            <w:tcW w:w="940" w:type="pct"/>
            <w:vAlign w:val="center"/>
          </w:tcPr>
          <w:p w14:paraId="1409A698">
            <w:pPr>
              <w:pStyle w:val="81"/>
              <w:rPr>
                <w:color w:val="auto"/>
              </w:rPr>
            </w:pPr>
            <w:r>
              <w:rPr>
                <w:rFonts w:hint="eastAsia"/>
                <w:color w:val="auto"/>
              </w:rPr>
              <w:t>废水来源</w:t>
            </w:r>
          </w:p>
        </w:tc>
        <w:tc>
          <w:tcPr>
            <w:tcW w:w="1112" w:type="pct"/>
            <w:vAlign w:val="center"/>
          </w:tcPr>
          <w:p w14:paraId="5148E205">
            <w:pPr>
              <w:pStyle w:val="81"/>
              <w:rPr>
                <w:color w:val="auto"/>
              </w:rPr>
            </w:pPr>
            <w:r>
              <w:rPr>
                <w:rFonts w:hint="eastAsia"/>
                <w:color w:val="auto"/>
              </w:rPr>
              <w:t>水量(m</w:t>
            </w:r>
            <w:r>
              <w:rPr>
                <w:rFonts w:hint="eastAsia"/>
                <w:color w:val="auto"/>
                <w:vertAlign w:val="superscript"/>
              </w:rPr>
              <w:t>3</w:t>
            </w:r>
            <w:r>
              <w:rPr>
                <w:rFonts w:hint="eastAsia"/>
                <w:color w:val="auto"/>
              </w:rPr>
              <w:t>/d</w:t>
            </w:r>
            <w:r>
              <w:rPr>
                <w:color w:val="auto"/>
              </w:rPr>
              <w:t>)</w:t>
            </w:r>
          </w:p>
        </w:tc>
        <w:tc>
          <w:tcPr>
            <w:tcW w:w="941" w:type="pct"/>
            <w:vAlign w:val="center"/>
          </w:tcPr>
          <w:p w14:paraId="7413BA9F">
            <w:pPr>
              <w:pStyle w:val="81"/>
              <w:rPr>
                <w:color w:val="auto"/>
              </w:rPr>
            </w:pPr>
            <w:r>
              <w:rPr>
                <w:rFonts w:hint="eastAsia"/>
                <w:bCs/>
                <w:color w:val="auto"/>
              </w:rPr>
              <w:t>pH</w:t>
            </w:r>
          </w:p>
        </w:tc>
        <w:tc>
          <w:tcPr>
            <w:tcW w:w="1159" w:type="pct"/>
            <w:vAlign w:val="center"/>
          </w:tcPr>
          <w:p w14:paraId="33EB59AD">
            <w:pPr>
              <w:pStyle w:val="81"/>
              <w:rPr>
                <w:color w:val="auto"/>
              </w:rPr>
            </w:pPr>
            <w:r>
              <w:rPr>
                <w:rFonts w:hint="eastAsia"/>
                <w:color w:val="auto"/>
              </w:rPr>
              <w:t>总铬</w:t>
            </w:r>
          </w:p>
        </w:tc>
      </w:tr>
      <w:tr w14:paraId="3040B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Align w:val="center"/>
          </w:tcPr>
          <w:p w14:paraId="251F009C">
            <w:pPr>
              <w:pStyle w:val="75"/>
            </w:pPr>
            <w:r>
              <w:rPr>
                <w:rFonts w:hint="eastAsia"/>
              </w:rPr>
              <w:t>调节池</w:t>
            </w:r>
          </w:p>
        </w:tc>
        <w:tc>
          <w:tcPr>
            <w:tcW w:w="940" w:type="pct"/>
            <w:vAlign w:val="center"/>
          </w:tcPr>
          <w:p w14:paraId="31673A10">
            <w:pPr>
              <w:pStyle w:val="75"/>
            </w:pPr>
            <w:r>
              <w:rPr>
                <w:rFonts w:hint="eastAsia"/>
              </w:rPr>
              <w:t>含铬废水</w:t>
            </w:r>
          </w:p>
        </w:tc>
        <w:tc>
          <w:tcPr>
            <w:tcW w:w="1112" w:type="pct"/>
            <w:vAlign w:val="center"/>
          </w:tcPr>
          <w:p w14:paraId="602B4609">
            <w:pPr>
              <w:pStyle w:val="75"/>
              <w:rPr>
                <w:rFonts w:hint="default" w:eastAsia="宋体"/>
                <w:lang w:val="en-US" w:eastAsia="zh-CN"/>
              </w:rPr>
            </w:pPr>
            <w:r>
              <w:rPr>
                <w:rFonts w:hint="eastAsia"/>
                <w:lang w:val="en-US" w:eastAsia="zh-CN"/>
              </w:rPr>
              <w:t>52.618</w:t>
            </w:r>
          </w:p>
        </w:tc>
        <w:tc>
          <w:tcPr>
            <w:tcW w:w="941" w:type="pct"/>
            <w:vAlign w:val="center"/>
          </w:tcPr>
          <w:p w14:paraId="772AB962">
            <w:pPr>
              <w:pStyle w:val="75"/>
            </w:pPr>
            <w:r>
              <w:rPr>
                <w:rFonts w:hint="eastAsia"/>
              </w:rPr>
              <w:t>5.2</w:t>
            </w:r>
          </w:p>
        </w:tc>
        <w:tc>
          <w:tcPr>
            <w:tcW w:w="1159" w:type="pct"/>
            <w:vAlign w:val="center"/>
          </w:tcPr>
          <w:p w14:paraId="3D16D6F1">
            <w:pPr>
              <w:pStyle w:val="75"/>
            </w:pPr>
            <w:r>
              <w:rPr>
                <w:rFonts w:hint="eastAsia"/>
              </w:rPr>
              <w:t>92.2</w:t>
            </w:r>
          </w:p>
        </w:tc>
      </w:tr>
      <w:tr w14:paraId="0A420D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Merge w:val="restart"/>
            <w:vAlign w:val="center"/>
          </w:tcPr>
          <w:p w14:paraId="3E8F8296">
            <w:pPr>
              <w:pStyle w:val="75"/>
            </w:pPr>
            <w:r>
              <w:rPr>
                <w:rFonts w:hint="eastAsia"/>
              </w:rPr>
              <w:t>混凝沉淀+砂滤+超滤+反渗透+蒸发</w:t>
            </w:r>
          </w:p>
        </w:tc>
        <w:tc>
          <w:tcPr>
            <w:tcW w:w="940" w:type="pct"/>
            <w:vAlign w:val="center"/>
          </w:tcPr>
          <w:p w14:paraId="229181E5">
            <w:pPr>
              <w:pStyle w:val="75"/>
            </w:pPr>
            <w:r>
              <w:rPr>
                <w:rFonts w:hint="eastAsia"/>
              </w:rPr>
              <w:t>去除率(%</w:t>
            </w:r>
            <w:r>
              <w:t>)</w:t>
            </w:r>
          </w:p>
        </w:tc>
        <w:tc>
          <w:tcPr>
            <w:tcW w:w="1112" w:type="pct"/>
            <w:vAlign w:val="center"/>
          </w:tcPr>
          <w:p w14:paraId="4330FA05">
            <w:pPr>
              <w:pStyle w:val="75"/>
            </w:pPr>
            <w:r>
              <w:rPr>
                <w:rFonts w:hint="eastAsia"/>
              </w:rPr>
              <w:t>/</w:t>
            </w:r>
          </w:p>
        </w:tc>
        <w:tc>
          <w:tcPr>
            <w:tcW w:w="941" w:type="pct"/>
            <w:vAlign w:val="center"/>
          </w:tcPr>
          <w:p w14:paraId="48F464C3">
            <w:pPr>
              <w:pStyle w:val="75"/>
            </w:pPr>
            <w:r>
              <w:rPr>
                <w:rFonts w:hint="eastAsia"/>
              </w:rPr>
              <w:t>/</w:t>
            </w:r>
          </w:p>
        </w:tc>
        <w:tc>
          <w:tcPr>
            <w:tcW w:w="1159" w:type="pct"/>
            <w:vAlign w:val="center"/>
          </w:tcPr>
          <w:p w14:paraId="62CA6999">
            <w:pPr>
              <w:pStyle w:val="75"/>
            </w:pPr>
            <w:r>
              <w:rPr>
                <w:rFonts w:hint="eastAsia"/>
              </w:rPr>
              <w:t>100</w:t>
            </w:r>
          </w:p>
        </w:tc>
      </w:tr>
      <w:tr w14:paraId="0E9DA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48" w:type="pct"/>
            <w:vMerge w:val="continue"/>
            <w:vAlign w:val="center"/>
          </w:tcPr>
          <w:p w14:paraId="2319C33B">
            <w:pPr>
              <w:pStyle w:val="75"/>
            </w:pPr>
          </w:p>
        </w:tc>
        <w:tc>
          <w:tcPr>
            <w:tcW w:w="940" w:type="pct"/>
            <w:vAlign w:val="center"/>
          </w:tcPr>
          <w:p w14:paraId="2E6364E8">
            <w:pPr>
              <w:pStyle w:val="75"/>
            </w:pPr>
            <w:r>
              <w:rPr>
                <w:rFonts w:hint="eastAsia"/>
              </w:rPr>
              <w:t>出水</w:t>
            </w:r>
          </w:p>
        </w:tc>
        <w:tc>
          <w:tcPr>
            <w:tcW w:w="1112" w:type="pct"/>
            <w:vAlign w:val="center"/>
          </w:tcPr>
          <w:p w14:paraId="3622F425">
            <w:pPr>
              <w:pStyle w:val="75"/>
            </w:pPr>
            <w:r>
              <w:rPr>
                <w:rFonts w:hint="eastAsia"/>
              </w:rPr>
              <w:t>/</w:t>
            </w:r>
          </w:p>
        </w:tc>
        <w:tc>
          <w:tcPr>
            <w:tcW w:w="941" w:type="pct"/>
            <w:vAlign w:val="center"/>
          </w:tcPr>
          <w:p w14:paraId="75FCFD70">
            <w:pPr>
              <w:pStyle w:val="75"/>
            </w:pPr>
            <w:r>
              <w:rPr>
                <w:rFonts w:hint="eastAsia"/>
              </w:rPr>
              <w:t>7.0</w:t>
            </w:r>
          </w:p>
        </w:tc>
        <w:tc>
          <w:tcPr>
            <w:tcW w:w="1159" w:type="pct"/>
            <w:vAlign w:val="center"/>
          </w:tcPr>
          <w:p w14:paraId="0593B544">
            <w:pPr>
              <w:pStyle w:val="75"/>
            </w:pPr>
            <w:r>
              <w:rPr>
                <w:rFonts w:hint="eastAsia"/>
              </w:rPr>
              <w:t>0</w:t>
            </w:r>
          </w:p>
        </w:tc>
      </w:tr>
    </w:tbl>
    <w:p w14:paraId="276FFE98">
      <w:pPr>
        <w:pStyle w:val="54"/>
        <w:ind w:firstLine="480"/>
        <w:rPr>
          <w:b w:val="0"/>
          <w:bCs/>
        </w:rPr>
      </w:pPr>
      <w:r>
        <w:rPr>
          <w:rFonts w:cs="Times New Roman"/>
          <w:b w:val="0"/>
          <w:bCs/>
        </w:rPr>
        <w:t>根据企业设备厂家提供实验数据及实际工程数据，反渗透和蒸发器的淡水水质可达到总铬未检出、电导率在100μS/cm，满足电镀用水要求</w:t>
      </w:r>
      <w:r>
        <w:rPr>
          <w:rFonts w:hint="eastAsia"/>
          <w:b w:val="0"/>
          <w:bCs/>
        </w:rPr>
        <w:t>。</w:t>
      </w:r>
    </w:p>
    <w:p w14:paraId="2F3D415B">
      <w:pPr>
        <w:pStyle w:val="54"/>
        <w:ind w:firstLine="482"/>
      </w:pPr>
      <w:r>
        <w:rPr>
          <w:rFonts w:hint="eastAsia"/>
        </w:rPr>
        <w:t>3、综合废水</w:t>
      </w:r>
    </w:p>
    <w:p w14:paraId="574C549A">
      <w:pPr>
        <w:pStyle w:val="54"/>
        <w:ind w:firstLine="480"/>
        <w:rPr>
          <w:b w:val="0"/>
          <w:bCs/>
        </w:rPr>
      </w:pPr>
      <w:r>
        <w:rPr>
          <w:rFonts w:hint="eastAsia"/>
          <w:b w:val="0"/>
          <w:bCs/>
        </w:rPr>
        <w:t>根据工程分析，综合废水经处理达标后，经厂区总排口排放。本项目综合废水进入综合废水处理系统的处理效果及达标情况见下表。</w:t>
      </w:r>
    </w:p>
    <w:p w14:paraId="7EB23859">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pPr>
      <w:r>
        <w:rPr>
          <w:rFonts w:hint="eastAsia"/>
        </w:rPr>
        <w:t>表7</w:t>
      </w:r>
      <w:r>
        <w:rPr>
          <w:rFonts w:hint="eastAsia"/>
          <w:lang w:val="en-US" w:eastAsia="zh-CN"/>
        </w:rPr>
        <w:t>.1</w:t>
      </w:r>
      <w:r>
        <w:rPr>
          <w:rFonts w:hint="eastAsia"/>
        </w:rPr>
        <w:t>-</w:t>
      </w:r>
      <w:r>
        <w:rPr>
          <w:rFonts w:hint="eastAsia"/>
          <w:lang w:val="en-US" w:eastAsia="zh-CN"/>
        </w:rPr>
        <w:t>3</w:t>
      </w:r>
      <w:r>
        <w:t xml:space="preserve">     </w:t>
      </w:r>
      <w:r>
        <w:rPr>
          <w:rFonts w:hint="eastAsia"/>
        </w:rPr>
        <w:t xml:space="preserve">综合废水处理系统处理效果一览表 </w:t>
      </w:r>
      <w:r>
        <w:t xml:space="preserve">     </w:t>
      </w:r>
      <w:r>
        <w:rPr>
          <w:rFonts w:hint="eastAsia"/>
        </w:rPr>
        <w:t>单位：mg/</w:t>
      </w:r>
      <w:r>
        <w:t>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560"/>
        <w:gridCol w:w="789"/>
        <w:gridCol w:w="804"/>
        <w:gridCol w:w="801"/>
        <w:gridCol w:w="801"/>
        <w:gridCol w:w="801"/>
        <w:gridCol w:w="804"/>
        <w:gridCol w:w="654"/>
        <w:gridCol w:w="659"/>
        <w:gridCol w:w="754"/>
      </w:tblGrid>
      <w:tr w14:paraId="3934D9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1394" w:type="pct"/>
            <w:gridSpan w:val="2"/>
            <w:vMerge w:val="restart"/>
            <w:vAlign w:val="center"/>
          </w:tcPr>
          <w:p w14:paraId="38DA0A9A">
            <w:pPr>
              <w:pStyle w:val="81"/>
              <w:rPr>
                <w:rFonts w:cs="Times New Roman"/>
                <w:color w:val="auto"/>
                <w:szCs w:val="21"/>
              </w:rPr>
            </w:pPr>
            <w:r>
              <w:rPr>
                <w:rFonts w:cs="Times New Roman"/>
                <w:color w:val="auto"/>
                <w:szCs w:val="21"/>
              </w:rPr>
              <w:t>污染源</w:t>
            </w:r>
          </w:p>
        </w:tc>
        <w:tc>
          <w:tcPr>
            <w:tcW w:w="477" w:type="pct"/>
            <w:vMerge w:val="restart"/>
            <w:vAlign w:val="center"/>
          </w:tcPr>
          <w:p w14:paraId="0ED9136E">
            <w:pPr>
              <w:pStyle w:val="81"/>
              <w:rPr>
                <w:rFonts w:cs="Times New Roman"/>
                <w:color w:val="auto"/>
                <w:szCs w:val="21"/>
              </w:rPr>
            </w:pPr>
            <w:r>
              <w:rPr>
                <w:rFonts w:cs="Times New Roman"/>
                <w:color w:val="auto"/>
                <w:szCs w:val="21"/>
              </w:rPr>
              <w:t>废水量</w:t>
            </w:r>
            <w:r>
              <w:rPr>
                <w:rFonts w:hint="eastAsia" w:cs="Times New Roman"/>
                <w:color w:val="auto"/>
                <w:szCs w:val="21"/>
              </w:rPr>
              <w:t>(</w:t>
            </w:r>
            <w:r>
              <w:rPr>
                <w:rFonts w:cs="Times New Roman"/>
                <w:color w:val="auto"/>
                <w:szCs w:val="21"/>
              </w:rPr>
              <w:t>m</w:t>
            </w:r>
            <w:r>
              <w:rPr>
                <w:rFonts w:cs="Times New Roman"/>
                <w:color w:val="auto"/>
                <w:szCs w:val="21"/>
                <w:vertAlign w:val="superscript"/>
              </w:rPr>
              <w:t>3</w:t>
            </w:r>
            <w:r>
              <w:rPr>
                <w:rFonts w:cs="Times New Roman"/>
                <w:color w:val="auto"/>
                <w:szCs w:val="21"/>
              </w:rPr>
              <w:t>/d)</w:t>
            </w:r>
          </w:p>
        </w:tc>
        <w:tc>
          <w:tcPr>
            <w:tcW w:w="3128" w:type="pct"/>
            <w:gridSpan w:val="7"/>
            <w:vAlign w:val="center"/>
          </w:tcPr>
          <w:p w14:paraId="428E1EC7">
            <w:pPr>
              <w:pStyle w:val="81"/>
              <w:rPr>
                <w:rFonts w:cs="Times New Roman"/>
                <w:color w:val="auto"/>
                <w:szCs w:val="21"/>
              </w:rPr>
            </w:pPr>
            <w:r>
              <w:rPr>
                <w:rFonts w:cs="Times New Roman"/>
                <w:color w:val="auto"/>
                <w:szCs w:val="21"/>
              </w:rPr>
              <w:t>污染物浓度</w:t>
            </w:r>
          </w:p>
        </w:tc>
      </w:tr>
      <w:tr w14:paraId="60176B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tblHeader/>
          <w:jc w:val="center"/>
        </w:trPr>
        <w:tc>
          <w:tcPr>
            <w:tcW w:w="1394" w:type="pct"/>
            <w:gridSpan w:val="2"/>
            <w:vMerge w:val="continue"/>
            <w:vAlign w:val="center"/>
          </w:tcPr>
          <w:p w14:paraId="699CFE54">
            <w:pPr>
              <w:pStyle w:val="81"/>
              <w:rPr>
                <w:rFonts w:cs="Times New Roman"/>
                <w:color w:val="auto"/>
                <w:szCs w:val="21"/>
              </w:rPr>
            </w:pPr>
          </w:p>
        </w:tc>
        <w:tc>
          <w:tcPr>
            <w:tcW w:w="477" w:type="pct"/>
            <w:vMerge w:val="continue"/>
            <w:vAlign w:val="center"/>
          </w:tcPr>
          <w:p w14:paraId="293D95CC">
            <w:pPr>
              <w:pStyle w:val="81"/>
              <w:rPr>
                <w:rFonts w:cs="Times New Roman"/>
                <w:color w:val="auto"/>
                <w:szCs w:val="21"/>
              </w:rPr>
            </w:pPr>
          </w:p>
        </w:tc>
        <w:tc>
          <w:tcPr>
            <w:tcW w:w="475" w:type="pct"/>
            <w:vAlign w:val="center"/>
          </w:tcPr>
          <w:p w14:paraId="5122B91C">
            <w:pPr>
              <w:pStyle w:val="81"/>
              <w:rPr>
                <w:rFonts w:cs="Times New Roman"/>
                <w:color w:val="auto"/>
                <w:szCs w:val="21"/>
              </w:rPr>
            </w:pPr>
            <w:r>
              <w:rPr>
                <w:rFonts w:hint="eastAsia" w:cs="Times New Roman"/>
                <w:color w:val="auto"/>
                <w:szCs w:val="21"/>
              </w:rPr>
              <w:t>p</w:t>
            </w:r>
            <w:r>
              <w:rPr>
                <w:rFonts w:cs="Times New Roman"/>
                <w:color w:val="auto"/>
                <w:szCs w:val="21"/>
              </w:rPr>
              <w:t>H</w:t>
            </w:r>
          </w:p>
        </w:tc>
        <w:tc>
          <w:tcPr>
            <w:tcW w:w="475" w:type="pct"/>
            <w:vAlign w:val="center"/>
          </w:tcPr>
          <w:p w14:paraId="420E90F0">
            <w:pPr>
              <w:pStyle w:val="81"/>
              <w:rPr>
                <w:rFonts w:cs="Times New Roman"/>
                <w:color w:val="auto"/>
                <w:szCs w:val="21"/>
              </w:rPr>
            </w:pPr>
            <w:r>
              <w:rPr>
                <w:rFonts w:cs="Times New Roman"/>
                <w:color w:val="auto"/>
                <w:szCs w:val="21"/>
              </w:rPr>
              <w:t>COD</w:t>
            </w:r>
          </w:p>
        </w:tc>
        <w:tc>
          <w:tcPr>
            <w:tcW w:w="475" w:type="pct"/>
            <w:vAlign w:val="center"/>
          </w:tcPr>
          <w:p w14:paraId="04CCA346">
            <w:pPr>
              <w:pStyle w:val="81"/>
              <w:rPr>
                <w:rFonts w:cs="Times New Roman"/>
                <w:color w:val="auto"/>
                <w:szCs w:val="21"/>
              </w:rPr>
            </w:pPr>
            <w:r>
              <w:rPr>
                <w:rFonts w:hint="eastAsia" w:cs="Times New Roman"/>
                <w:color w:val="auto"/>
                <w:szCs w:val="21"/>
              </w:rPr>
              <w:t>S</w:t>
            </w:r>
            <w:r>
              <w:rPr>
                <w:rFonts w:cs="Times New Roman"/>
                <w:color w:val="auto"/>
                <w:szCs w:val="21"/>
              </w:rPr>
              <w:t>S</w:t>
            </w:r>
          </w:p>
        </w:tc>
        <w:tc>
          <w:tcPr>
            <w:tcW w:w="477" w:type="pct"/>
            <w:vAlign w:val="center"/>
          </w:tcPr>
          <w:p w14:paraId="39D53D27">
            <w:pPr>
              <w:pStyle w:val="81"/>
              <w:rPr>
                <w:rFonts w:cs="Times New Roman"/>
                <w:color w:val="auto"/>
                <w:szCs w:val="21"/>
              </w:rPr>
            </w:pPr>
            <w:r>
              <w:rPr>
                <w:rFonts w:cs="Times New Roman"/>
                <w:color w:val="auto"/>
                <w:szCs w:val="21"/>
              </w:rPr>
              <w:t>NH</w:t>
            </w:r>
            <w:r>
              <w:rPr>
                <w:rFonts w:cs="Times New Roman"/>
                <w:color w:val="auto"/>
                <w:szCs w:val="21"/>
                <w:vertAlign w:val="subscript"/>
              </w:rPr>
              <w:t>3</w:t>
            </w:r>
            <w:r>
              <w:rPr>
                <w:rFonts w:cs="Times New Roman"/>
                <w:color w:val="auto"/>
                <w:szCs w:val="21"/>
              </w:rPr>
              <w:t>-N</w:t>
            </w:r>
          </w:p>
        </w:tc>
        <w:tc>
          <w:tcPr>
            <w:tcW w:w="388" w:type="pct"/>
            <w:vAlign w:val="center"/>
          </w:tcPr>
          <w:p w14:paraId="7BC36934">
            <w:pPr>
              <w:pStyle w:val="81"/>
              <w:rPr>
                <w:rFonts w:cs="Times New Roman"/>
                <w:color w:val="auto"/>
                <w:szCs w:val="21"/>
              </w:rPr>
            </w:pPr>
            <w:r>
              <w:rPr>
                <w:rFonts w:hint="eastAsia" w:cs="Times New Roman"/>
                <w:color w:val="auto"/>
                <w:szCs w:val="21"/>
              </w:rPr>
              <w:t>T</w:t>
            </w:r>
            <w:r>
              <w:rPr>
                <w:rFonts w:cs="Times New Roman"/>
                <w:color w:val="auto"/>
                <w:szCs w:val="21"/>
              </w:rPr>
              <w:t>P</w:t>
            </w:r>
          </w:p>
        </w:tc>
        <w:tc>
          <w:tcPr>
            <w:tcW w:w="391" w:type="pct"/>
            <w:vAlign w:val="center"/>
          </w:tcPr>
          <w:p w14:paraId="189E91D6">
            <w:pPr>
              <w:pStyle w:val="81"/>
              <w:rPr>
                <w:rFonts w:cs="Times New Roman"/>
                <w:color w:val="auto"/>
                <w:szCs w:val="21"/>
              </w:rPr>
            </w:pPr>
            <w:r>
              <w:rPr>
                <w:rFonts w:hint="eastAsia" w:cs="Times New Roman"/>
                <w:color w:val="auto"/>
                <w:szCs w:val="21"/>
              </w:rPr>
              <w:t>T</w:t>
            </w:r>
            <w:r>
              <w:rPr>
                <w:rFonts w:cs="Times New Roman"/>
                <w:color w:val="auto"/>
                <w:szCs w:val="21"/>
              </w:rPr>
              <w:t>N</w:t>
            </w:r>
          </w:p>
        </w:tc>
        <w:tc>
          <w:tcPr>
            <w:tcW w:w="442" w:type="pct"/>
            <w:vAlign w:val="center"/>
          </w:tcPr>
          <w:p w14:paraId="6CEB3D3B">
            <w:pPr>
              <w:pStyle w:val="81"/>
              <w:rPr>
                <w:rFonts w:cs="Times New Roman"/>
                <w:bCs/>
                <w:color w:val="auto"/>
                <w:szCs w:val="21"/>
              </w:rPr>
            </w:pPr>
            <w:r>
              <w:rPr>
                <w:rFonts w:cs="Times New Roman"/>
                <w:bCs/>
                <w:color w:val="auto"/>
                <w:szCs w:val="21"/>
              </w:rPr>
              <w:t>石油类</w:t>
            </w:r>
          </w:p>
        </w:tc>
      </w:tr>
      <w:tr w14:paraId="198716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394" w:type="pct"/>
            <w:gridSpan w:val="2"/>
            <w:vAlign w:val="center"/>
          </w:tcPr>
          <w:p w14:paraId="2C4E3DC5">
            <w:pPr>
              <w:pStyle w:val="75"/>
            </w:pPr>
            <w:r>
              <w:t>综合废水</w:t>
            </w:r>
          </w:p>
        </w:tc>
        <w:tc>
          <w:tcPr>
            <w:tcW w:w="477" w:type="pct"/>
            <w:vAlign w:val="center"/>
          </w:tcPr>
          <w:p w14:paraId="5506B7A2">
            <w:pPr>
              <w:pStyle w:val="75"/>
              <w:rPr>
                <w:rFonts w:hint="default" w:eastAsia="宋体"/>
                <w:lang w:val="en-US" w:eastAsia="zh-CN"/>
              </w:rPr>
            </w:pPr>
            <w:r>
              <w:rPr>
                <w:rFonts w:hint="eastAsia"/>
                <w:lang w:val="en-US" w:eastAsia="zh-CN"/>
              </w:rPr>
              <w:t>95.427</w:t>
            </w:r>
          </w:p>
        </w:tc>
        <w:tc>
          <w:tcPr>
            <w:tcW w:w="475" w:type="pct"/>
            <w:vAlign w:val="center"/>
          </w:tcPr>
          <w:p w14:paraId="1BD122DF">
            <w:pPr>
              <w:pStyle w:val="75"/>
              <w:rPr>
                <w:bCs/>
              </w:rPr>
            </w:pPr>
            <w:r>
              <w:rPr>
                <w:rFonts w:hint="eastAsia"/>
                <w:bCs/>
              </w:rPr>
              <w:t>7.8</w:t>
            </w:r>
          </w:p>
        </w:tc>
        <w:tc>
          <w:tcPr>
            <w:tcW w:w="475" w:type="pct"/>
            <w:vAlign w:val="center"/>
          </w:tcPr>
          <w:p w14:paraId="43D3DEF1">
            <w:pPr>
              <w:pStyle w:val="75"/>
              <w:rPr>
                <w:bCs/>
              </w:rPr>
            </w:pPr>
            <w:r>
              <w:rPr>
                <w:rFonts w:hint="eastAsia"/>
                <w:bCs/>
              </w:rPr>
              <w:t>5</w:t>
            </w:r>
            <w:r>
              <w:rPr>
                <w:bCs/>
              </w:rPr>
              <w:t>29</w:t>
            </w:r>
          </w:p>
        </w:tc>
        <w:tc>
          <w:tcPr>
            <w:tcW w:w="475" w:type="pct"/>
            <w:vAlign w:val="center"/>
          </w:tcPr>
          <w:p w14:paraId="1AD1D8A9">
            <w:pPr>
              <w:pStyle w:val="75"/>
              <w:rPr>
                <w:bCs/>
              </w:rPr>
            </w:pPr>
            <w:r>
              <w:rPr>
                <w:rFonts w:hint="eastAsia"/>
                <w:bCs/>
              </w:rPr>
              <w:t>400</w:t>
            </w:r>
          </w:p>
        </w:tc>
        <w:tc>
          <w:tcPr>
            <w:tcW w:w="477" w:type="pct"/>
            <w:vAlign w:val="center"/>
          </w:tcPr>
          <w:p w14:paraId="51D86CD9">
            <w:pPr>
              <w:pStyle w:val="75"/>
              <w:rPr>
                <w:bCs/>
              </w:rPr>
            </w:pPr>
            <w:r>
              <w:rPr>
                <w:rFonts w:hint="eastAsia"/>
                <w:bCs/>
              </w:rPr>
              <w:t>2</w:t>
            </w:r>
            <w:r>
              <w:rPr>
                <w:bCs/>
              </w:rPr>
              <w:t>1.2</w:t>
            </w:r>
          </w:p>
        </w:tc>
        <w:tc>
          <w:tcPr>
            <w:tcW w:w="388" w:type="pct"/>
            <w:vAlign w:val="center"/>
          </w:tcPr>
          <w:p w14:paraId="49F33E4C">
            <w:pPr>
              <w:pStyle w:val="75"/>
              <w:rPr>
                <w:bCs/>
              </w:rPr>
            </w:pPr>
            <w:r>
              <w:rPr>
                <w:rFonts w:hint="eastAsia"/>
                <w:bCs/>
              </w:rPr>
              <w:t>2.36</w:t>
            </w:r>
          </w:p>
        </w:tc>
        <w:tc>
          <w:tcPr>
            <w:tcW w:w="391" w:type="pct"/>
            <w:vAlign w:val="center"/>
          </w:tcPr>
          <w:p w14:paraId="0EE83EE0">
            <w:pPr>
              <w:pStyle w:val="75"/>
              <w:rPr>
                <w:bCs/>
              </w:rPr>
            </w:pPr>
            <w:r>
              <w:rPr>
                <w:rFonts w:hint="eastAsia"/>
                <w:bCs/>
              </w:rPr>
              <w:t>2</w:t>
            </w:r>
            <w:r>
              <w:rPr>
                <w:bCs/>
              </w:rPr>
              <w:t>5.2</w:t>
            </w:r>
          </w:p>
        </w:tc>
        <w:tc>
          <w:tcPr>
            <w:tcW w:w="442" w:type="pct"/>
            <w:vAlign w:val="center"/>
          </w:tcPr>
          <w:p w14:paraId="73DC9D9A">
            <w:pPr>
              <w:pStyle w:val="75"/>
              <w:rPr>
                <w:bCs/>
              </w:rPr>
            </w:pPr>
            <w:r>
              <w:rPr>
                <w:rFonts w:hint="eastAsia"/>
                <w:bCs/>
              </w:rPr>
              <w:t>2.21</w:t>
            </w:r>
          </w:p>
        </w:tc>
      </w:tr>
      <w:tr w14:paraId="0A172F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394" w:type="pct"/>
            <w:gridSpan w:val="2"/>
            <w:vAlign w:val="center"/>
          </w:tcPr>
          <w:p w14:paraId="13F85013">
            <w:pPr>
              <w:pStyle w:val="75"/>
            </w:pPr>
            <w:r>
              <w:t>调节池</w:t>
            </w:r>
          </w:p>
        </w:tc>
        <w:tc>
          <w:tcPr>
            <w:tcW w:w="477" w:type="pct"/>
            <w:vAlign w:val="center"/>
          </w:tcPr>
          <w:p w14:paraId="29497490">
            <w:pPr>
              <w:pStyle w:val="75"/>
            </w:pPr>
            <w:r>
              <w:rPr>
                <w:rFonts w:hint="eastAsia"/>
                <w:lang w:val="en-US" w:eastAsia="zh-CN"/>
              </w:rPr>
              <w:t>95.427</w:t>
            </w:r>
          </w:p>
        </w:tc>
        <w:tc>
          <w:tcPr>
            <w:tcW w:w="475" w:type="pct"/>
            <w:vAlign w:val="center"/>
          </w:tcPr>
          <w:p w14:paraId="132A2752">
            <w:pPr>
              <w:pStyle w:val="75"/>
            </w:pPr>
            <w:r>
              <w:rPr>
                <w:rFonts w:hint="eastAsia"/>
                <w:bCs/>
              </w:rPr>
              <w:t>7</w:t>
            </w:r>
          </w:p>
        </w:tc>
        <w:tc>
          <w:tcPr>
            <w:tcW w:w="475" w:type="pct"/>
            <w:vAlign w:val="center"/>
          </w:tcPr>
          <w:p w14:paraId="3F3C354E">
            <w:pPr>
              <w:pStyle w:val="75"/>
            </w:pPr>
            <w:r>
              <w:rPr>
                <w:rFonts w:hint="eastAsia"/>
                <w:bCs/>
              </w:rPr>
              <w:t>5</w:t>
            </w:r>
            <w:r>
              <w:rPr>
                <w:bCs/>
              </w:rPr>
              <w:t>29</w:t>
            </w:r>
          </w:p>
        </w:tc>
        <w:tc>
          <w:tcPr>
            <w:tcW w:w="475" w:type="pct"/>
            <w:vAlign w:val="center"/>
          </w:tcPr>
          <w:p w14:paraId="2E0BD479">
            <w:pPr>
              <w:pStyle w:val="75"/>
            </w:pPr>
            <w:r>
              <w:rPr>
                <w:rFonts w:hint="eastAsia"/>
              </w:rPr>
              <w:t>400</w:t>
            </w:r>
          </w:p>
        </w:tc>
        <w:tc>
          <w:tcPr>
            <w:tcW w:w="477" w:type="pct"/>
            <w:vAlign w:val="center"/>
          </w:tcPr>
          <w:p w14:paraId="583C7D82">
            <w:pPr>
              <w:pStyle w:val="75"/>
            </w:pPr>
            <w:r>
              <w:rPr>
                <w:rFonts w:hint="eastAsia"/>
                <w:bCs/>
              </w:rPr>
              <w:t>2</w:t>
            </w:r>
            <w:r>
              <w:rPr>
                <w:bCs/>
              </w:rPr>
              <w:t>1.2</w:t>
            </w:r>
          </w:p>
        </w:tc>
        <w:tc>
          <w:tcPr>
            <w:tcW w:w="388" w:type="pct"/>
            <w:vAlign w:val="center"/>
          </w:tcPr>
          <w:p w14:paraId="77B8F2A0">
            <w:pPr>
              <w:pStyle w:val="75"/>
            </w:pPr>
            <w:r>
              <w:rPr>
                <w:rFonts w:hint="eastAsia"/>
                <w:bCs/>
              </w:rPr>
              <w:t>2.36</w:t>
            </w:r>
          </w:p>
        </w:tc>
        <w:tc>
          <w:tcPr>
            <w:tcW w:w="391" w:type="pct"/>
            <w:vAlign w:val="center"/>
          </w:tcPr>
          <w:p w14:paraId="1B2CB47C">
            <w:pPr>
              <w:pStyle w:val="75"/>
            </w:pPr>
            <w:r>
              <w:rPr>
                <w:rFonts w:hint="eastAsia"/>
                <w:bCs/>
              </w:rPr>
              <w:t>2</w:t>
            </w:r>
            <w:r>
              <w:rPr>
                <w:bCs/>
              </w:rPr>
              <w:t>5.2</w:t>
            </w:r>
          </w:p>
        </w:tc>
        <w:tc>
          <w:tcPr>
            <w:tcW w:w="442" w:type="pct"/>
            <w:vAlign w:val="center"/>
          </w:tcPr>
          <w:p w14:paraId="579DBC2C">
            <w:pPr>
              <w:pStyle w:val="75"/>
              <w:rPr>
                <w:bCs/>
              </w:rPr>
            </w:pPr>
            <w:r>
              <w:rPr>
                <w:rFonts w:hint="eastAsia"/>
                <w:bCs/>
              </w:rPr>
              <w:t>2.21</w:t>
            </w:r>
          </w:p>
        </w:tc>
      </w:tr>
      <w:tr w14:paraId="7A56C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restart"/>
            <w:vAlign w:val="center"/>
          </w:tcPr>
          <w:p w14:paraId="5EB43261">
            <w:pPr>
              <w:pStyle w:val="75"/>
            </w:pPr>
            <w:r>
              <w:t>混凝沉淀池</w:t>
            </w:r>
          </w:p>
        </w:tc>
        <w:tc>
          <w:tcPr>
            <w:tcW w:w="468" w:type="pct"/>
            <w:vAlign w:val="center"/>
          </w:tcPr>
          <w:p w14:paraId="5F2D8012">
            <w:pPr>
              <w:pStyle w:val="75"/>
            </w:pPr>
            <w:r>
              <w:t>去除率</w:t>
            </w:r>
            <w:r>
              <w:rPr>
                <w:rFonts w:hint="eastAsia"/>
              </w:rPr>
              <w:t>(</w:t>
            </w:r>
            <w:r>
              <w:t>%)</w:t>
            </w:r>
          </w:p>
        </w:tc>
        <w:tc>
          <w:tcPr>
            <w:tcW w:w="477" w:type="pct"/>
            <w:vAlign w:val="center"/>
          </w:tcPr>
          <w:p w14:paraId="16CE5536">
            <w:pPr>
              <w:pStyle w:val="75"/>
            </w:pPr>
            <w:r>
              <w:t>/</w:t>
            </w:r>
          </w:p>
        </w:tc>
        <w:tc>
          <w:tcPr>
            <w:tcW w:w="475" w:type="pct"/>
            <w:vAlign w:val="center"/>
          </w:tcPr>
          <w:p w14:paraId="7D4F6687">
            <w:pPr>
              <w:pStyle w:val="75"/>
            </w:pPr>
            <w:r>
              <w:rPr>
                <w:rFonts w:hint="eastAsia"/>
              </w:rPr>
              <w:t>/</w:t>
            </w:r>
          </w:p>
        </w:tc>
        <w:tc>
          <w:tcPr>
            <w:tcW w:w="475" w:type="pct"/>
            <w:vAlign w:val="center"/>
          </w:tcPr>
          <w:p w14:paraId="3122CF88">
            <w:pPr>
              <w:pStyle w:val="75"/>
            </w:pPr>
            <w:r>
              <w:rPr>
                <w:rFonts w:hint="eastAsia"/>
              </w:rPr>
              <w:t>30</w:t>
            </w:r>
          </w:p>
        </w:tc>
        <w:tc>
          <w:tcPr>
            <w:tcW w:w="475" w:type="pct"/>
            <w:vAlign w:val="center"/>
          </w:tcPr>
          <w:p w14:paraId="2708DA4C">
            <w:pPr>
              <w:pStyle w:val="75"/>
            </w:pPr>
            <w:r>
              <w:rPr>
                <w:rFonts w:hint="eastAsia"/>
              </w:rPr>
              <w:t>80</w:t>
            </w:r>
          </w:p>
        </w:tc>
        <w:tc>
          <w:tcPr>
            <w:tcW w:w="477" w:type="pct"/>
            <w:vAlign w:val="center"/>
          </w:tcPr>
          <w:p w14:paraId="7544AF22">
            <w:pPr>
              <w:pStyle w:val="75"/>
            </w:pPr>
            <w:r>
              <w:rPr>
                <w:rFonts w:hint="eastAsia"/>
              </w:rPr>
              <w:t>/</w:t>
            </w:r>
          </w:p>
        </w:tc>
        <w:tc>
          <w:tcPr>
            <w:tcW w:w="388" w:type="pct"/>
            <w:vAlign w:val="center"/>
          </w:tcPr>
          <w:p w14:paraId="706E793B">
            <w:pPr>
              <w:pStyle w:val="75"/>
            </w:pPr>
            <w:r>
              <w:rPr>
                <w:rFonts w:hint="eastAsia"/>
              </w:rPr>
              <w:t>/</w:t>
            </w:r>
          </w:p>
        </w:tc>
        <w:tc>
          <w:tcPr>
            <w:tcW w:w="391" w:type="pct"/>
            <w:vAlign w:val="center"/>
          </w:tcPr>
          <w:p w14:paraId="40C52A04">
            <w:pPr>
              <w:pStyle w:val="75"/>
            </w:pPr>
            <w:r>
              <w:rPr>
                <w:rFonts w:hint="eastAsia"/>
              </w:rPr>
              <w:t>/</w:t>
            </w:r>
          </w:p>
        </w:tc>
        <w:tc>
          <w:tcPr>
            <w:tcW w:w="442" w:type="pct"/>
            <w:vAlign w:val="center"/>
          </w:tcPr>
          <w:p w14:paraId="470E76FB">
            <w:pPr>
              <w:pStyle w:val="75"/>
            </w:pPr>
            <w:r>
              <w:rPr>
                <w:rFonts w:hint="eastAsia"/>
              </w:rPr>
              <w:t>10</w:t>
            </w:r>
          </w:p>
        </w:tc>
      </w:tr>
      <w:tr w14:paraId="2E9631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50413EA1">
            <w:pPr>
              <w:pStyle w:val="75"/>
            </w:pPr>
          </w:p>
        </w:tc>
        <w:tc>
          <w:tcPr>
            <w:tcW w:w="468" w:type="pct"/>
            <w:vAlign w:val="center"/>
          </w:tcPr>
          <w:p w14:paraId="34AEBBAE">
            <w:pPr>
              <w:pStyle w:val="75"/>
            </w:pPr>
            <w:r>
              <w:t>出水</w:t>
            </w:r>
          </w:p>
        </w:tc>
        <w:tc>
          <w:tcPr>
            <w:tcW w:w="477" w:type="pct"/>
            <w:vAlign w:val="center"/>
          </w:tcPr>
          <w:p w14:paraId="29DC6455">
            <w:pPr>
              <w:pStyle w:val="75"/>
            </w:pPr>
            <w:r>
              <w:rPr>
                <w:rFonts w:hint="eastAsia"/>
              </w:rPr>
              <w:t>/</w:t>
            </w:r>
          </w:p>
        </w:tc>
        <w:tc>
          <w:tcPr>
            <w:tcW w:w="475" w:type="pct"/>
            <w:vAlign w:val="center"/>
          </w:tcPr>
          <w:p w14:paraId="693ACA25">
            <w:pPr>
              <w:pStyle w:val="75"/>
            </w:pPr>
            <w:r>
              <w:rPr>
                <w:rFonts w:hint="eastAsia"/>
                <w:bCs/>
              </w:rPr>
              <w:t>7</w:t>
            </w:r>
          </w:p>
        </w:tc>
        <w:tc>
          <w:tcPr>
            <w:tcW w:w="475" w:type="pct"/>
            <w:vAlign w:val="center"/>
          </w:tcPr>
          <w:p w14:paraId="4A47BD80">
            <w:pPr>
              <w:pStyle w:val="75"/>
            </w:pPr>
            <w:r>
              <w:rPr>
                <w:rFonts w:hint="eastAsia"/>
              </w:rPr>
              <w:t>370.3</w:t>
            </w:r>
          </w:p>
        </w:tc>
        <w:tc>
          <w:tcPr>
            <w:tcW w:w="475" w:type="pct"/>
            <w:vAlign w:val="center"/>
          </w:tcPr>
          <w:p w14:paraId="7E3055E7">
            <w:pPr>
              <w:pStyle w:val="75"/>
            </w:pPr>
            <w:r>
              <w:rPr>
                <w:rFonts w:hint="eastAsia"/>
              </w:rPr>
              <w:t>80</w:t>
            </w:r>
          </w:p>
        </w:tc>
        <w:tc>
          <w:tcPr>
            <w:tcW w:w="477" w:type="pct"/>
            <w:vAlign w:val="center"/>
          </w:tcPr>
          <w:p w14:paraId="56276C1E">
            <w:pPr>
              <w:pStyle w:val="75"/>
            </w:pPr>
            <w:r>
              <w:rPr>
                <w:rFonts w:hint="eastAsia"/>
              </w:rPr>
              <w:t>21.2</w:t>
            </w:r>
          </w:p>
        </w:tc>
        <w:tc>
          <w:tcPr>
            <w:tcW w:w="388" w:type="pct"/>
            <w:vAlign w:val="center"/>
          </w:tcPr>
          <w:p w14:paraId="0877C96B">
            <w:pPr>
              <w:pStyle w:val="75"/>
            </w:pPr>
            <w:r>
              <w:rPr>
                <w:rFonts w:hint="eastAsia"/>
              </w:rPr>
              <w:t>2.36</w:t>
            </w:r>
          </w:p>
        </w:tc>
        <w:tc>
          <w:tcPr>
            <w:tcW w:w="391" w:type="pct"/>
            <w:vAlign w:val="center"/>
          </w:tcPr>
          <w:p w14:paraId="65E79F1C">
            <w:pPr>
              <w:pStyle w:val="75"/>
            </w:pPr>
            <w:r>
              <w:rPr>
                <w:rFonts w:hint="eastAsia"/>
              </w:rPr>
              <w:t>25.2</w:t>
            </w:r>
          </w:p>
        </w:tc>
        <w:tc>
          <w:tcPr>
            <w:tcW w:w="442" w:type="pct"/>
            <w:vAlign w:val="center"/>
          </w:tcPr>
          <w:p w14:paraId="2322B029">
            <w:pPr>
              <w:pStyle w:val="75"/>
              <w:rPr>
                <w:bCs/>
              </w:rPr>
            </w:pPr>
            <w:r>
              <w:rPr>
                <w:rFonts w:hint="eastAsia"/>
                <w:bCs/>
              </w:rPr>
              <w:t>1.99</w:t>
            </w:r>
          </w:p>
        </w:tc>
      </w:tr>
      <w:tr w14:paraId="4E3D1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restart"/>
            <w:vAlign w:val="center"/>
          </w:tcPr>
          <w:p w14:paraId="75C5DEE6">
            <w:pPr>
              <w:pStyle w:val="75"/>
            </w:pPr>
            <w:r>
              <w:rPr>
                <w:rFonts w:hint="eastAsia"/>
                <w:bCs/>
              </w:rPr>
              <w:t>水解酸化+接触氧化+二沉池</w:t>
            </w:r>
          </w:p>
        </w:tc>
        <w:tc>
          <w:tcPr>
            <w:tcW w:w="468" w:type="pct"/>
            <w:vAlign w:val="center"/>
          </w:tcPr>
          <w:p w14:paraId="230F43E7">
            <w:pPr>
              <w:pStyle w:val="75"/>
            </w:pPr>
            <w:r>
              <w:t>去除率</w:t>
            </w:r>
            <w:r>
              <w:rPr>
                <w:rFonts w:hint="eastAsia"/>
              </w:rPr>
              <w:t>(</w:t>
            </w:r>
            <w:r>
              <w:t>%)</w:t>
            </w:r>
          </w:p>
        </w:tc>
        <w:tc>
          <w:tcPr>
            <w:tcW w:w="477" w:type="pct"/>
            <w:vAlign w:val="center"/>
          </w:tcPr>
          <w:p w14:paraId="58626668">
            <w:pPr>
              <w:pStyle w:val="75"/>
            </w:pPr>
            <w:r>
              <w:rPr>
                <w:rFonts w:hint="eastAsia"/>
              </w:rPr>
              <w:t>/</w:t>
            </w:r>
          </w:p>
        </w:tc>
        <w:tc>
          <w:tcPr>
            <w:tcW w:w="475" w:type="pct"/>
            <w:vAlign w:val="center"/>
          </w:tcPr>
          <w:p w14:paraId="159B6B94">
            <w:pPr>
              <w:pStyle w:val="75"/>
            </w:pPr>
            <w:r>
              <w:rPr>
                <w:rFonts w:hint="eastAsia"/>
              </w:rPr>
              <w:t>/</w:t>
            </w:r>
          </w:p>
        </w:tc>
        <w:tc>
          <w:tcPr>
            <w:tcW w:w="475" w:type="pct"/>
            <w:vAlign w:val="center"/>
          </w:tcPr>
          <w:p w14:paraId="7590EA33">
            <w:pPr>
              <w:pStyle w:val="75"/>
            </w:pPr>
            <w:r>
              <w:rPr>
                <w:rFonts w:hint="eastAsia"/>
              </w:rPr>
              <w:t>60</w:t>
            </w:r>
          </w:p>
        </w:tc>
        <w:tc>
          <w:tcPr>
            <w:tcW w:w="475" w:type="pct"/>
            <w:vAlign w:val="center"/>
          </w:tcPr>
          <w:p w14:paraId="60169BE0">
            <w:pPr>
              <w:pStyle w:val="75"/>
            </w:pPr>
            <w:r>
              <w:rPr>
                <w:rFonts w:hint="eastAsia"/>
              </w:rPr>
              <w:t>20</w:t>
            </w:r>
          </w:p>
        </w:tc>
        <w:tc>
          <w:tcPr>
            <w:tcW w:w="477" w:type="pct"/>
            <w:vAlign w:val="center"/>
          </w:tcPr>
          <w:p w14:paraId="7DC3AAC1">
            <w:pPr>
              <w:pStyle w:val="75"/>
            </w:pPr>
            <w:r>
              <w:rPr>
                <w:rFonts w:hint="eastAsia"/>
              </w:rPr>
              <w:t>20</w:t>
            </w:r>
          </w:p>
        </w:tc>
        <w:tc>
          <w:tcPr>
            <w:tcW w:w="388" w:type="pct"/>
            <w:vAlign w:val="center"/>
          </w:tcPr>
          <w:p w14:paraId="1D05FC2D">
            <w:pPr>
              <w:pStyle w:val="75"/>
            </w:pPr>
            <w:r>
              <w:rPr>
                <w:rFonts w:hint="eastAsia"/>
              </w:rPr>
              <w:t>50</w:t>
            </w:r>
          </w:p>
        </w:tc>
        <w:tc>
          <w:tcPr>
            <w:tcW w:w="391" w:type="pct"/>
            <w:vAlign w:val="center"/>
          </w:tcPr>
          <w:p w14:paraId="68EBCB8C">
            <w:pPr>
              <w:pStyle w:val="75"/>
            </w:pPr>
            <w:r>
              <w:rPr>
                <w:rFonts w:hint="eastAsia"/>
              </w:rPr>
              <w:t>20</w:t>
            </w:r>
          </w:p>
        </w:tc>
        <w:tc>
          <w:tcPr>
            <w:tcW w:w="442" w:type="pct"/>
            <w:vAlign w:val="center"/>
          </w:tcPr>
          <w:p w14:paraId="5F7B1953">
            <w:pPr>
              <w:pStyle w:val="75"/>
              <w:rPr>
                <w:bCs/>
              </w:rPr>
            </w:pPr>
            <w:r>
              <w:rPr>
                <w:rFonts w:hint="eastAsia"/>
                <w:bCs/>
              </w:rPr>
              <w:t>20</w:t>
            </w:r>
          </w:p>
        </w:tc>
      </w:tr>
      <w:tr w14:paraId="71F4C2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5B2328ED">
            <w:pPr>
              <w:pStyle w:val="75"/>
            </w:pPr>
          </w:p>
        </w:tc>
        <w:tc>
          <w:tcPr>
            <w:tcW w:w="468" w:type="pct"/>
            <w:vAlign w:val="center"/>
          </w:tcPr>
          <w:p w14:paraId="72CDAE0E">
            <w:pPr>
              <w:pStyle w:val="75"/>
            </w:pPr>
            <w:r>
              <w:t>出水</w:t>
            </w:r>
          </w:p>
        </w:tc>
        <w:tc>
          <w:tcPr>
            <w:tcW w:w="477" w:type="pct"/>
            <w:vAlign w:val="center"/>
          </w:tcPr>
          <w:p w14:paraId="28150183">
            <w:pPr>
              <w:pStyle w:val="75"/>
              <w:rPr>
                <w:rFonts w:hint="default" w:eastAsia="宋体"/>
                <w:lang w:val="en-US" w:eastAsia="zh-CN"/>
              </w:rPr>
            </w:pPr>
            <w:r>
              <w:rPr>
                <w:rFonts w:hint="eastAsia"/>
                <w:lang w:val="en-US" w:eastAsia="zh-CN"/>
              </w:rPr>
              <w:t>95.427</w:t>
            </w:r>
          </w:p>
        </w:tc>
        <w:tc>
          <w:tcPr>
            <w:tcW w:w="475" w:type="pct"/>
            <w:vAlign w:val="center"/>
          </w:tcPr>
          <w:p w14:paraId="31AEC304">
            <w:pPr>
              <w:pStyle w:val="75"/>
            </w:pPr>
            <w:r>
              <w:rPr>
                <w:rFonts w:hint="eastAsia"/>
                <w:bCs/>
              </w:rPr>
              <w:t>7</w:t>
            </w:r>
          </w:p>
        </w:tc>
        <w:tc>
          <w:tcPr>
            <w:tcW w:w="475" w:type="pct"/>
            <w:vAlign w:val="center"/>
          </w:tcPr>
          <w:p w14:paraId="211CA973">
            <w:pPr>
              <w:pStyle w:val="75"/>
            </w:pPr>
            <w:r>
              <w:rPr>
                <w:rFonts w:hint="eastAsia"/>
              </w:rPr>
              <w:t>148.1</w:t>
            </w:r>
          </w:p>
        </w:tc>
        <w:tc>
          <w:tcPr>
            <w:tcW w:w="475" w:type="pct"/>
            <w:vAlign w:val="center"/>
          </w:tcPr>
          <w:p w14:paraId="3E820351">
            <w:pPr>
              <w:pStyle w:val="75"/>
            </w:pPr>
            <w:r>
              <w:rPr>
                <w:rFonts w:hint="eastAsia"/>
              </w:rPr>
              <w:t>64</w:t>
            </w:r>
          </w:p>
        </w:tc>
        <w:tc>
          <w:tcPr>
            <w:tcW w:w="477" w:type="pct"/>
            <w:vAlign w:val="center"/>
          </w:tcPr>
          <w:p w14:paraId="0E5C3D9D">
            <w:pPr>
              <w:pStyle w:val="75"/>
            </w:pPr>
            <w:r>
              <w:rPr>
                <w:rFonts w:hint="eastAsia"/>
              </w:rPr>
              <w:t>16.9</w:t>
            </w:r>
          </w:p>
        </w:tc>
        <w:tc>
          <w:tcPr>
            <w:tcW w:w="388" w:type="pct"/>
            <w:vAlign w:val="center"/>
          </w:tcPr>
          <w:p w14:paraId="1B06CF73">
            <w:pPr>
              <w:pStyle w:val="75"/>
            </w:pPr>
            <w:r>
              <w:rPr>
                <w:rFonts w:hint="eastAsia"/>
              </w:rPr>
              <w:t>1.18</w:t>
            </w:r>
          </w:p>
        </w:tc>
        <w:tc>
          <w:tcPr>
            <w:tcW w:w="391" w:type="pct"/>
            <w:vAlign w:val="center"/>
          </w:tcPr>
          <w:p w14:paraId="6A597D2D">
            <w:pPr>
              <w:pStyle w:val="75"/>
            </w:pPr>
            <w:r>
              <w:rPr>
                <w:rFonts w:hint="eastAsia"/>
              </w:rPr>
              <w:t>20.1</w:t>
            </w:r>
          </w:p>
        </w:tc>
        <w:tc>
          <w:tcPr>
            <w:tcW w:w="442" w:type="pct"/>
            <w:vAlign w:val="center"/>
          </w:tcPr>
          <w:p w14:paraId="289359AE">
            <w:pPr>
              <w:pStyle w:val="75"/>
              <w:rPr>
                <w:bCs/>
              </w:rPr>
            </w:pPr>
            <w:r>
              <w:rPr>
                <w:rFonts w:hint="eastAsia"/>
                <w:bCs/>
              </w:rPr>
              <w:t>1.59</w:t>
            </w:r>
          </w:p>
        </w:tc>
      </w:tr>
      <w:tr w14:paraId="6D724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394" w:type="pct"/>
            <w:gridSpan w:val="2"/>
            <w:vAlign w:val="center"/>
          </w:tcPr>
          <w:p w14:paraId="0066EF16">
            <w:pPr>
              <w:pStyle w:val="75"/>
            </w:pPr>
            <w:r>
              <w:rPr>
                <w:rFonts w:hint="eastAsia"/>
              </w:rPr>
              <w:t>《电镀污染物排放标准》(GB21900-2008</w:t>
            </w:r>
            <w:r>
              <w:t>)</w:t>
            </w:r>
          </w:p>
        </w:tc>
        <w:tc>
          <w:tcPr>
            <w:tcW w:w="477" w:type="pct"/>
            <w:vAlign w:val="center"/>
          </w:tcPr>
          <w:p w14:paraId="1EB3388E">
            <w:pPr>
              <w:pStyle w:val="75"/>
              <w:rPr>
                <w:rFonts w:hint="default"/>
                <w:lang w:val="en-US" w:eastAsia="zh-CN"/>
              </w:rPr>
            </w:pPr>
            <w:r>
              <w:rPr>
                <w:rFonts w:hint="eastAsia"/>
                <w:lang w:val="en-US" w:eastAsia="zh-CN"/>
              </w:rPr>
              <w:t>/</w:t>
            </w:r>
          </w:p>
        </w:tc>
        <w:tc>
          <w:tcPr>
            <w:tcW w:w="475" w:type="pct"/>
            <w:vAlign w:val="center"/>
          </w:tcPr>
          <w:p w14:paraId="0447E232">
            <w:pPr>
              <w:pStyle w:val="75"/>
              <w:rPr>
                <w:rFonts w:hint="default" w:eastAsia="宋体"/>
                <w:bCs/>
                <w:lang w:val="en-US" w:eastAsia="zh-CN"/>
              </w:rPr>
            </w:pPr>
            <w:r>
              <w:rPr>
                <w:rFonts w:hint="eastAsia"/>
                <w:bCs/>
                <w:lang w:val="en-US" w:eastAsia="zh-CN"/>
              </w:rPr>
              <w:t>6~9</w:t>
            </w:r>
          </w:p>
        </w:tc>
        <w:tc>
          <w:tcPr>
            <w:tcW w:w="801" w:type="dxa"/>
            <w:vAlign w:val="center"/>
          </w:tcPr>
          <w:p w14:paraId="74097F95">
            <w:pPr>
              <w:pStyle w:val="75"/>
              <w:ind w:firstLine="0" w:firstLineChars="0"/>
              <w:rPr>
                <w:rFonts w:hint="eastAsia"/>
              </w:rPr>
            </w:pPr>
            <w:r>
              <w:rPr>
                <w:rFonts w:hint="eastAsia"/>
              </w:rPr>
              <w:t>/</w:t>
            </w:r>
          </w:p>
        </w:tc>
        <w:tc>
          <w:tcPr>
            <w:tcW w:w="801" w:type="dxa"/>
            <w:vAlign w:val="center"/>
          </w:tcPr>
          <w:p w14:paraId="1E4B191F">
            <w:pPr>
              <w:pStyle w:val="75"/>
              <w:ind w:firstLine="0" w:firstLineChars="0"/>
              <w:rPr>
                <w:rFonts w:hint="eastAsia"/>
              </w:rPr>
            </w:pPr>
            <w:r>
              <w:rPr>
                <w:rFonts w:hint="eastAsia"/>
              </w:rPr>
              <w:t>/</w:t>
            </w:r>
          </w:p>
        </w:tc>
        <w:tc>
          <w:tcPr>
            <w:tcW w:w="804" w:type="dxa"/>
            <w:vAlign w:val="center"/>
          </w:tcPr>
          <w:p w14:paraId="5A809B92">
            <w:pPr>
              <w:pStyle w:val="75"/>
              <w:ind w:firstLine="0" w:firstLineChars="0"/>
              <w:rPr>
                <w:rFonts w:hint="eastAsia"/>
              </w:rPr>
            </w:pPr>
            <w:r>
              <w:rPr>
                <w:rFonts w:hint="eastAsia"/>
              </w:rPr>
              <w:t>/</w:t>
            </w:r>
          </w:p>
        </w:tc>
        <w:tc>
          <w:tcPr>
            <w:tcW w:w="654" w:type="dxa"/>
            <w:vAlign w:val="center"/>
          </w:tcPr>
          <w:p w14:paraId="66D335E2">
            <w:pPr>
              <w:pStyle w:val="75"/>
              <w:ind w:firstLine="0" w:firstLineChars="0"/>
              <w:rPr>
                <w:rFonts w:hint="eastAsia"/>
              </w:rPr>
            </w:pPr>
            <w:r>
              <w:rPr>
                <w:rFonts w:hint="eastAsia"/>
              </w:rPr>
              <w:t>/</w:t>
            </w:r>
          </w:p>
        </w:tc>
        <w:tc>
          <w:tcPr>
            <w:tcW w:w="659" w:type="dxa"/>
            <w:vAlign w:val="center"/>
          </w:tcPr>
          <w:p w14:paraId="7EEB3C5D">
            <w:pPr>
              <w:pStyle w:val="75"/>
              <w:ind w:firstLine="0" w:firstLineChars="0"/>
              <w:rPr>
                <w:rFonts w:hint="eastAsia"/>
              </w:rPr>
            </w:pPr>
            <w:r>
              <w:rPr>
                <w:rFonts w:hint="eastAsia"/>
              </w:rPr>
              <w:t>/</w:t>
            </w:r>
          </w:p>
        </w:tc>
        <w:tc>
          <w:tcPr>
            <w:tcW w:w="754" w:type="dxa"/>
            <w:vAlign w:val="center"/>
          </w:tcPr>
          <w:p w14:paraId="72D197AE">
            <w:pPr>
              <w:pStyle w:val="75"/>
              <w:ind w:firstLine="0" w:firstLineChars="0"/>
              <w:rPr>
                <w:rFonts w:hint="eastAsia"/>
                <w:bCs/>
              </w:rPr>
            </w:pPr>
            <w:r>
              <w:rPr>
                <w:rFonts w:hint="eastAsia"/>
              </w:rPr>
              <w:t>3.0</w:t>
            </w:r>
          </w:p>
        </w:tc>
      </w:tr>
      <w:tr w14:paraId="19ED81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394" w:type="pct"/>
            <w:gridSpan w:val="2"/>
            <w:vAlign w:val="center"/>
          </w:tcPr>
          <w:p w14:paraId="03460FE5">
            <w:pPr>
              <w:pStyle w:val="75"/>
              <w:rPr>
                <w:rFonts w:hint="eastAsia"/>
              </w:rPr>
            </w:pPr>
            <w:r>
              <w:rPr>
                <w:rFonts w:hint="eastAsia"/>
                <w:lang w:val="en-US" w:eastAsia="zh-CN"/>
              </w:rPr>
              <w:t>获嘉县同盟</w:t>
            </w:r>
            <w:r>
              <w:rPr>
                <w:rFonts w:hint="eastAsia"/>
              </w:rPr>
              <w:t>污水处理厂收水标准</w:t>
            </w:r>
          </w:p>
        </w:tc>
        <w:tc>
          <w:tcPr>
            <w:tcW w:w="477" w:type="pct"/>
            <w:vAlign w:val="center"/>
          </w:tcPr>
          <w:p w14:paraId="0D6A08F5">
            <w:pPr>
              <w:pStyle w:val="75"/>
              <w:rPr>
                <w:rFonts w:hint="default"/>
                <w:lang w:val="en-US" w:eastAsia="zh-CN"/>
              </w:rPr>
            </w:pPr>
            <w:r>
              <w:rPr>
                <w:rFonts w:hint="eastAsia"/>
                <w:lang w:val="en-US" w:eastAsia="zh-CN"/>
              </w:rPr>
              <w:t>/</w:t>
            </w:r>
          </w:p>
        </w:tc>
        <w:tc>
          <w:tcPr>
            <w:tcW w:w="475" w:type="pct"/>
            <w:vAlign w:val="center"/>
          </w:tcPr>
          <w:p w14:paraId="6D4CA329">
            <w:pPr>
              <w:pStyle w:val="75"/>
              <w:rPr>
                <w:rFonts w:hint="eastAsia" w:eastAsia="宋体"/>
                <w:bCs/>
                <w:lang w:val="en-US" w:eastAsia="zh-CN"/>
              </w:rPr>
            </w:pPr>
            <w:r>
              <w:rPr>
                <w:rFonts w:hint="eastAsia"/>
                <w:bCs/>
                <w:lang w:val="en-US" w:eastAsia="zh-CN"/>
              </w:rPr>
              <w:t>/</w:t>
            </w:r>
          </w:p>
        </w:tc>
        <w:tc>
          <w:tcPr>
            <w:tcW w:w="801" w:type="dxa"/>
            <w:vAlign w:val="center"/>
          </w:tcPr>
          <w:p w14:paraId="39D560A7">
            <w:pPr>
              <w:pStyle w:val="75"/>
              <w:ind w:firstLine="0" w:firstLineChars="0"/>
              <w:rPr>
                <w:rFonts w:hint="eastAsia"/>
              </w:rPr>
            </w:pPr>
            <w:r>
              <w:rPr>
                <w:rFonts w:hint="eastAsia"/>
              </w:rPr>
              <w:t>350</w:t>
            </w:r>
          </w:p>
        </w:tc>
        <w:tc>
          <w:tcPr>
            <w:tcW w:w="801" w:type="dxa"/>
            <w:vAlign w:val="center"/>
          </w:tcPr>
          <w:p w14:paraId="2F0BCA71">
            <w:pPr>
              <w:pStyle w:val="75"/>
              <w:ind w:firstLine="0" w:firstLineChars="0"/>
              <w:rPr>
                <w:rFonts w:hint="eastAsia"/>
              </w:rPr>
            </w:pPr>
            <w:r>
              <w:rPr>
                <w:rFonts w:hint="eastAsia"/>
                <w:lang w:val="en-US" w:eastAsia="zh-CN"/>
              </w:rPr>
              <w:t>230</w:t>
            </w:r>
          </w:p>
        </w:tc>
        <w:tc>
          <w:tcPr>
            <w:tcW w:w="804" w:type="dxa"/>
            <w:vAlign w:val="center"/>
          </w:tcPr>
          <w:p w14:paraId="4037B2CC">
            <w:pPr>
              <w:pStyle w:val="75"/>
              <w:ind w:firstLine="0" w:firstLineChars="0"/>
              <w:rPr>
                <w:rFonts w:hint="eastAsia"/>
              </w:rPr>
            </w:pPr>
            <w:r>
              <w:rPr>
                <w:rFonts w:hint="eastAsia"/>
              </w:rPr>
              <w:t>35</w:t>
            </w:r>
          </w:p>
        </w:tc>
        <w:tc>
          <w:tcPr>
            <w:tcW w:w="654" w:type="dxa"/>
            <w:vAlign w:val="center"/>
          </w:tcPr>
          <w:p w14:paraId="3A7240F1">
            <w:pPr>
              <w:pStyle w:val="75"/>
              <w:ind w:firstLine="0" w:firstLineChars="0"/>
              <w:rPr>
                <w:rFonts w:hint="eastAsia"/>
              </w:rPr>
            </w:pPr>
            <w:r>
              <w:rPr>
                <w:rFonts w:hint="eastAsia"/>
                <w:lang w:val="en-US" w:eastAsia="zh-CN"/>
              </w:rPr>
              <w:t>3.5</w:t>
            </w:r>
          </w:p>
        </w:tc>
        <w:tc>
          <w:tcPr>
            <w:tcW w:w="659" w:type="dxa"/>
            <w:vAlign w:val="center"/>
          </w:tcPr>
          <w:p w14:paraId="07CCADAB">
            <w:pPr>
              <w:pStyle w:val="75"/>
              <w:ind w:firstLine="0" w:firstLineChars="0"/>
              <w:rPr>
                <w:rFonts w:hint="eastAsia"/>
              </w:rPr>
            </w:pPr>
            <w:r>
              <w:rPr>
                <w:rFonts w:hint="eastAsia"/>
                <w:lang w:val="en-US" w:eastAsia="zh-CN"/>
              </w:rPr>
              <w:t>50</w:t>
            </w:r>
          </w:p>
        </w:tc>
        <w:tc>
          <w:tcPr>
            <w:tcW w:w="754" w:type="dxa"/>
            <w:vAlign w:val="center"/>
          </w:tcPr>
          <w:p w14:paraId="13D1693F">
            <w:pPr>
              <w:pStyle w:val="75"/>
              <w:ind w:firstLine="0" w:firstLineChars="0"/>
              <w:rPr>
                <w:rFonts w:hint="eastAsia"/>
                <w:bCs/>
              </w:rPr>
            </w:pPr>
            <w:r>
              <w:rPr>
                <w:rFonts w:hint="eastAsia"/>
              </w:rPr>
              <w:t>/</w:t>
            </w:r>
          </w:p>
        </w:tc>
      </w:tr>
    </w:tbl>
    <w:p w14:paraId="00A567C4">
      <w:pPr>
        <w:pStyle w:val="54"/>
        <w:ind w:firstLine="480"/>
        <w:rPr>
          <w:b w:val="0"/>
          <w:bCs/>
        </w:rPr>
      </w:pPr>
      <w:r>
        <w:rPr>
          <w:rFonts w:cs="Times New Roman"/>
          <w:b w:val="0"/>
          <w:bCs/>
        </w:rPr>
        <w:t>根据企业设备厂家提供实验数据及实际工程数据，</w:t>
      </w:r>
      <w:r>
        <w:rPr>
          <w:rFonts w:hint="eastAsia" w:cs="Times New Roman"/>
          <w:b w:val="0"/>
          <w:bCs/>
        </w:rPr>
        <w:t>各污染因子均能够满足排放标准要求</w:t>
      </w:r>
      <w:r>
        <w:rPr>
          <w:rFonts w:hint="eastAsia"/>
          <w:b w:val="0"/>
          <w:bCs/>
        </w:rPr>
        <w:t>。综合废水处理后经厂区总排口排放。</w:t>
      </w:r>
    </w:p>
    <w:p w14:paraId="238C6C20">
      <w:pPr>
        <w:ind w:firstLine="482"/>
        <w:rPr>
          <w:b/>
          <w:bCs/>
        </w:rPr>
      </w:pPr>
      <w:r>
        <w:rPr>
          <w:rFonts w:hint="eastAsia"/>
          <w:b/>
          <w:bCs/>
        </w:rPr>
        <w:t>4、外排废水</w:t>
      </w:r>
    </w:p>
    <w:p w14:paraId="7789B617">
      <w:pPr>
        <w:pStyle w:val="54"/>
        <w:ind w:firstLine="480"/>
        <w:rPr>
          <w:b w:val="0"/>
          <w:bCs/>
        </w:rPr>
      </w:pPr>
      <w:r>
        <w:rPr>
          <w:rFonts w:hint="eastAsia"/>
          <w:b w:val="0"/>
          <w:bCs/>
        </w:rPr>
        <w:t>根据工程分析</w:t>
      </w:r>
      <w:r>
        <w:rPr>
          <w:rFonts w:hint="eastAsia" w:ascii="宋体" w:hAnsi="宋体"/>
          <w:b w:val="0"/>
          <w:bCs/>
        </w:rPr>
        <w:t>，外排废水主要包括经处理后的综合废水、员工生活污水和纯水制备浓水、冲压冷凝水，经厂区总排口排放。</w:t>
      </w:r>
      <w:r>
        <w:rPr>
          <w:rFonts w:hint="eastAsia"/>
          <w:b w:val="0"/>
          <w:bCs/>
        </w:rPr>
        <w:t>本项目厂区总排口的废水的处理效果及达标情况见下表。</w:t>
      </w:r>
    </w:p>
    <w:p w14:paraId="3918045B">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p>
    <w:p w14:paraId="562C07C0">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表7</w:t>
      </w:r>
      <w:r>
        <w:rPr>
          <w:rFonts w:hint="eastAsia"/>
          <w:lang w:val="en-US" w:eastAsia="zh-CN"/>
        </w:rPr>
        <w:t>.1</w:t>
      </w:r>
      <w:r>
        <w:rPr>
          <w:rFonts w:hint="eastAsia"/>
        </w:rPr>
        <w:t>-</w:t>
      </w:r>
      <w:r>
        <w:rPr>
          <w:rFonts w:hint="eastAsia"/>
          <w:lang w:val="en-US" w:eastAsia="zh-CN"/>
        </w:rPr>
        <w:t>4</w:t>
      </w:r>
      <w:r>
        <w:rPr>
          <w:rFonts w:hint="eastAsia"/>
        </w:rPr>
        <w:t xml:space="preserve">     厂区总排口废水水质排放情况一览表     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562"/>
        <w:gridCol w:w="1425"/>
        <w:gridCol w:w="1137"/>
        <w:gridCol w:w="703"/>
        <w:gridCol w:w="705"/>
        <w:gridCol w:w="705"/>
        <w:gridCol w:w="700"/>
        <w:gridCol w:w="705"/>
        <w:gridCol w:w="785"/>
      </w:tblGrid>
      <w:tr w14:paraId="7AB6D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6EECB98E">
            <w:pPr>
              <w:pStyle w:val="81"/>
              <w:rPr>
                <w:rFonts w:cs="Times New Roman"/>
                <w:color w:val="auto"/>
              </w:rPr>
            </w:pPr>
            <w:r>
              <w:rPr>
                <w:rFonts w:cs="Times New Roman"/>
                <w:color w:val="auto"/>
              </w:rPr>
              <w:t>项目</w:t>
            </w:r>
          </w:p>
        </w:tc>
        <w:tc>
          <w:tcPr>
            <w:tcW w:w="845" w:type="pct"/>
            <w:vAlign w:val="center"/>
          </w:tcPr>
          <w:p w14:paraId="48AADC52">
            <w:pPr>
              <w:pStyle w:val="81"/>
              <w:rPr>
                <w:rFonts w:cs="Times New Roman"/>
                <w:color w:val="auto"/>
              </w:rPr>
            </w:pPr>
            <w:r>
              <w:rPr>
                <w:rFonts w:cs="Times New Roman"/>
                <w:color w:val="auto"/>
              </w:rPr>
              <w:t>废水来源</w:t>
            </w:r>
          </w:p>
        </w:tc>
        <w:tc>
          <w:tcPr>
            <w:tcW w:w="674" w:type="pct"/>
            <w:vAlign w:val="center"/>
          </w:tcPr>
          <w:p w14:paraId="6298988C">
            <w:pPr>
              <w:pStyle w:val="81"/>
              <w:rPr>
                <w:rFonts w:cs="Times New Roman"/>
                <w:color w:val="auto"/>
              </w:rPr>
            </w:pPr>
            <w:r>
              <w:rPr>
                <w:rFonts w:cs="Times New Roman"/>
                <w:color w:val="auto"/>
              </w:rPr>
              <w:t>水量</w:t>
            </w:r>
            <w:r>
              <w:rPr>
                <w:rFonts w:cs="Times New Roman"/>
                <w:color w:val="auto"/>
                <w:w w:val="90"/>
              </w:rPr>
              <w:t>(</w:t>
            </w:r>
            <w:r>
              <w:rPr>
                <w:rFonts w:cs="Times New Roman"/>
                <w:color w:val="auto"/>
              </w:rPr>
              <w:t>m</w:t>
            </w:r>
            <w:r>
              <w:rPr>
                <w:rFonts w:cs="Times New Roman"/>
                <w:color w:val="auto"/>
                <w:vertAlign w:val="superscript"/>
              </w:rPr>
              <w:t>3</w:t>
            </w:r>
            <w:r>
              <w:rPr>
                <w:rFonts w:cs="Times New Roman"/>
                <w:color w:val="auto"/>
              </w:rPr>
              <w:t>/d)</w:t>
            </w:r>
          </w:p>
        </w:tc>
        <w:tc>
          <w:tcPr>
            <w:tcW w:w="417" w:type="pct"/>
            <w:vAlign w:val="center"/>
          </w:tcPr>
          <w:p w14:paraId="1CFC30C5">
            <w:pPr>
              <w:pStyle w:val="81"/>
              <w:rPr>
                <w:rFonts w:cs="Times New Roman"/>
                <w:color w:val="auto"/>
              </w:rPr>
            </w:pPr>
            <w:r>
              <w:rPr>
                <w:rFonts w:cs="Times New Roman"/>
                <w:color w:val="auto"/>
              </w:rPr>
              <w:t>COD</w:t>
            </w:r>
          </w:p>
        </w:tc>
        <w:tc>
          <w:tcPr>
            <w:tcW w:w="418" w:type="pct"/>
            <w:vAlign w:val="center"/>
          </w:tcPr>
          <w:p w14:paraId="0319F791">
            <w:pPr>
              <w:pStyle w:val="81"/>
              <w:rPr>
                <w:rFonts w:cs="Times New Roman"/>
                <w:color w:val="auto"/>
              </w:rPr>
            </w:pPr>
            <w:r>
              <w:rPr>
                <w:rFonts w:hint="eastAsia" w:cs="Times New Roman"/>
                <w:color w:val="auto"/>
              </w:rPr>
              <w:t>S</w:t>
            </w:r>
            <w:r>
              <w:rPr>
                <w:rFonts w:cs="Times New Roman"/>
                <w:color w:val="auto"/>
              </w:rPr>
              <w:t>S</w:t>
            </w:r>
          </w:p>
        </w:tc>
        <w:tc>
          <w:tcPr>
            <w:tcW w:w="418" w:type="pct"/>
            <w:vAlign w:val="center"/>
          </w:tcPr>
          <w:p w14:paraId="29B70430">
            <w:pPr>
              <w:pStyle w:val="81"/>
              <w:rPr>
                <w:rFonts w:cs="Times New Roman"/>
                <w:color w:val="auto"/>
              </w:rPr>
            </w:pPr>
            <w:r>
              <w:rPr>
                <w:rFonts w:cs="Times New Roman"/>
                <w:color w:val="auto"/>
              </w:rPr>
              <w:t>氨氮</w:t>
            </w:r>
          </w:p>
        </w:tc>
        <w:tc>
          <w:tcPr>
            <w:tcW w:w="415" w:type="pct"/>
            <w:vAlign w:val="center"/>
          </w:tcPr>
          <w:p w14:paraId="144B44D9">
            <w:pPr>
              <w:pStyle w:val="81"/>
              <w:rPr>
                <w:rFonts w:cs="Times New Roman"/>
                <w:color w:val="auto"/>
              </w:rPr>
            </w:pPr>
            <w:r>
              <w:rPr>
                <w:rFonts w:cs="Times New Roman"/>
                <w:color w:val="auto"/>
              </w:rPr>
              <w:t>TP</w:t>
            </w:r>
          </w:p>
        </w:tc>
        <w:tc>
          <w:tcPr>
            <w:tcW w:w="418" w:type="pct"/>
            <w:vAlign w:val="center"/>
          </w:tcPr>
          <w:p w14:paraId="2DA3E2C4">
            <w:pPr>
              <w:pStyle w:val="81"/>
              <w:rPr>
                <w:rFonts w:cs="Times New Roman"/>
                <w:color w:val="auto"/>
              </w:rPr>
            </w:pPr>
            <w:r>
              <w:rPr>
                <w:rFonts w:cs="Times New Roman"/>
                <w:color w:val="auto"/>
              </w:rPr>
              <w:t>TN</w:t>
            </w:r>
          </w:p>
        </w:tc>
        <w:tc>
          <w:tcPr>
            <w:tcW w:w="465" w:type="pct"/>
            <w:vAlign w:val="center"/>
          </w:tcPr>
          <w:p w14:paraId="55E25A12">
            <w:pPr>
              <w:pStyle w:val="81"/>
              <w:rPr>
                <w:rFonts w:cs="Times New Roman"/>
                <w:color w:val="auto"/>
              </w:rPr>
            </w:pPr>
            <w:r>
              <w:rPr>
                <w:rFonts w:hint="eastAsia" w:cs="Times New Roman"/>
                <w:color w:val="auto"/>
              </w:rPr>
              <w:t>石油类</w:t>
            </w:r>
          </w:p>
        </w:tc>
      </w:tr>
      <w:tr w14:paraId="5D3FF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926" w:type="pct"/>
            <w:vMerge w:val="restart"/>
            <w:vAlign w:val="center"/>
          </w:tcPr>
          <w:p w14:paraId="6C0E6566">
            <w:pPr>
              <w:pStyle w:val="75"/>
            </w:pPr>
            <w:r>
              <w:t>总排口</w:t>
            </w:r>
          </w:p>
        </w:tc>
        <w:tc>
          <w:tcPr>
            <w:tcW w:w="845" w:type="pct"/>
            <w:vAlign w:val="center"/>
          </w:tcPr>
          <w:p w14:paraId="4C94D59F">
            <w:pPr>
              <w:pStyle w:val="75"/>
            </w:pPr>
            <w:r>
              <w:rPr>
                <w:rFonts w:hint="eastAsia"/>
              </w:rPr>
              <w:t>综合废水</w:t>
            </w:r>
          </w:p>
        </w:tc>
        <w:tc>
          <w:tcPr>
            <w:tcW w:w="674" w:type="pct"/>
            <w:shd w:val="clear" w:color="auto" w:fill="auto"/>
            <w:vAlign w:val="center"/>
          </w:tcPr>
          <w:p w14:paraId="1CDA9148">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95.427</w:t>
            </w:r>
          </w:p>
        </w:tc>
        <w:tc>
          <w:tcPr>
            <w:tcW w:w="417" w:type="pct"/>
            <w:shd w:val="clear" w:color="auto" w:fill="auto"/>
            <w:vAlign w:val="center"/>
          </w:tcPr>
          <w:p w14:paraId="31928BB9">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148.1</w:t>
            </w:r>
          </w:p>
        </w:tc>
        <w:tc>
          <w:tcPr>
            <w:tcW w:w="418" w:type="pct"/>
            <w:shd w:val="clear" w:color="auto" w:fill="auto"/>
            <w:vAlign w:val="center"/>
          </w:tcPr>
          <w:p w14:paraId="7099383B">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64</w:t>
            </w:r>
          </w:p>
        </w:tc>
        <w:tc>
          <w:tcPr>
            <w:tcW w:w="418" w:type="pct"/>
            <w:shd w:val="clear" w:color="auto" w:fill="auto"/>
            <w:vAlign w:val="center"/>
          </w:tcPr>
          <w:p w14:paraId="4388A437">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16.9</w:t>
            </w:r>
          </w:p>
        </w:tc>
        <w:tc>
          <w:tcPr>
            <w:tcW w:w="415" w:type="pct"/>
            <w:shd w:val="clear" w:color="auto" w:fill="auto"/>
            <w:vAlign w:val="center"/>
          </w:tcPr>
          <w:p w14:paraId="3368846F">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1.18</w:t>
            </w:r>
          </w:p>
        </w:tc>
        <w:tc>
          <w:tcPr>
            <w:tcW w:w="418" w:type="pct"/>
            <w:shd w:val="clear" w:color="auto" w:fill="auto"/>
            <w:vAlign w:val="center"/>
          </w:tcPr>
          <w:p w14:paraId="4B39E646">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20.1</w:t>
            </w:r>
          </w:p>
        </w:tc>
        <w:tc>
          <w:tcPr>
            <w:tcW w:w="465" w:type="pct"/>
            <w:shd w:val="clear" w:color="auto" w:fill="auto"/>
            <w:vAlign w:val="center"/>
          </w:tcPr>
          <w:p w14:paraId="3B2D006C">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bCs/>
                <w:color w:val="000000" w:themeColor="text1"/>
                <w:highlight w:val="none"/>
                <w14:textFill>
                  <w14:solidFill>
                    <w14:schemeClr w14:val="tx1"/>
                  </w14:solidFill>
                </w14:textFill>
              </w:rPr>
              <w:t>1.59</w:t>
            </w:r>
          </w:p>
        </w:tc>
      </w:tr>
      <w:tr w14:paraId="534C90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926" w:type="pct"/>
            <w:vMerge w:val="continue"/>
            <w:vAlign w:val="center"/>
          </w:tcPr>
          <w:p w14:paraId="5405ADCC">
            <w:pPr>
              <w:pStyle w:val="75"/>
            </w:pPr>
          </w:p>
        </w:tc>
        <w:tc>
          <w:tcPr>
            <w:tcW w:w="845" w:type="pct"/>
            <w:vAlign w:val="center"/>
          </w:tcPr>
          <w:p w14:paraId="31BF4535">
            <w:pPr>
              <w:pStyle w:val="75"/>
            </w:pPr>
            <w:r>
              <w:t>生活污水化粪池处理后</w:t>
            </w:r>
          </w:p>
        </w:tc>
        <w:tc>
          <w:tcPr>
            <w:tcW w:w="674" w:type="pct"/>
            <w:shd w:val="clear" w:color="auto" w:fill="auto"/>
            <w:vAlign w:val="center"/>
          </w:tcPr>
          <w:p w14:paraId="5B2E6A3E">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0.88</w:t>
            </w:r>
          </w:p>
        </w:tc>
        <w:tc>
          <w:tcPr>
            <w:tcW w:w="417" w:type="pct"/>
            <w:shd w:val="clear" w:color="auto" w:fill="auto"/>
            <w:vAlign w:val="center"/>
          </w:tcPr>
          <w:p w14:paraId="6DFC863E">
            <w:pPr>
              <w:pStyle w:val="75"/>
              <w:ind w:firstLine="0" w:firstLineChars="0"/>
              <w:rPr>
                <w:rFonts w:ascii="Times New Roman" w:hAnsi="Times New Roman" w:eastAsia="宋体" w:cs="Times New Roman"/>
                <w:sz w:val="21"/>
                <w:szCs w:val="21"/>
                <w:highlight w:val="none"/>
                <w:lang w:val="en-US" w:eastAsia="zh-CN" w:bidi="ar-SA"/>
              </w:rPr>
            </w:pPr>
            <w:r>
              <w:rPr>
                <w:highlight w:val="none"/>
              </w:rPr>
              <w:t>250</w:t>
            </w:r>
          </w:p>
        </w:tc>
        <w:tc>
          <w:tcPr>
            <w:tcW w:w="418" w:type="pct"/>
            <w:shd w:val="clear" w:color="auto" w:fill="auto"/>
            <w:vAlign w:val="center"/>
          </w:tcPr>
          <w:p w14:paraId="314BDEFD">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150</w:t>
            </w:r>
          </w:p>
        </w:tc>
        <w:tc>
          <w:tcPr>
            <w:tcW w:w="418" w:type="pct"/>
            <w:shd w:val="clear" w:color="auto" w:fill="auto"/>
            <w:vAlign w:val="center"/>
          </w:tcPr>
          <w:p w14:paraId="30035D44">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color w:val="000000" w:themeColor="text1"/>
                <w:highlight w:val="none"/>
                <w14:textFill>
                  <w14:solidFill>
                    <w14:schemeClr w14:val="tx1"/>
                  </w14:solidFill>
                </w14:textFill>
              </w:rPr>
              <w:t>25</w:t>
            </w:r>
          </w:p>
        </w:tc>
        <w:tc>
          <w:tcPr>
            <w:tcW w:w="415" w:type="pct"/>
            <w:shd w:val="clear" w:color="auto" w:fill="auto"/>
            <w:vAlign w:val="center"/>
          </w:tcPr>
          <w:p w14:paraId="3DD22C09">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color w:val="000000" w:themeColor="text1"/>
                <w:highlight w:val="none"/>
                <w14:textFill>
                  <w14:solidFill>
                    <w14:schemeClr w14:val="tx1"/>
                  </w14:solidFill>
                </w14:textFill>
              </w:rPr>
              <w:t>3</w:t>
            </w:r>
          </w:p>
        </w:tc>
        <w:tc>
          <w:tcPr>
            <w:tcW w:w="418" w:type="pct"/>
            <w:shd w:val="clear" w:color="auto" w:fill="auto"/>
            <w:vAlign w:val="center"/>
          </w:tcPr>
          <w:p w14:paraId="1BF98730">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color w:val="000000" w:themeColor="text1"/>
                <w:highlight w:val="none"/>
                <w14:textFill>
                  <w14:solidFill>
                    <w14:schemeClr w14:val="tx1"/>
                  </w14:solidFill>
                </w14:textFill>
              </w:rPr>
              <w:t>30</w:t>
            </w:r>
          </w:p>
        </w:tc>
        <w:tc>
          <w:tcPr>
            <w:tcW w:w="465" w:type="pct"/>
            <w:shd w:val="clear" w:color="auto" w:fill="auto"/>
            <w:vAlign w:val="center"/>
          </w:tcPr>
          <w:p w14:paraId="7064ED5B">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r>
      <w:tr w14:paraId="0DF99E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347255FB">
            <w:pPr>
              <w:pStyle w:val="75"/>
            </w:pPr>
          </w:p>
        </w:tc>
        <w:tc>
          <w:tcPr>
            <w:tcW w:w="845" w:type="pct"/>
            <w:vAlign w:val="center"/>
          </w:tcPr>
          <w:p w14:paraId="18E7EB40">
            <w:pPr>
              <w:pStyle w:val="75"/>
            </w:pPr>
            <w:r>
              <w:t>纯水制备</w:t>
            </w:r>
            <w:r>
              <w:rPr>
                <w:rFonts w:hint="eastAsia"/>
              </w:rPr>
              <w:t>浓水</w:t>
            </w:r>
          </w:p>
        </w:tc>
        <w:tc>
          <w:tcPr>
            <w:tcW w:w="674" w:type="pct"/>
            <w:shd w:val="clear" w:color="auto" w:fill="auto"/>
            <w:vAlign w:val="center"/>
          </w:tcPr>
          <w:p w14:paraId="4003E2E9">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80.208</w:t>
            </w:r>
          </w:p>
        </w:tc>
        <w:tc>
          <w:tcPr>
            <w:tcW w:w="417" w:type="pct"/>
            <w:shd w:val="clear" w:color="auto" w:fill="auto"/>
            <w:vAlign w:val="center"/>
          </w:tcPr>
          <w:p w14:paraId="7207EF52">
            <w:pPr>
              <w:pStyle w:val="75"/>
              <w:ind w:firstLine="0" w:firstLineChars="0"/>
              <w:rPr>
                <w:rFonts w:ascii="Times New Roman" w:hAnsi="Times New Roman" w:eastAsia="宋体" w:cs="Times New Roman"/>
                <w:sz w:val="21"/>
                <w:szCs w:val="21"/>
                <w:highlight w:val="none"/>
                <w:lang w:val="en-US" w:eastAsia="zh-CN" w:bidi="ar-SA"/>
              </w:rPr>
            </w:pPr>
            <w:r>
              <w:rPr>
                <w:highlight w:val="none"/>
              </w:rPr>
              <w:t>25</w:t>
            </w:r>
          </w:p>
        </w:tc>
        <w:tc>
          <w:tcPr>
            <w:tcW w:w="418" w:type="pct"/>
            <w:shd w:val="clear" w:color="auto" w:fill="auto"/>
            <w:vAlign w:val="center"/>
          </w:tcPr>
          <w:p w14:paraId="0648CD87">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50</w:t>
            </w:r>
          </w:p>
        </w:tc>
        <w:tc>
          <w:tcPr>
            <w:tcW w:w="418" w:type="pct"/>
            <w:shd w:val="clear" w:color="auto" w:fill="auto"/>
            <w:vAlign w:val="center"/>
          </w:tcPr>
          <w:p w14:paraId="09FF9C54">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5" w:type="pct"/>
            <w:shd w:val="clear" w:color="auto" w:fill="auto"/>
            <w:vAlign w:val="center"/>
          </w:tcPr>
          <w:p w14:paraId="6EEC24DF">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8" w:type="pct"/>
            <w:shd w:val="clear" w:color="auto" w:fill="auto"/>
            <w:vAlign w:val="center"/>
          </w:tcPr>
          <w:p w14:paraId="7DECF719">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65" w:type="pct"/>
            <w:shd w:val="clear" w:color="auto" w:fill="auto"/>
            <w:vAlign w:val="center"/>
          </w:tcPr>
          <w:p w14:paraId="095DC6A1">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r>
      <w:tr w14:paraId="40DA8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6CAE3BF6">
            <w:pPr>
              <w:pStyle w:val="75"/>
            </w:pPr>
          </w:p>
        </w:tc>
        <w:tc>
          <w:tcPr>
            <w:tcW w:w="845" w:type="pct"/>
            <w:vAlign w:val="center"/>
          </w:tcPr>
          <w:p w14:paraId="56901ED9">
            <w:pPr>
              <w:pStyle w:val="75"/>
            </w:pPr>
            <w:r>
              <w:rPr>
                <w:rFonts w:hint="eastAsia"/>
              </w:rPr>
              <w:t>冲压冷凝水</w:t>
            </w:r>
          </w:p>
        </w:tc>
        <w:tc>
          <w:tcPr>
            <w:tcW w:w="674" w:type="pct"/>
            <w:shd w:val="clear" w:color="auto" w:fill="auto"/>
            <w:vAlign w:val="center"/>
          </w:tcPr>
          <w:p w14:paraId="37582ADC">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0.1</w:t>
            </w:r>
          </w:p>
        </w:tc>
        <w:tc>
          <w:tcPr>
            <w:tcW w:w="417" w:type="pct"/>
            <w:shd w:val="clear" w:color="auto" w:fill="auto"/>
            <w:vAlign w:val="center"/>
          </w:tcPr>
          <w:p w14:paraId="32C07C29">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25</w:t>
            </w:r>
          </w:p>
        </w:tc>
        <w:tc>
          <w:tcPr>
            <w:tcW w:w="418" w:type="pct"/>
            <w:shd w:val="clear" w:color="auto" w:fill="auto"/>
            <w:vAlign w:val="center"/>
          </w:tcPr>
          <w:p w14:paraId="7449C0FC">
            <w:pPr>
              <w:pStyle w:val="75"/>
              <w:ind w:firstLine="0" w:firstLineChars="0"/>
              <w:rPr>
                <w:rFonts w:ascii="Times New Roman" w:hAnsi="Times New Roman" w:eastAsia="宋体" w:cs="Times New Roman"/>
                <w:sz w:val="21"/>
                <w:szCs w:val="21"/>
                <w:highlight w:val="none"/>
                <w:lang w:val="en-US" w:eastAsia="zh-CN" w:bidi="ar-SA"/>
              </w:rPr>
            </w:pPr>
            <w:r>
              <w:rPr>
                <w:rFonts w:hint="eastAsia"/>
                <w:highlight w:val="none"/>
              </w:rPr>
              <w:t>30</w:t>
            </w:r>
          </w:p>
        </w:tc>
        <w:tc>
          <w:tcPr>
            <w:tcW w:w="418" w:type="pct"/>
            <w:shd w:val="clear" w:color="auto" w:fill="auto"/>
            <w:vAlign w:val="center"/>
          </w:tcPr>
          <w:p w14:paraId="3692A9AD">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5" w:type="pct"/>
            <w:shd w:val="clear" w:color="auto" w:fill="auto"/>
            <w:vAlign w:val="center"/>
          </w:tcPr>
          <w:p w14:paraId="50054F71">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18" w:type="pct"/>
            <w:shd w:val="clear" w:color="auto" w:fill="auto"/>
            <w:vAlign w:val="center"/>
          </w:tcPr>
          <w:p w14:paraId="020595CF">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c>
          <w:tcPr>
            <w:tcW w:w="465" w:type="pct"/>
            <w:shd w:val="clear" w:color="auto" w:fill="auto"/>
            <w:vAlign w:val="center"/>
          </w:tcPr>
          <w:p w14:paraId="741E3573">
            <w:pPr>
              <w:pStyle w:val="75"/>
              <w:ind w:firstLine="0" w:firstLineChars="0"/>
              <w:rPr>
                <w:rFonts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w:t>
            </w:r>
          </w:p>
        </w:tc>
      </w:tr>
      <w:tr w14:paraId="155C28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Merge w:val="continue"/>
            <w:vAlign w:val="center"/>
          </w:tcPr>
          <w:p w14:paraId="254F0C77">
            <w:pPr>
              <w:pStyle w:val="75"/>
            </w:pPr>
          </w:p>
        </w:tc>
        <w:tc>
          <w:tcPr>
            <w:tcW w:w="845" w:type="pct"/>
            <w:vAlign w:val="center"/>
          </w:tcPr>
          <w:p w14:paraId="5A1AC7E3">
            <w:pPr>
              <w:pStyle w:val="75"/>
            </w:pPr>
            <w:r>
              <w:t>混合后</w:t>
            </w:r>
          </w:p>
        </w:tc>
        <w:tc>
          <w:tcPr>
            <w:tcW w:w="674" w:type="pct"/>
            <w:shd w:val="clear" w:color="auto" w:fill="auto"/>
            <w:vAlign w:val="center"/>
          </w:tcPr>
          <w:p w14:paraId="0E6B7830">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176.615</w:t>
            </w:r>
          </w:p>
        </w:tc>
        <w:tc>
          <w:tcPr>
            <w:tcW w:w="417" w:type="pct"/>
            <w:shd w:val="clear" w:color="auto" w:fill="auto"/>
            <w:vAlign w:val="center"/>
          </w:tcPr>
          <w:p w14:paraId="5C0514B6">
            <w:pPr>
              <w:pStyle w:val="75"/>
              <w:ind w:firstLine="0" w:firstLineChars="0"/>
              <w:rPr>
                <w:rFonts w:hint="default" w:ascii="Times New Roman" w:hAnsi="Times New Roman" w:eastAsia="宋体" w:cs="Times New Roman"/>
                <w:color w:val="FF0000"/>
                <w:sz w:val="21"/>
                <w:szCs w:val="21"/>
                <w:highlight w:val="none"/>
                <w:lang w:val="en-US" w:eastAsia="zh-CN" w:bidi="ar-SA"/>
              </w:rPr>
            </w:pPr>
            <w:r>
              <w:rPr>
                <w:rFonts w:hint="eastAsia"/>
                <w:color w:val="000000" w:themeColor="text1"/>
                <w:highlight w:val="none"/>
                <w:lang w:val="en-US" w:eastAsia="zh-CN"/>
                <w14:textFill>
                  <w14:solidFill>
                    <w14:schemeClr w14:val="tx1"/>
                  </w14:solidFill>
                </w14:textFill>
              </w:rPr>
              <w:t>92.6</w:t>
            </w:r>
          </w:p>
        </w:tc>
        <w:tc>
          <w:tcPr>
            <w:tcW w:w="418" w:type="pct"/>
            <w:shd w:val="clear" w:color="auto" w:fill="auto"/>
            <w:vAlign w:val="center"/>
          </w:tcPr>
          <w:p w14:paraId="7B547E2F">
            <w:pPr>
              <w:pStyle w:val="75"/>
              <w:ind w:firstLine="0" w:firstLineChars="0"/>
              <w:rPr>
                <w:rFonts w:hint="default" w:ascii="Times New Roman" w:hAnsi="Times New Roman" w:eastAsia="宋体" w:cs="Times New Roman"/>
                <w:color w:val="FF0000"/>
                <w:sz w:val="21"/>
                <w:szCs w:val="21"/>
                <w:highlight w:val="none"/>
                <w:lang w:val="en-US" w:eastAsia="zh-CN" w:bidi="ar-SA"/>
              </w:rPr>
            </w:pPr>
            <w:r>
              <w:rPr>
                <w:rFonts w:hint="eastAsia"/>
                <w:color w:val="000000" w:themeColor="text1"/>
                <w:highlight w:val="none"/>
                <w:lang w:val="en-US" w:eastAsia="zh-CN"/>
                <w14:textFill>
                  <w14:solidFill>
                    <w14:schemeClr w14:val="tx1"/>
                  </w14:solidFill>
                </w14:textFill>
              </w:rPr>
              <w:t>58.1</w:t>
            </w:r>
          </w:p>
        </w:tc>
        <w:tc>
          <w:tcPr>
            <w:tcW w:w="418" w:type="pct"/>
            <w:shd w:val="clear" w:color="auto" w:fill="auto"/>
            <w:vAlign w:val="center"/>
          </w:tcPr>
          <w:p w14:paraId="739623C5">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9.3</w:t>
            </w:r>
          </w:p>
        </w:tc>
        <w:tc>
          <w:tcPr>
            <w:tcW w:w="415" w:type="pct"/>
            <w:shd w:val="clear" w:color="auto" w:fill="auto"/>
            <w:vAlign w:val="center"/>
          </w:tcPr>
          <w:p w14:paraId="2BEA7AC2">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0.7</w:t>
            </w:r>
          </w:p>
        </w:tc>
        <w:tc>
          <w:tcPr>
            <w:tcW w:w="418" w:type="pct"/>
            <w:shd w:val="clear" w:color="auto" w:fill="auto"/>
            <w:vAlign w:val="center"/>
          </w:tcPr>
          <w:p w14:paraId="2EB5B982">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465" w:type="pct"/>
            <w:shd w:val="clear" w:color="auto" w:fill="auto"/>
            <w:vAlign w:val="center"/>
          </w:tcPr>
          <w:p w14:paraId="1D6426AA">
            <w:pPr>
              <w:pStyle w:val="75"/>
              <w:ind w:firstLine="0" w:firstLineChars="0"/>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0.9</w:t>
            </w:r>
          </w:p>
        </w:tc>
      </w:tr>
      <w:tr w14:paraId="1F8B26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3BD9E378">
            <w:pPr>
              <w:pStyle w:val="75"/>
            </w:pPr>
            <w:r>
              <w:rPr>
                <w:rFonts w:hint="eastAsia"/>
              </w:rPr>
              <w:t>《电镀污染物排放标准》(GB21900-2008</w:t>
            </w:r>
            <w:r>
              <w:t>)</w:t>
            </w:r>
          </w:p>
        </w:tc>
        <w:tc>
          <w:tcPr>
            <w:tcW w:w="845" w:type="pct"/>
            <w:vAlign w:val="center"/>
          </w:tcPr>
          <w:p w14:paraId="45694C43">
            <w:pPr>
              <w:pStyle w:val="75"/>
            </w:pPr>
            <w:r>
              <w:rPr>
                <w:rFonts w:hint="eastAsia"/>
              </w:rPr>
              <w:t>/</w:t>
            </w:r>
          </w:p>
        </w:tc>
        <w:tc>
          <w:tcPr>
            <w:tcW w:w="674" w:type="pct"/>
            <w:vAlign w:val="center"/>
          </w:tcPr>
          <w:p w14:paraId="02891A56">
            <w:pPr>
              <w:pStyle w:val="75"/>
            </w:pPr>
            <w:r>
              <w:rPr>
                <w:rFonts w:hint="eastAsia"/>
              </w:rPr>
              <w:t>/</w:t>
            </w:r>
          </w:p>
        </w:tc>
        <w:tc>
          <w:tcPr>
            <w:tcW w:w="417" w:type="pct"/>
            <w:vAlign w:val="center"/>
          </w:tcPr>
          <w:p w14:paraId="52835C99">
            <w:pPr>
              <w:pStyle w:val="75"/>
            </w:pPr>
            <w:r>
              <w:rPr>
                <w:rFonts w:hint="eastAsia"/>
              </w:rPr>
              <w:t>/</w:t>
            </w:r>
          </w:p>
        </w:tc>
        <w:tc>
          <w:tcPr>
            <w:tcW w:w="418" w:type="pct"/>
            <w:vAlign w:val="center"/>
          </w:tcPr>
          <w:p w14:paraId="1AB70414">
            <w:pPr>
              <w:pStyle w:val="75"/>
            </w:pPr>
            <w:r>
              <w:rPr>
                <w:rFonts w:hint="eastAsia"/>
              </w:rPr>
              <w:t>/</w:t>
            </w:r>
          </w:p>
        </w:tc>
        <w:tc>
          <w:tcPr>
            <w:tcW w:w="418" w:type="pct"/>
            <w:vAlign w:val="center"/>
          </w:tcPr>
          <w:p w14:paraId="37B432A9">
            <w:pPr>
              <w:pStyle w:val="75"/>
            </w:pPr>
            <w:r>
              <w:rPr>
                <w:rFonts w:hint="eastAsia"/>
              </w:rPr>
              <w:t>/</w:t>
            </w:r>
          </w:p>
        </w:tc>
        <w:tc>
          <w:tcPr>
            <w:tcW w:w="415" w:type="pct"/>
            <w:vAlign w:val="center"/>
          </w:tcPr>
          <w:p w14:paraId="5F11BF63">
            <w:pPr>
              <w:pStyle w:val="75"/>
            </w:pPr>
            <w:r>
              <w:rPr>
                <w:rFonts w:hint="eastAsia"/>
              </w:rPr>
              <w:t>/</w:t>
            </w:r>
          </w:p>
        </w:tc>
        <w:tc>
          <w:tcPr>
            <w:tcW w:w="418" w:type="pct"/>
            <w:vAlign w:val="center"/>
          </w:tcPr>
          <w:p w14:paraId="51682F12">
            <w:pPr>
              <w:pStyle w:val="75"/>
            </w:pPr>
            <w:r>
              <w:rPr>
                <w:rFonts w:hint="eastAsia"/>
              </w:rPr>
              <w:t>/</w:t>
            </w:r>
          </w:p>
        </w:tc>
        <w:tc>
          <w:tcPr>
            <w:tcW w:w="465" w:type="pct"/>
            <w:vAlign w:val="center"/>
          </w:tcPr>
          <w:p w14:paraId="55BE8B34">
            <w:pPr>
              <w:pStyle w:val="75"/>
            </w:pPr>
            <w:r>
              <w:rPr>
                <w:rFonts w:hint="eastAsia"/>
              </w:rPr>
              <w:t>3.0</w:t>
            </w:r>
          </w:p>
        </w:tc>
      </w:tr>
      <w:tr w14:paraId="60585B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7DC1FD8C">
            <w:pPr>
              <w:pStyle w:val="75"/>
              <w:rPr>
                <w:rFonts w:hint="default" w:eastAsia="宋体"/>
                <w:lang w:val="en-US" w:eastAsia="zh-CN"/>
              </w:rPr>
            </w:pPr>
            <w:r>
              <w:rPr>
                <w:rFonts w:hint="eastAsia"/>
                <w:lang w:val="en-US" w:eastAsia="zh-CN"/>
              </w:rPr>
              <w:t>获嘉县同盟污水处理厂收水水质</w:t>
            </w:r>
          </w:p>
        </w:tc>
        <w:tc>
          <w:tcPr>
            <w:tcW w:w="845" w:type="pct"/>
            <w:vAlign w:val="center"/>
          </w:tcPr>
          <w:p w14:paraId="7BE8A422">
            <w:pPr>
              <w:pStyle w:val="75"/>
            </w:pPr>
            <w:r>
              <w:rPr>
                <w:rFonts w:hint="eastAsia"/>
              </w:rPr>
              <w:t>/</w:t>
            </w:r>
          </w:p>
        </w:tc>
        <w:tc>
          <w:tcPr>
            <w:tcW w:w="674" w:type="pct"/>
            <w:vAlign w:val="center"/>
          </w:tcPr>
          <w:p w14:paraId="7D0F85B9">
            <w:pPr>
              <w:pStyle w:val="75"/>
            </w:pPr>
            <w:r>
              <w:rPr>
                <w:rFonts w:hint="eastAsia"/>
              </w:rPr>
              <w:t>/</w:t>
            </w:r>
          </w:p>
        </w:tc>
        <w:tc>
          <w:tcPr>
            <w:tcW w:w="417" w:type="pct"/>
            <w:vAlign w:val="center"/>
          </w:tcPr>
          <w:p w14:paraId="06D3E51D">
            <w:pPr>
              <w:pStyle w:val="75"/>
            </w:pPr>
            <w:r>
              <w:rPr>
                <w:rFonts w:hint="eastAsia"/>
              </w:rPr>
              <w:t>350</w:t>
            </w:r>
          </w:p>
        </w:tc>
        <w:tc>
          <w:tcPr>
            <w:tcW w:w="418" w:type="pct"/>
            <w:vAlign w:val="center"/>
          </w:tcPr>
          <w:p w14:paraId="689DF584">
            <w:pPr>
              <w:pStyle w:val="75"/>
              <w:rPr>
                <w:rFonts w:hint="default" w:eastAsia="宋体"/>
                <w:lang w:val="en-US" w:eastAsia="zh-CN"/>
              </w:rPr>
            </w:pPr>
            <w:r>
              <w:rPr>
                <w:rFonts w:hint="eastAsia"/>
                <w:lang w:val="en-US" w:eastAsia="zh-CN"/>
              </w:rPr>
              <w:t>230</w:t>
            </w:r>
          </w:p>
        </w:tc>
        <w:tc>
          <w:tcPr>
            <w:tcW w:w="418" w:type="pct"/>
            <w:vAlign w:val="center"/>
          </w:tcPr>
          <w:p w14:paraId="37706ACB">
            <w:pPr>
              <w:pStyle w:val="75"/>
            </w:pPr>
            <w:r>
              <w:rPr>
                <w:rFonts w:hint="eastAsia"/>
              </w:rPr>
              <w:t>35</w:t>
            </w:r>
          </w:p>
        </w:tc>
        <w:tc>
          <w:tcPr>
            <w:tcW w:w="415" w:type="pct"/>
            <w:vAlign w:val="center"/>
          </w:tcPr>
          <w:p w14:paraId="45B2CCC9">
            <w:pPr>
              <w:pStyle w:val="75"/>
              <w:rPr>
                <w:rFonts w:hint="default" w:eastAsia="宋体"/>
                <w:lang w:val="en-US" w:eastAsia="zh-CN"/>
              </w:rPr>
            </w:pPr>
            <w:r>
              <w:rPr>
                <w:rFonts w:hint="eastAsia"/>
                <w:lang w:val="en-US" w:eastAsia="zh-CN"/>
              </w:rPr>
              <w:t>3.5</w:t>
            </w:r>
          </w:p>
        </w:tc>
        <w:tc>
          <w:tcPr>
            <w:tcW w:w="418" w:type="pct"/>
            <w:vAlign w:val="center"/>
          </w:tcPr>
          <w:p w14:paraId="559DAC26">
            <w:pPr>
              <w:pStyle w:val="75"/>
              <w:rPr>
                <w:rFonts w:hint="default" w:eastAsia="宋体"/>
                <w:lang w:val="en-US" w:eastAsia="zh-CN"/>
              </w:rPr>
            </w:pPr>
            <w:r>
              <w:rPr>
                <w:rFonts w:hint="eastAsia"/>
                <w:lang w:val="en-US" w:eastAsia="zh-CN"/>
              </w:rPr>
              <w:t>50</w:t>
            </w:r>
          </w:p>
        </w:tc>
        <w:tc>
          <w:tcPr>
            <w:tcW w:w="465" w:type="pct"/>
            <w:vAlign w:val="center"/>
          </w:tcPr>
          <w:p w14:paraId="2FEA0ED5">
            <w:pPr>
              <w:pStyle w:val="75"/>
            </w:pPr>
            <w:r>
              <w:rPr>
                <w:rFonts w:hint="eastAsia"/>
              </w:rPr>
              <w:t>/</w:t>
            </w:r>
          </w:p>
        </w:tc>
      </w:tr>
      <w:tr w14:paraId="52AE41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926" w:type="pct"/>
            <w:vAlign w:val="center"/>
          </w:tcPr>
          <w:p w14:paraId="2BD6A334">
            <w:pPr>
              <w:pStyle w:val="75"/>
            </w:pPr>
            <w:r>
              <w:t>对标</w:t>
            </w:r>
          </w:p>
        </w:tc>
        <w:tc>
          <w:tcPr>
            <w:tcW w:w="845" w:type="pct"/>
            <w:vAlign w:val="center"/>
          </w:tcPr>
          <w:p w14:paraId="78074D20">
            <w:pPr>
              <w:pStyle w:val="75"/>
            </w:pPr>
            <w:r>
              <w:t>达标</w:t>
            </w:r>
          </w:p>
        </w:tc>
        <w:tc>
          <w:tcPr>
            <w:tcW w:w="674" w:type="pct"/>
            <w:vAlign w:val="center"/>
          </w:tcPr>
          <w:p w14:paraId="428860E0">
            <w:pPr>
              <w:pStyle w:val="75"/>
            </w:pPr>
            <w:r>
              <w:t>达标</w:t>
            </w:r>
          </w:p>
        </w:tc>
        <w:tc>
          <w:tcPr>
            <w:tcW w:w="417" w:type="pct"/>
            <w:vAlign w:val="center"/>
          </w:tcPr>
          <w:p w14:paraId="37974113">
            <w:pPr>
              <w:pStyle w:val="75"/>
            </w:pPr>
            <w:r>
              <w:t>达标</w:t>
            </w:r>
          </w:p>
        </w:tc>
        <w:tc>
          <w:tcPr>
            <w:tcW w:w="418" w:type="pct"/>
            <w:vAlign w:val="center"/>
          </w:tcPr>
          <w:p w14:paraId="265B52DF">
            <w:pPr>
              <w:pStyle w:val="75"/>
            </w:pPr>
            <w:r>
              <w:t>达标</w:t>
            </w:r>
          </w:p>
        </w:tc>
        <w:tc>
          <w:tcPr>
            <w:tcW w:w="418" w:type="pct"/>
            <w:vAlign w:val="center"/>
          </w:tcPr>
          <w:p w14:paraId="2DC73B1C">
            <w:pPr>
              <w:pStyle w:val="75"/>
            </w:pPr>
            <w:r>
              <w:t>达标</w:t>
            </w:r>
          </w:p>
        </w:tc>
        <w:tc>
          <w:tcPr>
            <w:tcW w:w="415" w:type="pct"/>
            <w:vAlign w:val="center"/>
          </w:tcPr>
          <w:p w14:paraId="5A8FA207">
            <w:pPr>
              <w:pStyle w:val="75"/>
            </w:pPr>
            <w:r>
              <w:t>达标</w:t>
            </w:r>
          </w:p>
        </w:tc>
        <w:tc>
          <w:tcPr>
            <w:tcW w:w="418" w:type="pct"/>
            <w:vAlign w:val="center"/>
          </w:tcPr>
          <w:p w14:paraId="620D43B0">
            <w:pPr>
              <w:pStyle w:val="75"/>
            </w:pPr>
            <w:r>
              <w:t>达标</w:t>
            </w:r>
          </w:p>
        </w:tc>
        <w:tc>
          <w:tcPr>
            <w:tcW w:w="465" w:type="pct"/>
            <w:vAlign w:val="center"/>
          </w:tcPr>
          <w:p w14:paraId="0B5E3A24">
            <w:pPr>
              <w:pStyle w:val="75"/>
            </w:pPr>
            <w:r>
              <w:rPr>
                <w:rFonts w:hint="eastAsia"/>
              </w:rPr>
              <w:t>/</w:t>
            </w:r>
          </w:p>
        </w:tc>
      </w:tr>
    </w:tbl>
    <w:p w14:paraId="01AB7215">
      <w:pPr>
        <w:pStyle w:val="54"/>
        <w:ind w:firstLine="480"/>
        <w:rPr>
          <w:b w:val="0"/>
          <w:bCs/>
          <w:color w:val="0000FF"/>
        </w:rPr>
      </w:pPr>
      <w:r>
        <w:rPr>
          <w:rFonts w:hint="eastAsia"/>
          <w:b w:val="0"/>
          <w:bCs/>
        </w:rPr>
        <w:t>由上表可以看出，本厂废水经处理后，总排口废水中COD、S</w:t>
      </w:r>
      <w:r>
        <w:rPr>
          <w:b w:val="0"/>
          <w:bCs/>
        </w:rPr>
        <w:t>S</w:t>
      </w:r>
      <w:r>
        <w:rPr>
          <w:rFonts w:hint="eastAsia"/>
          <w:b w:val="0"/>
          <w:bCs/>
        </w:rPr>
        <w:t>、氨氮、TP、TN均能够满足《电镀污染物排放标准》(GB21900-2008)</w:t>
      </w:r>
      <w:r>
        <w:rPr>
          <w:rFonts w:hint="eastAsia"/>
          <w:b w:val="0"/>
          <w:bCs/>
          <w:lang w:val="en-US" w:eastAsia="zh-CN"/>
        </w:rPr>
        <w:t>及获嘉县同盟</w:t>
      </w:r>
      <w:r>
        <w:rPr>
          <w:rFonts w:hint="eastAsia"/>
          <w:b w:val="0"/>
          <w:bCs/>
        </w:rPr>
        <w:t>污水处理厂收</w:t>
      </w:r>
      <w:r>
        <w:rPr>
          <w:rFonts w:hint="eastAsia"/>
          <w:b w:val="0"/>
          <w:bCs/>
          <w:color w:val="000000" w:themeColor="text1"/>
          <w14:textFill>
            <w14:solidFill>
              <w14:schemeClr w14:val="tx1"/>
            </w14:solidFill>
          </w14:textFill>
        </w:rPr>
        <w:t xml:space="preserve">水标准。获嘉县同盟污水处理厂出水执行标准为：COD </w:t>
      </w:r>
      <w:r>
        <w:rPr>
          <w:rFonts w:hint="eastAsia"/>
          <w:b w:val="0"/>
          <w:bCs/>
          <w:color w:val="000000" w:themeColor="text1"/>
          <w:lang w:val="en-US" w:eastAsia="zh-CN"/>
          <w14:textFill>
            <w14:solidFill>
              <w14:schemeClr w14:val="tx1"/>
            </w14:solidFill>
          </w14:textFill>
        </w:rPr>
        <w:t>30</w:t>
      </w:r>
      <w:r>
        <w:rPr>
          <w:rFonts w:hint="eastAsia"/>
          <w:b w:val="0"/>
          <w:bCs/>
          <w:color w:val="000000" w:themeColor="text1"/>
          <w14:textFill>
            <w14:solidFill>
              <w14:schemeClr w14:val="tx1"/>
            </w14:solidFill>
          </w14:textFill>
        </w:rPr>
        <w:t>mg/L、氨氮</w:t>
      </w:r>
      <w:r>
        <w:rPr>
          <w:rFonts w:hint="eastAsia"/>
          <w:b w:val="0"/>
          <w:bCs/>
          <w:color w:val="000000" w:themeColor="text1"/>
          <w:lang w:val="en-US" w:eastAsia="zh-CN"/>
          <w14:textFill>
            <w14:solidFill>
              <w14:schemeClr w14:val="tx1"/>
            </w14:solidFill>
          </w14:textFill>
        </w:rPr>
        <w:t>1.5</w:t>
      </w:r>
      <w:r>
        <w:rPr>
          <w:rFonts w:hint="eastAsia"/>
          <w:b w:val="0"/>
          <w:bCs/>
          <w:color w:val="000000" w:themeColor="text1"/>
          <w14:textFill>
            <w14:solidFill>
              <w14:schemeClr w14:val="tx1"/>
            </w14:solidFill>
          </w14:textFill>
        </w:rPr>
        <w:t>mg/L、S</w:t>
      </w:r>
      <w:r>
        <w:rPr>
          <w:b w:val="0"/>
          <w:bCs/>
          <w:color w:val="000000" w:themeColor="text1"/>
          <w14:textFill>
            <w14:solidFill>
              <w14:schemeClr w14:val="tx1"/>
            </w14:solidFill>
          </w14:textFill>
        </w:rPr>
        <w:t>S</w:t>
      </w:r>
      <w:r>
        <w:rPr>
          <w:rFonts w:hint="eastAsia"/>
          <w:b w:val="0"/>
          <w:bCs/>
          <w:color w:val="000000" w:themeColor="text1"/>
          <w14:textFill>
            <w14:solidFill>
              <w14:schemeClr w14:val="tx1"/>
            </w14:solidFill>
          </w14:textFill>
        </w:rPr>
        <w:t xml:space="preserve"> 10mg/L、总磷</w:t>
      </w:r>
      <w:r>
        <w:rPr>
          <w:rFonts w:hint="eastAsia"/>
          <w:b w:val="0"/>
          <w:bCs/>
          <w:color w:val="000000" w:themeColor="text1"/>
          <w:lang w:val="en-US" w:eastAsia="zh-CN"/>
          <w14:textFill>
            <w14:solidFill>
              <w14:schemeClr w14:val="tx1"/>
            </w14:solidFill>
          </w14:textFill>
        </w:rPr>
        <w:t>0.3</w:t>
      </w:r>
      <w:r>
        <w:rPr>
          <w:rFonts w:hint="eastAsia"/>
          <w:b w:val="0"/>
          <w:bCs/>
          <w:color w:val="000000" w:themeColor="text1"/>
          <w14:textFill>
            <w14:solidFill>
              <w14:schemeClr w14:val="tx1"/>
            </w14:solidFill>
          </w14:textFill>
        </w:rPr>
        <w:t>mg/L、TN 15mg/L</w:t>
      </w:r>
      <w:r>
        <w:rPr>
          <w:rFonts w:hint="eastAsia"/>
          <w:b w:val="0"/>
          <w:bCs/>
          <w:color w:val="000000" w:themeColor="text1"/>
          <w:lang w:eastAsia="zh-CN"/>
          <w14:textFill>
            <w14:solidFill>
              <w14:schemeClr w14:val="tx1"/>
            </w14:solidFill>
          </w14:textFill>
        </w:rPr>
        <w:t>、</w:t>
      </w:r>
      <w:r>
        <w:rPr>
          <w:rFonts w:hint="eastAsia"/>
          <w:b w:val="0"/>
          <w:bCs/>
          <w:color w:val="000000" w:themeColor="text1"/>
          <w:lang w:val="en-US" w:eastAsia="zh-CN"/>
          <w14:textFill>
            <w14:solidFill>
              <w14:schemeClr w14:val="tx1"/>
            </w14:solidFill>
          </w14:textFill>
        </w:rPr>
        <w:t>石油类1.0</w:t>
      </w:r>
      <w:r>
        <w:rPr>
          <w:rFonts w:hint="eastAsia"/>
          <w:b w:val="0"/>
          <w:bCs/>
          <w:color w:val="000000" w:themeColor="text1"/>
          <w14:textFill>
            <w14:solidFill>
              <w14:schemeClr w14:val="tx1"/>
            </w14:solidFill>
          </w14:textFill>
        </w:rPr>
        <w:t>mg/L。</w:t>
      </w:r>
      <w:bookmarkStart w:id="642" w:name="_Toc311812656"/>
      <w:bookmarkStart w:id="643" w:name="_Toc324839583"/>
      <w:bookmarkStart w:id="644" w:name="_Toc324839286"/>
    </w:p>
    <w:p w14:paraId="29443DF0">
      <w:pPr>
        <w:pStyle w:val="5"/>
        <w:ind w:left="360" w:leftChars="150"/>
      </w:pPr>
      <w:r>
        <w:rPr>
          <w:rFonts w:hint="eastAsia"/>
        </w:rPr>
        <w:t>7.1.3.1</w:t>
      </w:r>
      <w:r>
        <w:t>项目新增废水进入</w:t>
      </w:r>
      <w:r>
        <w:rPr>
          <w:rFonts w:hint="eastAsia"/>
        </w:rPr>
        <w:t>污水处理厂</w:t>
      </w:r>
      <w:r>
        <w:t>可行性分析</w:t>
      </w:r>
    </w:p>
    <w:p w14:paraId="782DB72A">
      <w:pPr>
        <w:ind w:firstLine="480"/>
        <w:rPr>
          <w:rFonts w:hint="eastAsia" w:eastAsia="宋体"/>
          <w:lang w:eastAsia="zh-CN"/>
        </w:rPr>
      </w:pPr>
      <w:r>
        <w:t>新乡市获嘉县同盟污水处理厂</w:t>
      </w:r>
      <w:r>
        <w:rPr>
          <w:szCs w:val="24"/>
        </w:rPr>
        <w:t>位于获嘉县城东4km、彦当桥北450m处，采用奥贝尔氧化沟处理工艺，主要处理新月铁路以北的县城生活商业污水和获嘉县产业集聚区东区工业废水，收水范围约11.28km</w:t>
      </w:r>
      <w:r>
        <w:rPr>
          <w:szCs w:val="24"/>
          <w:vertAlign w:val="superscript"/>
        </w:rPr>
        <w:t>2</w:t>
      </w:r>
      <w:r>
        <w:rPr>
          <w:szCs w:val="24"/>
        </w:rPr>
        <w:t>，建设规模</w:t>
      </w:r>
      <w:r>
        <w:rPr>
          <w:rFonts w:hint="eastAsia"/>
          <w:szCs w:val="24"/>
          <w:lang w:val="en-US" w:eastAsia="zh-CN"/>
        </w:rPr>
        <w:t>6</w:t>
      </w:r>
      <w:r>
        <w:rPr>
          <w:szCs w:val="24"/>
        </w:rPr>
        <w:t>万</w:t>
      </w:r>
      <w:r>
        <w:t>m</w:t>
      </w:r>
      <w:r>
        <w:rPr>
          <w:vertAlign w:val="superscript"/>
        </w:rPr>
        <w:t>3</w:t>
      </w:r>
      <w:r>
        <w:t>/d。</w:t>
      </w:r>
      <w:r>
        <w:rPr>
          <w:rFonts w:hint="eastAsia"/>
          <w:lang w:val="en-US" w:eastAsia="zh-CN"/>
        </w:rPr>
        <w:t>本项目位于获嘉县产业集聚区东区，</w:t>
      </w:r>
      <w:r>
        <w:rPr>
          <w:rFonts w:hint="eastAsia"/>
        </w:rPr>
        <w:t>属于获嘉县同盟污水处理厂的收水范围</w:t>
      </w:r>
      <w:r>
        <w:rPr>
          <w:rFonts w:hint="eastAsia"/>
          <w:lang w:eastAsia="zh-CN"/>
        </w:rPr>
        <w:t>。</w:t>
      </w:r>
    </w:p>
    <w:p w14:paraId="4BB84915">
      <w:pPr>
        <w:pStyle w:val="72"/>
        <w:rPr>
          <w:szCs w:val="24"/>
        </w:rPr>
      </w:pPr>
      <w:r>
        <w:rPr>
          <w:rFonts w:hint="eastAsia"/>
          <w:color w:val="000000"/>
          <w:lang w:val="en-US" w:eastAsia="zh-CN"/>
        </w:rPr>
        <w:t>根据调查，目前获嘉县同盟污水处理厂2024年实际运行负荷最大为每月1705248.</w:t>
      </w: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3</w:t>
      </w:r>
      <w:r>
        <w:rPr>
          <w:rFonts w:hint="eastAsia"/>
          <w:color w:val="000000"/>
          <w:lang w:val="en-US" w:eastAsia="zh-CN"/>
        </w:rPr>
        <w:t>（55008.016</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 xml:space="preserve"> /d</w:t>
      </w:r>
      <w:r>
        <w:rPr>
          <w:rFonts w:hint="eastAsia"/>
          <w:color w:val="000000"/>
          <w:lang w:val="en-US" w:eastAsia="zh-CN"/>
        </w:rPr>
        <w:t>），尚有</w:t>
      </w:r>
      <w:r>
        <w:rPr>
          <w:rFonts w:hint="eastAsia"/>
          <w:color w:val="000000" w:themeColor="text1"/>
          <w:lang w:val="en-US" w:eastAsia="zh-CN"/>
          <w14:textFill>
            <w14:solidFill>
              <w14:schemeClr w14:val="tx1"/>
            </w14:solidFill>
          </w14:textFill>
        </w:rPr>
        <w:t>4991.084</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/d</w:t>
      </w:r>
      <w:r>
        <w:rPr>
          <w:rFonts w:hint="eastAsia"/>
          <w:color w:val="000000"/>
          <w:lang w:val="en-US" w:eastAsia="zh-CN"/>
        </w:rPr>
        <w:t>的余量。本项目建成后全厂废水排放量为176.615</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/d</w:t>
      </w:r>
      <w:r>
        <w:rPr>
          <w:rFonts w:hint="eastAsia"/>
          <w:color w:val="000000"/>
          <w:lang w:val="en-US" w:eastAsia="zh-CN"/>
        </w:rPr>
        <w:t>，占污水处理厂剩余处理量的</w:t>
      </w:r>
      <w:r>
        <w:rPr>
          <w:rFonts w:hint="eastAsia"/>
          <w:color w:val="000000" w:themeColor="text1"/>
          <w:lang w:val="en-US" w:eastAsia="zh-CN"/>
          <w14:textFill>
            <w14:solidFill>
              <w14:schemeClr w14:val="tx1"/>
            </w14:solidFill>
          </w14:textFill>
        </w:rPr>
        <w:t>3.54</w:t>
      </w:r>
      <w:r>
        <w:rPr>
          <w:rFonts w:hint="default"/>
          <w:color w:val="000000" w:themeColor="text1"/>
          <w:lang w:val="en-US" w:eastAsia="zh-CN"/>
          <w14:textFill>
            <w14:solidFill>
              <w14:schemeClr w14:val="tx1"/>
            </w14:solidFill>
          </w14:textFill>
        </w:rPr>
        <w:t>%</w:t>
      </w:r>
      <w:r>
        <w:rPr>
          <w:rFonts w:hint="eastAsia"/>
          <w:color w:val="000000"/>
          <w:lang w:val="en-US" w:eastAsia="zh-CN"/>
        </w:rPr>
        <w:t>，</w:t>
      </w:r>
      <w:r>
        <w:rPr>
          <w:rFonts w:hint="eastAsia"/>
        </w:rPr>
        <w:t>因此水量接管可行</w:t>
      </w:r>
      <w:r>
        <w:rPr>
          <w:rFonts w:hint="eastAsia"/>
          <w:lang w:eastAsia="zh-CN"/>
        </w:rPr>
        <w:t>，</w:t>
      </w:r>
      <w:r>
        <w:rPr>
          <w:rFonts w:hint="eastAsia"/>
          <w:szCs w:val="24"/>
        </w:rPr>
        <w:t>不会对</w:t>
      </w:r>
      <w:r>
        <w:rPr>
          <w:rFonts w:hint="eastAsia"/>
          <w:szCs w:val="24"/>
          <w:lang w:val="en-US" w:eastAsia="zh-CN"/>
        </w:rPr>
        <w:t>获嘉县同盟</w:t>
      </w:r>
      <w:r>
        <w:rPr>
          <w:rFonts w:hint="eastAsia"/>
          <w:szCs w:val="24"/>
        </w:rPr>
        <w:t>污水处理厂产生冲击。</w:t>
      </w:r>
    </w:p>
    <w:p w14:paraId="0122B8A0">
      <w:pPr>
        <w:pStyle w:val="72"/>
        <w:rPr>
          <w:b/>
          <w:bCs/>
          <w:u w:val="single"/>
        </w:rPr>
      </w:pPr>
      <w:r>
        <w:rPr>
          <w:rFonts w:hint="eastAsia"/>
          <w:szCs w:val="24"/>
        </w:rPr>
        <w:t>因此，评价认为本项目废水经厂内污水处理站处理后本项目排入</w:t>
      </w:r>
      <w:r>
        <w:rPr>
          <w:rFonts w:hint="eastAsia"/>
          <w:szCs w:val="24"/>
          <w:lang w:val="en-US" w:eastAsia="zh-CN"/>
        </w:rPr>
        <w:t>获嘉县同盟污水处理厂</w:t>
      </w:r>
      <w:r>
        <w:rPr>
          <w:rFonts w:hint="eastAsia"/>
          <w:szCs w:val="24"/>
        </w:rPr>
        <w:t>的方案可行</w:t>
      </w:r>
      <w:r>
        <w:rPr>
          <w:szCs w:val="24"/>
        </w:rPr>
        <w:t>。</w:t>
      </w:r>
    </w:p>
    <w:bookmarkEnd w:id="642"/>
    <w:bookmarkEnd w:id="643"/>
    <w:bookmarkEnd w:id="644"/>
    <w:p w14:paraId="2C117D6F">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45" w:name="_Toc17349"/>
      <w:bookmarkStart w:id="646" w:name="_Toc16131"/>
      <w:bookmarkStart w:id="647" w:name="_Toc51319877"/>
      <w:bookmarkStart w:id="648" w:name="_Toc254159699"/>
      <w:bookmarkStart w:id="649" w:name="_Toc257900141"/>
      <w:bookmarkStart w:id="650" w:name="_Toc51319879"/>
      <w:bookmarkStart w:id="651" w:name="_Toc267150068"/>
      <w:bookmarkStart w:id="652" w:name="_Toc312998137"/>
      <w:r>
        <w:rPr>
          <w:rFonts w:hint="eastAsia"/>
          <w:lang w:val="en-US" w:eastAsia="zh-CN"/>
        </w:rPr>
        <w:t>7.2废气污染防治措施可行性分析</w:t>
      </w:r>
      <w:bookmarkEnd w:id="645"/>
      <w:bookmarkEnd w:id="646"/>
      <w:bookmarkEnd w:id="647"/>
    </w:p>
    <w:p w14:paraId="3605E4B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53" w:name="_Toc108122597"/>
      <w:r>
        <w:rPr>
          <w:rFonts w:hint="eastAsia" w:cs="Times New Roman"/>
          <w:lang w:val="en-US" w:eastAsia="zh-CN"/>
        </w:rPr>
        <w:t>7.2.1有组织废气</w:t>
      </w:r>
      <w:bookmarkEnd w:id="653"/>
    </w:p>
    <w:p w14:paraId="1B241A36">
      <w:pPr>
        <w:ind w:firstLine="480"/>
      </w:pPr>
      <w:r>
        <w:rPr>
          <w:rFonts w:hint="eastAsia"/>
        </w:rPr>
        <w:t>本项目</w:t>
      </w:r>
      <w:r>
        <w:t>的废气产生</w:t>
      </w:r>
      <w:r>
        <w:rPr>
          <w:rFonts w:hint="eastAsia"/>
        </w:rPr>
        <w:t>环节、污染因子情况及拟建措施情况见下表。</w:t>
      </w:r>
    </w:p>
    <w:p w14:paraId="530E3D9E">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表7</w:t>
      </w:r>
      <w:r>
        <w:rPr>
          <w:rFonts w:hint="eastAsia"/>
          <w:lang w:val="en-US" w:eastAsia="zh-CN"/>
        </w:rPr>
        <w:t>.1</w:t>
      </w:r>
      <w:r>
        <w:rPr>
          <w:rFonts w:hint="eastAsia"/>
        </w:rPr>
        <w:t>-</w:t>
      </w:r>
      <w:r>
        <w:rPr>
          <w:rFonts w:hint="eastAsia"/>
          <w:lang w:val="en-US" w:eastAsia="zh-CN"/>
        </w:rPr>
        <w:t>5</w:t>
      </w:r>
      <w:r>
        <w:rPr>
          <w:rFonts w:hint="eastAsia"/>
        </w:rPr>
        <w:t xml:space="preserve">     废气产生情况及治理措施情况一览表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1609"/>
        <w:gridCol w:w="2490"/>
        <w:gridCol w:w="1785"/>
        <w:gridCol w:w="1833"/>
      </w:tblGrid>
      <w:tr w14:paraId="7B5DC5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476" w:type="pct"/>
            <w:vAlign w:val="center"/>
          </w:tcPr>
          <w:p w14:paraId="6751778F">
            <w:pPr>
              <w:pStyle w:val="81"/>
              <w:rPr>
                <w:color w:val="auto"/>
              </w:rPr>
            </w:pPr>
            <w:r>
              <w:rPr>
                <w:rFonts w:hint="eastAsia"/>
                <w:color w:val="auto"/>
              </w:rPr>
              <w:t>项目</w:t>
            </w:r>
          </w:p>
        </w:tc>
        <w:tc>
          <w:tcPr>
            <w:tcW w:w="943" w:type="pct"/>
            <w:vAlign w:val="center"/>
          </w:tcPr>
          <w:p w14:paraId="3B64A75B">
            <w:pPr>
              <w:pStyle w:val="81"/>
              <w:rPr>
                <w:color w:val="auto"/>
              </w:rPr>
            </w:pPr>
            <w:r>
              <w:rPr>
                <w:rFonts w:hint="eastAsia"/>
                <w:color w:val="auto"/>
              </w:rPr>
              <w:t>产污环节</w:t>
            </w:r>
          </w:p>
        </w:tc>
        <w:tc>
          <w:tcPr>
            <w:tcW w:w="1459" w:type="pct"/>
            <w:vAlign w:val="center"/>
          </w:tcPr>
          <w:p w14:paraId="1F751D69">
            <w:pPr>
              <w:pStyle w:val="81"/>
              <w:rPr>
                <w:color w:val="auto"/>
              </w:rPr>
            </w:pPr>
            <w:r>
              <w:rPr>
                <w:rFonts w:hint="eastAsia"/>
                <w:color w:val="auto"/>
              </w:rPr>
              <w:t>主要污染因子</w:t>
            </w:r>
          </w:p>
        </w:tc>
        <w:tc>
          <w:tcPr>
            <w:tcW w:w="2120" w:type="pct"/>
            <w:gridSpan w:val="2"/>
            <w:vAlign w:val="center"/>
          </w:tcPr>
          <w:p w14:paraId="6AF60654">
            <w:pPr>
              <w:pStyle w:val="81"/>
              <w:rPr>
                <w:color w:val="auto"/>
              </w:rPr>
            </w:pPr>
            <w:r>
              <w:rPr>
                <w:rFonts w:hint="eastAsia"/>
                <w:color w:val="auto"/>
              </w:rPr>
              <w:t>治理措施</w:t>
            </w:r>
          </w:p>
        </w:tc>
      </w:tr>
      <w:tr w14:paraId="5C370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6" w:type="pct"/>
            <w:vMerge w:val="restart"/>
            <w:vAlign w:val="center"/>
          </w:tcPr>
          <w:p w14:paraId="5778D6C7">
            <w:pPr>
              <w:pStyle w:val="75"/>
              <w:rPr>
                <w:kern w:val="2"/>
              </w:rPr>
            </w:pPr>
            <w:r>
              <w:rPr>
                <w:rFonts w:hint="eastAsia"/>
                <w:kern w:val="2"/>
              </w:rPr>
              <w:t>废气</w:t>
            </w:r>
          </w:p>
        </w:tc>
        <w:tc>
          <w:tcPr>
            <w:tcW w:w="943" w:type="pct"/>
            <w:vAlign w:val="center"/>
          </w:tcPr>
          <w:p w14:paraId="51D483C2">
            <w:pPr>
              <w:pStyle w:val="75"/>
              <w:ind w:firstLine="0" w:firstLineChars="0"/>
            </w:pPr>
            <w:r>
              <w:rPr>
                <w:rFonts w:hint="eastAsia"/>
                <w:lang w:val="en-US" w:eastAsia="zh-CN"/>
              </w:rPr>
              <w:t>酸洗</w:t>
            </w:r>
            <w:r>
              <w:rPr>
                <w:rFonts w:hint="eastAsia"/>
              </w:rPr>
              <w:t>活化</w:t>
            </w:r>
          </w:p>
        </w:tc>
        <w:tc>
          <w:tcPr>
            <w:tcW w:w="1459" w:type="pct"/>
            <w:vAlign w:val="center"/>
          </w:tcPr>
          <w:p w14:paraId="60CF7FCB">
            <w:pPr>
              <w:pStyle w:val="75"/>
              <w:ind w:firstLine="0" w:firstLineChars="0"/>
            </w:pPr>
            <w:r>
              <w:rPr>
                <w:rFonts w:hint="eastAsia"/>
              </w:rPr>
              <w:t>硫酸雾</w:t>
            </w:r>
          </w:p>
        </w:tc>
        <w:tc>
          <w:tcPr>
            <w:tcW w:w="1046" w:type="pct"/>
            <w:vMerge w:val="restart"/>
            <w:vAlign w:val="center"/>
          </w:tcPr>
          <w:p w14:paraId="795739EE">
            <w:pPr>
              <w:pStyle w:val="75"/>
              <w:jc w:val="left"/>
            </w:pPr>
            <w:r>
              <w:rPr>
                <w:rFonts w:hint="eastAsia"/>
                <w:kern w:val="2"/>
              </w:rPr>
              <w:t>封闭生产线</w:t>
            </w:r>
            <w:r>
              <w:rPr>
                <w:kern w:val="2"/>
              </w:rPr>
              <w:t>+</w:t>
            </w:r>
            <w:r>
              <w:rPr>
                <w:rFonts w:hint="eastAsia"/>
                <w:kern w:val="2"/>
              </w:rPr>
              <w:t>整体密闭抽风+槽边抽风收集</w:t>
            </w:r>
          </w:p>
        </w:tc>
        <w:tc>
          <w:tcPr>
            <w:tcW w:w="1074" w:type="pct"/>
            <w:vMerge w:val="restart"/>
            <w:vAlign w:val="center"/>
          </w:tcPr>
          <w:p w14:paraId="1366722E">
            <w:pPr>
              <w:pStyle w:val="75"/>
            </w:pPr>
            <w:r>
              <w:rPr>
                <w:rFonts w:hint="eastAsia"/>
                <w:kern w:val="2"/>
              </w:rPr>
              <w:t>两级碱喷淋吸收塔</w:t>
            </w:r>
            <w:r>
              <w:rPr>
                <w:kern w:val="2"/>
              </w:rPr>
              <w:t>+</w:t>
            </w:r>
            <w:r>
              <w:rPr>
                <w:rFonts w:hint="eastAsia"/>
              </w:rPr>
              <w:t>15m高</w:t>
            </w:r>
            <w:r>
              <w:rPr>
                <w:rFonts w:hint="eastAsia"/>
                <w:kern w:val="2"/>
              </w:rPr>
              <w:t>排气筒</w:t>
            </w:r>
          </w:p>
        </w:tc>
      </w:tr>
      <w:tr w14:paraId="2E1B3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6" w:type="pct"/>
            <w:vMerge w:val="continue"/>
            <w:vAlign w:val="center"/>
          </w:tcPr>
          <w:p w14:paraId="45925AA7">
            <w:pPr>
              <w:pStyle w:val="75"/>
              <w:rPr>
                <w:kern w:val="2"/>
              </w:rPr>
            </w:pPr>
          </w:p>
        </w:tc>
        <w:tc>
          <w:tcPr>
            <w:tcW w:w="943" w:type="pct"/>
            <w:vAlign w:val="center"/>
          </w:tcPr>
          <w:p w14:paraId="1AAC907D">
            <w:pPr>
              <w:pStyle w:val="75"/>
              <w:ind w:firstLine="0" w:firstLineChars="0"/>
            </w:pPr>
            <w:r>
              <w:rPr>
                <w:rFonts w:hint="eastAsia"/>
                <w:bCs/>
              </w:rPr>
              <w:t>钝化</w:t>
            </w:r>
          </w:p>
        </w:tc>
        <w:tc>
          <w:tcPr>
            <w:tcW w:w="1459" w:type="pct"/>
            <w:vAlign w:val="center"/>
          </w:tcPr>
          <w:p w14:paraId="692FBA63">
            <w:pPr>
              <w:pStyle w:val="75"/>
              <w:ind w:firstLine="0" w:firstLineChars="0"/>
            </w:pPr>
            <w:r>
              <w:rPr>
                <w:rFonts w:hint="eastAsia"/>
                <w:bCs/>
              </w:rPr>
              <w:t>铬酸雾</w:t>
            </w:r>
          </w:p>
        </w:tc>
        <w:tc>
          <w:tcPr>
            <w:tcW w:w="1046" w:type="pct"/>
            <w:vMerge w:val="continue"/>
            <w:vAlign w:val="center"/>
          </w:tcPr>
          <w:p w14:paraId="2C919BA7">
            <w:pPr>
              <w:pStyle w:val="75"/>
              <w:rPr>
                <w:kern w:val="2"/>
              </w:rPr>
            </w:pPr>
          </w:p>
        </w:tc>
        <w:tc>
          <w:tcPr>
            <w:tcW w:w="1074" w:type="pct"/>
            <w:vMerge w:val="continue"/>
            <w:vAlign w:val="center"/>
          </w:tcPr>
          <w:p w14:paraId="670E63E5">
            <w:pPr>
              <w:pStyle w:val="75"/>
              <w:rPr>
                <w:kern w:val="2"/>
              </w:rPr>
            </w:pPr>
          </w:p>
        </w:tc>
      </w:tr>
      <w:tr w14:paraId="7917CF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6" w:type="pct"/>
            <w:vMerge w:val="continue"/>
            <w:vAlign w:val="center"/>
          </w:tcPr>
          <w:p w14:paraId="02467D52">
            <w:pPr>
              <w:widowControl/>
              <w:adjustRightInd/>
              <w:snapToGrid/>
              <w:spacing w:line="240" w:lineRule="auto"/>
              <w:ind w:firstLine="0" w:firstLineChars="0"/>
              <w:jc w:val="center"/>
              <w:rPr>
                <w:kern w:val="2"/>
                <w:sz w:val="21"/>
                <w:szCs w:val="21"/>
              </w:rPr>
            </w:pPr>
          </w:p>
        </w:tc>
        <w:tc>
          <w:tcPr>
            <w:tcW w:w="943" w:type="pct"/>
            <w:vAlign w:val="center"/>
          </w:tcPr>
          <w:p w14:paraId="65426510">
            <w:pPr>
              <w:pStyle w:val="75"/>
            </w:pPr>
            <w:r>
              <w:rPr>
                <w:rFonts w:hint="eastAsia"/>
              </w:rPr>
              <w:t>槽液调配间</w:t>
            </w:r>
          </w:p>
        </w:tc>
        <w:tc>
          <w:tcPr>
            <w:tcW w:w="1459" w:type="pct"/>
            <w:vAlign w:val="center"/>
          </w:tcPr>
          <w:p w14:paraId="3F2C1272">
            <w:pPr>
              <w:pStyle w:val="75"/>
            </w:pPr>
            <w:r>
              <w:rPr>
                <w:rFonts w:hint="eastAsia"/>
              </w:rPr>
              <w:t>硫酸雾</w:t>
            </w:r>
          </w:p>
        </w:tc>
        <w:tc>
          <w:tcPr>
            <w:tcW w:w="1046" w:type="pct"/>
            <w:vAlign w:val="center"/>
          </w:tcPr>
          <w:p w14:paraId="6F064516">
            <w:pPr>
              <w:pStyle w:val="75"/>
              <w:rPr>
                <w:kern w:val="2"/>
              </w:rPr>
            </w:pPr>
            <w:r>
              <w:rPr>
                <w:rFonts w:hint="eastAsia"/>
                <w:kern w:val="2"/>
              </w:rPr>
              <w:t>密闭负压收集</w:t>
            </w:r>
          </w:p>
        </w:tc>
        <w:tc>
          <w:tcPr>
            <w:tcW w:w="1074" w:type="pct"/>
            <w:vMerge w:val="continue"/>
            <w:vAlign w:val="center"/>
          </w:tcPr>
          <w:p w14:paraId="18CC8505">
            <w:pPr>
              <w:pStyle w:val="75"/>
              <w:rPr>
                <w:kern w:val="2"/>
              </w:rPr>
            </w:pPr>
          </w:p>
        </w:tc>
      </w:tr>
      <w:tr w14:paraId="6EDBB6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6" w:type="pct"/>
            <w:vMerge w:val="continue"/>
            <w:vAlign w:val="center"/>
          </w:tcPr>
          <w:p w14:paraId="49845267">
            <w:pPr>
              <w:widowControl/>
              <w:adjustRightInd/>
              <w:snapToGrid/>
              <w:spacing w:line="240" w:lineRule="auto"/>
              <w:ind w:firstLine="0" w:firstLineChars="0"/>
              <w:jc w:val="center"/>
              <w:rPr>
                <w:kern w:val="2"/>
                <w:sz w:val="21"/>
                <w:szCs w:val="21"/>
              </w:rPr>
            </w:pPr>
          </w:p>
        </w:tc>
        <w:tc>
          <w:tcPr>
            <w:tcW w:w="943" w:type="pct"/>
            <w:vAlign w:val="center"/>
          </w:tcPr>
          <w:p w14:paraId="745A2430">
            <w:pPr>
              <w:pStyle w:val="75"/>
            </w:pPr>
            <w:r>
              <w:rPr>
                <w:rFonts w:hint="eastAsia"/>
              </w:rPr>
              <w:t>危废贮存库</w:t>
            </w:r>
          </w:p>
        </w:tc>
        <w:tc>
          <w:tcPr>
            <w:tcW w:w="1459" w:type="pct"/>
            <w:vAlign w:val="center"/>
          </w:tcPr>
          <w:p w14:paraId="412B3F6C">
            <w:pPr>
              <w:pStyle w:val="75"/>
            </w:pPr>
            <w:r>
              <w:rPr>
                <w:rFonts w:hint="eastAsia"/>
              </w:rPr>
              <w:t>硫酸雾</w:t>
            </w:r>
          </w:p>
        </w:tc>
        <w:tc>
          <w:tcPr>
            <w:tcW w:w="1046" w:type="pct"/>
            <w:vAlign w:val="center"/>
          </w:tcPr>
          <w:p w14:paraId="332CE0FC">
            <w:pPr>
              <w:pStyle w:val="75"/>
              <w:rPr>
                <w:kern w:val="2"/>
              </w:rPr>
            </w:pPr>
            <w:r>
              <w:rPr>
                <w:rFonts w:hint="eastAsia"/>
                <w:kern w:val="2"/>
              </w:rPr>
              <w:t>密闭负压收集</w:t>
            </w:r>
          </w:p>
        </w:tc>
        <w:tc>
          <w:tcPr>
            <w:tcW w:w="1074" w:type="pct"/>
            <w:vMerge w:val="continue"/>
            <w:vAlign w:val="center"/>
          </w:tcPr>
          <w:p w14:paraId="5BBFF9B7">
            <w:pPr>
              <w:pStyle w:val="75"/>
              <w:rPr>
                <w:kern w:val="2"/>
              </w:rPr>
            </w:pPr>
          </w:p>
        </w:tc>
      </w:tr>
      <w:tr w14:paraId="33102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rPr>
        <w:tc>
          <w:tcPr>
            <w:tcW w:w="476" w:type="pct"/>
            <w:vMerge w:val="continue"/>
            <w:vAlign w:val="center"/>
          </w:tcPr>
          <w:p w14:paraId="1B7FEA68">
            <w:pPr>
              <w:widowControl/>
              <w:adjustRightInd/>
              <w:snapToGrid/>
              <w:spacing w:line="240" w:lineRule="auto"/>
              <w:ind w:firstLine="0" w:firstLineChars="0"/>
              <w:jc w:val="center"/>
              <w:rPr>
                <w:kern w:val="2"/>
                <w:sz w:val="21"/>
                <w:szCs w:val="21"/>
              </w:rPr>
            </w:pPr>
          </w:p>
        </w:tc>
        <w:tc>
          <w:tcPr>
            <w:tcW w:w="943" w:type="pct"/>
            <w:shd w:val="clear" w:color="auto" w:fill="auto"/>
            <w:vAlign w:val="center"/>
          </w:tcPr>
          <w:p w14:paraId="15505261">
            <w:pPr>
              <w:pStyle w:val="75"/>
              <w:ind w:firstLine="0" w:firstLineChars="0"/>
              <w:rPr>
                <w:rFonts w:hint="default" w:ascii="Times New Roman" w:hAnsi="Times New Roman" w:eastAsia="宋体" w:cs="Times New Roman"/>
                <w:sz w:val="21"/>
                <w:szCs w:val="21"/>
                <w:lang w:val="en-US" w:eastAsia="zh-CN" w:bidi="ar-SA"/>
              </w:rPr>
            </w:pPr>
            <w:r>
              <w:rPr>
                <w:rFonts w:hint="eastAsia"/>
              </w:rPr>
              <w:t>污水处理站</w:t>
            </w:r>
          </w:p>
        </w:tc>
        <w:tc>
          <w:tcPr>
            <w:tcW w:w="1459" w:type="pct"/>
            <w:shd w:val="clear" w:color="auto" w:fill="auto"/>
            <w:vAlign w:val="center"/>
          </w:tcPr>
          <w:p w14:paraId="4575085D">
            <w:pPr>
              <w:pStyle w:val="75"/>
              <w:ind w:firstLine="0" w:firstLineChars="0"/>
              <w:rPr>
                <w:rFonts w:ascii="Times New Roman" w:hAnsi="Times New Roman" w:eastAsia="宋体" w:cs="Times New Roman"/>
                <w:sz w:val="21"/>
                <w:szCs w:val="21"/>
                <w:lang w:val="en-US" w:eastAsia="zh-CN" w:bidi="ar-SA"/>
              </w:rPr>
            </w:pPr>
            <w:r>
              <w:rPr>
                <w:rFonts w:hint="eastAsia"/>
                <w:bCs/>
              </w:rPr>
              <w:t>臭气浓度、H</w:t>
            </w:r>
            <w:r>
              <w:rPr>
                <w:rFonts w:hint="eastAsia"/>
                <w:bCs/>
                <w:vertAlign w:val="subscript"/>
              </w:rPr>
              <w:t>2</w:t>
            </w:r>
            <w:r>
              <w:rPr>
                <w:rFonts w:hint="eastAsia"/>
                <w:bCs/>
              </w:rPr>
              <w:t>S、NH</w:t>
            </w:r>
            <w:r>
              <w:rPr>
                <w:rFonts w:hint="eastAsia"/>
                <w:bCs/>
                <w:vertAlign w:val="subscript"/>
              </w:rPr>
              <w:t>3</w:t>
            </w:r>
          </w:p>
        </w:tc>
        <w:tc>
          <w:tcPr>
            <w:tcW w:w="1046" w:type="pct"/>
            <w:shd w:val="clear" w:color="auto" w:fill="auto"/>
            <w:vAlign w:val="center"/>
          </w:tcPr>
          <w:p w14:paraId="35CEA94F">
            <w:pPr>
              <w:pStyle w:val="75"/>
              <w:ind w:firstLine="0" w:firstLineChars="0"/>
              <w:rPr>
                <w:rFonts w:ascii="Times New Roman" w:hAnsi="Times New Roman" w:eastAsia="宋体" w:cs="Times New Roman"/>
                <w:kern w:val="2"/>
                <w:sz w:val="21"/>
                <w:szCs w:val="21"/>
                <w:lang w:val="en-US" w:eastAsia="zh-CN" w:bidi="ar-SA"/>
              </w:rPr>
            </w:pPr>
            <w:r>
              <w:rPr>
                <w:rFonts w:hint="eastAsia"/>
                <w:kern w:val="2"/>
              </w:rPr>
              <w:t>加盖密闭收集</w:t>
            </w:r>
          </w:p>
        </w:tc>
        <w:tc>
          <w:tcPr>
            <w:tcW w:w="1074" w:type="pct"/>
            <w:shd w:val="clear" w:color="auto" w:fill="auto"/>
            <w:vAlign w:val="center"/>
          </w:tcPr>
          <w:p w14:paraId="3E8CFF46">
            <w:pPr>
              <w:pStyle w:val="75"/>
              <w:ind w:firstLine="0" w:firstLineChars="0"/>
              <w:rPr>
                <w:rFonts w:hint="eastAsia" w:ascii="Times New Roman" w:hAnsi="Times New Roman" w:eastAsia="宋体" w:cs="Times New Roman"/>
                <w:kern w:val="2"/>
                <w:sz w:val="21"/>
                <w:szCs w:val="21"/>
                <w:lang w:val="en-US" w:eastAsia="zh-CN" w:bidi="ar-SA"/>
              </w:rPr>
            </w:pPr>
            <w:r>
              <w:rPr>
                <w:rFonts w:hint="eastAsia"/>
                <w:kern w:val="2"/>
              </w:rPr>
              <w:t>生物除臭滤塔+</w:t>
            </w:r>
            <w:r>
              <w:rPr>
                <w:rFonts w:hint="eastAsia"/>
              </w:rPr>
              <w:t>15m高</w:t>
            </w:r>
            <w:r>
              <w:rPr>
                <w:rFonts w:hint="eastAsia"/>
                <w:kern w:val="2"/>
              </w:rPr>
              <w:t>排气筒</w:t>
            </w:r>
          </w:p>
        </w:tc>
      </w:tr>
    </w:tbl>
    <w:p w14:paraId="54006A62">
      <w:pPr>
        <w:spacing w:line="500" w:lineRule="exact"/>
        <w:ind w:firstLine="482"/>
        <w:rPr>
          <w:b/>
          <w:bCs/>
        </w:rPr>
      </w:pPr>
      <w:r>
        <w:rPr>
          <w:rFonts w:hint="eastAsia"/>
          <w:b/>
          <w:bCs/>
        </w:rPr>
        <w:t>1、电镀生产线废气</w:t>
      </w:r>
    </w:p>
    <w:p w14:paraId="1FC6EEB8">
      <w:pPr>
        <w:spacing w:line="500" w:lineRule="exact"/>
        <w:ind w:firstLine="480"/>
        <w:rPr>
          <w:rFonts w:ascii="宋体" w:hAnsi="宋体"/>
        </w:rPr>
      </w:pPr>
      <w:r>
        <w:pict>
          <v:shape id="_x0000_s1029" o:spid="_x0000_s1029" o:spt="75" type="#_x0000_t75" style="position:absolute;left:0pt;margin-left:9.65pt;margin-top:142.85pt;height:151pt;width:396.45pt;z-index:251669504;mso-width-relative:page;mso-height-relative:page;" o:ole="t" filled="f" o:preferrelative="t" stroked="f" coordsize="21600,21600">
            <v:path/>
            <v:fill on="f" focussize="0,0"/>
            <v:stroke on="f" joinstyle="miter"/>
            <v:imagedata r:id="rId69" o:title=""/>
            <o:lock v:ext="edit" aspectratio="t"/>
          </v:shape>
          <o:OLEObject Type="Embed" ProgID="Visio.Drawing.11" ShapeID="_x0000_s1029" DrawAspect="Content" ObjectID="_1468075738" r:id="rId68">
            <o:LockedField>false</o:LockedField>
          </o:OLEObject>
        </w:pict>
      </w:r>
      <w:r>
        <w:t>项目产生的废气</w:t>
      </w:r>
      <w:r>
        <w:rPr>
          <w:rFonts w:hint="eastAsia"/>
        </w:rPr>
        <w:t>主要为硫酸雾和铬酸雾，属于酸性废气。本工程针对污染物产生情况，拟采取相应的污染防治措施，以保证污染物达标排放，并最大限度减少污染物排放量。</w:t>
      </w:r>
      <w:r>
        <w:rPr>
          <w:rFonts w:hint="eastAsia" w:ascii="宋体" w:hAnsi="宋体"/>
        </w:rPr>
        <w:t>目前，针对酸性废气的治理技术比较成熟，大部分采用收集系统收集后，采用酸雾净化塔进行处理。该酸雾净化塔中的吸收剂为碱液，通过喷淋与含酸废气进行充分的混合吸收，从而使废气得到净化处理。废气的治理工艺示意图</w:t>
      </w:r>
      <w:r>
        <w:rPr>
          <w:rFonts w:hint="eastAsia"/>
        </w:rPr>
        <w:t>见下图。</w:t>
      </w:r>
    </w:p>
    <w:p w14:paraId="2DC0DA4B">
      <w:pPr>
        <w:pStyle w:val="78"/>
        <w:ind w:firstLine="480"/>
      </w:pPr>
    </w:p>
    <w:p w14:paraId="053C56F6">
      <w:pPr>
        <w:pStyle w:val="78"/>
        <w:ind w:firstLine="480"/>
      </w:pPr>
    </w:p>
    <w:p w14:paraId="59A3DCC9">
      <w:pPr>
        <w:pStyle w:val="78"/>
        <w:ind w:firstLine="480"/>
      </w:pPr>
    </w:p>
    <w:p w14:paraId="5B7988E6">
      <w:pPr>
        <w:pStyle w:val="78"/>
        <w:ind w:firstLine="480"/>
      </w:pPr>
    </w:p>
    <w:p w14:paraId="09C67416">
      <w:pPr>
        <w:pStyle w:val="78"/>
        <w:ind w:firstLine="480"/>
      </w:pPr>
    </w:p>
    <w:p w14:paraId="0AB0D61E">
      <w:pPr>
        <w:pStyle w:val="78"/>
        <w:ind w:firstLine="480"/>
      </w:pPr>
    </w:p>
    <w:p w14:paraId="1141091B">
      <w:pPr>
        <w:pStyle w:val="78"/>
        <w:ind w:firstLine="480"/>
      </w:pPr>
    </w:p>
    <w:p w14:paraId="35305FB1">
      <w:pPr>
        <w:pStyle w:val="78"/>
        <w:ind w:firstLine="480"/>
      </w:pPr>
    </w:p>
    <w:p w14:paraId="26B2DC4F">
      <w:pPr>
        <w:pStyle w:val="78"/>
        <w:ind w:firstLine="480"/>
      </w:pPr>
    </w:p>
    <w:p w14:paraId="6B51E6DC">
      <w:pPr>
        <w:pStyle w:val="78"/>
        <w:jc w:val="both"/>
      </w:pPr>
    </w:p>
    <w:p w14:paraId="5A8333BB">
      <w:pPr>
        <w:pStyle w:val="78"/>
        <w:jc w:val="both"/>
      </w:pPr>
    </w:p>
    <w:p w14:paraId="76646785">
      <w:pPr>
        <w:pStyle w:val="78"/>
        <w:rPr>
          <w:rFonts w:ascii="黑体" w:eastAsia="黑体"/>
        </w:rPr>
      </w:pPr>
      <w:r>
        <w:rPr>
          <w:rFonts w:hint="eastAsia"/>
        </w:rPr>
        <w:t>图7</w:t>
      </w:r>
      <w:r>
        <w:rPr>
          <w:rFonts w:hint="eastAsia"/>
          <w:lang w:val="en-US" w:eastAsia="zh-CN"/>
        </w:rPr>
        <w:t>.1</w:t>
      </w:r>
      <w:r>
        <w:rPr>
          <w:rFonts w:hint="eastAsia"/>
        </w:rPr>
        <w:t>-</w:t>
      </w:r>
      <w:r>
        <w:rPr>
          <w:rFonts w:hint="eastAsia"/>
          <w:lang w:val="en-US" w:eastAsia="zh-CN"/>
        </w:rPr>
        <w:t>4</w:t>
      </w:r>
      <w:r>
        <w:rPr>
          <w:rFonts w:hint="eastAsia"/>
        </w:rPr>
        <w:t xml:space="preserve">  </w:t>
      </w:r>
      <w:r>
        <w:t xml:space="preserve">  </w:t>
      </w:r>
      <w:r>
        <w:rPr>
          <w:rFonts w:hint="eastAsia"/>
        </w:rPr>
        <w:t>工程含酸废气治理工艺示意图</w:t>
      </w:r>
    </w:p>
    <w:p w14:paraId="04E44A50">
      <w:pPr>
        <w:ind w:firstLine="480"/>
      </w:pPr>
      <w:r>
        <w:rPr>
          <w:rFonts w:hint="eastAsia" w:ascii="宋体" w:hAnsi="宋体"/>
        </w:rPr>
        <w:t>该酸雾净化设备的工作原理为：生产线槽边配有抽风系统，通过引风机使</w:t>
      </w:r>
      <w:r>
        <w:rPr>
          <w:rFonts w:ascii="Verdana" w:hAnsi="Verdana" w:cs="宋体"/>
        </w:rPr>
        <w:t>酸性气体从塔体下方进气口沿切向进入酸雾净化设备，在通风机的动力作用下，迅速充满进气段空间，然后均匀地通过均流段上升到第一级填料吸收段。在填料的表面上，气相中酸性物质与液相中</w:t>
      </w:r>
      <w:r>
        <w:rPr>
          <w:rFonts w:hint="eastAsia" w:ascii="Verdana" w:hAnsi="Verdana" w:cs="宋体"/>
        </w:rPr>
        <w:t>的碱液充分吸收</w:t>
      </w:r>
      <w:r>
        <w:rPr>
          <w:rFonts w:ascii="Verdana" w:hAnsi="Verdana" w:cs="宋体"/>
        </w:rPr>
        <w:t>，吸收液流入下部贮液槽。未完全吸收的酸性气体继续上升进入第一级喷淋段。在喷淋段中</w:t>
      </w:r>
      <w:r>
        <w:rPr>
          <w:rFonts w:hint="eastAsia" w:ascii="Verdana" w:hAnsi="Verdana" w:cs="宋体"/>
        </w:rPr>
        <w:t>清水</w:t>
      </w:r>
      <w:r>
        <w:rPr>
          <w:rFonts w:ascii="Verdana" w:hAnsi="Verdana" w:cs="宋体"/>
        </w:rPr>
        <w:t>从均</w:t>
      </w:r>
      <w:r>
        <w:rPr>
          <w:rFonts w:hint="eastAsia" w:ascii="Verdana" w:hAnsi="Verdana" w:cs="宋体"/>
        </w:rPr>
        <w:t>匀分</w:t>
      </w:r>
      <w:r>
        <w:rPr>
          <w:rFonts w:ascii="Verdana" w:hAnsi="Verdana" w:cs="宋体"/>
        </w:rPr>
        <w:t>布的喷嘴高速喷出，形成无数细小雾滴，与气体充分混合接触，继续</w:t>
      </w:r>
      <w:r>
        <w:rPr>
          <w:rFonts w:hint="eastAsia" w:ascii="Verdana" w:hAnsi="Verdana" w:cs="宋体"/>
        </w:rPr>
        <w:t>充分吸收</w:t>
      </w:r>
      <w:r>
        <w:rPr>
          <w:rFonts w:ascii="Verdana" w:hAnsi="Verdana" w:cs="宋体"/>
        </w:rPr>
        <w:t>，然后酸性气体上升到二级填料段、喷淋段进行与第一级类似的吸收过程。第二级与第一级喷嘴密度不同，喷液压力不同，吸收酸性气</w:t>
      </w:r>
      <w:r>
        <w:t>体浓度范围也有所不同。在喷淋段及填料段两相接触的过程也是传热与传质的过程。通过控制塔</w:t>
      </w:r>
      <w:r>
        <w:rPr>
          <w:rFonts w:hint="eastAsia"/>
        </w:rPr>
        <w:t>内</w:t>
      </w:r>
      <w:r>
        <w:t>流速与滞留时间保证这一过程的充分与稳定。塔体的最上部是除雾段，气体中所夹的吸收液雾滴在这里被清除下来，经过处理后的洁净空气从净化塔上端</w:t>
      </w:r>
      <w:r>
        <w:rPr>
          <w:rFonts w:hint="eastAsia"/>
        </w:rPr>
        <w:t>通过15m高</w:t>
      </w:r>
      <w:r>
        <w:t>排气</w:t>
      </w:r>
      <w:r>
        <w:rPr>
          <w:rFonts w:hint="eastAsia"/>
        </w:rPr>
        <w:t>筒</w:t>
      </w:r>
      <w:r>
        <w:t>排入大气。</w:t>
      </w:r>
    </w:p>
    <w:p w14:paraId="7117F953">
      <w:pPr>
        <w:ind w:firstLine="480"/>
      </w:pPr>
      <w:r>
        <w:rPr>
          <w:rFonts w:hint="eastAsia"/>
        </w:rPr>
        <w:t>根据《排污许可证申请与核发技术规范  电镀工业》（HJ855-2017），电镀生产线酸碱废气治理的可行技术有：“喷淋塔中和工艺”、“喷淋塔凝聚回收工艺”、“其他”。本项目电镀生产线废气采用“碱喷淋吸收塔”进行处理，属于可行技术，符合要求。</w:t>
      </w:r>
    </w:p>
    <w:p w14:paraId="45038F3E">
      <w:pPr>
        <w:pStyle w:val="72"/>
        <w:rPr>
          <w:b/>
        </w:rPr>
      </w:pPr>
      <w:r>
        <w:rPr>
          <w:rFonts w:hint="eastAsia"/>
        </w:rPr>
        <w:t>本项目电池钢壳生产线废气经两级碱喷淋吸收塔（</w:t>
      </w:r>
      <w:r>
        <w:rPr>
          <w:rFonts w:hint="eastAsia"/>
          <w:lang w:val="en-US" w:eastAsia="zh-CN"/>
        </w:rPr>
        <w:t>TA001</w:t>
      </w:r>
      <w:r>
        <w:rPr>
          <w:rFonts w:hint="eastAsia"/>
        </w:rPr>
        <w:t>）处理，处理后尾气经15m高排气筒DA001排放；</w:t>
      </w:r>
      <w:r>
        <w:rPr>
          <w:rFonts w:hint="eastAsia"/>
          <w:lang w:val="en-US" w:eastAsia="zh-CN"/>
        </w:rPr>
        <w:t>盖帽</w:t>
      </w:r>
      <w:r>
        <w:rPr>
          <w:rFonts w:hint="eastAsia"/>
        </w:rPr>
        <w:t>生产线废气经两级碱喷淋吸收塔（</w:t>
      </w:r>
      <w:r>
        <w:rPr>
          <w:rFonts w:hint="eastAsia"/>
          <w:lang w:val="en-US" w:eastAsia="zh-CN"/>
        </w:rPr>
        <w:t>TA002</w:t>
      </w:r>
      <w:r>
        <w:rPr>
          <w:rFonts w:hint="eastAsia"/>
        </w:rPr>
        <w:t>）处理，处理后尾气经15m高排气筒DA002排放；电池连接件生产线废气经两级碱喷淋吸收塔（</w:t>
      </w:r>
      <w:r>
        <w:rPr>
          <w:rFonts w:hint="eastAsia"/>
          <w:lang w:val="en-US" w:eastAsia="zh-CN"/>
        </w:rPr>
        <w:t>TA003</w:t>
      </w:r>
      <w:r>
        <w:rPr>
          <w:rFonts w:hint="eastAsia"/>
        </w:rPr>
        <w:t>）处理，处理后尾气经15m高排气筒DA003排放。硫酸雾去除效率可达到90%。排气筒DA001的硫酸雾排放浓度为</w:t>
      </w:r>
      <w:r>
        <w:rPr>
          <w:rFonts w:hint="eastAsia"/>
          <w:lang w:val="en-US" w:eastAsia="zh-CN"/>
        </w:rPr>
        <w:t>0.76</w:t>
      </w:r>
      <w:r>
        <w:rPr>
          <w:rFonts w:hint="eastAsia"/>
        </w:rPr>
        <w:t>mg/m</w:t>
      </w:r>
      <w:r>
        <w:rPr>
          <w:rFonts w:hint="eastAsia"/>
          <w:vertAlign w:val="superscript"/>
        </w:rPr>
        <w:t>3</w:t>
      </w:r>
      <w:r>
        <w:rPr>
          <w:rFonts w:hint="eastAsia"/>
        </w:rPr>
        <w:t>；排气筒DA002的硫酸雾排放浓度为</w:t>
      </w:r>
      <w:r>
        <w:rPr>
          <w:rFonts w:hint="eastAsia"/>
          <w:lang w:val="en-US" w:eastAsia="zh-CN"/>
        </w:rPr>
        <w:t>1.09</w:t>
      </w:r>
      <w:r>
        <w:rPr>
          <w:rFonts w:hint="eastAsia"/>
        </w:rPr>
        <w:t>mg/m</w:t>
      </w:r>
      <w:r>
        <w:rPr>
          <w:rFonts w:hint="eastAsia"/>
          <w:vertAlign w:val="superscript"/>
        </w:rPr>
        <w:t>3</w:t>
      </w:r>
      <w:r>
        <w:rPr>
          <w:rFonts w:hint="eastAsia"/>
        </w:rPr>
        <w:t>；排气筒DA003的硫酸雾排放浓度为</w:t>
      </w:r>
      <w:r>
        <w:rPr>
          <w:rFonts w:hint="eastAsia"/>
          <w:lang w:val="en-US" w:eastAsia="zh-CN"/>
        </w:rPr>
        <w:t>1.37</w:t>
      </w:r>
      <w:r>
        <w:rPr>
          <w:rFonts w:hint="eastAsia"/>
        </w:rPr>
        <w:t>mg/m</w:t>
      </w:r>
      <w:r>
        <w:rPr>
          <w:rFonts w:hint="eastAsia"/>
          <w:vertAlign w:val="superscript"/>
        </w:rPr>
        <w:t>3</w:t>
      </w:r>
      <w:r>
        <w:rPr>
          <w:rFonts w:hint="eastAsia"/>
        </w:rPr>
        <w:t>，均可以满足《电镀污染物排放标准》（GB21900-2008）表5新建企业大气污染物硫酸雾30mg/m</w:t>
      </w:r>
      <w:r>
        <w:rPr>
          <w:rFonts w:hint="eastAsia"/>
          <w:vertAlign w:val="superscript"/>
        </w:rPr>
        <w:t>3</w:t>
      </w:r>
      <w:r>
        <w:rPr>
          <w:rFonts w:hint="eastAsia"/>
        </w:rPr>
        <w:t>的排放限值；同时满足《河南省重污染天气重点行业应急减排措施制定技术指南（</w:t>
      </w:r>
      <w:r>
        <w:rPr>
          <w:rFonts w:hint="eastAsia"/>
          <w:lang w:val="en-US" w:eastAsia="zh-CN"/>
        </w:rPr>
        <w:t>2024年修订版</w:t>
      </w:r>
      <w:r>
        <w:rPr>
          <w:rFonts w:hint="eastAsia"/>
        </w:rPr>
        <w:t>》中对电镀生产线硫酸雾排放浓度不超过10mg/m</w:t>
      </w:r>
      <w:r>
        <w:rPr>
          <w:rFonts w:hint="eastAsia"/>
          <w:vertAlign w:val="superscript"/>
        </w:rPr>
        <w:t>3</w:t>
      </w:r>
      <w:r>
        <w:rPr>
          <w:rFonts w:hint="eastAsia"/>
        </w:rPr>
        <w:t>的要求。</w:t>
      </w:r>
    </w:p>
    <w:p w14:paraId="5BF6E903">
      <w:pPr>
        <w:pStyle w:val="24"/>
        <w:spacing w:line="520" w:lineRule="exact"/>
        <w:ind w:firstLine="480" w:firstLineChars="200"/>
        <w:rPr>
          <w:rFonts w:ascii="Times New Roman" w:hAnsi="Times New Roman" w:cs="宋体"/>
          <w:sz w:val="24"/>
          <w:szCs w:val="20"/>
        </w:rPr>
      </w:pPr>
      <w:r>
        <w:rPr>
          <w:rFonts w:ascii="Times New Roman" w:hAnsi="Times New Roman" w:cs="宋体"/>
          <w:sz w:val="24"/>
          <w:szCs w:val="20"/>
        </w:rPr>
        <w:t>为最大程度降低</w:t>
      </w:r>
      <w:r>
        <w:rPr>
          <w:rFonts w:hint="eastAsia" w:ascii="Times New Roman" w:hAnsi="Times New Roman" w:cs="宋体"/>
          <w:sz w:val="24"/>
          <w:szCs w:val="20"/>
        </w:rPr>
        <w:t>各种</w:t>
      </w:r>
      <w:r>
        <w:rPr>
          <w:rFonts w:ascii="Times New Roman" w:hAnsi="Times New Roman" w:cs="宋体"/>
          <w:sz w:val="24"/>
          <w:szCs w:val="20"/>
        </w:rPr>
        <w:t>酸雾对周边环境的影响，</w:t>
      </w:r>
      <w:r>
        <w:rPr>
          <w:rFonts w:hint="eastAsia" w:ascii="Times New Roman" w:hAnsi="Times New Roman" w:cs="宋体"/>
          <w:sz w:val="24"/>
          <w:szCs w:val="20"/>
        </w:rPr>
        <w:t>评价</w:t>
      </w:r>
      <w:r>
        <w:rPr>
          <w:rFonts w:ascii="Times New Roman" w:hAnsi="Times New Roman" w:cs="宋体"/>
          <w:sz w:val="24"/>
          <w:szCs w:val="20"/>
        </w:rPr>
        <w:t>提出，各电镀生产线均应二次封闭</w:t>
      </w:r>
      <w:r>
        <w:rPr>
          <w:rFonts w:hint="eastAsia" w:ascii="Times New Roman" w:hAnsi="Times New Roman" w:cs="宋体"/>
          <w:sz w:val="24"/>
          <w:szCs w:val="20"/>
        </w:rPr>
        <w:t>并设置顶部抽风设施</w:t>
      </w:r>
      <w:r>
        <w:rPr>
          <w:rFonts w:ascii="Times New Roman" w:hAnsi="Times New Roman" w:cs="宋体"/>
          <w:sz w:val="24"/>
          <w:szCs w:val="20"/>
        </w:rPr>
        <w:t>，</w:t>
      </w:r>
      <w:r>
        <w:rPr>
          <w:rFonts w:hint="eastAsia" w:ascii="Times New Roman" w:hAnsi="Times New Roman" w:cs="宋体"/>
          <w:sz w:val="24"/>
          <w:szCs w:val="20"/>
        </w:rPr>
        <w:t>同时</w:t>
      </w:r>
      <w:r>
        <w:rPr>
          <w:rFonts w:ascii="Times New Roman" w:hAnsi="Times New Roman" w:cs="宋体"/>
          <w:sz w:val="24"/>
          <w:szCs w:val="20"/>
        </w:rPr>
        <w:t>在酸洗槽</w:t>
      </w:r>
      <w:r>
        <w:rPr>
          <w:rFonts w:hint="eastAsia" w:ascii="Times New Roman" w:hAnsi="Times New Roman" w:cs="宋体"/>
          <w:sz w:val="24"/>
          <w:szCs w:val="20"/>
        </w:rPr>
        <w:t>、活化槽</w:t>
      </w:r>
      <w:r>
        <w:rPr>
          <w:rFonts w:ascii="Times New Roman" w:hAnsi="Times New Roman" w:cs="宋体"/>
          <w:sz w:val="24"/>
          <w:szCs w:val="20"/>
        </w:rPr>
        <w:t>及钝化槽设置</w:t>
      </w:r>
      <w:r>
        <w:rPr>
          <w:rFonts w:hint="eastAsia" w:ascii="Times New Roman" w:hAnsi="Times New Roman" w:cs="宋体"/>
          <w:sz w:val="24"/>
          <w:szCs w:val="20"/>
        </w:rPr>
        <w:t>槽边抽风装置</w:t>
      </w:r>
      <w:r>
        <w:rPr>
          <w:rFonts w:ascii="Times New Roman" w:hAnsi="Times New Roman" w:cs="宋体"/>
          <w:sz w:val="24"/>
          <w:szCs w:val="20"/>
        </w:rPr>
        <w:t>，</w:t>
      </w:r>
      <w:r>
        <w:rPr>
          <w:rFonts w:hint="eastAsia" w:ascii="Times New Roman" w:hAnsi="Times New Roman" w:cs="宋体"/>
          <w:sz w:val="24"/>
          <w:szCs w:val="20"/>
        </w:rPr>
        <w:t>整条生产线进行密闭抽风，</w:t>
      </w:r>
      <w:r>
        <w:rPr>
          <w:rFonts w:ascii="Times New Roman" w:hAnsi="Times New Roman" w:cs="宋体"/>
          <w:sz w:val="24"/>
          <w:szCs w:val="20"/>
        </w:rPr>
        <w:t>将收集的酸性废气送</w:t>
      </w:r>
      <w:r>
        <w:rPr>
          <w:rFonts w:hint="eastAsia" w:ascii="Times New Roman" w:hAnsi="Times New Roman" w:cs="宋体"/>
          <w:sz w:val="24"/>
          <w:szCs w:val="20"/>
        </w:rPr>
        <w:t>两</w:t>
      </w:r>
      <w:r>
        <w:rPr>
          <w:rFonts w:ascii="Times New Roman" w:hAnsi="Times New Roman" w:cs="宋体"/>
          <w:sz w:val="24"/>
          <w:szCs w:val="20"/>
        </w:rPr>
        <w:t>级酸雾吸收塔进行处理，尾气经15m排气筒有组织排放。酸雾吸收塔应采用pH计控制，实现自动加药，药液液位自动控制。</w:t>
      </w:r>
    </w:p>
    <w:p w14:paraId="48540ADB">
      <w:pPr>
        <w:pStyle w:val="24"/>
        <w:spacing w:line="520" w:lineRule="exact"/>
        <w:ind w:firstLine="482" w:firstLineChars="200"/>
        <w:rPr>
          <w:rFonts w:ascii="Times New Roman" w:hAnsi="Times New Roman" w:cs="宋体"/>
          <w:b/>
          <w:bCs/>
          <w:sz w:val="24"/>
          <w:szCs w:val="20"/>
        </w:rPr>
      </w:pPr>
      <w:r>
        <w:rPr>
          <w:rFonts w:hint="eastAsia" w:ascii="Times New Roman" w:hAnsi="Times New Roman" w:cs="宋体"/>
          <w:b/>
          <w:bCs/>
          <w:sz w:val="24"/>
          <w:szCs w:val="20"/>
          <w:lang w:val="en-US" w:eastAsia="zh-CN"/>
        </w:rPr>
        <w:t>2</w:t>
      </w:r>
      <w:r>
        <w:rPr>
          <w:rFonts w:hint="eastAsia" w:ascii="Times New Roman" w:hAnsi="Times New Roman" w:cs="宋体"/>
          <w:b/>
          <w:bCs/>
          <w:sz w:val="24"/>
          <w:szCs w:val="20"/>
        </w:rPr>
        <w:t>、污水处理站废气</w:t>
      </w:r>
    </w:p>
    <w:p w14:paraId="5B31400F">
      <w:pPr>
        <w:pStyle w:val="24"/>
        <w:spacing w:line="520" w:lineRule="exact"/>
        <w:ind w:firstLine="480" w:firstLineChars="200"/>
        <w:rPr>
          <w:rFonts w:ascii="Times New Roman" w:hAnsi="Times New Roman" w:cs="宋体"/>
          <w:sz w:val="24"/>
          <w:szCs w:val="20"/>
        </w:rPr>
      </w:pPr>
      <w:r>
        <w:rPr>
          <w:rFonts w:hint="eastAsia" w:ascii="Times New Roman" w:hAnsi="Times New Roman" w:cs="宋体"/>
          <w:sz w:val="24"/>
          <w:szCs w:val="20"/>
        </w:rPr>
        <w:t>本项目污水处理站废气主要为臭气浓度、H</w:t>
      </w:r>
      <w:r>
        <w:rPr>
          <w:rFonts w:hint="eastAsia" w:ascii="Times New Roman" w:hAnsi="Times New Roman" w:cs="宋体"/>
          <w:sz w:val="24"/>
          <w:szCs w:val="20"/>
          <w:vertAlign w:val="subscript"/>
        </w:rPr>
        <w:t>2</w:t>
      </w:r>
      <w:r>
        <w:rPr>
          <w:rFonts w:hint="eastAsia" w:ascii="Times New Roman" w:hAnsi="Times New Roman" w:cs="宋体"/>
          <w:sz w:val="24"/>
          <w:szCs w:val="20"/>
        </w:rPr>
        <w:t>S、NH</w:t>
      </w:r>
      <w:r>
        <w:rPr>
          <w:rFonts w:hint="eastAsia" w:ascii="Times New Roman" w:hAnsi="Times New Roman" w:cs="宋体"/>
          <w:sz w:val="24"/>
          <w:szCs w:val="20"/>
          <w:vertAlign w:val="subscript"/>
        </w:rPr>
        <w:t>3</w:t>
      </w:r>
      <w:r>
        <w:rPr>
          <w:rFonts w:hint="eastAsia" w:ascii="Times New Roman" w:hAnsi="Times New Roman" w:cs="宋体"/>
          <w:sz w:val="24"/>
          <w:szCs w:val="20"/>
        </w:rPr>
        <w:t>，根据《排污许可证申请与核发技术规范  铁路、船舶、航空航天和其他运输设备制造业》（HJ1124-2020），针对废水生化处理设施及污泥间恶臭处理方法主要有碱液吸收和生物降解等，本项目选用生物除臭滤塔进行处理。</w:t>
      </w:r>
    </w:p>
    <w:p w14:paraId="3DBC0E4E">
      <w:pPr>
        <w:pStyle w:val="24"/>
        <w:spacing w:line="520" w:lineRule="exact"/>
        <w:ind w:firstLine="480" w:firstLineChars="200"/>
        <w:rPr>
          <w:rFonts w:ascii="Times New Roman" w:hAnsi="Times New Roman" w:cs="宋体"/>
          <w:sz w:val="24"/>
          <w:szCs w:val="20"/>
        </w:rPr>
      </w:pPr>
      <w:r>
        <w:rPr>
          <w:rFonts w:hint="eastAsia" w:ascii="Times New Roman" w:hAnsi="Times New Roman" w:cs="宋体"/>
          <w:sz w:val="24"/>
          <w:szCs w:val="20"/>
        </w:rPr>
        <w:t>污水处理站调节池、混凝沉淀池和水解酸化池等产臭单元进行密闭，负压收集的方式进行收集，废气引入生物除臭滤塔进行处理，尾气经15m排气筒D</w:t>
      </w:r>
      <w:r>
        <w:rPr>
          <w:rFonts w:ascii="Times New Roman" w:hAnsi="Times New Roman" w:cs="宋体"/>
          <w:sz w:val="24"/>
          <w:szCs w:val="20"/>
        </w:rPr>
        <w:t>A</w:t>
      </w:r>
      <w:r>
        <w:rPr>
          <w:rFonts w:hint="eastAsia" w:ascii="Times New Roman" w:hAnsi="Times New Roman" w:cs="宋体"/>
          <w:sz w:val="24"/>
          <w:szCs w:val="20"/>
        </w:rPr>
        <w:t>00</w:t>
      </w:r>
      <w:r>
        <w:rPr>
          <w:rFonts w:hint="eastAsia" w:ascii="Times New Roman" w:hAnsi="Times New Roman" w:cs="宋体"/>
          <w:sz w:val="24"/>
          <w:szCs w:val="20"/>
          <w:lang w:val="en-US" w:eastAsia="zh-CN"/>
        </w:rPr>
        <w:t>4</w:t>
      </w:r>
      <w:r>
        <w:rPr>
          <w:rFonts w:hint="eastAsia" w:ascii="Times New Roman" w:hAnsi="Times New Roman" w:cs="宋体"/>
          <w:sz w:val="24"/>
          <w:szCs w:val="20"/>
        </w:rPr>
        <w:t>有组织排放。H</w:t>
      </w:r>
      <w:r>
        <w:rPr>
          <w:rFonts w:hint="eastAsia" w:ascii="Times New Roman" w:hAnsi="Times New Roman" w:cs="宋体"/>
          <w:sz w:val="24"/>
          <w:szCs w:val="20"/>
          <w:vertAlign w:val="subscript"/>
        </w:rPr>
        <w:t>2</w:t>
      </w:r>
      <w:r>
        <w:rPr>
          <w:rFonts w:hint="eastAsia" w:ascii="Times New Roman" w:hAnsi="Times New Roman" w:cs="宋体"/>
          <w:sz w:val="24"/>
          <w:szCs w:val="20"/>
        </w:rPr>
        <w:t>S、NH</w:t>
      </w:r>
      <w:r>
        <w:rPr>
          <w:rFonts w:hint="eastAsia" w:ascii="Times New Roman" w:hAnsi="Times New Roman" w:cs="宋体"/>
          <w:sz w:val="24"/>
          <w:szCs w:val="20"/>
          <w:vertAlign w:val="subscript"/>
        </w:rPr>
        <w:t>3</w:t>
      </w:r>
      <w:r>
        <w:rPr>
          <w:rFonts w:ascii="Times New Roman" w:hAnsi="Times New Roman" w:cs="Times New Roman"/>
          <w:sz w:val="24"/>
          <w:szCs w:val="24"/>
        </w:rPr>
        <w:t>去除效率可达到</w:t>
      </w:r>
      <w:r>
        <w:rPr>
          <w:rFonts w:hint="eastAsia" w:ascii="Times New Roman" w:hAnsi="Times New Roman" w:cs="Times New Roman"/>
          <w:sz w:val="24"/>
          <w:szCs w:val="24"/>
        </w:rPr>
        <w:t>90</w:t>
      </w:r>
      <w:r>
        <w:rPr>
          <w:rFonts w:ascii="Times New Roman" w:hAnsi="Times New Roman" w:cs="Times New Roman"/>
          <w:sz w:val="24"/>
          <w:szCs w:val="24"/>
        </w:rPr>
        <w:t>%，排气筒DA00</w:t>
      </w:r>
      <w:r>
        <w:rPr>
          <w:rFonts w:hint="eastAsia" w:ascii="Times New Roman" w:hAnsi="Times New Roman" w:cs="Times New Roman"/>
          <w:sz w:val="24"/>
          <w:szCs w:val="24"/>
          <w:lang w:val="en-US" w:eastAsia="zh-CN"/>
        </w:rPr>
        <w:t>4</w:t>
      </w:r>
      <w:r>
        <w:rPr>
          <w:rFonts w:ascii="Times New Roman" w:hAnsi="Times New Roman" w:cs="Times New Roman"/>
          <w:sz w:val="24"/>
          <w:szCs w:val="24"/>
        </w:rPr>
        <w:t>的</w:t>
      </w:r>
      <w:r>
        <w:rPr>
          <w:rFonts w:hint="eastAsia" w:ascii="Times New Roman" w:hAnsi="Times New Roman" w:cs="宋体"/>
          <w:sz w:val="24"/>
          <w:szCs w:val="20"/>
        </w:rPr>
        <w:t>H</w:t>
      </w:r>
      <w:r>
        <w:rPr>
          <w:rFonts w:hint="eastAsia" w:ascii="Times New Roman" w:hAnsi="Times New Roman" w:cs="宋体"/>
          <w:sz w:val="24"/>
          <w:szCs w:val="20"/>
          <w:vertAlign w:val="subscript"/>
        </w:rPr>
        <w:t>2</w:t>
      </w:r>
      <w:r>
        <w:rPr>
          <w:rFonts w:hint="eastAsia" w:ascii="Times New Roman" w:hAnsi="Times New Roman" w:cs="宋体"/>
          <w:sz w:val="24"/>
          <w:szCs w:val="20"/>
        </w:rPr>
        <w:t>S</w:t>
      </w:r>
      <w:r>
        <w:rPr>
          <w:rFonts w:ascii="Times New Roman" w:hAnsi="Times New Roman" w:cs="Times New Roman"/>
          <w:sz w:val="24"/>
          <w:szCs w:val="24"/>
        </w:rPr>
        <w:t>排放</w:t>
      </w:r>
      <w:r>
        <w:rPr>
          <w:rFonts w:hint="eastAsia" w:ascii="Times New Roman" w:hAnsi="Times New Roman" w:cs="Times New Roman"/>
          <w:sz w:val="24"/>
          <w:szCs w:val="24"/>
        </w:rPr>
        <w:t>速率</w:t>
      </w:r>
      <w:r>
        <w:rPr>
          <w:rFonts w:ascii="Times New Roman" w:hAnsi="Times New Roman" w:cs="Times New Roman"/>
          <w:sz w:val="24"/>
          <w:szCs w:val="24"/>
        </w:rPr>
        <w:t>为</w:t>
      </w:r>
      <w:r>
        <w:rPr>
          <w:rFonts w:hint="eastAsia" w:ascii="Times New Roman" w:hAnsi="Times New Roman" w:cs="Times New Roman"/>
          <w:sz w:val="24"/>
          <w:szCs w:val="24"/>
        </w:rPr>
        <w:t>0.001</w:t>
      </w:r>
      <w:r>
        <w:rPr>
          <w:rFonts w:hint="eastAsia" w:ascii="Times New Roman" w:hAnsi="Times New Roman" w:cs="宋体"/>
          <w:sz w:val="24"/>
          <w:szCs w:val="20"/>
        </w:rPr>
        <w:t>kg/h</w:t>
      </w:r>
      <w:r>
        <w:rPr>
          <w:rFonts w:ascii="Times New Roman" w:hAnsi="Times New Roman" w:cs="Times New Roman"/>
          <w:sz w:val="24"/>
          <w:szCs w:val="24"/>
        </w:rPr>
        <w:t>、</w:t>
      </w:r>
      <w:r>
        <w:rPr>
          <w:rFonts w:hint="eastAsia" w:ascii="Times New Roman" w:hAnsi="Times New Roman" w:cs="宋体"/>
          <w:sz w:val="24"/>
          <w:szCs w:val="20"/>
        </w:rPr>
        <w:t>NH</w:t>
      </w:r>
      <w:r>
        <w:rPr>
          <w:rFonts w:hint="eastAsia" w:ascii="Times New Roman" w:hAnsi="Times New Roman" w:cs="宋体"/>
          <w:sz w:val="24"/>
          <w:szCs w:val="20"/>
          <w:vertAlign w:val="subscript"/>
        </w:rPr>
        <w:t>3</w:t>
      </w:r>
      <w:r>
        <w:rPr>
          <w:rFonts w:ascii="Times New Roman" w:hAnsi="Times New Roman" w:cs="Times New Roman"/>
          <w:sz w:val="24"/>
          <w:szCs w:val="24"/>
        </w:rPr>
        <w:t>排放</w:t>
      </w:r>
      <w:r>
        <w:rPr>
          <w:rFonts w:hint="eastAsia" w:ascii="Times New Roman" w:hAnsi="Times New Roman" w:cs="Times New Roman"/>
          <w:sz w:val="24"/>
          <w:szCs w:val="24"/>
        </w:rPr>
        <w:t>速率</w:t>
      </w:r>
      <w:r>
        <w:rPr>
          <w:rFonts w:ascii="Times New Roman" w:hAnsi="Times New Roman" w:cs="Times New Roman"/>
          <w:sz w:val="24"/>
          <w:szCs w:val="24"/>
        </w:rPr>
        <w:t>为</w:t>
      </w:r>
      <w:r>
        <w:rPr>
          <w:rFonts w:hint="eastAsia" w:ascii="Times New Roman" w:hAnsi="Times New Roman" w:cs="Times New Roman"/>
          <w:sz w:val="24"/>
          <w:szCs w:val="24"/>
        </w:rPr>
        <w:t>0.0005</w:t>
      </w:r>
      <w:r>
        <w:rPr>
          <w:rFonts w:hint="eastAsia" w:ascii="Times New Roman" w:hAnsi="Times New Roman" w:cs="宋体"/>
          <w:sz w:val="24"/>
          <w:szCs w:val="20"/>
        </w:rPr>
        <w:t>kg/h</w:t>
      </w:r>
      <w:r>
        <w:rPr>
          <w:rFonts w:hint="eastAsia" w:ascii="Times New Roman" w:hAnsi="Times New Roman" w:cs="Times New Roman"/>
          <w:sz w:val="24"/>
          <w:szCs w:val="24"/>
        </w:rPr>
        <w:t>，</w:t>
      </w:r>
      <w:r>
        <w:rPr>
          <w:rFonts w:hint="eastAsia" w:ascii="Times New Roman" w:hAnsi="Times New Roman" w:cs="宋体"/>
          <w:sz w:val="24"/>
          <w:szCs w:val="20"/>
        </w:rPr>
        <w:t>废气排放均可满足《恶臭污染物排放标准》（GB14554-93）表2恶臭污染物排放标准值：硫化氢0.33kg/h、氨4.9kg/h、臭气浓度2000（无量纲）的限值要求。</w:t>
      </w:r>
    </w:p>
    <w:p w14:paraId="349B0F7F">
      <w:pPr>
        <w:pStyle w:val="24"/>
        <w:spacing w:line="560" w:lineRule="exact"/>
        <w:ind w:firstLine="480" w:firstLineChars="200"/>
      </w:pPr>
      <w:r>
        <w:rPr>
          <w:rFonts w:hint="eastAsia" w:ascii="Times New Roman" w:hAnsi="Times New Roman" w:cs="宋体"/>
          <w:sz w:val="24"/>
          <w:szCs w:val="20"/>
        </w:rPr>
        <w:t>评价认为此措施成熟可靠，治理效果明显，是可行的措施。项目废气产生、排放情况见下表。</w:t>
      </w:r>
    </w:p>
    <w:p w14:paraId="285B1F60">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w:t>
      </w:r>
      <w:r>
        <w:rPr>
          <w:rFonts w:hint="eastAsia"/>
          <w:lang w:val="en-US" w:eastAsia="zh-CN"/>
        </w:rPr>
        <w:t>7.2-1</w:t>
      </w:r>
      <w:r>
        <w:rPr>
          <w:rFonts w:hint="eastAsia"/>
        </w:rPr>
        <w:t xml:space="preserve">     项目废气产生、排放情况一览表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022"/>
        <w:gridCol w:w="1167"/>
        <w:gridCol w:w="1312"/>
        <w:gridCol w:w="1312"/>
        <w:gridCol w:w="1457"/>
        <w:gridCol w:w="1247"/>
      </w:tblGrid>
      <w:tr w14:paraId="1105A8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Merge w:val="restart"/>
            <w:vAlign w:val="center"/>
          </w:tcPr>
          <w:p w14:paraId="53C71AAA">
            <w:pPr>
              <w:pStyle w:val="81"/>
              <w:rPr>
                <w:color w:val="auto"/>
              </w:rPr>
            </w:pPr>
            <w:r>
              <w:rPr>
                <w:rFonts w:hint="eastAsia"/>
                <w:color w:val="auto"/>
              </w:rPr>
              <w:t>废气污染源</w:t>
            </w:r>
          </w:p>
        </w:tc>
        <w:tc>
          <w:tcPr>
            <w:tcW w:w="599" w:type="pct"/>
            <w:vMerge w:val="restart"/>
            <w:vAlign w:val="center"/>
          </w:tcPr>
          <w:p w14:paraId="1856C1B4">
            <w:pPr>
              <w:pStyle w:val="81"/>
              <w:rPr>
                <w:color w:val="auto"/>
              </w:rPr>
            </w:pPr>
            <w:r>
              <w:rPr>
                <w:rFonts w:hint="eastAsia"/>
                <w:color w:val="auto"/>
              </w:rPr>
              <w:t>污染因子</w:t>
            </w:r>
          </w:p>
        </w:tc>
        <w:tc>
          <w:tcPr>
            <w:tcW w:w="684" w:type="pct"/>
            <w:vMerge w:val="restart"/>
            <w:vAlign w:val="center"/>
          </w:tcPr>
          <w:p w14:paraId="5351D6FA">
            <w:pPr>
              <w:pStyle w:val="81"/>
              <w:rPr>
                <w:color w:val="auto"/>
              </w:rPr>
            </w:pPr>
            <w:r>
              <w:rPr>
                <w:rFonts w:hint="eastAsia"/>
                <w:color w:val="auto"/>
              </w:rPr>
              <w:t>排气量</w:t>
            </w:r>
          </w:p>
          <w:p w14:paraId="05B124B1">
            <w:pPr>
              <w:pStyle w:val="81"/>
              <w:rPr>
                <w:color w:val="auto"/>
              </w:rPr>
            </w:pPr>
            <w:r>
              <w:rPr>
                <w:rFonts w:hint="eastAsia"/>
                <w:color w:val="auto"/>
              </w:rPr>
              <w:t>m</w:t>
            </w:r>
            <w:r>
              <w:rPr>
                <w:rFonts w:hint="eastAsia"/>
                <w:color w:val="auto"/>
                <w:vertAlign w:val="superscript"/>
              </w:rPr>
              <w:t>3</w:t>
            </w:r>
            <w:r>
              <w:rPr>
                <w:rFonts w:hint="eastAsia"/>
                <w:color w:val="auto"/>
              </w:rPr>
              <w:t>/h</w:t>
            </w:r>
          </w:p>
        </w:tc>
        <w:tc>
          <w:tcPr>
            <w:tcW w:w="1538" w:type="pct"/>
            <w:gridSpan w:val="2"/>
            <w:vAlign w:val="center"/>
          </w:tcPr>
          <w:p w14:paraId="77D9550B">
            <w:pPr>
              <w:pStyle w:val="81"/>
              <w:rPr>
                <w:color w:val="auto"/>
              </w:rPr>
            </w:pPr>
            <w:r>
              <w:rPr>
                <w:rFonts w:hint="eastAsia"/>
                <w:color w:val="auto"/>
              </w:rPr>
              <w:t>产生情况</w:t>
            </w:r>
          </w:p>
        </w:tc>
        <w:tc>
          <w:tcPr>
            <w:tcW w:w="1585" w:type="pct"/>
            <w:gridSpan w:val="2"/>
            <w:vAlign w:val="center"/>
          </w:tcPr>
          <w:p w14:paraId="67A0706B">
            <w:pPr>
              <w:pStyle w:val="81"/>
              <w:rPr>
                <w:color w:val="auto"/>
              </w:rPr>
            </w:pPr>
            <w:r>
              <w:rPr>
                <w:rFonts w:hint="eastAsia"/>
                <w:color w:val="auto"/>
              </w:rPr>
              <w:t>排放情况</w:t>
            </w:r>
          </w:p>
        </w:tc>
      </w:tr>
      <w:tr w14:paraId="6AD95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Merge w:val="continue"/>
            <w:vAlign w:val="center"/>
          </w:tcPr>
          <w:p w14:paraId="21217C07">
            <w:pPr>
              <w:pStyle w:val="81"/>
              <w:rPr>
                <w:color w:val="auto"/>
              </w:rPr>
            </w:pPr>
          </w:p>
        </w:tc>
        <w:tc>
          <w:tcPr>
            <w:tcW w:w="599" w:type="pct"/>
            <w:vMerge w:val="continue"/>
            <w:vAlign w:val="center"/>
          </w:tcPr>
          <w:p w14:paraId="1C9FE3D9">
            <w:pPr>
              <w:pStyle w:val="81"/>
              <w:rPr>
                <w:color w:val="auto"/>
              </w:rPr>
            </w:pPr>
          </w:p>
        </w:tc>
        <w:tc>
          <w:tcPr>
            <w:tcW w:w="684" w:type="pct"/>
            <w:vMerge w:val="continue"/>
            <w:vAlign w:val="center"/>
          </w:tcPr>
          <w:p w14:paraId="3CF4C45D">
            <w:pPr>
              <w:pStyle w:val="81"/>
              <w:rPr>
                <w:color w:val="auto"/>
              </w:rPr>
            </w:pPr>
          </w:p>
        </w:tc>
        <w:tc>
          <w:tcPr>
            <w:tcW w:w="769" w:type="pct"/>
            <w:vAlign w:val="center"/>
          </w:tcPr>
          <w:p w14:paraId="151DF709">
            <w:pPr>
              <w:pStyle w:val="81"/>
              <w:rPr>
                <w:color w:val="auto"/>
              </w:rPr>
            </w:pPr>
            <w:r>
              <w:rPr>
                <w:rFonts w:hint="eastAsia"/>
                <w:color w:val="auto"/>
              </w:rPr>
              <w:t>浓度</w:t>
            </w:r>
          </w:p>
          <w:p w14:paraId="399AC02E">
            <w:pPr>
              <w:pStyle w:val="81"/>
              <w:rPr>
                <w:color w:val="auto"/>
              </w:rPr>
            </w:pPr>
            <w:r>
              <w:rPr>
                <w:rFonts w:hint="eastAsia"/>
                <w:color w:val="auto"/>
              </w:rPr>
              <w:t>mg/m</w:t>
            </w:r>
            <w:r>
              <w:rPr>
                <w:rFonts w:hint="eastAsia"/>
                <w:color w:val="auto"/>
                <w:vertAlign w:val="superscript"/>
              </w:rPr>
              <w:t>3</w:t>
            </w:r>
          </w:p>
        </w:tc>
        <w:tc>
          <w:tcPr>
            <w:tcW w:w="769" w:type="pct"/>
            <w:vAlign w:val="center"/>
          </w:tcPr>
          <w:p w14:paraId="00CB6920">
            <w:pPr>
              <w:pStyle w:val="81"/>
              <w:rPr>
                <w:color w:val="auto"/>
              </w:rPr>
            </w:pPr>
            <w:r>
              <w:rPr>
                <w:rFonts w:hint="eastAsia"/>
                <w:color w:val="auto"/>
              </w:rPr>
              <w:t>产生量</w:t>
            </w:r>
          </w:p>
          <w:p w14:paraId="168C9DE2">
            <w:pPr>
              <w:pStyle w:val="81"/>
              <w:rPr>
                <w:color w:val="auto"/>
              </w:rPr>
            </w:pPr>
            <w:r>
              <w:rPr>
                <w:rFonts w:hint="eastAsia"/>
                <w:color w:val="auto"/>
              </w:rPr>
              <w:t>t/a</w:t>
            </w:r>
          </w:p>
        </w:tc>
        <w:tc>
          <w:tcPr>
            <w:tcW w:w="854" w:type="pct"/>
            <w:vAlign w:val="center"/>
          </w:tcPr>
          <w:p w14:paraId="2B91B5DB">
            <w:pPr>
              <w:pStyle w:val="81"/>
              <w:rPr>
                <w:color w:val="auto"/>
              </w:rPr>
            </w:pPr>
            <w:r>
              <w:rPr>
                <w:rFonts w:hint="eastAsia"/>
                <w:color w:val="auto"/>
              </w:rPr>
              <w:t>排放浓度</w:t>
            </w:r>
          </w:p>
          <w:p w14:paraId="0FFA4DDE">
            <w:pPr>
              <w:pStyle w:val="81"/>
              <w:rPr>
                <w:color w:val="auto"/>
              </w:rPr>
            </w:pPr>
            <w:r>
              <w:rPr>
                <w:rFonts w:hint="eastAsia"/>
                <w:color w:val="auto"/>
              </w:rPr>
              <w:t>mg/m</w:t>
            </w:r>
            <w:r>
              <w:rPr>
                <w:rFonts w:hint="eastAsia"/>
                <w:color w:val="auto"/>
                <w:vertAlign w:val="superscript"/>
              </w:rPr>
              <w:t>3</w:t>
            </w:r>
          </w:p>
        </w:tc>
        <w:tc>
          <w:tcPr>
            <w:tcW w:w="731" w:type="pct"/>
            <w:vAlign w:val="center"/>
          </w:tcPr>
          <w:p w14:paraId="1089FB6E">
            <w:pPr>
              <w:pStyle w:val="81"/>
              <w:rPr>
                <w:color w:val="auto"/>
              </w:rPr>
            </w:pPr>
            <w:r>
              <w:rPr>
                <w:rFonts w:hint="eastAsia"/>
                <w:color w:val="auto"/>
              </w:rPr>
              <w:t>排放量</w:t>
            </w:r>
          </w:p>
          <w:p w14:paraId="187F6884">
            <w:pPr>
              <w:pStyle w:val="81"/>
              <w:rPr>
                <w:color w:val="auto"/>
              </w:rPr>
            </w:pPr>
            <w:r>
              <w:rPr>
                <w:rFonts w:hint="eastAsia"/>
                <w:color w:val="auto"/>
              </w:rPr>
              <w:t>t/a</w:t>
            </w:r>
          </w:p>
        </w:tc>
      </w:tr>
      <w:tr w14:paraId="484413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Align w:val="center"/>
          </w:tcPr>
          <w:p w14:paraId="301D051B">
            <w:pPr>
              <w:pStyle w:val="75"/>
              <w:rPr>
                <w:spacing w:val="-6"/>
              </w:rPr>
            </w:pPr>
            <w:r>
              <w:rPr>
                <w:rFonts w:hint="eastAsia"/>
              </w:rPr>
              <w:t>D</w:t>
            </w:r>
            <w:r>
              <w:t>A</w:t>
            </w:r>
            <w:r>
              <w:rPr>
                <w:rFonts w:hint="eastAsia"/>
              </w:rPr>
              <w:t>001</w:t>
            </w:r>
          </w:p>
        </w:tc>
        <w:tc>
          <w:tcPr>
            <w:tcW w:w="599" w:type="pct"/>
            <w:vAlign w:val="center"/>
          </w:tcPr>
          <w:p w14:paraId="6459B718">
            <w:pPr>
              <w:pStyle w:val="75"/>
            </w:pPr>
            <w:r>
              <w:rPr>
                <w:rFonts w:hint="eastAsia"/>
              </w:rPr>
              <w:t>硫酸雾</w:t>
            </w:r>
          </w:p>
        </w:tc>
        <w:tc>
          <w:tcPr>
            <w:tcW w:w="684" w:type="pct"/>
            <w:vAlign w:val="center"/>
          </w:tcPr>
          <w:p w14:paraId="60D20F33">
            <w:pPr>
              <w:pStyle w:val="75"/>
              <w:rPr>
                <w:rFonts w:hint="default" w:eastAsia="宋体"/>
                <w:lang w:val="en-US" w:eastAsia="zh-CN"/>
              </w:rPr>
            </w:pPr>
            <w:r>
              <w:rPr>
                <w:rFonts w:hint="eastAsia"/>
                <w:sz w:val="21"/>
                <w:szCs w:val="21"/>
                <w:highlight w:val="none"/>
                <w:lang w:val="en-US" w:eastAsia="zh-CN"/>
              </w:rPr>
              <w:t>27855</w:t>
            </w:r>
          </w:p>
        </w:tc>
        <w:tc>
          <w:tcPr>
            <w:tcW w:w="769" w:type="pct"/>
            <w:vAlign w:val="center"/>
          </w:tcPr>
          <w:p w14:paraId="759DFE8D">
            <w:pPr>
              <w:pStyle w:val="75"/>
              <w:ind w:firstLine="0" w:firstLineChars="0"/>
              <w:rPr>
                <w:rFonts w:hint="default" w:eastAsia="宋体"/>
                <w:lang w:val="en-US" w:eastAsia="zh-CN"/>
              </w:rPr>
            </w:pPr>
            <w:r>
              <w:rPr>
                <w:rFonts w:hint="eastAsia"/>
                <w:sz w:val="21"/>
                <w:szCs w:val="21"/>
                <w:highlight w:val="none"/>
                <w:lang w:val="en-US" w:eastAsia="zh-CN"/>
              </w:rPr>
              <w:t>7.55</w:t>
            </w:r>
          </w:p>
        </w:tc>
        <w:tc>
          <w:tcPr>
            <w:tcW w:w="769" w:type="pct"/>
            <w:vAlign w:val="center"/>
          </w:tcPr>
          <w:p w14:paraId="493B5E0F">
            <w:pPr>
              <w:pStyle w:val="75"/>
              <w:ind w:firstLine="0" w:firstLineChars="0"/>
              <w:rPr>
                <w:rFonts w:hint="default" w:eastAsia="宋体"/>
                <w:lang w:val="en-US" w:eastAsia="zh-CN"/>
              </w:rPr>
            </w:pPr>
            <w:r>
              <w:rPr>
                <w:rFonts w:hint="eastAsia"/>
                <w:sz w:val="21"/>
                <w:szCs w:val="21"/>
                <w:highlight w:val="none"/>
                <w:lang w:val="en-US" w:eastAsia="zh-CN"/>
              </w:rPr>
              <w:t>1.4945</w:t>
            </w:r>
          </w:p>
        </w:tc>
        <w:tc>
          <w:tcPr>
            <w:tcW w:w="854" w:type="pct"/>
            <w:vAlign w:val="center"/>
          </w:tcPr>
          <w:p w14:paraId="05944297">
            <w:pPr>
              <w:pStyle w:val="75"/>
              <w:ind w:firstLine="0" w:firstLineChars="0"/>
              <w:rPr>
                <w:rFonts w:hint="default" w:eastAsia="宋体"/>
                <w:lang w:val="en-US" w:eastAsia="zh-CN"/>
              </w:rPr>
            </w:pPr>
            <w:r>
              <w:rPr>
                <w:rFonts w:hint="eastAsia"/>
                <w:lang w:val="en-US" w:eastAsia="zh-CN"/>
              </w:rPr>
              <w:t>0.76</w:t>
            </w:r>
          </w:p>
        </w:tc>
        <w:tc>
          <w:tcPr>
            <w:tcW w:w="731" w:type="pct"/>
            <w:vAlign w:val="center"/>
          </w:tcPr>
          <w:p w14:paraId="23CB45DE">
            <w:pPr>
              <w:pStyle w:val="75"/>
              <w:ind w:firstLine="0" w:firstLineChars="0"/>
            </w:pPr>
            <w:r>
              <w:rPr>
                <w:rFonts w:hint="eastAsia"/>
                <w:sz w:val="21"/>
                <w:szCs w:val="21"/>
                <w:highlight w:val="none"/>
                <w:lang w:val="en-US" w:eastAsia="zh-CN"/>
              </w:rPr>
              <w:t>0.1495</w:t>
            </w:r>
          </w:p>
        </w:tc>
      </w:tr>
      <w:tr w14:paraId="13BA2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Align w:val="center"/>
          </w:tcPr>
          <w:p w14:paraId="41A9D411">
            <w:pPr>
              <w:pStyle w:val="75"/>
              <w:rPr>
                <w:spacing w:val="-6"/>
              </w:rPr>
            </w:pPr>
            <w:r>
              <w:rPr>
                <w:rFonts w:hint="eastAsia"/>
              </w:rPr>
              <w:t>D</w:t>
            </w:r>
            <w:r>
              <w:t>A</w:t>
            </w:r>
            <w:r>
              <w:rPr>
                <w:rFonts w:hint="eastAsia"/>
              </w:rPr>
              <w:t>002</w:t>
            </w:r>
          </w:p>
        </w:tc>
        <w:tc>
          <w:tcPr>
            <w:tcW w:w="599" w:type="pct"/>
            <w:vAlign w:val="center"/>
          </w:tcPr>
          <w:p w14:paraId="2B396CDD">
            <w:pPr>
              <w:pStyle w:val="75"/>
            </w:pPr>
            <w:r>
              <w:rPr>
                <w:rFonts w:hint="eastAsia"/>
              </w:rPr>
              <w:t>硫酸雾</w:t>
            </w:r>
          </w:p>
        </w:tc>
        <w:tc>
          <w:tcPr>
            <w:tcW w:w="684" w:type="pct"/>
            <w:vAlign w:val="center"/>
          </w:tcPr>
          <w:p w14:paraId="55122836">
            <w:pPr>
              <w:pStyle w:val="75"/>
              <w:rPr>
                <w:rFonts w:hint="default" w:eastAsia="宋体"/>
                <w:lang w:val="en-US" w:eastAsia="zh-CN"/>
              </w:rPr>
            </w:pPr>
            <w:r>
              <w:rPr>
                <w:rFonts w:hint="eastAsia"/>
                <w:color w:val="000000" w:themeColor="text1"/>
                <w:sz w:val="21"/>
                <w:szCs w:val="21"/>
                <w:highlight w:val="none"/>
                <w:lang w:val="en-US" w:eastAsia="zh-CN"/>
                <w14:textFill>
                  <w14:solidFill>
                    <w14:schemeClr w14:val="tx1"/>
                  </w14:solidFill>
                </w14:textFill>
              </w:rPr>
              <w:t>9781</w:t>
            </w:r>
          </w:p>
        </w:tc>
        <w:tc>
          <w:tcPr>
            <w:tcW w:w="769" w:type="pct"/>
            <w:vAlign w:val="center"/>
          </w:tcPr>
          <w:p w14:paraId="349D75DC">
            <w:pPr>
              <w:pStyle w:val="75"/>
              <w:rPr>
                <w:rFonts w:hint="default" w:eastAsia="宋体"/>
                <w:lang w:val="en-US" w:eastAsia="zh-CN"/>
              </w:rPr>
            </w:pPr>
            <w:r>
              <w:rPr>
                <w:rFonts w:hint="eastAsia"/>
                <w:lang w:val="en-US" w:eastAsia="zh-CN"/>
              </w:rPr>
              <w:t>10.92</w:t>
            </w:r>
          </w:p>
        </w:tc>
        <w:tc>
          <w:tcPr>
            <w:tcW w:w="769" w:type="pct"/>
            <w:vAlign w:val="center"/>
          </w:tcPr>
          <w:p w14:paraId="17BF5563">
            <w:pPr>
              <w:pStyle w:val="75"/>
              <w:rPr>
                <w:rFonts w:hint="default" w:eastAsia="宋体"/>
                <w:lang w:val="en-US" w:eastAsia="zh-CN"/>
              </w:rPr>
            </w:pPr>
            <w:r>
              <w:rPr>
                <w:rFonts w:hint="eastAsia"/>
                <w:color w:val="000000" w:themeColor="text1"/>
                <w:sz w:val="21"/>
                <w:szCs w:val="21"/>
                <w:highlight w:val="none"/>
                <w:lang w:val="en-US" w:eastAsia="zh-CN"/>
                <w14:textFill>
                  <w14:solidFill>
                    <w14:schemeClr w14:val="tx1"/>
                  </w14:solidFill>
                </w14:textFill>
              </w:rPr>
              <w:t>0.7395</w:t>
            </w:r>
          </w:p>
        </w:tc>
        <w:tc>
          <w:tcPr>
            <w:tcW w:w="854" w:type="pct"/>
            <w:vAlign w:val="center"/>
          </w:tcPr>
          <w:p w14:paraId="223B6FFD">
            <w:pPr>
              <w:pStyle w:val="75"/>
              <w:rPr>
                <w:rFonts w:hint="default" w:eastAsia="宋体"/>
                <w:lang w:val="en-US" w:eastAsia="zh-CN"/>
              </w:rPr>
            </w:pPr>
            <w:r>
              <w:rPr>
                <w:rFonts w:hint="eastAsia"/>
                <w:lang w:val="en-US" w:eastAsia="zh-CN"/>
              </w:rPr>
              <w:t>1.09</w:t>
            </w:r>
          </w:p>
        </w:tc>
        <w:tc>
          <w:tcPr>
            <w:tcW w:w="731" w:type="pct"/>
            <w:vAlign w:val="center"/>
          </w:tcPr>
          <w:p w14:paraId="5D43F927">
            <w:pPr>
              <w:pStyle w:val="75"/>
            </w:pPr>
            <w:r>
              <w:rPr>
                <w:rFonts w:hint="eastAsia"/>
                <w:color w:val="000000" w:themeColor="text1"/>
                <w:sz w:val="21"/>
                <w:szCs w:val="21"/>
                <w:highlight w:val="none"/>
                <w:lang w:val="en-US" w:eastAsia="zh-CN"/>
                <w14:textFill>
                  <w14:solidFill>
                    <w14:schemeClr w14:val="tx1"/>
                  </w14:solidFill>
                </w14:textFill>
              </w:rPr>
              <w:t>0.0740</w:t>
            </w:r>
          </w:p>
        </w:tc>
      </w:tr>
      <w:tr w14:paraId="194216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Align w:val="center"/>
          </w:tcPr>
          <w:p w14:paraId="08610276">
            <w:pPr>
              <w:pStyle w:val="75"/>
              <w:rPr>
                <w:spacing w:val="-6"/>
              </w:rPr>
            </w:pPr>
            <w:r>
              <w:rPr>
                <w:rFonts w:hint="eastAsia"/>
              </w:rPr>
              <w:t>D</w:t>
            </w:r>
            <w:r>
              <w:t>A</w:t>
            </w:r>
            <w:r>
              <w:rPr>
                <w:rFonts w:hint="eastAsia"/>
              </w:rPr>
              <w:t>003</w:t>
            </w:r>
          </w:p>
        </w:tc>
        <w:tc>
          <w:tcPr>
            <w:tcW w:w="599" w:type="pct"/>
            <w:vAlign w:val="center"/>
          </w:tcPr>
          <w:p w14:paraId="0CA82137">
            <w:pPr>
              <w:pStyle w:val="75"/>
            </w:pPr>
            <w:r>
              <w:rPr>
                <w:rFonts w:hint="eastAsia"/>
              </w:rPr>
              <w:t>硫酸雾</w:t>
            </w:r>
          </w:p>
        </w:tc>
        <w:tc>
          <w:tcPr>
            <w:tcW w:w="684" w:type="pct"/>
            <w:vAlign w:val="center"/>
          </w:tcPr>
          <w:p w14:paraId="290F053C">
            <w:pPr>
              <w:pStyle w:val="75"/>
              <w:rPr>
                <w:rFonts w:hint="default" w:eastAsia="宋体"/>
                <w:lang w:val="en-US" w:eastAsia="zh-CN"/>
              </w:rPr>
            </w:pPr>
            <w:r>
              <w:rPr>
                <w:rFonts w:hint="eastAsia"/>
                <w:color w:val="000000" w:themeColor="text1"/>
                <w:sz w:val="21"/>
                <w:szCs w:val="21"/>
                <w:highlight w:val="none"/>
                <w:lang w:val="en-US" w:eastAsia="zh-CN"/>
                <w14:textFill>
                  <w14:solidFill>
                    <w14:schemeClr w14:val="tx1"/>
                  </w14:solidFill>
                </w14:textFill>
              </w:rPr>
              <w:t>17007</w:t>
            </w:r>
          </w:p>
        </w:tc>
        <w:tc>
          <w:tcPr>
            <w:tcW w:w="769" w:type="pct"/>
            <w:vAlign w:val="center"/>
          </w:tcPr>
          <w:p w14:paraId="4048A8DC">
            <w:pPr>
              <w:pStyle w:val="75"/>
              <w:rPr>
                <w:rFonts w:hint="default" w:eastAsia="宋体"/>
                <w:lang w:val="en-US" w:eastAsia="zh-CN"/>
              </w:rPr>
            </w:pPr>
            <w:r>
              <w:rPr>
                <w:rFonts w:hint="eastAsia"/>
                <w:lang w:val="en-US" w:eastAsia="zh-CN"/>
              </w:rPr>
              <w:t>13.72</w:t>
            </w:r>
          </w:p>
        </w:tc>
        <w:tc>
          <w:tcPr>
            <w:tcW w:w="769" w:type="pct"/>
            <w:vAlign w:val="center"/>
          </w:tcPr>
          <w:p w14:paraId="3E82E680">
            <w:pPr>
              <w:pStyle w:val="75"/>
              <w:rPr>
                <w:rFonts w:hint="default" w:eastAsia="宋体"/>
                <w:lang w:val="en-US" w:eastAsia="zh-CN"/>
              </w:rPr>
            </w:pPr>
            <w:r>
              <w:rPr>
                <w:rFonts w:hint="eastAsia"/>
                <w:color w:val="000000" w:themeColor="text1"/>
                <w:sz w:val="21"/>
                <w:szCs w:val="21"/>
                <w:highlight w:val="none"/>
                <w:lang w:val="en-US" w:eastAsia="zh-CN"/>
                <w14:textFill>
                  <w14:solidFill>
                    <w14:schemeClr w14:val="tx1"/>
                  </w14:solidFill>
                </w14:textFill>
              </w:rPr>
              <w:t>1.6427</w:t>
            </w:r>
          </w:p>
        </w:tc>
        <w:tc>
          <w:tcPr>
            <w:tcW w:w="854" w:type="pct"/>
            <w:vAlign w:val="center"/>
          </w:tcPr>
          <w:p w14:paraId="3ED18987">
            <w:pPr>
              <w:pStyle w:val="75"/>
              <w:rPr>
                <w:rFonts w:hint="default" w:eastAsia="宋体"/>
                <w:lang w:val="en-US" w:eastAsia="zh-CN"/>
              </w:rPr>
            </w:pPr>
            <w:r>
              <w:rPr>
                <w:rFonts w:hint="eastAsia"/>
                <w:lang w:val="en-US" w:eastAsia="zh-CN"/>
              </w:rPr>
              <w:t>1.37</w:t>
            </w:r>
          </w:p>
        </w:tc>
        <w:tc>
          <w:tcPr>
            <w:tcW w:w="731" w:type="pct"/>
            <w:vAlign w:val="center"/>
          </w:tcPr>
          <w:p w14:paraId="0795CF65">
            <w:pPr>
              <w:pStyle w:val="75"/>
            </w:pPr>
            <w:r>
              <w:rPr>
                <w:rFonts w:hint="eastAsia"/>
                <w:color w:val="000000" w:themeColor="text1"/>
                <w:sz w:val="21"/>
                <w:szCs w:val="21"/>
                <w:highlight w:val="none"/>
                <w:lang w:val="en-US" w:eastAsia="zh-CN"/>
                <w14:textFill>
                  <w14:solidFill>
                    <w14:schemeClr w14:val="tx1"/>
                  </w14:solidFill>
                </w14:textFill>
              </w:rPr>
              <w:t>0.1643</w:t>
            </w:r>
          </w:p>
        </w:tc>
      </w:tr>
      <w:tr w14:paraId="42A249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Merge w:val="restart"/>
            <w:vAlign w:val="center"/>
          </w:tcPr>
          <w:p w14:paraId="03A47605">
            <w:pPr>
              <w:pStyle w:val="75"/>
              <w:rPr>
                <w:rFonts w:hint="eastAsia" w:eastAsia="宋体"/>
                <w:spacing w:val="-6"/>
                <w:lang w:eastAsia="zh-CN"/>
              </w:rPr>
            </w:pPr>
            <w:r>
              <w:rPr>
                <w:rFonts w:hint="eastAsia"/>
                <w:spacing w:val="-6"/>
              </w:rPr>
              <w:t>D</w:t>
            </w:r>
            <w:r>
              <w:rPr>
                <w:spacing w:val="-6"/>
              </w:rPr>
              <w:t>A</w:t>
            </w:r>
            <w:r>
              <w:rPr>
                <w:rFonts w:hint="eastAsia"/>
                <w:spacing w:val="-6"/>
              </w:rPr>
              <w:t>00</w:t>
            </w:r>
            <w:r>
              <w:rPr>
                <w:rFonts w:hint="eastAsia"/>
                <w:spacing w:val="-6"/>
                <w:lang w:val="en-US" w:eastAsia="zh-CN"/>
              </w:rPr>
              <w:t>4</w:t>
            </w:r>
          </w:p>
        </w:tc>
        <w:tc>
          <w:tcPr>
            <w:tcW w:w="599" w:type="pct"/>
            <w:vAlign w:val="center"/>
          </w:tcPr>
          <w:p w14:paraId="57504275">
            <w:pPr>
              <w:pStyle w:val="75"/>
              <w:rPr>
                <w:lang w:val="pt-BR"/>
              </w:rPr>
            </w:pPr>
            <w:r>
              <w:rPr>
                <w:rFonts w:hint="eastAsia"/>
                <w:lang w:val="pt-BR"/>
              </w:rPr>
              <w:t>H</w:t>
            </w:r>
            <w:r>
              <w:rPr>
                <w:vertAlign w:val="subscript"/>
                <w:lang w:val="pt-BR"/>
              </w:rPr>
              <w:t>2</w:t>
            </w:r>
            <w:r>
              <w:rPr>
                <w:lang w:val="pt-BR"/>
              </w:rPr>
              <w:t>S</w:t>
            </w:r>
          </w:p>
        </w:tc>
        <w:tc>
          <w:tcPr>
            <w:tcW w:w="684" w:type="pct"/>
            <w:vMerge w:val="restart"/>
            <w:vAlign w:val="center"/>
          </w:tcPr>
          <w:p w14:paraId="3D125586">
            <w:pPr>
              <w:pStyle w:val="75"/>
            </w:pPr>
            <w:r>
              <w:rPr>
                <w:rFonts w:hint="eastAsia"/>
              </w:rPr>
              <w:t>1000</w:t>
            </w:r>
          </w:p>
        </w:tc>
        <w:tc>
          <w:tcPr>
            <w:tcW w:w="769" w:type="pct"/>
            <w:vAlign w:val="center"/>
          </w:tcPr>
          <w:p w14:paraId="0367D96A">
            <w:pPr>
              <w:pStyle w:val="75"/>
              <w:rPr>
                <w:rFonts w:hint="default" w:eastAsia="宋体"/>
                <w:lang w:val="en-US" w:eastAsia="zh-CN"/>
              </w:rPr>
            </w:pPr>
            <w:r>
              <w:rPr>
                <w:rFonts w:hint="eastAsia"/>
                <w:lang w:val="en-US" w:eastAsia="zh-CN"/>
              </w:rPr>
              <w:t>0.06</w:t>
            </w:r>
          </w:p>
        </w:tc>
        <w:tc>
          <w:tcPr>
            <w:tcW w:w="769" w:type="pct"/>
            <w:vAlign w:val="center"/>
          </w:tcPr>
          <w:p w14:paraId="420C61EB">
            <w:pPr>
              <w:pStyle w:val="75"/>
              <w:rPr>
                <w:rFonts w:hint="default" w:eastAsia="宋体"/>
                <w:lang w:val="en-US" w:eastAsia="zh-CN"/>
              </w:rPr>
            </w:pPr>
            <w:r>
              <w:rPr>
                <w:rFonts w:hint="default"/>
                <w:sz w:val="21"/>
                <w:szCs w:val="21"/>
                <w:highlight w:val="none"/>
                <w:lang w:val="en-US" w:eastAsia="zh-CN"/>
              </w:rPr>
              <w:t>0.0004</w:t>
            </w:r>
          </w:p>
        </w:tc>
        <w:tc>
          <w:tcPr>
            <w:tcW w:w="854" w:type="pct"/>
            <w:vAlign w:val="center"/>
          </w:tcPr>
          <w:p w14:paraId="701546DD">
            <w:pPr>
              <w:pStyle w:val="75"/>
              <w:rPr>
                <w:rFonts w:hint="eastAsia" w:eastAsia="宋体"/>
                <w:lang w:val="en-US" w:eastAsia="zh-CN"/>
              </w:rPr>
            </w:pPr>
            <w:r>
              <w:rPr>
                <w:rFonts w:hint="default"/>
                <w:sz w:val="21"/>
                <w:szCs w:val="21"/>
                <w:highlight w:val="none"/>
                <w:lang w:val="en-US" w:eastAsia="zh-CN"/>
              </w:rPr>
              <w:t>0.006</w:t>
            </w:r>
          </w:p>
        </w:tc>
        <w:tc>
          <w:tcPr>
            <w:tcW w:w="731" w:type="pct"/>
            <w:vAlign w:val="center"/>
          </w:tcPr>
          <w:p w14:paraId="7B4C8B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sz w:val="21"/>
                <w:szCs w:val="21"/>
                <w:highlight w:val="none"/>
                <w:lang w:val="en-US" w:eastAsia="zh-CN"/>
              </w:rPr>
              <w:t>0.00004</w:t>
            </w:r>
          </w:p>
        </w:tc>
      </w:tr>
      <w:tr w14:paraId="5F8FD8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3" w:type="pct"/>
            <w:vMerge w:val="continue"/>
            <w:vAlign w:val="center"/>
          </w:tcPr>
          <w:p w14:paraId="505BA532">
            <w:pPr>
              <w:pStyle w:val="75"/>
              <w:rPr>
                <w:spacing w:val="-6"/>
              </w:rPr>
            </w:pPr>
          </w:p>
        </w:tc>
        <w:tc>
          <w:tcPr>
            <w:tcW w:w="599" w:type="pct"/>
            <w:vAlign w:val="center"/>
          </w:tcPr>
          <w:p w14:paraId="66DD5810">
            <w:pPr>
              <w:pStyle w:val="75"/>
              <w:rPr>
                <w:lang w:val="pt-BR"/>
              </w:rPr>
            </w:pPr>
            <w:r>
              <w:rPr>
                <w:rFonts w:hint="eastAsia"/>
                <w:lang w:val="pt-BR"/>
              </w:rPr>
              <w:t>N</w:t>
            </w:r>
            <w:r>
              <w:rPr>
                <w:lang w:val="pt-BR"/>
              </w:rPr>
              <w:t>H</w:t>
            </w:r>
            <w:r>
              <w:rPr>
                <w:vertAlign w:val="subscript"/>
                <w:lang w:val="pt-BR"/>
              </w:rPr>
              <w:t>3</w:t>
            </w:r>
          </w:p>
        </w:tc>
        <w:tc>
          <w:tcPr>
            <w:tcW w:w="684" w:type="pct"/>
            <w:vMerge w:val="continue"/>
            <w:vAlign w:val="center"/>
          </w:tcPr>
          <w:p w14:paraId="5488430A">
            <w:pPr>
              <w:pStyle w:val="75"/>
            </w:pPr>
          </w:p>
        </w:tc>
        <w:tc>
          <w:tcPr>
            <w:tcW w:w="769" w:type="pct"/>
            <w:vAlign w:val="center"/>
          </w:tcPr>
          <w:p w14:paraId="0A80BFB0">
            <w:pPr>
              <w:pStyle w:val="75"/>
              <w:rPr>
                <w:rFonts w:hint="default" w:eastAsia="宋体"/>
                <w:lang w:val="en-US" w:eastAsia="zh-CN"/>
              </w:rPr>
            </w:pPr>
            <w:r>
              <w:rPr>
                <w:rFonts w:hint="eastAsia"/>
                <w:lang w:val="en-US" w:eastAsia="zh-CN"/>
              </w:rPr>
              <w:t>11.6</w:t>
            </w:r>
          </w:p>
        </w:tc>
        <w:tc>
          <w:tcPr>
            <w:tcW w:w="769" w:type="pct"/>
            <w:vAlign w:val="center"/>
          </w:tcPr>
          <w:p w14:paraId="08466961">
            <w:pPr>
              <w:pStyle w:val="75"/>
              <w:rPr>
                <w:rFonts w:hint="default" w:eastAsia="宋体"/>
                <w:lang w:val="en-US" w:eastAsia="zh-CN"/>
              </w:rPr>
            </w:pPr>
            <w:r>
              <w:rPr>
                <w:rFonts w:hint="default"/>
                <w:sz w:val="21"/>
                <w:szCs w:val="21"/>
                <w:highlight w:val="none"/>
                <w:lang w:val="en-US" w:eastAsia="zh-CN"/>
              </w:rPr>
              <w:t>0.0832</w:t>
            </w:r>
          </w:p>
        </w:tc>
        <w:tc>
          <w:tcPr>
            <w:tcW w:w="854" w:type="pct"/>
            <w:vAlign w:val="center"/>
          </w:tcPr>
          <w:p w14:paraId="104568B0">
            <w:pPr>
              <w:pStyle w:val="75"/>
              <w:rPr>
                <w:rFonts w:hint="default" w:eastAsia="宋体"/>
                <w:lang w:val="en-US" w:eastAsia="zh-CN"/>
              </w:rPr>
            </w:pPr>
            <w:r>
              <w:rPr>
                <w:rFonts w:hint="default"/>
                <w:sz w:val="21"/>
                <w:szCs w:val="21"/>
                <w:highlight w:val="none"/>
                <w:lang w:val="en-US" w:eastAsia="zh-CN"/>
              </w:rPr>
              <w:t>1.2</w:t>
            </w:r>
          </w:p>
        </w:tc>
        <w:tc>
          <w:tcPr>
            <w:tcW w:w="731" w:type="pct"/>
            <w:vAlign w:val="center"/>
          </w:tcPr>
          <w:p w14:paraId="51CDCF2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pPr>
            <w:r>
              <w:rPr>
                <w:rFonts w:hint="default"/>
                <w:sz w:val="21"/>
                <w:szCs w:val="21"/>
                <w:highlight w:val="none"/>
                <w:lang w:val="en-US" w:eastAsia="zh-CN"/>
              </w:rPr>
              <w:t>0.0083</w:t>
            </w:r>
          </w:p>
        </w:tc>
      </w:tr>
    </w:tbl>
    <w:p w14:paraId="5969654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54" w:name="_Toc108122598"/>
      <w:r>
        <w:rPr>
          <w:rFonts w:hint="eastAsia" w:cs="Times New Roman"/>
          <w:lang w:val="en-US" w:eastAsia="zh-CN"/>
        </w:rPr>
        <w:t>7.2.2无组织废气</w:t>
      </w:r>
      <w:bookmarkEnd w:id="654"/>
    </w:p>
    <w:p w14:paraId="4BD27B1B">
      <w:pPr>
        <w:ind w:firstLine="480"/>
      </w:pPr>
      <w:r>
        <w:rPr>
          <w:rFonts w:hint="eastAsia"/>
        </w:rPr>
        <w:t>评价提出要求企业易挥发原料应采用密闭容器盛装，密闭化学品库内暂存，化学品库应设置负压抽风装置，废气引入碱喷淋吸收塔进行处理；污水处理系统采用加盖密闭，废气引入生物除臭滤塔进行处理；易挥发原料配制过程中应在密闭配置间内进行，</w:t>
      </w:r>
      <w:r>
        <w:t>加强设备密闭与车间密闭</w:t>
      </w:r>
      <w:r>
        <w:rPr>
          <w:rFonts w:hint="eastAsia"/>
        </w:rPr>
        <w:t>，</w:t>
      </w:r>
      <w:r>
        <w:t>保证废气收集效率</w:t>
      </w:r>
      <w:r>
        <w:rPr>
          <w:rFonts w:hint="eastAsia"/>
        </w:rPr>
        <w:t>，</w:t>
      </w:r>
      <w:r>
        <w:t>尽量减少无组织排放</w:t>
      </w:r>
      <w:r>
        <w:rPr>
          <w:rFonts w:hint="eastAsia"/>
        </w:rPr>
        <w:t>。</w:t>
      </w:r>
    </w:p>
    <w:p w14:paraId="5CF339EE">
      <w:pPr>
        <w:ind w:firstLine="480"/>
        <w:rPr>
          <w:highlight w:val="yellow"/>
          <w:u w:val="single"/>
        </w:rPr>
      </w:pPr>
      <w:r>
        <w:rPr>
          <w:rFonts w:hint="eastAsia"/>
        </w:rPr>
        <w:t>经上述分析可以得出，本项目无组织废气排放总量为：硫酸雾</w:t>
      </w:r>
      <w:r>
        <w:rPr>
          <w:rFonts w:hint="eastAsia"/>
          <w:color w:val="000000" w:themeColor="text1"/>
          <w:lang w:val="en-US" w:eastAsia="zh-CN"/>
          <w14:textFill>
            <w14:solidFill>
              <w14:schemeClr w14:val="tx1"/>
            </w14:solidFill>
          </w14:textFill>
        </w:rPr>
        <w:t>0.0791</w:t>
      </w:r>
      <w:r>
        <w:rPr>
          <w:rFonts w:hint="eastAsia"/>
        </w:rPr>
        <w:t>t/a、H</w:t>
      </w:r>
      <w:r>
        <w:rPr>
          <w:vertAlign w:val="subscript"/>
        </w:rPr>
        <w:t>2</w:t>
      </w:r>
      <w:r>
        <w:t>S</w:t>
      </w:r>
      <w:r>
        <w:rPr>
          <w:rFonts w:hint="eastAsia"/>
        </w:rPr>
        <w:t xml:space="preserve"> </w:t>
      </w:r>
      <w:r>
        <w:rPr>
          <w:rFonts w:hint="eastAsia"/>
          <w:color w:val="000000" w:themeColor="text1"/>
          <w:lang w:val="en-US" w:eastAsia="zh-CN"/>
          <w14:textFill>
            <w14:solidFill>
              <w14:schemeClr w14:val="tx1"/>
            </w14:solidFill>
          </w14:textFill>
        </w:rPr>
        <w:t>0.00002</w:t>
      </w:r>
      <w:r>
        <w:rPr>
          <w:rFonts w:hint="eastAsia"/>
        </w:rPr>
        <w:t>t/a、N</w:t>
      </w:r>
      <w:r>
        <w:t>H</w:t>
      </w:r>
      <w:r>
        <w:rPr>
          <w:vertAlign w:val="subscript"/>
        </w:rPr>
        <w:t>3</w:t>
      </w:r>
      <w:r>
        <w:rPr>
          <w:rFonts w:hint="eastAsia"/>
        </w:rPr>
        <w:t xml:space="preserve"> </w:t>
      </w:r>
      <w:r>
        <w:rPr>
          <w:rFonts w:hint="eastAsia"/>
          <w:color w:val="000000" w:themeColor="text1"/>
          <w14:textFill>
            <w14:solidFill>
              <w14:schemeClr w14:val="tx1"/>
            </w14:solidFill>
          </w14:textFill>
        </w:rPr>
        <w:t>0.00</w:t>
      </w:r>
      <w:r>
        <w:rPr>
          <w:rFonts w:hint="eastAsia"/>
          <w:color w:val="000000" w:themeColor="text1"/>
          <w:lang w:val="en-US" w:eastAsia="zh-CN"/>
          <w14:textFill>
            <w14:solidFill>
              <w14:schemeClr w14:val="tx1"/>
            </w14:solidFill>
          </w14:textFill>
        </w:rPr>
        <w:t>44</w:t>
      </w:r>
      <w:r>
        <w:rPr>
          <w:rFonts w:hint="eastAsia"/>
        </w:rPr>
        <w:t>t/a。</w:t>
      </w:r>
    </w:p>
    <w:p w14:paraId="73EAF49D">
      <w:pPr>
        <w:pStyle w:val="72"/>
        <w:rPr>
          <w:highlight w:val="yellow"/>
        </w:rPr>
      </w:pPr>
      <w:r>
        <w:rPr>
          <w:rFonts w:hint="eastAsia"/>
        </w:rPr>
        <w:t>根据本项目对大气环境的影响预测（详见第5章），本项目建成后对周围大气环境的影响可接受。</w:t>
      </w:r>
    </w:p>
    <w:p w14:paraId="17B72878">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55" w:name="_Toc31574"/>
      <w:bookmarkStart w:id="656" w:name="_Toc13425"/>
      <w:r>
        <w:rPr>
          <w:rFonts w:hint="eastAsia"/>
          <w:lang w:val="en-US" w:eastAsia="zh-CN"/>
        </w:rPr>
        <w:t>7.3噪声污染防治措施可行性分析</w:t>
      </w:r>
      <w:bookmarkEnd w:id="648"/>
      <w:bookmarkEnd w:id="649"/>
      <w:bookmarkEnd w:id="650"/>
      <w:bookmarkEnd w:id="651"/>
      <w:bookmarkEnd w:id="652"/>
      <w:bookmarkEnd w:id="655"/>
      <w:bookmarkEnd w:id="656"/>
    </w:p>
    <w:p w14:paraId="689839C4">
      <w:pPr>
        <w:pStyle w:val="72"/>
      </w:pPr>
      <w:bookmarkStart w:id="657" w:name="_Toc312998138"/>
      <w:bookmarkStart w:id="658" w:name="_Toc257900142"/>
      <w:bookmarkStart w:id="659" w:name="_Toc267150069"/>
      <w:bookmarkStart w:id="660" w:name="_Toc254159700"/>
      <w:r>
        <w:rPr>
          <w:rFonts w:hint="eastAsia"/>
        </w:rPr>
        <w:t>工程高噪声源主要为冲床、空压机、环保风机等，</w:t>
      </w:r>
      <w:r>
        <w:t>为保证厂界噪声值达到《工业企业厂界环境噪声排放标准》中</w:t>
      </w:r>
      <w:r>
        <w:rPr>
          <w:rFonts w:hint="eastAsia"/>
        </w:rPr>
        <w:t>3</w:t>
      </w:r>
      <w:r>
        <w:t>类标准要求，</w:t>
      </w:r>
      <w:r>
        <w:rPr>
          <w:rFonts w:hint="eastAsia"/>
        </w:rPr>
        <w:t>需</w:t>
      </w:r>
      <w:r>
        <w:t>采取隔声措施处理。针对项目噪声源及周边环境情况，项目设计采用以下防治措施：</w:t>
      </w:r>
    </w:p>
    <w:p w14:paraId="32ECFA8E">
      <w:pPr>
        <w:pStyle w:val="72"/>
      </w:pPr>
      <w:r>
        <w:rPr>
          <w:rFonts w:hint="eastAsia"/>
        </w:rPr>
        <w:t>（1）本项目噪声源主要为冲床、空压机等，</w:t>
      </w:r>
      <w:r>
        <w:t>为减轻环境噪声，最重要的应从声源上控制，即选用先进的低噪声设备</w:t>
      </w:r>
      <w:r>
        <w:rPr>
          <w:rFonts w:hint="eastAsia"/>
        </w:rPr>
        <w:t>；</w:t>
      </w:r>
    </w:p>
    <w:p w14:paraId="4854F812">
      <w:pPr>
        <w:pStyle w:val="72"/>
      </w:pPr>
      <w:r>
        <w:rPr>
          <w:rFonts w:hint="eastAsia"/>
        </w:rPr>
        <w:t>（2）项目租赁厂房进行生产，厂房</w:t>
      </w:r>
      <w:r>
        <w:rPr>
          <w:rFonts w:hint="eastAsia"/>
          <w:lang w:val="en-US" w:eastAsia="zh-CN"/>
        </w:rPr>
        <w:t>应</w:t>
      </w:r>
      <w:r>
        <w:rPr>
          <w:rFonts w:hint="eastAsia"/>
        </w:rPr>
        <w:t>选用具有消声、隔声效果的建材和门窗；</w:t>
      </w:r>
    </w:p>
    <w:p w14:paraId="7EBDA63F">
      <w:pPr>
        <w:pStyle w:val="72"/>
      </w:pPr>
      <w:r>
        <w:rPr>
          <w:rFonts w:hint="eastAsia"/>
        </w:rPr>
        <w:t>（3）加强厂区周围及厂内绿化，</w:t>
      </w:r>
      <w:r>
        <w:t>建议在厂区周围和进出厂道路以及厂区运输干道两侧，种植树木隔离带，降低噪声对环境的影响</w:t>
      </w:r>
      <w:r>
        <w:rPr>
          <w:rFonts w:hint="eastAsia"/>
        </w:rPr>
        <w:t>；</w:t>
      </w:r>
    </w:p>
    <w:p w14:paraId="4C9FCBAD">
      <w:pPr>
        <w:pStyle w:val="72"/>
      </w:pPr>
      <w:r>
        <w:t>（</w:t>
      </w:r>
      <w:r>
        <w:rPr>
          <w:rFonts w:hint="eastAsia"/>
        </w:rPr>
        <w:t>4</w:t>
      </w:r>
      <w:r>
        <w:t>）厂区辅助区内的办公场所等是厂区内声污染的保护目标，所以应在建筑物设计上，采用隔声设计，如隔声墙、双层窗户等</w:t>
      </w:r>
      <w:r>
        <w:rPr>
          <w:rFonts w:hint="eastAsia"/>
        </w:rPr>
        <w:t>。</w:t>
      </w:r>
    </w:p>
    <w:p w14:paraId="29559161">
      <w:pPr>
        <w:pStyle w:val="72"/>
      </w:pPr>
      <w:r>
        <w:t>采取上述防治措施后，预测工程</w:t>
      </w:r>
      <w:r>
        <w:rPr>
          <w:rFonts w:hint="eastAsia"/>
        </w:rPr>
        <w:t>各</w:t>
      </w:r>
      <w:r>
        <w:t>厂界昼间、夜间噪声</w:t>
      </w:r>
      <w:r>
        <w:rPr>
          <w:rFonts w:hint="eastAsia"/>
        </w:rPr>
        <w:t>贡献</w:t>
      </w:r>
      <w:r>
        <w:t>值均能满足《工业企业厂界环境噪声排放标准》（GB12348-2008）</w:t>
      </w:r>
      <w:r>
        <w:rPr>
          <w:rFonts w:hint="eastAsia"/>
        </w:rPr>
        <w:t>3</w:t>
      </w:r>
      <w:r>
        <w:t>类标准</w:t>
      </w:r>
      <w:r>
        <w:rPr>
          <w:rFonts w:hint="eastAsia"/>
        </w:rPr>
        <w:t>，</w:t>
      </w:r>
      <w:r>
        <w:t>工程噪声对周围声环境影响不大</w:t>
      </w:r>
      <w:r>
        <w:rPr>
          <w:rFonts w:hint="eastAsia"/>
        </w:rPr>
        <w:t>，可接受</w:t>
      </w:r>
      <w:r>
        <w:t>。</w:t>
      </w:r>
    </w:p>
    <w:p w14:paraId="52B6EE6F">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61" w:name="_Toc26743"/>
      <w:bookmarkStart w:id="662" w:name="_Toc28839"/>
      <w:bookmarkStart w:id="663" w:name="_Toc51319880"/>
      <w:r>
        <w:rPr>
          <w:rFonts w:hint="eastAsia"/>
          <w:lang w:val="en-US" w:eastAsia="zh-CN"/>
        </w:rPr>
        <w:t>7.4固体废物防治措施可行性分析</w:t>
      </w:r>
      <w:bookmarkEnd w:id="657"/>
      <w:bookmarkEnd w:id="658"/>
      <w:bookmarkEnd w:id="659"/>
      <w:bookmarkEnd w:id="660"/>
      <w:bookmarkEnd w:id="661"/>
      <w:bookmarkEnd w:id="662"/>
      <w:bookmarkEnd w:id="663"/>
    </w:p>
    <w:p w14:paraId="4EE5FB01">
      <w:pPr>
        <w:pStyle w:val="72"/>
      </w:pPr>
      <w:bookmarkStart w:id="664" w:name="_Toc311812661"/>
      <w:bookmarkStart w:id="665" w:name="_Toc324839586"/>
      <w:bookmarkStart w:id="666" w:name="_Toc324839289"/>
      <w:r>
        <w:rPr>
          <w:rFonts w:hint="eastAsia"/>
        </w:rPr>
        <w:t>本项目工程营运期间产生的固废包括一般固废和危险废物两大类，其中一般固废包括废边角料、不合格残次品、污泥和废反渗透膜；危险废物主要包括废包装物、废槽渣，废滤芯和废活性炭，废油渣，机械加工产生的废液压油，含镍废水处理系统产生的污泥、含镍废活性炭、</w:t>
      </w:r>
      <w:r>
        <w:rPr>
          <w:rFonts w:hint="eastAsia"/>
          <w:lang w:val="en-US" w:eastAsia="zh-CN"/>
        </w:rPr>
        <w:t>含镍</w:t>
      </w:r>
      <w:r>
        <w:rPr>
          <w:rFonts w:hint="eastAsia"/>
        </w:rPr>
        <w:t>废过滤膜，含铬废水处理系统产生的污泥、</w:t>
      </w:r>
      <w:r>
        <w:rPr>
          <w:rFonts w:hint="eastAsia"/>
          <w:lang w:val="en-US" w:eastAsia="zh-CN"/>
        </w:rPr>
        <w:t>含铬</w:t>
      </w:r>
      <w:r>
        <w:rPr>
          <w:rFonts w:hint="eastAsia"/>
        </w:rPr>
        <w:t>废活性炭、</w:t>
      </w:r>
      <w:r>
        <w:rPr>
          <w:rFonts w:hint="eastAsia"/>
          <w:lang w:val="en-US" w:eastAsia="zh-CN"/>
        </w:rPr>
        <w:t>含铬</w:t>
      </w:r>
      <w:r>
        <w:rPr>
          <w:rFonts w:hint="eastAsia"/>
        </w:rPr>
        <w:t>废过滤膜，蒸发系统产生的蒸发浓液。</w:t>
      </w:r>
    </w:p>
    <w:p w14:paraId="67DB37AB">
      <w:pPr>
        <w:ind w:firstLine="480"/>
        <w:rPr>
          <w:snapToGrid w:val="0"/>
        </w:rPr>
      </w:pPr>
      <w:r>
        <w:rPr>
          <w:rFonts w:hint="eastAsia"/>
          <w:snapToGrid w:val="0"/>
        </w:rPr>
        <w:t>各类固废产生及处置措施见下表。</w:t>
      </w:r>
    </w:p>
    <w:p w14:paraId="5FF380F2">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w:t>
      </w:r>
      <w:r>
        <w:rPr>
          <w:rFonts w:hint="eastAsia"/>
          <w:lang w:val="en-US" w:eastAsia="zh-CN"/>
        </w:rPr>
        <w:t>7.4-1</w:t>
      </w:r>
      <w:r>
        <w:rPr>
          <w:rFonts w:hint="eastAsia"/>
        </w:rPr>
        <w:t xml:space="preserve">    工程固体废弃物产生及处置情况</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716"/>
        <w:gridCol w:w="730"/>
        <w:gridCol w:w="3064"/>
        <w:gridCol w:w="1311"/>
        <w:gridCol w:w="1092"/>
        <w:gridCol w:w="1616"/>
      </w:tblGrid>
      <w:tr w14:paraId="583AD38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9" w:type="pct"/>
            <w:shd w:val="clear" w:color="auto" w:fill="auto"/>
            <w:tcMar>
              <w:top w:w="28" w:type="dxa"/>
              <w:bottom w:w="28" w:type="dxa"/>
            </w:tcMar>
            <w:vAlign w:val="center"/>
          </w:tcPr>
          <w:p w14:paraId="7D64458C">
            <w:pPr>
              <w:pStyle w:val="81"/>
              <w:rPr>
                <w:color w:val="auto"/>
              </w:rPr>
            </w:pPr>
            <w:r>
              <w:rPr>
                <w:color w:val="auto"/>
              </w:rPr>
              <w:t>项目</w:t>
            </w:r>
          </w:p>
        </w:tc>
        <w:tc>
          <w:tcPr>
            <w:tcW w:w="427" w:type="pct"/>
            <w:shd w:val="clear" w:color="auto" w:fill="auto"/>
            <w:tcMar>
              <w:top w:w="28" w:type="dxa"/>
              <w:bottom w:w="28" w:type="dxa"/>
            </w:tcMar>
            <w:vAlign w:val="center"/>
          </w:tcPr>
          <w:p w14:paraId="0ACD11D6">
            <w:pPr>
              <w:pStyle w:val="81"/>
              <w:rPr>
                <w:color w:val="auto"/>
              </w:rPr>
            </w:pPr>
            <w:r>
              <w:rPr>
                <w:color w:val="auto"/>
              </w:rPr>
              <w:t>序号</w:t>
            </w:r>
          </w:p>
        </w:tc>
        <w:tc>
          <w:tcPr>
            <w:tcW w:w="1796" w:type="pct"/>
            <w:shd w:val="clear" w:color="auto" w:fill="auto"/>
            <w:tcMar>
              <w:top w:w="28" w:type="dxa"/>
              <w:bottom w:w="28" w:type="dxa"/>
            </w:tcMar>
            <w:vAlign w:val="center"/>
          </w:tcPr>
          <w:p w14:paraId="7831E986">
            <w:pPr>
              <w:pStyle w:val="81"/>
              <w:rPr>
                <w:color w:val="auto"/>
              </w:rPr>
            </w:pPr>
            <w:r>
              <w:rPr>
                <w:rFonts w:hint="eastAsia"/>
                <w:color w:val="auto"/>
              </w:rPr>
              <w:t>危险废物名称</w:t>
            </w:r>
          </w:p>
        </w:tc>
        <w:tc>
          <w:tcPr>
            <w:tcW w:w="768" w:type="pct"/>
            <w:shd w:val="clear" w:color="auto" w:fill="auto"/>
            <w:tcMar>
              <w:top w:w="28" w:type="dxa"/>
              <w:bottom w:w="28" w:type="dxa"/>
            </w:tcMar>
            <w:vAlign w:val="center"/>
          </w:tcPr>
          <w:p w14:paraId="2DD8AF05">
            <w:pPr>
              <w:pStyle w:val="81"/>
              <w:rPr>
                <w:color w:val="auto"/>
              </w:rPr>
            </w:pPr>
            <w:r>
              <w:rPr>
                <w:rFonts w:hint="eastAsia"/>
                <w:color w:val="auto"/>
              </w:rPr>
              <w:t>废物特性</w:t>
            </w:r>
          </w:p>
        </w:tc>
        <w:tc>
          <w:tcPr>
            <w:tcW w:w="640" w:type="pct"/>
            <w:shd w:val="clear" w:color="auto" w:fill="auto"/>
            <w:vAlign w:val="center"/>
          </w:tcPr>
          <w:p w14:paraId="6CBF17AC">
            <w:pPr>
              <w:pStyle w:val="81"/>
              <w:rPr>
                <w:color w:val="auto"/>
              </w:rPr>
            </w:pPr>
            <w:r>
              <w:rPr>
                <w:rFonts w:hint="eastAsia"/>
                <w:color w:val="auto"/>
              </w:rPr>
              <w:t>产生量（t/a）</w:t>
            </w:r>
          </w:p>
        </w:tc>
        <w:tc>
          <w:tcPr>
            <w:tcW w:w="947" w:type="pct"/>
            <w:shd w:val="clear" w:color="auto" w:fill="auto"/>
            <w:vAlign w:val="center"/>
          </w:tcPr>
          <w:p w14:paraId="79FC1EE9">
            <w:pPr>
              <w:pStyle w:val="81"/>
              <w:rPr>
                <w:color w:val="auto"/>
              </w:rPr>
            </w:pPr>
            <w:r>
              <w:rPr>
                <w:rFonts w:hint="eastAsia"/>
                <w:color w:val="auto"/>
              </w:rPr>
              <w:t>治理措施</w:t>
            </w:r>
          </w:p>
        </w:tc>
      </w:tr>
      <w:tr w14:paraId="25D5F24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restart"/>
            <w:shd w:val="clear" w:color="auto" w:fill="auto"/>
            <w:tcMar>
              <w:top w:w="28" w:type="dxa"/>
              <w:bottom w:w="28" w:type="dxa"/>
            </w:tcMar>
            <w:vAlign w:val="center"/>
          </w:tcPr>
          <w:p w14:paraId="63D261EC">
            <w:pPr>
              <w:pStyle w:val="75"/>
            </w:pPr>
            <w:r>
              <w:t>固体</w:t>
            </w:r>
          </w:p>
          <w:p w14:paraId="19038031">
            <w:pPr>
              <w:pStyle w:val="75"/>
            </w:pPr>
            <w:r>
              <w:t>废物</w:t>
            </w:r>
          </w:p>
        </w:tc>
        <w:tc>
          <w:tcPr>
            <w:tcW w:w="427" w:type="pct"/>
            <w:shd w:val="clear" w:color="auto" w:fill="auto"/>
            <w:tcMar>
              <w:top w:w="28" w:type="dxa"/>
              <w:bottom w:w="28" w:type="dxa"/>
            </w:tcMar>
            <w:vAlign w:val="center"/>
          </w:tcPr>
          <w:p w14:paraId="36598908">
            <w:pPr>
              <w:pStyle w:val="75"/>
            </w:pPr>
            <w:r>
              <w:t>S1</w:t>
            </w:r>
          </w:p>
        </w:tc>
        <w:tc>
          <w:tcPr>
            <w:tcW w:w="1796" w:type="pct"/>
            <w:shd w:val="clear" w:color="auto" w:fill="auto"/>
            <w:tcMar>
              <w:top w:w="28" w:type="dxa"/>
              <w:bottom w:w="28" w:type="dxa"/>
            </w:tcMar>
            <w:vAlign w:val="center"/>
          </w:tcPr>
          <w:p w14:paraId="23EAB859">
            <w:pPr>
              <w:pStyle w:val="75"/>
              <w:ind w:firstLine="0" w:firstLineChars="0"/>
            </w:pPr>
            <w:r>
              <w:rPr>
                <w:rFonts w:hint="eastAsia"/>
              </w:rPr>
              <w:t>废包装物</w:t>
            </w:r>
          </w:p>
        </w:tc>
        <w:tc>
          <w:tcPr>
            <w:tcW w:w="768" w:type="pct"/>
            <w:shd w:val="clear" w:color="auto" w:fill="auto"/>
            <w:tcMar>
              <w:top w:w="28" w:type="dxa"/>
              <w:bottom w:w="28" w:type="dxa"/>
            </w:tcMar>
            <w:vAlign w:val="center"/>
          </w:tcPr>
          <w:p w14:paraId="7EAEE9E6">
            <w:pPr>
              <w:pStyle w:val="75"/>
            </w:pPr>
            <w:r>
              <w:rPr>
                <w:rFonts w:hint="eastAsia"/>
              </w:rPr>
              <w:t>危险废物</w:t>
            </w:r>
          </w:p>
        </w:tc>
        <w:tc>
          <w:tcPr>
            <w:tcW w:w="640" w:type="pct"/>
            <w:shd w:val="clear" w:color="auto" w:fill="auto"/>
            <w:vAlign w:val="center"/>
          </w:tcPr>
          <w:p w14:paraId="175005E8">
            <w:pPr>
              <w:pStyle w:val="75"/>
              <w:ind w:firstLine="0" w:firstLineChars="0"/>
              <w:rPr>
                <w:rFonts w:hint="eastAsia" w:ascii="Times New Roman" w:hAnsi="Times New Roman" w:eastAsia="宋体" w:cs="Times New Roman"/>
                <w:sz w:val="21"/>
                <w:szCs w:val="21"/>
                <w:lang w:val="en-US" w:eastAsia="zh-CN" w:bidi="ar-SA"/>
              </w:rPr>
            </w:pPr>
            <w:r>
              <w:rPr>
                <w:rFonts w:hint="eastAsia"/>
                <w:lang w:val="en-US" w:eastAsia="zh-CN"/>
              </w:rPr>
              <w:t>5</w:t>
            </w:r>
          </w:p>
        </w:tc>
        <w:tc>
          <w:tcPr>
            <w:tcW w:w="947" w:type="pct"/>
            <w:vMerge w:val="restart"/>
            <w:shd w:val="clear" w:color="auto" w:fill="auto"/>
            <w:vAlign w:val="center"/>
          </w:tcPr>
          <w:p w14:paraId="73FF57BD">
            <w:pPr>
              <w:pStyle w:val="75"/>
            </w:pPr>
            <w:r>
              <w:t>专用容器收集，在危废储存间分类暂存</w:t>
            </w:r>
            <w:r>
              <w:rPr>
                <w:rFonts w:hint="eastAsia"/>
              </w:rPr>
              <w:t>，</w:t>
            </w:r>
            <w:r>
              <w:t>定期送有</w:t>
            </w:r>
            <w:r>
              <w:rPr>
                <w:rFonts w:hint="eastAsia"/>
              </w:rPr>
              <w:t>相应</w:t>
            </w:r>
            <w:r>
              <w:t>危废</w:t>
            </w:r>
            <w:r>
              <w:rPr>
                <w:rFonts w:hint="eastAsia"/>
              </w:rPr>
              <w:t>处置</w:t>
            </w:r>
            <w:r>
              <w:t>资质的单位</w:t>
            </w:r>
            <w:r>
              <w:rPr>
                <w:rFonts w:hint="eastAsia"/>
              </w:rPr>
              <w:t>处置</w:t>
            </w:r>
          </w:p>
        </w:tc>
      </w:tr>
      <w:tr w14:paraId="5F592C05">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0F886867">
            <w:pPr>
              <w:pStyle w:val="75"/>
            </w:pPr>
          </w:p>
        </w:tc>
        <w:tc>
          <w:tcPr>
            <w:tcW w:w="427" w:type="pct"/>
            <w:shd w:val="clear" w:color="auto" w:fill="auto"/>
            <w:tcMar>
              <w:top w:w="28" w:type="dxa"/>
              <w:bottom w:w="28" w:type="dxa"/>
            </w:tcMar>
            <w:vAlign w:val="center"/>
          </w:tcPr>
          <w:p w14:paraId="7F19E3FF">
            <w:pPr>
              <w:pStyle w:val="75"/>
            </w:pPr>
            <w:r>
              <w:rPr>
                <w:rFonts w:hint="eastAsia"/>
              </w:rPr>
              <w:t>S2</w:t>
            </w:r>
          </w:p>
        </w:tc>
        <w:tc>
          <w:tcPr>
            <w:tcW w:w="1796" w:type="pct"/>
            <w:shd w:val="clear" w:color="auto" w:fill="auto"/>
            <w:tcMar>
              <w:top w:w="28" w:type="dxa"/>
              <w:bottom w:w="28" w:type="dxa"/>
            </w:tcMar>
            <w:vAlign w:val="center"/>
          </w:tcPr>
          <w:p w14:paraId="1F4CB0C3">
            <w:pPr>
              <w:pStyle w:val="75"/>
              <w:ind w:firstLine="0" w:firstLineChars="0"/>
            </w:pPr>
            <w:r>
              <w:rPr>
                <w:rFonts w:hint="eastAsia"/>
              </w:rPr>
              <w:t>废液压油</w:t>
            </w:r>
          </w:p>
        </w:tc>
        <w:tc>
          <w:tcPr>
            <w:tcW w:w="768" w:type="pct"/>
            <w:shd w:val="clear" w:color="auto" w:fill="auto"/>
            <w:tcMar>
              <w:top w:w="28" w:type="dxa"/>
              <w:bottom w:w="28" w:type="dxa"/>
            </w:tcMar>
            <w:vAlign w:val="center"/>
          </w:tcPr>
          <w:p w14:paraId="5C25FDE2">
            <w:pPr>
              <w:pStyle w:val="75"/>
            </w:pPr>
            <w:r>
              <w:rPr>
                <w:rFonts w:hint="eastAsia"/>
              </w:rPr>
              <w:t>危险废物</w:t>
            </w:r>
          </w:p>
        </w:tc>
        <w:tc>
          <w:tcPr>
            <w:tcW w:w="640" w:type="pct"/>
            <w:shd w:val="clear" w:color="auto" w:fill="auto"/>
            <w:vAlign w:val="center"/>
          </w:tcPr>
          <w:p w14:paraId="3889A729">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4.9</w:t>
            </w:r>
          </w:p>
        </w:tc>
        <w:tc>
          <w:tcPr>
            <w:tcW w:w="947" w:type="pct"/>
            <w:vMerge w:val="continue"/>
            <w:shd w:val="clear" w:color="auto" w:fill="auto"/>
            <w:vAlign w:val="center"/>
          </w:tcPr>
          <w:p w14:paraId="13DEA47E">
            <w:pPr>
              <w:pStyle w:val="75"/>
            </w:pPr>
          </w:p>
        </w:tc>
      </w:tr>
      <w:tr w14:paraId="0F2A3E4F">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BBCA17B">
            <w:pPr>
              <w:pStyle w:val="75"/>
            </w:pPr>
          </w:p>
        </w:tc>
        <w:tc>
          <w:tcPr>
            <w:tcW w:w="427" w:type="pct"/>
            <w:shd w:val="clear" w:color="auto" w:fill="auto"/>
            <w:tcMar>
              <w:top w:w="28" w:type="dxa"/>
              <w:bottom w:w="28" w:type="dxa"/>
            </w:tcMar>
            <w:vAlign w:val="center"/>
          </w:tcPr>
          <w:p w14:paraId="2E8B9FAF">
            <w:pPr>
              <w:pStyle w:val="75"/>
            </w:pPr>
            <w:r>
              <w:t>S</w:t>
            </w:r>
            <w:r>
              <w:rPr>
                <w:rFonts w:hint="eastAsia"/>
              </w:rPr>
              <w:t>3</w:t>
            </w:r>
          </w:p>
        </w:tc>
        <w:tc>
          <w:tcPr>
            <w:tcW w:w="1796" w:type="pct"/>
            <w:shd w:val="clear" w:color="auto" w:fill="auto"/>
            <w:tcMar>
              <w:top w:w="28" w:type="dxa"/>
              <w:bottom w:w="28" w:type="dxa"/>
            </w:tcMar>
            <w:vAlign w:val="center"/>
          </w:tcPr>
          <w:p w14:paraId="3D79D8A9">
            <w:pPr>
              <w:pStyle w:val="75"/>
              <w:ind w:firstLine="0" w:firstLineChars="0"/>
            </w:pPr>
            <w:r>
              <w:rPr>
                <w:rFonts w:hint="eastAsia"/>
              </w:rPr>
              <w:t>废滤芯和废活性炭</w:t>
            </w:r>
          </w:p>
        </w:tc>
        <w:tc>
          <w:tcPr>
            <w:tcW w:w="768" w:type="pct"/>
            <w:shd w:val="clear" w:color="auto" w:fill="auto"/>
            <w:tcMar>
              <w:top w:w="28" w:type="dxa"/>
              <w:bottom w:w="28" w:type="dxa"/>
            </w:tcMar>
            <w:vAlign w:val="center"/>
          </w:tcPr>
          <w:p w14:paraId="0679AE4E">
            <w:pPr>
              <w:pStyle w:val="75"/>
            </w:pPr>
            <w:r>
              <w:rPr>
                <w:rFonts w:hint="eastAsia"/>
              </w:rPr>
              <w:t>危险废物</w:t>
            </w:r>
          </w:p>
        </w:tc>
        <w:tc>
          <w:tcPr>
            <w:tcW w:w="640" w:type="pct"/>
            <w:shd w:val="clear" w:color="auto" w:fill="auto"/>
            <w:vAlign w:val="center"/>
          </w:tcPr>
          <w:p w14:paraId="052090D3">
            <w:pPr>
              <w:pStyle w:val="75"/>
              <w:ind w:firstLine="0" w:firstLineChars="0"/>
              <w:rPr>
                <w:rFonts w:ascii="Times New Roman" w:hAnsi="Times New Roman" w:eastAsia="宋体" w:cs="Times New Roman"/>
                <w:sz w:val="21"/>
                <w:szCs w:val="21"/>
                <w:lang w:val="en-US" w:eastAsia="zh-CN" w:bidi="ar-SA"/>
              </w:rPr>
            </w:pPr>
            <w:r>
              <w:rPr>
                <w:rFonts w:hint="eastAsia"/>
              </w:rPr>
              <w:t>3</w:t>
            </w:r>
          </w:p>
        </w:tc>
        <w:tc>
          <w:tcPr>
            <w:tcW w:w="947" w:type="pct"/>
            <w:vMerge w:val="continue"/>
            <w:shd w:val="clear" w:color="auto" w:fill="auto"/>
            <w:vAlign w:val="center"/>
          </w:tcPr>
          <w:p w14:paraId="4D60A1C1">
            <w:pPr>
              <w:pStyle w:val="75"/>
            </w:pPr>
          </w:p>
        </w:tc>
      </w:tr>
      <w:tr w14:paraId="7824207B">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62A52454">
            <w:pPr>
              <w:pStyle w:val="75"/>
            </w:pPr>
          </w:p>
        </w:tc>
        <w:tc>
          <w:tcPr>
            <w:tcW w:w="427" w:type="pct"/>
            <w:shd w:val="clear" w:color="auto" w:fill="auto"/>
            <w:tcMar>
              <w:top w:w="28" w:type="dxa"/>
              <w:bottom w:w="28" w:type="dxa"/>
            </w:tcMar>
            <w:vAlign w:val="center"/>
          </w:tcPr>
          <w:p w14:paraId="746F9D3A">
            <w:pPr>
              <w:pStyle w:val="75"/>
            </w:pPr>
            <w:r>
              <w:t>S</w:t>
            </w:r>
            <w:r>
              <w:rPr>
                <w:rFonts w:hint="eastAsia"/>
              </w:rPr>
              <w:t>4</w:t>
            </w:r>
          </w:p>
        </w:tc>
        <w:tc>
          <w:tcPr>
            <w:tcW w:w="1796" w:type="pct"/>
            <w:shd w:val="clear" w:color="auto" w:fill="auto"/>
            <w:tcMar>
              <w:top w:w="28" w:type="dxa"/>
              <w:bottom w:w="28" w:type="dxa"/>
            </w:tcMar>
            <w:vAlign w:val="center"/>
          </w:tcPr>
          <w:p w14:paraId="78EFBDCB">
            <w:pPr>
              <w:pStyle w:val="75"/>
              <w:ind w:firstLine="0" w:firstLineChars="0"/>
            </w:pPr>
            <w:r>
              <w:rPr>
                <w:rFonts w:hint="eastAsia"/>
              </w:rPr>
              <w:t>废槽渣</w:t>
            </w:r>
          </w:p>
        </w:tc>
        <w:tc>
          <w:tcPr>
            <w:tcW w:w="768" w:type="pct"/>
            <w:shd w:val="clear" w:color="auto" w:fill="auto"/>
            <w:tcMar>
              <w:top w:w="28" w:type="dxa"/>
              <w:bottom w:w="28" w:type="dxa"/>
            </w:tcMar>
            <w:vAlign w:val="center"/>
          </w:tcPr>
          <w:p w14:paraId="2050FB2D">
            <w:pPr>
              <w:pStyle w:val="75"/>
            </w:pPr>
            <w:r>
              <w:rPr>
                <w:rFonts w:hint="eastAsia"/>
              </w:rPr>
              <w:t>危险废物</w:t>
            </w:r>
          </w:p>
        </w:tc>
        <w:tc>
          <w:tcPr>
            <w:tcW w:w="640" w:type="pct"/>
            <w:shd w:val="clear" w:color="auto" w:fill="auto"/>
            <w:vAlign w:val="center"/>
          </w:tcPr>
          <w:p w14:paraId="5DC0AC83">
            <w:pPr>
              <w:pStyle w:val="75"/>
              <w:ind w:firstLine="0" w:firstLineChars="0"/>
              <w:rPr>
                <w:rFonts w:ascii="Times New Roman" w:hAnsi="Times New Roman" w:eastAsia="宋体" w:cs="Times New Roman"/>
                <w:sz w:val="21"/>
                <w:szCs w:val="21"/>
                <w:highlight w:val="none"/>
                <w:lang w:val="en-US" w:eastAsia="zh-CN" w:bidi="ar-SA"/>
              </w:rPr>
            </w:pPr>
            <w:r>
              <w:rPr>
                <w:rFonts w:hint="eastAsia" w:cs="宋体"/>
                <w:highlight w:val="none"/>
                <w:lang w:val="en-US" w:eastAsia="zh-CN"/>
              </w:rPr>
              <w:t>6.7518</w:t>
            </w:r>
          </w:p>
        </w:tc>
        <w:tc>
          <w:tcPr>
            <w:tcW w:w="947" w:type="pct"/>
            <w:vMerge w:val="continue"/>
            <w:shd w:val="clear" w:color="auto" w:fill="auto"/>
            <w:vAlign w:val="center"/>
          </w:tcPr>
          <w:p w14:paraId="43A6FC26">
            <w:pPr>
              <w:pStyle w:val="75"/>
            </w:pPr>
          </w:p>
        </w:tc>
      </w:tr>
      <w:tr w14:paraId="50243C32">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CFF175B">
            <w:pPr>
              <w:pStyle w:val="75"/>
            </w:pPr>
          </w:p>
        </w:tc>
        <w:tc>
          <w:tcPr>
            <w:tcW w:w="427" w:type="pct"/>
            <w:shd w:val="clear" w:color="auto" w:fill="auto"/>
            <w:tcMar>
              <w:top w:w="28" w:type="dxa"/>
              <w:bottom w:w="28" w:type="dxa"/>
            </w:tcMar>
            <w:vAlign w:val="center"/>
          </w:tcPr>
          <w:p w14:paraId="012FBD87">
            <w:pPr>
              <w:pStyle w:val="75"/>
            </w:pPr>
            <w:r>
              <w:rPr>
                <w:rFonts w:hint="eastAsia"/>
              </w:rPr>
              <w:t>S5</w:t>
            </w:r>
          </w:p>
        </w:tc>
        <w:tc>
          <w:tcPr>
            <w:tcW w:w="1796" w:type="pct"/>
            <w:shd w:val="clear" w:color="auto" w:fill="auto"/>
            <w:tcMar>
              <w:top w:w="28" w:type="dxa"/>
              <w:bottom w:w="28" w:type="dxa"/>
            </w:tcMar>
            <w:vAlign w:val="center"/>
          </w:tcPr>
          <w:p w14:paraId="1F8691C0">
            <w:pPr>
              <w:pStyle w:val="75"/>
              <w:ind w:firstLine="0" w:firstLineChars="0"/>
            </w:pPr>
            <w:r>
              <w:rPr>
                <w:rFonts w:hint="eastAsia"/>
              </w:rPr>
              <w:t>废油渣</w:t>
            </w:r>
          </w:p>
        </w:tc>
        <w:tc>
          <w:tcPr>
            <w:tcW w:w="768" w:type="pct"/>
            <w:shd w:val="clear" w:color="auto" w:fill="auto"/>
            <w:tcMar>
              <w:top w:w="28" w:type="dxa"/>
              <w:bottom w:w="28" w:type="dxa"/>
            </w:tcMar>
            <w:vAlign w:val="center"/>
          </w:tcPr>
          <w:p w14:paraId="089244F4">
            <w:pPr>
              <w:pStyle w:val="75"/>
            </w:pPr>
            <w:r>
              <w:rPr>
                <w:rFonts w:hint="eastAsia"/>
              </w:rPr>
              <w:t>危险废物</w:t>
            </w:r>
          </w:p>
        </w:tc>
        <w:tc>
          <w:tcPr>
            <w:tcW w:w="640" w:type="pct"/>
            <w:shd w:val="clear" w:color="auto" w:fill="auto"/>
            <w:vAlign w:val="center"/>
          </w:tcPr>
          <w:p w14:paraId="6E6BE738">
            <w:pPr>
              <w:pStyle w:val="75"/>
              <w:ind w:firstLine="0" w:firstLineChars="0"/>
              <w:rPr>
                <w:rFonts w:ascii="Times New Roman" w:hAnsi="Times New Roman" w:eastAsia="宋体" w:cs="Times New Roman"/>
                <w:sz w:val="21"/>
                <w:szCs w:val="21"/>
                <w:lang w:val="en-US" w:eastAsia="zh-CN" w:bidi="ar-SA"/>
              </w:rPr>
            </w:pPr>
            <w:r>
              <w:rPr>
                <w:rFonts w:hint="eastAsia"/>
              </w:rPr>
              <w:t>1.5</w:t>
            </w:r>
          </w:p>
        </w:tc>
        <w:tc>
          <w:tcPr>
            <w:tcW w:w="947" w:type="pct"/>
            <w:vMerge w:val="continue"/>
            <w:shd w:val="clear" w:color="auto" w:fill="auto"/>
            <w:vAlign w:val="center"/>
          </w:tcPr>
          <w:p w14:paraId="3C9235BC">
            <w:pPr>
              <w:pStyle w:val="75"/>
            </w:pPr>
          </w:p>
        </w:tc>
      </w:tr>
      <w:tr w14:paraId="7C6D318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9262E45">
            <w:pPr>
              <w:pStyle w:val="75"/>
            </w:pPr>
          </w:p>
        </w:tc>
        <w:tc>
          <w:tcPr>
            <w:tcW w:w="427" w:type="pct"/>
            <w:shd w:val="clear" w:color="auto" w:fill="auto"/>
            <w:tcMar>
              <w:top w:w="28" w:type="dxa"/>
              <w:bottom w:w="28" w:type="dxa"/>
            </w:tcMar>
            <w:vAlign w:val="center"/>
          </w:tcPr>
          <w:p w14:paraId="68C9DA51">
            <w:pPr>
              <w:pStyle w:val="75"/>
            </w:pPr>
            <w:r>
              <w:rPr>
                <w:rFonts w:hint="eastAsia"/>
              </w:rPr>
              <w:t>S6</w:t>
            </w:r>
          </w:p>
        </w:tc>
        <w:tc>
          <w:tcPr>
            <w:tcW w:w="1796" w:type="pct"/>
            <w:shd w:val="clear" w:color="auto" w:fill="auto"/>
            <w:tcMar>
              <w:top w:w="28" w:type="dxa"/>
              <w:bottom w:w="28" w:type="dxa"/>
            </w:tcMar>
            <w:vAlign w:val="center"/>
          </w:tcPr>
          <w:p w14:paraId="22C939AF">
            <w:pPr>
              <w:pStyle w:val="75"/>
              <w:ind w:firstLine="0" w:firstLineChars="0"/>
            </w:pPr>
            <w:r>
              <w:t>含</w:t>
            </w:r>
            <w:r>
              <w:rPr>
                <w:rFonts w:hint="eastAsia"/>
              </w:rPr>
              <w:t>镍污泥</w:t>
            </w:r>
          </w:p>
        </w:tc>
        <w:tc>
          <w:tcPr>
            <w:tcW w:w="768" w:type="pct"/>
            <w:shd w:val="clear" w:color="auto" w:fill="auto"/>
            <w:tcMar>
              <w:top w:w="28" w:type="dxa"/>
              <w:bottom w:w="28" w:type="dxa"/>
            </w:tcMar>
            <w:vAlign w:val="center"/>
          </w:tcPr>
          <w:p w14:paraId="1CB6A367">
            <w:pPr>
              <w:pStyle w:val="75"/>
            </w:pPr>
            <w:r>
              <w:rPr>
                <w:rFonts w:hint="eastAsia"/>
              </w:rPr>
              <w:t>危险废物</w:t>
            </w:r>
          </w:p>
        </w:tc>
        <w:tc>
          <w:tcPr>
            <w:tcW w:w="640" w:type="pct"/>
            <w:shd w:val="clear" w:color="auto" w:fill="auto"/>
            <w:vAlign w:val="center"/>
          </w:tcPr>
          <w:p w14:paraId="25A75C12">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37.9515</w:t>
            </w:r>
          </w:p>
        </w:tc>
        <w:tc>
          <w:tcPr>
            <w:tcW w:w="947" w:type="pct"/>
            <w:vMerge w:val="continue"/>
            <w:shd w:val="clear" w:color="auto" w:fill="auto"/>
            <w:vAlign w:val="center"/>
          </w:tcPr>
          <w:p w14:paraId="2083D41D">
            <w:pPr>
              <w:pStyle w:val="75"/>
            </w:pPr>
          </w:p>
        </w:tc>
      </w:tr>
      <w:tr w14:paraId="0C189E30">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0410FAF5">
            <w:pPr>
              <w:pStyle w:val="75"/>
            </w:pPr>
          </w:p>
        </w:tc>
        <w:tc>
          <w:tcPr>
            <w:tcW w:w="427" w:type="pct"/>
            <w:shd w:val="clear" w:color="auto" w:fill="auto"/>
            <w:tcMar>
              <w:top w:w="28" w:type="dxa"/>
              <w:bottom w:w="28" w:type="dxa"/>
            </w:tcMar>
            <w:vAlign w:val="center"/>
          </w:tcPr>
          <w:p w14:paraId="1A783B6F">
            <w:pPr>
              <w:pStyle w:val="75"/>
            </w:pPr>
            <w:r>
              <w:rPr>
                <w:rFonts w:hint="eastAsia"/>
              </w:rPr>
              <w:t>S7</w:t>
            </w:r>
          </w:p>
        </w:tc>
        <w:tc>
          <w:tcPr>
            <w:tcW w:w="1796" w:type="pct"/>
            <w:shd w:val="clear" w:color="auto" w:fill="auto"/>
            <w:tcMar>
              <w:top w:w="28" w:type="dxa"/>
              <w:bottom w:w="28" w:type="dxa"/>
            </w:tcMar>
            <w:vAlign w:val="center"/>
          </w:tcPr>
          <w:p w14:paraId="118CCE2B">
            <w:pPr>
              <w:pStyle w:val="75"/>
              <w:ind w:firstLine="0" w:firstLineChars="0"/>
            </w:pPr>
            <w:r>
              <w:t>含</w:t>
            </w:r>
            <w:r>
              <w:rPr>
                <w:rFonts w:hint="eastAsia"/>
              </w:rPr>
              <w:t>镍</w:t>
            </w:r>
            <w:r>
              <w:rPr>
                <w:rFonts w:hint="eastAsia" w:ascii="宋体" w:hAnsi="宋体"/>
              </w:rPr>
              <w:t>废活性炭</w:t>
            </w:r>
          </w:p>
        </w:tc>
        <w:tc>
          <w:tcPr>
            <w:tcW w:w="768" w:type="pct"/>
            <w:shd w:val="clear" w:color="auto" w:fill="auto"/>
            <w:tcMar>
              <w:top w:w="28" w:type="dxa"/>
              <w:bottom w:w="28" w:type="dxa"/>
            </w:tcMar>
            <w:vAlign w:val="center"/>
          </w:tcPr>
          <w:p w14:paraId="61CE0DFA">
            <w:pPr>
              <w:pStyle w:val="75"/>
            </w:pPr>
            <w:r>
              <w:rPr>
                <w:rFonts w:hint="eastAsia"/>
              </w:rPr>
              <w:t>危险废物</w:t>
            </w:r>
          </w:p>
        </w:tc>
        <w:tc>
          <w:tcPr>
            <w:tcW w:w="640" w:type="pct"/>
            <w:shd w:val="clear" w:color="auto" w:fill="auto"/>
            <w:vAlign w:val="center"/>
          </w:tcPr>
          <w:p w14:paraId="38FB1F2A">
            <w:pPr>
              <w:pStyle w:val="75"/>
              <w:ind w:firstLine="0" w:firstLineChars="0"/>
              <w:rPr>
                <w:rFonts w:ascii="Times New Roman" w:hAnsi="Times New Roman" w:eastAsia="宋体" w:cs="Times New Roman"/>
                <w:sz w:val="21"/>
                <w:szCs w:val="21"/>
                <w:lang w:val="en-US" w:eastAsia="zh-CN" w:bidi="ar-SA"/>
              </w:rPr>
            </w:pPr>
            <w:r>
              <w:rPr>
                <w:rFonts w:hint="eastAsia"/>
              </w:rPr>
              <w:t>0.1</w:t>
            </w:r>
          </w:p>
        </w:tc>
        <w:tc>
          <w:tcPr>
            <w:tcW w:w="947" w:type="pct"/>
            <w:vMerge w:val="continue"/>
            <w:shd w:val="clear" w:color="auto" w:fill="auto"/>
            <w:vAlign w:val="center"/>
          </w:tcPr>
          <w:p w14:paraId="14E764F4">
            <w:pPr>
              <w:pStyle w:val="75"/>
            </w:pPr>
          </w:p>
        </w:tc>
      </w:tr>
      <w:tr w14:paraId="07118E11">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0A4F4C4A">
            <w:pPr>
              <w:pStyle w:val="75"/>
            </w:pPr>
          </w:p>
        </w:tc>
        <w:tc>
          <w:tcPr>
            <w:tcW w:w="427" w:type="pct"/>
            <w:shd w:val="clear" w:color="auto" w:fill="auto"/>
            <w:tcMar>
              <w:top w:w="28" w:type="dxa"/>
              <w:bottom w:w="28" w:type="dxa"/>
            </w:tcMar>
            <w:vAlign w:val="center"/>
          </w:tcPr>
          <w:p w14:paraId="1F2E60BE">
            <w:pPr>
              <w:pStyle w:val="75"/>
            </w:pPr>
            <w:r>
              <w:rPr>
                <w:rFonts w:hint="eastAsia"/>
              </w:rPr>
              <w:t>S8</w:t>
            </w:r>
          </w:p>
        </w:tc>
        <w:tc>
          <w:tcPr>
            <w:tcW w:w="1796" w:type="pct"/>
            <w:shd w:val="clear" w:color="auto" w:fill="auto"/>
            <w:tcMar>
              <w:top w:w="28" w:type="dxa"/>
              <w:bottom w:w="28" w:type="dxa"/>
            </w:tcMar>
            <w:vAlign w:val="center"/>
          </w:tcPr>
          <w:p w14:paraId="514212CB">
            <w:pPr>
              <w:pStyle w:val="75"/>
              <w:ind w:firstLine="0" w:firstLineChars="0"/>
            </w:pPr>
            <w:r>
              <w:t>含</w:t>
            </w:r>
            <w:r>
              <w:rPr>
                <w:rFonts w:hint="eastAsia"/>
              </w:rPr>
              <w:t>镍</w:t>
            </w:r>
            <w:r>
              <w:t>废</w:t>
            </w:r>
            <w:r>
              <w:rPr>
                <w:rFonts w:hint="eastAsia"/>
              </w:rPr>
              <w:t>过滤膜</w:t>
            </w:r>
          </w:p>
        </w:tc>
        <w:tc>
          <w:tcPr>
            <w:tcW w:w="768" w:type="pct"/>
            <w:shd w:val="clear" w:color="auto" w:fill="auto"/>
            <w:tcMar>
              <w:top w:w="28" w:type="dxa"/>
              <w:bottom w:w="28" w:type="dxa"/>
            </w:tcMar>
            <w:vAlign w:val="center"/>
          </w:tcPr>
          <w:p w14:paraId="6ED7D14E">
            <w:pPr>
              <w:pStyle w:val="75"/>
            </w:pPr>
            <w:r>
              <w:rPr>
                <w:rFonts w:hint="eastAsia"/>
              </w:rPr>
              <w:t>危险废物</w:t>
            </w:r>
          </w:p>
        </w:tc>
        <w:tc>
          <w:tcPr>
            <w:tcW w:w="640" w:type="pct"/>
            <w:shd w:val="clear" w:color="auto" w:fill="auto"/>
            <w:vAlign w:val="center"/>
          </w:tcPr>
          <w:p w14:paraId="68859C30">
            <w:pPr>
              <w:pStyle w:val="75"/>
              <w:ind w:firstLine="0" w:firstLineChars="0"/>
              <w:rPr>
                <w:rFonts w:ascii="Times New Roman" w:hAnsi="Times New Roman" w:eastAsia="宋体" w:cs="Times New Roman"/>
                <w:sz w:val="21"/>
                <w:szCs w:val="21"/>
                <w:lang w:val="en-US" w:eastAsia="zh-CN" w:bidi="ar-SA"/>
              </w:rPr>
            </w:pPr>
            <w:r>
              <w:rPr>
                <w:rFonts w:hint="eastAsia"/>
              </w:rPr>
              <w:t>0.05</w:t>
            </w:r>
          </w:p>
        </w:tc>
        <w:tc>
          <w:tcPr>
            <w:tcW w:w="947" w:type="pct"/>
            <w:vMerge w:val="continue"/>
            <w:shd w:val="clear" w:color="auto" w:fill="auto"/>
            <w:vAlign w:val="center"/>
          </w:tcPr>
          <w:p w14:paraId="68C5CB35">
            <w:pPr>
              <w:pStyle w:val="75"/>
            </w:pPr>
          </w:p>
        </w:tc>
      </w:tr>
      <w:tr w14:paraId="463CB64D">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4783E589">
            <w:pPr>
              <w:pStyle w:val="75"/>
            </w:pPr>
          </w:p>
        </w:tc>
        <w:tc>
          <w:tcPr>
            <w:tcW w:w="427" w:type="pct"/>
            <w:shd w:val="clear" w:color="auto" w:fill="auto"/>
            <w:tcMar>
              <w:top w:w="28" w:type="dxa"/>
              <w:bottom w:w="28" w:type="dxa"/>
            </w:tcMar>
            <w:vAlign w:val="center"/>
          </w:tcPr>
          <w:p w14:paraId="2A099DED">
            <w:pPr>
              <w:pStyle w:val="75"/>
            </w:pPr>
            <w:r>
              <w:rPr>
                <w:rFonts w:hint="eastAsia"/>
              </w:rPr>
              <w:t>S9</w:t>
            </w:r>
          </w:p>
        </w:tc>
        <w:tc>
          <w:tcPr>
            <w:tcW w:w="1796" w:type="pct"/>
            <w:shd w:val="clear" w:color="auto" w:fill="auto"/>
            <w:tcMar>
              <w:top w:w="28" w:type="dxa"/>
              <w:bottom w:w="28" w:type="dxa"/>
            </w:tcMar>
            <w:vAlign w:val="center"/>
          </w:tcPr>
          <w:p w14:paraId="4DFC48D1">
            <w:pPr>
              <w:pStyle w:val="75"/>
              <w:ind w:firstLine="0" w:firstLineChars="0"/>
            </w:pPr>
            <w:r>
              <w:t>含</w:t>
            </w:r>
            <w:r>
              <w:rPr>
                <w:rFonts w:hint="eastAsia"/>
              </w:rPr>
              <w:t>铬污泥</w:t>
            </w:r>
          </w:p>
        </w:tc>
        <w:tc>
          <w:tcPr>
            <w:tcW w:w="768" w:type="pct"/>
            <w:shd w:val="clear" w:color="auto" w:fill="auto"/>
            <w:tcMar>
              <w:top w:w="28" w:type="dxa"/>
              <w:bottom w:w="28" w:type="dxa"/>
            </w:tcMar>
            <w:vAlign w:val="center"/>
          </w:tcPr>
          <w:p w14:paraId="62824AD9">
            <w:pPr>
              <w:pStyle w:val="75"/>
            </w:pPr>
            <w:r>
              <w:rPr>
                <w:rFonts w:hint="eastAsia"/>
              </w:rPr>
              <w:t>危险废物</w:t>
            </w:r>
          </w:p>
        </w:tc>
        <w:tc>
          <w:tcPr>
            <w:tcW w:w="640" w:type="pct"/>
            <w:shd w:val="clear" w:color="auto" w:fill="auto"/>
            <w:vAlign w:val="center"/>
          </w:tcPr>
          <w:p w14:paraId="3B7E4744">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1.0643</w:t>
            </w:r>
          </w:p>
        </w:tc>
        <w:tc>
          <w:tcPr>
            <w:tcW w:w="947" w:type="pct"/>
            <w:vMerge w:val="continue"/>
            <w:shd w:val="clear" w:color="auto" w:fill="auto"/>
            <w:vAlign w:val="center"/>
          </w:tcPr>
          <w:p w14:paraId="7680CCC6">
            <w:pPr>
              <w:pStyle w:val="75"/>
            </w:pPr>
          </w:p>
        </w:tc>
      </w:tr>
      <w:tr w14:paraId="143112A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222A70E1">
            <w:pPr>
              <w:pStyle w:val="75"/>
            </w:pPr>
          </w:p>
        </w:tc>
        <w:tc>
          <w:tcPr>
            <w:tcW w:w="427" w:type="pct"/>
            <w:shd w:val="clear" w:color="auto" w:fill="auto"/>
            <w:tcMar>
              <w:top w:w="28" w:type="dxa"/>
              <w:bottom w:w="28" w:type="dxa"/>
            </w:tcMar>
            <w:vAlign w:val="center"/>
          </w:tcPr>
          <w:p w14:paraId="51393776">
            <w:pPr>
              <w:pStyle w:val="75"/>
            </w:pPr>
            <w:r>
              <w:rPr>
                <w:rFonts w:hint="eastAsia"/>
              </w:rPr>
              <w:t>S10</w:t>
            </w:r>
          </w:p>
        </w:tc>
        <w:tc>
          <w:tcPr>
            <w:tcW w:w="1796" w:type="pct"/>
            <w:shd w:val="clear" w:color="auto" w:fill="auto"/>
            <w:tcMar>
              <w:top w:w="28" w:type="dxa"/>
              <w:bottom w:w="28" w:type="dxa"/>
            </w:tcMar>
            <w:vAlign w:val="center"/>
          </w:tcPr>
          <w:p w14:paraId="1B118DE6">
            <w:pPr>
              <w:pStyle w:val="75"/>
              <w:ind w:firstLine="0" w:firstLineChars="0"/>
            </w:pPr>
            <w:r>
              <w:t>含</w:t>
            </w:r>
            <w:r>
              <w:rPr>
                <w:rFonts w:hint="eastAsia"/>
              </w:rPr>
              <w:t>铬</w:t>
            </w:r>
            <w:r>
              <w:rPr>
                <w:rFonts w:hint="eastAsia" w:ascii="宋体" w:hAnsi="宋体"/>
              </w:rPr>
              <w:t>废活性炭</w:t>
            </w:r>
          </w:p>
        </w:tc>
        <w:tc>
          <w:tcPr>
            <w:tcW w:w="768" w:type="pct"/>
            <w:shd w:val="clear" w:color="auto" w:fill="auto"/>
            <w:tcMar>
              <w:top w:w="28" w:type="dxa"/>
              <w:bottom w:w="28" w:type="dxa"/>
            </w:tcMar>
            <w:vAlign w:val="center"/>
          </w:tcPr>
          <w:p w14:paraId="0B7D76D7">
            <w:pPr>
              <w:pStyle w:val="75"/>
            </w:pPr>
            <w:r>
              <w:rPr>
                <w:rFonts w:hint="eastAsia"/>
              </w:rPr>
              <w:t>危险废物</w:t>
            </w:r>
          </w:p>
        </w:tc>
        <w:tc>
          <w:tcPr>
            <w:tcW w:w="640" w:type="pct"/>
            <w:shd w:val="clear" w:color="auto" w:fill="auto"/>
            <w:vAlign w:val="center"/>
          </w:tcPr>
          <w:p w14:paraId="6744D81D">
            <w:pPr>
              <w:pStyle w:val="75"/>
              <w:ind w:firstLine="0" w:firstLineChars="0"/>
              <w:rPr>
                <w:rFonts w:ascii="Times New Roman" w:hAnsi="Times New Roman" w:eastAsia="宋体" w:cs="Times New Roman"/>
                <w:sz w:val="21"/>
                <w:szCs w:val="21"/>
                <w:lang w:val="en-US" w:eastAsia="zh-CN" w:bidi="ar-SA"/>
              </w:rPr>
            </w:pPr>
            <w:r>
              <w:rPr>
                <w:rFonts w:hint="eastAsia"/>
              </w:rPr>
              <w:t>0.1</w:t>
            </w:r>
          </w:p>
        </w:tc>
        <w:tc>
          <w:tcPr>
            <w:tcW w:w="947" w:type="pct"/>
            <w:vMerge w:val="continue"/>
            <w:shd w:val="clear" w:color="auto" w:fill="auto"/>
            <w:vAlign w:val="center"/>
          </w:tcPr>
          <w:p w14:paraId="5723D1B6">
            <w:pPr>
              <w:pStyle w:val="75"/>
            </w:pPr>
          </w:p>
        </w:tc>
      </w:tr>
      <w:tr w14:paraId="251D2EA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39A55AD9">
            <w:pPr>
              <w:pStyle w:val="75"/>
            </w:pPr>
          </w:p>
        </w:tc>
        <w:tc>
          <w:tcPr>
            <w:tcW w:w="427" w:type="pct"/>
            <w:shd w:val="clear" w:color="auto" w:fill="auto"/>
            <w:tcMar>
              <w:top w:w="28" w:type="dxa"/>
              <w:bottom w:w="28" w:type="dxa"/>
            </w:tcMar>
            <w:vAlign w:val="center"/>
          </w:tcPr>
          <w:p w14:paraId="179B09EE">
            <w:pPr>
              <w:pStyle w:val="75"/>
            </w:pPr>
            <w:r>
              <w:rPr>
                <w:rFonts w:hint="eastAsia"/>
              </w:rPr>
              <w:t>S11</w:t>
            </w:r>
          </w:p>
        </w:tc>
        <w:tc>
          <w:tcPr>
            <w:tcW w:w="1796" w:type="pct"/>
            <w:shd w:val="clear" w:color="auto" w:fill="auto"/>
            <w:tcMar>
              <w:top w:w="28" w:type="dxa"/>
              <w:bottom w:w="28" w:type="dxa"/>
            </w:tcMar>
            <w:vAlign w:val="center"/>
          </w:tcPr>
          <w:p w14:paraId="31D8B3CC">
            <w:pPr>
              <w:pStyle w:val="75"/>
              <w:ind w:firstLine="0" w:firstLineChars="0"/>
            </w:pPr>
            <w:r>
              <w:t>含</w:t>
            </w:r>
            <w:r>
              <w:rPr>
                <w:rFonts w:hint="eastAsia"/>
              </w:rPr>
              <w:t>铬</w:t>
            </w:r>
            <w:r>
              <w:t>废</w:t>
            </w:r>
            <w:r>
              <w:rPr>
                <w:rFonts w:hint="eastAsia"/>
              </w:rPr>
              <w:t>过滤膜</w:t>
            </w:r>
          </w:p>
        </w:tc>
        <w:tc>
          <w:tcPr>
            <w:tcW w:w="768" w:type="pct"/>
            <w:shd w:val="clear" w:color="auto" w:fill="auto"/>
            <w:tcMar>
              <w:top w:w="28" w:type="dxa"/>
              <w:bottom w:w="28" w:type="dxa"/>
            </w:tcMar>
            <w:vAlign w:val="center"/>
          </w:tcPr>
          <w:p w14:paraId="617665C2">
            <w:pPr>
              <w:pStyle w:val="75"/>
            </w:pPr>
            <w:r>
              <w:rPr>
                <w:rFonts w:hint="eastAsia"/>
              </w:rPr>
              <w:t>危险废物</w:t>
            </w:r>
          </w:p>
        </w:tc>
        <w:tc>
          <w:tcPr>
            <w:tcW w:w="640" w:type="pct"/>
            <w:shd w:val="clear" w:color="auto" w:fill="auto"/>
            <w:vAlign w:val="center"/>
          </w:tcPr>
          <w:p w14:paraId="162ABCB7">
            <w:pPr>
              <w:pStyle w:val="75"/>
              <w:ind w:firstLine="0" w:firstLineChars="0"/>
              <w:rPr>
                <w:rFonts w:ascii="Times New Roman" w:hAnsi="Times New Roman" w:eastAsia="宋体" w:cs="Times New Roman"/>
                <w:sz w:val="21"/>
                <w:szCs w:val="21"/>
                <w:lang w:val="en-US" w:eastAsia="zh-CN" w:bidi="ar-SA"/>
              </w:rPr>
            </w:pPr>
            <w:r>
              <w:rPr>
                <w:rFonts w:hint="eastAsia"/>
              </w:rPr>
              <w:t>0.05</w:t>
            </w:r>
          </w:p>
        </w:tc>
        <w:tc>
          <w:tcPr>
            <w:tcW w:w="947" w:type="pct"/>
            <w:vMerge w:val="continue"/>
            <w:shd w:val="clear" w:color="auto" w:fill="auto"/>
            <w:vAlign w:val="center"/>
          </w:tcPr>
          <w:p w14:paraId="009667EA">
            <w:pPr>
              <w:pStyle w:val="75"/>
            </w:pPr>
          </w:p>
        </w:tc>
      </w:tr>
      <w:tr w14:paraId="33F1723F">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6B93DB24">
            <w:pPr>
              <w:pStyle w:val="75"/>
            </w:pPr>
          </w:p>
        </w:tc>
        <w:tc>
          <w:tcPr>
            <w:tcW w:w="427" w:type="pct"/>
            <w:shd w:val="clear" w:color="auto" w:fill="auto"/>
            <w:tcMar>
              <w:top w:w="28" w:type="dxa"/>
              <w:bottom w:w="28" w:type="dxa"/>
            </w:tcMar>
            <w:vAlign w:val="center"/>
          </w:tcPr>
          <w:p w14:paraId="224ADFF1">
            <w:pPr>
              <w:pStyle w:val="75"/>
            </w:pPr>
            <w:r>
              <w:rPr>
                <w:rFonts w:hint="eastAsia"/>
              </w:rPr>
              <w:t>S</w:t>
            </w:r>
            <w:r>
              <w:t>12</w:t>
            </w:r>
          </w:p>
        </w:tc>
        <w:tc>
          <w:tcPr>
            <w:tcW w:w="1796" w:type="pct"/>
            <w:shd w:val="clear" w:color="auto" w:fill="auto"/>
            <w:tcMar>
              <w:top w:w="28" w:type="dxa"/>
              <w:bottom w:w="28" w:type="dxa"/>
            </w:tcMar>
            <w:vAlign w:val="center"/>
          </w:tcPr>
          <w:p w14:paraId="2D7DD2FB">
            <w:pPr>
              <w:pStyle w:val="75"/>
              <w:ind w:firstLine="0" w:firstLineChars="0"/>
            </w:pPr>
            <w:r>
              <w:rPr>
                <w:rFonts w:hint="eastAsia"/>
              </w:rPr>
              <w:t>蒸发浓液</w:t>
            </w:r>
          </w:p>
        </w:tc>
        <w:tc>
          <w:tcPr>
            <w:tcW w:w="768" w:type="pct"/>
            <w:shd w:val="clear" w:color="auto" w:fill="auto"/>
            <w:tcMar>
              <w:top w:w="28" w:type="dxa"/>
              <w:bottom w:w="28" w:type="dxa"/>
            </w:tcMar>
            <w:vAlign w:val="center"/>
          </w:tcPr>
          <w:p w14:paraId="4F13A406">
            <w:pPr>
              <w:pStyle w:val="75"/>
            </w:pPr>
            <w:r>
              <w:rPr>
                <w:rFonts w:hint="eastAsia"/>
              </w:rPr>
              <w:t>危险废物</w:t>
            </w:r>
          </w:p>
        </w:tc>
        <w:tc>
          <w:tcPr>
            <w:tcW w:w="640" w:type="pct"/>
            <w:shd w:val="clear" w:color="auto" w:fill="auto"/>
            <w:vAlign w:val="center"/>
          </w:tcPr>
          <w:p w14:paraId="3F8866E7">
            <w:pPr>
              <w:pStyle w:val="75"/>
              <w:ind w:firstLine="0" w:firstLineChars="0"/>
              <w:rPr>
                <w:rFonts w:hint="default" w:ascii="Times New Roman" w:hAnsi="Times New Roman" w:eastAsia="宋体" w:cs="Times New Roman"/>
                <w:sz w:val="21"/>
                <w:szCs w:val="21"/>
                <w:lang w:val="en-US" w:eastAsia="zh-CN" w:bidi="ar-SA"/>
              </w:rPr>
            </w:pPr>
            <w:r>
              <w:rPr>
                <w:rFonts w:hint="eastAsia"/>
                <w:lang w:val="en-US" w:eastAsia="zh-CN"/>
              </w:rPr>
              <w:t>95.1204</w:t>
            </w:r>
          </w:p>
        </w:tc>
        <w:tc>
          <w:tcPr>
            <w:tcW w:w="947" w:type="pct"/>
            <w:vMerge w:val="continue"/>
            <w:shd w:val="clear" w:color="auto" w:fill="auto"/>
            <w:vAlign w:val="center"/>
          </w:tcPr>
          <w:p w14:paraId="6EE074E5">
            <w:pPr>
              <w:pStyle w:val="75"/>
            </w:pPr>
          </w:p>
        </w:tc>
      </w:tr>
      <w:tr w14:paraId="55E04FA4">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AD4F341">
            <w:pPr>
              <w:pStyle w:val="75"/>
            </w:pPr>
          </w:p>
        </w:tc>
        <w:tc>
          <w:tcPr>
            <w:tcW w:w="427" w:type="pct"/>
            <w:shd w:val="clear" w:color="auto" w:fill="auto"/>
            <w:tcMar>
              <w:top w:w="28" w:type="dxa"/>
              <w:bottom w:w="28" w:type="dxa"/>
            </w:tcMar>
            <w:vAlign w:val="center"/>
          </w:tcPr>
          <w:p w14:paraId="7684B431">
            <w:pPr>
              <w:pStyle w:val="75"/>
            </w:pPr>
            <w:r>
              <w:rPr>
                <w:rFonts w:hint="eastAsia"/>
              </w:rPr>
              <w:t>S</w:t>
            </w:r>
            <w:r>
              <w:t>13</w:t>
            </w:r>
          </w:p>
        </w:tc>
        <w:tc>
          <w:tcPr>
            <w:tcW w:w="1796" w:type="pct"/>
            <w:shd w:val="clear" w:color="auto" w:fill="auto"/>
            <w:tcMar>
              <w:top w:w="28" w:type="dxa"/>
              <w:bottom w:w="28" w:type="dxa"/>
            </w:tcMar>
            <w:vAlign w:val="center"/>
          </w:tcPr>
          <w:p w14:paraId="5C01A2C0">
            <w:pPr>
              <w:pStyle w:val="75"/>
            </w:pPr>
            <w:r>
              <w:rPr>
                <w:rFonts w:hint="eastAsia"/>
              </w:rPr>
              <w:t>废边角料</w:t>
            </w:r>
          </w:p>
        </w:tc>
        <w:tc>
          <w:tcPr>
            <w:tcW w:w="768" w:type="pct"/>
            <w:shd w:val="clear" w:color="auto" w:fill="auto"/>
            <w:tcMar>
              <w:top w:w="28" w:type="dxa"/>
              <w:bottom w:w="28" w:type="dxa"/>
            </w:tcMar>
            <w:vAlign w:val="center"/>
          </w:tcPr>
          <w:p w14:paraId="45CD8FC5">
            <w:pPr>
              <w:pStyle w:val="75"/>
            </w:pPr>
            <w:r>
              <w:rPr>
                <w:rFonts w:hint="eastAsia"/>
              </w:rPr>
              <w:t>一般固废</w:t>
            </w:r>
          </w:p>
        </w:tc>
        <w:tc>
          <w:tcPr>
            <w:tcW w:w="640" w:type="pct"/>
            <w:shd w:val="clear" w:color="auto" w:fill="auto"/>
            <w:vAlign w:val="center"/>
          </w:tcPr>
          <w:p w14:paraId="7A11413E">
            <w:pPr>
              <w:pStyle w:val="75"/>
              <w:ind w:firstLine="0" w:firstLineChars="0"/>
            </w:pPr>
            <w:r>
              <w:rPr>
                <w:rFonts w:hint="eastAsia"/>
                <w:lang w:val="en-US" w:eastAsia="zh-CN"/>
              </w:rPr>
              <w:t>1100</w:t>
            </w:r>
          </w:p>
        </w:tc>
        <w:tc>
          <w:tcPr>
            <w:tcW w:w="947" w:type="pct"/>
            <w:shd w:val="clear" w:color="auto" w:fill="auto"/>
            <w:vAlign w:val="center"/>
          </w:tcPr>
          <w:p w14:paraId="0300EF13">
            <w:pPr>
              <w:pStyle w:val="75"/>
            </w:pPr>
            <w:r>
              <w:rPr>
                <w:rFonts w:hint="eastAsia"/>
              </w:rPr>
              <w:t>外售</w:t>
            </w:r>
          </w:p>
        </w:tc>
      </w:tr>
      <w:tr w14:paraId="58908CB7">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3B2CDF24">
            <w:pPr>
              <w:pStyle w:val="75"/>
            </w:pPr>
          </w:p>
        </w:tc>
        <w:tc>
          <w:tcPr>
            <w:tcW w:w="427" w:type="pct"/>
            <w:shd w:val="clear" w:color="auto" w:fill="auto"/>
            <w:tcMar>
              <w:top w:w="28" w:type="dxa"/>
              <w:bottom w:w="28" w:type="dxa"/>
            </w:tcMar>
            <w:vAlign w:val="center"/>
          </w:tcPr>
          <w:p w14:paraId="43794032">
            <w:pPr>
              <w:pStyle w:val="75"/>
            </w:pPr>
            <w:r>
              <w:rPr>
                <w:rFonts w:hint="eastAsia"/>
              </w:rPr>
              <w:t>S</w:t>
            </w:r>
            <w:r>
              <w:t>14</w:t>
            </w:r>
          </w:p>
        </w:tc>
        <w:tc>
          <w:tcPr>
            <w:tcW w:w="1796" w:type="pct"/>
            <w:shd w:val="clear" w:color="auto" w:fill="auto"/>
            <w:tcMar>
              <w:top w:w="28" w:type="dxa"/>
              <w:bottom w:w="28" w:type="dxa"/>
            </w:tcMar>
            <w:vAlign w:val="center"/>
          </w:tcPr>
          <w:p w14:paraId="1DA08905">
            <w:pPr>
              <w:pStyle w:val="75"/>
            </w:pPr>
            <w:r>
              <w:rPr>
                <w:rFonts w:hint="eastAsia"/>
              </w:rPr>
              <w:t>不合格残次品</w:t>
            </w:r>
          </w:p>
        </w:tc>
        <w:tc>
          <w:tcPr>
            <w:tcW w:w="768" w:type="pct"/>
            <w:shd w:val="clear" w:color="auto" w:fill="auto"/>
            <w:tcMar>
              <w:top w:w="28" w:type="dxa"/>
              <w:bottom w:w="28" w:type="dxa"/>
            </w:tcMar>
            <w:vAlign w:val="center"/>
          </w:tcPr>
          <w:p w14:paraId="32B549E7">
            <w:pPr>
              <w:pStyle w:val="75"/>
            </w:pPr>
            <w:r>
              <w:rPr>
                <w:rFonts w:hint="eastAsia"/>
              </w:rPr>
              <w:t>一般固废</w:t>
            </w:r>
          </w:p>
        </w:tc>
        <w:tc>
          <w:tcPr>
            <w:tcW w:w="640" w:type="pct"/>
            <w:shd w:val="clear" w:color="auto" w:fill="auto"/>
            <w:vAlign w:val="center"/>
          </w:tcPr>
          <w:p w14:paraId="6FE0E886">
            <w:pPr>
              <w:pStyle w:val="75"/>
              <w:ind w:firstLine="0" w:firstLineChars="0"/>
            </w:pPr>
            <w:r>
              <w:rPr>
                <w:rFonts w:hint="eastAsia"/>
                <w:lang w:val="en-US" w:eastAsia="zh-CN"/>
              </w:rPr>
              <w:t>600</w:t>
            </w:r>
          </w:p>
        </w:tc>
        <w:tc>
          <w:tcPr>
            <w:tcW w:w="947" w:type="pct"/>
            <w:shd w:val="clear" w:color="auto" w:fill="auto"/>
            <w:vAlign w:val="center"/>
          </w:tcPr>
          <w:p w14:paraId="22455312">
            <w:pPr>
              <w:pStyle w:val="75"/>
            </w:pPr>
            <w:r>
              <w:rPr>
                <w:rFonts w:hint="eastAsia"/>
              </w:rPr>
              <w:t>外售</w:t>
            </w:r>
          </w:p>
        </w:tc>
      </w:tr>
      <w:tr w14:paraId="40C0E588">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E93D9AE">
            <w:pPr>
              <w:pStyle w:val="75"/>
            </w:pPr>
          </w:p>
        </w:tc>
        <w:tc>
          <w:tcPr>
            <w:tcW w:w="427" w:type="pct"/>
            <w:shd w:val="clear" w:color="auto" w:fill="auto"/>
            <w:tcMar>
              <w:top w:w="28" w:type="dxa"/>
              <w:bottom w:w="28" w:type="dxa"/>
            </w:tcMar>
            <w:vAlign w:val="center"/>
          </w:tcPr>
          <w:p w14:paraId="29129A6A">
            <w:pPr>
              <w:pStyle w:val="75"/>
            </w:pPr>
            <w:r>
              <w:rPr>
                <w:rFonts w:hint="eastAsia"/>
              </w:rPr>
              <w:t>S</w:t>
            </w:r>
            <w:r>
              <w:t>15</w:t>
            </w:r>
          </w:p>
        </w:tc>
        <w:tc>
          <w:tcPr>
            <w:tcW w:w="1796" w:type="pct"/>
            <w:shd w:val="clear" w:color="auto" w:fill="auto"/>
            <w:tcMar>
              <w:top w:w="28" w:type="dxa"/>
              <w:bottom w:w="28" w:type="dxa"/>
            </w:tcMar>
            <w:vAlign w:val="center"/>
          </w:tcPr>
          <w:p w14:paraId="49BAA2CF">
            <w:pPr>
              <w:pStyle w:val="75"/>
            </w:pPr>
            <w:r>
              <w:rPr>
                <w:rFonts w:hint="eastAsia"/>
              </w:rPr>
              <w:t>污泥</w:t>
            </w:r>
          </w:p>
        </w:tc>
        <w:tc>
          <w:tcPr>
            <w:tcW w:w="768" w:type="pct"/>
            <w:shd w:val="clear" w:color="auto" w:fill="auto"/>
            <w:tcMar>
              <w:top w:w="28" w:type="dxa"/>
              <w:bottom w:w="28" w:type="dxa"/>
            </w:tcMar>
            <w:vAlign w:val="center"/>
          </w:tcPr>
          <w:p w14:paraId="1804B1EC">
            <w:pPr>
              <w:pStyle w:val="75"/>
            </w:pPr>
            <w:r>
              <w:rPr>
                <w:rFonts w:hint="eastAsia"/>
              </w:rPr>
              <w:t>一般固废</w:t>
            </w:r>
          </w:p>
        </w:tc>
        <w:tc>
          <w:tcPr>
            <w:tcW w:w="640" w:type="pct"/>
            <w:shd w:val="clear" w:color="auto" w:fill="auto"/>
            <w:vAlign w:val="center"/>
          </w:tcPr>
          <w:p w14:paraId="072A7298">
            <w:pPr>
              <w:pStyle w:val="75"/>
              <w:ind w:firstLine="0" w:firstLineChars="0"/>
              <w:rPr>
                <w:rFonts w:hint="default" w:eastAsia="宋体"/>
                <w:lang w:val="en-US" w:eastAsia="zh-CN"/>
              </w:rPr>
            </w:pPr>
            <w:r>
              <w:rPr>
                <w:rFonts w:hint="eastAsia"/>
                <w:lang w:val="en-US" w:eastAsia="zh-CN"/>
              </w:rPr>
              <w:t>4.3</w:t>
            </w:r>
          </w:p>
        </w:tc>
        <w:tc>
          <w:tcPr>
            <w:tcW w:w="947" w:type="pct"/>
            <w:shd w:val="clear" w:color="auto" w:fill="auto"/>
            <w:vAlign w:val="center"/>
          </w:tcPr>
          <w:p w14:paraId="027AEC1E">
            <w:pPr>
              <w:pStyle w:val="75"/>
            </w:pPr>
            <w:r>
              <w:rPr>
                <w:rFonts w:hint="eastAsia"/>
              </w:rPr>
              <w:t>外售</w:t>
            </w:r>
          </w:p>
        </w:tc>
      </w:tr>
      <w:tr w14:paraId="5A7E4E39">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9" w:type="pct"/>
            <w:vMerge w:val="continue"/>
            <w:shd w:val="clear" w:color="auto" w:fill="auto"/>
            <w:tcMar>
              <w:top w:w="28" w:type="dxa"/>
              <w:bottom w:w="28" w:type="dxa"/>
            </w:tcMar>
            <w:vAlign w:val="center"/>
          </w:tcPr>
          <w:p w14:paraId="195C3913">
            <w:pPr>
              <w:pStyle w:val="75"/>
            </w:pPr>
          </w:p>
        </w:tc>
        <w:tc>
          <w:tcPr>
            <w:tcW w:w="427" w:type="pct"/>
            <w:shd w:val="clear" w:color="auto" w:fill="auto"/>
            <w:tcMar>
              <w:top w:w="28" w:type="dxa"/>
              <w:bottom w:w="28" w:type="dxa"/>
            </w:tcMar>
            <w:vAlign w:val="center"/>
          </w:tcPr>
          <w:p w14:paraId="02064700">
            <w:pPr>
              <w:pStyle w:val="75"/>
            </w:pPr>
            <w:r>
              <w:rPr>
                <w:rFonts w:hint="eastAsia"/>
              </w:rPr>
              <w:t>S1</w:t>
            </w:r>
            <w:r>
              <w:t>6</w:t>
            </w:r>
          </w:p>
        </w:tc>
        <w:tc>
          <w:tcPr>
            <w:tcW w:w="1796" w:type="pct"/>
            <w:shd w:val="clear" w:color="auto" w:fill="auto"/>
            <w:tcMar>
              <w:top w:w="28" w:type="dxa"/>
              <w:bottom w:w="28" w:type="dxa"/>
            </w:tcMar>
            <w:vAlign w:val="center"/>
          </w:tcPr>
          <w:p w14:paraId="45DE8E36">
            <w:pPr>
              <w:pStyle w:val="75"/>
            </w:pPr>
            <w:r>
              <w:rPr>
                <w:rFonts w:hint="eastAsia"/>
                <w:lang w:val="en-US" w:eastAsia="zh-CN"/>
              </w:rPr>
              <w:t>废</w:t>
            </w:r>
            <w:r>
              <w:rPr>
                <w:rFonts w:hint="eastAsia"/>
              </w:rPr>
              <w:t>反渗透膜</w:t>
            </w:r>
          </w:p>
        </w:tc>
        <w:tc>
          <w:tcPr>
            <w:tcW w:w="768" w:type="pct"/>
            <w:shd w:val="clear" w:color="auto" w:fill="auto"/>
            <w:tcMar>
              <w:top w:w="28" w:type="dxa"/>
              <w:bottom w:w="28" w:type="dxa"/>
            </w:tcMar>
            <w:vAlign w:val="center"/>
          </w:tcPr>
          <w:p w14:paraId="060284D7">
            <w:pPr>
              <w:pStyle w:val="75"/>
            </w:pPr>
            <w:r>
              <w:rPr>
                <w:rFonts w:hint="eastAsia"/>
              </w:rPr>
              <w:t>一般固废</w:t>
            </w:r>
          </w:p>
        </w:tc>
        <w:tc>
          <w:tcPr>
            <w:tcW w:w="640" w:type="pct"/>
            <w:shd w:val="clear" w:color="auto" w:fill="auto"/>
            <w:vAlign w:val="center"/>
          </w:tcPr>
          <w:p w14:paraId="29AEE0B5">
            <w:pPr>
              <w:pStyle w:val="75"/>
              <w:ind w:firstLine="0" w:firstLineChars="0"/>
            </w:pPr>
            <w:r>
              <w:rPr>
                <w:rFonts w:hint="eastAsia"/>
              </w:rPr>
              <w:t>0.1</w:t>
            </w:r>
          </w:p>
        </w:tc>
        <w:tc>
          <w:tcPr>
            <w:tcW w:w="947" w:type="pct"/>
            <w:shd w:val="clear" w:color="auto" w:fill="auto"/>
            <w:vAlign w:val="center"/>
          </w:tcPr>
          <w:p w14:paraId="34EF46DD">
            <w:pPr>
              <w:pStyle w:val="75"/>
            </w:pPr>
            <w:r>
              <w:rPr>
                <w:rFonts w:hint="eastAsia"/>
              </w:rPr>
              <w:t>厂家直接回收</w:t>
            </w:r>
          </w:p>
        </w:tc>
      </w:tr>
    </w:tbl>
    <w:p w14:paraId="5AE1CAA9">
      <w:pPr>
        <w:pStyle w:val="72"/>
      </w:pPr>
      <w:r>
        <w:rPr>
          <w:rFonts w:hint="eastAsia"/>
        </w:rPr>
        <w:t>本项目拟分别设置1个一般固废暂存间（50m</w:t>
      </w:r>
      <w:r>
        <w:rPr>
          <w:rFonts w:hint="eastAsia"/>
          <w:vertAlign w:val="superscript"/>
        </w:rPr>
        <w:t>2</w:t>
      </w:r>
      <w:r>
        <w:rPr>
          <w:rFonts w:hint="eastAsia"/>
        </w:rPr>
        <w:t>）和1座危险废物贮存库（50m</w:t>
      </w:r>
      <w:r>
        <w:rPr>
          <w:rFonts w:hint="eastAsia"/>
          <w:vertAlign w:val="superscript"/>
        </w:rPr>
        <w:t>2</w:t>
      </w:r>
      <w:r>
        <w:rPr>
          <w:rFonts w:hint="eastAsia"/>
        </w:rPr>
        <w:t>），对项目固废分类分区存放。</w:t>
      </w:r>
    </w:p>
    <w:p w14:paraId="2328905C">
      <w:pPr>
        <w:ind w:firstLine="480"/>
        <w:rPr>
          <w:snapToGrid w:val="0"/>
        </w:rPr>
      </w:pPr>
      <w:r>
        <w:rPr>
          <w:rFonts w:hint="eastAsia"/>
        </w:rPr>
        <w:t>根据《一般工业固体废物贮存和填埋污染控制标准》（GB18599-2020）：采用库房、包装工具（罐、桶、包装袋等）贮存一般工业固体废物过程的污染控制，不适用本标准，其贮存过程应满足相应防渗漏、防雨淋、防扬尘等环境保护要求</w:t>
      </w:r>
      <w:r>
        <w:rPr>
          <w:rFonts w:hint="eastAsia"/>
          <w:snapToGrid w:val="0"/>
        </w:rPr>
        <w:t>。因此，本项目一般固废</w:t>
      </w:r>
      <w:r>
        <w:rPr>
          <w:rFonts w:hint="eastAsia"/>
        </w:rPr>
        <w:t>暂存间应满足防渗漏、防雨淋、防扬尘等环境保护要求</w:t>
      </w:r>
      <w:r>
        <w:rPr>
          <w:rFonts w:hint="eastAsia"/>
          <w:snapToGrid w:val="0"/>
        </w:rPr>
        <w:t>。</w:t>
      </w:r>
    </w:p>
    <w:p w14:paraId="6636E087">
      <w:pPr>
        <w:pStyle w:val="72"/>
      </w:pPr>
      <w:r>
        <w:rPr>
          <w:rFonts w:hint="eastAsia"/>
        </w:rPr>
        <w:t>危险废物贮存库应满足《危险废物贮存污染控制标准》（GB18597-2023）对危险废物的暂存要求。为了减少危险废物在厂区贮存过程中对环境的影响，评价要求企业将危废全部装入密闭容器中后临时存放于危废贮存库内，</w:t>
      </w:r>
      <w:r>
        <w:t>定期送有</w:t>
      </w:r>
      <w:r>
        <w:rPr>
          <w:rFonts w:hint="eastAsia"/>
        </w:rPr>
        <w:t>相应</w:t>
      </w:r>
      <w:r>
        <w:t>危废</w:t>
      </w:r>
      <w:r>
        <w:rPr>
          <w:rFonts w:hint="eastAsia"/>
        </w:rPr>
        <w:t>处置</w:t>
      </w:r>
      <w:r>
        <w:t>资质的单位</w:t>
      </w:r>
      <w:r>
        <w:rPr>
          <w:rFonts w:hint="eastAsia"/>
        </w:rPr>
        <w:t>处置</w:t>
      </w:r>
      <w:r>
        <w:rPr>
          <w:spacing w:val="-2"/>
        </w:rPr>
        <w:t>；</w:t>
      </w:r>
      <w:r>
        <w:t>在危废的转移处置过程中，应严格按照《中华人民共和国固体废物污染环境防治法》和《危险废物转移管理办法》有关规定执行。</w:t>
      </w:r>
    </w:p>
    <w:p w14:paraId="62508357">
      <w:pPr>
        <w:pStyle w:val="72"/>
      </w:pPr>
      <w:r>
        <w:rPr>
          <w:rFonts w:hint="eastAsia"/>
        </w:rPr>
        <w:t>由以上分析可以看出，通过采取以上措施，固废均有相应的处置措施，评价认为工程在认真落实以上措施的前提下，不会对区域环境造成不利影响。</w:t>
      </w:r>
    </w:p>
    <w:p w14:paraId="45CB9AD0">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67" w:name="_Toc51319881"/>
      <w:bookmarkStart w:id="668" w:name="_Toc19684"/>
      <w:bookmarkStart w:id="669" w:name="_Toc2204"/>
      <w:r>
        <w:rPr>
          <w:rFonts w:hint="eastAsia"/>
          <w:lang w:val="en-US" w:eastAsia="zh-CN"/>
        </w:rPr>
        <w:t>7.5地下水污染防治措施</w:t>
      </w:r>
      <w:bookmarkEnd w:id="667"/>
      <w:bookmarkEnd w:id="668"/>
      <w:bookmarkEnd w:id="669"/>
    </w:p>
    <w:p w14:paraId="6369612D">
      <w:pPr>
        <w:ind w:firstLine="480"/>
      </w:pPr>
      <w:r>
        <w:t>项目所在的区域地下水水位埋深较深，场区地下水属孔隙潜水类型。为减少和防止本项目生产过程中产生的废水污染物对地下水造成污染影响，项目在建设过程中应对生产车间、道路全部采用水泥硬化，对污水处理设施、输水沟渠及固废暂存间采取防渗处理，以防止各种构筑物渗漏对区域地下水造成污染。本项目地下水污染防治按照“源头控制、分区防渗、污染监控、应急响应”的原则，防止本工程建设及运营中对地下水环境造成污染。</w:t>
      </w:r>
    </w:p>
    <w:p w14:paraId="07DE8B2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70" w:name="_Toc108122602"/>
      <w:r>
        <w:rPr>
          <w:rFonts w:hint="eastAsia" w:cs="Times New Roman"/>
          <w:lang w:val="en-US" w:eastAsia="zh-CN"/>
        </w:rPr>
        <w:t>7.5.1源头控制措施</w:t>
      </w:r>
      <w:bookmarkEnd w:id="670"/>
    </w:p>
    <w:p w14:paraId="7F8D076B">
      <w:pPr>
        <w:ind w:firstLine="480"/>
      </w:pPr>
      <w:r>
        <w:rPr>
          <w:rFonts w:hint="eastAsia"/>
        </w:rPr>
        <w:t>采取源头控制、末端防治、污染监控相结合的原则，具体如下：</w:t>
      </w:r>
    </w:p>
    <w:p w14:paraId="6062932C">
      <w:pPr>
        <w:ind w:firstLine="480"/>
        <w:rPr>
          <w:b/>
          <w:bCs/>
          <w:u w:val="single"/>
        </w:rPr>
      </w:pPr>
      <w:r>
        <w:rPr>
          <w:rFonts w:hint="eastAsia"/>
        </w:rPr>
        <w:t>（1）源头控制措施主要为在工艺、管道、设备、污水存储及处理构筑物处采取防泄漏和防渗措施；安排专人负责设备、阀门、管道日常巡视工作，发现跑、冒、滴、漏，立即采取措施补救，尽量杜绝物料及废水跑、冒、滴、漏而下渗污染地下水；废水均采用管道输送；生产车间、电镀生产线、化学品库、危险废物贮存库、污水处理站及事故废水收集池均应严格按照要求做好防渗处理，避免出现裂纹而导致废水下渗污染地下水；</w:t>
      </w:r>
    </w:p>
    <w:p w14:paraId="40B4F034">
      <w:pPr>
        <w:ind w:firstLine="480"/>
      </w:pPr>
      <w:r>
        <w:rPr>
          <w:rFonts w:hint="eastAsia"/>
        </w:rPr>
        <w:t>（2）末端防治措施主要包括厂区防渗措施、污水收集措施，防治洒落地面的污染物渗入地下，同时对渗入地下的污染物及时收集，防止污染地下水；</w:t>
      </w:r>
    </w:p>
    <w:p w14:paraId="786FBFF9">
      <w:pPr>
        <w:ind w:firstLine="480"/>
      </w:pPr>
      <w:r>
        <w:rPr>
          <w:rFonts w:hint="eastAsia"/>
        </w:rPr>
        <w:t>（3）污染监控措施主要包括建立完善的监测制度、配备先进的监测仪器和设备，科学合理的设置地下水监控井，同时加强车间和各排水单元的管理，避免跑冒滴漏现象的发生，增强员工的环境保护意识，及时对员工进行宣传教育。</w:t>
      </w:r>
    </w:p>
    <w:p w14:paraId="72249F6D">
      <w:pPr>
        <w:ind w:firstLine="480"/>
      </w:pPr>
      <w:r>
        <w:rPr>
          <w:rFonts w:hint="eastAsia"/>
        </w:rPr>
        <w:t>（4）项目设置的固废暂存间应严格按照一般固废和危险废物贮存库建设要求，设置相应的围堰、排水设施等，并对厂区地面进行硬化。</w:t>
      </w:r>
    </w:p>
    <w:p w14:paraId="02050F10">
      <w:pPr>
        <w:pStyle w:val="72"/>
        <w:rPr>
          <w:highlight w:val="yellow"/>
        </w:rPr>
      </w:pPr>
      <w:r>
        <w:rPr>
          <w:rFonts w:hint="eastAsia"/>
        </w:rPr>
        <w:t>项目生产废水处理先采用调节池调节水质水量，然后进入污水处理站进行处理，达标后通过管道进入获嘉县同盟污水处理厂，处理达标后排入共产主义渠。</w:t>
      </w:r>
    </w:p>
    <w:p w14:paraId="171F930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71" w:name="_Toc108122603"/>
      <w:r>
        <w:rPr>
          <w:rFonts w:hint="eastAsia" w:cs="Times New Roman"/>
          <w:lang w:val="en-US" w:eastAsia="zh-CN"/>
        </w:rPr>
        <w:t>7.5.2分区防渗措施</w:t>
      </w:r>
      <w:bookmarkEnd w:id="671"/>
    </w:p>
    <w:p w14:paraId="315878EB">
      <w:pPr>
        <w:ind w:firstLine="480"/>
      </w:pPr>
      <w:r>
        <w:rPr>
          <w:rFonts w:hint="eastAsia"/>
        </w:rPr>
        <w:t>整个厂区划分为重点污染防渗区、一般污染防渗区、非污染防渗区：</w:t>
      </w:r>
    </w:p>
    <w:p w14:paraId="2A23A624">
      <w:pPr>
        <w:ind w:firstLine="480"/>
      </w:pPr>
      <w:r>
        <w:rPr>
          <w:rFonts w:hint="eastAsia"/>
        </w:rPr>
        <w:t>重点污染防渗区：本项目生产设施、废水处理设施及废水收集输送管路均地上设置，但各湿操作区仍有可能在物料或污染物泄漏后，不易及时发现和处理，可能造成地下水污染，该部分为重点污染防渗区。本项目的重点污染防渗区为：污水处理设施、事故池、危险废物贮存库、危险化学品库以及电镀生产线区域（湿操作区）。</w:t>
      </w:r>
    </w:p>
    <w:p w14:paraId="34A97398">
      <w:pPr>
        <w:ind w:firstLine="480"/>
        <w:rPr>
          <w:b/>
          <w:u w:val="single"/>
        </w:rPr>
      </w:pPr>
      <w:r>
        <w:rPr>
          <w:rFonts w:hint="eastAsia"/>
        </w:rPr>
        <w:t>一般污染防渗区：裸漏于地面的生产功能单元，污染地下水环境的物料或污染物泄漏后，可及时发现和处理的区域或部位。本项目的一般污染防治区为：一般固废</w:t>
      </w:r>
      <w:r>
        <w:t>暂存间</w:t>
      </w:r>
      <w:r>
        <w:rPr>
          <w:rFonts w:hint="eastAsia"/>
        </w:rPr>
        <w:t>、机加工生产车间、生产车间干操作区、原料库、产品库。</w:t>
      </w:r>
    </w:p>
    <w:p w14:paraId="63C450C1">
      <w:pPr>
        <w:ind w:firstLine="480"/>
      </w:pPr>
      <w:r>
        <w:rPr>
          <w:rFonts w:hint="eastAsia"/>
        </w:rPr>
        <w:t>非污染防渗区：没有物料或污染物泄漏，不会对地下水环境造成污染的区域或部位。本项目租赁园区现有厂房进行生产，厂区其他区域为非污染防渗区。</w:t>
      </w:r>
    </w:p>
    <w:p w14:paraId="7D5AE157">
      <w:pPr>
        <w:ind w:firstLine="480"/>
      </w:pPr>
      <w:r>
        <w:rPr>
          <w:rFonts w:hint="eastAsia"/>
        </w:rPr>
        <w:t>针对不同的防渗区域，采取不同的污染防渗措施，具体如下：</w:t>
      </w:r>
    </w:p>
    <w:p w14:paraId="2283AFA8">
      <w:pPr>
        <w:ind w:firstLine="480"/>
        <w:rPr>
          <w:b/>
          <w:bCs/>
          <w:u w:val="single"/>
        </w:rPr>
      </w:pPr>
      <w:r>
        <w:rPr>
          <w:rFonts w:hint="eastAsia"/>
        </w:rPr>
        <w:t>（1）重点污染防渗区：对于电镀生产线区域、危化品库区域、危废</w:t>
      </w:r>
      <w:r>
        <w:rPr>
          <w:rFonts w:hint="eastAsia"/>
          <w:lang w:val="en-US" w:eastAsia="zh-CN"/>
        </w:rPr>
        <w:t>暂存间</w:t>
      </w:r>
      <w:r>
        <w:rPr>
          <w:rFonts w:hint="eastAsia"/>
        </w:rPr>
        <w:t>区域均在混凝土地面基础上进行重点防渗处理，防渗性能应与6.0m厚粘土层（渗透</w:t>
      </w:r>
      <w:r>
        <w:t>系数1.0×10</w:t>
      </w:r>
      <w:r>
        <w:rPr>
          <w:vertAlign w:val="superscript"/>
        </w:rPr>
        <w:t>-7</w:t>
      </w:r>
      <w:r>
        <w:t>cm/s）</w:t>
      </w:r>
      <w:r>
        <w:rPr>
          <w:rFonts w:hint="eastAsia"/>
        </w:rPr>
        <w:t>等效。底层为混凝土层；上层采用合成高密度人工防渗膜，厚度不宜小于1.50mm膜铺设应由中心坡向四周，坡度不宜小于1.5</w:t>
      </w:r>
      <w:r>
        <w:t>％</w:t>
      </w:r>
      <w:r>
        <w:rPr>
          <w:rFonts w:hint="eastAsia"/>
        </w:rPr>
        <w:t>；膜上、膜下应设置保护层，保护层可采用长丝无纺土工布，膜下保护层也可采用不含尖锐颗粒的砂层，厚度不宜小于100mm；膜上保护层以上应设置砂石层，厚度不宜小于200mm。对于事故池和污水处理系统需要设置地下及半地下池时，应对池体进行防渗处理。</w:t>
      </w:r>
    </w:p>
    <w:p w14:paraId="30F68CFC">
      <w:pPr>
        <w:ind w:firstLine="480"/>
      </w:pPr>
      <w:r>
        <w:rPr>
          <w:rFonts w:hint="eastAsia"/>
          <w:iCs/>
          <w:szCs w:val="24"/>
        </w:rPr>
        <w:t>（2）一般污染防渗区：对</w:t>
      </w:r>
      <w:r>
        <w:rPr>
          <w:rFonts w:hint="eastAsia"/>
        </w:rPr>
        <w:t>一般固废</w:t>
      </w:r>
      <w:r>
        <w:t>暂存间</w:t>
      </w:r>
      <w:r>
        <w:rPr>
          <w:rFonts w:hint="eastAsia"/>
        </w:rPr>
        <w:t>、机加工生产车间、生产车间干操作区、原料库、</w:t>
      </w:r>
      <w:r>
        <w:t>产品库和锅炉房等区域均在混凝土地面基础上进行一般防渗处理，</w:t>
      </w:r>
      <w:r>
        <w:rPr>
          <w:iCs/>
          <w:szCs w:val="24"/>
        </w:rPr>
        <w:t>防渗性能应与1.5m厚粘土层（渗透系数1.0×10</w:t>
      </w:r>
      <w:r>
        <w:rPr>
          <w:iCs/>
          <w:szCs w:val="24"/>
          <w:vertAlign w:val="superscript"/>
        </w:rPr>
        <w:t>-7</w:t>
      </w:r>
      <w:r>
        <w:rPr>
          <w:iCs/>
          <w:szCs w:val="24"/>
        </w:rPr>
        <w:t>cm/s）等效。建议使用</w:t>
      </w:r>
      <w:r>
        <w:t>1m厚黏土层（渗透系数不大于1×10</w:t>
      </w:r>
      <w:r>
        <w:rPr>
          <w:vertAlign w:val="superscript"/>
        </w:rPr>
        <w:t>-7</w:t>
      </w:r>
      <w:r>
        <w:t>m/s），或2mm厚高密度聚乙烯，或至少2mm厚的其它人工材料（渗透系数不大于1×10</w:t>
      </w:r>
      <w:r>
        <w:rPr>
          <w:vertAlign w:val="superscript"/>
        </w:rPr>
        <w:t>-10</w:t>
      </w:r>
      <w:r>
        <w:t>m/s）</w:t>
      </w:r>
      <w:r>
        <w:rPr>
          <w:rFonts w:hint="eastAsia"/>
        </w:rPr>
        <w:t>。做</w:t>
      </w:r>
      <w:r>
        <w:t>好防风、防雨及防渗的</w:t>
      </w:r>
      <w:r>
        <w:rPr>
          <w:rFonts w:hint="eastAsia"/>
        </w:rPr>
        <w:t>“</w:t>
      </w:r>
      <w:r>
        <w:t>三防</w:t>
      </w:r>
      <w:r>
        <w:rPr>
          <w:rFonts w:hint="eastAsia"/>
        </w:rPr>
        <w:t>”</w:t>
      </w:r>
      <w:r>
        <w:t>措施，并保证其贮存过程中不易老化、破损和变形。</w:t>
      </w:r>
    </w:p>
    <w:p w14:paraId="53E0A88E">
      <w:pPr>
        <w:ind w:firstLine="480"/>
        <w:rPr>
          <w:iCs/>
          <w:szCs w:val="24"/>
        </w:rPr>
      </w:pPr>
      <w:r>
        <w:rPr>
          <w:iCs/>
          <w:szCs w:val="24"/>
        </w:rPr>
        <w:t>（3）非污染防渗区：</w:t>
      </w:r>
      <w:r>
        <w:t>要求进行地面硬化，未硬化部分进行绿化。</w:t>
      </w:r>
    </w:p>
    <w:p w14:paraId="7D8B67ED">
      <w:pPr>
        <w:ind w:firstLine="480"/>
        <w:rPr>
          <w:rFonts w:cs="宋体"/>
        </w:rPr>
      </w:pPr>
      <w:r>
        <w:rPr>
          <w:rFonts w:hint="eastAsia" w:cs="宋体"/>
        </w:rPr>
        <w:t>各类槽体要按照“生产设施不落地”原则进行建设，生产线应有槽液回收、逆流漂洗及必要的喷淋装置，并使用托盘、围堰、导流等设施，防止生产过程中废水、镀液滴落地面。项目工艺废水管线按可视、可控原则排布，应采取地上明渠明管或架空敷设，废水管道应满足防腐、防渗漏要求，电镀生产线、污水处理站、事故池、化学品库和危废间等易污染区地面应进行防渗处理。</w:t>
      </w:r>
    </w:p>
    <w:p w14:paraId="681EDAC4">
      <w:pPr>
        <w:pStyle w:val="72"/>
        <w:rPr>
          <w:highlight w:val="yellow"/>
        </w:rPr>
      </w:pPr>
      <w:r>
        <w:rPr>
          <w:rFonts w:hint="eastAsia"/>
        </w:rPr>
        <w:t>各污染防治区在满足上述防渗要求的前提下，工程产生的固废必须堆放在固废贮存场内，贮存场必须有防雨、防渗、防流失的“三防”措施。</w:t>
      </w:r>
      <w:r>
        <w:t>综上所述，在落实环评所提的相关建议后，本项目产生的废水不会对区域地下水质量有较大影响，地下水质量仍维持现有水平。</w:t>
      </w:r>
    </w:p>
    <w:p w14:paraId="02BB922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72" w:name="_Toc108122604"/>
      <w:r>
        <w:rPr>
          <w:rFonts w:hint="eastAsia" w:cs="Times New Roman"/>
          <w:lang w:val="en-US" w:eastAsia="zh-CN"/>
        </w:rPr>
        <w:t>7.5.3污染监控</w:t>
      </w:r>
      <w:bookmarkEnd w:id="672"/>
    </w:p>
    <w:p w14:paraId="70E2D328">
      <w:pPr>
        <w:pStyle w:val="72"/>
        <w:rPr>
          <w:highlight w:val="yellow"/>
        </w:rPr>
      </w:pPr>
      <w:r>
        <w:rPr>
          <w:rFonts w:hint="eastAsia"/>
        </w:rPr>
        <w:t>本工程位于</w:t>
      </w:r>
      <w:r>
        <w:rPr>
          <w:rFonts w:hint="eastAsia" w:cs="宋体"/>
          <w:color w:val="000000" w:themeColor="text1"/>
          <w:lang w:val="en-US" w:eastAsia="zh-CN"/>
          <w14:textFill>
            <w14:solidFill>
              <w14:schemeClr w14:val="tx1"/>
            </w14:solidFill>
          </w14:textFill>
        </w:rPr>
        <w:t>新乡市获嘉县先进制造业开发区安王路与梧桐路交叉口西100米1号</w:t>
      </w:r>
      <w:r>
        <w:rPr>
          <w:rFonts w:hint="eastAsia"/>
        </w:rPr>
        <w:t>，根据工程分析内容，正常状况下，本项目无地下水污染源存在，对区域地下水环境影响较小，评价建议建立地下水污染监控制度和环境管理体系，制定监测计划，以便及时发现问题，采取措施。制定地下水风险事故应急预案，明确地下水风险事故状态下应采取封闭、截流等措施。</w:t>
      </w:r>
    </w:p>
    <w:p w14:paraId="48CBA270">
      <w:pPr>
        <w:pStyle w:val="72"/>
        <w:rPr>
          <w:highlight w:val="yellow"/>
        </w:rPr>
      </w:pPr>
      <w:r>
        <w:rPr>
          <w:rFonts w:hint="eastAsia"/>
        </w:rPr>
        <w:t>根据《排污单位自行监测技术指南  电镀工业》（</w:t>
      </w:r>
      <w:r>
        <w:t>HJ</w:t>
      </w:r>
      <w:r>
        <w:rPr>
          <w:rFonts w:hint="eastAsia"/>
        </w:rPr>
        <w:t>985</w:t>
      </w:r>
      <w:r>
        <w:t>-201</w:t>
      </w:r>
      <w:r>
        <w:rPr>
          <w:rFonts w:hint="eastAsia"/>
        </w:rPr>
        <w:t>8），本项目涉及的地下水环境质量影响监测指标主要为pH、水位、镍等，监测频次为每年一次。若发生污染物地下渗漏事故或发现地下水中污染物超标，应加强监测频次。监测因子为镍，地下水跟踪监测点位及监测要求见下表。</w:t>
      </w:r>
    </w:p>
    <w:p w14:paraId="7F213576">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p>
    <w:p w14:paraId="1A8BE2D5">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p>
    <w:p w14:paraId="47238BA9">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w:t>
      </w:r>
      <w:r>
        <w:rPr>
          <w:rFonts w:hint="eastAsia"/>
          <w:lang w:val="en-US" w:eastAsia="zh-CN"/>
        </w:rPr>
        <w:t>7.5-1</w:t>
      </w:r>
      <w:r>
        <w:rPr>
          <w:rFonts w:hint="eastAsia"/>
        </w:rPr>
        <w:t xml:space="preserve">    地下水环境监测点位及跟踪监测要求</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813"/>
        <w:gridCol w:w="5160"/>
      </w:tblGrid>
      <w:tr w14:paraId="32B13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39B1BE97">
            <w:pPr>
              <w:pStyle w:val="81"/>
              <w:rPr>
                <w:color w:val="auto"/>
              </w:rPr>
            </w:pPr>
            <w:r>
              <w:rPr>
                <w:color w:val="auto"/>
              </w:rPr>
              <w:t>序号</w:t>
            </w:r>
          </w:p>
        </w:tc>
        <w:tc>
          <w:tcPr>
            <w:tcW w:w="1063" w:type="pct"/>
            <w:shd w:val="clear" w:color="auto" w:fill="auto"/>
            <w:vAlign w:val="center"/>
          </w:tcPr>
          <w:p w14:paraId="72E98BC8">
            <w:pPr>
              <w:pStyle w:val="81"/>
              <w:rPr>
                <w:color w:val="auto"/>
              </w:rPr>
            </w:pPr>
            <w:r>
              <w:rPr>
                <w:color w:val="auto"/>
              </w:rPr>
              <w:t>类别</w:t>
            </w:r>
          </w:p>
        </w:tc>
        <w:tc>
          <w:tcPr>
            <w:tcW w:w="3025" w:type="pct"/>
            <w:vAlign w:val="center"/>
          </w:tcPr>
          <w:p w14:paraId="04A46B33">
            <w:pPr>
              <w:pStyle w:val="81"/>
              <w:rPr>
                <w:color w:val="auto"/>
              </w:rPr>
            </w:pPr>
            <w:r>
              <w:rPr>
                <w:color w:val="auto"/>
              </w:rPr>
              <w:t>内容</w:t>
            </w:r>
          </w:p>
        </w:tc>
      </w:tr>
      <w:tr w14:paraId="06EBF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5421ECD4">
            <w:pPr>
              <w:pStyle w:val="75"/>
            </w:pPr>
            <w:r>
              <w:rPr>
                <w:rFonts w:hint="eastAsia"/>
              </w:rPr>
              <w:t>1</w:t>
            </w:r>
          </w:p>
        </w:tc>
        <w:tc>
          <w:tcPr>
            <w:tcW w:w="1063" w:type="pct"/>
            <w:shd w:val="clear" w:color="auto" w:fill="auto"/>
            <w:vAlign w:val="center"/>
          </w:tcPr>
          <w:p w14:paraId="34875469">
            <w:pPr>
              <w:pStyle w:val="75"/>
            </w:pPr>
            <w:r>
              <w:t>监测点位</w:t>
            </w:r>
          </w:p>
        </w:tc>
        <w:tc>
          <w:tcPr>
            <w:tcW w:w="3025" w:type="pct"/>
            <w:vAlign w:val="center"/>
          </w:tcPr>
          <w:p w14:paraId="46BE205A">
            <w:pPr>
              <w:pStyle w:val="75"/>
              <w:rPr>
                <w:rFonts w:hint="default" w:eastAsia="宋体"/>
                <w:lang w:val="en-US" w:eastAsia="zh-CN"/>
              </w:rPr>
            </w:pPr>
            <w:r>
              <w:rPr>
                <w:rFonts w:hint="eastAsia"/>
                <w:lang w:val="en-US" w:eastAsia="zh-CN"/>
              </w:rPr>
              <w:t>厂区监测井</w:t>
            </w:r>
          </w:p>
        </w:tc>
      </w:tr>
      <w:tr w14:paraId="25AB4A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26AB2871">
            <w:pPr>
              <w:pStyle w:val="75"/>
            </w:pPr>
            <w:r>
              <w:rPr>
                <w:rFonts w:hint="eastAsia"/>
              </w:rPr>
              <w:t>2</w:t>
            </w:r>
          </w:p>
        </w:tc>
        <w:tc>
          <w:tcPr>
            <w:tcW w:w="1063" w:type="pct"/>
            <w:shd w:val="clear" w:color="auto" w:fill="auto"/>
            <w:vAlign w:val="center"/>
          </w:tcPr>
          <w:p w14:paraId="0F3B3EC3">
            <w:pPr>
              <w:pStyle w:val="75"/>
            </w:pPr>
            <w:r>
              <w:t>功能</w:t>
            </w:r>
          </w:p>
        </w:tc>
        <w:tc>
          <w:tcPr>
            <w:tcW w:w="3025" w:type="pct"/>
            <w:vAlign w:val="center"/>
          </w:tcPr>
          <w:p w14:paraId="6EE36BCB">
            <w:pPr>
              <w:pStyle w:val="75"/>
            </w:pPr>
            <w:r>
              <w:rPr>
                <w:rFonts w:hint="eastAsia"/>
              </w:rPr>
              <w:t>地下水跟踪监测点</w:t>
            </w:r>
          </w:p>
        </w:tc>
      </w:tr>
      <w:tr w14:paraId="3A79D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37501F0F">
            <w:pPr>
              <w:pStyle w:val="75"/>
            </w:pPr>
            <w:r>
              <w:rPr>
                <w:rFonts w:hint="eastAsia"/>
              </w:rPr>
              <w:t>3</w:t>
            </w:r>
          </w:p>
        </w:tc>
        <w:tc>
          <w:tcPr>
            <w:tcW w:w="1063" w:type="pct"/>
            <w:shd w:val="clear" w:color="auto" w:fill="auto"/>
            <w:vAlign w:val="center"/>
          </w:tcPr>
          <w:p w14:paraId="17C45D6A">
            <w:pPr>
              <w:pStyle w:val="75"/>
            </w:pPr>
            <w:r>
              <w:t>井结构</w:t>
            </w:r>
          </w:p>
        </w:tc>
        <w:tc>
          <w:tcPr>
            <w:tcW w:w="3025" w:type="pct"/>
            <w:vAlign w:val="center"/>
          </w:tcPr>
          <w:p w14:paraId="6340729D">
            <w:pPr>
              <w:pStyle w:val="75"/>
            </w:pPr>
            <w:r>
              <w:t>竖向圆形</w:t>
            </w:r>
          </w:p>
        </w:tc>
      </w:tr>
      <w:tr w14:paraId="29AB2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6F938C16">
            <w:pPr>
              <w:pStyle w:val="75"/>
            </w:pPr>
            <w:r>
              <w:rPr>
                <w:rFonts w:hint="eastAsia"/>
              </w:rPr>
              <w:t>4</w:t>
            </w:r>
          </w:p>
        </w:tc>
        <w:tc>
          <w:tcPr>
            <w:tcW w:w="1063" w:type="pct"/>
            <w:shd w:val="clear" w:color="auto" w:fill="auto"/>
            <w:vAlign w:val="center"/>
          </w:tcPr>
          <w:p w14:paraId="0A720BA7">
            <w:pPr>
              <w:pStyle w:val="75"/>
            </w:pPr>
            <w:r>
              <w:t>监测层位</w:t>
            </w:r>
          </w:p>
        </w:tc>
        <w:tc>
          <w:tcPr>
            <w:tcW w:w="3025" w:type="pct"/>
            <w:vAlign w:val="center"/>
          </w:tcPr>
          <w:p w14:paraId="5435A942">
            <w:pPr>
              <w:pStyle w:val="75"/>
            </w:pPr>
            <w:r>
              <w:t>潜水层</w:t>
            </w:r>
            <w:r>
              <w:rPr>
                <w:rFonts w:hint="eastAsia"/>
              </w:rPr>
              <w:t>，</w:t>
            </w:r>
            <w:r>
              <w:t>水位线下</w:t>
            </w:r>
            <w:r>
              <w:rPr>
                <w:rFonts w:hint="eastAsia"/>
              </w:rPr>
              <w:t>1米</w:t>
            </w:r>
          </w:p>
        </w:tc>
      </w:tr>
      <w:tr w14:paraId="0E8620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26FE8B1B">
            <w:pPr>
              <w:pStyle w:val="75"/>
            </w:pPr>
            <w:r>
              <w:rPr>
                <w:rFonts w:hint="eastAsia"/>
              </w:rPr>
              <w:t>5</w:t>
            </w:r>
          </w:p>
        </w:tc>
        <w:tc>
          <w:tcPr>
            <w:tcW w:w="1063" w:type="pct"/>
            <w:shd w:val="clear" w:color="auto" w:fill="auto"/>
            <w:vAlign w:val="center"/>
          </w:tcPr>
          <w:p w14:paraId="0E2B5657">
            <w:pPr>
              <w:pStyle w:val="75"/>
            </w:pPr>
            <w:r>
              <w:t>监测频次</w:t>
            </w:r>
          </w:p>
        </w:tc>
        <w:tc>
          <w:tcPr>
            <w:tcW w:w="3025" w:type="pct"/>
            <w:vAlign w:val="center"/>
          </w:tcPr>
          <w:p w14:paraId="2F9BFEAE">
            <w:pPr>
              <w:pStyle w:val="75"/>
            </w:pPr>
            <w:r>
              <w:t>每</w:t>
            </w:r>
            <w:r>
              <w:rPr>
                <w:rFonts w:hint="eastAsia"/>
              </w:rPr>
              <w:t>年1次</w:t>
            </w:r>
          </w:p>
        </w:tc>
      </w:tr>
      <w:tr w14:paraId="0D995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2" w:type="pct"/>
            <w:vAlign w:val="center"/>
          </w:tcPr>
          <w:p w14:paraId="4A8A0C1D">
            <w:pPr>
              <w:pStyle w:val="75"/>
            </w:pPr>
            <w:r>
              <w:rPr>
                <w:rFonts w:hint="eastAsia"/>
              </w:rPr>
              <w:t>6</w:t>
            </w:r>
          </w:p>
        </w:tc>
        <w:tc>
          <w:tcPr>
            <w:tcW w:w="1063" w:type="pct"/>
            <w:shd w:val="clear" w:color="auto" w:fill="auto"/>
            <w:vAlign w:val="center"/>
          </w:tcPr>
          <w:p w14:paraId="2CFF94BF">
            <w:pPr>
              <w:pStyle w:val="75"/>
            </w:pPr>
            <w:r>
              <w:t>监测因子</w:t>
            </w:r>
          </w:p>
        </w:tc>
        <w:tc>
          <w:tcPr>
            <w:tcW w:w="3025" w:type="pct"/>
            <w:vAlign w:val="center"/>
          </w:tcPr>
          <w:p w14:paraId="63FA1F8D">
            <w:pPr>
              <w:pStyle w:val="75"/>
            </w:pPr>
            <w:r>
              <w:rPr>
                <w:rFonts w:hint="eastAsia"/>
              </w:rPr>
              <w:t>pH、水位、镍、总铬</w:t>
            </w:r>
          </w:p>
        </w:tc>
      </w:tr>
    </w:tbl>
    <w:p w14:paraId="4FDCA4B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73" w:name="_Toc108122605"/>
      <w:r>
        <w:rPr>
          <w:rFonts w:hint="eastAsia" w:cs="Times New Roman"/>
          <w:lang w:val="en-US" w:eastAsia="zh-CN"/>
        </w:rPr>
        <w:t>7.5.4风险事故应急响应</w:t>
      </w:r>
      <w:bookmarkEnd w:id="673"/>
    </w:p>
    <w:p w14:paraId="5EA7AD70">
      <w:pPr>
        <w:pStyle w:val="72"/>
      </w:pPr>
      <w:r>
        <w:rPr>
          <w:rFonts w:hint="eastAsia"/>
        </w:rPr>
        <w:t>建设单位应严格按照相关要求制定地下水风险事故应急响应预案，在事故状态下，应紧急启动应急预案，查明污染源所在位置，并及时采取措施进行污染源处理，并制定行之有效的地下水污染防治措施和实施方案。</w:t>
      </w:r>
    </w:p>
    <w:p w14:paraId="61B57AED">
      <w:pPr>
        <w:pStyle w:val="72"/>
      </w:pPr>
      <w:r>
        <w:rPr>
          <w:rFonts w:hint="eastAsia"/>
        </w:rPr>
        <w:t>评价认为在严格落实上述措施的基础上，本工程投产后不会对区域地下水环境造成大的不利影响，措施可行。</w:t>
      </w:r>
    </w:p>
    <w:p w14:paraId="6A7A6519">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74" w:name="_Toc13617"/>
      <w:r>
        <w:rPr>
          <w:rFonts w:hint="eastAsia"/>
          <w:lang w:val="en-US" w:eastAsia="zh-CN"/>
        </w:rPr>
        <w:t>7.6土壤污染防治措施</w:t>
      </w:r>
      <w:bookmarkEnd w:id="674"/>
    </w:p>
    <w:p w14:paraId="12BA4061">
      <w:pPr>
        <w:pStyle w:val="72"/>
      </w:pPr>
      <w:r>
        <w:rPr>
          <w:rFonts w:hint="eastAsia"/>
        </w:rPr>
        <w:t>本项目</w:t>
      </w:r>
      <w:r>
        <w:rPr>
          <w:rFonts w:hint="eastAsia"/>
          <w:lang w:val="en-US" w:eastAsia="zh-CN"/>
        </w:rPr>
        <w:t>租赁</w:t>
      </w:r>
      <w:r>
        <w:rPr>
          <w:rFonts w:hint="eastAsia"/>
        </w:rPr>
        <w:t>厂房进行生产，厂区地面已全部进行硬化。</w:t>
      </w:r>
      <w:r>
        <w:t>为减少和防止本项目生产过程中产生的污染物对</w:t>
      </w:r>
      <w:r>
        <w:rPr>
          <w:rFonts w:hint="eastAsia"/>
        </w:rPr>
        <w:t>土壤</w:t>
      </w:r>
      <w:r>
        <w:t>造成污染影响，项目对</w:t>
      </w:r>
      <w:r>
        <w:rPr>
          <w:rFonts w:hint="eastAsia"/>
        </w:rPr>
        <w:t>生产车间、电镀生产线、化学品库、</w:t>
      </w:r>
      <w:r>
        <w:t>污水处理设施、</w:t>
      </w:r>
      <w:r>
        <w:rPr>
          <w:rFonts w:hint="eastAsia"/>
        </w:rPr>
        <w:t>事故池</w:t>
      </w:r>
      <w:r>
        <w:t>及固废暂存间采取防渗处理，以防止各种构筑物渗漏对区域地下水造成污染。</w:t>
      </w:r>
      <w:r>
        <w:rPr>
          <w:rFonts w:hint="eastAsia"/>
        </w:rPr>
        <w:t>对电镀生产线的建设必须符合《工业建筑防腐蚀设计规范》（GB50046）的要求；工程产生的固废必须堆放在固废贮存场内，贮存场必须有防雨、防渗、防流失的“三防”措施。</w:t>
      </w:r>
    </w:p>
    <w:p w14:paraId="54FD3B80">
      <w:pPr>
        <w:ind w:firstLine="480"/>
      </w:pPr>
      <w:r>
        <w:rPr>
          <w:rFonts w:hint="eastAsia"/>
        </w:rPr>
        <w:t>为了保证防渗措施的有效性，防止对土壤环境造成污染，评价要求：企业加强管理，定期维护检修，保证防渗措施的有效性和安全性；定期检查、排查问题，及时发现问题并采取措施阻隔污染源，防止进一步污染；同时，定期对附近土壤进行跟踪监测，及时掌握了解土壤环境变化状况，以便及时发现问题并及时采取措施。在上述各措施落实到位的情况下，不会对土壤造成重大不可逆影响。</w:t>
      </w:r>
    </w:p>
    <w:p w14:paraId="0A39BCC1">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75" w:name="_Toc51319882"/>
      <w:bookmarkStart w:id="676" w:name="_Toc32133"/>
      <w:bookmarkStart w:id="677" w:name="_Toc9683"/>
      <w:r>
        <w:rPr>
          <w:rFonts w:hint="eastAsia"/>
          <w:lang w:val="en-US" w:eastAsia="zh-CN"/>
        </w:rPr>
        <w:t>7.7工程污染防治措施汇总</w:t>
      </w:r>
      <w:bookmarkEnd w:id="664"/>
      <w:bookmarkEnd w:id="665"/>
      <w:bookmarkEnd w:id="666"/>
      <w:bookmarkEnd w:id="675"/>
      <w:bookmarkEnd w:id="676"/>
      <w:bookmarkEnd w:id="677"/>
    </w:p>
    <w:p w14:paraId="640AE5BE">
      <w:pPr>
        <w:pStyle w:val="72"/>
      </w:pPr>
      <w:r>
        <w:rPr>
          <w:rFonts w:hint="eastAsia"/>
        </w:rPr>
        <w:t>工程针对废气、废水、噪声、固废的产生情况和工艺要求，采取了技术成熟、运行稳定可靠、净化效率高、满足达标排放和废物综合利用、安全处置要求的污染防治措施。本项目总投资6000万元，本次工程所需环保投资约</w:t>
      </w:r>
      <w:r>
        <w:rPr>
          <w:rFonts w:hint="eastAsia"/>
          <w:lang w:val="en-US" w:eastAsia="zh-CN"/>
        </w:rPr>
        <w:t>420</w:t>
      </w:r>
      <w:r>
        <w:rPr>
          <w:rFonts w:hint="eastAsia"/>
        </w:rPr>
        <w:t>万元，占总投资的</w:t>
      </w:r>
      <w:r>
        <w:rPr>
          <w:rFonts w:hint="eastAsia"/>
          <w:lang w:val="en-US" w:eastAsia="zh-CN"/>
        </w:rPr>
        <w:t>7</w:t>
      </w:r>
      <w:r>
        <w:rPr>
          <w:rFonts w:hint="eastAsia"/>
        </w:rPr>
        <w:t>%。工程污染防治措施及投资概算见下表。</w:t>
      </w:r>
    </w:p>
    <w:p w14:paraId="111C9B9E">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rPr>
      </w:pPr>
      <w:r>
        <w:rPr>
          <w:rFonts w:hint="eastAsia"/>
        </w:rPr>
        <w:t>表7</w:t>
      </w:r>
      <w:r>
        <w:rPr>
          <w:rFonts w:hint="eastAsia"/>
          <w:lang w:val="en-US" w:eastAsia="zh-CN"/>
        </w:rPr>
        <w:t>.7</w:t>
      </w:r>
      <w:r>
        <w:rPr>
          <w:rFonts w:hint="eastAsia"/>
        </w:rPr>
        <w:t>-</w:t>
      </w:r>
      <w:r>
        <w:rPr>
          <w:rFonts w:hint="eastAsia"/>
          <w:lang w:val="en-US" w:eastAsia="zh-CN"/>
        </w:rPr>
        <w:t>1</w:t>
      </w:r>
      <w:r>
        <w:rPr>
          <w:rFonts w:hint="eastAsia"/>
        </w:rPr>
        <w:t xml:space="preserve">     工程污染防治措施及投资概算</w:t>
      </w:r>
    </w:p>
    <w:tbl>
      <w:tblPr>
        <w:tblStyle w:val="3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1731"/>
        <w:gridCol w:w="1869"/>
        <w:gridCol w:w="1666"/>
        <w:gridCol w:w="1182"/>
        <w:gridCol w:w="505"/>
        <w:gridCol w:w="957"/>
      </w:tblGrid>
      <w:tr w14:paraId="5FD37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2" w:type="pct"/>
            <w:vAlign w:val="center"/>
          </w:tcPr>
          <w:p w14:paraId="140561F4">
            <w:pPr>
              <w:pStyle w:val="81"/>
              <w:rPr>
                <w:color w:val="auto"/>
              </w:rPr>
            </w:pPr>
            <w:r>
              <w:rPr>
                <w:rFonts w:hint="eastAsia"/>
                <w:color w:val="auto"/>
              </w:rPr>
              <w:t>项目</w:t>
            </w:r>
          </w:p>
        </w:tc>
        <w:tc>
          <w:tcPr>
            <w:tcW w:w="1015" w:type="pct"/>
            <w:vAlign w:val="center"/>
          </w:tcPr>
          <w:p w14:paraId="02B4C275">
            <w:pPr>
              <w:pStyle w:val="81"/>
              <w:rPr>
                <w:color w:val="auto"/>
              </w:rPr>
            </w:pPr>
            <w:r>
              <w:rPr>
                <w:rFonts w:hint="eastAsia"/>
                <w:color w:val="auto"/>
              </w:rPr>
              <w:t>产污环节</w:t>
            </w:r>
          </w:p>
        </w:tc>
        <w:tc>
          <w:tcPr>
            <w:tcW w:w="1096" w:type="pct"/>
            <w:vAlign w:val="center"/>
          </w:tcPr>
          <w:p w14:paraId="42433BDC">
            <w:pPr>
              <w:pStyle w:val="81"/>
              <w:rPr>
                <w:color w:val="auto"/>
              </w:rPr>
            </w:pPr>
            <w:r>
              <w:rPr>
                <w:rFonts w:hint="eastAsia"/>
                <w:color w:val="auto"/>
              </w:rPr>
              <w:t>主要污染因子</w:t>
            </w:r>
          </w:p>
        </w:tc>
        <w:tc>
          <w:tcPr>
            <w:tcW w:w="1965" w:type="pct"/>
            <w:gridSpan w:val="3"/>
            <w:vAlign w:val="center"/>
          </w:tcPr>
          <w:p w14:paraId="495F2D60">
            <w:pPr>
              <w:pStyle w:val="81"/>
              <w:rPr>
                <w:color w:val="auto"/>
              </w:rPr>
            </w:pPr>
            <w:r>
              <w:rPr>
                <w:rFonts w:hint="eastAsia"/>
                <w:color w:val="auto"/>
              </w:rPr>
              <w:t>治理措施</w:t>
            </w:r>
          </w:p>
        </w:tc>
        <w:tc>
          <w:tcPr>
            <w:tcW w:w="561" w:type="pct"/>
            <w:vAlign w:val="center"/>
          </w:tcPr>
          <w:p w14:paraId="55A6A2A1">
            <w:pPr>
              <w:pStyle w:val="81"/>
              <w:rPr>
                <w:rFonts w:hint="default" w:eastAsia="宋体"/>
                <w:color w:val="auto"/>
                <w:lang w:val="en-US" w:eastAsia="zh-CN"/>
              </w:rPr>
            </w:pPr>
            <w:r>
              <w:rPr>
                <w:rFonts w:hint="eastAsia"/>
                <w:color w:val="auto"/>
                <w:lang w:val="en-US" w:eastAsia="zh-CN"/>
              </w:rPr>
              <w:t>投资（万元）</w:t>
            </w:r>
          </w:p>
        </w:tc>
      </w:tr>
      <w:tr w14:paraId="3947E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restart"/>
            <w:vAlign w:val="center"/>
          </w:tcPr>
          <w:p w14:paraId="1A31EC86">
            <w:pPr>
              <w:pStyle w:val="75"/>
              <w:rPr>
                <w:kern w:val="2"/>
              </w:rPr>
            </w:pPr>
            <w:r>
              <w:rPr>
                <w:rFonts w:hint="eastAsia"/>
                <w:kern w:val="2"/>
              </w:rPr>
              <w:t>废气</w:t>
            </w:r>
          </w:p>
        </w:tc>
        <w:tc>
          <w:tcPr>
            <w:tcW w:w="1015" w:type="pct"/>
            <w:vAlign w:val="center"/>
          </w:tcPr>
          <w:p w14:paraId="72AFC296">
            <w:pPr>
              <w:pStyle w:val="75"/>
              <w:ind w:firstLine="0" w:firstLineChars="0"/>
            </w:pPr>
            <w:r>
              <w:t>酸洗</w:t>
            </w:r>
            <w:r>
              <w:rPr>
                <w:rFonts w:hint="eastAsia"/>
                <w:lang w:eastAsia="zh-CN"/>
              </w:rPr>
              <w:t>、</w:t>
            </w:r>
            <w:r>
              <w:rPr>
                <w:rFonts w:hint="eastAsia"/>
              </w:rPr>
              <w:t>活化</w:t>
            </w:r>
          </w:p>
        </w:tc>
        <w:tc>
          <w:tcPr>
            <w:tcW w:w="1096" w:type="pct"/>
            <w:vAlign w:val="center"/>
          </w:tcPr>
          <w:p w14:paraId="00F20EF7">
            <w:pPr>
              <w:pStyle w:val="75"/>
              <w:ind w:firstLine="0" w:firstLineChars="0"/>
            </w:pPr>
            <w:r>
              <w:rPr>
                <w:rFonts w:hint="eastAsia"/>
              </w:rPr>
              <w:t>硫酸雾</w:t>
            </w:r>
          </w:p>
        </w:tc>
        <w:tc>
          <w:tcPr>
            <w:tcW w:w="977" w:type="pct"/>
            <w:vMerge w:val="restart"/>
            <w:vAlign w:val="center"/>
          </w:tcPr>
          <w:p w14:paraId="75228DAF">
            <w:pPr>
              <w:pStyle w:val="75"/>
            </w:pPr>
            <w:r>
              <w:rPr>
                <w:rFonts w:hint="eastAsia"/>
                <w:kern w:val="2"/>
              </w:rPr>
              <w:t>封闭生产线</w:t>
            </w:r>
            <w:r>
              <w:rPr>
                <w:kern w:val="2"/>
              </w:rPr>
              <w:t>+</w:t>
            </w:r>
            <w:r>
              <w:rPr>
                <w:rFonts w:hint="eastAsia"/>
                <w:kern w:val="2"/>
              </w:rPr>
              <w:t>整体密闭抽风+槽边抽风收集</w:t>
            </w:r>
          </w:p>
        </w:tc>
        <w:tc>
          <w:tcPr>
            <w:tcW w:w="987" w:type="pct"/>
            <w:gridSpan w:val="2"/>
            <w:vMerge w:val="restart"/>
            <w:vAlign w:val="center"/>
          </w:tcPr>
          <w:p w14:paraId="75483C84">
            <w:pPr>
              <w:pStyle w:val="75"/>
              <w:jc w:val="left"/>
            </w:pPr>
            <w:r>
              <w:rPr>
                <w:rFonts w:hint="eastAsia"/>
                <w:kern w:val="2"/>
              </w:rPr>
              <w:t>两级碱喷淋吸收塔</w:t>
            </w:r>
            <w:r>
              <w:rPr>
                <w:kern w:val="2"/>
              </w:rPr>
              <w:t>+</w:t>
            </w:r>
            <w:r>
              <w:rPr>
                <w:rFonts w:hint="eastAsia"/>
              </w:rPr>
              <w:t>15m高</w:t>
            </w:r>
            <w:r>
              <w:rPr>
                <w:rFonts w:hint="eastAsia"/>
                <w:kern w:val="2"/>
              </w:rPr>
              <w:t>排气筒（共3套）</w:t>
            </w:r>
          </w:p>
        </w:tc>
        <w:tc>
          <w:tcPr>
            <w:tcW w:w="561" w:type="pct"/>
            <w:vMerge w:val="restart"/>
            <w:vAlign w:val="center"/>
          </w:tcPr>
          <w:p w14:paraId="7C66FA0A">
            <w:pPr>
              <w:pStyle w:val="75"/>
              <w:rPr>
                <w:rFonts w:hint="default" w:eastAsia="宋体"/>
                <w:kern w:val="2"/>
                <w:lang w:val="en-US" w:eastAsia="zh-CN"/>
              </w:rPr>
            </w:pPr>
            <w:r>
              <w:rPr>
                <w:rFonts w:hint="eastAsia"/>
                <w:kern w:val="2"/>
                <w:lang w:val="en-US" w:eastAsia="zh-CN"/>
              </w:rPr>
              <w:t>150</w:t>
            </w:r>
          </w:p>
        </w:tc>
      </w:tr>
      <w:tr w14:paraId="4728CE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9035BBD">
            <w:pPr>
              <w:pStyle w:val="75"/>
              <w:rPr>
                <w:kern w:val="2"/>
              </w:rPr>
            </w:pPr>
          </w:p>
        </w:tc>
        <w:tc>
          <w:tcPr>
            <w:tcW w:w="1015" w:type="pct"/>
            <w:vAlign w:val="center"/>
          </w:tcPr>
          <w:p w14:paraId="6D08818E">
            <w:pPr>
              <w:pStyle w:val="75"/>
              <w:ind w:firstLine="0" w:firstLineChars="0"/>
            </w:pPr>
            <w:r>
              <w:rPr>
                <w:rFonts w:hint="eastAsia"/>
                <w:bCs/>
              </w:rPr>
              <w:t>钝化</w:t>
            </w:r>
          </w:p>
        </w:tc>
        <w:tc>
          <w:tcPr>
            <w:tcW w:w="1096" w:type="pct"/>
            <w:vAlign w:val="center"/>
          </w:tcPr>
          <w:p w14:paraId="3D2760BA">
            <w:pPr>
              <w:pStyle w:val="75"/>
              <w:ind w:firstLine="0" w:firstLineChars="0"/>
            </w:pPr>
            <w:r>
              <w:rPr>
                <w:rFonts w:hint="eastAsia"/>
                <w:bCs/>
              </w:rPr>
              <w:t>铬酸雾</w:t>
            </w:r>
          </w:p>
        </w:tc>
        <w:tc>
          <w:tcPr>
            <w:tcW w:w="977" w:type="pct"/>
            <w:vMerge w:val="continue"/>
            <w:vAlign w:val="center"/>
          </w:tcPr>
          <w:p w14:paraId="017B4642">
            <w:pPr>
              <w:pStyle w:val="75"/>
              <w:rPr>
                <w:kern w:val="2"/>
              </w:rPr>
            </w:pPr>
          </w:p>
        </w:tc>
        <w:tc>
          <w:tcPr>
            <w:tcW w:w="987" w:type="pct"/>
            <w:gridSpan w:val="2"/>
            <w:vMerge w:val="continue"/>
            <w:vAlign w:val="center"/>
          </w:tcPr>
          <w:p w14:paraId="315B4094">
            <w:pPr>
              <w:pStyle w:val="75"/>
              <w:jc w:val="left"/>
              <w:rPr>
                <w:kern w:val="2"/>
              </w:rPr>
            </w:pPr>
          </w:p>
        </w:tc>
        <w:tc>
          <w:tcPr>
            <w:tcW w:w="561" w:type="pct"/>
            <w:vMerge w:val="continue"/>
            <w:vAlign w:val="center"/>
          </w:tcPr>
          <w:p w14:paraId="2FD84E72">
            <w:pPr>
              <w:pStyle w:val="75"/>
              <w:rPr>
                <w:kern w:val="2"/>
              </w:rPr>
            </w:pPr>
          </w:p>
        </w:tc>
      </w:tr>
      <w:tr w14:paraId="3335A0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456D092D">
            <w:pPr>
              <w:pStyle w:val="75"/>
              <w:rPr>
                <w:kern w:val="2"/>
              </w:rPr>
            </w:pPr>
          </w:p>
        </w:tc>
        <w:tc>
          <w:tcPr>
            <w:tcW w:w="1015" w:type="pct"/>
            <w:vAlign w:val="center"/>
          </w:tcPr>
          <w:p w14:paraId="7655AA8A">
            <w:pPr>
              <w:pStyle w:val="75"/>
              <w:rPr>
                <w:bCs/>
              </w:rPr>
            </w:pPr>
            <w:r>
              <w:rPr>
                <w:rFonts w:hint="eastAsia"/>
              </w:rPr>
              <w:t>槽液调配间</w:t>
            </w:r>
          </w:p>
        </w:tc>
        <w:tc>
          <w:tcPr>
            <w:tcW w:w="1096" w:type="pct"/>
            <w:vAlign w:val="center"/>
          </w:tcPr>
          <w:p w14:paraId="33E52CBB">
            <w:pPr>
              <w:pStyle w:val="75"/>
              <w:rPr>
                <w:bCs/>
              </w:rPr>
            </w:pPr>
            <w:r>
              <w:rPr>
                <w:rFonts w:hint="eastAsia"/>
              </w:rPr>
              <w:t>硫酸雾</w:t>
            </w:r>
          </w:p>
        </w:tc>
        <w:tc>
          <w:tcPr>
            <w:tcW w:w="977" w:type="pct"/>
            <w:vAlign w:val="center"/>
          </w:tcPr>
          <w:p w14:paraId="0C04E62F">
            <w:pPr>
              <w:pStyle w:val="75"/>
              <w:rPr>
                <w:kern w:val="2"/>
              </w:rPr>
            </w:pPr>
            <w:r>
              <w:rPr>
                <w:rFonts w:hint="eastAsia"/>
                <w:kern w:val="2"/>
              </w:rPr>
              <w:t>密闭负压收集</w:t>
            </w:r>
          </w:p>
        </w:tc>
        <w:tc>
          <w:tcPr>
            <w:tcW w:w="987" w:type="pct"/>
            <w:gridSpan w:val="2"/>
            <w:vMerge w:val="continue"/>
            <w:vAlign w:val="center"/>
          </w:tcPr>
          <w:p w14:paraId="78F18237">
            <w:pPr>
              <w:pStyle w:val="75"/>
              <w:jc w:val="left"/>
              <w:rPr>
                <w:kern w:val="2"/>
              </w:rPr>
            </w:pPr>
          </w:p>
        </w:tc>
        <w:tc>
          <w:tcPr>
            <w:tcW w:w="561" w:type="pct"/>
            <w:vMerge w:val="continue"/>
            <w:vAlign w:val="center"/>
          </w:tcPr>
          <w:p w14:paraId="36EA1ABD">
            <w:pPr>
              <w:pStyle w:val="75"/>
              <w:rPr>
                <w:kern w:val="2"/>
              </w:rPr>
            </w:pPr>
          </w:p>
        </w:tc>
      </w:tr>
      <w:tr w14:paraId="20B89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6FD86F6C">
            <w:pPr>
              <w:pStyle w:val="75"/>
              <w:rPr>
                <w:kern w:val="2"/>
              </w:rPr>
            </w:pPr>
          </w:p>
        </w:tc>
        <w:tc>
          <w:tcPr>
            <w:tcW w:w="1015" w:type="pct"/>
            <w:vAlign w:val="center"/>
          </w:tcPr>
          <w:p w14:paraId="6E574DC5">
            <w:pPr>
              <w:pStyle w:val="75"/>
            </w:pPr>
            <w:r>
              <w:rPr>
                <w:rFonts w:hint="eastAsia"/>
              </w:rPr>
              <w:t>危废贮存库</w:t>
            </w:r>
          </w:p>
        </w:tc>
        <w:tc>
          <w:tcPr>
            <w:tcW w:w="1096" w:type="pct"/>
            <w:vAlign w:val="center"/>
          </w:tcPr>
          <w:p w14:paraId="49255390">
            <w:pPr>
              <w:pStyle w:val="75"/>
            </w:pPr>
            <w:r>
              <w:rPr>
                <w:rFonts w:hint="eastAsia"/>
              </w:rPr>
              <w:t>硫酸雾</w:t>
            </w:r>
          </w:p>
        </w:tc>
        <w:tc>
          <w:tcPr>
            <w:tcW w:w="977" w:type="pct"/>
            <w:vAlign w:val="center"/>
          </w:tcPr>
          <w:p w14:paraId="7DC1776D">
            <w:pPr>
              <w:pStyle w:val="75"/>
              <w:rPr>
                <w:kern w:val="2"/>
              </w:rPr>
            </w:pPr>
            <w:r>
              <w:rPr>
                <w:rFonts w:hint="eastAsia"/>
                <w:kern w:val="2"/>
              </w:rPr>
              <w:t>密闭负压收集</w:t>
            </w:r>
          </w:p>
        </w:tc>
        <w:tc>
          <w:tcPr>
            <w:tcW w:w="987" w:type="pct"/>
            <w:gridSpan w:val="2"/>
            <w:vMerge w:val="continue"/>
            <w:vAlign w:val="center"/>
          </w:tcPr>
          <w:p w14:paraId="516B79B5">
            <w:pPr>
              <w:pStyle w:val="75"/>
              <w:jc w:val="left"/>
              <w:rPr>
                <w:kern w:val="2"/>
              </w:rPr>
            </w:pPr>
          </w:p>
        </w:tc>
        <w:tc>
          <w:tcPr>
            <w:tcW w:w="561" w:type="pct"/>
            <w:vMerge w:val="continue"/>
            <w:vAlign w:val="center"/>
          </w:tcPr>
          <w:p w14:paraId="155B3896">
            <w:pPr>
              <w:pStyle w:val="75"/>
              <w:rPr>
                <w:kern w:val="2"/>
              </w:rPr>
            </w:pPr>
          </w:p>
        </w:tc>
      </w:tr>
      <w:tr w14:paraId="03482E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3A4424BC">
            <w:pPr>
              <w:pStyle w:val="75"/>
              <w:rPr>
                <w:kern w:val="2"/>
              </w:rPr>
            </w:pPr>
          </w:p>
        </w:tc>
        <w:tc>
          <w:tcPr>
            <w:tcW w:w="1015" w:type="pct"/>
            <w:vAlign w:val="center"/>
          </w:tcPr>
          <w:p w14:paraId="484DC56B">
            <w:pPr>
              <w:pStyle w:val="75"/>
            </w:pPr>
            <w:r>
              <w:rPr>
                <w:rFonts w:hint="eastAsia"/>
              </w:rPr>
              <w:t>污水处理站</w:t>
            </w:r>
          </w:p>
        </w:tc>
        <w:tc>
          <w:tcPr>
            <w:tcW w:w="1096" w:type="pct"/>
            <w:vAlign w:val="center"/>
          </w:tcPr>
          <w:p w14:paraId="0EB7E550">
            <w:pPr>
              <w:pStyle w:val="75"/>
            </w:pPr>
            <w:r>
              <w:rPr>
                <w:rFonts w:hint="eastAsia"/>
                <w:bCs/>
              </w:rPr>
              <w:t>臭气浓度、H</w:t>
            </w:r>
            <w:r>
              <w:rPr>
                <w:rFonts w:hint="eastAsia"/>
                <w:bCs/>
                <w:vertAlign w:val="subscript"/>
              </w:rPr>
              <w:t>2</w:t>
            </w:r>
            <w:r>
              <w:rPr>
                <w:rFonts w:hint="eastAsia"/>
                <w:bCs/>
              </w:rPr>
              <w:t>S、NH</w:t>
            </w:r>
            <w:r>
              <w:rPr>
                <w:rFonts w:hint="eastAsia"/>
                <w:bCs/>
                <w:vertAlign w:val="subscript"/>
              </w:rPr>
              <w:t>3</w:t>
            </w:r>
          </w:p>
        </w:tc>
        <w:tc>
          <w:tcPr>
            <w:tcW w:w="977" w:type="pct"/>
            <w:vAlign w:val="center"/>
          </w:tcPr>
          <w:p w14:paraId="2013884C">
            <w:pPr>
              <w:pStyle w:val="75"/>
              <w:rPr>
                <w:kern w:val="2"/>
              </w:rPr>
            </w:pPr>
            <w:r>
              <w:rPr>
                <w:rFonts w:hint="eastAsia"/>
                <w:kern w:val="2"/>
              </w:rPr>
              <w:t>加盖密闭收集</w:t>
            </w:r>
          </w:p>
        </w:tc>
        <w:tc>
          <w:tcPr>
            <w:tcW w:w="987" w:type="pct"/>
            <w:gridSpan w:val="2"/>
            <w:vAlign w:val="center"/>
          </w:tcPr>
          <w:p w14:paraId="07475B58">
            <w:pPr>
              <w:pStyle w:val="75"/>
              <w:jc w:val="left"/>
              <w:rPr>
                <w:kern w:val="2"/>
              </w:rPr>
            </w:pPr>
            <w:r>
              <w:rPr>
                <w:rFonts w:hint="eastAsia"/>
              </w:rPr>
              <w:t>生物除臭滤塔</w:t>
            </w:r>
            <w:r>
              <w:rPr>
                <w:kern w:val="2"/>
              </w:rPr>
              <w:t>+</w:t>
            </w:r>
            <w:r>
              <w:rPr>
                <w:rFonts w:hint="eastAsia"/>
              </w:rPr>
              <w:t>15m高</w:t>
            </w:r>
            <w:r>
              <w:rPr>
                <w:rFonts w:hint="eastAsia"/>
                <w:kern w:val="2"/>
              </w:rPr>
              <w:t>排气筒（1套）</w:t>
            </w:r>
          </w:p>
        </w:tc>
        <w:tc>
          <w:tcPr>
            <w:tcW w:w="561" w:type="pct"/>
            <w:vMerge w:val="continue"/>
            <w:vAlign w:val="center"/>
          </w:tcPr>
          <w:p w14:paraId="7E8B9C52">
            <w:pPr>
              <w:pStyle w:val="75"/>
              <w:rPr>
                <w:rFonts w:hint="eastAsia"/>
              </w:rPr>
            </w:pPr>
          </w:p>
        </w:tc>
      </w:tr>
      <w:tr w14:paraId="35819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restart"/>
            <w:vAlign w:val="center"/>
          </w:tcPr>
          <w:p w14:paraId="221BCB19">
            <w:pPr>
              <w:pStyle w:val="75"/>
            </w:pPr>
            <w:r>
              <w:t>废水</w:t>
            </w:r>
          </w:p>
        </w:tc>
        <w:tc>
          <w:tcPr>
            <w:tcW w:w="1015" w:type="pct"/>
            <w:vAlign w:val="center"/>
          </w:tcPr>
          <w:p w14:paraId="2E00E5EA">
            <w:pPr>
              <w:pStyle w:val="75"/>
            </w:pPr>
            <w:r>
              <w:rPr>
                <w:rFonts w:hint="eastAsia"/>
              </w:rPr>
              <w:t>除油</w:t>
            </w:r>
            <w:r>
              <w:t>废槽液</w:t>
            </w:r>
          </w:p>
        </w:tc>
        <w:tc>
          <w:tcPr>
            <w:tcW w:w="1096" w:type="pct"/>
            <w:vMerge w:val="restart"/>
            <w:vAlign w:val="center"/>
          </w:tcPr>
          <w:p w14:paraId="5CFEDA15">
            <w:pPr>
              <w:pStyle w:val="75"/>
            </w:pPr>
            <w:r>
              <w:t>pH、COD、</w:t>
            </w:r>
            <w:r>
              <w:rPr>
                <w:rFonts w:hint="eastAsia"/>
              </w:rPr>
              <w:t>NH</w:t>
            </w:r>
            <w:r>
              <w:rPr>
                <w:rFonts w:hint="eastAsia"/>
                <w:vertAlign w:val="subscript"/>
              </w:rPr>
              <w:t>3</w:t>
            </w:r>
            <w:r>
              <w:rPr>
                <w:rFonts w:hint="eastAsia"/>
              </w:rPr>
              <w:t>-N、TP、TN</w:t>
            </w:r>
            <w:r>
              <w:t>、石油类</w:t>
            </w:r>
          </w:p>
        </w:tc>
        <w:tc>
          <w:tcPr>
            <w:tcW w:w="977" w:type="pct"/>
            <w:vMerge w:val="restart"/>
            <w:vAlign w:val="center"/>
          </w:tcPr>
          <w:p w14:paraId="4BA57384">
            <w:pPr>
              <w:pStyle w:val="75"/>
            </w:pPr>
            <w:r>
              <w:rPr>
                <w:rFonts w:hint="eastAsia"/>
              </w:rPr>
              <w:t>破乳+气浮池</w:t>
            </w:r>
          </w:p>
        </w:tc>
        <w:tc>
          <w:tcPr>
            <w:tcW w:w="692" w:type="pct"/>
            <w:vMerge w:val="restart"/>
            <w:vAlign w:val="center"/>
          </w:tcPr>
          <w:p w14:paraId="7F86DC0E">
            <w:pPr>
              <w:pStyle w:val="75"/>
            </w:pPr>
            <w:r>
              <w:rPr>
                <w:rFonts w:hint="eastAsia"/>
              </w:rPr>
              <w:t>综合废水处理系统（调节+混凝沉淀+</w:t>
            </w:r>
            <w:r>
              <w:rPr>
                <w:rFonts w:hint="eastAsia"/>
                <w:bCs/>
              </w:rPr>
              <w:t>水解酸化+接触氧化</w:t>
            </w:r>
            <w:r>
              <w:rPr>
                <w:rFonts w:hint="eastAsia"/>
              </w:rPr>
              <w:t>+二沉池）</w:t>
            </w:r>
          </w:p>
        </w:tc>
        <w:tc>
          <w:tcPr>
            <w:tcW w:w="294" w:type="pct"/>
            <w:vMerge w:val="restart"/>
            <w:vAlign w:val="center"/>
          </w:tcPr>
          <w:p w14:paraId="34BDB57E">
            <w:pPr>
              <w:pStyle w:val="75"/>
            </w:pPr>
            <w:r>
              <w:rPr>
                <w:rFonts w:hint="eastAsia"/>
              </w:rPr>
              <w:t>厂区总排口排放</w:t>
            </w:r>
          </w:p>
        </w:tc>
        <w:tc>
          <w:tcPr>
            <w:tcW w:w="561" w:type="pct"/>
            <w:vMerge w:val="restart"/>
            <w:vAlign w:val="center"/>
          </w:tcPr>
          <w:p w14:paraId="4CBF20DB">
            <w:pPr>
              <w:pStyle w:val="75"/>
              <w:rPr>
                <w:rFonts w:hint="default" w:eastAsia="宋体"/>
                <w:lang w:val="en-US" w:eastAsia="zh-CN"/>
              </w:rPr>
            </w:pPr>
            <w:r>
              <w:rPr>
                <w:rFonts w:hint="eastAsia"/>
                <w:lang w:val="en-US" w:eastAsia="zh-CN"/>
              </w:rPr>
              <w:t>150</w:t>
            </w:r>
          </w:p>
        </w:tc>
      </w:tr>
      <w:tr w14:paraId="1C6204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6754814D">
            <w:pPr>
              <w:pStyle w:val="75"/>
            </w:pPr>
          </w:p>
        </w:tc>
        <w:tc>
          <w:tcPr>
            <w:tcW w:w="1015" w:type="pct"/>
            <w:vAlign w:val="center"/>
          </w:tcPr>
          <w:p w14:paraId="07DDB0ED">
            <w:pPr>
              <w:pStyle w:val="75"/>
            </w:pPr>
            <w:r>
              <w:rPr>
                <w:rFonts w:hint="eastAsia"/>
              </w:rPr>
              <w:t>除油</w:t>
            </w:r>
            <w:r>
              <w:t>后</w:t>
            </w:r>
            <w:r>
              <w:rPr>
                <w:rFonts w:hint="eastAsia"/>
              </w:rPr>
              <w:t>水</w:t>
            </w:r>
            <w:r>
              <w:t>洗废水</w:t>
            </w:r>
          </w:p>
        </w:tc>
        <w:tc>
          <w:tcPr>
            <w:tcW w:w="1096" w:type="pct"/>
            <w:vMerge w:val="continue"/>
            <w:vAlign w:val="center"/>
          </w:tcPr>
          <w:p w14:paraId="78BD7D3C">
            <w:pPr>
              <w:pStyle w:val="75"/>
            </w:pPr>
          </w:p>
        </w:tc>
        <w:tc>
          <w:tcPr>
            <w:tcW w:w="977" w:type="pct"/>
            <w:vMerge w:val="continue"/>
            <w:vAlign w:val="center"/>
          </w:tcPr>
          <w:p w14:paraId="43B9B169">
            <w:pPr>
              <w:pStyle w:val="75"/>
            </w:pPr>
          </w:p>
        </w:tc>
        <w:tc>
          <w:tcPr>
            <w:tcW w:w="692" w:type="pct"/>
            <w:vMerge w:val="continue"/>
            <w:vAlign w:val="center"/>
          </w:tcPr>
          <w:p w14:paraId="6BA1D2E4">
            <w:pPr>
              <w:pStyle w:val="75"/>
            </w:pPr>
          </w:p>
        </w:tc>
        <w:tc>
          <w:tcPr>
            <w:tcW w:w="294" w:type="pct"/>
            <w:vMerge w:val="continue"/>
            <w:vAlign w:val="center"/>
          </w:tcPr>
          <w:p w14:paraId="5B04EFE5">
            <w:pPr>
              <w:pStyle w:val="75"/>
            </w:pPr>
          </w:p>
        </w:tc>
        <w:tc>
          <w:tcPr>
            <w:tcW w:w="561" w:type="pct"/>
            <w:vMerge w:val="continue"/>
            <w:vAlign w:val="center"/>
          </w:tcPr>
          <w:p w14:paraId="2116E330">
            <w:pPr>
              <w:pStyle w:val="75"/>
            </w:pPr>
          </w:p>
        </w:tc>
      </w:tr>
      <w:tr w14:paraId="7CE11C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69F6B0A8">
            <w:pPr>
              <w:pStyle w:val="75"/>
            </w:pPr>
          </w:p>
        </w:tc>
        <w:tc>
          <w:tcPr>
            <w:tcW w:w="1015" w:type="pct"/>
            <w:vAlign w:val="center"/>
          </w:tcPr>
          <w:p w14:paraId="7AC71BBF">
            <w:pPr>
              <w:pStyle w:val="75"/>
            </w:pPr>
            <w:r>
              <w:rPr>
                <w:rFonts w:hint="eastAsia"/>
              </w:rPr>
              <w:t>酸洗废槽液</w:t>
            </w:r>
          </w:p>
        </w:tc>
        <w:tc>
          <w:tcPr>
            <w:tcW w:w="1096" w:type="pct"/>
            <w:vMerge w:val="restart"/>
            <w:vAlign w:val="center"/>
          </w:tcPr>
          <w:p w14:paraId="31FB5150">
            <w:pPr>
              <w:pStyle w:val="75"/>
            </w:pPr>
            <w:r>
              <w:t>pH、COD、</w:t>
            </w:r>
            <w:r>
              <w:rPr>
                <w:rFonts w:hint="eastAsia"/>
              </w:rPr>
              <w:t>S</w:t>
            </w:r>
            <w:r>
              <w:t>S</w:t>
            </w:r>
            <w:r>
              <w:rPr>
                <w:rFonts w:hint="eastAsia"/>
              </w:rPr>
              <w:t>、NH</w:t>
            </w:r>
            <w:r>
              <w:rPr>
                <w:rFonts w:hint="eastAsia"/>
                <w:vertAlign w:val="subscript"/>
              </w:rPr>
              <w:t>3</w:t>
            </w:r>
            <w:r>
              <w:rPr>
                <w:rFonts w:hint="eastAsia"/>
              </w:rPr>
              <w:t>-N、TP、TN、石油类</w:t>
            </w:r>
          </w:p>
        </w:tc>
        <w:tc>
          <w:tcPr>
            <w:tcW w:w="977" w:type="pct"/>
            <w:vMerge w:val="restart"/>
            <w:vAlign w:val="center"/>
          </w:tcPr>
          <w:p w14:paraId="4C406ACF">
            <w:pPr>
              <w:pStyle w:val="75"/>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692" w:type="pct"/>
            <w:vMerge w:val="continue"/>
            <w:vAlign w:val="center"/>
          </w:tcPr>
          <w:p w14:paraId="264683FB">
            <w:pPr>
              <w:pStyle w:val="75"/>
            </w:pPr>
          </w:p>
        </w:tc>
        <w:tc>
          <w:tcPr>
            <w:tcW w:w="294" w:type="pct"/>
            <w:vMerge w:val="continue"/>
            <w:vAlign w:val="center"/>
          </w:tcPr>
          <w:p w14:paraId="29EAF5C6">
            <w:pPr>
              <w:pStyle w:val="75"/>
            </w:pPr>
          </w:p>
        </w:tc>
        <w:tc>
          <w:tcPr>
            <w:tcW w:w="561" w:type="pct"/>
            <w:vMerge w:val="continue"/>
            <w:vAlign w:val="center"/>
          </w:tcPr>
          <w:p w14:paraId="738D0C21">
            <w:pPr>
              <w:pStyle w:val="75"/>
            </w:pPr>
          </w:p>
        </w:tc>
      </w:tr>
      <w:tr w14:paraId="7CD339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6A9AC9EB">
            <w:pPr>
              <w:pStyle w:val="75"/>
            </w:pPr>
          </w:p>
        </w:tc>
        <w:tc>
          <w:tcPr>
            <w:tcW w:w="1015" w:type="pct"/>
            <w:vAlign w:val="center"/>
          </w:tcPr>
          <w:p w14:paraId="5107F7DA">
            <w:pPr>
              <w:pStyle w:val="75"/>
            </w:pPr>
            <w:r>
              <w:rPr>
                <w:rFonts w:hint="eastAsia"/>
              </w:rPr>
              <w:t>酸洗后水</w:t>
            </w:r>
            <w:r>
              <w:t>洗废水</w:t>
            </w:r>
          </w:p>
        </w:tc>
        <w:tc>
          <w:tcPr>
            <w:tcW w:w="1096" w:type="pct"/>
            <w:vMerge w:val="continue"/>
            <w:vAlign w:val="center"/>
          </w:tcPr>
          <w:p w14:paraId="47859E42">
            <w:pPr>
              <w:pStyle w:val="75"/>
            </w:pPr>
          </w:p>
        </w:tc>
        <w:tc>
          <w:tcPr>
            <w:tcW w:w="977" w:type="pct"/>
            <w:vMerge w:val="continue"/>
            <w:vAlign w:val="center"/>
          </w:tcPr>
          <w:p w14:paraId="525D866B">
            <w:pPr>
              <w:pStyle w:val="75"/>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p>
        </w:tc>
        <w:tc>
          <w:tcPr>
            <w:tcW w:w="692" w:type="pct"/>
            <w:vMerge w:val="continue"/>
            <w:vAlign w:val="center"/>
          </w:tcPr>
          <w:p w14:paraId="78446AD9">
            <w:pPr>
              <w:pStyle w:val="75"/>
            </w:pPr>
          </w:p>
        </w:tc>
        <w:tc>
          <w:tcPr>
            <w:tcW w:w="294" w:type="pct"/>
            <w:vMerge w:val="continue"/>
            <w:vAlign w:val="center"/>
          </w:tcPr>
          <w:p w14:paraId="61B0AB94">
            <w:pPr>
              <w:pStyle w:val="75"/>
            </w:pPr>
          </w:p>
        </w:tc>
        <w:tc>
          <w:tcPr>
            <w:tcW w:w="561" w:type="pct"/>
            <w:vMerge w:val="continue"/>
            <w:vAlign w:val="center"/>
          </w:tcPr>
          <w:p w14:paraId="1A3C3F2C">
            <w:pPr>
              <w:pStyle w:val="75"/>
            </w:pPr>
          </w:p>
        </w:tc>
      </w:tr>
      <w:tr w14:paraId="70512D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33FF4B26">
            <w:pPr>
              <w:pStyle w:val="75"/>
            </w:pPr>
          </w:p>
        </w:tc>
        <w:tc>
          <w:tcPr>
            <w:tcW w:w="1015" w:type="pct"/>
            <w:vAlign w:val="center"/>
          </w:tcPr>
          <w:p w14:paraId="298B376A">
            <w:pPr>
              <w:pStyle w:val="75"/>
              <w:rPr>
                <w:rFonts w:hint="default" w:eastAsia="宋体"/>
                <w:lang w:val="en-US" w:eastAsia="zh-CN"/>
              </w:rPr>
            </w:pPr>
            <w:r>
              <w:rPr>
                <w:rFonts w:hint="eastAsia"/>
                <w:lang w:val="en-US" w:eastAsia="zh-CN"/>
              </w:rPr>
              <w:t>封闭废槽液</w:t>
            </w:r>
          </w:p>
        </w:tc>
        <w:tc>
          <w:tcPr>
            <w:tcW w:w="1096" w:type="pct"/>
            <w:vAlign w:val="center"/>
          </w:tcPr>
          <w:p w14:paraId="2FADB356">
            <w:pPr>
              <w:pStyle w:val="75"/>
            </w:pPr>
            <w:r>
              <w:t>pH、COD、</w:t>
            </w:r>
            <w:r>
              <w:rPr>
                <w:rFonts w:hint="eastAsia"/>
              </w:rPr>
              <w:t>S</w:t>
            </w:r>
            <w:r>
              <w:t>S</w:t>
            </w:r>
            <w:r>
              <w:rPr>
                <w:rFonts w:hint="eastAsia"/>
              </w:rPr>
              <w:t>、NH</w:t>
            </w:r>
            <w:r>
              <w:rPr>
                <w:rFonts w:hint="eastAsia"/>
                <w:vertAlign w:val="subscript"/>
              </w:rPr>
              <w:t>3</w:t>
            </w:r>
            <w:r>
              <w:rPr>
                <w:rFonts w:hint="eastAsia"/>
              </w:rPr>
              <w:t>-N、TP、TN</w:t>
            </w:r>
          </w:p>
        </w:tc>
        <w:tc>
          <w:tcPr>
            <w:tcW w:w="977" w:type="pct"/>
            <w:vAlign w:val="center"/>
          </w:tcPr>
          <w:p w14:paraId="5455B7C8">
            <w:pPr>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692" w:type="pct"/>
            <w:vMerge w:val="continue"/>
            <w:vAlign w:val="center"/>
          </w:tcPr>
          <w:p w14:paraId="63996108">
            <w:pPr>
              <w:pStyle w:val="75"/>
            </w:pPr>
          </w:p>
        </w:tc>
        <w:tc>
          <w:tcPr>
            <w:tcW w:w="294" w:type="pct"/>
            <w:vMerge w:val="continue"/>
            <w:vAlign w:val="center"/>
          </w:tcPr>
          <w:p w14:paraId="7A558055">
            <w:pPr>
              <w:pStyle w:val="75"/>
            </w:pPr>
          </w:p>
        </w:tc>
        <w:tc>
          <w:tcPr>
            <w:tcW w:w="561" w:type="pct"/>
            <w:vMerge w:val="continue"/>
            <w:vAlign w:val="center"/>
          </w:tcPr>
          <w:p w14:paraId="0AB0A954">
            <w:pPr>
              <w:pStyle w:val="75"/>
            </w:pPr>
          </w:p>
        </w:tc>
      </w:tr>
      <w:tr w14:paraId="7D4AA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44B15FA1">
            <w:pPr>
              <w:pStyle w:val="75"/>
            </w:pPr>
          </w:p>
        </w:tc>
        <w:tc>
          <w:tcPr>
            <w:tcW w:w="1015" w:type="pct"/>
            <w:vAlign w:val="center"/>
          </w:tcPr>
          <w:p w14:paraId="32CE66C0">
            <w:pPr>
              <w:pStyle w:val="75"/>
              <w:rPr>
                <w:rFonts w:hint="eastAsia"/>
                <w:lang w:val="en-US" w:eastAsia="zh-CN"/>
              </w:rPr>
            </w:pPr>
            <w:r>
              <w:rPr>
                <w:rFonts w:hint="eastAsia"/>
                <w:lang w:val="en-US" w:eastAsia="zh-CN"/>
              </w:rPr>
              <w:t>封闭</w:t>
            </w:r>
            <w:r>
              <w:rPr>
                <w:rFonts w:hint="eastAsia"/>
              </w:rPr>
              <w:t>后水</w:t>
            </w:r>
            <w:r>
              <w:t>洗废水</w:t>
            </w:r>
          </w:p>
        </w:tc>
        <w:tc>
          <w:tcPr>
            <w:tcW w:w="1096" w:type="pct"/>
            <w:vAlign w:val="center"/>
          </w:tcPr>
          <w:p w14:paraId="5691FAAB">
            <w:pPr>
              <w:pStyle w:val="75"/>
            </w:pPr>
            <w:r>
              <w:t>pH、COD、</w:t>
            </w:r>
            <w:r>
              <w:rPr>
                <w:rFonts w:hint="eastAsia"/>
              </w:rPr>
              <w:t>S</w:t>
            </w:r>
            <w:r>
              <w:t>S</w:t>
            </w:r>
            <w:r>
              <w:rPr>
                <w:rFonts w:hint="eastAsia"/>
              </w:rPr>
              <w:t>、NH</w:t>
            </w:r>
            <w:r>
              <w:rPr>
                <w:rFonts w:hint="eastAsia"/>
                <w:vertAlign w:val="subscript"/>
              </w:rPr>
              <w:t>3</w:t>
            </w:r>
            <w:r>
              <w:rPr>
                <w:rFonts w:hint="eastAsia"/>
              </w:rPr>
              <w:t>-N、TP、TN</w:t>
            </w:r>
          </w:p>
        </w:tc>
        <w:tc>
          <w:tcPr>
            <w:tcW w:w="977" w:type="pct"/>
            <w:vAlign w:val="center"/>
          </w:tcPr>
          <w:p w14:paraId="095358CD">
            <w:pPr>
              <w:keepNext w:val="0"/>
              <w:keepLines w:val="0"/>
              <w:pageBreakBefore w:val="0"/>
              <w:widowControl w:val="0"/>
              <w:kinsoku/>
              <w:wordWrap/>
              <w:overflowPunct/>
              <w:topLinePunct w:val="0"/>
              <w:autoSpaceDE/>
              <w:autoSpaceDN/>
              <w:bidi w:val="0"/>
              <w:spacing w:line="240" w:lineRule="auto"/>
              <w:ind w:firstLine="0" w:firstLineChars="0"/>
              <w:jc w:val="center"/>
              <w:textAlignment w:val="baseline"/>
            </w:pPr>
            <w:r>
              <w:rPr>
                <w:rFonts w:hint="eastAsia"/>
              </w:rPr>
              <w:t>/</w:t>
            </w:r>
          </w:p>
        </w:tc>
        <w:tc>
          <w:tcPr>
            <w:tcW w:w="692" w:type="pct"/>
            <w:vMerge w:val="continue"/>
            <w:vAlign w:val="center"/>
          </w:tcPr>
          <w:p w14:paraId="677BF55E">
            <w:pPr>
              <w:pStyle w:val="75"/>
            </w:pPr>
          </w:p>
        </w:tc>
        <w:tc>
          <w:tcPr>
            <w:tcW w:w="294" w:type="pct"/>
            <w:vMerge w:val="continue"/>
            <w:vAlign w:val="center"/>
          </w:tcPr>
          <w:p w14:paraId="78FD9A10">
            <w:pPr>
              <w:pStyle w:val="75"/>
            </w:pPr>
          </w:p>
        </w:tc>
        <w:tc>
          <w:tcPr>
            <w:tcW w:w="561" w:type="pct"/>
            <w:vMerge w:val="continue"/>
            <w:vAlign w:val="center"/>
          </w:tcPr>
          <w:p w14:paraId="12D5BFA5">
            <w:pPr>
              <w:pStyle w:val="75"/>
            </w:pPr>
          </w:p>
        </w:tc>
      </w:tr>
      <w:tr w14:paraId="07E99E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1E22BC83">
            <w:pPr>
              <w:pStyle w:val="75"/>
            </w:pPr>
          </w:p>
        </w:tc>
        <w:tc>
          <w:tcPr>
            <w:tcW w:w="1015" w:type="pct"/>
            <w:vAlign w:val="center"/>
          </w:tcPr>
          <w:p w14:paraId="53448CFD">
            <w:pPr>
              <w:pStyle w:val="75"/>
            </w:pPr>
            <w:r>
              <w:rPr>
                <w:rFonts w:hint="eastAsia"/>
              </w:rPr>
              <w:t>生活污水</w:t>
            </w:r>
          </w:p>
        </w:tc>
        <w:tc>
          <w:tcPr>
            <w:tcW w:w="1096" w:type="pct"/>
            <w:vAlign w:val="center"/>
          </w:tcPr>
          <w:p w14:paraId="01C27E04">
            <w:pPr>
              <w:pStyle w:val="75"/>
            </w:pPr>
            <w:r>
              <w:t>COD</w:t>
            </w:r>
            <w:r>
              <w:rPr>
                <w:rFonts w:hint="eastAsia"/>
              </w:rPr>
              <w:t>、</w:t>
            </w:r>
            <w:r>
              <w:rPr>
                <w:spacing w:val="-8"/>
              </w:rPr>
              <w:t>SS</w:t>
            </w:r>
            <w:r>
              <w:t>、</w:t>
            </w:r>
            <w:r>
              <w:rPr>
                <w:rFonts w:hint="eastAsia"/>
              </w:rPr>
              <w:t>NH</w:t>
            </w:r>
            <w:r>
              <w:rPr>
                <w:rFonts w:hint="eastAsia"/>
                <w:vertAlign w:val="subscript"/>
              </w:rPr>
              <w:t>3</w:t>
            </w:r>
            <w:r>
              <w:rPr>
                <w:rFonts w:hint="eastAsia"/>
              </w:rPr>
              <w:t>-N、TP、TN</w:t>
            </w:r>
          </w:p>
        </w:tc>
        <w:tc>
          <w:tcPr>
            <w:tcW w:w="1670" w:type="pct"/>
            <w:gridSpan w:val="2"/>
            <w:vAlign w:val="center"/>
          </w:tcPr>
          <w:p w14:paraId="52A8C560">
            <w:pPr>
              <w:pStyle w:val="75"/>
            </w:pPr>
            <w:r>
              <w:rPr>
                <w:rFonts w:hint="eastAsia"/>
              </w:rPr>
              <w:t>化粪池</w:t>
            </w:r>
          </w:p>
        </w:tc>
        <w:tc>
          <w:tcPr>
            <w:tcW w:w="294" w:type="pct"/>
            <w:vMerge w:val="continue"/>
            <w:vAlign w:val="center"/>
          </w:tcPr>
          <w:p w14:paraId="0A3B8F57">
            <w:pPr>
              <w:pStyle w:val="75"/>
            </w:pPr>
          </w:p>
        </w:tc>
        <w:tc>
          <w:tcPr>
            <w:tcW w:w="561" w:type="pct"/>
            <w:vMerge w:val="continue"/>
            <w:vAlign w:val="center"/>
          </w:tcPr>
          <w:p w14:paraId="7768600A">
            <w:pPr>
              <w:pStyle w:val="75"/>
            </w:pPr>
          </w:p>
        </w:tc>
      </w:tr>
      <w:tr w14:paraId="53D17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4BDD8384">
            <w:pPr>
              <w:pStyle w:val="75"/>
            </w:pPr>
          </w:p>
        </w:tc>
        <w:tc>
          <w:tcPr>
            <w:tcW w:w="1015" w:type="pct"/>
            <w:vAlign w:val="center"/>
          </w:tcPr>
          <w:p w14:paraId="57A1624F">
            <w:pPr>
              <w:pStyle w:val="75"/>
            </w:pPr>
            <w:r>
              <w:rPr>
                <w:rFonts w:hint="eastAsia"/>
              </w:rPr>
              <w:t>纯水制备浓水</w:t>
            </w:r>
          </w:p>
        </w:tc>
        <w:tc>
          <w:tcPr>
            <w:tcW w:w="1096" w:type="pct"/>
            <w:vAlign w:val="center"/>
          </w:tcPr>
          <w:p w14:paraId="16CEA495">
            <w:pPr>
              <w:pStyle w:val="75"/>
            </w:pPr>
            <w:r>
              <w:t>COD</w:t>
            </w:r>
            <w:r>
              <w:rPr>
                <w:rFonts w:hint="eastAsia"/>
              </w:rPr>
              <w:t>、</w:t>
            </w:r>
            <w:r>
              <w:rPr>
                <w:spacing w:val="-8"/>
              </w:rPr>
              <w:t>SS</w:t>
            </w:r>
          </w:p>
        </w:tc>
        <w:tc>
          <w:tcPr>
            <w:tcW w:w="1670" w:type="pct"/>
            <w:gridSpan w:val="2"/>
            <w:vAlign w:val="center"/>
          </w:tcPr>
          <w:p w14:paraId="027A07F8">
            <w:pPr>
              <w:pStyle w:val="75"/>
            </w:pPr>
            <w:r>
              <w:rPr>
                <w:rFonts w:hint="eastAsia"/>
              </w:rPr>
              <w:t>/</w:t>
            </w:r>
          </w:p>
        </w:tc>
        <w:tc>
          <w:tcPr>
            <w:tcW w:w="294" w:type="pct"/>
            <w:vMerge w:val="continue"/>
            <w:vAlign w:val="center"/>
          </w:tcPr>
          <w:p w14:paraId="4267AE66">
            <w:pPr>
              <w:pStyle w:val="75"/>
            </w:pPr>
          </w:p>
        </w:tc>
        <w:tc>
          <w:tcPr>
            <w:tcW w:w="561" w:type="pct"/>
            <w:vMerge w:val="continue"/>
            <w:vAlign w:val="center"/>
          </w:tcPr>
          <w:p w14:paraId="32DFF232">
            <w:pPr>
              <w:pStyle w:val="75"/>
            </w:pPr>
          </w:p>
        </w:tc>
      </w:tr>
      <w:tr w14:paraId="099ECB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37A378F">
            <w:pPr>
              <w:pStyle w:val="75"/>
            </w:pPr>
          </w:p>
        </w:tc>
        <w:tc>
          <w:tcPr>
            <w:tcW w:w="1015" w:type="pct"/>
            <w:vAlign w:val="center"/>
          </w:tcPr>
          <w:p w14:paraId="239DCF99">
            <w:pPr>
              <w:pStyle w:val="75"/>
            </w:pPr>
            <w:r>
              <w:rPr>
                <w:rFonts w:hint="eastAsia"/>
              </w:rPr>
              <w:t>冲压冷凝水</w:t>
            </w:r>
          </w:p>
        </w:tc>
        <w:tc>
          <w:tcPr>
            <w:tcW w:w="1096" w:type="pct"/>
            <w:vAlign w:val="center"/>
          </w:tcPr>
          <w:p w14:paraId="11449491">
            <w:pPr>
              <w:pStyle w:val="75"/>
            </w:pPr>
            <w:r>
              <w:t>COD</w:t>
            </w:r>
            <w:r>
              <w:rPr>
                <w:rFonts w:hint="eastAsia"/>
              </w:rPr>
              <w:t>、</w:t>
            </w:r>
            <w:r>
              <w:rPr>
                <w:spacing w:val="-8"/>
              </w:rPr>
              <w:t>SS</w:t>
            </w:r>
          </w:p>
        </w:tc>
        <w:tc>
          <w:tcPr>
            <w:tcW w:w="1670" w:type="pct"/>
            <w:gridSpan w:val="2"/>
            <w:vAlign w:val="center"/>
          </w:tcPr>
          <w:p w14:paraId="7471C738">
            <w:pPr>
              <w:pStyle w:val="75"/>
            </w:pPr>
            <w:r>
              <w:rPr>
                <w:rFonts w:hint="eastAsia"/>
              </w:rPr>
              <w:t>/</w:t>
            </w:r>
          </w:p>
        </w:tc>
        <w:tc>
          <w:tcPr>
            <w:tcW w:w="294" w:type="pct"/>
            <w:vMerge w:val="continue"/>
            <w:vAlign w:val="center"/>
          </w:tcPr>
          <w:p w14:paraId="2EF0AC3A">
            <w:pPr>
              <w:pStyle w:val="75"/>
            </w:pPr>
          </w:p>
        </w:tc>
        <w:tc>
          <w:tcPr>
            <w:tcW w:w="561" w:type="pct"/>
            <w:vMerge w:val="continue"/>
            <w:vAlign w:val="center"/>
          </w:tcPr>
          <w:p w14:paraId="3FDEDF79">
            <w:pPr>
              <w:pStyle w:val="75"/>
            </w:pPr>
          </w:p>
        </w:tc>
      </w:tr>
      <w:tr w14:paraId="0872E4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72293251">
            <w:pPr>
              <w:pStyle w:val="75"/>
            </w:pPr>
          </w:p>
        </w:tc>
        <w:tc>
          <w:tcPr>
            <w:tcW w:w="1015" w:type="pct"/>
            <w:vAlign w:val="center"/>
          </w:tcPr>
          <w:p w14:paraId="60C46539">
            <w:pPr>
              <w:pStyle w:val="75"/>
            </w:pPr>
            <w:r>
              <w:rPr>
                <w:rFonts w:hint="eastAsia"/>
              </w:rPr>
              <w:t>镀镍后水洗废水</w:t>
            </w:r>
          </w:p>
        </w:tc>
        <w:tc>
          <w:tcPr>
            <w:tcW w:w="1096" w:type="pct"/>
            <w:vMerge w:val="restart"/>
            <w:vAlign w:val="center"/>
          </w:tcPr>
          <w:p w14:paraId="200AD828">
            <w:pPr>
              <w:pStyle w:val="75"/>
            </w:pPr>
            <w:r>
              <w:t>pH、COD、</w:t>
            </w:r>
            <w:r>
              <w:rPr>
                <w:rFonts w:hint="eastAsia"/>
              </w:rPr>
              <w:t>总镍</w:t>
            </w:r>
          </w:p>
        </w:tc>
        <w:tc>
          <w:tcPr>
            <w:tcW w:w="1965" w:type="pct"/>
            <w:gridSpan w:val="3"/>
            <w:vMerge w:val="restart"/>
            <w:vAlign w:val="center"/>
          </w:tcPr>
          <w:p w14:paraId="5AE7E07F">
            <w:pPr>
              <w:pStyle w:val="75"/>
            </w:pPr>
            <w:r>
              <w:rPr>
                <w:rFonts w:hint="eastAsia"/>
              </w:rPr>
              <w:t>含镍废水处理系统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调节</w:t>
            </w:r>
            <w:r>
              <w:rPr>
                <w:rFonts w:hint="eastAsia"/>
                <w:color w:val="000000" w:themeColor="text1"/>
                <w14:textFill>
                  <w14:solidFill>
                    <w14:schemeClr w14:val="tx1"/>
                  </w14:solidFill>
                </w14:textFill>
              </w:rPr>
              <w:t>+混凝沉淀+</w:t>
            </w:r>
            <w:r>
              <w:rPr>
                <w:rFonts w:hint="eastAsia"/>
                <w:bCs/>
                <w:color w:val="000000" w:themeColor="text1"/>
                <w14:textFill>
                  <w14:solidFill>
                    <w14:schemeClr w14:val="tx1"/>
                  </w14:solidFill>
                </w14:textFill>
              </w:rPr>
              <w:t>碳滤</w:t>
            </w:r>
            <w:r>
              <w:rPr>
                <w:rFonts w:hint="eastAsia"/>
                <w:color w:val="000000" w:themeColor="text1"/>
                <w14:textFill>
                  <w14:solidFill>
                    <w14:schemeClr w14:val="tx1"/>
                  </w14:solidFill>
                </w14:textFill>
              </w:rPr>
              <w:t>+超滤+反渗透+蒸发）</w:t>
            </w:r>
            <w:r>
              <w:rPr>
                <w:rFonts w:hint="eastAsia"/>
              </w:rPr>
              <w:t>处理后回用于镀后水洗和中和后水洗工段</w:t>
            </w:r>
          </w:p>
        </w:tc>
        <w:tc>
          <w:tcPr>
            <w:tcW w:w="561" w:type="pct"/>
            <w:vMerge w:val="continue"/>
            <w:vAlign w:val="center"/>
          </w:tcPr>
          <w:p w14:paraId="407632DC">
            <w:pPr>
              <w:pStyle w:val="75"/>
              <w:rPr>
                <w:rFonts w:hint="eastAsia"/>
              </w:rPr>
            </w:pPr>
          </w:p>
        </w:tc>
      </w:tr>
      <w:tr w14:paraId="18CB9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97B4629">
            <w:pPr>
              <w:pStyle w:val="75"/>
            </w:pPr>
          </w:p>
        </w:tc>
        <w:tc>
          <w:tcPr>
            <w:tcW w:w="1015" w:type="pct"/>
            <w:vAlign w:val="center"/>
          </w:tcPr>
          <w:p w14:paraId="065F259C">
            <w:pPr>
              <w:pStyle w:val="75"/>
              <w:rPr>
                <w:rFonts w:hint="default" w:eastAsia="宋体"/>
                <w:lang w:val="en-US" w:eastAsia="zh-CN"/>
              </w:rPr>
            </w:pPr>
            <w:r>
              <w:rPr>
                <w:rFonts w:hint="eastAsia"/>
                <w:lang w:val="en-US" w:eastAsia="zh-CN"/>
              </w:rPr>
              <w:t>漂白槽液</w:t>
            </w:r>
          </w:p>
        </w:tc>
        <w:tc>
          <w:tcPr>
            <w:tcW w:w="1096" w:type="pct"/>
            <w:vMerge w:val="continue"/>
            <w:vAlign w:val="center"/>
          </w:tcPr>
          <w:p w14:paraId="5563DC82">
            <w:pPr>
              <w:pStyle w:val="75"/>
            </w:pPr>
          </w:p>
        </w:tc>
        <w:tc>
          <w:tcPr>
            <w:tcW w:w="1965" w:type="pct"/>
            <w:gridSpan w:val="3"/>
            <w:vMerge w:val="continue"/>
            <w:vAlign w:val="center"/>
          </w:tcPr>
          <w:p w14:paraId="2CBC6E7D">
            <w:pPr>
              <w:pStyle w:val="75"/>
              <w:rPr>
                <w:rFonts w:hint="eastAsia"/>
              </w:rPr>
            </w:pPr>
          </w:p>
        </w:tc>
        <w:tc>
          <w:tcPr>
            <w:tcW w:w="561" w:type="pct"/>
            <w:vMerge w:val="continue"/>
            <w:vAlign w:val="center"/>
          </w:tcPr>
          <w:p w14:paraId="63C96A58">
            <w:pPr>
              <w:pStyle w:val="75"/>
              <w:rPr>
                <w:rFonts w:hint="eastAsia"/>
              </w:rPr>
            </w:pPr>
          </w:p>
        </w:tc>
      </w:tr>
      <w:tr w14:paraId="3AB1D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14F2E0AB">
            <w:pPr>
              <w:pStyle w:val="75"/>
            </w:pPr>
          </w:p>
        </w:tc>
        <w:tc>
          <w:tcPr>
            <w:tcW w:w="1015" w:type="pct"/>
            <w:vAlign w:val="center"/>
          </w:tcPr>
          <w:p w14:paraId="7CA33732">
            <w:pPr>
              <w:pStyle w:val="75"/>
              <w:rPr>
                <w:rFonts w:hint="default"/>
                <w:lang w:val="en-US" w:eastAsia="zh-CN"/>
              </w:rPr>
            </w:pPr>
            <w:r>
              <w:rPr>
                <w:rFonts w:hint="eastAsia"/>
                <w:lang w:val="en-US" w:eastAsia="zh-CN"/>
              </w:rPr>
              <w:t>漂白后水洗废水</w:t>
            </w:r>
          </w:p>
        </w:tc>
        <w:tc>
          <w:tcPr>
            <w:tcW w:w="1096" w:type="pct"/>
            <w:vMerge w:val="continue"/>
            <w:vAlign w:val="center"/>
          </w:tcPr>
          <w:p w14:paraId="2E59207D">
            <w:pPr>
              <w:pStyle w:val="75"/>
            </w:pPr>
          </w:p>
        </w:tc>
        <w:tc>
          <w:tcPr>
            <w:tcW w:w="1965" w:type="pct"/>
            <w:gridSpan w:val="3"/>
            <w:vMerge w:val="continue"/>
            <w:vAlign w:val="center"/>
          </w:tcPr>
          <w:p w14:paraId="773B1E30">
            <w:pPr>
              <w:pStyle w:val="75"/>
              <w:rPr>
                <w:rFonts w:hint="eastAsia"/>
              </w:rPr>
            </w:pPr>
          </w:p>
        </w:tc>
        <w:tc>
          <w:tcPr>
            <w:tcW w:w="561" w:type="pct"/>
            <w:vMerge w:val="continue"/>
            <w:vAlign w:val="center"/>
          </w:tcPr>
          <w:p w14:paraId="524C5B2E">
            <w:pPr>
              <w:pStyle w:val="75"/>
              <w:rPr>
                <w:rFonts w:hint="eastAsia"/>
              </w:rPr>
            </w:pPr>
          </w:p>
        </w:tc>
      </w:tr>
      <w:tr w14:paraId="6FFCD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43968104">
            <w:pPr>
              <w:pStyle w:val="75"/>
            </w:pPr>
          </w:p>
        </w:tc>
        <w:tc>
          <w:tcPr>
            <w:tcW w:w="1015" w:type="pct"/>
            <w:vAlign w:val="center"/>
          </w:tcPr>
          <w:p w14:paraId="56782CE5">
            <w:pPr>
              <w:pStyle w:val="75"/>
            </w:pPr>
            <w:r>
              <w:rPr>
                <w:rFonts w:hint="eastAsia"/>
              </w:rPr>
              <w:t>中和废槽液</w:t>
            </w:r>
          </w:p>
        </w:tc>
        <w:tc>
          <w:tcPr>
            <w:tcW w:w="1096" w:type="pct"/>
            <w:vMerge w:val="continue"/>
            <w:vAlign w:val="center"/>
          </w:tcPr>
          <w:p w14:paraId="4064B59D">
            <w:pPr>
              <w:pStyle w:val="75"/>
            </w:pPr>
          </w:p>
        </w:tc>
        <w:tc>
          <w:tcPr>
            <w:tcW w:w="1965" w:type="pct"/>
            <w:gridSpan w:val="3"/>
            <w:vMerge w:val="continue"/>
            <w:vAlign w:val="center"/>
          </w:tcPr>
          <w:p w14:paraId="321E43DA">
            <w:pPr>
              <w:pStyle w:val="75"/>
            </w:pPr>
          </w:p>
        </w:tc>
        <w:tc>
          <w:tcPr>
            <w:tcW w:w="561" w:type="pct"/>
            <w:vMerge w:val="continue"/>
            <w:vAlign w:val="center"/>
          </w:tcPr>
          <w:p w14:paraId="18AB4C63">
            <w:pPr>
              <w:pStyle w:val="75"/>
            </w:pPr>
          </w:p>
        </w:tc>
      </w:tr>
      <w:tr w14:paraId="21DAC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55FB5DE3">
            <w:pPr>
              <w:pStyle w:val="75"/>
            </w:pPr>
          </w:p>
        </w:tc>
        <w:tc>
          <w:tcPr>
            <w:tcW w:w="1015" w:type="pct"/>
            <w:vAlign w:val="center"/>
          </w:tcPr>
          <w:p w14:paraId="168F9808">
            <w:pPr>
              <w:pStyle w:val="75"/>
            </w:pPr>
            <w:r>
              <w:rPr>
                <w:rFonts w:hint="eastAsia"/>
              </w:rPr>
              <w:t>中和后水洗废水</w:t>
            </w:r>
          </w:p>
        </w:tc>
        <w:tc>
          <w:tcPr>
            <w:tcW w:w="1096" w:type="pct"/>
            <w:vMerge w:val="continue"/>
            <w:vAlign w:val="center"/>
          </w:tcPr>
          <w:p w14:paraId="26350815">
            <w:pPr>
              <w:pStyle w:val="75"/>
            </w:pPr>
          </w:p>
        </w:tc>
        <w:tc>
          <w:tcPr>
            <w:tcW w:w="1965" w:type="pct"/>
            <w:gridSpan w:val="3"/>
            <w:vMerge w:val="continue"/>
            <w:vAlign w:val="center"/>
          </w:tcPr>
          <w:p w14:paraId="04BAC593">
            <w:pPr>
              <w:pStyle w:val="75"/>
            </w:pPr>
          </w:p>
        </w:tc>
        <w:tc>
          <w:tcPr>
            <w:tcW w:w="561" w:type="pct"/>
            <w:vMerge w:val="continue"/>
            <w:vAlign w:val="center"/>
          </w:tcPr>
          <w:p w14:paraId="03FA98DC">
            <w:pPr>
              <w:pStyle w:val="75"/>
            </w:pPr>
          </w:p>
        </w:tc>
      </w:tr>
      <w:tr w14:paraId="482537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4E792481">
            <w:pPr>
              <w:pStyle w:val="75"/>
            </w:pPr>
          </w:p>
        </w:tc>
        <w:tc>
          <w:tcPr>
            <w:tcW w:w="1015" w:type="pct"/>
            <w:vAlign w:val="center"/>
          </w:tcPr>
          <w:p w14:paraId="499B1284">
            <w:pPr>
              <w:pStyle w:val="75"/>
            </w:pPr>
            <w:r>
              <w:rPr>
                <w:rFonts w:hint="eastAsia"/>
              </w:rPr>
              <w:t>钝化废槽液</w:t>
            </w:r>
          </w:p>
        </w:tc>
        <w:tc>
          <w:tcPr>
            <w:tcW w:w="1096" w:type="pct"/>
            <w:vMerge w:val="restart"/>
            <w:vAlign w:val="center"/>
          </w:tcPr>
          <w:p w14:paraId="3D978207">
            <w:pPr>
              <w:pStyle w:val="75"/>
            </w:pPr>
            <w:r>
              <w:t>pH、</w:t>
            </w:r>
            <w:r>
              <w:rPr>
                <w:rFonts w:hint="eastAsia"/>
              </w:rPr>
              <w:t>总铬</w:t>
            </w:r>
          </w:p>
        </w:tc>
        <w:tc>
          <w:tcPr>
            <w:tcW w:w="1965" w:type="pct"/>
            <w:gridSpan w:val="3"/>
            <w:vMerge w:val="restart"/>
            <w:vAlign w:val="center"/>
          </w:tcPr>
          <w:p w14:paraId="7F90D3EB">
            <w:pPr>
              <w:pStyle w:val="75"/>
            </w:pPr>
            <w:r>
              <w:rPr>
                <w:rFonts w:hint="eastAsia"/>
              </w:rPr>
              <w:t>含铬废水处理系统（调节+混凝沉淀+碳滤+超滤+反渗透+蒸发）处理后回用于钝化后水洗和中和后水洗工段</w:t>
            </w:r>
          </w:p>
        </w:tc>
        <w:tc>
          <w:tcPr>
            <w:tcW w:w="561" w:type="pct"/>
            <w:vMerge w:val="continue"/>
            <w:vAlign w:val="center"/>
          </w:tcPr>
          <w:p w14:paraId="10864417">
            <w:pPr>
              <w:pStyle w:val="75"/>
              <w:rPr>
                <w:rFonts w:hint="eastAsia"/>
              </w:rPr>
            </w:pPr>
          </w:p>
        </w:tc>
      </w:tr>
      <w:tr w14:paraId="7A9EA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7CEEEA5">
            <w:pPr>
              <w:pStyle w:val="75"/>
            </w:pPr>
          </w:p>
        </w:tc>
        <w:tc>
          <w:tcPr>
            <w:tcW w:w="1015" w:type="pct"/>
            <w:vAlign w:val="center"/>
          </w:tcPr>
          <w:p w14:paraId="62852327">
            <w:pPr>
              <w:pStyle w:val="75"/>
            </w:pPr>
            <w:r>
              <w:rPr>
                <w:rFonts w:hint="eastAsia"/>
              </w:rPr>
              <w:t>钝化后水洗废水</w:t>
            </w:r>
          </w:p>
        </w:tc>
        <w:tc>
          <w:tcPr>
            <w:tcW w:w="1096" w:type="pct"/>
            <w:vMerge w:val="continue"/>
            <w:vAlign w:val="center"/>
          </w:tcPr>
          <w:p w14:paraId="7AD21BE3">
            <w:pPr>
              <w:pStyle w:val="75"/>
            </w:pPr>
          </w:p>
        </w:tc>
        <w:tc>
          <w:tcPr>
            <w:tcW w:w="1965" w:type="pct"/>
            <w:gridSpan w:val="3"/>
            <w:vMerge w:val="continue"/>
            <w:vAlign w:val="center"/>
          </w:tcPr>
          <w:p w14:paraId="0808BE15">
            <w:pPr>
              <w:pStyle w:val="75"/>
            </w:pPr>
          </w:p>
        </w:tc>
        <w:tc>
          <w:tcPr>
            <w:tcW w:w="561" w:type="pct"/>
            <w:vMerge w:val="continue"/>
            <w:vAlign w:val="center"/>
          </w:tcPr>
          <w:p w14:paraId="6292030C">
            <w:pPr>
              <w:pStyle w:val="75"/>
            </w:pPr>
          </w:p>
        </w:tc>
      </w:tr>
      <w:tr w14:paraId="66CA50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5141C5FB">
            <w:pPr>
              <w:pStyle w:val="75"/>
            </w:pPr>
          </w:p>
        </w:tc>
        <w:tc>
          <w:tcPr>
            <w:tcW w:w="1015" w:type="pct"/>
            <w:vAlign w:val="center"/>
          </w:tcPr>
          <w:p w14:paraId="790E5400">
            <w:pPr>
              <w:pStyle w:val="75"/>
            </w:pPr>
            <w:r>
              <w:rPr>
                <w:rFonts w:hint="eastAsia"/>
              </w:rPr>
              <w:t>中和废槽液</w:t>
            </w:r>
          </w:p>
        </w:tc>
        <w:tc>
          <w:tcPr>
            <w:tcW w:w="1096" w:type="pct"/>
            <w:vMerge w:val="continue"/>
            <w:vAlign w:val="center"/>
          </w:tcPr>
          <w:p w14:paraId="24243E22">
            <w:pPr>
              <w:pStyle w:val="75"/>
            </w:pPr>
          </w:p>
        </w:tc>
        <w:tc>
          <w:tcPr>
            <w:tcW w:w="1965" w:type="pct"/>
            <w:gridSpan w:val="3"/>
            <w:vMerge w:val="continue"/>
            <w:vAlign w:val="center"/>
          </w:tcPr>
          <w:p w14:paraId="5DCD6DCC">
            <w:pPr>
              <w:pStyle w:val="75"/>
            </w:pPr>
          </w:p>
        </w:tc>
        <w:tc>
          <w:tcPr>
            <w:tcW w:w="561" w:type="pct"/>
            <w:vMerge w:val="continue"/>
            <w:vAlign w:val="center"/>
          </w:tcPr>
          <w:p w14:paraId="6B447F46">
            <w:pPr>
              <w:pStyle w:val="75"/>
            </w:pPr>
          </w:p>
        </w:tc>
      </w:tr>
      <w:tr w14:paraId="1AC6BF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53EB93F6">
            <w:pPr>
              <w:pStyle w:val="75"/>
            </w:pPr>
          </w:p>
        </w:tc>
        <w:tc>
          <w:tcPr>
            <w:tcW w:w="1015" w:type="pct"/>
            <w:vAlign w:val="center"/>
          </w:tcPr>
          <w:p w14:paraId="6620BD46">
            <w:pPr>
              <w:pStyle w:val="75"/>
            </w:pPr>
            <w:r>
              <w:rPr>
                <w:rFonts w:hint="eastAsia"/>
              </w:rPr>
              <w:t>中和后水洗废水</w:t>
            </w:r>
          </w:p>
        </w:tc>
        <w:tc>
          <w:tcPr>
            <w:tcW w:w="1096" w:type="pct"/>
            <w:vMerge w:val="continue"/>
            <w:vAlign w:val="center"/>
          </w:tcPr>
          <w:p w14:paraId="01E1C4E9">
            <w:pPr>
              <w:pStyle w:val="75"/>
            </w:pPr>
          </w:p>
        </w:tc>
        <w:tc>
          <w:tcPr>
            <w:tcW w:w="1965" w:type="pct"/>
            <w:gridSpan w:val="3"/>
            <w:vMerge w:val="continue"/>
            <w:vAlign w:val="center"/>
          </w:tcPr>
          <w:p w14:paraId="7230A48A">
            <w:pPr>
              <w:pStyle w:val="75"/>
            </w:pPr>
          </w:p>
        </w:tc>
        <w:tc>
          <w:tcPr>
            <w:tcW w:w="561" w:type="pct"/>
            <w:vMerge w:val="continue"/>
            <w:vAlign w:val="center"/>
          </w:tcPr>
          <w:p w14:paraId="276941FB">
            <w:pPr>
              <w:pStyle w:val="75"/>
            </w:pPr>
          </w:p>
        </w:tc>
      </w:tr>
      <w:tr w14:paraId="62A18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0682CA65">
            <w:pPr>
              <w:pStyle w:val="75"/>
            </w:pPr>
          </w:p>
        </w:tc>
        <w:tc>
          <w:tcPr>
            <w:tcW w:w="1015" w:type="pct"/>
            <w:vAlign w:val="center"/>
          </w:tcPr>
          <w:p w14:paraId="66E372A8">
            <w:pPr>
              <w:pStyle w:val="75"/>
            </w:pPr>
            <w:r>
              <w:rPr>
                <w:rFonts w:hint="eastAsia"/>
              </w:rPr>
              <w:t>吸收塔更换废水</w:t>
            </w:r>
          </w:p>
        </w:tc>
        <w:tc>
          <w:tcPr>
            <w:tcW w:w="1096" w:type="pct"/>
            <w:vMerge w:val="continue"/>
            <w:vAlign w:val="center"/>
          </w:tcPr>
          <w:p w14:paraId="2062DC79">
            <w:pPr>
              <w:pStyle w:val="75"/>
            </w:pPr>
          </w:p>
        </w:tc>
        <w:tc>
          <w:tcPr>
            <w:tcW w:w="1965" w:type="pct"/>
            <w:gridSpan w:val="3"/>
            <w:vMerge w:val="continue"/>
            <w:vAlign w:val="center"/>
          </w:tcPr>
          <w:p w14:paraId="7D3CF5A0">
            <w:pPr>
              <w:pStyle w:val="75"/>
            </w:pPr>
          </w:p>
        </w:tc>
        <w:tc>
          <w:tcPr>
            <w:tcW w:w="561" w:type="pct"/>
            <w:vMerge w:val="continue"/>
            <w:vAlign w:val="center"/>
          </w:tcPr>
          <w:p w14:paraId="50F7F7B7">
            <w:pPr>
              <w:pStyle w:val="75"/>
            </w:pPr>
          </w:p>
        </w:tc>
      </w:tr>
      <w:tr w14:paraId="2C218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35CB9F1C">
            <w:pPr>
              <w:pStyle w:val="75"/>
            </w:pPr>
          </w:p>
        </w:tc>
        <w:tc>
          <w:tcPr>
            <w:tcW w:w="1015" w:type="pct"/>
            <w:vAlign w:val="center"/>
          </w:tcPr>
          <w:p w14:paraId="7CC7D8EF">
            <w:pPr>
              <w:pStyle w:val="75"/>
            </w:pPr>
            <w:r>
              <w:rPr>
                <w:rFonts w:hint="eastAsia"/>
              </w:rPr>
              <w:t>车间地面清洗水</w:t>
            </w:r>
          </w:p>
        </w:tc>
        <w:tc>
          <w:tcPr>
            <w:tcW w:w="1096" w:type="pct"/>
            <w:vMerge w:val="continue"/>
            <w:vAlign w:val="center"/>
          </w:tcPr>
          <w:p w14:paraId="68B7980B">
            <w:pPr>
              <w:pStyle w:val="75"/>
            </w:pPr>
          </w:p>
        </w:tc>
        <w:tc>
          <w:tcPr>
            <w:tcW w:w="1965" w:type="pct"/>
            <w:gridSpan w:val="3"/>
            <w:vMerge w:val="continue"/>
            <w:vAlign w:val="center"/>
          </w:tcPr>
          <w:p w14:paraId="046E839B">
            <w:pPr>
              <w:pStyle w:val="75"/>
            </w:pPr>
          </w:p>
        </w:tc>
        <w:tc>
          <w:tcPr>
            <w:tcW w:w="561" w:type="pct"/>
            <w:vMerge w:val="continue"/>
            <w:vAlign w:val="center"/>
          </w:tcPr>
          <w:p w14:paraId="28F0750E">
            <w:pPr>
              <w:pStyle w:val="75"/>
            </w:pPr>
          </w:p>
        </w:tc>
      </w:tr>
      <w:tr w14:paraId="3D5A8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restart"/>
            <w:vAlign w:val="center"/>
          </w:tcPr>
          <w:p w14:paraId="14C4479A">
            <w:pPr>
              <w:pStyle w:val="75"/>
            </w:pPr>
            <w:r>
              <w:t>固废</w:t>
            </w:r>
          </w:p>
        </w:tc>
        <w:tc>
          <w:tcPr>
            <w:tcW w:w="1015" w:type="pct"/>
            <w:vAlign w:val="center"/>
          </w:tcPr>
          <w:p w14:paraId="01372BAC">
            <w:pPr>
              <w:pStyle w:val="75"/>
            </w:pPr>
            <w:r>
              <w:rPr>
                <w:rFonts w:hint="eastAsia"/>
              </w:rPr>
              <w:t>原料拆包</w:t>
            </w:r>
          </w:p>
        </w:tc>
        <w:tc>
          <w:tcPr>
            <w:tcW w:w="1096" w:type="pct"/>
            <w:vAlign w:val="center"/>
          </w:tcPr>
          <w:p w14:paraId="679557AB">
            <w:pPr>
              <w:pStyle w:val="75"/>
            </w:pPr>
            <w:r>
              <w:rPr>
                <w:rFonts w:hint="eastAsia"/>
              </w:rPr>
              <w:t>废包装物</w:t>
            </w:r>
          </w:p>
        </w:tc>
        <w:tc>
          <w:tcPr>
            <w:tcW w:w="1965" w:type="pct"/>
            <w:gridSpan w:val="3"/>
            <w:vMerge w:val="restart"/>
            <w:vAlign w:val="center"/>
          </w:tcPr>
          <w:p w14:paraId="4FE601DB">
            <w:pPr>
              <w:pStyle w:val="75"/>
            </w:pPr>
            <w:r>
              <w:t>专用容器收集，在</w:t>
            </w:r>
            <w:r>
              <w:rPr>
                <w:rFonts w:hint="eastAsia"/>
              </w:rPr>
              <w:t>危废贮存库</w:t>
            </w:r>
            <w:r>
              <w:t>分类暂存</w:t>
            </w:r>
            <w:r>
              <w:rPr>
                <w:rFonts w:hint="eastAsia"/>
              </w:rPr>
              <w:t>，</w:t>
            </w:r>
            <w:r>
              <w:t>定期送有</w:t>
            </w:r>
            <w:r>
              <w:rPr>
                <w:rFonts w:hint="eastAsia"/>
              </w:rPr>
              <w:t>相应</w:t>
            </w:r>
            <w:r>
              <w:t>危废</w:t>
            </w:r>
            <w:r>
              <w:rPr>
                <w:rFonts w:hint="eastAsia"/>
              </w:rPr>
              <w:t>处置</w:t>
            </w:r>
            <w:r>
              <w:t>资质的单位</w:t>
            </w:r>
            <w:r>
              <w:rPr>
                <w:rFonts w:hint="eastAsia"/>
              </w:rPr>
              <w:t>处置</w:t>
            </w:r>
          </w:p>
        </w:tc>
        <w:tc>
          <w:tcPr>
            <w:tcW w:w="561" w:type="pct"/>
            <w:vMerge w:val="restart"/>
            <w:vAlign w:val="center"/>
          </w:tcPr>
          <w:p w14:paraId="27CF2134">
            <w:pPr>
              <w:pStyle w:val="75"/>
              <w:rPr>
                <w:rFonts w:hint="default" w:eastAsia="宋体"/>
                <w:lang w:val="en-US" w:eastAsia="zh-CN"/>
              </w:rPr>
            </w:pPr>
            <w:r>
              <w:rPr>
                <w:rFonts w:hint="eastAsia"/>
                <w:lang w:val="en-US" w:eastAsia="zh-CN"/>
              </w:rPr>
              <w:t>40</w:t>
            </w:r>
          </w:p>
        </w:tc>
      </w:tr>
      <w:tr w14:paraId="61880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1E50A697">
            <w:pPr>
              <w:pStyle w:val="75"/>
            </w:pPr>
          </w:p>
        </w:tc>
        <w:tc>
          <w:tcPr>
            <w:tcW w:w="1015" w:type="pct"/>
            <w:vAlign w:val="center"/>
          </w:tcPr>
          <w:p w14:paraId="0BDE4912">
            <w:pPr>
              <w:pStyle w:val="75"/>
            </w:pPr>
            <w:r>
              <w:rPr>
                <w:rFonts w:hint="eastAsia"/>
              </w:rPr>
              <w:t>镀液槽过滤设备</w:t>
            </w:r>
          </w:p>
        </w:tc>
        <w:tc>
          <w:tcPr>
            <w:tcW w:w="1096" w:type="pct"/>
            <w:vAlign w:val="center"/>
          </w:tcPr>
          <w:p w14:paraId="2AB8E45E">
            <w:pPr>
              <w:pStyle w:val="75"/>
            </w:pPr>
            <w:r>
              <w:rPr>
                <w:rFonts w:hint="eastAsia"/>
              </w:rPr>
              <w:t>废滤芯和废活性炭</w:t>
            </w:r>
          </w:p>
        </w:tc>
        <w:tc>
          <w:tcPr>
            <w:tcW w:w="1965" w:type="pct"/>
            <w:gridSpan w:val="3"/>
            <w:vMerge w:val="continue"/>
            <w:vAlign w:val="center"/>
          </w:tcPr>
          <w:p w14:paraId="19DE7E3A">
            <w:pPr>
              <w:pStyle w:val="75"/>
            </w:pPr>
          </w:p>
        </w:tc>
        <w:tc>
          <w:tcPr>
            <w:tcW w:w="561" w:type="pct"/>
            <w:vMerge w:val="continue"/>
            <w:vAlign w:val="center"/>
          </w:tcPr>
          <w:p w14:paraId="1D16D6DF">
            <w:pPr>
              <w:pStyle w:val="75"/>
            </w:pPr>
          </w:p>
        </w:tc>
      </w:tr>
      <w:tr w14:paraId="4288A3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1A09FFA">
            <w:pPr>
              <w:pStyle w:val="75"/>
            </w:pPr>
          </w:p>
        </w:tc>
        <w:tc>
          <w:tcPr>
            <w:tcW w:w="1015" w:type="pct"/>
            <w:vAlign w:val="center"/>
          </w:tcPr>
          <w:p w14:paraId="7D2771A0">
            <w:pPr>
              <w:pStyle w:val="75"/>
            </w:pPr>
            <w:r>
              <w:rPr>
                <w:rFonts w:hint="eastAsia"/>
              </w:rPr>
              <w:t>镀槽</w:t>
            </w:r>
          </w:p>
        </w:tc>
        <w:tc>
          <w:tcPr>
            <w:tcW w:w="1096" w:type="pct"/>
            <w:vAlign w:val="center"/>
          </w:tcPr>
          <w:p w14:paraId="0FC01533">
            <w:pPr>
              <w:pStyle w:val="75"/>
            </w:pPr>
            <w:r>
              <w:rPr>
                <w:rFonts w:hint="eastAsia"/>
              </w:rPr>
              <w:t>废槽渣</w:t>
            </w:r>
          </w:p>
        </w:tc>
        <w:tc>
          <w:tcPr>
            <w:tcW w:w="1965" w:type="pct"/>
            <w:gridSpan w:val="3"/>
            <w:vMerge w:val="continue"/>
            <w:vAlign w:val="center"/>
          </w:tcPr>
          <w:p w14:paraId="022D1F2B">
            <w:pPr>
              <w:pStyle w:val="75"/>
            </w:pPr>
          </w:p>
        </w:tc>
        <w:tc>
          <w:tcPr>
            <w:tcW w:w="561" w:type="pct"/>
            <w:vMerge w:val="continue"/>
            <w:vAlign w:val="center"/>
          </w:tcPr>
          <w:p w14:paraId="6E0B11EF">
            <w:pPr>
              <w:pStyle w:val="75"/>
            </w:pPr>
          </w:p>
        </w:tc>
      </w:tr>
      <w:tr w14:paraId="720298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45441CC1">
            <w:pPr>
              <w:pStyle w:val="75"/>
            </w:pPr>
          </w:p>
        </w:tc>
        <w:tc>
          <w:tcPr>
            <w:tcW w:w="1015" w:type="pct"/>
            <w:vAlign w:val="center"/>
          </w:tcPr>
          <w:p w14:paraId="4C3C675F">
            <w:pPr>
              <w:pStyle w:val="75"/>
            </w:pPr>
            <w:r>
              <w:t>气浮</w:t>
            </w:r>
            <w:r>
              <w:rPr>
                <w:rFonts w:hint="eastAsia"/>
              </w:rPr>
              <w:t>池</w:t>
            </w:r>
          </w:p>
        </w:tc>
        <w:tc>
          <w:tcPr>
            <w:tcW w:w="1096" w:type="pct"/>
            <w:vAlign w:val="center"/>
          </w:tcPr>
          <w:p w14:paraId="33942F34">
            <w:pPr>
              <w:pStyle w:val="75"/>
            </w:pPr>
            <w:r>
              <w:rPr>
                <w:rFonts w:hint="eastAsia"/>
              </w:rPr>
              <w:t>废油渣</w:t>
            </w:r>
          </w:p>
        </w:tc>
        <w:tc>
          <w:tcPr>
            <w:tcW w:w="1965" w:type="pct"/>
            <w:gridSpan w:val="3"/>
            <w:vMerge w:val="continue"/>
            <w:vAlign w:val="center"/>
          </w:tcPr>
          <w:p w14:paraId="47C5E7CB">
            <w:pPr>
              <w:pStyle w:val="75"/>
            </w:pPr>
          </w:p>
        </w:tc>
        <w:tc>
          <w:tcPr>
            <w:tcW w:w="561" w:type="pct"/>
            <w:vMerge w:val="continue"/>
            <w:vAlign w:val="center"/>
          </w:tcPr>
          <w:p w14:paraId="04FBA666">
            <w:pPr>
              <w:pStyle w:val="75"/>
            </w:pPr>
          </w:p>
        </w:tc>
      </w:tr>
      <w:tr w14:paraId="3897A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BDFE999">
            <w:pPr>
              <w:pStyle w:val="75"/>
            </w:pPr>
          </w:p>
        </w:tc>
        <w:tc>
          <w:tcPr>
            <w:tcW w:w="1015" w:type="pct"/>
            <w:vMerge w:val="restart"/>
            <w:vAlign w:val="center"/>
          </w:tcPr>
          <w:p w14:paraId="150087F0">
            <w:pPr>
              <w:pStyle w:val="75"/>
            </w:pPr>
            <w:r>
              <w:t>含</w:t>
            </w:r>
            <w:r>
              <w:rPr>
                <w:rFonts w:hint="eastAsia"/>
              </w:rPr>
              <w:t>镍</w:t>
            </w:r>
            <w:r>
              <w:t>废水处理设施</w:t>
            </w:r>
          </w:p>
        </w:tc>
        <w:tc>
          <w:tcPr>
            <w:tcW w:w="1096" w:type="pct"/>
            <w:vAlign w:val="center"/>
          </w:tcPr>
          <w:p w14:paraId="15BE91BD">
            <w:pPr>
              <w:pStyle w:val="75"/>
            </w:pPr>
            <w:r>
              <w:rPr>
                <w:rFonts w:hint="eastAsia"/>
              </w:rPr>
              <w:t>含镍污泥</w:t>
            </w:r>
          </w:p>
        </w:tc>
        <w:tc>
          <w:tcPr>
            <w:tcW w:w="1965" w:type="pct"/>
            <w:gridSpan w:val="3"/>
            <w:vMerge w:val="continue"/>
            <w:vAlign w:val="center"/>
          </w:tcPr>
          <w:p w14:paraId="6781C73A">
            <w:pPr>
              <w:pStyle w:val="75"/>
            </w:pPr>
          </w:p>
        </w:tc>
        <w:tc>
          <w:tcPr>
            <w:tcW w:w="561" w:type="pct"/>
            <w:vMerge w:val="continue"/>
            <w:vAlign w:val="center"/>
          </w:tcPr>
          <w:p w14:paraId="2A67F5C1">
            <w:pPr>
              <w:pStyle w:val="75"/>
            </w:pPr>
          </w:p>
        </w:tc>
      </w:tr>
      <w:tr w14:paraId="5856E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A9CB6D5">
            <w:pPr>
              <w:pStyle w:val="75"/>
            </w:pPr>
          </w:p>
        </w:tc>
        <w:tc>
          <w:tcPr>
            <w:tcW w:w="1015" w:type="pct"/>
            <w:vMerge w:val="continue"/>
            <w:vAlign w:val="center"/>
          </w:tcPr>
          <w:p w14:paraId="4CD7D1A8">
            <w:pPr>
              <w:pStyle w:val="75"/>
            </w:pPr>
          </w:p>
        </w:tc>
        <w:tc>
          <w:tcPr>
            <w:tcW w:w="1096" w:type="pct"/>
            <w:vAlign w:val="center"/>
          </w:tcPr>
          <w:p w14:paraId="07E0CE9A">
            <w:pPr>
              <w:pStyle w:val="75"/>
            </w:pPr>
            <w:r>
              <w:rPr>
                <w:rFonts w:hint="eastAsia"/>
              </w:rPr>
              <w:t>含镍</w:t>
            </w:r>
            <w:r>
              <w:t>废</w:t>
            </w:r>
            <w:r>
              <w:rPr>
                <w:rFonts w:hint="eastAsia"/>
              </w:rPr>
              <w:t>过滤膜</w:t>
            </w:r>
          </w:p>
        </w:tc>
        <w:tc>
          <w:tcPr>
            <w:tcW w:w="1965" w:type="pct"/>
            <w:gridSpan w:val="3"/>
            <w:vMerge w:val="continue"/>
            <w:vAlign w:val="center"/>
          </w:tcPr>
          <w:p w14:paraId="4F672A71">
            <w:pPr>
              <w:pStyle w:val="75"/>
              <w:rPr>
                <w:spacing w:val="-8"/>
              </w:rPr>
            </w:pPr>
          </w:p>
        </w:tc>
        <w:tc>
          <w:tcPr>
            <w:tcW w:w="561" w:type="pct"/>
            <w:vMerge w:val="continue"/>
            <w:vAlign w:val="center"/>
          </w:tcPr>
          <w:p w14:paraId="5B475F5A">
            <w:pPr>
              <w:pStyle w:val="75"/>
              <w:rPr>
                <w:spacing w:val="-8"/>
              </w:rPr>
            </w:pPr>
          </w:p>
        </w:tc>
      </w:tr>
      <w:tr w14:paraId="172C27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62" w:type="pct"/>
            <w:vMerge w:val="continue"/>
            <w:vAlign w:val="center"/>
          </w:tcPr>
          <w:p w14:paraId="1F6D209B">
            <w:pPr>
              <w:pStyle w:val="75"/>
            </w:pPr>
          </w:p>
        </w:tc>
        <w:tc>
          <w:tcPr>
            <w:tcW w:w="1015" w:type="pct"/>
            <w:vMerge w:val="continue"/>
            <w:vAlign w:val="center"/>
          </w:tcPr>
          <w:p w14:paraId="14FF1703">
            <w:pPr>
              <w:pStyle w:val="75"/>
            </w:pPr>
          </w:p>
        </w:tc>
        <w:tc>
          <w:tcPr>
            <w:tcW w:w="1096" w:type="pct"/>
            <w:vAlign w:val="center"/>
          </w:tcPr>
          <w:p w14:paraId="3A7024BE">
            <w:pPr>
              <w:pStyle w:val="75"/>
            </w:pPr>
            <w:r>
              <w:rPr>
                <w:rFonts w:hint="eastAsia"/>
              </w:rPr>
              <w:t>含镍废活性炭</w:t>
            </w:r>
          </w:p>
        </w:tc>
        <w:tc>
          <w:tcPr>
            <w:tcW w:w="1965" w:type="pct"/>
            <w:gridSpan w:val="3"/>
            <w:vMerge w:val="continue"/>
            <w:vAlign w:val="center"/>
          </w:tcPr>
          <w:p w14:paraId="3D8F2949">
            <w:pPr>
              <w:pStyle w:val="75"/>
              <w:rPr>
                <w:spacing w:val="-8"/>
              </w:rPr>
            </w:pPr>
          </w:p>
        </w:tc>
        <w:tc>
          <w:tcPr>
            <w:tcW w:w="561" w:type="pct"/>
            <w:vMerge w:val="continue"/>
            <w:vAlign w:val="center"/>
          </w:tcPr>
          <w:p w14:paraId="751E6097">
            <w:pPr>
              <w:pStyle w:val="75"/>
              <w:rPr>
                <w:spacing w:val="-8"/>
              </w:rPr>
            </w:pPr>
          </w:p>
        </w:tc>
      </w:tr>
      <w:tr w14:paraId="550BC7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4E5CA11">
            <w:pPr>
              <w:pStyle w:val="75"/>
            </w:pPr>
          </w:p>
        </w:tc>
        <w:tc>
          <w:tcPr>
            <w:tcW w:w="1015" w:type="pct"/>
            <w:vMerge w:val="restart"/>
            <w:vAlign w:val="center"/>
          </w:tcPr>
          <w:p w14:paraId="04619728">
            <w:pPr>
              <w:pStyle w:val="75"/>
            </w:pPr>
            <w:r>
              <w:t>含</w:t>
            </w:r>
            <w:r>
              <w:rPr>
                <w:rFonts w:hint="eastAsia"/>
              </w:rPr>
              <w:t>铬</w:t>
            </w:r>
            <w:r>
              <w:t>废水处理设施</w:t>
            </w:r>
          </w:p>
        </w:tc>
        <w:tc>
          <w:tcPr>
            <w:tcW w:w="1096" w:type="pct"/>
            <w:vAlign w:val="center"/>
          </w:tcPr>
          <w:p w14:paraId="1D53B307">
            <w:pPr>
              <w:pStyle w:val="75"/>
            </w:pPr>
            <w:r>
              <w:rPr>
                <w:rFonts w:hint="eastAsia"/>
              </w:rPr>
              <w:t>含铬污泥</w:t>
            </w:r>
          </w:p>
        </w:tc>
        <w:tc>
          <w:tcPr>
            <w:tcW w:w="1965" w:type="pct"/>
            <w:gridSpan w:val="3"/>
            <w:vMerge w:val="continue"/>
            <w:vAlign w:val="center"/>
          </w:tcPr>
          <w:p w14:paraId="56765D5D">
            <w:pPr>
              <w:pStyle w:val="75"/>
              <w:rPr>
                <w:spacing w:val="-8"/>
              </w:rPr>
            </w:pPr>
          </w:p>
        </w:tc>
        <w:tc>
          <w:tcPr>
            <w:tcW w:w="561" w:type="pct"/>
            <w:vMerge w:val="continue"/>
            <w:vAlign w:val="center"/>
          </w:tcPr>
          <w:p w14:paraId="65ED84C2">
            <w:pPr>
              <w:pStyle w:val="75"/>
              <w:rPr>
                <w:spacing w:val="-8"/>
              </w:rPr>
            </w:pPr>
          </w:p>
        </w:tc>
      </w:tr>
      <w:tr w14:paraId="6A8007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4F6ABCBF">
            <w:pPr>
              <w:pStyle w:val="75"/>
            </w:pPr>
          </w:p>
        </w:tc>
        <w:tc>
          <w:tcPr>
            <w:tcW w:w="1015" w:type="pct"/>
            <w:vMerge w:val="continue"/>
            <w:vAlign w:val="center"/>
          </w:tcPr>
          <w:p w14:paraId="7F81B3D5">
            <w:pPr>
              <w:pStyle w:val="75"/>
            </w:pPr>
          </w:p>
        </w:tc>
        <w:tc>
          <w:tcPr>
            <w:tcW w:w="1096" w:type="pct"/>
            <w:vAlign w:val="center"/>
          </w:tcPr>
          <w:p w14:paraId="6B7AE8C0">
            <w:pPr>
              <w:pStyle w:val="75"/>
            </w:pPr>
            <w:r>
              <w:rPr>
                <w:rFonts w:hint="eastAsia"/>
              </w:rPr>
              <w:t>含铬</w:t>
            </w:r>
            <w:r>
              <w:t>废</w:t>
            </w:r>
            <w:r>
              <w:rPr>
                <w:rFonts w:hint="eastAsia"/>
              </w:rPr>
              <w:t>过滤膜</w:t>
            </w:r>
          </w:p>
        </w:tc>
        <w:tc>
          <w:tcPr>
            <w:tcW w:w="1965" w:type="pct"/>
            <w:gridSpan w:val="3"/>
            <w:vMerge w:val="continue"/>
            <w:vAlign w:val="center"/>
          </w:tcPr>
          <w:p w14:paraId="30C5FDAC">
            <w:pPr>
              <w:pStyle w:val="75"/>
              <w:rPr>
                <w:spacing w:val="-8"/>
              </w:rPr>
            </w:pPr>
          </w:p>
        </w:tc>
        <w:tc>
          <w:tcPr>
            <w:tcW w:w="561" w:type="pct"/>
            <w:vMerge w:val="continue"/>
            <w:vAlign w:val="center"/>
          </w:tcPr>
          <w:p w14:paraId="16D18F60">
            <w:pPr>
              <w:pStyle w:val="75"/>
              <w:rPr>
                <w:spacing w:val="-8"/>
              </w:rPr>
            </w:pPr>
          </w:p>
        </w:tc>
      </w:tr>
      <w:tr w14:paraId="4B776E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8D1B6A8">
            <w:pPr>
              <w:pStyle w:val="75"/>
            </w:pPr>
          </w:p>
        </w:tc>
        <w:tc>
          <w:tcPr>
            <w:tcW w:w="1015" w:type="pct"/>
            <w:vMerge w:val="continue"/>
            <w:vAlign w:val="center"/>
          </w:tcPr>
          <w:p w14:paraId="12912823">
            <w:pPr>
              <w:pStyle w:val="75"/>
            </w:pPr>
          </w:p>
        </w:tc>
        <w:tc>
          <w:tcPr>
            <w:tcW w:w="1096" w:type="pct"/>
            <w:vAlign w:val="center"/>
          </w:tcPr>
          <w:p w14:paraId="7A2504DD">
            <w:pPr>
              <w:pStyle w:val="75"/>
            </w:pPr>
            <w:r>
              <w:rPr>
                <w:rFonts w:hint="eastAsia"/>
              </w:rPr>
              <w:t>含铬废活性炭</w:t>
            </w:r>
          </w:p>
        </w:tc>
        <w:tc>
          <w:tcPr>
            <w:tcW w:w="1965" w:type="pct"/>
            <w:gridSpan w:val="3"/>
            <w:vMerge w:val="continue"/>
            <w:vAlign w:val="center"/>
          </w:tcPr>
          <w:p w14:paraId="25BE1DB8">
            <w:pPr>
              <w:pStyle w:val="75"/>
              <w:rPr>
                <w:spacing w:val="-8"/>
              </w:rPr>
            </w:pPr>
          </w:p>
        </w:tc>
        <w:tc>
          <w:tcPr>
            <w:tcW w:w="561" w:type="pct"/>
            <w:vMerge w:val="continue"/>
            <w:vAlign w:val="center"/>
          </w:tcPr>
          <w:p w14:paraId="3308C87C">
            <w:pPr>
              <w:pStyle w:val="75"/>
              <w:rPr>
                <w:spacing w:val="-8"/>
              </w:rPr>
            </w:pPr>
          </w:p>
        </w:tc>
      </w:tr>
      <w:tr w14:paraId="03598C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B387A70">
            <w:pPr>
              <w:pStyle w:val="75"/>
            </w:pPr>
          </w:p>
        </w:tc>
        <w:tc>
          <w:tcPr>
            <w:tcW w:w="1015" w:type="pct"/>
            <w:vAlign w:val="center"/>
          </w:tcPr>
          <w:p w14:paraId="0E38B67D">
            <w:pPr>
              <w:pStyle w:val="75"/>
            </w:pPr>
            <w:r>
              <w:rPr>
                <w:rFonts w:hint="eastAsia"/>
              </w:rPr>
              <w:t>蒸发器</w:t>
            </w:r>
          </w:p>
        </w:tc>
        <w:tc>
          <w:tcPr>
            <w:tcW w:w="1096" w:type="pct"/>
            <w:vAlign w:val="center"/>
          </w:tcPr>
          <w:p w14:paraId="4532B648">
            <w:pPr>
              <w:pStyle w:val="75"/>
            </w:pPr>
            <w:r>
              <w:rPr>
                <w:rFonts w:hint="eastAsia"/>
              </w:rPr>
              <w:t>蒸发浓液</w:t>
            </w:r>
          </w:p>
        </w:tc>
        <w:tc>
          <w:tcPr>
            <w:tcW w:w="1965" w:type="pct"/>
            <w:gridSpan w:val="3"/>
            <w:vMerge w:val="continue"/>
            <w:vAlign w:val="center"/>
          </w:tcPr>
          <w:p w14:paraId="70C36BC7">
            <w:pPr>
              <w:pStyle w:val="75"/>
            </w:pPr>
          </w:p>
        </w:tc>
        <w:tc>
          <w:tcPr>
            <w:tcW w:w="561" w:type="pct"/>
            <w:vMerge w:val="continue"/>
            <w:vAlign w:val="center"/>
          </w:tcPr>
          <w:p w14:paraId="642E195D">
            <w:pPr>
              <w:pStyle w:val="75"/>
            </w:pPr>
          </w:p>
        </w:tc>
      </w:tr>
      <w:tr w14:paraId="44E4F9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5863C440">
            <w:pPr>
              <w:pStyle w:val="75"/>
            </w:pPr>
          </w:p>
        </w:tc>
        <w:tc>
          <w:tcPr>
            <w:tcW w:w="1015" w:type="pct"/>
            <w:vMerge w:val="restart"/>
            <w:vAlign w:val="center"/>
          </w:tcPr>
          <w:p w14:paraId="00E570C2">
            <w:pPr>
              <w:pStyle w:val="75"/>
            </w:pPr>
            <w:r>
              <w:rPr>
                <w:rFonts w:hint="eastAsia"/>
              </w:rPr>
              <w:t>冲压</w:t>
            </w:r>
          </w:p>
        </w:tc>
        <w:tc>
          <w:tcPr>
            <w:tcW w:w="1096" w:type="pct"/>
            <w:vAlign w:val="center"/>
          </w:tcPr>
          <w:p w14:paraId="3CFD0607">
            <w:pPr>
              <w:pStyle w:val="75"/>
            </w:pPr>
            <w:r>
              <w:rPr>
                <w:rFonts w:hint="eastAsia"/>
              </w:rPr>
              <w:t>废液压油</w:t>
            </w:r>
          </w:p>
        </w:tc>
        <w:tc>
          <w:tcPr>
            <w:tcW w:w="1965" w:type="pct"/>
            <w:gridSpan w:val="3"/>
            <w:vMerge w:val="continue"/>
            <w:vAlign w:val="center"/>
          </w:tcPr>
          <w:p w14:paraId="61C4B1EF">
            <w:pPr>
              <w:pStyle w:val="75"/>
            </w:pPr>
          </w:p>
        </w:tc>
        <w:tc>
          <w:tcPr>
            <w:tcW w:w="561" w:type="pct"/>
            <w:vMerge w:val="continue"/>
            <w:vAlign w:val="center"/>
          </w:tcPr>
          <w:p w14:paraId="0309D733">
            <w:pPr>
              <w:pStyle w:val="75"/>
            </w:pPr>
          </w:p>
        </w:tc>
      </w:tr>
      <w:tr w14:paraId="33642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08230682">
            <w:pPr>
              <w:pStyle w:val="75"/>
            </w:pPr>
          </w:p>
        </w:tc>
        <w:tc>
          <w:tcPr>
            <w:tcW w:w="1015" w:type="pct"/>
            <w:vMerge w:val="continue"/>
            <w:vAlign w:val="center"/>
          </w:tcPr>
          <w:p w14:paraId="5A95902B">
            <w:pPr>
              <w:pStyle w:val="75"/>
            </w:pPr>
          </w:p>
        </w:tc>
        <w:tc>
          <w:tcPr>
            <w:tcW w:w="1096" w:type="pct"/>
            <w:vAlign w:val="center"/>
          </w:tcPr>
          <w:p w14:paraId="5E371AC9">
            <w:pPr>
              <w:pStyle w:val="75"/>
            </w:pPr>
            <w:r>
              <w:rPr>
                <w:rFonts w:hint="eastAsia"/>
              </w:rPr>
              <w:t>废边角料</w:t>
            </w:r>
          </w:p>
        </w:tc>
        <w:tc>
          <w:tcPr>
            <w:tcW w:w="1965" w:type="pct"/>
            <w:gridSpan w:val="3"/>
            <w:vAlign w:val="center"/>
          </w:tcPr>
          <w:p w14:paraId="277B7AA8">
            <w:pPr>
              <w:pStyle w:val="75"/>
            </w:pPr>
            <w:r>
              <w:rPr>
                <w:rFonts w:hint="eastAsia"/>
              </w:rPr>
              <w:t>外售</w:t>
            </w:r>
          </w:p>
        </w:tc>
        <w:tc>
          <w:tcPr>
            <w:tcW w:w="561" w:type="pct"/>
            <w:vMerge w:val="continue"/>
            <w:vAlign w:val="center"/>
          </w:tcPr>
          <w:p w14:paraId="237246AE">
            <w:pPr>
              <w:pStyle w:val="75"/>
              <w:rPr>
                <w:rFonts w:hint="eastAsia"/>
              </w:rPr>
            </w:pPr>
          </w:p>
        </w:tc>
      </w:tr>
      <w:tr w14:paraId="484AD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D354D6B">
            <w:pPr>
              <w:pStyle w:val="75"/>
            </w:pPr>
          </w:p>
        </w:tc>
        <w:tc>
          <w:tcPr>
            <w:tcW w:w="1015" w:type="pct"/>
            <w:vAlign w:val="center"/>
          </w:tcPr>
          <w:p w14:paraId="2660B90A">
            <w:pPr>
              <w:pStyle w:val="75"/>
            </w:pPr>
            <w:r>
              <w:rPr>
                <w:rFonts w:hint="eastAsia"/>
              </w:rPr>
              <w:t>检验</w:t>
            </w:r>
          </w:p>
        </w:tc>
        <w:tc>
          <w:tcPr>
            <w:tcW w:w="1096" w:type="pct"/>
            <w:vAlign w:val="center"/>
          </w:tcPr>
          <w:p w14:paraId="1EA55338">
            <w:pPr>
              <w:pStyle w:val="75"/>
            </w:pPr>
            <w:r>
              <w:rPr>
                <w:rFonts w:hint="eastAsia"/>
              </w:rPr>
              <w:t>不合格残次品</w:t>
            </w:r>
          </w:p>
        </w:tc>
        <w:tc>
          <w:tcPr>
            <w:tcW w:w="1965" w:type="pct"/>
            <w:gridSpan w:val="3"/>
            <w:vAlign w:val="center"/>
          </w:tcPr>
          <w:p w14:paraId="2EAFC634">
            <w:pPr>
              <w:pStyle w:val="75"/>
            </w:pPr>
            <w:r>
              <w:rPr>
                <w:rFonts w:hint="eastAsia"/>
              </w:rPr>
              <w:t>外售</w:t>
            </w:r>
          </w:p>
        </w:tc>
        <w:tc>
          <w:tcPr>
            <w:tcW w:w="561" w:type="pct"/>
            <w:vMerge w:val="continue"/>
            <w:vAlign w:val="center"/>
          </w:tcPr>
          <w:p w14:paraId="7A984CA8">
            <w:pPr>
              <w:pStyle w:val="75"/>
              <w:rPr>
                <w:rFonts w:hint="eastAsia"/>
              </w:rPr>
            </w:pPr>
          </w:p>
        </w:tc>
      </w:tr>
      <w:tr w14:paraId="3A1826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09EFEB22">
            <w:pPr>
              <w:pStyle w:val="75"/>
            </w:pPr>
          </w:p>
        </w:tc>
        <w:tc>
          <w:tcPr>
            <w:tcW w:w="1015" w:type="pct"/>
            <w:vAlign w:val="center"/>
          </w:tcPr>
          <w:p w14:paraId="70DD2EB4">
            <w:pPr>
              <w:pStyle w:val="75"/>
            </w:pPr>
            <w:r>
              <w:rPr>
                <w:rFonts w:hint="eastAsia"/>
              </w:rPr>
              <w:t>综合污水处理系统</w:t>
            </w:r>
          </w:p>
        </w:tc>
        <w:tc>
          <w:tcPr>
            <w:tcW w:w="1096" w:type="pct"/>
            <w:vAlign w:val="center"/>
          </w:tcPr>
          <w:p w14:paraId="7BE1B421">
            <w:pPr>
              <w:pStyle w:val="75"/>
            </w:pPr>
            <w:r>
              <w:rPr>
                <w:rFonts w:hint="eastAsia"/>
              </w:rPr>
              <w:t>污泥</w:t>
            </w:r>
          </w:p>
        </w:tc>
        <w:tc>
          <w:tcPr>
            <w:tcW w:w="1965" w:type="pct"/>
            <w:gridSpan w:val="3"/>
            <w:vAlign w:val="center"/>
          </w:tcPr>
          <w:p w14:paraId="154A65B2">
            <w:pPr>
              <w:pStyle w:val="75"/>
            </w:pPr>
            <w:r>
              <w:rPr>
                <w:rFonts w:hint="eastAsia"/>
              </w:rPr>
              <w:t>外售</w:t>
            </w:r>
          </w:p>
        </w:tc>
        <w:tc>
          <w:tcPr>
            <w:tcW w:w="561" w:type="pct"/>
            <w:vMerge w:val="continue"/>
            <w:vAlign w:val="center"/>
          </w:tcPr>
          <w:p w14:paraId="76A28A40">
            <w:pPr>
              <w:pStyle w:val="75"/>
              <w:rPr>
                <w:rFonts w:hint="eastAsia"/>
              </w:rPr>
            </w:pPr>
          </w:p>
        </w:tc>
      </w:tr>
      <w:tr w14:paraId="1449FC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140AB41D">
            <w:pPr>
              <w:pStyle w:val="75"/>
            </w:pPr>
          </w:p>
        </w:tc>
        <w:tc>
          <w:tcPr>
            <w:tcW w:w="1015" w:type="pct"/>
            <w:vAlign w:val="center"/>
          </w:tcPr>
          <w:p w14:paraId="68143F61">
            <w:pPr>
              <w:pStyle w:val="75"/>
            </w:pPr>
            <w:r>
              <w:rPr>
                <w:rFonts w:hint="eastAsia"/>
              </w:rPr>
              <w:t>纯水制备设备</w:t>
            </w:r>
          </w:p>
        </w:tc>
        <w:tc>
          <w:tcPr>
            <w:tcW w:w="1096" w:type="pct"/>
            <w:vAlign w:val="center"/>
          </w:tcPr>
          <w:p w14:paraId="16B9A2DD">
            <w:pPr>
              <w:pStyle w:val="75"/>
            </w:pPr>
            <w:r>
              <w:rPr>
                <w:rFonts w:hint="eastAsia"/>
              </w:rPr>
              <w:t>废反渗透膜</w:t>
            </w:r>
          </w:p>
        </w:tc>
        <w:tc>
          <w:tcPr>
            <w:tcW w:w="1965" w:type="pct"/>
            <w:gridSpan w:val="3"/>
            <w:vAlign w:val="center"/>
          </w:tcPr>
          <w:p w14:paraId="7352A7EC">
            <w:pPr>
              <w:pStyle w:val="75"/>
              <w:rPr>
                <w:bCs/>
              </w:rPr>
            </w:pPr>
            <w:r>
              <w:rPr>
                <w:rFonts w:hint="eastAsia"/>
                <w:bCs/>
              </w:rPr>
              <w:t>厂家回收</w:t>
            </w:r>
          </w:p>
        </w:tc>
        <w:tc>
          <w:tcPr>
            <w:tcW w:w="561" w:type="pct"/>
            <w:vMerge w:val="continue"/>
            <w:vAlign w:val="center"/>
          </w:tcPr>
          <w:p w14:paraId="45148028">
            <w:pPr>
              <w:pStyle w:val="75"/>
              <w:rPr>
                <w:rFonts w:hint="eastAsia"/>
                <w:bCs/>
              </w:rPr>
            </w:pPr>
          </w:p>
        </w:tc>
      </w:tr>
      <w:tr w14:paraId="3FC51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Align w:val="center"/>
          </w:tcPr>
          <w:p w14:paraId="0A9F72D6">
            <w:pPr>
              <w:pStyle w:val="75"/>
            </w:pPr>
            <w:r>
              <w:t>噪声</w:t>
            </w:r>
          </w:p>
        </w:tc>
        <w:tc>
          <w:tcPr>
            <w:tcW w:w="1015" w:type="pct"/>
            <w:vAlign w:val="center"/>
          </w:tcPr>
          <w:p w14:paraId="08F744FC">
            <w:pPr>
              <w:pStyle w:val="75"/>
            </w:pPr>
            <w:r>
              <w:t>冲床</w:t>
            </w:r>
            <w:r>
              <w:rPr>
                <w:rFonts w:hint="eastAsia"/>
              </w:rPr>
              <w:t>、包装机、空压机</w:t>
            </w:r>
            <w:r>
              <w:t>等</w:t>
            </w:r>
          </w:p>
        </w:tc>
        <w:tc>
          <w:tcPr>
            <w:tcW w:w="1096" w:type="pct"/>
            <w:vAlign w:val="center"/>
          </w:tcPr>
          <w:p w14:paraId="4AEE9686">
            <w:pPr>
              <w:pStyle w:val="75"/>
            </w:pPr>
            <w:r>
              <w:t>机械噪声</w:t>
            </w:r>
          </w:p>
        </w:tc>
        <w:tc>
          <w:tcPr>
            <w:tcW w:w="1965" w:type="pct"/>
            <w:gridSpan w:val="3"/>
            <w:vAlign w:val="center"/>
          </w:tcPr>
          <w:p w14:paraId="2B9DE0C7">
            <w:pPr>
              <w:pStyle w:val="75"/>
            </w:pPr>
            <w:r>
              <w:t>减振、隔声</w:t>
            </w:r>
          </w:p>
        </w:tc>
        <w:tc>
          <w:tcPr>
            <w:tcW w:w="561" w:type="pct"/>
            <w:vAlign w:val="center"/>
          </w:tcPr>
          <w:p w14:paraId="0DDC9C4B">
            <w:pPr>
              <w:pStyle w:val="75"/>
              <w:rPr>
                <w:rFonts w:hint="default" w:eastAsia="宋体"/>
                <w:lang w:val="en-US" w:eastAsia="zh-CN"/>
              </w:rPr>
            </w:pPr>
            <w:r>
              <w:rPr>
                <w:rFonts w:hint="eastAsia"/>
                <w:lang w:val="en-US" w:eastAsia="zh-CN"/>
              </w:rPr>
              <w:t>10</w:t>
            </w:r>
          </w:p>
        </w:tc>
      </w:tr>
      <w:tr w14:paraId="4181D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Align w:val="center"/>
          </w:tcPr>
          <w:p w14:paraId="6DB3B77E">
            <w:pPr>
              <w:pStyle w:val="75"/>
              <w:ind w:firstLine="0" w:firstLineChars="0"/>
            </w:pPr>
            <w:r>
              <w:t>风险</w:t>
            </w:r>
          </w:p>
        </w:tc>
        <w:tc>
          <w:tcPr>
            <w:tcW w:w="4076" w:type="pct"/>
            <w:gridSpan w:val="5"/>
            <w:vAlign w:val="center"/>
          </w:tcPr>
          <w:p w14:paraId="09A72C19">
            <w:pPr>
              <w:pStyle w:val="75"/>
              <w:ind w:firstLine="0" w:firstLineChars="0"/>
            </w:pPr>
            <w:r>
              <w:rPr>
                <w:rFonts w:hint="eastAsia"/>
              </w:rPr>
              <w:t>化学品</w:t>
            </w:r>
            <w:r>
              <w:rPr>
                <w:rFonts w:hint="eastAsia"/>
                <w:lang w:val="en-US" w:eastAsia="zh-CN"/>
              </w:rPr>
              <w:t>仓库</w:t>
            </w:r>
            <w:r>
              <w:rPr>
                <w:rFonts w:hint="eastAsia"/>
              </w:rPr>
              <w:t>储存设置托盘和围堰；生产车间、仓库设导流槽、液体收集桶；事故水池（约</w:t>
            </w:r>
            <w:r>
              <w:rPr>
                <w:rFonts w:hint="eastAsia"/>
                <w:lang w:val="en-US" w:eastAsia="zh-CN"/>
              </w:rPr>
              <w:t>300</w:t>
            </w:r>
            <w:r>
              <w:rPr>
                <w:rFonts w:hint="eastAsia"/>
              </w:rPr>
              <w:t>m</w:t>
            </w:r>
            <w:r>
              <w:rPr>
                <w:vertAlign w:val="superscript"/>
              </w:rPr>
              <w:t>3</w:t>
            </w:r>
            <w:r>
              <w:rPr>
                <w:rFonts w:hint="eastAsia"/>
              </w:rPr>
              <w:t>）；应急器材、消防器材等</w:t>
            </w:r>
          </w:p>
        </w:tc>
        <w:tc>
          <w:tcPr>
            <w:tcW w:w="561" w:type="pct"/>
            <w:vAlign w:val="center"/>
          </w:tcPr>
          <w:p w14:paraId="47CDB7C5">
            <w:pPr>
              <w:pStyle w:val="75"/>
              <w:rPr>
                <w:rFonts w:hint="default"/>
                <w:lang w:val="en-US" w:eastAsia="zh-CN"/>
              </w:rPr>
            </w:pPr>
            <w:r>
              <w:rPr>
                <w:rFonts w:hint="eastAsia"/>
                <w:lang w:val="en-US" w:eastAsia="zh-CN"/>
              </w:rPr>
              <w:t>20</w:t>
            </w:r>
          </w:p>
        </w:tc>
      </w:tr>
      <w:tr w14:paraId="437D3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restart"/>
            <w:vAlign w:val="center"/>
          </w:tcPr>
          <w:p w14:paraId="0167ABE3">
            <w:pPr>
              <w:pStyle w:val="75"/>
              <w:ind w:firstLine="0" w:firstLineChars="0"/>
              <w:rPr>
                <w:rFonts w:hint="eastAsia" w:eastAsia="宋体"/>
                <w:lang w:val="en-US" w:eastAsia="zh-CN"/>
              </w:rPr>
            </w:pPr>
            <w:r>
              <w:rPr>
                <w:rFonts w:hint="eastAsia"/>
                <w:lang w:val="en-US" w:eastAsia="zh-CN"/>
              </w:rPr>
              <w:t>监控</w:t>
            </w:r>
          </w:p>
        </w:tc>
        <w:tc>
          <w:tcPr>
            <w:tcW w:w="4076" w:type="pct"/>
            <w:gridSpan w:val="5"/>
            <w:vAlign w:val="center"/>
          </w:tcPr>
          <w:p w14:paraId="1587DE14">
            <w:pPr>
              <w:pStyle w:val="75"/>
              <w:ind w:firstLine="0" w:firstLineChars="0"/>
              <w:rPr>
                <w:rFonts w:hint="eastAsia"/>
              </w:rPr>
            </w:pPr>
            <w:r>
              <w:rPr>
                <w:rFonts w:hint="eastAsia"/>
              </w:rPr>
              <w:t>废水总排口安装在线监测设备并与环保部门联网</w:t>
            </w:r>
          </w:p>
        </w:tc>
        <w:tc>
          <w:tcPr>
            <w:tcW w:w="561" w:type="pct"/>
            <w:vMerge w:val="restart"/>
            <w:vAlign w:val="center"/>
          </w:tcPr>
          <w:p w14:paraId="64B646D3">
            <w:pPr>
              <w:pStyle w:val="75"/>
              <w:rPr>
                <w:rFonts w:hint="default"/>
                <w:lang w:val="en-US" w:eastAsia="zh-CN"/>
              </w:rPr>
            </w:pPr>
            <w:r>
              <w:rPr>
                <w:rFonts w:hint="eastAsia"/>
                <w:lang w:val="en-US" w:eastAsia="zh-CN"/>
              </w:rPr>
              <w:t>50</w:t>
            </w:r>
          </w:p>
        </w:tc>
      </w:tr>
      <w:tr w14:paraId="64CD6D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20676353">
            <w:pPr>
              <w:pStyle w:val="75"/>
              <w:ind w:firstLine="0" w:firstLineChars="0"/>
              <w:rPr>
                <w:rFonts w:hint="eastAsia"/>
                <w:lang w:val="en-US" w:eastAsia="zh-CN"/>
              </w:rPr>
            </w:pPr>
          </w:p>
        </w:tc>
        <w:tc>
          <w:tcPr>
            <w:tcW w:w="4076" w:type="pct"/>
            <w:gridSpan w:val="5"/>
            <w:vAlign w:val="center"/>
          </w:tcPr>
          <w:p w14:paraId="074381A0">
            <w:pPr>
              <w:pStyle w:val="75"/>
              <w:ind w:firstLine="0" w:firstLineChars="0"/>
              <w:rPr>
                <w:rFonts w:hint="eastAsia"/>
              </w:rPr>
            </w:pPr>
            <w:r>
              <w:rPr>
                <w:rFonts w:hint="eastAsia"/>
              </w:rPr>
              <w:t>主要污染物排放口、监测取样处</w:t>
            </w:r>
            <w:r>
              <w:t>安装视频监控</w:t>
            </w:r>
            <w:r>
              <w:rPr>
                <w:rFonts w:hint="eastAsia"/>
              </w:rPr>
              <w:t>，并与环保部门联网</w:t>
            </w:r>
          </w:p>
        </w:tc>
        <w:tc>
          <w:tcPr>
            <w:tcW w:w="561" w:type="pct"/>
            <w:vMerge w:val="continue"/>
            <w:vAlign w:val="center"/>
          </w:tcPr>
          <w:p w14:paraId="5A822A00">
            <w:pPr>
              <w:pStyle w:val="75"/>
              <w:rPr>
                <w:rFonts w:hint="eastAsia"/>
                <w:lang w:val="en-US" w:eastAsia="zh-CN"/>
              </w:rPr>
            </w:pPr>
          </w:p>
        </w:tc>
      </w:tr>
      <w:tr w14:paraId="44538E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 w:type="pct"/>
            <w:vMerge w:val="continue"/>
            <w:vAlign w:val="center"/>
          </w:tcPr>
          <w:p w14:paraId="38E23EC9">
            <w:pPr>
              <w:pStyle w:val="75"/>
              <w:ind w:firstLine="0" w:firstLineChars="0"/>
              <w:rPr>
                <w:rFonts w:hint="eastAsia"/>
                <w:lang w:val="en-US" w:eastAsia="zh-CN"/>
              </w:rPr>
            </w:pPr>
          </w:p>
        </w:tc>
        <w:tc>
          <w:tcPr>
            <w:tcW w:w="4076" w:type="pct"/>
            <w:gridSpan w:val="5"/>
            <w:vAlign w:val="center"/>
          </w:tcPr>
          <w:p w14:paraId="0A8AC7DA">
            <w:pPr>
              <w:pStyle w:val="75"/>
              <w:ind w:firstLine="0" w:firstLineChars="0"/>
              <w:rPr>
                <w:rFonts w:hint="eastAsia"/>
              </w:rPr>
            </w:pPr>
            <w:r>
              <w:rPr>
                <w:rFonts w:hint="eastAsia"/>
              </w:rPr>
              <w:t>总用电处、主要生产设施和污染治理设施处安装用电监控设施</w:t>
            </w:r>
          </w:p>
        </w:tc>
        <w:tc>
          <w:tcPr>
            <w:tcW w:w="561" w:type="pct"/>
            <w:vMerge w:val="continue"/>
            <w:vAlign w:val="center"/>
          </w:tcPr>
          <w:p w14:paraId="00F551BC">
            <w:pPr>
              <w:pStyle w:val="75"/>
              <w:rPr>
                <w:rFonts w:hint="eastAsia"/>
                <w:lang w:val="en-US" w:eastAsia="zh-CN"/>
              </w:rPr>
            </w:pPr>
          </w:p>
        </w:tc>
      </w:tr>
      <w:tr w14:paraId="29650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38" w:type="pct"/>
            <w:gridSpan w:val="6"/>
            <w:vAlign w:val="center"/>
          </w:tcPr>
          <w:p w14:paraId="78072357">
            <w:pPr>
              <w:pStyle w:val="75"/>
              <w:ind w:firstLine="0" w:firstLineChars="0"/>
              <w:rPr>
                <w:rFonts w:hint="eastAsia" w:eastAsia="宋体"/>
                <w:lang w:val="en-US" w:eastAsia="zh-CN"/>
              </w:rPr>
            </w:pPr>
            <w:r>
              <w:rPr>
                <w:rFonts w:hint="eastAsia"/>
                <w:lang w:val="en-US" w:eastAsia="zh-CN"/>
              </w:rPr>
              <w:t>合计</w:t>
            </w:r>
          </w:p>
        </w:tc>
        <w:tc>
          <w:tcPr>
            <w:tcW w:w="561" w:type="pct"/>
            <w:vAlign w:val="center"/>
          </w:tcPr>
          <w:p w14:paraId="37925C13">
            <w:pPr>
              <w:pStyle w:val="75"/>
              <w:rPr>
                <w:rFonts w:hint="default"/>
                <w:lang w:val="en-US" w:eastAsia="zh-CN"/>
              </w:rPr>
            </w:pPr>
            <w:r>
              <w:rPr>
                <w:rFonts w:hint="eastAsia"/>
                <w:lang w:val="en-US" w:eastAsia="zh-CN"/>
              </w:rPr>
              <w:t>420</w:t>
            </w:r>
          </w:p>
        </w:tc>
      </w:tr>
    </w:tbl>
    <w:p w14:paraId="0184F714">
      <w:pPr>
        <w:pStyle w:val="72"/>
      </w:pPr>
      <w:r>
        <w:rPr>
          <w:rFonts w:hint="eastAsia"/>
        </w:rPr>
        <w:t>本项目环境保护“三同时”验收设施见下表。</w:t>
      </w:r>
    </w:p>
    <w:p w14:paraId="650775C2">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lang w:val="en-US" w:eastAsia="zh-CN"/>
        </w:rPr>
      </w:pPr>
      <w:r>
        <w:rPr>
          <w:rFonts w:hint="eastAsia"/>
          <w:lang w:val="en-US" w:eastAsia="zh-CN"/>
        </w:rPr>
        <w:t>表7.7-2    环保“三同时”验收一览表</w:t>
      </w:r>
    </w:p>
    <w:tbl>
      <w:tblPr>
        <w:tblStyle w:val="39"/>
        <w:tblW w:w="514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943"/>
        <w:gridCol w:w="1422"/>
        <w:gridCol w:w="1283"/>
        <w:gridCol w:w="1434"/>
        <w:gridCol w:w="1946"/>
      </w:tblGrid>
      <w:tr w14:paraId="4D23B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8" w:type="pct"/>
            <w:tcMar>
              <w:left w:w="0" w:type="dxa"/>
              <w:right w:w="0" w:type="dxa"/>
            </w:tcMar>
            <w:vAlign w:val="center"/>
          </w:tcPr>
          <w:p w14:paraId="2FA36E31">
            <w:pPr>
              <w:pStyle w:val="81"/>
              <w:rPr>
                <w:color w:val="auto"/>
              </w:rPr>
            </w:pPr>
            <w:r>
              <w:rPr>
                <w:rFonts w:hint="eastAsia"/>
                <w:color w:val="auto"/>
              </w:rPr>
              <w:t>项目</w:t>
            </w:r>
          </w:p>
        </w:tc>
        <w:tc>
          <w:tcPr>
            <w:tcW w:w="1133" w:type="pct"/>
            <w:tcMar>
              <w:left w:w="0" w:type="dxa"/>
              <w:right w:w="0" w:type="dxa"/>
            </w:tcMar>
            <w:vAlign w:val="center"/>
          </w:tcPr>
          <w:p w14:paraId="2BC72817">
            <w:pPr>
              <w:pStyle w:val="81"/>
              <w:rPr>
                <w:color w:val="auto"/>
              </w:rPr>
            </w:pPr>
            <w:r>
              <w:rPr>
                <w:rFonts w:hint="eastAsia"/>
                <w:color w:val="auto"/>
              </w:rPr>
              <w:t>产污环节</w:t>
            </w:r>
          </w:p>
        </w:tc>
        <w:tc>
          <w:tcPr>
            <w:tcW w:w="829" w:type="pct"/>
            <w:tcMar>
              <w:left w:w="0" w:type="dxa"/>
              <w:right w:w="0" w:type="dxa"/>
            </w:tcMar>
            <w:vAlign w:val="center"/>
          </w:tcPr>
          <w:p w14:paraId="1259CF7A">
            <w:pPr>
              <w:pStyle w:val="81"/>
              <w:rPr>
                <w:color w:val="auto"/>
              </w:rPr>
            </w:pPr>
            <w:r>
              <w:rPr>
                <w:rFonts w:hint="eastAsia"/>
                <w:color w:val="auto"/>
              </w:rPr>
              <w:t>主要污染因子</w:t>
            </w:r>
          </w:p>
        </w:tc>
        <w:tc>
          <w:tcPr>
            <w:tcW w:w="1583" w:type="pct"/>
            <w:gridSpan w:val="2"/>
            <w:tcMar>
              <w:left w:w="0" w:type="dxa"/>
              <w:right w:w="0" w:type="dxa"/>
            </w:tcMar>
            <w:vAlign w:val="center"/>
          </w:tcPr>
          <w:p w14:paraId="1A793BFC">
            <w:pPr>
              <w:pStyle w:val="81"/>
              <w:rPr>
                <w:color w:val="auto"/>
              </w:rPr>
            </w:pPr>
            <w:r>
              <w:rPr>
                <w:rFonts w:hint="eastAsia"/>
                <w:color w:val="auto"/>
              </w:rPr>
              <w:t>治理措施</w:t>
            </w:r>
          </w:p>
        </w:tc>
        <w:tc>
          <w:tcPr>
            <w:tcW w:w="1134" w:type="pct"/>
            <w:tcMar>
              <w:left w:w="0" w:type="dxa"/>
              <w:right w:w="0" w:type="dxa"/>
            </w:tcMar>
            <w:vAlign w:val="center"/>
          </w:tcPr>
          <w:p w14:paraId="37FF0305">
            <w:pPr>
              <w:pStyle w:val="81"/>
              <w:rPr>
                <w:color w:val="auto"/>
              </w:rPr>
            </w:pPr>
            <w:r>
              <w:rPr>
                <w:rFonts w:hint="eastAsia"/>
                <w:color w:val="auto"/>
              </w:rPr>
              <w:t>执行标准</w:t>
            </w:r>
          </w:p>
        </w:tc>
      </w:tr>
      <w:tr w14:paraId="47E109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restart"/>
            <w:tcMar>
              <w:left w:w="0" w:type="dxa"/>
              <w:right w:w="0" w:type="dxa"/>
            </w:tcMar>
            <w:vAlign w:val="center"/>
          </w:tcPr>
          <w:p w14:paraId="6DB5A945">
            <w:pPr>
              <w:pStyle w:val="75"/>
              <w:rPr>
                <w:kern w:val="2"/>
              </w:rPr>
            </w:pPr>
            <w:r>
              <w:rPr>
                <w:rFonts w:hint="eastAsia"/>
                <w:kern w:val="2"/>
              </w:rPr>
              <w:t>废气</w:t>
            </w:r>
          </w:p>
        </w:tc>
        <w:tc>
          <w:tcPr>
            <w:tcW w:w="1133" w:type="pct"/>
            <w:tcMar>
              <w:left w:w="0" w:type="dxa"/>
              <w:right w:w="0" w:type="dxa"/>
            </w:tcMar>
            <w:vAlign w:val="center"/>
          </w:tcPr>
          <w:p w14:paraId="6D2BA82F">
            <w:pPr>
              <w:pStyle w:val="75"/>
              <w:rPr>
                <w:rFonts w:hint="default" w:eastAsia="宋体"/>
                <w:lang w:val="en-US" w:eastAsia="zh-CN"/>
              </w:rPr>
            </w:pPr>
            <w:r>
              <w:t>酸洗</w:t>
            </w:r>
            <w:r>
              <w:rPr>
                <w:rFonts w:hint="eastAsia"/>
                <w:lang w:eastAsia="zh-CN"/>
              </w:rPr>
              <w:t>、</w:t>
            </w:r>
            <w:r>
              <w:rPr>
                <w:rFonts w:hint="eastAsia"/>
                <w:lang w:val="en-US" w:eastAsia="zh-CN"/>
              </w:rPr>
              <w:t>活化</w:t>
            </w:r>
          </w:p>
        </w:tc>
        <w:tc>
          <w:tcPr>
            <w:tcW w:w="829" w:type="pct"/>
            <w:tcMar>
              <w:left w:w="0" w:type="dxa"/>
              <w:right w:w="0" w:type="dxa"/>
            </w:tcMar>
            <w:vAlign w:val="center"/>
          </w:tcPr>
          <w:p w14:paraId="3EE01779">
            <w:pPr>
              <w:pStyle w:val="75"/>
            </w:pPr>
            <w:r>
              <w:rPr>
                <w:rFonts w:hint="eastAsia"/>
              </w:rPr>
              <w:t>硫酸雾</w:t>
            </w:r>
          </w:p>
        </w:tc>
        <w:tc>
          <w:tcPr>
            <w:tcW w:w="748" w:type="pct"/>
            <w:vMerge w:val="restart"/>
            <w:tcMar>
              <w:left w:w="0" w:type="dxa"/>
              <w:right w:w="0" w:type="dxa"/>
            </w:tcMar>
            <w:vAlign w:val="center"/>
          </w:tcPr>
          <w:p w14:paraId="35F1554C">
            <w:pPr>
              <w:pStyle w:val="75"/>
            </w:pPr>
            <w:r>
              <w:rPr>
                <w:rFonts w:hint="eastAsia"/>
                <w:kern w:val="2"/>
              </w:rPr>
              <w:t>封闭生产线</w:t>
            </w:r>
            <w:r>
              <w:rPr>
                <w:kern w:val="2"/>
              </w:rPr>
              <w:t>+</w:t>
            </w:r>
            <w:r>
              <w:rPr>
                <w:rFonts w:hint="eastAsia"/>
                <w:kern w:val="2"/>
              </w:rPr>
              <w:t>整体密闭抽风+槽边抽风</w:t>
            </w:r>
          </w:p>
        </w:tc>
        <w:tc>
          <w:tcPr>
            <w:tcW w:w="835" w:type="pct"/>
            <w:vMerge w:val="restart"/>
            <w:tcMar>
              <w:left w:w="0" w:type="dxa"/>
              <w:right w:w="0" w:type="dxa"/>
            </w:tcMar>
            <w:vAlign w:val="center"/>
          </w:tcPr>
          <w:p w14:paraId="0662245F">
            <w:pPr>
              <w:pStyle w:val="75"/>
            </w:pPr>
            <w:r>
              <w:rPr>
                <w:rFonts w:hint="eastAsia"/>
                <w:kern w:val="2"/>
              </w:rPr>
              <w:t>两级碱喷淋吸收塔</w:t>
            </w:r>
            <w:r>
              <w:rPr>
                <w:kern w:val="2"/>
              </w:rPr>
              <w:t>+</w:t>
            </w:r>
            <w:r>
              <w:rPr>
                <w:rFonts w:hint="eastAsia"/>
              </w:rPr>
              <w:t>15m高</w:t>
            </w:r>
            <w:r>
              <w:rPr>
                <w:rFonts w:hint="eastAsia"/>
                <w:kern w:val="2"/>
              </w:rPr>
              <w:t>排气筒（共3套）</w:t>
            </w:r>
          </w:p>
        </w:tc>
        <w:tc>
          <w:tcPr>
            <w:tcW w:w="1134" w:type="pct"/>
            <w:vMerge w:val="restart"/>
            <w:tcMar>
              <w:left w:w="0" w:type="dxa"/>
              <w:right w:w="0" w:type="dxa"/>
            </w:tcMar>
            <w:vAlign w:val="center"/>
          </w:tcPr>
          <w:p w14:paraId="7E1A093B">
            <w:pPr>
              <w:pStyle w:val="75"/>
            </w:pPr>
            <w:r>
              <w:rPr>
                <w:rFonts w:hint="eastAsia"/>
              </w:rPr>
              <w:t>《电镀污染物排放标准》（GB21900-2008）表5：硫酸雾30mg/m</w:t>
            </w:r>
            <w:r>
              <w:rPr>
                <w:rFonts w:hint="eastAsia"/>
                <w:vertAlign w:val="superscript"/>
              </w:rPr>
              <w:t>3</w:t>
            </w:r>
            <w:r>
              <w:rPr>
                <w:rFonts w:hint="eastAsia"/>
              </w:rPr>
              <w:t>、铬酸雾0.05mg/m</w:t>
            </w:r>
            <w:r>
              <w:rPr>
                <w:rFonts w:hint="eastAsia"/>
                <w:vertAlign w:val="superscript"/>
              </w:rPr>
              <w:t>3</w:t>
            </w:r>
          </w:p>
        </w:tc>
      </w:tr>
      <w:tr w14:paraId="7A8CC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E32B240">
            <w:pPr>
              <w:pStyle w:val="75"/>
              <w:rPr>
                <w:kern w:val="2"/>
              </w:rPr>
            </w:pPr>
          </w:p>
        </w:tc>
        <w:tc>
          <w:tcPr>
            <w:tcW w:w="1133" w:type="pct"/>
            <w:tcMar>
              <w:left w:w="0" w:type="dxa"/>
              <w:right w:w="0" w:type="dxa"/>
            </w:tcMar>
            <w:vAlign w:val="center"/>
          </w:tcPr>
          <w:p w14:paraId="29ED2522">
            <w:pPr>
              <w:pStyle w:val="75"/>
            </w:pPr>
            <w:r>
              <w:rPr>
                <w:rFonts w:hint="eastAsia"/>
              </w:rPr>
              <w:t>钝化</w:t>
            </w:r>
          </w:p>
        </w:tc>
        <w:tc>
          <w:tcPr>
            <w:tcW w:w="829" w:type="pct"/>
            <w:tcMar>
              <w:left w:w="0" w:type="dxa"/>
              <w:right w:w="0" w:type="dxa"/>
            </w:tcMar>
            <w:vAlign w:val="center"/>
          </w:tcPr>
          <w:p w14:paraId="09B641C7">
            <w:pPr>
              <w:pStyle w:val="75"/>
            </w:pPr>
            <w:r>
              <w:rPr>
                <w:rFonts w:hint="eastAsia"/>
              </w:rPr>
              <w:t>铬酸雾</w:t>
            </w:r>
          </w:p>
        </w:tc>
        <w:tc>
          <w:tcPr>
            <w:tcW w:w="748" w:type="pct"/>
            <w:vMerge w:val="continue"/>
            <w:tcMar>
              <w:left w:w="0" w:type="dxa"/>
              <w:right w:w="0" w:type="dxa"/>
            </w:tcMar>
            <w:vAlign w:val="center"/>
          </w:tcPr>
          <w:p w14:paraId="30061A27">
            <w:pPr>
              <w:pStyle w:val="75"/>
              <w:rPr>
                <w:kern w:val="2"/>
              </w:rPr>
            </w:pPr>
          </w:p>
        </w:tc>
        <w:tc>
          <w:tcPr>
            <w:tcW w:w="835" w:type="pct"/>
            <w:vMerge w:val="continue"/>
            <w:tcMar>
              <w:left w:w="0" w:type="dxa"/>
              <w:right w:w="0" w:type="dxa"/>
            </w:tcMar>
            <w:vAlign w:val="center"/>
          </w:tcPr>
          <w:p w14:paraId="7526201C">
            <w:pPr>
              <w:pStyle w:val="75"/>
              <w:rPr>
                <w:kern w:val="2"/>
              </w:rPr>
            </w:pPr>
          </w:p>
        </w:tc>
        <w:tc>
          <w:tcPr>
            <w:tcW w:w="1134" w:type="pct"/>
            <w:vMerge w:val="continue"/>
            <w:tcMar>
              <w:left w:w="0" w:type="dxa"/>
              <w:right w:w="0" w:type="dxa"/>
            </w:tcMar>
            <w:vAlign w:val="center"/>
          </w:tcPr>
          <w:p w14:paraId="52AAB91F">
            <w:pPr>
              <w:pStyle w:val="75"/>
            </w:pPr>
          </w:p>
        </w:tc>
      </w:tr>
      <w:tr w14:paraId="56A2E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2E92A779">
            <w:pPr>
              <w:pStyle w:val="75"/>
              <w:rPr>
                <w:kern w:val="2"/>
              </w:rPr>
            </w:pPr>
          </w:p>
        </w:tc>
        <w:tc>
          <w:tcPr>
            <w:tcW w:w="1133" w:type="pct"/>
            <w:tcMar>
              <w:left w:w="0" w:type="dxa"/>
              <w:right w:w="0" w:type="dxa"/>
            </w:tcMar>
            <w:vAlign w:val="center"/>
          </w:tcPr>
          <w:p w14:paraId="4B2F9DE1">
            <w:pPr>
              <w:pStyle w:val="75"/>
            </w:pPr>
            <w:r>
              <w:rPr>
                <w:rFonts w:hint="eastAsia"/>
              </w:rPr>
              <w:t>槽液调配间</w:t>
            </w:r>
          </w:p>
        </w:tc>
        <w:tc>
          <w:tcPr>
            <w:tcW w:w="829" w:type="pct"/>
            <w:tcMar>
              <w:left w:w="0" w:type="dxa"/>
              <w:right w:w="0" w:type="dxa"/>
            </w:tcMar>
            <w:vAlign w:val="center"/>
          </w:tcPr>
          <w:p w14:paraId="7CC8A12B">
            <w:pPr>
              <w:pStyle w:val="75"/>
            </w:pPr>
            <w:r>
              <w:rPr>
                <w:rFonts w:hint="eastAsia"/>
              </w:rPr>
              <w:t>硫酸雾</w:t>
            </w:r>
          </w:p>
        </w:tc>
        <w:tc>
          <w:tcPr>
            <w:tcW w:w="748" w:type="pct"/>
            <w:tcMar>
              <w:left w:w="0" w:type="dxa"/>
              <w:right w:w="0" w:type="dxa"/>
            </w:tcMar>
            <w:vAlign w:val="center"/>
          </w:tcPr>
          <w:p w14:paraId="37DBE60F">
            <w:pPr>
              <w:pStyle w:val="75"/>
              <w:rPr>
                <w:kern w:val="2"/>
              </w:rPr>
            </w:pPr>
            <w:r>
              <w:rPr>
                <w:rFonts w:hint="eastAsia"/>
                <w:kern w:val="2"/>
              </w:rPr>
              <w:t>密闭负压收集</w:t>
            </w:r>
          </w:p>
        </w:tc>
        <w:tc>
          <w:tcPr>
            <w:tcW w:w="835" w:type="pct"/>
            <w:vMerge w:val="continue"/>
            <w:tcMar>
              <w:left w:w="0" w:type="dxa"/>
              <w:right w:w="0" w:type="dxa"/>
            </w:tcMar>
            <w:vAlign w:val="center"/>
          </w:tcPr>
          <w:p w14:paraId="0A15959C">
            <w:pPr>
              <w:pStyle w:val="75"/>
              <w:rPr>
                <w:kern w:val="2"/>
              </w:rPr>
            </w:pPr>
          </w:p>
        </w:tc>
        <w:tc>
          <w:tcPr>
            <w:tcW w:w="1134" w:type="pct"/>
            <w:vMerge w:val="continue"/>
            <w:tcMar>
              <w:left w:w="0" w:type="dxa"/>
              <w:right w:w="0" w:type="dxa"/>
            </w:tcMar>
            <w:vAlign w:val="center"/>
          </w:tcPr>
          <w:p w14:paraId="79193213">
            <w:pPr>
              <w:pStyle w:val="75"/>
            </w:pPr>
          </w:p>
        </w:tc>
      </w:tr>
      <w:tr w14:paraId="64FB70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0638F4D7">
            <w:pPr>
              <w:pStyle w:val="75"/>
              <w:rPr>
                <w:kern w:val="2"/>
              </w:rPr>
            </w:pPr>
          </w:p>
        </w:tc>
        <w:tc>
          <w:tcPr>
            <w:tcW w:w="1133" w:type="pct"/>
            <w:tcMar>
              <w:left w:w="0" w:type="dxa"/>
              <w:right w:w="0" w:type="dxa"/>
            </w:tcMar>
            <w:vAlign w:val="center"/>
          </w:tcPr>
          <w:p w14:paraId="52159713">
            <w:pPr>
              <w:pStyle w:val="75"/>
            </w:pPr>
            <w:r>
              <w:rPr>
                <w:rFonts w:hint="eastAsia"/>
              </w:rPr>
              <w:t>危废贮存库</w:t>
            </w:r>
          </w:p>
        </w:tc>
        <w:tc>
          <w:tcPr>
            <w:tcW w:w="829" w:type="pct"/>
            <w:tcMar>
              <w:left w:w="0" w:type="dxa"/>
              <w:right w:w="0" w:type="dxa"/>
            </w:tcMar>
            <w:vAlign w:val="center"/>
          </w:tcPr>
          <w:p w14:paraId="21518BDF">
            <w:pPr>
              <w:pStyle w:val="75"/>
            </w:pPr>
            <w:r>
              <w:rPr>
                <w:rFonts w:hint="eastAsia"/>
              </w:rPr>
              <w:t>硫酸雾</w:t>
            </w:r>
          </w:p>
        </w:tc>
        <w:tc>
          <w:tcPr>
            <w:tcW w:w="748" w:type="pct"/>
            <w:tcMar>
              <w:left w:w="0" w:type="dxa"/>
              <w:right w:w="0" w:type="dxa"/>
            </w:tcMar>
            <w:vAlign w:val="center"/>
          </w:tcPr>
          <w:p w14:paraId="506FA6EE">
            <w:pPr>
              <w:pStyle w:val="75"/>
              <w:rPr>
                <w:kern w:val="2"/>
              </w:rPr>
            </w:pPr>
            <w:r>
              <w:rPr>
                <w:rFonts w:hint="eastAsia"/>
                <w:kern w:val="2"/>
              </w:rPr>
              <w:t>密闭负压收集</w:t>
            </w:r>
          </w:p>
        </w:tc>
        <w:tc>
          <w:tcPr>
            <w:tcW w:w="835" w:type="pct"/>
            <w:vMerge w:val="continue"/>
            <w:tcMar>
              <w:left w:w="0" w:type="dxa"/>
              <w:right w:w="0" w:type="dxa"/>
            </w:tcMar>
            <w:vAlign w:val="center"/>
          </w:tcPr>
          <w:p w14:paraId="6663C5C9">
            <w:pPr>
              <w:pStyle w:val="75"/>
              <w:rPr>
                <w:kern w:val="2"/>
              </w:rPr>
            </w:pPr>
          </w:p>
        </w:tc>
        <w:tc>
          <w:tcPr>
            <w:tcW w:w="1134" w:type="pct"/>
            <w:vMerge w:val="continue"/>
            <w:tcMar>
              <w:left w:w="0" w:type="dxa"/>
              <w:right w:w="0" w:type="dxa"/>
            </w:tcMar>
            <w:vAlign w:val="center"/>
          </w:tcPr>
          <w:p w14:paraId="1CA79B3F">
            <w:pPr>
              <w:pStyle w:val="75"/>
            </w:pPr>
          </w:p>
        </w:tc>
      </w:tr>
      <w:tr w14:paraId="75665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vMerge w:val="continue"/>
            <w:tcMar>
              <w:left w:w="0" w:type="dxa"/>
              <w:right w:w="0" w:type="dxa"/>
            </w:tcMar>
            <w:vAlign w:val="center"/>
          </w:tcPr>
          <w:p w14:paraId="1D1B2D3F">
            <w:pPr>
              <w:pStyle w:val="75"/>
              <w:rPr>
                <w:kern w:val="2"/>
              </w:rPr>
            </w:pPr>
          </w:p>
        </w:tc>
        <w:tc>
          <w:tcPr>
            <w:tcW w:w="1133" w:type="pct"/>
            <w:tcMar>
              <w:left w:w="0" w:type="dxa"/>
              <w:right w:w="0" w:type="dxa"/>
            </w:tcMar>
            <w:vAlign w:val="center"/>
          </w:tcPr>
          <w:p w14:paraId="36A37BF1">
            <w:pPr>
              <w:pStyle w:val="75"/>
            </w:pPr>
            <w:r>
              <w:rPr>
                <w:rFonts w:hint="eastAsia"/>
              </w:rPr>
              <w:t>污水处理站</w:t>
            </w:r>
          </w:p>
        </w:tc>
        <w:tc>
          <w:tcPr>
            <w:tcW w:w="829" w:type="pct"/>
            <w:tcMar>
              <w:left w:w="0" w:type="dxa"/>
              <w:right w:w="0" w:type="dxa"/>
            </w:tcMar>
            <w:vAlign w:val="center"/>
          </w:tcPr>
          <w:p w14:paraId="38D68CEA">
            <w:pPr>
              <w:pStyle w:val="75"/>
            </w:pPr>
            <w:r>
              <w:rPr>
                <w:rFonts w:hint="eastAsia"/>
                <w:bCs/>
              </w:rPr>
              <w:t>臭气浓度、H</w:t>
            </w:r>
            <w:r>
              <w:rPr>
                <w:rFonts w:hint="eastAsia"/>
                <w:bCs/>
                <w:vertAlign w:val="subscript"/>
              </w:rPr>
              <w:t>2</w:t>
            </w:r>
            <w:r>
              <w:rPr>
                <w:rFonts w:hint="eastAsia"/>
                <w:bCs/>
              </w:rPr>
              <w:t>S、NH</w:t>
            </w:r>
            <w:r>
              <w:rPr>
                <w:rFonts w:hint="eastAsia"/>
                <w:bCs/>
                <w:vertAlign w:val="subscript"/>
              </w:rPr>
              <w:t>3</w:t>
            </w:r>
          </w:p>
        </w:tc>
        <w:tc>
          <w:tcPr>
            <w:tcW w:w="748" w:type="pct"/>
            <w:tcMar>
              <w:left w:w="0" w:type="dxa"/>
              <w:right w:w="0" w:type="dxa"/>
            </w:tcMar>
            <w:vAlign w:val="center"/>
          </w:tcPr>
          <w:p w14:paraId="19E8C7F9">
            <w:pPr>
              <w:pStyle w:val="75"/>
              <w:rPr>
                <w:kern w:val="2"/>
              </w:rPr>
            </w:pPr>
            <w:r>
              <w:rPr>
                <w:rFonts w:hint="eastAsia"/>
              </w:rPr>
              <w:t>调节池、混凝沉淀池和水解酸化池等产臭单元进行加盖密闭</w:t>
            </w:r>
          </w:p>
        </w:tc>
        <w:tc>
          <w:tcPr>
            <w:tcW w:w="835" w:type="pct"/>
            <w:tcMar>
              <w:left w:w="0" w:type="dxa"/>
              <w:right w:w="0" w:type="dxa"/>
            </w:tcMar>
            <w:vAlign w:val="center"/>
          </w:tcPr>
          <w:p w14:paraId="124C6291">
            <w:pPr>
              <w:pStyle w:val="75"/>
              <w:rPr>
                <w:kern w:val="2"/>
              </w:rPr>
            </w:pPr>
            <w:r>
              <w:rPr>
                <w:rFonts w:hint="eastAsia"/>
                <w:kern w:val="2"/>
              </w:rPr>
              <w:t>生物除臭滤塔</w:t>
            </w:r>
            <w:r>
              <w:rPr>
                <w:kern w:val="2"/>
              </w:rPr>
              <w:t>+</w:t>
            </w:r>
            <w:r>
              <w:rPr>
                <w:rFonts w:hint="eastAsia"/>
              </w:rPr>
              <w:t>15m高</w:t>
            </w:r>
            <w:r>
              <w:rPr>
                <w:rFonts w:hint="eastAsia"/>
                <w:kern w:val="2"/>
              </w:rPr>
              <w:t>排气筒（1套）</w:t>
            </w:r>
          </w:p>
        </w:tc>
        <w:tc>
          <w:tcPr>
            <w:tcW w:w="1134" w:type="pct"/>
            <w:tcMar>
              <w:left w:w="0" w:type="dxa"/>
              <w:right w:w="0" w:type="dxa"/>
            </w:tcMar>
            <w:vAlign w:val="center"/>
          </w:tcPr>
          <w:p w14:paraId="176E169E">
            <w:pPr>
              <w:pStyle w:val="75"/>
            </w:pPr>
            <w:r>
              <w:rPr>
                <w:rFonts w:hint="eastAsia"/>
                <w:bCs/>
              </w:rPr>
              <w:t>《恶臭污染物排放标准》（G</w:t>
            </w:r>
            <w:r>
              <w:rPr>
                <w:bCs/>
              </w:rPr>
              <w:t>B</w:t>
            </w:r>
            <w:r>
              <w:rPr>
                <w:rFonts w:hint="eastAsia"/>
                <w:bCs/>
              </w:rPr>
              <w:t>14554-93）表2：硫化氢0.33</w:t>
            </w:r>
            <w:r>
              <w:rPr>
                <w:bCs/>
              </w:rPr>
              <w:t>kg/h</w:t>
            </w:r>
            <w:r>
              <w:rPr>
                <w:rFonts w:hint="eastAsia"/>
                <w:bCs/>
              </w:rPr>
              <w:t>、氨4.9</w:t>
            </w:r>
            <w:r>
              <w:rPr>
                <w:bCs/>
              </w:rPr>
              <w:t>kg/h</w:t>
            </w:r>
            <w:r>
              <w:rPr>
                <w:rFonts w:hint="eastAsia"/>
                <w:bCs/>
              </w:rPr>
              <w:t>、臭气浓度2000（无量纲）</w:t>
            </w:r>
          </w:p>
        </w:tc>
      </w:tr>
      <w:tr w14:paraId="01B5CF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restart"/>
            <w:tcMar>
              <w:left w:w="0" w:type="dxa"/>
              <w:right w:w="0" w:type="dxa"/>
            </w:tcMar>
            <w:vAlign w:val="center"/>
          </w:tcPr>
          <w:p w14:paraId="0524691E">
            <w:pPr>
              <w:pStyle w:val="75"/>
            </w:pPr>
            <w:r>
              <w:t>废水</w:t>
            </w:r>
          </w:p>
        </w:tc>
        <w:tc>
          <w:tcPr>
            <w:tcW w:w="1133" w:type="pct"/>
            <w:tcMar>
              <w:left w:w="0" w:type="dxa"/>
              <w:right w:w="0" w:type="dxa"/>
            </w:tcMar>
            <w:vAlign w:val="center"/>
          </w:tcPr>
          <w:p w14:paraId="60E162B0">
            <w:pPr>
              <w:pStyle w:val="75"/>
            </w:pPr>
            <w:r>
              <w:rPr>
                <w:rFonts w:hint="eastAsia"/>
              </w:rPr>
              <w:t>除油</w:t>
            </w:r>
            <w:r>
              <w:t>废槽液</w:t>
            </w:r>
          </w:p>
        </w:tc>
        <w:tc>
          <w:tcPr>
            <w:tcW w:w="829" w:type="pct"/>
            <w:vMerge w:val="restart"/>
            <w:tcMar>
              <w:left w:w="0" w:type="dxa"/>
              <w:right w:w="0" w:type="dxa"/>
            </w:tcMar>
            <w:vAlign w:val="center"/>
          </w:tcPr>
          <w:p w14:paraId="4193DC05">
            <w:pPr>
              <w:pStyle w:val="75"/>
            </w:pPr>
            <w:r>
              <w:t>pH、COD、</w:t>
            </w:r>
            <w:r>
              <w:rPr>
                <w:rFonts w:hint="eastAsia"/>
              </w:rPr>
              <w:t>NH</w:t>
            </w:r>
            <w:r>
              <w:rPr>
                <w:rFonts w:hint="eastAsia"/>
                <w:vertAlign w:val="subscript"/>
              </w:rPr>
              <w:t>3</w:t>
            </w:r>
            <w:r>
              <w:rPr>
                <w:rFonts w:hint="eastAsia"/>
              </w:rPr>
              <w:t>-N、TP、TN</w:t>
            </w:r>
            <w:r>
              <w:t>、石油类</w:t>
            </w:r>
          </w:p>
        </w:tc>
        <w:tc>
          <w:tcPr>
            <w:tcW w:w="748" w:type="pct"/>
            <w:vMerge w:val="restart"/>
            <w:tcMar>
              <w:left w:w="0" w:type="dxa"/>
              <w:right w:w="0" w:type="dxa"/>
            </w:tcMar>
            <w:vAlign w:val="center"/>
          </w:tcPr>
          <w:p w14:paraId="606C7CBD">
            <w:pPr>
              <w:pStyle w:val="75"/>
            </w:pPr>
            <w:r>
              <w:rPr>
                <w:rFonts w:hint="eastAsia"/>
              </w:rPr>
              <w:t>破乳+气浮</w:t>
            </w:r>
          </w:p>
        </w:tc>
        <w:tc>
          <w:tcPr>
            <w:tcW w:w="835" w:type="pct"/>
            <w:vMerge w:val="restart"/>
            <w:tcMar>
              <w:left w:w="0" w:type="dxa"/>
              <w:right w:w="0" w:type="dxa"/>
            </w:tcMar>
            <w:vAlign w:val="center"/>
          </w:tcPr>
          <w:p w14:paraId="3CFA3F18">
            <w:pPr>
              <w:pStyle w:val="75"/>
            </w:pPr>
            <w:r>
              <w:rPr>
                <w:rFonts w:hint="eastAsia"/>
              </w:rPr>
              <w:t>综合废水处理系统（中和+混凝沉淀+</w:t>
            </w:r>
            <w:r>
              <w:rPr>
                <w:rFonts w:hint="eastAsia"/>
                <w:bCs/>
              </w:rPr>
              <w:t>水解酸化+接触氧化</w:t>
            </w:r>
            <w:r>
              <w:rPr>
                <w:rFonts w:hint="eastAsia"/>
              </w:rPr>
              <w:t>+二沉池）处理后经厂区总排口排放</w:t>
            </w:r>
          </w:p>
        </w:tc>
        <w:tc>
          <w:tcPr>
            <w:tcW w:w="1134" w:type="pct"/>
            <w:vMerge w:val="restart"/>
            <w:tcMar>
              <w:left w:w="0" w:type="dxa"/>
              <w:right w:w="0" w:type="dxa"/>
            </w:tcMar>
            <w:vAlign w:val="center"/>
          </w:tcPr>
          <w:p w14:paraId="67534CCA">
            <w:pPr>
              <w:pStyle w:val="75"/>
              <w:rPr>
                <w:rFonts w:hint="default" w:eastAsia="宋体"/>
                <w:lang w:val="en-US" w:eastAsia="zh-CN"/>
              </w:rPr>
            </w:pPr>
            <w:r>
              <w:rPr>
                <w:rFonts w:hint="eastAsia"/>
              </w:rPr>
              <w:t>《电镀污染物排放标准》（GB21900-2008）表2限值：pH6~9、总镍0.5mg/L、总铬1.0mg/L、石油类3.0mg/L；</w:t>
            </w:r>
            <w:r>
              <w:rPr>
                <w:rFonts w:hint="eastAsia"/>
                <w:lang w:val="en-US" w:eastAsia="zh-CN"/>
              </w:rPr>
              <w:t>获嘉县同盟污水处理厂</w:t>
            </w:r>
            <w:r>
              <w:rPr>
                <w:rFonts w:hint="eastAsia"/>
              </w:rPr>
              <w:t>收水标准COD 350mg/L、氨氮35mg/L、总磷</w:t>
            </w:r>
            <w:r>
              <w:rPr>
                <w:rFonts w:hint="eastAsia"/>
                <w:lang w:val="en-US" w:eastAsia="zh-CN"/>
              </w:rPr>
              <w:t>3.5</w:t>
            </w:r>
            <w:r>
              <w:rPr>
                <w:rFonts w:hint="eastAsia"/>
              </w:rPr>
              <w:t xml:space="preserve">mg/L、TN </w:t>
            </w:r>
            <w:r>
              <w:rPr>
                <w:rFonts w:hint="eastAsia"/>
                <w:lang w:val="en-US" w:eastAsia="zh-CN"/>
              </w:rPr>
              <w:t>35</w:t>
            </w:r>
            <w:r>
              <w:rPr>
                <w:rFonts w:hint="eastAsia"/>
              </w:rPr>
              <w:t>mg/L</w:t>
            </w:r>
            <w:r>
              <w:rPr>
                <w:rFonts w:hint="eastAsia"/>
                <w:lang w:eastAsia="zh-CN"/>
              </w:rPr>
              <w:t>、</w:t>
            </w:r>
            <w:r>
              <w:rPr>
                <w:rFonts w:hint="eastAsia"/>
                <w:lang w:val="en-US" w:eastAsia="zh-CN"/>
              </w:rPr>
              <w:t>悬浮物230</w:t>
            </w:r>
            <w:r>
              <w:rPr>
                <w:rFonts w:hint="eastAsia"/>
              </w:rPr>
              <w:t>mg/L</w:t>
            </w:r>
          </w:p>
        </w:tc>
      </w:tr>
      <w:tr w14:paraId="19C87B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36EFE7F2">
            <w:pPr>
              <w:pStyle w:val="75"/>
            </w:pPr>
          </w:p>
        </w:tc>
        <w:tc>
          <w:tcPr>
            <w:tcW w:w="1133" w:type="pct"/>
            <w:tcMar>
              <w:left w:w="0" w:type="dxa"/>
              <w:right w:w="0" w:type="dxa"/>
            </w:tcMar>
            <w:vAlign w:val="center"/>
          </w:tcPr>
          <w:p w14:paraId="2CA1F7AC">
            <w:pPr>
              <w:pStyle w:val="75"/>
            </w:pPr>
            <w:r>
              <w:rPr>
                <w:rFonts w:hint="eastAsia"/>
              </w:rPr>
              <w:t>除油</w:t>
            </w:r>
            <w:r>
              <w:t>后</w:t>
            </w:r>
            <w:r>
              <w:rPr>
                <w:rFonts w:hint="eastAsia"/>
              </w:rPr>
              <w:t>水</w:t>
            </w:r>
            <w:r>
              <w:t>洗废水</w:t>
            </w:r>
          </w:p>
        </w:tc>
        <w:tc>
          <w:tcPr>
            <w:tcW w:w="829" w:type="pct"/>
            <w:vMerge w:val="continue"/>
            <w:tcMar>
              <w:left w:w="0" w:type="dxa"/>
              <w:right w:w="0" w:type="dxa"/>
            </w:tcMar>
            <w:vAlign w:val="center"/>
          </w:tcPr>
          <w:p w14:paraId="5CA75A46">
            <w:pPr>
              <w:pStyle w:val="75"/>
            </w:pPr>
          </w:p>
        </w:tc>
        <w:tc>
          <w:tcPr>
            <w:tcW w:w="748" w:type="pct"/>
            <w:vMerge w:val="continue"/>
            <w:tcMar>
              <w:left w:w="0" w:type="dxa"/>
              <w:right w:w="0" w:type="dxa"/>
            </w:tcMar>
            <w:vAlign w:val="center"/>
          </w:tcPr>
          <w:p w14:paraId="1B3F12A3">
            <w:pPr>
              <w:pStyle w:val="75"/>
            </w:pPr>
          </w:p>
        </w:tc>
        <w:tc>
          <w:tcPr>
            <w:tcW w:w="835" w:type="pct"/>
            <w:vMerge w:val="continue"/>
            <w:tcMar>
              <w:left w:w="0" w:type="dxa"/>
              <w:right w:w="0" w:type="dxa"/>
            </w:tcMar>
            <w:vAlign w:val="center"/>
          </w:tcPr>
          <w:p w14:paraId="5DBABD92">
            <w:pPr>
              <w:pStyle w:val="75"/>
            </w:pPr>
          </w:p>
        </w:tc>
        <w:tc>
          <w:tcPr>
            <w:tcW w:w="1134" w:type="pct"/>
            <w:vMerge w:val="continue"/>
            <w:tcMar>
              <w:left w:w="0" w:type="dxa"/>
              <w:right w:w="0" w:type="dxa"/>
            </w:tcMar>
            <w:vAlign w:val="center"/>
          </w:tcPr>
          <w:p w14:paraId="60077962">
            <w:pPr>
              <w:pStyle w:val="75"/>
            </w:pPr>
          </w:p>
        </w:tc>
      </w:tr>
      <w:tr w14:paraId="459B76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vMerge w:val="continue"/>
            <w:tcMar>
              <w:left w:w="0" w:type="dxa"/>
              <w:right w:w="0" w:type="dxa"/>
            </w:tcMar>
            <w:vAlign w:val="center"/>
          </w:tcPr>
          <w:p w14:paraId="3B2ECC28">
            <w:pPr>
              <w:pStyle w:val="75"/>
            </w:pPr>
          </w:p>
        </w:tc>
        <w:tc>
          <w:tcPr>
            <w:tcW w:w="1133" w:type="pct"/>
            <w:tcMar>
              <w:left w:w="0" w:type="dxa"/>
              <w:right w:w="0" w:type="dxa"/>
            </w:tcMar>
            <w:vAlign w:val="center"/>
          </w:tcPr>
          <w:p w14:paraId="0D5AE131">
            <w:pPr>
              <w:pStyle w:val="75"/>
            </w:pPr>
            <w:r>
              <w:rPr>
                <w:rFonts w:hint="eastAsia"/>
              </w:rPr>
              <w:t>酸洗废槽液</w:t>
            </w:r>
          </w:p>
        </w:tc>
        <w:tc>
          <w:tcPr>
            <w:tcW w:w="829" w:type="pct"/>
            <w:vMerge w:val="restart"/>
            <w:tcMar>
              <w:left w:w="0" w:type="dxa"/>
              <w:right w:w="0" w:type="dxa"/>
            </w:tcMar>
            <w:vAlign w:val="center"/>
          </w:tcPr>
          <w:p w14:paraId="727DD34A">
            <w:pPr>
              <w:pStyle w:val="75"/>
            </w:pPr>
            <w:r>
              <w:t>pH、COD、</w:t>
            </w:r>
            <w:r>
              <w:rPr>
                <w:rFonts w:hint="eastAsia"/>
              </w:rPr>
              <w:t>S</w:t>
            </w:r>
            <w:r>
              <w:t>S</w:t>
            </w:r>
            <w:r>
              <w:rPr>
                <w:rFonts w:hint="eastAsia"/>
              </w:rPr>
              <w:t>、NH</w:t>
            </w:r>
            <w:r>
              <w:rPr>
                <w:rFonts w:hint="eastAsia"/>
                <w:vertAlign w:val="subscript"/>
              </w:rPr>
              <w:t>3</w:t>
            </w:r>
            <w:r>
              <w:rPr>
                <w:rFonts w:hint="eastAsia"/>
              </w:rPr>
              <w:t>-N、TP、TN、石油类</w:t>
            </w:r>
          </w:p>
        </w:tc>
        <w:tc>
          <w:tcPr>
            <w:tcW w:w="748" w:type="pct"/>
            <w:vMerge w:val="restart"/>
            <w:tcMar>
              <w:left w:w="0" w:type="dxa"/>
              <w:right w:w="0" w:type="dxa"/>
            </w:tcMar>
            <w:vAlign w:val="center"/>
          </w:tcPr>
          <w:p w14:paraId="601FAA74">
            <w:pPr>
              <w:pStyle w:val="75"/>
            </w:pPr>
            <w:r>
              <w:rPr>
                <w:rFonts w:hint="eastAsia"/>
              </w:rPr>
              <w:t>/</w:t>
            </w:r>
          </w:p>
        </w:tc>
        <w:tc>
          <w:tcPr>
            <w:tcW w:w="835" w:type="pct"/>
            <w:vMerge w:val="continue"/>
            <w:tcMar>
              <w:left w:w="0" w:type="dxa"/>
              <w:right w:w="0" w:type="dxa"/>
            </w:tcMar>
            <w:vAlign w:val="center"/>
          </w:tcPr>
          <w:p w14:paraId="39DB059F">
            <w:pPr>
              <w:pStyle w:val="75"/>
            </w:pPr>
          </w:p>
        </w:tc>
        <w:tc>
          <w:tcPr>
            <w:tcW w:w="1134" w:type="pct"/>
            <w:vMerge w:val="continue"/>
            <w:tcMar>
              <w:left w:w="0" w:type="dxa"/>
              <w:right w:w="0" w:type="dxa"/>
            </w:tcMar>
            <w:vAlign w:val="center"/>
          </w:tcPr>
          <w:p w14:paraId="22738AAB">
            <w:pPr>
              <w:pStyle w:val="75"/>
            </w:pPr>
          </w:p>
        </w:tc>
      </w:tr>
      <w:tr w14:paraId="0E16B0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8293E2E">
            <w:pPr>
              <w:pStyle w:val="75"/>
            </w:pPr>
          </w:p>
        </w:tc>
        <w:tc>
          <w:tcPr>
            <w:tcW w:w="1133" w:type="pct"/>
            <w:tcMar>
              <w:left w:w="0" w:type="dxa"/>
              <w:right w:w="0" w:type="dxa"/>
            </w:tcMar>
            <w:vAlign w:val="center"/>
          </w:tcPr>
          <w:p w14:paraId="61437540">
            <w:pPr>
              <w:pStyle w:val="75"/>
            </w:pPr>
            <w:r>
              <w:rPr>
                <w:rFonts w:hint="eastAsia"/>
              </w:rPr>
              <w:t>酸洗后水</w:t>
            </w:r>
            <w:r>
              <w:t>洗废水</w:t>
            </w:r>
          </w:p>
        </w:tc>
        <w:tc>
          <w:tcPr>
            <w:tcW w:w="829" w:type="pct"/>
            <w:vMerge w:val="continue"/>
            <w:tcMar>
              <w:left w:w="0" w:type="dxa"/>
              <w:right w:w="0" w:type="dxa"/>
            </w:tcMar>
            <w:vAlign w:val="center"/>
          </w:tcPr>
          <w:p w14:paraId="73F612E8">
            <w:pPr>
              <w:pStyle w:val="75"/>
            </w:pPr>
          </w:p>
        </w:tc>
        <w:tc>
          <w:tcPr>
            <w:tcW w:w="748" w:type="pct"/>
            <w:vMerge w:val="continue"/>
            <w:tcMar>
              <w:left w:w="0" w:type="dxa"/>
              <w:right w:w="0" w:type="dxa"/>
            </w:tcMar>
            <w:vAlign w:val="center"/>
          </w:tcPr>
          <w:p w14:paraId="42403562">
            <w:pPr>
              <w:pStyle w:val="75"/>
            </w:pPr>
          </w:p>
        </w:tc>
        <w:tc>
          <w:tcPr>
            <w:tcW w:w="835" w:type="pct"/>
            <w:vMerge w:val="continue"/>
            <w:tcMar>
              <w:left w:w="0" w:type="dxa"/>
              <w:right w:w="0" w:type="dxa"/>
            </w:tcMar>
            <w:vAlign w:val="center"/>
          </w:tcPr>
          <w:p w14:paraId="344CC80B">
            <w:pPr>
              <w:pStyle w:val="75"/>
            </w:pPr>
          </w:p>
        </w:tc>
        <w:tc>
          <w:tcPr>
            <w:tcW w:w="1134" w:type="pct"/>
            <w:vMerge w:val="continue"/>
            <w:tcMar>
              <w:left w:w="0" w:type="dxa"/>
              <w:right w:w="0" w:type="dxa"/>
            </w:tcMar>
            <w:vAlign w:val="center"/>
          </w:tcPr>
          <w:p w14:paraId="00A326DE">
            <w:pPr>
              <w:pStyle w:val="75"/>
            </w:pPr>
          </w:p>
        </w:tc>
      </w:tr>
      <w:tr w14:paraId="63D706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176E7153">
            <w:pPr>
              <w:pStyle w:val="75"/>
            </w:pPr>
          </w:p>
        </w:tc>
        <w:tc>
          <w:tcPr>
            <w:tcW w:w="1133" w:type="pct"/>
            <w:tcMar>
              <w:left w:w="0" w:type="dxa"/>
              <w:right w:w="0" w:type="dxa"/>
            </w:tcMar>
            <w:vAlign w:val="center"/>
          </w:tcPr>
          <w:p w14:paraId="02FE2BA6">
            <w:pPr>
              <w:pStyle w:val="75"/>
              <w:ind w:firstLine="0" w:firstLineChars="0"/>
            </w:pPr>
            <w:r>
              <w:rPr>
                <w:rFonts w:hint="eastAsia"/>
              </w:rPr>
              <w:t>封闭废槽液</w:t>
            </w:r>
          </w:p>
        </w:tc>
        <w:tc>
          <w:tcPr>
            <w:tcW w:w="829" w:type="pct"/>
            <w:vMerge w:val="restart"/>
            <w:tcMar>
              <w:left w:w="0" w:type="dxa"/>
              <w:right w:w="0" w:type="dxa"/>
            </w:tcMar>
            <w:vAlign w:val="center"/>
          </w:tcPr>
          <w:p w14:paraId="6BDD3AC2">
            <w:pPr>
              <w:pStyle w:val="75"/>
            </w:pPr>
            <w:r>
              <w:t>pH、COD、</w:t>
            </w:r>
            <w:r>
              <w:rPr>
                <w:rFonts w:hint="eastAsia"/>
              </w:rPr>
              <w:t>S</w:t>
            </w:r>
            <w:r>
              <w:t>S</w:t>
            </w:r>
            <w:r>
              <w:rPr>
                <w:rFonts w:hint="eastAsia"/>
              </w:rPr>
              <w:t>、NH</w:t>
            </w:r>
            <w:r>
              <w:rPr>
                <w:rFonts w:hint="eastAsia"/>
                <w:vertAlign w:val="subscript"/>
              </w:rPr>
              <w:t>3</w:t>
            </w:r>
            <w:r>
              <w:rPr>
                <w:rFonts w:hint="eastAsia"/>
              </w:rPr>
              <w:t>-N、TP、TN</w:t>
            </w:r>
          </w:p>
        </w:tc>
        <w:tc>
          <w:tcPr>
            <w:tcW w:w="748" w:type="pct"/>
            <w:vMerge w:val="continue"/>
            <w:tcMar>
              <w:left w:w="0" w:type="dxa"/>
              <w:right w:w="0" w:type="dxa"/>
            </w:tcMar>
            <w:vAlign w:val="center"/>
          </w:tcPr>
          <w:p w14:paraId="2124168F">
            <w:pPr>
              <w:pStyle w:val="75"/>
            </w:pPr>
          </w:p>
        </w:tc>
        <w:tc>
          <w:tcPr>
            <w:tcW w:w="835" w:type="pct"/>
            <w:vMerge w:val="continue"/>
            <w:tcMar>
              <w:left w:w="0" w:type="dxa"/>
              <w:right w:w="0" w:type="dxa"/>
            </w:tcMar>
            <w:vAlign w:val="center"/>
          </w:tcPr>
          <w:p w14:paraId="0082384E">
            <w:pPr>
              <w:pStyle w:val="75"/>
            </w:pPr>
          </w:p>
        </w:tc>
        <w:tc>
          <w:tcPr>
            <w:tcW w:w="1134" w:type="pct"/>
            <w:vMerge w:val="continue"/>
            <w:tcMar>
              <w:left w:w="0" w:type="dxa"/>
              <w:right w:w="0" w:type="dxa"/>
            </w:tcMar>
            <w:vAlign w:val="center"/>
          </w:tcPr>
          <w:p w14:paraId="1EB6BF56">
            <w:pPr>
              <w:pStyle w:val="75"/>
            </w:pPr>
          </w:p>
        </w:tc>
      </w:tr>
      <w:tr w14:paraId="0A8AA8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4B140F8C">
            <w:pPr>
              <w:pStyle w:val="75"/>
            </w:pPr>
          </w:p>
        </w:tc>
        <w:tc>
          <w:tcPr>
            <w:tcW w:w="1133" w:type="pct"/>
            <w:tcMar>
              <w:left w:w="0" w:type="dxa"/>
              <w:right w:w="0" w:type="dxa"/>
            </w:tcMar>
            <w:vAlign w:val="center"/>
          </w:tcPr>
          <w:p w14:paraId="5BA55C4D">
            <w:pPr>
              <w:pStyle w:val="75"/>
              <w:ind w:firstLine="0" w:firstLineChars="0"/>
            </w:pPr>
            <w:r>
              <w:rPr>
                <w:rFonts w:hint="eastAsia"/>
              </w:rPr>
              <w:t>封闭后水洗废水</w:t>
            </w:r>
          </w:p>
        </w:tc>
        <w:tc>
          <w:tcPr>
            <w:tcW w:w="829" w:type="pct"/>
            <w:vMerge w:val="continue"/>
            <w:tcMar>
              <w:left w:w="0" w:type="dxa"/>
              <w:right w:w="0" w:type="dxa"/>
            </w:tcMar>
            <w:vAlign w:val="center"/>
          </w:tcPr>
          <w:p w14:paraId="71D2EC22">
            <w:pPr>
              <w:pStyle w:val="75"/>
            </w:pPr>
          </w:p>
        </w:tc>
        <w:tc>
          <w:tcPr>
            <w:tcW w:w="748" w:type="pct"/>
            <w:vMerge w:val="continue"/>
            <w:tcMar>
              <w:left w:w="0" w:type="dxa"/>
              <w:right w:w="0" w:type="dxa"/>
            </w:tcMar>
            <w:vAlign w:val="center"/>
          </w:tcPr>
          <w:p w14:paraId="43B9BF59">
            <w:pPr>
              <w:pStyle w:val="75"/>
            </w:pPr>
          </w:p>
        </w:tc>
        <w:tc>
          <w:tcPr>
            <w:tcW w:w="835" w:type="pct"/>
            <w:vMerge w:val="continue"/>
            <w:tcMar>
              <w:left w:w="0" w:type="dxa"/>
              <w:right w:w="0" w:type="dxa"/>
            </w:tcMar>
            <w:vAlign w:val="center"/>
          </w:tcPr>
          <w:p w14:paraId="47EEA1DB">
            <w:pPr>
              <w:pStyle w:val="75"/>
            </w:pPr>
          </w:p>
        </w:tc>
        <w:tc>
          <w:tcPr>
            <w:tcW w:w="1134" w:type="pct"/>
            <w:vMerge w:val="continue"/>
            <w:tcMar>
              <w:left w:w="0" w:type="dxa"/>
              <w:right w:w="0" w:type="dxa"/>
            </w:tcMar>
            <w:vAlign w:val="center"/>
          </w:tcPr>
          <w:p w14:paraId="28C4374F">
            <w:pPr>
              <w:pStyle w:val="75"/>
            </w:pPr>
          </w:p>
        </w:tc>
      </w:tr>
      <w:tr w14:paraId="4C1256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39844CF">
            <w:pPr>
              <w:pStyle w:val="75"/>
            </w:pPr>
          </w:p>
        </w:tc>
        <w:tc>
          <w:tcPr>
            <w:tcW w:w="1133" w:type="pct"/>
            <w:tcMar>
              <w:left w:w="0" w:type="dxa"/>
              <w:right w:w="0" w:type="dxa"/>
            </w:tcMar>
            <w:vAlign w:val="center"/>
          </w:tcPr>
          <w:p w14:paraId="33949E81">
            <w:pPr>
              <w:pStyle w:val="75"/>
            </w:pPr>
            <w:r>
              <w:rPr>
                <w:rFonts w:hint="eastAsia"/>
              </w:rPr>
              <w:t>生活污水</w:t>
            </w:r>
          </w:p>
        </w:tc>
        <w:tc>
          <w:tcPr>
            <w:tcW w:w="829" w:type="pct"/>
            <w:tcMar>
              <w:left w:w="0" w:type="dxa"/>
              <w:right w:w="0" w:type="dxa"/>
            </w:tcMar>
            <w:vAlign w:val="center"/>
          </w:tcPr>
          <w:p w14:paraId="6791900E">
            <w:pPr>
              <w:pStyle w:val="75"/>
            </w:pPr>
            <w:r>
              <w:t>COD</w:t>
            </w:r>
            <w:r>
              <w:rPr>
                <w:rFonts w:hint="eastAsia"/>
              </w:rPr>
              <w:t>、</w:t>
            </w:r>
            <w:r>
              <w:rPr>
                <w:spacing w:val="-8"/>
              </w:rPr>
              <w:t>SS</w:t>
            </w:r>
            <w:r>
              <w:t>、</w:t>
            </w:r>
            <w:r>
              <w:rPr>
                <w:rFonts w:hint="eastAsia"/>
              </w:rPr>
              <w:t>NH</w:t>
            </w:r>
            <w:r>
              <w:rPr>
                <w:rFonts w:hint="eastAsia"/>
                <w:vertAlign w:val="subscript"/>
              </w:rPr>
              <w:t>3</w:t>
            </w:r>
            <w:r>
              <w:rPr>
                <w:rFonts w:hint="eastAsia"/>
              </w:rPr>
              <w:t>-N、TP、TN</w:t>
            </w:r>
          </w:p>
        </w:tc>
        <w:tc>
          <w:tcPr>
            <w:tcW w:w="1583" w:type="pct"/>
            <w:gridSpan w:val="2"/>
            <w:tcMar>
              <w:left w:w="0" w:type="dxa"/>
              <w:right w:w="0" w:type="dxa"/>
            </w:tcMar>
            <w:vAlign w:val="center"/>
          </w:tcPr>
          <w:p w14:paraId="56505714">
            <w:pPr>
              <w:pStyle w:val="75"/>
            </w:pPr>
            <w:r>
              <w:rPr>
                <w:rFonts w:hint="eastAsia"/>
              </w:rPr>
              <w:t>化粪池</w:t>
            </w:r>
          </w:p>
        </w:tc>
        <w:tc>
          <w:tcPr>
            <w:tcW w:w="1134" w:type="pct"/>
            <w:vMerge w:val="continue"/>
            <w:tcMar>
              <w:left w:w="0" w:type="dxa"/>
              <w:right w:w="0" w:type="dxa"/>
            </w:tcMar>
            <w:vAlign w:val="center"/>
          </w:tcPr>
          <w:p w14:paraId="63298CFB">
            <w:pPr>
              <w:pStyle w:val="75"/>
            </w:pPr>
          </w:p>
        </w:tc>
      </w:tr>
      <w:tr w14:paraId="7A658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010ADF2">
            <w:pPr>
              <w:pStyle w:val="75"/>
            </w:pPr>
          </w:p>
        </w:tc>
        <w:tc>
          <w:tcPr>
            <w:tcW w:w="1133" w:type="pct"/>
            <w:tcMar>
              <w:left w:w="0" w:type="dxa"/>
              <w:right w:w="0" w:type="dxa"/>
            </w:tcMar>
            <w:vAlign w:val="center"/>
          </w:tcPr>
          <w:p w14:paraId="4AEE2270">
            <w:pPr>
              <w:pStyle w:val="75"/>
            </w:pPr>
            <w:r>
              <w:rPr>
                <w:rFonts w:hint="eastAsia"/>
              </w:rPr>
              <w:t>纯水制备浓水</w:t>
            </w:r>
          </w:p>
        </w:tc>
        <w:tc>
          <w:tcPr>
            <w:tcW w:w="829" w:type="pct"/>
            <w:tcMar>
              <w:left w:w="0" w:type="dxa"/>
              <w:right w:w="0" w:type="dxa"/>
            </w:tcMar>
            <w:vAlign w:val="center"/>
          </w:tcPr>
          <w:p w14:paraId="2CABF08A">
            <w:pPr>
              <w:pStyle w:val="75"/>
            </w:pPr>
            <w:r>
              <w:t>COD</w:t>
            </w:r>
            <w:r>
              <w:rPr>
                <w:rFonts w:hint="eastAsia"/>
              </w:rPr>
              <w:t>、</w:t>
            </w:r>
            <w:r>
              <w:rPr>
                <w:spacing w:val="-8"/>
              </w:rPr>
              <w:t>SS</w:t>
            </w:r>
          </w:p>
        </w:tc>
        <w:tc>
          <w:tcPr>
            <w:tcW w:w="1583" w:type="pct"/>
            <w:gridSpan w:val="2"/>
            <w:tcMar>
              <w:left w:w="0" w:type="dxa"/>
              <w:right w:w="0" w:type="dxa"/>
            </w:tcMar>
            <w:vAlign w:val="center"/>
          </w:tcPr>
          <w:p w14:paraId="5B37AD68">
            <w:pPr>
              <w:pStyle w:val="75"/>
            </w:pPr>
            <w:r>
              <w:rPr>
                <w:rFonts w:hint="eastAsia"/>
              </w:rPr>
              <w:t>/</w:t>
            </w:r>
          </w:p>
        </w:tc>
        <w:tc>
          <w:tcPr>
            <w:tcW w:w="1134" w:type="pct"/>
            <w:vMerge w:val="continue"/>
            <w:tcMar>
              <w:left w:w="0" w:type="dxa"/>
              <w:right w:w="0" w:type="dxa"/>
            </w:tcMar>
            <w:vAlign w:val="center"/>
          </w:tcPr>
          <w:p w14:paraId="02044F5E">
            <w:pPr>
              <w:pStyle w:val="75"/>
            </w:pPr>
          </w:p>
        </w:tc>
      </w:tr>
      <w:tr w14:paraId="7A98EB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08A93CEE">
            <w:pPr>
              <w:pStyle w:val="75"/>
            </w:pPr>
          </w:p>
        </w:tc>
        <w:tc>
          <w:tcPr>
            <w:tcW w:w="1133" w:type="pct"/>
            <w:tcMar>
              <w:left w:w="0" w:type="dxa"/>
              <w:right w:w="0" w:type="dxa"/>
            </w:tcMar>
            <w:vAlign w:val="center"/>
          </w:tcPr>
          <w:p w14:paraId="5F933B05">
            <w:pPr>
              <w:pStyle w:val="75"/>
            </w:pPr>
            <w:r>
              <w:rPr>
                <w:rFonts w:hint="eastAsia"/>
              </w:rPr>
              <w:t>冲压冷凝水</w:t>
            </w:r>
          </w:p>
        </w:tc>
        <w:tc>
          <w:tcPr>
            <w:tcW w:w="829" w:type="pct"/>
            <w:tcMar>
              <w:left w:w="0" w:type="dxa"/>
              <w:right w:w="0" w:type="dxa"/>
            </w:tcMar>
            <w:vAlign w:val="center"/>
          </w:tcPr>
          <w:p w14:paraId="2E4C1060">
            <w:pPr>
              <w:pStyle w:val="75"/>
            </w:pPr>
            <w:r>
              <w:t>COD</w:t>
            </w:r>
            <w:r>
              <w:rPr>
                <w:rFonts w:hint="eastAsia"/>
              </w:rPr>
              <w:t>、</w:t>
            </w:r>
            <w:r>
              <w:rPr>
                <w:spacing w:val="-8"/>
              </w:rPr>
              <w:t>SS</w:t>
            </w:r>
          </w:p>
        </w:tc>
        <w:tc>
          <w:tcPr>
            <w:tcW w:w="1583" w:type="pct"/>
            <w:gridSpan w:val="2"/>
            <w:tcMar>
              <w:left w:w="0" w:type="dxa"/>
              <w:right w:w="0" w:type="dxa"/>
            </w:tcMar>
            <w:vAlign w:val="center"/>
          </w:tcPr>
          <w:p w14:paraId="371CF962">
            <w:pPr>
              <w:pStyle w:val="75"/>
            </w:pPr>
            <w:r>
              <w:rPr>
                <w:rFonts w:hint="eastAsia"/>
              </w:rPr>
              <w:t>/</w:t>
            </w:r>
          </w:p>
        </w:tc>
        <w:tc>
          <w:tcPr>
            <w:tcW w:w="1134" w:type="pct"/>
            <w:vMerge w:val="continue"/>
            <w:tcMar>
              <w:left w:w="0" w:type="dxa"/>
              <w:right w:w="0" w:type="dxa"/>
            </w:tcMar>
            <w:vAlign w:val="center"/>
          </w:tcPr>
          <w:p w14:paraId="6D97FB84">
            <w:pPr>
              <w:pStyle w:val="75"/>
            </w:pPr>
          </w:p>
        </w:tc>
      </w:tr>
      <w:tr w14:paraId="1E9CA6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051C049">
            <w:pPr>
              <w:pStyle w:val="75"/>
            </w:pPr>
          </w:p>
        </w:tc>
        <w:tc>
          <w:tcPr>
            <w:tcW w:w="1133" w:type="pct"/>
            <w:tcMar>
              <w:left w:w="0" w:type="dxa"/>
              <w:right w:w="0" w:type="dxa"/>
            </w:tcMar>
            <w:vAlign w:val="center"/>
          </w:tcPr>
          <w:p w14:paraId="3B4A98D2">
            <w:pPr>
              <w:pStyle w:val="75"/>
            </w:pPr>
            <w:r>
              <w:rPr>
                <w:rFonts w:hint="eastAsia"/>
              </w:rPr>
              <w:t>镀镍后水洗废水</w:t>
            </w:r>
          </w:p>
        </w:tc>
        <w:tc>
          <w:tcPr>
            <w:tcW w:w="829" w:type="pct"/>
            <w:vMerge w:val="restart"/>
            <w:tcMar>
              <w:left w:w="0" w:type="dxa"/>
              <w:right w:w="0" w:type="dxa"/>
            </w:tcMar>
            <w:vAlign w:val="center"/>
          </w:tcPr>
          <w:p w14:paraId="37D58422">
            <w:pPr>
              <w:pStyle w:val="75"/>
            </w:pPr>
            <w:r>
              <w:t>pH、COD、</w:t>
            </w:r>
            <w:r>
              <w:rPr>
                <w:rFonts w:hint="eastAsia"/>
              </w:rPr>
              <w:t>总镍</w:t>
            </w:r>
          </w:p>
        </w:tc>
        <w:tc>
          <w:tcPr>
            <w:tcW w:w="1583" w:type="pct"/>
            <w:gridSpan w:val="2"/>
            <w:vMerge w:val="restart"/>
            <w:tcMar>
              <w:left w:w="0" w:type="dxa"/>
              <w:right w:w="0" w:type="dxa"/>
            </w:tcMar>
            <w:vAlign w:val="center"/>
          </w:tcPr>
          <w:p w14:paraId="153AF002">
            <w:pPr>
              <w:pStyle w:val="75"/>
            </w:pPr>
            <w:r>
              <w:rPr>
                <w:rFonts w:hint="eastAsia"/>
              </w:rPr>
              <w:t>含镍废水处理系统（</w:t>
            </w:r>
            <w:r>
              <w:t>调节</w:t>
            </w:r>
            <w:r>
              <w:rPr>
                <w:rFonts w:hint="eastAsia"/>
              </w:rPr>
              <w:t>+混凝沉淀+</w:t>
            </w:r>
            <w:r>
              <w:rPr>
                <w:rFonts w:hint="eastAsia"/>
                <w:bCs/>
              </w:rPr>
              <w:t>碳滤</w:t>
            </w:r>
            <w:r>
              <w:rPr>
                <w:rFonts w:hint="eastAsia"/>
              </w:rPr>
              <w:t>+超滤+反渗透+蒸发）处理后回用于镀后水洗工段</w:t>
            </w:r>
          </w:p>
        </w:tc>
        <w:tc>
          <w:tcPr>
            <w:tcW w:w="1134" w:type="pct"/>
            <w:vMerge w:val="restart"/>
            <w:tcMar>
              <w:left w:w="0" w:type="dxa"/>
              <w:right w:w="0" w:type="dxa"/>
            </w:tcMar>
            <w:vAlign w:val="center"/>
          </w:tcPr>
          <w:p w14:paraId="11164689">
            <w:pPr>
              <w:pStyle w:val="75"/>
            </w:pPr>
            <w:r>
              <w:rPr>
                <w:rFonts w:hint="eastAsia"/>
              </w:rPr>
              <w:t>回用于生产</w:t>
            </w:r>
          </w:p>
        </w:tc>
      </w:tr>
      <w:tr w14:paraId="0BBA8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42458696">
            <w:pPr>
              <w:pStyle w:val="75"/>
            </w:pPr>
          </w:p>
        </w:tc>
        <w:tc>
          <w:tcPr>
            <w:tcW w:w="1133" w:type="pct"/>
            <w:tcMar>
              <w:left w:w="0" w:type="dxa"/>
              <w:right w:w="0" w:type="dxa"/>
            </w:tcMar>
            <w:vAlign w:val="center"/>
          </w:tcPr>
          <w:p w14:paraId="37236E7D">
            <w:pPr>
              <w:pStyle w:val="75"/>
              <w:rPr>
                <w:rFonts w:hint="default" w:eastAsia="宋体"/>
                <w:lang w:val="en-US" w:eastAsia="zh-CN"/>
              </w:rPr>
            </w:pPr>
            <w:r>
              <w:rPr>
                <w:rFonts w:hint="eastAsia"/>
                <w:lang w:val="en-US" w:eastAsia="zh-CN"/>
              </w:rPr>
              <w:t>漂白槽液</w:t>
            </w:r>
          </w:p>
        </w:tc>
        <w:tc>
          <w:tcPr>
            <w:tcW w:w="829" w:type="pct"/>
            <w:vMerge w:val="continue"/>
            <w:tcMar>
              <w:left w:w="0" w:type="dxa"/>
              <w:right w:w="0" w:type="dxa"/>
            </w:tcMar>
            <w:vAlign w:val="center"/>
          </w:tcPr>
          <w:p w14:paraId="4823E2B2">
            <w:pPr>
              <w:pStyle w:val="75"/>
            </w:pPr>
          </w:p>
        </w:tc>
        <w:tc>
          <w:tcPr>
            <w:tcW w:w="1583" w:type="pct"/>
            <w:gridSpan w:val="2"/>
            <w:vMerge w:val="continue"/>
            <w:tcMar>
              <w:left w:w="0" w:type="dxa"/>
              <w:right w:w="0" w:type="dxa"/>
            </w:tcMar>
            <w:vAlign w:val="center"/>
          </w:tcPr>
          <w:p w14:paraId="4AAFF29D">
            <w:pPr>
              <w:pStyle w:val="75"/>
              <w:rPr>
                <w:rFonts w:hint="eastAsia"/>
              </w:rPr>
            </w:pPr>
          </w:p>
        </w:tc>
        <w:tc>
          <w:tcPr>
            <w:tcW w:w="1134" w:type="pct"/>
            <w:vMerge w:val="continue"/>
            <w:tcMar>
              <w:left w:w="0" w:type="dxa"/>
              <w:right w:w="0" w:type="dxa"/>
            </w:tcMar>
            <w:vAlign w:val="center"/>
          </w:tcPr>
          <w:p w14:paraId="38B4390A">
            <w:pPr>
              <w:pStyle w:val="75"/>
              <w:rPr>
                <w:rFonts w:hint="eastAsia"/>
              </w:rPr>
            </w:pPr>
          </w:p>
        </w:tc>
      </w:tr>
      <w:tr w14:paraId="5C692E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vMerge w:val="continue"/>
            <w:tcMar>
              <w:left w:w="0" w:type="dxa"/>
              <w:right w:w="0" w:type="dxa"/>
            </w:tcMar>
            <w:vAlign w:val="center"/>
          </w:tcPr>
          <w:p w14:paraId="68056672">
            <w:pPr>
              <w:pStyle w:val="75"/>
            </w:pPr>
          </w:p>
        </w:tc>
        <w:tc>
          <w:tcPr>
            <w:tcW w:w="1133" w:type="pct"/>
            <w:tcMar>
              <w:left w:w="0" w:type="dxa"/>
              <w:right w:w="0" w:type="dxa"/>
            </w:tcMar>
            <w:vAlign w:val="center"/>
          </w:tcPr>
          <w:p w14:paraId="3F2B3EF7">
            <w:pPr>
              <w:pStyle w:val="75"/>
              <w:rPr>
                <w:rFonts w:hint="default"/>
                <w:lang w:val="en-US" w:eastAsia="zh-CN"/>
              </w:rPr>
            </w:pPr>
            <w:r>
              <w:rPr>
                <w:rFonts w:hint="eastAsia"/>
                <w:lang w:val="en-US" w:eastAsia="zh-CN"/>
              </w:rPr>
              <w:t>漂白后水洗废水</w:t>
            </w:r>
          </w:p>
        </w:tc>
        <w:tc>
          <w:tcPr>
            <w:tcW w:w="829" w:type="pct"/>
            <w:vMerge w:val="continue"/>
            <w:tcMar>
              <w:left w:w="0" w:type="dxa"/>
              <w:right w:w="0" w:type="dxa"/>
            </w:tcMar>
            <w:vAlign w:val="center"/>
          </w:tcPr>
          <w:p w14:paraId="5C3C5CB7">
            <w:pPr>
              <w:pStyle w:val="75"/>
            </w:pPr>
          </w:p>
        </w:tc>
        <w:tc>
          <w:tcPr>
            <w:tcW w:w="1583" w:type="pct"/>
            <w:gridSpan w:val="2"/>
            <w:vMerge w:val="continue"/>
            <w:tcMar>
              <w:left w:w="0" w:type="dxa"/>
              <w:right w:w="0" w:type="dxa"/>
            </w:tcMar>
            <w:vAlign w:val="center"/>
          </w:tcPr>
          <w:p w14:paraId="29FB085A">
            <w:pPr>
              <w:pStyle w:val="75"/>
              <w:rPr>
                <w:rFonts w:hint="eastAsia"/>
              </w:rPr>
            </w:pPr>
          </w:p>
        </w:tc>
        <w:tc>
          <w:tcPr>
            <w:tcW w:w="1134" w:type="pct"/>
            <w:vMerge w:val="continue"/>
            <w:tcMar>
              <w:left w:w="0" w:type="dxa"/>
              <w:right w:w="0" w:type="dxa"/>
            </w:tcMar>
            <w:vAlign w:val="center"/>
          </w:tcPr>
          <w:p w14:paraId="492E629B">
            <w:pPr>
              <w:pStyle w:val="75"/>
              <w:rPr>
                <w:rFonts w:hint="eastAsia"/>
              </w:rPr>
            </w:pPr>
          </w:p>
        </w:tc>
      </w:tr>
      <w:tr w14:paraId="2004B2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12E82469">
            <w:pPr>
              <w:pStyle w:val="75"/>
            </w:pPr>
          </w:p>
        </w:tc>
        <w:tc>
          <w:tcPr>
            <w:tcW w:w="1133" w:type="pct"/>
            <w:tcMar>
              <w:left w:w="0" w:type="dxa"/>
              <w:right w:w="0" w:type="dxa"/>
            </w:tcMar>
            <w:vAlign w:val="center"/>
          </w:tcPr>
          <w:p w14:paraId="3E6E3E1C">
            <w:pPr>
              <w:pStyle w:val="75"/>
            </w:pPr>
            <w:r>
              <w:rPr>
                <w:rFonts w:hint="eastAsia"/>
              </w:rPr>
              <w:t>中和废槽液</w:t>
            </w:r>
          </w:p>
        </w:tc>
        <w:tc>
          <w:tcPr>
            <w:tcW w:w="829" w:type="pct"/>
            <w:vMerge w:val="continue"/>
            <w:tcMar>
              <w:left w:w="0" w:type="dxa"/>
              <w:right w:w="0" w:type="dxa"/>
            </w:tcMar>
            <w:vAlign w:val="center"/>
          </w:tcPr>
          <w:p w14:paraId="265199BB">
            <w:pPr>
              <w:pStyle w:val="75"/>
            </w:pPr>
          </w:p>
        </w:tc>
        <w:tc>
          <w:tcPr>
            <w:tcW w:w="1583" w:type="pct"/>
            <w:gridSpan w:val="2"/>
            <w:vMerge w:val="continue"/>
            <w:tcMar>
              <w:left w:w="0" w:type="dxa"/>
              <w:right w:w="0" w:type="dxa"/>
            </w:tcMar>
            <w:vAlign w:val="center"/>
          </w:tcPr>
          <w:p w14:paraId="23836171">
            <w:pPr>
              <w:pStyle w:val="75"/>
            </w:pPr>
          </w:p>
        </w:tc>
        <w:tc>
          <w:tcPr>
            <w:tcW w:w="1134" w:type="pct"/>
            <w:vMerge w:val="continue"/>
            <w:tcMar>
              <w:left w:w="0" w:type="dxa"/>
              <w:right w:w="0" w:type="dxa"/>
            </w:tcMar>
            <w:vAlign w:val="center"/>
          </w:tcPr>
          <w:p w14:paraId="023E02F9">
            <w:pPr>
              <w:pStyle w:val="75"/>
            </w:pPr>
          </w:p>
        </w:tc>
      </w:tr>
      <w:tr w14:paraId="71AB6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51134340">
            <w:pPr>
              <w:pStyle w:val="75"/>
            </w:pPr>
          </w:p>
        </w:tc>
        <w:tc>
          <w:tcPr>
            <w:tcW w:w="1133" w:type="pct"/>
            <w:tcMar>
              <w:left w:w="0" w:type="dxa"/>
              <w:right w:w="0" w:type="dxa"/>
            </w:tcMar>
            <w:vAlign w:val="center"/>
          </w:tcPr>
          <w:p w14:paraId="6B07C71D">
            <w:pPr>
              <w:pStyle w:val="75"/>
            </w:pPr>
            <w:r>
              <w:rPr>
                <w:rFonts w:hint="eastAsia"/>
              </w:rPr>
              <w:t>中和后水洗废水</w:t>
            </w:r>
          </w:p>
        </w:tc>
        <w:tc>
          <w:tcPr>
            <w:tcW w:w="829" w:type="pct"/>
            <w:vMerge w:val="continue"/>
            <w:tcMar>
              <w:left w:w="0" w:type="dxa"/>
              <w:right w:w="0" w:type="dxa"/>
            </w:tcMar>
            <w:vAlign w:val="center"/>
          </w:tcPr>
          <w:p w14:paraId="246E8DB6">
            <w:pPr>
              <w:pStyle w:val="75"/>
            </w:pPr>
          </w:p>
        </w:tc>
        <w:tc>
          <w:tcPr>
            <w:tcW w:w="1583" w:type="pct"/>
            <w:gridSpan w:val="2"/>
            <w:vMerge w:val="continue"/>
            <w:tcMar>
              <w:left w:w="0" w:type="dxa"/>
              <w:right w:w="0" w:type="dxa"/>
            </w:tcMar>
            <w:vAlign w:val="center"/>
          </w:tcPr>
          <w:p w14:paraId="403F416E">
            <w:pPr>
              <w:pStyle w:val="75"/>
            </w:pPr>
          </w:p>
        </w:tc>
        <w:tc>
          <w:tcPr>
            <w:tcW w:w="1134" w:type="pct"/>
            <w:vMerge w:val="continue"/>
            <w:tcMar>
              <w:left w:w="0" w:type="dxa"/>
              <w:right w:w="0" w:type="dxa"/>
            </w:tcMar>
            <w:vAlign w:val="center"/>
          </w:tcPr>
          <w:p w14:paraId="55BDE948">
            <w:pPr>
              <w:pStyle w:val="75"/>
            </w:pPr>
          </w:p>
        </w:tc>
      </w:tr>
      <w:tr w14:paraId="71EC91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A9A0D1E">
            <w:pPr>
              <w:pStyle w:val="75"/>
            </w:pPr>
          </w:p>
        </w:tc>
        <w:tc>
          <w:tcPr>
            <w:tcW w:w="1133" w:type="pct"/>
            <w:tcMar>
              <w:left w:w="0" w:type="dxa"/>
              <w:right w:w="0" w:type="dxa"/>
            </w:tcMar>
            <w:vAlign w:val="center"/>
          </w:tcPr>
          <w:p w14:paraId="02F6290B">
            <w:pPr>
              <w:pStyle w:val="75"/>
            </w:pPr>
            <w:r>
              <w:rPr>
                <w:rFonts w:hint="eastAsia"/>
              </w:rPr>
              <w:t>钝化废槽液</w:t>
            </w:r>
          </w:p>
        </w:tc>
        <w:tc>
          <w:tcPr>
            <w:tcW w:w="829" w:type="pct"/>
            <w:vMerge w:val="restart"/>
            <w:tcMar>
              <w:left w:w="0" w:type="dxa"/>
              <w:right w:w="0" w:type="dxa"/>
            </w:tcMar>
            <w:vAlign w:val="center"/>
          </w:tcPr>
          <w:p w14:paraId="38914943">
            <w:pPr>
              <w:pStyle w:val="75"/>
            </w:pPr>
            <w:r>
              <w:t>pH、</w:t>
            </w:r>
            <w:r>
              <w:rPr>
                <w:rFonts w:hint="eastAsia"/>
              </w:rPr>
              <w:t>总铬</w:t>
            </w:r>
          </w:p>
        </w:tc>
        <w:tc>
          <w:tcPr>
            <w:tcW w:w="1583" w:type="pct"/>
            <w:gridSpan w:val="2"/>
            <w:vMerge w:val="restart"/>
            <w:tcMar>
              <w:left w:w="0" w:type="dxa"/>
              <w:right w:w="0" w:type="dxa"/>
            </w:tcMar>
            <w:vAlign w:val="center"/>
          </w:tcPr>
          <w:p w14:paraId="38B46702">
            <w:pPr>
              <w:pStyle w:val="75"/>
            </w:pPr>
            <w:r>
              <w:rPr>
                <w:rFonts w:hint="eastAsia"/>
              </w:rPr>
              <w:t>含铬废水处理系统（调节+混凝沉淀+碳滤+超滤+反渗透+蒸发）处理后回用于钝化后水洗工段</w:t>
            </w:r>
          </w:p>
        </w:tc>
        <w:tc>
          <w:tcPr>
            <w:tcW w:w="1134" w:type="pct"/>
            <w:vMerge w:val="restart"/>
            <w:tcMar>
              <w:left w:w="0" w:type="dxa"/>
              <w:right w:w="0" w:type="dxa"/>
            </w:tcMar>
            <w:vAlign w:val="center"/>
          </w:tcPr>
          <w:p w14:paraId="7BE09622">
            <w:pPr>
              <w:pStyle w:val="75"/>
            </w:pPr>
            <w:r>
              <w:rPr>
                <w:rFonts w:hint="eastAsia"/>
              </w:rPr>
              <w:t>回用于生产</w:t>
            </w:r>
          </w:p>
        </w:tc>
      </w:tr>
      <w:tr w14:paraId="038B2B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1B952021">
            <w:pPr>
              <w:pStyle w:val="75"/>
            </w:pPr>
          </w:p>
        </w:tc>
        <w:tc>
          <w:tcPr>
            <w:tcW w:w="1133" w:type="pct"/>
            <w:tcMar>
              <w:left w:w="0" w:type="dxa"/>
              <w:right w:w="0" w:type="dxa"/>
            </w:tcMar>
            <w:vAlign w:val="center"/>
          </w:tcPr>
          <w:p w14:paraId="42FE57BF">
            <w:pPr>
              <w:pStyle w:val="75"/>
            </w:pPr>
            <w:r>
              <w:rPr>
                <w:rFonts w:hint="eastAsia"/>
              </w:rPr>
              <w:t>钝化后水洗废水</w:t>
            </w:r>
          </w:p>
        </w:tc>
        <w:tc>
          <w:tcPr>
            <w:tcW w:w="829" w:type="pct"/>
            <w:vMerge w:val="continue"/>
            <w:tcMar>
              <w:left w:w="0" w:type="dxa"/>
              <w:right w:w="0" w:type="dxa"/>
            </w:tcMar>
            <w:vAlign w:val="center"/>
          </w:tcPr>
          <w:p w14:paraId="32791859">
            <w:pPr>
              <w:pStyle w:val="75"/>
            </w:pPr>
          </w:p>
        </w:tc>
        <w:tc>
          <w:tcPr>
            <w:tcW w:w="1583" w:type="pct"/>
            <w:gridSpan w:val="2"/>
            <w:vMerge w:val="continue"/>
            <w:tcMar>
              <w:left w:w="0" w:type="dxa"/>
              <w:right w:w="0" w:type="dxa"/>
            </w:tcMar>
            <w:vAlign w:val="center"/>
          </w:tcPr>
          <w:p w14:paraId="6AA7DFA0">
            <w:pPr>
              <w:pStyle w:val="75"/>
            </w:pPr>
          </w:p>
        </w:tc>
        <w:tc>
          <w:tcPr>
            <w:tcW w:w="1134" w:type="pct"/>
            <w:vMerge w:val="continue"/>
            <w:tcMar>
              <w:left w:w="0" w:type="dxa"/>
              <w:right w:w="0" w:type="dxa"/>
            </w:tcMar>
            <w:vAlign w:val="center"/>
          </w:tcPr>
          <w:p w14:paraId="453B0066">
            <w:pPr>
              <w:pStyle w:val="75"/>
            </w:pPr>
          </w:p>
        </w:tc>
      </w:tr>
      <w:tr w14:paraId="4A8DA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6B423FC">
            <w:pPr>
              <w:pStyle w:val="75"/>
            </w:pPr>
          </w:p>
        </w:tc>
        <w:tc>
          <w:tcPr>
            <w:tcW w:w="1133" w:type="pct"/>
            <w:tcMar>
              <w:left w:w="0" w:type="dxa"/>
              <w:right w:w="0" w:type="dxa"/>
            </w:tcMar>
            <w:vAlign w:val="center"/>
          </w:tcPr>
          <w:p w14:paraId="27D56240">
            <w:pPr>
              <w:pStyle w:val="75"/>
            </w:pPr>
            <w:r>
              <w:rPr>
                <w:rFonts w:hint="eastAsia"/>
              </w:rPr>
              <w:t>中和废槽液</w:t>
            </w:r>
          </w:p>
        </w:tc>
        <w:tc>
          <w:tcPr>
            <w:tcW w:w="829" w:type="pct"/>
            <w:vMerge w:val="continue"/>
            <w:tcMar>
              <w:left w:w="0" w:type="dxa"/>
              <w:right w:w="0" w:type="dxa"/>
            </w:tcMar>
            <w:vAlign w:val="center"/>
          </w:tcPr>
          <w:p w14:paraId="4026F3B6">
            <w:pPr>
              <w:pStyle w:val="75"/>
            </w:pPr>
          </w:p>
        </w:tc>
        <w:tc>
          <w:tcPr>
            <w:tcW w:w="1583" w:type="pct"/>
            <w:gridSpan w:val="2"/>
            <w:vMerge w:val="continue"/>
            <w:tcMar>
              <w:left w:w="0" w:type="dxa"/>
              <w:right w:w="0" w:type="dxa"/>
            </w:tcMar>
            <w:vAlign w:val="center"/>
          </w:tcPr>
          <w:p w14:paraId="31606B61">
            <w:pPr>
              <w:pStyle w:val="75"/>
            </w:pPr>
          </w:p>
        </w:tc>
        <w:tc>
          <w:tcPr>
            <w:tcW w:w="1134" w:type="pct"/>
            <w:vMerge w:val="continue"/>
            <w:tcMar>
              <w:left w:w="0" w:type="dxa"/>
              <w:right w:w="0" w:type="dxa"/>
            </w:tcMar>
            <w:vAlign w:val="center"/>
          </w:tcPr>
          <w:p w14:paraId="5B042F0B">
            <w:pPr>
              <w:pStyle w:val="75"/>
            </w:pPr>
          </w:p>
        </w:tc>
      </w:tr>
      <w:tr w14:paraId="17AE7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6203294">
            <w:pPr>
              <w:pStyle w:val="75"/>
            </w:pPr>
          </w:p>
        </w:tc>
        <w:tc>
          <w:tcPr>
            <w:tcW w:w="1133" w:type="pct"/>
            <w:tcMar>
              <w:left w:w="0" w:type="dxa"/>
              <w:right w:w="0" w:type="dxa"/>
            </w:tcMar>
            <w:vAlign w:val="center"/>
          </w:tcPr>
          <w:p w14:paraId="7C41325A">
            <w:pPr>
              <w:pStyle w:val="75"/>
            </w:pPr>
            <w:r>
              <w:rPr>
                <w:rFonts w:hint="eastAsia"/>
              </w:rPr>
              <w:t>中和后水洗废水</w:t>
            </w:r>
          </w:p>
        </w:tc>
        <w:tc>
          <w:tcPr>
            <w:tcW w:w="829" w:type="pct"/>
            <w:vMerge w:val="continue"/>
            <w:tcMar>
              <w:left w:w="0" w:type="dxa"/>
              <w:right w:w="0" w:type="dxa"/>
            </w:tcMar>
            <w:vAlign w:val="center"/>
          </w:tcPr>
          <w:p w14:paraId="6C3597AF">
            <w:pPr>
              <w:pStyle w:val="75"/>
            </w:pPr>
          </w:p>
        </w:tc>
        <w:tc>
          <w:tcPr>
            <w:tcW w:w="1583" w:type="pct"/>
            <w:gridSpan w:val="2"/>
            <w:vMerge w:val="continue"/>
            <w:tcMar>
              <w:left w:w="0" w:type="dxa"/>
              <w:right w:w="0" w:type="dxa"/>
            </w:tcMar>
            <w:vAlign w:val="center"/>
          </w:tcPr>
          <w:p w14:paraId="5F09117A">
            <w:pPr>
              <w:pStyle w:val="75"/>
            </w:pPr>
          </w:p>
        </w:tc>
        <w:tc>
          <w:tcPr>
            <w:tcW w:w="1134" w:type="pct"/>
            <w:vMerge w:val="continue"/>
            <w:tcMar>
              <w:left w:w="0" w:type="dxa"/>
              <w:right w:w="0" w:type="dxa"/>
            </w:tcMar>
            <w:vAlign w:val="center"/>
          </w:tcPr>
          <w:p w14:paraId="79F06DBA">
            <w:pPr>
              <w:pStyle w:val="75"/>
            </w:pPr>
          </w:p>
        </w:tc>
      </w:tr>
      <w:tr w14:paraId="5F7693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0D1F6D59">
            <w:pPr>
              <w:pStyle w:val="75"/>
            </w:pPr>
          </w:p>
        </w:tc>
        <w:tc>
          <w:tcPr>
            <w:tcW w:w="1133" w:type="pct"/>
            <w:tcMar>
              <w:left w:w="0" w:type="dxa"/>
              <w:right w:w="0" w:type="dxa"/>
            </w:tcMar>
            <w:vAlign w:val="center"/>
          </w:tcPr>
          <w:p w14:paraId="09B2A68F">
            <w:pPr>
              <w:pStyle w:val="75"/>
            </w:pPr>
            <w:r>
              <w:rPr>
                <w:rFonts w:hint="eastAsia"/>
              </w:rPr>
              <w:t>吸收塔更换废水</w:t>
            </w:r>
          </w:p>
        </w:tc>
        <w:tc>
          <w:tcPr>
            <w:tcW w:w="829" w:type="pct"/>
            <w:vMerge w:val="continue"/>
            <w:tcMar>
              <w:left w:w="0" w:type="dxa"/>
              <w:right w:w="0" w:type="dxa"/>
            </w:tcMar>
            <w:vAlign w:val="center"/>
          </w:tcPr>
          <w:p w14:paraId="25AC6A68">
            <w:pPr>
              <w:pStyle w:val="75"/>
            </w:pPr>
          </w:p>
        </w:tc>
        <w:tc>
          <w:tcPr>
            <w:tcW w:w="1583" w:type="pct"/>
            <w:gridSpan w:val="2"/>
            <w:vMerge w:val="continue"/>
            <w:tcMar>
              <w:left w:w="0" w:type="dxa"/>
              <w:right w:w="0" w:type="dxa"/>
            </w:tcMar>
            <w:vAlign w:val="center"/>
          </w:tcPr>
          <w:p w14:paraId="627AE2EF">
            <w:pPr>
              <w:pStyle w:val="75"/>
            </w:pPr>
          </w:p>
        </w:tc>
        <w:tc>
          <w:tcPr>
            <w:tcW w:w="1134" w:type="pct"/>
            <w:vMerge w:val="continue"/>
            <w:tcMar>
              <w:left w:w="0" w:type="dxa"/>
              <w:right w:w="0" w:type="dxa"/>
            </w:tcMar>
            <w:vAlign w:val="center"/>
          </w:tcPr>
          <w:p w14:paraId="1F60CBC9">
            <w:pPr>
              <w:pStyle w:val="75"/>
            </w:pPr>
          </w:p>
        </w:tc>
      </w:tr>
      <w:tr w14:paraId="3364D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2F7C3F6">
            <w:pPr>
              <w:pStyle w:val="75"/>
            </w:pPr>
          </w:p>
        </w:tc>
        <w:tc>
          <w:tcPr>
            <w:tcW w:w="1133" w:type="pct"/>
            <w:tcMar>
              <w:left w:w="0" w:type="dxa"/>
              <w:right w:w="0" w:type="dxa"/>
            </w:tcMar>
            <w:vAlign w:val="center"/>
          </w:tcPr>
          <w:p w14:paraId="5625A62F">
            <w:pPr>
              <w:pStyle w:val="75"/>
            </w:pPr>
            <w:r>
              <w:rPr>
                <w:rFonts w:hint="eastAsia"/>
              </w:rPr>
              <w:t>车间地面清洗水</w:t>
            </w:r>
          </w:p>
        </w:tc>
        <w:tc>
          <w:tcPr>
            <w:tcW w:w="829" w:type="pct"/>
            <w:vMerge w:val="continue"/>
            <w:tcMar>
              <w:left w:w="0" w:type="dxa"/>
              <w:right w:w="0" w:type="dxa"/>
            </w:tcMar>
            <w:vAlign w:val="center"/>
          </w:tcPr>
          <w:p w14:paraId="7D652F8A">
            <w:pPr>
              <w:pStyle w:val="75"/>
            </w:pPr>
          </w:p>
        </w:tc>
        <w:tc>
          <w:tcPr>
            <w:tcW w:w="1583" w:type="pct"/>
            <w:gridSpan w:val="2"/>
            <w:vMerge w:val="continue"/>
            <w:tcMar>
              <w:left w:w="0" w:type="dxa"/>
              <w:right w:w="0" w:type="dxa"/>
            </w:tcMar>
            <w:vAlign w:val="center"/>
          </w:tcPr>
          <w:p w14:paraId="2DDDB280">
            <w:pPr>
              <w:pStyle w:val="75"/>
            </w:pPr>
          </w:p>
        </w:tc>
        <w:tc>
          <w:tcPr>
            <w:tcW w:w="1134" w:type="pct"/>
            <w:vMerge w:val="continue"/>
            <w:tcMar>
              <w:left w:w="0" w:type="dxa"/>
              <w:right w:w="0" w:type="dxa"/>
            </w:tcMar>
            <w:vAlign w:val="center"/>
          </w:tcPr>
          <w:p w14:paraId="2D15AB99">
            <w:pPr>
              <w:pStyle w:val="75"/>
            </w:pPr>
          </w:p>
        </w:tc>
      </w:tr>
      <w:tr w14:paraId="5A7191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restart"/>
            <w:tcMar>
              <w:left w:w="0" w:type="dxa"/>
              <w:right w:w="0" w:type="dxa"/>
            </w:tcMar>
            <w:vAlign w:val="center"/>
          </w:tcPr>
          <w:p w14:paraId="667FA61F">
            <w:pPr>
              <w:pStyle w:val="75"/>
            </w:pPr>
            <w:r>
              <w:t>固废</w:t>
            </w:r>
          </w:p>
        </w:tc>
        <w:tc>
          <w:tcPr>
            <w:tcW w:w="1133" w:type="pct"/>
            <w:tcMar>
              <w:left w:w="0" w:type="dxa"/>
              <w:right w:w="0" w:type="dxa"/>
            </w:tcMar>
            <w:vAlign w:val="center"/>
          </w:tcPr>
          <w:p w14:paraId="4A14E66D">
            <w:pPr>
              <w:pStyle w:val="75"/>
            </w:pPr>
            <w:r>
              <w:rPr>
                <w:rFonts w:hint="eastAsia"/>
              </w:rPr>
              <w:t>原料拆包</w:t>
            </w:r>
          </w:p>
        </w:tc>
        <w:tc>
          <w:tcPr>
            <w:tcW w:w="829" w:type="pct"/>
            <w:tcMar>
              <w:left w:w="0" w:type="dxa"/>
              <w:right w:w="0" w:type="dxa"/>
            </w:tcMar>
            <w:vAlign w:val="center"/>
          </w:tcPr>
          <w:p w14:paraId="1ED8C468">
            <w:pPr>
              <w:pStyle w:val="75"/>
            </w:pPr>
            <w:r>
              <w:rPr>
                <w:rFonts w:hint="eastAsia"/>
              </w:rPr>
              <w:t>废包装物</w:t>
            </w:r>
          </w:p>
        </w:tc>
        <w:tc>
          <w:tcPr>
            <w:tcW w:w="1583" w:type="pct"/>
            <w:gridSpan w:val="2"/>
            <w:vMerge w:val="restart"/>
            <w:tcMar>
              <w:left w:w="0" w:type="dxa"/>
              <w:right w:w="0" w:type="dxa"/>
            </w:tcMar>
            <w:vAlign w:val="center"/>
          </w:tcPr>
          <w:p w14:paraId="7CF39754">
            <w:pPr>
              <w:pStyle w:val="75"/>
            </w:pPr>
            <w:r>
              <w:t>专用容器收集，在危废储存间分类暂存</w:t>
            </w:r>
            <w:r>
              <w:rPr>
                <w:rFonts w:hint="eastAsia"/>
              </w:rPr>
              <w:t>，</w:t>
            </w:r>
            <w:r>
              <w:t>定期送有</w:t>
            </w:r>
            <w:r>
              <w:rPr>
                <w:rFonts w:hint="eastAsia"/>
              </w:rPr>
              <w:t>相应</w:t>
            </w:r>
            <w:r>
              <w:t>危废</w:t>
            </w:r>
            <w:r>
              <w:rPr>
                <w:rFonts w:hint="eastAsia"/>
              </w:rPr>
              <w:t>处置</w:t>
            </w:r>
            <w:r>
              <w:t>资质的单位</w:t>
            </w:r>
            <w:r>
              <w:rPr>
                <w:rFonts w:hint="eastAsia"/>
              </w:rPr>
              <w:t>处置</w:t>
            </w:r>
          </w:p>
        </w:tc>
        <w:tc>
          <w:tcPr>
            <w:tcW w:w="1134" w:type="pct"/>
            <w:vMerge w:val="restart"/>
            <w:tcMar>
              <w:left w:w="0" w:type="dxa"/>
              <w:right w:w="0" w:type="dxa"/>
            </w:tcMar>
            <w:vAlign w:val="center"/>
          </w:tcPr>
          <w:p w14:paraId="280171A5">
            <w:pPr>
              <w:pStyle w:val="75"/>
            </w:pPr>
            <w:r>
              <w:rPr>
                <w:rFonts w:hint="eastAsia"/>
              </w:rPr>
              <w:t>《危险废物贮存污染控制标准》（GB18597-2023）</w:t>
            </w:r>
          </w:p>
        </w:tc>
      </w:tr>
      <w:tr w14:paraId="48A1D8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vMerge w:val="continue"/>
            <w:tcMar>
              <w:left w:w="0" w:type="dxa"/>
              <w:right w:w="0" w:type="dxa"/>
            </w:tcMar>
            <w:vAlign w:val="center"/>
          </w:tcPr>
          <w:p w14:paraId="0B08BC2F">
            <w:pPr>
              <w:pStyle w:val="75"/>
            </w:pPr>
          </w:p>
        </w:tc>
        <w:tc>
          <w:tcPr>
            <w:tcW w:w="1133" w:type="pct"/>
            <w:tcMar>
              <w:left w:w="0" w:type="dxa"/>
              <w:right w:w="0" w:type="dxa"/>
            </w:tcMar>
            <w:vAlign w:val="center"/>
          </w:tcPr>
          <w:p w14:paraId="692815C9">
            <w:pPr>
              <w:pStyle w:val="75"/>
            </w:pPr>
            <w:r>
              <w:rPr>
                <w:rFonts w:hint="eastAsia"/>
              </w:rPr>
              <w:t>镀液槽过滤设备</w:t>
            </w:r>
          </w:p>
        </w:tc>
        <w:tc>
          <w:tcPr>
            <w:tcW w:w="829" w:type="pct"/>
            <w:tcMar>
              <w:left w:w="0" w:type="dxa"/>
              <w:right w:w="0" w:type="dxa"/>
            </w:tcMar>
            <w:vAlign w:val="center"/>
          </w:tcPr>
          <w:p w14:paraId="41D8C17F">
            <w:pPr>
              <w:pStyle w:val="75"/>
            </w:pPr>
            <w:r>
              <w:rPr>
                <w:rFonts w:hint="eastAsia"/>
              </w:rPr>
              <w:t>废滤芯和废活性炭</w:t>
            </w:r>
          </w:p>
        </w:tc>
        <w:tc>
          <w:tcPr>
            <w:tcW w:w="1583" w:type="pct"/>
            <w:gridSpan w:val="2"/>
            <w:vMerge w:val="continue"/>
            <w:tcMar>
              <w:left w:w="0" w:type="dxa"/>
              <w:right w:w="0" w:type="dxa"/>
            </w:tcMar>
            <w:vAlign w:val="center"/>
          </w:tcPr>
          <w:p w14:paraId="3383FA2E">
            <w:pPr>
              <w:pStyle w:val="75"/>
            </w:pPr>
          </w:p>
        </w:tc>
        <w:tc>
          <w:tcPr>
            <w:tcW w:w="1134" w:type="pct"/>
            <w:vMerge w:val="continue"/>
            <w:tcMar>
              <w:left w:w="0" w:type="dxa"/>
              <w:right w:w="0" w:type="dxa"/>
            </w:tcMar>
            <w:vAlign w:val="center"/>
          </w:tcPr>
          <w:p w14:paraId="692196C4">
            <w:pPr>
              <w:pStyle w:val="75"/>
            </w:pPr>
          </w:p>
        </w:tc>
      </w:tr>
      <w:tr w14:paraId="13401C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51F30431">
            <w:pPr>
              <w:pStyle w:val="75"/>
            </w:pPr>
          </w:p>
        </w:tc>
        <w:tc>
          <w:tcPr>
            <w:tcW w:w="1133" w:type="pct"/>
            <w:tcMar>
              <w:left w:w="0" w:type="dxa"/>
              <w:right w:w="0" w:type="dxa"/>
            </w:tcMar>
            <w:vAlign w:val="center"/>
          </w:tcPr>
          <w:p w14:paraId="72F4B7C5">
            <w:pPr>
              <w:pStyle w:val="75"/>
            </w:pPr>
            <w:r>
              <w:rPr>
                <w:rFonts w:hint="eastAsia"/>
              </w:rPr>
              <w:t>镀槽</w:t>
            </w:r>
          </w:p>
        </w:tc>
        <w:tc>
          <w:tcPr>
            <w:tcW w:w="829" w:type="pct"/>
            <w:tcMar>
              <w:left w:w="0" w:type="dxa"/>
              <w:right w:w="0" w:type="dxa"/>
            </w:tcMar>
            <w:vAlign w:val="center"/>
          </w:tcPr>
          <w:p w14:paraId="313AF6F4">
            <w:pPr>
              <w:pStyle w:val="75"/>
            </w:pPr>
            <w:r>
              <w:rPr>
                <w:rFonts w:hint="eastAsia"/>
              </w:rPr>
              <w:t>废槽渣</w:t>
            </w:r>
          </w:p>
        </w:tc>
        <w:tc>
          <w:tcPr>
            <w:tcW w:w="1583" w:type="pct"/>
            <w:gridSpan w:val="2"/>
            <w:vMerge w:val="continue"/>
            <w:tcMar>
              <w:left w:w="0" w:type="dxa"/>
              <w:right w:w="0" w:type="dxa"/>
            </w:tcMar>
            <w:vAlign w:val="center"/>
          </w:tcPr>
          <w:p w14:paraId="3E20C82E">
            <w:pPr>
              <w:pStyle w:val="75"/>
              <w:rPr>
                <w:spacing w:val="-8"/>
              </w:rPr>
            </w:pPr>
          </w:p>
        </w:tc>
        <w:tc>
          <w:tcPr>
            <w:tcW w:w="1134" w:type="pct"/>
            <w:vMerge w:val="continue"/>
            <w:tcMar>
              <w:left w:w="0" w:type="dxa"/>
              <w:right w:w="0" w:type="dxa"/>
            </w:tcMar>
            <w:vAlign w:val="center"/>
          </w:tcPr>
          <w:p w14:paraId="0AAC68E0">
            <w:pPr>
              <w:pStyle w:val="75"/>
            </w:pPr>
          </w:p>
        </w:tc>
      </w:tr>
      <w:tr w14:paraId="60200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1DA0FD32">
            <w:pPr>
              <w:pStyle w:val="75"/>
            </w:pPr>
          </w:p>
        </w:tc>
        <w:tc>
          <w:tcPr>
            <w:tcW w:w="1133" w:type="pct"/>
            <w:tcMar>
              <w:left w:w="0" w:type="dxa"/>
              <w:right w:w="0" w:type="dxa"/>
            </w:tcMar>
            <w:vAlign w:val="center"/>
          </w:tcPr>
          <w:p w14:paraId="441E1AA4">
            <w:pPr>
              <w:pStyle w:val="75"/>
            </w:pPr>
            <w:r>
              <w:t>气浮</w:t>
            </w:r>
            <w:r>
              <w:rPr>
                <w:rFonts w:hint="eastAsia"/>
              </w:rPr>
              <w:t>池</w:t>
            </w:r>
          </w:p>
        </w:tc>
        <w:tc>
          <w:tcPr>
            <w:tcW w:w="829" w:type="pct"/>
            <w:tcMar>
              <w:left w:w="0" w:type="dxa"/>
              <w:right w:w="0" w:type="dxa"/>
            </w:tcMar>
            <w:vAlign w:val="center"/>
          </w:tcPr>
          <w:p w14:paraId="51F0D740">
            <w:pPr>
              <w:pStyle w:val="75"/>
            </w:pPr>
            <w:r>
              <w:rPr>
                <w:rFonts w:hint="eastAsia"/>
              </w:rPr>
              <w:t>废油渣</w:t>
            </w:r>
          </w:p>
        </w:tc>
        <w:tc>
          <w:tcPr>
            <w:tcW w:w="1583" w:type="pct"/>
            <w:gridSpan w:val="2"/>
            <w:vMerge w:val="continue"/>
            <w:tcMar>
              <w:left w:w="0" w:type="dxa"/>
              <w:right w:w="0" w:type="dxa"/>
            </w:tcMar>
            <w:vAlign w:val="center"/>
          </w:tcPr>
          <w:p w14:paraId="1F7E8BA4">
            <w:pPr>
              <w:pStyle w:val="75"/>
              <w:rPr>
                <w:spacing w:val="-8"/>
              </w:rPr>
            </w:pPr>
          </w:p>
        </w:tc>
        <w:tc>
          <w:tcPr>
            <w:tcW w:w="1134" w:type="pct"/>
            <w:vMerge w:val="continue"/>
            <w:tcMar>
              <w:left w:w="0" w:type="dxa"/>
              <w:right w:w="0" w:type="dxa"/>
            </w:tcMar>
            <w:vAlign w:val="center"/>
          </w:tcPr>
          <w:p w14:paraId="54BFE0CD">
            <w:pPr>
              <w:pStyle w:val="75"/>
            </w:pPr>
          </w:p>
        </w:tc>
      </w:tr>
      <w:tr w14:paraId="6DA5E4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48430ED5">
            <w:pPr>
              <w:pStyle w:val="75"/>
            </w:pPr>
          </w:p>
        </w:tc>
        <w:tc>
          <w:tcPr>
            <w:tcW w:w="1133" w:type="pct"/>
            <w:vMerge w:val="restart"/>
            <w:tcMar>
              <w:left w:w="0" w:type="dxa"/>
              <w:right w:w="0" w:type="dxa"/>
            </w:tcMar>
            <w:vAlign w:val="center"/>
          </w:tcPr>
          <w:p w14:paraId="4F9CE243">
            <w:pPr>
              <w:pStyle w:val="75"/>
            </w:pPr>
            <w:r>
              <w:t>含</w:t>
            </w:r>
            <w:r>
              <w:rPr>
                <w:rFonts w:hint="eastAsia"/>
              </w:rPr>
              <w:t>镍</w:t>
            </w:r>
            <w:r>
              <w:t>废水处理设施</w:t>
            </w:r>
          </w:p>
        </w:tc>
        <w:tc>
          <w:tcPr>
            <w:tcW w:w="829" w:type="pct"/>
            <w:tcMar>
              <w:left w:w="0" w:type="dxa"/>
              <w:right w:w="0" w:type="dxa"/>
            </w:tcMar>
            <w:vAlign w:val="center"/>
          </w:tcPr>
          <w:p w14:paraId="50A0F8DC">
            <w:pPr>
              <w:pStyle w:val="75"/>
            </w:pPr>
            <w:r>
              <w:rPr>
                <w:rFonts w:hint="eastAsia"/>
              </w:rPr>
              <w:t>含镍污泥</w:t>
            </w:r>
          </w:p>
        </w:tc>
        <w:tc>
          <w:tcPr>
            <w:tcW w:w="1583" w:type="pct"/>
            <w:gridSpan w:val="2"/>
            <w:vMerge w:val="continue"/>
            <w:tcMar>
              <w:left w:w="0" w:type="dxa"/>
              <w:right w:w="0" w:type="dxa"/>
            </w:tcMar>
            <w:vAlign w:val="center"/>
          </w:tcPr>
          <w:p w14:paraId="4A77E591">
            <w:pPr>
              <w:pStyle w:val="75"/>
            </w:pPr>
          </w:p>
        </w:tc>
        <w:tc>
          <w:tcPr>
            <w:tcW w:w="1134" w:type="pct"/>
            <w:vMerge w:val="continue"/>
            <w:tcMar>
              <w:left w:w="0" w:type="dxa"/>
              <w:right w:w="0" w:type="dxa"/>
            </w:tcMar>
            <w:vAlign w:val="center"/>
          </w:tcPr>
          <w:p w14:paraId="74AEB6C0">
            <w:pPr>
              <w:pStyle w:val="75"/>
            </w:pPr>
          </w:p>
        </w:tc>
      </w:tr>
      <w:tr w14:paraId="4D3125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102C9922">
            <w:pPr>
              <w:pStyle w:val="75"/>
            </w:pPr>
          </w:p>
        </w:tc>
        <w:tc>
          <w:tcPr>
            <w:tcW w:w="1133" w:type="pct"/>
            <w:vMerge w:val="continue"/>
            <w:tcMar>
              <w:left w:w="0" w:type="dxa"/>
              <w:right w:w="0" w:type="dxa"/>
            </w:tcMar>
            <w:vAlign w:val="center"/>
          </w:tcPr>
          <w:p w14:paraId="19FB5F2E">
            <w:pPr>
              <w:pStyle w:val="75"/>
            </w:pPr>
          </w:p>
        </w:tc>
        <w:tc>
          <w:tcPr>
            <w:tcW w:w="829" w:type="pct"/>
            <w:tcMar>
              <w:left w:w="0" w:type="dxa"/>
              <w:right w:w="0" w:type="dxa"/>
            </w:tcMar>
            <w:vAlign w:val="center"/>
          </w:tcPr>
          <w:p w14:paraId="5B7F3988">
            <w:pPr>
              <w:pStyle w:val="75"/>
            </w:pPr>
            <w:r>
              <w:rPr>
                <w:rFonts w:hint="eastAsia"/>
              </w:rPr>
              <w:t>含镍</w:t>
            </w:r>
            <w:r>
              <w:t>废</w:t>
            </w:r>
            <w:r>
              <w:rPr>
                <w:rFonts w:hint="eastAsia"/>
              </w:rPr>
              <w:t>过滤膜</w:t>
            </w:r>
          </w:p>
        </w:tc>
        <w:tc>
          <w:tcPr>
            <w:tcW w:w="1583" w:type="pct"/>
            <w:gridSpan w:val="2"/>
            <w:vMerge w:val="continue"/>
            <w:tcMar>
              <w:left w:w="0" w:type="dxa"/>
              <w:right w:w="0" w:type="dxa"/>
            </w:tcMar>
            <w:vAlign w:val="center"/>
          </w:tcPr>
          <w:p w14:paraId="3ACEFDBC">
            <w:pPr>
              <w:pStyle w:val="75"/>
            </w:pPr>
          </w:p>
        </w:tc>
        <w:tc>
          <w:tcPr>
            <w:tcW w:w="1134" w:type="pct"/>
            <w:vMerge w:val="continue"/>
            <w:tcMar>
              <w:left w:w="0" w:type="dxa"/>
              <w:right w:w="0" w:type="dxa"/>
            </w:tcMar>
            <w:vAlign w:val="center"/>
          </w:tcPr>
          <w:p w14:paraId="31E8DB48">
            <w:pPr>
              <w:pStyle w:val="75"/>
            </w:pPr>
          </w:p>
        </w:tc>
      </w:tr>
      <w:tr w14:paraId="506FA7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17E8953">
            <w:pPr>
              <w:pStyle w:val="75"/>
            </w:pPr>
          </w:p>
        </w:tc>
        <w:tc>
          <w:tcPr>
            <w:tcW w:w="1133" w:type="pct"/>
            <w:vMerge w:val="continue"/>
            <w:tcMar>
              <w:left w:w="0" w:type="dxa"/>
              <w:right w:w="0" w:type="dxa"/>
            </w:tcMar>
            <w:vAlign w:val="center"/>
          </w:tcPr>
          <w:p w14:paraId="1E67398E">
            <w:pPr>
              <w:pStyle w:val="75"/>
            </w:pPr>
          </w:p>
        </w:tc>
        <w:tc>
          <w:tcPr>
            <w:tcW w:w="829" w:type="pct"/>
            <w:tcMar>
              <w:left w:w="0" w:type="dxa"/>
              <w:right w:w="0" w:type="dxa"/>
            </w:tcMar>
            <w:vAlign w:val="center"/>
          </w:tcPr>
          <w:p w14:paraId="7917AE8F">
            <w:pPr>
              <w:pStyle w:val="75"/>
            </w:pPr>
            <w:r>
              <w:rPr>
                <w:rFonts w:hint="eastAsia"/>
              </w:rPr>
              <w:t>含镍废活性炭</w:t>
            </w:r>
          </w:p>
        </w:tc>
        <w:tc>
          <w:tcPr>
            <w:tcW w:w="1583" w:type="pct"/>
            <w:gridSpan w:val="2"/>
            <w:vMerge w:val="continue"/>
            <w:tcMar>
              <w:left w:w="0" w:type="dxa"/>
              <w:right w:w="0" w:type="dxa"/>
            </w:tcMar>
            <w:vAlign w:val="center"/>
          </w:tcPr>
          <w:p w14:paraId="1C90AA13">
            <w:pPr>
              <w:pStyle w:val="75"/>
            </w:pPr>
          </w:p>
        </w:tc>
        <w:tc>
          <w:tcPr>
            <w:tcW w:w="1134" w:type="pct"/>
            <w:vMerge w:val="continue"/>
            <w:tcMar>
              <w:left w:w="0" w:type="dxa"/>
              <w:right w:w="0" w:type="dxa"/>
            </w:tcMar>
            <w:vAlign w:val="center"/>
          </w:tcPr>
          <w:p w14:paraId="74D953C5">
            <w:pPr>
              <w:pStyle w:val="75"/>
            </w:pPr>
          </w:p>
        </w:tc>
      </w:tr>
      <w:tr w14:paraId="59AA54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vMerge w:val="continue"/>
            <w:tcMar>
              <w:left w:w="0" w:type="dxa"/>
              <w:right w:w="0" w:type="dxa"/>
            </w:tcMar>
            <w:vAlign w:val="center"/>
          </w:tcPr>
          <w:p w14:paraId="17265963">
            <w:pPr>
              <w:pStyle w:val="75"/>
            </w:pPr>
          </w:p>
        </w:tc>
        <w:tc>
          <w:tcPr>
            <w:tcW w:w="1133" w:type="pct"/>
            <w:vMerge w:val="restart"/>
            <w:tcMar>
              <w:left w:w="0" w:type="dxa"/>
              <w:right w:w="0" w:type="dxa"/>
            </w:tcMar>
            <w:vAlign w:val="center"/>
          </w:tcPr>
          <w:p w14:paraId="353FE57C">
            <w:pPr>
              <w:pStyle w:val="75"/>
            </w:pPr>
            <w:r>
              <w:t>含</w:t>
            </w:r>
            <w:r>
              <w:rPr>
                <w:rFonts w:hint="eastAsia"/>
              </w:rPr>
              <w:t>铬</w:t>
            </w:r>
            <w:r>
              <w:t>废水处理设施</w:t>
            </w:r>
          </w:p>
        </w:tc>
        <w:tc>
          <w:tcPr>
            <w:tcW w:w="829" w:type="pct"/>
            <w:tcMar>
              <w:left w:w="0" w:type="dxa"/>
              <w:right w:w="0" w:type="dxa"/>
            </w:tcMar>
            <w:vAlign w:val="center"/>
          </w:tcPr>
          <w:p w14:paraId="6F539A90">
            <w:pPr>
              <w:pStyle w:val="75"/>
            </w:pPr>
            <w:r>
              <w:rPr>
                <w:rFonts w:hint="eastAsia"/>
              </w:rPr>
              <w:t>含铬污泥</w:t>
            </w:r>
          </w:p>
        </w:tc>
        <w:tc>
          <w:tcPr>
            <w:tcW w:w="1583" w:type="pct"/>
            <w:gridSpan w:val="2"/>
            <w:vMerge w:val="continue"/>
            <w:tcMar>
              <w:left w:w="0" w:type="dxa"/>
              <w:right w:w="0" w:type="dxa"/>
            </w:tcMar>
            <w:vAlign w:val="center"/>
          </w:tcPr>
          <w:p w14:paraId="755D8251">
            <w:pPr>
              <w:pStyle w:val="75"/>
            </w:pPr>
          </w:p>
        </w:tc>
        <w:tc>
          <w:tcPr>
            <w:tcW w:w="1134" w:type="pct"/>
            <w:vMerge w:val="continue"/>
            <w:tcMar>
              <w:left w:w="0" w:type="dxa"/>
              <w:right w:w="0" w:type="dxa"/>
            </w:tcMar>
            <w:vAlign w:val="center"/>
          </w:tcPr>
          <w:p w14:paraId="1F5D4EF2">
            <w:pPr>
              <w:pStyle w:val="75"/>
            </w:pPr>
          </w:p>
        </w:tc>
      </w:tr>
      <w:tr w14:paraId="5C5E36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67BBA95">
            <w:pPr>
              <w:pStyle w:val="75"/>
            </w:pPr>
          </w:p>
        </w:tc>
        <w:tc>
          <w:tcPr>
            <w:tcW w:w="1133" w:type="pct"/>
            <w:vMerge w:val="continue"/>
            <w:tcMar>
              <w:left w:w="0" w:type="dxa"/>
              <w:right w:w="0" w:type="dxa"/>
            </w:tcMar>
            <w:vAlign w:val="center"/>
          </w:tcPr>
          <w:p w14:paraId="03B1D9E6">
            <w:pPr>
              <w:pStyle w:val="75"/>
            </w:pPr>
          </w:p>
        </w:tc>
        <w:tc>
          <w:tcPr>
            <w:tcW w:w="829" w:type="pct"/>
            <w:tcMar>
              <w:left w:w="0" w:type="dxa"/>
              <w:right w:w="0" w:type="dxa"/>
            </w:tcMar>
            <w:vAlign w:val="center"/>
          </w:tcPr>
          <w:p w14:paraId="5900F218">
            <w:pPr>
              <w:pStyle w:val="75"/>
            </w:pPr>
            <w:r>
              <w:rPr>
                <w:rFonts w:hint="eastAsia"/>
              </w:rPr>
              <w:t>含铬</w:t>
            </w:r>
            <w:r>
              <w:t>废</w:t>
            </w:r>
            <w:r>
              <w:rPr>
                <w:rFonts w:hint="eastAsia"/>
              </w:rPr>
              <w:t>过滤膜</w:t>
            </w:r>
          </w:p>
        </w:tc>
        <w:tc>
          <w:tcPr>
            <w:tcW w:w="1583" w:type="pct"/>
            <w:gridSpan w:val="2"/>
            <w:vMerge w:val="continue"/>
            <w:tcMar>
              <w:left w:w="0" w:type="dxa"/>
              <w:right w:w="0" w:type="dxa"/>
            </w:tcMar>
            <w:vAlign w:val="center"/>
          </w:tcPr>
          <w:p w14:paraId="14545CA3">
            <w:pPr>
              <w:pStyle w:val="75"/>
            </w:pPr>
          </w:p>
        </w:tc>
        <w:tc>
          <w:tcPr>
            <w:tcW w:w="1134" w:type="pct"/>
            <w:vMerge w:val="continue"/>
            <w:tcMar>
              <w:left w:w="0" w:type="dxa"/>
              <w:right w:w="0" w:type="dxa"/>
            </w:tcMar>
            <w:vAlign w:val="center"/>
          </w:tcPr>
          <w:p w14:paraId="03728B7F">
            <w:pPr>
              <w:pStyle w:val="75"/>
            </w:pPr>
          </w:p>
        </w:tc>
      </w:tr>
      <w:tr w14:paraId="6A8BF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254C1299">
            <w:pPr>
              <w:pStyle w:val="75"/>
            </w:pPr>
          </w:p>
        </w:tc>
        <w:tc>
          <w:tcPr>
            <w:tcW w:w="1133" w:type="pct"/>
            <w:vMerge w:val="continue"/>
            <w:tcMar>
              <w:left w:w="0" w:type="dxa"/>
              <w:right w:w="0" w:type="dxa"/>
            </w:tcMar>
            <w:vAlign w:val="center"/>
          </w:tcPr>
          <w:p w14:paraId="72723FCF">
            <w:pPr>
              <w:pStyle w:val="75"/>
            </w:pPr>
          </w:p>
        </w:tc>
        <w:tc>
          <w:tcPr>
            <w:tcW w:w="829" w:type="pct"/>
            <w:tcMar>
              <w:left w:w="0" w:type="dxa"/>
              <w:right w:w="0" w:type="dxa"/>
            </w:tcMar>
            <w:vAlign w:val="center"/>
          </w:tcPr>
          <w:p w14:paraId="2406EC4D">
            <w:pPr>
              <w:pStyle w:val="75"/>
            </w:pPr>
            <w:r>
              <w:rPr>
                <w:rFonts w:hint="eastAsia"/>
              </w:rPr>
              <w:t>含铬废活性炭</w:t>
            </w:r>
          </w:p>
        </w:tc>
        <w:tc>
          <w:tcPr>
            <w:tcW w:w="1583" w:type="pct"/>
            <w:gridSpan w:val="2"/>
            <w:vMerge w:val="continue"/>
            <w:tcMar>
              <w:left w:w="0" w:type="dxa"/>
              <w:right w:w="0" w:type="dxa"/>
            </w:tcMar>
            <w:vAlign w:val="center"/>
          </w:tcPr>
          <w:p w14:paraId="38A40271">
            <w:pPr>
              <w:pStyle w:val="75"/>
            </w:pPr>
          </w:p>
        </w:tc>
        <w:tc>
          <w:tcPr>
            <w:tcW w:w="1134" w:type="pct"/>
            <w:vMerge w:val="continue"/>
            <w:tcMar>
              <w:left w:w="0" w:type="dxa"/>
              <w:right w:w="0" w:type="dxa"/>
            </w:tcMar>
            <w:vAlign w:val="center"/>
          </w:tcPr>
          <w:p w14:paraId="06FE72EF">
            <w:pPr>
              <w:pStyle w:val="75"/>
            </w:pPr>
          </w:p>
        </w:tc>
      </w:tr>
      <w:tr w14:paraId="5979D1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0DA4A944">
            <w:pPr>
              <w:pStyle w:val="75"/>
            </w:pPr>
          </w:p>
        </w:tc>
        <w:tc>
          <w:tcPr>
            <w:tcW w:w="1133" w:type="pct"/>
            <w:tcMar>
              <w:left w:w="0" w:type="dxa"/>
              <w:right w:w="0" w:type="dxa"/>
            </w:tcMar>
            <w:vAlign w:val="center"/>
          </w:tcPr>
          <w:p w14:paraId="00FE4F1A">
            <w:pPr>
              <w:pStyle w:val="75"/>
            </w:pPr>
            <w:r>
              <w:rPr>
                <w:rFonts w:hint="eastAsia"/>
              </w:rPr>
              <w:t>蒸发器</w:t>
            </w:r>
          </w:p>
        </w:tc>
        <w:tc>
          <w:tcPr>
            <w:tcW w:w="829" w:type="pct"/>
            <w:tcMar>
              <w:left w:w="0" w:type="dxa"/>
              <w:right w:w="0" w:type="dxa"/>
            </w:tcMar>
            <w:vAlign w:val="center"/>
          </w:tcPr>
          <w:p w14:paraId="372D512B">
            <w:pPr>
              <w:pStyle w:val="75"/>
            </w:pPr>
            <w:r>
              <w:rPr>
                <w:rFonts w:hint="eastAsia"/>
              </w:rPr>
              <w:t>蒸发浓液</w:t>
            </w:r>
          </w:p>
        </w:tc>
        <w:tc>
          <w:tcPr>
            <w:tcW w:w="1583" w:type="pct"/>
            <w:gridSpan w:val="2"/>
            <w:vMerge w:val="continue"/>
            <w:tcMar>
              <w:left w:w="0" w:type="dxa"/>
              <w:right w:w="0" w:type="dxa"/>
            </w:tcMar>
            <w:vAlign w:val="center"/>
          </w:tcPr>
          <w:p w14:paraId="608FA55A">
            <w:pPr>
              <w:pStyle w:val="75"/>
            </w:pPr>
          </w:p>
        </w:tc>
        <w:tc>
          <w:tcPr>
            <w:tcW w:w="1134" w:type="pct"/>
            <w:vMerge w:val="continue"/>
            <w:tcMar>
              <w:left w:w="0" w:type="dxa"/>
              <w:right w:w="0" w:type="dxa"/>
            </w:tcMar>
            <w:vAlign w:val="center"/>
          </w:tcPr>
          <w:p w14:paraId="01C764FC">
            <w:pPr>
              <w:pStyle w:val="75"/>
            </w:pPr>
          </w:p>
        </w:tc>
      </w:tr>
      <w:tr w14:paraId="578CF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37F336FB">
            <w:pPr>
              <w:pStyle w:val="75"/>
            </w:pPr>
          </w:p>
        </w:tc>
        <w:tc>
          <w:tcPr>
            <w:tcW w:w="1133" w:type="pct"/>
            <w:vMerge w:val="restart"/>
            <w:tcMar>
              <w:left w:w="0" w:type="dxa"/>
              <w:right w:w="0" w:type="dxa"/>
            </w:tcMar>
            <w:vAlign w:val="center"/>
          </w:tcPr>
          <w:p w14:paraId="0890FFBF">
            <w:pPr>
              <w:pStyle w:val="75"/>
            </w:pPr>
            <w:r>
              <w:rPr>
                <w:rFonts w:hint="eastAsia"/>
              </w:rPr>
              <w:t>冲压</w:t>
            </w:r>
          </w:p>
        </w:tc>
        <w:tc>
          <w:tcPr>
            <w:tcW w:w="829" w:type="pct"/>
            <w:tcMar>
              <w:left w:w="0" w:type="dxa"/>
              <w:right w:w="0" w:type="dxa"/>
            </w:tcMar>
            <w:vAlign w:val="center"/>
          </w:tcPr>
          <w:p w14:paraId="3DAFFD95">
            <w:pPr>
              <w:pStyle w:val="75"/>
            </w:pPr>
            <w:r>
              <w:rPr>
                <w:rFonts w:hint="eastAsia"/>
              </w:rPr>
              <w:t>废液压油</w:t>
            </w:r>
          </w:p>
        </w:tc>
        <w:tc>
          <w:tcPr>
            <w:tcW w:w="1583" w:type="pct"/>
            <w:gridSpan w:val="2"/>
            <w:vMerge w:val="continue"/>
            <w:tcMar>
              <w:left w:w="0" w:type="dxa"/>
              <w:right w:w="0" w:type="dxa"/>
            </w:tcMar>
            <w:vAlign w:val="center"/>
          </w:tcPr>
          <w:p w14:paraId="23A003A3">
            <w:pPr>
              <w:pStyle w:val="75"/>
            </w:pPr>
          </w:p>
        </w:tc>
        <w:tc>
          <w:tcPr>
            <w:tcW w:w="1134" w:type="pct"/>
            <w:vMerge w:val="continue"/>
            <w:tcMar>
              <w:left w:w="0" w:type="dxa"/>
              <w:right w:w="0" w:type="dxa"/>
            </w:tcMar>
            <w:vAlign w:val="center"/>
          </w:tcPr>
          <w:p w14:paraId="4CB85B22">
            <w:pPr>
              <w:pStyle w:val="75"/>
            </w:pPr>
          </w:p>
        </w:tc>
      </w:tr>
      <w:tr w14:paraId="736F0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6C10B91C">
            <w:pPr>
              <w:pStyle w:val="75"/>
            </w:pPr>
          </w:p>
        </w:tc>
        <w:tc>
          <w:tcPr>
            <w:tcW w:w="1133" w:type="pct"/>
            <w:vMerge w:val="continue"/>
            <w:tcMar>
              <w:left w:w="0" w:type="dxa"/>
              <w:right w:w="0" w:type="dxa"/>
            </w:tcMar>
            <w:vAlign w:val="center"/>
          </w:tcPr>
          <w:p w14:paraId="589A6AF8">
            <w:pPr>
              <w:pStyle w:val="75"/>
            </w:pPr>
          </w:p>
        </w:tc>
        <w:tc>
          <w:tcPr>
            <w:tcW w:w="829" w:type="pct"/>
            <w:tcMar>
              <w:left w:w="0" w:type="dxa"/>
              <w:right w:w="0" w:type="dxa"/>
            </w:tcMar>
            <w:vAlign w:val="center"/>
          </w:tcPr>
          <w:p w14:paraId="3706996A">
            <w:pPr>
              <w:pStyle w:val="75"/>
            </w:pPr>
            <w:r>
              <w:rPr>
                <w:rFonts w:hint="eastAsia"/>
              </w:rPr>
              <w:t>废边角料</w:t>
            </w:r>
          </w:p>
        </w:tc>
        <w:tc>
          <w:tcPr>
            <w:tcW w:w="1583" w:type="pct"/>
            <w:gridSpan w:val="2"/>
            <w:tcMar>
              <w:left w:w="0" w:type="dxa"/>
              <w:right w:w="0" w:type="dxa"/>
            </w:tcMar>
            <w:vAlign w:val="center"/>
          </w:tcPr>
          <w:p w14:paraId="133851E0">
            <w:pPr>
              <w:pStyle w:val="75"/>
            </w:pPr>
            <w:r>
              <w:rPr>
                <w:rFonts w:hint="eastAsia"/>
              </w:rPr>
              <w:t>外售</w:t>
            </w:r>
          </w:p>
        </w:tc>
        <w:tc>
          <w:tcPr>
            <w:tcW w:w="1134" w:type="pct"/>
            <w:vMerge w:val="restart"/>
            <w:tcMar>
              <w:left w:w="0" w:type="dxa"/>
              <w:right w:w="0" w:type="dxa"/>
            </w:tcMar>
            <w:vAlign w:val="center"/>
          </w:tcPr>
          <w:p w14:paraId="72A9B419">
            <w:pPr>
              <w:pStyle w:val="75"/>
            </w:pPr>
            <w:r>
              <w:rPr>
                <w:rFonts w:hint="eastAsia"/>
              </w:rPr>
              <w:t>《一般工业固体废物贮存和填埋污染控制标准》（GB18599-2020）防渗漏、防雨淋、防扬尘</w:t>
            </w:r>
          </w:p>
        </w:tc>
      </w:tr>
      <w:tr w14:paraId="57461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7E36D8E9">
            <w:pPr>
              <w:pStyle w:val="75"/>
            </w:pPr>
          </w:p>
        </w:tc>
        <w:tc>
          <w:tcPr>
            <w:tcW w:w="1133" w:type="pct"/>
            <w:tcMar>
              <w:left w:w="0" w:type="dxa"/>
              <w:right w:w="0" w:type="dxa"/>
            </w:tcMar>
            <w:vAlign w:val="center"/>
          </w:tcPr>
          <w:p w14:paraId="192C57C3">
            <w:pPr>
              <w:pStyle w:val="75"/>
            </w:pPr>
            <w:r>
              <w:rPr>
                <w:rFonts w:hint="eastAsia"/>
              </w:rPr>
              <w:t>检验</w:t>
            </w:r>
          </w:p>
        </w:tc>
        <w:tc>
          <w:tcPr>
            <w:tcW w:w="829" w:type="pct"/>
            <w:tcMar>
              <w:left w:w="0" w:type="dxa"/>
              <w:right w:w="0" w:type="dxa"/>
            </w:tcMar>
            <w:vAlign w:val="center"/>
          </w:tcPr>
          <w:p w14:paraId="552F83B8">
            <w:pPr>
              <w:pStyle w:val="75"/>
            </w:pPr>
            <w:r>
              <w:rPr>
                <w:rFonts w:hint="eastAsia"/>
              </w:rPr>
              <w:t>不合格残次品</w:t>
            </w:r>
          </w:p>
        </w:tc>
        <w:tc>
          <w:tcPr>
            <w:tcW w:w="1583" w:type="pct"/>
            <w:gridSpan w:val="2"/>
            <w:tcMar>
              <w:left w:w="0" w:type="dxa"/>
              <w:right w:w="0" w:type="dxa"/>
            </w:tcMar>
            <w:vAlign w:val="center"/>
          </w:tcPr>
          <w:p w14:paraId="1ADD064F">
            <w:pPr>
              <w:pStyle w:val="75"/>
            </w:pPr>
            <w:r>
              <w:rPr>
                <w:rFonts w:hint="eastAsia"/>
              </w:rPr>
              <w:t>外售</w:t>
            </w:r>
          </w:p>
        </w:tc>
        <w:tc>
          <w:tcPr>
            <w:tcW w:w="1134" w:type="pct"/>
            <w:vMerge w:val="continue"/>
            <w:tcMar>
              <w:left w:w="0" w:type="dxa"/>
              <w:right w:w="0" w:type="dxa"/>
            </w:tcMar>
            <w:vAlign w:val="center"/>
          </w:tcPr>
          <w:p w14:paraId="2C47BDB9">
            <w:pPr>
              <w:pStyle w:val="75"/>
            </w:pPr>
          </w:p>
        </w:tc>
      </w:tr>
      <w:tr w14:paraId="2FB20E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5474D346">
            <w:pPr>
              <w:pStyle w:val="75"/>
            </w:pPr>
          </w:p>
        </w:tc>
        <w:tc>
          <w:tcPr>
            <w:tcW w:w="1133" w:type="pct"/>
            <w:tcMar>
              <w:left w:w="0" w:type="dxa"/>
              <w:right w:w="0" w:type="dxa"/>
            </w:tcMar>
            <w:vAlign w:val="center"/>
          </w:tcPr>
          <w:p w14:paraId="20DA0E9B">
            <w:pPr>
              <w:pStyle w:val="75"/>
            </w:pPr>
            <w:r>
              <w:rPr>
                <w:rFonts w:hint="eastAsia"/>
              </w:rPr>
              <w:t>综合污水处理系统</w:t>
            </w:r>
          </w:p>
        </w:tc>
        <w:tc>
          <w:tcPr>
            <w:tcW w:w="829" w:type="pct"/>
            <w:tcMar>
              <w:left w:w="0" w:type="dxa"/>
              <w:right w:w="0" w:type="dxa"/>
            </w:tcMar>
            <w:vAlign w:val="center"/>
          </w:tcPr>
          <w:p w14:paraId="686F128B">
            <w:pPr>
              <w:pStyle w:val="75"/>
            </w:pPr>
            <w:r>
              <w:rPr>
                <w:rFonts w:hint="eastAsia"/>
              </w:rPr>
              <w:t>污泥</w:t>
            </w:r>
          </w:p>
        </w:tc>
        <w:tc>
          <w:tcPr>
            <w:tcW w:w="1583" w:type="pct"/>
            <w:gridSpan w:val="2"/>
            <w:tcMar>
              <w:left w:w="0" w:type="dxa"/>
              <w:right w:w="0" w:type="dxa"/>
            </w:tcMar>
            <w:vAlign w:val="center"/>
          </w:tcPr>
          <w:p w14:paraId="08274E38">
            <w:pPr>
              <w:pStyle w:val="75"/>
            </w:pPr>
            <w:r>
              <w:rPr>
                <w:rFonts w:hint="eastAsia"/>
              </w:rPr>
              <w:t>外售</w:t>
            </w:r>
          </w:p>
        </w:tc>
        <w:tc>
          <w:tcPr>
            <w:tcW w:w="1134" w:type="pct"/>
            <w:vMerge w:val="continue"/>
            <w:tcMar>
              <w:left w:w="0" w:type="dxa"/>
              <w:right w:w="0" w:type="dxa"/>
            </w:tcMar>
            <w:vAlign w:val="center"/>
          </w:tcPr>
          <w:p w14:paraId="66F06726">
            <w:pPr>
              <w:pStyle w:val="75"/>
            </w:pPr>
          </w:p>
        </w:tc>
      </w:tr>
      <w:tr w14:paraId="493525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05458BC3">
            <w:pPr>
              <w:pStyle w:val="75"/>
            </w:pPr>
          </w:p>
        </w:tc>
        <w:tc>
          <w:tcPr>
            <w:tcW w:w="1133" w:type="pct"/>
            <w:tcMar>
              <w:left w:w="0" w:type="dxa"/>
              <w:right w:w="0" w:type="dxa"/>
            </w:tcMar>
            <w:vAlign w:val="center"/>
          </w:tcPr>
          <w:p w14:paraId="580F6B04">
            <w:pPr>
              <w:pStyle w:val="75"/>
            </w:pPr>
            <w:r>
              <w:rPr>
                <w:rFonts w:hint="eastAsia"/>
              </w:rPr>
              <w:t>纯水制备设备</w:t>
            </w:r>
          </w:p>
        </w:tc>
        <w:tc>
          <w:tcPr>
            <w:tcW w:w="829" w:type="pct"/>
            <w:tcMar>
              <w:left w:w="0" w:type="dxa"/>
              <w:right w:w="0" w:type="dxa"/>
            </w:tcMar>
            <w:vAlign w:val="center"/>
          </w:tcPr>
          <w:p w14:paraId="6289549D">
            <w:pPr>
              <w:pStyle w:val="75"/>
            </w:pPr>
            <w:r>
              <w:rPr>
                <w:rFonts w:hint="eastAsia"/>
              </w:rPr>
              <w:t>废反渗透膜</w:t>
            </w:r>
          </w:p>
        </w:tc>
        <w:tc>
          <w:tcPr>
            <w:tcW w:w="1583" w:type="pct"/>
            <w:gridSpan w:val="2"/>
            <w:tcMar>
              <w:left w:w="0" w:type="dxa"/>
              <w:right w:w="0" w:type="dxa"/>
            </w:tcMar>
            <w:vAlign w:val="center"/>
          </w:tcPr>
          <w:p w14:paraId="497FF4E9">
            <w:pPr>
              <w:pStyle w:val="75"/>
              <w:rPr>
                <w:bCs/>
              </w:rPr>
            </w:pPr>
            <w:r>
              <w:rPr>
                <w:rFonts w:hint="eastAsia"/>
                <w:bCs/>
              </w:rPr>
              <w:t>厂家回收</w:t>
            </w:r>
          </w:p>
        </w:tc>
        <w:tc>
          <w:tcPr>
            <w:tcW w:w="1134" w:type="pct"/>
            <w:vMerge w:val="continue"/>
            <w:tcMar>
              <w:left w:w="0" w:type="dxa"/>
              <w:right w:w="0" w:type="dxa"/>
            </w:tcMar>
            <w:vAlign w:val="center"/>
          </w:tcPr>
          <w:p w14:paraId="4CE35B5F">
            <w:pPr>
              <w:pStyle w:val="75"/>
            </w:pPr>
          </w:p>
        </w:tc>
      </w:tr>
      <w:tr w14:paraId="201ECE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318" w:type="pct"/>
            <w:tcMar>
              <w:left w:w="0" w:type="dxa"/>
              <w:right w:w="0" w:type="dxa"/>
            </w:tcMar>
            <w:vAlign w:val="center"/>
          </w:tcPr>
          <w:p w14:paraId="16E6BF5F">
            <w:pPr>
              <w:pStyle w:val="75"/>
            </w:pPr>
            <w:r>
              <w:t>噪声</w:t>
            </w:r>
          </w:p>
        </w:tc>
        <w:tc>
          <w:tcPr>
            <w:tcW w:w="1133" w:type="pct"/>
            <w:tcMar>
              <w:left w:w="0" w:type="dxa"/>
              <w:right w:w="0" w:type="dxa"/>
            </w:tcMar>
            <w:vAlign w:val="center"/>
          </w:tcPr>
          <w:p w14:paraId="2D48528A">
            <w:pPr>
              <w:pStyle w:val="75"/>
            </w:pPr>
            <w:r>
              <w:t>冲床</w:t>
            </w:r>
            <w:r>
              <w:rPr>
                <w:rFonts w:hint="eastAsia"/>
              </w:rPr>
              <w:t>、包装机、风机</w:t>
            </w:r>
            <w:r>
              <w:t>等</w:t>
            </w:r>
          </w:p>
        </w:tc>
        <w:tc>
          <w:tcPr>
            <w:tcW w:w="829" w:type="pct"/>
            <w:tcMar>
              <w:left w:w="0" w:type="dxa"/>
              <w:right w:w="0" w:type="dxa"/>
            </w:tcMar>
            <w:vAlign w:val="center"/>
          </w:tcPr>
          <w:p w14:paraId="4A93465C">
            <w:pPr>
              <w:pStyle w:val="75"/>
            </w:pPr>
            <w:r>
              <w:t>机械噪声</w:t>
            </w:r>
          </w:p>
        </w:tc>
        <w:tc>
          <w:tcPr>
            <w:tcW w:w="1583" w:type="pct"/>
            <w:gridSpan w:val="2"/>
            <w:tcMar>
              <w:left w:w="0" w:type="dxa"/>
              <w:right w:w="0" w:type="dxa"/>
            </w:tcMar>
            <w:vAlign w:val="center"/>
          </w:tcPr>
          <w:p w14:paraId="0EFF032D">
            <w:pPr>
              <w:pStyle w:val="75"/>
            </w:pPr>
            <w:r>
              <w:t>基础减振、厂房隔声</w:t>
            </w:r>
          </w:p>
        </w:tc>
        <w:tc>
          <w:tcPr>
            <w:tcW w:w="1134" w:type="pct"/>
            <w:tcMar>
              <w:left w:w="0" w:type="dxa"/>
              <w:right w:w="0" w:type="dxa"/>
            </w:tcMar>
            <w:vAlign w:val="center"/>
          </w:tcPr>
          <w:p w14:paraId="6829A153">
            <w:pPr>
              <w:pStyle w:val="75"/>
            </w:pPr>
            <w:r>
              <w:t>《工业企业厂界环境噪声排放标准》</w:t>
            </w:r>
            <w:r>
              <w:rPr>
                <w:rFonts w:hint="eastAsia"/>
              </w:rPr>
              <w:t>（</w:t>
            </w:r>
            <w:r>
              <w:t>GB12348-2008</w:t>
            </w:r>
            <w:r>
              <w:rPr>
                <w:rFonts w:hint="eastAsia"/>
              </w:rPr>
              <w:t>）3类：昼间65dB(A)、夜间55dB(A)</w:t>
            </w:r>
          </w:p>
        </w:tc>
      </w:tr>
      <w:tr w14:paraId="59540A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tcMar>
              <w:left w:w="0" w:type="dxa"/>
              <w:right w:w="0" w:type="dxa"/>
            </w:tcMar>
            <w:vAlign w:val="center"/>
          </w:tcPr>
          <w:p w14:paraId="58D303CA">
            <w:pPr>
              <w:pStyle w:val="75"/>
            </w:pPr>
            <w:r>
              <w:t>风险</w:t>
            </w:r>
          </w:p>
        </w:tc>
        <w:tc>
          <w:tcPr>
            <w:tcW w:w="3546" w:type="pct"/>
            <w:gridSpan w:val="4"/>
            <w:tcMar>
              <w:left w:w="0" w:type="dxa"/>
              <w:right w:w="0" w:type="dxa"/>
            </w:tcMar>
            <w:vAlign w:val="center"/>
          </w:tcPr>
          <w:p w14:paraId="32453207">
            <w:pPr>
              <w:pStyle w:val="75"/>
            </w:pPr>
            <w:r>
              <w:rPr>
                <w:rFonts w:hint="eastAsia"/>
              </w:rPr>
              <w:t>仓库化学品储存设置托盘和围堰；生产车间、仓库设导流槽、液体收集桶；事故水池（</w:t>
            </w:r>
            <w:r>
              <w:rPr>
                <w:rFonts w:hint="eastAsia"/>
                <w:lang w:val="en-US" w:eastAsia="zh-CN"/>
              </w:rPr>
              <w:t>300</w:t>
            </w:r>
            <w:r>
              <w:rPr>
                <w:rFonts w:hint="eastAsia"/>
              </w:rPr>
              <w:t>m</w:t>
            </w:r>
            <w:r>
              <w:rPr>
                <w:vertAlign w:val="superscript"/>
              </w:rPr>
              <w:t>3</w:t>
            </w:r>
            <w:r>
              <w:rPr>
                <w:rFonts w:hint="eastAsia"/>
              </w:rPr>
              <w:t>）</w:t>
            </w:r>
          </w:p>
        </w:tc>
        <w:tc>
          <w:tcPr>
            <w:tcW w:w="1134" w:type="pct"/>
            <w:tcMar>
              <w:left w:w="0" w:type="dxa"/>
              <w:right w:w="0" w:type="dxa"/>
            </w:tcMar>
            <w:vAlign w:val="center"/>
          </w:tcPr>
          <w:p w14:paraId="239D01A0">
            <w:pPr>
              <w:pStyle w:val="75"/>
            </w:pPr>
            <w:r>
              <w:rPr>
                <w:rFonts w:hint="eastAsia"/>
              </w:rPr>
              <w:t>/</w:t>
            </w:r>
          </w:p>
        </w:tc>
      </w:tr>
      <w:tr w14:paraId="7BB69B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restart"/>
            <w:tcMar>
              <w:left w:w="0" w:type="dxa"/>
              <w:right w:w="0" w:type="dxa"/>
            </w:tcMar>
            <w:vAlign w:val="center"/>
          </w:tcPr>
          <w:p w14:paraId="082D475D">
            <w:pPr>
              <w:pStyle w:val="75"/>
            </w:pPr>
            <w:r>
              <w:rPr>
                <w:rFonts w:hint="eastAsia"/>
              </w:rPr>
              <w:t>监控</w:t>
            </w:r>
          </w:p>
        </w:tc>
        <w:tc>
          <w:tcPr>
            <w:tcW w:w="3546" w:type="pct"/>
            <w:gridSpan w:val="4"/>
            <w:tcMar>
              <w:left w:w="0" w:type="dxa"/>
              <w:right w:w="0" w:type="dxa"/>
            </w:tcMar>
            <w:vAlign w:val="center"/>
          </w:tcPr>
          <w:p w14:paraId="4C176592">
            <w:pPr>
              <w:pStyle w:val="75"/>
            </w:pPr>
            <w:r>
              <w:rPr>
                <w:rFonts w:hint="eastAsia"/>
              </w:rPr>
              <w:t>废水总排口安装在线监测设备并与环保部门联网</w:t>
            </w:r>
          </w:p>
        </w:tc>
        <w:tc>
          <w:tcPr>
            <w:tcW w:w="1134" w:type="pct"/>
            <w:vMerge w:val="restart"/>
            <w:tcMar>
              <w:left w:w="0" w:type="dxa"/>
              <w:right w:w="0" w:type="dxa"/>
            </w:tcMar>
            <w:vAlign w:val="center"/>
          </w:tcPr>
          <w:p w14:paraId="38A06104">
            <w:pPr>
              <w:pStyle w:val="75"/>
            </w:pPr>
            <w:r>
              <w:rPr>
                <w:rFonts w:hint="eastAsia"/>
              </w:rPr>
              <w:t>/</w:t>
            </w:r>
          </w:p>
        </w:tc>
      </w:tr>
      <w:tr w14:paraId="0B1B2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276B6364">
            <w:pPr>
              <w:pStyle w:val="75"/>
            </w:pPr>
          </w:p>
        </w:tc>
        <w:tc>
          <w:tcPr>
            <w:tcW w:w="3546" w:type="pct"/>
            <w:gridSpan w:val="4"/>
            <w:tcMar>
              <w:left w:w="0" w:type="dxa"/>
              <w:right w:w="0" w:type="dxa"/>
            </w:tcMar>
            <w:vAlign w:val="center"/>
          </w:tcPr>
          <w:p w14:paraId="5DD0B198">
            <w:pPr>
              <w:pStyle w:val="75"/>
            </w:pPr>
            <w:r>
              <w:rPr>
                <w:rFonts w:hint="eastAsia"/>
              </w:rPr>
              <w:t>主要污染物排放口、监测取样处</w:t>
            </w:r>
            <w:r>
              <w:t>安装视频监控</w:t>
            </w:r>
            <w:r>
              <w:rPr>
                <w:rFonts w:hint="eastAsia"/>
              </w:rPr>
              <w:t>，并与环保部门联网</w:t>
            </w:r>
          </w:p>
        </w:tc>
        <w:tc>
          <w:tcPr>
            <w:tcW w:w="1134" w:type="pct"/>
            <w:vMerge w:val="continue"/>
            <w:tcMar>
              <w:left w:w="0" w:type="dxa"/>
              <w:right w:w="0" w:type="dxa"/>
            </w:tcMar>
            <w:vAlign w:val="center"/>
          </w:tcPr>
          <w:p w14:paraId="2A39EBE3">
            <w:pPr>
              <w:pStyle w:val="75"/>
            </w:pPr>
          </w:p>
        </w:tc>
      </w:tr>
      <w:tr w14:paraId="696CC8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8" w:type="pct"/>
            <w:vMerge w:val="continue"/>
            <w:tcMar>
              <w:left w:w="0" w:type="dxa"/>
              <w:right w:w="0" w:type="dxa"/>
            </w:tcMar>
            <w:vAlign w:val="center"/>
          </w:tcPr>
          <w:p w14:paraId="2C488AD3">
            <w:pPr>
              <w:pStyle w:val="75"/>
            </w:pPr>
          </w:p>
        </w:tc>
        <w:tc>
          <w:tcPr>
            <w:tcW w:w="3546" w:type="pct"/>
            <w:gridSpan w:val="4"/>
            <w:tcMar>
              <w:left w:w="0" w:type="dxa"/>
              <w:right w:w="0" w:type="dxa"/>
            </w:tcMar>
            <w:vAlign w:val="center"/>
          </w:tcPr>
          <w:p w14:paraId="76028403">
            <w:pPr>
              <w:pStyle w:val="75"/>
            </w:pPr>
            <w:r>
              <w:rPr>
                <w:rFonts w:hint="eastAsia"/>
              </w:rPr>
              <w:t>总用电处、主要生产设施和污染治理设施处安装用电监控设施</w:t>
            </w:r>
          </w:p>
        </w:tc>
        <w:tc>
          <w:tcPr>
            <w:tcW w:w="1134" w:type="pct"/>
            <w:vMerge w:val="continue"/>
            <w:tcMar>
              <w:left w:w="0" w:type="dxa"/>
              <w:right w:w="0" w:type="dxa"/>
            </w:tcMar>
            <w:vAlign w:val="center"/>
          </w:tcPr>
          <w:p w14:paraId="598F4C3E">
            <w:pPr>
              <w:pStyle w:val="75"/>
            </w:pPr>
          </w:p>
        </w:tc>
      </w:tr>
    </w:tbl>
    <w:p w14:paraId="539F1508">
      <w:pPr>
        <w:ind w:firstLine="480"/>
      </w:pPr>
      <w:r>
        <w:t>综上，评价认为项目在采取工程设计和评价提出的废气、废水、噪声、固废污染防治措施后，废气</w:t>
      </w:r>
      <w:r>
        <w:rPr>
          <w:rFonts w:hint="eastAsia"/>
        </w:rPr>
        <w:t>、废水</w:t>
      </w:r>
      <w:r>
        <w:t>污染物均能做到稳定达标排放，噪声污染做到有效控制，固废全部综合利用和合理处置，措施可行。</w:t>
      </w:r>
    </w:p>
    <w:p w14:paraId="18F6B29E">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678" w:name="_Toc429318457"/>
      <w:bookmarkStart w:id="679" w:name="_Toc278572694"/>
      <w:bookmarkStart w:id="680" w:name="_Toc306089680"/>
      <w:bookmarkStart w:id="681" w:name="_Toc277889930"/>
      <w:bookmarkStart w:id="682" w:name="_Toc428287662"/>
      <w:bookmarkStart w:id="683" w:name="_Toc497299865"/>
      <w:bookmarkStart w:id="684" w:name="_Toc12629"/>
      <w:bookmarkStart w:id="685" w:name="_Toc281666808"/>
      <w:bookmarkStart w:id="686" w:name="_Toc428287310"/>
      <w:bookmarkStart w:id="687" w:name="_Toc30718"/>
      <w:bookmarkStart w:id="688" w:name="_Toc422317694"/>
      <w:bookmarkStart w:id="689" w:name="_Toc469647424"/>
      <w:bookmarkStart w:id="690" w:name="_Toc311099517"/>
      <w:bookmarkStart w:id="691" w:name="_Toc51319883"/>
      <w:bookmarkStart w:id="692" w:name="_Toc429318428"/>
      <w:bookmarkStart w:id="693" w:name="_Toc428286906"/>
      <w:bookmarkStart w:id="694" w:name="_Toc428287267"/>
      <w:bookmarkStart w:id="695" w:name="_Toc324839587"/>
      <w:bookmarkStart w:id="696" w:name="_Toc324839290"/>
      <w:bookmarkStart w:id="697" w:name="_Toc311812662"/>
      <w:r>
        <w:rPr>
          <w:rFonts w:hint="eastAsia"/>
          <w:lang w:val="en-US" w:eastAsia="zh-CN"/>
        </w:rPr>
        <w:t>7.8厂址选择可行性</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p>
    <w:p w14:paraId="4B2F21A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698" w:name="_Toc428286959"/>
      <w:bookmarkStart w:id="699" w:name="_Toc108122608"/>
      <w:bookmarkStart w:id="700" w:name="_Toc428287664"/>
      <w:bookmarkStart w:id="701" w:name="_Toc428287312"/>
      <w:r>
        <w:rPr>
          <w:rFonts w:hint="eastAsia" w:cs="Times New Roman"/>
          <w:lang w:val="en-US" w:eastAsia="zh-CN"/>
        </w:rPr>
        <w:t>7.8.1符合获嘉县产业集聚区发展规划</w:t>
      </w:r>
      <w:bookmarkEnd w:id="698"/>
      <w:bookmarkEnd w:id="699"/>
      <w:bookmarkEnd w:id="700"/>
      <w:bookmarkEnd w:id="701"/>
    </w:p>
    <w:p w14:paraId="6A2ADDBB">
      <w:pPr>
        <w:pStyle w:val="72"/>
      </w:pPr>
      <w:r>
        <w:rPr>
          <w:rFonts w:hint="eastAsia"/>
        </w:rPr>
        <w:t>本项目为年产10亿只钢壳、10亿只盖帽和3600吨电池连接件项目，选址位于新乡市获嘉县先进制造业开发区安王路与梧桐路交叉口西100米1号，本项目所占用地规划为工业用地，符合园区产业布局及用地规划，且项目符合园区准入条件，不在其负面清单中。综上，项目符合园区用地规划、产业规划和总体规划要求</w:t>
      </w:r>
      <w:r>
        <w:t>。</w:t>
      </w:r>
    </w:p>
    <w:p w14:paraId="0989358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02" w:name="_Toc428287665"/>
      <w:bookmarkStart w:id="703" w:name="_Toc108122609"/>
      <w:bookmarkStart w:id="704" w:name="_Toc428287313"/>
      <w:bookmarkStart w:id="705" w:name="_Toc428286960"/>
      <w:r>
        <w:rPr>
          <w:rFonts w:hint="eastAsia" w:cs="Times New Roman"/>
          <w:lang w:val="en-US" w:eastAsia="zh-CN"/>
        </w:rPr>
        <w:t>7.8.2满足饮用水源地保护要求</w:t>
      </w:r>
      <w:bookmarkEnd w:id="702"/>
      <w:bookmarkEnd w:id="703"/>
      <w:bookmarkEnd w:id="704"/>
      <w:bookmarkEnd w:id="705"/>
    </w:p>
    <w:p w14:paraId="50271126">
      <w:pPr>
        <w:spacing w:before="120"/>
        <w:ind w:firstLine="480"/>
      </w:pPr>
      <w:r>
        <w:t>距本项目最近的新乡市乡镇饮用水源为照镜镇地下水井群保护区，</w:t>
      </w:r>
      <w:r>
        <w:rPr>
          <w:rFonts w:hint="eastAsia"/>
          <w:lang w:val="en-US" w:eastAsia="zh-CN"/>
        </w:rPr>
        <w:t>距离约为3.7km</w:t>
      </w:r>
      <w:r>
        <w:t>，不在其保护区范围内。因此，本工程建设不会对城市水源地产生直接影响。</w:t>
      </w:r>
    </w:p>
    <w:p w14:paraId="1A1C0FC0">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06" w:name="_Toc108122610"/>
      <w:bookmarkStart w:id="707" w:name="_Toc428287667"/>
      <w:bookmarkStart w:id="708" w:name="_Toc428286962"/>
      <w:bookmarkStart w:id="709" w:name="_Toc428287315"/>
      <w:r>
        <w:rPr>
          <w:rFonts w:hint="eastAsia" w:cs="Times New Roman"/>
          <w:lang w:val="en-US" w:eastAsia="zh-CN"/>
        </w:rPr>
        <w:t>7.8.3项目对周边环境的影响可接受</w:t>
      </w:r>
      <w:bookmarkEnd w:id="706"/>
      <w:bookmarkEnd w:id="707"/>
      <w:bookmarkEnd w:id="708"/>
      <w:bookmarkEnd w:id="709"/>
    </w:p>
    <w:p w14:paraId="4194FA03">
      <w:pPr>
        <w:pStyle w:val="72"/>
      </w:pPr>
      <w:r>
        <w:rPr>
          <w:rFonts w:hint="eastAsia"/>
        </w:rPr>
        <w:t>（</w:t>
      </w:r>
      <w:r>
        <w:t>1</w:t>
      </w:r>
      <w:r>
        <w:rPr>
          <w:rFonts w:hint="eastAsia"/>
        </w:rPr>
        <w:t>）</w:t>
      </w:r>
      <w:r>
        <w:t>环境空气影响</w:t>
      </w:r>
    </w:p>
    <w:p w14:paraId="0B4826F3">
      <w:pPr>
        <w:ind w:firstLine="480"/>
        <w:rPr>
          <w:highlight w:val="yellow"/>
        </w:rPr>
      </w:pPr>
      <w:r>
        <w:t>项目废气排放满足标准要求，经预测，废气污染物对敏感点的影响均可达满足标准要求，项目废气对周边环境的影响可接受。</w:t>
      </w:r>
    </w:p>
    <w:p w14:paraId="6A0AF44B">
      <w:pPr>
        <w:pStyle w:val="72"/>
        <w:numPr>
          <w:ilvl w:val="0"/>
          <w:numId w:val="10"/>
        </w:numPr>
      </w:pPr>
      <w:r>
        <w:t>地表水环境影响</w:t>
      </w:r>
    </w:p>
    <w:p w14:paraId="74C1CB82">
      <w:pPr>
        <w:ind w:firstLine="480"/>
      </w:pPr>
      <w:r>
        <w:t>企业拟将本工程产生的废水经厂区污水处理站处理后，经管网排入获嘉县同盟污水处理厂进一步处理，获嘉县同盟污水处理厂的出水水质目前能够满足《地表水环境质量标准》（GB3838-2002）中</w:t>
      </w:r>
      <w:r>
        <w:rPr>
          <w:rFonts w:hint="eastAsia"/>
        </w:rPr>
        <w:t>IV</w:t>
      </w:r>
      <w:r>
        <w:t>水体标准要求，TN</w:t>
      </w:r>
      <w:r>
        <w:rPr>
          <w:rFonts w:hint="eastAsia"/>
        </w:rPr>
        <w:t>、石油类、总锌</w:t>
      </w:r>
      <w:r>
        <w:t>执行《城镇污水处理厂污染物排放标准》（GB18918-2002）表1一级A标准，最终排入共产主义渠，不会对地表水体造成大的影响。</w:t>
      </w:r>
    </w:p>
    <w:p w14:paraId="6DCF4BF1">
      <w:pPr>
        <w:pStyle w:val="72"/>
      </w:pPr>
      <w:r>
        <w:rPr>
          <w:rFonts w:hint="eastAsia"/>
        </w:rPr>
        <w:t>（</w:t>
      </w:r>
      <w:r>
        <w:t>3</w:t>
      </w:r>
      <w:r>
        <w:rPr>
          <w:rFonts w:hint="eastAsia"/>
        </w:rPr>
        <w:t>）</w:t>
      </w:r>
      <w:r>
        <w:t>声环境影响</w:t>
      </w:r>
    </w:p>
    <w:p w14:paraId="44A1557C">
      <w:pPr>
        <w:pStyle w:val="72"/>
      </w:pPr>
      <w:r>
        <w:t>由预测结果可知，项目完成后，厂界噪声均能够达到标准的要求。</w:t>
      </w:r>
    </w:p>
    <w:p w14:paraId="7C59567A">
      <w:pPr>
        <w:pStyle w:val="72"/>
      </w:pPr>
      <w:r>
        <w:rPr>
          <w:rFonts w:hint="eastAsia"/>
        </w:rPr>
        <w:t>（4）地下水环境影响分析</w:t>
      </w:r>
    </w:p>
    <w:p w14:paraId="0A577DC2">
      <w:pPr>
        <w:pStyle w:val="72"/>
      </w:pPr>
      <w:r>
        <w:t>评价建议污水处理站各构筑物周边应加强硬化防渗措施，同时制定严格的巡检制度并落实到责任人，杜绝项目厂区地面及各类废水池防渗措施出现渗漏现象，在落实以上各项防渗措施和巡检制度后，本项目地下水环境影响是可以接受的。</w:t>
      </w:r>
    </w:p>
    <w:p w14:paraId="598043A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10" w:name="_Toc108122611"/>
      <w:bookmarkStart w:id="711" w:name="_Toc428287316"/>
      <w:bookmarkStart w:id="712" w:name="_Toc428287668"/>
      <w:bookmarkStart w:id="713" w:name="_Toc428286963"/>
      <w:r>
        <w:rPr>
          <w:rFonts w:hint="eastAsia" w:cs="Times New Roman"/>
          <w:lang w:val="en-US" w:eastAsia="zh-CN"/>
        </w:rPr>
        <w:t>7.8.4集聚区准入条件及负面清单的要求</w:t>
      </w:r>
      <w:bookmarkEnd w:id="710"/>
    </w:p>
    <w:p w14:paraId="28AF749F">
      <w:pPr>
        <w:pStyle w:val="72"/>
        <w:rPr>
          <w:highlight w:val="yellow"/>
        </w:rPr>
      </w:pPr>
      <w:r>
        <w:rPr>
          <w:rFonts w:hint="eastAsia"/>
        </w:rPr>
        <w:t>根据分析（详见第2章），</w:t>
      </w:r>
      <w:r>
        <w:t>本项目与</w:t>
      </w:r>
      <w:r>
        <w:rPr>
          <w:rFonts w:hint="eastAsia"/>
        </w:rPr>
        <w:t>新乡市获嘉县产业集聚区</w:t>
      </w:r>
      <w:r>
        <w:t>准入条件</w:t>
      </w:r>
      <w:r>
        <w:rPr>
          <w:rFonts w:hint="eastAsia"/>
        </w:rPr>
        <w:t>不冲突，不在园区环境准入负面清单之内</w:t>
      </w:r>
      <w:r>
        <w:t>。</w:t>
      </w:r>
    </w:p>
    <w:p w14:paraId="6E19B84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14" w:name="_Toc108122612"/>
      <w:r>
        <w:rPr>
          <w:rFonts w:hint="eastAsia" w:cs="Times New Roman"/>
          <w:lang w:val="en-US" w:eastAsia="zh-CN"/>
        </w:rPr>
        <w:t>7.8.5环境风险可接受</w:t>
      </w:r>
      <w:bookmarkEnd w:id="711"/>
      <w:bookmarkEnd w:id="712"/>
      <w:bookmarkEnd w:id="713"/>
      <w:bookmarkEnd w:id="714"/>
    </w:p>
    <w:p w14:paraId="6BBF3E54">
      <w:pPr>
        <w:pStyle w:val="72"/>
        <w:rPr>
          <w:highlight w:val="yellow"/>
        </w:rPr>
      </w:pPr>
      <w:bookmarkStart w:id="715" w:name="_Toc428287318"/>
      <w:bookmarkStart w:id="716" w:name="_Toc428287670"/>
      <w:bookmarkStart w:id="717" w:name="_Toc428286965"/>
      <w:r>
        <w:rPr>
          <w:rFonts w:hint="eastAsia"/>
        </w:rPr>
        <w:t>本项目的原料具有一定的毒性和腐蚀性，其生产、贮存过程中存在一定泄漏风险。</w:t>
      </w:r>
      <w:r>
        <w:t>但风险事故发生概率比较低，发生事故对周围敏感目标的危害后果较小，在采取风险防范措施后，项目的风险</w:t>
      </w:r>
      <w:r>
        <w:rPr>
          <w:rFonts w:hint="eastAsia"/>
        </w:rPr>
        <w:t>可防控</w:t>
      </w:r>
      <w:r>
        <w:t>。</w:t>
      </w:r>
    </w:p>
    <w:p w14:paraId="22C701B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18" w:name="_Toc278572695"/>
      <w:bookmarkStart w:id="719" w:name="_Toc108122613"/>
      <w:bookmarkStart w:id="720" w:name="_Toc277889931"/>
      <w:bookmarkStart w:id="721" w:name="_Toc311099518"/>
      <w:bookmarkStart w:id="722" w:name="_Toc422317695"/>
      <w:bookmarkStart w:id="723" w:name="_Toc469647425"/>
      <w:bookmarkStart w:id="724" w:name="_Toc306089681"/>
      <w:bookmarkStart w:id="725" w:name="_Toc281666809"/>
      <w:bookmarkStart w:id="726" w:name="_Toc428287319"/>
      <w:bookmarkStart w:id="727" w:name="_Toc497299866"/>
      <w:bookmarkStart w:id="728" w:name="_Toc429318458"/>
      <w:bookmarkStart w:id="729" w:name="_Toc428287671"/>
      <w:r>
        <w:rPr>
          <w:rFonts w:hint="eastAsia" w:cs="Times New Roman"/>
          <w:lang w:val="en-US" w:eastAsia="zh-CN"/>
        </w:rPr>
        <w:t>7.8.6厂区平面布置合理性</w:t>
      </w:r>
      <w:bookmarkEnd w:id="718"/>
      <w:bookmarkEnd w:id="719"/>
      <w:bookmarkEnd w:id="720"/>
      <w:bookmarkEnd w:id="721"/>
      <w:bookmarkEnd w:id="722"/>
      <w:bookmarkEnd w:id="723"/>
      <w:bookmarkEnd w:id="724"/>
      <w:bookmarkEnd w:id="725"/>
      <w:bookmarkEnd w:id="726"/>
      <w:bookmarkEnd w:id="727"/>
      <w:bookmarkEnd w:id="728"/>
      <w:bookmarkEnd w:id="729"/>
    </w:p>
    <w:p w14:paraId="479ABF26">
      <w:pPr>
        <w:pStyle w:val="72"/>
      </w:pPr>
      <w:r>
        <w:t>根据企业提供的厂区总平面布置图，厂区的平面布置较为合理，主要体现在以下几个方面：</w:t>
      </w:r>
    </w:p>
    <w:p w14:paraId="16A3E894">
      <w:pPr>
        <w:pStyle w:val="72"/>
      </w:pPr>
      <w:r>
        <w:t>（1）生产区与办公区相分离，有利于物流和人流的管理；</w:t>
      </w:r>
    </w:p>
    <w:p w14:paraId="291E2C17">
      <w:pPr>
        <w:pStyle w:val="72"/>
      </w:pPr>
      <w:r>
        <w:t>（2）根据工艺流程和设备运转的要求，按照工艺运转顺序和安全生产的需要布置生产装置，工艺流程顺畅，厂区布局紧凑；</w:t>
      </w:r>
    </w:p>
    <w:p w14:paraId="058E3C49">
      <w:pPr>
        <w:pStyle w:val="72"/>
      </w:pPr>
      <w:r>
        <w:t>（3）根据生产单元的需要进行了合理的布局，减少了物料在输送过程中的跑、冒、滴、漏，提高了项目的清洁生产水平</w:t>
      </w:r>
      <w:r>
        <w:rPr>
          <w:rFonts w:hint="eastAsia"/>
        </w:rPr>
        <w:t>。</w:t>
      </w:r>
    </w:p>
    <w:p w14:paraId="3CAB6C66">
      <w:pPr>
        <w:pStyle w:val="72"/>
      </w:pPr>
      <w:r>
        <w:t>综上所述，评价认为厂区总平面布置基本合理。</w:t>
      </w:r>
    </w:p>
    <w:bookmarkEnd w:id="715"/>
    <w:bookmarkEnd w:id="716"/>
    <w:bookmarkEnd w:id="717"/>
    <w:p w14:paraId="176A618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30" w:name="_Toc5412"/>
      <w:bookmarkStart w:id="731" w:name="_Toc51319884"/>
      <w:bookmarkStart w:id="732" w:name="_Toc4369"/>
      <w:r>
        <w:rPr>
          <w:rFonts w:hint="eastAsia"/>
          <w:lang w:val="en-US" w:eastAsia="zh-CN"/>
        </w:rPr>
        <w:t>7.9总量控制分析</w:t>
      </w:r>
      <w:bookmarkEnd w:id="692"/>
      <w:bookmarkEnd w:id="693"/>
      <w:bookmarkEnd w:id="694"/>
      <w:bookmarkEnd w:id="730"/>
      <w:bookmarkEnd w:id="731"/>
      <w:bookmarkEnd w:id="732"/>
    </w:p>
    <w:p w14:paraId="672BE45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33" w:name="_Toc108122615"/>
      <w:r>
        <w:rPr>
          <w:rFonts w:hint="eastAsia" w:cs="Times New Roman"/>
          <w:lang w:val="en-US" w:eastAsia="zh-CN"/>
        </w:rPr>
        <w:t>7.9.1总量控制因子</w:t>
      </w:r>
      <w:bookmarkEnd w:id="733"/>
    </w:p>
    <w:p w14:paraId="19E399DA">
      <w:pPr>
        <w:pStyle w:val="72"/>
      </w:pPr>
      <w:r>
        <w:t>根据项目污染物产排特点及当地环保要求，本项目评价总量控制因子确定为</w:t>
      </w:r>
      <w:r>
        <w:rPr>
          <w:rFonts w:hint="eastAsia"/>
        </w:rPr>
        <w:t>：</w:t>
      </w:r>
    </w:p>
    <w:p w14:paraId="39775C92">
      <w:pPr>
        <w:pStyle w:val="72"/>
        <w:ind w:left="0" w:leftChars="0" w:firstLine="0" w:firstLineChars="0"/>
        <w:rPr>
          <w:highlight w:val="yellow"/>
        </w:rPr>
      </w:pPr>
      <w:bookmarkStart w:id="844" w:name="_GoBack"/>
      <w:bookmarkEnd w:id="844"/>
      <w:r>
        <w:rPr>
          <w:rFonts w:hint="eastAsia"/>
        </w:rPr>
        <w:t>COD、氨氮。</w:t>
      </w:r>
    </w:p>
    <w:p w14:paraId="332720B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34" w:name="_Toc108122616"/>
      <w:r>
        <w:rPr>
          <w:rFonts w:hint="eastAsia" w:cs="Times New Roman"/>
          <w:lang w:val="en-US" w:eastAsia="zh-CN"/>
        </w:rPr>
        <w:t>7.9.2总量指标核算</w:t>
      </w:r>
      <w:bookmarkEnd w:id="734"/>
    </w:p>
    <w:p w14:paraId="7F1FA20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7.9.2.1废水</w:t>
      </w:r>
    </w:p>
    <w:p w14:paraId="2267C06E">
      <w:pPr>
        <w:pStyle w:val="72"/>
        <w:rPr>
          <w:rFonts w:hint="default"/>
          <w:b w:val="0"/>
          <w:bCs/>
          <w:u w:val="none"/>
          <w:lang w:val="en-US" w:eastAsia="zh-CN"/>
        </w:rPr>
      </w:pPr>
      <w:r>
        <w:rPr>
          <w:rFonts w:hint="eastAsia"/>
        </w:rPr>
        <w:t>本项目在生产中严格落实各项环保治理措施及清洁生产工艺技术，加强企业环境管理，在满足达标排放的基础上，尽可能减少污染物的排放量。本项目经厂区污水处理站工艺处理后的废水经管网排入</w:t>
      </w:r>
      <w:r>
        <w:rPr>
          <w:rFonts w:hint="eastAsia"/>
          <w:lang w:val="en-US" w:eastAsia="zh-CN"/>
        </w:rPr>
        <w:t>获嘉县同盟污水处理厂进一步处理</w:t>
      </w:r>
      <w:r>
        <w:rPr>
          <w:rFonts w:hint="eastAsia"/>
        </w:rPr>
        <w:t>，处理</w:t>
      </w:r>
      <w:r>
        <w:rPr>
          <w:rFonts w:hint="eastAsia"/>
          <w:lang w:val="en-US" w:eastAsia="zh-CN"/>
        </w:rPr>
        <w:t>达标后</w:t>
      </w:r>
      <w:r>
        <w:rPr>
          <w:rFonts w:hint="eastAsia"/>
        </w:rPr>
        <w:t>排入</w:t>
      </w:r>
      <w:r>
        <w:rPr>
          <w:rFonts w:hint="eastAsia"/>
          <w:lang w:val="en-US" w:eastAsia="zh-CN"/>
        </w:rPr>
        <w:t>共产主义渠</w:t>
      </w:r>
      <w:r>
        <w:rPr>
          <w:rFonts w:hint="eastAsia"/>
        </w:rPr>
        <w:t>。</w:t>
      </w:r>
      <w:r>
        <w:rPr>
          <w:b w:val="0"/>
          <w:bCs/>
          <w:u w:val="none"/>
        </w:rPr>
        <w:t>获嘉县同盟污水处理厂出水水质能够达到《地表水环境质量标准》（GB3838-2002）中</w:t>
      </w:r>
      <w:r>
        <w:rPr>
          <w:rFonts w:hint="eastAsia"/>
          <w:b w:val="0"/>
          <w:bCs/>
          <w:u w:val="none"/>
        </w:rPr>
        <w:t>IV类</w:t>
      </w:r>
      <w:r>
        <w:rPr>
          <w:b w:val="0"/>
          <w:bCs/>
          <w:u w:val="none"/>
        </w:rPr>
        <w:t>水体标准，即COD</w:t>
      </w:r>
      <w:r>
        <w:rPr>
          <w:rFonts w:hint="eastAsia"/>
          <w:b w:val="0"/>
          <w:bCs/>
          <w:u w:val="none"/>
        </w:rPr>
        <w:t>3</w:t>
      </w:r>
      <w:r>
        <w:rPr>
          <w:b w:val="0"/>
          <w:bCs/>
          <w:u w:val="none"/>
        </w:rPr>
        <w:t>0mg/L、氨氮</w:t>
      </w:r>
      <w:r>
        <w:rPr>
          <w:rFonts w:hint="eastAsia"/>
          <w:b w:val="0"/>
          <w:bCs/>
          <w:u w:val="none"/>
        </w:rPr>
        <w:t>1.5</w:t>
      </w:r>
      <w:r>
        <w:rPr>
          <w:b w:val="0"/>
          <w:bCs/>
          <w:u w:val="none"/>
        </w:rPr>
        <w:t>mg/L、总磷0.</w:t>
      </w:r>
      <w:r>
        <w:rPr>
          <w:rFonts w:hint="eastAsia"/>
          <w:b w:val="0"/>
          <w:bCs/>
          <w:u w:val="none"/>
        </w:rPr>
        <w:t>3</w:t>
      </w:r>
      <w:r>
        <w:rPr>
          <w:b w:val="0"/>
          <w:bCs/>
          <w:u w:val="none"/>
        </w:rPr>
        <w:t>mg/L、总氮15mg/</w:t>
      </w:r>
      <w:r>
        <w:rPr>
          <w:rFonts w:hint="eastAsia"/>
          <w:b w:val="0"/>
          <w:bCs/>
          <w:u w:val="none"/>
        </w:rPr>
        <w:t>L</w:t>
      </w:r>
      <w:r>
        <w:rPr>
          <w:rFonts w:hint="eastAsia"/>
          <w:b w:val="0"/>
          <w:bCs/>
          <w:u w:val="none"/>
          <w:lang w:eastAsia="zh-CN"/>
        </w:rPr>
        <w:t>。</w:t>
      </w:r>
    </w:p>
    <w:p w14:paraId="1CFE2E82">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lang w:val="en-US" w:eastAsia="zh-CN"/>
        </w:rPr>
      </w:pPr>
      <w:r>
        <w:rPr>
          <w:rFonts w:hint="eastAsia"/>
          <w:lang w:val="en-US" w:eastAsia="zh-CN"/>
        </w:rPr>
        <w:t>表7.9-1    本项目废水污染物产排情况            单位：t/a</w:t>
      </w:r>
    </w:p>
    <w:tbl>
      <w:tblPr>
        <w:tblStyle w:val="39"/>
        <w:tblW w:w="8529"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623"/>
        <w:gridCol w:w="1622"/>
        <w:gridCol w:w="1622"/>
        <w:gridCol w:w="1440"/>
        <w:gridCol w:w="2222"/>
      </w:tblGrid>
      <w:tr w14:paraId="382CBF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noWrap/>
            <w:vAlign w:val="center"/>
          </w:tcPr>
          <w:p w14:paraId="335E473B">
            <w:pPr>
              <w:pStyle w:val="81"/>
              <w:spacing w:line="240" w:lineRule="auto"/>
              <w:rPr>
                <w:rFonts w:cs="Times New Roman"/>
                <w:b/>
                <w:bCs w:val="0"/>
                <w:color w:val="auto"/>
                <w:u w:val="none"/>
              </w:rPr>
            </w:pPr>
            <w:r>
              <w:rPr>
                <w:rFonts w:cs="Times New Roman"/>
                <w:b/>
                <w:bCs w:val="0"/>
                <w:color w:val="auto"/>
                <w:u w:val="none"/>
              </w:rPr>
              <w:t>污染物</w:t>
            </w:r>
          </w:p>
        </w:tc>
        <w:tc>
          <w:tcPr>
            <w:tcW w:w="1622" w:type="dxa"/>
            <w:noWrap/>
            <w:vAlign w:val="center"/>
          </w:tcPr>
          <w:p w14:paraId="1D427584">
            <w:pPr>
              <w:pStyle w:val="81"/>
              <w:spacing w:line="240" w:lineRule="auto"/>
              <w:rPr>
                <w:rFonts w:cs="Times New Roman"/>
                <w:b/>
                <w:bCs w:val="0"/>
                <w:color w:val="auto"/>
                <w:u w:val="none"/>
              </w:rPr>
            </w:pPr>
            <w:r>
              <w:rPr>
                <w:rFonts w:cs="Times New Roman"/>
                <w:b/>
                <w:bCs w:val="0"/>
                <w:color w:val="auto"/>
                <w:u w:val="none"/>
              </w:rPr>
              <w:t>产生量</w:t>
            </w:r>
          </w:p>
        </w:tc>
        <w:tc>
          <w:tcPr>
            <w:tcW w:w="1622" w:type="dxa"/>
            <w:noWrap/>
            <w:vAlign w:val="center"/>
          </w:tcPr>
          <w:p w14:paraId="61C1847B">
            <w:pPr>
              <w:pStyle w:val="81"/>
              <w:spacing w:line="240" w:lineRule="auto"/>
              <w:rPr>
                <w:rFonts w:cs="Times New Roman"/>
                <w:b/>
                <w:bCs w:val="0"/>
                <w:color w:val="auto"/>
                <w:u w:val="none"/>
              </w:rPr>
            </w:pPr>
            <w:r>
              <w:rPr>
                <w:rFonts w:cs="Times New Roman"/>
                <w:b/>
                <w:bCs w:val="0"/>
                <w:color w:val="auto"/>
                <w:u w:val="none"/>
              </w:rPr>
              <w:t>削减量</w:t>
            </w:r>
          </w:p>
        </w:tc>
        <w:tc>
          <w:tcPr>
            <w:tcW w:w="1440" w:type="dxa"/>
            <w:noWrap/>
            <w:vAlign w:val="center"/>
          </w:tcPr>
          <w:p w14:paraId="75BDF519">
            <w:pPr>
              <w:pStyle w:val="81"/>
              <w:spacing w:line="240" w:lineRule="auto"/>
              <w:rPr>
                <w:rFonts w:cs="Times New Roman"/>
                <w:b/>
                <w:bCs w:val="0"/>
                <w:color w:val="auto"/>
                <w:u w:val="none"/>
              </w:rPr>
            </w:pPr>
            <w:r>
              <w:rPr>
                <w:rFonts w:cs="Times New Roman"/>
                <w:b/>
                <w:bCs w:val="0"/>
                <w:color w:val="auto"/>
                <w:u w:val="none"/>
              </w:rPr>
              <w:t>排放量</w:t>
            </w:r>
          </w:p>
          <w:p w14:paraId="02B5BADE">
            <w:pPr>
              <w:pStyle w:val="81"/>
              <w:spacing w:line="240" w:lineRule="auto"/>
              <w:rPr>
                <w:rFonts w:cs="Times New Roman"/>
                <w:b/>
                <w:bCs w:val="0"/>
                <w:color w:val="auto"/>
                <w:u w:val="none"/>
              </w:rPr>
            </w:pPr>
            <w:r>
              <w:rPr>
                <w:rFonts w:cs="Times New Roman"/>
                <w:b/>
                <w:bCs w:val="0"/>
                <w:color w:val="auto"/>
                <w:u w:val="none"/>
              </w:rPr>
              <w:t>（总排口）</w:t>
            </w:r>
          </w:p>
        </w:tc>
        <w:tc>
          <w:tcPr>
            <w:tcW w:w="2222" w:type="dxa"/>
            <w:noWrap/>
            <w:vAlign w:val="center"/>
          </w:tcPr>
          <w:p w14:paraId="5870336D">
            <w:pPr>
              <w:pStyle w:val="81"/>
              <w:spacing w:line="240" w:lineRule="auto"/>
              <w:rPr>
                <w:rFonts w:cs="Times New Roman"/>
                <w:b/>
                <w:bCs w:val="0"/>
                <w:color w:val="auto"/>
                <w:u w:val="none"/>
              </w:rPr>
            </w:pPr>
            <w:r>
              <w:rPr>
                <w:rFonts w:cs="Times New Roman"/>
                <w:b/>
                <w:bCs w:val="0"/>
                <w:color w:val="auto"/>
                <w:u w:val="none"/>
              </w:rPr>
              <w:t>排放量（获嘉县同盟污水处理厂出口）</w:t>
            </w:r>
          </w:p>
        </w:tc>
      </w:tr>
      <w:tr w14:paraId="6AF3E15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shd w:val="clear" w:color="auto" w:fill="auto"/>
            <w:noWrap/>
            <w:vAlign w:val="center"/>
          </w:tcPr>
          <w:p w14:paraId="6310D431">
            <w:pPr>
              <w:kinsoku w:val="0"/>
              <w:overflowPunct w:val="0"/>
              <w:autoSpaceDE w:val="0"/>
              <w:autoSpaceDN w:val="0"/>
              <w:spacing w:line="240" w:lineRule="auto"/>
              <w:ind w:firstLine="0" w:firstLineChars="0"/>
              <w:jc w:val="center"/>
              <w:rPr>
                <w:rFonts w:ascii="Times New Roman" w:hAnsi="Times New Roman" w:eastAsia="宋体" w:cs="Times New Roman"/>
                <w:sz w:val="21"/>
                <w:szCs w:val="21"/>
                <w:highlight w:val="none"/>
                <w:lang w:val="en-US" w:eastAsia="zh-CN" w:bidi="ar-SA"/>
              </w:rPr>
            </w:pPr>
            <w:r>
              <w:rPr>
                <w:sz w:val="21"/>
                <w:szCs w:val="21"/>
                <w:highlight w:val="none"/>
              </w:rPr>
              <w:t>COD</w:t>
            </w:r>
          </w:p>
        </w:tc>
        <w:tc>
          <w:tcPr>
            <w:tcW w:w="1622" w:type="dxa"/>
            <w:shd w:val="clear" w:color="auto" w:fill="auto"/>
            <w:noWrap/>
            <w:vAlign w:val="center"/>
          </w:tcPr>
          <w:p w14:paraId="2857971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cs="Times New Roman"/>
                <w:i w:val="0"/>
                <w:iCs w:val="0"/>
                <w:color w:val="000000"/>
                <w:kern w:val="0"/>
                <w:sz w:val="21"/>
                <w:szCs w:val="21"/>
                <w:highlight w:val="none"/>
                <w:u w:val="none"/>
                <w:lang w:val="en-US" w:eastAsia="zh-CN" w:bidi="ar"/>
              </w:rPr>
              <w:t>15.8459</w:t>
            </w:r>
          </w:p>
        </w:tc>
        <w:tc>
          <w:tcPr>
            <w:tcW w:w="1622" w:type="dxa"/>
            <w:shd w:val="clear" w:color="auto" w:fill="auto"/>
            <w:noWrap/>
            <w:vAlign w:val="center"/>
          </w:tcPr>
          <w:p w14:paraId="2889CAE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10.9395</w:t>
            </w:r>
          </w:p>
        </w:tc>
        <w:tc>
          <w:tcPr>
            <w:tcW w:w="1440" w:type="dxa"/>
            <w:shd w:val="clear" w:color="auto" w:fill="auto"/>
            <w:noWrap/>
            <w:vAlign w:val="center"/>
          </w:tcPr>
          <w:p w14:paraId="2035E46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4.9064</w:t>
            </w:r>
          </w:p>
        </w:tc>
        <w:tc>
          <w:tcPr>
            <w:tcW w:w="2222" w:type="dxa"/>
            <w:shd w:val="clear" w:color="auto" w:fill="auto"/>
            <w:noWrap/>
            <w:vAlign w:val="center"/>
          </w:tcPr>
          <w:p w14:paraId="28A54F0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1.5895</w:t>
            </w:r>
          </w:p>
        </w:tc>
      </w:tr>
      <w:tr w14:paraId="5E58584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shd w:val="clear" w:color="auto" w:fill="auto"/>
            <w:noWrap/>
            <w:vAlign w:val="center"/>
          </w:tcPr>
          <w:p w14:paraId="3315E32F">
            <w:pPr>
              <w:kinsoku w:val="0"/>
              <w:overflowPunct w:val="0"/>
              <w:autoSpaceDE w:val="0"/>
              <w:autoSpaceDN w:val="0"/>
              <w:spacing w:line="240" w:lineRule="auto"/>
              <w:ind w:firstLine="0" w:firstLineChars="0"/>
              <w:jc w:val="center"/>
              <w:rPr>
                <w:rFonts w:ascii="Times New Roman" w:hAnsi="Times New Roman" w:eastAsia="宋体" w:cs="Times New Roman"/>
                <w:sz w:val="21"/>
                <w:szCs w:val="21"/>
                <w:highlight w:val="none"/>
                <w:lang w:val="en-US" w:eastAsia="zh-CN" w:bidi="ar-SA"/>
              </w:rPr>
            </w:pPr>
            <w:r>
              <w:rPr>
                <w:sz w:val="21"/>
                <w:szCs w:val="21"/>
                <w:highlight w:val="none"/>
              </w:rPr>
              <w:t>氨氮</w:t>
            </w:r>
          </w:p>
        </w:tc>
        <w:tc>
          <w:tcPr>
            <w:tcW w:w="1622" w:type="dxa"/>
            <w:shd w:val="clear" w:color="auto" w:fill="auto"/>
            <w:noWrap/>
            <w:vAlign w:val="center"/>
          </w:tcPr>
          <w:p w14:paraId="27CDBCC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0.6135</w:t>
            </w:r>
          </w:p>
        </w:tc>
        <w:tc>
          <w:tcPr>
            <w:tcW w:w="1622" w:type="dxa"/>
            <w:shd w:val="clear" w:color="auto" w:fill="auto"/>
            <w:noWrap/>
            <w:vAlign w:val="center"/>
          </w:tcPr>
          <w:p w14:paraId="0BDEB6F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0.1207</w:t>
            </w:r>
          </w:p>
        </w:tc>
        <w:tc>
          <w:tcPr>
            <w:tcW w:w="1440" w:type="dxa"/>
            <w:shd w:val="clear" w:color="auto" w:fill="auto"/>
            <w:noWrap/>
            <w:vAlign w:val="center"/>
          </w:tcPr>
          <w:p w14:paraId="7089A57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0.4928</w:t>
            </w:r>
          </w:p>
        </w:tc>
        <w:tc>
          <w:tcPr>
            <w:tcW w:w="2222" w:type="dxa"/>
            <w:shd w:val="clear" w:color="auto" w:fill="auto"/>
            <w:noWrap/>
            <w:vAlign w:val="center"/>
          </w:tcPr>
          <w:p w14:paraId="01EAB1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0.0795</w:t>
            </w:r>
          </w:p>
        </w:tc>
      </w:tr>
      <w:tr w14:paraId="473B7D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shd w:val="clear" w:color="auto" w:fill="auto"/>
            <w:noWrap/>
            <w:vAlign w:val="center"/>
          </w:tcPr>
          <w:p w14:paraId="278738AB">
            <w:pPr>
              <w:kinsoku w:val="0"/>
              <w:overflowPunct w:val="0"/>
              <w:autoSpaceDE w:val="0"/>
              <w:autoSpaceDN w:val="0"/>
              <w:spacing w:line="240" w:lineRule="auto"/>
              <w:ind w:firstLine="0" w:firstLineChars="0"/>
              <w:jc w:val="center"/>
              <w:rPr>
                <w:rFonts w:ascii="Times New Roman" w:hAnsi="Times New Roman" w:eastAsia="宋体" w:cs="Times New Roman"/>
                <w:sz w:val="21"/>
                <w:szCs w:val="21"/>
                <w:highlight w:val="none"/>
                <w:lang w:val="en-US" w:eastAsia="zh-CN" w:bidi="ar-SA"/>
              </w:rPr>
            </w:pPr>
            <w:r>
              <w:rPr>
                <w:sz w:val="21"/>
                <w:szCs w:val="21"/>
                <w:highlight w:val="none"/>
              </w:rPr>
              <w:t>TP</w:t>
            </w:r>
          </w:p>
        </w:tc>
        <w:tc>
          <w:tcPr>
            <w:tcW w:w="1622" w:type="dxa"/>
            <w:shd w:val="clear" w:color="auto" w:fill="auto"/>
            <w:noWrap/>
            <w:vAlign w:val="center"/>
          </w:tcPr>
          <w:p w14:paraId="20222DA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0.0687</w:t>
            </w:r>
          </w:p>
        </w:tc>
        <w:tc>
          <w:tcPr>
            <w:tcW w:w="1622" w:type="dxa"/>
            <w:shd w:val="clear" w:color="auto" w:fill="auto"/>
            <w:noWrap/>
            <w:vAlign w:val="center"/>
          </w:tcPr>
          <w:p w14:paraId="408090D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0.0316</w:t>
            </w:r>
          </w:p>
        </w:tc>
        <w:tc>
          <w:tcPr>
            <w:tcW w:w="1440" w:type="dxa"/>
            <w:shd w:val="clear" w:color="auto" w:fill="auto"/>
            <w:noWrap/>
            <w:vAlign w:val="center"/>
          </w:tcPr>
          <w:p w14:paraId="7A120D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0.0371</w:t>
            </w:r>
          </w:p>
        </w:tc>
        <w:tc>
          <w:tcPr>
            <w:tcW w:w="2222" w:type="dxa"/>
            <w:shd w:val="clear" w:color="auto" w:fill="auto"/>
            <w:noWrap/>
            <w:vAlign w:val="center"/>
          </w:tcPr>
          <w:p w14:paraId="05221B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0.0159</w:t>
            </w:r>
          </w:p>
        </w:tc>
      </w:tr>
      <w:tr w14:paraId="0A990CD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shd w:val="clear" w:color="auto" w:fill="auto"/>
            <w:noWrap/>
            <w:vAlign w:val="center"/>
          </w:tcPr>
          <w:p w14:paraId="3CA59DC6">
            <w:pPr>
              <w:kinsoku w:val="0"/>
              <w:overflowPunct w:val="0"/>
              <w:autoSpaceDE w:val="0"/>
              <w:autoSpaceDN w:val="0"/>
              <w:spacing w:line="240" w:lineRule="auto"/>
              <w:ind w:firstLine="0" w:firstLineChars="0"/>
              <w:jc w:val="center"/>
              <w:rPr>
                <w:rFonts w:ascii="Times New Roman" w:hAnsi="Times New Roman" w:eastAsia="宋体" w:cs="Times New Roman"/>
                <w:sz w:val="21"/>
                <w:szCs w:val="21"/>
                <w:highlight w:val="none"/>
                <w:lang w:val="en-US" w:eastAsia="zh-CN" w:bidi="ar-SA"/>
              </w:rPr>
            </w:pPr>
            <w:r>
              <w:rPr>
                <w:sz w:val="21"/>
                <w:szCs w:val="21"/>
                <w:highlight w:val="none"/>
              </w:rPr>
              <w:t>TN</w:t>
            </w:r>
          </w:p>
        </w:tc>
        <w:tc>
          <w:tcPr>
            <w:tcW w:w="1622" w:type="dxa"/>
            <w:shd w:val="clear" w:color="auto" w:fill="auto"/>
            <w:noWrap/>
            <w:vAlign w:val="center"/>
          </w:tcPr>
          <w:p w14:paraId="4793734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0.7293</w:t>
            </w:r>
          </w:p>
        </w:tc>
        <w:tc>
          <w:tcPr>
            <w:tcW w:w="1622" w:type="dxa"/>
            <w:shd w:val="clear" w:color="auto" w:fill="auto"/>
            <w:noWrap/>
            <w:vAlign w:val="center"/>
          </w:tcPr>
          <w:p w14:paraId="2D78659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0.1465</w:t>
            </w:r>
          </w:p>
        </w:tc>
        <w:tc>
          <w:tcPr>
            <w:tcW w:w="1440" w:type="dxa"/>
            <w:shd w:val="clear" w:color="auto" w:fill="auto"/>
            <w:noWrap/>
            <w:vAlign w:val="center"/>
          </w:tcPr>
          <w:p w14:paraId="361431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0.5828</w:t>
            </w:r>
          </w:p>
        </w:tc>
        <w:tc>
          <w:tcPr>
            <w:tcW w:w="2222" w:type="dxa"/>
            <w:shd w:val="clear" w:color="auto" w:fill="auto"/>
            <w:noWrap/>
            <w:vAlign w:val="center"/>
          </w:tcPr>
          <w:p w14:paraId="20DA17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bCs/>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67B293D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623" w:type="dxa"/>
            <w:shd w:val="clear" w:color="auto" w:fill="auto"/>
            <w:noWrap/>
            <w:vAlign w:val="center"/>
          </w:tcPr>
          <w:p w14:paraId="400CAAEE">
            <w:pPr>
              <w:kinsoku w:val="0"/>
              <w:overflowPunct w:val="0"/>
              <w:autoSpaceDE w:val="0"/>
              <w:autoSpaceDN w:val="0"/>
              <w:spacing w:line="240" w:lineRule="auto"/>
              <w:ind w:firstLine="0" w:firstLineChars="0"/>
              <w:jc w:val="center"/>
              <w:rPr>
                <w:rFonts w:ascii="Times New Roman" w:hAnsi="Times New Roman" w:eastAsia="宋体" w:cs="Times New Roman"/>
                <w:sz w:val="21"/>
                <w:szCs w:val="21"/>
                <w:highlight w:val="none"/>
                <w:lang w:val="en-US" w:eastAsia="zh-CN" w:bidi="ar-SA"/>
              </w:rPr>
            </w:pPr>
            <w:r>
              <w:rPr>
                <w:sz w:val="21"/>
                <w:szCs w:val="21"/>
                <w:highlight w:val="none"/>
              </w:rPr>
              <w:t>水量</w:t>
            </w:r>
          </w:p>
        </w:tc>
        <w:tc>
          <w:tcPr>
            <w:tcW w:w="1622" w:type="dxa"/>
            <w:shd w:val="clear" w:color="auto" w:fill="auto"/>
            <w:noWrap/>
            <w:vAlign w:val="center"/>
          </w:tcPr>
          <w:p w14:paraId="4EAAD081">
            <w:pPr>
              <w:pStyle w:val="75"/>
              <w:spacing w:line="240" w:lineRule="auto"/>
              <w:ind w:firstLine="0" w:firstLineChars="0"/>
              <w:rPr>
                <w:rFonts w:ascii="Times New Roman" w:hAnsi="Times New Roman" w:eastAsia="宋体" w:cs="Times New Roman"/>
                <w:bCs/>
                <w:sz w:val="21"/>
                <w:szCs w:val="21"/>
                <w:highlight w:val="none"/>
                <w:lang w:val="en-US" w:eastAsia="zh-CN" w:bidi="ar-SA"/>
              </w:rPr>
            </w:pPr>
            <w:r>
              <w:rPr>
                <w:rFonts w:hint="eastAsia"/>
                <w:bCs/>
                <w:sz w:val="21"/>
                <w:szCs w:val="21"/>
                <w:highlight w:val="none"/>
                <w:lang w:val="en-US" w:eastAsia="zh-CN"/>
              </w:rPr>
              <w:t>52984.5</w:t>
            </w:r>
          </w:p>
        </w:tc>
        <w:tc>
          <w:tcPr>
            <w:tcW w:w="1622" w:type="dxa"/>
            <w:shd w:val="clear" w:color="auto" w:fill="auto"/>
            <w:noWrap/>
            <w:vAlign w:val="center"/>
          </w:tcPr>
          <w:p w14:paraId="1ED3417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bCs/>
                <w:sz w:val="21"/>
                <w:szCs w:val="21"/>
                <w:highlight w:val="none"/>
                <w:lang w:val="en-US" w:eastAsia="zh-CN" w:bidi="ar-SA"/>
              </w:rPr>
            </w:pPr>
            <w:r>
              <w:rPr>
                <w:rFonts w:hint="eastAsia" w:cs="Times New Roman"/>
                <w:bCs/>
                <w:sz w:val="21"/>
                <w:szCs w:val="21"/>
                <w:highlight w:val="none"/>
                <w:lang w:val="en-US" w:eastAsia="zh-CN"/>
              </w:rPr>
              <w:t>/</w:t>
            </w:r>
          </w:p>
        </w:tc>
        <w:tc>
          <w:tcPr>
            <w:tcW w:w="1440" w:type="dxa"/>
            <w:shd w:val="clear" w:color="auto" w:fill="auto"/>
            <w:noWrap/>
            <w:vAlign w:val="center"/>
          </w:tcPr>
          <w:p w14:paraId="01A6108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ascii="Times New Roman" w:hAnsi="Times New Roman" w:eastAsia="宋体" w:cs="Times New Roman"/>
                <w:bCs/>
                <w:sz w:val="21"/>
                <w:szCs w:val="21"/>
                <w:highlight w:val="none"/>
                <w:lang w:val="en-US" w:eastAsia="zh-CN" w:bidi="ar-SA"/>
              </w:rPr>
            </w:pPr>
            <w:r>
              <w:rPr>
                <w:rFonts w:hint="eastAsia" w:cs="Times New Roman"/>
                <w:bCs/>
                <w:sz w:val="21"/>
                <w:szCs w:val="21"/>
                <w:highlight w:val="none"/>
                <w:lang w:val="en-US" w:eastAsia="zh-CN"/>
              </w:rPr>
              <w:t>52984.5</w:t>
            </w:r>
          </w:p>
        </w:tc>
        <w:tc>
          <w:tcPr>
            <w:tcW w:w="2222" w:type="dxa"/>
            <w:shd w:val="clear" w:color="auto" w:fill="auto"/>
            <w:noWrap/>
            <w:vAlign w:val="center"/>
          </w:tcPr>
          <w:p w14:paraId="0921C1D3">
            <w:pPr>
              <w:pStyle w:val="75"/>
              <w:spacing w:line="240" w:lineRule="auto"/>
              <w:ind w:firstLine="0" w:firstLineChars="0"/>
              <w:rPr>
                <w:rFonts w:ascii="Times New Roman" w:hAnsi="Times New Roman" w:eastAsia="宋体" w:cs="Times New Roman"/>
                <w:bCs/>
                <w:sz w:val="21"/>
                <w:szCs w:val="21"/>
                <w:highlight w:val="none"/>
                <w:lang w:val="en-US" w:eastAsia="zh-CN" w:bidi="ar-SA"/>
              </w:rPr>
            </w:pPr>
            <w:r>
              <w:rPr>
                <w:rFonts w:hint="eastAsia"/>
                <w:sz w:val="21"/>
                <w:szCs w:val="21"/>
                <w:highlight w:val="none"/>
                <w:lang w:val="en-US" w:eastAsia="zh-CN"/>
              </w:rPr>
              <w:t>52984.5</w:t>
            </w:r>
          </w:p>
        </w:tc>
      </w:tr>
    </w:tbl>
    <w:p w14:paraId="75521571">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7.9.2.2废气</w:t>
      </w:r>
    </w:p>
    <w:p w14:paraId="690D7713">
      <w:pPr>
        <w:pStyle w:val="72"/>
        <w:rPr>
          <w:highlight w:val="yellow"/>
          <w:u w:val="single"/>
        </w:rPr>
      </w:pPr>
      <w:r>
        <w:t>项目</w:t>
      </w:r>
      <w:r>
        <w:rPr>
          <w:rFonts w:hint="eastAsia" w:ascii="宋体" w:hAnsi="宋体"/>
        </w:rPr>
        <w:t>废</w:t>
      </w:r>
      <w:r>
        <w:rPr>
          <w:rFonts w:hint="eastAsia"/>
        </w:rPr>
        <w:t>气排放量为：硫酸雾</w:t>
      </w:r>
      <w:r>
        <w:rPr>
          <w:rFonts w:hint="eastAsia"/>
          <w:lang w:val="en-US" w:eastAsia="zh-CN"/>
        </w:rPr>
        <w:t>0.4669</w:t>
      </w:r>
      <w:r>
        <w:rPr>
          <w:rFonts w:hint="eastAsia"/>
        </w:rPr>
        <w:t>t/a、</w:t>
      </w:r>
      <w:r>
        <w:t>H</w:t>
      </w:r>
      <w:r>
        <w:rPr>
          <w:vertAlign w:val="subscript"/>
        </w:rPr>
        <w:t>2</w:t>
      </w:r>
      <w:r>
        <w:t>S</w:t>
      </w:r>
      <w:r>
        <w:rPr>
          <w:rFonts w:hint="eastAsia"/>
        </w:rPr>
        <w:t xml:space="preserve"> </w:t>
      </w:r>
      <w:r>
        <w:rPr>
          <w:rFonts w:hint="eastAsia"/>
          <w:lang w:val="en-US" w:eastAsia="zh-CN"/>
        </w:rPr>
        <w:t>0.00006</w:t>
      </w:r>
      <w:r>
        <w:rPr>
          <w:rFonts w:hint="eastAsia"/>
        </w:rPr>
        <w:t>t/a、</w:t>
      </w:r>
      <w:r>
        <w:t>NH</w:t>
      </w:r>
      <w:r>
        <w:rPr>
          <w:vertAlign w:val="subscript"/>
        </w:rPr>
        <w:t>3</w:t>
      </w:r>
      <w:r>
        <w:rPr>
          <w:rFonts w:hint="eastAsia"/>
        </w:rPr>
        <w:t xml:space="preserve"> </w:t>
      </w:r>
      <w:r>
        <w:rPr>
          <w:rFonts w:hint="eastAsia"/>
          <w:lang w:val="en-US" w:eastAsia="zh-CN"/>
        </w:rPr>
        <w:t>0.0127</w:t>
      </w:r>
      <w:r>
        <w:rPr>
          <w:rFonts w:hint="eastAsia"/>
        </w:rPr>
        <w:t>t/a。</w:t>
      </w:r>
    </w:p>
    <w:p w14:paraId="449E0AD0">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7.9.2.3污染物排放情况汇总</w:t>
      </w:r>
    </w:p>
    <w:p w14:paraId="7E11B183">
      <w:pPr>
        <w:pStyle w:val="72"/>
      </w:pPr>
      <w:r>
        <w:rPr>
          <w:rFonts w:hint="eastAsia"/>
        </w:rPr>
        <w:t>1、本项目污染物产排情况见下表。</w:t>
      </w:r>
    </w:p>
    <w:p w14:paraId="07D3FAA2">
      <w:pPr>
        <w:pStyle w:val="79"/>
        <w:keepNext w:val="0"/>
        <w:keepLines w:val="0"/>
        <w:pageBreakBefore w:val="0"/>
        <w:widowControl w:val="0"/>
        <w:kinsoku/>
        <w:wordWrap/>
        <w:overflowPunct/>
        <w:topLinePunct w:val="0"/>
        <w:autoSpaceDE/>
        <w:autoSpaceDN/>
        <w:bidi w:val="0"/>
        <w:adjustRightInd/>
        <w:snapToGrid/>
        <w:spacing w:beforeLines="0" w:afterLines="0" w:line="520" w:lineRule="exact"/>
        <w:ind w:firstLine="0" w:firstLineChars="0"/>
        <w:jc w:val="center"/>
        <w:textAlignment w:val="auto"/>
        <w:rPr>
          <w:rFonts w:hint="eastAsia"/>
          <w:lang w:val="en-US" w:eastAsia="zh-CN"/>
        </w:rPr>
      </w:pPr>
      <w:r>
        <w:rPr>
          <w:rFonts w:hint="eastAsia"/>
          <w:lang w:val="en-US" w:eastAsia="zh-CN"/>
        </w:rPr>
        <w:t>表7.9-2     本项目污染物产排情况             单位：t/a</w:t>
      </w:r>
    </w:p>
    <w:tbl>
      <w:tblPr>
        <w:tblStyle w:val="39"/>
        <w:tblW w:w="493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477"/>
        <w:gridCol w:w="1173"/>
        <w:gridCol w:w="1488"/>
        <w:gridCol w:w="1488"/>
        <w:gridCol w:w="1489"/>
        <w:gridCol w:w="1821"/>
      </w:tblGrid>
      <w:tr w14:paraId="1C23A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269" w:type="pct"/>
            <w:gridSpan w:val="3"/>
            <w:vAlign w:val="center"/>
          </w:tcPr>
          <w:p w14:paraId="12091692">
            <w:pPr>
              <w:kinsoku w:val="0"/>
              <w:overflowPunct w:val="0"/>
              <w:autoSpaceDE w:val="0"/>
              <w:autoSpaceDN w:val="0"/>
              <w:spacing w:line="240" w:lineRule="auto"/>
              <w:ind w:firstLine="0" w:firstLineChars="0"/>
              <w:jc w:val="center"/>
              <w:rPr>
                <w:b/>
                <w:bCs/>
                <w:sz w:val="21"/>
                <w:szCs w:val="21"/>
              </w:rPr>
            </w:pPr>
            <w:r>
              <w:rPr>
                <w:b/>
                <w:bCs/>
                <w:sz w:val="21"/>
                <w:szCs w:val="21"/>
              </w:rPr>
              <w:t>污染物</w:t>
            </w:r>
          </w:p>
        </w:tc>
        <w:tc>
          <w:tcPr>
            <w:tcW w:w="883" w:type="pct"/>
            <w:vAlign w:val="center"/>
          </w:tcPr>
          <w:p w14:paraId="62C88BA7">
            <w:pPr>
              <w:kinsoku w:val="0"/>
              <w:overflowPunct w:val="0"/>
              <w:autoSpaceDE w:val="0"/>
              <w:autoSpaceDN w:val="0"/>
              <w:spacing w:line="240" w:lineRule="auto"/>
              <w:ind w:firstLine="0" w:firstLineChars="0"/>
              <w:jc w:val="center"/>
              <w:rPr>
                <w:b/>
                <w:bCs/>
                <w:sz w:val="21"/>
                <w:szCs w:val="21"/>
              </w:rPr>
            </w:pPr>
            <w:r>
              <w:rPr>
                <w:b/>
                <w:bCs/>
                <w:sz w:val="21"/>
                <w:szCs w:val="21"/>
              </w:rPr>
              <w:t>工程产生量</w:t>
            </w:r>
          </w:p>
        </w:tc>
        <w:tc>
          <w:tcPr>
            <w:tcW w:w="883" w:type="pct"/>
            <w:vAlign w:val="center"/>
          </w:tcPr>
          <w:p w14:paraId="2283B4AD">
            <w:pPr>
              <w:kinsoku w:val="0"/>
              <w:overflowPunct w:val="0"/>
              <w:autoSpaceDE w:val="0"/>
              <w:autoSpaceDN w:val="0"/>
              <w:spacing w:line="240" w:lineRule="auto"/>
              <w:ind w:firstLine="0" w:firstLineChars="0"/>
              <w:jc w:val="center"/>
              <w:rPr>
                <w:b/>
                <w:bCs/>
                <w:sz w:val="21"/>
                <w:szCs w:val="21"/>
              </w:rPr>
            </w:pPr>
            <w:r>
              <w:rPr>
                <w:b/>
                <w:bCs/>
                <w:sz w:val="21"/>
                <w:szCs w:val="21"/>
              </w:rPr>
              <w:t>工程削减量</w:t>
            </w:r>
          </w:p>
        </w:tc>
        <w:tc>
          <w:tcPr>
            <w:tcW w:w="883" w:type="pct"/>
            <w:vAlign w:val="center"/>
          </w:tcPr>
          <w:p w14:paraId="43B8A742">
            <w:pPr>
              <w:kinsoku w:val="0"/>
              <w:overflowPunct w:val="0"/>
              <w:autoSpaceDE w:val="0"/>
              <w:autoSpaceDN w:val="0"/>
              <w:spacing w:line="240" w:lineRule="auto"/>
              <w:ind w:firstLine="0" w:firstLineChars="0"/>
              <w:jc w:val="center"/>
              <w:rPr>
                <w:b/>
                <w:bCs/>
                <w:sz w:val="21"/>
                <w:szCs w:val="21"/>
              </w:rPr>
            </w:pPr>
            <w:r>
              <w:rPr>
                <w:b/>
                <w:bCs/>
                <w:sz w:val="21"/>
                <w:szCs w:val="21"/>
              </w:rPr>
              <w:t>工程排放量</w:t>
            </w:r>
          </w:p>
        </w:tc>
        <w:tc>
          <w:tcPr>
            <w:tcW w:w="1080" w:type="pct"/>
            <w:vAlign w:val="center"/>
          </w:tcPr>
          <w:p w14:paraId="3A818573">
            <w:pPr>
              <w:kinsoku w:val="0"/>
              <w:overflowPunct w:val="0"/>
              <w:autoSpaceDE w:val="0"/>
              <w:autoSpaceDN w:val="0"/>
              <w:spacing w:line="240" w:lineRule="auto"/>
              <w:ind w:firstLine="0" w:firstLineChars="0"/>
              <w:jc w:val="center"/>
              <w:rPr>
                <w:b/>
                <w:bCs/>
                <w:sz w:val="21"/>
                <w:szCs w:val="21"/>
              </w:rPr>
            </w:pPr>
            <w:r>
              <w:rPr>
                <w:rFonts w:hint="eastAsia"/>
                <w:b/>
                <w:bCs/>
                <w:sz w:val="21"/>
                <w:szCs w:val="21"/>
              </w:rPr>
              <w:t>获嘉县同盟污水处理厂处理后的排放量</w:t>
            </w:r>
          </w:p>
        </w:tc>
      </w:tr>
      <w:tr w14:paraId="1587EE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124EEBA3">
            <w:pPr>
              <w:kinsoku w:val="0"/>
              <w:overflowPunct w:val="0"/>
              <w:autoSpaceDE w:val="0"/>
              <w:autoSpaceDN w:val="0"/>
              <w:spacing w:line="240" w:lineRule="auto"/>
              <w:ind w:firstLine="0" w:firstLineChars="0"/>
              <w:jc w:val="center"/>
              <w:rPr>
                <w:sz w:val="21"/>
                <w:szCs w:val="21"/>
              </w:rPr>
            </w:pPr>
            <w:r>
              <w:rPr>
                <w:sz w:val="21"/>
                <w:szCs w:val="21"/>
              </w:rPr>
              <w:t>废水</w:t>
            </w:r>
          </w:p>
        </w:tc>
        <w:tc>
          <w:tcPr>
            <w:tcW w:w="979" w:type="pct"/>
            <w:gridSpan w:val="2"/>
            <w:vAlign w:val="center"/>
          </w:tcPr>
          <w:p w14:paraId="261E29DF">
            <w:pPr>
              <w:kinsoku w:val="0"/>
              <w:overflowPunct w:val="0"/>
              <w:autoSpaceDE w:val="0"/>
              <w:autoSpaceDN w:val="0"/>
              <w:spacing w:line="240" w:lineRule="auto"/>
              <w:ind w:firstLine="0" w:firstLineChars="0"/>
              <w:jc w:val="center"/>
              <w:rPr>
                <w:sz w:val="21"/>
                <w:szCs w:val="21"/>
              </w:rPr>
            </w:pPr>
            <w:r>
              <w:rPr>
                <w:sz w:val="21"/>
                <w:szCs w:val="21"/>
              </w:rPr>
              <w:t>COD</w:t>
            </w:r>
          </w:p>
        </w:tc>
        <w:tc>
          <w:tcPr>
            <w:tcW w:w="1488" w:type="dxa"/>
            <w:vAlign w:val="center"/>
          </w:tcPr>
          <w:p w14:paraId="627551B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cs="Times New Roman"/>
                <w:i w:val="0"/>
                <w:iCs w:val="0"/>
                <w:color w:val="000000"/>
                <w:kern w:val="0"/>
                <w:sz w:val="21"/>
                <w:szCs w:val="21"/>
                <w:highlight w:val="none"/>
                <w:u w:val="none"/>
                <w:lang w:val="en-US" w:eastAsia="zh-CN" w:bidi="ar"/>
              </w:rPr>
              <w:t>15.8459</w:t>
            </w:r>
          </w:p>
        </w:tc>
        <w:tc>
          <w:tcPr>
            <w:tcW w:w="1488" w:type="dxa"/>
            <w:vAlign w:val="center"/>
          </w:tcPr>
          <w:p w14:paraId="2442C3F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10.9395</w:t>
            </w:r>
          </w:p>
        </w:tc>
        <w:tc>
          <w:tcPr>
            <w:tcW w:w="1489" w:type="dxa"/>
            <w:vAlign w:val="center"/>
          </w:tcPr>
          <w:p w14:paraId="2E89811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4.9064</w:t>
            </w:r>
          </w:p>
        </w:tc>
        <w:tc>
          <w:tcPr>
            <w:tcW w:w="1821" w:type="dxa"/>
            <w:vAlign w:val="center"/>
          </w:tcPr>
          <w:p w14:paraId="7405862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1.5895</w:t>
            </w:r>
          </w:p>
        </w:tc>
      </w:tr>
      <w:tr w14:paraId="636A06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7DB2267C">
            <w:pPr>
              <w:kinsoku w:val="0"/>
              <w:overflowPunct w:val="0"/>
              <w:autoSpaceDE w:val="0"/>
              <w:autoSpaceDN w:val="0"/>
              <w:spacing w:line="240" w:lineRule="auto"/>
              <w:ind w:firstLine="0" w:firstLineChars="0"/>
              <w:jc w:val="center"/>
              <w:rPr>
                <w:sz w:val="21"/>
                <w:szCs w:val="21"/>
              </w:rPr>
            </w:pPr>
          </w:p>
        </w:tc>
        <w:tc>
          <w:tcPr>
            <w:tcW w:w="979" w:type="pct"/>
            <w:gridSpan w:val="2"/>
            <w:vAlign w:val="center"/>
          </w:tcPr>
          <w:p w14:paraId="1F8B06ED">
            <w:pPr>
              <w:kinsoku w:val="0"/>
              <w:overflowPunct w:val="0"/>
              <w:autoSpaceDE w:val="0"/>
              <w:autoSpaceDN w:val="0"/>
              <w:spacing w:line="240" w:lineRule="auto"/>
              <w:ind w:firstLine="0" w:firstLineChars="0"/>
              <w:jc w:val="center"/>
              <w:rPr>
                <w:sz w:val="21"/>
                <w:szCs w:val="21"/>
              </w:rPr>
            </w:pPr>
            <w:r>
              <w:rPr>
                <w:sz w:val="21"/>
                <w:szCs w:val="21"/>
              </w:rPr>
              <w:t>氨氮</w:t>
            </w:r>
          </w:p>
        </w:tc>
        <w:tc>
          <w:tcPr>
            <w:tcW w:w="1488" w:type="dxa"/>
            <w:vAlign w:val="center"/>
          </w:tcPr>
          <w:p w14:paraId="4FE5D49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0.6135</w:t>
            </w:r>
          </w:p>
        </w:tc>
        <w:tc>
          <w:tcPr>
            <w:tcW w:w="1488" w:type="dxa"/>
            <w:vAlign w:val="center"/>
          </w:tcPr>
          <w:p w14:paraId="4BD97B1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0.1207</w:t>
            </w:r>
          </w:p>
        </w:tc>
        <w:tc>
          <w:tcPr>
            <w:tcW w:w="1489" w:type="dxa"/>
            <w:vAlign w:val="center"/>
          </w:tcPr>
          <w:p w14:paraId="5F88925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0.4928</w:t>
            </w:r>
          </w:p>
        </w:tc>
        <w:tc>
          <w:tcPr>
            <w:tcW w:w="1821" w:type="dxa"/>
            <w:vAlign w:val="center"/>
          </w:tcPr>
          <w:p w14:paraId="179D0E6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0.0795</w:t>
            </w:r>
          </w:p>
        </w:tc>
      </w:tr>
      <w:tr w14:paraId="6147F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7760F24E">
            <w:pPr>
              <w:kinsoku w:val="0"/>
              <w:overflowPunct w:val="0"/>
              <w:autoSpaceDE w:val="0"/>
              <w:autoSpaceDN w:val="0"/>
              <w:spacing w:line="240" w:lineRule="auto"/>
              <w:ind w:firstLine="0" w:firstLineChars="0"/>
              <w:jc w:val="center"/>
              <w:rPr>
                <w:sz w:val="21"/>
                <w:szCs w:val="21"/>
              </w:rPr>
            </w:pPr>
          </w:p>
        </w:tc>
        <w:tc>
          <w:tcPr>
            <w:tcW w:w="979" w:type="pct"/>
            <w:gridSpan w:val="2"/>
            <w:vAlign w:val="center"/>
          </w:tcPr>
          <w:p w14:paraId="1EC9664B">
            <w:pPr>
              <w:kinsoku w:val="0"/>
              <w:overflowPunct w:val="0"/>
              <w:autoSpaceDE w:val="0"/>
              <w:autoSpaceDN w:val="0"/>
              <w:spacing w:line="240" w:lineRule="auto"/>
              <w:ind w:firstLine="0" w:firstLineChars="0"/>
              <w:jc w:val="center"/>
              <w:rPr>
                <w:sz w:val="21"/>
                <w:szCs w:val="21"/>
              </w:rPr>
            </w:pPr>
            <w:r>
              <w:rPr>
                <w:sz w:val="21"/>
                <w:szCs w:val="21"/>
              </w:rPr>
              <w:t>TP</w:t>
            </w:r>
          </w:p>
        </w:tc>
        <w:tc>
          <w:tcPr>
            <w:tcW w:w="1488" w:type="dxa"/>
            <w:vAlign w:val="center"/>
          </w:tcPr>
          <w:p w14:paraId="3E95CD1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0.0687</w:t>
            </w:r>
          </w:p>
        </w:tc>
        <w:tc>
          <w:tcPr>
            <w:tcW w:w="1488" w:type="dxa"/>
            <w:vAlign w:val="center"/>
          </w:tcPr>
          <w:p w14:paraId="0EDB9D0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0.0316</w:t>
            </w:r>
          </w:p>
        </w:tc>
        <w:tc>
          <w:tcPr>
            <w:tcW w:w="1489" w:type="dxa"/>
            <w:vAlign w:val="center"/>
          </w:tcPr>
          <w:p w14:paraId="57E9EA2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0.0371</w:t>
            </w:r>
          </w:p>
        </w:tc>
        <w:tc>
          <w:tcPr>
            <w:tcW w:w="1821" w:type="dxa"/>
            <w:vAlign w:val="center"/>
          </w:tcPr>
          <w:p w14:paraId="7A59E0B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0.0159</w:t>
            </w:r>
          </w:p>
        </w:tc>
      </w:tr>
      <w:tr w14:paraId="2A0140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6734E23E">
            <w:pPr>
              <w:kinsoku w:val="0"/>
              <w:overflowPunct w:val="0"/>
              <w:autoSpaceDE w:val="0"/>
              <w:autoSpaceDN w:val="0"/>
              <w:spacing w:line="240" w:lineRule="auto"/>
              <w:ind w:firstLine="0" w:firstLineChars="0"/>
              <w:jc w:val="center"/>
              <w:rPr>
                <w:sz w:val="21"/>
                <w:szCs w:val="21"/>
              </w:rPr>
            </w:pPr>
          </w:p>
        </w:tc>
        <w:tc>
          <w:tcPr>
            <w:tcW w:w="979" w:type="pct"/>
            <w:gridSpan w:val="2"/>
            <w:vAlign w:val="center"/>
          </w:tcPr>
          <w:p w14:paraId="710EA7F0">
            <w:pPr>
              <w:kinsoku w:val="0"/>
              <w:overflowPunct w:val="0"/>
              <w:autoSpaceDE w:val="0"/>
              <w:autoSpaceDN w:val="0"/>
              <w:spacing w:line="240" w:lineRule="auto"/>
              <w:ind w:firstLine="0" w:firstLineChars="0"/>
              <w:jc w:val="center"/>
              <w:rPr>
                <w:sz w:val="21"/>
                <w:szCs w:val="21"/>
              </w:rPr>
            </w:pPr>
            <w:r>
              <w:rPr>
                <w:sz w:val="21"/>
                <w:szCs w:val="21"/>
              </w:rPr>
              <w:t>TN</w:t>
            </w:r>
          </w:p>
        </w:tc>
        <w:tc>
          <w:tcPr>
            <w:tcW w:w="1488" w:type="dxa"/>
            <w:vAlign w:val="center"/>
          </w:tcPr>
          <w:p w14:paraId="1EC2D90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0.7293</w:t>
            </w:r>
          </w:p>
        </w:tc>
        <w:tc>
          <w:tcPr>
            <w:tcW w:w="1488" w:type="dxa"/>
            <w:vAlign w:val="center"/>
          </w:tcPr>
          <w:p w14:paraId="208FEB5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0.1465</w:t>
            </w:r>
          </w:p>
        </w:tc>
        <w:tc>
          <w:tcPr>
            <w:tcW w:w="1489" w:type="dxa"/>
            <w:vAlign w:val="center"/>
          </w:tcPr>
          <w:p w14:paraId="64584C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0.5828</w:t>
            </w:r>
          </w:p>
        </w:tc>
        <w:tc>
          <w:tcPr>
            <w:tcW w:w="1821" w:type="dxa"/>
            <w:vAlign w:val="center"/>
          </w:tcPr>
          <w:p w14:paraId="1225C2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default" w:ascii="Times New Roman" w:hAnsi="Times New Roman" w:eastAsia="宋体" w:cs="Times New Roman"/>
                <w:i w:val="0"/>
                <w:iCs w:val="0"/>
                <w:color w:val="000000"/>
                <w:kern w:val="0"/>
                <w:sz w:val="21"/>
                <w:szCs w:val="21"/>
                <w:u w:val="none"/>
                <w:lang w:val="en-US" w:eastAsia="zh-CN" w:bidi="ar"/>
              </w:rPr>
              <w:t>0.5828</w:t>
            </w:r>
          </w:p>
        </w:tc>
      </w:tr>
      <w:tr w14:paraId="334DCC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081031AE">
            <w:pPr>
              <w:kinsoku w:val="0"/>
              <w:overflowPunct w:val="0"/>
              <w:autoSpaceDE w:val="0"/>
              <w:autoSpaceDN w:val="0"/>
              <w:spacing w:line="240" w:lineRule="auto"/>
              <w:ind w:firstLine="0" w:firstLineChars="0"/>
              <w:jc w:val="center"/>
              <w:rPr>
                <w:sz w:val="21"/>
                <w:szCs w:val="21"/>
              </w:rPr>
            </w:pPr>
          </w:p>
        </w:tc>
        <w:tc>
          <w:tcPr>
            <w:tcW w:w="979" w:type="pct"/>
            <w:gridSpan w:val="2"/>
            <w:vAlign w:val="center"/>
          </w:tcPr>
          <w:p w14:paraId="42E78456">
            <w:pPr>
              <w:kinsoku w:val="0"/>
              <w:overflowPunct w:val="0"/>
              <w:autoSpaceDE w:val="0"/>
              <w:autoSpaceDN w:val="0"/>
              <w:spacing w:line="240" w:lineRule="auto"/>
              <w:ind w:firstLine="0" w:firstLineChars="0"/>
              <w:jc w:val="center"/>
              <w:rPr>
                <w:sz w:val="21"/>
                <w:szCs w:val="21"/>
              </w:rPr>
            </w:pPr>
            <w:r>
              <w:rPr>
                <w:sz w:val="21"/>
                <w:szCs w:val="21"/>
              </w:rPr>
              <w:t>水量</w:t>
            </w:r>
          </w:p>
        </w:tc>
        <w:tc>
          <w:tcPr>
            <w:tcW w:w="1488" w:type="dxa"/>
            <w:vAlign w:val="center"/>
          </w:tcPr>
          <w:p w14:paraId="39E495F9">
            <w:pPr>
              <w:pStyle w:val="75"/>
              <w:spacing w:line="240" w:lineRule="auto"/>
              <w:ind w:firstLine="0" w:firstLineChars="0"/>
              <w:rPr>
                <w:bCs/>
                <w:sz w:val="21"/>
                <w:szCs w:val="21"/>
              </w:rPr>
            </w:pPr>
            <w:r>
              <w:rPr>
                <w:rFonts w:hint="eastAsia"/>
                <w:bCs/>
                <w:sz w:val="21"/>
                <w:szCs w:val="21"/>
                <w:highlight w:val="none"/>
                <w:lang w:val="en-US" w:eastAsia="zh-CN"/>
              </w:rPr>
              <w:t>52984.5</w:t>
            </w:r>
          </w:p>
        </w:tc>
        <w:tc>
          <w:tcPr>
            <w:tcW w:w="1488" w:type="dxa"/>
            <w:vAlign w:val="center"/>
          </w:tcPr>
          <w:p w14:paraId="615DCA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eastAsia="宋体"/>
                <w:bCs/>
                <w:sz w:val="21"/>
                <w:szCs w:val="21"/>
                <w:lang w:val="en-US" w:eastAsia="zh-CN"/>
              </w:rPr>
            </w:pPr>
            <w:r>
              <w:rPr>
                <w:rFonts w:hint="eastAsia" w:cs="Times New Roman"/>
                <w:bCs/>
                <w:sz w:val="21"/>
                <w:szCs w:val="21"/>
                <w:highlight w:val="none"/>
                <w:lang w:val="en-US" w:eastAsia="zh-CN"/>
              </w:rPr>
              <w:t>/</w:t>
            </w:r>
          </w:p>
        </w:tc>
        <w:tc>
          <w:tcPr>
            <w:tcW w:w="1489" w:type="dxa"/>
            <w:vAlign w:val="center"/>
          </w:tcPr>
          <w:p w14:paraId="6DC1793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bCs/>
                <w:sz w:val="21"/>
                <w:szCs w:val="21"/>
              </w:rPr>
            </w:pPr>
            <w:r>
              <w:rPr>
                <w:rFonts w:hint="eastAsia" w:cs="Times New Roman"/>
                <w:bCs/>
                <w:sz w:val="21"/>
                <w:szCs w:val="21"/>
                <w:highlight w:val="none"/>
                <w:lang w:val="en-US" w:eastAsia="zh-CN"/>
              </w:rPr>
              <w:t>52984.5</w:t>
            </w:r>
          </w:p>
        </w:tc>
        <w:tc>
          <w:tcPr>
            <w:tcW w:w="1821" w:type="dxa"/>
            <w:vAlign w:val="center"/>
          </w:tcPr>
          <w:p w14:paraId="348A907B">
            <w:pPr>
              <w:pStyle w:val="75"/>
              <w:spacing w:line="240" w:lineRule="auto"/>
              <w:ind w:firstLine="0" w:firstLineChars="0"/>
              <w:rPr>
                <w:bCs/>
                <w:sz w:val="21"/>
                <w:szCs w:val="21"/>
              </w:rPr>
            </w:pPr>
            <w:r>
              <w:rPr>
                <w:rFonts w:hint="eastAsia"/>
                <w:sz w:val="21"/>
                <w:szCs w:val="21"/>
                <w:highlight w:val="none"/>
                <w:lang w:val="en-US" w:eastAsia="zh-CN"/>
              </w:rPr>
              <w:t>52984.5</w:t>
            </w:r>
          </w:p>
        </w:tc>
      </w:tr>
      <w:tr w14:paraId="7B3E1F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6DC55390">
            <w:pPr>
              <w:kinsoku w:val="0"/>
              <w:overflowPunct w:val="0"/>
              <w:autoSpaceDE w:val="0"/>
              <w:autoSpaceDN w:val="0"/>
              <w:spacing w:line="240" w:lineRule="auto"/>
              <w:ind w:firstLine="0" w:firstLineChars="0"/>
              <w:jc w:val="center"/>
              <w:rPr>
                <w:sz w:val="21"/>
                <w:szCs w:val="21"/>
                <w:highlight w:val="yellow"/>
              </w:rPr>
            </w:pPr>
            <w:r>
              <w:rPr>
                <w:sz w:val="21"/>
                <w:szCs w:val="21"/>
              </w:rPr>
              <w:t>废气</w:t>
            </w:r>
          </w:p>
        </w:tc>
        <w:tc>
          <w:tcPr>
            <w:tcW w:w="283" w:type="pct"/>
            <w:vMerge w:val="restart"/>
            <w:vAlign w:val="center"/>
          </w:tcPr>
          <w:p w14:paraId="04B60ED5">
            <w:pPr>
              <w:kinsoku w:val="0"/>
              <w:overflowPunct w:val="0"/>
              <w:autoSpaceDE w:val="0"/>
              <w:autoSpaceDN w:val="0"/>
              <w:spacing w:line="240" w:lineRule="auto"/>
              <w:ind w:firstLine="0" w:firstLineChars="0"/>
              <w:jc w:val="center"/>
              <w:rPr>
                <w:sz w:val="21"/>
                <w:szCs w:val="21"/>
              </w:rPr>
            </w:pPr>
            <w:r>
              <w:rPr>
                <w:sz w:val="21"/>
                <w:szCs w:val="21"/>
              </w:rPr>
              <w:t>有组织</w:t>
            </w:r>
          </w:p>
        </w:tc>
        <w:tc>
          <w:tcPr>
            <w:tcW w:w="696" w:type="pct"/>
            <w:vAlign w:val="center"/>
          </w:tcPr>
          <w:p w14:paraId="70A5ED1F">
            <w:pPr>
              <w:kinsoku w:val="0"/>
              <w:overflowPunct w:val="0"/>
              <w:autoSpaceDE w:val="0"/>
              <w:autoSpaceDN w:val="0"/>
              <w:spacing w:line="240" w:lineRule="auto"/>
              <w:ind w:firstLine="0" w:firstLineChars="0"/>
              <w:jc w:val="center"/>
              <w:rPr>
                <w:sz w:val="21"/>
                <w:szCs w:val="21"/>
              </w:rPr>
            </w:pPr>
            <w:r>
              <w:rPr>
                <w:sz w:val="21"/>
                <w:szCs w:val="21"/>
              </w:rPr>
              <w:t>硫酸雾</w:t>
            </w:r>
          </w:p>
        </w:tc>
        <w:tc>
          <w:tcPr>
            <w:tcW w:w="1488" w:type="dxa"/>
            <w:vAlign w:val="center"/>
          </w:tcPr>
          <w:p w14:paraId="7B2BED65">
            <w:pPr>
              <w:kinsoku w:val="0"/>
              <w:overflowPunct w:val="0"/>
              <w:autoSpaceDE w:val="0"/>
              <w:autoSpaceDN w:val="0"/>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3.8767</w:t>
            </w:r>
          </w:p>
        </w:tc>
        <w:tc>
          <w:tcPr>
            <w:tcW w:w="1488" w:type="dxa"/>
            <w:vAlign w:val="center"/>
          </w:tcPr>
          <w:p w14:paraId="4F3701F8">
            <w:pPr>
              <w:spacing w:line="240" w:lineRule="auto"/>
              <w:ind w:firstLine="0" w:firstLineChars="0"/>
              <w:jc w:val="center"/>
              <w:rPr>
                <w:rFonts w:hint="default"/>
                <w:bCs/>
                <w:sz w:val="21"/>
                <w:szCs w:val="21"/>
                <w:lang w:val="en-US" w:eastAsia="zh-CN"/>
              </w:rPr>
            </w:pPr>
            <w:r>
              <w:rPr>
                <w:rFonts w:hint="eastAsia"/>
                <w:bCs/>
                <w:sz w:val="21"/>
                <w:szCs w:val="21"/>
                <w:highlight w:val="none"/>
                <w:lang w:val="en-US" w:eastAsia="zh-CN"/>
              </w:rPr>
              <w:t>3.4889</w:t>
            </w:r>
          </w:p>
        </w:tc>
        <w:tc>
          <w:tcPr>
            <w:tcW w:w="1489" w:type="dxa"/>
            <w:vAlign w:val="center"/>
          </w:tcPr>
          <w:p w14:paraId="145BA52D">
            <w:pPr>
              <w:kinsoku w:val="0"/>
              <w:overflowPunct w:val="0"/>
              <w:autoSpaceDE w:val="0"/>
              <w:autoSpaceDN w:val="0"/>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0.3878</w:t>
            </w:r>
          </w:p>
        </w:tc>
        <w:tc>
          <w:tcPr>
            <w:tcW w:w="1821" w:type="dxa"/>
            <w:vAlign w:val="center"/>
          </w:tcPr>
          <w:p w14:paraId="31C9A6F4">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2536E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790ECC3D">
            <w:pPr>
              <w:kinsoku w:val="0"/>
              <w:overflowPunct w:val="0"/>
              <w:autoSpaceDE w:val="0"/>
              <w:autoSpaceDN w:val="0"/>
              <w:spacing w:line="240" w:lineRule="auto"/>
              <w:ind w:firstLine="0" w:firstLineChars="0"/>
              <w:jc w:val="center"/>
              <w:rPr>
                <w:sz w:val="21"/>
                <w:szCs w:val="21"/>
                <w:highlight w:val="yellow"/>
              </w:rPr>
            </w:pPr>
          </w:p>
        </w:tc>
        <w:tc>
          <w:tcPr>
            <w:tcW w:w="283" w:type="pct"/>
            <w:vMerge w:val="continue"/>
            <w:vAlign w:val="center"/>
          </w:tcPr>
          <w:p w14:paraId="3AEB1212">
            <w:pPr>
              <w:kinsoku w:val="0"/>
              <w:overflowPunct w:val="0"/>
              <w:autoSpaceDE w:val="0"/>
              <w:autoSpaceDN w:val="0"/>
              <w:spacing w:line="240" w:lineRule="auto"/>
              <w:ind w:firstLine="0" w:firstLineChars="0"/>
              <w:jc w:val="center"/>
              <w:rPr>
                <w:sz w:val="21"/>
                <w:szCs w:val="21"/>
              </w:rPr>
            </w:pPr>
          </w:p>
        </w:tc>
        <w:tc>
          <w:tcPr>
            <w:tcW w:w="696" w:type="pct"/>
            <w:vAlign w:val="center"/>
          </w:tcPr>
          <w:p w14:paraId="3E093883">
            <w:pPr>
              <w:kinsoku w:val="0"/>
              <w:overflowPunct w:val="0"/>
              <w:autoSpaceDE w:val="0"/>
              <w:autoSpaceDN w:val="0"/>
              <w:spacing w:line="240" w:lineRule="auto"/>
              <w:ind w:firstLine="0" w:firstLineChars="0"/>
              <w:jc w:val="center"/>
              <w:rPr>
                <w:sz w:val="21"/>
                <w:szCs w:val="21"/>
              </w:rPr>
            </w:pPr>
            <w:r>
              <w:rPr>
                <w:rFonts w:hint="eastAsia"/>
                <w:sz w:val="21"/>
                <w:szCs w:val="21"/>
              </w:rPr>
              <w:t>N</w:t>
            </w:r>
            <w:r>
              <w:rPr>
                <w:sz w:val="21"/>
                <w:szCs w:val="21"/>
              </w:rPr>
              <w:t>H</w:t>
            </w:r>
            <w:r>
              <w:rPr>
                <w:sz w:val="21"/>
                <w:szCs w:val="21"/>
                <w:vertAlign w:val="subscript"/>
              </w:rPr>
              <w:t>3</w:t>
            </w:r>
          </w:p>
        </w:tc>
        <w:tc>
          <w:tcPr>
            <w:tcW w:w="1488" w:type="dxa"/>
            <w:vAlign w:val="center"/>
          </w:tcPr>
          <w:p w14:paraId="41EEBF26">
            <w:pPr>
              <w:spacing w:line="240" w:lineRule="auto"/>
              <w:ind w:firstLine="0" w:firstLineChars="0"/>
              <w:jc w:val="center"/>
              <w:rPr>
                <w:rFonts w:hint="default"/>
                <w:sz w:val="21"/>
                <w:szCs w:val="21"/>
                <w:lang w:val="en-US" w:eastAsia="zh-CN"/>
              </w:rPr>
            </w:pPr>
            <w:r>
              <w:rPr>
                <w:rFonts w:hint="eastAsia"/>
                <w:sz w:val="21"/>
                <w:szCs w:val="21"/>
                <w:highlight w:val="none"/>
                <w:lang w:val="en-US" w:eastAsia="zh-CN"/>
              </w:rPr>
              <w:t>0.0832</w:t>
            </w:r>
          </w:p>
        </w:tc>
        <w:tc>
          <w:tcPr>
            <w:tcW w:w="1488" w:type="dxa"/>
            <w:vAlign w:val="center"/>
          </w:tcPr>
          <w:p w14:paraId="2BCD0DAD">
            <w:pPr>
              <w:spacing w:line="240" w:lineRule="auto"/>
              <w:ind w:firstLine="0" w:firstLineChars="0"/>
              <w:jc w:val="center"/>
              <w:rPr>
                <w:rFonts w:hint="default"/>
                <w:bCs/>
                <w:sz w:val="21"/>
                <w:szCs w:val="21"/>
                <w:lang w:val="en-US" w:eastAsia="zh-CN"/>
              </w:rPr>
            </w:pPr>
            <w:r>
              <w:rPr>
                <w:rFonts w:hint="eastAsia"/>
                <w:bCs/>
                <w:sz w:val="21"/>
                <w:szCs w:val="21"/>
                <w:highlight w:val="none"/>
                <w:lang w:val="en-US" w:eastAsia="zh-CN"/>
              </w:rPr>
              <w:t>0.0749</w:t>
            </w:r>
          </w:p>
        </w:tc>
        <w:tc>
          <w:tcPr>
            <w:tcW w:w="1489" w:type="dxa"/>
            <w:vAlign w:val="center"/>
          </w:tcPr>
          <w:p w14:paraId="075A8AEA">
            <w:pPr>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0.0083</w:t>
            </w:r>
          </w:p>
        </w:tc>
        <w:tc>
          <w:tcPr>
            <w:tcW w:w="1821" w:type="dxa"/>
            <w:vAlign w:val="center"/>
          </w:tcPr>
          <w:p w14:paraId="75808342">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374DE1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041700FE">
            <w:pPr>
              <w:kinsoku w:val="0"/>
              <w:overflowPunct w:val="0"/>
              <w:autoSpaceDE w:val="0"/>
              <w:autoSpaceDN w:val="0"/>
              <w:spacing w:line="240" w:lineRule="auto"/>
              <w:ind w:firstLine="0" w:firstLineChars="0"/>
              <w:jc w:val="center"/>
              <w:rPr>
                <w:sz w:val="21"/>
                <w:szCs w:val="21"/>
                <w:highlight w:val="yellow"/>
              </w:rPr>
            </w:pPr>
          </w:p>
        </w:tc>
        <w:tc>
          <w:tcPr>
            <w:tcW w:w="283" w:type="pct"/>
            <w:vMerge w:val="continue"/>
            <w:vAlign w:val="center"/>
          </w:tcPr>
          <w:p w14:paraId="13C9732F">
            <w:pPr>
              <w:kinsoku w:val="0"/>
              <w:overflowPunct w:val="0"/>
              <w:autoSpaceDE w:val="0"/>
              <w:autoSpaceDN w:val="0"/>
              <w:spacing w:line="240" w:lineRule="auto"/>
              <w:ind w:firstLine="0" w:firstLineChars="0"/>
              <w:jc w:val="center"/>
              <w:rPr>
                <w:sz w:val="21"/>
                <w:szCs w:val="21"/>
              </w:rPr>
            </w:pPr>
          </w:p>
        </w:tc>
        <w:tc>
          <w:tcPr>
            <w:tcW w:w="696" w:type="pct"/>
            <w:vAlign w:val="center"/>
          </w:tcPr>
          <w:p w14:paraId="74116971">
            <w:pPr>
              <w:kinsoku w:val="0"/>
              <w:overflowPunct w:val="0"/>
              <w:autoSpaceDE w:val="0"/>
              <w:autoSpaceDN w:val="0"/>
              <w:spacing w:line="240" w:lineRule="auto"/>
              <w:ind w:firstLine="0" w:firstLineChars="0"/>
              <w:jc w:val="center"/>
              <w:rPr>
                <w:sz w:val="21"/>
                <w:szCs w:val="21"/>
              </w:rPr>
            </w:pPr>
            <w:r>
              <w:rPr>
                <w:rFonts w:hint="eastAsia"/>
                <w:sz w:val="21"/>
                <w:szCs w:val="21"/>
              </w:rPr>
              <w:t>H</w:t>
            </w:r>
            <w:r>
              <w:rPr>
                <w:sz w:val="21"/>
                <w:szCs w:val="21"/>
                <w:vertAlign w:val="subscript"/>
              </w:rPr>
              <w:t>2</w:t>
            </w:r>
            <w:r>
              <w:rPr>
                <w:sz w:val="21"/>
                <w:szCs w:val="21"/>
              </w:rPr>
              <w:t>S</w:t>
            </w:r>
          </w:p>
        </w:tc>
        <w:tc>
          <w:tcPr>
            <w:tcW w:w="1488" w:type="dxa"/>
            <w:vAlign w:val="center"/>
          </w:tcPr>
          <w:p w14:paraId="5F170F71">
            <w:pPr>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0.0004</w:t>
            </w:r>
          </w:p>
        </w:tc>
        <w:tc>
          <w:tcPr>
            <w:tcW w:w="1488" w:type="dxa"/>
            <w:vAlign w:val="center"/>
          </w:tcPr>
          <w:p w14:paraId="16EE1C23">
            <w:pPr>
              <w:spacing w:line="240" w:lineRule="auto"/>
              <w:ind w:firstLine="0" w:firstLineChars="0"/>
              <w:jc w:val="center"/>
              <w:rPr>
                <w:rFonts w:hint="default"/>
                <w:bCs/>
                <w:sz w:val="21"/>
                <w:szCs w:val="21"/>
                <w:lang w:val="en-US" w:eastAsia="zh-CN"/>
              </w:rPr>
            </w:pPr>
            <w:r>
              <w:rPr>
                <w:rFonts w:hint="eastAsia"/>
                <w:bCs/>
                <w:sz w:val="21"/>
                <w:szCs w:val="21"/>
                <w:highlight w:val="none"/>
                <w:lang w:val="en-US" w:eastAsia="zh-CN"/>
              </w:rPr>
              <w:t>0.00036</w:t>
            </w:r>
          </w:p>
        </w:tc>
        <w:tc>
          <w:tcPr>
            <w:tcW w:w="1489" w:type="dxa"/>
            <w:vAlign w:val="center"/>
          </w:tcPr>
          <w:p w14:paraId="26AA91B7">
            <w:pPr>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0.00004</w:t>
            </w:r>
          </w:p>
        </w:tc>
        <w:tc>
          <w:tcPr>
            <w:tcW w:w="1821" w:type="dxa"/>
            <w:vAlign w:val="center"/>
          </w:tcPr>
          <w:p w14:paraId="21F65C17">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3893B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00E49FFB">
            <w:pPr>
              <w:kinsoku w:val="0"/>
              <w:overflowPunct w:val="0"/>
              <w:autoSpaceDE w:val="0"/>
              <w:autoSpaceDN w:val="0"/>
              <w:spacing w:line="240" w:lineRule="auto"/>
              <w:ind w:firstLine="0" w:firstLineChars="0"/>
              <w:jc w:val="center"/>
              <w:rPr>
                <w:sz w:val="21"/>
                <w:szCs w:val="21"/>
                <w:highlight w:val="yellow"/>
              </w:rPr>
            </w:pPr>
          </w:p>
        </w:tc>
        <w:tc>
          <w:tcPr>
            <w:tcW w:w="283" w:type="pct"/>
            <w:vMerge w:val="restart"/>
            <w:vAlign w:val="center"/>
          </w:tcPr>
          <w:p w14:paraId="479A0FCA">
            <w:pPr>
              <w:kinsoku w:val="0"/>
              <w:overflowPunct w:val="0"/>
              <w:autoSpaceDE w:val="0"/>
              <w:autoSpaceDN w:val="0"/>
              <w:spacing w:line="240" w:lineRule="auto"/>
              <w:ind w:firstLine="0" w:firstLineChars="0"/>
              <w:jc w:val="center"/>
              <w:rPr>
                <w:sz w:val="21"/>
                <w:szCs w:val="21"/>
              </w:rPr>
            </w:pPr>
            <w:r>
              <w:rPr>
                <w:sz w:val="21"/>
                <w:szCs w:val="21"/>
              </w:rPr>
              <w:t>无组织</w:t>
            </w:r>
          </w:p>
        </w:tc>
        <w:tc>
          <w:tcPr>
            <w:tcW w:w="696" w:type="pct"/>
            <w:vAlign w:val="center"/>
          </w:tcPr>
          <w:p w14:paraId="7CFD2E59">
            <w:pPr>
              <w:kinsoku w:val="0"/>
              <w:overflowPunct w:val="0"/>
              <w:autoSpaceDE w:val="0"/>
              <w:autoSpaceDN w:val="0"/>
              <w:spacing w:line="240" w:lineRule="auto"/>
              <w:ind w:firstLine="0" w:firstLineChars="0"/>
              <w:jc w:val="center"/>
              <w:rPr>
                <w:sz w:val="21"/>
                <w:szCs w:val="21"/>
              </w:rPr>
            </w:pPr>
            <w:r>
              <w:rPr>
                <w:sz w:val="21"/>
                <w:szCs w:val="21"/>
              </w:rPr>
              <w:t>硫酸雾</w:t>
            </w:r>
          </w:p>
        </w:tc>
        <w:tc>
          <w:tcPr>
            <w:tcW w:w="1488" w:type="dxa"/>
            <w:vAlign w:val="center"/>
          </w:tcPr>
          <w:p w14:paraId="13A00301">
            <w:pPr>
              <w:kinsoku w:val="0"/>
              <w:overflowPunct w:val="0"/>
              <w:autoSpaceDE w:val="0"/>
              <w:autoSpaceDN w:val="0"/>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0.0791</w:t>
            </w:r>
          </w:p>
        </w:tc>
        <w:tc>
          <w:tcPr>
            <w:tcW w:w="1488" w:type="dxa"/>
            <w:vAlign w:val="center"/>
          </w:tcPr>
          <w:p w14:paraId="69DC69EE">
            <w:pPr>
              <w:kinsoku w:val="0"/>
              <w:overflowPunct w:val="0"/>
              <w:autoSpaceDE w:val="0"/>
              <w:autoSpaceDN w:val="0"/>
              <w:spacing w:line="240" w:lineRule="auto"/>
              <w:ind w:firstLine="0" w:firstLineChars="0"/>
              <w:jc w:val="center"/>
              <w:rPr>
                <w:rFonts w:hint="eastAsia" w:eastAsia="宋体"/>
                <w:bCs/>
                <w:sz w:val="21"/>
                <w:szCs w:val="21"/>
                <w:lang w:val="en-US" w:eastAsia="zh-CN"/>
              </w:rPr>
            </w:pPr>
            <w:r>
              <w:rPr>
                <w:rFonts w:hint="eastAsia"/>
                <w:bCs/>
                <w:sz w:val="21"/>
                <w:szCs w:val="21"/>
                <w:highlight w:val="none"/>
                <w:lang w:val="en-US" w:eastAsia="zh-CN"/>
              </w:rPr>
              <w:t>0</w:t>
            </w:r>
          </w:p>
        </w:tc>
        <w:tc>
          <w:tcPr>
            <w:tcW w:w="1489" w:type="dxa"/>
            <w:vAlign w:val="center"/>
          </w:tcPr>
          <w:p w14:paraId="33894C99">
            <w:pPr>
              <w:kinsoku w:val="0"/>
              <w:overflowPunct w:val="0"/>
              <w:autoSpaceDE w:val="0"/>
              <w:autoSpaceDN w:val="0"/>
              <w:spacing w:line="240" w:lineRule="auto"/>
              <w:ind w:firstLine="0" w:firstLineChars="0"/>
              <w:jc w:val="center"/>
              <w:rPr>
                <w:rFonts w:hint="default"/>
                <w:bCs/>
                <w:sz w:val="21"/>
                <w:szCs w:val="21"/>
                <w:lang w:val="en-US"/>
              </w:rPr>
            </w:pPr>
            <w:r>
              <w:rPr>
                <w:rFonts w:hint="eastAsia"/>
                <w:bCs/>
                <w:sz w:val="21"/>
                <w:szCs w:val="21"/>
                <w:highlight w:val="none"/>
                <w:lang w:val="en-US" w:eastAsia="zh-CN"/>
              </w:rPr>
              <w:t>0.0791</w:t>
            </w:r>
          </w:p>
        </w:tc>
        <w:tc>
          <w:tcPr>
            <w:tcW w:w="1821" w:type="dxa"/>
            <w:vAlign w:val="center"/>
          </w:tcPr>
          <w:p w14:paraId="5672B310">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429CF9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3F9781DA">
            <w:pPr>
              <w:kinsoku w:val="0"/>
              <w:overflowPunct w:val="0"/>
              <w:autoSpaceDE w:val="0"/>
              <w:autoSpaceDN w:val="0"/>
              <w:spacing w:line="240" w:lineRule="auto"/>
              <w:ind w:firstLine="0" w:firstLineChars="0"/>
              <w:jc w:val="center"/>
              <w:rPr>
                <w:sz w:val="21"/>
                <w:szCs w:val="21"/>
                <w:highlight w:val="yellow"/>
              </w:rPr>
            </w:pPr>
          </w:p>
        </w:tc>
        <w:tc>
          <w:tcPr>
            <w:tcW w:w="283" w:type="pct"/>
            <w:vMerge w:val="continue"/>
            <w:vAlign w:val="center"/>
          </w:tcPr>
          <w:p w14:paraId="11BCA58E">
            <w:pPr>
              <w:kinsoku w:val="0"/>
              <w:overflowPunct w:val="0"/>
              <w:autoSpaceDE w:val="0"/>
              <w:autoSpaceDN w:val="0"/>
              <w:spacing w:line="240" w:lineRule="auto"/>
              <w:ind w:firstLine="0" w:firstLineChars="0"/>
              <w:jc w:val="center"/>
              <w:rPr>
                <w:sz w:val="21"/>
                <w:szCs w:val="21"/>
              </w:rPr>
            </w:pPr>
          </w:p>
        </w:tc>
        <w:tc>
          <w:tcPr>
            <w:tcW w:w="696" w:type="pct"/>
            <w:vAlign w:val="center"/>
          </w:tcPr>
          <w:p w14:paraId="0A2AA61B">
            <w:pPr>
              <w:kinsoku w:val="0"/>
              <w:overflowPunct w:val="0"/>
              <w:autoSpaceDE w:val="0"/>
              <w:autoSpaceDN w:val="0"/>
              <w:spacing w:line="240" w:lineRule="auto"/>
              <w:ind w:firstLine="0" w:firstLineChars="0"/>
              <w:jc w:val="center"/>
              <w:rPr>
                <w:sz w:val="21"/>
                <w:szCs w:val="21"/>
              </w:rPr>
            </w:pPr>
            <w:r>
              <w:rPr>
                <w:rFonts w:hint="eastAsia"/>
                <w:sz w:val="21"/>
                <w:szCs w:val="21"/>
              </w:rPr>
              <w:t>N</w:t>
            </w:r>
            <w:r>
              <w:rPr>
                <w:sz w:val="21"/>
                <w:szCs w:val="21"/>
              </w:rPr>
              <w:t>H</w:t>
            </w:r>
            <w:r>
              <w:rPr>
                <w:sz w:val="21"/>
                <w:szCs w:val="21"/>
                <w:vertAlign w:val="subscript"/>
              </w:rPr>
              <w:t>3</w:t>
            </w:r>
          </w:p>
        </w:tc>
        <w:tc>
          <w:tcPr>
            <w:tcW w:w="1488" w:type="dxa"/>
            <w:vAlign w:val="center"/>
          </w:tcPr>
          <w:p w14:paraId="4E3201B2">
            <w:pPr>
              <w:kinsoku w:val="0"/>
              <w:overflowPunct w:val="0"/>
              <w:autoSpaceDE w:val="0"/>
              <w:autoSpaceDN w:val="0"/>
              <w:spacing w:line="240" w:lineRule="auto"/>
              <w:ind w:firstLine="0" w:firstLineChars="0"/>
              <w:jc w:val="center"/>
              <w:rPr>
                <w:rFonts w:hint="default" w:eastAsia="宋体"/>
                <w:bCs/>
                <w:sz w:val="21"/>
                <w:szCs w:val="21"/>
                <w:lang w:val="en-US" w:eastAsia="zh-CN"/>
              </w:rPr>
            </w:pPr>
            <w:r>
              <w:rPr>
                <w:rFonts w:hint="eastAsia"/>
                <w:bCs/>
                <w:sz w:val="21"/>
                <w:szCs w:val="21"/>
                <w:highlight w:val="none"/>
                <w:lang w:val="en-US" w:eastAsia="zh-CN"/>
              </w:rPr>
              <w:t>0.0044</w:t>
            </w:r>
          </w:p>
        </w:tc>
        <w:tc>
          <w:tcPr>
            <w:tcW w:w="1488" w:type="dxa"/>
            <w:vAlign w:val="center"/>
          </w:tcPr>
          <w:p w14:paraId="70C801B0">
            <w:pPr>
              <w:kinsoku w:val="0"/>
              <w:overflowPunct w:val="0"/>
              <w:autoSpaceDE w:val="0"/>
              <w:autoSpaceDN w:val="0"/>
              <w:spacing w:line="240" w:lineRule="auto"/>
              <w:ind w:firstLine="0" w:firstLineChars="0"/>
              <w:jc w:val="center"/>
              <w:rPr>
                <w:rFonts w:hint="eastAsia" w:eastAsia="宋体"/>
                <w:bCs/>
                <w:sz w:val="21"/>
                <w:szCs w:val="21"/>
                <w:lang w:val="en-US" w:eastAsia="zh-CN"/>
              </w:rPr>
            </w:pPr>
            <w:r>
              <w:rPr>
                <w:rFonts w:hint="eastAsia"/>
                <w:bCs/>
                <w:sz w:val="21"/>
                <w:szCs w:val="21"/>
                <w:highlight w:val="none"/>
                <w:lang w:val="en-US" w:eastAsia="zh-CN"/>
              </w:rPr>
              <w:t>0</w:t>
            </w:r>
          </w:p>
        </w:tc>
        <w:tc>
          <w:tcPr>
            <w:tcW w:w="1489" w:type="dxa"/>
            <w:vAlign w:val="center"/>
          </w:tcPr>
          <w:p w14:paraId="4137EB06">
            <w:pPr>
              <w:kinsoku w:val="0"/>
              <w:overflowPunct w:val="0"/>
              <w:autoSpaceDE w:val="0"/>
              <w:autoSpaceDN w:val="0"/>
              <w:spacing w:line="240" w:lineRule="auto"/>
              <w:ind w:firstLine="0" w:firstLineChars="0"/>
              <w:jc w:val="center"/>
              <w:rPr>
                <w:bCs/>
                <w:sz w:val="21"/>
                <w:szCs w:val="21"/>
              </w:rPr>
            </w:pPr>
            <w:r>
              <w:rPr>
                <w:rFonts w:hint="eastAsia"/>
                <w:bCs/>
                <w:sz w:val="21"/>
                <w:szCs w:val="21"/>
                <w:highlight w:val="none"/>
                <w:lang w:val="en-US" w:eastAsia="zh-CN"/>
              </w:rPr>
              <w:t>0.0044</w:t>
            </w:r>
          </w:p>
        </w:tc>
        <w:tc>
          <w:tcPr>
            <w:tcW w:w="1821" w:type="dxa"/>
            <w:vAlign w:val="center"/>
          </w:tcPr>
          <w:p w14:paraId="12F68A1D">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5CC65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continue"/>
            <w:vAlign w:val="center"/>
          </w:tcPr>
          <w:p w14:paraId="6950518A">
            <w:pPr>
              <w:kinsoku w:val="0"/>
              <w:overflowPunct w:val="0"/>
              <w:autoSpaceDE w:val="0"/>
              <w:autoSpaceDN w:val="0"/>
              <w:spacing w:line="240" w:lineRule="auto"/>
              <w:ind w:firstLine="0" w:firstLineChars="0"/>
              <w:jc w:val="center"/>
              <w:rPr>
                <w:sz w:val="21"/>
                <w:szCs w:val="21"/>
                <w:highlight w:val="yellow"/>
              </w:rPr>
            </w:pPr>
          </w:p>
        </w:tc>
        <w:tc>
          <w:tcPr>
            <w:tcW w:w="283" w:type="pct"/>
            <w:vMerge w:val="continue"/>
            <w:vAlign w:val="center"/>
          </w:tcPr>
          <w:p w14:paraId="55129D0B">
            <w:pPr>
              <w:kinsoku w:val="0"/>
              <w:overflowPunct w:val="0"/>
              <w:autoSpaceDE w:val="0"/>
              <w:autoSpaceDN w:val="0"/>
              <w:spacing w:line="240" w:lineRule="auto"/>
              <w:ind w:firstLine="0" w:firstLineChars="0"/>
              <w:jc w:val="center"/>
              <w:rPr>
                <w:sz w:val="21"/>
                <w:szCs w:val="21"/>
              </w:rPr>
            </w:pPr>
          </w:p>
        </w:tc>
        <w:tc>
          <w:tcPr>
            <w:tcW w:w="696" w:type="pct"/>
            <w:vAlign w:val="center"/>
          </w:tcPr>
          <w:p w14:paraId="4574CD24">
            <w:pPr>
              <w:kinsoku w:val="0"/>
              <w:overflowPunct w:val="0"/>
              <w:autoSpaceDE w:val="0"/>
              <w:autoSpaceDN w:val="0"/>
              <w:spacing w:line="240" w:lineRule="auto"/>
              <w:ind w:firstLine="0" w:firstLineChars="0"/>
              <w:jc w:val="center"/>
              <w:rPr>
                <w:sz w:val="21"/>
                <w:szCs w:val="21"/>
              </w:rPr>
            </w:pPr>
            <w:r>
              <w:rPr>
                <w:rFonts w:hint="eastAsia"/>
                <w:sz w:val="21"/>
                <w:szCs w:val="21"/>
              </w:rPr>
              <w:t>H</w:t>
            </w:r>
            <w:r>
              <w:rPr>
                <w:sz w:val="21"/>
                <w:szCs w:val="21"/>
                <w:vertAlign w:val="subscript"/>
              </w:rPr>
              <w:t>2</w:t>
            </w:r>
            <w:r>
              <w:rPr>
                <w:sz w:val="21"/>
                <w:szCs w:val="21"/>
              </w:rPr>
              <w:t>S</w:t>
            </w:r>
          </w:p>
        </w:tc>
        <w:tc>
          <w:tcPr>
            <w:tcW w:w="1488" w:type="dxa"/>
            <w:shd w:val="clear" w:color="auto" w:fill="auto"/>
            <w:vAlign w:val="center"/>
          </w:tcPr>
          <w:p w14:paraId="47D1CC64">
            <w:pPr>
              <w:kinsoku w:val="0"/>
              <w:overflowPunct w:val="0"/>
              <w:autoSpaceDE w:val="0"/>
              <w:autoSpaceDN w:val="0"/>
              <w:spacing w:line="240" w:lineRule="auto"/>
              <w:ind w:firstLine="0" w:firstLineChars="0"/>
              <w:jc w:val="center"/>
              <w:rPr>
                <w:rFonts w:hint="default" w:ascii="宋体" w:hAnsi="宋体" w:eastAsia="宋体" w:cs="宋体"/>
                <w:i w:val="0"/>
                <w:iCs w:val="0"/>
                <w:color w:val="000000"/>
                <w:sz w:val="22"/>
                <w:szCs w:val="22"/>
                <w:u w:val="none"/>
                <w:lang w:val="en-US" w:eastAsia="zh-CN" w:bidi="ar-SA"/>
              </w:rPr>
            </w:pPr>
            <w:r>
              <w:rPr>
                <w:rFonts w:hint="eastAsia"/>
                <w:bCs/>
                <w:sz w:val="21"/>
                <w:szCs w:val="21"/>
                <w:highlight w:val="none"/>
                <w:lang w:val="en-US" w:eastAsia="zh-CN"/>
              </w:rPr>
              <w:t>0.00002</w:t>
            </w:r>
          </w:p>
        </w:tc>
        <w:tc>
          <w:tcPr>
            <w:tcW w:w="1488" w:type="dxa"/>
            <w:vAlign w:val="center"/>
          </w:tcPr>
          <w:p w14:paraId="2351345A">
            <w:pPr>
              <w:kinsoku w:val="0"/>
              <w:overflowPunct w:val="0"/>
              <w:autoSpaceDE w:val="0"/>
              <w:autoSpaceDN w:val="0"/>
              <w:spacing w:line="240" w:lineRule="auto"/>
              <w:ind w:firstLine="0" w:firstLineChars="0"/>
              <w:jc w:val="center"/>
              <w:rPr>
                <w:rFonts w:hint="eastAsia" w:eastAsia="宋体"/>
                <w:bCs/>
                <w:sz w:val="21"/>
                <w:szCs w:val="21"/>
                <w:lang w:val="en-US" w:eastAsia="zh-CN"/>
              </w:rPr>
            </w:pPr>
            <w:r>
              <w:rPr>
                <w:rFonts w:hint="eastAsia"/>
                <w:bCs/>
                <w:sz w:val="21"/>
                <w:szCs w:val="21"/>
                <w:highlight w:val="none"/>
                <w:lang w:val="en-US" w:eastAsia="zh-CN"/>
              </w:rPr>
              <w:t>0</w:t>
            </w:r>
          </w:p>
        </w:tc>
        <w:tc>
          <w:tcPr>
            <w:tcW w:w="1489" w:type="dxa"/>
            <w:vAlign w:val="center"/>
          </w:tcPr>
          <w:p w14:paraId="1EDAF501">
            <w:pPr>
              <w:kinsoku w:val="0"/>
              <w:overflowPunct w:val="0"/>
              <w:autoSpaceDE w:val="0"/>
              <w:autoSpaceDN w:val="0"/>
              <w:spacing w:line="240" w:lineRule="auto"/>
              <w:ind w:firstLine="0" w:firstLineChars="0"/>
              <w:jc w:val="center"/>
              <w:rPr>
                <w:bCs/>
                <w:sz w:val="21"/>
                <w:szCs w:val="21"/>
              </w:rPr>
            </w:pPr>
            <w:r>
              <w:rPr>
                <w:rFonts w:hint="eastAsia"/>
                <w:bCs/>
                <w:sz w:val="21"/>
                <w:szCs w:val="21"/>
                <w:highlight w:val="none"/>
                <w:lang w:val="en-US" w:eastAsia="zh-CN"/>
              </w:rPr>
              <w:t>0.00002</w:t>
            </w:r>
          </w:p>
        </w:tc>
        <w:tc>
          <w:tcPr>
            <w:tcW w:w="1821" w:type="dxa"/>
            <w:vAlign w:val="center"/>
          </w:tcPr>
          <w:p w14:paraId="36028410">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49F64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90" w:type="pct"/>
            <w:vMerge w:val="restart"/>
            <w:vAlign w:val="center"/>
          </w:tcPr>
          <w:p w14:paraId="567D4546">
            <w:pPr>
              <w:kinsoku w:val="0"/>
              <w:overflowPunct w:val="0"/>
              <w:autoSpaceDE w:val="0"/>
              <w:autoSpaceDN w:val="0"/>
              <w:spacing w:line="240" w:lineRule="auto"/>
              <w:ind w:firstLine="0" w:firstLineChars="0"/>
              <w:jc w:val="center"/>
              <w:rPr>
                <w:sz w:val="21"/>
                <w:szCs w:val="21"/>
              </w:rPr>
            </w:pPr>
            <w:r>
              <w:rPr>
                <w:sz w:val="21"/>
                <w:szCs w:val="21"/>
              </w:rPr>
              <w:t>固废</w:t>
            </w:r>
          </w:p>
        </w:tc>
        <w:tc>
          <w:tcPr>
            <w:tcW w:w="979" w:type="pct"/>
            <w:gridSpan w:val="2"/>
            <w:vAlign w:val="center"/>
          </w:tcPr>
          <w:p w14:paraId="366CCF53">
            <w:pPr>
              <w:kinsoku w:val="0"/>
              <w:overflowPunct w:val="0"/>
              <w:autoSpaceDE w:val="0"/>
              <w:autoSpaceDN w:val="0"/>
              <w:spacing w:line="240" w:lineRule="auto"/>
              <w:ind w:firstLine="0" w:firstLineChars="0"/>
              <w:jc w:val="center"/>
              <w:rPr>
                <w:sz w:val="21"/>
                <w:szCs w:val="21"/>
              </w:rPr>
            </w:pPr>
            <w:r>
              <w:rPr>
                <w:sz w:val="21"/>
                <w:szCs w:val="21"/>
              </w:rPr>
              <w:t>一般固废</w:t>
            </w:r>
          </w:p>
        </w:tc>
        <w:tc>
          <w:tcPr>
            <w:tcW w:w="1488" w:type="dxa"/>
            <w:vAlign w:val="center"/>
          </w:tcPr>
          <w:p w14:paraId="333E1390">
            <w:pPr>
              <w:kinsoku w:val="0"/>
              <w:overflowPunct w:val="0"/>
              <w:autoSpaceDE w:val="0"/>
              <w:autoSpaceDN w:val="0"/>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1704.4</w:t>
            </w:r>
          </w:p>
        </w:tc>
        <w:tc>
          <w:tcPr>
            <w:tcW w:w="1488" w:type="dxa"/>
            <w:vAlign w:val="center"/>
          </w:tcPr>
          <w:p w14:paraId="6C9CD8F8">
            <w:pPr>
              <w:kinsoku w:val="0"/>
              <w:overflowPunct w:val="0"/>
              <w:autoSpaceDE w:val="0"/>
              <w:autoSpaceDN w:val="0"/>
              <w:spacing w:line="240" w:lineRule="auto"/>
              <w:ind w:firstLine="0" w:firstLineChars="0"/>
              <w:jc w:val="center"/>
              <w:rPr>
                <w:bCs/>
                <w:sz w:val="21"/>
                <w:szCs w:val="21"/>
              </w:rPr>
            </w:pPr>
            <w:r>
              <w:rPr>
                <w:rFonts w:hint="eastAsia"/>
                <w:bCs/>
                <w:color w:val="000000" w:themeColor="text1"/>
                <w:sz w:val="21"/>
                <w:szCs w:val="21"/>
                <w:highlight w:val="none"/>
                <w:lang w:val="en-US" w:eastAsia="zh-CN"/>
                <w14:textFill>
                  <w14:solidFill>
                    <w14:schemeClr w14:val="tx1"/>
                  </w14:solidFill>
                </w14:textFill>
              </w:rPr>
              <w:t>1704.4</w:t>
            </w:r>
          </w:p>
        </w:tc>
        <w:tc>
          <w:tcPr>
            <w:tcW w:w="1489" w:type="dxa"/>
            <w:vAlign w:val="center"/>
          </w:tcPr>
          <w:p w14:paraId="0ACE5C49">
            <w:pPr>
              <w:kinsoku w:val="0"/>
              <w:overflowPunct w:val="0"/>
              <w:autoSpaceDE w:val="0"/>
              <w:autoSpaceDN w:val="0"/>
              <w:spacing w:line="240" w:lineRule="auto"/>
              <w:ind w:firstLine="0" w:firstLineChars="0"/>
              <w:jc w:val="center"/>
              <w:rPr>
                <w:bCs/>
                <w:sz w:val="21"/>
                <w:szCs w:val="21"/>
              </w:rPr>
            </w:pPr>
            <w:r>
              <w:rPr>
                <w:bCs/>
                <w:sz w:val="21"/>
                <w:szCs w:val="21"/>
                <w:highlight w:val="none"/>
              </w:rPr>
              <w:t>0</w:t>
            </w:r>
          </w:p>
        </w:tc>
        <w:tc>
          <w:tcPr>
            <w:tcW w:w="1821" w:type="dxa"/>
            <w:vAlign w:val="center"/>
          </w:tcPr>
          <w:p w14:paraId="41B81EA1">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r w14:paraId="36640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90" w:type="pct"/>
            <w:vMerge w:val="continue"/>
            <w:vAlign w:val="center"/>
          </w:tcPr>
          <w:p w14:paraId="3E102482">
            <w:pPr>
              <w:kinsoku w:val="0"/>
              <w:overflowPunct w:val="0"/>
              <w:autoSpaceDE w:val="0"/>
              <w:autoSpaceDN w:val="0"/>
              <w:spacing w:line="240" w:lineRule="auto"/>
              <w:ind w:firstLine="0" w:firstLineChars="0"/>
              <w:jc w:val="center"/>
              <w:rPr>
                <w:sz w:val="21"/>
                <w:szCs w:val="21"/>
              </w:rPr>
            </w:pPr>
          </w:p>
        </w:tc>
        <w:tc>
          <w:tcPr>
            <w:tcW w:w="979" w:type="pct"/>
            <w:gridSpan w:val="2"/>
            <w:vAlign w:val="center"/>
          </w:tcPr>
          <w:p w14:paraId="5C814935">
            <w:pPr>
              <w:kinsoku w:val="0"/>
              <w:overflowPunct w:val="0"/>
              <w:autoSpaceDE w:val="0"/>
              <w:autoSpaceDN w:val="0"/>
              <w:spacing w:line="240" w:lineRule="auto"/>
              <w:ind w:firstLine="0" w:firstLineChars="0"/>
              <w:jc w:val="center"/>
              <w:rPr>
                <w:sz w:val="21"/>
                <w:szCs w:val="21"/>
              </w:rPr>
            </w:pPr>
            <w:r>
              <w:rPr>
                <w:sz w:val="21"/>
                <w:szCs w:val="21"/>
              </w:rPr>
              <w:t>危险废物</w:t>
            </w:r>
          </w:p>
        </w:tc>
        <w:tc>
          <w:tcPr>
            <w:tcW w:w="1488" w:type="dxa"/>
            <w:vAlign w:val="center"/>
          </w:tcPr>
          <w:p w14:paraId="10B16E8F">
            <w:pPr>
              <w:kinsoku w:val="0"/>
              <w:overflowPunct w:val="0"/>
              <w:autoSpaceDE w:val="0"/>
              <w:autoSpaceDN w:val="0"/>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155.588</w:t>
            </w:r>
          </w:p>
        </w:tc>
        <w:tc>
          <w:tcPr>
            <w:tcW w:w="1488" w:type="dxa"/>
            <w:vAlign w:val="center"/>
          </w:tcPr>
          <w:p w14:paraId="616F8CE4">
            <w:pPr>
              <w:kinsoku w:val="0"/>
              <w:overflowPunct w:val="0"/>
              <w:autoSpaceDE w:val="0"/>
              <w:autoSpaceDN w:val="0"/>
              <w:spacing w:line="240" w:lineRule="auto"/>
              <w:ind w:firstLine="0" w:firstLineChars="0"/>
              <w:jc w:val="center"/>
              <w:rPr>
                <w:bCs/>
                <w:sz w:val="21"/>
                <w:szCs w:val="21"/>
              </w:rPr>
            </w:pPr>
            <w:r>
              <w:rPr>
                <w:rFonts w:hint="eastAsia"/>
                <w:bCs/>
                <w:color w:val="000000" w:themeColor="text1"/>
                <w:sz w:val="21"/>
                <w:szCs w:val="21"/>
                <w:highlight w:val="none"/>
                <w:lang w:val="en-US" w:eastAsia="zh-CN"/>
                <w14:textFill>
                  <w14:solidFill>
                    <w14:schemeClr w14:val="tx1"/>
                  </w14:solidFill>
                </w14:textFill>
              </w:rPr>
              <w:t>155.588</w:t>
            </w:r>
          </w:p>
        </w:tc>
        <w:tc>
          <w:tcPr>
            <w:tcW w:w="1489" w:type="dxa"/>
            <w:vAlign w:val="center"/>
          </w:tcPr>
          <w:p w14:paraId="4CC40EC8">
            <w:pPr>
              <w:kinsoku w:val="0"/>
              <w:overflowPunct w:val="0"/>
              <w:autoSpaceDE w:val="0"/>
              <w:autoSpaceDN w:val="0"/>
              <w:spacing w:line="240" w:lineRule="auto"/>
              <w:ind w:firstLine="0" w:firstLineChars="0"/>
              <w:jc w:val="center"/>
              <w:rPr>
                <w:bCs/>
                <w:sz w:val="21"/>
                <w:szCs w:val="21"/>
              </w:rPr>
            </w:pPr>
            <w:r>
              <w:rPr>
                <w:bCs/>
                <w:sz w:val="21"/>
                <w:szCs w:val="21"/>
                <w:highlight w:val="none"/>
              </w:rPr>
              <w:t>0</w:t>
            </w:r>
          </w:p>
        </w:tc>
        <w:tc>
          <w:tcPr>
            <w:tcW w:w="1821" w:type="dxa"/>
            <w:vAlign w:val="center"/>
          </w:tcPr>
          <w:p w14:paraId="0C3E3B79">
            <w:pPr>
              <w:kinsoku w:val="0"/>
              <w:overflowPunct w:val="0"/>
              <w:autoSpaceDE w:val="0"/>
              <w:autoSpaceDN w:val="0"/>
              <w:spacing w:line="240" w:lineRule="auto"/>
              <w:ind w:firstLine="0" w:firstLineChars="0"/>
              <w:jc w:val="center"/>
              <w:rPr>
                <w:bCs/>
                <w:sz w:val="21"/>
                <w:szCs w:val="21"/>
              </w:rPr>
            </w:pPr>
            <w:r>
              <w:rPr>
                <w:bCs/>
                <w:sz w:val="21"/>
                <w:szCs w:val="21"/>
                <w:highlight w:val="none"/>
              </w:rPr>
              <w:t>/</w:t>
            </w:r>
          </w:p>
        </w:tc>
      </w:tr>
    </w:tbl>
    <w:p w14:paraId="3703C591">
      <w:pPr>
        <w:pStyle w:val="54"/>
        <w:spacing w:line="240" w:lineRule="auto"/>
        <w:ind w:firstLine="420"/>
        <w:rPr>
          <w:rFonts w:eastAsia="黑体" w:cs="Times New Roman"/>
          <w:b w:val="0"/>
          <w:bCs/>
          <w:sz w:val="21"/>
          <w:szCs w:val="21"/>
        </w:rPr>
      </w:pPr>
      <w:r>
        <w:rPr>
          <w:rFonts w:eastAsia="黑体" w:cs="Times New Roman"/>
          <w:b w:val="0"/>
          <w:bCs/>
          <w:sz w:val="21"/>
          <w:szCs w:val="21"/>
        </w:rPr>
        <w:t>注：</w:t>
      </w:r>
      <w:r>
        <w:rPr>
          <w:rFonts w:hint="eastAsia" w:eastAsia="黑体" w:cs="Times New Roman"/>
          <w:b w:val="0"/>
          <w:bCs/>
          <w:sz w:val="21"/>
          <w:szCs w:val="21"/>
        </w:rPr>
        <w:t>*</w:t>
      </w:r>
      <w:r>
        <w:rPr>
          <w:rFonts w:eastAsia="黑体" w:cs="Times New Roman"/>
          <w:b w:val="0"/>
          <w:bCs/>
          <w:sz w:val="21"/>
          <w:szCs w:val="21"/>
        </w:rPr>
        <w:t>由于</w:t>
      </w:r>
      <w:r>
        <w:rPr>
          <w:rFonts w:hint="eastAsia" w:eastAsia="黑体" w:cs="Times New Roman"/>
          <w:b w:val="0"/>
          <w:bCs/>
          <w:sz w:val="21"/>
          <w:szCs w:val="21"/>
          <w:lang w:val="en-US" w:eastAsia="zh-CN"/>
        </w:rPr>
        <w:t>获嘉县同盟污水处理厂</w:t>
      </w:r>
      <w:r>
        <w:rPr>
          <w:rFonts w:eastAsia="黑体" w:cs="Times New Roman"/>
          <w:b w:val="0"/>
          <w:bCs/>
          <w:sz w:val="21"/>
          <w:szCs w:val="21"/>
        </w:rPr>
        <w:t>出水TN因子高于</w:t>
      </w:r>
      <w:r>
        <w:rPr>
          <w:rFonts w:hint="eastAsia" w:eastAsia="黑体" w:cs="Times New Roman"/>
          <w:b w:val="0"/>
          <w:bCs/>
          <w:sz w:val="21"/>
          <w:szCs w:val="21"/>
        </w:rPr>
        <w:t>厂区</w:t>
      </w:r>
      <w:r>
        <w:rPr>
          <w:rFonts w:eastAsia="黑体" w:cs="Times New Roman"/>
          <w:b w:val="0"/>
          <w:bCs/>
          <w:sz w:val="21"/>
          <w:szCs w:val="21"/>
        </w:rPr>
        <w:t>出厂水质，因此污水处理厂出水总量以</w:t>
      </w:r>
      <w:r>
        <w:rPr>
          <w:rFonts w:hint="eastAsia" w:eastAsia="黑体" w:cs="Times New Roman"/>
          <w:b w:val="0"/>
          <w:bCs/>
          <w:sz w:val="21"/>
          <w:szCs w:val="21"/>
        </w:rPr>
        <w:t>厂区</w:t>
      </w:r>
      <w:r>
        <w:rPr>
          <w:rFonts w:eastAsia="黑体" w:cs="Times New Roman"/>
          <w:b w:val="0"/>
          <w:bCs/>
          <w:sz w:val="21"/>
          <w:szCs w:val="21"/>
        </w:rPr>
        <w:t>总排口总量计。</w:t>
      </w:r>
    </w:p>
    <w:p w14:paraId="6A71A819">
      <w:pPr>
        <w:ind w:firstLine="480"/>
        <w:rPr>
          <w:rFonts w:cs="宋体"/>
        </w:rPr>
      </w:pPr>
      <w:r>
        <w:rPr>
          <w:rFonts w:hint="eastAsia" w:cs="宋体"/>
        </w:rPr>
        <w:t>由上表可以看出，全厂废气、废水重点污染物总量控制指标：</w:t>
      </w:r>
    </w:p>
    <w:p w14:paraId="4128090E">
      <w:pPr>
        <w:ind w:firstLine="480"/>
        <w:rPr>
          <w:rFonts w:cs="宋体"/>
        </w:rPr>
      </w:pPr>
      <w:r>
        <w:rPr>
          <w:rFonts w:hint="eastAsia" w:cs="宋体"/>
        </w:rPr>
        <w:t xml:space="preserve">①项目出厂废水污染物排放总量为：COD </w:t>
      </w:r>
      <w:r>
        <w:rPr>
          <w:rFonts w:hint="eastAsia" w:cs="宋体"/>
          <w:lang w:val="en-US" w:eastAsia="zh-CN"/>
        </w:rPr>
        <w:t>4.9064</w:t>
      </w:r>
      <w:r>
        <w:rPr>
          <w:rFonts w:hint="eastAsia" w:cs="宋体"/>
        </w:rPr>
        <w:t>t/a，氨氮</w:t>
      </w:r>
      <w:r>
        <w:rPr>
          <w:rFonts w:hint="eastAsia" w:cs="宋体"/>
          <w:lang w:val="en-US" w:eastAsia="zh-CN"/>
        </w:rPr>
        <w:t>0.4928</w:t>
      </w:r>
      <w:r>
        <w:rPr>
          <w:rFonts w:hint="eastAsia" w:cs="宋体"/>
        </w:rPr>
        <w:t>t/a，总磷</w:t>
      </w:r>
      <w:r>
        <w:rPr>
          <w:rFonts w:hint="eastAsia" w:cs="宋体"/>
          <w:lang w:val="en-US" w:eastAsia="zh-CN"/>
        </w:rPr>
        <w:t>0.0371</w:t>
      </w:r>
      <w:r>
        <w:rPr>
          <w:rFonts w:hint="eastAsia" w:cs="宋体"/>
        </w:rPr>
        <w:t>/a，总氮</w:t>
      </w:r>
      <w:r>
        <w:rPr>
          <w:rFonts w:hint="eastAsia" w:cs="宋体"/>
          <w:lang w:val="en-US" w:eastAsia="zh-CN"/>
        </w:rPr>
        <w:t>0.5828</w:t>
      </w:r>
      <w:r>
        <w:rPr>
          <w:rFonts w:hint="eastAsia" w:cs="宋体"/>
        </w:rPr>
        <w:t>t/a。</w:t>
      </w:r>
    </w:p>
    <w:p w14:paraId="37F026B1">
      <w:pPr>
        <w:ind w:firstLine="480"/>
        <w:rPr>
          <w:rFonts w:cs="宋体"/>
        </w:rPr>
      </w:pPr>
      <w:r>
        <w:rPr>
          <w:rFonts w:hint="eastAsia" w:cs="宋体"/>
          <w:lang w:val="en-US" w:eastAsia="zh-CN"/>
        </w:rPr>
        <w:t>②</w:t>
      </w:r>
      <w:r>
        <w:rPr>
          <w:rFonts w:hint="eastAsia" w:cs="宋体"/>
        </w:rPr>
        <w:t>项目废水经</w:t>
      </w:r>
      <w:r>
        <w:rPr>
          <w:rFonts w:hint="eastAsia" w:cs="宋体"/>
          <w:lang w:val="en-US" w:eastAsia="zh-CN"/>
        </w:rPr>
        <w:t>获嘉县同盟</w:t>
      </w:r>
      <w:r>
        <w:rPr>
          <w:rFonts w:hint="eastAsia" w:cs="宋体"/>
        </w:rPr>
        <w:t xml:space="preserve">污水处理厂处理后水污染物总量指标为：COD </w:t>
      </w:r>
      <w:r>
        <w:rPr>
          <w:rFonts w:hint="eastAsia" w:cs="宋体"/>
          <w:lang w:val="en-US" w:eastAsia="zh-CN"/>
        </w:rPr>
        <w:t>1.5895</w:t>
      </w:r>
      <w:r>
        <w:rPr>
          <w:rFonts w:hint="eastAsia" w:cs="宋体"/>
        </w:rPr>
        <w:t>t/a，氨氮</w:t>
      </w:r>
      <w:r>
        <w:rPr>
          <w:rFonts w:hint="eastAsia" w:cs="宋体"/>
          <w:lang w:val="en-US" w:eastAsia="zh-CN"/>
        </w:rPr>
        <w:t>0.0795</w:t>
      </w:r>
      <w:r>
        <w:rPr>
          <w:rFonts w:hint="eastAsia" w:cs="宋体"/>
        </w:rPr>
        <w:t>t/a，总磷</w:t>
      </w:r>
      <w:r>
        <w:rPr>
          <w:rFonts w:hint="eastAsia" w:cs="宋体"/>
          <w:lang w:val="en-US" w:eastAsia="zh-CN"/>
        </w:rPr>
        <w:t>0.0159</w:t>
      </w:r>
      <w:r>
        <w:rPr>
          <w:rFonts w:hint="eastAsia" w:cs="宋体"/>
        </w:rPr>
        <w:t>t/a，总氮</w:t>
      </w:r>
      <w:r>
        <w:rPr>
          <w:rFonts w:hint="eastAsia" w:cs="宋体"/>
          <w:lang w:val="en-US" w:eastAsia="zh-CN"/>
        </w:rPr>
        <w:t>0.5828</w:t>
      </w:r>
      <w:r>
        <w:rPr>
          <w:rFonts w:hint="eastAsia" w:cs="宋体"/>
        </w:rPr>
        <w:t>t/a。</w:t>
      </w:r>
    </w:p>
    <w:bookmarkEnd w:id="695"/>
    <w:bookmarkEnd w:id="696"/>
    <w:bookmarkEnd w:id="697"/>
    <w:p w14:paraId="0464553E">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735" w:name="_Toc17199"/>
      <w:bookmarkStart w:id="736" w:name="_Toc23431"/>
      <w:bookmarkStart w:id="737" w:name="_Toc51319885"/>
      <w:r>
        <w:rPr>
          <w:rFonts w:hint="eastAsia" w:ascii="Times New Roman" w:hAnsi="Times New Roman" w:cs="Times New Roman"/>
          <w:lang w:val="en-US" w:eastAsia="zh-CN"/>
        </w:rPr>
        <w:t>环境影响经济损益分析</w:t>
      </w:r>
      <w:bookmarkEnd w:id="632"/>
      <w:bookmarkEnd w:id="735"/>
      <w:bookmarkEnd w:id="736"/>
      <w:bookmarkEnd w:id="737"/>
    </w:p>
    <w:p w14:paraId="1826D9FB">
      <w:pPr>
        <w:pStyle w:val="72"/>
      </w:pPr>
      <w:r>
        <w:rPr>
          <w:rFonts w:hint="eastAsia"/>
        </w:rPr>
        <w:t>环境经济损益分析是建设项目环境影响评价的一个重要组成部分，它是综合评价判断建设项目的投资经济效益和环保措施是否能够补偿或多大程度上补偿由于项目的建设可能造成的环境影响和损失的重要依据。</w:t>
      </w:r>
    </w:p>
    <w:p w14:paraId="25853D57">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38" w:name="_Toc26377"/>
      <w:bookmarkStart w:id="739" w:name="_Toc421256163"/>
      <w:bookmarkStart w:id="740" w:name="_Toc281942361"/>
      <w:bookmarkStart w:id="741" w:name="_Toc11730"/>
      <w:bookmarkStart w:id="742" w:name="_Toc428287656"/>
      <w:bookmarkStart w:id="743" w:name="_Toc429318452"/>
      <w:bookmarkStart w:id="744" w:name="_Toc428287304"/>
      <w:bookmarkStart w:id="745" w:name="_Toc51319886"/>
      <w:bookmarkStart w:id="746" w:name="_Toc304300485"/>
      <w:bookmarkStart w:id="747" w:name="_Toc281942362"/>
      <w:r>
        <w:rPr>
          <w:rFonts w:hint="eastAsia"/>
          <w:lang w:val="en-US" w:eastAsia="zh-CN"/>
        </w:rPr>
        <w:t>8.1社会效益分析</w:t>
      </w:r>
      <w:bookmarkEnd w:id="738"/>
      <w:bookmarkEnd w:id="739"/>
      <w:bookmarkEnd w:id="740"/>
      <w:bookmarkEnd w:id="741"/>
      <w:bookmarkEnd w:id="742"/>
      <w:bookmarkEnd w:id="743"/>
      <w:bookmarkEnd w:id="744"/>
      <w:bookmarkEnd w:id="745"/>
    </w:p>
    <w:p w14:paraId="2E8F9797">
      <w:pPr>
        <w:ind w:firstLine="480"/>
        <w:rPr>
          <w:rFonts w:cs="宋体"/>
        </w:rPr>
      </w:pPr>
      <w:r>
        <w:rPr>
          <w:rFonts w:hint="eastAsia" w:cs="宋体"/>
        </w:rPr>
        <w:t>新乡市润鑫新能源有限公司年产10亿只钢壳、10亿只盖帽和3600吨电池连接件项目具有的社会效益：</w:t>
      </w:r>
    </w:p>
    <w:p w14:paraId="1D2E9904">
      <w:pPr>
        <w:ind w:firstLine="480"/>
      </w:pPr>
      <w:r>
        <w:rPr>
          <w:rFonts w:hint="eastAsia" w:cs="宋体"/>
        </w:rPr>
        <w:t>（1）新乡市润鑫新能源有限公司拟投资6000万元在新乡市获嘉县先进制造业开发区安王路与梧桐路交叉口西100米1号建设年产10亿只钢壳、10亿只盖帽和3600吨电池连接件项目。本项目的建设在为企业创造经济效益的同时，还可增加当地财政收入，带动当地经济发展和产业结构调整</w:t>
      </w:r>
      <w:r>
        <w:rPr>
          <w:rFonts w:hint="eastAsia"/>
        </w:rPr>
        <w:t>。</w:t>
      </w:r>
    </w:p>
    <w:p w14:paraId="1FB0FFFA">
      <w:pPr>
        <w:ind w:firstLine="480"/>
      </w:pPr>
      <w:r>
        <w:rPr>
          <w:rFonts w:hint="eastAsia"/>
        </w:rPr>
        <w:t>（2）本项目符合国家的产业政策，选址符合城市规划和土地政策。项目投产后，公司既满足了市场需求，又为当地经济发展做出了贡献；还能拉动了周边相关产业的发展，对当地的社会经济发展起到积极作用；生产需要各种辅助原料，以及产品的流通，可带动和促进当地相应的工业、交通运输业的发展，更能促进区域经济多方面的交流发展。因此，项目的建设社会效益显著。</w:t>
      </w:r>
    </w:p>
    <w:p w14:paraId="6458E545">
      <w:pPr>
        <w:ind w:firstLine="480"/>
      </w:pPr>
      <w:r>
        <w:rPr>
          <w:rFonts w:hint="eastAsia"/>
        </w:rPr>
        <w:t>（3）可新增就业，减轻当地的就业压力，同时促进社会的稳定发展，增加当地居民收入，提高居民的整体生活水平，有利于社会的安定，为企业的发展提供良好的群众基础</w:t>
      </w:r>
      <w:r>
        <w:t>。</w:t>
      </w:r>
    </w:p>
    <w:p w14:paraId="416084E6">
      <w:pPr>
        <w:pStyle w:val="72"/>
        <w:rPr>
          <w:highlight w:val="yellow"/>
        </w:rPr>
      </w:pPr>
      <w:r>
        <w:t>综上所述，项目的建设可有效地促进</w:t>
      </w:r>
      <w:r>
        <w:rPr>
          <w:rFonts w:hint="eastAsia"/>
        </w:rPr>
        <w:t>当地</w:t>
      </w:r>
      <w:r>
        <w:t>社会和经济的协调发展，</w:t>
      </w:r>
      <w:r>
        <w:rPr>
          <w:rFonts w:hint="eastAsia"/>
        </w:rPr>
        <w:t>评价认为，</w:t>
      </w:r>
      <w:r>
        <w:t>项目的建设</w:t>
      </w:r>
      <w:r>
        <w:rPr>
          <w:rFonts w:hint="eastAsia"/>
        </w:rPr>
        <w:t>具有良好的</w:t>
      </w:r>
      <w:r>
        <w:t>社会效益。</w:t>
      </w:r>
    </w:p>
    <w:p w14:paraId="2ED7368F">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48" w:name="_Toc30270"/>
      <w:bookmarkStart w:id="749" w:name="_Toc51319887"/>
      <w:bookmarkStart w:id="750" w:name="_Toc5596"/>
      <w:r>
        <w:rPr>
          <w:rFonts w:hint="eastAsia"/>
          <w:lang w:val="en-US" w:eastAsia="zh-CN"/>
        </w:rPr>
        <w:t>8.2经济效益分析</w:t>
      </w:r>
      <w:bookmarkEnd w:id="746"/>
      <w:bookmarkEnd w:id="747"/>
      <w:bookmarkEnd w:id="748"/>
      <w:bookmarkEnd w:id="749"/>
      <w:bookmarkEnd w:id="750"/>
    </w:p>
    <w:p w14:paraId="1154DEF9">
      <w:pPr>
        <w:pStyle w:val="72"/>
        <w:rPr>
          <w:highlight w:val="yellow"/>
        </w:rPr>
      </w:pPr>
      <w:r>
        <w:rPr>
          <w:rFonts w:hint="eastAsia"/>
        </w:rPr>
        <w:t>根据建设单位提供的本项目建议书及其他经济数据，本项目的主要经济指标</w:t>
      </w:r>
      <w:r>
        <w:t>见下表</w:t>
      </w:r>
      <w:r>
        <w:rPr>
          <w:rFonts w:hint="eastAsia"/>
        </w:rPr>
        <w:t>。</w:t>
      </w:r>
    </w:p>
    <w:p w14:paraId="6D299579">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2FB36AA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p>
    <w:p w14:paraId="7FFAB3D2">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pPr>
      <w:r>
        <w:rPr>
          <w:rFonts w:hint="eastAsia"/>
        </w:rPr>
        <w:t>表8</w:t>
      </w:r>
      <w:r>
        <w:rPr>
          <w:rFonts w:hint="eastAsia"/>
          <w:lang w:val="en-US" w:eastAsia="zh-CN"/>
        </w:rPr>
        <w:t>.2</w:t>
      </w:r>
      <w:r>
        <w:t xml:space="preserve">-1     </w:t>
      </w:r>
      <w:r>
        <w:rPr>
          <w:rFonts w:hint="eastAsia"/>
          <w:lang w:val="en-US" w:eastAsia="zh-CN"/>
        </w:rPr>
        <w:t>工</w:t>
      </w:r>
      <w:r>
        <w:rPr>
          <w:rFonts w:hint="eastAsia"/>
        </w:rPr>
        <w:t>程经济效益分析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3297"/>
        <w:gridCol w:w="2129"/>
        <w:gridCol w:w="2136"/>
      </w:tblGrid>
      <w:tr w14:paraId="77FBEB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4FD1766D">
            <w:pPr>
              <w:pStyle w:val="81"/>
              <w:rPr>
                <w:color w:val="auto"/>
              </w:rPr>
            </w:pPr>
            <w:r>
              <w:rPr>
                <w:color w:val="auto"/>
              </w:rPr>
              <w:t>序号</w:t>
            </w:r>
          </w:p>
        </w:tc>
        <w:tc>
          <w:tcPr>
            <w:tcW w:w="3206" w:type="dxa"/>
            <w:vAlign w:val="center"/>
          </w:tcPr>
          <w:p w14:paraId="31B9063F">
            <w:pPr>
              <w:pStyle w:val="81"/>
              <w:rPr>
                <w:color w:val="auto"/>
              </w:rPr>
            </w:pPr>
            <w:r>
              <w:rPr>
                <w:color w:val="auto"/>
              </w:rPr>
              <w:t>项目</w:t>
            </w:r>
          </w:p>
        </w:tc>
        <w:tc>
          <w:tcPr>
            <w:tcW w:w="2070" w:type="dxa"/>
            <w:vAlign w:val="center"/>
          </w:tcPr>
          <w:p w14:paraId="22315FC7">
            <w:pPr>
              <w:pStyle w:val="81"/>
              <w:rPr>
                <w:color w:val="auto"/>
              </w:rPr>
            </w:pPr>
            <w:r>
              <w:rPr>
                <w:color w:val="auto"/>
              </w:rPr>
              <w:t>单位</w:t>
            </w:r>
          </w:p>
        </w:tc>
        <w:tc>
          <w:tcPr>
            <w:tcW w:w="2077" w:type="dxa"/>
            <w:vAlign w:val="center"/>
          </w:tcPr>
          <w:p w14:paraId="5B34144E">
            <w:pPr>
              <w:pStyle w:val="81"/>
              <w:rPr>
                <w:color w:val="auto"/>
              </w:rPr>
            </w:pPr>
            <w:r>
              <w:rPr>
                <w:color w:val="auto"/>
              </w:rPr>
              <w:t>数量</w:t>
            </w:r>
          </w:p>
        </w:tc>
      </w:tr>
      <w:tr w14:paraId="7328DB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Merge w:val="restart"/>
            <w:vAlign w:val="center"/>
          </w:tcPr>
          <w:p w14:paraId="167F93B7">
            <w:pPr>
              <w:pStyle w:val="75"/>
            </w:pPr>
            <w:r>
              <w:t>1</w:t>
            </w:r>
          </w:p>
        </w:tc>
        <w:tc>
          <w:tcPr>
            <w:tcW w:w="3206" w:type="dxa"/>
            <w:vAlign w:val="center"/>
          </w:tcPr>
          <w:p w14:paraId="37528EC0">
            <w:pPr>
              <w:pStyle w:val="75"/>
            </w:pPr>
            <w:r>
              <w:t>总投资</w:t>
            </w:r>
          </w:p>
        </w:tc>
        <w:tc>
          <w:tcPr>
            <w:tcW w:w="2070" w:type="dxa"/>
            <w:vAlign w:val="center"/>
          </w:tcPr>
          <w:p w14:paraId="753B2939">
            <w:pPr>
              <w:pStyle w:val="75"/>
            </w:pPr>
            <w:r>
              <w:t>万 元</w:t>
            </w:r>
          </w:p>
        </w:tc>
        <w:tc>
          <w:tcPr>
            <w:tcW w:w="2077" w:type="dxa"/>
            <w:vAlign w:val="center"/>
          </w:tcPr>
          <w:p w14:paraId="79A968DD">
            <w:pPr>
              <w:pStyle w:val="75"/>
            </w:pPr>
            <w:r>
              <w:rPr>
                <w:rFonts w:hint="eastAsia"/>
              </w:rPr>
              <w:t>6000</w:t>
            </w:r>
          </w:p>
        </w:tc>
      </w:tr>
      <w:tr w14:paraId="2AC8C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Merge w:val="continue"/>
            <w:vAlign w:val="center"/>
          </w:tcPr>
          <w:p w14:paraId="017B6E0B">
            <w:pPr>
              <w:pStyle w:val="75"/>
            </w:pPr>
          </w:p>
        </w:tc>
        <w:tc>
          <w:tcPr>
            <w:tcW w:w="3206" w:type="dxa"/>
            <w:vAlign w:val="center"/>
          </w:tcPr>
          <w:p w14:paraId="773949ED">
            <w:pPr>
              <w:pStyle w:val="75"/>
            </w:pPr>
            <w:r>
              <w:t>其中：固定资产投资</w:t>
            </w:r>
          </w:p>
        </w:tc>
        <w:tc>
          <w:tcPr>
            <w:tcW w:w="2070" w:type="dxa"/>
            <w:vAlign w:val="center"/>
          </w:tcPr>
          <w:p w14:paraId="6BD5F033">
            <w:pPr>
              <w:pStyle w:val="75"/>
            </w:pPr>
            <w:r>
              <w:t>万 元</w:t>
            </w:r>
          </w:p>
        </w:tc>
        <w:tc>
          <w:tcPr>
            <w:tcW w:w="2077" w:type="dxa"/>
            <w:vAlign w:val="center"/>
          </w:tcPr>
          <w:p w14:paraId="096CB783">
            <w:pPr>
              <w:pStyle w:val="75"/>
            </w:pPr>
            <w:r>
              <w:rPr>
                <w:rFonts w:hint="eastAsia"/>
              </w:rPr>
              <w:t>4500</w:t>
            </w:r>
          </w:p>
        </w:tc>
      </w:tr>
      <w:tr w14:paraId="4282A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Merge w:val="continue"/>
            <w:vAlign w:val="center"/>
          </w:tcPr>
          <w:p w14:paraId="74983135">
            <w:pPr>
              <w:pStyle w:val="75"/>
            </w:pPr>
          </w:p>
        </w:tc>
        <w:tc>
          <w:tcPr>
            <w:tcW w:w="3206" w:type="dxa"/>
            <w:vAlign w:val="center"/>
          </w:tcPr>
          <w:p w14:paraId="0DA4B611">
            <w:pPr>
              <w:pStyle w:val="75"/>
            </w:pPr>
            <w:r>
              <w:t>流动资金</w:t>
            </w:r>
          </w:p>
        </w:tc>
        <w:tc>
          <w:tcPr>
            <w:tcW w:w="2070" w:type="dxa"/>
            <w:vAlign w:val="center"/>
          </w:tcPr>
          <w:p w14:paraId="02E96EBD">
            <w:pPr>
              <w:pStyle w:val="75"/>
            </w:pPr>
            <w:r>
              <w:t>万 元</w:t>
            </w:r>
          </w:p>
        </w:tc>
        <w:tc>
          <w:tcPr>
            <w:tcW w:w="2077" w:type="dxa"/>
            <w:vAlign w:val="center"/>
          </w:tcPr>
          <w:p w14:paraId="504A03DA">
            <w:pPr>
              <w:pStyle w:val="75"/>
            </w:pPr>
            <w:r>
              <w:rPr>
                <w:rFonts w:hint="eastAsia"/>
              </w:rPr>
              <w:t>1500</w:t>
            </w:r>
          </w:p>
        </w:tc>
      </w:tr>
      <w:tr w14:paraId="7A53B9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2A830D19">
            <w:pPr>
              <w:pStyle w:val="75"/>
            </w:pPr>
            <w:r>
              <w:t>2</w:t>
            </w:r>
          </w:p>
        </w:tc>
        <w:tc>
          <w:tcPr>
            <w:tcW w:w="3206" w:type="dxa"/>
            <w:vAlign w:val="center"/>
          </w:tcPr>
          <w:p w14:paraId="009A3D78">
            <w:pPr>
              <w:pStyle w:val="75"/>
            </w:pPr>
            <w:r>
              <w:t>年销售收入</w:t>
            </w:r>
          </w:p>
        </w:tc>
        <w:tc>
          <w:tcPr>
            <w:tcW w:w="2070" w:type="dxa"/>
            <w:vAlign w:val="center"/>
          </w:tcPr>
          <w:p w14:paraId="3834DFB7">
            <w:pPr>
              <w:pStyle w:val="75"/>
            </w:pPr>
            <w:r>
              <w:t>万 元</w:t>
            </w:r>
          </w:p>
        </w:tc>
        <w:tc>
          <w:tcPr>
            <w:tcW w:w="2077" w:type="dxa"/>
            <w:vAlign w:val="center"/>
          </w:tcPr>
          <w:p w14:paraId="5F772F05">
            <w:pPr>
              <w:pStyle w:val="75"/>
            </w:pPr>
            <w:r>
              <w:rPr>
                <w:rFonts w:hint="eastAsia"/>
              </w:rPr>
              <w:t>3500</w:t>
            </w:r>
          </w:p>
        </w:tc>
      </w:tr>
      <w:tr w14:paraId="4EE31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78F944D8">
            <w:pPr>
              <w:pStyle w:val="75"/>
            </w:pPr>
            <w:r>
              <w:t>3</w:t>
            </w:r>
          </w:p>
        </w:tc>
        <w:tc>
          <w:tcPr>
            <w:tcW w:w="3206" w:type="dxa"/>
            <w:vAlign w:val="center"/>
          </w:tcPr>
          <w:p w14:paraId="0DD30C61">
            <w:pPr>
              <w:pStyle w:val="75"/>
            </w:pPr>
            <w:r>
              <w:t>总成本</w:t>
            </w:r>
          </w:p>
        </w:tc>
        <w:tc>
          <w:tcPr>
            <w:tcW w:w="2070" w:type="dxa"/>
            <w:vAlign w:val="center"/>
          </w:tcPr>
          <w:p w14:paraId="748EAD17">
            <w:pPr>
              <w:pStyle w:val="75"/>
            </w:pPr>
            <w:r>
              <w:t>万 元</w:t>
            </w:r>
          </w:p>
        </w:tc>
        <w:tc>
          <w:tcPr>
            <w:tcW w:w="2077" w:type="dxa"/>
            <w:vAlign w:val="center"/>
          </w:tcPr>
          <w:p w14:paraId="209352FA">
            <w:pPr>
              <w:pStyle w:val="75"/>
            </w:pPr>
            <w:r>
              <w:rPr>
                <w:rFonts w:hint="eastAsia"/>
              </w:rPr>
              <w:t>7500</w:t>
            </w:r>
          </w:p>
        </w:tc>
      </w:tr>
      <w:tr w14:paraId="54FDD8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78352611">
            <w:pPr>
              <w:pStyle w:val="75"/>
            </w:pPr>
            <w:r>
              <w:t>4</w:t>
            </w:r>
          </w:p>
        </w:tc>
        <w:tc>
          <w:tcPr>
            <w:tcW w:w="3206" w:type="dxa"/>
            <w:vAlign w:val="center"/>
          </w:tcPr>
          <w:p w14:paraId="2A024540">
            <w:pPr>
              <w:pStyle w:val="75"/>
            </w:pPr>
            <w:r>
              <w:t>上交税金</w:t>
            </w:r>
          </w:p>
        </w:tc>
        <w:tc>
          <w:tcPr>
            <w:tcW w:w="2070" w:type="dxa"/>
            <w:vAlign w:val="center"/>
          </w:tcPr>
          <w:p w14:paraId="34277175">
            <w:pPr>
              <w:pStyle w:val="75"/>
            </w:pPr>
            <w:r>
              <w:t>万 元</w:t>
            </w:r>
          </w:p>
        </w:tc>
        <w:tc>
          <w:tcPr>
            <w:tcW w:w="2077" w:type="dxa"/>
            <w:vAlign w:val="center"/>
          </w:tcPr>
          <w:p w14:paraId="68385ABC">
            <w:pPr>
              <w:pStyle w:val="75"/>
            </w:pPr>
            <w:r>
              <w:rPr>
                <w:rFonts w:hint="eastAsia"/>
              </w:rPr>
              <w:t>500</w:t>
            </w:r>
          </w:p>
        </w:tc>
      </w:tr>
      <w:tr w14:paraId="753AF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295C3109">
            <w:pPr>
              <w:pStyle w:val="75"/>
            </w:pPr>
            <w:r>
              <w:t>5</w:t>
            </w:r>
          </w:p>
        </w:tc>
        <w:tc>
          <w:tcPr>
            <w:tcW w:w="3206" w:type="dxa"/>
            <w:vAlign w:val="center"/>
          </w:tcPr>
          <w:p w14:paraId="50D2008F">
            <w:pPr>
              <w:pStyle w:val="75"/>
            </w:pPr>
            <w:r>
              <w:t>年销售利润（税前）</w:t>
            </w:r>
          </w:p>
        </w:tc>
        <w:tc>
          <w:tcPr>
            <w:tcW w:w="2070" w:type="dxa"/>
            <w:vAlign w:val="center"/>
          </w:tcPr>
          <w:p w14:paraId="236C4312">
            <w:pPr>
              <w:pStyle w:val="75"/>
            </w:pPr>
            <w:r>
              <w:t>万 元</w:t>
            </w:r>
          </w:p>
        </w:tc>
        <w:tc>
          <w:tcPr>
            <w:tcW w:w="2077" w:type="dxa"/>
            <w:vAlign w:val="center"/>
          </w:tcPr>
          <w:p w14:paraId="0B55CA35">
            <w:pPr>
              <w:pStyle w:val="75"/>
            </w:pPr>
            <w:r>
              <w:rPr>
                <w:rFonts w:hint="eastAsia"/>
              </w:rPr>
              <w:t>3000</w:t>
            </w:r>
          </w:p>
        </w:tc>
      </w:tr>
      <w:tr w14:paraId="63B092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7316B5C5">
            <w:pPr>
              <w:pStyle w:val="75"/>
            </w:pPr>
            <w:r>
              <w:t>6</w:t>
            </w:r>
          </w:p>
        </w:tc>
        <w:tc>
          <w:tcPr>
            <w:tcW w:w="3206" w:type="dxa"/>
            <w:vAlign w:val="center"/>
          </w:tcPr>
          <w:p w14:paraId="49483071">
            <w:pPr>
              <w:pStyle w:val="75"/>
            </w:pPr>
            <w:r>
              <w:t>投资利润率</w:t>
            </w:r>
          </w:p>
        </w:tc>
        <w:tc>
          <w:tcPr>
            <w:tcW w:w="2070" w:type="dxa"/>
            <w:vAlign w:val="center"/>
          </w:tcPr>
          <w:p w14:paraId="71772BD9">
            <w:pPr>
              <w:pStyle w:val="75"/>
            </w:pPr>
            <w:r>
              <w:rPr>
                <w:rFonts w:hint="eastAsia"/>
              </w:rPr>
              <w:t>%</w:t>
            </w:r>
          </w:p>
        </w:tc>
        <w:tc>
          <w:tcPr>
            <w:tcW w:w="2077" w:type="dxa"/>
            <w:vAlign w:val="center"/>
          </w:tcPr>
          <w:p w14:paraId="03DA2B02">
            <w:pPr>
              <w:pStyle w:val="75"/>
            </w:pPr>
            <w:r>
              <w:rPr>
                <w:rFonts w:hint="eastAsia"/>
              </w:rPr>
              <w:t>50</w:t>
            </w:r>
          </w:p>
        </w:tc>
      </w:tr>
      <w:tr w14:paraId="649EAB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0" w:type="dxa"/>
            <w:vAlign w:val="center"/>
          </w:tcPr>
          <w:p w14:paraId="0800F4C7">
            <w:pPr>
              <w:pStyle w:val="75"/>
            </w:pPr>
            <w:r>
              <w:t>7</w:t>
            </w:r>
          </w:p>
        </w:tc>
        <w:tc>
          <w:tcPr>
            <w:tcW w:w="3206" w:type="dxa"/>
            <w:vAlign w:val="center"/>
          </w:tcPr>
          <w:p w14:paraId="27BB1AA3">
            <w:pPr>
              <w:pStyle w:val="75"/>
            </w:pPr>
            <w:r>
              <w:t>投资回收期（含建设期）</w:t>
            </w:r>
          </w:p>
        </w:tc>
        <w:tc>
          <w:tcPr>
            <w:tcW w:w="2070" w:type="dxa"/>
            <w:vAlign w:val="center"/>
          </w:tcPr>
          <w:p w14:paraId="4FF9965D">
            <w:pPr>
              <w:pStyle w:val="75"/>
            </w:pPr>
            <w:r>
              <w:t>年</w:t>
            </w:r>
          </w:p>
        </w:tc>
        <w:tc>
          <w:tcPr>
            <w:tcW w:w="2077" w:type="dxa"/>
            <w:vAlign w:val="center"/>
          </w:tcPr>
          <w:p w14:paraId="350A3BA3">
            <w:pPr>
              <w:pStyle w:val="75"/>
            </w:pPr>
            <w:r>
              <w:rPr>
                <w:rFonts w:hint="eastAsia"/>
              </w:rPr>
              <w:t>2</w:t>
            </w:r>
          </w:p>
        </w:tc>
      </w:tr>
    </w:tbl>
    <w:p w14:paraId="3625BAFE">
      <w:pPr>
        <w:pStyle w:val="72"/>
        <w:rPr>
          <w:highlight w:val="yellow"/>
        </w:rPr>
      </w:pPr>
      <w:r>
        <w:rPr>
          <w:rFonts w:hint="eastAsia"/>
        </w:rPr>
        <w:t>本项目总投资6000万元，年税前利润总额3000万元，投资利润率为75%。从上述各项经济指标可以看出，工程投资产生的经济效益显著，企业具有较强的抗风险能力，项目建设投产后可获得较稳定的经济效益。工程投资回收期为2年，具有良好的发展潜力。因此，从经济角度考虑本项目的建设是可行的</w:t>
      </w:r>
      <w:r>
        <w:t>。</w:t>
      </w:r>
    </w:p>
    <w:p w14:paraId="60838148">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51" w:name="_Toc9517"/>
      <w:bookmarkStart w:id="752" w:name="_Toc51319888"/>
      <w:bookmarkStart w:id="753" w:name="_Toc2626"/>
      <w:r>
        <w:rPr>
          <w:rFonts w:hint="eastAsia"/>
          <w:lang w:val="en-US" w:eastAsia="zh-CN"/>
        </w:rPr>
        <w:t>8.3环境损益分析</w:t>
      </w:r>
      <w:bookmarkEnd w:id="751"/>
      <w:bookmarkEnd w:id="752"/>
      <w:bookmarkEnd w:id="753"/>
    </w:p>
    <w:p w14:paraId="30038D4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4" w:name="_Toc108122621"/>
      <w:r>
        <w:rPr>
          <w:rFonts w:hint="eastAsia" w:cs="Times New Roman"/>
          <w:lang w:val="en-US" w:eastAsia="zh-CN"/>
        </w:rPr>
        <w:t>8.3.1环保投资估算</w:t>
      </w:r>
      <w:bookmarkEnd w:id="754"/>
    </w:p>
    <w:p w14:paraId="134FF31A">
      <w:pPr>
        <w:pStyle w:val="72"/>
      </w:pPr>
      <w:r>
        <w:t>本次项目投资</w:t>
      </w:r>
      <w:r>
        <w:rPr>
          <w:rFonts w:hint="eastAsia"/>
        </w:rPr>
        <w:t>6000万元</w:t>
      </w:r>
      <w:r>
        <w:t>，估算环保投资共</w:t>
      </w:r>
      <w:r>
        <w:rPr>
          <w:rFonts w:hint="eastAsia"/>
          <w:lang w:val="en-US" w:eastAsia="zh-CN"/>
        </w:rPr>
        <w:t>420</w:t>
      </w:r>
      <w:r>
        <w:rPr>
          <w:rFonts w:hint="eastAsia"/>
        </w:rPr>
        <w:t>万元</w:t>
      </w:r>
      <w:r>
        <w:t>，其中环保投资主要投资内容及投资估算详见</w:t>
      </w:r>
      <w:r>
        <w:rPr>
          <w:rFonts w:hint="eastAsia"/>
        </w:rPr>
        <w:t>下表</w:t>
      </w:r>
      <w:r>
        <w:t>。</w:t>
      </w:r>
    </w:p>
    <w:p w14:paraId="7D2DEE27">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表8</w:t>
      </w:r>
      <w:r>
        <w:rPr>
          <w:rFonts w:hint="eastAsia"/>
          <w:lang w:val="en-US" w:eastAsia="zh-CN"/>
        </w:rPr>
        <w:t>.3</w:t>
      </w:r>
      <w:r>
        <w:rPr>
          <w:rFonts w:hint="eastAsia"/>
        </w:rPr>
        <w:t>-</w:t>
      </w:r>
      <w:r>
        <w:rPr>
          <w:rFonts w:hint="eastAsia"/>
          <w:lang w:val="en-US" w:eastAsia="zh-CN"/>
        </w:rPr>
        <w:t>1</w:t>
      </w:r>
      <w:r>
        <w:rPr>
          <w:rFonts w:hint="eastAsia"/>
        </w:rPr>
        <w:t xml:space="preserve">    工程完成后环保投资一览表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74"/>
        <w:gridCol w:w="982"/>
        <w:gridCol w:w="1021"/>
        <w:gridCol w:w="2358"/>
        <w:gridCol w:w="3198"/>
      </w:tblGrid>
      <w:tr w14:paraId="0ECBDA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4B2AFF4F">
            <w:pPr>
              <w:pStyle w:val="81"/>
              <w:rPr>
                <w:color w:val="auto"/>
              </w:rPr>
            </w:pPr>
            <w:r>
              <w:rPr>
                <w:color w:val="auto"/>
              </w:rPr>
              <w:t>序号</w:t>
            </w:r>
          </w:p>
        </w:tc>
        <w:tc>
          <w:tcPr>
            <w:tcW w:w="998" w:type="dxa"/>
            <w:vAlign w:val="center"/>
          </w:tcPr>
          <w:p w14:paraId="4B916452">
            <w:pPr>
              <w:pStyle w:val="81"/>
              <w:rPr>
                <w:color w:val="auto"/>
              </w:rPr>
            </w:pPr>
            <w:r>
              <w:rPr>
                <w:color w:val="auto"/>
              </w:rPr>
              <w:t>项目名称</w:t>
            </w:r>
          </w:p>
        </w:tc>
        <w:tc>
          <w:tcPr>
            <w:tcW w:w="1037" w:type="dxa"/>
            <w:vAlign w:val="center"/>
          </w:tcPr>
          <w:p w14:paraId="23C289D6">
            <w:pPr>
              <w:pStyle w:val="81"/>
              <w:rPr>
                <w:color w:val="auto"/>
              </w:rPr>
            </w:pPr>
            <w:r>
              <w:rPr>
                <w:color w:val="auto"/>
              </w:rPr>
              <w:t>投资费用（万元）</w:t>
            </w:r>
          </w:p>
        </w:tc>
        <w:tc>
          <w:tcPr>
            <w:tcW w:w="5646" w:type="dxa"/>
            <w:gridSpan w:val="2"/>
            <w:vAlign w:val="center"/>
          </w:tcPr>
          <w:p w14:paraId="792EADBB">
            <w:pPr>
              <w:pStyle w:val="81"/>
              <w:rPr>
                <w:color w:val="auto"/>
              </w:rPr>
            </w:pPr>
            <w:r>
              <w:rPr>
                <w:color w:val="auto"/>
              </w:rPr>
              <w:t>环保设施、设备</w:t>
            </w:r>
          </w:p>
        </w:tc>
      </w:tr>
      <w:tr w14:paraId="252FD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Merge w:val="restart"/>
            <w:vAlign w:val="center"/>
          </w:tcPr>
          <w:p w14:paraId="3D927B04">
            <w:pPr>
              <w:pStyle w:val="75"/>
            </w:pPr>
            <w:r>
              <w:t>1</w:t>
            </w:r>
          </w:p>
        </w:tc>
        <w:tc>
          <w:tcPr>
            <w:tcW w:w="998" w:type="dxa"/>
            <w:vMerge w:val="restart"/>
            <w:vAlign w:val="center"/>
          </w:tcPr>
          <w:p w14:paraId="37862ECE">
            <w:pPr>
              <w:pStyle w:val="75"/>
            </w:pPr>
            <w:r>
              <w:t>废气治理</w:t>
            </w:r>
          </w:p>
        </w:tc>
        <w:tc>
          <w:tcPr>
            <w:tcW w:w="1037" w:type="dxa"/>
            <w:vMerge w:val="restart"/>
            <w:vAlign w:val="center"/>
          </w:tcPr>
          <w:p w14:paraId="31BE7352">
            <w:pPr>
              <w:pStyle w:val="75"/>
            </w:pPr>
            <w:r>
              <w:rPr>
                <w:rFonts w:hint="eastAsia"/>
              </w:rPr>
              <w:t>150</w:t>
            </w:r>
          </w:p>
        </w:tc>
        <w:tc>
          <w:tcPr>
            <w:tcW w:w="2396" w:type="dxa"/>
            <w:vAlign w:val="center"/>
          </w:tcPr>
          <w:p w14:paraId="39AF6747">
            <w:pPr>
              <w:pStyle w:val="75"/>
              <w:jc w:val="left"/>
            </w:pPr>
            <w:r>
              <w:rPr>
                <w:rFonts w:hint="eastAsia"/>
                <w:kern w:val="2"/>
              </w:rPr>
              <w:t>封闭生产线</w:t>
            </w:r>
            <w:r>
              <w:rPr>
                <w:kern w:val="2"/>
              </w:rPr>
              <w:t>+</w:t>
            </w:r>
            <w:r>
              <w:rPr>
                <w:rFonts w:hint="eastAsia"/>
                <w:kern w:val="2"/>
              </w:rPr>
              <w:t>整体密闭抽风+槽边抽风收集</w:t>
            </w:r>
          </w:p>
        </w:tc>
        <w:tc>
          <w:tcPr>
            <w:tcW w:w="3250" w:type="dxa"/>
            <w:vMerge w:val="restart"/>
            <w:vAlign w:val="center"/>
          </w:tcPr>
          <w:p w14:paraId="725AEC80">
            <w:pPr>
              <w:pStyle w:val="75"/>
              <w:jc w:val="left"/>
            </w:pPr>
            <w:r>
              <w:rPr>
                <w:rFonts w:hint="eastAsia"/>
                <w:kern w:val="2"/>
              </w:rPr>
              <w:t>两级碱喷淋吸收塔</w:t>
            </w:r>
            <w:r>
              <w:rPr>
                <w:kern w:val="2"/>
              </w:rPr>
              <w:t>+</w:t>
            </w:r>
            <w:r>
              <w:rPr>
                <w:rFonts w:hint="eastAsia"/>
              </w:rPr>
              <w:t>15m高</w:t>
            </w:r>
            <w:r>
              <w:rPr>
                <w:rFonts w:hint="eastAsia"/>
                <w:kern w:val="2"/>
              </w:rPr>
              <w:t>排气筒（共3套）</w:t>
            </w:r>
          </w:p>
        </w:tc>
      </w:tr>
      <w:tr w14:paraId="37F421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Merge w:val="continue"/>
            <w:vAlign w:val="center"/>
          </w:tcPr>
          <w:p w14:paraId="6019209F">
            <w:pPr>
              <w:pStyle w:val="75"/>
            </w:pPr>
          </w:p>
        </w:tc>
        <w:tc>
          <w:tcPr>
            <w:tcW w:w="998" w:type="dxa"/>
            <w:vMerge w:val="continue"/>
            <w:vAlign w:val="center"/>
          </w:tcPr>
          <w:p w14:paraId="3F054F40">
            <w:pPr>
              <w:pStyle w:val="75"/>
            </w:pPr>
          </w:p>
        </w:tc>
        <w:tc>
          <w:tcPr>
            <w:tcW w:w="1037" w:type="dxa"/>
            <w:vMerge w:val="continue"/>
            <w:vAlign w:val="center"/>
          </w:tcPr>
          <w:p w14:paraId="49BE1BC6">
            <w:pPr>
              <w:pStyle w:val="75"/>
            </w:pPr>
          </w:p>
        </w:tc>
        <w:tc>
          <w:tcPr>
            <w:tcW w:w="2396" w:type="dxa"/>
            <w:vAlign w:val="center"/>
          </w:tcPr>
          <w:p w14:paraId="1D3C4663">
            <w:pPr>
              <w:pStyle w:val="75"/>
              <w:rPr>
                <w:kern w:val="2"/>
              </w:rPr>
            </w:pPr>
            <w:r>
              <w:rPr>
                <w:rFonts w:hint="eastAsia"/>
                <w:kern w:val="2"/>
              </w:rPr>
              <w:t>密闭负压收集</w:t>
            </w:r>
          </w:p>
        </w:tc>
        <w:tc>
          <w:tcPr>
            <w:tcW w:w="3250" w:type="dxa"/>
            <w:vMerge w:val="continue"/>
            <w:vAlign w:val="center"/>
          </w:tcPr>
          <w:p w14:paraId="2C64F412">
            <w:pPr>
              <w:pStyle w:val="75"/>
              <w:jc w:val="left"/>
              <w:rPr>
                <w:kern w:val="2"/>
              </w:rPr>
            </w:pPr>
          </w:p>
        </w:tc>
      </w:tr>
      <w:tr w14:paraId="12D94B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Merge w:val="continue"/>
            <w:vAlign w:val="center"/>
          </w:tcPr>
          <w:p w14:paraId="1D106DE6">
            <w:pPr>
              <w:pStyle w:val="75"/>
            </w:pPr>
          </w:p>
        </w:tc>
        <w:tc>
          <w:tcPr>
            <w:tcW w:w="998" w:type="dxa"/>
            <w:vMerge w:val="continue"/>
            <w:vAlign w:val="center"/>
          </w:tcPr>
          <w:p w14:paraId="1A54BFE9">
            <w:pPr>
              <w:pStyle w:val="75"/>
            </w:pPr>
          </w:p>
        </w:tc>
        <w:tc>
          <w:tcPr>
            <w:tcW w:w="1037" w:type="dxa"/>
            <w:vMerge w:val="continue"/>
            <w:vAlign w:val="center"/>
          </w:tcPr>
          <w:p w14:paraId="40531FB1">
            <w:pPr>
              <w:pStyle w:val="75"/>
            </w:pPr>
          </w:p>
        </w:tc>
        <w:tc>
          <w:tcPr>
            <w:tcW w:w="2396" w:type="dxa"/>
            <w:vAlign w:val="center"/>
          </w:tcPr>
          <w:p w14:paraId="4FF39F2B">
            <w:pPr>
              <w:pStyle w:val="75"/>
              <w:rPr>
                <w:kern w:val="2"/>
              </w:rPr>
            </w:pPr>
            <w:r>
              <w:rPr>
                <w:rFonts w:hint="eastAsia"/>
                <w:kern w:val="2"/>
              </w:rPr>
              <w:t>加盖密闭收集</w:t>
            </w:r>
          </w:p>
        </w:tc>
        <w:tc>
          <w:tcPr>
            <w:tcW w:w="3250" w:type="dxa"/>
            <w:vAlign w:val="center"/>
          </w:tcPr>
          <w:p w14:paraId="502E149B">
            <w:pPr>
              <w:pStyle w:val="75"/>
              <w:jc w:val="left"/>
              <w:rPr>
                <w:kern w:val="2"/>
              </w:rPr>
            </w:pPr>
            <w:r>
              <w:rPr>
                <w:rFonts w:hint="eastAsia"/>
                <w:kern w:val="2"/>
              </w:rPr>
              <w:t>生物除臭滤塔</w:t>
            </w:r>
            <w:r>
              <w:rPr>
                <w:kern w:val="2"/>
              </w:rPr>
              <w:t>+</w:t>
            </w:r>
            <w:r>
              <w:rPr>
                <w:rFonts w:hint="eastAsia"/>
              </w:rPr>
              <w:t>15m高</w:t>
            </w:r>
            <w:r>
              <w:rPr>
                <w:rFonts w:hint="eastAsia"/>
                <w:kern w:val="2"/>
              </w:rPr>
              <w:t>排气筒（1套）</w:t>
            </w:r>
          </w:p>
        </w:tc>
      </w:tr>
      <w:tr w14:paraId="11E1FA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003B41AD">
            <w:pPr>
              <w:pStyle w:val="75"/>
            </w:pPr>
            <w:r>
              <w:rPr>
                <w:rFonts w:hint="eastAsia"/>
              </w:rPr>
              <w:t>2</w:t>
            </w:r>
          </w:p>
        </w:tc>
        <w:tc>
          <w:tcPr>
            <w:tcW w:w="998" w:type="dxa"/>
            <w:vAlign w:val="center"/>
          </w:tcPr>
          <w:p w14:paraId="7C533CB8">
            <w:pPr>
              <w:pStyle w:val="75"/>
            </w:pPr>
            <w:r>
              <w:t>废水治理</w:t>
            </w:r>
          </w:p>
        </w:tc>
        <w:tc>
          <w:tcPr>
            <w:tcW w:w="1037" w:type="dxa"/>
            <w:vAlign w:val="center"/>
          </w:tcPr>
          <w:p w14:paraId="204D6BDD">
            <w:pPr>
              <w:pStyle w:val="75"/>
              <w:rPr>
                <w:rFonts w:hint="default" w:eastAsia="宋体"/>
                <w:lang w:val="en-US" w:eastAsia="zh-CN"/>
              </w:rPr>
            </w:pPr>
            <w:r>
              <w:rPr>
                <w:rFonts w:hint="eastAsia"/>
                <w:lang w:val="en-US" w:eastAsia="zh-CN"/>
              </w:rPr>
              <w:t>150</w:t>
            </w:r>
          </w:p>
        </w:tc>
        <w:tc>
          <w:tcPr>
            <w:tcW w:w="5646" w:type="dxa"/>
            <w:gridSpan w:val="2"/>
            <w:vAlign w:val="center"/>
          </w:tcPr>
          <w:p w14:paraId="552FB94D">
            <w:pPr>
              <w:pStyle w:val="75"/>
              <w:jc w:val="left"/>
            </w:pPr>
            <w:r>
              <w:rPr>
                <w:rFonts w:hint="eastAsia"/>
              </w:rPr>
              <w:t>综合污水处理系统1套，工艺为：破乳+气浮+调节+混凝沉淀+</w:t>
            </w:r>
            <w:r>
              <w:rPr>
                <w:rFonts w:hint="eastAsia"/>
                <w:bCs/>
              </w:rPr>
              <w:t>水解酸化+接触氧化</w:t>
            </w:r>
            <w:r>
              <w:rPr>
                <w:rFonts w:hint="eastAsia"/>
              </w:rPr>
              <w:t>+二沉池，处理规模为</w:t>
            </w:r>
            <w:r>
              <w:rPr>
                <w:rFonts w:hint="eastAsia"/>
                <w:lang w:val="en-US" w:eastAsia="zh-CN"/>
              </w:rPr>
              <w:t>120</w:t>
            </w:r>
            <w:r>
              <w:rPr>
                <w:rFonts w:hint="eastAsia"/>
              </w:rPr>
              <w:t>t/d；</w:t>
            </w:r>
          </w:p>
          <w:p w14:paraId="22E4ABC5">
            <w:pPr>
              <w:pStyle w:val="75"/>
              <w:jc w:val="left"/>
            </w:pPr>
            <w:r>
              <w:rPr>
                <w:rFonts w:hint="eastAsia"/>
              </w:rPr>
              <w:t>含镍废水处理系统1套，工艺为：</w:t>
            </w:r>
            <w:r>
              <w:t>调节</w:t>
            </w:r>
            <w:r>
              <w:rPr>
                <w:rFonts w:hint="eastAsia"/>
              </w:rPr>
              <w:t>+混凝沉淀+</w:t>
            </w:r>
            <w:r>
              <w:rPr>
                <w:rFonts w:hint="eastAsia"/>
                <w:bCs/>
              </w:rPr>
              <w:t>碳滤</w:t>
            </w:r>
            <w:r>
              <w:rPr>
                <w:rFonts w:hint="eastAsia"/>
              </w:rPr>
              <w:t>+超滤+反渗透+蒸发，处理规模为</w:t>
            </w:r>
            <w:r>
              <w:rPr>
                <w:rFonts w:hint="eastAsia"/>
                <w:lang w:val="en-US" w:eastAsia="zh-CN"/>
              </w:rPr>
              <w:t>150</w:t>
            </w:r>
            <w:r>
              <w:rPr>
                <w:rFonts w:hint="eastAsia"/>
              </w:rPr>
              <w:t>t/d；</w:t>
            </w:r>
          </w:p>
          <w:p w14:paraId="0EE8BE87">
            <w:pPr>
              <w:pStyle w:val="75"/>
              <w:jc w:val="left"/>
            </w:pPr>
            <w:r>
              <w:rPr>
                <w:rFonts w:hint="eastAsia"/>
              </w:rPr>
              <w:t>含铬废水处理系统1套，工艺为：调节+混凝沉淀+碳滤+超滤+反渗透+蒸发，处理规模为</w:t>
            </w:r>
            <w:r>
              <w:rPr>
                <w:rFonts w:hint="eastAsia"/>
                <w:lang w:val="en-US" w:eastAsia="zh-CN"/>
              </w:rPr>
              <w:t>90</w:t>
            </w:r>
            <w:r>
              <w:rPr>
                <w:rFonts w:hint="eastAsia"/>
              </w:rPr>
              <w:t>t/d</w:t>
            </w:r>
          </w:p>
        </w:tc>
      </w:tr>
      <w:tr w14:paraId="24DD7A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256598DE">
            <w:pPr>
              <w:pStyle w:val="75"/>
            </w:pPr>
            <w:r>
              <w:t>3</w:t>
            </w:r>
          </w:p>
        </w:tc>
        <w:tc>
          <w:tcPr>
            <w:tcW w:w="998" w:type="dxa"/>
            <w:vAlign w:val="center"/>
          </w:tcPr>
          <w:p w14:paraId="45A64CE6">
            <w:pPr>
              <w:pStyle w:val="75"/>
            </w:pPr>
            <w:r>
              <w:t>噪声治理</w:t>
            </w:r>
          </w:p>
        </w:tc>
        <w:tc>
          <w:tcPr>
            <w:tcW w:w="1037" w:type="dxa"/>
            <w:vAlign w:val="center"/>
          </w:tcPr>
          <w:p w14:paraId="17E0DBA3">
            <w:pPr>
              <w:pStyle w:val="75"/>
            </w:pPr>
            <w:r>
              <w:rPr>
                <w:rFonts w:hint="eastAsia"/>
              </w:rPr>
              <w:t>10</w:t>
            </w:r>
          </w:p>
        </w:tc>
        <w:tc>
          <w:tcPr>
            <w:tcW w:w="5646" w:type="dxa"/>
            <w:gridSpan w:val="2"/>
            <w:vAlign w:val="center"/>
          </w:tcPr>
          <w:p w14:paraId="2856CC04">
            <w:pPr>
              <w:pStyle w:val="75"/>
            </w:pPr>
            <w:r>
              <w:rPr>
                <w:rFonts w:hint="eastAsia"/>
              </w:rPr>
              <w:t>选用低噪声设备，室内布置、消声、减振</w:t>
            </w:r>
          </w:p>
        </w:tc>
      </w:tr>
      <w:tr w14:paraId="6FE98A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5FA18684">
            <w:pPr>
              <w:pStyle w:val="75"/>
            </w:pPr>
            <w:r>
              <w:t>4</w:t>
            </w:r>
          </w:p>
        </w:tc>
        <w:tc>
          <w:tcPr>
            <w:tcW w:w="998" w:type="dxa"/>
            <w:vAlign w:val="center"/>
          </w:tcPr>
          <w:p w14:paraId="52B25EB4">
            <w:pPr>
              <w:pStyle w:val="75"/>
            </w:pPr>
            <w:r>
              <w:t>固废治理</w:t>
            </w:r>
          </w:p>
        </w:tc>
        <w:tc>
          <w:tcPr>
            <w:tcW w:w="1037" w:type="dxa"/>
            <w:vAlign w:val="center"/>
          </w:tcPr>
          <w:p w14:paraId="1FE7F6AF">
            <w:pPr>
              <w:pStyle w:val="75"/>
              <w:rPr>
                <w:rFonts w:hint="default" w:eastAsia="宋体"/>
                <w:lang w:val="en-US" w:eastAsia="zh-CN"/>
              </w:rPr>
            </w:pPr>
            <w:r>
              <w:rPr>
                <w:rFonts w:hint="eastAsia"/>
                <w:lang w:val="en-US" w:eastAsia="zh-CN"/>
              </w:rPr>
              <w:t>40</w:t>
            </w:r>
          </w:p>
        </w:tc>
        <w:tc>
          <w:tcPr>
            <w:tcW w:w="5646" w:type="dxa"/>
            <w:gridSpan w:val="2"/>
            <w:vAlign w:val="center"/>
          </w:tcPr>
          <w:p w14:paraId="20EF6281">
            <w:pPr>
              <w:pStyle w:val="75"/>
            </w:pPr>
            <w:r>
              <w:t>一般固废暂存间</w:t>
            </w:r>
            <w:r>
              <w:rPr>
                <w:rFonts w:hint="eastAsia"/>
              </w:rPr>
              <w:t>1座（50m</w:t>
            </w:r>
            <w:r>
              <w:rPr>
                <w:rFonts w:hint="eastAsia"/>
                <w:vertAlign w:val="superscript"/>
              </w:rPr>
              <w:t>2</w:t>
            </w:r>
            <w:r>
              <w:rPr>
                <w:rFonts w:hint="eastAsia"/>
              </w:rPr>
              <w:t>）</w:t>
            </w:r>
          </w:p>
          <w:p w14:paraId="1AA2BAEB">
            <w:pPr>
              <w:pStyle w:val="75"/>
            </w:pPr>
            <w:r>
              <w:rPr>
                <w:rFonts w:hint="eastAsia"/>
              </w:rPr>
              <w:t>危险废物贮存库1座（50m</w:t>
            </w:r>
            <w:r>
              <w:rPr>
                <w:rFonts w:hint="eastAsia"/>
                <w:vertAlign w:val="superscript"/>
              </w:rPr>
              <w:t>2</w:t>
            </w:r>
            <w:r>
              <w:rPr>
                <w:rFonts w:hint="eastAsia"/>
              </w:rPr>
              <w:t>）</w:t>
            </w:r>
          </w:p>
        </w:tc>
      </w:tr>
      <w:tr w14:paraId="38F77F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6D80EA51">
            <w:pPr>
              <w:pStyle w:val="75"/>
            </w:pPr>
            <w:r>
              <w:rPr>
                <w:rFonts w:hint="eastAsia"/>
              </w:rPr>
              <w:t>5</w:t>
            </w:r>
          </w:p>
        </w:tc>
        <w:tc>
          <w:tcPr>
            <w:tcW w:w="998" w:type="dxa"/>
            <w:vAlign w:val="center"/>
          </w:tcPr>
          <w:p w14:paraId="05AA21E3">
            <w:pPr>
              <w:pStyle w:val="75"/>
            </w:pPr>
            <w:r>
              <w:t>风险防范</w:t>
            </w:r>
          </w:p>
        </w:tc>
        <w:tc>
          <w:tcPr>
            <w:tcW w:w="1037" w:type="dxa"/>
            <w:vAlign w:val="center"/>
          </w:tcPr>
          <w:p w14:paraId="6AE2A9B3">
            <w:pPr>
              <w:pStyle w:val="75"/>
            </w:pPr>
            <w:r>
              <w:rPr>
                <w:rFonts w:hint="eastAsia"/>
              </w:rPr>
              <w:t>20</w:t>
            </w:r>
          </w:p>
        </w:tc>
        <w:tc>
          <w:tcPr>
            <w:tcW w:w="5646" w:type="dxa"/>
            <w:gridSpan w:val="2"/>
            <w:vAlign w:val="center"/>
          </w:tcPr>
          <w:p w14:paraId="149526A0">
            <w:pPr>
              <w:pStyle w:val="75"/>
              <w:jc w:val="left"/>
            </w:pPr>
            <w:r>
              <w:rPr>
                <w:rFonts w:hint="eastAsia"/>
              </w:rPr>
              <w:t>仓库化学品储存设置托盘和围堰；生产车间、仓库设导流槽、液体收集桶；事故水池（</w:t>
            </w:r>
            <w:r>
              <w:rPr>
                <w:rFonts w:hint="eastAsia"/>
                <w:lang w:val="en-US" w:eastAsia="zh-CN"/>
              </w:rPr>
              <w:t>300</w:t>
            </w:r>
            <w:r>
              <w:rPr>
                <w:rFonts w:hint="eastAsia"/>
              </w:rPr>
              <w:t>m</w:t>
            </w:r>
            <w:r>
              <w:rPr>
                <w:vertAlign w:val="superscript"/>
              </w:rPr>
              <w:t>3</w:t>
            </w:r>
            <w:r>
              <w:rPr>
                <w:rFonts w:hint="eastAsia"/>
              </w:rPr>
              <w:t>）；应急器材、消防器材等</w:t>
            </w:r>
          </w:p>
        </w:tc>
      </w:tr>
      <w:tr w14:paraId="2AB01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87" w:type="dxa"/>
            <w:vAlign w:val="center"/>
          </w:tcPr>
          <w:p w14:paraId="09E30DE5">
            <w:pPr>
              <w:pStyle w:val="75"/>
            </w:pPr>
            <w:r>
              <w:rPr>
                <w:rFonts w:hint="eastAsia"/>
              </w:rPr>
              <w:t>6</w:t>
            </w:r>
          </w:p>
        </w:tc>
        <w:tc>
          <w:tcPr>
            <w:tcW w:w="998" w:type="dxa"/>
            <w:vAlign w:val="center"/>
          </w:tcPr>
          <w:p w14:paraId="6698CD1A">
            <w:pPr>
              <w:pStyle w:val="75"/>
            </w:pPr>
            <w:r>
              <w:rPr>
                <w:rFonts w:hint="eastAsia"/>
              </w:rPr>
              <w:t>监控</w:t>
            </w:r>
          </w:p>
        </w:tc>
        <w:tc>
          <w:tcPr>
            <w:tcW w:w="1037" w:type="dxa"/>
            <w:vAlign w:val="center"/>
          </w:tcPr>
          <w:p w14:paraId="0F014028">
            <w:pPr>
              <w:pStyle w:val="75"/>
              <w:rPr>
                <w:rFonts w:hint="default" w:eastAsia="宋体"/>
                <w:lang w:val="en-US" w:eastAsia="zh-CN"/>
              </w:rPr>
            </w:pPr>
            <w:r>
              <w:rPr>
                <w:rFonts w:hint="eastAsia"/>
                <w:lang w:val="en-US" w:eastAsia="zh-CN"/>
              </w:rPr>
              <w:t>50</w:t>
            </w:r>
          </w:p>
        </w:tc>
        <w:tc>
          <w:tcPr>
            <w:tcW w:w="5646" w:type="dxa"/>
            <w:gridSpan w:val="2"/>
            <w:vAlign w:val="center"/>
          </w:tcPr>
          <w:p w14:paraId="3E06EC9D">
            <w:pPr>
              <w:pStyle w:val="75"/>
              <w:jc w:val="left"/>
            </w:pPr>
            <w:r>
              <w:rPr>
                <w:rFonts w:hint="eastAsia"/>
              </w:rPr>
              <w:t>按管理要求按时安装废水在线监测设备，用电监控设施，视频监控设施</w:t>
            </w:r>
          </w:p>
        </w:tc>
      </w:tr>
      <w:tr w14:paraId="061CA7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85" w:type="dxa"/>
            <w:gridSpan w:val="2"/>
            <w:vAlign w:val="center"/>
          </w:tcPr>
          <w:p w14:paraId="3FA44251">
            <w:pPr>
              <w:pStyle w:val="75"/>
            </w:pPr>
            <w:r>
              <w:rPr>
                <w:rFonts w:hint="eastAsia"/>
              </w:rPr>
              <w:t>合计</w:t>
            </w:r>
          </w:p>
        </w:tc>
        <w:tc>
          <w:tcPr>
            <w:tcW w:w="1037" w:type="dxa"/>
            <w:vAlign w:val="center"/>
          </w:tcPr>
          <w:p w14:paraId="1B90F70B">
            <w:pPr>
              <w:pStyle w:val="75"/>
              <w:rPr>
                <w:rFonts w:hint="default" w:eastAsia="宋体"/>
                <w:lang w:val="en-US" w:eastAsia="zh-CN"/>
              </w:rPr>
            </w:pPr>
            <w:r>
              <w:rPr>
                <w:rFonts w:hint="eastAsia"/>
                <w:lang w:val="en-US" w:eastAsia="zh-CN"/>
              </w:rPr>
              <w:t>420</w:t>
            </w:r>
          </w:p>
        </w:tc>
        <w:tc>
          <w:tcPr>
            <w:tcW w:w="5646" w:type="dxa"/>
            <w:gridSpan w:val="2"/>
            <w:vAlign w:val="center"/>
          </w:tcPr>
          <w:p w14:paraId="23621DC4">
            <w:pPr>
              <w:pStyle w:val="75"/>
            </w:pPr>
            <w:r>
              <w:t>占工程总投资的</w:t>
            </w:r>
            <w:r>
              <w:rPr>
                <w:rFonts w:hint="eastAsia"/>
                <w:lang w:val="en-US" w:eastAsia="zh-CN"/>
              </w:rPr>
              <w:t>7</w:t>
            </w:r>
            <w:r>
              <w:rPr>
                <w:rFonts w:hint="eastAsia"/>
              </w:rPr>
              <w:t>%</w:t>
            </w:r>
          </w:p>
        </w:tc>
      </w:tr>
    </w:tbl>
    <w:p w14:paraId="6A6A672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5" w:name="_Toc108122622"/>
      <w:r>
        <w:rPr>
          <w:rFonts w:hint="eastAsia" w:cs="Times New Roman"/>
          <w:lang w:val="en-US" w:eastAsia="zh-CN"/>
        </w:rPr>
        <w:t>8.3.2环保效益分析运行费用估算</w:t>
      </w:r>
      <w:bookmarkEnd w:id="755"/>
    </w:p>
    <w:p w14:paraId="0F042A6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8.3.2.1环保运行费用</w:t>
      </w:r>
    </w:p>
    <w:p w14:paraId="2DDC3040">
      <w:pPr>
        <w:pStyle w:val="72"/>
      </w:pPr>
      <w:r>
        <w:rPr>
          <w:rFonts w:hint="eastAsia"/>
        </w:rPr>
        <w:t>工程完成后项目环保运行费用主要包括环保设备的维修费、折旧费、环保管理及其他费用，成本费用主要包括原辅材料消耗费、动力消耗费及人员工资、福利等。设备的折旧年限为</w:t>
      </w:r>
      <w:r>
        <w:t>15</w:t>
      </w:r>
      <w:r>
        <w:rPr>
          <w:rFonts w:hint="eastAsia"/>
        </w:rPr>
        <w:t>年，设备的修理费率为</w:t>
      </w:r>
      <w:r>
        <w:t>2.5%</w:t>
      </w:r>
      <w:r>
        <w:rPr>
          <w:rFonts w:hint="eastAsia"/>
        </w:rPr>
        <w:t>。为使项目环保治理设施正常运行，并达到预期的治理效果，环保运行费用估算：</w:t>
      </w:r>
    </w:p>
    <w:p w14:paraId="7333D7DF">
      <w:pPr>
        <w:pStyle w:val="72"/>
      </w:pPr>
      <w:r>
        <w:rPr>
          <w:rFonts w:hint="eastAsia"/>
        </w:rPr>
        <w:t>（</w:t>
      </w:r>
      <w:r>
        <w:t>1</w:t>
      </w:r>
      <w:r>
        <w:rPr>
          <w:rFonts w:hint="eastAsia"/>
        </w:rPr>
        <w:t>）环保设施运营费及修理费</w:t>
      </w:r>
    </w:p>
    <w:p w14:paraId="26ED70F0">
      <w:pPr>
        <w:pStyle w:val="72"/>
      </w:pPr>
      <w:r>
        <w:rPr>
          <w:rFonts w:hint="eastAsia"/>
        </w:rPr>
        <w:t>根据防污减污措施评价，本项目污染防治措施的运行费用主要为污水站运行费、废气治理设施运行费用和危险废物处置费用。运营费用按照环保总投资的</w:t>
      </w:r>
      <w:r>
        <w:rPr>
          <w:rFonts w:hint="eastAsia"/>
          <w:lang w:val="en-US" w:eastAsia="zh-CN"/>
        </w:rPr>
        <w:t>30</w:t>
      </w:r>
      <w:r>
        <w:t>%</w:t>
      </w:r>
      <w:r>
        <w:rPr>
          <w:rFonts w:hint="eastAsia"/>
        </w:rPr>
        <w:t>估算，设备的修理费用按照环保总投资的5</w:t>
      </w:r>
      <w:r>
        <w:t>%</w:t>
      </w:r>
      <w:r>
        <w:rPr>
          <w:rFonts w:hint="eastAsia"/>
        </w:rPr>
        <w:t>估算，则项目环保设施运营费用约为</w:t>
      </w:r>
      <w:r>
        <w:rPr>
          <w:rFonts w:hint="eastAsia"/>
          <w:lang w:val="en-US" w:eastAsia="zh-CN"/>
        </w:rPr>
        <w:t>126</w:t>
      </w:r>
      <w:r>
        <w:rPr>
          <w:rFonts w:hint="eastAsia"/>
        </w:rPr>
        <w:t>万元，环保设备的修理费约为</w:t>
      </w:r>
      <w:r>
        <w:rPr>
          <w:rFonts w:hint="eastAsia"/>
          <w:lang w:val="en-US" w:eastAsia="zh-CN"/>
        </w:rPr>
        <w:t>21</w:t>
      </w:r>
      <w:r>
        <w:rPr>
          <w:rFonts w:hint="eastAsia"/>
        </w:rPr>
        <w:t>万元。</w:t>
      </w:r>
    </w:p>
    <w:p w14:paraId="7E126274">
      <w:pPr>
        <w:pStyle w:val="72"/>
      </w:pPr>
      <w:r>
        <w:rPr>
          <w:rFonts w:hint="eastAsia"/>
        </w:rPr>
        <w:t>（</w:t>
      </w:r>
      <w:r>
        <w:t>2</w:t>
      </w:r>
      <w:r>
        <w:rPr>
          <w:rFonts w:hint="eastAsia"/>
        </w:rPr>
        <w:t>）环保设施折旧费</w:t>
      </w:r>
    </w:p>
    <w:p w14:paraId="2257EFFB">
      <w:pPr>
        <w:pStyle w:val="72"/>
      </w:pPr>
      <w:r>
        <w:rPr>
          <w:rFonts w:hint="eastAsia"/>
        </w:rPr>
        <w:t>项目环保设施运营期间会产生环保设施的折旧费，项目按照折旧年限</w:t>
      </w:r>
      <w:r>
        <w:t>15</w:t>
      </w:r>
      <w:r>
        <w:rPr>
          <w:rFonts w:hint="eastAsia"/>
        </w:rPr>
        <w:t>年进行考虑，项目环保设施的折旧费用计算如下：</w:t>
      </w:r>
    </w:p>
    <w:p w14:paraId="229E4322">
      <w:pPr>
        <w:pStyle w:val="83"/>
        <w:spacing w:before="120" w:after="120"/>
      </w:pPr>
      <w:r>
        <w:t>C</w:t>
      </w:r>
      <w:r>
        <w:rPr>
          <w:vertAlign w:val="subscript"/>
        </w:rPr>
        <w:t>2</w:t>
      </w:r>
      <w:r>
        <w:t>=a×C</w:t>
      </w:r>
      <w:r>
        <w:rPr>
          <w:vertAlign w:val="subscript"/>
        </w:rPr>
        <w:t>0</w:t>
      </w:r>
      <w:r>
        <w:t>/n</w:t>
      </w:r>
    </w:p>
    <w:p w14:paraId="2C8225C0">
      <w:pPr>
        <w:pStyle w:val="72"/>
      </w:pPr>
      <w:r>
        <w:rPr>
          <w:rFonts w:hint="eastAsia"/>
        </w:rPr>
        <w:t>式中，</w:t>
      </w:r>
      <w:r>
        <w:t>a—</w:t>
      </w:r>
      <w:r>
        <w:rPr>
          <w:rFonts w:hint="eastAsia"/>
        </w:rPr>
        <w:t>固定资产形成率，取</w:t>
      </w:r>
      <w:r>
        <w:t>90%</w:t>
      </w:r>
      <w:r>
        <w:rPr>
          <w:rFonts w:hint="eastAsia"/>
        </w:rPr>
        <w:t>；</w:t>
      </w:r>
    </w:p>
    <w:p w14:paraId="17EF0BA6">
      <w:pPr>
        <w:pStyle w:val="72"/>
        <w:ind w:firstLine="1200" w:firstLineChars="500"/>
      </w:pPr>
      <w:r>
        <w:t>n—</w:t>
      </w:r>
      <w:r>
        <w:rPr>
          <w:rFonts w:hint="eastAsia"/>
        </w:rPr>
        <w:t>折旧年限，取</w:t>
      </w:r>
      <w:r>
        <w:t>1</w:t>
      </w:r>
      <w:r>
        <w:rPr>
          <w:rFonts w:hint="eastAsia"/>
        </w:rPr>
        <w:t>5年；</w:t>
      </w:r>
    </w:p>
    <w:p w14:paraId="489E8B10">
      <w:pPr>
        <w:pStyle w:val="72"/>
        <w:ind w:firstLine="1200" w:firstLineChars="500"/>
      </w:pPr>
      <w:r>
        <w:t>C</w:t>
      </w:r>
      <w:r>
        <w:rPr>
          <w:vertAlign w:val="subscript"/>
        </w:rPr>
        <w:t>0</w:t>
      </w:r>
      <w:r>
        <w:t>—</w:t>
      </w:r>
      <w:r>
        <w:rPr>
          <w:rFonts w:hint="eastAsia"/>
        </w:rPr>
        <w:t>环保设施投资。</w:t>
      </w:r>
    </w:p>
    <w:p w14:paraId="0549C1A7">
      <w:pPr>
        <w:pStyle w:val="72"/>
      </w:pPr>
      <w:r>
        <w:rPr>
          <w:rFonts w:hint="eastAsia"/>
        </w:rPr>
        <w:t>经计算，项目环保设施折旧费为</w:t>
      </w:r>
      <w:r>
        <w:rPr>
          <w:rFonts w:hint="eastAsia"/>
          <w:lang w:val="en-US" w:eastAsia="zh-CN"/>
        </w:rPr>
        <w:t>25.2</w:t>
      </w:r>
      <w:r>
        <w:rPr>
          <w:rFonts w:hint="eastAsia"/>
        </w:rPr>
        <w:t>万元。</w:t>
      </w:r>
    </w:p>
    <w:p w14:paraId="7996D92A">
      <w:pPr>
        <w:pStyle w:val="72"/>
      </w:pPr>
      <w:r>
        <w:rPr>
          <w:rFonts w:hint="eastAsia"/>
        </w:rPr>
        <w:t>（</w:t>
      </w:r>
      <w:r>
        <w:t>3</w:t>
      </w:r>
      <w:r>
        <w:rPr>
          <w:rFonts w:hint="eastAsia"/>
        </w:rPr>
        <w:t>）环保管理费</w:t>
      </w:r>
    </w:p>
    <w:p w14:paraId="2B1614A0">
      <w:pPr>
        <w:pStyle w:val="72"/>
      </w:pPr>
      <w:r>
        <w:rPr>
          <w:rFonts w:hint="eastAsia"/>
        </w:rPr>
        <w:t>环保管理费用包括管理部门的办公费、监测费和技术咨询费等，按环保设施投资折旧费用与运行费用的</w:t>
      </w:r>
      <w:r>
        <w:rPr>
          <w:rFonts w:hint="eastAsia"/>
          <w:lang w:val="en-US" w:eastAsia="zh-CN"/>
        </w:rPr>
        <w:t>10</w:t>
      </w:r>
      <w:r>
        <w:t>%</w:t>
      </w:r>
      <w:r>
        <w:rPr>
          <w:rFonts w:hint="eastAsia"/>
        </w:rPr>
        <w:t>计算，则项目运营期环保管理费为</w:t>
      </w:r>
      <w:r>
        <w:rPr>
          <w:rFonts w:hint="eastAsia"/>
          <w:lang w:val="en-US" w:eastAsia="zh-CN"/>
        </w:rPr>
        <w:t>15.12</w:t>
      </w:r>
      <w:r>
        <w:rPr>
          <w:rFonts w:hint="eastAsia"/>
        </w:rPr>
        <w:t>万元。</w:t>
      </w:r>
    </w:p>
    <w:p w14:paraId="0921F50D">
      <w:pPr>
        <w:pStyle w:val="72"/>
      </w:pPr>
      <w:r>
        <w:rPr>
          <w:rFonts w:hint="eastAsia"/>
        </w:rPr>
        <w:t>（4）环保税</w:t>
      </w:r>
    </w:p>
    <w:p w14:paraId="76C2ACAA">
      <w:pPr>
        <w:pStyle w:val="72"/>
      </w:pPr>
      <w:r>
        <w:rPr>
          <w:rFonts w:hint="eastAsia"/>
        </w:rPr>
        <w:t>根据我国环境保护税法草案（</w:t>
      </w:r>
      <w:r>
        <w:t>2016</w:t>
      </w:r>
      <w:r>
        <w:rPr>
          <w:rFonts w:hint="eastAsia"/>
        </w:rPr>
        <w:t>年</w:t>
      </w:r>
      <w:r>
        <w:t>8</w:t>
      </w:r>
      <w:r>
        <w:rPr>
          <w:rFonts w:hint="eastAsia"/>
        </w:rPr>
        <w:t>月</w:t>
      </w:r>
      <w:r>
        <w:t>29</w:t>
      </w:r>
      <w:r>
        <w:rPr>
          <w:rFonts w:hint="eastAsia"/>
        </w:rPr>
        <w:t>日）规定，水污染物税额为每污染当量</w:t>
      </w:r>
      <w:r>
        <w:t>1.4</w:t>
      </w:r>
      <w:r>
        <w:rPr>
          <w:rFonts w:hint="eastAsia"/>
        </w:rPr>
        <w:t>元，本项目环保税情况见下表。</w:t>
      </w:r>
    </w:p>
    <w:p w14:paraId="2566F7C3">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表8</w:t>
      </w:r>
      <w:r>
        <w:rPr>
          <w:rFonts w:hint="eastAsia"/>
          <w:lang w:val="en-US" w:eastAsia="zh-CN"/>
        </w:rPr>
        <w:t>.</w:t>
      </w:r>
      <w:r>
        <w:rPr>
          <w:rFonts w:hint="eastAsia"/>
        </w:rPr>
        <w:t>3</w:t>
      </w:r>
      <w:r>
        <w:rPr>
          <w:rFonts w:hint="eastAsia"/>
          <w:lang w:val="en-US" w:eastAsia="zh-CN"/>
        </w:rPr>
        <w:t>-2</w:t>
      </w:r>
      <w:r>
        <w:rPr>
          <w:rFonts w:hint="eastAsia"/>
        </w:rPr>
        <w:t xml:space="preserve">    环保税一览表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12"/>
        <w:gridCol w:w="1655"/>
        <w:gridCol w:w="1793"/>
        <w:gridCol w:w="1535"/>
        <w:gridCol w:w="1756"/>
      </w:tblGrid>
      <w:tr w14:paraId="2477DF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1" w:type="dxa"/>
            <w:gridSpan w:val="2"/>
            <w:vAlign w:val="center"/>
          </w:tcPr>
          <w:p w14:paraId="7A3BAD02">
            <w:pPr>
              <w:pStyle w:val="81"/>
              <w:spacing w:line="240" w:lineRule="auto"/>
              <w:rPr>
                <w:color w:val="auto"/>
              </w:rPr>
            </w:pPr>
            <w:r>
              <w:rPr>
                <w:rFonts w:hint="eastAsia"/>
                <w:color w:val="auto"/>
              </w:rPr>
              <w:t>污染物</w:t>
            </w:r>
          </w:p>
        </w:tc>
        <w:tc>
          <w:tcPr>
            <w:tcW w:w="1609" w:type="dxa"/>
            <w:tcMar>
              <w:top w:w="57" w:type="dxa"/>
              <w:left w:w="108" w:type="dxa"/>
              <w:bottom w:w="57" w:type="dxa"/>
              <w:right w:w="108" w:type="dxa"/>
            </w:tcMar>
            <w:vAlign w:val="center"/>
          </w:tcPr>
          <w:p w14:paraId="5E691644">
            <w:pPr>
              <w:pStyle w:val="81"/>
              <w:spacing w:line="240" w:lineRule="auto"/>
              <w:rPr>
                <w:color w:val="auto"/>
              </w:rPr>
            </w:pPr>
            <w:r>
              <w:rPr>
                <w:rFonts w:hint="eastAsia"/>
                <w:color w:val="auto"/>
              </w:rPr>
              <w:t>排污量（</w:t>
            </w:r>
            <w:r>
              <w:rPr>
                <w:color w:val="auto"/>
              </w:rPr>
              <w:t>kg/a</w:t>
            </w:r>
            <w:r>
              <w:rPr>
                <w:rFonts w:hint="eastAsia"/>
                <w:color w:val="auto"/>
              </w:rPr>
              <w:t>）</w:t>
            </w:r>
          </w:p>
        </w:tc>
        <w:tc>
          <w:tcPr>
            <w:tcW w:w="1743" w:type="dxa"/>
            <w:tcMar>
              <w:top w:w="57" w:type="dxa"/>
              <w:left w:w="108" w:type="dxa"/>
              <w:bottom w:w="57" w:type="dxa"/>
              <w:right w:w="108" w:type="dxa"/>
            </w:tcMar>
            <w:vAlign w:val="center"/>
          </w:tcPr>
          <w:p w14:paraId="00882851">
            <w:pPr>
              <w:pStyle w:val="81"/>
              <w:spacing w:line="240" w:lineRule="auto"/>
              <w:rPr>
                <w:color w:val="auto"/>
              </w:rPr>
            </w:pPr>
            <w:r>
              <w:rPr>
                <w:rFonts w:hint="eastAsia"/>
                <w:color w:val="auto"/>
              </w:rPr>
              <w:t>污染当量值（</w:t>
            </w:r>
            <w:r>
              <w:rPr>
                <w:color w:val="auto"/>
              </w:rPr>
              <w:t>kg</w:t>
            </w:r>
            <w:r>
              <w:rPr>
                <w:rFonts w:hint="eastAsia"/>
                <w:color w:val="auto"/>
              </w:rPr>
              <w:t>）</w:t>
            </w:r>
          </w:p>
        </w:tc>
        <w:tc>
          <w:tcPr>
            <w:tcW w:w="1493" w:type="dxa"/>
            <w:tcMar>
              <w:top w:w="57" w:type="dxa"/>
              <w:left w:w="108" w:type="dxa"/>
              <w:bottom w:w="57" w:type="dxa"/>
              <w:right w:w="108" w:type="dxa"/>
            </w:tcMar>
            <w:vAlign w:val="center"/>
          </w:tcPr>
          <w:p w14:paraId="027F5756">
            <w:pPr>
              <w:pStyle w:val="81"/>
              <w:spacing w:line="240" w:lineRule="auto"/>
              <w:rPr>
                <w:color w:val="auto"/>
              </w:rPr>
            </w:pPr>
            <w:r>
              <w:rPr>
                <w:rFonts w:hint="eastAsia"/>
                <w:color w:val="auto"/>
              </w:rPr>
              <w:t>污染当量数</w:t>
            </w:r>
          </w:p>
        </w:tc>
        <w:tc>
          <w:tcPr>
            <w:tcW w:w="1707" w:type="dxa"/>
            <w:tcMar>
              <w:top w:w="57" w:type="dxa"/>
              <w:left w:w="108" w:type="dxa"/>
              <w:bottom w:w="57" w:type="dxa"/>
              <w:right w:w="108" w:type="dxa"/>
            </w:tcMar>
            <w:vAlign w:val="center"/>
          </w:tcPr>
          <w:p w14:paraId="6A4642A7">
            <w:pPr>
              <w:pStyle w:val="81"/>
              <w:spacing w:line="240" w:lineRule="auto"/>
              <w:rPr>
                <w:color w:val="auto"/>
              </w:rPr>
            </w:pPr>
            <w:r>
              <w:rPr>
                <w:rFonts w:hint="eastAsia"/>
                <w:color w:val="auto"/>
              </w:rPr>
              <w:t>环保税（万元</w:t>
            </w:r>
            <w:r>
              <w:rPr>
                <w:color w:val="auto"/>
              </w:rPr>
              <w:t>/a</w:t>
            </w:r>
            <w:r>
              <w:rPr>
                <w:rFonts w:hint="eastAsia"/>
                <w:color w:val="auto"/>
              </w:rPr>
              <w:t>）</w:t>
            </w:r>
          </w:p>
        </w:tc>
      </w:tr>
      <w:tr w14:paraId="78656C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0" w:type="dxa"/>
            <w:vMerge w:val="restart"/>
            <w:tcMar>
              <w:top w:w="57" w:type="dxa"/>
              <w:left w:w="108" w:type="dxa"/>
              <w:bottom w:w="57" w:type="dxa"/>
              <w:right w:w="108" w:type="dxa"/>
            </w:tcMar>
            <w:vAlign w:val="center"/>
          </w:tcPr>
          <w:p w14:paraId="25D10ED1">
            <w:pPr>
              <w:pStyle w:val="75"/>
              <w:spacing w:line="240" w:lineRule="auto"/>
            </w:pPr>
            <w:r>
              <w:rPr>
                <w:rFonts w:hint="eastAsia"/>
              </w:rPr>
              <w:t>废水</w:t>
            </w:r>
          </w:p>
        </w:tc>
        <w:tc>
          <w:tcPr>
            <w:tcW w:w="1081" w:type="dxa"/>
            <w:tcMar>
              <w:top w:w="57" w:type="dxa"/>
              <w:left w:w="108" w:type="dxa"/>
              <w:bottom w:w="57" w:type="dxa"/>
              <w:right w:w="108" w:type="dxa"/>
            </w:tcMar>
            <w:vAlign w:val="center"/>
          </w:tcPr>
          <w:p w14:paraId="603237DF">
            <w:pPr>
              <w:pStyle w:val="75"/>
              <w:spacing w:line="240" w:lineRule="auto"/>
            </w:pPr>
            <w:r>
              <w:t>COD</w:t>
            </w:r>
          </w:p>
        </w:tc>
        <w:tc>
          <w:tcPr>
            <w:tcW w:w="1609" w:type="dxa"/>
            <w:tcMar>
              <w:top w:w="57" w:type="dxa"/>
              <w:left w:w="108" w:type="dxa"/>
              <w:bottom w:w="57" w:type="dxa"/>
              <w:right w:w="108" w:type="dxa"/>
            </w:tcMar>
            <w:vAlign w:val="center"/>
          </w:tcPr>
          <w:p w14:paraId="01965EF3">
            <w:pPr>
              <w:pStyle w:val="75"/>
              <w:spacing w:line="240" w:lineRule="auto"/>
              <w:rPr>
                <w:rFonts w:hint="default" w:eastAsia="宋体"/>
                <w:bCs/>
                <w:lang w:val="en-US" w:eastAsia="zh-CN"/>
              </w:rPr>
            </w:pPr>
            <w:r>
              <w:rPr>
                <w:rFonts w:hint="eastAsia"/>
                <w:bCs/>
                <w:lang w:val="en-US" w:eastAsia="zh-CN"/>
              </w:rPr>
              <w:t>1589.5</w:t>
            </w:r>
          </w:p>
        </w:tc>
        <w:tc>
          <w:tcPr>
            <w:tcW w:w="1743" w:type="dxa"/>
            <w:tcMar>
              <w:top w:w="57" w:type="dxa"/>
              <w:left w:w="108" w:type="dxa"/>
              <w:bottom w:w="57" w:type="dxa"/>
              <w:right w:w="108" w:type="dxa"/>
            </w:tcMar>
            <w:vAlign w:val="center"/>
          </w:tcPr>
          <w:p w14:paraId="00C54A33">
            <w:pPr>
              <w:pStyle w:val="75"/>
              <w:spacing w:line="240" w:lineRule="auto"/>
              <w:rPr>
                <w:bCs/>
              </w:rPr>
            </w:pPr>
            <w:r>
              <w:rPr>
                <w:bCs/>
              </w:rPr>
              <w:t>1</w:t>
            </w:r>
          </w:p>
        </w:tc>
        <w:tc>
          <w:tcPr>
            <w:tcW w:w="1493" w:type="dxa"/>
            <w:tcMar>
              <w:top w:w="57" w:type="dxa"/>
              <w:left w:w="108" w:type="dxa"/>
              <w:bottom w:w="57" w:type="dxa"/>
              <w:right w:w="108" w:type="dxa"/>
            </w:tcMar>
            <w:vAlign w:val="center"/>
          </w:tcPr>
          <w:p w14:paraId="2BBC49AA">
            <w:pPr>
              <w:pStyle w:val="75"/>
              <w:spacing w:line="240" w:lineRule="auto"/>
              <w:rPr>
                <w:rFonts w:hint="default" w:eastAsia="宋体"/>
                <w:bCs/>
                <w:lang w:val="en-US" w:eastAsia="zh-CN"/>
              </w:rPr>
            </w:pPr>
            <w:r>
              <w:rPr>
                <w:rFonts w:hint="eastAsia"/>
                <w:bCs/>
                <w:lang w:val="en-US" w:eastAsia="zh-CN"/>
              </w:rPr>
              <w:t>1589.5</w:t>
            </w:r>
          </w:p>
        </w:tc>
        <w:tc>
          <w:tcPr>
            <w:tcW w:w="1707" w:type="dxa"/>
            <w:vMerge w:val="restart"/>
            <w:tcMar>
              <w:top w:w="57" w:type="dxa"/>
              <w:left w:w="108" w:type="dxa"/>
              <w:bottom w:w="57" w:type="dxa"/>
              <w:right w:w="108" w:type="dxa"/>
            </w:tcMar>
            <w:vAlign w:val="center"/>
          </w:tcPr>
          <w:p w14:paraId="7162DA81">
            <w:pPr>
              <w:pStyle w:val="75"/>
              <w:spacing w:line="240" w:lineRule="auto"/>
              <w:rPr>
                <w:rFonts w:hint="default" w:eastAsia="宋体"/>
                <w:bCs/>
                <w:lang w:val="en-US" w:eastAsia="zh-CN"/>
              </w:rPr>
            </w:pPr>
            <w:r>
              <w:rPr>
                <w:rFonts w:hint="eastAsia"/>
                <w:bCs/>
                <w:lang w:val="en-US" w:eastAsia="zh-CN"/>
              </w:rPr>
              <w:t>0.23</w:t>
            </w:r>
          </w:p>
        </w:tc>
      </w:tr>
      <w:tr w14:paraId="62A6BC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0" w:type="dxa"/>
            <w:vMerge w:val="continue"/>
            <w:vAlign w:val="center"/>
          </w:tcPr>
          <w:p w14:paraId="6611A607">
            <w:pPr>
              <w:pStyle w:val="75"/>
              <w:spacing w:line="240" w:lineRule="auto"/>
            </w:pPr>
          </w:p>
        </w:tc>
        <w:tc>
          <w:tcPr>
            <w:tcW w:w="1081" w:type="dxa"/>
            <w:tcMar>
              <w:top w:w="57" w:type="dxa"/>
              <w:left w:w="108" w:type="dxa"/>
              <w:bottom w:w="57" w:type="dxa"/>
              <w:right w:w="108" w:type="dxa"/>
            </w:tcMar>
            <w:vAlign w:val="center"/>
          </w:tcPr>
          <w:p w14:paraId="4E1B4F35">
            <w:pPr>
              <w:pStyle w:val="75"/>
              <w:spacing w:line="240" w:lineRule="auto"/>
            </w:pPr>
            <w:r>
              <w:t>NH</w:t>
            </w:r>
            <w:r>
              <w:rPr>
                <w:vertAlign w:val="subscript"/>
              </w:rPr>
              <w:t>3</w:t>
            </w:r>
            <w:r>
              <w:t>-N</w:t>
            </w:r>
          </w:p>
        </w:tc>
        <w:tc>
          <w:tcPr>
            <w:tcW w:w="1609" w:type="dxa"/>
            <w:tcMar>
              <w:top w:w="57" w:type="dxa"/>
              <w:left w:w="108" w:type="dxa"/>
              <w:bottom w:w="57" w:type="dxa"/>
              <w:right w:w="108" w:type="dxa"/>
            </w:tcMar>
            <w:vAlign w:val="center"/>
          </w:tcPr>
          <w:p w14:paraId="08BA76FA">
            <w:pPr>
              <w:pStyle w:val="75"/>
              <w:spacing w:line="240" w:lineRule="auto"/>
              <w:rPr>
                <w:rFonts w:hint="default" w:eastAsia="宋体"/>
                <w:bCs/>
                <w:lang w:val="en-US" w:eastAsia="zh-CN"/>
              </w:rPr>
            </w:pPr>
            <w:r>
              <w:rPr>
                <w:rFonts w:hint="eastAsia"/>
                <w:bCs/>
                <w:lang w:val="en-US" w:eastAsia="zh-CN"/>
              </w:rPr>
              <w:t>79.5</w:t>
            </w:r>
          </w:p>
        </w:tc>
        <w:tc>
          <w:tcPr>
            <w:tcW w:w="1743" w:type="dxa"/>
            <w:tcMar>
              <w:top w:w="57" w:type="dxa"/>
              <w:left w:w="108" w:type="dxa"/>
              <w:bottom w:w="57" w:type="dxa"/>
              <w:right w:w="108" w:type="dxa"/>
            </w:tcMar>
            <w:vAlign w:val="center"/>
          </w:tcPr>
          <w:p w14:paraId="74731CAC">
            <w:pPr>
              <w:pStyle w:val="75"/>
              <w:spacing w:line="240" w:lineRule="auto"/>
              <w:rPr>
                <w:bCs/>
              </w:rPr>
            </w:pPr>
            <w:r>
              <w:rPr>
                <w:bCs/>
              </w:rPr>
              <w:t>0.8</w:t>
            </w:r>
          </w:p>
        </w:tc>
        <w:tc>
          <w:tcPr>
            <w:tcW w:w="1493" w:type="dxa"/>
            <w:tcMar>
              <w:top w:w="57" w:type="dxa"/>
              <w:left w:w="108" w:type="dxa"/>
              <w:bottom w:w="57" w:type="dxa"/>
              <w:right w:w="108" w:type="dxa"/>
            </w:tcMar>
            <w:vAlign w:val="center"/>
          </w:tcPr>
          <w:p w14:paraId="7F1FFA1A">
            <w:pPr>
              <w:pStyle w:val="75"/>
              <w:spacing w:line="240" w:lineRule="auto"/>
              <w:rPr>
                <w:rFonts w:hint="default" w:eastAsia="宋体"/>
                <w:bCs/>
                <w:lang w:val="en-US" w:eastAsia="zh-CN"/>
              </w:rPr>
            </w:pPr>
            <w:r>
              <w:rPr>
                <w:rFonts w:hint="eastAsia"/>
                <w:bCs/>
                <w:lang w:val="en-US" w:eastAsia="zh-CN"/>
              </w:rPr>
              <w:t>63.6</w:t>
            </w:r>
          </w:p>
        </w:tc>
        <w:tc>
          <w:tcPr>
            <w:tcW w:w="1707" w:type="dxa"/>
            <w:vMerge w:val="continue"/>
            <w:vAlign w:val="center"/>
          </w:tcPr>
          <w:p w14:paraId="08CAAEF6">
            <w:pPr>
              <w:pStyle w:val="75"/>
              <w:spacing w:line="240" w:lineRule="auto"/>
              <w:rPr>
                <w:b/>
                <w:u w:val="single"/>
              </w:rPr>
            </w:pPr>
          </w:p>
        </w:tc>
      </w:tr>
      <w:tr w14:paraId="772094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93" w:type="dxa"/>
            <w:gridSpan w:val="6"/>
            <w:vAlign w:val="center"/>
          </w:tcPr>
          <w:p w14:paraId="318930C4">
            <w:pPr>
              <w:pStyle w:val="75"/>
              <w:spacing w:line="240" w:lineRule="auto"/>
            </w:pPr>
            <w:r>
              <w:rPr>
                <w:rFonts w:hint="eastAsia"/>
              </w:rPr>
              <w:t>某</w:t>
            </w:r>
            <w:r>
              <w:fldChar w:fldCharType="begin"/>
            </w:r>
            <w:r>
              <w:instrText xml:space="preserve">HYPERLINK "http://www.so.com/s?q=%E6%B1%A1%E6%9F%93%E7%89%A9&amp;ie=utf-8&amp;src=internal_wenda_recommend_textn" \t "_blank"</w:instrText>
            </w:r>
            <w:r>
              <w:fldChar w:fldCharType="separate"/>
            </w:r>
            <w:r>
              <w:rPr>
                <w:rFonts w:hint="eastAsia"/>
              </w:rPr>
              <w:t>污染物</w:t>
            </w:r>
            <w:r>
              <w:fldChar w:fldCharType="end"/>
            </w:r>
            <w:r>
              <w:rPr>
                <w:rFonts w:hint="eastAsia"/>
              </w:rPr>
              <w:t>的污染当量数</w:t>
            </w:r>
            <w:r>
              <w:t>=</w:t>
            </w:r>
            <w:r>
              <w:rPr>
                <w:rFonts w:hint="eastAsia"/>
              </w:rPr>
              <w:t>该污染物的排放量</w:t>
            </w:r>
            <w:r>
              <w:t>(kg)/</w:t>
            </w:r>
            <w:r>
              <w:rPr>
                <w:rFonts w:hint="eastAsia"/>
              </w:rPr>
              <w:t>该污染物的污染当量值</w:t>
            </w:r>
            <w:r>
              <w:t>(</w:t>
            </w:r>
            <w:r>
              <w:rPr>
                <w:rFonts w:hint="eastAsia"/>
              </w:rPr>
              <w:t>kg</w:t>
            </w:r>
            <w:r>
              <w:t>)</w:t>
            </w:r>
          </w:p>
        </w:tc>
      </w:tr>
    </w:tbl>
    <w:p w14:paraId="37E2C09F">
      <w:pPr>
        <w:pStyle w:val="72"/>
      </w:pPr>
      <w:r>
        <w:rPr>
          <w:rFonts w:hint="eastAsia"/>
        </w:rPr>
        <w:t>综上所述，项目环保设施总运行费用为</w:t>
      </w:r>
      <w:r>
        <w:rPr>
          <w:rFonts w:hint="eastAsia"/>
          <w:lang w:val="en-US" w:eastAsia="zh-CN"/>
        </w:rPr>
        <w:t>126</w:t>
      </w:r>
      <w:r>
        <w:rPr>
          <w:rFonts w:hint="eastAsia"/>
        </w:rPr>
        <w:t>+</w:t>
      </w:r>
      <w:r>
        <w:rPr>
          <w:rFonts w:hint="eastAsia"/>
          <w:lang w:val="en-US" w:eastAsia="zh-CN"/>
        </w:rPr>
        <w:t>21</w:t>
      </w:r>
      <w:r>
        <w:rPr>
          <w:rFonts w:hint="eastAsia"/>
        </w:rPr>
        <w:t>+</w:t>
      </w:r>
      <w:r>
        <w:rPr>
          <w:rFonts w:hint="eastAsia"/>
          <w:lang w:val="en-US" w:eastAsia="zh-CN"/>
        </w:rPr>
        <w:t>25.2</w:t>
      </w:r>
      <w:r>
        <w:rPr>
          <w:rFonts w:hint="eastAsia"/>
        </w:rPr>
        <w:t>+</w:t>
      </w:r>
      <w:r>
        <w:rPr>
          <w:rFonts w:hint="eastAsia"/>
          <w:lang w:val="en-US" w:eastAsia="zh-CN"/>
        </w:rPr>
        <w:t>15.12</w:t>
      </w:r>
      <w:r>
        <w:rPr>
          <w:rFonts w:hint="eastAsia"/>
        </w:rPr>
        <w:t>+</w:t>
      </w:r>
      <w:r>
        <w:rPr>
          <w:rFonts w:hint="eastAsia"/>
          <w:lang w:val="en-US" w:eastAsia="zh-CN"/>
        </w:rPr>
        <w:t>0.23</w:t>
      </w:r>
      <w:r>
        <w:rPr>
          <w:rFonts w:hint="eastAsia"/>
        </w:rPr>
        <w:t>=</w:t>
      </w:r>
      <w:r>
        <w:rPr>
          <w:rFonts w:hint="eastAsia"/>
          <w:lang w:val="en-US" w:eastAsia="zh-CN"/>
        </w:rPr>
        <w:t>187.55</w:t>
      </w:r>
      <w:r>
        <w:rPr>
          <w:rFonts w:hint="eastAsia"/>
        </w:rPr>
        <w:t>万元，占全年净利润的</w:t>
      </w:r>
      <w:r>
        <w:rPr>
          <w:rFonts w:hint="eastAsia"/>
          <w:lang w:val="en-US" w:eastAsia="zh-CN"/>
        </w:rPr>
        <w:t>6.3</w:t>
      </w:r>
      <w:r>
        <w:rPr>
          <w:rFonts w:hint="eastAsia"/>
        </w:rPr>
        <w:t>%。</w:t>
      </w:r>
    </w:p>
    <w:p w14:paraId="110467E9">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8.3.2.2工程环境收益估算</w:t>
      </w:r>
    </w:p>
    <w:p w14:paraId="71130871">
      <w:pPr>
        <w:ind w:firstLine="480"/>
      </w:pPr>
      <w:r>
        <w:rPr>
          <w:rFonts w:hint="eastAsia"/>
        </w:rPr>
        <w:t>项目环境收益主要是含镍废水处理后循环使用、含铬废水处理后循环使用、综合废水处理后循环使用等，本项目环保工程主要收益见下表。</w:t>
      </w:r>
    </w:p>
    <w:p w14:paraId="0237DD1A">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表8</w:t>
      </w:r>
      <w:r>
        <w:rPr>
          <w:rFonts w:hint="eastAsia"/>
          <w:lang w:val="en-US" w:eastAsia="zh-CN"/>
        </w:rPr>
        <w:t>.3</w:t>
      </w:r>
      <w:r>
        <w:rPr>
          <w:rFonts w:hint="eastAsia"/>
        </w:rPr>
        <w:t>-</w:t>
      </w:r>
      <w:r>
        <w:rPr>
          <w:rFonts w:hint="eastAsia"/>
          <w:lang w:val="en-US" w:eastAsia="zh-CN"/>
        </w:rPr>
        <w:t>3</w:t>
      </w:r>
      <w:r>
        <w:rPr>
          <w:rFonts w:hint="eastAsia"/>
        </w:rPr>
        <w:t xml:space="preserve">    主要环保收益一览表</w:t>
      </w:r>
    </w:p>
    <w:tbl>
      <w:tblPr>
        <w:tblStyle w:val="39"/>
        <w:tblW w:w="501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18"/>
        <w:gridCol w:w="4307"/>
        <w:gridCol w:w="2528"/>
      </w:tblGrid>
      <w:tr w14:paraId="13E69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9" w:type="pct"/>
            <w:vAlign w:val="center"/>
          </w:tcPr>
          <w:p w14:paraId="3429E046">
            <w:pPr>
              <w:pStyle w:val="81"/>
              <w:rPr>
                <w:color w:val="auto"/>
              </w:rPr>
            </w:pPr>
            <w:r>
              <w:rPr>
                <w:rFonts w:hint="eastAsia"/>
                <w:color w:val="auto"/>
              </w:rPr>
              <w:t>序号</w:t>
            </w:r>
          </w:p>
        </w:tc>
        <w:tc>
          <w:tcPr>
            <w:tcW w:w="2578" w:type="pct"/>
            <w:vAlign w:val="center"/>
          </w:tcPr>
          <w:p w14:paraId="458DAF41">
            <w:pPr>
              <w:pStyle w:val="81"/>
              <w:rPr>
                <w:color w:val="auto"/>
              </w:rPr>
            </w:pPr>
            <w:r>
              <w:rPr>
                <w:rFonts w:hint="eastAsia"/>
                <w:color w:val="auto"/>
              </w:rPr>
              <w:t>项目</w:t>
            </w:r>
          </w:p>
        </w:tc>
        <w:tc>
          <w:tcPr>
            <w:tcW w:w="1513" w:type="pct"/>
            <w:vAlign w:val="center"/>
          </w:tcPr>
          <w:p w14:paraId="67892894">
            <w:pPr>
              <w:pStyle w:val="81"/>
              <w:rPr>
                <w:color w:val="auto"/>
              </w:rPr>
            </w:pPr>
            <w:r>
              <w:rPr>
                <w:rFonts w:hint="eastAsia"/>
                <w:color w:val="auto"/>
              </w:rPr>
              <w:t>环保收益（万元</w:t>
            </w:r>
            <w:r>
              <w:rPr>
                <w:color w:val="auto"/>
              </w:rPr>
              <w:t>/</w:t>
            </w:r>
            <w:r>
              <w:rPr>
                <w:rFonts w:hint="eastAsia"/>
                <w:color w:val="auto"/>
              </w:rPr>
              <w:t>年）</w:t>
            </w:r>
          </w:p>
        </w:tc>
      </w:tr>
      <w:tr w14:paraId="2F60E9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9" w:type="pct"/>
            <w:vAlign w:val="center"/>
          </w:tcPr>
          <w:p w14:paraId="108A2EB0">
            <w:pPr>
              <w:pStyle w:val="75"/>
            </w:pPr>
            <w:r>
              <w:t>1</w:t>
            </w:r>
          </w:p>
        </w:tc>
        <w:tc>
          <w:tcPr>
            <w:tcW w:w="2578" w:type="pct"/>
            <w:vAlign w:val="center"/>
          </w:tcPr>
          <w:p w14:paraId="202DDACD">
            <w:pPr>
              <w:pStyle w:val="75"/>
            </w:pPr>
            <w:r>
              <w:rPr>
                <w:rFonts w:hint="eastAsia"/>
              </w:rPr>
              <w:t>含镍废水处理后循环使用</w:t>
            </w:r>
          </w:p>
        </w:tc>
        <w:tc>
          <w:tcPr>
            <w:tcW w:w="1513" w:type="pct"/>
            <w:vAlign w:val="center"/>
          </w:tcPr>
          <w:p w14:paraId="1A2F9B2E">
            <w:pPr>
              <w:pStyle w:val="75"/>
            </w:pPr>
            <w:r>
              <w:rPr>
                <w:rFonts w:hint="eastAsia"/>
              </w:rPr>
              <w:t>15</w:t>
            </w:r>
          </w:p>
        </w:tc>
      </w:tr>
      <w:tr w14:paraId="2AD1F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9" w:type="pct"/>
            <w:vAlign w:val="center"/>
          </w:tcPr>
          <w:p w14:paraId="33F3A9B7">
            <w:pPr>
              <w:pStyle w:val="75"/>
            </w:pPr>
            <w:r>
              <w:rPr>
                <w:rFonts w:hint="eastAsia"/>
              </w:rPr>
              <w:t>2</w:t>
            </w:r>
          </w:p>
        </w:tc>
        <w:tc>
          <w:tcPr>
            <w:tcW w:w="2578" w:type="pct"/>
            <w:vAlign w:val="center"/>
          </w:tcPr>
          <w:p w14:paraId="25C291D9">
            <w:pPr>
              <w:pStyle w:val="75"/>
            </w:pPr>
            <w:r>
              <w:rPr>
                <w:rFonts w:hint="eastAsia"/>
              </w:rPr>
              <w:t>含铬废水处理后循环使用</w:t>
            </w:r>
          </w:p>
        </w:tc>
        <w:tc>
          <w:tcPr>
            <w:tcW w:w="1513" w:type="pct"/>
            <w:vAlign w:val="center"/>
          </w:tcPr>
          <w:p w14:paraId="3461E66F">
            <w:pPr>
              <w:pStyle w:val="75"/>
            </w:pPr>
            <w:r>
              <w:rPr>
                <w:rFonts w:hint="eastAsia"/>
              </w:rPr>
              <w:t>10</w:t>
            </w:r>
          </w:p>
        </w:tc>
      </w:tr>
      <w:tr w14:paraId="1B4CC0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09" w:type="pct"/>
            <w:vAlign w:val="center"/>
          </w:tcPr>
          <w:p w14:paraId="5F4B8569">
            <w:pPr>
              <w:pStyle w:val="75"/>
            </w:pPr>
            <w:r>
              <w:rPr>
                <w:rFonts w:hint="eastAsia"/>
              </w:rPr>
              <w:t>3</w:t>
            </w:r>
          </w:p>
        </w:tc>
        <w:tc>
          <w:tcPr>
            <w:tcW w:w="2578" w:type="pct"/>
            <w:vAlign w:val="center"/>
          </w:tcPr>
          <w:p w14:paraId="6F4A06D3">
            <w:pPr>
              <w:pStyle w:val="75"/>
            </w:pPr>
            <w:r>
              <w:rPr>
                <w:rFonts w:hint="eastAsia"/>
              </w:rPr>
              <w:t>多级逆流水洗减少新鲜水使用量</w:t>
            </w:r>
          </w:p>
        </w:tc>
        <w:tc>
          <w:tcPr>
            <w:tcW w:w="1513" w:type="pct"/>
            <w:vAlign w:val="center"/>
          </w:tcPr>
          <w:p w14:paraId="05F4CC42">
            <w:pPr>
              <w:pStyle w:val="75"/>
            </w:pPr>
            <w:r>
              <w:rPr>
                <w:rFonts w:hint="eastAsia"/>
              </w:rPr>
              <w:t>20</w:t>
            </w:r>
          </w:p>
        </w:tc>
      </w:tr>
      <w:tr w14:paraId="2FFF1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487" w:type="pct"/>
            <w:gridSpan w:val="2"/>
            <w:vAlign w:val="center"/>
          </w:tcPr>
          <w:p w14:paraId="1FF4DF48">
            <w:pPr>
              <w:pStyle w:val="75"/>
            </w:pPr>
            <w:r>
              <w:rPr>
                <w:rFonts w:hint="eastAsia"/>
              </w:rPr>
              <w:t>合计</w:t>
            </w:r>
          </w:p>
        </w:tc>
        <w:tc>
          <w:tcPr>
            <w:tcW w:w="1513" w:type="pct"/>
            <w:vAlign w:val="center"/>
          </w:tcPr>
          <w:p w14:paraId="10267FBC">
            <w:pPr>
              <w:pStyle w:val="75"/>
            </w:pPr>
            <w:r>
              <w:rPr>
                <w:rFonts w:hint="eastAsia"/>
              </w:rPr>
              <w:t>21</w:t>
            </w:r>
          </w:p>
        </w:tc>
      </w:tr>
    </w:tbl>
    <w:p w14:paraId="68982F61">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6" w:name="_Toc108122623"/>
      <w:r>
        <w:rPr>
          <w:rFonts w:hint="eastAsia" w:cs="Times New Roman"/>
          <w:lang w:val="en-US" w:eastAsia="zh-CN"/>
        </w:rPr>
        <w:t>8.3.3环保投资比例系数 Hz</w:t>
      </w:r>
      <w:bookmarkEnd w:id="756"/>
    </w:p>
    <w:p w14:paraId="315E8C55">
      <w:pPr>
        <w:pStyle w:val="72"/>
      </w:pPr>
      <w:r>
        <w:t>环保投资比例系数是指环保建设投资与企业建设总投资的比值，它体现了企业对环保工作的重视程度。</w:t>
      </w:r>
    </w:p>
    <w:p w14:paraId="133A6888">
      <w:pPr>
        <w:pStyle w:val="83"/>
        <w:spacing w:before="120" w:after="120"/>
      </w:pPr>
      <w:r>
        <w:t>Hz=</w:t>
      </w:r>
      <w:r>
        <w:rPr>
          <w:rFonts w:hint="eastAsia"/>
        </w:rPr>
        <w:t>（</w:t>
      </w:r>
      <w:r>
        <w:t>E</w:t>
      </w:r>
      <w:r>
        <w:rPr>
          <w:vertAlign w:val="subscript"/>
        </w:rPr>
        <w:t>O</w:t>
      </w:r>
      <w:r>
        <w:t>/E</w:t>
      </w:r>
      <w:r>
        <w:rPr>
          <w:vertAlign w:val="subscript"/>
        </w:rPr>
        <w:t>R</w:t>
      </w:r>
      <w:r>
        <w:rPr>
          <w:rFonts w:hint="eastAsia"/>
        </w:rPr>
        <w:t>）</w:t>
      </w:r>
      <w:r>
        <w:t>×100%</w:t>
      </w:r>
    </w:p>
    <w:p w14:paraId="42C8E01B">
      <w:pPr>
        <w:pStyle w:val="72"/>
      </w:pPr>
      <w:r>
        <w:t>式中：E</w:t>
      </w:r>
      <w:r>
        <w:rPr>
          <w:vertAlign w:val="subscript"/>
        </w:rPr>
        <w:t>O</w:t>
      </w:r>
      <w:r>
        <w:t>——环保建设投资，万元</w:t>
      </w:r>
      <w:r>
        <w:rPr>
          <w:rFonts w:hint="eastAsia"/>
        </w:rPr>
        <w:t>；</w:t>
      </w:r>
    </w:p>
    <w:p w14:paraId="2F4A3637">
      <w:pPr>
        <w:pStyle w:val="72"/>
        <w:ind w:firstLine="1200" w:firstLineChars="500"/>
      </w:pPr>
      <w:r>
        <w:t>E</w:t>
      </w:r>
      <w:r>
        <w:rPr>
          <w:rStyle w:val="73"/>
          <w:vertAlign w:val="subscript"/>
        </w:rPr>
        <w:t>R</w:t>
      </w:r>
      <w:r>
        <w:t>——企业建设总投资，万元</w:t>
      </w:r>
      <w:r>
        <w:rPr>
          <w:rFonts w:hint="eastAsia"/>
        </w:rPr>
        <w:t>。</w:t>
      </w:r>
    </w:p>
    <w:p w14:paraId="4D0E9D9E">
      <w:pPr>
        <w:pStyle w:val="72"/>
      </w:pPr>
      <w:r>
        <w:t>项目各项环保投资费用为</w:t>
      </w:r>
      <w:r>
        <w:rPr>
          <w:rFonts w:hint="eastAsia"/>
          <w:lang w:val="en-US" w:eastAsia="zh-CN"/>
        </w:rPr>
        <w:t>420</w:t>
      </w:r>
      <w:r>
        <w:rPr>
          <w:rFonts w:hint="eastAsia"/>
        </w:rPr>
        <w:t>万元</w:t>
      </w:r>
      <w:r>
        <w:t>，项目总投资费用为</w:t>
      </w:r>
      <w:r>
        <w:rPr>
          <w:rFonts w:hint="eastAsia"/>
        </w:rPr>
        <w:t>6000万元</w:t>
      </w:r>
      <w:r>
        <w:t>，环保投资占工程计划总投资的</w:t>
      </w:r>
      <w:r>
        <w:rPr>
          <w:rFonts w:hint="eastAsia"/>
          <w:lang w:val="en-US" w:eastAsia="zh-CN"/>
        </w:rPr>
        <w:t>7</w:t>
      </w:r>
      <w:r>
        <w:rPr>
          <w:rFonts w:hint="eastAsia"/>
        </w:rPr>
        <w:t>%</w:t>
      </w:r>
      <w:r>
        <w:t>。本工程的环保投资能有效地提高</w:t>
      </w:r>
      <w:r>
        <w:rPr>
          <w:rFonts w:hint="eastAsia"/>
        </w:rPr>
        <w:t>水及</w:t>
      </w:r>
      <w:r>
        <w:t>原料利用率，降低能耗、物耗，减轻了对周围环境的影响。总的来说，该项目的环保投资</w:t>
      </w:r>
      <w:r>
        <w:rPr>
          <w:rFonts w:hint="eastAsia"/>
        </w:rPr>
        <w:t>在企业的可接受范围内</w:t>
      </w:r>
      <w:r>
        <w:t>。</w:t>
      </w:r>
    </w:p>
    <w:p w14:paraId="44C194B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7" w:name="_Toc108122624"/>
      <w:r>
        <w:rPr>
          <w:rFonts w:hint="eastAsia" w:cs="Times New Roman"/>
          <w:lang w:val="en-US" w:eastAsia="zh-CN"/>
        </w:rPr>
        <w:t>8.3.4产值环境系数 Fg</w:t>
      </w:r>
      <w:bookmarkEnd w:id="757"/>
    </w:p>
    <w:p w14:paraId="5173BE12">
      <w:pPr>
        <w:pStyle w:val="72"/>
      </w:pPr>
      <w:r>
        <w:t>产值环境系数是指年环保运行费用与工业总产值的比值，年环保费用是指环保治理设施及综合利用装置的运行费用、折旧费、日常管理费等。产值环境系数的表达式为：</w:t>
      </w:r>
    </w:p>
    <w:p w14:paraId="604FA735">
      <w:pPr>
        <w:pStyle w:val="83"/>
        <w:spacing w:before="120" w:after="120"/>
      </w:pPr>
      <w:r>
        <w:t>Fg=</w:t>
      </w:r>
      <w:r>
        <w:rPr>
          <w:rFonts w:hint="eastAsia"/>
        </w:rPr>
        <w:t>（</w:t>
      </w:r>
      <w:r>
        <w:t>E</w:t>
      </w:r>
      <w:r>
        <w:rPr>
          <w:bCs/>
          <w:vertAlign w:val="subscript"/>
        </w:rPr>
        <w:t>Z</w:t>
      </w:r>
      <w:r>
        <w:t>/E</w:t>
      </w:r>
      <w:r>
        <w:rPr>
          <w:vertAlign w:val="subscript"/>
        </w:rPr>
        <w:t>RS</w:t>
      </w:r>
      <w:r>
        <w:rPr>
          <w:rFonts w:hint="eastAsia"/>
        </w:rPr>
        <w:t>）</w:t>
      </w:r>
      <w:r>
        <w:t>×100%</w:t>
      </w:r>
    </w:p>
    <w:p w14:paraId="6ACE80F5">
      <w:pPr>
        <w:pStyle w:val="72"/>
      </w:pPr>
      <w:r>
        <w:t>式中：E</w:t>
      </w:r>
      <w:r>
        <w:rPr>
          <w:vertAlign w:val="subscript"/>
        </w:rPr>
        <w:t>Z</w:t>
      </w:r>
      <w:r>
        <w:t>——年环保费用，万元</w:t>
      </w:r>
      <w:r>
        <w:rPr>
          <w:rFonts w:hint="eastAsia"/>
        </w:rPr>
        <w:t>；</w:t>
      </w:r>
    </w:p>
    <w:p w14:paraId="0F3615A4">
      <w:pPr>
        <w:pStyle w:val="72"/>
        <w:ind w:firstLine="1200" w:firstLineChars="500"/>
      </w:pPr>
      <w:r>
        <w:t>E</w:t>
      </w:r>
      <w:r>
        <w:rPr>
          <w:rStyle w:val="73"/>
          <w:vertAlign w:val="subscript"/>
        </w:rPr>
        <w:t>RS</w:t>
      </w:r>
      <w:r>
        <w:t>——年工业总产值，万元</w:t>
      </w:r>
      <w:r>
        <w:rPr>
          <w:rFonts w:hint="eastAsia"/>
        </w:rPr>
        <w:t>。</w:t>
      </w:r>
    </w:p>
    <w:p w14:paraId="28E8F7F1">
      <w:pPr>
        <w:pStyle w:val="72"/>
      </w:pPr>
      <w:r>
        <w:t>项目实施后，每年环保运行费用为</w:t>
      </w:r>
      <w:r>
        <w:rPr>
          <w:rFonts w:hint="eastAsia"/>
          <w:lang w:val="en-US" w:eastAsia="zh-CN"/>
        </w:rPr>
        <w:t>126</w:t>
      </w:r>
      <w:r>
        <w:t>万元，本项目年工业总产值</w:t>
      </w:r>
      <w:r>
        <w:rPr>
          <w:rFonts w:hint="eastAsia"/>
        </w:rPr>
        <w:t>3500万</w:t>
      </w:r>
      <w:r>
        <w:t>元，则产值环境系数为</w:t>
      </w:r>
      <w:r>
        <w:rPr>
          <w:rFonts w:hint="eastAsia"/>
          <w:lang w:val="en-US" w:eastAsia="zh-CN"/>
        </w:rPr>
        <w:t>3.6</w:t>
      </w:r>
      <w:r>
        <w:t>%，这意味着每生产万元产值所花费的环保费用为</w:t>
      </w:r>
      <w:r>
        <w:rPr>
          <w:rFonts w:hint="eastAsia"/>
          <w:lang w:val="en-US" w:eastAsia="zh-CN"/>
        </w:rPr>
        <w:t>360</w:t>
      </w:r>
      <w:r>
        <w:t>元。</w:t>
      </w:r>
    </w:p>
    <w:p w14:paraId="0C7C975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8" w:name="_Toc108122625"/>
      <w:r>
        <w:rPr>
          <w:rFonts w:hint="eastAsia" w:cs="Times New Roman"/>
          <w:lang w:val="en-US" w:eastAsia="zh-CN"/>
        </w:rPr>
        <w:t>8.3.5环境经济效益系数 Jx</w:t>
      </w:r>
      <w:bookmarkEnd w:id="758"/>
    </w:p>
    <w:p w14:paraId="22C6C6B0">
      <w:pPr>
        <w:pStyle w:val="72"/>
      </w:pPr>
      <w:r>
        <w:t>环境经济效益系数J</w:t>
      </w:r>
      <w:r>
        <w:rPr>
          <w:vertAlign w:val="subscript"/>
        </w:rPr>
        <w:t>X</w:t>
      </w:r>
      <w:r>
        <w:t>是指因有效的环境保护措施而挽回的经济价值与环境保护费用之比，其表达式为：</w:t>
      </w:r>
    </w:p>
    <w:p w14:paraId="3EC11EDC">
      <w:pPr>
        <w:pStyle w:val="83"/>
        <w:spacing w:before="120" w:after="120"/>
      </w:pPr>
      <w:r>
        <w:t>J</w:t>
      </w:r>
      <w:r>
        <w:rPr>
          <w:vertAlign w:val="subscript"/>
        </w:rPr>
        <w:t>X</w:t>
      </w:r>
      <w:r>
        <w:t>=E</w:t>
      </w:r>
      <w:r>
        <w:rPr>
          <w:vertAlign w:val="subscript"/>
        </w:rPr>
        <w:t>i</w:t>
      </w:r>
      <w:r>
        <w:t>/E</w:t>
      </w:r>
      <w:r>
        <w:rPr>
          <w:vertAlign w:val="subscript"/>
        </w:rPr>
        <w:t>Z</w:t>
      </w:r>
    </w:p>
    <w:p w14:paraId="11C9BE5C">
      <w:pPr>
        <w:pStyle w:val="72"/>
      </w:pPr>
      <w:r>
        <w:t>式中：E</w:t>
      </w:r>
      <w:r>
        <w:rPr>
          <w:vertAlign w:val="subscript"/>
        </w:rPr>
        <w:t>i</w:t>
      </w:r>
      <w:r>
        <w:t>——每年环保措施挽回的经济效益，万元</w:t>
      </w:r>
      <w:r>
        <w:rPr>
          <w:rFonts w:hint="eastAsia"/>
        </w:rPr>
        <w:t>；</w:t>
      </w:r>
    </w:p>
    <w:p w14:paraId="03987A23">
      <w:pPr>
        <w:pStyle w:val="72"/>
        <w:ind w:firstLine="1200" w:firstLineChars="500"/>
      </w:pPr>
      <w:r>
        <w:t>E</w:t>
      </w:r>
      <w:r>
        <w:rPr>
          <w:vertAlign w:val="subscript"/>
        </w:rPr>
        <w:t>Z</w:t>
      </w:r>
      <w:r>
        <w:t>——年环保费用，万元</w:t>
      </w:r>
      <w:r>
        <w:rPr>
          <w:rFonts w:hint="eastAsia"/>
        </w:rPr>
        <w:t>。</w:t>
      </w:r>
    </w:p>
    <w:p w14:paraId="0B92325C">
      <w:pPr>
        <w:pStyle w:val="72"/>
      </w:pPr>
      <w:r>
        <w:t>项目每年环境经济效益为</w:t>
      </w:r>
      <w:r>
        <w:rPr>
          <w:rFonts w:hint="eastAsia"/>
        </w:rPr>
        <w:t>21</w:t>
      </w:r>
      <w:r>
        <w:t>万元，年环保运行费用为</w:t>
      </w:r>
      <w:r>
        <w:rPr>
          <w:rFonts w:hint="eastAsia"/>
          <w:lang w:val="en-US" w:eastAsia="zh-CN"/>
        </w:rPr>
        <w:t>126</w:t>
      </w:r>
      <w:r>
        <w:t>万元，则环境经济效益系数为</w:t>
      </w:r>
      <w:r>
        <w:rPr>
          <w:rFonts w:hint="eastAsia"/>
          <w:lang w:val="en-US" w:eastAsia="zh-CN"/>
        </w:rPr>
        <w:t>0.17</w:t>
      </w:r>
      <w:r>
        <w:rPr>
          <w:rFonts w:hint="eastAsia"/>
        </w:rPr>
        <w:t>:</w:t>
      </w:r>
      <w:r>
        <w:t>1。</w:t>
      </w:r>
    </w:p>
    <w:p w14:paraId="02A2BC4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59" w:name="_Toc108122626"/>
      <w:r>
        <w:rPr>
          <w:rFonts w:hint="eastAsia" w:cs="Times New Roman"/>
          <w:lang w:val="en-US" w:eastAsia="zh-CN"/>
        </w:rPr>
        <w:t>8.3.6工程环境效益综述</w:t>
      </w:r>
      <w:bookmarkEnd w:id="759"/>
    </w:p>
    <w:p w14:paraId="381CD25F">
      <w:pPr>
        <w:pStyle w:val="72"/>
        <w:rPr>
          <w:highlight w:val="yellow"/>
        </w:rPr>
      </w:pPr>
      <w:r>
        <w:t>本项目的环境效益主要体现在环保投资减轻项目对环境的影响程度，本项目</w:t>
      </w:r>
      <w:r>
        <w:rPr>
          <w:rFonts w:hint="eastAsia"/>
        </w:rPr>
        <w:t>对</w:t>
      </w:r>
      <w:r>
        <w:t>大气污染物排放</w:t>
      </w:r>
      <w:r>
        <w:rPr>
          <w:rFonts w:hint="eastAsia"/>
        </w:rPr>
        <w:t>，</w:t>
      </w:r>
      <w:r>
        <w:t>采用</w:t>
      </w:r>
      <w:r>
        <w:rPr>
          <w:rFonts w:hint="eastAsia"/>
        </w:rPr>
        <w:t>碱喷淋吸收塔进行</w:t>
      </w:r>
      <w:r>
        <w:t>治理</w:t>
      </w:r>
      <w:r>
        <w:rPr>
          <w:rFonts w:hint="eastAsia"/>
        </w:rPr>
        <w:t>；对废水，工程采用厂区含镍废水处理系统、含铬废水处理系统和综合废水处理系统，分别对含镍废水、含铬废水和综合废水进行处理</w:t>
      </w:r>
      <w:r>
        <w:t>，各类污染物均能实现稳定达标排放。同时，本项目充分考虑了固废的综合利用与处置。经计算：</w:t>
      </w:r>
    </w:p>
    <w:p w14:paraId="44BF484D">
      <w:pPr>
        <w:pStyle w:val="72"/>
      </w:pPr>
      <w:r>
        <w:t>（1）项目完成后项目环保投资比例系数Hz为</w:t>
      </w:r>
      <w:r>
        <w:rPr>
          <w:rFonts w:hint="eastAsia"/>
          <w:lang w:val="en-US" w:eastAsia="zh-CN"/>
        </w:rPr>
        <w:t>7</w:t>
      </w:r>
      <w:r>
        <w:rPr>
          <w:rFonts w:hint="eastAsia"/>
        </w:rPr>
        <w:t>%</w:t>
      </w:r>
      <w:r>
        <w:t>，表示环保投资占工程计划总投资的</w:t>
      </w:r>
      <w:r>
        <w:rPr>
          <w:rFonts w:hint="eastAsia"/>
          <w:lang w:val="en-US" w:eastAsia="zh-CN"/>
        </w:rPr>
        <w:t>7</w:t>
      </w:r>
      <w:r>
        <w:rPr>
          <w:rFonts w:hint="eastAsia"/>
        </w:rPr>
        <w:t>%</w:t>
      </w:r>
      <w:r>
        <w:t>；</w:t>
      </w:r>
    </w:p>
    <w:p w14:paraId="79458EE1">
      <w:pPr>
        <w:pStyle w:val="72"/>
      </w:pPr>
      <w:r>
        <w:t>（2）Fg产值环境系数为</w:t>
      </w:r>
      <w:r>
        <w:rPr>
          <w:rFonts w:hint="eastAsia"/>
        </w:rPr>
        <w:t>4.4</w:t>
      </w:r>
      <w:r>
        <w:t>%，表示每生产万元产值所花费的环保费用为</w:t>
      </w:r>
      <w:r>
        <w:rPr>
          <w:rFonts w:hint="eastAsia"/>
        </w:rPr>
        <w:t>440</w:t>
      </w:r>
      <w:r>
        <w:t>元；</w:t>
      </w:r>
    </w:p>
    <w:p w14:paraId="7C8756EE">
      <w:pPr>
        <w:pStyle w:val="72"/>
      </w:pPr>
      <w:r>
        <w:t>（3）环境经济效益系数J</w:t>
      </w:r>
      <w:r>
        <w:rPr>
          <w:vertAlign w:val="subscript"/>
        </w:rPr>
        <w:t>X</w:t>
      </w:r>
      <w:r>
        <w:t>为</w:t>
      </w:r>
      <w:r>
        <w:rPr>
          <w:rFonts w:hint="eastAsia"/>
          <w:lang w:val="en-US" w:eastAsia="zh-CN"/>
        </w:rPr>
        <w:t>0.17</w:t>
      </w:r>
      <w:r>
        <w:t>：1，表示每投入1元环保投资可挽回</w:t>
      </w:r>
      <w:r>
        <w:rPr>
          <w:rFonts w:hint="eastAsia"/>
          <w:lang w:val="en-US" w:eastAsia="zh-CN"/>
        </w:rPr>
        <w:t>0.17</w:t>
      </w:r>
      <w:r>
        <w:t>元经济价值。</w:t>
      </w:r>
    </w:p>
    <w:p w14:paraId="6F1ED8C7">
      <w:pPr>
        <w:pStyle w:val="72"/>
      </w:pPr>
      <w:r>
        <w:rPr>
          <w:rFonts w:hint="eastAsia"/>
        </w:rPr>
        <w:t>建设项目环境效益的核算是一项复杂、系统的工作，本项目通过适当的环保投资实现污染物达标排放，并纳入区域总量控制指标内，在达到经济目标的同时亦实现环境目标和持续发展。</w:t>
      </w:r>
    </w:p>
    <w:p w14:paraId="0D6F2EED">
      <w:pPr>
        <w:pStyle w:val="72"/>
      </w:pPr>
      <w:r>
        <w:rPr>
          <w:rFonts w:hint="eastAsia"/>
        </w:rPr>
        <w:t>综上所述，虽然项目需要付出一定的经济代价进行污染治理，但在治理污染物的同时也为企业带来了一定程度的收益，综合评定后，评价认为项目设置的环保投资是必要的，设置环保投资带来的环境效益是明显的。</w:t>
      </w:r>
    </w:p>
    <w:bookmarkEnd w:id="591"/>
    <w:bookmarkEnd w:id="592"/>
    <w:bookmarkEnd w:id="593"/>
    <w:p w14:paraId="7D67EB79">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760" w:name="_Toc13176"/>
      <w:bookmarkStart w:id="761" w:name="_Toc456001777"/>
      <w:bookmarkStart w:id="762" w:name="_Toc453042557"/>
      <w:bookmarkStart w:id="763" w:name="_Toc13406"/>
      <w:bookmarkStart w:id="764" w:name="_Toc311812690"/>
      <w:bookmarkStart w:id="765" w:name="_Toc51319889"/>
      <w:bookmarkStart w:id="766" w:name="_Toc33416107"/>
      <w:bookmarkStart w:id="767" w:name="_Toc457301423"/>
      <w:bookmarkStart w:id="768" w:name="_Toc324839375"/>
      <w:bookmarkStart w:id="769" w:name="_Toc324839658"/>
      <w:r>
        <w:rPr>
          <w:rFonts w:hint="eastAsia" w:ascii="Times New Roman" w:hAnsi="Times New Roman" w:cs="Times New Roman"/>
          <w:lang w:val="en-US" w:eastAsia="zh-CN"/>
        </w:rPr>
        <w:t>环境管理与监测计划</w:t>
      </w:r>
      <w:bookmarkEnd w:id="760"/>
      <w:bookmarkEnd w:id="761"/>
      <w:bookmarkEnd w:id="762"/>
      <w:bookmarkEnd w:id="763"/>
      <w:bookmarkEnd w:id="764"/>
      <w:bookmarkEnd w:id="765"/>
      <w:bookmarkEnd w:id="766"/>
      <w:bookmarkEnd w:id="767"/>
      <w:bookmarkEnd w:id="768"/>
      <w:bookmarkEnd w:id="769"/>
      <w:bookmarkStart w:id="770" w:name="_Toc37949203"/>
      <w:bookmarkStart w:id="771" w:name="_Toc457301424"/>
      <w:bookmarkStart w:id="772" w:name="_Toc33416111"/>
      <w:bookmarkStart w:id="773" w:name="_Toc456001778"/>
      <w:bookmarkStart w:id="774" w:name="_Toc453042558"/>
    </w:p>
    <w:bookmarkEnd w:id="770"/>
    <w:p w14:paraId="16C175B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75" w:name="_Toc324839376"/>
      <w:bookmarkStart w:id="776" w:name="_Toc311812691"/>
      <w:bookmarkStart w:id="777" w:name="_Toc489346016"/>
      <w:bookmarkStart w:id="778" w:name="_Toc18817"/>
      <w:bookmarkStart w:id="779" w:name="_Toc4832214"/>
      <w:bookmarkStart w:id="780" w:name="_Toc51319890"/>
      <w:bookmarkStart w:id="781" w:name="_Toc21772"/>
      <w:bookmarkStart w:id="782" w:name="_Toc510512230"/>
      <w:bookmarkStart w:id="783" w:name="_Toc324839659"/>
      <w:bookmarkStart w:id="784" w:name="_Toc104860209"/>
      <w:r>
        <w:rPr>
          <w:rFonts w:hint="eastAsia"/>
          <w:lang w:val="en-US" w:eastAsia="zh-CN"/>
        </w:rPr>
        <w:t>9.1环境管理</w:t>
      </w:r>
      <w:bookmarkEnd w:id="775"/>
      <w:bookmarkEnd w:id="776"/>
      <w:bookmarkEnd w:id="777"/>
      <w:bookmarkEnd w:id="778"/>
      <w:bookmarkEnd w:id="779"/>
      <w:bookmarkEnd w:id="780"/>
      <w:bookmarkEnd w:id="781"/>
      <w:bookmarkEnd w:id="782"/>
      <w:bookmarkEnd w:id="783"/>
      <w:bookmarkEnd w:id="784"/>
    </w:p>
    <w:p w14:paraId="16CD0782">
      <w:pPr>
        <w:pStyle w:val="72"/>
      </w:pPr>
      <w:bookmarkStart w:id="785" w:name="_Toc311812692"/>
      <w:bookmarkStart w:id="786" w:name="_Toc104860210"/>
      <w:bookmarkStart w:id="787" w:name="_Toc324839660"/>
      <w:bookmarkStart w:id="788" w:name="_Toc324839377"/>
      <w:r>
        <w:t>环境管理是企业管理中的一项重要内容，加大环境管理力度是实现企业环境效益、社会效益协调发展和走可持续发展道路的重要措施，是企业生存和发展的重要保障之一，环境监测是工业污染防治的依据和环境管理的基础，加强污染监控工作是了解和掌握排污特征、研究污染发展趋势、开展环保技术研究和综合利用能源的有效途径。随着人民生活水平的不断提高和环保意识的不断增强，对于建设项目所引起的环境质量影响日益受到普遍关注，这就要求企业领导者能够及时地掌握本企业的生产和排污状况，因此制定并落实严格的环境管理与监控计划，才能最大限度的减少污染物的产生与排放。</w:t>
      </w:r>
    </w:p>
    <w:bookmarkEnd w:id="785"/>
    <w:bookmarkEnd w:id="786"/>
    <w:bookmarkEnd w:id="787"/>
    <w:bookmarkEnd w:id="788"/>
    <w:p w14:paraId="52A5B18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89" w:name="_Toc108122629"/>
      <w:bookmarkStart w:id="790" w:name="_Toc835"/>
      <w:r>
        <w:rPr>
          <w:rFonts w:hint="eastAsia" w:cs="Times New Roman"/>
          <w:lang w:val="en-US" w:eastAsia="zh-CN"/>
        </w:rPr>
        <w:t>9.1.1环境管理的原则</w:t>
      </w:r>
      <w:bookmarkEnd w:id="789"/>
    </w:p>
    <w:p w14:paraId="3998AE29">
      <w:pPr>
        <w:pStyle w:val="72"/>
      </w:pPr>
      <w:r>
        <w:rPr>
          <w:rFonts w:hint="eastAsia"/>
        </w:rPr>
        <w:t>根据工程特点及国家环境保护发展要求，环境管理应遵循如下原则：</w:t>
      </w:r>
    </w:p>
    <w:p w14:paraId="315E291F">
      <w:pPr>
        <w:pStyle w:val="72"/>
      </w:pPr>
      <w:r>
        <w:rPr>
          <w:rFonts w:hint="eastAsia"/>
        </w:rPr>
        <w:t>①经济、社会和环境三效益统一，坚持可持续发展的原则；</w:t>
      </w:r>
    </w:p>
    <w:p w14:paraId="045C5605">
      <w:pPr>
        <w:pStyle w:val="72"/>
      </w:pPr>
      <w:r>
        <w:rPr>
          <w:rFonts w:hint="eastAsia"/>
        </w:rPr>
        <w:t>②预防为主，管治结合的原则。在生产运行过程中，坚持设备“大修大改、小修小改和逢修必改”的环保原则；</w:t>
      </w:r>
    </w:p>
    <w:p w14:paraId="655CA36E">
      <w:pPr>
        <w:pStyle w:val="72"/>
      </w:pPr>
      <w:r>
        <w:rPr>
          <w:rFonts w:hint="eastAsia"/>
        </w:rPr>
        <w:t>③环保优先的原则。主要工艺设施的改进，新工艺、新技术的采用，企业发展规划的制定，坚持统筹规划、合理布局、清洁生产、集中控制和治理污染；</w:t>
      </w:r>
    </w:p>
    <w:p w14:paraId="2DF693D8">
      <w:pPr>
        <w:pStyle w:val="72"/>
      </w:pPr>
      <w:r>
        <w:rPr>
          <w:rFonts w:hint="eastAsia"/>
        </w:rPr>
        <w:t>④依靠科技进步，推进清洁生产，节能降耗，降低污染的原则；</w:t>
      </w:r>
    </w:p>
    <w:p w14:paraId="679299FC">
      <w:pPr>
        <w:pStyle w:val="72"/>
      </w:pPr>
      <w:r>
        <w:rPr>
          <w:rFonts w:hint="eastAsia"/>
        </w:rPr>
        <w:t>⑤专业环保管理与公众参与相结合的原则。加强环保宣传，提高全体员工的环保意识，推动本工程的环境保护工作。</w:t>
      </w:r>
    </w:p>
    <w:p w14:paraId="7E2A548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91" w:name="_Toc108122630"/>
      <w:r>
        <w:rPr>
          <w:rFonts w:hint="eastAsia" w:cs="Times New Roman"/>
          <w:lang w:val="en-US" w:eastAsia="zh-CN"/>
        </w:rPr>
        <w:t>9.1.2环境管理机构</w:t>
      </w:r>
      <w:bookmarkEnd w:id="790"/>
      <w:bookmarkEnd w:id="791"/>
      <w:r>
        <w:rPr>
          <w:rFonts w:hint="eastAsia" w:cs="Times New Roman"/>
          <w:lang w:val="en-US" w:eastAsia="zh-CN"/>
        </w:rPr>
        <w:t>及职责</w:t>
      </w:r>
    </w:p>
    <w:p w14:paraId="38FA96AA">
      <w:pPr>
        <w:ind w:firstLine="480"/>
      </w:pPr>
      <w:bookmarkStart w:id="792" w:name="_Toc489346017"/>
      <w:bookmarkStart w:id="793" w:name="_Toc2084"/>
      <w:r>
        <w:rPr>
          <w:rFonts w:hint="eastAsia"/>
        </w:rPr>
        <w:t>根据国家、河南省有关环保法规和建设项目环境管理的要求，为加强该工程施工期及运行期的环境保护工作，公司应设置环境保护管理机构。根据本次工程实际情况，污水处理站管理操作人员2人，负责全公司污水的处理；化验室应配备2名专职化验监测人员，负责本次工程环境的常规监测。评价建议在各车间培训若干有经验、懂技术的技术人员担任车间兼职环保管理人员，把环境管理落实到生产的每个单元，严格监督管理。</w:t>
      </w:r>
    </w:p>
    <w:p w14:paraId="0072D1E7">
      <w:pPr>
        <w:ind w:firstLine="480"/>
      </w:pPr>
      <w:r>
        <w:rPr>
          <w:rFonts w:hint="eastAsia"/>
        </w:rPr>
        <w:t>环境管理专员对本项目的基本职能和主要工作职</w:t>
      </w:r>
      <w:r>
        <w:t>责见表</w:t>
      </w:r>
      <w:r>
        <w:rPr>
          <w:rFonts w:hint="eastAsia"/>
        </w:rPr>
        <w:t>9</w:t>
      </w:r>
      <w:r>
        <w:rPr>
          <w:rFonts w:hint="eastAsia"/>
          <w:lang w:val="en-US" w:eastAsia="zh-CN"/>
        </w:rPr>
        <w:t>.1</w:t>
      </w:r>
      <w:r>
        <w:rPr>
          <w:rFonts w:hint="eastAsia"/>
        </w:rPr>
        <w:t>-1</w:t>
      </w:r>
      <w:r>
        <w:t>。</w:t>
      </w:r>
      <w:r>
        <w:rPr>
          <w:rFonts w:hint="eastAsia"/>
        </w:rPr>
        <w:t>环境管理专员应具</w:t>
      </w:r>
      <w:r>
        <w:t>备的素质见表</w:t>
      </w:r>
      <w:r>
        <w:rPr>
          <w:rFonts w:hint="eastAsia"/>
        </w:rPr>
        <w:t>9</w:t>
      </w:r>
      <w:r>
        <w:rPr>
          <w:rFonts w:hint="eastAsia"/>
          <w:lang w:val="en-US" w:eastAsia="zh-CN"/>
        </w:rPr>
        <w:t>.1</w:t>
      </w:r>
      <w:r>
        <w:rPr>
          <w:rFonts w:hint="eastAsia"/>
        </w:rPr>
        <w:t>-2</w:t>
      </w:r>
      <w:r>
        <w:t>。</w:t>
      </w:r>
    </w:p>
    <w:p w14:paraId="4FEB2BBC">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表9</w:t>
      </w:r>
      <w:r>
        <w:rPr>
          <w:rFonts w:hint="eastAsia"/>
          <w:lang w:val="en-US" w:eastAsia="zh-CN"/>
        </w:rPr>
        <w:t>.1</w:t>
      </w:r>
      <w:r>
        <w:rPr>
          <w:rFonts w:hint="eastAsia"/>
        </w:rPr>
        <w:t>-1    环境管理机构职能</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570"/>
      </w:tblGrid>
      <w:tr w14:paraId="244125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562" w:type="pct"/>
            <w:vAlign w:val="center"/>
          </w:tcPr>
          <w:p w14:paraId="0BF9BA92">
            <w:pPr>
              <w:pStyle w:val="81"/>
              <w:rPr>
                <w:color w:val="auto"/>
              </w:rPr>
            </w:pPr>
            <w:r>
              <w:rPr>
                <w:rFonts w:hint="eastAsia"/>
                <w:color w:val="auto"/>
              </w:rPr>
              <w:t>项目</w:t>
            </w:r>
          </w:p>
        </w:tc>
        <w:tc>
          <w:tcPr>
            <w:tcW w:w="4438" w:type="pct"/>
            <w:vAlign w:val="center"/>
          </w:tcPr>
          <w:p w14:paraId="067727DE">
            <w:pPr>
              <w:pStyle w:val="81"/>
              <w:rPr>
                <w:color w:val="auto"/>
              </w:rPr>
            </w:pPr>
            <w:r>
              <w:rPr>
                <w:rFonts w:hint="eastAsia"/>
                <w:color w:val="auto"/>
              </w:rPr>
              <w:t>管理职能</w:t>
            </w:r>
          </w:p>
        </w:tc>
      </w:tr>
      <w:tr w14:paraId="53576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7240B08B">
            <w:pPr>
              <w:pStyle w:val="75"/>
            </w:pPr>
            <w:r>
              <w:rPr>
                <w:rFonts w:hint="eastAsia" w:ascii="宋体" w:hAnsi="Calibri" w:cs="宋体"/>
              </w:rPr>
              <w:t>施工期</w:t>
            </w:r>
          </w:p>
        </w:tc>
        <w:tc>
          <w:tcPr>
            <w:tcW w:w="4438" w:type="pct"/>
            <w:vAlign w:val="center"/>
          </w:tcPr>
          <w:p w14:paraId="36C1BFD4">
            <w:pPr>
              <w:pStyle w:val="77"/>
              <w:ind w:firstLine="0" w:firstLineChars="0"/>
              <w:jc w:val="both"/>
            </w:pPr>
            <w:r>
              <w:rPr>
                <w:rFonts w:hint="eastAsia"/>
              </w:rPr>
              <w:t>•制定培训计划，对聘用的技术和生产人员进行岗前培训</w:t>
            </w:r>
          </w:p>
          <w:p w14:paraId="41E90141">
            <w:pPr>
              <w:pStyle w:val="77"/>
              <w:ind w:firstLine="0" w:firstLineChars="0"/>
              <w:jc w:val="both"/>
            </w:pPr>
            <w:r>
              <w:rPr>
                <w:rFonts w:hint="eastAsia"/>
              </w:rPr>
              <w:t>•制定施工期环境管理规章制度</w:t>
            </w:r>
          </w:p>
          <w:p w14:paraId="22E20144">
            <w:pPr>
              <w:pStyle w:val="77"/>
              <w:ind w:firstLine="0" w:firstLineChars="0"/>
              <w:jc w:val="both"/>
            </w:pPr>
            <w:r>
              <w:rPr>
                <w:rFonts w:hint="eastAsia"/>
              </w:rPr>
              <w:t>•严格执行“三同时”制度和建设期环保措施的落实，并注意在本工程建成投入运行之前，全面检查施工现场环境恢复情况</w:t>
            </w:r>
          </w:p>
        </w:tc>
      </w:tr>
      <w:tr w14:paraId="626188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5A4BDB41">
            <w:pPr>
              <w:pStyle w:val="75"/>
            </w:pPr>
            <w:r>
              <w:rPr>
                <w:rFonts w:hint="eastAsia"/>
              </w:rPr>
              <w:t>竣工验收管理</w:t>
            </w:r>
          </w:p>
        </w:tc>
        <w:tc>
          <w:tcPr>
            <w:tcW w:w="4438" w:type="pct"/>
            <w:vAlign w:val="center"/>
          </w:tcPr>
          <w:p w14:paraId="2B27348A">
            <w:pPr>
              <w:pStyle w:val="77"/>
              <w:ind w:firstLine="0" w:firstLineChars="0"/>
              <w:jc w:val="both"/>
            </w:pPr>
            <w:r>
              <w:rPr>
                <w:rFonts w:hint="eastAsia"/>
              </w:rPr>
              <w:t>•建设项目竣工后，建设单位应当如实查验、监测、记载建设项目环境保护设施的建设和调试情况，编制验收监测报告</w:t>
            </w:r>
          </w:p>
          <w:p w14:paraId="1A176980">
            <w:pPr>
              <w:pStyle w:val="77"/>
              <w:ind w:firstLine="0" w:firstLineChars="0"/>
              <w:jc w:val="both"/>
            </w:pPr>
            <w:r>
              <w:rPr>
                <w:rFonts w:hint="eastAsia"/>
              </w:rPr>
              <w:t>•需要对建设项目配套建设的环境保护设施进行调试的，建设单位应当确保调试期间污染物排放符合国家和地方有关污染物排放标准和排污证等相关管理规定。</w:t>
            </w:r>
          </w:p>
          <w:p w14:paraId="0F372566">
            <w:pPr>
              <w:pStyle w:val="77"/>
              <w:ind w:firstLine="0" w:firstLineChars="0"/>
              <w:jc w:val="both"/>
            </w:pPr>
            <w:r>
              <w:rPr>
                <w:rFonts w:hint="eastAsia"/>
              </w:rPr>
              <w:t>环境保护设施未与主体工程同时建成的，或者应当取得排污许可证但未取得的，建设单位不得对该建设项目环境保护设施进行调试</w:t>
            </w:r>
          </w:p>
          <w:p w14:paraId="51A281FC">
            <w:pPr>
              <w:pStyle w:val="77"/>
              <w:ind w:firstLine="0" w:firstLineChars="0"/>
              <w:jc w:val="both"/>
            </w:pPr>
            <w:r>
              <w:rPr>
                <w:rFonts w:hint="eastAsia"/>
              </w:rPr>
              <w:t>•建设项目经建设单位组织验收通过后，工程才能正式运行</w:t>
            </w:r>
          </w:p>
        </w:tc>
      </w:tr>
      <w:tr w14:paraId="0D03A9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2" w:type="pct"/>
            <w:vAlign w:val="center"/>
          </w:tcPr>
          <w:p w14:paraId="52C8E0CE">
            <w:pPr>
              <w:pStyle w:val="75"/>
            </w:pPr>
            <w:r>
              <w:rPr>
                <w:rFonts w:hint="eastAsia"/>
              </w:rPr>
              <w:t>运行期</w:t>
            </w:r>
          </w:p>
        </w:tc>
        <w:tc>
          <w:tcPr>
            <w:tcW w:w="4438" w:type="pct"/>
            <w:vAlign w:val="center"/>
          </w:tcPr>
          <w:p w14:paraId="7F65269C">
            <w:pPr>
              <w:pStyle w:val="77"/>
              <w:ind w:firstLine="0" w:firstLineChars="0"/>
              <w:jc w:val="both"/>
            </w:pPr>
            <w:r>
              <w:rPr>
                <w:rFonts w:hint="eastAsia"/>
              </w:rPr>
              <w:t>·认真贯彻执行国家、省、市及行业部门制定的环保法规和各项规章制度及具体要求</w:t>
            </w:r>
          </w:p>
          <w:p w14:paraId="66871E76">
            <w:pPr>
              <w:pStyle w:val="77"/>
              <w:ind w:firstLine="0" w:firstLineChars="0"/>
              <w:jc w:val="both"/>
            </w:pPr>
            <w:r>
              <w:rPr>
                <w:rFonts w:hint="eastAsia"/>
              </w:rPr>
              <w:t>·制定符合本公司实际生产技术水平的环护管理制度和条例并监督执行，组织制定实施全公司环保规划和计划</w:t>
            </w:r>
          </w:p>
          <w:p w14:paraId="68A8955E">
            <w:pPr>
              <w:pStyle w:val="77"/>
              <w:ind w:firstLine="0" w:firstLineChars="0"/>
              <w:jc w:val="both"/>
            </w:pPr>
            <w:r>
              <w:rPr>
                <w:rFonts w:hint="eastAsia"/>
              </w:rPr>
              <w:t>·制定并负责实施环保设备的运行管理计划、操作规程</w:t>
            </w:r>
          </w:p>
          <w:p w14:paraId="267724B2">
            <w:pPr>
              <w:pStyle w:val="77"/>
              <w:ind w:firstLine="0" w:firstLineChars="0"/>
              <w:jc w:val="both"/>
            </w:pPr>
            <w:r>
              <w:rPr>
                <w:rFonts w:hint="eastAsia"/>
              </w:rPr>
              <w:t>·对环保设施的运行情况进行监控，负责环保设施及设备的常规维护，确保其正常、高效运转</w:t>
            </w:r>
          </w:p>
          <w:p w14:paraId="43C78992">
            <w:pPr>
              <w:pStyle w:val="77"/>
              <w:ind w:firstLine="0" w:firstLineChars="0"/>
              <w:jc w:val="both"/>
            </w:pPr>
            <w:r>
              <w:rPr>
                <w:rFonts w:hint="eastAsia"/>
              </w:rPr>
              <w:t>·监督、管理本厂环境监测站的日常监测工作，负责环境监测资料管理</w:t>
            </w:r>
          </w:p>
          <w:p w14:paraId="58F575C3">
            <w:pPr>
              <w:pStyle w:val="77"/>
              <w:ind w:firstLine="0" w:firstLineChars="0"/>
              <w:jc w:val="both"/>
            </w:pPr>
            <w:r>
              <w:rPr>
                <w:rFonts w:hint="eastAsia"/>
              </w:rPr>
              <w:t>·负责环保排污管理、审定工作，处理全厂的环境污染事故，随时做好应急准备，对已发生的事故应及时处理并上报有关部门</w:t>
            </w:r>
          </w:p>
          <w:p w14:paraId="5BB39DDE">
            <w:pPr>
              <w:pStyle w:val="77"/>
              <w:ind w:firstLine="0" w:firstLineChars="0"/>
              <w:jc w:val="both"/>
            </w:pPr>
            <w:r>
              <w:rPr>
                <w:rFonts w:hint="eastAsia"/>
              </w:rPr>
              <w:t>·研究开发污染治理和综合利用技术，收集、推广和应用先进的环境保护经验和技术</w:t>
            </w:r>
          </w:p>
          <w:p w14:paraId="14BC3A4C">
            <w:pPr>
              <w:pStyle w:val="77"/>
              <w:ind w:firstLine="0" w:firstLineChars="0"/>
              <w:jc w:val="both"/>
            </w:pPr>
            <w:r>
              <w:rPr>
                <w:rFonts w:hint="eastAsia"/>
              </w:rPr>
              <w:t>·加强企业职工的清洁生产教育和培训，提高企业推行清洁生产的自觉性，对生产实施全过程清洁生产和环境管理</w:t>
            </w:r>
          </w:p>
          <w:p w14:paraId="141537A0">
            <w:pPr>
              <w:pStyle w:val="77"/>
              <w:ind w:firstLine="0" w:firstLineChars="0"/>
              <w:jc w:val="both"/>
            </w:pPr>
            <w:r>
              <w:rPr>
                <w:rFonts w:hint="eastAsia"/>
              </w:rPr>
              <w:t>·对公司环保设施运行情况和环境保护管理情况分别编制月报、季报和年报，并报上级部门</w:t>
            </w:r>
          </w:p>
        </w:tc>
      </w:tr>
    </w:tbl>
    <w:p w14:paraId="608D4BEF">
      <w:pPr>
        <w:pStyle w:val="38"/>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firstLine="0" w:firstLineChars="0"/>
        <w:jc w:val="center"/>
        <w:textAlignment w:val="auto"/>
        <w:rPr>
          <w:rFonts w:hint="eastAsia"/>
        </w:rPr>
      </w:pPr>
      <w:r>
        <w:rPr>
          <w:rFonts w:hint="eastAsia"/>
        </w:rPr>
        <w:t>表9</w:t>
      </w:r>
      <w:r>
        <w:rPr>
          <w:rFonts w:hint="eastAsia"/>
          <w:lang w:val="en-US" w:eastAsia="zh-CN"/>
        </w:rPr>
        <w:t>.1</w:t>
      </w:r>
      <w:r>
        <w:rPr>
          <w:rFonts w:hint="eastAsia"/>
        </w:rPr>
        <w:t>-2    环境管理专员素质要求</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7804"/>
      </w:tblGrid>
      <w:tr w14:paraId="5F91D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5" w:type="pct"/>
            <w:vAlign w:val="center"/>
          </w:tcPr>
          <w:p w14:paraId="27A7005E">
            <w:pPr>
              <w:pStyle w:val="81"/>
              <w:rPr>
                <w:color w:val="auto"/>
              </w:rPr>
            </w:pPr>
            <w:r>
              <w:rPr>
                <w:rFonts w:hint="eastAsia"/>
                <w:color w:val="auto"/>
              </w:rPr>
              <w:t>序号</w:t>
            </w:r>
          </w:p>
        </w:tc>
        <w:tc>
          <w:tcPr>
            <w:tcW w:w="4575" w:type="pct"/>
            <w:vAlign w:val="center"/>
          </w:tcPr>
          <w:p w14:paraId="4CC5E93E">
            <w:pPr>
              <w:pStyle w:val="81"/>
              <w:rPr>
                <w:color w:val="auto"/>
              </w:rPr>
            </w:pPr>
            <w:r>
              <w:rPr>
                <w:rFonts w:hint="eastAsia"/>
                <w:color w:val="auto"/>
              </w:rPr>
              <w:t>素质要求</w:t>
            </w:r>
          </w:p>
        </w:tc>
      </w:tr>
      <w:tr w14:paraId="53105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5" w:type="pct"/>
            <w:vAlign w:val="center"/>
          </w:tcPr>
          <w:p w14:paraId="796D895B">
            <w:pPr>
              <w:pStyle w:val="75"/>
            </w:pPr>
            <w:r>
              <w:t>1</w:t>
            </w:r>
          </w:p>
        </w:tc>
        <w:tc>
          <w:tcPr>
            <w:tcW w:w="4575" w:type="pct"/>
            <w:vAlign w:val="center"/>
          </w:tcPr>
          <w:p w14:paraId="7A3B614A">
            <w:pPr>
              <w:pStyle w:val="75"/>
            </w:pPr>
            <w:r>
              <w:rPr>
                <w:rFonts w:hint="eastAsia"/>
              </w:rPr>
              <w:t>热爱环保事业，熟悉国家有关环保法规、方针政策、条例和标准等</w:t>
            </w:r>
          </w:p>
        </w:tc>
      </w:tr>
      <w:tr w14:paraId="50182F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5" w:type="pct"/>
            <w:vAlign w:val="center"/>
          </w:tcPr>
          <w:p w14:paraId="33E12877">
            <w:pPr>
              <w:pStyle w:val="75"/>
            </w:pPr>
            <w:r>
              <w:t>2</w:t>
            </w:r>
          </w:p>
        </w:tc>
        <w:tc>
          <w:tcPr>
            <w:tcW w:w="4575" w:type="pct"/>
            <w:vAlign w:val="center"/>
          </w:tcPr>
          <w:p w14:paraId="5FDA2DB4">
            <w:pPr>
              <w:pStyle w:val="75"/>
            </w:pPr>
            <w:r>
              <w:rPr>
                <w:rFonts w:hint="eastAsia"/>
              </w:rPr>
              <w:t>熟悉企业生产工艺，了解企业各项管理内容，能够提出本工程环境管理与综合防治的合理方案和建议</w:t>
            </w:r>
          </w:p>
        </w:tc>
      </w:tr>
      <w:tr w14:paraId="0C5A59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5" w:type="pct"/>
            <w:vAlign w:val="center"/>
          </w:tcPr>
          <w:p w14:paraId="4ADE5FAC">
            <w:pPr>
              <w:pStyle w:val="75"/>
            </w:pPr>
            <w:r>
              <w:t>3</w:t>
            </w:r>
          </w:p>
        </w:tc>
        <w:tc>
          <w:tcPr>
            <w:tcW w:w="4575" w:type="pct"/>
            <w:vAlign w:val="center"/>
          </w:tcPr>
          <w:p w14:paraId="5009359B">
            <w:pPr>
              <w:pStyle w:val="75"/>
            </w:pPr>
            <w:r>
              <w:rPr>
                <w:rFonts w:hint="eastAsia"/>
              </w:rPr>
              <w:t>具备清洁生产知识，能够提出合理的清洁生产方案，不断改进企业清洁生产水平</w:t>
            </w:r>
          </w:p>
        </w:tc>
      </w:tr>
    </w:tbl>
    <w:p w14:paraId="011F7D5E">
      <w:pPr>
        <w:pStyle w:val="72"/>
        <w:pageBreakBefore w:val="0"/>
        <w:widowControl w:val="0"/>
        <w:kinsoku/>
        <w:wordWrap/>
        <w:overflowPunct/>
        <w:topLinePunct w:val="0"/>
        <w:autoSpaceDE/>
        <w:autoSpaceDN/>
        <w:bidi w:val="0"/>
        <w:spacing w:line="520" w:lineRule="exact"/>
        <w:textAlignment w:val="baseline"/>
        <w:rPr>
          <w:rFonts w:hint="eastAsia"/>
        </w:rPr>
      </w:pPr>
      <w:r>
        <w:rPr>
          <w:rFonts w:hint="eastAsia"/>
        </w:rPr>
        <w:t>为保证工作的顺利进行，安全环保处应在各车间培训业务熟练、责任心强的技术人员担任车间兼职管理人员，以便于监督管理，防患于未然。</w:t>
      </w:r>
    </w:p>
    <w:p w14:paraId="7A35F87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94" w:name="_Toc19990"/>
      <w:r>
        <w:rPr>
          <w:rFonts w:hint="eastAsia"/>
          <w:lang w:val="en-US" w:eastAsia="zh-CN"/>
        </w:rPr>
        <w:t>9.2污染物排放管理要求</w:t>
      </w:r>
      <w:bookmarkEnd w:id="794"/>
    </w:p>
    <w:p w14:paraId="5E6FE914">
      <w:pPr>
        <w:pStyle w:val="72"/>
        <w:pageBreakBefore w:val="0"/>
        <w:widowControl w:val="0"/>
        <w:kinsoku/>
        <w:wordWrap/>
        <w:overflowPunct/>
        <w:topLinePunct w:val="0"/>
        <w:autoSpaceDE/>
        <w:autoSpaceDN/>
        <w:bidi w:val="0"/>
        <w:spacing w:line="520" w:lineRule="exact"/>
        <w:ind w:left="0" w:leftChars="0" w:firstLine="480" w:firstLineChars="200"/>
        <w:textAlignment w:val="baseline"/>
        <w:rPr>
          <w:rFonts w:hint="eastAsia"/>
        </w:rPr>
      </w:pPr>
      <w:r>
        <w:rPr>
          <w:rFonts w:hint="eastAsia"/>
        </w:rPr>
        <w:t>本项目污染源清单及污染物排放情况详细情况见工程分析章节。</w:t>
      </w:r>
    </w:p>
    <w:p w14:paraId="50C32BFC">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9.2.1污染物排放管理计划</w:t>
      </w:r>
    </w:p>
    <w:p w14:paraId="12C521F3">
      <w:pPr>
        <w:pStyle w:val="72"/>
        <w:pageBreakBefore w:val="0"/>
        <w:widowControl w:val="0"/>
        <w:kinsoku/>
        <w:wordWrap/>
        <w:overflowPunct/>
        <w:topLinePunct w:val="0"/>
        <w:autoSpaceDE/>
        <w:autoSpaceDN/>
        <w:bidi w:val="0"/>
        <w:spacing w:line="520" w:lineRule="exact"/>
        <w:ind w:left="0" w:leftChars="0" w:firstLine="480" w:firstLineChars="200"/>
        <w:jc w:val="left"/>
        <w:textAlignment w:val="baseline"/>
        <w:rPr>
          <w:rFonts w:hint="eastAsia"/>
        </w:rPr>
      </w:pPr>
      <w:r>
        <w:rPr>
          <w:rFonts w:hint="eastAsia"/>
        </w:rPr>
        <w:t>本项目的各排污口按照环境管理要求，必须进行规范化建设，在污水排放口、大气排放源、噪声排放源、固体废物源设立规范的环境保护图形标志，按照《环境保护图形标志――排放口（源）》、《排污口规范化整治要求(试行)》执行，企业所有排放口必须按照“便于采样、便于计量监测、便于日常现场监督检查”的原则和规范化要求，设置排污口标志牌，绘制企业排污口公布图，同时对污水排放口安装流量计，对治理设施安装运行监控装置，以利于环境保护行政主管部门对各排放口的监督管理，标志牌应设置在与之功能相应的醒目处，具体标识见</w:t>
      </w:r>
      <w:r>
        <w:rPr>
          <w:rFonts w:hint="eastAsia"/>
          <w:lang w:val="en-US" w:eastAsia="zh-CN"/>
        </w:rPr>
        <w:t>表9.2-1</w:t>
      </w:r>
      <w:r>
        <w:rPr>
          <w:rFonts w:hint="eastAsia"/>
        </w:rPr>
        <w:t>。</w:t>
      </w:r>
    </w:p>
    <w:p w14:paraId="2C6A1683">
      <w:pPr>
        <w:pStyle w:val="72"/>
        <w:pageBreakBefore w:val="0"/>
        <w:widowControl w:val="0"/>
        <w:kinsoku/>
        <w:wordWrap/>
        <w:overflowPunct/>
        <w:topLinePunct w:val="0"/>
        <w:autoSpaceDE/>
        <w:autoSpaceDN/>
        <w:bidi w:val="0"/>
        <w:spacing w:line="520" w:lineRule="exact"/>
        <w:ind w:left="0" w:leftChars="0" w:firstLine="482" w:firstLineChars="200"/>
        <w:jc w:val="center"/>
        <w:textAlignment w:val="baseline"/>
        <w:rPr>
          <w:rFonts w:hint="default" w:eastAsia="宋体"/>
          <w:lang w:val="en-US" w:eastAsia="zh-CN"/>
        </w:rPr>
      </w:pPr>
      <w:r>
        <w:rPr>
          <w:rFonts w:hint="eastAsia"/>
          <w:b/>
          <w:bCs/>
        </w:rPr>
        <w:t>表</w:t>
      </w:r>
      <w:r>
        <w:rPr>
          <w:rFonts w:hint="eastAsia"/>
          <w:b/>
          <w:bCs/>
          <w:lang w:val="en-US" w:eastAsia="zh-CN"/>
        </w:rPr>
        <w:t>9.2-1</w:t>
      </w:r>
      <w:r>
        <w:rPr>
          <w:rFonts w:hint="eastAsia"/>
          <w:b/>
          <w:bCs/>
        </w:rPr>
        <w:t xml:space="preserve">    </w:t>
      </w:r>
      <w:r>
        <w:rPr>
          <w:rFonts w:hint="eastAsia"/>
          <w:b/>
          <w:bCs/>
          <w:lang w:val="en-US" w:eastAsia="zh-CN"/>
        </w:rPr>
        <w:t>各排污口环境保护图形标志</w:t>
      </w:r>
    </w:p>
    <w:tbl>
      <w:tblPr>
        <w:tblStyle w:val="39"/>
        <w:tblW w:w="4927"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657"/>
        <w:gridCol w:w="2141"/>
        <w:gridCol w:w="2114"/>
        <w:gridCol w:w="1186"/>
        <w:gridCol w:w="2150"/>
      </w:tblGrid>
      <w:tr w14:paraId="19CB40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1298FB1F">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val="0"/>
                <w:spacing w:val="-6"/>
                <w:sz w:val="21"/>
                <w:szCs w:val="24"/>
                <w:u w:val="none"/>
              </w:rPr>
            </w:pPr>
            <w:r>
              <w:rPr>
                <w:rFonts w:hint="default" w:ascii="Times New Roman" w:hAnsi="Times New Roman" w:cs="Times New Roman"/>
                <w:b/>
                <w:bCs w:val="0"/>
                <w:spacing w:val="-6"/>
                <w:sz w:val="21"/>
                <w:szCs w:val="24"/>
                <w:u w:val="none"/>
              </w:rPr>
              <w:t>序号</w:t>
            </w:r>
          </w:p>
        </w:tc>
        <w:tc>
          <w:tcPr>
            <w:tcW w:w="2140" w:type="dxa"/>
            <w:tcBorders>
              <w:tl2br w:val="nil"/>
              <w:tr2bl w:val="nil"/>
            </w:tcBorders>
            <w:noWrap w:val="0"/>
            <w:vAlign w:val="center"/>
          </w:tcPr>
          <w:p w14:paraId="6819119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val="0"/>
                <w:spacing w:val="-4"/>
                <w:sz w:val="21"/>
                <w:szCs w:val="24"/>
                <w:u w:val="none"/>
              </w:rPr>
            </w:pPr>
            <w:r>
              <w:rPr>
                <w:rFonts w:hint="default" w:ascii="Times New Roman" w:hAnsi="Times New Roman" w:cs="Times New Roman"/>
                <w:b/>
                <w:bCs w:val="0"/>
                <w:spacing w:val="-4"/>
                <w:sz w:val="21"/>
                <w:szCs w:val="24"/>
                <w:u w:val="none"/>
              </w:rPr>
              <w:t>提示图形符号</w:t>
            </w:r>
          </w:p>
        </w:tc>
        <w:tc>
          <w:tcPr>
            <w:tcW w:w="2113" w:type="dxa"/>
            <w:tcBorders>
              <w:tl2br w:val="nil"/>
              <w:tr2bl w:val="nil"/>
            </w:tcBorders>
            <w:noWrap w:val="0"/>
            <w:vAlign w:val="center"/>
          </w:tcPr>
          <w:p w14:paraId="5CCCE65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val="0"/>
                <w:spacing w:val="-4"/>
                <w:sz w:val="21"/>
                <w:szCs w:val="24"/>
                <w:u w:val="none"/>
              </w:rPr>
            </w:pPr>
            <w:r>
              <w:rPr>
                <w:rFonts w:hint="default" w:ascii="Times New Roman" w:hAnsi="Times New Roman" w:cs="Times New Roman"/>
                <w:b/>
                <w:bCs w:val="0"/>
                <w:spacing w:val="-4"/>
                <w:sz w:val="21"/>
                <w:szCs w:val="24"/>
                <w:u w:val="none"/>
              </w:rPr>
              <w:t>警告图形符号</w:t>
            </w:r>
          </w:p>
        </w:tc>
        <w:tc>
          <w:tcPr>
            <w:tcW w:w="1185" w:type="dxa"/>
            <w:tcBorders>
              <w:tl2br w:val="nil"/>
              <w:tr2bl w:val="nil"/>
            </w:tcBorders>
            <w:noWrap w:val="0"/>
            <w:vAlign w:val="center"/>
          </w:tcPr>
          <w:p w14:paraId="2D72F53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val="0"/>
                <w:spacing w:val="-5"/>
                <w:sz w:val="21"/>
                <w:szCs w:val="24"/>
                <w:u w:val="none"/>
              </w:rPr>
            </w:pPr>
            <w:r>
              <w:rPr>
                <w:rFonts w:hint="default" w:ascii="Times New Roman" w:hAnsi="Times New Roman" w:cs="Times New Roman"/>
                <w:b/>
                <w:bCs w:val="0"/>
                <w:spacing w:val="-5"/>
                <w:sz w:val="21"/>
                <w:szCs w:val="24"/>
                <w:u w:val="none"/>
              </w:rPr>
              <w:t>名称</w:t>
            </w:r>
          </w:p>
        </w:tc>
        <w:tc>
          <w:tcPr>
            <w:tcW w:w="2149" w:type="dxa"/>
            <w:tcBorders>
              <w:tl2br w:val="nil"/>
              <w:tr2bl w:val="nil"/>
            </w:tcBorders>
            <w:noWrap w:val="0"/>
            <w:vAlign w:val="center"/>
          </w:tcPr>
          <w:p w14:paraId="530E709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bCs w:val="0"/>
                <w:spacing w:val="-5"/>
                <w:sz w:val="21"/>
                <w:szCs w:val="24"/>
                <w:u w:val="none"/>
              </w:rPr>
            </w:pPr>
            <w:r>
              <w:rPr>
                <w:rFonts w:hint="default" w:ascii="Times New Roman" w:hAnsi="Times New Roman" w:cs="Times New Roman"/>
                <w:b/>
                <w:bCs w:val="0"/>
                <w:spacing w:val="-5"/>
                <w:sz w:val="21"/>
                <w:szCs w:val="24"/>
                <w:u w:val="none"/>
              </w:rPr>
              <w:t>功能</w:t>
            </w:r>
          </w:p>
        </w:tc>
      </w:tr>
      <w:tr w14:paraId="5AC3D68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07B3979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1"/>
                <w:szCs w:val="24"/>
                <w:u w:val="none"/>
              </w:rPr>
            </w:pPr>
            <w:r>
              <w:rPr>
                <w:rFonts w:hint="default" w:ascii="Times New Roman" w:hAnsi="Times New Roman" w:eastAsia="Times New Roman" w:cs="Times New Roman"/>
                <w:b/>
                <w:bCs w:val="0"/>
                <w:sz w:val="21"/>
                <w:szCs w:val="24"/>
                <w:u w:val="none"/>
              </w:rPr>
              <w:t>1</w:t>
            </w:r>
          </w:p>
        </w:tc>
        <w:tc>
          <w:tcPr>
            <w:tcW w:w="2140" w:type="dxa"/>
            <w:tcBorders>
              <w:tl2br w:val="nil"/>
              <w:tr2bl w:val="nil"/>
            </w:tcBorders>
            <w:noWrap w:val="0"/>
            <w:vAlign w:val="center"/>
          </w:tcPr>
          <w:p w14:paraId="68EF284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065530" cy="1080135"/>
                  <wp:effectExtent l="0" t="0" r="1270" b="5715"/>
                  <wp:docPr id="15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8"/>
                          <pic:cNvPicPr>
                            <a:picLocks noChangeAspect="1"/>
                          </pic:cNvPicPr>
                        </pic:nvPicPr>
                        <pic:blipFill>
                          <a:blip r:embed="rId70"/>
                          <a:stretch>
                            <a:fillRect/>
                          </a:stretch>
                        </pic:blipFill>
                        <pic:spPr>
                          <a:xfrm>
                            <a:off x="0" y="0"/>
                            <a:ext cx="1065530" cy="1080135"/>
                          </a:xfrm>
                          <a:prstGeom prst="rect">
                            <a:avLst/>
                          </a:prstGeom>
                          <a:noFill/>
                          <a:ln>
                            <a:noFill/>
                          </a:ln>
                        </pic:spPr>
                      </pic:pic>
                    </a:graphicData>
                  </a:graphic>
                </wp:inline>
              </w:drawing>
            </w:r>
          </w:p>
        </w:tc>
        <w:tc>
          <w:tcPr>
            <w:tcW w:w="2113" w:type="dxa"/>
            <w:tcBorders>
              <w:tl2br w:val="nil"/>
              <w:tr2bl w:val="nil"/>
            </w:tcBorders>
            <w:noWrap w:val="0"/>
            <w:vAlign w:val="center"/>
          </w:tcPr>
          <w:p w14:paraId="5C3EEE7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065530" cy="1080135"/>
                  <wp:effectExtent l="0" t="0" r="1270" b="5715"/>
                  <wp:docPr id="15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9"/>
                          <pic:cNvPicPr>
                            <a:picLocks noChangeAspect="1"/>
                          </pic:cNvPicPr>
                        </pic:nvPicPr>
                        <pic:blipFill>
                          <a:blip r:embed="rId71"/>
                          <a:stretch>
                            <a:fillRect/>
                          </a:stretch>
                        </pic:blipFill>
                        <pic:spPr>
                          <a:xfrm>
                            <a:off x="0" y="0"/>
                            <a:ext cx="1065530" cy="1080135"/>
                          </a:xfrm>
                          <a:prstGeom prst="rect">
                            <a:avLst/>
                          </a:prstGeom>
                          <a:noFill/>
                          <a:ln>
                            <a:noFill/>
                          </a:ln>
                        </pic:spPr>
                      </pic:pic>
                    </a:graphicData>
                  </a:graphic>
                </wp:inline>
              </w:drawing>
            </w:r>
          </w:p>
        </w:tc>
        <w:tc>
          <w:tcPr>
            <w:tcW w:w="1185" w:type="dxa"/>
            <w:tcBorders>
              <w:tl2br w:val="nil"/>
              <w:tr2bl w:val="nil"/>
            </w:tcBorders>
            <w:noWrap w:val="0"/>
            <w:vAlign w:val="center"/>
          </w:tcPr>
          <w:p w14:paraId="7417DD9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u w:val="none"/>
              </w:rPr>
            </w:pPr>
            <w:r>
              <w:rPr>
                <w:rFonts w:hint="default" w:ascii="Times New Roman" w:hAnsi="Times New Roman" w:cs="Times New Roman"/>
                <w:b w:val="0"/>
                <w:bCs/>
                <w:spacing w:val="-4"/>
                <w:sz w:val="21"/>
                <w:szCs w:val="24"/>
                <w:u w:val="none"/>
              </w:rPr>
              <w:t>废水排放口</w:t>
            </w:r>
          </w:p>
        </w:tc>
        <w:tc>
          <w:tcPr>
            <w:tcW w:w="2149" w:type="dxa"/>
            <w:tcBorders>
              <w:tl2br w:val="nil"/>
              <w:tr2bl w:val="nil"/>
            </w:tcBorders>
            <w:noWrap w:val="0"/>
            <w:vAlign w:val="center"/>
          </w:tcPr>
          <w:p w14:paraId="0CEC137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u w:val="none"/>
              </w:rPr>
            </w:pPr>
            <w:r>
              <w:rPr>
                <w:rFonts w:hint="default" w:ascii="Times New Roman" w:hAnsi="Times New Roman" w:cs="Times New Roman"/>
                <w:b w:val="0"/>
                <w:bCs/>
                <w:spacing w:val="-4"/>
                <w:sz w:val="21"/>
                <w:szCs w:val="24"/>
                <w:u w:val="none"/>
              </w:rPr>
              <w:t>表示废水排放</w:t>
            </w:r>
          </w:p>
        </w:tc>
      </w:tr>
      <w:tr w14:paraId="09BFD08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37B5ABC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1"/>
                <w:szCs w:val="24"/>
                <w:u w:val="none"/>
              </w:rPr>
            </w:pPr>
            <w:r>
              <w:rPr>
                <w:rFonts w:hint="default" w:ascii="Times New Roman" w:hAnsi="Times New Roman" w:eastAsia="Times New Roman" w:cs="Times New Roman"/>
                <w:b/>
                <w:bCs w:val="0"/>
                <w:sz w:val="21"/>
                <w:szCs w:val="24"/>
                <w:u w:val="none"/>
              </w:rPr>
              <w:t>2</w:t>
            </w:r>
          </w:p>
        </w:tc>
        <w:tc>
          <w:tcPr>
            <w:tcW w:w="2140" w:type="dxa"/>
            <w:tcBorders>
              <w:tl2br w:val="nil"/>
              <w:tr2bl w:val="nil"/>
            </w:tcBorders>
            <w:noWrap w:val="0"/>
            <w:vAlign w:val="center"/>
          </w:tcPr>
          <w:p w14:paraId="04FB531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066800" cy="1080135"/>
                  <wp:effectExtent l="0" t="0" r="0" b="5715"/>
                  <wp:docPr id="1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20"/>
                          <pic:cNvPicPr>
                            <a:picLocks noChangeAspect="1"/>
                          </pic:cNvPicPr>
                        </pic:nvPicPr>
                        <pic:blipFill>
                          <a:blip r:embed="rId72"/>
                          <a:stretch>
                            <a:fillRect/>
                          </a:stretch>
                        </pic:blipFill>
                        <pic:spPr>
                          <a:xfrm>
                            <a:off x="0" y="0"/>
                            <a:ext cx="1066800" cy="1080135"/>
                          </a:xfrm>
                          <a:prstGeom prst="rect">
                            <a:avLst/>
                          </a:prstGeom>
                          <a:noFill/>
                          <a:ln>
                            <a:noFill/>
                          </a:ln>
                        </pic:spPr>
                      </pic:pic>
                    </a:graphicData>
                  </a:graphic>
                </wp:inline>
              </w:drawing>
            </w:r>
          </w:p>
        </w:tc>
        <w:tc>
          <w:tcPr>
            <w:tcW w:w="2113" w:type="dxa"/>
            <w:tcBorders>
              <w:tl2br w:val="nil"/>
              <w:tr2bl w:val="nil"/>
            </w:tcBorders>
            <w:noWrap w:val="0"/>
            <w:vAlign w:val="center"/>
          </w:tcPr>
          <w:p w14:paraId="4225AC73">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080135" cy="1080135"/>
                  <wp:effectExtent l="0" t="0" r="5715" b="5715"/>
                  <wp:docPr id="15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21"/>
                          <pic:cNvPicPr>
                            <a:picLocks noChangeAspect="1"/>
                          </pic:cNvPicPr>
                        </pic:nvPicPr>
                        <pic:blipFill>
                          <a:blip r:embed="rId73"/>
                          <a:stretch>
                            <a:fillRect/>
                          </a:stretch>
                        </pic:blipFill>
                        <pic:spPr>
                          <a:xfrm>
                            <a:off x="0" y="0"/>
                            <a:ext cx="1080135" cy="1080135"/>
                          </a:xfrm>
                          <a:prstGeom prst="rect">
                            <a:avLst/>
                          </a:prstGeom>
                          <a:noFill/>
                          <a:ln>
                            <a:noFill/>
                          </a:ln>
                        </pic:spPr>
                      </pic:pic>
                    </a:graphicData>
                  </a:graphic>
                </wp:inline>
              </w:drawing>
            </w:r>
          </w:p>
        </w:tc>
        <w:tc>
          <w:tcPr>
            <w:tcW w:w="1185" w:type="dxa"/>
            <w:tcBorders>
              <w:tl2br w:val="nil"/>
              <w:tr2bl w:val="nil"/>
            </w:tcBorders>
            <w:noWrap w:val="0"/>
            <w:vAlign w:val="center"/>
          </w:tcPr>
          <w:p w14:paraId="0E386391">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u w:val="none"/>
              </w:rPr>
            </w:pPr>
            <w:r>
              <w:rPr>
                <w:rFonts w:hint="default" w:ascii="Times New Roman" w:hAnsi="Times New Roman" w:cs="Times New Roman"/>
                <w:b w:val="0"/>
                <w:bCs/>
                <w:spacing w:val="-4"/>
                <w:sz w:val="21"/>
                <w:szCs w:val="24"/>
                <w:u w:val="none"/>
              </w:rPr>
              <w:t>废气排放口</w:t>
            </w:r>
          </w:p>
        </w:tc>
        <w:tc>
          <w:tcPr>
            <w:tcW w:w="2149" w:type="dxa"/>
            <w:tcBorders>
              <w:tl2br w:val="nil"/>
              <w:tr2bl w:val="nil"/>
            </w:tcBorders>
            <w:noWrap w:val="0"/>
            <w:vAlign w:val="center"/>
          </w:tcPr>
          <w:p w14:paraId="08C436F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10"/>
                <w:sz w:val="21"/>
                <w:szCs w:val="24"/>
                <w:u w:val="none"/>
              </w:rPr>
            </w:pPr>
            <w:r>
              <w:rPr>
                <w:rFonts w:hint="default" w:ascii="Times New Roman" w:hAnsi="Times New Roman" w:cs="Times New Roman"/>
                <w:b w:val="0"/>
                <w:bCs/>
                <w:spacing w:val="-2"/>
                <w:sz w:val="21"/>
                <w:szCs w:val="24"/>
                <w:u w:val="none"/>
              </w:rPr>
              <w:t>表示废气向大气环境排</w:t>
            </w:r>
            <w:r>
              <w:rPr>
                <w:rFonts w:hint="default" w:ascii="Times New Roman" w:hAnsi="Times New Roman" w:cs="Times New Roman"/>
                <w:b w:val="0"/>
                <w:bCs/>
                <w:spacing w:val="-10"/>
                <w:sz w:val="21"/>
                <w:szCs w:val="24"/>
                <w:u w:val="none"/>
              </w:rPr>
              <w:t>放</w:t>
            </w:r>
          </w:p>
        </w:tc>
      </w:tr>
      <w:tr w14:paraId="6E4C13A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70C1D1D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1"/>
                <w:szCs w:val="24"/>
                <w:u w:val="none"/>
              </w:rPr>
            </w:pPr>
            <w:r>
              <w:rPr>
                <w:rFonts w:hint="default" w:ascii="Times New Roman" w:hAnsi="Times New Roman" w:eastAsia="Times New Roman" w:cs="Times New Roman"/>
                <w:b/>
                <w:bCs w:val="0"/>
                <w:sz w:val="21"/>
                <w:szCs w:val="24"/>
                <w:u w:val="none"/>
              </w:rPr>
              <w:t>3</w:t>
            </w:r>
          </w:p>
        </w:tc>
        <w:tc>
          <w:tcPr>
            <w:tcW w:w="2140" w:type="dxa"/>
            <w:tcBorders>
              <w:tl2br w:val="nil"/>
              <w:tr2bl w:val="nil"/>
            </w:tcBorders>
            <w:noWrap w:val="0"/>
            <w:vAlign w:val="center"/>
          </w:tcPr>
          <w:p w14:paraId="586D97D8">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2"/>
                <w:szCs w:val="24"/>
                <w:u w:val="single"/>
              </w:rPr>
            </w:pPr>
            <w:r>
              <w:rPr>
                <w:rFonts w:hint="default" w:ascii="Times New Roman" w:hAnsi="Times New Roman" w:cs="Times New Roman"/>
                <w:b/>
                <w:bCs w:val="0"/>
                <w:u w:val="single"/>
              </w:rPr>
              <w:drawing>
                <wp:inline distT="0" distB="0" distL="114300" distR="114300">
                  <wp:extent cx="1067435" cy="1080135"/>
                  <wp:effectExtent l="0" t="0" r="18415" b="5715"/>
                  <wp:docPr id="15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22"/>
                          <pic:cNvPicPr>
                            <a:picLocks noChangeAspect="1"/>
                          </pic:cNvPicPr>
                        </pic:nvPicPr>
                        <pic:blipFill>
                          <a:blip r:embed="rId74"/>
                          <a:stretch>
                            <a:fillRect/>
                          </a:stretch>
                        </pic:blipFill>
                        <pic:spPr>
                          <a:xfrm>
                            <a:off x="0" y="0"/>
                            <a:ext cx="1067435" cy="1080135"/>
                          </a:xfrm>
                          <a:prstGeom prst="rect">
                            <a:avLst/>
                          </a:prstGeom>
                          <a:noFill/>
                          <a:ln>
                            <a:noFill/>
                          </a:ln>
                        </pic:spPr>
                      </pic:pic>
                    </a:graphicData>
                  </a:graphic>
                </wp:inline>
              </w:drawing>
            </w:r>
          </w:p>
        </w:tc>
        <w:tc>
          <w:tcPr>
            <w:tcW w:w="2113" w:type="dxa"/>
            <w:tcBorders>
              <w:tl2br w:val="nil"/>
              <w:tr2bl w:val="nil"/>
            </w:tcBorders>
            <w:noWrap w:val="0"/>
            <w:vAlign w:val="center"/>
          </w:tcPr>
          <w:p w14:paraId="3593554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151255" cy="1080135"/>
                  <wp:effectExtent l="0" t="0" r="10795" b="5715"/>
                  <wp:docPr id="15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23"/>
                          <pic:cNvPicPr>
                            <a:picLocks noChangeAspect="1"/>
                          </pic:cNvPicPr>
                        </pic:nvPicPr>
                        <pic:blipFill>
                          <a:blip r:embed="rId75"/>
                          <a:stretch>
                            <a:fillRect/>
                          </a:stretch>
                        </pic:blipFill>
                        <pic:spPr>
                          <a:xfrm>
                            <a:off x="0" y="0"/>
                            <a:ext cx="1151255" cy="1080135"/>
                          </a:xfrm>
                          <a:prstGeom prst="rect">
                            <a:avLst/>
                          </a:prstGeom>
                          <a:noFill/>
                          <a:ln>
                            <a:noFill/>
                          </a:ln>
                        </pic:spPr>
                      </pic:pic>
                    </a:graphicData>
                  </a:graphic>
                </wp:inline>
              </w:drawing>
            </w:r>
          </w:p>
        </w:tc>
        <w:tc>
          <w:tcPr>
            <w:tcW w:w="1185" w:type="dxa"/>
            <w:tcBorders>
              <w:tl2br w:val="nil"/>
              <w:tr2bl w:val="nil"/>
            </w:tcBorders>
            <w:noWrap w:val="0"/>
            <w:vAlign w:val="center"/>
          </w:tcPr>
          <w:p w14:paraId="513B2D77">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10"/>
                <w:sz w:val="21"/>
                <w:szCs w:val="24"/>
                <w:u w:val="none"/>
              </w:rPr>
            </w:pPr>
            <w:r>
              <w:rPr>
                <w:rFonts w:hint="default" w:ascii="Times New Roman" w:hAnsi="Times New Roman" w:cs="Times New Roman"/>
                <w:b w:val="0"/>
                <w:bCs/>
                <w:spacing w:val="-2"/>
                <w:sz w:val="21"/>
                <w:szCs w:val="24"/>
                <w:u w:val="none"/>
              </w:rPr>
              <w:t>一般固体废</w:t>
            </w:r>
            <w:r>
              <w:rPr>
                <w:rFonts w:hint="default" w:ascii="Times New Roman" w:hAnsi="Times New Roman" w:cs="Times New Roman"/>
                <w:b w:val="0"/>
                <w:bCs/>
                <w:spacing w:val="-10"/>
                <w:sz w:val="21"/>
                <w:szCs w:val="24"/>
                <w:u w:val="none"/>
              </w:rPr>
              <w:t>物</w:t>
            </w:r>
          </w:p>
        </w:tc>
        <w:tc>
          <w:tcPr>
            <w:tcW w:w="2149" w:type="dxa"/>
            <w:tcBorders>
              <w:tl2br w:val="nil"/>
              <w:tr2bl w:val="nil"/>
            </w:tcBorders>
            <w:noWrap w:val="0"/>
            <w:vAlign w:val="center"/>
          </w:tcPr>
          <w:p w14:paraId="675BEE7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2"/>
                <w:sz w:val="21"/>
                <w:szCs w:val="24"/>
                <w:u w:val="none"/>
              </w:rPr>
            </w:pPr>
            <w:r>
              <w:rPr>
                <w:rFonts w:hint="default" w:ascii="Times New Roman" w:hAnsi="Times New Roman" w:cs="Times New Roman"/>
                <w:b w:val="0"/>
                <w:bCs/>
                <w:spacing w:val="-2"/>
                <w:sz w:val="21"/>
                <w:szCs w:val="24"/>
                <w:u w:val="none"/>
              </w:rPr>
              <w:t>表示一般固体废物贮存、处置场</w:t>
            </w:r>
          </w:p>
        </w:tc>
      </w:tr>
      <w:tr w14:paraId="0B120C2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3B350D60">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1"/>
                <w:szCs w:val="24"/>
                <w:u w:val="none"/>
              </w:rPr>
            </w:pPr>
            <w:r>
              <w:rPr>
                <w:rFonts w:hint="default" w:ascii="Times New Roman" w:hAnsi="Times New Roman" w:eastAsia="Times New Roman" w:cs="Times New Roman"/>
                <w:b/>
                <w:bCs w:val="0"/>
                <w:sz w:val="21"/>
                <w:szCs w:val="24"/>
                <w:u w:val="none"/>
              </w:rPr>
              <w:t>4</w:t>
            </w:r>
          </w:p>
        </w:tc>
        <w:tc>
          <w:tcPr>
            <w:tcW w:w="2140" w:type="dxa"/>
            <w:tcBorders>
              <w:tl2br w:val="nil"/>
              <w:tr2bl w:val="nil"/>
            </w:tcBorders>
            <w:noWrap w:val="0"/>
            <w:vAlign w:val="center"/>
          </w:tcPr>
          <w:p w14:paraId="2C76D2D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2"/>
                <w:szCs w:val="24"/>
                <w:u w:val="single"/>
              </w:rPr>
            </w:pPr>
            <w:r>
              <w:rPr>
                <w:rFonts w:hint="default" w:ascii="Times New Roman" w:hAnsi="Times New Roman" w:cs="Times New Roman"/>
                <w:b/>
                <w:bCs w:val="0"/>
                <w:u w:val="single"/>
              </w:rPr>
              <w:drawing>
                <wp:inline distT="0" distB="0" distL="114300" distR="114300">
                  <wp:extent cx="1080135" cy="1080135"/>
                  <wp:effectExtent l="0" t="0" r="5715" b="5715"/>
                  <wp:docPr id="14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24"/>
                          <pic:cNvPicPr>
                            <a:picLocks noChangeAspect="1"/>
                          </pic:cNvPicPr>
                        </pic:nvPicPr>
                        <pic:blipFill>
                          <a:blip r:embed="rId76"/>
                          <a:stretch>
                            <a:fillRect/>
                          </a:stretch>
                        </pic:blipFill>
                        <pic:spPr>
                          <a:xfrm>
                            <a:off x="0" y="0"/>
                            <a:ext cx="1080135" cy="1080135"/>
                          </a:xfrm>
                          <a:prstGeom prst="rect">
                            <a:avLst/>
                          </a:prstGeom>
                          <a:noFill/>
                          <a:ln>
                            <a:noFill/>
                          </a:ln>
                        </pic:spPr>
                      </pic:pic>
                    </a:graphicData>
                  </a:graphic>
                </wp:inline>
              </w:drawing>
            </w:r>
          </w:p>
        </w:tc>
        <w:tc>
          <w:tcPr>
            <w:tcW w:w="2113" w:type="dxa"/>
            <w:tcBorders>
              <w:tl2br w:val="nil"/>
              <w:tr2bl w:val="nil"/>
            </w:tcBorders>
            <w:noWrap w:val="0"/>
            <w:vAlign w:val="center"/>
          </w:tcPr>
          <w:p w14:paraId="38DF134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215390" cy="1080135"/>
                  <wp:effectExtent l="0" t="0" r="3810" b="5715"/>
                  <wp:docPr id="15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25"/>
                          <pic:cNvPicPr>
                            <a:picLocks noChangeAspect="1"/>
                          </pic:cNvPicPr>
                        </pic:nvPicPr>
                        <pic:blipFill>
                          <a:blip r:embed="rId77"/>
                          <a:stretch>
                            <a:fillRect/>
                          </a:stretch>
                        </pic:blipFill>
                        <pic:spPr>
                          <a:xfrm>
                            <a:off x="0" y="0"/>
                            <a:ext cx="1215390" cy="1080135"/>
                          </a:xfrm>
                          <a:prstGeom prst="rect">
                            <a:avLst/>
                          </a:prstGeom>
                          <a:noFill/>
                          <a:ln>
                            <a:noFill/>
                          </a:ln>
                        </pic:spPr>
                      </pic:pic>
                    </a:graphicData>
                  </a:graphic>
                </wp:inline>
              </w:drawing>
            </w:r>
          </w:p>
        </w:tc>
        <w:tc>
          <w:tcPr>
            <w:tcW w:w="1185" w:type="dxa"/>
            <w:tcBorders>
              <w:tl2br w:val="nil"/>
              <w:tr2bl w:val="nil"/>
            </w:tcBorders>
            <w:noWrap w:val="0"/>
            <w:vAlign w:val="center"/>
          </w:tcPr>
          <w:p w14:paraId="62BB54CB">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u w:val="none"/>
              </w:rPr>
            </w:pPr>
            <w:r>
              <w:rPr>
                <w:rFonts w:hint="default" w:ascii="Times New Roman" w:hAnsi="Times New Roman" w:cs="Times New Roman"/>
                <w:b w:val="0"/>
                <w:bCs/>
                <w:spacing w:val="-4"/>
                <w:sz w:val="21"/>
                <w:szCs w:val="24"/>
                <w:u w:val="none"/>
              </w:rPr>
              <w:t>噪声排放源</w:t>
            </w:r>
          </w:p>
        </w:tc>
        <w:tc>
          <w:tcPr>
            <w:tcW w:w="2149" w:type="dxa"/>
            <w:tcBorders>
              <w:tl2br w:val="nil"/>
              <w:tr2bl w:val="nil"/>
            </w:tcBorders>
            <w:noWrap w:val="0"/>
            <w:vAlign w:val="center"/>
          </w:tcPr>
          <w:p w14:paraId="4D6D3AF9">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3"/>
                <w:sz w:val="21"/>
                <w:szCs w:val="24"/>
                <w:u w:val="none"/>
              </w:rPr>
            </w:pPr>
            <w:r>
              <w:rPr>
                <w:rFonts w:hint="default" w:ascii="Times New Roman" w:hAnsi="Times New Roman" w:cs="Times New Roman"/>
                <w:b w:val="0"/>
                <w:bCs/>
                <w:spacing w:val="-3"/>
                <w:sz w:val="21"/>
                <w:szCs w:val="24"/>
                <w:u w:val="none"/>
              </w:rPr>
              <w:t>表示噪声向外环境排放</w:t>
            </w:r>
          </w:p>
        </w:tc>
      </w:tr>
      <w:tr w14:paraId="36685E3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657" w:type="dxa"/>
            <w:tcBorders>
              <w:tl2br w:val="nil"/>
              <w:tr2bl w:val="nil"/>
            </w:tcBorders>
            <w:noWrap w:val="0"/>
            <w:vAlign w:val="center"/>
          </w:tcPr>
          <w:p w14:paraId="61EC1F4A">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b/>
                <w:bCs w:val="0"/>
                <w:sz w:val="21"/>
                <w:szCs w:val="24"/>
                <w:u w:val="none"/>
              </w:rPr>
            </w:pPr>
            <w:r>
              <w:rPr>
                <w:rFonts w:hint="default" w:ascii="Times New Roman" w:hAnsi="Times New Roman" w:eastAsia="Times New Roman" w:cs="Times New Roman"/>
                <w:b/>
                <w:bCs w:val="0"/>
                <w:sz w:val="21"/>
                <w:szCs w:val="24"/>
                <w:u w:val="none"/>
              </w:rPr>
              <w:t>5</w:t>
            </w:r>
          </w:p>
        </w:tc>
        <w:tc>
          <w:tcPr>
            <w:tcW w:w="2140" w:type="dxa"/>
            <w:tcBorders>
              <w:tl2br w:val="nil"/>
              <w:tr2bl w:val="nil"/>
            </w:tcBorders>
            <w:noWrap w:val="0"/>
            <w:vAlign w:val="center"/>
          </w:tcPr>
          <w:p w14:paraId="0E771894">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cs="Times New Roman"/>
                <w:b/>
                <w:bCs w:val="0"/>
                <w:sz w:val="20"/>
                <w:u w:val="single"/>
              </w:rPr>
              <w:drawing>
                <wp:inline distT="0" distB="0" distL="114300" distR="114300">
                  <wp:extent cx="1080135" cy="883285"/>
                  <wp:effectExtent l="0" t="0" r="5715" b="12065"/>
                  <wp:docPr id="15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26"/>
                          <pic:cNvPicPr>
                            <a:picLocks noChangeAspect="1"/>
                          </pic:cNvPicPr>
                        </pic:nvPicPr>
                        <pic:blipFill>
                          <a:blip r:embed="rId78"/>
                          <a:stretch>
                            <a:fillRect/>
                          </a:stretch>
                        </pic:blipFill>
                        <pic:spPr>
                          <a:xfrm>
                            <a:off x="0" y="0"/>
                            <a:ext cx="1080135" cy="883285"/>
                          </a:xfrm>
                          <a:prstGeom prst="rect">
                            <a:avLst/>
                          </a:prstGeom>
                          <a:noFill/>
                          <a:ln>
                            <a:noFill/>
                          </a:ln>
                        </pic:spPr>
                      </pic:pic>
                    </a:graphicData>
                  </a:graphic>
                </wp:inline>
              </w:drawing>
            </w:r>
          </w:p>
        </w:tc>
        <w:tc>
          <w:tcPr>
            <w:tcW w:w="2113" w:type="dxa"/>
            <w:tcBorders>
              <w:tl2br w:val="nil"/>
              <w:tr2bl w:val="nil"/>
            </w:tcBorders>
            <w:noWrap w:val="0"/>
            <w:vAlign w:val="center"/>
          </w:tcPr>
          <w:p w14:paraId="6E455016">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eastAsia="微软雅黑" w:cs="Times New Roman"/>
                <w:b/>
                <w:bCs w:val="0"/>
                <w:sz w:val="20"/>
                <w:szCs w:val="24"/>
                <w:u w:val="single"/>
              </w:rPr>
            </w:pPr>
            <w:r>
              <w:rPr>
                <w:rFonts w:hint="default" w:ascii="Times New Roman" w:hAnsi="Times New Roman" w:eastAsia="微软雅黑" w:cs="Times New Roman"/>
                <w:b/>
                <w:bCs w:val="0"/>
                <w:sz w:val="20"/>
                <w:szCs w:val="24"/>
                <w:u w:val="single"/>
              </w:rPr>
              <w:drawing>
                <wp:inline distT="0" distB="0" distL="114300" distR="114300">
                  <wp:extent cx="1213485" cy="1080135"/>
                  <wp:effectExtent l="0" t="0" r="5715" b="5715"/>
                  <wp:docPr id="15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7"/>
                          <pic:cNvPicPr>
                            <a:picLocks noChangeAspect="1"/>
                          </pic:cNvPicPr>
                        </pic:nvPicPr>
                        <pic:blipFill>
                          <a:blip r:embed="rId79"/>
                          <a:stretch>
                            <a:fillRect/>
                          </a:stretch>
                        </pic:blipFill>
                        <pic:spPr>
                          <a:xfrm>
                            <a:off x="0" y="0"/>
                            <a:ext cx="1213485" cy="1080135"/>
                          </a:xfrm>
                          <a:prstGeom prst="rect">
                            <a:avLst/>
                          </a:prstGeom>
                          <a:noFill/>
                          <a:ln>
                            <a:noFill/>
                          </a:ln>
                        </pic:spPr>
                      </pic:pic>
                    </a:graphicData>
                  </a:graphic>
                </wp:inline>
              </w:drawing>
            </w:r>
          </w:p>
        </w:tc>
        <w:tc>
          <w:tcPr>
            <w:tcW w:w="1185" w:type="dxa"/>
            <w:tcBorders>
              <w:tl2br w:val="nil"/>
              <w:tr2bl w:val="nil"/>
            </w:tcBorders>
            <w:noWrap w:val="0"/>
            <w:vAlign w:val="center"/>
          </w:tcPr>
          <w:p w14:paraId="4CD949AC">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4"/>
                <w:sz w:val="21"/>
                <w:szCs w:val="24"/>
                <w:u w:val="none"/>
              </w:rPr>
            </w:pPr>
            <w:r>
              <w:rPr>
                <w:rFonts w:hint="default" w:ascii="Times New Roman" w:hAnsi="Times New Roman" w:cs="Times New Roman"/>
                <w:b w:val="0"/>
                <w:bCs/>
                <w:spacing w:val="-4"/>
                <w:sz w:val="21"/>
                <w:szCs w:val="24"/>
                <w:u w:val="none"/>
              </w:rPr>
              <w:t>危险废物</w:t>
            </w:r>
          </w:p>
        </w:tc>
        <w:tc>
          <w:tcPr>
            <w:tcW w:w="2149" w:type="dxa"/>
            <w:tcBorders>
              <w:tl2br w:val="nil"/>
              <w:tr2bl w:val="nil"/>
            </w:tcBorders>
            <w:noWrap w:val="0"/>
            <w:vAlign w:val="center"/>
          </w:tcPr>
          <w:p w14:paraId="6363B03E">
            <w:pPr>
              <w:pStyle w:val="126"/>
              <w:keepNext w:val="0"/>
              <w:keepLines w:val="0"/>
              <w:pageBreakBefore w:val="0"/>
              <w:widowControl/>
              <w:kinsoku/>
              <w:wordWrap/>
              <w:overflowPunct/>
              <w:topLinePunct/>
              <w:autoSpaceDE w:val="0"/>
              <w:autoSpaceDN/>
              <w:bidi w:val="0"/>
              <w:adjustRightInd w:val="0"/>
              <w:snapToGrid w:val="0"/>
              <w:spacing w:line="240" w:lineRule="auto"/>
              <w:ind w:left="0" w:right="0" w:firstLine="0" w:firstLineChars="0"/>
              <w:jc w:val="center"/>
              <w:textAlignment w:val="auto"/>
              <w:rPr>
                <w:rFonts w:hint="default" w:ascii="Times New Roman" w:hAnsi="Times New Roman" w:cs="Times New Roman"/>
                <w:b w:val="0"/>
                <w:bCs/>
                <w:spacing w:val="-6"/>
                <w:sz w:val="21"/>
                <w:szCs w:val="24"/>
                <w:u w:val="none"/>
              </w:rPr>
            </w:pPr>
            <w:r>
              <w:rPr>
                <w:rFonts w:hint="default" w:ascii="Times New Roman" w:hAnsi="Times New Roman" w:cs="Times New Roman"/>
                <w:b w:val="0"/>
                <w:bCs/>
                <w:spacing w:val="-2"/>
                <w:sz w:val="21"/>
                <w:szCs w:val="24"/>
                <w:u w:val="none"/>
              </w:rPr>
              <w:t>表示危险废物贮存、处</w:t>
            </w:r>
            <w:r>
              <w:rPr>
                <w:rFonts w:hint="default" w:ascii="Times New Roman" w:hAnsi="Times New Roman" w:cs="Times New Roman"/>
                <w:b w:val="0"/>
                <w:bCs/>
                <w:spacing w:val="-6"/>
                <w:sz w:val="21"/>
                <w:szCs w:val="24"/>
                <w:u w:val="none"/>
              </w:rPr>
              <w:t>置场</w:t>
            </w:r>
          </w:p>
        </w:tc>
      </w:tr>
    </w:tbl>
    <w:p w14:paraId="40D71A9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9.2.2环境管理制度的建立</w:t>
      </w:r>
    </w:p>
    <w:p w14:paraId="33B1822A">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（1）环境管理规定的制定</w:t>
      </w:r>
    </w:p>
    <w:p w14:paraId="476A7628">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按照环境保护监督管理的要求，出台相关具体的环境保护管理规定，主要包括以下内容：</w:t>
      </w:r>
    </w:p>
    <w:p w14:paraId="12BFA324">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ascii="Times New Roman" w:hAnsi="Times New Roman" w:eastAsia="宋体" w:cs="Times New Roman"/>
          <w:lang w:eastAsia="zh-CN"/>
        </w:rPr>
      </w:pPr>
      <w:r>
        <w:rPr>
          <w:rFonts w:hint="default" w:ascii="Times New Roman" w:hAnsi="Times New Roman" w:cs="Times New Roman"/>
        </w:rPr>
        <w:t>①“三废”及噪声排放、处置管理规定</w:t>
      </w:r>
      <w:r>
        <w:rPr>
          <w:rFonts w:hint="eastAsia" w:ascii="Times New Roman" w:hAnsi="Times New Roman" w:cs="Times New Roman"/>
          <w:lang w:eastAsia="zh-CN"/>
        </w:rPr>
        <w:t>、</w:t>
      </w:r>
      <w:r>
        <w:rPr>
          <w:rFonts w:hint="default" w:ascii="Times New Roman" w:hAnsi="Times New Roman" w:cs="Times New Roman"/>
        </w:rPr>
        <w:t>“三废”综合利用管理规定</w:t>
      </w:r>
    </w:p>
    <w:p w14:paraId="64435741">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ascii="Times New Roman" w:hAnsi="Times New Roman" w:eastAsia="宋体" w:cs="Times New Roman"/>
          <w:lang w:eastAsia="zh-CN"/>
        </w:rPr>
      </w:pPr>
      <w:r>
        <w:rPr>
          <w:rFonts w:hint="default" w:ascii="Times New Roman" w:hAnsi="Times New Roman" w:cs="Times New Roman"/>
        </w:rPr>
        <w:t>②环保设施管理规定</w:t>
      </w:r>
      <w:r>
        <w:rPr>
          <w:rFonts w:hint="eastAsia" w:cs="Times New Roman"/>
          <w:lang w:eastAsia="zh-CN"/>
        </w:rPr>
        <w:t>、</w:t>
      </w:r>
      <w:r>
        <w:rPr>
          <w:rFonts w:hint="default" w:ascii="Times New Roman" w:hAnsi="Times New Roman" w:cs="Times New Roman"/>
        </w:rPr>
        <w:t>环保异常情况报告管理规定</w:t>
      </w:r>
    </w:p>
    <w:p w14:paraId="660BF9F1">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③环境保护教育培训管理规定</w:t>
      </w:r>
    </w:p>
    <w:p w14:paraId="4DA8DF2B">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④环境保护统计管理规定</w:t>
      </w:r>
    </w:p>
    <w:p w14:paraId="13D8AEBA">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⑤环境监测管理规定</w:t>
      </w:r>
    </w:p>
    <w:p w14:paraId="6E8F7C0F">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⑥建设项目环境保护管理规定</w:t>
      </w:r>
    </w:p>
    <w:p w14:paraId="0CB00A76">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⑦危险废物处置管理规定</w:t>
      </w:r>
    </w:p>
    <w:p w14:paraId="19CC25D1">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⑧装置启停、设备检维修环境保护管理规定</w:t>
      </w:r>
    </w:p>
    <w:p w14:paraId="094779D4">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eastAsia="宋体" w:cs="Times New Roman"/>
        </w:rPr>
      </w:pPr>
      <w:r>
        <w:rPr>
          <w:rFonts w:hint="default" w:ascii="Times New Roman" w:hAnsi="Times New Roman" w:cs="Times New Roman"/>
        </w:rPr>
        <w:t>⑨</w:t>
      </w:r>
      <w:r>
        <w:rPr>
          <w:rFonts w:hint="default" w:ascii="Times New Roman" w:hAnsi="Times New Roman" w:eastAsia="宋体" w:cs="Times New Roman"/>
        </w:rPr>
        <w:t>清洁生产管理规定</w:t>
      </w:r>
    </w:p>
    <w:p w14:paraId="6DC27376">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default" w:ascii="Times New Roman" w:hAnsi="Times New Roman" w:cs="Times New Roman"/>
        </w:rPr>
      </w:pPr>
      <w:r>
        <w:rPr>
          <w:rFonts w:hint="default" w:ascii="Times New Roman" w:hAnsi="Times New Roman" w:cs="Times New Roman"/>
        </w:rPr>
        <w:t>⑩环境保护应急管理规定</w:t>
      </w:r>
    </w:p>
    <w:p w14:paraId="18A0223A">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（2）报告制度</w:t>
      </w:r>
    </w:p>
    <w:p w14:paraId="13376EEE">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项目建成后应严格执行月报制度。即每月向当地环保部门报告污染治理设施运行情况、污染物排放情况以及污染事故、污染纠纷等情况。</w:t>
      </w:r>
    </w:p>
    <w:p w14:paraId="1EE7F99F">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企业排污发生重大变化、污染治理设施改变或生产运行计划改变等都必须向当地环保部门申报，经审批同意后方可实施。</w:t>
      </w:r>
    </w:p>
    <w:p w14:paraId="2ABBD5C9">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（3）污染治理设施的管理制度</w:t>
      </w:r>
    </w:p>
    <w:p w14:paraId="64737EBC">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对污染治理设施的管理必须与生产经营活动一起纳入企业的日常管理中，要建立岗位责任制，制定操作规程，建立管理台帐。</w:t>
      </w:r>
    </w:p>
    <w:p w14:paraId="6B1940D1">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（4）奖惩制度</w:t>
      </w:r>
    </w:p>
    <w:p w14:paraId="477E6EC1">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企业应设置环境保护奖惩制度，对改进环保治理技术、节能降耗、改善环境者给予奖励；对不按环保要求管理，造成环保设施损坏、环境污染和资源、能源浪费者予以重罚。</w:t>
      </w:r>
    </w:p>
    <w:p w14:paraId="593D300A">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（5）清洁生产审核制度</w:t>
      </w:r>
    </w:p>
    <w:p w14:paraId="5073CC75">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根据节能减排要求，本项目要建立清洁生产审核计划，体现“以防为主”的方针，实现环境效益和经济效益的统一。主要内容为：①核对有关生产单元操作、原材料、用水、能耗、产品和废物产生等资料；②确定废物的来源、数量及类型，确定废物削减的目标，制定有效消减废物产生的对策。</w:t>
      </w:r>
    </w:p>
    <w:p w14:paraId="52641DF7">
      <w:pPr>
        <w:pStyle w:val="72"/>
        <w:keepNext w:val="0"/>
        <w:keepLines w:val="0"/>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通过清洁生产审核，对本项目污染来源、废物产生原因及其整体解决方案的系统分析，寻找尽可能高效率地利用资源（原辅料、水、能源等），减少或消除废物产生和排放的方法，达到提高生产效率、合理利用资源、降低污染的目的。</w:t>
      </w:r>
    </w:p>
    <w:p w14:paraId="301935B3">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795" w:name="_Toc14652"/>
      <w:bookmarkStart w:id="796" w:name="_Toc51319891"/>
      <w:bookmarkStart w:id="797" w:name="_Toc14132"/>
      <w:r>
        <w:rPr>
          <w:rFonts w:hint="eastAsia"/>
          <w:lang w:val="en-US" w:eastAsia="zh-CN"/>
        </w:rPr>
        <w:t>9.3环境监测计划</w:t>
      </w:r>
      <w:bookmarkEnd w:id="792"/>
      <w:bookmarkEnd w:id="793"/>
      <w:bookmarkEnd w:id="795"/>
      <w:bookmarkEnd w:id="796"/>
      <w:bookmarkEnd w:id="797"/>
    </w:p>
    <w:p w14:paraId="522DD07F">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98" w:name="_Toc108122632"/>
      <w:r>
        <w:rPr>
          <w:rFonts w:hint="eastAsia" w:cs="Times New Roman"/>
          <w:lang w:val="en-US" w:eastAsia="zh-CN"/>
        </w:rPr>
        <w:t>9.3.1环境监测的目的</w:t>
      </w:r>
      <w:bookmarkEnd w:id="798"/>
    </w:p>
    <w:p w14:paraId="42A46D85">
      <w:pPr>
        <w:pStyle w:val="72"/>
      </w:pPr>
      <w:r>
        <w:rPr>
          <w:rFonts w:hint="eastAsia"/>
        </w:rPr>
        <w:t>环境监测的目的是为了准确、及时、全面地反映环境质量现状及发展趋势，对该厂主要污染物排放进行定期监测，为环境管理、污染源控制、环境规划等提供科学依据。因此，环境监测是环境管理工作必不可少的手段，是科学管理企业环保工作的基础。通过监测计划的制定与实施，及时发现环保措施的不足，进行修正和改进，确保环保设施长期高效稳定的进行。</w:t>
      </w:r>
    </w:p>
    <w:p w14:paraId="390A4D2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799" w:name="_Toc108122633"/>
      <w:r>
        <w:rPr>
          <w:rFonts w:hint="eastAsia" w:cs="Times New Roman"/>
          <w:lang w:val="en-US" w:eastAsia="zh-CN"/>
        </w:rPr>
        <w:t>9.3.2监测任务</w:t>
      </w:r>
      <w:bookmarkEnd w:id="799"/>
    </w:p>
    <w:p w14:paraId="5B3E8FBB">
      <w:pPr>
        <w:pStyle w:val="72"/>
      </w:pPr>
      <w:r>
        <w:t>环境监测是环境管理的基础，并为企业制定污染防治对策和规划提供依据。根据工程污染物排放的实际情况和就近方便的原则，该项目具体监测工作建议委托有资质的环境监测机构完成。主要任务如下：</w:t>
      </w:r>
    </w:p>
    <w:p w14:paraId="0A1CEC7A">
      <w:pPr>
        <w:pStyle w:val="72"/>
      </w:pPr>
      <w:r>
        <w:rPr>
          <w:rFonts w:hint="eastAsia"/>
        </w:rPr>
        <w:t>①</w:t>
      </w:r>
      <w:r>
        <w:t>定期监测建设项目排放的污染物是否符合国家所规定的排放标准；</w:t>
      </w:r>
    </w:p>
    <w:p w14:paraId="12A8BB3F">
      <w:pPr>
        <w:pStyle w:val="72"/>
      </w:pPr>
      <w:r>
        <w:rPr>
          <w:rFonts w:hint="eastAsia"/>
        </w:rPr>
        <w:t>②</w:t>
      </w:r>
      <w:r>
        <w:t>分析所排污染物的变化规律，为制定污染控制措施提供依据；</w:t>
      </w:r>
    </w:p>
    <w:p w14:paraId="6E2418D4">
      <w:pPr>
        <w:pStyle w:val="72"/>
      </w:pPr>
      <w:r>
        <w:rPr>
          <w:rFonts w:hint="eastAsia"/>
        </w:rPr>
        <w:t>③</w:t>
      </w:r>
      <w:r>
        <w:t>负责污染事故的监测及报告；</w:t>
      </w:r>
    </w:p>
    <w:p w14:paraId="79D97F03">
      <w:pPr>
        <w:pStyle w:val="72"/>
      </w:pPr>
      <w:r>
        <w:rPr>
          <w:rFonts w:hint="eastAsia"/>
        </w:rPr>
        <w:t>④</w:t>
      </w:r>
      <w:r>
        <w:t>环境监测对象主要有两个方面，即污染源监测和企业环境质量监测。</w:t>
      </w:r>
    </w:p>
    <w:p w14:paraId="27EA9BFD">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00" w:name="_Toc14736"/>
      <w:bookmarkStart w:id="801" w:name="_Toc108122634"/>
      <w:r>
        <w:rPr>
          <w:rFonts w:hint="eastAsia" w:cs="Times New Roman"/>
          <w:lang w:val="en-US" w:eastAsia="zh-CN"/>
        </w:rPr>
        <w:t>9.3.3监控要求</w:t>
      </w:r>
      <w:bookmarkEnd w:id="800"/>
      <w:bookmarkEnd w:id="801"/>
    </w:p>
    <w:p w14:paraId="6E6F0329">
      <w:pPr>
        <w:pStyle w:val="72"/>
      </w:pPr>
      <w:r>
        <w:t>（1）根据《固定污染源排气中颗粒物测定与气态污染物采样方法》（GB/T16157-1996）要求，在废气治理设施前、后分别预留监测孔，设置明显标志。</w:t>
      </w:r>
    </w:p>
    <w:p w14:paraId="33D93C53">
      <w:pPr>
        <w:pStyle w:val="72"/>
      </w:pPr>
      <w:r>
        <w:t>（2）根据《环境保护图形标志—排放口（源）》（GB15562.1-1995）标准要求，分别在废气排放口和噪声排放源设置环境保护图形标志，便于污染源的监督管理和常规监测工作的进行。</w:t>
      </w:r>
    </w:p>
    <w:p w14:paraId="2FEBFC84">
      <w:pPr>
        <w:pStyle w:val="72"/>
      </w:pPr>
      <w:r>
        <w:t>（3）污染监控应严格按照国家有关标准和技术规范进行。</w:t>
      </w:r>
    </w:p>
    <w:p w14:paraId="0B432EEB">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02" w:name="_Toc6246"/>
      <w:bookmarkStart w:id="803" w:name="_Toc108122635"/>
      <w:r>
        <w:rPr>
          <w:rFonts w:hint="eastAsia" w:cs="Times New Roman"/>
          <w:lang w:val="en-US" w:eastAsia="zh-CN"/>
        </w:rPr>
        <w:t>9.3.4运行期监控计划</w:t>
      </w:r>
      <w:bookmarkEnd w:id="802"/>
      <w:bookmarkEnd w:id="803"/>
    </w:p>
    <w:p w14:paraId="40716046">
      <w:pPr>
        <w:pStyle w:val="72"/>
        <w:rPr>
          <w:rFonts w:hint="default" w:eastAsia="宋体"/>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污染源监测计划</w:t>
      </w:r>
    </w:p>
    <w:p w14:paraId="2B6BB47B">
      <w:pPr>
        <w:pStyle w:val="72"/>
      </w:pPr>
      <w:r>
        <w:rPr>
          <w:rFonts w:hint="eastAsia"/>
        </w:rPr>
        <w:t>根据《排污单位自行监测技术指南  电镀工业》（HJ985-2018）和《排污许可证申请与核发技术规范  工业噪声》（HJ1301-2023），对生产过程中产生的废气、废水、噪声和地下水、土壤环境质量进行监控，具体监测工作自行完成或委托有资质的环境监测机构完成。监控内容及频率见下表。</w:t>
      </w:r>
    </w:p>
    <w:p w14:paraId="5DF7949E">
      <w:pPr>
        <w:pStyle w:val="72"/>
        <w:pageBreakBefore w:val="0"/>
        <w:widowControl w:val="0"/>
        <w:kinsoku/>
        <w:wordWrap/>
        <w:overflowPunct/>
        <w:topLinePunct w:val="0"/>
        <w:autoSpaceDE/>
        <w:autoSpaceDN/>
        <w:bidi w:val="0"/>
        <w:spacing w:line="520" w:lineRule="exact"/>
        <w:ind w:left="0" w:leftChars="0" w:firstLine="482" w:firstLineChars="200"/>
        <w:jc w:val="center"/>
        <w:textAlignment w:val="baseline"/>
        <w:rPr>
          <w:rFonts w:hint="eastAsia"/>
          <w:b/>
          <w:bCs/>
        </w:rPr>
      </w:pPr>
      <w:r>
        <w:rPr>
          <w:rFonts w:hint="eastAsia"/>
          <w:b/>
          <w:bCs/>
        </w:rPr>
        <w:t>表</w:t>
      </w:r>
      <w:r>
        <w:rPr>
          <w:rFonts w:hint="eastAsia"/>
          <w:b/>
          <w:bCs/>
          <w:lang w:val="en-US" w:eastAsia="zh-CN"/>
        </w:rPr>
        <w:t>9.3-1</w:t>
      </w:r>
      <w:r>
        <w:rPr>
          <w:rFonts w:hint="eastAsia"/>
          <w:b/>
          <w:bCs/>
        </w:rPr>
        <w:t xml:space="preserve">    工程营运期环境监测计划表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8"/>
        <w:gridCol w:w="2552"/>
        <w:gridCol w:w="3262"/>
        <w:gridCol w:w="1677"/>
      </w:tblGrid>
      <w:tr w14:paraId="43085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tcMar>
              <w:top w:w="0" w:type="dxa"/>
              <w:left w:w="28" w:type="dxa"/>
              <w:bottom w:w="0" w:type="dxa"/>
              <w:right w:w="28" w:type="dxa"/>
            </w:tcMar>
            <w:vAlign w:val="center"/>
          </w:tcPr>
          <w:p w14:paraId="463FC31E">
            <w:pPr>
              <w:pStyle w:val="81"/>
              <w:rPr>
                <w:color w:val="auto"/>
              </w:rPr>
            </w:pPr>
            <w:r>
              <w:rPr>
                <w:color w:val="auto"/>
              </w:rPr>
              <w:t>污染源</w:t>
            </w:r>
          </w:p>
        </w:tc>
        <w:tc>
          <w:tcPr>
            <w:tcW w:w="2552" w:type="dxa"/>
            <w:tcMar>
              <w:top w:w="0" w:type="dxa"/>
              <w:left w:w="28" w:type="dxa"/>
              <w:bottom w:w="0" w:type="dxa"/>
              <w:right w:w="28" w:type="dxa"/>
            </w:tcMar>
            <w:vAlign w:val="center"/>
          </w:tcPr>
          <w:p w14:paraId="172D23E7">
            <w:pPr>
              <w:pStyle w:val="81"/>
              <w:rPr>
                <w:color w:val="auto"/>
              </w:rPr>
            </w:pPr>
            <w:r>
              <w:rPr>
                <w:color w:val="auto"/>
              </w:rPr>
              <w:t>监测点</w:t>
            </w:r>
          </w:p>
        </w:tc>
        <w:tc>
          <w:tcPr>
            <w:tcW w:w="3262" w:type="dxa"/>
            <w:tcMar>
              <w:top w:w="0" w:type="dxa"/>
              <w:left w:w="28" w:type="dxa"/>
              <w:bottom w:w="0" w:type="dxa"/>
              <w:right w:w="28" w:type="dxa"/>
            </w:tcMar>
            <w:vAlign w:val="center"/>
          </w:tcPr>
          <w:p w14:paraId="39C70BC4">
            <w:pPr>
              <w:pStyle w:val="81"/>
              <w:rPr>
                <w:color w:val="auto"/>
              </w:rPr>
            </w:pPr>
            <w:r>
              <w:rPr>
                <w:color w:val="auto"/>
              </w:rPr>
              <w:t>监测项目</w:t>
            </w:r>
          </w:p>
        </w:tc>
        <w:tc>
          <w:tcPr>
            <w:tcW w:w="1677" w:type="dxa"/>
            <w:tcMar>
              <w:top w:w="0" w:type="dxa"/>
              <w:left w:w="28" w:type="dxa"/>
              <w:bottom w:w="0" w:type="dxa"/>
              <w:right w:w="28" w:type="dxa"/>
            </w:tcMar>
            <w:vAlign w:val="center"/>
          </w:tcPr>
          <w:p w14:paraId="241B368C">
            <w:pPr>
              <w:pStyle w:val="81"/>
              <w:rPr>
                <w:color w:val="auto"/>
              </w:rPr>
            </w:pPr>
            <w:r>
              <w:rPr>
                <w:color w:val="auto"/>
              </w:rPr>
              <w:t>监测计划</w:t>
            </w:r>
          </w:p>
        </w:tc>
      </w:tr>
      <w:tr w14:paraId="141C6E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restart"/>
            <w:tcMar>
              <w:top w:w="0" w:type="dxa"/>
              <w:left w:w="28" w:type="dxa"/>
              <w:bottom w:w="0" w:type="dxa"/>
              <w:right w:w="28" w:type="dxa"/>
            </w:tcMar>
            <w:vAlign w:val="center"/>
          </w:tcPr>
          <w:p w14:paraId="314866B3">
            <w:pPr>
              <w:pStyle w:val="75"/>
              <w:rPr>
                <w:kern w:val="2"/>
              </w:rPr>
            </w:pPr>
            <w:r>
              <w:t>废气</w:t>
            </w:r>
          </w:p>
        </w:tc>
        <w:tc>
          <w:tcPr>
            <w:tcW w:w="2552" w:type="dxa"/>
            <w:tcMar>
              <w:top w:w="0" w:type="dxa"/>
              <w:left w:w="28" w:type="dxa"/>
              <w:bottom w:w="0" w:type="dxa"/>
              <w:right w:w="28" w:type="dxa"/>
            </w:tcMar>
            <w:vAlign w:val="center"/>
          </w:tcPr>
          <w:p w14:paraId="4198A7C3">
            <w:pPr>
              <w:pStyle w:val="75"/>
              <w:rPr>
                <w:kern w:val="2"/>
              </w:rPr>
            </w:pPr>
            <w:r>
              <w:rPr>
                <w:rFonts w:hint="eastAsia"/>
              </w:rPr>
              <w:t>排气筒D</w:t>
            </w:r>
            <w:r>
              <w:t>A</w:t>
            </w:r>
            <w:r>
              <w:rPr>
                <w:rFonts w:hint="eastAsia"/>
              </w:rPr>
              <w:t>001</w:t>
            </w:r>
          </w:p>
        </w:tc>
        <w:tc>
          <w:tcPr>
            <w:tcW w:w="3262" w:type="dxa"/>
            <w:tcMar>
              <w:top w:w="0" w:type="dxa"/>
              <w:left w:w="28" w:type="dxa"/>
              <w:bottom w:w="0" w:type="dxa"/>
              <w:right w:w="28" w:type="dxa"/>
            </w:tcMar>
            <w:vAlign w:val="center"/>
          </w:tcPr>
          <w:p w14:paraId="1868A94D">
            <w:pPr>
              <w:pStyle w:val="75"/>
              <w:rPr>
                <w:kern w:val="2"/>
              </w:rPr>
            </w:pPr>
            <w:r>
              <w:rPr>
                <w:rFonts w:hint="eastAsia"/>
              </w:rPr>
              <w:t>废气量，硫酸雾</w:t>
            </w:r>
          </w:p>
        </w:tc>
        <w:tc>
          <w:tcPr>
            <w:tcW w:w="1677" w:type="dxa"/>
            <w:vMerge w:val="restart"/>
            <w:tcMar>
              <w:top w:w="0" w:type="dxa"/>
              <w:left w:w="28" w:type="dxa"/>
              <w:bottom w:w="0" w:type="dxa"/>
              <w:right w:w="28" w:type="dxa"/>
            </w:tcMar>
            <w:vAlign w:val="center"/>
          </w:tcPr>
          <w:p w14:paraId="0233B110">
            <w:pPr>
              <w:pStyle w:val="75"/>
              <w:rPr>
                <w:kern w:val="2"/>
              </w:rPr>
            </w:pPr>
            <w:r>
              <w:t>1次/半年</w:t>
            </w:r>
          </w:p>
        </w:tc>
      </w:tr>
      <w:tr w14:paraId="15ECE1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21BDA8DA">
            <w:pPr>
              <w:pStyle w:val="75"/>
            </w:pPr>
          </w:p>
        </w:tc>
        <w:tc>
          <w:tcPr>
            <w:tcW w:w="2552" w:type="dxa"/>
            <w:tcMar>
              <w:top w:w="0" w:type="dxa"/>
              <w:left w:w="28" w:type="dxa"/>
              <w:bottom w:w="0" w:type="dxa"/>
              <w:right w:w="28" w:type="dxa"/>
            </w:tcMar>
            <w:vAlign w:val="center"/>
          </w:tcPr>
          <w:p w14:paraId="04036E65">
            <w:pPr>
              <w:pStyle w:val="75"/>
              <w:rPr>
                <w:kern w:val="2"/>
              </w:rPr>
            </w:pPr>
            <w:r>
              <w:rPr>
                <w:rFonts w:hint="eastAsia"/>
              </w:rPr>
              <w:t>排气筒D</w:t>
            </w:r>
            <w:r>
              <w:t>A</w:t>
            </w:r>
            <w:r>
              <w:rPr>
                <w:rFonts w:hint="eastAsia"/>
              </w:rPr>
              <w:t>002</w:t>
            </w:r>
          </w:p>
        </w:tc>
        <w:tc>
          <w:tcPr>
            <w:tcW w:w="3262" w:type="dxa"/>
            <w:tcMar>
              <w:top w:w="0" w:type="dxa"/>
              <w:left w:w="28" w:type="dxa"/>
              <w:bottom w:w="0" w:type="dxa"/>
              <w:right w:w="28" w:type="dxa"/>
            </w:tcMar>
            <w:vAlign w:val="center"/>
          </w:tcPr>
          <w:p w14:paraId="12AEB8D7">
            <w:pPr>
              <w:pStyle w:val="75"/>
              <w:rPr>
                <w:kern w:val="2"/>
              </w:rPr>
            </w:pPr>
            <w:r>
              <w:rPr>
                <w:rFonts w:hint="eastAsia"/>
              </w:rPr>
              <w:t>废气量，硫酸雾</w:t>
            </w:r>
          </w:p>
        </w:tc>
        <w:tc>
          <w:tcPr>
            <w:tcW w:w="1677" w:type="dxa"/>
            <w:vMerge w:val="continue"/>
            <w:tcMar>
              <w:top w:w="0" w:type="dxa"/>
              <w:left w:w="28" w:type="dxa"/>
              <w:bottom w:w="0" w:type="dxa"/>
              <w:right w:w="28" w:type="dxa"/>
            </w:tcMar>
            <w:vAlign w:val="center"/>
          </w:tcPr>
          <w:p w14:paraId="53F5C0A8">
            <w:pPr>
              <w:pStyle w:val="75"/>
            </w:pPr>
          </w:p>
        </w:tc>
      </w:tr>
      <w:tr w14:paraId="25FBE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3BA0FC20">
            <w:pPr>
              <w:pStyle w:val="75"/>
            </w:pPr>
          </w:p>
        </w:tc>
        <w:tc>
          <w:tcPr>
            <w:tcW w:w="2552" w:type="dxa"/>
            <w:tcMar>
              <w:top w:w="0" w:type="dxa"/>
              <w:left w:w="28" w:type="dxa"/>
              <w:bottom w:w="0" w:type="dxa"/>
              <w:right w:w="28" w:type="dxa"/>
            </w:tcMar>
            <w:vAlign w:val="center"/>
          </w:tcPr>
          <w:p w14:paraId="29F53D9B">
            <w:pPr>
              <w:pStyle w:val="75"/>
              <w:rPr>
                <w:kern w:val="2"/>
              </w:rPr>
            </w:pPr>
            <w:r>
              <w:rPr>
                <w:rFonts w:hint="eastAsia"/>
              </w:rPr>
              <w:t>排气筒D</w:t>
            </w:r>
            <w:r>
              <w:t>A</w:t>
            </w:r>
            <w:r>
              <w:rPr>
                <w:rFonts w:hint="eastAsia"/>
              </w:rPr>
              <w:t>003</w:t>
            </w:r>
          </w:p>
        </w:tc>
        <w:tc>
          <w:tcPr>
            <w:tcW w:w="3262" w:type="dxa"/>
            <w:tcMar>
              <w:top w:w="0" w:type="dxa"/>
              <w:left w:w="28" w:type="dxa"/>
              <w:bottom w:w="0" w:type="dxa"/>
              <w:right w:w="28" w:type="dxa"/>
            </w:tcMar>
            <w:vAlign w:val="center"/>
          </w:tcPr>
          <w:p w14:paraId="40491EF4">
            <w:pPr>
              <w:pStyle w:val="75"/>
              <w:rPr>
                <w:kern w:val="2"/>
              </w:rPr>
            </w:pPr>
            <w:r>
              <w:rPr>
                <w:rFonts w:hint="eastAsia"/>
              </w:rPr>
              <w:t>废气量，硫酸雾</w:t>
            </w:r>
          </w:p>
        </w:tc>
        <w:tc>
          <w:tcPr>
            <w:tcW w:w="1677" w:type="dxa"/>
            <w:vMerge w:val="continue"/>
            <w:tcMar>
              <w:top w:w="0" w:type="dxa"/>
              <w:left w:w="28" w:type="dxa"/>
              <w:bottom w:w="0" w:type="dxa"/>
              <w:right w:w="28" w:type="dxa"/>
            </w:tcMar>
            <w:vAlign w:val="center"/>
          </w:tcPr>
          <w:p w14:paraId="50354098">
            <w:pPr>
              <w:pStyle w:val="75"/>
            </w:pPr>
          </w:p>
        </w:tc>
      </w:tr>
      <w:tr w14:paraId="423F4F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17F0F2B1">
            <w:pPr>
              <w:pStyle w:val="75"/>
            </w:pPr>
          </w:p>
        </w:tc>
        <w:tc>
          <w:tcPr>
            <w:tcW w:w="2552" w:type="dxa"/>
            <w:tcMar>
              <w:top w:w="0" w:type="dxa"/>
              <w:left w:w="28" w:type="dxa"/>
              <w:bottom w:w="0" w:type="dxa"/>
              <w:right w:w="28" w:type="dxa"/>
            </w:tcMar>
            <w:vAlign w:val="center"/>
          </w:tcPr>
          <w:p w14:paraId="119B2CD9">
            <w:pPr>
              <w:pStyle w:val="75"/>
              <w:rPr>
                <w:rFonts w:hint="eastAsia" w:eastAsia="宋体"/>
                <w:lang w:eastAsia="zh-CN"/>
              </w:rPr>
            </w:pPr>
            <w:r>
              <w:rPr>
                <w:rFonts w:hint="eastAsia"/>
              </w:rPr>
              <w:t>排气筒D</w:t>
            </w:r>
            <w:r>
              <w:t>A</w:t>
            </w:r>
            <w:r>
              <w:rPr>
                <w:rFonts w:hint="eastAsia"/>
              </w:rPr>
              <w:t>00</w:t>
            </w:r>
            <w:r>
              <w:rPr>
                <w:rFonts w:hint="eastAsia"/>
                <w:lang w:val="en-US" w:eastAsia="zh-CN"/>
              </w:rPr>
              <w:t>4</w:t>
            </w:r>
          </w:p>
        </w:tc>
        <w:tc>
          <w:tcPr>
            <w:tcW w:w="3262" w:type="dxa"/>
            <w:tcMar>
              <w:top w:w="0" w:type="dxa"/>
              <w:left w:w="28" w:type="dxa"/>
              <w:bottom w:w="0" w:type="dxa"/>
              <w:right w:w="28" w:type="dxa"/>
            </w:tcMar>
            <w:vAlign w:val="center"/>
          </w:tcPr>
          <w:p w14:paraId="09142B52">
            <w:pPr>
              <w:pStyle w:val="75"/>
            </w:pPr>
            <w:r>
              <w:rPr>
                <w:rFonts w:hint="eastAsia"/>
              </w:rPr>
              <w:t>氨、硫化氢、臭气浓度</w:t>
            </w:r>
          </w:p>
        </w:tc>
        <w:tc>
          <w:tcPr>
            <w:tcW w:w="1677" w:type="dxa"/>
            <w:tcMar>
              <w:top w:w="0" w:type="dxa"/>
              <w:left w:w="28" w:type="dxa"/>
              <w:bottom w:w="0" w:type="dxa"/>
              <w:right w:w="28" w:type="dxa"/>
            </w:tcMar>
            <w:vAlign w:val="center"/>
          </w:tcPr>
          <w:p w14:paraId="65CE9BE3">
            <w:pPr>
              <w:pStyle w:val="75"/>
            </w:pPr>
            <w:r>
              <w:t>1次/年</w:t>
            </w:r>
          </w:p>
        </w:tc>
      </w:tr>
      <w:tr w14:paraId="146CA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04CD9A5F">
            <w:pPr>
              <w:pStyle w:val="75"/>
            </w:pPr>
          </w:p>
        </w:tc>
        <w:tc>
          <w:tcPr>
            <w:tcW w:w="2552" w:type="dxa"/>
            <w:tcMar>
              <w:top w:w="0" w:type="dxa"/>
              <w:left w:w="28" w:type="dxa"/>
              <w:bottom w:w="0" w:type="dxa"/>
              <w:right w:w="28" w:type="dxa"/>
            </w:tcMar>
            <w:vAlign w:val="center"/>
          </w:tcPr>
          <w:p w14:paraId="5EA7EE46">
            <w:pPr>
              <w:pStyle w:val="75"/>
            </w:pPr>
            <w:r>
              <w:rPr>
                <w:rFonts w:hint="eastAsia"/>
              </w:rPr>
              <w:t>厂界无组织废气</w:t>
            </w:r>
          </w:p>
        </w:tc>
        <w:tc>
          <w:tcPr>
            <w:tcW w:w="3262" w:type="dxa"/>
            <w:tcMar>
              <w:top w:w="0" w:type="dxa"/>
              <w:left w:w="28" w:type="dxa"/>
              <w:bottom w:w="0" w:type="dxa"/>
              <w:right w:w="28" w:type="dxa"/>
            </w:tcMar>
            <w:vAlign w:val="center"/>
          </w:tcPr>
          <w:p w14:paraId="6B6CE35F">
            <w:pPr>
              <w:pStyle w:val="75"/>
            </w:pPr>
            <w:r>
              <w:rPr>
                <w:rFonts w:hint="eastAsia"/>
              </w:rPr>
              <w:t>硫酸雾、氨、硫化氢、臭气浓度</w:t>
            </w:r>
          </w:p>
        </w:tc>
        <w:tc>
          <w:tcPr>
            <w:tcW w:w="1677" w:type="dxa"/>
            <w:tcMar>
              <w:top w:w="0" w:type="dxa"/>
              <w:left w:w="28" w:type="dxa"/>
              <w:bottom w:w="0" w:type="dxa"/>
              <w:right w:w="28" w:type="dxa"/>
            </w:tcMar>
            <w:vAlign w:val="center"/>
          </w:tcPr>
          <w:p w14:paraId="4B5B9B96">
            <w:pPr>
              <w:pStyle w:val="75"/>
            </w:pPr>
            <w:r>
              <w:t>1次/年</w:t>
            </w:r>
          </w:p>
        </w:tc>
      </w:tr>
      <w:tr w14:paraId="343196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restart"/>
            <w:tcMar>
              <w:top w:w="0" w:type="dxa"/>
              <w:left w:w="28" w:type="dxa"/>
              <w:bottom w:w="0" w:type="dxa"/>
              <w:right w:w="28" w:type="dxa"/>
            </w:tcMar>
            <w:vAlign w:val="center"/>
          </w:tcPr>
          <w:p w14:paraId="287D71A3">
            <w:pPr>
              <w:pStyle w:val="75"/>
            </w:pPr>
            <w:r>
              <w:rPr>
                <w:rFonts w:hint="eastAsia"/>
                <w:kern w:val="2"/>
              </w:rPr>
              <w:t>废水</w:t>
            </w:r>
          </w:p>
        </w:tc>
        <w:tc>
          <w:tcPr>
            <w:tcW w:w="2552" w:type="dxa"/>
            <w:vMerge w:val="restart"/>
            <w:tcMar>
              <w:top w:w="0" w:type="dxa"/>
              <w:left w:w="28" w:type="dxa"/>
              <w:bottom w:w="0" w:type="dxa"/>
              <w:right w:w="28" w:type="dxa"/>
            </w:tcMar>
            <w:vAlign w:val="center"/>
          </w:tcPr>
          <w:p w14:paraId="6F7D3EC6">
            <w:pPr>
              <w:pStyle w:val="75"/>
              <w:rPr>
                <w:bCs/>
              </w:rPr>
            </w:pPr>
            <w:r>
              <w:rPr>
                <w:bCs/>
              </w:rPr>
              <w:t>厂区总排口</w:t>
            </w:r>
          </w:p>
        </w:tc>
        <w:tc>
          <w:tcPr>
            <w:tcW w:w="3262" w:type="dxa"/>
            <w:tcMar>
              <w:top w:w="0" w:type="dxa"/>
              <w:left w:w="28" w:type="dxa"/>
              <w:bottom w:w="0" w:type="dxa"/>
              <w:right w:w="28" w:type="dxa"/>
            </w:tcMar>
            <w:vAlign w:val="center"/>
          </w:tcPr>
          <w:p w14:paraId="32DE137D">
            <w:pPr>
              <w:pStyle w:val="75"/>
              <w:rPr>
                <w:bCs/>
              </w:rPr>
            </w:pPr>
            <w:r>
              <w:rPr>
                <w:rFonts w:hint="eastAsia"/>
                <w:bCs/>
              </w:rPr>
              <w:t>流量</w:t>
            </w:r>
          </w:p>
        </w:tc>
        <w:tc>
          <w:tcPr>
            <w:tcW w:w="1677" w:type="dxa"/>
            <w:tcMar>
              <w:top w:w="0" w:type="dxa"/>
              <w:left w:w="28" w:type="dxa"/>
              <w:bottom w:w="0" w:type="dxa"/>
              <w:right w:w="28" w:type="dxa"/>
            </w:tcMar>
            <w:vAlign w:val="center"/>
          </w:tcPr>
          <w:p w14:paraId="0C9E6912">
            <w:pPr>
              <w:pStyle w:val="75"/>
              <w:rPr>
                <w:bCs/>
                <w:highlight w:val="yellow"/>
              </w:rPr>
            </w:pPr>
            <w:r>
              <w:rPr>
                <w:rFonts w:hint="eastAsia"/>
                <w:bCs/>
              </w:rPr>
              <w:t>自动监测</w:t>
            </w:r>
          </w:p>
        </w:tc>
      </w:tr>
      <w:tr w14:paraId="4A84F7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7FD97525">
            <w:pPr>
              <w:pStyle w:val="75"/>
              <w:rPr>
                <w:kern w:val="2"/>
              </w:rPr>
            </w:pPr>
          </w:p>
        </w:tc>
        <w:tc>
          <w:tcPr>
            <w:tcW w:w="2552" w:type="dxa"/>
            <w:vMerge w:val="continue"/>
            <w:tcMar>
              <w:top w:w="0" w:type="dxa"/>
              <w:left w:w="28" w:type="dxa"/>
              <w:bottom w:w="0" w:type="dxa"/>
              <w:right w:w="28" w:type="dxa"/>
            </w:tcMar>
            <w:vAlign w:val="center"/>
          </w:tcPr>
          <w:p w14:paraId="54701C3A">
            <w:pPr>
              <w:pStyle w:val="75"/>
              <w:rPr>
                <w:bCs/>
              </w:rPr>
            </w:pPr>
          </w:p>
        </w:tc>
        <w:tc>
          <w:tcPr>
            <w:tcW w:w="3262" w:type="dxa"/>
            <w:tcMar>
              <w:top w:w="0" w:type="dxa"/>
              <w:left w:w="28" w:type="dxa"/>
              <w:bottom w:w="0" w:type="dxa"/>
              <w:right w:w="28" w:type="dxa"/>
            </w:tcMar>
            <w:vAlign w:val="center"/>
          </w:tcPr>
          <w:p w14:paraId="6BF7CCC9">
            <w:pPr>
              <w:pStyle w:val="75"/>
              <w:rPr>
                <w:bCs/>
              </w:rPr>
            </w:pPr>
            <w:r>
              <w:rPr>
                <w:rFonts w:hint="eastAsia"/>
                <w:bCs/>
              </w:rPr>
              <w:t>pH、</w:t>
            </w:r>
            <w:r>
              <w:rPr>
                <w:bCs/>
              </w:rPr>
              <w:t>COD</w:t>
            </w:r>
            <w:r>
              <w:rPr>
                <w:rFonts w:hint="eastAsia"/>
                <w:bCs/>
              </w:rPr>
              <w:t>、</w:t>
            </w:r>
            <w:r>
              <w:rPr>
                <w:bCs/>
              </w:rPr>
              <w:t>总磷</w:t>
            </w:r>
            <w:r>
              <w:rPr>
                <w:rFonts w:hint="eastAsia"/>
                <w:bCs/>
              </w:rPr>
              <w:t>、总镍、总铬</w:t>
            </w:r>
          </w:p>
        </w:tc>
        <w:tc>
          <w:tcPr>
            <w:tcW w:w="1677" w:type="dxa"/>
            <w:tcMar>
              <w:top w:w="0" w:type="dxa"/>
              <w:left w:w="28" w:type="dxa"/>
              <w:bottom w:w="0" w:type="dxa"/>
              <w:right w:w="28" w:type="dxa"/>
            </w:tcMar>
            <w:vAlign w:val="center"/>
          </w:tcPr>
          <w:p w14:paraId="1C78348E">
            <w:pPr>
              <w:pStyle w:val="75"/>
              <w:rPr>
                <w:bCs/>
              </w:rPr>
            </w:pPr>
            <w:r>
              <w:rPr>
                <w:bCs/>
              </w:rPr>
              <w:t>1次/</w:t>
            </w:r>
            <w:r>
              <w:rPr>
                <w:rFonts w:hint="eastAsia"/>
                <w:bCs/>
              </w:rPr>
              <w:t>日</w:t>
            </w:r>
          </w:p>
        </w:tc>
      </w:tr>
      <w:tr w14:paraId="12C68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5A2623A3">
            <w:pPr>
              <w:pStyle w:val="75"/>
              <w:rPr>
                <w:kern w:val="2"/>
              </w:rPr>
            </w:pPr>
          </w:p>
        </w:tc>
        <w:tc>
          <w:tcPr>
            <w:tcW w:w="2552" w:type="dxa"/>
            <w:vMerge w:val="continue"/>
            <w:tcMar>
              <w:top w:w="0" w:type="dxa"/>
              <w:left w:w="28" w:type="dxa"/>
              <w:bottom w:w="0" w:type="dxa"/>
              <w:right w:w="28" w:type="dxa"/>
            </w:tcMar>
            <w:vAlign w:val="center"/>
          </w:tcPr>
          <w:p w14:paraId="04321596">
            <w:pPr>
              <w:pStyle w:val="75"/>
              <w:rPr>
                <w:bCs/>
              </w:rPr>
            </w:pPr>
          </w:p>
        </w:tc>
        <w:tc>
          <w:tcPr>
            <w:tcW w:w="3262" w:type="dxa"/>
            <w:tcMar>
              <w:top w:w="0" w:type="dxa"/>
              <w:left w:w="28" w:type="dxa"/>
              <w:bottom w:w="0" w:type="dxa"/>
              <w:right w:w="28" w:type="dxa"/>
            </w:tcMar>
            <w:vAlign w:val="center"/>
          </w:tcPr>
          <w:p w14:paraId="1072C827">
            <w:pPr>
              <w:pStyle w:val="75"/>
              <w:rPr>
                <w:bCs/>
              </w:rPr>
            </w:pPr>
            <w:r>
              <w:rPr>
                <w:bCs/>
              </w:rPr>
              <w:t>氨氮</w:t>
            </w:r>
            <w:r>
              <w:rPr>
                <w:rFonts w:hint="eastAsia"/>
                <w:bCs/>
              </w:rPr>
              <w:t>、S</w:t>
            </w:r>
            <w:r>
              <w:rPr>
                <w:bCs/>
              </w:rPr>
              <w:t>S</w:t>
            </w:r>
            <w:r>
              <w:rPr>
                <w:rFonts w:hint="eastAsia"/>
                <w:bCs/>
              </w:rPr>
              <w:t>、总氮</w:t>
            </w:r>
          </w:p>
        </w:tc>
        <w:tc>
          <w:tcPr>
            <w:tcW w:w="1677" w:type="dxa"/>
            <w:tcMar>
              <w:top w:w="0" w:type="dxa"/>
              <w:left w:w="28" w:type="dxa"/>
              <w:bottom w:w="0" w:type="dxa"/>
              <w:right w:w="28" w:type="dxa"/>
            </w:tcMar>
            <w:vAlign w:val="center"/>
          </w:tcPr>
          <w:p w14:paraId="1E753D89">
            <w:pPr>
              <w:pStyle w:val="75"/>
              <w:rPr>
                <w:bCs/>
              </w:rPr>
            </w:pPr>
            <w:r>
              <w:rPr>
                <w:bCs/>
              </w:rPr>
              <w:t>1次</w:t>
            </w:r>
            <w:r>
              <w:rPr>
                <w:rFonts w:hint="eastAsia"/>
                <w:bCs/>
              </w:rPr>
              <w:t>/月</w:t>
            </w:r>
          </w:p>
        </w:tc>
      </w:tr>
      <w:tr w14:paraId="24C11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6D55771D">
            <w:pPr>
              <w:pStyle w:val="75"/>
            </w:pPr>
          </w:p>
        </w:tc>
        <w:tc>
          <w:tcPr>
            <w:tcW w:w="2552" w:type="dxa"/>
            <w:vMerge w:val="restart"/>
            <w:tcMar>
              <w:top w:w="0" w:type="dxa"/>
              <w:left w:w="28" w:type="dxa"/>
              <w:bottom w:w="0" w:type="dxa"/>
              <w:right w:w="28" w:type="dxa"/>
            </w:tcMar>
            <w:vAlign w:val="center"/>
          </w:tcPr>
          <w:p w14:paraId="02C774F2">
            <w:pPr>
              <w:pStyle w:val="75"/>
              <w:rPr>
                <w:bCs/>
              </w:rPr>
            </w:pPr>
            <w:r>
              <w:rPr>
                <w:bCs/>
              </w:rPr>
              <w:t>含铬废水出水口</w:t>
            </w:r>
          </w:p>
        </w:tc>
        <w:tc>
          <w:tcPr>
            <w:tcW w:w="3262" w:type="dxa"/>
            <w:tcMar>
              <w:top w:w="0" w:type="dxa"/>
              <w:left w:w="28" w:type="dxa"/>
              <w:bottom w:w="0" w:type="dxa"/>
              <w:right w:w="28" w:type="dxa"/>
            </w:tcMar>
            <w:vAlign w:val="center"/>
          </w:tcPr>
          <w:p w14:paraId="38DE207C">
            <w:pPr>
              <w:pStyle w:val="75"/>
              <w:rPr>
                <w:bCs/>
              </w:rPr>
            </w:pPr>
            <w:r>
              <w:rPr>
                <w:rFonts w:hint="eastAsia"/>
                <w:bCs/>
              </w:rPr>
              <w:t>流量</w:t>
            </w:r>
          </w:p>
        </w:tc>
        <w:tc>
          <w:tcPr>
            <w:tcW w:w="1677" w:type="dxa"/>
            <w:tcMar>
              <w:top w:w="0" w:type="dxa"/>
              <w:left w:w="28" w:type="dxa"/>
              <w:bottom w:w="0" w:type="dxa"/>
              <w:right w:w="28" w:type="dxa"/>
            </w:tcMar>
            <w:vAlign w:val="center"/>
          </w:tcPr>
          <w:p w14:paraId="3C911435">
            <w:pPr>
              <w:pStyle w:val="75"/>
              <w:rPr>
                <w:bCs/>
              </w:rPr>
            </w:pPr>
            <w:r>
              <w:rPr>
                <w:rFonts w:hint="eastAsia"/>
                <w:bCs/>
              </w:rPr>
              <w:t>自动监测</w:t>
            </w:r>
          </w:p>
        </w:tc>
      </w:tr>
      <w:tr w14:paraId="076873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1F0DAAA4">
            <w:pPr>
              <w:pStyle w:val="75"/>
            </w:pPr>
          </w:p>
        </w:tc>
        <w:tc>
          <w:tcPr>
            <w:tcW w:w="2552" w:type="dxa"/>
            <w:vMerge w:val="continue"/>
            <w:tcMar>
              <w:top w:w="0" w:type="dxa"/>
              <w:left w:w="28" w:type="dxa"/>
              <w:bottom w:w="0" w:type="dxa"/>
              <w:right w:w="28" w:type="dxa"/>
            </w:tcMar>
            <w:vAlign w:val="center"/>
          </w:tcPr>
          <w:p w14:paraId="6A5818DD">
            <w:pPr>
              <w:pStyle w:val="75"/>
              <w:rPr>
                <w:bCs/>
              </w:rPr>
            </w:pPr>
          </w:p>
        </w:tc>
        <w:tc>
          <w:tcPr>
            <w:tcW w:w="3262" w:type="dxa"/>
            <w:tcMar>
              <w:top w:w="0" w:type="dxa"/>
              <w:left w:w="28" w:type="dxa"/>
              <w:bottom w:w="0" w:type="dxa"/>
              <w:right w:w="28" w:type="dxa"/>
            </w:tcMar>
            <w:vAlign w:val="center"/>
          </w:tcPr>
          <w:p w14:paraId="50BEB478">
            <w:pPr>
              <w:pStyle w:val="75"/>
              <w:rPr>
                <w:bCs/>
              </w:rPr>
            </w:pPr>
            <w:r>
              <w:rPr>
                <w:rFonts w:hint="eastAsia"/>
                <w:bCs/>
              </w:rPr>
              <w:t>总铬</w:t>
            </w:r>
          </w:p>
        </w:tc>
        <w:tc>
          <w:tcPr>
            <w:tcW w:w="1677" w:type="dxa"/>
            <w:tcMar>
              <w:top w:w="0" w:type="dxa"/>
              <w:left w:w="28" w:type="dxa"/>
              <w:bottom w:w="0" w:type="dxa"/>
              <w:right w:w="28" w:type="dxa"/>
            </w:tcMar>
            <w:vAlign w:val="center"/>
          </w:tcPr>
          <w:p w14:paraId="3F1E45CC">
            <w:pPr>
              <w:pStyle w:val="75"/>
              <w:rPr>
                <w:bCs/>
              </w:rPr>
            </w:pPr>
            <w:r>
              <w:rPr>
                <w:bCs/>
              </w:rPr>
              <w:t>1次/</w:t>
            </w:r>
            <w:r>
              <w:rPr>
                <w:rFonts w:hint="eastAsia"/>
                <w:bCs/>
              </w:rPr>
              <w:t>日</w:t>
            </w:r>
          </w:p>
        </w:tc>
      </w:tr>
      <w:tr w14:paraId="037BA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4D29D7FC">
            <w:pPr>
              <w:pStyle w:val="75"/>
            </w:pPr>
          </w:p>
        </w:tc>
        <w:tc>
          <w:tcPr>
            <w:tcW w:w="2552" w:type="dxa"/>
            <w:vMerge w:val="restart"/>
            <w:tcMar>
              <w:top w:w="0" w:type="dxa"/>
              <w:left w:w="28" w:type="dxa"/>
              <w:bottom w:w="0" w:type="dxa"/>
              <w:right w:w="28" w:type="dxa"/>
            </w:tcMar>
            <w:vAlign w:val="center"/>
          </w:tcPr>
          <w:p w14:paraId="594FC439">
            <w:pPr>
              <w:pStyle w:val="75"/>
              <w:rPr>
                <w:bCs/>
              </w:rPr>
            </w:pPr>
            <w:r>
              <w:rPr>
                <w:bCs/>
              </w:rPr>
              <w:t>含镍废水出水口</w:t>
            </w:r>
          </w:p>
        </w:tc>
        <w:tc>
          <w:tcPr>
            <w:tcW w:w="3262" w:type="dxa"/>
            <w:tcMar>
              <w:top w:w="0" w:type="dxa"/>
              <w:left w:w="28" w:type="dxa"/>
              <w:bottom w:w="0" w:type="dxa"/>
              <w:right w:w="28" w:type="dxa"/>
            </w:tcMar>
            <w:vAlign w:val="center"/>
          </w:tcPr>
          <w:p w14:paraId="6427AB34">
            <w:pPr>
              <w:pStyle w:val="75"/>
              <w:rPr>
                <w:bCs/>
              </w:rPr>
            </w:pPr>
            <w:r>
              <w:rPr>
                <w:rFonts w:hint="eastAsia"/>
                <w:bCs/>
              </w:rPr>
              <w:t>流量</w:t>
            </w:r>
          </w:p>
        </w:tc>
        <w:tc>
          <w:tcPr>
            <w:tcW w:w="1677" w:type="dxa"/>
            <w:tcMar>
              <w:top w:w="0" w:type="dxa"/>
              <w:left w:w="28" w:type="dxa"/>
              <w:bottom w:w="0" w:type="dxa"/>
              <w:right w:w="28" w:type="dxa"/>
            </w:tcMar>
            <w:vAlign w:val="center"/>
          </w:tcPr>
          <w:p w14:paraId="60DFC454">
            <w:pPr>
              <w:pStyle w:val="75"/>
              <w:rPr>
                <w:bCs/>
              </w:rPr>
            </w:pPr>
            <w:r>
              <w:rPr>
                <w:rFonts w:hint="eastAsia"/>
                <w:bCs/>
              </w:rPr>
              <w:t>自动监测</w:t>
            </w:r>
          </w:p>
        </w:tc>
      </w:tr>
      <w:tr w14:paraId="7D821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3ABE98D3">
            <w:pPr>
              <w:pStyle w:val="75"/>
            </w:pPr>
          </w:p>
        </w:tc>
        <w:tc>
          <w:tcPr>
            <w:tcW w:w="2552" w:type="dxa"/>
            <w:vMerge w:val="continue"/>
            <w:tcMar>
              <w:top w:w="0" w:type="dxa"/>
              <w:left w:w="28" w:type="dxa"/>
              <w:bottom w:w="0" w:type="dxa"/>
              <w:right w:w="28" w:type="dxa"/>
            </w:tcMar>
            <w:vAlign w:val="center"/>
          </w:tcPr>
          <w:p w14:paraId="3CF9A7E0">
            <w:pPr>
              <w:pStyle w:val="75"/>
              <w:rPr>
                <w:bCs/>
              </w:rPr>
            </w:pPr>
          </w:p>
        </w:tc>
        <w:tc>
          <w:tcPr>
            <w:tcW w:w="3262" w:type="dxa"/>
            <w:tcMar>
              <w:top w:w="0" w:type="dxa"/>
              <w:left w:w="28" w:type="dxa"/>
              <w:bottom w:w="0" w:type="dxa"/>
              <w:right w:w="28" w:type="dxa"/>
            </w:tcMar>
            <w:vAlign w:val="center"/>
          </w:tcPr>
          <w:p w14:paraId="50AA1251">
            <w:pPr>
              <w:pStyle w:val="75"/>
              <w:rPr>
                <w:bCs/>
              </w:rPr>
            </w:pPr>
            <w:r>
              <w:rPr>
                <w:rFonts w:hint="eastAsia"/>
                <w:bCs/>
              </w:rPr>
              <w:t>总镍</w:t>
            </w:r>
          </w:p>
        </w:tc>
        <w:tc>
          <w:tcPr>
            <w:tcW w:w="1677" w:type="dxa"/>
            <w:tcMar>
              <w:top w:w="0" w:type="dxa"/>
              <w:left w:w="28" w:type="dxa"/>
              <w:bottom w:w="0" w:type="dxa"/>
              <w:right w:w="28" w:type="dxa"/>
            </w:tcMar>
            <w:vAlign w:val="center"/>
          </w:tcPr>
          <w:p w14:paraId="278D9461">
            <w:pPr>
              <w:pStyle w:val="75"/>
              <w:rPr>
                <w:bCs/>
              </w:rPr>
            </w:pPr>
            <w:r>
              <w:rPr>
                <w:bCs/>
              </w:rPr>
              <w:t>1次/</w:t>
            </w:r>
            <w:r>
              <w:rPr>
                <w:rFonts w:hint="eastAsia"/>
                <w:bCs/>
              </w:rPr>
              <w:t>日</w:t>
            </w:r>
          </w:p>
        </w:tc>
      </w:tr>
      <w:tr w14:paraId="2B8952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Merge w:val="continue"/>
            <w:tcMar>
              <w:top w:w="0" w:type="dxa"/>
              <w:left w:w="28" w:type="dxa"/>
              <w:bottom w:w="0" w:type="dxa"/>
              <w:right w:w="28" w:type="dxa"/>
            </w:tcMar>
            <w:vAlign w:val="center"/>
          </w:tcPr>
          <w:p w14:paraId="70477E6E">
            <w:pPr>
              <w:pStyle w:val="75"/>
            </w:pPr>
          </w:p>
        </w:tc>
        <w:tc>
          <w:tcPr>
            <w:tcW w:w="2552" w:type="dxa"/>
            <w:tcMar>
              <w:top w:w="0" w:type="dxa"/>
              <w:left w:w="28" w:type="dxa"/>
              <w:bottom w:w="0" w:type="dxa"/>
              <w:right w:w="28" w:type="dxa"/>
            </w:tcMar>
            <w:vAlign w:val="center"/>
          </w:tcPr>
          <w:p w14:paraId="01CA325C">
            <w:pPr>
              <w:pStyle w:val="75"/>
              <w:rPr>
                <w:bCs/>
              </w:rPr>
            </w:pPr>
            <w:r>
              <w:rPr>
                <w:rFonts w:hint="eastAsia"/>
                <w:bCs/>
              </w:rPr>
              <w:t>雨水排放口</w:t>
            </w:r>
          </w:p>
        </w:tc>
        <w:tc>
          <w:tcPr>
            <w:tcW w:w="3262" w:type="dxa"/>
            <w:tcMar>
              <w:top w:w="0" w:type="dxa"/>
              <w:left w:w="28" w:type="dxa"/>
              <w:bottom w:w="0" w:type="dxa"/>
              <w:right w:w="28" w:type="dxa"/>
            </w:tcMar>
            <w:vAlign w:val="center"/>
          </w:tcPr>
          <w:p w14:paraId="44FA9238">
            <w:pPr>
              <w:pStyle w:val="75"/>
              <w:rPr>
                <w:bCs/>
              </w:rPr>
            </w:pPr>
            <w:r>
              <w:rPr>
                <w:rFonts w:hint="eastAsia"/>
                <w:bCs/>
              </w:rPr>
              <w:t>pH、S</w:t>
            </w:r>
            <w:r>
              <w:rPr>
                <w:bCs/>
              </w:rPr>
              <w:t>S</w:t>
            </w:r>
          </w:p>
        </w:tc>
        <w:tc>
          <w:tcPr>
            <w:tcW w:w="1677" w:type="dxa"/>
            <w:tcMar>
              <w:top w:w="0" w:type="dxa"/>
              <w:left w:w="28" w:type="dxa"/>
              <w:bottom w:w="0" w:type="dxa"/>
              <w:right w:w="28" w:type="dxa"/>
            </w:tcMar>
            <w:vAlign w:val="center"/>
          </w:tcPr>
          <w:p w14:paraId="5BC83AEC">
            <w:pPr>
              <w:pStyle w:val="75"/>
              <w:rPr>
                <w:bCs/>
              </w:rPr>
            </w:pPr>
            <w:r>
              <w:rPr>
                <w:rFonts w:hint="eastAsia"/>
                <w:bCs/>
              </w:rPr>
              <w:t>有流动水排放时按日监测</w:t>
            </w:r>
          </w:p>
        </w:tc>
      </w:tr>
      <w:tr w14:paraId="23825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tcMar>
              <w:top w:w="0" w:type="dxa"/>
              <w:left w:w="28" w:type="dxa"/>
              <w:bottom w:w="0" w:type="dxa"/>
              <w:right w:w="28" w:type="dxa"/>
            </w:tcMar>
            <w:vAlign w:val="center"/>
          </w:tcPr>
          <w:p w14:paraId="02AF5822">
            <w:pPr>
              <w:pStyle w:val="75"/>
              <w:rPr>
                <w:kern w:val="2"/>
                <w:szCs w:val="18"/>
              </w:rPr>
            </w:pPr>
            <w:r>
              <w:rPr>
                <w:szCs w:val="18"/>
              </w:rPr>
              <w:t>地下水</w:t>
            </w:r>
          </w:p>
        </w:tc>
        <w:tc>
          <w:tcPr>
            <w:tcW w:w="2552" w:type="dxa"/>
            <w:tcMar>
              <w:top w:w="0" w:type="dxa"/>
              <w:left w:w="28" w:type="dxa"/>
              <w:bottom w:w="0" w:type="dxa"/>
              <w:right w:w="28" w:type="dxa"/>
            </w:tcMar>
            <w:vAlign w:val="center"/>
          </w:tcPr>
          <w:p w14:paraId="1BD4D36A">
            <w:pPr>
              <w:pStyle w:val="75"/>
              <w:rPr>
                <w:rFonts w:hint="default" w:eastAsia="宋体"/>
                <w:szCs w:val="18"/>
                <w:lang w:val="en-US" w:eastAsia="zh-CN"/>
              </w:rPr>
            </w:pPr>
            <w:r>
              <w:rPr>
                <w:rFonts w:hint="eastAsia"/>
                <w:szCs w:val="18"/>
                <w:lang w:val="en-US" w:eastAsia="zh-CN"/>
              </w:rPr>
              <w:t>厂区地下水井</w:t>
            </w:r>
          </w:p>
        </w:tc>
        <w:tc>
          <w:tcPr>
            <w:tcW w:w="3262" w:type="dxa"/>
            <w:tcMar>
              <w:top w:w="0" w:type="dxa"/>
              <w:left w:w="28" w:type="dxa"/>
              <w:bottom w:w="0" w:type="dxa"/>
              <w:right w:w="28" w:type="dxa"/>
            </w:tcMar>
            <w:vAlign w:val="center"/>
          </w:tcPr>
          <w:p w14:paraId="4EBF52CA">
            <w:pPr>
              <w:pStyle w:val="75"/>
              <w:rPr>
                <w:kern w:val="2"/>
                <w:szCs w:val="18"/>
              </w:rPr>
            </w:pPr>
            <w:r>
              <w:rPr>
                <w:rFonts w:hint="eastAsia"/>
              </w:rPr>
              <w:t>pH、水位、总镍、总铬</w:t>
            </w:r>
          </w:p>
        </w:tc>
        <w:tc>
          <w:tcPr>
            <w:tcW w:w="1677" w:type="dxa"/>
            <w:tcMar>
              <w:top w:w="0" w:type="dxa"/>
              <w:left w:w="28" w:type="dxa"/>
              <w:bottom w:w="0" w:type="dxa"/>
              <w:right w:w="28" w:type="dxa"/>
            </w:tcMar>
            <w:vAlign w:val="center"/>
          </w:tcPr>
          <w:p w14:paraId="1CD7F297">
            <w:pPr>
              <w:pStyle w:val="75"/>
              <w:rPr>
                <w:kern w:val="2"/>
                <w:szCs w:val="18"/>
              </w:rPr>
            </w:pPr>
            <w:r>
              <w:t>1次/年</w:t>
            </w:r>
          </w:p>
        </w:tc>
      </w:tr>
      <w:tr w14:paraId="1A25F2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tcMar>
              <w:top w:w="0" w:type="dxa"/>
              <w:left w:w="28" w:type="dxa"/>
              <w:bottom w:w="0" w:type="dxa"/>
              <w:right w:w="28" w:type="dxa"/>
            </w:tcMar>
            <w:vAlign w:val="center"/>
          </w:tcPr>
          <w:p w14:paraId="597273F6">
            <w:pPr>
              <w:pStyle w:val="75"/>
              <w:rPr>
                <w:szCs w:val="18"/>
              </w:rPr>
            </w:pPr>
            <w:r>
              <w:rPr>
                <w:szCs w:val="18"/>
              </w:rPr>
              <w:t>土壤</w:t>
            </w:r>
          </w:p>
        </w:tc>
        <w:tc>
          <w:tcPr>
            <w:tcW w:w="2552" w:type="dxa"/>
            <w:tcMar>
              <w:top w:w="0" w:type="dxa"/>
              <w:left w:w="28" w:type="dxa"/>
              <w:bottom w:w="0" w:type="dxa"/>
              <w:right w:w="28" w:type="dxa"/>
            </w:tcMar>
            <w:vAlign w:val="center"/>
          </w:tcPr>
          <w:p w14:paraId="16D77B10">
            <w:pPr>
              <w:pStyle w:val="75"/>
              <w:rPr>
                <w:szCs w:val="18"/>
              </w:rPr>
            </w:pPr>
            <w:r>
              <w:rPr>
                <w:rFonts w:hint="eastAsia"/>
              </w:rPr>
              <w:t>污水处理站附近</w:t>
            </w:r>
          </w:p>
        </w:tc>
        <w:tc>
          <w:tcPr>
            <w:tcW w:w="3262" w:type="dxa"/>
            <w:tcMar>
              <w:top w:w="0" w:type="dxa"/>
              <w:left w:w="28" w:type="dxa"/>
              <w:bottom w:w="0" w:type="dxa"/>
              <w:right w:w="28" w:type="dxa"/>
            </w:tcMar>
            <w:vAlign w:val="center"/>
          </w:tcPr>
          <w:p w14:paraId="6398CE5B">
            <w:pPr>
              <w:pStyle w:val="75"/>
            </w:pPr>
            <w:r>
              <w:rPr>
                <w:rFonts w:hint="eastAsia"/>
              </w:rPr>
              <w:t>pH、总镍、总铬</w:t>
            </w:r>
          </w:p>
        </w:tc>
        <w:tc>
          <w:tcPr>
            <w:tcW w:w="1677" w:type="dxa"/>
            <w:tcMar>
              <w:top w:w="0" w:type="dxa"/>
              <w:left w:w="28" w:type="dxa"/>
              <w:bottom w:w="0" w:type="dxa"/>
              <w:right w:w="28" w:type="dxa"/>
            </w:tcMar>
            <w:vAlign w:val="center"/>
          </w:tcPr>
          <w:p w14:paraId="78316613">
            <w:pPr>
              <w:pStyle w:val="75"/>
              <w:rPr>
                <w:szCs w:val="18"/>
              </w:rPr>
            </w:pPr>
            <w:r>
              <w:t>1次/年</w:t>
            </w:r>
          </w:p>
        </w:tc>
      </w:tr>
      <w:tr w14:paraId="777ED6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tcMar>
              <w:top w:w="0" w:type="dxa"/>
              <w:left w:w="28" w:type="dxa"/>
              <w:bottom w:w="0" w:type="dxa"/>
              <w:right w:w="28" w:type="dxa"/>
            </w:tcMar>
            <w:vAlign w:val="center"/>
          </w:tcPr>
          <w:p w14:paraId="3CC6559F">
            <w:pPr>
              <w:pStyle w:val="75"/>
              <w:rPr>
                <w:kern w:val="2"/>
              </w:rPr>
            </w:pPr>
            <w:r>
              <w:t>噪声</w:t>
            </w:r>
          </w:p>
        </w:tc>
        <w:tc>
          <w:tcPr>
            <w:tcW w:w="2552" w:type="dxa"/>
            <w:tcMar>
              <w:top w:w="0" w:type="dxa"/>
              <w:left w:w="28" w:type="dxa"/>
              <w:bottom w:w="0" w:type="dxa"/>
              <w:right w:w="28" w:type="dxa"/>
            </w:tcMar>
            <w:vAlign w:val="center"/>
          </w:tcPr>
          <w:p w14:paraId="1FCF7DBF">
            <w:pPr>
              <w:pStyle w:val="75"/>
              <w:rPr>
                <w:kern w:val="2"/>
              </w:rPr>
            </w:pPr>
            <w:r>
              <w:t>四周厂界外1m处</w:t>
            </w:r>
          </w:p>
        </w:tc>
        <w:tc>
          <w:tcPr>
            <w:tcW w:w="3262" w:type="dxa"/>
            <w:tcMar>
              <w:top w:w="0" w:type="dxa"/>
              <w:left w:w="28" w:type="dxa"/>
              <w:bottom w:w="0" w:type="dxa"/>
              <w:right w:w="28" w:type="dxa"/>
            </w:tcMar>
            <w:vAlign w:val="center"/>
          </w:tcPr>
          <w:p w14:paraId="7617B8B6">
            <w:pPr>
              <w:pStyle w:val="75"/>
              <w:rPr>
                <w:kern w:val="2"/>
              </w:rPr>
            </w:pPr>
            <w:r>
              <w:t>等效</w:t>
            </w:r>
            <w:r>
              <w:rPr>
                <w:rFonts w:hint="eastAsia"/>
              </w:rPr>
              <w:t>A</w:t>
            </w:r>
            <w:r>
              <w:t>声级</w:t>
            </w:r>
          </w:p>
        </w:tc>
        <w:tc>
          <w:tcPr>
            <w:tcW w:w="1677" w:type="dxa"/>
            <w:tcMar>
              <w:top w:w="0" w:type="dxa"/>
              <w:left w:w="28" w:type="dxa"/>
              <w:bottom w:w="0" w:type="dxa"/>
              <w:right w:w="28" w:type="dxa"/>
            </w:tcMar>
            <w:vAlign w:val="center"/>
          </w:tcPr>
          <w:p w14:paraId="07162464">
            <w:pPr>
              <w:pStyle w:val="75"/>
            </w:pPr>
            <w:r>
              <w:t>1次</w:t>
            </w:r>
            <w:r>
              <w:rPr>
                <w:rFonts w:hint="eastAsia"/>
              </w:rPr>
              <w:t>/季度</w:t>
            </w:r>
          </w:p>
        </w:tc>
      </w:tr>
      <w:tr w14:paraId="0BBFF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tcMar>
              <w:top w:w="0" w:type="dxa"/>
              <w:left w:w="28" w:type="dxa"/>
              <w:bottom w:w="0" w:type="dxa"/>
              <w:right w:w="28" w:type="dxa"/>
            </w:tcMar>
            <w:vAlign w:val="center"/>
          </w:tcPr>
          <w:p w14:paraId="580A6666">
            <w:pPr>
              <w:pStyle w:val="75"/>
              <w:rPr>
                <w:kern w:val="2"/>
              </w:rPr>
            </w:pPr>
            <w:r>
              <w:t>固废</w:t>
            </w:r>
          </w:p>
        </w:tc>
        <w:tc>
          <w:tcPr>
            <w:tcW w:w="7491" w:type="dxa"/>
            <w:gridSpan w:val="3"/>
            <w:tcMar>
              <w:top w:w="0" w:type="dxa"/>
              <w:left w:w="28" w:type="dxa"/>
              <w:bottom w:w="0" w:type="dxa"/>
              <w:right w:w="28" w:type="dxa"/>
            </w:tcMar>
            <w:vAlign w:val="center"/>
          </w:tcPr>
          <w:p w14:paraId="220743C7">
            <w:pPr>
              <w:pStyle w:val="75"/>
              <w:rPr>
                <w:kern w:val="2"/>
              </w:rPr>
            </w:pPr>
            <w:r>
              <w:t>定期核查，及时处理</w:t>
            </w:r>
          </w:p>
        </w:tc>
      </w:tr>
    </w:tbl>
    <w:p w14:paraId="3579A56E">
      <w:pPr>
        <w:pStyle w:val="13"/>
        <w:spacing w:line="240" w:lineRule="auto"/>
        <w:ind w:firstLine="420"/>
        <w:rPr>
          <w:rFonts w:eastAsia="黑体"/>
          <w:b w:val="0"/>
          <w:bCs/>
        </w:rPr>
      </w:pPr>
      <w:r>
        <w:rPr>
          <w:rFonts w:eastAsia="黑体"/>
          <w:b w:val="0"/>
          <w:bCs/>
        </w:rPr>
        <w:t>注：可委托当地有资质单位监测，监测结果应向社会公开。</w:t>
      </w:r>
    </w:p>
    <w:p w14:paraId="0CCD47E4">
      <w:pPr>
        <w:pStyle w:val="72"/>
        <w:numPr>
          <w:ilvl w:val="0"/>
          <w:numId w:val="0"/>
        </w:numPr>
        <w:ind w:leftChars="200"/>
        <w:rPr>
          <w:rFonts w:hint="eastAsia"/>
          <w:lang w:val="en-US" w:eastAsia="zh-CN"/>
        </w:rPr>
      </w:pPr>
      <w:r>
        <w:rPr>
          <w:rFonts w:hint="eastAsia"/>
          <w:lang w:val="en-US" w:eastAsia="zh-CN"/>
        </w:rPr>
        <w:t>（2）环境质量监测</w:t>
      </w:r>
    </w:p>
    <w:p w14:paraId="6856C5FC">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环境质量监测主要是对企业周边环境质量现状（空气质量、地下水、土壤等）进行定期监测（可委托有资质的的第三方监测机构进行）。本项目环境质量监测计划见下表。</w:t>
      </w:r>
    </w:p>
    <w:p w14:paraId="44D48554">
      <w:pPr>
        <w:pStyle w:val="72"/>
        <w:pageBreakBefore w:val="0"/>
        <w:widowControl w:val="0"/>
        <w:kinsoku/>
        <w:wordWrap/>
        <w:overflowPunct/>
        <w:topLinePunct w:val="0"/>
        <w:autoSpaceDE/>
        <w:autoSpaceDN/>
        <w:bidi w:val="0"/>
        <w:spacing w:line="520" w:lineRule="exact"/>
        <w:ind w:left="0" w:leftChars="0" w:firstLine="482" w:firstLineChars="200"/>
        <w:jc w:val="center"/>
        <w:textAlignment w:val="baseline"/>
        <w:rPr>
          <w:rFonts w:hint="eastAsia"/>
          <w:b/>
          <w:bCs/>
          <w:lang w:val="pt-BR"/>
        </w:rPr>
      </w:pPr>
      <w:r>
        <w:rPr>
          <w:rFonts w:hint="eastAsia"/>
          <w:b/>
          <w:bCs/>
          <w:lang w:val="pt-BR"/>
        </w:rPr>
        <w:t>表</w:t>
      </w:r>
      <w:r>
        <w:rPr>
          <w:rFonts w:hint="eastAsia"/>
          <w:b/>
          <w:bCs/>
          <w:lang w:val="en-US" w:eastAsia="zh-CN"/>
        </w:rPr>
        <w:t>9</w:t>
      </w:r>
      <w:r>
        <w:rPr>
          <w:rFonts w:hint="eastAsia"/>
          <w:b/>
          <w:bCs/>
          <w:lang w:val="pt-BR"/>
        </w:rPr>
        <w:t xml:space="preserve">    工程营运期环境质量监测计划表</w:t>
      </w:r>
    </w:p>
    <w:tbl>
      <w:tblPr>
        <w:tblStyle w:val="39"/>
        <w:tblW w:w="836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78"/>
        <w:gridCol w:w="2839"/>
        <w:gridCol w:w="2973"/>
        <w:gridCol w:w="1676"/>
      </w:tblGrid>
      <w:tr w14:paraId="0C14B7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78" w:type="dxa"/>
            <w:noWrap w:val="0"/>
            <w:tcMar>
              <w:top w:w="0" w:type="dxa"/>
              <w:left w:w="28" w:type="dxa"/>
              <w:bottom w:w="0" w:type="dxa"/>
              <w:right w:w="28" w:type="dxa"/>
            </w:tcMar>
            <w:vAlign w:val="center"/>
          </w:tcPr>
          <w:p w14:paraId="65EF4F25">
            <w:pPr>
              <w:pStyle w:val="81"/>
              <w:rPr>
                <w:rFonts w:cs="Times New Roman"/>
                <w:color w:val="auto"/>
                <w:u w:val="none"/>
              </w:rPr>
            </w:pPr>
            <w:r>
              <w:rPr>
                <w:rFonts w:cs="Times New Roman"/>
                <w:color w:val="auto"/>
                <w:u w:val="none"/>
              </w:rPr>
              <w:t>污染源</w:t>
            </w:r>
          </w:p>
        </w:tc>
        <w:tc>
          <w:tcPr>
            <w:tcW w:w="2839" w:type="dxa"/>
            <w:noWrap w:val="0"/>
            <w:tcMar>
              <w:top w:w="0" w:type="dxa"/>
              <w:left w:w="28" w:type="dxa"/>
              <w:bottom w:w="0" w:type="dxa"/>
              <w:right w:w="28" w:type="dxa"/>
            </w:tcMar>
            <w:vAlign w:val="center"/>
          </w:tcPr>
          <w:p w14:paraId="6BBDA58E">
            <w:pPr>
              <w:pStyle w:val="81"/>
              <w:rPr>
                <w:rFonts w:cs="Times New Roman"/>
                <w:color w:val="auto"/>
                <w:u w:val="none"/>
              </w:rPr>
            </w:pPr>
            <w:r>
              <w:rPr>
                <w:rFonts w:cs="Times New Roman"/>
                <w:color w:val="auto"/>
                <w:u w:val="none"/>
              </w:rPr>
              <w:t>监测点</w:t>
            </w:r>
          </w:p>
        </w:tc>
        <w:tc>
          <w:tcPr>
            <w:tcW w:w="2973" w:type="dxa"/>
            <w:noWrap w:val="0"/>
            <w:tcMar>
              <w:top w:w="0" w:type="dxa"/>
              <w:left w:w="28" w:type="dxa"/>
              <w:bottom w:w="0" w:type="dxa"/>
              <w:right w:w="28" w:type="dxa"/>
            </w:tcMar>
            <w:vAlign w:val="center"/>
          </w:tcPr>
          <w:p w14:paraId="2FCF7389">
            <w:pPr>
              <w:pStyle w:val="81"/>
              <w:rPr>
                <w:rFonts w:cs="Times New Roman"/>
                <w:color w:val="auto"/>
                <w:u w:val="none"/>
              </w:rPr>
            </w:pPr>
            <w:r>
              <w:rPr>
                <w:rFonts w:cs="Times New Roman"/>
                <w:color w:val="auto"/>
                <w:u w:val="none"/>
              </w:rPr>
              <w:t>监测项目</w:t>
            </w:r>
          </w:p>
        </w:tc>
        <w:tc>
          <w:tcPr>
            <w:tcW w:w="1676" w:type="dxa"/>
            <w:noWrap w:val="0"/>
            <w:tcMar>
              <w:top w:w="0" w:type="dxa"/>
              <w:left w:w="28" w:type="dxa"/>
              <w:bottom w:w="0" w:type="dxa"/>
              <w:right w:w="28" w:type="dxa"/>
            </w:tcMar>
            <w:vAlign w:val="center"/>
          </w:tcPr>
          <w:p w14:paraId="677A469A">
            <w:pPr>
              <w:pStyle w:val="81"/>
              <w:rPr>
                <w:rFonts w:cs="Times New Roman"/>
                <w:color w:val="auto"/>
                <w:u w:val="none"/>
              </w:rPr>
            </w:pPr>
            <w:r>
              <w:rPr>
                <w:rFonts w:cs="Times New Roman"/>
                <w:color w:val="auto"/>
                <w:u w:val="none"/>
              </w:rPr>
              <w:t>监测计划</w:t>
            </w:r>
          </w:p>
        </w:tc>
      </w:tr>
      <w:tr w14:paraId="3D7AE4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1" w:hRule="atLeast"/>
          <w:jc w:val="center"/>
        </w:trPr>
        <w:tc>
          <w:tcPr>
            <w:tcW w:w="878" w:type="dxa"/>
            <w:noWrap w:val="0"/>
            <w:tcMar>
              <w:top w:w="0" w:type="dxa"/>
              <w:left w:w="28" w:type="dxa"/>
              <w:bottom w:w="0" w:type="dxa"/>
              <w:right w:w="28" w:type="dxa"/>
            </w:tcMar>
            <w:vAlign w:val="center"/>
          </w:tcPr>
          <w:p w14:paraId="5AE6C147">
            <w:pPr>
              <w:pStyle w:val="75"/>
              <w:rPr>
                <w:b w:val="0"/>
                <w:bCs/>
                <w:szCs w:val="18"/>
                <w:u w:val="none"/>
              </w:rPr>
            </w:pPr>
            <w:r>
              <w:rPr>
                <w:b w:val="0"/>
                <w:bCs/>
                <w:szCs w:val="18"/>
                <w:u w:val="none"/>
              </w:rPr>
              <w:t>地下水</w:t>
            </w:r>
          </w:p>
        </w:tc>
        <w:tc>
          <w:tcPr>
            <w:tcW w:w="2839" w:type="dxa"/>
            <w:noWrap w:val="0"/>
            <w:tcMar>
              <w:top w:w="0" w:type="dxa"/>
              <w:left w:w="28" w:type="dxa"/>
              <w:bottom w:w="0" w:type="dxa"/>
              <w:right w:w="28" w:type="dxa"/>
            </w:tcMar>
            <w:vAlign w:val="center"/>
          </w:tcPr>
          <w:p w14:paraId="5F0A2317">
            <w:pPr>
              <w:pStyle w:val="75"/>
              <w:rPr>
                <w:b w:val="0"/>
                <w:bCs/>
                <w:szCs w:val="18"/>
                <w:u w:val="none"/>
              </w:rPr>
            </w:pPr>
            <w:r>
              <w:rPr>
                <w:rFonts w:hint="eastAsia"/>
                <w:b w:val="0"/>
                <w:bCs/>
                <w:szCs w:val="18"/>
                <w:u w:val="none"/>
              </w:rPr>
              <w:t>厂区污水处理站附近</w:t>
            </w:r>
            <w:r>
              <w:rPr>
                <w:b w:val="0"/>
                <w:bCs/>
                <w:szCs w:val="18"/>
                <w:u w:val="none"/>
              </w:rPr>
              <w:t>水井</w:t>
            </w:r>
          </w:p>
        </w:tc>
        <w:tc>
          <w:tcPr>
            <w:tcW w:w="2973" w:type="dxa"/>
            <w:noWrap w:val="0"/>
            <w:tcMar>
              <w:top w:w="0" w:type="dxa"/>
              <w:left w:w="28" w:type="dxa"/>
              <w:bottom w:w="0" w:type="dxa"/>
              <w:right w:w="28" w:type="dxa"/>
            </w:tcMar>
            <w:vAlign w:val="center"/>
          </w:tcPr>
          <w:p w14:paraId="1927D2E1">
            <w:pPr>
              <w:pStyle w:val="75"/>
              <w:rPr>
                <w:rFonts w:hint="eastAsia" w:eastAsia="宋体"/>
                <w:b w:val="0"/>
                <w:bCs/>
                <w:szCs w:val="18"/>
                <w:u w:val="none"/>
                <w:lang w:eastAsia="zh-CN"/>
              </w:rPr>
            </w:pPr>
            <w:r>
              <w:rPr>
                <w:b w:val="0"/>
                <w:bCs/>
                <w:szCs w:val="18"/>
                <w:u w:val="none"/>
              </w:rPr>
              <w:t>水位、pH值、</w:t>
            </w:r>
            <w:r>
              <w:rPr>
                <w:rFonts w:hint="eastAsia"/>
                <w:b w:val="0"/>
                <w:bCs/>
                <w:szCs w:val="18"/>
                <w:u w:val="none"/>
              </w:rPr>
              <w:t>耗氧量</w:t>
            </w:r>
            <w:r>
              <w:rPr>
                <w:b w:val="0"/>
                <w:bCs/>
                <w:szCs w:val="18"/>
                <w:u w:val="none"/>
              </w:rPr>
              <w:t>、</w:t>
            </w:r>
            <w:r>
              <w:rPr>
                <w:rFonts w:hint="eastAsia"/>
                <w:b w:val="0"/>
                <w:bCs/>
                <w:szCs w:val="18"/>
                <w:u w:val="none"/>
              </w:rPr>
              <w:t>氨氮、</w:t>
            </w:r>
            <w:r>
              <w:rPr>
                <w:b w:val="0"/>
                <w:bCs/>
                <w:u w:val="none"/>
              </w:rPr>
              <w:t>总铬、六价铬、</w:t>
            </w:r>
            <w:r>
              <w:rPr>
                <w:rFonts w:hint="eastAsia"/>
                <w:b w:val="0"/>
                <w:bCs/>
                <w:u w:val="none"/>
              </w:rPr>
              <w:t>镍</w:t>
            </w:r>
          </w:p>
        </w:tc>
        <w:tc>
          <w:tcPr>
            <w:tcW w:w="1676" w:type="dxa"/>
            <w:noWrap w:val="0"/>
            <w:tcMar>
              <w:top w:w="0" w:type="dxa"/>
              <w:left w:w="28" w:type="dxa"/>
              <w:bottom w:w="0" w:type="dxa"/>
              <w:right w:w="28" w:type="dxa"/>
            </w:tcMar>
            <w:vAlign w:val="center"/>
          </w:tcPr>
          <w:p w14:paraId="1284D362">
            <w:pPr>
              <w:pStyle w:val="75"/>
              <w:rPr>
                <w:b w:val="0"/>
                <w:bCs/>
                <w:szCs w:val="18"/>
                <w:u w:val="none"/>
              </w:rPr>
            </w:pPr>
            <w:r>
              <w:rPr>
                <w:b w:val="0"/>
                <w:bCs/>
                <w:szCs w:val="18"/>
                <w:u w:val="none"/>
              </w:rPr>
              <w:t>1次/年</w:t>
            </w:r>
          </w:p>
        </w:tc>
      </w:tr>
      <w:tr w14:paraId="5D2117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78" w:type="dxa"/>
            <w:noWrap w:val="0"/>
            <w:tcMar>
              <w:top w:w="0" w:type="dxa"/>
              <w:left w:w="28" w:type="dxa"/>
              <w:bottom w:w="0" w:type="dxa"/>
              <w:right w:w="28" w:type="dxa"/>
            </w:tcMar>
            <w:vAlign w:val="center"/>
          </w:tcPr>
          <w:p w14:paraId="6EF8D8DC">
            <w:pPr>
              <w:pStyle w:val="75"/>
              <w:rPr>
                <w:b w:val="0"/>
                <w:bCs/>
                <w:u w:val="none"/>
              </w:rPr>
            </w:pPr>
            <w:r>
              <w:rPr>
                <w:b w:val="0"/>
                <w:bCs/>
                <w:u w:val="none"/>
              </w:rPr>
              <w:t>土壤</w:t>
            </w:r>
          </w:p>
        </w:tc>
        <w:tc>
          <w:tcPr>
            <w:tcW w:w="2839" w:type="dxa"/>
            <w:noWrap w:val="0"/>
            <w:tcMar>
              <w:top w:w="0" w:type="dxa"/>
              <w:left w:w="28" w:type="dxa"/>
              <w:bottom w:w="0" w:type="dxa"/>
              <w:right w:w="28" w:type="dxa"/>
            </w:tcMar>
            <w:vAlign w:val="center"/>
          </w:tcPr>
          <w:p w14:paraId="32DC9E6D">
            <w:pPr>
              <w:pStyle w:val="75"/>
              <w:rPr>
                <w:b w:val="0"/>
                <w:bCs/>
                <w:u w:val="none"/>
              </w:rPr>
            </w:pPr>
            <w:r>
              <w:rPr>
                <w:b w:val="0"/>
                <w:bCs/>
                <w:u w:val="none"/>
              </w:rPr>
              <w:t>污水处理站附近</w:t>
            </w:r>
          </w:p>
        </w:tc>
        <w:tc>
          <w:tcPr>
            <w:tcW w:w="2973" w:type="dxa"/>
            <w:noWrap w:val="0"/>
            <w:tcMar>
              <w:top w:w="0" w:type="dxa"/>
              <w:left w:w="28" w:type="dxa"/>
              <w:bottom w:w="0" w:type="dxa"/>
              <w:right w:w="28" w:type="dxa"/>
            </w:tcMar>
            <w:vAlign w:val="center"/>
          </w:tcPr>
          <w:p w14:paraId="061494AC">
            <w:pPr>
              <w:pStyle w:val="75"/>
              <w:rPr>
                <w:b w:val="0"/>
                <w:bCs/>
                <w:u w:val="none"/>
              </w:rPr>
            </w:pPr>
            <w:r>
              <w:rPr>
                <w:b w:val="0"/>
                <w:bCs/>
                <w:u w:val="none"/>
              </w:rPr>
              <w:t>六价铬、</w:t>
            </w:r>
            <w:r>
              <w:rPr>
                <w:rFonts w:hint="eastAsia"/>
                <w:b w:val="0"/>
                <w:bCs/>
                <w:u w:val="none"/>
              </w:rPr>
              <w:t>铬、镍、</w:t>
            </w:r>
            <w:r>
              <w:rPr>
                <w:b w:val="0"/>
                <w:bCs/>
                <w:u w:val="none"/>
              </w:rPr>
              <w:t>pH值</w:t>
            </w:r>
          </w:p>
        </w:tc>
        <w:tc>
          <w:tcPr>
            <w:tcW w:w="1676" w:type="dxa"/>
            <w:noWrap w:val="0"/>
            <w:tcMar>
              <w:top w:w="0" w:type="dxa"/>
              <w:left w:w="28" w:type="dxa"/>
              <w:bottom w:w="0" w:type="dxa"/>
              <w:right w:w="28" w:type="dxa"/>
            </w:tcMar>
            <w:vAlign w:val="center"/>
          </w:tcPr>
          <w:p w14:paraId="1D7982D9">
            <w:pPr>
              <w:pStyle w:val="75"/>
              <w:rPr>
                <w:b w:val="0"/>
                <w:bCs/>
                <w:u w:val="none"/>
              </w:rPr>
            </w:pPr>
            <w:r>
              <w:rPr>
                <w:b w:val="0"/>
                <w:bCs/>
                <w:szCs w:val="18"/>
                <w:u w:val="none"/>
              </w:rPr>
              <w:t>1次/年</w:t>
            </w:r>
          </w:p>
        </w:tc>
      </w:tr>
    </w:tbl>
    <w:p w14:paraId="1857BA2A">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（4）监测数据分析方法</w:t>
      </w:r>
    </w:p>
    <w:p w14:paraId="140C555A">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①污染源监测采样</w:t>
      </w:r>
    </w:p>
    <w:p w14:paraId="1006E152">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废气有组织排放手工采样方法的选择参照相关污染物排放标准及GB/T16157、HJ/T397等执行。废气自动监测参照HJ/T75、HJ/T76执行。废气无组织排放采样方法参照相关污染物排放标准及HJ/T55执行。废水手工采样方法的选择参照相关污染物排放标准及HJ/T91、HJ/T92、HJ493、HJ494、HJ495等执行，根据监测指标的特点确定采样方法为混合采样方法或瞬时采样的方法，单次监测采样频次按相关污染物排放标准和HJ/T91执行。污水自动监测采样方法参照HJ/T353、HJ/T354、HJ/T355、HJ/T356执行。</w:t>
      </w:r>
    </w:p>
    <w:p w14:paraId="11845144">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②环境质量监测采样</w:t>
      </w:r>
    </w:p>
    <w:p w14:paraId="412BB4DC">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周边地下水环境质量监测点采样方法参照HJ/T164执行，周边土壤环境质量监测点采样方法参照HJ/T166执行。</w:t>
      </w:r>
    </w:p>
    <w:p w14:paraId="4A913394">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③监测分析方法</w:t>
      </w:r>
    </w:p>
    <w:p w14:paraId="2F867978">
      <w:pPr>
        <w:pStyle w:val="72"/>
        <w:keepNext w:val="0"/>
        <w:keepLines w:val="0"/>
        <w:pageBreakBefore w:val="0"/>
        <w:widowControl w:val="0"/>
        <w:numPr>
          <w:ilvl w:val="0"/>
          <w:numId w:val="0"/>
        </w:numPr>
        <w:kinsoku/>
        <w:wordWrap/>
        <w:overflowPunct/>
        <w:topLinePunct w:val="0"/>
        <w:autoSpaceDE/>
        <w:autoSpaceDN/>
        <w:bidi w:val="0"/>
        <w:adjustRightInd w:val="0"/>
        <w:snapToGrid w:val="0"/>
        <w:ind w:leftChars="0" w:firstLine="480" w:firstLineChars="200"/>
        <w:textAlignment w:val="baseline"/>
        <w:rPr>
          <w:rFonts w:hint="default"/>
          <w:lang w:val="en-US" w:eastAsia="zh-CN"/>
        </w:rPr>
      </w:pPr>
      <w:r>
        <w:rPr>
          <w:rFonts w:hint="default"/>
          <w:lang w:val="en-US" w:eastAsia="zh-CN"/>
        </w:rPr>
        <w:t>监测分析方法的选用应充分考虑相关排放标准的规定、排污单位的排放特点、污染物排放浓度的高低、所采用监测分析方法的检出限和干扰等因素。监测分析方法应优先选用所执行的排放标准中规定的方法。选用其它国家、行业标准方法的，方法的主要特性参数（包括检出下限、精密度、准确度、干扰消除等）需符合标准要求。尚无国家和行业标准分析方法的，或采用国家和行业标准方法不能得到合格测定数据的，可选用其他方法，但必须做方法验证和对比实验，证明该方法主要特性参数的可靠性。</w:t>
      </w:r>
    </w:p>
    <w:p w14:paraId="1BEFCDC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9.3.5监测管理要求</w:t>
      </w:r>
    </w:p>
    <w:p w14:paraId="5182169C">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（1）企业自行监测采用委托监测的，应当委托经省级环境保护主管部门认定的社会检测机构或环境保护主管部门所属环境监测机构进行监测。</w:t>
      </w:r>
    </w:p>
    <w:p w14:paraId="10C8ADFA">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（2）自行监测记录包含监测各环节的原始记录、委托监测相关记录、自动监测设备运维记录，各类原始记录内容应完整并有相关人员签字，保存五年。</w:t>
      </w:r>
    </w:p>
    <w:p w14:paraId="0456F735">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（3）企业应当定期参加环境监测管理和相关技术业务培训。</w:t>
      </w:r>
    </w:p>
    <w:p w14:paraId="1BE6F93C">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（4）企业自行监测应当遵守国务院环境保护主管部门颁布的环境监测质量管理规定，确保监测数据科学、准确。</w:t>
      </w:r>
    </w:p>
    <w:p w14:paraId="1880BD40">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（5）企业应当使用自行监测数据，按照国务院环境保护主管部门有关规定计算污染物排放量，在每月初的7个工作日内向环境保护主管部门报告上月主要污染物排放量，并提供有关资料。</w:t>
      </w:r>
    </w:p>
    <w:p w14:paraId="1F218104">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（6）企业自行监测发现污染物排放超标的，应当及时采取防止或减轻污染的措施，分析原因，并向负责备案的环境保护主管部门报告。</w:t>
      </w:r>
    </w:p>
    <w:p w14:paraId="71DC634B">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（7）企业应于每年1月底前编制完成上年度自行监测开展情况年度报告，并向负责备案的环境保护主管部门报送。年度报告应包含以下内容：</w:t>
      </w:r>
    </w:p>
    <w:p w14:paraId="44C18854">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①监测方案的调整变化情况；</w:t>
      </w:r>
    </w:p>
    <w:p w14:paraId="133F645A">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②全年生产天数、监测天数，各监测点、各监测指标全年监测次数、达标次数、超标情况；</w:t>
      </w:r>
    </w:p>
    <w:p w14:paraId="251DCB6D">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③全年废水、废气污染物排放量；</w:t>
      </w:r>
    </w:p>
    <w:p w14:paraId="34EF3F53">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④固体废弃物的类型、产生数量，处置方式、数量以及去向；</w:t>
      </w:r>
    </w:p>
    <w:p w14:paraId="67036B5B">
      <w:pPr>
        <w:pageBreakBefore w:val="0"/>
        <w:widowControl w:val="0"/>
        <w:kinsoku/>
        <w:wordWrap/>
        <w:overflowPunct/>
        <w:topLinePunct w:val="0"/>
        <w:autoSpaceDE/>
        <w:autoSpaceDN/>
        <w:bidi w:val="0"/>
        <w:adjustRightInd w:val="0"/>
        <w:snapToGrid w:val="0"/>
        <w:spacing w:line="520" w:lineRule="exact"/>
        <w:ind w:left="0" w:leftChars="0" w:firstLine="480" w:firstLineChars="200"/>
        <w:textAlignment w:val="baseline"/>
        <w:rPr>
          <w:rFonts w:hint="eastAsia"/>
        </w:rPr>
      </w:pPr>
      <w:r>
        <w:rPr>
          <w:rFonts w:hint="eastAsia"/>
        </w:rPr>
        <w:t>⑤按要求开展的周边环境质量影响状况监测结果。</w:t>
      </w:r>
    </w:p>
    <w:p w14:paraId="1705A24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9.3.6排污许可制度衔接</w:t>
      </w:r>
    </w:p>
    <w:p w14:paraId="5CF9CFAE">
      <w:pPr>
        <w:pStyle w:val="16"/>
        <w:keepNext w:val="0"/>
        <w:keepLines w:val="0"/>
        <w:pageBreakBefore w:val="0"/>
        <w:widowControl/>
        <w:kinsoku w:val="0"/>
        <w:wordWrap/>
        <w:overflowPunct w:val="0"/>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目前我国正在推进排污许可制度改革工作。环保部也大力推进排污许可证制度，并作为</w:t>
      </w:r>
      <w:r>
        <w:rPr>
          <w:rFonts w:hint="default" w:ascii="Times New Roman" w:hAnsi="Times New Roman" w:cs="Times New Roman"/>
          <w:sz w:val="24"/>
          <w:szCs w:val="24"/>
          <w:lang w:eastAsia="zh-CN"/>
        </w:rPr>
        <w:t>“</w:t>
      </w:r>
      <w:r>
        <w:rPr>
          <w:rFonts w:hint="default" w:ascii="Times New Roman" w:hAnsi="Times New Roman" w:cs="Times New Roman"/>
          <w:sz w:val="24"/>
          <w:szCs w:val="24"/>
        </w:rPr>
        <w:t>十</w:t>
      </w:r>
      <w:r>
        <w:rPr>
          <w:rFonts w:hint="default" w:ascii="Times New Roman" w:hAnsi="Times New Roman" w:cs="Times New Roman"/>
          <w:sz w:val="24"/>
          <w:szCs w:val="24"/>
          <w:lang w:val="en-US" w:eastAsia="zh-CN"/>
        </w:rPr>
        <w:t>四</w:t>
      </w:r>
      <w:r>
        <w:rPr>
          <w:rFonts w:hint="default" w:ascii="Times New Roman" w:hAnsi="Times New Roman" w:cs="Times New Roman"/>
          <w:sz w:val="24"/>
          <w:szCs w:val="24"/>
        </w:rPr>
        <w:t>五</w:t>
      </w:r>
      <w:r>
        <w:rPr>
          <w:rFonts w:hint="default" w:ascii="Times New Roman" w:hAnsi="Times New Roman" w:cs="Times New Roman"/>
          <w:sz w:val="24"/>
          <w:szCs w:val="24"/>
          <w:lang w:eastAsia="zh-CN"/>
        </w:rPr>
        <w:t>”</w:t>
      </w:r>
      <w:r>
        <w:rPr>
          <w:rFonts w:hint="default" w:ascii="Times New Roman" w:hAnsi="Times New Roman" w:cs="Times New Roman"/>
          <w:sz w:val="24"/>
          <w:szCs w:val="24"/>
        </w:rPr>
        <w:t>国家固定源环境管理的核心，《国务院办公厅关于印发控制污染物排放许可制实施方案的通知》（国办发</w:t>
      </w:r>
      <w:r>
        <w:rPr>
          <w:rFonts w:hint="default" w:ascii="Times New Roman" w:hAnsi="Times New Roman" w:eastAsia="Times New Roman" w:cs="Times New Roman"/>
          <w:sz w:val="24"/>
          <w:szCs w:val="24"/>
        </w:rPr>
        <w:t>[2016]81</w:t>
      </w:r>
      <w:r>
        <w:rPr>
          <w:rFonts w:hint="default" w:ascii="Times New Roman" w:hAnsi="Times New Roman" w:cs="Times New Roman"/>
          <w:sz w:val="24"/>
          <w:szCs w:val="24"/>
        </w:rPr>
        <w:t>号）明确将排污许可制建设成为固定污染源环境管理的核心制度，作为企业守法、部门执法、社会监督的依据，为提高环境管理效能和改善环境质量奠定坚实基础。</w:t>
      </w:r>
    </w:p>
    <w:p w14:paraId="3A7AA805">
      <w:pPr>
        <w:pStyle w:val="16"/>
        <w:keepNext w:val="0"/>
        <w:keepLines w:val="0"/>
        <w:pageBreakBefore w:val="0"/>
        <w:widowControl/>
        <w:kinsoku/>
        <w:wordWrap/>
        <w:overflowPunct/>
        <w:topLinePunct/>
        <w:autoSpaceDE/>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本项目应严格按照国家排污许可证改革的要求，推进刷卡排污及污染源</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一证式</w:t>
      </w:r>
      <w:r>
        <w:rPr>
          <w:rFonts w:hint="default" w:ascii="Times New Roman" w:hAnsi="Times New Roman" w:cs="Times New Roman"/>
          <w:sz w:val="24"/>
          <w:szCs w:val="24"/>
          <w:lang w:eastAsia="zh-CN"/>
        </w:rPr>
        <w:t>”</w:t>
      </w:r>
      <w:r>
        <w:rPr>
          <w:rFonts w:hint="default" w:ascii="Times New Roman" w:hAnsi="Times New Roman" w:cs="Times New Roman"/>
          <w:sz w:val="24"/>
          <w:szCs w:val="24"/>
        </w:rPr>
        <w:t>管理工作，并作为建设单位在生产运营期接受环境监管和环境保护部门实施监管的主要法律文书，单位依法申领排污许可证，按证排污，自证守法。环境保护部门基于企事业单位守法承诺，依法发放排污许可证，依证强化事中事后监管，对违法排污行为实施严厉打击。</w:t>
      </w:r>
    </w:p>
    <w:p w14:paraId="6C91E08B">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cs="Times New Roman"/>
          <w:sz w:val="24"/>
          <w:szCs w:val="24"/>
        </w:rPr>
        <w:t>根据</w:t>
      </w:r>
      <w:r>
        <w:rPr>
          <w:rFonts w:hint="default" w:ascii="Times New Roman" w:hAnsi="Times New Roman" w:cs="Times New Roman"/>
          <w:sz w:val="24"/>
          <w:szCs w:val="24"/>
          <w:lang w:eastAsia="zh-CN"/>
        </w:rPr>
        <w:t>《</w:t>
      </w:r>
      <w:r>
        <w:rPr>
          <w:rFonts w:hint="default" w:ascii="Times New Roman" w:hAnsi="Times New Roman" w:cs="Times New Roman"/>
          <w:sz w:val="24"/>
          <w:szCs w:val="24"/>
        </w:rPr>
        <w:t>“十四五”环境影响评价与排污许可工作实施方案</w:t>
      </w:r>
      <w:r>
        <w:rPr>
          <w:rFonts w:hint="default" w:ascii="Times New Roman" w:hAnsi="Times New Roman" w:cs="Times New Roman"/>
          <w:sz w:val="24"/>
          <w:szCs w:val="24"/>
          <w:lang w:eastAsia="zh-CN"/>
        </w:rPr>
        <w:t>》</w:t>
      </w:r>
      <w:r>
        <w:rPr>
          <w:rFonts w:hint="default" w:ascii="Times New Roman" w:hAnsi="Times New Roman" w:cs="Times New Roman"/>
          <w:sz w:val="24"/>
          <w:szCs w:val="24"/>
        </w:rPr>
        <w:t>（环环评〔2022〕26号）、《排污许可管理办法（试行）》（环保部令第</w:t>
      </w:r>
      <w:r>
        <w:rPr>
          <w:rFonts w:hint="default" w:ascii="Times New Roman" w:hAnsi="Times New Roman" w:eastAsia="Times New Roman" w:cs="Times New Roman"/>
          <w:sz w:val="24"/>
          <w:szCs w:val="24"/>
        </w:rPr>
        <w:t>48</w:t>
      </w:r>
      <w:r>
        <w:rPr>
          <w:rFonts w:hint="default" w:ascii="Times New Roman" w:hAnsi="Times New Roman" w:cs="Times New Roman"/>
          <w:sz w:val="24"/>
          <w:szCs w:val="24"/>
        </w:rPr>
        <w:t>号）以及《关于强化建设项目环境影响评价事中事后监管的实施意见》等文件要求，结合《排污许可证申请和核发技术规范电镀工业》和《</w:t>
      </w:r>
      <w:r>
        <w:rPr>
          <w:rFonts w:hint="default" w:ascii="Times New Roman" w:hAnsi="Times New Roman" w:cs="Times New Roman"/>
          <w:sz w:val="24"/>
          <w:szCs w:val="24"/>
          <w:lang w:eastAsia="zh-CN"/>
        </w:rPr>
        <w:t>电镀污染防治可行技术指南</w:t>
      </w:r>
      <w:r>
        <w:rPr>
          <w:rFonts w:hint="default" w:ascii="Times New Roman" w:hAnsi="Times New Roman" w:cs="Times New Roman"/>
          <w:sz w:val="24"/>
          <w:szCs w:val="24"/>
        </w:rPr>
        <w:t>》等，核定建设项目的产排污环节、污染物种类及污染防治设施和措施等基本信息；依据国家或地方污染物排放标准、环境质量标准和总量控制要求，按照污染源源强核算指南、环评要素导则等严格核定排放口数量、位置以及每个排放口的污染物种类、允许排放浓度和允许排放量、排放方式、排放去向、自行监测计划等与污染物排放相关的主要内容。</w:t>
      </w:r>
    </w:p>
    <w:p w14:paraId="0A63CBB4">
      <w:pPr>
        <w:pStyle w:val="16"/>
        <w:keepNext w:val="0"/>
        <w:keepLines w:val="0"/>
        <w:pageBreakBefore w:val="0"/>
        <w:widowControl/>
        <w:kinsoku/>
        <w:wordWrap/>
        <w:overflowPunct/>
        <w:topLinePunct/>
        <w:autoSpaceDE w:val="0"/>
        <w:autoSpaceDN/>
        <w:bidi w:val="0"/>
        <w:adjustRightInd w:val="0"/>
        <w:snapToGrid w:val="0"/>
        <w:spacing w:after="0" w:line="520" w:lineRule="exact"/>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建设项目发生实际排污行为之前，排污单位应当按照国家环境保护相关法律法规以及排污许可证申请与核发技术规范要求申请排污许可证，不得无证排污或不按证排污。环境影响报告书（表）2015年1月1日（含）后获得批准的建设项目，其环境影响报告书（表）以及审批文件中与污染物排放相关的主要内容应当纳入排污许可证。为此，下阶段应将项目建设内容、产品方案、建设规模，采用的工艺流程、工艺技术方案，污染预防和清洁生产措施，环保设施和治理措施，各类污染物排放总量，在线监测和自主监测要求，环境安全防范措施，环境应急体系和应急设施等，全部按装置、设施载入排污许可证，具体内容详见报告书各章节。企业在设计，建设和运营过程中，需按照许可证管理要求进行监测和申报，自证守法；许可证内容发生变更应进行申报，重大变更应重新环评和申请许可证变更。环保管理部门对许可证内容进行定期和不定期的监督核查。</w:t>
      </w:r>
    </w:p>
    <w:p w14:paraId="278A9877">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r>
        <w:rPr>
          <w:rFonts w:hint="eastAsia" w:cs="Times New Roman"/>
          <w:lang w:val="en-US" w:eastAsia="zh-CN"/>
        </w:rPr>
        <w:t>9.3.7信息公开</w:t>
      </w:r>
    </w:p>
    <w:p w14:paraId="7A412D3F">
      <w:pPr>
        <w:pStyle w:val="94"/>
        <w:keepNext w:val="0"/>
        <w:keepLines w:val="0"/>
        <w:pageBreakBefore w:val="0"/>
        <w:widowControl/>
        <w:numPr>
          <w:ilvl w:val="0"/>
          <w:numId w:val="0"/>
        </w:numPr>
        <w:tabs>
          <w:tab w:val="left" w:pos="1227"/>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t>（1）公开内容</w:t>
      </w:r>
    </w:p>
    <w:p w14:paraId="48F6AA33">
      <w:pPr>
        <w:pStyle w:val="16"/>
        <w:keepNext w:val="0"/>
        <w:keepLines w:val="0"/>
        <w:pageBreakBefore w:val="0"/>
        <w:widowControl/>
        <w:kinsoku w:val="0"/>
        <w:wordWrap/>
        <w:overflowPunct w:val="0"/>
        <w:topLinePunct/>
        <w:autoSpaceDE w:val="0"/>
        <w:autoSpaceDN/>
        <w:bidi w:val="0"/>
        <w:adjustRightInd w:val="0"/>
        <w:snapToGrid w:val="0"/>
        <w:spacing w:after="0" w:line="520" w:lineRule="exact"/>
        <w:ind w:left="0" w:leftChars="0" w:right="0" w:firstLine="480" w:firstLineChars="200"/>
        <w:jc w:val="both"/>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t>排污单位自行监测信息公开内容及方式按照《企业事业单位环境信息公开办法》（环境保护部令第31号）及《国家重点监控企业自行监测及信息公开办法（试行）》（环发[2013]81号）执行，公开内容应包括：</w:t>
      </w:r>
    </w:p>
    <w:p w14:paraId="2DE1FE3C">
      <w:pPr>
        <w:pStyle w:val="16"/>
        <w:keepNext w:val="0"/>
        <w:keepLines w:val="0"/>
        <w:pageBreakBefore w:val="0"/>
        <w:widowControl/>
        <w:kinsoku w:val="0"/>
        <w:wordWrap/>
        <w:overflowPunct w:val="0"/>
        <w:topLinePunct/>
        <w:autoSpaceDE w:val="0"/>
        <w:autoSpaceDN/>
        <w:bidi w:val="0"/>
        <w:adjustRightInd w:val="0"/>
        <w:snapToGrid w:val="0"/>
        <w:spacing w:after="0" w:line="520" w:lineRule="exact"/>
        <w:ind w:left="0" w:leftChars="0" w:right="0" w:firstLine="480" w:firstLineChars="200"/>
        <w:jc w:val="both"/>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t>基础信息：企业名称、法人代表、所属行业、地理位置、生产周期、联系方式、委托监测机构名称等；自行监测方案；自行监测结果：全部监测点位、监测时间、污染物种类及浓度、标准限值、达标情况、超标倍数、污染物排放方式及排放去向；未开展自行监测的原因；污染源监测年度报告。</w:t>
      </w:r>
    </w:p>
    <w:p w14:paraId="103A1765">
      <w:pPr>
        <w:pStyle w:val="94"/>
        <w:keepNext w:val="0"/>
        <w:keepLines w:val="0"/>
        <w:pageBreakBefore w:val="0"/>
        <w:widowControl/>
        <w:numPr>
          <w:ilvl w:val="0"/>
          <w:numId w:val="0"/>
        </w:numPr>
        <w:tabs>
          <w:tab w:val="left" w:pos="1227"/>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bookmarkStart w:id="804" w:name="10.3.6.2 公开方式"/>
      <w:bookmarkEnd w:id="804"/>
      <w:r>
        <w:rPr>
          <w:rFonts w:hint="default" w:ascii="Times New Roman" w:hAnsi="Times New Roman" w:eastAsia="宋体" w:cs="Times New Roman"/>
          <w:sz w:val="24"/>
          <w:szCs w:val="24"/>
          <w:lang w:val="en-US" w:eastAsia="zh-CN" w:bidi="ar-SA"/>
        </w:rPr>
        <w:t>（2）公开方式</w:t>
      </w:r>
    </w:p>
    <w:p w14:paraId="5167D80D">
      <w:pPr>
        <w:pStyle w:val="16"/>
        <w:keepNext w:val="0"/>
        <w:keepLines w:val="0"/>
        <w:pageBreakBefore w:val="0"/>
        <w:widowControl/>
        <w:kinsoku w:val="0"/>
        <w:wordWrap/>
        <w:overflowPunct w:val="0"/>
        <w:topLinePunct/>
        <w:autoSpaceDE w:val="0"/>
        <w:autoSpaceDN/>
        <w:bidi w:val="0"/>
        <w:adjustRightInd w:val="0"/>
        <w:snapToGrid w:val="0"/>
        <w:spacing w:after="0" w:line="520" w:lineRule="exact"/>
        <w:ind w:left="0" w:leftChars="0" w:right="0" w:firstLine="480" w:firstLineChars="200"/>
        <w:jc w:val="both"/>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t>企业可通过对外网站、报纸、广播、电视等便于公众知晓的方式公开自行监测信息。同时，应当在省级或地市级环境保护主管部门统一组织建立的公布平台上公开自行监测信息，并至少保存一年。</w:t>
      </w:r>
    </w:p>
    <w:p w14:paraId="000CCF37">
      <w:pPr>
        <w:pStyle w:val="94"/>
        <w:keepNext w:val="0"/>
        <w:keepLines w:val="0"/>
        <w:pageBreakBefore w:val="0"/>
        <w:widowControl/>
        <w:numPr>
          <w:ilvl w:val="0"/>
          <w:numId w:val="0"/>
        </w:numPr>
        <w:tabs>
          <w:tab w:val="left" w:pos="1227"/>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bookmarkStart w:id="805" w:name="10.3.6.3 公开时限"/>
      <w:bookmarkEnd w:id="805"/>
      <w:r>
        <w:rPr>
          <w:rFonts w:hint="default" w:ascii="Times New Roman" w:hAnsi="Times New Roman" w:eastAsia="宋体" w:cs="Times New Roman"/>
          <w:sz w:val="24"/>
          <w:szCs w:val="24"/>
          <w:lang w:val="en-US" w:eastAsia="zh-CN" w:bidi="ar-SA"/>
        </w:rPr>
        <w:t>（3）公开时限</w:t>
      </w:r>
    </w:p>
    <w:p w14:paraId="0B6E186C">
      <w:pPr>
        <w:pStyle w:val="16"/>
        <w:keepNext w:val="0"/>
        <w:keepLines w:val="0"/>
        <w:pageBreakBefore w:val="0"/>
        <w:widowControl/>
        <w:kinsoku w:val="0"/>
        <w:wordWrap/>
        <w:overflowPunct w:val="0"/>
        <w:topLinePunct/>
        <w:autoSpaceDE w:val="0"/>
        <w:autoSpaceDN/>
        <w:bidi w:val="0"/>
        <w:adjustRightInd w:val="0"/>
        <w:snapToGrid w:val="0"/>
        <w:spacing w:after="0" w:line="520" w:lineRule="exact"/>
        <w:ind w:left="0" w:leftChars="0" w:right="0" w:firstLine="480" w:firstLineChars="200"/>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t>企业自行监测信息按以下要求的时限公开：</w:t>
      </w:r>
    </w:p>
    <w:p w14:paraId="5433D93F">
      <w:pPr>
        <w:pStyle w:val="94"/>
        <w:keepNext w:val="0"/>
        <w:keepLines w:val="0"/>
        <w:pageBreakBefore w:val="0"/>
        <w:widowControl/>
        <w:numPr>
          <w:ilvl w:val="0"/>
          <w:numId w:val="0"/>
        </w:numPr>
        <w:tabs>
          <w:tab w:val="left" w:pos="1408"/>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fldChar w:fldCharType="begin"/>
      </w:r>
      <w:r>
        <w:rPr>
          <w:rFonts w:hint="default" w:ascii="Times New Roman" w:hAnsi="Times New Roman" w:eastAsia="宋体" w:cs="Times New Roman"/>
          <w:sz w:val="24"/>
          <w:szCs w:val="24"/>
          <w:lang w:val="en-US" w:eastAsia="zh-CN" w:bidi="ar-SA"/>
        </w:rPr>
        <w:instrText xml:space="preserve"> = 1 \* GB3 \* MERGEFORMAT </w:instrText>
      </w:r>
      <w:r>
        <w:rPr>
          <w:rFonts w:hint="default" w:ascii="Times New Roman" w:hAnsi="Times New Roman" w:eastAsia="宋体" w:cs="Times New Roman"/>
          <w:sz w:val="24"/>
          <w:szCs w:val="24"/>
          <w:lang w:val="en-US" w:eastAsia="zh-CN" w:bidi="ar-SA"/>
        </w:rPr>
        <w:fldChar w:fldCharType="separate"/>
      </w:r>
      <w:r>
        <w:rPr>
          <w:rFonts w:hint="default" w:ascii="Times New Roman" w:hAnsi="Times New Roman" w:eastAsia="宋体" w:cs="Times New Roman"/>
          <w:sz w:val="24"/>
          <w:szCs w:val="24"/>
          <w:lang w:val="en-US" w:eastAsia="zh-CN" w:bidi="ar-SA"/>
        </w:rPr>
        <w:t>①</w:t>
      </w:r>
      <w:r>
        <w:rPr>
          <w:rFonts w:hint="default" w:ascii="Times New Roman" w:hAnsi="Times New Roman" w:eastAsia="宋体" w:cs="Times New Roman"/>
          <w:sz w:val="24"/>
          <w:szCs w:val="24"/>
          <w:lang w:val="en-US" w:eastAsia="zh-CN" w:bidi="ar-SA"/>
        </w:rPr>
        <w:fldChar w:fldCharType="end"/>
      </w:r>
      <w:r>
        <w:rPr>
          <w:rFonts w:hint="default" w:ascii="Times New Roman" w:hAnsi="Times New Roman" w:eastAsia="宋体" w:cs="Times New Roman"/>
          <w:sz w:val="24"/>
          <w:szCs w:val="24"/>
          <w:lang w:val="en-US" w:eastAsia="zh-CN" w:bidi="ar-SA"/>
        </w:rPr>
        <w:t>企业基础信息应随监测数据一并公布，基础信息、自行监测方案如有调整变化时，应于变更后的五日内公布最新内容；</w:t>
      </w:r>
    </w:p>
    <w:p w14:paraId="2D3CE373">
      <w:pPr>
        <w:pStyle w:val="94"/>
        <w:keepNext w:val="0"/>
        <w:keepLines w:val="0"/>
        <w:pageBreakBefore w:val="0"/>
        <w:widowControl/>
        <w:numPr>
          <w:ilvl w:val="0"/>
          <w:numId w:val="0"/>
        </w:numPr>
        <w:tabs>
          <w:tab w:val="left" w:pos="1408"/>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fldChar w:fldCharType="begin"/>
      </w:r>
      <w:r>
        <w:rPr>
          <w:rFonts w:hint="default" w:ascii="Times New Roman" w:hAnsi="Times New Roman" w:eastAsia="宋体" w:cs="Times New Roman"/>
          <w:sz w:val="24"/>
          <w:szCs w:val="24"/>
          <w:lang w:val="en-US" w:eastAsia="zh-CN" w:bidi="ar-SA"/>
        </w:rPr>
        <w:instrText xml:space="preserve"> = 2 \* GB3 \* MERGEFORMAT </w:instrText>
      </w:r>
      <w:r>
        <w:rPr>
          <w:rFonts w:hint="default" w:ascii="Times New Roman" w:hAnsi="Times New Roman" w:eastAsia="宋体" w:cs="Times New Roman"/>
          <w:sz w:val="24"/>
          <w:szCs w:val="24"/>
          <w:lang w:val="en-US" w:eastAsia="zh-CN" w:bidi="ar-SA"/>
        </w:rPr>
        <w:fldChar w:fldCharType="separate"/>
      </w:r>
      <w:r>
        <w:rPr>
          <w:rFonts w:hint="default" w:ascii="Times New Roman" w:hAnsi="Times New Roman" w:eastAsia="宋体" w:cs="Times New Roman"/>
          <w:sz w:val="24"/>
          <w:szCs w:val="24"/>
          <w:lang w:val="en-US" w:eastAsia="zh-CN" w:bidi="ar-SA"/>
        </w:rPr>
        <w:t>②</w:t>
      </w:r>
      <w:r>
        <w:rPr>
          <w:rFonts w:hint="default" w:ascii="Times New Roman" w:hAnsi="Times New Roman" w:eastAsia="宋体" w:cs="Times New Roman"/>
          <w:sz w:val="24"/>
          <w:szCs w:val="24"/>
          <w:lang w:val="en-US" w:eastAsia="zh-CN" w:bidi="ar-SA"/>
        </w:rPr>
        <w:fldChar w:fldCharType="end"/>
      </w:r>
      <w:r>
        <w:rPr>
          <w:rFonts w:hint="default" w:ascii="Times New Roman" w:hAnsi="Times New Roman" w:eastAsia="宋体" w:cs="Times New Roman"/>
          <w:sz w:val="24"/>
          <w:szCs w:val="24"/>
          <w:lang w:val="en-US" w:eastAsia="zh-CN" w:bidi="ar-SA"/>
        </w:rPr>
        <w:t>手工监测数据应于每次监测完成后的次日公布；</w:t>
      </w:r>
    </w:p>
    <w:p w14:paraId="6F9E1450">
      <w:pPr>
        <w:pStyle w:val="94"/>
        <w:keepNext w:val="0"/>
        <w:keepLines w:val="0"/>
        <w:pageBreakBefore w:val="0"/>
        <w:widowControl/>
        <w:numPr>
          <w:ilvl w:val="0"/>
          <w:numId w:val="0"/>
        </w:numPr>
        <w:tabs>
          <w:tab w:val="left" w:pos="1408"/>
        </w:tabs>
        <w:kinsoku w:val="0"/>
        <w:wordWrap/>
        <w:overflowPunct w:val="0"/>
        <w:topLinePunct/>
        <w:autoSpaceDE w:val="0"/>
        <w:autoSpaceDN/>
        <w:bidi w:val="0"/>
        <w:adjustRightInd w:val="0"/>
        <w:snapToGrid w:val="0"/>
        <w:spacing w:after="0" w:line="520" w:lineRule="exact"/>
        <w:ind w:leftChars="0" w:right="0" w:rightChars="0" w:firstLine="480" w:firstLineChars="200"/>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fldChar w:fldCharType="begin"/>
      </w:r>
      <w:r>
        <w:rPr>
          <w:rFonts w:hint="default" w:ascii="Times New Roman" w:hAnsi="Times New Roman" w:eastAsia="宋体" w:cs="Times New Roman"/>
          <w:sz w:val="24"/>
          <w:szCs w:val="24"/>
          <w:lang w:val="en-US" w:eastAsia="zh-CN" w:bidi="ar-SA"/>
        </w:rPr>
        <w:instrText xml:space="preserve"> = 3 \* GB3 \* MERGEFORMAT </w:instrText>
      </w:r>
      <w:r>
        <w:rPr>
          <w:rFonts w:hint="default" w:ascii="Times New Roman" w:hAnsi="Times New Roman" w:eastAsia="宋体" w:cs="Times New Roman"/>
          <w:sz w:val="24"/>
          <w:szCs w:val="24"/>
          <w:lang w:val="en-US" w:eastAsia="zh-CN" w:bidi="ar-SA"/>
        </w:rPr>
        <w:fldChar w:fldCharType="separate"/>
      </w:r>
      <w:r>
        <w:rPr>
          <w:rFonts w:hint="default" w:ascii="Times New Roman" w:hAnsi="Times New Roman" w:eastAsia="宋体" w:cs="Times New Roman"/>
          <w:sz w:val="24"/>
          <w:szCs w:val="24"/>
          <w:lang w:val="en-US" w:eastAsia="zh-CN" w:bidi="ar-SA"/>
        </w:rPr>
        <w:t>③</w:t>
      </w:r>
      <w:r>
        <w:rPr>
          <w:rFonts w:hint="default" w:ascii="Times New Roman" w:hAnsi="Times New Roman" w:eastAsia="宋体" w:cs="Times New Roman"/>
          <w:sz w:val="24"/>
          <w:szCs w:val="24"/>
          <w:lang w:val="en-US" w:eastAsia="zh-CN" w:bidi="ar-SA"/>
        </w:rPr>
        <w:fldChar w:fldCharType="end"/>
      </w:r>
      <w:r>
        <w:rPr>
          <w:rFonts w:hint="default" w:ascii="Times New Roman" w:hAnsi="Times New Roman" w:eastAsia="宋体" w:cs="Times New Roman"/>
          <w:sz w:val="24"/>
          <w:szCs w:val="24"/>
          <w:lang w:val="en-US" w:eastAsia="zh-CN" w:bidi="ar-SA"/>
        </w:rPr>
        <w:t>自动监测数据应实时公布监测结果；</w:t>
      </w:r>
    </w:p>
    <w:p w14:paraId="09B6D500">
      <w:pPr>
        <w:pStyle w:val="16"/>
        <w:keepNext w:val="0"/>
        <w:keepLines w:val="0"/>
        <w:pageBreakBefore w:val="0"/>
        <w:widowControl/>
        <w:kinsoku/>
        <w:wordWrap/>
        <w:overflowPunct/>
        <w:topLinePunct/>
        <w:autoSpaceDE w:val="0"/>
        <w:autoSpaceDN/>
        <w:bidi w:val="0"/>
        <w:adjustRightInd w:val="0"/>
        <w:snapToGrid w:val="0"/>
        <w:spacing w:after="0" w:line="520" w:lineRule="exact"/>
        <w:ind w:left="0" w:leftChars="0" w:right="0" w:firstLine="480" w:firstLineChars="200"/>
        <w:jc w:val="both"/>
        <w:textAlignment w:val="auto"/>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sz w:val="24"/>
          <w:szCs w:val="24"/>
          <w:lang w:val="en-US" w:eastAsia="zh-CN" w:bidi="ar-SA"/>
        </w:rPr>
        <w:fldChar w:fldCharType="begin"/>
      </w:r>
      <w:r>
        <w:rPr>
          <w:rFonts w:hint="default" w:ascii="Times New Roman" w:hAnsi="Times New Roman" w:eastAsia="宋体" w:cs="Times New Roman"/>
          <w:sz w:val="24"/>
          <w:szCs w:val="24"/>
          <w:lang w:val="en-US" w:eastAsia="zh-CN" w:bidi="ar-SA"/>
        </w:rPr>
        <w:instrText xml:space="preserve"> = 4 \* GB3 \* MERGEFORMAT </w:instrText>
      </w:r>
      <w:r>
        <w:rPr>
          <w:rFonts w:hint="default" w:ascii="Times New Roman" w:hAnsi="Times New Roman" w:eastAsia="宋体" w:cs="Times New Roman"/>
          <w:sz w:val="24"/>
          <w:szCs w:val="24"/>
          <w:lang w:val="en-US" w:eastAsia="zh-CN" w:bidi="ar-SA"/>
        </w:rPr>
        <w:fldChar w:fldCharType="separate"/>
      </w:r>
      <w:r>
        <w:rPr>
          <w:rFonts w:hint="default" w:ascii="Times New Roman" w:hAnsi="Times New Roman" w:eastAsia="宋体" w:cs="Times New Roman"/>
          <w:sz w:val="24"/>
          <w:szCs w:val="24"/>
          <w:lang w:val="en-US" w:eastAsia="zh-CN" w:bidi="ar-SA"/>
        </w:rPr>
        <w:t>④</w:t>
      </w:r>
      <w:r>
        <w:rPr>
          <w:rFonts w:hint="default" w:ascii="Times New Roman" w:hAnsi="Times New Roman" w:eastAsia="宋体" w:cs="Times New Roman"/>
          <w:sz w:val="24"/>
          <w:szCs w:val="24"/>
          <w:lang w:val="en-US" w:eastAsia="zh-CN" w:bidi="ar-SA"/>
        </w:rPr>
        <w:fldChar w:fldCharType="end"/>
      </w:r>
      <w:r>
        <w:rPr>
          <w:rFonts w:hint="default" w:ascii="Times New Roman" w:hAnsi="Times New Roman" w:eastAsia="宋体" w:cs="Times New Roman"/>
          <w:sz w:val="24"/>
          <w:szCs w:val="24"/>
          <w:lang w:val="en-US" w:eastAsia="zh-CN" w:bidi="ar-SA"/>
        </w:rPr>
        <w:t>每年1月底前公布上年度自行监测年度报告</w:t>
      </w:r>
      <w:r>
        <w:rPr>
          <w:rFonts w:hint="eastAsia" w:cs="Times New Roman"/>
          <w:sz w:val="24"/>
          <w:szCs w:val="24"/>
          <w:lang w:val="en-US" w:eastAsia="zh-CN" w:bidi="ar-SA"/>
        </w:rPr>
        <w:t>。</w:t>
      </w:r>
    </w:p>
    <w:p w14:paraId="0CEA8037">
      <w:pPr>
        <w:pStyle w:val="2"/>
        <w:keepNext/>
        <w:keepLines/>
        <w:widowControl w:val="0"/>
        <w:kinsoku/>
        <w:wordWrap/>
        <w:overflowPunct/>
        <w:topLinePunct w:val="0"/>
        <w:autoSpaceDE/>
        <w:autoSpaceDN/>
        <w:bidi w:val="0"/>
        <w:adjustRightInd/>
        <w:snapToGrid/>
        <w:spacing w:beforeLines="0" w:afterLines="0" w:line="520" w:lineRule="exact"/>
        <w:textAlignment w:val="baseline"/>
        <w:rPr>
          <w:rFonts w:hint="eastAsia" w:ascii="Times New Roman" w:hAnsi="Times New Roman" w:cs="Times New Roman"/>
          <w:lang w:val="en-US" w:eastAsia="zh-CN"/>
        </w:rPr>
      </w:pPr>
      <w:bookmarkStart w:id="806" w:name="_Toc51319895"/>
      <w:bookmarkStart w:id="807" w:name="_Toc324839385"/>
      <w:bookmarkStart w:id="808" w:name="_Toc220"/>
      <w:bookmarkStart w:id="809" w:name="_Toc311812694"/>
      <w:bookmarkStart w:id="810" w:name="_Toc324839668"/>
      <w:bookmarkStart w:id="811" w:name="_Toc26189"/>
      <w:r>
        <w:rPr>
          <w:rFonts w:hint="eastAsia" w:ascii="Times New Roman" w:hAnsi="Times New Roman" w:cs="Times New Roman"/>
          <w:lang w:val="en-US" w:eastAsia="zh-CN"/>
        </w:rPr>
        <w:t>评价结论</w:t>
      </w:r>
      <w:bookmarkEnd w:id="771"/>
      <w:bookmarkEnd w:id="772"/>
      <w:bookmarkEnd w:id="773"/>
      <w:bookmarkEnd w:id="774"/>
      <w:bookmarkEnd w:id="806"/>
      <w:bookmarkEnd w:id="807"/>
      <w:bookmarkEnd w:id="808"/>
      <w:bookmarkEnd w:id="809"/>
      <w:bookmarkEnd w:id="810"/>
      <w:r>
        <w:rPr>
          <w:rFonts w:hint="eastAsia" w:cs="Times New Roman"/>
          <w:lang w:val="en-US" w:eastAsia="zh-CN"/>
        </w:rPr>
        <w:t>与建议</w:t>
      </w:r>
      <w:bookmarkEnd w:id="811"/>
    </w:p>
    <w:p w14:paraId="1B457235">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812" w:name="_Toc324839386"/>
      <w:bookmarkStart w:id="813" w:name="_Toc324839669"/>
      <w:bookmarkStart w:id="814" w:name="_Toc10770"/>
      <w:bookmarkStart w:id="815" w:name="_Toc18434"/>
      <w:bookmarkStart w:id="816" w:name="_Toc311812696"/>
      <w:bookmarkStart w:id="817" w:name="_Toc51319896"/>
      <w:r>
        <w:rPr>
          <w:rFonts w:hint="eastAsia"/>
          <w:lang w:val="en-US" w:eastAsia="zh-CN"/>
        </w:rPr>
        <w:t>10.1评价结论</w:t>
      </w:r>
      <w:bookmarkEnd w:id="812"/>
      <w:bookmarkEnd w:id="813"/>
      <w:bookmarkEnd w:id="814"/>
      <w:bookmarkEnd w:id="815"/>
      <w:bookmarkEnd w:id="816"/>
      <w:bookmarkEnd w:id="817"/>
    </w:p>
    <w:p w14:paraId="523B25E2">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18" w:name="_Toc7939"/>
      <w:bookmarkStart w:id="819" w:name="_Toc108122647"/>
      <w:r>
        <w:rPr>
          <w:rFonts w:hint="eastAsia" w:cs="Times New Roman"/>
          <w:lang w:val="en-US" w:eastAsia="zh-CN"/>
        </w:rPr>
        <w:t>10.1.1工程建设符合国家产业政策</w:t>
      </w:r>
      <w:bookmarkEnd w:id="818"/>
      <w:bookmarkEnd w:id="819"/>
    </w:p>
    <w:p w14:paraId="422925A5">
      <w:pPr>
        <w:pStyle w:val="72"/>
        <w:rPr>
          <w:highlight w:val="yellow"/>
        </w:rPr>
      </w:pPr>
      <w:r>
        <w:rPr>
          <w:rFonts w:hint="eastAsia"/>
        </w:rPr>
        <w:t>根据《产业结构调整指导目录（2024年本）》，该项目不属于鼓励类、限制类或淘汰类，属于允许类项目。符合当前国家产业政策。本项目已经</w:t>
      </w:r>
      <w:r>
        <w:rPr>
          <w:rFonts w:hint="eastAsia"/>
          <w:lang w:val="en-US" w:eastAsia="zh-CN"/>
        </w:rPr>
        <w:t>获嘉县</w:t>
      </w:r>
      <w:r>
        <w:t>发展和改革委员会</w:t>
      </w:r>
      <w:r>
        <w:rPr>
          <w:rFonts w:hint="eastAsia"/>
        </w:rPr>
        <w:t>备案，项目代码：2503-410724-04-05-141876。</w:t>
      </w:r>
    </w:p>
    <w:p w14:paraId="3F95FCE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20" w:name="_Toc108122648"/>
      <w:bookmarkStart w:id="821" w:name="_Toc2430"/>
      <w:r>
        <w:rPr>
          <w:rFonts w:hint="eastAsia" w:cs="Times New Roman"/>
          <w:lang w:val="en-US" w:eastAsia="zh-CN"/>
        </w:rPr>
        <w:t>10.1.2工程选址符合规划要求，厂区平面布置较为合理</w:t>
      </w:r>
      <w:bookmarkEnd w:id="820"/>
    </w:p>
    <w:p w14:paraId="5180A6A8">
      <w:pPr>
        <w:ind w:firstLine="480"/>
      </w:pPr>
      <w:r>
        <w:rPr>
          <w:rFonts w:hint="eastAsia"/>
        </w:rPr>
        <w:t>本项目为年产10亿只钢壳、10亿只盖帽和3600吨电池连接件项目，选址位于新乡市获嘉县先进制造业开发区安王路与梧桐路交叉口西100米1号，</w:t>
      </w:r>
      <w:r>
        <w:t>根据《获嘉县产业集聚区总体发展规划（2016~2020）》产业布局规划图，拟建项目厂址所在地块属于</w:t>
      </w:r>
      <w:r>
        <w:rPr>
          <w:rFonts w:hint="eastAsia"/>
          <w:lang w:val="en-US" w:eastAsia="zh-CN"/>
        </w:rPr>
        <w:t>机械制造片区</w:t>
      </w:r>
      <w:r>
        <w:t>，本项目符合产业布局要求。根据《获嘉县产业集聚区总体发展规划（2016~2020）》用地规划图，本项目厂址为规划的二类工业用地，符合用地规划要求。</w:t>
      </w:r>
    </w:p>
    <w:p w14:paraId="579CA225">
      <w:pPr>
        <w:ind w:firstLine="480"/>
        <w:rPr>
          <w:color w:val="000000" w:themeColor="text1"/>
          <w14:textFill>
            <w14:solidFill>
              <w14:schemeClr w14:val="tx1"/>
            </w14:solidFill>
          </w14:textFill>
        </w:rPr>
      </w:pPr>
      <w:r>
        <w:rPr>
          <w:color w:val="000000" w:themeColor="text1"/>
          <w14:textFill>
            <w14:solidFill>
              <w14:schemeClr w14:val="tx1"/>
            </w14:solidFill>
          </w14:textFill>
        </w:rPr>
        <w:t>预测结果显示：项目对区域环境空气、地表水、地下水及声环境无显著影响，从环保角度看工程选址可行。工程生产车间、辅助工程等设施在总体平面布置上可满足工艺流程合理、物料输送顺畅的原则，厂区平面布置较为合理。</w:t>
      </w:r>
    </w:p>
    <w:bookmarkEnd w:id="821"/>
    <w:p w14:paraId="427C8763">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22" w:name="_Toc22293"/>
      <w:bookmarkStart w:id="823" w:name="_Toc108122649"/>
      <w:r>
        <w:rPr>
          <w:rFonts w:hint="eastAsia" w:cs="Times New Roman"/>
          <w:lang w:val="en-US" w:eastAsia="zh-CN"/>
        </w:rPr>
        <w:t>10.1.3评价区域内的环境质量现状</w:t>
      </w:r>
      <w:bookmarkEnd w:id="822"/>
      <w:bookmarkEnd w:id="823"/>
    </w:p>
    <w:p w14:paraId="3E62AE37">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10.1.3.1环境空气质量现状</w:t>
      </w:r>
    </w:p>
    <w:p w14:paraId="6AC2583B">
      <w:pPr>
        <w:pStyle w:val="72"/>
        <w:rPr>
          <w:color w:val="0000FF"/>
          <w:highlight w:val="yellow"/>
        </w:rPr>
      </w:pPr>
      <w:r>
        <w:t>评价区</w:t>
      </w:r>
      <w:r>
        <w:rPr>
          <w:rFonts w:hint="eastAsia"/>
        </w:rPr>
        <w:t>基本污染物（</w:t>
      </w:r>
      <w:r>
        <w:t>SO</w:t>
      </w:r>
      <w:r>
        <w:rPr>
          <w:vertAlign w:val="subscript"/>
        </w:rPr>
        <w:t>2</w:t>
      </w:r>
      <w:r>
        <w:t>、NO</w:t>
      </w:r>
      <w:r>
        <w:rPr>
          <w:vertAlign w:val="subscript"/>
        </w:rPr>
        <w:t>2</w:t>
      </w:r>
      <w:r>
        <w:t>、PM</w:t>
      </w:r>
      <w:r>
        <w:rPr>
          <w:vertAlign w:val="subscript"/>
        </w:rPr>
        <w:t>10</w:t>
      </w:r>
      <w:r>
        <w:t>、PM</w:t>
      </w:r>
      <w:r>
        <w:rPr>
          <w:rFonts w:hint="eastAsia"/>
          <w:vertAlign w:val="subscript"/>
        </w:rPr>
        <w:t>2.5</w:t>
      </w:r>
      <w:r>
        <w:t>、</w:t>
      </w:r>
      <w:r>
        <w:rPr>
          <w:rFonts w:hint="eastAsia"/>
        </w:rPr>
        <w:t>CO、O</w:t>
      </w:r>
      <w:r>
        <w:rPr>
          <w:rFonts w:hint="eastAsia"/>
          <w:vertAlign w:val="subscript"/>
        </w:rPr>
        <w:t>3</w:t>
      </w:r>
      <w:r>
        <w:rPr>
          <w:rFonts w:hint="eastAsia"/>
        </w:rPr>
        <w:t>）中PM</w:t>
      </w:r>
      <w:r>
        <w:rPr>
          <w:rFonts w:hint="eastAsia"/>
          <w:vertAlign w:val="subscript"/>
        </w:rPr>
        <w:t>10</w:t>
      </w:r>
      <w:r>
        <w:rPr>
          <w:rFonts w:hint="eastAsia"/>
        </w:rPr>
        <w:t>、PM</w:t>
      </w:r>
      <w:r>
        <w:rPr>
          <w:rFonts w:hint="eastAsia"/>
          <w:vertAlign w:val="subscript"/>
        </w:rPr>
        <w:t>2.5</w:t>
      </w:r>
      <w:r>
        <w:rPr>
          <w:rFonts w:hint="eastAsia"/>
        </w:rPr>
        <w:t>、O</w:t>
      </w:r>
      <w:r>
        <w:rPr>
          <w:rFonts w:hint="eastAsia"/>
          <w:vertAlign w:val="subscript"/>
        </w:rPr>
        <w:t>3</w:t>
      </w:r>
      <w:r>
        <w:rPr>
          <w:rFonts w:hint="eastAsia"/>
        </w:rPr>
        <w:t>环境质量现状监测结果不能满足《环境空气质量标准》（GB3095-2012）二级标准要求，属于不达标区。</w:t>
      </w:r>
      <w:r>
        <w:rPr>
          <w:rFonts w:hint="eastAsia"/>
          <w:color w:val="000000" w:themeColor="text1"/>
          <w14:textFill>
            <w14:solidFill>
              <w14:schemeClr w14:val="tx1"/>
            </w14:solidFill>
          </w14:textFill>
        </w:rPr>
        <w:t>其他污染物：硫酸雾、H</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和N</w:t>
      </w:r>
      <w:r>
        <w:rPr>
          <w:color w:val="000000" w:themeColor="text1"/>
          <w14:textFill>
            <w14:solidFill>
              <w14:schemeClr w14:val="tx1"/>
            </w14:solidFill>
          </w14:textFill>
        </w:rPr>
        <w:t>H</w:t>
      </w:r>
      <w:r>
        <w:rPr>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环境质量现状能满足《环境影响评价技术导则  大气环境》（HJ2.2-2018）附录D的限值要求；</w:t>
      </w:r>
      <w:r>
        <w:rPr>
          <w:color w:val="000000" w:themeColor="text1"/>
          <w14:textFill>
            <w14:solidFill>
              <w14:schemeClr w14:val="tx1"/>
            </w14:solidFill>
          </w14:textFill>
        </w:rPr>
        <w:t>NOx</w:t>
      </w:r>
      <w:r>
        <w:rPr>
          <w:rFonts w:hint="eastAsia"/>
          <w:color w:val="000000" w:themeColor="text1"/>
          <w14:textFill>
            <w14:solidFill>
              <w14:schemeClr w14:val="tx1"/>
            </w14:solidFill>
          </w14:textFill>
        </w:rPr>
        <w:t>环境质量现状监测结果不能满足《环境空气质量标准》（GB3095-2012）二级标准要求；臭气浓度满足环境空气质量要求。</w:t>
      </w:r>
    </w:p>
    <w:p w14:paraId="3CBFD0FC">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10.1.3.2地表水环境质量现状</w:t>
      </w:r>
    </w:p>
    <w:p w14:paraId="3A001D0C">
      <w:pPr>
        <w:widowControl/>
        <w:numPr>
          <w:ilvl w:val="2"/>
          <w:numId w:val="0"/>
        </w:numPr>
        <w:tabs>
          <w:tab w:val="left" w:pos="1041"/>
        </w:tabs>
        <w:autoSpaceDE w:val="0"/>
        <w:autoSpaceDN w:val="0"/>
        <w:ind w:firstLine="480" w:firstLineChars="200"/>
        <w:textAlignment w:val="auto"/>
        <w:rPr>
          <w:rFonts w:hint="eastAsia"/>
          <w:color w:val="000000"/>
        </w:rPr>
      </w:pPr>
      <w:r>
        <w:rPr>
          <w:color w:val="000000"/>
        </w:rPr>
        <w:t>共渠西永康断面</w:t>
      </w:r>
      <w:r>
        <w:rPr>
          <w:rFonts w:hint="eastAsia"/>
          <w:color w:val="000000"/>
          <w:lang w:val="en-US" w:eastAsia="zh-CN"/>
        </w:rPr>
        <w:t>2024</w:t>
      </w:r>
      <w:r>
        <w:rPr>
          <w:rFonts w:hint="eastAsia"/>
          <w:color w:val="000000"/>
        </w:rPr>
        <w:t>年</w:t>
      </w:r>
      <w:r>
        <w:rPr>
          <w:color w:val="000000"/>
        </w:rPr>
        <w:t>COD</w:t>
      </w:r>
      <w:r>
        <w:rPr>
          <w:rFonts w:hint="eastAsia"/>
          <w:color w:val="000000"/>
        </w:rPr>
        <w:t>、</w:t>
      </w:r>
      <w:r>
        <w:rPr>
          <w:color w:val="000000"/>
        </w:rPr>
        <w:t>氨氮、总磷均能满足《地表水环境质量标准》（GB3838-2002）</w:t>
      </w:r>
      <w:r>
        <w:rPr>
          <w:rFonts w:hint="eastAsia"/>
          <w:color w:val="000000"/>
        </w:rPr>
        <w:t>IV类</w:t>
      </w:r>
      <w:r>
        <w:rPr>
          <w:color w:val="000000"/>
        </w:rPr>
        <w:t>标准</w:t>
      </w:r>
      <w:r>
        <w:rPr>
          <w:rFonts w:hint="eastAsia"/>
          <w:color w:val="000000"/>
        </w:rPr>
        <w:t>。共渠西永康该段水质良好。目前，新乡市正在推进实施《新乡市2024年碧水保卫战实施方案》，将继续改善新乡市水环境质量。</w:t>
      </w:r>
    </w:p>
    <w:p w14:paraId="7F4A5CE2">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10.1.3.3地下水环境质量现状</w:t>
      </w:r>
    </w:p>
    <w:p w14:paraId="62DA456F">
      <w:pPr>
        <w:ind w:firstLine="480"/>
        <w:rPr>
          <w:highlight w:val="yellow"/>
        </w:rPr>
      </w:pPr>
      <w:r>
        <w:rPr>
          <w:rFonts w:hint="eastAsia"/>
        </w:rPr>
        <w:t>地下水水质调查统计结果表明，本次水质调查点位的各监测因子均满足《地下水质量标准》（</w:t>
      </w:r>
      <w:r>
        <w:t>GB/T14848-2017</w:t>
      </w:r>
      <w:r>
        <w:rPr>
          <w:rFonts w:hint="eastAsia"/>
        </w:rPr>
        <w:t>）</w:t>
      </w:r>
      <w:r>
        <w:t>Ⅲ</w:t>
      </w:r>
      <w:r>
        <w:rPr>
          <w:rFonts w:hint="eastAsia"/>
        </w:rPr>
        <w:t>类水质标准要求；说明项目所在区域地下水水质较好。</w:t>
      </w:r>
    </w:p>
    <w:p w14:paraId="6AA68C90">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10.1.3.4声环境质量现状</w:t>
      </w:r>
    </w:p>
    <w:p w14:paraId="126B56F8">
      <w:pPr>
        <w:pStyle w:val="72"/>
      </w:pPr>
      <w:r>
        <w:rPr>
          <w:rFonts w:hint="eastAsia"/>
        </w:rPr>
        <w:t>目前</w:t>
      </w:r>
      <w:r>
        <w:t>评价区域</w:t>
      </w:r>
      <w:r>
        <w:rPr>
          <w:rFonts w:hint="eastAsia"/>
        </w:rPr>
        <w:t>噪声现状可以满足《声环境质量标准》（</w:t>
      </w:r>
      <w:r>
        <w:t>GB3096-2008</w:t>
      </w:r>
      <w:r>
        <w:rPr>
          <w:rFonts w:hint="eastAsia"/>
        </w:rPr>
        <w:t>）3类标准的要求，</w:t>
      </w:r>
      <w:r>
        <w:t>厂址区域声环境质量现状较好。</w:t>
      </w:r>
    </w:p>
    <w:p w14:paraId="3AF415BA">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10.1.3.5土壤环境质量</w:t>
      </w:r>
    </w:p>
    <w:p w14:paraId="40F24BCC">
      <w:pPr>
        <w:pStyle w:val="72"/>
        <w:rPr>
          <w:highlight w:val="yellow"/>
        </w:rPr>
      </w:pPr>
      <w:r>
        <w:rPr>
          <w:rFonts w:hint="eastAsia"/>
        </w:rPr>
        <w:t xml:space="preserve">由土壤监测及其统计结果可知，项目厂址区域土壤中各监测点位的各监测因子均能满足《土壤环境质量 </w:t>
      </w:r>
      <w:r>
        <w:t xml:space="preserve"> </w:t>
      </w:r>
      <w:r>
        <w:rPr>
          <w:rFonts w:hint="eastAsia"/>
        </w:rPr>
        <w:t>建设用地土壤污染风险管控标准（试行）》（GB36600-2018）表1、表2第二类用地筛选值要求。</w:t>
      </w:r>
    </w:p>
    <w:p w14:paraId="2A52B90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24" w:name="_Toc4331"/>
      <w:bookmarkStart w:id="825" w:name="_Toc108122650"/>
      <w:r>
        <w:rPr>
          <w:rFonts w:hint="eastAsia" w:cs="Times New Roman"/>
          <w:lang w:val="en-US" w:eastAsia="zh-CN"/>
        </w:rPr>
        <w:t>10.1.4环境影响预测及评价结论</w:t>
      </w:r>
      <w:bookmarkEnd w:id="824"/>
      <w:bookmarkEnd w:id="825"/>
    </w:p>
    <w:p w14:paraId="429165A3">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10.1.4.1大气环境影响评价结论</w:t>
      </w:r>
    </w:p>
    <w:p w14:paraId="44D37D7A">
      <w:pPr>
        <w:pStyle w:val="94"/>
        <w:keepNext w:val="0"/>
        <w:keepLines w:val="0"/>
        <w:pageBreakBefore w:val="0"/>
        <w:widowControl/>
        <w:numPr>
          <w:ilvl w:val="0"/>
          <w:numId w:val="0"/>
        </w:numPr>
        <w:tabs>
          <w:tab w:val="left" w:pos="1410"/>
        </w:tabs>
        <w:kinsoku/>
        <w:wordWrap/>
        <w:overflowPunct/>
        <w:topLinePunct/>
        <w:autoSpaceDE w:val="0"/>
        <w:autoSpaceDN/>
        <w:bidi w:val="0"/>
        <w:adjustRightInd w:val="0"/>
        <w:snapToGrid w:val="0"/>
        <w:spacing w:after="0" w:line="520" w:lineRule="exact"/>
        <w:ind w:right="0" w:rightChars="0" w:firstLine="480" w:firstLineChars="200"/>
        <w:jc w:val="both"/>
        <w:textAlignment w:val="auto"/>
        <w:rPr>
          <w:rFonts w:hint="default" w:ascii="Times New Roman" w:hAnsi="Times New Roman" w:eastAsia="宋体" w:cs="Times New Roman"/>
          <w:sz w:val="24"/>
          <w:szCs w:val="24"/>
          <w:u w:val="none"/>
          <w:lang w:eastAsia="zh-CN"/>
        </w:rPr>
      </w:pPr>
      <w:r>
        <w:rPr>
          <w:rFonts w:hint="default" w:ascii="Times New Roman" w:hAnsi="Times New Roman" w:eastAsia="宋体" w:cs="Times New Roman"/>
          <w:color w:val="000000"/>
          <w:spacing w:val="0"/>
          <w:w w:val="100"/>
          <w:kern w:val="21"/>
          <w:position w:val="0"/>
          <w:sz w:val="24"/>
          <w:szCs w:val="24"/>
        </w:rPr>
        <w:t>项目大气污染源排放的污染物经估算模式预测，</w:t>
      </w:r>
      <w:r>
        <w:rPr>
          <w:rFonts w:hint="default" w:ascii="Times New Roman" w:hAnsi="Times New Roman" w:eastAsia="宋体" w:cs="Times New Roman"/>
          <w:color w:val="000000"/>
          <w:spacing w:val="0"/>
          <w:w w:val="100"/>
          <w:kern w:val="21"/>
          <w:position w:val="0"/>
          <w:sz w:val="24"/>
          <w:szCs w:val="24"/>
          <w:lang w:val="zh-CN" w:eastAsia="zh-CN" w:bidi="zh-CN"/>
        </w:rPr>
        <w:t>本项目污染源占标率为无组织排</w:t>
      </w:r>
      <w:r>
        <w:rPr>
          <w:rFonts w:hint="default" w:ascii="Times New Roman" w:hAnsi="Times New Roman" w:eastAsia="宋体" w:cs="Times New Roman"/>
          <w:color w:val="000000"/>
          <w:spacing w:val="0"/>
          <w:w w:val="100"/>
          <w:kern w:val="21"/>
          <w:position w:val="0"/>
          <w:sz w:val="24"/>
          <w:szCs w:val="24"/>
          <w:lang w:val="zh-CN" w:eastAsia="zh-CN"/>
        </w:rPr>
        <w:t>放中</w:t>
      </w:r>
      <w:r>
        <w:rPr>
          <w:rFonts w:hint="eastAsia" w:ascii="Times New Roman" w:hAnsi="Times New Roman" w:eastAsia="宋体" w:cs="Times New Roman"/>
          <w:color w:val="000000"/>
          <w:spacing w:val="0"/>
          <w:w w:val="100"/>
          <w:kern w:val="21"/>
          <w:position w:val="0"/>
          <w:sz w:val="24"/>
          <w:szCs w:val="24"/>
          <w:lang w:val="en-US" w:eastAsia="zh-CN"/>
        </w:rPr>
        <w:t>的硫化氢</w:t>
      </w:r>
      <w:r>
        <w:rPr>
          <w:rFonts w:hint="default" w:ascii="Times New Roman" w:hAnsi="Times New Roman" w:eastAsia="宋体" w:cs="Times New Roman"/>
          <w:color w:val="000000"/>
          <w:spacing w:val="0"/>
          <w:w w:val="100"/>
          <w:kern w:val="21"/>
          <w:position w:val="0"/>
          <w:sz w:val="24"/>
          <w:szCs w:val="24"/>
          <w:lang w:val="zh-CN" w:eastAsia="zh-CN" w:bidi="zh-CN"/>
        </w:rPr>
        <w:t>，</w:t>
      </w:r>
      <w:r>
        <w:rPr>
          <w:rFonts w:hint="default" w:ascii="Times New Roman" w:hAnsi="Times New Roman" w:eastAsia="宋体" w:cs="Times New Roman"/>
          <w:color w:val="000000"/>
          <w:spacing w:val="0"/>
          <w:w w:val="100"/>
          <w:kern w:val="21"/>
          <w:position w:val="0"/>
          <w:sz w:val="24"/>
          <w:szCs w:val="24"/>
        </w:rPr>
        <w:t>最大落地浓度值为</w:t>
      </w:r>
      <w:r>
        <w:rPr>
          <w:rFonts w:hint="eastAsia" w:ascii="Times New Roman" w:hAnsi="Times New Roman" w:cs="Times New Roman"/>
          <w:b w:val="0"/>
          <w:bCs w:val="0"/>
          <w:color w:val="000000"/>
          <w:spacing w:val="0"/>
          <w:w w:val="100"/>
          <w:kern w:val="21"/>
          <w:position w:val="0"/>
          <w:sz w:val="24"/>
          <w:szCs w:val="24"/>
          <w:lang w:val="en-US" w:eastAsia="zh-CN"/>
        </w:rPr>
        <w:t>0.84</w:t>
      </w:r>
      <w:r>
        <w:rPr>
          <w:rFonts w:hint="default" w:ascii="Times New Roman" w:hAnsi="Times New Roman" w:eastAsia="宋体" w:cs="Times New Roman"/>
          <w:color w:val="000000"/>
          <w:spacing w:val="0"/>
          <w:w w:val="100"/>
          <w:kern w:val="21"/>
          <w:position w:val="0"/>
          <w:sz w:val="24"/>
          <w:szCs w:val="24"/>
        </w:rPr>
        <w:t>ug/m</w:t>
      </w:r>
      <w:r>
        <w:rPr>
          <w:rFonts w:hint="default" w:ascii="Times New Roman" w:hAnsi="Times New Roman" w:eastAsia="宋体" w:cs="Times New Roman"/>
          <w:color w:val="000000"/>
          <w:spacing w:val="0"/>
          <w:w w:val="100"/>
          <w:kern w:val="21"/>
          <w:position w:val="0"/>
          <w:sz w:val="24"/>
          <w:szCs w:val="24"/>
          <w:vertAlign w:val="superscript"/>
        </w:rPr>
        <w:t>3</w:t>
      </w:r>
      <w:r>
        <w:rPr>
          <w:rFonts w:hint="default" w:ascii="Times New Roman" w:hAnsi="Times New Roman" w:eastAsia="宋体" w:cs="Times New Roman"/>
          <w:color w:val="000000"/>
          <w:spacing w:val="0"/>
          <w:w w:val="100"/>
          <w:kern w:val="21"/>
          <w:position w:val="0"/>
          <w:sz w:val="24"/>
          <w:szCs w:val="24"/>
        </w:rPr>
        <w:t>、占标率为</w:t>
      </w:r>
      <w:r>
        <w:rPr>
          <w:rFonts w:hint="eastAsia" w:ascii="Times New Roman" w:hAnsi="Times New Roman" w:cs="Times New Roman"/>
          <w:color w:val="000000"/>
          <w:spacing w:val="0"/>
          <w:w w:val="100"/>
          <w:kern w:val="21"/>
          <w:position w:val="0"/>
          <w:sz w:val="24"/>
          <w:szCs w:val="24"/>
          <w:lang w:val="en-US" w:eastAsia="zh-CN"/>
        </w:rPr>
        <w:t>8.4</w:t>
      </w:r>
      <w:r>
        <w:rPr>
          <w:rFonts w:hint="default" w:ascii="Times New Roman" w:hAnsi="Times New Roman" w:eastAsia="宋体" w:cs="Times New Roman"/>
          <w:color w:val="000000"/>
          <w:spacing w:val="0"/>
          <w:w w:val="100"/>
          <w:kern w:val="21"/>
          <w:position w:val="0"/>
          <w:sz w:val="24"/>
          <w:szCs w:val="24"/>
        </w:rPr>
        <w:t>%</w:t>
      </w:r>
      <w:r>
        <w:rPr>
          <w:rFonts w:hint="default" w:ascii="Times New Roman" w:hAnsi="Times New Roman" w:eastAsia="宋体" w:cs="Times New Roman"/>
          <w:color w:val="000000"/>
          <w:spacing w:val="0"/>
          <w:w w:val="100"/>
          <w:kern w:val="21"/>
          <w:position w:val="0"/>
          <w:sz w:val="24"/>
          <w:szCs w:val="24"/>
          <w:lang w:eastAsia="zh-CN"/>
        </w:rPr>
        <w:t>，本项目大气环境影响评价等级为二级，</w:t>
      </w:r>
      <w:r>
        <w:rPr>
          <w:rFonts w:hint="default" w:ascii="Times New Roman" w:hAnsi="Times New Roman" w:eastAsia="宋体" w:cs="Times New Roman"/>
          <w:color w:val="000000"/>
          <w:spacing w:val="0"/>
          <w:w w:val="100"/>
          <w:kern w:val="21"/>
          <w:position w:val="0"/>
          <w:sz w:val="24"/>
          <w:szCs w:val="24"/>
          <w:lang w:val="en-US" w:eastAsia="zh-CN"/>
        </w:rPr>
        <w:t>对周边环境影响较小；</w:t>
      </w:r>
      <w:r>
        <w:rPr>
          <w:rFonts w:hint="default" w:ascii="Times New Roman" w:hAnsi="Times New Roman" w:eastAsia="宋体" w:cs="Times New Roman"/>
          <w:sz w:val="24"/>
          <w:szCs w:val="24"/>
          <w:u w:val="none"/>
          <w:lang w:eastAsia="zh-CN"/>
        </w:rPr>
        <w:t>根据本项目估算模式预测结果：各厂界处废气污染物均未超过环境质量浓度限值，本项目不设大气环境防护距离。</w:t>
      </w:r>
    </w:p>
    <w:p w14:paraId="50B1CE74">
      <w:pPr>
        <w:keepNext w:val="0"/>
        <w:keepLines w:val="0"/>
        <w:pageBreakBefore w:val="0"/>
        <w:kinsoku/>
        <w:wordWrap/>
        <w:overflowPunct/>
        <w:autoSpaceDN/>
        <w:bidi w:val="0"/>
        <w:adjustRightInd w:val="0"/>
        <w:snapToGrid w:val="0"/>
        <w:spacing w:line="520" w:lineRule="exact"/>
        <w:ind w:firstLine="480"/>
        <w:rPr>
          <w:highlight w:val="yellow"/>
        </w:rPr>
      </w:pPr>
      <w:r>
        <w:rPr>
          <w:rFonts w:hint="eastAsia"/>
        </w:rPr>
        <w:t>综上所述，</w:t>
      </w:r>
      <w:r>
        <w:t>在保证评价要求和工程设计的防治措施正常运行的条件下，本工程建设对周围大气环境影响可接受。</w:t>
      </w:r>
    </w:p>
    <w:p w14:paraId="504A26F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10.1.4.2地表水环境影响评价结论</w:t>
      </w:r>
    </w:p>
    <w:p w14:paraId="39C0DA24">
      <w:pPr>
        <w:pStyle w:val="72"/>
        <w:rPr>
          <w:highlight w:val="yellow"/>
        </w:rPr>
      </w:pPr>
      <w:r>
        <w:rPr>
          <w:rFonts w:hint="eastAsia"/>
          <w:bCs/>
        </w:rPr>
        <w:t>本项目废水排放量为</w:t>
      </w:r>
      <w:r>
        <w:rPr>
          <w:rFonts w:hint="eastAsia"/>
          <w:color w:val="000000"/>
          <w:lang w:val="en-US" w:eastAsia="zh-CN"/>
        </w:rPr>
        <w:t>176.615</w:t>
      </w:r>
      <w:r>
        <w:rPr>
          <w:rFonts w:hint="eastAsia"/>
          <w:bCs/>
        </w:rPr>
        <w:t>m</w:t>
      </w:r>
      <w:r>
        <w:rPr>
          <w:rFonts w:hint="eastAsia"/>
          <w:bCs/>
          <w:vertAlign w:val="superscript"/>
        </w:rPr>
        <w:t>3</w:t>
      </w:r>
      <w:r>
        <w:rPr>
          <w:rFonts w:hint="eastAsia"/>
          <w:bCs/>
        </w:rPr>
        <w:t>/d，经处理后总排口的主要污染物排放浓度为</w:t>
      </w:r>
      <w:r>
        <w:rPr>
          <w:rFonts w:hint="eastAsia"/>
        </w:rPr>
        <w:t>COD</w:t>
      </w:r>
      <w:r>
        <w:rPr>
          <w:rFonts w:hint="eastAsia"/>
          <w:lang w:val="en-US" w:eastAsia="zh-CN"/>
        </w:rPr>
        <w:t xml:space="preserve"> 92.6</w:t>
      </w:r>
      <w:r>
        <w:rPr>
          <w:rFonts w:hint="eastAsia"/>
        </w:rPr>
        <w:t>mg/</w:t>
      </w:r>
      <w:r>
        <w:t>L</w:t>
      </w:r>
      <w:r>
        <w:rPr>
          <w:rFonts w:hint="eastAsia"/>
        </w:rPr>
        <w:t>、SS</w:t>
      </w:r>
      <w:r>
        <w:rPr>
          <w:rFonts w:hint="eastAsia"/>
          <w:lang w:val="en-US" w:eastAsia="zh-CN"/>
        </w:rPr>
        <w:t xml:space="preserve"> 58.1</w:t>
      </w:r>
      <w:r>
        <w:rPr>
          <w:rFonts w:hint="eastAsia"/>
        </w:rPr>
        <w:t>mg</w:t>
      </w:r>
      <w:r>
        <w:rPr>
          <w:rFonts w:hint="eastAsia"/>
          <w:lang w:val="en-US" w:eastAsia="zh-CN"/>
        </w:rPr>
        <w:t>/</w:t>
      </w:r>
      <w:r>
        <w:t>L</w:t>
      </w:r>
      <w:r>
        <w:rPr>
          <w:rFonts w:hint="eastAsia"/>
        </w:rPr>
        <w:t xml:space="preserve">、氨氮 </w:t>
      </w:r>
      <w:r>
        <w:rPr>
          <w:rFonts w:hint="eastAsia"/>
          <w:lang w:val="en-US" w:eastAsia="zh-CN"/>
        </w:rPr>
        <w:t>9.3</w:t>
      </w:r>
      <w:r>
        <w:rPr>
          <w:rFonts w:hint="eastAsia"/>
        </w:rPr>
        <w:t>mg/</w:t>
      </w:r>
      <w:r>
        <w:t>L</w:t>
      </w:r>
      <w:r>
        <w:rPr>
          <w:rFonts w:hint="eastAsia"/>
        </w:rPr>
        <w:t>、总磷</w:t>
      </w:r>
      <w:r>
        <w:rPr>
          <w:rFonts w:hint="eastAsia"/>
          <w:lang w:val="en-US" w:eastAsia="zh-CN"/>
        </w:rPr>
        <w:t>0.7</w:t>
      </w:r>
      <w:r>
        <w:rPr>
          <w:rFonts w:hint="eastAsia"/>
        </w:rPr>
        <w:t>mg/</w:t>
      </w:r>
      <w:r>
        <w:t>L</w:t>
      </w:r>
      <w:r>
        <w:rPr>
          <w:rFonts w:hint="eastAsia"/>
        </w:rPr>
        <w:t>、</w:t>
      </w:r>
      <w:r>
        <w:rPr>
          <w:rFonts w:hint="eastAsia"/>
          <w:lang w:val="en-US" w:eastAsia="zh-CN"/>
        </w:rPr>
        <w:t>总氮11</w:t>
      </w:r>
      <w:r>
        <w:rPr>
          <w:rFonts w:hint="eastAsia"/>
        </w:rPr>
        <w:t>mg/</w:t>
      </w:r>
      <w:r>
        <w:t>L</w:t>
      </w:r>
      <w:r>
        <w:rPr>
          <w:rFonts w:hint="eastAsia"/>
          <w:lang w:eastAsia="zh-CN"/>
        </w:rPr>
        <w:t>、</w:t>
      </w:r>
      <w:r>
        <w:rPr>
          <w:rFonts w:hint="eastAsia"/>
          <w:lang w:val="en-US" w:eastAsia="zh-CN"/>
        </w:rPr>
        <w:t>石油类0.9</w:t>
      </w:r>
      <w:r>
        <w:rPr>
          <w:rFonts w:hint="eastAsia"/>
        </w:rPr>
        <w:t>mg/</w:t>
      </w:r>
      <w:r>
        <w:t>L</w:t>
      </w:r>
      <w:r>
        <w:rPr>
          <w:rFonts w:hint="eastAsia"/>
          <w:bCs/>
        </w:rPr>
        <w:t>，</w:t>
      </w:r>
      <w:r>
        <w:rPr>
          <w:rFonts w:hint="eastAsia"/>
          <w:bCs/>
          <w:color w:val="000000" w:themeColor="text1"/>
          <w14:textFill>
            <w14:solidFill>
              <w14:schemeClr w14:val="tx1"/>
            </w14:solidFill>
          </w14:textFill>
        </w:rPr>
        <w:t>各污染因子均能满足《电镀污染物排放标准》限值要求，同时也可满足</w:t>
      </w:r>
      <w:r>
        <w:rPr>
          <w:rFonts w:hint="eastAsia"/>
          <w:bCs/>
          <w:color w:val="000000" w:themeColor="text1"/>
          <w:lang w:val="en-US" w:eastAsia="zh-CN"/>
          <w14:textFill>
            <w14:solidFill>
              <w14:schemeClr w14:val="tx1"/>
            </w14:solidFill>
          </w14:textFill>
        </w:rPr>
        <w:t>获嘉县同盟污水处理厂</w:t>
      </w:r>
      <w:r>
        <w:rPr>
          <w:rFonts w:hint="eastAsia"/>
          <w:bCs/>
          <w:color w:val="000000" w:themeColor="text1"/>
          <w14:textFill>
            <w14:solidFill>
              <w14:schemeClr w14:val="tx1"/>
            </w14:solidFill>
          </w14:textFill>
        </w:rPr>
        <w:t>的收水水质要求，且项目排放废水量占其处理负荷量比例较小、总处理量未超出设计处理负荷量，不会对</w:t>
      </w:r>
      <w:r>
        <w:rPr>
          <w:rFonts w:hint="eastAsia"/>
          <w:bCs/>
          <w:color w:val="000000" w:themeColor="text1"/>
          <w:lang w:val="en-US" w:eastAsia="zh-CN"/>
          <w14:textFill>
            <w14:solidFill>
              <w14:schemeClr w14:val="tx1"/>
            </w14:solidFill>
          </w14:textFill>
        </w:rPr>
        <w:t>获嘉县同盟污水处理厂</w:t>
      </w:r>
      <w:r>
        <w:rPr>
          <w:rFonts w:hint="eastAsia"/>
          <w:bCs/>
          <w:color w:val="000000" w:themeColor="text1"/>
          <w14:textFill>
            <w14:solidFill>
              <w14:schemeClr w14:val="tx1"/>
            </w14:solidFill>
          </w14:textFill>
        </w:rPr>
        <w:t>的出水水质产生影响。</w:t>
      </w:r>
      <w:r>
        <w:rPr>
          <w:rFonts w:hint="eastAsia"/>
          <w:bCs/>
        </w:rPr>
        <w:t>因此评价认为：项目废水经处理后，对地表水环境的影响可接受</w:t>
      </w:r>
      <w:r>
        <w:rPr>
          <w:rFonts w:hint="eastAsia"/>
          <w:szCs w:val="24"/>
        </w:rPr>
        <w:t>。</w:t>
      </w:r>
    </w:p>
    <w:p w14:paraId="7D8BCB55">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10.1.4.3地下水环境影响预测与评价结论</w:t>
      </w:r>
    </w:p>
    <w:p w14:paraId="77046646">
      <w:pPr>
        <w:pStyle w:val="72"/>
      </w:pPr>
      <w:r>
        <w:rPr>
          <w:rFonts w:hint="eastAsia"/>
        </w:rPr>
        <w:t>在非正常工况下，该工程对厂址周围的地下水环境有一定的影响。但从泄漏概率、地面破损概率综合考虑，废水池渗入地下是概率很小的事件，如果采取适当的预防措施和应急处理措施，可以把对地下水环境的影响控制到地下水环境容量可以接受的程度。</w:t>
      </w:r>
    </w:p>
    <w:p w14:paraId="7ED488EE">
      <w:pPr>
        <w:pStyle w:val="5"/>
        <w:pageBreakBefore w:val="0"/>
        <w:widowControl w:val="0"/>
        <w:numPr>
          <w:ilvl w:val="0"/>
          <w:numId w:val="0"/>
        </w:numPr>
        <w:kinsoku/>
        <w:wordWrap/>
        <w:overflowPunct/>
        <w:topLinePunct w:val="0"/>
        <w:autoSpaceDE/>
        <w:autoSpaceDN/>
        <w:bidi w:val="0"/>
        <w:adjustRightInd w:val="0"/>
        <w:snapToGrid w:val="0"/>
        <w:spacing w:before="0" w:beforeLines="0" w:after="0" w:afterLines="0" w:line="520" w:lineRule="exact"/>
        <w:textAlignment w:val="baseline"/>
        <w:rPr>
          <w:rFonts w:hint="eastAsia" w:ascii="Times New Roman" w:hAnsi="Times New Roman" w:cs="Times New Roman"/>
          <w:lang w:val="en-US" w:eastAsia="zh-CN"/>
        </w:rPr>
      </w:pPr>
      <w:r>
        <w:rPr>
          <w:rFonts w:hint="eastAsia" w:ascii="Times New Roman" w:hAnsi="Times New Roman" w:cs="Times New Roman"/>
          <w:lang w:val="en-US" w:eastAsia="zh-CN"/>
        </w:rPr>
        <w:t>10.1.4.4声环境影响预测与评价结论</w:t>
      </w:r>
    </w:p>
    <w:p w14:paraId="3A961C41">
      <w:pPr>
        <w:pStyle w:val="72"/>
      </w:pPr>
      <w:r>
        <w:t>工程完成后，由于厂区内噪声设备均采取了有效的降噪措施，工程噪声对厂界及周围敏感点的贡献影响不大，各厂界噪声均不超标。评价认为，工程建成后其噪声对周围声环境的影响可以接受。</w:t>
      </w:r>
    </w:p>
    <w:p w14:paraId="2BC6C4F4">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26" w:name="_Toc108122651"/>
      <w:bookmarkStart w:id="827" w:name="_Toc24199"/>
      <w:r>
        <w:rPr>
          <w:rFonts w:hint="eastAsia" w:cs="Times New Roman"/>
          <w:lang w:val="en-US" w:eastAsia="zh-CN"/>
        </w:rPr>
        <w:t>10.1.4工程完成后，各项污染防治措施可行，固废采取了有效地处置措施，全厂废气、废水、噪声污染物能够做到达标排放</w:t>
      </w:r>
      <w:bookmarkEnd w:id="826"/>
    </w:p>
    <w:p w14:paraId="037E883B">
      <w:pPr>
        <w:ind w:firstLine="482"/>
        <w:rPr>
          <w:b/>
        </w:rPr>
      </w:pPr>
      <w:r>
        <w:rPr>
          <w:rFonts w:hint="eastAsia"/>
          <w:b/>
          <w:lang w:eastAsia="zh-CN"/>
        </w:rPr>
        <w:t>（</w:t>
      </w:r>
      <w:r>
        <w:rPr>
          <w:rFonts w:hint="eastAsia"/>
          <w:b/>
          <w:lang w:val="en-US" w:eastAsia="zh-CN"/>
        </w:rPr>
        <w:t>1</w:t>
      </w:r>
      <w:r>
        <w:rPr>
          <w:rFonts w:hint="eastAsia"/>
          <w:b/>
          <w:lang w:eastAsia="zh-CN"/>
        </w:rPr>
        <w:t>）</w:t>
      </w:r>
      <w:r>
        <w:rPr>
          <w:b/>
        </w:rPr>
        <w:t>废</w:t>
      </w:r>
      <w:r>
        <w:rPr>
          <w:rFonts w:hint="eastAsia"/>
          <w:b/>
        </w:rPr>
        <w:t>气</w:t>
      </w:r>
      <w:r>
        <w:rPr>
          <w:b/>
        </w:rPr>
        <w:t>：</w:t>
      </w:r>
    </w:p>
    <w:p w14:paraId="412145CE">
      <w:pPr>
        <w:ind w:firstLine="480"/>
      </w:pPr>
      <w:r>
        <w:rPr>
          <w:rFonts w:hint="eastAsia"/>
        </w:rPr>
        <w:t>项目产生的废气为：本项目共设置</w:t>
      </w:r>
      <w:r>
        <w:rPr>
          <w:rFonts w:hint="eastAsia"/>
          <w:lang w:val="en-US" w:eastAsia="zh-CN"/>
        </w:rPr>
        <w:t>3</w:t>
      </w:r>
      <w:r>
        <w:rPr>
          <w:rFonts w:hint="eastAsia"/>
        </w:rPr>
        <w:t>条电池钢壳生产线、2条</w:t>
      </w:r>
      <w:r>
        <w:rPr>
          <w:rFonts w:hint="eastAsia"/>
          <w:lang w:val="en-US" w:eastAsia="zh-CN"/>
        </w:rPr>
        <w:t>盖帽</w:t>
      </w:r>
      <w:r>
        <w:rPr>
          <w:rFonts w:hint="eastAsia"/>
        </w:rPr>
        <w:t>生产线和</w:t>
      </w:r>
      <w:r>
        <w:rPr>
          <w:rFonts w:hint="eastAsia"/>
          <w:lang w:val="en-US" w:eastAsia="zh-CN"/>
        </w:rPr>
        <w:t>6</w:t>
      </w:r>
      <w:r>
        <w:rPr>
          <w:rFonts w:hint="eastAsia"/>
        </w:rPr>
        <w:t>条电池连接件生产线，</w:t>
      </w:r>
      <w:r>
        <w:rPr>
          <w:rFonts w:hint="eastAsia"/>
          <w:lang w:val="en-US" w:eastAsia="zh-CN"/>
        </w:rPr>
        <w:t>11</w:t>
      </w:r>
      <w:r>
        <w:rPr>
          <w:rFonts w:hint="eastAsia"/>
        </w:rPr>
        <w:t>条生产线产生的硫酸雾废气分别经槽上方和槽边设置的抽风装置收集后分别引入两级碱喷淋吸收塔（</w:t>
      </w:r>
      <w:r>
        <w:rPr>
          <w:rFonts w:hint="eastAsia"/>
          <w:lang w:val="en-US" w:eastAsia="zh-CN"/>
        </w:rPr>
        <w:t>TA001</w:t>
      </w:r>
      <w:r>
        <w:rPr>
          <w:rFonts w:hint="eastAsia"/>
        </w:rPr>
        <w:t>）、两级碱喷淋吸收塔（</w:t>
      </w:r>
      <w:r>
        <w:rPr>
          <w:rFonts w:hint="eastAsia"/>
          <w:lang w:val="en-US" w:eastAsia="zh-CN"/>
        </w:rPr>
        <w:t>TA002</w:t>
      </w:r>
      <w:r>
        <w:rPr>
          <w:rFonts w:hint="eastAsia"/>
        </w:rPr>
        <w:t>）、两级碱喷淋吸收塔（</w:t>
      </w:r>
      <w:r>
        <w:rPr>
          <w:rFonts w:hint="eastAsia"/>
          <w:lang w:val="en-US" w:eastAsia="zh-CN"/>
        </w:rPr>
        <w:t>TA003</w:t>
      </w:r>
      <w:r>
        <w:rPr>
          <w:rFonts w:hint="eastAsia"/>
        </w:rPr>
        <w:t>）处理，处理后分别经15m高排气筒DA001、DA002、DA003排放；污水处理系统产生的</w:t>
      </w:r>
      <w:r>
        <w:rPr>
          <w:rFonts w:hint="eastAsia"/>
          <w:szCs w:val="24"/>
        </w:rPr>
        <w:t>N</w:t>
      </w:r>
      <w:r>
        <w:rPr>
          <w:szCs w:val="24"/>
        </w:rPr>
        <w:t>H</w:t>
      </w:r>
      <w:r>
        <w:rPr>
          <w:szCs w:val="24"/>
          <w:vertAlign w:val="subscript"/>
        </w:rPr>
        <w:t>3</w:t>
      </w:r>
      <w:r>
        <w:rPr>
          <w:rFonts w:hint="eastAsia"/>
          <w:szCs w:val="24"/>
        </w:rPr>
        <w:t>、H</w:t>
      </w:r>
      <w:r>
        <w:rPr>
          <w:szCs w:val="24"/>
          <w:vertAlign w:val="subscript"/>
        </w:rPr>
        <w:t>2</w:t>
      </w:r>
      <w:r>
        <w:rPr>
          <w:szCs w:val="24"/>
        </w:rPr>
        <w:t>S</w:t>
      </w:r>
      <w:r>
        <w:rPr>
          <w:rFonts w:hint="eastAsia"/>
          <w:szCs w:val="24"/>
        </w:rPr>
        <w:t>、</w:t>
      </w:r>
      <w:r>
        <w:rPr>
          <w:rFonts w:hint="eastAsia"/>
        </w:rPr>
        <w:t>臭气浓度经加盖密闭收集后后引入生物除臭滤塔处理，尾气经15m高排气筒DA00</w:t>
      </w:r>
      <w:r>
        <w:rPr>
          <w:rFonts w:hint="eastAsia"/>
          <w:lang w:val="en-US" w:eastAsia="zh-CN"/>
        </w:rPr>
        <w:t>4</w:t>
      </w:r>
      <w:r>
        <w:rPr>
          <w:rFonts w:hint="eastAsia"/>
        </w:rPr>
        <w:t>排放。</w:t>
      </w:r>
    </w:p>
    <w:p w14:paraId="283CECC4">
      <w:pPr>
        <w:ind w:firstLine="480"/>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本项目废气经处理后，</w:t>
      </w:r>
      <w:r>
        <w:rPr>
          <w:rFonts w:hint="eastAsia"/>
        </w:rPr>
        <w:t>排气筒DA001的硫酸雾排放浓度为</w:t>
      </w:r>
      <w:r>
        <w:rPr>
          <w:rFonts w:hint="eastAsia"/>
          <w:lang w:val="en-US" w:eastAsia="zh-CN"/>
        </w:rPr>
        <w:t>0.76</w:t>
      </w:r>
      <w:r>
        <w:rPr>
          <w:rFonts w:hint="eastAsia"/>
        </w:rPr>
        <w:t>mg/m</w:t>
      </w:r>
      <w:r>
        <w:rPr>
          <w:rFonts w:hint="eastAsia"/>
          <w:vertAlign w:val="superscript"/>
        </w:rPr>
        <w:t>3</w:t>
      </w:r>
      <w:r>
        <w:rPr>
          <w:rFonts w:hint="eastAsia"/>
        </w:rPr>
        <w:t>；排气筒DA002的硫酸雾排放浓度为</w:t>
      </w:r>
      <w:r>
        <w:rPr>
          <w:rFonts w:hint="eastAsia"/>
          <w:lang w:val="en-US" w:eastAsia="zh-CN"/>
        </w:rPr>
        <w:t>1.09</w:t>
      </w:r>
      <w:r>
        <w:rPr>
          <w:rFonts w:hint="eastAsia"/>
        </w:rPr>
        <w:t>mg/m</w:t>
      </w:r>
      <w:r>
        <w:rPr>
          <w:rFonts w:hint="eastAsia"/>
          <w:vertAlign w:val="superscript"/>
        </w:rPr>
        <w:t>3</w:t>
      </w:r>
      <w:r>
        <w:rPr>
          <w:rFonts w:hint="eastAsia"/>
        </w:rPr>
        <w:t>；排气筒DA003的硫酸雾排放浓度为</w:t>
      </w:r>
      <w:r>
        <w:rPr>
          <w:rFonts w:hint="eastAsia"/>
          <w:lang w:val="en-US" w:eastAsia="zh-CN"/>
        </w:rPr>
        <w:t>1.37</w:t>
      </w:r>
      <w:r>
        <w:rPr>
          <w:rFonts w:hint="eastAsia"/>
        </w:rPr>
        <w:t>mg/m</w:t>
      </w:r>
      <w:r>
        <w:rPr>
          <w:rFonts w:hint="eastAsia"/>
          <w:vertAlign w:val="superscript"/>
        </w:rPr>
        <w:t>3</w:t>
      </w:r>
      <w:r>
        <w:rPr>
          <w:rFonts w:hint="eastAsia"/>
          <w:color w:val="000000" w:themeColor="text1"/>
          <w14:textFill>
            <w14:solidFill>
              <w14:schemeClr w14:val="tx1"/>
            </w14:solidFill>
          </w14:textFill>
        </w:rPr>
        <w:t>，均能够满足《电镀污染物排放标准》（GB21900-2008）表5新建企业大气污染物硫酸雾30mg/m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的排放限值，同时满足《河南省重污染天气重点行业应急减排措施制定技术指南（</w:t>
      </w:r>
      <w:r>
        <w:rPr>
          <w:rFonts w:hint="eastAsia"/>
          <w:color w:val="000000" w:themeColor="text1"/>
          <w:lang w:val="en-US" w:eastAsia="zh-CN"/>
          <w14:textFill>
            <w14:solidFill>
              <w14:schemeClr w14:val="tx1"/>
            </w14:solidFill>
          </w14:textFill>
        </w:rPr>
        <w:t>2024</w:t>
      </w:r>
      <w:r>
        <w:rPr>
          <w:rFonts w:hint="eastAsia"/>
          <w:color w:val="000000" w:themeColor="text1"/>
          <w14:textFill>
            <w14:solidFill>
              <w14:schemeClr w14:val="tx1"/>
            </w14:solidFill>
          </w14:textFill>
        </w:rPr>
        <w:t>年修订）》中A级企业要求电镀生产线硫酸雾排放浓度不超过10mg/m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的要求；</w:t>
      </w:r>
      <w:r>
        <w:rPr>
          <w:color w:val="000000" w:themeColor="text1"/>
          <w:szCs w:val="24"/>
          <w14:textFill>
            <w14:solidFill>
              <w14:schemeClr w14:val="tx1"/>
            </w14:solidFill>
          </w14:textFill>
        </w:rPr>
        <w:t>排气筒DA00</w:t>
      </w:r>
      <w:r>
        <w:rPr>
          <w:rFonts w:hint="eastAsia"/>
          <w:color w:val="000000" w:themeColor="text1"/>
          <w:szCs w:val="24"/>
          <w:lang w:val="en-US" w:eastAsia="zh-CN"/>
          <w14:textFill>
            <w14:solidFill>
              <w14:schemeClr w14:val="tx1"/>
            </w14:solidFill>
          </w14:textFill>
        </w:rPr>
        <w:t>4</w:t>
      </w:r>
      <w:r>
        <w:rPr>
          <w:color w:val="000000" w:themeColor="text1"/>
          <w:szCs w:val="24"/>
          <w14:textFill>
            <w14:solidFill>
              <w14:schemeClr w14:val="tx1"/>
            </w14:solidFill>
          </w14:textFill>
        </w:rPr>
        <w:t>的</w:t>
      </w:r>
      <w:r>
        <w:rPr>
          <w:rFonts w:hint="eastAsia" w:cs="宋体"/>
          <w:color w:val="000000" w:themeColor="text1"/>
          <w14:textFill>
            <w14:solidFill>
              <w14:schemeClr w14:val="tx1"/>
            </w14:solidFill>
          </w14:textFill>
        </w:rPr>
        <w:t>H</w:t>
      </w:r>
      <w:r>
        <w:rPr>
          <w:rFonts w:hint="eastAsia" w:cs="宋体"/>
          <w:color w:val="000000" w:themeColor="text1"/>
          <w:vertAlign w:val="subscript"/>
          <w14:textFill>
            <w14:solidFill>
              <w14:schemeClr w14:val="tx1"/>
            </w14:solidFill>
          </w14:textFill>
        </w:rPr>
        <w:t>2</w:t>
      </w:r>
      <w:r>
        <w:rPr>
          <w:rFonts w:hint="eastAsia" w:cs="宋体"/>
          <w:color w:val="000000" w:themeColor="text1"/>
          <w14:textFill>
            <w14:solidFill>
              <w14:schemeClr w14:val="tx1"/>
            </w14:solidFill>
          </w14:textFill>
        </w:rPr>
        <w:t>S</w:t>
      </w:r>
      <w:r>
        <w:rPr>
          <w:color w:val="000000" w:themeColor="text1"/>
          <w:szCs w:val="24"/>
          <w14:textFill>
            <w14:solidFill>
              <w14:schemeClr w14:val="tx1"/>
            </w14:solidFill>
          </w14:textFill>
        </w:rPr>
        <w:t>排放</w:t>
      </w:r>
      <w:r>
        <w:rPr>
          <w:rFonts w:hint="eastAsia"/>
          <w:color w:val="000000" w:themeColor="text1"/>
          <w:szCs w:val="24"/>
          <w14:textFill>
            <w14:solidFill>
              <w14:schemeClr w14:val="tx1"/>
            </w14:solidFill>
          </w14:textFill>
        </w:rPr>
        <w:t>速率</w:t>
      </w:r>
      <w:r>
        <w:rPr>
          <w:color w:val="000000" w:themeColor="text1"/>
          <w:szCs w:val="24"/>
          <w14:textFill>
            <w14:solidFill>
              <w14:schemeClr w14:val="tx1"/>
            </w14:solidFill>
          </w14:textFill>
        </w:rPr>
        <w:t>为</w:t>
      </w:r>
      <w:r>
        <w:rPr>
          <w:rFonts w:hint="eastAsia"/>
          <w:color w:val="000000" w:themeColor="text1"/>
          <w:szCs w:val="24"/>
          <w:lang w:val="en-US" w:eastAsia="zh-CN"/>
          <w14:textFill>
            <w14:solidFill>
              <w14:schemeClr w14:val="tx1"/>
            </w14:solidFill>
          </w14:textFill>
        </w:rPr>
        <w:t>0.00006</w:t>
      </w:r>
      <w:r>
        <w:rPr>
          <w:rFonts w:hint="eastAsia" w:cs="宋体"/>
          <w:color w:val="000000" w:themeColor="text1"/>
          <w14:textFill>
            <w14:solidFill>
              <w14:schemeClr w14:val="tx1"/>
            </w14:solidFill>
          </w14:textFill>
        </w:rPr>
        <w:t>kg/h</w:t>
      </w:r>
      <w:r>
        <w:rPr>
          <w:color w:val="000000" w:themeColor="text1"/>
          <w:szCs w:val="24"/>
          <w14:textFill>
            <w14:solidFill>
              <w14:schemeClr w14:val="tx1"/>
            </w14:solidFill>
          </w14:textFill>
        </w:rPr>
        <w:t>、</w:t>
      </w:r>
      <w:r>
        <w:rPr>
          <w:rFonts w:hint="eastAsia" w:cs="宋体"/>
          <w:color w:val="000000" w:themeColor="text1"/>
          <w14:textFill>
            <w14:solidFill>
              <w14:schemeClr w14:val="tx1"/>
            </w14:solidFill>
          </w14:textFill>
        </w:rPr>
        <w:t>NH</w:t>
      </w:r>
      <w:r>
        <w:rPr>
          <w:rFonts w:hint="eastAsia" w:cs="宋体"/>
          <w:color w:val="000000" w:themeColor="text1"/>
          <w:vertAlign w:val="subscript"/>
          <w14:textFill>
            <w14:solidFill>
              <w14:schemeClr w14:val="tx1"/>
            </w14:solidFill>
          </w14:textFill>
        </w:rPr>
        <w:t>3</w:t>
      </w:r>
      <w:r>
        <w:rPr>
          <w:color w:val="000000" w:themeColor="text1"/>
          <w:szCs w:val="24"/>
          <w14:textFill>
            <w14:solidFill>
              <w14:schemeClr w14:val="tx1"/>
            </w14:solidFill>
          </w14:textFill>
        </w:rPr>
        <w:t>排放</w:t>
      </w:r>
      <w:r>
        <w:rPr>
          <w:rFonts w:hint="eastAsia"/>
          <w:color w:val="000000" w:themeColor="text1"/>
          <w:szCs w:val="24"/>
          <w14:textFill>
            <w14:solidFill>
              <w14:schemeClr w14:val="tx1"/>
            </w14:solidFill>
          </w14:textFill>
        </w:rPr>
        <w:t>速率</w:t>
      </w:r>
      <w:r>
        <w:rPr>
          <w:color w:val="000000" w:themeColor="text1"/>
          <w:szCs w:val="24"/>
          <w14:textFill>
            <w14:solidFill>
              <w14:schemeClr w14:val="tx1"/>
            </w14:solidFill>
          </w14:textFill>
        </w:rPr>
        <w:t>为</w:t>
      </w:r>
      <w:r>
        <w:rPr>
          <w:rFonts w:hint="eastAsia"/>
          <w:color w:val="000000" w:themeColor="text1"/>
          <w:szCs w:val="24"/>
          <w:lang w:val="en-US" w:eastAsia="zh-CN"/>
          <w14:textFill>
            <w14:solidFill>
              <w14:schemeClr w14:val="tx1"/>
            </w14:solidFill>
          </w14:textFill>
        </w:rPr>
        <w:t>0.0012</w:t>
      </w:r>
      <w:r>
        <w:rPr>
          <w:rFonts w:hint="eastAsia" w:cs="宋体"/>
          <w:color w:val="000000" w:themeColor="text1"/>
          <w14:textFill>
            <w14:solidFill>
              <w14:schemeClr w14:val="tx1"/>
            </w14:solidFill>
          </w14:textFill>
        </w:rPr>
        <w:t>kg/h</w:t>
      </w:r>
      <w:r>
        <w:rPr>
          <w:rFonts w:hint="eastAsia"/>
          <w:color w:val="000000" w:themeColor="text1"/>
          <w:szCs w:val="24"/>
          <w14:textFill>
            <w14:solidFill>
              <w14:schemeClr w14:val="tx1"/>
            </w14:solidFill>
          </w14:textFill>
        </w:rPr>
        <w:t>，</w:t>
      </w:r>
      <w:r>
        <w:rPr>
          <w:rFonts w:hint="eastAsia" w:cs="宋体"/>
          <w:color w:val="000000" w:themeColor="text1"/>
          <w14:textFill>
            <w14:solidFill>
              <w14:schemeClr w14:val="tx1"/>
            </w14:solidFill>
          </w14:textFill>
        </w:rPr>
        <w:t>废气排放均可满足《恶臭污染物排放标准》（GB14554-93）表2恶臭污染物排放标准值：硫化氢0.33kg/h、氨4.9kg/h、臭气浓度2000（无量纲）的限值要求</w:t>
      </w:r>
      <w:r>
        <w:rPr>
          <w:rFonts w:hint="eastAsia"/>
          <w:color w:val="000000" w:themeColor="text1"/>
          <w14:textFill>
            <w14:solidFill>
              <w14:schemeClr w14:val="tx1"/>
            </w14:solidFill>
          </w14:textFill>
        </w:rPr>
        <w:t>。</w:t>
      </w:r>
    </w:p>
    <w:p w14:paraId="4453F0EC">
      <w:pPr>
        <w:ind w:firstLine="482"/>
        <w:rPr>
          <w:b/>
        </w:rPr>
      </w:pPr>
      <w:r>
        <w:rPr>
          <w:rFonts w:hint="eastAsia"/>
          <w:b/>
          <w:lang w:eastAsia="zh-CN"/>
        </w:rPr>
        <w:t>（</w:t>
      </w:r>
      <w:r>
        <w:rPr>
          <w:rFonts w:hint="eastAsia"/>
          <w:b/>
          <w:lang w:val="en-US" w:eastAsia="zh-CN"/>
        </w:rPr>
        <w:t>2</w:t>
      </w:r>
      <w:r>
        <w:rPr>
          <w:rFonts w:hint="eastAsia"/>
          <w:b/>
          <w:lang w:eastAsia="zh-CN"/>
        </w:rPr>
        <w:t>）</w:t>
      </w:r>
      <w:r>
        <w:rPr>
          <w:b/>
        </w:rPr>
        <w:t>废水：</w:t>
      </w:r>
    </w:p>
    <w:p w14:paraId="634E5FC7">
      <w:pPr>
        <w:pStyle w:val="72"/>
        <w:rPr>
          <w:highlight w:val="yellow"/>
        </w:rPr>
      </w:pPr>
      <w:r>
        <w:rPr>
          <w:rFonts w:hint="eastAsia"/>
          <w:bCs/>
        </w:rPr>
        <w:t>本项目废水排放量为</w:t>
      </w:r>
      <w:r>
        <w:rPr>
          <w:rFonts w:hint="eastAsia"/>
          <w:color w:val="000000"/>
          <w:lang w:val="en-US" w:eastAsia="zh-CN"/>
        </w:rPr>
        <w:t>176.615</w:t>
      </w:r>
      <w:r>
        <w:rPr>
          <w:rFonts w:hint="eastAsia"/>
          <w:bCs/>
        </w:rPr>
        <w:t>m</w:t>
      </w:r>
      <w:r>
        <w:rPr>
          <w:rFonts w:hint="eastAsia"/>
          <w:bCs/>
          <w:vertAlign w:val="superscript"/>
        </w:rPr>
        <w:t>3</w:t>
      </w:r>
      <w:r>
        <w:rPr>
          <w:rFonts w:hint="eastAsia"/>
          <w:bCs/>
        </w:rPr>
        <w:t>/d，总排口废水COD、S</w:t>
      </w:r>
      <w:r>
        <w:rPr>
          <w:bCs/>
        </w:rPr>
        <w:t>S</w:t>
      </w:r>
      <w:r>
        <w:rPr>
          <w:rFonts w:hint="eastAsia"/>
          <w:bCs/>
        </w:rPr>
        <w:t>、氨氮、TP、TN、石油类均能够满足《电镀污染物排放标准》（GB21900-2008）表2的要求</w:t>
      </w:r>
      <w:r>
        <w:rPr>
          <w:rFonts w:hint="eastAsia"/>
          <w:bCs/>
          <w:lang w:val="en-US" w:eastAsia="zh-CN"/>
        </w:rPr>
        <w:t>以及获嘉县同盟污水处理厂</w:t>
      </w:r>
      <w:r>
        <w:rPr>
          <w:rFonts w:hint="eastAsia"/>
          <w:bCs/>
        </w:rPr>
        <w:t>收水标准。</w:t>
      </w:r>
    </w:p>
    <w:p w14:paraId="50BD5186">
      <w:pPr>
        <w:ind w:firstLine="482"/>
        <w:rPr>
          <w:b/>
        </w:rPr>
      </w:pPr>
      <w:r>
        <w:rPr>
          <w:rFonts w:hint="eastAsia"/>
          <w:b/>
          <w:lang w:eastAsia="zh-CN"/>
        </w:rPr>
        <w:t>（</w:t>
      </w:r>
      <w:r>
        <w:rPr>
          <w:rFonts w:hint="eastAsia"/>
          <w:b/>
          <w:lang w:val="en-US" w:eastAsia="zh-CN"/>
        </w:rPr>
        <w:t>3</w:t>
      </w:r>
      <w:r>
        <w:rPr>
          <w:rFonts w:hint="eastAsia"/>
          <w:b/>
          <w:lang w:eastAsia="zh-CN"/>
        </w:rPr>
        <w:t>）</w:t>
      </w:r>
      <w:r>
        <w:rPr>
          <w:b/>
        </w:rPr>
        <w:t>噪声：</w:t>
      </w:r>
    </w:p>
    <w:p w14:paraId="09ED61AB">
      <w:pPr>
        <w:pStyle w:val="72"/>
        <w:rPr>
          <w:highlight w:val="yellow"/>
        </w:rPr>
      </w:pPr>
      <w:r>
        <w:rPr>
          <w:rFonts w:hint="eastAsia"/>
        </w:rPr>
        <w:t>工程噪声源主要为冲床、风机、空压机等，</w:t>
      </w:r>
      <w:r>
        <w:t>经减振、厂房隔</w:t>
      </w:r>
      <w:r>
        <w:rPr>
          <w:rFonts w:hint="eastAsia"/>
        </w:rPr>
        <w:t>声</w:t>
      </w:r>
      <w:r>
        <w:t>等措施治理后，</w:t>
      </w:r>
      <w:r>
        <w:rPr>
          <w:rFonts w:hint="eastAsia"/>
        </w:rPr>
        <w:t>各厂界噪声均能够达到《工业企业厂界环境噪声排放标准》（GB12348-2008）3类昼间65dB(A)、夜间55dB(A)标准的要求。</w:t>
      </w:r>
    </w:p>
    <w:p w14:paraId="72C88461">
      <w:pPr>
        <w:ind w:firstLine="482"/>
        <w:rPr>
          <w:b/>
        </w:rPr>
      </w:pPr>
      <w:r>
        <w:rPr>
          <w:rFonts w:hint="eastAsia"/>
          <w:b/>
          <w:lang w:eastAsia="zh-CN"/>
        </w:rPr>
        <w:t>（</w:t>
      </w:r>
      <w:r>
        <w:rPr>
          <w:rFonts w:hint="eastAsia"/>
          <w:b/>
          <w:lang w:val="en-US" w:eastAsia="zh-CN"/>
        </w:rPr>
        <w:t>4</w:t>
      </w:r>
      <w:r>
        <w:rPr>
          <w:rFonts w:hint="eastAsia"/>
          <w:b/>
          <w:lang w:eastAsia="zh-CN"/>
        </w:rPr>
        <w:t>）</w:t>
      </w:r>
      <w:r>
        <w:rPr>
          <w:b/>
        </w:rPr>
        <w:t>固废：</w:t>
      </w:r>
    </w:p>
    <w:bookmarkEnd w:id="827"/>
    <w:p w14:paraId="13DC0B81">
      <w:pPr>
        <w:pStyle w:val="72"/>
      </w:pPr>
      <w:r>
        <w:rPr>
          <w:rFonts w:hint="eastAsia"/>
        </w:rPr>
        <w:t>本项目工程营运期间产生的固废包括一般固废和危险废物两大类，其中一般固废包括废边角料、不合格残次品、污泥和废反渗透膜；危险废物主要包括废包装物、废槽渣，废滤芯和废活性炭，废油渣，机械加工产生的废液压油，含镍废水处理系统产生的污泥、含镍废活性炭、</w:t>
      </w:r>
      <w:r>
        <w:rPr>
          <w:rFonts w:hint="eastAsia"/>
          <w:lang w:val="en-US" w:eastAsia="zh-CN"/>
        </w:rPr>
        <w:t>含镍</w:t>
      </w:r>
      <w:r>
        <w:rPr>
          <w:rFonts w:hint="eastAsia"/>
        </w:rPr>
        <w:t>废过滤膜，含铬废水处理系统产生的污泥、</w:t>
      </w:r>
      <w:r>
        <w:rPr>
          <w:rFonts w:hint="eastAsia"/>
          <w:lang w:val="en-US" w:eastAsia="zh-CN"/>
        </w:rPr>
        <w:t>含铬</w:t>
      </w:r>
      <w:r>
        <w:rPr>
          <w:rFonts w:hint="eastAsia"/>
        </w:rPr>
        <w:t>废活性炭、</w:t>
      </w:r>
      <w:r>
        <w:rPr>
          <w:rFonts w:hint="eastAsia"/>
          <w:lang w:val="en-US" w:eastAsia="zh-CN"/>
        </w:rPr>
        <w:t>含铬</w:t>
      </w:r>
      <w:r>
        <w:rPr>
          <w:rFonts w:hint="eastAsia"/>
        </w:rPr>
        <w:t>废过滤膜，蒸发系统产生的蒸发浓液。</w:t>
      </w:r>
    </w:p>
    <w:p w14:paraId="30609DE7">
      <w:pPr>
        <w:pStyle w:val="72"/>
      </w:pPr>
      <w:r>
        <w:rPr>
          <w:rFonts w:hint="eastAsia"/>
        </w:rPr>
        <w:t>废边角料、不合格残次品和污泥集中收集后出售，废反渗透膜厂家回收，危险废物专用容器收集，在危废贮存库分类暂存，定期送有相应危废处置资质的单位处置。</w:t>
      </w:r>
    </w:p>
    <w:p w14:paraId="0596656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28" w:name="_Toc7053"/>
      <w:bookmarkStart w:id="829" w:name="_Toc108122652"/>
      <w:r>
        <w:rPr>
          <w:rFonts w:hint="eastAsia" w:cs="Times New Roman"/>
          <w:lang w:val="en-US" w:eastAsia="zh-CN"/>
        </w:rPr>
        <w:t>10.1.5工程可能产生的环境风险对周围环境影响</w:t>
      </w:r>
      <w:bookmarkEnd w:id="828"/>
      <w:bookmarkEnd w:id="829"/>
      <w:r>
        <w:rPr>
          <w:rFonts w:hint="eastAsia" w:cs="Times New Roman"/>
          <w:lang w:val="en-US" w:eastAsia="zh-CN"/>
        </w:rPr>
        <w:t>风险可控</w:t>
      </w:r>
    </w:p>
    <w:p w14:paraId="75BD3359">
      <w:pPr>
        <w:pStyle w:val="72"/>
        <w:rPr>
          <w:highlight w:val="yellow"/>
        </w:rPr>
      </w:pPr>
      <w:r>
        <w:rPr>
          <w:rFonts w:hint="eastAsia"/>
        </w:rPr>
        <w:t>本项目的原料具有一定的毒性和腐蚀性，其生产、贮存过程中存在一定泄漏风险。但风险事故发生概率比较低，发生事故对周围敏感目标的危害后果较小，在采取风险防范措施后，项目的风险可防控。</w:t>
      </w:r>
    </w:p>
    <w:p w14:paraId="7667E519">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30" w:name="_Toc11794"/>
      <w:bookmarkStart w:id="831" w:name="_Toc108122653"/>
      <w:r>
        <w:rPr>
          <w:rFonts w:hint="eastAsia" w:cs="Times New Roman"/>
          <w:lang w:val="en-US" w:eastAsia="zh-CN"/>
        </w:rPr>
        <w:t>10.1.6工程环保投资</w:t>
      </w:r>
      <w:bookmarkEnd w:id="830"/>
      <w:bookmarkEnd w:id="831"/>
    </w:p>
    <w:p w14:paraId="0ACCF562">
      <w:pPr>
        <w:pStyle w:val="72"/>
      </w:pPr>
      <w:r>
        <w:rPr>
          <w:rFonts w:hint="eastAsia"/>
        </w:rPr>
        <w:t>工程环保投资</w:t>
      </w:r>
      <w:r>
        <w:rPr>
          <w:rFonts w:hint="eastAsia"/>
          <w:lang w:val="en-US" w:eastAsia="zh-CN"/>
        </w:rPr>
        <w:t>420</w:t>
      </w:r>
      <w:r>
        <w:rPr>
          <w:rFonts w:hint="eastAsia"/>
        </w:rPr>
        <w:t>万元，占工程总投资的</w:t>
      </w:r>
      <w:r>
        <w:rPr>
          <w:rFonts w:hint="eastAsia"/>
          <w:lang w:val="en-US" w:eastAsia="zh-CN"/>
        </w:rPr>
        <w:t>7</w:t>
      </w:r>
      <w:r>
        <w:rPr>
          <w:rFonts w:hint="eastAsia"/>
        </w:rPr>
        <w:t>%</w:t>
      </w:r>
      <w:r>
        <w:t>，建设单位应认真落实评价提出的各项污染防治措施，确保落实到位，严格执行环保</w:t>
      </w:r>
      <w:r>
        <w:rPr>
          <w:rFonts w:hint="eastAsia"/>
        </w:rPr>
        <w:t>“</w:t>
      </w:r>
      <w:r>
        <w:t>三同时</w:t>
      </w:r>
      <w:r>
        <w:rPr>
          <w:rFonts w:hint="eastAsia"/>
        </w:rPr>
        <w:t>”</w:t>
      </w:r>
      <w:r>
        <w:t>制度。</w:t>
      </w:r>
    </w:p>
    <w:p w14:paraId="73EE6978">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32" w:name="_Toc108122654"/>
      <w:r>
        <w:rPr>
          <w:rFonts w:hint="eastAsia" w:cs="Times New Roman"/>
          <w:lang w:val="en-US" w:eastAsia="zh-CN"/>
        </w:rPr>
        <w:t>10.1.7工程符合清洁生产的要求</w:t>
      </w:r>
      <w:bookmarkEnd w:id="832"/>
    </w:p>
    <w:p w14:paraId="1C511BA1">
      <w:pPr>
        <w:pStyle w:val="72"/>
        <w:rPr>
          <w:szCs w:val="24"/>
          <w:highlight w:val="yellow"/>
        </w:rPr>
      </w:pPr>
      <w:r>
        <w:rPr>
          <w:rFonts w:hint="eastAsia"/>
        </w:rPr>
        <w:t>本项目属于电镀行业，国家发展和改革委员会、环境保护部会同工业和信息化部</w:t>
      </w:r>
      <w:r>
        <w:t>2015</w:t>
      </w:r>
      <w:r>
        <w:rPr>
          <w:rFonts w:hint="eastAsia"/>
        </w:rPr>
        <w:t>年</w:t>
      </w:r>
      <w:r>
        <w:t>10</w:t>
      </w:r>
      <w:r>
        <w:rPr>
          <w:rFonts w:hint="eastAsia"/>
        </w:rPr>
        <w:t>月</w:t>
      </w:r>
      <w:r>
        <w:t>28</w:t>
      </w:r>
      <w:r>
        <w:rPr>
          <w:rFonts w:hint="eastAsia"/>
        </w:rPr>
        <w:t>日联合发布了《电镀行业清洁生产评价指标体系》（</w:t>
      </w:r>
      <w:r>
        <w:t>2015</w:t>
      </w:r>
      <w:r>
        <w:rPr>
          <w:rFonts w:hint="eastAsia"/>
        </w:rPr>
        <w:t>年</w:t>
      </w:r>
      <w:r>
        <w:t xml:space="preserve"> </w:t>
      </w:r>
      <w:r>
        <w:rPr>
          <w:rFonts w:hint="eastAsia"/>
        </w:rPr>
        <w:t>第</w:t>
      </w:r>
      <w:r>
        <w:t>25</w:t>
      </w:r>
      <w:r>
        <w:rPr>
          <w:rFonts w:hint="eastAsia"/>
        </w:rPr>
        <w:t>号）。对比其中的清洁生产评价指标，本项目清洁生产水平为</w:t>
      </w:r>
      <w:r>
        <w:t>Ⅰ级，即</w:t>
      </w:r>
      <w:r>
        <w:rPr>
          <w:rFonts w:hint="eastAsia"/>
        </w:rPr>
        <w:t>国际</w:t>
      </w:r>
      <w:r>
        <w:t>清洁生产领先水平</w:t>
      </w:r>
      <w:r>
        <w:rPr>
          <w:szCs w:val="24"/>
        </w:rPr>
        <w:t>。</w:t>
      </w:r>
    </w:p>
    <w:p w14:paraId="6E9DACD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33" w:name="_Toc108122655"/>
      <w:r>
        <w:rPr>
          <w:rFonts w:hint="eastAsia" w:cs="Times New Roman"/>
          <w:lang w:val="en-US" w:eastAsia="zh-CN"/>
        </w:rPr>
        <w:t>10.1.8工程建成后将具有较好的社会效益和经济效益</w:t>
      </w:r>
      <w:bookmarkEnd w:id="833"/>
    </w:p>
    <w:p w14:paraId="31FD1E55">
      <w:pPr>
        <w:pStyle w:val="72"/>
        <w:rPr>
          <w:highlight w:val="yellow"/>
        </w:rPr>
      </w:pPr>
      <w:r>
        <w:t>由环境经济效益分析可知，项目采取的各种污染防治措施合理可行，可使项目生产过程中产生的污染物得到较大程度的削减，同时项目的建设将会促进当地经济发展，增加就业机会，具有较好的经济效益和社会效益</w:t>
      </w:r>
      <w:r>
        <w:rPr>
          <w:rFonts w:hint="eastAsia"/>
        </w:rPr>
        <w:t>。</w:t>
      </w:r>
    </w:p>
    <w:p w14:paraId="56817586">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34" w:name="_Toc108122656"/>
      <w:r>
        <w:rPr>
          <w:rFonts w:hint="eastAsia" w:cs="Times New Roman"/>
          <w:lang w:val="en-US" w:eastAsia="zh-CN"/>
        </w:rPr>
        <w:t>10.1.9公众参与调查结果表明，公众对该项目无反对意见</w:t>
      </w:r>
      <w:bookmarkEnd w:id="834"/>
    </w:p>
    <w:p w14:paraId="3F867CEE">
      <w:pPr>
        <w:ind w:firstLine="480"/>
        <w:rPr>
          <w:rFonts w:hint="eastAsia"/>
          <w:color w:val="000000" w:themeColor="text1"/>
          <w:spacing w:val="-4"/>
          <w14:textFill>
            <w14:solidFill>
              <w14:schemeClr w14:val="tx1"/>
            </w14:solidFill>
          </w14:textFill>
        </w:rPr>
      </w:pPr>
      <w:r>
        <w:rPr>
          <w:rFonts w:hint="eastAsia"/>
          <w:color w:val="000000" w:themeColor="text1"/>
          <w14:textFill>
            <w14:solidFill>
              <w14:schemeClr w14:val="tx1"/>
            </w14:solidFill>
          </w14:textFill>
        </w:rPr>
        <w:t>新乡市润鑫新能源有限公司</w:t>
      </w:r>
      <w:r>
        <w:rPr>
          <w:color w:val="000000" w:themeColor="text1"/>
          <w:spacing w:val="-4"/>
          <w14:textFill>
            <w14:solidFill>
              <w14:schemeClr w14:val="tx1"/>
            </w14:solidFill>
          </w14:textFill>
        </w:rPr>
        <w:t>按照</w:t>
      </w:r>
      <w:r>
        <w:rPr>
          <w:rFonts w:hint="eastAsia"/>
          <w:color w:val="000000" w:themeColor="text1"/>
          <w:spacing w:val="-4"/>
          <w14:textFill>
            <w14:solidFill>
              <w14:schemeClr w14:val="tx1"/>
            </w14:solidFill>
          </w14:textFill>
        </w:rPr>
        <w:t>《</w:t>
      </w:r>
      <w:r>
        <w:rPr>
          <w:color w:val="000000" w:themeColor="text1"/>
          <w:spacing w:val="-4"/>
          <w14:textFill>
            <w14:solidFill>
              <w14:schemeClr w14:val="tx1"/>
            </w14:solidFill>
          </w14:textFill>
        </w:rPr>
        <w:t>环境影响评价公众参与办法</w:t>
      </w:r>
      <w:r>
        <w:rPr>
          <w:rFonts w:hint="eastAsia"/>
          <w:color w:val="000000" w:themeColor="text1"/>
          <w:spacing w:val="-4"/>
          <w14:textFill>
            <w14:solidFill>
              <w14:schemeClr w14:val="tx1"/>
            </w14:solidFill>
          </w14:textFill>
        </w:rPr>
        <w:t>》</w:t>
      </w:r>
      <w:r>
        <w:rPr>
          <w:color w:val="000000" w:themeColor="text1"/>
          <w:spacing w:val="-4"/>
          <w14:textFill>
            <w14:solidFill>
              <w14:schemeClr w14:val="tx1"/>
            </w14:solidFill>
          </w14:textFill>
        </w:rPr>
        <w:t>的要求，</w:t>
      </w:r>
      <w:r>
        <w:rPr>
          <w:rFonts w:hint="eastAsia"/>
          <w:color w:val="000000" w:themeColor="text1"/>
          <w:spacing w:val="-4"/>
          <w14:textFill>
            <w14:solidFill>
              <w14:schemeClr w14:val="tx1"/>
            </w14:solidFill>
          </w14:textFill>
        </w:rPr>
        <w:t>2025年4月27日~2024年5月</w:t>
      </w:r>
      <w:r>
        <w:rPr>
          <w:rFonts w:hint="eastAsia"/>
          <w:color w:val="000000" w:themeColor="text1"/>
          <w:spacing w:val="-4"/>
          <w:lang w:val="en-US" w:eastAsia="zh-CN"/>
          <w14:textFill>
            <w14:solidFill>
              <w14:schemeClr w14:val="tx1"/>
            </w14:solidFill>
          </w14:textFill>
        </w:rPr>
        <w:t>13</w:t>
      </w:r>
      <w:r>
        <w:rPr>
          <w:rFonts w:hint="eastAsia"/>
          <w:color w:val="000000" w:themeColor="text1"/>
          <w:spacing w:val="-4"/>
          <w14:textFill>
            <w14:solidFill>
              <w14:schemeClr w14:val="tx1"/>
            </w14:solidFill>
          </w14:textFill>
        </w:rPr>
        <w:t>日在</w:t>
      </w:r>
      <w:r>
        <w:rPr>
          <w:rFonts w:hint="eastAsia"/>
          <w:color w:val="000000" w:themeColor="text1"/>
          <w:spacing w:val="-4"/>
          <w:lang w:val="en-US" w:eastAsia="zh-CN"/>
          <w14:textFill>
            <w14:solidFill>
              <w14:schemeClr w14:val="tx1"/>
            </w14:solidFill>
          </w14:textFill>
        </w:rPr>
        <w:t>译洋环境</w:t>
      </w:r>
      <w:r>
        <w:rPr>
          <w:rFonts w:hint="eastAsia"/>
          <w:color w:val="000000" w:themeColor="text1"/>
          <w:spacing w:val="-4"/>
          <w14:textFill>
            <w14:solidFill>
              <w14:schemeClr w14:val="tx1"/>
            </w14:solidFill>
          </w14:textFill>
        </w:rPr>
        <w:t>进行了征求意见稿全文公示并征求公众意见，同时分别于2025年4月</w:t>
      </w:r>
      <w:r>
        <w:rPr>
          <w:rFonts w:hint="eastAsia"/>
          <w:color w:val="000000" w:themeColor="text1"/>
          <w:spacing w:val="-4"/>
          <w:lang w:val="en-US" w:eastAsia="zh-CN"/>
          <w14:textFill>
            <w14:solidFill>
              <w14:schemeClr w14:val="tx1"/>
            </w14:solidFill>
          </w14:textFill>
        </w:rPr>
        <w:t>29</w:t>
      </w:r>
      <w:r>
        <w:rPr>
          <w:rFonts w:hint="eastAsia"/>
          <w:color w:val="000000" w:themeColor="text1"/>
          <w:spacing w:val="-4"/>
          <w14:textFill>
            <w14:solidFill>
              <w14:schemeClr w14:val="tx1"/>
            </w14:solidFill>
          </w14:textFill>
        </w:rPr>
        <w:t>日和</w:t>
      </w:r>
      <w:r>
        <w:rPr>
          <w:rFonts w:hint="eastAsia"/>
          <w:color w:val="000000" w:themeColor="text1"/>
          <w:spacing w:val="-4"/>
          <w:lang w:val="en-US" w:eastAsia="zh-CN"/>
          <w14:textFill>
            <w14:solidFill>
              <w14:schemeClr w14:val="tx1"/>
            </w14:solidFill>
          </w14:textFill>
        </w:rPr>
        <w:t>4</w:t>
      </w:r>
      <w:r>
        <w:rPr>
          <w:rFonts w:hint="eastAsia"/>
          <w:color w:val="000000" w:themeColor="text1"/>
          <w:spacing w:val="-4"/>
          <w14:textFill>
            <w14:solidFill>
              <w14:schemeClr w14:val="tx1"/>
            </w14:solidFill>
          </w14:textFill>
        </w:rPr>
        <w:t>月</w:t>
      </w:r>
      <w:r>
        <w:rPr>
          <w:rFonts w:hint="eastAsia"/>
          <w:color w:val="000000" w:themeColor="text1"/>
          <w:spacing w:val="-4"/>
          <w:lang w:val="en-US" w:eastAsia="zh-CN"/>
          <w14:textFill>
            <w14:solidFill>
              <w14:schemeClr w14:val="tx1"/>
            </w14:solidFill>
          </w14:textFill>
        </w:rPr>
        <w:t>30</w:t>
      </w:r>
      <w:r>
        <w:rPr>
          <w:rFonts w:hint="eastAsia"/>
          <w:color w:val="000000" w:themeColor="text1"/>
          <w:spacing w:val="-4"/>
          <w14:textFill>
            <w14:solidFill>
              <w14:schemeClr w14:val="tx1"/>
            </w14:solidFill>
          </w14:textFill>
        </w:rPr>
        <w:t>日在《</w:t>
      </w:r>
      <w:r>
        <w:rPr>
          <w:rFonts w:hint="eastAsia"/>
          <w:color w:val="000000" w:themeColor="text1"/>
          <w:spacing w:val="-4"/>
          <w:lang w:val="en-US" w:eastAsia="zh-CN"/>
          <w14:textFill>
            <w14:solidFill>
              <w14:schemeClr w14:val="tx1"/>
            </w14:solidFill>
          </w14:textFill>
        </w:rPr>
        <w:t>河南</w:t>
      </w:r>
      <w:r>
        <w:rPr>
          <w:rFonts w:hint="eastAsia"/>
          <w:color w:val="000000" w:themeColor="text1"/>
          <w:spacing w:val="-4"/>
          <w14:textFill>
            <w14:solidFill>
              <w14:schemeClr w14:val="tx1"/>
            </w14:solidFill>
          </w14:textFill>
        </w:rPr>
        <w:t>日报》上进行了信息公示并征求公众意见。</w:t>
      </w:r>
    </w:p>
    <w:p w14:paraId="25739BD7">
      <w:pPr>
        <w:ind w:firstLine="464"/>
        <w:rPr>
          <w:highlight w:val="yellow"/>
        </w:rPr>
      </w:pPr>
      <w:r>
        <w:rPr>
          <w:rFonts w:hint="eastAsia"/>
          <w:spacing w:val="-4"/>
        </w:rPr>
        <w:t>建设单位的公众参与调查结果表明，公众对项目的建设无反对意见。</w:t>
      </w:r>
    </w:p>
    <w:p w14:paraId="5F2E57BA">
      <w:pPr>
        <w:pStyle w:val="4"/>
        <w:keepNext/>
        <w:keepLines/>
        <w:pageBreakBefore w:val="0"/>
        <w:widowControl w:val="0"/>
        <w:numPr>
          <w:ilvl w:val="2"/>
          <w:numId w:val="0"/>
        </w:numPr>
        <w:tabs>
          <w:tab w:val="clear" w:pos="1571"/>
        </w:tabs>
        <w:kinsoku/>
        <w:wordWrap/>
        <w:overflowPunct/>
        <w:topLinePunct w:val="0"/>
        <w:autoSpaceDE/>
        <w:autoSpaceDN/>
        <w:bidi w:val="0"/>
        <w:adjustRightInd w:val="0"/>
        <w:snapToGrid w:val="0"/>
        <w:spacing w:line="520" w:lineRule="exact"/>
        <w:ind w:left="0" w:leftChars="0"/>
        <w:textAlignment w:val="baseline"/>
        <w:rPr>
          <w:rFonts w:hint="eastAsia" w:cs="Times New Roman"/>
          <w:lang w:val="en-US" w:eastAsia="zh-CN"/>
        </w:rPr>
      </w:pPr>
      <w:bookmarkStart w:id="835" w:name="_Toc108122657"/>
      <w:r>
        <w:rPr>
          <w:rFonts w:hint="eastAsia" w:cs="Times New Roman"/>
          <w:lang w:val="en-US" w:eastAsia="zh-CN"/>
        </w:rPr>
        <w:t>10.1.10总量控制指标建议</w:t>
      </w:r>
      <w:bookmarkEnd w:id="835"/>
    </w:p>
    <w:p w14:paraId="0FE8657F">
      <w:pPr>
        <w:pStyle w:val="72"/>
      </w:pPr>
      <w:r>
        <w:t>评价建议将项目污染物排放量纳入总量指标进行控制：</w:t>
      </w:r>
    </w:p>
    <w:p w14:paraId="7476D3AE">
      <w:pPr>
        <w:ind w:firstLine="480"/>
        <w:rPr>
          <w:rFonts w:cs="宋体"/>
        </w:rPr>
      </w:pPr>
      <w:r>
        <w:rPr>
          <w:rFonts w:hint="eastAsia" w:cs="宋体"/>
        </w:rPr>
        <w:t xml:space="preserve">①项目出厂废水污染物排放总量为：COD </w:t>
      </w:r>
      <w:r>
        <w:rPr>
          <w:rFonts w:hint="eastAsia" w:cs="宋体"/>
          <w:lang w:val="en-US" w:eastAsia="zh-CN"/>
        </w:rPr>
        <w:t>4.9064</w:t>
      </w:r>
      <w:r>
        <w:rPr>
          <w:rFonts w:hint="eastAsia" w:cs="宋体"/>
        </w:rPr>
        <w:t>t/a，氨氮</w:t>
      </w:r>
      <w:r>
        <w:rPr>
          <w:rFonts w:hint="eastAsia" w:cs="宋体"/>
          <w:lang w:val="en-US" w:eastAsia="zh-CN"/>
        </w:rPr>
        <w:t>0.4928</w:t>
      </w:r>
      <w:r>
        <w:rPr>
          <w:rFonts w:hint="eastAsia" w:cs="宋体"/>
        </w:rPr>
        <w:t>t/a，总磷</w:t>
      </w:r>
      <w:r>
        <w:rPr>
          <w:rFonts w:hint="eastAsia" w:cs="宋体"/>
          <w:lang w:val="en-US" w:eastAsia="zh-CN"/>
        </w:rPr>
        <w:t>0.0371</w:t>
      </w:r>
      <w:r>
        <w:rPr>
          <w:rFonts w:hint="eastAsia" w:cs="宋体"/>
        </w:rPr>
        <w:t>/a，总氮</w:t>
      </w:r>
      <w:r>
        <w:rPr>
          <w:rFonts w:hint="eastAsia" w:cs="宋体"/>
          <w:lang w:val="en-US" w:eastAsia="zh-CN"/>
        </w:rPr>
        <w:t>0.5828</w:t>
      </w:r>
      <w:r>
        <w:rPr>
          <w:rFonts w:hint="eastAsia" w:cs="宋体"/>
        </w:rPr>
        <w:t>t/a。</w:t>
      </w:r>
    </w:p>
    <w:p w14:paraId="5AF17DF7">
      <w:pPr>
        <w:ind w:firstLine="480"/>
        <w:rPr>
          <w:rFonts w:cs="宋体"/>
        </w:rPr>
      </w:pPr>
      <w:r>
        <w:rPr>
          <w:rFonts w:hint="eastAsia" w:cs="宋体"/>
          <w:lang w:val="en-US" w:eastAsia="zh-CN"/>
        </w:rPr>
        <w:t>②</w:t>
      </w:r>
      <w:r>
        <w:rPr>
          <w:rFonts w:hint="eastAsia" w:cs="宋体"/>
        </w:rPr>
        <w:t>项目废水经</w:t>
      </w:r>
      <w:r>
        <w:rPr>
          <w:rFonts w:hint="eastAsia" w:cs="宋体"/>
          <w:lang w:val="en-US" w:eastAsia="zh-CN"/>
        </w:rPr>
        <w:t>获嘉县同盟</w:t>
      </w:r>
      <w:r>
        <w:rPr>
          <w:rFonts w:hint="eastAsia" w:cs="宋体"/>
        </w:rPr>
        <w:t xml:space="preserve">污水处理厂处理后水污染物总量指标为：COD </w:t>
      </w:r>
      <w:r>
        <w:rPr>
          <w:rFonts w:hint="eastAsia" w:cs="宋体"/>
          <w:lang w:val="en-US" w:eastAsia="zh-CN"/>
        </w:rPr>
        <w:t>1.5895</w:t>
      </w:r>
      <w:r>
        <w:rPr>
          <w:rFonts w:hint="eastAsia" w:cs="宋体"/>
        </w:rPr>
        <w:t>t/a，氨氮</w:t>
      </w:r>
      <w:r>
        <w:rPr>
          <w:rFonts w:hint="eastAsia" w:cs="宋体"/>
          <w:lang w:val="en-US" w:eastAsia="zh-CN"/>
        </w:rPr>
        <w:t>0.0795</w:t>
      </w:r>
      <w:r>
        <w:rPr>
          <w:rFonts w:hint="eastAsia" w:cs="宋体"/>
        </w:rPr>
        <w:t>t/a，总磷</w:t>
      </w:r>
      <w:r>
        <w:rPr>
          <w:rFonts w:hint="eastAsia" w:cs="宋体"/>
          <w:lang w:val="en-US" w:eastAsia="zh-CN"/>
        </w:rPr>
        <w:t>0.0159</w:t>
      </w:r>
      <w:r>
        <w:rPr>
          <w:rFonts w:hint="eastAsia" w:cs="宋体"/>
        </w:rPr>
        <w:t>t/a，总氮</w:t>
      </w:r>
      <w:r>
        <w:rPr>
          <w:rFonts w:hint="eastAsia" w:cs="宋体"/>
          <w:lang w:val="en-US" w:eastAsia="zh-CN"/>
        </w:rPr>
        <w:t>0.5828</w:t>
      </w:r>
      <w:r>
        <w:rPr>
          <w:rFonts w:hint="eastAsia" w:cs="宋体"/>
        </w:rPr>
        <w:t>t/a。</w:t>
      </w:r>
    </w:p>
    <w:p w14:paraId="3BAF3B21">
      <w:pPr>
        <w:ind w:firstLine="480"/>
      </w:pPr>
      <w:r>
        <w:rPr>
          <w:rFonts w:hint="eastAsia"/>
        </w:rPr>
        <w:t xml:space="preserve">新乡市润鑫新能源有限公司年产10亿只钢壳、10亿只盖帽和3600吨电池连接件项目。环境影响评价报告预测表明：该项目建成后新增COD </w:t>
      </w:r>
      <w:r>
        <w:rPr>
          <w:rFonts w:hint="eastAsia" w:cs="宋体"/>
          <w:lang w:val="en-US" w:eastAsia="zh-CN"/>
        </w:rPr>
        <w:t>1.5895</w:t>
      </w:r>
      <w:r>
        <w:rPr>
          <w:rFonts w:hint="eastAsia"/>
        </w:rPr>
        <w:t>t/a、氨氮</w:t>
      </w:r>
      <w:r>
        <w:rPr>
          <w:rFonts w:hint="eastAsia" w:cs="宋体"/>
          <w:lang w:val="en-US" w:eastAsia="zh-CN"/>
        </w:rPr>
        <w:t>0.0795</w:t>
      </w:r>
      <w:r>
        <w:rPr>
          <w:rFonts w:hint="eastAsia"/>
        </w:rPr>
        <w:t>/a。废水排入</w:t>
      </w:r>
      <w:r>
        <w:rPr>
          <w:rFonts w:hint="eastAsia"/>
          <w:lang w:val="en-US" w:eastAsia="zh-CN"/>
        </w:rPr>
        <w:t>获嘉县污水处理厂进一步处理</w:t>
      </w:r>
      <w:r>
        <w:rPr>
          <w:rFonts w:hint="eastAsia"/>
        </w:rPr>
        <w:t>，最终排入共产主义渠。需要</w:t>
      </w:r>
      <w:r>
        <w:rPr>
          <w:rFonts w:hint="eastAsia"/>
          <w:lang w:val="en-US" w:eastAsia="zh-CN"/>
        </w:rPr>
        <w:t>单</w:t>
      </w:r>
      <w:r>
        <w:rPr>
          <w:rFonts w:hint="eastAsia"/>
        </w:rPr>
        <w:t xml:space="preserve">倍替代，即新增COD </w:t>
      </w:r>
      <w:r>
        <w:rPr>
          <w:rFonts w:hint="eastAsia" w:cs="宋体"/>
          <w:lang w:val="en-US" w:eastAsia="zh-CN"/>
        </w:rPr>
        <w:t>1.5895</w:t>
      </w:r>
      <w:r>
        <w:rPr>
          <w:rFonts w:hint="eastAsia"/>
        </w:rPr>
        <w:t>t/a、氨氮</w:t>
      </w:r>
      <w:r>
        <w:rPr>
          <w:rFonts w:hint="eastAsia" w:cs="宋体"/>
          <w:lang w:val="en-US" w:eastAsia="zh-CN"/>
        </w:rPr>
        <w:t>0.0795</w:t>
      </w:r>
      <w:r>
        <w:rPr>
          <w:rFonts w:hint="eastAsia"/>
        </w:rPr>
        <w:t>/a。</w:t>
      </w:r>
    </w:p>
    <w:p w14:paraId="162B57E2">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836" w:name="_Toc6020"/>
      <w:bookmarkStart w:id="837" w:name="_Toc10282"/>
      <w:bookmarkStart w:id="838" w:name="_Toc2777"/>
      <w:bookmarkStart w:id="839" w:name="_Toc489346023"/>
      <w:r>
        <w:rPr>
          <w:rFonts w:hint="eastAsia"/>
          <w:lang w:val="en-US" w:eastAsia="zh-CN"/>
        </w:rPr>
        <w:t>10.2建议</w:t>
      </w:r>
      <w:bookmarkEnd w:id="836"/>
      <w:bookmarkEnd w:id="837"/>
      <w:bookmarkEnd w:id="838"/>
      <w:bookmarkEnd w:id="839"/>
    </w:p>
    <w:p w14:paraId="17D7478E">
      <w:pPr>
        <w:pStyle w:val="72"/>
      </w:pPr>
      <w:r>
        <w:rPr>
          <w:rFonts w:hint="eastAsia"/>
        </w:rPr>
        <w:t>（1）建设单位应严格执行环保“三同时”制度，确保环保资金落实到位。</w:t>
      </w:r>
    </w:p>
    <w:p w14:paraId="38E0CCE2">
      <w:pPr>
        <w:pStyle w:val="72"/>
      </w:pPr>
      <w:r>
        <w:rPr>
          <w:rFonts w:hint="eastAsia"/>
        </w:rPr>
        <w:t>（2）建立健全安全生产和管理制度，积极消除事故隐患，杜绝事故发生。</w:t>
      </w:r>
    </w:p>
    <w:p w14:paraId="2320B9B8">
      <w:pPr>
        <w:pStyle w:val="72"/>
      </w:pPr>
      <w:r>
        <w:rPr>
          <w:rFonts w:hint="eastAsia"/>
        </w:rPr>
        <w:t>（3）加强公司清洁生产工作，认真实施各项清洁生产措施，提高原料利用率，减少污染物的排放量。</w:t>
      </w:r>
    </w:p>
    <w:p w14:paraId="3981837D">
      <w:pPr>
        <w:pStyle w:val="72"/>
      </w:pPr>
      <w:r>
        <w:rPr>
          <w:rFonts w:hint="eastAsia"/>
        </w:rPr>
        <w:t>（4）加强厂区及周围的环境绿化，利用绿色植物阻滞粉尘、吸音降噪作用，有效降低噪声对外环境的影响。</w:t>
      </w:r>
    </w:p>
    <w:p w14:paraId="389E1C5D">
      <w:pPr>
        <w:pStyle w:val="72"/>
      </w:pPr>
      <w:r>
        <w:rPr>
          <w:rFonts w:hint="eastAsia"/>
        </w:rPr>
        <w:t>（5）加强环境保护机构建设，健全环保规章制度，加强对各种污染防治设施的运行管理，定期维护检修，确保其正常稳定运行。</w:t>
      </w:r>
    </w:p>
    <w:p w14:paraId="24B30057">
      <w:pPr>
        <w:pStyle w:val="72"/>
      </w:pPr>
      <w:r>
        <w:rPr>
          <w:rFonts w:hint="eastAsia"/>
        </w:rPr>
        <w:t>（6）规范员工的岗位操作章程制度、增强员工的安全意识。</w:t>
      </w:r>
    </w:p>
    <w:p w14:paraId="0220DA4F">
      <w:pPr>
        <w:pStyle w:val="72"/>
      </w:pPr>
      <w:r>
        <w:rPr>
          <w:rFonts w:hint="eastAsia"/>
        </w:rPr>
        <w:t>（7）加强废气排放烟囱和固体废物暂存间地的规范化管理，按规定设置明显标志牌和便于监督监测的采样孔。</w:t>
      </w:r>
    </w:p>
    <w:p w14:paraId="4163ADDD">
      <w:pPr>
        <w:pStyle w:val="3"/>
        <w:keepNext/>
        <w:keepLines/>
        <w:pageBreakBefore w:val="0"/>
        <w:widowControl w:val="0"/>
        <w:numPr>
          <w:ilvl w:val="1"/>
          <w:numId w:val="0"/>
        </w:numPr>
        <w:tabs>
          <w:tab w:val="clear" w:pos="1146"/>
        </w:tabs>
        <w:kinsoku/>
        <w:wordWrap/>
        <w:overflowPunct/>
        <w:topLinePunct w:val="0"/>
        <w:autoSpaceDE/>
        <w:autoSpaceDN/>
        <w:bidi w:val="0"/>
        <w:adjustRightInd/>
        <w:snapToGrid/>
        <w:spacing w:before="0" w:after="0" w:line="520" w:lineRule="exact"/>
        <w:ind w:leftChars="0"/>
        <w:textAlignment w:val="baseline"/>
        <w:rPr>
          <w:rFonts w:hint="eastAsia"/>
          <w:lang w:val="en-US" w:eastAsia="zh-CN"/>
        </w:rPr>
      </w:pPr>
      <w:bookmarkStart w:id="840" w:name="_Toc489346024"/>
      <w:bookmarkStart w:id="841" w:name="_Toc13738"/>
      <w:bookmarkStart w:id="842" w:name="_Toc51319898"/>
      <w:bookmarkStart w:id="843" w:name="_Toc25187"/>
      <w:r>
        <w:rPr>
          <w:rFonts w:hint="eastAsia"/>
          <w:lang w:val="en-US" w:eastAsia="zh-CN"/>
        </w:rPr>
        <w:t>10.3总结论</w:t>
      </w:r>
      <w:bookmarkEnd w:id="840"/>
      <w:bookmarkEnd w:id="841"/>
      <w:bookmarkEnd w:id="842"/>
      <w:bookmarkEnd w:id="843"/>
    </w:p>
    <w:p w14:paraId="1477D8DA">
      <w:pPr>
        <w:pStyle w:val="72"/>
      </w:pPr>
      <w:r>
        <w:rPr>
          <w:rFonts w:hint="eastAsia"/>
        </w:rPr>
        <w:t>新乡市润鑫新能源有限公司年产10亿只钢壳、10亿只盖帽和3600吨电池连接件项目属于《产业结构调整指导目录（2024年本）》中的允许类，符合国家产业政策；项目用地为二类工业用地，符合园区总体发展规划要求；根据环境影响预测结果：在保证评价要求和工程设计的防治措施正常运行的条件下，本项目对周围大气环境、地表水环境、地下水环境以及声环境的影响可接受；工程环境风险可接受；工程完成后，各项污染防治措施可行，全厂废气、废水、噪声污染物能够做到达标排放，固废采取了有效的处置措施；本项目严格按照规定进行了公众参与。从环保角度而言，该项目建设可行</w:t>
      </w:r>
      <w:r>
        <w:rPr>
          <w:rFonts w:hint="eastAsia"/>
          <w:lang w:eastAsia="zh-CN"/>
        </w:rPr>
        <w:t>。</w:t>
      </w:r>
    </w:p>
    <w:sectPr>
      <w:pgSz w:w="11907" w:h="16840"/>
      <w:pgMar w:top="1440" w:right="1797" w:bottom="1440" w:left="1797" w:header="907" w:footer="907" w:gutter="0"/>
      <w:pgBorders>
        <w:top w:val="none" w:sz="0" w:space="0"/>
        <w:left w:val="none" w:sz="0" w:space="0"/>
        <w:bottom w:val="none" w:sz="0" w:space="0"/>
        <w:right w:val="none" w:sz="0" w:space="0"/>
      </w:pgBorders>
      <w:pgNumType w:fmt="decimal"/>
      <w:cols w:space="720" w:num="1"/>
      <w:docGrid w:linePitch="38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华文行楷">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10" w:usb3="00000000" w:csb0="00040001"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ZWAdobeF">
    <w:panose1 w:val="00000000000000000000"/>
    <w:charset w:val="00"/>
    <w:family w:val="auto"/>
    <w:pitch w:val="default"/>
    <w:sig w:usb0="00000001" w:usb1="00000000" w:usb2="00000000"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689FA">
    <w:pPr>
      <w:ind w:firstLine="0" w:firstLineChars="0"/>
      <w:jc w:val="center"/>
      <w:rPr>
        <w:sz w:val="21"/>
        <w:szCs w:val="21"/>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635</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7CD93D">
                          <w:pPr>
                            <w:rPr>
                              <w:rFonts w:hint="eastAsia"/>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05pt;height:144pt;width:144pt;mso-position-horizontal:center;mso-position-horizontal-relative:margin;mso-wrap-style:none;z-index:251666432;mso-width-relative:page;mso-height-relative:page;" filled="f" stroked="f" coordsize="21600,21600" o:gfxdata="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9N5KudEAAAAFAQAADwAAAAAAAAABACAAAAAiAAAAZHJzL2Rvd25yZXYueG1sUEsBAhQA&#10;FAAAAAgAh07iQNR3mOYyAgAAYwQAAA4AAAAAAAAAAQAgAAAAIAEAAGRycy9lMm9Eb2MueG1sUEsF&#10;BgAAAAAGAAYAWQEAAMQFAAAAAA==&#10;">
              <v:fill on="f" focussize="0,0"/>
              <v:stroke on="f" weight="0.5pt"/>
              <v:imagedata o:title=""/>
              <o:lock v:ext="edit" aspectratio="f"/>
              <v:textbox inset="0mm,0mm,0mm,0mm" style="mso-fit-shape-to-text:t;">
                <w:txbxContent>
                  <w:p w14:paraId="637CD93D">
                    <w:pPr>
                      <w:rPr>
                        <w:rFonts w:hint="eastAsia"/>
                        <w:lang w:val="en-US" w:eastAsia="zh-CN"/>
                      </w:rPr>
                    </w:pPr>
                  </w:p>
                </w:txbxContent>
              </v:textbox>
            </v:shape>
          </w:pict>
        </mc:Fallback>
      </mc:AlternateContent>
    </w:r>
  </w:p>
  <w:p w14:paraId="31380E2B">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E9C44">
    <w:pPr>
      <w:pStyle w:val="18"/>
      <w:ind w:firstLine="480"/>
      <w:jc w:val="center"/>
    </w:pPr>
    <w:r>
      <w:rPr>
        <w:sz w:val="21"/>
      </w:rPr>
      <mc:AlternateContent>
        <mc:Choice Requires="wps">
          <w:drawing>
            <wp:anchor distT="0" distB="0" distL="114300" distR="114300" simplePos="0" relativeHeight="251678720" behindDoc="0" locked="0" layoutInCell="1" allowOverlap="1">
              <wp:simplePos x="0" y="0"/>
              <wp:positionH relativeFrom="margin">
                <wp:posOffset>2501265</wp:posOffset>
              </wp:positionH>
              <wp:positionV relativeFrom="paragraph">
                <wp:posOffset>-103505</wp:posOffset>
              </wp:positionV>
              <wp:extent cx="504825" cy="263525"/>
              <wp:effectExtent l="0" t="0" r="0" b="0"/>
              <wp:wrapNone/>
              <wp:docPr id="5" name="文本框 5"/>
              <wp:cNvGraphicFramePr/>
              <a:graphic xmlns:a="http://schemas.openxmlformats.org/drawingml/2006/main">
                <a:graphicData uri="http://schemas.microsoft.com/office/word/2010/wordprocessingShape">
                  <wps:wsp>
                    <wps:cNvSpPr txBox="1"/>
                    <wps:spPr>
                      <a:xfrm>
                        <a:off x="0" y="0"/>
                        <a:ext cx="504825" cy="263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9208"/>
                            <w:docPartObj>
                              <w:docPartGallery w:val="autotext"/>
                            </w:docPartObj>
                          </w:sdtPr>
                          <w:sdtEndPr>
                            <w:rPr>
                              <w:sz w:val="21"/>
                              <w:szCs w:val="21"/>
                            </w:rPr>
                          </w:sdtEndPr>
                          <w:sdtContent>
                            <w:p w14:paraId="5E39F7B0">
                              <w:pPr>
                                <w:pStyle w:val="18"/>
                                <w:ind w:firstLine="480"/>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6.95pt;margin-top:-8.15pt;height:20.75pt;width:39.75pt;mso-position-horizontal-relative:margin;z-index:251678720;mso-width-relative:page;mso-height-relative:page;" filled="f" stroked="f" coordsize="21600,21600" o:gfxdata="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9Lk3q2QAAAAoBAAAPAAAAAAAAAAEAIAAAACIAAABkcnMvZG93bnJl&#10;di54bWxQSwECFAAUAAAACACHTuJA5LylbzUCAABhBAAADgAAAAAAAAABACAAAAAoAQAAZHJzL2Uy&#10;b0RvYy54bWxQSwUGAAAAAAYABgBZAQAAzwUAAAAA&#10;">
              <v:fill on="f" focussize="0,0"/>
              <v:stroke on="f" weight="0.5pt"/>
              <v:imagedata o:title=""/>
              <o:lock v:ext="edit" aspectratio="f"/>
              <v:textbox inset="0mm,0mm,0mm,0mm">
                <w:txbxContent>
                  <w:sdt>
                    <w:sdtPr>
                      <w:id w:val="147459208"/>
                      <w:docPartObj>
                        <w:docPartGallery w:val="autotext"/>
                      </w:docPartObj>
                    </w:sdtPr>
                    <w:sdtEndPr>
                      <w:rPr>
                        <w:sz w:val="21"/>
                        <w:szCs w:val="21"/>
                      </w:rPr>
                    </w:sdtEndPr>
                    <w:sdtContent>
                      <w:p w14:paraId="5E39F7B0">
                        <w:pPr>
                          <w:pStyle w:val="18"/>
                          <w:ind w:firstLine="480"/>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FDBDC">
    <w:pPr>
      <w:pStyle w:val="18"/>
      <w:ind w:firstLine="480"/>
      <w:jc w:val="center"/>
    </w:pPr>
    <w:r>
      <w:rPr>
        <w:sz w:val="21"/>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8602"/>
                            <w:docPartObj>
                              <w:docPartGallery w:val="autotext"/>
                            </w:docPartObj>
                          </w:sdtPr>
                          <w:sdtEndPr>
                            <w:rPr>
                              <w:sz w:val="21"/>
                              <w:szCs w:val="21"/>
                            </w:rPr>
                          </w:sdtEndPr>
                          <w:sdtContent>
                            <w:p w14:paraId="1A8D99A8">
                              <w:pPr>
                                <w:pStyle w:val="18"/>
                                <w:ind w:firstLine="480"/>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sdt>
                    <w:sdtPr>
                      <w:id w:val="147458602"/>
                      <w:docPartObj>
                        <w:docPartGallery w:val="autotext"/>
                      </w:docPartObj>
                    </w:sdtPr>
                    <w:sdtEndPr>
                      <w:rPr>
                        <w:sz w:val="21"/>
                        <w:szCs w:val="21"/>
                      </w:rPr>
                    </w:sdtEndPr>
                    <w:sdtContent>
                      <w:p w14:paraId="1A8D99A8">
                        <w:pPr>
                          <w:pStyle w:val="18"/>
                          <w:ind w:firstLine="480"/>
                          <w:jc w:val="cente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3E564">
    <w:pPr>
      <w:ind w:firstLine="48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630555" cy="374015"/>
              <wp:effectExtent l="0" t="0" r="17780" b="6985"/>
              <wp:wrapNone/>
              <wp:docPr id="45" name="Text Box 7"/>
              <wp:cNvGraphicFramePr/>
              <a:graphic xmlns:a="http://schemas.openxmlformats.org/drawingml/2006/main">
                <a:graphicData uri="http://schemas.microsoft.com/office/word/2010/wordprocessingShape">
                  <wps:wsp>
                    <wps:cNvSpPr txBox="1">
                      <a:spLocks noChangeArrowheads="1"/>
                    </wps:cNvSpPr>
                    <wps:spPr bwMode="auto">
                      <a:xfrm>
                        <a:off x="0" y="0"/>
                        <a:ext cx="630382" cy="374073"/>
                      </a:xfrm>
                      <a:prstGeom prst="rect">
                        <a:avLst/>
                      </a:prstGeom>
                      <a:noFill/>
                      <a:ln>
                        <a:noFill/>
                      </a:ln>
                    </wps:spPr>
                    <wps:txbx>
                      <w:txbxContent>
                        <w:p w14:paraId="0344134D">
                          <w:pPr>
                            <w:ind w:firstLine="420"/>
                            <w:jc w:val="center"/>
                            <w:rPr>
                              <w:sz w:val="21"/>
                              <w:szCs w:val="21"/>
                            </w:rPr>
                          </w:pPr>
                          <w:r>
                            <w:rPr>
                              <w:sz w:val="21"/>
                              <w:szCs w:val="21"/>
                            </w:rPr>
                            <w:fldChar w:fldCharType="begin"/>
                          </w:r>
                          <w:r>
                            <w:rPr>
                              <w:sz w:val="21"/>
                              <w:szCs w:val="21"/>
                            </w:rPr>
                            <w:instrText xml:space="preserve">PAGE  </w:instrText>
                          </w:r>
                          <w:r>
                            <w:rPr>
                              <w:sz w:val="21"/>
                              <w:szCs w:val="21"/>
                            </w:rPr>
                            <w:fldChar w:fldCharType="separate"/>
                          </w:r>
                          <w:r>
                            <w:rPr>
                              <w:sz w:val="21"/>
                              <w:szCs w:val="21"/>
                            </w:rPr>
                            <w:t>68</w:t>
                          </w:r>
                          <w:r>
                            <w:rPr>
                              <w:sz w:val="21"/>
                              <w:szCs w:val="21"/>
                            </w:rPr>
                            <w:fldChar w:fldCharType="end"/>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top:0pt;height:29.45pt;width:49.65pt;mso-position-horizontal:center;mso-position-horizontal-relative:margin;z-index:251662336;mso-width-relative:page;mso-height-relative:page;" filled="f" stroked="f" coordsize="21600,21600" o:gfxdata="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Mf8itQAAAADAQAADwAAAAAAAAABACAAAAAiAAAAZHJzL2Rvd25yZXYu&#10;eG1sUEsBAhQAFAAAAAgAh07iQP/wd07/AQAABAQAAA4AAAAAAAAAAQAgAAAAIwEAAGRycy9lMm9E&#10;b2MueG1sUEsFBgAAAAAGAAYAWQEAAJQFAAAAAA==&#10;">
              <v:fill on="f" focussize="0,0"/>
              <v:stroke on="f"/>
              <v:imagedata o:title=""/>
              <o:lock v:ext="edit" aspectratio="f"/>
              <v:textbox inset="0mm,0mm,0mm,0mm">
                <w:txbxContent>
                  <w:p w14:paraId="0344134D">
                    <w:pPr>
                      <w:ind w:firstLine="420"/>
                      <w:jc w:val="center"/>
                      <w:rPr>
                        <w:sz w:val="21"/>
                        <w:szCs w:val="21"/>
                      </w:rPr>
                    </w:pPr>
                    <w:r>
                      <w:rPr>
                        <w:sz w:val="21"/>
                        <w:szCs w:val="21"/>
                      </w:rPr>
                      <w:fldChar w:fldCharType="begin"/>
                    </w:r>
                    <w:r>
                      <w:rPr>
                        <w:sz w:val="21"/>
                        <w:szCs w:val="21"/>
                      </w:rPr>
                      <w:instrText xml:space="preserve">PAGE  </w:instrText>
                    </w:r>
                    <w:r>
                      <w:rPr>
                        <w:sz w:val="21"/>
                        <w:szCs w:val="21"/>
                      </w:rPr>
                      <w:fldChar w:fldCharType="separate"/>
                    </w:r>
                    <w:r>
                      <w:rPr>
                        <w:sz w:val="21"/>
                        <w:szCs w:val="21"/>
                      </w:rPr>
                      <w:t>68</w:t>
                    </w:r>
                    <w:r>
                      <w:rPr>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66393">
    <w:pPr>
      <w:ind w:firstLine="480"/>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467360" cy="330200"/>
              <wp:effectExtent l="0" t="0" r="0" b="0"/>
              <wp:wrapNone/>
              <wp:docPr id="15" name="Text Box 8"/>
              <wp:cNvGraphicFramePr/>
              <a:graphic xmlns:a="http://schemas.openxmlformats.org/drawingml/2006/main">
                <a:graphicData uri="http://schemas.microsoft.com/office/word/2010/wordprocessingShape">
                  <wps:wsp>
                    <wps:cNvSpPr txBox="1">
                      <a:spLocks noChangeArrowheads="1"/>
                    </wps:cNvSpPr>
                    <wps:spPr bwMode="auto">
                      <a:xfrm>
                        <a:off x="0" y="0"/>
                        <a:ext cx="467360" cy="330200"/>
                      </a:xfrm>
                      <a:prstGeom prst="rect">
                        <a:avLst/>
                      </a:prstGeom>
                      <a:noFill/>
                      <a:ln>
                        <a:noFill/>
                      </a:ln>
                    </wps:spPr>
                    <wps:txbx>
                      <w:txbxContent>
                        <w:p w14:paraId="55364A1B">
                          <w:pPr>
                            <w:ind w:firstLine="42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177</w:t>
                          </w:r>
                          <w:r>
                            <w:rPr>
                              <w:sz w:val="21"/>
                              <w:szCs w:val="21"/>
                            </w:rPr>
                            <w:fldChar w:fldCharType="end"/>
                          </w:r>
                        </w:p>
                      </w:txbxContent>
                    </wps:txbx>
                    <wps:bodyPr rot="0" vert="horz" wrap="none" lIns="0" tIns="0" rIns="0" bIns="0" anchor="t" anchorCtr="0" upright="1">
                      <a:spAutoFit/>
                    </wps:bodyPr>
                  </wps:wsp>
                </a:graphicData>
              </a:graphic>
            </wp:anchor>
          </w:drawing>
        </mc:Choice>
        <mc:Fallback>
          <w:pict>
            <v:shape id="Text Box 8" o:spid="_x0000_s1026" o:spt="202" type="#_x0000_t202" style="position:absolute;left:0pt;margin-top:0pt;height:26pt;width:36.8pt;mso-position-horizontal:center;mso-position-horizontal-relative:margin;mso-wrap-style:none;z-index:251664384;mso-width-relative:page;mso-height-relative:page;" filled="f" stroked="f" coordsize="21600,21600" o:gfxdata="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Oes7NEAAAADAQAADwAAAAAAAAABACAAAAAiAAAAZHJzL2Rvd25yZXYueG1sUEsBAhQA&#10;FAAAAAgAh07iQLG1ZVT5AQAAAgQAAA4AAAAAAAAAAQAgAAAAIAEAAGRycy9lMm9Eb2MueG1sUEsF&#10;BgAAAAAGAAYAWQEAAIsFAAAAAA==&#10;">
              <v:fill on="f" focussize="0,0"/>
              <v:stroke on="f"/>
              <v:imagedata o:title=""/>
              <o:lock v:ext="edit" aspectratio="f"/>
              <v:textbox inset="0mm,0mm,0mm,0mm" style="mso-fit-shape-to-text:t;">
                <w:txbxContent>
                  <w:p w14:paraId="55364A1B">
                    <w:pPr>
                      <w:ind w:firstLine="42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177</w:t>
                    </w:r>
                    <w:r>
                      <w:rPr>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84EC5">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DBC6">
    <w:pPr>
      <w:pStyle w:val="27"/>
      <w:spacing w:after="240" w:afterLines="100"/>
      <w:rPr>
        <w:sz w:val="21"/>
        <w:szCs w:val="21"/>
      </w:rPr>
    </w:pPr>
    <w:r>
      <w:rPr>
        <w:rFonts w:hint="eastAsia"/>
        <w:sz w:val="21"/>
        <w:szCs w:val="21"/>
      </w:rPr>
      <w:t>年产10亿只钢壳、10亿只盖帽和3600吨电池连接件项目环境影响报告书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74422"/>
    <w:multiLevelType w:val="singleLevel"/>
    <w:tmpl w:val="9E274422"/>
    <w:lvl w:ilvl="0" w:tentative="0">
      <w:start w:val="2"/>
      <w:numFmt w:val="decimal"/>
      <w:suff w:val="nothing"/>
      <w:lvlText w:val="%1、"/>
      <w:lvlJc w:val="left"/>
    </w:lvl>
  </w:abstractNum>
  <w:abstractNum w:abstractNumId="1">
    <w:nsid w:val="ACC6721D"/>
    <w:multiLevelType w:val="singleLevel"/>
    <w:tmpl w:val="ACC6721D"/>
    <w:lvl w:ilvl="0" w:tentative="0">
      <w:start w:val="1"/>
      <w:numFmt w:val="decimal"/>
      <w:suff w:val="nothing"/>
      <w:lvlText w:val="%1、"/>
      <w:lvlJc w:val="left"/>
      <w:pPr>
        <w:ind w:left="-2"/>
      </w:pPr>
      <w:rPr>
        <w:b/>
      </w:rPr>
    </w:lvl>
  </w:abstractNum>
  <w:abstractNum w:abstractNumId="2">
    <w:nsid w:val="CF797098"/>
    <w:multiLevelType w:val="singleLevel"/>
    <w:tmpl w:val="CF797098"/>
    <w:lvl w:ilvl="0" w:tentative="0">
      <w:start w:val="2"/>
      <w:numFmt w:val="decimal"/>
      <w:suff w:val="nothing"/>
      <w:lvlText w:val="（%1）"/>
      <w:lvlJc w:val="left"/>
    </w:lvl>
  </w:abstractNum>
  <w:abstractNum w:abstractNumId="3">
    <w:nsid w:val="DEC696E9"/>
    <w:multiLevelType w:val="singleLevel"/>
    <w:tmpl w:val="DEC696E9"/>
    <w:lvl w:ilvl="0" w:tentative="0">
      <w:start w:val="1"/>
      <w:numFmt w:val="decimal"/>
      <w:suff w:val="nothing"/>
      <w:lvlText w:val="（%1）"/>
      <w:lvlJc w:val="left"/>
    </w:lvl>
  </w:abstractNum>
  <w:abstractNum w:abstractNumId="4">
    <w:nsid w:val="F2C3C9D0"/>
    <w:multiLevelType w:val="singleLevel"/>
    <w:tmpl w:val="F2C3C9D0"/>
    <w:lvl w:ilvl="0" w:tentative="0">
      <w:start w:val="1"/>
      <w:numFmt w:val="decimal"/>
      <w:suff w:val="nothing"/>
      <w:lvlText w:val="（%1）"/>
      <w:lvlJc w:val="left"/>
      <w:rPr>
        <w:rFonts w:hint="default"/>
        <w:b/>
        <w:bCs/>
      </w:rPr>
    </w:lvl>
  </w:abstractNum>
  <w:abstractNum w:abstractNumId="5">
    <w:nsid w:val="00000467"/>
    <w:multiLevelType w:val="multilevel"/>
    <w:tmpl w:val="00000467"/>
    <w:lvl w:ilvl="0" w:tentative="0">
      <w:start w:val="1"/>
      <w:numFmt w:val="decimal"/>
      <w:lvlText w:val="（%1）"/>
      <w:lvlJc w:val="left"/>
      <w:pPr>
        <w:ind w:left="318" w:hanging="603"/>
      </w:pPr>
      <w:rPr>
        <w:rFonts w:hint="default"/>
        <w:w w:val="96"/>
        <w:u w:val="none" w:color="auto"/>
      </w:rPr>
    </w:lvl>
    <w:lvl w:ilvl="1" w:tentative="0">
      <w:start w:val="1"/>
      <w:numFmt w:val="bullet"/>
      <w:lvlText w:val="•"/>
      <w:lvlJc w:val="left"/>
      <w:pPr>
        <w:ind w:left="1194" w:hanging="603"/>
      </w:pPr>
      <w:rPr>
        <w:rFonts w:hint="default"/>
        <w:u w:val="none" w:color="auto"/>
      </w:rPr>
    </w:lvl>
    <w:lvl w:ilvl="2" w:tentative="0">
      <w:start w:val="1"/>
      <w:numFmt w:val="bullet"/>
      <w:lvlText w:val="•"/>
      <w:lvlJc w:val="left"/>
      <w:pPr>
        <w:ind w:left="2069" w:hanging="603"/>
      </w:pPr>
      <w:rPr>
        <w:rFonts w:hint="default"/>
        <w:u w:val="none" w:color="auto"/>
      </w:rPr>
    </w:lvl>
    <w:lvl w:ilvl="3" w:tentative="0">
      <w:start w:val="1"/>
      <w:numFmt w:val="bullet"/>
      <w:lvlText w:val="•"/>
      <w:lvlJc w:val="left"/>
      <w:pPr>
        <w:ind w:left="2943" w:hanging="603"/>
      </w:pPr>
      <w:rPr>
        <w:rFonts w:hint="default"/>
        <w:u w:val="none" w:color="auto"/>
      </w:rPr>
    </w:lvl>
    <w:lvl w:ilvl="4" w:tentative="0">
      <w:start w:val="1"/>
      <w:numFmt w:val="bullet"/>
      <w:lvlText w:val="•"/>
      <w:lvlJc w:val="left"/>
      <w:pPr>
        <w:ind w:left="3818" w:hanging="603"/>
      </w:pPr>
      <w:rPr>
        <w:rFonts w:hint="default"/>
        <w:u w:val="none" w:color="auto"/>
      </w:rPr>
    </w:lvl>
    <w:lvl w:ilvl="5" w:tentative="0">
      <w:start w:val="1"/>
      <w:numFmt w:val="bullet"/>
      <w:lvlText w:val="•"/>
      <w:lvlJc w:val="left"/>
      <w:pPr>
        <w:ind w:left="4693" w:hanging="603"/>
      </w:pPr>
      <w:rPr>
        <w:rFonts w:hint="default"/>
        <w:u w:val="none" w:color="auto"/>
      </w:rPr>
    </w:lvl>
    <w:lvl w:ilvl="6" w:tentative="0">
      <w:start w:val="1"/>
      <w:numFmt w:val="bullet"/>
      <w:lvlText w:val="•"/>
      <w:lvlJc w:val="left"/>
      <w:pPr>
        <w:ind w:left="5567" w:hanging="603"/>
      </w:pPr>
      <w:rPr>
        <w:rFonts w:hint="default"/>
        <w:u w:val="none" w:color="auto"/>
      </w:rPr>
    </w:lvl>
    <w:lvl w:ilvl="7" w:tentative="0">
      <w:start w:val="1"/>
      <w:numFmt w:val="bullet"/>
      <w:lvlText w:val="•"/>
      <w:lvlJc w:val="left"/>
      <w:pPr>
        <w:ind w:left="6442" w:hanging="603"/>
      </w:pPr>
      <w:rPr>
        <w:rFonts w:hint="default"/>
        <w:u w:val="none" w:color="auto"/>
      </w:rPr>
    </w:lvl>
    <w:lvl w:ilvl="8" w:tentative="0">
      <w:start w:val="1"/>
      <w:numFmt w:val="bullet"/>
      <w:lvlText w:val="•"/>
      <w:lvlJc w:val="left"/>
      <w:pPr>
        <w:ind w:left="7317" w:hanging="603"/>
      </w:pPr>
      <w:rPr>
        <w:rFonts w:hint="default"/>
        <w:u w:val="none" w:color="auto"/>
      </w:rPr>
    </w:lvl>
  </w:abstractNum>
  <w:abstractNum w:abstractNumId="6">
    <w:nsid w:val="363C0808"/>
    <w:multiLevelType w:val="singleLevel"/>
    <w:tmpl w:val="363C0808"/>
    <w:lvl w:ilvl="0" w:tentative="0">
      <w:start w:val="3"/>
      <w:numFmt w:val="decimal"/>
      <w:suff w:val="nothing"/>
      <w:lvlText w:val="%1、"/>
      <w:lvlJc w:val="left"/>
    </w:lvl>
  </w:abstractNum>
  <w:abstractNum w:abstractNumId="7">
    <w:nsid w:val="3D56461C"/>
    <w:multiLevelType w:val="multilevel"/>
    <w:tmpl w:val="3D56461C"/>
    <w:lvl w:ilvl="0" w:tentative="0">
      <w:start w:val="1"/>
      <w:numFmt w:val="decimal"/>
      <w:pStyle w:val="2"/>
      <w:lvlText w:val="第 %1 章"/>
      <w:lvlJc w:val="center"/>
      <w:pPr>
        <w:tabs>
          <w:tab w:val="left" w:pos="1919"/>
        </w:tabs>
        <w:ind w:left="1559"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lang w:val="en-US"/>
        <w14:shadow w14:blurRad="0" w14:dist="0" w14:dir="0" w14:sx="0" w14:sy="0" w14:kx="0" w14:ky="0" w14:algn="none">
          <w14:srgbClr w14:val="000000"/>
        </w14:shadow>
      </w:rPr>
    </w:lvl>
    <w:lvl w:ilvl="1" w:tentative="0">
      <w:start w:val="1"/>
      <w:numFmt w:val="decimal"/>
      <w:pStyle w:val="3"/>
      <w:lvlText w:val="%1.%2"/>
      <w:lvlJc w:val="left"/>
      <w:pPr>
        <w:tabs>
          <w:tab w:val="left" w:pos="1146"/>
        </w:tabs>
        <w:ind w:left="426"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tentative="0">
      <w:start w:val="1"/>
      <w:numFmt w:val="decimal"/>
      <w:pStyle w:val="4"/>
      <w:lvlText w:val="%1.%2.%3"/>
      <w:lvlJc w:val="left"/>
      <w:pPr>
        <w:tabs>
          <w:tab w:val="left" w:pos="1571"/>
        </w:tabs>
        <w:ind w:left="1357" w:firstLine="0"/>
      </w:pPr>
    </w:lvl>
    <w:lvl w:ilvl="3" w:tentative="0">
      <w:start w:val="1"/>
      <w:numFmt w:val="decimal"/>
      <w:lvlText w:val="%1.%2.%3.%4"/>
      <w:lvlJc w:val="left"/>
      <w:pPr>
        <w:tabs>
          <w:tab w:val="left" w:pos="1080"/>
        </w:tabs>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8">
    <w:nsid w:val="65617F5B"/>
    <w:multiLevelType w:val="multilevel"/>
    <w:tmpl w:val="65617F5B"/>
    <w:lvl w:ilvl="0" w:tentative="0">
      <w:start w:val="1"/>
      <w:numFmt w:val="chineseCountingThousand"/>
      <w:pStyle w:val="6"/>
      <w:lvlText w:val="%1、"/>
      <w:lvlJc w:val="left"/>
      <w:pPr>
        <w:ind w:left="54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67F0D9FA"/>
    <w:multiLevelType w:val="singleLevel"/>
    <w:tmpl w:val="67F0D9FA"/>
    <w:lvl w:ilvl="0" w:tentative="0">
      <w:start w:val="1"/>
      <w:numFmt w:val="decimal"/>
      <w:suff w:val="nothing"/>
      <w:lvlText w:val="（%1）"/>
      <w:lvlJc w:val="left"/>
    </w:lvl>
  </w:abstractNum>
  <w:num w:numId="1">
    <w:abstractNumId w:val="7"/>
  </w:num>
  <w:num w:numId="2">
    <w:abstractNumId w:val="8"/>
  </w:num>
  <w:num w:numId="3">
    <w:abstractNumId w:val="1"/>
  </w:num>
  <w:num w:numId="4">
    <w:abstractNumId w:val="3"/>
  </w:num>
  <w:num w:numId="5">
    <w:abstractNumId w:val="6"/>
  </w:num>
  <w:num w:numId="6">
    <w:abstractNumId w:val="5"/>
  </w:num>
  <w:num w:numId="7">
    <w:abstractNumId w:val="4"/>
  </w:num>
  <w:num w:numId="8">
    <w:abstractNumId w:val="9"/>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19"/>
  <w:drawingGridHorizontalSpacing w:val="1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77"/>
    <w:rsid w:val="0000047C"/>
    <w:rsid w:val="00000551"/>
    <w:rsid w:val="000005CE"/>
    <w:rsid w:val="0000089F"/>
    <w:rsid w:val="000008C4"/>
    <w:rsid w:val="00000A62"/>
    <w:rsid w:val="00000C66"/>
    <w:rsid w:val="00001067"/>
    <w:rsid w:val="0000124C"/>
    <w:rsid w:val="000013BD"/>
    <w:rsid w:val="00001549"/>
    <w:rsid w:val="0000159A"/>
    <w:rsid w:val="000016A7"/>
    <w:rsid w:val="000016EE"/>
    <w:rsid w:val="00001709"/>
    <w:rsid w:val="00001A29"/>
    <w:rsid w:val="00001DB0"/>
    <w:rsid w:val="0000252C"/>
    <w:rsid w:val="000026A9"/>
    <w:rsid w:val="00002DA9"/>
    <w:rsid w:val="00002F07"/>
    <w:rsid w:val="00002F45"/>
    <w:rsid w:val="00003097"/>
    <w:rsid w:val="00003455"/>
    <w:rsid w:val="00003552"/>
    <w:rsid w:val="000035EB"/>
    <w:rsid w:val="00003731"/>
    <w:rsid w:val="000037FF"/>
    <w:rsid w:val="000038E3"/>
    <w:rsid w:val="0000397B"/>
    <w:rsid w:val="00003BE3"/>
    <w:rsid w:val="00003BE5"/>
    <w:rsid w:val="00003CBE"/>
    <w:rsid w:val="00003EC8"/>
    <w:rsid w:val="0000401E"/>
    <w:rsid w:val="00004445"/>
    <w:rsid w:val="000045A3"/>
    <w:rsid w:val="000048AF"/>
    <w:rsid w:val="00004DA3"/>
    <w:rsid w:val="00004F20"/>
    <w:rsid w:val="00004F7B"/>
    <w:rsid w:val="00005125"/>
    <w:rsid w:val="00005209"/>
    <w:rsid w:val="0000537A"/>
    <w:rsid w:val="0000550F"/>
    <w:rsid w:val="0000584B"/>
    <w:rsid w:val="00005B54"/>
    <w:rsid w:val="00005BC4"/>
    <w:rsid w:val="00005BED"/>
    <w:rsid w:val="00005BF0"/>
    <w:rsid w:val="00005BF4"/>
    <w:rsid w:val="00005C1D"/>
    <w:rsid w:val="00005D77"/>
    <w:rsid w:val="00005E85"/>
    <w:rsid w:val="00005EDD"/>
    <w:rsid w:val="00005F89"/>
    <w:rsid w:val="00005FD6"/>
    <w:rsid w:val="0000614E"/>
    <w:rsid w:val="00006293"/>
    <w:rsid w:val="0000632B"/>
    <w:rsid w:val="00006A7A"/>
    <w:rsid w:val="00006C22"/>
    <w:rsid w:val="00006C42"/>
    <w:rsid w:val="000070E3"/>
    <w:rsid w:val="00007150"/>
    <w:rsid w:val="000074CC"/>
    <w:rsid w:val="00007567"/>
    <w:rsid w:val="00007594"/>
    <w:rsid w:val="0000778A"/>
    <w:rsid w:val="000079EE"/>
    <w:rsid w:val="00007B9F"/>
    <w:rsid w:val="00010071"/>
    <w:rsid w:val="00010291"/>
    <w:rsid w:val="000102E7"/>
    <w:rsid w:val="000103F8"/>
    <w:rsid w:val="000105C0"/>
    <w:rsid w:val="000106C5"/>
    <w:rsid w:val="00010865"/>
    <w:rsid w:val="00010923"/>
    <w:rsid w:val="0001099A"/>
    <w:rsid w:val="00010A68"/>
    <w:rsid w:val="00010ACA"/>
    <w:rsid w:val="00010B49"/>
    <w:rsid w:val="00010BCC"/>
    <w:rsid w:val="00010E23"/>
    <w:rsid w:val="00011289"/>
    <w:rsid w:val="00011852"/>
    <w:rsid w:val="000118F1"/>
    <w:rsid w:val="00011936"/>
    <w:rsid w:val="00011A67"/>
    <w:rsid w:val="00011ACD"/>
    <w:rsid w:val="00011C21"/>
    <w:rsid w:val="00011E69"/>
    <w:rsid w:val="00012054"/>
    <w:rsid w:val="0001247B"/>
    <w:rsid w:val="00012742"/>
    <w:rsid w:val="00012872"/>
    <w:rsid w:val="000129FD"/>
    <w:rsid w:val="00012A61"/>
    <w:rsid w:val="00012ACC"/>
    <w:rsid w:val="00012CF4"/>
    <w:rsid w:val="00012E72"/>
    <w:rsid w:val="000131A2"/>
    <w:rsid w:val="0001325F"/>
    <w:rsid w:val="000132A7"/>
    <w:rsid w:val="00013312"/>
    <w:rsid w:val="00013361"/>
    <w:rsid w:val="00013673"/>
    <w:rsid w:val="00013929"/>
    <w:rsid w:val="00013BBE"/>
    <w:rsid w:val="0001418D"/>
    <w:rsid w:val="00014416"/>
    <w:rsid w:val="0001441B"/>
    <w:rsid w:val="0001458C"/>
    <w:rsid w:val="0001475A"/>
    <w:rsid w:val="00014975"/>
    <w:rsid w:val="00014A71"/>
    <w:rsid w:val="00014D77"/>
    <w:rsid w:val="0001548D"/>
    <w:rsid w:val="000158ED"/>
    <w:rsid w:val="00015966"/>
    <w:rsid w:val="000159A8"/>
    <w:rsid w:val="00015A41"/>
    <w:rsid w:val="00015A7F"/>
    <w:rsid w:val="00015ADB"/>
    <w:rsid w:val="00015DF1"/>
    <w:rsid w:val="00015F63"/>
    <w:rsid w:val="00015F9E"/>
    <w:rsid w:val="0001604F"/>
    <w:rsid w:val="000161AD"/>
    <w:rsid w:val="00016538"/>
    <w:rsid w:val="000165CD"/>
    <w:rsid w:val="00016707"/>
    <w:rsid w:val="00016713"/>
    <w:rsid w:val="0001679A"/>
    <w:rsid w:val="000167C8"/>
    <w:rsid w:val="0001684D"/>
    <w:rsid w:val="00016B4A"/>
    <w:rsid w:val="00016F3B"/>
    <w:rsid w:val="0001724B"/>
    <w:rsid w:val="00017495"/>
    <w:rsid w:val="00017543"/>
    <w:rsid w:val="000175CB"/>
    <w:rsid w:val="00017638"/>
    <w:rsid w:val="00017845"/>
    <w:rsid w:val="00017ACE"/>
    <w:rsid w:val="00017AED"/>
    <w:rsid w:val="00017BAE"/>
    <w:rsid w:val="00017C04"/>
    <w:rsid w:val="00017C78"/>
    <w:rsid w:val="00017DB8"/>
    <w:rsid w:val="00017F7E"/>
    <w:rsid w:val="000201AE"/>
    <w:rsid w:val="0002034F"/>
    <w:rsid w:val="000204D3"/>
    <w:rsid w:val="0002062C"/>
    <w:rsid w:val="00020751"/>
    <w:rsid w:val="0002099F"/>
    <w:rsid w:val="00020BAA"/>
    <w:rsid w:val="00020CF3"/>
    <w:rsid w:val="00020E1C"/>
    <w:rsid w:val="000211D4"/>
    <w:rsid w:val="00021203"/>
    <w:rsid w:val="00021208"/>
    <w:rsid w:val="0002122C"/>
    <w:rsid w:val="00021551"/>
    <w:rsid w:val="00021612"/>
    <w:rsid w:val="000217CC"/>
    <w:rsid w:val="00021A07"/>
    <w:rsid w:val="00021A09"/>
    <w:rsid w:val="00021AD7"/>
    <w:rsid w:val="00021C0F"/>
    <w:rsid w:val="00021CBE"/>
    <w:rsid w:val="00021D7C"/>
    <w:rsid w:val="00021E4A"/>
    <w:rsid w:val="00021EFA"/>
    <w:rsid w:val="00021FC1"/>
    <w:rsid w:val="0002209E"/>
    <w:rsid w:val="00022484"/>
    <w:rsid w:val="000225E6"/>
    <w:rsid w:val="00022719"/>
    <w:rsid w:val="00022764"/>
    <w:rsid w:val="000227B2"/>
    <w:rsid w:val="00022A2F"/>
    <w:rsid w:val="00022A64"/>
    <w:rsid w:val="00022AF8"/>
    <w:rsid w:val="00022B5E"/>
    <w:rsid w:val="00022D10"/>
    <w:rsid w:val="00022DBA"/>
    <w:rsid w:val="00022DFB"/>
    <w:rsid w:val="00022EA8"/>
    <w:rsid w:val="00022EDC"/>
    <w:rsid w:val="00022F20"/>
    <w:rsid w:val="00022FDB"/>
    <w:rsid w:val="00023023"/>
    <w:rsid w:val="000230E9"/>
    <w:rsid w:val="00023239"/>
    <w:rsid w:val="00023278"/>
    <w:rsid w:val="000233DC"/>
    <w:rsid w:val="00023433"/>
    <w:rsid w:val="000234B6"/>
    <w:rsid w:val="000234F2"/>
    <w:rsid w:val="000238C6"/>
    <w:rsid w:val="00023A8B"/>
    <w:rsid w:val="00023A91"/>
    <w:rsid w:val="00023AEC"/>
    <w:rsid w:val="00023BEC"/>
    <w:rsid w:val="00023C8E"/>
    <w:rsid w:val="00023D05"/>
    <w:rsid w:val="00023D5E"/>
    <w:rsid w:val="00023E1E"/>
    <w:rsid w:val="000242EC"/>
    <w:rsid w:val="0002459B"/>
    <w:rsid w:val="00024674"/>
    <w:rsid w:val="0002473F"/>
    <w:rsid w:val="00024896"/>
    <w:rsid w:val="00024ABF"/>
    <w:rsid w:val="00024B86"/>
    <w:rsid w:val="00024CD7"/>
    <w:rsid w:val="000250CA"/>
    <w:rsid w:val="0002516E"/>
    <w:rsid w:val="0002517F"/>
    <w:rsid w:val="00025211"/>
    <w:rsid w:val="0002557D"/>
    <w:rsid w:val="0002559D"/>
    <w:rsid w:val="00025705"/>
    <w:rsid w:val="000257BF"/>
    <w:rsid w:val="00025F3A"/>
    <w:rsid w:val="00026629"/>
    <w:rsid w:val="00026645"/>
    <w:rsid w:val="0002696A"/>
    <w:rsid w:val="00026A51"/>
    <w:rsid w:val="00026AA0"/>
    <w:rsid w:val="00026B2F"/>
    <w:rsid w:val="00026CE1"/>
    <w:rsid w:val="00026D9C"/>
    <w:rsid w:val="00026FD9"/>
    <w:rsid w:val="0002721F"/>
    <w:rsid w:val="000273FD"/>
    <w:rsid w:val="000274B5"/>
    <w:rsid w:val="000276EA"/>
    <w:rsid w:val="00027777"/>
    <w:rsid w:val="00027792"/>
    <w:rsid w:val="000277E8"/>
    <w:rsid w:val="000278E8"/>
    <w:rsid w:val="00027963"/>
    <w:rsid w:val="00027B90"/>
    <w:rsid w:val="00027BE6"/>
    <w:rsid w:val="00027CE9"/>
    <w:rsid w:val="00030032"/>
    <w:rsid w:val="000300D8"/>
    <w:rsid w:val="000305A6"/>
    <w:rsid w:val="000307CF"/>
    <w:rsid w:val="00030888"/>
    <w:rsid w:val="000310AD"/>
    <w:rsid w:val="0003115A"/>
    <w:rsid w:val="0003117F"/>
    <w:rsid w:val="00031279"/>
    <w:rsid w:val="000312EA"/>
    <w:rsid w:val="0003137C"/>
    <w:rsid w:val="00031534"/>
    <w:rsid w:val="00031711"/>
    <w:rsid w:val="00031C86"/>
    <w:rsid w:val="00031D14"/>
    <w:rsid w:val="00031DBB"/>
    <w:rsid w:val="00031EFF"/>
    <w:rsid w:val="0003202F"/>
    <w:rsid w:val="000325DD"/>
    <w:rsid w:val="0003260A"/>
    <w:rsid w:val="00032684"/>
    <w:rsid w:val="00032A45"/>
    <w:rsid w:val="00032AB2"/>
    <w:rsid w:val="00032B09"/>
    <w:rsid w:val="00032DA9"/>
    <w:rsid w:val="00032E30"/>
    <w:rsid w:val="00033106"/>
    <w:rsid w:val="00033153"/>
    <w:rsid w:val="000331B0"/>
    <w:rsid w:val="000332CD"/>
    <w:rsid w:val="00033475"/>
    <w:rsid w:val="000335F6"/>
    <w:rsid w:val="000336A3"/>
    <w:rsid w:val="00033732"/>
    <w:rsid w:val="00033886"/>
    <w:rsid w:val="000338A0"/>
    <w:rsid w:val="00033A1F"/>
    <w:rsid w:val="00033A77"/>
    <w:rsid w:val="00033C74"/>
    <w:rsid w:val="00033CB5"/>
    <w:rsid w:val="00033E40"/>
    <w:rsid w:val="00033FA7"/>
    <w:rsid w:val="0003407B"/>
    <w:rsid w:val="0003417A"/>
    <w:rsid w:val="00034340"/>
    <w:rsid w:val="000347D7"/>
    <w:rsid w:val="00034825"/>
    <w:rsid w:val="0003492B"/>
    <w:rsid w:val="00034A58"/>
    <w:rsid w:val="00034A80"/>
    <w:rsid w:val="00034F9F"/>
    <w:rsid w:val="00034FC9"/>
    <w:rsid w:val="00034FE6"/>
    <w:rsid w:val="0003516C"/>
    <w:rsid w:val="000351F8"/>
    <w:rsid w:val="00035220"/>
    <w:rsid w:val="0003534A"/>
    <w:rsid w:val="000354C6"/>
    <w:rsid w:val="00035787"/>
    <w:rsid w:val="0003599F"/>
    <w:rsid w:val="00036364"/>
    <w:rsid w:val="0003670C"/>
    <w:rsid w:val="00036751"/>
    <w:rsid w:val="0003692A"/>
    <w:rsid w:val="000369B2"/>
    <w:rsid w:val="00036B4A"/>
    <w:rsid w:val="00036C46"/>
    <w:rsid w:val="00036FC8"/>
    <w:rsid w:val="000372F3"/>
    <w:rsid w:val="00037A1C"/>
    <w:rsid w:val="00037ACC"/>
    <w:rsid w:val="00037AF9"/>
    <w:rsid w:val="00037B72"/>
    <w:rsid w:val="00037C7A"/>
    <w:rsid w:val="00037D9C"/>
    <w:rsid w:val="00037DF9"/>
    <w:rsid w:val="00037E82"/>
    <w:rsid w:val="00037F12"/>
    <w:rsid w:val="00037F62"/>
    <w:rsid w:val="00037FCD"/>
    <w:rsid w:val="000405E2"/>
    <w:rsid w:val="000407E3"/>
    <w:rsid w:val="000408C9"/>
    <w:rsid w:val="000409A4"/>
    <w:rsid w:val="00040AB2"/>
    <w:rsid w:val="00040E33"/>
    <w:rsid w:val="00040FF0"/>
    <w:rsid w:val="00041028"/>
    <w:rsid w:val="00041037"/>
    <w:rsid w:val="0004108E"/>
    <w:rsid w:val="000412DD"/>
    <w:rsid w:val="0004144C"/>
    <w:rsid w:val="00041789"/>
    <w:rsid w:val="00041879"/>
    <w:rsid w:val="000418C9"/>
    <w:rsid w:val="00041B92"/>
    <w:rsid w:val="00041C03"/>
    <w:rsid w:val="00041E2B"/>
    <w:rsid w:val="0004200C"/>
    <w:rsid w:val="000420F1"/>
    <w:rsid w:val="000422BC"/>
    <w:rsid w:val="00042520"/>
    <w:rsid w:val="0004252D"/>
    <w:rsid w:val="000425A6"/>
    <w:rsid w:val="000425E5"/>
    <w:rsid w:val="000428A7"/>
    <w:rsid w:val="000428AA"/>
    <w:rsid w:val="00042A2B"/>
    <w:rsid w:val="00042CE3"/>
    <w:rsid w:val="00042DAC"/>
    <w:rsid w:val="00042E99"/>
    <w:rsid w:val="00042EBD"/>
    <w:rsid w:val="00043029"/>
    <w:rsid w:val="000430AF"/>
    <w:rsid w:val="0004376D"/>
    <w:rsid w:val="0004381B"/>
    <w:rsid w:val="000438D3"/>
    <w:rsid w:val="000439DD"/>
    <w:rsid w:val="00043AB3"/>
    <w:rsid w:val="00043AC8"/>
    <w:rsid w:val="00043AD7"/>
    <w:rsid w:val="00043C2A"/>
    <w:rsid w:val="00043DEE"/>
    <w:rsid w:val="00044041"/>
    <w:rsid w:val="000440F8"/>
    <w:rsid w:val="000441F5"/>
    <w:rsid w:val="0004430F"/>
    <w:rsid w:val="00044365"/>
    <w:rsid w:val="00044378"/>
    <w:rsid w:val="000443DB"/>
    <w:rsid w:val="00044559"/>
    <w:rsid w:val="00044649"/>
    <w:rsid w:val="000447BD"/>
    <w:rsid w:val="00044968"/>
    <w:rsid w:val="000449E2"/>
    <w:rsid w:val="00044B86"/>
    <w:rsid w:val="00044BBF"/>
    <w:rsid w:val="00044E8A"/>
    <w:rsid w:val="00044FA1"/>
    <w:rsid w:val="00044FF2"/>
    <w:rsid w:val="000452BE"/>
    <w:rsid w:val="0004535E"/>
    <w:rsid w:val="00045469"/>
    <w:rsid w:val="00045592"/>
    <w:rsid w:val="000456C7"/>
    <w:rsid w:val="000456F3"/>
    <w:rsid w:val="00045766"/>
    <w:rsid w:val="000457DF"/>
    <w:rsid w:val="000458A9"/>
    <w:rsid w:val="00045B7D"/>
    <w:rsid w:val="00045C7C"/>
    <w:rsid w:val="00045FE4"/>
    <w:rsid w:val="00046106"/>
    <w:rsid w:val="00046183"/>
    <w:rsid w:val="0004625D"/>
    <w:rsid w:val="000463F3"/>
    <w:rsid w:val="000465C2"/>
    <w:rsid w:val="000467D0"/>
    <w:rsid w:val="00046978"/>
    <w:rsid w:val="00046A14"/>
    <w:rsid w:val="00046A6B"/>
    <w:rsid w:val="00046AFD"/>
    <w:rsid w:val="00046BBC"/>
    <w:rsid w:val="00046EF1"/>
    <w:rsid w:val="00046F0F"/>
    <w:rsid w:val="0004711E"/>
    <w:rsid w:val="00047165"/>
    <w:rsid w:val="00047564"/>
    <w:rsid w:val="0004764E"/>
    <w:rsid w:val="00047689"/>
    <w:rsid w:val="000476E8"/>
    <w:rsid w:val="0004799B"/>
    <w:rsid w:val="00047E52"/>
    <w:rsid w:val="00047EC3"/>
    <w:rsid w:val="00047F6E"/>
    <w:rsid w:val="00050076"/>
    <w:rsid w:val="00050144"/>
    <w:rsid w:val="00050184"/>
    <w:rsid w:val="00050273"/>
    <w:rsid w:val="000503AF"/>
    <w:rsid w:val="000506DD"/>
    <w:rsid w:val="00050709"/>
    <w:rsid w:val="000507C5"/>
    <w:rsid w:val="000507C9"/>
    <w:rsid w:val="00050893"/>
    <w:rsid w:val="00050A62"/>
    <w:rsid w:val="00050CDF"/>
    <w:rsid w:val="00050FEE"/>
    <w:rsid w:val="00051157"/>
    <w:rsid w:val="0005151F"/>
    <w:rsid w:val="0005153E"/>
    <w:rsid w:val="0005178A"/>
    <w:rsid w:val="0005188D"/>
    <w:rsid w:val="000518A0"/>
    <w:rsid w:val="00051BF0"/>
    <w:rsid w:val="00052028"/>
    <w:rsid w:val="0005224B"/>
    <w:rsid w:val="00052278"/>
    <w:rsid w:val="000524E7"/>
    <w:rsid w:val="00052981"/>
    <w:rsid w:val="00053235"/>
    <w:rsid w:val="0005349B"/>
    <w:rsid w:val="000534AC"/>
    <w:rsid w:val="000536A8"/>
    <w:rsid w:val="000536B5"/>
    <w:rsid w:val="000536EF"/>
    <w:rsid w:val="000538E8"/>
    <w:rsid w:val="000539B2"/>
    <w:rsid w:val="000539E2"/>
    <w:rsid w:val="00053A5F"/>
    <w:rsid w:val="00053ABD"/>
    <w:rsid w:val="00053BE9"/>
    <w:rsid w:val="00053DF6"/>
    <w:rsid w:val="00053E19"/>
    <w:rsid w:val="00053FD8"/>
    <w:rsid w:val="00053FFA"/>
    <w:rsid w:val="000540CC"/>
    <w:rsid w:val="0005435E"/>
    <w:rsid w:val="00054473"/>
    <w:rsid w:val="00054508"/>
    <w:rsid w:val="000546D7"/>
    <w:rsid w:val="00054802"/>
    <w:rsid w:val="000548D0"/>
    <w:rsid w:val="00054917"/>
    <w:rsid w:val="00054A97"/>
    <w:rsid w:val="00054AB0"/>
    <w:rsid w:val="00054AE7"/>
    <w:rsid w:val="00054DAC"/>
    <w:rsid w:val="00054E2F"/>
    <w:rsid w:val="00055090"/>
    <w:rsid w:val="000554AE"/>
    <w:rsid w:val="0005571C"/>
    <w:rsid w:val="0005585C"/>
    <w:rsid w:val="00055AE6"/>
    <w:rsid w:val="00055BE0"/>
    <w:rsid w:val="00055CDE"/>
    <w:rsid w:val="00055D38"/>
    <w:rsid w:val="00055D49"/>
    <w:rsid w:val="00055D89"/>
    <w:rsid w:val="0005623B"/>
    <w:rsid w:val="00056252"/>
    <w:rsid w:val="000563B8"/>
    <w:rsid w:val="000563DE"/>
    <w:rsid w:val="00056588"/>
    <w:rsid w:val="000565F9"/>
    <w:rsid w:val="00056639"/>
    <w:rsid w:val="00056690"/>
    <w:rsid w:val="00056695"/>
    <w:rsid w:val="0005676A"/>
    <w:rsid w:val="00056863"/>
    <w:rsid w:val="00056922"/>
    <w:rsid w:val="00056B08"/>
    <w:rsid w:val="00056C83"/>
    <w:rsid w:val="00056D8B"/>
    <w:rsid w:val="00056D8C"/>
    <w:rsid w:val="00056E82"/>
    <w:rsid w:val="00056FB2"/>
    <w:rsid w:val="00057157"/>
    <w:rsid w:val="000571BA"/>
    <w:rsid w:val="00057272"/>
    <w:rsid w:val="000574FD"/>
    <w:rsid w:val="00057639"/>
    <w:rsid w:val="00057829"/>
    <w:rsid w:val="000579DC"/>
    <w:rsid w:val="00057A14"/>
    <w:rsid w:val="00057B3A"/>
    <w:rsid w:val="00057B5E"/>
    <w:rsid w:val="00057B9D"/>
    <w:rsid w:val="00057CF4"/>
    <w:rsid w:val="00057D48"/>
    <w:rsid w:val="00057E6F"/>
    <w:rsid w:val="00057E7E"/>
    <w:rsid w:val="00057FB9"/>
    <w:rsid w:val="0006003F"/>
    <w:rsid w:val="000601FF"/>
    <w:rsid w:val="000602E9"/>
    <w:rsid w:val="000603E0"/>
    <w:rsid w:val="00060642"/>
    <w:rsid w:val="000608E0"/>
    <w:rsid w:val="00060B11"/>
    <w:rsid w:val="00060BBC"/>
    <w:rsid w:val="00060CC8"/>
    <w:rsid w:val="00060D55"/>
    <w:rsid w:val="00060FC8"/>
    <w:rsid w:val="00060FE1"/>
    <w:rsid w:val="0006103A"/>
    <w:rsid w:val="0006104E"/>
    <w:rsid w:val="00061249"/>
    <w:rsid w:val="00061527"/>
    <w:rsid w:val="00061642"/>
    <w:rsid w:val="000616AB"/>
    <w:rsid w:val="00061EC4"/>
    <w:rsid w:val="00061F8F"/>
    <w:rsid w:val="0006201E"/>
    <w:rsid w:val="00062546"/>
    <w:rsid w:val="0006255C"/>
    <w:rsid w:val="000625E8"/>
    <w:rsid w:val="00062679"/>
    <w:rsid w:val="000628D3"/>
    <w:rsid w:val="000629F1"/>
    <w:rsid w:val="00062B6B"/>
    <w:rsid w:val="00062CF2"/>
    <w:rsid w:val="00062FBF"/>
    <w:rsid w:val="00062FD6"/>
    <w:rsid w:val="00063060"/>
    <w:rsid w:val="000630E2"/>
    <w:rsid w:val="00063176"/>
    <w:rsid w:val="00063206"/>
    <w:rsid w:val="00063238"/>
    <w:rsid w:val="000637D7"/>
    <w:rsid w:val="0006391B"/>
    <w:rsid w:val="00063F0E"/>
    <w:rsid w:val="0006418E"/>
    <w:rsid w:val="000642CA"/>
    <w:rsid w:val="000645A1"/>
    <w:rsid w:val="000645DA"/>
    <w:rsid w:val="0006464F"/>
    <w:rsid w:val="000646AF"/>
    <w:rsid w:val="00064830"/>
    <w:rsid w:val="00064D0C"/>
    <w:rsid w:val="00064D44"/>
    <w:rsid w:val="00064E34"/>
    <w:rsid w:val="00064EF1"/>
    <w:rsid w:val="00065107"/>
    <w:rsid w:val="000651EE"/>
    <w:rsid w:val="000655C6"/>
    <w:rsid w:val="00065736"/>
    <w:rsid w:val="00065917"/>
    <w:rsid w:val="00065A76"/>
    <w:rsid w:val="00065AB1"/>
    <w:rsid w:val="00065C25"/>
    <w:rsid w:val="00065C98"/>
    <w:rsid w:val="00065CBE"/>
    <w:rsid w:val="00065D20"/>
    <w:rsid w:val="00066607"/>
    <w:rsid w:val="000666C4"/>
    <w:rsid w:val="000666CC"/>
    <w:rsid w:val="000667BF"/>
    <w:rsid w:val="00066821"/>
    <w:rsid w:val="0006695F"/>
    <w:rsid w:val="00066972"/>
    <w:rsid w:val="00066B64"/>
    <w:rsid w:val="00066CE8"/>
    <w:rsid w:val="00066D10"/>
    <w:rsid w:val="00066E06"/>
    <w:rsid w:val="00066FB1"/>
    <w:rsid w:val="00066FDE"/>
    <w:rsid w:val="0006713C"/>
    <w:rsid w:val="000673D1"/>
    <w:rsid w:val="00067762"/>
    <w:rsid w:val="000677B9"/>
    <w:rsid w:val="000678CC"/>
    <w:rsid w:val="000679C9"/>
    <w:rsid w:val="00067A08"/>
    <w:rsid w:val="00067B9F"/>
    <w:rsid w:val="00067CDE"/>
    <w:rsid w:val="00067D2E"/>
    <w:rsid w:val="00067E80"/>
    <w:rsid w:val="00070162"/>
    <w:rsid w:val="0007047D"/>
    <w:rsid w:val="00070516"/>
    <w:rsid w:val="000706B0"/>
    <w:rsid w:val="000709D6"/>
    <w:rsid w:val="00070A40"/>
    <w:rsid w:val="00070B51"/>
    <w:rsid w:val="00070CE7"/>
    <w:rsid w:val="00070F4F"/>
    <w:rsid w:val="0007144B"/>
    <w:rsid w:val="000719CA"/>
    <w:rsid w:val="00071AAD"/>
    <w:rsid w:val="00071F67"/>
    <w:rsid w:val="000720DD"/>
    <w:rsid w:val="000722A9"/>
    <w:rsid w:val="0007264B"/>
    <w:rsid w:val="0007274F"/>
    <w:rsid w:val="00072839"/>
    <w:rsid w:val="000728FF"/>
    <w:rsid w:val="00072A48"/>
    <w:rsid w:val="00072CCE"/>
    <w:rsid w:val="00072DB1"/>
    <w:rsid w:val="000730F0"/>
    <w:rsid w:val="00073210"/>
    <w:rsid w:val="0007343C"/>
    <w:rsid w:val="0007352E"/>
    <w:rsid w:val="00073624"/>
    <w:rsid w:val="0007366C"/>
    <w:rsid w:val="00073760"/>
    <w:rsid w:val="00073AC8"/>
    <w:rsid w:val="00073B1D"/>
    <w:rsid w:val="0007415A"/>
    <w:rsid w:val="00074386"/>
    <w:rsid w:val="00074797"/>
    <w:rsid w:val="000747C1"/>
    <w:rsid w:val="00074806"/>
    <w:rsid w:val="000748E9"/>
    <w:rsid w:val="00074903"/>
    <w:rsid w:val="00074970"/>
    <w:rsid w:val="00074C56"/>
    <w:rsid w:val="00074CF9"/>
    <w:rsid w:val="00074E80"/>
    <w:rsid w:val="0007512B"/>
    <w:rsid w:val="000751D4"/>
    <w:rsid w:val="00075460"/>
    <w:rsid w:val="0007552F"/>
    <w:rsid w:val="0007559A"/>
    <w:rsid w:val="00075851"/>
    <w:rsid w:val="000758FC"/>
    <w:rsid w:val="0007594B"/>
    <w:rsid w:val="00075A74"/>
    <w:rsid w:val="00075CB1"/>
    <w:rsid w:val="00075DD9"/>
    <w:rsid w:val="00075DFC"/>
    <w:rsid w:val="00075E0C"/>
    <w:rsid w:val="00075EE7"/>
    <w:rsid w:val="0007617E"/>
    <w:rsid w:val="000762F1"/>
    <w:rsid w:val="000764C5"/>
    <w:rsid w:val="00076A56"/>
    <w:rsid w:val="00076AF1"/>
    <w:rsid w:val="00076BF2"/>
    <w:rsid w:val="00076BF7"/>
    <w:rsid w:val="00076CC0"/>
    <w:rsid w:val="00076F0D"/>
    <w:rsid w:val="000770F4"/>
    <w:rsid w:val="0007722F"/>
    <w:rsid w:val="0007727E"/>
    <w:rsid w:val="000772AC"/>
    <w:rsid w:val="000776C7"/>
    <w:rsid w:val="000778AF"/>
    <w:rsid w:val="00077D72"/>
    <w:rsid w:val="00077E8E"/>
    <w:rsid w:val="0008011D"/>
    <w:rsid w:val="0008018F"/>
    <w:rsid w:val="000803CD"/>
    <w:rsid w:val="000803E7"/>
    <w:rsid w:val="00080604"/>
    <w:rsid w:val="00080661"/>
    <w:rsid w:val="00080898"/>
    <w:rsid w:val="0008090A"/>
    <w:rsid w:val="00080EED"/>
    <w:rsid w:val="0008121D"/>
    <w:rsid w:val="00081230"/>
    <w:rsid w:val="0008126E"/>
    <w:rsid w:val="00081277"/>
    <w:rsid w:val="00081308"/>
    <w:rsid w:val="0008138D"/>
    <w:rsid w:val="000813B5"/>
    <w:rsid w:val="000813D0"/>
    <w:rsid w:val="000813E2"/>
    <w:rsid w:val="000814E9"/>
    <w:rsid w:val="000814ED"/>
    <w:rsid w:val="00081865"/>
    <w:rsid w:val="00081FA8"/>
    <w:rsid w:val="000820D5"/>
    <w:rsid w:val="0008232B"/>
    <w:rsid w:val="000824CC"/>
    <w:rsid w:val="00082575"/>
    <w:rsid w:val="000827D8"/>
    <w:rsid w:val="00082D83"/>
    <w:rsid w:val="00082F9F"/>
    <w:rsid w:val="00083117"/>
    <w:rsid w:val="000831E3"/>
    <w:rsid w:val="00083346"/>
    <w:rsid w:val="0008347D"/>
    <w:rsid w:val="00083497"/>
    <w:rsid w:val="0008376A"/>
    <w:rsid w:val="000838BB"/>
    <w:rsid w:val="00083CF8"/>
    <w:rsid w:val="00084289"/>
    <w:rsid w:val="00084588"/>
    <w:rsid w:val="0008473E"/>
    <w:rsid w:val="0008482C"/>
    <w:rsid w:val="000849D8"/>
    <w:rsid w:val="00084A1B"/>
    <w:rsid w:val="00084B11"/>
    <w:rsid w:val="00084C74"/>
    <w:rsid w:val="00084F30"/>
    <w:rsid w:val="00084F39"/>
    <w:rsid w:val="0008509F"/>
    <w:rsid w:val="000850CF"/>
    <w:rsid w:val="0008521E"/>
    <w:rsid w:val="000852D1"/>
    <w:rsid w:val="00085491"/>
    <w:rsid w:val="000855C2"/>
    <w:rsid w:val="000856ED"/>
    <w:rsid w:val="000857BE"/>
    <w:rsid w:val="00085EA7"/>
    <w:rsid w:val="000860AB"/>
    <w:rsid w:val="00086116"/>
    <w:rsid w:val="00086263"/>
    <w:rsid w:val="000862AE"/>
    <w:rsid w:val="0008638C"/>
    <w:rsid w:val="00086647"/>
    <w:rsid w:val="00086895"/>
    <w:rsid w:val="000868D9"/>
    <w:rsid w:val="00086AAB"/>
    <w:rsid w:val="00086C39"/>
    <w:rsid w:val="00086D6F"/>
    <w:rsid w:val="00086E37"/>
    <w:rsid w:val="00086FB6"/>
    <w:rsid w:val="00086FCB"/>
    <w:rsid w:val="000870C9"/>
    <w:rsid w:val="000871C0"/>
    <w:rsid w:val="00087521"/>
    <w:rsid w:val="0008756A"/>
    <w:rsid w:val="00087D5C"/>
    <w:rsid w:val="00090073"/>
    <w:rsid w:val="00090159"/>
    <w:rsid w:val="0009024E"/>
    <w:rsid w:val="000902A8"/>
    <w:rsid w:val="000902F7"/>
    <w:rsid w:val="000904A4"/>
    <w:rsid w:val="00090537"/>
    <w:rsid w:val="00090681"/>
    <w:rsid w:val="00090AA6"/>
    <w:rsid w:val="00090BA4"/>
    <w:rsid w:val="00090C0D"/>
    <w:rsid w:val="00090D16"/>
    <w:rsid w:val="0009136C"/>
    <w:rsid w:val="000914C0"/>
    <w:rsid w:val="000917EC"/>
    <w:rsid w:val="000918C0"/>
    <w:rsid w:val="00091A44"/>
    <w:rsid w:val="00091C71"/>
    <w:rsid w:val="00091DD1"/>
    <w:rsid w:val="00091EAF"/>
    <w:rsid w:val="00091EC8"/>
    <w:rsid w:val="0009211A"/>
    <w:rsid w:val="000921E8"/>
    <w:rsid w:val="000922B0"/>
    <w:rsid w:val="000923A2"/>
    <w:rsid w:val="000924B1"/>
    <w:rsid w:val="0009282D"/>
    <w:rsid w:val="0009294A"/>
    <w:rsid w:val="00092B92"/>
    <w:rsid w:val="00092C10"/>
    <w:rsid w:val="00092C89"/>
    <w:rsid w:val="00092CBE"/>
    <w:rsid w:val="00092E75"/>
    <w:rsid w:val="00092F18"/>
    <w:rsid w:val="00092F2D"/>
    <w:rsid w:val="00093012"/>
    <w:rsid w:val="000934A8"/>
    <w:rsid w:val="000934D2"/>
    <w:rsid w:val="00093719"/>
    <w:rsid w:val="00093885"/>
    <w:rsid w:val="000938C7"/>
    <w:rsid w:val="000939D1"/>
    <w:rsid w:val="00093B20"/>
    <w:rsid w:val="00093B74"/>
    <w:rsid w:val="00093DEC"/>
    <w:rsid w:val="00093E23"/>
    <w:rsid w:val="00093F4C"/>
    <w:rsid w:val="00093FDD"/>
    <w:rsid w:val="000941EC"/>
    <w:rsid w:val="00094566"/>
    <w:rsid w:val="00094780"/>
    <w:rsid w:val="00094799"/>
    <w:rsid w:val="000948B2"/>
    <w:rsid w:val="00094AB1"/>
    <w:rsid w:val="00094B7C"/>
    <w:rsid w:val="00094BD8"/>
    <w:rsid w:val="00094D94"/>
    <w:rsid w:val="00094DA5"/>
    <w:rsid w:val="00094E13"/>
    <w:rsid w:val="00094FBD"/>
    <w:rsid w:val="00095098"/>
    <w:rsid w:val="00095110"/>
    <w:rsid w:val="0009534A"/>
    <w:rsid w:val="0009547D"/>
    <w:rsid w:val="0009548D"/>
    <w:rsid w:val="000955A4"/>
    <w:rsid w:val="000958BC"/>
    <w:rsid w:val="0009595F"/>
    <w:rsid w:val="000959F1"/>
    <w:rsid w:val="00095A34"/>
    <w:rsid w:val="00095C68"/>
    <w:rsid w:val="00095E7E"/>
    <w:rsid w:val="00096108"/>
    <w:rsid w:val="0009684A"/>
    <w:rsid w:val="00096B2A"/>
    <w:rsid w:val="00096BE8"/>
    <w:rsid w:val="00096CED"/>
    <w:rsid w:val="00096D25"/>
    <w:rsid w:val="00096EA6"/>
    <w:rsid w:val="00096FF4"/>
    <w:rsid w:val="0009700D"/>
    <w:rsid w:val="0009702C"/>
    <w:rsid w:val="0009752B"/>
    <w:rsid w:val="0009764F"/>
    <w:rsid w:val="00097890"/>
    <w:rsid w:val="00097A38"/>
    <w:rsid w:val="00097C8F"/>
    <w:rsid w:val="00097DC9"/>
    <w:rsid w:val="00097F8E"/>
    <w:rsid w:val="000A05F1"/>
    <w:rsid w:val="000A0928"/>
    <w:rsid w:val="000A0CB8"/>
    <w:rsid w:val="000A0D65"/>
    <w:rsid w:val="000A0DC9"/>
    <w:rsid w:val="000A1089"/>
    <w:rsid w:val="000A129A"/>
    <w:rsid w:val="000A13E7"/>
    <w:rsid w:val="000A17C3"/>
    <w:rsid w:val="000A1860"/>
    <w:rsid w:val="000A1873"/>
    <w:rsid w:val="000A19B0"/>
    <w:rsid w:val="000A1A96"/>
    <w:rsid w:val="000A1E56"/>
    <w:rsid w:val="000A225C"/>
    <w:rsid w:val="000A235A"/>
    <w:rsid w:val="000A2523"/>
    <w:rsid w:val="000A25C8"/>
    <w:rsid w:val="000A26D6"/>
    <w:rsid w:val="000A2795"/>
    <w:rsid w:val="000A27D0"/>
    <w:rsid w:val="000A285B"/>
    <w:rsid w:val="000A2B7F"/>
    <w:rsid w:val="000A2C00"/>
    <w:rsid w:val="000A2C1F"/>
    <w:rsid w:val="000A2D55"/>
    <w:rsid w:val="000A303E"/>
    <w:rsid w:val="000A306F"/>
    <w:rsid w:val="000A3084"/>
    <w:rsid w:val="000A33D7"/>
    <w:rsid w:val="000A3518"/>
    <w:rsid w:val="000A3574"/>
    <w:rsid w:val="000A3771"/>
    <w:rsid w:val="000A37BC"/>
    <w:rsid w:val="000A37BF"/>
    <w:rsid w:val="000A38E8"/>
    <w:rsid w:val="000A39A1"/>
    <w:rsid w:val="000A3C9A"/>
    <w:rsid w:val="000A3F4F"/>
    <w:rsid w:val="000A40BA"/>
    <w:rsid w:val="000A42C7"/>
    <w:rsid w:val="000A4345"/>
    <w:rsid w:val="000A4455"/>
    <w:rsid w:val="000A463D"/>
    <w:rsid w:val="000A4880"/>
    <w:rsid w:val="000A49B5"/>
    <w:rsid w:val="000A4B0B"/>
    <w:rsid w:val="000A4CA2"/>
    <w:rsid w:val="000A4CAA"/>
    <w:rsid w:val="000A5164"/>
    <w:rsid w:val="000A522A"/>
    <w:rsid w:val="000A5241"/>
    <w:rsid w:val="000A52CC"/>
    <w:rsid w:val="000A5316"/>
    <w:rsid w:val="000A572C"/>
    <w:rsid w:val="000A5888"/>
    <w:rsid w:val="000A5B8F"/>
    <w:rsid w:val="000A5FD5"/>
    <w:rsid w:val="000A64C3"/>
    <w:rsid w:val="000A6935"/>
    <w:rsid w:val="000A6D02"/>
    <w:rsid w:val="000A6D65"/>
    <w:rsid w:val="000A6E62"/>
    <w:rsid w:val="000A70F4"/>
    <w:rsid w:val="000A725E"/>
    <w:rsid w:val="000A73A7"/>
    <w:rsid w:val="000A775E"/>
    <w:rsid w:val="000A78C9"/>
    <w:rsid w:val="000A796E"/>
    <w:rsid w:val="000A7BBB"/>
    <w:rsid w:val="000B037A"/>
    <w:rsid w:val="000B05A6"/>
    <w:rsid w:val="000B0700"/>
    <w:rsid w:val="000B099F"/>
    <w:rsid w:val="000B0A0D"/>
    <w:rsid w:val="000B0DA6"/>
    <w:rsid w:val="000B0ECB"/>
    <w:rsid w:val="000B0F44"/>
    <w:rsid w:val="000B1124"/>
    <w:rsid w:val="000B1257"/>
    <w:rsid w:val="000B134F"/>
    <w:rsid w:val="000B1429"/>
    <w:rsid w:val="000B18B0"/>
    <w:rsid w:val="000B18E1"/>
    <w:rsid w:val="000B1903"/>
    <w:rsid w:val="000B1ABC"/>
    <w:rsid w:val="000B1C08"/>
    <w:rsid w:val="000B200C"/>
    <w:rsid w:val="000B203F"/>
    <w:rsid w:val="000B21BD"/>
    <w:rsid w:val="000B26BB"/>
    <w:rsid w:val="000B271E"/>
    <w:rsid w:val="000B27CA"/>
    <w:rsid w:val="000B27EA"/>
    <w:rsid w:val="000B2C7C"/>
    <w:rsid w:val="000B2E4D"/>
    <w:rsid w:val="000B2EDA"/>
    <w:rsid w:val="000B2EF7"/>
    <w:rsid w:val="000B306F"/>
    <w:rsid w:val="000B3099"/>
    <w:rsid w:val="000B30CA"/>
    <w:rsid w:val="000B31A8"/>
    <w:rsid w:val="000B33DE"/>
    <w:rsid w:val="000B33EA"/>
    <w:rsid w:val="000B353B"/>
    <w:rsid w:val="000B3543"/>
    <w:rsid w:val="000B359C"/>
    <w:rsid w:val="000B3B1C"/>
    <w:rsid w:val="000B412C"/>
    <w:rsid w:val="000B420C"/>
    <w:rsid w:val="000B42CA"/>
    <w:rsid w:val="000B49E4"/>
    <w:rsid w:val="000B4BAF"/>
    <w:rsid w:val="000B4C92"/>
    <w:rsid w:val="000B4C9C"/>
    <w:rsid w:val="000B4E98"/>
    <w:rsid w:val="000B4F7A"/>
    <w:rsid w:val="000B4F82"/>
    <w:rsid w:val="000B5196"/>
    <w:rsid w:val="000B540C"/>
    <w:rsid w:val="000B5D00"/>
    <w:rsid w:val="000B5D11"/>
    <w:rsid w:val="000B5DDE"/>
    <w:rsid w:val="000B66CF"/>
    <w:rsid w:val="000B676A"/>
    <w:rsid w:val="000B6944"/>
    <w:rsid w:val="000B6A38"/>
    <w:rsid w:val="000B6DDA"/>
    <w:rsid w:val="000B7444"/>
    <w:rsid w:val="000B7753"/>
    <w:rsid w:val="000B7810"/>
    <w:rsid w:val="000B7813"/>
    <w:rsid w:val="000B7943"/>
    <w:rsid w:val="000B7BF9"/>
    <w:rsid w:val="000B7C4B"/>
    <w:rsid w:val="000B7EFE"/>
    <w:rsid w:val="000C001B"/>
    <w:rsid w:val="000C0246"/>
    <w:rsid w:val="000C04EA"/>
    <w:rsid w:val="000C0545"/>
    <w:rsid w:val="000C0676"/>
    <w:rsid w:val="000C0678"/>
    <w:rsid w:val="000C0858"/>
    <w:rsid w:val="000C0872"/>
    <w:rsid w:val="000C087C"/>
    <w:rsid w:val="000C0EB7"/>
    <w:rsid w:val="000C0ED7"/>
    <w:rsid w:val="000C1067"/>
    <w:rsid w:val="000C124C"/>
    <w:rsid w:val="000C1387"/>
    <w:rsid w:val="000C15CC"/>
    <w:rsid w:val="000C1676"/>
    <w:rsid w:val="000C1682"/>
    <w:rsid w:val="000C1AC4"/>
    <w:rsid w:val="000C1B03"/>
    <w:rsid w:val="000C1C0D"/>
    <w:rsid w:val="000C1FE6"/>
    <w:rsid w:val="000C2528"/>
    <w:rsid w:val="000C25D8"/>
    <w:rsid w:val="000C25D9"/>
    <w:rsid w:val="000C262F"/>
    <w:rsid w:val="000C26A9"/>
    <w:rsid w:val="000C279C"/>
    <w:rsid w:val="000C2929"/>
    <w:rsid w:val="000C29BB"/>
    <w:rsid w:val="000C2D0F"/>
    <w:rsid w:val="000C2E86"/>
    <w:rsid w:val="000C2EF0"/>
    <w:rsid w:val="000C2F04"/>
    <w:rsid w:val="000C2F61"/>
    <w:rsid w:val="000C30A9"/>
    <w:rsid w:val="000C30E6"/>
    <w:rsid w:val="000C333F"/>
    <w:rsid w:val="000C3475"/>
    <w:rsid w:val="000C3493"/>
    <w:rsid w:val="000C3556"/>
    <w:rsid w:val="000C35C5"/>
    <w:rsid w:val="000C364C"/>
    <w:rsid w:val="000C36B8"/>
    <w:rsid w:val="000C387B"/>
    <w:rsid w:val="000C3B50"/>
    <w:rsid w:val="000C3D5F"/>
    <w:rsid w:val="000C4013"/>
    <w:rsid w:val="000C4369"/>
    <w:rsid w:val="000C44E9"/>
    <w:rsid w:val="000C465F"/>
    <w:rsid w:val="000C47AE"/>
    <w:rsid w:val="000C4B45"/>
    <w:rsid w:val="000C4B5A"/>
    <w:rsid w:val="000C4DFC"/>
    <w:rsid w:val="000C4F45"/>
    <w:rsid w:val="000C50FD"/>
    <w:rsid w:val="000C5114"/>
    <w:rsid w:val="000C521D"/>
    <w:rsid w:val="000C5246"/>
    <w:rsid w:val="000C5581"/>
    <w:rsid w:val="000C55E7"/>
    <w:rsid w:val="000C5C19"/>
    <w:rsid w:val="000C5C27"/>
    <w:rsid w:val="000C5CC5"/>
    <w:rsid w:val="000C6423"/>
    <w:rsid w:val="000C6B61"/>
    <w:rsid w:val="000C6C7C"/>
    <w:rsid w:val="000C6DE4"/>
    <w:rsid w:val="000C7188"/>
    <w:rsid w:val="000C75F3"/>
    <w:rsid w:val="000C7798"/>
    <w:rsid w:val="000C797F"/>
    <w:rsid w:val="000C7D53"/>
    <w:rsid w:val="000C7F63"/>
    <w:rsid w:val="000D036B"/>
    <w:rsid w:val="000D0412"/>
    <w:rsid w:val="000D0652"/>
    <w:rsid w:val="000D0814"/>
    <w:rsid w:val="000D08EF"/>
    <w:rsid w:val="000D0E50"/>
    <w:rsid w:val="000D0E94"/>
    <w:rsid w:val="000D0EE6"/>
    <w:rsid w:val="000D0FA2"/>
    <w:rsid w:val="000D1159"/>
    <w:rsid w:val="000D1443"/>
    <w:rsid w:val="000D19FA"/>
    <w:rsid w:val="000D1C56"/>
    <w:rsid w:val="000D1E35"/>
    <w:rsid w:val="000D2008"/>
    <w:rsid w:val="000D204A"/>
    <w:rsid w:val="000D21D6"/>
    <w:rsid w:val="000D254A"/>
    <w:rsid w:val="000D2585"/>
    <w:rsid w:val="000D261C"/>
    <w:rsid w:val="000D2EED"/>
    <w:rsid w:val="000D2F13"/>
    <w:rsid w:val="000D2F88"/>
    <w:rsid w:val="000D2FC3"/>
    <w:rsid w:val="000D3068"/>
    <w:rsid w:val="000D30F4"/>
    <w:rsid w:val="000D31A7"/>
    <w:rsid w:val="000D32C5"/>
    <w:rsid w:val="000D3485"/>
    <w:rsid w:val="000D34E5"/>
    <w:rsid w:val="000D35A2"/>
    <w:rsid w:val="000D35A4"/>
    <w:rsid w:val="000D3641"/>
    <w:rsid w:val="000D36E1"/>
    <w:rsid w:val="000D3705"/>
    <w:rsid w:val="000D3A4B"/>
    <w:rsid w:val="000D3C33"/>
    <w:rsid w:val="000D3C53"/>
    <w:rsid w:val="000D3DF8"/>
    <w:rsid w:val="000D3E7C"/>
    <w:rsid w:val="000D3F6C"/>
    <w:rsid w:val="000D3FF5"/>
    <w:rsid w:val="000D4070"/>
    <w:rsid w:val="000D41AC"/>
    <w:rsid w:val="000D4385"/>
    <w:rsid w:val="000D43DF"/>
    <w:rsid w:val="000D461B"/>
    <w:rsid w:val="000D4690"/>
    <w:rsid w:val="000D46BD"/>
    <w:rsid w:val="000D471A"/>
    <w:rsid w:val="000D47E8"/>
    <w:rsid w:val="000D4B22"/>
    <w:rsid w:val="000D4B36"/>
    <w:rsid w:val="000D4C18"/>
    <w:rsid w:val="000D4D73"/>
    <w:rsid w:val="000D4D9E"/>
    <w:rsid w:val="000D510F"/>
    <w:rsid w:val="000D51F6"/>
    <w:rsid w:val="000D5471"/>
    <w:rsid w:val="000D5917"/>
    <w:rsid w:val="000D595F"/>
    <w:rsid w:val="000D59D4"/>
    <w:rsid w:val="000D5C9A"/>
    <w:rsid w:val="000D5CBE"/>
    <w:rsid w:val="000D6012"/>
    <w:rsid w:val="000D6286"/>
    <w:rsid w:val="000D63A5"/>
    <w:rsid w:val="000D665B"/>
    <w:rsid w:val="000D6687"/>
    <w:rsid w:val="000D66FF"/>
    <w:rsid w:val="000D698C"/>
    <w:rsid w:val="000D69CE"/>
    <w:rsid w:val="000D6B82"/>
    <w:rsid w:val="000D6BA2"/>
    <w:rsid w:val="000D6C1F"/>
    <w:rsid w:val="000D6D06"/>
    <w:rsid w:val="000D6D2E"/>
    <w:rsid w:val="000D6F94"/>
    <w:rsid w:val="000D6FA2"/>
    <w:rsid w:val="000D72C0"/>
    <w:rsid w:val="000D72ED"/>
    <w:rsid w:val="000D7342"/>
    <w:rsid w:val="000D75B6"/>
    <w:rsid w:val="000D7629"/>
    <w:rsid w:val="000D77A4"/>
    <w:rsid w:val="000D7844"/>
    <w:rsid w:val="000D7E66"/>
    <w:rsid w:val="000E0221"/>
    <w:rsid w:val="000E08BE"/>
    <w:rsid w:val="000E0934"/>
    <w:rsid w:val="000E094C"/>
    <w:rsid w:val="000E0959"/>
    <w:rsid w:val="000E0A67"/>
    <w:rsid w:val="000E149C"/>
    <w:rsid w:val="000E1568"/>
    <w:rsid w:val="000E156A"/>
    <w:rsid w:val="000E1B34"/>
    <w:rsid w:val="000E1B44"/>
    <w:rsid w:val="000E1C87"/>
    <w:rsid w:val="000E1CB0"/>
    <w:rsid w:val="000E1DB7"/>
    <w:rsid w:val="000E1DE2"/>
    <w:rsid w:val="000E2326"/>
    <w:rsid w:val="000E2441"/>
    <w:rsid w:val="000E2837"/>
    <w:rsid w:val="000E291B"/>
    <w:rsid w:val="000E2D31"/>
    <w:rsid w:val="000E2E5A"/>
    <w:rsid w:val="000E2F4F"/>
    <w:rsid w:val="000E2FC9"/>
    <w:rsid w:val="000E30B7"/>
    <w:rsid w:val="000E31D8"/>
    <w:rsid w:val="000E321A"/>
    <w:rsid w:val="000E3267"/>
    <w:rsid w:val="000E33AD"/>
    <w:rsid w:val="000E354D"/>
    <w:rsid w:val="000E3A6C"/>
    <w:rsid w:val="000E3B69"/>
    <w:rsid w:val="000E3B90"/>
    <w:rsid w:val="000E3D1F"/>
    <w:rsid w:val="000E407E"/>
    <w:rsid w:val="000E412A"/>
    <w:rsid w:val="000E4230"/>
    <w:rsid w:val="000E426D"/>
    <w:rsid w:val="000E4321"/>
    <w:rsid w:val="000E4565"/>
    <w:rsid w:val="000E4585"/>
    <w:rsid w:val="000E45C8"/>
    <w:rsid w:val="000E4939"/>
    <w:rsid w:val="000E4950"/>
    <w:rsid w:val="000E4BA8"/>
    <w:rsid w:val="000E4CFA"/>
    <w:rsid w:val="000E516A"/>
    <w:rsid w:val="000E5317"/>
    <w:rsid w:val="000E543A"/>
    <w:rsid w:val="000E5805"/>
    <w:rsid w:val="000E597F"/>
    <w:rsid w:val="000E5A4E"/>
    <w:rsid w:val="000E5AA9"/>
    <w:rsid w:val="000E5FC3"/>
    <w:rsid w:val="000E6372"/>
    <w:rsid w:val="000E642D"/>
    <w:rsid w:val="000E673C"/>
    <w:rsid w:val="000E67C1"/>
    <w:rsid w:val="000E68BB"/>
    <w:rsid w:val="000E6D19"/>
    <w:rsid w:val="000E7275"/>
    <w:rsid w:val="000E742E"/>
    <w:rsid w:val="000E7690"/>
    <w:rsid w:val="000E7781"/>
    <w:rsid w:val="000E77AC"/>
    <w:rsid w:val="000E77E5"/>
    <w:rsid w:val="000E7AE7"/>
    <w:rsid w:val="000E7B34"/>
    <w:rsid w:val="000E7B97"/>
    <w:rsid w:val="000E7D03"/>
    <w:rsid w:val="000E7D35"/>
    <w:rsid w:val="000E7E2F"/>
    <w:rsid w:val="000F01BD"/>
    <w:rsid w:val="000F0272"/>
    <w:rsid w:val="000F02A9"/>
    <w:rsid w:val="000F050E"/>
    <w:rsid w:val="000F0688"/>
    <w:rsid w:val="000F07AA"/>
    <w:rsid w:val="000F07D1"/>
    <w:rsid w:val="000F0C0A"/>
    <w:rsid w:val="000F0DF2"/>
    <w:rsid w:val="000F0F56"/>
    <w:rsid w:val="000F1191"/>
    <w:rsid w:val="000F121C"/>
    <w:rsid w:val="000F12A7"/>
    <w:rsid w:val="000F143C"/>
    <w:rsid w:val="000F170F"/>
    <w:rsid w:val="000F1724"/>
    <w:rsid w:val="000F1785"/>
    <w:rsid w:val="000F17D6"/>
    <w:rsid w:val="000F19B3"/>
    <w:rsid w:val="000F1A9C"/>
    <w:rsid w:val="000F1ADF"/>
    <w:rsid w:val="000F1D76"/>
    <w:rsid w:val="000F1DE9"/>
    <w:rsid w:val="000F1E0A"/>
    <w:rsid w:val="000F212B"/>
    <w:rsid w:val="000F22D9"/>
    <w:rsid w:val="000F24CB"/>
    <w:rsid w:val="000F2B3A"/>
    <w:rsid w:val="000F2B99"/>
    <w:rsid w:val="000F2D56"/>
    <w:rsid w:val="000F2DE4"/>
    <w:rsid w:val="000F320E"/>
    <w:rsid w:val="000F3387"/>
    <w:rsid w:val="000F33BB"/>
    <w:rsid w:val="000F33C7"/>
    <w:rsid w:val="000F3770"/>
    <w:rsid w:val="000F3772"/>
    <w:rsid w:val="000F3796"/>
    <w:rsid w:val="000F37B4"/>
    <w:rsid w:val="000F380A"/>
    <w:rsid w:val="000F38FE"/>
    <w:rsid w:val="000F3949"/>
    <w:rsid w:val="000F3C70"/>
    <w:rsid w:val="000F3EEB"/>
    <w:rsid w:val="000F3F78"/>
    <w:rsid w:val="000F409D"/>
    <w:rsid w:val="000F4249"/>
    <w:rsid w:val="000F427C"/>
    <w:rsid w:val="000F4484"/>
    <w:rsid w:val="000F44E4"/>
    <w:rsid w:val="000F4535"/>
    <w:rsid w:val="000F458C"/>
    <w:rsid w:val="000F4BFB"/>
    <w:rsid w:val="000F4D8E"/>
    <w:rsid w:val="000F500B"/>
    <w:rsid w:val="000F515C"/>
    <w:rsid w:val="000F52E7"/>
    <w:rsid w:val="000F57A6"/>
    <w:rsid w:val="000F5950"/>
    <w:rsid w:val="000F59F7"/>
    <w:rsid w:val="000F5E03"/>
    <w:rsid w:val="000F5E27"/>
    <w:rsid w:val="000F5F4B"/>
    <w:rsid w:val="000F60E7"/>
    <w:rsid w:val="000F613B"/>
    <w:rsid w:val="000F618C"/>
    <w:rsid w:val="000F61C7"/>
    <w:rsid w:val="000F6254"/>
    <w:rsid w:val="000F63AA"/>
    <w:rsid w:val="000F660A"/>
    <w:rsid w:val="000F662D"/>
    <w:rsid w:val="000F66B9"/>
    <w:rsid w:val="000F66BC"/>
    <w:rsid w:val="000F6945"/>
    <w:rsid w:val="000F6A41"/>
    <w:rsid w:val="000F6A83"/>
    <w:rsid w:val="000F6D19"/>
    <w:rsid w:val="000F70BD"/>
    <w:rsid w:val="000F7269"/>
    <w:rsid w:val="000F741F"/>
    <w:rsid w:val="000F75C3"/>
    <w:rsid w:val="000F760B"/>
    <w:rsid w:val="000F77D0"/>
    <w:rsid w:val="000F77DE"/>
    <w:rsid w:val="000F785A"/>
    <w:rsid w:val="000F7BC7"/>
    <w:rsid w:val="000F7C31"/>
    <w:rsid w:val="000F7CFD"/>
    <w:rsid w:val="000F7D6B"/>
    <w:rsid w:val="000F7EFC"/>
    <w:rsid w:val="000F7F06"/>
    <w:rsid w:val="00100057"/>
    <w:rsid w:val="001000BF"/>
    <w:rsid w:val="001001A2"/>
    <w:rsid w:val="001003E3"/>
    <w:rsid w:val="00100414"/>
    <w:rsid w:val="00100569"/>
    <w:rsid w:val="00100824"/>
    <w:rsid w:val="00100877"/>
    <w:rsid w:val="00100946"/>
    <w:rsid w:val="00100D3D"/>
    <w:rsid w:val="0010103F"/>
    <w:rsid w:val="001010BD"/>
    <w:rsid w:val="001011EE"/>
    <w:rsid w:val="0010128F"/>
    <w:rsid w:val="0010137B"/>
    <w:rsid w:val="001015C9"/>
    <w:rsid w:val="00101776"/>
    <w:rsid w:val="0010183B"/>
    <w:rsid w:val="00101BD8"/>
    <w:rsid w:val="00101C94"/>
    <w:rsid w:val="00101CA3"/>
    <w:rsid w:val="00101CB0"/>
    <w:rsid w:val="00101DEC"/>
    <w:rsid w:val="00101F47"/>
    <w:rsid w:val="001020F7"/>
    <w:rsid w:val="00102690"/>
    <w:rsid w:val="00102BC8"/>
    <w:rsid w:val="00102C8A"/>
    <w:rsid w:val="00102D0E"/>
    <w:rsid w:val="00102DFA"/>
    <w:rsid w:val="00102FC4"/>
    <w:rsid w:val="0010309B"/>
    <w:rsid w:val="001034C6"/>
    <w:rsid w:val="001036AE"/>
    <w:rsid w:val="00103977"/>
    <w:rsid w:val="00103D14"/>
    <w:rsid w:val="00104146"/>
    <w:rsid w:val="00104197"/>
    <w:rsid w:val="0010428E"/>
    <w:rsid w:val="001045F6"/>
    <w:rsid w:val="0010464D"/>
    <w:rsid w:val="00104757"/>
    <w:rsid w:val="001047A5"/>
    <w:rsid w:val="001047CA"/>
    <w:rsid w:val="0010486B"/>
    <w:rsid w:val="00104A00"/>
    <w:rsid w:val="00104A96"/>
    <w:rsid w:val="00104A9F"/>
    <w:rsid w:val="00104C3C"/>
    <w:rsid w:val="00104D87"/>
    <w:rsid w:val="00104EBB"/>
    <w:rsid w:val="0010512B"/>
    <w:rsid w:val="00105143"/>
    <w:rsid w:val="001052B3"/>
    <w:rsid w:val="001052E4"/>
    <w:rsid w:val="00105557"/>
    <w:rsid w:val="00105708"/>
    <w:rsid w:val="0010585D"/>
    <w:rsid w:val="0010587F"/>
    <w:rsid w:val="00105C94"/>
    <w:rsid w:val="00105E6F"/>
    <w:rsid w:val="00105FEE"/>
    <w:rsid w:val="001060D3"/>
    <w:rsid w:val="001061D1"/>
    <w:rsid w:val="00106336"/>
    <w:rsid w:val="0010635F"/>
    <w:rsid w:val="001063C7"/>
    <w:rsid w:val="0010649F"/>
    <w:rsid w:val="001067C9"/>
    <w:rsid w:val="00106821"/>
    <w:rsid w:val="00106A4C"/>
    <w:rsid w:val="00106BB8"/>
    <w:rsid w:val="00106CF5"/>
    <w:rsid w:val="00106CFF"/>
    <w:rsid w:val="00106D0E"/>
    <w:rsid w:val="00106EE1"/>
    <w:rsid w:val="001070C8"/>
    <w:rsid w:val="0010713A"/>
    <w:rsid w:val="001072FD"/>
    <w:rsid w:val="00107600"/>
    <w:rsid w:val="001077E8"/>
    <w:rsid w:val="00107889"/>
    <w:rsid w:val="001078AA"/>
    <w:rsid w:val="00107950"/>
    <w:rsid w:val="00107A2B"/>
    <w:rsid w:val="00107A70"/>
    <w:rsid w:val="00107E5A"/>
    <w:rsid w:val="00107F67"/>
    <w:rsid w:val="0011005F"/>
    <w:rsid w:val="0011012A"/>
    <w:rsid w:val="001101A0"/>
    <w:rsid w:val="00110310"/>
    <w:rsid w:val="00110457"/>
    <w:rsid w:val="00110492"/>
    <w:rsid w:val="001104D1"/>
    <w:rsid w:val="0011062D"/>
    <w:rsid w:val="001106B2"/>
    <w:rsid w:val="001106F8"/>
    <w:rsid w:val="00110843"/>
    <w:rsid w:val="00110A5F"/>
    <w:rsid w:val="00110A9E"/>
    <w:rsid w:val="00110AC2"/>
    <w:rsid w:val="00110F8B"/>
    <w:rsid w:val="00110F92"/>
    <w:rsid w:val="001113C2"/>
    <w:rsid w:val="001114DE"/>
    <w:rsid w:val="00111647"/>
    <w:rsid w:val="001116C4"/>
    <w:rsid w:val="001116E5"/>
    <w:rsid w:val="00111753"/>
    <w:rsid w:val="001118C4"/>
    <w:rsid w:val="001119C9"/>
    <w:rsid w:val="00111AF6"/>
    <w:rsid w:val="00111D22"/>
    <w:rsid w:val="00111DDF"/>
    <w:rsid w:val="00111E7A"/>
    <w:rsid w:val="00111E97"/>
    <w:rsid w:val="00111F50"/>
    <w:rsid w:val="00111FA7"/>
    <w:rsid w:val="001126B2"/>
    <w:rsid w:val="00112767"/>
    <w:rsid w:val="00112779"/>
    <w:rsid w:val="00112861"/>
    <w:rsid w:val="00112873"/>
    <w:rsid w:val="001128F7"/>
    <w:rsid w:val="0011291C"/>
    <w:rsid w:val="00112A7E"/>
    <w:rsid w:val="00112D84"/>
    <w:rsid w:val="00112F7F"/>
    <w:rsid w:val="0011305D"/>
    <w:rsid w:val="001132BB"/>
    <w:rsid w:val="00113376"/>
    <w:rsid w:val="0011337B"/>
    <w:rsid w:val="001134E6"/>
    <w:rsid w:val="001137A5"/>
    <w:rsid w:val="00113BAA"/>
    <w:rsid w:val="00113E0B"/>
    <w:rsid w:val="00113E21"/>
    <w:rsid w:val="0011415C"/>
    <w:rsid w:val="001143DD"/>
    <w:rsid w:val="001144C0"/>
    <w:rsid w:val="001145AE"/>
    <w:rsid w:val="0011465D"/>
    <w:rsid w:val="001146D3"/>
    <w:rsid w:val="00114B79"/>
    <w:rsid w:val="00114CAD"/>
    <w:rsid w:val="00114DAC"/>
    <w:rsid w:val="00114ECA"/>
    <w:rsid w:val="00114F3A"/>
    <w:rsid w:val="00115116"/>
    <w:rsid w:val="001151CB"/>
    <w:rsid w:val="00115340"/>
    <w:rsid w:val="00115463"/>
    <w:rsid w:val="001155CD"/>
    <w:rsid w:val="00115A9E"/>
    <w:rsid w:val="00115C3E"/>
    <w:rsid w:val="00115C8F"/>
    <w:rsid w:val="00115DEC"/>
    <w:rsid w:val="00115FD8"/>
    <w:rsid w:val="001160B7"/>
    <w:rsid w:val="001163C5"/>
    <w:rsid w:val="0011640D"/>
    <w:rsid w:val="0011658C"/>
    <w:rsid w:val="001165D0"/>
    <w:rsid w:val="0011662C"/>
    <w:rsid w:val="00116649"/>
    <w:rsid w:val="00116682"/>
    <w:rsid w:val="001167AC"/>
    <w:rsid w:val="001167F7"/>
    <w:rsid w:val="00116E3D"/>
    <w:rsid w:val="00116F6A"/>
    <w:rsid w:val="00116F8B"/>
    <w:rsid w:val="00116FBE"/>
    <w:rsid w:val="00117440"/>
    <w:rsid w:val="0011751B"/>
    <w:rsid w:val="00117695"/>
    <w:rsid w:val="0011775D"/>
    <w:rsid w:val="0011797E"/>
    <w:rsid w:val="001179FA"/>
    <w:rsid w:val="00117C20"/>
    <w:rsid w:val="00117C95"/>
    <w:rsid w:val="00117CF4"/>
    <w:rsid w:val="00117D20"/>
    <w:rsid w:val="001201E1"/>
    <w:rsid w:val="001201E9"/>
    <w:rsid w:val="00120442"/>
    <w:rsid w:val="00120450"/>
    <w:rsid w:val="001204E0"/>
    <w:rsid w:val="00120948"/>
    <w:rsid w:val="0012099A"/>
    <w:rsid w:val="00120D0D"/>
    <w:rsid w:val="00120E93"/>
    <w:rsid w:val="001210F0"/>
    <w:rsid w:val="00121377"/>
    <w:rsid w:val="001214CF"/>
    <w:rsid w:val="0012150B"/>
    <w:rsid w:val="0012182A"/>
    <w:rsid w:val="001218DA"/>
    <w:rsid w:val="00121912"/>
    <w:rsid w:val="001219D8"/>
    <w:rsid w:val="00121A39"/>
    <w:rsid w:val="00121B2E"/>
    <w:rsid w:val="00121C0F"/>
    <w:rsid w:val="00121E86"/>
    <w:rsid w:val="00121FF4"/>
    <w:rsid w:val="001220B3"/>
    <w:rsid w:val="0012230D"/>
    <w:rsid w:val="001225F6"/>
    <w:rsid w:val="001228A5"/>
    <w:rsid w:val="00122BB4"/>
    <w:rsid w:val="00122BC0"/>
    <w:rsid w:val="001231B7"/>
    <w:rsid w:val="00123214"/>
    <w:rsid w:val="00123297"/>
    <w:rsid w:val="001232FB"/>
    <w:rsid w:val="0012331C"/>
    <w:rsid w:val="0012335D"/>
    <w:rsid w:val="001235E0"/>
    <w:rsid w:val="00123654"/>
    <w:rsid w:val="0012376E"/>
    <w:rsid w:val="0012378A"/>
    <w:rsid w:val="00123984"/>
    <w:rsid w:val="00123AB1"/>
    <w:rsid w:val="00123B47"/>
    <w:rsid w:val="00123BEE"/>
    <w:rsid w:val="00123DA6"/>
    <w:rsid w:val="00123EE1"/>
    <w:rsid w:val="001240AA"/>
    <w:rsid w:val="001240B5"/>
    <w:rsid w:val="001248F6"/>
    <w:rsid w:val="00124A14"/>
    <w:rsid w:val="00124B47"/>
    <w:rsid w:val="00124CBB"/>
    <w:rsid w:val="00124D35"/>
    <w:rsid w:val="00124E83"/>
    <w:rsid w:val="00124F2D"/>
    <w:rsid w:val="00124F6F"/>
    <w:rsid w:val="001253F0"/>
    <w:rsid w:val="0012577C"/>
    <w:rsid w:val="001257E4"/>
    <w:rsid w:val="00125949"/>
    <w:rsid w:val="00125A1F"/>
    <w:rsid w:val="00125A63"/>
    <w:rsid w:val="00125B12"/>
    <w:rsid w:val="00125D28"/>
    <w:rsid w:val="00125EB7"/>
    <w:rsid w:val="001260DC"/>
    <w:rsid w:val="0012623C"/>
    <w:rsid w:val="00126583"/>
    <w:rsid w:val="0012659E"/>
    <w:rsid w:val="0012688C"/>
    <w:rsid w:val="0012690D"/>
    <w:rsid w:val="00126A50"/>
    <w:rsid w:val="00126A93"/>
    <w:rsid w:val="00126B4C"/>
    <w:rsid w:val="00126BA2"/>
    <w:rsid w:val="00126E9A"/>
    <w:rsid w:val="00126F8A"/>
    <w:rsid w:val="00126F9E"/>
    <w:rsid w:val="00126FFC"/>
    <w:rsid w:val="0012721D"/>
    <w:rsid w:val="001272CB"/>
    <w:rsid w:val="001275E6"/>
    <w:rsid w:val="00127610"/>
    <w:rsid w:val="001277E0"/>
    <w:rsid w:val="001278C1"/>
    <w:rsid w:val="001278CE"/>
    <w:rsid w:val="001279E0"/>
    <w:rsid w:val="00127A68"/>
    <w:rsid w:val="00127AC3"/>
    <w:rsid w:val="00127B35"/>
    <w:rsid w:val="00127DEF"/>
    <w:rsid w:val="00130602"/>
    <w:rsid w:val="001309EB"/>
    <w:rsid w:val="00130B76"/>
    <w:rsid w:val="00130C72"/>
    <w:rsid w:val="00130F3B"/>
    <w:rsid w:val="00130F6C"/>
    <w:rsid w:val="00131123"/>
    <w:rsid w:val="00131486"/>
    <w:rsid w:val="0013169B"/>
    <w:rsid w:val="001316D8"/>
    <w:rsid w:val="00131799"/>
    <w:rsid w:val="001317D1"/>
    <w:rsid w:val="00131A0C"/>
    <w:rsid w:val="00131FD3"/>
    <w:rsid w:val="00132098"/>
    <w:rsid w:val="00132293"/>
    <w:rsid w:val="00132932"/>
    <w:rsid w:val="0013296A"/>
    <w:rsid w:val="001329C2"/>
    <w:rsid w:val="00132AE5"/>
    <w:rsid w:val="00132BCC"/>
    <w:rsid w:val="00132BFC"/>
    <w:rsid w:val="00132C45"/>
    <w:rsid w:val="00132C7D"/>
    <w:rsid w:val="00132D42"/>
    <w:rsid w:val="00132D6E"/>
    <w:rsid w:val="00132DF6"/>
    <w:rsid w:val="00132E59"/>
    <w:rsid w:val="00132F9F"/>
    <w:rsid w:val="00133635"/>
    <w:rsid w:val="001336E5"/>
    <w:rsid w:val="00133798"/>
    <w:rsid w:val="00133EEA"/>
    <w:rsid w:val="00134040"/>
    <w:rsid w:val="00134061"/>
    <w:rsid w:val="0013423F"/>
    <w:rsid w:val="001344F5"/>
    <w:rsid w:val="00134841"/>
    <w:rsid w:val="0013485E"/>
    <w:rsid w:val="00134D4F"/>
    <w:rsid w:val="00134D9B"/>
    <w:rsid w:val="00134DB6"/>
    <w:rsid w:val="00134EE9"/>
    <w:rsid w:val="0013511F"/>
    <w:rsid w:val="00135191"/>
    <w:rsid w:val="00135229"/>
    <w:rsid w:val="001352D8"/>
    <w:rsid w:val="001352E8"/>
    <w:rsid w:val="00135365"/>
    <w:rsid w:val="00135456"/>
    <w:rsid w:val="001355E3"/>
    <w:rsid w:val="001357AB"/>
    <w:rsid w:val="001358E6"/>
    <w:rsid w:val="00135B0E"/>
    <w:rsid w:val="00135BCF"/>
    <w:rsid w:val="00135D17"/>
    <w:rsid w:val="00135F22"/>
    <w:rsid w:val="00135F95"/>
    <w:rsid w:val="001361CF"/>
    <w:rsid w:val="0013626C"/>
    <w:rsid w:val="00136638"/>
    <w:rsid w:val="001367A5"/>
    <w:rsid w:val="00136846"/>
    <w:rsid w:val="00136A23"/>
    <w:rsid w:val="00136A2D"/>
    <w:rsid w:val="00136B69"/>
    <w:rsid w:val="00136BDA"/>
    <w:rsid w:val="00136C16"/>
    <w:rsid w:val="00136C77"/>
    <w:rsid w:val="00136D7B"/>
    <w:rsid w:val="00136DB1"/>
    <w:rsid w:val="00136FFF"/>
    <w:rsid w:val="001373B9"/>
    <w:rsid w:val="00137564"/>
    <w:rsid w:val="00137599"/>
    <w:rsid w:val="001376C6"/>
    <w:rsid w:val="0013783B"/>
    <w:rsid w:val="0013784A"/>
    <w:rsid w:val="00137990"/>
    <w:rsid w:val="00137A5B"/>
    <w:rsid w:val="00137F05"/>
    <w:rsid w:val="00137F74"/>
    <w:rsid w:val="00137FAA"/>
    <w:rsid w:val="00137FE1"/>
    <w:rsid w:val="001400EE"/>
    <w:rsid w:val="001402BB"/>
    <w:rsid w:val="00140356"/>
    <w:rsid w:val="001403CB"/>
    <w:rsid w:val="0014067A"/>
    <w:rsid w:val="00140719"/>
    <w:rsid w:val="00140785"/>
    <w:rsid w:val="00140898"/>
    <w:rsid w:val="00140B76"/>
    <w:rsid w:val="00140F17"/>
    <w:rsid w:val="00140F3E"/>
    <w:rsid w:val="00141140"/>
    <w:rsid w:val="001413C4"/>
    <w:rsid w:val="0014150B"/>
    <w:rsid w:val="0014159D"/>
    <w:rsid w:val="00141657"/>
    <w:rsid w:val="0014171C"/>
    <w:rsid w:val="0014192A"/>
    <w:rsid w:val="0014197D"/>
    <w:rsid w:val="00141AA0"/>
    <w:rsid w:val="00141D53"/>
    <w:rsid w:val="001420EE"/>
    <w:rsid w:val="00142744"/>
    <w:rsid w:val="00142854"/>
    <w:rsid w:val="00142AB3"/>
    <w:rsid w:val="00143110"/>
    <w:rsid w:val="0014323A"/>
    <w:rsid w:val="00143783"/>
    <w:rsid w:val="001437F6"/>
    <w:rsid w:val="001439B3"/>
    <w:rsid w:val="001439D1"/>
    <w:rsid w:val="001439E8"/>
    <w:rsid w:val="00143AB6"/>
    <w:rsid w:val="00144132"/>
    <w:rsid w:val="001442C3"/>
    <w:rsid w:val="001442FE"/>
    <w:rsid w:val="00144478"/>
    <w:rsid w:val="001445E8"/>
    <w:rsid w:val="00144C01"/>
    <w:rsid w:val="00144D02"/>
    <w:rsid w:val="00144E37"/>
    <w:rsid w:val="00145182"/>
    <w:rsid w:val="0014530F"/>
    <w:rsid w:val="001455AF"/>
    <w:rsid w:val="001455D3"/>
    <w:rsid w:val="0014560F"/>
    <w:rsid w:val="00145893"/>
    <w:rsid w:val="001460F7"/>
    <w:rsid w:val="00146241"/>
    <w:rsid w:val="0014629F"/>
    <w:rsid w:val="001462ED"/>
    <w:rsid w:val="00146399"/>
    <w:rsid w:val="0014648F"/>
    <w:rsid w:val="0014662B"/>
    <w:rsid w:val="001466DB"/>
    <w:rsid w:val="00146B1D"/>
    <w:rsid w:val="00146DEA"/>
    <w:rsid w:val="00146E90"/>
    <w:rsid w:val="001474F0"/>
    <w:rsid w:val="001475E7"/>
    <w:rsid w:val="00147670"/>
    <w:rsid w:val="0014771E"/>
    <w:rsid w:val="00147B07"/>
    <w:rsid w:val="00147CCE"/>
    <w:rsid w:val="00147DB1"/>
    <w:rsid w:val="00147E72"/>
    <w:rsid w:val="00147F00"/>
    <w:rsid w:val="001500C6"/>
    <w:rsid w:val="00150464"/>
    <w:rsid w:val="00150492"/>
    <w:rsid w:val="0015058F"/>
    <w:rsid w:val="00150637"/>
    <w:rsid w:val="0015082B"/>
    <w:rsid w:val="00150C85"/>
    <w:rsid w:val="00150C9C"/>
    <w:rsid w:val="00150E6F"/>
    <w:rsid w:val="00151084"/>
    <w:rsid w:val="001511EE"/>
    <w:rsid w:val="001513FA"/>
    <w:rsid w:val="00151A74"/>
    <w:rsid w:val="00151F2B"/>
    <w:rsid w:val="00151F4D"/>
    <w:rsid w:val="00151FA7"/>
    <w:rsid w:val="00151FCC"/>
    <w:rsid w:val="001521BE"/>
    <w:rsid w:val="001524EE"/>
    <w:rsid w:val="001526AD"/>
    <w:rsid w:val="00152853"/>
    <w:rsid w:val="00152A75"/>
    <w:rsid w:val="00152B19"/>
    <w:rsid w:val="00152C44"/>
    <w:rsid w:val="00152DBE"/>
    <w:rsid w:val="00153156"/>
    <w:rsid w:val="0015322D"/>
    <w:rsid w:val="001532C7"/>
    <w:rsid w:val="00153607"/>
    <w:rsid w:val="00153648"/>
    <w:rsid w:val="0015379B"/>
    <w:rsid w:val="001539B3"/>
    <w:rsid w:val="00153A07"/>
    <w:rsid w:val="00153B7D"/>
    <w:rsid w:val="00153E22"/>
    <w:rsid w:val="00153F2F"/>
    <w:rsid w:val="00153FAA"/>
    <w:rsid w:val="00154032"/>
    <w:rsid w:val="00154192"/>
    <w:rsid w:val="00154324"/>
    <w:rsid w:val="0015464D"/>
    <w:rsid w:val="001547AB"/>
    <w:rsid w:val="0015494B"/>
    <w:rsid w:val="001549C7"/>
    <w:rsid w:val="00154A55"/>
    <w:rsid w:val="00154B91"/>
    <w:rsid w:val="00154C3C"/>
    <w:rsid w:val="00154CDE"/>
    <w:rsid w:val="00154E99"/>
    <w:rsid w:val="00154F1C"/>
    <w:rsid w:val="00155124"/>
    <w:rsid w:val="00155125"/>
    <w:rsid w:val="001552AA"/>
    <w:rsid w:val="001554E9"/>
    <w:rsid w:val="001555D1"/>
    <w:rsid w:val="001556B5"/>
    <w:rsid w:val="00155CB2"/>
    <w:rsid w:val="00156097"/>
    <w:rsid w:val="00156180"/>
    <w:rsid w:val="0015618E"/>
    <w:rsid w:val="001561E7"/>
    <w:rsid w:val="0015622B"/>
    <w:rsid w:val="00156436"/>
    <w:rsid w:val="00156539"/>
    <w:rsid w:val="00156919"/>
    <w:rsid w:val="00156AD2"/>
    <w:rsid w:val="00156AE5"/>
    <w:rsid w:val="00156CDE"/>
    <w:rsid w:val="00156D3D"/>
    <w:rsid w:val="00156EC2"/>
    <w:rsid w:val="0015703C"/>
    <w:rsid w:val="00157090"/>
    <w:rsid w:val="0015741D"/>
    <w:rsid w:val="001574C5"/>
    <w:rsid w:val="001578FB"/>
    <w:rsid w:val="0015797C"/>
    <w:rsid w:val="00157B1B"/>
    <w:rsid w:val="00157E27"/>
    <w:rsid w:val="00157E2F"/>
    <w:rsid w:val="001602E1"/>
    <w:rsid w:val="0016031B"/>
    <w:rsid w:val="001606EE"/>
    <w:rsid w:val="001607BB"/>
    <w:rsid w:val="0016085E"/>
    <w:rsid w:val="00160EEF"/>
    <w:rsid w:val="00161011"/>
    <w:rsid w:val="00161017"/>
    <w:rsid w:val="0016118B"/>
    <w:rsid w:val="0016153B"/>
    <w:rsid w:val="00161A38"/>
    <w:rsid w:val="00161A92"/>
    <w:rsid w:val="00161AA3"/>
    <w:rsid w:val="00161AAB"/>
    <w:rsid w:val="00161C8C"/>
    <w:rsid w:val="00161FBF"/>
    <w:rsid w:val="00161FFC"/>
    <w:rsid w:val="00162117"/>
    <w:rsid w:val="0016218E"/>
    <w:rsid w:val="001623A7"/>
    <w:rsid w:val="001628E0"/>
    <w:rsid w:val="00162A59"/>
    <w:rsid w:val="00162B19"/>
    <w:rsid w:val="00162D9F"/>
    <w:rsid w:val="00162EA6"/>
    <w:rsid w:val="00162EF4"/>
    <w:rsid w:val="0016317A"/>
    <w:rsid w:val="00163329"/>
    <w:rsid w:val="001634BB"/>
    <w:rsid w:val="00163625"/>
    <w:rsid w:val="0016382C"/>
    <w:rsid w:val="0016420F"/>
    <w:rsid w:val="001643FF"/>
    <w:rsid w:val="001644C2"/>
    <w:rsid w:val="00164579"/>
    <w:rsid w:val="001645FB"/>
    <w:rsid w:val="00164717"/>
    <w:rsid w:val="00164B9B"/>
    <w:rsid w:val="00164C86"/>
    <w:rsid w:val="00164CE7"/>
    <w:rsid w:val="00164D69"/>
    <w:rsid w:val="00164EA8"/>
    <w:rsid w:val="00164ECF"/>
    <w:rsid w:val="00164F5E"/>
    <w:rsid w:val="001654D7"/>
    <w:rsid w:val="00165529"/>
    <w:rsid w:val="001655B1"/>
    <w:rsid w:val="0016564C"/>
    <w:rsid w:val="001657FF"/>
    <w:rsid w:val="00165824"/>
    <w:rsid w:val="00165AC2"/>
    <w:rsid w:val="00165AC6"/>
    <w:rsid w:val="00165B0B"/>
    <w:rsid w:val="00165DDD"/>
    <w:rsid w:val="0016604D"/>
    <w:rsid w:val="001660A3"/>
    <w:rsid w:val="001661C5"/>
    <w:rsid w:val="00166288"/>
    <w:rsid w:val="001662A2"/>
    <w:rsid w:val="00166563"/>
    <w:rsid w:val="0016684B"/>
    <w:rsid w:val="00166863"/>
    <w:rsid w:val="00166873"/>
    <w:rsid w:val="00166B15"/>
    <w:rsid w:val="00166D18"/>
    <w:rsid w:val="00166E04"/>
    <w:rsid w:val="00166F59"/>
    <w:rsid w:val="0016705F"/>
    <w:rsid w:val="001670A5"/>
    <w:rsid w:val="00167171"/>
    <w:rsid w:val="0016718A"/>
    <w:rsid w:val="00167B59"/>
    <w:rsid w:val="00167C8E"/>
    <w:rsid w:val="00167CAC"/>
    <w:rsid w:val="00167D02"/>
    <w:rsid w:val="00167D86"/>
    <w:rsid w:val="00167E7E"/>
    <w:rsid w:val="00170063"/>
    <w:rsid w:val="0017007C"/>
    <w:rsid w:val="001703F6"/>
    <w:rsid w:val="00170600"/>
    <w:rsid w:val="0017074A"/>
    <w:rsid w:val="00170785"/>
    <w:rsid w:val="001707CE"/>
    <w:rsid w:val="00170C39"/>
    <w:rsid w:val="00170D4B"/>
    <w:rsid w:val="00170EB0"/>
    <w:rsid w:val="00170F8E"/>
    <w:rsid w:val="001713C4"/>
    <w:rsid w:val="00171437"/>
    <w:rsid w:val="0017158F"/>
    <w:rsid w:val="001715E8"/>
    <w:rsid w:val="001716AA"/>
    <w:rsid w:val="00171C9D"/>
    <w:rsid w:val="00171F27"/>
    <w:rsid w:val="001722B2"/>
    <w:rsid w:val="001726A7"/>
    <w:rsid w:val="001729A2"/>
    <w:rsid w:val="00172A57"/>
    <w:rsid w:val="00172AE1"/>
    <w:rsid w:val="00172BCD"/>
    <w:rsid w:val="00172C9E"/>
    <w:rsid w:val="00172CCB"/>
    <w:rsid w:val="00172CF2"/>
    <w:rsid w:val="00172D3D"/>
    <w:rsid w:val="00172DD5"/>
    <w:rsid w:val="0017316F"/>
    <w:rsid w:val="00173325"/>
    <w:rsid w:val="0017357B"/>
    <w:rsid w:val="001735EF"/>
    <w:rsid w:val="0017374E"/>
    <w:rsid w:val="001737DF"/>
    <w:rsid w:val="001738FE"/>
    <w:rsid w:val="00173BBC"/>
    <w:rsid w:val="00173CC8"/>
    <w:rsid w:val="00173CFD"/>
    <w:rsid w:val="00173DF7"/>
    <w:rsid w:val="00174031"/>
    <w:rsid w:val="001741E5"/>
    <w:rsid w:val="001742C3"/>
    <w:rsid w:val="00174672"/>
    <w:rsid w:val="001747C2"/>
    <w:rsid w:val="00174A80"/>
    <w:rsid w:val="00174BA6"/>
    <w:rsid w:val="00175177"/>
    <w:rsid w:val="00175450"/>
    <w:rsid w:val="001754E2"/>
    <w:rsid w:val="001754F0"/>
    <w:rsid w:val="00175545"/>
    <w:rsid w:val="001757C4"/>
    <w:rsid w:val="0017598E"/>
    <w:rsid w:val="001759B6"/>
    <w:rsid w:val="00175A28"/>
    <w:rsid w:val="0017629D"/>
    <w:rsid w:val="001763A0"/>
    <w:rsid w:val="001765E4"/>
    <w:rsid w:val="00176606"/>
    <w:rsid w:val="00176B68"/>
    <w:rsid w:val="00176D18"/>
    <w:rsid w:val="0017710A"/>
    <w:rsid w:val="001772E4"/>
    <w:rsid w:val="001774BD"/>
    <w:rsid w:val="00177519"/>
    <w:rsid w:val="001775C3"/>
    <w:rsid w:val="00177674"/>
    <w:rsid w:val="00177812"/>
    <w:rsid w:val="001778D1"/>
    <w:rsid w:val="001778F8"/>
    <w:rsid w:val="00177A03"/>
    <w:rsid w:val="00177A0B"/>
    <w:rsid w:val="00177A16"/>
    <w:rsid w:val="00177AE5"/>
    <w:rsid w:val="00177BB4"/>
    <w:rsid w:val="00177DB4"/>
    <w:rsid w:val="00177E5E"/>
    <w:rsid w:val="00177ECB"/>
    <w:rsid w:val="00180078"/>
    <w:rsid w:val="0018027C"/>
    <w:rsid w:val="0018040D"/>
    <w:rsid w:val="001808AE"/>
    <w:rsid w:val="0018092A"/>
    <w:rsid w:val="00180C63"/>
    <w:rsid w:val="00180F58"/>
    <w:rsid w:val="00180F7F"/>
    <w:rsid w:val="001812CB"/>
    <w:rsid w:val="001816B1"/>
    <w:rsid w:val="0018174A"/>
    <w:rsid w:val="0018188B"/>
    <w:rsid w:val="00181B2C"/>
    <w:rsid w:val="00181CC7"/>
    <w:rsid w:val="00181CD4"/>
    <w:rsid w:val="00181E58"/>
    <w:rsid w:val="001820BE"/>
    <w:rsid w:val="00182790"/>
    <w:rsid w:val="001828C2"/>
    <w:rsid w:val="00182957"/>
    <w:rsid w:val="00182963"/>
    <w:rsid w:val="0018297A"/>
    <w:rsid w:val="00182B40"/>
    <w:rsid w:val="0018313C"/>
    <w:rsid w:val="001831B3"/>
    <w:rsid w:val="00183309"/>
    <w:rsid w:val="0018358A"/>
    <w:rsid w:val="001836BC"/>
    <w:rsid w:val="00183726"/>
    <w:rsid w:val="00183766"/>
    <w:rsid w:val="00183785"/>
    <w:rsid w:val="001838A0"/>
    <w:rsid w:val="00183958"/>
    <w:rsid w:val="00183FC8"/>
    <w:rsid w:val="00183FD0"/>
    <w:rsid w:val="00184012"/>
    <w:rsid w:val="00184309"/>
    <w:rsid w:val="0018440A"/>
    <w:rsid w:val="0018442F"/>
    <w:rsid w:val="0018458B"/>
    <w:rsid w:val="001845AA"/>
    <w:rsid w:val="0018466A"/>
    <w:rsid w:val="001846A5"/>
    <w:rsid w:val="00184761"/>
    <w:rsid w:val="00184A14"/>
    <w:rsid w:val="00184CE9"/>
    <w:rsid w:val="00184CFE"/>
    <w:rsid w:val="00184F57"/>
    <w:rsid w:val="00184FAA"/>
    <w:rsid w:val="0018514D"/>
    <w:rsid w:val="0018537F"/>
    <w:rsid w:val="0018550A"/>
    <w:rsid w:val="00185672"/>
    <w:rsid w:val="001857A9"/>
    <w:rsid w:val="0018581E"/>
    <w:rsid w:val="0018585C"/>
    <w:rsid w:val="00185975"/>
    <w:rsid w:val="00185AED"/>
    <w:rsid w:val="00185E7C"/>
    <w:rsid w:val="00185F96"/>
    <w:rsid w:val="00186115"/>
    <w:rsid w:val="001861DE"/>
    <w:rsid w:val="001864F8"/>
    <w:rsid w:val="0018659E"/>
    <w:rsid w:val="001865D9"/>
    <w:rsid w:val="001868BE"/>
    <w:rsid w:val="00186AE6"/>
    <w:rsid w:val="00186DA0"/>
    <w:rsid w:val="00186E39"/>
    <w:rsid w:val="001871A0"/>
    <w:rsid w:val="001873A1"/>
    <w:rsid w:val="001873CC"/>
    <w:rsid w:val="001874CD"/>
    <w:rsid w:val="00187709"/>
    <w:rsid w:val="00187A4E"/>
    <w:rsid w:val="00187C5A"/>
    <w:rsid w:val="00187D0C"/>
    <w:rsid w:val="001900DF"/>
    <w:rsid w:val="0019023B"/>
    <w:rsid w:val="001902A9"/>
    <w:rsid w:val="001904D1"/>
    <w:rsid w:val="00190985"/>
    <w:rsid w:val="0019099A"/>
    <w:rsid w:val="00190A24"/>
    <w:rsid w:val="00190B8C"/>
    <w:rsid w:val="00190C77"/>
    <w:rsid w:val="00190CA3"/>
    <w:rsid w:val="00190D90"/>
    <w:rsid w:val="00190D97"/>
    <w:rsid w:val="00190E4B"/>
    <w:rsid w:val="00190E58"/>
    <w:rsid w:val="00190F6F"/>
    <w:rsid w:val="00191343"/>
    <w:rsid w:val="001913CD"/>
    <w:rsid w:val="00191CE0"/>
    <w:rsid w:val="00191DC4"/>
    <w:rsid w:val="0019201F"/>
    <w:rsid w:val="0019219F"/>
    <w:rsid w:val="00192217"/>
    <w:rsid w:val="001924E2"/>
    <w:rsid w:val="001924E5"/>
    <w:rsid w:val="00192607"/>
    <w:rsid w:val="00192ABC"/>
    <w:rsid w:val="00192C2B"/>
    <w:rsid w:val="00192C9C"/>
    <w:rsid w:val="00192C9E"/>
    <w:rsid w:val="00192D72"/>
    <w:rsid w:val="00192EC2"/>
    <w:rsid w:val="001933B4"/>
    <w:rsid w:val="001934C1"/>
    <w:rsid w:val="001935BE"/>
    <w:rsid w:val="00193607"/>
    <w:rsid w:val="001936C1"/>
    <w:rsid w:val="001937A3"/>
    <w:rsid w:val="001938A0"/>
    <w:rsid w:val="00193A0A"/>
    <w:rsid w:val="00194063"/>
    <w:rsid w:val="00194197"/>
    <w:rsid w:val="00194198"/>
    <w:rsid w:val="001946A1"/>
    <w:rsid w:val="001946C9"/>
    <w:rsid w:val="0019471A"/>
    <w:rsid w:val="0019495B"/>
    <w:rsid w:val="00194FB8"/>
    <w:rsid w:val="00195131"/>
    <w:rsid w:val="001953E3"/>
    <w:rsid w:val="001955DC"/>
    <w:rsid w:val="00195604"/>
    <w:rsid w:val="00195898"/>
    <w:rsid w:val="00195933"/>
    <w:rsid w:val="00195974"/>
    <w:rsid w:val="00195A77"/>
    <w:rsid w:val="00195E0D"/>
    <w:rsid w:val="00195E85"/>
    <w:rsid w:val="00195F4C"/>
    <w:rsid w:val="001960DB"/>
    <w:rsid w:val="001960F7"/>
    <w:rsid w:val="001961A0"/>
    <w:rsid w:val="001961EA"/>
    <w:rsid w:val="00196220"/>
    <w:rsid w:val="0019625E"/>
    <w:rsid w:val="00196729"/>
    <w:rsid w:val="001968EF"/>
    <w:rsid w:val="00196C88"/>
    <w:rsid w:val="00196E6A"/>
    <w:rsid w:val="00196E7A"/>
    <w:rsid w:val="001973BB"/>
    <w:rsid w:val="001973EB"/>
    <w:rsid w:val="00197407"/>
    <w:rsid w:val="001974C4"/>
    <w:rsid w:val="00197727"/>
    <w:rsid w:val="00197808"/>
    <w:rsid w:val="00197C93"/>
    <w:rsid w:val="00197ED6"/>
    <w:rsid w:val="00197F06"/>
    <w:rsid w:val="001A005A"/>
    <w:rsid w:val="001A0161"/>
    <w:rsid w:val="001A02EC"/>
    <w:rsid w:val="001A03AE"/>
    <w:rsid w:val="001A03EB"/>
    <w:rsid w:val="001A0683"/>
    <w:rsid w:val="001A06E3"/>
    <w:rsid w:val="001A07BE"/>
    <w:rsid w:val="001A0896"/>
    <w:rsid w:val="001A0D6C"/>
    <w:rsid w:val="001A0D9F"/>
    <w:rsid w:val="001A0EF6"/>
    <w:rsid w:val="001A0EFF"/>
    <w:rsid w:val="001A0F5B"/>
    <w:rsid w:val="001A0FC7"/>
    <w:rsid w:val="001A106B"/>
    <w:rsid w:val="001A11B2"/>
    <w:rsid w:val="001A12D1"/>
    <w:rsid w:val="001A13DD"/>
    <w:rsid w:val="001A140C"/>
    <w:rsid w:val="001A140D"/>
    <w:rsid w:val="001A1627"/>
    <w:rsid w:val="001A1809"/>
    <w:rsid w:val="001A1883"/>
    <w:rsid w:val="001A1946"/>
    <w:rsid w:val="001A19A7"/>
    <w:rsid w:val="001A1DA5"/>
    <w:rsid w:val="001A1EDF"/>
    <w:rsid w:val="001A20A9"/>
    <w:rsid w:val="001A211C"/>
    <w:rsid w:val="001A21A2"/>
    <w:rsid w:val="001A2257"/>
    <w:rsid w:val="001A2427"/>
    <w:rsid w:val="001A2540"/>
    <w:rsid w:val="001A257C"/>
    <w:rsid w:val="001A28C2"/>
    <w:rsid w:val="001A29E3"/>
    <w:rsid w:val="001A2B2E"/>
    <w:rsid w:val="001A2CD3"/>
    <w:rsid w:val="001A2CE7"/>
    <w:rsid w:val="001A2D4E"/>
    <w:rsid w:val="001A2E76"/>
    <w:rsid w:val="001A2F80"/>
    <w:rsid w:val="001A300A"/>
    <w:rsid w:val="001A30B0"/>
    <w:rsid w:val="001A3127"/>
    <w:rsid w:val="001A333D"/>
    <w:rsid w:val="001A369F"/>
    <w:rsid w:val="001A38DB"/>
    <w:rsid w:val="001A3A4A"/>
    <w:rsid w:val="001A3A61"/>
    <w:rsid w:val="001A3AE3"/>
    <w:rsid w:val="001A3B6C"/>
    <w:rsid w:val="001A3BF6"/>
    <w:rsid w:val="001A3D90"/>
    <w:rsid w:val="001A3DEF"/>
    <w:rsid w:val="001A3E94"/>
    <w:rsid w:val="001A3EE0"/>
    <w:rsid w:val="001A4147"/>
    <w:rsid w:val="001A441D"/>
    <w:rsid w:val="001A45C0"/>
    <w:rsid w:val="001A45EC"/>
    <w:rsid w:val="001A4703"/>
    <w:rsid w:val="001A484B"/>
    <w:rsid w:val="001A494F"/>
    <w:rsid w:val="001A4AD3"/>
    <w:rsid w:val="001A4B00"/>
    <w:rsid w:val="001A4B5F"/>
    <w:rsid w:val="001A4BB2"/>
    <w:rsid w:val="001A4CE0"/>
    <w:rsid w:val="001A4F39"/>
    <w:rsid w:val="001A4FAA"/>
    <w:rsid w:val="001A5191"/>
    <w:rsid w:val="001A53EE"/>
    <w:rsid w:val="001A5448"/>
    <w:rsid w:val="001A549E"/>
    <w:rsid w:val="001A54CC"/>
    <w:rsid w:val="001A55EE"/>
    <w:rsid w:val="001A5EF1"/>
    <w:rsid w:val="001A63F7"/>
    <w:rsid w:val="001A6591"/>
    <w:rsid w:val="001A68B6"/>
    <w:rsid w:val="001A691F"/>
    <w:rsid w:val="001A6B60"/>
    <w:rsid w:val="001A6C94"/>
    <w:rsid w:val="001A6F65"/>
    <w:rsid w:val="001A72FF"/>
    <w:rsid w:val="001A73F9"/>
    <w:rsid w:val="001A7502"/>
    <w:rsid w:val="001A753C"/>
    <w:rsid w:val="001A763B"/>
    <w:rsid w:val="001A764A"/>
    <w:rsid w:val="001A7766"/>
    <w:rsid w:val="001A7911"/>
    <w:rsid w:val="001A7B3E"/>
    <w:rsid w:val="001A7CAC"/>
    <w:rsid w:val="001A7D70"/>
    <w:rsid w:val="001A7DD0"/>
    <w:rsid w:val="001A7FBB"/>
    <w:rsid w:val="001B0312"/>
    <w:rsid w:val="001B0407"/>
    <w:rsid w:val="001B051E"/>
    <w:rsid w:val="001B05EA"/>
    <w:rsid w:val="001B0630"/>
    <w:rsid w:val="001B0C92"/>
    <w:rsid w:val="001B0CF5"/>
    <w:rsid w:val="001B0D97"/>
    <w:rsid w:val="001B15AB"/>
    <w:rsid w:val="001B1603"/>
    <w:rsid w:val="001B1696"/>
    <w:rsid w:val="001B1781"/>
    <w:rsid w:val="001B1941"/>
    <w:rsid w:val="001B1B24"/>
    <w:rsid w:val="001B1BDA"/>
    <w:rsid w:val="001B1DC7"/>
    <w:rsid w:val="001B1F6B"/>
    <w:rsid w:val="001B1F7E"/>
    <w:rsid w:val="001B2164"/>
    <w:rsid w:val="001B2193"/>
    <w:rsid w:val="001B21A9"/>
    <w:rsid w:val="001B2277"/>
    <w:rsid w:val="001B22ED"/>
    <w:rsid w:val="001B2365"/>
    <w:rsid w:val="001B23D4"/>
    <w:rsid w:val="001B2ADA"/>
    <w:rsid w:val="001B2B08"/>
    <w:rsid w:val="001B2DE3"/>
    <w:rsid w:val="001B3005"/>
    <w:rsid w:val="001B3295"/>
    <w:rsid w:val="001B32EA"/>
    <w:rsid w:val="001B33DE"/>
    <w:rsid w:val="001B34EF"/>
    <w:rsid w:val="001B3747"/>
    <w:rsid w:val="001B380F"/>
    <w:rsid w:val="001B3BE1"/>
    <w:rsid w:val="001B3D68"/>
    <w:rsid w:val="001B3EDD"/>
    <w:rsid w:val="001B3FC1"/>
    <w:rsid w:val="001B400B"/>
    <w:rsid w:val="001B413C"/>
    <w:rsid w:val="001B46E4"/>
    <w:rsid w:val="001B49AC"/>
    <w:rsid w:val="001B4D2E"/>
    <w:rsid w:val="001B4EFE"/>
    <w:rsid w:val="001B4F4D"/>
    <w:rsid w:val="001B4F91"/>
    <w:rsid w:val="001B556F"/>
    <w:rsid w:val="001B56DA"/>
    <w:rsid w:val="001B58F2"/>
    <w:rsid w:val="001B5BCF"/>
    <w:rsid w:val="001B5BF9"/>
    <w:rsid w:val="001B5CE1"/>
    <w:rsid w:val="001B676E"/>
    <w:rsid w:val="001B68EA"/>
    <w:rsid w:val="001B6D1B"/>
    <w:rsid w:val="001B7258"/>
    <w:rsid w:val="001B7276"/>
    <w:rsid w:val="001B7487"/>
    <w:rsid w:val="001B7548"/>
    <w:rsid w:val="001B7636"/>
    <w:rsid w:val="001B7AE6"/>
    <w:rsid w:val="001B7C5A"/>
    <w:rsid w:val="001C0198"/>
    <w:rsid w:val="001C0426"/>
    <w:rsid w:val="001C055C"/>
    <w:rsid w:val="001C0ADE"/>
    <w:rsid w:val="001C0BF7"/>
    <w:rsid w:val="001C0DA8"/>
    <w:rsid w:val="001C0DD5"/>
    <w:rsid w:val="001C0E18"/>
    <w:rsid w:val="001C1074"/>
    <w:rsid w:val="001C1082"/>
    <w:rsid w:val="001C10CA"/>
    <w:rsid w:val="001C11B9"/>
    <w:rsid w:val="001C1367"/>
    <w:rsid w:val="001C153B"/>
    <w:rsid w:val="001C15A2"/>
    <w:rsid w:val="001C1600"/>
    <w:rsid w:val="001C17A7"/>
    <w:rsid w:val="001C18C8"/>
    <w:rsid w:val="001C1953"/>
    <w:rsid w:val="001C19AD"/>
    <w:rsid w:val="001C1A6B"/>
    <w:rsid w:val="001C1C7A"/>
    <w:rsid w:val="001C1CE8"/>
    <w:rsid w:val="001C2259"/>
    <w:rsid w:val="001C236E"/>
    <w:rsid w:val="001C25B8"/>
    <w:rsid w:val="001C265A"/>
    <w:rsid w:val="001C2878"/>
    <w:rsid w:val="001C28A7"/>
    <w:rsid w:val="001C2B37"/>
    <w:rsid w:val="001C2C50"/>
    <w:rsid w:val="001C2ED6"/>
    <w:rsid w:val="001C345C"/>
    <w:rsid w:val="001C363C"/>
    <w:rsid w:val="001C39D1"/>
    <w:rsid w:val="001C3C83"/>
    <w:rsid w:val="001C3E23"/>
    <w:rsid w:val="001C3E49"/>
    <w:rsid w:val="001C4368"/>
    <w:rsid w:val="001C4506"/>
    <w:rsid w:val="001C455B"/>
    <w:rsid w:val="001C4757"/>
    <w:rsid w:val="001C490F"/>
    <w:rsid w:val="001C4A3F"/>
    <w:rsid w:val="001C4AE5"/>
    <w:rsid w:val="001C4C57"/>
    <w:rsid w:val="001C4DC0"/>
    <w:rsid w:val="001C4F28"/>
    <w:rsid w:val="001C505C"/>
    <w:rsid w:val="001C51A4"/>
    <w:rsid w:val="001C5341"/>
    <w:rsid w:val="001C54AB"/>
    <w:rsid w:val="001C5554"/>
    <w:rsid w:val="001C566D"/>
    <w:rsid w:val="001C56D8"/>
    <w:rsid w:val="001C57F4"/>
    <w:rsid w:val="001C5902"/>
    <w:rsid w:val="001C5925"/>
    <w:rsid w:val="001C59AA"/>
    <w:rsid w:val="001C5BAD"/>
    <w:rsid w:val="001C5D0B"/>
    <w:rsid w:val="001C5D6F"/>
    <w:rsid w:val="001C5E20"/>
    <w:rsid w:val="001C5FFF"/>
    <w:rsid w:val="001C6191"/>
    <w:rsid w:val="001C62C4"/>
    <w:rsid w:val="001C6801"/>
    <w:rsid w:val="001C69C4"/>
    <w:rsid w:val="001C6A4C"/>
    <w:rsid w:val="001C6C04"/>
    <w:rsid w:val="001C6C18"/>
    <w:rsid w:val="001C6D50"/>
    <w:rsid w:val="001C6EFD"/>
    <w:rsid w:val="001C6F2F"/>
    <w:rsid w:val="001C70E2"/>
    <w:rsid w:val="001C71B4"/>
    <w:rsid w:val="001C72B3"/>
    <w:rsid w:val="001C7AE6"/>
    <w:rsid w:val="001C7D76"/>
    <w:rsid w:val="001C7E5D"/>
    <w:rsid w:val="001D002F"/>
    <w:rsid w:val="001D00AF"/>
    <w:rsid w:val="001D0225"/>
    <w:rsid w:val="001D02F5"/>
    <w:rsid w:val="001D04C8"/>
    <w:rsid w:val="001D0809"/>
    <w:rsid w:val="001D0AD9"/>
    <w:rsid w:val="001D0C97"/>
    <w:rsid w:val="001D0D51"/>
    <w:rsid w:val="001D0E8A"/>
    <w:rsid w:val="001D0F86"/>
    <w:rsid w:val="001D10EF"/>
    <w:rsid w:val="001D126C"/>
    <w:rsid w:val="001D1406"/>
    <w:rsid w:val="001D1635"/>
    <w:rsid w:val="001D168E"/>
    <w:rsid w:val="001D16CE"/>
    <w:rsid w:val="001D16CF"/>
    <w:rsid w:val="001D1727"/>
    <w:rsid w:val="001D18FA"/>
    <w:rsid w:val="001D1A1E"/>
    <w:rsid w:val="001D1A74"/>
    <w:rsid w:val="001D1BD5"/>
    <w:rsid w:val="001D1CBA"/>
    <w:rsid w:val="001D1D81"/>
    <w:rsid w:val="001D1DEA"/>
    <w:rsid w:val="001D1E0E"/>
    <w:rsid w:val="001D1E37"/>
    <w:rsid w:val="001D201B"/>
    <w:rsid w:val="001D20B1"/>
    <w:rsid w:val="001D227B"/>
    <w:rsid w:val="001D2389"/>
    <w:rsid w:val="001D23F8"/>
    <w:rsid w:val="001D2574"/>
    <w:rsid w:val="001D25DE"/>
    <w:rsid w:val="001D2662"/>
    <w:rsid w:val="001D2770"/>
    <w:rsid w:val="001D286D"/>
    <w:rsid w:val="001D2A31"/>
    <w:rsid w:val="001D2C35"/>
    <w:rsid w:val="001D3016"/>
    <w:rsid w:val="001D302B"/>
    <w:rsid w:val="001D3044"/>
    <w:rsid w:val="001D30F0"/>
    <w:rsid w:val="001D3204"/>
    <w:rsid w:val="001D3211"/>
    <w:rsid w:val="001D358C"/>
    <w:rsid w:val="001D36A7"/>
    <w:rsid w:val="001D39EF"/>
    <w:rsid w:val="001D4036"/>
    <w:rsid w:val="001D41E2"/>
    <w:rsid w:val="001D459B"/>
    <w:rsid w:val="001D46F0"/>
    <w:rsid w:val="001D4713"/>
    <w:rsid w:val="001D4BA0"/>
    <w:rsid w:val="001D4CBC"/>
    <w:rsid w:val="001D5061"/>
    <w:rsid w:val="001D516B"/>
    <w:rsid w:val="001D554C"/>
    <w:rsid w:val="001D55D0"/>
    <w:rsid w:val="001D56B3"/>
    <w:rsid w:val="001D5B4E"/>
    <w:rsid w:val="001D5D87"/>
    <w:rsid w:val="001D5EFE"/>
    <w:rsid w:val="001D6007"/>
    <w:rsid w:val="001D628B"/>
    <w:rsid w:val="001D6437"/>
    <w:rsid w:val="001D648C"/>
    <w:rsid w:val="001D64DA"/>
    <w:rsid w:val="001D64E9"/>
    <w:rsid w:val="001D6655"/>
    <w:rsid w:val="001D684A"/>
    <w:rsid w:val="001D6A35"/>
    <w:rsid w:val="001D6A46"/>
    <w:rsid w:val="001D6B57"/>
    <w:rsid w:val="001D6B77"/>
    <w:rsid w:val="001D6E8F"/>
    <w:rsid w:val="001D7030"/>
    <w:rsid w:val="001D710F"/>
    <w:rsid w:val="001D7189"/>
    <w:rsid w:val="001D71C4"/>
    <w:rsid w:val="001D72C6"/>
    <w:rsid w:val="001D72CA"/>
    <w:rsid w:val="001D7345"/>
    <w:rsid w:val="001D734E"/>
    <w:rsid w:val="001D7941"/>
    <w:rsid w:val="001D7A77"/>
    <w:rsid w:val="001D7AD2"/>
    <w:rsid w:val="001E001F"/>
    <w:rsid w:val="001E0275"/>
    <w:rsid w:val="001E02A6"/>
    <w:rsid w:val="001E055D"/>
    <w:rsid w:val="001E0784"/>
    <w:rsid w:val="001E085E"/>
    <w:rsid w:val="001E0AC1"/>
    <w:rsid w:val="001E0E2E"/>
    <w:rsid w:val="001E0ECF"/>
    <w:rsid w:val="001E117D"/>
    <w:rsid w:val="001E12CD"/>
    <w:rsid w:val="001E1692"/>
    <w:rsid w:val="001E1821"/>
    <w:rsid w:val="001E1932"/>
    <w:rsid w:val="001E194F"/>
    <w:rsid w:val="001E19D8"/>
    <w:rsid w:val="001E1A97"/>
    <w:rsid w:val="001E1C27"/>
    <w:rsid w:val="001E1D70"/>
    <w:rsid w:val="001E1EA4"/>
    <w:rsid w:val="001E1EF2"/>
    <w:rsid w:val="001E21C2"/>
    <w:rsid w:val="001E21CD"/>
    <w:rsid w:val="001E22EF"/>
    <w:rsid w:val="001E2442"/>
    <w:rsid w:val="001E2657"/>
    <w:rsid w:val="001E268D"/>
    <w:rsid w:val="001E288D"/>
    <w:rsid w:val="001E2A14"/>
    <w:rsid w:val="001E2B0F"/>
    <w:rsid w:val="001E2C89"/>
    <w:rsid w:val="001E2F3C"/>
    <w:rsid w:val="001E2F99"/>
    <w:rsid w:val="001E2FDE"/>
    <w:rsid w:val="001E2FF3"/>
    <w:rsid w:val="001E300B"/>
    <w:rsid w:val="001E3092"/>
    <w:rsid w:val="001E30A4"/>
    <w:rsid w:val="001E312E"/>
    <w:rsid w:val="001E33A5"/>
    <w:rsid w:val="001E3416"/>
    <w:rsid w:val="001E34C2"/>
    <w:rsid w:val="001E362A"/>
    <w:rsid w:val="001E36C1"/>
    <w:rsid w:val="001E38F7"/>
    <w:rsid w:val="001E3ABB"/>
    <w:rsid w:val="001E3CC5"/>
    <w:rsid w:val="001E3CD8"/>
    <w:rsid w:val="001E3EAE"/>
    <w:rsid w:val="001E3EB1"/>
    <w:rsid w:val="001E45A9"/>
    <w:rsid w:val="001E47D1"/>
    <w:rsid w:val="001E48F4"/>
    <w:rsid w:val="001E4A29"/>
    <w:rsid w:val="001E4A62"/>
    <w:rsid w:val="001E4D54"/>
    <w:rsid w:val="001E5039"/>
    <w:rsid w:val="001E5393"/>
    <w:rsid w:val="001E544F"/>
    <w:rsid w:val="001E56FD"/>
    <w:rsid w:val="001E5B44"/>
    <w:rsid w:val="001E5F19"/>
    <w:rsid w:val="001E6183"/>
    <w:rsid w:val="001E6304"/>
    <w:rsid w:val="001E66B3"/>
    <w:rsid w:val="001E677B"/>
    <w:rsid w:val="001E67A0"/>
    <w:rsid w:val="001E69B9"/>
    <w:rsid w:val="001E6A29"/>
    <w:rsid w:val="001E6AB2"/>
    <w:rsid w:val="001E6AF6"/>
    <w:rsid w:val="001E6AFC"/>
    <w:rsid w:val="001E6DB5"/>
    <w:rsid w:val="001E6E03"/>
    <w:rsid w:val="001E7159"/>
    <w:rsid w:val="001E71C0"/>
    <w:rsid w:val="001E73AE"/>
    <w:rsid w:val="001E7418"/>
    <w:rsid w:val="001E75EF"/>
    <w:rsid w:val="001E7627"/>
    <w:rsid w:val="001E7649"/>
    <w:rsid w:val="001E76FB"/>
    <w:rsid w:val="001E7CDD"/>
    <w:rsid w:val="001E7D5B"/>
    <w:rsid w:val="001F026A"/>
    <w:rsid w:val="001F05E4"/>
    <w:rsid w:val="001F0619"/>
    <w:rsid w:val="001F068B"/>
    <w:rsid w:val="001F095C"/>
    <w:rsid w:val="001F0DA9"/>
    <w:rsid w:val="001F0DF6"/>
    <w:rsid w:val="001F0E1B"/>
    <w:rsid w:val="001F0E25"/>
    <w:rsid w:val="001F0E6C"/>
    <w:rsid w:val="001F1279"/>
    <w:rsid w:val="001F12AA"/>
    <w:rsid w:val="001F1677"/>
    <w:rsid w:val="001F169B"/>
    <w:rsid w:val="001F189E"/>
    <w:rsid w:val="001F1D77"/>
    <w:rsid w:val="001F1E6D"/>
    <w:rsid w:val="001F21E5"/>
    <w:rsid w:val="001F258E"/>
    <w:rsid w:val="001F25C3"/>
    <w:rsid w:val="001F2701"/>
    <w:rsid w:val="001F298B"/>
    <w:rsid w:val="001F2A60"/>
    <w:rsid w:val="001F2E49"/>
    <w:rsid w:val="001F304C"/>
    <w:rsid w:val="001F30D0"/>
    <w:rsid w:val="001F34DF"/>
    <w:rsid w:val="001F36CA"/>
    <w:rsid w:val="001F3856"/>
    <w:rsid w:val="001F3872"/>
    <w:rsid w:val="001F3D79"/>
    <w:rsid w:val="001F3D9F"/>
    <w:rsid w:val="001F4094"/>
    <w:rsid w:val="001F4185"/>
    <w:rsid w:val="001F43F0"/>
    <w:rsid w:val="001F440B"/>
    <w:rsid w:val="001F4667"/>
    <w:rsid w:val="001F474D"/>
    <w:rsid w:val="001F47F2"/>
    <w:rsid w:val="001F48C9"/>
    <w:rsid w:val="001F4DE6"/>
    <w:rsid w:val="001F4E67"/>
    <w:rsid w:val="001F4EB5"/>
    <w:rsid w:val="001F5042"/>
    <w:rsid w:val="001F50B0"/>
    <w:rsid w:val="001F50B1"/>
    <w:rsid w:val="001F5111"/>
    <w:rsid w:val="001F53F6"/>
    <w:rsid w:val="001F5511"/>
    <w:rsid w:val="001F56FE"/>
    <w:rsid w:val="001F5735"/>
    <w:rsid w:val="001F5BBE"/>
    <w:rsid w:val="001F5BE1"/>
    <w:rsid w:val="001F5BFE"/>
    <w:rsid w:val="001F5D02"/>
    <w:rsid w:val="001F5D47"/>
    <w:rsid w:val="001F5ED1"/>
    <w:rsid w:val="001F5FCC"/>
    <w:rsid w:val="001F621C"/>
    <w:rsid w:val="001F6797"/>
    <w:rsid w:val="001F6950"/>
    <w:rsid w:val="001F69B2"/>
    <w:rsid w:val="001F6BAB"/>
    <w:rsid w:val="001F701D"/>
    <w:rsid w:val="001F7219"/>
    <w:rsid w:val="001F73C1"/>
    <w:rsid w:val="001F73D0"/>
    <w:rsid w:val="001F740B"/>
    <w:rsid w:val="001F74BB"/>
    <w:rsid w:val="001F75C0"/>
    <w:rsid w:val="001F7619"/>
    <w:rsid w:val="001F7682"/>
    <w:rsid w:val="001F76B6"/>
    <w:rsid w:val="001F7D78"/>
    <w:rsid w:val="001F7E22"/>
    <w:rsid w:val="001F7EB3"/>
    <w:rsid w:val="00200334"/>
    <w:rsid w:val="00200379"/>
    <w:rsid w:val="00200962"/>
    <w:rsid w:val="00200CCE"/>
    <w:rsid w:val="00200D77"/>
    <w:rsid w:val="00200F17"/>
    <w:rsid w:val="00200F1D"/>
    <w:rsid w:val="00201079"/>
    <w:rsid w:val="002010D7"/>
    <w:rsid w:val="0020120B"/>
    <w:rsid w:val="00201211"/>
    <w:rsid w:val="00201380"/>
    <w:rsid w:val="00201528"/>
    <w:rsid w:val="00201767"/>
    <w:rsid w:val="00201AE1"/>
    <w:rsid w:val="00201E1E"/>
    <w:rsid w:val="002020EA"/>
    <w:rsid w:val="00202309"/>
    <w:rsid w:val="0020251E"/>
    <w:rsid w:val="0020261F"/>
    <w:rsid w:val="00202697"/>
    <w:rsid w:val="0020302C"/>
    <w:rsid w:val="0020328B"/>
    <w:rsid w:val="002033D4"/>
    <w:rsid w:val="0020341C"/>
    <w:rsid w:val="00203708"/>
    <w:rsid w:val="00203912"/>
    <w:rsid w:val="00203971"/>
    <w:rsid w:val="002039E4"/>
    <w:rsid w:val="00203B3F"/>
    <w:rsid w:val="00203C1B"/>
    <w:rsid w:val="00203D76"/>
    <w:rsid w:val="0020420D"/>
    <w:rsid w:val="0020447B"/>
    <w:rsid w:val="00204561"/>
    <w:rsid w:val="00204737"/>
    <w:rsid w:val="002047F1"/>
    <w:rsid w:val="00204A98"/>
    <w:rsid w:val="00204D20"/>
    <w:rsid w:val="00204D46"/>
    <w:rsid w:val="00204E00"/>
    <w:rsid w:val="002051A9"/>
    <w:rsid w:val="0020534D"/>
    <w:rsid w:val="002053AC"/>
    <w:rsid w:val="00205619"/>
    <w:rsid w:val="00205624"/>
    <w:rsid w:val="0020577B"/>
    <w:rsid w:val="002057A2"/>
    <w:rsid w:val="002058E7"/>
    <w:rsid w:val="002058F3"/>
    <w:rsid w:val="00205FE0"/>
    <w:rsid w:val="00206294"/>
    <w:rsid w:val="00206882"/>
    <w:rsid w:val="00206961"/>
    <w:rsid w:val="00206A8C"/>
    <w:rsid w:val="00206AB7"/>
    <w:rsid w:val="00206E36"/>
    <w:rsid w:val="00206EAE"/>
    <w:rsid w:val="0020708E"/>
    <w:rsid w:val="002070DA"/>
    <w:rsid w:val="002074FB"/>
    <w:rsid w:val="00207733"/>
    <w:rsid w:val="002077B6"/>
    <w:rsid w:val="0020782D"/>
    <w:rsid w:val="0020786F"/>
    <w:rsid w:val="00207957"/>
    <w:rsid w:val="00207982"/>
    <w:rsid w:val="002079D3"/>
    <w:rsid w:val="002079E9"/>
    <w:rsid w:val="00207E16"/>
    <w:rsid w:val="002100E2"/>
    <w:rsid w:val="002100E7"/>
    <w:rsid w:val="00210305"/>
    <w:rsid w:val="00210429"/>
    <w:rsid w:val="00210450"/>
    <w:rsid w:val="00210605"/>
    <w:rsid w:val="00210646"/>
    <w:rsid w:val="0021066B"/>
    <w:rsid w:val="002107E7"/>
    <w:rsid w:val="00210AB7"/>
    <w:rsid w:val="00210BF4"/>
    <w:rsid w:val="00210C82"/>
    <w:rsid w:val="00210D0A"/>
    <w:rsid w:val="00210D43"/>
    <w:rsid w:val="00210FEE"/>
    <w:rsid w:val="0021109C"/>
    <w:rsid w:val="002112A0"/>
    <w:rsid w:val="00211634"/>
    <w:rsid w:val="00211890"/>
    <w:rsid w:val="002118BD"/>
    <w:rsid w:val="00211959"/>
    <w:rsid w:val="002119B4"/>
    <w:rsid w:val="00211B7A"/>
    <w:rsid w:val="00211BE3"/>
    <w:rsid w:val="00211E8E"/>
    <w:rsid w:val="00211E99"/>
    <w:rsid w:val="0021232D"/>
    <w:rsid w:val="00212604"/>
    <w:rsid w:val="00212950"/>
    <w:rsid w:val="00212AA0"/>
    <w:rsid w:val="00212F23"/>
    <w:rsid w:val="002131AC"/>
    <w:rsid w:val="00213332"/>
    <w:rsid w:val="0021347B"/>
    <w:rsid w:val="0021370D"/>
    <w:rsid w:val="00213732"/>
    <w:rsid w:val="00213C31"/>
    <w:rsid w:val="00213C47"/>
    <w:rsid w:val="002141FB"/>
    <w:rsid w:val="002142A7"/>
    <w:rsid w:val="0021434F"/>
    <w:rsid w:val="00214615"/>
    <w:rsid w:val="00214694"/>
    <w:rsid w:val="002147A0"/>
    <w:rsid w:val="002149F3"/>
    <w:rsid w:val="00215107"/>
    <w:rsid w:val="002152BE"/>
    <w:rsid w:val="00215303"/>
    <w:rsid w:val="002154D1"/>
    <w:rsid w:val="00215879"/>
    <w:rsid w:val="00215AE3"/>
    <w:rsid w:val="00215B18"/>
    <w:rsid w:val="00215CEF"/>
    <w:rsid w:val="00215DA6"/>
    <w:rsid w:val="00216050"/>
    <w:rsid w:val="00216279"/>
    <w:rsid w:val="0021643E"/>
    <w:rsid w:val="002164B1"/>
    <w:rsid w:val="00216618"/>
    <w:rsid w:val="0021679A"/>
    <w:rsid w:val="00216DE7"/>
    <w:rsid w:val="00216F4A"/>
    <w:rsid w:val="00216FCB"/>
    <w:rsid w:val="0021710D"/>
    <w:rsid w:val="002171D5"/>
    <w:rsid w:val="00217296"/>
    <w:rsid w:val="002175B0"/>
    <w:rsid w:val="00217854"/>
    <w:rsid w:val="0021795E"/>
    <w:rsid w:val="00217A03"/>
    <w:rsid w:val="00217BBD"/>
    <w:rsid w:val="00217BEA"/>
    <w:rsid w:val="00217D4F"/>
    <w:rsid w:val="00217D7F"/>
    <w:rsid w:val="00217F00"/>
    <w:rsid w:val="002201C4"/>
    <w:rsid w:val="002201F7"/>
    <w:rsid w:val="0022035C"/>
    <w:rsid w:val="002204AA"/>
    <w:rsid w:val="002206E0"/>
    <w:rsid w:val="00220727"/>
    <w:rsid w:val="0022098A"/>
    <w:rsid w:val="00220A7E"/>
    <w:rsid w:val="00220BE4"/>
    <w:rsid w:val="00220CAB"/>
    <w:rsid w:val="00220EBC"/>
    <w:rsid w:val="00221462"/>
    <w:rsid w:val="002215D9"/>
    <w:rsid w:val="0022160C"/>
    <w:rsid w:val="00221734"/>
    <w:rsid w:val="002217DC"/>
    <w:rsid w:val="00221E3A"/>
    <w:rsid w:val="00221F7F"/>
    <w:rsid w:val="0022202D"/>
    <w:rsid w:val="0022214C"/>
    <w:rsid w:val="00222155"/>
    <w:rsid w:val="002222B5"/>
    <w:rsid w:val="002225D4"/>
    <w:rsid w:val="00222694"/>
    <w:rsid w:val="00222697"/>
    <w:rsid w:val="002226B4"/>
    <w:rsid w:val="002229A1"/>
    <w:rsid w:val="002229E2"/>
    <w:rsid w:val="00222A13"/>
    <w:rsid w:val="00222C29"/>
    <w:rsid w:val="00222E37"/>
    <w:rsid w:val="00222F80"/>
    <w:rsid w:val="00223156"/>
    <w:rsid w:val="0022318F"/>
    <w:rsid w:val="0022321F"/>
    <w:rsid w:val="00223283"/>
    <w:rsid w:val="002232F6"/>
    <w:rsid w:val="0022356B"/>
    <w:rsid w:val="002236AF"/>
    <w:rsid w:val="002239A3"/>
    <w:rsid w:val="00223A4C"/>
    <w:rsid w:val="00223B7D"/>
    <w:rsid w:val="00223BF9"/>
    <w:rsid w:val="00223C18"/>
    <w:rsid w:val="00223CDF"/>
    <w:rsid w:val="00223D62"/>
    <w:rsid w:val="00224017"/>
    <w:rsid w:val="00224058"/>
    <w:rsid w:val="00224094"/>
    <w:rsid w:val="00224292"/>
    <w:rsid w:val="00224351"/>
    <w:rsid w:val="00224417"/>
    <w:rsid w:val="0022449F"/>
    <w:rsid w:val="0022455B"/>
    <w:rsid w:val="00224581"/>
    <w:rsid w:val="00224864"/>
    <w:rsid w:val="002249C8"/>
    <w:rsid w:val="00224A78"/>
    <w:rsid w:val="00224CAF"/>
    <w:rsid w:val="00224ED1"/>
    <w:rsid w:val="002254D8"/>
    <w:rsid w:val="00225506"/>
    <w:rsid w:val="00225BFA"/>
    <w:rsid w:val="00225DA1"/>
    <w:rsid w:val="00225ECE"/>
    <w:rsid w:val="00225ED7"/>
    <w:rsid w:val="002263DE"/>
    <w:rsid w:val="002264C6"/>
    <w:rsid w:val="002269BB"/>
    <w:rsid w:val="00226A9E"/>
    <w:rsid w:val="00226CF7"/>
    <w:rsid w:val="00226D6A"/>
    <w:rsid w:val="00226E86"/>
    <w:rsid w:val="00226F4A"/>
    <w:rsid w:val="00227012"/>
    <w:rsid w:val="00227032"/>
    <w:rsid w:val="0022716A"/>
    <w:rsid w:val="002271E5"/>
    <w:rsid w:val="0022722F"/>
    <w:rsid w:val="00227490"/>
    <w:rsid w:val="00227628"/>
    <w:rsid w:val="00227BCC"/>
    <w:rsid w:val="00227C85"/>
    <w:rsid w:val="00227DED"/>
    <w:rsid w:val="00227E9C"/>
    <w:rsid w:val="002300F6"/>
    <w:rsid w:val="0023052D"/>
    <w:rsid w:val="0023062D"/>
    <w:rsid w:val="00230799"/>
    <w:rsid w:val="0023081F"/>
    <w:rsid w:val="00230BBD"/>
    <w:rsid w:val="00230CCE"/>
    <w:rsid w:val="00230D86"/>
    <w:rsid w:val="00230DA3"/>
    <w:rsid w:val="00230E49"/>
    <w:rsid w:val="00230EE2"/>
    <w:rsid w:val="00230F5F"/>
    <w:rsid w:val="0023105C"/>
    <w:rsid w:val="0023109C"/>
    <w:rsid w:val="00231280"/>
    <w:rsid w:val="002312F9"/>
    <w:rsid w:val="0023155B"/>
    <w:rsid w:val="002316F4"/>
    <w:rsid w:val="0023171E"/>
    <w:rsid w:val="00231789"/>
    <w:rsid w:val="00231996"/>
    <w:rsid w:val="002319C5"/>
    <w:rsid w:val="00231D2A"/>
    <w:rsid w:val="002321CF"/>
    <w:rsid w:val="00232215"/>
    <w:rsid w:val="0023251B"/>
    <w:rsid w:val="0023278A"/>
    <w:rsid w:val="002328AE"/>
    <w:rsid w:val="0023295F"/>
    <w:rsid w:val="002329A8"/>
    <w:rsid w:val="002329F0"/>
    <w:rsid w:val="00232E9F"/>
    <w:rsid w:val="002331DC"/>
    <w:rsid w:val="002332E4"/>
    <w:rsid w:val="0023344C"/>
    <w:rsid w:val="002335E8"/>
    <w:rsid w:val="002336FB"/>
    <w:rsid w:val="00233868"/>
    <w:rsid w:val="002339C3"/>
    <w:rsid w:val="00233D27"/>
    <w:rsid w:val="0023401F"/>
    <w:rsid w:val="00234204"/>
    <w:rsid w:val="0023421E"/>
    <w:rsid w:val="002342E7"/>
    <w:rsid w:val="00234756"/>
    <w:rsid w:val="002347FE"/>
    <w:rsid w:val="00234873"/>
    <w:rsid w:val="00234978"/>
    <w:rsid w:val="002349A0"/>
    <w:rsid w:val="002349B7"/>
    <w:rsid w:val="002349C8"/>
    <w:rsid w:val="00234CE5"/>
    <w:rsid w:val="0023509E"/>
    <w:rsid w:val="002352EC"/>
    <w:rsid w:val="00235315"/>
    <w:rsid w:val="002359D4"/>
    <w:rsid w:val="002359EB"/>
    <w:rsid w:val="00235EBC"/>
    <w:rsid w:val="00235FA4"/>
    <w:rsid w:val="00235FC8"/>
    <w:rsid w:val="00236071"/>
    <w:rsid w:val="0023643B"/>
    <w:rsid w:val="0023678B"/>
    <w:rsid w:val="002369A8"/>
    <w:rsid w:val="00236C3C"/>
    <w:rsid w:val="00236C59"/>
    <w:rsid w:val="00236D3E"/>
    <w:rsid w:val="00236DA5"/>
    <w:rsid w:val="00236FAE"/>
    <w:rsid w:val="00237023"/>
    <w:rsid w:val="002371C0"/>
    <w:rsid w:val="00237734"/>
    <w:rsid w:val="00237815"/>
    <w:rsid w:val="00237A70"/>
    <w:rsid w:val="00237B62"/>
    <w:rsid w:val="00237BC7"/>
    <w:rsid w:val="00237C9E"/>
    <w:rsid w:val="002400C6"/>
    <w:rsid w:val="00240489"/>
    <w:rsid w:val="0024066B"/>
    <w:rsid w:val="002407AA"/>
    <w:rsid w:val="002407C6"/>
    <w:rsid w:val="00240838"/>
    <w:rsid w:val="002409E9"/>
    <w:rsid w:val="00240A53"/>
    <w:rsid w:val="00240ACB"/>
    <w:rsid w:val="00241027"/>
    <w:rsid w:val="002411BC"/>
    <w:rsid w:val="00241238"/>
    <w:rsid w:val="0024167B"/>
    <w:rsid w:val="00241889"/>
    <w:rsid w:val="00241A3C"/>
    <w:rsid w:val="00241B6D"/>
    <w:rsid w:val="00241CBA"/>
    <w:rsid w:val="00241E15"/>
    <w:rsid w:val="00242097"/>
    <w:rsid w:val="00242144"/>
    <w:rsid w:val="00242261"/>
    <w:rsid w:val="0024232E"/>
    <w:rsid w:val="002424F3"/>
    <w:rsid w:val="002424F9"/>
    <w:rsid w:val="00242629"/>
    <w:rsid w:val="00242694"/>
    <w:rsid w:val="00242A63"/>
    <w:rsid w:val="00242B32"/>
    <w:rsid w:val="00242C0A"/>
    <w:rsid w:val="00242C1A"/>
    <w:rsid w:val="00242C6F"/>
    <w:rsid w:val="00242E29"/>
    <w:rsid w:val="00242F99"/>
    <w:rsid w:val="0024332B"/>
    <w:rsid w:val="002434A0"/>
    <w:rsid w:val="002436DC"/>
    <w:rsid w:val="002437C5"/>
    <w:rsid w:val="00243883"/>
    <w:rsid w:val="002439E1"/>
    <w:rsid w:val="00243A2B"/>
    <w:rsid w:val="00243BE8"/>
    <w:rsid w:val="00243ED3"/>
    <w:rsid w:val="00243FAD"/>
    <w:rsid w:val="00244127"/>
    <w:rsid w:val="00244208"/>
    <w:rsid w:val="002442DD"/>
    <w:rsid w:val="00244421"/>
    <w:rsid w:val="00244568"/>
    <w:rsid w:val="0024493F"/>
    <w:rsid w:val="00244A89"/>
    <w:rsid w:val="00244AF1"/>
    <w:rsid w:val="00244CCC"/>
    <w:rsid w:val="00244D0E"/>
    <w:rsid w:val="00244E32"/>
    <w:rsid w:val="00244E3E"/>
    <w:rsid w:val="002450B1"/>
    <w:rsid w:val="00245253"/>
    <w:rsid w:val="002452B6"/>
    <w:rsid w:val="00245381"/>
    <w:rsid w:val="002454A2"/>
    <w:rsid w:val="002455D8"/>
    <w:rsid w:val="00245D83"/>
    <w:rsid w:val="00245DEA"/>
    <w:rsid w:val="00246023"/>
    <w:rsid w:val="00246119"/>
    <w:rsid w:val="00246231"/>
    <w:rsid w:val="00246421"/>
    <w:rsid w:val="002466FA"/>
    <w:rsid w:val="002468A7"/>
    <w:rsid w:val="002468F3"/>
    <w:rsid w:val="0024691D"/>
    <w:rsid w:val="0024694F"/>
    <w:rsid w:val="00246B2E"/>
    <w:rsid w:val="00246BB5"/>
    <w:rsid w:val="00246C14"/>
    <w:rsid w:val="00246F4A"/>
    <w:rsid w:val="00246F5D"/>
    <w:rsid w:val="0024702E"/>
    <w:rsid w:val="002474CB"/>
    <w:rsid w:val="002474FE"/>
    <w:rsid w:val="0024750E"/>
    <w:rsid w:val="00247589"/>
    <w:rsid w:val="002475C6"/>
    <w:rsid w:val="002475EF"/>
    <w:rsid w:val="0024773B"/>
    <w:rsid w:val="00247AC5"/>
    <w:rsid w:val="00247B50"/>
    <w:rsid w:val="00247C21"/>
    <w:rsid w:val="00247C72"/>
    <w:rsid w:val="0025008B"/>
    <w:rsid w:val="002503D7"/>
    <w:rsid w:val="002504A7"/>
    <w:rsid w:val="002504B9"/>
    <w:rsid w:val="00250751"/>
    <w:rsid w:val="00250A29"/>
    <w:rsid w:val="00250CC0"/>
    <w:rsid w:val="00250D12"/>
    <w:rsid w:val="00250EF8"/>
    <w:rsid w:val="00251199"/>
    <w:rsid w:val="002511D1"/>
    <w:rsid w:val="002512DF"/>
    <w:rsid w:val="00251355"/>
    <w:rsid w:val="002513B9"/>
    <w:rsid w:val="002513C1"/>
    <w:rsid w:val="002513C7"/>
    <w:rsid w:val="002514B2"/>
    <w:rsid w:val="0025167B"/>
    <w:rsid w:val="002516CF"/>
    <w:rsid w:val="0025181B"/>
    <w:rsid w:val="00251883"/>
    <w:rsid w:val="002519A2"/>
    <w:rsid w:val="00251C63"/>
    <w:rsid w:val="002520C9"/>
    <w:rsid w:val="00252148"/>
    <w:rsid w:val="002521C9"/>
    <w:rsid w:val="002521D6"/>
    <w:rsid w:val="00252493"/>
    <w:rsid w:val="002524ED"/>
    <w:rsid w:val="002524EE"/>
    <w:rsid w:val="002526FD"/>
    <w:rsid w:val="002528D4"/>
    <w:rsid w:val="00252943"/>
    <w:rsid w:val="00252B77"/>
    <w:rsid w:val="00252C75"/>
    <w:rsid w:val="00252CEA"/>
    <w:rsid w:val="00252D57"/>
    <w:rsid w:val="002535AD"/>
    <w:rsid w:val="002535DD"/>
    <w:rsid w:val="00253794"/>
    <w:rsid w:val="00253912"/>
    <w:rsid w:val="00253931"/>
    <w:rsid w:val="002539EB"/>
    <w:rsid w:val="00253C24"/>
    <w:rsid w:val="00253F9E"/>
    <w:rsid w:val="00254148"/>
    <w:rsid w:val="00254163"/>
    <w:rsid w:val="002541ED"/>
    <w:rsid w:val="00254233"/>
    <w:rsid w:val="00254407"/>
    <w:rsid w:val="002544B5"/>
    <w:rsid w:val="00254501"/>
    <w:rsid w:val="00254716"/>
    <w:rsid w:val="0025475C"/>
    <w:rsid w:val="00254942"/>
    <w:rsid w:val="00254997"/>
    <w:rsid w:val="00254B68"/>
    <w:rsid w:val="00254BF5"/>
    <w:rsid w:val="00254E09"/>
    <w:rsid w:val="00254E9E"/>
    <w:rsid w:val="00254FF5"/>
    <w:rsid w:val="0025508E"/>
    <w:rsid w:val="002551CF"/>
    <w:rsid w:val="002552AE"/>
    <w:rsid w:val="002553DE"/>
    <w:rsid w:val="0025556E"/>
    <w:rsid w:val="0025595F"/>
    <w:rsid w:val="00255973"/>
    <w:rsid w:val="00255C96"/>
    <w:rsid w:val="00255CBD"/>
    <w:rsid w:val="00255F62"/>
    <w:rsid w:val="0025630A"/>
    <w:rsid w:val="00256448"/>
    <w:rsid w:val="00256485"/>
    <w:rsid w:val="002564B2"/>
    <w:rsid w:val="002566DC"/>
    <w:rsid w:val="0025679E"/>
    <w:rsid w:val="002569D6"/>
    <w:rsid w:val="00256BBE"/>
    <w:rsid w:val="00256CCC"/>
    <w:rsid w:val="00256F12"/>
    <w:rsid w:val="00256F6C"/>
    <w:rsid w:val="0025713F"/>
    <w:rsid w:val="00257183"/>
    <w:rsid w:val="00257261"/>
    <w:rsid w:val="00257275"/>
    <w:rsid w:val="002572F4"/>
    <w:rsid w:val="0025731B"/>
    <w:rsid w:val="00257587"/>
    <w:rsid w:val="002576BB"/>
    <w:rsid w:val="002577B5"/>
    <w:rsid w:val="002579BA"/>
    <w:rsid w:val="00257E00"/>
    <w:rsid w:val="00260277"/>
    <w:rsid w:val="0026038D"/>
    <w:rsid w:val="002604FB"/>
    <w:rsid w:val="0026058E"/>
    <w:rsid w:val="00260778"/>
    <w:rsid w:val="00260CD9"/>
    <w:rsid w:val="00260FF2"/>
    <w:rsid w:val="00261142"/>
    <w:rsid w:val="002613BA"/>
    <w:rsid w:val="0026166B"/>
    <w:rsid w:val="002616A2"/>
    <w:rsid w:val="0026187B"/>
    <w:rsid w:val="0026194E"/>
    <w:rsid w:val="00261ABC"/>
    <w:rsid w:val="0026228C"/>
    <w:rsid w:val="00262648"/>
    <w:rsid w:val="00262707"/>
    <w:rsid w:val="00262716"/>
    <w:rsid w:val="00262850"/>
    <w:rsid w:val="00262B30"/>
    <w:rsid w:val="00262B41"/>
    <w:rsid w:val="00262B55"/>
    <w:rsid w:val="00262BC8"/>
    <w:rsid w:val="00262E94"/>
    <w:rsid w:val="00262FC0"/>
    <w:rsid w:val="0026303C"/>
    <w:rsid w:val="0026307B"/>
    <w:rsid w:val="0026320C"/>
    <w:rsid w:val="0026328E"/>
    <w:rsid w:val="002634A1"/>
    <w:rsid w:val="002634ED"/>
    <w:rsid w:val="0026365D"/>
    <w:rsid w:val="002636B0"/>
    <w:rsid w:val="0026377D"/>
    <w:rsid w:val="002638AC"/>
    <w:rsid w:val="00263973"/>
    <w:rsid w:val="00263A98"/>
    <w:rsid w:val="00263CB4"/>
    <w:rsid w:val="00263CCA"/>
    <w:rsid w:val="00263DFB"/>
    <w:rsid w:val="00263EB4"/>
    <w:rsid w:val="00264241"/>
    <w:rsid w:val="00264392"/>
    <w:rsid w:val="0026446F"/>
    <w:rsid w:val="00264573"/>
    <w:rsid w:val="00264700"/>
    <w:rsid w:val="0026471F"/>
    <w:rsid w:val="00264991"/>
    <w:rsid w:val="00264ADE"/>
    <w:rsid w:val="00264AEC"/>
    <w:rsid w:val="00264B6C"/>
    <w:rsid w:val="00264B9E"/>
    <w:rsid w:val="00264DC0"/>
    <w:rsid w:val="00264EB7"/>
    <w:rsid w:val="00264FD5"/>
    <w:rsid w:val="00265156"/>
    <w:rsid w:val="002652A4"/>
    <w:rsid w:val="0026542B"/>
    <w:rsid w:val="00265483"/>
    <w:rsid w:val="00265490"/>
    <w:rsid w:val="002654D1"/>
    <w:rsid w:val="002654E2"/>
    <w:rsid w:val="0026610B"/>
    <w:rsid w:val="002663F1"/>
    <w:rsid w:val="0026661D"/>
    <w:rsid w:val="0026681F"/>
    <w:rsid w:val="00266835"/>
    <w:rsid w:val="00266948"/>
    <w:rsid w:val="00266A7C"/>
    <w:rsid w:val="00266AA6"/>
    <w:rsid w:val="00266B0F"/>
    <w:rsid w:val="00266F45"/>
    <w:rsid w:val="00266F7C"/>
    <w:rsid w:val="002671C8"/>
    <w:rsid w:val="002671F6"/>
    <w:rsid w:val="002672A0"/>
    <w:rsid w:val="0026742A"/>
    <w:rsid w:val="0026747F"/>
    <w:rsid w:val="002678D2"/>
    <w:rsid w:val="00267AE2"/>
    <w:rsid w:val="00267B62"/>
    <w:rsid w:val="00267B8C"/>
    <w:rsid w:val="00267F9C"/>
    <w:rsid w:val="0027032D"/>
    <w:rsid w:val="0027055D"/>
    <w:rsid w:val="00270611"/>
    <w:rsid w:val="002707F4"/>
    <w:rsid w:val="00270A2B"/>
    <w:rsid w:val="00270C1B"/>
    <w:rsid w:val="00270EC9"/>
    <w:rsid w:val="0027111F"/>
    <w:rsid w:val="0027113E"/>
    <w:rsid w:val="002711D6"/>
    <w:rsid w:val="002712E7"/>
    <w:rsid w:val="00271309"/>
    <w:rsid w:val="00271396"/>
    <w:rsid w:val="002715EA"/>
    <w:rsid w:val="00271633"/>
    <w:rsid w:val="0027176A"/>
    <w:rsid w:val="002718A6"/>
    <w:rsid w:val="00271AAC"/>
    <w:rsid w:val="00271C4C"/>
    <w:rsid w:val="00271C52"/>
    <w:rsid w:val="00271C55"/>
    <w:rsid w:val="00271D0A"/>
    <w:rsid w:val="00271DC2"/>
    <w:rsid w:val="00271FC1"/>
    <w:rsid w:val="00271FE7"/>
    <w:rsid w:val="0027201A"/>
    <w:rsid w:val="002720EE"/>
    <w:rsid w:val="00272340"/>
    <w:rsid w:val="002726C6"/>
    <w:rsid w:val="00272C1C"/>
    <w:rsid w:val="00272EE9"/>
    <w:rsid w:val="0027301F"/>
    <w:rsid w:val="00273145"/>
    <w:rsid w:val="0027319E"/>
    <w:rsid w:val="002731DC"/>
    <w:rsid w:val="00273298"/>
    <w:rsid w:val="00273388"/>
    <w:rsid w:val="002734EA"/>
    <w:rsid w:val="002735D5"/>
    <w:rsid w:val="00273671"/>
    <w:rsid w:val="00273731"/>
    <w:rsid w:val="0027380E"/>
    <w:rsid w:val="00273884"/>
    <w:rsid w:val="00273951"/>
    <w:rsid w:val="002739F0"/>
    <w:rsid w:val="00273AE7"/>
    <w:rsid w:val="00273C89"/>
    <w:rsid w:val="00273D76"/>
    <w:rsid w:val="00273D7F"/>
    <w:rsid w:val="00273D98"/>
    <w:rsid w:val="00273EAE"/>
    <w:rsid w:val="00273F25"/>
    <w:rsid w:val="00273F34"/>
    <w:rsid w:val="002740F1"/>
    <w:rsid w:val="00274109"/>
    <w:rsid w:val="002741CC"/>
    <w:rsid w:val="002741F8"/>
    <w:rsid w:val="00274394"/>
    <w:rsid w:val="00274465"/>
    <w:rsid w:val="00274570"/>
    <w:rsid w:val="002745E0"/>
    <w:rsid w:val="0027496B"/>
    <w:rsid w:val="00274988"/>
    <w:rsid w:val="00274ABF"/>
    <w:rsid w:val="00274D83"/>
    <w:rsid w:val="00274DFD"/>
    <w:rsid w:val="00274E7E"/>
    <w:rsid w:val="00274F0F"/>
    <w:rsid w:val="00275102"/>
    <w:rsid w:val="00275225"/>
    <w:rsid w:val="0027522E"/>
    <w:rsid w:val="00275863"/>
    <w:rsid w:val="00275A54"/>
    <w:rsid w:val="00275D6D"/>
    <w:rsid w:val="00275E57"/>
    <w:rsid w:val="00276040"/>
    <w:rsid w:val="002765E9"/>
    <w:rsid w:val="00276797"/>
    <w:rsid w:val="002767E0"/>
    <w:rsid w:val="002768E2"/>
    <w:rsid w:val="00276A93"/>
    <w:rsid w:val="00276B6D"/>
    <w:rsid w:val="00276C46"/>
    <w:rsid w:val="00276C82"/>
    <w:rsid w:val="00276E01"/>
    <w:rsid w:val="002770FF"/>
    <w:rsid w:val="00277172"/>
    <w:rsid w:val="00277216"/>
    <w:rsid w:val="0027791C"/>
    <w:rsid w:val="0027798B"/>
    <w:rsid w:val="002779B5"/>
    <w:rsid w:val="00277AF3"/>
    <w:rsid w:val="00277AF9"/>
    <w:rsid w:val="00277B21"/>
    <w:rsid w:val="00277E2A"/>
    <w:rsid w:val="002802D5"/>
    <w:rsid w:val="002804C3"/>
    <w:rsid w:val="002805A6"/>
    <w:rsid w:val="00280DD3"/>
    <w:rsid w:val="00280FC2"/>
    <w:rsid w:val="00281633"/>
    <w:rsid w:val="0028181B"/>
    <w:rsid w:val="00281A0E"/>
    <w:rsid w:val="00281CC9"/>
    <w:rsid w:val="00281DF3"/>
    <w:rsid w:val="00281E35"/>
    <w:rsid w:val="00281EA6"/>
    <w:rsid w:val="00281F27"/>
    <w:rsid w:val="00281F8A"/>
    <w:rsid w:val="00281F9C"/>
    <w:rsid w:val="00281FE0"/>
    <w:rsid w:val="002820B3"/>
    <w:rsid w:val="002821CC"/>
    <w:rsid w:val="0028221D"/>
    <w:rsid w:val="002823AF"/>
    <w:rsid w:val="00282696"/>
    <w:rsid w:val="002826E8"/>
    <w:rsid w:val="002829FB"/>
    <w:rsid w:val="00282AE2"/>
    <w:rsid w:val="00282C87"/>
    <w:rsid w:val="00282D65"/>
    <w:rsid w:val="00282D9A"/>
    <w:rsid w:val="00282EC8"/>
    <w:rsid w:val="00283529"/>
    <w:rsid w:val="0028353D"/>
    <w:rsid w:val="00283723"/>
    <w:rsid w:val="002837D5"/>
    <w:rsid w:val="00283B48"/>
    <w:rsid w:val="00283B68"/>
    <w:rsid w:val="00283DBA"/>
    <w:rsid w:val="002841B1"/>
    <w:rsid w:val="002842E9"/>
    <w:rsid w:val="002843BF"/>
    <w:rsid w:val="002844E7"/>
    <w:rsid w:val="00284541"/>
    <w:rsid w:val="00284653"/>
    <w:rsid w:val="002848BE"/>
    <w:rsid w:val="00284C0F"/>
    <w:rsid w:val="00284C22"/>
    <w:rsid w:val="00284DFF"/>
    <w:rsid w:val="00284F15"/>
    <w:rsid w:val="00284F25"/>
    <w:rsid w:val="00285307"/>
    <w:rsid w:val="002855D1"/>
    <w:rsid w:val="00285636"/>
    <w:rsid w:val="0028570E"/>
    <w:rsid w:val="002858BF"/>
    <w:rsid w:val="002859AD"/>
    <w:rsid w:val="002859D5"/>
    <w:rsid w:val="00285A2F"/>
    <w:rsid w:val="00285A53"/>
    <w:rsid w:val="00285BC5"/>
    <w:rsid w:val="00285D09"/>
    <w:rsid w:val="00285D17"/>
    <w:rsid w:val="00285E78"/>
    <w:rsid w:val="00285F52"/>
    <w:rsid w:val="002866AD"/>
    <w:rsid w:val="00286767"/>
    <w:rsid w:val="0028686E"/>
    <w:rsid w:val="002868E6"/>
    <w:rsid w:val="00286B95"/>
    <w:rsid w:val="00286DB6"/>
    <w:rsid w:val="00286DD5"/>
    <w:rsid w:val="00286F0A"/>
    <w:rsid w:val="0028703C"/>
    <w:rsid w:val="00287229"/>
    <w:rsid w:val="002874FE"/>
    <w:rsid w:val="00287708"/>
    <w:rsid w:val="00287841"/>
    <w:rsid w:val="00287A84"/>
    <w:rsid w:val="00287B6D"/>
    <w:rsid w:val="00287ED7"/>
    <w:rsid w:val="00290139"/>
    <w:rsid w:val="002901BD"/>
    <w:rsid w:val="00290237"/>
    <w:rsid w:val="00290414"/>
    <w:rsid w:val="00290531"/>
    <w:rsid w:val="00290572"/>
    <w:rsid w:val="00290813"/>
    <w:rsid w:val="00290889"/>
    <w:rsid w:val="00290B08"/>
    <w:rsid w:val="00290DAD"/>
    <w:rsid w:val="00290DCE"/>
    <w:rsid w:val="00291058"/>
    <w:rsid w:val="00291272"/>
    <w:rsid w:val="002915AD"/>
    <w:rsid w:val="00291755"/>
    <w:rsid w:val="00291781"/>
    <w:rsid w:val="00291B38"/>
    <w:rsid w:val="00291C14"/>
    <w:rsid w:val="00291C6F"/>
    <w:rsid w:val="00291DAF"/>
    <w:rsid w:val="00291E40"/>
    <w:rsid w:val="00291EC5"/>
    <w:rsid w:val="0029201D"/>
    <w:rsid w:val="002923ED"/>
    <w:rsid w:val="002923FE"/>
    <w:rsid w:val="00292491"/>
    <w:rsid w:val="002925A7"/>
    <w:rsid w:val="00292803"/>
    <w:rsid w:val="00292855"/>
    <w:rsid w:val="0029286A"/>
    <w:rsid w:val="0029297C"/>
    <w:rsid w:val="00292A5D"/>
    <w:rsid w:val="00292D6B"/>
    <w:rsid w:val="00292DFC"/>
    <w:rsid w:val="00292F1A"/>
    <w:rsid w:val="00292FD2"/>
    <w:rsid w:val="0029308B"/>
    <w:rsid w:val="0029322C"/>
    <w:rsid w:val="00293299"/>
    <w:rsid w:val="002933E7"/>
    <w:rsid w:val="00293600"/>
    <w:rsid w:val="00293969"/>
    <w:rsid w:val="00293B1F"/>
    <w:rsid w:val="00293BF1"/>
    <w:rsid w:val="00293C3D"/>
    <w:rsid w:val="00293D5E"/>
    <w:rsid w:val="00293DFE"/>
    <w:rsid w:val="00294991"/>
    <w:rsid w:val="00294C0E"/>
    <w:rsid w:val="00294E67"/>
    <w:rsid w:val="00294E93"/>
    <w:rsid w:val="00294EC6"/>
    <w:rsid w:val="00294FCF"/>
    <w:rsid w:val="0029516B"/>
    <w:rsid w:val="0029533D"/>
    <w:rsid w:val="00295728"/>
    <w:rsid w:val="00295795"/>
    <w:rsid w:val="00295877"/>
    <w:rsid w:val="00295A78"/>
    <w:rsid w:val="00295B3A"/>
    <w:rsid w:val="00295BB5"/>
    <w:rsid w:val="00295E75"/>
    <w:rsid w:val="00295EDD"/>
    <w:rsid w:val="00296144"/>
    <w:rsid w:val="00296193"/>
    <w:rsid w:val="0029672F"/>
    <w:rsid w:val="00296748"/>
    <w:rsid w:val="002968FE"/>
    <w:rsid w:val="00296C38"/>
    <w:rsid w:val="00296D33"/>
    <w:rsid w:val="00296E9C"/>
    <w:rsid w:val="00296FF7"/>
    <w:rsid w:val="0029711F"/>
    <w:rsid w:val="002971D7"/>
    <w:rsid w:val="0029735B"/>
    <w:rsid w:val="002974AC"/>
    <w:rsid w:val="0029794D"/>
    <w:rsid w:val="0029798C"/>
    <w:rsid w:val="00297A85"/>
    <w:rsid w:val="00297AB3"/>
    <w:rsid w:val="00297AB5"/>
    <w:rsid w:val="00297AE5"/>
    <w:rsid w:val="00297F82"/>
    <w:rsid w:val="002A0377"/>
    <w:rsid w:val="002A03B5"/>
    <w:rsid w:val="002A03EE"/>
    <w:rsid w:val="002A059E"/>
    <w:rsid w:val="002A060F"/>
    <w:rsid w:val="002A0A1D"/>
    <w:rsid w:val="002A0ADC"/>
    <w:rsid w:val="002A0E57"/>
    <w:rsid w:val="002A0EC9"/>
    <w:rsid w:val="002A0FFA"/>
    <w:rsid w:val="002A1033"/>
    <w:rsid w:val="002A10B1"/>
    <w:rsid w:val="002A11F0"/>
    <w:rsid w:val="002A16EA"/>
    <w:rsid w:val="002A1A8B"/>
    <w:rsid w:val="002A1D23"/>
    <w:rsid w:val="002A1DFF"/>
    <w:rsid w:val="002A2592"/>
    <w:rsid w:val="002A27EF"/>
    <w:rsid w:val="002A295E"/>
    <w:rsid w:val="002A2A5F"/>
    <w:rsid w:val="002A2AAD"/>
    <w:rsid w:val="002A2E07"/>
    <w:rsid w:val="002A2E68"/>
    <w:rsid w:val="002A305E"/>
    <w:rsid w:val="002A3107"/>
    <w:rsid w:val="002A325D"/>
    <w:rsid w:val="002A325E"/>
    <w:rsid w:val="002A36F6"/>
    <w:rsid w:val="002A3A77"/>
    <w:rsid w:val="002A3AD7"/>
    <w:rsid w:val="002A3C41"/>
    <w:rsid w:val="002A3D4B"/>
    <w:rsid w:val="002A3F4E"/>
    <w:rsid w:val="002A4102"/>
    <w:rsid w:val="002A427B"/>
    <w:rsid w:val="002A46BF"/>
    <w:rsid w:val="002A4C21"/>
    <w:rsid w:val="002A4C46"/>
    <w:rsid w:val="002A53F7"/>
    <w:rsid w:val="002A5591"/>
    <w:rsid w:val="002A57D1"/>
    <w:rsid w:val="002A590E"/>
    <w:rsid w:val="002A5947"/>
    <w:rsid w:val="002A59A5"/>
    <w:rsid w:val="002A5DF1"/>
    <w:rsid w:val="002A61FC"/>
    <w:rsid w:val="002A66E0"/>
    <w:rsid w:val="002A6866"/>
    <w:rsid w:val="002A69DE"/>
    <w:rsid w:val="002A6B48"/>
    <w:rsid w:val="002A6F53"/>
    <w:rsid w:val="002A6F9A"/>
    <w:rsid w:val="002A71CB"/>
    <w:rsid w:val="002A735B"/>
    <w:rsid w:val="002A7B0A"/>
    <w:rsid w:val="002A7D28"/>
    <w:rsid w:val="002A7F6D"/>
    <w:rsid w:val="002B0031"/>
    <w:rsid w:val="002B01DC"/>
    <w:rsid w:val="002B01ED"/>
    <w:rsid w:val="002B0406"/>
    <w:rsid w:val="002B0437"/>
    <w:rsid w:val="002B0501"/>
    <w:rsid w:val="002B0511"/>
    <w:rsid w:val="002B0582"/>
    <w:rsid w:val="002B0592"/>
    <w:rsid w:val="002B067F"/>
    <w:rsid w:val="002B07F3"/>
    <w:rsid w:val="002B0808"/>
    <w:rsid w:val="002B0995"/>
    <w:rsid w:val="002B0ADA"/>
    <w:rsid w:val="002B0BE8"/>
    <w:rsid w:val="002B0E44"/>
    <w:rsid w:val="002B0E84"/>
    <w:rsid w:val="002B0F7D"/>
    <w:rsid w:val="002B1027"/>
    <w:rsid w:val="002B14B7"/>
    <w:rsid w:val="002B1553"/>
    <w:rsid w:val="002B174B"/>
    <w:rsid w:val="002B1974"/>
    <w:rsid w:val="002B19B6"/>
    <w:rsid w:val="002B1A0F"/>
    <w:rsid w:val="002B1C3C"/>
    <w:rsid w:val="002B1C46"/>
    <w:rsid w:val="002B1DBA"/>
    <w:rsid w:val="002B20E0"/>
    <w:rsid w:val="002B21A7"/>
    <w:rsid w:val="002B2314"/>
    <w:rsid w:val="002B262E"/>
    <w:rsid w:val="002B2978"/>
    <w:rsid w:val="002B2A45"/>
    <w:rsid w:val="002B2D9B"/>
    <w:rsid w:val="002B31FD"/>
    <w:rsid w:val="002B3525"/>
    <w:rsid w:val="002B3590"/>
    <w:rsid w:val="002B361F"/>
    <w:rsid w:val="002B37A6"/>
    <w:rsid w:val="002B3897"/>
    <w:rsid w:val="002B3975"/>
    <w:rsid w:val="002B3AA3"/>
    <w:rsid w:val="002B3B46"/>
    <w:rsid w:val="002B3BF2"/>
    <w:rsid w:val="002B3BFA"/>
    <w:rsid w:val="002B3DE7"/>
    <w:rsid w:val="002B3FD7"/>
    <w:rsid w:val="002B4297"/>
    <w:rsid w:val="002B45A1"/>
    <w:rsid w:val="002B45DF"/>
    <w:rsid w:val="002B4940"/>
    <w:rsid w:val="002B4946"/>
    <w:rsid w:val="002B4B0F"/>
    <w:rsid w:val="002B4F41"/>
    <w:rsid w:val="002B50EB"/>
    <w:rsid w:val="002B5284"/>
    <w:rsid w:val="002B550A"/>
    <w:rsid w:val="002B55C0"/>
    <w:rsid w:val="002B55F2"/>
    <w:rsid w:val="002B5754"/>
    <w:rsid w:val="002B58F7"/>
    <w:rsid w:val="002B5A48"/>
    <w:rsid w:val="002B5BAB"/>
    <w:rsid w:val="002B5BBA"/>
    <w:rsid w:val="002B5C40"/>
    <w:rsid w:val="002B612B"/>
    <w:rsid w:val="002B6561"/>
    <w:rsid w:val="002B661C"/>
    <w:rsid w:val="002B6680"/>
    <w:rsid w:val="002B671E"/>
    <w:rsid w:val="002B6834"/>
    <w:rsid w:val="002B685F"/>
    <w:rsid w:val="002B69F8"/>
    <w:rsid w:val="002B6AFF"/>
    <w:rsid w:val="002B6C07"/>
    <w:rsid w:val="002B6CFF"/>
    <w:rsid w:val="002B6D1D"/>
    <w:rsid w:val="002B6DC9"/>
    <w:rsid w:val="002B6F25"/>
    <w:rsid w:val="002B7129"/>
    <w:rsid w:val="002B71D2"/>
    <w:rsid w:val="002B71EA"/>
    <w:rsid w:val="002B72E2"/>
    <w:rsid w:val="002B734D"/>
    <w:rsid w:val="002B75BE"/>
    <w:rsid w:val="002B76DD"/>
    <w:rsid w:val="002B76F6"/>
    <w:rsid w:val="002B7775"/>
    <w:rsid w:val="002B799E"/>
    <w:rsid w:val="002B7ABA"/>
    <w:rsid w:val="002B7B23"/>
    <w:rsid w:val="002C0003"/>
    <w:rsid w:val="002C00D3"/>
    <w:rsid w:val="002C0188"/>
    <w:rsid w:val="002C025F"/>
    <w:rsid w:val="002C03D0"/>
    <w:rsid w:val="002C0598"/>
    <w:rsid w:val="002C06B8"/>
    <w:rsid w:val="002C07CB"/>
    <w:rsid w:val="002C0951"/>
    <w:rsid w:val="002C0AC7"/>
    <w:rsid w:val="002C0DED"/>
    <w:rsid w:val="002C0EFE"/>
    <w:rsid w:val="002C1106"/>
    <w:rsid w:val="002C11BD"/>
    <w:rsid w:val="002C123B"/>
    <w:rsid w:val="002C136D"/>
    <w:rsid w:val="002C14B7"/>
    <w:rsid w:val="002C1B11"/>
    <w:rsid w:val="002C1B14"/>
    <w:rsid w:val="002C1CFE"/>
    <w:rsid w:val="002C1F46"/>
    <w:rsid w:val="002C2043"/>
    <w:rsid w:val="002C23AB"/>
    <w:rsid w:val="002C241D"/>
    <w:rsid w:val="002C2570"/>
    <w:rsid w:val="002C2884"/>
    <w:rsid w:val="002C28E2"/>
    <w:rsid w:val="002C290C"/>
    <w:rsid w:val="002C2B4D"/>
    <w:rsid w:val="002C2ED6"/>
    <w:rsid w:val="002C31D0"/>
    <w:rsid w:val="002C3606"/>
    <w:rsid w:val="002C3AB6"/>
    <w:rsid w:val="002C3C44"/>
    <w:rsid w:val="002C3CF8"/>
    <w:rsid w:val="002C3D1A"/>
    <w:rsid w:val="002C3E1A"/>
    <w:rsid w:val="002C3ECE"/>
    <w:rsid w:val="002C40AC"/>
    <w:rsid w:val="002C41F2"/>
    <w:rsid w:val="002C4399"/>
    <w:rsid w:val="002C44A7"/>
    <w:rsid w:val="002C454C"/>
    <w:rsid w:val="002C455A"/>
    <w:rsid w:val="002C45E6"/>
    <w:rsid w:val="002C47B4"/>
    <w:rsid w:val="002C48A1"/>
    <w:rsid w:val="002C4909"/>
    <w:rsid w:val="002C494C"/>
    <w:rsid w:val="002C49CB"/>
    <w:rsid w:val="002C49DE"/>
    <w:rsid w:val="002C4C20"/>
    <w:rsid w:val="002C4D1F"/>
    <w:rsid w:val="002C4E18"/>
    <w:rsid w:val="002C4FAD"/>
    <w:rsid w:val="002C5064"/>
    <w:rsid w:val="002C50A0"/>
    <w:rsid w:val="002C5368"/>
    <w:rsid w:val="002C5422"/>
    <w:rsid w:val="002C54EF"/>
    <w:rsid w:val="002C57B4"/>
    <w:rsid w:val="002C591A"/>
    <w:rsid w:val="002C5B9C"/>
    <w:rsid w:val="002C5CD5"/>
    <w:rsid w:val="002C5D6C"/>
    <w:rsid w:val="002C6117"/>
    <w:rsid w:val="002C6376"/>
    <w:rsid w:val="002C6592"/>
    <w:rsid w:val="002C66C0"/>
    <w:rsid w:val="002C66C6"/>
    <w:rsid w:val="002C67AD"/>
    <w:rsid w:val="002C6834"/>
    <w:rsid w:val="002C6FD6"/>
    <w:rsid w:val="002C6FF2"/>
    <w:rsid w:val="002C727C"/>
    <w:rsid w:val="002C74EB"/>
    <w:rsid w:val="002C7508"/>
    <w:rsid w:val="002C7754"/>
    <w:rsid w:val="002C78C7"/>
    <w:rsid w:val="002C794C"/>
    <w:rsid w:val="002C7984"/>
    <w:rsid w:val="002C79C2"/>
    <w:rsid w:val="002C7BA7"/>
    <w:rsid w:val="002C7CB9"/>
    <w:rsid w:val="002D014A"/>
    <w:rsid w:val="002D0269"/>
    <w:rsid w:val="002D04CF"/>
    <w:rsid w:val="002D050B"/>
    <w:rsid w:val="002D056D"/>
    <w:rsid w:val="002D05A1"/>
    <w:rsid w:val="002D06FF"/>
    <w:rsid w:val="002D0825"/>
    <w:rsid w:val="002D08B9"/>
    <w:rsid w:val="002D0ED3"/>
    <w:rsid w:val="002D1296"/>
    <w:rsid w:val="002D12A4"/>
    <w:rsid w:val="002D1307"/>
    <w:rsid w:val="002D13BC"/>
    <w:rsid w:val="002D13E4"/>
    <w:rsid w:val="002D1574"/>
    <w:rsid w:val="002D163C"/>
    <w:rsid w:val="002D16A0"/>
    <w:rsid w:val="002D196F"/>
    <w:rsid w:val="002D1B77"/>
    <w:rsid w:val="002D1DE6"/>
    <w:rsid w:val="002D1F48"/>
    <w:rsid w:val="002D20AD"/>
    <w:rsid w:val="002D20D3"/>
    <w:rsid w:val="002D23DE"/>
    <w:rsid w:val="002D26B0"/>
    <w:rsid w:val="002D281C"/>
    <w:rsid w:val="002D2917"/>
    <w:rsid w:val="002D2A7A"/>
    <w:rsid w:val="002D2B72"/>
    <w:rsid w:val="002D2BEB"/>
    <w:rsid w:val="002D2D27"/>
    <w:rsid w:val="002D2D2C"/>
    <w:rsid w:val="002D30FD"/>
    <w:rsid w:val="002D31DE"/>
    <w:rsid w:val="002D324E"/>
    <w:rsid w:val="002D32C1"/>
    <w:rsid w:val="002D33C9"/>
    <w:rsid w:val="002D36C4"/>
    <w:rsid w:val="002D3B3B"/>
    <w:rsid w:val="002D3D9C"/>
    <w:rsid w:val="002D3E6D"/>
    <w:rsid w:val="002D3F34"/>
    <w:rsid w:val="002D416F"/>
    <w:rsid w:val="002D4461"/>
    <w:rsid w:val="002D4495"/>
    <w:rsid w:val="002D46C9"/>
    <w:rsid w:val="002D48BE"/>
    <w:rsid w:val="002D4A5D"/>
    <w:rsid w:val="002D4B2D"/>
    <w:rsid w:val="002D4B86"/>
    <w:rsid w:val="002D4CF4"/>
    <w:rsid w:val="002D4D05"/>
    <w:rsid w:val="002D4D8D"/>
    <w:rsid w:val="002D4E4C"/>
    <w:rsid w:val="002D4EAB"/>
    <w:rsid w:val="002D4F7C"/>
    <w:rsid w:val="002D518A"/>
    <w:rsid w:val="002D5461"/>
    <w:rsid w:val="002D577B"/>
    <w:rsid w:val="002D5D18"/>
    <w:rsid w:val="002D6298"/>
    <w:rsid w:val="002D645F"/>
    <w:rsid w:val="002D6778"/>
    <w:rsid w:val="002D6863"/>
    <w:rsid w:val="002D69CA"/>
    <w:rsid w:val="002D6B31"/>
    <w:rsid w:val="002D6C60"/>
    <w:rsid w:val="002D6FCF"/>
    <w:rsid w:val="002D7095"/>
    <w:rsid w:val="002D70A4"/>
    <w:rsid w:val="002D73D9"/>
    <w:rsid w:val="002D791B"/>
    <w:rsid w:val="002D7970"/>
    <w:rsid w:val="002E0100"/>
    <w:rsid w:val="002E02BB"/>
    <w:rsid w:val="002E02CB"/>
    <w:rsid w:val="002E05AC"/>
    <w:rsid w:val="002E06A8"/>
    <w:rsid w:val="002E07D9"/>
    <w:rsid w:val="002E082C"/>
    <w:rsid w:val="002E092F"/>
    <w:rsid w:val="002E0E02"/>
    <w:rsid w:val="002E0FF8"/>
    <w:rsid w:val="002E10EF"/>
    <w:rsid w:val="002E1107"/>
    <w:rsid w:val="002E11DB"/>
    <w:rsid w:val="002E1238"/>
    <w:rsid w:val="002E1240"/>
    <w:rsid w:val="002E1262"/>
    <w:rsid w:val="002E1747"/>
    <w:rsid w:val="002E186F"/>
    <w:rsid w:val="002E1B8B"/>
    <w:rsid w:val="002E1E38"/>
    <w:rsid w:val="002E1E41"/>
    <w:rsid w:val="002E204D"/>
    <w:rsid w:val="002E26B4"/>
    <w:rsid w:val="002E2869"/>
    <w:rsid w:val="002E28C4"/>
    <w:rsid w:val="002E29E7"/>
    <w:rsid w:val="002E2BDB"/>
    <w:rsid w:val="002E317E"/>
    <w:rsid w:val="002E3600"/>
    <w:rsid w:val="002E366C"/>
    <w:rsid w:val="002E3A8D"/>
    <w:rsid w:val="002E3B8E"/>
    <w:rsid w:val="002E3EBF"/>
    <w:rsid w:val="002E3F99"/>
    <w:rsid w:val="002E4091"/>
    <w:rsid w:val="002E4151"/>
    <w:rsid w:val="002E4285"/>
    <w:rsid w:val="002E438A"/>
    <w:rsid w:val="002E4577"/>
    <w:rsid w:val="002E47AA"/>
    <w:rsid w:val="002E4BB2"/>
    <w:rsid w:val="002E4C08"/>
    <w:rsid w:val="002E4E49"/>
    <w:rsid w:val="002E4E75"/>
    <w:rsid w:val="002E4E99"/>
    <w:rsid w:val="002E4EA9"/>
    <w:rsid w:val="002E5018"/>
    <w:rsid w:val="002E5327"/>
    <w:rsid w:val="002E549C"/>
    <w:rsid w:val="002E55BB"/>
    <w:rsid w:val="002E5667"/>
    <w:rsid w:val="002E569E"/>
    <w:rsid w:val="002E56AC"/>
    <w:rsid w:val="002E580B"/>
    <w:rsid w:val="002E5862"/>
    <w:rsid w:val="002E58EC"/>
    <w:rsid w:val="002E5905"/>
    <w:rsid w:val="002E5D2A"/>
    <w:rsid w:val="002E5E7D"/>
    <w:rsid w:val="002E5F50"/>
    <w:rsid w:val="002E6018"/>
    <w:rsid w:val="002E6147"/>
    <w:rsid w:val="002E61BF"/>
    <w:rsid w:val="002E62A6"/>
    <w:rsid w:val="002E6520"/>
    <w:rsid w:val="002E6D13"/>
    <w:rsid w:val="002E6DB2"/>
    <w:rsid w:val="002E6E48"/>
    <w:rsid w:val="002E6F0B"/>
    <w:rsid w:val="002E7216"/>
    <w:rsid w:val="002E74C1"/>
    <w:rsid w:val="002E7567"/>
    <w:rsid w:val="002E77D4"/>
    <w:rsid w:val="002E7916"/>
    <w:rsid w:val="002E7980"/>
    <w:rsid w:val="002E7AD9"/>
    <w:rsid w:val="002E7B2E"/>
    <w:rsid w:val="002E7BEE"/>
    <w:rsid w:val="002E7C64"/>
    <w:rsid w:val="002E7FB9"/>
    <w:rsid w:val="002F007E"/>
    <w:rsid w:val="002F0236"/>
    <w:rsid w:val="002F03CD"/>
    <w:rsid w:val="002F0442"/>
    <w:rsid w:val="002F06CC"/>
    <w:rsid w:val="002F09D1"/>
    <w:rsid w:val="002F0AD7"/>
    <w:rsid w:val="002F0BC7"/>
    <w:rsid w:val="002F1051"/>
    <w:rsid w:val="002F1192"/>
    <w:rsid w:val="002F1257"/>
    <w:rsid w:val="002F138D"/>
    <w:rsid w:val="002F1410"/>
    <w:rsid w:val="002F1667"/>
    <w:rsid w:val="002F16B0"/>
    <w:rsid w:val="002F1700"/>
    <w:rsid w:val="002F1705"/>
    <w:rsid w:val="002F182F"/>
    <w:rsid w:val="002F1981"/>
    <w:rsid w:val="002F1B73"/>
    <w:rsid w:val="002F1D17"/>
    <w:rsid w:val="002F20A9"/>
    <w:rsid w:val="002F22AA"/>
    <w:rsid w:val="002F265C"/>
    <w:rsid w:val="002F289D"/>
    <w:rsid w:val="002F28BD"/>
    <w:rsid w:val="002F2C64"/>
    <w:rsid w:val="002F2E05"/>
    <w:rsid w:val="002F31F0"/>
    <w:rsid w:val="002F32B4"/>
    <w:rsid w:val="002F337A"/>
    <w:rsid w:val="002F33A0"/>
    <w:rsid w:val="002F3787"/>
    <w:rsid w:val="002F3A73"/>
    <w:rsid w:val="002F3B71"/>
    <w:rsid w:val="002F450C"/>
    <w:rsid w:val="002F487B"/>
    <w:rsid w:val="002F492A"/>
    <w:rsid w:val="002F4C4E"/>
    <w:rsid w:val="002F4CC8"/>
    <w:rsid w:val="002F4DBF"/>
    <w:rsid w:val="002F4E4E"/>
    <w:rsid w:val="002F4FDC"/>
    <w:rsid w:val="002F5018"/>
    <w:rsid w:val="002F5207"/>
    <w:rsid w:val="002F5305"/>
    <w:rsid w:val="002F5332"/>
    <w:rsid w:val="002F562A"/>
    <w:rsid w:val="002F5664"/>
    <w:rsid w:val="002F56F1"/>
    <w:rsid w:val="002F573F"/>
    <w:rsid w:val="002F5777"/>
    <w:rsid w:val="002F58D6"/>
    <w:rsid w:val="002F5A0F"/>
    <w:rsid w:val="002F6110"/>
    <w:rsid w:val="002F6132"/>
    <w:rsid w:val="002F6339"/>
    <w:rsid w:val="002F64D1"/>
    <w:rsid w:val="002F6539"/>
    <w:rsid w:val="002F67A9"/>
    <w:rsid w:val="002F6812"/>
    <w:rsid w:val="002F681C"/>
    <w:rsid w:val="002F69B1"/>
    <w:rsid w:val="002F6E2C"/>
    <w:rsid w:val="002F6E3E"/>
    <w:rsid w:val="002F6F2B"/>
    <w:rsid w:val="002F6F45"/>
    <w:rsid w:val="002F6F69"/>
    <w:rsid w:val="002F75A6"/>
    <w:rsid w:val="002F768E"/>
    <w:rsid w:val="002F7769"/>
    <w:rsid w:val="002F7964"/>
    <w:rsid w:val="002F7DBD"/>
    <w:rsid w:val="002F7E01"/>
    <w:rsid w:val="002F7F87"/>
    <w:rsid w:val="00300104"/>
    <w:rsid w:val="003005F2"/>
    <w:rsid w:val="00300722"/>
    <w:rsid w:val="00300736"/>
    <w:rsid w:val="00300737"/>
    <w:rsid w:val="003008E8"/>
    <w:rsid w:val="003009F7"/>
    <w:rsid w:val="00300CE2"/>
    <w:rsid w:val="00300E9A"/>
    <w:rsid w:val="0030115E"/>
    <w:rsid w:val="00301169"/>
    <w:rsid w:val="00301306"/>
    <w:rsid w:val="003013D9"/>
    <w:rsid w:val="00301B40"/>
    <w:rsid w:val="00301EF7"/>
    <w:rsid w:val="00301F6A"/>
    <w:rsid w:val="00302162"/>
    <w:rsid w:val="00302490"/>
    <w:rsid w:val="0030255F"/>
    <w:rsid w:val="003025BD"/>
    <w:rsid w:val="003026A2"/>
    <w:rsid w:val="003026F3"/>
    <w:rsid w:val="0030275C"/>
    <w:rsid w:val="0030278B"/>
    <w:rsid w:val="003027EF"/>
    <w:rsid w:val="0030282E"/>
    <w:rsid w:val="00302C47"/>
    <w:rsid w:val="00302DB1"/>
    <w:rsid w:val="0030313D"/>
    <w:rsid w:val="00303141"/>
    <w:rsid w:val="00303170"/>
    <w:rsid w:val="003031A3"/>
    <w:rsid w:val="003031ED"/>
    <w:rsid w:val="00303413"/>
    <w:rsid w:val="0030364E"/>
    <w:rsid w:val="003036D7"/>
    <w:rsid w:val="0030370E"/>
    <w:rsid w:val="00303720"/>
    <w:rsid w:val="00303734"/>
    <w:rsid w:val="00303B1D"/>
    <w:rsid w:val="0030435D"/>
    <w:rsid w:val="003043B8"/>
    <w:rsid w:val="0030468F"/>
    <w:rsid w:val="00304730"/>
    <w:rsid w:val="00304732"/>
    <w:rsid w:val="00304848"/>
    <w:rsid w:val="00304A18"/>
    <w:rsid w:val="00304E1B"/>
    <w:rsid w:val="00305299"/>
    <w:rsid w:val="0030533A"/>
    <w:rsid w:val="003053D6"/>
    <w:rsid w:val="0030566B"/>
    <w:rsid w:val="003056A8"/>
    <w:rsid w:val="00305819"/>
    <w:rsid w:val="00305CD1"/>
    <w:rsid w:val="00305DE4"/>
    <w:rsid w:val="00305F0C"/>
    <w:rsid w:val="00305F55"/>
    <w:rsid w:val="003061A4"/>
    <w:rsid w:val="003063D2"/>
    <w:rsid w:val="00306408"/>
    <w:rsid w:val="0030653E"/>
    <w:rsid w:val="003065E8"/>
    <w:rsid w:val="003066EB"/>
    <w:rsid w:val="00306740"/>
    <w:rsid w:val="00306AFE"/>
    <w:rsid w:val="00306B18"/>
    <w:rsid w:val="00306C02"/>
    <w:rsid w:val="00306C2A"/>
    <w:rsid w:val="00306EFD"/>
    <w:rsid w:val="00307012"/>
    <w:rsid w:val="003070C3"/>
    <w:rsid w:val="003071E3"/>
    <w:rsid w:val="00307303"/>
    <w:rsid w:val="003073A3"/>
    <w:rsid w:val="003073F2"/>
    <w:rsid w:val="0030766D"/>
    <w:rsid w:val="00307728"/>
    <w:rsid w:val="00307825"/>
    <w:rsid w:val="003078E1"/>
    <w:rsid w:val="0030793C"/>
    <w:rsid w:val="00307B5E"/>
    <w:rsid w:val="00307BF1"/>
    <w:rsid w:val="00307C75"/>
    <w:rsid w:val="00307F96"/>
    <w:rsid w:val="0031005D"/>
    <w:rsid w:val="00310399"/>
    <w:rsid w:val="003103C6"/>
    <w:rsid w:val="00310518"/>
    <w:rsid w:val="00310581"/>
    <w:rsid w:val="0031074E"/>
    <w:rsid w:val="003108BC"/>
    <w:rsid w:val="00310A1C"/>
    <w:rsid w:val="00310ABD"/>
    <w:rsid w:val="00310D2A"/>
    <w:rsid w:val="00310EEF"/>
    <w:rsid w:val="003110AF"/>
    <w:rsid w:val="003110C2"/>
    <w:rsid w:val="003110EB"/>
    <w:rsid w:val="003113DB"/>
    <w:rsid w:val="003117C3"/>
    <w:rsid w:val="003117D0"/>
    <w:rsid w:val="00311991"/>
    <w:rsid w:val="00311EC6"/>
    <w:rsid w:val="00311F23"/>
    <w:rsid w:val="00311FD8"/>
    <w:rsid w:val="00312197"/>
    <w:rsid w:val="003121E0"/>
    <w:rsid w:val="003122AC"/>
    <w:rsid w:val="00312330"/>
    <w:rsid w:val="00312346"/>
    <w:rsid w:val="00312351"/>
    <w:rsid w:val="003124B4"/>
    <w:rsid w:val="00312580"/>
    <w:rsid w:val="00312BD3"/>
    <w:rsid w:val="00312BF9"/>
    <w:rsid w:val="00312C11"/>
    <w:rsid w:val="00312CA9"/>
    <w:rsid w:val="00312D39"/>
    <w:rsid w:val="00312D82"/>
    <w:rsid w:val="00312E70"/>
    <w:rsid w:val="0031306E"/>
    <w:rsid w:val="0031318F"/>
    <w:rsid w:val="003131AE"/>
    <w:rsid w:val="0031329B"/>
    <w:rsid w:val="00313449"/>
    <w:rsid w:val="00313469"/>
    <w:rsid w:val="0031347F"/>
    <w:rsid w:val="00313B0C"/>
    <w:rsid w:val="00313C17"/>
    <w:rsid w:val="00313C62"/>
    <w:rsid w:val="00313C66"/>
    <w:rsid w:val="0031414A"/>
    <w:rsid w:val="00314719"/>
    <w:rsid w:val="0031484B"/>
    <w:rsid w:val="0031485F"/>
    <w:rsid w:val="00314863"/>
    <w:rsid w:val="0031486C"/>
    <w:rsid w:val="00314A6E"/>
    <w:rsid w:val="00314BDF"/>
    <w:rsid w:val="00314D17"/>
    <w:rsid w:val="00314DA0"/>
    <w:rsid w:val="00314E73"/>
    <w:rsid w:val="00314EA4"/>
    <w:rsid w:val="00314EFA"/>
    <w:rsid w:val="0031506C"/>
    <w:rsid w:val="00315070"/>
    <w:rsid w:val="003153C0"/>
    <w:rsid w:val="003153D5"/>
    <w:rsid w:val="003154EE"/>
    <w:rsid w:val="003155B9"/>
    <w:rsid w:val="00315A3B"/>
    <w:rsid w:val="00315BBA"/>
    <w:rsid w:val="00315C33"/>
    <w:rsid w:val="00315DD8"/>
    <w:rsid w:val="00315EA4"/>
    <w:rsid w:val="00315EEA"/>
    <w:rsid w:val="003160E8"/>
    <w:rsid w:val="003161DA"/>
    <w:rsid w:val="003163D2"/>
    <w:rsid w:val="003165A7"/>
    <w:rsid w:val="00316669"/>
    <w:rsid w:val="00316684"/>
    <w:rsid w:val="003166E2"/>
    <w:rsid w:val="00316A2C"/>
    <w:rsid w:val="00316C5C"/>
    <w:rsid w:val="00316DA1"/>
    <w:rsid w:val="00316E12"/>
    <w:rsid w:val="00316E2C"/>
    <w:rsid w:val="003171F8"/>
    <w:rsid w:val="003172D1"/>
    <w:rsid w:val="003173DE"/>
    <w:rsid w:val="003173F6"/>
    <w:rsid w:val="0031759D"/>
    <w:rsid w:val="003175F7"/>
    <w:rsid w:val="00317786"/>
    <w:rsid w:val="003177EB"/>
    <w:rsid w:val="003178CF"/>
    <w:rsid w:val="00317A82"/>
    <w:rsid w:val="00317AB0"/>
    <w:rsid w:val="00317AD0"/>
    <w:rsid w:val="00317B72"/>
    <w:rsid w:val="00317D31"/>
    <w:rsid w:val="00317D4B"/>
    <w:rsid w:val="00317DD2"/>
    <w:rsid w:val="00317E5D"/>
    <w:rsid w:val="00317E66"/>
    <w:rsid w:val="00317F40"/>
    <w:rsid w:val="00320149"/>
    <w:rsid w:val="00320266"/>
    <w:rsid w:val="003204A7"/>
    <w:rsid w:val="003204AE"/>
    <w:rsid w:val="0032060A"/>
    <w:rsid w:val="003206E9"/>
    <w:rsid w:val="00320959"/>
    <w:rsid w:val="00320A1D"/>
    <w:rsid w:val="00320A8C"/>
    <w:rsid w:val="00320BA3"/>
    <w:rsid w:val="00320C79"/>
    <w:rsid w:val="00320CBE"/>
    <w:rsid w:val="00321007"/>
    <w:rsid w:val="0032105C"/>
    <w:rsid w:val="00321119"/>
    <w:rsid w:val="00321143"/>
    <w:rsid w:val="00321306"/>
    <w:rsid w:val="00321365"/>
    <w:rsid w:val="003213D0"/>
    <w:rsid w:val="0032151E"/>
    <w:rsid w:val="003215C3"/>
    <w:rsid w:val="00321845"/>
    <w:rsid w:val="0032196A"/>
    <w:rsid w:val="00321976"/>
    <w:rsid w:val="003219A2"/>
    <w:rsid w:val="00321B72"/>
    <w:rsid w:val="00321E1D"/>
    <w:rsid w:val="0032214F"/>
    <w:rsid w:val="00322241"/>
    <w:rsid w:val="0032240F"/>
    <w:rsid w:val="003224DC"/>
    <w:rsid w:val="00322649"/>
    <w:rsid w:val="003226AB"/>
    <w:rsid w:val="00322837"/>
    <w:rsid w:val="0032284C"/>
    <w:rsid w:val="003229C9"/>
    <w:rsid w:val="00322BDC"/>
    <w:rsid w:val="00322BED"/>
    <w:rsid w:val="00322FE4"/>
    <w:rsid w:val="0032305F"/>
    <w:rsid w:val="00323648"/>
    <w:rsid w:val="00323751"/>
    <w:rsid w:val="003237B9"/>
    <w:rsid w:val="003237EA"/>
    <w:rsid w:val="00323B5C"/>
    <w:rsid w:val="00323BB2"/>
    <w:rsid w:val="00323F44"/>
    <w:rsid w:val="00324062"/>
    <w:rsid w:val="00324180"/>
    <w:rsid w:val="00324197"/>
    <w:rsid w:val="0032433F"/>
    <w:rsid w:val="00324473"/>
    <w:rsid w:val="003244C1"/>
    <w:rsid w:val="00324548"/>
    <w:rsid w:val="00324589"/>
    <w:rsid w:val="0032481A"/>
    <w:rsid w:val="00324A2D"/>
    <w:rsid w:val="00324BD6"/>
    <w:rsid w:val="00324BEF"/>
    <w:rsid w:val="00325311"/>
    <w:rsid w:val="003253BD"/>
    <w:rsid w:val="00325416"/>
    <w:rsid w:val="003254AE"/>
    <w:rsid w:val="00325583"/>
    <w:rsid w:val="00325633"/>
    <w:rsid w:val="003256EF"/>
    <w:rsid w:val="00325781"/>
    <w:rsid w:val="0032596F"/>
    <w:rsid w:val="00325982"/>
    <w:rsid w:val="00325A5A"/>
    <w:rsid w:val="00325C79"/>
    <w:rsid w:val="00325FFD"/>
    <w:rsid w:val="00326229"/>
    <w:rsid w:val="00326260"/>
    <w:rsid w:val="00326354"/>
    <w:rsid w:val="00326476"/>
    <w:rsid w:val="00326706"/>
    <w:rsid w:val="00326743"/>
    <w:rsid w:val="0032677F"/>
    <w:rsid w:val="00326919"/>
    <w:rsid w:val="00326945"/>
    <w:rsid w:val="00326B7C"/>
    <w:rsid w:val="00326D5F"/>
    <w:rsid w:val="00326FF1"/>
    <w:rsid w:val="003270B5"/>
    <w:rsid w:val="003270D5"/>
    <w:rsid w:val="003272AE"/>
    <w:rsid w:val="00327327"/>
    <w:rsid w:val="0032733E"/>
    <w:rsid w:val="003274D5"/>
    <w:rsid w:val="003277C4"/>
    <w:rsid w:val="003279B4"/>
    <w:rsid w:val="00327C55"/>
    <w:rsid w:val="00327DD5"/>
    <w:rsid w:val="00327E67"/>
    <w:rsid w:val="00327EDA"/>
    <w:rsid w:val="00327F4F"/>
    <w:rsid w:val="00327F7F"/>
    <w:rsid w:val="003304B2"/>
    <w:rsid w:val="00330514"/>
    <w:rsid w:val="00330661"/>
    <w:rsid w:val="003308AD"/>
    <w:rsid w:val="0033097D"/>
    <w:rsid w:val="00330AF8"/>
    <w:rsid w:val="00330B31"/>
    <w:rsid w:val="00330B6F"/>
    <w:rsid w:val="00330B83"/>
    <w:rsid w:val="00330C4B"/>
    <w:rsid w:val="00330C6C"/>
    <w:rsid w:val="00330C9C"/>
    <w:rsid w:val="00330F27"/>
    <w:rsid w:val="003311AE"/>
    <w:rsid w:val="003311F7"/>
    <w:rsid w:val="00331AC0"/>
    <w:rsid w:val="00331B33"/>
    <w:rsid w:val="00331BBC"/>
    <w:rsid w:val="00331C70"/>
    <w:rsid w:val="00331D06"/>
    <w:rsid w:val="00331D56"/>
    <w:rsid w:val="00332290"/>
    <w:rsid w:val="00332337"/>
    <w:rsid w:val="00332501"/>
    <w:rsid w:val="00332546"/>
    <w:rsid w:val="00332751"/>
    <w:rsid w:val="00332A3D"/>
    <w:rsid w:val="00332A67"/>
    <w:rsid w:val="00332A9F"/>
    <w:rsid w:val="00332AD6"/>
    <w:rsid w:val="00332B03"/>
    <w:rsid w:val="00332B9E"/>
    <w:rsid w:val="00332BA2"/>
    <w:rsid w:val="00332DDD"/>
    <w:rsid w:val="00333194"/>
    <w:rsid w:val="003331B2"/>
    <w:rsid w:val="00333390"/>
    <w:rsid w:val="003334C2"/>
    <w:rsid w:val="00333552"/>
    <w:rsid w:val="00333640"/>
    <w:rsid w:val="0033392D"/>
    <w:rsid w:val="00333FAD"/>
    <w:rsid w:val="0033411C"/>
    <w:rsid w:val="0033432E"/>
    <w:rsid w:val="0033441A"/>
    <w:rsid w:val="0033447A"/>
    <w:rsid w:val="00334488"/>
    <w:rsid w:val="003344FA"/>
    <w:rsid w:val="003345C5"/>
    <w:rsid w:val="00334729"/>
    <w:rsid w:val="00334A18"/>
    <w:rsid w:val="00334D0C"/>
    <w:rsid w:val="00334E29"/>
    <w:rsid w:val="00334FE5"/>
    <w:rsid w:val="0033501C"/>
    <w:rsid w:val="0033528E"/>
    <w:rsid w:val="00335331"/>
    <w:rsid w:val="00335359"/>
    <w:rsid w:val="00335494"/>
    <w:rsid w:val="0033552D"/>
    <w:rsid w:val="0033580E"/>
    <w:rsid w:val="00335A96"/>
    <w:rsid w:val="00335ABE"/>
    <w:rsid w:val="00335DB5"/>
    <w:rsid w:val="00335EEF"/>
    <w:rsid w:val="00335FAE"/>
    <w:rsid w:val="00336070"/>
    <w:rsid w:val="0033613E"/>
    <w:rsid w:val="00336182"/>
    <w:rsid w:val="00336423"/>
    <w:rsid w:val="003365E8"/>
    <w:rsid w:val="003366FB"/>
    <w:rsid w:val="00336830"/>
    <w:rsid w:val="00336AA8"/>
    <w:rsid w:val="00336AB0"/>
    <w:rsid w:val="00336BCB"/>
    <w:rsid w:val="00336E82"/>
    <w:rsid w:val="00336FB6"/>
    <w:rsid w:val="00337295"/>
    <w:rsid w:val="003372D3"/>
    <w:rsid w:val="00337441"/>
    <w:rsid w:val="003374C4"/>
    <w:rsid w:val="00337B30"/>
    <w:rsid w:val="00337D03"/>
    <w:rsid w:val="00337DB7"/>
    <w:rsid w:val="00337EEF"/>
    <w:rsid w:val="00337EF7"/>
    <w:rsid w:val="00340203"/>
    <w:rsid w:val="0034046F"/>
    <w:rsid w:val="0034069F"/>
    <w:rsid w:val="003406EE"/>
    <w:rsid w:val="003407A3"/>
    <w:rsid w:val="003407D6"/>
    <w:rsid w:val="003408CF"/>
    <w:rsid w:val="00340AAE"/>
    <w:rsid w:val="00340BEC"/>
    <w:rsid w:val="00340CAF"/>
    <w:rsid w:val="00341645"/>
    <w:rsid w:val="003416CF"/>
    <w:rsid w:val="003416D5"/>
    <w:rsid w:val="00341712"/>
    <w:rsid w:val="003417D1"/>
    <w:rsid w:val="0034189F"/>
    <w:rsid w:val="00341AA5"/>
    <w:rsid w:val="00341B67"/>
    <w:rsid w:val="00341C5F"/>
    <w:rsid w:val="00341FB4"/>
    <w:rsid w:val="00342164"/>
    <w:rsid w:val="00342274"/>
    <w:rsid w:val="00342323"/>
    <w:rsid w:val="00342359"/>
    <w:rsid w:val="0034258B"/>
    <w:rsid w:val="003425A2"/>
    <w:rsid w:val="003426A5"/>
    <w:rsid w:val="003426D6"/>
    <w:rsid w:val="0034298C"/>
    <w:rsid w:val="00342C11"/>
    <w:rsid w:val="00343131"/>
    <w:rsid w:val="0034331F"/>
    <w:rsid w:val="0034335B"/>
    <w:rsid w:val="00343403"/>
    <w:rsid w:val="00343628"/>
    <w:rsid w:val="003437F6"/>
    <w:rsid w:val="0034390E"/>
    <w:rsid w:val="00343B5C"/>
    <w:rsid w:val="00343C9D"/>
    <w:rsid w:val="00343F4E"/>
    <w:rsid w:val="00343F9B"/>
    <w:rsid w:val="00344053"/>
    <w:rsid w:val="0034448A"/>
    <w:rsid w:val="003444CF"/>
    <w:rsid w:val="0034458A"/>
    <w:rsid w:val="0034464F"/>
    <w:rsid w:val="003449B0"/>
    <w:rsid w:val="003449F7"/>
    <w:rsid w:val="00344B64"/>
    <w:rsid w:val="00344D04"/>
    <w:rsid w:val="00344DBB"/>
    <w:rsid w:val="00344DDF"/>
    <w:rsid w:val="00344E63"/>
    <w:rsid w:val="00344FD6"/>
    <w:rsid w:val="0034503D"/>
    <w:rsid w:val="003452A8"/>
    <w:rsid w:val="00345342"/>
    <w:rsid w:val="00345364"/>
    <w:rsid w:val="003453BC"/>
    <w:rsid w:val="0034542A"/>
    <w:rsid w:val="00345599"/>
    <w:rsid w:val="00345721"/>
    <w:rsid w:val="0034578F"/>
    <w:rsid w:val="00345B5E"/>
    <w:rsid w:val="00345C15"/>
    <w:rsid w:val="00345C43"/>
    <w:rsid w:val="00346434"/>
    <w:rsid w:val="00346439"/>
    <w:rsid w:val="003466F5"/>
    <w:rsid w:val="00346796"/>
    <w:rsid w:val="003468ED"/>
    <w:rsid w:val="0034698D"/>
    <w:rsid w:val="00346AD3"/>
    <w:rsid w:val="00346C25"/>
    <w:rsid w:val="00346C2D"/>
    <w:rsid w:val="00346EF1"/>
    <w:rsid w:val="00347598"/>
    <w:rsid w:val="00347721"/>
    <w:rsid w:val="003478A4"/>
    <w:rsid w:val="00347A24"/>
    <w:rsid w:val="00347B9B"/>
    <w:rsid w:val="00347E4B"/>
    <w:rsid w:val="003500F5"/>
    <w:rsid w:val="003501C5"/>
    <w:rsid w:val="003502A3"/>
    <w:rsid w:val="00350311"/>
    <w:rsid w:val="003503A3"/>
    <w:rsid w:val="003503CC"/>
    <w:rsid w:val="0035043D"/>
    <w:rsid w:val="003505D2"/>
    <w:rsid w:val="003507AB"/>
    <w:rsid w:val="003507BC"/>
    <w:rsid w:val="00350EC4"/>
    <w:rsid w:val="0035104E"/>
    <w:rsid w:val="003513AC"/>
    <w:rsid w:val="00351665"/>
    <w:rsid w:val="003517B9"/>
    <w:rsid w:val="0035180F"/>
    <w:rsid w:val="003518C5"/>
    <w:rsid w:val="00351DDC"/>
    <w:rsid w:val="00351DEE"/>
    <w:rsid w:val="00351E60"/>
    <w:rsid w:val="0035202F"/>
    <w:rsid w:val="003524EF"/>
    <w:rsid w:val="003529FE"/>
    <w:rsid w:val="00352D2F"/>
    <w:rsid w:val="00352DC7"/>
    <w:rsid w:val="00352F99"/>
    <w:rsid w:val="003531FF"/>
    <w:rsid w:val="00353380"/>
    <w:rsid w:val="00353395"/>
    <w:rsid w:val="003535BB"/>
    <w:rsid w:val="003536EF"/>
    <w:rsid w:val="00353806"/>
    <w:rsid w:val="003539BF"/>
    <w:rsid w:val="00354047"/>
    <w:rsid w:val="00354117"/>
    <w:rsid w:val="0035467C"/>
    <w:rsid w:val="003549CD"/>
    <w:rsid w:val="00354A0B"/>
    <w:rsid w:val="00354B5F"/>
    <w:rsid w:val="00354C4F"/>
    <w:rsid w:val="00354EE2"/>
    <w:rsid w:val="00354FAA"/>
    <w:rsid w:val="0035529E"/>
    <w:rsid w:val="0035538B"/>
    <w:rsid w:val="00355448"/>
    <w:rsid w:val="0035573B"/>
    <w:rsid w:val="003557AD"/>
    <w:rsid w:val="00355806"/>
    <w:rsid w:val="00355832"/>
    <w:rsid w:val="00355B44"/>
    <w:rsid w:val="00355CC6"/>
    <w:rsid w:val="00355E80"/>
    <w:rsid w:val="00355F4C"/>
    <w:rsid w:val="00356124"/>
    <w:rsid w:val="0035612D"/>
    <w:rsid w:val="0035644A"/>
    <w:rsid w:val="003564F0"/>
    <w:rsid w:val="00356565"/>
    <w:rsid w:val="003565B5"/>
    <w:rsid w:val="003565BC"/>
    <w:rsid w:val="00356786"/>
    <w:rsid w:val="00356BC2"/>
    <w:rsid w:val="00356DD0"/>
    <w:rsid w:val="00356E95"/>
    <w:rsid w:val="00357136"/>
    <w:rsid w:val="0035726F"/>
    <w:rsid w:val="003572CC"/>
    <w:rsid w:val="0035750D"/>
    <w:rsid w:val="003575C1"/>
    <w:rsid w:val="0035780D"/>
    <w:rsid w:val="00357915"/>
    <w:rsid w:val="00357926"/>
    <w:rsid w:val="00357BD8"/>
    <w:rsid w:val="00357C0D"/>
    <w:rsid w:val="00357ECD"/>
    <w:rsid w:val="00360384"/>
    <w:rsid w:val="0036040D"/>
    <w:rsid w:val="00360562"/>
    <w:rsid w:val="00360BB2"/>
    <w:rsid w:val="00360F81"/>
    <w:rsid w:val="00360FCD"/>
    <w:rsid w:val="00360FED"/>
    <w:rsid w:val="0036126D"/>
    <w:rsid w:val="003612AD"/>
    <w:rsid w:val="00361697"/>
    <w:rsid w:val="003617D7"/>
    <w:rsid w:val="00361840"/>
    <w:rsid w:val="00361845"/>
    <w:rsid w:val="003618D0"/>
    <w:rsid w:val="0036197B"/>
    <w:rsid w:val="00361F01"/>
    <w:rsid w:val="0036218F"/>
    <w:rsid w:val="003622A5"/>
    <w:rsid w:val="00362753"/>
    <w:rsid w:val="003628C2"/>
    <w:rsid w:val="00362904"/>
    <w:rsid w:val="003629DE"/>
    <w:rsid w:val="00362B93"/>
    <w:rsid w:val="00362BC8"/>
    <w:rsid w:val="00362C1C"/>
    <w:rsid w:val="00362FDC"/>
    <w:rsid w:val="0036311E"/>
    <w:rsid w:val="0036312D"/>
    <w:rsid w:val="0036316A"/>
    <w:rsid w:val="0036335E"/>
    <w:rsid w:val="0036359A"/>
    <w:rsid w:val="003639C5"/>
    <w:rsid w:val="00363AB5"/>
    <w:rsid w:val="00363CF7"/>
    <w:rsid w:val="00363F0A"/>
    <w:rsid w:val="00363F5C"/>
    <w:rsid w:val="00363F7B"/>
    <w:rsid w:val="003640FF"/>
    <w:rsid w:val="0036435A"/>
    <w:rsid w:val="0036449C"/>
    <w:rsid w:val="003644C8"/>
    <w:rsid w:val="00364629"/>
    <w:rsid w:val="003649EF"/>
    <w:rsid w:val="00364C35"/>
    <w:rsid w:val="00365024"/>
    <w:rsid w:val="00365126"/>
    <w:rsid w:val="00365337"/>
    <w:rsid w:val="003654BA"/>
    <w:rsid w:val="00365548"/>
    <w:rsid w:val="00365653"/>
    <w:rsid w:val="003656DA"/>
    <w:rsid w:val="0036580B"/>
    <w:rsid w:val="00365A0D"/>
    <w:rsid w:val="00365A1E"/>
    <w:rsid w:val="00365DAB"/>
    <w:rsid w:val="00365E56"/>
    <w:rsid w:val="00365EE8"/>
    <w:rsid w:val="00366035"/>
    <w:rsid w:val="00366063"/>
    <w:rsid w:val="003660E6"/>
    <w:rsid w:val="0036617A"/>
    <w:rsid w:val="0036691A"/>
    <w:rsid w:val="00366CCD"/>
    <w:rsid w:val="00366D0D"/>
    <w:rsid w:val="00366EA2"/>
    <w:rsid w:val="0036726F"/>
    <w:rsid w:val="00367456"/>
    <w:rsid w:val="00367612"/>
    <w:rsid w:val="00367646"/>
    <w:rsid w:val="003676EF"/>
    <w:rsid w:val="00367982"/>
    <w:rsid w:val="00367A01"/>
    <w:rsid w:val="00367BAB"/>
    <w:rsid w:val="00367BFB"/>
    <w:rsid w:val="00367CAD"/>
    <w:rsid w:val="00367DF9"/>
    <w:rsid w:val="00367FAE"/>
    <w:rsid w:val="0037012D"/>
    <w:rsid w:val="00370156"/>
    <w:rsid w:val="0037023B"/>
    <w:rsid w:val="003702A1"/>
    <w:rsid w:val="00370305"/>
    <w:rsid w:val="003705AF"/>
    <w:rsid w:val="00370B60"/>
    <w:rsid w:val="00370B6E"/>
    <w:rsid w:val="00370B73"/>
    <w:rsid w:val="00370F26"/>
    <w:rsid w:val="00371183"/>
    <w:rsid w:val="0037120B"/>
    <w:rsid w:val="003714E0"/>
    <w:rsid w:val="00371B24"/>
    <w:rsid w:val="00372044"/>
    <w:rsid w:val="0037207F"/>
    <w:rsid w:val="00372552"/>
    <w:rsid w:val="00372658"/>
    <w:rsid w:val="00372770"/>
    <w:rsid w:val="00372C79"/>
    <w:rsid w:val="00372E25"/>
    <w:rsid w:val="00372EA2"/>
    <w:rsid w:val="00372F11"/>
    <w:rsid w:val="003730B1"/>
    <w:rsid w:val="003732AC"/>
    <w:rsid w:val="003733C5"/>
    <w:rsid w:val="00373525"/>
    <w:rsid w:val="00373589"/>
    <w:rsid w:val="00373998"/>
    <w:rsid w:val="003739F2"/>
    <w:rsid w:val="00373A34"/>
    <w:rsid w:val="00373AE1"/>
    <w:rsid w:val="00373C47"/>
    <w:rsid w:val="00373D6D"/>
    <w:rsid w:val="00373E11"/>
    <w:rsid w:val="003741C3"/>
    <w:rsid w:val="003742DF"/>
    <w:rsid w:val="0037436F"/>
    <w:rsid w:val="00374422"/>
    <w:rsid w:val="003744A8"/>
    <w:rsid w:val="003744F5"/>
    <w:rsid w:val="00374549"/>
    <w:rsid w:val="00374642"/>
    <w:rsid w:val="003748C3"/>
    <w:rsid w:val="00374B08"/>
    <w:rsid w:val="00374B74"/>
    <w:rsid w:val="00374BCF"/>
    <w:rsid w:val="00374D61"/>
    <w:rsid w:val="00374DB7"/>
    <w:rsid w:val="00374E5E"/>
    <w:rsid w:val="00374F47"/>
    <w:rsid w:val="00374F92"/>
    <w:rsid w:val="0037502F"/>
    <w:rsid w:val="00375189"/>
    <w:rsid w:val="00375424"/>
    <w:rsid w:val="003754D5"/>
    <w:rsid w:val="00375634"/>
    <w:rsid w:val="00375A37"/>
    <w:rsid w:val="00375A54"/>
    <w:rsid w:val="00375C46"/>
    <w:rsid w:val="00375C55"/>
    <w:rsid w:val="00375CEA"/>
    <w:rsid w:val="00375D29"/>
    <w:rsid w:val="00375D36"/>
    <w:rsid w:val="00375D89"/>
    <w:rsid w:val="00376387"/>
    <w:rsid w:val="00376438"/>
    <w:rsid w:val="00376BA6"/>
    <w:rsid w:val="00376CBE"/>
    <w:rsid w:val="00376DF3"/>
    <w:rsid w:val="00376F9F"/>
    <w:rsid w:val="003772CD"/>
    <w:rsid w:val="003772F2"/>
    <w:rsid w:val="00377485"/>
    <w:rsid w:val="00377515"/>
    <w:rsid w:val="00377582"/>
    <w:rsid w:val="003776C6"/>
    <w:rsid w:val="0037777B"/>
    <w:rsid w:val="00377AAD"/>
    <w:rsid w:val="00377C31"/>
    <w:rsid w:val="0038087D"/>
    <w:rsid w:val="00380913"/>
    <w:rsid w:val="0038098A"/>
    <w:rsid w:val="00380A6A"/>
    <w:rsid w:val="00380AA1"/>
    <w:rsid w:val="00380BC5"/>
    <w:rsid w:val="00380D6C"/>
    <w:rsid w:val="0038104D"/>
    <w:rsid w:val="00381261"/>
    <w:rsid w:val="00381517"/>
    <w:rsid w:val="00381566"/>
    <w:rsid w:val="00381796"/>
    <w:rsid w:val="00381937"/>
    <w:rsid w:val="00381949"/>
    <w:rsid w:val="00381AB6"/>
    <w:rsid w:val="00381C6F"/>
    <w:rsid w:val="00381CF0"/>
    <w:rsid w:val="00381D1F"/>
    <w:rsid w:val="00381E03"/>
    <w:rsid w:val="003820AD"/>
    <w:rsid w:val="00382226"/>
    <w:rsid w:val="003822FF"/>
    <w:rsid w:val="0038241F"/>
    <w:rsid w:val="00382603"/>
    <w:rsid w:val="00382650"/>
    <w:rsid w:val="003827EF"/>
    <w:rsid w:val="00382846"/>
    <w:rsid w:val="003829C0"/>
    <w:rsid w:val="003829E0"/>
    <w:rsid w:val="00382A20"/>
    <w:rsid w:val="00382D77"/>
    <w:rsid w:val="00382DB0"/>
    <w:rsid w:val="00383125"/>
    <w:rsid w:val="0038359B"/>
    <w:rsid w:val="0038377D"/>
    <w:rsid w:val="00383861"/>
    <w:rsid w:val="003838C2"/>
    <w:rsid w:val="00384153"/>
    <w:rsid w:val="0038425C"/>
    <w:rsid w:val="003843BD"/>
    <w:rsid w:val="003846D7"/>
    <w:rsid w:val="00384742"/>
    <w:rsid w:val="003847A6"/>
    <w:rsid w:val="00384A3E"/>
    <w:rsid w:val="00384CA2"/>
    <w:rsid w:val="00385056"/>
    <w:rsid w:val="003852D7"/>
    <w:rsid w:val="0038530D"/>
    <w:rsid w:val="0038539C"/>
    <w:rsid w:val="00385490"/>
    <w:rsid w:val="00385568"/>
    <w:rsid w:val="003856A8"/>
    <w:rsid w:val="0038587F"/>
    <w:rsid w:val="003858E2"/>
    <w:rsid w:val="00385B8E"/>
    <w:rsid w:val="00385DCB"/>
    <w:rsid w:val="00385E00"/>
    <w:rsid w:val="00385F5A"/>
    <w:rsid w:val="0038610A"/>
    <w:rsid w:val="003861CA"/>
    <w:rsid w:val="003863D6"/>
    <w:rsid w:val="0038645C"/>
    <w:rsid w:val="003865BE"/>
    <w:rsid w:val="0038669A"/>
    <w:rsid w:val="00386725"/>
    <w:rsid w:val="0038689E"/>
    <w:rsid w:val="003869D9"/>
    <w:rsid w:val="00386AFA"/>
    <w:rsid w:val="00386D20"/>
    <w:rsid w:val="00386E70"/>
    <w:rsid w:val="00387015"/>
    <w:rsid w:val="003873CB"/>
    <w:rsid w:val="00387570"/>
    <w:rsid w:val="00387AC0"/>
    <w:rsid w:val="00387B9C"/>
    <w:rsid w:val="00387C22"/>
    <w:rsid w:val="00387F21"/>
    <w:rsid w:val="00390031"/>
    <w:rsid w:val="00390695"/>
    <w:rsid w:val="003907A5"/>
    <w:rsid w:val="003909C4"/>
    <w:rsid w:val="00390AE7"/>
    <w:rsid w:val="00390B26"/>
    <w:rsid w:val="00390BDD"/>
    <w:rsid w:val="00390C96"/>
    <w:rsid w:val="00390D8C"/>
    <w:rsid w:val="00390E0B"/>
    <w:rsid w:val="00390EA8"/>
    <w:rsid w:val="00391363"/>
    <w:rsid w:val="003918CC"/>
    <w:rsid w:val="00391C60"/>
    <w:rsid w:val="00391C66"/>
    <w:rsid w:val="00391E48"/>
    <w:rsid w:val="00391F0B"/>
    <w:rsid w:val="00391F55"/>
    <w:rsid w:val="00391F86"/>
    <w:rsid w:val="00391FD5"/>
    <w:rsid w:val="00391FE7"/>
    <w:rsid w:val="0039215F"/>
    <w:rsid w:val="00392666"/>
    <w:rsid w:val="00392767"/>
    <w:rsid w:val="003927D6"/>
    <w:rsid w:val="00392A01"/>
    <w:rsid w:val="00392A1D"/>
    <w:rsid w:val="00392B2D"/>
    <w:rsid w:val="00392BE3"/>
    <w:rsid w:val="00392E99"/>
    <w:rsid w:val="003931E7"/>
    <w:rsid w:val="00393313"/>
    <w:rsid w:val="00393456"/>
    <w:rsid w:val="00393490"/>
    <w:rsid w:val="00393668"/>
    <w:rsid w:val="003938E3"/>
    <w:rsid w:val="00393B6A"/>
    <w:rsid w:val="00393CFD"/>
    <w:rsid w:val="00393D95"/>
    <w:rsid w:val="00393FBA"/>
    <w:rsid w:val="00394182"/>
    <w:rsid w:val="00394194"/>
    <w:rsid w:val="003941E3"/>
    <w:rsid w:val="00394218"/>
    <w:rsid w:val="00394262"/>
    <w:rsid w:val="00394545"/>
    <w:rsid w:val="0039461C"/>
    <w:rsid w:val="003948A1"/>
    <w:rsid w:val="003948FC"/>
    <w:rsid w:val="003949B2"/>
    <w:rsid w:val="00394A57"/>
    <w:rsid w:val="00394B66"/>
    <w:rsid w:val="00394E42"/>
    <w:rsid w:val="00394E4A"/>
    <w:rsid w:val="003950ED"/>
    <w:rsid w:val="00395299"/>
    <w:rsid w:val="0039532F"/>
    <w:rsid w:val="0039533B"/>
    <w:rsid w:val="003954D6"/>
    <w:rsid w:val="0039565D"/>
    <w:rsid w:val="003958F4"/>
    <w:rsid w:val="00395A3D"/>
    <w:rsid w:val="00395B35"/>
    <w:rsid w:val="00395D89"/>
    <w:rsid w:val="00395D9B"/>
    <w:rsid w:val="00395E0D"/>
    <w:rsid w:val="00395E47"/>
    <w:rsid w:val="00396348"/>
    <w:rsid w:val="0039645A"/>
    <w:rsid w:val="0039679E"/>
    <w:rsid w:val="00396A1D"/>
    <w:rsid w:val="00396A9D"/>
    <w:rsid w:val="00396ED2"/>
    <w:rsid w:val="00396EE2"/>
    <w:rsid w:val="00396FD4"/>
    <w:rsid w:val="003970FD"/>
    <w:rsid w:val="003971B0"/>
    <w:rsid w:val="0039724D"/>
    <w:rsid w:val="0039728C"/>
    <w:rsid w:val="00397588"/>
    <w:rsid w:val="00397934"/>
    <w:rsid w:val="00397DFA"/>
    <w:rsid w:val="00397E59"/>
    <w:rsid w:val="00397FB3"/>
    <w:rsid w:val="003A008F"/>
    <w:rsid w:val="003A010D"/>
    <w:rsid w:val="003A0253"/>
    <w:rsid w:val="003A03EA"/>
    <w:rsid w:val="003A0977"/>
    <w:rsid w:val="003A0BEC"/>
    <w:rsid w:val="003A0C60"/>
    <w:rsid w:val="003A0D0F"/>
    <w:rsid w:val="003A0DD4"/>
    <w:rsid w:val="003A0F61"/>
    <w:rsid w:val="003A10DA"/>
    <w:rsid w:val="003A1269"/>
    <w:rsid w:val="003A14B5"/>
    <w:rsid w:val="003A1709"/>
    <w:rsid w:val="003A176F"/>
    <w:rsid w:val="003A1839"/>
    <w:rsid w:val="003A1888"/>
    <w:rsid w:val="003A1AC8"/>
    <w:rsid w:val="003A1B51"/>
    <w:rsid w:val="003A1D9D"/>
    <w:rsid w:val="003A20AC"/>
    <w:rsid w:val="003A2109"/>
    <w:rsid w:val="003A21AF"/>
    <w:rsid w:val="003A24E9"/>
    <w:rsid w:val="003A252C"/>
    <w:rsid w:val="003A2A45"/>
    <w:rsid w:val="003A2B17"/>
    <w:rsid w:val="003A2F04"/>
    <w:rsid w:val="003A3096"/>
    <w:rsid w:val="003A312A"/>
    <w:rsid w:val="003A363B"/>
    <w:rsid w:val="003A36A1"/>
    <w:rsid w:val="003A3799"/>
    <w:rsid w:val="003A39BE"/>
    <w:rsid w:val="003A39E8"/>
    <w:rsid w:val="003A3A75"/>
    <w:rsid w:val="003A3DF4"/>
    <w:rsid w:val="003A3E1B"/>
    <w:rsid w:val="003A3E5D"/>
    <w:rsid w:val="003A419D"/>
    <w:rsid w:val="003A444D"/>
    <w:rsid w:val="003A44D1"/>
    <w:rsid w:val="003A462C"/>
    <w:rsid w:val="003A46DE"/>
    <w:rsid w:val="003A470C"/>
    <w:rsid w:val="003A47F3"/>
    <w:rsid w:val="003A4B95"/>
    <w:rsid w:val="003A4E1A"/>
    <w:rsid w:val="003A4EC4"/>
    <w:rsid w:val="003A5003"/>
    <w:rsid w:val="003A556E"/>
    <w:rsid w:val="003A58CD"/>
    <w:rsid w:val="003A58FA"/>
    <w:rsid w:val="003A590C"/>
    <w:rsid w:val="003A5C8D"/>
    <w:rsid w:val="003A5C9E"/>
    <w:rsid w:val="003A5DF6"/>
    <w:rsid w:val="003A5EE0"/>
    <w:rsid w:val="003A5FA0"/>
    <w:rsid w:val="003A61D4"/>
    <w:rsid w:val="003A61D9"/>
    <w:rsid w:val="003A6311"/>
    <w:rsid w:val="003A65F3"/>
    <w:rsid w:val="003A66B7"/>
    <w:rsid w:val="003A6A21"/>
    <w:rsid w:val="003A6BA3"/>
    <w:rsid w:val="003A6C7F"/>
    <w:rsid w:val="003A6E7A"/>
    <w:rsid w:val="003A72FA"/>
    <w:rsid w:val="003A734E"/>
    <w:rsid w:val="003A7458"/>
    <w:rsid w:val="003A76DA"/>
    <w:rsid w:val="003A77A7"/>
    <w:rsid w:val="003A7851"/>
    <w:rsid w:val="003A7852"/>
    <w:rsid w:val="003A7920"/>
    <w:rsid w:val="003A7C33"/>
    <w:rsid w:val="003A7C87"/>
    <w:rsid w:val="003A7D61"/>
    <w:rsid w:val="003A7E11"/>
    <w:rsid w:val="003A7E21"/>
    <w:rsid w:val="003A7FB3"/>
    <w:rsid w:val="003B00C7"/>
    <w:rsid w:val="003B03B9"/>
    <w:rsid w:val="003B048B"/>
    <w:rsid w:val="003B0493"/>
    <w:rsid w:val="003B05B2"/>
    <w:rsid w:val="003B06C0"/>
    <w:rsid w:val="003B09FB"/>
    <w:rsid w:val="003B0AD6"/>
    <w:rsid w:val="003B0B04"/>
    <w:rsid w:val="003B0D03"/>
    <w:rsid w:val="003B0D68"/>
    <w:rsid w:val="003B1002"/>
    <w:rsid w:val="003B1437"/>
    <w:rsid w:val="003B15EA"/>
    <w:rsid w:val="003B171B"/>
    <w:rsid w:val="003B1B75"/>
    <w:rsid w:val="003B1BBF"/>
    <w:rsid w:val="003B1C80"/>
    <w:rsid w:val="003B1F4E"/>
    <w:rsid w:val="003B206F"/>
    <w:rsid w:val="003B2086"/>
    <w:rsid w:val="003B20DE"/>
    <w:rsid w:val="003B2176"/>
    <w:rsid w:val="003B227E"/>
    <w:rsid w:val="003B229D"/>
    <w:rsid w:val="003B24B4"/>
    <w:rsid w:val="003B260B"/>
    <w:rsid w:val="003B2641"/>
    <w:rsid w:val="003B264C"/>
    <w:rsid w:val="003B289D"/>
    <w:rsid w:val="003B2D5D"/>
    <w:rsid w:val="003B2E39"/>
    <w:rsid w:val="003B2E7F"/>
    <w:rsid w:val="003B2F19"/>
    <w:rsid w:val="003B3133"/>
    <w:rsid w:val="003B325B"/>
    <w:rsid w:val="003B34CD"/>
    <w:rsid w:val="003B3520"/>
    <w:rsid w:val="003B369E"/>
    <w:rsid w:val="003B3771"/>
    <w:rsid w:val="003B3878"/>
    <w:rsid w:val="003B3AC1"/>
    <w:rsid w:val="003B3E20"/>
    <w:rsid w:val="003B3EDF"/>
    <w:rsid w:val="003B3F35"/>
    <w:rsid w:val="003B41F4"/>
    <w:rsid w:val="003B4563"/>
    <w:rsid w:val="003B464A"/>
    <w:rsid w:val="003B482A"/>
    <w:rsid w:val="003B4953"/>
    <w:rsid w:val="003B4CA6"/>
    <w:rsid w:val="003B4DF3"/>
    <w:rsid w:val="003B4F21"/>
    <w:rsid w:val="003B516E"/>
    <w:rsid w:val="003B51D3"/>
    <w:rsid w:val="003B56FC"/>
    <w:rsid w:val="003B58BE"/>
    <w:rsid w:val="003B58E9"/>
    <w:rsid w:val="003B5971"/>
    <w:rsid w:val="003B5A80"/>
    <w:rsid w:val="003B5B13"/>
    <w:rsid w:val="003B5B2B"/>
    <w:rsid w:val="003B5D11"/>
    <w:rsid w:val="003B5FF0"/>
    <w:rsid w:val="003B603E"/>
    <w:rsid w:val="003B61A0"/>
    <w:rsid w:val="003B626C"/>
    <w:rsid w:val="003B634C"/>
    <w:rsid w:val="003B638A"/>
    <w:rsid w:val="003B64A0"/>
    <w:rsid w:val="003B64A2"/>
    <w:rsid w:val="003B6533"/>
    <w:rsid w:val="003B6627"/>
    <w:rsid w:val="003B66BF"/>
    <w:rsid w:val="003B67E6"/>
    <w:rsid w:val="003B67F9"/>
    <w:rsid w:val="003B6CC1"/>
    <w:rsid w:val="003B6F26"/>
    <w:rsid w:val="003B6F84"/>
    <w:rsid w:val="003B70C4"/>
    <w:rsid w:val="003B7151"/>
    <w:rsid w:val="003B73AD"/>
    <w:rsid w:val="003B7871"/>
    <w:rsid w:val="003B78F2"/>
    <w:rsid w:val="003B7A42"/>
    <w:rsid w:val="003B7A6B"/>
    <w:rsid w:val="003B7C91"/>
    <w:rsid w:val="003B7E19"/>
    <w:rsid w:val="003B7E31"/>
    <w:rsid w:val="003B7E5B"/>
    <w:rsid w:val="003C01D6"/>
    <w:rsid w:val="003C024C"/>
    <w:rsid w:val="003C02BB"/>
    <w:rsid w:val="003C069C"/>
    <w:rsid w:val="003C0714"/>
    <w:rsid w:val="003C07BC"/>
    <w:rsid w:val="003C0953"/>
    <w:rsid w:val="003C0A0E"/>
    <w:rsid w:val="003C0A3D"/>
    <w:rsid w:val="003C0B94"/>
    <w:rsid w:val="003C0CB2"/>
    <w:rsid w:val="003C0CE6"/>
    <w:rsid w:val="003C0D00"/>
    <w:rsid w:val="003C0DB8"/>
    <w:rsid w:val="003C0E62"/>
    <w:rsid w:val="003C0F2F"/>
    <w:rsid w:val="003C104C"/>
    <w:rsid w:val="003C11D7"/>
    <w:rsid w:val="003C161C"/>
    <w:rsid w:val="003C16A1"/>
    <w:rsid w:val="003C172D"/>
    <w:rsid w:val="003C17FB"/>
    <w:rsid w:val="003C1A66"/>
    <w:rsid w:val="003C1BA7"/>
    <w:rsid w:val="003C1CED"/>
    <w:rsid w:val="003C1EDC"/>
    <w:rsid w:val="003C22E0"/>
    <w:rsid w:val="003C23D4"/>
    <w:rsid w:val="003C24F1"/>
    <w:rsid w:val="003C25A4"/>
    <w:rsid w:val="003C2673"/>
    <w:rsid w:val="003C281C"/>
    <w:rsid w:val="003C2982"/>
    <w:rsid w:val="003C2A52"/>
    <w:rsid w:val="003C2ADE"/>
    <w:rsid w:val="003C2CDF"/>
    <w:rsid w:val="003C2D99"/>
    <w:rsid w:val="003C2E48"/>
    <w:rsid w:val="003C2F1F"/>
    <w:rsid w:val="003C3175"/>
    <w:rsid w:val="003C31BA"/>
    <w:rsid w:val="003C31D9"/>
    <w:rsid w:val="003C3997"/>
    <w:rsid w:val="003C3A2A"/>
    <w:rsid w:val="003C3B3F"/>
    <w:rsid w:val="003C3CC5"/>
    <w:rsid w:val="003C3D1B"/>
    <w:rsid w:val="003C3D8C"/>
    <w:rsid w:val="003C3E66"/>
    <w:rsid w:val="003C40E8"/>
    <w:rsid w:val="003C4158"/>
    <w:rsid w:val="003C439D"/>
    <w:rsid w:val="003C44AB"/>
    <w:rsid w:val="003C4537"/>
    <w:rsid w:val="003C478E"/>
    <w:rsid w:val="003C47D5"/>
    <w:rsid w:val="003C4A13"/>
    <w:rsid w:val="003C4C3A"/>
    <w:rsid w:val="003C4C64"/>
    <w:rsid w:val="003C4DBE"/>
    <w:rsid w:val="003C4E2E"/>
    <w:rsid w:val="003C5191"/>
    <w:rsid w:val="003C5232"/>
    <w:rsid w:val="003C529D"/>
    <w:rsid w:val="003C52D8"/>
    <w:rsid w:val="003C547E"/>
    <w:rsid w:val="003C5482"/>
    <w:rsid w:val="003C5560"/>
    <w:rsid w:val="003C5744"/>
    <w:rsid w:val="003C5804"/>
    <w:rsid w:val="003C5815"/>
    <w:rsid w:val="003C581F"/>
    <w:rsid w:val="003C5FA9"/>
    <w:rsid w:val="003C61BF"/>
    <w:rsid w:val="003C6233"/>
    <w:rsid w:val="003C6279"/>
    <w:rsid w:val="003C62A9"/>
    <w:rsid w:val="003C63DE"/>
    <w:rsid w:val="003C6562"/>
    <w:rsid w:val="003C65D4"/>
    <w:rsid w:val="003C675A"/>
    <w:rsid w:val="003C67A9"/>
    <w:rsid w:val="003C68AE"/>
    <w:rsid w:val="003C6A5D"/>
    <w:rsid w:val="003C6BBB"/>
    <w:rsid w:val="003C6BF3"/>
    <w:rsid w:val="003C6D65"/>
    <w:rsid w:val="003C6D8C"/>
    <w:rsid w:val="003C6EC8"/>
    <w:rsid w:val="003C6FE7"/>
    <w:rsid w:val="003C7068"/>
    <w:rsid w:val="003C7411"/>
    <w:rsid w:val="003C7635"/>
    <w:rsid w:val="003C76E0"/>
    <w:rsid w:val="003C7CA9"/>
    <w:rsid w:val="003C7DEC"/>
    <w:rsid w:val="003C7DEE"/>
    <w:rsid w:val="003C7E0D"/>
    <w:rsid w:val="003C7ECE"/>
    <w:rsid w:val="003D003D"/>
    <w:rsid w:val="003D044C"/>
    <w:rsid w:val="003D0634"/>
    <w:rsid w:val="003D069B"/>
    <w:rsid w:val="003D0CC7"/>
    <w:rsid w:val="003D0F97"/>
    <w:rsid w:val="003D1381"/>
    <w:rsid w:val="003D17FA"/>
    <w:rsid w:val="003D1882"/>
    <w:rsid w:val="003D1E41"/>
    <w:rsid w:val="003D1E5C"/>
    <w:rsid w:val="003D22C6"/>
    <w:rsid w:val="003D2949"/>
    <w:rsid w:val="003D2ADE"/>
    <w:rsid w:val="003D2B99"/>
    <w:rsid w:val="003D2D0F"/>
    <w:rsid w:val="003D317F"/>
    <w:rsid w:val="003D318C"/>
    <w:rsid w:val="003D325F"/>
    <w:rsid w:val="003D3435"/>
    <w:rsid w:val="003D36A4"/>
    <w:rsid w:val="003D3726"/>
    <w:rsid w:val="003D37D2"/>
    <w:rsid w:val="003D397A"/>
    <w:rsid w:val="003D3B5E"/>
    <w:rsid w:val="003D3EEC"/>
    <w:rsid w:val="003D40C9"/>
    <w:rsid w:val="003D4130"/>
    <w:rsid w:val="003D413D"/>
    <w:rsid w:val="003D41AE"/>
    <w:rsid w:val="003D41C0"/>
    <w:rsid w:val="003D4252"/>
    <w:rsid w:val="003D4314"/>
    <w:rsid w:val="003D439D"/>
    <w:rsid w:val="003D4466"/>
    <w:rsid w:val="003D464C"/>
    <w:rsid w:val="003D4884"/>
    <w:rsid w:val="003D491D"/>
    <w:rsid w:val="003D4A97"/>
    <w:rsid w:val="003D4CBB"/>
    <w:rsid w:val="003D4CC3"/>
    <w:rsid w:val="003D4DED"/>
    <w:rsid w:val="003D4FF9"/>
    <w:rsid w:val="003D514E"/>
    <w:rsid w:val="003D5236"/>
    <w:rsid w:val="003D53B9"/>
    <w:rsid w:val="003D53C0"/>
    <w:rsid w:val="003D53EB"/>
    <w:rsid w:val="003D557D"/>
    <w:rsid w:val="003D58C6"/>
    <w:rsid w:val="003D5B0B"/>
    <w:rsid w:val="003D5B0E"/>
    <w:rsid w:val="003D5BE0"/>
    <w:rsid w:val="003D5C35"/>
    <w:rsid w:val="003D5C51"/>
    <w:rsid w:val="003D5F03"/>
    <w:rsid w:val="003D6235"/>
    <w:rsid w:val="003D66B7"/>
    <w:rsid w:val="003D6AFC"/>
    <w:rsid w:val="003D6DB0"/>
    <w:rsid w:val="003D6EFA"/>
    <w:rsid w:val="003D6FD1"/>
    <w:rsid w:val="003D73AB"/>
    <w:rsid w:val="003D7538"/>
    <w:rsid w:val="003D7BF7"/>
    <w:rsid w:val="003E0369"/>
    <w:rsid w:val="003E042E"/>
    <w:rsid w:val="003E0620"/>
    <w:rsid w:val="003E07D7"/>
    <w:rsid w:val="003E0842"/>
    <w:rsid w:val="003E090C"/>
    <w:rsid w:val="003E0A08"/>
    <w:rsid w:val="003E0CFD"/>
    <w:rsid w:val="003E0D0D"/>
    <w:rsid w:val="003E0E84"/>
    <w:rsid w:val="003E0F84"/>
    <w:rsid w:val="003E15F9"/>
    <w:rsid w:val="003E1791"/>
    <w:rsid w:val="003E185C"/>
    <w:rsid w:val="003E1CA5"/>
    <w:rsid w:val="003E1D3F"/>
    <w:rsid w:val="003E20B6"/>
    <w:rsid w:val="003E2223"/>
    <w:rsid w:val="003E233E"/>
    <w:rsid w:val="003E238A"/>
    <w:rsid w:val="003E2AB6"/>
    <w:rsid w:val="003E2D99"/>
    <w:rsid w:val="003E2E71"/>
    <w:rsid w:val="003E2F5A"/>
    <w:rsid w:val="003E33B2"/>
    <w:rsid w:val="003E3436"/>
    <w:rsid w:val="003E3B39"/>
    <w:rsid w:val="003E3B3A"/>
    <w:rsid w:val="003E3CB0"/>
    <w:rsid w:val="003E3CBA"/>
    <w:rsid w:val="003E3CD6"/>
    <w:rsid w:val="003E3D33"/>
    <w:rsid w:val="003E3E81"/>
    <w:rsid w:val="003E3F52"/>
    <w:rsid w:val="003E3FFF"/>
    <w:rsid w:val="003E4033"/>
    <w:rsid w:val="003E4077"/>
    <w:rsid w:val="003E40CA"/>
    <w:rsid w:val="003E41D7"/>
    <w:rsid w:val="003E4288"/>
    <w:rsid w:val="003E496B"/>
    <w:rsid w:val="003E4C4B"/>
    <w:rsid w:val="003E4C71"/>
    <w:rsid w:val="003E5043"/>
    <w:rsid w:val="003E5166"/>
    <w:rsid w:val="003E53D7"/>
    <w:rsid w:val="003E559C"/>
    <w:rsid w:val="003E55AF"/>
    <w:rsid w:val="003E55B5"/>
    <w:rsid w:val="003E56CB"/>
    <w:rsid w:val="003E5744"/>
    <w:rsid w:val="003E58AB"/>
    <w:rsid w:val="003E5C67"/>
    <w:rsid w:val="003E5D87"/>
    <w:rsid w:val="003E5E7D"/>
    <w:rsid w:val="003E6018"/>
    <w:rsid w:val="003E6109"/>
    <w:rsid w:val="003E6111"/>
    <w:rsid w:val="003E63B2"/>
    <w:rsid w:val="003E6540"/>
    <w:rsid w:val="003E67A2"/>
    <w:rsid w:val="003E680E"/>
    <w:rsid w:val="003E6831"/>
    <w:rsid w:val="003E6884"/>
    <w:rsid w:val="003E68D8"/>
    <w:rsid w:val="003E693A"/>
    <w:rsid w:val="003E6958"/>
    <w:rsid w:val="003E6AAB"/>
    <w:rsid w:val="003E6C0B"/>
    <w:rsid w:val="003E6CCC"/>
    <w:rsid w:val="003E6CF2"/>
    <w:rsid w:val="003E6D95"/>
    <w:rsid w:val="003E6E04"/>
    <w:rsid w:val="003E6FE5"/>
    <w:rsid w:val="003E6FEA"/>
    <w:rsid w:val="003E72E4"/>
    <w:rsid w:val="003E7351"/>
    <w:rsid w:val="003E75A6"/>
    <w:rsid w:val="003E773C"/>
    <w:rsid w:val="003E7B4D"/>
    <w:rsid w:val="003E7CF9"/>
    <w:rsid w:val="003E7D12"/>
    <w:rsid w:val="003E7E21"/>
    <w:rsid w:val="003E7EB3"/>
    <w:rsid w:val="003E7F21"/>
    <w:rsid w:val="003E7F6F"/>
    <w:rsid w:val="003F03E4"/>
    <w:rsid w:val="003F0537"/>
    <w:rsid w:val="003F0975"/>
    <w:rsid w:val="003F0A31"/>
    <w:rsid w:val="003F0B8A"/>
    <w:rsid w:val="003F0C1D"/>
    <w:rsid w:val="003F0F52"/>
    <w:rsid w:val="003F1073"/>
    <w:rsid w:val="003F108A"/>
    <w:rsid w:val="003F11A2"/>
    <w:rsid w:val="003F1292"/>
    <w:rsid w:val="003F1298"/>
    <w:rsid w:val="003F14E6"/>
    <w:rsid w:val="003F15E5"/>
    <w:rsid w:val="003F1602"/>
    <w:rsid w:val="003F1830"/>
    <w:rsid w:val="003F196A"/>
    <w:rsid w:val="003F1A6B"/>
    <w:rsid w:val="003F200D"/>
    <w:rsid w:val="003F20E8"/>
    <w:rsid w:val="003F2130"/>
    <w:rsid w:val="003F22B0"/>
    <w:rsid w:val="003F22CE"/>
    <w:rsid w:val="003F245A"/>
    <w:rsid w:val="003F255B"/>
    <w:rsid w:val="003F27C5"/>
    <w:rsid w:val="003F2BFA"/>
    <w:rsid w:val="003F2D89"/>
    <w:rsid w:val="003F3071"/>
    <w:rsid w:val="003F3312"/>
    <w:rsid w:val="003F3431"/>
    <w:rsid w:val="003F345C"/>
    <w:rsid w:val="003F35C4"/>
    <w:rsid w:val="003F3620"/>
    <w:rsid w:val="003F3622"/>
    <w:rsid w:val="003F3655"/>
    <w:rsid w:val="003F3810"/>
    <w:rsid w:val="003F393C"/>
    <w:rsid w:val="003F3AA0"/>
    <w:rsid w:val="003F3CCC"/>
    <w:rsid w:val="003F3D4F"/>
    <w:rsid w:val="003F3F0A"/>
    <w:rsid w:val="003F3F80"/>
    <w:rsid w:val="003F4135"/>
    <w:rsid w:val="003F41BD"/>
    <w:rsid w:val="003F43B5"/>
    <w:rsid w:val="003F4523"/>
    <w:rsid w:val="003F4689"/>
    <w:rsid w:val="003F4982"/>
    <w:rsid w:val="003F4BBE"/>
    <w:rsid w:val="003F5314"/>
    <w:rsid w:val="003F538D"/>
    <w:rsid w:val="003F5485"/>
    <w:rsid w:val="003F5823"/>
    <w:rsid w:val="003F5967"/>
    <w:rsid w:val="003F5997"/>
    <w:rsid w:val="003F5A7A"/>
    <w:rsid w:val="003F5A9D"/>
    <w:rsid w:val="003F5C33"/>
    <w:rsid w:val="003F5DBF"/>
    <w:rsid w:val="003F632F"/>
    <w:rsid w:val="003F6637"/>
    <w:rsid w:val="003F6718"/>
    <w:rsid w:val="003F680E"/>
    <w:rsid w:val="003F6BB4"/>
    <w:rsid w:val="003F6D99"/>
    <w:rsid w:val="003F7142"/>
    <w:rsid w:val="003F722A"/>
    <w:rsid w:val="003F7538"/>
    <w:rsid w:val="003F771B"/>
    <w:rsid w:val="003F7BBD"/>
    <w:rsid w:val="003F7CF1"/>
    <w:rsid w:val="004000ED"/>
    <w:rsid w:val="004002A4"/>
    <w:rsid w:val="00400356"/>
    <w:rsid w:val="004003E1"/>
    <w:rsid w:val="00400467"/>
    <w:rsid w:val="004006EC"/>
    <w:rsid w:val="004007B8"/>
    <w:rsid w:val="00400808"/>
    <w:rsid w:val="004008CD"/>
    <w:rsid w:val="00400A7F"/>
    <w:rsid w:val="00400B46"/>
    <w:rsid w:val="00400CCF"/>
    <w:rsid w:val="00400D40"/>
    <w:rsid w:val="00400E55"/>
    <w:rsid w:val="00400E56"/>
    <w:rsid w:val="00400F81"/>
    <w:rsid w:val="00401057"/>
    <w:rsid w:val="004010AE"/>
    <w:rsid w:val="00401434"/>
    <w:rsid w:val="00401469"/>
    <w:rsid w:val="0040188D"/>
    <w:rsid w:val="004018B4"/>
    <w:rsid w:val="0040196C"/>
    <w:rsid w:val="00401B89"/>
    <w:rsid w:val="00401DB8"/>
    <w:rsid w:val="004020DE"/>
    <w:rsid w:val="004022C5"/>
    <w:rsid w:val="0040237F"/>
    <w:rsid w:val="0040287C"/>
    <w:rsid w:val="00402B9F"/>
    <w:rsid w:val="00402E23"/>
    <w:rsid w:val="00403034"/>
    <w:rsid w:val="004034DD"/>
    <w:rsid w:val="00403634"/>
    <w:rsid w:val="00403F4C"/>
    <w:rsid w:val="00403FBB"/>
    <w:rsid w:val="00404278"/>
    <w:rsid w:val="004043F9"/>
    <w:rsid w:val="0040464E"/>
    <w:rsid w:val="004046E2"/>
    <w:rsid w:val="004048AB"/>
    <w:rsid w:val="00404D55"/>
    <w:rsid w:val="00404DFB"/>
    <w:rsid w:val="00405469"/>
    <w:rsid w:val="004055B4"/>
    <w:rsid w:val="004057B3"/>
    <w:rsid w:val="004057B7"/>
    <w:rsid w:val="00405811"/>
    <w:rsid w:val="004059D2"/>
    <w:rsid w:val="00405AD1"/>
    <w:rsid w:val="00405D9A"/>
    <w:rsid w:val="00405EDD"/>
    <w:rsid w:val="00405F7B"/>
    <w:rsid w:val="00405FE2"/>
    <w:rsid w:val="0040634E"/>
    <w:rsid w:val="00406399"/>
    <w:rsid w:val="00406490"/>
    <w:rsid w:val="00406585"/>
    <w:rsid w:val="0040665F"/>
    <w:rsid w:val="0040679E"/>
    <w:rsid w:val="00406827"/>
    <w:rsid w:val="00406878"/>
    <w:rsid w:val="004068EF"/>
    <w:rsid w:val="00406906"/>
    <w:rsid w:val="00406DF3"/>
    <w:rsid w:val="00406F86"/>
    <w:rsid w:val="00407485"/>
    <w:rsid w:val="00407610"/>
    <w:rsid w:val="00407712"/>
    <w:rsid w:val="0040781C"/>
    <w:rsid w:val="0040788E"/>
    <w:rsid w:val="00407925"/>
    <w:rsid w:val="00407CF2"/>
    <w:rsid w:val="004102C3"/>
    <w:rsid w:val="00410417"/>
    <w:rsid w:val="004108E5"/>
    <w:rsid w:val="00410F67"/>
    <w:rsid w:val="00411587"/>
    <w:rsid w:val="004115AC"/>
    <w:rsid w:val="004115CB"/>
    <w:rsid w:val="00411630"/>
    <w:rsid w:val="004117A0"/>
    <w:rsid w:val="0041182D"/>
    <w:rsid w:val="00411898"/>
    <w:rsid w:val="00411AC0"/>
    <w:rsid w:val="00411E52"/>
    <w:rsid w:val="00411F60"/>
    <w:rsid w:val="004124E2"/>
    <w:rsid w:val="00412501"/>
    <w:rsid w:val="00412551"/>
    <w:rsid w:val="004125EE"/>
    <w:rsid w:val="00412D7A"/>
    <w:rsid w:val="00413140"/>
    <w:rsid w:val="004131F6"/>
    <w:rsid w:val="004132BD"/>
    <w:rsid w:val="00413391"/>
    <w:rsid w:val="0041353F"/>
    <w:rsid w:val="004135E4"/>
    <w:rsid w:val="004138EA"/>
    <w:rsid w:val="004138F9"/>
    <w:rsid w:val="00413AF9"/>
    <w:rsid w:val="00413CCA"/>
    <w:rsid w:val="00413CEA"/>
    <w:rsid w:val="00413D85"/>
    <w:rsid w:val="00414103"/>
    <w:rsid w:val="00414108"/>
    <w:rsid w:val="00414319"/>
    <w:rsid w:val="0041432C"/>
    <w:rsid w:val="00414395"/>
    <w:rsid w:val="004143BA"/>
    <w:rsid w:val="00414555"/>
    <w:rsid w:val="0041464D"/>
    <w:rsid w:val="0041465B"/>
    <w:rsid w:val="00414740"/>
    <w:rsid w:val="00414765"/>
    <w:rsid w:val="004149EC"/>
    <w:rsid w:val="00414A4E"/>
    <w:rsid w:val="00414F64"/>
    <w:rsid w:val="00414F76"/>
    <w:rsid w:val="0041501D"/>
    <w:rsid w:val="004150F5"/>
    <w:rsid w:val="004151FB"/>
    <w:rsid w:val="0041520F"/>
    <w:rsid w:val="00415256"/>
    <w:rsid w:val="0041527B"/>
    <w:rsid w:val="004152BB"/>
    <w:rsid w:val="004154DD"/>
    <w:rsid w:val="0041566B"/>
    <w:rsid w:val="004156DE"/>
    <w:rsid w:val="00415ACB"/>
    <w:rsid w:val="00415BEE"/>
    <w:rsid w:val="00415C22"/>
    <w:rsid w:val="00415D70"/>
    <w:rsid w:val="00415D9B"/>
    <w:rsid w:val="004165B4"/>
    <w:rsid w:val="00416623"/>
    <w:rsid w:val="00416703"/>
    <w:rsid w:val="00416968"/>
    <w:rsid w:val="00416C76"/>
    <w:rsid w:val="00416C91"/>
    <w:rsid w:val="00416CC0"/>
    <w:rsid w:val="00416FEF"/>
    <w:rsid w:val="00417054"/>
    <w:rsid w:val="0041732E"/>
    <w:rsid w:val="004173B3"/>
    <w:rsid w:val="004177C2"/>
    <w:rsid w:val="00417975"/>
    <w:rsid w:val="00417DBC"/>
    <w:rsid w:val="00420208"/>
    <w:rsid w:val="0042043B"/>
    <w:rsid w:val="0042044B"/>
    <w:rsid w:val="00420498"/>
    <w:rsid w:val="004205F0"/>
    <w:rsid w:val="00420965"/>
    <w:rsid w:val="0042099D"/>
    <w:rsid w:val="004209A0"/>
    <w:rsid w:val="00420B13"/>
    <w:rsid w:val="00420CC8"/>
    <w:rsid w:val="004210FE"/>
    <w:rsid w:val="00421129"/>
    <w:rsid w:val="004212F2"/>
    <w:rsid w:val="00421511"/>
    <w:rsid w:val="00421746"/>
    <w:rsid w:val="00421976"/>
    <w:rsid w:val="00421CFA"/>
    <w:rsid w:val="00421E18"/>
    <w:rsid w:val="004220C0"/>
    <w:rsid w:val="0042218E"/>
    <w:rsid w:val="004221BA"/>
    <w:rsid w:val="00422739"/>
    <w:rsid w:val="00422799"/>
    <w:rsid w:val="004228A2"/>
    <w:rsid w:val="00422B7D"/>
    <w:rsid w:val="00422B81"/>
    <w:rsid w:val="00423039"/>
    <w:rsid w:val="00423198"/>
    <w:rsid w:val="00423491"/>
    <w:rsid w:val="0042378F"/>
    <w:rsid w:val="00423850"/>
    <w:rsid w:val="00423976"/>
    <w:rsid w:val="00423A7D"/>
    <w:rsid w:val="00423E9F"/>
    <w:rsid w:val="004241F4"/>
    <w:rsid w:val="004243BB"/>
    <w:rsid w:val="00424B9A"/>
    <w:rsid w:val="00424BDE"/>
    <w:rsid w:val="00424E8A"/>
    <w:rsid w:val="00424E95"/>
    <w:rsid w:val="00424ED6"/>
    <w:rsid w:val="00425198"/>
    <w:rsid w:val="004252EE"/>
    <w:rsid w:val="004255A5"/>
    <w:rsid w:val="00425650"/>
    <w:rsid w:val="00425706"/>
    <w:rsid w:val="00425A44"/>
    <w:rsid w:val="00425CCF"/>
    <w:rsid w:val="00425F46"/>
    <w:rsid w:val="00425F7C"/>
    <w:rsid w:val="0042629A"/>
    <w:rsid w:val="004262FC"/>
    <w:rsid w:val="00426591"/>
    <w:rsid w:val="0042665F"/>
    <w:rsid w:val="004266DF"/>
    <w:rsid w:val="00426B50"/>
    <w:rsid w:val="00426B5B"/>
    <w:rsid w:val="00426D07"/>
    <w:rsid w:val="00426EBA"/>
    <w:rsid w:val="00427012"/>
    <w:rsid w:val="00427104"/>
    <w:rsid w:val="004271A2"/>
    <w:rsid w:val="00427262"/>
    <w:rsid w:val="00427975"/>
    <w:rsid w:val="004279C8"/>
    <w:rsid w:val="00427C09"/>
    <w:rsid w:val="00427EFC"/>
    <w:rsid w:val="00427F41"/>
    <w:rsid w:val="00427FC0"/>
    <w:rsid w:val="00430152"/>
    <w:rsid w:val="0043025E"/>
    <w:rsid w:val="00430346"/>
    <w:rsid w:val="004304C6"/>
    <w:rsid w:val="0043056B"/>
    <w:rsid w:val="004306F3"/>
    <w:rsid w:val="0043079C"/>
    <w:rsid w:val="004309B4"/>
    <w:rsid w:val="00430CE5"/>
    <w:rsid w:val="004310D0"/>
    <w:rsid w:val="00431548"/>
    <w:rsid w:val="00431571"/>
    <w:rsid w:val="0043188B"/>
    <w:rsid w:val="00431B77"/>
    <w:rsid w:val="00431F4B"/>
    <w:rsid w:val="00431FAA"/>
    <w:rsid w:val="00432133"/>
    <w:rsid w:val="004323FE"/>
    <w:rsid w:val="00432532"/>
    <w:rsid w:val="0043257B"/>
    <w:rsid w:val="00432581"/>
    <w:rsid w:val="00432600"/>
    <w:rsid w:val="004326EE"/>
    <w:rsid w:val="00432C34"/>
    <w:rsid w:val="00432E77"/>
    <w:rsid w:val="0043324B"/>
    <w:rsid w:val="0043361F"/>
    <w:rsid w:val="0043364F"/>
    <w:rsid w:val="004336A0"/>
    <w:rsid w:val="00433887"/>
    <w:rsid w:val="004339BD"/>
    <w:rsid w:val="00433A3B"/>
    <w:rsid w:val="00433AB7"/>
    <w:rsid w:val="00433BC8"/>
    <w:rsid w:val="00433D8F"/>
    <w:rsid w:val="00433D94"/>
    <w:rsid w:val="00433EAC"/>
    <w:rsid w:val="00433F89"/>
    <w:rsid w:val="0043408F"/>
    <w:rsid w:val="00434159"/>
    <w:rsid w:val="00434213"/>
    <w:rsid w:val="00434498"/>
    <w:rsid w:val="004346CD"/>
    <w:rsid w:val="004347AF"/>
    <w:rsid w:val="004347FE"/>
    <w:rsid w:val="00434888"/>
    <w:rsid w:val="00434B9F"/>
    <w:rsid w:val="00434BDC"/>
    <w:rsid w:val="00434E24"/>
    <w:rsid w:val="00435002"/>
    <w:rsid w:val="004352A2"/>
    <w:rsid w:val="004356DD"/>
    <w:rsid w:val="00435971"/>
    <w:rsid w:val="00435A5C"/>
    <w:rsid w:val="00435AF0"/>
    <w:rsid w:val="00436507"/>
    <w:rsid w:val="00436601"/>
    <w:rsid w:val="0043667C"/>
    <w:rsid w:val="004366DF"/>
    <w:rsid w:val="0043681C"/>
    <w:rsid w:val="00436AB1"/>
    <w:rsid w:val="00436C8C"/>
    <w:rsid w:val="00436CCD"/>
    <w:rsid w:val="00437090"/>
    <w:rsid w:val="004377A0"/>
    <w:rsid w:val="00437A85"/>
    <w:rsid w:val="00437ABA"/>
    <w:rsid w:val="00437AC9"/>
    <w:rsid w:val="00437AFF"/>
    <w:rsid w:val="00437C36"/>
    <w:rsid w:val="00437C7D"/>
    <w:rsid w:val="00437DF2"/>
    <w:rsid w:val="00437E9D"/>
    <w:rsid w:val="00437ECC"/>
    <w:rsid w:val="00437EF0"/>
    <w:rsid w:val="00437F53"/>
    <w:rsid w:val="00437FD6"/>
    <w:rsid w:val="00437FF2"/>
    <w:rsid w:val="00440019"/>
    <w:rsid w:val="0044021F"/>
    <w:rsid w:val="00440317"/>
    <w:rsid w:val="004403AA"/>
    <w:rsid w:val="004404E7"/>
    <w:rsid w:val="00440811"/>
    <w:rsid w:val="00440992"/>
    <w:rsid w:val="00440C87"/>
    <w:rsid w:val="00440ED5"/>
    <w:rsid w:val="0044107E"/>
    <w:rsid w:val="00441091"/>
    <w:rsid w:val="00441217"/>
    <w:rsid w:val="004412D7"/>
    <w:rsid w:val="00441334"/>
    <w:rsid w:val="00441444"/>
    <w:rsid w:val="0044146D"/>
    <w:rsid w:val="00441612"/>
    <w:rsid w:val="00441731"/>
    <w:rsid w:val="004418A1"/>
    <w:rsid w:val="00441A42"/>
    <w:rsid w:val="00441C7A"/>
    <w:rsid w:val="00441E1E"/>
    <w:rsid w:val="004421F0"/>
    <w:rsid w:val="0044236B"/>
    <w:rsid w:val="00442429"/>
    <w:rsid w:val="00442500"/>
    <w:rsid w:val="004425B8"/>
    <w:rsid w:val="004425F8"/>
    <w:rsid w:val="0044262E"/>
    <w:rsid w:val="00442D5E"/>
    <w:rsid w:val="00442F24"/>
    <w:rsid w:val="00442F7D"/>
    <w:rsid w:val="00443024"/>
    <w:rsid w:val="004430D2"/>
    <w:rsid w:val="00443381"/>
    <w:rsid w:val="0044341D"/>
    <w:rsid w:val="00443461"/>
    <w:rsid w:val="00443571"/>
    <w:rsid w:val="0044362F"/>
    <w:rsid w:val="004438A2"/>
    <w:rsid w:val="004439C5"/>
    <w:rsid w:val="00443A2E"/>
    <w:rsid w:val="00443B31"/>
    <w:rsid w:val="00443BAC"/>
    <w:rsid w:val="00443BC2"/>
    <w:rsid w:val="00443C2D"/>
    <w:rsid w:val="00443CAC"/>
    <w:rsid w:val="00443D5B"/>
    <w:rsid w:val="004442F4"/>
    <w:rsid w:val="00444316"/>
    <w:rsid w:val="00444592"/>
    <w:rsid w:val="00444599"/>
    <w:rsid w:val="00444657"/>
    <w:rsid w:val="004446C4"/>
    <w:rsid w:val="00444729"/>
    <w:rsid w:val="00444A18"/>
    <w:rsid w:val="00444CF7"/>
    <w:rsid w:val="00444E6D"/>
    <w:rsid w:val="00444F9D"/>
    <w:rsid w:val="004450EF"/>
    <w:rsid w:val="00445170"/>
    <w:rsid w:val="004453DA"/>
    <w:rsid w:val="004456D6"/>
    <w:rsid w:val="00445B7C"/>
    <w:rsid w:val="00445D6E"/>
    <w:rsid w:val="00445EC9"/>
    <w:rsid w:val="0044602F"/>
    <w:rsid w:val="0044604B"/>
    <w:rsid w:val="00446170"/>
    <w:rsid w:val="00446455"/>
    <w:rsid w:val="0044678F"/>
    <w:rsid w:val="00446799"/>
    <w:rsid w:val="00446859"/>
    <w:rsid w:val="00446882"/>
    <w:rsid w:val="00446899"/>
    <w:rsid w:val="00446B08"/>
    <w:rsid w:val="00446C34"/>
    <w:rsid w:val="004472B3"/>
    <w:rsid w:val="004474E5"/>
    <w:rsid w:val="004474E7"/>
    <w:rsid w:val="0044789E"/>
    <w:rsid w:val="00447C3B"/>
    <w:rsid w:val="00447CAC"/>
    <w:rsid w:val="00447EDA"/>
    <w:rsid w:val="0045030D"/>
    <w:rsid w:val="0045041B"/>
    <w:rsid w:val="004504C6"/>
    <w:rsid w:val="004507F0"/>
    <w:rsid w:val="0045089D"/>
    <w:rsid w:val="00450A65"/>
    <w:rsid w:val="00450C72"/>
    <w:rsid w:val="00450CE3"/>
    <w:rsid w:val="00450E3E"/>
    <w:rsid w:val="00450EB6"/>
    <w:rsid w:val="0045114C"/>
    <w:rsid w:val="0045114E"/>
    <w:rsid w:val="004511CC"/>
    <w:rsid w:val="0045134B"/>
    <w:rsid w:val="004514FA"/>
    <w:rsid w:val="00451593"/>
    <w:rsid w:val="0045162C"/>
    <w:rsid w:val="00451690"/>
    <w:rsid w:val="00451918"/>
    <w:rsid w:val="00451A7B"/>
    <w:rsid w:val="00451E6C"/>
    <w:rsid w:val="00452021"/>
    <w:rsid w:val="0045217C"/>
    <w:rsid w:val="004523EF"/>
    <w:rsid w:val="004524A6"/>
    <w:rsid w:val="00452AD7"/>
    <w:rsid w:val="00452C53"/>
    <w:rsid w:val="0045320F"/>
    <w:rsid w:val="0045341F"/>
    <w:rsid w:val="004539F1"/>
    <w:rsid w:val="00453A05"/>
    <w:rsid w:val="00453A8B"/>
    <w:rsid w:val="00453AC4"/>
    <w:rsid w:val="00453B74"/>
    <w:rsid w:val="00453CA9"/>
    <w:rsid w:val="00453F19"/>
    <w:rsid w:val="00454199"/>
    <w:rsid w:val="004542DF"/>
    <w:rsid w:val="0045435D"/>
    <w:rsid w:val="0045439D"/>
    <w:rsid w:val="00454513"/>
    <w:rsid w:val="0045460B"/>
    <w:rsid w:val="004547B1"/>
    <w:rsid w:val="0045486E"/>
    <w:rsid w:val="004548C3"/>
    <w:rsid w:val="00454976"/>
    <w:rsid w:val="00454A7E"/>
    <w:rsid w:val="00454B26"/>
    <w:rsid w:val="00454FDB"/>
    <w:rsid w:val="0045512B"/>
    <w:rsid w:val="00455177"/>
    <w:rsid w:val="00455260"/>
    <w:rsid w:val="00455289"/>
    <w:rsid w:val="0045553D"/>
    <w:rsid w:val="00455612"/>
    <w:rsid w:val="00455AEC"/>
    <w:rsid w:val="00455B21"/>
    <w:rsid w:val="00455DBA"/>
    <w:rsid w:val="00455DF6"/>
    <w:rsid w:val="00455F84"/>
    <w:rsid w:val="0045601F"/>
    <w:rsid w:val="00456118"/>
    <w:rsid w:val="0045613D"/>
    <w:rsid w:val="00456310"/>
    <w:rsid w:val="00456838"/>
    <w:rsid w:val="0045692D"/>
    <w:rsid w:val="004569ED"/>
    <w:rsid w:val="00456A1D"/>
    <w:rsid w:val="00456B76"/>
    <w:rsid w:val="00456FD0"/>
    <w:rsid w:val="004570D3"/>
    <w:rsid w:val="00457163"/>
    <w:rsid w:val="004572DD"/>
    <w:rsid w:val="00457581"/>
    <w:rsid w:val="00457B1E"/>
    <w:rsid w:val="00457D7B"/>
    <w:rsid w:val="00457E3A"/>
    <w:rsid w:val="00457E95"/>
    <w:rsid w:val="0046027C"/>
    <w:rsid w:val="004605AE"/>
    <w:rsid w:val="00460741"/>
    <w:rsid w:val="00460AAD"/>
    <w:rsid w:val="00460F2C"/>
    <w:rsid w:val="00460FA8"/>
    <w:rsid w:val="00460FDF"/>
    <w:rsid w:val="0046109C"/>
    <w:rsid w:val="00461447"/>
    <w:rsid w:val="0046151D"/>
    <w:rsid w:val="004618DB"/>
    <w:rsid w:val="00461AB2"/>
    <w:rsid w:val="00461BC1"/>
    <w:rsid w:val="00461C90"/>
    <w:rsid w:val="00461D35"/>
    <w:rsid w:val="00461E07"/>
    <w:rsid w:val="00461F85"/>
    <w:rsid w:val="004620B9"/>
    <w:rsid w:val="0046214F"/>
    <w:rsid w:val="00462266"/>
    <w:rsid w:val="00462307"/>
    <w:rsid w:val="00462409"/>
    <w:rsid w:val="00462418"/>
    <w:rsid w:val="0046274B"/>
    <w:rsid w:val="004627A8"/>
    <w:rsid w:val="004627CD"/>
    <w:rsid w:val="004628FB"/>
    <w:rsid w:val="004629AF"/>
    <w:rsid w:val="004629B4"/>
    <w:rsid w:val="00462AEE"/>
    <w:rsid w:val="00462BC3"/>
    <w:rsid w:val="00462C2A"/>
    <w:rsid w:val="00462E94"/>
    <w:rsid w:val="00462F1C"/>
    <w:rsid w:val="00463013"/>
    <w:rsid w:val="0046314B"/>
    <w:rsid w:val="004631E9"/>
    <w:rsid w:val="004632E8"/>
    <w:rsid w:val="004632FD"/>
    <w:rsid w:val="004633F7"/>
    <w:rsid w:val="00463738"/>
    <w:rsid w:val="0046375D"/>
    <w:rsid w:val="004639E1"/>
    <w:rsid w:val="00463AF4"/>
    <w:rsid w:val="00463CBE"/>
    <w:rsid w:val="00463E53"/>
    <w:rsid w:val="00463F3A"/>
    <w:rsid w:val="00464455"/>
    <w:rsid w:val="0046456A"/>
    <w:rsid w:val="004645BD"/>
    <w:rsid w:val="00464867"/>
    <w:rsid w:val="004649EF"/>
    <w:rsid w:val="00464BAF"/>
    <w:rsid w:val="00464BD4"/>
    <w:rsid w:val="00464F70"/>
    <w:rsid w:val="00464FC9"/>
    <w:rsid w:val="004651F1"/>
    <w:rsid w:val="00465260"/>
    <w:rsid w:val="004656C7"/>
    <w:rsid w:val="0046580B"/>
    <w:rsid w:val="00465A57"/>
    <w:rsid w:val="00465BC5"/>
    <w:rsid w:val="00465C46"/>
    <w:rsid w:val="00465D12"/>
    <w:rsid w:val="00465E1D"/>
    <w:rsid w:val="00465FDF"/>
    <w:rsid w:val="0046633D"/>
    <w:rsid w:val="0046641A"/>
    <w:rsid w:val="004665C0"/>
    <w:rsid w:val="004669D3"/>
    <w:rsid w:val="00466CD6"/>
    <w:rsid w:val="00467071"/>
    <w:rsid w:val="00467314"/>
    <w:rsid w:val="00467362"/>
    <w:rsid w:val="004673C9"/>
    <w:rsid w:val="0046746B"/>
    <w:rsid w:val="0046759E"/>
    <w:rsid w:val="00467780"/>
    <w:rsid w:val="0046789B"/>
    <w:rsid w:val="00467ACC"/>
    <w:rsid w:val="00467C76"/>
    <w:rsid w:val="00467DA6"/>
    <w:rsid w:val="0047038E"/>
    <w:rsid w:val="0047049B"/>
    <w:rsid w:val="00470614"/>
    <w:rsid w:val="004706B1"/>
    <w:rsid w:val="0047082D"/>
    <w:rsid w:val="004708A5"/>
    <w:rsid w:val="004709BF"/>
    <w:rsid w:val="00470B52"/>
    <w:rsid w:val="00470DB2"/>
    <w:rsid w:val="0047106C"/>
    <w:rsid w:val="00471262"/>
    <w:rsid w:val="00471545"/>
    <w:rsid w:val="0047164E"/>
    <w:rsid w:val="004716BE"/>
    <w:rsid w:val="00471727"/>
    <w:rsid w:val="00471B52"/>
    <w:rsid w:val="00471C5A"/>
    <w:rsid w:val="00471CD6"/>
    <w:rsid w:val="00471CE4"/>
    <w:rsid w:val="00471DD3"/>
    <w:rsid w:val="00471F35"/>
    <w:rsid w:val="00471F4D"/>
    <w:rsid w:val="004722E4"/>
    <w:rsid w:val="0047234D"/>
    <w:rsid w:val="0047236F"/>
    <w:rsid w:val="004728E0"/>
    <w:rsid w:val="00472D31"/>
    <w:rsid w:val="00472D7B"/>
    <w:rsid w:val="00472F09"/>
    <w:rsid w:val="00472F32"/>
    <w:rsid w:val="00473254"/>
    <w:rsid w:val="004736AD"/>
    <w:rsid w:val="004738D6"/>
    <w:rsid w:val="0047390E"/>
    <w:rsid w:val="00473C57"/>
    <w:rsid w:val="00473C81"/>
    <w:rsid w:val="00473D4A"/>
    <w:rsid w:val="00473F34"/>
    <w:rsid w:val="00473FE2"/>
    <w:rsid w:val="004741D5"/>
    <w:rsid w:val="0047471F"/>
    <w:rsid w:val="00474788"/>
    <w:rsid w:val="00474AC0"/>
    <w:rsid w:val="00474BF8"/>
    <w:rsid w:val="00474DB1"/>
    <w:rsid w:val="00474DDA"/>
    <w:rsid w:val="00474E52"/>
    <w:rsid w:val="0047513E"/>
    <w:rsid w:val="0047536E"/>
    <w:rsid w:val="00475458"/>
    <w:rsid w:val="004758F8"/>
    <w:rsid w:val="00475D56"/>
    <w:rsid w:val="0047606D"/>
    <w:rsid w:val="0047615E"/>
    <w:rsid w:val="004761E6"/>
    <w:rsid w:val="00476224"/>
    <w:rsid w:val="0047636C"/>
    <w:rsid w:val="0047664F"/>
    <w:rsid w:val="004766A6"/>
    <w:rsid w:val="00476D01"/>
    <w:rsid w:val="00476F52"/>
    <w:rsid w:val="00476F9C"/>
    <w:rsid w:val="00477102"/>
    <w:rsid w:val="0047721A"/>
    <w:rsid w:val="004774B3"/>
    <w:rsid w:val="004775B0"/>
    <w:rsid w:val="004776F3"/>
    <w:rsid w:val="0047774C"/>
    <w:rsid w:val="0047781F"/>
    <w:rsid w:val="0047785F"/>
    <w:rsid w:val="00477B19"/>
    <w:rsid w:val="00477CB9"/>
    <w:rsid w:val="00477CF0"/>
    <w:rsid w:val="00477CF5"/>
    <w:rsid w:val="00477E27"/>
    <w:rsid w:val="0048000A"/>
    <w:rsid w:val="004801DA"/>
    <w:rsid w:val="00480410"/>
    <w:rsid w:val="0048058E"/>
    <w:rsid w:val="004806DC"/>
    <w:rsid w:val="004807FF"/>
    <w:rsid w:val="00480A6B"/>
    <w:rsid w:val="00480D68"/>
    <w:rsid w:val="00480E15"/>
    <w:rsid w:val="00480F55"/>
    <w:rsid w:val="00480F81"/>
    <w:rsid w:val="00480FC2"/>
    <w:rsid w:val="00481176"/>
    <w:rsid w:val="00481178"/>
    <w:rsid w:val="004814FC"/>
    <w:rsid w:val="0048174A"/>
    <w:rsid w:val="004817A3"/>
    <w:rsid w:val="00481819"/>
    <w:rsid w:val="00481820"/>
    <w:rsid w:val="004819F1"/>
    <w:rsid w:val="00481A69"/>
    <w:rsid w:val="00481BD5"/>
    <w:rsid w:val="00481D4C"/>
    <w:rsid w:val="00481D97"/>
    <w:rsid w:val="00481EA6"/>
    <w:rsid w:val="00481F7B"/>
    <w:rsid w:val="00482100"/>
    <w:rsid w:val="00482184"/>
    <w:rsid w:val="00482477"/>
    <w:rsid w:val="0048248C"/>
    <w:rsid w:val="0048249F"/>
    <w:rsid w:val="0048270B"/>
    <w:rsid w:val="004828FA"/>
    <w:rsid w:val="00482998"/>
    <w:rsid w:val="00482A72"/>
    <w:rsid w:val="00482B1F"/>
    <w:rsid w:val="00482B9A"/>
    <w:rsid w:val="00482C85"/>
    <w:rsid w:val="00482D88"/>
    <w:rsid w:val="00483103"/>
    <w:rsid w:val="00483166"/>
    <w:rsid w:val="004831D0"/>
    <w:rsid w:val="004832C6"/>
    <w:rsid w:val="00483303"/>
    <w:rsid w:val="004834CC"/>
    <w:rsid w:val="004836E5"/>
    <w:rsid w:val="004836FE"/>
    <w:rsid w:val="004837C8"/>
    <w:rsid w:val="0048397E"/>
    <w:rsid w:val="00483AB6"/>
    <w:rsid w:val="004840F9"/>
    <w:rsid w:val="004842B2"/>
    <w:rsid w:val="004843A4"/>
    <w:rsid w:val="004844E6"/>
    <w:rsid w:val="00484503"/>
    <w:rsid w:val="00484864"/>
    <w:rsid w:val="004848C6"/>
    <w:rsid w:val="00484A02"/>
    <w:rsid w:val="00484CB0"/>
    <w:rsid w:val="004854C8"/>
    <w:rsid w:val="004855C5"/>
    <w:rsid w:val="00485755"/>
    <w:rsid w:val="0048577F"/>
    <w:rsid w:val="004858BA"/>
    <w:rsid w:val="00485A35"/>
    <w:rsid w:val="00485BF1"/>
    <w:rsid w:val="00485D2B"/>
    <w:rsid w:val="00485D94"/>
    <w:rsid w:val="00486624"/>
    <w:rsid w:val="0048670D"/>
    <w:rsid w:val="00486728"/>
    <w:rsid w:val="00486A57"/>
    <w:rsid w:val="00486B9F"/>
    <w:rsid w:val="00486C9D"/>
    <w:rsid w:val="0048717B"/>
    <w:rsid w:val="00487308"/>
    <w:rsid w:val="00487504"/>
    <w:rsid w:val="00487A9B"/>
    <w:rsid w:val="00487C9B"/>
    <w:rsid w:val="00487D04"/>
    <w:rsid w:val="00487D91"/>
    <w:rsid w:val="00487E32"/>
    <w:rsid w:val="004900AE"/>
    <w:rsid w:val="004902AE"/>
    <w:rsid w:val="004903B9"/>
    <w:rsid w:val="004905ED"/>
    <w:rsid w:val="004908DC"/>
    <w:rsid w:val="00490B0C"/>
    <w:rsid w:val="00490BE8"/>
    <w:rsid w:val="00490CC1"/>
    <w:rsid w:val="00490D0A"/>
    <w:rsid w:val="00490D60"/>
    <w:rsid w:val="00491004"/>
    <w:rsid w:val="00491408"/>
    <w:rsid w:val="00491473"/>
    <w:rsid w:val="004914B4"/>
    <w:rsid w:val="00491738"/>
    <w:rsid w:val="0049175A"/>
    <w:rsid w:val="004918B4"/>
    <w:rsid w:val="004918D9"/>
    <w:rsid w:val="0049193C"/>
    <w:rsid w:val="0049198C"/>
    <w:rsid w:val="00491CC8"/>
    <w:rsid w:val="00491EA4"/>
    <w:rsid w:val="00491FE1"/>
    <w:rsid w:val="00492003"/>
    <w:rsid w:val="0049206F"/>
    <w:rsid w:val="004921D3"/>
    <w:rsid w:val="0049228E"/>
    <w:rsid w:val="00492345"/>
    <w:rsid w:val="004923BD"/>
    <w:rsid w:val="0049256A"/>
    <w:rsid w:val="0049281B"/>
    <w:rsid w:val="004928AE"/>
    <w:rsid w:val="00492947"/>
    <w:rsid w:val="00492A78"/>
    <w:rsid w:val="00492CB2"/>
    <w:rsid w:val="00492DCF"/>
    <w:rsid w:val="00492F3B"/>
    <w:rsid w:val="00492F6F"/>
    <w:rsid w:val="00492FDF"/>
    <w:rsid w:val="004932E1"/>
    <w:rsid w:val="004932E8"/>
    <w:rsid w:val="00493715"/>
    <w:rsid w:val="00493872"/>
    <w:rsid w:val="00493954"/>
    <w:rsid w:val="00493A34"/>
    <w:rsid w:val="00493B26"/>
    <w:rsid w:val="00493BD7"/>
    <w:rsid w:val="00493BFD"/>
    <w:rsid w:val="00493C6A"/>
    <w:rsid w:val="00493CA7"/>
    <w:rsid w:val="00493E82"/>
    <w:rsid w:val="00493F50"/>
    <w:rsid w:val="004942FE"/>
    <w:rsid w:val="004943E2"/>
    <w:rsid w:val="004944CB"/>
    <w:rsid w:val="00494577"/>
    <w:rsid w:val="0049457A"/>
    <w:rsid w:val="004945AE"/>
    <w:rsid w:val="004945F1"/>
    <w:rsid w:val="00494A77"/>
    <w:rsid w:val="00494DB1"/>
    <w:rsid w:val="00494E20"/>
    <w:rsid w:val="00495026"/>
    <w:rsid w:val="004955D4"/>
    <w:rsid w:val="0049560F"/>
    <w:rsid w:val="00495646"/>
    <w:rsid w:val="004957A9"/>
    <w:rsid w:val="00495816"/>
    <w:rsid w:val="00495935"/>
    <w:rsid w:val="004959A5"/>
    <w:rsid w:val="00495FDC"/>
    <w:rsid w:val="004960F6"/>
    <w:rsid w:val="004964D1"/>
    <w:rsid w:val="004966D0"/>
    <w:rsid w:val="0049675C"/>
    <w:rsid w:val="00496C5D"/>
    <w:rsid w:val="00496C80"/>
    <w:rsid w:val="004970BB"/>
    <w:rsid w:val="00497108"/>
    <w:rsid w:val="0049734A"/>
    <w:rsid w:val="00497438"/>
    <w:rsid w:val="00497740"/>
    <w:rsid w:val="00497760"/>
    <w:rsid w:val="004977DF"/>
    <w:rsid w:val="00497DDA"/>
    <w:rsid w:val="00497EAF"/>
    <w:rsid w:val="00497FC5"/>
    <w:rsid w:val="004A016F"/>
    <w:rsid w:val="004A03F1"/>
    <w:rsid w:val="004A073A"/>
    <w:rsid w:val="004A085D"/>
    <w:rsid w:val="004A0947"/>
    <w:rsid w:val="004A0C85"/>
    <w:rsid w:val="004A0DE2"/>
    <w:rsid w:val="004A0EEF"/>
    <w:rsid w:val="004A103D"/>
    <w:rsid w:val="004A128D"/>
    <w:rsid w:val="004A1494"/>
    <w:rsid w:val="004A161C"/>
    <w:rsid w:val="004A1885"/>
    <w:rsid w:val="004A19AE"/>
    <w:rsid w:val="004A1A3F"/>
    <w:rsid w:val="004A1B25"/>
    <w:rsid w:val="004A1B8D"/>
    <w:rsid w:val="004A1C07"/>
    <w:rsid w:val="004A1CB3"/>
    <w:rsid w:val="004A1D17"/>
    <w:rsid w:val="004A1F42"/>
    <w:rsid w:val="004A2179"/>
    <w:rsid w:val="004A227E"/>
    <w:rsid w:val="004A22DD"/>
    <w:rsid w:val="004A2452"/>
    <w:rsid w:val="004A24DC"/>
    <w:rsid w:val="004A27F1"/>
    <w:rsid w:val="004A2A47"/>
    <w:rsid w:val="004A2AFC"/>
    <w:rsid w:val="004A2B05"/>
    <w:rsid w:val="004A2DC6"/>
    <w:rsid w:val="004A2E9D"/>
    <w:rsid w:val="004A2EC8"/>
    <w:rsid w:val="004A2F0B"/>
    <w:rsid w:val="004A2F5D"/>
    <w:rsid w:val="004A3121"/>
    <w:rsid w:val="004A3290"/>
    <w:rsid w:val="004A329A"/>
    <w:rsid w:val="004A3582"/>
    <w:rsid w:val="004A35A2"/>
    <w:rsid w:val="004A39B9"/>
    <w:rsid w:val="004A3AB5"/>
    <w:rsid w:val="004A3B1A"/>
    <w:rsid w:val="004A3B50"/>
    <w:rsid w:val="004A3FA1"/>
    <w:rsid w:val="004A3FF0"/>
    <w:rsid w:val="004A40D2"/>
    <w:rsid w:val="004A4521"/>
    <w:rsid w:val="004A4623"/>
    <w:rsid w:val="004A47FB"/>
    <w:rsid w:val="004A4B52"/>
    <w:rsid w:val="004A4CBD"/>
    <w:rsid w:val="004A545F"/>
    <w:rsid w:val="004A5786"/>
    <w:rsid w:val="004A57FE"/>
    <w:rsid w:val="004A58DD"/>
    <w:rsid w:val="004A590C"/>
    <w:rsid w:val="004A59C0"/>
    <w:rsid w:val="004A59C7"/>
    <w:rsid w:val="004A5CD1"/>
    <w:rsid w:val="004A5D6D"/>
    <w:rsid w:val="004A5E6D"/>
    <w:rsid w:val="004A5E88"/>
    <w:rsid w:val="004A5EAC"/>
    <w:rsid w:val="004A61A7"/>
    <w:rsid w:val="004A621A"/>
    <w:rsid w:val="004A6485"/>
    <w:rsid w:val="004A64E2"/>
    <w:rsid w:val="004A64F8"/>
    <w:rsid w:val="004A6857"/>
    <w:rsid w:val="004A69B0"/>
    <w:rsid w:val="004A6B33"/>
    <w:rsid w:val="004A6DF2"/>
    <w:rsid w:val="004A6FB6"/>
    <w:rsid w:val="004A70FB"/>
    <w:rsid w:val="004A7384"/>
    <w:rsid w:val="004A7754"/>
    <w:rsid w:val="004A78EC"/>
    <w:rsid w:val="004A79C9"/>
    <w:rsid w:val="004A7B2D"/>
    <w:rsid w:val="004A7E50"/>
    <w:rsid w:val="004A7F92"/>
    <w:rsid w:val="004B02EB"/>
    <w:rsid w:val="004B0326"/>
    <w:rsid w:val="004B0354"/>
    <w:rsid w:val="004B03B0"/>
    <w:rsid w:val="004B0522"/>
    <w:rsid w:val="004B05AA"/>
    <w:rsid w:val="004B069B"/>
    <w:rsid w:val="004B0728"/>
    <w:rsid w:val="004B09B8"/>
    <w:rsid w:val="004B0BF1"/>
    <w:rsid w:val="004B0CA1"/>
    <w:rsid w:val="004B0E0D"/>
    <w:rsid w:val="004B0EE6"/>
    <w:rsid w:val="004B0F76"/>
    <w:rsid w:val="004B0F88"/>
    <w:rsid w:val="004B101E"/>
    <w:rsid w:val="004B10F5"/>
    <w:rsid w:val="004B115B"/>
    <w:rsid w:val="004B16C5"/>
    <w:rsid w:val="004B1A5F"/>
    <w:rsid w:val="004B1C5E"/>
    <w:rsid w:val="004B1CD2"/>
    <w:rsid w:val="004B1DD3"/>
    <w:rsid w:val="004B1F69"/>
    <w:rsid w:val="004B2095"/>
    <w:rsid w:val="004B20A7"/>
    <w:rsid w:val="004B2272"/>
    <w:rsid w:val="004B22D5"/>
    <w:rsid w:val="004B24DB"/>
    <w:rsid w:val="004B24DC"/>
    <w:rsid w:val="004B252C"/>
    <w:rsid w:val="004B2563"/>
    <w:rsid w:val="004B25BE"/>
    <w:rsid w:val="004B2D35"/>
    <w:rsid w:val="004B2DB0"/>
    <w:rsid w:val="004B2E85"/>
    <w:rsid w:val="004B2EFA"/>
    <w:rsid w:val="004B311C"/>
    <w:rsid w:val="004B31BA"/>
    <w:rsid w:val="004B31BE"/>
    <w:rsid w:val="004B3212"/>
    <w:rsid w:val="004B345E"/>
    <w:rsid w:val="004B34D8"/>
    <w:rsid w:val="004B34E9"/>
    <w:rsid w:val="004B355A"/>
    <w:rsid w:val="004B374C"/>
    <w:rsid w:val="004B3848"/>
    <w:rsid w:val="004B395D"/>
    <w:rsid w:val="004B3997"/>
    <w:rsid w:val="004B39A6"/>
    <w:rsid w:val="004B3CF2"/>
    <w:rsid w:val="004B3DCD"/>
    <w:rsid w:val="004B3EF1"/>
    <w:rsid w:val="004B4061"/>
    <w:rsid w:val="004B426E"/>
    <w:rsid w:val="004B4361"/>
    <w:rsid w:val="004B4399"/>
    <w:rsid w:val="004B43E8"/>
    <w:rsid w:val="004B47BE"/>
    <w:rsid w:val="004B4854"/>
    <w:rsid w:val="004B49B9"/>
    <w:rsid w:val="004B4A3F"/>
    <w:rsid w:val="004B4F55"/>
    <w:rsid w:val="004B5013"/>
    <w:rsid w:val="004B50C3"/>
    <w:rsid w:val="004B5621"/>
    <w:rsid w:val="004B583B"/>
    <w:rsid w:val="004B5BF3"/>
    <w:rsid w:val="004B5DCD"/>
    <w:rsid w:val="004B6447"/>
    <w:rsid w:val="004B691A"/>
    <w:rsid w:val="004B6963"/>
    <w:rsid w:val="004B697E"/>
    <w:rsid w:val="004B6BBE"/>
    <w:rsid w:val="004B6D4B"/>
    <w:rsid w:val="004B6EE6"/>
    <w:rsid w:val="004B6F1D"/>
    <w:rsid w:val="004B7065"/>
    <w:rsid w:val="004B7410"/>
    <w:rsid w:val="004B7501"/>
    <w:rsid w:val="004B7554"/>
    <w:rsid w:val="004B7863"/>
    <w:rsid w:val="004B7B6B"/>
    <w:rsid w:val="004B7DBA"/>
    <w:rsid w:val="004B7E0D"/>
    <w:rsid w:val="004B7FDF"/>
    <w:rsid w:val="004C0101"/>
    <w:rsid w:val="004C0103"/>
    <w:rsid w:val="004C020B"/>
    <w:rsid w:val="004C028B"/>
    <w:rsid w:val="004C02D2"/>
    <w:rsid w:val="004C049A"/>
    <w:rsid w:val="004C04DD"/>
    <w:rsid w:val="004C0530"/>
    <w:rsid w:val="004C07C7"/>
    <w:rsid w:val="004C0A19"/>
    <w:rsid w:val="004C0B68"/>
    <w:rsid w:val="004C0B87"/>
    <w:rsid w:val="004C0D17"/>
    <w:rsid w:val="004C0D7C"/>
    <w:rsid w:val="004C0E3A"/>
    <w:rsid w:val="004C0E40"/>
    <w:rsid w:val="004C12D1"/>
    <w:rsid w:val="004C14E3"/>
    <w:rsid w:val="004C18E6"/>
    <w:rsid w:val="004C18FE"/>
    <w:rsid w:val="004C1965"/>
    <w:rsid w:val="004C19D8"/>
    <w:rsid w:val="004C1A13"/>
    <w:rsid w:val="004C1B82"/>
    <w:rsid w:val="004C1BBF"/>
    <w:rsid w:val="004C1C4D"/>
    <w:rsid w:val="004C2073"/>
    <w:rsid w:val="004C20EA"/>
    <w:rsid w:val="004C254B"/>
    <w:rsid w:val="004C269A"/>
    <w:rsid w:val="004C2768"/>
    <w:rsid w:val="004C2799"/>
    <w:rsid w:val="004C2942"/>
    <w:rsid w:val="004C2BAD"/>
    <w:rsid w:val="004C30B6"/>
    <w:rsid w:val="004C3157"/>
    <w:rsid w:val="004C3175"/>
    <w:rsid w:val="004C32FF"/>
    <w:rsid w:val="004C33EC"/>
    <w:rsid w:val="004C350F"/>
    <w:rsid w:val="004C35C1"/>
    <w:rsid w:val="004C3639"/>
    <w:rsid w:val="004C36DD"/>
    <w:rsid w:val="004C370B"/>
    <w:rsid w:val="004C3730"/>
    <w:rsid w:val="004C379F"/>
    <w:rsid w:val="004C3CDB"/>
    <w:rsid w:val="004C3CEF"/>
    <w:rsid w:val="004C4249"/>
    <w:rsid w:val="004C4450"/>
    <w:rsid w:val="004C45B5"/>
    <w:rsid w:val="004C4630"/>
    <w:rsid w:val="004C46B9"/>
    <w:rsid w:val="004C470E"/>
    <w:rsid w:val="004C47BB"/>
    <w:rsid w:val="004C47D4"/>
    <w:rsid w:val="004C4863"/>
    <w:rsid w:val="004C48D6"/>
    <w:rsid w:val="004C4B89"/>
    <w:rsid w:val="004C4C18"/>
    <w:rsid w:val="004C4C69"/>
    <w:rsid w:val="004C4E9A"/>
    <w:rsid w:val="004C4EB3"/>
    <w:rsid w:val="004C506F"/>
    <w:rsid w:val="004C5135"/>
    <w:rsid w:val="004C5204"/>
    <w:rsid w:val="004C52AF"/>
    <w:rsid w:val="004C555E"/>
    <w:rsid w:val="004C5670"/>
    <w:rsid w:val="004C57A7"/>
    <w:rsid w:val="004C5813"/>
    <w:rsid w:val="004C5AF1"/>
    <w:rsid w:val="004C5D29"/>
    <w:rsid w:val="004C5D35"/>
    <w:rsid w:val="004C5DCB"/>
    <w:rsid w:val="004C5EE6"/>
    <w:rsid w:val="004C5F70"/>
    <w:rsid w:val="004C5F72"/>
    <w:rsid w:val="004C60B6"/>
    <w:rsid w:val="004C619F"/>
    <w:rsid w:val="004C6257"/>
    <w:rsid w:val="004C64AF"/>
    <w:rsid w:val="004C6559"/>
    <w:rsid w:val="004C6759"/>
    <w:rsid w:val="004C6813"/>
    <w:rsid w:val="004C6C95"/>
    <w:rsid w:val="004C6E35"/>
    <w:rsid w:val="004C6EEA"/>
    <w:rsid w:val="004C6FC4"/>
    <w:rsid w:val="004C72EE"/>
    <w:rsid w:val="004C7490"/>
    <w:rsid w:val="004C7611"/>
    <w:rsid w:val="004C763D"/>
    <w:rsid w:val="004C7742"/>
    <w:rsid w:val="004C7A04"/>
    <w:rsid w:val="004C7A23"/>
    <w:rsid w:val="004C7F2F"/>
    <w:rsid w:val="004D00FB"/>
    <w:rsid w:val="004D023B"/>
    <w:rsid w:val="004D0371"/>
    <w:rsid w:val="004D0536"/>
    <w:rsid w:val="004D05E3"/>
    <w:rsid w:val="004D05F0"/>
    <w:rsid w:val="004D0943"/>
    <w:rsid w:val="004D0A43"/>
    <w:rsid w:val="004D0AAC"/>
    <w:rsid w:val="004D0AFF"/>
    <w:rsid w:val="004D0DBB"/>
    <w:rsid w:val="004D109B"/>
    <w:rsid w:val="004D12EA"/>
    <w:rsid w:val="004D1345"/>
    <w:rsid w:val="004D1466"/>
    <w:rsid w:val="004D1519"/>
    <w:rsid w:val="004D1844"/>
    <w:rsid w:val="004D18CC"/>
    <w:rsid w:val="004D1916"/>
    <w:rsid w:val="004D1A4F"/>
    <w:rsid w:val="004D1A8D"/>
    <w:rsid w:val="004D1B2C"/>
    <w:rsid w:val="004D2374"/>
    <w:rsid w:val="004D25C8"/>
    <w:rsid w:val="004D26E4"/>
    <w:rsid w:val="004D2728"/>
    <w:rsid w:val="004D2737"/>
    <w:rsid w:val="004D2A05"/>
    <w:rsid w:val="004D2C58"/>
    <w:rsid w:val="004D2D0D"/>
    <w:rsid w:val="004D3206"/>
    <w:rsid w:val="004D3502"/>
    <w:rsid w:val="004D3612"/>
    <w:rsid w:val="004D3730"/>
    <w:rsid w:val="004D3988"/>
    <w:rsid w:val="004D3A7E"/>
    <w:rsid w:val="004D3C12"/>
    <w:rsid w:val="004D3E57"/>
    <w:rsid w:val="004D3EDE"/>
    <w:rsid w:val="004D41E3"/>
    <w:rsid w:val="004D4234"/>
    <w:rsid w:val="004D435B"/>
    <w:rsid w:val="004D43E5"/>
    <w:rsid w:val="004D4503"/>
    <w:rsid w:val="004D466E"/>
    <w:rsid w:val="004D4785"/>
    <w:rsid w:val="004D4969"/>
    <w:rsid w:val="004D4F0D"/>
    <w:rsid w:val="004D50B3"/>
    <w:rsid w:val="004D552E"/>
    <w:rsid w:val="004D5A8F"/>
    <w:rsid w:val="004D5B14"/>
    <w:rsid w:val="004D5BC6"/>
    <w:rsid w:val="004D5C37"/>
    <w:rsid w:val="004D5F0E"/>
    <w:rsid w:val="004D627E"/>
    <w:rsid w:val="004D6552"/>
    <w:rsid w:val="004D680F"/>
    <w:rsid w:val="004D6FBD"/>
    <w:rsid w:val="004D6FBF"/>
    <w:rsid w:val="004D7042"/>
    <w:rsid w:val="004D7174"/>
    <w:rsid w:val="004D7215"/>
    <w:rsid w:val="004D729B"/>
    <w:rsid w:val="004D74B6"/>
    <w:rsid w:val="004D7E21"/>
    <w:rsid w:val="004D7F30"/>
    <w:rsid w:val="004E014A"/>
    <w:rsid w:val="004E019C"/>
    <w:rsid w:val="004E0606"/>
    <w:rsid w:val="004E064D"/>
    <w:rsid w:val="004E0708"/>
    <w:rsid w:val="004E080C"/>
    <w:rsid w:val="004E091D"/>
    <w:rsid w:val="004E0B74"/>
    <w:rsid w:val="004E0CDE"/>
    <w:rsid w:val="004E0D68"/>
    <w:rsid w:val="004E0DB4"/>
    <w:rsid w:val="004E11FF"/>
    <w:rsid w:val="004E14B4"/>
    <w:rsid w:val="004E15A1"/>
    <w:rsid w:val="004E1640"/>
    <w:rsid w:val="004E16B6"/>
    <w:rsid w:val="004E171C"/>
    <w:rsid w:val="004E1733"/>
    <w:rsid w:val="004E1875"/>
    <w:rsid w:val="004E1956"/>
    <w:rsid w:val="004E1BD2"/>
    <w:rsid w:val="004E1BE8"/>
    <w:rsid w:val="004E1C1A"/>
    <w:rsid w:val="004E1E13"/>
    <w:rsid w:val="004E1E7C"/>
    <w:rsid w:val="004E1F59"/>
    <w:rsid w:val="004E21D7"/>
    <w:rsid w:val="004E21E1"/>
    <w:rsid w:val="004E2318"/>
    <w:rsid w:val="004E2667"/>
    <w:rsid w:val="004E289A"/>
    <w:rsid w:val="004E29D5"/>
    <w:rsid w:val="004E2A80"/>
    <w:rsid w:val="004E2B35"/>
    <w:rsid w:val="004E2B4C"/>
    <w:rsid w:val="004E2CD6"/>
    <w:rsid w:val="004E2F88"/>
    <w:rsid w:val="004E2F95"/>
    <w:rsid w:val="004E338A"/>
    <w:rsid w:val="004E36E3"/>
    <w:rsid w:val="004E3B8C"/>
    <w:rsid w:val="004E3B93"/>
    <w:rsid w:val="004E3C29"/>
    <w:rsid w:val="004E3E3A"/>
    <w:rsid w:val="004E4024"/>
    <w:rsid w:val="004E41DD"/>
    <w:rsid w:val="004E4266"/>
    <w:rsid w:val="004E48C2"/>
    <w:rsid w:val="004E4922"/>
    <w:rsid w:val="004E49EB"/>
    <w:rsid w:val="004E4D25"/>
    <w:rsid w:val="004E4DB7"/>
    <w:rsid w:val="004E4E92"/>
    <w:rsid w:val="004E511C"/>
    <w:rsid w:val="004E537B"/>
    <w:rsid w:val="004E53DE"/>
    <w:rsid w:val="004E552C"/>
    <w:rsid w:val="004E594B"/>
    <w:rsid w:val="004E5A5F"/>
    <w:rsid w:val="004E5BB8"/>
    <w:rsid w:val="004E5C55"/>
    <w:rsid w:val="004E5EF6"/>
    <w:rsid w:val="004E61DF"/>
    <w:rsid w:val="004E6253"/>
    <w:rsid w:val="004E6641"/>
    <w:rsid w:val="004E66E5"/>
    <w:rsid w:val="004E6853"/>
    <w:rsid w:val="004E6A93"/>
    <w:rsid w:val="004E6C7F"/>
    <w:rsid w:val="004E6E58"/>
    <w:rsid w:val="004E6E5E"/>
    <w:rsid w:val="004E6E9E"/>
    <w:rsid w:val="004E6EA8"/>
    <w:rsid w:val="004E71AC"/>
    <w:rsid w:val="004E7395"/>
    <w:rsid w:val="004E7475"/>
    <w:rsid w:val="004E76D8"/>
    <w:rsid w:val="004E78E4"/>
    <w:rsid w:val="004E7998"/>
    <w:rsid w:val="004E7A2E"/>
    <w:rsid w:val="004F017C"/>
    <w:rsid w:val="004F0181"/>
    <w:rsid w:val="004F0398"/>
    <w:rsid w:val="004F0569"/>
    <w:rsid w:val="004F057C"/>
    <w:rsid w:val="004F0709"/>
    <w:rsid w:val="004F08E8"/>
    <w:rsid w:val="004F0B79"/>
    <w:rsid w:val="004F0BC3"/>
    <w:rsid w:val="004F0BFA"/>
    <w:rsid w:val="004F0DDE"/>
    <w:rsid w:val="004F0E67"/>
    <w:rsid w:val="004F0FF0"/>
    <w:rsid w:val="004F10F9"/>
    <w:rsid w:val="004F12E4"/>
    <w:rsid w:val="004F1493"/>
    <w:rsid w:val="004F15E1"/>
    <w:rsid w:val="004F17D1"/>
    <w:rsid w:val="004F18A9"/>
    <w:rsid w:val="004F1B2B"/>
    <w:rsid w:val="004F1CFD"/>
    <w:rsid w:val="004F1E64"/>
    <w:rsid w:val="004F20AB"/>
    <w:rsid w:val="004F21FA"/>
    <w:rsid w:val="004F24A4"/>
    <w:rsid w:val="004F2624"/>
    <w:rsid w:val="004F26ED"/>
    <w:rsid w:val="004F272F"/>
    <w:rsid w:val="004F2773"/>
    <w:rsid w:val="004F2793"/>
    <w:rsid w:val="004F292F"/>
    <w:rsid w:val="004F2E5D"/>
    <w:rsid w:val="004F3073"/>
    <w:rsid w:val="004F3206"/>
    <w:rsid w:val="004F337F"/>
    <w:rsid w:val="004F3459"/>
    <w:rsid w:val="004F3488"/>
    <w:rsid w:val="004F3572"/>
    <w:rsid w:val="004F35A3"/>
    <w:rsid w:val="004F3646"/>
    <w:rsid w:val="004F36DE"/>
    <w:rsid w:val="004F37B8"/>
    <w:rsid w:val="004F390C"/>
    <w:rsid w:val="004F3958"/>
    <w:rsid w:val="004F3A94"/>
    <w:rsid w:val="004F3B27"/>
    <w:rsid w:val="004F3BA6"/>
    <w:rsid w:val="004F3C88"/>
    <w:rsid w:val="004F3D58"/>
    <w:rsid w:val="004F3F22"/>
    <w:rsid w:val="004F3F54"/>
    <w:rsid w:val="004F41B0"/>
    <w:rsid w:val="004F4216"/>
    <w:rsid w:val="004F4397"/>
    <w:rsid w:val="004F4398"/>
    <w:rsid w:val="004F43A0"/>
    <w:rsid w:val="004F4573"/>
    <w:rsid w:val="004F457B"/>
    <w:rsid w:val="004F48A8"/>
    <w:rsid w:val="004F4B32"/>
    <w:rsid w:val="004F4DB9"/>
    <w:rsid w:val="004F4DC4"/>
    <w:rsid w:val="004F5202"/>
    <w:rsid w:val="004F5241"/>
    <w:rsid w:val="004F526F"/>
    <w:rsid w:val="004F5360"/>
    <w:rsid w:val="004F551E"/>
    <w:rsid w:val="004F5604"/>
    <w:rsid w:val="004F5830"/>
    <w:rsid w:val="004F598C"/>
    <w:rsid w:val="004F5BA8"/>
    <w:rsid w:val="004F5BAA"/>
    <w:rsid w:val="004F5C4D"/>
    <w:rsid w:val="004F5D2F"/>
    <w:rsid w:val="004F5F75"/>
    <w:rsid w:val="004F5FC4"/>
    <w:rsid w:val="004F6030"/>
    <w:rsid w:val="004F610E"/>
    <w:rsid w:val="004F6523"/>
    <w:rsid w:val="004F6611"/>
    <w:rsid w:val="004F670A"/>
    <w:rsid w:val="004F6801"/>
    <w:rsid w:val="004F693C"/>
    <w:rsid w:val="004F6A6E"/>
    <w:rsid w:val="004F6B84"/>
    <w:rsid w:val="004F6BB7"/>
    <w:rsid w:val="004F6CC2"/>
    <w:rsid w:val="004F6D52"/>
    <w:rsid w:val="004F6DF4"/>
    <w:rsid w:val="004F6E04"/>
    <w:rsid w:val="004F7008"/>
    <w:rsid w:val="004F7173"/>
    <w:rsid w:val="004F7253"/>
    <w:rsid w:val="004F7373"/>
    <w:rsid w:val="004F73BF"/>
    <w:rsid w:val="004F76DA"/>
    <w:rsid w:val="004F771C"/>
    <w:rsid w:val="004F7854"/>
    <w:rsid w:val="004F7957"/>
    <w:rsid w:val="004F7C17"/>
    <w:rsid w:val="004F7C50"/>
    <w:rsid w:val="0050016C"/>
    <w:rsid w:val="00500490"/>
    <w:rsid w:val="005007E6"/>
    <w:rsid w:val="005009FC"/>
    <w:rsid w:val="00500EEE"/>
    <w:rsid w:val="005011D3"/>
    <w:rsid w:val="005013F1"/>
    <w:rsid w:val="0050141C"/>
    <w:rsid w:val="005017C7"/>
    <w:rsid w:val="0050189F"/>
    <w:rsid w:val="0050191C"/>
    <w:rsid w:val="00501AAF"/>
    <w:rsid w:val="00501B75"/>
    <w:rsid w:val="00501C1A"/>
    <w:rsid w:val="00501CC0"/>
    <w:rsid w:val="00501DDB"/>
    <w:rsid w:val="0050201D"/>
    <w:rsid w:val="005020D0"/>
    <w:rsid w:val="00502366"/>
    <w:rsid w:val="00502986"/>
    <w:rsid w:val="00502B3B"/>
    <w:rsid w:val="00502D93"/>
    <w:rsid w:val="00502F09"/>
    <w:rsid w:val="00503170"/>
    <w:rsid w:val="005031B4"/>
    <w:rsid w:val="005032D6"/>
    <w:rsid w:val="005033A1"/>
    <w:rsid w:val="00503437"/>
    <w:rsid w:val="005034CF"/>
    <w:rsid w:val="00503553"/>
    <w:rsid w:val="00503688"/>
    <w:rsid w:val="005036C3"/>
    <w:rsid w:val="0050378B"/>
    <w:rsid w:val="0050383B"/>
    <w:rsid w:val="00503BDC"/>
    <w:rsid w:val="005043C0"/>
    <w:rsid w:val="005044F5"/>
    <w:rsid w:val="005045D5"/>
    <w:rsid w:val="0050471F"/>
    <w:rsid w:val="00504767"/>
    <w:rsid w:val="005047B7"/>
    <w:rsid w:val="005048F5"/>
    <w:rsid w:val="005049AB"/>
    <w:rsid w:val="00504A5B"/>
    <w:rsid w:val="00504DC7"/>
    <w:rsid w:val="00504F5F"/>
    <w:rsid w:val="005050DD"/>
    <w:rsid w:val="0050533E"/>
    <w:rsid w:val="005056EE"/>
    <w:rsid w:val="005057C9"/>
    <w:rsid w:val="005059B4"/>
    <w:rsid w:val="00505B59"/>
    <w:rsid w:val="00505C52"/>
    <w:rsid w:val="00505CB0"/>
    <w:rsid w:val="00505D50"/>
    <w:rsid w:val="00506168"/>
    <w:rsid w:val="00506205"/>
    <w:rsid w:val="0050624C"/>
    <w:rsid w:val="005063DD"/>
    <w:rsid w:val="005067E9"/>
    <w:rsid w:val="0050696C"/>
    <w:rsid w:val="00506BC1"/>
    <w:rsid w:val="00506CDB"/>
    <w:rsid w:val="00506D83"/>
    <w:rsid w:val="00506DD1"/>
    <w:rsid w:val="00506FCC"/>
    <w:rsid w:val="00507004"/>
    <w:rsid w:val="00507090"/>
    <w:rsid w:val="0050710C"/>
    <w:rsid w:val="0050758C"/>
    <w:rsid w:val="00507662"/>
    <w:rsid w:val="00507951"/>
    <w:rsid w:val="00507AF6"/>
    <w:rsid w:val="00507C53"/>
    <w:rsid w:val="00507E7A"/>
    <w:rsid w:val="00507FE8"/>
    <w:rsid w:val="00510075"/>
    <w:rsid w:val="0051009F"/>
    <w:rsid w:val="005101DF"/>
    <w:rsid w:val="0051035E"/>
    <w:rsid w:val="0051036D"/>
    <w:rsid w:val="00510584"/>
    <w:rsid w:val="005107BD"/>
    <w:rsid w:val="00510820"/>
    <w:rsid w:val="0051086F"/>
    <w:rsid w:val="00510B58"/>
    <w:rsid w:val="00510C34"/>
    <w:rsid w:val="005116EB"/>
    <w:rsid w:val="00511947"/>
    <w:rsid w:val="00511953"/>
    <w:rsid w:val="005119BE"/>
    <w:rsid w:val="00511A25"/>
    <w:rsid w:val="00511B38"/>
    <w:rsid w:val="00511CC0"/>
    <w:rsid w:val="005121B0"/>
    <w:rsid w:val="00512210"/>
    <w:rsid w:val="00512372"/>
    <w:rsid w:val="0051246E"/>
    <w:rsid w:val="0051248A"/>
    <w:rsid w:val="005124A4"/>
    <w:rsid w:val="005125E2"/>
    <w:rsid w:val="00512609"/>
    <w:rsid w:val="005128DC"/>
    <w:rsid w:val="00512AE9"/>
    <w:rsid w:val="00512B38"/>
    <w:rsid w:val="00512B60"/>
    <w:rsid w:val="00512B78"/>
    <w:rsid w:val="00512BB6"/>
    <w:rsid w:val="00513042"/>
    <w:rsid w:val="0051321A"/>
    <w:rsid w:val="00513424"/>
    <w:rsid w:val="00513767"/>
    <w:rsid w:val="005137FF"/>
    <w:rsid w:val="00513847"/>
    <w:rsid w:val="005139B6"/>
    <w:rsid w:val="00513A0B"/>
    <w:rsid w:val="00513B20"/>
    <w:rsid w:val="00513BA3"/>
    <w:rsid w:val="00513C64"/>
    <w:rsid w:val="00513F5A"/>
    <w:rsid w:val="005146DB"/>
    <w:rsid w:val="00514750"/>
    <w:rsid w:val="00514873"/>
    <w:rsid w:val="00514947"/>
    <w:rsid w:val="00514B17"/>
    <w:rsid w:val="00514B9A"/>
    <w:rsid w:val="00514BBF"/>
    <w:rsid w:val="00514FF1"/>
    <w:rsid w:val="00515636"/>
    <w:rsid w:val="0051563D"/>
    <w:rsid w:val="00515750"/>
    <w:rsid w:val="00515773"/>
    <w:rsid w:val="00515883"/>
    <w:rsid w:val="00515A0C"/>
    <w:rsid w:val="00515D0B"/>
    <w:rsid w:val="00515D31"/>
    <w:rsid w:val="00515DB2"/>
    <w:rsid w:val="00515EA3"/>
    <w:rsid w:val="00515F6F"/>
    <w:rsid w:val="0051608F"/>
    <w:rsid w:val="00516107"/>
    <w:rsid w:val="005165B4"/>
    <w:rsid w:val="005167F6"/>
    <w:rsid w:val="00516A52"/>
    <w:rsid w:val="00516D66"/>
    <w:rsid w:val="00516D9E"/>
    <w:rsid w:val="00516DD9"/>
    <w:rsid w:val="00516E67"/>
    <w:rsid w:val="00517127"/>
    <w:rsid w:val="00517236"/>
    <w:rsid w:val="00517264"/>
    <w:rsid w:val="00517663"/>
    <w:rsid w:val="005176A4"/>
    <w:rsid w:val="005179D0"/>
    <w:rsid w:val="00517BEF"/>
    <w:rsid w:val="00517C6F"/>
    <w:rsid w:val="00517EC4"/>
    <w:rsid w:val="00517F24"/>
    <w:rsid w:val="0052004E"/>
    <w:rsid w:val="0052012C"/>
    <w:rsid w:val="005201C7"/>
    <w:rsid w:val="0052031F"/>
    <w:rsid w:val="00520399"/>
    <w:rsid w:val="00520925"/>
    <w:rsid w:val="005209F4"/>
    <w:rsid w:val="00520B84"/>
    <w:rsid w:val="00520C82"/>
    <w:rsid w:val="0052147D"/>
    <w:rsid w:val="005214DA"/>
    <w:rsid w:val="005215BE"/>
    <w:rsid w:val="005218BF"/>
    <w:rsid w:val="005218C5"/>
    <w:rsid w:val="00521A37"/>
    <w:rsid w:val="00521CE3"/>
    <w:rsid w:val="00521DB7"/>
    <w:rsid w:val="00521ECD"/>
    <w:rsid w:val="005222D0"/>
    <w:rsid w:val="0052235F"/>
    <w:rsid w:val="005224C6"/>
    <w:rsid w:val="0052251D"/>
    <w:rsid w:val="005226A1"/>
    <w:rsid w:val="00522A12"/>
    <w:rsid w:val="00522C26"/>
    <w:rsid w:val="00522CD2"/>
    <w:rsid w:val="00522E91"/>
    <w:rsid w:val="00522EFF"/>
    <w:rsid w:val="0052321A"/>
    <w:rsid w:val="00523702"/>
    <w:rsid w:val="00523765"/>
    <w:rsid w:val="00523810"/>
    <w:rsid w:val="0052394A"/>
    <w:rsid w:val="00523B63"/>
    <w:rsid w:val="00523B7C"/>
    <w:rsid w:val="00523C2D"/>
    <w:rsid w:val="00523CF0"/>
    <w:rsid w:val="00523DE0"/>
    <w:rsid w:val="00523E25"/>
    <w:rsid w:val="00523F37"/>
    <w:rsid w:val="00523FB4"/>
    <w:rsid w:val="0052408A"/>
    <w:rsid w:val="00524332"/>
    <w:rsid w:val="0052448A"/>
    <w:rsid w:val="00524522"/>
    <w:rsid w:val="005245C7"/>
    <w:rsid w:val="00524863"/>
    <w:rsid w:val="00524AE9"/>
    <w:rsid w:val="00524B04"/>
    <w:rsid w:val="0052504D"/>
    <w:rsid w:val="005251A4"/>
    <w:rsid w:val="005251CE"/>
    <w:rsid w:val="0052530B"/>
    <w:rsid w:val="005253CE"/>
    <w:rsid w:val="0052562E"/>
    <w:rsid w:val="00525693"/>
    <w:rsid w:val="00525721"/>
    <w:rsid w:val="00525722"/>
    <w:rsid w:val="00525834"/>
    <w:rsid w:val="00525BC1"/>
    <w:rsid w:val="00525CC4"/>
    <w:rsid w:val="00525E69"/>
    <w:rsid w:val="00525E85"/>
    <w:rsid w:val="0052600B"/>
    <w:rsid w:val="005261DA"/>
    <w:rsid w:val="005266B6"/>
    <w:rsid w:val="00526CE0"/>
    <w:rsid w:val="00526E48"/>
    <w:rsid w:val="00526FF3"/>
    <w:rsid w:val="00527166"/>
    <w:rsid w:val="005271FD"/>
    <w:rsid w:val="00527276"/>
    <w:rsid w:val="005273CB"/>
    <w:rsid w:val="005275D0"/>
    <w:rsid w:val="0052768A"/>
    <w:rsid w:val="005276F7"/>
    <w:rsid w:val="005277D4"/>
    <w:rsid w:val="0052782E"/>
    <w:rsid w:val="00527B90"/>
    <w:rsid w:val="0053013D"/>
    <w:rsid w:val="005303A6"/>
    <w:rsid w:val="00530549"/>
    <w:rsid w:val="005306D0"/>
    <w:rsid w:val="005307A9"/>
    <w:rsid w:val="00530866"/>
    <w:rsid w:val="00530E8C"/>
    <w:rsid w:val="00531096"/>
    <w:rsid w:val="005310AF"/>
    <w:rsid w:val="00531249"/>
    <w:rsid w:val="00531374"/>
    <w:rsid w:val="005313B3"/>
    <w:rsid w:val="005313E0"/>
    <w:rsid w:val="005314A3"/>
    <w:rsid w:val="00531AC2"/>
    <w:rsid w:val="005320C4"/>
    <w:rsid w:val="005320CA"/>
    <w:rsid w:val="00532564"/>
    <w:rsid w:val="0053280F"/>
    <w:rsid w:val="005328CB"/>
    <w:rsid w:val="005328CD"/>
    <w:rsid w:val="00532A9F"/>
    <w:rsid w:val="00532EF4"/>
    <w:rsid w:val="00532F18"/>
    <w:rsid w:val="00532F4B"/>
    <w:rsid w:val="0053302F"/>
    <w:rsid w:val="005330AF"/>
    <w:rsid w:val="005330F3"/>
    <w:rsid w:val="005331BE"/>
    <w:rsid w:val="0053344F"/>
    <w:rsid w:val="00533524"/>
    <w:rsid w:val="00533525"/>
    <w:rsid w:val="00533707"/>
    <w:rsid w:val="00533866"/>
    <w:rsid w:val="00533965"/>
    <w:rsid w:val="00533BC5"/>
    <w:rsid w:val="00533CA1"/>
    <w:rsid w:val="00533DA8"/>
    <w:rsid w:val="00534049"/>
    <w:rsid w:val="005340E2"/>
    <w:rsid w:val="0053418A"/>
    <w:rsid w:val="00534394"/>
    <w:rsid w:val="00534411"/>
    <w:rsid w:val="005344F3"/>
    <w:rsid w:val="0053463E"/>
    <w:rsid w:val="00534674"/>
    <w:rsid w:val="005346F8"/>
    <w:rsid w:val="005348FC"/>
    <w:rsid w:val="00534964"/>
    <w:rsid w:val="005349C4"/>
    <w:rsid w:val="00534DB6"/>
    <w:rsid w:val="00534EF7"/>
    <w:rsid w:val="00535090"/>
    <w:rsid w:val="0053521A"/>
    <w:rsid w:val="00535284"/>
    <w:rsid w:val="0053539F"/>
    <w:rsid w:val="005354C1"/>
    <w:rsid w:val="00535AB9"/>
    <w:rsid w:val="00535B4C"/>
    <w:rsid w:val="00535CC9"/>
    <w:rsid w:val="00535DEF"/>
    <w:rsid w:val="00536096"/>
    <w:rsid w:val="00536178"/>
    <w:rsid w:val="005362D1"/>
    <w:rsid w:val="00536648"/>
    <w:rsid w:val="00536CC2"/>
    <w:rsid w:val="00537101"/>
    <w:rsid w:val="00537241"/>
    <w:rsid w:val="0053729F"/>
    <w:rsid w:val="005373D1"/>
    <w:rsid w:val="0053777D"/>
    <w:rsid w:val="00537785"/>
    <w:rsid w:val="0053790E"/>
    <w:rsid w:val="0053796D"/>
    <w:rsid w:val="005379A8"/>
    <w:rsid w:val="00537CD4"/>
    <w:rsid w:val="00537CDE"/>
    <w:rsid w:val="00540021"/>
    <w:rsid w:val="00540082"/>
    <w:rsid w:val="00540382"/>
    <w:rsid w:val="0054051C"/>
    <w:rsid w:val="00540556"/>
    <w:rsid w:val="005405BC"/>
    <w:rsid w:val="00540738"/>
    <w:rsid w:val="005407A4"/>
    <w:rsid w:val="005408A0"/>
    <w:rsid w:val="005408DC"/>
    <w:rsid w:val="005409AB"/>
    <w:rsid w:val="00540A00"/>
    <w:rsid w:val="00540A24"/>
    <w:rsid w:val="00540C0B"/>
    <w:rsid w:val="00540D71"/>
    <w:rsid w:val="00541197"/>
    <w:rsid w:val="00541354"/>
    <w:rsid w:val="005416F7"/>
    <w:rsid w:val="005419B4"/>
    <w:rsid w:val="00541B0E"/>
    <w:rsid w:val="00541BB8"/>
    <w:rsid w:val="00541D77"/>
    <w:rsid w:val="00541E23"/>
    <w:rsid w:val="0054208C"/>
    <w:rsid w:val="005424A7"/>
    <w:rsid w:val="005426CB"/>
    <w:rsid w:val="0054272A"/>
    <w:rsid w:val="00542B29"/>
    <w:rsid w:val="00542B57"/>
    <w:rsid w:val="00542E39"/>
    <w:rsid w:val="00542EAA"/>
    <w:rsid w:val="00542FA6"/>
    <w:rsid w:val="00543151"/>
    <w:rsid w:val="005431B7"/>
    <w:rsid w:val="00543543"/>
    <w:rsid w:val="00543712"/>
    <w:rsid w:val="005437D9"/>
    <w:rsid w:val="00543866"/>
    <w:rsid w:val="0054399F"/>
    <w:rsid w:val="00543C23"/>
    <w:rsid w:val="0054400B"/>
    <w:rsid w:val="00544332"/>
    <w:rsid w:val="0054463B"/>
    <w:rsid w:val="00544768"/>
    <w:rsid w:val="00544771"/>
    <w:rsid w:val="00544963"/>
    <w:rsid w:val="00544C22"/>
    <w:rsid w:val="00544D5A"/>
    <w:rsid w:val="00544E2A"/>
    <w:rsid w:val="00544E9C"/>
    <w:rsid w:val="00544FDC"/>
    <w:rsid w:val="00544FED"/>
    <w:rsid w:val="005451D7"/>
    <w:rsid w:val="00545472"/>
    <w:rsid w:val="00545520"/>
    <w:rsid w:val="00545611"/>
    <w:rsid w:val="00545840"/>
    <w:rsid w:val="00545CC9"/>
    <w:rsid w:val="00545F09"/>
    <w:rsid w:val="00545F29"/>
    <w:rsid w:val="0054618D"/>
    <w:rsid w:val="0054638C"/>
    <w:rsid w:val="005465E9"/>
    <w:rsid w:val="0054689C"/>
    <w:rsid w:val="00546A60"/>
    <w:rsid w:val="00546ADA"/>
    <w:rsid w:val="00546CB9"/>
    <w:rsid w:val="00546DD4"/>
    <w:rsid w:val="00546EBE"/>
    <w:rsid w:val="0054733F"/>
    <w:rsid w:val="00547363"/>
    <w:rsid w:val="00547417"/>
    <w:rsid w:val="005476DA"/>
    <w:rsid w:val="00547757"/>
    <w:rsid w:val="00547881"/>
    <w:rsid w:val="0054788A"/>
    <w:rsid w:val="00547931"/>
    <w:rsid w:val="0054797A"/>
    <w:rsid w:val="005479DA"/>
    <w:rsid w:val="00547AE7"/>
    <w:rsid w:val="00547C0C"/>
    <w:rsid w:val="00547FC9"/>
    <w:rsid w:val="00547FE8"/>
    <w:rsid w:val="00550006"/>
    <w:rsid w:val="005500C3"/>
    <w:rsid w:val="005502B4"/>
    <w:rsid w:val="005503E0"/>
    <w:rsid w:val="00550416"/>
    <w:rsid w:val="005504C8"/>
    <w:rsid w:val="00550821"/>
    <w:rsid w:val="00550976"/>
    <w:rsid w:val="005509A0"/>
    <w:rsid w:val="00550A94"/>
    <w:rsid w:val="00550B11"/>
    <w:rsid w:val="00550CED"/>
    <w:rsid w:val="00550D7C"/>
    <w:rsid w:val="00550DB9"/>
    <w:rsid w:val="00550FFE"/>
    <w:rsid w:val="00551105"/>
    <w:rsid w:val="005512AF"/>
    <w:rsid w:val="0055132D"/>
    <w:rsid w:val="005517E3"/>
    <w:rsid w:val="005517FC"/>
    <w:rsid w:val="00551ABE"/>
    <w:rsid w:val="00551CF9"/>
    <w:rsid w:val="0055204D"/>
    <w:rsid w:val="00552102"/>
    <w:rsid w:val="005521D3"/>
    <w:rsid w:val="005521E4"/>
    <w:rsid w:val="005522CF"/>
    <w:rsid w:val="005523A7"/>
    <w:rsid w:val="00552426"/>
    <w:rsid w:val="005524FF"/>
    <w:rsid w:val="0055259E"/>
    <w:rsid w:val="005525F2"/>
    <w:rsid w:val="0055276B"/>
    <w:rsid w:val="005527E9"/>
    <w:rsid w:val="00552947"/>
    <w:rsid w:val="00552D07"/>
    <w:rsid w:val="00552E26"/>
    <w:rsid w:val="00552EFB"/>
    <w:rsid w:val="00553128"/>
    <w:rsid w:val="0055346E"/>
    <w:rsid w:val="00553B7D"/>
    <w:rsid w:val="00553C19"/>
    <w:rsid w:val="00553DD0"/>
    <w:rsid w:val="00553E45"/>
    <w:rsid w:val="00553E47"/>
    <w:rsid w:val="005540BE"/>
    <w:rsid w:val="005541BB"/>
    <w:rsid w:val="0055447D"/>
    <w:rsid w:val="0055448E"/>
    <w:rsid w:val="005548BC"/>
    <w:rsid w:val="00554989"/>
    <w:rsid w:val="005549DB"/>
    <w:rsid w:val="00554C12"/>
    <w:rsid w:val="00554C84"/>
    <w:rsid w:val="00554DB9"/>
    <w:rsid w:val="00554F6B"/>
    <w:rsid w:val="005550E7"/>
    <w:rsid w:val="00555159"/>
    <w:rsid w:val="005553C3"/>
    <w:rsid w:val="005553F8"/>
    <w:rsid w:val="005556D4"/>
    <w:rsid w:val="00555C0D"/>
    <w:rsid w:val="00555CAC"/>
    <w:rsid w:val="00555F9F"/>
    <w:rsid w:val="005561F5"/>
    <w:rsid w:val="005564FB"/>
    <w:rsid w:val="00556582"/>
    <w:rsid w:val="005565AF"/>
    <w:rsid w:val="005565DF"/>
    <w:rsid w:val="00556725"/>
    <w:rsid w:val="00556787"/>
    <w:rsid w:val="005567CA"/>
    <w:rsid w:val="00556C3A"/>
    <w:rsid w:val="00556EB9"/>
    <w:rsid w:val="00557093"/>
    <w:rsid w:val="00557147"/>
    <w:rsid w:val="005571CF"/>
    <w:rsid w:val="0055723B"/>
    <w:rsid w:val="00557248"/>
    <w:rsid w:val="00557345"/>
    <w:rsid w:val="005573E0"/>
    <w:rsid w:val="00557594"/>
    <w:rsid w:val="00557647"/>
    <w:rsid w:val="00557692"/>
    <w:rsid w:val="005577E9"/>
    <w:rsid w:val="0055793D"/>
    <w:rsid w:val="00557BCA"/>
    <w:rsid w:val="00557D2A"/>
    <w:rsid w:val="00557E5E"/>
    <w:rsid w:val="00557FC0"/>
    <w:rsid w:val="005600A1"/>
    <w:rsid w:val="00560412"/>
    <w:rsid w:val="0056058B"/>
    <w:rsid w:val="00560648"/>
    <w:rsid w:val="005607EC"/>
    <w:rsid w:val="00560946"/>
    <w:rsid w:val="00560BB7"/>
    <w:rsid w:val="00560D06"/>
    <w:rsid w:val="00560D50"/>
    <w:rsid w:val="00560E03"/>
    <w:rsid w:val="00560E1C"/>
    <w:rsid w:val="00560F73"/>
    <w:rsid w:val="0056109B"/>
    <w:rsid w:val="0056145B"/>
    <w:rsid w:val="005615C8"/>
    <w:rsid w:val="00561C66"/>
    <w:rsid w:val="00561ECB"/>
    <w:rsid w:val="005620E4"/>
    <w:rsid w:val="0056215F"/>
    <w:rsid w:val="005621A8"/>
    <w:rsid w:val="005623D5"/>
    <w:rsid w:val="00562417"/>
    <w:rsid w:val="00562456"/>
    <w:rsid w:val="00562777"/>
    <w:rsid w:val="00562A6E"/>
    <w:rsid w:val="0056307F"/>
    <w:rsid w:val="00563213"/>
    <w:rsid w:val="0056328A"/>
    <w:rsid w:val="00563387"/>
    <w:rsid w:val="0056361A"/>
    <w:rsid w:val="00563A3A"/>
    <w:rsid w:val="00563B2D"/>
    <w:rsid w:val="00563BA2"/>
    <w:rsid w:val="00563BA9"/>
    <w:rsid w:val="00564113"/>
    <w:rsid w:val="00564203"/>
    <w:rsid w:val="0056428B"/>
    <w:rsid w:val="0056440D"/>
    <w:rsid w:val="00564A75"/>
    <w:rsid w:val="00564B2E"/>
    <w:rsid w:val="00564D4F"/>
    <w:rsid w:val="00564D6E"/>
    <w:rsid w:val="00564E6A"/>
    <w:rsid w:val="005650A4"/>
    <w:rsid w:val="00565379"/>
    <w:rsid w:val="00565835"/>
    <w:rsid w:val="00565850"/>
    <w:rsid w:val="00565899"/>
    <w:rsid w:val="00565C22"/>
    <w:rsid w:val="00565EF7"/>
    <w:rsid w:val="00565F1C"/>
    <w:rsid w:val="00565F6F"/>
    <w:rsid w:val="00566025"/>
    <w:rsid w:val="005661B4"/>
    <w:rsid w:val="00566510"/>
    <w:rsid w:val="00566A5E"/>
    <w:rsid w:val="00566BE7"/>
    <w:rsid w:val="005670C8"/>
    <w:rsid w:val="005670FF"/>
    <w:rsid w:val="0056710E"/>
    <w:rsid w:val="005671B9"/>
    <w:rsid w:val="0056744A"/>
    <w:rsid w:val="0056747E"/>
    <w:rsid w:val="00567516"/>
    <w:rsid w:val="0056783A"/>
    <w:rsid w:val="00567910"/>
    <w:rsid w:val="0056797A"/>
    <w:rsid w:val="005679ED"/>
    <w:rsid w:val="005679F9"/>
    <w:rsid w:val="00567AFD"/>
    <w:rsid w:val="00567B21"/>
    <w:rsid w:val="00567B25"/>
    <w:rsid w:val="00567BA8"/>
    <w:rsid w:val="00567D74"/>
    <w:rsid w:val="00567EA0"/>
    <w:rsid w:val="005701A6"/>
    <w:rsid w:val="00570365"/>
    <w:rsid w:val="005703F3"/>
    <w:rsid w:val="00570566"/>
    <w:rsid w:val="00570586"/>
    <w:rsid w:val="005705A2"/>
    <w:rsid w:val="0057088E"/>
    <w:rsid w:val="00570BDC"/>
    <w:rsid w:val="00570C89"/>
    <w:rsid w:val="0057122F"/>
    <w:rsid w:val="00571241"/>
    <w:rsid w:val="005712A3"/>
    <w:rsid w:val="005713B4"/>
    <w:rsid w:val="005713E1"/>
    <w:rsid w:val="005714A0"/>
    <w:rsid w:val="0057150B"/>
    <w:rsid w:val="0057152C"/>
    <w:rsid w:val="005715D6"/>
    <w:rsid w:val="005717CF"/>
    <w:rsid w:val="0057191C"/>
    <w:rsid w:val="005719B3"/>
    <w:rsid w:val="00571A13"/>
    <w:rsid w:val="00571A75"/>
    <w:rsid w:val="00571CC1"/>
    <w:rsid w:val="00571E26"/>
    <w:rsid w:val="00571EDD"/>
    <w:rsid w:val="00572058"/>
    <w:rsid w:val="005723E6"/>
    <w:rsid w:val="005724DC"/>
    <w:rsid w:val="0057282E"/>
    <w:rsid w:val="005729DF"/>
    <w:rsid w:val="005729F0"/>
    <w:rsid w:val="00572CD3"/>
    <w:rsid w:val="00572CEE"/>
    <w:rsid w:val="00572F65"/>
    <w:rsid w:val="00572FC5"/>
    <w:rsid w:val="0057353E"/>
    <w:rsid w:val="005738ED"/>
    <w:rsid w:val="005739FF"/>
    <w:rsid w:val="00573B9D"/>
    <w:rsid w:val="00573BC4"/>
    <w:rsid w:val="00573CEE"/>
    <w:rsid w:val="00573E28"/>
    <w:rsid w:val="00573F2E"/>
    <w:rsid w:val="00574057"/>
    <w:rsid w:val="005741AD"/>
    <w:rsid w:val="00574420"/>
    <w:rsid w:val="005744D1"/>
    <w:rsid w:val="005747A6"/>
    <w:rsid w:val="0057486F"/>
    <w:rsid w:val="00574A5A"/>
    <w:rsid w:val="00574B28"/>
    <w:rsid w:val="00574BD3"/>
    <w:rsid w:val="00574D46"/>
    <w:rsid w:val="00574EB3"/>
    <w:rsid w:val="00574F0A"/>
    <w:rsid w:val="00574FE7"/>
    <w:rsid w:val="00575326"/>
    <w:rsid w:val="005753E4"/>
    <w:rsid w:val="00575751"/>
    <w:rsid w:val="005757AF"/>
    <w:rsid w:val="00575841"/>
    <w:rsid w:val="00575A80"/>
    <w:rsid w:val="00575E62"/>
    <w:rsid w:val="00575E8F"/>
    <w:rsid w:val="005764FF"/>
    <w:rsid w:val="005767FA"/>
    <w:rsid w:val="0057682F"/>
    <w:rsid w:val="00576929"/>
    <w:rsid w:val="0057692F"/>
    <w:rsid w:val="00576971"/>
    <w:rsid w:val="005769D8"/>
    <w:rsid w:val="00576B80"/>
    <w:rsid w:val="00576DA5"/>
    <w:rsid w:val="00576E30"/>
    <w:rsid w:val="00576FE7"/>
    <w:rsid w:val="0057702F"/>
    <w:rsid w:val="0057748B"/>
    <w:rsid w:val="00577544"/>
    <w:rsid w:val="005775B5"/>
    <w:rsid w:val="00577610"/>
    <w:rsid w:val="005777DB"/>
    <w:rsid w:val="00577896"/>
    <w:rsid w:val="0057797A"/>
    <w:rsid w:val="005779CE"/>
    <w:rsid w:val="00577C1D"/>
    <w:rsid w:val="00577D23"/>
    <w:rsid w:val="005804B2"/>
    <w:rsid w:val="0058050A"/>
    <w:rsid w:val="005805A0"/>
    <w:rsid w:val="005808B4"/>
    <w:rsid w:val="005809D8"/>
    <w:rsid w:val="00580A1E"/>
    <w:rsid w:val="00580BFD"/>
    <w:rsid w:val="00580C9F"/>
    <w:rsid w:val="00580E7E"/>
    <w:rsid w:val="00580EA9"/>
    <w:rsid w:val="00580EF8"/>
    <w:rsid w:val="0058116F"/>
    <w:rsid w:val="00581200"/>
    <w:rsid w:val="005813CF"/>
    <w:rsid w:val="005814BB"/>
    <w:rsid w:val="005814DD"/>
    <w:rsid w:val="005815D0"/>
    <w:rsid w:val="0058184E"/>
    <w:rsid w:val="00581AC8"/>
    <w:rsid w:val="00581F1F"/>
    <w:rsid w:val="00582665"/>
    <w:rsid w:val="00582861"/>
    <w:rsid w:val="005828A2"/>
    <w:rsid w:val="005828F6"/>
    <w:rsid w:val="00582BE4"/>
    <w:rsid w:val="00582C49"/>
    <w:rsid w:val="00582C87"/>
    <w:rsid w:val="00582D45"/>
    <w:rsid w:val="00582E87"/>
    <w:rsid w:val="00582FC0"/>
    <w:rsid w:val="005832C4"/>
    <w:rsid w:val="00583326"/>
    <w:rsid w:val="0058334C"/>
    <w:rsid w:val="00583431"/>
    <w:rsid w:val="00583741"/>
    <w:rsid w:val="005837A7"/>
    <w:rsid w:val="005838B3"/>
    <w:rsid w:val="00583A63"/>
    <w:rsid w:val="00583D39"/>
    <w:rsid w:val="00583DF8"/>
    <w:rsid w:val="00583F46"/>
    <w:rsid w:val="005840D6"/>
    <w:rsid w:val="0058417C"/>
    <w:rsid w:val="00584202"/>
    <w:rsid w:val="00584587"/>
    <w:rsid w:val="0058477B"/>
    <w:rsid w:val="0058484B"/>
    <w:rsid w:val="00584AF1"/>
    <w:rsid w:val="00584D55"/>
    <w:rsid w:val="00584FD5"/>
    <w:rsid w:val="005850D3"/>
    <w:rsid w:val="0058515F"/>
    <w:rsid w:val="005852AC"/>
    <w:rsid w:val="005854E6"/>
    <w:rsid w:val="005856DC"/>
    <w:rsid w:val="00585885"/>
    <w:rsid w:val="005858C7"/>
    <w:rsid w:val="00585BFB"/>
    <w:rsid w:val="00585C4D"/>
    <w:rsid w:val="00585E74"/>
    <w:rsid w:val="00586590"/>
    <w:rsid w:val="005865DB"/>
    <w:rsid w:val="0058660B"/>
    <w:rsid w:val="00586660"/>
    <w:rsid w:val="005869CC"/>
    <w:rsid w:val="00586EF0"/>
    <w:rsid w:val="005870AD"/>
    <w:rsid w:val="00587105"/>
    <w:rsid w:val="0058720C"/>
    <w:rsid w:val="00587245"/>
    <w:rsid w:val="00587246"/>
    <w:rsid w:val="0058727C"/>
    <w:rsid w:val="005872B7"/>
    <w:rsid w:val="00587351"/>
    <w:rsid w:val="00587352"/>
    <w:rsid w:val="005875EA"/>
    <w:rsid w:val="005878D7"/>
    <w:rsid w:val="005879E4"/>
    <w:rsid w:val="00587B79"/>
    <w:rsid w:val="00587CD0"/>
    <w:rsid w:val="00587E42"/>
    <w:rsid w:val="00590108"/>
    <w:rsid w:val="005905DB"/>
    <w:rsid w:val="0059067C"/>
    <w:rsid w:val="00590BCC"/>
    <w:rsid w:val="00590CC9"/>
    <w:rsid w:val="00591091"/>
    <w:rsid w:val="0059144E"/>
    <w:rsid w:val="00591632"/>
    <w:rsid w:val="005916AC"/>
    <w:rsid w:val="00591CCF"/>
    <w:rsid w:val="00591E75"/>
    <w:rsid w:val="00591EA8"/>
    <w:rsid w:val="00591EAF"/>
    <w:rsid w:val="00591F8F"/>
    <w:rsid w:val="0059200F"/>
    <w:rsid w:val="0059206E"/>
    <w:rsid w:val="005920CD"/>
    <w:rsid w:val="00592270"/>
    <w:rsid w:val="005923B5"/>
    <w:rsid w:val="00592567"/>
    <w:rsid w:val="005927E7"/>
    <w:rsid w:val="00592874"/>
    <w:rsid w:val="00592892"/>
    <w:rsid w:val="0059296C"/>
    <w:rsid w:val="005929CA"/>
    <w:rsid w:val="00592C9B"/>
    <w:rsid w:val="00592E07"/>
    <w:rsid w:val="005936C6"/>
    <w:rsid w:val="0059379A"/>
    <w:rsid w:val="00593896"/>
    <w:rsid w:val="00593A6B"/>
    <w:rsid w:val="00593A75"/>
    <w:rsid w:val="00593C4D"/>
    <w:rsid w:val="00593CC0"/>
    <w:rsid w:val="00593DC6"/>
    <w:rsid w:val="00593DE4"/>
    <w:rsid w:val="00593DF7"/>
    <w:rsid w:val="0059410F"/>
    <w:rsid w:val="00594182"/>
    <w:rsid w:val="0059434C"/>
    <w:rsid w:val="0059464F"/>
    <w:rsid w:val="005948B4"/>
    <w:rsid w:val="00594AD0"/>
    <w:rsid w:val="00594AE8"/>
    <w:rsid w:val="00594DB2"/>
    <w:rsid w:val="00595103"/>
    <w:rsid w:val="00595346"/>
    <w:rsid w:val="005953C0"/>
    <w:rsid w:val="00595451"/>
    <w:rsid w:val="00595543"/>
    <w:rsid w:val="00595883"/>
    <w:rsid w:val="00595B32"/>
    <w:rsid w:val="0059606A"/>
    <w:rsid w:val="0059639A"/>
    <w:rsid w:val="00596422"/>
    <w:rsid w:val="00596498"/>
    <w:rsid w:val="0059654D"/>
    <w:rsid w:val="0059661A"/>
    <w:rsid w:val="00596645"/>
    <w:rsid w:val="005967FB"/>
    <w:rsid w:val="00596A4D"/>
    <w:rsid w:val="00596B4D"/>
    <w:rsid w:val="00596B59"/>
    <w:rsid w:val="00597094"/>
    <w:rsid w:val="005973D6"/>
    <w:rsid w:val="005977A1"/>
    <w:rsid w:val="0059788A"/>
    <w:rsid w:val="005979CC"/>
    <w:rsid w:val="00597B33"/>
    <w:rsid w:val="00597CD6"/>
    <w:rsid w:val="00597CDC"/>
    <w:rsid w:val="005A018B"/>
    <w:rsid w:val="005A01A5"/>
    <w:rsid w:val="005A03A0"/>
    <w:rsid w:val="005A04F8"/>
    <w:rsid w:val="005A07D0"/>
    <w:rsid w:val="005A089C"/>
    <w:rsid w:val="005A08E0"/>
    <w:rsid w:val="005A0A24"/>
    <w:rsid w:val="005A0A6F"/>
    <w:rsid w:val="005A0C23"/>
    <w:rsid w:val="005A0C43"/>
    <w:rsid w:val="005A0CC7"/>
    <w:rsid w:val="005A0CEF"/>
    <w:rsid w:val="005A0F01"/>
    <w:rsid w:val="005A101E"/>
    <w:rsid w:val="005A103E"/>
    <w:rsid w:val="005A1378"/>
    <w:rsid w:val="005A14C2"/>
    <w:rsid w:val="005A16A3"/>
    <w:rsid w:val="005A16BA"/>
    <w:rsid w:val="005A16CD"/>
    <w:rsid w:val="005A1700"/>
    <w:rsid w:val="005A1B83"/>
    <w:rsid w:val="005A1B96"/>
    <w:rsid w:val="005A1FD7"/>
    <w:rsid w:val="005A22F9"/>
    <w:rsid w:val="005A2306"/>
    <w:rsid w:val="005A27C0"/>
    <w:rsid w:val="005A282B"/>
    <w:rsid w:val="005A28C6"/>
    <w:rsid w:val="005A28DA"/>
    <w:rsid w:val="005A2B0F"/>
    <w:rsid w:val="005A2F73"/>
    <w:rsid w:val="005A3032"/>
    <w:rsid w:val="005A320D"/>
    <w:rsid w:val="005A33B4"/>
    <w:rsid w:val="005A33F0"/>
    <w:rsid w:val="005A35DF"/>
    <w:rsid w:val="005A36DE"/>
    <w:rsid w:val="005A377E"/>
    <w:rsid w:val="005A3A4B"/>
    <w:rsid w:val="005A3C2B"/>
    <w:rsid w:val="005A3D54"/>
    <w:rsid w:val="005A3D93"/>
    <w:rsid w:val="005A3E31"/>
    <w:rsid w:val="005A41EC"/>
    <w:rsid w:val="005A42B6"/>
    <w:rsid w:val="005A4359"/>
    <w:rsid w:val="005A4449"/>
    <w:rsid w:val="005A4495"/>
    <w:rsid w:val="005A466B"/>
    <w:rsid w:val="005A4CA1"/>
    <w:rsid w:val="005A4FE2"/>
    <w:rsid w:val="005A523C"/>
    <w:rsid w:val="005A56DB"/>
    <w:rsid w:val="005A57C0"/>
    <w:rsid w:val="005A58E5"/>
    <w:rsid w:val="005A598C"/>
    <w:rsid w:val="005A5A16"/>
    <w:rsid w:val="005A5BAD"/>
    <w:rsid w:val="005A5C63"/>
    <w:rsid w:val="005A5C95"/>
    <w:rsid w:val="005A5D3C"/>
    <w:rsid w:val="005A5DC5"/>
    <w:rsid w:val="005A5DFF"/>
    <w:rsid w:val="005A5EBB"/>
    <w:rsid w:val="005A5ED2"/>
    <w:rsid w:val="005A6057"/>
    <w:rsid w:val="005A6130"/>
    <w:rsid w:val="005A633F"/>
    <w:rsid w:val="005A6360"/>
    <w:rsid w:val="005A636B"/>
    <w:rsid w:val="005A66AE"/>
    <w:rsid w:val="005A6720"/>
    <w:rsid w:val="005A67CC"/>
    <w:rsid w:val="005A6A04"/>
    <w:rsid w:val="005A6C6E"/>
    <w:rsid w:val="005A729A"/>
    <w:rsid w:val="005A7684"/>
    <w:rsid w:val="005A769C"/>
    <w:rsid w:val="005A76C4"/>
    <w:rsid w:val="005A76E2"/>
    <w:rsid w:val="005A7701"/>
    <w:rsid w:val="005A7820"/>
    <w:rsid w:val="005A7972"/>
    <w:rsid w:val="005A7A27"/>
    <w:rsid w:val="005A7D6A"/>
    <w:rsid w:val="005A7EB2"/>
    <w:rsid w:val="005A7F5B"/>
    <w:rsid w:val="005A7F82"/>
    <w:rsid w:val="005B0105"/>
    <w:rsid w:val="005B0140"/>
    <w:rsid w:val="005B0241"/>
    <w:rsid w:val="005B02BC"/>
    <w:rsid w:val="005B062A"/>
    <w:rsid w:val="005B063A"/>
    <w:rsid w:val="005B072E"/>
    <w:rsid w:val="005B0792"/>
    <w:rsid w:val="005B07D8"/>
    <w:rsid w:val="005B0845"/>
    <w:rsid w:val="005B0C48"/>
    <w:rsid w:val="005B0DE6"/>
    <w:rsid w:val="005B0F2A"/>
    <w:rsid w:val="005B12E3"/>
    <w:rsid w:val="005B1394"/>
    <w:rsid w:val="005B13D6"/>
    <w:rsid w:val="005B1698"/>
    <w:rsid w:val="005B16AA"/>
    <w:rsid w:val="005B1723"/>
    <w:rsid w:val="005B17C6"/>
    <w:rsid w:val="005B19EB"/>
    <w:rsid w:val="005B2058"/>
    <w:rsid w:val="005B21A0"/>
    <w:rsid w:val="005B21E0"/>
    <w:rsid w:val="005B21F5"/>
    <w:rsid w:val="005B2208"/>
    <w:rsid w:val="005B22EB"/>
    <w:rsid w:val="005B241F"/>
    <w:rsid w:val="005B2587"/>
    <w:rsid w:val="005B2630"/>
    <w:rsid w:val="005B2764"/>
    <w:rsid w:val="005B296F"/>
    <w:rsid w:val="005B2CE9"/>
    <w:rsid w:val="005B2E28"/>
    <w:rsid w:val="005B3037"/>
    <w:rsid w:val="005B34AB"/>
    <w:rsid w:val="005B35B2"/>
    <w:rsid w:val="005B3738"/>
    <w:rsid w:val="005B38A0"/>
    <w:rsid w:val="005B3909"/>
    <w:rsid w:val="005B396D"/>
    <w:rsid w:val="005B3CD5"/>
    <w:rsid w:val="005B3D1E"/>
    <w:rsid w:val="005B3DA5"/>
    <w:rsid w:val="005B3E8E"/>
    <w:rsid w:val="005B3EC6"/>
    <w:rsid w:val="005B400C"/>
    <w:rsid w:val="005B401C"/>
    <w:rsid w:val="005B4093"/>
    <w:rsid w:val="005B40C9"/>
    <w:rsid w:val="005B4199"/>
    <w:rsid w:val="005B4325"/>
    <w:rsid w:val="005B4389"/>
    <w:rsid w:val="005B455C"/>
    <w:rsid w:val="005B46BB"/>
    <w:rsid w:val="005B4977"/>
    <w:rsid w:val="005B4983"/>
    <w:rsid w:val="005B498A"/>
    <w:rsid w:val="005B49C7"/>
    <w:rsid w:val="005B4E95"/>
    <w:rsid w:val="005B4F5B"/>
    <w:rsid w:val="005B50E8"/>
    <w:rsid w:val="005B50F3"/>
    <w:rsid w:val="005B52C1"/>
    <w:rsid w:val="005B533A"/>
    <w:rsid w:val="005B564F"/>
    <w:rsid w:val="005B580A"/>
    <w:rsid w:val="005B58B6"/>
    <w:rsid w:val="005B5A1D"/>
    <w:rsid w:val="005B5A28"/>
    <w:rsid w:val="005B5A3D"/>
    <w:rsid w:val="005B5AE0"/>
    <w:rsid w:val="005B5B3A"/>
    <w:rsid w:val="005B5BCC"/>
    <w:rsid w:val="005B5C6C"/>
    <w:rsid w:val="005B5D64"/>
    <w:rsid w:val="005B6203"/>
    <w:rsid w:val="005B62CA"/>
    <w:rsid w:val="005B6799"/>
    <w:rsid w:val="005B6826"/>
    <w:rsid w:val="005B6889"/>
    <w:rsid w:val="005B6BCF"/>
    <w:rsid w:val="005B7085"/>
    <w:rsid w:val="005B70EF"/>
    <w:rsid w:val="005B7390"/>
    <w:rsid w:val="005B73CA"/>
    <w:rsid w:val="005B7554"/>
    <w:rsid w:val="005B7790"/>
    <w:rsid w:val="005B78C9"/>
    <w:rsid w:val="005B7AA4"/>
    <w:rsid w:val="005B7BD1"/>
    <w:rsid w:val="005B7E61"/>
    <w:rsid w:val="005B7F16"/>
    <w:rsid w:val="005C0304"/>
    <w:rsid w:val="005C054C"/>
    <w:rsid w:val="005C07F7"/>
    <w:rsid w:val="005C082F"/>
    <w:rsid w:val="005C092A"/>
    <w:rsid w:val="005C0C44"/>
    <w:rsid w:val="005C0DBD"/>
    <w:rsid w:val="005C0F12"/>
    <w:rsid w:val="005C0FBD"/>
    <w:rsid w:val="005C1126"/>
    <w:rsid w:val="005C1131"/>
    <w:rsid w:val="005C11D5"/>
    <w:rsid w:val="005C11D9"/>
    <w:rsid w:val="005C14A6"/>
    <w:rsid w:val="005C1648"/>
    <w:rsid w:val="005C19B0"/>
    <w:rsid w:val="005C19D3"/>
    <w:rsid w:val="005C1B0C"/>
    <w:rsid w:val="005C1FDD"/>
    <w:rsid w:val="005C204D"/>
    <w:rsid w:val="005C24CB"/>
    <w:rsid w:val="005C263C"/>
    <w:rsid w:val="005C2747"/>
    <w:rsid w:val="005C2838"/>
    <w:rsid w:val="005C28B1"/>
    <w:rsid w:val="005C2979"/>
    <w:rsid w:val="005C2B9C"/>
    <w:rsid w:val="005C2CD0"/>
    <w:rsid w:val="005C2E44"/>
    <w:rsid w:val="005C2E52"/>
    <w:rsid w:val="005C2FA2"/>
    <w:rsid w:val="005C2FE8"/>
    <w:rsid w:val="005C3041"/>
    <w:rsid w:val="005C327E"/>
    <w:rsid w:val="005C3286"/>
    <w:rsid w:val="005C34F7"/>
    <w:rsid w:val="005C3677"/>
    <w:rsid w:val="005C375E"/>
    <w:rsid w:val="005C39C2"/>
    <w:rsid w:val="005C39E0"/>
    <w:rsid w:val="005C3AAA"/>
    <w:rsid w:val="005C3CBC"/>
    <w:rsid w:val="005C3D71"/>
    <w:rsid w:val="005C3F63"/>
    <w:rsid w:val="005C3FFF"/>
    <w:rsid w:val="005C40E9"/>
    <w:rsid w:val="005C417F"/>
    <w:rsid w:val="005C4308"/>
    <w:rsid w:val="005C4328"/>
    <w:rsid w:val="005C452C"/>
    <w:rsid w:val="005C4576"/>
    <w:rsid w:val="005C46A7"/>
    <w:rsid w:val="005C4A54"/>
    <w:rsid w:val="005C4AE0"/>
    <w:rsid w:val="005C4BAC"/>
    <w:rsid w:val="005C4DE3"/>
    <w:rsid w:val="005C4DE4"/>
    <w:rsid w:val="005C4E4E"/>
    <w:rsid w:val="005C4EC9"/>
    <w:rsid w:val="005C4EF6"/>
    <w:rsid w:val="005C4F12"/>
    <w:rsid w:val="005C4F35"/>
    <w:rsid w:val="005C5113"/>
    <w:rsid w:val="005C5181"/>
    <w:rsid w:val="005C5209"/>
    <w:rsid w:val="005C5523"/>
    <w:rsid w:val="005C571B"/>
    <w:rsid w:val="005C58DB"/>
    <w:rsid w:val="005C58EC"/>
    <w:rsid w:val="005C594D"/>
    <w:rsid w:val="005C59E2"/>
    <w:rsid w:val="005C5AEA"/>
    <w:rsid w:val="005C5BD0"/>
    <w:rsid w:val="005C5D4E"/>
    <w:rsid w:val="005C5FEA"/>
    <w:rsid w:val="005C6067"/>
    <w:rsid w:val="005C61E8"/>
    <w:rsid w:val="005C6342"/>
    <w:rsid w:val="005C6382"/>
    <w:rsid w:val="005C648C"/>
    <w:rsid w:val="005C6889"/>
    <w:rsid w:val="005C6B22"/>
    <w:rsid w:val="005C6B89"/>
    <w:rsid w:val="005C6E33"/>
    <w:rsid w:val="005C728B"/>
    <w:rsid w:val="005C7714"/>
    <w:rsid w:val="005C77A5"/>
    <w:rsid w:val="005C7896"/>
    <w:rsid w:val="005C7A4C"/>
    <w:rsid w:val="005C7AA9"/>
    <w:rsid w:val="005C7B99"/>
    <w:rsid w:val="005C7DBB"/>
    <w:rsid w:val="005C7E5B"/>
    <w:rsid w:val="005C7E94"/>
    <w:rsid w:val="005D02F4"/>
    <w:rsid w:val="005D03EF"/>
    <w:rsid w:val="005D0AEC"/>
    <w:rsid w:val="005D0B60"/>
    <w:rsid w:val="005D0B62"/>
    <w:rsid w:val="005D0D30"/>
    <w:rsid w:val="005D0D67"/>
    <w:rsid w:val="005D0D6A"/>
    <w:rsid w:val="005D0DC8"/>
    <w:rsid w:val="005D0ED1"/>
    <w:rsid w:val="005D12AB"/>
    <w:rsid w:val="005D189E"/>
    <w:rsid w:val="005D18F2"/>
    <w:rsid w:val="005D19E7"/>
    <w:rsid w:val="005D1CFB"/>
    <w:rsid w:val="005D22AE"/>
    <w:rsid w:val="005D250A"/>
    <w:rsid w:val="005D27AE"/>
    <w:rsid w:val="005D28A6"/>
    <w:rsid w:val="005D2965"/>
    <w:rsid w:val="005D2A3F"/>
    <w:rsid w:val="005D2BE2"/>
    <w:rsid w:val="005D2C33"/>
    <w:rsid w:val="005D2C6C"/>
    <w:rsid w:val="005D3101"/>
    <w:rsid w:val="005D3446"/>
    <w:rsid w:val="005D37E4"/>
    <w:rsid w:val="005D3846"/>
    <w:rsid w:val="005D39C5"/>
    <w:rsid w:val="005D3A43"/>
    <w:rsid w:val="005D3C96"/>
    <w:rsid w:val="005D3D66"/>
    <w:rsid w:val="005D3DBC"/>
    <w:rsid w:val="005D4310"/>
    <w:rsid w:val="005D4451"/>
    <w:rsid w:val="005D44E3"/>
    <w:rsid w:val="005D47B9"/>
    <w:rsid w:val="005D490B"/>
    <w:rsid w:val="005D4A00"/>
    <w:rsid w:val="005D4B71"/>
    <w:rsid w:val="005D4BA4"/>
    <w:rsid w:val="005D4BF8"/>
    <w:rsid w:val="005D4C22"/>
    <w:rsid w:val="005D4F06"/>
    <w:rsid w:val="005D54EA"/>
    <w:rsid w:val="005D55EE"/>
    <w:rsid w:val="005D5729"/>
    <w:rsid w:val="005D5B47"/>
    <w:rsid w:val="005D5C8F"/>
    <w:rsid w:val="005D5C9B"/>
    <w:rsid w:val="005D5EDC"/>
    <w:rsid w:val="005D60C5"/>
    <w:rsid w:val="005D61A5"/>
    <w:rsid w:val="005D61DD"/>
    <w:rsid w:val="005D634E"/>
    <w:rsid w:val="005D663F"/>
    <w:rsid w:val="005D6B8B"/>
    <w:rsid w:val="005D6C07"/>
    <w:rsid w:val="005D6C95"/>
    <w:rsid w:val="005D6DBA"/>
    <w:rsid w:val="005D6EE7"/>
    <w:rsid w:val="005D737E"/>
    <w:rsid w:val="005D739C"/>
    <w:rsid w:val="005D7473"/>
    <w:rsid w:val="005D74DB"/>
    <w:rsid w:val="005D7622"/>
    <w:rsid w:val="005D770B"/>
    <w:rsid w:val="005D7866"/>
    <w:rsid w:val="005D7943"/>
    <w:rsid w:val="005D79A3"/>
    <w:rsid w:val="005D7A10"/>
    <w:rsid w:val="005D7BC8"/>
    <w:rsid w:val="005D7C5A"/>
    <w:rsid w:val="005D7FD0"/>
    <w:rsid w:val="005E009E"/>
    <w:rsid w:val="005E01F0"/>
    <w:rsid w:val="005E02D5"/>
    <w:rsid w:val="005E02F8"/>
    <w:rsid w:val="005E0736"/>
    <w:rsid w:val="005E0745"/>
    <w:rsid w:val="005E082E"/>
    <w:rsid w:val="005E0932"/>
    <w:rsid w:val="005E0A48"/>
    <w:rsid w:val="005E0EE1"/>
    <w:rsid w:val="005E0F79"/>
    <w:rsid w:val="005E10DA"/>
    <w:rsid w:val="005E121A"/>
    <w:rsid w:val="005E1354"/>
    <w:rsid w:val="005E1459"/>
    <w:rsid w:val="005E15C1"/>
    <w:rsid w:val="005E181D"/>
    <w:rsid w:val="005E1A28"/>
    <w:rsid w:val="005E1C51"/>
    <w:rsid w:val="005E1CEC"/>
    <w:rsid w:val="005E20C6"/>
    <w:rsid w:val="005E20CA"/>
    <w:rsid w:val="005E22C9"/>
    <w:rsid w:val="005E231E"/>
    <w:rsid w:val="005E24AD"/>
    <w:rsid w:val="005E26DE"/>
    <w:rsid w:val="005E2A88"/>
    <w:rsid w:val="005E2BF5"/>
    <w:rsid w:val="005E2C4C"/>
    <w:rsid w:val="005E2C8F"/>
    <w:rsid w:val="005E2CE0"/>
    <w:rsid w:val="005E2D2C"/>
    <w:rsid w:val="005E2F09"/>
    <w:rsid w:val="005E3002"/>
    <w:rsid w:val="005E322D"/>
    <w:rsid w:val="005E3315"/>
    <w:rsid w:val="005E333D"/>
    <w:rsid w:val="005E3409"/>
    <w:rsid w:val="005E34A3"/>
    <w:rsid w:val="005E3579"/>
    <w:rsid w:val="005E3637"/>
    <w:rsid w:val="005E368F"/>
    <w:rsid w:val="005E3A1A"/>
    <w:rsid w:val="005E3C40"/>
    <w:rsid w:val="005E3E69"/>
    <w:rsid w:val="005E3F2D"/>
    <w:rsid w:val="005E3FAC"/>
    <w:rsid w:val="005E43E0"/>
    <w:rsid w:val="005E4486"/>
    <w:rsid w:val="005E4500"/>
    <w:rsid w:val="005E459D"/>
    <w:rsid w:val="005E4619"/>
    <w:rsid w:val="005E4B10"/>
    <w:rsid w:val="005E4D5A"/>
    <w:rsid w:val="005E4D9C"/>
    <w:rsid w:val="005E4F0F"/>
    <w:rsid w:val="005E4F4F"/>
    <w:rsid w:val="005E4FBA"/>
    <w:rsid w:val="005E4FDC"/>
    <w:rsid w:val="005E50E3"/>
    <w:rsid w:val="005E517C"/>
    <w:rsid w:val="005E518B"/>
    <w:rsid w:val="005E55B8"/>
    <w:rsid w:val="005E5636"/>
    <w:rsid w:val="005E5678"/>
    <w:rsid w:val="005E585E"/>
    <w:rsid w:val="005E5865"/>
    <w:rsid w:val="005E5C5B"/>
    <w:rsid w:val="005E5C93"/>
    <w:rsid w:val="005E5DA3"/>
    <w:rsid w:val="005E5FE6"/>
    <w:rsid w:val="005E6022"/>
    <w:rsid w:val="005E60C2"/>
    <w:rsid w:val="005E6111"/>
    <w:rsid w:val="005E61AE"/>
    <w:rsid w:val="005E62C9"/>
    <w:rsid w:val="005E6432"/>
    <w:rsid w:val="005E64C7"/>
    <w:rsid w:val="005E6626"/>
    <w:rsid w:val="005E6B64"/>
    <w:rsid w:val="005E6C10"/>
    <w:rsid w:val="005E6CC7"/>
    <w:rsid w:val="005E6E10"/>
    <w:rsid w:val="005E6FD1"/>
    <w:rsid w:val="005E76C4"/>
    <w:rsid w:val="005E797B"/>
    <w:rsid w:val="005E7D14"/>
    <w:rsid w:val="005E7EED"/>
    <w:rsid w:val="005E7F3F"/>
    <w:rsid w:val="005F0038"/>
    <w:rsid w:val="005F0113"/>
    <w:rsid w:val="005F0291"/>
    <w:rsid w:val="005F035B"/>
    <w:rsid w:val="005F05A9"/>
    <w:rsid w:val="005F0625"/>
    <w:rsid w:val="005F0780"/>
    <w:rsid w:val="005F0887"/>
    <w:rsid w:val="005F0988"/>
    <w:rsid w:val="005F0AF1"/>
    <w:rsid w:val="005F0BCF"/>
    <w:rsid w:val="005F0E0E"/>
    <w:rsid w:val="005F0FF2"/>
    <w:rsid w:val="005F102E"/>
    <w:rsid w:val="005F1180"/>
    <w:rsid w:val="005F11B0"/>
    <w:rsid w:val="005F1242"/>
    <w:rsid w:val="005F130E"/>
    <w:rsid w:val="005F1598"/>
    <w:rsid w:val="005F1673"/>
    <w:rsid w:val="005F168B"/>
    <w:rsid w:val="005F1788"/>
    <w:rsid w:val="005F1AFA"/>
    <w:rsid w:val="005F1BFF"/>
    <w:rsid w:val="005F1D3C"/>
    <w:rsid w:val="005F1DC6"/>
    <w:rsid w:val="005F2078"/>
    <w:rsid w:val="005F22BD"/>
    <w:rsid w:val="005F269A"/>
    <w:rsid w:val="005F2788"/>
    <w:rsid w:val="005F2830"/>
    <w:rsid w:val="005F2895"/>
    <w:rsid w:val="005F29FD"/>
    <w:rsid w:val="005F2EC6"/>
    <w:rsid w:val="005F327A"/>
    <w:rsid w:val="005F32F4"/>
    <w:rsid w:val="005F3309"/>
    <w:rsid w:val="005F3469"/>
    <w:rsid w:val="005F359F"/>
    <w:rsid w:val="005F3658"/>
    <w:rsid w:val="005F3849"/>
    <w:rsid w:val="005F3965"/>
    <w:rsid w:val="005F39BD"/>
    <w:rsid w:val="005F3B7F"/>
    <w:rsid w:val="005F3BD4"/>
    <w:rsid w:val="005F3BF0"/>
    <w:rsid w:val="005F3E61"/>
    <w:rsid w:val="005F3F0B"/>
    <w:rsid w:val="005F41D2"/>
    <w:rsid w:val="005F4270"/>
    <w:rsid w:val="005F42FF"/>
    <w:rsid w:val="005F44BD"/>
    <w:rsid w:val="005F461E"/>
    <w:rsid w:val="005F4722"/>
    <w:rsid w:val="005F47DA"/>
    <w:rsid w:val="005F4814"/>
    <w:rsid w:val="005F4846"/>
    <w:rsid w:val="005F4888"/>
    <w:rsid w:val="005F4AE7"/>
    <w:rsid w:val="005F4C30"/>
    <w:rsid w:val="005F4C41"/>
    <w:rsid w:val="005F4D8B"/>
    <w:rsid w:val="005F4D8E"/>
    <w:rsid w:val="005F4F01"/>
    <w:rsid w:val="005F4F5F"/>
    <w:rsid w:val="005F51AD"/>
    <w:rsid w:val="005F5435"/>
    <w:rsid w:val="005F54A7"/>
    <w:rsid w:val="005F54FB"/>
    <w:rsid w:val="005F56A5"/>
    <w:rsid w:val="005F594D"/>
    <w:rsid w:val="005F5A92"/>
    <w:rsid w:val="005F5AB0"/>
    <w:rsid w:val="005F5C32"/>
    <w:rsid w:val="005F5E0A"/>
    <w:rsid w:val="005F602F"/>
    <w:rsid w:val="005F6114"/>
    <w:rsid w:val="005F63B2"/>
    <w:rsid w:val="005F6440"/>
    <w:rsid w:val="005F6445"/>
    <w:rsid w:val="005F64B4"/>
    <w:rsid w:val="005F6592"/>
    <w:rsid w:val="005F65DA"/>
    <w:rsid w:val="005F67EB"/>
    <w:rsid w:val="005F6B1A"/>
    <w:rsid w:val="005F6D2E"/>
    <w:rsid w:val="005F6E28"/>
    <w:rsid w:val="005F6E4A"/>
    <w:rsid w:val="005F6FAE"/>
    <w:rsid w:val="005F6FBD"/>
    <w:rsid w:val="005F6FF7"/>
    <w:rsid w:val="005F709B"/>
    <w:rsid w:val="005F7199"/>
    <w:rsid w:val="005F71D8"/>
    <w:rsid w:val="005F7349"/>
    <w:rsid w:val="005F7563"/>
    <w:rsid w:val="005F770B"/>
    <w:rsid w:val="005F778E"/>
    <w:rsid w:val="005F791C"/>
    <w:rsid w:val="005F7972"/>
    <w:rsid w:val="005F79A5"/>
    <w:rsid w:val="005F7A46"/>
    <w:rsid w:val="005F7BAC"/>
    <w:rsid w:val="005F7D7B"/>
    <w:rsid w:val="005F7F7C"/>
    <w:rsid w:val="0060020B"/>
    <w:rsid w:val="00600249"/>
    <w:rsid w:val="00600275"/>
    <w:rsid w:val="006003D8"/>
    <w:rsid w:val="00600518"/>
    <w:rsid w:val="00600597"/>
    <w:rsid w:val="006006B8"/>
    <w:rsid w:val="00600A2F"/>
    <w:rsid w:val="00600ACA"/>
    <w:rsid w:val="00600C17"/>
    <w:rsid w:val="0060112F"/>
    <w:rsid w:val="006011D9"/>
    <w:rsid w:val="00601339"/>
    <w:rsid w:val="0060155F"/>
    <w:rsid w:val="006015CD"/>
    <w:rsid w:val="00601972"/>
    <w:rsid w:val="006019B3"/>
    <w:rsid w:val="006019DE"/>
    <w:rsid w:val="00601A9E"/>
    <w:rsid w:val="00601AFC"/>
    <w:rsid w:val="00601C36"/>
    <w:rsid w:val="00601FF8"/>
    <w:rsid w:val="00602144"/>
    <w:rsid w:val="00602354"/>
    <w:rsid w:val="0060239C"/>
    <w:rsid w:val="0060239E"/>
    <w:rsid w:val="0060251D"/>
    <w:rsid w:val="00602622"/>
    <w:rsid w:val="0060264C"/>
    <w:rsid w:val="0060296D"/>
    <w:rsid w:val="00602B45"/>
    <w:rsid w:val="00602D6F"/>
    <w:rsid w:val="00602E03"/>
    <w:rsid w:val="00602E3C"/>
    <w:rsid w:val="00602E77"/>
    <w:rsid w:val="006030F1"/>
    <w:rsid w:val="0060311A"/>
    <w:rsid w:val="00603139"/>
    <w:rsid w:val="00603279"/>
    <w:rsid w:val="006032AA"/>
    <w:rsid w:val="006034A5"/>
    <w:rsid w:val="00603989"/>
    <w:rsid w:val="006039BE"/>
    <w:rsid w:val="00603A6F"/>
    <w:rsid w:val="00603B94"/>
    <w:rsid w:val="00603BD3"/>
    <w:rsid w:val="00603E39"/>
    <w:rsid w:val="00603E4E"/>
    <w:rsid w:val="0060449B"/>
    <w:rsid w:val="006044F4"/>
    <w:rsid w:val="006045F8"/>
    <w:rsid w:val="0060464F"/>
    <w:rsid w:val="006046A8"/>
    <w:rsid w:val="0060475F"/>
    <w:rsid w:val="00604C07"/>
    <w:rsid w:val="0060530F"/>
    <w:rsid w:val="0060535F"/>
    <w:rsid w:val="006053F9"/>
    <w:rsid w:val="00605687"/>
    <w:rsid w:val="0060569D"/>
    <w:rsid w:val="0060577D"/>
    <w:rsid w:val="006057B3"/>
    <w:rsid w:val="00605871"/>
    <w:rsid w:val="00605924"/>
    <w:rsid w:val="00605A9A"/>
    <w:rsid w:val="00605B82"/>
    <w:rsid w:val="00605DA4"/>
    <w:rsid w:val="00605EEC"/>
    <w:rsid w:val="006060B2"/>
    <w:rsid w:val="006062FE"/>
    <w:rsid w:val="00606357"/>
    <w:rsid w:val="006065AC"/>
    <w:rsid w:val="00606700"/>
    <w:rsid w:val="0060686A"/>
    <w:rsid w:val="00606919"/>
    <w:rsid w:val="00606A8A"/>
    <w:rsid w:val="00606AD9"/>
    <w:rsid w:val="00606BE4"/>
    <w:rsid w:val="00606C9D"/>
    <w:rsid w:val="00606EB6"/>
    <w:rsid w:val="0060701A"/>
    <w:rsid w:val="006072F2"/>
    <w:rsid w:val="00607722"/>
    <w:rsid w:val="006078FF"/>
    <w:rsid w:val="00607C1A"/>
    <w:rsid w:val="00607D71"/>
    <w:rsid w:val="006101B8"/>
    <w:rsid w:val="0061051A"/>
    <w:rsid w:val="006107A8"/>
    <w:rsid w:val="00610A24"/>
    <w:rsid w:val="00610B49"/>
    <w:rsid w:val="00610B51"/>
    <w:rsid w:val="00610B7F"/>
    <w:rsid w:val="00610CD1"/>
    <w:rsid w:val="00610CFC"/>
    <w:rsid w:val="00610FC8"/>
    <w:rsid w:val="0061101A"/>
    <w:rsid w:val="0061108B"/>
    <w:rsid w:val="006114EE"/>
    <w:rsid w:val="0061178E"/>
    <w:rsid w:val="006119AB"/>
    <w:rsid w:val="006119E8"/>
    <w:rsid w:val="00611A6A"/>
    <w:rsid w:val="00611AC2"/>
    <w:rsid w:val="00611B16"/>
    <w:rsid w:val="00611DE3"/>
    <w:rsid w:val="00611E6A"/>
    <w:rsid w:val="00611FE5"/>
    <w:rsid w:val="006120F6"/>
    <w:rsid w:val="00612321"/>
    <w:rsid w:val="0061235E"/>
    <w:rsid w:val="006124FF"/>
    <w:rsid w:val="0061266E"/>
    <w:rsid w:val="00612AF7"/>
    <w:rsid w:val="00612B26"/>
    <w:rsid w:val="00612B86"/>
    <w:rsid w:val="00612BEA"/>
    <w:rsid w:val="00612C38"/>
    <w:rsid w:val="00612F47"/>
    <w:rsid w:val="00612FD4"/>
    <w:rsid w:val="00613109"/>
    <w:rsid w:val="006131F4"/>
    <w:rsid w:val="00613308"/>
    <w:rsid w:val="0061373D"/>
    <w:rsid w:val="0061387F"/>
    <w:rsid w:val="006138B8"/>
    <w:rsid w:val="00613953"/>
    <w:rsid w:val="00613BE3"/>
    <w:rsid w:val="00613D81"/>
    <w:rsid w:val="0061403E"/>
    <w:rsid w:val="006140E4"/>
    <w:rsid w:val="006143C7"/>
    <w:rsid w:val="006144A2"/>
    <w:rsid w:val="006144E6"/>
    <w:rsid w:val="0061460B"/>
    <w:rsid w:val="0061489A"/>
    <w:rsid w:val="0061489B"/>
    <w:rsid w:val="00614A3C"/>
    <w:rsid w:val="00614A7B"/>
    <w:rsid w:val="00614C21"/>
    <w:rsid w:val="00614CDD"/>
    <w:rsid w:val="00614F49"/>
    <w:rsid w:val="0061500E"/>
    <w:rsid w:val="006151A9"/>
    <w:rsid w:val="00615273"/>
    <w:rsid w:val="00615336"/>
    <w:rsid w:val="0061542E"/>
    <w:rsid w:val="00615432"/>
    <w:rsid w:val="00615447"/>
    <w:rsid w:val="00615739"/>
    <w:rsid w:val="00615750"/>
    <w:rsid w:val="00615B19"/>
    <w:rsid w:val="00616082"/>
    <w:rsid w:val="006162D7"/>
    <w:rsid w:val="006163CA"/>
    <w:rsid w:val="0061647C"/>
    <w:rsid w:val="00616985"/>
    <w:rsid w:val="00616A25"/>
    <w:rsid w:val="00616BF2"/>
    <w:rsid w:val="00616C8F"/>
    <w:rsid w:val="00616DFB"/>
    <w:rsid w:val="00616FBA"/>
    <w:rsid w:val="006171BB"/>
    <w:rsid w:val="0061736C"/>
    <w:rsid w:val="0061738F"/>
    <w:rsid w:val="0061749D"/>
    <w:rsid w:val="006175CD"/>
    <w:rsid w:val="00617987"/>
    <w:rsid w:val="00617AA2"/>
    <w:rsid w:val="00617CC9"/>
    <w:rsid w:val="00617DB9"/>
    <w:rsid w:val="0062019E"/>
    <w:rsid w:val="00620285"/>
    <w:rsid w:val="0062034E"/>
    <w:rsid w:val="006205D5"/>
    <w:rsid w:val="00620627"/>
    <w:rsid w:val="00620662"/>
    <w:rsid w:val="006206B0"/>
    <w:rsid w:val="00620DDD"/>
    <w:rsid w:val="00620EA5"/>
    <w:rsid w:val="00620F0F"/>
    <w:rsid w:val="00620FAC"/>
    <w:rsid w:val="00620FC5"/>
    <w:rsid w:val="006212CC"/>
    <w:rsid w:val="0062133C"/>
    <w:rsid w:val="00621469"/>
    <w:rsid w:val="0062148D"/>
    <w:rsid w:val="00621615"/>
    <w:rsid w:val="00621630"/>
    <w:rsid w:val="00621764"/>
    <w:rsid w:val="00621836"/>
    <w:rsid w:val="006219D6"/>
    <w:rsid w:val="00621A1D"/>
    <w:rsid w:val="00621AFF"/>
    <w:rsid w:val="00621D50"/>
    <w:rsid w:val="00621E3B"/>
    <w:rsid w:val="00621F56"/>
    <w:rsid w:val="00622122"/>
    <w:rsid w:val="006223FF"/>
    <w:rsid w:val="00622554"/>
    <w:rsid w:val="00622697"/>
    <w:rsid w:val="00622763"/>
    <w:rsid w:val="006229E3"/>
    <w:rsid w:val="00623135"/>
    <w:rsid w:val="006232AC"/>
    <w:rsid w:val="00623352"/>
    <w:rsid w:val="006233A9"/>
    <w:rsid w:val="006234AA"/>
    <w:rsid w:val="006235BB"/>
    <w:rsid w:val="006235C3"/>
    <w:rsid w:val="0062363D"/>
    <w:rsid w:val="006237B4"/>
    <w:rsid w:val="00623A87"/>
    <w:rsid w:val="00623C27"/>
    <w:rsid w:val="00623C36"/>
    <w:rsid w:val="00623CE2"/>
    <w:rsid w:val="00623D4E"/>
    <w:rsid w:val="00623D88"/>
    <w:rsid w:val="00623EF7"/>
    <w:rsid w:val="00623F65"/>
    <w:rsid w:val="00623F89"/>
    <w:rsid w:val="00623FAF"/>
    <w:rsid w:val="00624096"/>
    <w:rsid w:val="0062420B"/>
    <w:rsid w:val="00624269"/>
    <w:rsid w:val="006243DC"/>
    <w:rsid w:val="00624A25"/>
    <w:rsid w:val="006252E4"/>
    <w:rsid w:val="0062533B"/>
    <w:rsid w:val="00625679"/>
    <w:rsid w:val="0062581B"/>
    <w:rsid w:val="00625BFE"/>
    <w:rsid w:val="00625C73"/>
    <w:rsid w:val="0062623C"/>
    <w:rsid w:val="00626255"/>
    <w:rsid w:val="006262B8"/>
    <w:rsid w:val="006266BF"/>
    <w:rsid w:val="00626776"/>
    <w:rsid w:val="006267C0"/>
    <w:rsid w:val="0062684C"/>
    <w:rsid w:val="00626875"/>
    <w:rsid w:val="006269A1"/>
    <w:rsid w:val="00626CEA"/>
    <w:rsid w:val="00626F71"/>
    <w:rsid w:val="006270CA"/>
    <w:rsid w:val="006270E0"/>
    <w:rsid w:val="006271CF"/>
    <w:rsid w:val="0062736D"/>
    <w:rsid w:val="0062747D"/>
    <w:rsid w:val="006274FF"/>
    <w:rsid w:val="006275A3"/>
    <w:rsid w:val="00627934"/>
    <w:rsid w:val="00627945"/>
    <w:rsid w:val="00630215"/>
    <w:rsid w:val="0063033C"/>
    <w:rsid w:val="00630622"/>
    <w:rsid w:val="006307C8"/>
    <w:rsid w:val="00630A17"/>
    <w:rsid w:val="00630C8B"/>
    <w:rsid w:val="00630D54"/>
    <w:rsid w:val="00630D5F"/>
    <w:rsid w:val="00630E36"/>
    <w:rsid w:val="00630F5B"/>
    <w:rsid w:val="00630F69"/>
    <w:rsid w:val="00631079"/>
    <w:rsid w:val="006311E3"/>
    <w:rsid w:val="006313A7"/>
    <w:rsid w:val="0063155A"/>
    <w:rsid w:val="0063181A"/>
    <w:rsid w:val="00631A02"/>
    <w:rsid w:val="00631ADF"/>
    <w:rsid w:val="00631C03"/>
    <w:rsid w:val="00631C50"/>
    <w:rsid w:val="00631E6B"/>
    <w:rsid w:val="00631E89"/>
    <w:rsid w:val="00631EBE"/>
    <w:rsid w:val="00631FAB"/>
    <w:rsid w:val="0063210D"/>
    <w:rsid w:val="006325A4"/>
    <w:rsid w:val="0063284F"/>
    <w:rsid w:val="00632958"/>
    <w:rsid w:val="006329C8"/>
    <w:rsid w:val="00632F9C"/>
    <w:rsid w:val="0063307A"/>
    <w:rsid w:val="00633126"/>
    <w:rsid w:val="0063321A"/>
    <w:rsid w:val="006332DA"/>
    <w:rsid w:val="00633523"/>
    <w:rsid w:val="00633554"/>
    <w:rsid w:val="006336FD"/>
    <w:rsid w:val="00633714"/>
    <w:rsid w:val="0063373F"/>
    <w:rsid w:val="006339A2"/>
    <w:rsid w:val="00633EA1"/>
    <w:rsid w:val="006342EA"/>
    <w:rsid w:val="006343FE"/>
    <w:rsid w:val="0063444A"/>
    <w:rsid w:val="006344DD"/>
    <w:rsid w:val="006345A9"/>
    <w:rsid w:val="006346A3"/>
    <w:rsid w:val="006346CA"/>
    <w:rsid w:val="006346D6"/>
    <w:rsid w:val="006346F8"/>
    <w:rsid w:val="00634A16"/>
    <w:rsid w:val="00634C6D"/>
    <w:rsid w:val="00634D0D"/>
    <w:rsid w:val="00634EF2"/>
    <w:rsid w:val="00635070"/>
    <w:rsid w:val="0063552B"/>
    <w:rsid w:val="00635609"/>
    <w:rsid w:val="00635642"/>
    <w:rsid w:val="0063567B"/>
    <w:rsid w:val="00635686"/>
    <w:rsid w:val="006356D7"/>
    <w:rsid w:val="00635792"/>
    <w:rsid w:val="00635A2D"/>
    <w:rsid w:val="00635D69"/>
    <w:rsid w:val="006360B2"/>
    <w:rsid w:val="0063644F"/>
    <w:rsid w:val="006366D1"/>
    <w:rsid w:val="0063687C"/>
    <w:rsid w:val="006368C7"/>
    <w:rsid w:val="00636B92"/>
    <w:rsid w:val="00636CD4"/>
    <w:rsid w:val="00636CFC"/>
    <w:rsid w:val="00636D15"/>
    <w:rsid w:val="00636D84"/>
    <w:rsid w:val="00636E5A"/>
    <w:rsid w:val="006374AA"/>
    <w:rsid w:val="006375D5"/>
    <w:rsid w:val="00637660"/>
    <w:rsid w:val="00637A04"/>
    <w:rsid w:val="00637CE8"/>
    <w:rsid w:val="00637D10"/>
    <w:rsid w:val="006405B7"/>
    <w:rsid w:val="00640719"/>
    <w:rsid w:val="00640813"/>
    <w:rsid w:val="00640A5A"/>
    <w:rsid w:val="00640C95"/>
    <w:rsid w:val="00640DCC"/>
    <w:rsid w:val="00640E20"/>
    <w:rsid w:val="00640E2E"/>
    <w:rsid w:val="00640F7B"/>
    <w:rsid w:val="00640FA1"/>
    <w:rsid w:val="00641231"/>
    <w:rsid w:val="006412A5"/>
    <w:rsid w:val="0064137D"/>
    <w:rsid w:val="006413E7"/>
    <w:rsid w:val="006415CC"/>
    <w:rsid w:val="00641924"/>
    <w:rsid w:val="00641A28"/>
    <w:rsid w:val="00641A41"/>
    <w:rsid w:val="00641A59"/>
    <w:rsid w:val="00641B74"/>
    <w:rsid w:val="00641F2D"/>
    <w:rsid w:val="00642077"/>
    <w:rsid w:val="00642241"/>
    <w:rsid w:val="0064232B"/>
    <w:rsid w:val="006424CC"/>
    <w:rsid w:val="00642669"/>
    <w:rsid w:val="00642BD3"/>
    <w:rsid w:val="00642BFD"/>
    <w:rsid w:val="00642D35"/>
    <w:rsid w:val="00642E43"/>
    <w:rsid w:val="00642FAD"/>
    <w:rsid w:val="00643124"/>
    <w:rsid w:val="0064350C"/>
    <w:rsid w:val="006435E4"/>
    <w:rsid w:val="00643B84"/>
    <w:rsid w:val="00643F77"/>
    <w:rsid w:val="00643F85"/>
    <w:rsid w:val="00643F92"/>
    <w:rsid w:val="0064416D"/>
    <w:rsid w:val="00644510"/>
    <w:rsid w:val="0064461E"/>
    <w:rsid w:val="0064471F"/>
    <w:rsid w:val="00644A88"/>
    <w:rsid w:val="00644E82"/>
    <w:rsid w:val="006451A3"/>
    <w:rsid w:val="00645277"/>
    <w:rsid w:val="0064556C"/>
    <w:rsid w:val="0064565C"/>
    <w:rsid w:val="006457A3"/>
    <w:rsid w:val="00645B8F"/>
    <w:rsid w:val="00646163"/>
    <w:rsid w:val="00646259"/>
    <w:rsid w:val="006462FA"/>
    <w:rsid w:val="0064635D"/>
    <w:rsid w:val="006463BC"/>
    <w:rsid w:val="0064682E"/>
    <w:rsid w:val="00646902"/>
    <w:rsid w:val="00646913"/>
    <w:rsid w:val="0064695C"/>
    <w:rsid w:val="00646B8D"/>
    <w:rsid w:val="00646D3E"/>
    <w:rsid w:val="00646E24"/>
    <w:rsid w:val="00646EB1"/>
    <w:rsid w:val="00646F8F"/>
    <w:rsid w:val="006470AD"/>
    <w:rsid w:val="0064714B"/>
    <w:rsid w:val="006473BD"/>
    <w:rsid w:val="00647769"/>
    <w:rsid w:val="006478EE"/>
    <w:rsid w:val="00647E41"/>
    <w:rsid w:val="00647E6D"/>
    <w:rsid w:val="00650109"/>
    <w:rsid w:val="00650140"/>
    <w:rsid w:val="00650253"/>
    <w:rsid w:val="006503EF"/>
    <w:rsid w:val="006504FF"/>
    <w:rsid w:val="00650744"/>
    <w:rsid w:val="0065077C"/>
    <w:rsid w:val="00650ADC"/>
    <w:rsid w:val="00650C99"/>
    <w:rsid w:val="006512CA"/>
    <w:rsid w:val="006513A1"/>
    <w:rsid w:val="00651409"/>
    <w:rsid w:val="00651748"/>
    <w:rsid w:val="006517B6"/>
    <w:rsid w:val="00651872"/>
    <w:rsid w:val="00651BA9"/>
    <w:rsid w:val="00651E67"/>
    <w:rsid w:val="00652375"/>
    <w:rsid w:val="00652485"/>
    <w:rsid w:val="00652A7D"/>
    <w:rsid w:val="00652B02"/>
    <w:rsid w:val="00652BAE"/>
    <w:rsid w:val="00652BB1"/>
    <w:rsid w:val="00652BFB"/>
    <w:rsid w:val="00652CDA"/>
    <w:rsid w:val="00652F98"/>
    <w:rsid w:val="00653235"/>
    <w:rsid w:val="0065351A"/>
    <w:rsid w:val="0065368F"/>
    <w:rsid w:val="00653EA9"/>
    <w:rsid w:val="00653ED7"/>
    <w:rsid w:val="00653F2C"/>
    <w:rsid w:val="006543EA"/>
    <w:rsid w:val="006544BD"/>
    <w:rsid w:val="006545DE"/>
    <w:rsid w:val="006547F7"/>
    <w:rsid w:val="00654889"/>
    <w:rsid w:val="00654A5D"/>
    <w:rsid w:val="00654BCD"/>
    <w:rsid w:val="00654E88"/>
    <w:rsid w:val="00655334"/>
    <w:rsid w:val="006553C4"/>
    <w:rsid w:val="0065560E"/>
    <w:rsid w:val="0065568A"/>
    <w:rsid w:val="00655713"/>
    <w:rsid w:val="0065577B"/>
    <w:rsid w:val="0065584F"/>
    <w:rsid w:val="0065591A"/>
    <w:rsid w:val="0065596C"/>
    <w:rsid w:val="00655D7F"/>
    <w:rsid w:val="00655E0B"/>
    <w:rsid w:val="00656128"/>
    <w:rsid w:val="0065661C"/>
    <w:rsid w:val="00656659"/>
    <w:rsid w:val="006566C4"/>
    <w:rsid w:val="0065699F"/>
    <w:rsid w:val="00656ABF"/>
    <w:rsid w:val="00656AD9"/>
    <w:rsid w:val="00656B04"/>
    <w:rsid w:val="00656D97"/>
    <w:rsid w:val="006570C8"/>
    <w:rsid w:val="00657789"/>
    <w:rsid w:val="0065798A"/>
    <w:rsid w:val="00657B0D"/>
    <w:rsid w:val="00657B4E"/>
    <w:rsid w:val="00657B60"/>
    <w:rsid w:val="00660008"/>
    <w:rsid w:val="006600F8"/>
    <w:rsid w:val="00660670"/>
    <w:rsid w:val="0066084D"/>
    <w:rsid w:val="00660D6F"/>
    <w:rsid w:val="00660FE1"/>
    <w:rsid w:val="00661010"/>
    <w:rsid w:val="006611A6"/>
    <w:rsid w:val="006611DF"/>
    <w:rsid w:val="006613FC"/>
    <w:rsid w:val="006615DC"/>
    <w:rsid w:val="00661797"/>
    <w:rsid w:val="00661A8D"/>
    <w:rsid w:val="00661AD4"/>
    <w:rsid w:val="00661B8C"/>
    <w:rsid w:val="00661C16"/>
    <w:rsid w:val="00661C25"/>
    <w:rsid w:val="00661F0F"/>
    <w:rsid w:val="00662049"/>
    <w:rsid w:val="006620C2"/>
    <w:rsid w:val="006623BA"/>
    <w:rsid w:val="00662657"/>
    <w:rsid w:val="00662821"/>
    <w:rsid w:val="006628D9"/>
    <w:rsid w:val="006629CF"/>
    <w:rsid w:val="00662B4B"/>
    <w:rsid w:val="00662E29"/>
    <w:rsid w:val="00662ED5"/>
    <w:rsid w:val="00662EFC"/>
    <w:rsid w:val="0066316A"/>
    <w:rsid w:val="00663263"/>
    <w:rsid w:val="00663791"/>
    <w:rsid w:val="00663884"/>
    <w:rsid w:val="006638DC"/>
    <w:rsid w:val="00663AF9"/>
    <w:rsid w:val="00663BA1"/>
    <w:rsid w:val="00663C95"/>
    <w:rsid w:val="00663E31"/>
    <w:rsid w:val="00663EC3"/>
    <w:rsid w:val="00663FFE"/>
    <w:rsid w:val="006645CD"/>
    <w:rsid w:val="006645F2"/>
    <w:rsid w:val="006647C3"/>
    <w:rsid w:val="006649DB"/>
    <w:rsid w:val="00664ABD"/>
    <w:rsid w:val="00664AF7"/>
    <w:rsid w:val="00664B17"/>
    <w:rsid w:val="00664E40"/>
    <w:rsid w:val="006650D8"/>
    <w:rsid w:val="0066512F"/>
    <w:rsid w:val="00665149"/>
    <w:rsid w:val="0066528D"/>
    <w:rsid w:val="006653B9"/>
    <w:rsid w:val="00665439"/>
    <w:rsid w:val="00665534"/>
    <w:rsid w:val="0066577B"/>
    <w:rsid w:val="006657A8"/>
    <w:rsid w:val="006658A0"/>
    <w:rsid w:val="00665AB0"/>
    <w:rsid w:val="00666333"/>
    <w:rsid w:val="006663BB"/>
    <w:rsid w:val="00666746"/>
    <w:rsid w:val="00666C2E"/>
    <w:rsid w:val="00666CE7"/>
    <w:rsid w:val="00666CEB"/>
    <w:rsid w:val="00666CF5"/>
    <w:rsid w:val="00666D06"/>
    <w:rsid w:val="00666E8F"/>
    <w:rsid w:val="006670F0"/>
    <w:rsid w:val="0066712A"/>
    <w:rsid w:val="00667553"/>
    <w:rsid w:val="00667713"/>
    <w:rsid w:val="00667AC2"/>
    <w:rsid w:val="00667AC4"/>
    <w:rsid w:val="00667C87"/>
    <w:rsid w:val="00667E21"/>
    <w:rsid w:val="00667EF4"/>
    <w:rsid w:val="00667F3D"/>
    <w:rsid w:val="00670082"/>
    <w:rsid w:val="006701E3"/>
    <w:rsid w:val="0067029D"/>
    <w:rsid w:val="006702CE"/>
    <w:rsid w:val="00670401"/>
    <w:rsid w:val="0067054F"/>
    <w:rsid w:val="006705A5"/>
    <w:rsid w:val="00670837"/>
    <w:rsid w:val="006709CA"/>
    <w:rsid w:val="00670E0C"/>
    <w:rsid w:val="00670EF6"/>
    <w:rsid w:val="00670F2F"/>
    <w:rsid w:val="0067151A"/>
    <w:rsid w:val="00671544"/>
    <w:rsid w:val="00671637"/>
    <w:rsid w:val="00671A2C"/>
    <w:rsid w:val="00671D28"/>
    <w:rsid w:val="00671D60"/>
    <w:rsid w:val="00671DA3"/>
    <w:rsid w:val="0067230F"/>
    <w:rsid w:val="0067253E"/>
    <w:rsid w:val="00672601"/>
    <w:rsid w:val="006726FA"/>
    <w:rsid w:val="00672958"/>
    <w:rsid w:val="00672A02"/>
    <w:rsid w:val="0067331B"/>
    <w:rsid w:val="00673339"/>
    <w:rsid w:val="00673468"/>
    <w:rsid w:val="00673494"/>
    <w:rsid w:val="00673734"/>
    <w:rsid w:val="0067375C"/>
    <w:rsid w:val="006737B3"/>
    <w:rsid w:val="006738E5"/>
    <w:rsid w:val="00673A2A"/>
    <w:rsid w:val="00673BBA"/>
    <w:rsid w:val="00673C41"/>
    <w:rsid w:val="00673E00"/>
    <w:rsid w:val="00673F1E"/>
    <w:rsid w:val="00674073"/>
    <w:rsid w:val="00674225"/>
    <w:rsid w:val="0067428C"/>
    <w:rsid w:val="006742EB"/>
    <w:rsid w:val="00674437"/>
    <w:rsid w:val="0067480A"/>
    <w:rsid w:val="00674D2B"/>
    <w:rsid w:val="00674D46"/>
    <w:rsid w:val="00674DA9"/>
    <w:rsid w:val="00674EDD"/>
    <w:rsid w:val="00674FFD"/>
    <w:rsid w:val="0067525D"/>
    <w:rsid w:val="006752B9"/>
    <w:rsid w:val="0067532E"/>
    <w:rsid w:val="00675360"/>
    <w:rsid w:val="0067547F"/>
    <w:rsid w:val="00675533"/>
    <w:rsid w:val="0067575C"/>
    <w:rsid w:val="00675BC3"/>
    <w:rsid w:val="00675DC6"/>
    <w:rsid w:val="00675E53"/>
    <w:rsid w:val="006760BE"/>
    <w:rsid w:val="00676514"/>
    <w:rsid w:val="00676556"/>
    <w:rsid w:val="0067656C"/>
    <w:rsid w:val="00676622"/>
    <w:rsid w:val="00676771"/>
    <w:rsid w:val="006768B8"/>
    <w:rsid w:val="00676B53"/>
    <w:rsid w:val="00676C95"/>
    <w:rsid w:val="00676FD8"/>
    <w:rsid w:val="00676FE1"/>
    <w:rsid w:val="00677102"/>
    <w:rsid w:val="0067736A"/>
    <w:rsid w:val="0067764F"/>
    <w:rsid w:val="006776D5"/>
    <w:rsid w:val="00677A32"/>
    <w:rsid w:val="00677D32"/>
    <w:rsid w:val="00677DCF"/>
    <w:rsid w:val="00677E1F"/>
    <w:rsid w:val="00677F71"/>
    <w:rsid w:val="00677FC2"/>
    <w:rsid w:val="00677FC3"/>
    <w:rsid w:val="00677FEC"/>
    <w:rsid w:val="00680082"/>
    <w:rsid w:val="0068025C"/>
    <w:rsid w:val="00680604"/>
    <w:rsid w:val="0068092A"/>
    <w:rsid w:val="00680BC1"/>
    <w:rsid w:val="00681241"/>
    <w:rsid w:val="006816EF"/>
    <w:rsid w:val="00681920"/>
    <w:rsid w:val="00681A59"/>
    <w:rsid w:val="00681B90"/>
    <w:rsid w:val="00682136"/>
    <w:rsid w:val="00682370"/>
    <w:rsid w:val="00682379"/>
    <w:rsid w:val="00682387"/>
    <w:rsid w:val="00682874"/>
    <w:rsid w:val="006829E2"/>
    <w:rsid w:val="00682A4E"/>
    <w:rsid w:val="00682F9C"/>
    <w:rsid w:val="00683015"/>
    <w:rsid w:val="0068310B"/>
    <w:rsid w:val="00683162"/>
    <w:rsid w:val="0068319C"/>
    <w:rsid w:val="00683446"/>
    <w:rsid w:val="00683592"/>
    <w:rsid w:val="00683753"/>
    <w:rsid w:val="00683E12"/>
    <w:rsid w:val="0068430A"/>
    <w:rsid w:val="006843FE"/>
    <w:rsid w:val="00684552"/>
    <w:rsid w:val="00684646"/>
    <w:rsid w:val="006847A4"/>
    <w:rsid w:val="0068485C"/>
    <w:rsid w:val="00684A85"/>
    <w:rsid w:val="00684DD2"/>
    <w:rsid w:val="006850FC"/>
    <w:rsid w:val="00685199"/>
    <w:rsid w:val="00685215"/>
    <w:rsid w:val="00685240"/>
    <w:rsid w:val="00685589"/>
    <w:rsid w:val="00685667"/>
    <w:rsid w:val="0068575A"/>
    <w:rsid w:val="00685831"/>
    <w:rsid w:val="00685839"/>
    <w:rsid w:val="00685943"/>
    <w:rsid w:val="00685D2C"/>
    <w:rsid w:val="00685D3F"/>
    <w:rsid w:val="006861A5"/>
    <w:rsid w:val="00686376"/>
    <w:rsid w:val="00686506"/>
    <w:rsid w:val="00686709"/>
    <w:rsid w:val="00686840"/>
    <w:rsid w:val="0068686D"/>
    <w:rsid w:val="006869CB"/>
    <w:rsid w:val="00686A00"/>
    <w:rsid w:val="00686B13"/>
    <w:rsid w:val="00686B18"/>
    <w:rsid w:val="00686F14"/>
    <w:rsid w:val="00687077"/>
    <w:rsid w:val="0068722C"/>
    <w:rsid w:val="00687661"/>
    <w:rsid w:val="0068782A"/>
    <w:rsid w:val="0068799A"/>
    <w:rsid w:val="00687AC4"/>
    <w:rsid w:val="00687B1D"/>
    <w:rsid w:val="00690041"/>
    <w:rsid w:val="006900B3"/>
    <w:rsid w:val="00690238"/>
    <w:rsid w:val="0069023B"/>
    <w:rsid w:val="00690415"/>
    <w:rsid w:val="006904D2"/>
    <w:rsid w:val="00690948"/>
    <w:rsid w:val="006909BE"/>
    <w:rsid w:val="00690AB5"/>
    <w:rsid w:val="00690AFE"/>
    <w:rsid w:val="00690D15"/>
    <w:rsid w:val="00690E56"/>
    <w:rsid w:val="00690EA9"/>
    <w:rsid w:val="00690F84"/>
    <w:rsid w:val="00690FF3"/>
    <w:rsid w:val="00691047"/>
    <w:rsid w:val="006910FE"/>
    <w:rsid w:val="00691217"/>
    <w:rsid w:val="0069132A"/>
    <w:rsid w:val="006913E9"/>
    <w:rsid w:val="006914E2"/>
    <w:rsid w:val="00691664"/>
    <w:rsid w:val="006917A7"/>
    <w:rsid w:val="006917AB"/>
    <w:rsid w:val="0069180F"/>
    <w:rsid w:val="00691B6D"/>
    <w:rsid w:val="00691C01"/>
    <w:rsid w:val="00691CDF"/>
    <w:rsid w:val="00691E2D"/>
    <w:rsid w:val="0069207E"/>
    <w:rsid w:val="00692283"/>
    <w:rsid w:val="00692384"/>
    <w:rsid w:val="00692804"/>
    <w:rsid w:val="0069295C"/>
    <w:rsid w:val="006929AA"/>
    <w:rsid w:val="00692D37"/>
    <w:rsid w:val="00692F12"/>
    <w:rsid w:val="0069301B"/>
    <w:rsid w:val="006930CD"/>
    <w:rsid w:val="0069316D"/>
    <w:rsid w:val="00693179"/>
    <w:rsid w:val="0069344C"/>
    <w:rsid w:val="00693467"/>
    <w:rsid w:val="00693530"/>
    <w:rsid w:val="00693788"/>
    <w:rsid w:val="0069389E"/>
    <w:rsid w:val="00693928"/>
    <w:rsid w:val="0069395A"/>
    <w:rsid w:val="00693BDA"/>
    <w:rsid w:val="00693C25"/>
    <w:rsid w:val="00693CD7"/>
    <w:rsid w:val="00693CFB"/>
    <w:rsid w:val="00693D10"/>
    <w:rsid w:val="00693D7A"/>
    <w:rsid w:val="00693E7B"/>
    <w:rsid w:val="006941FD"/>
    <w:rsid w:val="00694318"/>
    <w:rsid w:val="0069452E"/>
    <w:rsid w:val="006947FB"/>
    <w:rsid w:val="00694831"/>
    <w:rsid w:val="0069483E"/>
    <w:rsid w:val="00694944"/>
    <w:rsid w:val="00694B20"/>
    <w:rsid w:val="00694B72"/>
    <w:rsid w:val="00694B76"/>
    <w:rsid w:val="00694FED"/>
    <w:rsid w:val="006955F0"/>
    <w:rsid w:val="00695649"/>
    <w:rsid w:val="0069588F"/>
    <w:rsid w:val="00695D5B"/>
    <w:rsid w:val="00695D85"/>
    <w:rsid w:val="00695E9D"/>
    <w:rsid w:val="006960B3"/>
    <w:rsid w:val="006961EF"/>
    <w:rsid w:val="0069638F"/>
    <w:rsid w:val="00696451"/>
    <w:rsid w:val="006965BA"/>
    <w:rsid w:val="00696631"/>
    <w:rsid w:val="00696639"/>
    <w:rsid w:val="00696679"/>
    <w:rsid w:val="006966E8"/>
    <w:rsid w:val="00696743"/>
    <w:rsid w:val="00696B13"/>
    <w:rsid w:val="00696DAC"/>
    <w:rsid w:val="00697234"/>
    <w:rsid w:val="0069727E"/>
    <w:rsid w:val="006972F7"/>
    <w:rsid w:val="00697334"/>
    <w:rsid w:val="0069762B"/>
    <w:rsid w:val="006976E8"/>
    <w:rsid w:val="006978A0"/>
    <w:rsid w:val="00697A7E"/>
    <w:rsid w:val="00697AD8"/>
    <w:rsid w:val="00697BB9"/>
    <w:rsid w:val="00697C9D"/>
    <w:rsid w:val="00697CF4"/>
    <w:rsid w:val="00697D22"/>
    <w:rsid w:val="006A0010"/>
    <w:rsid w:val="006A01A2"/>
    <w:rsid w:val="006A0253"/>
    <w:rsid w:val="006A03F0"/>
    <w:rsid w:val="006A0478"/>
    <w:rsid w:val="006A04C9"/>
    <w:rsid w:val="006A04EA"/>
    <w:rsid w:val="006A05D9"/>
    <w:rsid w:val="006A0794"/>
    <w:rsid w:val="006A0BE0"/>
    <w:rsid w:val="006A0BF7"/>
    <w:rsid w:val="006A11E8"/>
    <w:rsid w:val="006A122F"/>
    <w:rsid w:val="006A128A"/>
    <w:rsid w:val="006A13A3"/>
    <w:rsid w:val="006A1629"/>
    <w:rsid w:val="006A17C9"/>
    <w:rsid w:val="006A1888"/>
    <w:rsid w:val="006A19CA"/>
    <w:rsid w:val="006A1A1D"/>
    <w:rsid w:val="006A1A7A"/>
    <w:rsid w:val="006A1A7F"/>
    <w:rsid w:val="006A1B08"/>
    <w:rsid w:val="006A2198"/>
    <w:rsid w:val="006A260C"/>
    <w:rsid w:val="006A263D"/>
    <w:rsid w:val="006A26E6"/>
    <w:rsid w:val="006A28BD"/>
    <w:rsid w:val="006A28E9"/>
    <w:rsid w:val="006A29BF"/>
    <w:rsid w:val="006A2B04"/>
    <w:rsid w:val="006A30EE"/>
    <w:rsid w:val="006A338D"/>
    <w:rsid w:val="006A36F9"/>
    <w:rsid w:val="006A387E"/>
    <w:rsid w:val="006A38F9"/>
    <w:rsid w:val="006A39F3"/>
    <w:rsid w:val="006A3BB6"/>
    <w:rsid w:val="006A3C25"/>
    <w:rsid w:val="006A3D18"/>
    <w:rsid w:val="006A3F1A"/>
    <w:rsid w:val="006A4149"/>
    <w:rsid w:val="006A41C4"/>
    <w:rsid w:val="006A431B"/>
    <w:rsid w:val="006A447F"/>
    <w:rsid w:val="006A44DC"/>
    <w:rsid w:val="006A458E"/>
    <w:rsid w:val="006A465D"/>
    <w:rsid w:val="006A4675"/>
    <w:rsid w:val="006A473C"/>
    <w:rsid w:val="006A483D"/>
    <w:rsid w:val="006A486C"/>
    <w:rsid w:val="006A4873"/>
    <w:rsid w:val="006A48AF"/>
    <w:rsid w:val="006A492E"/>
    <w:rsid w:val="006A4AF7"/>
    <w:rsid w:val="006A4E50"/>
    <w:rsid w:val="006A4E82"/>
    <w:rsid w:val="006A4EAE"/>
    <w:rsid w:val="006A4FBD"/>
    <w:rsid w:val="006A525C"/>
    <w:rsid w:val="006A5438"/>
    <w:rsid w:val="006A57E2"/>
    <w:rsid w:val="006A582C"/>
    <w:rsid w:val="006A5852"/>
    <w:rsid w:val="006A5C1F"/>
    <w:rsid w:val="006A5C63"/>
    <w:rsid w:val="006A5FCD"/>
    <w:rsid w:val="006A6046"/>
    <w:rsid w:val="006A6078"/>
    <w:rsid w:val="006A60E3"/>
    <w:rsid w:val="006A6325"/>
    <w:rsid w:val="006A649C"/>
    <w:rsid w:val="006A6794"/>
    <w:rsid w:val="006A682D"/>
    <w:rsid w:val="006A689B"/>
    <w:rsid w:val="006A6B7D"/>
    <w:rsid w:val="006A6DA8"/>
    <w:rsid w:val="006A6E0F"/>
    <w:rsid w:val="006A7326"/>
    <w:rsid w:val="006A74AE"/>
    <w:rsid w:val="006A75D1"/>
    <w:rsid w:val="006A7665"/>
    <w:rsid w:val="006A770F"/>
    <w:rsid w:val="006A771B"/>
    <w:rsid w:val="006A7A3C"/>
    <w:rsid w:val="006A7A52"/>
    <w:rsid w:val="006A7EAD"/>
    <w:rsid w:val="006A7F0B"/>
    <w:rsid w:val="006B00DC"/>
    <w:rsid w:val="006B015D"/>
    <w:rsid w:val="006B092B"/>
    <w:rsid w:val="006B0BC7"/>
    <w:rsid w:val="006B0CDC"/>
    <w:rsid w:val="006B0EDF"/>
    <w:rsid w:val="006B10EF"/>
    <w:rsid w:val="006B137D"/>
    <w:rsid w:val="006B157D"/>
    <w:rsid w:val="006B160D"/>
    <w:rsid w:val="006B17E4"/>
    <w:rsid w:val="006B1CB0"/>
    <w:rsid w:val="006B1E15"/>
    <w:rsid w:val="006B1E36"/>
    <w:rsid w:val="006B2154"/>
    <w:rsid w:val="006B23BB"/>
    <w:rsid w:val="006B23FF"/>
    <w:rsid w:val="006B248D"/>
    <w:rsid w:val="006B26E3"/>
    <w:rsid w:val="006B274B"/>
    <w:rsid w:val="006B27E5"/>
    <w:rsid w:val="006B2E3B"/>
    <w:rsid w:val="006B2F1B"/>
    <w:rsid w:val="006B32C4"/>
    <w:rsid w:val="006B3611"/>
    <w:rsid w:val="006B364A"/>
    <w:rsid w:val="006B3681"/>
    <w:rsid w:val="006B39E9"/>
    <w:rsid w:val="006B3A8C"/>
    <w:rsid w:val="006B3B2C"/>
    <w:rsid w:val="006B3E37"/>
    <w:rsid w:val="006B4011"/>
    <w:rsid w:val="006B410D"/>
    <w:rsid w:val="006B424D"/>
    <w:rsid w:val="006B444E"/>
    <w:rsid w:val="006B4562"/>
    <w:rsid w:val="006B45C8"/>
    <w:rsid w:val="006B4685"/>
    <w:rsid w:val="006B4A50"/>
    <w:rsid w:val="006B4ED3"/>
    <w:rsid w:val="006B50FF"/>
    <w:rsid w:val="006B51B0"/>
    <w:rsid w:val="006B53A2"/>
    <w:rsid w:val="006B542E"/>
    <w:rsid w:val="006B55F4"/>
    <w:rsid w:val="006B56C9"/>
    <w:rsid w:val="006B56F2"/>
    <w:rsid w:val="006B589A"/>
    <w:rsid w:val="006B5903"/>
    <w:rsid w:val="006B59C9"/>
    <w:rsid w:val="006B59DF"/>
    <w:rsid w:val="006B5AA1"/>
    <w:rsid w:val="006B5ADC"/>
    <w:rsid w:val="006B5C17"/>
    <w:rsid w:val="006B5D5D"/>
    <w:rsid w:val="006B5F36"/>
    <w:rsid w:val="006B6021"/>
    <w:rsid w:val="006B62E0"/>
    <w:rsid w:val="006B6360"/>
    <w:rsid w:val="006B65AC"/>
    <w:rsid w:val="006B6688"/>
    <w:rsid w:val="006B66D2"/>
    <w:rsid w:val="006B6722"/>
    <w:rsid w:val="006B685E"/>
    <w:rsid w:val="006B6A52"/>
    <w:rsid w:val="006B7326"/>
    <w:rsid w:val="006B7404"/>
    <w:rsid w:val="006B74D7"/>
    <w:rsid w:val="006B768D"/>
    <w:rsid w:val="006B77B5"/>
    <w:rsid w:val="006B77DF"/>
    <w:rsid w:val="006B77F1"/>
    <w:rsid w:val="006B7878"/>
    <w:rsid w:val="006B7A16"/>
    <w:rsid w:val="006B7A44"/>
    <w:rsid w:val="006B7FCF"/>
    <w:rsid w:val="006C0064"/>
    <w:rsid w:val="006C02C3"/>
    <w:rsid w:val="006C02EE"/>
    <w:rsid w:val="006C0487"/>
    <w:rsid w:val="006C0A09"/>
    <w:rsid w:val="006C0C50"/>
    <w:rsid w:val="006C0CDF"/>
    <w:rsid w:val="006C0DA1"/>
    <w:rsid w:val="006C0EB0"/>
    <w:rsid w:val="006C0F2D"/>
    <w:rsid w:val="006C14F4"/>
    <w:rsid w:val="006C1916"/>
    <w:rsid w:val="006C19F6"/>
    <w:rsid w:val="006C1A2C"/>
    <w:rsid w:val="006C1E53"/>
    <w:rsid w:val="006C20AA"/>
    <w:rsid w:val="006C2663"/>
    <w:rsid w:val="006C289C"/>
    <w:rsid w:val="006C28C3"/>
    <w:rsid w:val="006C2C66"/>
    <w:rsid w:val="006C2EC1"/>
    <w:rsid w:val="006C33B5"/>
    <w:rsid w:val="006C3410"/>
    <w:rsid w:val="006C38DF"/>
    <w:rsid w:val="006C3B67"/>
    <w:rsid w:val="006C41B9"/>
    <w:rsid w:val="006C41CF"/>
    <w:rsid w:val="006C420C"/>
    <w:rsid w:val="006C4270"/>
    <w:rsid w:val="006C4362"/>
    <w:rsid w:val="006C458E"/>
    <w:rsid w:val="006C45F8"/>
    <w:rsid w:val="006C4668"/>
    <w:rsid w:val="006C4780"/>
    <w:rsid w:val="006C4936"/>
    <w:rsid w:val="006C4A19"/>
    <w:rsid w:val="006C4A1E"/>
    <w:rsid w:val="006C4E00"/>
    <w:rsid w:val="006C5017"/>
    <w:rsid w:val="006C50F0"/>
    <w:rsid w:val="006C5107"/>
    <w:rsid w:val="006C51C3"/>
    <w:rsid w:val="006C54AF"/>
    <w:rsid w:val="006C54D7"/>
    <w:rsid w:val="006C5526"/>
    <w:rsid w:val="006C5630"/>
    <w:rsid w:val="006C574B"/>
    <w:rsid w:val="006C57E0"/>
    <w:rsid w:val="006C5B80"/>
    <w:rsid w:val="006C5B95"/>
    <w:rsid w:val="006C5BB3"/>
    <w:rsid w:val="006C5E15"/>
    <w:rsid w:val="006C5F16"/>
    <w:rsid w:val="006C6098"/>
    <w:rsid w:val="006C6173"/>
    <w:rsid w:val="006C619D"/>
    <w:rsid w:val="006C61D6"/>
    <w:rsid w:val="006C6285"/>
    <w:rsid w:val="006C6688"/>
    <w:rsid w:val="006C6999"/>
    <w:rsid w:val="006C6AA0"/>
    <w:rsid w:val="006C6E45"/>
    <w:rsid w:val="006C6F88"/>
    <w:rsid w:val="006C702C"/>
    <w:rsid w:val="006C71CE"/>
    <w:rsid w:val="006C75B3"/>
    <w:rsid w:val="006C76AF"/>
    <w:rsid w:val="006C790D"/>
    <w:rsid w:val="006C7972"/>
    <w:rsid w:val="006C7A62"/>
    <w:rsid w:val="006C7DE6"/>
    <w:rsid w:val="006C7FD1"/>
    <w:rsid w:val="006D019B"/>
    <w:rsid w:val="006D01CC"/>
    <w:rsid w:val="006D03DF"/>
    <w:rsid w:val="006D04C4"/>
    <w:rsid w:val="006D0744"/>
    <w:rsid w:val="006D079D"/>
    <w:rsid w:val="006D0A39"/>
    <w:rsid w:val="006D0B8A"/>
    <w:rsid w:val="006D0E49"/>
    <w:rsid w:val="006D0EDE"/>
    <w:rsid w:val="006D1080"/>
    <w:rsid w:val="006D162C"/>
    <w:rsid w:val="006D1894"/>
    <w:rsid w:val="006D1956"/>
    <w:rsid w:val="006D1A4A"/>
    <w:rsid w:val="006D1CCC"/>
    <w:rsid w:val="006D1F1E"/>
    <w:rsid w:val="006D1F80"/>
    <w:rsid w:val="006D2243"/>
    <w:rsid w:val="006D2288"/>
    <w:rsid w:val="006D238B"/>
    <w:rsid w:val="006D2615"/>
    <w:rsid w:val="006D262F"/>
    <w:rsid w:val="006D2A7C"/>
    <w:rsid w:val="006D2B16"/>
    <w:rsid w:val="006D2B6A"/>
    <w:rsid w:val="006D2C51"/>
    <w:rsid w:val="006D2E8D"/>
    <w:rsid w:val="006D316D"/>
    <w:rsid w:val="006D3308"/>
    <w:rsid w:val="006D35F1"/>
    <w:rsid w:val="006D36B3"/>
    <w:rsid w:val="006D36C4"/>
    <w:rsid w:val="006D380A"/>
    <w:rsid w:val="006D39F0"/>
    <w:rsid w:val="006D3AE3"/>
    <w:rsid w:val="006D3B98"/>
    <w:rsid w:val="006D3BCB"/>
    <w:rsid w:val="006D3C25"/>
    <w:rsid w:val="006D3F21"/>
    <w:rsid w:val="006D415C"/>
    <w:rsid w:val="006D4247"/>
    <w:rsid w:val="006D42FF"/>
    <w:rsid w:val="006D4370"/>
    <w:rsid w:val="006D4635"/>
    <w:rsid w:val="006D4717"/>
    <w:rsid w:val="006D478D"/>
    <w:rsid w:val="006D4862"/>
    <w:rsid w:val="006D4B70"/>
    <w:rsid w:val="006D4EC8"/>
    <w:rsid w:val="006D5076"/>
    <w:rsid w:val="006D50F8"/>
    <w:rsid w:val="006D52E5"/>
    <w:rsid w:val="006D53D2"/>
    <w:rsid w:val="006D5533"/>
    <w:rsid w:val="006D554B"/>
    <w:rsid w:val="006D5551"/>
    <w:rsid w:val="006D56A5"/>
    <w:rsid w:val="006D5941"/>
    <w:rsid w:val="006D5C99"/>
    <w:rsid w:val="006D5CFB"/>
    <w:rsid w:val="006D5F10"/>
    <w:rsid w:val="006D5F25"/>
    <w:rsid w:val="006D5F34"/>
    <w:rsid w:val="006D5F74"/>
    <w:rsid w:val="006D6021"/>
    <w:rsid w:val="006D60A7"/>
    <w:rsid w:val="006D6382"/>
    <w:rsid w:val="006D63E9"/>
    <w:rsid w:val="006D65ED"/>
    <w:rsid w:val="006D665D"/>
    <w:rsid w:val="006D66ED"/>
    <w:rsid w:val="006D67F5"/>
    <w:rsid w:val="006D6BBD"/>
    <w:rsid w:val="006D6BCA"/>
    <w:rsid w:val="006D6C4E"/>
    <w:rsid w:val="006D6C7F"/>
    <w:rsid w:val="006D6E04"/>
    <w:rsid w:val="006D6E52"/>
    <w:rsid w:val="006D70AC"/>
    <w:rsid w:val="006D718E"/>
    <w:rsid w:val="006D744C"/>
    <w:rsid w:val="006D744D"/>
    <w:rsid w:val="006D7759"/>
    <w:rsid w:val="006D77A2"/>
    <w:rsid w:val="006D78C6"/>
    <w:rsid w:val="006D7959"/>
    <w:rsid w:val="006D7C07"/>
    <w:rsid w:val="006D7FB7"/>
    <w:rsid w:val="006E00D9"/>
    <w:rsid w:val="006E01D4"/>
    <w:rsid w:val="006E0358"/>
    <w:rsid w:val="006E0510"/>
    <w:rsid w:val="006E05AE"/>
    <w:rsid w:val="006E07CC"/>
    <w:rsid w:val="006E09AC"/>
    <w:rsid w:val="006E0BC0"/>
    <w:rsid w:val="006E0DCB"/>
    <w:rsid w:val="006E0EC7"/>
    <w:rsid w:val="006E0ED5"/>
    <w:rsid w:val="006E0EE3"/>
    <w:rsid w:val="006E0F1E"/>
    <w:rsid w:val="006E0F5F"/>
    <w:rsid w:val="006E10B3"/>
    <w:rsid w:val="006E138A"/>
    <w:rsid w:val="006E13A5"/>
    <w:rsid w:val="006E13E6"/>
    <w:rsid w:val="006E1486"/>
    <w:rsid w:val="006E1612"/>
    <w:rsid w:val="006E169A"/>
    <w:rsid w:val="006E173A"/>
    <w:rsid w:val="006E1AA7"/>
    <w:rsid w:val="006E1ABE"/>
    <w:rsid w:val="006E1BE9"/>
    <w:rsid w:val="006E1C06"/>
    <w:rsid w:val="006E1C74"/>
    <w:rsid w:val="006E1DE2"/>
    <w:rsid w:val="006E1F9A"/>
    <w:rsid w:val="006E1FC7"/>
    <w:rsid w:val="006E20F6"/>
    <w:rsid w:val="006E236C"/>
    <w:rsid w:val="006E2405"/>
    <w:rsid w:val="006E258B"/>
    <w:rsid w:val="006E2BDA"/>
    <w:rsid w:val="006E2BE9"/>
    <w:rsid w:val="006E362C"/>
    <w:rsid w:val="006E3673"/>
    <w:rsid w:val="006E36D5"/>
    <w:rsid w:val="006E3761"/>
    <w:rsid w:val="006E3768"/>
    <w:rsid w:val="006E3B07"/>
    <w:rsid w:val="006E3C50"/>
    <w:rsid w:val="006E3D37"/>
    <w:rsid w:val="006E3DAB"/>
    <w:rsid w:val="006E3DE1"/>
    <w:rsid w:val="006E3DE7"/>
    <w:rsid w:val="006E3ED4"/>
    <w:rsid w:val="006E415B"/>
    <w:rsid w:val="006E425C"/>
    <w:rsid w:val="006E4314"/>
    <w:rsid w:val="006E43C5"/>
    <w:rsid w:val="006E442B"/>
    <w:rsid w:val="006E44AB"/>
    <w:rsid w:val="006E462B"/>
    <w:rsid w:val="006E46E3"/>
    <w:rsid w:val="006E4869"/>
    <w:rsid w:val="006E4871"/>
    <w:rsid w:val="006E4E0D"/>
    <w:rsid w:val="006E4F50"/>
    <w:rsid w:val="006E4FBD"/>
    <w:rsid w:val="006E5025"/>
    <w:rsid w:val="006E532D"/>
    <w:rsid w:val="006E53B3"/>
    <w:rsid w:val="006E55C8"/>
    <w:rsid w:val="006E5935"/>
    <w:rsid w:val="006E5CE8"/>
    <w:rsid w:val="006E5D18"/>
    <w:rsid w:val="006E5E3A"/>
    <w:rsid w:val="006E5E5C"/>
    <w:rsid w:val="006E6105"/>
    <w:rsid w:val="006E6174"/>
    <w:rsid w:val="006E617C"/>
    <w:rsid w:val="006E6246"/>
    <w:rsid w:val="006E6687"/>
    <w:rsid w:val="006E67CF"/>
    <w:rsid w:val="006E67E4"/>
    <w:rsid w:val="006E687B"/>
    <w:rsid w:val="006E6CD4"/>
    <w:rsid w:val="006E6CE7"/>
    <w:rsid w:val="006E6D31"/>
    <w:rsid w:val="006E6EA1"/>
    <w:rsid w:val="006E7139"/>
    <w:rsid w:val="006E7302"/>
    <w:rsid w:val="006E735E"/>
    <w:rsid w:val="006E73F6"/>
    <w:rsid w:val="006E74A0"/>
    <w:rsid w:val="006E74C2"/>
    <w:rsid w:val="006E7558"/>
    <w:rsid w:val="006E77B9"/>
    <w:rsid w:val="006E7910"/>
    <w:rsid w:val="006E796E"/>
    <w:rsid w:val="006E7CDD"/>
    <w:rsid w:val="006E7DCB"/>
    <w:rsid w:val="006F00A9"/>
    <w:rsid w:val="006F0632"/>
    <w:rsid w:val="006F083D"/>
    <w:rsid w:val="006F0AD5"/>
    <w:rsid w:val="006F0BA7"/>
    <w:rsid w:val="006F0CC5"/>
    <w:rsid w:val="006F0D12"/>
    <w:rsid w:val="006F0E61"/>
    <w:rsid w:val="006F1584"/>
    <w:rsid w:val="006F18A8"/>
    <w:rsid w:val="006F194B"/>
    <w:rsid w:val="006F1A3A"/>
    <w:rsid w:val="006F1EF8"/>
    <w:rsid w:val="006F1F17"/>
    <w:rsid w:val="006F20C2"/>
    <w:rsid w:val="006F20F3"/>
    <w:rsid w:val="006F21C1"/>
    <w:rsid w:val="006F2322"/>
    <w:rsid w:val="006F25B3"/>
    <w:rsid w:val="006F27F4"/>
    <w:rsid w:val="006F3076"/>
    <w:rsid w:val="006F33AF"/>
    <w:rsid w:val="006F35ED"/>
    <w:rsid w:val="006F37A4"/>
    <w:rsid w:val="006F37FB"/>
    <w:rsid w:val="006F3831"/>
    <w:rsid w:val="006F38B8"/>
    <w:rsid w:val="006F3AE6"/>
    <w:rsid w:val="006F3AF4"/>
    <w:rsid w:val="006F3B6C"/>
    <w:rsid w:val="006F3CE3"/>
    <w:rsid w:val="006F3D98"/>
    <w:rsid w:val="006F4098"/>
    <w:rsid w:val="006F4138"/>
    <w:rsid w:val="006F419D"/>
    <w:rsid w:val="006F41F1"/>
    <w:rsid w:val="006F4362"/>
    <w:rsid w:val="006F45A8"/>
    <w:rsid w:val="006F4769"/>
    <w:rsid w:val="006F4795"/>
    <w:rsid w:val="006F47DC"/>
    <w:rsid w:val="006F4BD1"/>
    <w:rsid w:val="006F4C2D"/>
    <w:rsid w:val="006F4C53"/>
    <w:rsid w:val="006F4E60"/>
    <w:rsid w:val="006F4F39"/>
    <w:rsid w:val="006F4FB0"/>
    <w:rsid w:val="006F5024"/>
    <w:rsid w:val="006F5028"/>
    <w:rsid w:val="006F504D"/>
    <w:rsid w:val="006F5263"/>
    <w:rsid w:val="006F5392"/>
    <w:rsid w:val="006F539B"/>
    <w:rsid w:val="006F5481"/>
    <w:rsid w:val="006F58BF"/>
    <w:rsid w:val="006F5ECE"/>
    <w:rsid w:val="006F63F0"/>
    <w:rsid w:val="006F6580"/>
    <w:rsid w:val="006F6808"/>
    <w:rsid w:val="006F693F"/>
    <w:rsid w:val="006F6985"/>
    <w:rsid w:val="006F69CD"/>
    <w:rsid w:val="006F6A9C"/>
    <w:rsid w:val="006F6B0A"/>
    <w:rsid w:val="006F6C05"/>
    <w:rsid w:val="006F6EED"/>
    <w:rsid w:val="006F72D0"/>
    <w:rsid w:val="006F72DD"/>
    <w:rsid w:val="006F7472"/>
    <w:rsid w:val="006F7592"/>
    <w:rsid w:val="006F75D8"/>
    <w:rsid w:val="006F7767"/>
    <w:rsid w:val="006F78CF"/>
    <w:rsid w:val="006F79AE"/>
    <w:rsid w:val="006F79F5"/>
    <w:rsid w:val="006F7A15"/>
    <w:rsid w:val="006F7AA3"/>
    <w:rsid w:val="006F7B53"/>
    <w:rsid w:val="006F7C76"/>
    <w:rsid w:val="006F7CE5"/>
    <w:rsid w:val="006F7DBE"/>
    <w:rsid w:val="006F7F77"/>
    <w:rsid w:val="007000E1"/>
    <w:rsid w:val="00700386"/>
    <w:rsid w:val="007003A4"/>
    <w:rsid w:val="007003F4"/>
    <w:rsid w:val="0070053B"/>
    <w:rsid w:val="00700A4F"/>
    <w:rsid w:val="00700B20"/>
    <w:rsid w:val="00700C8E"/>
    <w:rsid w:val="00700FB8"/>
    <w:rsid w:val="00700FDB"/>
    <w:rsid w:val="00700FF5"/>
    <w:rsid w:val="00701102"/>
    <w:rsid w:val="007011CD"/>
    <w:rsid w:val="00701232"/>
    <w:rsid w:val="0070130D"/>
    <w:rsid w:val="00701345"/>
    <w:rsid w:val="00701401"/>
    <w:rsid w:val="00701552"/>
    <w:rsid w:val="0070176C"/>
    <w:rsid w:val="00701802"/>
    <w:rsid w:val="007019A1"/>
    <w:rsid w:val="00701B45"/>
    <w:rsid w:val="00701CAF"/>
    <w:rsid w:val="00701D7B"/>
    <w:rsid w:val="00701F49"/>
    <w:rsid w:val="00702370"/>
    <w:rsid w:val="0070239A"/>
    <w:rsid w:val="007028C2"/>
    <w:rsid w:val="00702A3E"/>
    <w:rsid w:val="00702B06"/>
    <w:rsid w:val="00702B24"/>
    <w:rsid w:val="00702D35"/>
    <w:rsid w:val="00703143"/>
    <w:rsid w:val="007031FD"/>
    <w:rsid w:val="0070325D"/>
    <w:rsid w:val="007032C7"/>
    <w:rsid w:val="00703461"/>
    <w:rsid w:val="00703569"/>
    <w:rsid w:val="00703A34"/>
    <w:rsid w:val="00703A9B"/>
    <w:rsid w:val="00703BB6"/>
    <w:rsid w:val="00703D51"/>
    <w:rsid w:val="00703F35"/>
    <w:rsid w:val="0070400E"/>
    <w:rsid w:val="007040C4"/>
    <w:rsid w:val="00704193"/>
    <w:rsid w:val="00704272"/>
    <w:rsid w:val="00704374"/>
    <w:rsid w:val="00704415"/>
    <w:rsid w:val="007046B4"/>
    <w:rsid w:val="007046EF"/>
    <w:rsid w:val="007047C4"/>
    <w:rsid w:val="00704A5D"/>
    <w:rsid w:val="00704AC0"/>
    <w:rsid w:val="00704C18"/>
    <w:rsid w:val="00704DAD"/>
    <w:rsid w:val="00704F2A"/>
    <w:rsid w:val="0070507C"/>
    <w:rsid w:val="0070521F"/>
    <w:rsid w:val="007054D3"/>
    <w:rsid w:val="00705651"/>
    <w:rsid w:val="007056E1"/>
    <w:rsid w:val="00705728"/>
    <w:rsid w:val="00705757"/>
    <w:rsid w:val="00705812"/>
    <w:rsid w:val="00705B01"/>
    <w:rsid w:val="00705B13"/>
    <w:rsid w:val="00705BC1"/>
    <w:rsid w:val="00705F74"/>
    <w:rsid w:val="0070607E"/>
    <w:rsid w:val="007060D3"/>
    <w:rsid w:val="007062D0"/>
    <w:rsid w:val="0070630D"/>
    <w:rsid w:val="00706345"/>
    <w:rsid w:val="0070652D"/>
    <w:rsid w:val="0070659F"/>
    <w:rsid w:val="00706721"/>
    <w:rsid w:val="0070681A"/>
    <w:rsid w:val="00706838"/>
    <w:rsid w:val="007068BD"/>
    <w:rsid w:val="0070692D"/>
    <w:rsid w:val="00706C50"/>
    <w:rsid w:val="00707137"/>
    <w:rsid w:val="00707222"/>
    <w:rsid w:val="0070731F"/>
    <w:rsid w:val="007074CC"/>
    <w:rsid w:val="00707667"/>
    <w:rsid w:val="0070777D"/>
    <w:rsid w:val="007077E5"/>
    <w:rsid w:val="0070798D"/>
    <w:rsid w:val="00707A60"/>
    <w:rsid w:val="00707BD1"/>
    <w:rsid w:val="00707BE7"/>
    <w:rsid w:val="00707BFF"/>
    <w:rsid w:val="0071013B"/>
    <w:rsid w:val="0071022C"/>
    <w:rsid w:val="0071031A"/>
    <w:rsid w:val="007103D8"/>
    <w:rsid w:val="00710965"/>
    <w:rsid w:val="00710CD3"/>
    <w:rsid w:val="00710D15"/>
    <w:rsid w:val="00710E69"/>
    <w:rsid w:val="00710EC7"/>
    <w:rsid w:val="00710FE0"/>
    <w:rsid w:val="00711072"/>
    <w:rsid w:val="007110B6"/>
    <w:rsid w:val="007110F6"/>
    <w:rsid w:val="007111DF"/>
    <w:rsid w:val="007111E8"/>
    <w:rsid w:val="007111FE"/>
    <w:rsid w:val="00711467"/>
    <w:rsid w:val="0071166C"/>
    <w:rsid w:val="00711688"/>
    <w:rsid w:val="00711763"/>
    <w:rsid w:val="007119F8"/>
    <w:rsid w:val="00711C69"/>
    <w:rsid w:val="00711DDB"/>
    <w:rsid w:val="00711F95"/>
    <w:rsid w:val="007122E2"/>
    <w:rsid w:val="00712405"/>
    <w:rsid w:val="0071256C"/>
    <w:rsid w:val="007126B0"/>
    <w:rsid w:val="00712983"/>
    <w:rsid w:val="00712A18"/>
    <w:rsid w:val="00712A96"/>
    <w:rsid w:val="00712C00"/>
    <w:rsid w:val="00712C52"/>
    <w:rsid w:val="00713184"/>
    <w:rsid w:val="00713302"/>
    <w:rsid w:val="007135D6"/>
    <w:rsid w:val="007137ED"/>
    <w:rsid w:val="00713829"/>
    <w:rsid w:val="00713946"/>
    <w:rsid w:val="00713961"/>
    <w:rsid w:val="00713BD7"/>
    <w:rsid w:val="00714202"/>
    <w:rsid w:val="00714374"/>
    <w:rsid w:val="007143A2"/>
    <w:rsid w:val="00714463"/>
    <w:rsid w:val="007144A6"/>
    <w:rsid w:val="0071472E"/>
    <w:rsid w:val="00714A4D"/>
    <w:rsid w:val="00714A98"/>
    <w:rsid w:val="00714AC6"/>
    <w:rsid w:val="00714B8C"/>
    <w:rsid w:val="00714CE9"/>
    <w:rsid w:val="00714D0B"/>
    <w:rsid w:val="00714EA0"/>
    <w:rsid w:val="0071506A"/>
    <w:rsid w:val="0071519C"/>
    <w:rsid w:val="007151F9"/>
    <w:rsid w:val="00715238"/>
    <w:rsid w:val="00715687"/>
    <w:rsid w:val="0071579A"/>
    <w:rsid w:val="0071591C"/>
    <w:rsid w:val="0071596E"/>
    <w:rsid w:val="00715D2A"/>
    <w:rsid w:val="007162D6"/>
    <w:rsid w:val="00716381"/>
    <w:rsid w:val="007165CC"/>
    <w:rsid w:val="00716817"/>
    <w:rsid w:val="00716A90"/>
    <w:rsid w:val="00716A95"/>
    <w:rsid w:val="00716C78"/>
    <w:rsid w:val="00717156"/>
    <w:rsid w:val="00717218"/>
    <w:rsid w:val="007173D0"/>
    <w:rsid w:val="00717430"/>
    <w:rsid w:val="00717548"/>
    <w:rsid w:val="00717667"/>
    <w:rsid w:val="007176A2"/>
    <w:rsid w:val="0071784E"/>
    <w:rsid w:val="00717873"/>
    <w:rsid w:val="007178C3"/>
    <w:rsid w:val="00717FB9"/>
    <w:rsid w:val="00720234"/>
    <w:rsid w:val="00720289"/>
    <w:rsid w:val="00720290"/>
    <w:rsid w:val="007204E2"/>
    <w:rsid w:val="00720668"/>
    <w:rsid w:val="00720684"/>
    <w:rsid w:val="00720726"/>
    <w:rsid w:val="007207A3"/>
    <w:rsid w:val="007208A2"/>
    <w:rsid w:val="00720994"/>
    <w:rsid w:val="00720A09"/>
    <w:rsid w:val="00720AC5"/>
    <w:rsid w:val="00720BC2"/>
    <w:rsid w:val="00720E4E"/>
    <w:rsid w:val="00720F18"/>
    <w:rsid w:val="007210B1"/>
    <w:rsid w:val="00721130"/>
    <w:rsid w:val="0072113F"/>
    <w:rsid w:val="00721925"/>
    <w:rsid w:val="007219B6"/>
    <w:rsid w:val="007219E6"/>
    <w:rsid w:val="00721A96"/>
    <w:rsid w:val="00721B39"/>
    <w:rsid w:val="00721C01"/>
    <w:rsid w:val="00721C5B"/>
    <w:rsid w:val="0072201C"/>
    <w:rsid w:val="007225CC"/>
    <w:rsid w:val="00722645"/>
    <w:rsid w:val="00722869"/>
    <w:rsid w:val="00722915"/>
    <w:rsid w:val="00722A9B"/>
    <w:rsid w:val="00722B74"/>
    <w:rsid w:val="00722CA4"/>
    <w:rsid w:val="00722E1B"/>
    <w:rsid w:val="00722F45"/>
    <w:rsid w:val="00722F4A"/>
    <w:rsid w:val="0072300D"/>
    <w:rsid w:val="007234D9"/>
    <w:rsid w:val="007235CB"/>
    <w:rsid w:val="007235DF"/>
    <w:rsid w:val="007236F7"/>
    <w:rsid w:val="00723A15"/>
    <w:rsid w:val="00723A87"/>
    <w:rsid w:val="00723A8E"/>
    <w:rsid w:val="00723A91"/>
    <w:rsid w:val="00723F02"/>
    <w:rsid w:val="00724216"/>
    <w:rsid w:val="007244BD"/>
    <w:rsid w:val="007245BC"/>
    <w:rsid w:val="00724ACE"/>
    <w:rsid w:val="00724CFD"/>
    <w:rsid w:val="00724D72"/>
    <w:rsid w:val="00725181"/>
    <w:rsid w:val="00725262"/>
    <w:rsid w:val="00725319"/>
    <w:rsid w:val="007253B8"/>
    <w:rsid w:val="007253F2"/>
    <w:rsid w:val="00725471"/>
    <w:rsid w:val="007254BC"/>
    <w:rsid w:val="0072566F"/>
    <w:rsid w:val="0072590E"/>
    <w:rsid w:val="00725A56"/>
    <w:rsid w:val="00725B91"/>
    <w:rsid w:val="00725BE7"/>
    <w:rsid w:val="00725D52"/>
    <w:rsid w:val="00725DAD"/>
    <w:rsid w:val="00726084"/>
    <w:rsid w:val="0072619B"/>
    <w:rsid w:val="00726584"/>
    <w:rsid w:val="00726754"/>
    <w:rsid w:val="00726853"/>
    <w:rsid w:val="0072688A"/>
    <w:rsid w:val="00726BEC"/>
    <w:rsid w:val="00726CDC"/>
    <w:rsid w:val="00726DE0"/>
    <w:rsid w:val="00726E87"/>
    <w:rsid w:val="007275DE"/>
    <w:rsid w:val="00727754"/>
    <w:rsid w:val="00727962"/>
    <w:rsid w:val="00727B90"/>
    <w:rsid w:val="00727FDF"/>
    <w:rsid w:val="00730302"/>
    <w:rsid w:val="007307F0"/>
    <w:rsid w:val="00730C53"/>
    <w:rsid w:val="00730D26"/>
    <w:rsid w:val="00730DB8"/>
    <w:rsid w:val="00730E19"/>
    <w:rsid w:val="007310B6"/>
    <w:rsid w:val="007312E9"/>
    <w:rsid w:val="0073138E"/>
    <w:rsid w:val="007313C9"/>
    <w:rsid w:val="00731550"/>
    <w:rsid w:val="007317FC"/>
    <w:rsid w:val="00731ADC"/>
    <w:rsid w:val="00731C4A"/>
    <w:rsid w:val="00731DC4"/>
    <w:rsid w:val="00731DDD"/>
    <w:rsid w:val="007322FC"/>
    <w:rsid w:val="00732655"/>
    <w:rsid w:val="00732770"/>
    <w:rsid w:val="007327D5"/>
    <w:rsid w:val="007329C1"/>
    <w:rsid w:val="00732AC4"/>
    <w:rsid w:val="00732AF4"/>
    <w:rsid w:val="00732BFB"/>
    <w:rsid w:val="00732CDD"/>
    <w:rsid w:val="00732E77"/>
    <w:rsid w:val="00732F3E"/>
    <w:rsid w:val="007331B8"/>
    <w:rsid w:val="007331FD"/>
    <w:rsid w:val="007335AB"/>
    <w:rsid w:val="00733697"/>
    <w:rsid w:val="00733821"/>
    <w:rsid w:val="00733A11"/>
    <w:rsid w:val="00733BA4"/>
    <w:rsid w:val="00733E76"/>
    <w:rsid w:val="00734081"/>
    <w:rsid w:val="00734162"/>
    <w:rsid w:val="00734262"/>
    <w:rsid w:val="00734504"/>
    <w:rsid w:val="0073470C"/>
    <w:rsid w:val="00734986"/>
    <w:rsid w:val="00734ABB"/>
    <w:rsid w:val="00734C1E"/>
    <w:rsid w:val="00734DEF"/>
    <w:rsid w:val="00735331"/>
    <w:rsid w:val="00735342"/>
    <w:rsid w:val="00735474"/>
    <w:rsid w:val="00735594"/>
    <w:rsid w:val="00735623"/>
    <w:rsid w:val="0073572B"/>
    <w:rsid w:val="0073578C"/>
    <w:rsid w:val="00735A0C"/>
    <w:rsid w:val="00735CB9"/>
    <w:rsid w:val="00735EBA"/>
    <w:rsid w:val="0073601D"/>
    <w:rsid w:val="00736223"/>
    <w:rsid w:val="00736343"/>
    <w:rsid w:val="00736515"/>
    <w:rsid w:val="0073658C"/>
    <w:rsid w:val="007365C6"/>
    <w:rsid w:val="007365C7"/>
    <w:rsid w:val="007365EA"/>
    <w:rsid w:val="00736607"/>
    <w:rsid w:val="007367B9"/>
    <w:rsid w:val="00736A4A"/>
    <w:rsid w:val="00736D13"/>
    <w:rsid w:val="00736E4B"/>
    <w:rsid w:val="00736EB1"/>
    <w:rsid w:val="00736F6F"/>
    <w:rsid w:val="00737069"/>
    <w:rsid w:val="00737077"/>
    <w:rsid w:val="00737235"/>
    <w:rsid w:val="00737557"/>
    <w:rsid w:val="00737620"/>
    <w:rsid w:val="0073766F"/>
    <w:rsid w:val="0073771A"/>
    <w:rsid w:val="00737794"/>
    <w:rsid w:val="00737954"/>
    <w:rsid w:val="007379E0"/>
    <w:rsid w:val="00737A72"/>
    <w:rsid w:val="00737A89"/>
    <w:rsid w:val="00737B3E"/>
    <w:rsid w:val="00737E0D"/>
    <w:rsid w:val="00737FF4"/>
    <w:rsid w:val="00740154"/>
    <w:rsid w:val="0074018C"/>
    <w:rsid w:val="00740585"/>
    <w:rsid w:val="0074063C"/>
    <w:rsid w:val="0074063E"/>
    <w:rsid w:val="007407D3"/>
    <w:rsid w:val="0074082F"/>
    <w:rsid w:val="00740997"/>
    <w:rsid w:val="00740CA0"/>
    <w:rsid w:val="00740DF2"/>
    <w:rsid w:val="00740FFF"/>
    <w:rsid w:val="00741059"/>
    <w:rsid w:val="00741324"/>
    <w:rsid w:val="007413B5"/>
    <w:rsid w:val="00741470"/>
    <w:rsid w:val="00741562"/>
    <w:rsid w:val="00741586"/>
    <w:rsid w:val="007415BF"/>
    <w:rsid w:val="007416B8"/>
    <w:rsid w:val="00741BD8"/>
    <w:rsid w:val="00741DDA"/>
    <w:rsid w:val="00742146"/>
    <w:rsid w:val="00742200"/>
    <w:rsid w:val="007427B5"/>
    <w:rsid w:val="007427D6"/>
    <w:rsid w:val="00742B86"/>
    <w:rsid w:val="00742F39"/>
    <w:rsid w:val="00742F8C"/>
    <w:rsid w:val="00742FD3"/>
    <w:rsid w:val="00742FD7"/>
    <w:rsid w:val="007431F3"/>
    <w:rsid w:val="0074323F"/>
    <w:rsid w:val="0074327F"/>
    <w:rsid w:val="0074332F"/>
    <w:rsid w:val="007436E7"/>
    <w:rsid w:val="00743745"/>
    <w:rsid w:val="007438F3"/>
    <w:rsid w:val="00743C23"/>
    <w:rsid w:val="00743DCB"/>
    <w:rsid w:val="00744030"/>
    <w:rsid w:val="007441D8"/>
    <w:rsid w:val="00744443"/>
    <w:rsid w:val="00744620"/>
    <w:rsid w:val="00744627"/>
    <w:rsid w:val="00744630"/>
    <w:rsid w:val="0074479A"/>
    <w:rsid w:val="007448F4"/>
    <w:rsid w:val="00744990"/>
    <w:rsid w:val="007449D3"/>
    <w:rsid w:val="00744B9B"/>
    <w:rsid w:val="00744D1D"/>
    <w:rsid w:val="00744DB5"/>
    <w:rsid w:val="00744EA0"/>
    <w:rsid w:val="00744EED"/>
    <w:rsid w:val="00744FCC"/>
    <w:rsid w:val="00745487"/>
    <w:rsid w:val="007454EE"/>
    <w:rsid w:val="00745730"/>
    <w:rsid w:val="0074574B"/>
    <w:rsid w:val="00745869"/>
    <w:rsid w:val="007458F9"/>
    <w:rsid w:val="007459B2"/>
    <w:rsid w:val="00745A0F"/>
    <w:rsid w:val="00745AFB"/>
    <w:rsid w:val="00745D4E"/>
    <w:rsid w:val="00746094"/>
    <w:rsid w:val="007461DD"/>
    <w:rsid w:val="0074630B"/>
    <w:rsid w:val="00746479"/>
    <w:rsid w:val="007464DC"/>
    <w:rsid w:val="00746622"/>
    <w:rsid w:val="007466B6"/>
    <w:rsid w:val="00746731"/>
    <w:rsid w:val="0074682A"/>
    <w:rsid w:val="00746B5A"/>
    <w:rsid w:val="00746B5C"/>
    <w:rsid w:val="00746CDD"/>
    <w:rsid w:val="00746EF8"/>
    <w:rsid w:val="00746F05"/>
    <w:rsid w:val="007470BF"/>
    <w:rsid w:val="007472CE"/>
    <w:rsid w:val="007472EC"/>
    <w:rsid w:val="007474BC"/>
    <w:rsid w:val="00747512"/>
    <w:rsid w:val="0074779E"/>
    <w:rsid w:val="00747A04"/>
    <w:rsid w:val="00747C06"/>
    <w:rsid w:val="00747F76"/>
    <w:rsid w:val="00750163"/>
    <w:rsid w:val="0075020D"/>
    <w:rsid w:val="00750237"/>
    <w:rsid w:val="0075034F"/>
    <w:rsid w:val="0075042A"/>
    <w:rsid w:val="007504F9"/>
    <w:rsid w:val="007505FE"/>
    <w:rsid w:val="00750CE7"/>
    <w:rsid w:val="007510EC"/>
    <w:rsid w:val="007511FB"/>
    <w:rsid w:val="007513BF"/>
    <w:rsid w:val="007513F8"/>
    <w:rsid w:val="0075192E"/>
    <w:rsid w:val="00751B1B"/>
    <w:rsid w:val="00751B78"/>
    <w:rsid w:val="00751C3D"/>
    <w:rsid w:val="00751FF4"/>
    <w:rsid w:val="00752044"/>
    <w:rsid w:val="007520A4"/>
    <w:rsid w:val="007520EE"/>
    <w:rsid w:val="00752340"/>
    <w:rsid w:val="007523AB"/>
    <w:rsid w:val="00752526"/>
    <w:rsid w:val="0075265E"/>
    <w:rsid w:val="00752A4A"/>
    <w:rsid w:val="00752C3C"/>
    <w:rsid w:val="00752FC6"/>
    <w:rsid w:val="0075330E"/>
    <w:rsid w:val="00753314"/>
    <w:rsid w:val="00753339"/>
    <w:rsid w:val="00753518"/>
    <w:rsid w:val="007536C8"/>
    <w:rsid w:val="0075374F"/>
    <w:rsid w:val="00753769"/>
    <w:rsid w:val="007538BD"/>
    <w:rsid w:val="00753949"/>
    <w:rsid w:val="007539D1"/>
    <w:rsid w:val="00753DB4"/>
    <w:rsid w:val="00753E0C"/>
    <w:rsid w:val="00753F07"/>
    <w:rsid w:val="00753F42"/>
    <w:rsid w:val="00753FB5"/>
    <w:rsid w:val="007540B4"/>
    <w:rsid w:val="007540C5"/>
    <w:rsid w:val="007543EB"/>
    <w:rsid w:val="007547D8"/>
    <w:rsid w:val="007547F7"/>
    <w:rsid w:val="00754A25"/>
    <w:rsid w:val="00754AA1"/>
    <w:rsid w:val="00754B4F"/>
    <w:rsid w:val="00754FF5"/>
    <w:rsid w:val="007555F7"/>
    <w:rsid w:val="00755657"/>
    <w:rsid w:val="00755854"/>
    <w:rsid w:val="00755C20"/>
    <w:rsid w:val="00755D11"/>
    <w:rsid w:val="00755E4D"/>
    <w:rsid w:val="00755EA3"/>
    <w:rsid w:val="00755F43"/>
    <w:rsid w:val="00756124"/>
    <w:rsid w:val="0075614E"/>
    <w:rsid w:val="00756588"/>
    <w:rsid w:val="00756605"/>
    <w:rsid w:val="0075663F"/>
    <w:rsid w:val="007566EA"/>
    <w:rsid w:val="0075672C"/>
    <w:rsid w:val="007568B6"/>
    <w:rsid w:val="00756A4A"/>
    <w:rsid w:val="00756C07"/>
    <w:rsid w:val="00756C8D"/>
    <w:rsid w:val="00756F81"/>
    <w:rsid w:val="00757112"/>
    <w:rsid w:val="007572EB"/>
    <w:rsid w:val="007574C5"/>
    <w:rsid w:val="007575E2"/>
    <w:rsid w:val="00757642"/>
    <w:rsid w:val="00757792"/>
    <w:rsid w:val="00757A08"/>
    <w:rsid w:val="00757C08"/>
    <w:rsid w:val="00757E6A"/>
    <w:rsid w:val="00757E87"/>
    <w:rsid w:val="007601CE"/>
    <w:rsid w:val="0076060D"/>
    <w:rsid w:val="00760798"/>
    <w:rsid w:val="00760811"/>
    <w:rsid w:val="00760815"/>
    <w:rsid w:val="007608C2"/>
    <w:rsid w:val="00760904"/>
    <w:rsid w:val="00760AC5"/>
    <w:rsid w:val="00761294"/>
    <w:rsid w:val="007612C5"/>
    <w:rsid w:val="007619CD"/>
    <w:rsid w:val="00761EA3"/>
    <w:rsid w:val="00761F32"/>
    <w:rsid w:val="00761F5F"/>
    <w:rsid w:val="007620FC"/>
    <w:rsid w:val="0076226D"/>
    <w:rsid w:val="007622DD"/>
    <w:rsid w:val="0076239D"/>
    <w:rsid w:val="007628AA"/>
    <w:rsid w:val="00762920"/>
    <w:rsid w:val="007629E5"/>
    <w:rsid w:val="00762A03"/>
    <w:rsid w:val="00762B69"/>
    <w:rsid w:val="00762CF5"/>
    <w:rsid w:val="00762F90"/>
    <w:rsid w:val="007630A5"/>
    <w:rsid w:val="007630BA"/>
    <w:rsid w:val="00763135"/>
    <w:rsid w:val="0076313C"/>
    <w:rsid w:val="00763261"/>
    <w:rsid w:val="0076333F"/>
    <w:rsid w:val="00763485"/>
    <w:rsid w:val="007635BD"/>
    <w:rsid w:val="00763670"/>
    <w:rsid w:val="007637E3"/>
    <w:rsid w:val="0076388F"/>
    <w:rsid w:val="00763932"/>
    <w:rsid w:val="00763B0A"/>
    <w:rsid w:val="00763E51"/>
    <w:rsid w:val="007640AC"/>
    <w:rsid w:val="00764171"/>
    <w:rsid w:val="00764374"/>
    <w:rsid w:val="007643AD"/>
    <w:rsid w:val="007643D6"/>
    <w:rsid w:val="00764642"/>
    <w:rsid w:val="00764694"/>
    <w:rsid w:val="00764935"/>
    <w:rsid w:val="00764957"/>
    <w:rsid w:val="007649F2"/>
    <w:rsid w:val="00764A51"/>
    <w:rsid w:val="00764A62"/>
    <w:rsid w:val="00764B2C"/>
    <w:rsid w:val="007650D7"/>
    <w:rsid w:val="00765116"/>
    <w:rsid w:val="007651DF"/>
    <w:rsid w:val="0076551F"/>
    <w:rsid w:val="00765667"/>
    <w:rsid w:val="00765766"/>
    <w:rsid w:val="0076588F"/>
    <w:rsid w:val="00765A8E"/>
    <w:rsid w:val="00765BB3"/>
    <w:rsid w:val="00765BC0"/>
    <w:rsid w:val="00765C9F"/>
    <w:rsid w:val="00765CA4"/>
    <w:rsid w:val="00766038"/>
    <w:rsid w:val="00766096"/>
    <w:rsid w:val="007660FA"/>
    <w:rsid w:val="007661D8"/>
    <w:rsid w:val="00766307"/>
    <w:rsid w:val="00766328"/>
    <w:rsid w:val="00766381"/>
    <w:rsid w:val="00766509"/>
    <w:rsid w:val="00766725"/>
    <w:rsid w:val="007667D3"/>
    <w:rsid w:val="00766C0B"/>
    <w:rsid w:val="00766CB8"/>
    <w:rsid w:val="00766D59"/>
    <w:rsid w:val="00766DDD"/>
    <w:rsid w:val="00766FA5"/>
    <w:rsid w:val="007670CC"/>
    <w:rsid w:val="007670D8"/>
    <w:rsid w:val="00767A42"/>
    <w:rsid w:val="00767BFC"/>
    <w:rsid w:val="00767C9D"/>
    <w:rsid w:val="00767DA4"/>
    <w:rsid w:val="00767EEB"/>
    <w:rsid w:val="00767F93"/>
    <w:rsid w:val="00770282"/>
    <w:rsid w:val="0077044F"/>
    <w:rsid w:val="00770630"/>
    <w:rsid w:val="00770731"/>
    <w:rsid w:val="007707DC"/>
    <w:rsid w:val="0077091D"/>
    <w:rsid w:val="00770CA1"/>
    <w:rsid w:val="00770D70"/>
    <w:rsid w:val="00770D9A"/>
    <w:rsid w:val="00770DF6"/>
    <w:rsid w:val="00770FF9"/>
    <w:rsid w:val="00771023"/>
    <w:rsid w:val="007710A3"/>
    <w:rsid w:val="0077120F"/>
    <w:rsid w:val="007712CF"/>
    <w:rsid w:val="00771365"/>
    <w:rsid w:val="0077147B"/>
    <w:rsid w:val="007716EC"/>
    <w:rsid w:val="0077190A"/>
    <w:rsid w:val="00771918"/>
    <w:rsid w:val="00771D74"/>
    <w:rsid w:val="00771D93"/>
    <w:rsid w:val="00771F64"/>
    <w:rsid w:val="00772011"/>
    <w:rsid w:val="0077210B"/>
    <w:rsid w:val="00772337"/>
    <w:rsid w:val="00772492"/>
    <w:rsid w:val="00772735"/>
    <w:rsid w:val="0077277F"/>
    <w:rsid w:val="00772858"/>
    <w:rsid w:val="007729CC"/>
    <w:rsid w:val="00772B94"/>
    <w:rsid w:val="00772B95"/>
    <w:rsid w:val="00772CFF"/>
    <w:rsid w:val="00772D32"/>
    <w:rsid w:val="00772F82"/>
    <w:rsid w:val="007730CA"/>
    <w:rsid w:val="007733BC"/>
    <w:rsid w:val="00773684"/>
    <w:rsid w:val="00773855"/>
    <w:rsid w:val="007739EF"/>
    <w:rsid w:val="00773BCC"/>
    <w:rsid w:val="00773BCD"/>
    <w:rsid w:val="00773BF7"/>
    <w:rsid w:val="00773D4E"/>
    <w:rsid w:val="00773DA4"/>
    <w:rsid w:val="00773EF8"/>
    <w:rsid w:val="00773F14"/>
    <w:rsid w:val="00773F8A"/>
    <w:rsid w:val="00773F8F"/>
    <w:rsid w:val="00774082"/>
    <w:rsid w:val="007740EE"/>
    <w:rsid w:val="0077420A"/>
    <w:rsid w:val="0077432F"/>
    <w:rsid w:val="00774354"/>
    <w:rsid w:val="00774377"/>
    <w:rsid w:val="007743B3"/>
    <w:rsid w:val="00774593"/>
    <w:rsid w:val="007745B6"/>
    <w:rsid w:val="007745EE"/>
    <w:rsid w:val="0077464E"/>
    <w:rsid w:val="0077483F"/>
    <w:rsid w:val="00774B54"/>
    <w:rsid w:val="00774C7E"/>
    <w:rsid w:val="00774E15"/>
    <w:rsid w:val="00774E59"/>
    <w:rsid w:val="00774FC8"/>
    <w:rsid w:val="00775085"/>
    <w:rsid w:val="00775205"/>
    <w:rsid w:val="007752E4"/>
    <w:rsid w:val="0077531A"/>
    <w:rsid w:val="007753CE"/>
    <w:rsid w:val="0077555A"/>
    <w:rsid w:val="0077555C"/>
    <w:rsid w:val="007755F6"/>
    <w:rsid w:val="00775A9F"/>
    <w:rsid w:val="00775AFB"/>
    <w:rsid w:val="00775B67"/>
    <w:rsid w:val="00775CD4"/>
    <w:rsid w:val="007764AA"/>
    <w:rsid w:val="007764AE"/>
    <w:rsid w:val="007765BA"/>
    <w:rsid w:val="007765DD"/>
    <w:rsid w:val="0077692F"/>
    <w:rsid w:val="00776A2C"/>
    <w:rsid w:val="00776CD6"/>
    <w:rsid w:val="00776D83"/>
    <w:rsid w:val="00776F0E"/>
    <w:rsid w:val="00776F69"/>
    <w:rsid w:val="00777397"/>
    <w:rsid w:val="00777403"/>
    <w:rsid w:val="0077799E"/>
    <w:rsid w:val="00777C3A"/>
    <w:rsid w:val="00777C50"/>
    <w:rsid w:val="0078001B"/>
    <w:rsid w:val="00780189"/>
    <w:rsid w:val="00780278"/>
    <w:rsid w:val="007805C3"/>
    <w:rsid w:val="00780606"/>
    <w:rsid w:val="007807CA"/>
    <w:rsid w:val="007810A2"/>
    <w:rsid w:val="00781126"/>
    <w:rsid w:val="00781164"/>
    <w:rsid w:val="00781427"/>
    <w:rsid w:val="0078155C"/>
    <w:rsid w:val="007815AF"/>
    <w:rsid w:val="007818A4"/>
    <w:rsid w:val="00781AD3"/>
    <w:rsid w:val="00782076"/>
    <w:rsid w:val="007821C1"/>
    <w:rsid w:val="007821EA"/>
    <w:rsid w:val="00782477"/>
    <w:rsid w:val="00782913"/>
    <w:rsid w:val="00782C9F"/>
    <w:rsid w:val="00782F83"/>
    <w:rsid w:val="007832CD"/>
    <w:rsid w:val="0078351C"/>
    <w:rsid w:val="0078360B"/>
    <w:rsid w:val="007836FA"/>
    <w:rsid w:val="00783767"/>
    <w:rsid w:val="0078381A"/>
    <w:rsid w:val="0078381D"/>
    <w:rsid w:val="00783982"/>
    <w:rsid w:val="007839B6"/>
    <w:rsid w:val="00783AA0"/>
    <w:rsid w:val="00783B1C"/>
    <w:rsid w:val="00783CB3"/>
    <w:rsid w:val="00783DFB"/>
    <w:rsid w:val="00783FDB"/>
    <w:rsid w:val="00784090"/>
    <w:rsid w:val="0078446E"/>
    <w:rsid w:val="0078457F"/>
    <w:rsid w:val="007845F6"/>
    <w:rsid w:val="00784642"/>
    <w:rsid w:val="0078483D"/>
    <w:rsid w:val="00784984"/>
    <w:rsid w:val="00784A93"/>
    <w:rsid w:val="00784C67"/>
    <w:rsid w:val="00784DCB"/>
    <w:rsid w:val="00784EA4"/>
    <w:rsid w:val="00784F83"/>
    <w:rsid w:val="00785064"/>
    <w:rsid w:val="007851BC"/>
    <w:rsid w:val="00785499"/>
    <w:rsid w:val="0078572B"/>
    <w:rsid w:val="007857AF"/>
    <w:rsid w:val="00785A54"/>
    <w:rsid w:val="00785AE0"/>
    <w:rsid w:val="00785C0F"/>
    <w:rsid w:val="00785C34"/>
    <w:rsid w:val="00785CBD"/>
    <w:rsid w:val="00785CE6"/>
    <w:rsid w:val="00785D8C"/>
    <w:rsid w:val="007860D9"/>
    <w:rsid w:val="0078626C"/>
    <w:rsid w:val="0078628B"/>
    <w:rsid w:val="007865E8"/>
    <w:rsid w:val="007866FF"/>
    <w:rsid w:val="00786740"/>
    <w:rsid w:val="0078682D"/>
    <w:rsid w:val="007868FC"/>
    <w:rsid w:val="00786AB8"/>
    <w:rsid w:val="00786C08"/>
    <w:rsid w:val="00786C6A"/>
    <w:rsid w:val="00786C90"/>
    <w:rsid w:val="00786EEC"/>
    <w:rsid w:val="007870C8"/>
    <w:rsid w:val="007872A4"/>
    <w:rsid w:val="00787351"/>
    <w:rsid w:val="0078737A"/>
    <w:rsid w:val="00787489"/>
    <w:rsid w:val="007876E2"/>
    <w:rsid w:val="007877D8"/>
    <w:rsid w:val="00787817"/>
    <w:rsid w:val="007879D6"/>
    <w:rsid w:val="00787C0D"/>
    <w:rsid w:val="00787CE3"/>
    <w:rsid w:val="00787D92"/>
    <w:rsid w:val="00787DE9"/>
    <w:rsid w:val="00787EA0"/>
    <w:rsid w:val="00787EE1"/>
    <w:rsid w:val="00787FF8"/>
    <w:rsid w:val="007901B0"/>
    <w:rsid w:val="00790419"/>
    <w:rsid w:val="007905FB"/>
    <w:rsid w:val="00790609"/>
    <w:rsid w:val="0079070A"/>
    <w:rsid w:val="0079088D"/>
    <w:rsid w:val="00790A65"/>
    <w:rsid w:val="00790B15"/>
    <w:rsid w:val="00790CDC"/>
    <w:rsid w:val="00790DC1"/>
    <w:rsid w:val="00791088"/>
    <w:rsid w:val="007910C8"/>
    <w:rsid w:val="007912EC"/>
    <w:rsid w:val="00791358"/>
    <w:rsid w:val="00791853"/>
    <w:rsid w:val="00791881"/>
    <w:rsid w:val="007918CF"/>
    <w:rsid w:val="007918DE"/>
    <w:rsid w:val="00791946"/>
    <w:rsid w:val="00791B70"/>
    <w:rsid w:val="00791D4B"/>
    <w:rsid w:val="00791F9E"/>
    <w:rsid w:val="00792011"/>
    <w:rsid w:val="00792203"/>
    <w:rsid w:val="007922F1"/>
    <w:rsid w:val="0079250A"/>
    <w:rsid w:val="00792569"/>
    <w:rsid w:val="0079256E"/>
    <w:rsid w:val="00792791"/>
    <w:rsid w:val="00792818"/>
    <w:rsid w:val="00792963"/>
    <w:rsid w:val="0079297C"/>
    <w:rsid w:val="00792BBC"/>
    <w:rsid w:val="00792DBB"/>
    <w:rsid w:val="00792EA7"/>
    <w:rsid w:val="00792F49"/>
    <w:rsid w:val="00793080"/>
    <w:rsid w:val="0079311F"/>
    <w:rsid w:val="0079318A"/>
    <w:rsid w:val="0079325D"/>
    <w:rsid w:val="00793389"/>
    <w:rsid w:val="007934BB"/>
    <w:rsid w:val="00793695"/>
    <w:rsid w:val="007936FA"/>
    <w:rsid w:val="007937B0"/>
    <w:rsid w:val="00793AB6"/>
    <w:rsid w:val="00793B6F"/>
    <w:rsid w:val="00793C9C"/>
    <w:rsid w:val="00793D70"/>
    <w:rsid w:val="00793EBA"/>
    <w:rsid w:val="00793F2C"/>
    <w:rsid w:val="0079423E"/>
    <w:rsid w:val="0079438A"/>
    <w:rsid w:val="00794428"/>
    <w:rsid w:val="0079443E"/>
    <w:rsid w:val="007946FD"/>
    <w:rsid w:val="007947AF"/>
    <w:rsid w:val="00794938"/>
    <w:rsid w:val="00794A7C"/>
    <w:rsid w:val="00794B4C"/>
    <w:rsid w:val="00794B6B"/>
    <w:rsid w:val="00794B7A"/>
    <w:rsid w:val="00794D2B"/>
    <w:rsid w:val="00794D2F"/>
    <w:rsid w:val="00794DFE"/>
    <w:rsid w:val="00795575"/>
    <w:rsid w:val="00795968"/>
    <w:rsid w:val="007959BC"/>
    <w:rsid w:val="00795ACE"/>
    <w:rsid w:val="00795AD3"/>
    <w:rsid w:val="00795D76"/>
    <w:rsid w:val="00795E72"/>
    <w:rsid w:val="00795E83"/>
    <w:rsid w:val="00795F17"/>
    <w:rsid w:val="00795F9D"/>
    <w:rsid w:val="00795FB1"/>
    <w:rsid w:val="00796446"/>
    <w:rsid w:val="00796803"/>
    <w:rsid w:val="007968B7"/>
    <w:rsid w:val="00796A2E"/>
    <w:rsid w:val="00796BD1"/>
    <w:rsid w:val="00796C73"/>
    <w:rsid w:val="00796D8E"/>
    <w:rsid w:val="00796F9D"/>
    <w:rsid w:val="00796FAF"/>
    <w:rsid w:val="007973DA"/>
    <w:rsid w:val="0079771F"/>
    <w:rsid w:val="00797724"/>
    <w:rsid w:val="00797C01"/>
    <w:rsid w:val="00797C5F"/>
    <w:rsid w:val="00797C83"/>
    <w:rsid w:val="00797E9A"/>
    <w:rsid w:val="00797F3B"/>
    <w:rsid w:val="007A00CB"/>
    <w:rsid w:val="007A027B"/>
    <w:rsid w:val="007A053F"/>
    <w:rsid w:val="007A0A00"/>
    <w:rsid w:val="007A0A84"/>
    <w:rsid w:val="007A0AC9"/>
    <w:rsid w:val="007A0AEF"/>
    <w:rsid w:val="007A0F28"/>
    <w:rsid w:val="007A0F4A"/>
    <w:rsid w:val="007A1155"/>
    <w:rsid w:val="007A1185"/>
    <w:rsid w:val="007A12AA"/>
    <w:rsid w:val="007A1347"/>
    <w:rsid w:val="007A1353"/>
    <w:rsid w:val="007A15A8"/>
    <w:rsid w:val="007A1649"/>
    <w:rsid w:val="007A177D"/>
    <w:rsid w:val="007A19C4"/>
    <w:rsid w:val="007A1A4D"/>
    <w:rsid w:val="007A1C73"/>
    <w:rsid w:val="007A1C91"/>
    <w:rsid w:val="007A1E6F"/>
    <w:rsid w:val="007A1EAD"/>
    <w:rsid w:val="007A1EEA"/>
    <w:rsid w:val="007A202C"/>
    <w:rsid w:val="007A222B"/>
    <w:rsid w:val="007A2252"/>
    <w:rsid w:val="007A23AF"/>
    <w:rsid w:val="007A24E2"/>
    <w:rsid w:val="007A2798"/>
    <w:rsid w:val="007A2AB1"/>
    <w:rsid w:val="007A2EE5"/>
    <w:rsid w:val="007A300B"/>
    <w:rsid w:val="007A3527"/>
    <w:rsid w:val="007A36D6"/>
    <w:rsid w:val="007A39E9"/>
    <w:rsid w:val="007A3AB0"/>
    <w:rsid w:val="007A3ADC"/>
    <w:rsid w:val="007A3DDC"/>
    <w:rsid w:val="007A3EB2"/>
    <w:rsid w:val="007A3F15"/>
    <w:rsid w:val="007A4164"/>
    <w:rsid w:val="007A4222"/>
    <w:rsid w:val="007A42BC"/>
    <w:rsid w:val="007A432B"/>
    <w:rsid w:val="007A43C7"/>
    <w:rsid w:val="007A43E4"/>
    <w:rsid w:val="007A4509"/>
    <w:rsid w:val="007A49B2"/>
    <w:rsid w:val="007A4DFC"/>
    <w:rsid w:val="007A4F82"/>
    <w:rsid w:val="007A4FB6"/>
    <w:rsid w:val="007A4FF2"/>
    <w:rsid w:val="007A510C"/>
    <w:rsid w:val="007A5248"/>
    <w:rsid w:val="007A5A2E"/>
    <w:rsid w:val="007A5E47"/>
    <w:rsid w:val="007A5F6F"/>
    <w:rsid w:val="007A6395"/>
    <w:rsid w:val="007A6461"/>
    <w:rsid w:val="007A65A6"/>
    <w:rsid w:val="007A666F"/>
    <w:rsid w:val="007A6775"/>
    <w:rsid w:val="007A6B78"/>
    <w:rsid w:val="007A6CB7"/>
    <w:rsid w:val="007A6CBC"/>
    <w:rsid w:val="007A6F8A"/>
    <w:rsid w:val="007A6FC0"/>
    <w:rsid w:val="007A706D"/>
    <w:rsid w:val="007A72C0"/>
    <w:rsid w:val="007A7333"/>
    <w:rsid w:val="007A748A"/>
    <w:rsid w:val="007A756B"/>
    <w:rsid w:val="007A7B5D"/>
    <w:rsid w:val="007A7BED"/>
    <w:rsid w:val="007A7E7F"/>
    <w:rsid w:val="007A7F6B"/>
    <w:rsid w:val="007B0077"/>
    <w:rsid w:val="007B0202"/>
    <w:rsid w:val="007B035D"/>
    <w:rsid w:val="007B03DD"/>
    <w:rsid w:val="007B04F7"/>
    <w:rsid w:val="007B06F3"/>
    <w:rsid w:val="007B0A87"/>
    <w:rsid w:val="007B0D63"/>
    <w:rsid w:val="007B0EC3"/>
    <w:rsid w:val="007B129F"/>
    <w:rsid w:val="007B12BF"/>
    <w:rsid w:val="007B1387"/>
    <w:rsid w:val="007B141E"/>
    <w:rsid w:val="007B16B4"/>
    <w:rsid w:val="007B1872"/>
    <w:rsid w:val="007B1884"/>
    <w:rsid w:val="007B1987"/>
    <w:rsid w:val="007B19F3"/>
    <w:rsid w:val="007B1B7C"/>
    <w:rsid w:val="007B1CEB"/>
    <w:rsid w:val="007B1D82"/>
    <w:rsid w:val="007B1E47"/>
    <w:rsid w:val="007B1E51"/>
    <w:rsid w:val="007B1F4F"/>
    <w:rsid w:val="007B21CA"/>
    <w:rsid w:val="007B2595"/>
    <w:rsid w:val="007B25AF"/>
    <w:rsid w:val="007B291E"/>
    <w:rsid w:val="007B2C41"/>
    <w:rsid w:val="007B2D9C"/>
    <w:rsid w:val="007B2DBC"/>
    <w:rsid w:val="007B2F64"/>
    <w:rsid w:val="007B2FEC"/>
    <w:rsid w:val="007B3185"/>
    <w:rsid w:val="007B32DA"/>
    <w:rsid w:val="007B33F2"/>
    <w:rsid w:val="007B341A"/>
    <w:rsid w:val="007B348E"/>
    <w:rsid w:val="007B36BF"/>
    <w:rsid w:val="007B37D2"/>
    <w:rsid w:val="007B396E"/>
    <w:rsid w:val="007B3B9C"/>
    <w:rsid w:val="007B3D8C"/>
    <w:rsid w:val="007B42F7"/>
    <w:rsid w:val="007B43B1"/>
    <w:rsid w:val="007B45B7"/>
    <w:rsid w:val="007B460C"/>
    <w:rsid w:val="007B46BC"/>
    <w:rsid w:val="007B4963"/>
    <w:rsid w:val="007B4A3E"/>
    <w:rsid w:val="007B4C34"/>
    <w:rsid w:val="007B4E44"/>
    <w:rsid w:val="007B4F97"/>
    <w:rsid w:val="007B54CE"/>
    <w:rsid w:val="007B555F"/>
    <w:rsid w:val="007B58B1"/>
    <w:rsid w:val="007B5B91"/>
    <w:rsid w:val="007B5C61"/>
    <w:rsid w:val="007B5D02"/>
    <w:rsid w:val="007B5D16"/>
    <w:rsid w:val="007B5E09"/>
    <w:rsid w:val="007B6087"/>
    <w:rsid w:val="007B6311"/>
    <w:rsid w:val="007B659F"/>
    <w:rsid w:val="007B66B8"/>
    <w:rsid w:val="007B6751"/>
    <w:rsid w:val="007B6870"/>
    <w:rsid w:val="007B68E7"/>
    <w:rsid w:val="007B6BC3"/>
    <w:rsid w:val="007B6D1A"/>
    <w:rsid w:val="007B6E1C"/>
    <w:rsid w:val="007B709E"/>
    <w:rsid w:val="007B70B0"/>
    <w:rsid w:val="007B71E8"/>
    <w:rsid w:val="007B7253"/>
    <w:rsid w:val="007B72D5"/>
    <w:rsid w:val="007B7364"/>
    <w:rsid w:val="007B7576"/>
    <w:rsid w:val="007B76B7"/>
    <w:rsid w:val="007B7792"/>
    <w:rsid w:val="007B7DCF"/>
    <w:rsid w:val="007B7F33"/>
    <w:rsid w:val="007B7F94"/>
    <w:rsid w:val="007C00DE"/>
    <w:rsid w:val="007C00DF"/>
    <w:rsid w:val="007C02BE"/>
    <w:rsid w:val="007C02CE"/>
    <w:rsid w:val="007C0386"/>
    <w:rsid w:val="007C06BF"/>
    <w:rsid w:val="007C072D"/>
    <w:rsid w:val="007C0805"/>
    <w:rsid w:val="007C0831"/>
    <w:rsid w:val="007C094E"/>
    <w:rsid w:val="007C0979"/>
    <w:rsid w:val="007C09EC"/>
    <w:rsid w:val="007C0B97"/>
    <w:rsid w:val="007C0C9C"/>
    <w:rsid w:val="007C0FAF"/>
    <w:rsid w:val="007C10C7"/>
    <w:rsid w:val="007C12B7"/>
    <w:rsid w:val="007C12BB"/>
    <w:rsid w:val="007C133D"/>
    <w:rsid w:val="007C13AD"/>
    <w:rsid w:val="007C1466"/>
    <w:rsid w:val="007C167E"/>
    <w:rsid w:val="007C178E"/>
    <w:rsid w:val="007C18B0"/>
    <w:rsid w:val="007C18D0"/>
    <w:rsid w:val="007C1932"/>
    <w:rsid w:val="007C1C54"/>
    <w:rsid w:val="007C1C56"/>
    <w:rsid w:val="007C1DB2"/>
    <w:rsid w:val="007C1FC2"/>
    <w:rsid w:val="007C24ED"/>
    <w:rsid w:val="007C261A"/>
    <w:rsid w:val="007C269C"/>
    <w:rsid w:val="007C28B6"/>
    <w:rsid w:val="007C2B95"/>
    <w:rsid w:val="007C2BEF"/>
    <w:rsid w:val="007C2CD8"/>
    <w:rsid w:val="007C2CFA"/>
    <w:rsid w:val="007C2D8C"/>
    <w:rsid w:val="007C2DB0"/>
    <w:rsid w:val="007C2E1C"/>
    <w:rsid w:val="007C309E"/>
    <w:rsid w:val="007C325A"/>
    <w:rsid w:val="007C376E"/>
    <w:rsid w:val="007C38BD"/>
    <w:rsid w:val="007C3B3A"/>
    <w:rsid w:val="007C3C57"/>
    <w:rsid w:val="007C3C8B"/>
    <w:rsid w:val="007C3DBE"/>
    <w:rsid w:val="007C3F1D"/>
    <w:rsid w:val="007C4075"/>
    <w:rsid w:val="007C419F"/>
    <w:rsid w:val="007C425B"/>
    <w:rsid w:val="007C4571"/>
    <w:rsid w:val="007C4744"/>
    <w:rsid w:val="007C490B"/>
    <w:rsid w:val="007C4D33"/>
    <w:rsid w:val="007C4E03"/>
    <w:rsid w:val="007C5032"/>
    <w:rsid w:val="007C515A"/>
    <w:rsid w:val="007C5205"/>
    <w:rsid w:val="007C5484"/>
    <w:rsid w:val="007C5500"/>
    <w:rsid w:val="007C550D"/>
    <w:rsid w:val="007C56FF"/>
    <w:rsid w:val="007C581E"/>
    <w:rsid w:val="007C58D8"/>
    <w:rsid w:val="007C590F"/>
    <w:rsid w:val="007C594C"/>
    <w:rsid w:val="007C5C80"/>
    <w:rsid w:val="007C5D53"/>
    <w:rsid w:val="007C5D6E"/>
    <w:rsid w:val="007C5F80"/>
    <w:rsid w:val="007C60C5"/>
    <w:rsid w:val="007C62FC"/>
    <w:rsid w:val="007C66FD"/>
    <w:rsid w:val="007C6910"/>
    <w:rsid w:val="007C6996"/>
    <w:rsid w:val="007C69DF"/>
    <w:rsid w:val="007C6B8D"/>
    <w:rsid w:val="007C6C10"/>
    <w:rsid w:val="007C6C22"/>
    <w:rsid w:val="007C6C71"/>
    <w:rsid w:val="007C6DF8"/>
    <w:rsid w:val="007C708D"/>
    <w:rsid w:val="007C7092"/>
    <w:rsid w:val="007C71E3"/>
    <w:rsid w:val="007C728E"/>
    <w:rsid w:val="007C7353"/>
    <w:rsid w:val="007C74EC"/>
    <w:rsid w:val="007C75EA"/>
    <w:rsid w:val="007C789F"/>
    <w:rsid w:val="007C7988"/>
    <w:rsid w:val="007C7A63"/>
    <w:rsid w:val="007C7B4F"/>
    <w:rsid w:val="007C7CCD"/>
    <w:rsid w:val="007D01D2"/>
    <w:rsid w:val="007D02AF"/>
    <w:rsid w:val="007D030E"/>
    <w:rsid w:val="007D0319"/>
    <w:rsid w:val="007D0330"/>
    <w:rsid w:val="007D0798"/>
    <w:rsid w:val="007D0AF1"/>
    <w:rsid w:val="007D0BDC"/>
    <w:rsid w:val="007D1465"/>
    <w:rsid w:val="007D176A"/>
    <w:rsid w:val="007D1A4C"/>
    <w:rsid w:val="007D1A91"/>
    <w:rsid w:val="007D21CA"/>
    <w:rsid w:val="007D240D"/>
    <w:rsid w:val="007D2415"/>
    <w:rsid w:val="007D27DA"/>
    <w:rsid w:val="007D27E3"/>
    <w:rsid w:val="007D27FF"/>
    <w:rsid w:val="007D2B9F"/>
    <w:rsid w:val="007D2D4E"/>
    <w:rsid w:val="007D2FD7"/>
    <w:rsid w:val="007D304B"/>
    <w:rsid w:val="007D318E"/>
    <w:rsid w:val="007D3299"/>
    <w:rsid w:val="007D3538"/>
    <w:rsid w:val="007D37BA"/>
    <w:rsid w:val="007D3A8C"/>
    <w:rsid w:val="007D3BCB"/>
    <w:rsid w:val="007D3CD7"/>
    <w:rsid w:val="007D4095"/>
    <w:rsid w:val="007D4342"/>
    <w:rsid w:val="007D49AF"/>
    <w:rsid w:val="007D49F0"/>
    <w:rsid w:val="007D4A7D"/>
    <w:rsid w:val="007D4B26"/>
    <w:rsid w:val="007D4F90"/>
    <w:rsid w:val="007D506C"/>
    <w:rsid w:val="007D519B"/>
    <w:rsid w:val="007D53A7"/>
    <w:rsid w:val="007D53DF"/>
    <w:rsid w:val="007D56C4"/>
    <w:rsid w:val="007D56E7"/>
    <w:rsid w:val="007D5713"/>
    <w:rsid w:val="007D57CE"/>
    <w:rsid w:val="007D5977"/>
    <w:rsid w:val="007D5B4D"/>
    <w:rsid w:val="007D5D1C"/>
    <w:rsid w:val="007D5EE2"/>
    <w:rsid w:val="007D5FA6"/>
    <w:rsid w:val="007D608E"/>
    <w:rsid w:val="007D6258"/>
    <w:rsid w:val="007D62DA"/>
    <w:rsid w:val="007D6415"/>
    <w:rsid w:val="007D6572"/>
    <w:rsid w:val="007D6584"/>
    <w:rsid w:val="007D658A"/>
    <w:rsid w:val="007D69F0"/>
    <w:rsid w:val="007D6CF2"/>
    <w:rsid w:val="007D6DD8"/>
    <w:rsid w:val="007D6E8A"/>
    <w:rsid w:val="007D6F42"/>
    <w:rsid w:val="007D6FCA"/>
    <w:rsid w:val="007D6FEC"/>
    <w:rsid w:val="007D7242"/>
    <w:rsid w:val="007D753A"/>
    <w:rsid w:val="007D78A1"/>
    <w:rsid w:val="007D78A5"/>
    <w:rsid w:val="007D78D0"/>
    <w:rsid w:val="007D7B32"/>
    <w:rsid w:val="007D7BEF"/>
    <w:rsid w:val="007D7C5B"/>
    <w:rsid w:val="007E016A"/>
    <w:rsid w:val="007E0313"/>
    <w:rsid w:val="007E0357"/>
    <w:rsid w:val="007E053F"/>
    <w:rsid w:val="007E0781"/>
    <w:rsid w:val="007E080E"/>
    <w:rsid w:val="007E088A"/>
    <w:rsid w:val="007E0B7C"/>
    <w:rsid w:val="007E0D42"/>
    <w:rsid w:val="007E0FF3"/>
    <w:rsid w:val="007E13EA"/>
    <w:rsid w:val="007E1492"/>
    <w:rsid w:val="007E1720"/>
    <w:rsid w:val="007E1860"/>
    <w:rsid w:val="007E18B1"/>
    <w:rsid w:val="007E18E8"/>
    <w:rsid w:val="007E193B"/>
    <w:rsid w:val="007E1AF1"/>
    <w:rsid w:val="007E1DEF"/>
    <w:rsid w:val="007E1E3E"/>
    <w:rsid w:val="007E23ED"/>
    <w:rsid w:val="007E2482"/>
    <w:rsid w:val="007E2524"/>
    <w:rsid w:val="007E28C5"/>
    <w:rsid w:val="007E2A76"/>
    <w:rsid w:val="007E2D52"/>
    <w:rsid w:val="007E2DE4"/>
    <w:rsid w:val="007E2E78"/>
    <w:rsid w:val="007E2E88"/>
    <w:rsid w:val="007E2EBA"/>
    <w:rsid w:val="007E3050"/>
    <w:rsid w:val="007E31DF"/>
    <w:rsid w:val="007E3238"/>
    <w:rsid w:val="007E3302"/>
    <w:rsid w:val="007E34DC"/>
    <w:rsid w:val="007E34F2"/>
    <w:rsid w:val="007E3550"/>
    <w:rsid w:val="007E3862"/>
    <w:rsid w:val="007E396F"/>
    <w:rsid w:val="007E398C"/>
    <w:rsid w:val="007E39B9"/>
    <w:rsid w:val="007E3A8C"/>
    <w:rsid w:val="007E3B42"/>
    <w:rsid w:val="007E3F50"/>
    <w:rsid w:val="007E40E5"/>
    <w:rsid w:val="007E45B7"/>
    <w:rsid w:val="007E4B30"/>
    <w:rsid w:val="007E4BB9"/>
    <w:rsid w:val="007E4CA5"/>
    <w:rsid w:val="007E4CFD"/>
    <w:rsid w:val="007E4CFE"/>
    <w:rsid w:val="007E50E8"/>
    <w:rsid w:val="007E51CA"/>
    <w:rsid w:val="007E5236"/>
    <w:rsid w:val="007E528A"/>
    <w:rsid w:val="007E53AC"/>
    <w:rsid w:val="007E54C3"/>
    <w:rsid w:val="007E568F"/>
    <w:rsid w:val="007E5735"/>
    <w:rsid w:val="007E5A6B"/>
    <w:rsid w:val="007E5EF5"/>
    <w:rsid w:val="007E5FBA"/>
    <w:rsid w:val="007E6393"/>
    <w:rsid w:val="007E63ED"/>
    <w:rsid w:val="007E659B"/>
    <w:rsid w:val="007E69A2"/>
    <w:rsid w:val="007E6C19"/>
    <w:rsid w:val="007E6D50"/>
    <w:rsid w:val="007E6F0A"/>
    <w:rsid w:val="007E6F16"/>
    <w:rsid w:val="007E7063"/>
    <w:rsid w:val="007E7378"/>
    <w:rsid w:val="007E7793"/>
    <w:rsid w:val="007E7AAC"/>
    <w:rsid w:val="007E7ACA"/>
    <w:rsid w:val="007E7BE7"/>
    <w:rsid w:val="007E7C46"/>
    <w:rsid w:val="007E7C50"/>
    <w:rsid w:val="007E7CDA"/>
    <w:rsid w:val="007F00A5"/>
    <w:rsid w:val="007F01C6"/>
    <w:rsid w:val="007F0254"/>
    <w:rsid w:val="007F02B8"/>
    <w:rsid w:val="007F0524"/>
    <w:rsid w:val="007F0841"/>
    <w:rsid w:val="007F0862"/>
    <w:rsid w:val="007F0971"/>
    <w:rsid w:val="007F0BFF"/>
    <w:rsid w:val="007F1024"/>
    <w:rsid w:val="007F13C1"/>
    <w:rsid w:val="007F15AF"/>
    <w:rsid w:val="007F161B"/>
    <w:rsid w:val="007F16D1"/>
    <w:rsid w:val="007F171E"/>
    <w:rsid w:val="007F178A"/>
    <w:rsid w:val="007F1805"/>
    <w:rsid w:val="007F1877"/>
    <w:rsid w:val="007F1A73"/>
    <w:rsid w:val="007F1E57"/>
    <w:rsid w:val="007F1E66"/>
    <w:rsid w:val="007F221C"/>
    <w:rsid w:val="007F23AC"/>
    <w:rsid w:val="007F261D"/>
    <w:rsid w:val="007F272B"/>
    <w:rsid w:val="007F2786"/>
    <w:rsid w:val="007F31FB"/>
    <w:rsid w:val="007F320D"/>
    <w:rsid w:val="007F347C"/>
    <w:rsid w:val="007F35FB"/>
    <w:rsid w:val="007F36CF"/>
    <w:rsid w:val="007F376C"/>
    <w:rsid w:val="007F3772"/>
    <w:rsid w:val="007F39B6"/>
    <w:rsid w:val="007F39BD"/>
    <w:rsid w:val="007F39D3"/>
    <w:rsid w:val="007F3BA6"/>
    <w:rsid w:val="007F3C07"/>
    <w:rsid w:val="007F3CDE"/>
    <w:rsid w:val="007F3ED6"/>
    <w:rsid w:val="007F45BE"/>
    <w:rsid w:val="007F4736"/>
    <w:rsid w:val="007F4D60"/>
    <w:rsid w:val="007F4D6A"/>
    <w:rsid w:val="007F4EEB"/>
    <w:rsid w:val="007F52A0"/>
    <w:rsid w:val="007F5421"/>
    <w:rsid w:val="007F5617"/>
    <w:rsid w:val="007F5635"/>
    <w:rsid w:val="007F58E3"/>
    <w:rsid w:val="007F5AF2"/>
    <w:rsid w:val="007F5CBC"/>
    <w:rsid w:val="007F5F7F"/>
    <w:rsid w:val="007F5FC1"/>
    <w:rsid w:val="007F601E"/>
    <w:rsid w:val="007F62B7"/>
    <w:rsid w:val="007F680A"/>
    <w:rsid w:val="007F6A4D"/>
    <w:rsid w:val="007F6C1C"/>
    <w:rsid w:val="007F6D02"/>
    <w:rsid w:val="007F6DA6"/>
    <w:rsid w:val="007F7056"/>
    <w:rsid w:val="007F730D"/>
    <w:rsid w:val="007F7326"/>
    <w:rsid w:val="007F73D6"/>
    <w:rsid w:val="007F73E4"/>
    <w:rsid w:val="007F7400"/>
    <w:rsid w:val="007F7598"/>
    <w:rsid w:val="007F76E4"/>
    <w:rsid w:val="007F7707"/>
    <w:rsid w:val="007F784E"/>
    <w:rsid w:val="007F789F"/>
    <w:rsid w:val="007F794E"/>
    <w:rsid w:val="007F7B9A"/>
    <w:rsid w:val="007F7BF7"/>
    <w:rsid w:val="007F7E3D"/>
    <w:rsid w:val="007F7F2F"/>
    <w:rsid w:val="007F7F38"/>
    <w:rsid w:val="00800090"/>
    <w:rsid w:val="00800377"/>
    <w:rsid w:val="00800408"/>
    <w:rsid w:val="00800525"/>
    <w:rsid w:val="00800A37"/>
    <w:rsid w:val="00800C26"/>
    <w:rsid w:val="00800DC3"/>
    <w:rsid w:val="00800E1D"/>
    <w:rsid w:val="00800E53"/>
    <w:rsid w:val="00800F25"/>
    <w:rsid w:val="00800F98"/>
    <w:rsid w:val="00801070"/>
    <w:rsid w:val="00801535"/>
    <w:rsid w:val="00801766"/>
    <w:rsid w:val="008017C7"/>
    <w:rsid w:val="008018C5"/>
    <w:rsid w:val="00801A17"/>
    <w:rsid w:val="00801AD2"/>
    <w:rsid w:val="00801BD0"/>
    <w:rsid w:val="00801D53"/>
    <w:rsid w:val="00801FE0"/>
    <w:rsid w:val="00802050"/>
    <w:rsid w:val="008020C2"/>
    <w:rsid w:val="008021A0"/>
    <w:rsid w:val="008022BF"/>
    <w:rsid w:val="0080234A"/>
    <w:rsid w:val="00802636"/>
    <w:rsid w:val="0080269A"/>
    <w:rsid w:val="008028DE"/>
    <w:rsid w:val="00802ADE"/>
    <w:rsid w:val="00802EB3"/>
    <w:rsid w:val="00802FE7"/>
    <w:rsid w:val="0080316A"/>
    <w:rsid w:val="008031E1"/>
    <w:rsid w:val="00803241"/>
    <w:rsid w:val="00803286"/>
    <w:rsid w:val="00803316"/>
    <w:rsid w:val="008036A2"/>
    <w:rsid w:val="008039C3"/>
    <w:rsid w:val="008039D5"/>
    <w:rsid w:val="00803D9F"/>
    <w:rsid w:val="00803F1C"/>
    <w:rsid w:val="0080404E"/>
    <w:rsid w:val="00804094"/>
    <w:rsid w:val="008043A2"/>
    <w:rsid w:val="00804488"/>
    <w:rsid w:val="00804584"/>
    <w:rsid w:val="008047AC"/>
    <w:rsid w:val="00804864"/>
    <w:rsid w:val="00804949"/>
    <w:rsid w:val="008049DE"/>
    <w:rsid w:val="00804B1F"/>
    <w:rsid w:val="00804DEA"/>
    <w:rsid w:val="008050F5"/>
    <w:rsid w:val="008051FE"/>
    <w:rsid w:val="0080522C"/>
    <w:rsid w:val="00805501"/>
    <w:rsid w:val="008056B3"/>
    <w:rsid w:val="00805938"/>
    <w:rsid w:val="0080593A"/>
    <w:rsid w:val="00805B13"/>
    <w:rsid w:val="00805C31"/>
    <w:rsid w:val="00806099"/>
    <w:rsid w:val="008060D1"/>
    <w:rsid w:val="008060F9"/>
    <w:rsid w:val="00806237"/>
    <w:rsid w:val="0080645C"/>
    <w:rsid w:val="008067E8"/>
    <w:rsid w:val="0080686C"/>
    <w:rsid w:val="0080690E"/>
    <w:rsid w:val="00806933"/>
    <w:rsid w:val="0080699D"/>
    <w:rsid w:val="00806D3D"/>
    <w:rsid w:val="00807360"/>
    <w:rsid w:val="008075F4"/>
    <w:rsid w:val="0080780C"/>
    <w:rsid w:val="0080787D"/>
    <w:rsid w:val="008078B0"/>
    <w:rsid w:val="00807AAB"/>
    <w:rsid w:val="00807B33"/>
    <w:rsid w:val="00807B4A"/>
    <w:rsid w:val="00807BD8"/>
    <w:rsid w:val="00807C33"/>
    <w:rsid w:val="00807D41"/>
    <w:rsid w:val="00807F46"/>
    <w:rsid w:val="00807FAE"/>
    <w:rsid w:val="0081046E"/>
    <w:rsid w:val="0081057F"/>
    <w:rsid w:val="00810610"/>
    <w:rsid w:val="00810617"/>
    <w:rsid w:val="008106FC"/>
    <w:rsid w:val="00810898"/>
    <w:rsid w:val="00810B84"/>
    <w:rsid w:val="008110AE"/>
    <w:rsid w:val="0081118B"/>
    <w:rsid w:val="00811285"/>
    <w:rsid w:val="0081161A"/>
    <w:rsid w:val="0081171A"/>
    <w:rsid w:val="008117E9"/>
    <w:rsid w:val="00811895"/>
    <w:rsid w:val="00811DE6"/>
    <w:rsid w:val="00811E05"/>
    <w:rsid w:val="00811E8D"/>
    <w:rsid w:val="00811EBD"/>
    <w:rsid w:val="008124E3"/>
    <w:rsid w:val="0081268C"/>
    <w:rsid w:val="008126D9"/>
    <w:rsid w:val="008129B5"/>
    <w:rsid w:val="00812A4C"/>
    <w:rsid w:val="00812BE5"/>
    <w:rsid w:val="00812CBD"/>
    <w:rsid w:val="00812D00"/>
    <w:rsid w:val="00812D59"/>
    <w:rsid w:val="00812DC4"/>
    <w:rsid w:val="00812FBD"/>
    <w:rsid w:val="0081319F"/>
    <w:rsid w:val="00813275"/>
    <w:rsid w:val="008134F2"/>
    <w:rsid w:val="008136DA"/>
    <w:rsid w:val="0081380D"/>
    <w:rsid w:val="00813F41"/>
    <w:rsid w:val="008140B1"/>
    <w:rsid w:val="0081410A"/>
    <w:rsid w:val="0081427D"/>
    <w:rsid w:val="0081440A"/>
    <w:rsid w:val="008144D0"/>
    <w:rsid w:val="00814519"/>
    <w:rsid w:val="0081455F"/>
    <w:rsid w:val="00814670"/>
    <w:rsid w:val="0081471C"/>
    <w:rsid w:val="008147DF"/>
    <w:rsid w:val="00814823"/>
    <w:rsid w:val="00814A44"/>
    <w:rsid w:val="00814D49"/>
    <w:rsid w:val="00815032"/>
    <w:rsid w:val="008150C1"/>
    <w:rsid w:val="008151A1"/>
    <w:rsid w:val="008151BD"/>
    <w:rsid w:val="008152B4"/>
    <w:rsid w:val="0081553A"/>
    <w:rsid w:val="0081570D"/>
    <w:rsid w:val="00815749"/>
    <w:rsid w:val="008159AD"/>
    <w:rsid w:val="00815A9E"/>
    <w:rsid w:val="00815D9F"/>
    <w:rsid w:val="00816090"/>
    <w:rsid w:val="008160D7"/>
    <w:rsid w:val="008161AB"/>
    <w:rsid w:val="008162DD"/>
    <w:rsid w:val="0081630F"/>
    <w:rsid w:val="00816339"/>
    <w:rsid w:val="0081671A"/>
    <w:rsid w:val="0081678F"/>
    <w:rsid w:val="00816797"/>
    <w:rsid w:val="00816A42"/>
    <w:rsid w:val="00816B5E"/>
    <w:rsid w:val="00816CCE"/>
    <w:rsid w:val="00816D7E"/>
    <w:rsid w:val="00816DF3"/>
    <w:rsid w:val="008170E4"/>
    <w:rsid w:val="00817180"/>
    <w:rsid w:val="008171B5"/>
    <w:rsid w:val="008175FA"/>
    <w:rsid w:val="00817710"/>
    <w:rsid w:val="008177AE"/>
    <w:rsid w:val="0081783C"/>
    <w:rsid w:val="00817904"/>
    <w:rsid w:val="00817A05"/>
    <w:rsid w:val="00817A1F"/>
    <w:rsid w:val="00817CA4"/>
    <w:rsid w:val="00817E10"/>
    <w:rsid w:val="0082039B"/>
    <w:rsid w:val="008206EE"/>
    <w:rsid w:val="00820781"/>
    <w:rsid w:val="008207BC"/>
    <w:rsid w:val="00820864"/>
    <w:rsid w:val="008208D7"/>
    <w:rsid w:val="008209B7"/>
    <w:rsid w:val="008209BD"/>
    <w:rsid w:val="00820B4F"/>
    <w:rsid w:val="00820EAD"/>
    <w:rsid w:val="00820FB2"/>
    <w:rsid w:val="008210DA"/>
    <w:rsid w:val="0082110E"/>
    <w:rsid w:val="008211EC"/>
    <w:rsid w:val="008212BF"/>
    <w:rsid w:val="008212EE"/>
    <w:rsid w:val="00821421"/>
    <w:rsid w:val="008216C9"/>
    <w:rsid w:val="00821730"/>
    <w:rsid w:val="0082173F"/>
    <w:rsid w:val="0082178D"/>
    <w:rsid w:val="0082182A"/>
    <w:rsid w:val="008218F8"/>
    <w:rsid w:val="008219B7"/>
    <w:rsid w:val="00821A80"/>
    <w:rsid w:val="00821AF9"/>
    <w:rsid w:val="00821B94"/>
    <w:rsid w:val="00821B98"/>
    <w:rsid w:val="00821C7A"/>
    <w:rsid w:val="00821CC5"/>
    <w:rsid w:val="00821F5A"/>
    <w:rsid w:val="00822076"/>
    <w:rsid w:val="00822217"/>
    <w:rsid w:val="008222A2"/>
    <w:rsid w:val="0082245E"/>
    <w:rsid w:val="008224B8"/>
    <w:rsid w:val="0082250C"/>
    <w:rsid w:val="00822660"/>
    <w:rsid w:val="00822778"/>
    <w:rsid w:val="00822832"/>
    <w:rsid w:val="00822937"/>
    <w:rsid w:val="008229C1"/>
    <w:rsid w:val="00822A60"/>
    <w:rsid w:val="00822B3D"/>
    <w:rsid w:val="00822EAF"/>
    <w:rsid w:val="0082302C"/>
    <w:rsid w:val="00823051"/>
    <w:rsid w:val="00823100"/>
    <w:rsid w:val="00823170"/>
    <w:rsid w:val="008235E0"/>
    <w:rsid w:val="0082386E"/>
    <w:rsid w:val="008238D2"/>
    <w:rsid w:val="0082393D"/>
    <w:rsid w:val="00823DB3"/>
    <w:rsid w:val="008241FE"/>
    <w:rsid w:val="00824393"/>
    <w:rsid w:val="008244AD"/>
    <w:rsid w:val="00824B60"/>
    <w:rsid w:val="00824EE4"/>
    <w:rsid w:val="00824F9F"/>
    <w:rsid w:val="00825007"/>
    <w:rsid w:val="00825281"/>
    <w:rsid w:val="0082577B"/>
    <w:rsid w:val="008257EF"/>
    <w:rsid w:val="00825994"/>
    <w:rsid w:val="00825D17"/>
    <w:rsid w:val="00825D4E"/>
    <w:rsid w:val="00825DCD"/>
    <w:rsid w:val="00825E23"/>
    <w:rsid w:val="00825F11"/>
    <w:rsid w:val="00825F77"/>
    <w:rsid w:val="00826193"/>
    <w:rsid w:val="0082640B"/>
    <w:rsid w:val="00826752"/>
    <w:rsid w:val="00826B4F"/>
    <w:rsid w:val="00826DB4"/>
    <w:rsid w:val="00826E8B"/>
    <w:rsid w:val="0082713C"/>
    <w:rsid w:val="00827269"/>
    <w:rsid w:val="008272DE"/>
    <w:rsid w:val="0082731E"/>
    <w:rsid w:val="0082756A"/>
    <w:rsid w:val="00827ADB"/>
    <w:rsid w:val="00827B3C"/>
    <w:rsid w:val="00827DDE"/>
    <w:rsid w:val="00827E9E"/>
    <w:rsid w:val="00830A1C"/>
    <w:rsid w:val="00830C08"/>
    <w:rsid w:val="00830C3E"/>
    <w:rsid w:val="00830DF3"/>
    <w:rsid w:val="00830EFE"/>
    <w:rsid w:val="00830FC8"/>
    <w:rsid w:val="00830FDA"/>
    <w:rsid w:val="00831153"/>
    <w:rsid w:val="008311B8"/>
    <w:rsid w:val="008311F9"/>
    <w:rsid w:val="008312C9"/>
    <w:rsid w:val="008313C9"/>
    <w:rsid w:val="00831558"/>
    <w:rsid w:val="008317B7"/>
    <w:rsid w:val="008319D2"/>
    <w:rsid w:val="00831B74"/>
    <w:rsid w:val="00831F96"/>
    <w:rsid w:val="00832357"/>
    <w:rsid w:val="0083259C"/>
    <w:rsid w:val="008325B2"/>
    <w:rsid w:val="00832770"/>
    <w:rsid w:val="00832932"/>
    <w:rsid w:val="0083298D"/>
    <w:rsid w:val="00832A8A"/>
    <w:rsid w:val="00832B49"/>
    <w:rsid w:val="00832B98"/>
    <w:rsid w:val="00832CF0"/>
    <w:rsid w:val="00833091"/>
    <w:rsid w:val="0083337F"/>
    <w:rsid w:val="008334D1"/>
    <w:rsid w:val="00833532"/>
    <w:rsid w:val="008336F0"/>
    <w:rsid w:val="0083390E"/>
    <w:rsid w:val="00833F1F"/>
    <w:rsid w:val="00833FA0"/>
    <w:rsid w:val="00834050"/>
    <w:rsid w:val="00834153"/>
    <w:rsid w:val="008341A5"/>
    <w:rsid w:val="0083447B"/>
    <w:rsid w:val="00834615"/>
    <w:rsid w:val="0083471F"/>
    <w:rsid w:val="00834A69"/>
    <w:rsid w:val="00834E33"/>
    <w:rsid w:val="00834EAF"/>
    <w:rsid w:val="00835091"/>
    <w:rsid w:val="008350B5"/>
    <w:rsid w:val="008350CB"/>
    <w:rsid w:val="0083526D"/>
    <w:rsid w:val="008359AC"/>
    <w:rsid w:val="00835A1A"/>
    <w:rsid w:val="00835A4F"/>
    <w:rsid w:val="00835B99"/>
    <w:rsid w:val="00835BA6"/>
    <w:rsid w:val="0083630B"/>
    <w:rsid w:val="008364A6"/>
    <w:rsid w:val="00836A6E"/>
    <w:rsid w:val="00836BCC"/>
    <w:rsid w:val="00836E26"/>
    <w:rsid w:val="00836FBA"/>
    <w:rsid w:val="00837262"/>
    <w:rsid w:val="008373A3"/>
    <w:rsid w:val="00837598"/>
    <w:rsid w:val="008375F3"/>
    <w:rsid w:val="0083777B"/>
    <w:rsid w:val="0083784E"/>
    <w:rsid w:val="00837A26"/>
    <w:rsid w:val="00837B57"/>
    <w:rsid w:val="00837F99"/>
    <w:rsid w:val="00837FCB"/>
    <w:rsid w:val="00840297"/>
    <w:rsid w:val="0084037F"/>
    <w:rsid w:val="008403B5"/>
    <w:rsid w:val="0084049A"/>
    <w:rsid w:val="00840A70"/>
    <w:rsid w:val="00840AE0"/>
    <w:rsid w:val="00840CC4"/>
    <w:rsid w:val="00840F7D"/>
    <w:rsid w:val="00841187"/>
    <w:rsid w:val="0084157B"/>
    <w:rsid w:val="00841793"/>
    <w:rsid w:val="008418F0"/>
    <w:rsid w:val="0084212F"/>
    <w:rsid w:val="00842150"/>
    <w:rsid w:val="0084215A"/>
    <w:rsid w:val="0084215F"/>
    <w:rsid w:val="00842256"/>
    <w:rsid w:val="0084229E"/>
    <w:rsid w:val="008423BE"/>
    <w:rsid w:val="00842550"/>
    <w:rsid w:val="0084273C"/>
    <w:rsid w:val="00842838"/>
    <w:rsid w:val="00842A45"/>
    <w:rsid w:val="00842B79"/>
    <w:rsid w:val="00842B7E"/>
    <w:rsid w:val="00842CC0"/>
    <w:rsid w:val="0084329D"/>
    <w:rsid w:val="008433B4"/>
    <w:rsid w:val="008433D5"/>
    <w:rsid w:val="0084347E"/>
    <w:rsid w:val="00843555"/>
    <w:rsid w:val="008435E0"/>
    <w:rsid w:val="0084368A"/>
    <w:rsid w:val="00843882"/>
    <w:rsid w:val="00843A5F"/>
    <w:rsid w:val="00844046"/>
    <w:rsid w:val="00844062"/>
    <w:rsid w:val="00844128"/>
    <w:rsid w:val="00844180"/>
    <w:rsid w:val="00844640"/>
    <w:rsid w:val="008447EF"/>
    <w:rsid w:val="00844CA7"/>
    <w:rsid w:val="00844DAC"/>
    <w:rsid w:val="00844F47"/>
    <w:rsid w:val="0084523A"/>
    <w:rsid w:val="00845242"/>
    <w:rsid w:val="008455BC"/>
    <w:rsid w:val="00845604"/>
    <w:rsid w:val="00845838"/>
    <w:rsid w:val="00845957"/>
    <w:rsid w:val="008459CB"/>
    <w:rsid w:val="00845AC7"/>
    <w:rsid w:val="00845E5D"/>
    <w:rsid w:val="00845ECB"/>
    <w:rsid w:val="00845FC4"/>
    <w:rsid w:val="008460BA"/>
    <w:rsid w:val="008460BD"/>
    <w:rsid w:val="00846324"/>
    <w:rsid w:val="00846331"/>
    <w:rsid w:val="00846634"/>
    <w:rsid w:val="00846760"/>
    <w:rsid w:val="008467D9"/>
    <w:rsid w:val="008467F6"/>
    <w:rsid w:val="00846A4A"/>
    <w:rsid w:val="0084700E"/>
    <w:rsid w:val="008474C8"/>
    <w:rsid w:val="008477C4"/>
    <w:rsid w:val="00847876"/>
    <w:rsid w:val="00847946"/>
    <w:rsid w:val="00847A75"/>
    <w:rsid w:val="00847B7D"/>
    <w:rsid w:val="00847BAF"/>
    <w:rsid w:val="00847BBF"/>
    <w:rsid w:val="00847C90"/>
    <w:rsid w:val="00847DDC"/>
    <w:rsid w:val="00847DEA"/>
    <w:rsid w:val="00847DF4"/>
    <w:rsid w:val="00847DFC"/>
    <w:rsid w:val="00847E0F"/>
    <w:rsid w:val="0085012C"/>
    <w:rsid w:val="00850308"/>
    <w:rsid w:val="00850434"/>
    <w:rsid w:val="008505BA"/>
    <w:rsid w:val="008506D1"/>
    <w:rsid w:val="008507D4"/>
    <w:rsid w:val="00850AFD"/>
    <w:rsid w:val="00850CB3"/>
    <w:rsid w:val="00850FFA"/>
    <w:rsid w:val="0085117C"/>
    <w:rsid w:val="00851364"/>
    <w:rsid w:val="00851491"/>
    <w:rsid w:val="008514C2"/>
    <w:rsid w:val="00851572"/>
    <w:rsid w:val="008516B2"/>
    <w:rsid w:val="00851787"/>
    <w:rsid w:val="00851AE7"/>
    <w:rsid w:val="00851F51"/>
    <w:rsid w:val="008520AD"/>
    <w:rsid w:val="00852277"/>
    <w:rsid w:val="0085241A"/>
    <w:rsid w:val="00852517"/>
    <w:rsid w:val="008525C5"/>
    <w:rsid w:val="00852695"/>
    <w:rsid w:val="008526F7"/>
    <w:rsid w:val="008528CB"/>
    <w:rsid w:val="00852A46"/>
    <w:rsid w:val="00852A5A"/>
    <w:rsid w:val="00852C17"/>
    <w:rsid w:val="00852E75"/>
    <w:rsid w:val="00852F9C"/>
    <w:rsid w:val="0085314E"/>
    <w:rsid w:val="00853175"/>
    <w:rsid w:val="0085334A"/>
    <w:rsid w:val="008533B9"/>
    <w:rsid w:val="00853986"/>
    <w:rsid w:val="00853A5B"/>
    <w:rsid w:val="00853CCC"/>
    <w:rsid w:val="00853D6D"/>
    <w:rsid w:val="00853DBD"/>
    <w:rsid w:val="0085424F"/>
    <w:rsid w:val="0085472E"/>
    <w:rsid w:val="008547F3"/>
    <w:rsid w:val="00854827"/>
    <w:rsid w:val="008548B2"/>
    <w:rsid w:val="00854A34"/>
    <w:rsid w:val="00854A5A"/>
    <w:rsid w:val="00854B62"/>
    <w:rsid w:val="00854DE1"/>
    <w:rsid w:val="00854E61"/>
    <w:rsid w:val="00855053"/>
    <w:rsid w:val="008550F0"/>
    <w:rsid w:val="00855163"/>
    <w:rsid w:val="00855268"/>
    <w:rsid w:val="008552BF"/>
    <w:rsid w:val="00855353"/>
    <w:rsid w:val="008553F8"/>
    <w:rsid w:val="00855522"/>
    <w:rsid w:val="00855600"/>
    <w:rsid w:val="00855B3A"/>
    <w:rsid w:val="00855CF8"/>
    <w:rsid w:val="00855D6F"/>
    <w:rsid w:val="00855EA8"/>
    <w:rsid w:val="008561B6"/>
    <w:rsid w:val="00856377"/>
    <w:rsid w:val="00856739"/>
    <w:rsid w:val="0085682B"/>
    <w:rsid w:val="008568DB"/>
    <w:rsid w:val="0085699B"/>
    <w:rsid w:val="00856B3C"/>
    <w:rsid w:val="00856D77"/>
    <w:rsid w:val="00856E66"/>
    <w:rsid w:val="00856F63"/>
    <w:rsid w:val="00857009"/>
    <w:rsid w:val="0085710C"/>
    <w:rsid w:val="00857151"/>
    <w:rsid w:val="008571CB"/>
    <w:rsid w:val="00857349"/>
    <w:rsid w:val="00857479"/>
    <w:rsid w:val="008576DE"/>
    <w:rsid w:val="008578A8"/>
    <w:rsid w:val="00857932"/>
    <w:rsid w:val="00857A57"/>
    <w:rsid w:val="00857BED"/>
    <w:rsid w:val="00857DB7"/>
    <w:rsid w:val="00857F55"/>
    <w:rsid w:val="00857F56"/>
    <w:rsid w:val="00860303"/>
    <w:rsid w:val="00860561"/>
    <w:rsid w:val="00860820"/>
    <w:rsid w:val="00860895"/>
    <w:rsid w:val="00860A11"/>
    <w:rsid w:val="00860CAA"/>
    <w:rsid w:val="00860EC9"/>
    <w:rsid w:val="008613F8"/>
    <w:rsid w:val="008618B1"/>
    <w:rsid w:val="00861928"/>
    <w:rsid w:val="00861BA9"/>
    <w:rsid w:val="00861D55"/>
    <w:rsid w:val="00861E27"/>
    <w:rsid w:val="0086223E"/>
    <w:rsid w:val="0086281E"/>
    <w:rsid w:val="008628CA"/>
    <w:rsid w:val="008628DA"/>
    <w:rsid w:val="008628FB"/>
    <w:rsid w:val="00862BDD"/>
    <w:rsid w:val="00862CAC"/>
    <w:rsid w:val="00862F2F"/>
    <w:rsid w:val="00862FEC"/>
    <w:rsid w:val="00863110"/>
    <w:rsid w:val="0086314F"/>
    <w:rsid w:val="00863173"/>
    <w:rsid w:val="00863314"/>
    <w:rsid w:val="008633F1"/>
    <w:rsid w:val="00863425"/>
    <w:rsid w:val="008634A5"/>
    <w:rsid w:val="00863946"/>
    <w:rsid w:val="00863B77"/>
    <w:rsid w:val="008643CC"/>
    <w:rsid w:val="008644C4"/>
    <w:rsid w:val="00864699"/>
    <w:rsid w:val="008646C5"/>
    <w:rsid w:val="008648F7"/>
    <w:rsid w:val="00864B46"/>
    <w:rsid w:val="00864ECC"/>
    <w:rsid w:val="0086520C"/>
    <w:rsid w:val="008653E1"/>
    <w:rsid w:val="008657E5"/>
    <w:rsid w:val="00865890"/>
    <w:rsid w:val="008658FE"/>
    <w:rsid w:val="00865927"/>
    <w:rsid w:val="0086599A"/>
    <w:rsid w:val="00865BC0"/>
    <w:rsid w:val="00865E54"/>
    <w:rsid w:val="008660C8"/>
    <w:rsid w:val="008662DC"/>
    <w:rsid w:val="008664EE"/>
    <w:rsid w:val="0086655E"/>
    <w:rsid w:val="00866704"/>
    <w:rsid w:val="00866B30"/>
    <w:rsid w:val="00866B42"/>
    <w:rsid w:val="00866BEF"/>
    <w:rsid w:val="00866C2C"/>
    <w:rsid w:val="00866DA9"/>
    <w:rsid w:val="00866F8A"/>
    <w:rsid w:val="008671F6"/>
    <w:rsid w:val="008672E3"/>
    <w:rsid w:val="00867330"/>
    <w:rsid w:val="00867914"/>
    <w:rsid w:val="00867DC7"/>
    <w:rsid w:val="00870080"/>
    <w:rsid w:val="00870148"/>
    <w:rsid w:val="00870254"/>
    <w:rsid w:val="00870572"/>
    <w:rsid w:val="0087099A"/>
    <w:rsid w:val="008709A1"/>
    <w:rsid w:val="00870A4E"/>
    <w:rsid w:val="00870BB8"/>
    <w:rsid w:val="00870BE4"/>
    <w:rsid w:val="00870D57"/>
    <w:rsid w:val="00870D71"/>
    <w:rsid w:val="008711C2"/>
    <w:rsid w:val="008711EC"/>
    <w:rsid w:val="00871612"/>
    <w:rsid w:val="00871772"/>
    <w:rsid w:val="00871865"/>
    <w:rsid w:val="008718CB"/>
    <w:rsid w:val="008718F1"/>
    <w:rsid w:val="00871AA4"/>
    <w:rsid w:val="00871B05"/>
    <w:rsid w:val="00871B59"/>
    <w:rsid w:val="00871BD5"/>
    <w:rsid w:val="00871C7A"/>
    <w:rsid w:val="00871E20"/>
    <w:rsid w:val="00871E4B"/>
    <w:rsid w:val="00871F99"/>
    <w:rsid w:val="0087203C"/>
    <w:rsid w:val="008720B1"/>
    <w:rsid w:val="00872582"/>
    <w:rsid w:val="00872788"/>
    <w:rsid w:val="00872E03"/>
    <w:rsid w:val="00872E5B"/>
    <w:rsid w:val="00872EB9"/>
    <w:rsid w:val="00873314"/>
    <w:rsid w:val="0087338F"/>
    <w:rsid w:val="008737C6"/>
    <w:rsid w:val="008737D0"/>
    <w:rsid w:val="00873B1A"/>
    <w:rsid w:val="00873D41"/>
    <w:rsid w:val="00873DFD"/>
    <w:rsid w:val="00873FFC"/>
    <w:rsid w:val="0087425F"/>
    <w:rsid w:val="008742B5"/>
    <w:rsid w:val="008742D5"/>
    <w:rsid w:val="008745C0"/>
    <w:rsid w:val="00874628"/>
    <w:rsid w:val="00874767"/>
    <w:rsid w:val="008747CD"/>
    <w:rsid w:val="00874970"/>
    <w:rsid w:val="00874A11"/>
    <w:rsid w:val="00874AC1"/>
    <w:rsid w:val="00874C12"/>
    <w:rsid w:val="00874F98"/>
    <w:rsid w:val="008752AA"/>
    <w:rsid w:val="00875630"/>
    <w:rsid w:val="008756F5"/>
    <w:rsid w:val="008757AF"/>
    <w:rsid w:val="0087589D"/>
    <w:rsid w:val="00875D23"/>
    <w:rsid w:val="00875DAD"/>
    <w:rsid w:val="00875F03"/>
    <w:rsid w:val="00875F3F"/>
    <w:rsid w:val="00875F9A"/>
    <w:rsid w:val="0087606C"/>
    <w:rsid w:val="008766B1"/>
    <w:rsid w:val="008766C7"/>
    <w:rsid w:val="0087679C"/>
    <w:rsid w:val="0087682B"/>
    <w:rsid w:val="0087686E"/>
    <w:rsid w:val="0087695E"/>
    <w:rsid w:val="00876AE0"/>
    <w:rsid w:val="00876DC5"/>
    <w:rsid w:val="0087701B"/>
    <w:rsid w:val="00877103"/>
    <w:rsid w:val="008775E7"/>
    <w:rsid w:val="00877872"/>
    <w:rsid w:val="00877A47"/>
    <w:rsid w:val="00877E0D"/>
    <w:rsid w:val="00877FB5"/>
    <w:rsid w:val="00877FD7"/>
    <w:rsid w:val="008800B6"/>
    <w:rsid w:val="0088020F"/>
    <w:rsid w:val="00880402"/>
    <w:rsid w:val="008805F1"/>
    <w:rsid w:val="008806A0"/>
    <w:rsid w:val="008808A4"/>
    <w:rsid w:val="00880937"/>
    <w:rsid w:val="0088093E"/>
    <w:rsid w:val="00880A30"/>
    <w:rsid w:val="00880BAB"/>
    <w:rsid w:val="00880C5F"/>
    <w:rsid w:val="00880C8E"/>
    <w:rsid w:val="00880CAD"/>
    <w:rsid w:val="00880E5B"/>
    <w:rsid w:val="00880F7E"/>
    <w:rsid w:val="008811B4"/>
    <w:rsid w:val="008812BB"/>
    <w:rsid w:val="00881893"/>
    <w:rsid w:val="00881AB0"/>
    <w:rsid w:val="00881EA3"/>
    <w:rsid w:val="00882114"/>
    <w:rsid w:val="008821AC"/>
    <w:rsid w:val="008824B2"/>
    <w:rsid w:val="008824C8"/>
    <w:rsid w:val="008828ED"/>
    <w:rsid w:val="00882CC0"/>
    <w:rsid w:val="00882D5B"/>
    <w:rsid w:val="00882E95"/>
    <w:rsid w:val="00882F45"/>
    <w:rsid w:val="00882F6E"/>
    <w:rsid w:val="0088307C"/>
    <w:rsid w:val="0088314F"/>
    <w:rsid w:val="00883337"/>
    <w:rsid w:val="00883386"/>
    <w:rsid w:val="008833C8"/>
    <w:rsid w:val="00883694"/>
    <w:rsid w:val="00883773"/>
    <w:rsid w:val="0088388D"/>
    <w:rsid w:val="0088394A"/>
    <w:rsid w:val="00883A4F"/>
    <w:rsid w:val="00883B97"/>
    <w:rsid w:val="00883C18"/>
    <w:rsid w:val="008842AA"/>
    <w:rsid w:val="0088448E"/>
    <w:rsid w:val="008844EB"/>
    <w:rsid w:val="008845B3"/>
    <w:rsid w:val="00884646"/>
    <w:rsid w:val="008846A2"/>
    <w:rsid w:val="008849B0"/>
    <w:rsid w:val="00884CC4"/>
    <w:rsid w:val="00884CF4"/>
    <w:rsid w:val="00884D2C"/>
    <w:rsid w:val="00884ECF"/>
    <w:rsid w:val="00884F59"/>
    <w:rsid w:val="008852D4"/>
    <w:rsid w:val="00885406"/>
    <w:rsid w:val="008856CE"/>
    <w:rsid w:val="00885B38"/>
    <w:rsid w:val="00885C9B"/>
    <w:rsid w:val="00885F2A"/>
    <w:rsid w:val="00885F7D"/>
    <w:rsid w:val="008861E0"/>
    <w:rsid w:val="00886247"/>
    <w:rsid w:val="008863A6"/>
    <w:rsid w:val="00886503"/>
    <w:rsid w:val="00886585"/>
    <w:rsid w:val="008865F8"/>
    <w:rsid w:val="00886643"/>
    <w:rsid w:val="008866F7"/>
    <w:rsid w:val="0088688A"/>
    <w:rsid w:val="00886A67"/>
    <w:rsid w:val="00886BC0"/>
    <w:rsid w:val="00886CC0"/>
    <w:rsid w:val="00886E05"/>
    <w:rsid w:val="00886EBA"/>
    <w:rsid w:val="00886EF5"/>
    <w:rsid w:val="00887148"/>
    <w:rsid w:val="0088724D"/>
    <w:rsid w:val="0088727A"/>
    <w:rsid w:val="00887499"/>
    <w:rsid w:val="0088757A"/>
    <w:rsid w:val="00887586"/>
    <w:rsid w:val="00887645"/>
    <w:rsid w:val="00887741"/>
    <w:rsid w:val="00887B69"/>
    <w:rsid w:val="00887C69"/>
    <w:rsid w:val="00887E76"/>
    <w:rsid w:val="00890020"/>
    <w:rsid w:val="00890060"/>
    <w:rsid w:val="0089031B"/>
    <w:rsid w:val="00890360"/>
    <w:rsid w:val="008903D9"/>
    <w:rsid w:val="0089058F"/>
    <w:rsid w:val="0089059E"/>
    <w:rsid w:val="0089060D"/>
    <w:rsid w:val="0089062A"/>
    <w:rsid w:val="00890A0F"/>
    <w:rsid w:val="00890AFA"/>
    <w:rsid w:val="00890D18"/>
    <w:rsid w:val="00891087"/>
    <w:rsid w:val="008912D6"/>
    <w:rsid w:val="00891355"/>
    <w:rsid w:val="008913C4"/>
    <w:rsid w:val="00891489"/>
    <w:rsid w:val="008916B7"/>
    <w:rsid w:val="0089170F"/>
    <w:rsid w:val="00891C24"/>
    <w:rsid w:val="00891C34"/>
    <w:rsid w:val="00891E71"/>
    <w:rsid w:val="00891FA3"/>
    <w:rsid w:val="00892146"/>
    <w:rsid w:val="00892222"/>
    <w:rsid w:val="00892223"/>
    <w:rsid w:val="008925CE"/>
    <w:rsid w:val="0089261A"/>
    <w:rsid w:val="008926AA"/>
    <w:rsid w:val="008926D8"/>
    <w:rsid w:val="00892837"/>
    <w:rsid w:val="00892887"/>
    <w:rsid w:val="0089288B"/>
    <w:rsid w:val="008928ED"/>
    <w:rsid w:val="00892982"/>
    <w:rsid w:val="00892CE2"/>
    <w:rsid w:val="008930BE"/>
    <w:rsid w:val="0089350B"/>
    <w:rsid w:val="00893579"/>
    <w:rsid w:val="00893586"/>
    <w:rsid w:val="0089364A"/>
    <w:rsid w:val="00893856"/>
    <w:rsid w:val="008944F8"/>
    <w:rsid w:val="00894691"/>
    <w:rsid w:val="0089481C"/>
    <w:rsid w:val="0089485C"/>
    <w:rsid w:val="0089493A"/>
    <w:rsid w:val="00894CC5"/>
    <w:rsid w:val="00894CE0"/>
    <w:rsid w:val="00894CEA"/>
    <w:rsid w:val="00894E16"/>
    <w:rsid w:val="00894F33"/>
    <w:rsid w:val="00894F84"/>
    <w:rsid w:val="0089502B"/>
    <w:rsid w:val="008951C5"/>
    <w:rsid w:val="00895782"/>
    <w:rsid w:val="00895789"/>
    <w:rsid w:val="00895817"/>
    <w:rsid w:val="00895BF3"/>
    <w:rsid w:val="00895BFF"/>
    <w:rsid w:val="00895EAD"/>
    <w:rsid w:val="00895EB1"/>
    <w:rsid w:val="00895ED9"/>
    <w:rsid w:val="00895F76"/>
    <w:rsid w:val="0089603D"/>
    <w:rsid w:val="008963FC"/>
    <w:rsid w:val="0089666A"/>
    <w:rsid w:val="00896BCB"/>
    <w:rsid w:val="00896C17"/>
    <w:rsid w:val="00896D2D"/>
    <w:rsid w:val="00896DEF"/>
    <w:rsid w:val="00896E3A"/>
    <w:rsid w:val="00896FC8"/>
    <w:rsid w:val="00896FD8"/>
    <w:rsid w:val="00897108"/>
    <w:rsid w:val="008972E9"/>
    <w:rsid w:val="00897345"/>
    <w:rsid w:val="008974DA"/>
    <w:rsid w:val="008976BD"/>
    <w:rsid w:val="0089781E"/>
    <w:rsid w:val="0089787E"/>
    <w:rsid w:val="008978B4"/>
    <w:rsid w:val="00897937"/>
    <w:rsid w:val="00897BA6"/>
    <w:rsid w:val="00897EFF"/>
    <w:rsid w:val="008A047B"/>
    <w:rsid w:val="008A04DF"/>
    <w:rsid w:val="008A052A"/>
    <w:rsid w:val="008A053B"/>
    <w:rsid w:val="008A0613"/>
    <w:rsid w:val="008A0694"/>
    <w:rsid w:val="008A0743"/>
    <w:rsid w:val="008A0778"/>
    <w:rsid w:val="008A0B6A"/>
    <w:rsid w:val="008A0C61"/>
    <w:rsid w:val="008A0C79"/>
    <w:rsid w:val="008A0DD9"/>
    <w:rsid w:val="008A0F3C"/>
    <w:rsid w:val="008A1010"/>
    <w:rsid w:val="008A14DD"/>
    <w:rsid w:val="008A162E"/>
    <w:rsid w:val="008A1664"/>
    <w:rsid w:val="008A176C"/>
    <w:rsid w:val="008A1841"/>
    <w:rsid w:val="008A1C22"/>
    <w:rsid w:val="008A1D1B"/>
    <w:rsid w:val="008A1E2E"/>
    <w:rsid w:val="008A1E4C"/>
    <w:rsid w:val="008A1EF4"/>
    <w:rsid w:val="008A1F6C"/>
    <w:rsid w:val="008A2002"/>
    <w:rsid w:val="008A2081"/>
    <w:rsid w:val="008A2121"/>
    <w:rsid w:val="008A2142"/>
    <w:rsid w:val="008A251E"/>
    <w:rsid w:val="008A2635"/>
    <w:rsid w:val="008A29C9"/>
    <w:rsid w:val="008A2C22"/>
    <w:rsid w:val="008A2C7C"/>
    <w:rsid w:val="008A2D62"/>
    <w:rsid w:val="008A3360"/>
    <w:rsid w:val="008A3693"/>
    <w:rsid w:val="008A3701"/>
    <w:rsid w:val="008A3B93"/>
    <w:rsid w:val="008A3BFE"/>
    <w:rsid w:val="008A3CD0"/>
    <w:rsid w:val="008A3CE0"/>
    <w:rsid w:val="008A3D08"/>
    <w:rsid w:val="008A3DA4"/>
    <w:rsid w:val="008A3DEB"/>
    <w:rsid w:val="008A3EC3"/>
    <w:rsid w:val="008A3F07"/>
    <w:rsid w:val="008A3F4C"/>
    <w:rsid w:val="008A3F96"/>
    <w:rsid w:val="008A402E"/>
    <w:rsid w:val="008A41BF"/>
    <w:rsid w:val="008A43D4"/>
    <w:rsid w:val="008A470F"/>
    <w:rsid w:val="008A49B6"/>
    <w:rsid w:val="008A4B6A"/>
    <w:rsid w:val="008A4C93"/>
    <w:rsid w:val="008A4CAA"/>
    <w:rsid w:val="008A4D98"/>
    <w:rsid w:val="008A4FB2"/>
    <w:rsid w:val="008A5314"/>
    <w:rsid w:val="008A59AD"/>
    <w:rsid w:val="008A59D6"/>
    <w:rsid w:val="008A5A11"/>
    <w:rsid w:val="008A5A5D"/>
    <w:rsid w:val="008A5B5B"/>
    <w:rsid w:val="008A5C03"/>
    <w:rsid w:val="008A60B3"/>
    <w:rsid w:val="008A6108"/>
    <w:rsid w:val="008A660A"/>
    <w:rsid w:val="008A6875"/>
    <w:rsid w:val="008A694A"/>
    <w:rsid w:val="008A69F2"/>
    <w:rsid w:val="008A6C7A"/>
    <w:rsid w:val="008A6CD4"/>
    <w:rsid w:val="008A6FA8"/>
    <w:rsid w:val="008A702C"/>
    <w:rsid w:val="008A705A"/>
    <w:rsid w:val="008A7110"/>
    <w:rsid w:val="008A72C4"/>
    <w:rsid w:val="008A775C"/>
    <w:rsid w:val="008A7969"/>
    <w:rsid w:val="008A79C8"/>
    <w:rsid w:val="008A7A30"/>
    <w:rsid w:val="008A7E0F"/>
    <w:rsid w:val="008A7F40"/>
    <w:rsid w:val="008A7FA4"/>
    <w:rsid w:val="008B0197"/>
    <w:rsid w:val="008B025F"/>
    <w:rsid w:val="008B03F2"/>
    <w:rsid w:val="008B0E52"/>
    <w:rsid w:val="008B0F84"/>
    <w:rsid w:val="008B0FDC"/>
    <w:rsid w:val="008B1000"/>
    <w:rsid w:val="008B115C"/>
    <w:rsid w:val="008B116E"/>
    <w:rsid w:val="008B12DF"/>
    <w:rsid w:val="008B12E4"/>
    <w:rsid w:val="008B13C9"/>
    <w:rsid w:val="008B141B"/>
    <w:rsid w:val="008B1919"/>
    <w:rsid w:val="008B1CB9"/>
    <w:rsid w:val="008B2043"/>
    <w:rsid w:val="008B2070"/>
    <w:rsid w:val="008B2115"/>
    <w:rsid w:val="008B220A"/>
    <w:rsid w:val="008B2869"/>
    <w:rsid w:val="008B28D2"/>
    <w:rsid w:val="008B2ED6"/>
    <w:rsid w:val="008B2F0F"/>
    <w:rsid w:val="008B2F1E"/>
    <w:rsid w:val="008B2F3D"/>
    <w:rsid w:val="008B320C"/>
    <w:rsid w:val="008B34F1"/>
    <w:rsid w:val="008B39E7"/>
    <w:rsid w:val="008B3B29"/>
    <w:rsid w:val="008B45D9"/>
    <w:rsid w:val="008B45F3"/>
    <w:rsid w:val="008B4637"/>
    <w:rsid w:val="008B4696"/>
    <w:rsid w:val="008B4797"/>
    <w:rsid w:val="008B4B39"/>
    <w:rsid w:val="008B4BBB"/>
    <w:rsid w:val="008B4BCD"/>
    <w:rsid w:val="008B4DE2"/>
    <w:rsid w:val="008B4E29"/>
    <w:rsid w:val="008B5262"/>
    <w:rsid w:val="008B52F6"/>
    <w:rsid w:val="008B535E"/>
    <w:rsid w:val="008B60C9"/>
    <w:rsid w:val="008B60E1"/>
    <w:rsid w:val="008B6120"/>
    <w:rsid w:val="008B61AE"/>
    <w:rsid w:val="008B6303"/>
    <w:rsid w:val="008B63D4"/>
    <w:rsid w:val="008B63E4"/>
    <w:rsid w:val="008B65A6"/>
    <w:rsid w:val="008B662C"/>
    <w:rsid w:val="008B6831"/>
    <w:rsid w:val="008B68FC"/>
    <w:rsid w:val="008B69C9"/>
    <w:rsid w:val="008B6ACF"/>
    <w:rsid w:val="008B6B8D"/>
    <w:rsid w:val="008B6B95"/>
    <w:rsid w:val="008B6BEA"/>
    <w:rsid w:val="008B6C9E"/>
    <w:rsid w:val="008B6D5A"/>
    <w:rsid w:val="008B6DCE"/>
    <w:rsid w:val="008B6F5A"/>
    <w:rsid w:val="008B7032"/>
    <w:rsid w:val="008B712E"/>
    <w:rsid w:val="008B7192"/>
    <w:rsid w:val="008B71E8"/>
    <w:rsid w:val="008B72F3"/>
    <w:rsid w:val="008B746E"/>
    <w:rsid w:val="008B74BF"/>
    <w:rsid w:val="008B757C"/>
    <w:rsid w:val="008B7895"/>
    <w:rsid w:val="008B7C2D"/>
    <w:rsid w:val="008B7D46"/>
    <w:rsid w:val="008B7DF8"/>
    <w:rsid w:val="008C0521"/>
    <w:rsid w:val="008C055F"/>
    <w:rsid w:val="008C0574"/>
    <w:rsid w:val="008C05A7"/>
    <w:rsid w:val="008C0765"/>
    <w:rsid w:val="008C07C8"/>
    <w:rsid w:val="008C0832"/>
    <w:rsid w:val="008C0A95"/>
    <w:rsid w:val="008C0B16"/>
    <w:rsid w:val="008C0C13"/>
    <w:rsid w:val="008C0E6B"/>
    <w:rsid w:val="008C0EFB"/>
    <w:rsid w:val="008C0F07"/>
    <w:rsid w:val="008C0FA0"/>
    <w:rsid w:val="008C1003"/>
    <w:rsid w:val="008C1211"/>
    <w:rsid w:val="008C156F"/>
    <w:rsid w:val="008C15B9"/>
    <w:rsid w:val="008C1784"/>
    <w:rsid w:val="008C1863"/>
    <w:rsid w:val="008C1965"/>
    <w:rsid w:val="008C19D9"/>
    <w:rsid w:val="008C1D85"/>
    <w:rsid w:val="008C1E41"/>
    <w:rsid w:val="008C23F6"/>
    <w:rsid w:val="008C26E3"/>
    <w:rsid w:val="008C27BD"/>
    <w:rsid w:val="008C2A0B"/>
    <w:rsid w:val="008C2BEC"/>
    <w:rsid w:val="008C2C4B"/>
    <w:rsid w:val="008C2D88"/>
    <w:rsid w:val="008C2F23"/>
    <w:rsid w:val="008C2FB5"/>
    <w:rsid w:val="008C2FDC"/>
    <w:rsid w:val="008C3095"/>
    <w:rsid w:val="008C3378"/>
    <w:rsid w:val="008C34FC"/>
    <w:rsid w:val="008C3590"/>
    <w:rsid w:val="008C3BCD"/>
    <w:rsid w:val="008C3BEC"/>
    <w:rsid w:val="008C3C28"/>
    <w:rsid w:val="008C42D0"/>
    <w:rsid w:val="008C42E4"/>
    <w:rsid w:val="008C441D"/>
    <w:rsid w:val="008C443C"/>
    <w:rsid w:val="008C4549"/>
    <w:rsid w:val="008C47A0"/>
    <w:rsid w:val="008C47FC"/>
    <w:rsid w:val="008C48AD"/>
    <w:rsid w:val="008C498F"/>
    <w:rsid w:val="008C4A2B"/>
    <w:rsid w:val="008C4D2F"/>
    <w:rsid w:val="008C4E8D"/>
    <w:rsid w:val="008C5639"/>
    <w:rsid w:val="008C5667"/>
    <w:rsid w:val="008C56EA"/>
    <w:rsid w:val="008C5702"/>
    <w:rsid w:val="008C5782"/>
    <w:rsid w:val="008C584E"/>
    <w:rsid w:val="008C5CD2"/>
    <w:rsid w:val="008C5E3B"/>
    <w:rsid w:val="008C5FCF"/>
    <w:rsid w:val="008C6188"/>
    <w:rsid w:val="008C6265"/>
    <w:rsid w:val="008C6398"/>
    <w:rsid w:val="008C6768"/>
    <w:rsid w:val="008C6BBD"/>
    <w:rsid w:val="008C6C09"/>
    <w:rsid w:val="008C703F"/>
    <w:rsid w:val="008C70A0"/>
    <w:rsid w:val="008C726E"/>
    <w:rsid w:val="008C739B"/>
    <w:rsid w:val="008C74FF"/>
    <w:rsid w:val="008C77C7"/>
    <w:rsid w:val="008C7CAA"/>
    <w:rsid w:val="008C7E18"/>
    <w:rsid w:val="008D0254"/>
    <w:rsid w:val="008D0360"/>
    <w:rsid w:val="008D039B"/>
    <w:rsid w:val="008D0546"/>
    <w:rsid w:val="008D05D1"/>
    <w:rsid w:val="008D09BE"/>
    <w:rsid w:val="008D09FD"/>
    <w:rsid w:val="008D0A14"/>
    <w:rsid w:val="008D0A17"/>
    <w:rsid w:val="008D0A67"/>
    <w:rsid w:val="008D0ABA"/>
    <w:rsid w:val="008D0C20"/>
    <w:rsid w:val="008D0C63"/>
    <w:rsid w:val="008D0EE1"/>
    <w:rsid w:val="008D107D"/>
    <w:rsid w:val="008D13C8"/>
    <w:rsid w:val="008D1452"/>
    <w:rsid w:val="008D1474"/>
    <w:rsid w:val="008D157C"/>
    <w:rsid w:val="008D1683"/>
    <w:rsid w:val="008D1896"/>
    <w:rsid w:val="008D1AD9"/>
    <w:rsid w:val="008D1DCB"/>
    <w:rsid w:val="008D1DE5"/>
    <w:rsid w:val="008D1EDA"/>
    <w:rsid w:val="008D200D"/>
    <w:rsid w:val="008D2188"/>
    <w:rsid w:val="008D2197"/>
    <w:rsid w:val="008D21FF"/>
    <w:rsid w:val="008D234A"/>
    <w:rsid w:val="008D23A5"/>
    <w:rsid w:val="008D24C8"/>
    <w:rsid w:val="008D2AA4"/>
    <w:rsid w:val="008D2B27"/>
    <w:rsid w:val="008D2BFC"/>
    <w:rsid w:val="008D2EEF"/>
    <w:rsid w:val="008D2F63"/>
    <w:rsid w:val="008D2F9B"/>
    <w:rsid w:val="008D30E3"/>
    <w:rsid w:val="008D324F"/>
    <w:rsid w:val="008D35A0"/>
    <w:rsid w:val="008D35EC"/>
    <w:rsid w:val="008D3C24"/>
    <w:rsid w:val="008D3C84"/>
    <w:rsid w:val="008D3D4B"/>
    <w:rsid w:val="008D3D81"/>
    <w:rsid w:val="008D42A3"/>
    <w:rsid w:val="008D443F"/>
    <w:rsid w:val="008D4504"/>
    <w:rsid w:val="008D46A0"/>
    <w:rsid w:val="008D4B06"/>
    <w:rsid w:val="008D4B1A"/>
    <w:rsid w:val="008D4BFB"/>
    <w:rsid w:val="008D50DE"/>
    <w:rsid w:val="008D5400"/>
    <w:rsid w:val="008D557F"/>
    <w:rsid w:val="008D59AB"/>
    <w:rsid w:val="008D5AE5"/>
    <w:rsid w:val="008D5B50"/>
    <w:rsid w:val="008D5C5F"/>
    <w:rsid w:val="008D5FBB"/>
    <w:rsid w:val="008D6358"/>
    <w:rsid w:val="008D63E8"/>
    <w:rsid w:val="008D63E9"/>
    <w:rsid w:val="008D668F"/>
    <w:rsid w:val="008D66A1"/>
    <w:rsid w:val="008D6758"/>
    <w:rsid w:val="008D6763"/>
    <w:rsid w:val="008D6765"/>
    <w:rsid w:val="008D69A1"/>
    <w:rsid w:val="008D6A03"/>
    <w:rsid w:val="008D6A4D"/>
    <w:rsid w:val="008D6B20"/>
    <w:rsid w:val="008D6C9F"/>
    <w:rsid w:val="008D6CB6"/>
    <w:rsid w:val="008D6E98"/>
    <w:rsid w:val="008D6F0A"/>
    <w:rsid w:val="008D6FC1"/>
    <w:rsid w:val="008D722E"/>
    <w:rsid w:val="008D74F1"/>
    <w:rsid w:val="008D7541"/>
    <w:rsid w:val="008D754F"/>
    <w:rsid w:val="008D7D0B"/>
    <w:rsid w:val="008E0189"/>
    <w:rsid w:val="008E0324"/>
    <w:rsid w:val="008E0470"/>
    <w:rsid w:val="008E04C2"/>
    <w:rsid w:val="008E05F7"/>
    <w:rsid w:val="008E062A"/>
    <w:rsid w:val="008E0A42"/>
    <w:rsid w:val="008E0DCB"/>
    <w:rsid w:val="008E1059"/>
    <w:rsid w:val="008E12A7"/>
    <w:rsid w:val="008E1374"/>
    <w:rsid w:val="008E13DF"/>
    <w:rsid w:val="008E140A"/>
    <w:rsid w:val="008E1454"/>
    <w:rsid w:val="008E1461"/>
    <w:rsid w:val="008E148F"/>
    <w:rsid w:val="008E1564"/>
    <w:rsid w:val="008E175A"/>
    <w:rsid w:val="008E1797"/>
    <w:rsid w:val="008E17DD"/>
    <w:rsid w:val="008E18E8"/>
    <w:rsid w:val="008E1DC8"/>
    <w:rsid w:val="008E1DF1"/>
    <w:rsid w:val="008E1F22"/>
    <w:rsid w:val="008E1F81"/>
    <w:rsid w:val="008E201A"/>
    <w:rsid w:val="008E22AF"/>
    <w:rsid w:val="008E2586"/>
    <w:rsid w:val="008E25A6"/>
    <w:rsid w:val="008E25FD"/>
    <w:rsid w:val="008E29B1"/>
    <w:rsid w:val="008E29D8"/>
    <w:rsid w:val="008E2DDA"/>
    <w:rsid w:val="008E31AE"/>
    <w:rsid w:val="008E31F3"/>
    <w:rsid w:val="008E3309"/>
    <w:rsid w:val="008E358A"/>
    <w:rsid w:val="008E36C3"/>
    <w:rsid w:val="008E38B5"/>
    <w:rsid w:val="008E39BA"/>
    <w:rsid w:val="008E3B3B"/>
    <w:rsid w:val="008E3FEC"/>
    <w:rsid w:val="008E419E"/>
    <w:rsid w:val="008E41A0"/>
    <w:rsid w:val="008E42C0"/>
    <w:rsid w:val="008E433B"/>
    <w:rsid w:val="008E445E"/>
    <w:rsid w:val="008E4A6F"/>
    <w:rsid w:val="008E4AEE"/>
    <w:rsid w:val="008E4B48"/>
    <w:rsid w:val="008E4BF8"/>
    <w:rsid w:val="008E504C"/>
    <w:rsid w:val="008E53A7"/>
    <w:rsid w:val="008E5414"/>
    <w:rsid w:val="008E589E"/>
    <w:rsid w:val="008E58A7"/>
    <w:rsid w:val="008E5A0A"/>
    <w:rsid w:val="008E5C04"/>
    <w:rsid w:val="008E5E25"/>
    <w:rsid w:val="008E64C1"/>
    <w:rsid w:val="008E6549"/>
    <w:rsid w:val="008E6820"/>
    <w:rsid w:val="008E689C"/>
    <w:rsid w:val="008E6A6E"/>
    <w:rsid w:val="008E6AD4"/>
    <w:rsid w:val="008E6B40"/>
    <w:rsid w:val="008E6DD4"/>
    <w:rsid w:val="008E7053"/>
    <w:rsid w:val="008E78DF"/>
    <w:rsid w:val="008E7AB3"/>
    <w:rsid w:val="008E7C28"/>
    <w:rsid w:val="008E7CBA"/>
    <w:rsid w:val="008E7DB0"/>
    <w:rsid w:val="008E7E96"/>
    <w:rsid w:val="008E7F31"/>
    <w:rsid w:val="008F0205"/>
    <w:rsid w:val="008F0268"/>
    <w:rsid w:val="008F03A1"/>
    <w:rsid w:val="008F052D"/>
    <w:rsid w:val="008F0530"/>
    <w:rsid w:val="008F0603"/>
    <w:rsid w:val="008F0765"/>
    <w:rsid w:val="008F076D"/>
    <w:rsid w:val="008F082F"/>
    <w:rsid w:val="008F08C2"/>
    <w:rsid w:val="008F0A10"/>
    <w:rsid w:val="008F0BEE"/>
    <w:rsid w:val="008F0E78"/>
    <w:rsid w:val="008F0E81"/>
    <w:rsid w:val="008F0E8D"/>
    <w:rsid w:val="008F121F"/>
    <w:rsid w:val="008F1347"/>
    <w:rsid w:val="008F1391"/>
    <w:rsid w:val="008F13EE"/>
    <w:rsid w:val="008F1754"/>
    <w:rsid w:val="008F181D"/>
    <w:rsid w:val="008F183E"/>
    <w:rsid w:val="008F1917"/>
    <w:rsid w:val="008F1A64"/>
    <w:rsid w:val="008F1B40"/>
    <w:rsid w:val="008F1D2F"/>
    <w:rsid w:val="008F1F68"/>
    <w:rsid w:val="008F2268"/>
    <w:rsid w:val="008F229E"/>
    <w:rsid w:val="008F24D7"/>
    <w:rsid w:val="008F283D"/>
    <w:rsid w:val="008F2864"/>
    <w:rsid w:val="008F2ADC"/>
    <w:rsid w:val="008F2F66"/>
    <w:rsid w:val="008F30E8"/>
    <w:rsid w:val="008F3550"/>
    <w:rsid w:val="008F3665"/>
    <w:rsid w:val="008F38BE"/>
    <w:rsid w:val="008F3B52"/>
    <w:rsid w:val="008F3EF5"/>
    <w:rsid w:val="008F4142"/>
    <w:rsid w:val="008F415B"/>
    <w:rsid w:val="008F42DD"/>
    <w:rsid w:val="008F4323"/>
    <w:rsid w:val="008F43C3"/>
    <w:rsid w:val="008F4406"/>
    <w:rsid w:val="008F448C"/>
    <w:rsid w:val="008F450F"/>
    <w:rsid w:val="008F4691"/>
    <w:rsid w:val="008F48B1"/>
    <w:rsid w:val="008F48C1"/>
    <w:rsid w:val="008F4A69"/>
    <w:rsid w:val="008F538B"/>
    <w:rsid w:val="008F53DC"/>
    <w:rsid w:val="008F5492"/>
    <w:rsid w:val="008F5576"/>
    <w:rsid w:val="008F5980"/>
    <w:rsid w:val="008F5A5F"/>
    <w:rsid w:val="008F5AF8"/>
    <w:rsid w:val="008F5B22"/>
    <w:rsid w:val="008F5C54"/>
    <w:rsid w:val="008F5DBE"/>
    <w:rsid w:val="008F6034"/>
    <w:rsid w:val="008F6065"/>
    <w:rsid w:val="008F6384"/>
    <w:rsid w:val="008F6401"/>
    <w:rsid w:val="008F647B"/>
    <w:rsid w:val="008F65BA"/>
    <w:rsid w:val="008F6611"/>
    <w:rsid w:val="008F6626"/>
    <w:rsid w:val="008F693C"/>
    <w:rsid w:val="008F6AB7"/>
    <w:rsid w:val="008F6AE8"/>
    <w:rsid w:val="008F6BDC"/>
    <w:rsid w:val="008F6E77"/>
    <w:rsid w:val="008F6F43"/>
    <w:rsid w:val="008F7058"/>
    <w:rsid w:val="008F70C9"/>
    <w:rsid w:val="008F7169"/>
    <w:rsid w:val="008F71B4"/>
    <w:rsid w:val="008F7277"/>
    <w:rsid w:val="008F727F"/>
    <w:rsid w:val="008F72B7"/>
    <w:rsid w:val="008F7365"/>
    <w:rsid w:val="008F739D"/>
    <w:rsid w:val="008F7657"/>
    <w:rsid w:val="008F7746"/>
    <w:rsid w:val="008F789B"/>
    <w:rsid w:val="008F7ECD"/>
    <w:rsid w:val="008F7EFC"/>
    <w:rsid w:val="009000A1"/>
    <w:rsid w:val="009001A5"/>
    <w:rsid w:val="009002D8"/>
    <w:rsid w:val="0090040F"/>
    <w:rsid w:val="00900424"/>
    <w:rsid w:val="009005D3"/>
    <w:rsid w:val="009007ED"/>
    <w:rsid w:val="00900A00"/>
    <w:rsid w:val="00900CA1"/>
    <w:rsid w:val="00900CED"/>
    <w:rsid w:val="00900D4C"/>
    <w:rsid w:val="00900E95"/>
    <w:rsid w:val="00900F1E"/>
    <w:rsid w:val="00900FC3"/>
    <w:rsid w:val="00901203"/>
    <w:rsid w:val="009015DE"/>
    <w:rsid w:val="0090173C"/>
    <w:rsid w:val="0090178D"/>
    <w:rsid w:val="009017CB"/>
    <w:rsid w:val="00901979"/>
    <w:rsid w:val="00901B17"/>
    <w:rsid w:val="00901CF7"/>
    <w:rsid w:val="00901EF9"/>
    <w:rsid w:val="00901F7B"/>
    <w:rsid w:val="009021E4"/>
    <w:rsid w:val="0090228A"/>
    <w:rsid w:val="009023A0"/>
    <w:rsid w:val="009023BB"/>
    <w:rsid w:val="0090240E"/>
    <w:rsid w:val="009024CE"/>
    <w:rsid w:val="009024E3"/>
    <w:rsid w:val="009025EB"/>
    <w:rsid w:val="00902743"/>
    <w:rsid w:val="009027D6"/>
    <w:rsid w:val="00902849"/>
    <w:rsid w:val="009028DC"/>
    <w:rsid w:val="00902CC8"/>
    <w:rsid w:val="00902EB7"/>
    <w:rsid w:val="00903101"/>
    <w:rsid w:val="00903302"/>
    <w:rsid w:val="009034A7"/>
    <w:rsid w:val="009034E5"/>
    <w:rsid w:val="009037A3"/>
    <w:rsid w:val="009037E6"/>
    <w:rsid w:val="00903BFD"/>
    <w:rsid w:val="00903C09"/>
    <w:rsid w:val="00903C2F"/>
    <w:rsid w:val="00904032"/>
    <w:rsid w:val="00904050"/>
    <w:rsid w:val="00904213"/>
    <w:rsid w:val="0090434C"/>
    <w:rsid w:val="00904441"/>
    <w:rsid w:val="0090467F"/>
    <w:rsid w:val="00904714"/>
    <w:rsid w:val="00904A06"/>
    <w:rsid w:val="00904A2C"/>
    <w:rsid w:val="00904A90"/>
    <w:rsid w:val="00904B09"/>
    <w:rsid w:val="00904FA7"/>
    <w:rsid w:val="00904FF4"/>
    <w:rsid w:val="00905241"/>
    <w:rsid w:val="00905264"/>
    <w:rsid w:val="00905375"/>
    <w:rsid w:val="009053B1"/>
    <w:rsid w:val="009055AC"/>
    <w:rsid w:val="009056C4"/>
    <w:rsid w:val="00905AA0"/>
    <w:rsid w:val="00905DEC"/>
    <w:rsid w:val="00906023"/>
    <w:rsid w:val="009060E2"/>
    <w:rsid w:val="0090646B"/>
    <w:rsid w:val="009067CF"/>
    <w:rsid w:val="00906841"/>
    <w:rsid w:val="00906C3D"/>
    <w:rsid w:val="00906CC5"/>
    <w:rsid w:val="00906D25"/>
    <w:rsid w:val="00906D4B"/>
    <w:rsid w:val="00906EF8"/>
    <w:rsid w:val="00907021"/>
    <w:rsid w:val="00907038"/>
    <w:rsid w:val="009070BC"/>
    <w:rsid w:val="009071DD"/>
    <w:rsid w:val="0090727E"/>
    <w:rsid w:val="009073DA"/>
    <w:rsid w:val="0090756F"/>
    <w:rsid w:val="0090764F"/>
    <w:rsid w:val="0090773D"/>
    <w:rsid w:val="0090779B"/>
    <w:rsid w:val="00907829"/>
    <w:rsid w:val="00907ADB"/>
    <w:rsid w:val="00907CF5"/>
    <w:rsid w:val="00910259"/>
    <w:rsid w:val="009102DE"/>
    <w:rsid w:val="00910604"/>
    <w:rsid w:val="009106FF"/>
    <w:rsid w:val="00910767"/>
    <w:rsid w:val="00910786"/>
    <w:rsid w:val="00910CAA"/>
    <w:rsid w:val="00910D83"/>
    <w:rsid w:val="00910DD2"/>
    <w:rsid w:val="00911022"/>
    <w:rsid w:val="00911051"/>
    <w:rsid w:val="0091130E"/>
    <w:rsid w:val="009115B4"/>
    <w:rsid w:val="00911888"/>
    <w:rsid w:val="0091188C"/>
    <w:rsid w:val="009118EE"/>
    <w:rsid w:val="0091190F"/>
    <w:rsid w:val="00911A0A"/>
    <w:rsid w:val="00911C61"/>
    <w:rsid w:val="00911CFB"/>
    <w:rsid w:val="00911EA6"/>
    <w:rsid w:val="0091200E"/>
    <w:rsid w:val="00912098"/>
    <w:rsid w:val="0091233D"/>
    <w:rsid w:val="0091246F"/>
    <w:rsid w:val="00912828"/>
    <w:rsid w:val="009128C2"/>
    <w:rsid w:val="00912B91"/>
    <w:rsid w:val="009130A1"/>
    <w:rsid w:val="00913127"/>
    <w:rsid w:val="0091316A"/>
    <w:rsid w:val="009131DA"/>
    <w:rsid w:val="009133A9"/>
    <w:rsid w:val="0091362F"/>
    <w:rsid w:val="0091372D"/>
    <w:rsid w:val="00913781"/>
    <w:rsid w:val="0091396D"/>
    <w:rsid w:val="00913B2E"/>
    <w:rsid w:val="00913DA8"/>
    <w:rsid w:val="00914055"/>
    <w:rsid w:val="009140C6"/>
    <w:rsid w:val="00914588"/>
    <w:rsid w:val="0091473E"/>
    <w:rsid w:val="009147A4"/>
    <w:rsid w:val="00914B51"/>
    <w:rsid w:val="00914EAA"/>
    <w:rsid w:val="0091564A"/>
    <w:rsid w:val="00915723"/>
    <w:rsid w:val="009157AA"/>
    <w:rsid w:val="009157F4"/>
    <w:rsid w:val="009159CF"/>
    <w:rsid w:val="00915A56"/>
    <w:rsid w:val="00915ADB"/>
    <w:rsid w:val="00915B06"/>
    <w:rsid w:val="00915B9D"/>
    <w:rsid w:val="00915E49"/>
    <w:rsid w:val="00915EC7"/>
    <w:rsid w:val="00915F12"/>
    <w:rsid w:val="00915F1E"/>
    <w:rsid w:val="00916064"/>
    <w:rsid w:val="009160B7"/>
    <w:rsid w:val="009161FF"/>
    <w:rsid w:val="0091621E"/>
    <w:rsid w:val="00916401"/>
    <w:rsid w:val="00916471"/>
    <w:rsid w:val="0091668A"/>
    <w:rsid w:val="009167A3"/>
    <w:rsid w:val="009167B6"/>
    <w:rsid w:val="00916875"/>
    <w:rsid w:val="00916AE0"/>
    <w:rsid w:val="00916E82"/>
    <w:rsid w:val="00917089"/>
    <w:rsid w:val="0091730B"/>
    <w:rsid w:val="00917515"/>
    <w:rsid w:val="00917563"/>
    <w:rsid w:val="00917914"/>
    <w:rsid w:val="009179B9"/>
    <w:rsid w:val="00917B36"/>
    <w:rsid w:val="00917C30"/>
    <w:rsid w:val="00917FAB"/>
    <w:rsid w:val="00920027"/>
    <w:rsid w:val="00920082"/>
    <w:rsid w:val="00920164"/>
    <w:rsid w:val="009204F3"/>
    <w:rsid w:val="00920663"/>
    <w:rsid w:val="00920C5B"/>
    <w:rsid w:val="00920DEF"/>
    <w:rsid w:val="00920E02"/>
    <w:rsid w:val="00921035"/>
    <w:rsid w:val="009211A9"/>
    <w:rsid w:val="00921521"/>
    <w:rsid w:val="009215FA"/>
    <w:rsid w:val="00921655"/>
    <w:rsid w:val="0092167B"/>
    <w:rsid w:val="0092187B"/>
    <w:rsid w:val="00921982"/>
    <w:rsid w:val="00921A26"/>
    <w:rsid w:val="00921B99"/>
    <w:rsid w:val="00921C02"/>
    <w:rsid w:val="00921CA9"/>
    <w:rsid w:val="00921CFE"/>
    <w:rsid w:val="00921D4E"/>
    <w:rsid w:val="00922098"/>
    <w:rsid w:val="009223C6"/>
    <w:rsid w:val="0092256B"/>
    <w:rsid w:val="0092284E"/>
    <w:rsid w:val="00922904"/>
    <w:rsid w:val="00922E88"/>
    <w:rsid w:val="009230F3"/>
    <w:rsid w:val="0092327D"/>
    <w:rsid w:val="009234C3"/>
    <w:rsid w:val="009239D3"/>
    <w:rsid w:val="00923D73"/>
    <w:rsid w:val="009240B8"/>
    <w:rsid w:val="00924301"/>
    <w:rsid w:val="00924317"/>
    <w:rsid w:val="009243F2"/>
    <w:rsid w:val="009243F3"/>
    <w:rsid w:val="00924508"/>
    <w:rsid w:val="00924678"/>
    <w:rsid w:val="009246D9"/>
    <w:rsid w:val="0092471D"/>
    <w:rsid w:val="009247A1"/>
    <w:rsid w:val="00924970"/>
    <w:rsid w:val="009249CD"/>
    <w:rsid w:val="00924BF3"/>
    <w:rsid w:val="00924C90"/>
    <w:rsid w:val="00924F0B"/>
    <w:rsid w:val="0092513A"/>
    <w:rsid w:val="009255C7"/>
    <w:rsid w:val="0092560D"/>
    <w:rsid w:val="009259C1"/>
    <w:rsid w:val="00925A05"/>
    <w:rsid w:val="00925CD6"/>
    <w:rsid w:val="00925CD8"/>
    <w:rsid w:val="00925D2E"/>
    <w:rsid w:val="00925D38"/>
    <w:rsid w:val="00925E99"/>
    <w:rsid w:val="00925F26"/>
    <w:rsid w:val="009260B8"/>
    <w:rsid w:val="00926161"/>
    <w:rsid w:val="00926322"/>
    <w:rsid w:val="009267C2"/>
    <w:rsid w:val="0092685A"/>
    <w:rsid w:val="009268CE"/>
    <w:rsid w:val="00926C06"/>
    <w:rsid w:val="00926C17"/>
    <w:rsid w:val="00926EA7"/>
    <w:rsid w:val="00926ED4"/>
    <w:rsid w:val="00926FDD"/>
    <w:rsid w:val="00927225"/>
    <w:rsid w:val="009272FB"/>
    <w:rsid w:val="009277A8"/>
    <w:rsid w:val="0092780C"/>
    <w:rsid w:val="0092795B"/>
    <w:rsid w:val="00927C2B"/>
    <w:rsid w:val="00927D9A"/>
    <w:rsid w:val="00927DA1"/>
    <w:rsid w:val="00927F48"/>
    <w:rsid w:val="0093003D"/>
    <w:rsid w:val="009301D7"/>
    <w:rsid w:val="0093030C"/>
    <w:rsid w:val="00930437"/>
    <w:rsid w:val="00930442"/>
    <w:rsid w:val="009306FF"/>
    <w:rsid w:val="009307CE"/>
    <w:rsid w:val="0093093A"/>
    <w:rsid w:val="00930AB0"/>
    <w:rsid w:val="00930B83"/>
    <w:rsid w:val="00930C67"/>
    <w:rsid w:val="00930DE5"/>
    <w:rsid w:val="00930EEA"/>
    <w:rsid w:val="009311D8"/>
    <w:rsid w:val="009313D7"/>
    <w:rsid w:val="009315E1"/>
    <w:rsid w:val="009316A0"/>
    <w:rsid w:val="00931902"/>
    <w:rsid w:val="00931B15"/>
    <w:rsid w:val="00931C91"/>
    <w:rsid w:val="00931E81"/>
    <w:rsid w:val="00931F88"/>
    <w:rsid w:val="00931FFF"/>
    <w:rsid w:val="0093228F"/>
    <w:rsid w:val="009328CF"/>
    <w:rsid w:val="0093295D"/>
    <w:rsid w:val="00932A29"/>
    <w:rsid w:val="00932A46"/>
    <w:rsid w:val="00932A5A"/>
    <w:rsid w:val="00932BBB"/>
    <w:rsid w:val="00932C1D"/>
    <w:rsid w:val="00932D4F"/>
    <w:rsid w:val="00932E2E"/>
    <w:rsid w:val="0093326C"/>
    <w:rsid w:val="0093340A"/>
    <w:rsid w:val="00933459"/>
    <w:rsid w:val="00933462"/>
    <w:rsid w:val="009334DB"/>
    <w:rsid w:val="0093375F"/>
    <w:rsid w:val="00933952"/>
    <w:rsid w:val="00933989"/>
    <w:rsid w:val="00933B05"/>
    <w:rsid w:val="00933C5E"/>
    <w:rsid w:val="00933C61"/>
    <w:rsid w:val="00933DCB"/>
    <w:rsid w:val="00934234"/>
    <w:rsid w:val="00934429"/>
    <w:rsid w:val="00934444"/>
    <w:rsid w:val="00934A10"/>
    <w:rsid w:val="00934A42"/>
    <w:rsid w:val="00934B46"/>
    <w:rsid w:val="009350DF"/>
    <w:rsid w:val="009350F8"/>
    <w:rsid w:val="0093511E"/>
    <w:rsid w:val="0093570A"/>
    <w:rsid w:val="00935745"/>
    <w:rsid w:val="009357F4"/>
    <w:rsid w:val="009359A9"/>
    <w:rsid w:val="009359EA"/>
    <w:rsid w:val="00935B52"/>
    <w:rsid w:val="00935BE2"/>
    <w:rsid w:val="00935D60"/>
    <w:rsid w:val="00935F26"/>
    <w:rsid w:val="00935FFB"/>
    <w:rsid w:val="009360E3"/>
    <w:rsid w:val="0093610E"/>
    <w:rsid w:val="00936159"/>
    <w:rsid w:val="009363AC"/>
    <w:rsid w:val="00936472"/>
    <w:rsid w:val="00936624"/>
    <w:rsid w:val="009367C8"/>
    <w:rsid w:val="00936A0E"/>
    <w:rsid w:val="00936B9E"/>
    <w:rsid w:val="00936DCB"/>
    <w:rsid w:val="00936EC1"/>
    <w:rsid w:val="00936F7D"/>
    <w:rsid w:val="00937045"/>
    <w:rsid w:val="00937552"/>
    <w:rsid w:val="009375BD"/>
    <w:rsid w:val="00937A0E"/>
    <w:rsid w:val="00937C35"/>
    <w:rsid w:val="00937D17"/>
    <w:rsid w:val="00937E53"/>
    <w:rsid w:val="00937F20"/>
    <w:rsid w:val="009402DC"/>
    <w:rsid w:val="00940347"/>
    <w:rsid w:val="0094036C"/>
    <w:rsid w:val="00940576"/>
    <w:rsid w:val="00940806"/>
    <w:rsid w:val="00940841"/>
    <w:rsid w:val="00940E5B"/>
    <w:rsid w:val="00940E92"/>
    <w:rsid w:val="009410D2"/>
    <w:rsid w:val="00941161"/>
    <w:rsid w:val="00941183"/>
    <w:rsid w:val="00941319"/>
    <w:rsid w:val="00941730"/>
    <w:rsid w:val="009417F7"/>
    <w:rsid w:val="0094196D"/>
    <w:rsid w:val="00941CBF"/>
    <w:rsid w:val="00941DBB"/>
    <w:rsid w:val="0094201A"/>
    <w:rsid w:val="009420F3"/>
    <w:rsid w:val="0094210F"/>
    <w:rsid w:val="0094218D"/>
    <w:rsid w:val="009421E2"/>
    <w:rsid w:val="00942425"/>
    <w:rsid w:val="009425E4"/>
    <w:rsid w:val="009426E7"/>
    <w:rsid w:val="00942703"/>
    <w:rsid w:val="0094280E"/>
    <w:rsid w:val="009429C0"/>
    <w:rsid w:val="00942C57"/>
    <w:rsid w:val="00942D63"/>
    <w:rsid w:val="00942D6B"/>
    <w:rsid w:val="00942DFE"/>
    <w:rsid w:val="00942FD1"/>
    <w:rsid w:val="00943061"/>
    <w:rsid w:val="00943069"/>
    <w:rsid w:val="00943091"/>
    <w:rsid w:val="0094314E"/>
    <w:rsid w:val="0094317F"/>
    <w:rsid w:val="00943493"/>
    <w:rsid w:val="009434E6"/>
    <w:rsid w:val="009435CC"/>
    <w:rsid w:val="0094360C"/>
    <w:rsid w:val="0094369D"/>
    <w:rsid w:val="00943822"/>
    <w:rsid w:val="0094397D"/>
    <w:rsid w:val="00943BB9"/>
    <w:rsid w:val="00943DCE"/>
    <w:rsid w:val="00943E1D"/>
    <w:rsid w:val="00943FF4"/>
    <w:rsid w:val="009440A3"/>
    <w:rsid w:val="009442FA"/>
    <w:rsid w:val="0094442C"/>
    <w:rsid w:val="00944924"/>
    <w:rsid w:val="00944AC1"/>
    <w:rsid w:val="00944B84"/>
    <w:rsid w:val="00944C8C"/>
    <w:rsid w:val="00944CA7"/>
    <w:rsid w:val="00944E6B"/>
    <w:rsid w:val="0094501E"/>
    <w:rsid w:val="009451CC"/>
    <w:rsid w:val="0094543E"/>
    <w:rsid w:val="009454AD"/>
    <w:rsid w:val="00945587"/>
    <w:rsid w:val="0094592D"/>
    <w:rsid w:val="00945B4A"/>
    <w:rsid w:val="00946136"/>
    <w:rsid w:val="009462AB"/>
    <w:rsid w:val="0094637B"/>
    <w:rsid w:val="00946712"/>
    <w:rsid w:val="00946718"/>
    <w:rsid w:val="0094672F"/>
    <w:rsid w:val="00946924"/>
    <w:rsid w:val="00946B89"/>
    <w:rsid w:val="00946F2F"/>
    <w:rsid w:val="00946FBD"/>
    <w:rsid w:val="0094704F"/>
    <w:rsid w:val="009470A8"/>
    <w:rsid w:val="00947109"/>
    <w:rsid w:val="00947515"/>
    <w:rsid w:val="009475B3"/>
    <w:rsid w:val="00947660"/>
    <w:rsid w:val="00947766"/>
    <w:rsid w:val="009479CD"/>
    <w:rsid w:val="00947A18"/>
    <w:rsid w:val="00947AA5"/>
    <w:rsid w:val="00947B7C"/>
    <w:rsid w:val="00947E14"/>
    <w:rsid w:val="00950066"/>
    <w:rsid w:val="00950113"/>
    <w:rsid w:val="009503D8"/>
    <w:rsid w:val="00950515"/>
    <w:rsid w:val="009508D2"/>
    <w:rsid w:val="00950987"/>
    <w:rsid w:val="00950B65"/>
    <w:rsid w:val="00950E3F"/>
    <w:rsid w:val="00950E99"/>
    <w:rsid w:val="00950FB1"/>
    <w:rsid w:val="00951000"/>
    <w:rsid w:val="009510A2"/>
    <w:rsid w:val="009510D4"/>
    <w:rsid w:val="00951208"/>
    <w:rsid w:val="00951433"/>
    <w:rsid w:val="009514B1"/>
    <w:rsid w:val="00951809"/>
    <w:rsid w:val="00951886"/>
    <w:rsid w:val="00951A4B"/>
    <w:rsid w:val="00951ABB"/>
    <w:rsid w:val="00951B24"/>
    <w:rsid w:val="00951B89"/>
    <w:rsid w:val="00951BE5"/>
    <w:rsid w:val="00951CA8"/>
    <w:rsid w:val="00951CD3"/>
    <w:rsid w:val="00952397"/>
    <w:rsid w:val="0095294B"/>
    <w:rsid w:val="00952D03"/>
    <w:rsid w:val="00952D0F"/>
    <w:rsid w:val="00952DED"/>
    <w:rsid w:val="00952F3F"/>
    <w:rsid w:val="0095304A"/>
    <w:rsid w:val="0095314B"/>
    <w:rsid w:val="0095343D"/>
    <w:rsid w:val="00953478"/>
    <w:rsid w:val="009538EA"/>
    <w:rsid w:val="00953A05"/>
    <w:rsid w:val="00953AF1"/>
    <w:rsid w:val="00953B1A"/>
    <w:rsid w:val="00953B67"/>
    <w:rsid w:val="00953D79"/>
    <w:rsid w:val="00953E74"/>
    <w:rsid w:val="00954007"/>
    <w:rsid w:val="0095419F"/>
    <w:rsid w:val="0095430F"/>
    <w:rsid w:val="00954567"/>
    <w:rsid w:val="00954752"/>
    <w:rsid w:val="00954916"/>
    <w:rsid w:val="00954A8B"/>
    <w:rsid w:val="00954B2F"/>
    <w:rsid w:val="00954B65"/>
    <w:rsid w:val="00954DA7"/>
    <w:rsid w:val="00954E54"/>
    <w:rsid w:val="00954ED3"/>
    <w:rsid w:val="009553D1"/>
    <w:rsid w:val="009554F4"/>
    <w:rsid w:val="009556D9"/>
    <w:rsid w:val="0095599F"/>
    <w:rsid w:val="00955C58"/>
    <w:rsid w:val="00955E0A"/>
    <w:rsid w:val="00955E4F"/>
    <w:rsid w:val="00955EF4"/>
    <w:rsid w:val="00955F52"/>
    <w:rsid w:val="009560EE"/>
    <w:rsid w:val="00956377"/>
    <w:rsid w:val="0095639D"/>
    <w:rsid w:val="009564CA"/>
    <w:rsid w:val="0095650D"/>
    <w:rsid w:val="009565CA"/>
    <w:rsid w:val="0095675F"/>
    <w:rsid w:val="009569BC"/>
    <w:rsid w:val="00956C0D"/>
    <w:rsid w:val="00956C99"/>
    <w:rsid w:val="00957024"/>
    <w:rsid w:val="00957191"/>
    <w:rsid w:val="009573D8"/>
    <w:rsid w:val="00957539"/>
    <w:rsid w:val="009577B7"/>
    <w:rsid w:val="0095783F"/>
    <w:rsid w:val="009578A0"/>
    <w:rsid w:val="00957B01"/>
    <w:rsid w:val="00957B5E"/>
    <w:rsid w:val="0096075E"/>
    <w:rsid w:val="00960846"/>
    <w:rsid w:val="00960A10"/>
    <w:rsid w:val="00960A82"/>
    <w:rsid w:val="00960BF9"/>
    <w:rsid w:val="00960CB5"/>
    <w:rsid w:val="00960CDD"/>
    <w:rsid w:val="00960F07"/>
    <w:rsid w:val="00960F5F"/>
    <w:rsid w:val="00960F95"/>
    <w:rsid w:val="00960FA2"/>
    <w:rsid w:val="0096109E"/>
    <w:rsid w:val="00961134"/>
    <w:rsid w:val="0096129E"/>
    <w:rsid w:val="009614D8"/>
    <w:rsid w:val="00961687"/>
    <w:rsid w:val="009617F8"/>
    <w:rsid w:val="00961988"/>
    <w:rsid w:val="00961E1E"/>
    <w:rsid w:val="00961EAA"/>
    <w:rsid w:val="00961ED4"/>
    <w:rsid w:val="0096208F"/>
    <w:rsid w:val="00962245"/>
    <w:rsid w:val="009622AA"/>
    <w:rsid w:val="0096238A"/>
    <w:rsid w:val="009623C3"/>
    <w:rsid w:val="00962413"/>
    <w:rsid w:val="00962417"/>
    <w:rsid w:val="009624E1"/>
    <w:rsid w:val="009629DB"/>
    <w:rsid w:val="00963309"/>
    <w:rsid w:val="00963391"/>
    <w:rsid w:val="00963494"/>
    <w:rsid w:val="009635CC"/>
    <w:rsid w:val="0096379A"/>
    <w:rsid w:val="009639DD"/>
    <w:rsid w:val="00963ABA"/>
    <w:rsid w:val="00963AE2"/>
    <w:rsid w:val="00963B07"/>
    <w:rsid w:val="00963C1C"/>
    <w:rsid w:val="00963E76"/>
    <w:rsid w:val="00964254"/>
    <w:rsid w:val="00964314"/>
    <w:rsid w:val="0096448A"/>
    <w:rsid w:val="009644D9"/>
    <w:rsid w:val="00964519"/>
    <w:rsid w:val="00964591"/>
    <w:rsid w:val="00964628"/>
    <w:rsid w:val="009646C2"/>
    <w:rsid w:val="009648C5"/>
    <w:rsid w:val="00964B33"/>
    <w:rsid w:val="00964E72"/>
    <w:rsid w:val="009655A9"/>
    <w:rsid w:val="00965609"/>
    <w:rsid w:val="0096560B"/>
    <w:rsid w:val="00965A32"/>
    <w:rsid w:val="00965BC4"/>
    <w:rsid w:val="00965CB1"/>
    <w:rsid w:val="00965DE3"/>
    <w:rsid w:val="009660D2"/>
    <w:rsid w:val="009662DB"/>
    <w:rsid w:val="00966444"/>
    <w:rsid w:val="00966574"/>
    <w:rsid w:val="00966C3B"/>
    <w:rsid w:val="00966D11"/>
    <w:rsid w:val="00966DF8"/>
    <w:rsid w:val="00966E9C"/>
    <w:rsid w:val="00966F51"/>
    <w:rsid w:val="00966F9C"/>
    <w:rsid w:val="0096709D"/>
    <w:rsid w:val="009671EE"/>
    <w:rsid w:val="0096739C"/>
    <w:rsid w:val="0096758A"/>
    <w:rsid w:val="009676B1"/>
    <w:rsid w:val="009676D3"/>
    <w:rsid w:val="00967C41"/>
    <w:rsid w:val="00967C48"/>
    <w:rsid w:val="00967C68"/>
    <w:rsid w:val="00967E40"/>
    <w:rsid w:val="00967F09"/>
    <w:rsid w:val="00967FEE"/>
    <w:rsid w:val="0097006C"/>
    <w:rsid w:val="009702DA"/>
    <w:rsid w:val="0097046E"/>
    <w:rsid w:val="009705F4"/>
    <w:rsid w:val="0097088B"/>
    <w:rsid w:val="009709AB"/>
    <w:rsid w:val="00970AF7"/>
    <w:rsid w:val="00970B22"/>
    <w:rsid w:val="00970B54"/>
    <w:rsid w:val="00970D85"/>
    <w:rsid w:val="00971069"/>
    <w:rsid w:val="00971725"/>
    <w:rsid w:val="00971784"/>
    <w:rsid w:val="00971789"/>
    <w:rsid w:val="00971DB7"/>
    <w:rsid w:val="00971EF8"/>
    <w:rsid w:val="009720C0"/>
    <w:rsid w:val="00972223"/>
    <w:rsid w:val="00972512"/>
    <w:rsid w:val="00972679"/>
    <w:rsid w:val="00972731"/>
    <w:rsid w:val="00972798"/>
    <w:rsid w:val="009727DA"/>
    <w:rsid w:val="009728B9"/>
    <w:rsid w:val="009728E6"/>
    <w:rsid w:val="00972F47"/>
    <w:rsid w:val="00973067"/>
    <w:rsid w:val="00973383"/>
    <w:rsid w:val="00973671"/>
    <w:rsid w:val="009737F6"/>
    <w:rsid w:val="00973B25"/>
    <w:rsid w:val="00974709"/>
    <w:rsid w:val="009747A4"/>
    <w:rsid w:val="00974C53"/>
    <w:rsid w:val="00974D59"/>
    <w:rsid w:val="009752E5"/>
    <w:rsid w:val="0097545E"/>
    <w:rsid w:val="00975737"/>
    <w:rsid w:val="00975855"/>
    <w:rsid w:val="0097588F"/>
    <w:rsid w:val="00975AA0"/>
    <w:rsid w:val="00975C66"/>
    <w:rsid w:val="00975E5D"/>
    <w:rsid w:val="00975F3F"/>
    <w:rsid w:val="00976021"/>
    <w:rsid w:val="00976086"/>
    <w:rsid w:val="009761BB"/>
    <w:rsid w:val="00976238"/>
    <w:rsid w:val="009764AF"/>
    <w:rsid w:val="009764BA"/>
    <w:rsid w:val="00976507"/>
    <w:rsid w:val="00976571"/>
    <w:rsid w:val="0097663D"/>
    <w:rsid w:val="009768E6"/>
    <w:rsid w:val="009769C7"/>
    <w:rsid w:val="00976A9E"/>
    <w:rsid w:val="00976D87"/>
    <w:rsid w:val="00976FC1"/>
    <w:rsid w:val="00977031"/>
    <w:rsid w:val="009770B8"/>
    <w:rsid w:val="009771AD"/>
    <w:rsid w:val="00977295"/>
    <w:rsid w:val="009775EB"/>
    <w:rsid w:val="0097795B"/>
    <w:rsid w:val="00977AD9"/>
    <w:rsid w:val="00977E93"/>
    <w:rsid w:val="00977EB1"/>
    <w:rsid w:val="00980011"/>
    <w:rsid w:val="009801AA"/>
    <w:rsid w:val="009802AF"/>
    <w:rsid w:val="0098045E"/>
    <w:rsid w:val="00980945"/>
    <w:rsid w:val="00980DC7"/>
    <w:rsid w:val="00980F30"/>
    <w:rsid w:val="009811A1"/>
    <w:rsid w:val="009811D7"/>
    <w:rsid w:val="009812E2"/>
    <w:rsid w:val="00981591"/>
    <w:rsid w:val="009817AE"/>
    <w:rsid w:val="009817E0"/>
    <w:rsid w:val="00981999"/>
    <w:rsid w:val="00981CBE"/>
    <w:rsid w:val="00982125"/>
    <w:rsid w:val="00982200"/>
    <w:rsid w:val="009827EB"/>
    <w:rsid w:val="00982BA6"/>
    <w:rsid w:val="00982D40"/>
    <w:rsid w:val="009831DD"/>
    <w:rsid w:val="009833E8"/>
    <w:rsid w:val="0098349E"/>
    <w:rsid w:val="009834F0"/>
    <w:rsid w:val="009835BE"/>
    <w:rsid w:val="009835D2"/>
    <w:rsid w:val="009836F2"/>
    <w:rsid w:val="0098386B"/>
    <w:rsid w:val="009839E5"/>
    <w:rsid w:val="00983AE1"/>
    <w:rsid w:val="00983B89"/>
    <w:rsid w:val="00983D45"/>
    <w:rsid w:val="009841F8"/>
    <w:rsid w:val="009843EB"/>
    <w:rsid w:val="00984491"/>
    <w:rsid w:val="00984B07"/>
    <w:rsid w:val="00984B78"/>
    <w:rsid w:val="00984E32"/>
    <w:rsid w:val="0098502A"/>
    <w:rsid w:val="00985181"/>
    <w:rsid w:val="009852AE"/>
    <w:rsid w:val="00985358"/>
    <w:rsid w:val="0098551F"/>
    <w:rsid w:val="009855C7"/>
    <w:rsid w:val="009857FD"/>
    <w:rsid w:val="00985814"/>
    <w:rsid w:val="00985837"/>
    <w:rsid w:val="00985839"/>
    <w:rsid w:val="0098594C"/>
    <w:rsid w:val="00985CF0"/>
    <w:rsid w:val="00985F78"/>
    <w:rsid w:val="009862DC"/>
    <w:rsid w:val="0098642B"/>
    <w:rsid w:val="009864AB"/>
    <w:rsid w:val="009865C2"/>
    <w:rsid w:val="009866A0"/>
    <w:rsid w:val="00986735"/>
    <w:rsid w:val="0098677A"/>
    <w:rsid w:val="00986998"/>
    <w:rsid w:val="00986AC2"/>
    <w:rsid w:val="00986B0C"/>
    <w:rsid w:val="00986D6C"/>
    <w:rsid w:val="00986DDF"/>
    <w:rsid w:val="00987041"/>
    <w:rsid w:val="009870F7"/>
    <w:rsid w:val="0098734C"/>
    <w:rsid w:val="0098735B"/>
    <w:rsid w:val="00987703"/>
    <w:rsid w:val="0098777B"/>
    <w:rsid w:val="009877FF"/>
    <w:rsid w:val="00987D42"/>
    <w:rsid w:val="00987EE2"/>
    <w:rsid w:val="0099022D"/>
    <w:rsid w:val="009902D3"/>
    <w:rsid w:val="00990321"/>
    <w:rsid w:val="0099033E"/>
    <w:rsid w:val="00990365"/>
    <w:rsid w:val="0099040B"/>
    <w:rsid w:val="0099043F"/>
    <w:rsid w:val="00990687"/>
    <w:rsid w:val="00990762"/>
    <w:rsid w:val="00990834"/>
    <w:rsid w:val="00990AE6"/>
    <w:rsid w:val="00990AF6"/>
    <w:rsid w:val="00990B73"/>
    <w:rsid w:val="00990E0C"/>
    <w:rsid w:val="00990EB5"/>
    <w:rsid w:val="0099129C"/>
    <w:rsid w:val="009914F4"/>
    <w:rsid w:val="009915B8"/>
    <w:rsid w:val="0099172A"/>
    <w:rsid w:val="009917C8"/>
    <w:rsid w:val="0099190E"/>
    <w:rsid w:val="009919D5"/>
    <w:rsid w:val="00991DBD"/>
    <w:rsid w:val="00991EEE"/>
    <w:rsid w:val="00992808"/>
    <w:rsid w:val="00992899"/>
    <w:rsid w:val="00992B1B"/>
    <w:rsid w:val="00992EAB"/>
    <w:rsid w:val="0099302A"/>
    <w:rsid w:val="009930B0"/>
    <w:rsid w:val="00993130"/>
    <w:rsid w:val="00993131"/>
    <w:rsid w:val="009932F9"/>
    <w:rsid w:val="0099330C"/>
    <w:rsid w:val="00993816"/>
    <w:rsid w:val="00993E70"/>
    <w:rsid w:val="00993EC5"/>
    <w:rsid w:val="00994B14"/>
    <w:rsid w:val="00994DB3"/>
    <w:rsid w:val="0099519F"/>
    <w:rsid w:val="009953A6"/>
    <w:rsid w:val="0099543A"/>
    <w:rsid w:val="0099572B"/>
    <w:rsid w:val="009957A8"/>
    <w:rsid w:val="009957BB"/>
    <w:rsid w:val="00995A9E"/>
    <w:rsid w:val="00995C72"/>
    <w:rsid w:val="00995CC0"/>
    <w:rsid w:val="009961E8"/>
    <w:rsid w:val="00996436"/>
    <w:rsid w:val="0099662B"/>
    <w:rsid w:val="00996637"/>
    <w:rsid w:val="0099695B"/>
    <w:rsid w:val="00996B0E"/>
    <w:rsid w:val="00996C64"/>
    <w:rsid w:val="00996DA1"/>
    <w:rsid w:val="00996EB2"/>
    <w:rsid w:val="009970A8"/>
    <w:rsid w:val="00997160"/>
    <w:rsid w:val="009971E6"/>
    <w:rsid w:val="00997213"/>
    <w:rsid w:val="0099725D"/>
    <w:rsid w:val="009972C4"/>
    <w:rsid w:val="009973E1"/>
    <w:rsid w:val="0099743C"/>
    <w:rsid w:val="0099743F"/>
    <w:rsid w:val="009978E3"/>
    <w:rsid w:val="00997CA6"/>
    <w:rsid w:val="00997CD6"/>
    <w:rsid w:val="00997D36"/>
    <w:rsid w:val="00997F59"/>
    <w:rsid w:val="009A0129"/>
    <w:rsid w:val="009A0363"/>
    <w:rsid w:val="009A05CA"/>
    <w:rsid w:val="009A0696"/>
    <w:rsid w:val="009A0743"/>
    <w:rsid w:val="009A0AE6"/>
    <w:rsid w:val="009A0C61"/>
    <w:rsid w:val="009A0CB0"/>
    <w:rsid w:val="009A0D95"/>
    <w:rsid w:val="009A0D9E"/>
    <w:rsid w:val="009A0E07"/>
    <w:rsid w:val="009A0EF6"/>
    <w:rsid w:val="009A0F72"/>
    <w:rsid w:val="009A1051"/>
    <w:rsid w:val="009A12E0"/>
    <w:rsid w:val="009A1676"/>
    <w:rsid w:val="009A1737"/>
    <w:rsid w:val="009A199B"/>
    <w:rsid w:val="009A1B0A"/>
    <w:rsid w:val="009A1E22"/>
    <w:rsid w:val="009A1F36"/>
    <w:rsid w:val="009A2030"/>
    <w:rsid w:val="009A2073"/>
    <w:rsid w:val="009A2415"/>
    <w:rsid w:val="009A2631"/>
    <w:rsid w:val="009A2991"/>
    <w:rsid w:val="009A2D71"/>
    <w:rsid w:val="009A2DF1"/>
    <w:rsid w:val="009A31CB"/>
    <w:rsid w:val="009A333F"/>
    <w:rsid w:val="009A33D1"/>
    <w:rsid w:val="009A35BB"/>
    <w:rsid w:val="009A39EE"/>
    <w:rsid w:val="009A3D1D"/>
    <w:rsid w:val="009A3D79"/>
    <w:rsid w:val="009A3E38"/>
    <w:rsid w:val="009A3F72"/>
    <w:rsid w:val="009A40CC"/>
    <w:rsid w:val="009A44DC"/>
    <w:rsid w:val="009A45CF"/>
    <w:rsid w:val="009A490F"/>
    <w:rsid w:val="009A49ED"/>
    <w:rsid w:val="009A4A2E"/>
    <w:rsid w:val="009A4D11"/>
    <w:rsid w:val="009A4F98"/>
    <w:rsid w:val="009A5188"/>
    <w:rsid w:val="009A5262"/>
    <w:rsid w:val="009A52D3"/>
    <w:rsid w:val="009A543A"/>
    <w:rsid w:val="009A563C"/>
    <w:rsid w:val="009A57DD"/>
    <w:rsid w:val="009A5901"/>
    <w:rsid w:val="009A5961"/>
    <w:rsid w:val="009A598D"/>
    <w:rsid w:val="009A5A33"/>
    <w:rsid w:val="009A5BE9"/>
    <w:rsid w:val="009A5D7B"/>
    <w:rsid w:val="009A5FC9"/>
    <w:rsid w:val="009A613C"/>
    <w:rsid w:val="009A6661"/>
    <w:rsid w:val="009A6785"/>
    <w:rsid w:val="009A693F"/>
    <w:rsid w:val="009A6CCE"/>
    <w:rsid w:val="009A6D55"/>
    <w:rsid w:val="009A6ED7"/>
    <w:rsid w:val="009A6F1B"/>
    <w:rsid w:val="009A6FFC"/>
    <w:rsid w:val="009A7167"/>
    <w:rsid w:val="009A73C6"/>
    <w:rsid w:val="009A76ED"/>
    <w:rsid w:val="009A77D8"/>
    <w:rsid w:val="009A7864"/>
    <w:rsid w:val="009A7A66"/>
    <w:rsid w:val="009A7DE1"/>
    <w:rsid w:val="009A7F50"/>
    <w:rsid w:val="009B015E"/>
    <w:rsid w:val="009B0838"/>
    <w:rsid w:val="009B08D0"/>
    <w:rsid w:val="009B09D0"/>
    <w:rsid w:val="009B0A9D"/>
    <w:rsid w:val="009B0B1B"/>
    <w:rsid w:val="009B0F6A"/>
    <w:rsid w:val="009B10FC"/>
    <w:rsid w:val="009B1230"/>
    <w:rsid w:val="009B15C2"/>
    <w:rsid w:val="009B18FF"/>
    <w:rsid w:val="009B1A12"/>
    <w:rsid w:val="009B1B41"/>
    <w:rsid w:val="009B1F68"/>
    <w:rsid w:val="009B2143"/>
    <w:rsid w:val="009B228D"/>
    <w:rsid w:val="009B2433"/>
    <w:rsid w:val="009B265B"/>
    <w:rsid w:val="009B277D"/>
    <w:rsid w:val="009B28FE"/>
    <w:rsid w:val="009B2BF0"/>
    <w:rsid w:val="009B2E1F"/>
    <w:rsid w:val="009B2E8F"/>
    <w:rsid w:val="009B2F06"/>
    <w:rsid w:val="009B2F39"/>
    <w:rsid w:val="009B338A"/>
    <w:rsid w:val="009B3436"/>
    <w:rsid w:val="009B358B"/>
    <w:rsid w:val="009B3596"/>
    <w:rsid w:val="009B395D"/>
    <w:rsid w:val="009B3A79"/>
    <w:rsid w:val="009B3BB8"/>
    <w:rsid w:val="009B3D6A"/>
    <w:rsid w:val="009B3DE2"/>
    <w:rsid w:val="009B3F43"/>
    <w:rsid w:val="009B422C"/>
    <w:rsid w:val="009B4355"/>
    <w:rsid w:val="009B442B"/>
    <w:rsid w:val="009B4473"/>
    <w:rsid w:val="009B4589"/>
    <w:rsid w:val="009B4648"/>
    <w:rsid w:val="009B4692"/>
    <w:rsid w:val="009B471A"/>
    <w:rsid w:val="009B4777"/>
    <w:rsid w:val="009B4783"/>
    <w:rsid w:val="009B4DA7"/>
    <w:rsid w:val="009B4DC9"/>
    <w:rsid w:val="009B4EFD"/>
    <w:rsid w:val="009B5156"/>
    <w:rsid w:val="009B5160"/>
    <w:rsid w:val="009B531D"/>
    <w:rsid w:val="009B55A4"/>
    <w:rsid w:val="009B5648"/>
    <w:rsid w:val="009B571B"/>
    <w:rsid w:val="009B5A5C"/>
    <w:rsid w:val="009B60DE"/>
    <w:rsid w:val="009B6180"/>
    <w:rsid w:val="009B6181"/>
    <w:rsid w:val="009B6248"/>
    <w:rsid w:val="009B63BE"/>
    <w:rsid w:val="009B663C"/>
    <w:rsid w:val="009B6706"/>
    <w:rsid w:val="009B7009"/>
    <w:rsid w:val="009B7042"/>
    <w:rsid w:val="009B7134"/>
    <w:rsid w:val="009B729C"/>
    <w:rsid w:val="009B7362"/>
    <w:rsid w:val="009B763E"/>
    <w:rsid w:val="009B77B5"/>
    <w:rsid w:val="009B780D"/>
    <w:rsid w:val="009B7812"/>
    <w:rsid w:val="009B794F"/>
    <w:rsid w:val="009B7A36"/>
    <w:rsid w:val="009B7C31"/>
    <w:rsid w:val="009B7CF1"/>
    <w:rsid w:val="009B7DBB"/>
    <w:rsid w:val="009B7ED0"/>
    <w:rsid w:val="009B7F1D"/>
    <w:rsid w:val="009C0485"/>
    <w:rsid w:val="009C0680"/>
    <w:rsid w:val="009C0C62"/>
    <w:rsid w:val="009C0E1F"/>
    <w:rsid w:val="009C135A"/>
    <w:rsid w:val="009C13B1"/>
    <w:rsid w:val="009C152B"/>
    <w:rsid w:val="009C1618"/>
    <w:rsid w:val="009C1749"/>
    <w:rsid w:val="009C17FC"/>
    <w:rsid w:val="009C1930"/>
    <w:rsid w:val="009C1C9E"/>
    <w:rsid w:val="009C1CC9"/>
    <w:rsid w:val="009C1CE0"/>
    <w:rsid w:val="009C20C6"/>
    <w:rsid w:val="009C20CF"/>
    <w:rsid w:val="009C2154"/>
    <w:rsid w:val="009C23FD"/>
    <w:rsid w:val="009C251B"/>
    <w:rsid w:val="009C268D"/>
    <w:rsid w:val="009C2BB9"/>
    <w:rsid w:val="009C2CD7"/>
    <w:rsid w:val="009C2D77"/>
    <w:rsid w:val="009C3010"/>
    <w:rsid w:val="009C301E"/>
    <w:rsid w:val="009C33A3"/>
    <w:rsid w:val="009C33B1"/>
    <w:rsid w:val="009C364C"/>
    <w:rsid w:val="009C369C"/>
    <w:rsid w:val="009C3AC3"/>
    <w:rsid w:val="009C3AE6"/>
    <w:rsid w:val="009C3C6A"/>
    <w:rsid w:val="009C3E2E"/>
    <w:rsid w:val="009C3F06"/>
    <w:rsid w:val="009C4224"/>
    <w:rsid w:val="009C4576"/>
    <w:rsid w:val="009C4577"/>
    <w:rsid w:val="009C486A"/>
    <w:rsid w:val="009C4B4D"/>
    <w:rsid w:val="009C4CC3"/>
    <w:rsid w:val="009C543D"/>
    <w:rsid w:val="009C559B"/>
    <w:rsid w:val="009C5697"/>
    <w:rsid w:val="009C5699"/>
    <w:rsid w:val="009C5CE0"/>
    <w:rsid w:val="009C5F6D"/>
    <w:rsid w:val="009C60DF"/>
    <w:rsid w:val="009C62E4"/>
    <w:rsid w:val="009C6430"/>
    <w:rsid w:val="009C64E9"/>
    <w:rsid w:val="009C67F3"/>
    <w:rsid w:val="009C6937"/>
    <w:rsid w:val="009C6DA8"/>
    <w:rsid w:val="009C6F1C"/>
    <w:rsid w:val="009C73DE"/>
    <w:rsid w:val="009C74A3"/>
    <w:rsid w:val="009C773E"/>
    <w:rsid w:val="009C7783"/>
    <w:rsid w:val="009C7B4D"/>
    <w:rsid w:val="009D014E"/>
    <w:rsid w:val="009D020C"/>
    <w:rsid w:val="009D020D"/>
    <w:rsid w:val="009D0503"/>
    <w:rsid w:val="009D0655"/>
    <w:rsid w:val="009D0924"/>
    <w:rsid w:val="009D09DD"/>
    <w:rsid w:val="009D0AA4"/>
    <w:rsid w:val="009D0C3B"/>
    <w:rsid w:val="009D0D58"/>
    <w:rsid w:val="009D0D5D"/>
    <w:rsid w:val="009D0ED0"/>
    <w:rsid w:val="009D0EE6"/>
    <w:rsid w:val="009D1056"/>
    <w:rsid w:val="009D107B"/>
    <w:rsid w:val="009D10F7"/>
    <w:rsid w:val="009D13B8"/>
    <w:rsid w:val="009D1409"/>
    <w:rsid w:val="009D1442"/>
    <w:rsid w:val="009D1474"/>
    <w:rsid w:val="009D163C"/>
    <w:rsid w:val="009D1B5C"/>
    <w:rsid w:val="009D1B96"/>
    <w:rsid w:val="009D2350"/>
    <w:rsid w:val="009D2404"/>
    <w:rsid w:val="009D254F"/>
    <w:rsid w:val="009D25F7"/>
    <w:rsid w:val="009D2658"/>
    <w:rsid w:val="009D273B"/>
    <w:rsid w:val="009D28DC"/>
    <w:rsid w:val="009D28DE"/>
    <w:rsid w:val="009D2A2F"/>
    <w:rsid w:val="009D2C76"/>
    <w:rsid w:val="009D2CBE"/>
    <w:rsid w:val="009D2EB0"/>
    <w:rsid w:val="009D2F04"/>
    <w:rsid w:val="009D2F84"/>
    <w:rsid w:val="009D3011"/>
    <w:rsid w:val="009D31B8"/>
    <w:rsid w:val="009D32A6"/>
    <w:rsid w:val="009D33ED"/>
    <w:rsid w:val="009D357F"/>
    <w:rsid w:val="009D358B"/>
    <w:rsid w:val="009D35C1"/>
    <w:rsid w:val="009D378E"/>
    <w:rsid w:val="009D37C7"/>
    <w:rsid w:val="009D396E"/>
    <w:rsid w:val="009D398A"/>
    <w:rsid w:val="009D39A8"/>
    <w:rsid w:val="009D39E8"/>
    <w:rsid w:val="009D3A61"/>
    <w:rsid w:val="009D3A77"/>
    <w:rsid w:val="009D3C9C"/>
    <w:rsid w:val="009D3EAD"/>
    <w:rsid w:val="009D3EDF"/>
    <w:rsid w:val="009D414B"/>
    <w:rsid w:val="009D41E3"/>
    <w:rsid w:val="009D4553"/>
    <w:rsid w:val="009D4609"/>
    <w:rsid w:val="009D4660"/>
    <w:rsid w:val="009D46AC"/>
    <w:rsid w:val="009D47FD"/>
    <w:rsid w:val="009D4B7D"/>
    <w:rsid w:val="009D4C00"/>
    <w:rsid w:val="009D4CBA"/>
    <w:rsid w:val="009D4FFB"/>
    <w:rsid w:val="009D5067"/>
    <w:rsid w:val="009D50EE"/>
    <w:rsid w:val="009D515A"/>
    <w:rsid w:val="009D52FA"/>
    <w:rsid w:val="009D538C"/>
    <w:rsid w:val="009D53DB"/>
    <w:rsid w:val="009D57AF"/>
    <w:rsid w:val="009D587B"/>
    <w:rsid w:val="009D58D4"/>
    <w:rsid w:val="009D5A89"/>
    <w:rsid w:val="009D5D40"/>
    <w:rsid w:val="009D5D55"/>
    <w:rsid w:val="009D5E1D"/>
    <w:rsid w:val="009D613E"/>
    <w:rsid w:val="009D6427"/>
    <w:rsid w:val="009D647F"/>
    <w:rsid w:val="009D67DA"/>
    <w:rsid w:val="009D69B4"/>
    <w:rsid w:val="009D69C2"/>
    <w:rsid w:val="009D6A72"/>
    <w:rsid w:val="009D6AFF"/>
    <w:rsid w:val="009D6FAD"/>
    <w:rsid w:val="009D6FCD"/>
    <w:rsid w:val="009D708A"/>
    <w:rsid w:val="009D710A"/>
    <w:rsid w:val="009D73C6"/>
    <w:rsid w:val="009D776F"/>
    <w:rsid w:val="009D77DE"/>
    <w:rsid w:val="009D797D"/>
    <w:rsid w:val="009D7A22"/>
    <w:rsid w:val="009D7C68"/>
    <w:rsid w:val="009E00A6"/>
    <w:rsid w:val="009E0166"/>
    <w:rsid w:val="009E0175"/>
    <w:rsid w:val="009E0376"/>
    <w:rsid w:val="009E05CC"/>
    <w:rsid w:val="009E067D"/>
    <w:rsid w:val="009E077C"/>
    <w:rsid w:val="009E0831"/>
    <w:rsid w:val="009E099D"/>
    <w:rsid w:val="009E09FA"/>
    <w:rsid w:val="009E0B62"/>
    <w:rsid w:val="009E0B69"/>
    <w:rsid w:val="009E0B7F"/>
    <w:rsid w:val="009E0D03"/>
    <w:rsid w:val="009E1046"/>
    <w:rsid w:val="009E10BD"/>
    <w:rsid w:val="009E10CF"/>
    <w:rsid w:val="009E1366"/>
    <w:rsid w:val="009E1585"/>
    <w:rsid w:val="009E17A4"/>
    <w:rsid w:val="009E17D7"/>
    <w:rsid w:val="009E18C5"/>
    <w:rsid w:val="009E19C0"/>
    <w:rsid w:val="009E1DCB"/>
    <w:rsid w:val="009E1FBF"/>
    <w:rsid w:val="009E2031"/>
    <w:rsid w:val="009E21F9"/>
    <w:rsid w:val="009E2543"/>
    <w:rsid w:val="009E2647"/>
    <w:rsid w:val="009E27E6"/>
    <w:rsid w:val="009E283A"/>
    <w:rsid w:val="009E286B"/>
    <w:rsid w:val="009E294F"/>
    <w:rsid w:val="009E2AE5"/>
    <w:rsid w:val="009E2B14"/>
    <w:rsid w:val="009E32EC"/>
    <w:rsid w:val="009E355A"/>
    <w:rsid w:val="009E355C"/>
    <w:rsid w:val="009E3813"/>
    <w:rsid w:val="009E3CE2"/>
    <w:rsid w:val="009E3E6C"/>
    <w:rsid w:val="009E3EA7"/>
    <w:rsid w:val="009E3EF2"/>
    <w:rsid w:val="009E3F06"/>
    <w:rsid w:val="009E405A"/>
    <w:rsid w:val="009E4136"/>
    <w:rsid w:val="009E4521"/>
    <w:rsid w:val="009E45EE"/>
    <w:rsid w:val="009E4775"/>
    <w:rsid w:val="009E47FD"/>
    <w:rsid w:val="009E4A1F"/>
    <w:rsid w:val="009E4B4C"/>
    <w:rsid w:val="009E4B5B"/>
    <w:rsid w:val="009E4E5A"/>
    <w:rsid w:val="009E5032"/>
    <w:rsid w:val="009E513A"/>
    <w:rsid w:val="009E51B5"/>
    <w:rsid w:val="009E5221"/>
    <w:rsid w:val="009E54A4"/>
    <w:rsid w:val="009E5502"/>
    <w:rsid w:val="009E554D"/>
    <w:rsid w:val="009E56BE"/>
    <w:rsid w:val="009E57F8"/>
    <w:rsid w:val="009E59A6"/>
    <w:rsid w:val="009E5AD3"/>
    <w:rsid w:val="009E5B7E"/>
    <w:rsid w:val="009E6026"/>
    <w:rsid w:val="009E617E"/>
    <w:rsid w:val="009E6407"/>
    <w:rsid w:val="009E6411"/>
    <w:rsid w:val="009E6428"/>
    <w:rsid w:val="009E64A9"/>
    <w:rsid w:val="009E6500"/>
    <w:rsid w:val="009E6644"/>
    <w:rsid w:val="009E68CE"/>
    <w:rsid w:val="009E69E4"/>
    <w:rsid w:val="009E6E07"/>
    <w:rsid w:val="009E7363"/>
    <w:rsid w:val="009E7527"/>
    <w:rsid w:val="009E768E"/>
    <w:rsid w:val="009E77E7"/>
    <w:rsid w:val="009E7841"/>
    <w:rsid w:val="009E78BA"/>
    <w:rsid w:val="009E79CE"/>
    <w:rsid w:val="009E7C0C"/>
    <w:rsid w:val="009E7D8D"/>
    <w:rsid w:val="009E7DB8"/>
    <w:rsid w:val="009F00E0"/>
    <w:rsid w:val="009F00FE"/>
    <w:rsid w:val="009F01F2"/>
    <w:rsid w:val="009F03B3"/>
    <w:rsid w:val="009F0405"/>
    <w:rsid w:val="009F0462"/>
    <w:rsid w:val="009F052F"/>
    <w:rsid w:val="009F0651"/>
    <w:rsid w:val="009F0A00"/>
    <w:rsid w:val="009F0DF8"/>
    <w:rsid w:val="009F1202"/>
    <w:rsid w:val="009F13AC"/>
    <w:rsid w:val="009F142D"/>
    <w:rsid w:val="009F1721"/>
    <w:rsid w:val="009F1950"/>
    <w:rsid w:val="009F19CB"/>
    <w:rsid w:val="009F19E0"/>
    <w:rsid w:val="009F1C58"/>
    <w:rsid w:val="009F1D8D"/>
    <w:rsid w:val="009F1DB5"/>
    <w:rsid w:val="009F1DE9"/>
    <w:rsid w:val="009F1EF8"/>
    <w:rsid w:val="009F2154"/>
    <w:rsid w:val="009F2188"/>
    <w:rsid w:val="009F2489"/>
    <w:rsid w:val="009F2806"/>
    <w:rsid w:val="009F2850"/>
    <w:rsid w:val="009F2955"/>
    <w:rsid w:val="009F29A9"/>
    <w:rsid w:val="009F2D14"/>
    <w:rsid w:val="009F2E48"/>
    <w:rsid w:val="009F2F2C"/>
    <w:rsid w:val="009F30A0"/>
    <w:rsid w:val="009F30B4"/>
    <w:rsid w:val="009F30BB"/>
    <w:rsid w:val="009F315C"/>
    <w:rsid w:val="009F31AE"/>
    <w:rsid w:val="009F32BC"/>
    <w:rsid w:val="009F337F"/>
    <w:rsid w:val="009F3674"/>
    <w:rsid w:val="009F38C2"/>
    <w:rsid w:val="009F38DB"/>
    <w:rsid w:val="009F3C68"/>
    <w:rsid w:val="009F3D5D"/>
    <w:rsid w:val="009F3D8D"/>
    <w:rsid w:val="009F3D97"/>
    <w:rsid w:val="009F3DC6"/>
    <w:rsid w:val="009F409D"/>
    <w:rsid w:val="009F4121"/>
    <w:rsid w:val="009F44B3"/>
    <w:rsid w:val="009F4567"/>
    <w:rsid w:val="009F45F7"/>
    <w:rsid w:val="009F4782"/>
    <w:rsid w:val="009F491F"/>
    <w:rsid w:val="009F4C7E"/>
    <w:rsid w:val="009F4DC1"/>
    <w:rsid w:val="009F4E2A"/>
    <w:rsid w:val="009F4E87"/>
    <w:rsid w:val="009F5082"/>
    <w:rsid w:val="009F5083"/>
    <w:rsid w:val="009F5168"/>
    <w:rsid w:val="009F51BC"/>
    <w:rsid w:val="009F5205"/>
    <w:rsid w:val="009F522B"/>
    <w:rsid w:val="009F540D"/>
    <w:rsid w:val="009F5546"/>
    <w:rsid w:val="009F5777"/>
    <w:rsid w:val="009F5795"/>
    <w:rsid w:val="009F580D"/>
    <w:rsid w:val="009F58AC"/>
    <w:rsid w:val="009F5922"/>
    <w:rsid w:val="009F5A8C"/>
    <w:rsid w:val="009F5BB5"/>
    <w:rsid w:val="009F5D15"/>
    <w:rsid w:val="009F5FE1"/>
    <w:rsid w:val="009F6188"/>
    <w:rsid w:val="009F623F"/>
    <w:rsid w:val="009F6607"/>
    <w:rsid w:val="009F6869"/>
    <w:rsid w:val="009F7119"/>
    <w:rsid w:val="009F722D"/>
    <w:rsid w:val="009F7756"/>
    <w:rsid w:val="009F77A7"/>
    <w:rsid w:val="009F78A0"/>
    <w:rsid w:val="009F79FD"/>
    <w:rsid w:val="009F7A3F"/>
    <w:rsid w:val="009F7AA1"/>
    <w:rsid w:val="009F7E82"/>
    <w:rsid w:val="009F7F6F"/>
    <w:rsid w:val="00A00084"/>
    <w:rsid w:val="00A00144"/>
    <w:rsid w:val="00A00344"/>
    <w:rsid w:val="00A00396"/>
    <w:rsid w:val="00A003D7"/>
    <w:rsid w:val="00A003D8"/>
    <w:rsid w:val="00A00498"/>
    <w:rsid w:val="00A004EF"/>
    <w:rsid w:val="00A0053B"/>
    <w:rsid w:val="00A00848"/>
    <w:rsid w:val="00A00A05"/>
    <w:rsid w:val="00A00DCD"/>
    <w:rsid w:val="00A010FE"/>
    <w:rsid w:val="00A0112F"/>
    <w:rsid w:val="00A013B9"/>
    <w:rsid w:val="00A01560"/>
    <w:rsid w:val="00A01775"/>
    <w:rsid w:val="00A018F9"/>
    <w:rsid w:val="00A01923"/>
    <w:rsid w:val="00A0193D"/>
    <w:rsid w:val="00A01A9B"/>
    <w:rsid w:val="00A01AE7"/>
    <w:rsid w:val="00A01B6B"/>
    <w:rsid w:val="00A01BC7"/>
    <w:rsid w:val="00A01C6C"/>
    <w:rsid w:val="00A01C81"/>
    <w:rsid w:val="00A01E62"/>
    <w:rsid w:val="00A0216C"/>
    <w:rsid w:val="00A026DE"/>
    <w:rsid w:val="00A02887"/>
    <w:rsid w:val="00A02E12"/>
    <w:rsid w:val="00A02E78"/>
    <w:rsid w:val="00A02EEA"/>
    <w:rsid w:val="00A0311E"/>
    <w:rsid w:val="00A03286"/>
    <w:rsid w:val="00A032AE"/>
    <w:rsid w:val="00A03482"/>
    <w:rsid w:val="00A03918"/>
    <w:rsid w:val="00A039E9"/>
    <w:rsid w:val="00A03B76"/>
    <w:rsid w:val="00A03BAE"/>
    <w:rsid w:val="00A03CF6"/>
    <w:rsid w:val="00A03E25"/>
    <w:rsid w:val="00A03E46"/>
    <w:rsid w:val="00A04252"/>
    <w:rsid w:val="00A04356"/>
    <w:rsid w:val="00A047A5"/>
    <w:rsid w:val="00A04971"/>
    <w:rsid w:val="00A049E5"/>
    <w:rsid w:val="00A04CD0"/>
    <w:rsid w:val="00A04CD4"/>
    <w:rsid w:val="00A04E99"/>
    <w:rsid w:val="00A051D1"/>
    <w:rsid w:val="00A052DB"/>
    <w:rsid w:val="00A054AC"/>
    <w:rsid w:val="00A05531"/>
    <w:rsid w:val="00A0555E"/>
    <w:rsid w:val="00A0577F"/>
    <w:rsid w:val="00A057BC"/>
    <w:rsid w:val="00A058F0"/>
    <w:rsid w:val="00A05AD5"/>
    <w:rsid w:val="00A05BC2"/>
    <w:rsid w:val="00A05F45"/>
    <w:rsid w:val="00A06077"/>
    <w:rsid w:val="00A0634D"/>
    <w:rsid w:val="00A0646D"/>
    <w:rsid w:val="00A066C5"/>
    <w:rsid w:val="00A0680D"/>
    <w:rsid w:val="00A06946"/>
    <w:rsid w:val="00A06A0D"/>
    <w:rsid w:val="00A06A82"/>
    <w:rsid w:val="00A06C0E"/>
    <w:rsid w:val="00A06F03"/>
    <w:rsid w:val="00A06FE7"/>
    <w:rsid w:val="00A06FF4"/>
    <w:rsid w:val="00A07099"/>
    <w:rsid w:val="00A07131"/>
    <w:rsid w:val="00A071BE"/>
    <w:rsid w:val="00A0752E"/>
    <w:rsid w:val="00A07570"/>
    <w:rsid w:val="00A076A3"/>
    <w:rsid w:val="00A07914"/>
    <w:rsid w:val="00A07DC7"/>
    <w:rsid w:val="00A07DE2"/>
    <w:rsid w:val="00A103AC"/>
    <w:rsid w:val="00A10712"/>
    <w:rsid w:val="00A10751"/>
    <w:rsid w:val="00A10766"/>
    <w:rsid w:val="00A107C1"/>
    <w:rsid w:val="00A109FB"/>
    <w:rsid w:val="00A10D03"/>
    <w:rsid w:val="00A10DD6"/>
    <w:rsid w:val="00A10E75"/>
    <w:rsid w:val="00A110F5"/>
    <w:rsid w:val="00A11210"/>
    <w:rsid w:val="00A1136E"/>
    <w:rsid w:val="00A115B5"/>
    <w:rsid w:val="00A11644"/>
    <w:rsid w:val="00A11771"/>
    <w:rsid w:val="00A11AAA"/>
    <w:rsid w:val="00A11D68"/>
    <w:rsid w:val="00A11E72"/>
    <w:rsid w:val="00A11F3A"/>
    <w:rsid w:val="00A12453"/>
    <w:rsid w:val="00A124DF"/>
    <w:rsid w:val="00A12621"/>
    <w:rsid w:val="00A12663"/>
    <w:rsid w:val="00A12B05"/>
    <w:rsid w:val="00A12CBA"/>
    <w:rsid w:val="00A12D74"/>
    <w:rsid w:val="00A12E2C"/>
    <w:rsid w:val="00A12EED"/>
    <w:rsid w:val="00A12F52"/>
    <w:rsid w:val="00A131A6"/>
    <w:rsid w:val="00A13347"/>
    <w:rsid w:val="00A13408"/>
    <w:rsid w:val="00A1342A"/>
    <w:rsid w:val="00A13487"/>
    <w:rsid w:val="00A136A7"/>
    <w:rsid w:val="00A1384E"/>
    <w:rsid w:val="00A13CAC"/>
    <w:rsid w:val="00A14079"/>
    <w:rsid w:val="00A14182"/>
    <w:rsid w:val="00A144B1"/>
    <w:rsid w:val="00A1462D"/>
    <w:rsid w:val="00A14759"/>
    <w:rsid w:val="00A14874"/>
    <w:rsid w:val="00A14961"/>
    <w:rsid w:val="00A14B8A"/>
    <w:rsid w:val="00A14BB0"/>
    <w:rsid w:val="00A14C8C"/>
    <w:rsid w:val="00A14E1E"/>
    <w:rsid w:val="00A14ED1"/>
    <w:rsid w:val="00A154C8"/>
    <w:rsid w:val="00A15535"/>
    <w:rsid w:val="00A1559A"/>
    <w:rsid w:val="00A155CA"/>
    <w:rsid w:val="00A1564B"/>
    <w:rsid w:val="00A15995"/>
    <w:rsid w:val="00A15B2D"/>
    <w:rsid w:val="00A15B8B"/>
    <w:rsid w:val="00A15C3A"/>
    <w:rsid w:val="00A16089"/>
    <w:rsid w:val="00A160C1"/>
    <w:rsid w:val="00A16263"/>
    <w:rsid w:val="00A163D7"/>
    <w:rsid w:val="00A164E8"/>
    <w:rsid w:val="00A1662E"/>
    <w:rsid w:val="00A166E3"/>
    <w:rsid w:val="00A16908"/>
    <w:rsid w:val="00A1694C"/>
    <w:rsid w:val="00A169DF"/>
    <w:rsid w:val="00A16A57"/>
    <w:rsid w:val="00A16B87"/>
    <w:rsid w:val="00A16C06"/>
    <w:rsid w:val="00A16C23"/>
    <w:rsid w:val="00A16CDB"/>
    <w:rsid w:val="00A16D84"/>
    <w:rsid w:val="00A16E8B"/>
    <w:rsid w:val="00A16EE9"/>
    <w:rsid w:val="00A16FB4"/>
    <w:rsid w:val="00A17001"/>
    <w:rsid w:val="00A174FF"/>
    <w:rsid w:val="00A17ABF"/>
    <w:rsid w:val="00A17C3B"/>
    <w:rsid w:val="00A17C8B"/>
    <w:rsid w:val="00A17DA7"/>
    <w:rsid w:val="00A20211"/>
    <w:rsid w:val="00A2047E"/>
    <w:rsid w:val="00A205C6"/>
    <w:rsid w:val="00A20964"/>
    <w:rsid w:val="00A20DA0"/>
    <w:rsid w:val="00A20E30"/>
    <w:rsid w:val="00A21469"/>
    <w:rsid w:val="00A21508"/>
    <w:rsid w:val="00A219B6"/>
    <w:rsid w:val="00A21A19"/>
    <w:rsid w:val="00A21A76"/>
    <w:rsid w:val="00A21D17"/>
    <w:rsid w:val="00A21DE8"/>
    <w:rsid w:val="00A2222B"/>
    <w:rsid w:val="00A227E3"/>
    <w:rsid w:val="00A229D9"/>
    <w:rsid w:val="00A22A85"/>
    <w:rsid w:val="00A22B94"/>
    <w:rsid w:val="00A22BC9"/>
    <w:rsid w:val="00A22CFB"/>
    <w:rsid w:val="00A22F08"/>
    <w:rsid w:val="00A23009"/>
    <w:rsid w:val="00A23308"/>
    <w:rsid w:val="00A2386A"/>
    <w:rsid w:val="00A23A8C"/>
    <w:rsid w:val="00A23B30"/>
    <w:rsid w:val="00A23C31"/>
    <w:rsid w:val="00A23C56"/>
    <w:rsid w:val="00A23F7B"/>
    <w:rsid w:val="00A24167"/>
    <w:rsid w:val="00A24225"/>
    <w:rsid w:val="00A242B1"/>
    <w:rsid w:val="00A242B5"/>
    <w:rsid w:val="00A24637"/>
    <w:rsid w:val="00A248C1"/>
    <w:rsid w:val="00A24A79"/>
    <w:rsid w:val="00A24B29"/>
    <w:rsid w:val="00A24B56"/>
    <w:rsid w:val="00A24E0C"/>
    <w:rsid w:val="00A24FFE"/>
    <w:rsid w:val="00A25020"/>
    <w:rsid w:val="00A25029"/>
    <w:rsid w:val="00A2504E"/>
    <w:rsid w:val="00A250AF"/>
    <w:rsid w:val="00A250FC"/>
    <w:rsid w:val="00A253F2"/>
    <w:rsid w:val="00A257AD"/>
    <w:rsid w:val="00A2594F"/>
    <w:rsid w:val="00A25C2B"/>
    <w:rsid w:val="00A25F7F"/>
    <w:rsid w:val="00A26408"/>
    <w:rsid w:val="00A265CB"/>
    <w:rsid w:val="00A2666A"/>
    <w:rsid w:val="00A269EC"/>
    <w:rsid w:val="00A26E2B"/>
    <w:rsid w:val="00A26EE4"/>
    <w:rsid w:val="00A27146"/>
    <w:rsid w:val="00A27183"/>
    <w:rsid w:val="00A27273"/>
    <w:rsid w:val="00A273E4"/>
    <w:rsid w:val="00A274B1"/>
    <w:rsid w:val="00A27596"/>
    <w:rsid w:val="00A27692"/>
    <w:rsid w:val="00A278BB"/>
    <w:rsid w:val="00A2794C"/>
    <w:rsid w:val="00A2798A"/>
    <w:rsid w:val="00A27AE1"/>
    <w:rsid w:val="00A27B9A"/>
    <w:rsid w:val="00A27C5E"/>
    <w:rsid w:val="00A27DF1"/>
    <w:rsid w:val="00A30046"/>
    <w:rsid w:val="00A30186"/>
    <w:rsid w:val="00A30228"/>
    <w:rsid w:val="00A30339"/>
    <w:rsid w:val="00A30396"/>
    <w:rsid w:val="00A3065E"/>
    <w:rsid w:val="00A30B82"/>
    <w:rsid w:val="00A30C3B"/>
    <w:rsid w:val="00A30EF0"/>
    <w:rsid w:val="00A30FEB"/>
    <w:rsid w:val="00A311F3"/>
    <w:rsid w:val="00A31310"/>
    <w:rsid w:val="00A31582"/>
    <w:rsid w:val="00A31594"/>
    <w:rsid w:val="00A315D7"/>
    <w:rsid w:val="00A31617"/>
    <w:rsid w:val="00A316BA"/>
    <w:rsid w:val="00A316EC"/>
    <w:rsid w:val="00A3177F"/>
    <w:rsid w:val="00A3179D"/>
    <w:rsid w:val="00A317BF"/>
    <w:rsid w:val="00A31E25"/>
    <w:rsid w:val="00A31F45"/>
    <w:rsid w:val="00A31F6C"/>
    <w:rsid w:val="00A321BA"/>
    <w:rsid w:val="00A32662"/>
    <w:rsid w:val="00A326D1"/>
    <w:rsid w:val="00A327AF"/>
    <w:rsid w:val="00A327F9"/>
    <w:rsid w:val="00A32911"/>
    <w:rsid w:val="00A32A13"/>
    <w:rsid w:val="00A32C08"/>
    <w:rsid w:val="00A32D8D"/>
    <w:rsid w:val="00A33103"/>
    <w:rsid w:val="00A3310C"/>
    <w:rsid w:val="00A336CA"/>
    <w:rsid w:val="00A33871"/>
    <w:rsid w:val="00A33900"/>
    <w:rsid w:val="00A33930"/>
    <w:rsid w:val="00A33A76"/>
    <w:rsid w:val="00A33C56"/>
    <w:rsid w:val="00A33D75"/>
    <w:rsid w:val="00A33EC6"/>
    <w:rsid w:val="00A33F2C"/>
    <w:rsid w:val="00A3404B"/>
    <w:rsid w:val="00A340DB"/>
    <w:rsid w:val="00A341B4"/>
    <w:rsid w:val="00A3422D"/>
    <w:rsid w:val="00A3431D"/>
    <w:rsid w:val="00A3437A"/>
    <w:rsid w:val="00A34392"/>
    <w:rsid w:val="00A34397"/>
    <w:rsid w:val="00A34550"/>
    <w:rsid w:val="00A3456E"/>
    <w:rsid w:val="00A34754"/>
    <w:rsid w:val="00A347A2"/>
    <w:rsid w:val="00A347BE"/>
    <w:rsid w:val="00A348A2"/>
    <w:rsid w:val="00A34909"/>
    <w:rsid w:val="00A35594"/>
    <w:rsid w:val="00A35745"/>
    <w:rsid w:val="00A3579A"/>
    <w:rsid w:val="00A3593B"/>
    <w:rsid w:val="00A35DCC"/>
    <w:rsid w:val="00A35F49"/>
    <w:rsid w:val="00A3600B"/>
    <w:rsid w:val="00A36050"/>
    <w:rsid w:val="00A36256"/>
    <w:rsid w:val="00A362F6"/>
    <w:rsid w:val="00A36318"/>
    <w:rsid w:val="00A3641A"/>
    <w:rsid w:val="00A364E6"/>
    <w:rsid w:val="00A36B00"/>
    <w:rsid w:val="00A36EC5"/>
    <w:rsid w:val="00A37078"/>
    <w:rsid w:val="00A37195"/>
    <w:rsid w:val="00A37414"/>
    <w:rsid w:val="00A374F3"/>
    <w:rsid w:val="00A37590"/>
    <w:rsid w:val="00A37806"/>
    <w:rsid w:val="00A3795C"/>
    <w:rsid w:val="00A37AD2"/>
    <w:rsid w:val="00A37B15"/>
    <w:rsid w:val="00A37B23"/>
    <w:rsid w:val="00A37FD7"/>
    <w:rsid w:val="00A402B7"/>
    <w:rsid w:val="00A402D7"/>
    <w:rsid w:val="00A40478"/>
    <w:rsid w:val="00A40716"/>
    <w:rsid w:val="00A408F4"/>
    <w:rsid w:val="00A40A6C"/>
    <w:rsid w:val="00A40AE5"/>
    <w:rsid w:val="00A40B1A"/>
    <w:rsid w:val="00A40FDB"/>
    <w:rsid w:val="00A41042"/>
    <w:rsid w:val="00A41232"/>
    <w:rsid w:val="00A413D8"/>
    <w:rsid w:val="00A41752"/>
    <w:rsid w:val="00A417D2"/>
    <w:rsid w:val="00A417E7"/>
    <w:rsid w:val="00A41A10"/>
    <w:rsid w:val="00A41CDA"/>
    <w:rsid w:val="00A41F8D"/>
    <w:rsid w:val="00A425DF"/>
    <w:rsid w:val="00A42807"/>
    <w:rsid w:val="00A42AA8"/>
    <w:rsid w:val="00A42AEE"/>
    <w:rsid w:val="00A42B58"/>
    <w:rsid w:val="00A42F79"/>
    <w:rsid w:val="00A4306C"/>
    <w:rsid w:val="00A430B6"/>
    <w:rsid w:val="00A43156"/>
    <w:rsid w:val="00A4332C"/>
    <w:rsid w:val="00A43397"/>
    <w:rsid w:val="00A434E5"/>
    <w:rsid w:val="00A4381B"/>
    <w:rsid w:val="00A43904"/>
    <w:rsid w:val="00A439D9"/>
    <w:rsid w:val="00A43A51"/>
    <w:rsid w:val="00A43CF9"/>
    <w:rsid w:val="00A43D2C"/>
    <w:rsid w:val="00A43FBC"/>
    <w:rsid w:val="00A4406B"/>
    <w:rsid w:val="00A440AE"/>
    <w:rsid w:val="00A4415E"/>
    <w:rsid w:val="00A44170"/>
    <w:rsid w:val="00A4432D"/>
    <w:rsid w:val="00A445E6"/>
    <w:rsid w:val="00A44659"/>
    <w:rsid w:val="00A447C7"/>
    <w:rsid w:val="00A4492E"/>
    <w:rsid w:val="00A44D02"/>
    <w:rsid w:val="00A44E24"/>
    <w:rsid w:val="00A44FAD"/>
    <w:rsid w:val="00A44FEA"/>
    <w:rsid w:val="00A4502B"/>
    <w:rsid w:val="00A452C3"/>
    <w:rsid w:val="00A452D7"/>
    <w:rsid w:val="00A454AF"/>
    <w:rsid w:val="00A45598"/>
    <w:rsid w:val="00A45608"/>
    <w:rsid w:val="00A4578E"/>
    <w:rsid w:val="00A4598A"/>
    <w:rsid w:val="00A45BB8"/>
    <w:rsid w:val="00A45EAC"/>
    <w:rsid w:val="00A45FFE"/>
    <w:rsid w:val="00A463AC"/>
    <w:rsid w:val="00A4652C"/>
    <w:rsid w:val="00A46634"/>
    <w:rsid w:val="00A46658"/>
    <w:rsid w:val="00A466AD"/>
    <w:rsid w:val="00A466DB"/>
    <w:rsid w:val="00A46943"/>
    <w:rsid w:val="00A46CFE"/>
    <w:rsid w:val="00A46DDF"/>
    <w:rsid w:val="00A47134"/>
    <w:rsid w:val="00A472CA"/>
    <w:rsid w:val="00A472DA"/>
    <w:rsid w:val="00A47740"/>
    <w:rsid w:val="00A47A78"/>
    <w:rsid w:val="00A47AC9"/>
    <w:rsid w:val="00A47AF8"/>
    <w:rsid w:val="00A47CEC"/>
    <w:rsid w:val="00A47D5D"/>
    <w:rsid w:val="00A5004F"/>
    <w:rsid w:val="00A50283"/>
    <w:rsid w:val="00A5093F"/>
    <w:rsid w:val="00A50A8A"/>
    <w:rsid w:val="00A50C0C"/>
    <w:rsid w:val="00A50D7F"/>
    <w:rsid w:val="00A50D9E"/>
    <w:rsid w:val="00A5161F"/>
    <w:rsid w:val="00A51761"/>
    <w:rsid w:val="00A5188E"/>
    <w:rsid w:val="00A51930"/>
    <w:rsid w:val="00A5196A"/>
    <w:rsid w:val="00A51986"/>
    <w:rsid w:val="00A519D9"/>
    <w:rsid w:val="00A51B29"/>
    <w:rsid w:val="00A51E97"/>
    <w:rsid w:val="00A51EB1"/>
    <w:rsid w:val="00A51FC3"/>
    <w:rsid w:val="00A51FCA"/>
    <w:rsid w:val="00A52169"/>
    <w:rsid w:val="00A52270"/>
    <w:rsid w:val="00A5232C"/>
    <w:rsid w:val="00A52887"/>
    <w:rsid w:val="00A52A38"/>
    <w:rsid w:val="00A52A3F"/>
    <w:rsid w:val="00A52C2C"/>
    <w:rsid w:val="00A52CC8"/>
    <w:rsid w:val="00A52E22"/>
    <w:rsid w:val="00A52FE5"/>
    <w:rsid w:val="00A5328D"/>
    <w:rsid w:val="00A53524"/>
    <w:rsid w:val="00A535BC"/>
    <w:rsid w:val="00A53750"/>
    <w:rsid w:val="00A53949"/>
    <w:rsid w:val="00A53A0C"/>
    <w:rsid w:val="00A53C48"/>
    <w:rsid w:val="00A53D3B"/>
    <w:rsid w:val="00A53F60"/>
    <w:rsid w:val="00A541FB"/>
    <w:rsid w:val="00A54231"/>
    <w:rsid w:val="00A54720"/>
    <w:rsid w:val="00A548BC"/>
    <w:rsid w:val="00A54AAB"/>
    <w:rsid w:val="00A54FC1"/>
    <w:rsid w:val="00A550B5"/>
    <w:rsid w:val="00A551EE"/>
    <w:rsid w:val="00A551FD"/>
    <w:rsid w:val="00A55586"/>
    <w:rsid w:val="00A555B3"/>
    <w:rsid w:val="00A55861"/>
    <w:rsid w:val="00A55A07"/>
    <w:rsid w:val="00A55DD9"/>
    <w:rsid w:val="00A55FCA"/>
    <w:rsid w:val="00A561AA"/>
    <w:rsid w:val="00A563EF"/>
    <w:rsid w:val="00A56509"/>
    <w:rsid w:val="00A565E4"/>
    <w:rsid w:val="00A5686C"/>
    <w:rsid w:val="00A5698C"/>
    <w:rsid w:val="00A56A2E"/>
    <w:rsid w:val="00A56DCF"/>
    <w:rsid w:val="00A570B7"/>
    <w:rsid w:val="00A571D0"/>
    <w:rsid w:val="00A573E6"/>
    <w:rsid w:val="00A5754D"/>
    <w:rsid w:val="00A575F5"/>
    <w:rsid w:val="00A576A5"/>
    <w:rsid w:val="00A577E8"/>
    <w:rsid w:val="00A57A3E"/>
    <w:rsid w:val="00A57BE8"/>
    <w:rsid w:val="00A57D8B"/>
    <w:rsid w:val="00A57E96"/>
    <w:rsid w:val="00A60029"/>
    <w:rsid w:val="00A600A1"/>
    <w:rsid w:val="00A6028D"/>
    <w:rsid w:val="00A6035A"/>
    <w:rsid w:val="00A603B0"/>
    <w:rsid w:val="00A6084F"/>
    <w:rsid w:val="00A608EB"/>
    <w:rsid w:val="00A60B61"/>
    <w:rsid w:val="00A60BF2"/>
    <w:rsid w:val="00A60DFB"/>
    <w:rsid w:val="00A60E98"/>
    <w:rsid w:val="00A6101A"/>
    <w:rsid w:val="00A6117A"/>
    <w:rsid w:val="00A6119E"/>
    <w:rsid w:val="00A611A8"/>
    <w:rsid w:val="00A6173D"/>
    <w:rsid w:val="00A61B2E"/>
    <w:rsid w:val="00A61B38"/>
    <w:rsid w:val="00A61E5B"/>
    <w:rsid w:val="00A61F12"/>
    <w:rsid w:val="00A62126"/>
    <w:rsid w:val="00A622DB"/>
    <w:rsid w:val="00A624E6"/>
    <w:rsid w:val="00A62511"/>
    <w:rsid w:val="00A62840"/>
    <w:rsid w:val="00A6286B"/>
    <w:rsid w:val="00A62941"/>
    <w:rsid w:val="00A62A9E"/>
    <w:rsid w:val="00A62C24"/>
    <w:rsid w:val="00A62C6D"/>
    <w:rsid w:val="00A62DE9"/>
    <w:rsid w:val="00A62F76"/>
    <w:rsid w:val="00A632B8"/>
    <w:rsid w:val="00A63396"/>
    <w:rsid w:val="00A63477"/>
    <w:rsid w:val="00A637B7"/>
    <w:rsid w:val="00A6398B"/>
    <w:rsid w:val="00A63A79"/>
    <w:rsid w:val="00A63BFD"/>
    <w:rsid w:val="00A63D01"/>
    <w:rsid w:val="00A64011"/>
    <w:rsid w:val="00A64277"/>
    <w:rsid w:val="00A6451F"/>
    <w:rsid w:val="00A646C5"/>
    <w:rsid w:val="00A6478A"/>
    <w:rsid w:val="00A647CF"/>
    <w:rsid w:val="00A64839"/>
    <w:rsid w:val="00A6488E"/>
    <w:rsid w:val="00A64A2C"/>
    <w:rsid w:val="00A64BEC"/>
    <w:rsid w:val="00A64CDA"/>
    <w:rsid w:val="00A64D8C"/>
    <w:rsid w:val="00A65076"/>
    <w:rsid w:val="00A65217"/>
    <w:rsid w:val="00A65232"/>
    <w:rsid w:val="00A6528F"/>
    <w:rsid w:val="00A65305"/>
    <w:rsid w:val="00A654A3"/>
    <w:rsid w:val="00A655A6"/>
    <w:rsid w:val="00A65854"/>
    <w:rsid w:val="00A6589F"/>
    <w:rsid w:val="00A6595C"/>
    <w:rsid w:val="00A65996"/>
    <w:rsid w:val="00A659F0"/>
    <w:rsid w:val="00A65B43"/>
    <w:rsid w:val="00A65B4A"/>
    <w:rsid w:val="00A65CD0"/>
    <w:rsid w:val="00A65D11"/>
    <w:rsid w:val="00A65DEB"/>
    <w:rsid w:val="00A662A0"/>
    <w:rsid w:val="00A665C7"/>
    <w:rsid w:val="00A667A1"/>
    <w:rsid w:val="00A667BE"/>
    <w:rsid w:val="00A66853"/>
    <w:rsid w:val="00A66933"/>
    <w:rsid w:val="00A66A89"/>
    <w:rsid w:val="00A66C8A"/>
    <w:rsid w:val="00A66CC6"/>
    <w:rsid w:val="00A66CC8"/>
    <w:rsid w:val="00A66EE7"/>
    <w:rsid w:val="00A66F50"/>
    <w:rsid w:val="00A671FF"/>
    <w:rsid w:val="00A6732B"/>
    <w:rsid w:val="00A673C8"/>
    <w:rsid w:val="00A6748F"/>
    <w:rsid w:val="00A6750A"/>
    <w:rsid w:val="00A6771D"/>
    <w:rsid w:val="00A67830"/>
    <w:rsid w:val="00A67865"/>
    <w:rsid w:val="00A6786C"/>
    <w:rsid w:val="00A67886"/>
    <w:rsid w:val="00A67BE0"/>
    <w:rsid w:val="00A67CD3"/>
    <w:rsid w:val="00A67CDD"/>
    <w:rsid w:val="00A67E6D"/>
    <w:rsid w:val="00A67F36"/>
    <w:rsid w:val="00A67FA3"/>
    <w:rsid w:val="00A70194"/>
    <w:rsid w:val="00A701A6"/>
    <w:rsid w:val="00A701CF"/>
    <w:rsid w:val="00A7042F"/>
    <w:rsid w:val="00A706D2"/>
    <w:rsid w:val="00A70A72"/>
    <w:rsid w:val="00A70B3A"/>
    <w:rsid w:val="00A70DEB"/>
    <w:rsid w:val="00A70F67"/>
    <w:rsid w:val="00A71046"/>
    <w:rsid w:val="00A710D4"/>
    <w:rsid w:val="00A7119C"/>
    <w:rsid w:val="00A71457"/>
    <w:rsid w:val="00A715E9"/>
    <w:rsid w:val="00A7171C"/>
    <w:rsid w:val="00A71956"/>
    <w:rsid w:val="00A71B18"/>
    <w:rsid w:val="00A71CB1"/>
    <w:rsid w:val="00A71E97"/>
    <w:rsid w:val="00A71E9A"/>
    <w:rsid w:val="00A7229F"/>
    <w:rsid w:val="00A72662"/>
    <w:rsid w:val="00A726EC"/>
    <w:rsid w:val="00A729D2"/>
    <w:rsid w:val="00A72B69"/>
    <w:rsid w:val="00A72BDD"/>
    <w:rsid w:val="00A72C59"/>
    <w:rsid w:val="00A72D10"/>
    <w:rsid w:val="00A7324C"/>
    <w:rsid w:val="00A73A46"/>
    <w:rsid w:val="00A73FA5"/>
    <w:rsid w:val="00A74142"/>
    <w:rsid w:val="00A741D4"/>
    <w:rsid w:val="00A74A85"/>
    <w:rsid w:val="00A74C43"/>
    <w:rsid w:val="00A74F63"/>
    <w:rsid w:val="00A75395"/>
    <w:rsid w:val="00A753DF"/>
    <w:rsid w:val="00A755EB"/>
    <w:rsid w:val="00A75A9F"/>
    <w:rsid w:val="00A75DBF"/>
    <w:rsid w:val="00A75E58"/>
    <w:rsid w:val="00A75EE2"/>
    <w:rsid w:val="00A76360"/>
    <w:rsid w:val="00A76ADB"/>
    <w:rsid w:val="00A77063"/>
    <w:rsid w:val="00A7707A"/>
    <w:rsid w:val="00A770A4"/>
    <w:rsid w:val="00A771F3"/>
    <w:rsid w:val="00A77311"/>
    <w:rsid w:val="00A77491"/>
    <w:rsid w:val="00A774A1"/>
    <w:rsid w:val="00A77722"/>
    <w:rsid w:val="00A7795F"/>
    <w:rsid w:val="00A77AEC"/>
    <w:rsid w:val="00A77BEC"/>
    <w:rsid w:val="00A77CAA"/>
    <w:rsid w:val="00A77D47"/>
    <w:rsid w:val="00A77E6E"/>
    <w:rsid w:val="00A77F7D"/>
    <w:rsid w:val="00A8003C"/>
    <w:rsid w:val="00A80131"/>
    <w:rsid w:val="00A80634"/>
    <w:rsid w:val="00A80699"/>
    <w:rsid w:val="00A8075A"/>
    <w:rsid w:val="00A809F3"/>
    <w:rsid w:val="00A80AA4"/>
    <w:rsid w:val="00A80AC6"/>
    <w:rsid w:val="00A80BEB"/>
    <w:rsid w:val="00A80C6E"/>
    <w:rsid w:val="00A80F81"/>
    <w:rsid w:val="00A80FBD"/>
    <w:rsid w:val="00A81028"/>
    <w:rsid w:val="00A81078"/>
    <w:rsid w:val="00A8125C"/>
    <w:rsid w:val="00A8126F"/>
    <w:rsid w:val="00A81419"/>
    <w:rsid w:val="00A815A5"/>
    <w:rsid w:val="00A815B2"/>
    <w:rsid w:val="00A81756"/>
    <w:rsid w:val="00A81AA6"/>
    <w:rsid w:val="00A81BE6"/>
    <w:rsid w:val="00A821D7"/>
    <w:rsid w:val="00A824DF"/>
    <w:rsid w:val="00A825E1"/>
    <w:rsid w:val="00A82726"/>
    <w:rsid w:val="00A82801"/>
    <w:rsid w:val="00A829B4"/>
    <w:rsid w:val="00A829BC"/>
    <w:rsid w:val="00A82A51"/>
    <w:rsid w:val="00A82DEE"/>
    <w:rsid w:val="00A82EF9"/>
    <w:rsid w:val="00A831F9"/>
    <w:rsid w:val="00A832B8"/>
    <w:rsid w:val="00A83492"/>
    <w:rsid w:val="00A834C2"/>
    <w:rsid w:val="00A834E8"/>
    <w:rsid w:val="00A83692"/>
    <w:rsid w:val="00A83955"/>
    <w:rsid w:val="00A839C8"/>
    <w:rsid w:val="00A839D5"/>
    <w:rsid w:val="00A839E9"/>
    <w:rsid w:val="00A83A6F"/>
    <w:rsid w:val="00A83C49"/>
    <w:rsid w:val="00A83C96"/>
    <w:rsid w:val="00A83E6E"/>
    <w:rsid w:val="00A83FE5"/>
    <w:rsid w:val="00A8410B"/>
    <w:rsid w:val="00A847EC"/>
    <w:rsid w:val="00A8485B"/>
    <w:rsid w:val="00A84C24"/>
    <w:rsid w:val="00A84C8F"/>
    <w:rsid w:val="00A851A4"/>
    <w:rsid w:val="00A851B5"/>
    <w:rsid w:val="00A853A1"/>
    <w:rsid w:val="00A85450"/>
    <w:rsid w:val="00A85CC5"/>
    <w:rsid w:val="00A85D7E"/>
    <w:rsid w:val="00A85F4F"/>
    <w:rsid w:val="00A85F9F"/>
    <w:rsid w:val="00A8607F"/>
    <w:rsid w:val="00A86151"/>
    <w:rsid w:val="00A862D3"/>
    <w:rsid w:val="00A86391"/>
    <w:rsid w:val="00A86647"/>
    <w:rsid w:val="00A86738"/>
    <w:rsid w:val="00A86823"/>
    <w:rsid w:val="00A86967"/>
    <w:rsid w:val="00A86A00"/>
    <w:rsid w:val="00A86C31"/>
    <w:rsid w:val="00A86E35"/>
    <w:rsid w:val="00A8723F"/>
    <w:rsid w:val="00A8731F"/>
    <w:rsid w:val="00A87357"/>
    <w:rsid w:val="00A8752E"/>
    <w:rsid w:val="00A87606"/>
    <w:rsid w:val="00A878AB"/>
    <w:rsid w:val="00A87CD6"/>
    <w:rsid w:val="00A87F3D"/>
    <w:rsid w:val="00A901AD"/>
    <w:rsid w:val="00A9030A"/>
    <w:rsid w:val="00A90644"/>
    <w:rsid w:val="00A90ABF"/>
    <w:rsid w:val="00A90B05"/>
    <w:rsid w:val="00A90CBE"/>
    <w:rsid w:val="00A90DEF"/>
    <w:rsid w:val="00A90F98"/>
    <w:rsid w:val="00A91024"/>
    <w:rsid w:val="00A91172"/>
    <w:rsid w:val="00A91206"/>
    <w:rsid w:val="00A913C2"/>
    <w:rsid w:val="00A91436"/>
    <w:rsid w:val="00A919B8"/>
    <w:rsid w:val="00A91A16"/>
    <w:rsid w:val="00A91B0D"/>
    <w:rsid w:val="00A91B80"/>
    <w:rsid w:val="00A91F70"/>
    <w:rsid w:val="00A92002"/>
    <w:rsid w:val="00A920C1"/>
    <w:rsid w:val="00A9211B"/>
    <w:rsid w:val="00A9229B"/>
    <w:rsid w:val="00A92486"/>
    <w:rsid w:val="00A92555"/>
    <w:rsid w:val="00A92574"/>
    <w:rsid w:val="00A929BF"/>
    <w:rsid w:val="00A92C3A"/>
    <w:rsid w:val="00A92D0D"/>
    <w:rsid w:val="00A92DF2"/>
    <w:rsid w:val="00A93001"/>
    <w:rsid w:val="00A9311A"/>
    <w:rsid w:val="00A9320C"/>
    <w:rsid w:val="00A9323F"/>
    <w:rsid w:val="00A933A8"/>
    <w:rsid w:val="00A9343A"/>
    <w:rsid w:val="00A939E9"/>
    <w:rsid w:val="00A93ADC"/>
    <w:rsid w:val="00A93D2D"/>
    <w:rsid w:val="00A945CB"/>
    <w:rsid w:val="00A94973"/>
    <w:rsid w:val="00A94A65"/>
    <w:rsid w:val="00A94CFB"/>
    <w:rsid w:val="00A94D76"/>
    <w:rsid w:val="00A94DD7"/>
    <w:rsid w:val="00A94FB0"/>
    <w:rsid w:val="00A94FE6"/>
    <w:rsid w:val="00A950B1"/>
    <w:rsid w:val="00A951A5"/>
    <w:rsid w:val="00A95425"/>
    <w:rsid w:val="00A95566"/>
    <w:rsid w:val="00A955FB"/>
    <w:rsid w:val="00A95853"/>
    <w:rsid w:val="00A958C4"/>
    <w:rsid w:val="00A958EF"/>
    <w:rsid w:val="00A95B4F"/>
    <w:rsid w:val="00A95BD9"/>
    <w:rsid w:val="00A95D0F"/>
    <w:rsid w:val="00A95EB4"/>
    <w:rsid w:val="00A965F2"/>
    <w:rsid w:val="00A965FA"/>
    <w:rsid w:val="00A9673E"/>
    <w:rsid w:val="00A9675B"/>
    <w:rsid w:val="00A96C07"/>
    <w:rsid w:val="00A96C52"/>
    <w:rsid w:val="00A96F49"/>
    <w:rsid w:val="00A97050"/>
    <w:rsid w:val="00A9755F"/>
    <w:rsid w:val="00A9773F"/>
    <w:rsid w:val="00A978B8"/>
    <w:rsid w:val="00A97936"/>
    <w:rsid w:val="00A97B8A"/>
    <w:rsid w:val="00A97D14"/>
    <w:rsid w:val="00A97F78"/>
    <w:rsid w:val="00A97F9C"/>
    <w:rsid w:val="00AA02A8"/>
    <w:rsid w:val="00AA03C6"/>
    <w:rsid w:val="00AA04FB"/>
    <w:rsid w:val="00AA0858"/>
    <w:rsid w:val="00AA0916"/>
    <w:rsid w:val="00AA0E96"/>
    <w:rsid w:val="00AA13F1"/>
    <w:rsid w:val="00AA1493"/>
    <w:rsid w:val="00AA1573"/>
    <w:rsid w:val="00AA193C"/>
    <w:rsid w:val="00AA193F"/>
    <w:rsid w:val="00AA1A8F"/>
    <w:rsid w:val="00AA1B04"/>
    <w:rsid w:val="00AA1DDB"/>
    <w:rsid w:val="00AA1EBD"/>
    <w:rsid w:val="00AA23A3"/>
    <w:rsid w:val="00AA244B"/>
    <w:rsid w:val="00AA260E"/>
    <w:rsid w:val="00AA26EB"/>
    <w:rsid w:val="00AA26F3"/>
    <w:rsid w:val="00AA2707"/>
    <w:rsid w:val="00AA2983"/>
    <w:rsid w:val="00AA2C7E"/>
    <w:rsid w:val="00AA2DAA"/>
    <w:rsid w:val="00AA2DFB"/>
    <w:rsid w:val="00AA3009"/>
    <w:rsid w:val="00AA300E"/>
    <w:rsid w:val="00AA309D"/>
    <w:rsid w:val="00AA334C"/>
    <w:rsid w:val="00AA3599"/>
    <w:rsid w:val="00AA35C6"/>
    <w:rsid w:val="00AA3682"/>
    <w:rsid w:val="00AA38C6"/>
    <w:rsid w:val="00AA3D86"/>
    <w:rsid w:val="00AA3E38"/>
    <w:rsid w:val="00AA3F70"/>
    <w:rsid w:val="00AA405C"/>
    <w:rsid w:val="00AA40BE"/>
    <w:rsid w:val="00AA4123"/>
    <w:rsid w:val="00AA4202"/>
    <w:rsid w:val="00AA44E8"/>
    <w:rsid w:val="00AA44F4"/>
    <w:rsid w:val="00AA4903"/>
    <w:rsid w:val="00AA49CF"/>
    <w:rsid w:val="00AA51DC"/>
    <w:rsid w:val="00AA5329"/>
    <w:rsid w:val="00AA5692"/>
    <w:rsid w:val="00AA59D9"/>
    <w:rsid w:val="00AA5AF5"/>
    <w:rsid w:val="00AA5C09"/>
    <w:rsid w:val="00AA6192"/>
    <w:rsid w:val="00AA61EF"/>
    <w:rsid w:val="00AA646F"/>
    <w:rsid w:val="00AA664D"/>
    <w:rsid w:val="00AA675B"/>
    <w:rsid w:val="00AA6826"/>
    <w:rsid w:val="00AA6897"/>
    <w:rsid w:val="00AA692F"/>
    <w:rsid w:val="00AA6BBC"/>
    <w:rsid w:val="00AA6D6D"/>
    <w:rsid w:val="00AA6E9B"/>
    <w:rsid w:val="00AA6F38"/>
    <w:rsid w:val="00AA7055"/>
    <w:rsid w:val="00AA70E3"/>
    <w:rsid w:val="00AA720C"/>
    <w:rsid w:val="00AA7277"/>
    <w:rsid w:val="00AA72CF"/>
    <w:rsid w:val="00AA7877"/>
    <w:rsid w:val="00AA78AB"/>
    <w:rsid w:val="00AA7D6D"/>
    <w:rsid w:val="00AB0156"/>
    <w:rsid w:val="00AB045C"/>
    <w:rsid w:val="00AB06A9"/>
    <w:rsid w:val="00AB06FC"/>
    <w:rsid w:val="00AB0F8B"/>
    <w:rsid w:val="00AB1351"/>
    <w:rsid w:val="00AB16D9"/>
    <w:rsid w:val="00AB1923"/>
    <w:rsid w:val="00AB1924"/>
    <w:rsid w:val="00AB19CB"/>
    <w:rsid w:val="00AB1A10"/>
    <w:rsid w:val="00AB1B02"/>
    <w:rsid w:val="00AB1BAF"/>
    <w:rsid w:val="00AB1CC0"/>
    <w:rsid w:val="00AB213E"/>
    <w:rsid w:val="00AB2192"/>
    <w:rsid w:val="00AB21F7"/>
    <w:rsid w:val="00AB23C2"/>
    <w:rsid w:val="00AB23CB"/>
    <w:rsid w:val="00AB240E"/>
    <w:rsid w:val="00AB2498"/>
    <w:rsid w:val="00AB269F"/>
    <w:rsid w:val="00AB2B48"/>
    <w:rsid w:val="00AB2E6C"/>
    <w:rsid w:val="00AB2EE1"/>
    <w:rsid w:val="00AB2F37"/>
    <w:rsid w:val="00AB2F46"/>
    <w:rsid w:val="00AB3077"/>
    <w:rsid w:val="00AB3096"/>
    <w:rsid w:val="00AB30EB"/>
    <w:rsid w:val="00AB317A"/>
    <w:rsid w:val="00AB31AB"/>
    <w:rsid w:val="00AB3392"/>
    <w:rsid w:val="00AB3616"/>
    <w:rsid w:val="00AB3764"/>
    <w:rsid w:val="00AB38AB"/>
    <w:rsid w:val="00AB38BF"/>
    <w:rsid w:val="00AB3923"/>
    <w:rsid w:val="00AB3C03"/>
    <w:rsid w:val="00AB3D0B"/>
    <w:rsid w:val="00AB3E7B"/>
    <w:rsid w:val="00AB41BD"/>
    <w:rsid w:val="00AB42A4"/>
    <w:rsid w:val="00AB42EB"/>
    <w:rsid w:val="00AB4601"/>
    <w:rsid w:val="00AB4808"/>
    <w:rsid w:val="00AB4A62"/>
    <w:rsid w:val="00AB4ABA"/>
    <w:rsid w:val="00AB4D1F"/>
    <w:rsid w:val="00AB4DA0"/>
    <w:rsid w:val="00AB4E88"/>
    <w:rsid w:val="00AB502C"/>
    <w:rsid w:val="00AB53D4"/>
    <w:rsid w:val="00AB541B"/>
    <w:rsid w:val="00AB5477"/>
    <w:rsid w:val="00AB55AF"/>
    <w:rsid w:val="00AB560D"/>
    <w:rsid w:val="00AB5A46"/>
    <w:rsid w:val="00AB5B10"/>
    <w:rsid w:val="00AB5B44"/>
    <w:rsid w:val="00AB5C16"/>
    <w:rsid w:val="00AB5CE0"/>
    <w:rsid w:val="00AB5DD6"/>
    <w:rsid w:val="00AB5EB3"/>
    <w:rsid w:val="00AB61CE"/>
    <w:rsid w:val="00AB6898"/>
    <w:rsid w:val="00AB699C"/>
    <w:rsid w:val="00AB69D5"/>
    <w:rsid w:val="00AB6B96"/>
    <w:rsid w:val="00AB6D96"/>
    <w:rsid w:val="00AB6E24"/>
    <w:rsid w:val="00AB6F8D"/>
    <w:rsid w:val="00AB6FF2"/>
    <w:rsid w:val="00AB704D"/>
    <w:rsid w:val="00AB70CB"/>
    <w:rsid w:val="00AB70F5"/>
    <w:rsid w:val="00AB70F8"/>
    <w:rsid w:val="00AB74B0"/>
    <w:rsid w:val="00AB76B4"/>
    <w:rsid w:val="00AB779B"/>
    <w:rsid w:val="00AB7C89"/>
    <w:rsid w:val="00AB7D58"/>
    <w:rsid w:val="00AB7DE9"/>
    <w:rsid w:val="00AB7E96"/>
    <w:rsid w:val="00AC029D"/>
    <w:rsid w:val="00AC0338"/>
    <w:rsid w:val="00AC0341"/>
    <w:rsid w:val="00AC0438"/>
    <w:rsid w:val="00AC04B9"/>
    <w:rsid w:val="00AC069E"/>
    <w:rsid w:val="00AC06FD"/>
    <w:rsid w:val="00AC08B3"/>
    <w:rsid w:val="00AC0B95"/>
    <w:rsid w:val="00AC0F39"/>
    <w:rsid w:val="00AC10B0"/>
    <w:rsid w:val="00AC10EA"/>
    <w:rsid w:val="00AC154A"/>
    <w:rsid w:val="00AC155C"/>
    <w:rsid w:val="00AC16D6"/>
    <w:rsid w:val="00AC1781"/>
    <w:rsid w:val="00AC1878"/>
    <w:rsid w:val="00AC18F4"/>
    <w:rsid w:val="00AC1E4E"/>
    <w:rsid w:val="00AC21C0"/>
    <w:rsid w:val="00AC23D9"/>
    <w:rsid w:val="00AC2890"/>
    <w:rsid w:val="00AC3053"/>
    <w:rsid w:val="00AC30AC"/>
    <w:rsid w:val="00AC30D6"/>
    <w:rsid w:val="00AC31AE"/>
    <w:rsid w:val="00AC321B"/>
    <w:rsid w:val="00AC3240"/>
    <w:rsid w:val="00AC3276"/>
    <w:rsid w:val="00AC3287"/>
    <w:rsid w:val="00AC32BB"/>
    <w:rsid w:val="00AC32EC"/>
    <w:rsid w:val="00AC331C"/>
    <w:rsid w:val="00AC33E9"/>
    <w:rsid w:val="00AC3495"/>
    <w:rsid w:val="00AC38C1"/>
    <w:rsid w:val="00AC393F"/>
    <w:rsid w:val="00AC3C71"/>
    <w:rsid w:val="00AC3D93"/>
    <w:rsid w:val="00AC3F7D"/>
    <w:rsid w:val="00AC4166"/>
    <w:rsid w:val="00AC4485"/>
    <w:rsid w:val="00AC47F6"/>
    <w:rsid w:val="00AC4832"/>
    <w:rsid w:val="00AC48E9"/>
    <w:rsid w:val="00AC4932"/>
    <w:rsid w:val="00AC4A3C"/>
    <w:rsid w:val="00AC4C1D"/>
    <w:rsid w:val="00AC5193"/>
    <w:rsid w:val="00AC5295"/>
    <w:rsid w:val="00AC5320"/>
    <w:rsid w:val="00AC54FE"/>
    <w:rsid w:val="00AC5960"/>
    <w:rsid w:val="00AC5981"/>
    <w:rsid w:val="00AC5A44"/>
    <w:rsid w:val="00AC5A91"/>
    <w:rsid w:val="00AC5B46"/>
    <w:rsid w:val="00AC5B92"/>
    <w:rsid w:val="00AC5D1C"/>
    <w:rsid w:val="00AC5DD0"/>
    <w:rsid w:val="00AC5F84"/>
    <w:rsid w:val="00AC6165"/>
    <w:rsid w:val="00AC6188"/>
    <w:rsid w:val="00AC6258"/>
    <w:rsid w:val="00AC6369"/>
    <w:rsid w:val="00AC64FC"/>
    <w:rsid w:val="00AC65E4"/>
    <w:rsid w:val="00AC668B"/>
    <w:rsid w:val="00AC6829"/>
    <w:rsid w:val="00AC6C6C"/>
    <w:rsid w:val="00AC6D5C"/>
    <w:rsid w:val="00AC6ED6"/>
    <w:rsid w:val="00AC6F4C"/>
    <w:rsid w:val="00AC6FE9"/>
    <w:rsid w:val="00AC7168"/>
    <w:rsid w:val="00AC7194"/>
    <w:rsid w:val="00AC71F7"/>
    <w:rsid w:val="00AC73BF"/>
    <w:rsid w:val="00AC75DE"/>
    <w:rsid w:val="00AC7705"/>
    <w:rsid w:val="00AC78E1"/>
    <w:rsid w:val="00AC7A6C"/>
    <w:rsid w:val="00AC7D8D"/>
    <w:rsid w:val="00AD0015"/>
    <w:rsid w:val="00AD012C"/>
    <w:rsid w:val="00AD04E6"/>
    <w:rsid w:val="00AD0534"/>
    <w:rsid w:val="00AD05F8"/>
    <w:rsid w:val="00AD10AA"/>
    <w:rsid w:val="00AD114C"/>
    <w:rsid w:val="00AD117C"/>
    <w:rsid w:val="00AD12C2"/>
    <w:rsid w:val="00AD1321"/>
    <w:rsid w:val="00AD155F"/>
    <w:rsid w:val="00AD1588"/>
    <w:rsid w:val="00AD1609"/>
    <w:rsid w:val="00AD1A88"/>
    <w:rsid w:val="00AD1C13"/>
    <w:rsid w:val="00AD1D6A"/>
    <w:rsid w:val="00AD1F3B"/>
    <w:rsid w:val="00AD1F40"/>
    <w:rsid w:val="00AD2004"/>
    <w:rsid w:val="00AD2061"/>
    <w:rsid w:val="00AD22DD"/>
    <w:rsid w:val="00AD2759"/>
    <w:rsid w:val="00AD297C"/>
    <w:rsid w:val="00AD2D64"/>
    <w:rsid w:val="00AD2E6F"/>
    <w:rsid w:val="00AD2FA6"/>
    <w:rsid w:val="00AD2FF0"/>
    <w:rsid w:val="00AD30E0"/>
    <w:rsid w:val="00AD37AA"/>
    <w:rsid w:val="00AD37FA"/>
    <w:rsid w:val="00AD3AF7"/>
    <w:rsid w:val="00AD3B0A"/>
    <w:rsid w:val="00AD3D4D"/>
    <w:rsid w:val="00AD3E7A"/>
    <w:rsid w:val="00AD3EE7"/>
    <w:rsid w:val="00AD4056"/>
    <w:rsid w:val="00AD427D"/>
    <w:rsid w:val="00AD42D5"/>
    <w:rsid w:val="00AD48A0"/>
    <w:rsid w:val="00AD4BBD"/>
    <w:rsid w:val="00AD4E38"/>
    <w:rsid w:val="00AD4F50"/>
    <w:rsid w:val="00AD5029"/>
    <w:rsid w:val="00AD51C0"/>
    <w:rsid w:val="00AD5228"/>
    <w:rsid w:val="00AD5488"/>
    <w:rsid w:val="00AD5AF0"/>
    <w:rsid w:val="00AD5D23"/>
    <w:rsid w:val="00AD5E98"/>
    <w:rsid w:val="00AD5F15"/>
    <w:rsid w:val="00AD6129"/>
    <w:rsid w:val="00AD6299"/>
    <w:rsid w:val="00AD64C2"/>
    <w:rsid w:val="00AD64FD"/>
    <w:rsid w:val="00AD6A26"/>
    <w:rsid w:val="00AD6AEF"/>
    <w:rsid w:val="00AD6BAE"/>
    <w:rsid w:val="00AD6D5A"/>
    <w:rsid w:val="00AD6D7A"/>
    <w:rsid w:val="00AD6E9E"/>
    <w:rsid w:val="00AD6ED5"/>
    <w:rsid w:val="00AD6F23"/>
    <w:rsid w:val="00AD6F33"/>
    <w:rsid w:val="00AD71E8"/>
    <w:rsid w:val="00AD72A3"/>
    <w:rsid w:val="00AD7300"/>
    <w:rsid w:val="00AD7325"/>
    <w:rsid w:val="00AD73F2"/>
    <w:rsid w:val="00AD76C9"/>
    <w:rsid w:val="00AD779C"/>
    <w:rsid w:val="00AD787E"/>
    <w:rsid w:val="00AD788D"/>
    <w:rsid w:val="00AD7A2F"/>
    <w:rsid w:val="00AD7ABD"/>
    <w:rsid w:val="00AD7C4C"/>
    <w:rsid w:val="00AD7CA0"/>
    <w:rsid w:val="00AD7CBF"/>
    <w:rsid w:val="00AD7FBE"/>
    <w:rsid w:val="00AE004D"/>
    <w:rsid w:val="00AE0104"/>
    <w:rsid w:val="00AE0502"/>
    <w:rsid w:val="00AE0789"/>
    <w:rsid w:val="00AE078A"/>
    <w:rsid w:val="00AE078C"/>
    <w:rsid w:val="00AE089F"/>
    <w:rsid w:val="00AE0BDC"/>
    <w:rsid w:val="00AE162E"/>
    <w:rsid w:val="00AE17BD"/>
    <w:rsid w:val="00AE17EA"/>
    <w:rsid w:val="00AE18D0"/>
    <w:rsid w:val="00AE1BC6"/>
    <w:rsid w:val="00AE1DA7"/>
    <w:rsid w:val="00AE1EC4"/>
    <w:rsid w:val="00AE1EC9"/>
    <w:rsid w:val="00AE1EFD"/>
    <w:rsid w:val="00AE1FF8"/>
    <w:rsid w:val="00AE2015"/>
    <w:rsid w:val="00AE243A"/>
    <w:rsid w:val="00AE271F"/>
    <w:rsid w:val="00AE28BD"/>
    <w:rsid w:val="00AE2A38"/>
    <w:rsid w:val="00AE2B1B"/>
    <w:rsid w:val="00AE2B74"/>
    <w:rsid w:val="00AE2C57"/>
    <w:rsid w:val="00AE2DA1"/>
    <w:rsid w:val="00AE2E12"/>
    <w:rsid w:val="00AE2E56"/>
    <w:rsid w:val="00AE2F55"/>
    <w:rsid w:val="00AE2F95"/>
    <w:rsid w:val="00AE3025"/>
    <w:rsid w:val="00AE3148"/>
    <w:rsid w:val="00AE3237"/>
    <w:rsid w:val="00AE3449"/>
    <w:rsid w:val="00AE3826"/>
    <w:rsid w:val="00AE3ABB"/>
    <w:rsid w:val="00AE3ADA"/>
    <w:rsid w:val="00AE3AEF"/>
    <w:rsid w:val="00AE3B04"/>
    <w:rsid w:val="00AE3D85"/>
    <w:rsid w:val="00AE3E9E"/>
    <w:rsid w:val="00AE404B"/>
    <w:rsid w:val="00AE4229"/>
    <w:rsid w:val="00AE44B7"/>
    <w:rsid w:val="00AE46C5"/>
    <w:rsid w:val="00AE46E3"/>
    <w:rsid w:val="00AE48AF"/>
    <w:rsid w:val="00AE4B31"/>
    <w:rsid w:val="00AE4B39"/>
    <w:rsid w:val="00AE4B50"/>
    <w:rsid w:val="00AE4C1D"/>
    <w:rsid w:val="00AE4C3A"/>
    <w:rsid w:val="00AE4C41"/>
    <w:rsid w:val="00AE4D45"/>
    <w:rsid w:val="00AE4F00"/>
    <w:rsid w:val="00AE5096"/>
    <w:rsid w:val="00AE5153"/>
    <w:rsid w:val="00AE5198"/>
    <w:rsid w:val="00AE51A0"/>
    <w:rsid w:val="00AE537F"/>
    <w:rsid w:val="00AE53F4"/>
    <w:rsid w:val="00AE53F7"/>
    <w:rsid w:val="00AE5513"/>
    <w:rsid w:val="00AE55AF"/>
    <w:rsid w:val="00AE563C"/>
    <w:rsid w:val="00AE571F"/>
    <w:rsid w:val="00AE59E2"/>
    <w:rsid w:val="00AE5A0E"/>
    <w:rsid w:val="00AE5B7D"/>
    <w:rsid w:val="00AE5EEF"/>
    <w:rsid w:val="00AE5F25"/>
    <w:rsid w:val="00AE6031"/>
    <w:rsid w:val="00AE622A"/>
    <w:rsid w:val="00AE630C"/>
    <w:rsid w:val="00AE6545"/>
    <w:rsid w:val="00AE6629"/>
    <w:rsid w:val="00AE662A"/>
    <w:rsid w:val="00AE6698"/>
    <w:rsid w:val="00AE6B95"/>
    <w:rsid w:val="00AE6C1E"/>
    <w:rsid w:val="00AE6D1C"/>
    <w:rsid w:val="00AE6E25"/>
    <w:rsid w:val="00AE6E31"/>
    <w:rsid w:val="00AE6EF0"/>
    <w:rsid w:val="00AE6F22"/>
    <w:rsid w:val="00AE70AE"/>
    <w:rsid w:val="00AE7467"/>
    <w:rsid w:val="00AE75FE"/>
    <w:rsid w:val="00AE7A40"/>
    <w:rsid w:val="00AE7A50"/>
    <w:rsid w:val="00AE7A90"/>
    <w:rsid w:val="00AE7AE9"/>
    <w:rsid w:val="00AE7EB9"/>
    <w:rsid w:val="00AE7F7C"/>
    <w:rsid w:val="00AF022E"/>
    <w:rsid w:val="00AF03CE"/>
    <w:rsid w:val="00AF0493"/>
    <w:rsid w:val="00AF04AD"/>
    <w:rsid w:val="00AF07D0"/>
    <w:rsid w:val="00AF07EE"/>
    <w:rsid w:val="00AF0899"/>
    <w:rsid w:val="00AF0B29"/>
    <w:rsid w:val="00AF0F61"/>
    <w:rsid w:val="00AF116C"/>
    <w:rsid w:val="00AF125C"/>
    <w:rsid w:val="00AF14B8"/>
    <w:rsid w:val="00AF1531"/>
    <w:rsid w:val="00AF1B44"/>
    <w:rsid w:val="00AF1B6C"/>
    <w:rsid w:val="00AF1C93"/>
    <w:rsid w:val="00AF1D7D"/>
    <w:rsid w:val="00AF1D8E"/>
    <w:rsid w:val="00AF1E4F"/>
    <w:rsid w:val="00AF1EAD"/>
    <w:rsid w:val="00AF1EF4"/>
    <w:rsid w:val="00AF214F"/>
    <w:rsid w:val="00AF2188"/>
    <w:rsid w:val="00AF2190"/>
    <w:rsid w:val="00AF21B2"/>
    <w:rsid w:val="00AF2206"/>
    <w:rsid w:val="00AF291B"/>
    <w:rsid w:val="00AF2946"/>
    <w:rsid w:val="00AF2C34"/>
    <w:rsid w:val="00AF2C7B"/>
    <w:rsid w:val="00AF2F8F"/>
    <w:rsid w:val="00AF2FB3"/>
    <w:rsid w:val="00AF306B"/>
    <w:rsid w:val="00AF30E1"/>
    <w:rsid w:val="00AF339A"/>
    <w:rsid w:val="00AF353C"/>
    <w:rsid w:val="00AF3589"/>
    <w:rsid w:val="00AF35A2"/>
    <w:rsid w:val="00AF35AD"/>
    <w:rsid w:val="00AF36B6"/>
    <w:rsid w:val="00AF3722"/>
    <w:rsid w:val="00AF3917"/>
    <w:rsid w:val="00AF3A91"/>
    <w:rsid w:val="00AF3E2E"/>
    <w:rsid w:val="00AF407E"/>
    <w:rsid w:val="00AF42F9"/>
    <w:rsid w:val="00AF4311"/>
    <w:rsid w:val="00AF432F"/>
    <w:rsid w:val="00AF433A"/>
    <w:rsid w:val="00AF43EA"/>
    <w:rsid w:val="00AF4436"/>
    <w:rsid w:val="00AF44D4"/>
    <w:rsid w:val="00AF45A7"/>
    <w:rsid w:val="00AF4672"/>
    <w:rsid w:val="00AF4691"/>
    <w:rsid w:val="00AF477C"/>
    <w:rsid w:val="00AF4DFE"/>
    <w:rsid w:val="00AF4FD9"/>
    <w:rsid w:val="00AF5085"/>
    <w:rsid w:val="00AF50B6"/>
    <w:rsid w:val="00AF528C"/>
    <w:rsid w:val="00AF542B"/>
    <w:rsid w:val="00AF58EC"/>
    <w:rsid w:val="00AF58F3"/>
    <w:rsid w:val="00AF5B64"/>
    <w:rsid w:val="00AF5CE1"/>
    <w:rsid w:val="00AF5F4B"/>
    <w:rsid w:val="00AF6062"/>
    <w:rsid w:val="00AF61FE"/>
    <w:rsid w:val="00AF632D"/>
    <w:rsid w:val="00AF63D7"/>
    <w:rsid w:val="00AF6765"/>
    <w:rsid w:val="00AF67A4"/>
    <w:rsid w:val="00AF6DD5"/>
    <w:rsid w:val="00AF6EEE"/>
    <w:rsid w:val="00AF6F40"/>
    <w:rsid w:val="00AF6FCE"/>
    <w:rsid w:val="00AF70E0"/>
    <w:rsid w:val="00AF7166"/>
    <w:rsid w:val="00AF7214"/>
    <w:rsid w:val="00AF7372"/>
    <w:rsid w:val="00AF76AC"/>
    <w:rsid w:val="00AF7B56"/>
    <w:rsid w:val="00AF7C83"/>
    <w:rsid w:val="00AF7DCB"/>
    <w:rsid w:val="00AF7E18"/>
    <w:rsid w:val="00AF7E9E"/>
    <w:rsid w:val="00B00066"/>
    <w:rsid w:val="00B00280"/>
    <w:rsid w:val="00B00281"/>
    <w:rsid w:val="00B0038B"/>
    <w:rsid w:val="00B005FE"/>
    <w:rsid w:val="00B00A8B"/>
    <w:rsid w:val="00B00B2D"/>
    <w:rsid w:val="00B00B5D"/>
    <w:rsid w:val="00B00BF2"/>
    <w:rsid w:val="00B0100D"/>
    <w:rsid w:val="00B0101F"/>
    <w:rsid w:val="00B01099"/>
    <w:rsid w:val="00B01172"/>
    <w:rsid w:val="00B01210"/>
    <w:rsid w:val="00B012DB"/>
    <w:rsid w:val="00B0158A"/>
    <w:rsid w:val="00B015B8"/>
    <w:rsid w:val="00B01A98"/>
    <w:rsid w:val="00B01B62"/>
    <w:rsid w:val="00B01BE4"/>
    <w:rsid w:val="00B01C0B"/>
    <w:rsid w:val="00B01FB0"/>
    <w:rsid w:val="00B02058"/>
    <w:rsid w:val="00B02144"/>
    <w:rsid w:val="00B02191"/>
    <w:rsid w:val="00B022E6"/>
    <w:rsid w:val="00B02342"/>
    <w:rsid w:val="00B024A9"/>
    <w:rsid w:val="00B02946"/>
    <w:rsid w:val="00B02CD2"/>
    <w:rsid w:val="00B02DEC"/>
    <w:rsid w:val="00B02F19"/>
    <w:rsid w:val="00B03266"/>
    <w:rsid w:val="00B032BD"/>
    <w:rsid w:val="00B03366"/>
    <w:rsid w:val="00B03396"/>
    <w:rsid w:val="00B033DF"/>
    <w:rsid w:val="00B034A0"/>
    <w:rsid w:val="00B0359E"/>
    <w:rsid w:val="00B03960"/>
    <w:rsid w:val="00B03B8D"/>
    <w:rsid w:val="00B03D71"/>
    <w:rsid w:val="00B03DB0"/>
    <w:rsid w:val="00B03EA0"/>
    <w:rsid w:val="00B03FFB"/>
    <w:rsid w:val="00B040C9"/>
    <w:rsid w:val="00B0448D"/>
    <w:rsid w:val="00B046A5"/>
    <w:rsid w:val="00B047B2"/>
    <w:rsid w:val="00B047CB"/>
    <w:rsid w:val="00B04994"/>
    <w:rsid w:val="00B04A1B"/>
    <w:rsid w:val="00B04C20"/>
    <w:rsid w:val="00B04C94"/>
    <w:rsid w:val="00B04D4E"/>
    <w:rsid w:val="00B04F82"/>
    <w:rsid w:val="00B05018"/>
    <w:rsid w:val="00B05027"/>
    <w:rsid w:val="00B051DF"/>
    <w:rsid w:val="00B05284"/>
    <w:rsid w:val="00B053C3"/>
    <w:rsid w:val="00B054BD"/>
    <w:rsid w:val="00B055A0"/>
    <w:rsid w:val="00B0566D"/>
    <w:rsid w:val="00B0582B"/>
    <w:rsid w:val="00B05B3F"/>
    <w:rsid w:val="00B05E4B"/>
    <w:rsid w:val="00B05F59"/>
    <w:rsid w:val="00B060D6"/>
    <w:rsid w:val="00B0667A"/>
    <w:rsid w:val="00B066A8"/>
    <w:rsid w:val="00B0672C"/>
    <w:rsid w:val="00B06B46"/>
    <w:rsid w:val="00B06F05"/>
    <w:rsid w:val="00B07209"/>
    <w:rsid w:val="00B07247"/>
    <w:rsid w:val="00B074D7"/>
    <w:rsid w:val="00B075B7"/>
    <w:rsid w:val="00B0785B"/>
    <w:rsid w:val="00B07AC2"/>
    <w:rsid w:val="00B07BD3"/>
    <w:rsid w:val="00B07DE0"/>
    <w:rsid w:val="00B07E42"/>
    <w:rsid w:val="00B07F7E"/>
    <w:rsid w:val="00B10199"/>
    <w:rsid w:val="00B10384"/>
    <w:rsid w:val="00B10573"/>
    <w:rsid w:val="00B1090E"/>
    <w:rsid w:val="00B109A4"/>
    <w:rsid w:val="00B10A58"/>
    <w:rsid w:val="00B10E13"/>
    <w:rsid w:val="00B10E4C"/>
    <w:rsid w:val="00B11149"/>
    <w:rsid w:val="00B111AD"/>
    <w:rsid w:val="00B11201"/>
    <w:rsid w:val="00B113EA"/>
    <w:rsid w:val="00B1149A"/>
    <w:rsid w:val="00B11815"/>
    <w:rsid w:val="00B1183D"/>
    <w:rsid w:val="00B1186C"/>
    <w:rsid w:val="00B11A8E"/>
    <w:rsid w:val="00B11CB6"/>
    <w:rsid w:val="00B11ED2"/>
    <w:rsid w:val="00B120B1"/>
    <w:rsid w:val="00B120FD"/>
    <w:rsid w:val="00B121BA"/>
    <w:rsid w:val="00B121BE"/>
    <w:rsid w:val="00B1227E"/>
    <w:rsid w:val="00B124B7"/>
    <w:rsid w:val="00B124E4"/>
    <w:rsid w:val="00B126E9"/>
    <w:rsid w:val="00B12814"/>
    <w:rsid w:val="00B12944"/>
    <w:rsid w:val="00B12A64"/>
    <w:rsid w:val="00B12A8D"/>
    <w:rsid w:val="00B12AEE"/>
    <w:rsid w:val="00B12C6D"/>
    <w:rsid w:val="00B12CBC"/>
    <w:rsid w:val="00B12D25"/>
    <w:rsid w:val="00B130F3"/>
    <w:rsid w:val="00B13349"/>
    <w:rsid w:val="00B134BB"/>
    <w:rsid w:val="00B13719"/>
    <w:rsid w:val="00B13766"/>
    <w:rsid w:val="00B1378D"/>
    <w:rsid w:val="00B13A7E"/>
    <w:rsid w:val="00B13AB4"/>
    <w:rsid w:val="00B13BFC"/>
    <w:rsid w:val="00B13C1B"/>
    <w:rsid w:val="00B13FB1"/>
    <w:rsid w:val="00B1402A"/>
    <w:rsid w:val="00B1420D"/>
    <w:rsid w:val="00B14C35"/>
    <w:rsid w:val="00B14FA9"/>
    <w:rsid w:val="00B15367"/>
    <w:rsid w:val="00B15489"/>
    <w:rsid w:val="00B15491"/>
    <w:rsid w:val="00B15716"/>
    <w:rsid w:val="00B157FC"/>
    <w:rsid w:val="00B15853"/>
    <w:rsid w:val="00B1592C"/>
    <w:rsid w:val="00B159CE"/>
    <w:rsid w:val="00B15AE0"/>
    <w:rsid w:val="00B15B5A"/>
    <w:rsid w:val="00B15C5B"/>
    <w:rsid w:val="00B15CC4"/>
    <w:rsid w:val="00B15D16"/>
    <w:rsid w:val="00B15F40"/>
    <w:rsid w:val="00B15F9F"/>
    <w:rsid w:val="00B1600A"/>
    <w:rsid w:val="00B160E0"/>
    <w:rsid w:val="00B161C8"/>
    <w:rsid w:val="00B16C01"/>
    <w:rsid w:val="00B16FC3"/>
    <w:rsid w:val="00B1712C"/>
    <w:rsid w:val="00B1713E"/>
    <w:rsid w:val="00B1725D"/>
    <w:rsid w:val="00B172F3"/>
    <w:rsid w:val="00B17311"/>
    <w:rsid w:val="00B174B1"/>
    <w:rsid w:val="00B1774B"/>
    <w:rsid w:val="00B17804"/>
    <w:rsid w:val="00B1796A"/>
    <w:rsid w:val="00B1798A"/>
    <w:rsid w:val="00B17A69"/>
    <w:rsid w:val="00B17CD4"/>
    <w:rsid w:val="00B17F0D"/>
    <w:rsid w:val="00B20052"/>
    <w:rsid w:val="00B2026B"/>
    <w:rsid w:val="00B20355"/>
    <w:rsid w:val="00B20568"/>
    <w:rsid w:val="00B20885"/>
    <w:rsid w:val="00B20A95"/>
    <w:rsid w:val="00B21147"/>
    <w:rsid w:val="00B2116F"/>
    <w:rsid w:val="00B2119F"/>
    <w:rsid w:val="00B211C1"/>
    <w:rsid w:val="00B21343"/>
    <w:rsid w:val="00B213BD"/>
    <w:rsid w:val="00B2160A"/>
    <w:rsid w:val="00B217B6"/>
    <w:rsid w:val="00B21829"/>
    <w:rsid w:val="00B21FC8"/>
    <w:rsid w:val="00B220AB"/>
    <w:rsid w:val="00B220B0"/>
    <w:rsid w:val="00B220F3"/>
    <w:rsid w:val="00B2221E"/>
    <w:rsid w:val="00B2242C"/>
    <w:rsid w:val="00B22484"/>
    <w:rsid w:val="00B22608"/>
    <w:rsid w:val="00B22698"/>
    <w:rsid w:val="00B2287A"/>
    <w:rsid w:val="00B22A01"/>
    <w:rsid w:val="00B22C45"/>
    <w:rsid w:val="00B22C52"/>
    <w:rsid w:val="00B23033"/>
    <w:rsid w:val="00B230ED"/>
    <w:rsid w:val="00B233D5"/>
    <w:rsid w:val="00B2344C"/>
    <w:rsid w:val="00B23476"/>
    <w:rsid w:val="00B23587"/>
    <w:rsid w:val="00B238A3"/>
    <w:rsid w:val="00B23A92"/>
    <w:rsid w:val="00B23BEC"/>
    <w:rsid w:val="00B23C43"/>
    <w:rsid w:val="00B23E85"/>
    <w:rsid w:val="00B240EB"/>
    <w:rsid w:val="00B242A0"/>
    <w:rsid w:val="00B243B8"/>
    <w:rsid w:val="00B249DF"/>
    <w:rsid w:val="00B24BBD"/>
    <w:rsid w:val="00B24F05"/>
    <w:rsid w:val="00B25065"/>
    <w:rsid w:val="00B25282"/>
    <w:rsid w:val="00B2533E"/>
    <w:rsid w:val="00B25567"/>
    <w:rsid w:val="00B2559C"/>
    <w:rsid w:val="00B25833"/>
    <w:rsid w:val="00B25A38"/>
    <w:rsid w:val="00B25A42"/>
    <w:rsid w:val="00B25BFF"/>
    <w:rsid w:val="00B25D12"/>
    <w:rsid w:val="00B25D4C"/>
    <w:rsid w:val="00B25E14"/>
    <w:rsid w:val="00B25EA3"/>
    <w:rsid w:val="00B26388"/>
    <w:rsid w:val="00B264A1"/>
    <w:rsid w:val="00B26745"/>
    <w:rsid w:val="00B2686C"/>
    <w:rsid w:val="00B26ABA"/>
    <w:rsid w:val="00B26B05"/>
    <w:rsid w:val="00B26B49"/>
    <w:rsid w:val="00B26C85"/>
    <w:rsid w:val="00B26E4B"/>
    <w:rsid w:val="00B26E58"/>
    <w:rsid w:val="00B26E63"/>
    <w:rsid w:val="00B27012"/>
    <w:rsid w:val="00B270BF"/>
    <w:rsid w:val="00B270F7"/>
    <w:rsid w:val="00B27121"/>
    <w:rsid w:val="00B27504"/>
    <w:rsid w:val="00B27526"/>
    <w:rsid w:val="00B276CB"/>
    <w:rsid w:val="00B27766"/>
    <w:rsid w:val="00B2776E"/>
    <w:rsid w:val="00B27976"/>
    <w:rsid w:val="00B27BF9"/>
    <w:rsid w:val="00B27E7A"/>
    <w:rsid w:val="00B27EC2"/>
    <w:rsid w:val="00B27F73"/>
    <w:rsid w:val="00B300EF"/>
    <w:rsid w:val="00B30288"/>
    <w:rsid w:val="00B30348"/>
    <w:rsid w:val="00B3060B"/>
    <w:rsid w:val="00B306BA"/>
    <w:rsid w:val="00B30708"/>
    <w:rsid w:val="00B30806"/>
    <w:rsid w:val="00B308FB"/>
    <w:rsid w:val="00B30AAA"/>
    <w:rsid w:val="00B30ADD"/>
    <w:rsid w:val="00B30D16"/>
    <w:rsid w:val="00B30E17"/>
    <w:rsid w:val="00B30FA8"/>
    <w:rsid w:val="00B3112D"/>
    <w:rsid w:val="00B31758"/>
    <w:rsid w:val="00B31807"/>
    <w:rsid w:val="00B3186F"/>
    <w:rsid w:val="00B31AFA"/>
    <w:rsid w:val="00B31B5B"/>
    <w:rsid w:val="00B31DF4"/>
    <w:rsid w:val="00B32011"/>
    <w:rsid w:val="00B32058"/>
    <w:rsid w:val="00B3212B"/>
    <w:rsid w:val="00B3257E"/>
    <w:rsid w:val="00B327B5"/>
    <w:rsid w:val="00B328A7"/>
    <w:rsid w:val="00B328B6"/>
    <w:rsid w:val="00B328DB"/>
    <w:rsid w:val="00B32CDE"/>
    <w:rsid w:val="00B3307C"/>
    <w:rsid w:val="00B330A5"/>
    <w:rsid w:val="00B33123"/>
    <w:rsid w:val="00B33365"/>
    <w:rsid w:val="00B3346C"/>
    <w:rsid w:val="00B334A2"/>
    <w:rsid w:val="00B3355C"/>
    <w:rsid w:val="00B336DD"/>
    <w:rsid w:val="00B338EF"/>
    <w:rsid w:val="00B33B79"/>
    <w:rsid w:val="00B33B91"/>
    <w:rsid w:val="00B33CD8"/>
    <w:rsid w:val="00B33D9E"/>
    <w:rsid w:val="00B33F9D"/>
    <w:rsid w:val="00B340E7"/>
    <w:rsid w:val="00B34111"/>
    <w:rsid w:val="00B342CB"/>
    <w:rsid w:val="00B34341"/>
    <w:rsid w:val="00B345AA"/>
    <w:rsid w:val="00B346C8"/>
    <w:rsid w:val="00B34751"/>
    <w:rsid w:val="00B34A2B"/>
    <w:rsid w:val="00B34E48"/>
    <w:rsid w:val="00B3516A"/>
    <w:rsid w:val="00B351A7"/>
    <w:rsid w:val="00B351BD"/>
    <w:rsid w:val="00B351E1"/>
    <w:rsid w:val="00B351F3"/>
    <w:rsid w:val="00B3545D"/>
    <w:rsid w:val="00B3550B"/>
    <w:rsid w:val="00B35816"/>
    <w:rsid w:val="00B35A12"/>
    <w:rsid w:val="00B35BAC"/>
    <w:rsid w:val="00B35CF0"/>
    <w:rsid w:val="00B35D41"/>
    <w:rsid w:val="00B35EF7"/>
    <w:rsid w:val="00B362AF"/>
    <w:rsid w:val="00B36412"/>
    <w:rsid w:val="00B367E8"/>
    <w:rsid w:val="00B367F7"/>
    <w:rsid w:val="00B369B0"/>
    <w:rsid w:val="00B36AA0"/>
    <w:rsid w:val="00B36F2D"/>
    <w:rsid w:val="00B36FB9"/>
    <w:rsid w:val="00B37182"/>
    <w:rsid w:val="00B37198"/>
    <w:rsid w:val="00B372D7"/>
    <w:rsid w:val="00B3783F"/>
    <w:rsid w:val="00B37866"/>
    <w:rsid w:val="00B37D11"/>
    <w:rsid w:val="00B37D48"/>
    <w:rsid w:val="00B37D84"/>
    <w:rsid w:val="00B37FA6"/>
    <w:rsid w:val="00B40596"/>
    <w:rsid w:val="00B408FC"/>
    <w:rsid w:val="00B4098E"/>
    <w:rsid w:val="00B40A0C"/>
    <w:rsid w:val="00B40AA0"/>
    <w:rsid w:val="00B40BCC"/>
    <w:rsid w:val="00B40F25"/>
    <w:rsid w:val="00B4117B"/>
    <w:rsid w:val="00B41239"/>
    <w:rsid w:val="00B415E6"/>
    <w:rsid w:val="00B41CAA"/>
    <w:rsid w:val="00B41CF8"/>
    <w:rsid w:val="00B41E83"/>
    <w:rsid w:val="00B421BD"/>
    <w:rsid w:val="00B424AD"/>
    <w:rsid w:val="00B42575"/>
    <w:rsid w:val="00B42693"/>
    <w:rsid w:val="00B4290A"/>
    <w:rsid w:val="00B42F6F"/>
    <w:rsid w:val="00B42FD0"/>
    <w:rsid w:val="00B4335D"/>
    <w:rsid w:val="00B43400"/>
    <w:rsid w:val="00B43558"/>
    <w:rsid w:val="00B43784"/>
    <w:rsid w:val="00B437DC"/>
    <w:rsid w:val="00B43A04"/>
    <w:rsid w:val="00B43A95"/>
    <w:rsid w:val="00B43D59"/>
    <w:rsid w:val="00B43D87"/>
    <w:rsid w:val="00B43D9E"/>
    <w:rsid w:val="00B43E21"/>
    <w:rsid w:val="00B43E34"/>
    <w:rsid w:val="00B44152"/>
    <w:rsid w:val="00B44232"/>
    <w:rsid w:val="00B443DD"/>
    <w:rsid w:val="00B4442F"/>
    <w:rsid w:val="00B44438"/>
    <w:rsid w:val="00B4446F"/>
    <w:rsid w:val="00B4455A"/>
    <w:rsid w:val="00B445A7"/>
    <w:rsid w:val="00B44874"/>
    <w:rsid w:val="00B44A09"/>
    <w:rsid w:val="00B44C1D"/>
    <w:rsid w:val="00B44E44"/>
    <w:rsid w:val="00B44E51"/>
    <w:rsid w:val="00B44E5B"/>
    <w:rsid w:val="00B44FDE"/>
    <w:rsid w:val="00B4502E"/>
    <w:rsid w:val="00B45049"/>
    <w:rsid w:val="00B45617"/>
    <w:rsid w:val="00B4585F"/>
    <w:rsid w:val="00B4587C"/>
    <w:rsid w:val="00B45991"/>
    <w:rsid w:val="00B45AA6"/>
    <w:rsid w:val="00B45F0D"/>
    <w:rsid w:val="00B4615D"/>
    <w:rsid w:val="00B46219"/>
    <w:rsid w:val="00B46239"/>
    <w:rsid w:val="00B46245"/>
    <w:rsid w:val="00B4652D"/>
    <w:rsid w:val="00B4678F"/>
    <w:rsid w:val="00B4685C"/>
    <w:rsid w:val="00B469DB"/>
    <w:rsid w:val="00B469E3"/>
    <w:rsid w:val="00B46AC0"/>
    <w:rsid w:val="00B46C36"/>
    <w:rsid w:val="00B46E80"/>
    <w:rsid w:val="00B4715B"/>
    <w:rsid w:val="00B474A2"/>
    <w:rsid w:val="00B4759F"/>
    <w:rsid w:val="00B476D6"/>
    <w:rsid w:val="00B47B83"/>
    <w:rsid w:val="00B47C58"/>
    <w:rsid w:val="00B47ECF"/>
    <w:rsid w:val="00B47FFE"/>
    <w:rsid w:val="00B500F0"/>
    <w:rsid w:val="00B5047B"/>
    <w:rsid w:val="00B506FA"/>
    <w:rsid w:val="00B50812"/>
    <w:rsid w:val="00B50A6A"/>
    <w:rsid w:val="00B50A7F"/>
    <w:rsid w:val="00B50AA4"/>
    <w:rsid w:val="00B50EF4"/>
    <w:rsid w:val="00B510C3"/>
    <w:rsid w:val="00B510E3"/>
    <w:rsid w:val="00B5139A"/>
    <w:rsid w:val="00B51484"/>
    <w:rsid w:val="00B514DD"/>
    <w:rsid w:val="00B516CE"/>
    <w:rsid w:val="00B51790"/>
    <w:rsid w:val="00B51A2F"/>
    <w:rsid w:val="00B51B39"/>
    <w:rsid w:val="00B51B56"/>
    <w:rsid w:val="00B51CAE"/>
    <w:rsid w:val="00B51CFA"/>
    <w:rsid w:val="00B51FA6"/>
    <w:rsid w:val="00B5221B"/>
    <w:rsid w:val="00B52244"/>
    <w:rsid w:val="00B524FD"/>
    <w:rsid w:val="00B5253D"/>
    <w:rsid w:val="00B52545"/>
    <w:rsid w:val="00B52663"/>
    <w:rsid w:val="00B52711"/>
    <w:rsid w:val="00B52AA8"/>
    <w:rsid w:val="00B52BCE"/>
    <w:rsid w:val="00B52E98"/>
    <w:rsid w:val="00B53238"/>
    <w:rsid w:val="00B5332C"/>
    <w:rsid w:val="00B533EA"/>
    <w:rsid w:val="00B5364D"/>
    <w:rsid w:val="00B53806"/>
    <w:rsid w:val="00B539BB"/>
    <w:rsid w:val="00B53A42"/>
    <w:rsid w:val="00B53C4D"/>
    <w:rsid w:val="00B53D1D"/>
    <w:rsid w:val="00B53DC0"/>
    <w:rsid w:val="00B53F6D"/>
    <w:rsid w:val="00B543AB"/>
    <w:rsid w:val="00B543B6"/>
    <w:rsid w:val="00B543F6"/>
    <w:rsid w:val="00B54521"/>
    <w:rsid w:val="00B54808"/>
    <w:rsid w:val="00B548CF"/>
    <w:rsid w:val="00B54A2C"/>
    <w:rsid w:val="00B54D45"/>
    <w:rsid w:val="00B54DEA"/>
    <w:rsid w:val="00B54F45"/>
    <w:rsid w:val="00B55133"/>
    <w:rsid w:val="00B553D6"/>
    <w:rsid w:val="00B55CC1"/>
    <w:rsid w:val="00B55F1D"/>
    <w:rsid w:val="00B55F97"/>
    <w:rsid w:val="00B56203"/>
    <w:rsid w:val="00B56511"/>
    <w:rsid w:val="00B565C7"/>
    <w:rsid w:val="00B56A89"/>
    <w:rsid w:val="00B56B42"/>
    <w:rsid w:val="00B56BC7"/>
    <w:rsid w:val="00B56D83"/>
    <w:rsid w:val="00B56DAF"/>
    <w:rsid w:val="00B56FF8"/>
    <w:rsid w:val="00B570E5"/>
    <w:rsid w:val="00B571D8"/>
    <w:rsid w:val="00B57237"/>
    <w:rsid w:val="00B574B7"/>
    <w:rsid w:val="00B575B6"/>
    <w:rsid w:val="00B57759"/>
    <w:rsid w:val="00B578FF"/>
    <w:rsid w:val="00B57C00"/>
    <w:rsid w:val="00B57D44"/>
    <w:rsid w:val="00B57E38"/>
    <w:rsid w:val="00B57FBF"/>
    <w:rsid w:val="00B601DC"/>
    <w:rsid w:val="00B602A6"/>
    <w:rsid w:val="00B60479"/>
    <w:rsid w:val="00B60496"/>
    <w:rsid w:val="00B60621"/>
    <w:rsid w:val="00B60697"/>
    <w:rsid w:val="00B60A17"/>
    <w:rsid w:val="00B60B80"/>
    <w:rsid w:val="00B60C8B"/>
    <w:rsid w:val="00B611A4"/>
    <w:rsid w:val="00B61485"/>
    <w:rsid w:val="00B619D2"/>
    <w:rsid w:val="00B61B18"/>
    <w:rsid w:val="00B61CA1"/>
    <w:rsid w:val="00B61CE7"/>
    <w:rsid w:val="00B61CFA"/>
    <w:rsid w:val="00B61EA3"/>
    <w:rsid w:val="00B6201E"/>
    <w:rsid w:val="00B62051"/>
    <w:rsid w:val="00B62A51"/>
    <w:rsid w:val="00B62A5D"/>
    <w:rsid w:val="00B62B26"/>
    <w:rsid w:val="00B62D68"/>
    <w:rsid w:val="00B631BA"/>
    <w:rsid w:val="00B63220"/>
    <w:rsid w:val="00B634AF"/>
    <w:rsid w:val="00B635C6"/>
    <w:rsid w:val="00B635E4"/>
    <w:rsid w:val="00B6373D"/>
    <w:rsid w:val="00B63852"/>
    <w:rsid w:val="00B639C5"/>
    <w:rsid w:val="00B63ADE"/>
    <w:rsid w:val="00B63BED"/>
    <w:rsid w:val="00B63D4E"/>
    <w:rsid w:val="00B64023"/>
    <w:rsid w:val="00B641BA"/>
    <w:rsid w:val="00B64528"/>
    <w:rsid w:val="00B64550"/>
    <w:rsid w:val="00B64A44"/>
    <w:rsid w:val="00B64D3F"/>
    <w:rsid w:val="00B64D4B"/>
    <w:rsid w:val="00B64D7C"/>
    <w:rsid w:val="00B65030"/>
    <w:rsid w:val="00B650DD"/>
    <w:rsid w:val="00B6510B"/>
    <w:rsid w:val="00B65339"/>
    <w:rsid w:val="00B656F9"/>
    <w:rsid w:val="00B659FB"/>
    <w:rsid w:val="00B65C13"/>
    <w:rsid w:val="00B66059"/>
    <w:rsid w:val="00B6607A"/>
    <w:rsid w:val="00B660D8"/>
    <w:rsid w:val="00B6620F"/>
    <w:rsid w:val="00B665DF"/>
    <w:rsid w:val="00B6664C"/>
    <w:rsid w:val="00B666AB"/>
    <w:rsid w:val="00B6674A"/>
    <w:rsid w:val="00B66750"/>
    <w:rsid w:val="00B669AE"/>
    <w:rsid w:val="00B66F5F"/>
    <w:rsid w:val="00B6709A"/>
    <w:rsid w:val="00B670B3"/>
    <w:rsid w:val="00B670D1"/>
    <w:rsid w:val="00B673D0"/>
    <w:rsid w:val="00B675D2"/>
    <w:rsid w:val="00B676D0"/>
    <w:rsid w:val="00B6784E"/>
    <w:rsid w:val="00B6792E"/>
    <w:rsid w:val="00B67B8F"/>
    <w:rsid w:val="00B67D01"/>
    <w:rsid w:val="00B67EAA"/>
    <w:rsid w:val="00B67ECC"/>
    <w:rsid w:val="00B70004"/>
    <w:rsid w:val="00B704C6"/>
    <w:rsid w:val="00B704D0"/>
    <w:rsid w:val="00B70563"/>
    <w:rsid w:val="00B7058D"/>
    <w:rsid w:val="00B705F6"/>
    <w:rsid w:val="00B706BA"/>
    <w:rsid w:val="00B70CF9"/>
    <w:rsid w:val="00B70E60"/>
    <w:rsid w:val="00B70F3B"/>
    <w:rsid w:val="00B70F45"/>
    <w:rsid w:val="00B710DC"/>
    <w:rsid w:val="00B71105"/>
    <w:rsid w:val="00B71113"/>
    <w:rsid w:val="00B717D6"/>
    <w:rsid w:val="00B7187C"/>
    <w:rsid w:val="00B71A37"/>
    <w:rsid w:val="00B71CF3"/>
    <w:rsid w:val="00B71DE6"/>
    <w:rsid w:val="00B72091"/>
    <w:rsid w:val="00B720F5"/>
    <w:rsid w:val="00B722D4"/>
    <w:rsid w:val="00B72422"/>
    <w:rsid w:val="00B72837"/>
    <w:rsid w:val="00B72B03"/>
    <w:rsid w:val="00B72C0F"/>
    <w:rsid w:val="00B72D2A"/>
    <w:rsid w:val="00B72D3A"/>
    <w:rsid w:val="00B72D75"/>
    <w:rsid w:val="00B730C6"/>
    <w:rsid w:val="00B731A8"/>
    <w:rsid w:val="00B732A8"/>
    <w:rsid w:val="00B732FC"/>
    <w:rsid w:val="00B733B2"/>
    <w:rsid w:val="00B7343D"/>
    <w:rsid w:val="00B73532"/>
    <w:rsid w:val="00B735EE"/>
    <w:rsid w:val="00B736A0"/>
    <w:rsid w:val="00B736B3"/>
    <w:rsid w:val="00B736D2"/>
    <w:rsid w:val="00B73924"/>
    <w:rsid w:val="00B73969"/>
    <w:rsid w:val="00B739DD"/>
    <w:rsid w:val="00B739FD"/>
    <w:rsid w:val="00B73E1E"/>
    <w:rsid w:val="00B74517"/>
    <w:rsid w:val="00B746E2"/>
    <w:rsid w:val="00B748D4"/>
    <w:rsid w:val="00B749C1"/>
    <w:rsid w:val="00B74AFA"/>
    <w:rsid w:val="00B74D9C"/>
    <w:rsid w:val="00B74EC4"/>
    <w:rsid w:val="00B74EF2"/>
    <w:rsid w:val="00B74F5B"/>
    <w:rsid w:val="00B75052"/>
    <w:rsid w:val="00B7522A"/>
    <w:rsid w:val="00B75593"/>
    <w:rsid w:val="00B756A9"/>
    <w:rsid w:val="00B75733"/>
    <w:rsid w:val="00B758D8"/>
    <w:rsid w:val="00B758EE"/>
    <w:rsid w:val="00B758F4"/>
    <w:rsid w:val="00B75B21"/>
    <w:rsid w:val="00B75EB9"/>
    <w:rsid w:val="00B7602A"/>
    <w:rsid w:val="00B7614F"/>
    <w:rsid w:val="00B764D2"/>
    <w:rsid w:val="00B76780"/>
    <w:rsid w:val="00B76951"/>
    <w:rsid w:val="00B769C4"/>
    <w:rsid w:val="00B76BC2"/>
    <w:rsid w:val="00B76C65"/>
    <w:rsid w:val="00B76C72"/>
    <w:rsid w:val="00B76CBA"/>
    <w:rsid w:val="00B76CDD"/>
    <w:rsid w:val="00B76D07"/>
    <w:rsid w:val="00B76D80"/>
    <w:rsid w:val="00B76DB1"/>
    <w:rsid w:val="00B76FB1"/>
    <w:rsid w:val="00B77059"/>
    <w:rsid w:val="00B773F7"/>
    <w:rsid w:val="00B77534"/>
    <w:rsid w:val="00B778E7"/>
    <w:rsid w:val="00B77A85"/>
    <w:rsid w:val="00B77AAB"/>
    <w:rsid w:val="00B77B38"/>
    <w:rsid w:val="00B77C92"/>
    <w:rsid w:val="00B77DD9"/>
    <w:rsid w:val="00B80098"/>
    <w:rsid w:val="00B80201"/>
    <w:rsid w:val="00B80420"/>
    <w:rsid w:val="00B80530"/>
    <w:rsid w:val="00B8095D"/>
    <w:rsid w:val="00B80E54"/>
    <w:rsid w:val="00B80EBB"/>
    <w:rsid w:val="00B8116B"/>
    <w:rsid w:val="00B81239"/>
    <w:rsid w:val="00B81267"/>
    <w:rsid w:val="00B813A4"/>
    <w:rsid w:val="00B81402"/>
    <w:rsid w:val="00B81450"/>
    <w:rsid w:val="00B8158E"/>
    <w:rsid w:val="00B8190E"/>
    <w:rsid w:val="00B81B1D"/>
    <w:rsid w:val="00B81DA4"/>
    <w:rsid w:val="00B81DC8"/>
    <w:rsid w:val="00B81ECB"/>
    <w:rsid w:val="00B81F09"/>
    <w:rsid w:val="00B8205F"/>
    <w:rsid w:val="00B821C3"/>
    <w:rsid w:val="00B826E6"/>
    <w:rsid w:val="00B8278E"/>
    <w:rsid w:val="00B828DD"/>
    <w:rsid w:val="00B829E4"/>
    <w:rsid w:val="00B82AE3"/>
    <w:rsid w:val="00B82C97"/>
    <w:rsid w:val="00B82D1B"/>
    <w:rsid w:val="00B82DAF"/>
    <w:rsid w:val="00B830E0"/>
    <w:rsid w:val="00B831E9"/>
    <w:rsid w:val="00B832A1"/>
    <w:rsid w:val="00B8361B"/>
    <w:rsid w:val="00B83B4B"/>
    <w:rsid w:val="00B83B51"/>
    <w:rsid w:val="00B83C8D"/>
    <w:rsid w:val="00B83E38"/>
    <w:rsid w:val="00B83F21"/>
    <w:rsid w:val="00B84179"/>
    <w:rsid w:val="00B8459A"/>
    <w:rsid w:val="00B84909"/>
    <w:rsid w:val="00B849FD"/>
    <w:rsid w:val="00B84B14"/>
    <w:rsid w:val="00B84B9B"/>
    <w:rsid w:val="00B84C56"/>
    <w:rsid w:val="00B84D0E"/>
    <w:rsid w:val="00B84EBE"/>
    <w:rsid w:val="00B84F3D"/>
    <w:rsid w:val="00B84F69"/>
    <w:rsid w:val="00B85119"/>
    <w:rsid w:val="00B8525C"/>
    <w:rsid w:val="00B85665"/>
    <w:rsid w:val="00B856BC"/>
    <w:rsid w:val="00B8599A"/>
    <w:rsid w:val="00B85B62"/>
    <w:rsid w:val="00B85BDF"/>
    <w:rsid w:val="00B85C56"/>
    <w:rsid w:val="00B85E03"/>
    <w:rsid w:val="00B85FF1"/>
    <w:rsid w:val="00B8601D"/>
    <w:rsid w:val="00B86307"/>
    <w:rsid w:val="00B8674F"/>
    <w:rsid w:val="00B867CA"/>
    <w:rsid w:val="00B86843"/>
    <w:rsid w:val="00B868B4"/>
    <w:rsid w:val="00B86A5F"/>
    <w:rsid w:val="00B86DE8"/>
    <w:rsid w:val="00B86E43"/>
    <w:rsid w:val="00B8715B"/>
    <w:rsid w:val="00B871DE"/>
    <w:rsid w:val="00B872A5"/>
    <w:rsid w:val="00B872B5"/>
    <w:rsid w:val="00B872F7"/>
    <w:rsid w:val="00B87409"/>
    <w:rsid w:val="00B878E0"/>
    <w:rsid w:val="00B8792A"/>
    <w:rsid w:val="00B87944"/>
    <w:rsid w:val="00B87A13"/>
    <w:rsid w:val="00B87B32"/>
    <w:rsid w:val="00B87EA3"/>
    <w:rsid w:val="00B90152"/>
    <w:rsid w:val="00B90741"/>
    <w:rsid w:val="00B90BD9"/>
    <w:rsid w:val="00B90F28"/>
    <w:rsid w:val="00B91115"/>
    <w:rsid w:val="00B913B1"/>
    <w:rsid w:val="00B916B9"/>
    <w:rsid w:val="00B916E1"/>
    <w:rsid w:val="00B9179C"/>
    <w:rsid w:val="00B9184A"/>
    <w:rsid w:val="00B91864"/>
    <w:rsid w:val="00B91B55"/>
    <w:rsid w:val="00B91DC2"/>
    <w:rsid w:val="00B92082"/>
    <w:rsid w:val="00B923A5"/>
    <w:rsid w:val="00B924EB"/>
    <w:rsid w:val="00B92563"/>
    <w:rsid w:val="00B9277B"/>
    <w:rsid w:val="00B9296E"/>
    <w:rsid w:val="00B92A28"/>
    <w:rsid w:val="00B92BA8"/>
    <w:rsid w:val="00B92D91"/>
    <w:rsid w:val="00B9320A"/>
    <w:rsid w:val="00B93338"/>
    <w:rsid w:val="00B9344C"/>
    <w:rsid w:val="00B93890"/>
    <w:rsid w:val="00B93A1B"/>
    <w:rsid w:val="00B93AEE"/>
    <w:rsid w:val="00B93DF9"/>
    <w:rsid w:val="00B93EEB"/>
    <w:rsid w:val="00B93F4B"/>
    <w:rsid w:val="00B940F9"/>
    <w:rsid w:val="00B94187"/>
    <w:rsid w:val="00B94452"/>
    <w:rsid w:val="00B947A5"/>
    <w:rsid w:val="00B948F1"/>
    <w:rsid w:val="00B94BE9"/>
    <w:rsid w:val="00B94DB0"/>
    <w:rsid w:val="00B94F8F"/>
    <w:rsid w:val="00B9502D"/>
    <w:rsid w:val="00B950C2"/>
    <w:rsid w:val="00B950E3"/>
    <w:rsid w:val="00B95308"/>
    <w:rsid w:val="00B95557"/>
    <w:rsid w:val="00B9577A"/>
    <w:rsid w:val="00B957D2"/>
    <w:rsid w:val="00B95933"/>
    <w:rsid w:val="00B95948"/>
    <w:rsid w:val="00B9594F"/>
    <w:rsid w:val="00B95AD2"/>
    <w:rsid w:val="00B95BDD"/>
    <w:rsid w:val="00B95FEA"/>
    <w:rsid w:val="00B962BC"/>
    <w:rsid w:val="00B962F9"/>
    <w:rsid w:val="00B96492"/>
    <w:rsid w:val="00B9660F"/>
    <w:rsid w:val="00B96809"/>
    <w:rsid w:val="00B96861"/>
    <w:rsid w:val="00B96BC3"/>
    <w:rsid w:val="00B96C5D"/>
    <w:rsid w:val="00B96C95"/>
    <w:rsid w:val="00B96E35"/>
    <w:rsid w:val="00B970ED"/>
    <w:rsid w:val="00B971A6"/>
    <w:rsid w:val="00B9725A"/>
    <w:rsid w:val="00B974B2"/>
    <w:rsid w:val="00B9757E"/>
    <w:rsid w:val="00B97629"/>
    <w:rsid w:val="00B976EF"/>
    <w:rsid w:val="00B976FB"/>
    <w:rsid w:val="00B97727"/>
    <w:rsid w:val="00B977A0"/>
    <w:rsid w:val="00B977B8"/>
    <w:rsid w:val="00B977E2"/>
    <w:rsid w:val="00B9799C"/>
    <w:rsid w:val="00B97A99"/>
    <w:rsid w:val="00B97B99"/>
    <w:rsid w:val="00B97CD5"/>
    <w:rsid w:val="00B97E0A"/>
    <w:rsid w:val="00BA000C"/>
    <w:rsid w:val="00BA0318"/>
    <w:rsid w:val="00BA047A"/>
    <w:rsid w:val="00BA069A"/>
    <w:rsid w:val="00BA0714"/>
    <w:rsid w:val="00BA07AA"/>
    <w:rsid w:val="00BA09BE"/>
    <w:rsid w:val="00BA0D6C"/>
    <w:rsid w:val="00BA0E55"/>
    <w:rsid w:val="00BA0FFD"/>
    <w:rsid w:val="00BA1049"/>
    <w:rsid w:val="00BA121F"/>
    <w:rsid w:val="00BA1249"/>
    <w:rsid w:val="00BA17DB"/>
    <w:rsid w:val="00BA1853"/>
    <w:rsid w:val="00BA197B"/>
    <w:rsid w:val="00BA1C53"/>
    <w:rsid w:val="00BA1D6F"/>
    <w:rsid w:val="00BA1DF8"/>
    <w:rsid w:val="00BA205C"/>
    <w:rsid w:val="00BA20A8"/>
    <w:rsid w:val="00BA22C8"/>
    <w:rsid w:val="00BA236C"/>
    <w:rsid w:val="00BA237A"/>
    <w:rsid w:val="00BA23B3"/>
    <w:rsid w:val="00BA23FC"/>
    <w:rsid w:val="00BA2468"/>
    <w:rsid w:val="00BA24CD"/>
    <w:rsid w:val="00BA2AC3"/>
    <w:rsid w:val="00BA2E1C"/>
    <w:rsid w:val="00BA3182"/>
    <w:rsid w:val="00BA31E2"/>
    <w:rsid w:val="00BA32A6"/>
    <w:rsid w:val="00BA3385"/>
    <w:rsid w:val="00BA37E4"/>
    <w:rsid w:val="00BA381B"/>
    <w:rsid w:val="00BA3966"/>
    <w:rsid w:val="00BA3CD9"/>
    <w:rsid w:val="00BA3EBA"/>
    <w:rsid w:val="00BA4036"/>
    <w:rsid w:val="00BA43F7"/>
    <w:rsid w:val="00BA4517"/>
    <w:rsid w:val="00BA474E"/>
    <w:rsid w:val="00BA4786"/>
    <w:rsid w:val="00BA47D6"/>
    <w:rsid w:val="00BA49EF"/>
    <w:rsid w:val="00BA4AA4"/>
    <w:rsid w:val="00BA4B28"/>
    <w:rsid w:val="00BA4C89"/>
    <w:rsid w:val="00BA4FFC"/>
    <w:rsid w:val="00BA5013"/>
    <w:rsid w:val="00BA5259"/>
    <w:rsid w:val="00BA526D"/>
    <w:rsid w:val="00BA52DA"/>
    <w:rsid w:val="00BA555A"/>
    <w:rsid w:val="00BA5573"/>
    <w:rsid w:val="00BA5625"/>
    <w:rsid w:val="00BA5908"/>
    <w:rsid w:val="00BA5A10"/>
    <w:rsid w:val="00BA5B9A"/>
    <w:rsid w:val="00BA5CF7"/>
    <w:rsid w:val="00BA5DDC"/>
    <w:rsid w:val="00BA6498"/>
    <w:rsid w:val="00BA64AF"/>
    <w:rsid w:val="00BA6578"/>
    <w:rsid w:val="00BA680C"/>
    <w:rsid w:val="00BA6885"/>
    <w:rsid w:val="00BA6A39"/>
    <w:rsid w:val="00BA6A91"/>
    <w:rsid w:val="00BA6F4E"/>
    <w:rsid w:val="00BA735A"/>
    <w:rsid w:val="00BA740F"/>
    <w:rsid w:val="00BA77B2"/>
    <w:rsid w:val="00BA77B7"/>
    <w:rsid w:val="00BA7A3D"/>
    <w:rsid w:val="00BA7B32"/>
    <w:rsid w:val="00BA7C17"/>
    <w:rsid w:val="00BA7DDB"/>
    <w:rsid w:val="00BA7E4E"/>
    <w:rsid w:val="00BA7FD7"/>
    <w:rsid w:val="00BB0040"/>
    <w:rsid w:val="00BB0070"/>
    <w:rsid w:val="00BB02DA"/>
    <w:rsid w:val="00BB0552"/>
    <w:rsid w:val="00BB069C"/>
    <w:rsid w:val="00BB06C4"/>
    <w:rsid w:val="00BB0883"/>
    <w:rsid w:val="00BB0A60"/>
    <w:rsid w:val="00BB0B3D"/>
    <w:rsid w:val="00BB0B88"/>
    <w:rsid w:val="00BB0E79"/>
    <w:rsid w:val="00BB0F5D"/>
    <w:rsid w:val="00BB0FDD"/>
    <w:rsid w:val="00BB115A"/>
    <w:rsid w:val="00BB117A"/>
    <w:rsid w:val="00BB119F"/>
    <w:rsid w:val="00BB149E"/>
    <w:rsid w:val="00BB14CA"/>
    <w:rsid w:val="00BB175E"/>
    <w:rsid w:val="00BB189A"/>
    <w:rsid w:val="00BB1ACE"/>
    <w:rsid w:val="00BB1BD9"/>
    <w:rsid w:val="00BB1EC8"/>
    <w:rsid w:val="00BB1F46"/>
    <w:rsid w:val="00BB2396"/>
    <w:rsid w:val="00BB252D"/>
    <w:rsid w:val="00BB26C3"/>
    <w:rsid w:val="00BB26EF"/>
    <w:rsid w:val="00BB2827"/>
    <w:rsid w:val="00BB2E9D"/>
    <w:rsid w:val="00BB312C"/>
    <w:rsid w:val="00BB32C7"/>
    <w:rsid w:val="00BB32FF"/>
    <w:rsid w:val="00BB3403"/>
    <w:rsid w:val="00BB365B"/>
    <w:rsid w:val="00BB37F4"/>
    <w:rsid w:val="00BB3868"/>
    <w:rsid w:val="00BB38E6"/>
    <w:rsid w:val="00BB38ED"/>
    <w:rsid w:val="00BB3925"/>
    <w:rsid w:val="00BB3954"/>
    <w:rsid w:val="00BB3AB3"/>
    <w:rsid w:val="00BB3BF8"/>
    <w:rsid w:val="00BB3DEA"/>
    <w:rsid w:val="00BB3FE2"/>
    <w:rsid w:val="00BB410A"/>
    <w:rsid w:val="00BB43AD"/>
    <w:rsid w:val="00BB46C6"/>
    <w:rsid w:val="00BB49C9"/>
    <w:rsid w:val="00BB4AFE"/>
    <w:rsid w:val="00BB4D01"/>
    <w:rsid w:val="00BB4D17"/>
    <w:rsid w:val="00BB4DDB"/>
    <w:rsid w:val="00BB4FC3"/>
    <w:rsid w:val="00BB51D1"/>
    <w:rsid w:val="00BB54B1"/>
    <w:rsid w:val="00BB564E"/>
    <w:rsid w:val="00BB5BA0"/>
    <w:rsid w:val="00BB5C90"/>
    <w:rsid w:val="00BB5DA0"/>
    <w:rsid w:val="00BB5EFE"/>
    <w:rsid w:val="00BB5FDD"/>
    <w:rsid w:val="00BB5FED"/>
    <w:rsid w:val="00BB60C3"/>
    <w:rsid w:val="00BB60DE"/>
    <w:rsid w:val="00BB6112"/>
    <w:rsid w:val="00BB625A"/>
    <w:rsid w:val="00BB626F"/>
    <w:rsid w:val="00BB63C2"/>
    <w:rsid w:val="00BB63E4"/>
    <w:rsid w:val="00BB6718"/>
    <w:rsid w:val="00BB672B"/>
    <w:rsid w:val="00BB67A2"/>
    <w:rsid w:val="00BB67AC"/>
    <w:rsid w:val="00BB6822"/>
    <w:rsid w:val="00BB693A"/>
    <w:rsid w:val="00BB6A8B"/>
    <w:rsid w:val="00BB6B88"/>
    <w:rsid w:val="00BB6F70"/>
    <w:rsid w:val="00BB7036"/>
    <w:rsid w:val="00BB71EA"/>
    <w:rsid w:val="00BB7783"/>
    <w:rsid w:val="00BB78CE"/>
    <w:rsid w:val="00BB7C2E"/>
    <w:rsid w:val="00BB7D5E"/>
    <w:rsid w:val="00BB7F83"/>
    <w:rsid w:val="00BC0218"/>
    <w:rsid w:val="00BC0311"/>
    <w:rsid w:val="00BC04D7"/>
    <w:rsid w:val="00BC05B2"/>
    <w:rsid w:val="00BC0618"/>
    <w:rsid w:val="00BC0723"/>
    <w:rsid w:val="00BC0868"/>
    <w:rsid w:val="00BC0B29"/>
    <w:rsid w:val="00BC0B64"/>
    <w:rsid w:val="00BC1304"/>
    <w:rsid w:val="00BC197D"/>
    <w:rsid w:val="00BC19D1"/>
    <w:rsid w:val="00BC1AD2"/>
    <w:rsid w:val="00BC1B09"/>
    <w:rsid w:val="00BC1EB2"/>
    <w:rsid w:val="00BC2168"/>
    <w:rsid w:val="00BC2463"/>
    <w:rsid w:val="00BC25E3"/>
    <w:rsid w:val="00BC263A"/>
    <w:rsid w:val="00BC26FE"/>
    <w:rsid w:val="00BC29E6"/>
    <w:rsid w:val="00BC2ACE"/>
    <w:rsid w:val="00BC2BD7"/>
    <w:rsid w:val="00BC2C2E"/>
    <w:rsid w:val="00BC2C5E"/>
    <w:rsid w:val="00BC2CA1"/>
    <w:rsid w:val="00BC2E96"/>
    <w:rsid w:val="00BC2EAB"/>
    <w:rsid w:val="00BC2ED1"/>
    <w:rsid w:val="00BC2ED7"/>
    <w:rsid w:val="00BC2F5F"/>
    <w:rsid w:val="00BC3017"/>
    <w:rsid w:val="00BC3119"/>
    <w:rsid w:val="00BC3189"/>
    <w:rsid w:val="00BC32FA"/>
    <w:rsid w:val="00BC3346"/>
    <w:rsid w:val="00BC337F"/>
    <w:rsid w:val="00BC33F2"/>
    <w:rsid w:val="00BC3476"/>
    <w:rsid w:val="00BC34C4"/>
    <w:rsid w:val="00BC34CA"/>
    <w:rsid w:val="00BC3590"/>
    <w:rsid w:val="00BC386F"/>
    <w:rsid w:val="00BC3AD0"/>
    <w:rsid w:val="00BC3FE1"/>
    <w:rsid w:val="00BC40DB"/>
    <w:rsid w:val="00BC413C"/>
    <w:rsid w:val="00BC41D8"/>
    <w:rsid w:val="00BC4271"/>
    <w:rsid w:val="00BC42CF"/>
    <w:rsid w:val="00BC42EB"/>
    <w:rsid w:val="00BC42F1"/>
    <w:rsid w:val="00BC43B7"/>
    <w:rsid w:val="00BC4497"/>
    <w:rsid w:val="00BC44F8"/>
    <w:rsid w:val="00BC460E"/>
    <w:rsid w:val="00BC498B"/>
    <w:rsid w:val="00BC4AD2"/>
    <w:rsid w:val="00BC4BAC"/>
    <w:rsid w:val="00BC4BBE"/>
    <w:rsid w:val="00BC4E26"/>
    <w:rsid w:val="00BC4FD5"/>
    <w:rsid w:val="00BC5186"/>
    <w:rsid w:val="00BC54CD"/>
    <w:rsid w:val="00BC5756"/>
    <w:rsid w:val="00BC5767"/>
    <w:rsid w:val="00BC593F"/>
    <w:rsid w:val="00BC5BA8"/>
    <w:rsid w:val="00BC5E07"/>
    <w:rsid w:val="00BC5EC4"/>
    <w:rsid w:val="00BC5FBC"/>
    <w:rsid w:val="00BC6050"/>
    <w:rsid w:val="00BC6102"/>
    <w:rsid w:val="00BC6383"/>
    <w:rsid w:val="00BC6588"/>
    <w:rsid w:val="00BC6662"/>
    <w:rsid w:val="00BC6676"/>
    <w:rsid w:val="00BC67D8"/>
    <w:rsid w:val="00BC690D"/>
    <w:rsid w:val="00BC6928"/>
    <w:rsid w:val="00BC6DB5"/>
    <w:rsid w:val="00BC714B"/>
    <w:rsid w:val="00BC7372"/>
    <w:rsid w:val="00BC7676"/>
    <w:rsid w:val="00BC7678"/>
    <w:rsid w:val="00BC78E7"/>
    <w:rsid w:val="00BC79AB"/>
    <w:rsid w:val="00BC7A50"/>
    <w:rsid w:val="00BC7B37"/>
    <w:rsid w:val="00BC7C13"/>
    <w:rsid w:val="00BC7DD8"/>
    <w:rsid w:val="00BC7E89"/>
    <w:rsid w:val="00BC7EFB"/>
    <w:rsid w:val="00BC7F21"/>
    <w:rsid w:val="00BD00D3"/>
    <w:rsid w:val="00BD0147"/>
    <w:rsid w:val="00BD01A5"/>
    <w:rsid w:val="00BD05CC"/>
    <w:rsid w:val="00BD06B5"/>
    <w:rsid w:val="00BD0BA9"/>
    <w:rsid w:val="00BD0BFA"/>
    <w:rsid w:val="00BD0DED"/>
    <w:rsid w:val="00BD0E53"/>
    <w:rsid w:val="00BD0EA2"/>
    <w:rsid w:val="00BD103D"/>
    <w:rsid w:val="00BD114D"/>
    <w:rsid w:val="00BD1524"/>
    <w:rsid w:val="00BD1532"/>
    <w:rsid w:val="00BD1584"/>
    <w:rsid w:val="00BD1762"/>
    <w:rsid w:val="00BD1769"/>
    <w:rsid w:val="00BD17D5"/>
    <w:rsid w:val="00BD1811"/>
    <w:rsid w:val="00BD1844"/>
    <w:rsid w:val="00BD18AD"/>
    <w:rsid w:val="00BD190D"/>
    <w:rsid w:val="00BD196F"/>
    <w:rsid w:val="00BD1CFC"/>
    <w:rsid w:val="00BD1D9F"/>
    <w:rsid w:val="00BD2187"/>
    <w:rsid w:val="00BD26BA"/>
    <w:rsid w:val="00BD26EE"/>
    <w:rsid w:val="00BD2848"/>
    <w:rsid w:val="00BD2AB2"/>
    <w:rsid w:val="00BD2C1C"/>
    <w:rsid w:val="00BD2CC5"/>
    <w:rsid w:val="00BD2FC7"/>
    <w:rsid w:val="00BD300C"/>
    <w:rsid w:val="00BD30EB"/>
    <w:rsid w:val="00BD3101"/>
    <w:rsid w:val="00BD33CE"/>
    <w:rsid w:val="00BD3450"/>
    <w:rsid w:val="00BD3464"/>
    <w:rsid w:val="00BD34EE"/>
    <w:rsid w:val="00BD3635"/>
    <w:rsid w:val="00BD3666"/>
    <w:rsid w:val="00BD3877"/>
    <w:rsid w:val="00BD3954"/>
    <w:rsid w:val="00BD3B19"/>
    <w:rsid w:val="00BD40E9"/>
    <w:rsid w:val="00BD4116"/>
    <w:rsid w:val="00BD4153"/>
    <w:rsid w:val="00BD4231"/>
    <w:rsid w:val="00BD429B"/>
    <w:rsid w:val="00BD4357"/>
    <w:rsid w:val="00BD441B"/>
    <w:rsid w:val="00BD445E"/>
    <w:rsid w:val="00BD4479"/>
    <w:rsid w:val="00BD456D"/>
    <w:rsid w:val="00BD45C1"/>
    <w:rsid w:val="00BD4725"/>
    <w:rsid w:val="00BD4811"/>
    <w:rsid w:val="00BD4B45"/>
    <w:rsid w:val="00BD4D57"/>
    <w:rsid w:val="00BD4EE7"/>
    <w:rsid w:val="00BD4F1D"/>
    <w:rsid w:val="00BD4FBF"/>
    <w:rsid w:val="00BD5338"/>
    <w:rsid w:val="00BD567A"/>
    <w:rsid w:val="00BD576C"/>
    <w:rsid w:val="00BD5930"/>
    <w:rsid w:val="00BD5953"/>
    <w:rsid w:val="00BD5E0F"/>
    <w:rsid w:val="00BD5F95"/>
    <w:rsid w:val="00BD638C"/>
    <w:rsid w:val="00BD63CF"/>
    <w:rsid w:val="00BD6574"/>
    <w:rsid w:val="00BD65E0"/>
    <w:rsid w:val="00BD661F"/>
    <w:rsid w:val="00BD6892"/>
    <w:rsid w:val="00BD6964"/>
    <w:rsid w:val="00BD6A9D"/>
    <w:rsid w:val="00BD6AE6"/>
    <w:rsid w:val="00BD6D3F"/>
    <w:rsid w:val="00BD6E2A"/>
    <w:rsid w:val="00BD6F80"/>
    <w:rsid w:val="00BD6FA4"/>
    <w:rsid w:val="00BD703C"/>
    <w:rsid w:val="00BD70E4"/>
    <w:rsid w:val="00BD7321"/>
    <w:rsid w:val="00BD79CB"/>
    <w:rsid w:val="00BD7D8D"/>
    <w:rsid w:val="00BD7DCD"/>
    <w:rsid w:val="00BE006D"/>
    <w:rsid w:val="00BE011F"/>
    <w:rsid w:val="00BE0146"/>
    <w:rsid w:val="00BE0435"/>
    <w:rsid w:val="00BE0699"/>
    <w:rsid w:val="00BE0A59"/>
    <w:rsid w:val="00BE0AE7"/>
    <w:rsid w:val="00BE0C42"/>
    <w:rsid w:val="00BE0C5C"/>
    <w:rsid w:val="00BE0D85"/>
    <w:rsid w:val="00BE0FE3"/>
    <w:rsid w:val="00BE1104"/>
    <w:rsid w:val="00BE11F9"/>
    <w:rsid w:val="00BE1333"/>
    <w:rsid w:val="00BE14B5"/>
    <w:rsid w:val="00BE1755"/>
    <w:rsid w:val="00BE1942"/>
    <w:rsid w:val="00BE1961"/>
    <w:rsid w:val="00BE1985"/>
    <w:rsid w:val="00BE1AC4"/>
    <w:rsid w:val="00BE1D88"/>
    <w:rsid w:val="00BE1D9D"/>
    <w:rsid w:val="00BE1E27"/>
    <w:rsid w:val="00BE21C8"/>
    <w:rsid w:val="00BE2790"/>
    <w:rsid w:val="00BE27FD"/>
    <w:rsid w:val="00BE29B9"/>
    <w:rsid w:val="00BE2A93"/>
    <w:rsid w:val="00BE31D0"/>
    <w:rsid w:val="00BE3202"/>
    <w:rsid w:val="00BE33BA"/>
    <w:rsid w:val="00BE361D"/>
    <w:rsid w:val="00BE3744"/>
    <w:rsid w:val="00BE3890"/>
    <w:rsid w:val="00BE3B43"/>
    <w:rsid w:val="00BE3D0C"/>
    <w:rsid w:val="00BE3DBB"/>
    <w:rsid w:val="00BE3F37"/>
    <w:rsid w:val="00BE3F39"/>
    <w:rsid w:val="00BE3F78"/>
    <w:rsid w:val="00BE4168"/>
    <w:rsid w:val="00BE42EC"/>
    <w:rsid w:val="00BE43E2"/>
    <w:rsid w:val="00BE47EF"/>
    <w:rsid w:val="00BE4818"/>
    <w:rsid w:val="00BE48F1"/>
    <w:rsid w:val="00BE4913"/>
    <w:rsid w:val="00BE491C"/>
    <w:rsid w:val="00BE4B20"/>
    <w:rsid w:val="00BE4BC4"/>
    <w:rsid w:val="00BE4BD0"/>
    <w:rsid w:val="00BE4CF9"/>
    <w:rsid w:val="00BE4E36"/>
    <w:rsid w:val="00BE4EF4"/>
    <w:rsid w:val="00BE4EF7"/>
    <w:rsid w:val="00BE4FAE"/>
    <w:rsid w:val="00BE51F9"/>
    <w:rsid w:val="00BE52E9"/>
    <w:rsid w:val="00BE5356"/>
    <w:rsid w:val="00BE5396"/>
    <w:rsid w:val="00BE539F"/>
    <w:rsid w:val="00BE5487"/>
    <w:rsid w:val="00BE552E"/>
    <w:rsid w:val="00BE5604"/>
    <w:rsid w:val="00BE5714"/>
    <w:rsid w:val="00BE5DE3"/>
    <w:rsid w:val="00BE5DF7"/>
    <w:rsid w:val="00BE5EF0"/>
    <w:rsid w:val="00BE633F"/>
    <w:rsid w:val="00BE6526"/>
    <w:rsid w:val="00BE6C4D"/>
    <w:rsid w:val="00BE6C9E"/>
    <w:rsid w:val="00BE6F14"/>
    <w:rsid w:val="00BE6FA0"/>
    <w:rsid w:val="00BE7073"/>
    <w:rsid w:val="00BE70CD"/>
    <w:rsid w:val="00BE71B5"/>
    <w:rsid w:val="00BE71DA"/>
    <w:rsid w:val="00BE7230"/>
    <w:rsid w:val="00BE7349"/>
    <w:rsid w:val="00BE73D0"/>
    <w:rsid w:val="00BE7408"/>
    <w:rsid w:val="00BE7781"/>
    <w:rsid w:val="00BE79AF"/>
    <w:rsid w:val="00BE7A4E"/>
    <w:rsid w:val="00BE7F4B"/>
    <w:rsid w:val="00BE7FA2"/>
    <w:rsid w:val="00BF0048"/>
    <w:rsid w:val="00BF0147"/>
    <w:rsid w:val="00BF0246"/>
    <w:rsid w:val="00BF02EB"/>
    <w:rsid w:val="00BF04B9"/>
    <w:rsid w:val="00BF0519"/>
    <w:rsid w:val="00BF0658"/>
    <w:rsid w:val="00BF06D4"/>
    <w:rsid w:val="00BF0744"/>
    <w:rsid w:val="00BF074A"/>
    <w:rsid w:val="00BF07B2"/>
    <w:rsid w:val="00BF0909"/>
    <w:rsid w:val="00BF0B52"/>
    <w:rsid w:val="00BF0B6F"/>
    <w:rsid w:val="00BF0BF9"/>
    <w:rsid w:val="00BF0EA7"/>
    <w:rsid w:val="00BF0F0B"/>
    <w:rsid w:val="00BF10CA"/>
    <w:rsid w:val="00BF111E"/>
    <w:rsid w:val="00BF139F"/>
    <w:rsid w:val="00BF14A6"/>
    <w:rsid w:val="00BF15F0"/>
    <w:rsid w:val="00BF1842"/>
    <w:rsid w:val="00BF1A6C"/>
    <w:rsid w:val="00BF1B82"/>
    <w:rsid w:val="00BF1BF4"/>
    <w:rsid w:val="00BF1D27"/>
    <w:rsid w:val="00BF223C"/>
    <w:rsid w:val="00BF22CE"/>
    <w:rsid w:val="00BF246B"/>
    <w:rsid w:val="00BF24F6"/>
    <w:rsid w:val="00BF2663"/>
    <w:rsid w:val="00BF2835"/>
    <w:rsid w:val="00BF29E3"/>
    <w:rsid w:val="00BF2D14"/>
    <w:rsid w:val="00BF2FA9"/>
    <w:rsid w:val="00BF300F"/>
    <w:rsid w:val="00BF3358"/>
    <w:rsid w:val="00BF36A8"/>
    <w:rsid w:val="00BF3911"/>
    <w:rsid w:val="00BF391A"/>
    <w:rsid w:val="00BF3A15"/>
    <w:rsid w:val="00BF3B11"/>
    <w:rsid w:val="00BF3B3D"/>
    <w:rsid w:val="00BF3DBB"/>
    <w:rsid w:val="00BF3DCD"/>
    <w:rsid w:val="00BF3E1E"/>
    <w:rsid w:val="00BF3E43"/>
    <w:rsid w:val="00BF3E5E"/>
    <w:rsid w:val="00BF4056"/>
    <w:rsid w:val="00BF408A"/>
    <w:rsid w:val="00BF41A8"/>
    <w:rsid w:val="00BF453C"/>
    <w:rsid w:val="00BF469C"/>
    <w:rsid w:val="00BF47AD"/>
    <w:rsid w:val="00BF47BC"/>
    <w:rsid w:val="00BF4840"/>
    <w:rsid w:val="00BF4B6C"/>
    <w:rsid w:val="00BF4DB9"/>
    <w:rsid w:val="00BF500D"/>
    <w:rsid w:val="00BF508F"/>
    <w:rsid w:val="00BF52B3"/>
    <w:rsid w:val="00BF52B6"/>
    <w:rsid w:val="00BF57BE"/>
    <w:rsid w:val="00BF5918"/>
    <w:rsid w:val="00BF597D"/>
    <w:rsid w:val="00BF5A59"/>
    <w:rsid w:val="00BF5BA0"/>
    <w:rsid w:val="00BF5CDE"/>
    <w:rsid w:val="00BF5D7B"/>
    <w:rsid w:val="00BF5F20"/>
    <w:rsid w:val="00BF643A"/>
    <w:rsid w:val="00BF6500"/>
    <w:rsid w:val="00BF658C"/>
    <w:rsid w:val="00BF65AD"/>
    <w:rsid w:val="00BF6ABF"/>
    <w:rsid w:val="00BF6B66"/>
    <w:rsid w:val="00BF70FC"/>
    <w:rsid w:val="00BF73F8"/>
    <w:rsid w:val="00BF740B"/>
    <w:rsid w:val="00BF74CD"/>
    <w:rsid w:val="00BF77FD"/>
    <w:rsid w:val="00BF787E"/>
    <w:rsid w:val="00BF7BCD"/>
    <w:rsid w:val="00BF7CEF"/>
    <w:rsid w:val="00BF7DDB"/>
    <w:rsid w:val="00BF7E4A"/>
    <w:rsid w:val="00BF7EA4"/>
    <w:rsid w:val="00C00167"/>
    <w:rsid w:val="00C003CB"/>
    <w:rsid w:val="00C004A1"/>
    <w:rsid w:val="00C007B8"/>
    <w:rsid w:val="00C00884"/>
    <w:rsid w:val="00C0088C"/>
    <w:rsid w:val="00C009EA"/>
    <w:rsid w:val="00C00AA4"/>
    <w:rsid w:val="00C00B13"/>
    <w:rsid w:val="00C00C2E"/>
    <w:rsid w:val="00C010CB"/>
    <w:rsid w:val="00C010FB"/>
    <w:rsid w:val="00C0115B"/>
    <w:rsid w:val="00C011F0"/>
    <w:rsid w:val="00C012E8"/>
    <w:rsid w:val="00C0132B"/>
    <w:rsid w:val="00C013DD"/>
    <w:rsid w:val="00C01415"/>
    <w:rsid w:val="00C014CB"/>
    <w:rsid w:val="00C016CF"/>
    <w:rsid w:val="00C017E6"/>
    <w:rsid w:val="00C01A9B"/>
    <w:rsid w:val="00C01BD7"/>
    <w:rsid w:val="00C01BEF"/>
    <w:rsid w:val="00C01CD1"/>
    <w:rsid w:val="00C02200"/>
    <w:rsid w:val="00C02430"/>
    <w:rsid w:val="00C024A0"/>
    <w:rsid w:val="00C0265F"/>
    <w:rsid w:val="00C02783"/>
    <w:rsid w:val="00C027A0"/>
    <w:rsid w:val="00C02C3C"/>
    <w:rsid w:val="00C02C71"/>
    <w:rsid w:val="00C03314"/>
    <w:rsid w:val="00C0336E"/>
    <w:rsid w:val="00C03429"/>
    <w:rsid w:val="00C0358D"/>
    <w:rsid w:val="00C0367D"/>
    <w:rsid w:val="00C03902"/>
    <w:rsid w:val="00C03AD7"/>
    <w:rsid w:val="00C03AFA"/>
    <w:rsid w:val="00C03B98"/>
    <w:rsid w:val="00C03C38"/>
    <w:rsid w:val="00C03CF2"/>
    <w:rsid w:val="00C03D7B"/>
    <w:rsid w:val="00C03D94"/>
    <w:rsid w:val="00C03F94"/>
    <w:rsid w:val="00C04253"/>
    <w:rsid w:val="00C042B7"/>
    <w:rsid w:val="00C04531"/>
    <w:rsid w:val="00C0463E"/>
    <w:rsid w:val="00C04665"/>
    <w:rsid w:val="00C047E2"/>
    <w:rsid w:val="00C0483E"/>
    <w:rsid w:val="00C048AC"/>
    <w:rsid w:val="00C049D0"/>
    <w:rsid w:val="00C04B86"/>
    <w:rsid w:val="00C04C7D"/>
    <w:rsid w:val="00C04CD8"/>
    <w:rsid w:val="00C04F8D"/>
    <w:rsid w:val="00C050F6"/>
    <w:rsid w:val="00C05148"/>
    <w:rsid w:val="00C05276"/>
    <w:rsid w:val="00C05472"/>
    <w:rsid w:val="00C057D4"/>
    <w:rsid w:val="00C058E5"/>
    <w:rsid w:val="00C05A75"/>
    <w:rsid w:val="00C05AE3"/>
    <w:rsid w:val="00C05C31"/>
    <w:rsid w:val="00C05EF8"/>
    <w:rsid w:val="00C05FAC"/>
    <w:rsid w:val="00C06214"/>
    <w:rsid w:val="00C0624C"/>
    <w:rsid w:val="00C062E0"/>
    <w:rsid w:val="00C06317"/>
    <w:rsid w:val="00C066CF"/>
    <w:rsid w:val="00C06A6E"/>
    <w:rsid w:val="00C06B75"/>
    <w:rsid w:val="00C06B88"/>
    <w:rsid w:val="00C06D23"/>
    <w:rsid w:val="00C06DB6"/>
    <w:rsid w:val="00C06F8A"/>
    <w:rsid w:val="00C0714F"/>
    <w:rsid w:val="00C07249"/>
    <w:rsid w:val="00C07731"/>
    <w:rsid w:val="00C0775D"/>
    <w:rsid w:val="00C0799E"/>
    <w:rsid w:val="00C07A02"/>
    <w:rsid w:val="00C07D17"/>
    <w:rsid w:val="00C07D35"/>
    <w:rsid w:val="00C07D87"/>
    <w:rsid w:val="00C07E6D"/>
    <w:rsid w:val="00C100F7"/>
    <w:rsid w:val="00C1022A"/>
    <w:rsid w:val="00C104BD"/>
    <w:rsid w:val="00C105C1"/>
    <w:rsid w:val="00C107E3"/>
    <w:rsid w:val="00C10B9C"/>
    <w:rsid w:val="00C1106A"/>
    <w:rsid w:val="00C1143A"/>
    <w:rsid w:val="00C115A5"/>
    <w:rsid w:val="00C1162F"/>
    <w:rsid w:val="00C1165B"/>
    <w:rsid w:val="00C1169B"/>
    <w:rsid w:val="00C116C3"/>
    <w:rsid w:val="00C117E2"/>
    <w:rsid w:val="00C1198D"/>
    <w:rsid w:val="00C119BC"/>
    <w:rsid w:val="00C11AB0"/>
    <w:rsid w:val="00C11BE3"/>
    <w:rsid w:val="00C11D02"/>
    <w:rsid w:val="00C11E2D"/>
    <w:rsid w:val="00C11EE7"/>
    <w:rsid w:val="00C11F77"/>
    <w:rsid w:val="00C1203D"/>
    <w:rsid w:val="00C121EF"/>
    <w:rsid w:val="00C12254"/>
    <w:rsid w:val="00C122A1"/>
    <w:rsid w:val="00C1240F"/>
    <w:rsid w:val="00C1259E"/>
    <w:rsid w:val="00C12A2C"/>
    <w:rsid w:val="00C12EF8"/>
    <w:rsid w:val="00C13241"/>
    <w:rsid w:val="00C1358E"/>
    <w:rsid w:val="00C13632"/>
    <w:rsid w:val="00C13743"/>
    <w:rsid w:val="00C137EE"/>
    <w:rsid w:val="00C13903"/>
    <w:rsid w:val="00C13B72"/>
    <w:rsid w:val="00C13F81"/>
    <w:rsid w:val="00C140A2"/>
    <w:rsid w:val="00C140A5"/>
    <w:rsid w:val="00C140D8"/>
    <w:rsid w:val="00C14185"/>
    <w:rsid w:val="00C142A3"/>
    <w:rsid w:val="00C143A7"/>
    <w:rsid w:val="00C144FE"/>
    <w:rsid w:val="00C145A5"/>
    <w:rsid w:val="00C14721"/>
    <w:rsid w:val="00C14997"/>
    <w:rsid w:val="00C14B79"/>
    <w:rsid w:val="00C14C8B"/>
    <w:rsid w:val="00C15269"/>
    <w:rsid w:val="00C152A2"/>
    <w:rsid w:val="00C1559A"/>
    <w:rsid w:val="00C155FE"/>
    <w:rsid w:val="00C158E9"/>
    <w:rsid w:val="00C15BE5"/>
    <w:rsid w:val="00C15D0F"/>
    <w:rsid w:val="00C15E43"/>
    <w:rsid w:val="00C15FA0"/>
    <w:rsid w:val="00C15FA3"/>
    <w:rsid w:val="00C16081"/>
    <w:rsid w:val="00C161A2"/>
    <w:rsid w:val="00C16213"/>
    <w:rsid w:val="00C163DC"/>
    <w:rsid w:val="00C16660"/>
    <w:rsid w:val="00C166DD"/>
    <w:rsid w:val="00C16862"/>
    <w:rsid w:val="00C1690A"/>
    <w:rsid w:val="00C16970"/>
    <w:rsid w:val="00C16A43"/>
    <w:rsid w:val="00C16A8D"/>
    <w:rsid w:val="00C16B2D"/>
    <w:rsid w:val="00C16BA8"/>
    <w:rsid w:val="00C16C3A"/>
    <w:rsid w:val="00C16E01"/>
    <w:rsid w:val="00C1703A"/>
    <w:rsid w:val="00C17170"/>
    <w:rsid w:val="00C172CE"/>
    <w:rsid w:val="00C1730A"/>
    <w:rsid w:val="00C1744C"/>
    <w:rsid w:val="00C174FB"/>
    <w:rsid w:val="00C17794"/>
    <w:rsid w:val="00C17814"/>
    <w:rsid w:val="00C17869"/>
    <w:rsid w:val="00C1789B"/>
    <w:rsid w:val="00C178EF"/>
    <w:rsid w:val="00C17B2E"/>
    <w:rsid w:val="00C17D07"/>
    <w:rsid w:val="00C17DDA"/>
    <w:rsid w:val="00C17F48"/>
    <w:rsid w:val="00C2005A"/>
    <w:rsid w:val="00C20345"/>
    <w:rsid w:val="00C203B3"/>
    <w:rsid w:val="00C2046E"/>
    <w:rsid w:val="00C20829"/>
    <w:rsid w:val="00C20C8B"/>
    <w:rsid w:val="00C20C8E"/>
    <w:rsid w:val="00C20D7F"/>
    <w:rsid w:val="00C211D7"/>
    <w:rsid w:val="00C21599"/>
    <w:rsid w:val="00C217BA"/>
    <w:rsid w:val="00C21921"/>
    <w:rsid w:val="00C21A72"/>
    <w:rsid w:val="00C21A7E"/>
    <w:rsid w:val="00C21B18"/>
    <w:rsid w:val="00C21C10"/>
    <w:rsid w:val="00C21CB2"/>
    <w:rsid w:val="00C21F0E"/>
    <w:rsid w:val="00C21F14"/>
    <w:rsid w:val="00C2215B"/>
    <w:rsid w:val="00C221BA"/>
    <w:rsid w:val="00C22471"/>
    <w:rsid w:val="00C22490"/>
    <w:rsid w:val="00C22610"/>
    <w:rsid w:val="00C228FE"/>
    <w:rsid w:val="00C22ED1"/>
    <w:rsid w:val="00C22EF9"/>
    <w:rsid w:val="00C22F8E"/>
    <w:rsid w:val="00C23082"/>
    <w:rsid w:val="00C2309D"/>
    <w:rsid w:val="00C2333E"/>
    <w:rsid w:val="00C23373"/>
    <w:rsid w:val="00C234EB"/>
    <w:rsid w:val="00C23A23"/>
    <w:rsid w:val="00C23B00"/>
    <w:rsid w:val="00C23B46"/>
    <w:rsid w:val="00C23BFE"/>
    <w:rsid w:val="00C23D68"/>
    <w:rsid w:val="00C24196"/>
    <w:rsid w:val="00C24A2B"/>
    <w:rsid w:val="00C24A40"/>
    <w:rsid w:val="00C24BC0"/>
    <w:rsid w:val="00C24D75"/>
    <w:rsid w:val="00C24E47"/>
    <w:rsid w:val="00C24F71"/>
    <w:rsid w:val="00C2506A"/>
    <w:rsid w:val="00C252B5"/>
    <w:rsid w:val="00C253E3"/>
    <w:rsid w:val="00C25417"/>
    <w:rsid w:val="00C254E0"/>
    <w:rsid w:val="00C2556C"/>
    <w:rsid w:val="00C25578"/>
    <w:rsid w:val="00C25753"/>
    <w:rsid w:val="00C2578A"/>
    <w:rsid w:val="00C258A1"/>
    <w:rsid w:val="00C259EC"/>
    <w:rsid w:val="00C25C19"/>
    <w:rsid w:val="00C25C33"/>
    <w:rsid w:val="00C25D9C"/>
    <w:rsid w:val="00C25EAA"/>
    <w:rsid w:val="00C2614C"/>
    <w:rsid w:val="00C263C2"/>
    <w:rsid w:val="00C26455"/>
    <w:rsid w:val="00C264E9"/>
    <w:rsid w:val="00C2671C"/>
    <w:rsid w:val="00C26945"/>
    <w:rsid w:val="00C2697B"/>
    <w:rsid w:val="00C26BB2"/>
    <w:rsid w:val="00C26C8E"/>
    <w:rsid w:val="00C26D42"/>
    <w:rsid w:val="00C26D8E"/>
    <w:rsid w:val="00C2712D"/>
    <w:rsid w:val="00C272E7"/>
    <w:rsid w:val="00C2730E"/>
    <w:rsid w:val="00C275A2"/>
    <w:rsid w:val="00C275A6"/>
    <w:rsid w:val="00C276B9"/>
    <w:rsid w:val="00C276E5"/>
    <w:rsid w:val="00C27753"/>
    <w:rsid w:val="00C279B6"/>
    <w:rsid w:val="00C279E5"/>
    <w:rsid w:val="00C279EE"/>
    <w:rsid w:val="00C27A6F"/>
    <w:rsid w:val="00C27D9E"/>
    <w:rsid w:val="00C3065B"/>
    <w:rsid w:val="00C3066D"/>
    <w:rsid w:val="00C30779"/>
    <w:rsid w:val="00C30790"/>
    <w:rsid w:val="00C307E9"/>
    <w:rsid w:val="00C30937"/>
    <w:rsid w:val="00C31083"/>
    <w:rsid w:val="00C31470"/>
    <w:rsid w:val="00C314A2"/>
    <w:rsid w:val="00C317E5"/>
    <w:rsid w:val="00C31A22"/>
    <w:rsid w:val="00C31E4C"/>
    <w:rsid w:val="00C31F6D"/>
    <w:rsid w:val="00C322F8"/>
    <w:rsid w:val="00C324AB"/>
    <w:rsid w:val="00C3263F"/>
    <w:rsid w:val="00C32835"/>
    <w:rsid w:val="00C3287B"/>
    <w:rsid w:val="00C32972"/>
    <w:rsid w:val="00C329E2"/>
    <w:rsid w:val="00C32B62"/>
    <w:rsid w:val="00C32BE5"/>
    <w:rsid w:val="00C32F9C"/>
    <w:rsid w:val="00C331B5"/>
    <w:rsid w:val="00C333AF"/>
    <w:rsid w:val="00C3342C"/>
    <w:rsid w:val="00C3369B"/>
    <w:rsid w:val="00C33793"/>
    <w:rsid w:val="00C338C3"/>
    <w:rsid w:val="00C339F8"/>
    <w:rsid w:val="00C33B9B"/>
    <w:rsid w:val="00C33C00"/>
    <w:rsid w:val="00C33CB0"/>
    <w:rsid w:val="00C33DAC"/>
    <w:rsid w:val="00C33E0D"/>
    <w:rsid w:val="00C34241"/>
    <w:rsid w:val="00C345FE"/>
    <w:rsid w:val="00C34666"/>
    <w:rsid w:val="00C347A5"/>
    <w:rsid w:val="00C349F1"/>
    <w:rsid w:val="00C34F58"/>
    <w:rsid w:val="00C34FDB"/>
    <w:rsid w:val="00C35513"/>
    <w:rsid w:val="00C35573"/>
    <w:rsid w:val="00C356EC"/>
    <w:rsid w:val="00C3581C"/>
    <w:rsid w:val="00C359E7"/>
    <w:rsid w:val="00C35A36"/>
    <w:rsid w:val="00C35C32"/>
    <w:rsid w:val="00C35CAE"/>
    <w:rsid w:val="00C35E2F"/>
    <w:rsid w:val="00C35E5B"/>
    <w:rsid w:val="00C36081"/>
    <w:rsid w:val="00C36107"/>
    <w:rsid w:val="00C36257"/>
    <w:rsid w:val="00C3631A"/>
    <w:rsid w:val="00C36608"/>
    <w:rsid w:val="00C3697A"/>
    <w:rsid w:val="00C36ACF"/>
    <w:rsid w:val="00C37191"/>
    <w:rsid w:val="00C371EC"/>
    <w:rsid w:val="00C3726E"/>
    <w:rsid w:val="00C37589"/>
    <w:rsid w:val="00C379A5"/>
    <w:rsid w:val="00C37ACE"/>
    <w:rsid w:val="00C37BD7"/>
    <w:rsid w:val="00C37C04"/>
    <w:rsid w:val="00C37D1A"/>
    <w:rsid w:val="00C37D5A"/>
    <w:rsid w:val="00C37E1A"/>
    <w:rsid w:val="00C37E9D"/>
    <w:rsid w:val="00C37F3E"/>
    <w:rsid w:val="00C4003C"/>
    <w:rsid w:val="00C402B6"/>
    <w:rsid w:val="00C402FE"/>
    <w:rsid w:val="00C40609"/>
    <w:rsid w:val="00C406DA"/>
    <w:rsid w:val="00C40AE6"/>
    <w:rsid w:val="00C40C7E"/>
    <w:rsid w:val="00C40CB8"/>
    <w:rsid w:val="00C40CCC"/>
    <w:rsid w:val="00C40D37"/>
    <w:rsid w:val="00C40E6B"/>
    <w:rsid w:val="00C40F02"/>
    <w:rsid w:val="00C40F11"/>
    <w:rsid w:val="00C40FBD"/>
    <w:rsid w:val="00C4140C"/>
    <w:rsid w:val="00C41580"/>
    <w:rsid w:val="00C418DB"/>
    <w:rsid w:val="00C419BB"/>
    <w:rsid w:val="00C41BFD"/>
    <w:rsid w:val="00C41C9E"/>
    <w:rsid w:val="00C422CC"/>
    <w:rsid w:val="00C42470"/>
    <w:rsid w:val="00C42498"/>
    <w:rsid w:val="00C426D1"/>
    <w:rsid w:val="00C4270D"/>
    <w:rsid w:val="00C4286A"/>
    <w:rsid w:val="00C42A0E"/>
    <w:rsid w:val="00C42B67"/>
    <w:rsid w:val="00C42CD6"/>
    <w:rsid w:val="00C42CFA"/>
    <w:rsid w:val="00C42E68"/>
    <w:rsid w:val="00C42E90"/>
    <w:rsid w:val="00C42FC1"/>
    <w:rsid w:val="00C4329E"/>
    <w:rsid w:val="00C4333E"/>
    <w:rsid w:val="00C4341B"/>
    <w:rsid w:val="00C436DF"/>
    <w:rsid w:val="00C43B3E"/>
    <w:rsid w:val="00C43B8B"/>
    <w:rsid w:val="00C43BE8"/>
    <w:rsid w:val="00C43D2D"/>
    <w:rsid w:val="00C43F8B"/>
    <w:rsid w:val="00C44090"/>
    <w:rsid w:val="00C4419D"/>
    <w:rsid w:val="00C44267"/>
    <w:rsid w:val="00C4444C"/>
    <w:rsid w:val="00C44587"/>
    <w:rsid w:val="00C44725"/>
    <w:rsid w:val="00C44813"/>
    <w:rsid w:val="00C44B12"/>
    <w:rsid w:val="00C44CAA"/>
    <w:rsid w:val="00C44F3B"/>
    <w:rsid w:val="00C44F4A"/>
    <w:rsid w:val="00C45080"/>
    <w:rsid w:val="00C45089"/>
    <w:rsid w:val="00C45175"/>
    <w:rsid w:val="00C453A2"/>
    <w:rsid w:val="00C456D4"/>
    <w:rsid w:val="00C45748"/>
    <w:rsid w:val="00C457C4"/>
    <w:rsid w:val="00C45907"/>
    <w:rsid w:val="00C45B59"/>
    <w:rsid w:val="00C45B8B"/>
    <w:rsid w:val="00C45C79"/>
    <w:rsid w:val="00C45D0C"/>
    <w:rsid w:val="00C45D12"/>
    <w:rsid w:val="00C45D8C"/>
    <w:rsid w:val="00C45DEC"/>
    <w:rsid w:val="00C45DF2"/>
    <w:rsid w:val="00C45EFC"/>
    <w:rsid w:val="00C45F7C"/>
    <w:rsid w:val="00C45F9F"/>
    <w:rsid w:val="00C45FFF"/>
    <w:rsid w:val="00C464EC"/>
    <w:rsid w:val="00C466C4"/>
    <w:rsid w:val="00C46A26"/>
    <w:rsid w:val="00C46A41"/>
    <w:rsid w:val="00C47283"/>
    <w:rsid w:val="00C472D1"/>
    <w:rsid w:val="00C4732D"/>
    <w:rsid w:val="00C473E4"/>
    <w:rsid w:val="00C47548"/>
    <w:rsid w:val="00C475BE"/>
    <w:rsid w:val="00C475D3"/>
    <w:rsid w:val="00C47603"/>
    <w:rsid w:val="00C47735"/>
    <w:rsid w:val="00C477BC"/>
    <w:rsid w:val="00C477CE"/>
    <w:rsid w:val="00C47858"/>
    <w:rsid w:val="00C47873"/>
    <w:rsid w:val="00C479BD"/>
    <w:rsid w:val="00C47AA3"/>
    <w:rsid w:val="00C47B31"/>
    <w:rsid w:val="00C47B9D"/>
    <w:rsid w:val="00C47CB7"/>
    <w:rsid w:val="00C47F19"/>
    <w:rsid w:val="00C47F38"/>
    <w:rsid w:val="00C500B6"/>
    <w:rsid w:val="00C50195"/>
    <w:rsid w:val="00C5032A"/>
    <w:rsid w:val="00C50367"/>
    <w:rsid w:val="00C50488"/>
    <w:rsid w:val="00C506DE"/>
    <w:rsid w:val="00C507B6"/>
    <w:rsid w:val="00C508F2"/>
    <w:rsid w:val="00C50B84"/>
    <w:rsid w:val="00C50BB4"/>
    <w:rsid w:val="00C50F2C"/>
    <w:rsid w:val="00C50F60"/>
    <w:rsid w:val="00C51289"/>
    <w:rsid w:val="00C51397"/>
    <w:rsid w:val="00C513EF"/>
    <w:rsid w:val="00C515AB"/>
    <w:rsid w:val="00C515BD"/>
    <w:rsid w:val="00C516DA"/>
    <w:rsid w:val="00C5193A"/>
    <w:rsid w:val="00C519D8"/>
    <w:rsid w:val="00C51A91"/>
    <w:rsid w:val="00C51C15"/>
    <w:rsid w:val="00C51D41"/>
    <w:rsid w:val="00C51D81"/>
    <w:rsid w:val="00C51F10"/>
    <w:rsid w:val="00C51F2D"/>
    <w:rsid w:val="00C51F6E"/>
    <w:rsid w:val="00C5265F"/>
    <w:rsid w:val="00C5298B"/>
    <w:rsid w:val="00C52C4B"/>
    <w:rsid w:val="00C52C75"/>
    <w:rsid w:val="00C52E0A"/>
    <w:rsid w:val="00C52F73"/>
    <w:rsid w:val="00C52FAF"/>
    <w:rsid w:val="00C533D5"/>
    <w:rsid w:val="00C533E4"/>
    <w:rsid w:val="00C5368F"/>
    <w:rsid w:val="00C536C2"/>
    <w:rsid w:val="00C5392C"/>
    <w:rsid w:val="00C53CAA"/>
    <w:rsid w:val="00C53DA8"/>
    <w:rsid w:val="00C53E36"/>
    <w:rsid w:val="00C53EF1"/>
    <w:rsid w:val="00C53F50"/>
    <w:rsid w:val="00C54219"/>
    <w:rsid w:val="00C54374"/>
    <w:rsid w:val="00C5452A"/>
    <w:rsid w:val="00C54649"/>
    <w:rsid w:val="00C5496E"/>
    <w:rsid w:val="00C54CD9"/>
    <w:rsid w:val="00C54CF2"/>
    <w:rsid w:val="00C54F87"/>
    <w:rsid w:val="00C54FDD"/>
    <w:rsid w:val="00C55031"/>
    <w:rsid w:val="00C551BA"/>
    <w:rsid w:val="00C55208"/>
    <w:rsid w:val="00C553A8"/>
    <w:rsid w:val="00C554CF"/>
    <w:rsid w:val="00C55837"/>
    <w:rsid w:val="00C55AB0"/>
    <w:rsid w:val="00C55E9F"/>
    <w:rsid w:val="00C55F0A"/>
    <w:rsid w:val="00C55F4D"/>
    <w:rsid w:val="00C56028"/>
    <w:rsid w:val="00C560BA"/>
    <w:rsid w:val="00C5629A"/>
    <w:rsid w:val="00C56371"/>
    <w:rsid w:val="00C563B4"/>
    <w:rsid w:val="00C566E8"/>
    <w:rsid w:val="00C5673E"/>
    <w:rsid w:val="00C56766"/>
    <w:rsid w:val="00C56821"/>
    <w:rsid w:val="00C56A22"/>
    <w:rsid w:val="00C56A51"/>
    <w:rsid w:val="00C56BEF"/>
    <w:rsid w:val="00C56D83"/>
    <w:rsid w:val="00C56EA8"/>
    <w:rsid w:val="00C57069"/>
    <w:rsid w:val="00C57347"/>
    <w:rsid w:val="00C573CA"/>
    <w:rsid w:val="00C57413"/>
    <w:rsid w:val="00C57559"/>
    <w:rsid w:val="00C57786"/>
    <w:rsid w:val="00C57E40"/>
    <w:rsid w:val="00C6019C"/>
    <w:rsid w:val="00C602AC"/>
    <w:rsid w:val="00C60318"/>
    <w:rsid w:val="00C607EC"/>
    <w:rsid w:val="00C60D3C"/>
    <w:rsid w:val="00C60D3E"/>
    <w:rsid w:val="00C61045"/>
    <w:rsid w:val="00C611AA"/>
    <w:rsid w:val="00C61470"/>
    <w:rsid w:val="00C61914"/>
    <w:rsid w:val="00C619AE"/>
    <w:rsid w:val="00C61B8F"/>
    <w:rsid w:val="00C61B93"/>
    <w:rsid w:val="00C61CD9"/>
    <w:rsid w:val="00C61CFE"/>
    <w:rsid w:val="00C61D2A"/>
    <w:rsid w:val="00C61D75"/>
    <w:rsid w:val="00C61DB7"/>
    <w:rsid w:val="00C61E9C"/>
    <w:rsid w:val="00C62014"/>
    <w:rsid w:val="00C62730"/>
    <w:rsid w:val="00C62825"/>
    <w:rsid w:val="00C62B54"/>
    <w:rsid w:val="00C62CB6"/>
    <w:rsid w:val="00C62DC1"/>
    <w:rsid w:val="00C62EE5"/>
    <w:rsid w:val="00C62F50"/>
    <w:rsid w:val="00C63119"/>
    <w:rsid w:val="00C6318B"/>
    <w:rsid w:val="00C63370"/>
    <w:rsid w:val="00C63435"/>
    <w:rsid w:val="00C634F5"/>
    <w:rsid w:val="00C63544"/>
    <w:rsid w:val="00C63885"/>
    <w:rsid w:val="00C63A12"/>
    <w:rsid w:val="00C63B8D"/>
    <w:rsid w:val="00C63CF6"/>
    <w:rsid w:val="00C64001"/>
    <w:rsid w:val="00C640A5"/>
    <w:rsid w:val="00C640CD"/>
    <w:rsid w:val="00C640CF"/>
    <w:rsid w:val="00C640F9"/>
    <w:rsid w:val="00C641AC"/>
    <w:rsid w:val="00C642CF"/>
    <w:rsid w:val="00C6435C"/>
    <w:rsid w:val="00C6440A"/>
    <w:rsid w:val="00C64668"/>
    <w:rsid w:val="00C646AF"/>
    <w:rsid w:val="00C64704"/>
    <w:rsid w:val="00C64793"/>
    <w:rsid w:val="00C649AC"/>
    <w:rsid w:val="00C649C1"/>
    <w:rsid w:val="00C64A70"/>
    <w:rsid w:val="00C64AB2"/>
    <w:rsid w:val="00C64BA2"/>
    <w:rsid w:val="00C64DDB"/>
    <w:rsid w:val="00C64F7D"/>
    <w:rsid w:val="00C650F5"/>
    <w:rsid w:val="00C65170"/>
    <w:rsid w:val="00C6519F"/>
    <w:rsid w:val="00C652C5"/>
    <w:rsid w:val="00C6545D"/>
    <w:rsid w:val="00C65497"/>
    <w:rsid w:val="00C6550D"/>
    <w:rsid w:val="00C656B9"/>
    <w:rsid w:val="00C65933"/>
    <w:rsid w:val="00C65B69"/>
    <w:rsid w:val="00C65C30"/>
    <w:rsid w:val="00C65CED"/>
    <w:rsid w:val="00C66005"/>
    <w:rsid w:val="00C6620C"/>
    <w:rsid w:val="00C662EA"/>
    <w:rsid w:val="00C6634D"/>
    <w:rsid w:val="00C6655F"/>
    <w:rsid w:val="00C667BD"/>
    <w:rsid w:val="00C6689D"/>
    <w:rsid w:val="00C66974"/>
    <w:rsid w:val="00C66A63"/>
    <w:rsid w:val="00C66B67"/>
    <w:rsid w:val="00C670F2"/>
    <w:rsid w:val="00C67147"/>
    <w:rsid w:val="00C6720E"/>
    <w:rsid w:val="00C67410"/>
    <w:rsid w:val="00C67589"/>
    <w:rsid w:val="00C675E2"/>
    <w:rsid w:val="00C6768E"/>
    <w:rsid w:val="00C67885"/>
    <w:rsid w:val="00C67CDE"/>
    <w:rsid w:val="00C67D2A"/>
    <w:rsid w:val="00C67F40"/>
    <w:rsid w:val="00C70299"/>
    <w:rsid w:val="00C702C9"/>
    <w:rsid w:val="00C703C6"/>
    <w:rsid w:val="00C70418"/>
    <w:rsid w:val="00C7061F"/>
    <w:rsid w:val="00C7072F"/>
    <w:rsid w:val="00C7077F"/>
    <w:rsid w:val="00C707FE"/>
    <w:rsid w:val="00C70C8A"/>
    <w:rsid w:val="00C70DBD"/>
    <w:rsid w:val="00C70EF6"/>
    <w:rsid w:val="00C70F44"/>
    <w:rsid w:val="00C71417"/>
    <w:rsid w:val="00C714CF"/>
    <w:rsid w:val="00C71713"/>
    <w:rsid w:val="00C71862"/>
    <w:rsid w:val="00C71E23"/>
    <w:rsid w:val="00C72094"/>
    <w:rsid w:val="00C721D3"/>
    <w:rsid w:val="00C7223B"/>
    <w:rsid w:val="00C722D3"/>
    <w:rsid w:val="00C7286D"/>
    <w:rsid w:val="00C72896"/>
    <w:rsid w:val="00C728A0"/>
    <w:rsid w:val="00C729E4"/>
    <w:rsid w:val="00C729FA"/>
    <w:rsid w:val="00C72C1C"/>
    <w:rsid w:val="00C72EF1"/>
    <w:rsid w:val="00C73009"/>
    <w:rsid w:val="00C73543"/>
    <w:rsid w:val="00C736FE"/>
    <w:rsid w:val="00C73738"/>
    <w:rsid w:val="00C7376A"/>
    <w:rsid w:val="00C73891"/>
    <w:rsid w:val="00C73B38"/>
    <w:rsid w:val="00C73B85"/>
    <w:rsid w:val="00C73C89"/>
    <w:rsid w:val="00C73D59"/>
    <w:rsid w:val="00C73F7B"/>
    <w:rsid w:val="00C7408A"/>
    <w:rsid w:val="00C740F3"/>
    <w:rsid w:val="00C74248"/>
    <w:rsid w:val="00C74277"/>
    <w:rsid w:val="00C74360"/>
    <w:rsid w:val="00C744D1"/>
    <w:rsid w:val="00C747E8"/>
    <w:rsid w:val="00C748D9"/>
    <w:rsid w:val="00C7492E"/>
    <w:rsid w:val="00C74A56"/>
    <w:rsid w:val="00C74AC6"/>
    <w:rsid w:val="00C74B08"/>
    <w:rsid w:val="00C74BD8"/>
    <w:rsid w:val="00C74CD4"/>
    <w:rsid w:val="00C74D5C"/>
    <w:rsid w:val="00C74E40"/>
    <w:rsid w:val="00C74E8C"/>
    <w:rsid w:val="00C75035"/>
    <w:rsid w:val="00C751D3"/>
    <w:rsid w:val="00C75260"/>
    <w:rsid w:val="00C752DC"/>
    <w:rsid w:val="00C753B0"/>
    <w:rsid w:val="00C7545D"/>
    <w:rsid w:val="00C755E7"/>
    <w:rsid w:val="00C756B6"/>
    <w:rsid w:val="00C75858"/>
    <w:rsid w:val="00C75A17"/>
    <w:rsid w:val="00C75AC7"/>
    <w:rsid w:val="00C75C2E"/>
    <w:rsid w:val="00C75D08"/>
    <w:rsid w:val="00C76619"/>
    <w:rsid w:val="00C767EA"/>
    <w:rsid w:val="00C767F2"/>
    <w:rsid w:val="00C76933"/>
    <w:rsid w:val="00C76A74"/>
    <w:rsid w:val="00C76ACB"/>
    <w:rsid w:val="00C76B06"/>
    <w:rsid w:val="00C76BBB"/>
    <w:rsid w:val="00C76BD6"/>
    <w:rsid w:val="00C76D09"/>
    <w:rsid w:val="00C76F3C"/>
    <w:rsid w:val="00C76F81"/>
    <w:rsid w:val="00C76F97"/>
    <w:rsid w:val="00C76FD4"/>
    <w:rsid w:val="00C76FE6"/>
    <w:rsid w:val="00C77029"/>
    <w:rsid w:val="00C7706C"/>
    <w:rsid w:val="00C7728A"/>
    <w:rsid w:val="00C7731A"/>
    <w:rsid w:val="00C77540"/>
    <w:rsid w:val="00C77676"/>
    <w:rsid w:val="00C77899"/>
    <w:rsid w:val="00C77CB2"/>
    <w:rsid w:val="00C77EF3"/>
    <w:rsid w:val="00C77F16"/>
    <w:rsid w:val="00C80212"/>
    <w:rsid w:val="00C806C9"/>
    <w:rsid w:val="00C80843"/>
    <w:rsid w:val="00C80AC1"/>
    <w:rsid w:val="00C80C94"/>
    <w:rsid w:val="00C80D52"/>
    <w:rsid w:val="00C80E47"/>
    <w:rsid w:val="00C80E5B"/>
    <w:rsid w:val="00C80EB4"/>
    <w:rsid w:val="00C80EE5"/>
    <w:rsid w:val="00C81067"/>
    <w:rsid w:val="00C811B4"/>
    <w:rsid w:val="00C8124B"/>
    <w:rsid w:val="00C8175D"/>
    <w:rsid w:val="00C81A41"/>
    <w:rsid w:val="00C81AD2"/>
    <w:rsid w:val="00C81F9A"/>
    <w:rsid w:val="00C82053"/>
    <w:rsid w:val="00C820ED"/>
    <w:rsid w:val="00C821CC"/>
    <w:rsid w:val="00C8238F"/>
    <w:rsid w:val="00C82453"/>
    <w:rsid w:val="00C8285C"/>
    <w:rsid w:val="00C82967"/>
    <w:rsid w:val="00C82A56"/>
    <w:rsid w:val="00C82C46"/>
    <w:rsid w:val="00C82CD6"/>
    <w:rsid w:val="00C82D9A"/>
    <w:rsid w:val="00C82F53"/>
    <w:rsid w:val="00C8304B"/>
    <w:rsid w:val="00C8310C"/>
    <w:rsid w:val="00C831C4"/>
    <w:rsid w:val="00C832FA"/>
    <w:rsid w:val="00C833A6"/>
    <w:rsid w:val="00C8343A"/>
    <w:rsid w:val="00C8349E"/>
    <w:rsid w:val="00C8354F"/>
    <w:rsid w:val="00C83834"/>
    <w:rsid w:val="00C838F6"/>
    <w:rsid w:val="00C83966"/>
    <w:rsid w:val="00C839F3"/>
    <w:rsid w:val="00C83B9D"/>
    <w:rsid w:val="00C83F2C"/>
    <w:rsid w:val="00C83FD5"/>
    <w:rsid w:val="00C8435D"/>
    <w:rsid w:val="00C845BC"/>
    <w:rsid w:val="00C845CE"/>
    <w:rsid w:val="00C8479F"/>
    <w:rsid w:val="00C847A1"/>
    <w:rsid w:val="00C84A4E"/>
    <w:rsid w:val="00C84E77"/>
    <w:rsid w:val="00C84F25"/>
    <w:rsid w:val="00C84F6C"/>
    <w:rsid w:val="00C84FA9"/>
    <w:rsid w:val="00C84FE2"/>
    <w:rsid w:val="00C85143"/>
    <w:rsid w:val="00C851F6"/>
    <w:rsid w:val="00C85471"/>
    <w:rsid w:val="00C8554A"/>
    <w:rsid w:val="00C855A7"/>
    <w:rsid w:val="00C85967"/>
    <w:rsid w:val="00C85AD1"/>
    <w:rsid w:val="00C85BF8"/>
    <w:rsid w:val="00C85DCD"/>
    <w:rsid w:val="00C86209"/>
    <w:rsid w:val="00C865E3"/>
    <w:rsid w:val="00C867C7"/>
    <w:rsid w:val="00C86918"/>
    <w:rsid w:val="00C86B0C"/>
    <w:rsid w:val="00C87307"/>
    <w:rsid w:val="00C8732F"/>
    <w:rsid w:val="00C873E5"/>
    <w:rsid w:val="00C874A7"/>
    <w:rsid w:val="00C875BD"/>
    <w:rsid w:val="00C87B7E"/>
    <w:rsid w:val="00C87B83"/>
    <w:rsid w:val="00C90158"/>
    <w:rsid w:val="00C90308"/>
    <w:rsid w:val="00C90348"/>
    <w:rsid w:val="00C90375"/>
    <w:rsid w:val="00C907D8"/>
    <w:rsid w:val="00C9097E"/>
    <w:rsid w:val="00C90C5C"/>
    <w:rsid w:val="00C90D0A"/>
    <w:rsid w:val="00C91102"/>
    <w:rsid w:val="00C91111"/>
    <w:rsid w:val="00C914A4"/>
    <w:rsid w:val="00C9155D"/>
    <w:rsid w:val="00C91703"/>
    <w:rsid w:val="00C9173C"/>
    <w:rsid w:val="00C91855"/>
    <w:rsid w:val="00C91967"/>
    <w:rsid w:val="00C91A22"/>
    <w:rsid w:val="00C91C4E"/>
    <w:rsid w:val="00C91CCF"/>
    <w:rsid w:val="00C920FD"/>
    <w:rsid w:val="00C92338"/>
    <w:rsid w:val="00C92386"/>
    <w:rsid w:val="00C923B0"/>
    <w:rsid w:val="00C9271F"/>
    <w:rsid w:val="00C927D7"/>
    <w:rsid w:val="00C92892"/>
    <w:rsid w:val="00C92986"/>
    <w:rsid w:val="00C92A78"/>
    <w:rsid w:val="00C92CFB"/>
    <w:rsid w:val="00C92D51"/>
    <w:rsid w:val="00C930B1"/>
    <w:rsid w:val="00C931A2"/>
    <w:rsid w:val="00C933B8"/>
    <w:rsid w:val="00C935BB"/>
    <w:rsid w:val="00C93A81"/>
    <w:rsid w:val="00C93A95"/>
    <w:rsid w:val="00C93B15"/>
    <w:rsid w:val="00C93C7B"/>
    <w:rsid w:val="00C93D9E"/>
    <w:rsid w:val="00C9414E"/>
    <w:rsid w:val="00C94453"/>
    <w:rsid w:val="00C94537"/>
    <w:rsid w:val="00C946FC"/>
    <w:rsid w:val="00C947DC"/>
    <w:rsid w:val="00C948A3"/>
    <w:rsid w:val="00C94C82"/>
    <w:rsid w:val="00C94FE3"/>
    <w:rsid w:val="00C9509E"/>
    <w:rsid w:val="00C9517A"/>
    <w:rsid w:val="00C9522F"/>
    <w:rsid w:val="00C9559D"/>
    <w:rsid w:val="00C956FC"/>
    <w:rsid w:val="00C95D39"/>
    <w:rsid w:val="00C95DF2"/>
    <w:rsid w:val="00C95E14"/>
    <w:rsid w:val="00C95FA7"/>
    <w:rsid w:val="00C96033"/>
    <w:rsid w:val="00C9604A"/>
    <w:rsid w:val="00C960A1"/>
    <w:rsid w:val="00C961FF"/>
    <w:rsid w:val="00C96344"/>
    <w:rsid w:val="00C96513"/>
    <w:rsid w:val="00C96648"/>
    <w:rsid w:val="00C968A7"/>
    <w:rsid w:val="00C968AE"/>
    <w:rsid w:val="00C96B70"/>
    <w:rsid w:val="00C96C60"/>
    <w:rsid w:val="00C96EA3"/>
    <w:rsid w:val="00C96FE1"/>
    <w:rsid w:val="00C97276"/>
    <w:rsid w:val="00C972BD"/>
    <w:rsid w:val="00C97334"/>
    <w:rsid w:val="00C97385"/>
    <w:rsid w:val="00C97415"/>
    <w:rsid w:val="00C97480"/>
    <w:rsid w:val="00C9750D"/>
    <w:rsid w:val="00C97772"/>
    <w:rsid w:val="00C979FD"/>
    <w:rsid w:val="00C97B2B"/>
    <w:rsid w:val="00C97CDE"/>
    <w:rsid w:val="00C97DAB"/>
    <w:rsid w:val="00C97E7B"/>
    <w:rsid w:val="00C97E9A"/>
    <w:rsid w:val="00CA075E"/>
    <w:rsid w:val="00CA0857"/>
    <w:rsid w:val="00CA08E9"/>
    <w:rsid w:val="00CA08EF"/>
    <w:rsid w:val="00CA0BEB"/>
    <w:rsid w:val="00CA0C87"/>
    <w:rsid w:val="00CA0F55"/>
    <w:rsid w:val="00CA1268"/>
    <w:rsid w:val="00CA1298"/>
    <w:rsid w:val="00CA1329"/>
    <w:rsid w:val="00CA13EB"/>
    <w:rsid w:val="00CA1ADF"/>
    <w:rsid w:val="00CA1C75"/>
    <w:rsid w:val="00CA1C79"/>
    <w:rsid w:val="00CA1D21"/>
    <w:rsid w:val="00CA1DDA"/>
    <w:rsid w:val="00CA1E9E"/>
    <w:rsid w:val="00CA1EC0"/>
    <w:rsid w:val="00CA207D"/>
    <w:rsid w:val="00CA220C"/>
    <w:rsid w:val="00CA2330"/>
    <w:rsid w:val="00CA2395"/>
    <w:rsid w:val="00CA23FD"/>
    <w:rsid w:val="00CA2856"/>
    <w:rsid w:val="00CA2999"/>
    <w:rsid w:val="00CA2CE0"/>
    <w:rsid w:val="00CA2F0C"/>
    <w:rsid w:val="00CA2FC4"/>
    <w:rsid w:val="00CA30D8"/>
    <w:rsid w:val="00CA32D3"/>
    <w:rsid w:val="00CA32EB"/>
    <w:rsid w:val="00CA33B5"/>
    <w:rsid w:val="00CA33BB"/>
    <w:rsid w:val="00CA33FC"/>
    <w:rsid w:val="00CA36AF"/>
    <w:rsid w:val="00CA37DF"/>
    <w:rsid w:val="00CA380B"/>
    <w:rsid w:val="00CA3BD2"/>
    <w:rsid w:val="00CA3D49"/>
    <w:rsid w:val="00CA3D67"/>
    <w:rsid w:val="00CA3F67"/>
    <w:rsid w:val="00CA4092"/>
    <w:rsid w:val="00CA41EE"/>
    <w:rsid w:val="00CA4212"/>
    <w:rsid w:val="00CA42E8"/>
    <w:rsid w:val="00CA44C7"/>
    <w:rsid w:val="00CA4752"/>
    <w:rsid w:val="00CA4928"/>
    <w:rsid w:val="00CA498E"/>
    <w:rsid w:val="00CA4D2E"/>
    <w:rsid w:val="00CA4E8B"/>
    <w:rsid w:val="00CA504B"/>
    <w:rsid w:val="00CA52DD"/>
    <w:rsid w:val="00CA52EE"/>
    <w:rsid w:val="00CA5724"/>
    <w:rsid w:val="00CA574E"/>
    <w:rsid w:val="00CA57C6"/>
    <w:rsid w:val="00CA5CCF"/>
    <w:rsid w:val="00CA5D54"/>
    <w:rsid w:val="00CA5D6B"/>
    <w:rsid w:val="00CA6106"/>
    <w:rsid w:val="00CA61BD"/>
    <w:rsid w:val="00CA6260"/>
    <w:rsid w:val="00CA629B"/>
    <w:rsid w:val="00CA64DB"/>
    <w:rsid w:val="00CA650E"/>
    <w:rsid w:val="00CA6660"/>
    <w:rsid w:val="00CA6701"/>
    <w:rsid w:val="00CA6969"/>
    <w:rsid w:val="00CA69E1"/>
    <w:rsid w:val="00CA6A67"/>
    <w:rsid w:val="00CA6B75"/>
    <w:rsid w:val="00CA6D4B"/>
    <w:rsid w:val="00CA704C"/>
    <w:rsid w:val="00CA70F1"/>
    <w:rsid w:val="00CA7156"/>
    <w:rsid w:val="00CA7368"/>
    <w:rsid w:val="00CA75D4"/>
    <w:rsid w:val="00CA7818"/>
    <w:rsid w:val="00CA781C"/>
    <w:rsid w:val="00CA7A4A"/>
    <w:rsid w:val="00CA7C17"/>
    <w:rsid w:val="00CA7C25"/>
    <w:rsid w:val="00CA7D26"/>
    <w:rsid w:val="00CA7F10"/>
    <w:rsid w:val="00CB00F6"/>
    <w:rsid w:val="00CB0354"/>
    <w:rsid w:val="00CB03D8"/>
    <w:rsid w:val="00CB0548"/>
    <w:rsid w:val="00CB0649"/>
    <w:rsid w:val="00CB08A1"/>
    <w:rsid w:val="00CB0A67"/>
    <w:rsid w:val="00CB0B1E"/>
    <w:rsid w:val="00CB0BAD"/>
    <w:rsid w:val="00CB0BE3"/>
    <w:rsid w:val="00CB0DF3"/>
    <w:rsid w:val="00CB1089"/>
    <w:rsid w:val="00CB1494"/>
    <w:rsid w:val="00CB15D2"/>
    <w:rsid w:val="00CB16BE"/>
    <w:rsid w:val="00CB1794"/>
    <w:rsid w:val="00CB182E"/>
    <w:rsid w:val="00CB189D"/>
    <w:rsid w:val="00CB18A7"/>
    <w:rsid w:val="00CB18AA"/>
    <w:rsid w:val="00CB1970"/>
    <w:rsid w:val="00CB198A"/>
    <w:rsid w:val="00CB1B92"/>
    <w:rsid w:val="00CB1CCB"/>
    <w:rsid w:val="00CB1D6B"/>
    <w:rsid w:val="00CB1F3D"/>
    <w:rsid w:val="00CB2138"/>
    <w:rsid w:val="00CB21BE"/>
    <w:rsid w:val="00CB21EA"/>
    <w:rsid w:val="00CB2224"/>
    <w:rsid w:val="00CB25E3"/>
    <w:rsid w:val="00CB28F3"/>
    <w:rsid w:val="00CB29C1"/>
    <w:rsid w:val="00CB29FE"/>
    <w:rsid w:val="00CB2B26"/>
    <w:rsid w:val="00CB2E6F"/>
    <w:rsid w:val="00CB318A"/>
    <w:rsid w:val="00CB3269"/>
    <w:rsid w:val="00CB3304"/>
    <w:rsid w:val="00CB358E"/>
    <w:rsid w:val="00CB3596"/>
    <w:rsid w:val="00CB368E"/>
    <w:rsid w:val="00CB3885"/>
    <w:rsid w:val="00CB3A83"/>
    <w:rsid w:val="00CB3E2A"/>
    <w:rsid w:val="00CB3EAB"/>
    <w:rsid w:val="00CB42B1"/>
    <w:rsid w:val="00CB4323"/>
    <w:rsid w:val="00CB4521"/>
    <w:rsid w:val="00CB46DB"/>
    <w:rsid w:val="00CB47BF"/>
    <w:rsid w:val="00CB489D"/>
    <w:rsid w:val="00CB4DF8"/>
    <w:rsid w:val="00CB520D"/>
    <w:rsid w:val="00CB539F"/>
    <w:rsid w:val="00CB5695"/>
    <w:rsid w:val="00CB580D"/>
    <w:rsid w:val="00CB5825"/>
    <w:rsid w:val="00CB5933"/>
    <w:rsid w:val="00CB5D27"/>
    <w:rsid w:val="00CB5F33"/>
    <w:rsid w:val="00CB6097"/>
    <w:rsid w:val="00CB62A7"/>
    <w:rsid w:val="00CB62B7"/>
    <w:rsid w:val="00CB6399"/>
    <w:rsid w:val="00CB64C3"/>
    <w:rsid w:val="00CB6607"/>
    <w:rsid w:val="00CB68DA"/>
    <w:rsid w:val="00CB69B5"/>
    <w:rsid w:val="00CB6C95"/>
    <w:rsid w:val="00CB6E98"/>
    <w:rsid w:val="00CB70F3"/>
    <w:rsid w:val="00CB7191"/>
    <w:rsid w:val="00CB71E0"/>
    <w:rsid w:val="00CB722D"/>
    <w:rsid w:val="00CB7384"/>
    <w:rsid w:val="00CB73A3"/>
    <w:rsid w:val="00CB74BD"/>
    <w:rsid w:val="00CB775F"/>
    <w:rsid w:val="00CB7F58"/>
    <w:rsid w:val="00CB7F99"/>
    <w:rsid w:val="00CC0288"/>
    <w:rsid w:val="00CC038B"/>
    <w:rsid w:val="00CC0627"/>
    <w:rsid w:val="00CC0AF9"/>
    <w:rsid w:val="00CC0EC2"/>
    <w:rsid w:val="00CC10B4"/>
    <w:rsid w:val="00CC12FB"/>
    <w:rsid w:val="00CC1521"/>
    <w:rsid w:val="00CC153E"/>
    <w:rsid w:val="00CC16B9"/>
    <w:rsid w:val="00CC196E"/>
    <w:rsid w:val="00CC1E72"/>
    <w:rsid w:val="00CC2392"/>
    <w:rsid w:val="00CC2533"/>
    <w:rsid w:val="00CC2566"/>
    <w:rsid w:val="00CC28A0"/>
    <w:rsid w:val="00CC297B"/>
    <w:rsid w:val="00CC2A73"/>
    <w:rsid w:val="00CC2C48"/>
    <w:rsid w:val="00CC2C6F"/>
    <w:rsid w:val="00CC2CCC"/>
    <w:rsid w:val="00CC31DB"/>
    <w:rsid w:val="00CC33F5"/>
    <w:rsid w:val="00CC344E"/>
    <w:rsid w:val="00CC346B"/>
    <w:rsid w:val="00CC3838"/>
    <w:rsid w:val="00CC3C3A"/>
    <w:rsid w:val="00CC3D35"/>
    <w:rsid w:val="00CC3D89"/>
    <w:rsid w:val="00CC3DEF"/>
    <w:rsid w:val="00CC3F59"/>
    <w:rsid w:val="00CC40EA"/>
    <w:rsid w:val="00CC41D3"/>
    <w:rsid w:val="00CC41FC"/>
    <w:rsid w:val="00CC43EC"/>
    <w:rsid w:val="00CC440B"/>
    <w:rsid w:val="00CC44B3"/>
    <w:rsid w:val="00CC44E3"/>
    <w:rsid w:val="00CC456B"/>
    <w:rsid w:val="00CC47BD"/>
    <w:rsid w:val="00CC4BD9"/>
    <w:rsid w:val="00CC5090"/>
    <w:rsid w:val="00CC52A1"/>
    <w:rsid w:val="00CC5379"/>
    <w:rsid w:val="00CC5414"/>
    <w:rsid w:val="00CC5416"/>
    <w:rsid w:val="00CC570C"/>
    <w:rsid w:val="00CC5AFC"/>
    <w:rsid w:val="00CC5BC1"/>
    <w:rsid w:val="00CC5BFA"/>
    <w:rsid w:val="00CC6165"/>
    <w:rsid w:val="00CC63E8"/>
    <w:rsid w:val="00CC648C"/>
    <w:rsid w:val="00CC666D"/>
    <w:rsid w:val="00CC6677"/>
    <w:rsid w:val="00CC667A"/>
    <w:rsid w:val="00CC6A0D"/>
    <w:rsid w:val="00CC6B35"/>
    <w:rsid w:val="00CC6BA3"/>
    <w:rsid w:val="00CC6EB7"/>
    <w:rsid w:val="00CC6F8D"/>
    <w:rsid w:val="00CC7230"/>
    <w:rsid w:val="00CC73C1"/>
    <w:rsid w:val="00CC7696"/>
    <w:rsid w:val="00CC770E"/>
    <w:rsid w:val="00CC7733"/>
    <w:rsid w:val="00CC793C"/>
    <w:rsid w:val="00CC79BA"/>
    <w:rsid w:val="00CD02BF"/>
    <w:rsid w:val="00CD03FF"/>
    <w:rsid w:val="00CD0421"/>
    <w:rsid w:val="00CD0737"/>
    <w:rsid w:val="00CD0890"/>
    <w:rsid w:val="00CD0A96"/>
    <w:rsid w:val="00CD0BFF"/>
    <w:rsid w:val="00CD0DB0"/>
    <w:rsid w:val="00CD0FFE"/>
    <w:rsid w:val="00CD13F0"/>
    <w:rsid w:val="00CD1410"/>
    <w:rsid w:val="00CD1473"/>
    <w:rsid w:val="00CD1755"/>
    <w:rsid w:val="00CD17BC"/>
    <w:rsid w:val="00CD17E7"/>
    <w:rsid w:val="00CD1819"/>
    <w:rsid w:val="00CD18AA"/>
    <w:rsid w:val="00CD1B0B"/>
    <w:rsid w:val="00CD1E18"/>
    <w:rsid w:val="00CD1E23"/>
    <w:rsid w:val="00CD1EAE"/>
    <w:rsid w:val="00CD209D"/>
    <w:rsid w:val="00CD24F0"/>
    <w:rsid w:val="00CD2546"/>
    <w:rsid w:val="00CD25AE"/>
    <w:rsid w:val="00CD28EE"/>
    <w:rsid w:val="00CD2EE2"/>
    <w:rsid w:val="00CD2FEF"/>
    <w:rsid w:val="00CD3120"/>
    <w:rsid w:val="00CD3248"/>
    <w:rsid w:val="00CD32C4"/>
    <w:rsid w:val="00CD32ED"/>
    <w:rsid w:val="00CD33F0"/>
    <w:rsid w:val="00CD3690"/>
    <w:rsid w:val="00CD388C"/>
    <w:rsid w:val="00CD3890"/>
    <w:rsid w:val="00CD38F9"/>
    <w:rsid w:val="00CD3954"/>
    <w:rsid w:val="00CD3A89"/>
    <w:rsid w:val="00CD3ACD"/>
    <w:rsid w:val="00CD3C7B"/>
    <w:rsid w:val="00CD3CC0"/>
    <w:rsid w:val="00CD3CEE"/>
    <w:rsid w:val="00CD3E71"/>
    <w:rsid w:val="00CD3E91"/>
    <w:rsid w:val="00CD3F20"/>
    <w:rsid w:val="00CD4029"/>
    <w:rsid w:val="00CD4191"/>
    <w:rsid w:val="00CD4303"/>
    <w:rsid w:val="00CD4317"/>
    <w:rsid w:val="00CD4710"/>
    <w:rsid w:val="00CD4712"/>
    <w:rsid w:val="00CD4976"/>
    <w:rsid w:val="00CD49A9"/>
    <w:rsid w:val="00CD49EA"/>
    <w:rsid w:val="00CD4D44"/>
    <w:rsid w:val="00CD4DD4"/>
    <w:rsid w:val="00CD4E05"/>
    <w:rsid w:val="00CD512F"/>
    <w:rsid w:val="00CD55DF"/>
    <w:rsid w:val="00CD56DB"/>
    <w:rsid w:val="00CD57B2"/>
    <w:rsid w:val="00CD5851"/>
    <w:rsid w:val="00CD597F"/>
    <w:rsid w:val="00CD5A6B"/>
    <w:rsid w:val="00CD5AD1"/>
    <w:rsid w:val="00CD5C01"/>
    <w:rsid w:val="00CD5D12"/>
    <w:rsid w:val="00CD5E4F"/>
    <w:rsid w:val="00CD63AB"/>
    <w:rsid w:val="00CD65F3"/>
    <w:rsid w:val="00CD6644"/>
    <w:rsid w:val="00CD669E"/>
    <w:rsid w:val="00CD67ED"/>
    <w:rsid w:val="00CD681D"/>
    <w:rsid w:val="00CD69E0"/>
    <w:rsid w:val="00CD6A2C"/>
    <w:rsid w:val="00CD6BC7"/>
    <w:rsid w:val="00CD6C26"/>
    <w:rsid w:val="00CD6D17"/>
    <w:rsid w:val="00CD6E3B"/>
    <w:rsid w:val="00CD6EB1"/>
    <w:rsid w:val="00CD735F"/>
    <w:rsid w:val="00CD751F"/>
    <w:rsid w:val="00CD7537"/>
    <w:rsid w:val="00CD7695"/>
    <w:rsid w:val="00CD7CA3"/>
    <w:rsid w:val="00CD7F9E"/>
    <w:rsid w:val="00CE0199"/>
    <w:rsid w:val="00CE02D6"/>
    <w:rsid w:val="00CE075D"/>
    <w:rsid w:val="00CE095C"/>
    <w:rsid w:val="00CE0B2E"/>
    <w:rsid w:val="00CE0D28"/>
    <w:rsid w:val="00CE0DA1"/>
    <w:rsid w:val="00CE0F89"/>
    <w:rsid w:val="00CE1068"/>
    <w:rsid w:val="00CE141F"/>
    <w:rsid w:val="00CE1651"/>
    <w:rsid w:val="00CE1850"/>
    <w:rsid w:val="00CE1B36"/>
    <w:rsid w:val="00CE1E31"/>
    <w:rsid w:val="00CE233B"/>
    <w:rsid w:val="00CE2364"/>
    <w:rsid w:val="00CE24F0"/>
    <w:rsid w:val="00CE25DE"/>
    <w:rsid w:val="00CE2611"/>
    <w:rsid w:val="00CE2982"/>
    <w:rsid w:val="00CE2C90"/>
    <w:rsid w:val="00CE2D43"/>
    <w:rsid w:val="00CE3077"/>
    <w:rsid w:val="00CE320C"/>
    <w:rsid w:val="00CE34A8"/>
    <w:rsid w:val="00CE34D1"/>
    <w:rsid w:val="00CE34FC"/>
    <w:rsid w:val="00CE3656"/>
    <w:rsid w:val="00CE3B03"/>
    <w:rsid w:val="00CE3F00"/>
    <w:rsid w:val="00CE3F5B"/>
    <w:rsid w:val="00CE404F"/>
    <w:rsid w:val="00CE4274"/>
    <w:rsid w:val="00CE47B6"/>
    <w:rsid w:val="00CE4A9B"/>
    <w:rsid w:val="00CE4E60"/>
    <w:rsid w:val="00CE5015"/>
    <w:rsid w:val="00CE5129"/>
    <w:rsid w:val="00CE53A3"/>
    <w:rsid w:val="00CE5480"/>
    <w:rsid w:val="00CE5527"/>
    <w:rsid w:val="00CE567D"/>
    <w:rsid w:val="00CE58F1"/>
    <w:rsid w:val="00CE5989"/>
    <w:rsid w:val="00CE5B95"/>
    <w:rsid w:val="00CE5B9A"/>
    <w:rsid w:val="00CE5BD4"/>
    <w:rsid w:val="00CE5BEB"/>
    <w:rsid w:val="00CE5E01"/>
    <w:rsid w:val="00CE5F2D"/>
    <w:rsid w:val="00CE6110"/>
    <w:rsid w:val="00CE6249"/>
    <w:rsid w:val="00CE6E11"/>
    <w:rsid w:val="00CE6F46"/>
    <w:rsid w:val="00CE6FD3"/>
    <w:rsid w:val="00CE705A"/>
    <w:rsid w:val="00CE7090"/>
    <w:rsid w:val="00CE70DB"/>
    <w:rsid w:val="00CE75EE"/>
    <w:rsid w:val="00CE76E7"/>
    <w:rsid w:val="00CE794D"/>
    <w:rsid w:val="00CE79D4"/>
    <w:rsid w:val="00CE7B27"/>
    <w:rsid w:val="00CE7C87"/>
    <w:rsid w:val="00CE7EE1"/>
    <w:rsid w:val="00CE7F1D"/>
    <w:rsid w:val="00CE7F9C"/>
    <w:rsid w:val="00CF02ED"/>
    <w:rsid w:val="00CF0339"/>
    <w:rsid w:val="00CF09DA"/>
    <w:rsid w:val="00CF09E4"/>
    <w:rsid w:val="00CF0AE2"/>
    <w:rsid w:val="00CF0C2F"/>
    <w:rsid w:val="00CF0E8F"/>
    <w:rsid w:val="00CF0EC8"/>
    <w:rsid w:val="00CF1A77"/>
    <w:rsid w:val="00CF1C1C"/>
    <w:rsid w:val="00CF1C59"/>
    <w:rsid w:val="00CF1D85"/>
    <w:rsid w:val="00CF1E2F"/>
    <w:rsid w:val="00CF2118"/>
    <w:rsid w:val="00CF2510"/>
    <w:rsid w:val="00CF254A"/>
    <w:rsid w:val="00CF25BA"/>
    <w:rsid w:val="00CF25F0"/>
    <w:rsid w:val="00CF2982"/>
    <w:rsid w:val="00CF2A9F"/>
    <w:rsid w:val="00CF2DB6"/>
    <w:rsid w:val="00CF2E3B"/>
    <w:rsid w:val="00CF30D8"/>
    <w:rsid w:val="00CF31AB"/>
    <w:rsid w:val="00CF3201"/>
    <w:rsid w:val="00CF3470"/>
    <w:rsid w:val="00CF39AC"/>
    <w:rsid w:val="00CF3B55"/>
    <w:rsid w:val="00CF3BE7"/>
    <w:rsid w:val="00CF3C1F"/>
    <w:rsid w:val="00CF3E7B"/>
    <w:rsid w:val="00CF4228"/>
    <w:rsid w:val="00CF426E"/>
    <w:rsid w:val="00CF427D"/>
    <w:rsid w:val="00CF4520"/>
    <w:rsid w:val="00CF4779"/>
    <w:rsid w:val="00CF4938"/>
    <w:rsid w:val="00CF4942"/>
    <w:rsid w:val="00CF4D5E"/>
    <w:rsid w:val="00CF4E81"/>
    <w:rsid w:val="00CF4EE1"/>
    <w:rsid w:val="00CF5112"/>
    <w:rsid w:val="00CF51EB"/>
    <w:rsid w:val="00CF53FE"/>
    <w:rsid w:val="00CF57A1"/>
    <w:rsid w:val="00CF58C1"/>
    <w:rsid w:val="00CF59E9"/>
    <w:rsid w:val="00CF5CEA"/>
    <w:rsid w:val="00CF5D19"/>
    <w:rsid w:val="00CF5E70"/>
    <w:rsid w:val="00CF5E9C"/>
    <w:rsid w:val="00CF61EC"/>
    <w:rsid w:val="00CF61FB"/>
    <w:rsid w:val="00CF6405"/>
    <w:rsid w:val="00CF68BB"/>
    <w:rsid w:val="00CF68EE"/>
    <w:rsid w:val="00CF6BE1"/>
    <w:rsid w:val="00CF6CFE"/>
    <w:rsid w:val="00CF703E"/>
    <w:rsid w:val="00CF747E"/>
    <w:rsid w:val="00CF7556"/>
    <w:rsid w:val="00CF7564"/>
    <w:rsid w:val="00CF766C"/>
    <w:rsid w:val="00CF7671"/>
    <w:rsid w:val="00CF7782"/>
    <w:rsid w:val="00CF789B"/>
    <w:rsid w:val="00CF78D4"/>
    <w:rsid w:val="00CF7B0D"/>
    <w:rsid w:val="00CF7BF5"/>
    <w:rsid w:val="00CF7FD7"/>
    <w:rsid w:val="00D003EB"/>
    <w:rsid w:val="00D009C6"/>
    <w:rsid w:val="00D00A97"/>
    <w:rsid w:val="00D00AD3"/>
    <w:rsid w:val="00D00DE3"/>
    <w:rsid w:val="00D010F5"/>
    <w:rsid w:val="00D01277"/>
    <w:rsid w:val="00D01341"/>
    <w:rsid w:val="00D013EB"/>
    <w:rsid w:val="00D01676"/>
    <w:rsid w:val="00D016A3"/>
    <w:rsid w:val="00D0185A"/>
    <w:rsid w:val="00D01904"/>
    <w:rsid w:val="00D01AC9"/>
    <w:rsid w:val="00D01B21"/>
    <w:rsid w:val="00D01C65"/>
    <w:rsid w:val="00D01CFC"/>
    <w:rsid w:val="00D01D1F"/>
    <w:rsid w:val="00D01F46"/>
    <w:rsid w:val="00D020CE"/>
    <w:rsid w:val="00D02527"/>
    <w:rsid w:val="00D025D2"/>
    <w:rsid w:val="00D02690"/>
    <w:rsid w:val="00D026F1"/>
    <w:rsid w:val="00D027B4"/>
    <w:rsid w:val="00D029AB"/>
    <w:rsid w:val="00D02A40"/>
    <w:rsid w:val="00D02D6D"/>
    <w:rsid w:val="00D02D79"/>
    <w:rsid w:val="00D02E92"/>
    <w:rsid w:val="00D02F13"/>
    <w:rsid w:val="00D02F1E"/>
    <w:rsid w:val="00D03077"/>
    <w:rsid w:val="00D03197"/>
    <w:rsid w:val="00D036EB"/>
    <w:rsid w:val="00D0395E"/>
    <w:rsid w:val="00D041B5"/>
    <w:rsid w:val="00D041C2"/>
    <w:rsid w:val="00D04AC7"/>
    <w:rsid w:val="00D04EE4"/>
    <w:rsid w:val="00D050FD"/>
    <w:rsid w:val="00D051E4"/>
    <w:rsid w:val="00D0551A"/>
    <w:rsid w:val="00D058C2"/>
    <w:rsid w:val="00D05BE6"/>
    <w:rsid w:val="00D05C18"/>
    <w:rsid w:val="00D05C8A"/>
    <w:rsid w:val="00D062CD"/>
    <w:rsid w:val="00D06329"/>
    <w:rsid w:val="00D063E0"/>
    <w:rsid w:val="00D063F6"/>
    <w:rsid w:val="00D066B9"/>
    <w:rsid w:val="00D06709"/>
    <w:rsid w:val="00D06816"/>
    <w:rsid w:val="00D06C5C"/>
    <w:rsid w:val="00D06DCD"/>
    <w:rsid w:val="00D0704B"/>
    <w:rsid w:val="00D072B4"/>
    <w:rsid w:val="00D072F3"/>
    <w:rsid w:val="00D0734E"/>
    <w:rsid w:val="00D078A8"/>
    <w:rsid w:val="00D0792E"/>
    <w:rsid w:val="00D07931"/>
    <w:rsid w:val="00D079AA"/>
    <w:rsid w:val="00D07C90"/>
    <w:rsid w:val="00D07F52"/>
    <w:rsid w:val="00D10005"/>
    <w:rsid w:val="00D101D0"/>
    <w:rsid w:val="00D1046C"/>
    <w:rsid w:val="00D105FB"/>
    <w:rsid w:val="00D107A9"/>
    <w:rsid w:val="00D10848"/>
    <w:rsid w:val="00D108B4"/>
    <w:rsid w:val="00D10C05"/>
    <w:rsid w:val="00D10C72"/>
    <w:rsid w:val="00D10D24"/>
    <w:rsid w:val="00D1136A"/>
    <w:rsid w:val="00D1140F"/>
    <w:rsid w:val="00D11418"/>
    <w:rsid w:val="00D11419"/>
    <w:rsid w:val="00D1167A"/>
    <w:rsid w:val="00D11922"/>
    <w:rsid w:val="00D11B41"/>
    <w:rsid w:val="00D11E19"/>
    <w:rsid w:val="00D11FBA"/>
    <w:rsid w:val="00D120AB"/>
    <w:rsid w:val="00D12180"/>
    <w:rsid w:val="00D121DA"/>
    <w:rsid w:val="00D12236"/>
    <w:rsid w:val="00D122EF"/>
    <w:rsid w:val="00D12576"/>
    <w:rsid w:val="00D12587"/>
    <w:rsid w:val="00D12775"/>
    <w:rsid w:val="00D1298E"/>
    <w:rsid w:val="00D12ADC"/>
    <w:rsid w:val="00D12BED"/>
    <w:rsid w:val="00D12DB0"/>
    <w:rsid w:val="00D1304B"/>
    <w:rsid w:val="00D13129"/>
    <w:rsid w:val="00D13215"/>
    <w:rsid w:val="00D132B7"/>
    <w:rsid w:val="00D133DE"/>
    <w:rsid w:val="00D13918"/>
    <w:rsid w:val="00D13C75"/>
    <w:rsid w:val="00D13CFD"/>
    <w:rsid w:val="00D13D61"/>
    <w:rsid w:val="00D13F20"/>
    <w:rsid w:val="00D14027"/>
    <w:rsid w:val="00D1407A"/>
    <w:rsid w:val="00D14169"/>
    <w:rsid w:val="00D1433A"/>
    <w:rsid w:val="00D146B0"/>
    <w:rsid w:val="00D14831"/>
    <w:rsid w:val="00D14BD8"/>
    <w:rsid w:val="00D14C52"/>
    <w:rsid w:val="00D14D59"/>
    <w:rsid w:val="00D150FC"/>
    <w:rsid w:val="00D1510C"/>
    <w:rsid w:val="00D15249"/>
    <w:rsid w:val="00D15287"/>
    <w:rsid w:val="00D15649"/>
    <w:rsid w:val="00D156A4"/>
    <w:rsid w:val="00D1578C"/>
    <w:rsid w:val="00D1579B"/>
    <w:rsid w:val="00D157CF"/>
    <w:rsid w:val="00D1592A"/>
    <w:rsid w:val="00D15BDD"/>
    <w:rsid w:val="00D15D0D"/>
    <w:rsid w:val="00D15FC0"/>
    <w:rsid w:val="00D16016"/>
    <w:rsid w:val="00D16266"/>
    <w:rsid w:val="00D163DB"/>
    <w:rsid w:val="00D16438"/>
    <w:rsid w:val="00D1671B"/>
    <w:rsid w:val="00D167A7"/>
    <w:rsid w:val="00D167E8"/>
    <w:rsid w:val="00D1685C"/>
    <w:rsid w:val="00D16A99"/>
    <w:rsid w:val="00D17314"/>
    <w:rsid w:val="00D17558"/>
    <w:rsid w:val="00D175CD"/>
    <w:rsid w:val="00D1765D"/>
    <w:rsid w:val="00D176A0"/>
    <w:rsid w:val="00D17747"/>
    <w:rsid w:val="00D17799"/>
    <w:rsid w:val="00D17B49"/>
    <w:rsid w:val="00D17BBA"/>
    <w:rsid w:val="00D17C06"/>
    <w:rsid w:val="00D17D7F"/>
    <w:rsid w:val="00D2006E"/>
    <w:rsid w:val="00D200B9"/>
    <w:rsid w:val="00D20227"/>
    <w:rsid w:val="00D2031B"/>
    <w:rsid w:val="00D2033A"/>
    <w:rsid w:val="00D2037C"/>
    <w:rsid w:val="00D20666"/>
    <w:rsid w:val="00D206AB"/>
    <w:rsid w:val="00D20736"/>
    <w:rsid w:val="00D20799"/>
    <w:rsid w:val="00D2094E"/>
    <w:rsid w:val="00D20BAF"/>
    <w:rsid w:val="00D20BCB"/>
    <w:rsid w:val="00D20C45"/>
    <w:rsid w:val="00D20C51"/>
    <w:rsid w:val="00D20ECB"/>
    <w:rsid w:val="00D20F24"/>
    <w:rsid w:val="00D211B5"/>
    <w:rsid w:val="00D21260"/>
    <w:rsid w:val="00D21314"/>
    <w:rsid w:val="00D21357"/>
    <w:rsid w:val="00D213A3"/>
    <w:rsid w:val="00D21427"/>
    <w:rsid w:val="00D2189F"/>
    <w:rsid w:val="00D21BCA"/>
    <w:rsid w:val="00D21E01"/>
    <w:rsid w:val="00D21E38"/>
    <w:rsid w:val="00D21E74"/>
    <w:rsid w:val="00D224E3"/>
    <w:rsid w:val="00D22CC7"/>
    <w:rsid w:val="00D22D9F"/>
    <w:rsid w:val="00D22EBD"/>
    <w:rsid w:val="00D22F29"/>
    <w:rsid w:val="00D232BD"/>
    <w:rsid w:val="00D23AA9"/>
    <w:rsid w:val="00D23AAB"/>
    <w:rsid w:val="00D23AFF"/>
    <w:rsid w:val="00D23B04"/>
    <w:rsid w:val="00D23C03"/>
    <w:rsid w:val="00D23C5E"/>
    <w:rsid w:val="00D23DB0"/>
    <w:rsid w:val="00D23DD6"/>
    <w:rsid w:val="00D23FBB"/>
    <w:rsid w:val="00D23FD8"/>
    <w:rsid w:val="00D241C1"/>
    <w:rsid w:val="00D247A7"/>
    <w:rsid w:val="00D24956"/>
    <w:rsid w:val="00D24A13"/>
    <w:rsid w:val="00D24CD8"/>
    <w:rsid w:val="00D25110"/>
    <w:rsid w:val="00D2513E"/>
    <w:rsid w:val="00D2523C"/>
    <w:rsid w:val="00D25243"/>
    <w:rsid w:val="00D25509"/>
    <w:rsid w:val="00D2551E"/>
    <w:rsid w:val="00D25646"/>
    <w:rsid w:val="00D258E7"/>
    <w:rsid w:val="00D25A37"/>
    <w:rsid w:val="00D25B16"/>
    <w:rsid w:val="00D25B4C"/>
    <w:rsid w:val="00D25C3B"/>
    <w:rsid w:val="00D25D9D"/>
    <w:rsid w:val="00D25E31"/>
    <w:rsid w:val="00D25F09"/>
    <w:rsid w:val="00D260CF"/>
    <w:rsid w:val="00D26337"/>
    <w:rsid w:val="00D263B0"/>
    <w:rsid w:val="00D264DF"/>
    <w:rsid w:val="00D264E1"/>
    <w:rsid w:val="00D26732"/>
    <w:rsid w:val="00D26882"/>
    <w:rsid w:val="00D26995"/>
    <w:rsid w:val="00D26A10"/>
    <w:rsid w:val="00D26DB6"/>
    <w:rsid w:val="00D26DB7"/>
    <w:rsid w:val="00D26DC7"/>
    <w:rsid w:val="00D27083"/>
    <w:rsid w:val="00D270C2"/>
    <w:rsid w:val="00D272B7"/>
    <w:rsid w:val="00D2731D"/>
    <w:rsid w:val="00D275FD"/>
    <w:rsid w:val="00D276D4"/>
    <w:rsid w:val="00D277F7"/>
    <w:rsid w:val="00D27857"/>
    <w:rsid w:val="00D278AF"/>
    <w:rsid w:val="00D278B4"/>
    <w:rsid w:val="00D27A0E"/>
    <w:rsid w:val="00D27C0F"/>
    <w:rsid w:val="00D27E30"/>
    <w:rsid w:val="00D27F50"/>
    <w:rsid w:val="00D3004F"/>
    <w:rsid w:val="00D300AA"/>
    <w:rsid w:val="00D300FA"/>
    <w:rsid w:val="00D302B1"/>
    <w:rsid w:val="00D30431"/>
    <w:rsid w:val="00D304A0"/>
    <w:rsid w:val="00D30567"/>
    <w:rsid w:val="00D305BE"/>
    <w:rsid w:val="00D3065D"/>
    <w:rsid w:val="00D30683"/>
    <w:rsid w:val="00D308F1"/>
    <w:rsid w:val="00D309D0"/>
    <w:rsid w:val="00D30A87"/>
    <w:rsid w:val="00D30BB6"/>
    <w:rsid w:val="00D30CF2"/>
    <w:rsid w:val="00D30D0B"/>
    <w:rsid w:val="00D30DAC"/>
    <w:rsid w:val="00D30E40"/>
    <w:rsid w:val="00D30F01"/>
    <w:rsid w:val="00D3147D"/>
    <w:rsid w:val="00D31748"/>
    <w:rsid w:val="00D318A0"/>
    <w:rsid w:val="00D31A04"/>
    <w:rsid w:val="00D31D03"/>
    <w:rsid w:val="00D31D35"/>
    <w:rsid w:val="00D31F9F"/>
    <w:rsid w:val="00D3204C"/>
    <w:rsid w:val="00D32127"/>
    <w:rsid w:val="00D32298"/>
    <w:rsid w:val="00D32A58"/>
    <w:rsid w:val="00D32EA3"/>
    <w:rsid w:val="00D32EFB"/>
    <w:rsid w:val="00D32FCE"/>
    <w:rsid w:val="00D3314D"/>
    <w:rsid w:val="00D33266"/>
    <w:rsid w:val="00D332B7"/>
    <w:rsid w:val="00D33479"/>
    <w:rsid w:val="00D335A4"/>
    <w:rsid w:val="00D3360D"/>
    <w:rsid w:val="00D3361D"/>
    <w:rsid w:val="00D336E6"/>
    <w:rsid w:val="00D337F7"/>
    <w:rsid w:val="00D3388F"/>
    <w:rsid w:val="00D33979"/>
    <w:rsid w:val="00D33A4C"/>
    <w:rsid w:val="00D33D48"/>
    <w:rsid w:val="00D33DD0"/>
    <w:rsid w:val="00D33F1B"/>
    <w:rsid w:val="00D33FD4"/>
    <w:rsid w:val="00D3411B"/>
    <w:rsid w:val="00D34436"/>
    <w:rsid w:val="00D34540"/>
    <w:rsid w:val="00D345BF"/>
    <w:rsid w:val="00D34619"/>
    <w:rsid w:val="00D348A7"/>
    <w:rsid w:val="00D34A39"/>
    <w:rsid w:val="00D34C71"/>
    <w:rsid w:val="00D34E38"/>
    <w:rsid w:val="00D34EA6"/>
    <w:rsid w:val="00D34F10"/>
    <w:rsid w:val="00D35194"/>
    <w:rsid w:val="00D35284"/>
    <w:rsid w:val="00D3535F"/>
    <w:rsid w:val="00D35512"/>
    <w:rsid w:val="00D35635"/>
    <w:rsid w:val="00D35641"/>
    <w:rsid w:val="00D356AC"/>
    <w:rsid w:val="00D35779"/>
    <w:rsid w:val="00D358D7"/>
    <w:rsid w:val="00D3596E"/>
    <w:rsid w:val="00D35A1F"/>
    <w:rsid w:val="00D35A76"/>
    <w:rsid w:val="00D35CE3"/>
    <w:rsid w:val="00D3667E"/>
    <w:rsid w:val="00D36714"/>
    <w:rsid w:val="00D3695E"/>
    <w:rsid w:val="00D36A18"/>
    <w:rsid w:val="00D36BF8"/>
    <w:rsid w:val="00D36C1E"/>
    <w:rsid w:val="00D36CE6"/>
    <w:rsid w:val="00D36D3D"/>
    <w:rsid w:val="00D36EC8"/>
    <w:rsid w:val="00D36FBF"/>
    <w:rsid w:val="00D370C2"/>
    <w:rsid w:val="00D371C3"/>
    <w:rsid w:val="00D371EB"/>
    <w:rsid w:val="00D37309"/>
    <w:rsid w:val="00D37312"/>
    <w:rsid w:val="00D3778F"/>
    <w:rsid w:val="00D377D4"/>
    <w:rsid w:val="00D37923"/>
    <w:rsid w:val="00D37A70"/>
    <w:rsid w:val="00D37AB4"/>
    <w:rsid w:val="00D37DF4"/>
    <w:rsid w:val="00D37FA6"/>
    <w:rsid w:val="00D37FC2"/>
    <w:rsid w:val="00D40173"/>
    <w:rsid w:val="00D405FE"/>
    <w:rsid w:val="00D4065A"/>
    <w:rsid w:val="00D406D9"/>
    <w:rsid w:val="00D407BB"/>
    <w:rsid w:val="00D407CD"/>
    <w:rsid w:val="00D40B0F"/>
    <w:rsid w:val="00D40C31"/>
    <w:rsid w:val="00D40CC6"/>
    <w:rsid w:val="00D40E33"/>
    <w:rsid w:val="00D40E7E"/>
    <w:rsid w:val="00D40F93"/>
    <w:rsid w:val="00D40FF8"/>
    <w:rsid w:val="00D411D2"/>
    <w:rsid w:val="00D41208"/>
    <w:rsid w:val="00D41297"/>
    <w:rsid w:val="00D41455"/>
    <w:rsid w:val="00D415C1"/>
    <w:rsid w:val="00D41A91"/>
    <w:rsid w:val="00D41AF1"/>
    <w:rsid w:val="00D41BF0"/>
    <w:rsid w:val="00D41C64"/>
    <w:rsid w:val="00D41CDD"/>
    <w:rsid w:val="00D41D74"/>
    <w:rsid w:val="00D41F97"/>
    <w:rsid w:val="00D42137"/>
    <w:rsid w:val="00D42155"/>
    <w:rsid w:val="00D421D5"/>
    <w:rsid w:val="00D42462"/>
    <w:rsid w:val="00D4249A"/>
    <w:rsid w:val="00D42618"/>
    <w:rsid w:val="00D4268B"/>
    <w:rsid w:val="00D42A17"/>
    <w:rsid w:val="00D42AC2"/>
    <w:rsid w:val="00D42BEC"/>
    <w:rsid w:val="00D42FB5"/>
    <w:rsid w:val="00D433DD"/>
    <w:rsid w:val="00D4386E"/>
    <w:rsid w:val="00D4398C"/>
    <w:rsid w:val="00D439AF"/>
    <w:rsid w:val="00D43DD8"/>
    <w:rsid w:val="00D43DE8"/>
    <w:rsid w:val="00D43E04"/>
    <w:rsid w:val="00D44193"/>
    <w:rsid w:val="00D44511"/>
    <w:rsid w:val="00D446F1"/>
    <w:rsid w:val="00D446F4"/>
    <w:rsid w:val="00D446FA"/>
    <w:rsid w:val="00D44845"/>
    <w:rsid w:val="00D448CD"/>
    <w:rsid w:val="00D44DAE"/>
    <w:rsid w:val="00D44DF2"/>
    <w:rsid w:val="00D44E97"/>
    <w:rsid w:val="00D4512B"/>
    <w:rsid w:val="00D4516D"/>
    <w:rsid w:val="00D451BC"/>
    <w:rsid w:val="00D452DB"/>
    <w:rsid w:val="00D454DB"/>
    <w:rsid w:val="00D455D5"/>
    <w:rsid w:val="00D45937"/>
    <w:rsid w:val="00D45B61"/>
    <w:rsid w:val="00D45B99"/>
    <w:rsid w:val="00D45BD8"/>
    <w:rsid w:val="00D45BF1"/>
    <w:rsid w:val="00D45DC8"/>
    <w:rsid w:val="00D46088"/>
    <w:rsid w:val="00D460E4"/>
    <w:rsid w:val="00D46687"/>
    <w:rsid w:val="00D46891"/>
    <w:rsid w:val="00D46C01"/>
    <w:rsid w:val="00D46DA4"/>
    <w:rsid w:val="00D46F9E"/>
    <w:rsid w:val="00D46FFA"/>
    <w:rsid w:val="00D47023"/>
    <w:rsid w:val="00D4716D"/>
    <w:rsid w:val="00D471A9"/>
    <w:rsid w:val="00D472A3"/>
    <w:rsid w:val="00D4749D"/>
    <w:rsid w:val="00D478D4"/>
    <w:rsid w:val="00D479BE"/>
    <w:rsid w:val="00D479E5"/>
    <w:rsid w:val="00D47B9B"/>
    <w:rsid w:val="00D47BF8"/>
    <w:rsid w:val="00D47FDB"/>
    <w:rsid w:val="00D501FE"/>
    <w:rsid w:val="00D50213"/>
    <w:rsid w:val="00D50255"/>
    <w:rsid w:val="00D5039A"/>
    <w:rsid w:val="00D50663"/>
    <w:rsid w:val="00D50750"/>
    <w:rsid w:val="00D50AA3"/>
    <w:rsid w:val="00D50B26"/>
    <w:rsid w:val="00D50C2F"/>
    <w:rsid w:val="00D50D83"/>
    <w:rsid w:val="00D50FE3"/>
    <w:rsid w:val="00D511E5"/>
    <w:rsid w:val="00D51472"/>
    <w:rsid w:val="00D51535"/>
    <w:rsid w:val="00D51649"/>
    <w:rsid w:val="00D51A40"/>
    <w:rsid w:val="00D51B23"/>
    <w:rsid w:val="00D51C79"/>
    <w:rsid w:val="00D51D29"/>
    <w:rsid w:val="00D51D6B"/>
    <w:rsid w:val="00D51E66"/>
    <w:rsid w:val="00D52097"/>
    <w:rsid w:val="00D521E2"/>
    <w:rsid w:val="00D522A2"/>
    <w:rsid w:val="00D52360"/>
    <w:rsid w:val="00D52414"/>
    <w:rsid w:val="00D525BB"/>
    <w:rsid w:val="00D5260A"/>
    <w:rsid w:val="00D52611"/>
    <w:rsid w:val="00D5264F"/>
    <w:rsid w:val="00D5290F"/>
    <w:rsid w:val="00D52B17"/>
    <w:rsid w:val="00D52B49"/>
    <w:rsid w:val="00D52DD5"/>
    <w:rsid w:val="00D52FD8"/>
    <w:rsid w:val="00D531F8"/>
    <w:rsid w:val="00D532A9"/>
    <w:rsid w:val="00D5337A"/>
    <w:rsid w:val="00D53516"/>
    <w:rsid w:val="00D53584"/>
    <w:rsid w:val="00D53600"/>
    <w:rsid w:val="00D537E1"/>
    <w:rsid w:val="00D53A74"/>
    <w:rsid w:val="00D53B43"/>
    <w:rsid w:val="00D53E6D"/>
    <w:rsid w:val="00D53E9F"/>
    <w:rsid w:val="00D54067"/>
    <w:rsid w:val="00D5414E"/>
    <w:rsid w:val="00D54733"/>
    <w:rsid w:val="00D547BA"/>
    <w:rsid w:val="00D54C6D"/>
    <w:rsid w:val="00D54E83"/>
    <w:rsid w:val="00D55454"/>
    <w:rsid w:val="00D5570A"/>
    <w:rsid w:val="00D558C3"/>
    <w:rsid w:val="00D55C4B"/>
    <w:rsid w:val="00D55C7E"/>
    <w:rsid w:val="00D55CFB"/>
    <w:rsid w:val="00D55EBF"/>
    <w:rsid w:val="00D5609D"/>
    <w:rsid w:val="00D562D8"/>
    <w:rsid w:val="00D56474"/>
    <w:rsid w:val="00D564F1"/>
    <w:rsid w:val="00D565D5"/>
    <w:rsid w:val="00D56884"/>
    <w:rsid w:val="00D56929"/>
    <w:rsid w:val="00D569BF"/>
    <w:rsid w:val="00D56ACB"/>
    <w:rsid w:val="00D56F17"/>
    <w:rsid w:val="00D57079"/>
    <w:rsid w:val="00D5707B"/>
    <w:rsid w:val="00D57093"/>
    <w:rsid w:val="00D573A4"/>
    <w:rsid w:val="00D5750C"/>
    <w:rsid w:val="00D57610"/>
    <w:rsid w:val="00D57C58"/>
    <w:rsid w:val="00D57E3B"/>
    <w:rsid w:val="00D57E90"/>
    <w:rsid w:val="00D60125"/>
    <w:rsid w:val="00D60A0A"/>
    <w:rsid w:val="00D60A3C"/>
    <w:rsid w:val="00D60B7C"/>
    <w:rsid w:val="00D60C60"/>
    <w:rsid w:val="00D60D00"/>
    <w:rsid w:val="00D61153"/>
    <w:rsid w:val="00D61489"/>
    <w:rsid w:val="00D6163E"/>
    <w:rsid w:val="00D61F05"/>
    <w:rsid w:val="00D61F44"/>
    <w:rsid w:val="00D621C2"/>
    <w:rsid w:val="00D62346"/>
    <w:rsid w:val="00D623AF"/>
    <w:rsid w:val="00D624EE"/>
    <w:rsid w:val="00D62590"/>
    <w:rsid w:val="00D62613"/>
    <w:rsid w:val="00D62BA8"/>
    <w:rsid w:val="00D62C3C"/>
    <w:rsid w:val="00D62CEF"/>
    <w:rsid w:val="00D62F3E"/>
    <w:rsid w:val="00D63377"/>
    <w:rsid w:val="00D634C2"/>
    <w:rsid w:val="00D634EE"/>
    <w:rsid w:val="00D6378A"/>
    <w:rsid w:val="00D63794"/>
    <w:rsid w:val="00D63B0B"/>
    <w:rsid w:val="00D63C8F"/>
    <w:rsid w:val="00D63F41"/>
    <w:rsid w:val="00D6429E"/>
    <w:rsid w:val="00D642AA"/>
    <w:rsid w:val="00D645A8"/>
    <w:rsid w:val="00D645B0"/>
    <w:rsid w:val="00D64752"/>
    <w:rsid w:val="00D6476C"/>
    <w:rsid w:val="00D64C4A"/>
    <w:rsid w:val="00D64D65"/>
    <w:rsid w:val="00D64F96"/>
    <w:rsid w:val="00D65245"/>
    <w:rsid w:val="00D652F6"/>
    <w:rsid w:val="00D65335"/>
    <w:rsid w:val="00D65703"/>
    <w:rsid w:val="00D65743"/>
    <w:rsid w:val="00D6598C"/>
    <w:rsid w:val="00D659BF"/>
    <w:rsid w:val="00D65D42"/>
    <w:rsid w:val="00D65EB4"/>
    <w:rsid w:val="00D65EBE"/>
    <w:rsid w:val="00D66086"/>
    <w:rsid w:val="00D66304"/>
    <w:rsid w:val="00D6633E"/>
    <w:rsid w:val="00D66421"/>
    <w:rsid w:val="00D66436"/>
    <w:rsid w:val="00D664F0"/>
    <w:rsid w:val="00D664F4"/>
    <w:rsid w:val="00D666B0"/>
    <w:rsid w:val="00D66867"/>
    <w:rsid w:val="00D66948"/>
    <w:rsid w:val="00D669E6"/>
    <w:rsid w:val="00D66A98"/>
    <w:rsid w:val="00D66C4A"/>
    <w:rsid w:val="00D66FC4"/>
    <w:rsid w:val="00D671A4"/>
    <w:rsid w:val="00D6733A"/>
    <w:rsid w:val="00D673CD"/>
    <w:rsid w:val="00D67914"/>
    <w:rsid w:val="00D679DA"/>
    <w:rsid w:val="00D67A58"/>
    <w:rsid w:val="00D67D9C"/>
    <w:rsid w:val="00D67DA3"/>
    <w:rsid w:val="00D67F43"/>
    <w:rsid w:val="00D700F7"/>
    <w:rsid w:val="00D70118"/>
    <w:rsid w:val="00D7018A"/>
    <w:rsid w:val="00D7018E"/>
    <w:rsid w:val="00D701C8"/>
    <w:rsid w:val="00D70567"/>
    <w:rsid w:val="00D70594"/>
    <w:rsid w:val="00D70759"/>
    <w:rsid w:val="00D70760"/>
    <w:rsid w:val="00D7087F"/>
    <w:rsid w:val="00D70A8A"/>
    <w:rsid w:val="00D70DB4"/>
    <w:rsid w:val="00D70FCE"/>
    <w:rsid w:val="00D712F9"/>
    <w:rsid w:val="00D7132A"/>
    <w:rsid w:val="00D7175E"/>
    <w:rsid w:val="00D71892"/>
    <w:rsid w:val="00D71A0B"/>
    <w:rsid w:val="00D71B2F"/>
    <w:rsid w:val="00D71BAD"/>
    <w:rsid w:val="00D71DC1"/>
    <w:rsid w:val="00D72010"/>
    <w:rsid w:val="00D722C3"/>
    <w:rsid w:val="00D722DB"/>
    <w:rsid w:val="00D72375"/>
    <w:rsid w:val="00D7241B"/>
    <w:rsid w:val="00D724C1"/>
    <w:rsid w:val="00D7260D"/>
    <w:rsid w:val="00D72822"/>
    <w:rsid w:val="00D72930"/>
    <w:rsid w:val="00D7298A"/>
    <w:rsid w:val="00D72C47"/>
    <w:rsid w:val="00D72CA0"/>
    <w:rsid w:val="00D72DAF"/>
    <w:rsid w:val="00D730A0"/>
    <w:rsid w:val="00D73160"/>
    <w:rsid w:val="00D732A1"/>
    <w:rsid w:val="00D73686"/>
    <w:rsid w:val="00D737D8"/>
    <w:rsid w:val="00D7382F"/>
    <w:rsid w:val="00D7389D"/>
    <w:rsid w:val="00D73B37"/>
    <w:rsid w:val="00D73E7A"/>
    <w:rsid w:val="00D73F3C"/>
    <w:rsid w:val="00D74022"/>
    <w:rsid w:val="00D7403D"/>
    <w:rsid w:val="00D740BB"/>
    <w:rsid w:val="00D74115"/>
    <w:rsid w:val="00D74336"/>
    <w:rsid w:val="00D744E2"/>
    <w:rsid w:val="00D74BB2"/>
    <w:rsid w:val="00D74DA1"/>
    <w:rsid w:val="00D74DA3"/>
    <w:rsid w:val="00D74F95"/>
    <w:rsid w:val="00D750C7"/>
    <w:rsid w:val="00D75192"/>
    <w:rsid w:val="00D751E3"/>
    <w:rsid w:val="00D75404"/>
    <w:rsid w:val="00D7544E"/>
    <w:rsid w:val="00D7568D"/>
    <w:rsid w:val="00D75708"/>
    <w:rsid w:val="00D75716"/>
    <w:rsid w:val="00D7577A"/>
    <w:rsid w:val="00D757E9"/>
    <w:rsid w:val="00D75835"/>
    <w:rsid w:val="00D759A6"/>
    <w:rsid w:val="00D75D4C"/>
    <w:rsid w:val="00D75E74"/>
    <w:rsid w:val="00D75E76"/>
    <w:rsid w:val="00D75F2A"/>
    <w:rsid w:val="00D75F88"/>
    <w:rsid w:val="00D76030"/>
    <w:rsid w:val="00D76163"/>
    <w:rsid w:val="00D761D4"/>
    <w:rsid w:val="00D761E0"/>
    <w:rsid w:val="00D76319"/>
    <w:rsid w:val="00D76707"/>
    <w:rsid w:val="00D7670C"/>
    <w:rsid w:val="00D769DE"/>
    <w:rsid w:val="00D76B77"/>
    <w:rsid w:val="00D77069"/>
    <w:rsid w:val="00D770A4"/>
    <w:rsid w:val="00D7720F"/>
    <w:rsid w:val="00D77274"/>
    <w:rsid w:val="00D77360"/>
    <w:rsid w:val="00D773C6"/>
    <w:rsid w:val="00D774FC"/>
    <w:rsid w:val="00D77803"/>
    <w:rsid w:val="00D77A83"/>
    <w:rsid w:val="00D77ADD"/>
    <w:rsid w:val="00D77B41"/>
    <w:rsid w:val="00D77B8B"/>
    <w:rsid w:val="00D77C06"/>
    <w:rsid w:val="00D77EF9"/>
    <w:rsid w:val="00D8003A"/>
    <w:rsid w:val="00D80141"/>
    <w:rsid w:val="00D80143"/>
    <w:rsid w:val="00D8019C"/>
    <w:rsid w:val="00D801EC"/>
    <w:rsid w:val="00D80507"/>
    <w:rsid w:val="00D8085A"/>
    <w:rsid w:val="00D80881"/>
    <w:rsid w:val="00D80919"/>
    <w:rsid w:val="00D8098F"/>
    <w:rsid w:val="00D80A9B"/>
    <w:rsid w:val="00D80BE7"/>
    <w:rsid w:val="00D80CB7"/>
    <w:rsid w:val="00D80DD9"/>
    <w:rsid w:val="00D80F6F"/>
    <w:rsid w:val="00D8112F"/>
    <w:rsid w:val="00D81191"/>
    <w:rsid w:val="00D81257"/>
    <w:rsid w:val="00D812EB"/>
    <w:rsid w:val="00D81544"/>
    <w:rsid w:val="00D81635"/>
    <w:rsid w:val="00D81772"/>
    <w:rsid w:val="00D81821"/>
    <w:rsid w:val="00D81828"/>
    <w:rsid w:val="00D81893"/>
    <w:rsid w:val="00D81A06"/>
    <w:rsid w:val="00D81CD1"/>
    <w:rsid w:val="00D81FBF"/>
    <w:rsid w:val="00D8226C"/>
    <w:rsid w:val="00D82327"/>
    <w:rsid w:val="00D82482"/>
    <w:rsid w:val="00D825A1"/>
    <w:rsid w:val="00D8260C"/>
    <w:rsid w:val="00D82646"/>
    <w:rsid w:val="00D82685"/>
    <w:rsid w:val="00D827BC"/>
    <w:rsid w:val="00D82B19"/>
    <w:rsid w:val="00D8332F"/>
    <w:rsid w:val="00D833EE"/>
    <w:rsid w:val="00D83524"/>
    <w:rsid w:val="00D83544"/>
    <w:rsid w:val="00D8377C"/>
    <w:rsid w:val="00D83829"/>
    <w:rsid w:val="00D83845"/>
    <w:rsid w:val="00D838D0"/>
    <w:rsid w:val="00D83949"/>
    <w:rsid w:val="00D83AC1"/>
    <w:rsid w:val="00D83B1F"/>
    <w:rsid w:val="00D840E6"/>
    <w:rsid w:val="00D842F6"/>
    <w:rsid w:val="00D843CE"/>
    <w:rsid w:val="00D84609"/>
    <w:rsid w:val="00D8492E"/>
    <w:rsid w:val="00D84995"/>
    <w:rsid w:val="00D84B45"/>
    <w:rsid w:val="00D84B4F"/>
    <w:rsid w:val="00D84D5B"/>
    <w:rsid w:val="00D84D89"/>
    <w:rsid w:val="00D84F8B"/>
    <w:rsid w:val="00D8508D"/>
    <w:rsid w:val="00D85302"/>
    <w:rsid w:val="00D8577D"/>
    <w:rsid w:val="00D85842"/>
    <w:rsid w:val="00D859C2"/>
    <w:rsid w:val="00D859D8"/>
    <w:rsid w:val="00D85A1C"/>
    <w:rsid w:val="00D85D07"/>
    <w:rsid w:val="00D85D36"/>
    <w:rsid w:val="00D85DC5"/>
    <w:rsid w:val="00D85E23"/>
    <w:rsid w:val="00D85F14"/>
    <w:rsid w:val="00D85F15"/>
    <w:rsid w:val="00D85F86"/>
    <w:rsid w:val="00D86214"/>
    <w:rsid w:val="00D86429"/>
    <w:rsid w:val="00D86602"/>
    <w:rsid w:val="00D869F7"/>
    <w:rsid w:val="00D86A3A"/>
    <w:rsid w:val="00D86CE9"/>
    <w:rsid w:val="00D86DA0"/>
    <w:rsid w:val="00D86E18"/>
    <w:rsid w:val="00D870F2"/>
    <w:rsid w:val="00D874CB"/>
    <w:rsid w:val="00D87BA1"/>
    <w:rsid w:val="00D90348"/>
    <w:rsid w:val="00D904C3"/>
    <w:rsid w:val="00D90616"/>
    <w:rsid w:val="00D908CE"/>
    <w:rsid w:val="00D90ECA"/>
    <w:rsid w:val="00D91085"/>
    <w:rsid w:val="00D91096"/>
    <w:rsid w:val="00D91269"/>
    <w:rsid w:val="00D91343"/>
    <w:rsid w:val="00D91355"/>
    <w:rsid w:val="00D91519"/>
    <w:rsid w:val="00D915EE"/>
    <w:rsid w:val="00D919A8"/>
    <w:rsid w:val="00D91A8B"/>
    <w:rsid w:val="00D91B7F"/>
    <w:rsid w:val="00D91C08"/>
    <w:rsid w:val="00D91D02"/>
    <w:rsid w:val="00D91F97"/>
    <w:rsid w:val="00D92111"/>
    <w:rsid w:val="00D9211C"/>
    <w:rsid w:val="00D92409"/>
    <w:rsid w:val="00D924CE"/>
    <w:rsid w:val="00D9252E"/>
    <w:rsid w:val="00D927F1"/>
    <w:rsid w:val="00D9298B"/>
    <w:rsid w:val="00D92AF7"/>
    <w:rsid w:val="00D92B14"/>
    <w:rsid w:val="00D92F4E"/>
    <w:rsid w:val="00D9319F"/>
    <w:rsid w:val="00D931F7"/>
    <w:rsid w:val="00D9320A"/>
    <w:rsid w:val="00D93466"/>
    <w:rsid w:val="00D934A6"/>
    <w:rsid w:val="00D937C1"/>
    <w:rsid w:val="00D9387F"/>
    <w:rsid w:val="00D938C5"/>
    <w:rsid w:val="00D9398C"/>
    <w:rsid w:val="00D94123"/>
    <w:rsid w:val="00D94143"/>
    <w:rsid w:val="00D94807"/>
    <w:rsid w:val="00D94D6F"/>
    <w:rsid w:val="00D94DD0"/>
    <w:rsid w:val="00D95009"/>
    <w:rsid w:val="00D9504E"/>
    <w:rsid w:val="00D951DB"/>
    <w:rsid w:val="00D9524A"/>
    <w:rsid w:val="00D95439"/>
    <w:rsid w:val="00D9558C"/>
    <w:rsid w:val="00D956EF"/>
    <w:rsid w:val="00D957F0"/>
    <w:rsid w:val="00D9582A"/>
    <w:rsid w:val="00D95A96"/>
    <w:rsid w:val="00D95B13"/>
    <w:rsid w:val="00D95E20"/>
    <w:rsid w:val="00D95F57"/>
    <w:rsid w:val="00D960B8"/>
    <w:rsid w:val="00D9635B"/>
    <w:rsid w:val="00D964DB"/>
    <w:rsid w:val="00D96612"/>
    <w:rsid w:val="00D96AD5"/>
    <w:rsid w:val="00D96B69"/>
    <w:rsid w:val="00D96BAD"/>
    <w:rsid w:val="00D96CEA"/>
    <w:rsid w:val="00D96D37"/>
    <w:rsid w:val="00D96DCD"/>
    <w:rsid w:val="00D9706C"/>
    <w:rsid w:val="00D971B2"/>
    <w:rsid w:val="00D971CE"/>
    <w:rsid w:val="00D97434"/>
    <w:rsid w:val="00D97A21"/>
    <w:rsid w:val="00D97A26"/>
    <w:rsid w:val="00D97CC4"/>
    <w:rsid w:val="00D97D4D"/>
    <w:rsid w:val="00D97F83"/>
    <w:rsid w:val="00D97FC8"/>
    <w:rsid w:val="00DA00E1"/>
    <w:rsid w:val="00DA017C"/>
    <w:rsid w:val="00DA029C"/>
    <w:rsid w:val="00DA059F"/>
    <w:rsid w:val="00DA0764"/>
    <w:rsid w:val="00DA07F8"/>
    <w:rsid w:val="00DA084B"/>
    <w:rsid w:val="00DA0886"/>
    <w:rsid w:val="00DA08EE"/>
    <w:rsid w:val="00DA099D"/>
    <w:rsid w:val="00DA09C1"/>
    <w:rsid w:val="00DA09F8"/>
    <w:rsid w:val="00DA0ADD"/>
    <w:rsid w:val="00DA0AE5"/>
    <w:rsid w:val="00DA0B23"/>
    <w:rsid w:val="00DA0F16"/>
    <w:rsid w:val="00DA1172"/>
    <w:rsid w:val="00DA12C3"/>
    <w:rsid w:val="00DA1351"/>
    <w:rsid w:val="00DA1580"/>
    <w:rsid w:val="00DA174E"/>
    <w:rsid w:val="00DA17FD"/>
    <w:rsid w:val="00DA189A"/>
    <w:rsid w:val="00DA1A39"/>
    <w:rsid w:val="00DA1B11"/>
    <w:rsid w:val="00DA1FF6"/>
    <w:rsid w:val="00DA2305"/>
    <w:rsid w:val="00DA2321"/>
    <w:rsid w:val="00DA2329"/>
    <w:rsid w:val="00DA2504"/>
    <w:rsid w:val="00DA254C"/>
    <w:rsid w:val="00DA256D"/>
    <w:rsid w:val="00DA259B"/>
    <w:rsid w:val="00DA2963"/>
    <w:rsid w:val="00DA2C2D"/>
    <w:rsid w:val="00DA2D4E"/>
    <w:rsid w:val="00DA2E8B"/>
    <w:rsid w:val="00DA2EC8"/>
    <w:rsid w:val="00DA33C6"/>
    <w:rsid w:val="00DA33F6"/>
    <w:rsid w:val="00DA36EE"/>
    <w:rsid w:val="00DA3B67"/>
    <w:rsid w:val="00DA3C3E"/>
    <w:rsid w:val="00DA3DBF"/>
    <w:rsid w:val="00DA3DC7"/>
    <w:rsid w:val="00DA3F44"/>
    <w:rsid w:val="00DA4150"/>
    <w:rsid w:val="00DA45CB"/>
    <w:rsid w:val="00DA4817"/>
    <w:rsid w:val="00DA48A9"/>
    <w:rsid w:val="00DA48DC"/>
    <w:rsid w:val="00DA4ADF"/>
    <w:rsid w:val="00DA4B81"/>
    <w:rsid w:val="00DA4D7C"/>
    <w:rsid w:val="00DA4F4D"/>
    <w:rsid w:val="00DA5550"/>
    <w:rsid w:val="00DA55A4"/>
    <w:rsid w:val="00DA5670"/>
    <w:rsid w:val="00DA5884"/>
    <w:rsid w:val="00DA5923"/>
    <w:rsid w:val="00DA5AB1"/>
    <w:rsid w:val="00DA5B47"/>
    <w:rsid w:val="00DA5C06"/>
    <w:rsid w:val="00DA5D5F"/>
    <w:rsid w:val="00DA5E04"/>
    <w:rsid w:val="00DA5E33"/>
    <w:rsid w:val="00DA5F51"/>
    <w:rsid w:val="00DA61D1"/>
    <w:rsid w:val="00DA63D5"/>
    <w:rsid w:val="00DA63D7"/>
    <w:rsid w:val="00DA67B6"/>
    <w:rsid w:val="00DA6832"/>
    <w:rsid w:val="00DA685C"/>
    <w:rsid w:val="00DA69D7"/>
    <w:rsid w:val="00DA6B83"/>
    <w:rsid w:val="00DA6C2E"/>
    <w:rsid w:val="00DA6E1D"/>
    <w:rsid w:val="00DA6E56"/>
    <w:rsid w:val="00DA6FEE"/>
    <w:rsid w:val="00DA7055"/>
    <w:rsid w:val="00DA74E1"/>
    <w:rsid w:val="00DA75F1"/>
    <w:rsid w:val="00DA7670"/>
    <w:rsid w:val="00DA7998"/>
    <w:rsid w:val="00DA7BAA"/>
    <w:rsid w:val="00DA7C2C"/>
    <w:rsid w:val="00DA7EAA"/>
    <w:rsid w:val="00DA7F8F"/>
    <w:rsid w:val="00DA7FEA"/>
    <w:rsid w:val="00DA7FEB"/>
    <w:rsid w:val="00DB0198"/>
    <w:rsid w:val="00DB01E6"/>
    <w:rsid w:val="00DB02DD"/>
    <w:rsid w:val="00DB03A8"/>
    <w:rsid w:val="00DB0767"/>
    <w:rsid w:val="00DB08CA"/>
    <w:rsid w:val="00DB0E90"/>
    <w:rsid w:val="00DB0F95"/>
    <w:rsid w:val="00DB0FEA"/>
    <w:rsid w:val="00DB0FFE"/>
    <w:rsid w:val="00DB1054"/>
    <w:rsid w:val="00DB10F7"/>
    <w:rsid w:val="00DB12F0"/>
    <w:rsid w:val="00DB155B"/>
    <w:rsid w:val="00DB1CEC"/>
    <w:rsid w:val="00DB1F2A"/>
    <w:rsid w:val="00DB1F9A"/>
    <w:rsid w:val="00DB2037"/>
    <w:rsid w:val="00DB2259"/>
    <w:rsid w:val="00DB2450"/>
    <w:rsid w:val="00DB2A6A"/>
    <w:rsid w:val="00DB2ACB"/>
    <w:rsid w:val="00DB2B89"/>
    <w:rsid w:val="00DB2BF6"/>
    <w:rsid w:val="00DB2C4C"/>
    <w:rsid w:val="00DB2C75"/>
    <w:rsid w:val="00DB2CE2"/>
    <w:rsid w:val="00DB2D7B"/>
    <w:rsid w:val="00DB2F77"/>
    <w:rsid w:val="00DB31B1"/>
    <w:rsid w:val="00DB3219"/>
    <w:rsid w:val="00DB33C6"/>
    <w:rsid w:val="00DB3566"/>
    <w:rsid w:val="00DB365A"/>
    <w:rsid w:val="00DB3786"/>
    <w:rsid w:val="00DB3A1A"/>
    <w:rsid w:val="00DB3AB1"/>
    <w:rsid w:val="00DB3B8F"/>
    <w:rsid w:val="00DB3F22"/>
    <w:rsid w:val="00DB410B"/>
    <w:rsid w:val="00DB4313"/>
    <w:rsid w:val="00DB4457"/>
    <w:rsid w:val="00DB449E"/>
    <w:rsid w:val="00DB4549"/>
    <w:rsid w:val="00DB48B5"/>
    <w:rsid w:val="00DB4934"/>
    <w:rsid w:val="00DB4967"/>
    <w:rsid w:val="00DB4975"/>
    <w:rsid w:val="00DB4CEB"/>
    <w:rsid w:val="00DB4ED8"/>
    <w:rsid w:val="00DB5037"/>
    <w:rsid w:val="00DB529F"/>
    <w:rsid w:val="00DB52E2"/>
    <w:rsid w:val="00DB54AE"/>
    <w:rsid w:val="00DB5797"/>
    <w:rsid w:val="00DB57F3"/>
    <w:rsid w:val="00DB59EC"/>
    <w:rsid w:val="00DB5AC9"/>
    <w:rsid w:val="00DB5D39"/>
    <w:rsid w:val="00DB5EC2"/>
    <w:rsid w:val="00DB5FA7"/>
    <w:rsid w:val="00DB63A8"/>
    <w:rsid w:val="00DB6636"/>
    <w:rsid w:val="00DB69E7"/>
    <w:rsid w:val="00DB6DA9"/>
    <w:rsid w:val="00DB6DB4"/>
    <w:rsid w:val="00DB6EA5"/>
    <w:rsid w:val="00DB6EFE"/>
    <w:rsid w:val="00DB70C7"/>
    <w:rsid w:val="00DB7237"/>
    <w:rsid w:val="00DB73FE"/>
    <w:rsid w:val="00DB7402"/>
    <w:rsid w:val="00DB7573"/>
    <w:rsid w:val="00DB782B"/>
    <w:rsid w:val="00DB790D"/>
    <w:rsid w:val="00DB791E"/>
    <w:rsid w:val="00DB7970"/>
    <w:rsid w:val="00DB7C00"/>
    <w:rsid w:val="00DB7C1D"/>
    <w:rsid w:val="00DB7D41"/>
    <w:rsid w:val="00DC0377"/>
    <w:rsid w:val="00DC0444"/>
    <w:rsid w:val="00DC056C"/>
    <w:rsid w:val="00DC07E1"/>
    <w:rsid w:val="00DC0A4A"/>
    <w:rsid w:val="00DC10B1"/>
    <w:rsid w:val="00DC10CE"/>
    <w:rsid w:val="00DC114E"/>
    <w:rsid w:val="00DC1200"/>
    <w:rsid w:val="00DC1597"/>
    <w:rsid w:val="00DC162C"/>
    <w:rsid w:val="00DC1B0D"/>
    <w:rsid w:val="00DC1B7D"/>
    <w:rsid w:val="00DC1BEE"/>
    <w:rsid w:val="00DC1BFD"/>
    <w:rsid w:val="00DC1DD7"/>
    <w:rsid w:val="00DC1E48"/>
    <w:rsid w:val="00DC2069"/>
    <w:rsid w:val="00DC20D0"/>
    <w:rsid w:val="00DC214E"/>
    <w:rsid w:val="00DC215E"/>
    <w:rsid w:val="00DC2236"/>
    <w:rsid w:val="00DC2437"/>
    <w:rsid w:val="00DC2452"/>
    <w:rsid w:val="00DC247A"/>
    <w:rsid w:val="00DC252C"/>
    <w:rsid w:val="00DC2649"/>
    <w:rsid w:val="00DC287E"/>
    <w:rsid w:val="00DC29A5"/>
    <w:rsid w:val="00DC2BC2"/>
    <w:rsid w:val="00DC2E54"/>
    <w:rsid w:val="00DC2F16"/>
    <w:rsid w:val="00DC2F32"/>
    <w:rsid w:val="00DC3030"/>
    <w:rsid w:val="00DC30DA"/>
    <w:rsid w:val="00DC317D"/>
    <w:rsid w:val="00DC31C9"/>
    <w:rsid w:val="00DC325A"/>
    <w:rsid w:val="00DC3875"/>
    <w:rsid w:val="00DC39F3"/>
    <w:rsid w:val="00DC3A00"/>
    <w:rsid w:val="00DC3E1D"/>
    <w:rsid w:val="00DC3EBC"/>
    <w:rsid w:val="00DC3ECB"/>
    <w:rsid w:val="00DC3F66"/>
    <w:rsid w:val="00DC3FFC"/>
    <w:rsid w:val="00DC4246"/>
    <w:rsid w:val="00DC4255"/>
    <w:rsid w:val="00DC4447"/>
    <w:rsid w:val="00DC454F"/>
    <w:rsid w:val="00DC485A"/>
    <w:rsid w:val="00DC4B7A"/>
    <w:rsid w:val="00DC4BFF"/>
    <w:rsid w:val="00DC4C17"/>
    <w:rsid w:val="00DC50F2"/>
    <w:rsid w:val="00DC531F"/>
    <w:rsid w:val="00DC5530"/>
    <w:rsid w:val="00DC56F3"/>
    <w:rsid w:val="00DC57F1"/>
    <w:rsid w:val="00DC58B6"/>
    <w:rsid w:val="00DC5B95"/>
    <w:rsid w:val="00DC5C95"/>
    <w:rsid w:val="00DC5D0C"/>
    <w:rsid w:val="00DC6108"/>
    <w:rsid w:val="00DC6122"/>
    <w:rsid w:val="00DC6246"/>
    <w:rsid w:val="00DC6392"/>
    <w:rsid w:val="00DC64D4"/>
    <w:rsid w:val="00DC668E"/>
    <w:rsid w:val="00DC6856"/>
    <w:rsid w:val="00DC6C75"/>
    <w:rsid w:val="00DC6C9D"/>
    <w:rsid w:val="00DC6E26"/>
    <w:rsid w:val="00DC6EDE"/>
    <w:rsid w:val="00DC703C"/>
    <w:rsid w:val="00DC7362"/>
    <w:rsid w:val="00DC73A2"/>
    <w:rsid w:val="00DC73BC"/>
    <w:rsid w:val="00DC75D6"/>
    <w:rsid w:val="00DC77C2"/>
    <w:rsid w:val="00DC7A06"/>
    <w:rsid w:val="00DC7B55"/>
    <w:rsid w:val="00DC7DBE"/>
    <w:rsid w:val="00DC7EB6"/>
    <w:rsid w:val="00DC7F44"/>
    <w:rsid w:val="00DD07F2"/>
    <w:rsid w:val="00DD0A26"/>
    <w:rsid w:val="00DD0AE9"/>
    <w:rsid w:val="00DD0B35"/>
    <w:rsid w:val="00DD0CCC"/>
    <w:rsid w:val="00DD103E"/>
    <w:rsid w:val="00DD1100"/>
    <w:rsid w:val="00DD11F2"/>
    <w:rsid w:val="00DD1255"/>
    <w:rsid w:val="00DD14C1"/>
    <w:rsid w:val="00DD14D5"/>
    <w:rsid w:val="00DD14D7"/>
    <w:rsid w:val="00DD15E9"/>
    <w:rsid w:val="00DD174B"/>
    <w:rsid w:val="00DD179C"/>
    <w:rsid w:val="00DD1916"/>
    <w:rsid w:val="00DD1989"/>
    <w:rsid w:val="00DD1A45"/>
    <w:rsid w:val="00DD1AE2"/>
    <w:rsid w:val="00DD1C05"/>
    <w:rsid w:val="00DD1C1C"/>
    <w:rsid w:val="00DD1CC2"/>
    <w:rsid w:val="00DD21D6"/>
    <w:rsid w:val="00DD248C"/>
    <w:rsid w:val="00DD26E7"/>
    <w:rsid w:val="00DD2761"/>
    <w:rsid w:val="00DD2802"/>
    <w:rsid w:val="00DD2864"/>
    <w:rsid w:val="00DD2866"/>
    <w:rsid w:val="00DD29E3"/>
    <w:rsid w:val="00DD2BB9"/>
    <w:rsid w:val="00DD2F7F"/>
    <w:rsid w:val="00DD305B"/>
    <w:rsid w:val="00DD3394"/>
    <w:rsid w:val="00DD3412"/>
    <w:rsid w:val="00DD35F9"/>
    <w:rsid w:val="00DD3605"/>
    <w:rsid w:val="00DD37C1"/>
    <w:rsid w:val="00DD37D4"/>
    <w:rsid w:val="00DD3B8D"/>
    <w:rsid w:val="00DD3D84"/>
    <w:rsid w:val="00DD3EB6"/>
    <w:rsid w:val="00DD3EBE"/>
    <w:rsid w:val="00DD400F"/>
    <w:rsid w:val="00DD40B9"/>
    <w:rsid w:val="00DD40F0"/>
    <w:rsid w:val="00DD4408"/>
    <w:rsid w:val="00DD442C"/>
    <w:rsid w:val="00DD44F9"/>
    <w:rsid w:val="00DD49BF"/>
    <w:rsid w:val="00DD4AA5"/>
    <w:rsid w:val="00DD4D5C"/>
    <w:rsid w:val="00DD4F4E"/>
    <w:rsid w:val="00DD5281"/>
    <w:rsid w:val="00DD5683"/>
    <w:rsid w:val="00DD5780"/>
    <w:rsid w:val="00DD57CF"/>
    <w:rsid w:val="00DD57EE"/>
    <w:rsid w:val="00DD57F9"/>
    <w:rsid w:val="00DD58F5"/>
    <w:rsid w:val="00DD5961"/>
    <w:rsid w:val="00DD5D49"/>
    <w:rsid w:val="00DD6057"/>
    <w:rsid w:val="00DD6141"/>
    <w:rsid w:val="00DD63D3"/>
    <w:rsid w:val="00DD6578"/>
    <w:rsid w:val="00DD6609"/>
    <w:rsid w:val="00DD660F"/>
    <w:rsid w:val="00DD6AB6"/>
    <w:rsid w:val="00DD7003"/>
    <w:rsid w:val="00DD7079"/>
    <w:rsid w:val="00DD707F"/>
    <w:rsid w:val="00DD70D9"/>
    <w:rsid w:val="00DD7307"/>
    <w:rsid w:val="00DD7435"/>
    <w:rsid w:val="00DD748D"/>
    <w:rsid w:val="00DD76EF"/>
    <w:rsid w:val="00DD7BB1"/>
    <w:rsid w:val="00DD7D45"/>
    <w:rsid w:val="00DD7DB0"/>
    <w:rsid w:val="00DD7DFE"/>
    <w:rsid w:val="00DD7E10"/>
    <w:rsid w:val="00DD7EC5"/>
    <w:rsid w:val="00DE009F"/>
    <w:rsid w:val="00DE039B"/>
    <w:rsid w:val="00DE0599"/>
    <w:rsid w:val="00DE0B0D"/>
    <w:rsid w:val="00DE0BF2"/>
    <w:rsid w:val="00DE0FD8"/>
    <w:rsid w:val="00DE1192"/>
    <w:rsid w:val="00DE146A"/>
    <w:rsid w:val="00DE15EA"/>
    <w:rsid w:val="00DE161D"/>
    <w:rsid w:val="00DE1928"/>
    <w:rsid w:val="00DE1DBB"/>
    <w:rsid w:val="00DE209E"/>
    <w:rsid w:val="00DE20BB"/>
    <w:rsid w:val="00DE21A3"/>
    <w:rsid w:val="00DE21AA"/>
    <w:rsid w:val="00DE29B1"/>
    <w:rsid w:val="00DE2A35"/>
    <w:rsid w:val="00DE2BCA"/>
    <w:rsid w:val="00DE2C51"/>
    <w:rsid w:val="00DE2C8A"/>
    <w:rsid w:val="00DE2C8B"/>
    <w:rsid w:val="00DE2CDD"/>
    <w:rsid w:val="00DE2F46"/>
    <w:rsid w:val="00DE329B"/>
    <w:rsid w:val="00DE32CC"/>
    <w:rsid w:val="00DE3358"/>
    <w:rsid w:val="00DE33F6"/>
    <w:rsid w:val="00DE36FA"/>
    <w:rsid w:val="00DE3947"/>
    <w:rsid w:val="00DE3974"/>
    <w:rsid w:val="00DE3977"/>
    <w:rsid w:val="00DE3B78"/>
    <w:rsid w:val="00DE3C79"/>
    <w:rsid w:val="00DE3D18"/>
    <w:rsid w:val="00DE40CB"/>
    <w:rsid w:val="00DE427A"/>
    <w:rsid w:val="00DE43E0"/>
    <w:rsid w:val="00DE43F5"/>
    <w:rsid w:val="00DE45BC"/>
    <w:rsid w:val="00DE4623"/>
    <w:rsid w:val="00DE4755"/>
    <w:rsid w:val="00DE4B84"/>
    <w:rsid w:val="00DE4D38"/>
    <w:rsid w:val="00DE4F1C"/>
    <w:rsid w:val="00DE50BF"/>
    <w:rsid w:val="00DE50E8"/>
    <w:rsid w:val="00DE521B"/>
    <w:rsid w:val="00DE54D6"/>
    <w:rsid w:val="00DE56C3"/>
    <w:rsid w:val="00DE570A"/>
    <w:rsid w:val="00DE592B"/>
    <w:rsid w:val="00DE5F7B"/>
    <w:rsid w:val="00DE60DC"/>
    <w:rsid w:val="00DE62FA"/>
    <w:rsid w:val="00DE63CA"/>
    <w:rsid w:val="00DE64A3"/>
    <w:rsid w:val="00DE6555"/>
    <w:rsid w:val="00DE6790"/>
    <w:rsid w:val="00DE6818"/>
    <w:rsid w:val="00DE683D"/>
    <w:rsid w:val="00DE683E"/>
    <w:rsid w:val="00DE6862"/>
    <w:rsid w:val="00DE6A3E"/>
    <w:rsid w:val="00DE6C81"/>
    <w:rsid w:val="00DE70B7"/>
    <w:rsid w:val="00DE7399"/>
    <w:rsid w:val="00DE73BF"/>
    <w:rsid w:val="00DE754B"/>
    <w:rsid w:val="00DE7565"/>
    <w:rsid w:val="00DE7590"/>
    <w:rsid w:val="00DE75B2"/>
    <w:rsid w:val="00DE7630"/>
    <w:rsid w:val="00DE768A"/>
    <w:rsid w:val="00DE76F6"/>
    <w:rsid w:val="00DE77D8"/>
    <w:rsid w:val="00DE77E8"/>
    <w:rsid w:val="00DE7A8B"/>
    <w:rsid w:val="00DE7C00"/>
    <w:rsid w:val="00DE7DD3"/>
    <w:rsid w:val="00DE7E77"/>
    <w:rsid w:val="00DF00DB"/>
    <w:rsid w:val="00DF0363"/>
    <w:rsid w:val="00DF03D1"/>
    <w:rsid w:val="00DF0AB7"/>
    <w:rsid w:val="00DF0BBD"/>
    <w:rsid w:val="00DF1018"/>
    <w:rsid w:val="00DF11FD"/>
    <w:rsid w:val="00DF1299"/>
    <w:rsid w:val="00DF13B0"/>
    <w:rsid w:val="00DF13CE"/>
    <w:rsid w:val="00DF14BA"/>
    <w:rsid w:val="00DF16D3"/>
    <w:rsid w:val="00DF1717"/>
    <w:rsid w:val="00DF1CA9"/>
    <w:rsid w:val="00DF1D70"/>
    <w:rsid w:val="00DF1D7D"/>
    <w:rsid w:val="00DF1F5E"/>
    <w:rsid w:val="00DF23F3"/>
    <w:rsid w:val="00DF241A"/>
    <w:rsid w:val="00DF24CB"/>
    <w:rsid w:val="00DF25F5"/>
    <w:rsid w:val="00DF2693"/>
    <w:rsid w:val="00DF2744"/>
    <w:rsid w:val="00DF282E"/>
    <w:rsid w:val="00DF29BA"/>
    <w:rsid w:val="00DF2D53"/>
    <w:rsid w:val="00DF2D98"/>
    <w:rsid w:val="00DF2FB1"/>
    <w:rsid w:val="00DF2FB4"/>
    <w:rsid w:val="00DF306B"/>
    <w:rsid w:val="00DF32CE"/>
    <w:rsid w:val="00DF331F"/>
    <w:rsid w:val="00DF3501"/>
    <w:rsid w:val="00DF3570"/>
    <w:rsid w:val="00DF36A5"/>
    <w:rsid w:val="00DF3773"/>
    <w:rsid w:val="00DF3796"/>
    <w:rsid w:val="00DF37DE"/>
    <w:rsid w:val="00DF3D4F"/>
    <w:rsid w:val="00DF3FEA"/>
    <w:rsid w:val="00DF453E"/>
    <w:rsid w:val="00DF456D"/>
    <w:rsid w:val="00DF4657"/>
    <w:rsid w:val="00DF474E"/>
    <w:rsid w:val="00DF47B0"/>
    <w:rsid w:val="00DF4814"/>
    <w:rsid w:val="00DF48C1"/>
    <w:rsid w:val="00DF4AA7"/>
    <w:rsid w:val="00DF4B5C"/>
    <w:rsid w:val="00DF4D55"/>
    <w:rsid w:val="00DF4F36"/>
    <w:rsid w:val="00DF4F7B"/>
    <w:rsid w:val="00DF5153"/>
    <w:rsid w:val="00DF516F"/>
    <w:rsid w:val="00DF528B"/>
    <w:rsid w:val="00DF58C2"/>
    <w:rsid w:val="00DF59EA"/>
    <w:rsid w:val="00DF5A1B"/>
    <w:rsid w:val="00DF5A73"/>
    <w:rsid w:val="00DF5A98"/>
    <w:rsid w:val="00DF5C11"/>
    <w:rsid w:val="00DF5FD4"/>
    <w:rsid w:val="00DF629C"/>
    <w:rsid w:val="00DF62AB"/>
    <w:rsid w:val="00DF634C"/>
    <w:rsid w:val="00DF6611"/>
    <w:rsid w:val="00DF6666"/>
    <w:rsid w:val="00DF6A4A"/>
    <w:rsid w:val="00DF6B4A"/>
    <w:rsid w:val="00DF6B58"/>
    <w:rsid w:val="00DF6C41"/>
    <w:rsid w:val="00DF71B7"/>
    <w:rsid w:val="00DF73DA"/>
    <w:rsid w:val="00DF75AF"/>
    <w:rsid w:val="00DF76DE"/>
    <w:rsid w:val="00DF7806"/>
    <w:rsid w:val="00DF7A6B"/>
    <w:rsid w:val="00DF7AE2"/>
    <w:rsid w:val="00DF7C7F"/>
    <w:rsid w:val="00DF7CB5"/>
    <w:rsid w:val="00DF7DC4"/>
    <w:rsid w:val="00E000F2"/>
    <w:rsid w:val="00E0013B"/>
    <w:rsid w:val="00E0037F"/>
    <w:rsid w:val="00E00473"/>
    <w:rsid w:val="00E00494"/>
    <w:rsid w:val="00E004E8"/>
    <w:rsid w:val="00E00630"/>
    <w:rsid w:val="00E0065B"/>
    <w:rsid w:val="00E00827"/>
    <w:rsid w:val="00E008AB"/>
    <w:rsid w:val="00E00929"/>
    <w:rsid w:val="00E00A9D"/>
    <w:rsid w:val="00E00B60"/>
    <w:rsid w:val="00E00CCB"/>
    <w:rsid w:val="00E00D6F"/>
    <w:rsid w:val="00E00E90"/>
    <w:rsid w:val="00E012FC"/>
    <w:rsid w:val="00E01732"/>
    <w:rsid w:val="00E017EC"/>
    <w:rsid w:val="00E019B3"/>
    <w:rsid w:val="00E01BF7"/>
    <w:rsid w:val="00E01E0A"/>
    <w:rsid w:val="00E01E11"/>
    <w:rsid w:val="00E01F42"/>
    <w:rsid w:val="00E02016"/>
    <w:rsid w:val="00E020AC"/>
    <w:rsid w:val="00E02115"/>
    <w:rsid w:val="00E02198"/>
    <w:rsid w:val="00E021AC"/>
    <w:rsid w:val="00E023B1"/>
    <w:rsid w:val="00E02408"/>
    <w:rsid w:val="00E025BD"/>
    <w:rsid w:val="00E02634"/>
    <w:rsid w:val="00E026BA"/>
    <w:rsid w:val="00E0278C"/>
    <w:rsid w:val="00E02ABA"/>
    <w:rsid w:val="00E02B1D"/>
    <w:rsid w:val="00E02C16"/>
    <w:rsid w:val="00E02E8F"/>
    <w:rsid w:val="00E02F68"/>
    <w:rsid w:val="00E030C2"/>
    <w:rsid w:val="00E032F2"/>
    <w:rsid w:val="00E033BD"/>
    <w:rsid w:val="00E033DF"/>
    <w:rsid w:val="00E0344F"/>
    <w:rsid w:val="00E034A6"/>
    <w:rsid w:val="00E036C6"/>
    <w:rsid w:val="00E0384B"/>
    <w:rsid w:val="00E0396C"/>
    <w:rsid w:val="00E0396D"/>
    <w:rsid w:val="00E03BEF"/>
    <w:rsid w:val="00E03CD4"/>
    <w:rsid w:val="00E03FE1"/>
    <w:rsid w:val="00E0403F"/>
    <w:rsid w:val="00E0405E"/>
    <w:rsid w:val="00E04319"/>
    <w:rsid w:val="00E044C9"/>
    <w:rsid w:val="00E045E0"/>
    <w:rsid w:val="00E0476B"/>
    <w:rsid w:val="00E04A9C"/>
    <w:rsid w:val="00E04B72"/>
    <w:rsid w:val="00E04B8B"/>
    <w:rsid w:val="00E04BF2"/>
    <w:rsid w:val="00E04C00"/>
    <w:rsid w:val="00E04E51"/>
    <w:rsid w:val="00E05111"/>
    <w:rsid w:val="00E05132"/>
    <w:rsid w:val="00E05269"/>
    <w:rsid w:val="00E052AF"/>
    <w:rsid w:val="00E0537C"/>
    <w:rsid w:val="00E05A59"/>
    <w:rsid w:val="00E05CD7"/>
    <w:rsid w:val="00E05D25"/>
    <w:rsid w:val="00E06102"/>
    <w:rsid w:val="00E061E2"/>
    <w:rsid w:val="00E06298"/>
    <w:rsid w:val="00E064FD"/>
    <w:rsid w:val="00E06531"/>
    <w:rsid w:val="00E06895"/>
    <w:rsid w:val="00E06CE9"/>
    <w:rsid w:val="00E06F13"/>
    <w:rsid w:val="00E06FF4"/>
    <w:rsid w:val="00E0707A"/>
    <w:rsid w:val="00E070F2"/>
    <w:rsid w:val="00E070F8"/>
    <w:rsid w:val="00E072BF"/>
    <w:rsid w:val="00E072CA"/>
    <w:rsid w:val="00E07506"/>
    <w:rsid w:val="00E07786"/>
    <w:rsid w:val="00E07808"/>
    <w:rsid w:val="00E078DD"/>
    <w:rsid w:val="00E07982"/>
    <w:rsid w:val="00E07A2D"/>
    <w:rsid w:val="00E07BC3"/>
    <w:rsid w:val="00E07BE9"/>
    <w:rsid w:val="00E07CCA"/>
    <w:rsid w:val="00E07CF1"/>
    <w:rsid w:val="00E07D62"/>
    <w:rsid w:val="00E07E40"/>
    <w:rsid w:val="00E07E42"/>
    <w:rsid w:val="00E1013D"/>
    <w:rsid w:val="00E10495"/>
    <w:rsid w:val="00E10571"/>
    <w:rsid w:val="00E10850"/>
    <w:rsid w:val="00E10C93"/>
    <w:rsid w:val="00E10EA2"/>
    <w:rsid w:val="00E10EE1"/>
    <w:rsid w:val="00E11041"/>
    <w:rsid w:val="00E116D6"/>
    <w:rsid w:val="00E1179F"/>
    <w:rsid w:val="00E11A2B"/>
    <w:rsid w:val="00E11C53"/>
    <w:rsid w:val="00E11CC0"/>
    <w:rsid w:val="00E11E84"/>
    <w:rsid w:val="00E11EC9"/>
    <w:rsid w:val="00E125ED"/>
    <w:rsid w:val="00E1268F"/>
    <w:rsid w:val="00E12824"/>
    <w:rsid w:val="00E1285E"/>
    <w:rsid w:val="00E128A8"/>
    <w:rsid w:val="00E12D56"/>
    <w:rsid w:val="00E12F07"/>
    <w:rsid w:val="00E12FF4"/>
    <w:rsid w:val="00E134CF"/>
    <w:rsid w:val="00E13621"/>
    <w:rsid w:val="00E13733"/>
    <w:rsid w:val="00E137E2"/>
    <w:rsid w:val="00E1388D"/>
    <w:rsid w:val="00E13B20"/>
    <w:rsid w:val="00E13B7E"/>
    <w:rsid w:val="00E13B84"/>
    <w:rsid w:val="00E13BCB"/>
    <w:rsid w:val="00E13D9D"/>
    <w:rsid w:val="00E13E4A"/>
    <w:rsid w:val="00E13F72"/>
    <w:rsid w:val="00E13F82"/>
    <w:rsid w:val="00E14752"/>
    <w:rsid w:val="00E14C27"/>
    <w:rsid w:val="00E14E63"/>
    <w:rsid w:val="00E14F9B"/>
    <w:rsid w:val="00E14FFE"/>
    <w:rsid w:val="00E15044"/>
    <w:rsid w:val="00E1528C"/>
    <w:rsid w:val="00E154A8"/>
    <w:rsid w:val="00E154E6"/>
    <w:rsid w:val="00E155C4"/>
    <w:rsid w:val="00E15862"/>
    <w:rsid w:val="00E159FC"/>
    <w:rsid w:val="00E15DE9"/>
    <w:rsid w:val="00E15E40"/>
    <w:rsid w:val="00E15EC0"/>
    <w:rsid w:val="00E15EDC"/>
    <w:rsid w:val="00E15FC2"/>
    <w:rsid w:val="00E163CD"/>
    <w:rsid w:val="00E164D4"/>
    <w:rsid w:val="00E16946"/>
    <w:rsid w:val="00E16A76"/>
    <w:rsid w:val="00E16C56"/>
    <w:rsid w:val="00E16D11"/>
    <w:rsid w:val="00E16DDF"/>
    <w:rsid w:val="00E16FD9"/>
    <w:rsid w:val="00E1710A"/>
    <w:rsid w:val="00E177CC"/>
    <w:rsid w:val="00E17894"/>
    <w:rsid w:val="00E17A11"/>
    <w:rsid w:val="00E17B41"/>
    <w:rsid w:val="00E17FA0"/>
    <w:rsid w:val="00E17FFA"/>
    <w:rsid w:val="00E200F0"/>
    <w:rsid w:val="00E200F3"/>
    <w:rsid w:val="00E201C2"/>
    <w:rsid w:val="00E203B7"/>
    <w:rsid w:val="00E203FD"/>
    <w:rsid w:val="00E20443"/>
    <w:rsid w:val="00E205D0"/>
    <w:rsid w:val="00E206FA"/>
    <w:rsid w:val="00E206FC"/>
    <w:rsid w:val="00E207ED"/>
    <w:rsid w:val="00E20895"/>
    <w:rsid w:val="00E20903"/>
    <w:rsid w:val="00E209F2"/>
    <w:rsid w:val="00E20DD6"/>
    <w:rsid w:val="00E20F19"/>
    <w:rsid w:val="00E20F48"/>
    <w:rsid w:val="00E20F5A"/>
    <w:rsid w:val="00E21044"/>
    <w:rsid w:val="00E2109A"/>
    <w:rsid w:val="00E2120C"/>
    <w:rsid w:val="00E21513"/>
    <w:rsid w:val="00E21909"/>
    <w:rsid w:val="00E21A7F"/>
    <w:rsid w:val="00E21B6B"/>
    <w:rsid w:val="00E21E4D"/>
    <w:rsid w:val="00E21E8D"/>
    <w:rsid w:val="00E21F02"/>
    <w:rsid w:val="00E22100"/>
    <w:rsid w:val="00E22126"/>
    <w:rsid w:val="00E2227D"/>
    <w:rsid w:val="00E22285"/>
    <w:rsid w:val="00E222B4"/>
    <w:rsid w:val="00E223E1"/>
    <w:rsid w:val="00E224A3"/>
    <w:rsid w:val="00E22562"/>
    <w:rsid w:val="00E22B98"/>
    <w:rsid w:val="00E22CB2"/>
    <w:rsid w:val="00E22D40"/>
    <w:rsid w:val="00E22DDF"/>
    <w:rsid w:val="00E22F43"/>
    <w:rsid w:val="00E22FBF"/>
    <w:rsid w:val="00E2301B"/>
    <w:rsid w:val="00E23093"/>
    <w:rsid w:val="00E2316C"/>
    <w:rsid w:val="00E2322B"/>
    <w:rsid w:val="00E232B3"/>
    <w:rsid w:val="00E2363A"/>
    <w:rsid w:val="00E237EC"/>
    <w:rsid w:val="00E23AF6"/>
    <w:rsid w:val="00E23F22"/>
    <w:rsid w:val="00E24614"/>
    <w:rsid w:val="00E24ABC"/>
    <w:rsid w:val="00E24E2F"/>
    <w:rsid w:val="00E25213"/>
    <w:rsid w:val="00E25324"/>
    <w:rsid w:val="00E25329"/>
    <w:rsid w:val="00E2554D"/>
    <w:rsid w:val="00E25937"/>
    <w:rsid w:val="00E25BC6"/>
    <w:rsid w:val="00E25DB5"/>
    <w:rsid w:val="00E25E83"/>
    <w:rsid w:val="00E25F17"/>
    <w:rsid w:val="00E26350"/>
    <w:rsid w:val="00E263B4"/>
    <w:rsid w:val="00E26462"/>
    <w:rsid w:val="00E2657D"/>
    <w:rsid w:val="00E267D0"/>
    <w:rsid w:val="00E26E67"/>
    <w:rsid w:val="00E272C5"/>
    <w:rsid w:val="00E27468"/>
    <w:rsid w:val="00E275EE"/>
    <w:rsid w:val="00E277BD"/>
    <w:rsid w:val="00E27AED"/>
    <w:rsid w:val="00E27CB6"/>
    <w:rsid w:val="00E27D33"/>
    <w:rsid w:val="00E27DFB"/>
    <w:rsid w:val="00E27E89"/>
    <w:rsid w:val="00E27F19"/>
    <w:rsid w:val="00E27F9C"/>
    <w:rsid w:val="00E304B1"/>
    <w:rsid w:val="00E304EF"/>
    <w:rsid w:val="00E306D1"/>
    <w:rsid w:val="00E30CEF"/>
    <w:rsid w:val="00E314B7"/>
    <w:rsid w:val="00E31505"/>
    <w:rsid w:val="00E3163B"/>
    <w:rsid w:val="00E316B1"/>
    <w:rsid w:val="00E316B7"/>
    <w:rsid w:val="00E316DD"/>
    <w:rsid w:val="00E31B42"/>
    <w:rsid w:val="00E31CD3"/>
    <w:rsid w:val="00E31E55"/>
    <w:rsid w:val="00E31F1A"/>
    <w:rsid w:val="00E31F21"/>
    <w:rsid w:val="00E31FEF"/>
    <w:rsid w:val="00E3277E"/>
    <w:rsid w:val="00E327C2"/>
    <w:rsid w:val="00E32ADF"/>
    <w:rsid w:val="00E32EE8"/>
    <w:rsid w:val="00E32EF9"/>
    <w:rsid w:val="00E33007"/>
    <w:rsid w:val="00E332FE"/>
    <w:rsid w:val="00E33547"/>
    <w:rsid w:val="00E335D6"/>
    <w:rsid w:val="00E337E6"/>
    <w:rsid w:val="00E3381A"/>
    <w:rsid w:val="00E33AFD"/>
    <w:rsid w:val="00E33B3F"/>
    <w:rsid w:val="00E33C37"/>
    <w:rsid w:val="00E33CFD"/>
    <w:rsid w:val="00E33D2A"/>
    <w:rsid w:val="00E33DE8"/>
    <w:rsid w:val="00E33DE9"/>
    <w:rsid w:val="00E33E0B"/>
    <w:rsid w:val="00E33F65"/>
    <w:rsid w:val="00E3403E"/>
    <w:rsid w:val="00E340F5"/>
    <w:rsid w:val="00E3446D"/>
    <w:rsid w:val="00E34676"/>
    <w:rsid w:val="00E3485B"/>
    <w:rsid w:val="00E34926"/>
    <w:rsid w:val="00E34932"/>
    <w:rsid w:val="00E349BA"/>
    <w:rsid w:val="00E34A36"/>
    <w:rsid w:val="00E34AA3"/>
    <w:rsid w:val="00E34B07"/>
    <w:rsid w:val="00E34B83"/>
    <w:rsid w:val="00E35464"/>
    <w:rsid w:val="00E35573"/>
    <w:rsid w:val="00E356AA"/>
    <w:rsid w:val="00E356C7"/>
    <w:rsid w:val="00E358CB"/>
    <w:rsid w:val="00E359C1"/>
    <w:rsid w:val="00E35A3B"/>
    <w:rsid w:val="00E35B66"/>
    <w:rsid w:val="00E35C9B"/>
    <w:rsid w:val="00E35D25"/>
    <w:rsid w:val="00E35D72"/>
    <w:rsid w:val="00E361D0"/>
    <w:rsid w:val="00E361D7"/>
    <w:rsid w:val="00E3620F"/>
    <w:rsid w:val="00E36329"/>
    <w:rsid w:val="00E36B37"/>
    <w:rsid w:val="00E36EF4"/>
    <w:rsid w:val="00E36F1F"/>
    <w:rsid w:val="00E37227"/>
    <w:rsid w:val="00E373D4"/>
    <w:rsid w:val="00E37774"/>
    <w:rsid w:val="00E37BD1"/>
    <w:rsid w:val="00E37BD4"/>
    <w:rsid w:val="00E37D65"/>
    <w:rsid w:val="00E37D83"/>
    <w:rsid w:val="00E37FEE"/>
    <w:rsid w:val="00E4049E"/>
    <w:rsid w:val="00E40623"/>
    <w:rsid w:val="00E4062E"/>
    <w:rsid w:val="00E407F9"/>
    <w:rsid w:val="00E4092A"/>
    <w:rsid w:val="00E40A08"/>
    <w:rsid w:val="00E40AA2"/>
    <w:rsid w:val="00E40B7A"/>
    <w:rsid w:val="00E40B7D"/>
    <w:rsid w:val="00E40BD8"/>
    <w:rsid w:val="00E40BDF"/>
    <w:rsid w:val="00E410A3"/>
    <w:rsid w:val="00E414AB"/>
    <w:rsid w:val="00E415A3"/>
    <w:rsid w:val="00E416A6"/>
    <w:rsid w:val="00E41756"/>
    <w:rsid w:val="00E4190E"/>
    <w:rsid w:val="00E41918"/>
    <w:rsid w:val="00E41B48"/>
    <w:rsid w:val="00E41CCD"/>
    <w:rsid w:val="00E41CE4"/>
    <w:rsid w:val="00E41F05"/>
    <w:rsid w:val="00E42078"/>
    <w:rsid w:val="00E420D6"/>
    <w:rsid w:val="00E42415"/>
    <w:rsid w:val="00E4251B"/>
    <w:rsid w:val="00E4251E"/>
    <w:rsid w:val="00E428F9"/>
    <w:rsid w:val="00E42965"/>
    <w:rsid w:val="00E42B4E"/>
    <w:rsid w:val="00E42F98"/>
    <w:rsid w:val="00E43204"/>
    <w:rsid w:val="00E43430"/>
    <w:rsid w:val="00E43490"/>
    <w:rsid w:val="00E434BF"/>
    <w:rsid w:val="00E43899"/>
    <w:rsid w:val="00E43930"/>
    <w:rsid w:val="00E4397F"/>
    <w:rsid w:val="00E43E39"/>
    <w:rsid w:val="00E441A3"/>
    <w:rsid w:val="00E44393"/>
    <w:rsid w:val="00E445C2"/>
    <w:rsid w:val="00E446AA"/>
    <w:rsid w:val="00E446BE"/>
    <w:rsid w:val="00E4474D"/>
    <w:rsid w:val="00E447EC"/>
    <w:rsid w:val="00E44AE2"/>
    <w:rsid w:val="00E44CED"/>
    <w:rsid w:val="00E45077"/>
    <w:rsid w:val="00E45080"/>
    <w:rsid w:val="00E45204"/>
    <w:rsid w:val="00E4536A"/>
    <w:rsid w:val="00E4536B"/>
    <w:rsid w:val="00E4562C"/>
    <w:rsid w:val="00E45734"/>
    <w:rsid w:val="00E4576E"/>
    <w:rsid w:val="00E45848"/>
    <w:rsid w:val="00E458BB"/>
    <w:rsid w:val="00E4597C"/>
    <w:rsid w:val="00E459F6"/>
    <w:rsid w:val="00E45C73"/>
    <w:rsid w:val="00E45DEF"/>
    <w:rsid w:val="00E45F2E"/>
    <w:rsid w:val="00E46022"/>
    <w:rsid w:val="00E4606A"/>
    <w:rsid w:val="00E460A3"/>
    <w:rsid w:val="00E461F3"/>
    <w:rsid w:val="00E46442"/>
    <w:rsid w:val="00E46485"/>
    <w:rsid w:val="00E464D3"/>
    <w:rsid w:val="00E465F8"/>
    <w:rsid w:val="00E4673A"/>
    <w:rsid w:val="00E46749"/>
    <w:rsid w:val="00E46B39"/>
    <w:rsid w:val="00E46B4A"/>
    <w:rsid w:val="00E46BD8"/>
    <w:rsid w:val="00E46C0F"/>
    <w:rsid w:val="00E46D9C"/>
    <w:rsid w:val="00E46FB6"/>
    <w:rsid w:val="00E47001"/>
    <w:rsid w:val="00E47148"/>
    <w:rsid w:val="00E4749F"/>
    <w:rsid w:val="00E47740"/>
    <w:rsid w:val="00E477F0"/>
    <w:rsid w:val="00E47802"/>
    <w:rsid w:val="00E47926"/>
    <w:rsid w:val="00E5028A"/>
    <w:rsid w:val="00E503C8"/>
    <w:rsid w:val="00E503CF"/>
    <w:rsid w:val="00E5040C"/>
    <w:rsid w:val="00E50532"/>
    <w:rsid w:val="00E50860"/>
    <w:rsid w:val="00E5088D"/>
    <w:rsid w:val="00E50CC2"/>
    <w:rsid w:val="00E50DB6"/>
    <w:rsid w:val="00E50E8F"/>
    <w:rsid w:val="00E51054"/>
    <w:rsid w:val="00E512B5"/>
    <w:rsid w:val="00E51389"/>
    <w:rsid w:val="00E514AB"/>
    <w:rsid w:val="00E5153F"/>
    <w:rsid w:val="00E515EA"/>
    <w:rsid w:val="00E517CC"/>
    <w:rsid w:val="00E519DD"/>
    <w:rsid w:val="00E51A00"/>
    <w:rsid w:val="00E51ADD"/>
    <w:rsid w:val="00E51E8D"/>
    <w:rsid w:val="00E51F2D"/>
    <w:rsid w:val="00E51FB8"/>
    <w:rsid w:val="00E5223C"/>
    <w:rsid w:val="00E52307"/>
    <w:rsid w:val="00E5294F"/>
    <w:rsid w:val="00E52C2A"/>
    <w:rsid w:val="00E52FF9"/>
    <w:rsid w:val="00E53093"/>
    <w:rsid w:val="00E53476"/>
    <w:rsid w:val="00E53496"/>
    <w:rsid w:val="00E53538"/>
    <w:rsid w:val="00E536CF"/>
    <w:rsid w:val="00E53DD6"/>
    <w:rsid w:val="00E53DF7"/>
    <w:rsid w:val="00E53E54"/>
    <w:rsid w:val="00E53EC1"/>
    <w:rsid w:val="00E53F3E"/>
    <w:rsid w:val="00E54291"/>
    <w:rsid w:val="00E54292"/>
    <w:rsid w:val="00E542B8"/>
    <w:rsid w:val="00E542BB"/>
    <w:rsid w:val="00E5435F"/>
    <w:rsid w:val="00E54499"/>
    <w:rsid w:val="00E54506"/>
    <w:rsid w:val="00E5490F"/>
    <w:rsid w:val="00E54A6A"/>
    <w:rsid w:val="00E54AC2"/>
    <w:rsid w:val="00E54B4E"/>
    <w:rsid w:val="00E54DE0"/>
    <w:rsid w:val="00E54DF8"/>
    <w:rsid w:val="00E54F50"/>
    <w:rsid w:val="00E54F96"/>
    <w:rsid w:val="00E55102"/>
    <w:rsid w:val="00E55973"/>
    <w:rsid w:val="00E559CD"/>
    <w:rsid w:val="00E55BB9"/>
    <w:rsid w:val="00E55C7A"/>
    <w:rsid w:val="00E55D22"/>
    <w:rsid w:val="00E55E8C"/>
    <w:rsid w:val="00E55F4C"/>
    <w:rsid w:val="00E55FBA"/>
    <w:rsid w:val="00E5609C"/>
    <w:rsid w:val="00E561C9"/>
    <w:rsid w:val="00E562B6"/>
    <w:rsid w:val="00E563BF"/>
    <w:rsid w:val="00E5647B"/>
    <w:rsid w:val="00E564DE"/>
    <w:rsid w:val="00E566F5"/>
    <w:rsid w:val="00E56769"/>
    <w:rsid w:val="00E5683D"/>
    <w:rsid w:val="00E5683F"/>
    <w:rsid w:val="00E568EB"/>
    <w:rsid w:val="00E5695B"/>
    <w:rsid w:val="00E56B3A"/>
    <w:rsid w:val="00E56F8B"/>
    <w:rsid w:val="00E56FA5"/>
    <w:rsid w:val="00E570E3"/>
    <w:rsid w:val="00E571F9"/>
    <w:rsid w:val="00E5736F"/>
    <w:rsid w:val="00E57374"/>
    <w:rsid w:val="00E573D7"/>
    <w:rsid w:val="00E57401"/>
    <w:rsid w:val="00E57577"/>
    <w:rsid w:val="00E57748"/>
    <w:rsid w:val="00E57A3F"/>
    <w:rsid w:val="00E57B60"/>
    <w:rsid w:val="00E57BAC"/>
    <w:rsid w:val="00E57BDD"/>
    <w:rsid w:val="00E57D2E"/>
    <w:rsid w:val="00E60119"/>
    <w:rsid w:val="00E60425"/>
    <w:rsid w:val="00E60789"/>
    <w:rsid w:val="00E60AB4"/>
    <w:rsid w:val="00E61441"/>
    <w:rsid w:val="00E61565"/>
    <w:rsid w:val="00E615D1"/>
    <w:rsid w:val="00E61673"/>
    <w:rsid w:val="00E618C2"/>
    <w:rsid w:val="00E61B26"/>
    <w:rsid w:val="00E61E2E"/>
    <w:rsid w:val="00E61F81"/>
    <w:rsid w:val="00E62243"/>
    <w:rsid w:val="00E62381"/>
    <w:rsid w:val="00E62382"/>
    <w:rsid w:val="00E62399"/>
    <w:rsid w:val="00E62451"/>
    <w:rsid w:val="00E6249B"/>
    <w:rsid w:val="00E62512"/>
    <w:rsid w:val="00E626C2"/>
    <w:rsid w:val="00E62AF6"/>
    <w:rsid w:val="00E62D60"/>
    <w:rsid w:val="00E62D72"/>
    <w:rsid w:val="00E62DAC"/>
    <w:rsid w:val="00E62FB3"/>
    <w:rsid w:val="00E63203"/>
    <w:rsid w:val="00E63278"/>
    <w:rsid w:val="00E63412"/>
    <w:rsid w:val="00E63589"/>
    <w:rsid w:val="00E63635"/>
    <w:rsid w:val="00E63A58"/>
    <w:rsid w:val="00E63B60"/>
    <w:rsid w:val="00E63E15"/>
    <w:rsid w:val="00E63F5B"/>
    <w:rsid w:val="00E6406E"/>
    <w:rsid w:val="00E6428B"/>
    <w:rsid w:val="00E64357"/>
    <w:rsid w:val="00E6486E"/>
    <w:rsid w:val="00E64A32"/>
    <w:rsid w:val="00E64DC3"/>
    <w:rsid w:val="00E64EE4"/>
    <w:rsid w:val="00E650F1"/>
    <w:rsid w:val="00E65152"/>
    <w:rsid w:val="00E65285"/>
    <w:rsid w:val="00E653E2"/>
    <w:rsid w:val="00E654A6"/>
    <w:rsid w:val="00E656AC"/>
    <w:rsid w:val="00E65A39"/>
    <w:rsid w:val="00E65AC7"/>
    <w:rsid w:val="00E65B2C"/>
    <w:rsid w:val="00E65BFB"/>
    <w:rsid w:val="00E65D50"/>
    <w:rsid w:val="00E65FD9"/>
    <w:rsid w:val="00E66359"/>
    <w:rsid w:val="00E663B9"/>
    <w:rsid w:val="00E66590"/>
    <w:rsid w:val="00E666AD"/>
    <w:rsid w:val="00E667AC"/>
    <w:rsid w:val="00E66892"/>
    <w:rsid w:val="00E66CF1"/>
    <w:rsid w:val="00E66DF0"/>
    <w:rsid w:val="00E674D8"/>
    <w:rsid w:val="00E6781D"/>
    <w:rsid w:val="00E67880"/>
    <w:rsid w:val="00E67AA1"/>
    <w:rsid w:val="00E70006"/>
    <w:rsid w:val="00E700D9"/>
    <w:rsid w:val="00E7014C"/>
    <w:rsid w:val="00E701D7"/>
    <w:rsid w:val="00E701FB"/>
    <w:rsid w:val="00E70765"/>
    <w:rsid w:val="00E709A2"/>
    <w:rsid w:val="00E70A45"/>
    <w:rsid w:val="00E70CDC"/>
    <w:rsid w:val="00E70E96"/>
    <w:rsid w:val="00E7131D"/>
    <w:rsid w:val="00E71367"/>
    <w:rsid w:val="00E71455"/>
    <w:rsid w:val="00E7158A"/>
    <w:rsid w:val="00E71666"/>
    <w:rsid w:val="00E71899"/>
    <w:rsid w:val="00E718AF"/>
    <w:rsid w:val="00E7190D"/>
    <w:rsid w:val="00E71B6E"/>
    <w:rsid w:val="00E71D7A"/>
    <w:rsid w:val="00E71E35"/>
    <w:rsid w:val="00E71ED5"/>
    <w:rsid w:val="00E71F27"/>
    <w:rsid w:val="00E71FC7"/>
    <w:rsid w:val="00E7202B"/>
    <w:rsid w:val="00E723AA"/>
    <w:rsid w:val="00E7246B"/>
    <w:rsid w:val="00E725AE"/>
    <w:rsid w:val="00E726CF"/>
    <w:rsid w:val="00E7278C"/>
    <w:rsid w:val="00E729B1"/>
    <w:rsid w:val="00E72A14"/>
    <w:rsid w:val="00E72C43"/>
    <w:rsid w:val="00E72F66"/>
    <w:rsid w:val="00E72F6A"/>
    <w:rsid w:val="00E735BE"/>
    <w:rsid w:val="00E73600"/>
    <w:rsid w:val="00E73648"/>
    <w:rsid w:val="00E736B5"/>
    <w:rsid w:val="00E73756"/>
    <w:rsid w:val="00E73CDE"/>
    <w:rsid w:val="00E73FBA"/>
    <w:rsid w:val="00E73FF2"/>
    <w:rsid w:val="00E741C0"/>
    <w:rsid w:val="00E7483F"/>
    <w:rsid w:val="00E74C21"/>
    <w:rsid w:val="00E74C26"/>
    <w:rsid w:val="00E74C9A"/>
    <w:rsid w:val="00E74CE5"/>
    <w:rsid w:val="00E74CE8"/>
    <w:rsid w:val="00E74D5F"/>
    <w:rsid w:val="00E74D9C"/>
    <w:rsid w:val="00E74E98"/>
    <w:rsid w:val="00E74F70"/>
    <w:rsid w:val="00E75567"/>
    <w:rsid w:val="00E7581B"/>
    <w:rsid w:val="00E7597F"/>
    <w:rsid w:val="00E75998"/>
    <w:rsid w:val="00E759C4"/>
    <w:rsid w:val="00E759D0"/>
    <w:rsid w:val="00E75BF1"/>
    <w:rsid w:val="00E75C9D"/>
    <w:rsid w:val="00E75F92"/>
    <w:rsid w:val="00E762D2"/>
    <w:rsid w:val="00E7637D"/>
    <w:rsid w:val="00E763B8"/>
    <w:rsid w:val="00E7640F"/>
    <w:rsid w:val="00E7642B"/>
    <w:rsid w:val="00E764F1"/>
    <w:rsid w:val="00E76764"/>
    <w:rsid w:val="00E76988"/>
    <w:rsid w:val="00E769A9"/>
    <w:rsid w:val="00E76AA0"/>
    <w:rsid w:val="00E76CE6"/>
    <w:rsid w:val="00E76D72"/>
    <w:rsid w:val="00E76DD1"/>
    <w:rsid w:val="00E76E29"/>
    <w:rsid w:val="00E76E78"/>
    <w:rsid w:val="00E76F90"/>
    <w:rsid w:val="00E77055"/>
    <w:rsid w:val="00E7719D"/>
    <w:rsid w:val="00E77361"/>
    <w:rsid w:val="00E77394"/>
    <w:rsid w:val="00E77579"/>
    <w:rsid w:val="00E7772D"/>
    <w:rsid w:val="00E777FB"/>
    <w:rsid w:val="00E77B59"/>
    <w:rsid w:val="00E77D4D"/>
    <w:rsid w:val="00E80108"/>
    <w:rsid w:val="00E80348"/>
    <w:rsid w:val="00E80500"/>
    <w:rsid w:val="00E8056F"/>
    <w:rsid w:val="00E805A2"/>
    <w:rsid w:val="00E805A4"/>
    <w:rsid w:val="00E805FD"/>
    <w:rsid w:val="00E80748"/>
    <w:rsid w:val="00E80866"/>
    <w:rsid w:val="00E80A07"/>
    <w:rsid w:val="00E80BE6"/>
    <w:rsid w:val="00E80C7C"/>
    <w:rsid w:val="00E80F7A"/>
    <w:rsid w:val="00E80FA1"/>
    <w:rsid w:val="00E80FBE"/>
    <w:rsid w:val="00E8101C"/>
    <w:rsid w:val="00E81091"/>
    <w:rsid w:val="00E81206"/>
    <w:rsid w:val="00E81306"/>
    <w:rsid w:val="00E8153B"/>
    <w:rsid w:val="00E8173C"/>
    <w:rsid w:val="00E8198A"/>
    <w:rsid w:val="00E81994"/>
    <w:rsid w:val="00E81D4C"/>
    <w:rsid w:val="00E81D5D"/>
    <w:rsid w:val="00E81DD8"/>
    <w:rsid w:val="00E81F2D"/>
    <w:rsid w:val="00E8209A"/>
    <w:rsid w:val="00E821A1"/>
    <w:rsid w:val="00E824A6"/>
    <w:rsid w:val="00E82623"/>
    <w:rsid w:val="00E82714"/>
    <w:rsid w:val="00E82931"/>
    <w:rsid w:val="00E82DCF"/>
    <w:rsid w:val="00E82E56"/>
    <w:rsid w:val="00E82F09"/>
    <w:rsid w:val="00E83012"/>
    <w:rsid w:val="00E83015"/>
    <w:rsid w:val="00E8314C"/>
    <w:rsid w:val="00E8319E"/>
    <w:rsid w:val="00E833A2"/>
    <w:rsid w:val="00E834D4"/>
    <w:rsid w:val="00E8354B"/>
    <w:rsid w:val="00E835D2"/>
    <w:rsid w:val="00E835DC"/>
    <w:rsid w:val="00E8379F"/>
    <w:rsid w:val="00E837A5"/>
    <w:rsid w:val="00E838EF"/>
    <w:rsid w:val="00E83923"/>
    <w:rsid w:val="00E83992"/>
    <w:rsid w:val="00E83A70"/>
    <w:rsid w:val="00E83C85"/>
    <w:rsid w:val="00E843A5"/>
    <w:rsid w:val="00E84442"/>
    <w:rsid w:val="00E846CC"/>
    <w:rsid w:val="00E84A9A"/>
    <w:rsid w:val="00E84C86"/>
    <w:rsid w:val="00E84E9B"/>
    <w:rsid w:val="00E85149"/>
    <w:rsid w:val="00E85368"/>
    <w:rsid w:val="00E8554D"/>
    <w:rsid w:val="00E85707"/>
    <w:rsid w:val="00E85899"/>
    <w:rsid w:val="00E858A5"/>
    <w:rsid w:val="00E85A05"/>
    <w:rsid w:val="00E85F4B"/>
    <w:rsid w:val="00E86559"/>
    <w:rsid w:val="00E865C2"/>
    <w:rsid w:val="00E86622"/>
    <w:rsid w:val="00E8673D"/>
    <w:rsid w:val="00E869EC"/>
    <w:rsid w:val="00E86ACC"/>
    <w:rsid w:val="00E86E15"/>
    <w:rsid w:val="00E87648"/>
    <w:rsid w:val="00E877A0"/>
    <w:rsid w:val="00E87826"/>
    <w:rsid w:val="00E8794F"/>
    <w:rsid w:val="00E90398"/>
    <w:rsid w:val="00E9044A"/>
    <w:rsid w:val="00E904BF"/>
    <w:rsid w:val="00E90936"/>
    <w:rsid w:val="00E90BC0"/>
    <w:rsid w:val="00E90BC3"/>
    <w:rsid w:val="00E90C87"/>
    <w:rsid w:val="00E91147"/>
    <w:rsid w:val="00E91531"/>
    <w:rsid w:val="00E91598"/>
    <w:rsid w:val="00E9166E"/>
    <w:rsid w:val="00E91888"/>
    <w:rsid w:val="00E918D0"/>
    <w:rsid w:val="00E9193C"/>
    <w:rsid w:val="00E9197E"/>
    <w:rsid w:val="00E91A4E"/>
    <w:rsid w:val="00E91F8B"/>
    <w:rsid w:val="00E92070"/>
    <w:rsid w:val="00E922E5"/>
    <w:rsid w:val="00E923B8"/>
    <w:rsid w:val="00E9285F"/>
    <w:rsid w:val="00E929C8"/>
    <w:rsid w:val="00E9301F"/>
    <w:rsid w:val="00E93098"/>
    <w:rsid w:val="00E930B3"/>
    <w:rsid w:val="00E930B7"/>
    <w:rsid w:val="00E933D2"/>
    <w:rsid w:val="00E9354C"/>
    <w:rsid w:val="00E935F1"/>
    <w:rsid w:val="00E93661"/>
    <w:rsid w:val="00E93D47"/>
    <w:rsid w:val="00E9459D"/>
    <w:rsid w:val="00E94636"/>
    <w:rsid w:val="00E9484B"/>
    <w:rsid w:val="00E94E1C"/>
    <w:rsid w:val="00E94FBB"/>
    <w:rsid w:val="00E950AB"/>
    <w:rsid w:val="00E9514C"/>
    <w:rsid w:val="00E95171"/>
    <w:rsid w:val="00E952AA"/>
    <w:rsid w:val="00E952CD"/>
    <w:rsid w:val="00E955A9"/>
    <w:rsid w:val="00E95876"/>
    <w:rsid w:val="00E959B4"/>
    <w:rsid w:val="00E95A20"/>
    <w:rsid w:val="00E95B72"/>
    <w:rsid w:val="00E95B7E"/>
    <w:rsid w:val="00E95C96"/>
    <w:rsid w:val="00E95C9C"/>
    <w:rsid w:val="00E95ED6"/>
    <w:rsid w:val="00E95F28"/>
    <w:rsid w:val="00E962BE"/>
    <w:rsid w:val="00E9651A"/>
    <w:rsid w:val="00E9665C"/>
    <w:rsid w:val="00E96845"/>
    <w:rsid w:val="00E969E0"/>
    <w:rsid w:val="00E96B70"/>
    <w:rsid w:val="00E96B79"/>
    <w:rsid w:val="00E96C35"/>
    <w:rsid w:val="00E96ED4"/>
    <w:rsid w:val="00E96F3D"/>
    <w:rsid w:val="00E97111"/>
    <w:rsid w:val="00E97114"/>
    <w:rsid w:val="00E971CB"/>
    <w:rsid w:val="00E97245"/>
    <w:rsid w:val="00E97316"/>
    <w:rsid w:val="00E973D0"/>
    <w:rsid w:val="00E9759C"/>
    <w:rsid w:val="00E97BA7"/>
    <w:rsid w:val="00E97EB2"/>
    <w:rsid w:val="00EA008A"/>
    <w:rsid w:val="00EA01AA"/>
    <w:rsid w:val="00EA0243"/>
    <w:rsid w:val="00EA02F6"/>
    <w:rsid w:val="00EA0309"/>
    <w:rsid w:val="00EA0512"/>
    <w:rsid w:val="00EA05B3"/>
    <w:rsid w:val="00EA05F1"/>
    <w:rsid w:val="00EA0764"/>
    <w:rsid w:val="00EA076C"/>
    <w:rsid w:val="00EA08B5"/>
    <w:rsid w:val="00EA09CF"/>
    <w:rsid w:val="00EA0B1F"/>
    <w:rsid w:val="00EA0B45"/>
    <w:rsid w:val="00EA0BEF"/>
    <w:rsid w:val="00EA0D03"/>
    <w:rsid w:val="00EA0E81"/>
    <w:rsid w:val="00EA1173"/>
    <w:rsid w:val="00EA1352"/>
    <w:rsid w:val="00EA154E"/>
    <w:rsid w:val="00EA179D"/>
    <w:rsid w:val="00EA1A09"/>
    <w:rsid w:val="00EA1BBF"/>
    <w:rsid w:val="00EA1D76"/>
    <w:rsid w:val="00EA1F8B"/>
    <w:rsid w:val="00EA248A"/>
    <w:rsid w:val="00EA28A0"/>
    <w:rsid w:val="00EA291A"/>
    <w:rsid w:val="00EA295A"/>
    <w:rsid w:val="00EA2A8D"/>
    <w:rsid w:val="00EA2B00"/>
    <w:rsid w:val="00EA2B7C"/>
    <w:rsid w:val="00EA328B"/>
    <w:rsid w:val="00EA32C4"/>
    <w:rsid w:val="00EA3386"/>
    <w:rsid w:val="00EA3422"/>
    <w:rsid w:val="00EA3587"/>
    <w:rsid w:val="00EA3634"/>
    <w:rsid w:val="00EA3A01"/>
    <w:rsid w:val="00EA3CDD"/>
    <w:rsid w:val="00EA3D1B"/>
    <w:rsid w:val="00EA3EDB"/>
    <w:rsid w:val="00EA403A"/>
    <w:rsid w:val="00EA45EA"/>
    <w:rsid w:val="00EA4781"/>
    <w:rsid w:val="00EA47D1"/>
    <w:rsid w:val="00EA485A"/>
    <w:rsid w:val="00EA4A1D"/>
    <w:rsid w:val="00EA4B50"/>
    <w:rsid w:val="00EA4E91"/>
    <w:rsid w:val="00EA4F02"/>
    <w:rsid w:val="00EA516E"/>
    <w:rsid w:val="00EA54BD"/>
    <w:rsid w:val="00EA54EC"/>
    <w:rsid w:val="00EA569D"/>
    <w:rsid w:val="00EA585F"/>
    <w:rsid w:val="00EA5868"/>
    <w:rsid w:val="00EA5886"/>
    <w:rsid w:val="00EA6067"/>
    <w:rsid w:val="00EA626B"/>
    <w:rsid w:val="00EA62A4"/>
    <w:rsid w:val="00EA6320"/>
    <w:rsid w:val="00EA638F"/>
    <w:rsid w:val="00EA6530"/>
    <w:rsid w:val="00EA672B"/>
    <w:rsid w:val="00EA6747"/>
    <w:rsid w:val="00EA67CC"/>
    <w:rsid w:val="00EA67D8"/>
    <w:rsid w:val="00EA6976"/>
    <w:rsid w:val="00EA6BBD"/>
    <w:rsid w:val="00EA6C14"/>
    <w:rsid w:val="00EA6E71"/>
    <w:rsid w:val="00EA6F32"/>
    <w:rsid w:val="00EA780F"/>
    <w:rsid w:val="00EA7AAF"/>
    <w:rsid w:val="00EA7CF2"/>
    <w:rsid w:val="00EA7D78"/>
    <w:rsid w:val="00EA7E05"/>
    <w:rsid w:val="00EA7E4F"/>
    <w:rsid w:val="00EB024C"/>
    <w:rsid w:val="00EB0292"/>
    <w:rsid w:val="00EB02CD"/>
    <w:rsid w:val="00EB0301"/>
    <w:rsid w:val="00EB03F9"/>
    <w:rsid w:val="00EB064E"/>
    <w:rsid w:val="00EB07E3"/>
    <w:rsid w:val="00EB0A44"/>
    <w:rsid w:val="00EB0A59"/>
    <w:rsid w:val="00EB0A5E"/>
    <w:rsid w:val="00EB0A63"/>
    <w:rsid w:val="00EB0E89"/>
    <w:rsid w:val="00EB0E8C"/>
    <w:rsid w:val="00EB0EFE"/>
    <w:rsid w:val="00EB0F08"/>
    <w:rsid w:val="00EB126B"/>
    <w:rsid w:val="00EB12B3"/>
    <w:rsid w:val="00EB12D7"/>
    <w:rsid w:val="00EB130F"/>
    <w:rsid w:val="00EB13A9"/>
    <w:rsid w:val="00EB14B8"/>
    <w:rsid w:val="00EB1595"/>
    <w:rsid w:val="00EB168D"/>
    <w:rsid w:val="00EB1774"/>
    <w:rsid w:val="00EB1898"/>
    <w:rsid w:val="00EB1A1B"/>
    <w:rsid w:val="00EB200F"/>
    <w:rsid w:val="00EB2030"/>
    <w:rsid w:val="00EB21F5"/>
    <w:rsid w:val="00EB227E"/>
    <w:rsid w:val="00EB2615"/>
    <w:rsid w:val="00EB2CCD"/>
    <w:rsid w:val="00EB2E2F"/>
    <w:rsid w:val="00EB2E52"/>
    <w:rsid w:val="00EB300C"/>
    <w:rsid w:val="00EB308D"/>
    <w:rsid w:val="00EB308F"/>
    <w:rsid w:val="00EB32AB"/>
    <w:rsid w:val="00EB3413"/>
    <w:rsid w:val="00EB341B"/>
    <w:rsid w:val="00EB3732"/>
    <w:rsid w:val="00EB37A9"/>
    <w:rsid w:val="00EB37E6"/>
    <w:rsid w:val="00EB405E"/>
    <w:rsid w:val="00EB409F"/>
    <w:rsid w:val="00EB4580"/>
    <w:rsid w:val="00EB45F2"/>
    <w:rsid w:val="00EB4694"/>
    <w:rsid w:val="00EB4699"/>
    <w:rsid w:val="00EB479F"/>
    <w:rsid w:val="00EB4800"/>
    <w:rsid w:val="00EB4974"/>
    <w:rsid w:val="00EB49EE"/>
    <w:rsid w:val="00EB4EBC"/>
    <w:rsid w:val="00EB4FAD"/>
    <w:rsid w:val="00EB5183"/>
    <w:rsid w:val="00EB551A"/>
    <w:rsid w:val="00EB5551"/>
    <w:rsid w:val="00EB56C2"/>
    <w:rsid w:val="00EB56CC"/>
    <w:rsid w:val="00EB56E8"/>
    <w:rsid w:val="00EB5754"/>
    <w:rsid w:val="00EB5877"/>
    <w:rsid w:val="00EB5A7C"/>
    <w:rsid w:val="00EB5FA6"/>
    <w:rsid w:val="00EB60EE"/>
    <w:rsid w:val="00EB629F"/>
    <w:rsid w:val="00EB6304"/>
    <w:rsid w:val="00EB636B"/>
    <w:rsid w:val="00EB64AE"/>
    <w:rsid w:val="00EB656C"/>
    <w:rsid w:val="00EB6659"/>
    <w:rsid w:val="00EB67B3"/>
    <w:rsid w:val="00EB6831"/>
    <w:rsid w:val="00EB6DB6"/>
    <w:rsid w:val="00EB74EB"/>
    <w:rsid w:val="00EB75A2"/>
    <w:rsid w:val="00EB78BD"/>
    <w:rsid w:val="00EB799C"/>
    <w:rsid w:val="00EB7A02"/>
    <w:rsid w:val="00EB7A0D"/>
    <w:rsid w:val="00EB7B1E"/>
    <w:rsid w:val="00EB7B5F"/>
    <w:rsid w:val="00EB7CE3"/>
    <w:rsid w:val="00EC00BA"/>
    <w:rsid w:val="00EC00BF"/>
    <w:rsid w:val="00EC01A1"/>
    <w:rsid w:val="00EC026C"/>
    <w:rsid w:val="00EC035D"/>
    <w:rsid w:val="00EC03F8"/>
    <w:rsid w:val="00EC043C"/>
    <w:rsid w:val="00EC044C"/>
    <w:rsid w:val="00EC0475"/>
    <w:rsid w:val="00EC075C"/>
    <w:rsid w:val="00EC0905"/>
    <w:rsid w:val="00EC09B2"/>
    <w:rsid w:val="00EC0A49"/>
    <w:rsid w:val="00EC0EB9"/>
    <w:rsid w:val="00EC10C1"/>
    <w:rsid w:val="00EC126F"/>
    <w:rsid w:val="00EC15A6"/>
    <w:rsid w:val="00EC18B5"/>
    <w:rsid w:val="00EC18D0"/>
    <w:rsid w:val="00EC190A"/>
    <w:rsid w:val="00EC1B13"/>
    <w:rsid w:val="00EC1B6F"/>
    <w:rsid w:val="00EC1FCB"/>
    <w:rsid w:val="00EC1FE0"/>
    <w:rsid w:val="00EC1FEE"/>
    <w:rsid w:val="00EC202A"/>
    <w:rsid w:val="00EC25C6"/>
    <w:rsid w:val="00EC2995"/>
    <w:rsid w:val="00EC2A45"/>
    <w:rsid w:val="00EC2E73"/>
    <w:rsid w:val="00EC3155"/>
    <w:rsid w:val="00EC319A"/>
    <w:rsid w:val="00EC3297"/>
    <w:rsid w:val="00EC3342"/>
    <w:rsid w:val="00EC38D4"/>
    <w:rsid w:val="00EC3B65"/>
    <w:rsid w:val="00EC3E88"/>
    <w:rsid w:val="00EC4072"/>
    <w:rsid w:val="00EC438F"/>
    <w:rsid w:val="00EC462A"/>
    <w:rsid w:val="00EC4ACE"/>
    <w:rsid w:val="00EC4B45"/>
    <w:rsid w:val="00EC4C43"/>
    <w:rsid w:val="00EC4CAD"/>
    <w:rsid w:val="00EC4EC6"/>
    <w:rsid w:val="00EC51CB"/>
    <w:rsid w:val="00EC52CD"/>
    <w:rsid w:val="00EC52DD"/>
    <w:rsid w:val="00EC540A"/>
    <w:rsid w:val="00EC5790"/>
    <w:rsid w:val="00EC5800"/>
    <w:rsid w:val="00EC5BB8"/>
    <w:rsid w:val="00EC5C23"/>
    <w:rsid w:val="00EC5D3D"/>
    <w:rsid w:val="00EC5EC0"/>
    <w:rsid w:val="00EC5F3F"/>
    <w:rsid w:val="00EC60AF"/>
    <w:rsid w:val="00EC62B8"/>
    <w:rsid w:val="00EC62D0"/>
    <w:rsid w:val="00EC6B4D"/>
    <w:rsid w:val="00EC6C20"/>
    <w:rsid w:val="00EC6F3A"/>
    <w:rsid w:val="00EC7531"/>
    <w:rsid w:val="00EC75A5"/>
    <w:rsid w:val="00EC769B"/>
    <w:rsid w:val="00EC76B6"/>
    <w:rsid w:val="00EC7A33"/>
    <w:rsid w:val="00EC7A72"/>
    <w:rsid w:val="00EC7CB3"/>
    <w:rsid w:val="00EC7D7E"/>
    <w:rsid w:val="00EC7ECA"/>
    <w:rsid w:val="00ED0001"/>
    <w:rsid w:val="00ED061D"/>
    <w:rsid w:val="00ED0666"/>
    <w:rsid w:val="00ED07A5"/>
    <w:rsid w:val="00ED0A91"/>
    <w:rsid w:val="00ED0C3E"/>
    <w:rsid w:val="00ED0CA8"/>
    <w:rsid w:val="00ED0D6F"/>
    <w:rsid w:val="00ED0E12"/>
    <w:rsid w:val="00ED0F53"/>
    <w:rsid w:val="00ED1164"/>
    <w:rsid w:val="00ED1382"/>
    <w:rsid w:val="00ED140D"/>
    <w:rsid w:val="00ED1528"/>
    <w:rsid w:val="00ED15EB"/>
    <w:rsid w:val="00ED1766"/>
    <w:rsid w:val="00ED17C5"/>
    <w:rsid w:val="00ED1895"/>
    <w:rsid w:val="00ED18A7"/>
    <w:rsid w:val="00ED1BD6"/>
    <w:rsid w:val="00ED2190"/>
    <w:rsid w:val="00ED2202"/>
    <w:rsid w:val="00ED2222"/>
    <w:rsid w:val="00ED26A8"/>
    <w:rsid w:val="00ED2738"/>
    <w:rsid w:val="00ED2A25"/>
    <w:rsid w:val="00ED2AA9"/>
    <w:rsid w:val="00ED2D73"/>
    <w:rsid w:val="00ED2E67"/>
    <w:rsid w:val="00ED2E81"/>
    <w:rsid w:val="00ED314F"/>
    <w:rsid w:val="00ED3230"/>
    <w:rsid w:val="00ED328F"/>
    <w:rsid w:val="00ED32E2"/>
    <w:rsid w:val="00ED3330"/>
    <w:rsid w:val="00ED3402"/>
    <w:rsid w:val="00ED34A8"/>
    <w:rsid w:val="00ED3598"/>
    <w:rsid w:val="00ED35E2"/>
    <w:rsid w:val="00ED371B"/>
    <w:rsid w:val="00ED3791"/>
    <w:rsid w:val="00ED37B0"/>
    <w:rsid w:val="00ED3934"/>
    <w:rsid w:val="00ED3C59"/>
    <w:rsid w:val="00ED4029"/>
    <w:rsid w:val="00ED4048"/>
    <w:rsid w:val="00ED44A7"/>
    <w:rsid w:val="00ED46A8"/>
    <w:rsid w:val="00ED4745"/>
    <w:rsid w:val="00ED4B0B"/>
    <w:rsid w:val="00ED4ED5"/>
    <w:rsid w:val="00ED4FA4"/>
    <w:rsid w:val="00ED5091"/>
    <w:rsid w:val="00ED5202"/>
    <w:rsid w:val="00ED52AC"/>
    <w:rsid w:val="00ED5474"/>
    <w:rsid w:val="00ED54B8"/>
    <w:rsid w:val="00ED552F"/>
    <w:rsid w:val="00ED55C9"/>
    <w:rsid w:val="00ED5A0A"/>
    <w:rsid w:val="00ED5DB9"/>
    <w:rsid w:val="00ED60C9"/>
    <w:rsid w:val="00ED62D6"/>
    <w:rsid w:val="00ED6353"/>
    <w:rsid w:val="00ED642E"/>
    <w:rsid w:val="00ED6542"/>
    <w:rsid w:val="00ED65DF"/>
    <w:rsid w:val="00ED6786"/>
    <w:rsid w:val="00ED6A8F"/>
    <w:rsid w:val="00ED6B69"/>
    <w:rsid w:val="00ED6DC0"/>
    <w:rsid w:val="00ED6DEB"/>
    <w:rsid w:val="00ED715B"/>
    <w:rsid w:val="00ED739D"/>
    <w:rsid w:val="00ED75BF"/>
    <w:rsid w:val="00ED75F3"/>
    <w:rsid w:val="00ED7673"/>
    <w:rsid w:val="00ED780A"/>
    <w:rsid w:val="00ED7DC0"/>
    <w:rsid w:val="00EE00BB"/>
    <w:rsid w:val="00EE04C8"/>
    <w:rsid w:val="00EE04CB"/>
    <w:rsid w:val="00EE080E"/>
    <w:rsid w:val="00EE08F0"/>
    <w:rsid w:val="00EE0D69"/>
    <w:rsid w:val="00EE0DF5"/>
    <w:rsid w:val="00EE0FD3"/>
    <w:rsid w:val="00EE111B"/>
    <w:rsid w:val="00EE123D"/>
    <w:rsid w:val="00EE150C"/>
    <w:rsid w:val="00EE1521"/>
    <w:rsid w:val="00EE15AF"/>
    <w:rsid w:val="00EE17DC"/>
    <w:rsid w:val="00EE181B"/>
    <w:rsid w:val="00EE19B7"/>
    <w:rsid w:val="00EE19F1"/>
    <w:rsid w:val="00EE1B2E"/>
    <w:rsid w:val="00EE1DBA"/>
    <w:rsid w:val="00EE1F4C"/>
    <w:rsid w:val="00EE222B"/>
    <w:rsid w:val="00EE263D"/>
    <w:rsid w:val="00EE2766"/>
    <w:rsid w:val="00EE27CA"/>
    <w:rsid w:val="00EE29B0"/>
    <w:rsid w:val="00EE29E9"/>
    <w:rsid w:val="00EE2AF3"/>
    <w:rsid w:val="00EE2C3E"/>
    <w:rsid w:val="00EE2D37"/>
    <w:rsid w:val="00EE334A"/>
    <w:rsid w:val="00EE334B"/>
    <w:rsid w:val="00EE3561"/>
    <w:rsid w:val="00EE369B"/>
    <w:rsid w:val="00EE3820"/>
    <w:rsid w:val="00EE3DED"/>
    <w:rsid w:val="00EE3FF4"/>
    <w:rsid w:val="00EE44DD"/>
    <w:rsid w:val="00EE4766"/>
    <w:rsid w:val="00EE49B9"/>
    <w:rsid w:val="00EE4C1C"/>
    <w:rsid w:val="00EE4E8D"/>
    <w:rsid w:val="00EE4E9F"/>
    <w:rsid w:val="00EE50FA"/>
    <w:rsid w:val="00EE527C"/>
    <w:rsid w:val="00EE55F6"/>
    <w:rsid w:val="00EE5754"/>
    <w:rsid w:val="00EE5810"/>
    <w:rsid w:val="00EE585E"/>
    <w:rsid w:val="00EE58BF"/>
    <w:rsid w:val="00EE5A33"/>
    <w:rsid w:val="00EE5A84"/>
    <w:rsid w:val="00EE5AA3"/>
    <w:rsid w:val="00EE5AAA"/>
    <w:rsid w:val="00EE5ABE"/>
    <w:rsid w:val="00EE5AE4"/>
    <w:rsid w:val="00EE5B13"/>
    <w:rsid w:val="00EE5C2C"/>
    <w:rsid w:val="00EE5CEE"/>
    <w:rsid w:val="00EE5EFD"/>
    <w:rsid w:val="00EE5F68"/>
    <w:rsid w:val="00EE5FC9"/>
    <w:rsid w:val="00EE6259"/>
    <w:rsid w:val="00EE63C7"/>
    <w:rsid w:val="00EE6638"/>
    <w:rsid w:val="00EE6643"/>
    <w:rsid w:val="00EE6721"/>
    <w:rsid w:val="00EE6924"/>
    <w:rsid w:val="00EE69B9"/>
    <w:rsid w:val="00EE6B24"/>
    <w:rsid w:val="00EE6C82"/>
    <w:rsid w:val="00EE6D4A"/>
    <w:rsid w:val="00EE78C4"/>
    <w:rsid w:val="00EE7970"/>
    <w:rsid w:val="00EE79C5"/>
    <w:rsid w:val="00EE79E9"/>
    <w:rsid w:val="00EE7CCE"/>
    <w:rsid w:val="00EE7F5B"/>
    <w:rsid w:val="00EE7FC8"/>
    <w:rsid w:val="00EE7FE0"/>
    <w:rsid w:val="00EF0053"/>
    <w:rsid w:val="00EF0254"/>
    <w:rsid w:val="00EF03A1"/>
    <w:rsid w:val="00EF0549"/>
    <w:rsid w:val="00EF059E"/>
    <w:rsid w:val="00EF05C6"/>
    <w:rsid w:val="00EF0630"/>
    <w:rsid w:val="00EF0642"/>
    <w:rsid w:val="00EF068A"/>
    <w:rsid w:val="00EF06B3"/>
    <w:rsid w:val="00EF0731"/>
    <w:rsid w:val="00EF0868"/>
    <w:rsid w:val="00EF0989"/>
    <w:rsid w:val="00EF0A12"/>
    <w:rsid w:val="00EF0AD6"/>
    <w:rsid w:val="00EF0B73"/>
    <w:rsid w:val="00EF0DDC"/>
    <w:rsid w:val="00EF10B2"/>
    <w:rsid w:val="00EF16E2"/>
    <w:rsid w:val="00EF17A8"/>
    <w:rsid w:val="00EF193C"/>
    <w:rsid w:val="00EF1CC2"/>
    <w:rsid w:val="00EF1CFF"/>
    <w:rsid w:val="00EF2227"/>
    <w:rsid w:val="00EF23CB"/>
    <w:rsid w:val="00EF247A"/>
    <w:rsid w:val="00EF2543"/>
    <w:rsid w:val="00EF28D4"/>
    <w:rsid w:val="00EF29F4"/>
    <w:rsid w:val="00EF2AA2"/>
    <w:rsid w:val="00EF2D3B"/>
    <w:rsid w:val="00EF2D83"/>
    <w:rsid w:val="00EF3044"/>
    <w:rsid w:val="00EF316E"/>
    <w:rsid w:val="00EF3542"/>
    <w:rsid w:val="00EF35C8"/>
    <w:rsid w:val="00EF3643"/>
    <w:rsid w:val="00EF367F"/>
    <w:rsid w:val="00EF36A9"/>
    <w:rsid w:val="00EF373F"/>
    <w:rsid w:val="00EF37B7"/>
    <w:rsid w:val="00EF37CA"/>
    <w:rsid w:val="00EF3A3B"/>
    <w:rsid w:val="00EF3A9C"/>
    <w:rsid w:val="00EF43C7"/>
    <w:rsid w:val="00EF4495"/>
    <w:rsid w:val="00EF4676"/>
    <w:rsid w:val="00EF47CF"/>
    <w:rsid w:val="00EF4813"/>
    <w:rsid w:val="00EF48BE"/>
    <w:rsid w:val="00EF4B08"/>
    <w:rsid w:val="00EF4C8E"/>
    <w:rsid w:val="00EF4D18"/>
    <w:rsid w:val="00EF4D62"/>
    <w:rsid w:val="00EF4EFB"/>
    <w:rsid w:val="00EF5011"/>
    <w:rsid w:val="00EF5093"/>
    <w:rsid w:val="00EF51F8"/>
    <w:rsid w:val="00EF5206"/>
    <w:rsid w:val="00EF5225"/>
    <w:rsid w:val="00EF5659"/>
    <w:rsid w:val="00EF56DB"/>
    <w:rsid w:val="00EF58F6"/>
    <w:rsid w:val="00EF592F"/>
    <w:rsid w:val="00EF59F3"/>
    <w:rsid w:val="00EF5A6F"/>
    <w:rsid w:val="00EF5A96"/>
    <w:rsid w:val="00EF5AF0"/>
    <w:rsid w:val="00EF5B61"/>
    <w:rsid w:val="00EF5BD7"/>
    <w:rsid w:val="00EF5CE0"/>
    <w:rsid w:val="00EF61BC"/>
    <w:rsid w:val="00EF655A"/>
    <w:rsid w:val="00EF66E2"/>
    <w:rsid w:val="00EF6AEA"/>
    <w:rsid w:val="00EF6BC5"/>
    <w:rsid w:val="00EF6CBF"/>
    <w:rsid w:val="00EF6E14"/>
    <w:rsid w:val="00EF6EA1"/>
    <w:rsid w:val="00EF6EFD"/>
    <w:rsid w:val="00EF718B"/>
    <w:rsid w:val="00EF7587"/>
    <w:rsid w:val="00EF75D0"/>
    <w:rsid w:val="00EF760E"/>
    <w:rsid w:val="00EF7729"/>
    <w:rsid w:val="00EF78B7"/>
    <w:rsid w:val="00EF7CB0"/>
    <w:rsid w:val="00EF7D23"/>
    <w:rsid w:val="00EF7F95"/>
    <w:rsid w:val="00F00428"/>
    <w:rsid w:val="00F00443"/>
    <w:rsid w:val="00F004B1"/>
    <w:rsid w:val="00F005A4"/>
    <w:rsid w:val="00F0064F"/>
    <w:rsid w:val="00F0071A"/>
    <w:rsid w:val="00F007B0"/>
    <w:rsid w:val="00F00834"/>
    <w:rsid w:val="00F0093F"/>
    <w:rsid w:val="00F0096B"/>
    <w:rsid w:val="00F00AF9"/>
    <w:rsid w:val="00F00C55"/>
    <w:rsid w:val="00F00C71"/>
    <w:rsid w:val="00F00EBE"/>
    <w:rsid w:val="00F0120E"/>
    <w:rsid w:val="00F01298"/>
    <w:rsid w:val="00F012FF"/>
    <w:rsid w:val="00F0167E"/>
    <w:rsid w:val="00F01733"/>
    <w:rsid w:val="00F01906"/>
    <w:rsid w:val="00F0197E"/>
    <w:rsid w:val="00F01AF0"/>
    <w:rsid w:val="00F01E5F"/>
    <w:rsid w:val="00F021B7"/>
    <w:rsid w:val="00F02248"/>
    <w:rsid w:val="00F02290"/>
    <w:rsid w:val="00F0232D"/>
    <w:rsid w:val="00F02799"/>
    <w:rsid w:val="00F02890"/>
    <w:rsid w:val="00F02C75"/>
    <w:rsid w:val="00F02D2C"/>
    <w:rsid w:val="00F02E1B"/>
    <w:rsid w:val="00F03254"/>
    <w:rsid w:val="00F034EC"/>
    <w:rsid w:val="00F03A95"/>
    <w:rsid w:val="00F03CCF"/>
    <w:rsid w:val="00F04060"/>
    <w:rsid w:val="00F04070"/>
    <w:rsid w:val="00F0409D"/>
    <w:rsid w:val="00F0417B"/>
    <w:rsid w:val="00F041A7"/>
    <w:rsid w:val="00F045E0"/>
    <w:rsid w:val="00F04669"/>
    <w:rsid w:val="00F046AA"/>
    <w:rsid w:val="00F049EF"/>
    <w:rsid w:val="00F04BEE"/>
    <w:rsid w:val="00F04E4E"/>
    <w:rsid w:val="00F04EE2"/>
    <w:rsid w:val="00F050D9"/>
    <w:rsid w:val="00F054D0"/>
    <w:rsid w:val="00F056D5"/>
    <w:rsid w:val="00F0577E"/>
    <w:rsid w:val="00F0578B"/>
    <w:rsid w:val="00F0589E"/>
    <w:rsid w:val="00F05921"/>
    <w:rsid w:val="00F05965"/>
    <w:rsid w:val="00F05AA4"/>
    <w:rsid w:val="00F05E11"/>
    <w:rsid w:val="00F063B6"/>
    <w:rsid w:val="00F0643C"/>
    <w:rsid w:val="00F0655F"/>
    <w:rsid w:val="00F06758"/>
    <w:rsid w:val="00F0683F"/>
    <w:rsid w:val="00F06BD9"/>
    <w:rsid w:val="00F06BFC"/>
    <w:rsid w:val="00F070B5"/>
    <w:rsid w:val="00F072EA"/>
    <w:rsid w:val="00F07361"/>
    <w:rsid w:val="00F0738B"/>
    <w:rsid w:val="00F07641"/>
    <w:rsid w:val="00F07772"/>
    <w:rsid w:val="00F078E2"/>
    <w:rsid w:val="00F07D28"/>
    <w:rsid w:val="00F07EEE"/>
    <w:rsid w:val="00F10005"/>
    <w:rsid w:val="00F1034D"/>
    <w:rsid w:val="00F1038C"/>
    <w:rsid w:val="00F1056E"/>
    <w:rsid w:val="00F10629"/>
    <w:rsid w:val="00F10C5E"/>
    <w:rsid w:val="00F10CBF"/>
    <w:rsid w:val="00F10D2B"/>
    <w:rsid w:val="00F10D9B"/>
    <w:rsid w:val="00F114DA"/>
    <w:rsid w:val="00F11506"/>
    <w:rsid w:val="00F11541"/>
    <w:rsid w:val="00F11575"/>
    <w:rsid w:val="00F11A78"/>
    <w:rsid w:val="00F11C4C"/>
    <w:rsid w:val="00F1201B"/>
    <w:rsid w:val="00F1216A"/>
    <w:rsid w:val="00F1218A"/>
    <w:rsid w:val="00F1234B"/>
    <w:rsid w:val="00F12407"/>
    <w:rsid w:val="00F124B2"/>
    <w:rsid w:val="00F128E2"/>
    <w:rsid w:val="00F12E2F"/>
    <w:rsid w:val="00F12F50"/>
    <w:rsid w:val="00F12F63"/>
    <w:rsid w:val="00F12FDA"/>
    <w:rsid w:val="00F13054"/>
    <w:rsid w:val="00F133B9"/>
    <w:rsid w:val="00F1363C"/>
    <w:rsid w:val="00F138E4"/>
    <w:rsid w:val="00F139A4"/>
    <w:rsid w:val="00F13C71"/>
    <w:rsid w:val="00F14020"/>
    <w:rsid w:val="00F145A8"/>
    <w:rsid w:val="00F14740"/>
    <w:rsid w:val="00F14881"/>
    <w:rsid w:val="00F14A7C"/>
    <w:rsid w:val="00F14A8B"/>
    <w:rsid w:val="00F14B2B"/>
    <w:rsid w:val="00F14C52"/>
    <w:rsid w:val="00F14CF1"/>
    <w:rsid w:val="00F14EDE"/>
    <w:rsid w:val="00F157B9"/>
    <w:rsid w:val="00F15941"/>
    <w:rsid w:val="00F15979"/>
    <w:rsid w:val="00F15C41"/>
    <w:rsid w:val="00F15D9C"/>
    <w:rsid w:val="00F15F25"/>
    <w:rsid w:val="00F161D5"/>
    <w:rsid w:val="00F16384"/>
    <w:rsid w:val="00F16593"/>
    <w:rsid w:val="00F16969"/>
    <w:rsid w:val="00F16B48"/>
    <w:rsid w:val="00F16C9E"/>
    <w:rsid w:val="00F16CB5"/>
    <w:rsid w:val="00F16E48"/>
    <w:rsid w:val="00F1721F"/>
    <w:rsid w:val="00F17505"/>
    <w:rsid w:val="00F1762E"/>
    <w:rsid w:val="00F17727"/>
    <w:rsid w:val="00F177B5"/>
    <w:rsid w:val="00F17862"/>
    <w:rsid w:val="00F17A43"/>
    <w:rsid w:val="00F17A7B"/>
    <w:rsid w:val="00F17C3A"/>
    <w:rsid w:val="00F17E00"/>
    <w:rsid w:val="00F2014E"/>
    <w:rsid w:val="00F20241"/>
    <w:rsid w:val="00F20253"/>
    <w:rsid w:val="00F202EB"/>
    <w:rsid w:val="00F20345"/>
    <w:rsid w:val="00F20370"/>
    <w:rsid w:val="00F205F7"/>
    <w:rsid w:val="00F206A8"/>
    <w:rsid w:val="00F206E2"/>
    <w:rsid w:val="00F20735"/>
    <w:rsid w:val="00F207EB"/>
    <w:rsid w:val="00F20C4C"/>
    <w:rsid w:val="00F20CFE"/>
    <w:rsid w:val="00F210FB"/>
    <w:rsid w:val="00F211B9"/>
    <w:rsid w:val="00F21228"/>
    <w:rsid w:val="00F2173D"/>
    <w:rsid w:val="00F21769"/>
    <w:rsid w:val="00F21AA6"/>
    <w:rsid w:val="00F21B4D"/>
    <w:rsid w:val="00F21BF9"/>
    <w:rsid w:val="00F21DCF"/>
    <w:rsid w:val="00F225EB"/>
    <w:rsid w:val="00F2261E"/>
    <w:rsid w:val="00F2278C"/>
    <w:rsid w:val="00F22A6B"/>
    <w:rsid w:val="00F22C96"/>
    <w:rsid w:val="00F22DA8"/>
    <w:rsid w:val="00F22E48"/>
    <w:rsid w:val="00F23001"/>
    <w:rsid w:val="00F2329A"/>
    <w:rsid w:val="00F23469"/>
    <w:rsid w:val="00F234B9"/>
    <w:rsid w:val="00F2391D"/>
    <w:rsid w:val="00F23B1C"/>
    <w:rsid w:val="00F23CB3"/>
    <w:rsid w:val="00F23CE1"/>
    <w:rsid w:val="00F23F34"/>
    <w:rsid w:val="00F23F3F"/>
    <w:rsid w:val="00F241A2"/>
    <w:rsid w:val="00F241AE"/>
    <w:rsid w:val="00F24317"/>
    <w:rsid w:val="00F2448C"/>
    <w:rsid w:val="00F2469F"/>
    <w:rsid w:val="00F24796"/>
    <w:rsid w:val="00F24B12"/>
    <w:rsid w:val="00F24D62"/>
    <w:rsid w:val="00F2525A"/>
    <w:rsid w:val="00F25378"/>
    <w:rsid w:val="00F2548D"/>
    <w:rsid w:val="00F2558E"/>
    <w:rsid w:val="00F2593D"/>
    <w:rsid w:val="00F25B64"/>
    <w:rsid w:val="00F25BBD"/>
    <w:rsid w:val="00F25C7C"/>
    <w:rsid w:val="00F25CB4"/>
    <w:rsid w:val="00F25F8F"/>
    <w:rsid w:val="00F25FCB"/>
    <w:rsid w:val="00F2645C"/>
    <w:rsid w:val="00F2649F"/>
    <w:rsid w:val="00F265EE"/>
    <w:rsid w:val="00F26884"/>
    <w:rsid w:val="00F2693F"/>
    <w:rsid w:val="00F269A2"/>
    <w:rsid w:val="00F26ACA"/>
    <w:rsid w:val="00F26AE8"/>
    <w:rsid w:val="00F26B00"/>
    <w:rsid w:val="00F26BF9"/>
    <w:rsid w:val="00F26EBF"/>
    <w:rsid w:val="00F27022"/>
    <w:rsid w:val="00F2709D"/>
    <w:rsid w:val="00F27173"/>
    <w:rsid w:val="00F2723B"/>
    <w:rsid w:val="00F274DF"/>
    <w:rsid w:val="00F278B9"/>
    <w:rsid w:val="00F27906"/>
    <w:rsid w:val="00F2799F"/>
    <w:rsid w:val="00F27BBD"/>
    <w:rsid w:val="00F27DAC"/>
    <w:rsid w:val="00F3029E"/>
    <w:rsid w:val="00F304D0"/>
    <w:rsid w:val="00F3066A"/>
    <w:rsid w:val="00F30743"/>
    <w:rsid w:val="00F30763"/>
    <w:rsid w:val="00F30790"/>
    <w:rsid w:val="00F30898"/>
    <w:rsid w:val="00F30950"/>
    <w:rsid w:val="00F30B35"/>
    <w:rsid w:val="00F30C53"/>
    <w:rsid w:val="00F30D68"/>
    <w:rsid w:val="00F30F8E"/>
    <w:rsid w:val="00F30FFD"/>
    <w:rsid w:val="00F3100E"/>
    <w:rsid w:val="00F3133A"/>
    <w:rsid w:val="00F3147C"/>
    <w:rsid w:val="00F3163A"/>
    <w:rsid w:val="00F3167A"/>
    <w:rsid w:val="00F316DB"/>
    <w:rsid w:val="00F31792"/>
    <w:rsid w:val="00F317C3"/>
    <w:rsid w:val="00F31982"/>
    <w:rsid w:val="00F31AA9"/>
    <w:rsid w:val="00F31AC0"/>
    <w:rsid w:val="00F31C06"/>
    <w:rsid w:val="00F31DEA"/>
    <w:rsid w:val="00F31F07"/>
    <w:rsid w:val="00F31F51"/>
    <w:rsid w:val="00F322ED"/>
    <w:rsid w:val="00F325A7"/>
    <w:rsid w:val="00F325C3"/>
    <w:rsid w:val="00F32660"/>
    <w:rsid w:val="00F32755"/>
    <w:rsid w:val="00F328A5"/>
    <w:rsid w:val="00F32920"/>
    <w:rsid w:val="00F32986"/>
    <w:rsid w:val="00F329F4"/>
    <w:rsid w:val="00F32BA1"/>
    <w:rsid w:val="00F32FAA"/>
    <w:rsid w:val="00F33033"/>
    <w:rsid w:val="00F330E2"/>
    <w:rsid w:val="00F33101"/>
    <w:rsid w:val="00F332D5"/>
    <w:rsid w:val="00F3355A"/>
    <w:rsid w:val="00F33A5D"/>
    <w:rsid w:val="00F33AFF"/>
    <w:rsid w:val="00F33FFF"/>
    <w:rsid w:val="00F34046"/>
    <w:rsid w:val="00F3409E"/>
    <w:rsid w:val="00F342A1"/>
    <w:rsid w:val="00F34464"/>
    <w:rsid w:val="00F34AB7"/>
    <w:rsid w:val="00F34B2C"/>
    <w:rsid w:val="00F34C10"/>
    <w:rsid w:val="00F34D2A"/>
    <w:rsid w:val="00F34FF5"/>
    <w:rsid w:val="00F351A7"/>
    <w:rsid w:val="00F352D3"/>
    <w:rsid w:val="00F35333"/>
    <w:rsid w:val="00F35897"/>
    <w:rsid w:val="00F35B27"/>
    <w:rsid w:val="00F35BD7"/>
    <w:rsid w:val="00F35D5B"/>
    <w:rsid w:val="00F35D6F"/>
    <w:rsid w:val="00F35DDB"/>
    <w:rsid w:val="00F3602C"/>
    <w:rsid w:val="00F36478"/>
    <w:rsid w:val="00F364D1"/>
    <w:rsid w:val="00F36515"/>
    <w:rsid w:val="00F36687"/>
    <w:rsid w:val="00F36842"/>
    <w:rsid w:val="00F369A4"/>
    <w:rsid w:val="00F36A0D"/>
    <w:rsid w:val="00F36A7C"/>
    <w:rsid w:val="00F36AA0"/>
    <w:rsid w:val="00F36D50"/>
    <w:rsid w:val="00F36D7F"/>
    <w:rsid w:val="00F3709F"/>
    <w:rsid w:val="00F37135"/>
    <w:rsid w:val="00F37216"/>
    <w:rsid w:val="00F37388"/>
    <w:rsid w:val="00F373B5"/>
    <w:rsid w:val="00F3741D"/>
    <w:rsid w:val="00F37543"/>
    <w:rsid w:val="00F379DB"/>
    <w:rsid w:val="00F37A32"/>
    <w:rsid w:val="00F37C43"/>
    <w:rsid w:val="00F37D28"/>
    <w:rsid w:val="00F37D59"/>
    <w:rsid w:val="00F37E70"/>
    <w:rsid w:val="00F37F19"/>
    <w:rsid w:val="00F4012F"/>
    <w:rsid w:val="00F403FB"/>
    <w:rsid w:val="00F4063C"/>
    <w:rsid w:val="00F40646"/>
    <w:rsid w:val="00F4069D"/>
    <w:rsid w:val="00F4081F"/>
    <w:rsid w:val="00F40837"/>
    <w:rsid w:val="00F409CA"/>
    <w:rsid w:val="00F40A0C"/>
    <w:rsid w:val="00F40D25"/>
    <w:rsid w:val="00F40DB2"/>
    <w:rsid w:val="00F40E06"/>
    <w:rsid w:val="00F40EF9"/>
    <w:rsid w:val="00F410E9"/>
    <w:rsid w:val="00F413F4"/>
    <w:rsid w:val="00F41552"/>
    <w:rsid w:val="00F416B6"/>
    <w:rsid w:val="00F41729"/>
    <w:rsid w:val="00F4177F"/>
    <w:rsid w:val="00F418EA"/>
    <w:rsid w:val="00F41A25"/>
    <w:rsid w:val="00F41A6C"/>
    <w:rsid w:val="00F41BE4"/>
    <w:rsid w:val="00F41C93"/>
    <w:rsid w:val="00F41D0B"/>
    <w:rsid w:val="00F41E36"/>
    <w:rsid w:val="00F42044"/>
    <w:rsid w:val="00F4205B"/>
    <w:rsid w:val="00F4206C"/>
    <w:rsid w:val="00F42162"/>
    <w:rsid w:val="00F421AE"/>
    <w:rsid w:val="00F4239A"/>
    <w:rsid w:val="00F424F7"/>
    <w:rsid w:val="00F42645"/>
    <w:rsid w:val="00F42649"/>
    <w:rsid w:val="00F42693"/>
    <w:rsid w:val="00F42A60"/>
    <w:rsid w:val="00F42CC6"/>
    <w:rsid w:val="00F430B0"/>
    <w:rsid w:val="00F430C5"/>
    <w:rsid w:val="00F43316"/>
    <w:rsid w:val="00F433A8"/>
    <w:rsid w:val="00F4340D"/>
    <w:rsid w:val="00F43850"/>
    <w:rsid w:val="00F43A7C"/>
    <w:rsid w:val="00F43C03"/>
    <w:rsid w:val="00F43C9A"/>
    <w:rsid w:val="00F43DA3"/>
    <w:rsid w:val="00F43F56"/>
    <w:rsid w:val="00F44018"/>
    <w:rsid w:val="00F4407C"/>
    <w:rsid w:val="00F44171"/>
    <w:rsid w:val="00F44452"/>
    <w:rsid w:val="00F4471B"/>
    <w:rsid w:val="00F44810"/>
    <w:rsid w:val="00F44893"/>
    <w:rsid w:val="00F44C91"/>
    <w:rsid w:val="00F44E7C"/>
    <w:rsid w:val="00F44F52"/>
    <w:rsid w:val="00F44F77"/>
    <w:rsid w:val="00F4540C"/>
    <w:rsid w:val="00F45570"/>
    <w:rsid w:val="00F45768"/>
    <w:rsid w:val="00F457AC"/>
    <w:rsid w:val="00F45B6C"/>
    <w:rsid w:val="00F45BA7"/>
    <w:rsid w:val="00F45E2B"/>
    <w:rsid w:val="00F45ED1"/>
    <w:rsid w:val="00F46397"/>
    <w:rsid w:val="00F465CA"/>
    <w:rsid w:val="00F46834"/>
    <w:rsid w:val="00F4696E"/>
    <w:rsid w:val="00F469EE"/>
    <w:rsid w:val="00F46B1B"/>
    <w:rsid w:val="00F46D3E"/>
    <w:rsid w:val="00F46EE0"/>
    <w:rsid w:val="00F46F9E"/>
    <w:rsid w:val="00F470F6"/>
    <w:rsid w:val="00F471E8"/>
    <w:rsid w:val="00F47433"/>
    <w:rsid w:val="00F476E8"/>
    <w:rsid w:val="00F47701"/>
    <w:rsid w:val="00F47799"/>
    <w:rsid w:val="00F478CB"/>
    <w:rsid w:val="00F47997"/>
    <w:rsid w:val="00F47D0E"/>
    <w:rsid w:val="00F47D77"/>
    <w:rsid w:val="00F47E40"/>
    <w:rsid w:val="00F5004B"/>
    <w:rsid w:val="00F500B7"/>
    <w:rsid w:val="00F502EE"/>
    <w:rsid w:val="00F504A2"/>
    <w:rsid w:val="00F505F3"/>
    <w:rsid w:val="00F5078E"/>
    <w:rsid w:val="00F509B4"/>
    <w:rsid w:val="00F50AC5"/>
    <w:rsid w:val="00F51113"/>
    <w:rsid w:val="00F512B5"/>
    <w:rsid w:val="00F51367"/>
    <w:rsid w:val="00F51540"/>
    <w:rsid w:val="00F515C7"/>
    <w:rsid w:val="00F518D1"/>
    <w:rsid w:val="00F51AAA"/>
    <w:rsid w:val="00F51BD6"/>
    <w:rsid w:val="00F51C7D"/>
    <w:rsid w:val="00F51D56"/>
    <w:rsid w:val="00F51E70"/>
    <w:rsid w:val="00F51FC4"/>
    <w:rsid w:val="00F52072"/>
    <w:rsid w:val="00F520E4"/>
    <w:rsid w:val="00F5218C"/>
    <w:rsid w:val="00F52596"/>
    <w:rsid w:val="00F52701"/>
    <w:rsid w:val="00F52716"/>
    <w:rsid w:val="00F528A6"/>
    <w:rsid w:val="00F528F4"/>
    <w:rsid w:val="00F52904"/>
    <w:rsid w:val="00F52934"/>
    <w:rsid w:val="00F529A6"/>
    <w:rsid w:val="00F52A54"/>
    <w:rsid w:val="00F52AEF"/>
    <w:rsid w:val="00F52BC7"/>
    <w:rsid w:val="00F52E10"/>
    <w:rsid w:val="00F52F69"/>
    <w:rsid w:val="00F52F91"/>
    <w:rsid w:val="00F53183"/>
    <w:rsid w:val="00F5332B"/>
    <w:rsid w:val="00F53372"/>
    <w:rsid w:val="00F53428"/>
    <w:rsid w:val="00F535AD"/>
    <w:rsid w:val="00F5374C"/>
    <w:rsid w:val="00F538B0"/>
    <w:rsid w:val="00F53B28"/>
    <w:rsid w:val="00F53D20"/>
    <w:rsid w:val="00F53DB8"/>
    <w:rsid w:val="00F53DEF"/>
    <w:rsid w:val="00F53F35"/>
    <w:rsid w:val="00F53F9E"/>
    <w:rsid w:val="00F53FB7"/>
    <w:rsid w:val="00F540A6"/>
    <w:rsid w:val="00F54124"/>
    <w:rsid w:val="00F54151"/>
    <w:rsid w:val="00F5422A"/>
    <w:rsid w:val="00F542E2"/>
    <w:rsid w:val="00F54502"/>
    <w:rsid w:val="00F5452C"/>
    <w:rsid w:val="00F546D1"/>
    <w:rsid w:val="00F5498A"/>
    <w:rsid w:val="00F549C8"/>
    <w:rsid w:val="00F54AE9"/>
    <w:rsid w:val="00F54B51"/>
    <w:rsid w:val="00F54BB4"/>
    <w:rsid w:val="00F54C3A"/>
    <w:rsid w:val="00F54D9B"/>
    <w:rsid w:val="00F550BE"/>
    <w:rsid w:val="00F5514A"/>
    <w:rsid w:val="00F55183"/>
    <w:rsid w:val="00F551EF"/>
    <w:rsid w:val="00F5569D"/>
    <w:rsid w:val="00F55709"/>
    <w:rsid w:val="00F5576A"/>
    <w:rsid w:val="00F557C0"/>
    <w:rsid w:val="00F559E8"/>
    <w:rsid w:val="00F55B22"/>
    <w:rsid w:val="00F55E57"/>
    <w:rsid w:val="00F55EC6"/>
    <w:rsid w:val="00F56405"/>
    <w:rsid w:val="00F5688A"/>
    <w:rsid w:val="00F569EF"/>
    <w:rsid w:val="00F56A60"/>
    <w:rsid w:val="00F56A71"/>
    <w:rsid w:val="00F56AF1"/>
    <w:rsid w:val="00F56CC2"/>
    <w:rsid w:val="00F56D24"/>
    <w:rsid w:val="00F56DA9"/>
    <w:rsid w:val="00F56F28"/>
    <w:rsid w:val="00F570F1"/>
    <w:rsid w:val="00F57143"/>
    <w:rsid w:val="00F57209"/>
    <w:rsid w:val="00F5739B"/>
    <w:rsid w:val="00F57416"/>
    <w:rsid w:val="00F5782D"/>
    <w:rsid w:val="00F57975"/>
    <w:rsid w:val="00F57A0B"/>
    <w:rsid w:val="00F57A7A"/>
    <w:rsid w:val="00F57A90"/>
    <w:rsid w:val="00F57B96"/>
    <w:rsid w:val="00F57CF1"/>
    <w:rsid w:val="00F57D4E"/>
    <w:rsid w:val="00F600FB"/>
    <w:rsid w:val="00F6010B"/>
    <w:rsid w:val="00F6023B"/>
    <w:rsid w:val="00F60268"/>
    <w:rsid w:val="00F603CC"/>
    <w:rsid w:val="00F60444"/>
    <w:rsid w:val="00F607AF"/>
    <w:rsid w:val="00F607BE"/>
    <w:rsid w:val="00F608C1"/>
    <w:rsid w:val="00F608C6"/>
    <w:rsid w:val="00F60A08"/>
    <w:rsid w:val="00F60A16"/>
    <w:rsid w:val="00F60AB1"/>
    <w:rsid w:val="00F60AB7"/>
    <w:rsid w:val="00F60B3F"/>
    <w:rsid w:val="00F60B62"/>
    <w:rsid w:val="00F60C92"/>
    <w:rsid w:val="00F60E36"/>
    <w:rsid w:val="00F60E78"/>
    <w:rsid w:val="00F60F68"/>
    <w:rsid w:val="00F60F8A"/>
    <w:rsid w:val="00F60FB9"/>
    <w:rsid w:val="00F61205"/>
    <w:rsid w:val="00F61356"/>
    <w:rsid w:val="00F61437"/>
    <w:rsid w:val="00F614A5"/>
    <w:rsid w:val="00F61547"/>
    <w:rsid w:val="00F616B7"/>
    <w:rsid w:val="00F61982"/>
    <w:rsid w:val="00F61B62"/>
    <w:rsid w:val="00F61B95"/>
    <w:rsid w:val="00F61E7D"/>
    <w:rsid w:val="00F61ED2"/>
    <w:rsid w:val="00F6218D"/>
    <w:rsid w:val="00F62234"/>
    <w:rsid w:val="00F624DE"/>
    <w:rsid w:val="00F62733"/>
    <w:rsid w:val="00F628CE"/>
    <w:rsid w:val="00F62A21"/>
    <w:rsid w:val="00F62AB6"/>
    <w:rsid w:val="00F62ECC"/>
    <w:rsid w:val="00F62FD7"/>
    <w:rsid w:val="00F63084"/>
    <w:rsid w:val="00F631DC"/>
    <w:rsid w:val="00F63571"/>
    <w:rsid w:val="00F6363A"/>
    <w:rsid w:val="00F63729"/>
    <w:rsid w:val="00F63741"/>
    <w:rsid w:val="00F63759"/>
    <w:rsid w:val="00F63B76"/>
    <w:rsid w:val="00F63DF8"/>
    <w:rsid w:val="00F63EEB"/>
    <w:rsid w:val="00F6401C"/>
    <w:rsid w:val="00F64036"/>
    <w:rsid w:val="00F644EA"/>
    <w:rsid w:val="00F646B3"/>
    <w:rsid w:val="00F64719"/>
    <w:rsid w:val="00F64AF4"/>
    <w:rsid w:val="00F64EB7"/>
    <w:rsid w:val="00F64FE0"/>
    <w:rsid w:val="00F652BF"/>
    <w:rsid w:val="00F65398"/>
    <w:rsid w:val="00F65540"/>
    <w:rsid w:val="00F65668"/>
    <w:rsid w:val="00F6583E"/>
    <w:rsid w:val="00F65B06"/>
    <w:rsid w:val="00F65B0C"/>
    <w:rsid w:val="00F65E04"/>
    <w:rsid w:val="00F660F0"/>
    <w:rsid w:val="00F66168"/>
    <w:rsid w:val="00F661F8"/>
    <w:rsid w:val="00F66395"/>
    <w:rsid w:val="00F666FD"/>
    <w:rsid w:val="00F66827"/>
    <w:rsid w:val="00F66ABB"/>
    <w:rsid w:val="00F67067"/>
    <w:rsid w:val="00F672C4"/>
    <w:rsid w:val="00F6781E"/>
    <w:rsid w:val="00F67ECF"/>
    <w:rsid w:val="00F7004D"/>
    <w:rsid w:val="00F702D4"/>
    <w:rsid w:val="00F7080F"/>
    <w:rsid w:val="00F70865"/>
    <w:rsid w:val="00F70B24"/>
    <w:rsid w:val="00F70C9A"/>
    <w:rsid w:val="00F70DDA"/>
    <w:rsid w:val="00F70F2C"/>
    <w:rsid w:val="00F7130E"/>
    <w:rsid w:val="00F714C7"/>
    <w:rsid w:val="00F714CB"/>
    <w:rsid w:val="00F7164C"/>
    <w:rsid w:val="00F719E0"/>
    <w:rsid w:val="00F71D35"/>
    <w:rsid w:val="00F71D4B"/>
    <w:rsid w:val="00F71F55"/>
    <w:rsid w:val="00F71F63"/>
    <w:rsid w:val="00F72048"/>
    <w:rsid w:val="00F721B8"/>
    <w:rsid w:val="00F721E5"/>
    <w:rsid w:val="00F72204"/>
    <w:rsid w:val="00F72332"/>
    <w:rsid w:val="00F723AB"/>
    <w:rsid w:val="00F7257F"/>
    <w:rsid w:val="00F726CD"/>
    <w:rsid w:val="00F7286F"/>
    <w:rsid w:val="00F72A7B"/>
    <w:rsid w:val="00F72A86"/>
    <w:rsid w:val="00F72B0B"/>
    <w:rsid w:val="00F72B64"/>
    <w:rsid w:val="00F72B82"/>
    <w:rsid w:val="00F72E37"/>
    <w:rsid w:val="00F72F06"/>
    <w:rsid w:val="00F72F4C"/>
    <w:rsid w:val="00F73074"/>
    <w:rsid w:val="00F731AF"/>
    <w:rsid w:val="00F73398"/>
    <w:rsid w:val="00F73474"/>
    <w:rsid w:val="00F734E2"/>
    <w:rsid w:val="00F73778"/>
    <w:rsid w:val="00F7379B"/>
    <w:rsid w:val="00F737A6"/>
    <w:rsid w:val="00F73899"/>
    <w:rsid w:val="00F738AE"/>
    <w:rsid w:val="00F739DC"/>
    <w:rsid w:val="00F73E6E"/>
    <w:rsid w:val="00F73F49"/>
    <w:rsid w:val="00F74427"/>
    <w:rsid w:val="00F74636"/>
    <w:rsid w:val="00F74760"/>
    <w:rsid w:val="00F749A3"/>
    <w:rsid w:val="00F749A5"/>
    <w:rsid w:val="00F74AD4"/>
    <w:rsid w:val="00F74AE3"/>
    <w:rsid w:val="00F74D95"/>
    <w:rsid w:val="00F74E41"/>
    <w:rsid w:val="00F74FB0"/>
    <w:rsid w:val="00F75229"/>
    <w:rsid w:val="00F7525E"/>
    <w:rsid w:val="00F754B9"/>
    <w:rsid w:val="00F7568D"/>
    <w:rsid w:val="00F757E1"/>
    <w:rsid w:val="00F7580D"/>
    <w:rsid w:val="00F75A0E"/>
    <w:rsid w:val="00F75D46"/>
    <w:rsid w:val="00F76098"/>
    <w:rsid w:val="00F761A6"/>
    <w:rsid w:val="00F7623C"/>
    <w:rsid w:val="00F76262"/>
    <w:rsid w:val="00F7632D"/>
    <w:rsid w:val="00F76397"/>
    <w:rsid w:val="00F7649E"/>
    <w:rsid w:val="00F7652F"/>
    <w:rsid w:val="00F765E7"/>
    <w:rsid w:val="00F76779"/>
    <w:rsid w:val="00F767CE"/>
    <w:rsid w:val="00F76817"/>
    <w:rsid w:val="00F7692F"/>
    <w:rsid w:val="00F76B6A"/>
    <w:rsid w:val="00F76C3F"/>
    <w:rsid w:val="00F76C56"/>
    <w:rsid w:val="00F76F0D"/>
    <w:rsid w:val="00F7723E"/>
    <w:rsid w:val="00F772C2"/>
    <w:rsid w:val="00F77376"/>
    <w:rsid w:val="00F7768A"/>
    <w:rsid w:val="00F77964"/>
    <w:rsid w:val="00F77AA5"/>
    <w:rsid w:val="00F77AEE"/>
    <w:rsid w:val="00F77B64"/>
    <w:rsid w:val="00F8007A"/>
    <w:rsid w:val="00F8019C"/>
    <w:rsid w:val="00F804BD"/>
    <w:rsid w:val="00F806F0"/>
    <w:rsid w:val="00F806F5"/>
    <w:rsid w:val="00F8070F"/>
    <w:rsid w:val="00F80C46"/>
    <w:rsid w:val="00F80D4E"/>
    <w:rsid w:val="00F80E37"/>
    <w:rsid w:val="00F80E64"/>
    <w:rsid w:val="00F81117"/>
    <w:rsid w:val="00F81367"/>
    <w:rsid w:val="00F8149B"/>
    <w:rsid w:val="00F81592"/>
    <w:rsid w:val="00F81787"/>
    <w:rsid w:val="00F81903"/>
    <w:rsid w:val="00F81A2F"/>
    <w:rsid w:val="00F81B9A"/>
    <w:rsid w:val="00F81DBC"/>
    <w:rsid w:val="00F81E5D"/>
    <w:rsid w:val="00F81E70"/>
    <w:rsid w:val="00F81F52"/>
    <w:rsid w:val="00F820EB"/>
    <w:rsid w:val="00F82360"/>
    <w:rsid w:val="00F8275C"/>
    <w:rsid w:val="00F829AE"/>
    <w:rsid w:val="00F829D7"/>
    <w:rsid w:val="00F82B8C"/>
    <w:rsid w:val="00F8306D"/>
    <w:rsid w:val="00F8319F"/>
    <w:rsid w:val="00F83316"/>
    <w:rsid w:val="00F83591"/>
    <w:rsid w:val="00F835FA"/>
    <w:rsid w:val="00F8376B"/>
    <w:rsid w:val="00F83778"/>
    <w:rsid w:val="00F8392D"/>
    <w:rsid w:val="00F83AAF"/>
    <w:rsid w:val="00F83BCD"/>
    <w:rsid w:val="00F83D1C"/>
    <w:rsid w:val="00F83E36"/>
    <w:rsid w:val="00F83E63"/>
    <w:rsid w:val="00F83FA9"/>
    <w:rsid w:val="00F84034"/>
    <w:rsid w:val="00F84059"/>
    <w:rsid w:val="00F841E7"/>
    <w:rsid w:val="00F8425A"/>
    <w:rsid w:val="00F842F0"/>
    <w:rsid w:val="00F84335"/>
    <w:rsid w:val="00F848F5"/>
    <w:rsid w:val="00F84998"/>
    <w:rsid w:val="00F84BC5"/>
    <w:rsid w:val="00F85167"/>
    <w:rsid w:val="00F853DD"/>
    <w:rsid w:val="00F854A6"/>
    <w:rsid w:val="00F854C1"/>
    <w:rsid w:val="00F85632"/>
    <w:rsid w:val="00F857E5"/>
    <w:rsid w:val="00F859CC"/>
    <w:rsid w:val="00F85C9B"/>
    <w:rsid w:val="00F8604F"/>
    <w:rsid w:val="00F86101"/>
    <w:rsid w:val="00F862C7"/>
    <w:rsid w:val="00F8654F"/>
    <w:rsid w:val="00F86828"/>
    <w:rsid w:val="00F86832"/>
    <w:rsid w:val="00F86989"/>
    <w:rsid w:val="00F8699E"/>
    <w:rsid w:val="00F86A24"/>
    <w:rsid w:val="00F86D07"/>
    <w:rsid w:val="00F86E2D"/>
    <w:rsid w:val="00F86FB7"/>
    <w:rsid w:val="00F87096"/>
    <w:rsid w:val="00F870DB"/>
    <w:rsid w:val="00F871EB"/>
    <w:rsid w:val="00F87456"/>
    <w:rsid w:val="00F876B5"/>
    <w:rsid w:val="00F87742"/>
    <w:rsid w:val="00F877A5"/>
    <w:rsid w:val="00F87834"/>
    <w:rsid w:val="00F87A91"/>
    <w:rsid w:val="00F87AB0"/>
    <w:rsid w:val="00F87B82"/>
    <w:rsid w:val="00F90430"/>
    <w:rsid w:val="00F9062B"/>
    <w:rsid w:val="00F906B7"/>
    <w:rsid w:val="00F9083C"/>
    <w:rsid w:val="00F90ABD"/>
    <w:rsid w:val="00F90CBD"/>
    <w:rsid w:val="00F90E9F"/>
    <w:rsid w:val="00F90FBB"/>
    <w:rsid w:val="00F91296"/>
    <w:rsid w:val="00F912A9"/>
    <w:rsid w:val="00F912FA"/>
    <w:rsid w:val="00F914E2"/>
    <w:rsid w:val="00F91745"/>
    <w:rsid w:val="00F91893"/>
    <w:rsid w:val="00F918A1"/>
    <w:rsid w:val="00F91905"/>
    <w:rsid w:val="00F91971"/>
    <w:rsid w:val="00F919E7"/>
    <w:rsid w:val="00F91A48"/>
    <w:rsid w:val="00F91B15"/>
    <w:rsid w:val="00F91D2A"/>
    <w:rsid w:val="00F91E8F"/>
    <w:rsid w:val="00F91F23"/>
    <w:rsid w:val="00F91F97"/>
    <w:rsid w:val="00F9222D"/>
    <w:rsid w:val="00F922DC"/>
    <w:rsid w:val="00F92349"/>
    <w:rsid w:val="00F923C7"/>
    <w:rsid w:val="00F926B1"/>
    <w:rsid w:val="00F92798"/>
    <w:rsid w:val="00F927ED"/>
    <w:rsid w:val="00F92973"/>
    <w:rsid w:val="00F9298D"/>
    <w:rsid w:val="00F92BB5"/>
    <w:rsid w:val="00F92F3A"/>
    <w:rsid w:val="00F92FD4"/>
    <w:rsid w:val="00F92FF3"/>
    <w:rsid w:val="00F930DB"/>
    <w:rsid w:val="00F930E4"/>
    <w:rsid w:val="00F93440"/>
    <w:rsid w:val="00F934F4"/>
    <w:rsid w:val="00F9358A"/>
    <w:rsid w:val="00F93713"/>
    <w:rsid w:val="00F93E47"/>
    <w:rsid w:val="00F93ECB"/>
    <w:rsid w:val="00F9418F"/>
    <w:rsid w:val="00F94532"/>
    <w:rsid w:val="00F94569"/>
    <w:rsid w:val="00F9459A"/>
    <w:rsid w:val="00F94901"/>
    <w:rsid w:val="00F949FE"/>
    <w:rsid w:val="00F94C05"/>
    <w:rsid w:val="00F94D9C"/>
    <w:rsid w:val="00F95030"/>
    <w:rsid w:val="00F956D4"/>
    <w:rsid w:val="00F957CF"/>
    <w:rsid w:val="00F957E0"/>
    <w:rsid w:val="00F95AD4"/>
    <w:rsid w:val="00F95BE9"/>
    <w:rsid w:val="00F95E2B"/>
    <w:rsid w:val="00F95E3E"/>
    <w:rsid w:val="00F960AF"/>
    <w:rsid w:val="00F9679A"/>
    <w:rsid w:val="00F967A2"/>
    <w:rsid w:val="00F9682B"/>
    <w:rsid w:val="00F96895"/>
    <w:rsid w:val="00F96968"/>
    <w:rsid w:val="00F96A79"/>
    <w:rsid w:val="00F96D64"/>
    <w:rsid w:val="00F96FB7"/>
    <w:rsid w:val="00F97003"/>
    <w:rsid w:val="00F97039"/>
    <w:rsid w:val="00F97149"/>
    <w:rsid w:val="00F97164"/>
    <w:rsid w:val="00F974D7"/>
    <w:rsid w:val="00F97805"/>
    <w:rsid w:val="00F9792E"/>
    <w:rsid w:val="00F97AF4"/>
    <w:rsid w:val="00F97B63"/>
    <w:rsid w:val="00F97EC9"/>
    <w:rsid w:val="00F97F3A"/>
    <w:rsid w:val="00F97F5E"/>
    <w:rsid w:val="00FA000D"/>
    <w:rsid w:val="00FA00B9"/>
    <w:rsid w:val="00FA02A7"/>
    <w:rsid w:val="00FA03C4"/>
    <w:rsid w:val="00FA0405"/>
    <w:rsid w:val="00FA04B2"/>
    <w:rsid w:val="00FA056D"/>
    <w:rsid w:val="00FA0610"/>
    <w:rsid w:val="00FA074A"/>
    <w:rsid w:val="00FA09B0"/>
    <w:rsid w:val="00FA0BA6"/>
    <w:rsid w:val="00FA0C86"/>
    <w:rsid w:val="00FA0C98"/>
    <w:rsid w:val="00FA0D51"/>
    <w:rsid w:val="00FA0F13"/>
    <w:rsid w:val="00FA1162"/>
    <w:rsid w:val="00FA1201"/>
    <w:rsid w:val="00FA121D"/>
    <w:rsid w:val="00FA125E"/>
    <w:rsid w:val="00FA1704"/>
    <w:rsid w:val="00FA176B"/>
    <w:rsid w:val="00FA1825"/>
    <w:rsid w:val="00FA19DF"/>
    <w:rsid w:val="00FA1B1E"/>
    <w:rsid w:val="00FA2171"/>
    <w:rsid w:val="00FA21B4"/>
    <w:rsid w:val="00FA2568"/>
    <w:rsid w:val="00FA25FE"/>
    <w:rsid w:val="00FA26CE"/>
    <w:rsid w:val="00FA26E5"/>
    <w:rsid w:val="00FA285F"/>
    <w:rsid w:val="00FA2A2E"/>
    <w:rsid w:val="00FA2B84"/>
    <w:rsid w:val="00FA2C6A"/>
    <w:rsid w:val="00FA2DFF"/>
    <w:rsid w:val="00FA2F36"/>
    <w:rsid w:val="00FA2F68"/>
    <w:rsid w:val="00FA31E7"/>
    <w:rsid w:val="00FA339C"/>
    <w:rsid w:val="00FA38AE"/>
    <w:rsid w:val="00FA38B6"/>
    <w:rsid w:val="00FA3B55"/>
    <w:rsid w:val="00FA3C8B"/>
    <w:rsid w:val="00FA3D67"/>
    <w:rsid w:val="00FA3FAD"/>
    <w:rsid w:val="00FA4486"/>
    <w:rsid w:val="00FA4551"/>
    <w:rsid w:val="00FA48E3"/>
    <w:rsid w:val="00FA48FE"/>
    <w:rsid w:val="00FA4A37"/>
    <w:rsid w:val="00FA4C3D"/>
    <w:rsid w:val="00FA4C99"/>
    <w:rsid w:val="00FA4E19"/>
    <w:rsid w:val="00FA4F14"/>
    <w:rsid w:val="00FA5281"/>
    <w:rsid w:val="00FA52F4"/>
    <w:rsid w:val="00FA531E"/>
    <w:rsid w:val="00FA5489"/>
    <w:rsid w:val="00FA5767"/>
    <w:rsid w:val="00FA57CE"/>
    <w:rsid w:val="00FA5A38"/>
    <w:rsid w:val="00FA5CAF"/>
    <w:rsid w:val="00FA6146"/>
    <w:rsid w:val="00FA61FE"/>
    <w:rsid w:val="00FA6250"/>
    <w:rsid w:val="00FA6280"/>
    <w:rsid w:val="00FA6317"/>
    <w:rsid w:val="00FA63ED"/>
    <w:rsid w:val="00FA649C"/>
    <w:rsid w:val="00FA6648"/>
    <w:rsid w:val="00FA66D1"/>
    <w:rsid w:val="00FA66FC"/>
    <w:rsid w:val="00FA6724"/>
    <w:rsid w:val="00FA69EB"/>
    <w:rsid w:val="00FA6A20"/>
    <w:rsid w:val="00FA6A9A"/>
    <w:rsid w:val="00FA6B25"/>
    <w:rsid w:val="00FA6C63"/>
    <w:rsid w:val="00FA6D06"/>
    <w:rsid w:val="00FA6D73"/>
    <w:rsid w:val="00FA6F31"/>
    <w:rsid w:val="00FA73F2"/>
    <w:rsid w:val="00FA7431"/>
    <w:rsid w:val="00FA7776"/>
    <w:rsid w:val="00FA7780"/>
    <w:rsid w:val="00FA77D4"/>
    <w:rsid w:val="00FA7AB3"/>
    <w:rsid w:val="00FA7CBD"/>
    <w:rsid w:val="00FB0189"/>
    <w:rsid w:val="00FB0211"/>
    <w:rsid w:val="00FB0255"/>
    <w:rsid w:val="00FB02D4"/>
    <w:rsid w:val="00FB034E"/>
    <w:rsid w:val="00FB04AC"/>
    <w:rsid w:val="00FB064A"/>
    <w:rsid w:val="00FB0888"/>
    <w:rsid w:val="00FB09BA"/>
    <w:rsid w:val="00FB0A72"/>
    <w:rsid w:val="00FB0B10"/>
    <w:rsid w:val="00FB0C02"/>
    <w:rsid w:val="00FB0D5B"/>
    <w:rsid w:val="00FB0E0C"/>
    <w:rsid w:val="00FB0F01"/>
    <w:rsid w:val="00FB0FA1"/>
    <w:rsid w:val="00FB11A0"/>
    <w:rsid w:val="00FB1594"/>
    <w:rsid w:val="00FB16A5"/>
    <w:rsid w:val="00FB1911"/>
    <w:rsid w:val="00FB1AE5"/>
    <w:rsid w:val="00FB1B94"/>
    <w:rsid w:val="00FB1E4E"/>
    <w:rsid w:val="00FB208A"/>
    <w:rsid w:val="00FB2104"/>
    <w:rsid w:val="00FB21CD"/>
    <w:rsid w:val="00FB22C8"/>
    <w:rsid w:val="00FB2BA0"/>
    <w:rsid w:val="00FB2BA7"/>
    <w:rsid w:val="00FB2CCC"/>
    <w:rsid w:val="00FB2F49"/>
    <w:rsid w:val="00FB3155"/>
    <w:rsid w:val="00FB327E"/>
    <w:rsid w:val="00FB3296"/>
    <w:rsid w:val="00FB32BE"/>
    <w:rsid w:val="00FB3589"/>
    <w:rsid w:val="00FB3650"/>
    <w:rsid w:val="00FB37D8"/>
    <w:rsid w:val="00FB38B7"/>
    <w:rsid w:val="00FB3B91"/>
    <w:rsid w:val="00FB3BC2"/>
    <w:rsid w:val="00FB3C7A"/>
    <w:rsid w:val="00FB3C9E"/>
    <w:rsid w:val="00FB3E72"/>
    <w:rsid w:val="00FB3EF4"/>
    <w:rsid w:val="00FB3F20"/>
    <w:rsid w:val="00FB40E2"/>
    <w:rsid w:val="00FB417A"/>
    <w:rsid w:val="00FB4668"/>
    <w:rsid w:val="00FB4AB8"/>
    <w:rsid w:val="00FB4AFD"/>
    <w:rsid w:val="00FB4BFD"/>
    <w:rsid w:val="00FB4E04"/>
    <w:rsid w:val="00FB50B7"/>
    <w:rsid w:val="00FB5227"/>
    <w:rsid w:val="00FB5319"/>
    <w:rsid w:val="00FB5517"/>
    <w:rsid w:val="00FB56B9"/>
    <w:rsid w:val="00FB5939"/>
    <w:rsid w:val="00FB596A"/>
    <w:rsid w:val="00FB5A5A"/>
    <w:rsid w:val="00FB5BC2"/>
    <w:rsid w:val="00FB5E34"/>
    <w:rsid w:val="00FB62AB"/>
    <w:rsid w:val="00FB62F9"/>
    <w:rsid w:val="00FB631B"/>
    <w:rsid w:val="00FB6350"/>
    <w:rsid w:val="00FB6490"/>
    <w:rsid w:val="00FB64BB"/>
    <w:rsid w:val="00FB6550"/>
    <w:rsid w:val="00FB66BA"/>
    <w:rsid w:val="00FB68AF"/>
    <w:rsid w:val="00FB69D6"/>
    <w:rsid w:val="00FB6A2E"/>
    <w:rsid w:val="00FB6B40"/>
    <w:rsid w:val="00FB6CF1"/>
    <w:rsid w:val="00FB6EC1"/>
    <w:rsid w:val="00FB6ECF"/>
    <w:rsid w:val="00FB6F59"/>
    <w:rsid w:val="00FB6F61"/>
    <w:rsid w:val="00FB6FC5"/>
    <w:rsid w:val="00FB7128"/>
    <w:rsid w:val="00FB7205"/>
    <w:rsid w:val="00FB728F"/>
    <w:rsid w:val="00FB762C"/>
    <w:rsid w:val="00FB774C"/>
    <w:rsid w:val="00FB7D0C"/>
    <w:rsid w:val="00FB7DE9"/>
    <w:rsid w:val="00FB7F3A"/>
    <w:rsid w:val="00FC0008"/>
    <w:rsid w:val="00FC0417"/>
    <w:rsid w:val="00FC04EB"/>
    <w:rsid w:val="00FC0560"/>
    <w:rsid w:val="00FC057A"/>
    <w:rsid w:val="00FC05A6"/>
    <w:rsid w:val="00FC0635"/>
    <w:rsid w:val="00FC098E"/>
    <w:rsid w:val="00FC0DA7"/>
    <w:rsid w:val="00FC0DC8"/>
    <w:rsid w:val="00FC0E9E"/>
    <w:rsid w:val="00FC124E"/>
    <w:rsid w:val="00FC12AE"/>
    <w:rsid w:val="00FC138C"/>
    <w:rsid w:val="00FC143C"/>
    <w:rsid w:val="00FC18B7"/>
    <w:rsid w:val="00FC1E04"/>
    <w:rsid w:val="00FC1EEF"/>
    <w:rsid w:val="00FC1F0E"/>
    <w:rsid w:val="00FC1F3A"/>
    <w:rsid w:val="00FC2163"/>
    <w:rsid w:val="00FC2412"/>
    <w:rsid w:val="00FC24CE"/>
    <w:rsid w:val="00FC2911"/>
    <w:rsid w:val="00FC2B1D"/>
    <w:rsid w:val="00FC2DF8"/>
    <w:rsid w:val="00FC3480"/>
    <w:rsid w:val="00FC3640"/>
    <w:rsid w:val="00FC36F6"/>
    <w:rsid w:val="00FC3800"/>
    <w:rsid w:val="00FC38BE"/>
    <w:rsid w:val="00FC3CB2"/>
    <w:rsid w:val="00FC3FB4"/>
    <w:rsid w:val="00FC3FCB"/>
    <w:rsid w:val="00FC3FDD"/>
    <w:rsid w:val="00FC4070"/>
    <w:rsid w:val="00FC443E"/>
    <w:rsid w:val="00FC48D9"/>
    <w:rsid w:val="00FC493B"/>
    <w:rsid w:val="00FC4943"/>
    <w:rsid w:val="00FC4AF2"/>
    <w:rsid w:val="00FC4B75"/>
    <w:rsid w:val="00FC4C7C"/>
    <w:rsid w:val="00FC4C93"/>
    <w:rsid w:val="00FC4CD0"/>
    <w:rsid w:val="00FC4E63"/>
    <w:rsid w:val="00FC4E68"/>
    <w:rsid w:val="00FC4F3D"/>
    <w:rsid w:val="00FC50DC"/>
    <w:rsid w:val="00FC51A5"/>
    <w:rsid w:val="00FC5376"/>
    <w:rsid w:val="00FC547B"/>
    <w:rsid w:val="00FC5510"/>
    <w:rsid w:val="00FC5686"/>
    <w:rsid w:val="00FC5731"/>
    <w:rsid w:val="00FC5A0A"/>
    <w:rsid w:val="00FC5B91"/>
    <w:rsid w:val="00FC5E6A"/>
    <w:rsid w:val="00FC5E82"/>
    <w:rsid w:val="00FC64BE"/>
    <w:rsid w:val="00FC6547"/>
    <w:rsid w:val="00FC6742"/>
    <w:rsid w:val="00FC67A7"/>
    <w:rsid w:val="00FC686E"/>
    <w:rsid w:val="00FC6871"/>
    <w:rsid w:val="00FC6C92"/>
    <w:rsid w:val="00FC6FF3"/>
    <w:rsid w:val="00FC7053"/>
    <w:rsid w:val="00FC7122"/>
    <w:rsid w:val="00FC7262"/>
    <w:rsid w:val="00FC72F7"/>
    <w:rsid w:val="00FC74E9"/>
    <w:rsid w:val="00FC77E6"/>
    <w:rsid w:val="00FC77FB"/>
    <w:rsid w:val="00FC7850"/>
    <w:rsid w:val="00FC7BE2"/>
    <w:rsid w:val="00FD00FA"/>
    <w:rsid w:val="00FD05F6"/>
    <w:rsid w:val="00FD06BB"/>
    <w:rsid w:val="00FD0945"/>
    <w:rsid w:val="00FD0D11"/>
    <w:rsid w:val="00FD0F2B"/>
    <w:rsid w:val="00FD0F91"/>
    <w:rsid w:val="00FD1457"/>
    <w:rsid w:val="00FD1474"/>
    <w:rsid w:val="00FD1570"/>
    <w:rsid w:val="00FD15BC"/>
    <w:rsid w:val="00FD16F1"/>
    <w:rsid w:val="00FD172E"/>
    <w:rsid w:val="00FD1867"/>
    <w:rsid w:val="00FD1952"/>
    <w:rsid w:val="00FD1A5D"/>
    <w:rsid w:val="00FD1BA7"/>
    <w:rsid w:val="00FD1D41"/>
    <w:rsid w:val="00FD1DFB"/>
    <w:rsid w:val="00FD1E2C"/>
    <w:rsid w:val="00FD237C"/>
    <w:rsid w:val="00FD23DB"/>
    <w:rsid w:val="00FD25C7"/>
    <w:rsid w:val="00FD286E"/>
    <w:rsid w:val="00FD2E28"/>
    <w:rsid w:val="00FD2ED1"/>
    <w:rsid w:val="00FD34FE"/>
    <w:rsid w:val="00FD3646"/>
    <w:rsid w:val="00FD373F"/>
    <w:rsid w:val="00FD3AEA"/>
    <w:rsid w:val="00FD3CE9"/>
    <w:rsid w:val="00FD3DAF"/>
    <w:rsid w:val="00FD3E75"/>
    <w:rsid w:val="00FD3ECC"/>
    <w:rsid w:val="00FD3FFB"/>
    <w:rsid w:val="00FD4195"/>
    <w:rsid w:val="00FD41C3"/>
    <w:rsid w:val="00FD41E7"/>
    <w:rsid w:val="00FD432F"/>
    <w:rsid w:val="00FD44B9"/>
    <w:rsid w:val="00FD472A"/>
    <w:rsid w:val="00FD4F76"/>
    <w:rsid w:val="00FD4FB7"/>
    <w:rsid w:val="00FD512C"/>
    <w:rsid w:val="00FD54E6"/>
    <w:rsid w:val="00FD55C2"/>
    <w:rsid w:val="00FD582D"/>
    <w:rsid w:val="00FD5B4B"/>
    <w:rsid w:val="00FD5C25"/>
    <w:rsid w:val="00FD5C46"/>
    <w:rsid w:val="00FD5D4D"/>
    <w:rsid w:val="00FD5DCD"/>
    <w:rsid w:val="00FD5F52"/>
    <w:rsid w:val="00FD600E"/>
    <w:rsid w:val="00FD6029"/>
    <w:rsid w:val="00FD6095"/>
    <w:rsid w:val="00FD617F"/>
    <w:rsid w:val="00FD63F7"/>
    <w:rsid w:val="00FD64B6"/>
    <w:rsid w:val="00FD69AB"/>
    <w:rsid w:val="00FD6A10"/>
    <w:rsid w:val="00FD6B8B"/>
    <w:rsid w:val="00FD6C04"/>
    <w:rsid w:val="00FD6F6B"/>
    <w:rsid w:val="00FD7232"/>
    <w:rsid w:val="00FD7441"/>
    <w:rsid w:val="00FD7548"/>
    <w:rsid w:val="00FD776E"/>
    <w:rsid w:val="00FD77B1"/>
    <w:rsid w:val="00FD78B2"/>
    <w:rsid w:val="00FD7D71"/>
    <w:rsid w:val="00FD7E3A"/>
    <w:rsid w:val="00FD7E6D"/>
    <w:rsid w:val="00FD7ECC"/>
    <w:rsid w:val="00FD7EE9"/>
    <w:rsid w:val="00FE0137"/>
    <w:rsid w:val="00FE041C"/>
    <w:rsid w:val="00FE0584"/>
    <w:rsid w:val="00FE0A99"/>
    <w:rsid w:val="00FE0CC5"/>
    <w:rsid w:val="00FE0F6B"/>
    <w:rsid w:val="00FE1170"/>
    <w:rsid w:val="00FE1373"/>
    <w:rsid w:val="00FE137E"/>
    <w:rsid w:val="00FE1570"/>
    <w:rsid w:val="00FE1611"/>
    <w:rsid w:val="00FE1B11"/>
    <w:rsid w:val="00FE1CB4"/>
    <w:rsid w:val="00FE1D7C"/>
    <w:rsid w:val="00FE2174"/>
    <w:rsid w:val="00FE217A"/>
    <w:rsid w:val="00FE21A2"/>
    <w:rsid w:val="00FE2626"/>
    <w:rsid w:val="00FE26DF"/>
    <w:rsid w:val="00FE2956"/>
    <w:rsid w:val="00FE2BDE"/>
    <w:rsid w:val="00FE2CAC"/>
    <w:rsid w:val="00FE3176"/>
    <w:rsid w:val="00FE3194"/>
    <w:rsid w:val="00FE32DF"/>
    <w:rsid w:val="00FE3348"/>
    <w:rsid w:val="00FE3551"/>
    <w:rsid w:val="00FE3A61"/>
    <w:rsid w:val="00FE3C38"/>
    <w:rsid w:val="00FE3F4D"/>
    <w:rsid w:val="00FE4001"/>
    <w:rsid w:val="00FE4030"/>
    <w:rsid w:val="00FE44AD"/>
    <w:rsid w:val="00FE450A"/>
    <w:rsid w:val="00FE46B3"/>
    <w:rsid w:val="00FE4718"/>
    <w:rsid w:val="00FE4799"/>
    <w:rsid w:val="00FE48BF"/>
    <w:rsid w:val="00FE4933"/>
    <w:rsid w:val="00FE49AA"/>
    <w:rsid w:val="00FE4A90"/>
    <w:rsid w:val="00FE4B2C"/>
    <w:rsid w:val="00FE4E69"/>
    <w:rsid w:val="00FE51FC"/>
    <w:rsid w:val="00FE5616"/>
    <w:rsid w:val="00FE566E"/>
    <w:rsid w:val="00FE5C0F"/>
    <w:rsid w:val="00FE5C2F"/>
    <w:rsid w:val="00FE60B9"/>
    <w:rsid w:val="00FE62BD"/>
    <w:rsid w:val="00FE63BF"/>
    <w:rsid w:val="00FE63F2"/>
    <w:rsid w:val="00FE64AA"/>
    <w:rsid w:val="00FE659F"/>
    <w:rsid w:val="00FE65AD"/>
    <w:rsid w:val="00FE670B"/>
    <w:rsid w:val="00FE67D2"/>
    <w:rsid w:val="00FE6AE7"/>
    <w:rsid w:val="00FE6B0D"/>
    <w:rsid w:val="00FE6CD0"/>
    <w:rsid w:val="00FE6E68"/>
    <w:rsid w:val="00FE701F"/>
    <w:rsid w:val="00FE708A"/>
    <w:rsid w:val="00FE74C5"/>
    <w:rsid w:val="00FE758D"/>
    <w:rsid w:val="00FE76A7"/>
    <w:rsid w:val="00FE76C0"/>
    <w:rsid w:val="00FE7BCD"/>
    <w:rsid w:val="00FE7E3F"/>
    <w:rsid w:val="00FE7ECC"/>
    <w:rsid w:val="00FE7F42"/>
    <w:rsid w:val="00FF0112"/>
    <w:rsid w:val="00FF031E"/>
    <w:rsid w:val="00FF045C"/>
    <w:rsid w:val="00FF0654"/>
    <w:rsid w:val="00FF069D"/>
    <w:rsid w:val="00FF0A01"/>
    <w:rsid w:val="00FF0B16"/>
    <w:rsid w:val="00FF0E0C"/>
    <w:rsid w:val="00FF0EB7"/>
    <w:rsid w:val="00FF12B3"/>
    <w:rsid w:val="00FF1307"/>
    <w:rsid w:val="00FF1444"/>
    <w:rsid w:val="00FF181B"/>
    <w:rsid w:val="00FF1BBC"/>
    <w:rsid w:val="00FF1E87"/>
    <w:rsid w:val="00FF210A"/>
    <w:rsid w:val="00FF2258"/>
    <w:rsid w:val="00FF2677"/>
    <w:rsid w:val="00FF2AF1"/>
    <w:rsid w:val="00FF2B93"/>
    <w:rsid w:val="00FF2E6D"/>
    <w:rsid w:val="00FF2E9A"/>
    <w:rsid w:val="00FF306A"/>
    <w:rsid w:val="00FF3220"/>
    <w:rsid w:val="00FF3237"/>
    <w:rsid w:val="00FF3479"/>
    <w:rsid w:val="00FF3492"/>
    <w:rsid w:val="00FF37C4"/>
    <w:rsid w:val="00FF38AE"/>
    <w:rsid w:val="00FF3DE5"/>
    <w:rsid w:val="00FF3E18"/>
    <w:rsid w:val="00FF3EBF"/>
    <w:rsid w:val="00FF3F82"/>
    <w:rsid w:val="00FF4096"/>
    <w:rsid w:val="00FF4109"/>
    <w:rsid w:val="00FF4574"/>
    <w:rsid w:val="00FF47DB"/>
    <w:rsid w:val="00FF4A44"/>
    <w:rsid w:val="00FF4A9E"/>
    <w:rsid w:val="00FF4C19"/>
    <w:rsid w:val="00FF4C29"/>
    <w:rsid w:val="00FF4CD3"/>
    <w:rsid w:val="00FF4CDC"/>
    <w:rsid w:val="00FF4CEB"/>
    <w:rsid w:val="00FF4DA6"/>
    <w:rsid w:val="00FF4ED6"/>
    <w:rsid w:val="00FF4FC7"/>
    <w:rsid w:val="00FF5086"/>
    <w:rsid w:val="00FF513E"/>
    <w:rsid w:val="00FF53F1"/>
    <w:rsid w:val="00FF5506"/>
    <w:rsid w:val="00FF555A"/>
    <w:rsid w:val="00FF578B"/>
    <w:rsid w:val="00FF5882"/>
    <w:rsid w:val="00FF595E"/>
    <w:rsid w:val="00FF5A1D"/>
    <w:rsid w:val="00FF5CA7"/>
    <w:rsid w:val="00FF5DC3"/>
    <w:rsid w:val="00FF5EF6"/>
    <w:rsid w:val="00FF5F13"/>
    <w:rsid w:val="00FF60BE"/>
    <w:rsid w:val="00FF65EA"/>
    <w:rsid w:val="00FF67C6"/>
    <w:rsid w:val="00FF6B82"/>
    <w:rsid w:val="00FF73C2"/>
    <w:rsid w:val="00FF76E7"/>
    <w:rsid w:val="00FF773F"/>
    <w:rsid w:val="00FF7776"/>
    <w:rsid w:val="00FF78E0"/>
    <w:rsid w:val="00FF78E4"/>
    <w:rsid w:val="00FF7920"/>
    <w:rsid w:val="00FF7D0B"/>
    <w:rsid w:val="00FF7D48"/>
    <w:rsid w:val="01D61A38"/>
    <w:rsid w:val="01E07874"/>
    <w:rsid w:val="01EC3E90"/>
    <w:rsid w:val="02622F7F"/>
    <w:rsid w:val="02CD5A6F"/>
    <w:rsid w:val="02EB1E27"/>
    <w:rsid w:val="02EC5573"/>
    <w:rsid w:val="033624C6"/>
    <w:rsid w:val="03A30A8B"/>
    <w:rsid w:val="03EC54E6"/>
    <w:rsid w:val="03FB660C"/>
    <w:rsid w:val="040354C1"/>
    <w:rsid w:val="046C4396"/>
    <w:rsid w:val="047817BF"/>
    <w:rsid w:val="04956F57"/>
    <w:rsid w:val="04997303"/>
    <w:rsid w:val="050125CB"/>
    <w:rsid w:val="051931EE"/>
    <w:rsid w:val="056C5306"/>
    <w:rsid w:val="057D445C"/>
    <w:rsid w:val="05A4692E"/>
    <w:rsid w:val="05B11678"/>
    <w:rsid w:val="066A53B5"/>
    <w:rsid w:val="06930D7E"/>
    <w:rsid w:val="06C54CB0"/>
    <w:rsid w:val="06D432E7"/>
    <w:rsid w:val="06D9634F"/>
    <w:rsid w:val="072F0C76"/>
    <w:rsid w:val="0765743A"/>
    <w:rsid w:val="07811380"/>
    <w:rsid w:val="078C4358"/>
    <w:rsid w:val="07A03640"/>
    <w:rsid w:val="07C136C9"/>
    <w:rsid w:val="07F60772"/>
    <w:rsid w:val="07FB19ED"/>
    <w:rsid w:val="083168C6"/>
    <w:rsid w:val="08803008"/>
    <w:rsid w:val="08860B43"/>
    <w:rsid w:val="08B0396A"/>
    <w:rsid w:val="08EE6740"/>
    <w:rsid w:val="08F36A58"/>
    <w:rsid w:val="08FD5B62"/>
    <w:rsid w:val="092525C0"/>
    <w:rsid w:val="09A137B2"/>
    <w:rsid w:val="09D6083A"/>
    <w:rsid w:val="0A1F67E5"/>
    <w:rsid w:val="0A6B2B9D"/>
    <w:rsid w:val="0AC53D63"/>
    <w:rsid w:val="0ACA5AD8"/>
    <w:rsid w:val="0B11653F"/>
    <w:rsid w:val="0B212DFC"/>
    <w:rsid w:val="0B292074"/>
    <w:rsid w:val="0B5A7B90"/>
    <w:rsid w:val="0BD12583"/>
    <w:rsid w:val="0BDF6813"/>
    <w:rsid w:val="0C5E65EE"/>
    <w:rsid w:val="0C705A9F"/>
    <w:rsid w:val="0C931AD8"/>
    <w:rsid w:val="0CDF71B7"/>
    <w:rsid w:val="0CE1469A"/>
    <w:rsid w:val="0CFC7B1B"/>
    <w:rsid w:val="0D837806"/>
    <w:rsid w:val="0D8E5AA6"/>
    <w:rsid w:val="0D93189E"/>
    <w:rsid w:val="0DA469B2"/>
    <w:rsid w:val="0DF107ED"/>
    <w:rsid w:val="0E906938"/>
    <w:rsid w:val="0EB33B2A"/>
    <w:rsid w:val="0EC51CF1"/>
    <w:rsid w:val="0EFF62E2"/>
    <w:rsid w:val="0F3E2E06"/>
    <w:rsid w:val="0FB01029"/>
    <w:rsid w:val="0FBD01D3"/>
    <w:rsid w:val="0FC02F30"/>
    <w:rsid w:val="0FD5687F"/>
    <w:rsid w:val="0FDC2B52"/>
    <w:rsid w:val="0FE70173"/>
    <w:rsid w:val="101B4E74"/>
    <w:rsid w:val="10325B06"/>
    <w:rsid w:val="105F1103"/>
    <w:rsid w:val="108B6F31"/>
    <w:rsid w:val="10C07307"/>
    <w:rsid w:val="113A4360"/>
    <w:rsid w:val="11431CE6"/>
    <w:rsid w:val="11B223FF"/>
    <w:rsid w:val="11E84674"/>
    <w:rsid w:val="129972F9"/>
    <w:rsid w:val="129B13A5"/>
    <w:rsid w:val="12D93FBD"/>
    <w:rsid w:val="136B70D4"/>
    <w:rsid w:val="136F5A9C"/>
    <w:rsid w:val="13F921B4"/>
    <w:rsid w:val="140432BB"/>
    <w:rsid w:val="14300629"/>
    <w:rsid w:val="144933C4"/>
    <w:rsid w:val="144A44FC"/>
    <w:rsid w:val="154C4F1A"/>
    <w:rsid w:val="15813779"/>
    <w:rsid w:val="15F15AC1"/>
    <w:rsid w:val="163971C4"/>
    <w:rsid w:val="16464ACD"/>
    <w:rsid w:val="16570325"/>
    <w:rsid w:val="168F087B"/>
    <w:rsid w:val="16DB47A7"/>
    <w:rsid w:val="16EB272A"/>
    <w:rsid w:val="17750844"/>
    <w:rsid w:val="17B8557A"/>
    <w:rsid w:val="17CE0BFE"/>
    <w:rsid w:val="1820640A"/>
    <w:rsid w:val="184C1110"/>
    <w:rsid w:val="185F37EB"/>
    <w:rsid w:val="187B2616"/>
    <w:rsid w:val="189A5F9C"/>
    <w:rsid w:val="18DA11A8"/>
    <w:rsid w:val="18F24E20"/>
    <w:rsid w:val="190E336D"/>
    <w:rsid w:val="193300D4"/>
    <w:rsid w:val="195B397D"/>
    <w:rsid w:val="19E473BA"/>
    <w:rsid w:val="1A330456"/>
    <w:rsid w:val="1B56010D"/>
    <w:rsid w:val="1B9F6882"/>
    <w:rsid w:val="1C50104E"/>
    <w:rsid w:val="1C9A7E4F"/>
    <w:rsid w:val="1D8F101C"/>
    <w:rsid w:val="1DAD5906"/>
    <w:rsid w:val="1DB5487A"/>
    <w:rsid w:val="1DC66ADC"/>
    <w:rsid w:val="1E1806C8"/>
    <w:rsid w:val="1E2E78B2"/>
    <w:rsid w:val="1E7554E1"/>
    <w:rsid w:val="1EC24971"/>
    <w:rsid w:val="1EC266CA"/>
    <w:rsid w:val="1FD20711"/>
    <w:rsid w:val="1FF0071D"/>
    <w:rsid w:val="201757EB"/>
    <w:rsid w:val="205A7B00"/>
    <w:rsid w:val="20D8393F"/>
    <w:rsid w:val="20E424AA"/>
    <w:rsid w:val="214345A4"/>
    <w:rsid w:val="21702AC8"/>
    <w:rsid w:val="21743ED8"/>
    <w:rsid w:val="21CB2E56"/>
    <w:rsid w:val="221A62E5"/>
    <w:rsid w:val="229E54FA"/>
    <w:rsid w:val="22C95CF1"/>
    <w:rsid w:val="2326590F"/>
    <w:rsid w:val="23385FE2"/>
    <w:rsid w:val="237F35FA"/>
    <w:rsid w:val="239E55B8"/>
    <w:rsid w:val="23EB7FF4"/>
    <w:rsid w:val="24141D9B"/>
    <w:rsid w:val="24E54A43"/>
    <w:rsid w:val="24F5112A"/>
    <w:rsid w:val="251C7144"/>
    <w:rsid w:val="25460B2B"/>
    <w:rsid w:val="25537BFE"/>
    <w:rsid w:val="25597038"/>
    <w:rsid w:val="258E0633"/>
    <w:rsid w:val="25C97EC1"/>
    <w:rsid w:val="26956F22"/>
    <w:rsid w:val="26B75F6B"/>
    <w:rsid w:val="26CF2AA5"/>
    <w:rsid w:val="26F63641"/>
    <w:rsid w:val="2725381D"/>
    <w:rsid w:val="27753928"/>
    <w:rsid w:val="284120E1"/>
    <w:rsid w:val="28761590"/>
    <w:rsid w:val="28902F18"/>
    <w:rsid w:val="28AE0251"/>
    <w:rsid w:val="28E954B3"/>
    <w:rsid w:val="28F301B5"/>
    <w:rsid w:val="291225C5"/>
    <w:rsid w:val="29C71CD8"/>
    <w:rsid w:val="29CA72FE"/>
    <w:rsid w:val="2A0E2346"/>
    <w:rsid w:val="2A2658E2"/>
    <w:rsid w:val="2A3554C6"/>
    <w:rsid w:val="2AFD66C7"/>
    <w:rsid w:val="2BB41B6E"/>
    <w:rsid w:val="2BF64712"/>
    <w:rsid w:val="2C1E33D8"/>
    <w:rsid w:val="2C39182A"/>
    <w:rsid w:val="2C3A0439"/>
    <w:rsid w:val="2D0C49C6"/>
    <w:rsid w:val="2D0D0FDB"/>
    <w:rsid w:val="2D255327"/>
    <w:rsid w:val="2D2D6F87"/>
    <w:rsid w:val="2DC50891"/>
    <w:rsid w:val="2DEC6E42"/>
    <w:rsid w:val="2EA21F6A"/>
    <w:rsid w:val="2EA40A72"/>
    <w:rsid w:val="2F18017B"/>
    <w:rsid w:val="2F401A78"/>
    <w:rsid w:val="2F670BC7"/>
    <w:rsid w:val="2F7D5CBE"/>
    <w:rsid w:val="2FCF13BF"/>
    <w:rsid w:val="2FEC5DBF"/>
    <w:rsid w:val="30151A32"/>
    <w:rsid w:val="301638E7"/>
    <w:rsid w:val="305B6281"/>
    <w:rsid w:val="30656259"/>
    <w:rsid w:val="30A671FB"/>
    <w:rsid w:val="30AE0D19"/>
    <w:rsid w:val="30B105D2"/>
    <w:rsid w:val="30B32356"/>
    <w:rsid w:val="30F61704"/>
    <w:rsid w:val="313E5C07"/>
    <w:rsid w:val="316315FE"/>
    <w:rsid w:val="31805199"/>
    <w:rsid w:val="31FD4105"/>
    <w:rsid w:val="329B402A"/>
    <w:rsid w:val="32C31FE9"/>
    <w:rsid w:val="335072D3"/>
    <w:rsid w:val="344E3CFD"/>
    <w:rsid w:val="346978DE"/>
    <w:rsid w:val="34950E8D"/>
    <w:rsid w:val="34E97C37"/>
    <w:rsid w:val="351B09B8"/>
    <w:rsid w:val="354568B2"/>
    <w:rsid w:val="356A6E6C"/>
    <w:rsid w:val="356B2B66"/>
    <w:rsid w:val="356D4F55"/>
    <w:rsid w:val="357A2FAC"/>
    <w:rsid w:val="35872073"/>
    <w:rsid w:val="35C1185B"/>
    <w:rsid w:val="35CE7449"/>
    <w:rsid w:val="35D55775"/>
    <w:rsid w:val="36217932"/>
    <w:rsid w:val="363C5ABE"/>
    <w:rsid w:val="36BC065C"/>
    <w:rsid w:val="36DB00D4"/>
    <w:rsid w:val="36DD0E31"/>
    <w:rsid w:val="36E17903"/>
    <w:rsid w:val="370A7F19"/>
    <w:rsid w:val="37797999"/>
    <w:rsid w:val="37A95DA4"/>
    <w:rsid w:val="37D660F5"/>
    <w:rsid w:val="37F1062E"/>
    <w:rsid w:val="3818056F"/>
    <w:rsid w:val="38385FB1"/>
    <w:rsid w:val="38AC72BA"/>
    <w:rsid w:val="39793C9B"/>
    <w:rsid w:val="39AA7D7D"/>
    <w:rsid w:val="3A6A0FC2"/>
    <w:rsid w:val="3AD15FA2"/>
    <w:rsid w:val="3AEF1F39"/>
    <w:rsid w:val="3AF65A70"/>
    <w:rsid w:val="3AFD5809"/>
    <w:rsid w:val="3B61036F"/>
    <w:rsid w:val="3B954FF7"/>
    <w:rsid w:val="3BED2703"/>
    <w:rsid w:val="3C08753D"/>
    <w:rsid w:val="3C2354A9"/>
    <w:rsid w:val="3C4B6C32"/>
    <w:rsid w:val="3C5E5E00"/>
    <w:rsid w:val="3C5F5C40"/>
    <w:rsid w:val="3CC42986"/>
    <w:rsid w:val="3CF42EFE"/>
    <w:rsid w:val="3D0D1CB1"/>
    <w:rsid w:val="3D7D3B8B"/>
    <w:rsid w:val="3DB01C3A"/>
    <w:rsid w:val="3DB32C3B"/>
    <w:rsid w:val="3E6A1FB6"/>
    <w:rsid w:val="3F480093"/>
    <w:rsid w:val="3F6A3C1B"/>
    <w:rsid w:val="3FE5622E"/>
    <w:rsid w:val="3FEC0F24"/>
    <w:rsid w:val="40192030"/>
    <w:rsid w:val="404F54B9"/>
    <w:rsid w:val="406A3401"/>
    <w:rsid w:val="409A41FB"/>
    <w:rsid w:val="40AE1B59"/>
    <w:rsid w:val="410D3199"/>
    <w:rsid w:val="425367DC"/>
    <w:rsid w:val="426B25D4"/>
    <w:rsid w:val="42AC7378"/>
    <w:rsid w:val="42D54DD3"/>
    <w:rsid w:val="42DE2DA6"/>
    <w:rsid w:val="430E16B7"/>
    <w:rsid w:val="431F4C7A"/>
    <w:rsid w:val="436F39FE"/>
    <w:rsid w:val="437A4981"/>
    <w:rsid w:val="43C57AC2"/>
    <w:rsid w:val="443E1E69"/>
    <w:rsid w:val="445D7443"/>
    <w:rsid w:val="44745CAD"/>
    <w:rsid w:val="45260A34"/>
    <w:rsid w:val="453D30E3"/>
    <w:rsid w:val="4545354D"/>
    <w:rsid w:val="458C5202"/>
    <w:rsid w:val="459C63E3"/>
    <w:rsid w:val="465035F4"/>
    <w:rsid w:val="46994817"/>
    <w:rsid w:val="46AC31BB"/>
    <w:rsid w:val="472D124B"/>
    <w:rsid w:val="477A3BB8"/>
    <w:rsid w:val="47A85737"/>
    <w:rsid w:val="48242D3C"/>
    <w:rsid w:val="48336FF2"/>
    <w:rsid w:val="48592ECE"/>
    <w:rsid w:val="488C5FED"/>
    <w:rsid w:val="489B0FE2"/>
    <w:rsid w:val="48B469C5"/>
    <w:rsid w:val="48B80F01"/>
    <w:rsid w:val="48F6071D"/>
    <w:rsid w:val="49307F47"/>
    <w:rsid w:val="4933371F"/>
    <w:rsid w:val="493619AE"/>
    <w:rsid w:val="495C645D"/>
    <w:rsid w:val="49747FC0"/>
    <w:rsid w:val="497A134E"/>
    <w:rsid w:val="49EB04CB"/>
    <w:rsid w:val="4A446213"/>
    <w:rsid w:val="4A4B15A3"/>
    <w:rsid w:val="4A6D3CAC"/>
    <w:rsid w:val="4AB024C8"/>
    <w:rsid w:val="4ADA1BD7"/>
    <w:rsid w:val="4B1257FF"/>
    <w:rsid w:val="4B8D5369"/>
    <w:rsid w:val="4BCB40E3"/>
    <w:rsid w:val="4C6856ED"/>
    <w:rsid w:val="4D063E04"/>
    <w:rsid w:val="4D3B25AF"/>
    <w:rsid w:val="4D45306C"/>
    <w:rsid w:val="4D572FF2"/>
    <w:rsid w:val="4D7F0CE1"/>
    <w:rsid w:val="4D936F21"/>
    <w:rsid w:val="4DFA1FF5"/>
    <w:rsid w:val="4E3419BB"/>
    <w:rsid w:val="4E5939B9"/>
    <w:rsid w:val="4EA1003F"/>
    <w:rsid w:val="4ECC33FF"/>
    <w:rsid w:val="4ED60172"/>
    <w:rsid w:val="4F2A4BBE"/>
    <w:rsid w:val="4FBC446F"/>
    <w:rsid w:val="4FDE0053"/>
    <w:rsid w:val="502367DB"/>
    <w:rsid w:val="503555E9"/>
    <w:rsid w:val="50414029"/>
    <w:rsid w:val="507E445E"/>
    <w:rsid w:val="50827466"/>
    <w:rsid w:val="50F21BBD"/>
    <w:rsid w:val="51CB4397"/>
    <w:rsid w:val="52144BCA"/>
    <w:rsid w:val="52235ED6"/>
    <w:rsid w:val="523D2CEC"/>
    <w:rsid w:val="52EF045B"/>
    <w:rsid w:val="535511B7"/>
    <w:rsid w:val="53A457E6"/>
    <w:rsid w:val="53E046BD"/>
    <w:rsid w:val="545C0467"/>
    <w:rsid w:val="547E7AE0"/>
    <w:rsid w:val="54D7624F"/>
    <w:rsid w:val="55133E1E"/>
    <w:rsid w:val="555C33C5"/>
    <w:rsid w:val="55EE0256"/>
    <w:rsid w:val="55F5122C"/>
    <w:rsid w:val="56127544"/>
    <w:rsid w:val="564E1B99"/>
    <w:rsid w:val="567C04B4"/>
    <w:rsid w:val="569F3EAB"/>
    <w:rsid w:val="56F32D5C"/>
    <w:rsid w:val="56FA5345"/>
    <w:rsid w:val="57025696"/>
    <w:rsid w:val="57360B5B"/>
    <w:rsid w:val="57547FE1"/>
    <w:rsid w:val="575642B2"/>
    <w:rsid w:val="575B7BD5"/>
    <w:rsid w:val="57A33FD9"/>
    <w:rsid w:val="5870229A"/>
    <w:rsid w:val="58916029"/>
    <w:rsid w:val="58965FF7"/>
    <w:rsid w:val="58BF5924"/>
    <w:rsid w:val="58C65965"/>
    <w:rsid w:val="58C86933"/>
    <w:rsid w:val="58D77516"/>
    <w:rsid w:val="58D82F07"/>
    <w:rsid w:val="58E93DFA"/>
    <w:rsid w:val="592866D1"/>
    <w:rsid w:val="59394D12"/>
    <w:rsid w:val="5952374E"/>
    <w:rsid w:val="597E663A"/>
    <w:rsid w:val="59B90C2E"/>
    <w:rsid w:val="5A2C6105"/>
    <w:rsid w:val="5A543BE2"/>
    <w:rsid w:val="5A6009AF"/>
    <w:rsid w:val="5B1D5A17"/>
    <w:rsid w:val="5B3B5AE3"/>
    <w:rsid w:val="5C34538D"/>
    <w:rsid w:val="5C3E68FB"/>
    <w:rsid w:val="5CD81C19"/>
    <w:rsid w:val="5CEB6B92"/>
    <w:rsid w:val="5DD22F11"/>
    <w:rsid w:val="5E00335F"/>
    <w:rsid w:val="5E914D18"/>
    <w:rsid w:val="5EF80CF9"/>
    <w:rsid w:val="5EF86E2E"/>
    <w:rsid w:val="5F4859C8"/>
    <w:rsid w:val="5F505EF1"/>
    <w:rsid w:val="5FBC7B73"/>
    <w:rsid w:val="6029514E"/>
    <w:rsid w:val="603914D1"/>
    <w:rsid w:val="60445996"/>
    <w:rsid w:val="606458AF"/>
    <w:rsid w:val="608D5F7A"/>
    <w:rsid w:val="60BE791B"/>
    <w:rsid w:val="60EE6795"/>
    <w:rsid w:val="60F21FF1"/>
    <w:rsid w:val="61384A02"/>
    <w:rsid w:val="61B33733"/>
    <w:rsid w:val="61D67FCA"/>
    <w:rsid w:val="62A04A6E"/>
    <w:rsid w:val="62C447B0"/>
    <w:rsid w:val="633047AD"/>
    <w:rsid w:val="63B84C14"/>
    <w:rsid w:val="64104212"/>
    <w:rsid w:val="645953E7"/>
    <w:rsid w:val="646A047C"/>
    <w:rsid w:val="64AD1C90"/>
    <w:rsid w:val="651172E6"/>
    <w:rsid w:val="65795F88"/>
    <w:rsid w:val="65AD75CC"/>
    <w:rsid w:val="65D805B6"/>
    <w:rsid w:val="660B1ADB"/>
    <w:rsid w:val="6635067F"/>
    <w:rsid w:val="665C746E"/>
    <w:rsid w:val="66B04FE3"/>
    <w:rsid w:val="66CC190A"/>
    <w:rsid w:val="66D12205"/>
    <w:rsid w:val="670E33D6"/>
    <w:rsid w:val="674E6A5F"/>
    <w:rsid w:val="678035E6"/>
    <w:rsid w:val="67A91325"/>
    <w:rsid w:val="67B01554"/>
    <w:rsid w:val="6812069A"/>
    <w:rsid w:val="686E1298"/>
    <w:rsid w:val="68882079"/>
    <w:rsid w:val="688C2B57"/>
    <w:rsid w:val="691D7B11"/>
    <w:rsid w:val="6985191D"/>
    <w:rsid w:val="69A46042"/>
    <w:rsid w:val="6A362F2E"/>
    <w:rsid w:val="6C1C625F"/>
    <w:rsid w:val="6C77654A"/>
    <w:rsid w:val="6C7B7AD7"/>
    <w:rsid w:val="6C861C34"/>
    <w:rsid w:val="6C8D4CE9"/>
    <w:rsid w:val="6CEB1A97"/>
    <w:rsid w:val="6D0F6E20"/>
    <w:rsid w:val="6DE42336"/>
    <w:rsid w:val="6E2711F5"/>
    <w:rsid w:val="6ED74376"/>
    <w:rsid w:val="6EFA06B8"/>
    <w:rsid w:val="6F3C715A"/>
    <w:rsid w:val="6F544B7A"/>
    <w:rsid w:val="6F9B254C"/>
    <w:rsid w:val="6FFA0335"/>
    <w:rsid w:val="701C767F"/>
    <w:rsid w:val="703D6AAE"/>
    <w:rsid w:val="70553300"/>
    <w:rsid w:val="70803646"/>
    <w:rsid w:val="70967F6C"/>
    <w:rsid w:val="70997197"/>
    <w:rsid w:val="70B34D95"/>
    <w:rsid w:val="70C07B35"/>
    <w:rsid w:val="70D06FB9"/>
    <w:rsid w:val="70D25448"/>
    <w:rsid w:val="70EF7989"/>
    <w:rsid w:val="717806D0"/>
    <w:rsid w:val="726F7C81"/>
    <w:rsid w:val="7392615E"/>
    <w:rsid w:val="73A63A13"/>
    <w:rsid w:val="73F2060C"/>
    <w:rsid w:val="74184DAA"/>
    <w:rsid w:val="742B3326"/>
    <w:rsid w:val="74312486"/>
    <w:rsid w:val="743522C5"/>
    <w:rsid w:val="74505BF3"/>
    <w:rsid w:val="74CA5C80"/>
    <w:rsid w:val="751D621F"/>
    <w:rsid w:val="75543B4F"/>
    <w:rsid w:val="75711916"/>
    <w:rsid w:val="761F374C"/>
    <w:rsid w:val="766A67E7"/>
    <w:rsid w:val="76B259BC"/>
    <w:rsid w:val="76BD4052"/>
    <w:rsid w:val="76DD1D57"/>
    <w:rsid w:val="779A6F88"/>
    <w:rsid w:val="77B9065F"/>
    <w:rsid w:val="77BF424C"/>
    <w:rsid w:val="77E42FB9"/>
    <w:rsid w:val="78335C8A"/>
    <w:rsid w:val="78454BD9"/>
    <w:rsid w:val="785D0591"/>
    <w:rsid w:val="78AF42C1"/>
    <w:rsid w:val="78EA354B"/>
    <w:rsid w:val="79242950"/>
    <w:rsid w:val="794D3D01"/>
    <w:rsid w:val="79B076FA"/>
    <w:rsid w:val="7A6D59DD"/>
    <w:rsid w:val="7A8C48BA"/>
    <w:rsid w:val="7AB364CA"/>
    <w:rsid w:val="7AE528A2"/>
    <w:rsid w:val="7B2F77EE"/>
    <w:rsid w:val="7B4A0726"/>
    <w:rsid w:val="7B893C32"/>
    <w:rsid w:val="7BC16C95"/>
    <w:rsid w:val="7BDE4192"/>
    <w:rsid w:val="7BF85F7F"/>
    <w:rsid w:val="7BFE17E7"/>
    <w:rsid w:val="7C6C241C"/>
    <w:rsid w:val="7CC06678"/>
    <w:rsid w:val="7CC57B00"/>
    <w:rsid w:val="7CE15826"/>
    <w:rsid w:val="7D1F7C67"/>
    <w:rsid w:val="7D222355"/>
    <w:rsid w:val="7D254B52"/>
    <w:rsid w:val="7D366D5F"/>
    <w:rsid w:val="7E4741FF"/>
    <w:rsid w:val="7E5569CE"/>
    <w:rsid w:val="7E713BC2"/>
    <w:rsid w:val="7EC306C2"/>
    <w:rsid w:val="7ED5239C"/>
    <w:rsid w:val="7F3528FD"/>
    <w:rsid w:val="7F3F76B2"/>
    <w:rsid w:val="7F5D5C99"/>
    <w:rsid w:val="7F855D7C"/>
    <w:rsid w:val="7FA86DC0"/>
    <w:rsid w:val="7FFB25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startarrow="classic" endarrow="classic"/>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0" w:name="footnote text"/>
    <w:lsdException w:qFormat="1" w:uiPriority="99"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99"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0" w:name="Date"/>
    <w:lsdException w:qFormat="1" w:uiPriority="0" w:semiHidden="0" w:name="Body Text First Indent"/>
    <w:lsdException w:qFormat="1" w:uiPriority="0" w:semiHidden="0" w:name="Body Text First Indent 2"/>
    <w:lsdException w:uiPriority="99" w:name="Note Heading"/>
    <w:lsdException w:qFormat="1" w:uiPriority="0" w:semiHidden="0" w:name="Body Text 2"/>
    <w:lsdException w:uiPriority="0" w:name="Body Text 3"/>
    <w:lsdException w:uiPriority="0" w:name="Body Text Indent 2"/>
    <w:lsdException w:uiPriority="0" w:name="Body Text Indent 3"/>
    <w:lsdException w:qFormat="1" w:uiPriority="0" w:semiHidden="0" w:name="Block Text"/>
    <w:lsdException w:qFormat="1" w:uiPriority="99" w:semiHidden="0" w:name="Hyperlink"/>
    <w:lsdException w:qFormat="1" w:uiPriority="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name="HTML Code"/>
    <w:lsdException w:qFormat="1" w:uiPriority="99" w:name="HTML Definition"/>
    <w:lsdException w:qFormat="1" w:uiPriority="99" w:name="HTML Keyboard"/>
    <w:lsdException w:uiPriority="0" w:name="HTML Preformatted"/>
    <w:lsdException w:qFormat="1" w:unhideWhenUsed="0" w:uiPriority="0" w:semiHidden="0" w:name="HTML Sample"/>
    <w:lsdException w:uiPriority="99" w:name="HTML Typewriter"/>
    <w:lsdException w:uiPriority="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20" w:lineRule="exact"/>
      <w:ind w:firstLine="200" w:firstLineChars="200"/>
      <w:jc w:val="both"/>
      <w:textAlignment w:val="baseline"/>
    </w:pPr>
    <w:rPr>
      <w:rFonts w:ascii="Times New Roman" w:hAnsi="Times New Roman" w:eastAsia="宋体" w:cs="Times New Roman"/>
      <w:sz w:val="24"/>
      <w:lang w:val="en-US" w:eastAsia="zh-CN" w:bidi="ar-SA"/>
    </w:rPr>
  </w:style>
  <w:style w:type="paragraph" w:styleId="2">
    <w:name w:val="heading 1"/>
    <w:basedOn w:val="1"/>
    <w:next w:val="1"/>
    <w:link w:val="57"/>
    <w:qFormat/>
    <w:uiPriority w:val="0"/>
    <w:pPr>
      <w:keepNext/>
      <w:keepLines/>
      <w:pageBreakBefore/>
      <w:numPr>
        <w:ilvl w:val="0"/>
        <w:numId w:val="1"/>
      </w:numPr>
      <w:tabs>
        <w:tab w:val="left" w:pos="1636"/>
        <w:tab w:val="clear" w:pos="1919"/>
      </w:tabs>
      <w:adjustRightInd/>
      <w:snapToGrid/>
      <w:spacing w:beforeLines="150" w:afterLines="200" w:line="500" w:lineRule="exact"/>
      <w:ind w:left="1276" w:firstLineChars="0"/>
      <w:contextualSpacing/>
      <w:jc w:val="center"/>
      <w:outlineLvl w:val="0"/>
    </w:pPr>
    <w:rPr>
      <w:rFonts w:eastAsia="黑体"/>
      <w:kern w:val="44"/>
      <w:sz w:val="36"/>
    </w:rPr>
  </w:style>
  <w:style w:type="paragraph" w:styleId="3">
    <w:name w:val="heading 2"/>
    <w:basedOn w:val="1"/>
    <w:next w:val="1"/>
    <w:link w:val="58"/>
    <w:qFormat/>
    <w:uiPriority w:val="0"/>
    <w:pPr>
      <w:keepNext/>
      <w:keepLines/>
      <w:numPr>
        <w:ilvl w:val="1"/>
        <w:numId w:val="1"/>
      </w:numPr>
      <w:tabs>
        <w:tab w:val="left" w:pos="960"/>
        <w:tab w:val="left" w:pos="1200"/>
      </w:tabs>
      <w:adjustRightInd/>
      <w:snapToGrid/>
      <w:spacing w:before="240" w:after="240" w:line="240" w:lineRule="auto"/>
      <w:ind w:left="0" w:firstLine="100" w:firstLineChars="100"/>
      <w:contextualSpacing/>
      <w:jc w:val="left"/>
      <w:outlineLvl w:val="1"/>
    </w:pPr>
    <w:rPr>
      <w:b/>
      <w:sz w:val="30"/>
    </w:rPr>
  </w:style>
  <w:style w:type="paragraph" w:styleId="4">
    <w:name w:val="heading 3"/>
    <w:basedOn w:val="1"/>
    <w:next w:val="1"/>
    <w:link w:val="53"/>
    <w:qFormat/>
    <w:uiPriority w:val="0"/>
    <w:pPr>
      <w:keepNext/>
      <w:keepLines/>
      <w:numPr>
        <w:ilvl w:val="2"/>
        <w:numId w:val="1"/>
      </w:numPr>
      <w:tabs>
        <w:tab w:val="left" w:pos="360"/>
        <w:tab w:val="left" w:pos="1200"/>
        <w:tab w:val="left" w:pos="1636"/>
        <w:tab w:val="left" w:pos="1680"/>
      </w:tabs>
      <w:spacing w:line="240" w:lineRule="auto"/>
      <w:ind w:left="0" w:firstLineChars="0"/>
      <w:jc w:val="left"/>
      <w:outlineLvl w:val="2"/>
    </w:pPr>
    <w:rPr>
      <w:rFonts w:ascii="Times New Roman" w:hAnsi="Times New Roman" w:eastAsia="楷体"/>
      <w:b/>
      <w:sz w:val="28"/>
    </w:rPr>
  </w:style>
  <w:style w:type="paragraph" w:styleId="5">
    <w:name w:val="heading 4"/>
    <w:basedOn w:val="1"/>
    <w:next w:val="1"/>
    <w:link w:val="59"/>
    <w:qFormat/>
    <w:uiPriority w:val="0"/>
    <w:pPr>
      <w:keepNext/>
      <w:keepLines/>
      <w:tabs>
        <w:tab w:val="left" w:pos="240"/>
        <w:tab w:val="left" w:pos="360"/>
        <w:tab w:val="left" w:pos="480"/>
        <w:tab w:val="left" w:pos="1080"/>
        <w:tab w:val="left" w:pos="1636"/>
      </w:tabs>
      <w:spacing w:before="240" w:beforeLines="100" w:after="120" w:afterLines="50" w:line="240" w:lineRule="auto"/>
      <w:ind w:firstLine="0" w:firstLineChars="0"/>
      <w:jc w:val="left"/>
      <w:outlineLvl w:val="3"/>
    </w:pPr>
    <w:rPr>
      <w:rFonts w:eastAsia="楷体"/>
      <w:b/>
    </w:rPr>
  </w:style>
  <w:style w:type="paragraph" w:styleId="6">
    <w:name w:val="heading 5"/>
    <w:basedOn w:val="1"/>
    <w:next w:val="1"/>
    <w:link w:val="60"/>
    <w:qFormat/>
    <w:uiPriority w:val="0"/>
    <w:pPr>
      <w:keepNext/>
      <w:keepLines/>
      <w:numPr>
        <w:ilvl w:val="0"/>
        <w:numId w:val="2"/>
      </w:numPr>
      <w:tabs>
        <w:tab w:val="left" w:pos="480"/>
        <w:tab w:val="left" w:pos="600"/>
      </w:tabs>
      <w:spacing w:before="120" w:after="120"/>
      <w:ind w:left="150" w:leftChars="150" w:right="150" w:rightChars="150" w:firstLine="0" w:firstLineChars="0"/>
      <w:jc w:val="left"/>
      <w:outlineLvl w:val="4"/>
    </w:pPr>
    <w:rPr>
      <w:rFonts w:eastAsiaTheme="majorEastAsia"/>
      <w:b/>
    </w:rPr>
  </w:style>
  <w:style w:type="paragraph" w:styleId="7">
    <w:name w:val="heading 6"/>
    <w:basedOn w:val="1"/>
    <w:next w:val="1"/>
    <w:link w:val="61"/>
    <w:qFormat/>
    <w:uiPriority w:val="0"/>
    <w:pPr>
      <w:keepNext/>
      <w:keepLines/>
      <w:spacing w:before="120" w:after="120" w:line="240" w:lineRule="auto"/>
      <w:ind w:firstLine="0"/>
      <w:jc w:val="left"/>
      <w:outlineLvl w:val="5"/>
    </w:pPr>
    <w:rPr>
      <w:rFonts w:eastAsia="黑体"/>
      <w:b/>
    </w:rPr>
  </w:style>
  <w:style w:type="paragraph" w:styleId="8">
    <w:name w:val="heading 7"/>
    <w:basedOn w:val="1"/>
    <w:next w:val="1"/>
    <w:link w:val="62"/>
    <w:qFormat/>
    <w:uiPriority w:val="0"/>
    <w:pPr>
      <w:keepNext/>
      <w:keepLines/>
      <w:snapToGrid/>
      <w:spacing w:before="240" w:after="64" w:line="320" w:lineRule="auto"/>
      <w:ind w:firstLine="0"/>
      <w:outlineLvl w:val="6"/>
    </w:pPr>
    <w:rPr>
      <w:b/>
    </w:rPr>
  </w:style>
  <w:style w:type="paragraph" w:styleId="9">
    <w:name w:val="heading 8"/>
    <w:basedOn w:val="1"/>
    <w:next w:val="1"/>
    <w:link w:val="63"/>
    <w:qFormat/>
    <w:uiPriority w:val="0"/>
    <w:pPr>
      <w:keepNext/>
      <w:keepLines/>
      <w:snapToGrid/>
      <w:spacing w:before="240" w:after="64" w:line="320" w:lineRule="auto"/>
      <w:ind w:firstLine="0"/>
      <w:outlineLvl w:val="7"/>
    </w:pPr>
    <w:rPr>
      <w:rFonts w:ascii="Arial" w:hAnsi="Arial" w:eastAsia="黑体"/>
    </w:rPr>
  </w:style>
  <w:style w:type="paragraph" w:styleId="10">
    <w:name w:val="heading 9"/>
    <w:basedOn w:val="1"/>
    <w:next w:val="1"/>
    <w:link w:val="64"/>
    <w:qFormat/>
    <w:uiPriority w:val="0"/>
    <w:pPr>
      <w:keepNext/>
      <w:keepLines/>
      <w:snapToGrid/>
      <w:spacing w:before="240" w:after="64" w:line="320" w:lineRule="auto"/>
      <w:ind w:firstLine="0"/>
      <w:outlineLvl w:val="8"/>
    </w:pPr>
    <w:rPr>
      <w:rFonts w:ascii="Arial" w:hAnsi="Arial" w:eastAsia="黑体"/>
      <w:sz w:val="20"/>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napToGrid/>
      <w:spacing w:line="240" w:lineRule="auto"/>
      <w:ind w:left="2520" w:leftChars="1200" w:firstLine="0" w:firstLineChars="0"/>
      <w:textAlignment w:val="auto"/>
    </w:pPr>
    <w:rPr>
      <w:rFonts w:asciiTheme="minorHAnsi" w:hAnsiTheme="minorHAnsi" w:eastAsiaTheme="minorEastAsia" w:cstheme="minorBidi"/>
      <w:kern w:val="2"/>
      <w:sz w:val="21"/>
      <w:szCs w:val="22"/>
    </w:rPr>
  </w:style>
  <w:style w:type="paragraph" w:styleId="12">
    <w:name w:val="Normal Indent"/>
    <w:basedOn w:val="1"/>
    <w:link w:val="133"/>
    <w:qFormat/>
    <w:uiPriority w:val="99"/>
    <w:pPr>
      <w:adjustRightInd/>
      <w:snapToGrid/>
      <w:spacing w:line="240" w:lineRule="auto"/>
      <w:ind w:firstLine="420" w:firstLineChars="0"/>
      <w:textAlignment w:val="auto"/>
    </w:pPr>
    <w:rPr>
      <w:sz w:val="20"/>
      <w:szCs w:val="24"/>
    </w:rPr>
  </w:style>
  <w:style w:type="paragraph" w:styleId="13">
    <w:name w:val="caption"/>
    <w:basedOn w:val="1"/>
    <w:next w:val="1"/>
    <w:link w:val="124"/>
    <w:qFormat/>
    <w:uiPriority w:val="0"/>
    <w:pPr>
      <w:spacing w:line="360" w:lineRule="exact"/>
    </w:pPr>
    <w:rPr>
      <w:b/>
      <w:sz w:val="21"/>
    </w:rPr>
  </w:style>
  <w:style w:type="paragraph" w:styleId="14">
    <w:name w:val="Document Map"/>
    <w:basedOn w:val="1"/>
    <w:link w:val="65"/>
    <w:unhideWhenUsed/>
    <w:qFormat/>
    <w:uiPriority w:val="99"/>
    <w:rPr>
      <w:rFonts w:ascii="宋体"/>
      <w:sz w:val="18"/>
      <w:szCs w:val="18"/>
    </w:rPr>
  </w:style>
  <w:style w:type="paragraph" w:styleId="15">
    <w:name w:val="annotation text"/>
    <w:basedOn w:val="1"/>
    <w:link w:val="66"/>
    <w:unhideWhenUsed/>
    <w:qFormat/>
    <w:uiPriority w:val="99"/>
    <w:pPr>
      <w:widowControl/>
      <w:jc w:val="left"/>
      <w:textAlignment w:val="auto"/>
    </w:pPr>
    <w:rPr>
      <w:rFonts w:cstheme="minorBidi"/>
      <w:szCs w:val="22"/>
    </w:rPr>
  </w:style>
  <w:style w:type="paragraph" w:styleId="16">
    <w:name w:val="Body Text"/>
    <w:basedOn w:val="1"/>
    <w:next w:val="17"/>
    <w:link w:val="108"/>
    <w:unhideWhenUsed/>
    <w:qFormat/>
    <w:uiPriority w:val="0"/>
    <w:pPr>
      <w:spacing w:after="120"/>
    </w:pPr>
  </w:style>
  <w:style w:type="paragraph" w:styleId="17">
    <w:name w:val="Body Text 2"/>
    <w:basedOn w:val="1"/>
    <w:next w:val="18"/>
    <w:link w:val="93"/>
    <w:unhideWhenUsed/>
    <w:qFormat/>
    <w:uiPriority w:val="0"/>
    <w:pPr>
      <w:widowControl/>
      <w:spacing w:after="120" w:line="480" w:lineRule="auto"/>
      <w:jc w:val="left"/>
      <w:textAlignment w:val="auto"/>
    </w:pPr>
    <w:rPr>
      <w:rFonts w:cstheme="minorBidi"/>
      <w:szCs w:val="22"/>
    </w:rPr>
  </w:style>
  <w:style w:type="paragraph" w:styleId="18">
    <w:name w:val="footer"/>
    <w:basedOn w:val="1"/>
    <w:next w:val="19"/>
    <w:link w:val="68"/>
    <w:unhideWhenUsed/>
    <w:qFormat/>
    <w:uiPriority w:val="99"/>
    <w:pPr>
      <w:tabs>
        <w:tab w:val="center" w:pos="4153"/>
        <w:tab w:val="right" w:pos="8306"/>
      </w:tabs>
      <w:adjustRightInd/>
      <w:spacing w:line="240" w:lineRule="auto"/>
      <w:ind w:firstLine="0" w:firstLineChars="0"/>
      <w:jc w:val="left"/>
      <w:textAlignment w:val="auto"/>
    </w:pPr>
    <w:rPr>
      <w:sz w:val="18"/>
      <w:szCs w:val="18"/>
    </w:rPr>
  </w:style>
  <w:style w:type="paragraph" w:styleId="19">
    <w:name w:val="List Continue"/>
    <w:basedOn w:val="1"/>
    <w:next w:val="16"/>
    <w:qFormat/>
    <w:uiPriority w:val="0"/>
    <w:pPr>
      <w:widowControl/>
      <w:spacing w:before="280" w:after="280"/>
      <w:ind w:firstLine="3584"/>
    </w:pPr>
    <w:rPr>
      <w:rFonts w:ascii="Calibri" w:hAnsi="Calibri"/>
    </w:rPr>
  </w:style>
  <w:style w:type="paragraph" w:styleId="20">
    <w:name w:val="Body Text Indent"/>
    <w:basedOn w:val="1"/>
    <w:link w:val="106"/>
    <w:unhideWhenUsed/>
    <w:qFormat/>
    <w:uiPriority w:val="99"/>
    <w:pPr>
      <w:spacing w:after="120"/>
      <w:ind w:left="420" w:leftChars="200"/>
    </w:pPr>
  </w:style>
  <w:style w:type="paragraph" w:styleId="21">
    <w:name w:val="Block Text"/>
    <w:basedOn w:val="1"/>
    <w:next w:val="1"/>
    <w:unhideWhenUsed/>
    <w:qFormat/>
    <w:uiPriority w:val="0"/>
    <w:pPr>
      <w:ind w:left="100" w:right="100" w:firstLine="425"/>
    </w:pPr>
    <w:rPr>
      <w:sz w:val="28"/>
    </w:rPr>
  </w:style>
  <w:style w:type="paragraph" w:styleId="22">
    <w:name w:val="toc 5"/>
    <w:basedOn w:val="1"/>
    <w:next w:val="1"/>
    <w:unhideWhenUsed/>
    <w:qFormat/>
    <w:uiPriority w:val="39"/>
    <w:pPr>
      <w:ind w:left="1680" w:leftChars="800"/>
    </w:pPr>
  </w:style>
  <w:style w:type="paragraph" w:styleId="23">
    <w:name w:val="toc 3"/>
    <w:basedOn w:val="1"/>
    <w:next w:val="1"/>
    <w:qFormat/>
    <w:uiPriority w:val="39"/>
    <w:pPr>
      <w:adjustRightInd/>
      <w:snapToGrid/>
      <w:spacing w:line="240" w:lineRule="auto"/>
      <w:ind w:left="840" w:leftChars="400" w:firstLine="0" w:firstLineChars="0"/>
      <w:textAlignment w:val="auto"/>
    </w:pPr>
    <w:rPr>
      <w:kern w:val="2"/>
      <w:sz w:val="21"/>
      <w:szCs w:val="24"/>
    </w:rPr>
  </w:style>
  <w:style w:type="paragraph" w:styleId="24">
    <w:name w:val="Plain Text"/>
    <w:basedOn w:val="1"/>
    <w:link w:val="90"/>
    <w:qFormat/>
    <w:uiPriority w:val="0"/>
    <w:pPr>
      <w:adjustRightInd/>
      <w:snapToGrid/>
      <w:spacing w:line="240" w:lineRule="auto"/>
      <w:ind w:firstLine="0" w:firstLineChars="0"/>
      <w:textAlignment w:val="auto"/>
    </w:pPr>
    <w:rPr>
      <w:rFonts w:ascii="宋体" w:hAnsi="Courier New" w:cs="Courier New"/>
      <w:sz w:val="21"/>
      <w:szCs w:val="21"/>
    </w:rPr>
  </w:style>
  <w:style w:type="paragraph" w:styleId="25">
    <w:name w:val="toc 8"/>
    <w:basedOn w:val="1"/>
    <w:next w:val="1"/>
    <w:autoRedefine/>
    <w:unhideWhenUsed/>
    <w:qFormat/>
    <w:uiPriority w:val="39"/>
    <w:pPr>
      <w:adjustRightInd/>
      <w:snapToGrid/>
      <w:spacing w:line="240" w:lineRule="auto"/>
      <w:ind w:left="2940" w:leftChars="1400" w:firstLine="0" w:firstLineChars="0"/>
      <w:textAlignment w:val="auto"/>
    </w:pPr>
    <w:rPr>
      <w:rFonts w:asciiTheme="minorHAnsi" w:hAnsiTheme="minorHAnsi" w:eastAsiaTheme="minorEastAsia" w:cstheme="minorBidi"/>
      <w:kern w:val="2"/>
      <w:sz w:val="21"/>
      <w:szCs w:val="22"/>
    </w:rPr>
  </w:style>
  <w:style w:type="paragraph" w:styleId="26">
    <w:name w:val="Balloon Text"/>
    <w:basedOn w:val="1"/>
    <w:link w:val="67"/>
    <w:qFormat/>
    <w:uiPriority w:val="99"/>
    <w:pPr>
      <w:spacing w:line="240" w:lineRule="auto"/>
    </w:pPr>
    <w:rPr>
      <w:sz w:val="18"/>
      <w:szCs w:val="18"/>
    </w:rPr>
  </w:style>
  <w:style w:type="paragraph" w:styleId="27">
    <w:name w:val="header"/>
    <w:basedOn w:val="1"/>
    <w:link w:val="69"/>
    <w:qFormat/>
    <w:uiPriority w:val="0"/>
    <w:pPr>
      <w:pBdr>
        <w:bottom w:val="single" w:color="auto" w:sz="6" w:space="1"/>
      </w:pBdr>
      <w:tabs>
        <w:tab w:val="center" w:pos="4153"/>
        <w:tab w:val="right" w:pos="8306"/>
      </w:tabs>
      <w:adjustRightInd/>
      <w:spacing w:line="240" w:lineRule="auto"/>
      <w:ind w:firstLine="0" w:firstLineChars="0"/>
      <w:jc w:val="center"/>
      <w:textAlignment w:val="auto"/>
    </w:pPr>
    <w:rPr>
      <w:kern w:val="2"/>
      <w:sz w:val="18"/>
      <w:szCs w:val="18"/>
    </w:rPr>
  </w:style>
  <w:style w:type="paragraph" w:styleId="28">
    <w:name w:val="toc 1"/>
    <w:basedOn w:val="1"/>
    <w:next w:val="1"/>
    <w:qFormat/>
    <w:uiPriority w:val="39"/>
    <w:pPr>
      <w:tabs>
        <w:tab w:val="left" w:pos="1120"/>
        <w:tab w:val="right" w:leader="dot" w:pos="8505"/>
      </w:tabs>
      <w:spacing w:before="120" w:after="120"/>
      <w:ind w:firstLine="0" w:firstLineChars="0"/>
      <w:jc w:val="left"/>
    </w:pPr>
    <w:rPr>
      <w:b/>
      <w:bCs/>
      <w:caps/>
      <w:sz w:val="28"/>
      <w:szCs w:val="28"/>
    </w:rPr>
  </w:style>
  <w:style w:type="paragraph" w:styleId="29">
    <w:name w:val="toc 4"/>
    <w:basedOn w:val="1"/>
    <w:next w:val="1"/>
    <w:qFormat/>
    <w:uiPriority w:val="39"/>
    <w:pPr>
      <w:ind w:left="840"/>
      <w:jc w:val="left"/>
    </w:pPr>
    <w:rPr>
      <w:rFonts w:ascii="Calibri" w:hAnsi="Calibri"/>
      <w:sz w:val="18"/>
      <w:szCs w:val="18"/>
    </w:rPr>
  </w:style>
  <w:style w:type="paragraph" w:styleId="30">
    <w:name w:val="Subtitle"/>
    <w:basedOn w:val="1"/>
    <w:next w:val="1"/>
    <w:link w:val="70"/>
    <w:qFormat/>
    <w:uiPriority w:val="0"/>
    <w:pPr>
      <w:spacing w:before="240" w:after="480" w:line="240" w:lineRule="auto"/>
      <w:ind w:firstLine="0" w:firstLineChars="0"/>
      <w:jc w:val="center"/>
    </w:pPr>
    <w:rPr>
      <w:rFonts w:ascii="Cambria" w:hAnsi="Cambria"/>
      <w:b/>
      <w:bCs/>
      <w:kern w:val="28"/>
      <w:sz w:val="48"/>
      <w:szCs w:val="32"/>
    </w:rPr>
  </w:style>
  <w:style w:type="paragraph" w:styleId="31">
    <w:name w:val="toc 6"/>
    <w:basedOn w:val="1"/>
    <w:next w:val="1"/>
    <w:autoRedefine/>
    <w:unhideWhenUsed/>
    <w:qFormat/>
    <w:uiPriority w:val="39"/>
    <w:pPr>
      <w:adjustRightInd/>
      <w:snapToGrid/>
      <w:spacing w:line="240" w:lineRule="auto"/>
      <w:ind w:left="2100" w:leftChars="1000" w:firstLine="0" w:firstLineChars="0"/>
      <w:textAlignment w:val="auto"/>
    </w:pPr>
    <w:rPr>
      <w:rFonts w:asciiTheme="minorHAnsi" w:hAnsiTheme="minorHAnsi" w:eastAsiaTheme="minorEastAsia" w:cstheme="minorBidi"/>
      <w:kern w:val="2"/>
      <w:sz w:val="21"/>
      <w:szCs w:val="22"/>
    </w:rPr>
  </w:style>
  <w:style w:type="paragraph" w:styleId="32">
    <w:name w:val="toc 2"/>
    <w:basedOn w:val="1"/>
    <w:next w:val="1"/>
    <w:qFormat/>
    <w:uiPriority w:val="39"/>
    <w:pPr>
      <w:tabs>
        <w:tab w:val="left" w:pos="560"/>
        <w:tab w:val="left" w:pos="709"/>
        <w:tab w:val="left" w:pos="1120"/>
        <w:tab w:val="right" w:leader="dot" w:pos="8505"/>
      </w:tabs>
      <w:spacing w:line="440" w:lineRule="exact"/>
    </w:pPr>
    <w:rPr>
      <w:smallCaps/>
      <w:szCs w:val="21"/>
    </w:rPr>
  </w:style>
  <w:style w:type="paragraph" w:styleId="33">
    <w:name w:val="toc 9"/>
    <w:basedOn w:val="1"/>
    <w:next w:val="1"/>
    <w:autoRedefine/>
    <w:unhideWhenUsed/>
    <w:qFormat/>
    <w:uiPriority w:val="39"/>
    <w:pPr>
      <w:adjustRightInd/>
      <w:snapToGrid/>
      <w:spacing w:line="240" w:lineRule="auto"/>
      <w:ind w:left="3360" w:leftChars="1600" w:firstLine="0" w:firstLineChars="0"/>
      <w:textAlignment w:val="auto"/>
    </w:pPr>
    <w:rPr>
      <w:rFonts w:asciiTheme="minorHAnsi" w:hAnsiTheme="minorHAnsi" w:eastAsiaTheme="minorEastAsia" w:cstheme="minorBidi"/>
      <w:kern w:val="2"/>
      <w:sz w:val="21"/>
      <w:szCs w:val="22"/>
    </w:rPr>
  </w:style>
  <w:style w:type="paragraph" w:styleId="34">
    <w:name w:val="Normal (Web)"/>
    <w:basedOn w:val="1"/>
    <w:link w:val="98"/>
    <w:qFormat/>
    <w:uiPriority w:val="0"/>
    <w:pPr>
      <w:widowControl/>
      <w:adjustRightInd/>
      <w:snapToGrid/>
      <w:spacing w:before="100" w:beforeAutospacing="1" w:after="100" w:afterAutospacing="1" w:line="240" w:lineRule="auto"/>
      <w:ind w:firstLine="0" w:firstLineChars="0"/>
      <w:jc w:val="left"/>
      <w:textAlignment w:val="auto"/>
    </w:pPr>
    <w:rPr>
      <w:rFonts w:ascii="宋体" w:hAnsi="宋体"/>
    </w:rPr>
  </w:style>
  <w:style w:type="paragraph" w:styleId="35">
    <w:name w:val="Title"/>
    <w:basedOn w:val="1"/>
    <w:link w:val="71"/>
    <w:qFormat/>
    <w:uiPriority w:val="0"/>
    <w:pPr>
      <w:spacing w:before="240" w:after="60"/>
      <w:jc w:val="center"/>
      <w:outlineLvl w:val="0"/>
    </w:pPr>
    <w:rPr>
      <w:rFonts w:asciiTheme="majorHAnsi" w:hAnsiTheme="majorHAnsi" w:cstheme="majorBidi"/>
      <w:b/>
      <w:bCs/>
      <w:sz w:val="32"/>
      <w:szCs w:val="32"/>
    </w:rPr>
  </w:style>
  <w:style w:type="paragraph" w:styleId="36">
    <w:name w:val="annotation subject"/>
    <w:basedOn w:val="15"/>
    <w:next w:val="15"/>
    <w:link w:val="92"/>
    <w:qFormat/>
    <w:uiPriority w:val="99"/>
    <w:pPr>
      <w:widowControl w:val="0"/>
      <w:textAlignment w:val="baseline"/>
    </w:pPr>
    <w:rPr>
      <w:rFonts w:cs="Times New Roman"/>
      <w:b/>
      <w:bCs/>
      <w:szCs w:val="20"/>
    </w:rPr>
  </w:style>
  <w:style w:type="paragraph" w:styleId="37">
    <w:name w:val="Body Text First Indent"/>
    <w:basedOn w:val="16"/>
    <w:link w:val="109"/>
    <w:unhideWhenUsed/>
    <w:qFormat/>
    <w:uiPriority w:val="0"/>
    <w:pPr>
      <w:ind w:firstLine="420" w:firstLineChars="100"/>
    </w:pPr>
  </w:style>
  <w:style w:type="paragraph" w:styleId="38">
    <w:name w:val="Body Text First Indent 2"/>
    <w:basedOn w:val="1"/>
    <w:next w:val="1"/>
    <w:link w:val="110"/>
    <w:unhideWhenUsed/>
    <w:qFormat/>
    <w:uiPriority w:val="0"/>
    <w:pPr>
      <w:spacing w:before="100" w:beforeLines="100" w:after="50" w:afterLines="50" w:line="240" w:lineRule="auto"/>
    </w:pPr>
    <w:rPr>
      <w:rFonts w:ascii="Times New Roman" w:hAnsi="Times New Roman" w:eastAsia="宋体"/>
      <w:b/>
    </w:rPr>
  </w:style>
  <w:style w:type="table" w:styleId="40">
    <w:name w:val="Table Grid"/>
    <w:basedOn w:val="3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qFormat/>
    <w:uiPriority w:val="22"/>
    <w:rPr>
      <w:b/>
      <w:bCs/>
    </w:rPr>
  </w:style>
  <w:style w:type="character" w:styleId="43">
    <w:name w:val="page number"/>
    <w:qFormat/>
    <w:uiPriority w:val="0"/>
  </w:style>
  <w:style w:type="character" w:styleId="44">
    <w:name w:val="FollowedHyperlink"/>
    <w:basedOn w:val="41"/>
    <w:semiHidden/>
    <w:unhideWhenUsed/>
    <w:qFormat/>
    <w:uiPriority w:val="0"/>
    <w:rPr>
      <w:color w:val="DD4814"/>
      <w:u w:val="none"/>
    </w:rPr>
  </w:style>
  <w:style w:type="character" w:styleId="45">
    <w:name w:val="Emphasis"/>
    <w:qFormat/>
    <w:uiPriority w:val="0"/>
    <w:rPr>
      <w:color w:val="CC0000"/>
      <w:sz w:val="24"/>
      <w:szCs w:val="24"/>
    </w:rPr>
  </w:style>
  <w:style w:type="character" w:styleId="46">
    <w:name w:val="HTML Definition"/>
    <w:basedOn w:val="41"/>
    <w:semiHidden/>
    <w:unhideWhenUsed/>
    <w:qFormat/>
    <w:uiPriority w:val="99"/>
    <w:rPr>
      <w:i/>
      <w:iCs/>
    </w:rPr>
  </w:style>
  <w:style w:type="character" w:styleId="47">
    <w:name w:val="Hyperlink"/>
    <w:basedOn w:val="41"/>
    <w:unhideWhenUsed/>
    <w:qFormat/>
    <w:uiPriority w:val="99"/>
    <w:rPr>
      <w:color w:val="DD4814"/>
      <w:u w:val="none"/>
    </w:rPr>
  </w:style>
  <w:style w:type="character" w:styleId="48">
    <w:name w:val="HTML Code"/>
    <w:basedOn w:val="41"/>
    <w:semiHidden/>
    <w:unhideWhenUsed/>
    <w:qFormat/>
    <w:uiPriority w:val="99"/>
    <w:rPr>
      <w:rFonts w:hint="default" w:ascii="Consolas" w:hAnsi="Consolas" w:eastAsia="Consolas" w:cs="Consolas"/>
      <w:color w:val="C7254E"/>
      <w:sz w:val="21"/>
      <w:szCs w:val="21"/>
      <w:shd w:val="clear" w:color="auto" w:fill="F9F2F4"/>
    </w:rPr>
  </w:style>
  <w:style w:type="character" w:styleId="49">
    <w:name w:val="annotation reference"/>
    <w:basedOn w:val="41"/>
    <w:unhideWhenUsed/>
    <w:qFormat/>
    <w:uiPriority w:val="0"/>
    <w:rPr>
      <w:sz w:val="21"/>
      <w:szCs w:val="21"/>
    </w:rPr>
  </w:style>
  <w:style w:type="character" w:styleId="50">
    <w:name w:val="HTML Cite"/>
    <w:unhideWhenUsed/>
    <w:qFormat/>
    <w:uiPriority w:val="99"/>
    <w:rPr>
      <w:sz w:val="24"/>
      <w:szCs w:val="24"/>
    </w:rPr>
  </w:style>
  <w:style w:type="character" w:styleId="51">
    <w:name w:val="HTML Keyboard"/>
    <w:basedOn w:val="41"/>
    <w:semiHidden/>
    <w:unhideWhenUsed/>
    <w:qFormat/>
    <w:uiPriority w:val="99"/>
    <w:rPr>
      <w:rFonts w:ascii="Consolas" w:hAnsi="Consolas" w:eastAsia="Consolas" w:cs="Consolas"/>
      <w:color w:val="FFFFFF"/>
      <w:sz w:val="21"/>
      <w:szCs w:val="21"/>
      <w:shd w:val="clear" w:color="auto" w:fill="333333"/>
    </w:rPr>
  </w:style>
  <w:style w:type="character" w:styleId="52">
    <w:name w:val="HTML Sample"/>
    <w:basedOn w:val="41"/>
    <w:qFormat/>
    <w:uiPriority w:val="0"/>
    <w:rPr>
      <w:rFonts w:hint="default" w:ascii="Consolas" w:hAnsi="Consolas" w:eastAsia="Consolas" w:cs="Consolas"/>
      <w:sz w:val="21"/>
      <w:szCs w:val="21"/>
    </w:rPr>
  </w:style>
  <w:style w:type="character" w:customStyle="1" w:styleId="53">
    <w:name w:val="标题 3 字符"/>
    <w:link w:val="4"/>
    <w:qFormat/>
    <w:uiPriority w:val="0"/>
    <w:rPr>
      <w:rFonts w:ascii="Times New Roman" w:hAnsi="Times New Roman" w:eastAsia="楷体"/>
      <w:b/>
      <w:sz w:val="28"/>
    </w:rPr>
  </w:style>
  <w:style w:type="paragraph" w:customStyle="1" w:styleId="54">
    <w:name w:val="1.表头"/>
    <w:basedOn w:val="1"/>
    <w:qFormat/>
    <w:uiPriority w:val="0"/>
    <w:pPr>
      <w:adjustRightInd/>
      <w:snapToGrid/>
      <w:textAlignment w:val="auto"/>
    </w:pPr>
    <w:rPr>
      <w:rFonts w:cs="宋体" w:eastAsiaTheme="minorEastAsia"/>
      <w:b/>
      <w:kern w:val="2"/>
      <w:szCs w:val="24"/>
    </w:rPr>
  </w:style>
  <w:style w:type="paragraph" w:customStyle="1" w:styleId="55">
    <w:name w:val="Default"/>
    <w:next w:val="56"/>
    <w:unhideWhenUsed/>
    <w:qFormat/>
    <w:uiPriority w:val="99"/>
    <w:pPr>
      <w:widowControl w:val="0"/>
      <w:autoSpaceDE w:val="0"/>
      <w:autoSpaceDN w:val="0"/>
      <w:adjustRightInd w:val="0"/>
    </w:pPr>
    <w:rPr>
      <w:rFonts w:ascii="宋体" w:hAnsi="宋体" w:eastAsia="宋体" w:cs="Times New Roman"/>
      <w:color w:val="000000"/>
      <w:sz w:val="24"/>
      <w:szCs w:val="22"/>
      <w:lang w:val="en-US" w:eastAsia="zh-CN" w:bidi="ar-SA"/>
    </w:rPr>
  </w:style>
  <w:style w:type="paragraph" w:customStyle="1" w:styleId="56">
    <w:name w:val="样式35"/>
    <w:basedOn w:val="1"/>
    <w:next w:val="1"/>
    <w:qFormat/>
    <w:uiPriority w:val="0"/>
    <w:pPr>
      <w:spacing w:line="312" w:lineRule="auto"/>
      <w:ind w:firstLine="567"/>
    </w:pPr>
    <w:rPr>
      <w:rFonts w:ascii="宋体"/>
      <w:sz w:val="28"/>
    </w:rPr>
  </w:style>
  <w:style w:type="character" w:customStyle="1" w:styleId="57">
    <w:name w:val="标题 1 字符"/>
    <w:link w:val="2"/>
    <w:qFormat/>
    <w:uiPriority w:val="0"/>
    <w:rPr>
      <w:rFonts w:eastAsia="黑体"/>
      <w:kern w:val="44"/>
      <w:sz w:val="36"/>
    </w:rPr>
  </w:style>
  <w:style w:type="character" w:customStyle="1" w:styleId="58">
    <w:name w:val="标题 2 字符"/>
    <w:link w:val="3"/>
    <w:qFormat/>
    <w:uiPriority w:val="0"/>
    <w:rPr>
      <w:b/>
      <w:sz w:val="30"/>
    </w:rPr>
  </w:style>
  <w:style w:type="character" w:customStyle="1" w:styleId="59">
    <w:name w:val="标题 4 字符"/>
    <w:link w:val="5"/>
    <w:qFormat/>
    <w:uiPriority w:val="0"/>
    <w:rPr>
      <w:rFonts w:eastAsia="楷体"/>
      <w:b/>
      <w:sz w:val="24"/>
    </w:rPr>
  </w:style>
  <w:style w:type="character" w:customStyle="1" w:styleId="60">
    <w:name w:val="标题 5 字符"/>
    <w:link w:val="6"/>
    <w:qFormat/>
    <w:uiPriority w:val="0"/>
    <w:rPr>
      <w:rFonts w:eastAsiaTheme="majorEastAsia"/>
      <w:b/>
      <w:sz w:val="24"/>
    </w:rPr>
  </w:style>
  <w:style w:type="character" w:customStyle="1" w:styleId="61">
    <w:name w:val="标题 6 字符"/>
    <w:link w:val="7"/>
    <w:qFormat/>
    <w:uiPriority w:val="0"/>
    <w:rPr>
      <w:rFonts w:ascii="Times New Roman" w:hAnsi="Times New Roman" w:eastAsia="黑体" w:cs="Times New Roman"/>
      <w:b/>
      <w:kern w:val="0"/>
      <w:sz w:val="24"/>
      <w:szCs w:val="20"/>
    </w:rPr>
  </w:style>
  <w:style w:type="character" w:customStyle="1" w:styleId="62">
    <w:name w:val="标题 7 字符"/>
    <w:link w:val="8"/>
    <w:qFormat/>
    <w:uiPriority w:val="0"/>
    <w:rPr>
      <w:rFonts w:ascii="Times New Roman" w:hAnsi="Times New Roman" w:eastAsia="宋体" w:cs="Times New Roman"/>
      <w:b/>
      <w:kern w:val="0"/>
      <w:sz w:val="24"/>
      <w:szCs w:val="20"/>
    </w:rPr>
  </w:style>
  <w:style w:type="character" w:customStyle="1" w:styleId="63">
    <w:name w:val="标题 8 字符"/>
    <w:link w:val="9"/>
    <w:qFormat/>
    <w:uiPriority w:val="0"/>
    <w:rPr>
      <w:rFonts w:ascii="Arial" w:hAnsi="Arial" w:eastAsia="黑体" w:cs="Times New Roman"/>
      <w:kern w:val="0"/>
      <w:sz w:val="24"/>
      <w:szCs w:val="20"/>
    </w:rPr>
  </w:style>
  <w:style w:type="character" w:customStyle="1" w:styleId="64">
    <w:name w:val="标题 9 字符"/>
    <w:link w:val="10"/>
    <w:qFormat/>
    <w:uiPriority w:val="0"/>
    <w:rPr>
      <w:rFonts w:ascii="Arial" w:hAnsi="Arial" w:eastAsia="黑体" w:cs="Times New Roman"/>
      <w:kern w:val="0"/>
      <w:szCs w:val="20"/>
    </w:rPr>
  </w:style>
  <w:style w:type="character" w:customStyle="1" w:styleId="65">
    <w:name w:val="文档结构图 字符"/>
    <w:link w:val="14"/>
    <w:semiHidden/>
    <w:qFormat/>
    <w:uiPriority w:val="99"/>
    <w:rPr>
      <w:rFonts w:ascii="宋体" w:hAnsi="Times New Roman"/>
      <w:sz w:val="18"/>
      <w:szCs w:val="18"/>
    </w:rPr>
  </w:style>
  <w:style w:type="character" w:customStyle="1" w:styleId="66">
    <w:name w:val="批注文字 字符"/>
    <w:basedOn w:val="41"/>
    <w:link w:val="15"/>
    <w:qFormat/>
    <w:uiPriority w:val="99"/>
    <w:rPr>
      <w:rFonts w:cstheme="minorBidi"/>
      <w:sz w:val="24"/>
      <w:szCs w:val="22"/>
    </w:rPr>
  </w:style>
  <w:style w:type="character" w:customStyle="1" w:styleId="67">
    <w:name w:val="批注框文本 字符"/>
    <w:basedOn w:val="41"/>
    <w:link w:val="26"/>
    <w:qFormat/>
    <w:uiPriority w:val="99"/>
    <w:rPr>
      <w:sz w:val="18"/>
      <w:szCs w:val="18"/>
    </w:rPr>
  </w:style>
  <w:style w:type="character" w:customStyle="1" w:styleId="68">
    <w:name w:val="页脚 字符"/>
    <w:link w:val="18"/>
    <w:qFormat/>
    <w:uiPriority w:val="99"/>
    <w:rPr>
      <w:rFonts w:ascii="Times New Roman" w:hAnsi="Times New Roman"/>
      <w:sz w:val="18"/>
      <w:szCs w:val="18"/>
    </w:rPr>
  </w:style>
  <w:style w:type="character" w:customStyle="1" w:styleId="69">
    <w:name w:val="页眉 字符"/>
    <w:link w:val="27"/>
    <w:qFormat/>
    <w:uiPriority w:val="0"/>
    <w:rPr>
      <w:rFonts w:ascii="Times New Roman" w:hAnsi="Times New Roman"/>
      <w:kern w:val="2"/>
      <w:sz w:val="18"/>
      <w:szCs w:val="18"/>
    </w:rPr>
  </w:style>
  <w:style w:type="character" w:customStyle="1" w:styleId="70">
    <w:name w:val="副标题 字符"/>
    <w:link w:val="30"/>
    <w:qFormat/>
    <w:uiPriority w:val="0"/>
    <w:rPr>
      <w:rFonts w:ascii="Cambria" w:hAnsi="Cambria" w:cs="Times New Roman"/>
      <w:b/>
      <w:bCs/>
      <w:kern w:val="28"/>
      <w:sz w:val="48"/>
      <w:szCs w:val="32"/>
    </w:rPr>
  </w:style>
  <w:style w:type="character" w:customStyle="1" w:styleId="71">
    <w:name w:val="标题 字符"/>
    <w:basedOn w:val="41"/>
    <w:link w:val="35"/>
    <w:qFormat/>
    <w:uiPriority w:val="0"/>
    <w:rPr>
      <w:rFonts w:asciiTheme="majorHAnsi" w:hAnsiTheme="majorHAnsi" w:cstheme="majorBidi"/>
      <w:b/>
      <w:bCs/>
      <w:sz w:val="32"/>
      <w:szCs w:val="32"/>
    </w:rPr>
  </w:style>
  <w:style w:type="paragraph" w:customStyle="1" w:styleId="72">
    <w:name w:val="鸿达正文"/>
    <w:basedOn w:val="1"/>
    <w:link w:val="73"/>
    <w:qFormat/>
    <w:uiPriority w:val="0"/>
    <w:pPr>
      <w:ind w:firstLine="480"/>
    </w:pPr>
    <w:rPr>
      <w:rFonts w:cs="宋体"/>
    </w:rPr>
  </w:style>
  <w:style w:type="character" w:customStyle="1" w:styleId="73">
    <w:name w:val="鸿达正文 Char"/>
    <w:link w:val="72"/>
    <w:qFormat/>
    <w:uiPriority w:val="0"/>
    <w:rPr>
      <w:rFonts w:cs="宋体"/>
      <w:sz w:val="24"/>
    </w:rPr>
  </w:style>
  <w:style w:type="paragraph" w:customStyle="1" w:styleId="74">
    <w:name w:val="奇数页页眉"/>
    <w:basedOn w:val="1"/>
    <w:qFormat/>
    <w:uiPriority w:val="0"/>
    <w:pPr>
      <w:pBdr>
        <w:bottom w:val="single" w:color="auto" w:sz="6" w:space="1"/>
      </w:pBdr>
      <w:tabs>
        <w:tab w:val="center" w:pos="4153"/>
        <w:tab w:val="right" w:pos="8306"/>
      </w:tabs>
      <w:adjustRightInd/>
      <w:spacing w:line="240" w:lineRule="atLeast"/>
      <w:ind w:firstLine="0" w:firstLineChars="0"/>
      <w:jc w:val="right"/>
      <w:textAlignment w:val="auto"/>
    </w:pPr>
    <w:rPr>
      <w:rFonts w:eastAsia="华文行楷"/>
      <w:kern w:val="2"/>
      <w:sz w:val="18"/>
      <w:szCs w:val="18"/>
    </w:rPr>
  </w:style>
  <w:style w:type="paragraph" w:customStyle="1" w:styleId="75">
    <w:name w:val="鸿达表格文字"/>
    <w:basedOn w:val="1"/>
    <w:link w:val="76"/>
    <w:qFormat/>
    <w:uiPriority w:val="0"/>
    <w:pPr>
      <w:adjustRightInd/>
      <w:snapToGrid/>
      <w:spacing w:line="240" w:lineRule="auto"/>
      <w:ind w:firstLine="0" w:firstLineChars="0"/>
      <w:contextualSpacing/>
      <w:jc w:val="center"/>
    </w:pPr>
    <w:rPr>
      <w:sz w:val="21"/>
      <w:szCs w:val="21"/>
    </w:rPr>
  </w:style>
  <w:style w:type="character" w:customStyle="1" w:styleId="76">
    <w:name w:val="鸿达表格文字 Char"/>
    <w:link w:val="75"/>
    <w:qFormat/>
    <w:uiPriority w:val="0"/>
    <w:rPr>
      <w:sz w:val="21"/>
      <w:szCs w:val="21"/>
    </w:rPr>
  </w:style>
  <w:style w:type="paragraph" w:customStyle="1" w:styleId="77">
    <w:name w:val="鸿达表格段落"/>
    <w:basedOn w:val="1"/>
    <w:qFormat/>
    <w:uiPriority w:val="0"/>
    <w:pPr>
      <w:spacing w:line="240" w:lineRule="auto"/>
      <w:jc w:val="left"/>
      <w:textAlignment w:val="auto"/>
    </w:pPr>
    <w:rPr>
      <w:snapToGrid w:val="0"/>
      <w:sz w:val="21"/>
      <w:szCs w:val="24"/>
    </w:rPr>
  </w:style>
  <w:style w:type="paragraph" w:customStyle="1" w:styleId="78">
    <w:name w:val="栋图"/>
    <w:basedOn w:val="1"/>
    <w:qFormat/>
    <w:uiPriority w:val="0"/>
    <w:pPr>
      <w:adjustRightInd/>
      <w:snapToGrid/>
      <w:spacing w:line="240" w:lineRule="auto"/>
      <w:ind w:firstLine="0" w:firstLineChars="0"/>
      <w:jc w:val="center"/>
      <w:textAlignment w:val="auto"/>
    </w:pPr>
    <w:rPr>
      <w:b/>
      <w:kern w:val="2"/>
    </w:rPr>
  </w:style>
  <w:style w:type="paragraph" w:customStyle="1" w:styleId="79">
    <w:name w:val="鸿达表头"/>
    <w:basedOn w:val="1"/>
    <w:link w:val="80"/>
    <w:qFormat/>
    <w:uiPriority w:val="0"/>
    <w:pPr>
      <w:adjustRightInd/>
      <w:snapToGrid/>
      <w:spacing w:beforeLines="100" w:afterLines="50" w:line="240" w:lineRule="auto"/>
      <w:ind w:firstLine="100" w:firstLineChars="100"/>
      <w:textAlignment w:val="auto"/>
    </w:pPr>
    <w:rPr>
      <w:b/>
      <w:kern w:val="2"/>
      <w:szCs w:val="24"/>
    </w:rPr>
  </w:style>
  <w:style w:type="character" w:customStyle="1" w:styleId="80">
    <w:name w:val="鸿达表头 Char"/>
    <w:link w:val="79"/>
    <w:qFormat/>
    <w:uiPriority w:val="0"/>
    <w:rPr>
      <w:rFonts w:ascii="Times New Roman" w:hAnsi="Times New Roman"/>
      <w:b/>
      <w:kern w:val="2"/>
      <w:sz w:val="24"/>
      <w:szCs w:val="24"/>
    </w:rPr>
  </w:style>
  <w:style w:type="paragraph" w:customStyle="1" w:styleId="81">
    <w:name w:val="鸿达表加粗"/>
    <w:basedOn w:val="1"/>
    <w:link w:val="123"/>
    <w:qFormat/>
    <w:uiPriority w:val="0"/>
    <w:pPr>
      <w:adjustRightInd/>
      <w:snapToGrid/>
      <w:spacing w:line="240" w:lineRule="auto"/>
      <w:ind w:firstLine="0" w:firstLineChars="0"/>
      <w:jc w:val="center"/>
      <w:textAlignment w:val="auto"/>
    </w:pPr>
    <w:rPr>
      <w:rFonts w:cs="宋体"/>
      <w:b/>
      <w:color w:val="000000"/>
      <w:kern w:val="2"/>
      <w:sz w:val="21"/>
    </w:rPr>
  </w:style>
  <w:style w:type="paragraph" w:customStyle="1" w:styleId="82">
    <w:name w:val="1.1章节后"/>
    <w:basedOn w:val="3"/>
    <w:qFormat/>
    <w:uiPriority w:val="0"/>
    <w:pPr>
      <w:keepNext w:val="0"/>
      <w:keepLines w:val="0"/>
      <w:tabs>
        <w:tab w:val="left" w:pos="-340"/>
      </w:tabs>
      <w:spacing w:beforeLines="50" w:afterLines="50" w:line="500" w:lineRule="exact"/>
      <w:ind w:left="360" w:leftChars="150"/>
    </w:pPr>
    <w:rPr>
      <w:rFonts w:ascii="Arial" w:hAnsi="Arial" w:cs="宋体"/>
      <w:bCs/>
      <w:kern w:val="2"/>
    </w:rPr>
  </w:style>
  <w:style w:type="paragraph" w:customStyle="1" w:styleId="83">
    <w:name w:val="鸿达公式"/>
    <w:basedOn w:val="1"/>
    <w:qFormat/>
    <w:uiPriority w:val="0"/>
    <w:pPr>
      <w:adjustRightInd/>
      <w:snapToGrid/>
      <w:spacing w:beforeLines="50" w:afterLines="50" w:line="240" w:lineRule="auto"/>
      <w:ind w:firstLine="0" w:firstLineChars="0"/>
      <w:jc w:val="center"/>
      <w:textAlignment w:val="auto"/>
    </w:pPr>
    <w:rPr>
      <w:kern w:val="2"/>
      <w:szCs w:val="28"/>
    </w:rPr>
  </w:style>
  <w:style w:type="paragraph" w:customStyle="1" w:styleId="84">
    <w:name w:val="偶数页页眉"/>
    <w:basedOn w:val="74"/>
    <w:qFormat/>
    <w:uiPriority w:val="0"/>
    <w:pPr>
      <w:jc w:val="left"/>
    </w:pPr>
  </w:style>
  <w:style w:type="character" w:customStyle="1" w:styleId="85">
    <w:name w:val="日期 Char1"/>
    <w:semiHidden/>
    <w:qFormat/>
    <w:uiPriority w:val="99"/>
    <w:rPr>
      <w:rFonts w:ascii="Times New Roman" w:hAnsi="Times New Roman"/>
      <w:sz w:val="24"/>
    </w:rPr>
  </w:style>
  <w:style w:type="paragraph" w:customStyle="1" w:styleId="86">
    <w:name w:val="鸿达平衡小字"/>
    <w:basedOn w:val="75"/>
    <w:qFormat/>
    <w:uiPriority w:val="0"/>
    <w:rPr>
      <w:sz w:val="15"/>
    </w:rPr>
  </w:style>
  <w:style w:type="character" w:customStyle="1" w:styleId="87">
    <w:name w:val="页脚 Char1"/>
    <w:semiHidden/>
    <w:qFormat/>
    <w:uiPriority w:val="99"/>
    <w:rPr>
      <w:rFonts w:ascii="Times New Roman" w:hAnsi="Times New Roman"/>
      <w:sz w:val="18"/>
      <w:szCs w:val="18"/>
    </w:rPr>
  </w:style>
  <w:style w:type="paragraph" w:customStyle="1" w:styleId="88">
    <w:name w:val="修订1"/>
    <w:semiHidden/>
    <w:qFormat/>
    <w:uiPriority w:val="0"/>
    <w:rPr>
      <w:rFonts w:ascii="Times New Roman" w:hAnsi="Times New Roman" w:eastAsia="宋体" w:cs="Times New Roman"/>
      <w:kern w:val="2"/>
      <w:sz w:val="21"/>
      <w:lang w:val="en-US" w:eastAsia="zh-CN" w:bidi="ar-SA"/>
    </w:rPr>
  </w:style>
  <w:style w:type="character" w:customStyle="1" w:styleId="89">
    <w:name w:val="纯文本 Char1"/>
    <w:semiHidden/>
    <w:qFormat/>
    <w:uiPriority w:val="0"/>
    <w:rPr>
      <w:rFonts w:ascii="宋体" w:hAnsi="Courier New" w:cs="Courier New"/>
      <w:sz w:val="21"/>
      <w:szCs w:val="21"/>
    </w:rPr>
  </w:style>
  <w:style w:type="character" w:customStyle="1" w:styleId="90">
    <w:name w:val="纯文本 字符"/>
    <w:link w:val="24"/>
    <w:qFormat/>
    <w:uiPriority w:val="0"/>
    <w:rPr>
      <w:rFonts w:ascii="宋体" w:hAnsi="Courier New" w:cs="Courier New"/>
      <w:sz w:val="21"/>
      <w:szCs w:val="21"/>
    </w:rPr>
  </w:style>
  <w:style w:type="character" w:customStyle="1" w:styleId="91">
    <w:name w:val="页脚 字符1"/>
    <w:semiHidden/>
    <w:qFormat/>
    <w:locked/>
    <w:uiPriority w:val="99"/>
    <w:rPr>
      <w:kern w:val="2"/>
      <w:sz w:val="18"/>
    </w:rPr>
  </w:style>
  <w:style w:type="character" w:customStyle="1" w:styleId="92">
    <w:name w:val="批注主题 字符"/>
    <w:basedOn w:val="66"/>
    <w:link w:val="36"/>
    <w:qFormat/>
    <w:uiPriority w:val="99"/>
    <w:rPr>
      <w:rFonts w:cstheme="minorBidi"/>
      <w:b/>
      <w:bCs/>
      <w:sz w:val="24"/>
      <w:szCs w:val="22"/>
    </w:rPr>
  </w:style>
  <w:style w:type="character" w:customStyle="1" w:styleId="93">
    <w:name w:val="正文文本 2 字符"/>
    <w:basedOn w:val="41"/>
    <w:link w:val="17"/>
    <w:qFormat/>
    <w:uiPriority w:val="99"/>
    <w:rPr>
      <w:rFonts w:cstheme="minorBidi"/>
      <w:sz w:val="24"/>
      <w:szCs w:val="22"/>
    </w:rPr>
  </w:style>
  <w:style w:type="paragraph" w:styleId="94">
    <w:name w:val="List Paragraph"/>
    <w:basedOn w:val="1"/>
    <w:qFormat/>
    <w:uiPriority w:val="99"/>
    <w:pPr>
      <w:widowControl/>
      <w:spacing w:after="200" w:line="240" w:lineRule="auto"/>
      <w:ind w:firstLine="420"/>
      <w:jc w:val="left"/>
      <w:textAlignment w:val="auto"/>
    </w:pPr>
    <w:rPr>
      <w:rFonts w:ascii="Tahoma" w:hAnsi="Tahoma" w:eastAsia="微软雅黑" w:cstheme="minorBidi"/>
      <w:sz w:val="22"/>
      <w:szCs w:val="22"/>
    </w:rPr>
  </w:style>
  <w:style w:type="paragraph" w:styleId="95">
    <w:name w:val="Quote"/>
    <w:basedOn w:val="1"/>
    <w:next w:val="1"/>
    <w:link w:val="96"/>
    <w:qFormat/>
    <w:uiPriority w:val="0"/>
    <w:pPr>
      <w:ind w:left="100" w:leftChars="100"/>
    </w:pPr>
    <w:rPr>
      <w:i/>
      <w:iCs/>
      <w:color w:val="000000" w:themeColor="text1"/>
      <w14:textFill>
        <w14:solidFill>
          <w14:schemeClr w14:val="tx1"/>
        </w14:solidFill>
      </w14:textFill>
    </w:rPr>
  </w:style>
  <w:style w:type="character" w:customStyle="1" w:styleId="96">
    <w:name w:val="引用 字符"/>
    <w:basedOn w:val="41"/>
    <w:link w:val="95"/>
    <w:qFormat/>
    <w:uiPriority w:val="29"/>
    <w:rPr>
      <w:i/>
      <w:iCs/>
      <w:color w:val="000000" w:themeColor="text1"/>
      <w:sz w:val="24"/>
      <w14:textFill>
        <w14:solidFill>
          <w14:schemeClr w14:val="tx1"/>
        </w14:solidFill>
      </w14:textFill>
    </w:rPr>
  </w:style>
  <w:style w:type="character" w:customStyle="1" w:styleId="97">
    <w:name w:val="标题 5 Char1"/>
    <w:qFormat/>
    <w:uiPriority w:val="0"/>
    <w:rPr>
      <w:rFonts w:ascii="宋体" w:hAnsi="宋体" w:eastAsia="宋体"/>
      <w:b/>
      <w:kern w:val="2"/>
      <w:sz w:val="28"/>
      <w:szCs w:val="21"/>
      <w:lang w:val="en-US" w:eastAsia="zh-CN" w:bidi="ar-SA"/>
    </w:rPr>
  </w:style>
  <w:style w:type="character" w:customStyle="1" w:styleId="98">
    <w:name w:val="普通(网站) 字符"/>
    <w:link w:val="34"/>
    <w:qFormat/>
    <w:locked/>
    <w:uiPriority w:val="0"/>
    <w:rPr>
      <w:rFonts w:ascii="宋体" w:hAnsi="宋体"/>
      <w:sz w:val="24"/>
    </w:rPr>
  </w:style>
  <w:style w:type="character" w:customStyle="1" w:styleId="99">
    <w:name w:val="纯文本 Char2"/>
    <w:basedOn w:val="41"/>
    <w:semiHidden/>
    <w:qFormat/>
    <w:uiPriority w:val="0"/>
    <w:rPr>
      <w:rFonts w:ascii="宋体" w:hAnsi="Courier New" w:cs="Courier New"/>
      <w:sz w:val="21"/>
      <w:szCs w:val="21"/>
    </w:rPr>
  </w:style>
  <w:style w:type="character" w:customStyle="1" w:styleId="100">
    <w:name w:val="段落 Char"/>
    <w:link w:val="101"/>
    <w:qFormat/>
    <w:uiPriority w:val="99"/>
    <w:rPr>
      <w:rFonts w:ascii="宋体" w:hAnsi="宋体"/>
      <w:sz w:val="28"/>
      <w:szCs w:val="28"/>
    </w:rPr>
  </w:style>
  <w:style w:type="paragraph" w:customStyle="1" w:styleId="101">
    <w:name w:val="段落"/>
    <w:basedOn w:val="1"/>
    <w:link w:val="100"/>
    <w:qFormat/>
    <w:uiPriority w:val="99"/>
    <w:pPr>
      <w:adjustRightInd/>
      <w:snapToGrid/>
      <w:spacing w:line="500" w:lineRule="exact"/>
      <w:ind w:left="100" w:leftChars="100" w:firstLine="578" w:firstLineChars="0"/>
      <w:textAlignment w:val="auto"/>
    </w:pPr>
    <w:rPr>
      <w:rFonts w:ascii="宋体" w:hAnsi="宋体"/>
      <w:sz w:val="28"/>
      <w:szCs w:val="28"/>
    </w:rPr>
  </w:style>
  <w:style w:type="paragraph" w:customStyle="1" w:styleId="102">
    <w:name w:val="修订2"/>
    <w:hidden/>
    <w:semiHidden/>
    <w:qFormat/>
    <w:uiPriority w:val="99"/>
    <w:rPr>
      <w:rFonts w:ascii="Times New Roman" w:hAnsi="Times New Roman" w:eastAsia="宋体" w:cs="Times New Roman"/>
      <w:kern w:val="2"/>
      <w:sz w:val="21"/>
      <w:lang w:val="en-US" w:eastAsia="zh-CN" w:bidi="ar-SA"/>
    </w:rPr>
  </w:style>
  <w:style w:type="character" w:customStyle="1" w:styleId="103">
    <w:name w:val="不明显强调1"/>
    <w:basedOn w:val="41"/>
    <w:qFormat/>
    <w:uiPriority w:val="19"/>
    <w:rPr>
      <w:i/>
      <w:iCs/>
      <w:color w:val="808080" w:themeColor="text1" w:themeTint="80"/>
      <w14:textFill>
        <w14:solidFill>
          <w14:schemeClr w14:val="tx1">
            <w14:lumMod w14:val="50000"/>
            <w14:lumOff w14:val="50000"/>
          </w14:schemeClr>
        </w14:solidFill>
      </w14:textFill>
    </w:rPr>
  </w:style>
  <w:style w:type="table" w:customStyle="1" w:styleId="104">
    <w:name w:val="网格型1"/>
    <w:basedOn w:val="39"/>
    <w:qFormat/>
    <w:uiPriority w:val="0"/>
    <w:pPr>
      <w:widowControl w:val="0"/>
      <w:jc w:val="both"/>
    </w:pPr>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5">
    <w:name w:val="纯文本 Char3"/>
    <w:basedOn w:val="41"/>
    <w:semiHidden/>
    <w:qFormat/>
    <w:uiPriority w:val="0"/>
    <w:rPr>
      <w:rFonts w:ascii="宋体" w:hAnsi="Courier New" w:cs="Courier New"/>
      <w:sz w:val="21"/>
      <w:szCs w:val="21"/>
    </w:rPr>
  </w:style>
  <w:style w:type="character" w:customStyle="1" w:styleId="106">
    <w:name w:val="正文文本缩进 字符"/>
    <w:basedOn w:val="41"/>
    <w:link w:val="20"/>
    <w:qFormat/>
    <w:uiPriority w:val="99"/>
    <w:rPr>
      <w:sz w:val="24"/>
    </w:rPr>
  </w:style>
  <w:style w:type="character" w:styleId="107">
    <w:name w:val="Placeholder Text"/>
    <w:basedOn w:val="41"/>
    <w:semiHidden/>
    <w:qFormat/>
    <w:uiPriority w:val="99"/>
    <w:rPr>
      <w:color w:val="808080"/>
    </w:rPr>
  </w:style>
  <w:style w:type="character" w:customStyle="1" w:styleId="108">
    <w:name w:val="正文文本 字符"/>
    <w:basedOn w:val="41"/>
    <w:link w:val="16"/>
    <w:qFormat/>
    <w:uiPriority w:val="0"/>
    <w:rPr>
      <w:sz w:val="24"/>
    </w:rPr>
  </w:style>
  <w:style w:type="character" w:customStyle="1" w:styleId="109">
    <w:name w:val="正文文本首行缩进 字符"/>
    <w:basedOn w:val="108"/>
    <w:link w:val="37"/>
    <w:semiHidden/>
    <w:qFormat/>
    <w:uiPriority w:val="0"/>
    <w:rPr>
      <w:sz w:val="24"/>
    </w:rPr>
  </w:style>
  <w:style w:type="character" w:customStyle="1" w:styleId="110">
    <w:name w:val="正文文本首行缩进 2 字符"/>
    <w:basedOn w:val="106"/>
    <w:link w:val="38"/>
    <w:qFormat/>
    <w:uiPriority w:val="0"/>
    <w:rPr>
      <w:rFonts w:ascii="Times New Roman" w:hAnsi="Times New Roman" w:eastAsia="宋体" w:cs="宋体"/>
      <w:b/>
      <w:kern w:val="2"/>
      <w:sz w:val="24"/>
      <w:szCs w:val="24"/>
    </w:rPr>
  </w:style>
  <w:style w:type="paragraph" w:customStyle="1" w:styleId="111">
    <w:name w:val="Revision"/>
    <w:hidden/>
    <w:semiHidden/>
    <w:qFormat/>
    <w:uiPriority w:val="0"/>
    <w:rPr>
      <w:rFonts w:ascii="Times New Roman" w:hAnsi="Times New Roman" w:eastAsia="宋体" w:cs="Times New Roman"/>
      <w:kern w:val="2"/>
      <w:sz w:val="21"/>
      <w:lang w:val="en-US" w:eastAsia="zh-CN" w:bidi="ar-SA"/>
    </w:rPr>
  </w:style>
  <w:style w:type="character" w:customStyle="1" w:styleId="112">
    <w:name w:val="Subtle Emphasis"/>
    <w:basedOn w:val="41"/>
    <w:qFormat/>
    <w:uiPriority w:val="19"/>
    <w:rPr>
      <w:i/>
      <w:iCs/>
      <w:color w:val="808080" w:themeColor="text1" w:themeTint="80"/>
      <w14:textFill>
        <w14:solidFill>
          <w14:schemeClr w14:val="tx1">
            <w14:lumMod w14:val="50000"/>
            <w14:lumOff w14:val="50000"/>
          </w14:schemeClr>
        </w14:solidFill>
      </w14:textFill>
    </w:rPr>
  </w:style>
  <w:style w:type="paragraph" w:customStyle="1" w:styleId="113">
    <w:name w:val="Other|1"/>
    <w:basedOn w:val="1"/>
    <w:qFormat/>
    <w:uiPriority w:val="0"/>
    <w:pPr>
      <w:shd w:val="clear" w:color="auto" w:fill="FFFFFF"/>
      <w:adjustRightInd/>
      <w:snapToGrid/>
      <w:spacing w:line="473" w:lineRule="auto"/>
      <w:ind w:firstLine="400" w:firstLineChars="0"/>
      <w:textAlignment w:val="auto"/>
    </w:pPr>
    <w:rPr>
      <w:rFonts w:ascii="MingLiU" w:hAnsi="MingLiU" w:eastAsia="MingLiU" w:cs="MingLiU"/>
      <w:kern w:val="2"/>
      <w:sz w:val="22"/>
      <w:szCs w:val="22"/>
      <w:lang w:val="zh-CN" w:bidi="zh-CN"/>
    </w:rPr>
  </w:style>
  <w:style w:type="paragraph" w:customStyle="1" w:styleId="114">
    <w:name w:val="鸿达图标"/>
    <w:basedOn w:val="1"/>
    <w:qFormat/>
    <w:uiPriority w:val="0"/>
    <w:pPr>
      <w:adjustRightInd/>
      <w:snapToGrid/>
      <w:spacing w:line="240" w:lineRule="auto"/>
      <w:ind w:firstLine="0" w:firstLineChars="0"/>
      <w:jc w:val="center"/>
      <w:textAlignment w:val="auto"/>
    </w:pPr>
    <w:rPr>
      <w:b/>
      <w:kern w:val="2"/>
    </w:rPr>
  </w:style>
  <w:style w:type="paragraph" w:customStyle="1" w:styleId="115">
    <w:name w:val="表"/>
    <w:basedOn w:val="54"/>
    <w:next w:val="1"/>
    <w:link w:val="116"/>
    <w:qFormat/>
    <w:uiPriority w:val="0"/>
    <w:pPr>
      <w:ind w:firstLine="562"/>
      <w:jc w:val="left"/>
    </w:pPr>
    <w:rPr>
      <w:rFonts w:eastAsia="Times New Roman"/>
    </w:rPr>
  </w:style>
  <w:style w:type="character" w:customStyle="1" w:styleId="116">
    <w:name w:val="表 Char"/>
    <w:basedOn w:val="41"/>
    <w:link w:val="115"/>
    <w:qFormat/>
    <w:uiPriority w:val="0"/>
    <w:rPr>
      <w:rFonts w:eastAsia="Times New Roman" w:cs="宋体"/>
      <w:b/>
      <w:kern w:val="2"/>
      <w:sz w:val="24"/>
      <w:szCs w:val="24"/>
    </w:rPr>
  </w:style>
  <w:style w:type="paragraph" w:customStyle="1" w:styleId="117">
    <w:name w:val="列表段落1"/>
    <w:basedOn w:val="1"/>
    <w:qFormat/>
    <w:uiPriority w:val="0"/>
    <w:pPr>
      <w:adjustRightInd/>
      <w:snapToGrid/>
      <w:spacing w:line="240" w:lineRule="auto"/>
      <w:ind w:firstLine="420"/>
      <w:textAlignment w:val="auto"/>
    </w:pPr>
    <w:rPr>
      <w:kern w:val="2"/>
      <w:sz w:val="21"/>
      <w:szCs w:val="24"/>
    </w:rPr>
  </w:style>
  <w:style w:type="character" w:customStyle="1" w:styleId="118">
    <w:name w:val="Body text|1_"/>
    <w:basedOn w:val="41"/>
    <w:link w:val="119"/>
    <w:qFormat/>
    <w:uiPriority w:val="0"/>
    <w:rPr>
      <w:rFonts w:ascii="宋体" w:hAnsi="宋体" w:cs="宋体"/>
      <w:sz w:val="30"/>
      <w:szCs w:val="30"/>
      <w:shd w:val="clear" w:color="auto" w:fill="FFFFFF"/>
      <w:lang w:val="zh-CN" w:bidi="zh-CN"/>
    </w:rPr>
  </w:style>
  <w:style w:type="paragraph" w:customStyle="1" w:styleId="119">
    <w:name w:val="Body text|1"/>
    <w:basedOn w:val="1"/>
    <w:link w:val="118"/>
    <w:qFormat/>
    <w:uiPriority w:val="0"/>
    <w:pPr>
      <w:shd w:val="clear" w:color="auto" w:fill="FFFFFF"/>
      <w:adjustRightInd/>
      <w:snapToGrid/>
      <w:spacing w:line="415" w:lineRule="auto"/>
      <w:ind w:firstLine="400" w:firstLineChars="0"/>
      <w:jc w:val="left"/>
      <w:textAlignment w:val="auto"/>
    </w:pPr>
    <w:rPr>
      <w:rFonts w:ascii="宋体" w:hAnsi="宋体" w:cs="宋体"/>
      <w:sz w:val="30"/>
      <w:szCs w:val="30"/>
      <w:lang w:val="zh-CN" w:bidi="zh-CN"/>
    </w:rPr>
  </w:style>
  <w:style w:type="paragraph" w:customStyle="1" w:styleId="120">
    <w:name w:val="TOC Heading"/>
    <w:basedOn w:val="2"/>
    <w:next w:val="1"/>
    <w:unhideWhenUsed/>
    <w:qFormat/>
    <w:uiPriority w:val="39"/>
    <w:pPr>
      <w:pageBreakBefore w:val="0"/>
      <w:widowControl/>
      <w:numPr>
        <w:numId w:val="0"/>
      </w:numPr>
      <w:tabs>
        <w:tab w:val="clear" w:pos="1636"/>
      </w:tabs>
      <w:spacing w:before="240" w:beforeLines="0" w:afterLines="0" w:line="259" w:lineRule="auto"/>
      <w:contextualSpacing w:val="0"/>
      <w:jc w:val="left"/>
      <w:textAlignment w:val="auto"/>
      <w:outlineLvl w:val="9"/>
    </w:pPr>
    <w:rPr>
      <w:rFonts w:asciiTheme="majorHAnsi" w:hAnsiTheme="majorHAnsi" w:eastAsiaTheme="majorEastAsia" w:cstheme="majorBidi"/>
      <w:color w:val="376092" w:themeColor="accent1" w:themeShade="BF"/>
      <w:kern w:val="0"/>
      <w:sz w:val="32"/>
      <w:szCs w:val="32"/>
    </w:rPr>
  </w:style>
  <w:style w:type="character" w:customStyle="1" w:styleId="121">
    <w:name w:val="Unresolved Mention"/>
    <w:basedOn w:val="41"/>
    <w:semiHidden/>
    <w:unhideWhenUsed/>
    <w:qFormat/>
    <w:uiPriority w:val="99"/>
    <w:rPr>
      <w:color w:val="605E5C"/>
      <w:shd w:val="clear" w:color="auto" w:fill="E1DFDD"/>
    </w:rPr>
  </w:style>
  <w:style w:type="paragraph" w:customStyle="1" w:styleId="122">
    <w:name w:val="报告表表格文字"/>
    <w:basedOn w:val="1"/>
    <w:qFormat/>
    <w:uiPriority w:val="0"/>
    <w:pPr>
      <w:autoSpaceDE w:val="0"/>
      <w:autoSpaceDN w:val="0"/>
      <w:spacing w:line="240" w:lineRule="auto"/>
      <w:ind w:firstLine="0" w:firstLineChars="0"/>
      <w:jc w:val="center"/>
      <w:textAlignment w:val="auto"/>
    </w:pPr>
    <w:rPr>
      <w:color w:val="000000"/>
      <w:sz w:val="21"/>
      <w:szCs w:val="21"/>
    </w:rPr>
  </w:style>
  <w:style w:type="character" w:customStyle="1" w:styleId="123">
    <w:name w:val="鸿达表加粗 字符"/>
    <w:basedOn w:val="41"/>
    <w:link w:val="81"/>
    <w:qFormat/>
    <w:uiPriority w:val="0"/>
    <w:rPr>
      <w:rFonts w:cs="宋体"/>
      <w:b/>
      <w:color w:val="000000"/>
      <w:kern w:val="2"/>
      <w:sz w:val="21"/>
    </w:rPr>
  </w:style>
  <w:style w:type="character" w:customStyle="1" w:styleId="124">
    <w:name w:val="题注 字符"/>
    <w:link w:val="13"/>
    <w:qFormat/>
    <w:uiPriority w:val="0"/>
    <w:rPr>
      <w:b/>
      <w:sz w:val="21"/>
    </w:rPr>
  </w:style>
  <w:style w:type="table" w:customStyle="1" w:styleId="125">
    <w:name w:val="Table Normal"/>
    <w:unhideWhenUsed/>
    <w:qFormat/>
    <w:uiPriority w:val="0"/>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26">
    <w:name w:val="Table Paragraph"/>
    <w:basedOn w:val="1"/>
    <w:qFormat/>
    <w:uiPriority w:val="1"/>
    <w:pPr>
      <w:autoSpaceDE w:val="0"/>
      <w:autoSpaceDN w:val="0"/>
      <w:adjustRightInd/>
      <w:snapToGrid/>
      <w:spacing w:line="240" w:lineRule="auto"/>
      <w:ind w:left="9" w:firstLine="0" w:firstLineChars="0"/>
      <w:jc w:val="left"/>
      <w:textAlignment w:val="auto"/>
    </w:pPr>
    <w:rPr>
      <w:rFonts w:ascii="Arial" w:hAnsi="Arial" w:eastAsia="Arial" w:cs="Arial"/>
      <w:sz w:val="22"/>
      <w:szCs w:val="22"/>
    </w:rPr>
  </w:style>
  <w:style w:type="character" w:customStyle="1" w:styleId="127">
    <w:name w:val="20"/>
    <w:qFormat/>
    <w:uiPriority w:val="0"/>
    <w:rPr>
      <w:rFonts w:hint="default" w:ascii="Times New Roman" w:hAnsi="Times New Roman" w:cs="Times New Roman"/>
      <w:color w:val="000000"/>
      <w:sz w:val="20"/>
      <w:szCs w:val="20"/>
    </w:rPr>
  </w:style>
  <w:style w:type="character" w:customStyle="1" w:styleId="128">
    <w:name w:val="21"/>
    <w:qFormat/>
    <w:uiPriority w:val="0"/>
    <w:rPr>
      <w:rFonts w:hint="default" w:ascii="Times New Roman" w:hAnsi="Times New Roman" w:cs="Times New Roman"/>
      <w:color w:val="000000"/>
      <w:sz w:val="21"/>
      <w:szCs w:val="21"/>
    </w:rPr>
  </w:style>
  <w:style w:type="character" w:customStyle="1" w:styleId="129">
    <w:name w:val="18"/>
    <w:basedOn w:val="41"/>
    <w:qFormat/>
    <w:uiPriority w:val="0"/>
    <w:rPr>
      <w:rFonts w:hint="eastAsia" w:ascii="宋体" w:hAnsi="宋体" w:eastAsia="宋体" w:cs="宋体"/>
      <w:color w:val="000000"/>
      <w:sz w:val="20"/>
      <w:szCs w:val="20"/>
    </w:rPr>
  </w:style>
  <w:style w:type="character" w:customStyle="1" w:styleId="130">
    <w:name w:val="19"/>
    <w:qFormat/>
    <w:uiPriority w:val="0"/>
    <w:rPr>
      <w:rFonts w:hint="default" w:ascii="Times New Roman" w:hAnsi="Times New Roman" w:cs="Times New Roman"/>
      <w:color w:val="000000"/>
      <w:sz w:val="20"/>
      <w:szCs w:val="20"/>
    </w:rPr>
  </w:style>
  <w:style w:type="character" w:customStyle="1" w:styleId="131">
    <w:name w:val="普通(网站) Char"/>
    <w:qFormat/>
    <w:locked/>
    <w:uiPriority w:val="0"/>
    <w:rPr>
      <w:rFonts w:ascii="宋体" w:hAnsi="宋体" w:eastAsia="宋体"/>
      <w:sz w:val="24"/>
    </w:rPr>
  </w:style>
  <w:style w:type="paragraph" w:customStyle="1" w:styleId="132">
    <w:name w:val="00"/>
    <w:basedOn w:val="1"/>
    <w:qFormat/>
    <w:uiPriority w:val="0"/>
    <w:pPr>
      <w:adjustRightInd/>
      <w:snapToGrid/>
      <w:ind w:firstLine="480" w:firstLineChars="0"/>
      <w:textAlignment w:val="auto"/>
    </w:pPr>
    <w:rPr>
      <w:rFonts w:hAnsi="宋体"/>
      <w:kern w:val="2"/>
      <w:szCs w:val="24"/>
    </w:rPr>
  </w:style>
  <w:style w:type="character" w:customStyle="1" w:styleId="133">
    <w:name w:val="正文缩进 字符"/>
    <w:link w:val="12"/>
    <w:qFormat/>
    <w:uiPriority w:val="99"/>
    <w:rPr>
      <w:szCs w:val="24"/>
    </w:rPr>
  </w:style>
  <w:style w:type="character" w:customStyle="1" w:styleId="134">
    <w:name w:val="标题 2 Char1"/>
    <w:qFormat/>
    <w:uiPriority w:val="0"/>
    <w:rPr>
      <w:rFonts w:ascii="Times New Roman" w:hAnsi="Times New Roman"/>
      <w:b/>
      <w:sz w:val="30"/>
    </w:rPr>
  </w:style>
  <w:style w:type="character" w:customStyle="1" w:styleId="135">
    <w:name w:val="标题 3 Char1"/>
    <w:qFormat/>
    <w:uiPriority w:val="0"/>
    <w:rPr>
      <w:rFonts w:ascii="Times New Roman" w:hAnsi="Times New Roman" w:eastAsia="楷体"/>
      <w:b/>
      <w:sz w:val="28"/>
    </w:rPr>
  </w:style>
  <w:style w:type="character" w:customStyle="1" w:styleId="136">
    <w:name w:val="标题 4 Char1"/>
    <w:qFormat/>
    <w:uiPriority w:val="0"/>
    <w:rPr>
      <w:rFonts w:ascii="Times New Roman" w:hAnsi="Times New Roman"/>
      <w:b/>
      <w:snapToGrid w:val="0"/>
      <w:sz w:val="24"/>
    </w:rPr>
  </w:style>
  <w:style w:type="paragraph" w:customStyle="1" w:styleId="137">
    <w:name w:val="Char"/>
    <w:basedOn w:val="1"/>
    <w:semiHidden/>
    <w:qFormat/>
    <w:uiPriority w:val="0"/>
    <w:pPr>
      <w:widowControl/>
      <w:adjustRightInd/>
      <w:snapToGrid/>
      <w:spacing w:after="160" w:line="240" w:lineRule="exact"/>
      <w:ind w:firstLine="0" w:firstLineChars="0"/>
      <w:jc w:val="left"/>
      <w:textAlignment w:val="auto"/>
    </w:pPr>
    <w:rPr>
      <w:rFonts w:ascii="Verdana" w:hAnsi="Verdana"/>
      <w:sz w:val="20"/>
      <w:lang w:eastAsia="en-US"/>
    </w:rPr>
  </w:style>
  <w:style w:type="character" w:customStyle="1" w:styleId="138">
    <w:name w:val="日期 Char2"/>
    <w:semiHidden/>
    <w:qFormat/>
    <w:uiPriority w:val="0"/>
    <w:rPr>
      <w:rFonts w:ascii="Times New Roman" w:hAnsi="Times New Roman"/>
      <w:sz w:val="24"/>
    </w:rPr>
  </w:style>
  <w:style w:type="paragraph" w:customStyle="1" w:styleId="139">
    <w:name w:val="简单回函地址"/>
    <w:basedOn w:val="1"/>
    <w:qFormat/>
    <w:uiPriority w:val="0"/>
    <w:pPr>
      <w:adjustRightInd/>
      <w:snapToGrid/>
      <w:ind w:firstLine="0" w:firstLineChars="0"/>
      <w:textAlignment w:val="auto"/>
    </w:pPr>
    <w:rPr>
      <w:rFonts w:ascii="宋体"/>
      <w:kern w:val="2"/>
      <w:sz w:val="21"/>
      <w:szCs w:val="24"/>
    </w:rPr>
  </w:style>
  <w:style w:type="paragraph" w:styleId="140">
    <w:name w:val="No Spacing"/>
    <w:qFormat/>
    <w:uiPriority w:val="0"/>
    <w:pPr>
      <w:widowControl w:val="0"/>
      <w:adjustRightInd w:val="0"/>
      <w:snapToGrid w:val="0"/>
      <w:ind w:firstLine="200" w:firstLineChars="200"/>
      <w:jc w:val="both"/>
      <w:textAlignment w:val="baseline"/>
    </w:pPr>
    <w:rPr>
      <w:rFonts w:ascii="Times New Roman" w:hAnsi="Times New Roman" w:eastAsia="宋体" w:cs="Times New Roman"/>
      <w:sz w:val="24"/>
      <w:lang w:val="en-US" w:eastAsia="zh-CN" w:bidi="ar-SA"/>
    </w:rPr>
  </w:style>
  <w:style w:type="paragraph" w:customStyle="1" w:styleId="141">
    <w:name w:val="表头"/>
    <w:basedOn w:val="1"/>
    <w:next w:val="1"/>
    <w:qFormat/>
    <w:uiPriority w:val="0"/>
    <w:pPr>
      <w:numPr>
        <w:ilvl w:val="4"/>
        <w:numId w:val="3"/>
      </w:numPr>
      <w:tabs>
        <w:tab w:val="left" w:pos="0"/>
        <w:tab w:val="left" w:pos="2410"/>
      </w:tabs>
      <w:ind w:firstLine="0" w:firstLineChars="0"/>
      <w:jc w:val="center"/>
    </w:pPr>
    <w:rPr>
      <w:b/>
      <w:szCs w:val="24"/>
    </w:rPr>
  </w:style>
  <w:style w:type="paragraph" w:customStyle="1" w:styleId="142">
    <w:name w:val="报告表正文"/>
    <w:basedOn w:val="1"/>
    <w:qFormat/>
    <w:uiPriority w:val="0"/>
    <w:pPr>
      <w:spacing w:line="312" w:lineRule="auto"/>
      <w:ind w:left="113" w:right="113" w:firstLine="482"/>
      <w:jc w:val="left"/>
    </w:pPr>
  </w:style>
  <w:style w:type="character" w:customStyle="1" w:styleId="143">
    <w:name w:val="font01"/>
    <w:qFormat/>
    <w:uiPriority w:val="0"/>
    <w:rPr>
      <w:rFonts w:hint="default" w:ascii="Times New Roman" w:hAnsi="Times New Roman" w:cs="Times New Roman"/>
      <w:color w:val="000000"/>
      <w:sz w:val="21"/>
      <w:szCs w:val="21"/>
      <w:u w:val="none"/>
    </w:rPr>
  </w:style>
  <w:style w:type="character" w:customStyle="1" w:styleId="144">
    <w:name w:val="font31"/>
    <w:qFormat/>
    <w:uiPriority w:val="0"/>
    <w:rPr>
      <w:rFonts w:hint="eastAsia" w:ascii="宋体" w:hAnsi="宋体" w:eastAsia="宋体"/>
      <w:color w:val="000000"/>
      <w:sz w:val="21"/>
      <w:szCs w:val="21"/>
      <w:u w:val="none"/>
    </w:rPr>
  </w:style>
  <w:style w:type="character" w:customStyle="1" w:styleId="145">
    <w:name w:val="15"/>
    <w:qFormat/>
    <w:uiPriority w:val="0"/>
    <w:rPr>
      <w:rFonts w:hint="eastAsia" w:ascii="宋体" w:hAnsi="宋体" w:eastAsia="宋体"/>
      <w:sz w:val="24"/>
      <w:szCs w:val="24"/>
    </w:rPr>
  </w:style>
  <w:style w:type="paragraph" w:customStyle="1" w:styleId="146">
    <w:name w:val="段落 Char Char"/>
    <w:basedOn w:val="1"/>
    <w:qFormat/>
    <w:uiPriority w:val="0"/>
    <w:pPr>
      <w:spacing w:line="500" w:lineRule="exact"/>
      <w:ind w:firstLine="600"/>
    </w:pPr>
    <w:rPr>
      <w:rFonts w:ascii="宋体" w:hAnsi="宋体"/>
      <w:sz w:val="28"/>
      <w:szCs w:val="28"/>
    </w:rPr>
  </w:style>
  <w:style w:type="character" w:customStyle="1" w:styleId="147">
    <w:name w:val="17"/>
    <w:qFormat/>
    <w:uiPriority w:val="0"/>
    <w:rPr>
      <w:rFonts w:hint="default" w:ascii="Times New Roman" w:hAnsi="Times New Roman" w:cs="Times New Roman"/>
      <w:color w:val="000000"/>
      <w:sz w:val="22"/>
      <w:szCs w:val="22"/>
      <w:vertAlign w:val="superscript"/>
    </w:rPr>
  </w:style>
  <w:style w:type="character" w:customStyle="1" w:styleId="148">
    <w:name w:val="16"/>
    <w:qFormat/>
    <w:uiPriority w:val="0"/>
    <w:rPr>
      <w:rFonts w:hint="default" w:ascii="Times New Roman" w:hAnsi="Times New Roman" w:cs="Times New Roman"/>
      <w:color w:val="000000"/>
      <w:sz w:val="20"/>
      <w:szCs w:val="20"/>
    </w:rPr>
  </w:style>
  <w:style w:type="character" w:customStyle="1" w:styleId="149">
    <w:name w:val="font21"/>
    <w:qFormat/>
    <w:uiPriority w:val="0"/>
    <w:rPr>
      <w:rFonts w:hint="default" w:ascii="Times New Roman" w:hAnsi="Times New Roman" w:cs="Times New Roman"/>
      <w:color w:val="000000"/>
      <w:sz w:val="20"/>
      <w:szCs w:val="20"/>
      <w:u w:val="none"/>
    </w:rPr>
  </w:style>
  <w:style w:type="paragraph" w:customStyle="1" w:styleId="150">
    <w:name w:val="表内 定"/>
    <w:basedOn w:val="1"/>
    <w:qFormat/>
    <w:uiPriority w:val="0"/>
    <w:pPr>
      <w:jc w:val="left"/>
    </w:pPr>
    <w:rPr>
      <w:rFonts w:eastAsia="仿宋"/>
      <w:snapToGrid w:val="0"/>
      <w:color w:val="000000"/>
      <w:sz w:val="20"/>
    </w:rPr>
  </w:style>
  <w:style w:type="character" w:customStyle="1" w:styleId="151">
    <w:name w:val="font61"/>
    <w:qFormat/>
    <w:uiPriority w:val="0"/>
    <w:rPr>
      <w:rFonts w:hint="default" w:ascii="Times New Roman" w:hAnsi="Times New Roman" w:cs="Times New Roman"/>
      <w:b/>
      <w:bCs/>
      <w:color w:val="000000"/>
      <w:sz w:val="21"/>
      <w:szCs w:val="21"/>
      <w:u w:val="none"/>
      <w:vertAlign w:val="superscript"/>
    </w:rPr>
  </w:style>
  <w:style w:type="character" w:customStyle="1" w:styleId="152">
    <w:name w:val="font41"/>
    <w:qFormat/>
    <w:uiPriority w:val="0"/>
    <w:rPr>
      <w:rFonts w:hint="eastAsia" w:ascii="宋体" w:hAnsi="宋体" w:eastAsia="宋体" w:cs="宋体"/>
      <w:b/>
      <w:bCs/>
      <w:color w:val="000000"/>
      <w:sz w:val="21"/>
      <w:szCs w:val="21"/>
      <w:u w:val="none"/>
    </w:rPr>
  </w:style>
  <w:style w:type="character" w:customStyle="1" w:styleId="153">
    <w:name w:val="font51"/>
    <w:qFormat/>
    <w:uiPriority w:val="0"/>
    <w:rPr>
      <w:rFonts w:hint="eastAsia" w:ascii="宋体" w:hAnsi="宋体" w:eastAsia="宋体" w:cs="宋体"/>
      <w:color w:val="000000"/>
      <w:sz w:val="21"/>
      <w:szCs w:val="21"/>
      <w:u w:val="none"/>
    </w:rPr>
  </w:style>
  <w:style w:type="character" w:customStyle="1" w:styleId="154">
    <w:name w:val="font11"/>
    <w:qFormat/>
    <w:uiPriority w:val="0"/>
    <w:rPr>
      <w:rFonts w:hint="default" w:ascii="Times New Roman" w:hAnsi="Times New Roman" w:cs="Times New Roman"/>
      <w:color w:val="000000"/>
      <w:sz w:val="21"/>
      <w:szCs w:val="21"/>
      <w:u w:val="none"/>
    </w:rPr>
  </w:style>
  <w:style w:type="paragraph" w:customStyle="1" w:styleId="155">
    <w:name w:val="样式 小四 行距: 固定值 24 磅"/>
    <w:basedOn w:val="1"/>
    <w:qFormat/>
    <w:uiPriority w:val="0"/>
    <w:pPr>
      <w:spacing w:line="360" w:lineRule="auto"/>
    </w:pPr>
  </w:style>
  <w:style w:type="paragraph" w:customStyle="1" w:styleId="156">
    <w:name w:val="正文1"/>
    <w:basedOn w:val="1"/>
    <w:qFormat/>
    <w:uiPriority w:val="0"/>
    <w:pPr>
      <w:jc w:val="center"/>
    </w:pPr>
    <w:rPr>
      <w:szCs w:val="21"/>
    </w:rPr>
  </w:style>
  <w:style w:type="paragraph" w:customStyle="1" w:styleId="157">
    <w:name w:val="Char Char1 Char"/>
    <w:basedOn w:val="1"/>
    <w:qFormat/>
    <w:uiPriority w:val="0"/>
    <w:pPr>
      <w:spacing w:line="360" w:lineRule="auto"/>
    </w:pPr>
    <w:rPr>
      <w:rFonts w:ascii="宋体" w:hAnsi="宋体" w:cs="宋体"/>
      <w:szCs w:val="24"/>
    </w:rPr>
  </w:style>
  <w:style w:type="character" w:customStyle="1" w:styleId="158">
    <w:name w:val="font71"/>
    <w:qFormat/>
    <w:uiPriority w:val="0"/>
    <w:rPr>
      <w:rFonts w:hint="eastAsia" w:ascii="宋体" w:hAnsi="宋体" w:eastAsia="宋体" w:cs="宋体"/>
      <w:color w:val="000000"/>
      <w:sz w:val="21"/>
      <w:szCs w:val="21"/>
      <w:u w:val="none"/>
    </w:rPr>
  </w:style>
  <w:style w:type="character" w:customStyle="1" w:styleId="159">
    <w:name w:val="font161"/>
    <w:qFormat/>
    <w:uiPriority w:val="0"/>
    <w:rPr>
      <w:rFonts w:hint="default" w:ascii="Times New Roman" w:hAnsi="Times New Roman" w:cs="Times New Roman"/>
      <w:color w:val="5B9BD5"/>
      <w:sz w:val="21"/>
      <w:szCs w:val="21"/>
      <w:u w:val="none"/>
    </w:rPr>
  </w:style>
  <w:style w:type="character" w:customStyle="1" w:styleId="160">
    <w:name w:val="font151"/>
    <w:qFormat/>
    <w:uiPriority w:val="0"/>
    <w:rPr>
      <w:rFonts w:hint="eastAsia" w:ascii="宋体" w:hAnsi="宋体" w:eastAsia="宋体" w:cs="宋体"/>
      <w:color w:val="5B9BD5"/>
      <w:sz w:val="21"/>
      <w:szCs w:val="21"/>
      <w:u w:val="none"/>
    </w:rPr>
  </w:style>
  <w:style w:type="character" w:customStyle="1" w:styleId="161">
    <w:name w:val="font121"/>
    <w:qFormat/>
    <w:uiPriority w:val="0"/>
    <w:rPr>
      <w:rFonts w:hint="default" w:ascii="Times New Roman" w:hAnsi="Times New Roman" w:cs="Times New Roman"/>
      <w:color w:val="ED7D31"/>
      <w:sz w:val="21"/>
      <w:szCs w:val="21"/>
      <w:u w:val="none"/>
    </w:rPr>
  </w:style>
  <w:style w:type="paragraph" w:customStyle="1" w:styleId="162">
    <w:name w:val="表格文字"/>
    <w:qFormat/>
    <w:uiPriority w:val="0"/>
    <w:pPr>
      <w:snapToGrid w:val="0"/>
      <w:spacing w:line="400" w:lineRule="exact"/>
      <w:jc w:val="both"/>
    </w:pPr>
    <w:rPr>
      <w:rFonts w:ascii="Arial" w:hAnsi="Arial" w:eastAsia="宋体" w:cs="Times New Roman"/>
      <w:kern w:val="21"/>
      <w:sz w:val="21"/>
      <w:szCs w:val="21"/>
      <w:lang w:val="en-US" w:eastAsia="zh-CN" w:bidi="ar-SA"/>
    </w:rPr>
  </w:style>
  <w:style w:type="paragraph" w:customStyle="1" w:styleId="163">
    <w:name w:val="c正文"/>
    <w:basedOn w:val="1"/>
    <w:qFormat/>
    <w:uiPriority w:val="0"/>
    <w:pPr>
      <w:spacing w:line="500" w:lineRule="exact"/>
      <w:ind w:firstLine="480"/>
    </w:pPr>
  </w:style>
  <w:style w:type="paragraph" w:customStyle="1" w:styleId="164">
    <w:name w:val="Char Char1 Char1"/>
    <w:basedOn w:val="1"/>
    <w:qFormat/>
    <w:uiPriority w:val="0"/>
    <w:pPr>
      <w:spacing w:line="360" w:lineRule="auto"/>
    </w:pPr>
    <w:rPr>
      <w:rFonts w:ascii="宋体" w:hAnsi="宋体" w:cs="宋体"/>
      <w:szCs w:val="24"/>
    </w:rPr>
  </w:style>
  <w:style w:type="character" w:customStyle="1" w:styleId="165">
    <w:name w:val="22"/>
    <w:qFormat/>
    <w:uiPriority w:val="0"/>
    <w:rPr>
      <w:rFonts w:hint="default" w:ascii="Times New Roman" w:hAnsi="Times New Roman" w:cs="Times New Roman"/>
      <w:color w:val="000000"/>
      <w:sz w:val="21"/>
      <w:szCs w:val="21"/>
    </w:rPr>
  </w:style>
  <w:style w:type="character" w:customStyle="1" w:styleId="166">
    <w:name w:val="10"/>
    <w:qFormat/>
    <w:uiPriority w:val="0"/>
    <w:rPr>
      <w:rFonts w:hint="eastAsia" w:ascii="宋体" w:hAnsi="宋体" w:eastAsia="宋体" w:cs="宋体"/>
    </w:rPr>
  </w:style>
  <w:style w:type="paragraph" w:customStyle="1" w:styleId="167">
    <w:name w:val="Heading #6|1"/>
    <w:basedOn w:val="1"/>
    <w:qFormat/>
    <w:uiPriority w:val="0"/>
    <w:pPr>
      <w:spacing w:after="180"/>
      <w:ind w:firstLine="580"/>
      <w:outlineLvl w:val="5"/>
    </w:pPr>
    <w:rPr>
      <w:rFonts w:ascii="宋体" w:hAnsi="宋体" w:cs="宋体"/>
      <w:lang w:val="zh-TW" w:eastAsia="zh-TW" w:bidi="zh-TW"/>
    </w:rPr>
  </w:style>
  <w:style w:type="paragraph" w:customStyle="1" w:styleId="168">
    <w:name w:val="Body text|3"/>
    <w:basedOn w:val="1"/>
    <w:qFormat/>
    <w:uiPriority w:val="0"/>
    <w:pPr>
      <w:spacing w:after="380"/>
      <w:ind w:firstLine="500"/>
    </w:pPr>
    <w:rPr>
      <w:sz w:val="26"/>
      <w:szCs w:val="26"/>
    </w:rPr>
  </w:style>
  <w:style w:type="paragraph" w:customStyle="1" w:styleId="169">
    <w:name w:val="标题2"/>
    <w:next w:val="3"/>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70">
    <w:name w:val="样式 正文文本缩进 + 行距: 1.5 倍行距"/>
    <w:basedOn w:val="1"/>
    <w:qFormat/>
    <w:uiPriority w:val="0"/>
    <w:pPr>
      <w:spacing w:after="120" w:line="360" w:lineRule="auto"/>
      <w:ind w:left="90" w:leftChars="32" w:firstLine="560"/>
    </w:pPr>
    <w:rPr>
      <w:rFonts w:cs="宋体"/>
    </w:rPr>
  </w:style>
  <w:style w:type="paragraph" w:customStyle="1" w:styleId="171">
    <w:name w:val="Heading1"/>
    <w:basedOn w:val="1"/>
    <w:next w:val="1"/>
    <w:qFormat/>
    <w:uiPriority w:val="0"/>
    <w:pPr>
      <w:keepNext/>
      <w:ind w:left="539" w:right="28"/>
    </w:pPr>
    <w:rPr>
      <w:b/>
    </w:rPr>
  </w:style>
  <w:style w:type="paragraph" w:customStyle="1" w:styleId="172">
    <w:name w:val="样式 样式 样式 小四 黑色 首行缩进:  0.85 厘米 行距: 固定值 28 磅1 + 段前: 0.5 行 段后: 0.5 ..."/>
    <w:basedOn w:val="1"/>
    <w:qFormat/>
    <w:uiPriority w:val="0"/>
    <w:pPr>
      <w:keepNext/>
      <w:keepLines/>
      <w:spacing w:before="120" w:beforeLines="50" w:after="120" w:afterLines="50" w:line="360" w:lineRule="auto"/>
      <w:outlineLvl w:val="2"/>
    </w:pPr>
    <w:rPr>
      <w:rFonts w:eastAsia="黑体" w:cs="宋体"/>
      <w:color w:val="000000"/>
    </w:rPr>
  </w:style>
  <w:style w:type="paragraph" w:customStyle="1" w:styleId="173">
    <w:name w:val="亚行正文"/>
    <w:basedOn w:val="1"/>
    <w:qFormat/>
    <w:uiPriority w:val="0"/>
    <w:pPr>
      <w:tabs>
        <w:tab w:val="left" w:pos="840"/>
      </w:tabs>
      <w:wordWrap w:val="0"/>
      <w:adjustRightInd/>
      <w:snapToGrid/>
      <w:spacing w:line="240" w:lineRule="auto"/>
      <w:ind w:left="839" w:hanging="419" w:firstLineChars="0"/>
      <w:textAlignment w:val="auto"/>
    </w:pPr>
    <w:rPr>
      <w:color w:val="0000FF"/>
      <w:spacing w:val="-3"/>
      <w:kern w:val="2"/>
    </w:rPr>
  </w:style>
  <w:style w:type="table" w:customStyle="1" w:styleId="174">
    <w:name w:val="Table Normal1"/>
    <w:semiHidden/>
    <w:qFormat/>
    <w:uiPriority w:val="2"/>
    <w:pPr>
      <w:widowControl w:val="0"/>
    </w:pPr>
    <w:rPr>
      <w:rFonts w:ascii="Calibri" w:hAnsi="Calibri" w:eastAsia="Times New Roman"/>
      <w:sz w:val="22"/>
      <w:lang w:eastAsia="en-US"/>
    </w:rPr>
    <w:tblPr>
      <w:tblCellMar>
        <w:top w:w="0" w:type="dxa"/>
        <w:left w:w="0" w:type="dxa"/>
        <w:bottom w:w="0" w:type="dxa"/>
        <w:right w:w="0" w:type="dxa"/>
      </w:tblCellMar>
    </w:tblPr>
  </w:style>
  <w:style w:type="table" w:customStyle="1" w:styleId="175">
    <w:name w:val="Table Normal2"/>
    <w:semiHidden/>
    <w:qFormat/>
    <w:uiPriority w:val="2"/>
    <w:pPr>
      <w:widowControl w:val="0"/>
    </w:pPr>
    <w:rPr>
      <w:rFonts w:eastAsia="Times New Roman"/>
      <w:sz w:val="22"/>
      <w:lang w:eastAsia="en-US"/>
    </w:rPr>
    <w:tblPr>
      <w:tblCellMar>
        <w:top w:w="0" w:type="dxa"/>
        <w:left w:w="0" w:type="dxa"/>
        <w:bottom w:w="0" w:type="dxa"/>
        <w:right w:w="0" w:type="dxa"/>
      </w:tblCellMar>
    </w:tblPr>
  </w:style>
  <w:style w:type="character" w:customStyle="1" w:styleId="176">
    <w:name w:val="font81"/>
    <w:basedOn w:val="41"/>
    <w:qFormat/>
    <w:uiPriority w:val="0"/>
    <w:rPr>
      <w:rFonts w:hint="eastAsia" w:ascii="宋体" w:hAnsi="宋体" w:eastAsia="宋体" w:cs="宋体"/>
      <w:color w:val="FF0000"/>
      <w:sz w:val="21"/>
      <w:szCs w:val="21"/>
      <w:u w:val="none"/>
    </w:rPr>
  </w:style>
  <w:style w:type="character" w:customStyle="1" w:styleId="177">
    <w:name w:val="font91"/>
    <w:basedOn w:val="41"/>
    <w:qFormat/>
    <w:uiPriority w:val="0"/>
    <w:rPr>
      <w:rFonts w:hint="default" w:ascii="Times New Roman" w:hAnsi="Times New Roman" w:cs="Times New Roman"/>
      <w:b/>
      <w:bCs/>
      <w:color w:val="000000"/>
      <w:sz w:val="21"/>
      <w:szCs w:val="21"/>
      <w:u w:val="none"/>
    </w:rPr>
  </w:style>
  <w:style w:type="character" w:customStyle="1" w:styleId="178">
    <w:name w:val="font101"/>
    <w:basedOn w:val="41"/>
    <w:qFormat/>
    <w:uiPriority w:val="0"/>
    <w:rPr>
      <w:rFonts w:hint="default" w:ascii="Times New Roman" w:hAnsi="Times New Roman" w:cs="Times New Roman"/>
      <w:b/>
      <w:bCs/>
      <w:color w:val="000000"/>
      <w:sz w:val="21"/>
      <w:szCs w:val="21"/>
      <w:u w:val="none"/>
      <w:vertAlign w:val="superscript"/>
    </w:rPr>
  </w:style>
  <w:style w:type="paragraph" w:customStyle="1" w:styleId="179">
    <w:name w:val="表格首行文字"/>
    <w:basedOn w:val="54"/>
    <w:qFormat/>
    <w:uiPriority w:val="0"/>
    <w:pPr>
      <w:spacing w:line="240" w:lineRule="auto"/>
      <w:ind w:firstLine="0" w:firstLineChars="0"/>
      <w:jc w:val="center"/>
    </w:pPr>
    <w:rPr>
      <w:sz w:val="21"/>
    </w:rPr>
  </w:style>
  <w:style w:type="paragraph" w:customStyle="1" w:styleId="180">
    <w:name w:val="标题 41"/>
    <w:basedOn w:val="1"/>
    <w:qFormat/>
    <w:uiPriority w:val="0"/>
    <w:pPr>
      <w:autoSpaceDE w:val="0"/>
      <w:autoSpaceDN w:val="0"/>
      <w:spacing w:before="100" w:beforeAutospacing="1" w:after="100" w:afterAutospacing="1"/>
      <w:ind w:left="228"/>
      <w:jc w:val="left"/>
      <w:outlineLvl w:val="4"/>
    </w:pPr>
    <w:rPr>
      <w:rFonts w:ascii="宋体" w:hAnsi="宋体" w:cs="宋体"/>
      <w:b/>
      <w:bCs/>
      <w:kern w:val="0"/>
      <w:sz w:val="24"/>
    </w:rPr>
  </w:style>
  <w:style w:type="paragraph" w:customStyle="1" w:styleId="181">
    <w:name w:val="表格正文"/>
    <w:basedOn w:val="1"/>
    <w:qFormat/>
    <w:uiPriority w:val="0"/>
    <w:pPr>
      <w:ind w:firstLine="200" w:firstLineChars="200"/>
    </w:pPr>
    <w:rPr>
      <w:bCs/>
      <w:kern w:val="0"/>
      <w:szCs w:val="20"/>
    </w:rPr>
  </w:style>
  <w:style w:type="paragraph" w:customStyle="1" w:styleId="182">
    <w:name w:val="0正文"/>
    <w:autoRedefine/>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183">
    <w:name w:val="WPSOffice手动目录 1"/>
    <w:qFormat/>
    <w:uiPriority w:val="0"/>
    <w:pPr>
      <w:ind w:leftChars="0"/>
    </w:pPr>
    <w:rPr>
      <w:rFonts w:ascii="Times New Roman" w:hAnsi="Times New Roman" w:eastAsia="宋体" w:cs="Times New Roman"/>
      <w:sz w:val="20"/>
      <w:szCs w:val="20"/>
    </w:rPr>
  </w:style>
  <w:style w:type="paragraph" w:customStyle="1" w:styleId="184">
    <w:name w:val="WPSOffice手动目录 2"/>
    <w:qFormat/>
    <w:uiPriority w:val="0"/>
    <w:pPr>
      <w:ind w:leftChars="200"/>
    </w:pPr>
    <w:rPr>
      <w:rFonts w:ascii="Times New Roman" w:hAnsi="Times New Roman" w:eastAsia="宋体" w:cs="Times New Roman"/>
      <w:sz w:val="20"/>
      <w:szCs w:val="20"/>
    </w:rPr>
  </w:style>
  <w:style w:type="paragraph" w:customStyle="1" w:styleId="185">
    <w:name w:val="Table Text"/>
    <w:basedOn w:val="1"/>
    <w:semiHidden/>
    <w:qFormat/>
    <w:uiPriority w:val="0"/>
    <w:rPr>
      <w:rFonts w:ascii="微软雅黑" w:hAnsi="微软雅黑" w:eastAsia="微软雅黑" w:cs="微软雅黑"/>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2" Type="http://schemas.openxmlformats.org/officeDocument/2006/relationships/fontTable" Target="fontTable.xml"/><Relationship Id="rId81" Type="http://schemas.openxmlformats.org/officeDocument/2006/relationships/numbering" Target="numbering.xml"/><Relationship Id="rId80" Type="http://schemas.openxmlformats.org/officeDocument/2006/relationships/customXml" Target="../customXml/item1.xml"/><Relationship Id="rId8" Type="http://schemas.openxmlformats.org/officeDocument/2006/relationships/footer" Target="footer2.xml"/><Relationship Id="rId79" Type="http://schemas.openxmlformats.org/officeDocument/2006/relationships/image" Target="media/image50.jpeg"/><Relationship Id="rId78" Type="http://schemas.openxmlformats.org/officeDocument/2006/relationships/image" Target="media/image49.jpeg"/><Relationship Id="rId77" Type="http://schemas.openxmlformats.org/officeDocument/2006/relationships/image" Target="media/image48.jpeg"/><Relationship Id="rId76" Type="http://schemas.openxmlformats.org/officeDocument/2006/relationships/image" Target="media/image47.png"/><Relationship Id="rId75" Type="http://schemas.openxmlformats.org/officeDocument/2006/relationships/image" Target="media/image46.jpeg"/><Relationship Id="rId74" Type="http://schemas.openxmlformats.org/officeDocument/2006/relationships/image" Target="media/image45.png"/><Relationship Id="rId73" Type="http://schemas.openxmlformats.org/officeDocument/2006/relationships/image" Target="media/image44.jpeg"/><Relationship Id="rId72" Type="http://schemas.openxmlformats.org/officeDocument/2006/relationships/image" Target="media/image43.png"/><Relationship Id="rId71" Type="http://schemas.openxmlformats.org/officeDocument/2006/relationships/image" Target="media/image42.jpeg"/><Relationship Id="rId70" Type="http://schemas.openxmlformats.org/officeDocument/2006/relationships/image" Target="media/image41.png"/><Relationship Id="rId7" Type="http://schemas.openxmlformats.org/officeDocument/2006/relationships/header" Target="header2.xml"/><Relationship Id="rId69" Type="http://schemas.openxmlformats.org/officeDocument/2006/relationships/image" Target="media/image40.emf"/><Relationship Id="rId68" Type="http://schemas.openxmlformats.org/officeDocument/2006/relationships/oleObject" Target="embeddings/oleObject14.bin"/><Relationship Id="rId67" Type="http://schemas.openxmlformats.org/officeDocument/2006/relationships/image" Target="media/image39.emf"/><Relationship Id="rId66" Type="http://schemas.openxmlformats.org/officeDocument/2006/relationships/oleObject" Target="embeddings/oleObject13.bin"/><Relationship Id="rId65" Type="http://schemas.openxmlformats.org/officeDocument/2006/relationships/image" Target="media/image38.emf"/><Relationship Id="rId64" Type="http://schemas.openxmlformats.org/officeDocument/2006/relationships/oleObject" Target="embeddings/oleObject12.bin"/><Relationship Id="rId63" Type="http://schemas.openxmlformats.org/officeDocument/2006/relationships/image" Target="media/image37.emf"/><Relationship Id="rId62" Type="http://schemas.openxmlformats.org/officeDocument/2006/relationships/oleObject" Target="embeddings/oleObject11.bin"/><Relationship Id="rId61" Type="http://schemas.openxmlformats.org/officeDocument/2006/relationships/image" Target="media/image36.emf"/><Relationship Id="rId60" Type="http://schemas.openxmlformats.org/officeDocument/2006/relationships/image" Target="media/image35.png"/><Relationship Id="rId6" Type="http://schemas.openxmlformats.org/officeDocument/2006/relationships/footer" Target="footer1.xml"/><Relationship Id="rId59" Type="http://schemas.openxmlformats.org/officeDocument/2006/relationships/image" Target="media/image34.wmf"/><Relationship Id="rId58" Type="http://schemas.openxmlformats.org/officeDocument/2006/relationships/oleObject" Target="embeddings/oleObject10.bin"/><Relationship Id="rId57" Type="http://schemas.openxmlformats.org/officeDocument/2006/relationships/image" Target="media/image33.wmf"/><Relationship Id="rId56" Type="http://schemas.openxmlformats.org/officeDocument/2006/relationships/oleObject" Target="embeddings/oleObject9.bin"/><Relationship Id="rId55" Type="http://schemas.openxmlformats.org/officeDocument/2006/relationships/image" Target="media/image32.png"/><Relationship Id="rId54" Type="http://schemas.openxmlformats.org/officeDocument/2006/relationships/image" Target="media/image31.png"/><Relationship Id="rId53" Type="http://schemas.openxmlformats.org/officeDocument/2006/relationships/image" Target="media/image30.png"/><Relationship Id="rId52" Type="http://schemas.openxmlformats.org/officeDocument/2006/relationships/image" Target="media/image29.png"/><Relationship Id="rId51" Type="http://schemas.openxmlformats.org/officeDocument/2006/relationships/image" Target="media/image28.wmf"/><Relationship Id="rId50" Type="http://schemas.openxmlformats.org/officeDocument/2006/relationships/oleObject" Target="embeddings/oleObject8.bin"/><Relationship Id="rId5" Type="http://schemas.openxmlformats.org/officeDocument/2006/relationships/header" Target="header1.xml"/><Relationship Id="rId49" Type="http://schemas.openxmlformats.org/officeDocument/2006/relationships/image" Target="media/image27.png"/><Relationship Id="rId48" Type="http://schemas.openxmlformats.org/officeDocument/2006/relationships/image" Target="media/image26.wmf"/><Relationship Id="rId47" Type="http://schemas.openxmlformats.org/officeDocument/2006/relationships/image" Target="media/image25.png"/><Relationship Id="rId46" Type="http://schemas.openxmlformats.org/officeDocument/2006/relationships/image" Target="media/image24.png"/><Relationship Id="rId45" Type="http://schemas.openxmlformats.org/officeDocument/2006/relationships/image" Target="media/image23.jpeg"/><Relationship Id="rId44" Type="http://schemas.openxmlformats.org/officeDocument/2006/relationships/image" Target="media/image22.jpeg"/><Relationship Id="rId43" Type="http://schemas.openxmlformats.org/officeDocument/2006/relationships/image" Target="media/image21.jpeg"/><Relationship Id="rId42" Type="http://schemas.openxmlformats.org/officeDocument/2006/relationships/image" Target="media/image20.jpeg"/><Relationship Id="rId41" Type="http://schemas.openxmlformats.org/officeDocument/2006/relationships/image" Target="media/image19.png"/><Relationship Id="rId40" Type="http://schemas.openxmlformats.org/officeDocument/2006/relationships/chart" Target="charts/chart3.xml"/><Relationship Id="rId4" Type="http://schemas.openxmlformats.org/officeDocument/2006/relationships/endnotes" Target="endnotes.xml"/><Relationship Id="rId39" Type="http://schemas.openxmlformats.org/officeDocument/2006/relationships/chart" Target="charts/chart2.xml"/><Relationship Id="rId38" Type="http://schemas.openxmlformats.org/officeDocument/2006/relationships/chart" Target="charts/chart1.xml"/><Relationship Id="rId37" Type="http://schemas.openxmlformats.org/officeDocument/2006/relationships/image" Target="media/image18.png"/><Relationship Id="rId36" Type="http://schemas.openxmlformats.org/officeDocument/2006/relationships/image" Target="media/image17.jpeg"/><Relationship Id="rId35" Type="http://schemas.openxmlformats.org/officeDocument/2006/relationships/image" Target="media/image16.jpeg"/><Relationship Id="rId34" Type="http://schemas.openxmlformats.org/officeDocument/2006/relationships/image" Target="media/image15.emf"/><Relationship Id="rId33" Type="http://schemas.openxmlformats.org/officeDocument/2006/relationships/oleObject" Target="embeddings/oleObject7.bin"/><Relationship Id="rId32" Type="http://schemas.openxmlformats.org/officeDocument/2006/relationships/image" Target="media/image14.emf"/><Relationship Id="rId31" Type="http://schemas.openxmlformats.org/officeDocument/2006/relationships/oleObject" Target="embeddings/oleObject6.bin"/><Relationship Id="rId30" Type="http://schemas.openxmlformats.org/officeDocument/2006/relationships/image" Target="media/image13.emf"/><Relationship Id="rId3" Type="http://schemas.openxmlformats.org/officeDocument/2006/relationships/footnotes" Target="footnotes.xml"/><Relationship Id="rId29" Type="http://schemas.openxmlformats.org/officeDocument/2006/relationships/oleObject" Target="embeddings/oleObject5.bin"/><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emf"/><Relationship Id="rId24" Type="http://schemas.openxmlformats.org/officeDocument/2006/relationships/oleObject" Target="embeddings/oleObject4.bin"/><Relationship Id="rId23" Type="http://schemas.openxmlformats.org/officeDocument/2006/relationships/image" Target="media/image8.emf"/><Relationship Id="rId22" Type="http://schemas.openxmlformats.org/officeDocument/2006/relationships/oleObject" Target="embeddings/oleObject3.bin"/><Relationship Id="rId21" Type="http://schemas.openxmlformats.org/officeDocument/2006/relationships/image" Target="media/image7.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wmf"/><Relationship Id="rId14" Type="http://schemas.openxmlformats.org/officeDocument/2006/relationships/oleObject" Target="embeddings/oleObject1.bin"/><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E:\&#29615;&#20445;-&#26446;\2024&#26032;&#20844;&#21496;\&#29615;&#35780;\&#25253;&#21578;&#20070;\&#30005;&#38208;\&#25968;&#25454;&#35745;&#31639;.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file:///E:\&#29615;&#20445;-&#26446;\2024&#26032;&#20844;&#21496;\&#29615;&#35780;\&#25253;&#21578;&#20070;\&#30005;&#38208;\&#25968;&#25454;&#35745;&#31639;.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3.xml"/><Relationship Id="rId1" Type="http://schemas.openxmlformats.org/officeDocument/2006/relationships/oleObject" Target="file:///E:\&#29615;&#20445;-&#26446;\2024&#26032;&#20844;&#21496;\&#29615;&#35780;\&#25253;&#21578;&#20070;\&#30005;&#38208;\&#25968;&#25454;&#35745;&#3163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en-US" altLang="zh-CN">
                <a:latin typeface="Times New Roman" panose="02020603050405020304" charset="0"/>
                <a:ea typeface="Times New Roman" panose="02020603050405020304" charset="0"/>
                <a:cs typeface="Times New Roman" panose="02020603050405020304" charset="0"/>
                <a:sym typeface="Times New Roman" panose="02020603050405020304" charset="0"/>
              </a:rPr>
              <a:t>COD</a:t>
            </a:r>
            <a:endParaRPr lang="en-US" altLang="zh-CN">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490697064989518"/>
          <c:y val="0.144904090593945"/>
        </c:manualLayout>
      </c:layout>
      <c:overlay val="0"/>
      <c:spPr>
        <a:noFill/>
        <a:ln>
          <a:noFill/>
        </a:ln>
        <a:effectLst/>
      </c:spPr>
    </c:title>
    <c:autoTitleDeleted val="0"/>
    <c:plotArea>
      <c:layout>
        <c:manualLayout>
          <c:layoutTarget val="inner"/>
          <c:xMode val="edge"/>
          <c:yMode val="edge"/>
          <c:x val="0.0945492662473795"/>
          <c:y val="0.287034897157384"/>
          <c:w val="0.875183438155136"/>
          <c:h val="0.433880286572683"/>
        </c:manualLayout>
      </c:layout>
      <c:lineChart>
        <c:grouping val="stacked"/>
        <c:varyColors val="0"/>
        <c:ser>
          <c:idx val="0"/>
          <c:order val="0"/>
          <c:spPr>
            <a:ln w="28575" cap="sq" cmpd="sng">
              <a:solidFill>
                <a:sysClr val="windowText" lastClr="000000"/>
              </a:solidFill>
              <a:prstDash val="solid"/>
              <a:miter lim="800000"/>
            </a:ln>
            <a:effectLst/>
          </c:spPr>
          <c:marker>
            <c:symbol val="circle"/>
            <c:size val="5"/>
            <c:spPr>
              <a:noFill/>
              <a:ln w="9525" cap="sq">
                <a:noFill/>
                <a:miter lim="800000"/>
              </a:ln>
              <a:effectLst/>
            </c:spPr>
          </c:marker>
          <c:dLbls>
            <c:delete val="1"/>
          </c:dLbls>
          <c:cat>
            <c:numRef>
              <c:f>[数据计算.xlsx]Sheet4!$A$23:$A$34</c:f>
              <c:numCache>
                <c:formatCode>yyyy"年"m"月";@</c:formatCode>
                <c:ptCount val="12"/>
                <c:pt idx="0" c:formatCode="yyyy&quot;年&quot;m&quot;月&quot;;@">
                  <c:v>45292</c:v>
                </c:pt>
                <c:pt idx="1" c:formatCode="yyyy&quot;年&quot;m&quot;月&quot;;@">
                  <c:v>45323</c:v>
                </c:pt>
                <c:pt idx="2" c:formatCode="yyyy&quot;年&quot;m&quot;月&quot;;@">
                  <c:v>45352</c:v>
                </c:pt>
                <c:pt idx="3" c:formatCode="yyyy&quot;年&quot;m&quot;月&quot;;@">
                  <c:v>45383</c:v>
                </c:pt>
                <c:pt idx="4" c:formatCode="yyyy&quot;年&quot;m&quot;月&quot;;@">
                  <c:v>45413</c:v>
                </c:pt>
                <c:pt idx="5" c:formatCode="yyyy&quot;年&quot;m&quot;月&quot;;@">
                  <c:v>45444</c:v>
                </c:pt>
                <c:pt idx="6" c:formatCode="yyyy&quot;年&quot;m&quot;月&quot;;@">
                  <c:v>45474</c:v>
                </c:pt>
                <c:pt idx="7" c:formatCode="yyyy&quot;年&quot;m&quot;月&quot;;@">
                  <c:v>45505</c:v>
                </c:pt>
                <c:pt idx="8" c:formatCode="yyyy&quot;年&quot;m&quot;月&quot;;@">
                  <c:v>45536</c:v>
                </c:pt>
                <c:pt idx="9" c:formatCode="yyyy&quot;年&quot;m&quot;月&quot;;@">
                  <c:v>45566</c:v>
                </c:pt>
                <c:pt idx="10" c:formatCode="yyyy&quot;年&quot;m&quot;月&quot;;@">
                  <c:v>45597</c:v>
                </c:pt>
                <c:pt idx="11" c:formatCode="yyyy&quot;年&quot;m&quot;月&quot;;@">
                  <c:v>45627</c:v>
                </c:pt>
              </c:numCache>
            </c:numRef>
          </c:cat>
          <c:val>
            <c:numRef>
              <c:f>[数据计算.xlsx]Sheet4!$B$23:$B$34</c:f>
              <c:numCache>
                <c:formatCode>General</c:formatCode>
                <c:ptCount val="12"/>
                <c:pt idx="0">
                  <c:v>4.6</c:v>
                </c:pt>
                <c:pt idx="1">
                  <c:v>3.3</c:v>
                </c:pt>
                <c:pt idx="2">
                  <c:v>4</c:v>
                </c:pt>
                <c:pt idx="3">
                  <c:v>5.2</c:v>
                </c:pt>
                <c:pt idx="4">
                  <c:v>5</c:v>
                </c:pt>
                <c:pt idx="5">
                  <c:v>5.2</c:v>
                </c:pt>
                <c:pt idx="6">
                  <c:v>3.2</c:v>
                </c:pt>
                <c:pt idx="7">
                  <c:v>3.4</c:v>
                </c:pt>
                <c:pt idx="8">
                  <c:v>3.4</c:v>
                </c:pt>
                <c:pt idx="9">
                  <c:v>3.6</c:v>
                </c:pt>
                <c:pt idx="10">
                  <c:v>4.8</c:v>
                </c:pt>
                <c:pt idx="11">
                  <c:v>4</c:v>
                </c:pt>
              </c:numCache>
            </c:numRef>
          </c:val>
          <c:smooth val="0"/>
        </c:ser>
        <c:dLbls>
          <c:showLegendKey val="0"/>
          <c:showVal val="0"/>
          <c:showCatName val="0"/>
          <c:showSerName val="0"/>
          <c:showPercent val="0"/>
          <c:showBubbleSize val="0"/>
        </c:dLbls>
        <c:marker val="1"/>
        <c:smooth val="0"/>
        <c:axId val="238981660"/>
        <c:axId val="907047571"/>
      </c:lineChart>
      <c:dateAx>
        <c:axId val="238981660"/>
        <c:scaling>
          <c:orientation val="minMax"/>
        </c:scaling>
        <c:delete val="0"/>
        <c:axPos val="b"/>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907047571"/>
        <c:crosses val="autoZero"/>
        <c:auto val="1"/>
        <c:lblOffset val="100"/>
        <c:baseTimeUnit val="months"/>
      </c:dateAx>
      <c:valAx>
        <c:axId val="907047571"/>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238981660"/>
        <c:crosses val="autoZero"/>
        <c:crossBetween val="between"/>
      </c:valAx>
      <c:spPr>
        <a:noFill/>
        <a:ln>
          <a:noFill/>
        </a:ln>
        <a:effectLst/>
      </c:spPr>
    </c:plotArea>
    <c:plotVisOnly val="1"/>
    <c:dispBlanksAs val="gap"/>
    <c:showDLblsOverMax val="0"/>
    <c:extLst>
      <c:ext uri="{0b15fc19-7d7d-44ad-8c2d-2c3a37ce22c3}">
        <chartProps xmlns="https://web.wps.cn/et/2018/main" chartId="{6fa06057-0194-4d0c-acbb-e67f3e9f3f2a}"/>
      </c:ext>
    </c:extLst>
  </c:chart>
  <c:spPr>
    <a:solidFill>
      <a:schemeClr val="bg1"/>
    </a:solidFill>
    <a:ln w="6350" cap="sq" cmpd="dbl" algn="ctr">
      <a:solidFill>
        <a:schemeClr val="tx1">
          <a:lumMod val="50000"/>
          <a:lumOff val="50000"/>
          <a:alpha val="25000"/>
        </a:schemeClr>
      </a:solidFill>
      <a:round/>
    </a:ln>
    <a:effectLst/>
  </c:spPr>
  <c:txPr>
    <a:bodyPr/>
    <a:lstStyle/>
    <a:p>
      <a:pPr>
        <a:defRPr lang="zh-CN">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t>氨氮</a:t>
            </a:r>
          </a:p>
        </c:rich>
      </c:tx>
      <c:layout>
        <c:manualLayout>
          <c:xMode val="edge"/>
          <c:yMode val="edge"/>
          <c:x val="0.469601677148847"/>
          <c:y val="0.0762436076243608"/>
        </c:manualLayout>
      </c:layout>
      <c:overlay val="0"/>
      <c:spPr>
        <a:noFill/>
        <a:ln>
          <a:noFill/>
        </a:ln>
        <a:effectLst/>
      </c:spPr>
    </c:title>
    <c:autoTitleDeleted val="0"/>
    <c:plotArea>
      <c:layout/>
      <c:lineChart>
        <c:grouping val="stacked"/>
        <c:varyColors val="0"/>
        <c:ser>
          <c:idx val="0"/>
          <c:order val="0"/>
          <c:spPr>
            <a:ln w="28575" cap="rnd">
              <a:solidFill>
                <a:srgbClr val="FFFF00"/>
              </a:solidFill>
              <a:bevel/>
            </a:ln>
            <a:effectLst/>
          </c:spPr>
          <c:marker>
            <c:symbol val="circle"/>
            <c:size val="5"/>
            <c:spPr>
              <a:noFill/>
              <a:ln w="9525">
                <a:noFill/>
              </a:ln>
              <a:effectLst/>
            </c:spPr>
          </c:marker>
          <c:dPt>
            <c:idx val="9"/>
            <c:marker>
              <c:symbol val="circle"/>
              <c:size val="5"/>
              <c:spPr>
                <a:noFill/>
                <a:ln w="9525">
                  <a:noFill/>
                </a:ln>
                <a:effectLst/>
              </c:spPr>
            </c:marker>
            <c:bubble3D val="0"/>
          </c:dPt>
          <c:dLbls>
            <c:delete val="1"/>
          </c:dLbls>
          <c:cat>
            <c:numRef>
              <c:f>[数据计算.xlsx]Sheet4!$A$37:$A$48</c:f>
              <c:numCache>
                <c:formatCode>yyyy"年"m"月";@</c:formatCode>
                <c:ptCount val="12"/>
                <c:pt idx="0" c:formatCode="yyyy&quot;年&quot;m&quot;月&quot;;@">
                  <c:v>45292</c:v>
                </c:pt>
                <c:pt idx="1" c:formatCode="yyyy&quot;年&quot;m&quot;月&quot;;@">
                  <c:v>45323</c:v>
                </c:pt>
                <c:pt idx="2" c:formatCode="yyyy&quot;年&quot;m&quot;月&quot;;@">
                  <c:v>45352</c:v>
                </c:pt>
                <c:pt idx="3" c:formatCode="yyyy&quot;年&quot;m&quot;月&quot;;@">
                  <c:v>45383</c:v>
                </c:pt>
                <c:pt idx="4" c:formatCode="yyyy&quot;年&quot;m&quot;月&quot;;@">
                  <c:v>45413</c:v>
                </c:pt>
                <c:pt idx="5" c:formatCode="yyyy&quot;年&quot;m&quot;月&quot;;@">
                  <c:v>45444</c:v>
                </c:pt>
                <c:pt idx="6" c:formatCode="yyyy&quot;年&quot;m&quot;月&quot;;@">
                  <c:v>45474</c:v>
                </c:pt>
                <c:pt idx="7" c:formatCode="yyyy&quot;年&quot;m&quot;月&quot;;@">
                  <c:v>45505</c:v>
                </c:pt>
                <c:pt idx="8" c:formatCode="yyyy&quot;年&quot;m&quot;月&quot;;@">
                  <c:v>45536</c:v>
                </c:pt>
                <c:pt idx="9" c:formatCode="yyyy&quot;年&quot;m&quot;月&quot;;@">
                  <c:v>45566</c:v>
                </c:pt>
                <c:pt idx="10" c:formatCode="yyyy&quot;年&quot;m&quot;月&quot;;@">
                  <c:v>45597</c:v>
                </c:pt>
                <c:pt idx="11" c:formatCode="yyyy&quot;年&quot;m&quot;月&quot;;@">
                  <c:v>45627</c:v>
                </c:pt>
              </c:numCache>
            </c:numRef>
          </c:cat>
          <c:val>
            <c:numRef>
              <c:f>[数据计算.xlsx]Sheet4!$B$37:$B$48</c:f>
              <c:numCache>
                <c:formatCode>0.0_ </c:formatCode>
                <c:ptCount val="12"/>
                <c:pt idx="0">
                  <c:v>0.8</c:v>
                </c:pt>
                <c:pt idx="1" c:formatCode="0.00_ ">
                  <c:v>0</c:v>
                </c:pt>
                <c:pt idx="2">
                  <c:v>0.9</c:v>
                </c:pt>
                <c:pt idx="3">
                  <c:v>0.5</c:v>
                </c:pt>
                <c:pt idx="4">
                  <c:v>0.4</c:v>
                </c:pt>
                <c:pt idx="5">
                  <c:v>0.3</c:v>
                </c:pt>
                <c:pt idx="6">
                  <c:v>1</c:v>
                </c:pt>
                <c:pt idx="7">
                  <c:v>0.7</c:v>
                </c:pt>
                <c:pt idx="8">
                  <c:v>0.5</c:v>
                </c:pt>
                <c:pt idx="9">
                  <c:v>0.5</c:v>
                </c:pt>
                <c:pt idx="10">
                  <c:v>0.5</c:v>
                </c:pt>
                <c:pt idx="11">
                  <c:v>0.7</c:v>
                </c:pt>
              </c:numCache>
            </c:numRef>
          </c:val>
          <c:smooth val="0"/>
        </c:ser>
        <c:dLbls>
          <c:showLegendKey val="0"/>
          <c:showVal val="0"/>
          <c:showCatName val="0"/>
          <c:showSerName val="0"/>
          <c:showPercent val="0"/>
          <c:showBubbleSize val="0"/>
        </c:dLbls>
        <c:marker val="1"/>
        <c:smooth val="0"/>
        <c:axId val="246058484"/>
        <c:axId val="470688387"/>
      </c:lineChart>
      <c:dateAx>
        <c:axId val="246058484"/>
        <c:scaling>
          <c:orientation val="minMax"/>
        </c:scaling>
        <c:delete val="0"/>
        <c:axPos val="b"/>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70688387"/>
        <c:crosses val="autoZero"/>
        <c:auto val="1"/>
        <c:lblOffset val="100"/>
        <c:baseTimeUnit val="months"/>
      </c:dateAx>
      <c:valAx>
        <c:axId val="470688387"/>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0.0_ "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246058484"/>
        <c:crosses val="autoZero"/>
        <c:crossBetween val="between"/>
      </c:valAx>
      <c:spPr>
        <a:noFill/>
        <a:ln>
          <a:noFill/>
        </a:ln>
        <a:effectLst/>
      </c:spPr>
    </c:plotArea>
    <c:plotVisOnly val="1"/>
    <c:dispBlanksAs val="gap"/>
    <c:showDLblsOverMax val="0"/>
    <c:extLst>
      <c:ext uri="{0b15fc19-7d7d-44ad-8c2d-2c3a37ce22c3}">
        <chartProps xmlns="https://web.wps.cn/et/2018/main" chartId="{ec86d44a-aadf-44fb-acf6-53378f7c8804}"/>
      </c:ext>
    </c:extLst>
  </c:chart>
  <c:spPr>
    <a:solidFill>
      <a:schemeClr val="bg1"/>
    </a:solidFill>
    <a:ln w="6350" cap="sq" cmpd="sng" algn="ctr">
      <a:solidFill>
        <a:schemeClr val="tx1">
          <a:lumMod val="50000"/>
          <a:lumOff val="50000"/>
          <a:alpha val="28000"/>
        </a:schemeClr>
      </a:solidFill>
      <a:miter lim="800000"/>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t>总磷</a:t>
            </a:r>
          </a:p>
        </c:rich>
      </c:tx>
      <c:layout>
        <c:manualLayout>
          <c:xMode val="edge"/>
          <c:yMode val="edge"/>
          <c:x val="0.469601677148847"/>
          <c:y val="0.0762436076243608"/>
        </c:manualLayout>
      </c:layout>
      <c:overlay val="0"/>
      <c:spPr>
        <a:noFill/>
        <a:ln>
          <a:noFill/>
        </a:ln>
        <a:effectLst/>
      </c:spPr>
    </c:title>
    <c:autoTitleDeleted val="0"/>
    <c:plotArea>
      <c:layout/>
      <c:lineChart>
        <c:grouping val="stacked"/>
        <c:varyColors val="0"/>
        <c:ser>
          <c:idx val="0"/>
          <c:order val="0"/>
          <c:spPr>
            <a:ln w="28575" cap="rnd">
              <a:solidFill>
                <a:srgbClr val="00B0F0"/>
              </a:solidFill>
              <a:bevel/>
            </a:ln>
            <a:effectLst/>
          </c:spPr>
          <c:marker>
            <c:symbol val="circle"/>
            <c:size val="5"/>
            <c:spPr>
              <a:noFill/>
              <a:ln w="9525">
                <a:noFill/>
              </a:ln>
              <a:effectLst/>
            </c:spPr>
          </c:marker>
          <c:dPt>
            <c:idx val="9"/>
            <c:marker>
              <c:symbol val="circle"/>
              <c:size val="5"/>
              <c:spPr>
                <a:noFill/>
                <a:ln w="9525">
                  <a:noFill/>
                </a:ln>
                <a:effectLst/>
              </c:spPr>
            </c:marker>
            <c:bubble3D val="0"/>
          </c:dPt>
          <c:dLbls>
            <c:delete val="1"/>
          </c:dLbls>
          <c:cat>
            <c:numRef>
              <c:f>[数据计算.xlsx]Sheet4!$A$35:$A$46</c:f>
              <c:numCache>
                <c:formatCode>yyyy"年"m"月";@</c:formatCode>
                <c:ptCount val="12"/>
                <c:pt idx="0" c:formatCode="yyyy&quot;年&quot;m&quot;月&quot;;@">
                  <c:v>45292</c:v>
                </c:pt>
                <c:pt idx="1" c:formatCode="yyyy&quot;年&quot;m&quot;月&quot;;@">
                  <c:v>45323</c:v>
                </c:pt>
                <c:pt idx="2" c:formatCode="yyyy&quot;年&quot;m&quot;月&quot;;@">
                  <c:v>45352</c:v>
                </c:pt>
                <c:pt idx="3" c:formatCode="yyyy&quot;年&quot;m&quot;月&quot;;@">
                  <c:v>45383</c:v>
                </c:pt>
                <c:pt idx="4" c:formatCode="yyyy&quot;年&quot;m&quot;月&quot;;@">
                  <c:v>45413</c:v>
                </c:pt>
                <c:pt idx="5" c:formatCode="yyyy&quot;年&quot;m&quot;月&quot;;@">
                  <c:v>45444</c:v>
                </c:pt>
                <c:pt idx="6" c:formatCode="yyyy&quot;年&quot;m&quot;月&quot;;@">
                  <c:v>45474</c:v>
                </c:pt>
                <c:pt idx="7" c:formatCode="yyyy&quot;年&quot;m&quot;月&quot;;@">
                  <c:v>45505</c:v>
                </c:pt>
                <c:pt idx="8" c:formatCode="yyyy&quot;年&quot;m&quot;月&quot;;@">
                  <c:v>45536</c:v>
                </c:pt>
                <c:pt idx="9" c:formatCode="yyyy&quot;年&quot;m&quot;月&quot;;@">
                  <c:v>45566</c:v>
                </c:pt>
                <c:pt idx="10" c:formatCode="yyyy&quot;年&quot;m&quot;月&quot;;@">
                  <c:v>45597</c:v>
                </c:pt>
                <c:pt idx="11" c:formatCode="yyyy&quot;年&quot;m&quot;月&quot;;@">
                  <c:v>45627</c:v>
                </c:pt>
              </c:numCache>
            </c:numRef>
          </c:cat>
          <c:val>
            <c:numRef>
              <c:f>[数据计算.xlsx]Sheet4!$B$35:$B$46</c:f>
              <c:numCache>
                <c:formatCode>General</c:formatCode>
                <c:ptCount val="12"/>
                <c:pt idx="0">
                  <c:v>0.15</c:v>
                </c:pt>
                <c:pt idx="1">
                  <c:v>0.18</c:v>
                </c:pt>
                <c:pt idx="2">
                  <c:v>0.19</c:v>
                </c:pt>
                <c:pt idx="3">
                  <c:v>0.22</c:v>
                </c:pt>
                <c:pt idx="4">
                  <c:v>0</c:v>
                </c:pt>
                <c:pt idx="5">
                  <c:v>0</c:v>
                </c:pt>
                <c:pt idx="6">
                  <c:v>0.21</c:v>
                </c:pt>
                <c:pt idx="7">
                  <c:v>0.22</c:v>
                </c:pt>
                <c:pt idx="8">
                  <c:v>0.18</c:v>
                </c:pt>
                <c:pt idx="9">
                  <c:v>0.15</c:v>
                </c:pt>
                <c:pt idx="10">
                  <c:v>0.14</c:v>
                </c:pt>
                <c:pt idx="11">
                  <c:v>0.14</c:v>
                </c:pt>
              </c:numCache>
            </c:numRef>
          </c:val>
          <c:smooth val="0"/>
        </c:ser>
        <c:dLbls>
          <c:showLegendKey val="0"/>
          <c:showVal val="0"/>
          <c:showCatName val="0"/>
          <c:showSerName val="0"/>
          <c:showPercent val="0"/>
          <c:showBubbleSize val="0"/>
        </c:dLbls>
        <c:marker val="1"/>
        <c:smooth val="0"/>
        <c:axId val="246058484"/>
        <c:axId val="470688387"/>
      </c:lineChart>
      <c:dateAx>
        <c:axId val="246058484"/>
        <c:scaling>
          <c:orientation val="minMax"/>
        </c:scaling>
        <c:delete val="0"/>
        <c:axPos val="b"/>
        <c:majorGridlines>
          <c:spPr>
            <a:ln w="6350" cap="flat" cmpd="sng" algn="ctr">
              <a:solidFill>
                <a:schemeClr val="tx1">
                  <a:lumMod val="50000"/>
                  <a:lumOff val="50000"/>
                  <a:alpha val="25000"/>
                </a:schemeClr>
              </a:solidFill>
              <a:round/>
            </a:ln>
            <a:effectLst/>
          </c:spPr>
        </c:majorGridlines>
        <c:numFmt formatCode="General" sourceLinked="1"/>
        <c:majorTickMark val="none"/>
        <c:minorTickMark val="none"/>
        <c:tickLblPos val="nextTo"/>
        <c:spPr>
          <a:noFill/>
          <a:ln w="6350" cap="flat" cmpd="sng" algn="ctr">
            <a:solidFill>
              <a:schemeClr val="tx1">
                <a:lumMod val="50000"/>
                <a:lumOff val="50000"/>
                <a:alpha val="2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70688387"/>
        <c:crosses val="autoZero"/>
        <c:auto val="1"/>
        <c:lblOffset val="100"/>
        <c:baseTimeUnit val="months"/>
      </c:dateAx>
      <c:valAx>
        <c:axId val="470688387"/>
        <c:scaling>
          <c:orientation val="minMax"/>
        </c:scaling>
        <c:delete val="0"/>
        <c:axPos val="l"/>
        <c:majorGridlines>
          <c:spPr>
            <a:ln w="6350" cap="flat" cmpd="sng" algn="ctr">
              <a:solidFill>
                <a:schemeClr val="tx1">
                  <a:lumMod val="50000"/>
                  <a:lumOff val="50000"/>
                  <a:alpha val="2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246058484"/>
        <c:crosses val="autoZero"/>
        <c:crossBetween val="between"/>
      </c:valAx>
      <c:spPr>
        <a:noFill/>
        <a:ln>
          <a:noFill/>
        </a:ln>
        <a:effectLst/>
      </c:spPr>
    </c:plotArea>
    <c:plotVisOnly val="1"/>
    <c:dispBlanksAs val="gap"/>
    <c:showDLblsOverMax val="0"/>
    <c:extLst>
      <c:ext uri="{0b15fc19-7d7d-44ad-8c2d-2c3a37ce22c3}">
        <chartProps xmlns="https://web.wps.cn/et/2018/main" chartId="{ec86d44a-aadf-44fb-acf6-53378f7c8804}"/>
      </c:ext>
    </c:extLst>
  </c:chart>
  <c:spPr>
    <a:solidFill>
      <a:schemeClr val="bg1"/>
    </a:solidFill>
    <a:ln w="6350" cap="sq" cmpd="sng" algn="ctr">
      <a:solidFill>
        <a:schemeClr val="tx1">
          <a:lumMod val="50000"/>
          <a:lumOff val="50000"/>
          <a:alpha val="28000"/>
        </a:schemeClr>
      </a:solidFill>
      <a:miter lim="800000"/>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6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dk1"/>
    </cs:fontRef>
    <cs:spPr>
      <a:ln w="9525">
        <a:solidFill>
          <a:schemeClr val="phClr"/>
        </a:solidFill>
      </a:ln>
      <a:effectLst/>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6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dk1"/>
    </cs:fontRef>
    <cs:spPr>
      <a:ln w="9525">
        <a:solidFill>
          <a:schemeClr val="phClr"/>
        </a:solidFill>
      </a:ln>
      <a:effectLst/>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6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dk1"/>
    </cs:fontRef>
    <cs:spPr>
      <a:ln w="9525">
        <a:solidFill>
          <a:schemeClr val="phClr"/>
        </a:solidFill>
      </a:ln>
      <a:effectLst/>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Info spid="_x0000_s1030" textRotate="1"/>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327</Pages>
  <Words>10280</Words>
  <Characters>11740</Characters>
  <Lines>2000</Lines>
  <Paragraphs>563</Paragraphs>
  <TotalTime>16</TotalTime>
  <ScaleCrop>false</ScaleCrop>
  <LinksUpToDate>false</LinksUpToDate>
  <CharactersWithSpaces>12260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2022-07-05T02:44:00Z</dcterms:created>
  <dc:creator>Administrator</dc:creator>
  <cp:lastModifiedBy>新乡市译洋环境</cp:lastModifiedBy>
  <cp:lastPrinted>2025-10-27T06:09:00Z</cp:lastPrinted>
  <dcterms:modified xsi:type="dcterms:W3CDTF">2025-10-31T06:23:23Z</dcterms:modified>
  <cp:revision>5734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2278B0EA282F44ECBEFA60062F9261DF_13</vt:lpwstr>
  </property>
  <property fmtid="{D5CDD505-2E9C-101B-9397-08002B2CF9AE}" pid="4" name="KSOTemplateDocerSaveRecord">
    <vt:lpwstr>eyJoZGlkIjoiMzk5MzllMGMzYzU5ZTZiMGU5NDkzOTY3NmIwNjk3MDkiLCJ1c2VySWQiOiIxNTYxMTU0MzU1In0=</vt:lpwstr>
  </property>
</Properties>
</file>